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D3B5F" w:rsidRPr="005C3B55" w:rsidRDefault="00BD3B5F">
      <w:pPr>
        <w:rPr>
          <w:szCs w:val="24"/>
        </w:rPr>
      </w:pPr>
    </w:p>
    <w:tbl>
      <w:tblPr>
        <w:tblW w:w="5000" w:type="pct"/>
        <w:tblLayout w:type="fixed"/>
        <w:tblLook w:val="04A0" w:firstRow="1" w:lastRow="0" w:firstColumn="1" w:lastColumn="0" w:noHBand="0" w:noVBand="1"/>
      </w:tblPr>
      <w:tblGrid>
        <w:gridCol w:w="10656"/>
      </w:tblGrid>
      <w:tr w:rsidR="00BD3B5F" w:rsidRPr="005C3B55">
        <w:tc>
          <w:tcPr>
            <w:tcW w:w="10656" w:type="dxa"/>
          </w:tcPr>
          <w:p w:rsidR="00BD3B5F" w:rsidRPr="005C3B55" w:rsidRDefault="0012246E">
            <w:pPr>
              <w:rPr>
                <w:szCs w:val="24"/>
              </w:rPr>
            </w:pPr>
            <w:r w:rsidRPr="005C3B55">
              <w:rPr>
                <w:noProof/>
                <w:snapToGrid/>
                <w:lang w:val="sl-SI"/>
              </w:rPr>
              <w:drawing>
                <wp:anchor distT="0" distB="0" distL="114300" distR="114300" simplePos="0" relativeHeight="251657216" behindDoc="0" locked="0" layoutInCell="1" allowOverlap="1">
                  <wp:simplePos x="0" y="0"/>
                  <wp:positionH relativeFrom="column">
                    <wp:align>left</wp:align>
                  </wp:positionH>
                  <wp:positionV relativeFrom="paragraph">
                    <wp:align>top</wp:align>
                  </wp:positionV>
                  <wp:extent cx="3172460" cy="1504950"/>
                  <wp:effectExtent l="0" t="0" r="8890" b="0"/>
                  <wp:wrapTopAndBottom/>
                  <wp:docPr id="41"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172460" cy="1504950"/>
                          </a:xfrm>
                          <a:prstGeom prst="rect">
                            <a:avLst/>
                          </a:prstGeom>
                          <a:noFill/>
                        </pic:spPr>
                      </pic:pic>
                    </a:graphicData>
                  </a:graphic>
                  <wp14:sizeRelH relativeFrom="page">
                    <wp14:pctWidth>0</wp14:pctWidth>
                  </wp14:sizeRelH>
                  <wp14:sizeRelV relativeFrom="page">
                    <wp14:pctHeight>0</wp14:pctHeight>
                  </wp14:sizeRelV>
                </wp:anchor>
              </w:drawing>
            </w:r>
            <w:r w:rsidRPr="005C3B55">
              <w:rPr>
                <w:noProof/>
                <w:snapToGrid/>
                <w:lang w:val="sl-SI"/>
              </w:rPr>
              <w:drawing>
                <wp:anchor distT="0" distB="0" distL="114300" distR="114300" simplePos="0" relativeHeight="251658240" behindDoc="0" locked="0" layoutInCell="1" allowOverlap="1">
                  <wp:simplePos x="0" y="0"/>
                  <wp:positionH relativeFrom="column">
                    <wp:align>right</wp:align>
                  </wp:positionH>
                  <wp:positionV relativeFrom="paragraph">
                    <wp:align>top</wp:align>
                  </wp:positionV>
                  <wp:extent cx="2095500" cy="1638300"/>
                  <wp:effectExtent l="0" t="0" r="0" b="0"/>
                  <wp:wrapTopAndBottom/>
                  <wp:docPr id="40"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095500" cy="1638300"/>
                          </a:xfrm>
                          <a:prstGeom prst="rect">
                            <a:avLst/>
                          </a:prstGeom>
                          <a:noFill/>
                        </pic:spPr>
                      </pic:pic>
                    </a:graphicData>
                  </a:graphic>
                  <wp14:sizeRelH relativeFrom="page">
                    <wp14:pctWidth>0</wp14:pctWidth>
                  </wp14:sizeRelH>
                  <wp14:sizeRelV relativeFrom="page">
                    <wp14:pctHeight>0</wp14:pctHeight>
                  </wp14:sizeRelV>
                </wp:anchor>
              </w:drawing>
            </w:r>
          </w:p>
        </w:tc>
      </w:tr>
      <w:tr w:rsidR="00BD3B5F" w:rsidRPr="005C3B55">
        <w:tc>
          <w:tcPr>
            <w:tcW w:w="10656" w:type="dxa"/>
          </w:tcPr>
          <w:p w:rsidR="00BD3B5F" w:rsidRPr="005C3B55" w:rsidRDefault="00BD3B5F">
            <w:pPr>
              <w:pStyle w:val="Naslov"/>
              <w:rPr>
                <w:szCs w:val="24"/>
              </w:rPr>
            </w:pPr>
            <w:r w:rsidRPr="005C3B55">
              <w:rPr>
                <w:szCs w:val="24"/>
              </w:rPr>
              <w:t>Rural development programme of the Republic of Slovenia 2</w:t>
            </w:r>
            <w:bookmarkStart w:id="0" w:name="_GoBack"/>
            <w:bookmarkEnd w:id="0"/>
            <w:r w:rsidRPr="005C3B55">
              <w:rPr>
                <w:szCs w:val="24"/>
              </w:rPr>
              <w:t>014-2020</w:t>
            </w:r>
          </w:p>
          <w:p w:rsidR="00BD3B5F" w:rsidRPr="005C3B55" w:rsidRDefault="00BD3B5F">
            <w:pPr>
              <w:pStyle w:val="SubTitle2"/>
              <w:rPr>
                <w:szCs w:val="24"/>
              </w:rPr>
            </w:pPr>
          </w:p>
        </w:tc>
      </w:tr>
      <w:tr w:rsidR="00BD3B5F" w:rsidRPr="005C3B55">
        <w:tc>
          <w:tcPr>
            <w:tcW w:w="10656" w:type="dxa"/>
          </w:tcPr>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215"/>
              <w:gridCol w:w="5215"/>
            </w:tblGrid>
            <w:tr w:rsidR="00BD3B5F" w:rsidRPr="005C3B55">
              <w:tc>
                <w:tcPr>
                  <w:tcW w:w="2500" w:type="pct"/>
                  <w:tcBorders>
                    <w:top w:val="single" w:sz="4" w:space="0" w:color="auto"/>
                    <w:left w:val="single" w:sz="4" w:space="0" w:color="auto"/>
                    <w:bottom w:val="single" w:sz="4" w:space="0" w:color="auto"/>
                    <w:right w:val="single" w:sz="4" w:space="0" w:color="auto"/>
                  </w:tcBorders>
                </w:tcPr>
                <w:p w:rsidR="00BD3B5F" w:rsidRPr="005C3B55" w:rsidRDefault="00BD3B5F">
                  <w:pPr>
                    <w:pStyle w:val="Napis"/>
                    <w:jc w:val="center"/>
                    <w:rPr>
                      <w:szCs w:val="24"/>
                    </w:rPr>
                  </w:pPr>
                  <w:r w:rsidRPr="005C3B55">
                    <w:rPr>
                      <w:noProof/>
                      <w:szCs w:val="24"/>
                    </w:rPr>
                    <w:t>CCI</w:t>
                  </w:r>
                </w:p>
              </w:tc>
              <w:tc>
                <w:tcPr>
                  <w:tcW w:w="2500" w:type="pct"/>
                  <w:tcBorders>
                    <w:top w:val="single" w:sz="4" w:space="0" w:color="auto"/>
                    <w:left w:val="single" w:sz="4" w:space="0" w:color="auto"/>
                    <w:bottom w:val="single" w:sz="4" w:space="0" w:color="auto"/>
                    <w:right w:val="single" w:sz="4" w:space="0" w:color="auto"/>
                  </w:tcBorders>
                </w:tcPr>
                <w:p w:rsidR="00BD3B5F" w:rsidRPr="005C3B55" w:rsidRDefault="00BD3B5F">
                  <w:pPr>
                    <w:jc w:val="center"/>
                    <w:rPr>
                      <w:szCs w:val="24"/>
                    </w:rPr>
                  </w:pPr>
                  <w:r w:rsidRPr="005C3B55">
                    <w:rPr>
                      <w:noProof/>
                      <w:szCs w:val="24"/>
                    </w:rPr>
                    <w:t>2014SI06RDNP001</w:t>
                  </w:r>
                </w:p>
              </w:tc>
            </w:tr>
            <w:tr w:rsidR="00BD3B5F" w:rsidRPr="005C3B55">
              <w:tc>
                <w:tcPr>
                  <w:tcW w:w="2500" w:type="pct"/>
                  <w:tcBorders>
                    <w:top w:val="single" w:sz="4" w:space="0" w:color="auto"/>
                    <w:left w:val="single" w:sz="4" w:space="0" w:color="auto"/>
                    <w:bottom w:val="single" w:sz="4" w:space="0" w:color="auto"/>
                    <w:right w:val="single" w:sz="4" w:space="0" w:color="auto"/>
                  </w:tcBorders>
                </w:tcPr>
                <w:p w:rsidR="00BD3B5F" w:rsidRPr="005C3B55" w:rsidRDefault="00BD3B5F">
                  <w:pPr>
                    <w:pStyle w:val="Napis"/>
                    <w:jc w:val="center"/>
                    <w:rPr>
                      <w:szCs w:val="24"/>
                    </w:rPr>
                  </w:pPr>
                  <w:r w:rsidRPr="005C3B55">
                    <w:rPr>
                      <w:szCs w:val="24"/>
                    </w:rPr>
                    <w:t>Programme Type</w:t>
                  </w:r>
                </w:p>
              </w:tc>
              <w:tc>
                <w:tcPr>
                  <w:tcW w:w="2500" w:type="pct"/>
                  <w:tcBorders>
                    <w:top w:val="single" w:sz="4" w:space="0" w:color="auto"/>
                    <w:left w:val="single" w:sz="4" w:space="0" w:color="auto"/>
                    <w:bottom w:val="single" w:sz="4" w:space="0" w:color="auto"/>
                    <w:right w:val="single" w:sz="4" w:space="0" w:color="auto"/>
                  </w:tcBorders>
                </w:tcPr>
                <w:p w:rsidR="00BD3B5F" w:rsidRPr="005C3B55" w:rsidRDefault="00BD3B5F">
                  <w:pPr>
                    <w:jc w:val="center"/>
                    <w:rPr>
                      <w:szCs w:val="24"/>
                    </w:rPr>
                  </w:pPr>
                  <w:r w:rsidRPr="005C3B55">
                    <w:rPr>
                      <w:szCs w:val="24"/>
                    </w:rPr>
                    <w:t>Rural Development Programme</w:t>
                  </w:r>
                </w:p>
              </w:tc>
            </w:tr>
            <w:tr w:rsidR="00BD3B5F" w:rsidRPr="005C3B55">
              <w:tc>
                <w:tcPr>
                  <w:tcW w:w="2500" w:type="pct"/>
                  <w:tcBorders>
                    <w:top w:val="single" w:sz="4" w:space="0" w:color="auto"/>
                    <w:left w:val="single" w:sz="4" w:space="0" w:color="auto"/>
                    <w:bottom w:val="single" w:sz="4" w:space="0" w:color="auto"/>
                    <w:right w:val="single" w:sz="4" w:space="0" w:color="auto"/>
                  </w:tcBorders>
                </w:tcPr>
                <w:p w:rsidR="00BD3B5F" w:rsidRPr="005C3B55" w:rsidRDefault="00BD3B5F">
                  <w:pPr>
                    <w:pStyle w:val="Napis"/>
                    <w:jc w:val="center"/>
                    <w:rPr>
                      <w:szCs w:val="24"/>
                    </w:rPr>
                  </w:pPr>
                  <w:r w:rsidRPr="005C3B55">
                    <w:rPr>
                      <w:szCs w:val="24"/>
                    </w:rPr>
                    <w:t>Country</w:t>
                  </w:r>
                </w:p>
              </w:tc>
              <w:tc>
                <w:tcPr>
                  <w:tcW w:w="2500" w:type="pct"/>
                  <w:tcBorders>
                    <w:top w:val="single" w:sz="4" w:space="0" w:color="auto"/>
                    <w:left w:val="single" w:sz="4" w:space="0" w:color="auto"/>
                    <w:bottom w:val="single" w:sz="4" w:space="0" w:color="auto"/>
                    <w:right w:val="single" w:sz="4" w:space="0" w:color="auto"/>
                  </w:tcBorders>
                </w:tcPr>
                <w:p w:rsidR="00BD3B5F" w:rsidRPr="005C3B55" w:rsidRDefault="00BD3B5F">
                  <w:pPr>
                    <w:jc w:val="center"/>
                    <w:rPr>
                      <w:szCs w:val="24"/>
                    </w:rPr>
                  </w:pPr>
                  <w:r w:rsidRPr="005C3B55">
                    <w:rPr>
                      <w:noProof/>
                      <w:szCs w:val="24"/>
                    </w:rPr>
                    <w:t>Slovenia</w:t>
                  </w:r>
                </w:p>
              </w:tc>
            </w:tr>
            <w:tr w:rsidR="00BD3B5F" w:rsidRPr="005C3B55">
              <w:tc>
                <w:tcPr>
                  <w:tcW w:w="2500" w:type="pct"/>
                  <w:tcBorders>
                    <w:top w:val="single" w:sz="4" w:space="0" w:color="auto"/>
                    <w:left w:val="single" w:sz="4" w:space="0" w:color="auto"/>
                    <w:bottom w:val="single" w:sz="4" w:space="0" w:color="auto"/>
                    <w:right w:val="single" w:sz="4" w:space="0" w:color="auto"/>
                  </w:tcBorders>
                </w:tcPr>
                <w:p w:rsidR="00BD3B5F" w:rsidRPr="005C3B55" w:rsidRDefault="00BD3B5F">
                  <w:pPr>
                    <w:pStyle w:val="Napis"/>
                    <w:jc w:val="center"/>
                    <w:rPr>
                      <w:szCs w:val="24"/>
                    </w:rPr>
                  </w:pPr>
                  <w:r w:rsidRPr="005C3B55">
                    <w:rPr>
                      <w:szCs w:val="24"/>
                    </w:rPr>
                    <w:t>Region</w:t>
                  </w:r>
                </w:p>
              </w:tc>
              <w:tc>
                <w:tcPr>
                  <w:tcW w:w="2500" w:type="pct"/>
                  <w:tcBorders>
                    <w:top w:val="single" w:sz="4" w:space="0" w:color="auto"/>
                    <w:left w:val="single" w:sz="4" w:space="0" w:color="auto"/>
                    <w:bottom w:val="single" w:sz="4" w:space="0" w:color="auto"/>
                    <w:right w:val="single" w:sz="4" w:space="0" w:color="auto"/>
                  </w:tcBorders>
                </w:tcPr>
                <w:p w:rsidR="00BD3B5F" w:rsidRPr="005C3B55" w:rsidRDefault="00BD3B5F">
                  <w:pPr>
                    <w:jc w:val="center"/>
                    <w:rPr>
                      <w:szCs w:val="24"/>
                    </w:rPr>
                  </w:pPr>
                  <w:r w:rsidRPr="005C3B55">
                    <w:rPr>
                      <w:noProof/>
                      <w:szCs w:val="24"/>
                    </w:rPr>
                    <w:t>SI - National</w:t>
                  </w:r>
                </w:p>
              </w:tc>
            </w:tr>
            <w:tr w:rsidR="00BD3B5F" w:rsidRPr="005C3B55">
              <w:tc>
                <w:tcPr>
                  <w:tcW w:w="2500" w:type="pct"/>
                  <w:tcBorders>
                    <w:top w:val="single" w:sz="4" w:space="0" w:color="auto"/>
                    <w:left w:val="single" w:sz="4" w:space="0" w:color="auto"/>
                    <w:bottom w:val="single" w:sz="4" w:space="0" w:color="auto"/>
                    <w:right w:val="single" w:sz="4" w:space="0" w:color="auto"/>
                  </w:tcBorders>
                </w:tcPr>
                <w:p w:rsidR="00BD3B5F" w:rsidRPr="005C3B55" w:rsidRDefault="00BD3B5F">
                  <w:pPr>
                    <w:pStyle w:val="Napis"/>
                    <w:jc w:val="center"/>
                    <w:rPr>
                      <w:szCs w:val="24"/>
                    </w:rPr>
                  </w:pPr>
                  <w:r w:rsidRPr="005C3B55">
                    <w:rPr>
                      <w:szCs w:val="24"/>
                    </w:rPr>
                    <w:t>Programme Period</w:t>
                  </w:r>
                </w:p>
              </w:tc>
              <w:tc>
                <w:tcPr>
                  <w:tcW w:w="2500" w:type="pct"/>
                  <w:tcBorders>
                    <w:top w:val="single" w:sz="4" w:space="0" w:color="auto"/>
                    <w:left w:val="single" w:sz="4" w:space="0" w:color="auto"/>
                    <w:bottom w:val="single" w:sz="4" w:space="0" w:color="auto"/>
                    <w:right w:val="single" w:sz="4" w:space="0" w:color="auto"/>
                  </w:tcBorders>
                </w:tcPr>
                <w:p w:rsidR="00BD3B5F" w:rsidRPr="005C3B55" w:rsidRDefault="00BD3B5F">
                  <w:pPr>
                    <w:jc w:val="center"/>
                    <w:rPr>
                      <w:szCs w:val="24"/>
                    </w:rPr>
                  </w:pPr>
                  <w:r w:rsidRPr="005C3B55">
                    <w:rPr>
                      <w:szCs w:val="24"/>
                    </w:rPr>
                    <w:t>2014 - 2020</w:t>
                  </w:r>
                </w:p>
              </w:tc>
            </w:tr>
            <w:tr w:rsidR="00BD3B5F" w:rsidRPr="005C3B55">
              <w:tc>
                <w:tcPr>
                  <w:tcW w:w="2500" w:type="pct"/>
                  <w:tcBorders>
                    <w:top w:val="single" w:sz="4" w:space="0" w:color="auto"/>
                    <w:left w:val="single" w:sz="4" w:space="0" w:color="auto"/>
                    <w:bottom w:val="single" w:sz="4" w:space="0" w:color="auto"/>
                    <w:right w:val="single" w:sz="4" w:space="0" w:color="auto"/>
                  </w:tcBorders>
                </w:tcPr>
                <w:p w:rsidR="00BD3B5F" w:rsidRPr="005C3B55" w:rsidRDefault="00BD3B5F">
                  <w:pPr>
                    <w:pStyle w:val="Napis"/>
                    <w:jc w:val="center"/>
                    <w:rPr>
                      <w:szCs w:val="24"/>
                    </w:rPr>
                  </w:pPr>
                  <w:r w:rsidRPr="005C3B55">
                    <w:rPr>
                      <w:szCs w:val="24"/>
                    </w:rPr>
                    <w:t>Managing Authority</w:t>
                  </w:r>
                </w:p>
              </w:tc>
              <w:tc>
                <w:tcPr>
                  <w:tcW w:w="2500" w:type="pct"/>
                  <w:tcBorders>
                    <w:top w:val="single" w:sz="4" w:space="0" w:color="auto"/>
                    <w:left w:val="single" w:sz="4" w:space="0" w:color="auto"/>
                    <w:bottom w:val="single" w:sz="4" w:space="0" w:color="auto"/>
                    <w:right w:val="single" w:sz="4" w:space="0" w:color="auto"/>
                  </w:tcBorders>
                </w:tcPr>
                <w:p w:rsidR="00BD3B5F" w:rsidRPr="005C3B55" w:rsidRDefault="00BD3B5F">
                  <w:pPr>
                    <w:jc w:val="center"/>
                    <w:rPr>
                      <w:szCs w:val="24"/>
                    </w:rPr>
                  </w:pPr>
                  <w:r w:rsidRPr="005C3B55">
                    <w:rPr>
                      <w:szCs w:val="24"/>
                    </w:rPr>
                    <w:t>Ministry of Agriculture, Forestry and Food, Agriculture Directorate</w:t>
                  </w:r>
                </w:p>
              </w:tc>
            </w:tr>
            <w:tr w:rsidR="00BD3B5F" w:rsidRPr="005C3B55">
              <w:tc>
                <w:tcPr>
                  <w:tcW w:w="2500" w:type="pct"/>
                  <w:tcBorders>
                    <w:top w:val="single" w:sz="4" w:space="0" w:color="auto"/>
                    <w:left w:val="single" w:sz="4" w:space="0" w:color="auto"/>
                    <w:bottom w:val="single" w:sz="4" w:space="0" w:color="auto"/>
                    <w:right w:val="single" w:sz="4" w:space="0" w:color="auto"/>
                  </w:tcBorders>
                </w:tcPr>
                <w:p w:rsidR="00BD3B5F" w:rsidRPr="005C3B55" w:rsidRDefault="00BD3B5F">
                  <w:pPr>
                    <w:pStyle w:val="Napis"/>
                    <w:jc w:val="center"/>
                    <w:rPr>
                      <w:szCs w:val="24"/>
                    </w:rPr>
                  </w:pPr>
                  <w:r w:rsidRPr="005C3B55">
                    <w:rPr>
                      <w:szCs w:val="24"/>
                    </w:rPr>
                    <w:t>Version</w:t>
                  </w:r>
                </w:p>
              </w:tc>
              <w:tc>
                <w:tcPr>
                  <w:tcW w:w="2500" w:type="pct"/>
                  <w:tcBorders>
                    <w:top w:val="single" w:sz="4" w:space="0" w:color="auto"/>
                    <w:left w:val="single" w:sz="4" w:space="0" w:color="auto"/>
                    <w:bottom w:val="single" w:sz="4" w:space="0" w:color="auto"/>
                    <w:right w:val="single" w:sz="4" w:space="0" w:color="auto"/>
                  </w:tcBorders>
                </w:tcPr>
                <w:p w:rsidR="00BD3B5F" w:rsidRPr="005C3B55" w:rsidRDefault="00BD3B5F">
                  <w:pPr>
                    <w:jc w:val="center"/>
                    <w:rPr>
                      <w:szCs w:val="24"/>
                    </w:rPr>
                  </w:pPr>
                  <w:r w:rsidRPr="005C3B55">
                    <w:rPr>
                      <w:szCs w:val="24"/>
                    </w:rPr>
                    <w:t>1.3</w:t>
                  </w:r>
                </w:p>
              </w:tc>
            </w:tr>
            <w:tr w:rsidR="00BD3B5F" w:rsidRPr="005C3B55">
              <w:tc>
                <w:tcPr>
                  <w:tcW w:w="2500" w:type="pct"/>
                  <w:tcBorders>
                    <w:top w:val="single" w:sz="4" w:space="0" w:color="auto"/>
                    <w:left w:val="single" w:sz="4" w:space="0" w:color="auto"/>
                    <w:bottom w:val="single" w:sz="4" w:space="0" w:color="auto"/>
                    <w:right w:val="single" w:sz="4" w:space="0" w:color="auto"/>
                  </w:tcBorders>
                </w:tcPr>
                <w:p w:rsidR="00BD3B5F" w:rsidRPr="005C3B55" w:rsidRDefault="00BD3B5F">
                  <w:pPr>
                    <w:pStyle w:val="Napis"/>
                    <w:jc w:val="center"/>
                    <w:rPr>
                      <w:szCs w:val="24"/>
                    </w:rPr>
                  </w:pPr>
                  <w:r w:rsidRPr="005C3B55">
                    <w:rPr>
                      <w:szCs w:val="24"/>
                    </w:rPr>
                    <w:t>Version Status</w:t>
                  </w:r>
                </w:p>
              </w:tc>
              <w:tc>
                <w:tcPr>
                  <w:tcW w:w="2500" w:type="pct"/>
                  <w:tcBorders>
                    <w:top w:val="single" w:sz="4" w:space="0" w:color="auto"/>
                    <w:left w:val="single" w:sz="4" w:space="0" w:color="auto"/>
                    <w:bottom w:val="single" w:sz="4" w:space="0" w:color="auto"/>
                    <w:right w:val="single" w:sz="4" w:space="0" w:color="auto"/>
                  </w:tcBorders>
                </w:tcPr>
                <w:p w:rsidR="00BD3B5F" w:rsidRPr="005C3B55" w:rsidRDefault="00BD3B5F">
                  <w:pPr>
                    <w:jc w:val="center"/>
                    <w:rPr>
                      <w:szCs w:val="24"/>
                    </w:rPr>
                  </w:pPr>
                  <w:r w:rsidRPr="005C3B55">
                    <w:rPr>
                      <w:szCs w:val="24"/>
                    </w:rPr>
                    <w:t>Decision was adopted.</w:t>
                  </w:r>
                </w:p>
              </w:tc>
            </w:tr>
            <w:tr w:rsidR="00BD3B5F" w:rsidRPr="005C3B55">
              <w:tc>
                <w:tcPr>
                  <w:tcW w:w="2500" w:type="pct"/>
                  <w:tcBorders>
                    <w:top w:val="single" w:sz="4" w:space="0" w:color="auto"/>
                    <w:left w:val="single" w:sz="4" w:space="0" w:color="auto"/>
                    <w:bottom w:val="single" w:sz="4" w:space="0" w:color="auto"/>
                    <w:right w:val="single" w:sz="4" w:space="0" w:color="auto"/>
                  </w:tcBorders>
                </w:tcPr>
                <w:p w:rsidR="00BD3B5F" w:rsidRPr="005C3B55" w:rsidRDefault="00BD3B5F">
                  <w:pPr>
                    <w:pStyle w:val="Napis"/>
                    <w:jc w:val="center"/>
                    <w:rPr>
                      <w:szCs w:val="24"/>
                    </w:rPr>
                  </w:pPr>
                  <w:r w:rsidRPr="005C3B55">
                    <w:rPr>
                      <w:szCs w:val="24"/>
                    </w:rPr>
                    <w:t>Date of the Last Change</w:t>
                  </w:r>
                </w:p>
              </w:tc>
              <w:tc>
                <w:tcPr>
                  <w:tcW w:w="2500" w:type="pct"/>
                  <w:tcBorders>
                    <w:top w:val="single" w:sz="4" w:space="0" w:color="auto"/>
                    <w:left w:val="single" w:sz="4" w:space="0" w:color="auto"/>
                    <w:bottom w:val="single" w:sz="4" w:space="0" w:color="auto"/>
                    <w:right w:val="single" w:sz="4" w:space="0" w:color="auto"/>
                  </w:tcBorders>
                </w:tcPr>
                <w:p w:rsidR="00BD3B5F" w:rsidRPr="005C3B55" w:rsidRDefault="00BD3B5F">
                  <w:pPr>
                    <w:jc w:val="center"/>
                    <w:rPr>
                      <w:szCs w:val="24"/>
                    </w:rPr>
                  </w:pPr>
                  <w:r w:rsidRPr="005C3B55">
                    <w:rPr>
                      <w:noProof/>
                      <w:szCs w:val="24"/>
                    </w:rPr>
                    <w:t>12 February 2015 - 12:47:51 CET</w:t>
                  </w:r>
                </w:p>
              </w:tc>
            </w:tr>
          </w:tbl>
          <w:p w:rsidR="00BD3B5F" w:rsidRPr="005C3B55" w:rsidRDefault="00BD3B5F">
            <w:pPr>
              <w:pStyle w:val="Naslov"/>
              <w:rPr>
                <w:szCs w:val="24"/>
              </w:rPr>
            </w:pPr>
          </w:p>
        </w:tc>
      </w:tr>
    </w:tbl>
    <w:p w:rsidR="00BD3B5F" w:rsidRPr="005C3B55" w:rsidRDefault="00BD3B5F">
      <w:pPr>
        <w:rPr>
          <w:szCs w:val="24"/>
        </w:rPr>
        <w:sectPr w:rsidR="00BD3B5F" w:rsidRPr="005C3B55">
          <w:footerReference w:type="default" r:id="rId9"/>
          <w:headerReference w:type="first" r:id="rId10"/>
          <w:footerReference w:type="first" r:id="rId11"/>
          <w:pgSz w:w="12240" w:h="15840"/>
          <w:pgMar w:top="900" w:right="900" w:bottom="900" w:left="900" w:header="708" w:footer="708" w:gutter="0"/>
          <w:pgNumType w:start="1"/>
          <w:cols w:space="708"/>
          <w:vAlign w:val="both"/>
        </w:sectPr>
      </w:pPr>
    </w:p>
    <w:p w:rsidR="00BD3B5F" w:rsidRPr="005C3B55" w:rsidRDefault="00BD3B5F">
      <w:pPr>
        <w:jc w:val="center"/>
        <w:rPr>
          <w:b/>
          <w:sz w:val="32"/>
          <w:szCs w:val="24"/>
        </w:rPr>
      </w:pPr>
      <w:r w:rsidRPr="005C3B55">
        <w:rPr>
          <w:b/>
          <w:noProof/>
          <w:sz w:val="32"/>
          <w:szCs w:val="24"/>
        </w:rPr>
        <w:lastRenderedPageBreak/>
        <w:t>Table of contents</w:t>
      </w:r>
    </w:p>
    <w:p w:rsidR="00BD3B5F" w:rsidRPr="005C3B55" w:rsidRDefault="00BD3B5F">
      <w:pPr>
        <w:jc w:val="center"/>
        <w:rPr>
          <w:b/>
          <w:sz w:val="32"/>
          <w:szCs w:val="24"/>
        </w:rPr>
      </w:pPr>
    </w:p>
    <w:p w:rsidR="0014388E" w:rsidRDefault="00BD3B5F">
      <w:pPr>
        <w:pStyle w:val="Kazalovsebine1"/>
        <w:rPr>
          <w:rFonts w:eastAsia="SimSun"/>
          <w:caps w:val="0"/>
          <w:noProof/>
          <w:snapToGrid/>
          <w:szCs w:val="24"/>
          <w:lang w:val="sl-SI"/>
        </w:rPr>
      </w:pPr>
      <w:r w:rsidRPr="005C3B55">
        <w:rPr>
          <w:szCs w:val="24"/>
        </w:rPr>
        <w:fldChar w:fldCharType="begin"/>
      </w:r>
      <w:r w:rsidRPr="005C3B55">
        <w:rPr>
          <w:szCs w:val="24"/>
        </w:rPr>
        <w:instrText>TOC \o "1-3" \h \z \u</w:instrText>
      </w:r>
      <w:r w:rsidRPr="005C3B55">
        <w:rPr>
          <w:szCs w:val="24"/>
        </w:rPr>
        <w:fldChar w:fldCharType="separate"/>
      </w:r>
      <w:hyperlink w:anchor="_Toc416192459" w:history="1">
        <w:r w:rsidR="0014388E" w:rsidRPr="00CF0C30">
          <w:rPr>
            <w:rStyle w:val="Hiperpovezava"/>
            <w:noProof/>
          </w:rPr>
          <w:t>1. Title of the rural development programme</w:t>
        </w:r>
        <w:r w:rsidR="0014388E">
          <w:rPr>
            <w:noProof/>
            <w:webHidden/>
          </w:rPr>
          <w:tab/>
        </w:r>
        <w:r w:rsidR="0014388E">
          <w:rPr>
            <w:noProof/>
            <w:webHidden/>
          </w:rPr>
          <w:fldChar w:fldCharType="begin"/>
        </w:r>
        <w:r w:rsidR="0014388E">
          <w:rPr>
            <w:noProof/>
            <w:webHidden/>
          </w:rPr>
          <w:instrText xml:space="preserve"> PAGEREF _Toc416192459 \h </w:instrText>
        </w:r>
        <w:r w:rsidR="0014388E">
          <w:rPr>
            <w:noProof/>
          </w:rPr>
        </w:r>
        <w:r w:rsidR="0014388E">
          <w:rPr>
            <w:noProof/>
            <w:webHidden/>
          </w:rPr>
          <w:fldChar w:fldCharType="separate"/>
        </w:r>
        <w:r w:rsidR="0014388E">
          <w:rPr>
            <w:noProof/>
            <w:webHidden/>
          </w:rPr>
          <w:t>11</w:t>
        </w:r>
        <w:r w:rsidR="0014388E">
          <w:rPr>
            <w:noProof/>
            <w:webHidden/>
          </w:rPr>
          <w:fldChar w:fldCharType="end"/>
        </w:r>
      </w:hyperlink>
    </w:p>
    <w:p w:rsidR="0014388E" w:rsidRDefault="0014388E">
      <w:pPr>
        <w:pStyle w:val="Kazalovsebine1"/>
        <w:rPr>
          <w:rFonts w:eastAsia="SimSun"/>
          <w:caps w:val="0"/>
          <w:noProof/>
          <w:snapToGrid/>
          <w:szCs w:val="24"/>
          <w:lang w:val="sl-SI"/>
        </w:rPr>
      </w:pPr>
      <w:hyperlink w:anchor="_Toc416192460" w:history="1">
        <w:r w:rsidRPr="00CF0C30">
          <w:rPr>
            <w:rStyle w:val="Hiperpovezava"/>
            <w:noProof/>
          </w:rPr>
          <w:t>2. Member State or administrative region</w:t>
        </w:r>
        <w:r>
          <w:rPr>
            <w:noProof/>
            <w:webHidden/>
          </w:rPr>
          <w:tab/>
        </w:r>
        <w:r>
          <w:rPr>
            <w:noProof/>
            <w:webHidden/>
          </w:rPr>
          <w:fldChar w:fldCharType="begin"/>
        </w:r>
        <w:r>
          <w:rPr>
            <w:noProof/>
            <w:webHidden/>
          </w:rPr>
          <w:instrText xml:space="preserve"> PAGEREF _Toc416192460 \h </w:instrText>
        </w:r>
        <w:r>
          <w:rPr>
            <w:noProof/>
          </w:rPr>
        </w:r>
        <w:r>
          <w:rPr>
            <w:noProof/>
            <w:webHidden/>
          </w:rPr>
          <w:fldChar w:fldCharType="separate"/>
        </w:r>
        <w:r>
          <w:rPr>
            <w:noProof/>
            <w:webHidden/>
          </w:rPr>
          <w:t>11</w:t>
        </w:r>
        <w:r>
          <w:rPr>
            <w:noProof/>
            <w:webHidden/>
          </w:rPr>
          <w:fldChar w:fldCharType="end"/>
        </w:r>
      </w:hyperlink>
    </w:p>
    <w:p w:rsidR="0014388E" w:rsidRDefault="0014388E">
      <w:pPr>
        <w:pStyle w:val="Kazalovsebine2"/>
        <w:rPr>
          <w:rFonts w:eastAsia="SimSun"/>
          <w:noProof/>
          <w:snapToGrid/>
          <w:szCs w:val="24"/>
          <w:lang w:val="sl-SI"/>
        </w:rPr>
      </w:pPr>
      <w:hyperlink w:anchor="_Toc416192461" w:history="1">
        <w:r w:rsidRPr="00CF0C30">
          <w:rPr>
            <w:rStyle w:val="Hiperpovezava"/>
            <w:noProof/>
          </w:rPr>
          <w:t>2.1. Geographic area included in the programme</w:t>
        </w:r>
        <w:r>
          <w:rPr>
            <w:noProof/>
            <w:webHidden/>
          </w:rPr>
          <w:tab/>
        </w:r>
        <w:r>
          <w:rPr>
            <w:noProof/>
            <w:webHidden/>
          </w:rPr>
          <w:fldChar w:fldCharType="begin"/>
        </w:r>
        <w:r>
          <w:rPr>
            <w:noProof/>
            <w:webHidden/>
          </w:rPr>
          <w:instrText xml:space="preserve"> PAGEREF _Toc416192461 \h </w:instrText>
        </w:r>
        <w:r>
          <w:rPr>
            <w:noProof/>
          </w:rPr>
        </w:r>
        <w:r>
          <w:rPr>
            <w:noProof/>
            <w:webHidden/>
          </w:rPr>
          <w:fldChar w:fldCharType="separate"/>
        </w:r>
        <w:r>
          <w:rPr>
            <w:noProof/>
            <w:webHidden/>
          </w:rPr>
          <w:t>11</w:t>
        </w:r>
        <w:r>
          <w:rPr>
            <w:noProof/>
            <w:webHidden/>
          </w:rPr>
          <w:fldChar w:fldCharType="end"/>
        </w:r>
      </w:hyperlink>
    </w:p>
    <w:p w:rsidR="0014388E" w:rsidRDefault="0014388E">
      <w:pPr>
        <w:pStyle w:val="Kazalovsebine2"/>
        <w:rPr>
          <w:rFonts w:eastAsia="SimSun"/>
          <w:noProof/>
          <w:snapToGrid/>
          <w:szCs w:val="24"/>
          <w:lang w:val="sl-SI"/>
        </w:rPr>
      </w:pPr>
      <w:hyperlink w:anchor="_Toc416192462" w:history="1">
        <w:r w:rsidRPr="00CF0C30">
          <w:rPr>
            <w:rStyle w:val="Hiperpovezava"/>
            <w:noProof/>
          </w:rPr>
          <w:t>2.2. Classification of the region</w:t>
        </w:r>
        <w:r>
          <w:rPr>
            <w:noProof/>
            <w:webHidden/>
          </w:rPr>
          <w:tab/>
        </w:r>
        <w:r>
          <w:rPr>
            <w:noProof/>
            <w:webHidden/>
          </w:rPr>
          <w:fldChar w:fldCharType="begin"/>
        </w:r>
        <w:r>
          <w:rPr>
            <w:noProof/>
            <w:webHidden/>
          </w:rPr>
          <w:instrText xml:space="preserve"> PAGEREF _Toc416192462 \h </w:instrText>
        </w:r>
        <w:r>
          <w:rPr>
            <w:noProof/>
          </w:rPr>
        </w:r>
        <w:r>
          <w:rPr>
            <w:noProof/>
            <w:webHidden/>
          </w:rPr>
          <w:fldChar w:fldCharType="separate"/>
        </w:r>
        <w:r>
          <w:rPr>
            <w:noProof/>
            <w:webHidden/>
          </w:rPr>
          <w:t>11</w:t>
        </w:r>
        <w:r>
          <w:rPr>
            <w:noProof/>
            <w:webHidden/>
          </w:rPr>
          <w:fldChar w:fldCharType="end"/>
        </w:r>
      </w:hyperlink>
    </w:p>
    <w:p w:rsidR="0014388E" w:rsidRDefault="0014388E">
      <w:pPr>
        <w:pStyle w:val="Kazalovsebine1"/>
        <w:rPr>
          <w:rFonts w:eastAsia="SimSun"/>
          <w:caps w:val="0"/>
          <w:noProof/>
          <w:snapToGrid/>
          <w:szCs w:val="24"/>
          <w:lang w:val="sl-SI"/>
        </w:rPr>
      </w:pPr>
      <w:hyperlink w:anchor="_Toc416192463" w:history="1">
        <w:r w:rsidRPr="00CF0C30">
          <w:rPr>
            <w:rStyle w:val="Hiperpovezava"/>
            <w:noProof/>
          </w:rPr>
          <w:t>3. Ex-ante evaluation</w:t>
        </w:r>
        <w:r>
          <w:rPr>
            <w:noProof/>
            <w:webHidden/>
          </w:rPr>
          <w:tab/>
        </w:r>
        <w:r>
          <w:rPr>
            <w:noProof/>
            <w:webHidden/>
          </w:rPr>
          <w:fldChar w:fldCharType="begin"/>
        </w:r>
        <w:r>
          <w:rPr>
            <w:noProof/>
            <w:webHidden/>
          </w:rPr>
          <w:instrText xml:space="preserve"> PAGEREF _Toc416192463 \h </w:instrText>
        </w:r>
        <w:r>
          <w:rPr>
            <w:noProof/>
          </w:rPr>
        </w:r>
        <w:r>
          <w:rPr>
            <w:noProof/>
            <w:webHidden/>
          </w:rPr>
          <w:fldChar w:fldCharType="separate"/>
        </w:r>
        <w:r>
          <w:rPr>
            <w:noProof/>
            <w:webHidden/>
          </w:rPr>
          <w:t>13</w:t>
        </w:r>
        <w:r>
          <w:rPr>
            <w:noProof/>
            <w:webHidden/>
          </w:rPr>
          <w:fldChar w:fldCharType="end"/>
        </w:r>
      </w:hyperlink>
    </w:p>
    <w:p w:rsidR="0014388E" w:rsidRDefault="0014388E">
      <w:pPr>
        <w:pStyle w:val="Kazalovsebine2"/>
        <w:rPr>
          <w:rFonts w:eastAsia="SimSun"/>
          <w:noProof/>
          <w:snapToGrid/>
          <w:szCs w:val="24"/>
          <w:lang w:val="sl-SI"/>
        </w:rPr>
      </w:pPr>
      <w:hyperlink w:anchor="_Toc416192464" w:history="1">
        <w:r w:rsidRPr="00CF0C30">
          <w:rPr>
            <w:rStyle w:val="Hiperpovezava"/>
            <w:noProof/>
          </w:rPr>
          <w:t>3.1. Description of the procedure, including the timetable of the main events and interim reports referring to the key phases in the development of the Rural Development Programme</w:t>
        </w:r>
        <w:r>
          <w:rPr>
            <w:noProof/>
            <w:webHidden/>
          </w:rPr>
          <w:tab/>
        </w:r>
        <w:r>
          <w:rPr>
            <w:noProof/>
            <w:webHidden/>
          </w:rPr>
          <w:fldChar w:fldCharType="begin"/>
        </w:r>
        <w:r>
          <w:rPr>
            <w:noProof/>
            <w:webHidden/>
          </w:rPr>
          <w:instrText xml:space="preserve"> PAGEREF _Toc416192464 \h </w:instrText>
        </w:r>
        <w:r>
          <w:rPr>
            <w:noProof/>
          </w:rPr>
        </w:r>
        <w:r>
          <w:rPr>
            <w:noProof/>
            <w:webHidden/>
          </w:rPr>
          <w:fldChar w:fldCharType="separate"/>
        </w:r>
        <w:r>
          <w:rPr>
            <w:noProof/>
            <w:webHidden/>
          </w:rPr>
          <w:t>13</w:t>
        </w:r>
        <w:r>
          <w:rPr>
            <w:noProof/>
            <w:webHidden/>
          </w:rPr>
          <w:fldChar w:fldCharType="end"/>
        </w:r>
      </w:hyperlink>
    </w:p>
    <w:p w:rsidR="0014388E" w:rsidRDefault="0014388E">
      <w:pPr>
        <w:pStyle w:val="Kazalovsebine2"/>
        <w:rPr>
          <w:rFonts w:eastAsia="SimSun"/>
          <w:noProof/>
          <w:snapToGrid/>
          <w:szCs w:val="24"/>
          <w:lang w:val="sl-SI"/>
        </w:rPr>
      </w:pPr>
      <w:hyperlink w:anchor="_Toc416192465" w:history="1">
        <w:r w:rsidRPr="00CF0C30">
          <w:rPr>
            <w:rStyle w:val="Hiperpovezava"/>
            <w:noProof/>
          </w:rPr>
          <w:t>3.2. Structured table that includes recommendations from the ex-ante evaluation and the method of their treatment</w:t>
        </w:r>
        <w:r>
          <w:rPr>
            <w:noProof/>
            <w:webHidden/>
          </w:rPr>
          <w:tab/>
        </w:r>
        <w:r>
          <w:rPr>
            <w:noProof/>
            <w:webHidden/>
          </w:rPr>
          <w:fldChar w:fldCharType="begin"/>
        </w:r>
        <w:r>
          <w:rPr>
            <w:noProof/>
            <w:webHidden/>
          </w:rPr>
          <w:instrText xml:space="preserve"> PAGEREF _Toc416192465 \h </w:instrText>
        </w:r>
        <w:r>
          <w:rPr>
            <w:noProof/>
          </w:rPr>
        </w:r>
        <w:r>
          <w:rPr>
            <w:noProof/>
            <w:webHidden/>
          </w:rPr>
          <w:fldChar w:fldCharType="separate"/>
        </w:r>
        <w:r>
          <w:rPr>
            <w:noProof/>
            <w:webHidden/>
          </w:rPr>
          <w:t>14</w:t>
        </w:r>
        <w:r>
          <w:rPr>
            <w:noProof/>
            <w:webHidden/>
          </w:rPr>
          <w:fldChar w:fldCharType="end"/>
        </w:r>
      </w:hyperlink>
    </w:p>
    <w:p w:rsidR="0014388E" w:rsidRDefault="0014388E">
      <w:pPr>
        <w:pStyle w:val="Kazalovsebine3"/>
        <w:rPr>
          <w:rFonts w:eastAsia="SimSun"/>
          <w:noProof/>
          <w:snapToGrid/>
          <w:szCs w:val="24"/>
          <w:lang w:val="sl-SI"/>
        </w:rPr>
      </w:pPr>
      <w:hyperlink w:anchor="_Toc416192466" w:history="1">
        <w:r w:rsidRPr="00CF0C30">
          <w:rPr>
            <w:rStyle w:val="Hiperpovezava"/>
            <w:noProof/>
          </w:rPr>
          <w:t>3.2.1. CLLD – cooperation among funds</w:t>
        </w:r>
        <w:r>
          <w:rPr>
            <w:noProof/>
            <w:webHidden/>
          </w:rPr>
          <w:tab/>
        </w:r>
        <w:r>
          <w:rPr>
            <w:noProof/>
            <w:webHidden/>
          </w:rPr>
          <w:fldChar w:fldCharType="begin"/>
        </w:r>
        <w:r>
          <w:rPr>
            <w:noProof/>
            <w:webHidden/>
          </w:rPr>
          <w:instrText xml:space="preserve"> PAGEREF _Toc416192466 \h </w:instrText>
        </w:r>
        <w:r>
          <w:rPr>
            <w:noProof/>
          </w:rPr>
        </w:r>
        <w:r>
          <w:rPr>
            <w:noProof/>
            <w:webHidden/>
          </w:rPr>
          <w:fldChar w:fldCharType="separate"/>
        </w:r>
        <w:r>
          <w:rPr>
            <w:noProof/>
            <w:webHidden/>
          </w:rPr>
          <w:t>16</w:t>
        </w:r>
        <w:r>
          <w:rPr>
            <w:noProof/>
            <w:webHidden/>
          </w:rPr>
          <w:fldChar w:fldCharType="end"/>
        </w:r>
      </w:hyperlink>
    </w:p>
    <w:p w:rsidR="0014388E" w:rsidRDefault="0014388E">
      <w:pPr>
        <w:pStyle w:val="Kazalovsebine3"/>
        <w:rPr>
          <w:rFonts w:eastAsia="SimSun"/>
          <w:noProof/>
          <w:snapToGrid/>
          <w:szCs w:val="24"/>
          <w:lang w:val="sl-SI"/>
        </w:rPr>
      </w:pPr>
      <w:hyperlink w:anchor="_Toc416192467" w:history="1">
        <w:r w:rsidRPr="00CF0C30">
          <w:rPr>
            <w:rStyle w:val="Hiperpovezava"/>
            <w:noProof/>
          </w:rPr>
          <w:t>3.2.2. Accessibility of rural areas</w:t>
        </w:r>
        <w:r>
          <w:rPr>
            <w:noProof/>
            <w:webHidden/>
          </w:rPr>
          <w:tab/>
        </w:r>
        <w:r>
          <w:rPr>
            <w:noProof/>
            <w:webHidden/>
          </w:rPr>
          <w:fldChar w:fldCharType="begin"/>
        </w:r>
        <w:r>
          <w:rPr>
            <w:noProof/>
            <w:webHidden/>
          </w:rPr>
          <w:instrText xml:space="preserve"> PAGEREF _Toc416192467 \h </w:instrText>
        </w:r>
        <w:r>
          <w:rPr>
            <w:noProof/>
          </w:rPr>
        </w:r>
        <w:r>
          <w:rPr>
            <w:noProof/>
            <w:webHidden/>
          </w:rPr>
          <w:fldChar w:fldCharType="separate"/>
        </w:r>
        <w:r>
          <w:rPr>
            <w:noProof/>
            <w:webHidden/>
          </w:rPr>
          <w:t>16</w:t>
        </w:r>
        <w:r>
          <w:rPr>
            <w:noProof/>
            <w:webHidden/>
          </w:rPr>
          <w:fldChar w:fldCharType="end"/>
        </w:r>
      </w:hyperlink>
    </w:p>
    <w:p w:rsidR="0014388E" w:rsidRDefault="0014388E">
      <w:pPr>
        <w:pStyle w:val="Kazalovsebine3"/>
        <w:rPr>
          <w:rFonts w:eastAsia="SimSun"/>
          <w:noProof/>
          <w:snapToGrid/>
          <w:szCs w:val="24"/>
          <w:lang w:val="sl-SI"/>
        </w:rPr>
      </w:pPr>
      <w:hyperlink w:anchor="_Toc416192468" w:history="1">
        <w:r w:rsidRPr="00CF0C30">
          <w:rPr>
            <w:rStyle w:val="Hiperpovezava"/>
            <w:noProof/>
          </w:rPr>
          <w:t>3.2.3. Financial instruments</w:t>
        </w:r>
        <w:r>
          <w:rPr>
            <w:noProof/>
            <w:webHidden/>
          </w:rPr>
          <w:tab/>
        </w:r>
        <w:r>
          <w:rPr>
            <w:noProof/>
            <w:webHidden/>
          </w:rPr>
          <w:fldChar w:fldCharType="begin"/>
        </w:r>
        <w:r>
          <w:rPr>
            <w:noProof/>
            <w:webHidden/>
          </w:rPr>
          <w:instrText xml:space="preserve"> PAGEREF _Toc416192468 \h </w:instrText>
        </w:r>
        <w:r>
          <w:rPr>
            <w:noProof/>
          </w:rPr>
        </w:r>
        <w:r>
          <w:rPr>
            <w:noProof/>
            <w:webHidden/>
          </w:rPr>
          <w:fldChar w:fldCharType="separate"/>
        </w:r>
        <w:r>
          <w:rPr>
            <w:noProof/>
            <w:webHidden/>
          </w:rPr>
          <w:t>17</w:t>
        </w:r>
        <w:r>
          <w:rPr>
            <w:noProof/>
            <w:webHidden/>
          </w:rPr>
          <w:fldChar w:fldCharType="end"/>
        </w:r>
      </w:hyperlink>
    </w:p>
    <w:p w:rsidR="0014388E" w:rsidRDefault="0014388E">
      <w:pPr>
        <w:pStyle w:val="Kazalovsebine3"/>
        <w:rPr>
          <w:rFonts w:eastAsia="SimSun"/>
          <w:noProof/>
          <w:snapToGrid/>
          <w:szCs w:val="24"/>
          <w:lang w:val="sl-SI"/>
        </w:rPr>
      </w:pPr>
      <w:hyperlink w:anchor="_Toc416192469" w:history="1">
        <w:r w:rsidRPr="00CF0C30">
          <w:rPr>
            <w:rStyle w:val="Hiperpovezava"/>
            <w:noProof/>
          </w:rPr>
          <w:t>3.2.4. Geographic orientation of certain schemes and requirements from measure M10</w:t>
        </w:r>
        <w:r>
          <w:rPr>
            <w:noProof/>
            <w:webHidden/>
          </w:rPr>
          <w:tab/>
        </w:r>
        <w:r>
          <w:rPr>
            <w:noProof/>
            <w:webHidden/>
          </w:rPr>
          <w:fldChar w:fldCharType="begin"/>
        </w:r>
        <w:r>
          <w:rPr>
            <w:noProof/>
            <w:webHidden/>
          </w:rPr>
          <w:instrText xml:space="preserve"> PAGEREF _Toc416192469 \h </w:instrText>
        </w:r>
        <w:r>
          <w:rPr>
            <w:noProof/>
          </w:rPr>
        </w:r>
        <w:r>
          <w:rPr>
            <w:noProof/>
            <w:webHidden/>
          </w:rPr>
          <w:fldChar w:fldCharType="separate"/>
        </w:r>
        <w:r>
          <w:rPr>
            <w:noProof/>
            <w:webHidden/>
          </w:rPr>
          <w:t>17</w:t>
        </w:r>
        <w:r>
          <w:rPr>
            <w:noProof/>
            <w:webHidden/>
          </w:rPr>
          <w:fldChar w:fldCharType="end"/>
        </w:r>
      </w:hyperlink>
    </w:p>
    <w:p w:rsidR="0014388E" w:rsidRDefault="0014388E">
      <w:pPr>
        <w:pStyle w:val="Kazalovsebine3"/>
        <w:rPr>
          <w:rFonts w:eastAsia="SimSun"/>
          <w:noProof/>
          <w:snapToGrid/>
          <w:szCs w:val="24"/>
          <w:lang w:val="sl-SI"/>
        </w:rPr>
      </w:pPr>
      <w:hyperlink w:anchor="_Toc416192470" w:history="1">
        <w:r w:rsidRPr="00CF0C30">
          <w:rPr>
            <w:rStyle w:val="Hiperpovezava"/>
            <w:noProof/>
          </w:rPr>
          <w:t>3.2.5. Integrated planning of farm development</w:t>
        </w:r>
        <w:r>
          <w:rPr>
            <w:noProof/>
            <w:webHidden/>
          </w:rPr>
          <w:tab/>
        </w:r>
        <w:r>
          <w:rPr>
            <w:noProof/>
            <w:webHidden/>
          </w:rPr>
          <w:fldChar w:fldCharType="begin"/>
        </w:r>
        <w:r>
          <w:rPr>
            <w:noProof/>
            <w:webHidden/>
          </w:rPr>
          <w:instrText xml:space="preserve"> PAGEREF _Toc416192470 \h </w:instrText>
        </w:r>
        <w:r>
          <w:rPr>
            <w:noProof/>
          </w:rPr>
        </w:r>
        <w:r>
          <w:rPr>
            <w:noProof/>
            <w:webHidden/>
          </w:rPr>
          <w:fldChar w:fldCharType="separate"/>
        </w:r>
        <w:r>
          <w:rPr>
            <w:noProof/>
            <w:webHidden/>
          </w:rPr>
          <w:t>18</w:t>
        </w:r>
        <w:r>
          <w:rPr>
            <w:noProof/>
            <w:webHidden/>
          </w:rPr>
          <w:fldChar w:fldCharType="end"/>
        </w:r>
      </w:hyperlink>
    </w:p>
    <w:p w:rsidR="0014388E" w:rsidRDefault="0014388E">
      <w:pPr>
        <w:pStyle w:val="Kazalovsebine3"/>
        <w:rPr>
          <w:rFonts w:eastAsia="SimSun"/>
          <w:noProof/>
          <w:snapToGrid/>
          <w:szCs w:val="24"/>
          <w:lang w:val="sl-SI"/>
        </w:rPr>
      </w:pPr>
      <w:hyperlink w:anchor="_Toc416192471" w:history="1">
        <w:r w:rsidRPr="00CF0C30">
          <w:rPr>
            <w:rStyle w:val="Hiperpovezava"/>
            <w:noProof/>
          </w:rPr>
          <w:t>3.2.6. Selection of result and impact indicators, formation of the procedure for data collection</w:t>
        </w:r>
        <w:r>
          <w:rPr>
            <w:noProof/>
            <w:webHidden/>
          </w:rPr>
          <w:tab/>
        </w:r>
        <w:r>
          <w:rPr>
            <w:noProof/>
            <w:webHidden/>
          </w:rPr>
          <w:fldChar w:fldCharType="begin"/>
        </w:r>
        <w:r>
          <w:rPr>
            <w:noProof/>
            <w:webHidden/>
          </w:rPr>
          <w:instrText xml:space="preserve"> PAGEREF _Toc416192471 \h </w:instrText>
        </w:r>
        <w:r>
          <w:rPr>
            <w:noProof/>
          </w:rPr>
        </w:r>
        <w:r>
          <w:rPr>
            <w:noProof/>
            <w:webHidden/>
          </w:rPr>
          <w:fldChar w:fldCharType="separate"/>
        </w:r>
        <w:r>
          <w:rPr>
            <w:noProof/>
            <w:webHidden/>
          </w:rPr>
          <w:t>19</w:t>
        </w:r>
        <w:r>
          <w:rPr>
            <w:noProof/>
            <w:webHidden/>
          </w:rPr>
          <w:fldChar w:fldCharType="end"/>
        </w:r>
      </w:hyperlink>
    </w:p>
    <w:p w:rsidR="0014388E" w:rsidRDefault="0014388E">
      <w:pPr>
        <w:pStyle w:val="Kazalovsebine3"/>
        <w:rPr>
          <w:rFonts w:eastAsia="SimSun"/>
          <w:noProof/>
          <w:snapToGrid/>
          <w:szCs w:val="24"/>
          <w:lang w:val="sl-SI"/>
        </w:rPr>
      </w:pPr>
      <w:hyperlink w:anchor="_Toc416192472" w:history="1">
        <w:r w:rsidRPr="00CF0C30">
          <w:rPr>
            <w:rStyle w:val="Hiperpovezava"/>
            <w:noProof/>
          </w:rPr>
          <w:t>3.2.7. Complexity of data</w:t>
        </w:r>
        <w:r>
          <w:rPr>
            <w:noProof/>
            <w:webHidden/>
          </w:rPr>
          <w:tab/>
        </w:r>
        <w:r>
          <w:rPr>
            <w:noProof/>
            <w:webHidden/>
          </w:rPr>
          <w:fldChar w:fldCharType="begin"/>
        </w:r>
        <w:r>
          <w:rPr>
            <w:noProof/>
            <w:webHidden/>
          </w:rPr>
          <w:instrText xml:space="preserve"> PAGEREF _Toc416192472 \h </w:instrText>
        </w:r>
        <w:r>
          <w:rPr>
            <w:noProof/>
          </w:rPr>
        </w:r>
        <w:r>
          <w:rPr>
            <w:noProof/>
            <w:webHidden/>
          </w:rPr>
          <w:fldChar w:fldCharType="separate"/>
        </w:r>
        <w:r>
          <w:rPr>
            <w:noProof/>
            <w:webHidden/>
          </w:rPr>
          <w:t>19</w:t>
        </w:r>
        <w:r>
          <w:rPr>
            <w:noProof/>
            <w:webHidden/>
          </w:rPr>
          <w:fldChar w:fldCharType="end"/>
        </w:r>
      </w:hyperlink>
    </w:p>
    <w:p w:rsidR="0014388E" w:rsidRDefault="0014388E">
      <w:pPr>
        <w:pStyle w:val="Kazalovsebine3"/>
        <w:rPr>
          <w:rFonts w:eastAsia="SimSun"/>
          <w:noProof/>
          <w:snapToGrid/>
          <w:szCs w:val="24"/>
          <w:lang w:val="sl-SI"/>
        </w:rPr>
      </w:pPr>
      <w:hyperlink w:anchor="_Toc416192473" w:history="1">
        <w:r w:rsidRPr="00CF0C30">
          <w:rPr>
            <w:rStyle w:val="Hiperpovezava"/>
            <w:noProof/>
          </w:rPr>
          <w:t>3.2.8. Criteria for the conservation of nature for the selection of projects in measures M16 and M19</w:t>
        </w:r>
        <w:r>
          <w:rPr>
            <w:noProof/>
            <w:webHidden/>
          </w:rPr>
          <w:tab/>
        </w:r>
        <w:r>
          <w:rPr>
            <w:noProof/>
            <w:webHidden/>
          </w:rPr>
          <w:fldChar w:fldCharType="begin"/>
        </w:r>
        <w:r>
          <w:rPr>
            <w:noProof/>
            <w:webHidden/>
          </w:rPr>
          <w:instrText xml:space="preserve"> PAGEREF _Toc416192473 \h </w:instrText>
        </w:r>
        <w:r>
          <w:rPr>
            <w:noProof/>
          </w:rPr>
        </w:r>
        <w:r>
          <w:rPr>
            <w:noProof/>
            <w:webHidden/>
          </w:rPr>
          <w:fldChar w:fldCharType="separate"/>
        </w:r>
        <w:r>
          <w:rPr>
            <w:noProof/>
            <w:webHidden/>
          </w:rPr>
          <w:t>20</w:t>
        </w:r>
        <w:r>
          <w:rPr>
            <w:noProof/>
            <w:webHidden/>
          </w:rPr>
          <w:fldChar w:fldCharType="end"/>
        </w:r>
      </w:hyperlink>
    </w:p>
    <w:p w:rsidR="0014388E" w:rsidRDefault="0014388E">
      <w:pPr>
        <w:pStyle w:val="Kazalovsebine3"/>
        <w:rPr>
          <w:rFonts w:eastAsia="SimSun"/>
          <w:noProof/>
          <w:snapToGrid/>
          <w:szCs w:val="24"/>
          <w:lang w:val="sl-SI"/>
        </w:rPr>
      </w:pPr>
      <w:hyperlink w:anchor="_Toc416192474" w:history="1">
        <w:r w:rsidRPr="00CF0C30">
          <w:rPr>
            <w:rStyle w:val="Hiperpovezava"/>
            <w:noProof/>
          </w:rPr>
          <w:t>3.2.9. Integration measurement</w:t>
        </w:r>
        <w:r>
          <w:rPr>
            <w:noProof/>
            <w:webHidden/>
          </w:rPr>
          <w:tab/>
        </w:r>
        <w:r>
          <w:rPr>
            <w:noProof/>
            <w:webHidden/>
          </w:rPr>
          <w:fldChar w:fldCharType="begin"/>
        </w:r>
        <w:r>
          <w:rPr>
            <w:noProof/>
            <w:webHidden/>
          </w:rPr>
          <w:instrText xml:space="preserve"> PAGEREF _Toc416192474 \h </w:instrText>
        </w:r>
        <w:r>
          <w:rPr>
            <w:noProof/>
          </w:rPr>
        </w:r>
        <w:r>
          <w:rPr>
            <w:noProof/>
            <w:webHidden/>
          </w:rPr>
          <w:fldChar w:fldCharType="separate"/>
        </w:r>
        <w:r>
          <w:rPr>
            <w:noProof/>
            <w:webHidden/>
          </w:rPr>
          <w:t>20</w:t>
        </w:r>
        <w:r>
          <w:rPr>
            <w:noProof/>
            <w:webHidden/>
          </w:rPr>
          <w:fldChar w:fldCharType="end"/>
        </w:r>
      </w:hyperlink>
    </w:p>
    <w:p w:rsidR="0014388E" w:rsidRDefault="0014388E">
      <w:pPr>
        <w:pStyle w:val="Kazalovsebine3"/>
        <w:rPr>
          <w:rFonts w:eastAsia="SimSun"/>
          <w:noProof/>
          <w:snapToGrid/>
          <w:szCs w:val="24"/>
          <w:lang w:val="sl-SI"/>
        </w:rPr>
      </w:pPr>
      <w:hyperlink w:anchor="_Toc416192475" w:history="1">
        <w:r w:rsidRPr="00CF0C30">
          <w:rPr>
            <w:rStyle w:val="Hiperpovezava"/>
            <w:noProof/>
          </w:rPr>
          <w:t>3.2.10. Rural Network</w:t>
        </w:r>
        <w:r>
          <w:rPr>
            <w:noProof/>
            <w:webHidden/>
          </w:rPr>
          <w:tab/>
        </w:r>
        <w:r>
          <w:rPr>
            <w:noProof/>
            <w:webHidden/>
          </w:rPr>
          <w:fldChar w:fldCharType="begin"/>
        </w:r>
        <w:r>
          <w:rPr>
            <w:noProof/>
            <w:webHidden/>
          </w:rPr>
          <w:instrText xml:space="preserve"> PAGEREF _Toc416192475 \h </w:instrText>
        </w:r>
        <w:r>
          <w:rPr>
            <w:noProof/>
          </w:rPr>
        </w:r>
        <w:r>
          <w:rPr>
            <w:noProof/>
            <w:webHidden/>
          </w:rPr>
          <w:fldChar w:fldCharType="separate"/>
        </w:r>
        <w:r>
          <w:rPr>
            <w:noProof/>
            <w:webHidden/>
          </w:rPr>
          <w:t>21</w:t>
        </w:r>
        <w:r>
          <w:rPr>
            <w:noProof/>
            <w:webHidden/>
          </w:rPr>
          <w:fldChar w:fldCharType="end"/>
        </w:r>
      </w:hyperlink>
    </w:p>
    <w:p w:rsidR="0014388E" w:rsidRDefault="0014388E">
      <w:pPr>
        <w:pStyle w:val="Kazalovsebine3"/>
        <w:rPr>
          <w:rFonts w:eastAsia="SimSun"/>
          <w:noProof/>
          <w:snapToGrid/>
          <w:szCs w:val="24"/>
          <w:lang w:val="sl-SI"/>
        </w:rPr>
      </w:pPr>
      <w:hyperlink w:anchor="_Toc416192476" w:history="1">
        <w:r w:rsidRPr="00CF0C30">
          <w:rPr>
            <w:rStyle w:val="Hiperpovezava"/>
            <w:noProof/>
          </w:rPr>
          <w:t>3.2.11. Nature</w:t>
        </w:r>
        <w:r>
          <w:rPr>
            <w:noProof/>
            <w:webHidden/>
          </w:rPr>
          <w:tab/>
        </w:r>
        <w:r>
          <w:rPr>
            <w:noProof/>
            <w:webHidden/>
          </w:rPr>
          <w:fldChar w:fldCharType="begin"/>
        </w:r>
        <w:r>
          <w:rPr>
            <w:noProof/>
            <w:webHidden/>
          </w:rPr>
          <w:instrText xml:space="preserve"> PAGEREF _Toc416192476 \h </w:instrText>
        </w:r>
        <w:r>
          <w:rPr>
            <w:noProof/>
          </w:rPr>
        </w:r>
        <w:r>
          <w:rPr>
            <w:noProof/>
            <w:webHidden/>
          </w:rPr>
          <w:fldChar w:fldCharType="separate"/>
        </w:r>
        <w:r>
          <w:rPr>
            <w:noProof/>
            <w:webHidden/>
          </w:rPr>
          <w:t>21</w:t>
        </w:r>
        <w:r>
          <w:rPr>
            <w:noProof/>
            <w:webHidden/>
          </w:rPr>
          <w:fldChar w:fldCharType="end"/>
        </w:r>
      </w:hyperlink>
    </w:p>
    <w:p w:rsidR="0014388E" w:rsidRDefault="0014388E">
      <w:pPr>
        <w:pStyle w:val="Kazalovsebine3"/>
        <w:rPr>
          <w:rFonts w:eastAsia="SimSun"/>
          <w:noProof/>
          <w:snapToGrid/>
          <w:szCs w:val="24"/>
          <w:lang w:val="sl-SI"/>
        </w:rPr>
      </w:pPr>
      <w:hyperlink w:anchor="_Toc416192477" w:history="1">
        <w:r w:rsidRPr="00CF0C30">
          <w:rPr>
            <w:rStyle w:val="Hiperpovezava"/>
            <w:noProof/>
          </w:rPr>
          <w:t>3.2.12. Nature (efficient implementation of measure M10)</w:t>
        </w:r>
        <w:r>
          <w:rPr>
            <w:noProof/>
            <w:webHidden/>
          </w:rPr>
          <w:tab/>
        </w:r>
        <w:r>
          <w:rPr>
            <w:noProof/>
            <w:webHidden/>
          </w:rPr>
          <w:fldChar w:fldCharType="begin"/>
        </w:r>
        <w:r>
          <w:rPr>
            <w:noProof/>
            <w:webHidden/>
          </w:rPr>
          <w:instrText xml:space="preserve"> PAGEREF _Toc416192477 \h </w:instrText>
        </w:r>
        <w:r>
          <w:rPr>
            <w:noProof/>
          </w:rPr>
        </w:r>
        <w:r>
          <w:rPr>
            <w:noProof/>
            <w:webHidden/>
          </w:rPr>
          <w:fldChar w:fldCharType="separate"/>
        </w:r>
        <w:r>
          <w:rPr>
            <w:noProof/>
            <w:webHidden/>
          </w:rPr>
          <w:t>22</w:t>
        </w:r>
        <w:r>
          <w:rPr>
            <w:noProof/>
            <w:webHidden/>
          </w:rPr>
          <w:fldChar w:fldCharType="end"/>
        </w:r>
      </w:hyperlink>
    </w:p>
    <w:p w:rsidR="0014388E" w:rsidRDefault="0014388E">
      <w:pPr>
        <w:pStyle w:val="Kazalovsebine3"/>
        <w:rPr>
          <w:rFonts w:eastAsia="SimSun"/>
          <w:noProof/>
          <w:snapToGrid/>
          <w:szCs w:val="24"/>
          <w:lang w:val="sl-SI"/>
        </w:rPr>
      </w:pPr>
      <w:hyperlink w:anchor="_Toc416192478" w:history="1">
        <w:r w:rsidRPr="00CF0C30">
          <w:rPr>
            <w:rStyle w:val="Hiperpovezava"/>
            <w:noProof/>
          </w:rPr>
          <w:t>3.2.13. Indication of budgets at the level of sub-measures</w:t>
        </w:r>
        <w:r>
          <w:rPr>
            <w:noProof/>
            <w:webHidden/>
          </w:rPr>
          <w:tab/>
        </w:r>
        <w:r>
          <w:rPr>
            <w:noProof/>
            <w:webHidden/>
          </w:rPr>
          <w:fldChar w:fldCharType="begin"/>
        </w:r>
        <w:r>
          <w:rPr>
            <w:noProof/>
            <w:webHidden/>
          </w:rPr>
          <w:instrText xml:space="preserve"> PAGEREF _Toc416192478 \h </w:instrText>
        </w:r>
        <w:r>
          <w:rPr>
            <w:noProof/>
          </w:rPr>
        </w:r>
        <w:r>
          <w:rPr>
            <w:noProof/>
            <w:webHidden/>
          </w:rPr>
          <w:fldChar w:fldCharType="separate"/>
        </w:r>
        <w:r>
          <w:rPr>
            <w:noProof/>
            <w:webHidden/>
          </w:rPr>
          <w:t>23</w:t>
        </w:r>
        <w:r>
          <w:rPr>
            <w:noProof/>
            <w:webHidden/>
          </w:rPr>
          <w:fldChar w:fldCharType="end"/>
        </w:r>
      </w:hyperlink>
    </w:p>
    <w:p w:rsidR="0014388E" w:rsidRDefault="0014388E">
      <w:pPr>
        <w:pStyle w:val="Kazalovsebine3"/>
        <w:rPr>
          <w:rFonts w:eastAsia="SimSun"/>
          <w:noProof/>
          <w:snapToGrid/>
          <w:szCs w:val="24"/>
          <w:lang w:val="sl-SI"/>
        </w:rPr>
      </w:pPr>
      <w:hyperlink w:anchor="_Toc416192479" w:history="1">
        <w:r w:rsidRPr="00CF0C30">
          <w:rPr>
            <w:rStyle w:val="Hiperpovezava"/>
            <w:noProof/>
          </w:rPr>
          <w:t>3.2.14. Environmental criteria for the selection of knowledge transfer providers and advisory services</w:t>
        </w:r>
        <w:r>
          <w:rPr>
            <w:noProof/>
            <w:webHidden/>
          </w:rPr>
          <w:tab/>
        </w:r>
        <w:r>
          <w:rPr>
            <w:noProof/>
            <w:webHidden/>
          </w:rPr>
          <w:fldChar w:fldCharType="begin"/>
        </w:r>
        <w:r>
          <w:rPr>
            <w:noProof/>
            <w:webHidden/>
          </w:rPr>
          <w:instrText xml:space="preserve"> PAGEREF _Toc416192479 \h </w:instrText>
        </w:r>
        <w:r>
          <w:rPr>
            <w:noProof/>
          </w:rPr>
        </w:r>
        <w:r>
          <w:rPr>
            <w:noProof/>
            <w:webHidden/>
          </w:rPr>
          <w:fldChar w:fldCharType="separate"/>
        </w:r>
        <w:r>
          <w:rPr>
            <w:noProof/>
            <w:webHidden/>
          </w:rPr>
          <w:t>23</w:t>
        </w:r>
        <w:r>
          <w:rPr>
            <w:noProof/>
            <w:webHidden/>
          </w:rPr>
          <w:fldChar w:fldCharType="end"/>
        </w:r>
      </w:hyperlink>
    </w:p>
    <w:p w:rsidR="0014388E" w:rsidRDefault="0014388E">
      <w:pPr>
        <w:pStyle w:val="Kazalovsebine3"/>
        <w:rPr>
          <w:rFonts w:eastAsia="SimSun"/>
          <w:noProof/>
          <w:snapToGrid/>
          <w:szCs w:val="24"/>
          <w:lang w:val="sl-SI"/>
        </w:rPr>
      </w:pPr>
      <w:hyperlink w:anchor="_Toc416192480" w:history="1">
        <w:r w:rsidRPr="00CF0C30">
          <w:rPr>
            <w:rStyle w:val="Hiperpovezava"/>
            <w:noProof/>
          </w:rPr>
          <w:t>3.2.15. Environmental criteria for the selection of projects in measures M16 and M19</w:t>
        </w:r>
        <w:r>
          <w:rPr>
            <w:noProof/>
            <w:webHidden/>
          </w:rPr>
          <w:tab/>
        </w:r>
        <w:r>
          <w:rPr>
            <w:noProof/>
            <w:webHidden/>
          </w:rPr>
          <w:fldChar w:fldCharType="begin"/>
        </w:r>
        <w:r>
          <w:rPr>
            <w:noProof/>
            <w:webHidden/>
          </w:rPr>
          <w:instrText xml:space="preserve"> PAGEREF _Toc416192480 \h </w:instrText>
        </w:r>
        <w:r>
          <w:rPr>
            <w:noProof/>
          </w:rPr>
        </w:r>
        <w:r>
          <w:rPr>
            <w:noProof/>
            <w:webHidden/>
          </w:rPr>
          <w:fldChar w:fldCharType="separate"/>
        </w:r>
        <w:r>
          <w:rPr>
            <w:noProof/>
            <w:webHidden/>
          </w:rPr>
          <w:t>24</w:t>
        </w:r>
        <w:r>
          <w:rPr>
            <w:noProof/>
            <w:webHidden/>
          </w:rPr>
          <w:fldChar w:fldCharType="end"/>
        </w:r>
      </w:hyperlink>
    </w:p>
    <w:p w:rsidR="0014388E" w:rsidRDefault="0014388E">
      <w:pPr>
        <w:pStyle w:val="Kazalovsebine3"/>
        <w:rPr>
          <w:rFonts w:eastAsia="SimSun"/>
          <w:noProof/>
          <w:snapToGrid/>
          <w:szCs w:val="24"/>
          <w:lang w:val="sl-SI"/>
        </w:rPr>
      </w:pPr>
      <w:hyperlink w:anchor="_Toc416192481" w:history="1">
        <w:r w:rsidRPr="00CF0C30">
          <w:rPr>
            <w:rStyle w:val="Hiperpovezava"/>
            <w:noProof/>
          </w:rPr>
          <w:t>3.2.16. Environmental criteria for the selection of projects in investments in infrastructure</w:t>
        </w:r>
        <w:r>
          <w:rPr>
            <w:noProof/>
            <w:webHidden/>
          </w:rPr>
          <w:tab/>
        </w:r>
        <w:r>
          <w:rPr>
            <w:noProof/>
            <w:webHidden/>
          </w:rPr>
          <w:fldChar w:fldCharType="begin"/>
        </w:r>
        <w:r>
          <w:rPr>
            <w:noProof/>
            <w:webHidden/>
          </w:rPr>
          <w:instrText xml:space="preserve"> PAGEREF _Toc416192481 \h </w:instrText>
        </w:r>
        <w:r>
          <w:rPr>
            <w:noProof/>
          </w:rPr>
        </w:r>
        <w:r>
          <w:rPr>
            <w:noProof/>
            <w:webHidden/>
          </w:rPr>
          <w:fldChar w:fldCharType="separate"/>
        </w:r>
        <w:r>
          <w:rPr>
            <w:noProof/>
            <w:webHidden/>
          </w:rPr>
          <w:t>25</w:t>
        </w:r>
        <w:r>
          <w:rPr>
            <w:noProof/>
            <w:webHidden/>
          </w:rPr>
          <w:fldChar w:fldCharType="end"/>
        </w:r>
      </w:hyperlink>
    </w:p>
    <w:p w:rsidR="0014388E" w:rsidRDefault="0014388E">
      <w:pPr>
        <w:pStyle w:val="Kazalovsebine3"/>
        <w:rPr>
          <w:rFonts w:eastAsia="SimSun"/>
          <w:noProof/>
          <w:snapToGrid/>
          <w:szCs w:val="24"/>
          <w:lang w:val="sl-SI"/>
        </w:rPr>
      </w:pPr>
      <w:hyperlink w:anchor="_Toc416192482" w:history="1">
        <w:r w:rsidRPr="00CF0C30">
          <w:rPr>
            <w:rStyle w:val="Hiperpovezava"/>
            <w:noProof/>
          </w:rPr>
          <w:t>3.2.17. Determination of special impact indicators</w:t>
        </w:r>
        <w:r>
          <w:rPr>
            <w:noProof/>
            <w:webHidden/>
          </w:rPr>
          <w:tab/>
        </w:r>
        <w:r>
          <w:rPr>
            <w:noProof/>
            <w:webHidden/>
          </w:rPr>
          <w:fldChar w:fldCharType="begin"/>
        </w:r>
        <w:r>
          <w:rPr>
            <w:noProof/>
            <w:webHidden/>
          </w:rPr>
          <w:instrText xml:space="preserve"> PAGEREF _Toc416192482 \h </w:instrText>
        </w:r>
        <w:r>
          <w:rPr>
            <w:noProof/>
          </w:rPr>
        </w:r>
        <w:r>
          <w:rPr>
            <w:noProof/>
            <w:webHidden/>
          </w:rPr>
          <w:fldChar w:fldCharType="separate"/>
        </w:r>
        <w:r>
          <w:rPr>
            <w:noProof/>
            <w:webHidden/>
          </w:rPr>
          <w:t>26</w:t>
        </w:r>
        <w:r>
          <w:rPr>
            <w:noProof/>
            <w:webHidden/>
          </w:rPr>
          <w:fldChar w:fldCharType="end"/>
        </w:r>
      </w:hyperlink>
    </w:p>
    <w:p w:rsidR="0014388E" w:rsidRDefault="0014388E">
      <w:pPr>
        <w:pStyle w:val="Kazalovsebine3"/>
        <w:rPr>
          <w:rFonts w:eastAsia="SimSun"/>
          <w:noProof/>
          <w:snapToGrid/>
          <w:szCs w:val="24"/>
          <w:lang w:val="sl-SI"/>
        </w:rPr>
      </w:pPr>
      <w:hyperlink w:anchor="_Toc416192483" w:history="1">
        <w:r w:rsidRPr="00CF0C30">
          <w:rPr>
            <w:rStyle w:val="Hiperpovezava"/>
            <w:noProof/>
          </w:rPr>
          <w:t>3.2.18. Determination of expected results in measures</w:t>
        </w:r>
        <w:r>
          <w:rPr>
            <w:noProof/>
            <w:webHidden/>
          </w:rPr>
          <w:tab/>
        </w:r>
        <w:r>
          <w:rPr>
            <w:noProof/>
            <w:webHidden/>
          </w:rPr>
          <w:fldChar w:fldCharType="begin"/>
        </w:r>
        <w:r>
          <w:rPr>
            <w:noProof/>
            <w:webHidden/>
          </w:rPr>
          <w:instrText xml:space="preserve"> PAGEREF _Toc416192483 \h </w:instrText>
        </w:r>
        <w:r>
          <w:rPr>
            <w:noProof/>
          </w:rPr>
        </w:r>
        <w:r>
          <w:rPr>
            <w:noProof/>
            <w:webHidden/>
          </w:rPr>
          <w:fldChar w:fldCharType="separate"/>
        </w:r>
        <w:r>
          <w:rPr>
            <w:noProof/>
            <w:webHidden/>
          </w:rPr>
          <w:t>26</w:t>
        </w:r>
        <w:r>
          <w:rPr>
            <w:noProof/>
            <w:webHidden/>
          </w:rPr>
          <w:fldChar w:fldCharType="end"/>
        </w:r>
      </w:hyperlink>
    </w:p>
    <w:p w:rsidR="0014388E" w:rsidRDefault="0014388E">
      <w:pPr>
        <w:pStyle w:val="Kazalovsebine3"/>
        <w:rPr>
          <w:rFonts w:eastAsia="SimSun"/>
          <w:noProof/>
          <w:snapToGrid/>
          <w:szCs w:val="24"/>
          <w:lang w:val="sl-SI"/>
        </w:rPr>
      </w:pPr>
      <w:hyperlink w:anchor="_Toc416192484" w:history="1">
        <w:r w:rsidRPr="00CF0C30">
          <w:rPr>
            <w:rStyle w:val="Hiperpovezava"/>
            <w:noProof/>
          </w:rPr>
          <w:t>3.2.19. Pasturing plan for farms included in measure M10</w:t>
        </w:r>
        <w:r>
          <w:rPr>
            <w:noProof/>
            <w:webHidden/>
          </w:rPr>
          <w:tab/>
        </w:r>
        <w:r>
          <w:rPr>
            <w:noProof/>
            <w:webHidden/>
          </w:rPr>
          <w:fldChar w:fldCharType="begin"/>
        </w:r>
        <w:r>
          <w:rPr>
            <w:noProof/>
            <w:webHidden/>
          </w:rPr>
          <w:instrText xml:space="preserve"> PAGEREF _Toc416192484 \h </w:instrText>
        </w:r>
        <w:r>
          <w:rPr>
            <w:noProof/>
          </w:rPr>
        </w:r>
        <w:r>
          <w:rPr>
            <w:noProof/>
            <w:webHidden/>
          </w:rPr>
          <w:fldChar w:fldCharType="separate"/>
        </w:r>
        <w:r>
          <w:rPr>
            <w:noProof/>
            <w:webHidden/>
          </w:rPr>
          <w:t>27</w:t>
        </w:r>
        <w:r>
          <w:rPr>
            <w:noProof/>
            <w:webHidden/>
          </w:rPr>
          <w:fldChar w:fldCharType="end"/>
        </w:r>
      </w:hyperlink>
    </w:p>
    <w:p w:rsidR="0014388E" w:rsidRDefault="0014388E">
      <w:pPr>
        <w:pStyle w:val="Kazalovsebine3"/>
        <w:rPr>
          <w:rFonts w:eastAsia="SimSun"/>
          <w:noProof/>
          <w:snapToGrid/>
          <w:szCs w:val="24"/>
          <w:lang w:val="sl-SI"/>
        </w:rPr>
      </w:pPr>
      <w:hyperlink w:anchor="_Toc416192485" w:history="1">
        <w:r w:rsidRPr="00CF0C30">
          <w:rPr>
            <w:rStyle w:val="Hiperpovezava"/>
            <w:noProof/>
          </w:rPr>
          <w:t>3.2.20. Promotion of quality schemes</w:t>
        </w:r>
        <w:r>
          <w:rPr>
            <w:noProof/>
            <w:webHidden/>
          </w:rPr>
          <w:tab/>
        </w:r>
        <w:r>
          <w:rPr>
            <w:noProof/>
            <w:webHidden/>
          </w:rPr>
          <w:fldChar w:fldCharType="begin"/>
        </w:r>
        <w:r>
          <w:rPr>
            <w:noProof/>
            <w:webHidden/>
          </w:rPr>
          <w:instrText xml:space="preserve"> PAGEREF _Toc416192485 \h </w:instrText>
        </w:r>
        <w:r>
          <w:rPr>
            <w:noProof/>
          </w:rPr>
        </w:r>
        <w:r>
          <w:rPr>
            <w:noProof/>
            <w:webHidden/>
          </w:rPr>
          <w:fldChar w:fldCharType="separate"/>
        </w:r>
        <w:r>
          <w:rPr>
            <w:noProof/>
            <w:webHidden/>
          </w:rPr>
          <w:t>27</w:t>
        </w:r>
        <w:r>
          <w:rPr>
            <w:noProof/>
            <w:webHidden/>
          </w:rPr>
          <w:fldChar w:fldCharType="end"/>
        </w:r>
      </w:hyperlink>
    </w:p>
    <w:p w:rsidR="0014388E" w:rsidRDefault="0014388E">
      <w:pPr>
        <w:pStyle w:val="Kazalovsebine3"/>
        <w:rPr>
          <w:rFonts w:eastAsia="SimSun"/>
          <w:noProof/>
          <w:snapToGrid/>
          <w:szCs w:val="24"/>
          <w:lang w:val="sl-SI"/>
        </w:rPr>
      </w:pPr>
      <w:hyperlink w:anchor="_Toc416192486" w:history="1">
        <w:r w:rsidRPr="00CF0C30">
          <w:rPr>
            <w:rStyle w:val="Hiperpovezava"/>
            <w:noProof/>
          </w:rPr>
          <w:t>3.2.21. Spatial criteria for the selection of projects in measures for investments in infrastructure</w:t>
        </w:r>
        <w:r>
          <w:rPr>
            <w:noProof/>
            <w:webHidden/>
          </w:rPr>
          <w:tab/>
        </w:r>
        <w:r>
          <w:rPr>
            <w:noProof/>
            <w:webHidden/>
          </w:rPr>
          <w:fldChar w:fldCharType="begin"/>
        </w:r>
        <w:r>
          <w:rPr>
            <w:noProof/>
            <w:webHidden/>
          </w:rPr>
          <w:instrText xml:space="preserve"> PAGEREF _Toc416192486 \h </w:instrText>
        </w:r>
        <w:r>
          <w:rPr>
            <w:noProof/>
          </w:rPr>
        </w:r>
        <w:r>
          <w:rPr>
            <w:noProof/>
            <w:webHidden/>
          </w:rPr>
          <w:fldChar w:fldCharType="separate"/>
        </w:r>
        <w:r>
          <w:rPr>
            <w:noProof/>
            <w:webHidden/>
          </w:rPr>
          <w:t>28</w:t>
        </w:r>
        <w:r>
          <w:rPr>
            <w:noProof/>
            <w:webHidden/>
          </w:rPr>
          <w:fldChar w:fldCharType="end"/>
        </w:r>
      </w:hyperlink>
    </w:p>
    <w:p w:rsidR="0014388E" w:rsidRDefault="0014388E">
      <w:pPr>
        <w:pStyle w:val="Kazalovsebine3"/>
        <w:rPr>
          <w:rFonts w:eastAsia="SimSun"/>
          <w:noProof/>
          <w:snapToGrid/>
          <w:szCs w:val="24"/>
          <w:lang w:val="sl-SI"/>
        </w:rPr>
      </w:pPr>
      <w:hyperlink w:anchor="_Toc416192487" w:history="1">
        <w:r w:rsidRPr="00CF0C30">
          <w:rPr>
            <w:rStyle w:val="Hiperpovezava"/>
            <w:noProof/>
          </w:rPr>
          <w:t>3.2.22. Spatial planning</w:t>
        </w:r>
        <w:r>
          <w:rPr>
            <w:noProof/>
            <w:webHidden/>
          </w:rPr>
          <w:tab/>
        </w:r>
        <w:r>
          <w:rPr>
            <w:noProof/>
            <w:webHidden/>
          </w:rPr>
          <w:fldChar w:fldCharType="begin"/>
        </w:r>
        <w:r>
          <w:rPr>
            <w:noProof/>
            <w:webHidden/>
          </w:rPr>
          <w:instrText xml:space="preserve"> PAGEREF _Toc416192487 \h </w:instrText>
        </w:r>
        <w:r>
          <w:rPr>
            <w:noProof/>
          </w:rPr>
        </w:r>
        <w:r>
          <w:rPr>
            <w:noProof/>
            <w:webHidden/>
          </w:rPr>
          <w:fldChar w:fldCharType="separate"/>
        </w:r>
        <w:r>
          <w:rPr>
            <w:noProof/>
            <w:webHidden/>
          </w:rPr>
          <w:t>28</w:t>
        </w:r>
        <w:r>
          <w:rPr>
            <w:noProof/>
            <w:webHidden/>
          </w:rPr>
          <w:fldChar w:fldCharType="end"/>
        </w:r>
      </w:hyperlink>
    </w:p>
    <w:p w:rsidR="0014388E" w:rsidRDefault="0014388E">
      <w:pPr>
        <w:pStyle w:val="Kazalovsebine3"/>
        <w:rPr>
          <w:rFonts w:eastAsia="SimSun"/>
          <w:noProof/>
          <w:snapToGrid/>
          <w:szCs w:val="24"/>
          <w:lang w:val="sl-SI"/>
        </w:rPr>
      </w:pPr>
      <w:hyperlink w:anchor="_Toc416192488" w:history="1">
        <w:r w:rsidRPr="00CF0C30">
          <w:rPr>
            <w:rStyle w:val="Hiperpovezava"/>
            <w:noProof/>
          </w:rPr>
          <w:t>3.2.23. Delimitations among funds</w:t>
        </w:r>
        <w:r>
          <w:rPr>
            <w:noProof/>
            <w:webHidden/>
          </w:rPr>
          <w:tab/>
        </w:r>
        <w:r>
          <w:rPr>
            <w:noProof/>
            <w:webHidden/>
          </w:rPr>
          <w:fldChar w:fldCharType="begin"/>
        </w:r>
        <w:r>
          <w:rPr>
            <w:noProof/>
            <w:webHidden/>
          </w:rPr>
          <w:instrText xml:space="preserve"> PAGEREF _Toc416192488 \h </w:instrText>
        </w:r>
        <w:r>
          <w:rPr>
            <w:noProof/>
          </w:rPr>
        </w:r>
        <w:r>
          <w:rPr>
            <w:noProof/>
            <w:webHidden/>
          </w:rPr>
          <w:fldChar w:fldCharType="separate"/>
        </w:r>
        <w:r>
          <w:rPr>
            <w:noProof/>
            <w:webHidden/>
          </w:rPr>
          <w:t>29</w:t>
        </w:r>
        <w:r>
          <w:rPr>
            <w:noProof/>
            <w:webHidden/>
          </w:rPr>
          <w:fldChar w:fldCharType="end"/>
        </w:r>
      </w:hyperlink>
    </w:p>
    <w:p w:rsidR="0014388E" w:rsidRDefault="0014388E">
      <w:pPr>
        <w:pStyle w:val="Kazalovsebine3"/>
        <w:rPr>
          <w:rFonts w:eastAsia="SimSun"/>
          <w:noProof/>
          <w:snapToGrid/>
          <w:szCs w:val="24"/>
          <w:lang w:val="sl-SI"/>
        </w:rPr>
      </w:pPr>
      <w:hyperlink w:anchor="_Toc416192489" w:history="1">
        <w:r w:rsidRPr="00CF0C30">
          <w:rPr>
            <w:rStyle w:val="Hiperpovezava"/>
            <w:noProof/>
          </w:rPr>
          <w:t>3.2.24. Indicator-related guidelines</w:t>
        </w:r>
        <w:r>
          <w:rPr>
            <w:noProof/>
            <w:webHidden/>
          </w:rPr>
          <w:tab/>
        </w:r>
        <w:r>
          <w:rPr>
            <w:noProof/>
            <w:webHidden/>
          </w:rPr>
          <w:fldChar w:fldCharType="begin"/>
        </w:r>
        <w:r>
          <w:rPr>
            <w:noProof/>
            <w:webHidden/>
          </w:rPr>
          <w:instrText xml:space="preserve"> PAGEREF _Toc416192489 \h </w:instrText>
        </w:r>
        <w:r>
          <w:rPr>
            <w:noProof/>
          </w:rPr>
        </w:r>
        <w:r>
          <w:rPr>
            <w:noProof/>
            <w:webHidden/>
          </w:rPr>
          <w:fldChar w:fldCharType="separate"/>
        </w:r>
        <w:r>
          <w:rPr>
            <w:noProof/>
            <w:webHidden/>
          </w:rPr>
          <w:t>29</w:t>
        </w:r>
        <w:r>
          <w:rPr>
            <w:noProof/>
            <w:webHidden/>
          </w:rPr>
          <w:fldChar w:fldCharType="end"/>
        </w:r>
      </w:hyperlink>
    </w:p>
    <w:p w:rsidR="0014388E" w:rsidRDefault="0014388E">
      <w:pPr>
        <w:pStyle w:val="Kazalovsebine3"/>
        <w:rPr>
          <w:rFonts w:eastAsia="SimSun"/>
          <w:noProof/>
          <w:snapToGrid/>
          <w:szCs w:val="24"/>
          <w:lang w:val="sl-SI"/>
        </w:rPr>
      </w:pPr>
      <w:hyperlink w:anchor="_Toc416192490" w:history="1">
        <w:r w:rsidRPr="00CF0C30">
          <w:rPr>
            <w:rStyle w:val="Hiperpovezava"/>
            <w:noProof/>
          </w:rPr>
          <w:t>3.2.25. Monitoring of the quality of services for the implementation of adaptation measures</w:t>
        </w:r>
        <w:r>
          <w:rPr>
            <w:noProof/>
            <w:webHidden/>
          </w:rPr>
          <w:tab/>
        </w:r>
        <w:r>
          <w:rPr>
            <w:noProof/>
            <w:webHidden/>
          </w:rPr>
          <w:fldChar w:fldCharType="begin"/>
        </w:r>
        <w:r>
          <w:rPr>
            <w:noProof/>
            <w:webHidden/>
          </w:rPr>
          <w:instrText xml:space="preserve"> PAGEREF _Toc416192490 \h </w:instrText>
        </w:r>
        <w:r>
          <w:rPr>
            <w:noProof/>
          </w:rPr>
        </w:r>
        <w:r>
          <w:rPr>
            <w:noProof/>
            <w:webHidden/>
          </w:rPr>
          <w:fldChar w:fldCharType="separate"/>
        </w:r>
        <w:r>
          <w:rPr>
            <w:noProof/>
            <w:webHidden/>
          </w:rPr>
          <w:t>30</w:t>
        </w:r>
        <w:r>
          <w:rPr>
            <w:noProof/>
            <w:webHidden/>
          </w:rPr>
          <w:fldChar w:fldCharType="end"/>
        </w:r>
      </w:hyperlink>
    </w:p>
    <w:p w:rsidR="0014388E" w:rsidRDefault="0014388E">
      <w:pPr>
        <w:pStyle w:val="Kazalovsebine3"/>
        <w:rPr>
          <w:rFonts w:eastAsia="SimSun"/>
          <w:noProof/>
          <w:snapToGrid/>
          <w:szCs w:val="24"/>
          <w:lang w:val="sl-SI"/>
        </w:rPr>
      </w:pPr>
      <w:hyperlink w:anchor="_Toc416192491" w:history="1">
        <w:r w:rsidRPr="00CF0C30">
          <w:rPr>
            <w:rStyle w:val="Hiperpovezava"/>
            <w:noProof/>
          </w:rPr>
          <w:t>3.2.26. Arrangement of eco-cells with EU funds</w:t>
        </w:r>
        <w:r>
          <w:rPr>
            <w:noProof/>
            <w:webHidden/>
          </w:rPr>
          <w:tab/>
        </w:r>
        <w:r>
          <w:rPr>
            <w:noProof/>
            <w:webHidden/>
          </w:rPr>
          <w:fldChar w:fldCharType="begin"/>
        </w:r>
        <w:r>
          <w:rPr>
            <w:noProof/>
            <w:webHidden/>
          </w:rPr>
          <w:instrText xml:space="preserve"> PAGEREF _Toc416192491 \h </w:instrText>
        </w:r>
        <w:r>
          <w:rPr>
            <w:noProof/>
          </w:rPr>
        </w:r>
        <w:r>
          <w:rPr>
            <w:noProof/>
            <w:webHidden/>
          </w:rPr>
          <w:fldChar w:fldCharType="separate"/>
        </w:r>
        <w:r>
          <w:rPr>
            <w:noProof/>
            <w:webHidden/>
          </w:rPr>
          <w:t>30</w:t>
        </w:r>
        <w:r>
          <w:rPr>
            <w:noProof/>
            <w:webHidden/>
          </w:rPr>
          <w:fldChar w:fldCharType="end"/>
        </w:r>
      </w:hyperlink>
    </w:p>
    <w:p w:rsidR="0014388E" w:rsidRDefault="0014388E">
      <w:pPr>
        <w:pStyle w:val="Kazalovsebine3"/>
        <w:rPr>
          <w:rFonts w:eastAsia="SimSun"/>
          <w:noProof/>
          <w:snapToGrid/>
          <w:szCs w:val="24"/>
          <w:lang w:val="sl-SI"/>
        </w:rPr>
      </w:pPr>
      <w:hyperlink w:anchor="_Toc416192492" w:history="1">
        <w:r w:rsidRPr="00CF0C30">
          <w:rPr>
            <w:rStyle w:val="Hiperpovezava"/>
            <w:noProof/>
          </w:rPr>
          <w:t>3.2.27. Targeted training</w:t>
        </w:r>
        <w:r>
          <w:rPr>
            <w:noProof/>
            <w:webHidden/>
          </w:rPr>
          <w:tab/>
        </w:r>
        <w:r>
          <w:rPr>
            <w:noProof/>
            <w:webHidden/>
          </w:rPr>
          <w:fldChar w:fldCharType="begin"/>
        </w:r>
        <w:r>
          <w:rPr>
            <w:noProof/>
            <w:webHidden/>
          </w:rPr>
          <w:instrText xml:space="preserve"> PAGEREF _Toc416192492 \h </w:instrText>
        </w:r>
        <w:r>
          <w:rPr>
            <w:noProof/>
          </w:rPr>
        </w:r>
        <w:r>
          <w:rPr>
            <w:noProof/>
            <w:webHidden/>
          </w:rPr>
          <w:fldChar w:fldCharType="separate"/>
        </w:r>
        <w:r>
          <w:rPr>
            <w:noProof/>
            <w:webHidden/>
          </w:rPr>
          <w:t>31</w:t>
        </w:r>
        <w:r>
          <w:rPr>
            <w:noProof/>
            <w:webHidden/>
          </w:rPr>
          <w:fldChar w:fldCharType="end"/>
        </w:r>
      </w:hyperlink>
    </w:p>
    <w:p w:rsidR="0014388E" w:rsidRDefault="0014388E">
      <w:pPr>
        <w:pStyle w:val="Kazalovsebine3"/>
        <w:rPr>
          <w:rFonts w:eastAsia="SimSun"/>
          <w:noProof/>
          <w:snapToGrid/>
          <w:szCs w:val="24"/>
          <w:lang w:val="sl-SI"/>
        </w:rPr>
      </w:pPr>
      <w:hyperlink w:anchor="_Toc416192493" w:history="1">
        <w:r w:rsidRPr="00CF0C30">
          <w:rPr>
            <w:rStyle w:val="Hiperpovezava"/>
            <w:noProof/>
          </w:rPr>
          <w:t>3.2.28. More efficient implementation</w:t>
        </w:r>
        <w:r>
          <w:rPr>
            <w:noProof/>
            <w:webHidden/>
          </w:rPr>
          <w:tab/>
        </w:r>
        <w:r>
          <w:rPr>
            <w:noProof/>
            <w:webHidden/>
          </w:rPr>
          <w:fldChar w:fldCharType="begin"/>
        </w:r>
        <w:r>
          <w:rPr>
            <w:noProof/>
            <w:webHidden/>
          </w:rPr>
          <w:instrText xml:space="preserve"> PAGEREF _Toc416192493 \h </w:instrText>
        </w:r>
        <w:r>
          <w:rPr>
            <w:noProof/>
          </w:rPr>
        </w:r>
        <w:r>
          <w:rPr>
            <w:noProof/>
            <w:webHidden/>
          </w:rPr>
          <w:fldChar w:fldCharType="separate"/>
        </w:r>
        <w:r>
          <w:rPr>
            <w:noProof/>
            <w:webHidden/>
          </w:rPr>
          <w:t>32</w:t>
        </w:r>
        <w:r>
          <w:rPr>
            <w:noProof/>
            <w:webHidden/>
          </w:rPr>
          <w:fldChar w:fldCharType="end"/>
        </w:r>
      </w:hyperlink>
    </w:p>
    <w:p w:rsidR="0014388E" w:rsidRDefault="0014388E">
      <w:pPr>
        <w:pStyle w:val="Kazalovsebine3"/>
        <w:rPr>
          <w:rFonts w:eastAsia="SimSun"/>
          <w:noProof/>
          <w:snapToGrid/>
          <w:szCs w:val="24"/>
          <w:lang w:val="sl-SI"/>
        </w:rPr>
      </w:pPr>
      <w:hyperlink w:anchor="_Toc416192494" w:history="1">
        <w:r w:rsidRPr="00CF0C30">
          <w:rPr>
            <w:rStyle w:val="Hiperpovezava"/>
            <w:noProof/>
          </w:rPr>
          <w:t>3.2.29. Efficient management</w:t>
        </w:r>
        <w:r>
          <w:rPr>
            <w:noProof/>
            <w:webHidden/>
          </w:rPr>
          <w:tab/>
        </w:r>
        <w:r>
          <w:rPr>
            <w:noProof/>
            <w:webHidden/>
          </w:rPr>
          <w:fldChar w:fldCharType="begin"/>
        </w:r>
        <w:r>
          <w:rPr>
            <w:noProof/>
            <w:webHidden/>
          </w:rPr>
          <w:instrText xml:space="preserve"> PAGEREF _Toc416192494 \h </w:instrText>
        </w:r>
        <w:r>
          <w:rPr>
            <w:noProof/>
          </w:rPr>
        </w:r>
        <w:r>
          <w:rPr>
            <w:noProof/>
            <w:webHidden/>
          </w:rPr>
          <w:fldChar w:fldCharType="separate"/>
        </w:r>
        <w:r>
          <w:rPr>
            <w:noProof/>
            <w:webHidden/>
          </w:rPr>
          <w:t>32</w:t>
        </w:r>
        <w:r>
          <w:rPr>
            <w:noProof/>
            <w:webHidden/>
          </w:rPr>
          <w:fldChar w:fldCharType="end"/>
        </w:r>
      </w:hyperlink>
    </w:p>
    <w:p w:rsidR="0014388E" w:rsidRDefault="0014388E">
      <w:pPr>
        <w:pStyle w:val="Kazalovsebine3"/>
        <w:rPr>
          <w:rFonts w:eastAsia="SimSun"/>
          <w:noProof/>
          <w:snapToGrid/>
          <w:szCs w:val="24"/>
          <w:lang w:val="sl-SI"/>
        </w:rPr>
      </w:pPr>
      <w:hyperlink w:anchor="_Toc416192495" w:history="1">
        <w:r w:rsidRPr="00CF0C30">
          <w:rPr>
            <w:rStyle w:val="Hiperpovezava"/>
            <w:noProof/>
          </w:rPr>
          <w:t>3.2.30. Inclusion of cultural heritage in the RDP 2014-2020</w:t>
        </w:r>
        <w:r>
          <w:rPr>
            <w:noProof/>
            <w:webHidden/>
          </w:rPr>
          <w:tab/>
        </w:r>
        <w:r>
          <w:rPr>
            <w:noProof/>
            <w:webHidden/>
          </w:rPr>
          <w:fldChar w:fldCharType="begin"/>
        </w:r>
        <w:r>
          <w:rPr>
            <w:noProof/>
            <w:webHidden/>
          </w:rPr>
          <w:instrText xml:space="preserve"> PAGEREF _Toc416192495 \h </w:instrText>
        </w:r>
        <w:r>
          <w:rPr>
            <w:noProof/>
          </w:rPr>
        </w:r>
        <w:r>
          <w:rPr>
            <w:noProof/>
            <w:webHidden/>
          </w:rPr>
          <w:fldChar w:fldCharType="separate"/>
        </w:r>
        <w:r>
          <w:rPr>
            <w:noProof/>
            <w:webHidden/>
          </w:rPr>
          <w:t>33</w:t>
        </w:r>
        <w:r>
          <w:rPr>
            <w:noProof/>
            <w:webHidden/>
          </w:rPr>
          <w:fldChar w:fldCharType="end"/>
        </w:r>
      </w:hyperlink>
    </w:p>
    <w:p w:rsidR="0014388E" w:rsidRDefault="0014388E">
      <w:pPr>
        <w:pStyle w:val="Kazalovsebine3"/>
        <w:rPr>
          <w:rFonts w:eastAsia="SimSun"/>
          <w:noProof/>
          <w:snapToGrid/>
          <w:szCs w:val="24"/>
          <w:lang w:val="sl-SI"/>
        </w:rPr>
      </w:pPr>
      <w:hyperlink w:anchor="_Toc416192496" w:history="1">
        <w:r w:rsidRPr="00CF0C30">
          <w:rPr>
            <w:rStyle w:val="Hiperpovezava"/>
            <w:noProof/>
          </w:rPr>
          <w:t>3.2.31. Inclusion of payments within Natura 2000 sites (Article 30)</w:t>
        </w:r>
        <w:r>
          <w:rPr>
            <w:noProof/>
            <w:webHidden/>
          </w:rPr>
          <w:tab/>
        </w:r>
        <w:r>
          <w:rPr>
            <w:noProof/>
            <w:webHidden/>
          </w:rPr>
          <w:fldChar w:fldCharType="begin"/>
        </w:r>
        <w:r>
          <w:rPr>
            <w:noProof/>
            <w:webHidden/>
          </w:rPr>
          <w:instrText xml:space="preserve"> PAGEREF _Toc416192496 \h </w:instrText>
        </w:r>
        <w:r>
          <w:rPr>
            <w:noProof/>
          </w:rPr>
        </w:r>
        <w:r>
          <w:rPr>
            <w:noProof/>
            <w:webHidden/>
          </w:rPr>
          <w:fldChar w:fldCharType="separate"/>
        </w:r>
        <w:r>
          <w:rPr>
            <w:noProof/>
            <w:webHidden/>
          </w:rPr>
          <w:t>33</w:t>
        </w:r>
        <w:r>
          <w:rPr>
            <w:noProof/>
            <w:webHidden/>
          </w:rPr>
          <w:fldChar w:fldCharType="end"/>
        </w:r>
      </w:hyperlink>
    </w:p>
    <w:p w:rsidR="0014388E" w:rsidRDefault="0014388E">
      <w:pPr>
        <w:pStyle w:val="Kazalovsebine3"/>
        <w:rPr>
          <w:rFonts w:eastAsia="SimSun"/>
          <w:noProof/>
          <w:snapToGrid/>
          <w:szCs w:val="24"/>
          <w:lang w:val="sl-SI"/>
        </w:rPr>
      </w:pPr>
      <w:hyperlink w:anchor="_Toc416192497" w:history="1">
        <w:r w:rsidRPr="00CF0C30">
          <w:rPr>
            <w:rStyle w:val="Hiperpovezava"/>
            <w:noProof/>
          </w:rPr>
          <w:t>3.2.32. Reliability of situation analysis and SWOT analysis</w:t>
        </w:r>
        <w:r>
          <w:rPr>
            <w:noProof/>
            <w:webHidden/>
          </w:rPr>
          <w:tab/>
        </w:r>
        <w:r>
          <w:rPr>
            <w:noProof/>
            <w:webHidden/>
          </w:rPr>
          <w:fldChar w:fldCharType="begin"/>
        </w:r>
        <w:r>
          <w:rPr>
            <w:noProof/>
            <w:webHidden/>
          </w:rPr>
          <w:instrText xml:space="preserve"> PAGEREF _Toc416192497 \h </w:instrText>
        </w:r>
        <w:r>
          <w:rPr>
            <w:noProof/>
          </w:rPr>
        </w:r>
        <w:r>
          <w:rPr>
            <w:noProof/>
            <w:webHidden/>
          </w:rPr>
          <w:fldChar w:fldCharType="separate"/>
        </w:r>
        <w:r>
          <w:rPr>
            <w:noProof/>
            <w:webHidden/>
          </w:rPr>
          <w:t>34</w:t>
        </w:r>
        <w:r>
          <w:rPr>
            <w:noProof/>
            <w:webHidden/>
          </w:rPr>
          <w:fldChar w:fldCharType="end"/>
        </w:r>
      </w:hyperlink>
    </w:p>
    <w:p w:rsidR="0014388E" w:rsidRDefault="0014388E">
      <w:pPr>
        <w:pStyle w:val="Kazalovsebine3"/>
        <w:rPr>
          <w:rFonts w:eastAsia="SimSun"/>
          <w:noProof/>
          <w:snapToGrid/>
          <w:szCs w:val="24"/>
          <w:lang w:val="sl-SI"/>
        </w:rPr>
      </w:pPr>
      <w:hyperlink w:anchor="_Toc416192498" w:history="1">
        <w:r w:rsidRPr="00CF0C30">
          <w:rPr>
            <w:rStyle w:val="Hiperpovezava"/>
            <w:noProof/>
          </w:rPr>
          <w:t>3.2.33. Reduction of farm impact on waters</w:t>
        </w:r>
        <w:r>
          <w:rPr>
            <w:noProof/>
            <w:webHidden/>
          </w:rPr>
          <w:tab/>
        </w:r>
        <w:r>
          <w:rPr>
            <w:noProof/>
            <w:webHidden/>
          </w:rPr>
          <w:fldChar w:fldCharType="begin"/>
        </w:r>
        <w:r>
          <w:rPr>
            <w:noProof/>
            <w:webHidden/>
          </w:rPr>
          <w:instrText xml:space="preserve"> PAGEREF _Toc416192498 \h </w:instrText>
        </w:r>
        <w:r>
          <w:rPr>
            <w:noProof/>
          </w:rPr>
        </w:r>
        <w:r>
          <w:rPr>
            <w:noProof/>
            <w:webHidden/>
          </w:rPr>
          <w:fldChar w:fldCharType="separate"/>
        </w:r>
        <w:r>
          <w:rPr>
            <w:noProof/>
            <w:webHidden/>
          </w:rPr>
          <w:t>34</w:t>
        </w:r>
        <w:r>
          <w:rPr>
            <w:noProof/>
            <w:webHidden/>
          </w:rPr>
          <w:fldChar w:fldCharType="end"/>
        </w:r>
      </w:hyperlink>
    </w:p>
    <w:p w:rsidR="0014388E" w:rsidRDefault="0014388E">
      <w:pPr>
        <w:pStyle w:val="Kazalovsebine2"/>
        <w:rPr>
          <w:rFonts w:eastAsia="SimSun"/>
          <w:noProof/>
          <w:snapToGrid/>
          <w:szCs w:val="24"/>
          <w:lang w:val="sl-SI"/>
        </w:rPr>
      </w:pPr>
      <w:hyperlink w:anchor="_Toc416192499" w:history="1">
        <w:r w:rsidRPr="00CF0C30">
          <w:rPr>
            <w:rStyle w:val="Hiperpovezava"/>
            <w:noProof/>
          </w:rPr>
          <w:t>3.3. Report on the ex-ante evaluation</w:t>
        </w:r>
        <w:r>
          <w:rPr>
            <w:noProof/>
            <w:webHidden/>
          </w:rPr>
          <w:tab/>
        </w:r>
        <w:r>
          <w:rPr>
            <w:noProof/>
            <w:webHidden/>
          </w:rPr>
          <w:fldChar w:fldCharType="begin"/>
        </w:r>
        <w:r>
          <w:rPr>
            <w:noProof/>
            <w:webHidden/>
          </w:rPr>
          <w:instrText xml:space="preserve"> PAGEREF _Toc416192499 \h </w:instrText>
        </w:r>
        <w:r>
          <w:rPr>
            <w:noProof/>
          </w:rPr>
        </w:r>
        <w:r>
          <w:rPr>
            <w:noProof/>
            <w:webHidden/>
          </w:rPr>
          <w:fldChar w:fldCharType="separate"/>
        </w:r>
        <w:r>
          <w:rPr>
            <w:noProof/>
            <w:webHidden/>
          </w:rPr>
          <w:t>35</w:t>
        </w:r>
        <w:r>
          <w:rPr>
            <w:noProof/>
            <w:webHidden/>
          </w:rPr>
          <w:fldChar w:fldCharType="end"/>
        </w:r>
      </w:hyperlink>
    </w:p>
    <w:p w:rsidR="0014388E" w:rsidRDefault="0014388E">
      <w:pPr>
        <w:pStyle w:val="Kazalovsebine1"/>
        <w:rPr>
          <w:rFonts w:eastAsia="SimSun"/>
          <w:caps w:val="0"/>
          <w:noProof/>
          <w:snapToGrid/>
          <w:szCs w:val="24"/>
          <w:lang w:val="sl-SI"/>
        </w:rPr>
      </w:pPr>
      <w:hyperlink w:anchor="_Toc416192500" w:history="1">
        <w:r w:rsidRPr="00CF0C30">
          <w:rPr>
            <w:rStyle w:val="Hiperpovezava"/>
            <w:noProof/>
          </w:rPr>
          <w:t>4. SWOT ANALYSIS AND DEFINITION OF NEEDS</w:t>
        </w:r>
        <w:r>
          <w:rPr>
            <w:noProof/>
            <w:webHidden/>
          </w:rPr>
          <w:tab/>
        </w:r>
        <w:r>
          <w:rPr>
            <w:noProof/>
            <w:webHidden/>
          </w:rPr>
          <w:fldChar w:fldCharType="begin"/>
        </w:r>
        <w:r>
          <w:rPr>
            <w:noProof/>
            <w:webHidden/>
          </w:rPr>
          <w:instrText xml:space="preserve"> PAGEREF _Toc416192500 \h </w:instrText>
        </w:r>
        <w:r>
          <w:rPr>
            <w:noProof/>
          </w:rPr>
        </w:r>
        <w:r>
          <w:rPr>
            <w:noProof/>
            <w:webHidden/>
          </w:rPr>
          <w:fldChar w:fldCharType="separate"/>
        </w:r>
        <w:r>
          <w:rPr>
            <w:noProof/>
            <w:webHidden/>
          </w:rPr>
          <w:t>36</w:t>
        </w:r>
        <w:r>
          <w:rPr>
            <w:noProof/>
            <w:webHidden/>
          </w:rPr>
          <w:fldChar w:fldCharType="end"/>
        </w:r>
      </w:hyperlink>
    </w:p>
    <w:p w:rsidR="0014388E" w:rsidRDefault="0014388E">
      <w:pPr>
        <w:pStyle w:val="Kazalovsebine2"/>
        <w:rPr>
          <w:rFonts w:eastAsia="SimSun"/>
          <w:noProof/>
          <w:snapToGrid/>
          <w:szCs w:val="24"/>
          <w:lang w:val="sl-SI"/>
        </w:rPr>
      </w:pPr>
      <w:hyperlink w:anchor="_Toc416192501" w:history="1">
        <w:r w:rsidRPr="00CF0C30">
          <w:rPr>
            <w:rStyle w:val="Hiperpovezava"/>
            <w:noProof/>
          </w:rPr>
          <w:t>4.1. SWOT Analysis</w:t>
        </w:r>
        <w:r>
          <w:rPr>
            <w:noProof/>
            <w:webHidden/>
          </w:rPr>
          <w:tab/>
        </w:r>
        <w:r>
          <w:rPr>
            <w:noProof/>
            <w:webHidden/>
          </w:rPr>
          <w:fldChar w:fldCharType="begin"/>
        </w:r>
        <w:r>
          <w:rPr>
            <w:noProof/>
            <w:webHidden/>
          </w:rPr>
          <w:instrText xml:space="preserve"> PAGEREF _Toc416192501 \h </w:instrText>
        </w:r>
        <w:r>
          <w:rPr>
            <w:noProof/>
          </w:rPr>
        </w:r>
        <w:r>
          <w:rPr>
            <w:noProof/>
            <w:webHidden/>
          </w:rPr>
          <w:fldChar w:fldCharType="separate"/>
        </w:r>
        <w:r>
          <w:rPr>
            <w:noProof/>
            <w:webHidden/>
          </w:rPr>
          <w:t>36</w:t>
        </w:r>
        <w:r>
          <w:rPr>
            <w:noProof/>
            <w:webHidden/>
          </w:rPr>
          <w:fldChar w:fldCharType="end"/>
        </w:r>
      </w:hyperlink>
    </w:p>
    <w:p w:rsidR="0014388E" w:rsidRDefault="0014388E">
      <w:pPr>
        <w:pStyle w:val="Kazalovsebine3"/>
        <w:rPr>
          <w:rFonts w:eastAsia="SimSun"/>
          <w:noProof/>
          <w:snapToGrid/>
          <w:szCs w:val="24"/>
          <w:lang w:val="sl-SI"/>
        </w:rPr>
      </w:pPr>
      <w:hyperlink w:anchor="_Toc416192502" w:history="1">
        <w:r w:rsidRPr="00CF0C30">
          <w:rPr>
            <w:rStyle w:val="Hiperpovezava"/>
            <w:noProof/>
          </w:rPr>
          <w:t>4.1.1. Comprehensive general description of the current situation of the programme field bases on joint situation indicators and situation indicators for individual programmes, as well as descriptive information</w:t>
        </w:r>
        <w:r>
          <w:rPr>
            <w:noProof/>
            <w:webHidden/>
          </w:rPr>
          <w:tab/>
        </w:r>
        <w:r>
          <w:rPr>
            <w:noProof/>
            <w:webHidden/>
          </w:rPr>
          <w:fldChar w:fldCharType="begin"/>
        </w:r>
        <w:r>
          <w:rPr>
            <w:noProof/>
            <w:webHidden/>
          </w:rPr>
          <w:instrText xml:space="preserve"> PAGEREF _Toc416192502 \h </w:instrText>
        </w:r>
        <w:r>
          <w:rPr>
            <w:noProof/>
          </w:rPr>
        </w:r>
        <w:r>
          <w:rPr>
            <w:noProof/>
            <w:webHidden/>
          </w:rPr>
          <w:fldChar w:fldCharType="separate"/>
        </w:r>
        <w:r>
          <w:rPr>
            <w:noProof/>
            <w:webHidden/>
          </w:rPr>
          <w:t>36</w:t>
        </w:r>
        <w:r>
          <w:rPr>
            <w:noProof/>
            <w:webHidden/>
          </w:rPr>
          <w:fldChar w:fldCharType="end"/>
        </w:r>
      </w:hyperlink>
    </w:p>
    <w:p w:rsidR="0014388E" w:rsidRDefault="0014388E">
      <w:pPr>
        <w:pStyle w:val="Kazalovsebine3"/>
        <w:rPr>
          <w:rFonts w:eastAsia="SimSun"/>
          <w:noProof/>
          <w:snapToGrid/>
          <w:szCs w:val="24"/>
          <w:lang w:val="sl-SI"/>
        </w:rPr>
      </w:pPr>
      <w:hyperlink w:anchor="_Toc416192503" w:history="1">
        <w:r w:rsidRPr="00CF0C30">
          <w:rPr>
            <w:rStyle w:val="Hiperpovezava"/>
            <w:noProof/>
          </w:rPr>
          <w:t>4.1.2. Strengths determined in the programme area</w:t>
        </w:r>
        <w:r>
          <w:rPr>
            <w:noProof/>
            <w:webHidden/>
          </w:rPr>
          <w:tab/>
        </w:r>
        <w:r>
          <w:rPr>
            <w:noProof/>
            <w:webHidden/>
          </w:rPr>
          <w:fldChar w:fldCharType="begin"/>
        </w:r>
        <w:r>
          <w:rPr>
            <w:noProof/>
            <w:webHidden/>
          </w:rPr>
          <w:instrText xml:space="preserve"> PAGEREF _Toc416192503 \h </w:instrText>
        </w:r>
        <w:r>
          <w:rPr>
            <w:noProof/>
          </w:rPr>
        </w:r>
        <w:r>
          <w:rPr>
            <w:noProof/>
            <w:webHidden/>
          </w:rPr>
          <w:fldChar w:fldCharType="separate"/>
        </w:r>
        <w:r>
          <w:rPr>
            <w:noProof/>
            <w:webHidden/>
          </w:rPr>
          <w:t>52</w:t>
        </w:r>
        <w:r>
          <w:rPr>
            <w:noProof/>
            <w:webHidden/>
          </w:rPr>
          <w:fldChar w:fldCharType="end"/>
        </w:r>
      </w:hyperlink>
    </w:p>
    <w:p w:rsidR="0014388E" w:rsidRDefault="0014388E">
      <w:pPr>
        <w:pStyle w:val="Kazalovsebine3"/>
        <w:rPr>
          <w:rFonts w:eastAsia="SimSun"/>
          <w:noProof/>
          <w:snapToGrid/>
          <w:szCs w:val="24"/>
          <w:lang w:val="sl-SI"/>
        </w:rPr>
      </w:pPr>
      <w:hyperlink w:anchor="_Toc416192504" w:history="1">
        <w:r w:rsidRPr="00CF0C30">
          <w:rPr>
            <w:rStyle w:val="Hiperpovezava"/>
            <w:noProof/>
          </w:rPr>
          <w:t>4.1.3. Weaknesses determined in the programme area</w:t>
        </w:r>
        <w:r>
          <w:rPr>
            <w:noProof/>
            <w:webHidden/>
          </w:rPr>
          <w:tab/>
        </w:r>
        <w:r>
          <w:rPr>
            <w:noProof/>
            <w:webHidden/>
          </w:rPr>
          <w:fldChar w:fldCharType="begin"/>
        </w:r>
        <w:r>
          <w:rPr>
            <w:noProof/>
            <w:webHidden/>
          </w:rPr>
          <w:instrText xml:space="preserve"> PAGEREF _Toc416192504 \h </w:instrText>
        </w:r>
        <w:r>
          <w:rPr>
            <w:noProof/>
          </w:rPr>
        </w:r>
        <w:r>
          <w:rPr>
            <w:noProof/>
            <w:webHidden/>
          </w:rPr>
          <w:fldChar w:fldCharType="separate"/>
        </w:r>
        <w:r>
          <w:rPr>
            <w:noProof/>
            <w:webHidden/>
          </w:rPr>
          <w:t>54</w:t>
        </w:r>
        <w:r>
          <w:rPr>
            <w:noProof/>
            <w:webHidden/>
          </w:rPr>
          <w:fldChar w:fldCharType="end"/>
        </w:r>
      </w:hyperlink>
    </w:p>
    <w:p w:rsidR="0014388E" w:rsidRDefault="0014388E">
      <w:pPr>
        <w:pStyle w:val="Kazalovsebine3"/>
        <w:rPr>
          <w:rFonts w:eastAsia="SimSun"/>
          <w:noProof/>
          <w:snapToGrid/>
          <w:szCs w:val="24"/>
          <w:lang w:val="sl-SI"/>
        </w:rPr>
      </w:pPr>
      <w:hyperlink w:anchor="_Toc416192505" w:history="1">
        <w:r w:rsidRPr="00CF0C30">
          <w:rPr>
            <w:rStyle w:val="Hiperpovezava"/>
            <w:noProof/>
          </w:rPr>
          <w:t>4.1.4. Opportunities determined in the programme area</w:t>
        </w:r>
        <w:r>
          <w:rPr>
            <w:noProof/>
            <w:webHidden/>
          </w:rPr>
          <w:tab/>
        </w:r>
        <w:r>
          <w:rPr>
            <w:noProof/>
            <w:webHidden/>
          </w:rPr>
          <w:fldChar w:fldCharType="begin"/>
        </w:r>
        <w:r>
          <w:rPr>
            <w:noProof/>
            <w:webHidden/>
          </w:rPr>
          <w:instrText xml:space="preserve"> PAGEREF _Toc416192505 \h </w:instrText>
        </w:r>
        <w:r>
          <w:rPr>
            <w:noProof/>
          </w:rPr>
        </w:r>
        <w:r>
          <w:rPr>
            <w:noProof/>
            <w:webHidden/>
          </w:rPr>
          <w:fldChar w:fldCharType="separate"/>
        </w:r>
        <w:r>
          <w:rPr>
            <w:noProof/>
            <w:webHidden/>
          </w:rPr>
          <w:t>57</w:t>
        </w:r>
        <w:r>
          <w:rPr>
            <w:noProof/>
            <w:webHidden/>
          </w:rPr>
          <w:fldChar w:fldCharType="end"/>
        </w:r>
      </w:hyperlink>
    </w:p>
    <w:p w:rsidR="0014388E" w:rsidRDefault="0014388E">
      <w:pPr>
        <w:pStyle w:val="Kazalovsebine3"/>
        <w:rPr>
          <w:rFonts w:eastAsia="SimSun"/>
          <w:noProof/>
          <w:snapToGrid/>
          <w:szCs w:val="24"/>
          <w:lang w:val="sl-SI"/>
        </w:rPr>
      </w:pPr>
      <w:hyperlink w:anchor="_Toc416192506" w:history="1">
        <w:r w:rsidRPr="00CF0C30">
          <w:rPr>
            <w:rStyle w:val="Hiperpovezava"/>
            <w:noProof/>
          </w:rPr>
          <w:t>4.1.5. Threats determined in the programme area</w:t>
        </w:r>
        <w:r>
          <w:rPr>
            <w:noProof/>
            <w:webHidden/>
          </w:rPr>
          <w:tab/>
        </w:r>
        <w:r>
          <w:rPr>
            <w:noProof/>
            <w:webHidden/>
          </w:rPr>
          <w:fldChar w:fldCharType="begin"/>
        </w:r>
        <w:r>
          <w:rPr>
            <w:noProof/>
            <w:webHidden/>
          </w:rPr>
          <w:instrText xml:space="preserve"> PAGEREF _Toc416192506 \h </w:instrText>
        </w:r>
        <w:r>
          <w:rPr>
            <w:noProof/>
          </w:rPr>
        </w:r>
        <w:r>
          <w:rPr>
            <w:noProof/>
            <w:webHidden/>
          </w:rPr>
          <w:fldChar w:fldCharType="separate"/>
        </w:r>
        <w:r>
          <w:rPr>
            <w:noProof/>
            <w:webHidden/>
          </w:rPr>
          <w:t>60</w:t>
        </w:r>
        <w:r>
          <w:rPr>
            <w:noProof/>
            <w:webHidden/>
          </w:rPr>
          <w:fldChar w:fldCharType="end"/>
        </w:r>
      </w:hyperlink>
    </w:p>
    <w:p w:rsidR="0014388E" w:rsidRDefault="0014388E">
      <w:pPr>
        <w:pStyle w:val="Kazalovsebine3"/>
        <w:rPr>
          <w:rFonts w:eastAsia="SimSun"/>
          <w:noProof/>
          <w:snapToGrid/>
          <w:szCs w:val="24"/>
          <w:lang w:val="sl-SI"/>
        </w:rPr>
      </w:pPr>
      <w:hyperlink w:anchor="_Toc416192507" w:history="1">
        <w:r w:rsidRPr="00CF0C30">
          <w:rPr>
            <w:rStyle w:val="Hiperpovezava"/>
            <w:noProof/>
          </w:rPr>
          <w:t>4.1.6. Common indicators of situation</w:t>
        </w:r>
        <w:r>
          <w:rPr>
            <w:noProof/>
            <w:webHidden/>
          </w:rPr>
          <w:tab/>
        </w:r>
        <w:r>
          <w:rPr>
            <w:noProof/>
            <w:webHidden/>
          </w:rPr>
          <w:fldChar w:fldCharType="begin"/>
        </w:r>
        <w:r>
          <w:rPr>
            <w:noProof/>
            <w:webHidden/>
          </w:rPr>
          <w:instrText xml:space="preserve"> PAGEREF _Toc416192507 \h </w:instrText>
        </w:r>
        <w:r>
          <w:rPr>
            <w:noProof/>
          </w:rPr>
        </w:r>
        <w:r>
          <w:rPr>
            <w:noProof/>
            <w:webHidden/>
          </w:rPr>
          <w:fldChar w:fldCharType="separate"/>
        </w:r>
        <w:r>
          <w:rPr>
            <w:noProof/>
            <w:webHidden/>
          </w:rPr>
          <w:t>63</w:t>
        </w:r>
        <w:r>
          <w:rPr>
            <w:noProof/>
            <w:webHidden/>
          </w:rPr>
          <w:fldChar w:fldCharType="end"/>
        </w:r>
      </w:hyperlink>
    </w:p>
    <w:p w:rsidR="0014388E" w:rsidRDefault="0014388E">
      <w:pPr>
        <w:pStyle w:val="Kazalovsebine3"/>
        <w:rPr>
          <w:rFonts w:eastAsia="SimSun"/>
          <w:noProof/>
          <w:snapToGrid/>
          <w:szCs w:val="24"/>
          <w:lang w:val="sl-SI"/>
        </w:rPr>
      </w:pPr>
      <w:hyperlink w:anchor="_Toc416192508" w:history="1">
        <w:r w:rsidRPr="00CF0C30">
          <w:rPr>
            <w:rStyle w:val="Hiperpovezava"/>
            <w:noProof/>
          </w:rPr>
          <w:t>4.1.7. Situation indicators for individual programmes</w:t>
        </w:r>
        <w:r>
          <w:rPr>
            <w:noProof/>
            <w:webHidden/>
          </w:rPr>
          <w:tab/>
        </w:r>
        <w:r>
          <w:rPr>
            <w:noProof/>
            <w:webHidden/>
          </w:rPr>
          <w:fldChar w:fldCharType="begin"/>
        </w:r>
        <w:r>
          <w:rPr>
            <w:noProof/>
            <w:webHidden/>
          </w:rPr>
          <w:instrText xml:space="preserve"> PAGEREF _Toc416192508 \h </w:instrText>
        </w:r>
        <w:r>
          <w:rPr>
            <w:noProof/>
          </w:rPr>
        </w:r>
        <w:r>
          <w:rPr>
            <w:noProof/>
            <w:webHidden/>
          </w:rPr>
          <w:fldChar w:fldCharType="separate"/>
        </w:r>
        <w:r>
          <w:rPr>
            <w:noProof/>
            <w:webHidden/>
          </w:rPr>
          <w:t>70</w:t>
        </w:r>
        <w:r>
          <w:rPr>
            <w:noProof/>
            <w:webHidden/>
          </w:rPr>
          <w:fldChar w:fldCharType="end"/>
        </w:r>
      </w:hyperlink>
    </w:p>
    <w:p w:rsidR="0014388E" w:rsidRDefault="0014388E">
      <w:pPr>
        <w:pStyle w:val="Kazalovsebine2"/>
        <w:rPr>
          <w:rFonts w:eastAsia="SimSun"/>
          <w:noProof/>
          <w:snapToGrid/>
          <w:szCs w:val="24"/>
          <w:lang w:val="sl-SI"/>
        </w:rPr>
      </w:pPr>
      <w:hyperlink w:anchor="_Toc416192509" w:history="1">
        <w:r w:rsidRPr="00CF0C30">
          <w:rPr>
            <w:rStyle w:val="Hiperpovezava"/>
            <w:noProof/>
          </w:rPr>
          <w:t>4.2. Assessment of needs</w:t>
        </w:r>
        <w:r>
          <w:rPr>
            <w:noProof/>
            <w:webHidden/>
          </w:rPr>
          <w:tab/>
        </w:r>
        <w:r>
          <w:rPr>
            <w:noProof/>
            <w:webHidden/>
          </w:rPr>
          <w:fldChar w:fldCharType="begin"/>
        </w:r>
        <w:r>
          <w:rPr>
            <w:noProof/>
            <w:webHidden/>
          </w:rPr>
          <w:instrText xml:space="preserve"> PAGEREF _Toc416192509 \h </w:instrText>
        </w:r>
        <w:r>
          <w:rPr>
            <w:noProof/>
          </w:rPr>
        </w:r>
        <w:r>
          <w:rPr>
            <w:noProof/>
            <w:webHidden/>
          </w:rPr>
          <w:fldChar w:fldCharType="separate"/>
        </w:r>
        <w:r>
          <w:rPr>
            <w:noProof/>
            <w:webHidden/>
          </w:rPr>
          <w:t>71</w:t>
        </w:r>
        <w:r>
          <w:rPr>
            <w:noProof/>
            <w:webHidden/>
          </w:rPr>
          <w:fldChar w:fldCharType="end"/>
        </w:r>
      </w:hyperlink>
    </w:p>
    <w:p w:rsidR="0014388E" w:rsidRDefault="0014388E">
      <w:pPr>
        <w:pStyle w:val="Kazalovsebine3"/>
        <w:rPr>
          <w:rFonts w:eastAsia="SimSun"/>
          <w:noProof/>
          <w:snapToGrid/>
          <w:szCs w:val="24"/>
          <w:lang w:val="sl-SI"/>
        </w:rPr>
      </w:pPr>
      <w:hyperlink w:anchor="_Toc416192510" w:history="1">
        <w:r w:rsidRPr="00CF0C30">
          <w:rPr>
            <w:rStyle w:val="Hiperpovezava"/>
            <w:noProof/>
          </w:rPr>
          <w:t>4.2.1. N01 - Increasing productivity in agriculture</w:t>
        </w:r>
        <w:r>
          <w:rPr>
            <w:noProof/>
            <w:webHidden/>
          </w:rPr>
          <w:tab/>
        </w:r>
        <w:r>
          <w:rPr>
            <w:noProof/>
            <w:webHidden/>
          </w:rPr>
          <w:fldChar w:fldCharType="begin"/>
        </w:r>
        <w:r>
          <w:rPr>
            <w:noProof/>
            <w:webHidden/>
          </w:rPr>
          <w:instrText xml:space="preserve"> PAGEREF _Toc416192510 \h </w:instrText>
        </w:r>
        <w:r>
          <w:rPr>
            <w:noProof/>
          </w:rPr>
        </w:r>
        <w:r>
          <w:rPr>
            <w:noProof/>
            <w:webHidden/>
          </w:rPr>
          <w:fldChar w:fldCharType="separate"/>
        </w:r>
        <w:r>
          <w:rPr>
            <w:noProof/>
            <w:webHidden/>
          </w:rPr>
          <w:t>74</w:t>
        </w:r>
        <w:r>
          <w:rPr>
            <w:noProof/>
            <w:webHidden/>
          </w:rPr>
          <w:fldChar w:fldCharType="end"/>
        </w:r>
      </w:hyperlink>
    </w:p>
    <w:p w:rsidR="0014388E" w:rsidRDefault="0014388E">
      <w:pPr>
        <w:pStyle w:val="Kazalovsebine3"/>
        <w:rPr>
          <w:rFonts w:eastAsia="SimSun"/>
          <w:noProof/>
          <w:snapToGrid/>
          <w:szCs w:val="24"/>
          <w:lang w:val="sl-SI"/>
        </w:rPr>
      </w:pPr>
      <w:hyperlink w:anchor="_Toc416192511" w:history="1">
        <w:r w:rsidRPr="00CF0C30">
          <w:rPr>
            <w:rStyle w:val="Hiperpovezava"/>
            <w:noProof/>
          </w:rPr>
          <w:t>4.2.2. N02 - Improving the size structure and decreasing fragmentation of agricultural holdings as well as regulating agricultural infrastructure</w:t>
        </w:r>
        <w:r>
          <w:rPr>
            <w:noProof/>
            <w:webHidden/>
          </w:rPr>
          <w:tab/>
        </w:r>
        <w:r>
          <w:rPr>
            <w:noProof/>
            <w:webHidden/>
          </w:rPr>
          <w:fldChar w:fldCharType="begin"/>
        </w:r>
        <w:r>
          <w:rPr>
            <w:noProof/>
            <w:webHidden/>
          </w:rPr>
          <w:instrText xml:space="preserve"> PAGEREF _Toc416192511 \h </w:instrText>
        </w:r>
        <w:r>
          <w:rPr>
            <w:noProof/>
          </w:rPr>
        </w:r>
        <w:r>
          <w:rPr>
            <w:noProof/>
            <w:webHidden/>
          </w:rPr>
          <w:fldChar w:fldCharType="separate"/>
        </w:r>
        <w:r>
          <w:rPr>
            <w:noProof/>
            <w:webHidden/>
          </w:rPr>
          <w:t>75</w:t>
        </w:r>
        <w:r>
          <w:rPr>
            <w:noProof/>
            <w:webHidden/>
          </w:rPr>
          <w:fldChar w:fldCharType="end"/>
        </w:r>
      </w:hyperlink>
    </w:p>
    <w:p w:rsidR="0014388E" w:rsidRDefault="0014388E">
      <w:pPr>
        <w:pStyle w:val="Kazalovsebine3"/>
        <w:rPr>
          <w:rFonts w:eastAsia="SimSun"/>
          <w:noProof/>
          <w:snapToGrid/>
          <w:szCs w:val="24"/>
          <w:lang w:val="sl-SI"/>
        </w:rPr>
      </w:pPr>
      <w:hyperlink w:anchor="_Toc416192512" w:history="1">
        <w:r w:rsidRPr="00CF0C30">
          <w:rPr>
            <w:rStyle w:val="Hiperpovezava"/>
            <w:noProof/>
          </w:rPr>
          <w:t>4.2.3. N03 - Improving the age structure of owners of agricultural holdings</w:t>
        </w:r>
        <w:r>
          <w:rPr>
            <w:noProof/>
            <w:webHidden/>
          </w:rPr>
          <w:tab/>
        </w:r>
        <w:r>
          <w:rPr>
            <w:noProof/>
            <w:webHidden/>
          </w:rPr>
          <w:fldChar w:fldCharType="begin"/>
        </w:r>
        <w:r>
          <w:rPr>
            <w:noProof/>
            <w:webHidden/>
          </w:rPr>
          <w:instrText xml:space="preserve"> PAGEREF _Toc416192512 \h </w:instrText>
        </w:r>
        <w:r>
          <w:rPr>
            <w:noProof/>
          </w:rPr>
        </w:r>
        <w:r>
          <w:rPr>
            <w:noProof/>
            <w:webHidden/>
          </w:rPr>
          <w:fldChar w:fldCharType="separate"/>
        </w:r>
        <w:r>
          <w:rPr>
            <w:noProof/>
            <w:webHidden/>
          </w:rPr>
          <w:t>76</w:t>
        </w:r>
        <w:r>
          <w:rPr>
            <w:noProof/>
            <w:webHidden/>
          </w:rPr>
          <w:fldChar w:fldCharType="end"/>
        </w:r>
      </w:hyperlink>
    </w:p>
    <w:p w:rsidR="0014388E" w:rsidRDefault="0014388E">
      <w:pPr>
        <w:pStyle w:val="Kazalovsebine3"/>
        <w:rPr>
          <w:rFonts w:eastAsia="SimSun"/>
          <w:noProof/>
          <w:snapToGrid/>
          <w:szCs w:val="24"/>
          <w:lang w:val="sl-SI"/>
        </w:rPr>
      </w:pPr>
      <w:hyperlink w:anchor="_Toc416192513" w:history="1">
        <w:r w:rsidRPr="00CF0C30">
          <w:rPr>
            <w:rStyle w:val="Hiperpovezava"/>
            <w:noProof/>
          </w:rPr>
          <w:t>4.2.4. N04 - Improving qualifications in agriculture, forestry and the food industry</w:t>
        </w:r>
        <w:r>
          <w:rPr>
            <w:noProof/>
            <w:webHidden/>
          </w:rPr>
          <w:tab/>
        </w:r>
        <w:r>
          <w:rPr>
            <w:noProof/>
            <w:webHidden/>
          </w:rPr>
          <w:fldChar w:fldCharType="begin"/>
        </w:r>
        <w:r>
          <w:rPr>
            <w:noProof/>
            <w:webHidden/>
          </w:rPr>
          <w:instrText xml:space="preserve"> PAGEREF _Toc416192513 \h </w:instrText>
        </w:r>
        <w:r>
          <w:rPr>
            <w:noProof/>
          </w:rPr>
        </w:r>
        <w:r>
          <w:rPr>
            <w:noProof/>
            <w:webHidden/>
          </w:rPr>
          <w:fldChar w:fldCharType="separate"/>
        </w:r>
        <w:r>
          <w:rPr>
            <w:noProof/>
            <w:webHidden/>
          </w:rPr>
          <w:t>77</w:t>
        </w:r>
        <w:r>
          <w:rPr>
            <w:noProof/>
            <w:webHidden/>
          </w:rPr>
          <w:fldChar w:fldCharType="end"/>
        </w:r>
      </w:hyperlink>
    </w:p>
    <w:p w:rsidR="0014388E" w:rsidRDefault="0014388E">
      <w:pPr>
        <w:pStyle w:val="Kazalovsebine3"/>
        <w:rPr>
          <w:rFonts w:eastAsia="SimSun"/>
          <w:noProof/>
          <w:snapToGrid/>
          <w:szCs w:val="24"/>
          <w:lang w:val="sl-SI"/>
        </w:rPr>
      </w:pPr>
      <w:hyperlink w:anchor="_Toc416192514" w:history="1">
        <w:r w:rsidRPr="00CF0C30">
          <w:rPr>
            <w:rStyle w:val="Hiperpovezava"/>
            <w:noProof/>
          </w:rPr>
          <w:t>4.2.5. N05 - Upgrading the qualifications of consultants</w:t>
        </w:r>
        <w:r>
          <w:rPr>
            <w:noProof/>
            <w:webHidden/>
          </w:rPr>
          <w:tab/>
        </w:r>
        <w:r>
          <w:rPr>
            <w:noProof/>
            <w:webHidden/>
          </w:rPr>
          <w:fldChar w:fldCharType="begin"/>
        </w:r>
        <w:r>
          <w:rPr>
            <w:noProof/>
            <w:webHidden/>
          </w:rPr>
          <w:instrText xml:space="preserve"> PAGEREF _Toc416192514 \h </w:instrText>
        </w:r>
        <w:r>
          <w:rPr>
            <w:noProof/>
          </w:rPr>
        </w:r>
        <w:r>
          <w:rPr>
            <w:noProof/>
            <w:webHidden/>
          </w:rPr>
          <w:fldChar w:fldCharType="separate"/>
        </w:r>
        <w:r>
          <w:rPr>
            <w:noProof/>
            <w:webHidden/>
          </w:rPr>
          <w:t>78</w:t>
        </w:r>
        <w:r>
          <w:rPr>
            <w:noProof/>
            <w:webHidden/>
          </w:rPr>
          <w:fldChar w:fldCharType="end"/>
        </w:r>
      </w:hyperlink>
    </w:p>
    <w:p w:rsidR="0014388E" w:rsidRDefault="0014388E">
      <w:pPr>
        <w:pStyle w:val="Kazalovsebine3"/>
        <w:rPr>
          <w:rFonts w:eastAsia="SimSun"/>
          <w:noProof/>
          <w:snapToGrid/>
          <w:szCs w:val="24"/>
          <w:lang w:val="sl-SI"/>
        </w:rPr>
      </w:pPr>
      <w:hyperlink w:anchor="_Toc416192515" w:history="1">
        <w:r w:rsidRPr="00CF0C30">
          <w:rPr>
            <w:rStyle w:val="Hiperpovezava"/>
            <w:noProof/>
          </w:rPr>
          <w:t>4.2.6. N06 - Guaranteeing specialised advisory services in the agricultural sector</w:t>
        </w:r>
        <w:r>
          <w:rPr>
            <w:noProof/>
            <w:webHidden/>
          </w:rPr>
          <w:tab/>
        </w:r>
        <w:r>
          <w:rPr>
            <w:noProof/>
            <w:webHidden/>
          </w:rPr>
          <w:fldChar w:fldCharType="begin"/>
        </w:r>
        <w:r>
          <w:rPr>
            <w:noProof/>
            <w:webHidden/>
          </w:rPr>
          <w:instrText xml:space="preserve"> PAGEREF _Toc416192515 \h </w:instrText>
        </w:r>
        <w:r>
          <w:rPr>
            <w:noProof/>
          </w:rPr>
        </w:r>
        <w:r>
          <w:rPr>
            <w:noProof/>
            <w:webHidden/>
          </w:rPr>
          <w:fldChar w:fldCharType="separate"/>
        </w:r>
        <w:r>
          <w:rPr>
            <w:noProof/>
            <w:webHidden/>
          </w:rPr>
          <w:t>78</w:t>
        </w:r>
        <w:r>
          <w:rPr>
            <w:noProof/>
            <w:webHidden/>
          </w:rPr>
          <w:fldChar w:fldCharType="end"/>
        </w:r>
      </w:hyperlink>
    </w:p>
    <w:p w:rsidR="0014388E" w:rsidRDefault="0014388E">
      <w:pPr>
        <w:pStyle w:val="Kazalovsebine3"/>
        <w:rPr>
          <w:rFonts w:eastAsia="SimSun"/>
          <w:noProof/>
          <w:snapToGrid/>
          <w:szCs w:val="24"/>
          <w:lang w:val="sl-SI"/>
        </w:rPr>
      </w:pPr>
      <w:hyperlink w:anchor="_Toc416192516" w:history="1">
        <w:r w:rsidRPr="00CF0C30">
          <w:rPr>
            <w:rStyle w:val="Hiperpovezava"/>
            <w:noProof/>
          </w:rPr>
          <w:t>4.2.7. N07 - More efficient transfer of knowledge and innovation in agriculture, the food industry and forestry</w:t>
        </w:r>
        <w:r>
          <w:rPr>
            <w:noProof/>
            <w:webHidden/>
          </w:rPr>
          <w:tab/>
        </w:r>
        <w:r>
          <w:rPr>
            <w:noProof/>
            <w:webHidden/>
          </w:rPr>
          <w:fldChar w:fldCharType="begin"/>
        </w:r>
        <w:r>
          <w:rPr>
            <w:noProof/>
            <w:webHidden/>
          </w:rPr>
          <w:instrText xml:space="preserve"> PAGEREF _Toc416192516 \h </w:instrText>
        </w:r>
        <w:r>
          <w:rPr>
            <w:noProof/>
          </w:rPr>
        </w:r>
        <w:r>
          <w:rPr>
            <w:noProof/>
            <w:webHidden/>
          </w:rPr>
          <w:fldChar w:fldCharType="separate"/>
        </w:r>
        <w:r>
          <w:rPr>
            <w:noProof/>
            <w:webHidden/>
          </w:rPr>
          <w:t>79</w:t>
        </w:r>
        <w:r>
          <w:rPr>
            <w:noProof/>
            <w:webHidden/>
          </w:rPr>
          <w:fldChar w:fldCharType="end"/>
        </w:r>
      </w:hyperlink>
    </w:p>
    <w:p w:rsidR="0014388E" w:rsidRDefault="0014388E">
      <w:pPr>
        <w:pStyle w:val="Kazalovsebine3"/>
        <w:rPr>
          <w:rFonts w:eastAsia="SimSun"/>
          <w:noProof/>
          <w:snapToGrid/>
          <w:szCs w:val="24"/>
          <w:lang w:val="sl-SI"/>
        </w:rPr>
      </w:pPr>
      <w:hyperlink w:anchor="_Toc416192517" w:history="1">
        <w:r w:rsidRPr="00CF0C30">
          <w:rPr>
            <w:rStyle w:val="Hiperpovezava"/>
            <w:noProof/>
          </w:rPr>
          <w:t>4.2.8. N08 - Preserving and/or improving biodiversity in habitats related to agricultural landscape</w:t>
        </w:r>
        <w:r>
          <w:rPr>
            <w:noProof/>
            <w:webHidden/>
          </w:rPr>
          <w:tab/>
        </w:r>
        <w:r>
          <w:rPr>
            <w:noProof/>
            <w:webHidden/>
          </w:rPr>
          <w:fldChar w:fldCharType="begin"/>
        </w:r>
        <w:r>
          <w:rPr>
            <w:noProof/>
            <w:webHidden/>
          </w:rPr>
          <w:instrText xml:space="preserve"> PAGEREF _Toc416192517 \h </w:instrText>
        </w:r>
        <w:r>
          <w:rPr>
            <w:noProof/>
          </w:rPr>
        </w:r>
        <w:r>
          <w:rPr>
            <w:noProof/>
            <w:webHidden/>
          </w:rPr>
          <w:fldChar w:fldCharType="separate"/>
        </w:r>
        <w:r>
          <w:rPr>
            <w:noProof/>
            <w:webHidden/>
          </w:rPr>
          <w:t>80</w:t>
        </w:r>
        <w:r>
          <w:rPr>
            <w:noProof/>
            <w:webHidden/>
          </w:rPr>
          <w:fldChar w:fldCharType="end"/>
        </w:r>
      </w:hyperlink>
    </w:p>
    <w:p w:rsidR="0014388E" w:rsidRDefault="0014388E">
      <w:pPr>
        <w:pStyle w:val="Kazalovsebine3"/>
        <w:rPr>
          <w:rFonts w:eastAsia="SimSun"/>
          <w:noProof/>
          <w:snapToGrid/>
          <w:szCs w:val="24"/>
          <w:lang w:val="sl-SI"/>
        </w:rPr>
      </w:pPr>
      <w:hyperlink w:anchor="_Toc416192518" w:history="1">
        <w:r w:rsidRPr="00CF0C30">
          <w:rPr>
            <w:rStyle w:val="Hiperpovezava"/>
            <w:noProof/>
          </w:rPr>
          <w:t>4.2.9. N09 - Reducing the negative impacts of agriculture on the quality of surface water and groundwater</w:t>
        </w:r>
        <w:r>
          <w:rPr>
            <w:noProof/>
            <w:webHidden/>
          </w:rPr>
          <w:tab/>
        </w:r>
        <w:r>
          <w:rPr>
            <w:noProof/>
            <w:webHidden/>
          </w:rPr>
          <w:fldChar w:fldCharType="begin"/>
        </w:r>
        <w:r>
          <w:rPr>
            <w:noProof/>
            <w:webHidden/>
          </w:rPr>
          <w:instrText xml:space="preserve"> PAGEREF _Toc416192518 \h </w:instrText>
        </w:r>
        <w:r>
          <w:rPr>
            <w:noProof/>
          </w:rPr>
        </w:r>
        <w:r>
          <w:rPr>
            <w:noProof/>
            <w:webHidden/>
          </w:rPr>
          <w:fldChar w:fldCharType="separate"/>
        </w:r>
        <w:r>
          <w:rPr>
            <w:noProof/>
            <w:webHidden/>
          </w:rPr>
          <w:t>82</w:t>
        </w:r>
        <w:r>
          <w:rPr>
            <w:noProof/>
            <w:webHidden/>
          </w:rPr>
          <w:fldChar w:fldCharType="end"/>
        </w:r>
      </w:hyperlink>
    </w:p>
    <w:p w:rsidR="0014388E" w:rsidRDefault="0014388E">
      <w:pPr>
        <w:pStyle w:val="Kazalovsebine3"/>
        <w:rPr>
          <w:rFonts w:eastAsia="SimSun"/>
          <w:noProof/>
          <w:snapToGrid/>
          <w:szCs w:val="24"/>
          <w:lang w:val="sl-SI"/>
        </w:rPr>
      </w:pPr>
      <w:hyperlink w:anchor="_Toc416192519" w:history="1">
        <w:r w:rsidRPr="00CF0C30">
          <w:rPr>
            <w:rStyle w:val="Hiperpovezava"/>
            <w:noProof/>
          </w:rPr>
          <w:t>4.2.10. N10 - Preserving or improving productive potential of soil</w:t>
        </w:r>
        <w:r>
          <w:rPr>
            <w:noProof/>
            <w:webHidden/>
          </w:rPr>
          <w:tab/>
        </w:r>
        <w:r>
          <w:rPr>
            <w:noProof/>
            <w:webHidden/>
          </w:rPr>
          <w:fldChar w:fldCharType="begin"/>
        </w:r>
        <w:r>
          <w:rPr>
            <w:noProof/>
            <w:webHidden/>
          </w:rPr>
          <w:instrText xml:space="preserve"> PAGEREF _Toc416192519 \h </w:instrText>
        </w:r>
        <w:r>
          <w:rPr>
            <w:noProof/>
          </w:rPr>
        </w:r>
        <w:r>
          <w:rPr>
            <w:noProof/>
            <w:webHidden/>
          </w:rPr>
          <w:fldChar w:fldCharType="separate"/>
        </w:r>
        <w:r>
          <w:rPr>
            <w:noProof/>
            <w:webHidden/>
          </w:rPr>
          <w:t>83</w:t>
        </w:r>
        <w:r>
          <w:rPr>
            <w:noProof/>
            <w:webHidden/>
          </w:rPr>
          <w:fldChar w:fldCharType="end"/>
        </w:r>
      </w:hyperlink>
    </w:p>
    <w:p w:rsidR="0014388E" w:rsidRDefault="0014388E">
      <w:pPr>
        <w:pStyle w:val="Kazalovsebine3"/>
        <w:rPr>
          <w:rFonts w:eastAsia="SimSun"/>
          <w:noProof/>
          <w:snapToGrid/>
          <w:szCs w:val="24"/>
          <w:lang w:val="sl-SI"/>
        </w:rPr>
      </w:pPr>
      <w:hyperlink w:anchor="_Toc416192520" w:history="1">
        <w:r w:rsidRPr="00CF0C30">
          <w:rPr>
            <w:rStyle w:val="Hiperpovezava"/>
            <w:noProof/>
          </w:rPr>
          <w:t>4.2.11. N11 - Preserving farming in areas with limited possibilities for agricultural activity</w:t>
        </w:r>
        <w:r>
          <w:rPr>
            <w:noProof/>
            <w:webHidden/>
          </w:rPr>
          <w:tab/>
        </w:r>
        <w:r>
          <w:rPr>
            <w:noProof/>
            <w:webHidden/>
          </w:rPr>
          <w:fldChar w:fldCharType="begin"/>
        </w:r>
        <w:r>
          <w:rPr>
            <w:noProof/>
            <w:webHidden/>
          </w:rPr>
          <w:instrText xml:space="preserve"> PAGEREF _Toc416192520 \h </w:instrText>
        </w:r>
        <w:r>
          <w:rPr>
            <w:noProof/>
          </w:rPr>
        </w:r>
        <w:r>
          <w:rPr>
            <w:noProof/>
            <w:webHidden/>
          </w:rPr>
          <w:fldChar w:fldCharType="separate"/>
        </w:r>
        <w:r>
          <w:rPr>
            <w:noProof/>
            <w:webHidden/>
          </w:rPr>
          <w:t>83</w:t>
        </w:r>
        <w:r>
          <w:rPr>
            <w:noProof/>
            <w:webHidden/>
          </w:rPr>
          <w:fldChar w:fldCharType="end"/>
        </w:r>
      </w:hyperlink>
    </w:p>
    <w:p w:rsidR="0014388E" w:rsidRDefault="0014388E">
      <w:pPr>
        <w:pStyle w:val="Kazalovsebine3"/>
        <w:rPr>
          <w:rFonts w:eastAsia="SimSun"/>
          <w:noProof/>
          <w:snapToGrid/>
          <w:szCs w:val="24"/>
          <w:lang w:val="sl-SI"/>
        </w:rPr>
      </w:pPr>
      <w:hyperlink w:anchor="_Toc416192521" w:history="1">
        <w:r w:rsidRPr="00CF0C30">
          <w:rPr>
            <w:rStyle w:val="Hiperpovezava"/>
            <w:noProof/>
          </w:rPr>
          <w:t>4.2.12. N12 - Reducing greenhouse gas emissions and ammonia in agriculture</w:t>
        </w:r>
        <w:r>
          <w:rPr>
            <w:noProof/>
            <w:webHidden/>
          </w:rPr>
          <w:tab/>
        </w:r>
        <w:r>
          <w:rPr>
            <w:noProof/>
            <w:webHidden/>
          </w:rPr>
          <w:fldChar w:fldCharType="begin"/>
        </w:r>
        <w:r>
          <w:rPr>
            <w:noProof/>
            <w:webHidden/>
          </w:rPr>
          <w:instrText xml:space="preserve"> PAGEREF _Toc416192521 \h </w:instrText>
        </w:r>
        <w:r>
          <w:rPr>
            <w:noProof/>
          </w:rPr>
        </w:r>
        <w:r>
          <w:rPr>
            <w:noProof/>
            <w:webHidden/>
          </w:rPr>
          <w:fldChar w:fldCharType="separate"/>
        </w:r>
        <w:r>
          <w:rPr>
            <w:noProof/>
            <w:webHidden/>
          </w:rPr>
          <w:t>84</w:t>
        </w:r>
        <w:r>
          <w:rPr>
            <w:noProof/>
            <w:webHidden/>
          </w:rPr>
          <w:fldChar w:fldCharType="end"/>
        </w:r>
      </w:hyperlink>
    </w:p>
    <w:p w:rsidR="0014388E" w:rsidRDefault="0014388E">
      <w:pPr>
        <w:pStyle w:val="Kazalovsebine3"/>
        <w:rPr>
          <w:rFonts w:eastAsia="SimSun"/>
          <w:noProof/>
          <w:snapToGrid/>
          <w:szCs w:val="24"/>
          <w:lang w:val="sl-SI"/>
        </w:rPr>
      </w:pPr>
      <w:hyperlink w:anchor="_Toc416192522" w:history="1">
        <w:r w:rsidRPr="00CF0C30">
          <w:rPr>
            <w:rStyle w:val="Hiperpovezava"/>
            <w:noProof/>
          </w:rPr>
          <w:t>4.2.13. N13 - Increasing the use of RES in the use of energy and increasing the energy efficiency</w:t>
        </w:r>
        <w:r>
          <w:rPr>
            <w:noProof/>
            <w:webHidden/>
          </w:rPr>
          <w:tab/>
        </w:r>
        <w:r>
          <w:rPr>
            <w:noProof/>
            <w:webHidden/>
          </w:rPr>
          <w:fldChar w:fldCharType="begin"/>
        </w:r>
        <w:r>
          <w:rPr>
            <w:noProof/>
            <w:webHidden/>
          </w:rPr>
          <w:instrText xml:space="preserve"> PAGEREF _Toc416192522 \h </w:instrText>
        </w:r>
        <w:r>
          <w:rPr>
            <w:noProof/>
          </w:rPr>
        </w:r>
        <w:r>
          <w:rPr>
            <w:noProof/>
            <w:webHidden/>
          </w:rPr>
          <w:fldChar w:fldCharType="separate"/>
        </w:r>
        <w:r>
          <w:rPr>
            <w:noProof/>
            <w:webHidden/>
          </w:rPr>
          <w:t>85</w:t>
        </w:r>
        <w:r>
          <w:rPr>
            <w:noProof/>
            <w:webHidden/>
          </w:rPr>
          <w:fldChar w:fldCharType="end"/>
        </w:r>
      </w:hyperlink>
    </w:p>
    <w:p w:rsidR="0014388E" w:rsidRDefault="0014388E">
      <w:pPr>
        <w:pStyle w:val="Kazalovsebine3"/>
        <w:rPr>
          <w:rFonts w:eastAsia="SimSun"/>
          <w:noProof/>
          <w:snapToGrid/>
          <w:szCs w:val="24"/>
          <w:lang w:val="sl-SI"/>
        </w:rPr>
      </w:pPr>
      <w:hyperlink w:anchor="_Toc416192523" w:history="1">
        <w:r w:rsidRPr="00CF0C30">
          <w:rPr>
            <w:rStyle w:val="Hiperpovezava"/>
            <w:noProof/>
          </w:rPr>
          <w:t>4.2.14. N14 - Adjustment of agriculture to climate change</w:t>
        </w:r>
        <w:r>
          <w:rPr>
            <w:noProof/>
            <w:webHidden/>
          </w:rPr>
          <w:tab/>
        </w:r>
        <w:r>
          <w:rPr>
            <w:noProof/>
            <w:webHidden/>
          </w:rPr>
          <w:fldChar w:fldCharType="begin"/>
        </w:r>
        <w:r>
          <w:rPr>
            <w:noProof/>
            <w:webHidden/>
          </w:rPr>
          <w:instrText xml:space="preserve"> PAGEREF _Toc416192523 \h </w:instrText>
        </w:r>
        <w:r>
          <w:rPr>
            <w:noProof/>
          </w:rPr>
        </w:r>
        <w:r>
          <w:rPr>
            <w:noProof/>
            <w:webHidden/>
          </w:rPr>
          <w:fldChar w:fldCharType="separate"/>
        </w:r>
        <w:r>
          <w:rPr>
            <w:noProof/>
            <w:webHidden/>
          </w:rPr>
          <w:t>86</w:t>
        </w:r>
        <w:r>
          <w:rPr>
            <w:noProof/>
            <w:webHidden/>
          </w:rPr>
          <w:fldChar w:fldCharType="end"/>
        </w:r>
      </w:hyperlink>
    </w:p>
    <w:p w:rsidR="0014388E" w:rsidRDefault="0014388E">
      <w:pPr>
        <w:pStyle w:val="Kazalovsebine3"/>
        <w:rPr>
          <w:rFonts w:eastAsia="SimSun"/>
          <w:noProof/>
          <w:snapToGrid/>
          <w:szCs w:val="24"/>
          <w:lang w:val="sl-SI"/>
        </w:rPr>
      </w:pPr>
      <w:hyperlink w:anchor="_Toc416192524" w:history="1">
        <w:r w:rsidRPr="00CF0C30">
          <w:rPr>
            <w:rStyle w:val="Hiperpovezava"/>
            <w:noProof/>
          </w:rPr>
          <w:t>4.2.15. N15 - Developing new risk management instruments</w:t>
        </w:r>
        <w:r>
          <w:rPr>
            <w:noProof/>
            <w:webHidden/>
          </w:rPr>
          <w:tab/>
        </w:r>
        <w:r>
          <w:rPr>
            <w:noProof/>
            <w:webHidden/>
          </w:rPr>
          <w:fldChar w:fldCharType="begin"/>
        </w:r>
        <w:r>
          <w:rPr>
            <w:noProof/>
            <w:webHidden/>
          </w:rPr>
          <w:instrText xml:space="preserve"> PAGEREF _Toc416192524 \h </w:instrText>
        </w:r>
        <w:r>
          <w:rPr>
            <w:noProof/>
          </w:rPr>
        </w:r>
        <w:r>
          <w:rPr>
            <w:noProof/>
            <w:webHidden/>
          </w:rPr>
          <w:fldChar w:fldCharType="separate"/>
        </w:r>
        <w:r>
          <w:rPr>
            <w:noProof/>
            <w:webHidden/>
          </w:rPr>
          <w:t>87</w:t>
        </w:r>
        <w:r>
          <w:rPr>
            <w:noProof/>
            <w:webHidden/>
          </w:rPr>
          <w:fldChar w:fldCharType="end"/>
        </w:r>
      </w:hyperlink>
    </w:p>
    <w:p w:rsidR="0014388E" w:rsidRDefault="0014388E">
      <w:pPr>
        <w:pStyle w:val="Kazalovsebine3"/>
        <w:rPr>
          <w:rFonts w:eastAsia="SimSun"/>
          <w:noProof/>
          <w:snapToGrid/>
          <w:szCs w:val="24"/>
          <w:lang w:val="sl-SI"/>
        </w:rPr>
      </w:pPr>
      <w:hyperlink w:anchor="_Toc416192525" w:history="1">
        <w:r w:rsidRPr="00CF0C30">
          <w:rPr>
            <w:rStyle w:val="Hiperpovezava"/>
            <w:noProof/>
          </w:rPr>
          <w:t>4.2.16. N16 - Stimulating the use of financial instruments</w:t>
        </w:r>
        <w:r>
          <w:rPr>
            <w:noProof/>
            <w:webHidden/>
          </w:rPr>
          <w:tab/>
        </w:r>
        <w:r>
          <w:rPr>
            <w:noProof/>
            <w:webHidden/>
          </w:rPr>
          <w:fldChar w:fldCharType="begin"/>
        </w:r>
        <w:r>
          <w:rPr>
            <w:noProof/>
            <w:webHidden/>
          </w:rPr>
          <w:instrText xml:space="preserve"> PAGEREF _Toc416192525 \h </w:instrText>
        </w:r>
        <w:r>
          <w:rPr>
            <w:noProof/>
          </w:rPr>
        </w:r>
        <w:r>
          <w:rPr>
            <w:noProof/>
            <w:webHidden/>
          </w:rPr>
          <w:fldChar w:fldCharType="separate"/>
        </w:r>
        <w:r>
          <w:rPr>
            <w:noProof/>
            <w:webHidden/>
          </w:rPr>
          <w:t>88</w:t>
        </w:r>
        <w:r>
          <w:rPr>
            <w:noProof/>
            <w:webHidden/>
          </w:rPr>
          <w:fldChar w:fldCharType="end"/>
        </w:r>
      </w:hyperlink>
    </w:p>
    <w:p w:rsidR="0014388E" w:rsidRDefault="0014388E">
      <w:pPr>
        <w:pStyle w:val="Kazalovsebine3"/>
        <w:rPr>
          <w:rFonts w:eastAsia="SimSun"/>
          <w:noProof/>
          <w:snapToGrid/>
          <w:szCs w:val="24"/>
          <w:lang w:val="sl-SI"/>
        </w:rPr>
      </w:pPr>
      <w:hyperlink w:anchor="_Toc416192526" w:history="1">
        <w:r w:rsidRPr="00CF0C30">
          <w:rPr>
            <w:rStyle w:val="Hiperpovezava"/>
            <w:noProof/>
          </w:rPr>
          <w:t>4.2.17. N17 - Stimulating organic farming and a wider range of products in quality schemes</w:t>
        </w:r>
        <w:r>
          <w:rPr>
            <w:noProof/>
            <w:webHidden/>
          </w:rPr>
          <w:tab/>
        </w:r>
        <w:r>
          <w:rPr>
            <w:noProof/>
            <w:webHidden/>
          </w:rPr>
          <w:fldChar w:fldCharType="begin"/>
        </w:r>
        <w:r>
          <w:rPr>
            <w:noProof/>
            <w:webHidden/>
          </w:rPr>
          <w:instrText xml:space="preserve"> PAGEREF _Toc416192526 \h </w:instrText>
        </w:r>
        <w:r>
          <w:rPr>
            <w:noProof/>
          </w:rPr>
        </w:r>
        <w:r>
          <w:rPr>
            <w:noProof/>
            <w:webHidden/>
          </w:rPr>
          <w:fldChar w:fldCharType="separate"/>
        </w:r>
        <w:r>
          <w:rPr>
            <w:noProof/>
            <w:webHidden/>
          </w:rPr>
          <w:t>89</w:t>
        </w:r>
        <w:r>
          <w:rPr>
            <w:noProof/>
            <w:webHidden/>
          </w:rPr>
          <w:fldChar w:fldCharType="end"/>
        </w:r>
      </w:hyperlink>
    </w:p>
    <w:p w:rsidR="0014388E" w:rsidRDefault="0014388E">
      <w:pPr>
        <w:pStyle w:val="Kazalovsebine3"/>
        <w:rPr>
          <w:rFonts w:eastAsia="SimSun"/>
          <w:noProof/>
          <w:snapToGrid/>
          <w:szCs w:val="24"/>
          <w:lang w:val="sl-SI"/>
        </w:rPr>
      </w:pPr>
      <w:hyperlink w:anchor="_Toc416192527" w:history="1">
        <w:r w:rsidRPr="00CF0C30">
          <w:rPr>
            <w:rStyle w:val="Hiperpovezava"/>
            <w:noProof/>
          </w:rPr>
          <w:t>4.2.18. N18 - Stimulating agricultural holdings to engage in higher standards of animal breeding</w:t>
        </w:r>
        <w:r>
          <w:rPr>
            <w:noProof/>
            <w:webHidden/>
          </w:rPr>
          <w:tab/>
        </w:r>
        <w:r>
          <w:rPr>
            <w:noProof/>
            <w:webHidden/>
          </w:rPr>
          <w:fldChar w:fldCharType="begin"/>
        </w:r>
        <w:r>
          <w:rPr>
            <w:noProof/>
            <w:webHidden/>
          </w:rPr>
          <w:instrText xml:space="preserve"> PAGEREF _Toc416192527 \h </w:instrText>
        </w:r>
        <w:r>
          <w:rPr>
            <w:noProof/>
          </w:rPr>
        </w:r>
        <w:r>
          <w:rPr>
            <w:noProof/>
            <w:webHidden/>
          </w:rPr>
          <w:fldChar w:fldCharType="separate"/>
        </w:r>
        <w:r>
          <w:rPr>
            <w:noProof/>
            <w:webHidden/>
          </w:rPr>
          <w:t>90</w:t>
        </w:r>
        <w:r>
          <w:rPr>
            <w:noProof/>
            <w:webHidden/>
          </w:rPr>
          <w:fldChar w:fldCharType="end"/>
        </w:r>
      </w:hyperlink>
    </w:p>
    <w:p w:rsidR="0014388E" w:rsidRDefault="0014388E">
      <w:pPr>
        <w:pStyle w:val="Kazalovsebine3"/>
        <w:rPr>
          <w:rFonts w:eastAsia="SimSun"/>
          <w:noProof/>
          <w:snapToGrid/>
          <w:szCs w:val="24"/>
          <w:lang w:val="sl-SI"/>
        </w:rPr>
      </w:pPr>
      <w:hyperlink w:anchor="_Toc416192528" w:history="1">
        <w:r w:rsidRPr="00CF0C30">
          <w:rPr>
            <w:rStyle w:val="Hiperpovezava"/>
            <w:noProof/>
          </w:rPr>
          <w:t>4.2.19. N 19 - Increasing market orientation, horizontal and vertical connections</w:t>
        </w:r>
        <w:r>
          <w:rPr>
            <w:noProof/>
            <w:webHidden/>
          </w:rPr>
          <w:tab/>
        </w:r>
        <w:r>
          <w:rPr>
            <w:noProof/>
            <w:webHidden/>
          </w:rPr>
          <w:fldChar w:fldCharType="begin"/>
        </w:r>
        <w:r>
          <w:rPr>
            <w:noProof/>
            <w:webHidden/>
          </w:rPr>
          <w:instrText xml:space="preserve"> PAGEREF _Toc416192528 \h </w:instrText>
        </w:r>
        <w:r>
          <w:rPr>
            <w:noProof/>
          </w:rPr>
        </w:r>
        <w:r>
          <w:rPr>
            <w:noProof/>
            <w:webHidden/>
          </w:rPr>
          <w:fldChar w:fldCharType="separate"/>
        </w:r>
        <w:r>
          <w:rPr>
            <w:noProof/>
            <w:webHidden/>
          </w:rPr>
          <w:t>90</w:t>
        </w:r>
        <w:r>
          <w:rPr>
            <w:noProof/>
            <w:webHidden/>
          </w:rPr>
          <w:fldChar w:fldCharType="end"/>
        </w:r>
      </w:hyperlink>
    </w:p>
    <w:p w:rsidR="0014388E" w:rsidRDefault="0014388E">
      <w:pPr>
        <w:pStyle w:val="Kazalovsebine3"/>
        <w:rPr>
          <w:rFonts w:eastAsia="SimSun"/>
          <w:noProof/>
          <w:snapToGrid/>
          <w:szCs w:val="24"/>
          <w:lang w:val="sl-SI"/>
        </w:rPr>
      </w:pPr>
      <w:hyperlink w:anchor="_Toc416192529" w:history="1">
        <w:r w:rsidRPr="00CF0C30">
          <w:rPr>
            <w:rStyle w:val="Hiperpovezava"/>
            <w:noProof/>
          </w:rPr>
          <w:t>4.2.20. N20 - Stimulating investments in the processing, development and marketing of agricultural products</w:t>
        </w:r>
        <w:r>
          <w:rPr>
            <w:noProof/>
            <w:webHidden/>
          </w:rPr>
          <w:tab/>
        </w:r>
        <w:r>
          <w:rPr>
            <w:noProof/>
            <w:webHidden/>
          </w:rPr>
          <w:fldChar w:fldCharType="begin"/>
        </w:r>
        <w:r>
          <w:rPr>
            <w:noProof/>
            <w:webHidden/>
          </w:rPr>
          <w:instrText xml:space="preserve"> PAGEREF _Toc416192529 \h </w:instrText>
        </w:r>
        <w:r>
          <w:rPr>
            <w:noProof/>
          </w:rPr>
        </w:r>
        <w:r>
          <w:rPr>
            <w:noProof/>
            <w:webHidden/>
          </w:rPr>
          <w:fldChar w:fldCharType="separate"/>
        </w:r>
        <w:r>
          <w:rPr>
            <w:noProof/>
            <w:webHidden/>
          </w:rPr>
          <w:t>91</w:t>
        </w:r>
        <w:r>
          <w:rPr>
            <w:noProof/>
            <w:webHidden/>
          </w:rPr>
          <w:fldChar w:fldCharType="end"/>
        </w:r>
      </w:hyperlink>
    </w:p>
    <w:p w:rsidR="0014388E" w:rsidRDefault="0014388E">
      <w:pPr>
        <w:pStyle w:val="Kazalovsebine3"/>
        <w:rPr>
          <w:rFonts w:eastAsia="SimSun"/>
          <w:noProof/>
          <w:snapToGrid/>
          <w:szCs w:val="24"/>
          <w:lang w:val="sl-SI"/>
        </w:rPr>
      </w:pPr>
      <w:hyperlink w:anchor="_Toc416192530" w:history="1">
        <w:r w:rsidRPr="00CF0C30">
          <w:rPr>
            <w:rStyle w:val="Hiperpovezava"/>
            <w:noProof/>
          </w:rPr>
          <w:t>4.2.21. N21 - Preserving and/or improving biodiversity preservation in forests</w:t>
        </w:r>
        <w:r>
          <w:rPr>
            <w:noProof/>
            <w:webHidden/>
          </w:rPr>
          <w:tab/>
        </w:r>
        <w:r>
          <w:rPr>
            <w:noProof/>
            <w:webHidden/>
          </w:rPr>
          <w:fldChar w:fldCharType="begin"/>
        </w:r>
        <w:r>
          <w:rPr>
            <w:noProof/>
            <w:webHidden/>
          </w:rPr>
          <w:instrText xml:space="preserve"> PAGEREF _Toc416192530 \h </w:instrText>
        </w:r>
        <w:r>
          <w:rPr>
            <w:noProof/>
          </w:rPr>
        </w:r>
        <w:r>
          <w:rPr>
            <w:noProof/>
            <w:webHidden/>
          </w:rPr>
          <w:fldChar w:fldCharType="separate"/>
        </w:r>
        <w:r>
          <w:rPr>
            <w:noProof/>
            <w:webHidden/>
          </w:rPr>
          <w:t>92</w:t>
        </w:r>
        <w:r>
          <w:rPr>
            <w:noProof/>
            <w:webHidden/>
          </w:rPr>
          <w:fldChar w:fldCharType="end"/>
        </w:r>
      </w:hyperlink>
    </w:p>
    <w:p w:rsidR="0014388E" w:rsidRDefault="0014388E">
      <w:pPr>
        <w:pStyle w:val="Kazalovsebine3"/>
        <w:rPr>
          <w:rFonts w:eastAsia="SimSun"/>
          <w:noProof/>
          <w:snapToGrid/>
          <w:szCs w:val="24"/>
          <w:lang w:val="sl-SI"/>
        </w:rPr>
      </w:pPr>
      <w:hyperlink w:anchor="_Toc416192531" w:history="1">
        <w:r w:rsidRPr="00CF0C30">
          <w:rPr>
            <w:rStyle w:val="Hiperpovezava"/>
            <w:noProof/>
          </w:rPr>
          <w:t>4.2.22. N22 - Restoring forest potential destroyed after a natural disaster</w:t>
        </w:r>
        <w:r>
          <w:rPr>
            <w:noProof/>
            <w:webHidden/>
          </w:rPr>
          <w:tab/>
        </w:r>
        <w:r>
          <w:rPr>
            <w:noProof/>
            <w:webHidden/>
          </w:rPr>
          <w:fldChar w:fldCharType="begin"/>
        </w:r>
        <w:r>
          <w:rPr>
            <w:noProof/>
            <w:webHidden/>
          </w:rPr>
          <w:instrText xml:space="preserve"> PAGEREF _Toc416192531 \h </w:instrText>
        </w:r>
        <w:r>
          <w:rPr>
            <w:noProof/>
          </w:rPr>
        </w:r>
        <w:r>
          <w:rPr>
            <w:noProof/>
            <w:webHidden/>
          </w:rPr>
          <w:fldChar w:fldCharType="separate"/>
        </w:r>
        <w:r>
          <w:rPr>
            <w:noProof/>
            <w:webHidden/>
          </w:rPr>
          <w:t>93</w:t>
        </w:r>
        <w:r>
          <w:rPr>
            <w:noProof/>
            <w:webHidden/>
          </w:rPr>
          <w:fldChar w:fldCharType="end"/>
        </w:r>
      </w:hyperlink>
    </w:p>
    <w:p w:rsidR="0014388E" w:rsidRDefault="0014388E">
      <w:pPr>
        <w:pStyle w:val="Kazalovsebine3"/>
        <w:rPr>
          <w:rFonts w:eastAsia="SimSun"/>
          <w:noProof/>
          <w:snapToGrid/>
          <w:szCs w:val="24"/>
          <w:lang w:val="sl-SI"/>
        </w:rPr>
      </w:pPr>
      <w:hyperlink w:anchor="_Toc416192532" w:history="1">
        <w:r w:rsidRPr="00CF0C30">
          <w:rPr>
            <w:rStyle w:val="Hiperpovezava"/>
            <w:noProof/>
          </w:rPr>
          <w:t>4.2.23. N23 - Regulating forest infrastructure to achieve greater forest openness</w:t>
        </w:r>
        <w:r>
          <w:rPr>
            <w:noProof/>
            <w:webHidden/>
          </w:rPr>
          <w:tab/>
        </w:r>
        <w:r>
          <w:rPr>
            <w:noProof/>
            <w:webHidden/>
          </w:rPr>
          <w:fldChar w:fldCharType="begin"/>
        </w:r>
        <w:r>
          <w:rPr>
            <w:noProof/>
            <w:webHidden/>
          </w:rPr>
          <w:instrText xml:space="preserve"> PAGEREF _Toc416192532 \h </w:instrText>
        </w:r>
        <w:r>
          <w:rPr>
            <w:noProof/>
          </w:rPr>
        </w:r>
        <w:r>
          <w:rPr>
            <w:noProof/>
            <w:webHidden/>
          </w:rPr>
          <w:fldChar w:fldCharType="separate"/>
        </w:r>
        <w:r>
          <w:rPr>
            <w:noProof/>
            <w:webHidden/>
          </w:rPr>
          <w:t>94</w:t>
        </w:r>
        <w:r>
          <w:rPr>
            <w:noProof/>
            <w:webHidden/>
          </w:rPr>
          <w:fldChar w:fldCharType="end"/>
        </w:r>
      </w:hyperlink>
    </w:p>
    <w:p w:rsidR="0014388E" w:rsidRDefault="0014388E">
      <w:pPr>
        <w:pStyle w:val="Kazalovsebine3"/>
        <w:rPr>
          <w:rFonts w:eastAsia="SimSun"/>
          <w:noProof/>
          <w:snapToGrid/>
          <w:szCs w:val="24"/>
          <w:lang w:val="sl-SI"/>
        </w:rPr>
      </w:pPr>
      <w:hyperlink w:anchor="_Toc416192533" w:history="1">
        <w:r w:rsidRPr="00CF0C30">
          <w:rPr>
            <w:rStyle w:val="Hiperpovezava"/>
            <w:noProof/>
          </w:rPr>
          <w:t>4.2.24. N24 - Stimulating investments in forest technologies and wood processing</w:t>
        </w:r>
        <w:r>
          <w:rPr>
            <w:noProof/>
            <w:webHidden/>
          </w:rPr>
          <w:tab/>
        </w:r>
        <w:r>
          <w:rPr>
            <w:noProof/>
            <w:webHidden/>
          </w:rPr>
          <w:fldChar w:fldCharType="begin"/>
        </w:r>
        <w:r>
          <w:rPr>
            <w:noProof/>
            <w:webHidden/>
          </w:rPr>
          <w:instrText xml:space="preserve"> PAGEREF _Toc416192533 \h </w:instrText>
        </w:r>
        <w:r>
          <w:rPr>
            <w:noProof/>
          </w:rPr>
        </w:r>
        <w:r>
          <w:rPr>
            <w:noProof/>
            <w:webHidden/>
          </w:rPr>
          <w:fldChar w:fldCharType="separate"/>
        </w:r>
        <w:r>
          <w:rPr>
            <w:noProof/>
            <w:webHidden/>
          </w:rPr>
          <w:t>95</w:t>
        </w:r>
        <w:r>
          <w:rPr>
            <w:noProof/>
            <w:webHidden/>
          </w:rPr>
          <w:fldChar w:fldCharType="end"/>
        </w:r>
      </w:hyperlink>
    </w:p>
    <w:p w:rsidR="0014388E" w:rsidRDefault="0014388E">
      <w:pPr>
        <w:pStyle w:val="Kazalovsebine3"/>
        <w:rPr>
          <w:rFonts w:eastAsia="SimSun"/>
          <w:noProof/>
          <w:snapToGrid/>
          <w:szCs w:val="24"/>
          <w:lang w:val="sl-SI"/>
        </w:rPr>
      </w:pPr>
      <w:hyperlink w:anchor="_Toc416192534" w:history="1">
        <w:r w:rsidRPr="00CF0C30">
          <w:rPr>
            <w:rStyle w:val="Hiperpovezava"/>
            <w:noProof/>
          </w:rPr>
          <w:t>4.2.25. N25 - Improving market organisation and connections of forest owners and further on in forest-wood chains</w:t>
        </w:r>
        <w:r>
          <w:rPr>
            <w:noProof/>
            <w:webHidden/>
          </w:rPr>
          <w:tab/>
        </w:r>
        <w:r>
          <w:rPr>
            <w:noProof/>
            <w:webHidden/>
          </w:rPr>
          <w:fldChar w:fldCharType="begin"/>
        </w:r>
        <w:r>
          <w:rPr>
            <w:noProof/>
            <w:webHidden/>
          </w:rPr>
          <w:instrText xml:space="preserve"> PAGEREF _Toc416192534 \h </w:instrText>
        </w:r>
        <w:r>
          <w:rPr>
            <w:noProof/>
          </w:rPr>
        </w:r>
        <w:r>
          <w:rPr>
            <w:noProof/>
            <w:webHidden/>
          </w:rPr>
          <w:fldChar w:fldCharType="separate"/>
        </w:r>
        <w:r>
          <w:rPr>
            <w:noProof/>
            <w:webHidden/>
          </w:rPr>
          <w:t>96</w:t>
        </w:r>
        <w:r>
          <w:rPr>
            <w:noProof/>
            <w:webHidden/>
          </w:rPr>
          <w:fldChar w:fldCharType="end"/>
        </w:r>
      </w:hyperlink>
    </w:p>
    <w:p w:rsidR="0014388E" w:rsidRDefault="0014388E">
      <w:pPr>
        <w:pStyle w:val="Kazalovsebine3"/>
        <w:rPr>
          <w:rFonts w:eastAsia="SimSun"/>
          <w:noProof/>
          <w:snapToGrid/>
          <w:szCs w:val="24"/>
          <w:lang w:val="sl-SI"/>
        </w:rPr>
      </w:pPr>
      <w:hyperlink w:anchor="_Toc416192535" w:history="1">
        <w:r w:rsidRPr="00CF0C30">
          <w:rPr>
            <w:rStyle w:val="Hiperpovezava"/>
            <w:noProof/>
          </w:rPr>
          <w:t>4.2.26. N26 - Stimulating the use of wood</w:t>
        </w:r>
        <w:r>
          <w:rPr>
            <w:noProof/>
            <w:webHidden/>
          </w:rPr>
          <w:tab/>
        </w:r>
        <w:r>
          <w:rPr>
            <w:noProof/>
            <w:webHidden/>
          </w:rPr>
          <w:fldChar w:fldCharType="begin"/>
        </w:r>
        <w:r>
          <w:rPr>
            <w:noProof/>
            <w:webHidden/>
          </w:rPr>
          <w:instrText xml:space="preserve"> PAGEREF _Toc416192535 \h </w:instrText>
        </w:r>
        <w:r>
          <w:rPr>
            <w:noProof/>
          </w:rPr>
        </w:r>
        <w:r>
          <w:rPr>
            <w:noProof/>
            <w:webHidden/>
          </w:rPr>
          <w:fldChar w:fldCharType="separate"/>
        </w:r>
        <w:r>
          <w:rPr>
            <w:noProof/>
            <w:webHidden/>
          </w:rPr>
          <w:t>96</w:t>
        </w:r>
        <w:r>
          <w:rPr>
            <w:noProof/>
            <w:webHidden/>
          </w:rPr>
          <w:fldChar w:fldCharType="end"/>
        </w:r>
      </w:hyperlink>
    </w:p>
    <w:p w:rsidR="0014388E" w:rsidRDefault="0014388E">
      <w:pPr>
        <w:pStyle w:val="Kazalovsebine3"/>
        <w:rPr>
          <w:rFonts w:eastAsia="SimSun"/>
          <w:noProof/>
          <w:snapToGrid/>
          <w:szCs w:val="24"/>
          <w:lang w:val="sl-SI"/>
        </w:rPr>
      </w:pPr>
      <w:hyperlink w:anchor="_Toc416192536" w:history="1">
        <w:r w:rsidRPr="00CF0C30">
          <w:rPr>
            <w:rStyle w:val="Hiperpovezava"/>
            <w:noProof/>
          </w:rPr>
          <w:t>4.2.27. N27 - Diversification to non-agricultural activities in the countryside</w:t>
        </w:r>
        <w:r>
          <w:rPr>
            <w:noProof/>
            <w:webHidden/>
          </w:rPr>
          <w:tab/>
        </w:r>
        <w:r>
          <w:rPr>
            <w:noProof/>
            <w:webHidden/>
          </w:rPr>
          <w:fldChar w:fldCharType="begin"/>
        </w:r>
        <w:r>
          <w:rPr>
            <w:noProof/>
            <w:webHidden/>
          </w:rPr>
          <w:instrText xml:space="preserve"> PAGEREF _Toc416192536 \h </w:instrText>
        </w:r>
        <w:r>
          <w:rPr>
            <w:noProof/>
          </w:rPr>
        </w:r>
        <w:r>
          <w:rPr>
            <w:noProof/>
            <w:webHidden/>
          </w:rPr>
          <w:fldChar w:fldCharType="separate"/>
        </w:r>
        <w:r>
          <w:rPr>
            <w:noProof/>
            <w:webHidden/>
          </w:rPr>
          <w:t>97</w:t>
        </w:r>
        <w:r>
          <w:rPr>
            <w:noProof/>
            <w:webHidden/>
          </w:rPr>
          <w:fldChar w:fldCharType="end"/>
        </w:r>
      </w:hyperlink>
    </w:p>
    <w:p w:rsidR="0014388E" w:rsidRDefault="0014388E">
      <w:pPr>
        <w:pStyle w:val="Kazalovsebine3"/>
        <w:rPr>
          <w:rFonts w:eastAsia="SimSun"/>
          <w:noProof/>
          <w:snapToGrid/>
          <w:szCs w:val="24"/>
          <w:lang w:val="sl-SI"/>
        </w:rPr>
      </w:pPr>
      <w:hyperlink w:anchor="_Toc416192537" w:history="1">
        <w:r w:rsidRPr="00CF0C30">
          <w:rPr>
            <w:rStyle w:val="Hiperpovezava"/>
            <w:noProof/>
          </w:rPr>
          <w:t>4.2.28. N28 - Improving access to broadband Internet with appropriate speed</w:t>
        </w:r>
        <w:r>
          <w:rPr>
            <w:noProof/>
            <w:webHidden/>
          </w:rPr>
          <w:tab/>
        </w:r>
        <w:r>
          <w:rPr>
            <w:noProof/>
            <w:webHidden/>
          </w:rPr>
          <w:fldChar w:fldCharType="begin"/>
        </w:r>
        <w:r>
          <w:rPr>
            <w:noProof/>
            <w:webHidden/>
          </w:rPr>
          <w:instrText xml:space="preserve"> PAGEREF _Toc416192537 \h </w:instrText>
        </w:r>
        <w:r>
          <w:rPr>
            <w:noProof/>
          </w:rPr>
        </w:r>
        <w:r>
          <w:rPr>
            <w:noProof/>
            <w:webHidden/>
          </w:rPr>
          <w:fldChar w:fldCharType="separate"/>
        </w:r>
        <w:r>
          <w:rPr>
            <w:noProof/>
            <w:webHidden/>
          </w:rPr>
          <w:t>98</w:t>
        </w:r>
        <w:r>
          <w:rPr>
            <w:noProof/>
            <w:webHidden/>
          </w:rPr>
          <w:fldChar w:fldCharType="end"/>
        </w:r>
      </w:hyperlink>
    </w:p>
    <w:p w:rsidR="0014388E" w:rsidRDefault="0014388E">
      <w:pPr>
        <w:pStyle w:val="Kazalovsebine3"/>
        <w:rPr>
          <w:rFonts w:eastAsia="SimSun"/>
          <w:noProof/>
          <w:snapToGrid/>
          <w:szCs w:val="24"/>
          <w:lang w:val="sl-SI"/>
        </w:rPr>
      </w:pPr>
      <w:hyperlink w:anchor="_Toc416192538" w:history="1">
        <w:r w:rsidRPr="00CF0C30">
          <w:rPr>
            <w:rStyle w:val="Hiperpovezava"/>
            <w:noProof/>
          </w:rPr>
          <w:t>4.2.29. N29 - Investing in the renewal and development of villages</w:t>
        </w:r>
        <w:r>
          <w:rPr>
            <w:noProof/>
            <w:webHidden/>
          </w:rPr>
          <w:tab/>
        </w:r>
        <w:r>
          <w:rPr>
            <w:noProof/>
            <w:webHidden/>
          </w:rPr>
          <w:fldChar w:fldCharType="begin"/>
        </w:r>
        <w:r>
          <w:rPr>
            <w:noProof/>
            <w:webHidden/>
          </w:rPr>
          <w:instrText xml:space="preserve"> PAGEREF _Toc416192538 \h </w:instrText>
        </w:r>
        <w:r>
          <w:rPr>
            <w:noProof/>
          </w:rPr>
        </w:r>
        <w:r>
          <w:rPr>
            <w:noProof/>
            <w:webHidden/>
          </w:rPr>
          <w:fldChar w:fldCharType="separate"/>
        </w:r>
        <w:r>
          <w:rPr>
            <w:noProof/>
            <w:webHidden/>
          </w:rPr>
          <w:t>99</w:t>
        </w:r>
        <w:r>
          <w:rPr>
            <w:noProof/>
            <w:webHidden/>
          </w:rPr>
          <w:fldChar w:fldCharType="end"/>
        </w:r>
      </w:hyperlink>
    </w:p>
    <w:p w:rsidR="0014388E" w:rsidRDefault="0014388E">
      <w:pPr>
        <w:pStyle w:val="Kazalovsebine3"/>
        <w:rPr>
          <w:rFonts w:eastAsia="SimSun"/>
          <w:noProof/>
          <w:snapToGrid/>
          <w:szCs w:val="24"/>
          <w:lang w:val="sl-SI"/>
        </w:rPr>
      </w:pPr>
      <w:hyperlink w:anchor="_Toc416192539" w:history="1">
        <w:r w:rsidRPr="00CF0C30">
          <w:rPr>
            <w:rStyle w:val="Hiperpovezava"/>
            <w:noProof/>
          </w:rPr>
          <w:t>4.2.30. N30 - Preserving natural and cultural heritage in the countryside</w:t>
        </w:r>
        <w:r>
          <w:rPr>
            <w:noProof/>
            <w:webHidden/>
          </w:rPr>
          <w:tab/>
        </w:r>
        <w:r>
          <w:rPr>
            <w:noProof/>
            <w:webHidden/>
          </w:rPr>
          <w:fldChar w:fldCharType="begin"/>
        </w:r>
        <w:r>
          <w:rPr>
            <w:noProof/>
            <w:webHidden/>
          </w:rPr>
          <w:instrText xml:space="preserve"> PAGEREF _Toc416192539 \h </w:instrText>
        </w:r>
        <w:r>
          <w:rPr>
            <w:noProof/>
          </w:rPr>
        </w:r>
        <w:r>
          <w:rPr>
            <w:noProof/>
            <w:webHidden/>
          </w:rPr>
          <w:fldChar w:fldCharType="separate"/>
        </w:r>
        <w:r>
          <w:rPr>
            <w:noProof/>
            <w:webHidden/>
          </w:rPr>
          <w:t>99</w:t>
        </w:r>
        <w:r>
          <w:rPr>
            <w:noProof/>
            <w:webHidden/>
          </w:rPr>
          <w:fldChar w:fldCharType="end"/>
        </w:r>
      </w:hyperlink>
    </w:p>
    <w:p w:rsidR="0014388E" w:rsidRDefault="0014388E">
      <w:pPr>
        <w:pStyle w:val="Kazalovsebine3"/>
        <w:rPr>
          <w:rFonts w:eastAsia="SimSun"/>
          <w:noProof/>
          <w:snapToGrid/>
          <w:szCs w:val="24"/>
          <w:lang w:val="sl-SI"/>
        </w:rPr>
      </w:pPr>
      <w:hyperlink w:anchor="_Toc416192540" w:history="1">
        <w:r w:rsidRPr="00CF0C30">
          <w:rPr>
            <w:rStyle w:val="Hiperpovezava"/>
            <w:noProof/>
          </w:rPr>
          <w:t>4.2.31. N31 - More efficient stimulation of local development</w:t>
        </w:r>
        <w:r>
          <w:rPr>
            <w:noProof/>
            <w:webHidden/>
          </w:rPr>
          <w:tab/>
        </w:r>
        <w:r>
          <w:rPr>
            <w:noProof/>
            <w:webHidden/>
          </w:rPr>
          <w:fldChar w:fldCharType="begin"/>
        </w:r>
        <w:r>
          <w:rPr>
            <w:noProof/>
            <w:webHidden/>
          </w:rPr>
          <w:instrText xml:space="preserve"> PAGEREF _Toc416192540 \h </w:instrText>
        </w:r>
        <w:r>
          <w:rPr>
            <w:noProof/>
          </w:rPr>
        </w:r>
        <w:r>
          <w:rPr>
            <w:noProof/>
            <w:webHidden/>
          </w:rPr>
          <w:fldChar w:fldCharType="separate"/>
        </w:r>
        <w:r>
          <w:rPr>
            <w:noProof/>
            <w:webHidden/>
          </w:rPr>
          <w:t>100</w:t>
        </w:r>
        <w:r>
          <w:rPr>
            <w:noProof/>
            <w:webHidden/>
          </w:rPr>
          <w:fldChar w:fldCharType="end"/>
        </w:r>
      </w:hyperlink>
    </w:p>
    <w:p w:rsidR="0014388E" w:rsidRDefault="0014388E">
      <w:pPr>
        <w:pStyle w:val="Kazalovsebine1"/>
        <w:rPr>
          <w:rFonts w:eastAsia="SimSun"/>
          <w:caps w:val="0"/>
          <w:noProof/>
          <w:snapToGrid/>
          <w:szCs w:val="24"/>
          <w:lang w:val="sl-SI"/>
        </w:rPr>
      </w:pPr>
      <w:hyperlink w:anchor="_Toc416192541" w:history="1">
        <w:r w:rsidRPr="00CF0C30">
          <w:rPr>
            <w:rStyle w:val="Hiperpovezava"/>
            <w:noProof/>
          </w:rPr>
          <w:t>5. Description of strategy</w:t>
        </w:r>
        <w:r>
          <w:rPr>
            <w:noProof/>
            <w:webHidden/>
          </w:rPr>
          <w:tab/>
        </w:r>
        <w:r>
          <w:rPr>
            <w:noProof/>
            <w:webHidden/>
          </w:rPr>
          <w:fldChar w:fldCharType="begin"/>
        </w:r>
        <w:r>
          <w:rPr>
            <w:noProof/>
            <w:webHidden/>
          </w:rPr>
          <w:instrText xml:space="preserve"> PAGEREF _Toc416192541 \h </w:instrText>
        </w:r>
        <w:r>
          <w:rPr>
            <w:noProof/>
          </w:rPr>
        </w:r>
        <w:r>
          <w:rPr>
            <w:noProof/>
            <w:webHidden/>
          </w:rPr>
          <w:fldChar w:fldCharType="separate"/>
        </w:r>
        <w:r>
          <w:rPr>
            <w:noProof/>
            <w:webHidden/>
          </w:rPr>
          <w:t>101</w:t>
        </w:r>
        <w:r>
          <w:rPr>
            <w:noProof/>
            <w:webHidden/>
          </w:rPr>
          <w:fldChar w:fldCharType="end"/>
        </w:r>
      </w:hyperlink>
    </w:p>
    <w:p w:rsidR="0014388E" w:rsidRDefault="0014388E">
      <w:pPr>
        <w:pStyle w:val="Kazalovsebine2"/>
        <w:rPr>
          <w:rFonts w:eastAsia="SimSun"/>
          <w:noProof/>
          <w:snapToGrid/>
          <w:szCs w:val="24"/>
          <w:lang w:val="sl-SI"/>
        </w:rPr>
      </w:pPr>
      <w:hyperlink w:anchor="_Toc416192542" w:history="1">
        <w:r w:rsidRPr="00CF0C30">
          <w:rPr>
            <w:rStyle w:val="Hiperpovezava"/>
            <w:noProof/>
            <w:highlight w:val="lightGray"/>
          </w:rPr>
          <w:t>5.1. Justification of needs selected for discussion within the rural development programme and the selection of objectives, priorities, focus areas and target values on the basis of evidence of the SWOT analysis and the assessment of needs. If necessary, justification of thematic sub-programmes included in the programme. Justification must observe in particular the requirements under Article 8(1)(c)(i) and (iv) of Regulation (EU) No 1305/2013.</w:t>
        </w:r>
        <w:r>
          <w:rPr>
            <w:noProof/>
            <w:webHidden/>
          </w:rPr>
          <w:tab/>
        </w:r>
        <w:r>
          <w:rPr>
            <w:noProof/>
            <w:webHidden/>
          </w:rPr>
          <w:fldChar w:fldCharType="begin"/>
        </w:r>
        <w:r>
          <w:rPr>
            <w:noProof/>
            <w:webHidden/>
          </w:rPr>
          <w:instrText xml:space="preserve"> PAGEREF _Toc416192542 \h </w:instrText>
        </w:r>
        <w:r>
          <w:rPr>
            <w:noProof/>
          </w:rPr>
        </w:r>
        <w:r>
          <w:rPr>
            <w:noProof/>
            <w:webHidden/>
          </w:rPr>
          <w:fldChar w:fldCharType="separate"/>
        </w:r>
        <w:r>
          <w:rPr>
            <w:noProof/>
            <w:webHidden/>
          </w:rPr>
          <w:t>101</w:t>
        </w:r>
        <w:r>
          <w:rPr>
            <w:noProof/>
            <w:webHidden/>
          </w:rPr>
          <w:fldChar w:fldCharType="end"/>
        </w:r>
      </w:hyperlink>
    </w:p>
    <w:p w:rsidR="0014388E" w:rsidRDefault="0014388E">
      <w:pPr>
        <w:pStyle w:val="Kazalovsebine2"/>
        <w:rPr>
          <w:rFonts w:eastAsia="SimSun"/>
          <w:noProof/>
          <w:snapToGrid/>
          <w:szCs w:val="24"/>
          <w:lang w:val="sl-SI"/>
        </w:rPr>
      </w:pPr>
      <w:hyperlink w:anchor="_Toc416192543" w:history="1">
        <w:r w:rsidRPr="00CF0C30">
          <w:rPr>
            <w:rStyle w:val="Hiperpovezava"/>
            <w:noProof/>
          </w:rPr>
          <w:t>5.2. The combination and justification of measures for rural development for each priority, including the justification of allocated financial means for measures and suitability of financial means as per the objectives as determined in Article 8(1)(c)(ii) and (iii) of Regulation (EU) No 1305/2013. The combination of measures from intervention logic is based on evidence from the SWOT analysis and justification and determination of priority needs under Point 5.1.</w:t>
        </w:r>
        <w:r>
          <w:rPr>
            <w:noProof/>
            <w:webHidden/>
          </w:rPr>
          <w:tab/>
        </w:r>
        <w:r>
          <w:rPr>
            <w:noProof/>
            <w:webHidden/>
          </w:rPr>
          <w:fldChar w:fldCharType="begin"/>
        </w:r>
        <w:r>
          <w:rPr>
            <w:noProof/>
            <w:webHidden/>
          </w:rPr>
          <w:instrText xml:space="preserve"> PAGEREF _Toc416192543 \h </w:instrText>
        </w:r>
        <w:r>
          <w:rPr>
            <w:noProof/>
          </w:rPr>
        </w:r>
        <w:r>
          <w:rPr>
            <w:noProof/>
            <w:webHidden/>
          </w:rPr>
          <w:fldChar w:fldCharType="separate"/>
        </w:r>
        <w:r>
          <w:rPr>
            <w:noProof/>
            <w:webHidden/>
          </w:rPr>
          <w:t>106</w:t>
        </w:r>
        <w:r>
          <w:rPr>
            <w:noProof/>
            <w:webHidden/>
          </w:rPr>
          <w:fldChar w:fldCharType="end"/>
        </w:r>
      </w:hyperlink>
    </w:p>
    <w:p w:rsidR="0014388E" w:rsidRDefault="0014388E">
      <w:pPr>
        <w:pStyle w:val="Kazalovsebine3"/>
        <w:rPr>
          <w:rFonts w:eastAsia="SimSun"/>
          <w:noProof/>
          <w:snapToGrid/>
          <w:szCs w:val="24"/>
          <w:lang w:val="sl-SI"/>
        </w:rPr>
      </w:pPr>
      <w:hyperlink w:anchor="_Toc416192544" w:history="1">
        <w:r w:rsidRPr="00CF0C30">
          <w:rPr>
            <w:rStyle w:val="Hiperpovezava"/>
            <w:noProof/>
          </w:rPr>
          <w:t>5.2.1. N1: Facilitating transfer of knowledge and innovation in agriculture, forestry and rural areas</w:t>
        </w:r>
        <w:r>
          <w:rPr>
            <w:noProof/>
            <w:webHidden/>
          </w:rPr>
          <w:tab/>
        </w:r>
        <w:r>
          <w:rPr>
            <w:noProof/>
            <w:webHidden/>
          </w:rPr>
          <w:fldChar w:fldCharType="begin"/>
        </w:r>
        <w:r>
          <w:rPr>
            <w:noProof/>
            <w:webHidden/>
          </w:rPr>
          <w:instrText xml:space="preserve"> PAGEREF _Toc416192544 \h </w:instrText>
        </w:r>
        <w:r>
          <w:rPr>
            <w:noProof/>
          </w:rPr>
        </w:r>
        <w:r>
          <w:rPr>
            <w:noProof/>
            <w:webHidden/>
          </w:rPr>
          <w:fldChar w:fldCharType="separate"/>
        </w:r>
        <w:r>
          <w:rPr>
            <w:noProof/>
            <w:webHidden/>
          </w:rPr>
          <w:t>106</w:t>
        </w:r>
        <w:r>
          <w:rPr>
            <w:noProof/>
            <w:webHidden/>
          </w:rPr>
          <w:fldChar w:fldCharType="end"/>
        </w:r>
      </w:hyperlink>
    </w:p>
    <w:p w:rsidR="0014388E" w:rsidRDefault="0014388E">
      <w:pPr>
        <w:pStyle w:val="Kazalovsebine3"/>
        <w:rPr>
          <w:rFonts w:eastAsia="SimSun"/>
          <w:noProof/>
          <w:snapToGrid/>
          <w:szCs w:val="24"/>
          <w:lang w:val="sl-SI"/>
        </w:rPr>
      </w:pPr>
      <w:hyperlink w:anchor="_Toc416192545" w:history="1">
        <w:r w:rsidRPr="00CF0C30">
          <w:rPr>
            <w:rStyle w:val="Hiperpovezava"/>
            <w:noProof/>
          </w:rPr>
          <w:t>5.2.2. N2: Strengthening the viability of farms and competitiveness of all types of farming in all regions, and promoting innovative agricultural technologies and sustainable forest management</w:t>
        </w:r>
        <w:r>
          <w:rPr>
            <w:noProof/>
            <w:webHidden/>
          </w:rPr>
          <w:tab/>
        </w:r>
        <w:r>
          <w:rPr>
            <w:noProof/>
            <w:webHidden/>
          </w:rPr>
          <w:fldChar w:fldCharType="begin"/>
        </w:r>
        <w:r>
          <w:rPr>
            <w:noProof/>
            <w:webHidden/>
          </w:rPr>
          <w:instrText xml:space="preserve"> PAGEREF _Toc416192545 \h </w:instrText>
        </w:r>
        <w:r>
          <w:rPr>
            <w:noProof/>
          </w:rPr>
        </w:r>
        <w:r>
          <w:rPr>
            <w:noProof/>
            <w:webHidden/>
          </w:rPr>
          <w:fldChar w:fldCharType="separate"/>
        </w:r>
        <w:r>
          <w:rPr>
            <w:noProof/>
            <w:webHidden/>
          </w:rPr>
          <w:t>108</w:t>
        </w:r>
        <w:r>
          <w:rPr>
            <w:noProof/>
            <w:webHidden/>
          </w:rPr>
          <w:fldChar w:fldCharType="end"/>
        </w:r>
      </w:hyperlink>
    </w:p>
    <w:p w:rsidR="0014388E" w:rsidRDefault="0014388E">
      <w:pPr>
        <w:pStyle w:val="Kazalovsebine3"/>
        <w:rPr>
          <w:rFonts w:eastAsia="SimSun"/>
          <w:noProof/>
          <w:snapToGrid/>
          <w:szCs w:val="24"/>
          <w:lang w:val="sl-SI"/>
        </w:rPr>
      </w:pPr>
      <w:hyperlink w:anchor="_Toc416192546" w:history="1">
        <w:r w:rsidRPr="00CF0C30">
          <w:rPr>
            <w:rStyle w:val="Hiperpovezava"/>
            <w:noProof/>
          </w:rPr>
          <w:t>5.2.3. N3: Encouraging organisation of the food supply chain, including processing and marketing of agricultural products, animal welfare and risk management in agriculture</w:t>
        </w:r>
        <w:r>
          <w:rPr>
            <w:noProof/>
            <w:webHidden/>
          </w:rPr>
          <w:tab/>
        </w:r>
        <w:r>
          <w:rPr>
            <w:noProof/>
            <w:webHidden/>
          </w:rPr>
          <w:fldChar w:fldCharType="begin"/>
        </w:r>
        <w:r>
          <w:rPr>
            <w:noProof/>
            <w:webHidden/>
          </w:rPr>
          <w:instrText xml:space="preserve"> PAGEREF _Toc416192546 \h </w:instrText>
        </w:r>
        <w:r>
          <w:rPr>
            <w:noProof/>
          </w:rPr>
        </w:r>
        <w:r>
          <w:rPr>
            <w:noProof/>
            <w:webHidden/>
          </w:rPr>
          <w:fldChar w:fldCharType="separate"/>
        </w:r>
        <w:r>
          <w:rPr>
            <w:noProof/>
            <w:webHidden/>
          </w:rPr>
          <w:t>110</w:t>
        </w:r>
        <w:r>
          <w:rPr>
            <w:noProof/>
            <w:webHidden/>
          </w:rPr>
          <w:fldChar w:fldCharType="end"/>
        </w:r>
      </w:hyperlink>
    </w:p>
    <w:p w:rsidR="0014388E" w:rsidRDefault="0014388E">
      <w:pPr>
        <w:pStyle w:val="Kazalovsebine3"/>
        <w:rPr>
          <w:rFonts w:eastAsia="SimSun"/>
          <w:noProof/>
          <w:snapToGrid/>
          <w:szCs w:val="24"/>
          <w:lang w:val="sl-SI"/>
        </w:rPr>
      </w:pPr>
      <w:hyperlink w:anchor="_Toc416192547" w:history="1">
        <w:r w:rsidRPr="00CF0C30">
          <w:rPr>
            <w:rStyle w:val="Hiperpovezava"/>
            <w:noProof/>
          </w:rPr>
          <w:t>5.2.4. N4: Restoration, preservation and enhancement of ecosystems related to agriculture and forestry</w:t>
        </w:r>
        <w:r>
          <w:rPr>
            <w:noProof/>
            <w:webHidden/>
          </w:rPr>
          <w:tab/>
        </w:r>
        <w:r>
          <w:rPr>
            <w:noProof/>
            <w:webHidden/>
          </w:rPr>
          <w:fldChar w:fldCharType="begin"/>
        </w:r>
        <w:r>
          <w:rPr>
            <w:noProof/>
            <w:webHidden/>
          </w:rPr>
          <w:instrText xml:space="preserve"> PAGEREF _Toc416192547 \h </w:instrText>
        </w:r>
        <w:r>
          <w:rPr>
            <w:noProof/>
          </w:rPr>
        </w:r>
        <w:r>
          <w:rPr>
            <w:noProof/>
            <w:webHidden/>
          </w:rPr>
          <w:fldChar w:fldCharType="separate"/>
        </w:r>
        <w:r>
          <w:rPr>
            <w:noProof/>
            <w:webHidden/>
          </w:rPr>
          <w:t>111</w:t>
        </w:r>
        <w:r>
          <w:rPr>
            <w:noProof/>
            <w:webHidden/>
          </w:rPr>
          <w:fldChar w:fldCharType="end"/>
        </w:r>
      </w:hyperlink>
    </w:p>
    <w:p w:rsidR="0014388E" w:rsidRDefault="0014388E">
      <w:pPr>
        <w:pStyle w:val="Kazalovsebine3"/>
        <w:rPr>
          <w:rFonts w:eastAsia="SimSun"/>
          <w:noProof/>
          <w:snapToGrid/>
          <w:szCs w:val="24"/>
          <w:lang w:val="sl-SI"/>
        </w:rPr>
      </w:pPr>
      <w:hyperlink w:anchor="_Toc416192548" w:history="1">
        <w:r w:rsidRPr="00CF0C30">
          <w:rPr>
            <w:rStyle w:val="Hiperpovezava"/>
            <w:noProof/>
          </w:rPr>
          <w:t>5.2.5. N3: Stimulating efficient use of resources and supporting transition to a low-carbon and climate-adapted economy in agricultural, food and forestry sectors</w:t>
        </w:r>
        <w:r>
          <w:rPr>
            <w:noProof/>
            <w:webHidden/>
          </w:rPr>
          <w:tab/>
        </w:r>
        <w:r>
          <w:rPr>
            <w:noProof/>
            <w:webHidden/>
          </w:rPr>
          <w:fldChar w:fldCharType="begin"/>
        </w:r>
        <w:r>
          <w:rPr>
            <w:noProof/>
            <w:webHidden/>
          </w:rPr>
          <w:instrText xml:space="preserve"> PAGEREF _Toc416192548 \h </w:instrText>
        </w:r>
        <w:r>
          <w:rPr>
            <w:noProof/>
          </w:rPr>
        </w:r>
        <w:r>
          <w:rPr>
            <w:noProof/>
            <w:webHidden/>
          </w:rPr>
          <w:fldChar w:fldCharType="separate"/>
        </w:r>
        <w:r>
          <w:rPr>
            <w:noProof/>
            <w:webHidden/>
          </w:rPr>
          <w:t>115</w:t>
        </w:r>
        <w:r>
          <w:rPr>
            <w:noProof/>
            <w:webHidden/>
          </w:rPr>
          <w:fldChar w:fldCharType="end"/>
        </w:r>
      </w:hyperlink>
    </w:p>
    <w:p w:rsidR="0014388E" w:rsidRDefault="0014388E">
      <w:pPr>
        <w:pStyle w:val="Kazalovsebine3"/>
        <w:rPr>
          <w:rFonts w:eastAsia="SimSun"/>
          <w:noProof/>
          <w:snapToGrid/>
          <w:szCs w:val="24"/>
          <w:lang w:val="sl-SI"/>
        </w:rPr>
      </w:pPr>
      <w:hyperlink w:anchor="_Toc416192549" w:history="1">
        <w:r w:rsidRPr="00CF0C30">
          <w:rPr>
            <w:rStyle w:val="Hiperpovezava"/>
            <w:noProof/>
          </w:rPr>
          <w:t>5.2.6. N6: Promotion of social inclusion, reduction of poverty and economic development of rural areas</w:t>
        </w:r>
        <w:r>
          <w:rPr>
            <w:noProof/>
            <w:webHidden/>
          </w:rPr>
          <w:tab/>
        </w:r>
        <w:r>
          <w:rPr>
            <w:noProof/>
            <w:webHidden/>
          </w:rPr>
          <w:fldChar w:fldCharType="begin"/>
        </w:r>
        <w:r>
          <w:rPr>
            <w:noProof/>
            <w:webHidden/>
          </w:rPr>
          <w:instrText xml:space="preserve"> PAGEREF _Toc416192549 \h </w:instrText>
        </w:r>
        <w:r>
          <w:rPr>
            <w:noProof/>
          </w:rPr>
        </w:r>
        <w:r>
          <w:rPr>
            <w:noProof/>
            <w:webHidden/>
          </w:rPr>
          <w:fldChar w:fldCharType="separate"/>
        </w:r>
        <w:r>
          <w:rPr>
            <w:noProof/>
            <w:webHidden/>
          </w:rPr>
          <w:t>117</w:t>
        </w:r>
        <w:r>
          <w:rPr>
            <w:noProof/>
            <w:webHidden/>
          </w:rPr>
          <w:fldChar w:fldCharType="end"/>
        </w:r>
      </w:hyperlink>
    </w:p>
    <w:p w:rsidR="0014388E" w:rsidRDefault="0014388E">
      <w:pPr>
        <w:pStyle w:val="Kazalovsebine2"/>
        <w:rPr>
          <w:rFonts w:eastAsia="SimSun"/>
          <w:noProof/>
          <w:snapToGrid/>
          <w:szCs w:val="24"/>
          <w:lang w:val="sl-SI"/>
        </w:rPr>
      </w:pPr>
      <w:hyperlink w:anchor="_Toc416192550" w:history="1">
        <w:r w:rsidRPr="00CF0C30">
          <w:rPr>
            <w:rStyle w:val="Hiperpovezava"/>
            <w:noProof/>
          </w:rPr>
          <w:t>5.3. Description of how horizontal objectives will be discussed, including special requirements in Article 8(1)(c)(v) of Regulation (EU) No 1305/2013</w:t>
        </w:r>
        <w:r>
          <w:rPr>
            <w:noProof/>
            <w:webHidden/>
          </w:rPr>
          <w:tab/>
        </w:r>
        <w:r>
          <w:rPr>
            <w:noProof/>
            <w:webHidden/>
          </w:rPr>
          <w:fldChar w:fldCharType="begin"/>
        </w:r>
        <w:r>
          <w:rPr>
            <w:noProof/>
            <w:webHidden/>
          </w:rPr>
          <w:instrText xml:space="preserve"> PAGEREF _Toc416192550 \h </w:instrText>
        </w:r>
        <w:r>
          <w:rPr>
            <w:noProof/>
          </w:rPr>
        </w:r>
        <w:r>
          <w:rPr>
            <w:noProof/>
            <w:webHidden/>
          </w:rPr>
          <w:fldChar w:fldCharType="separate"/>
        </w:r>
        <w:r>
          <w:rPr>
            <w:noProof/>
            <w:webHidden/>
          </w:rPr>
          <w:t>120</w:t>
        </w:r>
        <w:r>
          <w:rPr>
            <w:noProof/>
            <w:webHidden/>
          </w:rPr>
          <w:fldChar w:fldCharType="end"/>
        </w:r>
      </w:hyperlink>
    </w:p>
    <w:p w:rsidR="0014388E" w:rsidRDefault="0014388E">
      <w:pPr>
        <w:pStyle w:val="Kazalovsebine2"/>
        <w:rPr>
          <w:rFonts w:eastAsia="SimSun"/>
          <w:noProof/>
          <w:snapToGrid/>
          <w:szCs w:val="24"/>
          <w:lang w:val="sl-SI"/>
        </w:rPr>
      </w:pPr>
      <w:hyperlink w:anchor="_Toc416192551" w:history="1">
        <w:r w:rsidRPr="00CF0C30">
          <w:rPr>
            <w:rStyle w:val="Hiperpovezava"/>
            <w:noProof/>
          </w:rPr>
          <w:t>5.4. Collective table of intervention logic displaying selected priorities and focus areas for the rural development programme, objectives supported by figures and a combination of measures planned for their attainment, including planned expenses (the table was created automatically on the basis of information from sections 5.2 and 11)</w:t>
        </w:r>
        <w:r>
          <w:rPr>
            <w:noProof/>
            <w:webHidden/>
          </w:rPr>
          <w:tab/>
        </w:r>
        <w:r>
          <w:rPr>
            <w:noProof/>
            <w:webHidden/>
          </w:rPr>
          <w:fldChar w:fldCharType="begin"/>
        </w:r>
        <w:r>
          <w:rPr>
            <w:noProof/>
            <w:webHidden/>
          </w:rPr>
          <w:instrText xml:space="preserve"> PAGEREF _Toc416192551 \h </w:instrText>
        </w:r>
        <w:r>
          <w:rPr>
            <w:noProof/>
          </w:rPr>
        </w:r>
        <w:r>
          <w:rPr>
            <w:noProof/>
            <w:webHidden/>
          </w:rPr>
          <w:fldChar w:fldCharType="separate"/>
        </w:r>
        <w:r>
          <w:rPr>
            <w:noProof/>
            <w:webHidden/>
          </w:rPr>
          <w:t>124</w:t>
        </w:r>
        <w:r>
          <w:rPr>
            <w:noProof/>
            <w:webHidden/>
          </w:rPr>
          <w:fldChar w:fldCharType="end"/>
        </w:r>
      </w:hyperlink>
    </w:p>
    <w:p w:rsidR="0014388E" w:rsidRDefault="0014388E">
      <w:pPr>
        <w:pStyle w:val="Kazalovsebine2"/>
        <w:rPr>
          <w:rFonts w:eastAsia="SimSun"/>
          <w:noProof/>
          <w:snapToGrid/>
          <w:szCs w:val="24"/>
          <w:lang w:val="sl-SI"/>
        </w:rPr>
      </w:pPr>
      <w:hyperlink w:anchor="_Toc416192552" w:history="1">
        <w:r w:rsidRPr="00CF0C30">
          <w:rPr>
            <w:rStyle w:val="Hiperpovezava"/>
            <w:noProof/>
          </w:rPr>
          <w:t>5.5. Description of possibilities for advisory services in order to provide suitable advisory services and support for regulative requirements and activities relating to innovation to present measures adopted as per Article 8(1)(c)(vi) of Regulation (EU) No 1305/2013</w:t>
        </w:r>
        <w:r>
          <w:rPr>
            <w:noProof/>
            <w:webHidden/>
          </w:rPr>
          <w:tab/>
        </w:r>
        <w:r>
          <w:rPr>
            <w:noProof/>
            <w:webHidden/>
          </w:rPr>
          <w:fldChar w:fldCharType="begin"/>
        </w:r>
        <w:r>
          <w:rPr>
            <w:noProof/>
            <w:webHidden/>
          </w:rPr>
          <w:instrText xml:space="preserve"> PAGEREF _Toc416192552 \h </w:instrText>
        </w:r>
        <w:r>
          <w:rPr>
            <w:noProof/>
          </w:rPr>
        </w:r>
        <w:r>
          <w:rPr>
            <w:noProof/>
            <w:webHidden/>
          </w:rPr>
          <w:fldChar w:fldCharType="separate"/>
        </w:r>
        <w:r>
          <w:rPr>
            <w:noProof/>
            <w:webHidden/>
          </w:rPr>
          <w:t>126</w:t>
        </w:r>
        <w:r>
          <w:rPr>
            <w:noProof/>
            <w:webHidden/>
          </w:rPr>
          <w:fldChar w:fldCharType="end"/>
        </w:r>
      </w:hyperlink>
    </w:p>
    <w:p w:rsidR="0014388E" w:rsidRDefault="0014388E">
      <w:pPr>
        <w:pStyle w:val="Kazalovsebine1"/>
        <w:rPr>
          <w:rFonts w:eastAsia="SimSun"/>
          <w:caps w:val="0"/>
          <w:noProof/>
          <w:snapToGrid/>
          <w:szCs w:val="24"/>
          <w:lang w:val="sl-SI"/>
        </w:rPr>
      </w:pPr>
      <w:hyperlink w:anchor="_Toc416192553" w:history="1">
        <w:r w:rsidRPr="00CF0C30">
          <w:rPr>
            <w:rStyle w:val="Hiperpovezava"/>
            <w:noProof/>
          </w:rPr>
          <w:t>6. Ex-ante conditionality assessment</w:t>
        </w:r>
        <w:r>
          <w:rPr>
            <w:noProof/>
            <w:webHidden/>
          </w:rPr>
          <w:tab/>
        </w:r>
        <w:r>
          <w:rPr>
            <w:noProof/>
            <w:webHidden/>
          </w:rPr>
          <w:fldChar w:fldCharType="begin"/>
        </w:r>
        <w:r>
          <w:rPr>
            <w:noProof/>
            <w:webHidden/>
          </w:rPr>
          <w:instrText xml:space="preserve"> PAGEREF _Toc416192553 \h </w:instrText>
        </w:r>
        <w:r>
          <w:rPr>
            <w:noProof/>
          </w:rPr>
        </w:r>
        <w:r>
          <w:rPr>
            <w:noProof/>
            <w:webHidden/>
          </w:rPr>
          <w:fldChar w:fldCharType="separate"/>
        </w:r>
        <w:r>
          <w:rPr>
            <w:noProof/>
            <w:webHidden/>
          </w:rPr>
          <w:t>128</w:t>
        </w:r>
        <w:r>
          <w:rPr>
            <w:noProof/>
            <w:webHidden/>
          </w:rPr>
          <w:fldChar w:fldCharType="end"/>
        </w:r>
      </w:hyperlink>
    </w:p>
    <w:p w:rsidR="0014388E" w:rsidRDefault="0014388E">
      <w:pPr>
        <w:pStyle w:val="Kazalovsebine2"/>
        <w:rPr>
          <w:rFonts w:eastAsia="SimSun"/>
          <w:noProof/>
          <w:snapToGrid/>
          <w:szCs w:val="24"/>
          <w:lang w:val="sl-SI"/>
        </w:rPr>
      </w:pPr>
      <w:hyperlink w:anchor="_Toc416192554" w:history="1">
        <w:r w:rsidRPr="00CF0C30">
          <w:rPr>
            <w:rStyle w:val="Hiperpovezava"/>
            <w:noProof/>
          </w:rPr>
          <w:t>6.1. Additional Information</w:t>
        </w:r>
        <w:r>
          <w:rPr>
            <w:noProof/>
            <w:webHidden/>
          </w:rPr>
          <w:tab/>
        </w:r>
        <w:r>
          <w:rPr>
            <w:noProof/>
            <w:webHidden/>
          </w:rPr>
          <w:fldChar w:fldCharType="begin"/>
        </w:r>
        <w:r>
          <w:rPr>
            <w:noProof/>
            <w:webHidden/>
          </w:rPr>
          <w:instrText xml:space="preserve"> PAGEREF _Toc416192554 \h </w:instrText>
        </w:r>
        <w:r>
          <w:rPr>
            <w:noProof/>
          </w:rPr>
        </w:r>
        <w:r>
          <w:rPr>
            <w:noProof/>
            <w:webHidden/>
          </w:rPr>
          <w:fldChar w:fldCharType="separate"/>
        </w:r>
        <w:r>
          <w:rPr>
            <w:noProof/>
            <w:webHidden/>
          </w:rPr>
          <w:t>128</w:t>
        </w:r>
        <w:r>
          <w:rPr>
            <w:noProof/>
            <w:webHidden/>
          </w:rPr>
          <w:fldChar w:fldCharType="end"/>
        </w:r>
      </w:hyperlink>
    </w:p>
    <w:p w:rsidR="0014388E" w:rsidRDefault="0014388E">
      <w:pPr>
        <w:pStyle w:val="Kazalovsebine2"/>
        <w:rPr>
          <w:rFonts w:eastAsia="SimSun"/>
          <w:noProof/>
          <w:snapToGrid/>
          <w:szCs w:val="24"/>
          <w:lang w:val="sl-SI"/>
        </w:rPr>
      </w:pPr>
      <w:hyperlink w:anchor="_Toc416192555" w:history="1">
        <w:r w:rsidRPr="00CF0C30">
          <w:rPr>
            <w:rStyle w:val="Hiperpovezava"/>
            <w:noProof/>
          </w:rPr>
          <w:t>6.2. Ex-ante conditionalities</w:t>
        </w:r>
        <w:r>
          <w:rPr>
            <w:noProof/>
            <w:webHidden/>
          </w:rPr>
          <w:tab/>
        </w:r>
        <w:r>
          <w:rPr>
            <w:noProof/>
            <w:webHidden/>
          </w:rPr>
          <w:fldChar w:fldCharType="begin"/>
        </w:r>
        <w:r>
          <w:rPr>
            <w:noProof/>
            <w:webHidden/>
          </w:rPr>
          <w:instrText xml:space="preserve"> PAGEREF _Toc416192555 \h </w:instrText>
        </w:r>
        <w:r>
          <w:rPr>
            <w:noProof/>
          </w:rPr>
        </w:r>
        <w:r>
          <w:rPr>
            <w:noProof/>
            <w:webHidden/>
          </w:rPr>
          <w:fldChar w:fldCharType="separate"/>
        </w:r>
        <w:r>
          <w:rPr>
            <w:noProof/>
            <w:webHidden/>
          </w:rPr>
          <w:t>129</w:t>
        </w:r>
        <w:r>
          <w:rPr>
            <w:noProof/>
            <w:webHidden/>
          </w:rPr>
          <w:fldChar w:fldCharType="end"/>
        </w:r>
      </w:hyperlink>
    </w:p>
    <w:p w:rsidR="0014388E" w:rsidRDefault="0014388E">
      <w:pPr>
        <w:pStyle w:val="Kazalovsebine3"/>
        <w:rPr>
          <w:rFonts w:eastAsia="SimSun"/>
          <w:noProof/>
          <w:snapToGrid/>
          <w:szCs w:val="24"/>
          <w:lang w:val="sl-SI"/>
        </w:rPr>
      </w:pPr>
      <w:hyperlink w:anchor="_Toc416192556" w:history="1">
        <w:r w:rsidRPr="00CF0C30">
          <w:rPr>
            <w:rStyle w:val="Hiperpovezava"/>
            <w:b/>
            <w:noProof/>
          </w:rPr>
          <w:t>6.2.1.</w:t>
        </w:r>
        <w:r w:rsidRPr="00CF0C30">
          <w:rPr>
            <w:rStyle w:val="Hiperpovezava"/>
            <w:noProof/>
          </w:rPr>
          <w:t xml:space="preserve"> List of actions to be taken as general ex-ante conditionalities</w:t>
        </w:r>
        <w:r>
          <w:rPr>
            <w:noProof/>
            <w:webHidden/>
          </w:rPr>
          <w:tab/>
        </w:r>
        <w:r>
          <w:rPr>
            <w:noProof/>
            <w:webHidden/>
          </w:rPr>
          <w:fldChar w:fldCharType="begin"/>
        </w:r>
        <w:r>
          <w:rPr>
            <w:noProof/>
            <w:webHidden/>
          </w:rPr>
          <w:instrText xml:space="preserve"> PAGEREF _Toc416192556 \h </w:instrText>
        </w:r>
        <w:r>
          <w:rPr>
            <w:noProof/>
          </w:rPr>
        </w:r>
        <w:r>
          <w:rPr>
            <w:noProof/>
            <w:webHidden/>
          </w:rPr>
          <w:fldChar w:fldCharType="separate"/>
        </w:r>
        <w:r>
          <w:rPr>
            <w:noProof/>
            <w:webHidden/>
          </w:rPr>
          <w:t>158</w:t>
        </w:r>
        <w:r>
          <w:rPr>
            <w:noProof/>
            <w:webHidden/>
          </w:rPr>
          <w:fldChar w:fldCharType="end"/>
        </w:r>
      </w:hyperlink>
    </w:p>
    <w:p w:rsidR="0014388E" w:rsidRDefault="0014388E">
      <w:pPr>
        <w:pStyle w:val="Kazalovsebine3"/>
        <w:rPr>
          <w:rFonts w:eastAsia="SimSun"/>
          <w:noProof/>
          <w:snapToGrid/>
          <w:szCs w:val="24"/>
          <w:lang w:val="sl-SI"/>
        </w:rPr>
      </w:pPr>
      <w:hyperlink w:anchor="_Toc416192557" w:history="1">
        <w:r w:rsidRPr="00CF0C30">
          <w:rPr>
            <w:rStyle w:val="Hiperpovezava"/>
            <w:b/>
            <w:noProof/>
          </w:rPr>
          <w:t>6.2.2.</w:t>
        </w:r>
        <w:r w:rsidRPr="00CF0C30">
          <w:rPr>
            <w:rStyle w:val="Hiperpovezava"/>
            <w:noProof/>
          </w:rPr>
          <w:t xml:space="preserve"> List of actions to be taken as general ex-ante conditionalities relating to priorities</w:t>
        </w:r>
        <w:r>
          <w:rPr>
            <w:noProof/>
            <w:webHidden/>
          </w:rPr>
          <w:tab/>
        </w:r>
        <w:r>
          <w:rPr>
            <w:noProof/>
            <w:webHidden/>
          </w:rPr>
          <w:fldChar w:fldCharType="begin"/>
        </w:r>
        <w:r>
          <w:rPr>
            <w:noProof/>
            <w:webHidden/>
          </w:rPr>
          <w:instrText xml:space="preserve"> PAGEREF _Toc416192557 \h </w:instrText>
        </w:r>
        <w:r>
          <w:rPr>
            <w:noProof/>
          </w:rPr>
        </w:r>
        <w:r>
          <w:rPr>
            <w:noProof/>
            <w:webHidden/>
          </w:rPr>
          <w:fldChar w:fldCharType="separate"/>
        </w:r>
        <w:r>
          <w:rPr>
            <w:noProof/>
            <w:webHidden/>
          </w:rPr>
          <w:t>160</w:t>
        </w:r>
        <w:r>
          <w:rPr>
            <w:noProof/>
            <w:webHidden/>
          </w:rPr>
          <w:fldChar w:fldCharType="end"/>
        </w:r>
      </w:hyperlink>
    </w:p>
    <w:p w:rsidR="0014388E" w:rsidRDefault="0014388E">
      <w:pPr>
        <w:pStyle w:val="Kazalovsebine1"/>
        <w:rPr>
          <w:rFonts w:eastAsia="SimSun"/>
          <w:caps w:val="0"/>
          <w:noProof/>
          <w:snapToGrid/>
          <w:szCs w:val="24"/>
          <w:lang w:val="sl-SI"/>
        </w:rPr>
      </w:pPr>
      <w:hyperlink w:anchor="_Toc416192558" w:history="1">
        <w:r w:rsidRPr="00CF0C30">
          <w:rPr>
            <w:rStyle w:val="Hiperpovezava"/>
            <w:noProof/>
          </w:rPr>
          <w:t>7. Description of performance framework</w:t>
        </w:r>
        <w:r>
          <w:rPr>
            <w:noProof/>
            <w:webHidden/>
          </w:rPr>
          <w:tab/>
        </w:r>
        <w:r>
          <w:rPr>
            <w:noProof/>
            <w:webHidden/>
          </w:rPr>
          <w:fldChar w:fldCharType="begin"/>
        </w:r>
        <w:r>
          <w:rPr>
            <w:noProof/>
            <w:webHidden/>
          </w:rPr>
          <w:instrText xml:space="preserve"> PAGEREF _Toc416192558 \h </w:instrText>
        </w:r>
        <w:r>
          <w:rPr>
            <w:noProof/>
          </w:rPr>
        </w:r>
        <w:r>
          <w:rPr>
            <w:noProof/>
            <w:webHidden/>
          </w:rPr>
          <w:fldChar w:fldCharType="separate"/>
        </w:r>
        <w:r>
          <w:rPr>
            <w:noProof/>
            <w:webHidden/>
          </w:rPr>
          <w:t>162</w:t>
        </w:r>
        <w:r>
          <w:rPr>
            <w:noProof/>
            <w:webHidden/>
          </w:rPr>
          <w:fldChar w:fldCharType="end"/>
        </w:r>
      </w:hyperlink>
    </w:p>
    <w:p w:rsidR="0014388E" w:rsidRDefault="0014388E">
      <w:pPr>
        <w:pStyle w:val="Kazalovsebine2"/>
        <w:rPr>
          <w:rFonts w:eastAsia="SimSun"/>
          <w:noProof/>
          <w:snapToGrid/>
          <w:szCs w:val="24"/>
          <w:lang w:val="sl-SI"/>
        </w:rPr>
      </w:pPr>
      <w:hyperlink w:anchor="_Toc416192559" w:history="1">
        <w:r w:rsidRPr="00CF0C30">
          <w:rPr>
            <w:rStyle w:val="Hiperpovezava"/>
            <w:noProof/>
          </w:rPr>
          <w:t>7.1. Indicators</w:t>
        </w:r>
        <w:r>
          <w:rPr>
            <w:noProof/>
            <w:webHidden/>
          </w:rPr>
          <w:tab/>
        </w:r>
        <w:r>
          <w:rPr>
            <w:noProof/>
            <w:webHidden/>
          </w:rPr>
          <w:fldChar w:fldCharType="begin"/>
        </w:r>
        <w:r>
          <w:rPr>
            <w:noProof/>
            <w:webHidden/>
          </w:rPr>
          <w:instrText xml:space="preserve"> PAGEREF _Toc416192559 \h </w:instrText>
        </w:r>
        <w:r>
          <w:rPr>
            <w:noProof/>
          </w:rPr>
        </w:r>
        <w:r>
          <w:rPr>
            <w:noProof/>
            <w:webHidden/>
          </w:rPr>
          <w:fldChar w:fldCharType="separate"/>
        </w:r>
        <w:r>
          <w:rPr>
            <w:noProof/>
            <w:webHidden/>
          </w:rPr>
          <w:t>162</w:t>
        </w:r>
        <w:r>
          <w:rPr>
            <w:noProof/>
            <w:webHidden/>
          </w:rPr>
          <w:fldChar w:fldCharType="end"/>
        </w:r>
      </w:hyperlink>
    </w:p>
    <w:p w:rsidR="0014388E" w:rsidRDefault="0014388E">
      <w:pPr>
        <w:pStyle w:val="Kazalovsebine3"/>
        <w:rPr>
          <w:rFonts w:eastAsia="SimSun"/>
          <w:noProof/>
          <w:snapToGrid/>
          <w:szCs w:val="24"/>
          <w:lang w:val="sl-SI"/>
        </w:rPr>
      </w:pPr>
      <w:hyperlink w:anchor="_Toc416192560" w:history="1">
        <w:r w:rsidRPr="00CF0C30">
          <w:rPr>
            <w:rStyle w:val="Hiperpovezava"/>
            <w:noProof/>
          </w:rPr>
          <w:t>7.1.1. P2: Strengthening the viability of farms and competitiveness of all types of farming in all regions, and promoting innovative agricultural technologies and sustainable forest management</w:t>
        </w:r>
        <w:r>
          <w:rPr>
            <w:noProof/>
            <w:webHidden/>
          </w:rPr>
          <w:tab/>
        </w:r>
        <w:r>
          <w:rPr>
            <w:noProof/>
            <w:webHidden/>
          </w:rPr>
          <w:fldChar w:fldCharType="begin"/>
        </w:r>
        <w:r>
          <w:rPr>
            <w:noProof/>
            <w:webHidden/>
          </w:rPr>
          <w:instrText xml:space="preserve"> PAGEREF _Toc416192560 \h </w:instrText>
        </w:r>
        <w:r>
          <w:rPr>
            <w:noProof/>
          </w:rPr>
        </w:r>
        <w:r>
          <w:rPr>
            <w:noProof/>
            <w:webHidden/>
          </w:rPr>
          <w:fldChar w:fldCharType="separate"/>
        </w:r>
        <w:r>
          <w:rPr>
            <w:noProof/>
            <w:webHidden/>
          </w:rPr>
          <w:t>165</w:t>
        </w:r>
        <w:r>
          <w:rPr>
            <w:noProof/>
            <w:webHidden/>
          </w:rPr>
          <w:fldChar w:fldCharType="end"/>
        </w:r>
      </w:hyperlink>
    </w:p>
    <w:p w:rsidR="0014388E" w:rsidRDefault="0014388E">
      <w:pPr>
        <w:pStyle w:val="Kazalovsebine3"/>
        <w:rPr>
          <w:rFonts w:eastAsia="SimSun"/>
          <w:noProof/>
          <w:snapToGrid/>
          <w:szCs w:val="24"/>
          <w:lang w:val="sl-SI"/>
        </w:rPr>
      </w:pPr>
      <w:hyperlink w:anchor="_Toc416192561" w:history="1">
        <w:r w:rsidRPr="00CF0C30">
          <w:rPr>
            <w:rStyle w:val="Hiperpovezava"/>
            <w:noProof/>
          </w:rPr>
          <w:t>7.1.2. P3: Encouraging organisation of the food supply chain, including processing and marketing of agricultural products, animal welfare and risk management in agriculture</w:t>
        </w:r>
        <w:r>
          <w:rPr>
            <w:noProof/>
            <w:webHidden/>
          </w:rPr>
          <w:tab/>
        </w:r>
        <w:r>
          <w:rPr>
            <w:noProof/>
            <w:webHidden/>
          </w:rPr>
          <w:fldChar w:fldCharType="begin"/>
        </w:r>
        <w:r>
          <w:rPr>
            <w:noProof/>
            <w:webHidden/>
          </w:rPr>
          <w:instrText xml:space="preserve"> PAGEREF _Toc416192561 \h </w:instrText>
        </w:r>
        <w:r>
          <w:rPr>
            <w:noProof/>
          </w:rPr>
        </w:r>
        <w:r>
          <w:rPr>
            <w:noProof/>
            <w:webHidden/>
          </w:rPr>
          <w:fldChar w:fldCharType="separate"/>
        </w:r>
        <w:r>
          <w:rPr>
            <w:noProof/>
            <w:webHidden/>
          </w:rPr>
          <w:t>166</w:t>
        </w:r>
        <w:r>
          <w:rPr>
            <w:noProof/>
            <w:webHidden/>
          </w:rPr>
          <w:fldChar w:fldCharType="end"/>
        </w:r>
      </w:hyperlink>
    </w:p>
    <w:p w:rsidR="0014388E" w:rsidRDefault="0014388E">
      <w:pPr>
        <w:pStyle w:val="Kazalovsebine3"/>
        <w:rPr>
          <w:rFonts w:eastAsia="SimSun"/>
          <w:noProof/>
          <w:snapToGrid/>
          <w:szCs w:val="24"/>
          <w:lang w:val="sl-SI"/>
        </w:rPr>
      </w:pPr>
      <w:hyperlink w:anchor="_Toc416192562" w:history="1">
        <w:r w:rsidRPr="00CF0C30">
          <w:rPr>
            <w:rStyle w:val="Hiperpovezava"/>
            <w:noProof/>
          </w:rPr>
          <w:t>7.1.3. P4: Restoration, preservation and improvement of ecosystems related to agriculture and forestry</w:t>
        </w:r>
        <w:r>
          <w:rPr>
            <w:noProof/>
            <w:webHidden/>
          </w:rPr>
          <w:tab/>
        </w:r>
        <w:r>
          <w:rPr>
            <w:noProof/>
            <w:webHidden/>
          </w:rPr>
          <w:fldChar w:fldCharType="begin"/>
        </w:r>
        <w:r>
          <w:rPr>
            <w:noProof/>
            <w:webHidden/>
          </w:rPr>
          <w:instrText xml:space="preserve"> PAGEREF _Toc416192562 \h </w:instrText>
        </w:r>
        <w:r>
          <w:rPr>
            <w:noProof/>
          </w:rPr>
        </w:r>
        <w:r>
          <w:rPr>
            <w:noProof/>
            <w:webHidden/>
          </w:rPr>
          <w:fldChar w:fldCharType="separate"/>
        </w:r>
        <w:r>
          <w:rPr>
            <w:noProof/>
            <w:webHidden/>
          </w:rPr>
          <w:t>167</w:t>
        </w:r>
        <w:r>
          <w:rPr>
            <w:noProof/>
            <w:webHidden/>
          </w:rPr>
          <w:fldChar w:fldCharType="end"/>
        </w:r>
      </w:hyperlink>
    </w:p>
    <w:p w:rsidR="0014388E" w:rsidRDefault="0014388E">
      <w:pPr>
        <w:pStyle w:val="Kazalovsebine3"/>
        <w:rPr>
          <w:rFonts w:eastAsia="SimSun"/>
          <w:noProof/>
          <w:snapToGrid/>
          <w:szCs w:val="24"/>
          <w:lang w:val="sl-SI"/>
        </w:rPr>
      </w:pPr>
      <w:hyperlink w:anchor="_Toc416192563" w:history="1">
        <w:r w:rsidRPr="00CF0C30">
          <w:rPr>
            <w:rStyle w:val="Hiperpovezava"/>
            <w:noProof/>
          </w:rPr>
          <w:t>7.1.4. P6: Promotion of social inclusion, reduction of poverty and economic development of rural areas</w:t>
        </w:r>
        <w:r>
          <w:rPr>
            <w:noProof/>
            <w:webHidden/>
          </w:rPr>
          <w:tab/>
        </w:r>
        <w:r>
          <w:rPr>
            <w:noProof/>
            <w:webHidden/>
          </w:rPr>
          <w:fldChar w:fldCharType="begin"/>
        </w:r>
        <w:r>
          <w:rPr>
            <w:noProof/>
            <w:webHidden/>
          </w:rPr>
          <w:instrText xml:space="preserve"> PAGEREF _Toc416192563 \h </w:instrText>
        </w:r>
        <w:r>
          <w:rPr>
            <w:noProof/>
          </w:rPr>
        </w:r>
        <w:r>
          <w:rPr>
            <w:noProof/>
            <w:webHidden/>
          </w:rPr>
          <w:fldChar w:fldCharType="separate"/>
        </w:r>
        <w:r>
          <w:rPr>
            <w:noProof/>
            <w:webHidden/>
          </w:rPr>
          <w:t>168</w:t>
        </w:r>
        <w:r>
          <w:rPr>
            <w:noProof/>
            <w:webHidden/>
          </w:rPr>
          <w:fldChar w:fldCharType="end"/>
        </w:r>
      </w:hyperlink>
    </w:p>
    <w:p w:rsidR="0014388E" w:rsidRDefault="0014388E">
      <w:pPr>
        <w:pStyle w:val="Kazalovsebine2"/>
        <w:rPr>
          <w:rFonts w:eastAsia="SimSun"/>
          <w:noProof/>
          <w:snapToGrid/>
          <w:szCs w:val="24"/>
          <w:lang w:val="sl-SI"/>
        </w:rPr>
      </w:pPr>
      <w:hyperlink w:anchor="_Toc416192564" w:history="1">
        <w:r w:rsidRPr="00CF0C30">
          <w:rPr>
            <w:rStyle w:val="Hiperpovezava"/>
            <w:noProof/>
          </w:rPr>
          <w:t>7.2. Alternative indicators</w:t>
        </w:r>
        <w:r>
          <w:rPr>
            <w:noProof/>
            <w:webHidden/>
          </w:rPr>
          <w:tab/>
        </w:r>
        <w:r>
          <w:rPr>
            <w:noProof/>
            <w:webHidden/>
          </w:rPr>
          <w:fldChar w:fldCharType="begin"/>
        </w:r>
        <w:r>
          <w:rPr>
            <w:noProof/>
            <w:webHidden/>
          </w:rPr>
          <w:instrText xml:space="preserve"> PAGEREF _Toc416192564 \h </w:instrText>
        </w:r>
        <w:r>
          <w:rPr>
            <w:noProof/>
          </w:rPr>
        </w:r>
        <w:r>
          <w:rPr>
            <w:noProof/>
            <w:webHidden/>
          </w:rPr>
          <w:fldChar w:fldCharType="separate"/>
        </w:r>
        <w:r>
          <w:rPr>
            <w:noProof/>
            <w:webHidden/>
          </w:rPr>
          <w:t>170</w:t>
        </w:r>
        <w:r>
          <w:rPr>
            <w:noProof/>
            <w:webHidden/>
          </w:rPr>
          <w:fldChar w:fldCharType="end"/>
        </w:r>
      </w:hyperlink>
    </w:p>
    <w:p w:rsidR="0014388E" w:rsidRDefault="0014388E">
      <w:pPr>
        <w:pStyle w:val="Kazalovsebine3"/>
        <w:rPr>
          <w:rFonts w:eastAsia="SimSun"/>
          <w:noProof/>
          <w:snapToGrid/>
          <w:szCs w:val="24"/>
          <w:lang w:val="sl-SI"/>
        </w:rPr>
      </w:pPr>
      <w:hyperlink w:anchor="_Toc416192565" w:history="1">
        <w:r w:rsidRPr="00CF0C30">
          <w:rPr>
            <w:rStyle w:val="Hiperpovezava"/>
            <w:noProof/>
          </w:rPr>
          <w:t>7.2.1. P2: Strengthening the viability of farms and competitiveness of all types of farming in all regions, and promoting innovative agricultural technologies and sustainable forest management</w:t>
        </w:r>
        <w:r>
          <w:rPr>
            <w:noProof/>
            <w:webHidden/>
          </w:rPr>
          <w:tab/>
        </w:r>
        <w:r>
          <w:rPr>
            <w:noProof/>
            <w:webHidden/>
          </w:rPr>
          <w:fldChar w:fldCharType="begin"/>
        </w:r>
        <w:r>
          <w:rPr>
            <w:noProof/>
            <w:webHidden/>
          </w:rPr>
          <w:instrText xml:space="preserve"> PAGEREF _Toc416192565 \h </w:instrText>
        </w:r>
        <w:r>
          <w:rPr>
            <w:noProof/>
          </w:rPr>
        </w:r>
        <w:r>
          <w:rPr>
            <w:noProof/>
            <w:webHidden/>
          </w:rPr>
          <w:fldChar w:fldCharType="separate"/>
        </w:r>
        <w:r>
          <w:rPr>
            <w:noProof/>
            <w:webHidden/>
          </w:rPr>
          <w:t>171</w:t>
        </w:r>
        <w:r>
          <w:rPr>
            <w:noProof/>
            <w:webHidden/>
          </w:rPr>
          <w:fldChar w:fldCharType="end"/>
        </w:r>
      </w:hyperlink>
    </w:p>
    <w:p w:rsidR="0014388E" w:rsidRDefault="0014388E">
      <w:pPr>
        <w:pStyle w:val="Kazalovsebine3"/>
        <w:rPr>
          <w:rFonts w:eastAsia="SimSun"/>
          <w:noProof/>
          <w:snapToGrid/>
          <w:szCs w:val="24"/>
          <w:lang w:val="sl-SI"/>
        </w:rPr>
      </w:pPr>
      <w:hyperlink w:anchor="_Toc416192566" w:history="1">
        <w:r w:rsidRPr="00CF0C30">
          <w:rPr>
            <w:rStyle w:val="Hiperpovezava"/>
            <w:noProof/>
          </w:rPr>
          <w:t>7.2.2. P3: Encouraging organisation of the food supply chain, including processing and marketing of agricultural products, animal welfare and risk management in agriculture</w:t>
        </w:r>
        <w:r>
          <w:rPr>
            <w:noProof/>
            <w:webHidden/>
          </w:rPr>
          <w:tab/>
        </w:r>
        <w:r>
          <w:rPr>
            <w:noProof/>
            <w:webHidden/>
          </w:rPr>
          <w:fldChar w:fldCharType="begin"/>
        </w:r>
        <w:r>
          <w:rPr>
            <w:noProof/>
            <w:webHidden/>
          </w:rPr>
          <w:instrText xml:space="preserve"> PAGEREF _Toc416192566 \h </w:instrText>
        </w:r>
        <w:r>
          <w:rPr>
            <w:noProof/>
          </w:rPr>
        </w:r>
        <w:r>
          <w:rPr>
            <w:noProof/>
            <w:webHidden/>
          </w:rPr>
          <w:fldChar w:fldCharType="separate"/>
        </w:r>
        <w:r>
          <w:rPr>
            <w:noProof/>
            <w:webHidden/>
          </w:rPr>
          <w:t>172</w:t>
        </w:r>
        <w:r>
          <w:rPr>
            <w:noProof/>
            <w:webHidden/>
          </w:rPr>
          <w:fldChar w:fldCharType="end"/>
        </w:r>
      </w:hyperlink>
    </w:p>
    <w:p w:rsidR="0014388E" w:rsidRDefault="0014388E">
      <w:pPr>
        <w:pStyle w:val="Kazalovsebine3"/>
        <w:rPr>
          <w:rFonts w:eastAsia="SimSun"/>
          <w:noProof/>
          <w:snapToGrid/>
          <w:szCs w:val="24"/>
          <w:lang w:val="sl-SI"/>
        </w:rPr>
      </w:pPr>
      <w:hyperlink w:anchor="_Toc416192567" w:history="1">
        <w:r w:rsidRPr="00CF0C30">
          <w:rPr>
            <w:rStyle w:val="Hiperpovezava"/>
            <w:noProof/>
          </w:rPr>
          <w:t>7.2.3. P4: Restoration, preservation and improvement of ecosystems related to agriculture and forestry</w:t>
        </w:r>
        <w:r>
          <w:rPr>
            <w:noProof/>
            <w:webHidden/>
          </w:rPr>
          <w:tab/>
        </w:r>
        <w:r>
          <w:rPr>
            <w:noProof/>
            <w:webHidden/>
          </w:rPr>
          <w:fldChar w:fldCharType="begin"/>
        </w:r>
        <w:r>
          <w:rPr>
            <w:noProof/>
            <w:webHidden/>
          </w:rPr>
          <w:instrText xml:space="preserve"> PAGEREF _Toc416192567 \h </w:instrText>
        </w:r>
        <w:r>
          <w:rPr>
            <w:noProof/>
          </w:rPr>
        </w:r>
        <w:r>
          <w:rPr>
            <w:noProof/>
            <w:webHidden/>
          </w:rPr>
          <w:fldChar w:fldCharType="separate"/>
        </w:r>
        <w:r>
          <w:rPr>
            <w:noProof/>
            <w:webHidden/>
          </w:rPr>
          <w:t>173</w:t>
        </w:r>
        <w:r>
          <w:rPr>
            <w:noProof/>
            <w:webHidden/>
          </w:rPr>
          <w:fldChar w:fldCharType="end"/>
        </w:r>
      </w:hyperlink>
    </w:p>
    <w:p w:rsidR="0014388E" w:rsidRDefault="0014388E">
      <w:pPr>
        <w:pStyle w:val="Kazalovsebine3"/>
        <w:rPr>
          <w:rFonts w:eastAsia="SimSun"/>
          <w:noProof/>
          <w:snapToGrid/>
          <w:szCs w:val="24"/>
          <w:lang w:val="sl-SI"/>
        </w:rPr>
      </w:pPr>
      <w:hyperlink w:anchor="_Toc416192568" w:history="1">
        <w:r w:rsidRPr="00CF0C30">
          <w:rPr>
            <w:rStyle w:val="Hiperpovezava"/>
            <w:noProof/>
          </w:rPr>
          <w:t>7.2.4. P6: Promotion of social inclusion, reduction of poverty and economic development of rural areas</w:t>
        </w:r>
        <w:r>
          <w:rPr>
            <w:noProof/>
            <w:webHidden/>
          </w:rPr>
          <w:tab/>
        </w:r>
        <w:r>
          <w:rPr>
            <w:noProof/>
            <w:webHidden/>
          </w:rPr>
          <w:fldChar w:fldCharType="begin"/>
        </w:r>
        <w:r>
          <w:rPr>
            <w:noProof/>
            <w:webHidden/>
          </w:rPr>
          <w:instrText xml:space="preserve"> PAGEREF _Toc416192568 \h </w:instrText>
        </w:r>
        <w:r>
          <w:rPr>
            <w:noProof/>
          </w:rPr>
        </w:r>
        <w:r>
          <w:rPr>
            <w:noProof/>
            <w:webHidden/>
          </w:rPr>
          <w:fldChar w:fldCharType="separate"/>
        </w:r>
        <w:r>
          <w:rPr>
            <w:noProof/>
            <w:webHidden/>
          </w:rPr>
          <w:t>174</w:t>
        </w:r>
        <w:r>
          <w:rPr>
            <w:noProof/>
            <w:webHidden/>
          </w:rPr>
          <w:fldChar w:fldCharType="end"/>
        </w:r>
      </w:hyperlink>
    </w:p>
    <w:p w:rsidR="0014388E" w:rsidRDefault="0014388E">
      <w:pPr>
        <w:pStyle w:val="Kazalovsebine2"/>
        <w:rPr>
          <w:rFonts w:eastAsia="SimSun"/>
          <w:noProof/>
          <w:snapToGrid/>
          <w:szCs w:val="24"/>
          <w:lang w:val="sl-SI"/>
        </w:rPr>
      </w:pPr>
      <w:hyperlink w:anchor="_Toc416192569" w:history="1">
        <w:r w:rsidRPr="00CF0C30">
          <w:rPr>
            <w:rStyle w:val="Hiperpovezava"/>
            <w:noProof/>
          </w:rPr>
          <w:t>7.3. Reserve</w:t>
        </w:r>
        <w:r>
          <w:rPr>
            <w:noProof/>
            <w:webHidden/>
          </w:rPr>
          <w:tab/>
        </w:r>
        <w:r>
          <w:rPr>
            <w:noProof/>
            <w:webHidden/>
          </w:rPr>
          <w:fldChar w:fldCharType="begin"/>
        </w:r>
        <w:r>
          <w:rPr>
            <w:noProof/>
            <w:webHidden/>
          </w:rPr>
          <w:instrText xml:space="preserve"> PAGEREF _Toc416192569 \h </w:instrText>
        </w:r>
        <w:r>
          <w:rPr>
            <w:noProof/>
          </w:rPr>
        </w:r>
        <w:r>
          <w:rPr>
            <w:noProof/>
            <w:webHidden/>
          </w:rPr>
          <w:fldChar w:fldCharType="separate"/>
        </w:r>
        <w:r>
          <w:rPr>
            <w:noProof/>
            <w:webHidden/>
          </w:rPr>
          <w:t>176</w:t>
        </w:r>
        <w:r>
          <w:rPr>
            <w:noProof/>
            <w:webHidden/>
          </w:rPr>
          <w:fldChar w:fldCharType="end"/>
        </w:r>
      </w:hyperlink>
    </w:p>
    <w:p w:rsidR="0014388E" w:rsidRDefault="0014388E">
      <w:pPr>
        <w:pStyle w:val="Kazalovsebine1"/>
        <w:rPr>
          <w:rFonts w:eastAsia="SimSun"/>
          <w:caps w:val="0"/>
          <w:noProof/>
          <w:snapToGrid/>
          <w:szCs w:val="24"/>
          <w:lang w:val="sl-SI"/>
        </w:rPr>
      </w:pPr>
      <w:hyperlink w:anchor="_Toc416192570" w:history="1">
        <w:r w:rsidRPr="00CF0C30">
          <w:rPr>
            <w:rStyle w:val="Hiperpovezava"/>
            <w:noProof/>
          </w:rPr>
          <w:t>8. Description of selected measures</w:t>
        </w:r>
        <w:r>
          <w:rPr>
            <w:noProof/>
            <w:webHidden/>
          </w:rPr>
          <w:tab/>
        </w:r>
        <w:r>
          <w:rPr>
            <w:noProof/>
            <w:webHidden/>
          </w:rPr>
          <w:fldChar w:fldCharType="begin"/>
        </w:r>
        <w:r>
          <w:rPr>
            <w:noProof/>
            <w:webHidden/>
          </w:rPr>
          <w:instrText xml:space="preserve"> PAGEREF _Toc416192570 \h </w:instrText>
        </w:r>
        <w:r>
          <w:rPr>
            <w:noProof/>
          </w:rPr>
        </w:r>
        <w:r>
          <w:rPr>
            <w:noProof/>
            <w:webHidden/>
          </w:rPr>
          <w:fldChar w:fldCharType="separate"/>
        </w:r>
        <w:r>
          <w:rPr>
            <w:noProof/>
            <w:webHidden/>
          </w:rPr>
          <w:t>178</w:t>
        </w:r>
        <w:r>
          <w:rPr>
            <w:noProof/>
            <w:webHidden/>
          </w:rPr>
          <w:fldChar w:fldCharType="end"/>
        </w:r>
      </w:hyperlink>
    </w:p>
    <w:p w:rsidR="0014388E" w:rsidRDefault="0014388E">
      <w:pPr>
        <w:pStyle w:val="Kazalovsebine2"/>
        <w:rPr>
          <w:rFonts w:eastAsia="SimSun"/>
          <w:noProof/>
          <w:snapToGrid/>
          <w:szCs w:val="24"/>
          <w:lang w:val="sl-SI"/>
        </w:rPr>
      </w:pPr>
      <w:hyperlink w:anchor="_Toc416192571" w:history="1">
        <w:r w:rsidRPr="00CF0C30">
          <w:rPr>
            <w:rStyle w:val="Hiperpovezava"/>
            <w:noProof/>
          </w:rPr>
          <w:t>8.1. Description of general conditions used for more than one measure, including (if appropriate) a definition of a rural area, initial values, cross-compliance, anticipated use of financial instruments, anticipated use of advance payments, common provisions regarding investments, including provisions under Article 45 and 46 of Regulation (EU) No 1305/2013</w:t>
        </w:r>
        <w:r>
          <w:rPr>
            <w:noProof/>
            <w:webHidden/>
          </w:rPr>
          <w:tab/>
        </w:r>
        <w:r>
          <w:rPr>
            <w:noProof/>
            <w:webHidden/>
          </w:rPr>
          <w:fldChar w:fldCharType="begin"/>
        </w:r>
        <w:r>
          <w:rPr>
            <w:noProof/>
            <w:webHidden/>
          </w:rPr>
          <w:instrText xml:space="preserve"> PAGEREF _Toc416192571 \h </w:instrText>
        </w:r>
        <w:r>
          <w:rPr>
            <w:noProof/>
          </w:rPr>
        </w:r>
        <w:r>
          <w:rPr>
            <w:noProof/>
            <w:webHidden/>
          </w:rPr>
          <w:fldChar w:fldCharType="separate"/>
        </w:r>
        <w:r>
          <w:rPr>
            <w:noProof/>
            <w:webHidden/>
          </w:rPr>
          <w:t>178</w:t>
        </w:r>
        <w:r>
          <w:rPr>
            <w:noProof/>
            <w:webHidden/>
          </w:rPr>
          <w:fldChar w:fldCharType="end"/>
        </w:r>
      </w:hyperlink>
    </w:p>
    <w:p w:rsidR="0014388E" w:rsidRDefault="0014388E">
      <w:pPr>
        <w:pStyle w:val="Kazalovsebine2"/>
        <w:rPr>
          <w:rFonts w:eastAsia="SimSun"/>
          <w:noProof/>
          <w:snapToGrid/>
          <w:szCs w:val="24"/>
          <w:lang w:val="sl-SI"/>
        </w:rPr>
      </w:pPr>
      <w:hyperlink w:anchor="_Toc416192572" w:history="1">
        <w:r w:rsidRPr="00CF0C30">
          <w:rPr>
            <w:rStyle w:val="Hiperpovezava"/>
            <w:noProof/>
          </w:rPr>
          <w:t>8.2. Description by measures</w:t>
        </w:r>
        <w:r>
          <w:rPr>
            <w:noProof/>
            <w:webHidden/>
          </w:rPr>
          <w:tab/>
        </w:r>
        <w:r>
          <w:rPr>
            <w:noProof/>
            <w:webHidden/>
          </w:rPr>
          <w:fldChar w:fldCharType="begin"/>
        </w:r>
        <w:r>
          <w:rPr>
            <w:noProof/>
            <w:webHidden/>
          </w:rPr>
          <w:instrText xml:space="preserve"> PAGEREF _Toc416192572 \h </w:instrText>
        </w:r>
        <w:r>
          <w:rPr>
            <w:noProof/>
          </w:rPr>
        </w:r>
        <w:r>
          <w:rPr>
            <w:noProof/>
            <w:webHidden/>
          </w:rPr>
          <w:fldChar w:fldCharType="separate"/>
        </w:r>
        <w:r>
          <w:rPr>
            <w:noProof/>
            <w:webHidden/>
          </w:rPr>
          <w:t>184</w:t>
        </w:r>
        <w:r>
          <w:rPr>
            <w:noProof/>
            <w:webHidden/>
          </w:rPr>
          <w:fldChar w:fldCharType="end"/>
        </w:r>
      </w:hyperlink>
    </w:p>
    <w:p w:rsidR="0014388E" w:rsidRDefault="0014388E">
      <w:pPr>
        <w:pStyle w:val="Kazalovsebine3"/>
        <w:rPr>
          <w:rFonts w:eastAsia="SimSun"/>
          <w:noProof/>
          <w:snapToGrid/>
          <w:szCs w:val="24"/>
          <w:lang w:val="sl-SI"/>
        </w:rPr>
      </w:pPr>
      <w:hyperlink w:anchor="_Toc416192573" w:history="1">
        <w:r w:rsidRPr="00CF0C30">
          <w:rPr>
            <w:rStyle w:val="Hiperpovezava"/>
            <w:noProof/>
          </w:rPr>
          <w:t>8.2.1. M01 – Knowledge transfer and information actions (Article 14)</w:t>
        </w:r>
        <w:r>
          <w:rPr>
            <w:noProof/>
            <w:webHidden/>
          </w:rPr>
          <w:tab/>
        </w:r>
        <w:r>
          <w:rPr>
            <w:noProof/>
            <w:webHidden/>
          </w:rPr>
          <w:fldChar w:fldCharType="begin"/>
        </w:r>
        <w:r>
          <w:rPr>
            <w:noProof/>
            <w:webHidden/>
          </w:rPr>
          <w:instrText xml:space="preserve"> PAGEREF _Toc416192573 \h </w:instrText>
        </w:r>
        <w:r>
          <w:rPr>
            <w:noProof/>
          </w:rPr>
        </w:r>
        <w:r>
          <w:rPr>
            <w:noProof/>
            <w:webHidden/>
          </w:rPr>
          <w:fldChar w:fldCharType="separate"/>
        </w:r>
        <w:r>
          <w:rPr>
            <w:noProof/>
            <w:webHidden/>
          </w:rPr>
          <w:t>184</w:t>
        </w:r>
        <w:r>
          <w:rPr>
            <w:noProof/>
            <w:webHidden/>
          </w:rPr>
          <w:fldChar w:fldCharType="end"/>
        </w:r>
      </w:hyperlink>
    </w:p>
    <w:p w:rsidR="0014388E" w:rsidRDefault="0014388E">
      <w:pPr>
        <w:pStyle w:val="Kazalovsebine3"/>
        <w:rPr>
          <w:rFonts w:eastAsia="SimSun"/>
          <w:noProof/>
          <w:snapToGrid/>
          <w:szCs w:val="24"/>
          <w:lang w:val="sl-SI"/>
        </w:rPr>
      </w:pPr>
      <w:hyperlink w:anchor="_Toc416192574" w:history="1">
        <w:r w:rsidRPr="00CF0C30">
          <w:rPr>
            <w:rStyle w:val="Hiperpovezava"/>
            <w:noProof/>
          </w:rPr>
          <w:t>8.2.2. M02 – Advisory services, farm management and farm relief services (Article 15)</w:t>
        </w:r>
        <w:r>
          <w:rPr>
            <w:noProof/>
            <w:webHidden/>
          </w:rPr>
          <w:tab/>
        </w:r>
        <w:r>
          <w:rPr>
            <w:noProof/>
            <w:webHidden/>
          </w:rPr>
          <w:fldChar w:fldCharType="begin"/>
        </w:r>
        <w:r>
          <w:rPr>
            <w:noProof/>
            <w:webHidden/>
          </w:rPr>
          <w:instrText xml:space="preserve"> PAGEREF _Toc416192574 \h </w:instrText>
        </w:r>
        <w:r>
          <w:rPr>
            <w:noProof/>
          </w:rPr>
        </w:r>
        <w:r>
          <w:rPr>
            <w:noProof/>
            <w:webHidden/>
          </w:rPr>
          <w:fldChar w:fldCharType="separate"/>
        </w:r>
        <w:r>
          <w:rPr>
            <w:noProof/>
            <w:webHidden/>
          </w:rPr>
          <w:t>197</w:t>
        </w:r>
        <w:r>
          <w:rPr>
            <w:noProof/>
            <w:webHidden/>
          </w:rPr>
          <w:fldChar w:fldCharType="end"/>
        </w:r>
      </w:hyperlink>
    </w:p>
    <w:p w:rsidR="0014388E" w:rsidRDefault="0014388E">
      <w:pPr>
        <w:pStyle w:val="Kazalovsebine3"/>
        <w:rPr>
          <w:rFonts w:eastAsia="SimSun"/>
          <w:noProof/>
          <w:snapToGrid/>
          <w:szCs w:val="24"/>
          <w:lang w:val="sl-SI"/>
        </w:rPr>
      </w:pPr>
      <w:hyperlink w:anchor="_Toc416192575" w:history="1">
        <w:r w:rsidRPr="00CF0C30">
          <w:rPr>
            <w:rStyle w:val="Hiperpovezava"/>
            <w:noProof/>
          </w:rPr>
          <w:t>8.2.3. M03 – Quality schemes for agricultural products and foodstuffs (Article 16)</w:t>
        </w:r>
        <w:r>
          <w:rPr>
            <w:noProof/>
            <w:webHidden/>
          </w:rPr>
          <w:tab/>
        </w:r>
        <w:r>
          <w:rPr>
            <w:noProof/>
            <w:webHidden/>
          </w:rPr>
          <w:fldChar w:fldCharType="begin"/>
        </w:r>
        <w:r>
          <w:rPr>
            <w:noProof/>
            <w:webHidden/>
          </w:rPr>
          <w:instrText xml:space="preserve"> PAGEREF _Toc416192575 \h </w:instrText>
        </w:r>
        <w:r>
          <w:rPr>
            <w:noProof/>
          </w:rPr>
        </w:r>
        <w:r>
          <w:rPr>
            <w:noProof/>
            <w:webHidden/>
          </w:rPr>
          <w:fldChar w:fldCharType="separate"/>
        </w:r>
        <w:r>
          <w:rPr>
            <w:noProof/>
            <w:webHidden/>
          </w:rPr>
          <w:t>204</w:t>
        </w:r>
        <w:r>
          <w:rPr>
            <w:noProof/>
            <w:webHidden/>
          </w:rPr>
          <w:fldChar w:fldCharType="end"/>
        </w:r>
      </w:hyperlink>
    </w:p>
    <w:p w:rsidR="0014388E" w:rsidRDefault="0014388E">
      <w:pPr>
        <w:pStyle w:val="Kazalovsebine3"/>
        <w:rPr>
          <w:rFonts w:eastAsia="SimSun"/>
          <w:noProof/>
          <w:snapToGrid/>
          <w:szCs w:val="24"/>
          <w:lang w:val="sl-SI"/>
        </w:rPr>
      </w:pPr>
      <w:hyperlink w:anchor="_Toc416192576" w:history="1">
        <w:r w:rsidRPr="00CF0C30">
          <w:rPr>
            <w:rStyle w:val="Hiperpovezava"/>
            <w:noProof/>
          </w:rPr>
          <w:t>8.2.4. M04 - Investments in physical assets (Article 17)</w:t>
        </w:r>
        <w:r>
          <w:rPr>
            <w:noProof/>
            <w:webHidden/>
          </w:rPr>
          <w:tab/>
        </w:r>
        <w:r>
          <w:rPr>
            <w:noProof/>
            <w:webHidden/>
          </w:rPr>
          <w:fldChar w:fldCharType="begin"/>
        </w:r>
        <w:r>
          <w:rPr>
            <w:noProof/>
            <w:webHidden/>
          </w:rPr>
          <w:instrText xml:space="preserve"> PAGEREF _Toc416192576 \h </w:instrText>
        </w:r>
        <w:r>
          <w:rPr>
            <w:noProof/>
          </w:rPr>
        </w:r>
        <w:r>
          <w:rPr>
            <w:noProof/>
            <w:webHidden/>
          </w:rPr>
          <w:fldChar w:fldCharType="separate"/>
        </w:r>
        <w:r>
          <w:rPr>
            <w:noProof/>
            <w:webHidden/>
          </w:rPr>
          <w:t>218</w:t>
        </w:r>
        <w:r>
          <w:rPr>
            <w:noProof/>
            <w:webHidden/>
          </w:rPr>
          <w:fldChar w:fldCharType="end"/>
        </w:r>
      </w:hyperlink>
    </w:p>
    <w:p w:rsidR="0014388E" w:rsidRDefault="0014388E">
      <w:pPr>
        <w:pStyle w:val="Kazalovsebine3"/>
        <w:rPr>
          <w:rFonts w:eastAsia="SimSun"/>
          <w:noProof/>
          <w:snapToGrid/>
          <w:szCs w:val="24"/>
          <w:lang w:val="sl-SI"/>
        </w:rPr>
      </w:pPr>
      <w:hyperlink w:anchor="_Toc416192577" w:history="1">
        <w:r w:rsidRPr="00CF0C30">
          <w:rPr>
            <w:rStyle w:val="Hiperpovezava"/>
            <w:noProof/>
          </w:rPr>
          <w:t>8.2.5. M06 – Farm and business development (Article 19)</w:t>
        </w:r>
        <w:r>
          <w:rPr>
            <w:noProof/>
            <w:webHidden/>
          </w:rPr>
          <w:tab/>
        </w:r>
        <w:r>
          <w:rPr>
            <w:noProof/>
            <w:webHidden/>
          </w:rPr>
          <w:fldChar w:fldCharType="begin"/>
        </w:r>
        <w:r>
          <w:rPr>
            <w:noProof/>
            <w:webHidden/>
          </w:rPr>
          <w:instrText xml:space="preserve"> PAGEREF _Toc416192577 \h </w:instrText>
        </w:r>
        <w:r>
          <w:rPr>
            <w:noProof/>
          </w:rPr>
        </w:r>
        <w:r>
          <w:rPr>
            <w:noProof/>
            <w:webHidden/>
          </w:rPr>
          <w:fldChar w:fldCharType="separate"/>
        </w:r>
        <w:r>
          <w:rPr>
            <w:noProof/>
            <w:webHidden/>
          </w:rPr>
          <w:t>276</w:t>
        </w:r>
        <w:r>
          <w:rPr>
            <w:noProof/>
            <w:webHidden/>
          </w:rPr>
          <w:fldChar w:fldCharType="end"/>
        </w:r>
      </w:hyperlink>
    </w:p>
    <w:p w:rsidR="0014388E" w:rsidRDefault="0014388E">
      <w:pPr>
        <w:pStyle w:val="Kazalovsebine3"/>
        <w:rPr>
          <w:rFonts w:eastAsia="SimSun"/>
          <w:noProof/>
          <w:snapToGrid/>
          <w:szCs w:val="24"/>
          <w:lang w:val="sl-SI"/>
        </w:rPr>
      </w:pPr>
      <w:hyperlink w:anchor="_Toc416192578" w:history="1">
        <w:r w:rsidRPr="00CF0C30">
          <w:rPr>
            <w:rStyle w:val="Hiperpovezava"/>
            <w:noProof/>
          </w:rPr>
          <w:t>8.2.6. M07 – Basic services and village renewal in rural areas (Article 20)</w:t>
        </w:r>
        <w:r>
          <w:rPr>
            <w:noProof/>
            <w:webHidden/>
          </w:rPr>
          <w:tab/>
        </w:r>
        <w:r>
          <w:rPr>
            <w:noProof/>
            <w:webHidden/>
          </w:rPr>
          <w:fldChar w:fldCharType="begin"/>
        </w:r>
        <w:r>
          <w:rPr>
            <w:noProof/>
            <w:webHidden/>
          </w:rPr>
          <w:instrText xml:space="preserve"> PAGEREF _Toc416192578 \h </w:instrText>
        </w:r>
        <w:r>
          <w:rPr>
            <w:noProof/>
          </w:rPr>
        </w:r>
        <w:r>
          <w:rPr>
            <w:noProof/>
            <w:webHidden/>
          </w:rPr>
          <w:fldChar w:fldCharType="separate"/>
        </w:r>
        <w:r>
          <w:rPr>
            <w:noProof/>
            <w:webHidden/>
          </w:rPr>
          <w:t>296</w:t>
        </w:r>
        <w:r>
          <w:rPr>
            <w:noProof/>
            <w:webHidden/>
          </w:rPr>
          <w:fldChar w:fldCharType="end"/>
        </w:r>
      </w:hyperlink>
    </w:p>
    <w:p w:rsidR="0014388E" w:rsidRDefault="0014388E">
      <w:pPr>
        <w:pStyle w:val="Kazalovsebine3"/>
        <w:rPr>
          <w:rFonts w:eastAsia="SimSun"/>
          <w:noProof/>
          <w:snapToGrid/>
          <w:szCs w:val="24"/>
          <w:lang w:val="sl-SI"/>
        </w:rPr>
      </w:pPr>
      <w:hyperlink w:anchor="_Toc416192579" w:history="1">
        <w:r w:rsidRPr="00CF0C30">
          <w:rPr>
            <w:rStyle w:val="Hiperpovezava"/>
            <w:noProof/>
          </w:rPr>
          <w:t>8.2.7. M08 – Investments in forest area development and improvement of the viability of forests (Articles 21-26)</w:t>
        </w:r>
        <w:r>
          <w:rPr>
            <w:noProof/>
            <w:webHidden/>
          </w:rPr>
          <w:tab/>
        </w:r>
        <w:r>
          <w:rPr>
            <w:noProof/>
            <w:webHidden/>
          </w:rPr>
          <w:fldChar w:fldCharType="begin"/>
        </w:r>
        <w:r>
          <w:rPr>
            <w:noProof/>
            <w:webHidden/>
          </w:rPr>
          <w:instrText xml:space="preserve"> PAGEREF _Toc416192579 \h </w:instrText>
        </w:r>
        <w:r>
          <w:rPr>
            <w:noProof/>
          </w:rPr>
        </w:r>
        <w:r>
          <w:rPr>
            <w:noProof/>
            <w:webHidden/>
          </w:rPr>
          <w:fldChar w:fldCharType="separate"/>
        </w:r>
        <w:r>
          <w:rPr>
            <w:noProof/>
            <w:webHidden/>
          </w:rPr>
          <w:t>306</w:t>
        </w:r>
        <w:r>
          <w:rPr>
            <w:noProof/>
            <w:webHidden/>
          </w:rPr>
          <w:fldChar w:fldCharType="end"/>
        </w:r>
      </w:hyperlink>
    </w:p>
    <w:p w:rsidR="0014388E" w:rsidRDefault="0014388E">
      <w:pPr>
        <w:pStyle w:val="Kazalovsebine3"/>
        <w:rPr>
          <w:rFonts w:eastAsia="SimSun"/>
          <w:noProof/>
          <w:snapToGrid/>
          <w:szCs w:val="24"/>
          <w:lang w:val="sl-SI"/>
        </w:rPr>
      </w:pPr>
      <w:hyperlink w:anchor="_Toc416192580" w:history="1">
        <w:r w:rsidRPr="00CF0C30">
          <w:rPr>
            <w:rStyle w:val="Hiperpovezava"/>
            <w:noProof/>
          </w:rPr>
          <w:t>8.2.8. M09 – Setting-up of producer groups and organisations (Article 27)</w:t>
        </w:r>
        <w:r>
          <w:rPr>
            <w:noProof/>
            <w:webHidden/>
          </w:rPr>
          <w:tab/>
        </w:r>
        <w:r>
          <w:rPr>
            <w:noProof/>
            <w:webHidden/>
          </w:rPr>
          <w:fldChar w:fldCharType="begin"/>
        </w:r>
        <w:r>
          <w:rPr>
            <w:noProof/>
            <w:webHidden/>
          </w:rPr>
          <w:instrText xml:space="preserve"> PAGEREF _Toc416192580 \h </w:instrText>
        </w:r>
        <w:r>
          <w:rPr>
            <w:noProof/>
          </w:rPr>
        </w:r>
        <w:r>
          <w:rPr>
            <w:noProof/>
            <w:webHidden/>
          </w:rPr>
          <w:fldChar w:fldCharType="separate"/>
        </w:r>
        <w:r>
          <w:rPr>
            <w:noProof/>
            <w:webHidden/>
          </w:rPr>
          <w:t>346</w:t>
        </w:r>
        <w:r>
          <w:rPr>
            <w:noProof/>
            <w:webHidden/>
          </w:rPr>
          <w:fldChar w:fldCharType="end"/>
        </w:r>
      </w:hyperlink>
    </w:p>
    <w:p w:rsidR="0014388E" w:rsidRDefault="0014388E">
      <w:pPr>
        <w:pStyle w:val="Kazalovsebine3"/>
        <w:rPr>
          <w:rFonts w:eastAsia="SimSun"/>
          <w:noProof/>
          <w:snapToGrid/>
          <w:szCs w:val="24"/>
          <w:lang w:val="sl-SI"/>
        </w:rPr>
      </w:pPr>
      <w:hyperlink w:anchor="_Toc416192581" w:history="1">
        <w:r w:rsidRPr="00CF0C30">
          <w:rPr>
            <w:rStyle w:val="Hiperpovezava"/>
            <w:noProof/>
          </w:rPr>
          <w:t>8.2.9. M10 – Agri-environment-climate payments (Article 28)</w:t>
        </w:r>
        <w:r>
          <w:rPr>
            <w:noProof/>
            <w:webHidden/>
          </w:rPr>
          <w:tab/>
        </w:r>
        <w:r>
          <w:rPr>
            <w:noProof/>
            <w:webHidden/>
          </w:rPr>
          <w:fldChar w:fldCharType="begin"/>
        </w:r>
        <w:r>
          <w:rPr>
            <w:noProof/>
            <w:webHidden/>
          </w:rPr>
          <w:instrText xml:space="preserve"> PAGEREF _Toc416192581 \h </w:instrText>
        </w:r>
        <w:r>
          <w:rPr>
            <w:noProof/>
          </w:rPr>
        </w:r>
        <w:r>
          <w:rPr>
            <w:noProof/>
            <w:webHidden/>
          </w:rPr>
          <w:fldChar w:fldCharType="separate"/>
        </w:r>
        <w:r>
          <w:rPr>
            <w:noProof/>
            <w:webHidden/>
          </w:rPr>
          <w:t>355</w:t>
        </w:r>
        <w:r>
          <w:rPr>
            <w:noProof/>
            <w:webHidden/>
          </w:rPr>
          <w:fldChar w:fldCharType="end"/>
        </w:r>
      </w:hyperlink>
    </w:p>
    <w:p w:rsidR="0014388E" w:rsidRDefault="0014388E">
      <w:pPr>
        <w:pStyle w:val="Kazalovsebine3"/>
        <w:rPr>
          <w:rFonts w:eastAsia="SimSun"/>
          <w:noProof/>
          <w:snapToGrid/>
          <w:szCs w:val="24"/>
          <w:lang w:val="sl-SI"/>
        </w:rPr>
      </w:pPr>
      <w:hyperlink w:anchor="_Toc416192582" w:history="1">
        <w:r w:rsidRPr="00CF0C30">
          <w:rPr>
            <w:rStyle w:val="Hiperpovezava"/>
            <w:noProof/>
          </w:rPr>
          <w:t>8.2.10. M11 – Organic farming (Article 29)</w:t>
        </w:r>
        <w:r>
          <w:rPr>
            <w:noProof/>
            <w:webHidden/>
          </w:rPr>
          <w:tab/>
        </w:r>
        <w:r>
          <w:rPr>
            <w:noProof/>
            <w:webHidden/>
          </w:rPr>
          <w:fldChar w:fldCharType="begin"/>
        </w:r>
        <w:r>
          <w:rPr>
            <w:noProof/>
            <w:webHidden/>
          </w:rPr>
          <w:instrText xml:space="preserve"> PAGEREF _Toc416192582 \h </w:instrText>
        </w:r>
        <w:r>
          <w:rPr>
            <w:noProof/>
          </w:rPr>
        </w:r>
        <w:r>
          <w:rPr>
            <w:noProof/>
            <w:webHidden/>
          </w:rPr>
          <w:fldChar w:fldCharType="separate"/>
        </w:r>
        <w:r>
          <w:rPr>
            <w:noProof/>
            <w:webHidden/>
          </w:rPr>
          <w:t>635</w:t>
        </w:r>
        <w:r>
          <w:rPr>
            <w:noProof/>
            <w:webHidden/>
          </w:rPr>
          <w:fldChar w:fldCharType="end"/>
        </w:r>
      </w:hyperlink>
    </w:p>
    <w:p w:rsidR="0014388E" w:rsidRDefault="0014388E">
      <w:pPr>
        <w:pStyle w:val="Kazalovsebine3"/>
        <w:rPr>
          <w:rFonts w:eastAsia="SimSun"/>
          <w:noProof/>
          <w:snapToGrid/>
          <w:szCs w:val="24"/>
          <w:lang w:val="sl-SI"/>
        </w:rPr>
      </w:pPr>
      <w:hyperlink w:anchor="_Toc416192583" w:history="1">
        <w:r w:rsidRPr="00CF0C30">
          <w:rPr>
            <w:rStyle w:val="Hiperpovezava"/>
            <w:noProof/>
            <w:lang w:eastAsia="en-GB" w:bidi="en-GB"/>
          </w:rPr>
          <w:t>8.2.11.</w:t>
        </w:r>
        <w:r w:rsidRPr="00CF0C30">
          <w:rPr>
            <w:rStyle w:val="Hiperpovezava"/>
            <w:noProof/>
          </w:rPr>
          <w:t xml:space="preserve"> M13 – Payments to areas facing natural or other specific constraints (Article 31)</w:t>
        </w:r>
        <w:r>
          <w:rPr>
            <w:noProof/>
            <w:webHidden/>
          </w:rPr>
          <w:tab/>
        </w:r>
        <w:r>
          <w:rPr>
            <w:noProof/>
            <w:webHidden/>
          </w:rPr>
          <w:fldChar w:fldCharType="begin"/>
        </w:r>
        <w:r>
          <w:rPr>
            <w:noProof/>
            <w:webHidden/>
          </w:rPr>
          <w:instrText xml:space="preserve"> PAGEREF _Toc416192583 \h </w:instrText>
        </w:r>
        <w:r>
          <w:rPr>
            <w:noProof/>
          </w:rPr>
        </w:r>
        <w:r>
          <w:rPr>
            <w:noProof/>
            <w:webHidden/>
          </w:rPr>
          <w:fldChar w:fldCharType="separate"/>
        </w:r>
        <w:r>
          <w:rPr>
            <w:noProof/>
            <w:webHidden/>
          </w:rPr>
          <w:t>662</w:t>
        </w:r>
        <w:r>
          <w:rPr>
            <w:noProof/>
            <w:webHidden/>
          </w:rPr>
          <w:fldChar w:fldCharType="end"/>
        </w:r>
      </w:hyperlink>
    </w:p>
    <w:p w:rsidR="0014388E" w:rsidRDefault="0014388E">
      <w:pPr>
        <w:pStyle w:val="Kazalovsebine3"/>
        <w:rPr>
          <w:rFonts w:eastAsia="SimSun"/>
          <w:noProof/>
          <w:snapToGrid/>
          <w:szCs w:val="24"/>
          <w:lang w:val="sl-SI"/>
        </w:rPr>
      </w:pPr>
      <w:hyperlink w:anchor="_Toc416192584" w:history="1">
        <w:r w:rsidRPr="00CF0C30">
          <w:rPr>
            <w:rStyle w:val="Hiperpovezava"/>
            <w:noProof/>
            <w:lang w:eastAsia="en-GB" w:bidi="en-GB"/>
          </w:rPr>
          <w:t>8.2.12.</w:t>
        </w:r>
        <w:r w:rsidRPr="00CF0C30">
          <w:rPr>
            <w:rStyle w:val="Hiperpovezava"/>
            <w:noProof/>
          </w:rPr>
          <w:t xml:space="preserve"> M14 – Animal welfare (Article 33)</w:t>
        </w:r>
        <w:r>
          <w:rPr>
            <w:noProof/>
            <w:webHidden/>
          </w:rPr>
          <w:tab/>
        </w:r>
        <w:r>
          <w:rPr>
            <w:noProof/>
            <w:webHidden/>
          </w:rPr>
          <w:fldChar w:fldCharType="begin"/>
        </w:r>
        <w:r>
          <w:rPr>
            <w:noProof/>
            <w:webHidden/>
          </w:rPr>
          <w:instrText xml:space="preserve"> PAGEREF _Toc416192584 \h </w:instrText>
        </w:r>
        <w:r>
          <w:rPr>
            <w:noProof/>
          </w:rPr>
        </w:r>
        <w:r>
          <w:rPr>
            <w:noProof/>
            <w:webHidden/>
          </w:rPr>
          <w:fldChar w:fldCharType="separate"/>
        </w:r>
        <w:r>
          <w:rPr>
            <w:noProof/>
            <w:webHidden/>
          </w:rPr>
          <w:t>697</w:t>
        </w:r>
        <w:r>
          <w:rPr>
            <w:noProof/>
            <w:webHidden/>
          </w:rPr>
          <w:fldChar w:fldCharType="end"/>
        </w:r>
      </w:hyperlink>
    </w:p>
    <w:p w:rsidR="0014388E" w:rsidRDefault="0014388E">
      <w:pPr>
        <w:pStyle w:val="Kazalovsebine3"/>
        <w:rPr>
          <w:rFonts w:eastAsia="SimSun"/>
          <w:noProof/>
          <w:snapToGrid/>
          <w:szCs w:val="24"/>
          <w:lang w:val="sl-SI"/>
        </w:rPr>
      </w:pPr>
      <w:hyperlink w:anchor="_Toc416192585" w:history="1">
        <w:r w:rsidRPr="00CF0C30">
          <w:rPr>
            <w:rStyle w:val="Hiperpovezava"/>
            <w:noProof/>
            <w:lang w:eastAsia="en-GB" w:bidi="en-GB"/>
          </w:rPr>
          <w:t>8.2.13.</w:t>
        </w:r>
        <w:r w:rsidRPr="00CF0C30">
          <w:rPr>
            <w:rStyle w:val="Hiperpovezava"/>
            <w:noProof/>
          </w:rPr>
          <w:t xml:space="preserve"> M16 – Cooperation (Article 35)</w:t>
        </w:r>
        <w:r>
          <w:rPr>
            <w:noProof/>
            <w:webHidden/>
          </w:rPr>
          <w:tab/>
        </w:r>
        <w:r>
          <w:rPr>
            <w:noProof/>
            <w:webHidden/>
          </w:rPr>
          <w:fldChar w:fldCharType="begin"/>
        </w:r>
        <w:r>
          <w:rPr>
            <w:noProof/>
            <w:webHidden/>
          </w:rPr>
          <w:instrText xml:space="preserve"> PAGEREF _Toc416192585 \h </w:instrText>
        </w:r>
        <w:r>
          <w:rPr>
            <w:noProof/>
          </w:rPr>
        </w:r>
        <w:r>
          <w:rPr>
            <w:noProof/>
            <w:webHidden/>
          </w:rPr>
          <w:fldChar w:fldCharType="separate"/>
        </w:r>
        <w:r>
          <w:rPr>
            <w:noProof/>
            <w:webHidden/>
          </w:rPr>
          <w:t>711</w:t>
        </w:r>
        <w:r>
          <w:rPr>
            <w:noProof/>
            <w:webHidden/>
          </w:rPr>
          <w:fldChar w:fldCharType="end"/>
        </w:r>
      </w:hyperlink>
    </w:p>
    <w:p w:rsidR="0014388E" w:rsidRDefault="0014388E">
      <w:pPr>
        <w:pStyle w:val="Kazalovsebine3"/>
        <w:rPr>
          <w:rFonts w:eastAsia="SimSun"/>
          <w:noProof/>
          <w:snapToGrid/>
          <w:szCs w:val="24"/>
          <w:lang w:val="sl-SI"/>
        </w:rPr>
      </w:pPr>
      <w:hyperlink w:anchor="_Toc416192586" w:history="1">
        <w:r w:rsidRPr="00CF0C30">
          <w:rPr>
            <w:rStyle w:val="Hiperpovezava"/>
            <w:noProof/>
            <w:lang w:eastAsia="en-GB" w:bidi="en-GB"/>
          </w:rPr>
          <w:t>8.2.14.</w:t>
        </w:r>
        <w:r w:rsidRPr="00CF0C30">
          <w:rPr>
            <w:rStyle w:val="Hiperpovezava"/>
            <w:noProof/>
          </w:rPr>
          <w:t xml:space="preserve"> M19 – Support for LEADER local development (CLLD – community-led local development) (Article 35 of Regulation (EU) No 1303/2013)</w:t>
        </w:r>
        <w:r>
          <w:rPr>
            <w:noProof/>
            <w:webHidden/>
          </w:rPr>
          <w:tab/>
        </w:r>
        <w:r>
          <w:rPr>
            <w:noProof/>
            <w:webHidden/>
          </w:rPr>
          <w:fldChar w:fldCharType="begin"/>
        </w:r>
        <w:r>
          <w:rPr>
            <w:noProof/>
            <w:webHidden/>
          </w:rPr>
          <w:instrText xml:space="preserve"> PAGEREF _Toc416192586 \h </w:instrText>
        </w:r>
        <w:r>
          <w:rPr>
            <w:noProof/>
          </w:rPr>
        </w:r>
        <w:r>
          <w:rPr>
            <w:noProof/>
            <w:webHidden/>
          </w:rPr>
          <w:fldChar w:fldCharType="separate"/>
        </w:r>
        <w:r>
          <w:rPr>
            <w:noProof/>
            <w:webHidden/>
          </w:rPr>
          <w:t>738</w:t>
        </w:r>
        <w:r>
          <w:rPr>
            <w:noProof/>
            <w:webHidden/>
          </w:rPr>
          <w:fldChar w:fldCharType="end"/>
        </w:r>
      </w:hyperlink>
    </w:p>
    <w:p w:rsidR="0014388E" w:rsidRDefault="0014388E">
      <w:pPr>
        <w:pStyle w:val="Kazalovsebine1"/>
        <w:rPr>
          <w:rFonts w:eastAsia="SimSun"/>
          <w:caps w:val="0"/>
          <w:noProof/>
          <w:snapToGrid/>
          <w:szCs w:val="24"/>
          <w:lang w:val="sl-SI"/>
        </w:rPr>
      </w:pPr>
      <w:hyperlink w:anchor="_Toc416192587" w:history="1">
        <w:r w:rsidRPr="00CF0C30">
          <w:rPr>
            <w:rStyle w:val="Hiperpovezava"/>
            <w:noProof/>
            <w:lang w:eastAsia="en-GB" w:bidi="en-GB"/>
          </w:rPr>
          <w:t>9.</w:t>
        </w:r>
        <w:r w:rsidRPr="00CF0C30">
          <w:rPr>
            <w:rStyle w:val="Hiperpovezava"/>
            <w:noProof/>
          </w:rPr>
          <w:t xml:space="preserve"> Evaluation plan</w:t>
        </w:r>
        <w:r>
          <w:rPr>
            <w:noProof/>
            <w:webHidden/>
          </w:rPr>
          <w:tab/>
        </w:r>
        <w:r>
          <w:rPr>
            <w:noProof/>
            <w:webHidden/>
          </w:rPr>
          <w:fldChar w:fldCharType="begin"/>
        </w:r>
        <w:r>
          <w:rPr>
            <w:noProof/>
            <w:webHidden/>
          </w:rPr>
          <w:instrText xml:space="preserve"> PAGEREF _Toc416192587 \h </w:instrText>
        </w:r>
        <w:r>
          <w:rPr>
            <w:noProof/>
          </w:rPr>
        </w:r>
        <w:r>
          <w:rPr>
            <w:noProof/>
            <w:webHidden/>
          </w:rPr>
          <w:fldChar w:fldCharType="separate"/>
        </w:r>
        <w:r>
          <w:rPr>
            <w:noProof/>
            <w:webHidden/>
          </w:rPr>
          <w:t>787</w:t>
        </w:r>
        <w:r>
          <w:rPr>
            <w:noProof/>
            <w:webHidden/>
          </w:rPr>
          <w:fldChar w:fldCharType="end"/>
        </w:r>
      </w:hyperlink>
    </w:p>
    <w:p w:rsidR="0014388E" w:rsidRDefault="0014388E">
      <w:pPr>
        <w:pStyle w:val="Kazalovsebine2"/>
        <w:rPr>
          <w:rFonts w:eastAsia="SimSun"/>
          <w:noProof/>
          <w:snapToGrid/>
          <w:szCs w:val="24"/>
          <w:lang w:val="sl-SI"/>
        </w:rPr>
      </w:pPr>
      <w:hyperlink w:anchor="_Toc416192588" w:history="1">
        <w:r w:rsidRPr="00CF0C30">
          <w:rPr>
            <w:rStyle w:val="Hiperpovezava"/>
            <w:noProof/>
          </w:rPr>
          <w:t>9.1. Objectives and purpose</w:t>
        </w:r>
        <w:r>
          <w:rPr>
            <w:noProof/>
            <w:webHidden/>
          </w:rPr>
          <w:tab/>
        </w:r>
        <w:r>
          <w:rPr>
            <w:noProof/>
            <w:webHidden/>
          </w:rPr>
          <w:fldChar w:fldCharType="begin"/>
        </w:r>
        <w:r>
          <w:rPr>
            <w:noProof/>
            <w:webHidden/>
          </w:rPr>
          <w:instrText xml:space="preserve"> PAGEREF _Toc416192588 \h </w:instrText>
        </w:r>
        <w:r>
          <w:rPr>
            <w:noProof/>
          </w:rPr>
        </w:r>
        <w:r>
          <w:rPr>
            <w:noProof/>
            <w:webHidden/>
          </w:rPr>
          <w:fldChar w:fldCharType="separate"/>
        </w:r>
        <w:r>
          <w:rPr>
            <w:noProof/>
            <w:webHidden/>
          </w:rPr>
          <w:t>787</w:t>
        </w:r>
        <w:r>
          <w:rPr>
            <w:noProof/>
            <w:webHidden/>
          </w:rPr>
          <w:fldChar w:fldCharType="end"/>
        </w:r>
      </w:hyperlink>
    </w:p>
    <w:p w:rsidR="0014388E" w:rsidRDefault="0014388E">
      <w:pPr>
        <w:pStyle w:val="Kazalovsebine2"/>
        <w:rPr>
          <w:rFonts w:eastAsia="SimSun"/>
          <w:noProof/>
          <w:snapToGrid/>
          <w:szCs w:val="24"/>
          <w:lang w:val="sl-SI"/>
        </w:rPr>
      </w:pPr>
      <w:hyperlink w:anchor="_Toc416192589" w:history="1">
        <w:r w:rsidRPr="00CF0C30">
          <w:rPr>
            <w:rStyle w:val="Hiperpovezava"/>
            <w:noProof/>
            <w:lang w:eastAsia="en-GB" w:bidi="en-GB"/>
          </w:rPr>
          <w:t>9.2.</w:t>
        </w:r>
        <w:r w:rsidRPr="00CF0C30">
          <w:rPr>
            <w:rStyle w:val="Hiperpovezava"/>
            <w:noProof/>
          </w:rPr>
          <w:t xml:space="preserve"> Management and harmonisation</w:t>
        </w:r>
        <w:r>
          <w:rPr>
            <w:noProof/>
            <w:webHidden/>
          </w:rPr>
          <w:tab/>
        </w:r>
        <w:r>
          <w:rPr>
            <w:noProof/>
            <w:webHidden/>
          </w:rPr>
          <w:fldChar w:fldCharType="begin"/>
        </w:r>
        <w:r>
          <w:rPr>
            <w:noProof/>
            <w:webHidden/>
          </w:rPr>
          <w:instrText xml:space="preserve"> PAGEREF _Toc416192589 \h </w:instrText>
        </w:r>
        <w:r>
          <w:rPr>
            <w:noProof/>
          </w:rPr>
        </w:r>
        <w:r>
          <w:rPr>
            <w:noProof/>
            <w:webHidden/>
          </w:rPr>
          <w:fldChar w:fldCharType="separate"/>
        </w:r>
        <w:r>
          <w:rPr>
            <w:noProof/>
            <w:webHidden/>
          </w:rPr>
          <w:t>787</w:t>
        </w:r>
        <w:r>
          <w:rPr>
            <w:noProof/>
            <w:webHidden/>
          </w:rPr>
          <w:fldChar w:fldCharType="end"/>
        </w:r>
      </w:hyperlink>
    </w:p>
    <w:p w:rsidR="0014388E" w:rsidRDefault="0014388E">
      <w:pPr>
        <w:pStyle w:val="Kazalovsebine2"/>
        <w:rPr>
          <w:rFonts w:eastAsia="SimSun"/>
          <w:noProof/>
          <w:snapToGrid/>
          <w:szCs w:val="24"/>
          <w:lang w:val="sl-SI"/>
        </w:rPr>
      </w:pPr>
      <w:hyperlink w:anchor="_Toc416192590" w:history="1">
        <w:r w:rsidRPr="00CF0C30">
          <w:rPr>
            <w:rStyle w:val="Hiperpovezava"/>
            <w:noProof/>
            <w:lang w:eastAsia="en-GB" w:bidi="en-GB"/>
          </w:rPr>
          <w:t>9.3.</w:t>
        </w:r>
        <w:r w:rsidRPr="00CF0C30">
          <w:rPr>
            <w:rStyle w:val="Hiperpovezava"/>
            <w:noProof/>
          </w:rPr>
          <w:t xml:space="preserve"> Evaluation themes and activities</w:t>
        </w:r>
        <w:r>
          <w:rPr>
            <w:noProof/>
            <w:webHidden/>
          </w:rPr>
          <w:tab/>
        </w:r>
        <w:r>
          <w:rPr>
            <w:noProof/>
            <w:webHidden/>
          </w:rPr>
          <w:fldChar w:fldCharType="begin"/>
        </w:r>
        <w:r>
          <w:rPr>
            <w:noProof/>
            <w:webHidden/>
          </w:rPr>
          <w:instrText xml:space="preserve"> PAGEREF _Toc416192590 \h </w:instrText>
        </w:r>
        <w:r>
          <w:rPr>
            <w:noProof/>
          </w:rPr>
        </w:r>
        <w:r>
          <w:rPr>
            <w:noProof/>
            <w:webHidden/>
          </w:rPr>
          <w:fldChar w:fldCharType="separate"/>
        </w:r>
        <w:r>
          <w:rPr>
            <w:noProof/>
            <w:webHidden/>
          </w:rPr>
          <w:t>790</w:t>
        </w:r>
        <w:r>
          <w:rPr>
            <w:noProof/>
            <w:webHidden/>
          </w:rPr>
          <w:fldChar w:fldCharType="end"/>
        </w:r>
      </w:hyperlink>
    </w:p>
    <w:p w:rsidR="0014388E" w:rsidRDefault="0014388E">
      <w:pPr>
        <w:pStyle w:val="Kazalovsebine2"/>
        <w:rPr>
          <w:rFonts w:eastAsia="SimSun"/>
          <w:noProof/>
          <w:snapToGrid/>
          <w:szCs w:val="24"/>
          <w:lang w:val="sl-SI"/>
        </w:rPr>
      </w:pPr>
      <w:hyperlink w:anchor="_Toc416192591" w:history="1">
        <w:r w:rsidRPr="00CF0C30">
          <w:rPr>
            <w:rStyle w:val="Hiperpovezava"/>
            <w:noProof/>
            <w:lang w:eastAsia="en-GB" w:bidi="en-GB"/>
          </w:rPr>
          <w:t>9.4.</w:t>
        </w:r>
        <w:r w:rsidRPr="00CF0C30">
          <w:rPr>
            <w:rStyle w:val="Hiperpovezava"/>
            <w:noProof/>
          </w:rPr>
          <w:t xml:space="preserve"> Data and information</w:t>
        </w:r>
        <w:r>
          <w:rPr>
            <w:noProof/>
            <w:webHidden/>
          </w:rPr>
          <w:tab/>
        </w:r>
        <w:r>
          <w:rPr>
            <w:noProof/>
            <w:webHidden/>
          </w:rPr>
          <w:fldChar w:fldCharType="begin"/>
        </w:r>
        <w:r>
          <w:rPr>
            <w:noProof/>
            <w:webHidden/>
          </w:rPr>
          <w:instrText xml:space="preserve"> PAGEREF _Toc416192591 \h </w:instrText>
        </w:r>
        <w:r>
          <w:rPr>
            <w:noProof/>
          </w:rPr>
        </w:r>
        <w:r>
          <w:rPr>
            <w:noProof/>
            <w:webHidden/>
          </w:rPr>
          <w:fldChar w:fldCharType="separate"/>
        </w:r>
        <w:r>
          <w:rPr>
            <w:noProof/>
            <w:webHidden/>
          </w:rPr>
          <w:t>792</w:t>
        </w:r>
        <w:r>
          <w:rPr>
            <w:noProof/>
            <w:webHidden/>
          </w:rPr>
          <w:fldChar w:fldCharType="end"/>
        </w:r>
      </w:hyperlink>
    </w:p>
    <w:p w:rsidR="0014388E" w:rsidRDefault="0014388E">
      <w:pPr>
        <w:pStyle w:val="Kazalovsebine2"/>
        <w:rPr>
          <w:rFonts w:eastAsia="SimSun"/>
          <w:noProof/>
          <w:snapToGrid/>
          <w:szCs w:val="24"/>
          <w:lang w:val="sl-SI"/>
        </w:rPr>
      </w:pPr>
      <w:hyperlink w:anchor="_Toc416192592" w:history="1">
        <w:r w:rsidRPr="00CF0C30">
          <w:rPr>
            <w:rStyle w:val="Hiperpovezava"/>
            <w:noProof/>
            <w:lang w:eastAsia="en-GB" w:bidi="en-GB"/>
          </w:rPr>
          <w:t>9.5.</w:t>
        </w:r>
        <w:r w:rsidRPr="00CF0C30">
          <w:rPr>
            <w:rStyle w:val="Hiperpovezava"/>
            <w:noProof/>
          </w:rPr>
          <w:t xml:space="preserve"> Time schedule</w:t>
        </w:r>
        <w:r>
          <w:rPr>
            <w:noProof/>
            <w:webHidden/>
          </w:rPr>
          <w:tab/>
        </w:r>
        <w:r>
          <w:rPr>
            <w:noProof/>
            <w:webHidden/>
          </w:rPr>
          <w:fldChar w:fldCharType="begin"/>
        </w:r>
        <w:r>
          <w:rPr>
            <w:noProof/>
            <w:webHidden/>
          </w:rPr>
          <w:instrText xml:space="preserve"> PAGEREF _Toc416192592 \h </w:instrText>
        </w:r>
        <w:r>
          <w:rPr>
            <w:noProof/>
          </w:rPr>
        </w:r>
        <w:r>
          <w:rPr>
            <w:noProof/>
            <w:webHidden/>
          </w:rPr>
          <w:fldChar w:fldCharType="separate"/>
        </w:r>
        <w:r>
          <w:rPr>
            <w:noProof/>
            <w:webHidden/>
          </w:rPr>
          <w:t>795</w:t>
        </w:r>
        <w:r>
          <w:rPr>
            <w:noProof/>
            <w:webHidden/>
          </w:rPr>
          <w:fldChar w:fldCharType="end"/>
        </w:r>
      </w:hyperlink>
    </w:p>
    <w:p w:rsidR="0014388E" w:rsidRDefault="0014388E">
      <w:pPr>
        <w:pStyle w:val="Kazalovsebine2"/>
        <w:rPr>
          <w:rFonts w:eastAsia="SimSun"/>
          <w:noProof/>
          <w:snapToGrid/>
          <w:szCs w:val="24"/>
          <w:lang w:val="sl-SI"/>
        </w:rPr>
      </w:pPr>
      <w:hyperlink w:anchor="_Toc416192593" w:history="1">
        <w:r w:rsidRPr="00CF0C30">
          <w:rPr>
            <w:rStyle w:val="Hiperpovezava"/>
            <w:noProof/>
            <w:lang w:eastAsia="en-GB" w:bidi="en-GB"/>
          </w:rPr>
          <w:t>9.6.</w:t>
        </w:r>
        <w:r w:rsidRPr="00CF0C30">
          <w:rPr>
            <w:rStyle w:val="Hiperpovezava"/>
            <w:noProof/>
          </w:rPr>
          <w:t xml:space="preserve"> Notifying</w:t>
        </w:r>
        <w:r>
          <w:rPr>
            <w:noProof/>
            <w:webHidden/>
          </w:rPr>
          <w:tab/>
        </w:r>
        <w:r>
          <w:rPr>
            <w:noProof/>
            <w:webHidden/>
          </w:rPr>
          <w:fldChar w:fldCharType="begin"/>
        </w:r>
        <w:r>
          <w:rPr>
            <w:noProof/>
            <w:webHidden/>
          </w:rPr>
          <w:instrText xml:space="preserve"> PAGEREF _Toc416192593 \h </w:instrText>
        </w:r>
        <w:r>
          <w:rPr>
            <w:noProof/>
          </w:rPr>
        </w:r>
        <w:r>
          <w:rPr>
            <w:noProof/>
            <w:webHidden/>
          </w:rPr>
          <w:fldChar w:fldCharType="separate"/>
        </w:r>
        <w:r>
          <w:rPr>
            <w:noProof/>
            <w:webHidden/>
          </w:rPr>
          <w:t>796</w:t>
        </w:r>
        <w:r>
          <w:rPr>
            <w:noProof/>
            <w:webHidden/>
          </w:rPr>
          <w:fldChar w:fldCharType="end"/>
        </w:r>
      </w:hyperlink>
    </w:p>
    <w:p w:rsidR="0014388E" w:rsidRDefault="0014388E">
      <w:pPr>
        <w:pStyle w:val="Kazalovsebine2"/>
        <w:rPr>
          <w:rFonts w:eastAsia="SimSun"/>
          <w:noProof/>
          <w:snapToGrid/>
          <w:szCs w:val="24"/>
          <w:lang w:val="sl-SI"/>
        </w:rPr>
      </w:pPr>
      <w:hyperlink w:anchor="_Toc416192594" w:history="1">
        <w:r w:rsidRPr="00CF0C30">
          <w:rPr>
            <w:rStyle w:val="Hiperpovezava"/>
            <w:noProof/>
            <w:lang w:eastAsia="en-GB" w:bidi="en-GB"/>
          </w:rPr>
          <w:t>9.7.</w:t>
        </w:r>
        <w:r w:rsidRPr="00CF0C30">
          <w:rPr>
            <w:rStyle w:val="Hiperpovezava"/>
            <w:noProof/>
          </w:rPr>
          <w:t xml:space="preserve"> Sources</w:t>
        </w:r>
        <w:r>
          <w:rPr>
            <w:noProof/>
            <w:webHidden/>
          </w:rPr>
          <w:tab/>
        </w:r>
        <w:r>
          <w:rPr>
            <w:noProof/>
            <w:webHidden/>
          </w:rPr>
          <w:fldChar w:fldCharType="begin"/>
        </w:r>
        <w:r>
          <w:rPr>
            <w:noProof/>
            <w:webHidden/>
          </w:rPr>
          <w:instrText xml:space="preserve"> PAGEREF _Toc416192594 \h </w:instrText>
        </w:r>
        <w:r>
          <w:rPr>
            <w:noProof/>
          </w:rPr>
        </w:r>
        <w:r>
          <w:rPr>
            <w:noProof/>
            <w:webHidden/>
          </w:rPr>
          <w:fldChar w:fldCharType="separate"/>
        </w:r>
        <w:r>
          <w:rPr>
            <w:noProof/>
            <w:webHidden/>
          </w:rPr>
          <w:t>797</w:t>
        </w:r>
        <w:r>
          <w:rPr>
            <w:noProof/>
            <w:webHidden/>
          </w:rPr>
          <w:fldChar w:fldCharType="end"/>
        </w:r>
      </w:hyperlink>
    </w:p>
    <w:p w:rsidR="0014388E" w:rsidRDefault="0014388E">
      <w:pPr>
        <w:pStyle w:val="Kazalovsebine1"/>
        <w:rPr>
          <w:rFonts w:eastAsia="SimSun"/>
          <w:caps w:val="0"/>
          <w:noProof/>
          <w:snapToGrid/>
          <w:szCs w:val="24"/>
          <w:lang w:val="sl-SI"/>
        </w:rPr>
      </w:pPr>
      <w:hyperlink w:anchor="_Toc416192595" w:history="1">
        <w:r w:rsidRPr="00CF0C30">
          <w:rPr>
            <w:rStyle w:val="Hiperpovezava"/>
            <w:noProof/>
            <w:lang w:eastAsia="en-GB" w:bidi="en-GB"/>
          </w:rPr>
          <w:t>10.</w:t>
        </w:r>
        <w:r w:rsidRPr="00CF0C30">
          <w:rPr>
            <w:rStyle w:val="Hiperpovezava"/>
            <w:noProof/>
          </w:rPr>
          <w:t xml:space="preserve"> Financial plan</w:t>
        </w:r>
        <w:r>
          <w:rPr>
            <w:noProof/>
            <w:webHidden/>
          </w:rPr>
          <w:tab/>
        </w:r>
        <w:r>
          <w:rPr>
            <w:noProof/>
            <w:webHidden/>
          </w:rPr>
          <w:fldChar w:fldCharType="begin"/>
        </w:r>
        <w:r>
          <w:rPr>
            <w:noProof/>
            <w:webHidden/>
          </w:rPr>
          <w:instrText xml:space="preserve"> PAGEREF _Toc416192595 \h </w:instrText>
        </w:r>
        <w:r>
          <w:rPr>
            <w:noProof/>
          </w:rPr>
        </w:r>
        <w:r>
          <w:rPr>
            <w:noProof/>
            <w:webHidden/>
          </w:rPr>
          <w:fldChar w:fldCharType="separate"/>
        </w:r>
        <w:r>
          <w:rPr>
            <w:noProof/>
            <w:webHidden/>
          </w:rPr>
          <w:t>799</w:t>
        </w:r>
        <w:r>
          <w:rPr>
            <w:noProof/>
            <w:webHidden/>
          </w:rPr>
          <w:fldChar w:fldCharType="end"/>
        </w:r>
      </w:hyperlink>
    </w:p>
    <w:p w:rsidR="0014388E" w:rsidRDefault="0014388E">
      <w:pPr>
        <w:pStyle w:val="Kazalovsebine2"/>
        <w:rPr>
          <w:rFonts w:eastAsia="SimSun"/>
          <w:noProof/>
          <w:snapToGrid/>
          <w:szCs w:val="24"/>
          <w:lang w:val="sl-SI"/>
        </w:rPr>
      </w:pPr>
      <w:hyperlink w:anchor="_Toc416192596" w:history="1">
        <w:r w:rsidRPr="00CF0C30">
          <w:rPr>
            <w:rStyle w:val="Hiperpovezava"/>
            <w:noProof/>
          </w:rPr>
          <w:t>10.1. Planned annual contribution of the EAFRD (EUR)</w:t>
        </w:r>
        <w:r>
          <w:rPr>
            <w:noProof/>
            <w:webHidden/>
          </w:rPr>
          <w:tab/>
        </w:r>
        <w:r>
          <w:rPr>
            <w:noProof/>
            <w:webHidden/>
          </w:rPr>
          <w:fldChar w:fldCharType="begin"/>
        </w:r>
        <w:r>
          <w:rPr>
            <w:noProof/>
            <w:webHidden/>
          </w:rPr>
          <w:instrText xml:space="preserve"> PAGEREF _Toc416192596 \h </w:instrText>
        </w:r>
        <w:r>
          <w:rPr>
            <w:noProof/>
          </w:rPr>
        </w:r>
        <w:r>
          <w:rPr>
            <w:noProof/>
            <w:webHidden/>
          </w:rPr>
          <w:fldChar w:fldCharType="separate"/>
        </w:r>
        <w:r>
          <w:rPr>
            <w:noProof/>
            <w:webHidden/>
          </w:rPr>
          <w:t>799</w:t>
        </w:r>
        <w:r>
          <w:rPr>
            <w:noProof/>
            <w:webHidden/>
          </w:rPr>
          <w:fldChar w:fldCharType="end"/>
        </w:r>
      </w:hyperlink>
    </w:p>
    <w:p w:rsidR="0014388E" w:rsidRDefault="0014388E">
      <w:pPr>
        <w:pStyle w:val="Kazalovsebine2"/>
        <w:rPr>
          <w:rFonts w:eastAsia="SimSun"/>
          <w:noProof/>
          <w:snapToGrid/>
          <w:szCs w:val="24"/>
          <w:lang w:val="sl-SI"/>
        </w:rPr>
      </w:pPr>
      <w:hyperlink w:anchor="_Toc416192597" w:history="1">
        <w:r w:rsidRPr="00CF0C30">
          <w:rPr>
            <w:rStyle w:val="Hiperpovezava"/>
            <w:noProof/>
            <w:lang w:eastAsia="en-GB" w:bidi="en-GB"/>
          </w:rPr>
          <w:t>10.2.</w:t>
        </w:r>
        <w:r w:rsidRPr="00CF0C30">
          <w:rPr>
            <w:rStyle w:val="Hiperpovezava"/>
            <w:noProof/>
          </w:rPr>
          <w:t xml:space="preserve"> Single EAFRD contribution rate for all measures broken down according to the type of region as per Article 59(3) of Regulation (EU) No 1305/2013</w:t>
        </w:r>
        <w:r>
          <w:rPr>
            <w:noProof/>
            <w:webHidden/>
          </w:rPr>
          <w:tab/>
        </w:r>
        <w:r>
          <w:rPr>
            <w:noProof/>
            <w:webHidden/>
          </w:rPr>
          <w:fldChar w:fldCharType="begin"/>
        </w:r>
        <w:r>
          <w:rPr>
            <w:noProof/>
            <w:webHidden/>
          </w:rPr>
          <w:instrText xml:space="preserve"> PAGEREF _Toc416192597 \h </w:instrText>
        </w:r>
        <w:r>
          <w:rPr>
            <w:noProof/>
          </w:rPr>
        </w:r>
        <w:r>
          <w:rPr>
            <w:noProof/>
            <w:webHidden/>
          </w:rPr>
          <w:fldChar w:fldCharType="separate"/>
        </w:r>
        <w:r>
          <w:rPr>
            <w:noProof/>
            <w:webHidden/>
          </w:rPr>
          <w:t>801</w:t>
        </w:r>
        <w:r>
          <w:rPr>
            <w:noProof/>
            <w:webHidden/>
          </w:rPr>
          <w:fldChar w:fldCharType="end"/>
        </w:r>
      </w:hyperlink>
    </w:p>
    <w:p w:rsidR="0014388E" w:rsidRDefault="0014388E">
      <w:pPr>
        <w:pStyle w:val="Kazalovsebine2"/>
        <w:rPr>
          <w:rFonts w:eastAsia="SimSun"/>
          <w:noProof/>
          <w:snapToGrid/>
          <w:szCs w:val="24"/>
          <w:lang w:val="sl-SI"/>
        </w:rPr>
      </w:pPr>
      <w:hyperlink w:anchor="_Toc416192598" w:history="1">
        <w:r w:rsidRPr="00CF0C30">
          <w:rPr>
            <w:rStyle w:val="Hiperpovezava"/>
            <w:noProof/>
            <w:lang w:eastAsia="en-GB" w:bidi="en-GB"/>
          </w:rPr>
          <w:t>10.3.</w:t>
        </w:r>
        <w:r w:rsidRPr="00CF0C30">
          <w:rPr>
            <w:rStyle w:val="Hiperpovezava"/>
            <w:noProof/>
          </w:rPr>
          <w:t xml:space="preserve"> Breakdown by measures and types of operations with a special EAFRD contribution rate (in EUR for the whole 2014-2020 period)</w:t>
        </w:r>
        <w:r>
          <w:rPr>
            <w:noProof/>
            <w:webHidden/>
          </w:rPr>
          <w:tab/>
        </w:r>
        <w:r>
          <w:rPr>
            <w:noProof/>
            <w:webHidden/>
          </w:rPr>
          <w:fldChar w:fldCharType="begin"/>
        </w:r>
        <w:r>
          <w:rPr>
            <w:noProof/>
            <w:webHidden/>
          </w:rPr>
          <w:instrText xml:space="preserve"> PAGEREF _Toc416192598 \h </w:instrText>
        </w:r>
        <w:r>
          <w:rPr>
            <w:noProof/>
          </w:rPr>
        </w:r>
        <w:r>
          <w:rPr>
            <w:noProof/>
            <w:webHidden/>
          </w:rPr>
          <w:fldChar w:fldCharType="separate"/>
        </w:r>
        <w:r>
          <w:rPr>
            <w:noProof/>
            <w:webHidden/>
          </w:rPr>
          <w:t>802</w:t>
        </w:r>
        <w:r>
          <w:rPr>
            <w:noProof/>
            <w:webHidden/>
          </w:rPr>
          <w:fldChar w:fldCharType="end"/>
        </w:r>
      </w:hyperlink>
    </w:p>
    <w:p w:rsidR="0014388E" w:rsidRDefault="0014388E">
      <w:pPr>
        <w:pStyle w:val="Kazalovsebine3"/>
        <w:rPr>
          <w:rFonts w:eastAsia="SimSun"/>
          <w:noProof/>
          <w:snapToGrid/>
          <w:szCs w:val="24"/>
          <w:lang w:val="sl-SI"/>
        </w:rPr>
      </w:pPr>
      <w:hyperlink w:anchor="_Toc416192599" w:history="1">
        <w:r w:rsidRPr="00CF0C30">
          <w:rPr>
            <w:rStyle w:val="Hiperpovezava"/>
            <w:noProof/>
          </w:rPr>
          <w:t>10.3.1. M01 – Knowledge transfer and information actions (Article 14)</w:t>
        </w:r>
        <w:r>
          <w:rPr>
            <w:noProof/>
            <w:webHidden/>
          </w:rPr>
          <w:tab/>
        </w:r>
        <w:r>
          <w:rPr>
            <w:noProof/>
            <w:webHidden/>
          </w:rPr>
          <w:fldChar w:fldCharType="begin"/>
        </w:r>
        <w:r>
          <w:rPr>
            <w:noProof/>
            <w:webHidden/>
          </w:rPr>
          <w:instrText xml:space="preserve"> PAGEREF _Toc416192599 \h </w:instrText>
        </w:r>
        <w:r>
          <w:rPr>
            <w:noProof/>
          </w:rPr>
        </w:r>
        <w:r>
          <w:rPr>
            <w:noProof/>
            <w:webHidden/>
          </w:rPr>
          <w:fldChar w:fldCharType="separate"/>
        </w:r>
        <w:r>
          <w:rPr>
            <w:noProof/>
            <w:webHidden/>
          </w:rPr>
          <w:t>802</w:t>
        </w:r>
        <w:r>
          <w:rPr>
            <w:noProof/>
            <w:webHidden/>
          </w:rPr>
          <w:fldChar w:fldCharType="end"/>
        </w:r>
      </w:hyperlink>
    </w:p>
    <w:p w:rsidR="0014388E" w:rsidRDefault="0014388E">
      <w:pPr>
        <w:pStyle w:val="Kazalovsebine3"/>
        <w:rPr>
          <w:rFonts w:eastAsia="SimSun"/>
          <w:noProof/>
          <w:snapToGrid/>
          <w:szCs w:val="24"/>
          <w:lang w:val="sl-SI"/>
        </w:rPr>
      </w:pPr>
      <w:hyperlink w:anchor="_Toc416192600" w:history="1">
        <w:r w:rsidRPr="00CF0C30">
          <w:rPr>
            <w:rStyle w:val="Hiperpovezava"/>
            <w:b/>
            <w:noProof/>
            <w:lang w:eastAsia="en-GB" w:bidi="en-GB"/>
          </w:rPr>
          <w:t>10.3.2.</w:t>
        </w:r>
        <w:r w:rsidRPr="00CF0C30">
          <w:rPr>
            <w:rStyle w:val="Hiperpovezava"/>
            <w:noProof/>
          </w:rPr>
          <w:t xml:space="preserve"> M02 – Advisory services, farm management and farm relief services (Article 15)</w:t>
        </w:r>
        <w:r>
          <w:rPr>
            <w:noProof/>
            <w:webHidden/>
          </w:rPr>
          <w:tab/>
        </w:r>
        <w:r>
          <w:rPr>
            <w:noProof/>
            <w:webHidden/>
          </w:rPr>
          <w:fldChar w:fldCharType="begin"/>
        </w:r>
        <w:r>
          <w:rPr>
            <w:noProof/>
            <w:webHidden/>
          </w:rPr>
          <w:instrText xml:space="preserve"> PAGEREF _Toc416192600 \h </w:instrText>
        </w:r>
        <w:r>
          <w:rPr>
            <w:noProof/>
          </w:rPr>
        </w:r>
        <w:r>
          <w:rPr>
            <w:noProof/>
            <w:webHidden/>
          </w:rPr>
          <w:fldChar w:fldCharType="separate"/>
        </w:r>
        <w:r>
          <w:rPr>
            <w:noProof/>
            <w:webHidden/>
          </w:rPr>
          <w:t>804</w:t>
        </w:r>
        <w:r>
          <w:rPr>
            <w:noProof/>
            <w:webHidden/>
          </w:rPr>
          <w:fldChar w:fldCharType="end"/>
        </w:r>
      </w:hyperlink>
    </w:p>
    <w:p w:rsidR="0014388E" w:rsidRDefault="0014388E">
      <w:pPr>
        <w:pStyle w:val="Kazalovsebine3"/>
        <w:rPr>
          <w:rFonts w:eastAsia="SimSun"/>
          <w:noProof/>
          <w:snapToGrid/>
          <w:szCs w:val="24"/>
          <w:lang w:val="sl-SI"/>
        </w:rPr>
      </w:pPr>
      <w:hyperlink w:anchor="_Toc416192601" w:history="1">
        <w:r w:rsidRPr="00CF0C30">
          <w:rPr>
            <w:rStyle w:val="Hiperpovezava"/>
            <w:b/>
            <w:noProof/>
            <w:lang w:eastAsia="en-GB" w:bidi="en-GB"/>
          </w:rPr>
          <w:t>10.3.3.</w:t>
        </w:r>
        <w:r w:rsidRPr="00CF0C30">
          <w:rPr>
            <w:rStyle w:val="Hiperpovezava"/>
            <w:noProof/>
          </w:rPr>
          <w:t xml:space="preserve"> M03 – Quality schemes for agricultural products and foodstuffs (Article 16)</w:t>
        </w:r>
        <w:r>
          <w:rPr>
            <w:noProof/>
            <w:webHidden/>
          </w:rPr>
          <w:tab/>
        </w:r>
        <w:r>
          <w:rPr>
            <w:noProof/>
            <w:webHidden/>
          </w:rPr>
          <w:fldChar w:fldCharType="begin"/>
        </w:r>
        <w:r>
          <w:rPr>
            <w:noProof/>
            <w:webHidden/>
          </w:rPr>
          <w:instrText xml:space="preserve"> PAGEREF _Toc416192601 \h </w:instrText>
        </w:r>
        <w:r>
          <w:rPr>
            <w:noProof/>
          </w:rPr>
        </w:r>
        <w:r>
          <w:rPr>
            <w:noProof/>
            <w:webHidden/>
          </w:rPr>
          <w:fldChar w:fldCharType="separate"/>
        </w:r>
        <w:r>
          <w:rPr>
            <w:noProof/>
            <w:webHidden/>
          </w:rPr>
          <w:t>805</w:t>
        </w:r>
        <w:r>
          <w:rPr>
            <w:noProof/>
            <w:webHidden/>
          </w:rPr>
          <w:fldChar w:fldCharType="end"/>
        </w:r>
      </w:hyperlink>
    </w:p>
    <w:p w:rsidR="0014388E" w:rsidRDefault="0014388E">
      <w:pPr>
        <w:pStyle w:val="Kazalovsebine3"/>
        <w:rPr>
          <w:rFonts w:eastAsia="SimSun"/>
          <w:noProof/>
          <w:snapToGrid/>
          <w:szCs w:val="24"/>
          <w:lang w:val="sl-SI"/>
        </w:rPr>
      </w:pPr>
      <w:hyperlink w:anchor="_Toc416192602" w:history="1">
        <w:r w:rsidRPr="00CF0C30">
          <w:rPr>
            <w:rStyle w:val="Hiperpovezava"/>
            <w:b/>
            <w:noProof/>
            <w:lang w:eastAsia="en-GB" w:bidi="en-GB"/>
          </w:rPr>
          <w:t>10.3.4.</w:t>
        </w:r>
        <w:r w:rsidRPr="00CF0C30">
          <w:rPr>
            <w:rStyle w:val="Hiperpovezava"/>
            <w:noProof/>
          </w:rPr>
          <w:t xml:space="preserve"> M04 - Investments in physical assets (Article 17)</w:t>
        </w:r>
        <w:r>
          <w:rPr>
            <w:noProof/>
            <w:webHidden/>
          </w:rPr>
          <w:tab/>
        </w:r>
        <w:r>
          <w:rPr>
            <w:noProof/>
            <w:webHidden/>
          </w:rPr>
          <w:fldChar w:fldCharType="begin"/>
        </w:r>
        <w:r>
          <w:rPr>
            <w:noProof/>
            <w:webHidden/>
          </w:rPr>
          <w:instrText xml:space="preserve"> PAGEREF _Toc416192602 \h </w:instrText>
        </w:r>
        <w:r>
          <w:rPr>
            <w:noProof/>
          </w:rPr>
        </w:r>
        <w:r>
          <w:rPr>
            <w:noProof/>
            <w:webHidden/>
          </w:rPr>
          <w:fldChar w:fldCharType="separate"/>
        </w:r>
        <w:r>
          <w:rPr>
            <w:noProof/>
            <w:webHidden/>
          </w:rPr>
          <w:t>806</w:t>
        </w:r>
        <w:r>
          <w:rPr>
            <w:noProof/>
            <w:webHidden/>
          </w:rPr>
          <w:fldChar w:fldCharType="end"/>
        </w:r>
      </w:hyperlink>
    </w:p>
    <w:p w:rsidR="0014388E" w:rsidRDefault="0014388E">
      <w:pPr>
        <w:pStyle w:val="Kazalovsebine3"/>
        <w:rPr>
          <w:rFonts w:eastAsia="SimSun"/>
          <w:noProof/>
          <w:snapToGrid/>
          <w:szCs w:val="24"/>
          <w:lang w:val="sl-SI"/>
        </w:rPr>
      </w:pPr>
      <w:hyperlink w:anchor="_Toc416192603" w:history="1">
        <w:r w:rsidRPr="00CF0C30">
          <w:rPr>
            <w:rStyle w:val="Hiperpovezava"/>
            <w:b/>
            <w:noProof/>
            <w:lang w:eastAsia="en-GB" w:bidi="en-GB"/>
          </w:rPr>
          <w:t>10.3.5.</w:t>
        </w:r>
        <w:r w:rsidRPr="00CF0C30">
          <w:rPr>
            <w:rStyle w:val="Hiperpovezava"/>
            <w:noProof/>
          </w:rPr>
          <w:t xml:space="preserve"> M06 – Farm and business development (Article 19)</w:t>
        </w:r>
        <w:r>
          <w:rPr>
            <w:noProof/>
            <w:webHidden/>
          </w:rPr>
          <w:tab/>
        </w:r>
        <w:r>
          <w:rPr>
            <w:noProof/>
            <w:webHidden/>
          </w:rPr>
          <w:fldChar w:fldCharType="begin"/>
        </w:r>
        <w:r>
          <w:rPr>
            <w:noProof/>
            <w:webHidden/>
          </w:rPr>
          <w:instrText xml:space="preserve"> PAGEREF _Toc416192603 \h </w:instrText>
        </w:r>
        <w:r>
          <w:rPr>
            <w:noProof/>
          </w:rPr>
        </w:r>
        <w:r>
          <w:rPr>
            <w:noProof/>
            <w:webHidden/>
          </w:rPr>
          <w:fldChar w:fldCharType="separate"/>
        </w:r>
        <w:r>
          <w:rPr>
            <w:noProof/>
            <w:webHidden/>
          </w:rPr>
          <w:t>808</w:t>
        </w:r>
        <w:r>
          <w:rPr>
            <w:noProof/>
            <w:webHidden/>
          </w:rPr>
          <w:fldChar w:fldCharType="end"/>
        </w:r>
      </w:hyperlink>
    </w:p>
    <w:p w:rsidR="0014388E" w:rsidRDefault="0014388E">
      <w:pPr>
        <w:pStyle w:val="Kazalovsebine3"/>
        <w:rPr>
          <w:rFonts w:eastAsia="SimSun"/>
          <w:noProof/>
          <w:snapToGrid/>
          <w:szCs w:val="24"/>
          <w:lang w:val="sl-SI"/>
        </w:rPr>
      </w:pPr>
      <w:hyperlink w:anchor="_Toc416192604" w:history="1">
        <w:r w:rsidRPr="00CF0C30">
          <w:rPr>
            <w:rStyle w:val="Hiperpovezava"/>
            <w:b/>
            <w:noProof/>
            <w:lang w:eastAsia="en-GB" w:bidi="en-GB"/>
          </w:rPr>
          <w:t>10.3.6.</w:t>
        </w:r>
        <w:r w:rsidRPr="00CF0C30">
          <w:rPr>
            <w:rStyle w:val="Hiperpovezava"/>
            <w:noProof/>
          </w:rPr>
          <w:t xml:space="preserve"> M07 – Basic services and village renewal in rural areas (Article 20)</w:t>
        </w:r>
        <w:r>
          <w:rPr>
            <w:noProof/>
            <w:webHidden/>
          </w:rPr>
          <w:tab/>
        </w:r>
        <w:r>
          <w:rPr>
            <w:noProof/>
            <w:webHidden/>
          </w:rPr>
          <w:fldChar w:fldCharType="begin"/>
        </w:r>
        <w:r>
          <w:rPr>
            <w:noProof/>
            <w:webHidden/>
          </w:rPr>
          <w:instrText xml:space="preserve"> PAGEREF _Toc416192604 \h </w:instrText>
        </w:r>
        <w:r>
          <w:rPr>
            <w:noProof/>
          </w:rPr>
        </w:r>
        <w:r>
          <w:rPr>
            <w:noProof/>
            <w:webHidden/>
          </w:rPr>
          <w:fldChar w:fldCharType="separate"/>
        </w:r>
        <w:r>
          <w:rPr>
            <w:noProof/>
            <w:webHidden/>
          </w:rPr>
          <w:t>810</w:t>
        </w:r>
        <w:r>
          <w:rPr>
            <w:noProof/>
            <w:webHidden/>
          </w:rPr>
          <w:fldChar w:fldCharType="end"/>
        </w:r>
      </w:hyperlink>
    </w:p>
    <w:p w:rsidR="0014388E" w:rsidRDefault="0014388E">
      <w:pPr>
        <w:pStyle w:val="Kazalovsebine3"/>
        <w:rPr>
          <w:rFonts w:eastAsia="SimSun"/>
          <w:noProof/>
          <w:snapToGrid/>
          <w:szCs w:val="24"/>
          <w:lang w:val="sl-SI"/>
        </w:rPr>
      </w:pPr>
      <w:hyperlink w:anchor="_Toc416192605" w:history="1">
        <w:r w:rsidRPr="00CF0C30">
          <w:rPr>
            <w:rStyle w:val="Hiperpovezava"/>
            <w:b/>
            <w:noProof/>
            <w:lang w:eastAsia="en-GB" w:bidi="en-GB"/>
          </w:rPr>
          <w:t>10.3.7.</w:t>
        </w:r>
        <w:r w:rsidRPr="00CF0C30">
          <w:rPr>
            <w:rStyle w:val="Hiperpovezava"/>
            <w:noProof/>
          </w:rPr>
          <w:t xml:space="preserve"> M08 – Investments in forest area development and improvement of the viability of forests (Articles 21-26)</w:t>
        </w:r>
        <w:r>
          <w:rPr>
            <w:noProof/>
            <w:webHidden/>
          </w:rPr>
          <w:tab/>
        </w:r>
        <w:r>
          <w:rPr>
            <w:noProof/>
            <w:webHidden/>
          </w:rPr>
          <w:fldChar w:fldCharType="begin"/>
        </w:r>
        <w:r>
          <w:rPr>
            <w:noProof/>
            <w:webHidden/>
          </w:rPr>
          <w:instrText xml:space="preserve"> PAGEREF _Toc416192605 \h </w:instrText>
        </w:r>
        <w:r>
          <w:rPr>
            <w:noProof/>
          </w:rPr>
        </w:r>
        <w:r>
          <w:rPr>
            <w:noProof/>
            <w:webHidden/>
          </w:rPr>
          <w:fldChar w:fldCharType="separate"/>
        </w:r>
        <w:r>
          <w:rPr>
            <w:noProof/>
            <w:webHidden/>
          </w:rPr>
          <w:t>811</w:t>
        </w:r>
        <w:r>
          <w:rPr>
            <w:noProof/>
            <w:webHidden/>
          </w:rPr>
          <w:fldChar w:fldCharType="end"/>
        </w:r>
      </w:hyperlink>
    </w:p>
    <w:p w:rsidR="0014388E" w:rsidRDefault="0014388E">
      <w:pPr>
        <w:pStyle w:val="Kazalovsebine3"/>
        <w:rPr>
          <w:rFonts w:eastAsia="SimSun"/>
          <w:noProof/>
          <w:snapToGrid/>
          <w:szCs w:val="24"/>
          <w:lang w:val="sl-SI"/>
        </w:rPr>
      </w:pPr>
      <w:hyperlink w:anchor="_Toc416192606" w:history="1">
        <w:r w:rsidRPr="00CF0C30">
          <w:rPr>
            <w:rStyle w:val="Hiperpovezava"/>
            <w:b/>
            <w:noProof/>
            <w:lang w:eastAsia="en-GB" w:bidi="en-GB"/>
          </w:rPr>
          <w:t>10.3.8.</w:t>
        </w:r>
        <w:r w:rsidRPr="00CF0C30">
          <w:rPr>
            <w:rStyle w:val="Hiperpovezava"/>
            <w:noProof/>
          </w:rPr>
          <w:t xml:space="preserve"> M09 – Setting-up of producer groups and organisations (Article 27)</w:t>
        </w:r>
        <w:r>
          <w:rPr>
            <w:noProof/>
            <w:webHidden/>
          </w:rPr>
          <w:tab/>
        </w:r>
        <w:r>
          <w:rPr>
            <w:noProof/>
            <w:webHidden/>
          </w:rPr>
          <w:fldChar w:fldCharType="begin"/>
        </w:r>
        <w:r>
          <w:rPr>
            <w:noProof/>
            <w:webHidden/>
          </w:rPr>
          <w:instrText xml:space="preserve"> PAGEREF _Toc416192606 \h </w:instrText>
        </w:r>
        <w:r>
          <w:rPr>
            <w:noProof/>
          </w:rPr>
        </w:r>
        <w:r>
          <w:rPr>
            <w:noProof/>
            <w:webHidden/>
          </w:rPr>
          <w:fldChar w:fldCharType="separate"/>
        </w:r>
        <w:r>
          <w:rPr>
            <w:noProof/>
            <w:webHidden/>
          </w:rPr>
          <w:t>813</w:t>
        </w:r>
        <w:r>
          <w:rPr>
            <w:noProof/>
            <w:webHidden/>
          </w:rPr>
          <w:fldChar w:fldCharType="end"/>
        </w:r>
      </w:hyperlink>
    </w:p>
    <w:p w:rsidR="0014388E" w:rsidRDefault="0014388E">
      <w:pPr>
        <w:pStyle w:val="Kazalovsebine3"/>
        <w:rPr>
          <w:rFonts w:eastAsia="SimSun"/>
          <w:noProof/>
          <w:snapToGrid/>
          <w:szCs w:val="24"/>
          <w:lang w:val="sl-SI"/>
        </w:rPr>
      </w:pPr>
      <w:hyperlink w:anchor="_Toc416192607" w:history="1">
        <w:r w:rsidRPr="00CF0C30">
          <w:rPr>
            <w:rStyle w:val="Hiperpovezava"/>
            <w:b/>
            <w:noProof/>
            <w:lang w:eastAsia="en-GB" w:bidi="en-GB"/>
          </w:rPr>
          <w:t>10.3.9.</w:t>
        </w:r>
        <w:r w:rsidRPr="00CF0C30">
          <w:rPr>
            <w:rStyle w:val="Hiperpovezava"/>
            <w:noProof/>
          </w:rPr>
          <w:t xml:space="preserve"> M10 – Agri-environment-climate payments (Article 28)</w:t>
        </w:r>
        <w:r>
          <w:rPr>
            <w:noProof/>
            <w:webHidden/>
          </w:rPr>
          <w:tab/>
        </w:r>
        <w:r>
          <w:rPr>
            <w:noProof/>
            <w:webHidden/>
          </w:rPr>
          <w:fldChar w:fldCharType="begin"/>
        </w:r>
        <w:r>
          <w:rPr>
            <w:noProof/>
            <w:webHidden/>
          </w:rPr>
          <w:instrText xml:space="preserve"> PAGEREF _Toc416192607 \h </w:instrText>
        </w:r>
        <w:r>
          <w:rPr>
            <w:noProof/>
          </w:rPr>
        </w:r>
        <w:r>
          <w:rPr>
            <w:noProof/>
            <w:webHidden/>
          </w:rPr>
          <w:fldChar w:fldCharType="separate"/>
        </w:r>
        <w:r>
          <w:rPr>
            <w:noProof/>
            <w:webHidden/>
          </w:rPr>
          <w:t>814</w:t>
        </w:r>
        <w:r>
          <w:rPr>
            <w:noProof/>
            <w:webHidden/>
          </w:rPr>
          <w:fldChar w:fldCharType="end"/>
        </w:r>
      </w:hyperlink>
    </w:p>
    <w:p w:rsidR="0014388E" w:rsidRDefault="0014388E">
      <w:pPr>
        <w:pStyle w:val="Kazalovsebine3"/>
        <w:rPr>
          <w:rFonts w:eastAsia="SimSun"/>
          <w:noProof/>
          <w:snapToGrid/>
          <w:szCs w:val="24"/>
          <w:lang w:val="sl-SI"/>
        </w:rPr>
      </w:pPr>
      <w:hyperlink w:anchor="_Toc416192608" w:history="1">
        <w:r w:rsidRPr="00CF0C30">
          <w:rPr>
            <w:rStyle w:val="Hiperpovezava"/>
            <w:b/>
            <w:noProof/>
            <w:lang w:eastAsia="en-GB" w:bidi="en-GB"/>
          </w:rPr>
          <w:t>10.3.10.</w:t>
        </w:r>
        <w:r w:rsidRPr="00CF0C30">
          <w:rPr>
            <w:rStyle w:val="Hiperpovezava"/>
            <w:noProof/>
          </w:rPr>
          <w:t xml:space="preserve"> M11 – Organic farming (Article 29)</w:t>
        </w:r>
        <w:r>
          <w:rPr>
            <w:noProof/>
            <w:webHidden/>
          </w:rPr>
          <w:tab/>
        </w:r>
        <w:r>
          <w:rPr>
            <w:noProof/>
            <w:webHidden/>
          </w:rPr>
          <w:fldChar w:fldCharType="begin"/>
        </w:r>
        <w:r>
          <w:rPr>
            <w:noProof/>
            <w:webHidden/>
          </w:rPr>
          <w:instrText xml:space="preserve"> PAGEREF _Toc416192608 \h </w:instrText>
        </w:r>
        <w:r>
          <w:rPr>
            <w:noProof/>
          </w:rPr>
        </w:r>
        <w:r>
          <w:rPr>
            <w:noProof/>
            <w:webHidden/>
          </w:rPr>
          <w:fldChar w:fldCharType="separate"/>
        </w:r>
        <w:r>
          <w:rPr>
            <w:noProof/>
            <w:webHidden/>
          </w:rPr>
          <w:t>816</w:t>
        </w:r>
        <w:r>
          <w:rPr>
            <w:noProof/>
            <w:webHidden/>
          </w:rPr>
          <w:fldChar w:fldCharType="end"/>
        </w:r>
      </w:hyperlink>
    </w:p>
    <w:p w:rsidR="0014388E" w:rsidRDefault="0014388E">
      <w:pPr>
        <w:pStyle w:val="Kazalovsebine3"/>
        <w:rPr>
          <w:rFonts w:eastAsia="SimSun"/>
          <w:noProof/>
          <w:snapToGrid/>
          <w:szCs w:val="24"/>
          <w:lang w:val="sl-SI"/>
        </w:rPr>
      </w:pPr>
      <w:hyperlink w:anchor="_Toc416192609" w:history="1">
        <w:r w:rsidRPr="00CF0C30">
          <w:rPr>
            <w:rStyle w:val="Hiperpovezava"/>
            <w:b/>
            <w:noProof/>
            <w:lang w:eastAsia="en-GB" w:bidi="en-GB"/>
          </w:rPr>
          <w:t>10.3.11.</w:t>
        </w:r>
        <w:r w:rsidRPr="00CF0C30">
          <w:rPr>
            <w:rStyle w:val="Hiperpovezava"/>
            <w:noProof/>
          </w:rPr>
          <w:t xml:space="preserve"> M13 – Payments to areas facing natural or other specific constraints (Article 31)</w:t>
        </w:r>
        <w:r>
          <w:rPr>
            <w:noProof/>
            <w:webHidden/>
          </w:rPr>
          <w:tab/>
        </w:r>
        <w:r>
          <w:rPr>
            <w:noProof/>
            <w:webHidden/>
          </w:rPr>
          <w:fldChar w:fldCharType="begin"/>
        </w:r>
        <w:r>
          <w:rPr>
            <w:noProof/>
            <w:webHidden/>
          </w:rPr>
          <w:instrText xml:space="preserve"> PAGEREF _Toc416192609 \h </w:instrText>
        </w:r>
        <w:r>
          <w:rPr>
            <w:noProof/>
          </w:rPr>
        </w:r>
        <w:r>
          <w:rPr>
            <w:noProof/>
            <w:webHidden/>
          </w:rPr>
          <w:fldChar w:fldCharType="separate"/>
        </w:r>
        <w:r>
          <w:rPr>
            <w:noProof/>
            <w:webHidden/>
          </w:rPr>
          <w:t>818</w:t>
        </w:r>
        <w:r>
          <w:rPr>
            <w:noProof/>
            <w:webHidden/>
          </w:rPr>
          <w:fldChar w:fldCharType="end"/>
        </w:r>
      </w:hyperlink>
    </w:p>
    <w:p w:rsidR="0014388E" w:rsidRDefault="0014388E">
      <w:pPr>
        <w:pStyle w:val="Kazalovsebine3"/>
        <w:rPr>
          <w:rFonts w:eastAsia="SimSun"/>
          <w:noProof/>
          <w:snapToGrid/>
          <w:szCs w:val="24"/>
          <w:lang w:val="sl-SI"/>
        </w:rPr>
      </w:pPr>
      <w:hyperlink w:anchor="_Toc416192610" w:history="1">
        <w:r w:rsidRPr="00CF0C30">
          <w:rPr>
            <w:rStyle w:val="Hiperpovezava"/>
            <w:b/>
            <w:noProof/>
            <w:lang w:eastAsia="en-GB" w:bidi="en-GB"/>
          </w:rPr>
          <w:t>10.3.12.</w:t>
        </w:r>
        <w:r w:rsidRPr="00CF0C30">
          <w:rPr>
            <w:rStyle w:val="Hiperpovezava"/>
            <w:noProof/>
          </w:rPr>
          <w:t xml:space="preserve"> M14 – Animal welfare (Article 33)</w:t>
        </w:r>
        <w:r>
          <w:rPr>
            <w:noProof/>
            <w:webHidden/>
          </w:rPr>
          <w:tab/>
        </w:r>
        <w:r>
          <w:rPr>
            <w:noProof/>
            <w:webHidden/>
          </w:rPr>
          <w:fldChar w:fldCharType="begin"/>
        </w:r>
        <w:r>
          <w:rPr>
            <w:noProof/>
            <w:webHidden/>
          </w:rPr>
          <w:instrText xml:space="preserve"> PAGEREF _Toc416192610 \h </w:instrText>
        </w:r>
        <w:r>
          <w:rPr>
            <w:noProof/>
          </w:rPr>
        </w:r>
        <w:r>
          <w:rPr>
            <w:noProof/>
            <w:webHidden/>
          </w:rPr>
          <w:fldChar w:fldCharType="separate"/>
        </w:r>
        <w:r>
          <w:rPr>
            <w:noProof/>
            <w:webHidden/>
          </w:rPr>
          <w:t>820</w:t>
        </w:r>
        <w:r>
          <w:rPr>
            <w:noProof/>
            <w:webHidden/>
          </w:rPr>
          <w:fldChar w:fldCharType="end"/>
        </w:r>
      </w:hyperlink>
    </w:p>
    <w:p w:rsidR="0014388E" w:rsidRDefault="0014388E">
      <w:pPr>
        <w:pStyle w:val="Kazalovsebine3"/>
        <w:rPr>
          <w:rFonts w:eastAsia="SimSun"/>
          <w:noProof/>
          <w:snapToGrid/>
          <w:szCs w:val="24"/>
          <w:lang w:val="sl-SI"/>
        </w:rPr>
      </w:pPr>
      <w:hyperlink w:anchor="_Toc416192611" w:history="1">
        <w:r w:rsidRPr="00CF0C30">
          <w:rPr>
            <w:rStyle w:val="Hiperpovezava"/>
            <w:b/>
            <w:noProof/>
            <w:lang w:eastAsia="en-GB" w:bidi="en-GB"/>
          </w:rPr>
          <w:t>10.3.13.</w:t>
        </w:r>
        <w:r w:rsidRPr="00CF0C30">
          <w:rPr>
            <w:rStyle w:val="Hiperpovezava"/>
            <w:noProof/>
          </w:rPr>
          <w:t xml:space="preserve"> M16 – Cooperation (Article 35)</w:t>
        </w:r>
        <w:r>
          <w:rPr>
            <w:noProof/>
            <w:webHidden/>
          </w:rPr>
          <w:tab/>
        </w:r>
        <w:r>
          <w:rPr>
            <w:noProof/>
            <w:webHidden/>
          </w:rPr>
          <w:fldChar w:fldCharType="begin"/>
        </w:r>
        <w:r>
          <w:rPr>
            <w:noProof/>
            <w:webHidden/>
          </w:rPr>
          <w:instrText xml:space="preserve"> PAGEREF _Toc416192611 \h </w:instrText>
        </w:r>
        <w:r>
          <w:rPr>
            <w:noProof/>
          </w:rPr>
        </w:r>
        <w:r>
          <w:rPr>
            <w:noProof/>
            <w:webHidden/>
          </w:rPr>
          <w:fldChar w:fldCharType="separate"/>
        </w:r>
        <w:r>
          <w:rPr>
            <w:noProof/>
            <w:webHidden/>
          </w:rPr>
          <w:t>821</w:t>
        </w:r>
        <w:r>
          <w:rPr>
            <w:noProof/>
            <w:webHidden/>
          </w:rPr>
          <w:fldChar w:fldCharType="end"/>
        </w:r>
      </w:hyperlink>
    </w:p>
    <w:p w:rsidR="0014388E" w:rsidRDefault="0014388E">
      <w:pPr>
        <w:pStyle w:val="Kazalovsebine3"/>
        <w:rPr>
          <w:rFonts w:eastAsia="SimSun"/>
          <w:noProof/>
          <w:snapToGrid/>
          <w:szCs w:val="24"/>
          <w:lang w:val="sl-SI"/>
        </w:rPr>
      </w:pPr>
      <w:hyperlink w:anchor="_Toc416192612" w:history="1">
        <w:r w:rsidRPr="00CF0C30">
          <w:rPr>
            <w:rStyle w:val="Hiperpovezava"/>
            <w:b/>
            <w:noProof/>
            <w:lang w:eastAsia="en-GB" w:bidi="en-GB"/>
          </w:rPr>
          <w:t>10.3.14.</w:t>
        </w:r>
        <w:r w:rsidRPr="00CF0C30">
          <w:rPr>
            <w:rStyle w:val="Hiperpovezava"/>
            <w:noProof/>
          </w:rPr>
          <w:t xml:space="preserve"> M19 – Support for LEADER local development (CLLD – community-led local development) (Article 35 of Regulation (EU) No 1303/2013)</w:t>
        </w:r>
        <w:r>
          <w:rPr>
            <w:noProof/>
            <w:webHidden/>
          </w:rPr>
          <w:tab/>
        </w:r>
        <w:r>
          <w:rPr>
            <w:noProof/>
            <w:webHidden/>
          </w:rPr>
          <w:fldChar w:fldCharType="begin"/>
        </w:r>
        <w:r>
          <w:rPr>
            <w:noProof/>
            <w:webHidden/>
          </w:rPr>
          <w:instrText xml:space="preserve"> PAGEREF _Toc416192612 \h </w:instrText>
        </w:r>
        <w:r>
          <w:rPr>
            <w:noProof/>
          </w:rPr>
        </w:r>
        <w:r>
          <w:rPr>
            <w:noProof/>
            <w:webHidden/>
          </w:rPr>
          <w:fldChar w:fldCharType="separate"/>
        </w:r>
        <w:r>
          <w:rPr>
            <w:noProof/>
            <w:webHidden/>
          </w:rPr>
          <w:t>823</w:t>
        </w:r>
        <w:r>
          <w:rPr>
            <w:noProof/>
            <w:webHidden/>
          </w:rPr>
          <w:fldChar w:fldCharType="end"/>
        </w:r>
      </w:hyperlink>
    </w:p>
    <w:p w:rsidR="0014388E" w:rsidRDefault="0014388E">
      <w:pPr>
        <w:pStyle w:val="Kazalovsebine3"/>
        <w:rPr>
          <w:rFonts w:eastAsia="SimSun"/>
          <w:noProof/>
          <w:snapToGrid/>
          <w:szCs w:val="24"/>
          <w:lang w:val="sl-SI"/>
        </w:rPr>
      </w:pPr>
      <w:hyperlink w:anchor="_Toc416192613" w:history="1">
        <w:r w:rsidRPr="00CF0C30">
          <w:rPr>
            <w:rStyle w:val="Hiperpovezava"/>
            <w:b/>
            <w:noProof/>
            <w:lang w:eastAsia="en-GB" w:bidi="en-GB"/>
          </w:rPr>
          <w:t>10.3.15.</w:t>
        </w:r>
        <w:r w:rsidRPr="00CF0C30">
          <w:rPr>
            <w:rStyle w:val="Hiperpovezava"/>
            <w:noProof/>
          </w:rPr>
          <w:t xml:space="preserve"> M20 – Technical assistance on the initiative of Member States (Articles 51–54)</w:t>
        </w:r>
        <w:r>
          <w:rPr>
            <w:noProof/>
            <w:webHidden/>
          </w:rPr>
          <w:tab/>
        </w:r>
        <w:r>
          <w:rPr>
            <w:noProof/>
            <w:webHidden/>
          </w:rPr>
          <w:fldChar w:fldCharType="begin"/>
        </w:r>
        <w:r>
          <w:rPr>
            <w:noProof/>
            <w:webHidden/>
          </w:rPr>
          <w:instrText xml:space="preserve"> PAGEREF _Toc416192613 \h </w:instrText>
        </w:r>
        <w:r>
          <w:rPr>
            <w:noProof/>
          </w:rPr>
        </w:r>
        <w:r>
          <w:rPr>
            <w:noProof/>
            <w:webHidden/>
          </w:rPr>
          <w:fldChar w:fldCharType="separate"/>
        </w:r>
        <w:r>
          <w:rPr>
            <w:noProof/>
            <w:webHidden/>
          </w:rPr>
          <w:t>825</w:t>
        </w:r>
        <w:r>
          <w:rPr>
            <w:noProof/>
            <w:webHidden/>
          </w:rPr>
          <w:fldChar w:fldCharType="end"/>
        </w:r>
      </w:hyperlink>
    </w:p>
    <w:p w:rsidR="0014388E" w:rsidRDefault="0014388E">
      <w:pPr>
        <w:pStyle w:val="Kazalovsebine3"/>
        <w:rPr>
          <w:rFonts w:eastAsia="SimSun"/>
          <w:noProof/>
          <w:snapToGrid/>
          <w:szCs w:val="24"/>
          <w:lang w:val="sl-SI"/>
        </w:rPr>
      </w:pPr>
      <w:hyperlink w:anchor="_Toc416192614" w:history="1">
        <w:r w:rsidRPr="00CF0C30">
          <w:rPr>
            <w:rStyle w:val="Hiperpovezava"/>
            <w:b/>
            <w:noProof/>
            <w:lang w:eastAsia="en-GB" w:bidi="en-GB"/>
          </w:rPr>
          <w:t>10.3.16.</w:t>
        </w:r>
        <w:r w:rsidRPr="00CF0C30">
          <w:rPr>
            <w:rStyle w:val="Hiperpovezava"/>
            <w:noProof/>
          </w:rPr>
          <w:t xml:space="preserve"> M113 – Early retirement</w:t>
        </w:r>
        <w:r>
          <w:rPr>
            <w:noProof/>
            <w:webHidden/>
          </w:rPr>
          <w:tab/>
        </w:r>
        <w:r>
          <w:rPr>
            <w:noProof/>
            <w:webHidden/>
          </w:rPr>
          <w:fldChar w:fldCharType="begin"/>
        </w:r>
        <w:r>
          <w:rPr>
            <w:noProof/>
            <w:webHidden/>
          </w:rPr>
          <w:instrText xml:space="preserve"> PAGEREF _Toc416192614 \h </w:instrText>
        </w:r>
        <w:r>
          <w:rPr>
            <w:noProof/>
          </w:rPr>
        </w:r>
        <w:r>
          <w:rPr>
            <w:noProof/>
            <w:webHidden/>
          </w:rPr>
          <w:fldChar w:fldCharType="separate"/>
        </w:r>
        <w:r>
          <w:rPr>
            <w:noProof/>
            <w:webHidden/>
          </w:rPr>
          <w:t>826</w:t>
        </w:r>
        <w:r>
          <w:rPr>
            <w:noProof/>
            <w:webHidden/>
          </w:rPr>
          <w:fldChar w:fldCharType="end"/>
        </w:r>
      </w:hyperlink>
    </w:p>
    <w:p w:rsidR="0014388E" w:rsidRDefault="0014388E">
      <w:pPr>
        <w:pStyle w:val="Kazalovsebine3"/>
        <w:rPr>
          <w:rFonts w:eastAsia="SimSun"/>
          <w:noProof/>
          <w:snapToGrid/>
          <w:szCs w:val="24"/>
          <w:lang w:val="sl-SI"/>
        </w:rPr>
      </w:pPr>
      <w:hyperlink w:anchor="_Toc416192615" w:history="1">
        <w:r w:rsidRPr="00CF0C30">
          <w:rPr>
            <w:rStyle w:val="Hiperpovezava"/>
            <w:b/>
            <w:noProof/>
            <w:lang w:eastAsia="en-GB" w:bidi="en-GB"/>
          </w:rPr>
          <w:t>10.3.17.</w:t>
        </w:r>
        <w:r w:rsidRPr="00CF0C30">
          <w:rPr>
            <w:rStyle w:val="Hiperpovezava"/>
            <w:noProof/>
          </w:rPr>
          <w:t xml:space="preserve"> M131 – Meeting the standards based on the Community law</w:t>
        </w:r>
        <w:r>
          <w:rPr>
            <w:noProof/>
            <w:webHidden/>
          </w:rPr>
          <w:tab/>
        </w:r>
        <w:r>
          <w:rPr>
            <w:noProof/>
            <w:webHidden/>
          </w:rPr>
          <w:fldChar w:fldCharType="begin"/>
        </w:r>
        <w:r>
          <w:rPr>
            <w:noProof/>
            <w:webHidden/>
          </w:rPr>
          <w:instrText xml:space="preserve"> PAGEREF _Toc416192615 \h </w:instrText>
        </w:r>
        <w:r>
          <w:rPr>
            <w:noProof/>
          </w:rPr>
        </w:r>
        <w:r>
          <w:rPr>
            <w:noProof/>
            <w:webHidden/>
          </w:rPr>
          <w:fldChar w:fldCharType="separate"/>
        </w:r>
        <w:r>
          <w:rPr>
            <w:noProof/>
            <w:webHidden/>
          </w:rPr>
          <w:t>827</w:t>
        </w:r>
        <w:r>
          <w:rPr>
            <w:noProof/>
            <w:webHidden/>
          </w:rPr>
          <w:fldChar w:fldCharType="end"/>
        </w:r>
      </w:hyperlink>
    </w:p>
    <w:p w:rsidR="0014388E" w:rsidRDefault="0014388E">
      <w:pPr>
        <w:pStyle w:val="Kazalovsebine3"/>
        <w:rPr>
          <w:rFonts w:eastAsia="SimSun"/>
          <w:noProof/>
          <w:snapToGrid/>
          <w:szCs w:val="24"/>
          <w:lang w:val="sl-SI"/>
        </w:rPr>
      </w:pPr>
      <w:hyperlink w:anchor="_Toc416192616" w:history="1">
        <w:r w:rsidRPr="00CF0C30">
          <w:rPr>
            <w:rStyle w:val="Hiperpovezava"/>
            <w:b/>
            <w:noProof/>
            <w:lang w:eastAsia="en-GB" w:bidi="en-GB"/>
          </w:rPr>
          <w:t>10.3.18.</w:t>
        </w:r>
        <w:r w:rsidRPr="00CF0C30">
          <w:rPr>
            <w:rStyle w:val="Hiperpovezava"/>
            <w:noProof/>
          </w:rPr>
          <w:t xml:space="preserve"> M341 – Acquisition of expert knowledge, animation and implementation</w:t>
        </w:r>
        <w:r>
          <w:rPr>
            <w:noProof/>
            <w:webHidden/>
          </w:rPr>
          <w:tab/>
        </w:r>
        <w:r>
          <w:rPr>
            <w:noProof/>
            <w:webHidden/>
          </w:rPr>
          <w:fldChar w:fldCharType="begin"/>
        </w:r>
        <w:r>
          <w:rPr>
            <w:noProof/>
            <w:webHidden/>
          </w:rPr>
          <w:instrText xml:space="preserve"> PAGEREF _Toc416192616 \h </w:instrText>
        </w:r>
        <w:r>
          <w:rPr>
            <w:noProof/>
          </w:rPr>
        </w:r>
        <w:r>
          <w:rPr>
            <w:noProof/>
            <w:webHidden/>
          </w:rPr>
          <w:fldChar w:fldCharType="separate"/>
        </w:r>
        <w:r>
          <w:rPr>
            <w:noProof/>
            <w:webHidden/>
          </w:rPr>
          <w:t>828</w:t>
        </w:r>
        <w:r>
          <w:rPr>
            <w:noProof/>
            <w:webHidden/>
          </w:rPr>
          <w:fldChar w:fldCharType="end"/>
        </w:r>
      </w:hyperlink>
    </w:p>
    <w:p w:rsidR="0014388E" w:rsidRDefault="0014388E">
      <w:pPr>
        <w:pStyle w:val="Kazalovsebine2"/>
        <w:rPr>
          <w:rFonts w:eastAsia="SimSun"/>
          <w:noProof/>
          <w:snapToGrid/>
          <w:szCs w:val="24"/>
          <w:lang w:val="sl-SI"/>
        </w:rPr>
      </w:pPr>
      <w:hyperlink w:anchor="_Toc416192617" w:history="1">
        <w:r w:rsidRPr="00CF0C30">
          <w:rPr>
            <w:rStyle w:val="Hiperpovezava"/>
            <w:noProof/>
            <w:lang w:eastAsia="en-GB" w:bidi="en-GB"/>
          </w:rPr>
          <w:t>10.4.</w:t>
        </w:r>
        <w:r w:rsidRPr="00CF0C30">
          <w:rPr>
            <w:rStyle w:val="Hiperpovezava"/>
            <w:noProof/>
          </w:rPr>
          <w:t xml:space="preserve"> Indicative breakdown by measure for each sub-programme</w:t>
        </w:r>
        <w:r>
          <w:rPr>
            <w:noProof/>
            <w:webHidden/>
          </w:rPr>
          <w:tab/>
        </w:r>
        <w:r>
          <w:rPr>
            <w:noProof/>
            <w:webHidden/>
          </w:rPr>
          <w:fldChar w:fldCharType="begin"/>
        </w:r>
        <w:r>
          <w:rPr>
            <w:noProof/>
            <w:webHidden/>
          </w:rPr>
          <w:instrText xml:space="preserve"> PAGEREF _Toc416192617 \h </w:instrText>
        </w:r>
        <w:r>
          <w:rPr>
            <w:noProof/>
          </w:rPr>
        </w:r>
        <w:r>
          <w:rPr>
            <w:noProof/>
            <w:webHidden/>
          </w:rPr>
          <w:fldChar w:fldCharType="separate"/>
        </w:r>
        <w:r>
          <w:rPr>
            <w:noProof/>
            <w:webHidden/>
          </w:rPr>
          <w:t>829</w:t>
        </w:r>
        <w:r>
          <w:rPr>
            <w:noProof/>
            <w:webHidden/>
          </w:rPr>
          <w:fldChar w:fldCharType="end"/>
        </w:r>
      </w:hyperlink>
    </w:p>
    <w:p w:rsidR="0014388E" w:rsidRDefault="0014388E">
      <w:pPr>
        <w:pStyle w:val="Kazalovsebine1"/>
        <w:rPr>
          <w:rFonts w:eastAsia="SimSun"/>
          <w:caps w:val="0"/>
          <w:noProof/>
          <w:snapToGrid/>
          <w:szCs w:val="24"/>
          <w:lang w:val="sl-SI"/>
        </w:rPr>
      </w:pPr>
      <w:hyperlink w:anchor="_Toc416192618" w:history="1">
        <w:r w:rsidRPr="00CF0C30">
          <w:rPr>
            <w:rStyle w:val="Hiperpovezava"/>
            <w:noProof/>
            <w:lang w:eastAsia="en-GB" w:bidi="en-GB"/>
          </w:rPr>
          <w:t>11.</w:t>
        </w:r>
        <w:r w:rsidRPr="00CF0C30">
          <w:rPr>
            <w:rStyle w:val="Hiperpovezava"/>
            <w:noProof/>
          </w:rPr>
          <w:t xml:space="preserve"> Indicator plan</w:t>
        </w:r>
        <w:r>
          <w:rPr>
            <w:noProof/>
            <w:webHidden/>
          </w:rPr>
          <w:tab/>
        </w:r>
        <w:r>
          <w:rPr>
            <w:noProof/>
            <w:webHidden/>
          </w:rPr>
          <w:fldChar w:fldCharType="begin"/>
        </w:r>
        <w:r>
          <w:rPr>
            <w:noProof/>
            <w:webHidden/>
          </w:rPr>
          <w:instrText xml:space="preserve"> PAGEREF _Toc416192618 \h </w:instrText>
        </w:r>
        <w:r>
          <w:rPr>
            <w:noProof/>
          </w:rPr>
        </w:r>
        <w:r>
          <w:rPr>
            <w:noProof/>
            <w:webHidden/>
          </w:rPr>
          <w:fldChar w:fldCharType="separate"/>
        </w:r>
        <w:r>
          <w:rPr>
            <w:noProof/>
            <w:webHidden/>
          </w:rPr>
          <w:t>830</w:t>
        </w:r>
        <w:r>
          <w:rPr>
            <w:noProof/>
            <w:webHidden/>
          </w:rPr>
          <w:fldChar w:fldCharType="end"/>
        </w:r>
      </w:hyperlink>
    </w:p>
    <w:p w:rsidR="0014388E" w:rsidRDefault="0014388E">
      <w:pPr>
        <w:pStyle w:val="Kazalovsebine2"/>
        <w:rPr>
          <w:rFonts w:eastAsia="SimSun"/>
          <w:noProof/>
          <w:snapToGrid/>
          <w:szCs w:val="24"/>
          <w:lang w:val="sl-SI"/>
        </w:rPr>
      </w:pPr>
      <w:hyperlink w:anchor="_Toc416192619" w:history="1">
        <w:r w:rsidRPr="00CF0C30">
          <w:rPr>
            <w:rStyle w:val="Hiperpovezava"/>
            <w:noProof/>
          </w:rPr>
          <w:t>11.1. Indicator plan</w:t>
        </w:r>
        <w:r>
          <w:rPr>
            <w:noProof/>
            <w:webHidden/>
          </w:rPr>
          <w:tab/>
        </w:r>
        <w:r>
          <w:rPr>
            <w:noProof/>
            <w:webHidden/>
          </w:rPr>
          <w:fldChar w:fldCharType="begin"/>
        </w:r>
        <w:r>
          <w:rPr>
            <w:noProof/>
            <w:webHidden/>
          </w:rPr>
          <w:instrText xml:space="preserve"> PAGEREF _Toc416192619 \h </w:instrText>
        </w:r>
        <w:r>
          <w:rPr>
            <w:noProof/>
          </w:rPr>
        </w:r>
        <w:r>
          <w:rPr>
            <w:noProof/>
            <w:webHidden/>
          </w:rPr>
          <w:fldChar w:fldCharType="separate"/>
        </w:r>
        <w:r>
          <w:rPr>
            <w:noProof/>
            <w:webHidden/>
          </w:rPr>
          <w:t>830</w:t>
        </w:r>
        <w:r>
          <w:rPr>
            <w:noProof/>
            <w:webHidden/>
          </w:rPr>
          <w:fldChar w:fldCharType="end"/>
        </w:r>
      </w:hyperlink>
    </w:p>
    <w:p w:rsidR="0014388E" w:rsidRDefault="0014388E">
      <w:pPr>
        <w:pStyle w:val="Kazalovsebine3"/>
        <w:rPr>
          <w:rFonts w:eastAsia="SimSun"/>
          <w:noProof/>
          <w:snapToGrid/>
          <w:szCs w:val="24"/>
          <w:lang w:val="sl-SI"/>
        </w:rPr>
      </w:pPr>
      <w:hyperlink w:anchor="_Toc416192620" w:history="1">
        <w:r w:rsidRPr="00CF0C30">
          <w:rPr>
            <w:rStyle w:val="Hiperpovezava"/>
            <w:noProof/>
          </w:rPr>
          <w:t>11.1.1. P1: Encouraging the transfer of knowledge and innovations in agriculture, forestry and rural areas</w:t>
        </w:r>
        <w:r>
          <w:rPr>
            <w:noProof/>
            <w:webHidden/>
          </w:rPr>
          <w:tab/>
        </w:r>
        <w:r>
          <w:rPr>
            <w:noProof/>
            <w:webHidden/>
          </w:rPr>
          <w:fldChar w:fldCharType="begin"/>
        </w:r>
        <w:r>
          <w:rPr>
            <w:noProof/>
            <w:webHidden/>
          </w:rPr>
          <w:instrText xml:space="preserve"> PAGEREF _Toc416192620 \h </w:instrText>
        </w:r>
        <w:r>
          <w:rPr>
            <w:noProof/>
          </w:rPr>
        </w:r>
        <w:r>
          <w:rPr>
            <w:noProof/>
            <w:webHidden/>
          </w:rPr>
          <w:fldChar w:fldCharType="separate"/>
        </w:r>
        <w:r>
          <w:rPr>
            <w:noProof/>
            <w:webHidden/>
          </w:rPr>
          <w:t>830</w:t>
        </w:r>
        <w:r>
          <w:rPr>
            <w:noProof/>
            <w:webHidden/>
          </w:rPr>
          <w:fldChar w:fldCharType="end"/>
        </w:r>
      </w:hyperlink>
    </w:p>
    <w:p w:rsidR="0014388E" w:rsidRDefault="0014388E">
      <w:pPr>
        <w:pStyle w:val="Kazalovsebine3"/>
        <w:rPr>
          <w:rFonts w:eastAsia="SimSun"/>
          <w:noProof/>
          <w:snapToGrid/>
          <w:szCs w:val="24"/>
          <w:lang w:val="sl-SI"/>
        </w:rPr>
      </w:pPr>
      <w:hyperlink w:anchor="_Toc416192621" w:history="1">
        <w:r w:rsidRPr="00CF0C30">
          <w:rPr>
            <w:rStyle w:val="Hiperpovezava"/>
            <w:noProof/>
            <w:lang w:eastAsia="en-GB" w:bidi="en-GB"/>
          </w:rPr>
          <w:t>11.1.2.</w:t>
        </w:r>
        <w:r w:rsidRPr="00CF0C30">
          <w:rPr>
            <w:rStyle w:val="Hiperpovezava"/>
            <w:noProof/>
          </w:rPr>
          <w:t xml:space="preserve"> P2: Strengthening the ability of farms to survive and competitiveness of all types of farming in all regions, and promoting innovative agricultural technologies and sustainable forest management</w:t>
        </w:r>
        <w:r>
          <w:rPr>
            <w:noProof/>
            <w:webHidden/>
          </w:rPr>
          <w:tab/>
        </w:r>
        <w:r>
          <w:rPr>
            <w:noProof/>
            <w:webHidden/>
          </w:rPr>
          <w:fldChar w:fldCharType="begin"/>
        </w:r>
        <w:r>
          <w:rPr>
            <w:noProof/>
            <w:webHidden/>
          </w:rPr>
          <w:instrText xml:space="preserve"> PAGEREF _Toc416192621 \h </w:instrText>
        </w:r>
        <w:r>
          <w:rPr>
            <w:noProof/>
          </w:rPr>
        </w:r>
        <w:r>
          <w:rPr>
            <w:noProof/>
            <w:webHidden/>
          </w:rPr>
          <w:fldChar w:fldCharType="separate"/>
        </w:r>
        <w:r>
          <w:rPr>
            <w:noProof/>
            <w:webHidden/>
          </w:rPr>
          <w:t>833</w:t>
        </w:r>
        <w:r>
          <w:rPr>
            <w:noProof/>
            <w:webHidden/>
          </w:rPr>
          <w:fldChar w:fldCharType="end"/>
        </w:r>
      </w:hyperlink>
    </w:p>
    <w:p w:rsidR="0014388E" w:rsidRDefault="0014388E">
      <w:pPr>
        <w:pStyle w:val="Kazalovsebine3"/>
        <w:rPr>
          <w:rFonts w:eastAsia="SimSun"/>
          <w:noProof/>
          <w:snapToGrid/>
          <w:szCs w:val="24"/>
          <w:lang w:val="sl-SI"/>
        </w:rPr>
      </w:pPr>
      <w:hyperlink w:anchor="_Toc416192622" w:history="1">
        <w:r w:rsidRPr="00CF0C30">
          <w:rPr>
            <w:rStyle w:val="Hiperpovezava"/>
            <w:noProof/>
            <w:lang w:eastAsia="en-GB" w:bidi="en-GB"/>
          </w:rPr>
          <w:t>11.1.3.</w:t>
        </w:r>
        <w:r w:rsidRPr="00CF0C30">
          <w:rPr>
            <w:rStyle w:val="Hiperpovezava"/>
            <w:noProof/>
          </w:rPr>
          <w:t xml:space="preserve"> P3: Encouraging organisation of the food supply chain, including processing and marketing of agricultural products, animal welfare and risk management in agriculture</w:t>
        </w:r>
        <w:r>
          <w:rPr>
            <w:noProof/>
            <w:webHidden/>
          </w:rPr>
          <w:tab/>
        </w:r>
        <w:r>
          <w:rPr>
            <w:noProof/>
            <w:webHidden/>
          </w:rPr>
          <w:fldChar w:fldCharType="begin"/>
        </w:r>
        <w:r>
          <w:rPr>
            <w:noProof/>
            <w:webHidden/>
          </w:rPr>
          <w:instrText xml:space="preserve"> PAGEREF _Toc416192622 \h </w:instrText>
        </w:r>
        <w:r>
          <w:rPr>
            <w:noProof/>
          </w:rPr>
        </w:r>
        <w:r>
          <w:rPr>
            <w:noProof/>
            <w:webHidden/>
          </w:rPr>
          <w:fldChar w:fldCharType="separate"/>
        </w:r>
        <w:r>
          <w:rPr>
            <w:noProof/>
            <w:webHidden/>
          </w:rPr>
          <w:t>835</w:t>
        </w:r>
        <w:r>
          <w:rPr>
            <w:noProof/>
            <w:webHidden/>
          </w:rPr>
          <w:fldChar w:fldCharType="end"/>
        </w:r>
      </w:hyperlink>
    </w:p>
    <w:p w:rsidR="0014388E" w:rsidRDefault="0014388E">
      <w:pPr>
        <w:pStyle w:val="Kazalovsebine3"/>
        <w:rPr>
          <w:rFonts w:eastAsia="SimSun"/>
          <w:noProof/>
          <w:snapToGrid/>
          <w:szCs w:val="24"/>
          <w:lang w:val="sl-SI"/>
        </w:rPr>
      </w:pPr>
      <w:hyperlink w:anchor="_Toc416192623" w:history="1">
        <w:r w:rsidRPr="00CF0C30">
          <w:rPr>
            <w:rStyle w:val="Hiperpovezava"/>
            <w:noProof/>
          </w:rPr>
          <w:t>11.1.4. P4: Restoration, preservation and improvement of ecosystems related to agriculture and forestry</w:t>
        </w:r>
        <w:r>
          <w:rPr>
            <w:noProof/>
            <w:webHidden/>
          </w:rPr>
          <w:tab/>
        </w:r>
        <w:r>
          <w:rPr>
            <w:noProof/>
            <w:webHidden/>
          </w:rPr>
          <w:fldChar w:fldCharType="begin"/>
        </w:r>
        <w:r>
          <w:rPr>
            <w:noProof/>
            <w:webHidden/>
          </w:rPr>
          <w:instrText xml:space="preserve"> PAGEREF _Toc416192623 \h </w:instrText>
        </w:r>
        <w:r>
          <w:rPr>
            <w:noProof/>
          </w:rPr>
        </w:r>
        <w:r>
          <w:rPr>
            <w:noProof/>
            <w:webHidden/>
          </w:rPr>
          <w:fldChar w:fldCharType="separate"/>
        </w:r>
        <w:r>
          <w:rPr>
            <w:noProof/>
            <w:webHidden/>
          </w:rPr>
          <w:t>838</w:t>
        </w:r>
        <w:r>
          <w:rPr>
            <w:noProof/>
            <w:webHidden/>
          </w:rPr>
          <w:fldChar w:fldCharType="end"/>
        </w:r>
      </w:hyperlink>
    </w:p>
    <w:p w:rsidR="0014388E" w:rsidRDefault="0014388E">
      <w:pPr>
        <w:pStyle w:val="Kazalovsebine3"/>
        <w:rPr>
          <w:rFonts w:eastAsia="SimSun"/>
          <w:noProof/>
          <w:snapToGrid/>
          <w:szCs w:val="24"/>
          <w:lang w:val="sl-SI"/>
        </w:rPr>
      </w:pPr>
      <w:hyperlink w:anchor="_Toc416192624" w:history="1">
        <w:r w:rsidRPr="00CF0C30">
          <w:rPr>
            <w:rStyle w:val="Hiperpovezava"/>
            <w:noProof/>
          </w:rPr>
          <w:t>11.1.5. P5: Promotion of the efficient use of resources and supporting the agricultural, food and forestry sector in the transition to a low-carbon economy resistant to climate change</w:t>
        </w:r>
        <w:r>
          <w:rPr>
            <w:noProof/>
            <w:webHidden/>
          </w:rPr>
          <w:tab/>
        </w:r>
        <w:r>
          <w:rPr>
            <w:noProof/>
            <w:webHidden/>
          </w:rPr>
          <w:fldChar w:fldCharType="begin"/>
        </w:r>
        <w:r>
          <w:rPr>
            <w:noProof/>
            <w:webHidden/>
          </w:rPr>
          <w:instrText xml:space="preserve"> PAGEREF _Toc416192624 \h </w:instrText>
        </w:r>
        <w:r>
          <w:rPr>
            <w:noProof/>
          </w:rPr>
        </w:r>
        <w:r>
          <w:rPr>
            <w:noProof/>
            <w:webHidden/>
          </w:rPr>
          <w:fldChar w:fldCharType="separate"/>
        </w:r>
        <w:r>
          <w:rPr>
            <w:noProof/>
            <w:webHidden/>
          </w:rPr>
          <w:t>843</w:t>
        </w:r>
        <w:r>
          <w:rPr>
            <w:noProof/>
            <w:webHidden/>
          </w:rPr>
          <w:fldChar w:fldCharType="end"/>
        </w:r>
      </w:hyperlink>
    </w:p>
    <w:p w:rsidR="0014388E" w:rsidRDefault="0014388E">
      <w:pPr>
        <w:pStyle w:val="Kazalovsebine3"/>
        <w:rPr>
          <w:rFonts w:eastAsia="SimSun"/>
          <w:noProof/>
          <w:snapToGrid/>
          <w:szCs w:val="24"/>
          <w:lang w:val="sl-SI"/>
        </w:rPr>
      </w:pPr>
      <w:hyperlink w:anchor="_Toc416192625" w:history="1">
        <w:r w:rsidRPr="00CF0C30">
          <w:rPr>
            <w:rStyle w:val="Hiperpovezava"/>
            <w:noProof/>
          </w:rPr>
          <w:t>11.1.6. P6: Promotion of social inclusion, reduction of poverty and economic development of rural areas</w:t>
        </w:r>
        <w:r>
          <w:rPr>
            <w:noProof/>
            <w:webHidden/>
          </w:rPr>
          <w:tab/>
        </w:r>
        <w:r>
          <w:rPr>
            <w:noProof/>
            <w:webHidden/>
          </w:rPr>
          <w:fldChar w:fldCharType="begin"/>
        </w:r>
        <w:r>
          <w:rPr>
            <w:noProof/>
            <w:webHidden/>
          </w:rPr>
          <w:instrText xml:space="preserve"> PAGEREF _Toc416192625 \h </w:instrText>
        </w:r>
        <w:r>
          <w:rPr>
            <w:noProof/>
          </w:rPr>
        </w:r>
        <w:r>
          <w:rPr>
            <w:noProof/>
            <w:webHidden/>
          </w:rPr>
          <w:fldChar w:fldCharType="separate"/>
        </w:r>
        <w:r>
          <w:rPr>
            <w:noProof/>
            <w:webHidden/>
          </w:rPr>
          <w:t>848</w:t>
        </w:r>
        <w:r>
          <w:rPr>
            <w:noProof/>
            <w:webHidden/>
          </w:rPr>
          <w:fldChar w:fldCharType="end"/>
        </w:r>
      </w:hyperlink>
    </w:p>
    <w:p w:rsidR="0014388E" w:rsidRDefault="0014388E">
      <w:pPr>
        <w:pStyle w:val="Kazalovsebine2"/>
        <w:rPr>
          <w:rFonts w:eastAsia="SimSun"/>
          <w:noProof/>
          <w:snapToGrid/>
          <w:szCs w:val="24"/>
          <w:lang w:val="sl-SI"/>
        </w:rPr>
      </w:pPr>
      <w:hyperlink w:anchor="_Toc416192626" w:history="1">
        <w:r w:rsidRPr="00CF0C30">
          <w:rPr>
            <w:rStyle w:val="Hiperpovezava"/>
            <w:noProof/>
            <w:lang w:eastAsia="en-GB" w:bidi="en-GB"/>
          </w:rPr>
          <w:t>11.2.</w:t>
        </w:r>
        <w:r w:rsidRPr="00CF0C30">
          <w:rPr>
            <w:rStyle w:val="Hiperpovezava"/>
            <w:noProof/>
          </w:rPr>
          <w:t xml:space="preserve"> Review of planned effect and planned expenditures by measures and priority areas (automatically created)</w:t>
        </w:r>
        <w:r>
          <w:rPr>
            <w:noProof/>
            <w:webHidden/>
          </w:rPr>
          <w:tab/>
        </w:r>
        <w:r>
          <w:rPr>
            <w:noProof/>
            <w:webHidden/>
          </w:rPr>
          <w:fldChar w:fldCharType="begin"/>
        </w:r>
        <w:r>
          <w:rPr>
            <w:noProof/>
            <w:webHidden/>
          </w:rPr>
          <w:instrText xml:space="preserve"> PAGEREF _Toc416192626 \h </w:instrText>
        </w:r>
        <w:r>
          <w:rPr>
            <w:noProof/>
          </w:rPr>
        </w:r>
        <w:r>
          <w:rPr>
            <w:noProof/>
            <w:webHidden/>
          </w:rPr>
          <w:fldChar w:fldCharType="separate"/>
        </w:r>
        <w:r>
          <w:rPr>
            <w:noProof/>
            <w:webHidden/>
          </w:rPr>
          <w:t>852</w:t>
        </w:r>
        <w:r>
          <w:rPr>
            <w:noProof/>
            <w:webHidden/>
          </w:rPr>
          <w:fldChar w:fldCharType="end"/>
        </w:r>
      </w:hyperlink>
    </w:p>
    <w:p w:rsidR="0014388E" w:rsidRDefault="0014388E">
      <w:pPr>
        <w:pStyle w:val="Kazalovsebine2"/>
        <w:rPr>
          <w:rFonts w:eastAsia="SimSun"/>
          <w:noProof/>
          <w:snapToGrid/>
          <w:szCs w:val="24"/>
          <w:lang w:val="sl-SI"/>
        </w:rPr>
      </w:pPr>
      <w:hyperlink w:anchor="_Toc416192627" w:history="1">
        <w:r w:rsidRPr="00CF0C30">
          <w:rPr>
            <w:rStyle w:val="Hiperpovezava"/>
            <w:noProof/>
            <w:lang w:eastAsia="en-GB" w:bidi="en-GB"/>
          </w:rPr>
          <w:t>11.3.</w:t>
        </w:r>
        <w:r w:rsidRPr="00CF0C30">
          <w:rPr>
            <w:rStyle w:val="Hiperpovezava"/>
            <w:noProof/>
          </w:rPr>
          <w:t xml:space="preserve"> Secondary effects: definition of potential contribution of measures/sub-measures for rural development planned within the scope of the determined priority areas to other priority areas/objectives</w:t>
        </w:r>
        <w:r>
          <w:rPr>
            <w:noProof/>
            <w:webHidden/>
          </w:rPr>
          <w:tab/>
        </w:r>
        <w:r>
          <w:rPr>
            <w:noProof/>
            <w:webHidden/>
          </w:rPr>
          <w:fldChar w:fldCharType="begin"/>
        </w:r>
        <w:r>
          <w:rPr>
            <w:noProof/>
            <w:webHidden/>
          </w:rPr>
          <w:instrText xml:space="preserve"> PAGEREF _Toc416192627 \h </w:instrText>
        </w:r>
        <w:r>
          <w:rPr>
            <w:noProof/>
          </w:rPr>
        </w:r>
        <w:r>
          <w:rPr>
            <w:noProof/>
            <w:webHidden/>
          </w:rPr>
          <w:fldChar w:fldCharType="separate"/>
        </w:r>
        <w:r>
          <w:rPr>
            <w:noProof/>
            <w:webHidden/>
          </w:rPr>
          <w:t>855</w:t>
        </w:r>
        <w:r>
          <w:rPr>
            <w:noProof/>
            <w:webHidden/>
          </w:rPr>
          <w:fldChar w:fldCharType="end"/>
        </w:r>
      </w:hyperlink>
    </w:p>
    <w:p w:rsidR="0014388E" w:rsidRDefault="0014388E">
      <w:pPr>
        <w:pStyle w:val="Kazalovsebine2"/>
        <w:rPr>
          <w:rFonts w:eastAsia="SimSun"/>
          <w:noProof/>
          <w:snapToGrid/>
          <w:szCs w:val="24"/>
          <w:lang w:val="sl-SI"/>
        </w:rPr>
      </w:pPr>
      <w:hyperlink w:anchor="_Toc416192628" w:history="1">
        <w:r w:rsidRPr="00CF0C30">
          <w:rPr>
            <w:rStyle w:val="Hiperpovezava"/>
            <w:noProof/>
            <w:lang w:eastAsia="en-GB" w:bidi="en-GB"/>
          </w:rPr>
          <w:t>11.4.</w:t>
        </w:r>
        <w:r w:rsidRPr="00CF0C30">
          <w:rPr>
            <w:rStyle w:val="Hiperpovezava"/>
            <w:noProof/>
          </w:rPr>
          <w:t xml:space="preserve"> Table of support indicating how environmental measures/schemes are designed to attaining one (or several) environmental/climate objective</w:t>
        </w:r>
        <w:r>
          <w:rPr>
            <w:noProof/>
            <w:webHidden/>
          </w:rPr>
          <w:tab/>
        </w:r>
        <w:r>
          <w:rPr>
            <w:noProof/>
            <w:webHidden/>
          </w:rPr>
          <w:fldChar w:fldCharType="begin"/>
        </w:r>
        <w:r>
          <w:rPr>
            <w:noProof/>
            <w:webHidden/>
          </w:rPr>
          <w:instrText xml:space="preserve"> PAGEREF _Toc416192628 \h </w:instrText>
        </w:r>
        <w:r>
          <w:rPr>
            <w:noProof/>
          </w:rPr>
        </w:r>
        <w:r>
          <w:rPr>
            <w:noProof/>
            <w:webHidden/>
          </w:rPr>
          <w:fldChar w:fldCharType="separate"/>
        </w:r>
        <w:r>
          <w:rPr>
            <w:noProof/>
            <w:webHidden/>
          </w:rPr>
          <w:t>857</w:t>
        </w:r>
        <w:r>
          <w:rPr>
            <w:noProof/>
            <w:webHidden/>
          </w:rPr>
          <w:fldChar w:fldCharType="end"/>
        </w:r>
      </w:hyperlink>
    </w:p>
    <w:p w:rsidR="0014388E" w:rsidRDefault="0014388E">
      <w:pPr>
        <w:pStyle w:val="Kazalovsebine3"/>
        <w:rPr>
          <w:rFonts w:eastAsia="SimSun"/>
          <w:noProof/>
          <w:snapToGrid/>
          <w:szCs w:val="24"/>
          <w:lang w:val="sl-SI"/>
        </w:rPr>
      </w:pPr>
      <w:hyperlink w:anchor="_Toc416192629" w:history="1">
        <w:r w:rsidRPr="00CF0C30">
          <w:rPr>
            <w:rStyle w:val="Hiperpovezava"/>
            <w:noProof/>
          </w:rPr>
          <w:t>11.4.1. Agricultural land</w:t>
        </w:r>
        <w:r>
          <w:rPr>
            <w:noProof/>
            <w:webHidden/>
          </w:rPr>
          <w:tab/>
        </w:r>
        <w:r>
          <w:rPr>
            <w:noProof/>
            <w:webHidden/>
          </w:rPr>
          <w:fldChar w:fldCharType="begin"/>
        </w:r>
        <w:r>
          <w:rPr>
            <w:noProof/>
            <w:webHidden/>
          </w:rPr>
          <w:instrText xml:space="preserve"> PAGEREF _Toc416192629 \h </w:instrText>
        </w:r>
        <w:r>
          <w:rPr>
            <w:noProof/>
          </w:rPr>
        </w:r>
        <w:r>
          <w:rPr>
            <w:noProof/>
            <w:webHidden/>
          </w:rPr>
          <w:fldChar w:fldCharType="separate"/>
        </w:r>
        <w:r>
          <w:rPr>
            <w:noProof/>
            <w:webHidden/>
          </w:rPr>
          <w:t>857</w:t>
        </w:r>
        <w:r>
          <w:rPr>
            <w:noProof/>
            <w:webHidden/>
          </w:rPr>
          <w:fldChar w:fldCharType="end"/>
        </w:r>
      </w:hyperlink>
    </w:p>
    <w:p w:rsidR="0014388E" w:rsidRDefault="0014388E">
      <w:pPr>
        <w:pStyle w:val="Kazalovsebine3"/>
        <w:rPr>
          <w:rFonts w:eastAsia="SimSun"/>
          <w:noProof/>
          <w:snapToGrid/>
          <w:szCs w:val="24"/>
          <w:lang w:val="sl-SI"/>
        </w:rPr>
      </w:pPr>
      <w:hyperlink w:anchor="_Toc416192630" w:history="1">
        <w:r w:rsidRPr="00CF0C30">
          <w:rPr>
            <w:rStyle w:val="Hiperpovezava"/>
            <w:noProof/>
            <w:lang w:eastAsia="en-GB" w:bidi="en-GB"/>
          </w:rPr>
          <w:t>11.4.2.</w:t>
        </w:r>
        <w:r w:rsidRPr="00CF0C30">
          <w:rPr>
            <w:rStyle w:val="Hiperpovezava"/>
            <w:noProof/>
          </w:rPr>
          <w:t xml:space="preserve"> Forest areas</w:t>
        </w:r>
        <w:r>
          <w:rPr>
            <w:noProof/>
            <w:webHidden/>
          </w:rPr>
          <w:tab/>
        </w:r>
        <w:r>
          <w:rPr>
            <w:noProof/>
            <w:webHidden/>
          </w:rPr>
          <w:fldChar w:fldCharType="begin"/>
        </w:r>
        <w:r>
          <w:rPr>
            <w:noProof/>
            <w:webHidden/>
          </w:rPr>
          <w:instrText xml:space="preserve"> PAGEREF _Toc416192630 \h </w:instrText>
        </w:r>
        <w:r>
          <w:rPr>
            <w:noProof/>
          </w:rPr>
        </w:r>
        <w:r>
          <w:rPr>
            <w:noProof/>
            <w:webHidden/>
          </w:rPr>
          <w:fldChar w:fldCharType="separate"/>
        </w:r>
        <w:r>
          <w:rPr>
            <w:noProof/>
            <w:webHidden/>
          </w:rPr>
          <w:t>861</w:t>
        </w:r>
        <w:r>
          <w:rPr>
            <w:noProof/>
            <w:webHidden/>
          </w:rPr>
          <w:fldChar w:fldCharType="end"/>
        </w:r>
      </w:hyperlink>
    </w:p>
    <w:p w:rsidR="0014388E" w:rsidRDefault="0014388E">
      <w:pPr>
        <w:pStyle w:val="Kazalovsebine2"/>
        <w:rPr>
          <w:rFonts w:eastAsia="SimSun"/>
          <w:noProof/>
          <w:snapToGrid/>
          <w:szCs w:val="24"/>
          <w:lang w:val="sl-SI"/>
        </w:rPr>
      </w:pPr>
      <w:hyperlink w:anchor="_Toc416192631" w:history="1">
        <w:r w:rsidRPr="00CF0C30">
          <w:rPr>
            <w:rStyle w:val="Hiperpovezava"/>
            <w:noProof/>
            <w:lang w:eastAsia="en-GB" w:bidi="en-GB"/>
          </w:rPr>
          <w:t>11.5.</w:t>
        </w:r>
        <w:r w:rsidRPr="00CF0C30">
          <w:rPr>
            <w:rStyle w:val="Hiperpovezava"/>
            <w:noProof/>
          </w:rPr>
          <w:t xml:space="preserve"> Objective and impact for individual programmes</w:t>
        </w:r>
        <w:r>
          <w:rPr>
            <w:noProof/>
            <w:webHidden/>
          </w:rPr>
          <w:tab/>
        </w:r>
        <w:r>
          <w:rPr>
            <w:noProof/>
            <w:webHidden/>
          </w:rPr>
          <w:fldChar w:fldCharType="begin"/>
        </w:r>
        <w:r>
          <w:rPr>
            <w:noProof/>
            <w:webHidden/>
          </w:rPr>
          <w:instrText xml:space="preserve"> PAGEREF _Toc416192631 \h </w:instrText>
        </w:r>
        <w:r>
          <w:rPr>
            <w:noProof/>
          </w:rPr>
        </w:r>
        <w:r>
          <w:rPr>
            <w:noProof/>
            <w:webHidden/>
          </w:rPr>
          <w:fldChar w:fldCharType="separate"/>
        </w:r>
        <w:r>
          <w:rPr>
            <w:noProof/>
            <w:webHidden/>
          </w:rPr>
          <w:t>862</w:t>
        </w:r>
        <w:r>
          <w:rPr>
            <w:noProof/>
            <w:webHidden/>
          </w:rPr>
          <w:fldChar w:fldCharType="end"/>
        </w:r>
      </w:hyperlink>
    </w:p>
    <w:p w:rsidR="0014388E" w:rsidRDefault="0014388E">
      <w:pPr>
        <w:pStyle w:val="Kazalovsebine1"/>
        <w:rPr>
          <w:rFonts w:eastAsia="SimSun"/>
          <w:caps w:val="0"/>
          <w:noProof/>
          <w:snapToGrid/>
          <w:szCs w:val="24"/>
          <w:lang w:val="sl-SI"/>
        </w:rPr>
      </w:pPr>
      <w:hyperlink w:anchor="_Toc416192632" w:history="1">
        <w:r w:rsidRPr="00CF0C30">
          <w:rPr>
            <w:rStyle w:val="Hiperpovezava"/>
            <w:noProof/>
            <w:lang w:eastAsia="en-GB" w:bidi="en-GB"/>
          </w:rPr>
          <w:t>12.</w:t>
        </w:r>
        <w:r w:rsidRPr="00CF0C30">
          <w:rPr>
            <w:rStyle w:val="Hiperpovezava"/>
            <w:noProof/>
          </w:rPr>
          <w:t xml:space="preserve"> Additional national financing</w:t>
        </w:r>
        <w:r>
          <w:rPr>
            <w:noProof/>
            <w:webHidden/>
          </w:rPr>
          <w:tab/>
        </w:r>
        <w:r>
          <w:rPr>
            <w:noProof/>
            <w:webHidden/>
          </w:rPr>
          <w:fldChar w:fldCharType="begin"/>
        </w:r>
        <w:r>
          <w:rPr>
            <w:noProof/>
            <w:webHidden/>
          </w:rPr>
          <w:instrText xml:space="preserve"> PAGEREF _Toc416192632 \h </w:instrText>
        </w:r>
        <w:r>
          <w:rPr>
            <w:noProof/>
          </w:rPr>
        </w:r>
        <w:r>
          <w:rPr>
            <w:noProof/>
            <w:webHidden/>
          </w:rPr>
          <w:fldChar w:fldCharType="separate"/>
        </w:r>
        <w:r>
          <w:rPr>
            <w:noProof/>
            <w:webHidden/>
          </w:rPr>
          <w:t>863</w:t>
        </w:r>
        <w:r>
          <w:rPr>
            <w:noProof/>
            <w:webHidden/>
          </w:rPr>
          <w:fldChar w:fldCharType="end"/>
        </w:r>
      </w:hyperlink>
    </w:p>
    <w:p w:rsidR="0014388E" w:rsidRDefault="0014388E">
      <w:pPr>
        <w:pStyle w:val="Kazalovsebine2"/>
        <w:rPr>
          <w:rFonts w:eastAsia="SimSun"/>
          <w:noProof/>
          <w:snapToGrid/>
          <w:szCs w:val="24"/>
          <w:lang w:val="sl-SI"/>
        </w:rPr>
      </w:pPr>
      <w:hyperlink w:anchor="_Toc416192633" w:history="1">
        <w:r w:rsidRPr="00CF0C30">
          <w:rPr>
            <w:rStyle w:val="Hiperpovezava"/>
            <w:noProof/>
            <w:lang w:eastAsia="en-GB" w:bidi="en-GB"/>
          </w:rPr>
          <w:t>12.1.</w:t>
        </w:r>
        <w:r w:rsidRPr="00CF0C30">
          <w:rPr>
            <w:rStyle w:val="Hiperpovezava"/>
            <w:noProof/>
          </w:rPr>
          <w:t xml:space="preserve"> M01 – Knowledge transfer and information actions (Article 14)</w:t>
        </w:r>
        <w:r>
          <w:rPr>
            <w:noProof/>
            <w:webHidden/>
          </w:rPr>
          <w:tab/>
        </w:r>
        <w:r>
          <w:rPr>
            <w:noProof/>
            <w:webHidden/>
          </w:rPr>
          <w:fldChar w:fldCharType="begin"/>
        </w:r>
        <w:r>
          <w:rPr>
            <w:noProof/>
            <w:webHidden/>
          </w:rPr>
          <w:instrText xml:space="preserve"> PAGEREF _Toc416192633 \h </w:instrText>
        </w:r>
        <w:r>
          <w:rPr>
            <w:noProof/>
          </w:rPr>
        </w:r>
        <w:r>
          <w:rPr>
            <w:noProof/>
            <w:webHidden/>
          </w:rPr>
          <w:fldChar w:fldCharType="separate"/>
        </w:r>
        <w:r>
          <w:rPr>
            <w:noProof/>
            <w:webHidden/>
          </w:rPr>
          <w:t>864</w:t>
        </w:r>
        <w:r>
          <w:rPr>
            <w:noProof/>
            <w:webHidden/>
          </w:rPr>
          <w:fldChar w:fldCharType="end"/>
        </w:r>
      </w:hyperlink>
    </w:p>
    <w:p w:rsidR="0014388E" w:rsidRDefault="0014388E">
      <w:pPr>
        <w:pStyle w:val="Kazalovsebine2"/>
        <w:rPr>
          <w:rFonts w:eastAsia="SimSun"/>
          <w:noProof/>
          <w:snapToGrid/>
          <w:szCs w:val="24"/>
          <w:lang w:val="sl-SI"/>
        </w:rPr>
      </w:pPr>
      <w:hyperlink w:anchor="_Toc416192634" w:history="1">
        <w:r w:rsidRPr="00CF0C30">
          <w:rPr>
            <w:rStyle w:val="Hiperpovezava"/>
            <w:noProof/>
            <w:lang w:eastAsia="en-GB" w:bidi="en-GB"/>
          </w:rPr>
          <w:t>12.2.</w:t>
        </w:r>
        <w:r w:rsidRPr="00CF0C30">
          <w:rPr>
            <w:rStyle w:val="Hiperpovezava"/>
            <w:noProof/>
          </w:rPr>
          <w:t xml:space="preserve"> M02 – Advisory services, farm management and farm relief services (Article 15)</w:t>
        </w:r>
        <w:r>
          <w:rPr>
            <w:noProof/>
            <w:webHidden/>
          </w:rPr>
          <w:tab/>
        </w:r>
        <w:r>
          <w:rPr>
            <w:noProof/>
            <w:webHidden/>
          </w:rPr>
          <w:fldChar w:fldCharType="begin"/>
        </w:r>
        <w:r>
          <w:rPr>
            <w:noProof/>
            <w:webHidden/>
          </w:rPr>
          <w:instrText xml:space="preserve"> PAGEREF _Toc416192634 \h </w:instrText>
        </w:r>
        <w:r>
          <w:rPr>
            <w:noProof/>
          </w:rPr>
        </w:r>
        <w:r>
          <w:rPr>
            <w:noProof/>
            <w:webHidden/>
          </w:rPr>
          <w:fldChar w:fldCharType="separate"/>
        </w:r>
        <w:r>
          <w:rPr>
            <w:noProof/>
            <w:webHidden/>
          </w:rPr>
          <w:t>864</w:t>
        </w:r>
        <w:r>
          <w:rPr>
            <w:noProof/>
            <w:webHidden/>
          </w:rPr>
          <w:fldChar w:fldCharType="end"/>
        </w:r>
      </w:hyperlink>
    </w:p>
    <w:p w:rsidR="0014388E" w:rsidRDefault="0014388E">
      <w:pPr>
        <w:pStyle w:val="Kazalovsebine2"/>
        <w:rPr>
          <w:rFonts w:eastAsia="SimSun"/>
          <w:noProof/>
          <w:snapToGrid/>
          <w:szCs w:val="24"/>
          <w:lang w:val="sl-SI"/>
        </w:rPr>
      </w:pPr>
      <w:hyperlink w:anchor="_Toc416192635" w:history="1">
        <w:r w:rsidRPr="00CF0C30">
          <w:rPr>
            <w:rStyle w:val="Hiperpovezava"/>
            <w:noProof/>
            <w:lang w:eastAsia="en-GB" w:bidi="en-GB"/>
          </w:rPr>
          <w:t>12.3.</w:t>
        </w:r>
        <w:r w:rsidRPr="00CF0C30">
          <w:rPr>
            <w:rStyle w:val="Hiperpovezava"/>
            <w:noProof/>
          </w:rPr>
          <w:t xml:space="preserve"> M03 – Quality schemes for agricultural products and foodstuffs (Article 16)</w:t>
        </w:r>
        <w:r>
          <w:rPr>
            <w:noProof/>
            <w:webHidden/>
          </w:rPr>
          <w:tab/>
        </w:r>
        <w:r>
          <w:rPr>
            <w:noProof/>
            <w:webHidden/>
          </w:rPr>
          <w:fldChar w:fldCharType="begin"/>
        </w:r>
        <w:r>
          <w:rPr>
            <w:noProof/>
            <w:webHidden/>
          </w:rPr>
          <w:instrText xml:space="preserve"> PAGEREF _Toc416192635 \h </w:instrText>
        </w:r>
        <w:r>
          <w:rPr>
            <w:noProof/>
          </w:rPr>
        </w:r>
        <w:r>
          <w:rPr>
            <w:noProof/>
            <w:webHidden/>
          </w:rPr>
          <w:fldChar w:fldCharType="separate"/>
        </w:r>
        <w:r>
          <w:rPr>
            <w:noProof/>
            <w:webHidden/>
          </w:rPr>
          <w:t>864</w:t>
        </w:r>
        <w:r>
          <w:rPr>
            <w:noProof/>
            <w:webHidden/>
          </w:rPr>
          <w:fldChar w:fldCharType="end"/>
        </w:r>
      </w:hyperlink>
    </w:p>
    <w:p w:rsidR="0014388E" w:rsidRDefault="0014388E">
      <w:pPr>
        <w:pStyle w:val="Kazalovsebine2"/>
        <w:rPr>
          <w:rFonts w:eastAsia="SimSun"/>
          <w:noProof/>
          <w:snapToGrid/>
          <w:szCs w:val="24"/>
          <w:lang w:val="sl-SI"/>
        </w:rPr>
      </w:pPr>
      <w:hyperlink w:anchor="_Toc416192636" w:history="1">
        <w:r w:rsidRPr="00CF0C30">
          <w:rPr>
            <w:rStyle w:val="Hiperpovezava"/>
            <w:noProof/>
            <w:lang w:eastAsia="en-GB" w:bidi="en-GB"/>
          </w:rPr>
          <w:t>12.4.</w:t>
        </w:r>
        <w:r w:rsidRPr="00CF0C30">
          <w:rPr>
            <w:rStyle w:val="Hiperpovezava"/>
            <w:noProof/>
          </w:rPr>
          <w:t xml:space="preserve"> M04 - Investments in physical assets (Article 17)</w:t>
        </w:r>
        <w:r>
          <w:rPr>
            <w:noProof/>
            <w:webHidden/>
          </w:rPr>
          <w:tab/>
        </w:r>
        <w:r>
          <w:rPr>
            <w:noProof/>
            <w:webHidden/>
          </w:rPr>
          <w:fldChar w:fldCharType="begin"/>
        </w:r>
        <w:r>
          <w:rPr>
            <w:noProof/>
            <w:webHidden/>
          </w:rPr>
          <w:instrText xml:space="preserve"> PAGEREF _Toc416192636 \h </w:instrText>
        </w:r>
        <w:r>
          <w:rPr>
            <w:noProof/>
          </w:rPr>
        </w:r>
        <w:r>
          <w:rPr>
            <w:noProof/>
            <w:webHidden/>
          </w:rPr>
          <w:fldChar w:fldCharType="separate"/>
        </w:r>
        <w:r>
          <w:rPr>
            <w:noProof/>
            <w:webHidden/>
          </w:rPr>
          <w:t>864</w:t>
        </w:r>
        <w:r>
          <w:rPr>
            <w:noProof/>
            <w:webHidden/>
          </w:rPr>
          <w:fldChar w:fldCharType="end"/>
        </w:r>
      </w:hyperlink>
    </w:p>
    <w:p w:rsidR="0014388E" w:rsidRDefault="0014388E">
      <w:pPr>
        <w:pStyle w:val="Kazalovsebine2"/>
        <w:rPr>
          <w:rFonts w:eastAsia="SimSun"/>
          <w:noProof/>
          <w:snapToGrid/>
          <w:szCs w:val="24"/>
          <w:lang w:val="sl-SI"/>
        </w:rPr>
      </w:pPr>
      <w:hyperlink w:anchor="_Toc416192637" w:history="1">
        <w:r w:rsidRPr="00CF0C30">
          <w:rPr>
            <w:rStyle w:val="Hiperpovezava"/>
            <w:noProof/>
            <w:lang w:eastAsia="en-GB" w:bidi="en-GB"/>
          </w:rPr>
          <w:t>12.5.</w:t>
        </w:r>
        <w:r w:rsidRPr="00CF0C30">
          <w:rPr>
            <w:rStyle w:val="Hiperpovezava"/>
            <w:noProof/>
          </w:rPr>
          <w:t xml:space="preserve"> M06 – Farm and business development (Article 19)</w:t>
        </w:r>
        <w:r>
          <w:rPr>
            <w:noProof/>
            <w:webHidden/>
          </w:rPr>
          <w:tab/>
        </w:r>
        <w:r>
          <w:rPr>
            <w:noProof/>
            <w:webHidden/>
          </w:rPr>
          <w:fldChar w:fldCharType="begin"/>
        </w:r>
        <w:r>
          <w:rPr>
            <w:noProof/>
            <w:webHidden/>
          </w:rPr>
          <w:instrText xml:space="preserve"> PAGEREF _Toc416192637 \h </w:instrText>
        </w:r>
        <w:r>
          <w:rPr>
            <w:noProof/>
          </w:rPr>
        </w:r>
        <w:r>
          <w:rPr>
            <w:noProof/>
            <w:webHidden/>
          </w:rPr>
          <w:fldChar w:fldCharType="separate"/>
        </w:r>
        <w:r>
          <w:rPr>
            <w:noProof/>
            <w:webHidden/>
          </w:rPr>
          <w:t>864</w:t>
        </w:r>
        <w:r>
          <w:rPr>
            <w:noProof/>
            <w:webHidden/>
          </w:rPr>
          <w:fldChar w:fldCharType="end"/>
        </w:r>
      </w:hyperlink>
    </w:p>
    <w:p w:rsidR="0014388E" w:rsidRDefault="0014388E">
      <w:pPr>
        <w:pStyle w:val="Kazalovsebine2"/>
        <w:rPr>
          <w:rFonts w:eastAsia="SimSun"/>
          <w:noProof/>
          <w:snapToGrid/>
          <w:szCs w:val="24"/>
          <w:lang w:val="sl-SI"/>
        </w:rPr>
      </w:pPr>
      <w:hyperlink w:anchor="_Toc416192638" w:history="1">
        <w:r w:rsidRPr="00CF0C30">
          <w:rPr>
            <w:rStyle w:val="Hiperpovezava"/>
            <w:noProof/>
            <w:lang w:eastAsia="en-GB" w:bidi="en-GB"/>
          </w:rPr>
          <w:t>12.6.</w:t>
        </w:r>
        <w:r w:rsidRPr="00CF0C30">
          <w:rPr>
            <w:rStyle w:val="Hiperpovezava"/>
            <w:noProof/>
          </w:rPr>
          <w:t xml:space="preserve"> M07 – Basic services and village renewal in rural areas (Article 20)</w:t>
        </w:r>
        <w:r>
          <w:rPr>
            <w:noProof/>
            <w:webHidden/>
          </w:rPr>
          <w:tab/>
        </w:r>
        <w:r>
          <w:rPr>
            <w:noProof/>
            <w:webHidden/>
          </w:rPr>
          <w:fldChar w:fldCharType="begin"/>
        </w:r>
        <w:r>
          <w:rPr>
            <w:noProof/>
            <w:webHidden/>
          </w:rPr>
          <w:instrText xml:space="preserve"> PAGEREF _Toc416192638 \h </w:instrText>
        </w:r>
        <w:r>
          <w:rPr>
            <w:noProof/>
          </w:rPr>
        </w:r>
        <w:r>
          <w:rPr>
            <w:noProof/>
            <w:webHidden/>
          </w:rPr>
          <w:fldChar w:fldCharType="separate"/>
        </w:r>
        <w:r>
          <w:rPr>
            <w:noProof/>
            <w:webHidden/>
          </w:rPr>
          <w:t>865</w:t>
        </w:r>
        <w:r>
          <w:rPr>
            <w:noProof/>
            <w:webHidden/>
          </w:rPr>
          <w:fldChar w:fldCharType="end"/>
        </w:r>
      </w:hyperlink>
    </w:p>
    <w:p w:rsidR="0014388E" w:rsidRDefault="0014388E">
      <w:pPr>
        <w:pStyle w:val="Kazalovsebine2"/>
        <w:rPr>
          <w:rFonts w:eastAsia="SimSun"/>
          <w:noProof/>
          <w:snapToGrid/>
          <w:szCs w:val="24"/>
          <w:lang w:val="sl-SI"/>
        </w:rPr>
      </w:pPr>
      <w:hyperlink w:anchor="_Toc416192639" w:history="1">
        <w:r w:rsidRPr="00CF0C30">
          <w:rPr>
            <w:rStyle w:val="Hiperpovezava"/>
            <w:noProof/>
            <w:lang w:eastAsia="en-GB" w:bidi="en-GB"/>
          </w:rPr>
          <w:t>12.7.</w:t>
        </w:r>
        <w:r w:rsidRPr="00CF0C30">
          <w:rPr>
            <w:rStyle w:val="Hiperpovezava"/>
            <w:noProof/>
          </w:rPr>
          <w:t xml:space="preserve"> M08 – Investments in forest area development and improvement of the viability of forests (Articles 21-26)</w:t>
        </w:r>
        <w:r>
          <w:rPr>
            <w:noProof/>
            <w:webHidden/>
          </w:rPr>
          <w:tab/>
        </w:r>
        <w:r>
          <w:rPr>
            <w:noProof/>
            <w:webHidden/>
          </w:rPr>
          <w:fldChar w:fldCharType="begin"/>
        </w:r>
        <w:r>
          <w:rPr>
            <w:noProof/>
            <w:webHidden/>
          </w:rPr>
          <w:instrText xml:space="preserve"> PAGEREF _Toc416192639 \h </w:instrText>
        </w:r>
        <w:r>
          <w:rPr>
            <w:noProof/>
          </w:rPr>
        </w:r>
        <w:r>
          <w:rPr>
            <w:noProof/>
            <w:webHidden/>
          </w:rPr>
          <w:fldChar w:fldCharType="separate"/>
        </w:r>
        <w:r>
          <w:rPr>
            <w:noProof/>
            <w:webHidden/>
          </w:rPr>
          <w:t>865</w:t>
        </w:r>
        <w:r>
          <w:rPr>
            <w:noProof/>
            <w:webHidden/>
          </w:rPr>
          <w:fldChar w:fldCharType="end"/>
        </w:r>
      </w:hyperlink>
    </w:p>
    <w:p w:rsidR="0014388E" w:rsidRDefault="0014388E">
      <w:pPr>
        <w:pStyle w:val="Kazalovsebine2"/>
        <w:rPr>
          <w:rFonts w:eastAsia="SimSun"/>
          <w:noProof/>
          <w:snapToGrid/>
          <w:szCs w:val="24"/>
          <w:lang w:val="sl-SI"/>
        </w:rPr>
      </w:pPr>
      <w:hyperlink w:anchor="_Toc416192640" w:history="1">
        <w:r w:rsidRPr="00CF0C30">
          <w:rPr>
            <w:rStyle w:val="Hiperpovezava"/>
            <w:noProof/>
            <w:lang w:eastAsia="en-GB" w:bidi="en-GB"/>
          </w:rPr>
          <w:t>12.8.</w:t>
        </w:r>
        <w:r w:rsidRPr="00CF0C30">
          <w:rPr>
            <w:rStyle w:val="Hiperpovezava"/>
            <w:noProof/>
          </w:rPr>
          <w:t xml:space="preserve"> M09 – Setting-up of producer groups and organisations (Article 27)</w:t>
        </w:r>
        <w:r>
          <w:rPr>
            <w:noProof/>
            <w:webHidden/>
          </w:rPr>
          <w:tab/>
        </w:r>
        <w:r>
          <w:rPr>
            <w:noProof/>
            <w:webHidden/>
          </w:rPr>
          <w:fldChar w:fldCharType="begin"/>
        </w:r>
        <w:r>
          <w:rPr>
            <w:noProof/>
            <w:webHidden/>
          </w:rPr>
          <w:instrText xml:space="preserve"> PAGEREF _Toc416192640 \h </w:instrText>
        </w:r>
        <w:r>
          <w:rPr>
            <w:noProof/>
          </w:rPr>
        </w:r>
        <w:r>
          <w:rPr>
            <w:noProof/>
            <w:webHidden/>
          </w:rPr>
          <w:fldChar w:fldCharType="separate"/>
        </w:r>
        <w:r>
          <w:rPr>
            <w:noProof/>
            <w:webHidden/>
          </w:rPr>
          <w:t>865</w:t>
        </w:r>
        <w:r>
          <w:rPr>
            <w:noProof/>
            <w:webHidden/>
          </w:rPr>
          <w:fldChar w:fldCharType="end"/>
        </w:r>
      </w:hyperlink>
    </w:p>
    <w:p w:rsidR="0014388E" w:rsidRDefault="0014388E">
      <w:pPr>
        <w:pStyle w:val="Kazalovsebine2"/>
        <w:rPr>
          <w:rFonts w:eastAsia="SimSun"/>
          <w:noProof/>
          <w:snapToGrid/>
          <w:szCs w:val="24"/>
          <w:lang w:val="sl-SI"/>
        </w:rPr>
      </w:pPr>
      <w:hyperlink w:anchor="_Toc416192641" w:history="1">
        <w:r w:rsidRPr="00CF0C30">
          <w:rPr>
            <w:rStyle w:val="Hiperpovezava"/>
            <w:noProof/>
            <w:lang w:eastAsia="en-GB" w:bidi="en-GB"/>
          </w:rPr>
          <w:t>12.9.</w:t>
        </w:r>
        <w:r w:rsidRPr="00CF0C30">
          <w:rPr>
            <w:rStyle w:val="Hiperpovezava"/>
            <w:noProof/>
          </w:rPr>
          <w:t xml:space="preserve"> M10 – Agri-environment-climate payments (Article 28)</w:t>
        </w:r>
        <w:r>
          <w:rPr>
            <w:noProof/>
            <w:webHidden/>
          </w:rPr>
          <w:tab/>
        </w:r>
        <w:r>
          <w:rPr>
            <w:noProof/>
            <w:webHidden/>
          </w:rPr>
          <w:fldChar w:fldCharType="begin"/>
        </w:r>
        <w:r>
          <w:rPr>
            <w:noProof/>
            <w:webHidden/>
          </w:rPr>
          <w:instrText xml:space="preserve"> PAGEREF _Toc416192641 \h </w:instrText>
        </w:r>
        <w:r>
          <w:rPr>
            <w:noProof/>
          </w:rPr>
        </w:r>
        <w:r>
          <w:rPr>
            <w:noProof/>
            <w:webHidden/>
          </w:rPr>
          <w:fldChar w:fldCharType="separate"/>
        </w:r>
        <w:r>
          <w:rPr>
            <w:noProof/>
            <w:webHidden/>
          </w:rPr>
          <w:t>865</w:t>
        </w:r>
        <w:r>
          <w:rPr>
            <w:noProof/>
            <w:webHidden/>
          </w:rPr>
          <w:fldChar w:fldCharType="end"/>
        </w:r>
      </w:hyperlink>
    </w:p>
    <w:p w:rsidR="0014388E" w:rsidRDefault="0014388E">
      <w:pPr>
        <w:pStyle w:val="Kazalovsebine2"/>
        <w:rPr>
          <w:rFonts w:eastAsia="SimSun"/>
          <w:noProof/>
          <w:snapToGrid/>
          <w:szCs w:val="24"/>
          <w:lang w:val="sl-SI"/>
        </w:rPr>
      </w:pPr>
      <w:hyperlink w:anchor="_Toc416192642" w:history="1">
        <w:r w:rsidRPr="00CF0C30">
          <w:rPr>
            <w:rStyle w:val="Hiperpovezava"/>
            <w:noProof/>
            <w:lang w:eastAsia="en-GB" w:bidi="en-GB"/>
          </w:rPr>
          <w:t>12.10.</w:t>
        </w:r>
        <w:r w:rsidRPr="00CF0C30">
          <w:rPr>
            <w:rStyle w:val="Hiperpovezava"/>
            <w:noProof/>
          </w:rPr>
          <w:t xml:space="preserve"> M11 – Organic farming (Article 29)</w:t>
        </w:r>
        <w:r>
          <w:rPr>
            <w:noProof/>
            <w:webHidden/>
          </w:rPr>
          <w:tab/>
        </w:r>
        <w:r>
          <w:rPr>
            <w:noProof/>
            <w:webHidden/>
          </w:rPr>
          <w:fldChar w:fldCharType="begin"/>
        </w:r>
        <w:r>
          <w:rPr>
            <w:noProof/>
            <w:webHidden/>
          </w:rPr>
          <w:instrText xml:space="preserve"> PAGEREF _Toc416192642 \h </w:instrText>
        </w:r>
        <w:r>
          <w:rPr>
            <w:noProof/>
          </w:rPr>
        </w:r>
        <w:r>
          <w:rPr>
            <w:noProof/>
            <w:webHidden/>
          </w:rPr>
          <w:fldChar w:fldCharType="separate"/>
        </w:r>
        <w:r>
          <w:rPr>
            <w:noProof/>
            <w:webHidden/>
          </w:rPr>
          <w:t>865</w:t>
        </w:r>
        <w:r>
          <w:rPr>
            <w:noProof/>
            <w:webHidden/>
          </w:rPr>
          <w:fldChar w:fldCharType="end"/>
        </w:r>
      </w:hyperlink>
    </w:p>
    <w:p w:rsidR="0014388E" w:rsidRDefault="0014388E">
      <w:pPr>
        <w:pStyle w:val="Kazalovsebine2"/>
        <w:rPr>
          <w:rFonts w:eastAsia="SimSun"/>
          <w:noProof/>
          <w:snapToGrid/>
          <w:szCs w:val="24"/>
          <w:lang w:val="sl-SI"/>
        </w:rPr>
      </w:pPr>
      <w:hyperlink w:anchor="_Toc416192643" w:history="1">
        <w:r w:rsidRPr="00CF0C30">
          <w:rPr>
            <w:rStyle w:val="Hiperpovezava"/>
            <w:noProof/>
            <w:lang w:eastAsia="en-GB" w:bidi="en-GB"/>
          </w:rPr>
          <w:t>12.11.</w:t>
        </w:r>
        <w:r w:rsidRPr="00CF0C30">
          <w:rPr>
            <w:rStyle w:val="Hiperpovezava"/>
            <w:noProof/>
          </w:rPr>
          <w:t xml:space="preserve"> M113 – Early retirement</w:t>
        </w:r>
        <w:r>
          <w:rPr>
            <w:noProof/>
            <w:webHidden/>
          </w:rPr>
          <w:tab/>
        </w:r>
        <w:r>
          <w:rPr>
            <w:noProof/>
            <w:webHidden/>
          </w:rPr>
          <w:fldChar w:fldCharType="begin"/>
        </w:r>
        <w:r>
          <w:rPr>
            <w:noProof/>
            <w:webHidden/>
          </w:rPr>
          <w:instrText xml:space="preserve"> PAGEREF _Toc416192643 \h </w:instrText>
        </w:r>
        <w:r>
          <w:rPr>
            <w:noProof/>
          </w:rPr>
        </w:r>
        <w:r>
          <w:rPr>
            <w:noProof/>
            <w:webHidden/>
          </w:rPr>
          <w:fldChar w:fldCharType="separate"/>
        </w:r>
        <w:r>
          <w:rPr>
            <w:noProof/>
            <w:webHidden/>
          </w:rPr>
          <w:t>865</w:t>
        </w:r>
        <w:r>
          <w:rPr>
            <w:noProof/>
            <w:webHidden/>
          </w:rPr>
          <w:fldChar w:fldCharType="end"/>
        </w:r>
      </w:hyperlink>
    </w:p>
    <w:p w:rsidR="0014388E" w:rsidRDefault="0014388E">
      <w:pPr>
        <w:pStyle w:val="Kazalovsebine2"/>
        <w:rPr>
          <w:rFonts w:eastAsia="SimSun"/>
          <w:noProof/>
          <w:snapToGrid/>
          <w:szCs w:val="24"/>
          <w:lang w:val="sl-SI"/>
        </w:rPr>
      </w:pPr>
      <w:hyperlink w:anchor="_Toc416192644" w:history="1">
        <w:r w:rsidRPr="00CF0C30">
          <w:rPr>
            <w:rStyle w:val="Hiperpovezava"/>
            <w:noProof/>
            <w:lang w:eastAsia="en-GB" w:bidi="en-GB"/>
          </w:rPr>
          <w:t>12.12.</w:t>
        </w:r>
        <w:r w:rsidRPr="00CF0C30">
          <w:rPr>
            <w:rStyle w:val="Hiperpovezava"/>
            <w:noProof/>
          </w:rPr>
          <w:t xml:space="preserve"> M13 – Payments to areas facing natural or other specific constraints (Article 31)</w:t>
        </w:r>
        <w:r>
          <w:rPr>
            <w:noProof/>
            <w:webHidden/>
          </w:rPr>
          <w:tab/>
        </w:r>
        <w:r>
          <w:rPr>
            <w:noProof/>
            <w:webHidden/>
          </w:rPr>
          <w:fldChar w:fldCharType="begin"/>
        </w:r>
        <w:r>
          <w:rPr>
            <w:noProof/>
            <w:webHidden/>
          </w:rPr>
          <w:instrText xml:space="preserve"> PAGEREF _Toc416192644 \h </w:instrText>
        </w:r>
        <w:r>
          <w:rPr>
            <w:noProof/>
          </w:rPr>
        </w:r>
        <w:r>
          <w:rPr>
            <w:noProof/>
            <w:webHidden/>
          </w:rPr>
          <w:fldChar w:fldCharType="separate"/>
        </w:r>
        <w:r>
          <w:rPr>
            <w:noProof/>
            <w:webHidden/>
          </w:rPr>
          <w:t>866</w:t>
        </w:r>
        <w:r>
          <w:rPr>
            <w:noProof/>
            <w:webHidden/>
          </w:rPr>
          <w:fldChar w:fldCharType="end"/>
        </w:r>
      </w:hyperlink>
    </w:p>
    <w:p w:rsidR="0014388E" w:rsidRDefault="0014388E">
      <w:pPr>
        <w:pStyle w:val="Kazalovsebine2"/>
        <w:rPr>
          <w:rFonts w:eastAsia="SimSun"/>
          <w:noProof/>
          <w:snapToGrid/>
          <w:szCs w:val="24"/>
          <w:lang w:val="sl-SI"/>
        </w:rPr>
      </w:pPr>
      <w:hyperlink w:anchor="_Toc416192645" w:history="1">
        <w:r w:rsidRPr="00CF0C30">
          <w:rPr>
            <w:rStyle w:val="Hiperpovezava"/>
            <w:noProof/>
            <w:lang w:eastAsia="en-GB" w:bidi="en-GB"/>
          </w:rPr>
          <w:t>12.13.</w:t>
        </w:r>
        <w:r w:rsidRPr="00CF0C30">
          <w:rPr>
            <w:rStyle w:val="Hiperpovezava"/>
            <w:noProof/>
          </w:rPr>
          <w:t xml:space="preserve"> M131 – Meeting the standards based on the Community law</w:t>
        </w:r>
        <w:r>
          <w:rPr>
            <w:noProof/>
            <w:webHidden/>
          </w:rPr>
          <w:tab/>
        </w:r>
        <w:r>
          <w:rPr>
            <w:noProof/>
            <w:webHidden/>
          </w:rPr>
          <w:fldChar w:fldCharType="begin"/>
        </w:r>
        <w:r>
          <w:rPr>
            <w:noProof/>
            <w:webHidden/>
          </w:rPr>
          <w:instrText xml:space="preserve"> PAGEREF _Toc416192645 \h </w:instrText>
        </w:r>
        <w:r>
          <w:rPr>
            <w:noProof/>
          </w:rPr>
        </w:r>
        <w:r>
          <w:rPr>
            <w:noProof/>
            <w:webHidden/>
          </w:rPr>
          <w:fldChar w:fldCharType="separate"/>
        </w:r>
        <w:r>
          <w:rPr>
            <w:noProof/>
            <w:webHidden/>
          </w:rPr>
          <w:t>866</w:t>
        </w:r>
        <w:r>
          <w:rPr>
            <w:noProof/>
            <w:webHidden/>
          </w:rPr>
          <w:fldChar w:fldCharType="end"/>
        </w:r>
      </w:hyperlink>
    </w:p>
    <w:p w:rsidR="0014388E" w:rsidRDefault="0014388E">
      <w:pPr>
        <w:pStyle w:val="Kazalovsebine2"/>
        <w:rPr>
          <w:rFonts w:eastAsia="SimSun"/>
          <w:noProof/>
          <w:snapToGrid/>
          <w:szCs w:val="24"/>
          <w:lang w:val="sl-SI"/>
        </w:rPr>
      </w:pPr>
      <w:hyperlink w:anchor="_Toc416192646" w:history="1">
        <w:r w:rsidRPr="00CF0C30">
          <w:rPr>
            <w:rStyle w:val="Hiperpovezava"/>
            <w:noProof/>
            <w:lang w:eastAsia="en-GB" w:bidi="en-GB"/>
          </w:rPr>
          <w:t>12.14.</w:t>
        </w:r>
        <w:r w:rsidRPr="00CF0C30">
          <w:rPr>
            <w:rStyle w:val="Hiperpovezava"/>
            <w:noProof/>
          </w:rPr>
          <w:t xml:space="preserve"> M14 – Animal welfare (Article 33)</w:t>
        </w:r>
        <w:r>
          <w:rPr>
            <w:noProof/>
            <w:webHidden/>
          </w:rPr>
          <w:tab/>
        </w:r>
        <w:r>
          <w:rPr>
            <w:noProof/>
            <w:webHidden/>
          </w:rPr>
          <w:fldChar w:fldCharType="begin"/>
        </w:r>
        <w:r>
          <w:rPr>
            <w:noProof/>
            <w:webHidden/>
          </w:rPr>
          <w:instrText xml:space="preserve"> PAGEREF _Toc416192646 \h </w:instrText>
        </w:r>
        <w:r>
          <w:rPr>
            <w:noProof/>
          </w:rPr>
        </w:r>
        <w:r>
          <w:rPr>
            <w:noProof/>
            <w:webHidden/>
          </w:rPr>
          <w:fldChar w:fldCharType="separate"/>
        </w:r>
        <w:r>
          <w:rPr>
            <w:noProof/>
            <w:webHidden/>
          </w:rPr>
          <w:t>866</w:t>
        </w:r>
        <w:r>
          <w:rPr>
            <w:noProof/>
            <w:webHidden/>
          </w:rPr>
          <w:fldChar w:fldCharType="end"/>
        </w:r>
      </w:hyperlink>
    </w:p>
    <w:p w:rsidR="0014388E" w:rsidRDefault="0014388E">
      <w:pPr>
        <w:pStyle w:val="Kazalovsebine2"/>
        <w:rPr>
          <w:rFonts w:eastAsia="SimSun"/>
          <w:noProof/>
          <w:snapToGrid/>
          <w:szCs w:val="24"/>
          <w:lang w:val="sl-SI"/>
        </w:rPr>
      </w:pPr>
      <w:hyperlink w:anchor="_Toc416192647" w:history="1">
        <w:r w:rsidRPr="00CF0C30">
          <w:rPr>
            <w:rStyle w:val="Hiperpovezava"/>
            <w:noProof/>
            <w:lang w:eastAsia="en-GB" w:bidi="en-GB"/>
          </w:rPr>
          <w:t>12.15.</w:t>
        </w:r>
        <w:r w:rsidRPr="00CF0C30">
          <w:rPr>
            <w:rStyle w:val="Hiperpovezava"/>
            <w:noProof/>
          </w:rPr>
          <w:t xml:space="preserve"> M16 – Cooperation (Article 35)</w:t>
        </w:r>
        <w:r>
          <w:rPr>
            <w:noProof/>
            <w:webHidden/>
          </w:rPr>
          <w:tab/>
        </w:r>
        <w:r>
          <w:rPr>
            <w:noProof/>
            <w:webHidden/>
          </w:rPr>
          <w:fldChar w:fldCharType="begin"/>
        </w:r>
        <w:r>
          <w:rPr>
            <w:noProof/>
            <w:webHidden/>
          </w:rPr>
          <w:instrText xml:space="preserve"> PAGEREF _Toc416192647 \h </w:instrText>
        </w:r>
        <w:r>
          <w:rPr>
            <w:noProof/>
          </w:rPr>
        </w:r>
        <w:r>
          <w:rPr>
            <w:noProof/>
            <w:webHidden/>
          </w:rPr>
          <w:fldChar w:fldCharType="separate"/>
        </w:r>
        <w:r>
          <w:rPr>
            <w:noProof/>
            <w:webHidden/>
          </w:rPr>
          <w:t>866</w:t>
        </w:r>
        <w:r>
          <w:rPr>
            <w:noProof/>
            <w:webHidden/>
          </w:rPr>
          <w:fldChar w:fldCharType="end"/>
        </w:r>
      </w:hyperlink>
    </w:p>
    <w:p w:rsidR="0014388E" w:rsidRDefault="0014388E">
      <w:pPr>
        <w:pStyle w:val="Kazalovsebine2"/>
        <w:rPr>
          <w:rFonts w:eastAsia="SimSun"/>
          <w:noProof/>
          <w:snapToGrid/>
          <w:szCs w:val="24"/>
          <w:lang w:val="sl-SI"/>
        </w:rPr>
      </w:pPr>
      <w:hyperlink w:anchor="_Toc416192648" w:history="1">
        <w:r w:rsidRPr="00CF0C30">
          <w:rPr>
            <w:rStyle w:val="Hiperpovezava"/>
            <w:noProof/>
            <w:lang w:eastAsia="en-GB" w:bidi="en-GB"/>
          </w:rPr>
          <w:t>12.16.</w:t>
        </w:r>
        <w:r w:rsidRPr="00CF0C30">
          <w:rPr>
            <w:rStyle w:val="Hiperpovezava"/>
            <w:noProof/>
          </w:rPr>
          <w:t xml:space="preserve"> M19 – Support for LEADER local development (CLLD – community-led local development) (Article 35 of Regulation (EU) No 1303/2013)</w:t>
        </w:r>
        <w:r>
          <w:rPr>
            <w:noProof/>
            <w:webHidden/>
          </w:rPr>
          <w:tab/>
        </w:r>
        <w:r>
          <w:rPr>
            <w:noProof/>
            <w:webHidden/>
          </w:rPr>
          <w:fldChar w:fldCharType="begin"/>
        </w:r>
        <w:r>
          <w:rPr>
            <w:noProof/>
            <w:webHidden/>
          </w:rPr>
          <w:instrText xml:space="preserve"> PAGEREF _Toc416192648 \h </w:instrText>
        </w:r>
        <w:r>
          <w:rPr>
            <w:noProof/>
          </w:rPr>
        </w:r>
        <w:r>
          <w:rPr>
            <w:noProof/>
            <w:webHidden/>
          </w:rPr>
          <w:fldChar w:fldCharType="separate"/>
        </w:r>
        <w:r>
          <w:rPr>
            <w:noProof/>
            <w:webHidden/>
          </w:rPr>
          <w:t>866</w:t>
        </w:r>
        <w:r>
          <w:rPr>
            <w:noProof/>
            <w:webHidden/>
          </w:rPr>
          <w:fldChar w:fldCharType="end"/>
        </w:r>
      </w:hyperlink>
    </w:p>
    <w:p w:rsidR="0014388E" w:rsidRDefault="0014388E">
      <w:pPr>
        <w:pStyle w:val="Kazalovsebine2"/>
        <w:rPr>
          <w:rFonts w:eastAsia="SimSun"/>
          <w:noProof/>
          <w:snapToGrid/>
          <w:szCs w:val="24"/>
          <w:lang w:val="sl-SI"/>
        </w:rPr>
      </w:pPr>
      <w:hyperlink w:anchor="_Toc416192649" w:history="1">
        <w:r w:rsidRPr="00CF0C30">
          <w:rPr>
            <w:rStyle w:val="Hiperpovezava"/>
            <w:noProof/>
            <w:lang w:eastAsia="en-GB" w:bidi="en-GB"/>
          </w:rPr>
          <w:t>12.17.</w:t>
        </w:r>
        <w:r w:rsidRPr="00CF0C30">
          <w:rPr>
            <w:rStyle w:val="Hiperpovezava"/>
            <w:noProof/>
          </w:rPr>
          <w:t xml:space="preserve"> M20 – Technical assistance on the initiative of Member States (Articles 51–54)</w:t>
        </w:r>
        <w:r>
          <w:rPr>
            <w:noProof/>
            <w:webHidden/>
          </w:rPr>
          <w:tab/>
        </w:r>
        <w:r>
          <w:rPr>
            <w:noProof/>
            <w:webHidden/>
          </w:rPr>
          <w:fldChar w:fldCharType="begin"/>
        </w:r>
        <w:r>
          <w:rPr>
            <w:noProof/>
            <w:webHidden/>
          </w:rPr>
          <w:instrText xml:space="preserve"> PAGEREF _Toc416192649 \h </w:instrText>
        </w:r>
        <w:r>
          <w:rPr>
            <w:noProof/>
          </w:rPr>
        </w:r>
        <w:r>
          <w:rPr>
            <w:noProof/>
            <w:webHidden/>
          </w:rPr>
          <w:fldChar w:fldCharType="separate"/>
        </w:r>
        <w:r>
          <w:rPr>
            <w:noProof/>
            <w:webHidden/>
          </w:rPr>
          <w:t>867</w:t>
        </w:r>
        <w:r>
          <w:rPr>
            <w:noProof/>
            <w:webHidden/>
          </w:rPr>
          <w:fldChar w:fldCharType="end"/>
        </w:r>
      </w:hyperlink>
    </w:p>
    <w:p w:rsidR="0014388E" w:rsidRDefault="0014388E">
      <w:pPr>
        <w:pStyle w:val="Kazalovsebine1"/>
        <w:rPr>
          <w:rFonts w:eastAsia="SimSun"/>
          <w:caps w:val="0"/>
          <w:noProof/>
          <w:snapToGrid/>
          <w:szCs w:val="24"/>
          <w:lang w:val="sl-SI"/>
        </w:rPr>
      </w:pPr>
      <w:hyperlink w:anchor="_Toc416192650" w:history="1">
        <w:r w:rsidRPr="00CF0C30">
          <w:rPr>
            <w:rStyle w:val="Hiperpovezava"/>
            <w:noProof/>
            <w:lang w:eastAsia="en-GB" w:bidi="en-GB"/>
          </w:rPr>
          <w:t>13.</w:t>
        </w:r>
        <w:r w:rsidRPr="00CF0C30">
          <w:rPr>
            <w:rStyle w:val="Hiperpovezava"/>
            <w:noProof/>
          </w:rPr>
          <w:t xml:space="preserve"> Elements required for the assessment of state aid</w:t>
        </w:r>
        <w:r>
          <w:rPr>
            <w:noProof/>
            <w:webHidden/>
          </w:rPr>
          <w:tab/>
        </w:r>
        <w:r>
          <w:rPr>
            <w:noProof/>
            <w:webHidden/>
          </w:rPr>
          <w:fldChar w:fldCharType="begin"/>
        </w:r>
        <w:r>
          <w:rPr>
            <w:noProof/>
            <w:webHidden/>
          </w:rPr>
          <w:instrText xml:space="preserve"> PAGEREF _Toc416192650 \h </w:instrText>
        </w:r>
        <w:r>
          <w:rPr>
            <w:noProof/>
          </w:rPr>
        </w:r>
        <w:r>
          <w:rPr>
            <w:noProof/>
            <w:webHidden/>
          </w:rPr>
          <w:fldChar w:fldCharType="separate"/>
        </w:r>
        <w:r>
          <w:rPr>
            <w:noProof/>
            <w:webHidden/>
          </w:rPr>
          <w:t>868</w:t>
        </w:r>
        <w:r>
          <w:rPr>
            <w:noProof/>
            <w:webHidden/>
          </w:rPr>
          <w:fldChar w:fldCharType="end"/>
        </w:r>
      </w:hyperlink>
    </w:p>
    <w:p w:rsidR="0014388E" w:rsidRDefault="0014388E">
      <w:pPr>
        <w:pStyle w:val="Kazalovsebine2"/>
        <w:rPr>
          <w:rFonts w:eastAsia="SimSun"/>
          <w:noProof/>
          <w:snapToGrid/>
          <w:szCs w:val="24"/>
          <w:lang w:val="sl-SI"/>
        </w:rPr>
      </w:pPr>
      <w:hyperlink w:anchor="_Toc416192651" w:history="1">
        <w:r w:rsidRPr="00CF0C30">
          <w:rPr>
            <w:rStyle w:val="Hiperpovezava"/>
            <w:noProof/>
          </w:rPr>
          <w:t>13.1. M01 – Knowledge transfer and information actions (Article 14)</w:t>
        </w:r>
        <w:r>
          <w:rPr>
            <w:noProof/>
            <w:webHidden/>
          </w:rPr>
          <w:tab/>
        </w:r>
        <w:r>
          <w:rPr>
            <w:noProof/>
            <w:webHidden/>
          </w:rPr>
          <w:fldChar w:fldCharType="begin"/>
        </w:r>
        <w:r>
          <w:rPr>
            <w:noProof/>
            <w:webHidden/>
          </w:rPr>
          <w:instrText xml:space="preserve"> PAGEREF _Toc416192651 \h </w:instrText>
        </w:r>
        <w:r>
          <w:rPr>
            <w:noProof/>
          </w:rPr>
        </w:r>
        <w:r>
          <w:rPr>
            <w:noProof/>
            <w:webHidden/>
          </w:rPr>
          <w:fldChar w:fldCharType="separate"/>
        </w:r>
        <w:r>
          <w:rPr>
            <w:noProof/>
            <w:webHidden/>
          </w:rPr>
          <w:t>870</w:t>
        </w:r>
        <w:r>
          <w:rPr>
            <w:noProof/>
            <w:webHidden/>
          </w:rPr>
          <w:fldChar w:fldCharType="end"/>
        </w:r>
      </w:hyperlink>
    </w:p>
    <w:p w:rsidR="0014388E" w:rsidRDefault="0014388E">
      <w:pPr>
        <w:pStyle w:val="Kazalovsebine2"/>
        <w:rPr>
          <w:rFonts w:eastAsia="SimSun"/>
          <w:noProof/>
          <w:snapToGrid/>
          <w:szCs w:val="24"/>
          <w:lang w:val="sl-SI"/>
        </w:rPr>
      </w:pPr>
      <w:hyperlink w:anchor="_Toc416192652" w:history="1">
        <w:r w:rsidRPr="00CF0C30">
          <w:rPr>
            <w:rStyle w:val="Hiperpovezava"/>
            <w:noProof/>
          </w:rPr>
          <w:t>13.2. M03 – Quality schemes for agricultural products and foodstuffs (Article 16)</w:t>
        </w:r>
        <w:r>
          <w:rPr>
            <w:noProof/>
            <w:webHidden/>
          </w:rPr>
          <w:tab/>
        </w:r>
        <w:r>
          <w:rPr>
            <w:noProof/>
            <w:webHidden/>
          </w:rPr>
          <w:fldChar w:fldCharType="begin"/>
        </w:r>
        <w:r>
          <w:rPr>
            <w:noProof/>
            <w:webHidden/>
          </w:rPr>
          <w:instrText xml:space="preserve"> PAGEREF _Toc416192652 \h </w:instrText>
        </w:r>
        <w:r>
          <w:rPr>
            <w:noProof/>
          </w:rPr>
        </w:r>
        <w:r>
          <w:rPr>
            <w:noProof/>
            <w:webHidden/>
          </w:rPr>
          <w:fldChar w:fldCharType="separate"/>
        </w:r>
        <w:r>
          <w:rPr>
            <w:noProof/>
            <w:webHidden/>
          </w:rPr>
          <w:t>870</w:t>
        </w:r>
        <w:r>
          <w:rPr>
            <w:noProof/>
            <w:webHidden/>
          </w:rPr>
          <w:fldChar w:fldCharType="end"/>
        </w:r>
      </w:hyperlink>
    </w:p>
    <w:p w:rsidR="0014388E" w:rsidRDefault="0014388E">
      <w:pPr>
        <w:pStyle w:val="Kazalovsebine2"/>
        <w:rPr>
          <w:rFonts w:eastAsia="SimSun"/>
          <w:noProof/>
          <w:snapToGrid/>
          <w:szCs w:val="24"/>
          <w:lang w:val="sl-SI"/>
        </w:rPr>
      </w:pPr>
      <w:hyperlink w:anchor="_Toc416192653" w:history="1">
        <w:r w:rsidRPr="00CF0C30">
          <w:rPr>
            <w:rStyle w:val="Hiperpovezava"/>
            <w:noProof/>
          </w:rPr>
          <w:t>13.3. M04 - Investments in physical assets (Article 17)</w:t>
        </w:r>
        <w:r>
          <w:rPr>
            <w:noProof/>
            <w:webHidden/>
          </w:rPr>
          <w:tab/>
        </w:r>
        <w:r>
          <w:rPr>
            <w:noProof/>
            <w:webHidden/>
          </w:rPr>
          <w:fldChar w:fldCharType="begin"/>
        </w:r>
        <w:r>
          <w:rPr>
            <w:noProof/>
            <w:webHidden/>
          </w:rPr>
          <w:instrText xml:space="preserve"> PAGEREF _Toc416192653 \h </w:instrText>
        </w:r>
        <w:r>
          <w:rPr>
            <w:noProof/>
          </w:rPr>
        </w:r>
        <w:r>
          <w:rPr>
            <w:noProof/>
            <w:webHidden/>
          </w:rPr>
          <w:fldChar w:fldCharType="separate"/>
        </w:r>
        <w:r>
          <w:rPr>
            <w:noProof/>
            <w:webHidden/>
          </w:rPr>
          <w:t>871</w:t>
        </w:r>
        <w:r>
          <w:rPr>
            <w:noProof/>
            <w:webHidden/>
          </w:rPr>
          <w:fldChar w:fldCharType="end"/>
        </w:r>
      </w:hyperlink>
    </w:p>
    <w:p w:rsidR="0014388E" w:rsidRDefault="0014388E">
      <w:pPr>
        <w:pStyle w:val="Kazalovsebine2"/>
        <w:rPr>
          <w:rFonts w:eastAsia="SimSun"/>
          <w:noProof/>
          <w:snapToGrid/>
          <w:szCs w:val="24"/>
          <w:lang w:val="sl-SI"/>
        </w:rPr>
      </w:pPr>
      <w:hyperlink w:anchor="_Toc416192654" w:history="1">
        <w:r w:rsidRPr="00CF0C30">
          <w:rPr>
            <w:rStyle w:val="Hiperpovezava"/>
            <w:noProof/>
          </w:rPr>
          <w:t>13.4. M04 - Investments in physical assets (Article 17)</w:t>
        </w:r>
        <w:r>
          <w:rPr>
            <w:noProof/>
            <w:webHidden/>
          </w:rPr>
          <w:tab/>
        </w:r>
        <w:r>
          <w:rPr>
            <w:noProof/>
            <w:webHidden/>
          </w:rPr>
          <w:fldChar w:fldCharType="begin"/>
        </w:r>
        <w:r>
          <w:rPr>
            <w:noProof/>
            <w:webHidden/>
          </w:rPr>
          <w:instrText xml:space="preserve"> PAGEREF _Toc416192654 \h </w:instrText>
        </w:r>
        <w:r>
          <w:rPr>
            <w:noProof/>
          </w:rPr>
        </w:r>
        <w:r>
          <w:rPr>
            <w:noProof/>
            <w:webHidden/>
          </w:rPr>
          <w:fldChar w:fldCharType="separate"/>
        </w:r>
        <w:r>
          <w:rPr>
            <w:noProof/>
            <w:webHidden/>
          </w:rPr>
          <w:t>872</w:t>
        </w:r>
        <w:r>
          <w:rPr>
            <w:noProof/>
            <w:webHidden/>
          </w:rPr>
          <w:fldChar w:fldCharType="end"/>
        </w:r>
      </w:hyperlink>
    </w:p>
    <w:p w:rsidR="0014388E" w:rsidRDefault="0014388E">
      <w:pPr>
        <w:pStyle w:val="Kazalovsebine2"/>
        <w:rPr>
          <w:rFonts w:eastAsia="SimSun"/>
          <w:noProof/>
          <w:snapToGrid/>
          <w:szCs w:val="24"/>
          <w:lang w:val="sl-SI"/>
        </w:rPr>
      </w:pPr>
      <w:hyperlink w:anchor="_Toc416192655" w:history="1">
        <w:r w:rsidRPr="00CF0C30">
          <w:rPr>
            <w:rStyle w:val="Hiperpovezava"/>
            <w:noProof/>
          </w:rPr>
          <w:t>13.5. M04 - Investments in physical assets (Article 17)</w:t>
        </w:r>
        <w:r>
          <w:rPr>
            <w:noProof/>
            <w:webHidden/>
          </w:rPr>
          <w:tab/>
        </w:r>
        <w:r>
          <w:rPr>
            <w:noProof/>
            <w:webHidden/>
          </w:rPr>
          <w:fldChar w:fldCharType="begin"/>
        </w:r>
        <w:r>
          <w:rPr>
            <w:noProof/>
            <w:webHidden/>
          </w:rPr>
          <w:instrText xml:space="preserve"> PAGEREF _Toc416192655 \h </w:instrText>
        </w:r>
        <w:r>
          <w:rPr>
            <w:noProof/>
          </w:rPr>
        </w:r>
        <w:r>
          <w:rPr>
            <w:noProof/>
            <w:webHidden/>
          </w:rPr>
          <w:fldChar w:fldCharType="separate"/>
        </w:r>
        <w:r>
          <w:rPr>
            <w:noProof/>
            <w:webHidden/>
          </w:rPr>
          <w:t>872</w:t>
        </w:r>
        <w:r>
          <w:rPr>
            <w:noProof/>
            <w:webHidden/>
          </w:rPr>
          <w:fldChar w:fldCharType="end"/>
        </w:r>
      </w:hyperlink>
    </w:p>
    <w:p w:rsidR="0014388E" w:rsidRDefault="0014388E">
      <w:pPr>
        <w:pStyle w:val="Kazalovsebine2"/>
        <w:rPr>
          <w:rFonts w:eastAsia="SimSun"/>
          <w:noProof/>
          <w:snapToGrid/>
          <w:szCs w:val="24"/>
          <w:lang w:val="sl-SI"/>
        </w:rPr>
      </w:pPr>
      <w:hyperlink w:anchor="_Toc416192656" w:history="1">
        <w:r w:rsidRPr="00CF0C30">
          <w:rPr>
            <w:rStyle w:val="Hiperpovezava"/>
            <w:noProof/>
          </w:rPr>
          <w:t>13.6. M06 – Farm and business development (Article 19)</w:t>
        </w:r>
        <w:r>
          <w:rPr>
            <w:noProof/>
            <w:webHidden/>
          </w:rPr>
          <w:tab/>
        </w:r>
        <w:r>
          <w:rPr>
            <w:noProof/>
            <w:webHidden/>
          </w:rPr>
          <w:fldChar w:fldCharType="begin"/>
        </w:r>
        <w:r>
          <w:rPr>
            <w:noProof/>
            <w:webHidden/>
          </w:rPr>
          <w:instrText xml:space="preserve"> PAGEREF _Toc416192656 \h </w:instrText>
        </w:r>
        <w:r>
          <w:rPr>
            <w:noProof/>
          </w:rPr>
        </w:r>
        <w:r>
          <w:rPr>
            <w:noProof/>
            <w:webHidden/>
          </w:rPr>
          <w:fldChar w:fldCharType="separate"/>
        </w:r>
        <w:r>
          <w:rPr>
            <w:noProof/>
            <w:webHidden/>
          </w:rPr>
          <w:t>873</w:t>
        </w:r>
        <w:r>
          <w:rPr>
            <w:noProof/>
            <w:webHidden/>
          </w:rPr>
          <w:fldChar w:fldCharType="end"/>
        </w:r>
      </w:hyperlink>
    </w:p>
    <w:p w:rsidR="0014388E" w:rsidRDefault="0014388E">
      <w:pPr>
        <w:pStyle w:val="Kazalovsebine2"/>
        <w:rPr>
          <w:rFonts w:eastAsia="SimSun"/>
          <w:noProof/>
          <w:snapToGrid/>
          <w:szCs w:val="24"/>
          <w:lang w:val="sl-SI"/>
        </w:rPr>
      </w:pPr>
      <w:hyperlink w:anchor="_Toc416192657" w:history="1">
        <w:r w:rsidRPr="00CF0C30">
          <w:rPr>
            <w:rStyle w:val="Hiperpovezava"/>
            <w:noProof/>
          </w:rPr>
          <w:t>13.7. M07 – Basic services and village renewal in rural areas (Article 20)</w:t>
        </w:r>
        <w:r>
          <w:rPr>
            <w:noProof/>
            <w:webHidden/>
          </w:rPr>
          <w:tab/>
        </w:r>
        <w:r>
          <w:rPr>
            <w:noProof/>
            <w:webHidden/>
          </w:rPr>
          <w:fldChar w:fldCharType="begin"/>
        </w:r>
        <w:r>
          <w:rPr>
            <w:noProof/>
            <w:webHidden/>
          </w:rPr>
          <w:instrText xml:space="preserve"> PAGEREF _Toc416192657 \h </w:instrText>
        </w:r>
        <w:r>
          <w:rPr>
            <w:noProof/>
          </w:rPr>
        </w:r>
        <w:r>
          <w:rPr>
            <w:noProof/>
            <w:webHidden/>
          </w:rPr>
          <w:fldChar w:fldCharType="separate"/>
        </w:r>
        <w:r>
          <w:rPr>
            <w:noProof/>
            <w:webHidden/>
          </w:rPr>
          <w:t>874</w:t>
        </w:r>
        <w:r>
          <w:rPr>
            <w:noProof/>
            <w:webHidden/>
          </w:rPr>
          <w:fldChar w:fldCharType="end"/>
        </w:r>
      </w:hyperlink>
    </w:p>
    <w:p w:rsidR="0014388E" w:rsidRDefault="0014388E">
      <w:pPr>
        <w:pStyle w:val="Kazalovsebine2"/>
        <w:rPr>
          <w:rFonts w:eastAsia="SimSun"/>
          <w:noProof/>
          <w:snapToGrid/>
          <w:szCs w:val="24"/>
          <w:lang w:val="sl-SI"/>
        </w:rPr>
      </w:pPr>
      <w:hyperlink w:anchor="_Toc416192658" w:history="1">
        <w:r w:rsidRPr="00CF0C30">
          <w:rPr>
            <w:rStyle w:val="Hiperpovezava"/>
            <w:noProof/>
          </w:rPr>
          <w:t>13.8. M08 – Investments in forest area development and improvement of the viability of forests (Articles 21-26)</w:t>
        </w:r>
        <w:r>
          <w:rPr>
            <w:noProof/>
            <w:webHidden/>
          </w:rPr>
          <w:tab/>
        </w:r>
        <w:r>
          <w:rPr>
            <w:noProof/>
            <w:webHidden/>
          </w:rPr>
          <w:fldChar w:fldCharType="begin"/>
        </w:r>
        <w:r>
          <w:rPr>
            <w:noProof/>
            <w:webHidden/>
          </w:rPr>
          <w:instrText xml:space="preserve"> PAGEREF _Toc416192658 \h </w:instrText>
        </w:r>
        <w:r>
          <w:rPr>
            <w:noProof/>
          </w:rPr>
        </w:r>
        <w:r>
          <w:rPr>
            <w:noProof/>
            <w:webHidden/>
          </w:rPr>
          <w:fldChar w:fldCharType="separate"/>
        </w:r>
        <w:r>
          <w:rPr>
            <w:noProof/>
            <w:webHidden/>
          </w:rPr>
          <w:t>874</w:t>
        </w:r>
        <w:r>
          <w:rPr>
            <w:noProof/>
            <w:webHidden/>
          </w:rPr>
          <w:fldChar w:fldCharType="end"/>
        </w:r>
      </w:hyperlink>
    </w:p>
    <w:p w:rsidR="0014388E" w:rsidRDefault="0014388E">
      <w:pPr>
        <w:pStyle w:val="Kazalovsebine2"/>
        <w:rPr>
          <w:rFonts w:eastAsia="SimSun"/>
          <w:noProof/>
          <w:snapToGrid/>
          <w:szCs w:val="24"/>
          <w:lang w:val="sl-SI"/>
        </w:rPr>
      </w:pPr>
      <w:hyperlink w:anchor="_Toc416192659" w:history="1">
        <w:r w:rsidRPr="00CF0C30">
          <w:rPr>
            <w:rStyle w:val="Hiperpovezava"/>
            <w:noProof/>
          </w:rPr>
          <w:t>13.9. M08 – Investments in forest area development and improvement of the viability of forests (Articles 21-26)</w:t>
        </w:r>
        <w:r>
          <w:rPr>
            <w:noProof/>
            <w:webHidden/>
          </w:rPr>
          <w:tab/>
        </w:r>
        <w:r>
          <w:rPr>
            <w:noProof/>
            <w:webHidden/>
          </w:rPr>
          <w:fldChar w:fldCharType="begin"/>
        </w:r>
        <w:r>
          <w:rPr>
            <w:noProof/>
            <w:webHidden/>
          </w:rPr>
          <w:instrText xml:space="preserve"> PAGEREF _Toc416192659 \h </w:instrText>
        </w:r>
        <w:r>
          <w:rPr>
            <w:noProof/>
          </w:rPr>
        </w:r>
        <w:r>
          <w:rPr>
            <w:noProof/>
            <w:webHidden/>
          </w:rPr>
          <w:fldChar w:fldCharType="separate"/>
        </w:r>
        <w:r>
          <w:rPr>
            <w:noProof/>
            <w:webHidden/>
          </w:rPr>
          <w:t>875</w:t>
        </w:r>
        <w:r>
          <w:rPr>
            <w:noProof/>
            <w:webHidden/>
          </w:rPr>
          <w:fldChar w:fldCharType="end"/>
        </w:r>
      </w:hyperlink>
    </w:p>
    <w:p w:rsidR="0014388E" w:rsidRDefault="0014388E">
      <w:pPr>
        <w:pStyle w:val="Kazalovsebine2"/>
        <w:rPr>
          <w:rFonts w:eastAsia="SimSun"/>
          <w:noProof/>
          <w:snapToGrid/>
          <w:szCs w:val="24"/>
          <w:lang w:val="sl-SI"/>
        </w:rPr>
      </w:pPr>
      <w:hyperlink w:anchor="_Toc416192660" w:history="1">
        <w:r w:rsidRPr="00CF0C30">
          <w:rPr>
            <w:rStyle w:val="Hiperpovezava"/>
            <w:noProof/>
          </w:rPr>
          <w:t>13.10. M09 – Setting-up of producer groups and organisations (Article 27)</w:t>
        </w:r>
        <w:r>
          <w:rPr>
            <w:noProof/>
            <w:webHidden/>
          </w:rPr>
          <w:tab/>
        </w:r>
        <w:r>
          <w:rPr>
            <w:noProof/>
            <w:webHidden/>
          </w:rPr>
          <w:fldChar w:fldCharType="begin"/>
        </w:r>
        <w:r>
          <w:rPr>
            <w:noProof/>
            <w:webHidden/>
          </w:rPr>
          <w:instrText xml:space="preserve"> PAGEREF _Toc416192660 \h </w:instrText>
        </w:r>
        <w:r>
          <w:rPr>
            <w:noProof/>
          </w:rPr>
        </w:r>
        <w:r>
          <w:rPr>
            <w:noProof/>
            <w:webHidden/>
          </w:rPr>
          <w:fldChar w:fldCharType="separate"/>
        </w:r>
        <w:r>
          <w:rPr>
            <w:noProof/>
            <w:webHidden/>
          </w:rPr>
          <w:t>875</w:t>
        </w:r>
        <w:r>
          <w:rPr>
            <w:noProof/>
            <w:webHidden/>
          </w:rPr>
          <w:fldChar w:fldCharType="end"/>
        </w:r>
      </w:hyperlink>
    </w:p>
    <w:p w:rsidR="0014388E" w:rsidRDefault="0014388E">
      <w:pPr>
        <w:pStyle w:val="Kazalovsebine2"/>
        <w:rPr>
          <w:rFonts w:eastAsia="SimSun"/>
          <w:noProof/>
          <w:snapToGrid/>
          <w:szCs w:val="24"/>
          <w:lang w:val="sl-SI"/>
        </w:rPr>
      </w:pPr>
      <w:hyperlink w:anchor="_Toc416192661" w:history="1">
        <w:r w:rsidRPr="00CF0C30">
          <w:rPr>
            <w:rStyle w:val="Hiperpovezava"/>
            <w:noProof/>
          </w:rPr>
          <w:t>13.11. M16 – Cooperation (Article 35)</w:t>
        </w:r>
        <w:r>
          <w:rPr>
            <w:noProof/>
            <w:webHidden/>
          </w:rPr>
          <w:tab/>
        </w:r>
        <w:r>
          <w:rPr>
            <w:noProof/>
            <w:webHidden/>
          </w:rPr>
          <w:fldChar w:fldCharType="begin"/>
        </w:r>
        <w:r>
          <w:rPr>
            <w:noProof/>
            <w:webHidden/>
          </w:rPr>
          <w:instrText xml:space="preserve"> PAGEREF _Toc416192661 \h </w:instrText>
        </w:r>
        <w:r>
          <w:rPr>
            <w:noProof/>
          </w:rPr>
        </w:r>
        <w:r>
          <w:rPr>
            <w:noProof/>
            <w:webHidden/>
          </w:rPr>
          <w:fldChar w:fldCharType="separate"/>
        </w:r>
        <w:r>
          <w:rPr>
            <w:noProof/>
            <w:webHidden/>
          </w:rPr>
          <w:t>876</w:t>
        </w:r>
        <w:r>
          <w:rPr>
            <w:noProof/>
            <w:webHidden/>
          </w:rPr>
          <w:fldChar w:fldCharType="end"/>
        </w:r>
      </w:hyperlink>
    </w:p>
    <w:p w:rsidR="0014388E" w:rsidRDefault="0014388E">
      <w:pPr>
        <w:pStyle w:val="Kazalovsebine2"/>
        <w:rPr>
          <w:rFonts w:eastAsia="SimSun"/>
          <w:noProof/>
          <w:snapToGrid/>
          <w:szCs w:val="24"/>
          <w:lang w:val="sl-SI"/>
        </w:rPr>
      </w:pPr>
      <w:hyperlink w:anchor="_Toc416192662" w:history="1">
        <w:r w:rsidRPr="00CF0C30">
          <w:rPr>
            <w:rStyle w:val="Hiperpovezava"/>
            <w:noProof/>
          </w:rPr>
          <w:t>13.12. M19 – Support for LEADER local development (CLLD – community-led local development) (Article 35 of Regulation (EU) No 1303/2013)</w:t>
        </w:r>
        <w:r>
          <w:rPr>
            <w:noProof/>
            <w:webHidden/>
          </w:rPr>
          <w:tab/>
        </w:r>
        <w:r>
          <w:rPr>
            <w:noProof/>
            <w:webHidden/>
          </w:rPr>
          <w:fldChar w:fldCharType="begin"/>
        </w:r>
        <w:r>
          <w:rPr>
            <w:noProof/>
            <w:webHidden/>
          </w:rPr>
          <w:instrText xml:space="preserve"> PAGEREF _Toc416192662 \h </w:instrText>
        </w:r>
        <w:r>
          <w:rPr>
            <w:noProof/>
          </w:rPr>
        </w:r>
        <w:r>
          <w:rPr>
            <w:noProof/>
            <w:webHidden/>
          </w:rPr>
          <w:fldChar w:fldCharType="separate"/>
        </w:r>
        <w:r>
          <w:rPr>
            <w:noProof/>
            <w:webHidden/>
          </w:rPr>
          <w:t>877</w:t>
        </w:r>
        <w:r>
          <w:rPr>
            <w:noProof/>
            <w:webHidden/>
          </w:rPr>
          <w:fldChar w:fldCharType="end"/>
        </w:r>
      </w:hyperlink>
    </w:p>
    <w:p w:rsidR="0014388E" w:rsidRDefault="0014388E">
      <w:pPr>
        <w:pStyle w:val="Kazalovsebine1"/>
        <w:rPr>
          <w:rFonts w:eastAsia="SimSun"/>
          <w:caps w:val="0"/>
          <w:noProof/>
          <w:snapToGrid/>
          <w:szCs w:val="24"/>
          <w:lang w:val="sl-SI"/>
        </w:rPr>
      </w:pPr>
      <w:hyperlink w:anchor="_Toc416192663" w:history="1">
        <w:r w:rsidRPr="00CF0C30">
          <w:rPr>
            <w:rStyle w:val="Hiperpovezava"/>
            <w:noProof/>
            <w:lang w:eastAsia="en-GB" w:bidi="en-GB"/>
          </w:rPr>
          <w:t>14.</w:t>
        </w:r>
        <w:r w:rsidRPr="00CF0C30">
          <w:rPr>
            <w:rStyle w:val="Hiperpovezava"/>
            <w:noProof/>
          </w:rPr>
          <w:t xml:space="preserve"> Information on supplementing</w:t>
        </w:r>
        <w:r>
          <w:rPr>
            <w:noProof/>
            <w:webHidden/>
          </w:rPr>
          <w:tab/>
        </w:r>
        <w:r>
          <w:rPr>
            <w:noProof/>
            <w:webHidden/>
          </w:rPr>
          <w:fldChar w:fldCharType="begin"/>
        </w:r>
        <w:r>
          <w:rPr>
            <w:noProof/>
            <w:webHidden/>
          </w:rPr>
          <w:instrText xml:space="preserve"> PAGEREF _Toc416192663 \h </w:instrText>
        </w:r>
        <w:r>
          <w:rPr>
            <w:noProof/>
          </w:rPr>
        </w:r>
        <w:r>
          <w:rPr>
            <w:noProof/>
            <w:webHidden/>
          </w:rPr>
          <w:fldChar w:fldCharType="separate"/>
        </w:r>
        <w:r>
          <w:rPr>
            <w:noProof/>
            <w:webHidden/>
          </w:rPr>
          <w:t>878</w:t>
        </w:r>
        <w:r>
          <w:rPr>
            <w:noProof/>
            <w:webHidden/>
          </w:rPr>
          <w:fldChar w:fldCharType="end"/>
        </w:r>
      </w:hyperlink>
    </w:p>
    <w:p w:rsidR="0014388E" w:rsidRDefault="0014388E">
      <w:pPr>
        <w:pStyle w:val="Kazalovsebine2"/>
        <w:rPr>
          <w:rFonts w:eastAsia="SimSun"/>
          <w:noProof/>
          <w:snapToGrid/>
          <w:szCs w:val="24"/>
          <w:lang w:val="sl-SI"/>
        </w:rPr>
      </w:pPr>
      <w:hyperlink w:anchor="_Toc416192664" w:history="1">
        <w:r w:rsidRPr="00CF0C30">
          <w:rPr>
            <w:rStyle w:val="Hiperpovezava"/>
            <w:noProof/>
          </w:rPr>
          <w:t>14.1. Description of the manner of supplementing and compliance with:</w:t>
        </w:r>
        <w:r>
          <w:rPr>
            <w:noProof/>
            <w:webHidden/>
          </w:rPr>
          <w:tab/>
        </w:r>
        <w:r>
          <w:rPr>
            <w:noProof/>
            <w:webHidden/>
          </w:rPr>
          <w:fldChar w:fldCharType="begin"/>
        </w:r>
        <w:r>
          <w:rPr>
            <w:noProof/>
            <w:webHidden/>
          </w:rPr>
          <w:instrText xml:space="preserve"> PAGEREF _Toc416192664 \h </w:instrText>
        </w:r>
        <w:r>
          <w:rPr>
            <w:noProof/>
          </w:rPr>
        </w:r>
        <w:r>
          <w:rPr>
            <w:noProof/>
            <w:webHidden/>
          </w:rPr>
          <w:fldChar w:fldCharType="separate"/>
        </w:r>
        <w:r>
          <w:rPr>
            <w:noProof/>
            <w:webHidden/>
          </w:rPr>
          <w:t>878</w:t>
        </w:r>
        <w:r>
          <w:rPr>
            <w:noProof/>
            <w:webHidden/>
          </w:rPr>
          <w:fldChar w:fldCharType="end"/>
        </w:r>
      </w:hyperlink>
    </w:p>
    <w:p w:rsidR="0014388E" w:rsidRDefault="0014388E">
      <w:pPr>
        <w:pStyle w:val="Kazalovsebine3"/>
        <w:rPr>
          <w:rFonts w:eastAsia="SimSun"/>
          <w:noProof/>
          <w:snapToGrid/>
          <w:szCs w:val="24"/>
          <w:lang w:val="sl-SI"/>
        </w:rPr>
      </w:pPr>
      <w:hyperlink w:anchor="_Toc416192665" w:history="1">
        <w:r w:rsidRPr="00CF0C30">
          <w:rPr>
            <w:rStyle w:val="Hiperpovezava"/>
            <w:noProof/>
          </w:rPr>
          <w:t>14.1.1. Other instruments of the European Union, in particular the European structural and investment funds and the First pillar, including the green component, and other instruments of the Common Agricultural Policy.</w:t>
        </w:r>
        <w:r>
          <w:rPr>
            <w:noProof/>
            <w:webHidden/>
          </w:rPr>
          <w:tab/>
        </w:r>
        <w:r>
          <w:rPr>
            <w:noProof/>
            <w:webHidden/>
          </w:rPr>
          <w:fldChar w:fldCharType="begin"/>
        </w:r>
        <w:r>
          <w:rPr>
            <w:noProof/>
            <w:webHidden/>
          </w:rPr>
          <w:instrText xml:space="preserve"> PAGEREF _Toc416192665 \h </w:instrText>
        </w:r>
        <w:r>
          <w:rPr>
            <w:noProof/>
          </w:rPr>
        </w:r>
        <w:r>
          <w:rPr>
            <w:noProof/>
            <w:webHidden/>
          </w:rPr>
          <w:fldChar w:fldCharType="separate"/>
        </w:r>
        <w:r>
          <w:rPr>
            <w:noProof/>
            <w:webHidden/>
          </w:rPr>
          <w:t>878</w:t>
        </w:r>
        <w:r>
          <w:rPr>
            <w:noProof/>
            <w:webHidden/>
          </w:rPr>
          <w:fldChar w:fldCharType="end"/>
        </w:r>
      </w:hyperlink>
    </w:p>
    <w:p w:rsidR="0014388E" w:rsidRDefault="0014388E">
      <w:pPr>
        <w:pStyle w:val="Kazalovsebine3"/>
        <w:rPr>
          <w:rFonts w:eastAsia="SimSun"/>
          <w:noProof/>
          <w:snapToGrid/>
          <w:szCs w:val="24"/>
          <w:lang w:val="sl-SI"/>
        </w:rPr>
      </w:pPr>
      <w:hyperlink w:anchor="_Toc416192666" w:history="1">
        <w:r w:rsidRPr="00CF0C30">
          <w:rPr>
            <w:rStyle w:val="Hiperpovezava"/>
            <w:noProof/>
            <w:lang w:eastAsia="en-GB" w:bidi="en-GB"/>
          </w:rPr>
          <w:t>14.1.2.</w:t>
        </w:r>
        <w:r w:rsidRPr="00CF0C30">
          <w:rPr>
            <w:rStyle w:val="Hiperpovezava"/>
            <w:noProof/>
          </w:rPr>
          <w:t xml:space="preserve"> When a Member State decides to submit the national programme and several regional programmes as per Article 6(2) of Regulation (EU) No 1305/2013, information on complementarity between them is needed</w:t>
        </w:r>
        <w:r>
          <w:rPr>
            <w:noProof/>
            <w:webHidden/>
          </w:rPr>
          <w:tab/>
        </w:r>
        <w:r>
          <w:rPr>
            <w:noProof/>
            <w:webHidden/>
          </w:rPr>
          <w:fldChar w:fldCharType="begin"/>
        </w:r>
        <w:r>
          <w:rPr>
            <w:noProof/>
            <w:webHidden/>
          </w:rPr>
          <w:instrText xml:space="preserve"> PAGEREF _Toc416192666 \h </w:instrText>
        </w:r>
        <w:r>
          <w:rPr>
            <w:noProof/>
          </w:rPr>
        </w:r>
        <w:r>
          <w:rPr>
            <w:noProof/>
            <w:webHidden/>
          </w:rPr>
          <w:fldChar w:fldCharType="separate"/>
        </w:r>
        <w:r>
          <w:rPr>
            <w:noProof/>
            <w:webHidden/>
          </w:rPr>
          <w:t>882</w:t>
        </w:r>
        <w:r>
          <w:rPr>
            <w:noProof/>
            <w:webHidden/>
          </w:rPr>
          <w:fldChar w:fldCharType="end"/>
        </w:r>
      </w:hyperlink>
    </w:p>
    <w:p w:rsidR="0014388E" w:rsidRDefault="0014388E">
      <w:pPr>
        <w:pStyle w:val="Kazalovsebine2"/>
        <w:rPr>
          <w:rFonts w:eastAsia="SimSun"/>
          <w:noProof/>
          <w:snapToGrid/>
          <w:szCs w:val="24"/>
          <w:lang w:val="sl-SI"/>
        </w:rPr>
      </w:pPr>
      <w:hyperlink w:anchor="_Toc416192667" w:history="1">
        <w:r w:rsidRPr="00CF0C30">
          <w:rPr>
            <w:rStyle w:val="Hiperpovezava"/>
            <w:noProof/>
            <w:lang w:eastAsia="en-GB" w:bidi="en-GB"/>
          </w:rPr>
          <w:t>14.2.</w:t>
        </w:r>
        <w:r w:rsidRPr="00CF0C30">
          <w:rPr>
            <w:rStyle w:val="Hiperpovezava"/>
            <w:noProof/>
          </w:rPr>
          <w:t xml:space="preserve"> If appropriate, information on supplementation with other instruments of the European Union, including the LIFE programme, will be provided.</w:t>
        </w:r>
        <w:r>
          <w:rPr>
            <w:noProof/>
            <w:webHidden/>
          </w:rPr>
          <w:tab/>
        </w:r>
        <w:r>
          <w:rPr>
            <w:noProof/>
            <w:webHidden/>
          </w:rPr>
          <w:fldChar w:fldCharType="begin"/>
        </w:r>
        <w:r>
          <w:rPr>
            <w:noProof/>
            <w:webHidden/>
          </w:rPr>
          <w:instrText xml:space="preserve"> PAGEREF _Toc416192667 \h </w:instrText>
        </w:r>
        <w:r>
          <w:rPr>
            <w:noProof/>
          </w:rPr>
        </w:r>
        <w:r>
          <w:rPr>
            <w:noProof/>
            <w:webHidden/>
          </w:rPr>
          <w:fldChar w:fldCharType="separate"/>
        </w:r>
        <w:r>
          <w:rPr>
            <w:noProof/>
            <w:webHidden/>
          </w:rPr>
          <w:t>882</w:t>
        </w:r>
        <w:r>
          <w:rPr>
            <w:noProof/>
            <w:webHidden/>
          </w:rPr>
          <w:fldChar w:fldCharType="end"/>
        </w:r>
      </w:hyperlink>
    </w:p>
    <w:p w:rsidR="0014388E" w:rsidRDefault="0014388E">
      <w:pPr>
        <w:pStyle w:val="Kazalovsebine1"/>
        <w:rPr>
          <w:rFonts w:eastAsia="SimSun"/>
          <w:caps w:val="0"/>
          <w:noProof/>
          <w:snapToGrid/>
          <w:szCs w:val="24"/>
          <w:lang w:val="sl-SI"/>
        </w:rPr>
      </w:pPr>
      <w:hyperlink w:anchor="_Toc416192668" w:history="1">
        <w:r w:rsidRPr="00CF0C30">
          <w:rPr>
            <w:rStyle w:val="Hiperpovezava"/>
            <w:noProof/>
            <w:lang w:eastAsia="en-GB" w:bidi="en-GB"/>
          </w:rPr>
          <w:t>15.</w:t>
        </w:r>
        <w:r w:rsidRPr="00CF0C30">
          <w:rPr>
            <w:rStyle w:val="Hiperpovezava"/>
            <w:noProof/>
          </w:rPr>
          <w:t xml:space="preserve"> Arrangements for programme implementation</w:t>
        </w:r>
        <w:r>
          <w:rPr>
            <w:noProof/>
            <w:webHidden/>
          </w:rPr>
          <w:tab/>
        </w:r>
        <w:r>
          <w:rPr>
            <w:noProof/>
            <w:webHidden/>
          </w:rPr>
          <w:fldChar w:fldCharType="begin"/>
        </w:r>
        <w:r>
          <w:rPr>
            <w:noProof/>
            <w:webHidden/>
          </w:rPr>
          <w:instrText xml:space="preserve"> PAGEREF _Toc416192668 \h </w:instrText>
        </w:r>
        <w:r>
          <w:rPr>
            <w:noProof/>
          </w:rPr>
        </w:r>
        <w:r>
          <w:rPr>
            <w:noProof/>
            <w:webHidden/>
          </w:rPr>
          <w:fldChar w:fldCharType="separate"/>
        </w:r>
        <w:r>
          <w:rPr>
            <w:noProof/>
            <w:webHidden/>
          </w:rPr>
          <w:t>884</w:t>
        </w:r>
        <w:r>
          <w:rPr>
            <w:noProof/>
            <w:webHidden/>
          </w:rPr>
          <w:fldChar w:fldCharType="end"/>
        </w:r>
      </w:hyperlink>
    </w:p>
    <w:p w:rsidR="0014388E" w:rsidRDefault="0014388E">
      <w:pPr>
        <w:pStyle w:val="Kazalovsebine2"/>
        <w:rPr>
          <w:rFonts w:eastAsia="SimSun"/>
          <w:noProof/>
          <w:snapToGrid/>
          <w:szCs w:val="24"/>
          <w:lang w:val="sl-SI"/>
        </w:rPr>
      </w:pPr>
      <w:hyperlink w:anchor="_Toc416192669" w:history="1">
        <w:r w:rsidRPr="00CF0C30">
          <w:rPr>
            <w:rStyle w:val="Hiperpovezava"/>
            <w:noProof/>
          </w:rPr>
          <w:t>15.1. Appointment of all authorities under Article 65(2) of Regulation (EU) No 1305/2013 by the Member State and a short description of managing and supervising structures of the programme under Article 53(3)(i) of Regulation (EU) No 1303/2013 and arrangement under Article 74(3) of Regulation (EU) No 1303/2013</w:t>
        </w:r>
        <w:r>
          <w:rPr>
            <w:noProof/>
            <w:webHidden/>
          </w:rPr>
          <w:tab/>
        </w:r>
        <w:r>
          <w:rPr>
            <w:noProof/>
            <w:webHidden/>
          </w:rPr>
          <w:fldChar w:fldCharType="begin"/>
        </w:r>
        <w:r>
          <w:rPr>
            <w:noProof/>
            <w:webHidden/>
          </w:rPr>
          <w:instrText xml:space="preserve"> PAGEREF _Toc416192669 \h </w:instrText>
        </w:r>
        <w:r>
          <w:rPr>
            <w:noProof/>
          </w:rPr>
        </w:r>
        <w:r>
          <w:rPr>
            <w:noProof/>
            <w:webHidden/>
          </w:rPr>
          <w:fldChar w:fldCharType="separate"/>
        </w:r>
        <w:r>
          <w:rPr>
            <w:noProof/>
            <w:webHidden/>
          </w:rPr>
          <w:t>884</w:t>
        </w:r>
        <w:r>
          <w:rPr>
            <w:noProof/>
            <w:webHidden/>
          </w:rPr>
          <w:fldChar w:fldCharType="end"/>
        </w:r>
      </w:hyperlink>
    </w:p>
    <w:p w:rsidR="0014388E" w:rsidRDefault="0014388E">
      <w:pPr>
        <w:pStyle w:val="Kazalovsebine3"/>
        <w:rPr>
          <w:rFonts w:eastAsia="SimSun"/>
          <w:noProof/>
          <w:snapToGrid/>
          <w:szCs w:val="24"/>
          <w:lang w:val="sl-SI"/>
        </w:rPr>
      </w:pPr>
      <w:hyperlink w:anchor="_Toc416192670" w:history="1">
        <w:r w:rsidRPr="00CF0C30">
          <w:rPr>
            <w:rStyle w:val="Hiperpovezava"/>
            <w:noProof/>
          </w:rPr>
          <w:t>15.1.1. Authorities</w:t>
        </w:r>
        <w:r>
          <w:rPr>
            <w:noProof/>
            <w:webHidden/>
          </w:rPr>
          <w:tab/>
        </w:r>
        <w:r>
          <w:rPr>
            <w:noProof/>
            <w:webHidden/>
          </w:rPr>
          <w:fldChar w:fldCharType="begin"/>
        </w:r>
        <w:r>
          <w:rPr>
            <w:noProof/>
            <w:webHidden/>
          </w:rPr>
          <w:instrText xml:space="preserve"> PAGEREF _Toc416192670 \h </w:instrText>
        </w:r>
        <w:r>
          <w:rPr>
            <w:noProof/>
          </w:rPr>
        </w:r>
        <w:r>
          <w:rPr>
            <w:noProof/>
            <w:webHidden/>
          </w:rPr>
          <w:fldChar w:fldCharType="separate"/>
        </w:r>
        <w:r>
          <w:rPr>
            <w:noProof/>
            <w:webHidden/>
          </w:rPr>
          <w:t>884</w:t>
        </w:r>
        <w:r>
          <w:rPr>
            <w:noProof/>
            <w:webHidden/>
          </w:rPr>
          <w:fldChar w:fldCharType="end"/>
        </w:r>
      </w:hyperlink>
    </w:p>
    <w:p w:rsidR="0014388E" w:rsidRDefault="0014388E">
      <w:pPr>
        <w:pStyle w:val="Kazalovsebine3"/>
        <w:rPr>
          <w:rFonts w:eastAsia="SimSun"/>
          <w:noProof/>
          <w:snapToGrid/>
          <w:szCs w:val="24"/>
          <w:lang w:val="sl-SI"/>
        </w:rPr>
      </w:pPr>
      <w:hyperlink w:anchor="_Toc416192671" w:history="1">
        <w:r w:rsidRPr="00CF0C30">
          <w:rPr>
            <w:rStyle w:val="Hiperpovezava"/>
            <w:noProof/>
            <w:lang w:eastAsia="en-GB" w:bidi="en-GB"/>
          </w:rPr>
          <w:t>15.1.2.</w:t>
        </w:r>
        <w:r w:rsidRPr="00CF0C30">
          <w:rPr>
            <w:rStyle w:val="Hiperpovezava"/>
            <w:noProof/>
          </w:rPr>
          <w:t xml:space="preserve"> Short description of management and supervision structures of the programme and arrangement for the independent examination of complaints</w:t>
        </w:r>
        <w:r>
          <w:rPr>
            <w:noProof/>
            <w:webHidden/>
          </w:rPr>
          <w:tab/>
        </w:r>
        <w:r>
          <w:rPr>
            <w:noProof/>
            <w:webHidden/>
          </w:rPr>
          <w:fldChar w:fldCharType="begin"/>
        </w:r>
        <w:r>
          <w:rPr>
            <w:noProof/>
            <w:webHidden/>
          </w:rPr>
          <w:instrText xml:space="preserve"> PAGEREF _Toc416192671 \h </w:instrText>
        </w:r>
        <w:r>
          <w:rPr>
            <w:noProof/>
          </w:rPr>
        </w:r>
        <w:r>
          <w:rPr>
            <w:noProof/>
            <w:webHidden/>
          </w:rPr>
          <w:fldChar w:fldCharType="separate"/>
        </w:r>
        <w:r>
          <w:rPr>
            <w:noProof/>
            <w:webHidden/>
          </w:rPr>
          <w:t>884</w:t>
        </w:r>
        <w:r>
          <w:rPr>
            <w:noProof/>
            <w:webHidden/>
          </w:rPr>
          <w:fldChar w:fldCharType="end"/>
        </w:r>
      </w:hyperlink>
    </w:p>
    <w:p w:rsidR="0014388E" w:rsidRDefault="0014388E">
      <w:pPr>
        <w:pStyle w:val="Kazalovsebine2"/>
        <w:rPr>
          <w:rFonts w:eastAsia="SimSun"/>
          <w:noProof/>
          <w:snapToGrid/>
          <w:szCs w:val="24"/>
          <w:lang w:val="sl-SI"/>
        </w:rPr>
      </w:pPr>
      <w:hyperlink w:anchor="_Toc416192672" w:history="1">
        <w:r w:rsidRPr="00CF0C30">
          <w:rPr>
            <w:rStyle w:val="Hiperpovezava"/>
            <w:noProof/>
            <w:lang w:eastAsia="en-GB" w:bidi="en-GB"/>
          </w:rPr>
          <w:t>15.2.</w:t>
        </w:r>
        <w:r w:rsidRPr="00CF0C30">
          <w:rPr>
            <w:rStyle w:val="Hiperpovezava"/>
            <w:noProof/>
          </w:rPr>
          <w:t xml:space="preserve"> Foreseen structure of the Monitoring Committee</w:t>
        </w:r>
        <w:r>
          <w:rPr>
            <w:noProof/>
            <w:webHidden/>
          </w:rPr>
          <w:tab/>
        </w:r>
        <w:r>
          <w:rPr>
            <w:noProof/>
            <w:webHidden/>
          </w:rPr>
          <w:fldChar w:fldCharType="begin"/>
        </w:r>
        <w:r>
          <w:rPr>
            <w:noProof/>
            <w:webHidden/>
          </w:rPr>
          <w:instrText xml:space="preserve"> PAGEREF _Toc416192672 \h </w:instrText>
        </w:r>
        <w:r>
          <w:rPr>
            <w:noProof/>
          </w:rPr>
        </w:r>
        <w:r>
          <w:rPr>
            <w:noProof/>
            <w:webHidden/>
          </w:rPr>
          <w:fldChar w:fldCharType="separate"/>
        </w:r>
        <w:r>
          <w:rPr>
            <w:noProof/>
            <w:webHidden/>
          </w:rPr>
          <w:t>887</w:t>
        </w:r>
        <w:r>
          <w:rPr>
            <w:noProof/>
            <w:webHidden/>
          </w:rPr>
          <w:fldChar w:fldCharType="end"/>
        </w:r>
      </w:hyperlink>
    </w:p>
    <w:p w:rsidR="0014388E" w:rsidRDefault="0014388E">
      <w:pPr>
        <w:pStyle w:val="Kazalovsebine2"/>
        <w:rPr>
          <w:rFonts w:eastAsia="SimSun"/>
          <w:noProof/>
          <w:snapToGrid/>
          <w:szCs w:val="24"/>
          <w:lang w:val="sl-SI"/>
        </w:rPr>
      </w:pPr>
      <w:hyperlink w:anchor="_Toc416192673" w:history="1">
        <w:r w:rsidRPr="00CF0C30">
          <w:rPr>
            <w:rStyle w:val="Hiperpovezava"/>
            <w:noProof/>
            <w:lang w:eastAsia="en-GB" w:bidi="en-GB"/>
          </w:rPr>
          <w:t>15.3.</w:t>
        </w:r>
        <w:r w:rsidRPr="00CF0C30">
          <w:rPr>
            <w:rStyle w:val="Hiperpovezava"/>
            <w:noProof/>
          </w:rPr>
          <w:t xml:space="preserve"> Provisions for providing publicity for the programme also through the national rural network in connection with the information and publicity strategy of Article 13 of the Implementing Regulation (EU) No 808/2014.</w:t>
        </w:r>
        <w:r>
          <w:rPr>
            <w:noProof/>
            <w:webHidden/>
          </w:rPr>
          <w:tab/>
        </w:r>
        <w:r>
          <w:rPr>
            <w:noProof/>
            <w:webHidden/>
          </w:rPr>
          <w:fldChar w:fldCharType="begin"/>
        </w:r>
        <w:r>
          <w:rPr>
            <w:noProof/>
            <w:webHidden/>
          </w:rPr>
          <w:instrText xml:space="preserve"> PAGEREF _Toc416192673 \h </w:instrText>
        </w:r>
        <w:r>
          <w:rPr>
            <w:noProof/>
          </w:rPr>
        </w:r>
        <w:r>
          <w:rPr>
            <w:noProof/>
            <w:webHidden/>
          </w:rPr>
          <w:fldChar w:fldCharType="separate"/>
        </w:r>
        <w:r>
          <w:rPr>
            <w:noProof/>
            <w:webHidden/>
          </w:rPr>
          <w:t>888</w:t>
        </w:r>
        <w:r>
          <w:rPr>
            <w:noProof/>
            <w:webHidden/>
          </w:rPr>
          <w:fldChar w:fldCharType="end"/>
        </w:r>
      </w:hyperlink>
    </w:p>
    <w:p w:rsidR="0014388E" w:rsidRDefault="0014388E">
      <w:pPr>
        <w:pStyle w:val="Kazalovsebine2"/>
        <w:rPr>
          <w:rFonts w:eastAsia="SimSun"/>
          <w:noProof/>
          <w:snapToGrid/>
          <w:szCs w:val="24"/>
          <w:lang w:val="sl-SI"/>
        </w:rPr>
      </w:pPr>
      <w:hyperlink w:anchor="_Toc416192674" w:history="1">
        <w:r w:rsidRPr="00CF0C30">
          <w:rPr>
            <w:rStyle w:val="Hiperpovezava"/>
            <w:noProof/>
            <w:lang w:eastAsia="en-GB" w:bidi="en-GB"/>
          </w:rPr>
          <w:t>15.4.</w:t>
        </w:r>
        <w:r w:rsidRPr="00CF0C30">
          <w:rPr>
            <w:rStyle w:val="Hiperpovezava"/>
            <w:noProof/>
          </w:rPr>
          <w:t xml:space="preserve"> Description of mechanisms that provide compliance related to the local development plans implemented within the scope of the LEADER approach, activities foreseen in the scope of cooperation measure under Article 35 of Regulation (EU) No 1305/2013, measure of basic services and rehabilitation of villages in rural areas under Article 20 of the foregoing regulation and other European structural and investment funds.</w:t>
        </w:r>
        <w:r>
          <w:rPr>
            <w:noProof/>
            <w:webHidden/>
          </w:rPr>
          <w:tab/>
        </w:r>
        <w:r>
          <w:rPr>
            <w:noProof/>
            <w:webHidden/>
          </w:rPr>
          <w:fldChar w:fldCharType="begin"/>
        </w:r>
        <w:r>
          <w:rPr>
            <w:noProof/>
            <w:webHidden/>
          </w:rPr>
          <w:instrText xml:space="preserve"> PAGEREF _Toc416192674 \h </w:instrText>
        </w:r>
        <w:r>
          <w:rPr>
            <w:noProof/>
          </w:rPr>
        </w:r>
        <w:r>
          <w:rPr>
            <w:noProof/>
            <w:webHidden/>
          </w:rPr>
          <w:fldChar w:fldCharType="separate"/>
        </w:r>
        <w:r>
          <w:rPr>
            <w:noProof/>
            <w:webHidden/>
          </w:rPr>
          <w:t>890</w:t>
        </w:r>
        <w:r>
          <w:rPr>
            <w:noProof/>
            <w:webHidden/>
          </w:rPr>
          <w:fldChar w:fldCharType="end"/>
        </w:r>
      </w:hyperlink>
    </w:p>
    <w:p w:rsidR="0014388E" w:rsidRDefault="0014388E">
      <w:pPr>
        <w:pStyle w:val="Kazalovsebine2"/>
        <w:rPr>
          <w:rFonts w:eastAsia="SimSun"/>
          <w:noProof/>
          <w:snapToGrid/>
          <w:szCs w:val="24"/>
          <w:lang w:val="sl-SI"/>
        </w:rPr>
      </w:pPr>
      <w:hyperlink w:anchor="_Toc416192675" w:history="1">
        <w:r w:rsidRPr="00CF0C30">
          <w:rPr>
            <w:rStyle w:val="Hiperpovezava"/>
            <w:noProof/>
            <w:lang w:eastAsia="en-GB" w:bidi="en-GB"/>
          </w:rPr>
          <w:t>15.5.</w:t>
        </w:r>
        <w:r w:rsidRPr="00CF0C30">
          <w:rPr>
            <w:rStyle w:val="Hiperpovezava"/>
            <w:noProof/>
          </w:rPr>
          <w:t xml:space="preserve"> Description of measures to reduce the administrative burden of beneficiaries under Article 27(1) of Regulation (EU) No 1303/2013</w:t>
        </w:r>
        <w:r>
          <w:rPr>
            <w:noProof/>
            <w:webHidden/>
          </w:rPr>
          <w:tab/>
        </w:r>
        <w:r>
          <w:rPr>
            <w:noProof/>
            <w:webHidden/>
          </w:rPr>
          <w:fldChar w:fldCharType="begin"/>
        </w:r>
        <w:r>
          <w:rPr>
            <w:noProof/>
            <w:webHidden/>
          </w:rPr>
          <w:instrText xml:space="preserve"> PAGEREF _Toc416192675 \h </w:instrText>
        </w:r>
        <w:r>
          <w:rPr>
            <w:noProof/>
          </w:rPr>
        </w:r>
        <w:r>
          <w:rPr>
            <w:noProof/>
            <w:webHidden/>
          </w:rPr>
          <w:fldChar w:fldCharType="separate"/>
        </w:r>
        <w:r>
          <w:rPr>
            <w:noProof/>
            <w:webHidden/>
          </w:rPr>
          <w:t>891</w:t>
        </w:r>
        <w:r>
          <w:rPr>
            <w:noProof/>
            <w:webHidden/>
          </w:rPr>
          <w:fldChar w:fldCharType="end"/>
        </w:r>
      </w:hyperlink>
    </w:p>
    <w:p w:rsidR="0014388E" w:rsidRDefault="0014388E">
      <w:pPr>
        <w:pStyle w:val="Kazalovsebine2"/>
        <w:rPr>
          <w:rFonts w:eastAsia="SimSun"/>
          <w:noProof/>
          <w:snapToGrid/>
          <w:szCs w:val="24"/>
          <w:lang w:val="sl-SI"/>
        </w:rPr>
      </w:pPr>
      <w:hyperlink w:anchor="_Toc416192676" w:history="1">
        <w:r w:rsidRPr="00CF0C30">
          <w:rPr>
            <w:rStyle w:val="Hiperpovezava"/>
            <w:noProof/>
            <w:lang w:eastAsia="en-GB" w:bidi="en-GB"/>
          </w:rPr>
          <w:t>15.6.</w:t>
        </w:r>
        <w:r w:rsidRPr="00CF0C30">
          <w:rPr>
            <w:rStyle w:val="Hiperpovezava"/>
            <w:noProof/>
          </w:rPr>
          <w:t xml:space="preserve"> Description of the application of technical assistance including the activities relating to the preparation, management, monitoring, evaluation, informing and control of the programme and its implementation, and the activities relating to the previous or next programme periods under Article 59(1) of the Regulation (EU) No 10303/2013.</w:t>
        </w:r>
        <w:r>
          <w:rPr>
            <w:noProof/>
            <w:webHidden/>
          </w:rPr>
          <w:tab/>
        </w:r>
        <w:r>
          <w:rPr>
            <w:noProof/>
            <w:webHidden/>
          </w:rPr>
          <w:fldChar w:fldCharType="begin"/>
        </w:r>
        <w:r>
          <w:rPr>
            <w:noProof/>
            <w:webHidden/>
          </w:rPr>
          <w:instrText xml:space="preserve"> PAGEREF _Toc416192676 \h </w:instrText>
        </w:r>
        <w:r>
          <w:rPr>
            <w:noProof/>
          </w:rPr>
        </w:r>
        <w:r>
          <w:rPr>
            <w:noProof/>
            <w:webHidden/>
          </w:rPr>
          <w:fldChar w:fldCharType="separate"/>
        </w:r>
        <w:r>
          <w:rPr>
            <w:noProof/>
            <w:webHidden/>
          </w:rPr>
          <w:t>893</w:t>
        </w:r>
        <w:r>
          <w:rPr>
            <w:noProof/>
            <w:webHidden/>
          </w:rPr>
          <w:fldChar w:fldCharType="end"/>
        </w:r>
      </w:hyperlink>
    </w:p>
    <w:p w:rsidR="0014388E" w:rsidRDefault="0014388E">
      <w:pPr>
        <w:pStyle w:val="Kazalovsebine1"/>
        <w:rPr>
          <w:rFonts w:eastAsia="SimSun"/>
          <w:caps w:val="0"/>
          <w:noProof/>
          <w:snapToGrid/>
          <w:szCs w:val="24"/>
          <w:lang w:val="sl-SI"/>
        </w:rPr>
      </w:pPr>
      <w:hyperlink w:anchor="_Toc416192677" w:history="1">
        <w:r w:rsidRPr="00CF0C30">
          <w:rPr>
            <w:rStyle w:val="Hiperpovezava"/>
            <w:noProof/>
            <w:lang w:eastAsia="en-GB" w:bidi="en-GB"/>
          </w:rPr>
          <w:t>16.</w:t>
        </w:r>
        <w:r w:rsidRPr="00CF0C30">
          <w:rPr>
            <w:rStyle w:val="Hiperpovezava"/>
            <w:noProof/>
          </w:rPr>
          <w:t xml:space="preserve"> LIST OF MEASURES FOR INVOLVING RELEVANT PARTNERS</w:t>
        </w:r>
        <w:r>
          <w:rPr>
            <w:noProof/>
            <w:webHidden/>
          </w:rPr>
          <w:tab/>
        </w:r>
        <w:r>
          <w:rPr>
            <w:noProof/>
            <w:webHidden/>
          </w:rPr>
          <w:fldChar w:fldCharType="begin"/>
        </w:r>
        <w:r>
          <w:rPr>
            <w:noProof/>
            <w:webHidden/>
          </w:rPr>
          <w:instrText xml:space="preserve"> PAGEREF _Toc416192677 \h </w:instrText>
        </w:r>
        <w:r>
          <w:rPr>
            <w:noProof/>
          </w:rPr>
        </w:r>
        <w:r>
          <w:rPr>
            <w:noProof/>
            <w:webHidden/>
          </w:rPr>
          <w:fldChar w:fldCharType="separate"/>
        </w:r>
        <w:r>
          <w:rPr>
            <w:noProof/>
            <w:webHidden/>
          </w:rPr>
          <w:t>896</w:t>
        </w:r>
        <w:r>
          <w:rPr>
            <w:noProof/>
            <w:webHidden/>
          </w:rPr>
          <w:fldChar w:fldCharType="end"/>
        </w:r>
      </w:hyperlink>
    </w:p>
    <w:p w:rsidR="0014388E" w:rsidRDefault="0014388E" w:rsidP="0014388E">
      <w:pPr>
        <w:pStyle w:val="Kazalovsebine2"/>
        <w:tabs>
          <w:tab w:val="left" w:pos="851"/>
        </w:tabs>
        <w:rPr>
          <w:rFonts w:eastAsia="SimSun"/>
          <w:noProof/>
          <w:snapToGrid/>
          <w:szCs w:val="24"/>
          <w:lang w:val="sl-SI"/>
        </w:rPr>
      </w:pPr>
      <w:hyperlink w:anchor="_Toc416192678" w:history="1">
        <w:r w:rsidRPr="00CF0C30">
          <w:rPr>
            <w:rStyle w:val="Hiperpovezava"/>
            <w:noProof/>
          </w:rPr>
          <w:t>16.1. a)</w:t>
        </w:r>
        <w:r>
          <w:rPr>
            <w:rFonts w:eastAsia="SimSun"/>
            <w:noProof/>
            <w:snapToGrid/>
            <w:szCs w:val="24"/>
            <w:lang w:val="sl-SI"/>
          </w:rPr>
          <w:tab/>
        </w:r>
        <w:r w:rsidRPr="00CF0C30">
          <w:rPr>
            <w:rStyle w:val="Hiperpovezava"/>
            <w:noProof/>
          </w:rPr>
          <w:t>Discussion on the orientation of the common agricultural policy in the 2014-2020 period</w:t>
        </w:r>
        <w:r>
          <w:rPr>
            <w:noProof/>
            <w:webHidden/>
          </w:rPr>
          <w:tab/>
        </w:r>
        <w:r>
          <w:rPr>
            <w:noProof/>
            <w:webHidden/>
          </w:rPr>
          <w:fldChar w:fldCharType="begin"/>
        </w:r>
        <w:r>
          <w:rPr>
            <w:noProof/>
            <w:webHidden/>
          </w:rPr>
          <w:instrText xml:space="preserve"> PAGEREF _Toc416192678 \h </w:instrText>
        </w:r>
        <w:r>
          <w:rPr>
            <w:noProof/>
          </w:rPr>
        </w:r>
        <w:r>
          <w:rPr>
            <w:noProof/>
            <w:webHidden/>
          </w:rPr>
          <w:fldChar w:fldCharType="separate"/>
        </w:r>
        <w:r>
          <w:rPr>
            <w:noProof/>
            <w:webHidden/>
          </w:rPr>
          <w:t>896</w:t>
        </w:r>
        <w:r>
          <w:rPr>
            <w:noProof/>
            <w:webHidden/>
          </w:rPr>
          <w:fldChar w:fldCharType="end"/>
        </w:r>
      </w:hyperlink>
    </w:p>
    <w:p w:rsidR="0014388E" w:rsidRDefault="0014388E">
      <w:pPr>
        <w:pStyle w:val="Kazalovsebine3"/>
        <w:rPr>
          <w:rFonts w:eastAsia="SimSun"/>
          <w:noProof/>
          <w:snapToGrid/>
          <w:szCs w:val="24"/>
          <w:lang w:val="sl-SI"/>
        </w:rPr>
      </w:pPr>
      <w:hyperlink w:anchor="_Toc416192679" w:history="1">
        <w:r w:rsidRPr="00CF0C30">
          <w:rPr>
            <w:rStyle w:val="Hiperpovezava"/>
            <w:noProof/>
          </w:rPr>
          <w:t>16.1.1. Subject of the relevant consultation</w:t>
        </w:r>
        <w:r>
          <w:rPr>
            <w:noProof/>
            <w:webHidden/>
          </w:rPr>
          <w:tab/>
        </w:r>
        <w:r>
          <w:rPr>
            <w:noProof/>
            <w:webHidden/>
          </w:rPr>
          <w:fldChar w:fldCharType="begin"/>
        </w:r>
        <w:r>
          <w:rPr>
            <w:noProof/>
            <w:webHidden/>
          </w:rPr>
          <w:instrText xml:space="preserve"> PAGEREF _Toc416192679 \h </w:instrText>
        </w:r>
        <w:r>
          <w:rPr>
            <w:noProof/>
          </w:rPr>
        </w:r>
        <w:r>
          <w:rPr>
            <w:noProof/>
            <w:webHidden/>
          </w:rPr>
          <w:fldChar w:fldCharType="separate"/>
        </w:r>
        <w:r>
          <w:rPr>
            <w:noProof/>
            <w:webHidden/>
          </w:rPr>
          <w:t>896</w:t>
        </w:r>
        <w:r>
          <w:rPr>
            <w:noProof/>
            <w:webHidden/>
          </w:rPr>
          <w:fldChar w:fldCharType="end"/>
        </w:r>
      </w:hyperlink>
    </w:p>
    <w:p w:rsidR="0014388E" w:rsidRDefault="0014388E">
      <w:pPr>
        <w:pStyle w:val="Kazalovsebine3"/>
        <w:rPr>
          <w:rFonts w:eastAsia="SimSun"/>
          <w:noProof/>
          <w:snapToGrid/>
          <w:szCs w:val="24"/>
          <w:lang w:val="sl-SI"/>
        </w:rPr>
      </w:pPr>
      <w:hyperlink w:anchor="_Toc416192680" w:history="1">
        <w:r w:rsidRPr="00CF0C30">
          <w:rPr>
            <w:rStyle w:val="Hiperpovezava"/>
            <w:noProof/>
            <w:lang w:eastAsia="en-GB" w:bidi="en-GB"/>
          </w:rPr>
          <w:t>16.1.2.</w:t>
        </w:r>
        <w:r w:rsidRPr="00CF0C30">
          <w:rPr>
            <w:rStyle w:val="Hiperpovezava"/>
            <w:noProof/>
          </w:rPr>
          <w:t xml:space="preserve"> Summary of results</w:t>
        </w:r>
        <w:r>
          <w:rPr>
            <w:noProof/>
            <w:webHidden/>
          </w:rPr>
          <w:tab/>
        </w:r>
        <w:r>
          <w:rPr>
            <w:noProof/>
            <w:webHidden/>
          </w:rPr>
          <w:fldChar w:fldCharType="begin"/>
        </w:r>
        <w:r>
          <w:rPr>
            <w:noProof/>
            <w:webHidden/>
          </w:rPr>
          <w:instrText xml:space="preserve"> PAGEREF _Toc416192680 \h </w:instrText>
        </w:r>
        <w:r>
          <w:rPr>
            <w:noProof/>
          </w:rPr>
        </w:r>
        <w:r>
          <w:rPr>
            <w:noProof/>
            <w:webHidden/>
          </w:rPr>
          <w:fldChar w:fldCharType="separate"/>
        </w:r>
        <w:r>
          <w:rPr>
            <w:noProof/>
            <w:webHidden/>
          </w:rPr>
          <w:t>896</w:t>
        </w:r>
        <w:r>
          <w:rPr>
            <w:noProof/>
            <w:webHidden/>
          </w:rPr>
          <w:fldChar w:fldCharType="end"/>
        </w:r>
      </w:hyperlink>
    </w:p>
    <w:p w:rsidR="0014388E" w:rsidRDefault="0014388E" w:rsidP="0014388E">
      <w:pPr>
        <w:pStyle w:val="Kazalovsebine2"/>
        <w:tabs>
          <w:tab w:val="left" w:pos="851"/>
        </w:tabs>
        <w:rPr>
          <w:rFonts w:eastAsia="SimSun"/>
          <w:noProof/>
          <w:snapToGrid/>
          <w:szCs w:val="24"/>
          <w:lang w:val="sl-SI"/>
        </w:rPr>
      </w:pPr>
      <w:hyperlink w:anchor="_Toc416192681" w:history="1">
        <w:r w:rsidRPr="00CF0C30">
          <w:rPr>
            <w:rStyle w:val="Hiperpovezava"/>
            <w:noProof/>
            <w:lang w:eastAsia="en-GB" w:bidi="en-GB"/>
          </w:rPr>
          <w:t>16.2.</w:t>
        </w:r>
        <w:r w:rsidRPr="00CF0C30">
          <w:rPr>
            <w:rStyle w:val="Hiperpovezava"/>
            <w:noProof/>
          </w:rPr>
          <w:t xml:space="preserve"> b)</w:t>
        </w:r>
        <w:r>
          <w:rPr>
            <w:rFonts w:eastAsia="SimSun"/>
            <w:noProof/>
            <w:snapToGrid/>
            <w:szCs w:val="24"/>
            <w:lang w:val="sl-SI"/>
          </w:rPr>
          <w:tab/>
        </w:r>
        <w:r w:rsidRPr="00CF0C30">
          <w:rPr>
            <w:rStyle w:val="Hiperpovezava"/>
            <w:noProof/>
          </w:rPr>
          <w:t>Public discussion on the RDP 2014–2020 draft</w:t>
        </w:r>
        <w:r>
          <w:rPr>
            <w:noProof/>
            <w:webHidden/>
          </w:rPr>
          <w:tab/>
        </w:r>
        <w:r>
          <w:rPr>
            <w:noProof/>
            <w:webHidden/>
          </w:rPr>
          <w:fldChar w:fldCharType="begin"/>
        </w:r>
        <w:r>
          <w:rPr>
            <w:noProof/>
            <w:webHidden/>
          </w:rPr>
          <w:instrText xml:space="preserve"> PAGEREF _Toc416192681 \h </w:instrText>
        </w:r>
        <w:r>
          <w:rPr>
            <w:noProof/>
          </w:rPr>
        </w:r>
        <w:r>
          <w:rPr>
            <w:noProof/>
            <w:webHidden/>
          </w:rPr>
          <w:fldChar w:fldCharType="separate"/>
        </w:r>
        <w:r>
          <w:rPr>
            <w:noProof/>
            <w:webHidden/>
          </w:rPr>
          <w:t>897</w:t>
        </w:r>
        <w:r>
          <w:rPr>
            <w:noProof/>
            <w:webHidden/>
          </w:rPr>
          <w:fldChar w:fldCharType="end"/>
        </w:r>
      </w:hyperlink>
    </w:p>
    <w:p w:rsidR="0014388E" w:rsidRDefault="0014388E">
      <w:pPr>
        <w:pStyle w:val="Kazalovsebine3"/>
        <w:rPr>
          <w:rFonts w:eastAsia="SimSun"/>
          <w:noProof/>
          <w:snapToGrid/>
          <w:szCs w:val="24"/>
          <w:lang w:val="sl-SI"/>
        </w:rPr>
      </w:pPr>
      <w:hyperlink w:anchor="_Toc416192682" w:history="1">
        <w:r w:rsidRPr="00CF0C30">
          <w:rPr>
            <w:rStyle w:val="Hiperpovezava"/>
            <w:noProof/>
          </w:rPr>
          <w:t>16.2.1. Subject of the relevant consultation</w:t>
        </w:r>
        <w:r>
          <w:rPr>
            <w:noProof/>
            <w:webHidden/>
          </w:rPr>
          <w:tab/>
        </w:r>
        <w:r>
          <w:rPr>
            <w:noProof/>
            <w:webHidden/>
          </w:rPr>
          <w:fldChar w:fldCharType="begin"/>
        </w:r>
        <w:r>
          <w:rPr>
            <w:noProof/>
            <w:webHidden/>
          </w:rPr>
          <w:instrText xml:space="preserve"> PAGEREF _Toc416192682 \h </w:instrText>
        </w:r>
        <w:r>
          <w:rPr>
            <w:noProof/>
          </w:rPr>
        </w:r>
        <w:r>
          <w:rPr>
            <w:noProof/>
            <w:webHidden/>
          </w:rPr>
          <w:fldChar w:fldCharType="separate"/>
        </w:r>
        <w:r>
          <w:rPr>
            <w:noProof/>
            <w:webHidden/>
          </w:rPr>
          <w:t>897</w:t>
        </w:r>
        <w:r>
          <w:rPr>
            <w:noProof/>
            <w:webHidden/>
          </w:rPr>
          <w:fldChar w:fldCharType="end"/>
        </w:r>
      </w:hyperlink>
    </w:p>
    <w:p w:rsidR="0014388E" w:rsidRDefault="0014388E">
      <w:pPr>
        <w:pStyle w:val="Kazalovsebine3"/>
        <w:rPr>
          <w:rFonts w:eastAsia="SimSun"/>
          <w:noProof/>
          <w:snapToGrid/>
          <w:szCs w:val="24"/>
          <w:lang w:val="sl-SI"/>
        </w:rPr>
      </w:pPr>
      <w:hyperlink w:anchor="_Toc416192683" w:history="1">
        <w:r w:rsidRPr="00CF0C30">
          <w:rPr>
            <w:rStyle w:val="Hiperpovezava"/>
            <w:noProof/>
            <w:lang w:eastAsia="en-GB" w:bidi="en-GB"/>
          </w:rPr>
          <w:t>16.2.2.</w:t>
        </w:r>
        <w:r w:rsidRPr="00CF0C30">
          <w:rPr>
            <w:rStyle w:val="Hiperpovezava"/>
            <w:noProof/>
          </w:rPr>
          <w:t xml:space="preserve"> Summary of results</w:t>
        </w:r>
        <w:r>
          <w:rPr>
            <w:noProof/>
            <w:webHidden/>
          </w:rPr>
          <w:tab/>
        </w:r>
        <w:r>
          <w:rPr>
            <w:noProof/>
            <w:webHidden/>
          </w:rPr>
          <w:fldChar w:fldCharType="begin"/>
        </w:r>
        <w:r>
          <w:rPr>
            <w:noProof/>
            <w:webHidden/>
          </w:rPr>
          <w:instrText xml:space="preserve"> PAGEREF _Toc416192683 \h </w:instrText>
        </w:r>
        <w:r>
          <w:rPr>
            <w:noProof/>
          </w:rPr>
        </w:r>
        <w:r>
          <w:rPr>
            <w:noProof/>
            <w:webHidden/>
          </w:rPr>
          <w:fldChar w:fldCharType="separate"/>
        </w:r>
        <w:r>
          <w:rPr>
            <w:noProof/>
            <w:webHidden/>
          </w:rPr>
          <w:t>897</w:t>
        </w:r>
        <w:r>
          <w:rPr>
            <w:noProof/>
            <w:webHidden/>
          </w:rPr>
          <w:fldChar w:fldCharType="end"/>
        </w:r>
      </w:hyperlink>
    </w:p>
    <w:p w:rsidR="0014388E" w:rsidRDefault="0014388E" w:rsidP="0014388E">
      <w:pPr>
        <w:pStyle w:val="Kazalovsebine2"/>
        <w:tabs>
          <w:tab w:val="left" w:pos="851"/>
        </w:tabs>
        <w:rPr>
          <w:rFonts w:eastAsia="SimSun"/>
          <w:noProof/>
          <w:snapToGrid/>
          <w:szCs w:val="24"/>
          <w:lang w:val="sl-SI"/>
        </w:rPr>
      </w:pPr>
      <w:hyperlink w:anchor="_Toc416192684" w:history="1">
        <w:r w:rsidRPr="00CF0C30">
          <w:rPr>
            <w:rStyle w:val="Hiperpovezava"/>
            <w:noProof/>
            <w:lang w:eastAsia="en-GB" w:bidi="en-GB"/>
          </w:rPr>
          <w:t>16.3.</w:t>
        </w:r>
        <w:r w:rsidRPr="00CF0C30">
          <w:rPr>
            <w:rStyle w:val="Hiperpovezava"/>
            <w:noProof/>
          </w:rPr>
          <w:t xml:space="preserve"> c)</w:t>
        </w:r>
        <w:r>
          <w:rPr>
            <w:rFonts w:eastAsia="SimSun"/>
            <w:noProof/>
            <w:snapToGrid/>
            <w:szCs w:val="24"/>
            <w:lang w:val="sl-SI"/>
          </w:rPr>
          <w:tab/>
        </w:r>
        <w:r w:rsidRPr="00CF0C30">
          <w:rPr>
            <w:rStyle w:val="Hiperpovezava"/>
            <w:noProof/>
          </w:rPr>
          <w:t>Workshops on preparing the future RDP 2014-2020</w:t>
        </w:r>
        <w:r>
          <w:rPr>
            <w:noProof/>
            <w:webHidden/>
          </w:rPr>
          <w:tab/>
        </w:r>
        <w:r>
          <w:rPr>
            <w:noProof/>
            <w:webHidden/>
          </w:rPr>
          <w:fldChar w:fldCharType="begin"/>
        </w:r>
        <w:r>
          <w:rPr>
            <w:noProof/>
            <w:webHidden/>
          </w:rPr>
          <w:instrText xml:space="preserve"> PAGEREF _Toc416192684 \h </w:instrText>
        </w:r>
        <w:r>
          <w:rPr>
            <w:noProof/>
          </w:rPr>
        </w:r>
        <w:r>
          <w:rPr>
            <w:noProof/>
            <w:webHidden/>
          </w:rPr>
          <w:fldChar w:fldCharType="separate"/>
        </w:r>
        <w:r>
          <w:rPr>
            <w:noProof/>
            <w:webHidden/>
          </w:rPr>
          <w:t>898</w:t>
        </w:r>
        <w:r>
          <w:rPr>
            <w:noProof/>
            <w:webHidden/>
          </w:rPr>
          <w:fldChar w:fldCharType="end"/>
        </w:r>
      </w:hyperlink>
    </w:p>
    <w:p w:rsidR="0014388E" w:rsidRDefault="0014388E">
      <w:pPr>
        <w:pStyle w:val="Kazalovsebine3"/>
        <w:rPr>
          <w:rFonts w:eastAsia="SimSun"/>
          <w:noProof/>
          <w:snapToGrid/>
          <w:szCs w:val="24"/>
          <w:lang w:val="sl-SI"/>
        </w:rPr>
      </w:pPr>
      <w:hyperlink w:anchor="_Toc416192685" w:history="1">
        <w:r w:rsidRPr="00CF0C30">
          <w:rPr>
            <w:rStyle w:val="Hiperpovezava"/>
            <w:noProof/>
          </w:rPr>
          <w:t>16.3.1. Subject of the relevant consultation</w:t>
        </w:r>
        <w:r>
          <w:rPr>
            <w:noProof/>
            <w:webHidden/>
          </w:rPr>
          <w:tab/>
        </w:r>
        <w:r>
          <w:rPr>
            <w:noProof/>
            <w:webHidden/>
          </w:rPr>
          <w:fldChar w:fldCharType="begin"/>
        </w:r>
        <w:r>
          <w:rPr>
            <w:noProof/>
            <w:webHidden/>
          </w:rPr>
          <w:instrText xml:space="preserve"> PAGEREF _Toc416192685 \h </w:instrText>
        </w:r>
        <w:r>
          <w:rPr>
            <w:noProof/>
          </w:rPr>
        </w:r>
        <w:r>
          <w:rPr>
            <w:noProof/>
            <w:webHidden/>
          </w:rPr>
          <w:fldChar w:fldCharType="separate"/>
        </w:r>
        <w:r>
          <w:rPr>
            <w:noProof/>
            <w:webHidden/>
          </w:rPr>
          <w:t>898</w:t>
        </w:r>
        <w:r>
          <w:rPr>
            <w:noProof/>
            <w:webHidden/>
          </w:rPr>
          <w:fldChar w:fldCharType="end"/>
        </w:r>
      </w:hyperlink>
    </w:p>
    <w:p w:rsidR="0014388E" w:rsidRDefault="0014388E">
      <w:pPr>
        <w:pStyle w:val="Kazalovsebine3"/>
        <w:rPr>
          <w:rFonts w:eastAsia="SimSun"/>
          <w:noProof/>
          <w:snapToGrid/>
          <w:szCs w:val="24"/>
          <w:lang w:val="sl-SI"/>
        </w:rPr>
      </w:pPr>
      <w:hyperlink w:anchor="_Toc416192686" w:history="1">
        <w:r w:rsidRPr="00CF0C30">
          <w:rPr>
            <w:rStyle w:val="Hiperpovezava"/>
            <w:noProof/>
            <w:lang w:eastAsia="en-GB" w:bidi="en-GB"/>
          </w:rPr>
          <w:t>16.3.2.</w:t>
        </w:r>
        <w:r w:rsidRPr="00CF0C30">
          <w:rPr>
            <w:rStyle w:val="Hiperpovezava"/>
            <w:noProof/>
          </w:rPr>
          <w:t xml:space="preserve"> Summary of results</w:t>
        </w:r>
        <w:r>
          <w:rPr>
            <w:noProof/>
            <w:webHidden/>
          </w:rPr>
          <w:tab/>
        </w:r>
        <w:r>
          <w:rPr>
            <w:noProof/>
            <w:webHidden/>
          </w:rPr>
          <w:fldChar w:fldCharType="begin"/>
        </w:r>
        <w:r>
          <w:rPr>
            <w:noProof/>
            <w:webHidden/>
          </w:rPr>
          <w:instrText xml:space="preserve"> PAGEREF _Toc416192686 \h </w:instrText>
        </w:r>
        <w:r>
          <w:rPr>
            <w:noProof/>
          </w:rPr>
        </w:r>
        <w:r>
          <w:rPr>
            <w:noProof/>
            <w:webHidden/>
          </w:rPr>
          <w:fldChar w:fldCharType="separate"/>
        </w:r>
        <w:r>
          <w:rPr>
            <w:noProof/>
            <w:webHidden/>
          </w:rPr>
          <w:t>898</w:t>
        </w:r>
        <w:r>
          <w:rPr>
            <w:noProof/>
            <w:webHidden/>
          </w:rPr>
          <w:fldChar w:fldCharType="end"/>
        </w:r>
      </w:hyperlink>
    </w:p>
    <w:p w:rsidR="0014388E" w:rsidRDefault="0014388E" w:rsidP="0014388E">
      <w:pPr>
        <w:pStyle w:val="Kazalovsebine2"/>
        <w:tabs>
          <w:tab w:val="left" w:pos="851"/>
        </w:tabs>
        <w:rPr>
          <w:rFonts w:eastAsia="SimSun"/>
          <w:noProof/>
          <w:snapToGrid/>
          <w:szCs w:val="24"/>
          <w:lang w:val="sl-SI"/>
        </w:rPr>
      </w:pPr>
      <w:hyperlink w:anchor="_Toc416192687" w:history="1">
        <w:r w:rsidRPr="00CF0C30">
          <w:rPr>
            <w:rStyle w:val="Hiperpovezava"/>
            <w:noProof/>
            <w:lang w:eastAsia="en-GB" w:bidi="en-GB"/>
          </w:rPr>
          <w:t>16.4.</w:t>
        </w:r>
        <w:r w:rsidRPr="00CF0C30">
          <w:rPr>
            <w:rStyle w:val="Hiperpovezava"/>
            <w:noProof/>
          </w:rPr>
          <w:t xml:space="preserve"> d)</w:t>
        </w:r>
        <w:r>
          <w:rPr>
            <w:rFonts w:eastAsia="SimSun"/>
            <w:noProof/>
            <w:snapToGrid/>
            <w:szCs w:val="24"/>
            <w:lang w:val="sl-SI"/>
          </w:rPr>
          <w:tab/>
        </w:r>
        <w:r w:rsidRPr="00CF0C30">
          <w:rPr>
            <w:rStyle w:val="Hiperpovezava"/>
            <w:noProof/>
          </w:rPr>
          <w:t>Workshops on measure M10</w:t>
        </w:r>
        <w:r>
          <w:rPr>
            <w:noProof/>
            <w:webHidden/>
          </w:rPr>
          <w:tab/>
        </w:r>
        <w:r>
          <w:rPr>
            <w:noProof/>
            <w:webHidden/>
          </w:rPr>
          <w:fldChar w:fldCharType="begin"/>
        </w:r>
        <w:r>
          <w:rPr>
            <w:noProof/>
            <w:webHidden/>
          </w:rPr>
          <w:instrText xml:space="preserve"> PAGEREF _Toc416192687 \h </w:instrText>
        </w:r>
        <w:r>
          <w:rPr>
            <w:noProof/>
          </w:rPr>
        </w:r>
        <w:r>
          <w:rPr>
            <w:noProof/>
            <w:webHidden/>
          </w:rPr>
          <w:fldChar w:fldCharType="separate"/>
        </w:r>
        <w:r>
          <w:rPr>
            <w:noProof/>
            <w:webHidden/>
          </w:rPr>
          <w:t>898</w:t>
        </w:r>
        <w:r>
          <w:rPr>
            <w:noProof/>
            <w:webHidden/>
          </w:rPr>
          <w:fldChar w:fldCharType="end"/>
        </w:r>
      </w:hyperlink>
    </w:p>
    <w:p w:rsidR="0014388E" w:rsidRDefault="0014388E">
      <w:pPr>
        <w:pStyle w:val="Kazalovsebine3"/>
        <w:rPr>
          <w:rFonts w:eastAsia="SimSun"/>
          <w:noProof/>
          <w:snapToGrid/>
          <w:szCs w:val="24"/>
          <w:lang w:val="sl-SI"/>
        </w:rPr>
      </w:pPr>
      <w:hyperlink w:anchor="_Toc416192688" w:history="1">
        <w:r w:rsidRPr="00CF0C30">
          <w:rPr>
            <w:rStyle w:val="Hiperpovezava"/>
            <w:noProof/>
          </w:rPr>
          <w:t>16.4.1. Subject of the relevant consultation</w:t>
        </w:r>
        <w:r>
          <w:rPr>
            <w:noProof/>
            <w:webHidden/>
          </w:rPr>
          <w:tab/>
        </w:r>
        <w:r>
          <w:rPr>
            <w:noProof/>
            <w:webHidden/>
          </w:rPr>
          <w:fldChar w:fldCharType="begin"/>
        </w:r>
        <w:r>
          <w:rPr>
            <w:noProof/>
            <w:webHidden/>
          </w:rPr>
          <w:instrText xml:space="preserve"> PAGEREF _Toc416192688 \h </w:instrText>
        </w:r>
        <w:r>
          <w:rPr>
            <w:noProof/>
          </w:rPr>
        </w:r>
        <w:r>
          <w:rPr>
            <w:noProof/>
            <w:webHidden/>
          </w:rPr>
          <w:fldChar w:fldCharType="separate"/>
        </w:r>
        <w:r>
          <w:rPr>
            <w:noProof/>
            <w:webHidden/>
          </w:rPr>
          <w:t>898</w:t>
        </w:r>
        <w:r>
          <w:rPr>
            <w:noProof/>
            <w:webHidden/>
          </w:rPr>
          <w:fldChar w:fldCharType="end"/>
        </w:r>
      </w:hyperlink>
    </w:p>
    <w:p w:rsidR="0014388E" w:rsidRDefault="0014388E">
      <w:pPr>
        <w:pStyle w:val="Kazalovsebine3"/>
        <w:rPr>
          <w:rFonts w:eastAsia="SimSun"/>
          <w:noProof/>
          <w:snapToGrid/>
          <w:szCs w:val="24"/>
          <w:lang w:val="sl-SI"/>
        </w:rPr>
      </w:pPr>
      <w:hyperlink w:anchor="_Toc416192689" w:history="1">
        <w:r w:rsidRPr="00CF0C30">
          <w:rPr>
            <w:rStyle w:val="Hiperpovezava"/>
            <w:noProof/>
            <w:lang w:eastAsia="en-GB" w:bidi="en-GB"/>
          </w:rPr>
          <w:t>16.4.2.</w:t>
        </w:r>
        <w:r w:rsidRPr="00CF0C30">
          <w:rPr>
            <w:rStyle w:val="Hiperpovezava"/>
            <w:noProof/>
          </w:rPr>
          <w:t xml:space="preserve"> Summary of results</w:t>
        </w:r>
        <w:r>
          <w:rPr>
            <w:noProof/>
            <w:webHidden/>
          </w:rPr>
          <w:tab/>
        </w:r>
        <w:r>
          <w:rPr>
            <w:noProof/>
            <w:webHidden/>
          </w:rPr>
          <w:fldChar w:fldCharType="begin"/>
        </w:r>
        <w:r>
          <w:rPr>
            <w:noProof/>
            <w:webHidden/>
          </w:rPr>
          <w:instrText xml:space="preserve"> PAGEREF _Toc416192689 \h </w:instrText>
        </w:r>
        <w:r>
          <w:rPr>
            <w:noProof/>
          </w:rPr>
        </w:r>
        <w:r>
          <w:rPr>
            <w:noProof/>
            <w:webHidden/>
          </w:rPr>
          <w:fldChar w:fldCharType="separate"/>
        </w:r>
        <w:r>
          <w:rPr>
            <w:noProof/>
            <w:webHidden/>
          </w:rPr>
          <w:t>899</w:t>
        </w:r>
        <w:r>
          <w:rPr>
            <w:noProof/>
            <w:webHidden/>
          </w:rPr>
          <w:fldChar w:fldCharType="end"/>
        </w:r>
      </w:hyperlink>
    </w:p>
    <w:p w:rsidR="0014388E" w:rsidRDefault="0014388E" w:rsidP="0014388E">
      <w:pPr>
        <w:pStyle w:val="Kazalovsebine2"/>
        <w:tabs>
          <w:tab w:val="left" w:pos="851"/>
        </w:tabs>
        <w:rPr>
          <w:rFonts w:eastAsia="SimSun"/>
          <w:noProof/>
          <w:snapToGrid/>
          <w:szCs w:val="24"/>
          <w:lang w:val="sl-SI"/>
        </w:rPr>
      </w:pPr>
      <w:hyperlink w:anchor="_Toc416192690" w:history="1">
        <w:r w:rsidRPr="00CF0C30">
          <w:rPr>
            <w:rStyle w:val="Hiperpovezava"/>
            <w:noProof/>
            <w:lang w:eastAsia="en-GB" w:bidi="en-GB"/>
          </w:rPr>
          <w:t>16.5.</w:t>
        </w:r>
        <w:r w:rsidRPr="00CF0C30">
          <w:rPr>
            <w:rStyle w:val="Hiperpovezava"/>
            <w:noProof/>
          </w:rPr>
          <w:t xml:space="preserve"> e)</w:t>
        </w:r>
        <w:r>
          <w:rPr>
            <w:rFonts w:eastAsia="SimSun"/>
            <w:noProof/>
            <w:snapToGrid/>
            <w:szCs w:val="24"/>
            <w:lang w:val="sl-SI"/>
          </w:rPr>
          <w:tab/>
        </w:r>
        <w:r w:rsidRPr="00CF0C30">
          <w:rPr>
            <w:rStyle w:val="Hiperpovezava"/>
            <w:noProof/>
          </w:rPr>
          <w:t>Workshops on measure M16</w:t>
        </w:r>
        <w:r>
          <w:rPr>
            <w:noProof/>
            <w:webHidden/>
          </w:rPr>
          <w:tab/>
        </w:r>
        <w:r>
          <w:rPr>
            <w:noProof/>
            <w:webHidden/>
          </w:rPr>
          <w:fldChar w:fldCharType="begin"/>
        </w:r>
        <w:r>
          <w:rPr>
            <w:noProof/>
            <w:webHidden/>
          </w:rPr>
          <w:instrText xml:space="preserve"> PAGEREF _Toc416192690 \h </w:instrText>
        </w:r>
        <w:r>
          <w:rPr>
            <w:noProof/>
          </w:rPr>
        </w:r>
        <w:r>
          <w:rPr>
            <w:noProof/>
            <w:webHidden/>
          </w:rPr>
          <w:fldChar w:fldCharType="separate"/>
        </w:r>
        <w:r>
          <w:rPr>
            <w:noProof/>
            <w:webHidden/>
          </w:rPr>
          <w:t>899</w:t>
        </w:r>
        <w:r>
          <w:rPr>
            <w:noProof/>
            <w:webHidden/>
          </w:rPr>
          <w:fldChar w:fldCharType="end"/>
        </w:r>
      </w:hyperlink>
    </w:p>
    <w:p w:rsidR="0014388E" w:rsidRDefault="0014388E">
      <w:pPr>
        <w:pStyle w:val="Kazalovsebine3"/>
        <w:rPr>
          <w:rFonts w:eastAsia="SimSun"/>
          <w:noProof/>
          <w:snapToGrid/>
          <w:szCs w:val="24"/>
          <w:lang w:val="sl-SI"/>
        </w:rPr>
      </w:pPr>
      <w:hyperlink w:anchor="_Toc416192691" w:history="1">
        <w:r w:rsidRPr="00CF0C30">
          <w:rPr>
            <w:rStyle w:val="Hiperpovezava"/>
            <w:noProof/>
          </w:rPr>
          <w:t>16.5.1. Subject of the relevant consultation</w:t>
        </w:r>
        <w:r>
          <w:rPr>
            <w:noProof/>
            <w:webHidden/>
          </w:rPr>
          <w:tab/>
        </w:r>
        <w:r>
          <w:rPr>
            <w:noProof/>
            <w:webHidden/>
          </w:rPr>
          <w:fldChar w:fldCharType="begin"/>
        </w:r>
        <w:r>
          <w:rPr>
            <w:noProof/>
            <w:webHidden/>
          </w:rPr>
          <w:instrText xml:space="preserve"> PAGEREF _Toc416192691 \h </w:instrText>
        </w:r>
        <w:r>
          <w:rPr>
            <w:noProof/>
          </w:rPr>
        </w:r>
        <w:r>
          <w:rPr>
            <w:noProof/>
            <w:webHidden/>
          </w:rPr>
          <w:fldChar w:fldCharType="separate"/>
        </w:r>
        <w:r>
          <w:rPr>
            <w:noProof/>
            <w:webHidden/>
          </w:rPr>
          <w:t>899</w:t>
        </w:r>
        <w:r>
          <w:rPr>
            <w:noProof/>
            <w:webHidden/>
          </w:rPr>
          <w:fldChar w:fldCharType="end"/>
        </w:r>
      </w:hyperlink>
    </w:p>
    <w:p w:rsidR="0014388E" w:rsidRDefault="0014388E">
      <w:pPr>
        <w:pStyle w:val="Kazalovsebine3"/>
        <w:rPr>
          <w:rFonts w:eastAsia="SimSun"/>
          <w:noProof/>
          <w:snapToGrid/>
          <w:szCs w:val="24"/>
          <w:lang w:val="sl-SI"/>
        </w:rPr>
      </w:pPr>
      <w:hyperlink w:anchor="_Toc416192692" w:history="1">
        <w:r w:rsidRPr="00CF0C30">
          <w:rPr>
            <w:rStyle w:val="Hiperpovezava"/>
            <w:noProof/>
            <w:lang w:eastAsia="en-GB" w:bidi="en-GB"/>
          </w:rPr>
          <w:t>16.5.2.</w:t>
        </w:r>
        <w:r w:rsidRPr="00CF0C30">
          <w:rPr>
            <w:rStyle w:val="Hiperpovezava"/>
            <w:noProof/>
          </w:rPr>
          <w:t xml:space="preserve"> Summary of results</w:t>
        </w:r>
        <w:r>
          <w:rPr>
            <w:noProof/>
            <w:webHidden/>
          </w:rPr>
          <w:tab/>
        </w:r>
        <w:r>
          <w:rPr>
            <w:noProof/>
            <w:webHidden/>
          </w:rPr>
          <w:fldChar w:fldCharType="begin"/>
        </w:r>
        <w:r>
          <w:rPr>
            <w:noProof/>
            <w:webHidden/>
          </w:rPr>
          <w:instrText xml:space="preserve"> PAGEREF _Toc416192692 \h </w:instrText>
        </w:r>
        <w:r>
          <w:rPr>
            <w:noProof/>
          </w:rPr>
        </w:r>
        <w:r>
          <w:rPr>
            <w:noProof/>
            <w:webHidden/>
          </w:rPr>
          <w:fldChar w:fldCharType="separate"/>
        </w:r>
        <w:r>
          <w:rPr>
            <w:noProof/>
            <w:webHidden/>
          </w:rPr>
          <w:t>899</w:t>
        </w:r>
        <w:r>
          <w:rPr>
            <w:noProof/>
            <w:webHidden/>
          </w:rPr>
          <w:fldChar w:fldCharType="end"/>
        </w:r>
      </w:hyperlink>
    </w:p>
    <w:p w:rsidR="0014388E" w:rsidRDefault="0014388E" w:rsidP="0014388E">
      <w:pPr>
        <w:pStyle w:val="Kazalovsebine2"/>
        <w:tabs>
          <w:tab w:val="left" w:pos="851"/>
        </w:tabs>
        <w:rPr>
          <w:rFonts w:eastAsia="SimSun"/>
          <w:noProof/>
          <w:snapToGrid/>
          <w:szCs w:val="24"/>
          <w:lang w:val="sl-SI"/>
        </w:rPr>
      </w:pPr>
      <w:hyperlink w:anchor="_Toc416192693" w:history="1">
        <w:r w:rsidRPr="00CF0C30">
          <w:rPr>
            <w:rStyle w:val="Hiperpovezava"/>
            <w:noProof/>
            <w:lang w:eastAsia="en-GB" w:bidi="en-GB"/>
          </w:rPr>
          <w:t>16.6.</w:t>
        </w:r>
        <w:r w:rsidRPr="00CF0C30">
          <w:rPr>
            <w:rStyle w:val="Hiperpovezava"/>
            <w:noProof/>
          </w:rPr>
          <w:t xml:space="preserve"> f)</w:t>
        </w:r>
        <w:r>
          <w:rPr>
            <w:rFonts w:eastAsia="SimSun"/>
            <w:noProof/>
            <w:snapToGrid/>
            <w:szCs w:val="24"/>
            <w:lang w:val="sl-SI"/>
          </w:rPr>
          <w:tab/>
        </w:r>
        <w:r w:rsidRPr="00CF0C30">
          <w:rPr>
            <w:rStyle w:val="Hiperpovezava"/>
            <w:noProof/>
          </w:rPr>
          <w:t>Harmonising views on content and presenting the RDP</w:t>
        </w:r>
        <w:r>
          <w:rPr>
            <w:noProof/>
            <w:webHidden/>
          </w:rPr>
          <w:tab/>
        </w:r>
        <w:r>
          <w:rPr>
            <w:noProof/>
            <w:webHidden/>
          </w:rPr>
          <w:fldChar w:fldCharType="begin"/>
        </w:r>
        <w:r>
          <w:rPr>
            <w:noProof/>
            <w:webHidden/>
          </w:rPr>
          <w:instrText xml:space="preserve"> PAGEREF _Toc416192693 \h </w:instrText>
        </w:r>
        <w:r>
          <w:rPr>
            <w:noProof/>
          </w:rPr>
        </w:r>
        <w:r>
          <w:rPr>
            <w:noProof/>
            <w:webHidden/>
          </w:rPr>
          <w:fldChar w:fldCharType="separate"/>
        </w:r>
        <w:r>
          <w:rPr>
            <w:noProof/>
            <w:webHidden/>
          </w:rPr>
          <w:t>900</w:t>
        </w:r>
        <w:r>
          <w:rPr>
            <w:noProof/>
            <w:webHidden/>
          </w:rPr>
          <w:fldChar w:fldCharType="end"/>
        </w:r>
      </w:hyperlink>
    </w:p>
    <w:p w:rsidR="0014388E" w:rsidRDefault="0014388E">
      <w:pPr>
        <w:pStyle w:val="Kazalovsebine3"/>
        <w:rPr>
          <w:rFonts w:eastAsia="SimSun"/>
          <w:noProof/>
          <w:snapToGrid/>
          <w:szCs w:val="24"/>
          <w:lang w:val="sl-SI"/>
        </w:rPr>
      </w:pPr>
      <w:hyperlink w:anchor="_Toc416192694" w:history="1">
        <w:r w:rsidRPr="00CF0C30">
          <w:rPr>
            <w:rStyle w:val="Hiperpovezava"/>
            <w:noProof/>
          </w:rPr>
          <w:t>16.6.1. Subject of the relevant consultation</w:t>
        </w:r>
        <w:r>
          <w:rPr>
            <w:noProof/>
            <w:webHidden/>
          </w:rPr>
          <w:tab/>
        </w:r>
        <w:r>
          <w:rPr>
            <w:noProof/>
            <w:webHidden/>
          </w:rPr>
          <w:fldChar w:fldCharType="begin"/>
        </w:r>
        <w:r>
          <w:rPr>
            <w:noProof/>
            <w:webHidden/>
          </w:rPr>
          <w:instrText xml:space="preserve"> PAGEREF _Toc416192694 \h </w:instrText>
        </w:r>
        <w:r>
          <w:rPr>
            <w:noProof/>
          </w:rPr>
        </w:r>
        <w:r>
          <w:rPr>
            <w:noProof/>
            <w:webHidden/>
          </w:rPr>
          <w:fldChar w:fldCharType="separate"/>
        </w:r>
        <w:r>
          <w:rPr>
            <w:noProof/>
            <w:webHidden/>
          </w:rPr>
          <w:t>900</w:t>
        </w:r>
        <w:r>
          <w:rPr>
            <w:noProof/>
            <w:webHidden/>
          </w:rPr>
          <w:fldChar w:fldCharType="end"/>
        </w:r>
      </w:hyperlink>
    </w:p>
    <w:p w:rsidR="0014388E" w:rsidRDefault="0014388E">
      <w:pPr>
        <w:pStyle w:val="Kazalovsebine3"/>
        <w:rPr>
          <w:rFonts w:eastAsia="SimSun"/>
          <w:noProof/>
          <w:snapToGrid/>
          <w:szCs w:val="24"/>
          <w:lang w:val="sl-SI"/>
        </w:rPr>
      </w:pPr>
      <w:hyperlink w:anchor="_Toc416192695" w:history="1">
        <w:r w:rsidRPr="00CF0C30">
          <w:rPr>
            <w:rStyle w:val="Hiperpovezava"/>
            <w:noProof/>
            <w:lang w:eastAsia="en-GB" w:bidi="en-GB"/>
          </w:rPr>
          <w:t>16.6.2.</w:t>
        </w:r>
        <w:r w:rsidRPr="00CF0C30">
          <w:rPr>
            <w:rStyle w:val="Hiperpovezava"/>
            <w:noProof/>
          </w:rPr>
          <w:t xml:space="preserve"> Summary of results</w:t>
        </w:r>
        <w:r>
          <w:rPr>
            <w:noProof/>
            <w:webHidden/>
          </w:rPr>
          <w:tab/>
        </w:r>
        <w:r>
          <w:rPr>
            <w:noProof/>
            <w:webHidden/>
          </w:rPr>
          <w:fldChar w:fldCharType="begin"/>
        </w:r>
        <w:r>
          <w:rPr>
            <w:noProof/>
            <w:webHidden/>
          </w:rPr>
          <w:instrText xml:space="preserve"> PAGEREF _Toc416192695 \h </w:instrText>
        </w:r>
        <w:r>
          <w:rPr>
            <w:noProof/>
          </w:rPr>
        </w:r>
        <w:r>
          <w:rPr>
            <w:noProof/>
            <w:webHidden/>
          </w:rPr>
          <w:fldChar w:fldCharType="separate"/>
        </w:r>
        <w:r>
          <w:rPr>
            <w:noProof/>
            <w:webHidden/>
          </w:rPr>
          <w:t>900</w:t>
        </w:r>
        <w:r>
          <w:rPr>
            <w:noProof/>
            <w:webHidden/>
          </w:rPr>
          <w:fldChar w:fldCharType="end"/>
        </w:r>
      </w:hyperlink>
    </w:p>
    <w:p w:rsidR="0014388E" w:rsidRDefault="0014388E" w:rsidP="0014388E">
      <w:pPr>
        <w:pStyle w:val="Kazalovsebine2"/>
        <w:tabs>
          <w:tab w:val="left" w:pos="851"/>
        </w:tabs>
        <w:rPr>
          <w:rFonts w:eastAsia="SimSun"/>
          <w:noProof/>
          <w:snapToGrid/>
          <w:szCs w:val="24"/>
          <w:lang w:val="sl-SI"/>
        </w:rPr>
      </w:pPr>
      <w:hyperlink w:anchor="_Toc416192696" w:history="1">
        <w:r w:rsidRPr="00CF0C30">
          <w:rPr>
            <w:rStyle w:val="Hiperpovezava"/>
            <w:noProof/>
            <w:lang w:eastAsia="en-GB" w:bidi="en-GB"/>
          </w:rPr>
          <w:t>16.7.</w:t>
        </w:r>
        <w:r w:rsidRPr="00CF0C30">
          <w:rPr>
            <w:rStyle w:val="Hiperpovezava"/>
            <w:noProof/>
          </w:rPr>
          <w:t xml:space="preserve"> g)</w:t>
        </w:r>
        <w:r>
          <w:rPr>
            <w:rFonts w:eastAsia="SimSun"/>
            <w:noProof/>
            <w:snapToGrid/>
            <w:szCs w:val="24"/>
            <w:lang w:val="sl-SI"/>
          </w:rPr>
          <w:tab/>
        </w:r>
        <w:r w:rsidRPr="00CF0C30">
          <w:rPr>
            <w:rStyle w:val="Hiperpovezava"/>
            <w:noProof/>
          </w:rPr>
          <w:t>Inclusion in providing information</w:t>
        </w:r>
        <w:r>
          <w:rPr>
            <w:noProof/>
            <w:webHidden/>
          </w:rPr>
          <w:tab/>
        </w:r>
        <w:r>
          <w:rPr>
            <w:noProof/>
            <w:webHidden/>
          </w:rPr>
          <w:fldChar w:fldCharType="begin"/>
        </w:r>
        <w:r>
          <w:rPr>
            <w:noProof/>
            <w:webHidden/>
          </w:rPr>
          <w:instrText xml:space="preserve"> PAGEREF _Toc416192696 \h </w:instrText>
        </w:r>
        <w:r>
          <w:rPr>
            <w:noProof/>
          </w:rPr>
        </w:r>
        <w:r>
          <w:rPr>
            <w:noProof/>
            <w:webHidden/>
          </w:rPr>
          <w:fldChar w:fldCharType="separate"/>
        </w:r>
        <w:r>
          <w:rPr>
            <w:noProof/>
            <w:webHidden/>
          </w:rPr>
          <w:t>900</w:t>
        </w:r>
        <w:r>
          <w:rPr>
            <w:noProof/>
            <w:webHidden/>
          </w:rPr>
          <w:fldChar w:fldCharType="end"/>
        </w:r>
      </w:hyperlink>
    </w:p>
    <w:p w:rsidR="0014388E" w:rsidRDefault="0014388E">
      <w:pPr>
        <w:pStyle w:val="Kazalovsebine3"/>
        <w:rPr>
          <w:rFonts w:eastAsia="SimSun"/>
          <w:noProof/>
          <w:snapToGrid/>
          <w:szCs w:val="24"/>
          <w:lang w:val="sl-SI"/>
        </w:rPr>
      </w:pPr>
      <w:hyperlink w:anchor="_Toc416192697" w:history="1">
        <w:r w:rsidRPr="00CF0C30">
          <w:rPr>
            <w:rStyle w:val="Hiperpovezava"/>
            <w:noProof/>
          </w:rPr>
          <w:t>16.7.1. Subject of the relevant consultation</w:t>
        </w:r>
        <w:r>
          <w:rPr>
            <w:noProof/>
            <w:webHidden/>
          </w:rPr>
          <w:tab/>
        </w:r>
        <w:r>
          <w:rPr>
            <w:noProof/>
            <w:webHidden/>
          </w:rPr>
          <w:fldChar w:fldCharType="begin"/>
        </w:r>
        <w:r>
          <w:rPr>
            <w:noProof/>
            <w:webHidden/>
          </w:rPr>
          <w:instrText xml:space="preserve"> PAGEREF _Toc416192697 \h </w:instrText>
        </w:r>
        <w:r>
          <w:rPr>
            <w:noProof/>
          </w:rPr>
        </w:r>
        <w:r>
          <w:rPr>
            <w:noProof/>
            <w:webHidden/>
          </w:rPr>
          <w:fldChar w:fldCharType="separate"/>
        </w:r>
        <w:r>
          <w:rPr>
            <w:noProof/>
            <w:webHidden/>
          </w:rPr>
          <w:t>900</w:t>
        </w:r>
        <w:r>
          <w:rPr>
            <w:noProof/>
            <w:webHidden/>
          </w:rPr>
          <w:fldChar w:fldCharType="end"/>
        </w:r>
      </w:hyperlink>
    </w:p>
    <w:p w:rsidR="0014388E" w:rsidRDefault="0014388E">
      <w:pPr>
        <w:pStyle w:val="Kazalovsebine3"/>
        <w:rPr>
          <w:rFonts w:eastAsia="SimSun"/>
          <w:noProof/>
          <w:snapToGrid/>
          <w:szCs w:val="24"/>
          <w:lang w:val="sl-SI"/>
        </w:rPr>
      </w:pPr>
      <w:hyperlink w:anchor="_Toc416192698" w:history="1">
        <w:r w:rsidRPr="00CF0C30">
          <w:rPr>
            <w:rStyle w:val="Hiperpovezava"/>
            <w:noProof/>
            <w:lang w:eastAsia="en-GB" w:bidi="en-GB"/>
          </w:rPr>
          <w:t>16.7.2.</w:t>
        </w:r>
        <w:r w:rsidRPr="00CF0C30">
          <w:rPr>
            <w:rStyle w:val="Hiperpovezava"/>
            <w:noProof/>
          </w:rPr>
          <w:t xml:space="preserve"> Summary of results</w:t>
        </w:r>
        <w:r>
          <w:rPr>
            <w:noProof/>
            <w:webHidden/>
          </w:rPr>
          <w:tab/>
        </w:r>
        <w:r>
          <w:rPr>
            <w:noProof/>
            <w:webHidden/>
          </w:rPr>
          <w:fldChar w:fldCharType="begin"/>
        </w:r>
        <w:r>
          <w:rPr>
            <w:noProof/>
            <w:webHidden/>
          </w:rPr>
          <w:instrText xml:space="preserve"> PAGEREF _Toc416192698 \h </w:instrText>
        </w:r>
        <w:r>
          <w:rPr>
            <w:noProof/>
          </w:rPr>
        </w:r>
        <w:r>
          <w:rPr>
            <w:noProof/>
            <w:webHidden/>
          </w:rPr>
          <w:fldChar w:fldCharType="separate"/>
        </w:r>
        <w:r>
          <w:rPr>
            <w:noProof/>
            <w:webHidden/>
          </w:rPr>
          <w:t>901</w:t>
        </w:r>
        <w:r>
          <w:rPr>
            <w:noProof/>
            <w:webHidden/>
          </w:rPr>
          <w:fldChar w:fldCharType="end"/>
        </w:r>
      </w:hyperlink>
    </w:p>
    <w:p w:rsidR="0014388E" w:rsidRDefault="0014388E" w:rsidP="0014388E">
      <w:pPr>
        <w:pStyle w:val="Kazalovsebine2"/>
        <w:tabs>
          <w:tab w:val="left" w:pos="851"/>
        </w:tabs>
        <w:rPr>
          <w:rFonts w:eastAsia="SimSun"/>
          <w:noProof/>
          <w:snapToGrid/>
          <w:szCs w:val="24"/>
          <w:lang w:val="sl-SI"/>
        </w:rPr>
      </w:pPr>
      <w:hyperlink w:anchor="_Toc416192699" w:history="1">
        <w:r w:rsidRPr="00CF0C30">
          <w:rPr>
            <w:rStyle w:val="Hiperpovezava"/>
            <w:noProof/>
            <w:lang w:eastAsia="en-GB" w:bidi="en-GB"/>
          </w:rPr>
          <w:t>16.8.</w:t>
        </w:r>
        <w:r w:rsidRPr="00CF0C30">
          <w:rPr>
            <w:rStyle w:val="Hiperpovezava"/>
            <w:noProof/>
          </w:rPr>
          <w:t xml:space="preserve"> h)</w:t>
        </w:r>
        <w:r>
          <w:rPr>
            <w:rFonts w:eastAsia="SimSun"/>
            <w:noProof/>
            <w:snapToGrid/>
            <w:szCs w:val="24"/>
            <w:lang w:val="sl-SI"/>
          </w:rPr>
          <w:tab/>
        </w:r>
        <w:r w:rsidRPr="00CF0C30">
          <w:rPr>
            <w:rStyle w:val="Hiperpovezava"/>
            <w:noProof/>
          </w:rPr>
          <w:t>Cooperation in groups and committees</w:t>
        </w:r>
        <w:r>
          <w:rPr>
            <w:noProof/>
            <w:webHidden/>
          </w:rPr>
          <w:tab/>
        </w:r>
        <w:r>
          <w:rPr>
            <w:noProof/>
            <w:webHidden/>
          </w:rPr>
          <w:fldChar w:fldCharType="begin"/>
        </w:r>
        <w:r>
          <w:rPr>
            <w:noProof/>
            <w:webHidden/>
          </w:rPr>
          <w:instrText xml:space="preserve"> PAGEREF _Toc416192699 \h </w:instrText>
        </w:r>
        <w:r>
          <w:rPr>
            <w:noProof/>
          </w:rPr>
        </w:r>
        <w:r>
          <w:rPr>
            <w:noProof/>
            <w:webHidden/>
          </w:rPr>
          <w:fldChar w:fldCharType="separate"/>
        </w:r>
        <w:r>
          <w:rPr>
            <w:noProof/>
            <w:webHidden/>
          </w:rPr>
          <w:t>901</w:t>
        </w:r>
        <w:r>
          <w:rPr>
            <w:noProof/>
            <w:webHidden/>
          </w:rPr>
          <w:fldChar w:fldCharType="end"/>
        </w:r>
      </w:hyperlink>
    </w:p>
    <w:p w:rsidR="0014388E" w:rsidRDefault="0014388E">
      <w:pPr>
        <w:pStyle w:val="Kazalovsebine3"/>
        <w:rPr>
          <w:rFonts w:eastAsia="SimSun"/>
          <w:noProof/>
          <w:snapToGrid/>
          <w:szCs w:val="24"/>
          <w:lang w:val="sl-SI"/>
        </w:rPr>
      </w:pPr>
      <w:hyperlink w:anchor="_Toc416192700" w:history="1">
        <w:r w:rsidRPr="00CF0C30">
          <w:rPr>
            <w:rStyle w:val="Hiperpovezava"/>
            <w:noProof/>
          </w:rPr>
          <w:t>16.8.1. Subject of the relevant consultation</w:t>
        </w:r>
        <w:r>
          <w:rPr>
            <w:noProof/>
            <w:webHidden/>
          </w:rPr>
          <w:tab/>
        </w:r>
        <w:r>
          <w:rPr>
            <w:noProof/>
            <w:webHidden/>
          </w:rPr>
          <w:fldChar w:fldCharType="begin"/>
        </w:r>
        <w:r>
          <w:rPr>
            <w:noProof/>
            <w:webHidden/>
          </w:rPr>
          <w:instrText xml:space="preserve"> PAGEREF _Toc416192700 \h </w:instrText>
        </w:r>
        <w:r>
          <w:rPr>
            <w:noProof/>
          </w:rPr>
        </w:r>
        <w:r>
          <w:rPr>
            <w:noProof/>
            <w:webHidden/>
          </w:rPr>
          <w:fldChar w:fldCharType="separate"/>
        </w:r>
        <w:r>
          <w:rPr>
            <w:noProof/>
            <w:webHidden/>
          </w:rPr>
          <w:t>901</w:t>
        </w:r>
        <w:r>
          <w:rPr>
            <w:noProof/>
            <w:webHidden/>
          </w:rPr>
          <w:fldChar w:fldCharType="end"/>
        </w:r>
      </w:hyperlink>
    </w:p>
    <w:p w:rsidR="0014388E" w:rsidRDefault="0014388E">
      <w:pPr>
        <w:pStyle w:val="Kazalovsebine3"/>
        <w:rPr>
          <w:rFonts w:eastAsia="SimSun"/>
          <w:noProof/>
          <w:snapToGrid/>
          <w:szCs w:val="24"/>
          <w:lang w:val="sl-SI"/>
        </w:rPr>
      </w:pPr>
      <w:hyperlink w:anchor="_Toc416192701" w:history="1">
        <w:r w:rsidRPr="00CF0C30">
          <w:rPr>
            <w:rStyle w:val="Hiperpovezava"/>
            <w:noProof/>
            <w:lang w:eastAsia="en-GB" w:bidi="en-GB"/>
          </w:rPr>
          <w:t>16.8.2.</w:t>
        </w:r>
        <w:r w:rsidRPr="00CF0C30">
          <w:rPr>
            <w:rStyle w:val="Hiperpovezava"/>
            <w:noProof/>
          </w:rPr>
          <w:t xml:space="preserve"> Summary of results</w:t>
        </w:r>
        <w:r>
          <w:rPr>
            <w:noProof/>
            <w:webHidden/>
          </w:rPr>
          <w:tab/>
        </w:r>
        <w:r>
          <w:rPr>
            <w:noProof/>
            <w:webHidden/>
          </w:rPr>
          <w:fldChar w:fldCharType="begin"/>
        </w:r>
        <w:r>
          <w:rPr>
            <w:noProof/>
            <w:webHidden/>
          </w:rPr>
          <w:instrText xml:space="preserve"> PAGEREF _Toc416192701 \h </w:instrText>
        </w:r>
        <w:r>
          <w:rPr>
            <w:noProof/>
          </w:rPr>
        </w:r>
        <w:r>
          <w:rPr>
            <w:noProof/>
            <w:webHidden/>
          </w:rPr>
          <w:fldChar w:fldCharType="separate"/>
        </w:r>
        <w:r>
          <w:rPr>
            <w:noProof/>
            <w:webHidden/>
          </w:rPr>
          <w:t>901</w:t>
        </w:r>
        <w:r>
          <w:rPr>
            <w:noProof/>
            <w:webHidden/>
          </w:rPr>
          <w:fldChar w:fldCharType="end"/>
        </w:r>
      </w:hyperlink>
    </w:p>
    <w:p w:rsidR="0014388E" w:rsidRDefault="0014388E" w:rsidP="0014388E">
      <w:pPr>
        <w:pStyle w:val="Kazalovsebine2"/>
        <w:tabs>
          <w:tab w:val="left" w:pos="851"/>
        </w:tabs>
        <w:rPr>
          <w:rFonts w:eastAsia="SimSun"/>
          <w:noProof/>
          <w:snapToGrid/>
          <w:szCs w:val="24"/>
          <w:lang w:val="sl-SI"/>
        </w:rPr>
      </w:pPr>
      <w:hyperlink w:anchor="_Toc416192702" w:history="1">
        <w:r w:rsidRPr="00CF0C30">
          <w:rPr>
            <w:rStyle w:val="Hiperpovezava"/>
            <w:noProof/>
            <w:lang w:eastAsia="en-GB" w:bidi="en-GB"/>
          </w:rPr>
          <w:t>16.9.</w:t>
        </w:r>
        <w:r w:rsidRPr="00CF0C30">
          <w:rPr>
            <w:rStyle w:val="Hiperpovezava"/>
            <w:noProof/>
          </w:rPr>
          <w:t xml:space="preserve"> i)</w:t>
        </w:r>
        <w:r>
          <w:rPr>
            <w:rFonts w:eastAsia="SimSun"/>
            <w:noProof/>
            <w:snapToGrid/>
            <w:szCs w:val="24"/>
            <w:lang w:val="sl-SI"/>
          </w:rPr>
          <w:tab/>
        </w:r>
        <w:r w:rsidRPr="00CF0C30">
          <w:rPr>
            <w:rStyle w:val="Hiperpovezava"/>
            <w:noProof/>
          </w:rPr>
          <w:t>Preparations for the Environmental report</w:t>
        </w:r>
        <w:r>
          <w:rPr>
            <w:noProof/>
            <w:webHidden/>
          </w:rPr>
          <w:tab/>
        </w:r>
        <w:r>
          <w:rPr>
            <w:noProof/>
            <w:webHidden/>
          </w:rPr>
          <w:fldChar w:fldCharType="begin"/>
        </w:r>
        <w:r>
          <w:rPr>
            <w:noProof/>
            <w:webHidden/>
          </w:rPr>
          <w:instrText xml:space="preserve"> PAGEREF _Toc416192702 \h </w:instrText>
        </w:r>
        <w:r>
          <w:rPr>
            <w:noProof/>
          </w:rPr>
        </w:r>
        <w:r>
          <w:rPr>
            <w:noProof/>
            <w:webHidden/>
          </w:rPr>
          <w:fldChar w:fldCharType="separate"/>
        </w:r>
        <w:r>
          <w:rPr>
            <w:noProof/>
            <w:webHidden/>
          </w:rPr>
          <w:t>901</w:t>
        </w:r>
        <w:r>
          <w:rPr>
            <w:noProof/>
            <w:webHidden/>
          </w:rPr>
          <w:fldChar w:fldCharType="end"/>
        </w:r>
      </w:hyperlink>
    </w:p>
    <w:p w:rsidR="0014388E" w:rsidRDefault="0014388E">
      <w:pPr>
        <w:pStyle w:val="Kazalovsebine3"/>
        <w:rPr>
          <w:rFonts w:eastAsia="SimSun"/>
          <w:noProof/>
          <w:snapToGrid/>
          <w:szCs w:val="24"/>
          <w:lang w:val="sl-SI"/>
        </w:rPr>
      </w:pPr>
      <w:hyperlink w:anchor="_Toc416192703" w:history="1">
        <w:r w:rsidRPr="00CF0C30">
          <w:rPr>
            <w:rStyle w:val="Hiperpovezava"/>
            <w:noProof/>
          </w:rPr>
          <w:t>16.9.1. Subject of the relevant consultation</w:t>
        </w:r>
        <w:r>
          <w:rPr>
            <w:noProof/>
            <w:webHidden/>
          </w:rPr>
          <w:tab/>
        </w:r>
        <w:r>
          <w:rPr>
            <w:noProof/>
            <w:webHidden/>
          </w:rPr>
          <w:fldChar w:fldCharType="begin"/>
        </w:r>
        <w:r>
          <w:rPr>
            <w:noProof/>
            <w:webHidden/>
          </w:rPr>
          <w:instrText xml:space="preserve"> PAGEREF _Toc416192703 \h </w:instrText>
        </w:r>
        <w:r>
          <w:rPr>
            <w:noProof/>
          </w:rPr>
        </w:r>
        <w:r>
          <w:rPr>
            <w:noProof/>
            <w:webHidden/>
          </w:rPr>
          <w:fldChar w:fldCharType="separate"/>
        </w:r>
        <w:r>
          <w:rPr>
            <w:noProof/>
            <w:webHidden/>
          </w:rPr>
          <w:t>901</w:t>
        </w:r>
        <w:r>
          <w:rPr>
            <w:noProof/>
            <w:webHidden/>
          </w:rPr>
          <w:fldChar w:fldCharType="end"/>
        </w:r>
      </w:hyperlink>
    </w:p>
    <w:p w:rsidR="0014388E" w:rsidRDefault="0014388E">
      <w:pPr>
        <w:pStyle w:val="Kazalovsebine3"/>
        <w:rPr>
          <w:rFonts w:eastAsia="SimSun"/>
          <w:noProof/>
          <w:snapToGrid/>
          <w:szCs w:val="24"/>
          <w:lang w:val="sl-SI"/>
        </w:rPr>
      </w:pPr>
      <w:hyperlink w:anchor="_Toc416192704" w:history="1">
        <w:r w:rsidRPr="00CF0C30">
          <w:rPr>
            <w:rStyle w:val="Hiperpovezava"/>
            <w:noProof/>
            <w:lang w:eastAsia="en-GB" w:bidi="en-GB"/>
          </w:rPr>
          <w:t>16.9.2.</w:t>
        </w:r>
        <w:r w:rsidRPr="00CF0C30">
          <w:rPr>
            <w:rStyle w:val="Hiperpovezava"/>
            <w:noProof/>
          </w:rPr>
          <w:t xml:space="preserve"> Summary of results</w:t>
        </w:r>
        <w:r>
          <w:rPr>
            <w:noProof/>
            <w:webHidden/>
          </w:rPr>
          <w:tab/>
        </w:r>
        <w:r>
          <w:rPr>
            <w:noProof/>
            <w:webHidden/>
          </w:rPr>
          <w:fldChar w:fldCharType="begin"/>
        </w:r>
        <w:r>
          <w:rPr>
            <w:noProof/>
            <w:webHidden/>
          </w:rPr>
          <w:instrText xml:space="preserve"> PAGEREF _Toc416192704 \h </w:instrText>
        </w:r>
        <w:r>
          <w:rPr>
            <w:noProof/>
          </w:rPr>
        </w:r>
        <w:r>
          <w:rPr>
            <w:noProof/>
            <w:webHidden/>
          </w:rPr>
          <w:fldChar w:fldCharType="separate"/>
        </w:r>
        <w:r>
          <w:rPr>
            <w:noProof/>
            <w:webHidden/>
          </w:rPr>
          <w:t>902</w:t>
        </w:r>
        <w:r>
          <w:rPr>
            <w:noProof/>
            <w:webHidden/>
          </w:rPr>
          <w:fldChar w:fldCharType="end"/>
        </w:r>
      </w:hyperlink>
    </w:p>
    <w:p w:rsidR="0014388E" w:rsidRDefault="0014388E">
      <w:pPr>
        <w:pStyle w:val="Kazalovsebine2"/>
        <w:rPr>
          <w:rFonts w:eastAsia="SimSun"/>
          <w:noProof/>
          <w:snapToGrid/>
          <w:szCs w:val="24"/>
          <w:lang w:val="sl-SI"/>
        </w:rPr>
      </w:pPr>
      <w:hyperlink w:anchor="_Toc416192705" w:history="1">
        <w:r w:rsidRPr="00CF0C30">
          <w:rPr>
            <w:rStyle w:val="Hiperpovezava"/>
            <w:noProof/>
            <w:lang w:eastAsia="en-GB" w:bidi="en-GB"/>
          </w:rPr>
          <w:t>16.10.</w:t>
        </w:r>
        <w:r w:rsidRPr="00CF0C30">
          <w:rPr>
            <w:rStyle w:val="Hiperpovezava"/>
            <w:noProof/>
          </w:rPr>
          <w:t xml:space="preserve"> j) Procedure with opinion-givers</w:t>
        </w:r>
        <w:r>
          <w:rPr>
            <w:noProof/>
            <w:webHidden/>
          </w:rPr>
          <w:tab/>
        </w:r>
        <w:r>
          <w:rPr>
            <w:noProof/>
            <w:webHidden/>
          </w:rPr>
          <w:fldChar w:fldCharType="begin"/>
        </w:r>
        <w:r>
          <w:rPr>
            <w:noProof/>
            <w:webHidden/>
          </w:rPr>
          <w:instrText xml:space="preserve"> PAGEREF _Toc416192705 \h </w:instrText>
        </w:r>
        <w:r>
          <w:rPr>
            <w:noProof/>
          </w:rPr>
        </w:r>
        <w:r>
          <w:rPr>
            <w:noProof/>
            <w:webHidden/>
          </w:rPr>
          <w:fldChar w:fldCharType="separate"/>
        </w:r>
        <w:r>
          <w:rPr>
            <w:noProof/>
            <w:webHidden/>
          </w:rPr>
          <w:t>902</w:t>
        </w:r>
        <w:r>
          <w:rPr>
            <w:noProof/>
            <w:webHidden/>
          </w:rPr>
          <w:fldChar w:fldCharType="end"/>
        </w:r>
      </w:hyperlink>
    </w:p>
    <w:p w:rsidR="0014388E" w:rsidRDefault="0014388E">
      <w:pPr>
        <w:pStyle w:val="Kazalovsebine3"/>
        <w:rPr>
          <w:rFonts w:eastAsia="SimSun"/>
          <w:noProof/>
          <w:snapToGrid/>
          <w:szCs w:val="24"/>
          <w:lang w:val="sl-SI"/>
        </w:rPr>
      </w:pPr>
      <w:hyperlink w:anchor="_Toc416192706" w:history="1">
        <w:r w:rsidRPr="00CF0C30">
          <w:rPr>
            <w:rStyle w:val="Hiperpovezava"/>
            <w:noProof/>
          </w:rPr>
          <w:t>16.10.1. Subject of the relevant consultation</w:t>
        </w:r>
        <w:r>
          <w:rPr>
            <w:noProof/>
            <w:webHidden/>
          </w:rPr>
          <w:tab/>
        </w:r>
        <w:r>
          <w:rPr>
            <w:noProof/>
            <w:webHidden/>
          </w:rPr>
          <w:fldChar w:fldCharType="begin"/>
        </w:r>
        <w:r>
          <w:rPr>
            <w:noProof/>
            <w:webHidden/>
          </w:rPr>
          <w:instrText xml:space="preserve"> PAGEREF _Toc416192706 \h </w:instrText>
        </w:r>
        <w:r>
          <w:rPr>
            <w:noProof/>
          </w:rPr>
        </w:r>
        <w:r>
          <w:rPr>
            <w:noProof/>
            <w:webHidden/>
          </w:rPr>
          <w:fldChar w:fldCharType="separate"/>
        </w:r>
        <w:r>
          <w:rPr>
            <w:noProof/>
            <w:webHidden/>
          </w:rPr>
          <w:t>902</w:t>
        </w:r>
        <w:r>
          <w:rPr>
            <w:noProof/>
            <w:webHidden/>
          </w:rPr>
          <w:fldChar w:fldCharType="end"/>
        </w:r>
      </w:hyperlink>
    </w:p>
    <w:p w:rsidR="0014388E" w:rsidRDefault="0014388E">
      <w:pPr>
        <w:pStyle w:val="Kazalovsebine3"/>
        <w:rPr>
          <w:rFonts w:eastAsia="SimSun"/>
          <w:noProof/>
          <w:snapToGrid/>
          <w:szCs w:val="24"/>
          <w:lang w:val="sl-SI"/>
        </w:rPr>
      </w:pPr>
      <w:hyperlink w:anchor="_Toc416192707" w:history="1">
        <w:r w:rsidRPr="00CF0C30">
          <w:rPr>
            <w:rStyle w:val="Hiperpovezava"/>
            <w:noProof/>
            <w:lang w:eastAsia="en-GB" w:bidi="en-GB"/>
          </w:rPr>
          <w:t>16.10.2.</w:t>
        </w:r>
        <w:r w:rsidRPr="00CF0C30">
          <w:rPr>
            <w:rStyle w:val="Hiperpovezava"/>
            <w:noProof/>
          </w:rPr>
          <w:t xml:space="preserve"> Summary of results</w:t>
        </w:r>
        <w:r>
          <w:rPr>
            <w:noProof/>
            <w:webHidden/>
          </w:rPr>
          <w:tab/>
        </w:r>
        <w:r>
          <w:rPr>
            <w:noProof/>
            <w:webHidden/>
          </w:rPr>
          <w:fldChar w:fldCharType="begin"/>
        </w:r>
        <w:r>
          <w:rPr>
            <w:noProof/>
            <w:webHidden/>
          </w:rPr>
          <w:instrText xml:space="preserve"> PAGEREF _Toc416192707 \h </w:instrText>
        </w:r>
        <w:r>
          <w:rPr>
            <w:noProof/>
          </w:rPr>
        </w:r>
        <w:r>
          <w:rPr>
            <w:noProof/>
            <w:webHidden/>
          </w:rPr>
          <w:fldChar w:fldCharType="separate"/>
        </w:r>
        <w:r>
          <w:rPr>
            <w:noProof/>
            <w:webHidden/>
          </w:rPr>
          <w:t>903</w:t>
        </w:r>
        <w:r>
          <w:rPr>
            <w:noProof/>
            <w:webHidden/>
          </w:rPr>
          <w:fldChar w:fldCharType="end"/>
        </w:r>
      </w:hyperlink>
    </w:p>
    <w:p w:rsidR="0014388E" w:rsidRDefault="0014388E">
      <w:pPr>
        <w:pStyle w:val="Kazalovsebine2"/>
        <w:rPr>
          <w:rFonts w:eastAsia="SimSun"/>
          <w:noProof/>
          <w:snapToGrid/>
          <w:szCs w:val="24"/>
          <w:lang w:val="sl-SI"/>
        </w:rPr>
      </w:pPr>
      <w:hyperlink w:anchor="_Toc416192708" w:history="1">
        <w:r w:rsidRPr="00CF0C30">
          <w:rPr>
            <w:rStyle w:val="Hiperpovezava"/>
            <w:noProof/>
            <w:lang w:eastAsia="en-GB" w:bidi="en-GB"/>
          </w:rPr>
          <w:t>16.11.</w:t>
        </w:r>
        <w:r w:rsidRPr="00CF0C30">
          <w:rPr>
            <w:rStyle w:val="Hiperpovezava"/>
            <w:noProof/>
          </w:rPr>
          <w:t xml:space="preserve"> k) A public presentation of the Environmental report and the Appendix on Protected Areas for the RDP 2014-2020</w:t>
        </w:r>
        <w:r>
          <w:rPr>
            <w:noProof/>
            <w:webHidden/>
          </w:rPr>
          <w:tab/>
        </w:r>
        <w:r>
          <w:rPr>
            <w:noProof/>
            <w:webHidden/>
          </w:rPr>
          <w:fldChar w:fldCharType="begin"/>
        </w:r>
        <w:r>
          <w:rPr>
            <w:noProof/>
            <w:webHidden/>
          </w:rPr>
          <w:instrText xml:space="preserve"> PAGEREF _Toc416192708 \h </w:instrText>
        </w:r>
        <w:r>
          <w:rPr>
            <w:noProof/>
          </w:rPr>
        </w:r>
        <w:r>
          <w:rPr>
            <w:noProof/>
            <w:webHidden/>
          </w:rPr>
          <w:fldChar w:fldCharType="separate"/>
        </w:r>
        <w:r>
          <w:rPr>
            <w:noProof/>
            <w:webHidden/>
          </w:rPr>
          <w:t>903</w:t>
        </w:r>
        <w:r>
          <w:rPr>
            <w:noProof/>
            <w:webHidden/>
          </w:rPr>
          <w:fldChar w:fldCharType="end"/>
        </w:r>
      </w:hyperlink>
    </w:p>
    <w:p w:rsidR="0014388E" w:rsidRDefault="0014388E">
      <w:pPr>
        <w:pStyle w:val="Kazalovsebine3"/>
        <w:rPr>
          <w:rFonts w:eastAsia="SimSun"/>
          <w:noProof/>
          <w:snapToGrid/>
          <w:szCs w:val="24"/>
          <w:lang w:val="sl-SI"/>
        </w:rPr>
      </w:pPr>
      <w:hyperlink w:anchor="_Toc416192709" w:history="1">
        <w:r w:rsidRPr="00CF0C30">
          <w:rPr>
            <w:rStyle w:val="Hiperpovezava"/>
            <w:noProof/>
          </w:rPr>
          <w:t>16.11.1. Subject of the relevant consultation</w:t>
        </w:r>
        <w:r>
          <w:rPr>
            <w:noProof/>
            <w:webHidden/>
          </w:rPr>
          <w:tab/>
        </w:r>
        <w:r>
          <w:rPr>
            <w:noProof/>
            <w:webHidden/>
          </w:rPr>
          <w:fldChar w:fldCharType="begin"/>
        </w:r>
        <w:r>
          <w:rPr>
            <w:noProof/>
            <w:webHidden/>
          </w:rPr>
          <w:instrText xml:space="preserve"> PAGEREF _Toc416192709 \h </w:instrText>
        </w:r>
        <w:r>
          <w:rPr>
            <w:noProof/>
          </w:rPr>
        </w:r>
        <w:r>
          <w:rPr>
            <w:noProof/>
            <w:webHidden/>
          </w:rPr>
          <w:fldChar w:fldCharType="separate"/>
        </w:r>
        <w:r>
          <w:rPr>
            <w:noProof/>
            <w:webHidden/>
          </w:rPr>
          <w:t>903</w:t>
        </w:r>
        <w:r>
          <w:rPr>
            <w:noProof/>
            <w:webHidden/>
          </w:rPr>
          <w:fldChar w:fldCharType="end"/>
        </w:r>
      </w:hyperlink>
    </w:p>
    <w:p w:rsidR="0014388E" w:rsidRDefault="0014388E">
      <w:pPr>
        <w:pStyle w:val="Kazalovsebine3"/>
        <w:rPr>
          <w:rFonts w:eastAsia="SimSun"/>
          <w:noProof/>
          <w:snapToGrid/>
          <w:szCs w:val="24"/>
          <w:lang w:val="sl-SI"/>
        </w:rPr>
      </w:pPr>
      <w:hyperlink w:anchor="_Toc416192710" w:history="1">
        <w:r w:rsidRPr="00CF0C30">
          <w:rPr>
            <w:rStyle w:val="Hiperpovezava"/>
            <w:noProof/>
            <w:lang w:eastAsia="en-GB" w:bidi="en-GB"/>
          </w:rPr>
          <w:t>16.11.2.</w:t>
        </w:r>
        <w:r w:rsidRPr="00CF0C30">
          <w:rPr>
            <w:rStyle w:val="Hiperpovezava"/>
            <w:noProof/>
          </w:rPr>
          <w:t xml:space="preserve"> Summary of results</w:t>
        </w:r>
        <w:r>
          <w:rPr>
            <w:noProof/>
            <w:webHidden/>
          </w:rPr>
          <w:tab/>
        </w:r>
        <w:r>
          <w:rPr>
            <w:noProof/>
            <w:webHidden/>
          </w:rPr>
          <w:fldChar w:fldCharType="begin"/>
        </w:r>
        <w:r>
          <w:rPr>
            <w:noProof/>
            <w:webHidden/>
          </w:rPr>
          <w:instrText xml:space="preserve"> PAGEREF _Toc416192710 \h </w:instrText>
        </w:r>
        <w:r>
          <w:rPr>
            <w:noProof/>
          </w:rPr>
        </w:r>
        <w:r>
          <w:rPr>
            <w:noProof/>
            <w:webHidden/>
          </w:rPr>
          <w:fldChar w:fldCharType="separate"/>
        </w:r>
        <w:r>
          <w:rPr>
            <w:noProof/>
            <w:webHidden/>
          </w:rPr>
          <w:t>904</w:t>
        </w:r>
        <w:r>
          <w:rPr>
            <w:noProof/>
            <w:webHidden/>
          </w:rPr>
          <w:fldChar w:fldCharType="end"/>
        </w:r>
      </w:hyperlink>
    </w:p>
    <w:p w:rsidR="0014388E" w:rsidRDefault="0014388E">
      <w:pPr>
        <w:pStyle w:val="Kazalovsebine2"/>
        <w:rPr>
          <w:rFonts w:eastAsia="SimSun"/>
          <w:noProof/>
          <w:snapToGrid/>
          <w:szCs w:val="24"/>
          <w:lang w:val="sl-SI"/>
        </w:rPr>
      </w:pPr>
      <w:hyperlink w:anchor="_Toc416192711" w:history="1">
        <w:r w:rsidRPr="00CF0C30">
          <w:rPr>
            <w:rStyle w:val="Hiperpovezava"/>
            <w:noProof/>
            <w:lang w:eastAsia="en-GB" w:bidi="en-GB"/>
          </w:rPr>
          <w:t>16.12.</w:t>
        </w:r>
        <w:r w:rsidRPr="00CF0C30">
          <w:rPr>
            <w:rStyle w:val="Hiperpovezava"/>
            <w:noProof/>
          </w:rPr>
          <w:t xml:space="preserve"> (Optional) explanations or additional information to the list of measures</w:t>
        </w:r>
        <w:r>
          <w:rPr>
            <w:noProof/>
            <w:webHidden/>
          </w:rPr>
          <w:tab/>
        </w:r>
        <w:r>
          <w:rPr>
            <w:noProof/>
            <w:webHidden/>
          </w:rPr>
          <w:fldChar w:fldCharType="begin"/>
        </w:r>
        <w:r>
          <w:rPr>
            <w:noProof/>
            <w:webHidden/>
          </w:rPr>
          <w:instrText xml:space="preserve"> PAGEREF _Toc416192711 \h </w:instrText>
        </w:r>
        <w:r>
          <w:rPr>
            <w:noProof/>
          </w:rPr>
        </w:r>
        <w:r>
          <w:rPr>
            <w:noProof/>
            <w:webHidden/>
          </w:rPr>
          <w:fldChar w:fldCharType="separate"/>
        </w:r>
        <w:r>
          <w:rPr>
            <w:noProof/>
            <w:webHidden/>
          </w:rPr>
          <w:t>904</w:t>
        </w:r>
        <w:r>
          <w:rPr>
            <w:noProof/>
            <w:webHidden/>
          </w:rPr>
          <w:fldChar w:fldCharType="end"/>
        </w:r>
      </w:hyperlink>
    </w:p>
    <w:p w:rsidR="0014388E" w:rsidRDefault="0014388E">
      <w:pPr>
        <w:pStyle w:val="Kazalovsebine1"/>
        <w:rPr>
          <w:rFonts w:eastAsia="SimSun"/>
          <w:caps w:val="0"/>
          <w:noProof/>
          <w:snapToGrid/>
          <w:szCs w:val="24"/>
          <w:lang w:val="sl-SI"/>
        </w:rPr>
      </w:pPr>
      <w:hyperlink w:anchor="_Toc416192712" w:history="1">
        <w:r w:rsidRPr="00CF0C30">
          <w:rPr>
            <w:rStyle w:val="Hiperpovezava"/>
            <w:noProof/>
            <w:lang w:eastAsia="en-GB" w:bidi="en-GB"/>
          </w:rPr>
          <w:t>17.</w:t>
        </w:r>
        <w:r w:rsidRPr="00CF0C30">
          <w:rPr>
            <w:rStyle w:val="Hiperpovezava"/>
            <w:noProof/>
          </w:rPr>
          <w:t xml:space="preserve"> National Rural Network</w:t>
        </w:r>
        <w:r>
          <w:rPr>
            <w:noProof/>
            <w:webHidden/>
          </w:rPr>
          <w:tab/>
        </w:r>
        <w:r>
          <w:rPr>
            <w:noProof/>
            <w:webHidden/>
          </w:rPr>
          <w:fldChar w:fldCharType="begin"/>
        </w:r>
        <w:r>
          <w:rPr>
            <w:noProof/>
            <w:webHidden/>
          </w:rPr>
          <w:instrText xml:space="preserve"> PAGEREF _Toc416192712 \h </w:instrText>
        </w:r>
        <w:r>
          <w:rPr>
            <w:noProof/>
          </w:rPr>
        </w:r>
        <w:r>
          <w:rPr>
            <w:noProof/>
            <w:webHidden/>
          </w:rPr>
          <w:fldChar w:fldCharType="separate"/>
        </w:r>
        <w:r>
          <w:rPr>
            <w:noProof/>
            <w:webHidden/>
          </w:rPr>
          <w:t>907</w:t>
        </w:r>
        <w:r>
          <w:rPr>
            <w:noProof/>
            <w:webHidden/>
          </w:rPr>
          <w:fldChar w:fldCharType="end"/>
        </w:r>
      </w:hyperlink>
    </w:p>
    <w:p w:rsidR="0014388E" w:rsidRDefault="0014388E">
      <w:pPr>
        <w:pStyle w:val="Kazalovsebine2"/>
        <w:rPr>
          <w:rFonts w:eastAsia="SimSun"/>
          <w:noProof/>
          <w:snapToGrid/>
          <w:szCs w:val="24"/>
          <w:lang w:val="sl-SI"/>
        </w:rPr>
      </w:pPr>
      <w:hyperlink w:anchor="_Toc416192713" w:history="1">
        <w:r w:rsidRPr="00CF0C30">
          <w:rPr>
            <w:rStyle w:val="Hiperpovezava"/>
            <w:noProof/>
          </w:rPr>
          <w:t>17.1. Procedure and time schedule for establishing of the National Rural Network</w:t>
        </w:r>
        <w:r>
          <w:rPr>
            <w:noProof/>
            <w:webHidden/>
          </w:rPr>
          <w:tab/>
        </w:r>
        <w:r>
          <w:rPr>
            <w:noProof/>
            <w:webHidden/>
          </w:rPr>
          <w:fldChar w:fldCharType="begin"/>
        </w:r>
        <w:r>
          <w:rPr>
            <w:noProof/>
            <w:webHidden/>
          </w:rPr>
          <w:instrText xml:space="preserve"> PAGEREF _Toc416192713 \h </w:instrText>
        </w:r>
        <w:r>
          <w:rPr>
            <w:noProof/>
          </w:rPr>
        </w:r>
        <w:r>
          <w:rPr>
            <w:noProof/>
            <w:webHidden/>
          </w:rPr>
          <w:fldChar w:fldCharType="separate"/>
        </w:r>
        <w:r>
          <w:rPr>
            <w:noProof/>
            <w:webHidden/>
          </w:rPr>
          <w:t>907</w:t>
        </w:r>
        <w:r>
          <w:rPr>
            <w:noProof/>
            <w:webHidden/>
          </w:rPr>
          <w:fldChar w:fldCharType="end"/>
        </w:r>
      </w:hyperlink>
    </w:p>
    <w:p w:rsidR="0014388E" w:rsidRDefault="0014388E">
      <w:pPr>
        <w:pStyle w:val="Kazalovsebine2"/>
        <w:rPr>
          <w:rFonts w:eastAsia="SimSun"/>
          <w:noProof/>
          <w:snapToGrid/>
          <w:szCs w:val="24"/>
          <w:lang w:val="sl-SI"/>
        </w:rPr>
      </w:pPr>
      <w:hyperlink w:anchor="_Toc416192714" w:history="1">
        <w:r w:rsidRPr="00CF0C30">
          <w:rPr>
            <w:rStyle w:val="Hiperpovezava"/>
            <w:noProof/>
            <w:lang w:eastAsia="en-GB" w:bidi="en-GB"/>
          </w:rPr>
          <w:t>17.2.</w:t>
        </w:r>
        <w:r w:rsidRPr="00CF0C30">
          <w:rPr>
            <w:rStyle w:val="Hiperpovezava"/>
            <w:noProof/>
          </w:rPr>
          <w:t xml:space="preserve"> Planned Network organisation, in particular the manner of integrating organisations and managements participating in the rural development, including partners, pursuant to Article 54(1) of Regulation (EU) No 1305/2013 and how the cooperation activities will be promoted</w:t>
        </w:r>
        <w:r>
          <w:rPr>
            <w:noProof/>
            <w:webHidden/>
          </w:rPr>
          <w:tab/>
        </w:r>
        <w:r>
          <w:rPr>
            <w:noProof/>
            <w:webHidden/>
          </w:rPr>
          <w:fldChar w:fldCharType="begin"/>
        </w:r>
        <w:r>
          <w:rPr>
            <w:noProof/>
            <w:webHidden/>
          </w:rPr>
          <w:instrText xml:space="preserve"> PAGEREF _Toc416192714 \h </w:instrText>
        </w:r>
        <w:r>
          <w:rPr>
            <w:noProof/>
          </w:rPr>
        </w:r>
        <w:r>
          <w:rPr>
            <w:noProof/>
            <w:webHidden/>
          </w:rPr>
          <w:fldChar w:fldCharType="separate"/>
        </w:r>
        <w:r>
          <w:rPr>
            <w:noProof/>
            <w:webHidden/>
          </w:rPr>
          <w:t>907</w:t>
        </w:r>
        <w:r>
          <w:rPr>
            <w:noProof/>
            <w:webHidden/>
          </w:rPr>
          <w:fldChar w:fldCharType="end"/>
        </w:r>
      </w:hyperlink>
    </w:p>
    <w:p w:rsidR="0014388E" w:rsidRDefault="0014388E">
      <w:pPr>
        <w:pStyle w:val="Kazalovsebine2"/>
        <w:rPr>
          <w:rFonts w:eastAsia="SimSun"/>
          <w:noProof/>
          <w:snapToGrid/>
          <w:szCs w:val="24"/>
          <w:lang w:val="sl-SI"/>
        </w:rPr>
      </w:pPr>
      <w:hyperlink w:anchor="_Toc416192715" w:history="1">
        <w:r w:rsidRPr="00CF0C30">
          <w:rPr>
            <w:rStyle w:val="Hiperpovezava"/>
            <w:noProof/>
            <w:lang w:eastAsia="en-GB" w:bidi="en-GB"/>
          </w:rPr>
          <w:t>17.3.</w:t>
        </w:r>
        <w:r w:rsidRPr="00CF0C30">
          <w:rPr>
            <w:rStyle w:val="Hiperpovezava"/>
            <w:noProof/>
          </w:rPr>
          <w:t xml:space="preserve"> Short description of the main categories of activities of the National Rural Network according to the programme objectives</w:t>
        </w:r>
        <w:r>
          <w:rPr>
            <w:noProof/>
            <w:webHidden/>
          </w:rPr>
          <w:tab/>
        </w:r>
        <w:r>
          <w:rPr>
            <w:noProof/>
            <w:webHidden/>
          </w:rPr>
          <w:fldChar w:fldCharType="begin"/>
        </w:r>
        <w:r>
          <w:rPr>
            <w:noProof/>
            <w:webHidden/>
          </w:rPr>
          <w:instrText xml:space="preserve"> PAGEREF _Toc416192715 \h </w:instrText>
        </w:r>
        <w:r>
          <w:rPr>
            <w:noProof/>
          </w:rPr>
        </w:r>
        <w:r>
          <w:rPr>
            <w:noProof/>
            <w:webHidden/>
          </w:rPr>
          <w:fldChar w:fldCharType="separate"/>
        </w:r>
        <w:r>
          <w:rPr>
            <w:noProof/>
            <w:webHidden/>
          </w:rPr>
          <w:t>910</w:t>
        </w:r>
        <w:r>
          <w:rPr>
            <w:noProof/>
            <w:webHidden/>
          </w:rPr>
          <w:fldChar w:fldCharType="end"/>
        </w:r>
      </w:hyperlink>
    </w:p>
    <w:p w:rsidR="0014388E" w:rsidRDefault="0014388E">
      <w:pPr>
        <w:pStyle w:val="Kazalovsebine2"/>
        <w:rPr>
          <w:rFonts w:eastAsia="SimSun"/>
          <w:noProof/>
          <w:snapToGrid/>
          <w:szCs w:val="24"/>
          <w:lang w:val="sl-SI"/>
        </w:rPr>
      </w:pPr>
      <w:hyperlink w:anchor="_Toc416192716" w:history="1">
        <w:r w:rsidRPr="00CF0C30">
          <w:rPr>
            <w:rStyle w:val="Hiperpovezava"/>
            <w:noProof/>
            <w:lang w:eastAsia="en-GB" w:bidi="en-GB"/>
          </w:rPr>
          <w:t>17.4.</w:t>
        </w:r>
        <w:r w:rsidRPr="00CF0C30">
          <w:rPr>
            <w:rStyle w:val="Hiperpovezava"/>
            <w:noProof/>
          </w:rPr>
          <w:t xml:space="preserve"> Available funds for the establishment and operation of the National Rural Network</w:t>
        </w:r>
        <w:r>
          <w:rPr>
            <w:noProof/>
            <w:webHidden/>
          </w:rPr>
          <w:tab/>
        </w:r>
        <w:r>
          <w:rPr>
            <w:noProof/>
            <w:webHidden/>
          </w:rPr>
          <w:fldChar w:fldCharType="begin"/>
        </w:r>
        <w:r>
          <w:rPr>
            <w:noProof/>
            <w:webHidden/>
          </w:rPr>
          <w:instrText xml:space="preserve"> PAGEREF _Toc416192716 \h </w:instrText>
        </w:r>
        <w:r>
          <w:rPr>
            <w:noProof/>
          </w:rPr>
        </w:r>
        <w:r>
          <w:rPr>
            <w:noProof/>
            <w:webHidden/>
          </w:rPr>
          <w:fldChar w:fldCharType="separate"/>
        </w:r>
        <w:r>
          <w:rPr>
            <w:noProof/>
            <w:webHidden/>
          </w:rPr>
          <w:t>915</w:t>
        </w:r>
        <w:r>
          <w:rPr>
            <w:noProof/>
            <w:webHidden/>
          </w:rPr>
          <w:fldChar w:fldCharType="end"/>
        </w:r>
      </w:hyperlink>
    </w:p>
    <w:p w:rsidR="0014388E" w:rsidRDefault="0014388E">
      <w:pPr>
        <w:pStyle w:val="Kazalovsebine1"/>
        <w:rPr>
          <w:rFonts w:eastAsia="SimSun"/>
          <w:caps w:val="0"/>
          <w:noProof/>
          <w:snapToGrid/>
          <w:szCs w:val="24"/>
          <w:lang w:val="sl-SI"/>
        </w:rPr>
      </w:pPr>
      <w:hyperlink w:anchor="_Toc416192717" w:history="1">
        <w:r w:rsidRPr="00CF0C30">
          <w:rPr>
            <w:rStyle w:val="Hiperpovezava"/>
            <w:noProof/>
            <w:lang w:eastAsia="en-GB" w:bidi="en-GB"/>
          </w:rPr>
          <w:t>18.</w:t>
        </w:r>
        <w:r w:rsidRPr="00CF0C30">
          <w:rPr>
            <w:rStyle w:val="Hiperpovezava"/>
            <w:noProof/>
          </w:rPr>
          <w:t xml:space="preserve"> Preliminary assessment of verifiability, possibilities of control and risks of errors</w:t>
        </w:r>
        <w:r>
          <w:rPr>
            <w:noProof/>
            <w:webHidden/>
          </w:rPr>
          <w:tab/>
        </w:r>
        <w:r>
          <w:rPr>
            <w:noProof/>
            <w:webHidden/>
          </w:rPr>
          <w:fldChar w:fldCharType="begin"/>
        </w:r>
        <w:r>
          <w:rPr>
            <w:noProof/>
            <w:webHidden/>
          </w:rPr>
          <w:instrText xml:space="preserve"> PAGEREF _Toc416192717 \h </w:instrText>
        </w:r>
        <w:r>
          <w:rPr>
            <w:noProof/>
          </w:rPr>
        </w:r>
        <w:r>
          <w:rPr>
            <w:noProof/>
            <w:webHidden/>
          </w:rPr>
          <w:fldChar w:fldCharType="separate"/>
        </w:r>
        <w:r>
          <w:rPr>
            <w:noProof/>
            <w:webHidden/>
          </w:rPr>
          <w:t>917</w:t>
        </w:r>
        <w:r>
          <w:rPr>
            <w:noProof/>
            <w:webHidden/>
          </w:rPr>
          <w:fldChar w:fldCharType="end"/>
        </w:r>
      </w:hyperlink>
    </w:p>
    <w:p w:rsidR="0014388E" w:rsidRDefault="0014388E">
      <w:pPr>
        <w:pStyle w:val="Kazalovsebine2"/>
        <w:rPr>
          <w:rFonts w:eastAsia="SimSun"/>
          <w:noProof/>
          <w:snapToGrid/>
          <w:szCs w:val="24"/>
          <w:lang w:val="sl-SI"/>
        </w:rPr>
      </w:pPr>
      <w:hyperlink w:anchor="_Toc416192718" w:history="1">
        <w:r w:rsidRPr="00CF0C30">
          <w:rPr>
            <w:rStyle w:val="Hiperpovezava"/>
            <w:noProof/>
          </w:rPr>
          <w:t>18.1. The statement of the managing authority and the Paying Agency on the verifiability and options of controlling the measures receiving support under the rural development programme</w:t>
        </w:r>
        <w:r>
          <w:rPr>
            <w:noProof/>
            <w:webHidden/>
          </w:rPr>
          <w:tab/>
        </w:r>
        <w:r>
          <w:rPr>
            <w:noProof/>
            <w:webHidden/>
          </w:rPr>
          <w:fldChar w:fldCharType="begin"/>
        </w:r>
        <w:r>
          <w:rPr>
            <w:noProof/>
            <w:webHidden/>
          </w:rPr>
          <w:instrText xml:space="preserve"> PAGEREF _Toc416192718 \h </w:instrText>
        </w:r>
        <w:r>
          <w:rPr>
            <w:noProof/>
          </w:rPr>
        </w:r>
        <w:r>
          <w:rPr>
            <w:noProof/>
            <w:webHidden/>
          </w:rPr>
          <w:fldChar w:fldCharType="separate"/>
        </w:r>
        <w:r>
          <w:rPr>
            <w:noProof/>
            <w:webHidden/>
          </w:rPr>
          <w:t>917</w:t>
        </w:r>
        <w:r>
          <w:rPr>
            <w:noProof/>
            <w:webHidden/>
          </w:rPr>
          <w:fldChar w:fldCharType="end"/>
        </w:r>
      </w:hyperlink>
    </w:p>
    <w:p w:rsidR="0014388E" w:rsidRDefault="0014388E">
      <w:pPr>
        <w:pStyle w:val="Kazalovsebine2"/>
        <w:rPr>
          <w:rFonts w:eastAsia="SimSun"/>
          <w:noProof/>
          <w:snapToGrid/>
          <w:szCs w:val="24"/>
          <w:lang w:val="sl-SI"/>
        </w:rPr>
      </w:pPr>
      <w:hyperlink w:anchor="_Toc416192719" w:history="1">
        <w:r w:rsidRPr="00CF0C30">
          <w:rPr>
            <w:rStyle w:val="Hiperpovezava"/>
            <w:noProof/>
            <w:lang w:eastAsia="en-GB" w:bidi="en-GB"/>
          </w:rPr>
          <w:t>18.2.</w:t>
        </w:r>
        <w:r w:rsidRPr="00CF0C30">
          <w:rPr>
            <w:rStyle w:val="Hiperpovezava"/>
            <w:noProof/>
          </w:rPr>
          <w:t xml:space="preserve"> Statement of the functionally independent authority under Article 62(2) of Regulation (EU) No 1305/2013 which confirms the adequacy and precision of the calculations of standard costs, additional costs and loss of income.</w:t>
        </w:r>
        <w:r>
          <w:rPr>
            <w:noProof/>
            <w:webHidden/>
          </w:rPr>
          <w:tab/>
        </w:r>
        <w:r>
          <w:rPr>
            <w:noProof/>
            <w:webHidden/>
          </w:rPr>
          <w:fldChar w:fldCharType="begin"/>
        </w:r>
        <w:r>
          <w:rPr>
            <w:noProof/>
            <w:webHidden/>
          </w:rPr>
          <w:instrText xml:space="preserve"> PAGEREF _Toc416192719 \h </w:instrText>
        </w:r>
        <w:r>
          <w:rPr>
            <w:noProof/>
          </w:rPr>
        </w:r>
        <w:r>
          <w:rPr>
            <w:noProof/>
            <w:webHidden/>
          </w:rPr>
          <w:fldChar w:fldCharType="separate"/>
        </w:r>
        <w:r>
          <w:rPr>
            <w:noProof/>
            <w:webHidden/>
          </w:rPr>
          <w:t>917</w:t>
        </w:r>
        <w:r>
          <w:rPr>
            <w:noProof/>
            <w:webHidden/>
          </w:rPr>
          <w:fldChar w:fldCharType="end"/>
        </w:r>
      </w:hyperlink>
    </w:p>
    <w:p w:rsidR="0014388E" w:rsidRDefault="0014388E">
      <w:pPr>
        <w:pStyle w:val="Kazalovsebine1"/>
        <w:rPr>
          <w:rFonts w:eastAsia="SimSun"/>
          <w:caps w:val="0"/>
          <w:noProof/>
          <w:snapToGrid/>
          <w:szCs w:val="24"/>
          <w:lang w:val="sl-SI"/>
        </w:rPr>
      </w:pPr>
      <w:hyperlink w:anchor="_Toc416192720" w:history="1">
        <w:r w:rsidRPr="00CF0C30">
          <w:rPr>
            <w:rStyle w:val="Hiperpovezava"/>
            <w:noProof/>
            <w:lang w:eastAsia="en-GB" w:bidi="en-GB"/>
          </w:rPr>
          <w:t>19.</w:t>
        </w:r>
        <w:r w:rsidRPr="00CF0C30">
          <w:rPr>
            <w:rStyle w:val="Hiperpovezava"/>
            <w:noProof/>
          </w:rPr>
          <w:t xml:space="preserve"> Transitional arrangements</w:t>
        </w:r>
        <w:r>
          <w:rPr>
            <w:noProof/>
            <w:webHidden/>
          </w:rPr>
          <w:tab/>
        </w:r>
        <w:r>
          <w:rPr>
            <w:noProof/>
            <w:webHidden/>
          </w:rPr>
          <w:fldChar w:fldCharType="begin"/>
        </w:r>
        <w:r>
          <w:rPr>
            <w:noProof/>
            <w:webHidden/>
          </w:rPr>
          <w:instrText xml:space="preserve"> PAGEREF _Toc416192720 \h </w:instrText>
        </w:r>
        <w:r>
          <w:rPr>
            <w:noProof/>
          </w:rPr>
        </w:r>
        <w:r>
          <w:rPr>
            <w:noProof/>
            <w:webHidden/>
          </w:rPr>
          <w:fldChar w:fldCharType="separate"/>
        </w:r>
        <w:r>
          <w:rPr>
            <w:noProof/>
            <w:webHidden/>
          </w:rPr>
          <w:t>918</w:t>
        </w:r>
        <w:r>
          <w:rPr>
            <w:noProof/>
            <w:webHidden/>
          </w:rPr>
          <w:fldChar w:fldCharType="end"/>
        </w:r>
      </w:hyperlink>
    </w:p>
    <w:p w:rsidR="0014388E" w:rsidRDefault="0014388E">
      <w:pPr>
        <w:pStyle w:val="Kazalovsebine2"/>
        <w:rPr>
          <w:rFonts w:eastAsia="SimSun"/>
          <w:noProof/>
          <w:snapToGrid/>
          <w:szCs w:val="24"/>
          <w:lang w:val="sl-SI"/>
        </w:rPr>
      </w:pPr>
      <w:hyperlink w:anchor="_Toc416192721" w:history="1">
        <w:r w:rsidRPr="00CF0C30">
          <w:rPr>
            <w:rStyle w:val="Hiperpovezava"/>
            <w:noProof/>
          </w:rPr>
          <w:t>19.1. Description of transitional conditions by measures</w:t>
        </w:r>
        <w:r>
          <w:rPr>
            <w:noProof/>
            <w:webHidden/>
          </w:rPr>
          <w:tab/>
        </w:r>
        <w:r>
          <w:rPr>
            <w:noProof/>
            <w:webHidden/>
          </w:rPr>
          <w:fldChar w:fldCharType="begin"/>
        </w:r>
        <w:r>
          <w:rPr>
            <w:noProof/>
            <w:webHidden/>
          </w:rPr>
          <w:instrText xml:space="preserve"> PAGEREF _Toc416192721 \h </w:instrText>
        </w:r>
        <w:r>
          <w:rPr>
            <w:noProof/>
          </w:rPr>
        </w:r>
        <w:r>
          <w:rPr>
            <w:noProof/>
            <w:webHidden/>
          </w:rPr>
          <w:fldChar w:fldCharType="separate"/>
        </w:r>
        <w:r>
          <w:rPr>
            <w:noProof/>
            <w:webHidden/>
          </w:rPr>
          <w:t>918</w:t>
        </w:r>
        <w:r>
          <w:rPr>
            <w:noProof/>
            <w:webHidden/>
          </w:rPr>
          <w:fldChar w:fldCharType="end"/>
        </w:r>
      </w:hyperlink>
    </w:p>
    <w:p w:rsidR="0014388E" w:rsidRDefault="0014388E">
      <w:pPr>
        <w:pStyle w:val="Kazalovsebine2"/>
        <w:rPr>
          <w:rFonts w:eastAsia="SimSun"/>
          <w:noProof/>
          <w:snapToGrid/>
          <w:szCs w:val="24"/>
          <w:lang w:val="sl-SI"/>
        </w:rPr>
      </w:pPr>
      <w:hyperlink w:anchor="_Toc416192722" w:history="1">
        <w:r w:rsidRPr="00CF0C30">
          <w:rPr>
            <w:rStyle w:val="Hiperpovezava"/>
            <w:noProof/>
            <w:lang w:eastAsia="en-GB" w:bidi="en-GB"/>
          </w:rPr>
          <w:t>19.2.</w:t>
        </w:r>
        <w:r w:rsidRPr="00CF0C30">
          <w:rPr>
            <w:rStyle w:val="Hiperpovezava"/>
            <w:noProof/>
          </w:rPr>
          <w:t xml:space="preserve"> Table of framework transfer</w:t>
        </w:r>
        <w:r>
          <w:rPr>
            <w:noProof/>
            <w:webHidden/>
          </w:rPr>
          <w:tab/>
        </w:r>
        <w:r>
          <w:rPr>
            <w:noProof/>
            <w:webHidden/>
          </w:rPr>
          <w:fldChar w:fldCharType="begin"/>
        </w:r>
        <w:r>
          <w:rPr>
            <w:noProof/>
            <w:webHidden/>
          </w:rPr>
          <w:instrText xml:space="preserve"> PAGEREF _Toc416192722 \h </w:instrText>
        </w:r>
        <w:r>
          <w:rPr>
            <w:noProof/>
          </w:rPr>
        </w:r>
        <w:r>
          <w:rPr>
            <w:noProof/>
            <w:webHidden/>
          </w:rPr>
          <w:fldChar w:fldCharType="separate"/>
        </w:r>
        <w:r>
          <w:rPr>
            <w:noProof/>
            <w:webHidden/>
          </w:rPr>
          <w:t>920</w:t>
        </w:r>
        <w:r>
          <w:rPr>
            <w:noProof/>
            <w:webHidden/>
          </w:rPr>
          <w:fldChar w:fldCharType="end"/>
        </w:r>
      </w:hyperlink>
    </w:p>
    <w:p w:rsidR="0014388E" w:rsidRDefault="0014388E">
      <w:pPr>
        <w:pStyle w:val="Kazalovsebine1"/>
        <w:rPr>
          <w:rFonts w:eastAsia="SimSun"/>
          <w:caps w:val="0"/>
          <w:noProof/>
          <w:snapToGrid/>
          <w:szCs w:val="24"/>
          <w:lang w:val="sl-SI"/>
        </w:rPr>
      </w:pPr>
      <w:hyperlink w:anchor="_Toc416192723" w:history="1">
        <w:r w:rsidRPr="00CF0C30">
          <w:rPr>
            <w:rStyle w:val="Hiperpovezava"/>
            <w:noProof/>
            <w:lang w:eastAsia="en-GB" w:bidi="en-GB"/>
          </w:rPr>
          <w:t>20.</w:t>
        </w:r>
        <w:r w:rsidRPr="00CF0C30">
          <w:rPr>
            <w:rStyle w:val="Hiperpovezava"/>
            <w:noProof/>
          </w:rPr>
          <w:t xml:space="preserve"> Thematic sub-programmes</w:t>
        </w:r>
        <w:r>
          <w:rPr>
            <w:noProof/>
            <w:webHidden/>
          </w:rPr>
          <w:tab/>
        </w:r>
        <w:r>
          <w:rPr>
            <w:noProof/>
            <w:webHidden/>
          </w:rPr>
          <w:fldChar w:fldCharType="begin"/>
        </w:r>
        <w:r>
          <w:rPr>
            <w:noProof/>
            <w:webHidden/>
          </w:rPr>
          <w:instrText xml:space="preserve"> PAGEREF _Toc416192723 \h </w:instrText>
        </w:r>
        <w:r>
          <w:rPr>
            <w:noProof/>
          </w:rPr>
        </w:r>
        <w:r>
          <w:rPr>
            <w:noProof/>
            <w:webHidden/>
          </w:rPr>
          <w:fldChar w:fldCharType="separate"/>
        </w:r>
        <w:r>
          <w:rPr>
            <w:noProof/>
            <w:webHidden/>
          </w:rPr>
          <w:t>922</w:t>
        </w:r>
        <w:r>
          <w:rPr>
            <w:noProof/>
            <w:webHidden/>
          </w:rPr>
          <w:fldChar w:fldCharType="end"/>
        </w:r>
      </w:hyperlink>
    </w:p>
    <w:p w:rsidR="0014388E" w:rsidRDefault="0014388E">
      <w:pPr>
        <w:pStyle w:val="Kazalovsebine1"/>
        <w:rPr>
          <w:rFonts w:eastAsia="SimSun"/>
          <w:caps w:val="0"/>
          <w:noProof/>
          <w:snapToGrid/>
          <w:szCs w:val="24"/>
          <w:lang w:val="sl-SI"/>
        </w:rPr>
      </w:pPr>
      <w:hyperlink w:anchor="_Toc416192724" w:history="1">
        <w:r w:rsidRPr="00CF0C30">
          <w:rPr>
            <w:rStyle w:val="Hiperpovezava"/>
            <w:noProof/>
            <w:lang w:eastAsia="en-GB" w:bidi="en-GB"/>
          </w:rPr>
          <w:t>21.</w:t>
        </w:r>
        <w:r w:rsidRPr="00CF0C30">
          <w:rPr>
            <w:rStyle w:val="Hiperpovezava"/>
            <w:noProof/>
          </w:rPr>
          <w:t xml:space="preserve"> Documents</w:t>
        </w:r>
        <w:r>
          <w:rPr>
            <w:noProof/>
            <w:webHidden/>
          </w:rPr>
          <w:tab/>
        </w:r>
        <w:r>
          <w:rPr>
            <w:noProof/>
            <w:webHidden/>
          </w:rPr>
          <w:fldChar w:fldCharType="begin"/>
        </w:r>
        <w:r>
          <w:rPr>
            <w:noProof/>
            <w:webHidden/>
          </w:rPr>
          <w:instrText xml:space="preserve"> PAGEREF _Toc416192724 \h </w:instrText>
        </w:r>
        <w:r>
          <w:rPr>
            <w:noProof/>
          </w:rPr>
        </w:r>
        <w:r>
          <w:rPr>
            <w:noProof/>
            <w:webHidden/>
          </w:rPr>
          <w:fldChar w:fldCharType="separate"/>
        </w:r>
        <w:r>
          <w:rPr>
            <w:noProof/>
            <w:webHidden/>
          </w:rPr>
          <w:t>923</w:t>
        </w:r>
        <w:r>
          <w:rPr>
            <w:noProof/>
            <w:webHidden/>
          </w:rPr>
          <w:fldChar w:fldCharType="end"/>
        </w:r>
      </w:hyperlink>
    </w:p>
    <w:p w:rsidR="00BD3B5F" w:rsidRPr="005C3B55" w:rsidRDefault="00BD3B5F">
      <w:pPr>
        <w:rPr>
          <w:szCs w:val="24"/>
        </w:rPr>
        <w:sectPr w:rsidR="00BD3B5F" w:rsidRPr="005C3B55">
          <w:pgSz w:w="12240" w:h="15840"/>
          <w:pgMar w:top="900" w:right="900" w:bottom="900" w:left="900" w:header="708" w:footer="708" w:gutter="0"/>
          <w:cols w:space="708"/>
        </w:sectPr>
      </w:pPr>
      <w:r w:rsidRPr="005C3B55">
        <w:rPr>
          <w:szCs w:val="24"/>
        </w:rPr>
        <w:fldChar w:fldCharType="end"/>
      </w:r>
    </w:p>
    <w:p w:rsidR="00BD3B5F" w:rsidRPr="005C3B55" w:rsidRDefault="00BD3B5F">
      <w:pPr>
        <w:pStyle w:val="Naslov1"/>
        <w:rPr>
          <w:szCs w:val="24"/>
          <w:lang w:val="en-GB"/>
        </w:rPr>
      </w:pPr>
      <w:bookmarkStart w:id="1" w:name="_Toc416192459"/>
      <w:r w:rsidRPr="005C3B55">
        <w:rPr>
          <w:szCs w:val="24"/>
          <w:lang w:val="en-GB"/>
        </w:rPr>
        <w:lastRenderedPageBreak/>
        <w:t>Title of the rural development programme</w:t>
      </w:r>
      <w:bookmarkEnd w:id="1"/>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10656"/>
      </w:tblGrid>
      <w:tr w:rsidR="00BD3B5F" w:rsidRPr="005C3B55">
        <w:tc>
          <w:tcPr>
            <w:tcW w:w="10656" w:type="dxa"/>
          </w:tcPr>
          <w:p w:rsidR="00BD3B5F" w:rsidRPr="005C3B55" w:rsidRDefault="00BD3B5F">
            <w:pPr>
              <w:pStyle w:val="Telobesedila"/>
              <w:rPr>
                <w:szCs w:val="24"/>
              </w:rPr>
            </w:pPr>
            <w:r w:rsidRPr="005C3B55">
              <w:rPr>
                <w:szCs w:val="24"/>
              </w:rPr>
              <w:t>Rural development programme of the Republic of Slovenia 2014-2020</w:t>
            </w:r>
          </w:p>
        </w:tc>
      </w:tr>
    </w:tbl>
    <w:p w:rsidR="00BD3B5F" w:rsidRPr="005C3B55" w:rsidRDefault="00BD3B5F">
      <w:pPr>
        <w:rPr>
          <w:szCs w:val="24"/>
        </w:rPr>
      </w:pPr>
    </w:p>
    <w:p w:rsidR="00BD3B5F" w:rsidRPr="005C3B55" w:rsidRDefault="00BD3B5F">
      <w:pPr>
        <w:pStyle w:val="Naslov1"/>
        <w:rPr>
          <w:szCs w:val="24"/>
          <w:lang w:val="en-GB"/>
        </w:rPr>
      </w:pPr>
      <w:bookmarkStart w:id="2" w:name="_Toc416192460"/>
      <w:r w:rsidRPr="005C3B55">
        <w:rPr>
          <w:szCs w:val="24"/>
          <w:lang w:val="en-GB"/>
        </w:rPr>
        <w:t>Member State or administrative region</w:t>
      </w:r>
      <w:bookmarkEnd w:id="2"/>
    </w:p>
    <w:p w:rsidR="00BD3B5F" w:rsidRPr="005C3B55" w:rsidRDefault="00BD3B5F">
      <w:pPr>
        <w:pStyle w:val="Naslov2"/>
        <w:tabs>
          <w:tab w:val="clear" w:pos="765"/>
        </w:tabs>
        <w:ind w:left="0" w:firstLine="0"/>
        <w:rPr>
          <w:szCs w:val="24"/>
          <w:lang w:val="en-GB"/>
        </w:rPr>
      </w:pPr>
      <w:bookmarkStart w:id="3" w:name="_Toc416192461"/>
      <w:r w:rsidRPr="005C3B55">
        <w:rPr>
          <w:szCs w:val="24"/>
          <w:lang w:val="en-GB"/>
        </w:rPr>
        <w:t>Geographic area included in the programme</w:t>
      </w:r>
      <w:bookmarkEnd w:id="3"/>
    </w:p>
    <w:p w:rsidR="00BD3B5F" w:rsidRPr="005C3B55" w:rsidRDefault="00BD3B5F">
      <w:pPr>
        <w:rPr>
          <w:szCs w:val="24"/>
        </w:rPr>
      </w:pPr>
      <w:r w:rsidRPr="005C3B55">
        <w:rPr>
          <w:szCs w:val="24"/>
        </w:rPr>
        <w:t xml:space="preserve">Geographic area: </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10656"/>
      </w:tblGrid>
      <w:tr w:rsidR="00BD3B5F" w:rsidRPr="005C3B55">
        <w:tc>
          <w:tcPr>
            <w:tcW w:w="10656" w:type="dxa"/>
          </w:tcPr>
          <w:p w:rsidR="00BD3B5F" w:rsidRPr="005C3B55" w:rsidRDefault="00BD3B5F">
            <w:pPr>
              <w:pStyle w:val="Telobesedila"/>
              <w:rPr>
                <w:szCs w:val="24"/>
              </w:rPr>
            </w:pPr>
            <w:r w:rsidRPr="005C3B55">
              <w:rPr>
                <w:noProof/>
                <w:szCs w:val="24"/>
              </w:rPr>
              <w:t>SI - National</w:t>
            </w:r>
          </w:p>
        </w:tc>
      </w:tr>
    </w:tbl>
    <w:p w:rsidR="00BD3B5F" w:rsidRPr="005C3B55" w:rsidRDefault="00BD3B5F">
      <w:pPr>
        <w:rPr>
          <w:szCs w:val="24"/>
        </w:rPr>
      </w:pPr>
      <w:r w:rsidRPr="005C3B55">
        <w:rPr>
          <w:szCs w:val="24"/>
        </w:rPr>
        <w:t xml:space="preserve">Description: </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10656" w:type="dxa"/>
          </w:tcPr>
          <w:p w:rsidR="00BD3B5F" w:rsidRPr="005C3B55" w:rsidRDefault="00BD3B5F">
            <w:pPr>
              <w:spacing w:before="0" w:after="240"/>
              <w:jc w:val="left"/>
              <w:rPr>
                <w:noProof/>
                <w:szCs w:val="24"/>
              </w:rPr>
            </w:pPr>
            <w:r w:rsidRPr="005C3B55">
              <w:rPr>
                <w:szCs w:val="24"/>
              </w:rPr>
              <w:t>With an area of 20,273 km</w:t>
            </w:r>
            <w:r w:rsidRPr="005C3B55">
              <w:rPr>
                <w:szCs w:val="24"/>
                <w:vertAlign w:val="superscript"/>
              </w:rPr>
              <w:t>2</w:t>
            </w:r>
            <w:r w:rsidRPr="005C3B55">
              <w:rPr>
                <w:szCs w:val="24"/>
              </w:rPr>
              <w:t>, Slovenia is among the smallest European countries.</w:t>
            </w:r>
            <w:r w:rsidRPr="005C3B55">
              <w:rPr>
                <w:noProof/>
                <w:szCs w:val="24"/>
              </w:rPr>
              <w:t xml:space="preserve"> </w:t>
            </w:r>
            <w:r w:rsidRPr="005C3B55">
              <w:rPr>
                <w:szCs w:val="24"/>
              </w:rPr>
              <w:t>It is located in the climatic and geomorphologic junction of the Alpine, Mediterranean, Pannonian and Dinaric regions.</w:t>
            </w:r>
            <w:r w:rsidRPr="005C3B55">
              <w:rPr>
                <w:noProof/>
                <w:szCs w:val="24"/>
              </w:rPr>
              <w:t xml:space="preserve"> </w:t>
            </w:r>
            <w:r w:rsidRPr="005C3B55">
              <w:rPr>
                <w:szCs w:val="24"/>
              </w:rPr>
              <w:t>With its position on the narrow strip between the Alps and the northernmost bay of the Mediterranean Sea, it is one of the main European transit routes from Southeast Europe towards the west.</w:t>
            </w:r>
            <w:r w:rsidRPr="005C3B55">
              <w:rPr>
                <w:noProof/>
                <w:szCs w:val="24"/>
              </w:rPr>
              <w:t xml:space="preserve"> </w:t>
            </w:r>
            <w:r w:rsidRPr="005C3B55">
              <w:rPr>
                <w:szCs w:val="24"/>
              </w:rPr>
              <w:t>Slovenia’s territory is recognisable by its diversified terrain, rich cultural heritage, and abundant and diverse valuable natural features.</w:t>
            </w:r>
            <w:r w:rsidRPr="005C3B55">
              <w:rPr>
                <w:noProof/>
                <w:szCs w:val="24"/>
              </w:rPr>
              <w:t xml:space="preserve"> </w:t>
            </w:r>
            <w:r w:rsidRPr="005C3B55">
              <w:rPr>
                <w:szCs w:val="24"/>
              </w:rPr>
              <w:t>Almost 90 per cent of its territory lies 300 metres or more above sea level, while plain areas in the form of closed valleys and basins account for less than 20 per cent of the territory.</w:t>
            </w:r>
            <w:r w:rsidRPr="005C3B55">
              <w:rPr>
                <w:noProof/>
                <w:szCs w:val="24"/>
              </w:rPr>
              <w:t xml:space="preserve"> </w:t>
            </w:r>
            <w:r w:rsidRPr="005C3B55">
              <w:rPr>
                <w:szCs w:val="24"/>
              </w:rPr>
              <w:t>The diversity of natural conditions directly influences the dispersed settlement and large number of small settlements.</w:t>
            </w:r>
          </w:p>
          <w:p w:rsidR="00BD3B5F" w:rsidRPr="005C3B55" w:rsidRDefault="00BD3B5F">
            <w:pPr>
              <w:spacing w:before="240" w:after="240"/>
              <w:jc w:val="left"/>
              <w:rPr>
                <w:noProof/>
                <w:szCs w:val="24"/>
              </w:rPr>
            </w:pPr>
            <w:r w:rsidRPr="005C3B55">
              <w:rPr>
                <w:b/>
                <w:szCs w:val="24"/>
              </w:rPr>
              <w:t>Definition of rural area</w:t>
            </w:r>
          </w:p>
          <w:p w:rsidR="00BD3B5F" w:rsidRPr="005C3B55" w:rsidRDefault="00BD3B5F">
            <w:pPr>
              <w:spacing w:before="240" w:after="240"/>
              <w:jc w:val="left"/>
              <w:rPr>
                <w:noProof/>
                <w:szCs w:val="24"/>
              </w:rPr>
            </w:pPr>
            <w:r w:rsidRPr="005C3B55">
              <w:rPr>
                <w:szCs w:val="24"/>
              </w:rPr>
              <w:t>The RDP 2014-2020 encompasses the entire area of the Republic of Slovenia (RS).</w:t>
            </w:r>
            <w:r w:rsidRPr="005C3B55">
              <w:rPr>
                <w:noProof/>
                <w:szCs w:val="24"/>
              </w:rPr>
              <w:t xml:space="preserve"> </w:t>
            </w:r>
            <w:r w:rsidRPr="005C3B55">
              <w:rPr>
                <w:szCs w:val="24"/>
              </w:rPr>
              <w:t>According to the OECD definition of rural areas, Slovenia as a whole is classified under rural areas, and Slovenian statistical regions are further classified in:</w:t>
            </w:r>
          </w:p>
          <w:p w:rsidR="00BD3B5F" w:rsidRPr="005C3B55" w:rsidRDefault="00BD3B5F" w:rsidP="00BD3B5F">
            <w:pPr>
              <w:numPr>
                <w:ilvl w:val="0"/>
                <w:numId w:val="20"/>
              </w:numPr>
              <w:spacing w:before="240" w:after="0"/>
              <w:ind w:hanging="290"/>
              <w:jc w:val="left"/>
              <w:rPr>
                <w:noProof/>
                <w:szCs w:val="24"/>
              </w:rPr>
            </w:pPr>
            <w:r w:rsidRPr="005C3B55">
              <w:rPr>
                <w:szCs w:val="24"/>
              </w:rPr>
              <w:t>predominantly rural regions which cover 11,889.2 km</w:t>
            </w:r>
            <w:r w:rsidRPr="005C3B55">
              <w:rPr>
                <w:szCs w:val="24"/>
                <w:vertAlign w:val="superscript"/>
              </w:rPr>
              <w:t>2</w:t>
            </w:r>
            <w:r w:rsidRPr="005C3B55">
              <w:rPr>
                <w:szCs w:val="24"/>
              </w:rPr>
              <w:t xml:space="preserve"> or 58.65 per cent of the territory include:</w:t>
            </w:r>
            <w:r w:rsidRPr="005C3B55">
              <w:rPr>
                <w:noProof/>
                <w:szCs w:val="24"/>
              </w:rPr>
              <w:t xml:space="preserve"> </w:t>
            </w:r>
            <w:r w:rsidRPr="005C3B55">
              <w:rPr>
                <w:szCs w:val="24"/>
              </w:rPr>
              <w:t>Pomurska, Podravska, Koroška, Spodnjeposavska, Notranjsko-kraška, Goriška, Southeastern Slovenia;</w:t>
            </w:r>
          </w:p>
          <w:p w:rsidR="00BD3B5F" w:rsidRPr="005C3B55" w:rsidRDefault="00BD3B5F" w:rsidP="00BD3B5F">
            <w:pPr>
              <w:numPr>
                <w:ilvl w:val="0"/>
                <w:numId w:val="20"/>
              </w:numPr>
              <w:spacing w:before="0" w:after="240"/>
              <w:ind w:hanging="290"/>
              <w:jc w:val="left"/>
              <w:rPr>
                <w:noProof/>
                <w:szCs w:val="24"/>
              </w:rPr>
            </w:pPr>
            <w:r w:rsidRPr="005C3B55">
              <w:rPr>
                <w:szCs w:val="24"/>
              </w:rPr>
              <w:t>moderately rural regions which cover 8,383.8 km</w:t>
            </w:r>
            <w:r w:rsidRPr="005C3B55">
              <w:rPr>
                <w:szCs w:val="24"/>
                <w:vertAlign w:val="superscript"/>
              </w:rPr>
              <w:t>2</w:t>
            </w:r>
            <w:r w:rsidRPr="005C3B55">
              <w:rPr>
                <w:szCs w:val="24"/>
              </w:rPr>
              <w:t xml:space="preserve"> or 41.63 per cent of the territory include:</w:t>
            </w:r>
            <w:r w:rsidRPr="005C3B55">
              <w:rPr>
                <w:noProof/>
                <w:szCs w:val="24"/>
              </w:rPr>
              <w:t xml:space="preserve"> </w:t>
            </w:r>
            <w:r w:rsidRPr="005C3B55">
              <w:rPr>
                <w:szCs w:val="24"/>
              </w:rPr>
              <w:t>Zasavska, Gorenjska, Obalno-kraška, Central Slovenia, Savinjska.</w:t>
            </w:r>
          </w:p>
          <w:p w:rsidR="00BD3B5F" w:rsidRPr="005C3B55" w:rsidRDefault="00BD3B5F">
            <w:pPr>
              <w:spacing w:before="240" w:after="240"/>
              <w:jc w:val="left"/>
              <w:rPr>
                <w:noProof/>
                <w:szCs w:val="24"/>
              </w:rPr>
            </w:pPr>
            <w:r w:rsidRPr="005C3B55">
              <w:rPr>
                <w:szCs w:val="24"/>
              </w:rPr>
              <w:t>To attain the objective of balanced territorial development of rural agricultural holdings and communities, including creating and maintaining jobs, Chapter 8.1 ‘Special definition of a rural area’ defines measures or sub-measures which consider settlements with less than 5,000 and less than 10,000 residents rural areas.</w:t>
            </w:r>
          </w:p>
          <w:p w:rsidR="00BD3B5F" w:rsidRPr="005C3B55" w:rsidRDefault="00BD3B5F">
            <w:pPr>
              <w:pStyle w:val="Telobesedila"/>
              <w:rPr>
                <w:szCs w:val="24"/>
              </w:rPr>
            </w:pPr>
          </w:p>
        </w:tc>
      </w:tr>
    </w:tbl>
    <w:p w:rsidR="00BD3B5F" w:rsidRPr="005C3B55" w:rsidRDefault="00BD3B5F">
      <w:pPr>
        <w:pStyle w:val="Naslov2"/>
        <w:tabs>
          <w:tab w:val="clear" w:pos="765"/>
        </w:tabs>
        <w:ind w:left="0" w:firstLine="0"/>
        <w:rPr>
          <w:szCs w:val="24"/>
          <w:lang w:val="en-GB"/>
        </w:rPr>
      </w:pPr>
      <w:bookmarkStart w:id="4" w:name="_Toc416192462"/>
      <w:r w:rsidRPr="005C3B55">
        <w:rPr>
          <w:szCs w:val="24"/>
          <w:lang w:val="en-GB"/>
        </w:rPr>
        <w:t>Classification of the region</w:t>
      </w:r>
      <w:bookmarkEnd w:id="4"/>
    </w:p>
    <w:p w:rsidR="00BD3B5F" w:rsidRPr="005C3B55" w:rsidRDefault="00BD3B5F">
      <w:pPr>
        <w:rPr>
          <w:szCs w:val="24"/>
        </w:rPr>
      </w:pPr>
      <w:r w:rsidRPr="005C3B55">
        <w:rPr>
          <w:szCs w:val="24"/>
        </w:rPr>
        <w:t xml:space="preserve">Description: </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10656" w:type="dxa"/>
          </w:tcPr>
          <w:p w:rsidR="00BD3B5F" w:rsidRPr="005C3B55" w:rsidRDefault="00BD3B5F">
            <w:pPr>
              <w:spacing w:before="0" w:after="240"/>
              <w:jc w:val="left"/>
              <w:rPr>
                <w:noProof/>
                <w:szCs w:val="24"/>
              </w:rPr>
            </w:pPr>
            <w:r w:rsidRPr="005C3B55">
              <w:rPr>
                <w:szCs w:val="24"/>
              </w:rPr>
              <w:t>Slovenia is divided into two cohesion regions:</w:t>
            </w:r>
          </w:p>
          <w:p w:rsidR="00BD3B5F" w:rsidRPr="005C3B55" w:rsidRDefault="00BD3B5F" w:rsidP="00BD3B5F">
            <w:pPr>
              <w:numPr>
                <w:ilvl w:val="0"/>
                <w:numId w:val="21"/>
              </w:numPr>
              <w:spacing w:before="240" w:after="0"/>
              <w:ind w:hanging="290"/>
              <w:jc w:val="left"/>
              <w:rPr>
                <w:noProof/>
                <w:szCs w:val="24"/>
              </w:rPr>
            </w:pPr>
            <w:r w:rsidRPr="005C3B55">
              <w:rPr>
                <w:b/>
                <w:szCs w:val="24"/>
              </w:rPr>
              <w:lastRenderedPageBreak/>
              <w:t>Eastern Slovenia</w:t>
            </w:r>
            <w:r w:rsidRPr="005C3B55">
              <w:rPr>
                <w:szCs w:val="24"/>
              </w:rPr>
              <w:t>:</w:t>
            </w:r>
            <w:r w:rsidRPr="005C3B55">
              <w:rPr>
                <w:noProof/>
                <w:szCs w:val="24"/>
              </w:rPr>
              <w:t xml:space="preserve"> </w:t>
            </w:r>
            <w:r w:rsidRPr="005C3B55">
              <w:rPr>
                <w:szCs w:val="24"/>
              </w:rPr>
              <w:t>is composed of eight statistical regions (Pomurska, Podravska, Koroška, Savinjska, Zasavska, Spodnjeposavska, Southeastern Slovenija and Notranjsko-kraška regions).</w:t>
            </w:r>
            <w:r w:rsidRPr="005C3B55">
              <w:rPr>
                <w:noProof/>
                <w:szCs w:val="24"/>
              </w:rPr>
              <w:t xml:space="preserve"> </w:t>
            </w:r>
            <w:r w:rsidRPr="005C3B55">
              <w:rPr>
                <w:szCs w:val="24"/>
              </w:rPr>
              <w:t>Its total area measures 12,212 km</w:t>
            </w:r>
            <w:r w:rsidRPr="005C3B55">
              <w:rPr>
                <w:szCs w:val="24"/>
                <w:vertAlign w:val="superscript"/>
              </w:rPr>
              <w:t>2</w:t>
            </w:r>
            <w:r w:rsidRPr="005C3B55">
              <w:rPr>
                <w:szCs w:val="24"/>
              </w:rPr>
              <w:t xml:space="preserve"> or 60.2 per cent of the area of the RS.</w:t>
            </w:r>
            <w:r w:rsidRPr="005C3B55">
              <w:rPr>
                <w:noProof/>
                <w:szCs w:val="24"/>
              </w:rPr>
              <w:t xml:space="preserve"> </w:t>
            </w:r>
            <w:r w:rsidRPr="005C3B55">
              <w:rPr>
                <w:szCs w:val="24"/>
              </w:rPr>
              <w:t>1,083,573 people live in Eastern Slovenia, representing 53 per cent of all Slovenia’s population.</w:t>
            </w:r>
          </w:p>
          <w:p w:rsidR="00BD3B5F" w:rsidRPr="005C3B55" w:rsidRDefault="00BD3B5F" w:rsidP="00BD3B5F">
            <w:pPr>
              <w:numPr>
                <w:ilvl w:val="0"/>
                <w:numId w:val="21"/>
              </w:numPr>
              <w:spacing w:before="0" w:after="240"/>
              <w:ind w:hanging="290"/>
              <w:jc w:val="left"/>
              <w:rPr>
                <w:noProof/>
                <w:szCs w:val="24"/>
              </w:rPr>
            </w:pPr>
            <w:r w:rsidRPr="005C3B55">
              <w:rPr>
                <w:b/>
                <w:szCs w:val="24"/>
              </w:rPr>
              <w:t>Western Slovenia:</w:t>
            </w:r>
            <w:r w:rsidRPr="005C3B55">
              <w:rPr>
                <w:noProof/>
                <w:szCs w:val="24"/>
              </w:rPr>
              <w:t xml:space="preserve"> </w:t>
            </w:r>
            <w:r w:rsidRPr="005C3B55">
              <w:rPr>
                <w:szCs w:val="24"/>
              </w:rPr>
              <w:t>is composed of four statistical regions (Central Slovenia, Gorenjska, Goriška and Obalno-kraška regions).</w:t>
            </w:r>
            <w:r w:rsidRPr="005C3B55">
              <w:rPr>
                <w:noProof/>
                <w:szCs w:val="24"/>
              </w:rPr>
              <w:t xml:space="preserve"> </w:t>
            </w:r>
            <w:r w:rsidRPr="005C3B55">
              <w:rPr>
                <w:szCs w:val="24"/>
              </w:rPr>
              <w:t>Its total area measures 8,061 km</w:t>
            </w:r>
            <w:r w:rsidRPr="005C3B55">
              <w:rPr>
                <w:szCs w:val="24"/>
                <w:vertAlign w:val="superscript"/>
              </w:rPr>
              <w:t>2</w:t>
            </w:r>
            <w:r w:rsidRPr="005C3B55">
              <w:rPr>
                <w:szCs w:val="24"/>
              </w:rPr>
              <w:t xml:space="preserve"> or 39.8 per cent of the area of the RS.</w:t>
            </w:r>
            <w:r w:rsidRPr="005C3B55">
              <w:rPr>
                <w:noProof/>
                <w:szCs w:val="24"/>
              </w:rPr>
              <w:t xml:space="preserve"> </w:t>
            </w:r>
            <w:r w:rsidRPr="005C3B55">
              <w:rPr>
                <w:szCs w:val="24"/>
              </w:rPr>
              <w:t>972,689 people live in Western Slovenia, representing 47 per cent of all Slovenia’s population.</w:t>
            </w:r>
          </w:p>
          <w:p w:rsidR="00BD3B5F" w:rsidRPr="005C3B55" w:rsidRDefault="00BD3B5F">
            <w:pPr>
              <w:spacing w:before="240" w:after="240"/>
              <w:jc w:val="left"/>
              <w:rPr>
                <w:noProof/>
                <w:szCs w:val="24"/>
              </w:rPr>
            </w:pPr>
            <w:r w:rsidRPr="005C3B55">
              <w:rPr>
                <w:szCs w:val="24"/>
              </w:rPr>
              <w:t>Western Slovenia encompasses most economically developed areas in the country.</w:t>
            </w:r>
            <w:r w:rsidRPr="005C3B55">
              <w:rPr>
                <w:noProof/>
                <w:szCs w:val="24"/>
              </w:rPr>
              <w:t xml:space="preserve"> </w:t>
            </w:r>
            <w:r w:rsidRPr="005C3B55">
              <w:rPr>
                <w:szCs w:val="24"/>
              </w:rPr>
              <w:t>GDP per capita is 119.5 per cent of the Slovenian average.</w:t>
            </w:r>
            <w:r w:rsidRPr="005C3B55">
              <w:rPr>
                <w:noProof/>
                <w:szCs w:val="24"/>
              </w:rPr>
              <w:t xml:space="preserve"> </w:t>
            </w:r>
            <w:r w:rsidRPr="005C3B55">
              <w:rPr>
                <w:szCs w:val="24"/>
              </w:rPr>
              <w:t>75 per cent of gross added value (GAV) are contributed by services.</w:t>
            </w:r>
            <w:r w:rsidRPr="005C3B55">
              <w:rPr>
                <w:noProof/>
                <w:szCs w:val="24"/>
              </w:rPr>
              <w:t xml:space="preserve"> </w:t>
            </w:r>
            <w:r w:rsidRPr="005C3B55">
              <w:rPr>
                <w:szCs w:val="24"/>
              </w:rPr>
              <w:t>GDP per capita in the cohesion region of Eastern Slovenia is 82.7 per cent of the Slovenian average.</w:t>
            </w:r>
            <w:r w:rsidRPr="005C3B55">
              <w:rPr>
                <w:noProof/>
                <w:szCs w:val="24"/>
              </w:rPr>
              <w:t xml:space="preserve"> </w:t>
            </w:r>
            <w:r w:rsidRPr="005C3B55">
              <w:rPr>
                <w:spacing w:val="-3"/>
                <w:szCs w:val="24"/>
              </w:rPr>
              <w:t>It is characterised by agricultural activity, as more than 70 per cent of agricultural holdings and the majority of agricultural land in Slovenia are there</w:t>
            </w:r>
            <w:r w:rsidRPr="005C3B55">
              <w:rPr>
                <w:szCs w:val="24"/>
              </w:rPr>
              <w:t>.</w:t>
            </w:r>
          </w:p>
          <w:p w:rsidR="00BD3B5F" w:rsidRPr="005C3B55" w:rsidRDefault="00BD3B5F">
            <w:pPr>
              <w:spacing w:before="240" w:after="240"/>
              <w:jc w:val="left"/>
              <w:rPr>
                <w:noProof/>
                <w:szCs w:val="24"/>
              </w:rPr>
            </w:pPr>
            <w:r w:rsidRPr="005C3B55">
              <w:rPr>
                <w:b/>
                <w:szCs w:val="24"/>
              </w:rPr>
              <w:t>Categories of co-financing</w:t>
            </w:r>
          </w:p>
          <w:p w:rsidR="00BD3B5F" w:rsidRPr="005C3B55" w:rsidRDefault="00BD3B5F">
            <w:pPr>
              <w:spacing w:before="240" w:after="240"/>
              <w:jc w:val="left"/>
              <w:rPr>
                <w:noProof/>
                <w:szCs w:val="24"/>
              </w:rPr>
            </w:pPr>
            <w:r w:rsidRPr="005C3B55">
              <w:rPr>
                <w:szCs w:val="24"/>
              </w:rPr>
              <w:t>Pursuant to Article 59(3)(a) of Regulation (EU) No 1305/2013, the EAFRD contribution rate for Eastern Slovenia amounts to 75 per cent, as Eastern Slovenia is classified as a less developed region in accordance with Annex I to Commission Decision 2014/99/EU.</w:t>
            </w:r>
            <w:r w:rsidRPr="005C3B55">
              <w:rPr>
                <w:noProof/>
                <w:szCs w:val="24"/>
              </w:rPr>
              <w:t xml:space="preserve"> </w:t>
            </w:r>
            <w:r w:rsidRPr="005C3B55">
              <w:rPr>
                <w:szCs w:val="24"/>
              </w:rPr>
              <w:t>Eastern Slovenia will receive 60 per cent of EAFRD funds.</w:t>
            </w:r>
          </w:p>
          <w:p w:rsidR="00BD3B5F" w:rsidRPr="005C3B55" w:rsidRDefault="00BD3B5F">
            <w:pPr>
              <w:spacing w:before="240" w:after="240"/>
              <w:jc w:val="left"/>
              <w:rPr>
                <w:noProof/>
                <w:szCs w:val="24"/>
              </w:rPr>
            </w:pPr>
            <w:r w:rsidRPr="005C3B55">
              <w:rPr>
                <w:szCs w:val="24"/>
              </w:rPr>
              <w:t>In accordance with Annex III to Commission Decision 2014/99/EU, Western Slovenia is classified as a more developed region. However, as Slovenia was classified as convergence region in the 2007-2013 programming period with Commission Decision 2006/595/EC, the EAFRD contribution rate for Western Slovenia amounts to 75 per cent pursuant to Article 59(3)(b) of Regulation (EU) No 1305/2013.</w:t>
            </w:r>
          </w:p>
          <w:p w:rsidR="00BD3B5F" w:rsidRPr="005C3B55" w:rsidRDefault="00BD3B5F">
            <w:pPr>
              <w:spacing w:before="240" w:after="240"/>
              <w:jc w:val="left"/>
              <w:rPr>
                <w:noProof/>
                <w:szCs w:val="24"/>
              </w:rPr>
            </w:pPr>
            <w:r w:rsidRPr="005C3B55">
              <w:rPr>
                <w:b/>
                <w:szCs w:val="24"/>
              </w:rPr>
              <w:t>Derogations</w:t>
            </w:r>
          </w:p>
          <w:p w:rsidR="00BD3B5F" w:rsidRPr="005C3B55" w:rsidRDefault="00BD3B5F">
            <w:pPr>
              <w:spacing w:before="240" w:after="240"/>
              <w:jc w:val="left"/>
              <w:rPr>
                <w:noProof/>
                <w:szCs w:val="24"/>
              </w:rPr>
            </w:pPr>
            <w:r w:rsidRPr="005C3B55">
              <w:rPr>
                <w:szCs w:val="24"/>
              </w:rPr>
              <w:t>Pursuant to Article 59(4)(a) of Regulation (EU) No 1305/2013, the EAFRD contribution rate for measures M01, M09, M16 and M19, and sub-measure M06.1 for Eastern and Western Slovenia amounts to 80 per cent.</w:t>
            </w:r>
          </w:p>
          <w:p w:rsidR="00BD3B5F" w:rsidRPr="005C3B55" w:rsidRDefault="00BD3B5F">
            <w:pPr>
              <w:spacing w:before="240" w:after="240"/>
              <w:jc w:val="left"/>
              <w:rPr>
                <w:noProof/>
                <w:szCs w:val="24"/>
              </w:rPr>
            </w:pPr>
            <w:r w:rsidRPr="005C3B55">
              <w:rPr>
                <w:szCs w:val="24"/>
              </w:rPr>
              <w:t>Pursuant to Article 51(3) of Regulation (EU) No 1305/2013, the EAFRD contribution rate for the‘Technical assistance’ measure should equal the EAFRD contribution rate for Eastern Slovenia.</w:t>
            </w:r>
          </w:p>
          <w:p w:rsidR="00BD3B5F" w:rsidRPr="005C3B55" w:rsidRDefault="00BD3B5F">
            <w:pPr>
              <w:spacing w:before="240" w:after="240"/>
              <w:jc w:val="left"/>
              <w:rPr>
                <w:noProof/>
                <w:szCs w:val="24"/>
              </w:rPr>
            </w:pPr>
            <w:r w:rsidRPr="005C3B55">
              <w:rPr>
                <w:noProof/>
                <w:szCs w:val="24"/>
              </w:rPr>
              <w:t> </w:t>
            </w:r>
          </w:p>
          <w:p w:rsidR="00BD3B5F" w:rsidRPr="005C3B55" w:rsidRDefault="00BD3B5F">
            <w:pPr>
              <w:spacing w:before="240" w:after="240"/>
              <w:jc w:val="left"/>
              <w:rPr>
                <w:noProof/>
                <w:szCs w:val="24"/>
              </w:rPr>
            </w:pPr>
            <w:r w:rsidRPr="005C3B55">
              <w:rPr>
                <w:noProof/>
                <w:szCs w:val="24"/>
              </w:rPr>
              <w:t> </w:t>
            </w:r>
          </w:p>
          <w:p w:rsidR="00BD3B5F" w:rsidRPr="005C3B55" w:rsidRDefault="00BD3B5F">
            <w:pPr>
              <w:spacing w:before="240" w:after="240"/>
              <w:jc w:val="left"/>
              <w:rPr>
                <w:noProof/>
                <w:szCs w:val="24"/>
              </w:rPr>
            </w:pPr>
            <w:r w:rsidRPr="005C3B55">
              <w:rPr>
                <w:noProof/>
                <w:szCs w:val="24"/>
              </w:rPr>
              <w:t> </w:t>
            </w:r>
          </w:p>
          <w:p w:rsidR="00BD3B5F" w:rsidRPr="005C3B55" w:rsidRDefault="00BD3B5F">
            <w:pPr>
              <w:pStyle w:val="Telobesedila"/>
              <w:rPr>
                <w:szCs w:val="24"/>
              </w:rPr>
            </w:pPr>
          </w:p>
        </w:tc>
      </w:tr>
    </w:tbl>
    <w:p w:rsidR="00BD3B5F" w:rsidRPr="005C3B55" w:rsidRDefault="00BD3B5F">
      <w:pPr>
        <w:rPr>
          <w:szCs w:val="24"/>
        </w:rPr>
        <w:sectPr w:rsidR="00BD3B5F" w:rsidRPr="005C3B55">
          <w:type w:val="oddPage"/>
          <w:pgSz w:w="12240" w:h="15840"/>
          <w:pgMar w:top="900" w:right="900" w:bottom="900" w:left="900" w:header="708" w:footer="708" w:gutter="0"/>
          <w:cols w:space="708"/>
        </w:sectPr>
      </w:pPr>
    </w:p>
    <w:p w:rsidR="00BD3B5F" w:rsidRPr="005C3B55" w:rsidRDefault="00BD3B5F">
      <w:pPr>
        <w:pStyle w:val="Naslov1"/>
        <w:rPr>
          <w:szCs w:val="24"/>
          <w:lang w:val="en-GB"/>
        </w:rPr>
      </w:pPr>
      <w:bookmarkStart w:id="5" w:name="_Toc416192463"/>
      <w:r w:rsidRPr="005C3B55">
        <w:rPr>
          <w:szCs w:val="24"/>
          <w:lang w:val="en-GB"/>
        </w:rPr>
        <w:t>Ex-ante evaluation</w:t>
      </w:r>
      <w:bookmarkEnd w:id="5"/>
    </w:p>
    <w:p w:rsidR="00BD3B5F" w:rsidRPr="005C3B55" w:rsidRDefault="00BD3B5F">
      <w:pPr>
        <w:pStyle w:val="Naslov2"/>
        <w:tabs>
          <w:tab w:val="clear" w:pos="765"/>
        </w:tabs>
        <w:ind w:left="0" w:firstLine="0"/>
        <w:rPr>
          <w:szCs w:val="24"/>
          <w:lang w:val="en-GB"/>
        </w:rPr>
      </w:pPr>
      <w:bookmarkStart w:id="6" w:name="_Toc416192464"/>
      <w:r w:rsidRPr="005C3B55">
        <w:rPr>
          <w:szCs w:val="24"/>
          <w:lang w:val="en-GB"/>
        </w:rPr>
        <w:t>Description of the procedure, including the timetable of the main events and interim reports referring to the key phases in the development of the Rural Development Programme</w:t>
      </w:r>
      <w:bookmarkEnd w:id="6"/>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10656" w:type="dxa"/>
          </w:tcPr>
          <w:p w:rsidR="00BD3B5F" w:rsidRPr="005C3B55" w:rsidRDefault="00BD3B5F">
            <w:pPr>
              <w:spacing w:before="0" w:after="240"/>
              <w:jc w:val="left"/>
              <w:rPr>
                <w:noProof/>
                <w:szCs w:val="24"/>
              </w:rPr>
            </w:pPr>
            <w:r w:rsidRPr="005C3B55">
              <w:rPr>
                <w:szCs w:val="24"/>
              </w:rPr>
              <w:t>On 28 September 2012, the Ministry of Agriculture and the Environment published a public procurement for the implementation of an ex-ante evaluation and comprehensive environmental impact assessment of RDP 2014–2020. The bids for both lots were collected by 7 November 2012.  The company KPMG, poslovno svetovanje d.o.o., with its subcontractor, KPMG from Budapest, was selected to implement the ex-ante evaluation.</w:t>
            </w:r>
            <w:r w:rsidRPr="005C3B55">
              <w:rPr>
                <w:noProof/>
                <w:szCs w:val="24"/>
              </w:rPr>
              <w:t xml:space="preserve"> </w:t>
            </w:r>
            <w:r w:rsidRPr="005C3B55">
              <w:rPr>
                <w:szCs w:val="24"/>
              </w:rPr>
              <w:t>OIKOS, svetovanje in razvoj, d.o.o., with its subcontractor, IntegraConsulting from Prague, was selected to perform the comprehensive environmental impact assessment.</w:t>
            </w:r>
            <w:r w:rsidRPr="005C3B55">
              <w:rPr>
                <w:noProof/>
                <w:szCs w:val="24"/>
              </w:rPr>
              <w:t xml:space="preserve"> </w:t>
            </w:r>
            <w:r w:rsidRPr="005C3B55">
              <w:rPr>
                <w:szCs w:val="24"/>
              </w:rPr>
              <w:t>The contracts with the selected providers of services were signed in February 2013.</w:t>
            </w:r>
          </w:p>
          <w:p w:rsidR="00BD3B5F" w:rsidRPr="005C3B55" w:rsidRDefault="00BD3B5F">
            <w:pPr>
              <w:spacing w:before="240" w:after="240"/>
              <w:jc w:val="left"/>
              <w:rPr>
                <w:noProof/>
                <w:szCs w:val="24"/>
              </w:rPr>
            </w:pPr>
            <w:r w:rsidRPr="005C3B55">
              <w:rPr>
                <w:szCs w:val="24"/>
              </w:rPr>
              <w:t>The ex-ante evaluation and comprehensive environmental impact assessment started in March 2013, with initial meetings held between the Ministry of Agriculture and the Environment and both groups of providers of evaluation services, and by submitting introductory chapters of the future RDP 2014–2020, as well as other accompanying documents, especially reports on implemented evaluations for the RDP 2007–2013, to the providers of evaluation services.</w:t>
            </w:r>
            <w:r w:rsidRPr="005C3B55">
              <w:rPr>
                <w:noProof/>
                <w:szCs w:val="24"/>
              </w:rPr>
              <w:t xml:space="preserve"> </w:t>
            </w:r>
            <w:r w:rsidRPr="005C3B55">
              <w:rPr>
                <w:szCs w:val="24"/>
              </w:rPr>
              <w:t>Workshops and focus groups with various stakeholders in connection with the comprehensive environmental impact assessment (scoping) were implemented in April and May 2013.</w:t>
            </w:r>
          </w:p>
          <w:p w:rsidR="00BD3B5F" w:rsidRPr="005C3B55" w:rsidRDefault="00BD3B5F">
            <w:pPr>
              <w:spacing w:before="240" w:after="240"/>
              <w:jc w:val="left"/>
              <w:rPr>
                <w:noProof/>
                <w:szCs w:val="24"/>
              </w:rPr>
            </w:pPr>
            <w:r w:rsidRPr="005C3B55">
              <w:rPr>
                <w:szCs w:val="24"/>
              </w:rPr>
              <w:t>The first draft of the report on the findings of the ex-ante evaluation was received by the Ministry of Agriculture and the Environment in mid-April 2013, the second draft of the report was received at the end of June 2013 and the third draft on 21 October 2013. The final report was prepared on 23 December 2013. Considering the fact that RDP 2014-2020 subsequently included two additional sub/measures, i.e. M08 and M07, an additional ex-ante evaluation had to be carried out.</w:t>
            </w:r>
          </w:p>
          <w:p w:rsidR="00BD3B5F" w:rsidRPr="005C3B55" w:rsidRDefault="00BD3B5F">
            <w:pPr>
              <w:spacing w:before="240" w:after="240"/>
              <w:jc w:val="left"/>
              <w:rPr>
                <w:noProof/>
                <w:szCs w:val="24"/>
              </w:rPr>
            </w:pPr>
            <w:r w:rsidRPr="005C3B55">
              <w:rPr>
                <w:szCs w:val="24"/>
              </w:rPr>
              <w:t>In the field of comprehensive environmental impact assessment, an environmental report and Appendix for the assessment of the acceptability of effects were prepared on 22 August 2013. In the procedure of comprehensive environmental impact assessment the documents had to be amended based on comments provided by opinion makers.</w:t>
            </w:r>
            <w:r w:rsidRPr="005C3B55">
              <w:rPr>
                <w:noProof/>
                <w:szCs w:val="24"/>
              </w:rPr>
              <w:t xml:space="preserve"> </w:t>
            </w:r>
            <w:r w:rsidRPr="005C3B55">
              <w:rPr>
                <w:szCs w:val="24"/>
              </w:rPr>
              <w:t>The amended documents were sent for another comprehensive environmental impact assessment on 24 December 2013. The environmental report and the Appendix for the assessment of acceptability of effects had to be amended once again based on the comments of opinion-makers.</w:t>
            </w:r>
            <w:r w:rsidRPr="005C3B55">
              <w:rPr>
                <w:noProof/>
                <w:szCs w:val="24"/>
              </w:rPr>
              <w:t xml:space="preserve"> </w:t>
            </w:r>
            <w:r w:rsidRPr="005C3B55">
              <w:rPr>
                <w:szCs w:val="24"/>
              </w:rPr>
              <w:t>Prior to the amendment of documents, harmonisation meetings were implemented for various areas (water, nature and culture).</w:t>
            </w:r>
            <w:r w:rsidRPr="005C3B55">
              <w:rPr>
                <w:noProof/>
                <w:szCs w:val="24"/>
              </w:rPr>
              <w:t xml:space="preserve"> </w:t>
            </w:r>
            <w:r w:rsidRPr="005C3B55">
              <w:rPr>
                <w:szCs w:val="24"/>
              </w:rPr>
              <w:t>On 15 April 2014, the Ministry of Agriculture and the Environment received a positive opinion on the applicability of the environmental report and the appendix for the assessment of the acceptability of effects.</w:t>
            </w:r>
            <w:r w:rsidRPr="005C3B55">
              <w:rPr>
                <w:noProof/>
                <w:szCs w:val="24"/>
              </w:rPr>
              <w:t xml:space="preserve"> </w:t>
            </w:r>
            <w:r w:rsidRPr="005C3B55">
              <w:rPr>
                <w:szCs w:val="24"/>
              </w:rPr>
              <w:t>The public exhibition of the Environmental report took place from 16 April to 16 May 2014. Five stakeholders provided their comments in the course of the public discussion.</w:t>
            </w:r>
            <w:r w:rsidRPr="005C3B55">
              <w:rPr>
                <w:noProof/>
                <w:szCs w:val="24"/>
              </w:rPr>
              <w:t xml:space="preserve"> </w:t>
            </w:r>
            <w:r w:rsidRPr="005C3B55">
              <w:rPr>
                <w:szCs w:val="24"/>
              </w:rPr>
              <w:t>They all received written replies.</w:t>
            </w:r>
            <w:r w:rsidRPr="005C3B55">
              <w:rPr>
                <w:noProof/>
                <w:szCs w:val="24"/>
              </w:rPr>
              <w:t xml:space="preserve"> </w:t>
            </w:r>
            <w:r w:rsidRPr="005C3B55">
              <w:rPr>
                <w:szCs w:val="24"/>
              </w:rPr>
              <w:t>The environmental report was also amended on the basis of the comments. The procedure of obtaining the decision for the confirmation of the acceptability of the plan is still underway.</w:t>
            </w:r>
          </w:p>
          <w:p w:rsidR="00BD3B5F" w:rsidRPr="005C3B55" w:rsidRDefault="00BD3B5F">
            <w:pPr>
              <w:pStyle w:val="Telobesedila"/>
              <w:rPr>
                <w:szCs w:val="24"/>
              </w:rPr>
            </w:pPr>
          </w:p>
        </w:tc>
      </w:tr>
    </w:tbl>
    <w:p w:rsidR="00BD3B5F" w:rsidRPr="005C3B55" w:rsidRDefault="00BD3B5F">
      <w:pPr>
        <w:pStyle w:val="Naslov2"/>
        <w:tabs>
          <w:tab w:val="clear" w:pos="765"/>
        </w:tabs>
        <w:ind w:left="0" w:firstLine="0"/>
        <w:rPr>
          <w:szCs w:val="24"/>
          <w:lang w:val="en-GB"/>
        </w:rPr>
      </w:pPr>
      <w:r w:rsidRPr="005C3B55">
        <w:rPr>
          <w:szCs w:val="24"/>
          <w:lang w:val="en-GB"/>
        </w:rPr>
        <w:br w:type="page"/>
      </w:r>
      <w:bookmarkStart w:id="7" w:name="_Toc416192465"/>
      <w:r w:rsidRPr="005C3B55">
        <w:rPr>
          <w:szCs w:val="24"/>
          <w:lang w:val="en-GB"/>
        </w:rPr>
        <w:t>Structured table that includes recommendations from the ex-ante evaluation and the method of their treatment</w:t>
      </w:r>
      <w:bookmarkEnd w:id="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58"/>
        <w:gridCol w:w="4109"/>
        <w:gridCol w:w="1589"/>
      </w:tblGrid>
      <w:tr w:rsidR="00BD3B5F" w:rsidRPr="005C3B55">
        <w:tc>
          <w:tcPr>
            <w:tcW w:w="4958" w:type="dxa"/>
            <w:shd w:val="clear" w:color="auto" w:fill="C0C0C0"/>
          </w:tcPr>
          <w:p w:rsidR="00BD3B5F" w:rsidRPr="005C3B55" w:rsidRDefault="00BD3B5F">
            <w:pPr>
              <w:rPr>
                <w:szCs w:val="24"/>
              </w:rPr>
            </w:pPr>
            <w:r w:rsidRPr="005C3B55">
              <w:rPr>
                <w:b/>
                <w:szCs w:val="24"/>
              </w:rPr>
              <w:t>Title (or reference) of the recommendation</w:t>
            </w:r>
          </w:p>
        </w:tc>
        <w:tc>
          <w:tcPr>
            <w:tcW w:w="4109" w:type="dxa"/>
            <w:shd w:val="clear" w:color="auto" w:fill="C0C0C0"/>
          </w:tcPr>
          <w:p w:rsidR="00BD3B5F" w:rsidRPr="005C3B55" w:rsidRDefault="00BD3B5F">
            <w:pPr>
              <w:rPr>
                <w:szCs w:val="24"/>
              </w:rPr>
            </w:pPr>
            <w:r w:rsidRPr="005C3B55">
              <w:rPr>
                <w:b/>
                <w:szCs w:val="24"/>
              </w:rPr>
              <w:t>Category of the recommendation</w:t>
            </w:r>
          </w:p>
        </w:tc>
        <w:tc>
          <w:tcPr>
            <w:tcW w:w="1589" w:type="dxa"/>
            <w:shd w:val="clear" w:color="auto" w:fill="C0C0C0"/>
          </w:tcPr>
          <w:p w:rsidR="00BD3B5F" w:rsidRPr="005C3B55" w:rsidRDefault="00BD3B5F">
            <w:pPr>
              <w:rPr>
                <w:b/>
                <w:szCs w:val="24"/>
              </w:rPr>
            </w:pPr>
            <w:r w:rsidRPr="005C3B55">
              <w:rPr>
                <w:b/>
                <w:noProof/>
                <w:szCs w:val="24"/>
              </w:rPr>
              <w:t>Date</w:t>
            </w:r>
          </w:p>
        </w:tc>
      </w:tr>
      <w:tr w:rsidR="00BD3B5F" w:rsidRPr="005C3B55">
        <w:tc>
          <w:tcPr>
            <w:tcW w:w="4958" w:type="dxa"/>
            <w:shd w:val="clear" w:color="auto" w:fill="FFFFFF"/>
          </w:tcPr>
          <w:p w:rsidR="00BD3B5F" w:rsidRPr="005C3B55" w:rsidRDefault="00BD3B5F">
            <w:pPr>
              <w:rPr>
                <w:szCs w:val="24"/>
              </w:rPr>
            </w:pPr>
            <w:r w:rsidRPr="005C3B55">
              <w:rPr>
                <w:szCs w:val="24"/>
              </w:rPr>
              <w:t>CLLD – cooperation among funds</w:t>
            </w:r>
          </w:p>
        </w:tc>
        <w:tc>
          <w:tcPr>
            <w:tcW w:w="4109" w:type="dxa"/>
            <w:shd w:val="clear" w:color="auto" w:fill="FFFFFF"/>
          </w:tcPr>
          <w:p w:rsidR="00BD3B5F" w:rsidRPr="005C3B55" w:rsidRDefault="00BD3B5F">
            <w:pPr>
              <w:rPr>
                <w:szCs w:val="24"/>
              </w:rPr>
            </w:pPr>
            <w:r w:rsidRPr="005C3B55">
              <w:rPr>
                <w:szCs w:val="24"/>
              </w:rPr>
              <w:t>Other matters</w:t>
            </w:r>
          </w:p>
        </w:tc>
        <w:tc>
          <w:tcPr>
            <w:tcW w:w="1589" w:type="dxa"/>
            <w:shd w:val="clear" w:color="auto" w:fill="FFFFFF"/>
          </w:tcPr>
          <w:p w:rsidR="00BD3B5F" w:rsidRPr="005C3B55" w:rsidRDefault="00BD3B5F">
            <w:pPr>
              <w:rPr>
                <w:szCs w:val="24"/>
              </w:rPr>
            </w:pPr>
            <w:r w:rsidRPr="005C3B55">
              <w:rPr>
                <w:noProof/>
                <w:szCs w:val="24"/>
              </w:rPr>
              <w:t>18 November 2013</w:t>
            </w:r>
          </w:p>
        </w:tc>
      </w:tr>
      <w:tr w:rsidR="00BD3B5F" w:rsidRPr="005C3B55">
        <w:tc>
          <w:tcPr>
            <w:tcW w:w="4958" w:type="dxa"/>
            <w:shd w:val="clear" w:color="auto" w:fill="FFFFFF"/>
          </w:tcPr>
          <w:p w:rsidR="00BD3B5F" w:rsidRPr="005C3B55" w:rsidRDefault="00BD3B5F">
            <w:pPr>
              <w:rPr>
                <w:szCs w:val="24"/>
              </w:rPr>
            </w:pPr>
            <w:r w:rsidRPr="005C3B55">
              <w:rPr>
                <w:szCs w:val="24"/>
              </w:rPr>
              <w:t>Accessibility of rural areas</w:t>
            </w:r>
          </w:p>
        </w:tc>
        <w:tc>
          <w:tcPr>
            <w:tcW w:w="4109" w:type="dxa"/>
            <w:shd w:val="clear" w:color="auto" w:fill="FFFFFF"/>
          </w:tcPr>
          <w:p w:rsidR="00BD3B5F" w:rsidRPr="005C3B55" w:rsidRDefault="00BD3B5F">
            <w:pPr>
              <w:rPr>
                <w:szCs w:val="24"/>
              </w:rPr>
            </w:pPr>
            <w:r w:rsidRPr="005C3B55">
              <w:rPr>
                <w:szCs w:val="24"/>
              </w:rPr>
              <w:t>Special recommendations for strategic environmental impact assessment</w:t>
            </w:r>
          </w:p>
        </w:tc>
        <w:tc>
          <w:tcPr>
            <w:tcW w:w="1589" w:type="dxa"/>
            <w:shd w:val="clear" w:color="auto" w:fill="FFFFFF"/>
          </w:tcPr>
          <w:p w:rsidR="00BD3B5F" w:rsidRPr="005C3B55" w:rsidRDefault="00BD3B5F">
            <w:pPr>
              <w:rPr>
                <w:szCs w:val="24"/>
              </w:rPr>
            </w:pPr>
            <w:r w:rsidRPr="005C3B55">
              <w:rPr>
                <w:noProof/>
                <w:szCs w:val="24"/>
              </w:rPr>
              <w:t>1 April 2014</w:t>
            </w:r>
          </w:p>
        </w:tc>
      </w:tr>
      <w:tr w:rsidR="00BD3B5F" w:rsidRPr="005C3B55">
        <w:tc>
          <w:tcPr>
            <w:tcW w:w="4958" w:type="dxa"/>
            <w:shd w:val="clear" w:color="auto" w:fill="FFFFFF"/>
          </w:tcPr>
          <w:p w:rsidR="00BD3B5F" w:rsidRPr="005C3B55" w:rsidRDefault="00BD3B5F">
            <w:pPr>
              <w:rPr>
                <w:szCs w:val="24"/>
              </w:rPr>
            </w:pPr>
            <w:r w:rsidRPr="005C3B55">
              <w:rPr>
                <w:szCs w:val="24"/>
              </w:rPr>
              <w:t>Financial instruments</w:t>
            </w:r>
          </w:p>
        </w:tc>
        <w:tc>
          <w:tcPr>
            <w:tcW w:w="4109" w:type="dxa"/>
            <w:shd w:val="clear" w:color="auto" w:fill="FFFFFF"/>
          </w:tcPr>
          <w:p w:rsidR="00BD3B5F" w:rsidRPr="005C3B55" w:rsidRDefault="00BD3B5F">
            <w:pPr>
              <w:rPr>
                <w:szCs w:val="24"/>
              </w:rPr>
            </w:pPr>
            <w:r w:rsidRPr="005C3B55">
              <w:rPr>
                <w:szCs w:val="24"/>
              </w:rPr>
              <w:t>Establishment of the logic for action</w:t>
            </w:r>
          </w:p>
        </w:tc>
        <w:tc>
          <w:tcPr>
            <w:tcW w:w="1589" w:type="dxa"/>
            <w:shd w:val="clear" w:color="auto" w:fill="FFFFFF"/>
          </w:tcPr>
          <w:p w:rsidR="00BD3B5F" w:rsidRPr="005C3B55" w:rsidRDefault="00BD3B5F">
            <w:pPr>
              <w:rPr>
                <w:szCs w:val="24"/>
              </w:rPr>
            </w:pPr>
            <w:r w:rsidRPr="005C3B55">
              <w:rPr>
                <w:noProof/>
                <w:szCs w:val="24"/>
              </w:rPr>
              <w:t>9 December 2013</w:t>
            </w:r>
          </w:p>
        </w:tc>
      </w:tr>
      <w:tr w:rsidR="00BD3B5F" w:rsidRPr="005C3B55">
        <w:tc>
          <w:tcPr>
            <w:tcW w:w="4958" w:type="dxa"/>
            <w:shd w:val="clear" w:color="auto" w:fill="FFFFFF"/>
          </w:tcPr>
          <w:p w:rsidR="00BD3B5F" w:rsidRPr="005C3B55" w:rsidRDefault="00BD3B5F">
            <w:pPr>
              <w:rPr>
                <w:szCs w:val="24"/>
              </w:rPr>
            </w:pPr>
            <w:r w:rsidRPr="005C3B55">
              <w:rPr>
                <w:szCs w:val="24"/>
              </w:rPr>
              <w:t>Geographic orientation of certain schemes and requirements from measure M10</w:t>
            </w:r>
          </w:p>
        </w:tc>
        <w:tc>
          <w:tcPr>
            <w:tcW w:w="4109" w:type="dxa"/>
            <w:shd w:val="clear" w:color="auto" w:fill="FFFFFF"/>
          </w:tcPr>
          <w:p w:rsidR="00BD3B5F" w:rsidRPr="005C3B55" w:rsidRDefault="00BD3B5F">
            <w:pPr>
              <w:rPr>
                <w:szCs w:val="24"/>
              </w:rPr>
            </w:pPr>
            <w:r w:rsidRPr="005C3B55">
              <w:rPr>
                <w:szCs w:val="24"/>
              </w:rPr>
              <w:t>Special recommendations for strategic environmental impact assessment</w:t>
            </w:r>
          </w:p>
        </w:tc>
        <w:tc>
          <w:tcPr>
            <w:tcW w:w="1589" w:type="dxa"/>
            <w:shd w:val="clear" w:color="auto" w:fill="FFFFFF"/>
          </w:tcPr>
          <w:p w:rsidR="00BD3B5F" w:rsidRPr="005C3B55" w:rsidRDefault="00BD3B5F">
            <w:pPr>
              <w:rPr>
                <w:szCs w:val="24"/>
              </w:rPr>
            </w:pPr>
            <w:r w:rsidRPr="005C3B55">
              <w:rPr>
                <w:noProof/>
                <w:szCs w:val="24"/>
              </w:rPr>
              <w:t>30 September 2013</w:t>
            </w:r>
          </w:p>
        </w:tc>
      </w:tr>
      <w:tr w:rsidR="00BD3B5F" w:rsidRPr="005C3B55">
        <w:tc>
          <w:tcPr>
            <w:tcW w:w="4958" w:type="dxa"/>
            <w:shd w:val="clear" w:color="auto" w:fill="FFFFFF"/>
          </w:tcPr>
          <w:p w:rsidR="00BD3B5F" w:rsidRPr="005C3B55" w:rsidRDefault="00BD3B5F">
            <w:pPr>
              <w:rPr>
                <w:szCs w:val="24"/>
              </w:rPr>
            </w:pPr>
            <w:r w:rsidRPr="005C3B55">
              <w:rPr>
                <w:szCs w:val="24"/>
              </w:rPr>
              <w:t>Integrated planning of farm development</w:t>
            </w:r>
          </w:p>
        </w:tc>
        <w:tc>
          <w:tcPr>
            <w:tcW w:w="4109" w:type="dxa"/>
            <w:shd w:val="clear" w:color="auto" w:fill="FFFFFF"/>
          </w:tcPr>
          <w:p w:rsidR="00BD3B5F" w:rsidRPr="005C3B55" w:rsidRDefault="00BD3B5F">
            <w:pPr>
              <w:rPr>
                <w:szCs w:val="24"/>
              </w:rPr>
            </w:pPr>
            <w:r w:rsidRPr="005C3B55">
              <w:rPr>
                <w:szCs w:val="24"/>
              </w:rPr>
              <w:t>Special recommendations for strategic environmental impact assessment</w:t>
            </w:r>
          </w:p>
        </w:tc>
        <w:tc>
          <w:tcPr>
            <w:tcW w:w="1589" w:type="dxa"/>
            <w:shd w:val="clear" w:color="auto" w:fill="FFFFFF"/>
          </w:tcPr>
          <w:p w:rsidR="00BD3B5F" w:rsidRPr="005C3B55" w:rsidRDefault="00BD3B5F">
            <w:pPr>
              <w:rPr>
                <w:szCs w:val="24"/>
              </w:rPr>
            </w:pPr>
            <w:r w:rsidRPr="005C3B55">
              <w:rPr>
                <w:noProof/>
                <w:szCs w:val="24"/>
              </w:rPr>
              <w:t>20 Avgust 2013</w:t>
            </w:r>
          </w:p>
        </w:tc>
      </w:tr>
      <w:tr w:rsidR="00BD3B5F" w:rsidRPr="005C3B55">
        <w:tc>
          <w:tcPr>
            <w:tcW w:w="4958" w:type="dxa"/>
            <w:shd w:val="clear" w:color="auto" w:fill="FFFFFF"/>
          </w:tcPr>
          <w:p w:rsidR="00BD3B5F" w:rsidRPr="005C3B55" w:rsidRDefault="00BD3B5F">
            <w:pPr>
              <w:rPr>
                <w:szCs w:val="24"/>
              </w:rPr>
            </w:pPr>
            <w:r w:rsidRPr="005C3B55">
              <w:rPr>
                <w:szCs w:val="24"/>
              </w:rPr>
              <w:t>Selection of result and impact indicators, formation of the procedure for data collection</w:t>
            </w:r>
          </w:p>
        </w:tc>
        <w:tc>
          <w:tcPr>
            <w:tcW w:w="4109" w:type="dxa"/>
            <w:shd w:val="clear" w:color="auto" w:fill="FFFFFF"/>
          </w:tcPr>
          <w:p w:rsidR="00BD3B5F" w:rsidRPr="005C3B55" w:rsidRDefault="00BD3B5F">
            <w:pPr>
              <w:rPr>
                <w:szCs w:val="24"/>
              </w:rPr>
            </w:pPr>
            <w:r w:rsidRPr="005C3B55">
              <w:rPr>
                <w:szCs w:val="24"/>
              </w:rPr>
              <w:t>Setting of objectives, allocation of funds granted</w:t>
            </w:r>
          </w:p>
        </w:tc>
        <w:tc>
          <w:tcPr>
            <w:tcW w:w="1589" w:type="dxa"/>
            <w:shd w:val="clear" w:color="auto" w:fill="FFFFFF"/>
          </w:tcPr>
          <w:p w:rsidR="00BD3B5F" w:rsidRPr="005C3B55" w:rsidRDefault="00BD3B5F">
            <w:pPr>
              <w:rPr>
                <w:szCs w:val="24"/>
              </w:rPr>
            </w:pPr>
            <w:r w:rsidRPr="005C3B55">
              <w:rPr>
                <w:noProof/>
                <w:szCs w:val="24"/>
              </w:rPr>
              <w:t>9 December 2013</w:t>
            </w:r>
          </w:p>
        </w:tc>
      </w:tr>
      <w:tr w:rsidR="00BD3B5F" w:rsidRPr="005C3B55">
        <w:tc>
          <w:tcPr>
            <w:tcW w:w="4958" w:type="dxa"/>
            <w:shd w:val="clear" w:color="auto" w:fill="FFFFFF"/>
          </w:tcPr>
          <w:p w:rsidR="00BD3B5F" w:rsidRPr="005C3B55" w:rsidRDefault="00BD3B5F">
            <w:pPr>
              <w:rPr>
                <w:szCs w:val="24"/>
              </w:rPr>
            </w:pPr>
            <w:r w:rsidRPr="005C3B55">
              <w:rPr>
                <w:szCs w:val="24"/>
              </w:rPr>
              <w:t>Complexity of data</w:t>
            </w:r>
          </w:p>
        </w:tc>
        <w:tc>
          <w:tcPr>
            <w:tcW w:w="4109" w:type="dxa"/>
            <w:shd w:val="clear" w:color="auto" w:fill="FFFFFF"/>
          </w:tcPr>
          <w:p w:rsidR="00BD3B5F" w:rsidRPr="005C3B55" w:rsidRDefault="00BD3B5F">
            <w:pPr>
              <w:rPr>
                <w:szCs w:val="24"/>
              </w:rPr>
            </w:pPr>
            <w:r w:rsidRPr="005C3B55">
              <w:rPr>
                <w:szCs w:val="24"/>
              </w:rPr>
              <w:t>Arrangements for programme implementation</w:t>
            </w:r>
          </w:p>
        </w:tc>
        <w:tc>
          <w:tcPr>
            <w:tcW w:w="1589" w:type="dxa"/>
            <w:shd w:val="clear" w:color="auto" w:fill="FFFFFF"/>
          </w:tcPr>
          <w:p w:rsidR="00BD3B5F" w:rsidRPr="005C3B55" w:rsidRDefault="00BD3B5F">
            <w:pPr>
              <w:rPr>
                <w:szCs w:val="24"/>
              </w:rPr>
            </w:pPr>
            <w:r w:rsidRPr="005C3B55">
              <w:rPr>
                <w:noProof/>
                <w:szCs w:val="24"/>
              </w:rPr>
              <w:t>9 December 2013</w:t>
            </w:r>
          </w:p>
        </w:tc>
      </w:tr>
      <w:tr w:rsidR="00BD3B5F" w:rsidRPr="005C3B55">
        <w:tc>
          <w:tcPr>
            <w:tcW w:w="4958" w:type="dxa"/>
            <w:shd w:val="clear" w:color="auto" w:fill="FFFFFF"/>
          </w:tcPr>
          <w:p w:rsidR="00BD3B5F" w:rsidRPr="005C3B55" w:rsidRDefault="00BD3B5F">
            <w:pPr>
              <w:rPr>
                <w:szCs w:val="24"/>
              </w:rPr>
            </w:pPr>
            <w:r w:rsidRPr="005C3B55">
              <w:rPr>
                <w:szCs w:val="24"/>
              </w:rPr>
              <w:t>Criteria for the conservation of nature for the selection of projects in measures M16 and M19</w:t>
            </w:r>
          </w:p>
        </w:tc>
        <w:tc>
          <w:tcPr>
            <w:tcW w:w="4109" w:type="dxa"/>
            <w:shd w:val="clear" w:color="auto" w:fill="FFFFFF"/>
          </w:tcPr>
          <w:p w:rsidR="00BD3B5F" w:rsidRPr="005C3B55" w:rsidRDefault="00BD3B5F">
            <w:pPr>
              <w:rPr>
                <w:szCs w:val="24"/>
              </w:rPr>
            </w:pPr>
            <w:r w:rsidRPr="005C3B55">
              <w:rPr>
                <w:szCs w:val="24"/>
              </w:rPr>
              <w:t>Special recommendations for strategic environmental impact assessment</w:t>
            </w:r>
          </w:p>
        </w:tc>
        <w:tc>
          <w:tcPr>
            <w:tcW w:w="1589" w:type="dxa"/>
            <w:shd w:val="clear" w:color="auto" w:fill="FFFFFF"/>
          </w:tcPr>
          <w:p w:rsidR="00BD3B5F" w:rsidRPr="005C3B55" w:rsidRDefault="00BD3B5F">
            <w:pPr>
              <w:rPr>
                <w:szCs w:val="24"/>
              </w:rPr>
            </w:pPr>
            <w:r w:rsidRPr="005C3B55">
              <w:rPr>
                <w:noProof/>
                <w:szCs w:val="24"/>
              </w:rPr>
              <w:t>20 August 2013</w:t>
            </w:r>
          </w:p>
        </w:tc>
      </w:tr>
      <w:tr w:rsidR="00BD3B5F" w:rsidRPr="005C3B55">
        <w:tc>
          <w:tcPr>
            <w:tcW w:w="4958" w:type="dxa"/>
            <w:shd w:val="clear" w:color="auto" w:fill="FFFFFF"/>
          </w:tcPr>
          <w:p w:rsidR="00BD3B5F" w:rsidRPr="005C3B55" w:rsidRDefault="00BD3B5F">
            <w:pPr>
              <w:rPr>
                <w:szCs w:val="24"/>
              </w:rPr>
            </w:pPr>
            <w:r w:rsidRPr="005C3B55">
              <w:rPr>
                <w:szCs w:val="24"/>
              </w:rPr>
              <w:t>Integration measurement</w:t>
            </w:r>
          </w:p>
        </w:tc>
        <w:tc>
          <w:tcPr>
            <w:tcW w:w="4109" w:type="dxa"/>
            <w:shd w:val="clear" w:color="auto" w:fill="FFFFFF"/>
          </w:tcPr>
          <w:p w:rsidR="00BD3B5F" w:rsidRPr="005C3B55" w:rsidRDefault="00BD3B5F">
            <w:pPr>
              <w:rPr>
                <w:szCs w:val="24"/>
              </w:rPr>
            </w:pPr>
            <w:r w:rsidRPr="005C3B55">
              <w:rPr>
                <w:szCs w:val="24"/>
              </w:rPr>
              <w:t>Special recommendations for strategic environmental impact assessment</w:t>
            </w:r>
          </w:p>
        </w:tc>
        <w:tc>
          <w:tcPr>
            <w:tcW w:w="1589" w:type="dxa"/>
            <w:shd w:val="clear" w:color="auto" w:fill="FFFFFF"/>
          </w:tcPr>
          <w:p w:rsidR="00BD3B5F" w:rsidRPr="005C3B55" w:rsidRDefault="00BD3B5F">
            <w:pPr>
              <w:rPr>
                <w:szCs w:val="24"/>
              </w:rPr>
            </w:pPr>
            <w:r w:rsidRPr="005C3B55">
              <w:rPr>
                <w:noProof/>
                <w:szCs w:val="24"/>
              </w:rPr>
              <w:t>20 August 2013</w:t>
            </w:r>
          </w:p>
        </w:tc>
      </w:tr>
      <w:tr w:rsidR="00BD3B5F" w:rsidRPr="005C3B55">
        <w:tc>
          <w:tcPr>
            <w:tcW w:w="4958" w:type="dxa"/>
            <w:shd w:val="clear" w:color="auto" w:fill="FFFFFF"/>
          </w:tcPr>
          <w:p w:rsidR="00BD3B5F" w:rsidRPr="005C3B55" w:rsidRDefault="00BD3B5F">
            <w:pPr>
              <w:rPr>
                <w:szCs w:val="24"/>
              </w:rPr>
            </w:pPr>
            <w:r w:rsidRPr="005C3B55">
              <w:rPr>
                <w:szCs w:val="24"/>
              </w:rPr>
              <w:t>Rural Network</w:t>
            </w:r>
          </w:p>
        </w:tc>
        <w:tc>
          <w:tcPr>
            <w:tcW w:w="4109" w:type="dxa"/>
            <w:shd w:val="clear" w:color="auto" w:fill="FFFFFF"/>
          </w:tcPr>
          <w:p w:rsidR="00BD3B5F" w:rsidRPr="005C3B55" w:rsidRDefault="00BD3B5F">
            <w:pPr>
              <w:rPr>
                <w:szCs w:val="24"/>
              </w:rPr>
            </w:pPr>
            <w:r w:rsidRPr="005C3B55">
              <w:rPr>
                <w:szCs w:val="24"/>
              </w:rPr>
              <w:t>Arrangements for programme implementation</w:t>
            </w:r>
          </w:p>
        </w:tc>
        <w:tc>
          <w:tcPr>
            <w:tcW w:w="1589" w:type="dxa"/>
            <w:shd w:val="clear" w:color="auto" w:fill="FFFFFF"/>
          </w:tcPr>
          <w:p w:rsidR="00BD3B5F" w:rsidRPr="005C3B55" w:rsidRDefault="00BD3B5F">
            <w:pPr>
              <w:rPr>
                <w:szCs w:val="24"/>
              </w:rPr>
            </w:pPr>
            <w:r w:rsidRPr="005C3B55">
              <w:rPr>
                <w:noProof/>
                <w:szCs w:val="24"/>
              </w:rPr>
              <w:t>9 December 2013</w:t>
            </w:r>
          </w:p>
        </w:tc>
      </w:tr>
      <w:tr w:rsidR="00BD3B5F" w:rsidRPr="005C3B55">
        <w:tc>
          <w:tcPr>
            <w:tcW w:w="4958" w:type="dxa"/>
            <w:shd w:val="clear" w:color="auto" w:fill="FFFFFF"/>
          </w:tcPr>
          <w:p w:rsidR="00BD3B5F" w:rsidRPr="005C3B55" w:rsidRDefault="00BD3B5F">
            <w:pPr>
              <w:rPr>
                <w:szCs w:val="24"/>
              </w:rPr>
            </w:pPr>
            <w:r w:rsidRPr="005C3B55">
              <w:rPr>
                <w:szCs w:val="24"/>
              </w:rPr>
              <w:t>Nature</w:t>
            </w:r>
          </w:p>
        </w:tc>
        <w:tc>
          <w:tcPr>
            <w:tcW w:w="4109" w:type="dxa"/>
            <w:shd w:val="clear" w:color="auto" w:fill="FFFFFF"/>
          </w:tcPr>
          <w:p w:rsidR="00BD3B5F" w:rsidRPr="005C3B55" w:rsidRDefault="00BD3B5F">
            <w:pPr>
              <w:rPr>
                <w:szCs w:val="24"/>
              </w:rPr>
            </w:pPr>
            <w:r w:rsidRPr="005C3B55">
              <w:rPr>
                <w:szCs w:val="24"/>
              </w:rPr>
              <w:t>Special recommendations for strategic environmental impact assessment</w:t>
            </w:r>
          </w:p>
        </w:tc>
        <w:tc>
          <w:tcPr>
            <w:tcW w:w="1589" w:type="dxa"/>
            <w:shd w:val="clear" w:color="auto" w:fill="FFFFFF"/>
          </w:tcPr>
          <w:p w:rsidR="00BD3B5F" w:rsidRPr="005C3B55" w:rsidRDefault="00BD3B5F">
            <w:pPr>
              <w:rPr>
                <w:szCs w:val="24"/>
              </w:rPr>
            </w:pPr>
            <w:r w:rsidRPr="005C3B55">
              <w:rPr>
                <w:noProof/>
                <w:szCs w:val="24"/>
              </w:rPr>
              <w:t>1 July 2014</w:t>
            </w:r>
          </w:p>
        </w:tc>
      </w:tr>
      <w:tr w:rsidR="00BD3B5F" w:rsidRPr="005C3B55">
        <w:tc>
          <w:tcPr>
            <w:tcW w:w="4958" w:type="dxa"/>
            <w:shd w:val="clear" w:color="auto" w:fill="FFFFFF"/>
          </w:tcPr>
          <w:p w:rsidR="00BD3B5F" w:rsidRPr="005C3B55" w:rsidRDefault="00BD3B5F">
            <w:pPr>
              <w:rPr>
                <w:szCs w:val="24"/>
              </w:rPr>
            </w:pPr>
            <w:r w:rsidRPr="005C3B55">
              <w:rPr>
                <w:rStyle w:val="hps"/>
                <w:szCs w:val="24"/>
              </w:rPr>
              <w:t>Nature (</w:t>
            </w:r>
            <w:r w:rsidRPr="005C3B55">
              <w:rPr>
                <w:rStyle w:val="shorttext"/>
                <w:szCs w:val="24"/>
              </w:rPr>
              <w:t>efficient implementation of measure M10)</w:t>
            </w:r>
          </w:p>
        </w:tc>
        <w:tc>
          <w:tcPr>
            <w:tcW w:w="4109" w:type="dxa"/>
            <w:shd w:val="clear" w:color="auto" w:fill="FFFFFF"/>
          </w:tcPr>
          <w:p w:rsidR="00BD3B5F" w:rsidRPr="005C3B55" w:rsidRDefault="00BD3B5F">
            <w:pPr>
              <w:rPr>
                <w:szCs w:val="24"/>
              </w:rPr>
            </w:pPr>
            <w:r w:rsidRPr="005C3B55">
              <w:rPr>
                <w:szCs w:val="24"/>
              </w:rPr>
              <w:t>Special recommendations for strategic environmental impact assessment</w:t>
            </w:r>
          </w:p>
        </w:tc>
        <w:tc>
          <w:tcPr>
            <w:tcW w:w="1589" w:type="dxa"/>
            <w:shd w:val="clear" w:color="auto" w:fill="FFFFFF"/>
          </w:tcPr>
          <w:p w:rsidR="00BD3B5F" w:rsidRPr="005C3B55" w:rsidRDefault="00BD3B5F">
            <w:pPr>
              <w:rPr>
                <w:szCs w:val="24"/>
              </w:rPr>
            </w:pPr>
            <w:r w:rsidRPr="005C3B55">
              <w:rPr>
                <w:noProof/>
                <w:szCs w:val="24"/>
              </w:rPr>
              <w:t>1 March 2014</w:t>
            </w:r>
          </w:p>
        </w:tc>
      </w:tr>
      <w:tr w:rsidR="00BD3B5F" w:rsidRPr="005C3B55">
        <w:tc>
          <w:tcPr>
            <w:tcW w:w="4958" w:type="dxa"/>
            <w:shd w:val="clear" w:color="auto" w:fill="FFFFFF"/>
          </w:tcPr>
          <w:p w:rsidR="00BD3B5F" w:rsidRPr="005C3B55" w:rsidRDefault="00BD3B5F">
            <w:pPr>
              <w:rPr>
                <w:szCs w:val="24"/>
              </w:rPr>
            </w:pPr>
            <w:r w:rsidRPr="005C3B55">
              <w:rPr>
                <w:szCs w:val="24"/>
              </w:rPr>
              <w:t>Indication of budgets at the level of sub-measures</w:t>
            </w:r>
          </w:p>
        </w:tc>
        <w:tc>
          <w:tcPr>
            <w:tcW w:w="4109" w:type="dxa"/>
            <w:shd w:val="clear" w:color="auto" w:fill="FFFFFF"/>
          </w:tcPr>
          <w:p w:rsidR="00BD3B5F" w:rsidRPr="005C3B55" w:rsidRDefault="00BD3B5F">
            <w:pPr>
              <w:rPr>
                <w:szCs w:val="24"/>
              </w:rPr>
            </w:pPr>
            <w:r w:rsidRPr="005C3B55">
              <w:rPr>
                <w:szCs w:val="24"/>
              </w:rPr>
              <w:t>Setting of objectives, allocation of funds granted</w:t>
            </w:r>
          </w:p>
        </w:tc>
        <w:tc>
          <w:tcPr>
            <w:tcW w:w="1589" w:type="dxa"/>
            <w:shd w:val="clear" w:color="auto" w:fill="FFFFFF"/>
          </w:tcPr>
          <w:p w:rsidR="00BD3B5F" w:rsidRPr="005C3B55" w:rsidRDefault="00BD3B5F">
            <w:pPr>
              <w:rPr>
                <w:szCs w:val="24"/>
              </w:rPr>
            </w:pPr>
            <w:r w:rsidRPr="005C3B55">
              <w:rPr>
                <w:noProof/>
                <w:szCs w:val="24"/>
              </w:rPr>
              <w:t>9 December 2013</w:t>
            </w:r>
          </w:p>
        </w:tc>
      </w:tr>
      <w:tr w:rsidR="00BD3B5F" w:rsidRPr="005C3B55">
        <w:tc>
          <w:tcPr>
            <w:tcW w:w="4958" w:type="dxa"/>
            <w:shd w:val="clear" w:color="auto" w:fill="FFFFFF"/>
          </w:tcPr>
          <w:p w:rsidR="00BD3B5F" w:rsidRPr="005C3B55" w:rsidRDefault="00BD3B5F">
            <w:pPr>
              <w:rPr>
                <w:szCs w:val="24"/>
              </w:rPr>
            </w:pPr>
            <w:r w:rsidRPr="005C3B55">
              <w:rPr>
                <w:szCs w:val="24"/>
              </w:rPr>
              <w:t>Environmental criteria for the selection of knowledge transfer providers and advisory services</w:t>
            </w:r>
          </w:p>
        </w:tc>
        <w:tc>
          <w:tcPr>
            <w:tcW w:w="4109" w:type="dxa"/>
            <w:shd w:val="clear" w:color="auto" w:fill="FFFFFF"/>
          </w:tcPr>
          <w:p w:rsidR="00BD3B5F" w:rsidRPr="005C3B55" w:rsidRDefault="00BD3B5F">
            <w:pPr>
              <w:rPr>
                <w:szCs w:val="24"/>
              </w:rPr>
            </w:pPr>
            <w:r w:rsidRPr="005C3B55">
              <w:rPr>
                <w:szCs w:val="24"/>
              </w:rPr>
              <w:t>Special recommendations for strategic environmental impact assessment</w:t>
            </w:r>
          </w:p>
        </w:tc>
        <w:tc>
          <w:tcPr>
            <w:tcW w:w="1589" w:type="dxa"/>
            <w:shd w:val="clear" w:color="auto" w:fill="FFFFFF"/>
          </w:tcPr>
          <w:p w:rsidR="00BD3B5F" w:rsidRPr="005C3B55" w:rsidRDefault="00BD3B5F">
            <w:pPr>
              <w:rPr>
                <w:szCs w:val="24"/>
              </w:rPr>
            </w:pPr>
            <w:r w:rsidRPr="005C3B55">
              <w:rPr>
                <w:noProof/>
                <w:szCs w:val="24"/>
              </w:rPr>
              <w:t>20 August 2013</w:t>
            </w:r>
          </w:p>
        </w:tc>
      </w:tr>
      <w:tr w:rsidR="00BD3B5F" w:rsidRPr="005C3B55">
        <w:tc>
          <w:tcPr>
            <w:tcW w:w="4958" w:type="dxa"/>
            <w:shd w:val="clear" w:color="auto" w:fill="FFFFFF"/>
          </w:tcPr>
          <w:p w:rsidR="00BD3B5F" w:rsidRPr="005C3B55" w:rsidRDefault="00BD3B5F">
            <w:pPr>
              <w:rPr>
                <w:szCs w:val="24"/>
              </w:rPr>
            </w:pPr>
            <w:r w:rsidRPr="005C3B55">
              <w:rPr>
                <w:szCs w:val="24"/>
              </w:rPr>
              <w:t>Environmental criteria for the selection of projects in measures M16 and M19</w:t>
            </w:r>
          </w:p>
        </w:tc>
        <w:tc>
          <w:tcPr>
            <w:tcW w:w="4109" w:type="dxa"/>
            <w:shd w:val="clear" w:color="auto" w:fill="FFFFFF"/>
          </w:tcPr>
          <w:p w:rsidR="00BD3B5F" w:rsidRPr="005C3B55" w:rsidRDefault="00BD3B5F">
            <w:pPr>
              <w:rPr>
                <w:szCs w:val="24"/>
              </w:rPr>
            </w:pPr>
            <w:r w:rsidRPr="005C3B55">
              <w:rPr>
                <w:szCs w:val="24"/>
              </w:rPr>
              <w:t>Special recommendations for strategic environmental impact assessment</w:t>
            </w:r>
          </w:p>
        </w:tc>
        <w:tc>
          <w:tcPr>
            <w:tcW w:w="1589" w:type="dxa"/>
            <w:shd w:val="clear" w:color="auto" w:fill="FFFFFF"/>
          </w:tcPr>
          <w:p w:rsidR="00BD3B5F" w:rsidRPr="005C3B55" w:rsidRDefault="00BD3B5F">
            <w:pPr>
              <w:rPr>
                <w:szCs w:val="24"/>
              </w:rPr>
            </w:pPr>
            <w:r w:rsidRPr="005C3B55">
              <w:rPr>
                <w:noProof/>
                <w:szCs w:val="24"/>
              </w:rPr>
              <w:t>20 August 2013</w:t>
            </w:r>
          </w:p>
        </w:tc>
      </w:tr>
      <w:tr w:rsidR="00BD3B5F" w:rsidRPr="005C3B55">
        <w:tc>
          <w:tcPr>
            <w:tcW w:w="4958" w:type="dxa"/>
            <w:shd w:val="clear" w:color="auto" w:fill="FFFFFF"/>
          </w:tcPr>
          <w:p w:rsidR="00BD3B5F" w:rsidRPr="005C3B55" w:rsidRDefault="00BD3B5F">
            <w:pPr>
              <w:rPr>
                <w:szCs w:val="24"/>
              </w:rPr>
            </w:pPr>
            <w:r w:rsidRPr="005C3B55">
              <w:rPr>
                <w:szCs w:val="24"/>
              </w:rPr>
              <w:t>Environmental criteria for the selection of projects in investments in infrastructure</w:t>
            </w:r>
          </w:p>
        </w:tc>
        <w:tc>
          <w:tcPr>
            <w:tcW w:w="4109" w:type="dxa"/>
            <w:shd w:val="clear" w:color="auto" w:fill="FFFFFF"/>
          </w:tcPr>
          <w:p w:rsidR="00BD3B5F" w:rsidRPr="005C3B55" w:rsidRDefault="00BD3B5F">
            <w:pPr>
              <w:rPr>
                <w:szCs w:val="24"/>
              </w:rPr>
            </w:pPr>
            <w:r w:rsidRPr="005C3B55">
              <w:rPr>
                <w:szCs w:val="24"/>
              </w:rPr>
              <w:t>Special recommendations for strategic environmental impact assessment</w:t>
            </w:r>
          </w:p>
        </w:tc>
        <w:tc>
          <w:tcPr>
            <w:tcW w:w="1589" w:type="dxa"/>
            <w:shd w:val="clear" w:color="auto" w:fill="FFFFFF"/>
          </w:tcPr>
          <w:p w:rsidR="00BD3B5F" w:rsidRPr="005C3B55" w:rsidRDefault="00BD3B5F">
            <w:pPr>
              <w:rPr>
                <w:szCs w:val="24"/>
              </w:rPr>
            </w:pPr>
            <w:r w:rsidRPr="005C3B55">
              <w:rPr>
                <w:noProof/>
                <w:szCs w:val="24"/>
              </w:rPr>
              <w:t>20 August 2013</w:t>
            </w:r>
          </w:p>
        </w:tc>
      </w:tr>
      <w:tr w:rsidR="00BD3B5F" w:rsidRPr="005C3B55">
        <w:tc>
          <w:tcPr>
            <w:tcW w:w="4958" w:type="dxa"/>
            <w:shd w:val="clear" w:color="auto" w:fill="FFFFFF"/>
          </w:tcPr>
          <w:p w:rsidR="00BD3B5F" w:rsidRPr="005C3B55" w:rsidRDefault="00BD3B5F">
            <w:pPr>
              <w:rPr>
                <w:szCs w:val="24"/>
              </w:rPr>
            </w:pPr>
            <w:r w:rsidRPr="005C3B55">
              <w:rPr>
                <w:szCs w:val="24"/>
              </w:rPr>
              <w:t>Determination of special impact indicators</w:t>
            </w:r>
          </w:p>
        </w:tc>
        <w:tc>
          <w:tcPr>
            <w:tcW w:w="4109" w:type="dxa"/>
            <w:shd w:val="clear" w:color="auto" w:fill="FFFFFF"/>
          </w:tcPr>
          <w:p w:rsidR="00BD3B5F" w:rsidRPr="005C3B55" w:rsidRDefault="00BD3B5F">
            <w:pPr>
              <w:rPr>
                <w:szCs w:val="24"/>
              </w:rPr>
            </w:pPr>
            <w:r w:rsidRPr="005C3B55">
              <w:rPr>
                <w:szCs w:val="24"/>
              </w:rPr>
              <w:t>Setting of objectives, allocation of funds granted</w:t>
            </w:r>
          </w:p>
        </w:tc>
        <w:tc>
          <w:tcPr>
            <w:tcW w:w="1589" w:type="dxa"/>
            <w:shd w:val="clear" w:color="auto" w:fill="FFFFFF"/>
          </w:tcPr>
          <w:p w:rsidR="00BD3B5F" w:rsidRPr="005C3B55" w:rsidRDefault="00BD3B5F">
            <w:pPr>
              <w:rPr>
                <w:szCs w:val="24"/>
              </w:rPr>
            </w:pPr>
            <w:r w:rsidRPr="005C3B55">
              <w:rPr>
                <w:noProof/>
                <w:szCs w:val="24"/>
              </w:rPr>
              <w:t>9 December 2013</w:t>
            </w:r>
          </w:p>
        </w:tc>
      </w:tr>
      <w:tr w:rsidR="00BD3B5F" w:rsidRPr="005C3B55">
        <w:tc>
          <w:tcPr>
            <w:tcW w:w="4958" w:type="dxa"/>
            <w:shd w:val="clear" w:color="auto" w:fill="FFFFFF"/>
          </w:tcPr>
          <w:p w:rsidR="00BD3B5F" w:rsidRPr="005C3B55" w:rsidRDefault="00BD3B5F">
            <w:pPr>
              <w:rPr>
                <w:szCs w:val="24"/>
              </w:rPr>
            </w:pPr>
            <w:r w:rsidRPr="005C3B55">
              <w:rPr>
                <w:szCs w:val="24"/>
              </w:rPr>
              <w:t xml:space="preserve">Determination of expected results in measures </w:t>
            </w:r>
          </w:p>
        </w:tc>
        <w:tc>
          <w:tcPr>
            <w:tcW w:w="4109" w:type="dxa"/>
            <w:shd w:val="clear" w:color="auto" w:fill="FFFFFF"/>
          </w:tcPr>
          <w:p w:rsidR="00BD3B5F" w:rsidRPr="005C3B55" w:rsidRDefault="00BD3B5F">
            <w:pPr>
              <w:rPr>
                <w:szCs w:val="24"/>
              </w:rPr>
            </w:pPr>
            <w:r w:rsidRPr="005C3B55">
              <w:rPr>
                <w:szCs w:val="24"/>
              </w:rPr>
              <w:t>Establishment of the logic for action</w:t>
            </w:r>
          </w:p>
        </w:tc>
        <w:tc>
          <w:tcPr>
            <w:tcW w:w="1589" w:type="dxa"/>
            <w:shd w:val="clear" w:color="auto" w:fill="FFFFFF"/>
          </w:tcPr>
          <w:p w:rsidR="00BD3B5F" w:rsidRPr="005C3B55" w:rsidRDefault="00BD3B5F">
            <w:pPr>
              <w:rPr>
                <w:szCs w:val="24"/>
              </w:rPr>
            </w:pPr>
            <w:r w:rsidRPr="005C3B55">
              <w:rPr>
                <w:noProof/>
                <w:szCs w:val="24"/>
              </w:rPr>
              <w:t>28 June 2013</w:t>
            </w:r>
          </w:p>
        </w:tc>
      </w:tr>
      <w:tr w:rsidR="00BD3B5F" w:rsidRPr="005C3B55">
        <w:tc>
          <w:tcPr>
            <w:tcW w:w="4958" w:type="dxa"/>
            <w:shd w:val="clear" w:color="auto" w:fill="FFFFFF"/>
          </w:tcPr>
          <w:p w:rsidR="00BD3B5F" w:rsidRPr="005C3B55" w:rsidRDefault="00BD3B5F">
            <w:pPr>
              <w:rPr>
                <w:szCs w:val="24"/>
              </w:rPr>
            </w:pPr>
            <w:r w:rsidRPr="005C3B55">
              <w:rPr>
                <w:szCs w:val="24"/>
              </w:rPr>
              <w:t>Pasturing plan for farms included in measure M10</w:t>
            </w:r>
          </w:p>
        </w:tc>
        <w:tc>
          <w:tcPr>
            <w:tcW w:w="4109" w:type="dxa"/>
            <w:shd w:val="clear" w:color="auto" w:fill="FFFFFF"/>
          </w:tcPr>
          <w:p w:rsidR="00BD3B5F" w:rsidRPr="005C3B55" w:rsidRDefault="00BD3B5F">
            <w:pPr>
              <w:rPr>
                <w:szCs w:val="24"/>
              </w:rPr>
            </w:pPr>
            <w:r w:rsidRPr="005C3B55">
              <w:rPr>
                <w:szCs w:val="24"/>
              </w:rPr>
              <w:t>Special recommendations for strategic environmental impact assessment</w:t>
            </w:r>
          </w:p>
        </w:tc>
        <w:tc>
          <w:tcPr>
            <w:tcW w:w="1589" w:type="dxa"/>
            <w:shd w:val="clear" w:color="auto" w:fill="FFFFFF"/>
          </w:tcPr>
          <w:p w:rsidR="00BD3B5F" w:rsidRPr="005C3B55" w:rsidRDefault="00BD3B5F">
            <w:pPr>
              <w:rPr>
                <w:szCs w:val="24"/>
              </w:rPr>
            </w:pPr>
            <w:r w:rsidRPr="005C3B55">
              <w:rPr>
                <w:noProof/>
                <w:szCs w:val="24"/>
              </w:rPr>
              <w:t>20 August 2013</w:t>
            </w:r>
          </w:p>
        </w:tc>
      </w:tr>
      <w:tr w:rsidR="00BD3B5F" w:rsidRPr="005C3B55">
        <w:tc>
          <w:tcPr>
            <w:tcW w:w="4958" w:type="dxa"/>
            <w:shd w:val="clear" w:color="auto" w:fill="FFFFFF"/>
          </w:tcPr>
          <w:p w:rsidR="00BD3B5F" w:rsidRPr="005C3B55" w:rsidRDefault="00BD3B5F">
            <w:pPr>
              <w:rPr>
                <w:szCs w:val="24"/>
              </w:rPr>
            </w:pPr>
            <w:r w:rsidRPr="005C3B55">
              <w:rPr>
                <w:szCs w:val="24"/>
              </w:rPr>
              <w:t>Promotion of quality schemes</w:t>
            </w:r>
          </w:p>
        </w:tc>
        <w:tc>
          <w:tcPr>
            <w:tcW w:w="4109" w:type="dxa"/>
            <w:shd w:val="clear" w:color="auto" w:fill="FFFFFF"/>
          </w:tcPr>
          <w:p w:rsidR="00BD3B5F" w:rsidRPr="005C3B55" w:rsidRDefault="00BD3B5F">
            <w:pPr>
              <w:rPr>
                <w:szCs w:val="24"/>
              </w:rPr>
            </w:pPr>
            <w:r w:rsidRPr="005C3B55">
              <w:rPr>
                <w:szCs w:val="24"/>
              </w:rPr>
              <w:t>Special recommendations for strategic environmental impact assessment</w:t>
            </w:r>
          </w:p>
        </w:tc>
        <w:tc>
          <w:tcPr>
            <w:tcW w:w="1589" w:type="dxa"/>
            <w:shd w:val="clear" w:color="auto" w:fill="FFFFFF"/>
          </w:tcPr>
          <w:p w:rsidR="00BD3B5F" w:rsidRPr="005C3B55" w:rsidRDefault="00BD3B5F">
            <w:pPr>
              <w:rPr>
                <w:szCs w:val="24"/>
              </w:rPr>
            </w:pPr>
            <w:r w:rsidRPr="005C3B55">
              <w:rPr>
                <w:noProof/>
                <w:szCs w:val="24"/>
              </w:rPr>
              <w:t>20 August 2013</w:t>
            </w:r>
          </w:p>
        </w:tc>
      </w:tr>
      <w:tr w:rsidR="00BD3B5F" w:rsidRPr="005C3B55">
        <w:tc>
          <w:tcPr>
            <w:tcW w:w="4958" w:type="dxa"/>
            <w:shd w:val="clear" w:color="auto" w:fill="FFFFFF"/>
          </w:tcPr>
          <w:p w:rsidR="00BD3B5F" w:rsidRPr="005C3B55" w:rsidRDefault="00BD3B5F">
            <w:pPr>
              <w:rPr>
                <w:szCs w:val="24"/>
              </w:rPr>
            </w:pPr>
            <w:r w:rsidRPr="005C3B55">
              <w:rPr>
                <w:szCs w:val="24"/>
              </w:rPr>
              <w:t>Spatial criteria for the selection of projects in measures for investments in infrastructure</w:t>
            </w:r>
          </w:p>
        </w:tc>
        <w:tc>
          <w:tcPr>
            <w:tcW w:w="4109" w:type="dxa"/>
            <w:shd w:val="clear" w:color="auto" w:fill="FFFFFF"/>
          </w:tcPr>
          <w:p w:rsidR="00BD3B5F" w:rsidRPr="005C3B55" w:rsidRDefault="00BD3B5F">
            <w:pPr>
              <w:rPr>
                <w:szCs w:val="24"/>
              </w:rPr>
            </w:pPr>
            <w:r w:rsidRPr="005C3B55">
              <w:rPr>
                <w:szCs w:val="24"/>
              </w:rPr>
              <w:t>Special recommendations for strategic environmental impact assessment</w:t>
            </w:r>
          </w:p>
        </w:tc>
        <w:tc>
          <w:tcPr>
            <w:tcW w:w="1589" w:type="dxa"/>
            <w:shd w:val="clear" w:color="auto" w:fill="FFFFFF"/>
          </w:tcPr>
          <w:p w:rsidR="00BD3B5F" w:rsidRPr="005C3B55" w:rsidRDefault="00BD3B5F">
            <w:pPr>
              <w:rPr>
                <w:szCs w:val="24"/>
              </w:rPr>
            </w:pPr>
            <w:r w:rsidRPr="005C3B55">
              <w:rPr>
                <w:noProof/>
                <w:szCs w:val="24"/>
              </w:rPr>
              <w:t>20 August 2013</w:t>
            </w:r>
          </w:p>
        </w:tc>
      </w:tr>
      <w:tr w:rsidR="00BD3B5F" w:rsidRPr="005C3B55">
        <w:tc>
          <w:tcPr>
            <w:tcW w:w="4958" w:type="dxa"/>
            <w:shd w:val="clear" w:color="auto" w:fill="FFFFFF"/>
          </w:tcPr>
          <w:p w:rsidR="00BD3B5F" w:rsidRPr="005C3B55" w:rsidRDefault="00BD3B5F">
            <w:pPr>
              <w:rPr>
                <w:szCs w:val="24"/>
              </w:rPr>
            </w:pPr>
            <w:r w:rsidRPr="005C3B55">
              <w:rPr>
                <w:szCs w:val="24"/>
              </w:rPr>
              <w:t>Spatial planning</w:t>
            </w:r>
          </w:p>
        </w:tc>
        <w:tc>
          <w:tcPr>
            <w:tcW w:w="4109" w:type="dxa"/>
            <w:shd w:val="clear" w:color="auto" w:fill="FFFFFF"/>
          </w:tcPr>
          <w:p w:rsidR="00BD3B5F" w:rsidRPr="005C3B55" w:rsidRDefault="00BD3B5F">
            <w:pPr>
              <w:rPr>
                <w:szCs w:val="24"/>
              </w:rPr>
            </w:pPr>
            <w:r w:rsidRPr="005C3B55">
              <w:rPr>
                <w:szCs w:val="24"/>
              </w:rPr>
              <w:t>Special recommendations for strategic environmental impact assessment</w:t>
            </w:r>
          </w:p>
        </w:tc>
        <w:tc>
          <w:tcPr>
            <w:tcW w:w="1589" w:type="dxa"/>
            <w:shd w:val="clear" w:color="auto" w:fill="FFFFFF"/>
          </w:tcPr>
          <w:p w:rsidR="00BD3B5F" w:rsidRPr="005C3B55" w:rsidRDefault="00BD3B5F">
            <w:pPr>
              <w:rPr>
                <w:szCs w:val="24"/>
              </w:rPr>
            </w:pPr>
            <w:r w:rsidRPr="005C3B55">
              <w:rPr>
                <w:noProof/>
                <w:szCs w:val="24"/>
              </w:rPr>
              <w:t>20 August 2013</w:t>
            </w:r>
          </w:p>
        </w:tc>
      </w:tr>
      <w:tr w:rsidR="00BD3B5F" w:rsidRPr="005C3B55">
        <w:tc>
          <w:tcPr>
            <w:tcW w:w="4958" w:type="dxa"/>
            <w:shd w:val="clear" w:color="auto" w:fill="FFFFFF"/>
          </w:tcPr>
          <w:p w:rsidR="00BD3B5F" w:rsidRPr="005C3B55" w:rsidRDefault="00BD3B5F">
            <w:pPr>
              <w:rPr>
                <w:szCs w:val="24"/>
              </w:rPr>
            </w:pPr>
            <w:r w:rsidRPr="005C3B55">
              <w:rPr>
                <w:szCs w:val="24"/>
              </w:rPr>
              <w:t>Delimitations among funds</w:t>
            </w:r>
          </w:p>
        </w:tc>
        <w:tc>
          <w:tcPr>
            <w:tcW w:w="4109" w:type="dxa"/>
            <w:shd w:val="clear" w:color="auto" w:fill="FFFFFF"/>
          </w:tcPr>
          <w:p w:rsidR="00BD3B5F" w:rsidRPr="005C3B55" w:rsidRDefault="00BD3B5F">
            <w:pPr>
              <w:rPr>
                <w:szCs w:val="24"/>
              </w:rPr>
            </w:pPr>
            <w:r w:rsidRPr="005C3B55">
              <w:rPr>
                <w:szCs w:val="24"/>
              </w:rPr>
              <w:t>Establishment of the logic for action</w:t>
            </w:r>
          </w:p>
        </w:tc>
        <w:tc>
          <w:tcPr>
            <w:tcW w:w="1589" w:type="dxa"/>
            <w:shd w:val="clear" w:color="auto" w:fill="FFFFFF"/>
          </w:tcPr>
          <w:p w:rsidR="00BD3B5F" w:rsidRPr="005C3B55" w:rsidRDefault="00BD3B5F">
            <w:pPr>
              <w:rPr>
                <w:szCs w:val="24"/>
              </w:rPr>
            </w:pPr>
            <w:r w:rsidRPr="005C3B55">
              <w:rPr>
                <w:noProof/>
                <w:szCs w:val="24"/>
              </w:rPr>
              <w:t>9 December 2013</w:t>
            </w:r>
          </w:p>
        </w:tc>
      </w:tr>
      <w:tr w:rsidR="00BD3B5F" w:rsidRPr="005C3B55">
        <w:tc>
          <w:tcPr>
            <w:tcW w:w="4958" w:type="dxa"/>
            <w:shd w:val="clear" w:color="auto" w:fill="FFFFFF"/>
          </w:tcPr>
          <w:p w:rsidR="00BD3B5F" w:rsidRPr="005C3B55" w:rsidRDefault="00BD3B5F">
            <w:pPr>
              <w:rPr>
                <w:szCs w:val="24"/>
              </w:rPr>
            </w:pPr>
            <w:r w:rsidRPr="005C3B55">
              <w:rPr>
                <w:szCs w:val="24"/>
              </w:rPr>
              <w:t>Indicator-related guidelines</w:t>
            </w:r>
          </w:p>
        </w:tc>
        <w:tc>
          <w:tcPr>
            <w:tcW w:w="4109" w:type="dxa"/>
            <w:shd w:val="clear" w:color="auto" w:fill="FFFFFF"/>
          </w:tcPr>
          <w:p w:rsidR="00BD3B5F" w:rsidRPr="005C3B55" w:rsidRDefault="00BD3B5F">
            <w:pPr>
              <w:rPr>
                <w:szCs w:val="24"/>
              </w:rPr>
            </w:pPr>
            <w:r w:rsidRPr="005C3B55">
              <w:rPr>
                <w:szCs w:val="24"/>
              </w:rPr>
              <w:t>Setting of objectives, allocation of funds granted</w:t>
            </w:r>
          </w:p>
        </w:tc>
        <w:tc>
          <w:tcPr>
            <w:tcW w:w="1589" w:type="dxa"/>
            <w:shd w:val="clear" w:color="auto" w:fill="FFFFFF"/>
          </w:tcPr>
          <w:p w:rsidR="00BD3B5F" w:rsidRPr="005C3B55" w:rsidRDefault="00BD3B5F">
            <w:pPr>
              <w:rPr>
                <w:szCs w:val="24"/>
              </w:rPr>
            </w:pPr>
            <w:r w:rsidRPr="005C3B55">
              <w:rPr>
                <w:noProof/>
                <w:szCs w:val="24"/>
              </w:rPr>
              <w:t>9 December 2013</w:t>
            </w:r>
          </w:p>
        </w:tc>
      </w:tr>
      <w:tr w:rsidR="00BD3B5F" w:rsidRPr="005C3B55">
        <w:tc>
          <w:tcPr>
            <w:tcW w:w="4958" w:type="dxa"/>
            <w:shd w:val="clear" w:color="auto" w:fill="FFFFFF"/>
          </w:tcPr>
          <w:p w:rsidR="00BD3B5F" w:rsidRPr="005C3B55" w:rsidRDefault="00BD3B5F">
            <w:pPr>
              <w:rPr>
                <w:szCs w:val="24"/>
              </w:rPr>
            </w:pPr>
            <w:r w:rsidRPr="005C3B55">
              <w:rPr>
                <w:szCs w:val="24"/>
              </w:rPr>
              <w:t>Monitoring of the quality of services for the implementation of adaptation measures</w:t>
            </w:r>
          </w:p>
        </w:tc>
        <w:tc>
          <w:tcPr>
            <w:tcW w:w="4109" w:type="dxa"/>
            <w:shd w:val="clear" w:color="auto" w:fill="FFFFFF"/>
          </w:tcPr>
          <w:p w:rsidR="00BD3B5F" w:rsidRPr="005C3B55" w:rsidRDefault="00BD3B5F">
            <w:pPr>
              <w:rPr>
                <w:szCs w:val="24"/>
              </w:rPr>
            </w:pPr>
            <w:r w:rsidRPr="005C3B55">
              <w:rPr>
                <w:szCs w:val="24"/>
              </w:rPr>
              <w:t>Special recommendations for strategic environmental impact assessment</w:t>
            </w:r>
          </w:p>
        </w:tc>
        <w:tc>
          <w:tcPr>
            <w:tcW w:w="1589" w:type="dxa"/>
            <w:shd w:val="clear" w:color="auto" w:fill="FFFFFF"/>
          </w:tcPr>
          <w:p w:rsidR="00BD3B5F" w:rsidRPr="005C3B55" w:rsidRDefault="00BD3B5F">
            <w:pPr>
              <w:rPr>
                <w:szCs w:val="24"/>
              </w:rPr>
            </w:pPr>
            <w:r w:rsidRPr="005C3B55">
              <w:rPr>
                <w:noProof/>
                <w:szCs w:val="24"/>
              </w:rPr>
              <w:t>20 August 2013</w:t>
            </w:r>
          </w:p>
        </w:tc>
      </w:tr>
      <w:tr w:rsidR="00BD3B5F" w:rsidRPr="005C3B55">
        <w:tc>
          <w:tcPr>
            <w:tcW w:w="4958" w:type="dxa"/>
            <w:shd w:val="clear" w:color="auto" w:fill="FFFFFF"/>
          </w:tcPr>
          <w:p w:rsidR="00BD3B5F" w:rsidRPr="005C3B55" w:rsidRDefault="00BD3B5F">
            <w:pPr>
              <w:rPr>
                <w:szCs w:val="24"/>
              </w:rPr>
            </w:pPr>
            <w:r w:rsidRPr="005C3B55">
              <w:rPr>
                <w:szCs w:val="24"/>
              </w:rPr>
              <w:t>Arrangement of eco-cells with EU funds</w:t>
            </w:r>
          </w:p>
        </w:tc>
        <w:tc>
          <w:tcPr>
            <w:tcW w:w="4109" w:type="dxa"/>
            <w:shd w:val="clear" w:color="auto" w:fill="FFFFFF"/>
          </w:tcPr>
          <w:p w:rsidR="00BD3B5F" w:rsidRPr="005C3B55" w:rsidRDefault="00BD3B5F">
            <w:pPr>
              <w:rPr>
                <w:szCs w:val="24"/>
              </w:rPr>
            </w:pPr>
            <w:r w:rsidRPr="005C3B55">
              <w:rPr>
                <w:szCs w:val="24"/>
              </w:rPr>
              <w:t>Special recommendations for strategic environmental impact assessment</w:t>
            </w:r>
          </w:p>
        </w:tc>
        <w:tc>
          <w:tcPr>
            <w:tcW w:w="1589" w:type="dxa"/>
            <w:shd w:val="clear" w:color="auto" w:fill="FFFFFF"/>
          </w:tcPr>
          <w:p w:rsidR="00BD3B5F" w:rsidRPr="005C3B55" w:rsidRDefault="00BD3B5F">
            <w:pPr>
              <w:rPr>
                <w:szCs w:val="24"/>
              </w:rPr>
            </w:pPr>
            <w:r w:rsidRPr="005C3B55">
              <w:rPr>
                <w:noProof/>
                <w:szCs w:val="24"/>
              </w:rPr>
              <w:t>30 September 2013</w:t>
            </w:r>
          </w:p>
        </w:tc>
      </w:tr>
      <w:tr w:rsidR="00BD3B5F" w:rsidRPr="005C3B55">
        <w:tc>
          <w:tcPr>
            <w:tcW w:w="4958" w:type="dxa"/>
            <w:shd w:val="clear" w:color="auto" w:fill="FFFFFF"/>
          </w:tcPr>
          <w:p w:rsidR="00BD3B5F" w:rsidRPr="005C3B55" w:rsidRDefault="00BD3B5F">
            <w:pPr>
              <w:rPr>
                <w:szCs w:val="24"/>
              </w:rPr>
            </w:pPr>
            <w:r w:rsidRPr="005C3B55">
              <w:rPr>
                <w:szCs w:val="24"/>
              </w:rPr>
              <w:t>Targeted training</w:t>
            </w:r>
          </w:p>
        </w:tc>
        <w:tc>
          <w:tcPr>
            <w:tcW w:w="4109" w:type="dxa"/>
            <w:shd w:val="clear" w:color="auto" w:fill="FFFFFF"/>
          </w:tcPr>
          <w:p w:rsidR="00BD3B5F" w:rsidRPr="005C3B55" w:rsidRDefault="00BD3B5F">
            <w:pPr>
              <w:rPr>
                <w:szCs w:val="24"/>
              </w:rPr>
            </w:pPr>
            <w:r w:rsidRPr="005C3B55">
              <w:rPr>
                <w:szCs w:val="24"/>
              </w:rPr>
              <w:t>Special recommendations for strategic environmental impact assessment</w:t>
            </w:r>
          </w:p>
        </w:tc>
        <w:tc>
          <w:tcPr>
            <w:tcW w:w="1589" w:type="dxa"/>
            <w:shd w:val="clear" w:color="auto" w:fill="FFFFFF"/>
          </w:tcPr>
          <w:p w:rsidR="00BD3B5F" w:rsidRPr="005C3B55" w:rsidRDefault="00BD3B5F">
            <w:pPr>
              <w:rPr>
                <w:szCs w:val="24"/>
              </w:rPr>
            </w:pPr>
            <w:r w:rsidRPr="005C3B55">
              <w:rPr>
                <w:noProof/>
                <w:szCs w:val="24"/>
              </w:rPr>
              <w:t>20 August 2013</w:t>
            </w:r>
          </w:p>
        </w:tc>
      </w:tr>
      <w:tr w:rsidR="00BD3B5F" w:rsidRPr="005C3B55">
        <w:tc>
          <w:tcPr>
            <w:tcW w:w="4958" w:type="dxa"/>
            <w:shd w:val="clear" w:color="auto" w:fill="FFFFFF"/>
          </w:tcPr>
          <w:p w:rsidR="00BD3B5F" w:rsidRPr="005C3B55" w:rsidRDefault="00BD3B5F">
            <w:pPr>
              <w:rPr>
                <w:szCs w:val="24"/>
              </w:rPr>
            </w:pPr>
            <w:r w:rsidRPr="005C3B55">
              <w:rPr>
                <w:szCs w:val="24"/>
              </w:rPr>
              <w:t>More efficient implementation</w:t>
            </w:r>
          </w:p>
        </w:tc>
        <w:tc>
          <w:tcPr>
            <w:tcW w:w="4109" w:type="dxa"/>
            <w:shd w:val="clear" w:color="auto" w:fill="FFFFFF"/>
          </w:tcPr>
          <w:p w:rsidR="00BD3B5F" w:rsidRPr="005C3B55" w:rsidRDefault="00BD3B5F">
            <w:pPr>
              <w:rPr>
                <w:szCs w:val="24"/>
              </w:rPr>
            </w:pPr>
            <w:r w:rsidRPr="005C3B55">
              <w:rPr>
                <w:szCs w:val="24"/>
              </w:rPr>
              <w:t>Special recommendations for strategic environmental impact assessment</w:t>
            </w:r>
          </w:p>
        </w:tc>
        <w:tc>
          <w:tcPr>
            <w:tcW w:w="1589" w:type="dxa"/>
            <w:shd w:val="clear" w:color="auto" w:fill="FFFFFF"/>
          </w:tcPr>
          <w:p w:rsidR="00BD3B5F" w:rsidRPr="005C3B55" w:rsidRDefault="00BD3B5F">
            <w:pPr>
              <w:rPr>
                <w:szCs w:val="24"/>
              </w:rPr>
            </w:pPr>
            <w:r w:rsidRPr="005C3B55">
              <w:rPr>
                <w:noProof/>
                <w:szCs w:val="24"/>
              </w:rPr>
              <w:t>20 August 2013</w:t>
            </w:r>
          </w:p>
        </w:tc>
      </w:tr>
      <w:tr w:rsidR="00BD3B5F" w:rsidRPr="005C3B55">
        <w:tc>
          <w:tcPr>
            <w:tcW w:w="4958" w:type="dxa"/>
            <w:shd w:val="clear" w:color="auto" w:fill="FFFFFF"/>
          </w:tcPr>
          <w:p w:rsidR="00BD3B5F" w:rsidRPr="005C3B55" w:rsidRDefault="00BD3B5F">
            <w:pPr>
              <w:rPr>
                <w:szCs w:val="24"/>
              </w:rPr>
            </w:pPr>
            <w:r w:rsidRPr="005C3B55">
              <w:rPr>
                <w:szCs w:val="24"/>
              </w:rPr>
              <w:t>Efficient management</w:t>
            </w:r>
          </w:p>
        </w:tc>
        <w:tc>
          <w:tcPr>
            <w:tcW w:w="4109" w:type="dxa"/>
            <w:shd w:val="clear" w:color="auto" w:fill="FFFFFF"/>
          </w:tcPr>
          <w:p w:rsidR="00BD3B5F" w:rsidRPr="005C3B55" w:rsidRDefault="00BD3B5F">
            <w:pPr>
              <w:rPr>
                <w:szCs w:val="24"/>
              </w:rPr>
            </w:pPr>
            <w:r w:rsidRPr="005C3B55">
              <w:rPr>
                <w:szCs w:val="24"/>
              </w:rPr>
              <w:t>Special recommendations for strategic environmental impact assessment</w:t>
            </w:r>
          </w:p>
        </w:tc>
        <w:tc>
          <w:tcPr>
            <w:tcW w:w="1589" w:type="dxa"/>
            <w:shd w:val="clear" w:color="auto" w:fill="FFFFFF"/>
          </w:tcPr>
          <w:p w:rsidR="00BD3B5F" w:rsidRPr="005C3B55" w:rsidRDefault="00BD3B5F">
            <w:pPr>
              <w:rPr>
                <w:szCs w:val="24"/>
              </w:rPr>
            </w:pPr>
            <w:r w:rsidRPr="005C3B55">
              <w:rPr>
                <w:noProof/>
                <w:szCs w:val="24"/>
              </w:rPr>
              <w:t>20 August 2013</w:t>
            </w:r>
          </w:p>
        </w:tc>
      </w:tr>
      <w:tr w:rsidR="00BD3B5F" w:rsidRPr="005C3B55">
        <w:tc>
          <w:tcPr>
            <w:tcW w:w="4958" w:type="dxa"/>
            <w:shd w:val="clear" w:color="auto" w:fill="FFFFFF"/>
          </w:tcPr>
          <w:p w:rsidR="00BD3B5F" w:rsidRPr="005C3B55" w:rsidRDefault="00BD3B5F">
            <w:pPr>
              <w:rPr>
                <w:szCs w:val="24"/>
              </w:rPr>
            </w:pPr>
            <w:r w:rsidRPr="005C3B55">
              <w:rPr>
                <w:szCs w:val="24"/>
              </w:rPr>
              <w:t>Inclusion of cultural heritage in the RDP 2014-2020</w:t>
            </w:r>
          </w:p>
        </w:tc>
        <w:tc>
          <w:tcPr>
            <w:tcW w:w="4109" w:type="dxa"/>
            <w:shd w:val="clear" w:color="auto" w:fill="FFFFFF"/>
          </w:tcPr>
          <w:p w:rsidR="00BD3B5F" w:rsidRPr="005C3B55" w:rsidRDefault="00BD3B5F">
            <w:pPr>
              <w:rPr>
                <w:szCs w:val="24"/>
              </w:rPr>
            </w:pPr>
            <w:r w:rsidRPr="005C3B55">
              <w:rPr>
                <w:szCs w:val="24"/>
              </w:rPr>
              <w:t>Special recommendations for strategic environmental impact assessment</w:t>
            </w:r>
          </w:p>
        </w:tc>
        <w:tc>
          <w:tcPr>
            <w:tcW w:w="1589" w:type="dxa"/>
            <w:shd w:val="clear" w:color="auto" w:fill="FFFFFF"/>
          </w:tcPr>
          <w:p w:rsidR="00BD3B5F" w:rsidRPr="005C3B55" w:rsidRDefault="00BD3B5F">
            <w:pPr>
              <w:rPr>
                <w:szCs w:val="24"/>
              </w:rPr>
            </w:pPr>
            <w:r w:rsidRPr="005C3B55">
              <w:rPr>
                <w:noProof/>
                <w:szCs w:val="24"/>
              </w:rPr>
              <w:t>30 September 2013</w:t>
            </w:r>
          </w:p>
        </w:tc>
      </w:tr>
      <w:tr w:rsidR="00BD3B5F" w:rsidRPr="005C3B55">
        <w:tc>
          <w:tcPr>
            <w:tcW w:w="4958" w:type="dxa"/>
            <w:shd w:val="clear" w:color="auto" w:fill="FFFFFF"/>
          </w:tcPr>
          <w:p w:rsidR="00BD3B5F" w:rsidRPr="005C3B55" w:rsidRDefault="00BD3B5F">
            <w:pPr>
              <w:rPr>
                <w:szCs w:val="24"/>
              </w:rPr>
            </w:pPr>
            <w:r w:rsidRPr="005C3B55">
              <w:rPr>
                <w:szCs w:val="24"/>
              </w:rPr>
              <w:t>Inclusion of payments within Natura 2000 sites (Article 30)</w:t>
            </w:r>
          </w:p>
        </w:tc>
        <w:tc>
          <w:tcPr>
            <w:tcW w:w="4109" w:type="dxa"/>
            <w:shd w:val="clear" w:color="auto" w:fill="FFFFFF"/>
          </w:tcPr>
          <w:p w:rsidR="00BD3B5F" w:rsidRPr="005C3B55" w:rsidRDefault="00BD3B5F">
            <w:pPr>
              <w:rPr>
                <w:szCs w:val="24"/>
              </w:rPr>
            </w:pPr>
            <w:r w:rsidRPr="005C3B55">
              <w:rPr>
                <w:szCs w:val="24"/>
              </w:rPr>
              <w:t>Special recommendations for strategic environmental impact assessment</w:t>
            </w:r>
          </w:p>
        </w:tc>
        <w:tc>
          <w:tcPr>
            <w:tcW w:w="1589" w:type="dxa"/>
            <w:shd w:val="clear" w:color="auto" w:fill="FFFFFF"/>
          </w:tcPr>
          <w:p w:rsidR="00BD3B5F" w:rsidRPr="005C3B55" w:rsidRDefault="00BD3B5F">
            <w:pPr>
              <w:rPr>
                <w:szCs w:val="24"/>
              </w:rPr>
            </w:pPr>
            <w:r w:rsidRPr="005C3B55">
              <w:rPr>
                <w:noProof/>
                <w:szCs w:val="24"/>
              </w:rPr>
              <w:t>30 September 2013</w:t>
            </w:r>
          </w:p>
        </w:tc>
      </w:tr>
      <w:tr w:rsidR="00BD3B5F" w:rsidRPr="005C3B55">
        <w:tc>
          <w:tcPr>
            <w:tcW w:w="4958" w:type="dxa"/>
            <w:shd w:val="clear" w:color="auto" w:fill="FFFFFF"/>
          </w:tcPr>
          <w:p w:rsidR="00BD3B5F" w:rsidRPr="005C3B55" w:rsidRDefault="00BD3B5F">
            <w:pPr>
              <w:rPr>
                <w:szCs w:val="24"/>
              </w:rPr>
            </w:pPr>
            <w:r w:rsidRPr="005C3B55">
              <w:rPr>
                <w:szCs w:val="24"/>
              </w:rPr>
              <w:t>Reliability of situation analysis and SWOT analysis</w:t>
            </w:r>
          </w:p>
        </w:tc>
        <w:tc>
          <w:tcPr>
            <w:tcW w:w="4109" w:type="dxa"/>
            <w:shd w:val="clear" w:color="auto" w:fill="FFFFFF"/>
          </w:tcPr>
          <w:p w:rsidR="00BD3B5F" w:rsidRPr="005C3B55" w:rsidRDefault="00BD3B5F">
            <w:pPr>
              <w:rPr>
                <w:szCs w:val="24"/>
              </w:rPr>
            </w:pPr>
            <w:r w:rsidRPr="005C3B55">
              <w:rPr>
                <w:szCs w:val="24"/>
              </w:rPr>
              <w:t>SWOT analysis, assessment of needs</w:t>
            </w:r>
          </w:p>
        </w:tc>
        <w:tc>
          <w:tcPr>
            <w:tcW w:w="1589" w:type="dxa"/>
            <w:shd w:val="clear" w:color="auto" w:fill="FFFFFF"/>
          </w:tcPr>
          <w:p w:rsidR="00BD3B5F" w:rsidRPr="005C3B55" w:rsidRDefault="00BD3B5F">
            <w:pPr>
              <w:rPr>
                <w:szCs w:val="24"/>
              </w:rPr>
            </w:pPr>
            <w:r w:rsidRPr="005C3B55">
              <w:rPr>
                <w:noProof/>
                <w:szCs w:val="24"/>
              </w:rPr>
              <w:t>9 December 2013</w:t>
            </w:r>
          </w:p>
        </w:tc>
      </w:tr>
      <w:tr w:rsidR="00BD3B5F" w:rsidRPr="005C3B55">
        <w:tc>
          <w:tcPr>
            <w:tcW w:w="4958" w:type="dxa"/>
            <w:shd w:val="clear" w:color="auto" w:fill="FFFFFF"/>
          </w:tcPr>
          <w:p w:rsidR="00BD3B5F" w:rsidRPr="005C3B55" w:rsidRDefault="00BD3B5F">
            <w:pPr>
              <w:rPr>
                <w:szCs w:val="24"/>
              </w:rPr>
            </w:pPr>
            <w:r w:rsidRPr="005C3B55">
              <w:rPr>
                <w:szCs w:val="24"/>
              </w:rPr>
              <w:t>Reduction of farm impact on waters</w:t>
            </w:r>
          </w:p>
        </w:tc>
        <w:tc>
          <w:tcPr>
            <w:tcW w:w="4109" w:type="dxa"/>
            <w:shd w:val="clear" w:color="auto" w:fill="FFFFFF"/>
          </w:tcPr>
          <w:p w:rsidR="00BD3B5F" w:rsidRPr="005C3B55" w:rsidRDefault="00BD3B5F">
            <w:pPr>
              <w:rPr>
                <w:szCs w:val="24"/>
              </w:rPr>
            </w:pPr>
            <w:r w:rsidRPr="005C3B55">
              <w:rPr>
                <w:szCs w:val="24"/>
              </w:rPr>
              <w:t>Special recommendations for strategic environmental impact assessment</w:t>
            </w:r>
          </w:p>
        </w:tc>
        <w:tc>
          <w:tcPr>
            <w:tcW w:w="1589" w:type="dxa"/>
            <w:shd w:val="clear" w:color="auto" w:fill="FFFFFF"/>
          </w:tcPr>
          <w:p w:rsidR="00BD3B5F" w:rsidRPr="005C3B55" w:rsidRDefault="00BD3B5F">
            <w:pPr>
              <w:rPr>
                <w:szCs w:val="24"/>
              </w:rPr>
            </w:pPr>
            <w:r w:rsidRPr="005C3B55">
              <w:rPr>
                <w:noProof/>
                <w:szCs w:val="24"/>
              </w:rPr>
              <w:t>1 April 2014</w:t>
            </w:r>
          </w:p>
        </w:tc>
      </w:tr>
    </w:tbl>
    <w:p w:rsidR="00BD3B5F" w:rsidRPr="005C3B55" w:rsidRDefault="00BD3B5F">
      <w:pPr>
        <w:rPr>
          <w:b/>
          <w:szCs w:val="24"/>
        </w:rPr>
      </w:pPr>
    </w:p>
    <w:p w:rsidR="00BD3B5F" w:rsidRPr="005C3B55" w:rsidRDefault="00BD3B5F">
      <w:pPr>
        <w:pStyle w:val="Naslov3"/>
        <w:tabs>
          <w:tab w:val="clear" w:pos="765"/>
        </w:tabs>
        <w:ind w:left="0" w:firstLine="0"/>
        <w:jc w:val="left"/>
        <w:rPr>
          <w:szCs w:val="24"/>
          <w:lang w:val="en-GB"/>
        </w:rPr>
      </w:pPr>
      <w:bookmarkStart w:id="8" w:name="_Toc416192466"/>
      <w:r w:rsidRPr="005C3B55">
        <w:rPr>
          <w:szCs w:val="24"/>
          <w:lang w:val="en-GB"/>
        </w:rPr>
        <w:t>CLLD – cooperation among funds</w:t>
      </w:r>
      <w:bookmarkEnd w:id="8"/>
    </w:p>
    <w:p w:rsidR="00BD3B5F" w:rsidRPr="005C3B55" w:rsidRDefault="00BD3B5F">
      <w:pPr>
        <w:rPr>
          <w:szCs w:val="24"/>
        </w:rPr>
      </w:pPr>
      <w:r w:rsidRPr="005C3B55">
        <w:rPr>
          <w:szCs w:val="24"/>
        </w:rPr>
        <w:t>Category of the recommendation: Other matters</w:t>
      </w:r>
    </w:p>
    <w:p w:rsidR="00BD3B5F" w:rsidRPr="005C3B55" w:rsidRDefault="00BD3B5F">
      <w:pPr>
        <w:rPr>
          <w:szCs w:val="24"/>
        </w:rPr>
      </w:pPr>
      <w:r w:rsidRPr="005C3B55">
        <w:rPr>
          <w:noProof/>
          <w:szCs w:val="24"/>
        </w:rPr>
        <w:t>Date:</w:t>
      </w:r>
      <w:r w:rsidRPr="005C3B55">
        <w:rPr>
          <w:szCs w:val="24"/>
        </w:rPr>
        <w:t xml:space="preserve"> </w:t>
      </w:r>
      <w:r w:rsidRPr="005C3B55">
        <w:rPr>
          <w:noProof/>
          <w:szCs w:val="24"/>
        </w:rPr>
        <w:t>18 November 2013</w:t>
      </w:r>
    </w:p>
    <w:p w:rsidR="00BD3B5F" w:rsidRPr="005C3B55" w:rsidRDefault="00BD3B5F">
      <w:pPr>
        <w:rPr>
          <w:szCs w:val="24"/>
        </w:rPr>
      </w:pPr>
      <w:r w:rsidRPr="005C3B55">
        <w:rPr>
          <w:szCs w:val="24"/>
        </w:rPr>
        <w:t>Subject: Local development</w:t>
      </w:r>
    </w:p>
    <w:p w:rsidR="00BD3B5F" w:rsidRPr="005C3B55" w:rsidRDefault="00BD3B5F">
      <w:pPr>
        <w:rPr>
          <w:szCs w:val="24"/>
        </w:rPr>
      </w:pPr>
      <w:r w:rsidRPr="005C3B55">
        <w:rPr>
          <w:szCs w:val="24"/>
        </w:rPr>
        <w:t>Description of the recommendation</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10656" w:type="dxa"/>
          </w:tcPr>
          <w:p w:rsidR="00BD3B5F" w:rsidRPr="005C3B55" w:rsidRDefault="00BD3B5F">
            <w:pPr>
              <w:spacing w:before="0" w:after="240"/>
              <w:jc w:val="left"/>
              <w:rPr>
                <w:noProof/>
                <w:szCs w:val="24"/>
              </w:rPr>
            </w:pPr>
            <w:r w:rsidRPr="005C3B55">
              <w:rPr>
                <w:szCs w:val="24"/>
              </w:rPr>
              <w:t>In connection with the supplementation of the partnership agreement, we suggest that a document be prepared which includes the anticipated regulations for the cooperation between the EAFRD and the EMFF, including the confirmation of local development strategies, financing of local action groups and monitoring as well as assessing the implementation of measure M19.</w:t>
            </w:r>
          </w:p>
          <w:p w:rsidR="00BD3B5F" w:rsidRPr="005C3B55" w:rsidRDefault="00BD3B5F">
            <w:pPr>
              <w:pStyle w:val="Telobesedila"/>
              <w:rPr>
                <w:szCs w:val="24"/>
              </w:rPr>
            </w:pPr>
          </w:p>
        </w:tc>
      </w:tr>
    </w:tbl>
    <w:p w:rsidR="00BD3B5F" w:rsidRPr="005C3B55" w:rsidRDefault="00BD3B5F">
      <w:pPr>
        <w:rPr>
          <w:szCs w:val="24"/>
        </w:rPr>
      </w:pPr>
      <w:r w:rsidRPr="005C3B55">
        <w:rPr>
          <w:szCs w:val="24"/>
        </w:rPr>
        <w:t>How the recommendation was addressed or justification as to why it was not observed</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10656" w:type="dxa"/>
          </w:tcPr>
          <w:p w:rsidR="00BD3B5F" w:rsidRPr="005C3B55" w:rsidRDefault="00BD3B5F">
            <w:pPr>
              <w:spacing w:before="0" w:after="240"/>
              <w:jc w:val="left"/>
              <w:rPr>
                <w:noProof/>
                <w:szCs w:val="24"/>
              </w:rPr>
            </w:pPr>
            <w:r w:rsidRPr="005C3B55">
              <w:rPr>
                <w:szCs w:val="24"/>
              </w:rPr>
              <w:t>It was observed.</w:t>
            </w:r>
          </w:p>
          <w:p w:rsidR="00BD3B5F" w:rsidRPr="005C3B55" w:rsidRDefault="00BD3B5F">
            <w:pPr>
              <w:spacing w:before="240" w:after="240"/>
              <w:jc w:val="left"/>
              <w:rPr>
                <w:noProof/>
                <w:szCs w:val="24"/>
              </w:rPr>
            </w:pPr>
            <w:r w:rsidRPr="005C3B55">
              <w:rPr>
                <w:szCs w:val="24"/>
              </w:rPr>
              <w:t>A joint national regulation will be prepared which will determine joint requirements and special features of individual funds included in the CLLD joint approach.</w:t>
            </w:r>
          </w:p>
          <w:p w:rsidR="00BD3B5F" w:rsidRPr="005C3B55" w:rsidRDefault="00BD3B5F">
            <w:pPr>
              <w:spacing w:before="240" w:after="240"/>
              <w:jc w:val="left"/>
              <w:rPr>
                <w:noProof/>
                <w:szCs w:val="24"/>
              </w:rPr>
            </w:pPr>
            <w:r w:rsidRPr="005C3B55">
              <w:rPr>
                <w:szCs w:val="24"/>
              </w:rPr>
              <w:t>MAs which manage the funds will establish the CLLD Coordination Committee whose task will be to provide synergies and information flow among all funds and bodies included in the CLLD implementation.</w:t>
            </w:r>
            <w:r w:rsidRPr="005C3B55">
              <w:rPr>
                <w:noProof/>
                <w:szCs w:val="24"/>
              </w:rPr>
              <w:t xml:space="preserve"> </w:t>
            </w:r>
            <w:r w:rsidRPr="005C3B55">
              <w:rPr>
                <w:szCs w:val="24"/>
              </w:rPr>
              <w:t>The Committee will also oversee the preparation of a joint national regulation based on operational programmes, and define tasks, relations and responsibilities of participating funds in more detail.</w:t>
            </w:r>
            <w:r w:rsidRPr="005C3B55">
              <w:rPr>
                <w:noProof/>
                <w:szCs w:val="24"/>
              </w:rPr>
              <w:t xml:space="preserve"> </w:t>
            </w:r>
            <w:r w:rsidRPr="005C3B55">
              <w:rPr>
                <w:szCs w:val="24"/>
              </w:rPr>
              <w:t>This regulation will also define the conditions and procedures for the selection and approval of LDSs and LAGs, mandatory chapters of LDSs, and financial provisions and liabilities regarding the fulfilment of the CLLD approach conditions.</w:t>
            </w:r>
          </w:p>
          <w:p w:rsidR="00BD3B5F" w:rsidRPr="005C3B55" w:rsidRDefault="00BD3B5F">
            <w:pPr>
              <w:spacing w:before="240" w:after="240"/>
              <w:jc w:val="left"/>
              <w:rPr>
                <w:noProof/>
                <w:szCs w:val="24"/>
              </w:rPr>
            </w:pPr>
            <w:r w:rsidRPr="005C3B55">
              <w:rPr>
                <w:szCs w:val="24"/>
              </w:rPr>
              <w:t>Another task of the CLLD Coordination Committee will be to select LDSs and LAGs, which will be based on a unified procedure and common selection criteria.</w:t>
            </w:r>
            <w:r w:rsidRPr="005C3B55">
              <w:rPr>
                <w:noProof/>
                <w:szCs w:val="24"/>
              </w:rPr>
              <w:t xml:space="preserve"> </w:t>
            </w:r>
            <w:r w:rsidRPr="005C3B55">
              <w:rPr>
                <w:szCs w:val="24"/>
              </w:rPr>
              <w:t>The final decision regarding the selection of LDSs and LAGs will be made by individual MAs.</w:t>
            </w:r>
          </w:p>
          <w:p w:rsidR="00BD3B5F" w:rsidRPr="005C3B55" w:rsidRDefault="00BD3B5F">
            <w:pPr>
              <w:pStyle w:val="Telobesedila"/>
              <w:rPr>
                <w:szCs w:val="24"/>
              </w:rPr>
            </w:pPr>
          </w:p>
        </w:tc>
      </w:tr>
    </w:tbl>
    <w:p w:rsidR="00BD3B5F" w:rsidRPr="005C3B55" w:rsidRDefault="00BD3B5F">
      <w:pPr>
        <w:pStyle w:val="Naslov3"/>
        <w:tabs>
          <w:tab w:val="clear" w:pos="765"/>
        </w:tabs>
        <w:ind w:left="0" w:firstLine="0"/>
        <w:jc w:val="left"/>
        <w:rPr>
          <w:szCs w:val="24"/>
          <w:lang w:val="en-GB"/>
        </w:rPr>
      </w:pPr>
      <w:bookmarkStart w:id="9" w:name="_Toc416192467"/>
      <w:r w:rsidRPr="005C3B55">
        <w:rPr>
          <w:szCs w:val="24"/>
          <w:lang w:val="en-GB"/>
        </w:rPr>
        <w:t>Accessibility of rural areas</w:t>
      </w:r>
      <w:bookmarkEnd w:id="9"/>
    </w:p>
    <w:p w:rsidR="00BD3B5F" w:rsidRPr="005C3B55" w:rsidRDefault="00BD3B5F">
      <w:pPr>
        <w:rPr>
          <w:szCs w:val="24"/>
        </w:rPr>
      </w:pPr>
      <w:r w:rsidRPr="005C3B55">
        <w:rPr>
          <w:szCs w:val="24"/>
        </w:rPr>
        <w:t>Category of the recommendation: Special recommendations for strategic environmental impact assessment</w:t>
      </w:r>
    </w:p>
    <w:p w:rsidR="00BD3B5F" w:rsidRPr="005C3B55" w:rsidRDefault="00BD3B5F">
      <w:pPr>
        <w:rPr>
          <w:szCs w:val="24"/>
        </w:rPr>
      </w:pPr>
      <w:r w:rsidRPr="005C3B55">
        <w:rPr>
          <w:noProof/>
          <w:szCs w:val="24"/>
        </w:rPr>
        <w:t>Date:</w:t>
      </w:r>
      <w:r w:rsidRPr="005C3B55">
        <w:rPr>
          <w:szCs w:val="24"/>
        </w:rPr>
        <w:t xml:space="preserve"> </w:t>
      </w:r>
      <w:r w:rsidRPr="005C3B55">
        <w:rPr>
          <w:noProof/>
          <w:szCs w:val="24"/>
        </w:rPr>
        <w:t>1 April 2014</w:t>
      </w:r>
    </w:p>
    <w:p w:rsidR="00BD3B5F" w:rsidRPr="005C3B55" w:rsidRDefault="00BD3B5F">
      <w:pPr>
        <w:rPr>
          <w:szCs w:val="24"/>
        </w:rPr>
      </w:pPr>
      <w:r w:rsidRPr="005C3B55">
        <w:rPr>
          <w:szCs w:val="24"/>
        </w:rPr>
        <w:t>Subject: Quality of life</w:t>
      </w:r>
    </w:p>
    <w:p w:rsidR="00BD3B5F" w:rsidRPr="005C3B55" w:rsidRDefault="00BD3B5F">
      <w:pPr>
        <w:rPr>
          <w:szCs w:val="24"/>
        </w:rPr>
      </w:pPr>
      <w:r w:rsidRPr="005C3B55">
        <w:rPr>
          <w:szCs w:val="24"/>
        </w:rPr>
        <w:t>Description of the recommendation</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10656" w:type="dxa"/>
          </w:tcPr>
          <w:p w:rsidR="00BD3B5F" w:rsidRPr="005C3B55" w:rsidRDefault="00BD3B5F">
            <w:pPr>
              <w:spacing w:before="0" w:after="240"/>
              <w:jc w:val="left"/>
              <w:rPr>
                <w:noProof/>
                <w:szCs w:val="24"/>
              </w:rPr>
            </w:pPr>
            <w:r w:rsidRPr="005C3B55">
              <w:rPr>
                <w:rStyle w:val="hps"/>
                <w:szCs w:val="24"/>
              </w:rPr>
              <w:t>Possibilities for projects focused on the development of sustainable transport methods  (measures M16 and M19</w:t>
            </w:r>
            <w:r w:rsidRPr="005C3B55">
              <w:rPr>
                <w:szCs w:val="24"/>
              </w:rPr>
              <w:t>) must be provided.</w:t>
            </w:r>
          </w:p>
          <w:p w:rsidR="00BD3B5F" w:rsidRPr="005C3B55" w:rsidRDefault="00BD3B5F">
            <w:pPr>
              <w:pStyle w:val="Telobesedila"/>
              <w:rPr>
                <w:szCs w:val="24"/>
              </w:rPr>
            </w:pPr>
          </w:p>
        </w:tc>
      </w:tr>
    </w:tbl>
    <w:p w:rsidR="00BD3B5F" w:rsidRPr="005C3B55" w:rsidRDefault="00BD3B5F">
      <w:pPr>
        <w:rPr>
          <w:szCs w:val="24"/>
        </w:rPr>
      </w:pPr>
      <w:r w:rsidRPr="005C3B55">
        <w:rPr>
          <w:szCs w:val="24"/>
        </w:rPr>
        <w:t>How the recommendation was addressed or justification as to why it was not observed</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10656" w:type="dxa"/>
          </w:tcPr>
          <w:p w:rsidR="00BD3B5F" w:rsidRPr="005C3B55" w:rsidRDefault="00BD3B5F">
            <w:pPr>
              <w:spacing w:before="0" w:after="240"/>
              <w:jc w:val="left"/>
              <w:rPr>
                <w:noProof/>
                <w:szCs w:val="24"/>
              </w:rPr>
            </w:pPr>
            <w:r w:rsidRPr="005C3B55">
              <w:rPr>
                <w:szCs w:val="24"/>
              </w:rPr>
              <w:t>It was observed.</w:t>
            </w:r>
          </w:p>
          <w:p w:rsidR="00BD3B5F" w:rsidRPr="005C3B55" w:rsidRDefault="00BD3B5F">
            <w:pPr>
              <w:spacing w:before="240" w:after="240"/>
              <w:jc w:val="left"/>
              <w:rPr>
                <w:noProof/>
                <w:szCs w:val="24"/>
              </w:rPr>
            </w:pPr>
            <w:r w:rsidRPr="005C3B55">
              <w:rPr>
                <w:szCs w:val="24"/>
              </w:rPr>
              <w:t>In principle, these aspects may be included in measure M16.</w:t>
            </w:r>
          </w:p>
          <w:p w:rsidR="00BD3B5F" w:rsidRPr="005C3B55" w:rsidRDefault="00BD3B5F">
            <w:pPr>
              <w:spacing w:before="240" w:after="240"/>
              <w:jc w:val="left"/>
              <w:rPr>
                <w:noProof/>
                <w:szCs w:val="24"/>
              </w:rPr>
            </w:pPr>
            <w:r w:rsidRPr="005C3B55">
              <w:rPr>
                <w:szCs w:val="24"/>
              </w:rPr>
              <w:t>Decisions on local development are made by local partnerships which must prepare LDSs.</w:t>
            </w:r>
            <w:r w:rsidRPr="005C3B55">
              <w:rPr>
                <w:noProof/>
                <w:szCs w:val="24"/>
              </w:rPr>
              <w:t xml:space="preserve"> </w:t>
            </w:r>
            <w:r w:rsidRPr="005C3B55">
              <w:rPr>
                <w:szCs w:val="24"/>
              </w:rPr>
              <w:t>If local partnerships recognise the development of sustainable transport methods as a local development need, such operations may also be financed under measure M19.</w:t>
            </w:r>
          </w:p>
          <w:p w:rsidR="00BD3B5F" w:rsidRPr="005C3B55" w:rsidRDefault="00BD3B5F">
            <w:pPr>
              <w:pStyle w:val="Telobesedila"/>
              <w:rPr>
                <w:szCs w:val="24"/>
              </w:rPr>
            </w:pPr>
          </w:p>
        </w:tc>
      </w:tr>
    </w:tbl>
    <w:p w:rsidR="00BD3B5F" w:rsidRPr="005C3B55" w:rsidRDefault="00BD3B5F">
      <w:pPr>
        <w:pStyle w:val="Naslov3"/>
        <w:tabs>
          <w:tab w:val="clear" w:pos="765"/>
        </w:tabs>
        <w:ind w:left="0" w:firstLine="0"/>
        <w:jc w:val="left"/>
        <w:rPr>
          <w:szCs w:val="24"/>
          <w:lang w:val="en-GB"/>
        </w:rPr>
      </w:pPr>
      <w:bookmarkStart w:id="10" w:name="_Toc416192468"/>
      <w:r w:rsidRPr="005C3B55">
        <w:rPr>
          <w:szCs w:val="24"/>
          <w:lang w:val="en-GB"/>
        </w:rPr>
        <w:t>Financial instruments</w:t>
      </w:r>
      <w:bookmarkEnd w:id="10"/>
    </w:p>
    <w:p w:rsidR="00BD3B5F" w:rsidRPr="005C3B55" w:rsidRDefault="00BD3B5F">
      <w:pPr>
        <w:rPr>
          <w:szCs w:val="24"/>
        </w:rPr>
      </w:pPr>
      <w:r w:rsidRPr="005C3B55">
        <w:rPr>
          <w:szCs w:val="24"/>
        </w:rPr>
        <w:t>Category of the recommendation: Establishment of the logic for action</w:t>
      </w:r>
    </w:p>
    <w:p w:rsidR="00BD3B5F" w:rsidRPr="005C3B55" w:rsidRDefault="00BD3B5F">
      <w:pPr>
        <w:rPr>
          <w:szCs w:val="24"/>
        </w:rPr>
      </w:pPr>
      <w:r w:rsidRPr="005C3B55">
        <w:rPr>
          <w:noProof/>
          <w:szCs w:val="24"/>
        </w:rPr>
        <w:t>Date:</w:t>
      </w:r>
      <w:r w:rsidRPr="005C3B55">
        <w:rPr>
          <w:szCs w:val="24"/>
        </w:rPr>
        <w:t xml:space="preserve"> </w:t>
      </w:r>
      <w:r w:rsidRPr="005C3B55">
        <w:rPr>
          <w:noProof/>
          <w:szCs w:val="24"/>
        </w:rPr>
        <w:t>9 December 2013</w:t>
      </w:r>
    </w:p>
    <w:p w:rsidR="00BD3B5F" w:rsidRPr="005C3B55" w:rsidRDefault="00BD3B5F">
      <w:pPr>
        <w:rPr>
          <w:szCs w:val="24"/>
        </w:rPr>
      </w:pPr>
      <w:r w:rsidRPr="005C3B55">
        <w:rPr>
          <w:szCs w:val="24"/>
        </w:rPr>
        <w:t>Subject: Forms of support</w:t>
      </w:r>
    </w:p>
    <w:p w:rsidR="00BD3B5F" w:rsidRPr="005C3B55" w:rsidRDefault="00BD3B5F">
      <w:pPr>
        <w:rPr>
          <w:szCs w:val="24"/>
        </w:rPr>
      </w:pPr>
      <w:r w:rsidRPr="005C3B55">
        <w:rPr>
          <w:szCs w:val="24"/>
        </w:rPr>
        <w:t>Description of the recommendation</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10656" w:type="dxa"/>
          </w:tcPr>
          <w:p w:rsidR="00BD3B5F" w:rsidRPr="005C3B55" w:rsidRDefault="00BD3B5F">
            <w:pPr>
              <w:spacing w:before="0" w:after="240"/>
              <w:jc w:val="left"/>
              <w:rPr>
                <w:noProof/>
                <w:szCs w:val="24"/>
              </w:rPr>
            </w:pPr>
            <w:r w:rsidRPr="005C3B55">
              <w:rPr>
                <w:szCs w:val="24"/>
              </w:rPr>
              <w:t>According to the provisions of Article 37 of Regulation (EU) No 1303/2013, a preliminary evaluation is to be made for the needs of introducing financial engineering, and such evaluation is to be concluded before the management authority decides to allocate contributions from the Programme to the financial instrument.</w:t>
            </w:r>
            <w:r w:rsidRPr="005C3B55">
              <w:rPr>
                <w:noProof/>
                <w:szCs w:val="24"/>
              </w:rPr>
              <w:t xml:space="preserve"> </w:t>
            </w:r>
            <w:r w:rsidRPr="005C3B55">
              <w:rPr>
                <w:szCs w:val="24"/>
              </w:rPr>
              <w:t>Therefore, close monitoring during the implementation of the evaluation of efficiency of new forms of support and discovery of areas where the implementation can be upgraded is recommended.</w:t>
            </w:r>
          </w:p>
          <w:p w:rsidR="00BD3B5F" w:rsidRPr="005C3B55" w:rsidRDefault="00BD3B5F">
            <w:pPr>
              <w:pStyle w:val="Telobesedila"/>
              <w:rPr>
                <w:szCs w:val="24"/>
              </w:rPr>
            </w:pPr>
          </w:p>
        </w:tc>
      </w:tr>
    </w:tbl>
    <w:p w:rsidR="00BD3B5F" w:rsidRPr="005C3B55" w:rsidRDefault="00BD3B5F">
      <w:pPr>
        <w:rPr>
          <w:szCs w:val="24"/>
        </w:rPr>
      </w:pPr>
      <w:r w:rsidRPr="005C3B55">
        <w:rPr>
          <w:szCs w:val="24"/>
        </w:rPr>
        <w:t>How the recommendation was addressed or justification as to why it was not observed</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10656" w:type="dxa"/>
          </w:tcPr>
          <w:p w:rsidR="00BD3B5F" w:rsidRPr="005C3B55" w:rsidRDefault="00BD3B5F">
            <w:pPr>
              <w:spacing w:before="0" w:after="240"/>
              <w:jc w:val="left"/>
              <w:rPr>
                <w:noProof/>
                <w:szCs w:val="24"/>
              </w:rPr>
            </w:pPr>
            <w:r w:rsidRPr="005C3B55">
              <w:rPr>
                <w:szCs w:val="24"/>
              </w:rPr>
              <w:t>It was observed.</w:t>
            </w:r>
          </w:p>
          <w:p w:rsidR="00BD3B5F" w:rsidRPr="005C3B55" w:rsidRDefault="00BD3B5F">
            <w:pPr>
              <w:spacing w:before="240" w:after="240"/>
              <w:jc w:val="left"/>
              <w:rPr>
                <w:noProof/>
                <w:szCs w:val="24"/>
              </w:rPr>
            </w:pPr>
            <w:r w:rsidRPr="005C3B55">
              <w:rPr>
                <w:szCs w:val="24"/>
              </w:rPr>
              <w:t>The ex-ante evaluation is the pre-condition for the introduction of financial instruments in the RDP 2014-2020. The MA will prepare appropriate amendments of the text for individual measures or sub-measures based on the ex-ante evaluation.</w:t>
            </w:r>
          </w:p>
          <w:p w:rsidR="00BD3B5F" w:rsidRPr="005C3B55" w:rsidRDefault="00BD3B5F">
            <w:pPr>
              <w:pStyle w:val="Telobesedila"/>
              <w:rPr>
                <w:szCs w:val="24"/>
              </w:rPr>
            </w:pPr>
          </w:p>
        </w:tc>
      </w:tr>
    </w:tbl>
    <w:p w:rsidR="00BD3B5F" w:rsidRPr="005C3B55" w:rsidRDefault="00BD3B5F">
      <w:pPr>
        <w:pStyle w:val="Naslov3"/>
        <w:tabs>
          <w:tab w:val="clear" w:pos="765"/>
        </w:tabs>
        <w:ind w:left="0" w:firstLine="0"/>
        <w:jc w:val="left"/>
        <w:rPr>
          <w:szCs w:val="24"/>
          <w:lang w:val="en-GB"/>
        </w:rPr>
      </w:pPr>
      <w:bookmarkStart w:id="11" w:name="_Toc416192469"/>
      <w:r w:rsidRPr="005C3B55">
        <w:rPr>
          <w:szCs w:val="24"/>
          <w:lang w:val="en-GB"/>
        </w:rPr>
        <w:t>Geographic orientation of certain schemes and requirements from measure M10</w:t>
      </w:r>
      <w:bookmarkEnd w:id="11"/>
    </w:p>
    <w:p w:rsidR="00BD3B5F" w:rsidRPr="005C3B55" w:rsidRDefault="00BD3B5F">
      <w:pPr>
        <w:rPr>
          <w:szCs w:val="24"/>
        </w:rPr>
      </w:pPr>
      <w:r w:rsidRPr="005C3B55">
        <w:rPr>
          <w:szCs w:val="24"/>
        </w:rPr>
        <w:t>Category of the recommendation: Special recommendations for strategic environmental impact assessment</w:t>
      </w:r>
    </w:p>
    <w:p w:rsidR="00BD3B5F" w:rsidRPr="005C3B55" w:rsidRDefault="00BD3B5F">
      <w:pPr>
        <w:rPr>
          <w:szCs w:val="24"/>
        </w:rPr>
      </w:pPr>
      <w:r w:rsidRPr="005C3B55">
        <w:rPr>
          <w:noProof/>
          <w:szCs w:val="24"/>
        </w:rPr>
        <w:t>Date:</w:t>
      </w:r>
      <w:r w:rsidRPr="005C3B55">
        <w:rPr>
          <w:szCs w:val="24"/>
        </w:rPr>
        <w:t xml:space="preserve"> </w:t>
      </w:r>
      <w:r w:rsidRPr="005C3B55">
        <w:rPr>
          <w:noProof/>
          <w:szCs w:val="24"/>
        </w:rPr>
        <w:t>30 September 2013</w:t>
      </w:r>
    </w:p>
    <w:p w:rsidR="00BD3B5F" w:rsidRPr="005C3B55" w:rsidRDefault="00BD3B5F">
      <w:pPr>
        <w:rPr>
          <w:szCs w:val="24"/>
        </w:rPr>
      </w:pPr>
      <w:r w:rsidRPr="005C3B55">
        <w:rPr>
          <w:szCs w:val="24"/>
        </w:rPr>
        <w:t>Subject: Geographic orientation of certain schemes and requirements from measure M10 into those areas that are the most important or vulnerable from the aspect of biodiversity or Natura 2000</w:t>
      </w:r>
    </w:p>
    <w:p w:rsidR="00BD3B5F" w:rsidRPr="005C3B55" w:rsidRDefault="00BD3B5F">
      <w:pPr>
        <w:rPr>
          <w:szCs w:val="24"/>
        </w:rPr>
      </w:pPr>
      <w:r w:rsidRPr="005C3B55">
        <w:rPr>
          <w:szCs w:val="24"/>
        </w:rPr>
        <w:t>Description of the recommendation</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10656" w:type="dxa"/>
          </w:tcPr>
          <w:p w:rsidR="00BD3B5F" w:rsidRPr="005C3B55" w:rsidRDefault="00BD3B5F">
            <w:pPr>
              <w:spacing w:before="0" w:after="240"/>
              <w:jc w:val="left"/>
              <w:rPr>
                <w:noProof/>
                <w:szCs w:val="24"/>
              </w:rPr>
            </w:pPr>
            <w:r w:rsidRPr="005C3B55">
              <w:rPr>
                <w:szCs w:val="24"/>
              </w:rPr>
              <w:t>In the previous period, agri-environment-climate payments were dispersed due to which the impacts and results were lesser than expected.</w:t>
            </w:r>
            <w:r w:rsidRPr="005C3B55">
              <w:rPr>
                <w:noProof/>
                <w:szCs w:val="24"/>
              </w:rPr>
              <w:t xml:space="preserve"> </w:t>
            </w:r>
            <w:r w:rsidRPr="005C3B55">
              <w:rPr>
                <w:szCs w:val="24"/>
              </w:rPr>
              <w:t>Therefore, the implementation of measure M10 regarding schemes should in the new programming period be oriented to those areas where individual schemes or requirements are most necessary and will contribute to the preservation of an important or vulnerable field of biodiversity conservation.</w:t>
            </w:r>
          </w:p>
          <w:p w:rsidR="00BD3B5F" w:rsidRPr="005C3B55" w:rsidRDefault="00BD3B5F">
            <w:pPr>
              <w:pStyle w:val="Telobesedila"/>
              <w:rPr>
                <w:szCs w:val="24"/>
              </w:rPr>
            </w:pPr>
          </w:p>
        </w:tc>
      </w:tr>
    </w:tbl>
    <w:p w:rsidR="00BD3B5F" w:rsidRPr="005C3B55" w:rsidRDefault="00BD3B5F">
      <w:pPr>
        <w:rPr>
          <w:szCs w:val="24"/>
        </w:rPr>
      </w:pPr>
      <w:r w:rsidRPr="005C3B55">
        <w:rPr>
          <w:szCs w:val="24"/>
        </w:rPr>
        <w:t>How the recommendation was addressed or justification as to why it was not observed</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10656" w:type="dxa"/>
          </w:tcPr>
          <w:p w:rsidR="00BD3B5F" w:rsidRPr="005C3B55" w:rsidRDefault="00BD3B5F">
            <w:pPr>
              <w:spacing w:before="0" w:after="240"/>
              <w:jc w:val="left"/>
              <w:rPr>
                <w:noProof/>
                <w:szCs w:val="24"/>
              </w:rPr>
            </w:pPr>
            <w:r w:rsidRPr="005C3B55">
              <w:rPr>
                <w:szCs w:val="24"/>
              </w:rPr>
              <w:t>It was observed.</w:t>
            </w:r>
          </w:p>
          <w:p w:rsidR="00BD3B5F" w:rsidRPr="005C3B55" w:rsidRDefault="00BD3B5F">
            <w:pPr>
              <w:spacing w:before="240" w:after="240"/>
              <w:jc w:val="left"/>
              <w:rPr>
                <w:noProof/>
                <w:szCs w:val="24"/>
              </w:rPr>
            </w:pPr>
            <w:r w:rsidRPr="005C3B55">
              <w:rPr>
                <w:szCs w:val="24"/>
              </w:rPr>
              <w:t>Individual requirements regarding actions to conserve habitats are geographically defined in view of the features of important ecological areas and Natura sites in measure M10 and in an annex to the RDP 2014-2020.</w:t>
            </w:r>
          </w:p>
          <w:p w:rsidR="00BD3B5F" w:rsidRPr="005C3B55" w:rsidRDefault="00BD3B5F">
            <w:pPr>
              <w:pStyle w:val="Telobesedila"/>
              <w:rPr>
                <w:szCs w:val="24"/>
              </w:rPr>
            </w:pPr>
          </w:p>
        </w:tc>
      </w:tr>
    </w:tbl>
    <w:p w:rsidR="00BD3B5F" w:rsidRPr="005C3B55" w:rsidRDefault="00BD3B5F">
      <w:pPr>
        <w:pStyle w:val="Naslov3"/>
        <w:tabs>
          <w:tab w:val="clear" w:pos="765"/>
        </w:tabs>
        <w:ind w:left="0" w:firstLine="0"/>
        <w:jc w:val="left"/>
        <w:rPr>
          <w:szCs w:val="24"/>
          <w:lang w:val="en-GB"/>
        </w:rPr>
      </w:pPr>
      <w:bookmarkStart w:id="12" w:name="_Toc416192470"/>
      <w:r w:rsidRPr="005C3B55">
        <w:rPr>
          <w:szCs w:val="24"/>
          <w:lang w:val="en-GB"/>
        </w:rPr>
        <w:t>Integrated planning of farm development</w:t>
      </w:r>
      <w:bookmarkEnd w:id="12"/>
    </w:p>
    <w:p w:rsidR="00BD3B5F" w:rsidRPr="005C3B55" w:rsidRDefault="00BD3B5F">
      <w:pPr>
        <w:rPr>
          <w:szCs w:val="24"/>
        </w:rPr>
      </w:pPr>
      <w:r w:rsidRPr="005C3B55">
        <w:rPr>
          <w:szCs w:val="24"/>
        </w:rPr>
        <w:t>Category of the recommendation: Special recommendations for strategic environmental impact assessment</w:t>
      </w:r>
    </w:p>
    <w:p w:rsidR="00BD3B5F" w:rsidRPr="005C3B55" w:rsidRDefault="00BD3B5F">
      <w:pPr>
        <w:rPr>
          <w:szCs w:val="24"/>
        </w:rPr>
      </w:pPr>
      <w:r w:rsidRPr="005C3B55">
        <w:rPr>
          <w:noProof/>
          <w:szCs w:val="24"/>
        </w:rPr>
        <w:t>Date:</w:t>
      </w:r>
      <w:r w:rsidRPr="005C3B55">
        <w:rPr>
          <w:szCs w:val="24"/>
        </w:rPr>
        <w:t xml:space="preserve"> </w:t>
      </w:r>
      <w:r w:rsidRPr="005C3B55">
        <w:rPr>
          <w:noProof/>
          <w:szCs w:val="24"/>
        </w:rPr>
        <w:t>20 August 2013</w:t>
      </w:r>
    </w:p>
    <w:p w:rsidR="00BD3B5F" w:rsidRPr="005C3B55" w:rsidRDefault="00BD3B5F">
      <w:pPr>
        <w:rPr>
          <w:szCs w:val="24"/>
        </w:rPr>
      </w:pPr>
      <w:r w:rsidRPr="005C3B55">
        <w:rPr>
          <w:szCs w:val="24"/>
        </w:rPr>
        <w:t xml:space="preserve">Subject: </w:t>
      </w:r>
      <w:r w:rsidRPr="005C3B55">
        <w:rPr>
          <w:rStyle w:val="hps"/>
          <w:szCs w:val="24"/>
        </w:rPr>
        <w:t>Nature, cultural heritage, soil, waters</w:t>
      </w:r>
      <w:r w:rsidRPr="005C3B55">
        <w:rPr>
          <w:szCs w:val="24"/>
        </w:rPr>
        <w:t xml:space="preserve"> </w:t>
      </w:r>
    </w:p>
    <w:p w:rsidR="00BD3B5F" w:rsidRPr="005C3B55" w:rsidRDefault="00BD3B5F">
      <w:pPr>
        <w:rPr>
          <w:szCs w:val="24"/>
        </w:rPr>
      </w:pPr>
      <w:r w:rsidRPr="005C3B55">
        <w:rPr>
          <w:szCs w:val="24"/>
        </w:rPr>
        <w:t>Description of the recommendation</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10656" w:type="dxa"/>
          </w:tcPr>
          <w:p w:rsidR="00BD3B5F" w:rsidRPr="005C3B55" w:rsidRDefault="00BD3B5F">
            <w:pPr>
              <w:spacing w:before="0" w:after="240"/>
              <w:jc w:val="left"/>
              <w:rPr>
                <w:noProof/>
                <w:szCs w:val="24"/>
              </w:rPr>
            </w:pPr>
            <w:r w:rsidRPr="005C3B55">
              <w:rPr>
                <w:rStyle w:val="hps"/>
                <w:szCs w:val="24"/>
              </w:rPr>
              <w:t>Plans for the development of agricultural holdings and individual activities must be harmonised with nature protection objectives and regimes (M02</w:t>
            </w:r>
            <w:r w:rsidRPr="005C3B55">
              <w:rPr>
                <w:szCs w:val="24"/>
              </w:rPr>
              <w:t>).</w:t>
            </w:r>
          </w:p>
          <w:p w:rsidR="00BD3B5F" w:rsidRPr="005C3B55" w:rsidRDefault="00BD3B5F">
            <w:pPr>
              <w:spacing w:before="240" w:after="240"/>
              <w:jc w:val="left"/>
              <w:rPr>
                <w:noProof/>
                <w:szCs w:val="24"/>
              </w:rPr>
            </w:pPr>
            <w:r w:rsidRPr="005C3B55">
              <w:rPr>
                <w:szCs w:val="24"/>
              </w:rPr>
              <w:t>If a farm is located in any area with a special protection regime (e.g.</w:t>
            </w:r>
            <w:r w:rsidRPr="005C3B55">
              <w:rPr>
                <w:noProof/>
                <w:szCs w:val="24"/>
              </w:rPr>
              <w:t xml:space="preserve"> </w:t>
            </w:r>
            <w:r w:rsidRPr="005C3B55">
              <w:rPr>
                <w:szCs w:val="24"/>
              </w:rPr>
              <w:t>Natura sites, protected areas, water protection areas) or risk areas (e.g. erosion), the plan for the development of the agricultural holding and plans for individual activities must be harmonised with nature protection objectives and regimes (e.g. Natura site protection objectives).</w:t>
            </w:r>
          </w:p>
          <w:p w:rsidR="00BD3B5F" w:rsidRPr="005C3B55" w:rsidRDefault="00BD3B5F">
            <w:pPr>
              <w:pStyle w:val="Telobesedila"/>
              <w:rPr>
                <w:szCs w:val="24"/>
              </w:rPr>
            </w:pPr>
          </w:p>
        </w:tc>
      </w:tr>
    </w:tbl>
    <w:p w:rsidR="00BD3B5F" w:rsidRPr="005C3B55" w:rsidRDefault="00BD3B5F">
      <w:pPr>
        <w:rPr>
          <w:szCs w:val="24"/>
        </w:rPr>
      </w:pPr>
      <w:r w:rsidRPr="005C3B55">
        <w:rPr>
          <w:szCs w:val="24"/>
        </w:rPr>
        <w:t>How the recommendation was addressed or justification as to why it was not observed</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10656" w:type="dxa"/>
          </w:tcPr>
          <w:p w:rsidR="00BD3B5F" w:rsidRPr="005C3B55" w:rsidRDefault="00BD3B5F">
            <w:pPr>
              <w:spacing w:before="0" w:after="240"/>
              <w:jc w:val="left"/>
              <w:rPr>
                <w:noProof/>
                <w:szCs w:val="24"/>
              </w:rPr>
            </w:pPr>
            <w:r w:rsidRPr="005C3B55">
              <w:rPr>
                <w:szCs w:val="24"/>
              </w:rPr>
              <w:t>It was partially observed.</w:t>
            </w:r>
          </w:p>
          <w:p w:rsidR="00BD3B5F" w:rsidRPr="005C3B55" w:rsidRDefault="00BD3B5F">
            <w:pPr>
              <w:spacing w:before="240" w:after="240"/>
              <w:jc w:val="left"/>
              <w:rPr>
                <w:noProof/>
                <w:szCs w:val="24"/>
              </w:rPr>
            </w:pPr>
            <w:r w:rsidRPr="005C3B55">
              <w:rPr>
                <w:szCs w:val="24"/>
              </w:rPr>
              <w:t>Prior to entering measure M10 or M11, an individual programme of activities of the agricultural holding must be draw and which includes a description of the agricultural holding, operations and requirements which will be implemented at the agricultural holding, special features of the agricultural holding, etc.</w:t>
            </w:r>
            <w:r w:rsidRPr="005C3B55">
              <w:rPr>
                <w:noProof/>
                <w:szCs w:val="24"/>
              </w:rPr>
              <w:t xml:space="preserve"> </w:t>
            </w:r>
            <w:r w:rsidRPr="005C3B55">
              <w:rPr>
                <w:szCs w:val="24"/>
              </w:rPr>
              <w:t>If the agricultural holding is situated in the aforementioned areas, this will be explicitly stated in the aforementioned programme, and the farmer will be offered a set of requirements specifically relating to these areas.</w:t>
            </w:r>
            <w:r w:rsidRPr="005C3B55">
              <w:rPr>
                <w:noProof/>
                <w:szCs w:val="24"/>
              </w:rPr>
              <w:t xml:space="preserve"> </w:t>
            </w:r>
            <w:r w:rsidRPr="005C3B55">
              <w:rPr>
                <w:szCs w:val="24"/>
              </w:rPr>
              <w:t>Farmers will be informed about the aforementioned within the preliminary training which is a precondition to enter measure M10.</w:t>
            </w:r>
          </w:p>
          <w:p w:rsidR="00BD3B5F" w:rsidRPr="005C3B55" w:rsidRDefault="00BD3B5F">
            <w:pPr>
              <w:spacing w:before="240" w:after="240"/>
              <w:jc w:val="left"/>
              <w:rPr>
                <w:noProof/>
                <w:szCs w:val="24"/>
              </w:rPr>
            </w:pPr>
            <w:r w:rsidRPr="005C3B55">
              <w:rPr>
                <w:szCs w:val="24"/>
              </w:rPr>
              <w:t>In cases of investments, the beneficiaries must attach to the application all the documentation required by the applicable legislation.</w:t>
            </w:r>
            <w:r w:rsidRPr="005C3B55">
              <w:rPr>
                <w:noProof/>
                <w:szCs w:val="24"/>
              </w:rPr>
              <w:t xml:space="preserve"> </w:t>
            </w:r>
            <w:r w:rsidRPr="005C3B55">
              <w:rPr>
                <w:szCs w:val="24"/>
              </w:rPr>
              <w:t>Agricultural activity by individual areas, e.g. water protection areas, is already restricted by the national legislation.</w:t>
            </w:r>
            <w:r w:rsidRPr="005C3B55">
              <w:rPr>
                <w:noProof/>
                <w:szCs w:val="24"/>
              </w:rPr>
              <w:t xml:space="preserve"> </w:t>
            </w:r>
            <w:r w:rsidRPr="005C3B55">
              <w:rPr>
                <w:szCs w:val="24"/>
              </w:rPr>
              <w:t>Spatial interventions are also assessed according to the applicable national legislation.</w:t>
            </w:r>
          </w:p>
          <w:p w:rsidR="00BD3B5F" w:rsidRPr="005C3B55" w:rsidRDefault="00BD3B5F">
            <w:pPr>
              <w:pStyle w:val="Telobesedila"/>
              <w:rPr>
                <w:szCs w:val="24"/>
              </w:rPr>
            </w:pPr>
          </w:p>
        </w:tc>
      </w:tr>
    </w:tbl>
    <w:p w:rsidR="00BD3B5F" w:rsidRPr="005C3B55" w:rsidRDefault="00BD3B5F">
      <w:pPr>
        <w:pStyle w:val="Naslov3"/>
        <w:tabs>
          <w:tab w:val="clear" w:pos="765"/>
        </w:tabs>
        <w:ind w:left="0" w:firstLine="0"/>
        <w:jc w:val="left"/>
        <w:rPr>
          <w:szCs w:val="24"/>
          <w:lang w:val="en-GB"/>
        </w:rPr>
      </w:pPr>
      <w:bookmarkStart w:id="13" w:name="_Toc416192471"/>
      <w:r w:rsidRPr="005C3B55">
        <w:rPr>
          <w:szCs w:val="24"/>
          <w:lang w:val="en-GB"/>
        </w:rPr>
        <w:t>Selection of result and impact indicators, formation of the procedure for data collection</w:t>
      </w:r>
      <w:bookmarkEnd w:id="13"/>
    </w:p>
    <w:p w:rsidR="00BD3B5F" w:rsidRPr="005C3B55" w:rsidRDefault="00BD3B5F">
      <w:pPr>
        <w:rPr>
          <w:szCs w:val="24"/>
        </w:rPr>
      </w:pPr>
      <w:r w:rsidRPr="005C3B55">
        <w:rPr>
          <w:szCs w:val="24"/>
        </w:rPr>
        <w:t>Category of the recommendation: Setting of objectives, allocation of funds granted</w:t>
      </w:r>
    </w:p>
    <w:p w:rsidR="00BD3B5F" w:rsidRPr="005C3B55" w:rsidRDefault="00BD3B5F">
      <w:pPr>
        <w:rPr>
          <w:szCs w:val="24"/>
        </w:rPr>
      </w:pPr>
      <w:r w:rsidRPr="005C3B55">
        <w:rPr>
          <w:noProof/>
          <w:szCs w:val="24"/>
        </w:rPr>
        <w:t>Date:</w:t>
      </w:r>
      <w:r w:rsidRPr="005C3B55">
        <w:rPr>
          <w:szCs w:val="24"/>
        </w:rPr>
        <w:t xml:space="preserve"> </w:t>
      </w:r>
      <w:r w:rsidRPr="005C3B55">
        <w:rPr>
          <w:noProof/>
          <w:szCs w:val="24"/>
        </w:rPr>
        <w:t>9 December 2013</w:t>
      </w:r>
    </w:p>
    <w:p w:rsidR="00BD3B5F" w:rsidRPr="005C3B55" w:rsidRDefault="00BD3B5F">
      <w:pPr>
        <w:rPr>
          <w:szCs w:val="24"/>
        </w:rPr>
      </w:pPr>
      <w:r w:rsidRPr="005C3B55">
        <w:rPr>
          <w:szCs w:val="24"/>
        </w:rPr>
        <w:t>Subject: Result and impact indicators</w:t>
      </w:r>
    </w:p>
    <w:p w:rsidR="00BD3B5F" w:rsidRPr="005C3B55" w:rsidRDefault="00BD3B5F">
      <w:pPr>
        <w:rPr>
          <w:szCs w:val="24"/>
        </w:rPr>
      </w:pPr>
      <w:r w:rsidRPr="005C3B55">
        <w:rPr>
          <w:szCs w:val="24"/>
        </w:rPr>
        <w:t>Description of the recommendation</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10656" w:type="dxa"/>
          </w:tcPr>
          <w:p w:rsidR="00BD3B5F" w:rsidRPr="005C3B55" w:rsidRDefault="00BD3B5F">
            <w:pPr>
              <w:spacing w:before="0" w:after="240"/>
              <w:jc w:val="left"/>
              <w:rPr>
                <w:noProof/>
                <w:szCs w:val="24"/>
              </w:rPr>
            </w:pPr>
            <w:r w:rsidRPr="005C3B55">
              <w:rPr>
                <w:szCs w:val="24"/>
              </w:rPr>
              <w:t>We recommend the selection of appropriate complementary result and impact indicators for the programme, the determination of sources of data and appropriately formed future procedure for data collection in accordance with the evaluation plan and the desired result for each programme measure or sub-measure.</w:t>
            </w:r>
          </w:p>
          <w:p w:rsidR="00BD3B5F" w:rsidRPr="005C3B55" w:rsidRDefault="00BD3B5F">
            <w:pPr>
              <w:pStyle w:val="Telobesedila"/>
              <w:rPr>
                <w:szCs w:val="24"/>
              </w:rPr>
            </w:pPr>
          </w:p>
        </w:tc>
      </w:tr>
    </w:tbl>
    <w:p w:rsidR="00BD3B5F" w:rsidRPr="005C3B55" w:rsidRDefault="00BD3B5F">
      <w:pPr>
        <w:rPr>
          <w:szCs w:val="24"/>
        </w:rPr>
      </w:pPr>
      <w:r w:rsidRPr="005C3B55">
        <w:rPr>
          <w:szCs w:val="24"/>
        </w:rPr>
        <w:t>How the recommendation was addressed or justification as to why it was not observed</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10656" w:type="dxa"/>
          </w:tcPr>
          <w:p w:rsidR="00BD3B5F" w:rsidRPr="005C3B55" w:rsidRDefault="00BD3B5F">
            <w:pPr>
              <w:spacing w:before="0" w:after="240"/>
              <w:jc w:val="left"/>
              <w:rPr>
                <w:noProof/>
                <w:szCs w:val="24"/>
              </w:rPr>
            </w:pPr>
            <w:r w:rsidRPr="005C3B55">
              <w:rPr>
                <w:szCs w:val="24"/>
              </w:rPr>
              <w:t>It was observed.</w:t>
            </w:r>
          </w:p>
          <w:p w:rsidR="00BD3B5F" w:rsidRPr="005C3B55" w:rsidRDefault="00BD3B5F">
            <w:pPr>
              <w:spacing w:before="240" w:after="240"/>
              <w:jc w:val="left"/>
              <w:rPr>
                <w:noProof/>
                <w:szCs w:val="24"/>
              </w:rPr>
            </w:pPr>
            <w:r w:rsidRPr="005C3B55">
              <w:rPr>
                <w:szCs w:val="24"/>
              </w:rPr>
              <w:t>The MA will prepare instructions on monitoring and evaluating the Rural Development Programme of the Republic of Slovenia 2014–2020 in which it will specifically determine the scope and procedure of data collection required for monitoring, reporting and evaluating the RDP 2014–2020.</w:t>
            </w:r>
          </w:p>
          <w:p w:rsidR="00BD3B5F" w:rsidRPr="005C3B55" w:rsidRDefault="00BD3B5F">
            <w:pPr>
              <w:pStyle w:val="Telobesedila"/>
              <w:rPr>
                <w:szCs w:val="24"/>
              </w:rPr>
            </w:pPr>
          </w:p>
        </w:tc>
      </w:tr>
    </w:tbl>
    <w:p w:rsidR="00BD3B5F" w:rsidRPr="005C3B55" w:rsidRDefault="00BD3B5F">
      <w:pPr>
        <w:pStyle w:val="Naslov3"/>
        <w:tabs>
          <w:tab w:val="clear" w:pos="765"/>
        </w:tabs>
        <w:ind w:left="0" w:firstLine="0"/>
        <w:jc w:val="left"/>
        <w:rPr>
          <w:szCs w:val="24"/>
          <w:lang w:val="en-GB"/>
        </w:rPr>
      </w:pPr>
      <w:bookmarkStart w:id="14" w:name="_Toc416192472"/>
      <w:r w:rsidRPr="005C3B55">
        <w:rPr>
          <w:szCs w:val="24"/>
          <w:lang w:val="en-GB"/>
        </w:rPr>
        <w:t>Complexity of data</w:t>
      </w:r>
      <w:bookmarkEnd w:id="14"/>
    </w:p>
    <w:p w:rsidR="00BD3B5F" w:rsidRPr="005C3B55" w:rsidRDefault="00BD3B5F">
      <w:pPr>
        <w:rPr>
          <w:szCs w:val="24"/>
        </w:rPr>
      </w:pPr>
      <w:r w:rsidRPr="005C3B55">
        <w:rPr>
          <w:szCs w:val="24"/>
        </w:rPr>
        <w:t>Category of the recommendation: Arrangements for programme implementation</w:t>
      </w:r>
    </w:p>
    <w:p w:rsidR="00BD3B5F" w:rsidRPr="005C3B55" w:rsidRDefault="00BD3B5F">
      <w:pPr>
        <w:rPr>
          <w:szCs w:val="24"/>
        </w:rPr>
      </w:pPr>
      <w:r w:rsidRPr="005C3B55">
        <w:rPr>
          <w:noProof/>
          <w:szCs w:val="24"/>
        </w:rPr>
        <w:t>Date:</w:t>
      </w:r>
      <w:r w:rsidRPr="005C3B55">
        <w:rPr>
          <w:szCs w:val="24"/>
        </w:rPr>
        <w:t xml:space="preserve"> </w:t>
      </w:r>
      <w:r w:rsidRPr="005C3B55">
        <w:rPr>
          <w:noProof/>
          <w:szCs w:val="24"/>
        </w:rPr>
        <w:t>9 December 2013</w:t>
      </w:r>
    </w:p>
    <w:p w:rsidR="00BD3B5F" w:rsidRPr="005C3B55" w:rsidRDefault="00BD3B5F">
      <w:pPr>
        <w:rPr>
          <w:szCs w:val="24"/>
        </w:rPr>
      </w:pPr>
      <w:r w:rsidRPr="005C3B55">
        <w:rPr>
          <w:szCs w:val="24"/>
        </w:rPr>
        <w:t>Subject: IT system</w:t>
      </w:r>
    </w:p>
    <w:p w:rsidR="00BD3B5F" w:rsidRPr="005C3B55" w:rsidRDefault="00BD3B5F">
      <w:pPr>
        <w:rPr>
          <w:szCs w:val="24"/>
        </w:rPr>
      </w:pPr>
      <w:r w:rsidRPr="005C3B55">
        <w:rPr>
          <w:szCs w:val="24"/>
        </w:rPr>
        <w:t>Description of the recommendation</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10656" w:type="dxa"/>
          </w:tcPr>
          <w:p w:rsidR="00BD3B5F" w:rsidRPr="005C3B55" w:rsidRDefault="00BD3B5F">
            <w:pPr>
              <w:spacing w:before="0" w:after="240"/>
              <w:jc w:val="left"/>
              <w:rPr>
                <w:noProof/>
                <w:szCs w:val="24"/>
              </w:rPr>
            </w:pPr>
            <w:r w:rsidRPr="005C3B55">
              <w:rPr>
                <w:szCs w:val="24"/>
              </w:rPr>
              <w:t>It should be considered in the further development of the IT system that complex data will be required for monitoring and evaluation, especially for the indicators of objectives, results and impact.</w:t>
            </w:r>
          </w:p>
          <w:p w:rsidR="00BD3B5F" w:rsidRPr="005C3B55" w:rsidRDefault="00BD3B5F">
            <w:pPr>
              <w:pStyle w:val="Telobesedila"/>
              <w:rPr>
                <w:szCs w:val="24"/>
              </w:rPr>
            </w:pPr>
          </w:p>
        </w:tc>
      </w:tr>
    </w:tbl>
    <w:p w:rsidR="00BD3B5F" w:rsidRPr="005C3B55" w:rsidRDefault="00BD3B5F">
      <w:pPr>
        <w:rPr>
          <w:szCs w:val="24"/>
        </w:rPr>
      </w:pPr>
      <w:r w:rsidRPr="005C3B55">
        <w:rPr>
          <w:szCs w:val="24"/>
        </w:rPr>
        <w:t>How the recommendation was addressed or justification as to why it was not observed</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10656" w:type="dxa"/>
          </w:tcPr>
          <w:p w:rsidR="00BD3B5F" w:rsidRPr="005C3B55" w:rsidRDefault="00BD3B5F">
            <w:pPr>
              <w:spacing w:before="0" w:after="240"/>
              <w:jc w:val="left"/>
              <w:rPr>
                <w:noProof/>
                <w:szCs w:val="24"/>
              </w:rPr>
            </w:pPr>
            <w:r w:rsidRPr="005C3B55">
              <w:rPr>
                <w:szCs w:val="24"/>
              </w:rPr>
              <w:t>It was observed.</w:t>
            </w:r>
          </w:p>
          <w:p w:rsidR="00BD3B5F" w:rsidRPr="005C3B55" w:rsidRDefault="00BD3B5F">
            <w:pPr>
              <w:spacing w:before="240" w:after="240"/>
              <w:jc w:val="left"/>
              <w:rPr>
                <w:noProof/>
                <w:szCs w:val="24"/>
              </w:rPr>
            </w:pPr>
            <w:r w:rsidRPr="005C3B55">
              <w:rPr>
                <w:szCs w:val="24"/>
              </w:rPr>
              <w:t>The MA will strive to build and improve an appropriate IT system arising from the acquired experience and registered deficiencies in the 2007-2013 programme period. The required data for the calculation of appropriate indicators (indicators of situation, impact, objectives, result and influence) will be determined in the instructions of the MA on monitoring and evaluating the Rural Development Programme of the Republic of Slovenia for the 2014-2020 Period.</w:t>
            </w:r>
          </w:p>
          <w:p w:rsidR="00BD3B5F" w:rsidRPr="005C3B55" w:rsidRDefault="00BD3B5F">
            <w:pPr>
              <w:pStyle w:val="Telobesedila"/>
              <w:rPr>
                <w:szCs w:val="24"/>
              </w:rPr>
            </w:pPr>
          </w:p>
        </w:tc>
      </w:tr>
    </w:tbl>
    <w:p w:rsidR="00BD3B5F" w:rsidRPr="005C3B55" w:rsidRDefault="00BD3B5F">
      <w:pPr>
        <w:pStyle w:val="Naslov3"/>
        <w:tabs>
          <w:tab w:val="clear" w:pos="765"/>
        </w:tabs>
        <w:ind w:left="0" w:firstLine="0"/>
        <w:jc w:val="left"/>
        <w:rPr>
          <w:szCs w:val="24"/>
          <w:lang w:val="en-GB"/>
        </w:rPr>
      </w:pPr>
      <w:bookmarkStart w:id="15" w:name="_Toc416192473"/>
      <w:r w:rsidRPr="005C3B55">
        <w:rPr>
          <w:szCs w:val="24"/>
          <w:lang w:val="en-GB"/>
        </w:rPr>
        <w:t>Criteria for the conservation of nature for the selection of projects in measures M16 and M19</w:t>
      </w:r>
      <w:bookmarkEnd w:id="15"/>
    </w:p>
    <w:p w:rsidR="00BD3B5F" w:rsidRPr="005C3B55" w:rsidRDefault="00BD3B5F">
      <w:pPr>
        <w:rPr>
          <w:szCs w:val="24"/>
        </w:rPr>
      </w:pPr>
      <w:r w:rsidRPr="005C3B55">
        <w:rPr>
          <w:szCs w:val="24"/>
        </w:rPr>
        <w:t>Category of the recommendation: Special recommendations for strategic environmental impact assessment</w:t>
      </w:r>
    </w:p>
    <w:p w:rsidR="00BD3B5F" w:rsidRPr="005C3B55" w:rsidRDefault="00BD3B5F">
      <w:pPr>
        <w:rPr>
          <w:szCs w:val="24"/>
        </w:rPr>
      </w:pPr>
      <w:r w:rsidRPr="005C3B55">
        <w:rPr>
          <w:noProof/>
          <w:szCs w:val="24"/>
        </w:rPr>
        <w:t>Date:</w:t>
      </w:r>
      <w:r w:rsidRPr="005C3B55">
        <w:rPr>
          <w:szCs w:val="24"/>
        </w:rPr>
        <w:t xml:space="preserve"> </w:t>
      </w:r>
      <w:r w:rsidRPr="005C3B55">
        <w:rPr>
          <w:noProof/>
          <w:szCs w:val="24"/>
        </w:rPr>
        <w:t>20 August 2013</w:t>
      </w:r>
    </w:p>
    <w:p w:rsidR="00BD3B5F" w:rsidRPr="005C3B55" w:rsidRDefault="00BD3B5F">
      <w:pPr>
        <w:rPr>
          <w:szCs w:val="24"/>
        </w:rPr>
      </w:pPr>
      <w:r w:rsidRPr="005C3B55">
        <w:rPr>
          <w:szCs w:val="24"/>
        </w:rPr>
        <w:t>Subject: Protection of nature</w:t>
      </w:r>
    </w:p>
    <w:p w:rsidR="00BD3B5F" w:rsidRPr="005C3B55" w:rsidRDefault="00BD3B5F">
      <w:pPr>
        <w:rPr>
          <w:szCs w:val="24"/>
        </w:rPr>
      </w:pPr>
      <w:r w:rsidRPr="005C3B55">
        <w:rPr>
          <w:szCs w:val="24"/>
        </w:rPr>
        <w:t>Description of the recommendation</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10656" w:type="dxa"/>
          </w:tcPr>
          <w:p w:rsidR="00BD3B5F" w:rsidRPr="005C3B55" w:rsidRDefault="00BD3B5F">
            <w:pPr>
              <w:spacing w:before="0" w:after="240"/>
              <w:jc w:val="left"/>
              <w:rPr>
                <w:noProof/>
                <w:szCs w:val="24"/>
              </w:rPr>
            </w:pPr>
            <w:r w:rsidRPr="005C3B55">
              <w:rPr>
                <w:szCs w:val="24"/>
              </w:rPr>
              <w:t>Special support should be allocated to projects produced in nature protection areas.</w:t>
            </w:r>
            <w:r w:rsidRPr="005C3B55">
              <w:rPr>
                <w:noProof/>
                <w:szCs w:val="24"/>
              </w:rPr>
              <w:t xml:space="preserve"> </w:t>
            </w:r>
            <w:r w:rsidRPr="005C3B55">
              <w:rPr>
                <w:szCs w:val="24"/>
              </w:rPr>
              <w:t>Projects contributing to the simplification of procedures for entering a quality scheme (M16, M19) should be prioritised.</w:t>
            </w:r>
          </w:p>
          <w:p w:rsidR="00BD3B5F" w:rsidRPr="005C3B55" w:rsidRDefault="00BD3B5F">
            <w:pPr>
              <w:pStyle w:val="Telobesedila"/>
              <w:rPr>
                <w:szCs w:val="24"/>
              </w:rPr>
            </w:pPr>
          </w:p>
        </w:tc>
      </w:tr>
    </w:tbl>
    <w:p w:rsidR="00BD3B5F" w:rsidRPr="005C3B55" w:rsidRDefault="00BD3B5F">
      <w:pPr>
        <w:rPr>
          <w:szCs w:val="24"/>
        </w:rPr>
      </w:pPr>
      <w:r w:rsidRPr="005C3B55">
        <w:rPr>
          <w:szCs w:val="24"/>
        </w:rPr>
        <w:t>How the recommendation was addressed or justification as to why it was not observed</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10656" w:type="dxa"/>
          </w:tcPr>
          <w:p w:rsidR="00BD3B5F" w:rsidRPr="005C3B55" w:rsidRDefault="00BD3B5F">
            <w:pPr>
              <w:spacing w:before="0" w:after="0"/>
              <w:jc w:val="left"/>
              <w:rPr>
                <w:noProof/>
                <w:szCs w:val="24"/>
              </w:rPr>
            </w:pPr>
            <w:r w:rsidRPr="005C3B55">
              <w:rPr>
                <w:szCs w:val="24"/>
              </w:rPr>
              <w:t>It was partially observed.</w:t>
            </w:r>
          </w:p>
          <w:p w:rsidR="00BD3B5F" w:rsidRPr="005C3B55" w:rsidRDefault="00BD3B5F">
            <w:pPr>
              <w:spacing w:before="240" w:after="240"/>
              <w:jc w:val="left"/>
              <w:rPr>
                <w:noProof/>
                <w:szCs w:val="24"/>
              </w:rPr>
            </w:pPr>
            <w:r w:rsidRPr="005C3B55">
              <w:rPr>
                <w:szCs w:val="24"/>
              </w:rPr>
              <w:t>The simplification of procedures for entering the quality schemes is not the subject of the aforementioned measures.</w:t>
            </w:r>
          </w:p>
          <w:p w:rsidR="00BD3B5F" w:rsidRPr="005C3B55" w:rsidRDefault="00BD3B5F">
            <w:pPr>
              <w:spacing w:before="240" w:after="240"/>
              <w:jc w:val="left"/>
              <w:rPr>
                <w:noProof/>
                <w:szCs w:val="24"/>
              </w:rPr>
            </w:pPr>
            <w:r w:rsidRPr="005C3B55">
              <w:rPr>
                <w:szCs w:val="24"/>
              </w:rPr>
              <w:t>In measure M16, criteria will be more exactly defined and balanced through implementing regulations, with due consideration of the nature protection aspect.</w:t>
            </w:r>
          </w:p>
          <w:p w:rsidR="00BD3B5F" w:rsidRPr="005C3B55" w:rsidRDefault="00BD3B5F">
            <w:pPr>
              <w:spacing w:before="240" w:after="240"/>
              <w:jc w:val="left"/>
              <w:rPr>
                <w:noProof/>
                <w:szCs w:val="24"/>
              </w:rPr>
            </w:pPr>
            <w:r w:rsidRPr="005C3B55">
              <w:rPr>
                <w:szCs w:val="24"/>
              </w:rPr>
              <w:t>Operations under measure M19 are selected by LAGs based on the selection criteria defined by a local partnership in the LDS.</w:t>
            </w:r>
            <w:r w:rsidRPr="005C3B55">
              <w:rPr>
                <w:noProof/>
                <w:szCs w:val="24"/>
              </w:rPr>
              <w:t xml:space="preserve"> </w:t>
            </w:r>
            <w:r w:rsidRPr="005C3B55">
              <w:rPr>
                <w:szCs w:val="24"/>
              </w:rPr>
              <w:t>Inclusion of the proposed criteria for the selection of projects is the responsibility of LAGs.</w:t>
            </w:r>
            <w:r w:rsidRPr="005C3B55">
              <w:rPr>
                <w:noProof/>
                <w:szCs w:val="24"/>
              </w:rPr>
              <w:t xml:space="preserve"> </w:t>
            </w:r>
            <w:r w:rsidRPr="005C3B55">
              <w:rPr>
                <w:szCs w:val="24"/>
              </w:rPr>
              <w:t>The MA defined thematic areas of action which include nature conservation.</w:t>
            </w:r>
            <w:r w:rsidRPr="005C3B55">
              <w:rPr>
                <w:noProof/>
                <w:szCs w:val="24"/>
              </w:rPr>
              <w:t xml:space="preserve"> </w:t>
            </w:r>
            <w:r w:rsidRPr="005C3B55">
              <w:rPr>
                <w:szCs w:val="24"/>
              </w:rPr>
              <w:t>It is expected that LAGs will undertake environmentally-oriented projects through operations selected to be co-financed and accordingly select the selection criteria.</w:t>
            </w:r>
          </w:p>
          <w:p w:rsidR="00BD3B5F" w:rsidRPr="005C3B55" w:rsidRDefault="00BD3B5F">
            <w:pPr>
              <w:pStyle w:val="Telobesedila"/>
              <w:rPr>
                <w:szCs w:val="24"/>
              </w:rPr>
            </w:pPr>
          </w:p>
        </w:tc>
      </w:tr>
    </w:tbl>
    <w:p w:rsidR="00BD3B5F" w:rsidRPr="005C3B55" w:rsidRDefault="00BD3B5F">
      <w:pPr>
        <w:pStyle w:val="Naslov3"/>
        <w:tabs>
          <w:tab w:val="clear" w:pos="765"/>
        </w:tabs>
        <w:ind w:left="0" w:firstLine="0"/>
        <w:jc w:val="left"/>
        <w:rPr>
          <w:szCs w:val="24"/>
          <w:lang w:val="en-GB"/>
        </w:rPr>
      </w:pPr>
      <w:bookmarkStart w:id="16" w:name="_Toc416192474"/>
      <w:r w:rsidRPr="005C3B55">
        <w:rPr>
          <w:szCs w:val="24"/>
          <w:lang w:val="en-GB"/>
        </w:rPr>
        <w:t>Integration measurement</w:t>
      </w:r>
      <w:bookmarkEnd w:id="16"/>
    </w:p>
    <w:p w:rsidR="00BD3B5F" w:rsidRPr="005C3B55" w:rsidRDefault="00BD3B5F">
      <w:pPr>
        <w:rPr>
          <w:szCs w:val="24"/>
        </w:rPr>
      </w:pPr>
      <w:r w:rsidRPr="005C3B55">
        <w:rPr>
          <w:szCs w:val="24"/>
        </w:rPr>
        <w:t>Category of the recommendation: Special recommendations for strategic environmental impact assessment</w:t>
      </w:r>
    </w:p>
    <w:p w:rsidR="00BD3B5F" w:rsidRPr="005C3B55" w:rsidRDefault="00BD3B5F">
      <w:pPr>
        <w:rPr>
          <w:szCs w:val="24"/>
        </w:rPr>
      </w:pPr>
      <w:r w:rsidRPr="005C3B55">
        <w:rPr>
          <w:noProof/>
          <w:szCs w:val="24"/>
        </w:rPr>
        <w:t>Date:</w:t>
      </w:r>
      <w:r w:rsidRPr="005C3B55">
        <w:rPr>
          <w:szCs w:val="24"/>
        </w:rPr>
        <w:t xml:space="preserve"> </w:t>
      </w:r>
      <w:r w:rsidRPr="005C3B55">
        <w:rPr>
          <w:noProof/>
          <w:szCs w:val="24"/>
        </w:rPr>
        <w:t>20 August 2013</w:t>
      </w:r>
    </w:p>
    <w:p w:rsidR="00BD3B5F" w:rsidRPr="005C3B55" w:rsidRDefault="00BD3B5F">
      <w:pPr>
        <w:rPr>
          <w:szCs w:val="24"/>
        </w:rPr>
      </w:pPr>
      <w:r w:rsidRPr="005C3B55">
        <w:rPr>
          <w:szCs w:val="24"/>
        </w:rPr>
        <w:t>Subject: Nature</w:t>
      </w:r>
    </w:p>
    <w:p w:rsidR="00BD3B5F" w:rsidRPr="005C3B55" w:rsidRDefault="00BD3B5F">
      <w:pPr>
        <w:rPr>
          <w:szCs w:val="24"/>
        </w:rPr>
      </w:pPr>
      <w:r w:rsidRPr="005C3B55">
        <w:rPr>
          <w:szCs w:val="24"/>
        </w:rPr>
        <w:t>Description of the recommendation</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10656" w:type="dxa"/>
          </w:tcPr>
          <w:p w:rsidR="00BD3B5F" w:rsidRPr="005C3B55" w:rsidRDefault="00BD3B5F">
            <w:pPr>
              <w:spacing w:before="0" w:after="240"/>
              <w:jc w:val="left"/>
              <w:rPr>
                <w:noProof/>
                <w:szCs w:val="24"/>
              </w:rPr>
            </w:pPr>
            <w:r w:rsidRPr="005C3B55">
              <w:rPr>
                <w:szCs w:val="24"/>
              </w:rPr>
              <w:t>Connection with measure M02 to promote access to measure M11 and to those schemes from measure M10 which are most suitable considering the features of habitat types present, thus providing the opportunity to enhance positive impact.</w:t>
            </w:r>
          </w:p>
          <w:p w:rsidR="00BD3B5F" w:rsidRPr="005C3B55" w:rsidRDefault="00BD3B5F">
            <w:pPr>
              <w:pStyle w:val="Telobesedila"/>
              <w:rPr>
                <w:szCs w:val="24"/>
              </w:rPr>
            </w:pPr>
          </w:p>
        </w:tc>
      </w:tr>
    </w:tbl>
    <w:p w:rsidR="00BD3B5F" w:rsidRPr="005C3B55" w:rsidRDefault="00BD3B5F">
      <w:pPr>
        <w:rPr>
          <w:szCs w:val="24"/>
        </w:rPr>
      </w:pPr>
      <w:r w:rsidRPr="005C3B55">
        <w:rPr>
          <w:szCs w:val="24"/>
        </w:rPr>
        <w:t>How the recommendation was addressed or justification as to why it was not observed</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10656" w:type="dxa"/>
          </w:tcPr>
          <w:p w:rsidR="00BD3B5F" w:rsidRPr="005C3B55" w:rsidRDefault="00BD3B5F">
            <w:pPr>
              <w:spacing w:before="0" w:after="240"/>
              <w:jc w:val="left"/>
              <w:rPr>
                <w:noProof/>
                <w:szCs w:val="24"/>
              </w:rPr>
            </w:pPr>
            <w:r w:rsidRPr="005C3B55">
              <w:rPr>
                <w:szCs w:val="24"/>
              </w:rPr>
              <w:t>It was observed.</w:t>
            </w:r>
          </w:p>
          <w:p w:rsidR="00BD3B5F" w:rsidRPr="005C3B55" w:rsidRDefault="00BD3B5F">
            <w:pPr>
              <w:spacing w:before="240" w:after="240"/>
              <w:jc w:val="left"/>
              <w:rPr>
                <w:noProof/>
                <w:szCs w:val="24"/>
              </w:rPr>
            </w:pPr>
            <w:r w:rsidRPr="005C3B55">
              <w:rPr>
                <w:szCs w:val="24"/>
              </w:rPr>
              <w:t>The required connections between the measure related to advisory services (M02), and measures M10 and M11 were established.</w:t>
            </w:r>
            <w:r w:rsidRPr="005C3B55">
              <w:rPr>
                <w:noProof/>
                <w:szCs w:val="24"/>
              </w:rPr>
              <w:t xml:space="preserve"> </w:t>
            </w:r>
            <w:r w:rsidRPr="005C3B55">
              <w:rPr>
                <w:szCs w:val="24"/>
              </w:rPr>
              <w:t>Farmers who will be included in measures M10 or M11 will have access to specialised individual advisory services related to environmental and nature protection content and organic farming.</w:t>
            </w:r>
            <w:r w:rsidRPr="005C3B55">
              <w:rPr>
                <w:noProof/>
                <w:szCs w:val="24"/>
              </w:rPr>
              <w:t xml:space="preserve"> </w:t>
            </w:r>
            <w:r w:rsidRPr="005C3B55">
              <w:rPr>
                <w:szCs w:val="24"/>
              </w:rPr>
              <w:t>These were the topics where the greatest lack of knowledge and awareness was detected.</w:t>
            </w:r>
          </w:p>
          <w:p w:rsidR="00BD3B5F" w:rsidRPr="005C3B55" w:rsidRDefault="00BD3B5F">
            <w:pPr>
              <w:spacing w:before="240" w:after="240"/>
              <w:jc w:val="left"/>
              <w:rPr>
                <w:noProof/>
                <w:szCs w:val="24"/>
              </w:rPr>
            </w:pPr>
            <w:r w:rsidRPr="005C3B55">
              <w:rPr>
                <w:szCs w:val="24"/>
              </w:rPr>
              <w:t>Farmers will have to use advisory services at least once during the commitment.</w:t>
            </w:r>
            <w:r w:rsidRPr="005C3B55">
              <w:rPr>
                <w:noProof/>
                <w:szCs w:val="24"/>
              </w:rPr>
              <w:t xml:space="preserve"> </w:t>
            </w:r>
            <w:r w:rsidRPr="005C3B55">
              <w:rPr>
                <w:szCs w:val="24"/>
              </w:rPr>
              <w:t>This service will be free of charge for them.</w:t>
            </w:r>
          </w:p>
          <w:p w:rsidR="00BD3B5F" w:rsidRPr="005C3B55" w:rsidRDefault="00BD3B5F">
            <w:pPr>
              <w:pStyle w:val="Telobesedila"/>
              <w:rPr>
                <w:szCs w:val="24"/>
              </w:rPr>
            </w:pPr>
          </w:p>
        </w:tc>
      </w:tr>
    </w:tbl>
    <w:p w:rsidR="00BD3B5F" w:rsidRPr="005C3B55" w:rsidRDefault="00BD3B5F">
      <w:pPr>
        <w:pStyle w:val="Naslov3"/>
        <w:tabs>
          <w:tab w:val="clear" w:pos="765"/>
        </w:tabs>
        <w:ind w:left="0" w:firstLine="0"/>
        <w:jc w:val="left"/>
        <w:rPr>
          <w:szCs w:val="24"/>
          <w:lang w:val="en-GB"/>
        </w:rPr>
      </w:pPr>
      <w:bookmarkStart w:id="17" w:name="_Toc416192475"/>
      <w:r w:rsidRPr="005C3B55">
        <w:rPr>
          <w:szCs w:val="24"/>
          <w:lang w:val="en-GB"/>
        </w:rPr>
        <w:t>Rural Network</w:t>
      </w:r>
      <w:bookmarkEnd w:id="17"/>
    </w:p>
    <w:p w:rsidR="00BD3B5F" w:rsidRPr="005C3B55" w:rsidRDefault="00BD3B5F">
      <w:pPr>
        <w:rPr>
          <w:szCs w:val="24"/>
        </w:rPr>
      </w:pPr>
      <w:r w:rsidRPr="005C3B55">
        <w:rPr>
          <w:szCs w:val="24"/>
        </w:rPr>
        <w:t>Category of the recommendation: Arrangements for programme implementation</w:t>
      </w:r>
    </w:p>
    <w:p w:rsidR="00BD3B5F" w:rsidRPr="005C3B55" w:rsidRDefault="00BD3B5F">
      <w:pPr>
        <w:rPr>
          <w:szCs w:val="24"/>
        </w:rPr>
      </w:pPr>
      <w:r w:rsidRPr="005C3B55">
        <w:rPr>
          <w:noProof/>
          <w:szCs w:val="24"/>
        </w:rPr>
        <w:t>Date:</w:t>
      </w:r>
      <w:r w:rsidRPr="005C3B55">
        <w:rPr>
          <w:szCs w:val="24"/>
        </w:rPr>
        <w:t xml:space="preserve"> </w:t>
      </w:r>
      <w:r w:rsidRPr="005C3B55">
        <w:rPr>
          <w:noProof/>
          <w:szCs w:val="24"/>
        </w:rPr>
        <w:t>9 December 2013</w:t>
      </w:r>
    </w:p>
    <w:p w:rsidR="00BD3B5F" w:rsidRPr="005C3B55" w:rsidRDefault="00BD3B5F">
      <w:pPr>
        <w:rPr>
          <w:szCs w:val="24"/>
        </w:rPr>
      </w:pPr>
      <w:r w:rsidRPr="005C3B55">
        <w:rPr>
          <w:szCs w:val="24"/>
        </w:rPr>
        <w:t>Subject: Human resources</w:t>
      </w:r>
    </w:p>
    <w:p w:rsidR="00BD3B5F" w:rsidRPr="005C3B55" w:rsidRDefault="00BD3B5F">
      <w:pPr>
        <w:rPr>
          <w:szCs w:val="24"/>
        </w:rPr>
      </w:pPr>
      <w:r w:rsidRPr="005C3B55">
        <w:rPr>
          <w:szCs w:val="24"/>
        </w:rPr>
        <w:t>Description of the recommendation</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10656" w:type="dxa"/>
          </w:tcPr>
          <w:p w:rsidR="00BD3B5F" w:rsidRPr="005C3B55" w:rsidRDefault="00BD3B5F">
            <w:pPr>
              <w:spacing w:before="0" w:after="240"/>
              <w:jc w:val="left"/>
              <w:rPr>
                <w:noProof/>
                <w:szCs w:val="24"/>
              </w:rPr>
            </w:pPr>
            <w:r w:rsidRPr="005C3B55">
              <w:rPr>
                <w:szCs w:val="24"/>
              </w:rPr>
              <w:t>We recommend that thought be given to a review of allocated capacities for the evaluation and NRN activities, as well as potential permanent or temporary increase.</w:t>
            </w:r>
            <w:r w:rsidRPr="005C3B55">
              <w:rPr>
                <w:noProof/>
                <w:szCs w:val="24"/>
              </w:rPr>
              <w:t xml:space="preserve"> </w:t>
            </w:r>
            <w:r w:rsidRPr="005C3B55">
              <w:rPr>
                <w:szCs w:val="24"/>
              </w:rPr>
              <w:t>Periods with the maximum scope of work in the evaluation of the programme and promotion campaigns of the NRN must be considered.</w:t>
            </w:r>
          </w:p>
          <w:p w:rsidR="00BD3B5F" w:rsidRPr="005C3B55" w:rsidRDefault="00BD3B5F">
            <w:pPr>
              <w:pStyle w:val="Telobesedila"/>
              <w:rPr>
                <w:szCs w:val="24"/>
              </w:rPr>
            </w:pPr>
          </w:p>
        </w:tc>
      </w:tr>
    </w:tbl>
    <w:p w:rsidR="00BD3B5F" w:rsidRPr="005C3B55" w:rsidRDefault="00BD3B5F">
      <w:pPr>
        <w:rPr>
          <w:szCs w:val="24"/>
        </w:rPr>
      </w:pPr>
      <w:r w:rsidRPr="005C3B55">
        <w:rPr>
          <w:szCs w:val="24"/>
        </w:rPr>
        <w:t>How the recommendation was addressed or justification as to why it was not observed</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10656" w:type="dxa"/>
          </w:tcPr>
          <w:p w:rsidR="00BD3B5F" w:rsidRPr="005C3B55" w:rsidRDefault="00BD3B5F">
            <w:pPr>
              <w:spacing w:before="0" w:after="240"/>
              <w:jc w:val="left"/>
              <w:rPr>
                <w:noProof/>
                <w:szCs w:val="24"/>
              </w:rPr>
            </w:pPr>
            <w:r w:rsidRPr="005C3B55">
              <w:rPr>
                <w:szCs w:val="24"/>
              </w:rPr>
              <w:t>It was observed.</w:t>
            </w:r>
          </w:p>
          <w:p w:rsidR="00BD3B5F" w:rsidRPr="005C3B55" w:rsidRDefault="00BD3B5F">
            <w:pPr>
              <w:spacing w:before="240" w:after="240"/>
              <w:jc w:val="left"/>
              <w:rPr>
                <w:noProof/>
                <w:szCs w:val="24"/>
              </w:rPr>
            </w:pPr>
            <w:r w:rsidRPr="005C3B55">
              <w:rPr>
                <w:szCs w:val="24"/>
              </w:rPr>
              <w:t>Certain activities of the National Rural Network will be assumed by the steering group.</w:t>
            </w:r>
            <w:r w:rsidRPr="005C3B55">
              <w:rPr>
                <w:noProof/>
                <w:szCs w:val="24"/>
              </w:rPr>
              <w:t xml:space="preserve"> </w:t>
            </w:r>
            <w:r w:rsidRPr="005C3B55">
              <w:rPr>
                <w:szCs w:val="24"/>
              </w:rPr>
              <w:t>The same is anticipated for evaluation activities.</w:t>
            </w:r>
            <w:r w:rsidRPr="005C3B55">
              <w:rPr>
                <w:noProof/>
                <w:szCs w:val="24"/>
              </w:rPr>
              <w:t xml:space="preserve"> </w:t>
            </w:r>
            <w:r w:rsidRPr="005C3B55">
              <w:rPr>
                <w:szCs w:val="24"/>
              </w:rPr>
              <w:t>The tasks of steering groups will be determined in the decisions on the appointment of members of the steering group.</w:t>
            </w:r>
          </w:p>
          <w:p w:rsidR="00BD3B5F" w:rsidRPr="005C3B55" w:rsidRDefault="00BD3B5F">
            <w:pPr>
              <w:pStyle w:val="Telobesedila"/>
              <w:rPr>
                <w:szCs w:val="24"/>
              </w:rPr>
            </w:pPr>
          </w:p>
        </w:tc>
      </w:tr>
    </w:tbl>
    <w:p w:rsidR="00BD3B5F" w:rsidRPr="005C3B55" w:rsidRDefault="00BD3B5F">
      <w:pPr>
        <w:pStyle w:val="Naslov3"/>
        <w:tabs>
          <w:tab w:val="clear" w:pos="765"/>
        </w:tabs>
        <w:ind w:left="0" w:firstLine="0"/>
        <w:jc w:val="left"/>
        <w:rPr>
          <w:szCs w:val="24"/>
          <w:lang w:val="en-GB"/>
        </w:rPr>
      </w:pPr>
      <w:bookmarkStart w:id="18" w:name="_Toc416192476"/>
      <w:r w:rsidRPr="005C3B55">
        <w:rPr>
          <w:szCs w:val="24"/>
          <w:lang w:val="en-GB"/>
        </w:rPr>
        <w:t>Nature</w:t>
      </w:r>
      <w:bookmarkEnd w:id="18"/>
    </w:p>
    <w:p w:rsidR="00BD3B5F" w:rsidRPr="005C3B55" w:rsidRDefault="00BD3B5F">
      <w:pPr>
        <w:rPr>
          <w:szCs w:val="24"/>
        </w:rPr>
      </w:pPr>
      <w:r w:rsidRPr="005C3B55">
        <w:rPr>
          <w:szCs w:val="24"/>
        </w:rPr>
        <w:t>Category of the recommendation: Special recommendations for strategic environmental impact assessment</w:t>
      </w:r>
    </w:p>
    <w:p w:rsidR="00BD3B5F" w:rsidRPr="005C3B55" w:rsidRDefault="00BD3B5F">
      <w:pPr>
        <w:rPr>
          <w:szCs w:val="24"/>
        </w:rPr>
      </w:pPr>
      <w:r w:rsidRPr="005C3B55">
        <w:rPr>
          <w:noProof/>
          <w:szCs w:val="24"/>
        </w:rPr>
        <w:t>Date:</w:t>
      </w:r>
      <w:r w:rsidRPr="005C3B55">
        <w:rPr>
          <w:szCs w:val="24"/>
        </w:rPr>
        <w:t xml:space="preserve"> </w:t>
      </w:r>
      <w:r w:rsidRPr="005C3B55">
        <w:rPr>
          <w:noProof/>
          <w:szCs w:val="24"/>
        </w:rPr>
        <w:t>1 July 2014</w:t>
      </w:r>
    </w:p>
    <w:p w:rsidR="00BD3B5F" w:rsidRPr="005C3B55" w:rsidRDefault="00BD3B5F">
      <w:pPr>
        <w:rPr>
          <w:szCs w:val="24"/>
        </w:rPr>
      </w:pPr>
      <w:r w:rsidRPr="005C3B55">
        <w:rPr>
          <w:szCs w:val="24"/>
        </w:rPr>
        <w:t>Subject: Nature</w:t>
      </w:r>
    </w:p>
    <w:p w:rsidR="00BD3B5F" w:rsidRPr="005C3B55" w:rsidRDefault="00BD3B5F">
      <w:pPr>
        <w:rPr>
          <w:szCs w:val="24"/>
        </w:rPr>
      </w:pPr>
      <w:r w:rsidRPr="005C3B55">
        <w:rPr>
          <w:szCs w:val="24"/>
        </w:rPr>
        <w:t>Description of the recommendation</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10656" w:type="dxa"/>
          </w:tcPr>
          <w:p w:rsidR="00BD3B5F" w:rsidRPr="005C3B55" w:rsidRDefault="00BD3B5F">
            <w:pPr>
              <w:spacing w:before="0" w:after="0"/>
              <w:jc w:val="left"/>
              <w:rPr>
                <w:noProof/>
                <w:szCs w:val="24"/>
              </w:rPr>
            </w:pPr>
            <w:r w:rsidRPr="005C3B55">
              <w:rPr>
                <w:szCs w:val="24"/>
              </w:rPr>
              <w:t>Based on the comments made during the public exhibition, it was proposed that the period for the trimming and thinning of hedges under the responsibility of KRA1 should be extended to every fourth year. After two years of the implementation of measure M10, the number of recipients who assumed this commitment and the reasons for potential low inclusion should be verified.</w:t>
            </w:r>
          </w:p>
          <w:p w:rsidR="00BD3B5F" w:rsidRPr="005C3B55" w:rsidRDefault="00BD3B5F">
            <w:pPr>
              <w:pStyle w:val="Telobesedila"/>
              <w:rPr>
                <w:szCs w:val="24"/>
              </w:rPr>
            </w:pPr>
          </w:p>
        </w:tc>
      </w:tr>
    </w:tbl>
    <w:p w:rsidR="00BD3B5F" w:rsidRPr="005C3B55" w:rsidRDefault="00BD3B5F">
      <w:pPr>
        <w:rPr>
          <w:szCs w:val="24"/>
        </w:rPr>
      </w:pPr>
      <w:r w:rsidRPr="005C3B55">
        <w:rPr>
          <w:szCs w:val="24"/>
        </w:rPr>
        <w:t>How the recommendation was addressed or justification as to why it was not observed</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10656" w:type="dxa"/>
          </w:tcPr>
          <w:p w:rsidR="00BD3B5F" w:rsidRPr="005C3B55" w:rsidRDefault="00BD3B5F">
            <w:pPr>
              <w:spacing w:before="0" w:after="240"/>
              <w:jc w:val="left"/>
              <w:rPr>
                <w:noProof/>
                <w:szCs w:val="24"/>
              </w:rPr>
            </w:pPr>
            <w:r w:rsidRPr="005C3B55">
              <w:rPr>
                <w:szCs w:val="24"/>
              </w:rPr>
              <w:t>It was observed.</w:t>
            </w:r>
          </w:p>
          <w:p w:rsidR="00BD3B5F" w:rsidRPr="005C3B55" w:rsidRDefault="00BD3B5F">
            <w:pPr>
              <w:spacing w:before="240" w:after="240"/>
              <w:jc w:val="left"/>
              <w:rPr>
                <w:noProof/>
                <w:szCs w:val="24"/>
              </w:rPr>
            </w:pPr>
            <w:r w:rsidRPr="005C3B55">
              <w:rPr>
                <w:szCs w:val="24"/>
              </w:rPr>
              <w:t>It will be observed within implementing acts.</w:t>
            </w:r>
          </w:p>
          <w:p w:rsidR="00BD3B5F" w:rsidRPr="005C3B55" w:rsidRDefault="00BD3B5F">
            <w:pPr>
              <w:pStyle w:val="Telobesedila"/>
              <w:rPr>
                <w:szCs w:val="24"/>
              </w:rPr>
            </w:pPr>
          </w:p>
        </w:tc>
      </w:tr>
    </w:tbl>
    <w:p w:rsidR="00BD3B5F" w:rsidRPr="005C3B55" w:rsidRDefault="00BD3B5F">
      <w:pPr>
        <w:pStyle w:val="Naslov3"/>
        <w:tabs>
          <w:tab w:val="clear" w:pos="765"/>
        </w:tabs>
        <w:ind w:left="0" w:firstLine="0"/>
        <w:jc w:val="left"/>
        <w:rPr>
          <w:szCs w:val="24"/>
          <w:lang w:val="en-GB"/>
        </w:rPr>
      </w:pPr>
      <w:bookmarkStart w:id="19" w:name="_Toc416192477"/>
      <w:r w:rsidRPr="005C3B55">
        <w:rPr>
          <w:rStyle w:val="hps"/>
          <w:szCs w:val="24"/>
          <w:lang w:val="en-GB"/>
        </w:rPr>
        <w:t>Nature (</w:t>
      </w:r>
      <w:r w:rsidRPr="005C3B55">
        <w:rPr>
          <w:rStyle w:val="shorttext"/>
          <w:szCs w:val="24"/>
          <w:lang w:val="en-GB"/>
        </w:rPr>
        <w:t>efficient implementation of measure M10)</w:t>
      </w:r>
      <w:bookmarkEnd w:id="19"/>
    </w:p>
    <w:p w:rsidR="00BD3B5F" w:rsidRPr="005C3B55" w:rsidRDefault="00BD3B5F">
      <w:pPr>
        <w:rPr>
          <w:szCs w:val="24"/>
        </w:rPr>
      </w:pPr>
      <w:r w:rsidRPr="005C3B55">
        <w:rPr>
          <w:szCs w:val="24"/>
        </w:rPr>
        <w:t>Category of the recommendation: Special recommendations for strategic environmental impact assessment</w:t>
      </w:r>
    </w:p>
    <w:p w:rsidR="00BD3B5F" w:rsidRPr="005C3B55" w:rsidRDefault="00BD3B5F">
      <w:pPr>
        <w:rPr>
          <w:szCs w:val="24"/>
        </w:rPr>
      </w:pPr>
      <w:r w:rsidRPr="005C3B55">
        <w:rPr>
          <w:noProof/>
          <w:szCs w:val="24"/>
        </w:rPr>
        <w:t>Date:</w:t>
      </w:r>
      <w:r w:rsidRPr="005C3B55">
        <w:rPr>
          <w:szCs w:val="24"/>
        </w:rPr>
        <w:t xml:space="preserve"> </w:t>
      </w:r>
      <w:r w:rsidRPr="005C3B55">
        <w:rPr>
          <w:noProof/>
          <w:szCs w:val="24"/>
        </w:rPr>
        <w:t>1 March 2014</w:t>
      </w:r>
    </w:p>
    <w:p w:rsidR="00BD3B5F" w:rsidRPr="005C3B55" w:rsidRDefault="00BD3B5F">
      <w:pPr>
        <w:rPr>
          <w:szCs w:val="24"/>
        </w:rPr>
      </w:pPr>
      <w:r w:rsidRPr="005C3B55">
        <w:rPr>
          <w:szCs w:val="24"/>
        </w:rPr>
        <w:t xml:space="preserve">Subject: </w:t>
      </w:r>
    </w:p>
    <w:p w:rsidR="00BD3B5F" w:rsidRPr="005C3B55" w:rsidRDefault="00BD3B5F">
      <w:pPr>
        <w:rPr>
          <w:szCs w:val="24"/>
        </w:rPr>
      </w:pPr>
      <w:r w:rsidRPr="005C3B55">
        <w:rPr>
          <w:szCs w:val="24"/>
        </w:rPr>
        <w:t>Description of the recommendation</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10656" w:type="dxa"/>
          </w:tcPr>
          <w:p w:rsidR="00BD3B5F" w:rsidRPr="005C3B55" w:rsidRDefault="00BD3B5F">
            <w:pPr>
              <w:spacing w:before="0" w:after="240"/>
              <w:jc w:val="left"/>
              <w:rPr>
                <w:noProof/>
                <w:szCs w:val="24"/>
              </w:rPr>
            </w:pPr>
            <w:r w:rsidRPr="005C3B55">
              <w:rPr>
                <w:szCs w:val="24"/>
              </w:rPr>
              <w:t>The implementation of measure M10 should be formed so that there is no negative competition between individual schemes or the selection of requirements under measure M10 that would nullify the results achieved and thus reduce the possibility of attaining the objectives.</w:t>
            </w:r>
          </w:p>
          <w:p w:rsidR="00BD3B5F" w:rsidRPr="005C3B55" w:rsidRDefault="00BD3B5F">
            <w:pPr>
              <w:pStyle w:val="Telobesedila"/>
              <w:rPr>
                <w:szCs w:val="24"/>
              </w:rPr>
            </w:pPr>
          </w:p>
        </w:tc>
      </w:tr>
    </w:tbl>
    <w:p w:rsidR="00BD3B5F" w:rsidRPr="005C3B55" w:rsidRDefault="00BD3B5F">
      <w:pPr>
        <w:rPr>
          <w:szCs w:val="24"/>
        </w:rPr>
      </w:pPr>
      <w:r w:rsidRPr="005C3B55">
        <w:rPr>
          <w:szCs w:val="24"/>
        </w:rPr>
        <w:t>How the recommendation was addressed or justification as to why it was not observed</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10656" w:type="dxa"/>
          </w:tcPr>
          <w:p w:rsidR="00BD3B5F" w:rsidRPr="005C3B55" w:rsidRDefault="00BD3B5F">
            <w:pPr>
              <w:spacing w:before="0" w:after="240"/>
              <w:jc w:val="left"/>
              <w:rPr>
                <w:noProof/>
                <w:szCs w:val="24"/>
              </w:rPr>
            </w:pPr>
            <w:r w:rsidRPr="005C3B55">
              <w:rPr>
                <w:szCs w:val="24"/>
              </w:rPr>
              <w:t>It was observed.</w:t>
            </w:r>
          </w:p>
          <w:p w:rsidR="00BD3B5F" w:rsidRPr="005C3B55" w:rsidRDefault="00BD3B5F">
            <w:pPr>
              <w:spacing w:before="0" w:after="0"/>
              <w:jc w:val="left"/>
              <w:rPr>
                <w:noProof/>
                <w:szCs w:val="24"/>
              </w:rPr>
            </w:pPr>
            <w:r w:rsidRPr="005C3B55">
              <w:rPr>
                <w:szCs w:val="24"/>
              </w:rPr>
              <w:t>Two schemes were created, i.e. a narrow nature protection ‘1. Management of grassland important from the aspect of nature protection’ scheme whose objective and purpose is to conserve sensitive habitats and qualifying species, and a wider ‘2. Environmentally-friendly animal management on grassland’ scheme which is implemented outside the aforementioned Natura 2000 sites and introduces the approach of soft conditioning.</w:t>
            </w:r>
            <w:r w:rsidRPr="005C3B55">
              <w:rPr>
                <w:noProof/>
                <w:szCs w:val="24"/>
              </w:rPr>
              <w:t xml:space="preserve"> </w:t>
            </w:r>
            <w:r w:rsidRPr="005C3B55">
              <w:rPr>
                <w:szCs w:val="24"/>
              </w:rPr>
              <w:t>Agricultural holdings whose grassland is located in areas that are important from the aspect of biodiversity may only select a scheme under measure M10 if they also implement the basic requirements from scheme 1 in a certain share or extent of areas important for nature protection. The problem of scheme 2 under measure M10 is emphasised, where a negative impact may be expected in cases when the results of the fodder analysis and of the calculation of feed rations showed inappropriate composition of fodder, and thus the beneficiaries would begin ploughing the grassland to produce fodder crops due to their inability to produce suitable fodder on the grassland.</w:t>
            </w:r>
            <w:r w:rsidRPr="005C3B55">
              <w:rPr>
                <w:noProof/>
                <w:szCs w:val="24"/>
              </w:rPr>
              <w:t xml:space="preserve"> </w:t>
            </w:r>
            <w:r w:rsidRPr="005C3B55">
              <w:rPr>
                <w:szCs w:val="24"/>
              </w:rPr>
              <w:t>The possibility of such negative impacts was reduced through the ‘soft conditioning’ approach and inclusion in measure M02.</w:t>
            </w:r>
            <w:r w:rsidRPr="005C3B55">
              <w:rPr>
                <w:noProof/>
                <w:szCs w:val="24"/>
              </w:rPr>
              <w:t xml:space="preserve"> </w:t>
            </w:r>
            <w:r w:rsidRPr="005C3B55">
              <w:rPr>
                <w:szCs w:val="24"/>
              </w:rPr>
              <w:t>Measure M10 was later changed and the possibility of such impact no longer exists.</w:t>
            </w:r>
          </w:p>
          <w:p w:rsidR="00BD3B5F" w:rsidRPr="005C3B55" w:rsidRDefault="00BD3B5F">
            <w:pPr>
              <w:spacing w:before="240" w:after="240"/>
              <w:jc w:val="left"/>
              <w:rPr>
                <w:noProof/>
                <w:szCs w:val="24"/>
              </w:rPr>
            </w:pPr>
            <w:r w:rsidRPr="005C3B55">
              <w:rPr>
                <w:noProof/>
                <w:szCs w:val="24"/>
              </w:rPr>
              <w:t> </w:t>
            </w:r>
          </w:p>
          <w:p w:rsidR="00BD3B5F" w:rsidRPr="005C3B55" w:rsidRDefault="00BD3B5F">
            <w:pPr>
              <w:spacing w:before="240" w:after="240"/>
              <w:jc w:val="left"/>
              <w:rPr>
                <w:noProof/>
                <w:szCs w:val="24"/>
              </w:rPr>
            </w:pPr>
            <w:r w:rsidRPr="005C3B55">
              <w:rPr>
                <w:noProof/>
                <w:szCs w:val="24"/>
              </w:rPr>
              <w:t> </w:t>
            </w:r>
          </w:p>
          <w:p w:rsidR="00BD3B5F" w:rsidRPr="005C3B55" w:rsidRDefault="00BD3B5F">
            <w:pPr>
              <w:pStyle w:val="Telobesedila"/>
              <w:rPr>
                <w:szCs w:val="24"/>
              </w:rPr>
            </w:pPr>
          </w:p>
        </w:tc>
      </w:tr>
    </w:tbl>
    <w:p w:rsidR="00BD3B5F" w:rsidRPr="005C3B55" w:rsidRDefault="00BD3B5F">
      <w:pPr>
        <w:pStyle w:val="Naslov3"/>
        <w:tabs>
          <w:tab w:val="clear" w:pos="765"/>
        </w:tabs>
        <w:ind w:left="0" w:firstLine="0"/>
        <w:jc w:val="left"/>
        <w:rPr>
          <w:szCs w:val="24"/>
          <w:lang w:val="en-GB"/>
        </w:rPr>
      </w:pPr>
      <w:bookmarkStart w:id="20" w:name="_Toc416192478"/>
      <w:r w:rsidRPr="005C3B55">
        <w:rPr>
          <w:szCs w:val="24"/>
          <w:lang w:val="en-GB"/>
        </w:rPr>
        <w:t>Indication of budgets at the level of sub-measures</w:t>
      </w:r>
      <w:bookmarkEnd w:id="20"/>
    </w:p>
    <w:p w:rsidR="00BD3B5F" w:rsidRPr="005C3B55" w:rsidRDefault="00BD3B5F">
      <w:pPr>
        <w:rPr>
          <w:szCs w:val="24"/>
        </w:rPr>
      </w:pPr>
      <w:r w:rsidRPr="005C3B55">
        <w:rPr>
          <w:szCs w:val="24"/>
        </w:rPr>
        <w:t>Category of the recommendation: Setting of objectives, allocation of funds granted</w:t>
      </w:r>
    </w:p>
    <w:p w:rsidR="00BD3B5F" w:rsidRPr="005C3B55" w:rsidRDefault="00BD3B5F">
      <w:pPr>
        <w:rPr>
          <w:szCs w:val="24"/>
        </w:rPr>
      </w:pPr>
      <w:r w:rsidRPr="005C3B55">
        <w:rPr>
          <w:noProof/>
          <w:szCs w:val="24"/>
        </w:rPr>
        <w:t>Date:</w:t>
      </w:r>
      <w:r w:rsidRPr="005C3B55">
        <w:rPr>
          <w:szCs w:val="24"/>
        </w:rPr>
        <w:t xml:space="preserve"> </w:t>
      </w:r>
      <w:r w:rsidRPr="005C3B55">
        <w:rPr>
          <w:noProof/>
          <w:szCs w:val="24"/>
        </w:rPr>
        <w:t>9 December 2013</w:t>
      </w:r>
    </w:p>
    <w:p w:rsidR="00BD3B5F" w:rsidRPr="005C3B55" w:rsidRDefault="00BD3B5F">
      <w:pPr>
        <w:spacing w:before="0" w:after="0"/>
        <w:rPr>
          <w:szCs w:val="24"/>
        </w:rPr>
      </w:pPr>
      <w:r w:rsidRPr="005C3B55">
        <w:rPr>
          <w:szCs w:val="24"/>
        </w:rPr>
        <w:t xml:space="preserve">Subject: Financial plan </w:t>
      </w:r>
    </w:p>
    <w:p w:rsidR="00BD3B5F" w:rsidRPr="005C3B55" w:rsidRDefault="00BD3B5F">
      <w:pPr>
        <w:rPr>
          <w:szCs w:val="24"/>
        </w:rPr>
      </w:pPr>
      <w:r w:rsidRPr="005C3B55">
        <w:rPr>
          <w:szCs w:val="24"/>
        </w:rPr>
        <w:t>Description of the recommendation</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10656" w:type="dxa"/>
          </w:tcPr>
          <w:p w:rsidR="00BD3B5F" w:rsidRPr="005C3B55" w:rsidRDefault="00BD3B5F">
            <w:pPr>
              <w:spacing w:before="0" w:after="240"/>
              <w:jc w:val="left"/>
              <w:rPr>
                <w:noProof/>
                <w:szCs w:val="24"/>
              </w:rPr>
            </w:pPr>
            <w:r w:rsidRPr="005C3B55">
              <w:rPr>
                <w:szCs w:val="24"/>
              </w:rPr>
              <w:t>Considering the financial plan, we propose that the determination of budgets on the level of sub-measures be considered (in section 10 or in the description of measures).</w:t>
            </w:r>
            <w:r w:rsidRPr="005C3B55">
              <w:rPr>
                <w:noProof/>
                <w:szCs w:val="24"/>
              </w:rPr>
              <w:t xml:space="preserve"> </w:t>
            </w:r>
            <w:r w:rsidRPr="005C3B55">
              <w:rPr>
                <w:szCs w:val="24"/>
              </w:rPr>
              <w:t>Acquiring this information is among the focus areas due to the mutual connection, i.e. priorities of the programme, measures, sub-measures and indicators of objectives, required for the evaluation of objectives related to success rates, and the objectives arising from the indicators plan.</w:t>
            </w:r>
          </w:p>
          <w:p w:rsidR="00BD3B5F" w:rsidRPr="005C3B55" w:rsidRDefault="00BD3B5F">
            <w:pPr>
              <w:pStyle w:val="Telobesedila"/>
              <w:rPr>
                <w:szCs w:val="24"/>
              </w:rPr>
            </w:pPr>
          </w:p>
        </w:tc>
      </w:tr>
    </w:tbl>
    <w:p w:rsidR="00BD3B5F" w:rsidRPr="005C3B55" w:rsidRDefault="00BD3B5F">
      <w:pPr>
        <w:rPr>
          <w:szCs w:val="24"/>
        </w:rPr>
      </w:pPr>
      <w:r w:rsidRPr="005C3B55">
        <w:rPr>
          <w:szCs w:val="24"/>
        </w:rPr>
        <w:t>How the recommendation was addressed or justification as to why it was not observed</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10656" w:type="dxa"/>
          </w:tcPr>
          <w:p w:rsidR="00BD3B5F" w:rsidRPr="005C3B55" w:rsidRDefault="00BD3B5F">
            <w:pPr>
              <w:spacing w:before="0" w:after="240"/>
              <w:jc w:val="left"/>
              <w:rPr>
                <w:noProof/>
                <w:szCs w:val="24"/>
              </w:rPr>
            </w:pPr>
            <w:r w:rsidRPr="005C3B55">
              <w:rPr>
                <w:szCs w:val="24"/>
              </w:rPr>
              <w:t>It was observed.</w:t>
            </w:r>
          </w:p>
          <w:p w:rsidR="00BD3B5F" w:rsidRPr="005C3B55" w:rsidRDefault="00BD3B5F">
            <w:pPr>
              <w:spacing w:before="240" w:after="240"/>
              <w:jc w:val="left"/>
              <w:rPr>
                <w:noProof/>
                <w:szCs w:val="24"/>
              </w:rPr>
            </w:pPr>
            <w:r w:rsidRPr="005C3B55">
              <w:rPr>
                <w:szCs w:val="24"/>
              </w:rPr>
              <w:t>The indication of budgets on the level of sub-measures is evident from the RDP 2014-2020, section 11 – Plan of indicators.</w:t>
            </w:r>
            <w:r w:rsidRPr="005C3B55">
              <w:rPr>
                <w:noProof/>
                <w:szCs w:val="24"/>
              </w:rPr>
              <w:t xml:space="preserve"> </w:t>
            </w:r>
            <w:r w:rsidRPr="005C3B55">
              <w:rPr>
                <w:szCs w:val="24"/>
              </w:rPr>
              <w:t>In section 10, Financial plan, distribution by sub-measures is not possible, since the SFC2014 does not allow such distribution.</w:t>
            </w:r>
            <w:r w:rsidRPr="005C3B55">
              <w:rPr>
                <w:noProof/>
                <w:szCs w:val="24"/>
              </w:rPr>
              <w:t xml:space="preserve"> </w:t>
            </w:r>
            <w:r w:rsidRPr="005C3B55">
              <w:rPr>
                <w:szCs w:val="24"/>
              </w:rPr>
              <w:t>The MA also disposes of internal documents in which the distribution of funds is specifically presented by sub-measures.</w:t>
            </w:r>
          </w:p>
          <w:p w:rsidR="00BD3B5F" w:rsidRPr="005C3B55" w:rsidRDefault="00BD3B5F">
            <w:pPr>
              <w:pStyle w:val="Telobesedila"/>
              <w:rPr>
                <w:szCs w:val="24"/>
              </w:rPr>
            </w:pPr>
          </w:p>
        </w:tc>
      </w:tr>
    </w:tbl>
    <w:p w:rsidR="00BD3B5F" w:rsidRPr="005C3B55" w:rsidRDefault="00BD3B5F">
      <w:pPr>
        <w:pStyle w:val="Naslov3"/>
        <w:tabs>
          <w:tab w:val="clear" w:pos="765"/>
        </w:tabs>
        <w:ind w:left="0" w:firstLine="0"/>
        <w:jc w:val="left"/>
        <w:rPr>
          <w:szCs w:val="24"/>
          <w:lang w:val="en-GB"/>
        </w:rPr>
      </w:pPr>
      <w:bookmarkStart w:id="21" w:name="_Toc416192479"/>
      <w:r w:rsidRPr="005C3B55">
        <w:rPr>
          <w:szCs w:val="24"/>
          <w:lang w:val="en-GB"/>
        </w:rPr>
        <w:t>Environmental criteria for the selection of knowledge transfer providers and advisory services</w:t>
      </w:r>
      <w:bookmarkEnd w:id="21"/>
    </w:p>
    <w:p w:rsidR="00BD3B5F" w:rsidRPr="005C3B55" w:rsidRDefault="00BD3B5F">
      <w:pPr>
        <w:rPr>
          <w:szCs w:val="24"/>
        </w:rPr>
      </w:pPr>
      <w:r w:rsidRPr="005C3B55">
        <w:rPr>
          <w:szCs w:val="24"/>
        </w:rPr>
        <w:t>Category of the recommendation: Special recommendations for strategic environmental impact assessment</w:t>
      </w:r>
    </w:p>
    <w:p w:rsidR="00BD3B5F" w:rsidRPr="005C3B55" w:rsidRDefault="00BD3B5F">
      <w:pPr>
        <w:rPr>
          <w:szCs w:val="24"/>
        </w:rPr>
      </w:pPr>
      <w:r w:rsidRPr="005C3B55">
        <w:rPr>
          <w:noProof/>
          <w:szCs w:val="24"/>
        </w:rPr>
        <w:t>Date:</w:t>
      </w:r>
      <w:r w:rsidRPr="005C3B55">
        <w:rPr>
          <w:szCs w:val="24"/>
        </w:rPr>
        <w:t xml:space="preserve"> </w:t>
      </w:r>
      <w:r w:rsidRPr="005C3B55">
        <w:rPr>
          <w:noProof/>
          <w:szCs w:val="24"/>
        </w:rPr>
        <w:t>20 August 2013</w:t>
      </w:r>
    </w:p>
    <w:p w:rsidR="00BD3B5F" w:rsidRPr="005C3B55" w:rsidRDefault="00BD3B5F">
      <w:pPr>
        <w:rPr>
          <w:szCs w:val="24"/>
        </w:rPr>
      </w:pPr>
      <w:r w:rsidRPr="005C3B55">
        <w:rPr>
          <w:szCs w:val="24"/>
        </w:rPr>
        <w:t>Subject: Soil, waters, nature, cultural heritage</w:t>
      </w:r>
    </w:p>
    <w:p w:rsidR="00BD3B5F" w:rsidRPr="005C3B55" w:rsidRDefault="00BD3B5F">
      <w:pPr>
        <w:rPr>
          <w:szCs w:val="24"/>
        </w:rPr>
      </w:pPr>
      <w:r w:rsidRPr="005C3B55">
        <w:rPr>
          <w:szCs w:val="24"/>
        </w:rPr>
        <w:t>Description of the recommendation</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10656" w:type="dxa"/>
          </w:tcPr>
          <w:p w:rsidR="00BD3B5F" w:rsidRPr="005C3B55" w:rsidRDefault="00BD3B5F">
            <w:pPr>
              <w:spacing w:before="0" w:after="240"/>
              <w:jc w:val="left"/>
              <w:rPr>
                <w:noProof/>
                <w:szCs w:val="24"/>
              </w:rPr>
            </w:pPr>
            <w:r w:rsidRPr="005C3B55">
              <w:rPr>
                <w:szCs w:val="24"/>
              </w:rPr>
              <w:t>Additional points for the selection of providers of knowledge transfer activities to ensure content in the field of environmental protection (except measure M10).</w:t>
            </w:r>
          </w:p>
          <w:p w:rsidR="00BD3B5F" w:rsidRPr="005C3B55" w:rsidRDefault="00BD3B5F">
            <w:pPr>
              <w:pStyle w:val="Telobesedila"/>
              <w:rPr>
                <w:szCs w:val="24"/>
              </w:rPr>
            </w:pPr>
          </w:p>
        </w:tc>
      </w:tr>
    </w:tbl>
    <w:p w:rsidR="00BD3B5F" w:rsidRPr="005C3B55" w:rsidRDefault="00BD3B5F">
      <w:pPr>
        <w:rPr>
          <w:szCs w:val="24"/>
        </w:rPr>
      </w:pPr>
      <w:r w:rsidRPr="005C3B55">
        <w:rPr>
          <w:szCs w:val="24"/>
        </w:rPr>
        <w:t>How the recommendation was addressed or justification as to why it was not observed</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10656" w:type="dxa"/>
          </w:tcPr>
          <w:p w:rsidR="00BD3B5F" w:rsidRPr="005C3B55" w:rsidRDefault="00BD3B5F">
            <w:pPr>
              <w:spacing w:before="0" w:after="240"/>
              <w:jc w:val="left"/>
              <w:rPr>
                <w:noProof/>
                <w:szCs w:val="24"/>
              </w:rPr>
            </w:pPr>
            <w:r w:rsidRPr="005C3B55">
              <w:rPr>
                <w:szCs w:val="24"/>
              </w:rPr>
              <w:t>It was partially observed.</w:t>
            </w:r>
          </w:p>
          <w:p w:rsidR="00BD3B5F" w:rsidRPr="005C3B55" w:rsidRDefault="00BD3B5F">
            <w:pPr>
              <w:spacing w:before="240" w:after="240"/>
              <w:jc w:val="left"/>
              <w:rPr>
                <w:noProof/>
                <w:szCs w:val="24"/>
              </w:rPr>
            </w:pPr>
            <w:r w:rsidRPr="005C3B55">
              <w:rPr>
                <w:szCs w:val="24"/>
              </w:rPr>
              <w:t>Appropriate qualification and references of training and advisory services providers were included in the conditions of eligibility in measures under Articles 14 and 15 of Regulation (EU) No 1305/2013.</w:t>
            </w:r>
            <w:r w:rsidRPr="005C3B55">
              <w:rPr>
                <w:noProof/>
                <w:szCs w:val="24"/>
              </w:rPr>
              <w:t xml:space="preserve"> </w:t>
            </w:r>
            <w:r w:rsidRPr="005C3B55">
              <w:rPr>
                <w:szCs w:val="24"/>
              </w:rPr>
              <w:t>The proposed criteria will be rationally taken into account in the preparation of tender documentation for individual public procurements for measures under Articles 14 and 15 of Regulation (EU) No 1305/2013.</w:t>
            </w:r>
          </w:p>
          <w:p w:rsidR="00BD3B5F" w:rsidRPr="005C3B55" w:rsidRDefault="00BD3B5F">
            <w:pPr>
              <w:pStyle w:val="Telobesedila"/>
              <w:rPr>
                <w:szCs w:val="24"/>
              </w:rPr>
            </w:pPr>
          </w:p>
        </w:tc>
      </w:tr>
    </w:tbl>
    <w:p w:rsidR="00BD3B5F" w:rsidRPr="005C3B55" w:rsidRDefault="00BD3B5F">
      <w:pPr>
        <w:pStyle w:val="Naslov3"/>
        <w:tabs>
          <w:tab w:val="clear" w:pos="765"/>
        </w:tabs>
        <w:ind w:left="0" w:firstLine="0"/>
        <w:jc w:val="left"/>
        <w:rPr>
          <w:szCs w:val="24"/>
          <w:lang w:val="en-GB"/>
        </w:rPr>
      </w:pPr>
      <w:bookmarkStart w:id="22" w:name="_Toc416192480"/>
      <w:r w:rsidRPr="005C3B55">
        <w:rPr>
          <w:szCs w:val="24"/>
          <w:lang w:val="en-GB"/>
        </w:rPr>
        <w:t>Environmental criteria for the selection of projects in measures M16 and M19</w:t>
      </w:r>
      <w:bookmarkEnd w:id="22"/>
    </w:p>
    <w:p w:rsidR="00BD3B5F" w:rsidRPr="005C3B55" w:rsidRDefault="00BD3B5F">
      <w:pPr>
        <w:rPr>
          <w:szCs w:val="24"/>
        </w:rPr>
      </w:pPr>
      <w:r w:rsidRPr="005C3B55">
        <w:rPr>
          <w:szCs w:val="24"/>
        </w:rPr>
        <w:t>Category of the recommendation: Special recommendations for strategic environmental impact assessment</w:t>
      </w:r>
    </w:p>
    <w:p w:rsidR="00BD3B5F" w:rsidRPr="005C3B55" w:rsidRDefault="00BD3B5F">
      <w:pPr>
        <w:rPr>
          <w:szCs w:val="24"/>
        </w:rPr>
      </w:pPr>
      <w:r w:rsidRPr="005C3B55">
        <w:rPr>
          <w:noProof/>
          <w:szCs w:val="24"/>
        </w:rPr>
        <w:t>Date:</w:t>
      </w:r>
      <w:r w:rsidRPr="005C3B55">
        <w:rPr>
          <w:szCs w:val="24"/>
        </w:rPr>
        <w:t xml:space="preserve"> </w:t>
      </w:r>
      <w:r w:rsidRPr="005C3B55">
        <w:rPr>
          <w:noProof/>
          <w:szCs w:val="24"/>
        </w:rPr>
        <w:t>20 August 2013</w:t>
      </w:r>
    </w:p>
    <w:p w:rsidR="00BD3B5F" w:rsidRPr="005C3B55" w:rsidRDefault="00BD3B5F">
      <w:pPr>
        <w:rPr>
          <w:szCs w:val="24"/>
        </w:rPr>
      </w:pPr>
      <w:r w:rsidRPr="005C3B55">
        <w:rPr>
          <w:szCs w:val="24"/>
        </w:rPr>
        <w:t>Subject: Soil, waters, nature, cultural heritage</w:t>
      </w:r>
    </w:p>
    <w:p w:rsidR="00BD3B5F" w:rsidRPr="005C3B55" w:rsidRDefault="00BD3B5F">
      <w:pPr>
        <w:rPr>
          <w:szCs w:val="24"/>
        </w:rPr>
      </w:pPr>
      <w:r w:rsidRPr="005C3B55">
        <w:rPr>
          <w:szCs w:val="24"/>
        </w:rPr>
        <w:t>Description of the recommendation</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10656" w:type="dxa"/>
          </w:tcPr>
          <w:p w:rsidR="00BD3B5F" w:rsidRPr="005C3B55" w:rsidRDefault="00BD3B5F">
            <w:pPr>
              <w:spacing w:before="0" w:after="240"/>
              <w:jc w:val="left"/>
              <w:rPr>
                <w:noProof/>
                <w:szCs w:val="24"/>
              </w:rPr>
            </w:pPr>
            <w:r w:rsidRPr="005C3B55">
              <w:rPr>
                <w:rStyle w:val="hps"/>
                <w:szCs w:val="24"/>
              </w:rPr>
              <w:t>Criteria for the selection of projects and cooperation when approving local development strategy – the emphasis should be put on the projects with the environmental and nature protection topics</w:t>
            </w:r>
            <w:r w:rsidRPr="005C3B55">
              <w:rPr>
                <w:szCs w:val="24"/>
              </w:rPr>
              <w:t xml:space="preserve"> </w:t>
            </w:r>
            <w:r w:rsidRPr="005C3B55">
              <w:rPr>
                <w:rStyle w:val="hps"/>
                <w:szCs w:val="24"/>
              </w:rPr>
              <w:t>(e.g. testing of adequate agricultural methods, development of monitoring), activities to reduce the impact on waters, efficient use of water and protection of water resources</w:t>
            </w:r>
            <w:r w:rsidRPr="005C3B55">
              <w:rPr>
                <w:szCs w:val="24"/>
              </w:rPr>
              <w:t>, activities to prevent soil erosion, approaches to shortening the supply chain, preservation of cultural heritage etc. (M16, M19).</w:t>
            </w:r>
          </w:p>
          <w:p w:rsidR="00BD3B5F" w:rsidRPr="005C3B55" w:rsidRDefault="00BD3B5F">
            <w:pPr>
              <w:pStyle w:val="Telobesedila"/>
              <w:rPr>
                <w:szCs w:val="24"/>
              </w:rPr>
            </w:pPr>
          </w:p>
        </w:tc>
      </w:tr>
    </w:tbl>
    <w:p w:rsidR="00BD3B5F" w:rsidRPr="005C3B55" w:rsidRDefault="00BD3B5F">
      <w:pPr>
        <w:rPr>
          <w:szCs w:val="24"/>
        </w:rPr>
      </w:pPr>
      <w:r w:rsidRPr="005C3B55">
        <w:rPr>
          <w:szCs w:val="24"/>
        </w:rPr>
        <w:t>How the recommendation was addressed or justification as to why it was not observed</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10656" w:type="dxa"/>
          </w:tcPr>
          <w:p w:rsidR="00BD3B5F" w:rsidRPr="005C3B55" w:rsidRDefault="00BD3B5F">
            <w:pPr>
              <w:spacing w:before="0" w:after="240"/>
              <w:jc w:val="left"/>
              <w:rPr>
                <w:noProof/>
                <w:szCs w:val="24"/>
              </w:rPr>
            </w:pPr>
            <w:r w:rsidRPr="005C3B55">
              <w:rPr>
                <w:szCs w:val="24"/>
              </w:rPr>
              <w:t>It was partially observed.</w:t>
            </w:r>
          </w:p>
          <w:p w:rsidR="00BD3B5F" w:rsidRPr="005C3B55" w:rsidRDefault="00BD3B5F">
            <w:pPr>
              <w:spacing w:before="240" w:after="240"/>
              <w:jc w:val="left"/>
              <w:rPr>
                <w:noProof/>
                <w:szCs w:val="24"/>
              </w:rPr>
            </w:pPr>
            <w:r w:rsidRPr="005C3B55">
              <w:rPr>
                <w:szCs w:val="24"/>
              </w:rPr>
              <w:t>In measure M16, the selection criteria of the RDP 2014-2020 prioritise projects with nature and environmental protection characteristics.</w:t>
            </w:r>
            <w:r w:rsidRPr="005C3B55">
              <w:rPr>
                <w:noProof/>
                <w:szCs w:val="24"/>
              </w:rPr>
              <w:t xml:space="preserve"> </w:t>
            </w:r>
            <w:r w:rsidRPr="005C3B55">
              <w:rPr>
                <w:szCs w:val="24"/>
              </w:rPr>
              <w:t>The EIP operational groups will also follow the objective of sustainability in agriculture.</w:t>
            </w:r>
            <w:r w:rsidRPr="005C3B55">
              <w:rPr>
                <w:noProof/>
                <w:szCs w:val="24"/>
              </w:rPr>
              <w:t xml:space="preserve"> </w:t>
            </w:r>
            <w:r w:rsidRPr="005C3B55">
              <w:rPr>
                <w:szCs w:val="24"/>
              </w:rPr>
              <w:t>A specific set of contents under measure M16 relating to group approaches to environmental protection was also envisaged.</w:t>
            </w:r>
            <w:r w:rsidRPr="005C3B55">
              <w:rPr>
                <w:noProof/>
                <w:szCs w:val="24"/>
              </w:rPr>
              <w:t xml:space="preserve"> </w:t>
            </w:r>
            <w:r w:rsidRPr="005C3B55">
              <w:rPr>
                <w:szCs w:val="24"/>
              </w:rPr>
              <w:t>Other aspects referred to in the recommendation will also be considered.</w:t>
            </w:r>
          </w:p>
          <w:p w:rsidR="00BD3B5F" w:rsidRPr="005C3B55" w:rsidRDefault="00BD3B5F">
            <w:pPr>
              <w:spacing w:before="240" w:after="240"/>
              <w:jc w:val="left"/>
              <w:rPr>
                <w:noProof/>
                <w:szCs w:val="24"/>
              </w:rPr>
            </w:pPr>
            <w:r w:rsidRPr="005C3B55">
              <w:rPr>
                <w:szCs w:val="24"/>
              </w:rPr>
              <w:t>Operations under measure M19 are selected by LAGs based on the selection criteria defined by a local partnership in the LDS.</w:t>
            </w:r>
            <w:r w:rsidRPr="005C3B55">
              <w:rPr>
                <w:noProof/>
                <w:szCs w:val="24"/>
              </w:rPr>
              <w:t xml:space="preserve"> </w:t>
            </w:r>
            <w:r w:rsidRPr="005C3B55">
              <w:rPr>
                <w:szCs w:val="24"/>
              </w:rPr>
              <w:t>Inclusion of the proposed criteria for the selection of projects is the responsibility of LAGs.</w:t>
            </w:r>
            <w:r w:rsidRPr="005C3B55">
              <w:rPr>
                <w:noProof/>
                <w:szCs w:val="24"/>
              </w:rPr>
              <w:t xml:space="preserve"> </w:t>
            </w:r>
            <w:r w:rsidRPr="005C3B55">
              <w:rPr>
                <w:szCs w:val="24"/>
              </w:rPr>
              <w:t>The MA defined thematic areas of action which include environmental protection.</w:t>
            </w:r>
            <w:r w:rsidRPr="005C3B55">
              <w:rPr>
                <w:noProof/>
                <w:szCs w:val="24"/>
              </w:rPr>
              <w:t xml:space="preserve"> </w:t>
            </w:r>
            <w:r w:rsidRPr="005C3B55">
              <w:rPr>
                <w:szCs w:val="24"/>
              </w:rPr>
              <w:t>It is expected that LAGs will undertake environmentally-oriented projects through operations selected to be co-financed and accordingly select the selection criteria.</w:t>
            </w:r>
          </w:p>
          <w:p w:rsidR="00BD3B5F" w:rsidRPr="005C3B55" w:rsidRDefault="00BD3B5F">
            <w:pPr>
              <w:pStyle w:val="Telobesedila"/>
              <w:rPr>
                <w:szCs w:val="24"/>
              </w:rPr>
            </w:pPr>
          </w:p>
        </w:tc>
      </w:tr>
    </w:tbl>
    <w:p w:rsidR="00BD3B5F" w:rsidRPr="005C3B55" w:rsidRDefault="00BD3B5F">
      <w:pPr>
        <w:pStyle w:val="Naslov3"/>
        <w:tabs>
          <w:tab w:val="clear" w:pos="765"/>
        </w:tabs>
        <w:ind w:left="0" w:firstLine="0"/>
        <w:jc w:val="left"/>
        <w:rPr>
          <w:szCs w:val="24"/>
          <w:lang w:val="en-GB"/>
        </w:rPr>
      </w:pPr>
      <w:bookmarkStart w:id="23" w:name="_Toc416192481"/>
      <w:r w:rsidRPr="005C3B55">
        <w:rPr>
          <w:szCs w:val="24"/>
          <w:lang w:val="en-GB"/>
        </w:rPr>
        <w:t>Environmental criteria for the selection of projects in investments in infrastructure</w:t>
      </w:r>
      <w:bookmarkEnd w:id="23"/>
    </w:p>
    <w:p w:rsidR="00BD3B5F" w:rsidRPr="005C3B55" w:rsidRDefault="00BD3B5F">
      <w:pPr>
        <w:rPr>
          <w:szCs w:val="24"/>
        </w:rPr>
      </w:pPr>
      <w:r w:rsidRPr="005C3B55">
        <w:rPr>
          <w:szCs w:val="24"/>
        </w:rPr>
        <w:t>Category of the recommendation: Special recommendations for strategic environmental impact assessment</w:t>
      </w:r>
    </w:p>
    <w:p w:rsidR="00BD3B5F" w:rsidRPr="005C3B55" w:rsidRDefault="00BD3B5F">
      <w:pPr>
        <w:rPr>
          <w:szCs w:val="24"/>
        </w:rPr>
      </w:pPr>
      <w:r w:rsidRPr="005C3B55">
        <w:rPr>
          <w:noProof/>
          <w:szCs w:val="24"/>
        </w:rPr>
        <w:t>Date:</w:t>
      </w:r>
      <w:r w:rsidRPr="005C3B55">
        <w:rPr>
          <w:szCs w:val="24"/>
        </w:rPr>
        <w:t xml:space="preserve"> </w:t>
      </w:r>
      <w:r w:rsidRPr="005C3B55">
        <w:rPr>
          <w:noProof/>
          <w:szCs w:val="24"/>
        </w:rPr>
        <w:t>20 August 2013</w:t>
      </w:r>
    </w:p>
    <w:p w:rsidR="00BD3B5F" w:rsidRPr="005C3B55" w:rsidRDefault="00BD3B5F">
      <w:pPr>
        <w:rPr>
          <w:szCs w:val="24"/>
        </w:rPr>
      </w:pPr>
      <w:r w:rsidRPr="005C3B55">
        <w:rPr>
          <w:szCs w:val="24"/>
        </w:rPr>
        <w:t>Subject: Soil, waters, nature, cultural heritage</w:t>
      </w:r>
    </w:p>
    <w:p w:rsidR="00BD3B5F" w:rsidRPr="005C3B55" w:rsidRDefault="00BD3B5F">
      <w:pPr>
        <w:rPr>
          <w:szCs w:val="24"/>
        </w:rPr>
      </w:pPr>
      <w:r w:rsidRPr="005C3B55">
        <w:rPr>
          <w:szCs w:val="24"/>
        </w:rPr>
        <w:t>Description of the recommendation</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10656" w:type="dxa"/>
          </w:tcPr>
          <w:p w:rsidR="00BD3B5F" w:rsidRPr="005C3B55" w:rsidRDefault="00BD3B5F">
            <w:pPr>
              <w:spacing w:before="0" w:after="240"/>
              <w:jc w:val="left"/>
              <w:rPr>
                <w:noProof/>
                <w:szCs w:val="24"/>
              </w:rPr>
            </w:pPr>
            <w:r w:rsidRPr="005C3B55">
              <w:rPr>
                <w:szCs w:val="24"/>
              </w:rPr>
              <w:t>Additional criteria for scoring in the selection of investments could include:</w:t>
            </w:r>
          </w:p>
          <w:p w:rsidR="00BD3B5F" w:rsidRPr="005C3B55" w:rsidRDefault="00BD3B5F">
            <w:pPr>
              <w:spacing w:before="240" w:after="240"/>
              <w:jc w:val="left"/>
              <w:rPr>
                <w:noProof/>
                <w:szCs w:val="24"/>
              </w:rPr>
            </w:pPr>
            <w:r w:rsidRPr="005C3B55">
              <w:rPr>
                <w:szCs w:val="24"/>
              </w:rPr>
              <w:t>• identification of important habitats, and important animal and plant species, and a proposal of activities for their conservation;</w:t>
            </w:r>
          </w:p>
          <w:p w:rsidR="00BD3B5F" w:rsidRPr="005C3B55" w:rsidRDefault="00BD3B5F">
            <w:pPr>
              <w:spacing w:before="240" w:after="240"/>
              <w:jc w:val="left"/>
              <w:rPr>
                <w:noProof/>
                <w:szCs w:val="24"/>
              </w:rPr>
            </w:pPr>
            <w:r w:rsidRPr="005C3B55">
              <w:rPr>
                <w:szCs w:val="24"/>
              </w:rPr>
              <w:t>• investments in the rehabilitation of the existing situation and their impact on soil and waters, particularly in the area of three water bodies with a poor chemical status;</w:t>
            </w:r>
          </w:p>
          <w:p w:rsidR="00BD3B5F" w:rsidRPr="005C3B55" w:rsidRDefault="00BD3B5F">
            <w:pPr>
              <w:spacing w:before="240" w:after="240"/>
              <w:jc w:val="left"/>
              <w:rPr>
                <w:noProof/>
                <w:szCs w:val="24"/>
              </w:rPr>
            </w:pPr>
            <w:r w:rsidRPr="005C3B55">
              <w:rPr>
                <w:szCs w:val="24"/>
              </w:rPr>
              <w:t>• provision of efficient use of water and wastewater projects for irrigation systems and irrigation;</w:t>
            </w:r>
          </w:p>
          <w:p w:rsidR="00BD3B5F" w:rsidRPr="005C3B55" w:rsidRDefault="00BD3B5F">
            <w:pPr>
              <w:spacing w:before="240" w:after="240"/>
              <w:jc w:val="left"/>
              <w:rPr>
                <w:noProof/>
                <w:szCs w:val="24"/>
              </w:rPr>
            </w:pPr>
            <w:r w:rsidRPr="005C3B55">
              <w:rPr>
                <w:szCs w:val="24"/>
              </w:rPr>
              <w:t>• investments in efficient use of water;</w:t>
            </w:r>
          </w:p>
          <w:p w:rsidR="00BD3B5F" w:rsidRPr="005C3B55" w:rsidRDefault="00BD3B5F">
            <w:pPr>
              <w:spacing w:before="240" w:after="240"/>
              <w:jc w:val="left"/>
              <w:rPr>
                <w:noProof/>
                <w:szCs w:val="24"/>
              </w:rPr>
            </w:pPr>
            <w:r w:rsidRPr="005C3B55">
              <w:rPr>
                <w:szCs w:val="24"/>
              </w:rPr>
              <w:t>• investments in reducing risks of erosion;</w:t>
            </w:r>
          </w:p>
          <w:p w:rsidR="00BD3B5F" w:rsidRPr="005C3B55" w:rsidRDefault="00BD3B5F">
            <w:pPr>
              <w:spacing w:before="240" w:after="240"/>
              <w:jc w:val="left"/>
              <w:rPr>
                <w:noProof/>
                <w:szCs w:val="24"/>
              </w:rPr>
            </w:pPr>
            <w:r w:rsidRPr="005C3B55">
              <w:rPr>
                <w:szCs w:val="24"/>
              </w:rPr>
              <w:t>• investments which would include reconstruction of cultural heritage in the framework of the reconstruction of agricultural and other facilities;</w:t>
            </w:r>
          </w:p>
          <w:p w:rsidR="00BD3B5F" w:rsidRPr="005C3B55" w:rsidRDefault="00BD3B5F">
            <w:pPr>
              <w:spacing w:before="240" w:after="240"/>
              <w:jc w:val="left"/>
              <w:rPr>
                <w:noProof/>
                <w:szCs w:val="24"/>
              </w:rPr>
            </w:pPr>
            <w:r w:rsidRPr="005C3B55">
              <w:rPr>
                <w:szCs w:val="24"/>
              </w:rPr>
              <w:t>• comprehensive planning of farm development towards sustainable agriculture;</w:t>
            </w:r>
          </w:p>
          <w:p w:rsidR="00BD3B5F" w:rsidRPr="005C3B55" w:rsidRDefault="00BD3B5F">
            <w:pPr>
              <w:spacing w:before="240" w:after="240"/>
              <w:jc w:val="left"/>
              <w:rPr>
                <w:noProof/>
                <w:szCs w:val="24"/>
              </w:rPr>
            </w:pPr>
            <w:r w:rsidRPr="005C3B55">
              <w:rPr>
                <w:szCs w:val="24"/>
              </w:rPr>
              <w:t>• in cases of support to the development of non-agricultural activities, projects that include the conservation of cultural heritage and cultural landscape, and of nature and water sources (e.g. within a tourism activity).</w:t>
            </w:r>
          </w:p>
          <w:p w:rsidR="00BD3B5F" w:rsidRPr="005C3B55" w:rsidRDefault="00BD3B5F">
            <w:pPr>
              <w:pStyle w:val="Telobesedila"/>
              <w:rPr>
                <w:szCs w:val="24"/>
              </w:rPr>
            </w:pPr>
          </w:p>
        </w:tc>
      </w:tr>
    </w:tbl>
    <w:p w:rsidR="00BD3B5F" w:rsidRPr="005C3B55" w:rsidRDefault="00BD3B5F">
      <w:pPr>
        <w:rPr>
          <w:szCs w:val="24"/>
        </w:rPr>
      </w:pPr>
      <w:r w:rsidRPr="005C3B55">
        <w:rPr>
          <w:szCs w:val="24"/>
        </w:rPr>
        <w:t>How the recommendation was addressed or justification as to why it was not observed</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10656" w:type="dxa"/>
          </w:tcPr>
          <w:p w:rsidR="00BD3B5F" w:rsidRPr="005C3B55" w:rsidRDefault="00BD3B5F">
            <w:pPr>
              <w:spacing w:before="0" w:after="240"/>
              <w:jc w:val="left"/>
              <w:rPr>
                <w:noProof/>
                <w:szCs w:val="24"/>
              </w:rPr>
            </w:pPr>
            <w:r w:rsidRPr="005C3B55">
              <w:rPr>
                <w:szCs w:val="24"/>
              </w:rPr>
              <w:t>It was observed.</w:t>
            </w:r>
          </w:p>
          <w:p w:rsidR="00BD3B5F" w:rsidRPr="005C3B55" w:rsidRDefault="00BD3B5F">
            <w:pPr>
              <w:spacing w:before="240" w:after="240"/>
              <w:jc w:val="left"/>
              <w:rPr>
                <w:noProof/>
                <w:szCs w:val="24"/>
              </w:rPr>
            </w:pPr>
            <w:r w:rsidRPr="005C3B55">
              <w:rPr>
                <w:szCs w:val="24"/>
              </w:rPr>
              <w:t>In the case of granting support for the development of non-agricultural activities, the recommendation was observed in a way that investments in activities related to natural and cultural heritage were defined as priority activities under this measure.</w:t>
            </w:r>
          </w:p>
          <w:p w:rsidR="00BD3B5F" w:rsidRPr="005C3B55" w:rsidRDefault="00BD3B5F">
            <w:pPr>
              <w:spacing w:before="240" w:after="240"/>
              <w:jc w:val="left"/>
              <w:rPr>
                <w:noProof/>
                <w:szCs w:val="24"/>
              </w:rPr>
            </w:pPr>
            <w:r w:rsidRPr="005C3B55">
              <w:rPr>
                <w:szCs w:val="24"/>
              </w:rPr>
              <w:t>In investments in physical assets, environmental protection and spatial (geographical) aspects are an integral part of the selection criteria in all sub-measures and types of operation.</w:t>
            </w:r>
            <w:r w:rsidRPr="005C3B55">
              <w:rPr>
                <w:noProof/>
                <w:szCs w:val="24"/>
              </w:rPr>
              <w:t xml:space="preserve"> </w:t>
            </w:r>
            <w:r w:rsidRPr="005C3B55">
              <w:rPr>
                <w:szCs w:val="24"/>
              </w:rPr>
              <w:t>Investments or types of investments that contribute to the attainment of horizontal objectives according to Regulation (EU) No 1305/2013 (environment, innovation, climate change) were also defined.</w:t>
            </w:r>
            <w:r w:rsidRPr="005C3B55">
              <w:rPr>
                <w:noProof/>
                <w:szCs w:val="24"/>
              </w:rPr>
              <w:t xml:space="preserve"> </w:t>
            </w:r>
            <w:r w:rsidRPr="005C3B55">
              <w:rPr>
                <w:szCs w:val="24"/>
              </w:rPr>
              <w:t>The manner of promoting these investments will be defined in implementing regulations and public tenders.</w:t>
            </w:r>
            <w:r w:rsidRPr="005C3B55">
              <w:rPr>
                <w:noProof/>
                <w:szCs w:val="24"/>
              </w:rPr>
              <w:t xml:space="preserve"> </w:t>
            </w:r>
            <w:r w:rsidRPr="005C3B55">
              <w:rPr>
                <w:szCs w:val="24"/>
              </w:rPr>
              <w:t>A beneficiary will have to present and justify these aspects in their business plan or by project documentation.</w:t>
            </w:r>
            <w:r w:rsidRPr="005C3B55">
              <w:rPr>
                <w:noProof/>
                <w:szCs w:val="24"/>
              </w:rPr>
              <w:t xml:space="preserve"> </w:t>
            </w:r>
            <w:r w:rsidRPr="005C3B55">
              <w:rPr>
                <w:szCs w:val="24"/>
              </w:rPr>
              <w:t>At the same time, the beneficiary must observe relevant legislation during works, including legislation related to construction, and water, environmental and nature protection.</w:t>
            </w:r>
          </w:p>
          <w:p w:rsidR="00BD3B5F" w:rsidRPr="005C3B55" w:rsidRDefault="00BD3B5F">
            <w:pPr>
              <w:pStyle w:val="Telobesedila"/>
              <w:rPr>
                <w:szCs w:val="24"/>
              </w:rPr>
            </w:pPr>
          </w:p>
        </w:tc>
      </w:tr>
    </w:tbl>
    <w:p w:rsidR="00BD3B5F" w:rsidRPr="005C3B55" w:rsidRDefault="00BD3B5F">
      <w:pPr>
        <w:pStyle w:val="Naslov3"/>
        <w:tabs>
          <w:tab w:val="clear" w:pos="765"/>
        </w:tabs>
        <w:ind w:left="0" w:firstLine="0"/>
        <w:jc w:val="left"/>
        <w:rPr>
          <w:szCs w:val="24"/>
          <w:lang w:val="en-GB"/>
        </w:rPr>
      </w:pPr>
      <w:bookmarkStart w:id="24" w:name="_Toc416192482"/>
      <w:r w:rsidRPr="005C3B55">
        <w:rPr>
          <w:szCs w:val="24"/>
          <w:lang w:val="en-GB"/>
        </w:rPr>
        <w:t>Determination of special impact indicators</w:t>
      </w:r>
      <w:bookmarkEnd w:id="24"/>
    </w:p>
    <w:p w:rsidR="00BD3B5F" w:rsidRPr="005C3B55" w:rsidRDefault="00BD3B5F">
      <w:pPr>
        <w:rPr>
          <w:szCs w:val="24"/>
        </w:rPr>
      </w:pPr>
      <w:r w:rsidRPr="005C3B55">
        <w:rPr>
          <w:szCs w:val="24"/>
        </w:rPr>
        <w:t>Category of the recommendation: Setting of objectives, allocation of funds granted</w:t>
      </w:r>
    </w:p>
    <w:p w:rsidR="00BD3B5F" w:rsidRPr="005C3B55" w:rsidRDefault="00BD3B5F">
      <w:pPr>
        <w:rPr>
          <w:szCs w:val="24"/>
        </w:rPr>
      </w:pPr>
      <w:r w:rsidRPr="005C3B55">
        <w:rPr>
          <w:noProof/>
          <w:szCs w:val="24"/>
        </w:rPr>
        <w:t>Date:</w:t>
      </w:r>
      <w:r w:rsidRPr="005C3B55">
        <w:rPr>
          <w:szCs w:val="24"/>
        </w:rPr>
        <w:t xml:space="preserve"> </w:t>
      </w:r>
      <w:r w:rsidRPr="005C3B55">
        <w:rPr>
          <w:noProof/>
          <w:szCs w:val="24"/>
        </w:rPr>
        <w:t>9 December 2013</w:t>
      </w:r>
    </w:p>
    <w:p w:rsidR="00BD3B5F" w:rsidRPr="005C3B55" w:rsidRDefault="00BD3B5F">
      <w:pPr>
        <w:rPr>
          <w:szCs w:val="24"/>
        </w:rPr>
      </w:pPr>
      <w:r w:rsidRPr="005C3B55">
        <w:rPr>
          <w:szCs w:val="24"/>
        </w:rPr>
        <w:t>Subject: Impact indicators</w:t>
      </w:r>
    </w:p>
    <w:p w:rsidR="00BD3B5F" w:rsidRPr="005C3B55" w:rsidRDefault="00BD3B5F">
      <w:pPr>
        <w:rPr>
          <w:szCs w:val="24"/>
        </w:rPr>
      </w:pPr>
      <w:r w:rsidRPr="005C3B55">
        <w:rPr>
          <w:szCs w:val="24"/>
        </w:rPr>
        <w:t>Description of the recommendation</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10656" w:type="dxa"/>
          </w:tcPr>
          <w:p w:rsidR="00BD3B5F" w:rsidRPr="005C3B55" w:rsidRDefault="00BD3B5F">
            <w:pPr>
              <w:spacing w:before="0" w:after="240"/>
              <w:jc w:val="left"/>
              <w:rPr>
                <w:noProof/>
                <w:szCs w:val="24"/>
              </w:rPr>
            </w:pPr>
            <w:r w:rsidRPr="005C3B55">
              <w:rPr>
                <w:szCs w:val="24"/>
              </w:rPr>
              <w:t xml:space="preserve">The determination of special impact indicators for the Programme is recommended, especially those linked to refundable support under Articles 18, 20 and 27, which would show the performance rate of the Programme (e.g. </w:t>
            </w:r>
            <w:r w:rsidRPr="005C3B55">
              <w:rPr>
                <w:noProof/>
                <w:szCs w:val="24"/>
              </w:rPr>
              <w:t xml:space="preserve"> </w:t>
            </w:r>
            <w:r w:rsidRPr="005C3B55">
              <w:rPr>
                <w:szCs w:val="24"/>
              </w:rPr>
              <w:t>‘the number of agricultural holdings receiving loans’, ‘the value of loans received by agricultural holdings’, ‘value of loans with RDP guarantees’ etc.).</w:t>
            </w:r>
          </w:p>
          <w:p w:rsidR="00BD3B5F" w:rsidRPr="005C3B55" w:rsidRDefault="00BD3B5F">
            <w:pPr>
              <w:pStyle w:val="Telobesedila"/>
              <w:rPr>
                <w:szCs w:val="24"/>
              </w:rPr>
            </w:pPr>
          </w:p>
        </w:tc>
      </w:tr>
    </w:tbl>
    <w:p w:rsidR="00BD3B5F" w:rsidRPr="005C3B55" w:rsidRDefault="00BD3B5F">
      <w:pPr>
        <w:rPr>
          <w:szCs w:val="24"/>
        </w:rPr>
      </w:pPr>
      <w:r w:rsidRPr="005C3B55">
        <w:rPr>
          <w:szCs w:val="24"/>
        </w:rPr>
        <w:t>How the recommendation was addressed or justification as to why it was not observed</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10656" w:type="dxa"/>
          </w:tcPr>
          <w:p w:rsidR="00BD3B5F" w:rsidRPr="005C3B55" w:rsidRDefault="00BD3B5F">
            <w:pPr>
              <w:spacing w:before="0" w:after="240"/>
              <w:jc w:val="left"/>
              <w:rPr>
                <w:noProof/>
                <w:szCs w:val="24"/>
              </w:rPr>
            </w:pPr>
            <w:r w:rsidRPr="005C3B55">
              <w:rPr>
                <w:szCs w:val="24"/>
              </w:rPr>
              <w:t>It was observed.</w:t>
            </w:r>
          </w:p>
          <w:p w:rsidR="00BD3B5F" w:rsidRPr="005C3B55" w:rsidRDefault="00BD3B5F">
            <w:pPr>
              <w:spacing w:before="240" w:after="240"/>
              <w:jc w:val="left"/>
              <w:rPr>
                <w:noProof/>
                <w:szCs w:val="24"/>
              </w:rPr>
            </w:pPr>
            <w:r w:rsidRPr="005C3B55">
              <w:rPr>
                <w:szCs w:val="24"/>
              </w:rPr>
              <w:t>The MA plans to establish a monitoring system in the case of the implementation of financial instruments, i.e. by individual sections, also by establishing certain impact indicators.</w:t>
            </w:r>
            <w:r w:rsidRPr="005C3B55">
              <w:rPr>
                <w:noProof/>
                <w:szCs w:val="24"/>
              </w:rPr>
              <w:t xml:space="preserve"> </w:t>
            </w:r>
            <w:r w:rsidRPr="005C3B55">
              <w:rPr>
                <w:szCs w:val="24"/>
              </w:rPr>
              <w:t>This system will be described in the instructions of the Managing Authority on monitoring and evaluating the Rural Development Programme of the Republic of Slovenia 2014-2020.</w:t>
            </w:r>
          </w:p>
          <w:p w:rsidR="00BD3B5F" w:rsidRPr="005C3B55" w:rsidRDefault="00BD3B5F">
            <w:pPr>
              <w:pStyle w:val="Telobesedila"/>
              <w:rPr>
                <w:szCs w:val="24"/>
              </w:rPr>
            </w:pPr>
          </w:p>
        </w:tc>
      </w:tr>
    </w:tbl>
    <w:p w:rsidR="00BD3B5F" w:rsidRPr="005C3B55" w:rsidRDefault="00BD3B5F">
      <w:pPr>
        <w:pStyle w:val="Naslov3"/>
        <w:tabs>
          <w:tab w:val="clear" w:pos="765"/>
        </w:tabs>
        <w:ind w:left="0" w:firstLine="0"/>
        <w:jc w:val="left"/>
        <w:rPr>
          <w:szCs w:val="24"/>
          <w:lang w:val="en-GB"/>
        </w:rPr>
      </w:pPr>
      <w:bookmarkStart w:id="25" w:name="_Toc416192483"/>
      <w:r w:rsidRPr="005C3B55">
        <w:rPr>
          <w:szCs w:val="24"/>
          <w:lang w:val="en-GB"/>
        </w:rPr>
        <w:t>Determination of expected results in measures</w:t>
      </w:r>
      <w:bookmarkEnd w:id="25"/>
      <w:r w:rsidRPr="005C3B55">
        <w:rPr>
          <w:szCs w:val="24"/>
          <w:lang w:val="en-GB"/>
        </w:rPr>
        <w:t xml:space="preserve"> </w:t>
      </w:r>
    </w:p>
    <w:p w:rsidR="00BD3B5F" w:rsidRPr="005C3B55" w:rsidRDefault="00BD3B5F">
      <w:pPr>
        <w:rPr>
          <w:szCs w:val="24"/>
        </w:rPr>
      </w:pPr>
      <w:r w:rsidRPr="005C3B55">
        <w:rPr>
          <w:szCs w:val="24"/>
        </w:rPr>
        <w:t>Category of the recommendation: Establishment of the logic for action</w:t>
      </w:r>
    </w:p>
    <w:p w:rsidR="00BD3B5F" w:rsidRPr="005C3B55" w:rsidRDefault="00BD3B5F">
      <w:pPr>
        <w:rPr>
          <w:szCs w:val="24"/>
        </w:rPr>
      </w:pPr>
      <w:r w:rsidRPr="005C3B55">
        <w:rPr>
          <w:noProof/>
          <w:szCs w:val="24"/>
        </w:rPr>
        <w:t>Date:</w:t>
      </w:r>
      <w:r w:rsidRPr="005C3B55">
        <w:rPr>
          <w:szCs w:val="24"/>
        </w:rPr>
        <w:t xml:space="preserve"> </w:t>
      </w:r>
      <w:r w:rsidRPr="005C3B55">
        <w:rPr>
          <w:noProof/>
          <w:szCs w:val="24"/>
        </w:rPr>
        <w:t>28 June 2013</w:t>
      </w:r>
    </w:p>
    <w:p w:rsidR="00BD3B5F" w:rsidRPr="005C3B55" w:rsidRDefault="00BD3B5F">
      <w:pPr>
        <w:rPr>
          <w:szCs w:val="24"/>
        </w:rPr>
      </w:pPr>
      <w:r w:rsidRPr="005C3B55">
        <w:rPr>
          <w:szCs w:val="24"/>
        </w:rPr>
        <w:t>Subject: Intervention logic of selected measures</w:t>
      </w:r>
    </w:p>
    <w:p w:rsidR="00BD3B5F" w:rsidRPr="005C3B55" w:rsidRDefault="00BD3B5F">
      <w:pPr>
        <w:rPr>
          <w:szCs w:val="24"/>
        </w:rPr>
      </w:pPr>
      <w:r w:rsidRPr="005C3B55">
        <w:rPr>
          <w:szCs w:val="24"/>
        </w:rPr>
        <w:t>Description of the recommendation</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10656" w:type="dxa"/>
          </w:tcPr>
          <w:p w:rsidR="00BD3B5F" w:rsidRPr="005C3B55" w:rsidRDefault="00BD3B5F">
            <w:pPr>
              <w:spacing w:before="0" w:after="240"/>
              <w:jc w:val="left"/>
              <w:rPr>
                <w:noProof/>
                <w:szCs w:val="24"/>
              </w:rPr>
            </w:pPr>
            <w:r w:rsidRPr="005C3B55">
              <w:rPr>
                <w:szCs w:val="24"/>
              </w:rPr>
              <w:t>We suggest that the MA explicitly determine the expected results by drafting short descriptions of each measure and sub-measure.</w:t>
            </w:r>
            <w:r w:rsidRPr="005C3B55">
              <w:rPr>
                <w:noProof/>
                <w:szCs w:val="24"/>
              </w:rPr>
              <w:t xml:space="preserve"> </w:t>
            </w:r>
            <w:r w:rsidRPr="005C3B55">
              <w:rPr>
                <w:szCs w:val="24"/>
              </w:rPr>
              <w:t>These will be the foundations for the further selection of result and impact indicators and for the subsequent assessment of the efficiency of measures.</w:t>
            </w:r>
          </w:p>
          <w:p w:rsidR="00BD3B5F" w:rsidRPr="005C3B55" w:rsidRDefault="00BD3B5F">
            <w:pPr>
              <w:pStyle w:val="Telobesedila"/>
              <w:rPr>
                <w:szCs w:val="24"/>
              </w:rPr>
            </w:pPr>
          </w:p>
        </w:tc>
      </w:tr>
    </w:tbl>
    <w:p w:rsidR="00BD3B5F" w:rsidRPr="005C3B55" w:rsidRDefault="00BD3B5F">
      <w:pPr>
        <w:rPr>
          <w:szCs w:val="24"/>
        </w:rPr>
      </w:pPr>
      <w:r w:rsidRPr="005C3B55">
        <w:rPr>
          <w:szCs w:val="24"/>
        </w:rPr>
        <w:t>How the recommendation was addressed or justification as to why it was not observed</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10656" w:type="dxa"/>
          </w:tcPr>
          <w:p w:rsidR="00BD3B5F" w:rsidRPr="005C3B55" w:rsidRDefault="00BD3B5F">
            <w:pPr>
              <w:spacing w:before="0" w:after="240"/>
              <w:jc w:val="left"/>
              <w:rPr>
                <w:noProof/>
                <w:szCs w:val="24"/>
              </w:rPr>
            </w:pPr>
            <w:r w:rsidRPr="005C3B55">
              <w:rPr>
                <w:szCs w:val="24"/>
              </w:rPr>
              <w:t>It was partially observed.</w:t>
            </w:r>
          </w:p>
          <w:p w:rsidR="00BD3B5F" w:rsidRPr="005C3B55" w:rsidRDefault="00BD3B5F">
            <w:pPr>
              <w:spacing w:before="240" w:after="240"/>
              <w:jc w:val="left"/>
              <w:rPr>
                <w:noProof/>
                <w:szCs w:val="24"/>
              </w:rPr>
            </w:pPr>
            <w:r w:rsidRPr="005C3B55">
              <w:rPr>
                <w:szCs w:val="24"/>
              </w:rPr>
              <w:t>Indicators from the plan of indicators, as determined in the EC’s recommendation for the preparation of the mentioned chapters, were considered by the MA in the intervention logic which was the basis for the strategy in sections 5.1 and 5.2.</w:t>
            </w:r>
          </w:p>
          <w:p w:rsidR="00BD3B5F" w:rsidRPr="005C3B55" w:rsidRDefault="00BD3B5F">
            <w:pPr>
              <w:spacing w:before="240" w:after="240"/>
              <w:jc w:val="left"/>
              <w:rPr>
                <w:noProof/>
                <w:szCs w:val="24"/>
              </w:rPr>
            </w:pPr>
            <w:r w:rsidRPr="005C3B55">
              <w:rPr>
                <w:szCs w:val="24"/>
              </w:rPr>
              <w:t>We did not determine expected results for individual measures, since these indicators are included in the plan of indicators that forms part of the strategy.</w:t>
            </w:r>
            <w:r w:rsidRPr="005C3B55">
              <w:rPr>
                <w:noProof/>
                <w:szCs w:val="24"/>
              </w:rPr>
              <w:t xml:space="preserve"> </w:t>
            </w:r>
            <w:r w:rsidRPr="005C3B55">
              <w:rPr>
                <w:szCs w:val="24"/>
              </w:rPr>
              <w:t>In the preparation of the text of measures, the instructions of the EC and the structure of chapters of the RDP 2014–2020 were used as the basis.</w:t>
            </w:r>
          </w:p>
          <w:p w:rsidR="00BD3B5F" w:rsidRPr="005C3B55" w:rsidRDefault="00BD3B5F">
            <w:pPr>
              <w:spacing w:before="240" w:after="240"/>
              <w:jc w:val="left"/>
              <w:rPr>
                <w:noProof/>
                <w:szCs w:val="24"/>
              </w:rPr>
            </w:pPr>
            <w:r w:rsidRPr="005C3B55">
              <w:rPr>
                <w:szCs w:val="24"/>
              </w:rPr>
              <w:t>Result indicators and other indicators (e.g. impact) are unified and structured at the EU level for all Member States.</w:t>
            </w:r>
            <w:r w:rsidRPr="005C3B55">
              <w:rPr>
                <w:noProof/>
                <w:szCs w:val="24"/>
              </w:rPr>
              <w:t xml:space="preserve"> </w:t>
            </w:r>
            <w:r w:rsidRPr="005C3B55">
              <w:rPr>
                <w:szCs w:val="24"/>
              </w:rPr>
              <w:t>The MA will also monitor the performance and efficiency of individual measures in the prescribed manner.</w:t>
            </w:r>
          </w:p>
          <w:p w:rsidR="00BD3B5F" w:rsidRPr="005C3B55" w:rsidRDefault="00BD3B5F">
            <w:pPr>
              <w:pStyle w:val="Telobesedila"/>
              <w:rPr>
                <w:szCs w:val="24"/>
              </w:rPr>
            </w:pPr>
          </w:p>
        </w:tc>
      </w:tr>
    </w:tbl>
    <w:p w:rsidR="00BD3B5F" w:rsidRPr="005C3B55" w:rsidRDefault="00BD3B5F">
      <w:pPr>
        <w:pStyle w:val="Naslov3"/>
        <w:tabs>
          <w:tab w:val="clear" w:pos="765"/>
        </w:tabs>
        <w:ind w:left="0" w:firstLine="0"/>
        <w:jc w:val="left"/>
        <w:rPr>
          <w:szCs w:val="24"/>
          <w:lang w:val="en-GB"/>
        </w:rPr>
      </w:pPr>
      <w:bookmarkStart w:id="26" w:name="_Toc416192484"/>
      <w:r w:rsidRPr="005C3B55">
        <w:rPr>
          <w:szCs w:val="24"/>
          <w:lang w:val="en-GB"/>
        </w:rPr>
        <w:t>Pasturing plan for farms included in measure M10</w:t>
      </w:r>
      <w:bookmarkEnd w:id="26"/>
    </w:p>
    <w:p w:rsidR="00BD3B5F" w:rsidRPr="005C3B55" w:rsidRDefault="00BD3B5F">
      <w:pPr>
        <w:rPr>
          <w:szCs w:val="24"/>
        </w:rPr>
      </w:pPr>
      <w:r w:rsidRPr="005C3B55">
        <w:rPr>
          <w:szCs w:val="24"/>
        </w:rPr>
        <w:t>Category of the recommendation: Special recommendations for strategic environmental impact assessment</w:t>
      </w:r>
    </w:p>
    <w:p w:rsidR="00BD3B5F" w:rsidRPr="005C3B55" w:rsidRDefault="00BD3B5F">
      <w:pPr>
        <w:rPr>
          <w:szCs w:val="24"/>
        </w:rPr>
      </w:pPr>
      <w:r w:rsidRPr="005C3B55">
        <w:rPr>
          <w:noProof/>
          <w:szCs w:val="24"/>
        </w:rPr>
        <w:t>Date:</w:t>
      </w:r>
      <w:r w:rsidRPr="005C3B55">
        <w:rPr>
          <w:szCs w:val="24"/>
        </w:rPr>
        <w:t xml:space="preserve"> </w:t>
      </w:r>
      <w:r w:rsidRPr="005C3B55">
        <w:rPr>
          <w:noProof/>
          <w:szCs w:val="24"/>
        </w:rPr>
        <w:t>20 August 2013</w:t>
      </w:r>
    </w:p>
    <w:p w:rsidR="00BD3B5F" w:rsidRPr="005C3B55" w:rsidRDefault="00BD3B5F">
      <w:pPr>
        <w:rPr>
          <w:szCs w:val="24"/>
        </w:rPr>
      </w:pPr>
      <w:r w:rsidRPr="005C3B55">
        <w:rPr>
          <w:szCs w:val="24"/>
        </w:rPr>
        <w:t>Subject: Preservation of rural landscape ecosystem</w:t>
      </w:r>
    </w:p>
    <w:p w:rsidR="00BD3B5F" w:rsidRPr="005C3B55" w:rsidRDefault="00BD3B5F">
      <w:pPr>
        <w:rPr>
          <w:szCs w:val="24"/>
        </w:rPr>
      </w:pPr>
      <w:r w:rsidRPr="005C3B55">
        <w:rPr>
          <w:szCs w:val="24"/>
        </w:rPr>
        <w:t>Description of the recommendation</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10656" w:type="dxa"/>
          </w:tcPr>
          <w:p w:rsidR="00BD3B5F" w:rsidRPr="005C3B55" w:rsidRDefault="00BD3B5F">
            <w:pPr>
              <w:spacing w:before="0" w:after="240"/>
              <w:jc w:val="left"/>
              <w:rPr>
                <w:noProof/>
                <w:szCs w:val="24"/>
              </w:rPr>
            </w:pPr>
            <w:r w:rsidRPr="005C3B55">
              <w:rPr>
                <w:szCs w:val="24"/>
              </w:rPr>
              <w:t>A pasturing plan must take into account the features and nature protection values for grassland (measures M04 and M06).</w:t>
            </w:r>
          </w:p>
          <w:p w:rsidR="00BD3B5F" w:rsidRPr="005C3B55" w:rsidRDefault="00BD3B5F">
            <w:pPr>
              <w:pStyle w:val="Telobesedila"/>
              <w:rPr>
                <w:szCs w:val="24"/>
              </w:rPr>
            </w:pPr>
          </w:p>
        </w:tc>
      </w:tr>
    </w:tbl>
    <w:p w:rsidR="00BD3B5F" w:rsidRPr="005C3B55" w:rsidRDefault="00BD3B5F">
      <w:pPr>
        <w:rPr>
          <w:szCs w:val="24"/>
        </w:rPr>
      </w:pPr>
      <w:r w:rsidRPr="005C3B55">
        <w:rPr>
          <w:szCs w:val="24"/>
        </w:rPr>
        <w:t>How the recommendation was addressed or justification as to why it was not observed</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10656" w:type="dxa"/>
          </w:tcPr>
          <w:p w:rsidR="00BD3B5F" w:rsidRPr="005C3B55" w:rsidRDefault="00BD3B5F">
            <w:pPr>
              <w:spacing w:before="0" w:after="240"/>
              <w:jc w:val="left"/>
              <w:rPr>
                <w:noProof/>
                <w:szCs w:val="24"/>
              </w:rPr>
            </w:pPr>
            <w:r w:rsidRPr="005C3B55">
              <w:rPr>
                <w:szCs w:val="24"/>
              </w:rPr>
              <w:t>It was observed.</w:t>
            </w:r>
          </w:p>
          <w:p w:rsidR="00BD3B5F" w:rsidRPr="005C3B55" w:rsidRDefault="00BD3B5F">
            <w:pPr>
              <w:spacing w:before="240" w:after="240"/>
              <w:jc w:val="left"/>
              <w:rPr>
                <w:noProof/>
                <w:szCs w:val="24"/>
              </w:rPr>
            </w:pPr>
            <w:r w:rsidRPr="005C3B55">
              <w:rPr>
                <w:szCs w:val="24"/>
              </w:rPr>
              <w:t>It will be considered within the implementing act.</w:t>
            </w:r>
          </w:p>
          <w:p w:rsidR="00BD3B5F" w:rsidRPr="005C3B55" w:rsidRDefault="00BD3B5F">
            <w:pPr>
              <w:pStyle w:val="Telobesedila"/>
              <w:rPr>
                <w:szCs w:val="24"/>
              </w:rPr>
            </w:pPr>
          </w:p>
        </w:tc>
      </w:tr>
    </w:tbl>
    <w:p w:rsidR="00BD3B5F" w:rsidRPr="005C3B55" w:rsidRDefault="00BD3B5F">
      <w:pPr>
        <w:pStyle w:val="Naslov3"/>
        <w:tabs>
          <w:tab w:val="clear" w:pos="765"/>
        </w:tabs>
        <w:ind w:left="0" w:firstLine="0"/>
        <w:jc w:val="left"/>
        <w:rPr>
          <w:szCs w:val="24"/>
          <w:lang w:val="en-GB"/>
        </w:rPr>
      </w:pPr>
      <w:bookmarkStart w:id="27" w:name="_Toc416192485"/>
      <w:r w:rsidRPr="005C3B55">
        <w:rPr>
          <w:szCs w:val="24"/>
          <w:lang w:val="en-GB"/>
        </w:rPr>
        <w:t>Promotion of quality schemes</w:t>
      </w:r>
      <w:bookmarkEnd w:id="27"/>
    </w:p>
    <w:p w:rsidR="00BD3B5F" w:rsidRPr="005C3B55" w:rsidRDefault="00BD3B5F">
      <w:pPr>
        <w:rPr>
          <w:szCs w:val="24"/>
        </w:rPr>
      </w:pPr>
      <w:r w:rsidRPr="005C3B55">
        <w:rPr>
          <w:szCs w:val="24"/>
        </w:rPr>
        <w:t>Category of the recommendation: Special recommendations for strategic environmental impact assessment</w:t>
      </w:r>
    </w:p>
    <w:p w:rsidR="00BD3B5F" w:rsidRPr="005C3B55" w:rsidRDefault="00BD3B5F">
      <w:pPr>
        <w:rPr>
          <w:szCs w:val="24"/>
        </w:rPr>
      </w:pPr>
      <w:r w:rsidRPr="005C3B55">
        <w:rPr>
          <w:noProof/>
          <w:szCs w:val="24"/>
        </w:rPr>
        <w:t>Date:</w:t>
      </w:r>
      <w:r w:rsidRPr="005C3B55">
        <w:rPr>
          <w:szCs w:val="24"/>
        </w:rPr>
        <w:t xml:space="preserve"> </w:t>
      </w:r>
      <w:r w:rsidRPr="005C3B55">
        <w:rPr>
          <w:noProof/>
          <w:szCs w:val="24"/>
        </w:rPr>
        <w:t>20 August 2013</w:t>
      </w:r>
    </w:p>
    <w:p w:rsidR="00BD3B5F" w:rsidRPr="005C3B55" w:rsidRDefault="00BD3B5F">
      <w:pPr>
        <w:rPr>
          <w:szCs w:val="24"/>
        </w:rPr>
      </w:pPr>
      <w:r w:rsidRPr="005C3B55">
        <w:rPr>
          <w:szCs w:val="24"/>
        </w:rPr>
        <w:t xml:space="preserve">Subject: </w:t>
      </w:r>
      <w:r w:rsidRPr="005C3B55">
        <w:rPr>
          <w:rStyle w:val="hps"/>
          <w:szCs w:val="24"/>
        </w:rPr>
        <w:t>Population and human health, soil, waters</w:t>
      </w:r>
      <w:r w:rsidRPr="005C3B55">
        <w:rPr>
          <w:szCs w:val="24"/>
        </w:rPr>
        <w:t xml:space="preserve"> </w:t>
      </w:r>
      <w:r w:rsidRPr="005C3B55">
        <w:rPr>
          <w:rStyle w:val="hps"/>
          <w:szCs w:val="24"/>
        </w:rPr>
        <w:t>(more efficient implementation</w:t>
      </w:r>
      <w:r w:rsidRPr="005C3B55">
        <w:rPr>
          <w:szCs w:val="24"/>
        </w:rPr>
        <w:t>)</w:t>
      </w:r>
    </w:p>
    <w:p w:rsidR="00BD3B5F" w:rsidRPr="005C3B55" w:rsidRDefault="00BD3B5F">
      <w:pPr>
        <w:rPr>
          <w:szCs w:val="24"/>
        </w:rPr>
      </w:pPr>
      <w:r w:rsidRPr="005C3B55">
        <w:rPr>
          <w:szCs w:val="24"/>
        </w:rPr>
        <w:t>Description of the recommendation</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10656" w:type="dxa"/>
          </w:tcPr>
          <w:p w:rsidR="00BD3B5F" w:rsidRPr="005C3B55" w:rsidRDefault="00BD3B5F">
            <w:pPr>
              <w:spacing w:before="0" w:after="240"/>
              <w:jc w:val="left"/>
              <w:rPr>
                <w:noProof/>
                <w:szCs w:val="24"/>
              </w:rPr>
            </w:pPr>
            <w:r w:rsidRPr="005C3B55">
              <w:rPr>
                <w:szCs w:val="24"/>
              </w:rPr>
              <w:t>Implementation of the promotion of quality schemes for producers and a wider target group, i.e. users of these products, to enhance the demand for these products (measures M03, M01, M02, M09 and M16).</w:t>
            </w:r>
          </w:p>
          <w:p w:rsidR="00BD3B5F" w:rsidRPr="005C3B55" w:rsidRDefault="00BD3B5F">
            <w:pPr>
              <w:pStyle w:val="Telobesedila"/>
              <w:rPr>
                <w:szCs w:val="24"/>
              </w:rPr>
            </w:pPr>
          </w:p>
        </w:tc>
      </w:tr>
    </w:tbl>
    <w:p w:rsidR="00BD3B5F" w:rsidRPr="005C3B55" w:rsidRDefault="00BD3B5F">
      <w:pPr>
        <w:rPr>
          <w:szCs w:val="24"/>
        </w:rPr>
      </w:pPr>
      <w:r w:rsidRPr="005C3B55">
        <w:rPr>
          <w:szCs w:val="24"/>
        </w:rPr>
        <w:t>How the recommendation was addressed or justification as to why it was not observed</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10656" w:type="dxa"/>
          </w:tcPr>
          <w:p w:rsidR="00BD3B5F" w:rsidRPr="005C3B55" w:rsidRDefault="00BD3B5F">
            <w:pPr>
              <w:spacing w:before="0" w:after="240"/>
              <w:jc w:val="left"/>
              <w:rPr>
                <w:noProof/>
                <w:szCs w:val="24"/>
              </w:rPr>
            </w:pPr>
            <w:r w:rsidRPr="005C3B55">
              <w:rPr>
                <w:szCs w:val="24"/>
              </w:rPr>
              <w:t>It was observed.</w:t>
            </w:r>
          </w:p>
          <w:p w:rsidR="00BD3B5F" w:rsidRPr="005C3B55" w:rsidRDefault="00BD3B5F">
            <w:pPr>
              <w:spacing w:before="240" w:after="240"/>
              <w:jc w:val="left"/>
              <w:rPr>
                <w:noProof/>
                <w:szCs w:val="24"/>
              </w:rPr>
            </w:pPr>
            <w:r w:rsidRPr="005C3B55">
              <w:rPr>
                <w:szCs w:val="24"/>
              </w:rPr>
              <w:t>The promotion of quality schemes will be possible under measures M03 and M16 within which the promotion of short supply chains and local markets may be supported.</w:t>
            </w:r>
          </w:p>
          <w:p w:rsidR="00BD3B5F" w:rsidRPr="005C3B55" w:rsidRDefault="00BD3B5F">
            <w:pPr>
              <w:spacing w:before="240" w:after="240"/>
              <w:jc w:val="left"/>
              <w:rPr>
                <w:noProof/>
                <w:szCs w:val="24"/>
              </w:rPr>
            </w:pPr>
            <w:r w:rsidRPr="005C3B55">
              <w:rPr>
                <w:szCs w:val="24"/>
              </w:rPr>
              <w:t>Training for measures M14, M10 and M11 will be prioritised under measures M01 and M02.</w:t>
            </w:r>
          </w:p>
          <w:p w:rsidR="00BD3B5F" w:rsidRPr="005C3B55" w:rsidRDefault="00BD3B5F">
            <w:pPr>
              <w:pStyle w:val="Telobesedila"/>
              <w:rPr>
                <w:szCs w:val="24"/>
              </w:rPr>
            </w:pPr>
          </w:p>
        </w:tc>
      </w:tr>
    </w:tbl>
    <w:p w:rsidR="00BD3B5F" w:rsidRPr="005C3B55" w:rsidRDefault="00BD3B5F">
      <w:pPr>
        <w:pStyle w:val="Naslov3"/>
        <w:tabs>
          <w:tab w:val="clear" w:pos="765"/>
        </w:tabs>
        <w:ind w:left="0" w:firstLine="0"/>
        <w:jc w:val="left"/>
        <w:rPr>
          <w:szCs w:val="24"/>
          <w:lang w:val="en-GB"/>
        </w:rPr>
      </w:pPr>
      <w:bookmarkStart w:id="28" w:name="_Toc416192486"/>
      <w:r w:rsidRPr="005C3B55">
        <w:rPr>
          <w:szCs w:val="24"/>
          <w:lang w:val="en-GB"/>
        </w:rPr>
        <w:t>Spatial criteria for the selection of projects in measures for investments in infrastructure</w:t>
      </w:r>
      <w:bookmarkEnd w:id="28"/>
    </w:p>
    <w:p w:rsidR="00BD3B5F" w:rsidRPr="005C3B55" w:rsidRDefault="00BD3B5F">
      <w:pPr>
        <w:rPr>
          <w:szCs w:val="24"/>
        </w:rPr>
      </w:pPr>
      <w:r w:rsidRPr="005C3B55">
        <w:rPr>
          <w:szCs w:val="24"/>
        </w:rPr>
        <w:t>Category of the recommendation: Special recommendations for strategic environmental impact assessment</w:t>
      </w:r>
    </w:p>
    <w:p w:rsidR="00BD3B5F" w:rsidRPr="005C3B55" w:rsidRDefault="00BD3B5F">
      <w:pPr>
        <w:rPr>
          <w:szCs w:val="24"/>
        </w:rPr>
      </w:pPr>
      <w:r w:rsidRPr="005C3B55">
        <w:rPr>
          <w:noProof/>
          <w:szCs w:val="24"/>
        </w:rPr>
        <w:t>Date:</w:t>
      </w:r>
      <w:r w:rsidRPr="005C3B55">
        <w:rPr>
          <w:szCs w:val="24"/>
        </w:rPr>
        <w:t xml:space="preserve"> </w:t>
      </w:r>
      <w:r w:rsidRPr="005C3B55">
        <w:rPr>
          <w:noProof/>
          <w:szCs w:val="24"/>
        </w:rPr>
        <w:t>20 August 2013</w:t>
      </w:r>
    </w:p>
    <w:p w:rsidR="00BD3B5F" w:rsidRPr="005C3B55" w:rsidRDefault="00BD3B5F">
      <w:pPr>
        <w:rPr>
          <w:szCs w:val="24"/>
        </w:rPr>
      </w:pPr>
      <w:r w:rsidRPr="005C3B55">
        <w:rPr>
          <w:szCs w:val="24"/>
        </w:rPr>
        <w:t>Subject: Spatial planning of impacts on waters</w:t>
      </w:r>
    </w:p>
    <w:p w:rsidR="00BD3B5F" w:rsidRPr="005C3B55" w:rsidRDefault="00BD3B5F">
      <w:pPr>
        <w:rPr>
          <w:szCs w:val="24"/>
        </w:rPr>
      </w:pPr>
      <w:r w:rsidRPr="005C3B55">
        <w:rPr>
          <w:szCs w:val="24"/>
        </w:rPr>
        <w:t>Description of the recommendation</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10656" w:type="dxa"/>
          </w:tcPr>
          <w:p w:rsidR="00BD3B5F" w:rsidRPr="005C3B55" w:rsidRDefault="00BD3B5F">
            <w:pPr>
              <w:spacing w:before="0" w:after="240"/>
              <w:jc w:val="left"/>
              <w:rPr>
                <w:noProof/>
                <w:szCs w:val="24"/>
              </w:rPr>
            </w:pPr>
            <w:r w:rsidRPr="005C3B55">
              <w:rPr>
                <w:szCs w:val="24"/>
              </w:rPr>
              <w:t>The selection criteria may focus on areas of three water bodies in poor condition in order to achieve higher impact of groundwater (measures M04 and M06).</w:t>
            </w:r>
          </w:p>
          <w:p w:rsidR="00BD3B5F" w:rsidRPr="005C3B55" w:rsidRDefault="00BD3B5F">
            <w:pPr>
              <w:pStyle w:val="Telobesedila"/>
              <w:rPr>
                <w:szCs w:val="24"/>
              </w:rPr>
            </w:pPr>
          </w:p>
        </w:tc>
      </w:tr>
    </w:tbl>
    <w:p w:rsidR="00BD3B5F" w:rsidRPr="005C3B55" w:rsidRDefault="00BD3B5F">
      <w:pPr>
        <w:rPr>
          <w:szCs w:val="24"/>
        </w:rPr>
      </w:pPr>
      <w:r w:rsidRPr="005C3B55">
        <w:rPr>
          <w:szCs w:val="24"/>
        </w:rPr>
        <w:t>How the recommendation was addressed or justification as to why it was not observed</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10656" w:type="dxa"/>
          </w:tcPr>
          <w:p w:rsidR="00BD3B5F" w:rsidRPr="005C3B55" w:rsidRDefault="00BD3B5F">
            <w:pPr>
              <w:spacing w:before="0" w:after="240"/>
              <w:jc w:val="left"/>
              <w:rPr>
                <w:noProof/>
                <w:szCs w:val="24"/>
              </w:rPr>
            </w:pPr>
            <w:r w:rsidRPr="005C3B55">
              <w:rPr>
                <w:szCs w:val="24"/>
              </w:rPr>
              <w:t>It was observed.</w:t>
            </w:r>
          </w:p>
          <w:p w:rsidR="00BD3B5F" w:rsidRPr="005C3B55" w:rsidRDefault="00BD3B5F">
            <w:pPr>
              <w:spacing w:before="240" w:after="240"/>
              <w:jc w:val="left"/>
              <w:rPr>
                <w:noProof/>
                <w:szCs w:val="24"/>
              </w:rPr>
            </w:pPr>
            <w:r w:rsidRPr="005C3B55">
              <w:rPr>
                <w:szCs w:val="24"/>
              </w:rPr>
              <w:t>The selection criteria will be adapted to Article 49 of Regulation (EU) No 1305/2013.</w:t>
            </w:r>
          </w:p>
          <w:p w:rsidR="00BD3B5F" w:rsidRPr="005C3B55" w:rsidRDefault="00BD3B5F">
            <w:pPr>
              <w:pStyle w:val="Telobesedila"/>
              <w:rPr>
                <w:szCs w:val="24"/>
              </w:rPr>
            </w:pPr>
          </w:p>
        </w:tc>
      </w:tr>
    </w:tbl>
    <w:p w:rsidR="00BD3B5F" w:rsidRPr="005C3B55" w:rsidRDefault="00BD3B5F">
      <w:pPr>
        <w:pStyle w:val="Naslov3"/>
        <w:tabs>
          <w:tab w:val="clear" w:pos="765"/>
        </w:tabs>
        <w:ind w:left="0" w:firstLine="0"/>
        <w:jc w:val="left"/>
        <w:rPr>
          <w:szCs w:val="24"/>
          <w:lang w:val="en-GB"/>
        </w:rPr>
      </w:pPr>
      <w:bookmarkStart w:id="29" w:name="_Toc416192487"/>
      <w:r w:rsidRPr="005C3B55">
        <w:rPr>
          <w:szCs w:val="24"/>
          <w:lang w:val="en-GB"/>
        </w:rPr>
        <w:t>Spatial planning</w:t>
      </w:r>
      <w:bookmarkEnd w:id="29"/>
    </w:p>
    <w:p w:rsidR="00BD3B5F" w:rsidRPr="005C3B55" w:rsidRDefault="00BD3B5F">
      <w:pPr>
        <w:rPr>
          <w:szCs w:val="24"/>
        </w:rPr>
      </w:pPr>
      <w:r w:rsidRPr="005C3B55">
        <w:rPr>
          <w:szCs w:val="24"/>
        </w:rPr>
        <w:t>Category of the recommendation: Special recommendations for strategic environmental impact assessment</w:t>
      </w:r>
    </w:p>
    <w:p w:rsidR="00BD3B5F" w:rsidRPr="005C3B55" w:rsidRDefault="00BD3B5F">
      <w:pPr>
        <w:rPr>
          <w:szCs w:val="24"/>
        </w:rPr>
      </w:pPr>
      <w:r w:rsidRPr="005C3B55">
        <w:rPr>
          <w:noProof/>
          <w:szCs w:val="24"/>
        </w:rPr>
        <w:t>Date:</w:t>
      </w:r>
      <w:r w:rsidRPr="005C3B55">
        <w:rPr>
          <w:szCs w:val="24"/>
        </w:rPr>
        <w:t xml:space="preserve"> </w:t>
      </w:r>
      <w:r w:rsidRPr="005C3B55">
        <w:rPr>
          <w:noProof/>
          <w:szCs w:val="24"/>
        </w:rPr>
        <w:t>20 August 2013</w:t>
      </w:r>
    </w:p>
    <w:p w:rsidR="00BD3B5F" w:rsidRPr="005C3B55" w:rsidRDefault="00BD3B5F">
      <w:pPr>
        <w:rPr>
          <w:szCs w:val="24"/>
        </w:rPr>
      </w:pPr>
      <w:r w:rsidRPr="005C3B55">
        <w:rPr>
          <w:szCs w:val="24"/>
        </w:rPr>
        <w:t>Subject: Waters</w:t>
      </w:r>
    </w:p>
    <w:p w:rsidR="00BD3B5F" w:rsidRPr="005C3B55" w:rsidRDefault="00BD3B5F">
      <w:pPr>
        <w:rPr>
          <w:szCs w:val="24"/>
        </w:rPr>
      </w:pPr>
      <w:r w:rsidRPr="005C3B55">
        <w:rPr>
          <w:szCs w:val="24"/>
        </w:rPr>
        <w:t>Description of the recommendation</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10656" w:type="dxa"/>
          </w:tcPr>
          <w:p w:rsidR="00BD3B5F" w:rsidRPr="005C3B55" w:rsidRDefault="00BD3B5F">
            <w:pPr>
              <w:spacing w:before="0" w:after="240"/>
              <w:jc w:val="left"/>
              <w:rPr>
                <w:noProof/>
                <w:szCs w:val="24"/>
              </w:rPr>
            </w:pPr>
            <w:r w:rsidRPr="005C3B55">
              <w:rPr>
                <w:rStyle w:val="hps"/>
                <w:szCs w:val="24"/>
              </w:rPr>
              <w:t>The drafting of detailed guidelines (similar to those for biodiversity) and the selection of locations where most schemes are intended for the protection of water sources –</w:t>
            </w:r>
            <w:r w:rsidRPr="005C3B55">
              <w:rPr>
                <w:szCs w:val="24"/>
              </w:rPr>
              <w:t xml:space="preserve"> in three priority areas of water bodies with a poor chemical status (measure M10).</w:t>
            </w:r>
          </w:p>
          <w:p w:rsidR="00BD3B5F" w:rsidRPr="005C3B55" w:rsidRDefault="00BD3B5F">
            <w:pPr>
              <w:pStyle w:val="Telobesedila"/>
              <w:rPr>
                <w:szCs w:val="24"/>
              </w:rPr>
            </w:pPr>
          </w:p>
        </w:tc>
      </w:tr>
    </w:tbl>
    <w:p w:rsidR="00BD3B5F" w:rsidRPr="005C3B55" w:rsidRDefault="00BD3B5F">
      <w:pPr>
        <w:rPr>
          <w:szCs w:val="24"/>
        </w:rPr>
      </w:pPr>
      <w:r w:rsidRPr="005C3B55">
        <w:rPr>
          <w:szCs w:val="24"/>
        </w:rPr>
        <w:t>How the recommendation was addressed or justification as to why it was not observed</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10656" w:type="dxa"/>
          </w:tcPr>
          <w:p w:rsidR="00BD3B5F" w:rsidRPr="005C3B55" w:rsidRDefault="00BD3B5F">
            <w:pPr>
              <w:spacing w:before="0" w:after="240"/>
              <w:jc w:val="left"/>
              <w:rPr>
                <w:noProof/>
                <w:szCs w:val="24"/>
              </w:rPr>
            </w:pPr>
            <w:r w:rsidRPr="005C3B55">
              <w:rPr>
                <w:szCs w:val="24"/>
              </w:rPr>
              <w:t>It was partially observed.</w:t>
            </w:r>
          </w:p>
          <w:p w:rsidR="00BD3B5F" w:rsidRPr="005C3B55" w:rsidRDefault="00BD3B5F">
            <w:pPr>
              <w:spacing w:before="240" w:after="240"/>
              <w:jc w:val="left"/>
              <w:rPr>
                <w:noProof/>
                <w:szCs w:val="24"/>
              </w:rPr>
            </w:pPr>
            <w:r w:rsidRPr="005C3B55">
              <w:rPr>
                <w:szCs w:val="24"/>
              </w:rPr>
              <w:t>The general description of measure M10 states that support will also be target-oriented to areas problematic from the aspect of pollution of agricultural origin (catchment areas of surface water bodies or groundwater bodies referred to in the Water Management Plan in which objectives specified by the Water Framework Directive will not be attained).</w:t>
            </w:r>
            <w:r w:rsidRPr="005C3B55">
              <w:rPr>
                <w:noProof/>
                <w:szCs w:val="24"/>
              </w:rPr>
              <w:t xml:space="preserve"> </w:t>
            </w:r>
            <w:r w:rsidRPr="005C3B55">
              <w:rPr>
                <w:szCs w:val="24"/>
              </w:rPr>
              <w:t>A special operation under measure M10 ‘Protection of water sources’ was drafted for these areas.</w:t>
            </w:r>
          </w:p>
          <w:p w:rsidR="00BD3B5F" w:rsidRPr="005C3B55" w:rsidRDefault="00BD3B5F">
            <w:pPr>
              <w:pStyle w:val="Telobesedila"/>
              <w:rPr>
                <w:szCs w:val="24"/>
              </w:rPr>
            </w:pPr>
          </w:p>
        </w:tc>
      </w:tr>
    </w:tbl>
    <w:p w:rsidR="00BD3B5F" w:rsidRPr="005C3B55" w:rsidRDefault="00BD3B5F">
      <w:pPr>
        <w:pStyle w:val="Naslov3"/>
        <w:tabs>
          <w:tab w:val="clear" w:pos="765"/>
        </w:tabs>
        <w:ind w:left="0" w:firstLine="0"/>
        <w:jc w:val="left"/>
        <w:rPr>
          <w:szCs w:val="24"/>
          <w:lang w:val="en-GB"/>
        </w:rPr>
      </w:pPr>
      <w:bookmarkStart w:id="30" w:name="_Toc416192488"/>
      <w:r w:rsidRPr="005C3B55">
        <w:rPr>
          <w:szCs w:val="24"/>
          <w:lang w:val="en-GB"/>
        </w:rPr>
        <w:t>Delimitations among funds</w:t>
      </w:r>
      <w:bookmarkEnd w:id="30"/>
    </w:p>
    <w:p w:rsidR="00BD3B5F" w:rsidRPr="005C3B55" w:rsidRDefault="00BD3B5F">
      <w:pPr>
        <w:rPr>
          <w:szCs w:val="24"/>
        </w:rPr>
      </w:pPr>
      <w:r w:rsidRPr="005C3B55">
        <w:rPr>
          <w:szCs w:val="24"/>
        </w:rPr>
        <w:t>Category of the recommendation: Establishment of the logic for action</w:t>
      </w:r>
    </w:p>
    <w:p w:rsidR="00BD3B5F" w:rsidRPr="005C3B55" w:rsidRDefault="00BD3B5F">
      <w:pPr>
        <w:rPr>
          <w:szCs w:val="24"/>
        </w:rPr>
      </w:pPr>
      <w:r w:rsidRPr="005C3B55">
        <w:rPr>
          <w:noProof/>
          <w:szCs w:val="24"/>
        </w:rPr>
        <w:t>Date:</w:t>
      </w:r>
      <w:r w:rsidRPr="005C3B55">
        <w:rPr>
          <w:szCs w:val="24"/>
        </w:rPr>
        <w:t xml:space="preserve"> </w:t>
      </w:r>
      <w:r w:rsidRPr="005C3B55">
        <w:rPr>
          <w:noProof/>
          <w:szCs w:val="24"/>
        </w:rPr>
        <w:t>9 December 2013</w:t>
      </w:r>
    </w:p>
    <w:p w:rsidR="00BD3B5F" w:rsidRPr="005C3B55" w:rsidRDefault="00BD3B5F">
      <w:pPr>
        <w:rPr>
          <w:szCs w:val="24"/>
        </w:rPr>
      </w:pPr>
      <w:r w:rsidRPr="005C3B55">
        <w:rPr>
          <w:szCs w:val="24"/>
        </w:rPr>
        <w:t>Subject: External harmonisation</w:t>
      </w:r>
    </w:p>
    <w:p w:rsidR="00BD3B5F" w:rsidRPr="005C3B55" w:rsidRDefault="00BD3B5F">
      <w:pPr>
        <w:rPr>
          <w:szCs w:val="24"/>
        </w:rPr>
      </w:pPr>
      <w:r w:rsidRPr="005C3B55">
        <w:rPr>
          <w:szCs w:val="24"/>
        </w:rPr>
        <w:t>Description of the recommendation</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10656" w:type="dxa"/>
          </w:tcPr>
          <w:p w:rsidR="00BD3B5F" w:rsidRPr="005C3B55" w:rsidRDefault="00BD3B5F">
            <w:pPr>
              <w:spacing w:before="0" w:after="240"/>
              <w:jc w:val="left"/>
              <w:rPr>
                <w:noProof/>
                <w:szCs w:val="24"/>
              </w:rPr>
            </w:pPr>
            <w:r w:rsidRPr="005C3B55">
              <w:rPr>
                <w:szCs w:val="24"/>
              </w:rPr>
              <w:t>We would like to propose additional clarification of the delimitation of support from the EAFRD and the support on the basis of the OP for cohesion policy, especially in connection with development projects (under Article 18(1)b) with the purpose of stimulating synergies and preventing double financing, and in connection with the construction of road infrastructure (under Article 18(1)c), i.e. the exclusion of the development of forest infrastructure from such support based on the OP.</w:t>
            </w:r>
          </w:p>
          <w:p w:rsidR="00BD3B5F" w:rsidRPr="005C3B55" w:rsidRDefault="00BD3B5F">
            <w:pPr>
              <w:pStyle w:val="Telobesedila"/>
              <w:rPr>
                <w:szCs w:val="24"/>
              </w:rPr>
            </w:pPr>
          </w:p>
        </w:tc>
      </w:tr>
    </w:tbl>
    <w:p w:rsidR="00BD3B5F" w:rsidRPr="005C3B55" w:rsidRDefault="00BD3B5F">
      <w:pPr>
        <w:rPr>
          <w:szCs w:val="24"/>
        </w:rPr>
      </w:pPr>
      <w:r w:rsidRPr="005C3B55">
        <w:rPr>
          <w:szCs w:val="24"/>
        </w:rPr>
        <w:t>How the recommendation was addressed or justification as to why it was not observed</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10656" w:type="dxa"/>
          </w:tcPr>
          <w:p w:rsidR="00BD3B5F" w:rsidRPr="005C3B55" w:rsidRDefault="00BD3B5F">
            <w:pPr>
              <w:spacing w:before="0" w:after="240"/>
              <w:jc w:val="left"/>
              <w:rPr>
                <w:noProof/>
                <w:szCs w:val="24"/>
              </w:rPr>
            </w:pPr>
            <w:r w:rsidRPr="005C3B55">
              <w:rPr>
                <w:szCs w:val="24"/>
              </w:rPr>
              <w:t>It was partially observed.</w:t>
            </w:r>
          </w:p>
          <w:p w:rsidR="00BD3B5F" w:rsidRPr="005C3B55" w:rsidRDefault="00BD3B5F">
            <w:pPr>
              <w:spacing w:before="240" w:after="240"/>
              <w:jc w:val="left"/>
              <w:rPr>
                <w:noProof/>
                <w:szCs w:val="24"/>
              </w:rPr>
            </w:pPr>
            <w:r w:rsidRPr="005C3B55">
              <w:rPr>
                <w:szCs w:val="24"/>
              </w:rPr>
              <w:t>In chapters 5.1 and 5.2 that determine the strategy by considering the intervention logic, emphasis was put on ensuring external harmonisation with the ESI funds in accordance with the EC’s instructions.</w:t>
            </w:r>
          </w:p>
          <w:p w:rsidR="00BD3B5F" w:rsidRPr="005C3B55" w:rsidRDefault="00BD3B5F">
            <w:pPr>
              <w:spacing w:before="240" w:after="240"/>
              <w:jc w:val="left"/>
              <w:rPr>
                <w:noProof/>
                <w:szCs w:val="24"/>
              </w:rPr>
            </w:pPr>
            <w:r w:rsidRPr="005C3B55">
              <w:rPr>
                <w:szCs w:val="24"/>
              </w:rPr>
              <w:t>These two specific areas of investment were not exposed to intervention logic, since, considering the delimitation with other ESI funds, the mentioned areas will not be entitled to investments in other ESI funds.</w:t>
            </w:r>
          </w:p>
          <w:p w:rsidR="00BD3B5F" w:rsidRPr="005C3B55" w:rsidRDefault="00BD3B5F">
            <w:pPr>
              <w:pStyle w:val="Telobesedila"/>
              <w:rPr>
                <w:szCs w:val="24"/>
              </w:rPr>
            </w:pPr>
          </w:p>
        </w:tc>
      </w:tr>
    </w:tbl>
    <w:p w:rsidR="00BD3B5F" w:rsidRPr="005C3B55" w:rsidRDefault="00BD3B5F">
      <w:pPr>
        <w:pStyle w:val="Naslov3"/>
        <w:tabs>
          <w:tab w:val="clear" w:pos="765"/>
        </w:tabs>
        <w:ind w:left="0" w:firstLine="0"/>
        <w:jc w:val="left"/>
        <w:rPr>
          <w:szCs w:val="24"/>
          <w:lang w:val="en-GB"/>
        </w:rPr>
      </w:pPr>
      <w:bookmarkStart w:id="31" w:name="_Toc416192489"/>
      <w:r w:rsidRPr="005C3B55">
        <w:rPr>
          <w:szCs w:val="24"/>
          <w:lang w:val="en-GB"/>
        </w:rPr>
        <w:t>Indicator-related guidelines</w:t>
      </w:r>
      <w:bookmarkEnd w:id="31"/>
    </w:p>
    <w:p w:rsidR="00BD3B5F" w:rsidRPr="005C3B55" w:rsidRDefault="00BD3B5F">
      <w:pPr>
        <w:rPr>
          <w:szCs w:val="24"/>
        </w:rPr>
      </w:pPr>
      <w:r w:rsidRPr="005C3B55">
        <w:rPr>
          <w:szCs w:val="24"/>
        </w:rPr>
        <w:t>Category of the recommendation: Setting of objectives, allocation of funds granted</w:t>
      </w:r>
    </w:p>
    <w:p w:rsidR="00BD3B5F" w:rsidRPr="005C3B55" w:rsidRDefault="00BD3B5F">
      <w:pPr>
        <w:rPr>
          <w:szCs w:val="24"/>
        </w:rPr>
      </w:pPr>
      <w:r w:rsidRPr="005C3B55">
        <w:rPr>
          <w:noProof/>
          <w:szCs w:val="24"/>
        </w:rPr>
        <w:t>Date:</w:t>
      </w:r>
      <w:r w:rsidRPr="005C3B55">
        <w:rPr>
          <w:szCs w:val="24"/>
        </w:rPr>
        <w:t xml:space="preserve"> </w:t>
      </w:r>
      <w:r w:rsidRPr="005C3B55">
        <w:rPr>
          <w:noProof/>
          <w:szCs w:val="24"/>
        </w:rPr>
        <w:t>9 December 2013</w:t>
      </w:r>
    </w:p>
    <w:p w:rsidR="00BD3B5F" w:rsidRPr="005C3B55" w:rsidRDefault="00BD3B5F">
      <w:pPr>
        <w:rPr>
          <w:szCs w:val="24"/>
        </w:rPr>
      </w:pPr>
      <w:r w:rsidRPr="005C3B55">
        <w:rPr>
          <w:szCs w:val="24"/>
        </w:rPr>
        <w:t>Subject: Target indicators</w:t>
      </w:r>
    </w:p>
    <w:p w:rsidR="00BD3B5F" w:rsidRPr="005C3B55" w:rsidRDefault="00BD3B5F">
      <w:pPr>
        <w:rPr>
          <w:szCs w:val="24"/>
        </w:rPr>
      </w:pPr>
      <w:r w:rsidRPr="005C3B55">
        <w:rPr>
          <w:szCs w:val="24"/>
        </w:rPr>
        <w:t>Description of the recommendation</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10656" w:type="dxa"/>
          </w:tcPr>
          <w:p w:rsidR="00BD3B5F" w:rsidRPr="005C3B55" w:rsidRDefault="00BD3B5F">
            <w:pPr>
              <w:spacing w:before="0" w:after="240"/>
              <w:jc w:val="left"/>
              <w:rPr>
                <w:noProof/>
                <w:szCs w:val="24"/>
              </w:rPr>
            </w:pPr>
            <w:r w:rsidRPr="005C3B55">
              <w:rPr>
                <w:szCs w:val="24"/>
              </w:rPr>
              <w:t>To prevent potential problems in calculating target indicators, we suggest the preparation of ‘guidelines in connection with indicators’ for internal use with practical instructions regarding the system of indicators and a presentation on how to distribute values estimated at the level of sub-measures and among different programmed focus areas.</w:t>
            </w:r>
          </w:p>
          <w:p w:rsidR="00BD3B5F" w:rsidRPr="005C3B55" w:rsidRDefault="00BD3B5F">
            <w:pPr>
              <w:pStyle w:val="Telobesedila"/>
              <w:rPr>
                <w:szCs w:val="24"/>
              </w:rPr>
            </w:pPr>
          </w:p>
        </w:tc>
      </w:tr>
    </w:tbl>
    <w:p w:rsidR="00BD3B5F" w:rsidRPr="005C3B55" w:rsidRDefault="00BD3B5F">
      <w:pPr>
        <w:rPr>
          <w:szCs w:val="24"/>
        </w:rPr>
      </w:pPr>
      <w:r w:rsidRPr="005C3B55">
        <w:rPr>
          <w:szCs w:val="24"/>
        </w:rPr>
        <w:t>How the recommendation was addressed or justification as to why it was not observed</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10656" w:type="dxa"/>
          </w:tcPr>
          <w:p w:rsidR="00BD3B5F" w:rsidRPr="005C3B55" w:rsidRDefault="00BD3B5F">
            <w:pPr>
              <w:spacing w:before="0" w:after="240"/>
              <w:jc w:val="left"/>
              <w:rPr>
                <w:noProof/>
                <w:szCs w:val="24"/>
              </w:rPr>
            </w:pPr>
            <w:r w:rsidRPr="005C3B55">
              <w:rPr>
                <w:szCs w:val="24"/>
              </w:rPr>
              <w:t>It was observed.</w:t>
            </w:r>
          </w:p>
          <w:p w:rsidR="00BD3B5F" w:rsidRPr="005C3B55" w:rsidRDefault="00BD3B5F">
            <w:pPr>
              <w:spacing w:before="240" w:after="240"/>
              <w:jc w:val="left"/>
              <w:rPr>
                <w:noProof/>
                <w:szCs w:val="24"/>
              </w:rPr>
            </w:pPr>
            <w:r w:rsidRPr="005C3B55">
              <w:rPr>
                <w:szCs w:val="24"/>
              </w:rPr>
              <w:t>The MA will prepare special technical sheets of indicators for internal needs by determining all indicators and their explanations, which will be added to the instructions of the MA for monitoring and evaluating the Rural Development Programme of the Republic of Slovenia 2014-2020.</w:t>
            </w:r>
          </w:p>
          <w:p w:rsidR="00BD3B5F" w:rsidRPr="005C3B55" w:rsidRDefault="00BD3B5F">
            <w:pPr>
              <w:pStyle w:val="Telobesedila"/>
              <w:rPr>
                <w:szCs w:val="24"/>
              </w:rPr>
            </w:pPr>
          </w:p>
        </w:tc>
      </w:tr>
    </w:tbl>
    <w:p w:rsidR="00BD3B5F" w:rsidRPr="005C3B55" w:rsidRDefault="00BD3B5F">
      <w:pPr>
        <w:pStyle w:val="Naslov3"/>
        <w:tabs>
          <w:tab w:val="clear" w:pos="765"/>
        </w:tabs>
        <w:ind w:left="0" w:firstLine="0"/>
        <w:jc w:val="left"/>
        <w:rPr>
          <w:szCs w:val="24"/>
          <w:lang w:val="en-GB"/>
        </w:rPr>
      </w:pPr>
      <w:bookmarkStart w:id="32" w:name="_Toc416192490"/>
      <w:r w:rsidRPr="005C3B55">
        <w:rPr>
          <w:szCs w:val="24"/>
          <w:lang w:val="en-GB"/>
        </w:rPr>
        <w:t>Monitoring of the quality of services for the implementation of adaptation measures</w:t>
      </w:r>
      <w:bookmarkEnd w:id="32"/>
    </w:p>
    <w:p w:rsidR="00BD3B5F" w:rsidRPr="005C3B55" w:rsidRDefault="00BD3B5F">
      <w:pPr>
        <w:rPr>
          <w:szCs w:val="24"/>
        </w:rPr>
      </w:pPr>
      <w:r w:rsidRPr="005C3B55">
        <w:rPr>
          <w:szCs w:val="24"/>
        </w:rPr>
        <w:t>Category of the recommendation: Special recommendations for strategic environmental impact assessment</w:t>
      </w:r>
    </w:p>
    <w:p w:rsidR="00BD3B5F" w:rsidRPr="005C3B55" w:rsidRDefault="00BD3B5F">
      <w:pPr>
        <w:rPr>
          <w:szCs w:val="24"/>
        </w:rPr>
      </w:pPr>
      <w:r w:rsidRPr="005C3B55">
        <w:rPr>
          <w:noProof/>
          <w:szCs w:val="24"/>
        </w:rPr>
        <w:t>Date:</w:t>
      </w:r>
      <w:r w:rsidRPr="005C3B55">
        <w:rPr>
          <w:szCs w:val="24"/>
        </w:rPr>
        <w:t xml:space="preserve"> </w:t>
      </w:r>
      <w:r w:rsidRPr="005C3B55">
        <w:rPr>
          <w:noProof/>
          <w:szCs w:val="24"/>
        </w:rPr>
        <w:t>20 August 2013</w:t>
      </w:r>
    </w:p>
    <w:p w:rsidR="00BD3B5F" w:rsidRPr="005C3B55" w:rsidRDefault="00BD3B5F">
      <w:pPr>
        <w:rPr>
          <w:szCs w:val="24"/>
        </w:rPr>
      </w:pPr>
      <w:r w:rsidRPr="005C3B55">
        <w:rPr>
          <w:szCs w:val="24"/>
        </w:rPr>
        <w:t>Subject: Transfer of knowledge and capacity enhancement</w:t>
      </w:r>
    </w:p>
    <w:p w:rsidR="00BD3B5F" w:rsidRPr="005C3B55" w:rsidRDefault="00BD3B5F">
      <w:pPr>
        <w:rPr>
          <w:szCs w:val="24"/>
        </w:rPr>
      </w:pPr>
      <w:r w:rsidRPr="005C3B55">
        <w:rPr>
          <w:szCs w:val="24"/>
        </w:rPr>
        <w:t>Description of the recommendation</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10656" w:type="dxa"/>
          </w:tcPr>
          <w:p w:rsidR="00BD3B5F" w:rsidRPr="005C3B55" w:rsidRDefault="00BD3B5F">
            <w:pPr>
              <w:spacing w:before="0" w:after="240"/>
              <w:jc w:val="left"/>
              <w:rPr>
                <w:noProof/>
                <w:szCs w:val="24"/>
              </w:rPr>
            </w:pPr>
            <w:r w:rsidRPr="005C3B55">
              <w:rPr>
                <w:rStyle w:val="hps"/>
                <w:szCs w:val="24"/>
              </w:rPr>
              <w:t>The planned perspectives to be considered in the monitoring of knowledge transfer quality</w:t>
            </w:r>
            <w:r w:rsidRPr="005C3B55">
              <w:rPr>
                <w:szCs w:val="24"/>
              </w:rPr>
              <w:t>:</w:t>
            </w:r>
          </w:p>
          <w:p w:rsidR="00BD3B5F" w:rsidRPr="005C3B55" w:rsidRDefault="00BD3B5F">
            <w:pPr>
              <w:spacing w:before="240" w:after="240"/>
              <w:jc w:val="left"/>
              <w:rPr>
                <w:noProof/>
                <w:szCs w:val="24"/>
              </w:rPr>
            </w:pPr>
            <w:r w:rsidRPr="005C3B55">
              <w:rPr>
                <w:szCs w:val="24"/>
              </w:rPr>
              <w:t xml:space="preserve">• </w:t>
            </w:r>
            <w:r w:rsidRPr="005C3B55">
              <w:rPr>
                <w:rStyle w:val="hps"/>
                <w:szCs w:val="24"/>
              </w:rPr>
              <w:t>quantitative</w:t>
            </w:r>
            <w:r w:rsidRPr="005C3B55">
              <w:rPr>
                <w:szCs w:val="24"/>
              </w:rPr>
              <w:t xml:space="preserve"> </w:t>
            </w:r>
            <w:r w:rsidRPr="005C3B55">
              <w:rPr>
                <w:rStyle w:val="hps"/>
                <w:szCs w:val="24"/>
              </w:rPr>
              <w:t>(by comparing and analysing data collected by the AAMRD</w:t>
            </w:r>
            <w:r w:rsidRPr="005C3B55">
              <w:rPr>
                <w:szCs w:val="24"/>
              </w:rPr>
              <w:t xml:space="preserve"> and by evaluation), and</w:t>
            </w:r>
          </w:p>
          <w:p w:rsidR="00BD3B5F" w:rsidRPr="005C3B55" w:rsidRDefault="00BD3B5F">
            <w:pPr>
              <w:spacing w:before="240" w:after="240"/>
              <w:jc w:val="left"/>
              <w:rPr>
                <w:noProof/>
                <w:szCs w:val="24"/>
              </w:rPr>
            </w:pPr>
            <w:r w:rsidRPr="005C3B55">
              <w:rPr>
                <w:szCs w:val="24"/>
              </w:rPr>
              <w:t xml:space="preserve">• </w:t>
            </w:r>
            <w:r w:rsidRPr="005C3B55">
              <w:rPr>
                <w:rStyle w:val="hps"/>
                <w:szCs w:val="24"/>
              </w:rPr>
              <w:t>qualitative</w:t>
            </w:r>
            <w:r w:rsidRPr="005C3B55">
              <w:rPr>
                <w:szCs w:val="24"/>
              </w:rPr>
              <w:t xml:space="preserve"> </w:t>
            </w:r>
            <w:r w:rsidRPr="005C3B55">
              <w:rPr>
                <w:rStyle w:val="hps"/>
                <w:szCs w:val="24"/>
              </w:rPr>
              <w:t>(in terms of participants’ satisfaction</w:t>
            </w:r>
            <w:r w:rsidRPr="005C3B55">
              <w:rPr>
                <w:szCs w:val="24"/>
              </w:rPr>
              <w:t>).</w:t>
            </w:r>
          </w:p>
          <w:p w:rsidR="00BD3B5F" w:rsidRPr="005C3B55" w:rsidRDefault="00BD3B5F">
            <w:pPr>
              <w:spacing w:before="240" w:after="240"/>
              <w:jc w:val="left"/>
              <w:rPr>
                <w:noProof/>
                <w:szCs w:val="24"/>
              </w:rPr>
            </w:pPr>
            <w:r w:rsidRPr="005C3B55">
              <w:rPr>
                <w:noProof/>
                <w:szCs w:val="24"/>
              </w:rPr>
              <w:t>(M01)</w:t>
            </w:r>
          </w:p>
          <w:p w:rsidR="00BD3B5F" w:rsidRPr="005C3B55" w:rsidRDefault="00BD3B5F">
            <w:pPr>
              <w:spacing w:before="240" w:after="240"/>
              <w:jc w:val="left"/>
              <w:rPr>
                <w:noProof/>
                <w:szCs w:val="24"/>
              </w:rPr>
            </w:pPr>
            <w:r w:rsidRPr="005C3B55">
              <w:rPr>
                <w:noProof/>
                <w:szCs w:val="24"/>
              </w:rPr>
              <w:t> </w:t>
            </w:r>
          </w:p>
          <w:p w:rsidR="00BD3B5F" w:rsidRPr="005C3B55" w:rsidRDefault="00BD3B5F">
            <w:pPr>
              <w:pStyle w:val="Telobesedila"/>
              <w:rPr>
                <w:szCs w:val="24"/>
              </w:rPr>
            </w:pPr>
          </w:p>
        </w:tc>
      </w:tr>
    </w:tbl>
    <w:p w:rsidR="00BD3B5F" w:rsidRPr="005C3B55" w:rsidRDefault="00BD3B5F">
      <w:pPr>
        <w:rPr>
          <w:szCs w:val="24"/>
        </w:rPr>
      </w:pPr>
      <w:r w:rsidRPr="005C3B55">
        <w:rPr>
          <w:szCs w:val="24"/>
        </w:rPr>
        <w:t>How the recommendation was addressed or justification as to why it was not observed</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10656" w:type="dxa"/>
          </w:tcPr>
          <w:p w:rsidR="00BD3B5F" w:rsidRPr="005C3B55" w:rsidRDefault="00BD3B5F">
            <w:pPr>
              <w:spacing w:before="0" w:after="240"/>
              <w:jc w:val="left"/>
              <w:rPr>
                <w:noProof/>
                <w:szCs w:val="24"/>
              </w:rPr>
            </w:pPr>
            <w:r w:rsidRPr="005C3B55">
              <w:rPr>
                <w:szCs w:val="24"/>
              </w:rPr>
              <w:t>It was observed.</w:t>
            </w:r>
          </w:p>
          <w:p w:rsidR="00BD3B5F" w:rsidRPr="005C3B55" w:rsidRDefault="00BD3B5F">
            <w:pPr>
              <w:spacing w:before="240" w:after="240"/>
              <w:jc w:val="left"/>
              <w:rPr>
                <w:noProof/>
                <w:szCs w:val="24"/>
              </w:rPr>
            </w:pPr>
            <w:r w:rsidRPr="005C3B55">
              <w:rPr>
                <w:szCs w:val="24"/>
              </w:rPr>
              <w:t>Both aspects will be taken into account.</w:t>
            </w:r>
            <w:r w:rsidRPr="005C3B55">
              <w:rPr>
                <w:noProof/>
                <w:szCs w:val="24"/>
              </w:rPr>
              <w:t xml:space="preserve"> </w:t>
            </w:r>
            <w:r w:rsidRPr="005C3B55">
              <w:rPr>
                <w:szCs w:val="24"/>
              </w:rPr>
              <w:t>Prior to the selection of providers of training, all programme contents will be assessed (quantitative monitoring).</w:t>
            </w:r>
            <w:r w:rsidRPr="005C3B55">
              <w:rPr>
                <w:noProof/>
                <w:szCs w:val="24"/>
              </w:rPr>
              <w:t xml:space="preserve"> </w:t>
            </w:r>
            <w:r w:rsidRPr="005C3B55">
              <w:rPr>
                <w:szCs w:val="24"/>
              </w:rPr>
              <w:t>The satisfaction of training participants will be checked with surveys (qualitative monitoring).</w:t>
            </w:r>
          </w:p>
          <w:p w:rsidR="00BD3B5F" w:rsidRPr="005C3B55" w:rsidRDefault="00BD3B5F">
            <w:pPr>
              <w:pStyle w:val="Telobesedila"/>
              <w:rPr>
                <w:szCs w:val="24"/>
              </w:rPr>
            </w:pPr>
          </w:p>
        </w:tc>
      </w:tr>
    </w:tbl>
    <w:p w:rsidR="00BD3B5F" w:rsidRPr="005C3B55" w:rsidRDefault="00BD3B5F">
      <w:pPr>
        <w:pStyle w:val="Naslov3"/>
        <w:tabs>
          <w:tab w:val="clear" w:pos="765"/>
        </w:tabs>
        <w:ind w:left="0" w:firstLine="0"/>
        <w:jc w:val="left"/>
        <w:rPr>
          <w:szCs w:val="24"/>
          <w:lang w:val="en-GB"/>
        </w:rPr>
      </w:pPr>
      <w:bookmarkStart w:id="33" w:name="_Toc416192491"/>
      <w:r w:rsidRPr="005C3B55">
        <w:rPr>
          <w:szCs w:val="24"/>
          <w:lang w:val="en-GB"/>
        </w:rPr>
        <w:t>Arrangement of eco-cells with EU funds</w:t>
      </w:r>
      <w:bookmarkEnd w:id="33"/>
    </w:p>
    <w:p w:rsidR="00BD3B5F" w:rsidRPr="005C3B55" w:rsidRDefault="00BD3B5F">
      <w:pPr>
        <w:rPr>
          <w:szCs w:val="24"/>
        </w:rPr>
      </w:pPr>
      <w:r w:rsidRPr="005C3B55">
        <w:rPr>
          <w:szCs w:val="24"/>
        </w:rPr>
        <w:t>Category of the recommendation: Special recommendations for strategic environmental impact assessment</w:t>
      </w:r>
    </w:p>
    <w:p w:rsidR="00BD3B5F" w:rsidRPr="005C3B55" w:rsidRDefault="00BD3B5F">
      <w:pPr>
        <w:rPr>
          <w:szCs w:val="24"/>
        </w:rPr>
      </w:pPr>
      <w:r w:rsidRPr="005C3B55">
        <w:rPr>
          <w:noProof/>
          <w:szCs w:val="24"/>
        </w:rPr>
        <w:t>Date:</w:t>
      </w:r>
      <w:r w:rsidRPr="005C3B55">
        <w:rPr>
          <w:szCs w:val="24"/>
        </w:rPr>
        <w:t xml:space="preserve"> </w:t>
      </w:r>
      <w:r w:rsidRPr="005C3B55">
        <w:rPr>
          <w:noProof/>
          <w:szCs w:val="24"/>
        </w:rPr>
        <w:t>30 September 2013</w:t>
      </w:r>
    </w:p>
    <w:p w:rsidR="00BD3B5F" w:rsidRPr="005C3B55" w:rsidRDefault="00BD3B5F">
      <w:pPr>
        <w:rPr>
          <w:szCs w:val="24"/>
        </w:rPr>
      </w:pPr>
      <w:r w:rsidRPr="005C3B55">
        <w:rPr>
          <w:szCs w:val="24"/>
        </w:rPr>
        <w:t>Subject: Forest conservation</w:t>
      </w:r>
    </w:p>
    <w:p w:rsidR="00BD3B5F" w:rsidRPr="005C3B55" w:rsidRDefault="00BD3B5F">
      <w:pPr>
        <w:rPr>
          <w:szCs w:val="24"/>
        </w:rPr>
      </w:pPr>
      <w:r w:rsidRPr="005C3B55">
        <w:rPr>
          <w:szCs w:val="24"/>
        </w:rPr>
        <w:t>Description of the recommendation</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10656" w:type="dxa"/>
          </w:tcPr>
          <w:p w:rsidR="00BD3B5F" w:rsidRPr="005C3B55" w:rsidRDefault="00BD3B5F">
            <w:pPr>
              <w:spacing w:before="0" w:after="240"/>
              <w:jc w:val="left"/>
              <w:rPr>
                <w:noProof/>
                <w:szCs w:val="24"/>
              </w:rPr>
            </w:pPr>
            <w:r w:rsidRPr="005C3B55">
              <w:rPr>
                <w:szCs w:val="24"/>
              </w:rPr>
              <w:t>The decline in certain indicators, especially biodiversity indicators, shows that the situation in forests is deteriorating.</w:t>
            </w:r>
            <w:r w:rsidRPr="005C3B55">
              <w:rPr>
                <w:noProof/>
                <w:szCs w:val="24"/>
              </w:rPr>
              <w:t xml:space="preserve"> </w:t>
            </w:r>
            <w:r w:rsidRPr="005C3B55">
              <w:rPr>
                <w:szCs w:val="24"/>
              </w:rPr>
              <w:t>Further opening of forests to economic use and fragmentation by forest traffic routes may contribute to the continuation of this trend.</w:t>
            </w:r>
            <w:r w:rsidRPr="005C3B55">
              <w:rPr>
                <w:noProof/>
                <w:szCs w:val="24"/>
              </w:rPr>
              <w:t xml:space="preserve"> </w:t>
            </w:r>
            <w:r w:rsidRPr="005C3B55">
              <w:rPr>
                <w:szCs w:val="24"/>
              </w:rPr>
              <w:t>National funds were allocated for the arrangement of eco-cells and similar measures that would help to prevent the situation from deteriorating, but the funds are insufficient.</w:t>
            </w:r>
            <w:r w:rsidRPr="005C3B55">
              <w:rPr>
                <w:noProof/>
                <w:szCs w:val="24"/>
              </w:rPr>
              <w:t xml:space="preserve"> </w:t>
            </w:r>
            <w:r w:rsidRPr="005C3B55">
              <w:rPr>
                <w:szCs w:val="24"/>
              </w:rPr>
              <w:t>The inclusion of forest, environmental and climate services, and forest conservation would facilitate the implementation of measures urgent to halt the deterioration of the situation, and contribute to more information-based operations of forest owners.</w:t>
            </w:r>
          </w:p>
          <w:p w:rsidR="00BD3B5F" w:rsidRPr="005C3B55" w:rsidRDefault="00BD3B5F">
            <w:pPr>
              <w:pStyle w:val="Telobesedila"/>
              <w:rPr>
                <w:szCs w:val="24"/>
              </w:rPr>
            </w:pPr>
          </w:p>
        </w:tc>
      </w:tr>
    </w:tbl>
    <w:p w:rsidR="00BD3B5F" w:rsidRPr="005C3B55" w:rsidRDefault="00BD3B5F">
      <w:pPr>
        <w:rPr>
          <w:szCs w:val="24"/>
        </w:rPr>
      </w:pPr>
      <w:r w:rsidRPr="005C3B55">
        <w:rPr>
          <w:szCs w:val="24"/>
        </w:rPr>
        <w:t>How the recommendation was addressed or justification as to why it was not observed</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10656" w:type="dxa"/>
          </w:tcPr>
          <w:p w:rsidR="00BD3B5F" w:rsidRPr="005C3B55" w:rsidRDefault="00BD3B5F">
            <w:pPr>
              <w:spacing w:before="0" w:after="240"/>
              <w:jc w:val="left"/>
              <w:rPr>
                <w:noProof/>
                <w:szCs w:val="24"/>
              </w:rPr>
            </w:pPr>
            <w:r w:rsidRPr="005C3B55">
              <w:rPr>
                <w:szCs w:val="24"/>
              </w:rPr>
              <w:t>It was not observed.</w:t>
            </w:r>
          </w:p>
          <w:p w:rsidR="00BD3B5F" w:rsidRPr="005C3B55" w:rsidRDefault="00BD3B5F">
            <w:pPr>
              <w:spacing w:before="240" w:after="240"/>
              <w:jc w:val="left"/>
              <w:rPr>
                <w:noProof/>
                <w:szCs w:val="24"/>
              </w:rPr>
            </w:pPr>
            <w:r w:rsidRPr="005C3B55">
              <w:rPr>
                <w:szCs w:val="24"/>
              </w:rPr>
              <w:t>An agreement was reached within the Ministry, i.e. that during the implementation of the RDP 2014-2020, priority will be given to measures to conserve biodiversity in state forests, while for measures to conserve certain specific types, funds from the National Scheme for approximately 600 ha of measures (arrangement of eco-cells) that could be negatively affected by measures of the RDP 2014-2020 will be ensured.</w:t>
            </w:r>
          </w:p>
          <w:p w:rsidR="00BD3B5F" w:rsidRPr="005C3B55" w:rsidRDefault="00BD3B5F">
            <w:pPr>
              <w:pStyle w:val="Telobesedila"/>
              <w:rPr>
                <w:szCs w:val="24"/>
              </w:rPr>
            </w:pPr>
          </w:p>
        </w:tc>
      </w:tr>
    </w:tbl>
    <w:p w:rsidR="00BD3B5F" w:rsidRPr="005C3B55" w:rsidRDefault="00BD3B5F">
      <w:pPr>
        <w:pStyle w:val="Naslov3"/>
        <w:tabs>
          <w:tab w:val="clear" w:pos="765"/>
        </w:tabs>
        <w:ind w:left="0" w:firstLine="0"/>
        <w:jc w:val="left"/>
        <w:rPr>
          <w:szCs w:val="24"/>
          <w:lang w:val="en-GB"/>
        </w:rPr>
      </w:pPr>
      <w:bookmarkStart w:id="34" w:name="_Toc416192492"/>
      <w:r w:rsidRPr="005C3B55">
        <w:rPr>
          <w:szCs w:val="24"/>
          <w:lang w:val="en-GB"/>
        </w:rPr>
        <w:t>Targeted training</w:t>
      </w:r>
      <w:bookmarkEnd w:id="34"/>
    </w:p>
    <w:p w:rsidR="00BD3B5F" w:rsidRPr="005C3B55" w:rsidRDefault="00BD3B5F">
      <w:pPr>
        <w:rPr>
          <w:szCs w:val="24"/>
        </w:rPr>
      </w:pPr>
      <w:r w:rsidRPr="005C3B55">
        <w:rPr>
          <w:szCs w:val="24"/>
        </w:rPr>
        <w:t>Category of the recommendation: Special recommendations for strategic environmental impact assessment</w:t>
      </w:r>
    </w:p>
    <w:p w:rsidR="00BD3B5F" w:rsidRPr="005C3B55" w:rsidRDefault="00BD3B5F">
      <w:pPr>
        <w:rPr>
          <w:szCs w:val="24"/>
        </w:rPr>
      </w:pPr>
      <w:r w:rsidRPr="005C3B55">
        <w:rPr>
          <w:noProof/>
          <w:szCs w:val="24"/>
        </w:rPr>
        <w:t>Date:</w:t>
      </w:r>
      <w:r w:rsidRPr="005C3B55">
        <w:rPr>
          <w:szCs w:val="24"/>
        </w:rPr>
        <w:t xml:space="preserve"> </w:t>
      </w:r>
      <w:r w:rsidRPr="005C3B55">
        <w:rPr>
          <w:noProof/>
          <w:szCs w:val="24"/>
        </w:rPr>
        <w:t>20 August 2013</w:t>
      </w:r>
    </w:p>
    <w:p w:rsidR="00BD3B5F" w:rsidRPr="005C3B55" w:rsidRDefault="00BD3B5F">
      <w:pPr>
        <w:rPr>
          <w:szCs w:val="24"/>
        </w:rPr>
      </w:pPr>
      <w:r w:rsidRPr="005C3B55">
        <w:rPr>
          <w:szCs w:val="24"/>
        </w:rPr>
        <w:t>Subject: Nature, soil, waters</w:t>
      </w:r>
    </w:p>
    <w:p w:rsidR="00BD3B5F" w:rsidRPr="005C3B55" w:rsidRDefault="00BD3B5F">
      <w:pPr>
        <w:rPr>
          <w:szCs w:val="24"/>
        </w:rPr>
      </w:pPr>
      <w:r w:rsidRPr="005C3B55">
        <w:rPr>
          <w:szCs w:val="24"/>
        </w:rPr>
        <w:t>Description of the recommendation</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10656" w:type="dxa"/>
          </w:tcPr>
          <w:p w:rsidR="00BD3B5F" w:rsidRPr="005C3B55" w:rsidRDefault="00BD3B5F">
            <w:pPr>
              <w:spacing w:before="0" w:after="240"/>
              <w:jc w:val="left"/>
              <w:rPr>
                <w:noProof/>
                <w:szCs w:val="24"/>
              </w:rPr>
            </w:pPr>
            <w:r w:rsidRPr="005C3B55">
              <w:rPr>
                <w:szCs w:val="24"/>
              </w:rPr>
              <w:t>Ensure certain environmental and nature protection contents in training and include other interest groups from all fields of environmental protection (measures M01 and M02).</w:t>
            </w:r>
          </w:p>
          <w:p w:rsidR="00BD3B5F" w:rsidRPr="005C3B55" w:rsidRDefault="00BD3B5F">
            <w:pPr>
              <w:pStyle w:val="Telobesedila"/>
              <w:rPr>
                <w:szCs w:val="24"/>
              </w:rPr>
            </w:pPr>
          </w:p>
        </w:tc>
      </w:tr>
    </w:tbl>
    <w:p w:rsidR="00BD3B5F" w:rsidRPr="005C3B55" w:rsidRDefault="00BD3B5F">
      <w:pPr>
        <w:rPr>
          <w:szCs w:val="24"/>
        </w:rPr>
      </w:pPr>
      <w:r w:rsidRPr="005C3B55">
        <w:rPr>
          <w:szCs w:val="24"/>
        </w:rPr>
        <w:t>How the recommendation was addressed or justification as to why it was not observed</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10656" w:type="dxa"/>
          </w:tcPr>
          <w:p w:rsidR="00BD3B5F" w:rsidRPr="005C3B55" w:rsidRDefault="00BD3B5F">
            <w:pPr>
              <w:spacing w:before="0" w:after="240"/>
              <w:jc w:val="left"/>
              <w:rPr>
                <w:noProof/>
                <w:szCs w:val="24"/>
              </w:rPr>
            </w:pPr>
            <w:r w:rsidRPr="005C3B55">
              <w:rPr>
                <w:szCs w:val="24"/>
              </w:rPr>
              <w:t>It was observed.</w:t>
            </w:r>
          </w:p>
          <w:p w:rsidR="00BD3B5F" w:rsidRPr="005C3B55" w:rsidRDefault="00BD3B5F">
            <w:pPr>
              <w:spacing w:before="240" w:after="240"/>
              <w:jc w:val="left"/>
              <w:rPr>
                <w:noProof/>
                <w:szCs w:val="24"/>
              </w:rPr>
            </w:pPr>
            <w:r w:rsidRPr="005C3B55">
              <w:rPr>
                <w:szCs w:val="24"/>
              </w:rPr>
              <w:t>Environmental and nature protection contents related to measure M10 will be included in support for training and advisory services (measures M01 and M02).</w:t>
            </w:r>
          </w:p>
          <w:p w:rsidR="00BD3B5F" w:rsidRPr="005C3B55" w:rsidRDefault="00BD3B5F">
            <w:pPr>
              <w:spacing w:before="240" w:after="240"/>
              <w:jc w:val="left"/>
              <w:rPr>
                <w:noProof/>
                <w:szCs w:val="24"/>
              </w:rPr>
            </w:pPr>
            <w:r w:rsidRPr="005C3B55">
              <w:rPr>
                <w:szCs w:val="24"/>
              </w:rPr>
              <w:t>The provider of advisory services and training in the aforementioned fields will have to be adequately qualified.</w:t>
            </w:r>
          </w:p>
          <w:p w:rsidR="00BD3B5F" w:rsidRPr="005C3B55" w:rsidRDefault="00BD3B5F">
            <w:pPr>
              <w:spacing w:before="240" w:after="240"/>
              <w:jc w:val="left"/>
              <w:rPr>
                <w:noProof/>
                <w:szCs w:val="24"/>
              </w:rPr>
            </w:pPr>
            <w:r w:rsidRPr="005C3B55">
              <w:rPr>
                <w:szCs w:val="24"/>
              </w:rPr>
              <w:t>These aspects are also reflected in the selection criteria for individual measures.</w:t>
            </w:r>
          </w:p>
          <w:p w:rsidR="00BD3B5F" w:rsidRPr="005C3B55" w:rsidRDefault="00BD3B5F">
            <w:pPr>
              <w:pStyle w:val="Telobesedila"/>
              <w:rPr>
                <w:szCs w:val="24"/>
              </w:rPr>
            </w:pPr>
          </w:p>
        </w:tc>
      </w:tr>
    </w:tbl>
    <w:p w:rsidR="00BD3B5F" w:rsidRPr="005C3B55" w:rsidRDefault="00BD3B5F">
      <w:pPr>
        <w:pStyle w:val="Naslov3"/>
        <w:tabs>
          <w:tab w:val="clear" w:pos="765"/>
        </w:tabs>
        <w:ind w:left="0" w:firstLine="0"/>
        <w:jc w:val="left"/>
        <w:rPr>
          <w:szCs w:val="24"/>
          <w:lang w:val="en-GB"/>
        </w:rPr>
      </w:pPr>
      <w:bookmarkStart w:id="35" w:name="_Toc416192493"/>
      <w:r w:rsidRPr="005C3B55">
        <w:rPr>
          <w:szCs w:val="24"/>
          <w:lang w:val="en-GB"/>
        </w:rPr>
        <w:t>More efficient implementation</w:t>
      </w:r>
      <w:bookmarkEnd w:id="35"/>
    </w:p>
    <w:p w:rsidR="00BD3B5F" w:rsidRPr="005C3B55" w:rsidRDefault="00BD3B5F">
      <w:pPr>
        <w:rPr>
          <w:szCs w:val="24"/>
        </w:rPr>
      </w:pPr>
      <w:r w:rsidRPr="005C3B55">
        <w:rPr>
          <w:szCs w:val="24"/>
        </w:rPr>
        <w:t>Category of the recommendation: Special recommendations for strategic environmental impact assessment</w:t>
      </w:r>
    </w:p>
    <w:p w:rsidR="00BD3B5F" w:rsidRPr="005C3B55" w:rsidRDefault="00BD3B5F">
      <w:pPr>
        <w:rPr>
          <w:szCs w:val="24"/>
        </w:rPr>
      </w:pPr>
      <w:r w:rsidRPr="005C3B55">
        <w:rPr>
          <w:noProof/>
          <w:szCs w:val="24"/>
        </w:rPr>
        <w:t>Date:</w:t>
      </w:r>
      <w:r w:rsidRPr="005C3B55">
        <w:rPr>
          <w:szCs w:val="24"/>
        </w:rPr>
        <w:t xml:space="preserve"> </w:t>
      </w:r>
      <w:r w:rsidRPr="005C3B55">
        <w:rPr>
          <w:noProof/>
          <w:szCs w:val="24"/>
        </w:rPr>
        <w:t>20 August 2013</w:t>
      </w:r>
    </w:p>
    <w:p w:rsidR="00BD3B5F" w:rsidRPr="005C3B55" w:rsidRDefault="00BD3B5F">
      <w:pPr>
        <w:rPr>
          <w:szCs w:val="24"/>
        </w:rPr>
      </w:pPr>
      <w:r w:rsidRPr="005C3B55">
        <w:rPr>
          <w:szCs w:val="24"/>
        </w:rPr>
        <w:t>Subject: Counselling to reduce the impact on waters</w:t>
      </w:r>
    </w:p>
    <w:p w:rsidR="00BD3B5F" w:rsidRPr="005C3B55" w:rsidRDefault="00BD3B5F">
      <w:pPr>
        <w:rPr>
          <w:szCs w:val="24"/>
        </w:rPr>
      </w:pPr>
      <w:r w:rsidRPr="005C3B55">
        <w:rPr>
          <w:szCs w:val="24"/>
        </w:rPr>
        <w:t>Description of the recommendation</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10656" w:type="dxa"/>
          </w:tcPr>
          <w:p w:rsidR="00BD3B5F" w:rsidRPr="005C3B55" w:rsidRDefault="00BD3B5F">
            <w:pPr>
              <w:spacing w:before="0" w:after="240"/>
              <w:jc w:val="left"/>
              <w:rPr>
                <w:noProof/>
                <w:szCs w:val="24"/>
              </w:rPr>
            </w:pPr>
            <w:r w:rsidRPr="005C3B55">
              <w:rPr>
                <w:szCs w:val="24"/>
              </w:rPr>
              <w:t xml:space="preserve">In certain problematic areas where surface water and groundwater fail to meet the objectives of the Water Framework Directive, the priority should be counselling to reduce the impact on waters </w:t>
            </w:r>
            <w:r w:rsidRPr="005C3B55">
              <w:rPr>
                <w:rStyle w:val="hps"/>
                <w:szCs w:val="24"/>
              </w:rPr>
              <w:t>(measure M02</w:t>
            </w:r>
            <w:r w:rsidRPr="005C3B55">
              <w:rPr>
                <w:szCs w:val="24"/>
              </w:rPr>
              <w:t>).</w:t>
            </w:r>
          </w:p>
          <w:p w:rsidR="00BD3B5F" w:rsidRPr="005C3B55" w:rsidRDefault="00BD3B5F">
            <w:pPr>
              <w:pStyle w:val="Telobesedila"/>
              <w:rPr>
                <w:szCs w:val="24"/>
              </w:rPr>
            </w:pPr>
          </w:p>
        </w:tc>
      </w:tr>
    </w:tbl>
    <w:p w:rsidR="00BD3B5F" w:rsidRPr="005C3B55" w:rsidRDefault="00BD3B5F">
      <w:pPr>
        <w:rPr>
          <w:szCs w:val="24"/>
        </w:rPr>
      </w:pPr>
      <w:r w:rsidRPr="005C3B55">
        <w:rPr>
          <w:szCs w:val="24"/>
        </w:rPr>
        <w:t>How the recommendation was addressed or justification as to why it was not observed</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10656" w:type="dxa"/>
          </w:tcPr>
          <w:p w:rsidR="00BD3B5F" w:rsidRPr="005C3B55" w:rsidRDefault="00BD3B5F">
            <w:pPr>
              <w:spacing w:before="0" w:after="240"/>
              <w:jc w:val="left"/>
              <w:rPr>
                <w:noProof/>
                <w:szCs w:val="24"/>
              </w:rPr>
            </w:pPr>
            <w:r w:rsidRPr="005C3B55">
              <w:rPr>
                <w:szCs w:val="24"/>
              </w:rPr>
              <w:t>It was observed.</w:t>
            </w:r>
          </w:p>
          <w:p w:rsidR="00BD3B5F" w:rsidRPr="005C3B55" w:rsidRDefault="00BD3B5F">
            <w:pPr>
              <w:spacing w:before="240" w:after="240"/>
              <w:jc w:val="left"/>
              <w:rPr>
                <w:noProof/>
                <w:szCs w:val="24"/>
              </w:rPr>
            </w:pPr>
            <w:r w:rsidRPr="005C3B55">
              <w:rPr>
                <w:szCs w:val="24"/>
              </w:rPr>
              <w:t>In order to ensure better, more efficient and result-oriented implementation of measure M10, the content related to this measure will also be included in the support for advisory services (measure M02).</w:t>
            </w:r>
          </w:p>
          <w:p w:rsidR="00BD3B5F" w:rsidRPr="005C3B55" w:rsidRDefault="00BD3B5F">
            <w:pPr>
              <w:pStyle w:val="Telobesedila"/>
              <w:rPr>
                <w:szCs w:val="24"/>
              </w:rPr>
            </w:pPr>
          </w:p>
        </w:tc>
      </w:tr>
    </w:tbl>
    <w:p w:rsidR="00BD3B5F" w:rsidRPr="005C3B55" w:rsidRDefault="00BD3B5F">
      <w:pPr>
        <w:pStyle w:val="Naslov3"/>
        <w:tabs>
          <w:tab w:val="clear" w:pos="765"/>
        </w:tabs>
        <w:ind w:left="0" w:firstLine="0"/>
        <w:jc w:val="left"/>
        <w:rPr>
          <w:szCs w:val="24"/>
          <w:lang w:val="en-GB"/>
        </w:rPr>
      </w:pPr>
      <w:bookmarkStart w:id="36" w:name="_Toc416192494"/>
      <w:r w:rsidRPr="005C3B55">
        <w:rPr>
          <w:szCs w:val="24"/>
          <w:lang w:val="en-GB"/>
        </w:rPr>
        <w:t>Efficient management</w:t>
      </w:r>
      <w:bookmarkEnd w:id="36"/>
    </w:p>
    <w:p w:rsidR="00BD3B5F" w:rsidRPr="005C3B55" w:rsidRDefault="00BD3B5F">
      <w:pPr>
        <w:rPr>
          <w:szCs w:val="24"/>
        </w:rPr>
      </w:pPr>
      <w:r w:rsidRPr="005C3B55">
        <w:rPr>
          <w:szCs w:val="24"/>
        </w:rPr>
        <w:t>Category of the recommendation: Special recommendations for strategic environmental impact assessment</w:t>
      </w:r>
    </w:p>
    <w:p w:rsidR="00BD3B5F" w:rsidRPr="005C3B55" w:rsidRDefault="00BD3B5F">
      <w:pPr>
        <w:rPr>
          <w:szCs w:val="24"/>
        </w:rPr>
      </w:pPr>
      <w:r w:rsidRPr="005C3B55">
        <w:rPr>
          <w:noProof/>
          <w:szCs w:val="24"/>
        </w:rPr>
        <w:t>Date:</w:t>
      </w:r>
      <w:r w:rsidRPr="005C3B55">
        <w:rPr>
          <w:szCs w:val="24"/>
        </w:rPr>
        <w:t xml:space="preserve"> </w:t>
      </w:r>
      <w:r w:rsidRPr="005C3B55">
        <w:rPr>
          <w:noProof/>
          <w:szCs w:val="24"/>
        </w:rPr>
        <w:t>20 August 2013</w:t>
      </w:r>
    </w:p>
    <w:p w:rsidR="00BD3B5F" w:rsidRPr="005C3B55" w:rsidRDefault="00BD3B5F">
      <w:pPr>
        <w:rPr>
          <w:szCs w:val="24"/>
        </w:rPr>
      </w:pPr>
      <w:r w:rsidRPr="005C3B55">
        <w:rPr>
          <w:szCs w:val="24"/>
        </w:rPr>
        <w:t xml:space="preserve">Subject: </w:t>
      </w:r>
      <w:r w:rsidRPr="005C3B55">
        <w:rPr>
          <w:rStyle w:val="hps"/>
          <w:szCs w:val="24"/>
        </w:rPr>
        <w:t>Nature, cultural heritage, soil, waters</w:t>
      </w:r>
      <w:r w:rsidRPr="005C3B55">
        <w:rPr>
          <w:szCs w:val="24"/>
        </w:rPr>
        <w:t xml:space="preserve"> </w:t>
      </w:r>
    </w:p>
    <w:p w:rsidR="00BD3B5F" w:rsidRPr="005C3B55" w:rsidRDefault="00BD3B5F">
      <w:pPr>
        <w:rPr>
          <w:szCs w:val="24"/>
        </w:rPr>
      </w:pPr>
      <w:r w:rsidRPr="005C3B55">
        <w:rPr>
          <w:szCs w:val="24"/>
        </w:rPr>
        <w:t>Description of the recommendation</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10656" w:type="dxa"/>
          </w:tcPr>
          <w:p w:rsidR="00BD3B5F" w:rsidRPr="005C3B55" w:rsidRDefault="00BD3B5F">
            <w:pPr>
              <w:spacing w:before="0" w:after="240"/>
              <w:jc w:val="left"/>
              <w:rPr>
                <w:noProof/>
                <w:szCs w:val="24"/>
              </w:rPr>
            </w:pPr>
            <w:r w:rsidRPr="005C3B55">
              <w:rPr>
                <w:rStyle w:val="hps"/>
                <w:szCs w:val="24"/>
              </w:rPr>
              <w:t>Encouraging organisations in the field of nature and cultural heritage conservation, and environmental protection to participate in these projects (M16)</w:t>
            </w:r>
            <w:r w:rsidRPr="005C3B55">
              <w:rPr>
                <w:szCs w:val="24"/>
              </w:rPr>
              <w:t>.</w:t>
            </w:r>
            <w:r w:rsidRPr="005C3B55">
              <w:rPr>
                <w:noProof/>
                <w:szCs w:val="24"/>
              </w:rPr>
              <w:t xml:space="preserve"> </w:t>
            </w:r>
            <w:r w:rsidRPr="005C3B55">
              <w:rPr>
                <w:szCs w:val="24"/>
              </w:rPr>
              <w:t>These entities (organisations) should participate in joint projects to stimulate operators in the field of nature and cultural heritage conservation, and environmental protection, such as</w:t>
            </w:r>
            <w:r w:rsidRPr="005C3B55">
              <w:rPr>
                <w:noProof/>
                <w:szCs w:val="24"/>
              </w:rPr>
              <w:t xml:space="preserve"> </w:t>
            </w:r>
            <w:r w:rsidRPr="005C3B55">
              <w:rPr>
                <w:rStyle w:val="hps"/>
                <w:szCs w:val="24"/>
              </w:rPr>
              <w:t>protected areas, organisations engaged in cultural heritage and cultural landscape conservation, water management, etc</w:t>
            </w:r>
            <w:r w:rsidRPr="005C3B55">
              <w:rPr>
                <w:szCs w:val="24"/>
              </w:rPr>
              <w:t>.</w:t>
            </w:r>
          </w:p>
          <w:p w:rsidR="00BD3B5F" w:rsidRPr="005C3B55" w:rsidRDefault="00BD3B5F">
            <w:pPr>
              <w:pStyle w:val="Telobesedila"/>
              <w:rPr>
                <w:szCs w:val="24"/>
              </w:rPr>
            </w:pPr>
          </w:p>
        </w:tc>
      </w:tr>
    </w:tbl>
    <w:p w:rsidR="00BD3B5F" w:rsidRPr="005C3B55" w:rsidRDefault="00BD3B5F">
      <w:pPr>
        <w:rPr>
          <w:szCs w:val="24"/>
        </w:rPr>
      </w:pPr>
      <w:r w:rsidRPr="005C3B55">
        <w:rPr>
          <w:szCs w:val="24"/>
        </w:rPr>
        <w:t>How the recommendation was addressed or justification as to why it was not observed</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10656" w:type="dxa"/>
          </w:tcPr>
          <w:p w:rsidR="00BD3B5F" w:rsidRPr="005C3B55" w:rsidRDefault="00BD3B5F">
            <w:pPr>
              <w:spacing w:before="0" w:after="240"/>
              <w:jc w:val="left"/>
              <w:rPr>
                <w:noProof/>
                <w:szCs w:val="24"/>
              </w:rPr>
            </w:pPr>
            <w:r w:rsidRPr="005C3B55">
              <w:rPr>
                <w:szCs w:val="24"/>
              </w:rPr>
              <w:t>It was observed.</w:t>
            </w:r>
          </w:p>
          <w:p w:rsidR="00BD3B5F" w:rsidRPr="005C3B55" w:rsidRDefault="00BD3B5F">
            <w:pPr>
              <w:spacing w:before="240" w:after="240"/>
              <w:jc w:val="left"/>
              <w:rPr>
                <w:noProof/>
                <w:szCs w:val="24"/>
              </w:rPr>
            </w:pPr>
            <w:r w:rsidRPr="005C3B55">
              <w:rPr>
                <w:szCs w:val="24"/>
              </w:rPr>
              <w:t>Environmental and nature protection content is included in measure M16.</w:t>
            </w:r>
            <w:r w:rsidRPr="005C3B55">
              <w:rPr>
                <w:noProof/>
                <w:szCs w:val="24"/>
              </w:rPr>
              <w:t xml:space="preserve"> </w:t>
            </w:r>
            <w:r w:rsidRPr="005C3B55">
              <w:rPr>
                <w:szCs w:val="24"/>
              </w:rPr>
              <w:t>These aspects are reflected through the selection criteria in numerous measures of the RDP 2014-2020. Activities related to cultural heritage may be subject to local action groups projects (M19) or non-agricultural activities under measure M06.</w:t>
            </w:r>
          </w:p>
          <w:p w:rsidR="00BD3B5F" w:rsidRPr="005C3B55" w:rsidRDefault="00BD3B5F">
            <w:pPr>
              <w:pStyle w:val="Telobesedila"/>
              <w:rPr>
                <w:szCs w:val="24"/>
              </w:rPr>
            </w:pPr>
          </w:p>
        </w:tc>
      </w:tr>
    </w:tbl>
    <w:p w:rsidR="00BD3B5F" w:rsidRPr="005C3B55" w:rsidRDefault="00BD3B5F">
      <w:pPr>
        <w:pStyle w:val="Naslov3"/>
        <w:tabs>
          <w:tab w:val="clear" w:pos="765"/>
        </w:tabs>
        <w:ind w:left="0" w:firstLine="0"/>
        <w:jc w:val="left"/>
        <w:rPr>
          <w:szCs w:val="24"/>
          <w:lang w:val="en-GB"/>
        </w:rPr>
      </w:pPr>
      <w:bookmarkStart w:id="37" w:name="_Toc416192495"/>
      <w:r w:rsidRPr="005C3B55">
        <w:rPr>
          <w:szCs w:val="24"/>
          <w:lang w:val="en-GB"/>
        </w:rPr>
        <w:t>Inclusion of cultural heritage in the RDP 2014-2020</w:t>
      </w:r>
      <w:bookmarkEnd w:id="37"/>
    </w:p>
    <w:p w:rsidR="00BD3B5F" w:rsidRPr="005C3B55" w:rsidRDefault="00BD3B5F">
      <w:pPr>
        <w:rPr>
          <w:szCs w:val="24"/>
        </w:rPr>
      </w:pPr>
      <w:r w:rsidRPr="005C3B55">
        <w:rPr>
          <w:szCs w:val="24"/>
        </w:rPr>
        <w:t>Category of the recommendation: Special recommendations for strategic environmental impact assessment</w:t>
      </w:r>
    </w:p>
    <w:p w:rsidR="00BD3B5F" w:rsidRPr="005C3B55" w:rsidRDefault="00BD3B5F">
      <w:pPr>
        <w:rPr>
          <w:szCs w:val="24"/>
        </w:rPr>
      </w:pPr>
      <w:r w:rsidRPr="005C3B55">
        <w:rPr>
          <w:noProof/>
          <w:szCs w:val="24"/>
        </w:rPr>
        <w:t>Date:</w:t>
      </w:r>
      <w:r w:rsidRPr="005C3B55">
        <w:rPr>
          <w:szCs w:val="24"/>
        </w:rPr>
        <w:t xml:space="preserve"> </w:t>
      </w:r>
      <w:r w:rsidRPr="005C3B55">
        <w:rPr>
          <w:noProof/>
          <w:szCs w:val="24"/>
        </w:rPr>
        <w:t>30 September 2013</w:t>
      </w:r>
    </w:p>
    <w:p w:rsidR="00BD3B5F" w:rsidRPr="005C3B55" w:rsidRDefault="00BD3B5F">
      <w:pPr>
        <w:rPr>
          <w:szCs w:val="24"/>
        </w:rPr>
      </w:pPr>
      <w:r w:rsidRPr="005C3B55">
        <w:rPr>
          <w:szCs w:val="24"/>
        </w:rPr>
        <w:t>Subject: Conservation of cultural heritage</w:t>
      </w:r>
    </w:p>
    <w:p w:rsidR="00BD3B5F" w:rsidRPr="005C3B55" w:rsidRDefault="00BD3B5F">
      <w:pPr>
        <w:rPr>
          <w:szCs w:val="24"/>
        </w:rPr>
      </w:pPr>
      <w:r w:rsidRPr="005C3B55">
        <w:rPr>
          <w:szCs w:val="24"/>
        </w:rPr>
        <w:t>Description of the recommendation</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10656" w:type="dxa"/>
          </w:tcPr>
          <w:p w:rsidR="00BD3B5F" w:rsidRPr="005C3B55" w:rsidRDefault="00BD3B5F">
            <w:pPr>
              <w:spacing w:before="0" w:after="240"/>
              <w:jc w:val="left"/>
              <w:rPr>
                <w:noProof/>
                <w:szCs w:val="24"/>
              </w:rPr>
            </w:pPr>
            <w:r w:rsidRPr="005C3B55">
              <w:rPr>
                <w:szCs w:val="24"/>
              </w:rPr>
              <w:t>Inclusion of cultural heritage in measures M01, M02 and M16.</w:t>
            </w:r>
          </w:p>
          <w:p w:rsidR="00BD3B5F" w:rsidRPr="005C3B55" w:rsidRDefault="00BD3B5F">
            <w:pPr>
              <w:pStyle w:val="Telobesedila"/>
              <w:rPr>
                <w:szCs w:val="24"/>
              </w:rPr>
            </w:pPr>
          </w:p>
        </w:tc>
      </w:tr>
    </w:tbl>
    <w:p w:rsidR="00BD3B5F" w:rsidRPr="005C3B55" w:rsidRDefault="00BD3B5F">
      <w:pPr>
        <w:rPr>
          <w:szCs w:val="24"/>
        </w:rPr>
      </w:pPr>
      <w:r w:rsidRPr="005C3B55">
        <w:rPr>
          <w:szCs w:val="24"/>
        </w:rPr>
        <w:t>How the recommendation was addressed or justification as to why it was not observed</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10656" w:type="dxa"/>
          </w:tcPr>
          <w:p w:rsidR="00BD3B5F" w:rsidRPr="005C3B55" w:rsidRDefault="00BD3B5F">
            <w:pPr>
              <w:spacing w:before="0" w:after="240"/>
              <w:ind w:left="34"/>
              <w:jc w:val="left"/>
              <w:rPr>
                <w:noProof/>
                <w:szCs w:val="24"/>
              </w:rPr>
            </w:pPr>
            <w:r w:rsidRPr="005C3B55">
              <w:rPr>
                <w:szCs w:val="24"/>
              </w:rPr>
              <w:t>It was partially observed.</w:t>
            </w:r>
          </w:p>
          <w:p w:rsidR="00BD3B5F" w:rsidRPr="005C3B55" w:rsidRDefault="00BD3B5F">
            <w:pPr>
              <w:spacing w:before="240" w:after="240"/>
              <w:jc w:val="left"/>
              <w:rPr>
                <w:noProof/>
                <w:szCs w:val="24"/>
              </w:rPr>
            </w:pPr>
            <w:r w:rsidRPr="005C3B55">
              <w:rPr>
                <w:szCs w:val="24"/>
              </w:rPr>
              <w:t>Measures M01 and M02 relate to cultural heritage especially in connection with measure M10, i.e. the segment of the scheme M10, which refers to the conservation of landscape (through requirements to conserve hedges, maintain permanent meadows, mow steep and hummocky meadows, cultivate steep vineyards, conserve high-trunk meadow orchards, etc.).</w:t>
            </w:r>
            <w:r w:rsidRPr="005C3B55">
              <w:rPr>
                <w:noProof/>
                <w:szCs w:val="24"/>
              </w:rPr>
              <w:t xml:space="preserve"> </w:t>
            </w:r>
            <w:r w:rsidRPr="005C3B55">
              <w:rPr>
                <w:szCs w:val="24"/>
              </w:rPr>
              <w:t>In terms of contents, both measures related to knowledge transfer and advisory services will provide farmers with suitable support.</w:t>
            </w:r>
          </w:p>
          <w:p w:rsidR="00BD3B5F" w:rsidRPr="005C3B55" w:rsidRDefault="00BD3B5F">
            <w:pPr>
              <w:spacing w:before="240" w:after="240"/>
              <w:jc w:val="left"/>
              <w:rPr>
                <w:noProof/>
                <w:szCs w:val="24"/>
              </w:rPr>
            </w:pPr>
            <w:r w:rsidRPr="005C3B55">
              <w:rPr>
                <w:szCs w:val="24"/>
              </w:rPr>
              <w:t>More attention of LAGs under the LEADER approach on the conservation of cultural heritage is also planned.</w:t>
            </w:r>
          </w:p>
          <w:p w:rsidR="00BD3B5F" w:rsidRPr="005C3B55" w:rsidRDefault="00BD3B5F">
            <w:pPr>
              <w:pStyle w:val="Telobesedila"/>
              <w:rPr>
                <w:szCs w:val="24"/>
              </w:rPr>
            </w:pPr>
          </w:p>
        </w:tc>
      </w:tr>
    </w:tbl>
    <w:p w:rsidR="00BD3B5F" w:rsidRPr="005C3B55" w:rsidRDefault="00BD3B5F">
      <w:pPr>
        <w:pStyle w:val="Naslov3"/>
        <w:tabs>
          <w:tab w:val="clear" w:pos="765"/>
        </w:tabs>
        <w:ind w:left="0" w:firstLine="0"/>
        <w:jc w:val="left"/>
        <w:rPr>
          <w:szCs w:val="24"/>
          <w:lang w:val="en-GB"/>
        </w:rPr>
      </w:pPr>
      <w:bookmarkStart w:id="38" w:name="_Toc416192496"/>
      <w:r w:rsidRPr="005C3B55">
        <w:rPr>
          <w:szCs w:val="24"/>
          <w:lang w:val="en-GB"/>
        </w:rPr>
        <w:t>Inclusion of payments within Natura 2000 sites (Article 30)</w:t>
      </w:r>
      <w:bookmarkEnd w:id="38"/>
    </w:p>
    <w:p w:rsidR="00BD3B5F" w:rsidRPr="005C3B55" w:rsidRDefault="00BD3B5F">
      <w:pPr>
        <w:rPr>
          <w:szCs w:val="24"/>
        </w:rPr>
      </w:pPr>
      <w:r w:rsidRPr="005C3B55">
        <w:rPr>
          <w:szCs w:val="24"/>
        </w:rPr>
        <w:t>Category of the recommendation: Special recommendations for strategic environmental impact assessment</w:t>
      </w:r>
    </w:p>
    <w:p w:rsidR="00BD3B5F" w:rsidRPr="005C3B55" w:rsidRDefault="00BD3B5F">
      <w:pPr>
        <w:rPr>
          <w:szCs w:val="24"/>
        </w:rPr>
      </w:pPr>
      <w:r w:rsidRPr="005C3B55">
        <w:rPr>
          <w:noProof/>
          <w:szCs w:val="24"/>
        </w:rPr>
        <w:t>Date:</w:t>
      </w:r>
      <w:r w:rsidRPr="005C3B55">
        <w:rPr>
          <w:szCs w:val="24"/>
        </w:rPr>
        <w:t xml:space="preserve"> </w:t>
      </w:r>
      <w:r w:rsidRPr="005C3B55">
        <w:rPr>
          <w:noProof/>
          <w:szCs w:val="24"/>
        </w:rPr>
        <w:t>30 September 2013</w:t>
      </w:r>
    </w:p>
    <w:p w:rsidR="00BD3B5F" w:rsidRPr="005C3B55" w:rsidRDefault="00BD3B5F">
      <w:pPr>
        <w:rPr>
          <w:szCs w:val="24"/>
        </w:rPr>
      </w:pPr>
      <w:r w:rsidRPr="005C3B55">
        <w:rPr>
          <w:szCs w:val="24"/>
        </w:rPr>
        <w:t>Subject: Payments within Natura 2000 sites</w:t>
      </w:r>
    </w:p>
    <w:p w:rsidR="00BD3B5F" w:rsidRPr="005C3B55" w:rsidRDefault="00BD3B5F">
      <w:pPr>
        <w:rPr>
          <w:szCs w:val="24"/>
        </w:rPr>
      </w:pPr>
      <w:r w:rsidRPr="005C3B55">
        <w:rPr>
          <w:szCs w:val="24"/>
        </w:rPr>
        <w:t>Description of the recommendation</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10656" w:type="dxa"/>
          </w:tcPr>
          <w:p w:rsidR="00BD3B5F" w:rsidRPr="005C3B55" w:rsidRDefault="00BD3B5F">
            <w:pPr>
              <w:spacing w:before="0" w:after="240"/>
              <w:jc w:val="left"/>
              <w:rPr>
                <w:noProof/>
                <w:szCs w:val="24"/>
              </w:rPr>
            </w:pPr>
            <w:r w:rsidRPr="005C3B55">
              <w:rPr>
                <w:szCs w:val="24"/>
              </w:rPr>
              <w:t>Payments within Natura 2000 sites would facilitate farming on Natura sites regarding limitations imposed by requirements for individual Natura sites which exceed the principle of good agricultural and environmental performance.</w:t>
            </w:r>
          </w:p>
          <w:p w:rsidR="00BD3B5F" w:rsidRPr="005C3B55" w:rsidRDefault="00BD3B5F">
            <w:pPr>
              <w:pStyle w:val="Telobesedila"/>
              <w:rPr>
                <w:szCs w:val="24"/>
              </w:rPr>
            </w:pPr>
          </w:p>
        </w:tc>
      </w:tr>
    </w:tbl>
    <w:p w:rsidR="00BD3B5F" w:rsidRPr="005C3B55" w:rsidRDefault="00BD3B5F">
      <w:pPr>
        <w:rPr>
          <w:szCs w:val="24"/>
        </w:rPr>
      </w:pPr>
      <w:r w:rsidRPr="005C3B55">
        <w:rPr>
          <w:szCs w:val="24"/>
        </w:rPr>
        <w:t>How the recommendation was addressed or justification as to why it was not observed</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10656" w:type="dxa"/>
          </w:tcPr>
          <w:p w:rsidR="00BD3B5F" w:rsidRPr="005C3B55" w:rsidRDefault="00BD3B5F">
            <w:pPr>
              <w:spacing w:before="0" w:after="240"/>
              <w:jc w:val="left"/>
              <w:rPr>
                <w:noProof/>
                <w:szCs w:val="24"/>
              </w:rPr>
            </w:pPr>
            <w:r w:rsidRPr="005C3B55">
              <w:rPr>
                <w:szCs w:val="24"/>
              </w:rPr>
              <w:t>It was not observed.</w:t>
            </w:r>
          </w:p>
          <w:p w:rsidR="00BD3B5F" w:rsidRPr="005C3B55" w:rsidRDefault="00BD3B5F">
            <w:pPr>
              <w:spacing w:before="240" w:after="240"/>
              <w:jc w:val="left"/>
              <w:rPr>
                <w:noProof/>
                <w:szCs w:val="24"/>
              </w:rPr>
            </w:pPr>
            <w:r w:rsidRPr="005C3B55">
              <w:rPr>
                <w:szCs w:val="24"/>
              </w:rPr>
              <w:t>The authors of the RDP 2014-2020 claim that this would require individual management plans for individual Natura 2000 sites with exactly determined management measures. However, the management of Natura 2000 in Slovenia is carried out by a comprehensive programme.</w:t>
            </w:r>
          </w:p>
          <w:p w:rsidR="00BD3B5F" w:rsidRPr="005C3B55" w:rsidRDefault="00BD3B5F">
            <w:pPr>
              <w:pStyle w:val="Telobesedila"/>
              <w:rPr>
                <w:szCs w:val="24"/>
              </w:rPr>
            </w:pPr>
          </w:p>
        </w:tc>
      </w:tr>
    </w:tbl>
    <w:p w:rsidR="00BD3B5F" w:rsidRPr="005C3B55" w:rsidRDefault="00BD3B5F">
      <w:pPr>
        <w:pStyle w:val="Naslov3"/>
        <w:tabs>
          <w:tab w:val="clear" w:pos="765"/>
        </w:tabs>
        <w:ind w:left="0" w:firstLine="0"/>
        <w:jc w:val="left"/>
        <w:rPr>
          <w:szCs w:val="24"/>
          <w:lang w:val="en-GB"/>
        </w:rPr>
      </w:pPr>
      <w:bookmarkStart w:id="39" w:name="_Toc416192497"/>
      <w:r w:rsidRPr="005C3B55">
        <w:rPr>
          <w:szCs w:val="24"/>
          <w:lang w:val="en-GB"/>
        </w:rPr>
        <w:t>Reliability of situation analysis and SWOT analysis</w:t>
      </w:r>
      <w:bookmarkEnd w:id="39"/>
    </w:p>
    <w:p w:rsidR="00BD3B5F" w:rsidRPr="005C3B55" w:rsidRDefault="00BD3B5F">
      <w:pPr>
        <w:rPr>
          <w:szCs w:val="24"/>
        </w:rPr>
      </w:pPr>
      <w:r w:rsidRPr="005C3B55">
        <w:rPr>
          <w:szCs w:val="24"/>
        </w:rPr>
        <w:t>Category of the recommendation: SWOT analysis, assessment of needs</w:t>
      </w:r>
    </w:p>
    <w:p w:rsidR="00BD3B5F" w:rsidRPr="005C3B55" w:rsidRDefault="00BD3B5F">
      <w:pPr>
        <w:rPr>
          <w:szCs w:val="24"/>
        </w:rPr>
      </w:pPr>
      <w:r w:rsidRPr="005C3B55">
        <w:rPr>
          <w:noProof/>
          <w:szCs w:val="24"/>
        </w:rPr>
        <w:t>Date:</w:t>
      </w:r>
      <w:r w:rsidRPr="005C3B55">
        <w:rPr>
          <w:szCs w:val="24"/>
        </w:rPr>
        <w:t xml:space="preserve"> </w:t>
      </w:r>
      <w:r w:rsidRPr="005C3B55">
        <w:rPr>
          <w:noProof/>
          <w:szCs w:val="24"/>
        </w:rPr>
        <w:t>9 December 2013</w:t>
      </w:r>
    </w:p>
    <w:p w:rsidR="00BD3B5F" w:rsidRPr="005C3B55" w:rsidRDefault="00BD3B5F">
      <w:pPr>
        <w:rPr>
          <w:szCs w:val="24"/>
        </w:rPr>
      </w:pPr>
      <w:r w:rsidRPr="005C3B55">
        <w:rPr>
          <w:szCs w:val="24"/>
        </w:rPr>
        <w:t>Subject: Update of the SWOT analysis</w:t>
      </w:r>
    </w:p>
    <w:p w:rsidR="00BD3B5F" w:rsidRPr="005C3B55" w:rsidRDefault="00BD3B5F">
      <w:pPr>
        <w:rPr>
          <w:szCs w:val="24"/>
        </w:rPr>
      </w:pPr>
      <w:r w:rsidRPr="005C3B55">
        <w:rPr>
          <w:szCs w:val="24"/>
        </w:rPr>
        <w:t>Description of the recommendation</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10656" w:type="dxa"/>
          </w:tcPr>
          <w:p w:rsidR="00BD3B5F" w:rsidRPr="005C3B55" w:rsidRDefault="00BD3B5F">
            <w:pPr>
              <w:spacing w:before="0" w:after="240"/>
              <w:jc w:val="left"/>
              <w:rPr>
                <w:noProof/>
                <w:szCs w:val="24"/>
              </w:rPr>
            </w:pPr>
            <w:r w:rsidRPr="005C3B55">
              <w:rPr>
                <w:szCs w:val="24"/>
              </w:rPr>
              <w:t>In the case of further changes of draft RDP 2014-2020, we propose that the MA updates the document with the same thorough method as has been used so far, and also use cross controls to ensure the continuity of the situation analysis, the SWOT analysis and the assessment of needs.</w:t>
            </w:r>
          </w:p>
          <w:p w:rsidR="00BD3B5F" w:rsidRPr="005C3B55" w:rsidRDefault="00BD3B5F">
            <w:pPr>
              <w:pStyle w:val="Telobesedila"/>
              <w:rPr>
                <w:szCs w:val="24"/>
              </w:rPr>
            </w:pPr>
          </w:p>
        </w:tc>
      </w:tr>
    </w:tbl>
    <w:p w:rsidR="00BD3B5F" w:rsidRPr="005C3B55" w:rsidRDefault="00BD3B5F">
      <w:pPr>
        <w:rPr>
          <w:szCs w:val="24"/>
        </w:rPr>
      </w:pPr>
      <w:r w:rsidRPr="005C3B55">
        <w:rPr>
          <w:szCs w:val="24"/>
        </w:rPr>
        <w:t>How the recommendation was addressed or justification as to why it was not observed</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10656" w:type="dxa"/>
          </w:tcPr>
          <w:p w:rsidR="00BD3B5F" w:rsidRPr="005C3B55" w:rsidRDefault="00BD3B5F">
            <w:pPr>
              <w:spacing w:before="0" w:after="240"/>
              <w:jc w:val="left"/>
              <w:rPr>
                <w:noProof/>
                <w:szCs w:val="24"/>
              </w:rPr>
            </w:pPr>
            <w:r w:rsidRPr="005C3B55">
              <w:rPr>
                <w:szCs w:val="24"/>
              </w:rPr>
              <w:t>It was observed.</w:t>
            </w:r>
          </w:p>
          <w:p w:rsidR="00BD3B5F" w:rsidRPr="005C3B55" w:rsidRDefault="00BD3B5F">
            <w:pPr>
              <w:spacing w:before="240" w:after="240"/>
              <w:jc w:val="left"/>
              <w:rPr>
                <w:noProof/>
                <w:szCs w:val="24"/>
              </w:rPr>
            </w:pPr>
            <w:r w:rsidRPr="005C3B55">
              <w:rPr>
                <w:szCs w:val="24"/>
              </w:rPr>
              <w:t>The MA has substantially upgraded the SWOT analysis and the assessment of needs so that they reflect the features of the programme field in a comprehensive way.</w:t>
            </w:r>
          </w:p>
          <w:p w:rsidR="00BD3B5F" w:rsidRPr="005C3B55" w:rsidRDefault="00BD3B5F">
            <w:pPr>
              <w:pStyle w:val="Telobesedila"/>
              <w:rPr>
                <w:szCs w:val="24"/>
              </w:rPr>
            </w:pPr>
          </w:p>
        </w:tc>
      </w:tr>
    </w:tbl>
    <w:p w:rsidR="00BD3B5F" w:rsidRPr="005C3B55" w:rsidRDefault="00BD3B5F">
      <w:pPr>
        <w:pStyle w:val="Naslov3"/>
        <w:tabs>
          <w:tab w:val="clear" w:pos="765"/>
        </w:tabs>
        <w:ind w:left="0" w:firstLine="0"/>
        <w:jc w:val="left"/>
        <w:rPr>
          <w:szCs w:val="24"/>
          <w:lang w:val="en-GB"/>
        </w:rPr>
      </w:pPr>
      <w:bookmarkStart w:id="40" w:name="_Toc416192498"/>
      <w:r w:rsidRPr="005C3B55">
        <w:rPr>
          <w:szCs w:val="24"/>
          <w:lang w:val="en-GB"/>
        </w:rPr>
        <w:t>Reduction of farm impact on waters</w:t>
      </w:r>
      <w:bookmarkEnd w:id="40"/>
    </w:p>
    <w:p w:rsidR="00BD3B5F" w:rsidRPr="005C3B55" w:rsidRDefault="00BD3B5F">
      <w:pPr>
        <w:rPr>
          <w:szCs w:val="24"/>
        </w:rPr>
      </w:pPr>
      <w:r w:rsidRPr="005C3B55">
        <w:rPr>
          <w:szCs w:val="24"/>
        </w:rPr>
        <w:t>Category of the recommendation: Special recommendations for strategic environmental impact assessment</w:t>
      </w:r>
    </w:p>
    <w:p w:rsidR="00BD3B5F" w:rsidRPr="005C3B55" w:rsidRDefault="00BD3B5F">
      <w:pPr>
        <w:rPr>
          <w:szCs w:val="24"/>
        </w:rPr>
      </w:pPr>
      <w:r w:rsidRPr="005C3B55">
        <w:rPr>
          <w:noProof/>
          <w:szCs w:val="24"/>
        </w:rPr>
        <w:t>Date:</w:t>
      </w:r>
      <w:r w:rsidRPr="005C3B55">
        <w:rPr>
          <w:szCs w:val="24"/>
        </w:rPr>
        <w:t xml:space="preserve"> </w:t>
      </w:r>
      <w:r w:rsidRPr="005C3B55">
        <w:rPr>
          <w:noProof/>
          <w:szCs w:val="24"/>
        </w:rPr>
        <w:t>1 April 2014</w:t>
      </w:r>
    </w:p>
    <w:p w:rsidR="00BD3B5F" w:rsidRPr="005C3B55" w:rsidRDefault="00BD3B5F">
      <w:pPr>
        <w:rPr>
          <w:szCs w:val="24"/>
        </w:rPr>
      </w:pPr>
      <w:r w:rsidRPr="005C3B55">
        <w:rPr>
          <w:szCs w:val="24"/>
        </w:rPr>
        <w:t>Subject: Waters</w:t>
      </w:r>
    </w:p>
    <w:p w:rsidR="00BD3B5F" w:rsidRPr="005C3B55" w:rsidRDefault="00BD3B5F">
      <w:pPr>
        <w:rPr>
          <w:szCs w:val="24"/>
        </w:rPr>
      </w:pPr>
      <w:r w:rsidRPr="005C3B55">
        <w:rPr>
          <w:szCs w:val="24"/>
        </w:rPr>
        <w:t>Description of the recommendation</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10656" w:type="dxa"/>
          </w:tcPr>
          <w:p w:rsidR="00BD3B5F" w:rsidRPr="005C3B55" w:rsidRDefault="00BD3B5F">
            <w:pPr>
              <w:spacing w:before="0" w:after="240"/>
              <w:jc w:val="left"/>
              <w:rPr>
                <w:noProof/>
                <w:szCs w:val="24"/>
              </w:rPr>
            </w:pPr>
            <w:r w:rsidRPr="005C3B55">
              <w:rPr>
                <w:szCs w:val="24"/>
              </w:rPr>
              <w:t>Inclusion of nature protection contents and contents for the protection of water sources, and realisation of the Nitrates Directive in measures M01, M02 and M16.</w:t>
            </w:r>
          </w:p>
          <w:p w:rsidR="00BD3B5F" w:rsidRPr="005C3B55" w:rsidRDefault="00BD3B5F">
            <w:pPr>
              <w:pStyle w:val="Telobesedila"/>
              <w:rPr>
                <w:szCs w:val="24"/>
              </w:rPr>
            </w:pPr>
          </w:p>
        </w:tc>
      </w:tr>
    </w:tbl>
    <w:p w:rsidR="00BD3B5F" w:rsidRPr="005C3B55" w:rsidRDefault="00BD3B5F">
      <w:pPr>
        <w:rPr>
          <w:szCs w:val="24"/>
        </w:rPr>
      </w:pPr>
      <w:r w:rsidRPr="005C3B55">
        <w:rPr>
          <w:szCs w:val="24"/>
        </w:rPr>
        <w:t>How the recommendation was addressed or justification as to why it was not observed</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10656" w:type="dxa"/>
          </w:tcPr>
          <w:p w:rsidR="00BD3B5F" w:rsidRPr="005C3B55" w:rsidRDefault="00BD3B5F">
            <w:pPr>
              <w:spacing w:before="0" w:after="240"/>
              <w:jc w:val="left"/>
              <w:rPr>
                <w:noProof/>
                <w:szCs w:val="24"/>
              </w:rPr>
            </w:pPr>
            <w:r w:rsidRPr="005C3B55">
              <w:rPr>
                <w:szCs w:val="24"/>
              </w:rPr>
              <w:t>It was observed.</w:t>
            </w:r>
          </w:p>
          <w:p w:rsidR="00BD3B5F" w:rsidRPr="005C3B55" w:rsidRDefault="00BD3B5F">
            <w:pPr>
              <w:spacing w:before="240" w:after="240"/>
              <w:jc w:val="left"/>
              <w:rPr>
                <w:noProof/>
                <w:szCs w:val="24"/>
              </w:rPr>
            </w:pPr>
            <w:r w:rsidRPr="005C3B55">
              <w:rPr>
                <w:szCs w:val="24"/>
              </w:rPr>
              <w:t>The beneficiaries included in nature protection schemes and schemes for the protection of water sources under measure M10 will have to attend trainings on this subject, and they will also be eligible to target-oriented advisory services for their farms.</w:t>
            </w:r>
            <w:r w:rsidRPr="005C3B55">
              <w:rPr>
                <w:noProof/>
                <w:szCs w:val="24"/>
              </w:rPr>
              <w:t xml:space="preserve"> </w:t>
            </w:r>
            <w:r w:rsidRPr="005C3B55">
              <w:rPr>
                <w:szCs w:val="24"/>
              </w:rPr>
              <w:t>The implementation of measure M16 will be focused on areas that are crucial for nature conservation and water source protection through thematic tenders for pilot projects.</w:t>
            </w:r>
          </w:p>
          <w:p w:rsidR="00BD3B5F" w:rsidRPr="005C3B55" w:rsidRDefault="00BD3B5F">
            <w:pPr>
              <w:pStyle w:val="Telobesedila"/>
              <w:rPr>
                <w:szCs w:val="24"/>
              </w:rPr>
            </w:pPr>
          </w:p>
        </w:tc>
      </w:tr>
    </w:tbl>
    <w:p w:rsidR="00BD3B5F" w:rsidRPr="005C3B55" w:rsidRDefault="00BD3B5F">
      <w:pPr>
        <w:pStyle w:val="Naslov2"/>
        <w:tabs>
          <w:tab w:val="clear" w:pos="765"/>
        </w:tabs>
        <w:ind w:left="0" w:firstLine="0"/>
        <w:rPr>
          <w:b w:val="0"/>
          <w:szCs w:val="24"/>
          <w:lang w:val="en-GB"/>
        </w:rPr>
      </w:pPr>
      <w:bookmarkStart w:id="41" w:name="_Toc416192499"/>
      <w:r w:rsidRPr="005C3B55">
        <w:rPr>
          <w:b w:val="0"/>
          <w:szCs w:val="24"/>
          <w:lang w:val="en-GB"/>
        </w:rPr>
        <w:t>Report on the ex-ante evaluation</w:t>
      </w:r>
      <w:bookmarkEnd w:id="41"/>
    </w:p>
    <w:p w:rsidR="00BD3B5F" w:rsidRPr="005C3B55" w:rsidRDefault="00BD3B5F">
      <w:pPr>
        <w:rPr>
          <w:szCs w:val="24"/>
        </w:rPr>
      </w:pPr>
      <w:r w:rsidRPr="005C3B55">
        <w:rPr>
          <w:szCs w:val="24"/>
        </w:rPr>
        <w:t>See documents attached.</w:t>
      </w:r>
    </w:p>
    <w:p w:rsidR="00BD3B5F" w:rsidRPr="005C3B55" w:rsidRDefault="00BD3B5F">
      <w:pPr>
        <w:rPr>
          <w:szCs w:val="24"/>
        </w:rPr>
        <w:sectPr w:rsidR="00BD3B5F" w:rsidRPr="005C3B55">
          <w:pgSz w:w="12240" w:h="15840"/>
          <w:pgMar w:top="900" w:right="900" w:bottom="900" w:left="900" w:header="708" w:footer="708" w:gutter="0"/>
          <w:cols w:space="708"/>
        </w:sectPr>
      </w:pPr>
    </w:p>
    <w:p w:rsidR="00BD3B5F" w:rsidRPr="005C3B55" w:rsidRDefault="00BD3B5F">
      <w:pPr>
        <w:pStyle w:val="Naslov1"/>
        <w:rPr>
          <w:b w:val="0"/>
          <w:szCs w:val="24"/>
          <w:lang w:val="en-GB"/>
        </w:rPr>
      </w:pPr>
      <w:bookmarkStart w:id="42" w:name="_Toc416192500"/>
      <w:r w:rsidRPr="005C3B55">
        <w:rPr>
          <w:szCs w:val="24"/>
          <w:lang w:val="en-GB"/>
        </w:rPr>
        <w:t>SWOT ANALYSIS AND DEFINITION OF NEEDS</w:t>
      </w:r>
      <w:bookmarkEnd w:id="42"/>
    </w:p>
    <w:p w:rsidR="00BD3B5F" w:rsidRPr="005C3B55" w:rsidRDefault="00BD3B5F">
      <w:pPr>
        <w:pStyle w:val="Naslov2"/>
        <w:tabs>
          <w:tab w:val="clear" w:pos="765"/>
        </w:tabs>
        <w:ind w:left="0" w:firstLine="0"/>
        <w:rPr>
          <w:szCs w:val="24"/>
          <w:lang w:val="en-GB"/>
        </w:rPr>
      </w:pPr>
      <w:bookmarkStart w:id="43" w:name="_Toc416192501"/>
      <w:r w:rsidRPr="005C3B55">
        <w:rPr>
          <w:szCs w:val="24"/>
          <w:lang w:val="en-GB"/>
        </w:rPr>
        <w:t>SWOT Analysis</w:t>
      </w:r>
      <w:bookmarkEnd w:id="43"/>
    </w:p>
    <w:p w:rsidR="00BD3B5F" w:rsidRPr="005C3B55" w:rsidRDefault="00BD3B5F">
      <w:pPr>
        <w:pStyle w:val="Naslov3"/>
        <w:tabs>
          <w:tab w:val="clear" w:pos="765"/>
        </w:tabs>
        <w:ind w:left="0" w:firstLine="0"/>
        <w:jc w:val="left"/>
        <w:rPr>
          <w:szCs w:val="24"/>
          <w:lang w:val="en-GB"/>
        </w:rPr>
      </w:pPr>
      <w:bookmarkStart w:id="44" w:name="_Toc416192502"/>
      <w:r w:rsidRPr="005C3B55">
        <w:rPr>
          <w:szCs w:val="24"/>
          <w:lang w:val="en-GB"/>
        </w:rPr>
        <w:t>Comprehensive general description of the current situation of the programme field bases on joint situation indicators and situation indicators for individual programmes, as well as descriptive information</w:t>
      </w:r>
      <w:bookmarkEnd w:id="44"/>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10656" w:type="dxa"/>
          </w:tcPr>
          <w:p w:rsidR="00BD3B5F" w:rsidRPr="005C3B55" w:rsidRDefault="00BD3B5F">
            <w:pPr>
              <w:spacing w:before="0" w:after="240"/>
              <w:jc w:val="left"/>
              <w:rPr>
                <w:noProof/>
                <w:szCs w:val="24"/>
              </w:rPr>
            </w:pPr>
            <w:r w:rsidRPr="005C3B55">
              <w:rPr>
                <w:b/>
                <w:szCs w:val="24"/>
              </w:rPr>
              <w:t>PHYSICO-GEOGRAPHICAL FEATURES</w:t>
            </w:r>
          </w:p>
          <w:p w:rsidR="00BD3B5F" w:rsidRPr="005C3B55" w:rsidRDefault="00BD3B5F">
            <w:pPr>
              <w:spacing w:before="240" w:after="240"/>
              <w:jc w:val="left"/>
              <w:rPr>
                <w:noProof/>
                <w:szCs w:val="24"/>
              </w:rPr>
            </w:pPr>
            <w:r w:rsidRPr="005C3B55">
              <w:rPr>
                <w:b/>
                <w:szCs w:val="24"/>
              </w:rPr>
              <w:t>Geographical features</w:t>
            </w:r>
          </w:p>
          <w:p w:rsidR="00BD3B5F" w:rsidRPr="005C3B55" w:rsidRDefault="00BD3B5F">
            <w:pPr>
              <w:spacing w:before="240" w:after="240"/>
              <w:jc w:val="left"/>
              <w:rPr>
                <w:noProof/>
                <w:szCs w:val="24"/>
              </w:rPr>
            </w:pPr>
            <w:r w:rsidRPr="005C3B55">
              <w:rPr>
                <w:szCs w:val="24"/>
              </w:rPr>
              <w:t>Slovenia’s territory is recognisable by its diversified terrain, rich cultural heritage, and abundant and diverse valuable natural features.</w:t>
            </w:r>
            <w:r w:rsidRPr="005C3B55">
              <w:rPr>
                <w:noProof/>
                <w:szCs w:val="24"/>
              </w:rPr>
              <w:t xml:space="preserve"> </w:t>
            </w:r>
            <w:r w:rsidRPr="005C3B55">
              <w:rPr>
                <w:szCs w:val="24"/>
              </w:rPr>
              <w:t>Almost 90 per cent of its territory lies 300 metres or more above sea level, while plain areas in the form of closed valleys and basins account for less than 20 per cent of the territory.</w:t>
            </w:r>
            <w:r w:rsidRPr="005C3B55">
              <w:rPr>
                <w:noProof/>
                <w:szCs w:val="24"/>
              </w:rPr>
              <w:t xml:space="preserve"> </w:t>
            </w:r>
            <w:r w:rsidRPr="005C3B55">
              <w:rPr>
                <w:szCs w:val="24"/>
              </w:rPr>
              <w:t>The diversity of natural conditions directly influences the dispersed settlement and large number of small settlements.</w:t>
            </w:r>
            <w:r w:rsidRPr="005C3B55">
              <w:rPr>
                <w:noProof/>
                <w:szCs w:val="24"/>
              </w:rPr>
              <w:t xml:space="preserve"> </w:t>
            </w:r>
            <w:r w:rsidRPr="005C3B55">
              <w:rPr>
                <w:szCs w:val="24"/>
              </w:rPr>
              <w:t>Less favoured areas (LFA) account for 86.3 per cent of the territory of the country, of which 72.4 per cent are mountain areas.</w:t>
            </w:r>
          </w:p>
          <w:p w:rsidR="00BD3B5F" w:rsidRPr="005C3B55" w:rsidRDefault="00BD3B5F">
            <w:pPr>
              <w:spacing w:before="240" w:after="240"/>
              <w:jc w:val="left"/>
              <w:rPr>
                <w:noProof/>
                <w:szCs w:val="24"/>
              </w:rPr>
            </w:pPr>
            <w:r w:rsidRPr="005C3B55">
              <w:rPr>
                <w:b/>
                <w:szCs w:val="24"/>
              </w:rPr>
              <w:t>Nature</w:t>
            </w:r>
          </w:p>
          <w:p w:rsidR="00BD3B5F" w:rsidRPr="005C3B55" w:rsidRDefault="00BD3B5F">
            <w:pPr>
              <w:spacing w:before="240" w:after="240"/>
              <w:jc w:val="left"/>
              <w:rPr>
                <w:noProof/>
                <w:szCs w:val="24"/>
              </w:rPr>
            </w:pPr>
            <w:r w:rsidRPr="005C3B55">
              <w:rPr>
                <w:szCs w:val="24"/>
              </w:rPr>
              <w:t>The Natura 2000 sites</w:t>
            </w:r>
            <w:r w:rsidRPr="005C3B55">
              <w:rPr>
                <w:b/>
                <w:szCs w:val="24"/>
              </w:rPr>
              <w:t xml:space="preserve"> </w:t>
            </w:r>
            <w:r w:rsidRPr="005C3B55">
              <w:rPr>
                <w:szCs w:val="24"/>
              </w:rPr>
              <w:t>cover 37.9 per cent of Slovenia’s territory, of which forests represent 70.7 per cent.</w:t>
            </w:r>
            <w:r w:rsidRPr="005C3B55">
              <w:rPr>
                <w:noProof/>
                <w:szCs w:val="24"/>
              </w:rPr>
              <w:t xml:space="preserve"> </w:t>
            </w:r>
            <w:r w:rsidRPr="005C3B55">
              <w:rPr>
                <w:szCs w:val="24"/>
              </w:rPr>
              <w:t>About 21.3 per cent of non-forested areas in the Natura 2000 network are utilised agricultural areas (UAA).</w:t>
            </w:r>
            <w:r w:rsidRPr="005C3B55">
              <w:rPr>
                <w:noProof/>
                <w:szCs w:val="24"/>
              </w:rPr>
              <w:t xml:space="preserve"> </w:t>
            </w:r>
            <w:r w:rsidRPr="005C3B55">
              <w:rPr>
                <w:b/>
                <w:szCs w:val="24"/>
              </w:rPr>
              <w:t>Protected nature areas</w:t>
            </w:r>
            <w:r w:rsidRPr="005C3B55">
              <w:rPr>
                <w:szCs w:val="24"/>
              </w:rPr>
              <w:t xml:space="preserve"> cover 12.6 per cent of Slovenia’s territory.</w:t>
            </w:r>
            <w:r w:rsidRPr="005C3B55">
              <w:rPr>
                <w:noProof/>
                <w:szCs w:val="24"/>
              </w:rPr>
              <w:t xml:space="preserve"> </w:t>
            </w:r>
            <w:r w:rsidRPr="005C3B55">
              <w:rPr>
                <w:szCs w:val="24"/>
              </w:rPr>
              <w:t>They currently comprise 1 national park, 3 regional parks, 44 landscape parks, 1 strict nature reserve, 54 nature reserves and 1,276 natural monuments, monuments of designed nature or nature sites of special interest in Slovenia which are protected by national or municipal acts.</w:t>
            </w:r>
            <w:r w:rsidRPr="005C3B55">
              <w:rPr>
                <w:noProof/>
                <w:szCs w:val="24"/>
              </w:rPr>
              <w:t xml:space="preserve"> </w:t>
            </w:r>
            <w:r w:rsidRPr="005C3B55">
              <w:rPr>
                <w:szCs w:val="24"/>
              </w:rPr>
              <w:t>Protected areas partially overlap with the Natura 2000 protected sites, covering a smaller area than the Nature 2000 sites, but are organised at a higher level with appointed supervisors.</w:t>
            </w:r>
          </w:p>
          <w:p w:rsidR="00BD3B5F" w:rsidRPr="005C3B55" w:rsidRDefault="00BD3B5F">
            <w:pPr>
              <w:spacing w:before="240" w:after="240"/>
              <w:jc w:val="left"/>
              <w:rPr>
                <w:noProof/>
                <w:szCs w:val="24"/>
              </w:rPr>
            </w:pPr>
            <w:r w:rsidRPr="005C3B55">
              <w:rPr>
                <w:szCs w:val="24"/>
              </w:rPr>
              <w:t>Agriculture in</w:t>
            </w:r>
            <w:r w:rsidRPr="005C3B55">
              <w:rPr>
                <w:b/>
                <w:szCs w:val="24"/>
              </w:rPr>
              <w:t xml:space="preserve"> areas of high natural value </w:t>
            </w:r>
            <w:r w:rsidRPr="005C3B55">
              <w:rPr>
                <w:szCs w:val="24"/>
              </w:rPr>
              <w:t>can maintain an appropriate level of biodiversity if appropriate technological solutions are provided.</w:t>
            </w:r>
            <w:r w:rsidRPr="005C3B55">
              <w:rPr>
                <w:noProof/>
                <w:szCs w:val="24"/>
              </w:rPr>
              <w:t xml:space="preserve"> </w:t>
            </w:r>
            <w:r w:rsidRPr="005C3B55">
              <w:rPr>
                <w:szCs w:val="24"/>
              </w:rPr>
              <w:t>Extensive methods of management enable the maintenance of a diversity of species and habitats, and consequently of a unique landscape with rich cultural and natural heritage.</w:t>
            </w:r>
            <w:r w:rsidRPr="005C3B55">
              <w:rPr>
                <w:noProof/>
                <w:szCs w:val="24"/>
              </w:rPr>
              <w:t xml:space="preserve"> </w:t>
            </w:r>
            <w:r w:rsidRPr="005C3B55">
              <w:rPr>
                <w:szCs w:val="24"/>
              </w:rPr>
              <w:t>The majority of agricultural areas with high natural value are located in western and southern Slovenia, whereas more attention is put on areas in hilly and mountaineous areas.</w:t>
            </w:r>
            <w:r w:rsidRPr="005C3B55">
              <w:rPr>
                <w:noProof/>
                <w:szCs w:val="24"/>
              </w:rPr>
              <w:t xml:space="preserve"> </w:t>
            </w:r>
            <w:r w:rsidRPr="005C3B55">
              <w:rPr>
                <w:szCs w:val="24"/>
              </w:rPr>
              <w:t>According to the estimate made for Slovenia on the basis of data on the use of land from the Coordination of Information on the Environment (CORINE, 2000) and data on the capture of the use of agricultural land (comparable with 2000), between 60 and 80 per cent of all utilised agricultural land is located in agricultural areas of high natural value.</w:t>
            </w:r>
          </w:p>
          <w:p w:rsidR="00BD3B5F" w:rsidRPr="005C3B55" w:rsidRDefault="00BD3B5F">
            <w:pPr>
              <w:spacing w:before="240" w:after="240"/>
              <w:jc w:val="left"/>
              <w:rPr>
                <w:noProof/>
                <w:szCs w:val="24"/>
              </w:rPr>
            </w:pPr>
            <w:r w:rsidRPr="005C3B55">
              <w:rPr>
                <w:b/>
                <w:szCs w:val="24"/>
              </w:rPr>
              <w:t>Biodiversity</w:t>
            </w:r>
          </w:p>
          <w:p w:rsidR="00BD3B5F" w:rsidRPr="005C3B55" w:rsidRDefault="00BD3B5F">
            <w:pPr>
              <w:spacing w:before="240" w:after="240"/>
              <w:jc w:val="left"/>
              <w:rPr>
                <w:noProof/>
                <w:szCs w:val="24"/>
              </w:rPr>
            </w:pPr>
            <w:r w:rsidRPr="005C3B55">
              <w:rPr>
                <w:szCs w:val="24"/>
              </w:rPr>
              <w:t>Slovenia is characterised by an exceptionally diverse and relatively well preserved natural environment.</w:t>
            </w:r>
            <w:r w:rsidRPr="005C3B55">
              <w:rPr>
                <w:noProof/>
                <w:szCs w:val="24"/>
              </w:rPr>
              <w:t xml:space="preserve"> </w:t>
            </w:r>
            <w:r w:rsidRPr="005C3B55">
              <w:rPr>
                <w:szCs w:val="24"/>
              </w:rPr>
              <w:t>Such a high biodiversity is primarily a consequence of the convergence of various types of climate, geological structure and large altitude differences, while it is also connected to a large extent with traditional agricultural use.</w:t>
            </w:r>
            <w:r w:rsidRPr="005C3B55">
              <w:rPr>
                <w:noProof/>
                <w:szCs w:val="24"/>
              </w:rPr>
              <w:t xml:space="preserve"> </w:t>
            </w:r>
            <w:r w:rsidRPr="005C3B55">
              <w:rPr>
                <w:szCs w:val="24"/>
              </w:rPr>
              <w:t>It has been estimated that around 60 per cent of the environment is natural or semi-natural, including landscapes and areas which were managed in the past in a traditional way and where activities were abandoned long ago.</w:t>
            </w:r>
          </w:p>
          <w:p w:rsidR="00BD3B5F" w:rsidRPr="005C3B55" w:rsidRDefault="00BD3B5F">
            <w:pPr>
              <w:spacing w:before="240" w:after="240"/>
              <w:jc w:val="left"/>
              <w:rPr>
                <w:noProof/>
                <w:szCs w:val="24"/>
              </w:rPr>
            </w:pPr>
            <w:r w:rsidRPr="005C3B55">
              <w:rPr>
                <w:szCs w:val="24"/>
              </w:rPr>
              <w:t>Numerous autochthonous and traditional varieties of agricultural plant and domestic animal breeds, which contribute to higher biotic (and genetic) diversity, have also developed and adjusted optimally to specific local environment conditions in Slovenia.</w:t>
            </w:r>
          </w:p>
          <w:p w:rsidR="00BD3B5F" w:rsidRPr="005C3B55" w:rsidRDefault="00BD3B5F">
            <w:pPr>
              <w:spacing w:before="240" w:after="240"/>
              <w:jc w:val="left"/>
              <w:rPr>
                <w:noProof/>
                <w:szCs w:val="24"/>
              </w:rPr>
            </w:pPr>
            <w:r w:rsidRPr="005C3B55">
              <w:rPr>
                <w:szCs w:val="24"/>
              </w:rPr>
              <w:t>Considering the Report on the conservation of species and habitats under Article 17 of the Habitats Directive for 2013, 43 per cent of habitat types in Slovenia that are relevant for the EU level are considered as favourable (38 of 89 habitat types).</w:t>
            </w:r>
            <w:r w:rsidRPr="005C3B55">
              <w:rPr>
                <w:noProof/>
                <w:szCs w:val="24"/>
              </w:rPr>
              <w:t xml:space="preserve"> </w:t>
            </w:r>
            <w:r w:rsidRPr="005C3B55">
              <w:rPr>
                <w:szCs w:val="24"/>
              </w:rPr>
              <w:t>This is one per cent less than in 2008. The most well conserved are the marine, coastal and inshore habitat types, as well as scrubland and barren land.</w:t>
            </w:r>
            <w:r w:rsidRPr="005C3B55">
              <w:rPr>
                <w:noProof/>
                <w:szCs w:val="24"/>
              </w:rPr>
              <w:t xml:space="preserve"> </w:t>
            </w:r>
            <w:r w:rsidRPr="005C3B55">
              <w:rPr>
                <w:szCs w:val="24"/>
              </w:rPr>
              <w:t>The most vulnerable habitat types are freshwaters, swamps and marshes affected by inappropriate regulation of water courses, modification of water regimes, pollution, inappropriate water use, water channels and other water elements, urbanisation and invasive species.</w:t>
            </w:r>
            <w:r w:rsidRPr="005C3B55">
              <w:rPr>
                <w:noProof/>
                <w:szCs w:val="24"/>
              </w:rPr>
              <w:t xml:space="preserve"> </w:t>
            </w:r>
            <w:r w:rsidRPr="005C3B55">
              <w:rPr>
                <w:szCs w:val="24"/>
              </w:rPr>
              <w:t>The other group of habitat types that is also poorly conserved comprise grasslands;</w:t>
            </w:r>
            <w:r w:rsidRPr="005C3B55">
              <w:rPr>
                <w:noProof/>
                <w:szCs w:val="24"/>
              </w:rPr>
              <w:t xml:space="preserve"> </w:t>
            </w:r>
            <w:r w:rsidRPr="005C3B55">
              <w:rPr>
                <w:szCs w:val="24"/>
              </w:rPr>
              <w:t>28 per cent of them are in good condition, but 47 per cent are in poor condition.</w:t>
            </w:r>
            <w:r w:rsidRPr="005C3B55">
              <w:rPr>
                <w:noProof/>
                <w:szCs w:val="24"/>
              </w:rPr>
              <w:t xml:space="preserve"> </w:t>
            </w:r>
            <w:r w:rsidRPr="005C3B55">
              <w:rPr>
                <w:szCs w:val="24"/>
              </w:rPr>
              <w:t>The intensification of agriculture on the one hand and abandonment on the other hand are the two main factors that impact the conservation of grassland habitat types.</w:t>
            </w:r>
            <w:r w:rsidRPr="005C3B55">
              <w:rPr>
                <w:noProof/>
                <w:szCs w:val="24"/>
              </w:rPr>
              <w:t xml:space="preserve"> </w:t>
            </w:r>
            <w:r w:rsidRPr="005C3B55">
              <w:rPr>
                <w:szCs w:val="24"/>
              </w:rPr>
              <w:t>Compared to 2008, the state of forest habitat types also worsened, mostly due to urbanisation and modifications of water regimes and regulation, fragmentation, extensive population density of game, sand pits and stone pits, fires and climate change (drought, temperature increase) as well as the use of inappropriate forestry techniques.</w:t>
            </w:r>
            <w:r w:rsidRPr="005C3B55">
              <w:rPr>
                <w:noProof/>
                <w:szCs w:val="24"/>
              </w:rPr>
              <w:t xml:space="preserve"> </w:t>
            </w:r>
            <w:r w:rsidRPr="005C3B55">
              <w:rPr>
                <w:szCs w:val="24"/>
              </w:rPr>
              <w:t>Only 29 per cent of 17 forest habitat types are in a favourable condition.</w:t>
            </w:r>
            <w:r w:rsidRPr="005C3B55">
              <w:rPr>
                <w:noProof/>
                <w:szCs w:val="24"/>
              </w:rPr>
              <w:t xml:space="preserve"> </w:t>
            </w:r>
            <w:r w:rsidRPr="005C3B55">
              <w:rPr>
                <w:szCs w:val="24"/>
              </w:rPr>
              <w:t>Minority forest habitat types such as swamp forests and various types of riverside forests are poorly conserved.</w:t>
            </w:r>
            <w:r w:rsidRPr="005C3B55">
              <w:rPr>
                <w:noProof/>
                <w:szCs w:val="24"/>
              </w:rPr>
              <w:t xml:space="preserve"> </w:t>
            </w:r>
            <w:r w:rsidRPr="005C3B55">
              <w:rPr>
                <w:szCs w:val="24"/>
              </w:rPr>
              <w:t>These habitat types are negatively impacted by activities in the area of waters and agriculture.</w:t>
            </w:r>
            <w:r w:rsidRPr="005C3B55">
              <w:rPr>
                <w:noProof/>
                <w:szCs w:val="24"/>
              </w:rPr>
              <w:t xml:space="preserve"> </w:t>
            </w:r>
            <w:r w:rsidRPr="005C3B55">
              <w:rPr>
                <w:szCs w:val="24"/>
              </w:rPr>
              <w:t>The state of Illyrian beech forests, which cover the most extensive areas of forests, is favourable.</w:t>
            </w:r>
            <w:r w:rsidRPr="005C3B55">
              <w:rPr>
                <w:noProof/>
                <w:szCs w:val="24"/>
              </w:rPr>
              <w:t xml:space="preserve"> </w:t>
            </w:r>
            <w:r w:rsidRPr="005C3B55">
              <w:rPr>
                <w:szCs w:val="24"/>
              </w:rPr>
              <w:t>The state of beech forests (</w:t>
            </w:r>
            <w:r w:rsidRPr="005C3B55">
              <w:rPr>
                <w:i/>
                <w:szCs w:val="24"/>
              </w:rPr>
              <w:t>Luzulo Fagetum</w:t>
            </w:r>
            <w:r w:rsidRPr="005C3B55">
              <w:rPr>
                <w:szCs w:val="24"/>
              </w:rPr>
              <w:t>) is unfavourable (due to past practices), but is improving due to appropriate forest management.</w:t>
            </w:r>
          </w:p>
          <w:p w:rsidR="00BD3B5F" w:rsidRPr="005C3B55" w:rsidRDefault="00BD3B5F">
            <w:pPr>
              <w:spacing w:before="240" w:after="240"/>
              <w:jc w:val="left"/>
              <w:rPr>
                <w:noProof/>
                <w:szCs w:val="24"/>
              </w:rPr>
            </w:pPr>
            <w:r w:rsidRPr="005C3B55">
              <w:rPr>
                <w:szCs w:val="24"/>
              </w:rPr>
              <w:t>In the area of habitat types of European importance in the Republic of Slovenia, data show that favourable conservation applies to only 29 per cent of types (95 of 331 types), which is 9 per cent more than in 2008. The main reason for this unfavourable state of conservation of types is non-sustainable management and interventions in space.</w:t>
            </w:r>
            <w:r w:rsidRPr="005C3B55">
              <w:rPr>
                <w:noProof/>
                <w:szCs w:val="24"/>
              </w:rPr>
              <w:t xml:space="preserve"> </w:t>
            </w:r>
            <w:r w:rsidRPr="005C3B55">
              <w:rPr>
                <w:szCs w:val="24"/>
              </w:rPr>
              <w:t>Due to the huge pressures of urbanisation and non-sustainable development put on habitats of extensive agricultural landscape and inland waters, conservation is worst for arthropods (crayfish, butterflies, beetles and dragonflies).</w:t>
            </w:r>
            <w:r w:rsidRPr="005C3B55">
              <w:rPr>
                <w:noProof/>
                <w:szCs w:val="24"/>
              </w:rPr>
              <w:t xml:space="preserve"> </w:t>
            </w:r>
            <w:r w:rsidRPr="005C3B55">
              <w:rPr>
                <w:szCs w:val="24"/>
              </w:rPr>
              <w:t>The direction of development for these species is also not favourable.</w:t>
            </w:r>
            <w:r w:rsidRPr="005C3B55">
              <w:rPr>
                <w:noProof/>
                <w:szCs w:val="24"/>
              </w:rPr>
              <w:t xml:space="preserve"> </w:t>
            </w:r>
            <w:r w:rsidRPr="005C3B55">
              <w:rPr>
                <w:szCs w:val="24"/>
              </w:rPr>
              <w:t>Only types in the groups of ferns and seed plants are well conserved, where more than half of the types are favourably conserved.</w:t>
            </w:r>
            <w:r w:rsidRPr="005C3B55">
              <w:rPr>
                <w:noProof/>
                <w:szCs w:val="24"/>
              </w:rPr>
              <w:t xml:space="preserve"> </w:t>
            </w:r>
            <w:r w:rsidRPr="005C3B55">
              <w:rPr>
                <w:szCs w:val="24"/>
              </w:rPr>
              <w:t>Numerous types are connected to forest habitat types that are mostly well conserved.</w:t>
            </w:r>
          </w:p>
          <w:p w:rsidR="00BD3B5F" w:rsidRPr="005C3B55" w:rsidRDefault="00BD3B5F">
            <w:pPr>
              <w:spacing w:before="240" w:after="240"/>
              <w:jc w:val="left"/>
              <w:rPr>
                <w:noProof/>
                <w:szCs w:val="24"/>
              </w:rPr>
            </w:pPr>
            <w:r w:rsidRPr="005C3B55">
              <w:rPr>
                <w:szCs w:val="24"/>
              </w:rPr>
              <w:t>It has been assessed that agriculture and anthropogenic modification of water ecosystems have a great impact on the conservation of species and habitat types.</w:t>
            </w:r>
            <w:r w:rsidRPr="005C3B55">
              <w:rPr>
                <w:noProof/>
                <w:szCs w:val="24"/>
              </w:rPr>
              <w:t xml:space="preserve"> </w:t>
            </w:r>
            <w:r w:rsidRPr="005C3B55">
              <w:rPr>
                <w:szCs w:val="24"/>
              </w:rPr>
              <w:t>Grassland and freshwater habitat types are most exposed, so measures are required especially for these areas.</w:t>
            </w:r>
          </w:p>
          <w:p w:rsidR="00BD3B5F" w:rsidRPr="005C3B55" w:rsidRDefault="00BD3B5F">
            <w:pPr>
              <w:spacing w:before="240" w:after="240"/>
              <w:jc w:val="left"/>
              <w:rPr>
                <w:noProof/>
                <w:szCs w:val="24"/>
              </w:rPr>
            </w:pPr>
            <w:r w:rsidRPr="005C3B55">
              <w:rPr>
                <w:szCs w:val="24"/>
              </w:rPr>
              <w:t>Agriculture also strongly impacts the bird populations of agricultural landscape and generalist species.</w:t>
            </w:r>
            <w:r w:rsidRPr="005C3B55">
              <w:rPr>
                <w:noProof/>
                <w:szCs w:val="24"/>
              </w:rPr>
              <w:t xml:space="preserve"> </w:t>
            </w:r>
            <w:r w:rsidRPr="005C3B55">
              <w:rPr>
                <w:szCs w:val="24"/>
              </w:rPr>
              <w:t>Characteristic birds of agricultural landscape depend on extensive farming; their populations mostly decrease due to the intensification of agriculture.</w:t>
            </w:r>
            <w:r w:rsidRPr="005C3B55">
              <w:rPr>
                <w:noProof/>
                <w:szCs w:val="24"/>
              </w:rPr>
              <w:t xml:space="preserve"> </w:t>
            </w:r>
            <w:r w:rsidRPr="005C3B55">
              <w:rPr>
                <w:szCs w:val="24"/>
              </w:rPr>
              <w:t>The Slovenian agricultural landscape bird index in 2013 was 78.4 per cent (in comparison to 2008), which is worse (by 5.8 per cent) than in 2012. The index comprises 29 species characteristic of the Slovenian agricultural landscape.</w:t>
            </w:r>
            <w:r w:rsidRPr="005C3B55">
              <w:rPr>
                <w:noProof/>
                <w:szCs w:val="24"/>
              </w:rPr>
              <w:t xml:space="preserve"> </w:t>
            </w:r>
            <w:r w:rsidRPr="005C3B55">
              <w:rPr>
                <w:szCs w:val="24"/>
              </w:rPr>
              <w:t>The index of undemanding species in relation to habitats (generalist species) is 85.0 per cent, while for meadow species the index is 67.2 per cent.</w:t>
            </w:r>
            <w:r w:rsidRPr="005C3B55">
              <w:rPr>
                <w:noProof/>
                <w:szCs w:val="24"/>
              </w:rPr>
              <w:t xml:space="preserve"> </w:t>
            </w:r>
            <w:r w:rsidRPr="005C3B55">
              <w:rPr>
                <w:szCs w:val="24"/>
              </w:rPr>
              <w:t>Some decrease in 2013 was probably due to the long winter.</w:t>
            </w:r>
            <w:r w:rsidRPr="005C3B55">
              <w:rPr>
                <w:noProof/>
                <w:szCs w:val="24"/>
              </w:rPr>
              <w:t xml:space="preserve"> </w:t>
            </w:r>
            <w:r w:rsidRPr="005C3B55">
              <w:rPr>
                <w:szCs w:val="24"/>
              </w:rPr>
              <w:t>An index similar to the meadow species index also refers to forest types in agricultural landscape (67.1 per cent) and hedges (71.9 per cent).</w:t>
            </w:r>
            <w:r w:rsidRPr="005C3B55">
              <w:rPr>
                <w:noProof/>
                <w:szCs w:val="24"/>
              </w:rPr>
              <w:t xml:space="preserve"> </w:t>
            </w:r>
            <w:r w:rsidRPr="005C3B55">
              <w:rPr>
                <w:szCs w:val="24"/>
              </w:rPr>
              <w:t>Negative trends for meadow bird species are especially worrying (e.g. whinchat, Eurasian skyark, corn bunting), and show that the conditions in their habitats are worsening and shrinking.</w:t>
            </w:r>
            <w:r w:rsidRPr="005C3B55">
              <w:rPr>
                <w:noProof/>
                <w:szCs w:val="24"/>
              </w:rPr>
              <w:t xml:space="preserve"> </w:t>
            </w:r>
            <w:r w:rsidRPr="005C3B55">
              <w:rPr>
                <w:szCs w:val="24"/>
              </w:rPr>
              <w:t>The same is shown by trends of species in special conservation areas, especially the corn crake; its population has been decreasing since 1999 (source:</w:t>
            </w:r>
            <w:r w:rsidRPr="005C3B55">
              <w:rPr>
                <w:noProof/>
                <w:szCs w:val="24"/>
              </w:rPr>
              <w:t xml:space="preserve"> </w:t>
            </w:r>
            <w:r w:rsidRPr="005C3B55">
              <w:rPr>
                <w:szCs w:val="24"/>
              </w:rPr>
              <w:t>DOPPS, 2013) (see Table:</w:t>
            </w:r>
            <w:r w:rsidRPr="005C3B55">
              <w:rPr>
                <w:noProof/>
                <w:szCs w:val="24"/>
              </w:rPr>
              <w:t xml:space="preserve"> </w:t>
            </w:r>
            <w:r w:rsidRPr="005C3B55">
              <w:rPr>
                <w:szCs w:val="24"/>
              </w:rPr>
              <w:t>List of birds and their habitats – unfavourable condition).</w:t>
            </w:r>
          </w:p>
          <w:p w:rsidR="00BD3B5F" w:rsidRPr="005C3B55" w:rsidRDefault="00BD3B5F">
            <w:pPr>
              <w:spacing w:before="240" w:after="240"/>
              <w:jc w:val="left"/>
              <w:rPr>
                <w:noProof/>
                <w:szCs w:val="24"/>
              </w:rPr>
            </w:pPr>
            <w:r w:rsidRPr="005C3B55">
              <w:rPr>
                <w:szCs w:val="24"/>
              </w:rPr>
              <w:t>Forest habitat types and species management are based on forest management plans for forest units, which in Natura 2000 sites include the nature protection guidelines of the IRSNC.</w:t>
            </w:r>
            <w:r w:rsidRPr="005C3B55">
              <w:rPr>
                <w:noProof/>
                <w:szCs w:val="24"/>
              </w:rPr>
              <w:t xml:space="preserve"> </w:t>
            </w:r>
            <w:r w:rsidRPr="005C3B55">
              <w:rPr>
                <w:szCs w:val="24"/>
              </w:rPr>
              <w:t>The analysis of results shows that the system is working properly, especially for classification species with less specific ecological requirements and habitat types that cover the largest areas.</w:t>
            </w:r>
            <w:r w:rsidRPr="005C3B55">
              <w:rPr>
                <w:noProof/>
                <w:szCs w:val="24"/>
              </w:rPr>
              <w:t xml:space="preserve"> </w:t>
            </w:r>
            <w:r w:rsidRPr="005C3B55">
              <w:rPr>
                <w:szCs w:val="24"/>
              </w:rPr>
              <w:t>In the future, more emphasis should be put on measures such as the accummulation of dead biomass and habitat trees, and the supplementation of the network of reserves and eco-cells, as well as other specific measures to improve the condition of qualification species and habitat types whose conservation is poor.</w:t>
            </w:r>
          </w:p>
          <w:p w:rsidR="00BD3B5F" w:rsidRPr="005C3B55" w:rsidRDefault="00BD3B5F">
            <w:pPr>
              <w:spacing w:before="240" w:after="240"/>
              <w:jc w:val="left"/>
              <w:rPr>
                <w:noProof/>
                <w:szCs w:val="24"/>
              </w:rPr>
            </w:pPr>
            <w:r w:rsidRPr="005C3B55">
              <w:rPr>
                <w:b/>
                <w:szCs w:val="24"/>
              </w:rPr>
              <w:t>Quality and use of water</w:t>
            </w:r>
          </w:p>
          <w:p w:rsidR="00BD3B5F" w:rsidRPr="005C3B55" w:rsidRDefault="00BD3B5F">
            <w:pPr>
              <w:spacing w:before="240" w:after="240"/>
              <w:jc w:val="left"/>
              <w:rPr>
                <w:noProof/>
                <w:szCs w:val="24"/>
              </w:rPr>
            </w:pPr>
            <w:r w:rsidRPr="005C3B55">
              <w:rPr>
                <w:b/>
                <w:szCs w:val="24"/>
              </w:rPr>
              <w:t>The surface waters</w:t>
            </w:r>
            <w:r w:rsidRPr="005C3B55">
              <w:rPr>
                <w:szCs w:val="24"/>
              </w:rPr>
              <w:t xml:space="preserve"> of Slovenia are divided by a watershed into two water catchment basins,</w:t>
            </w:r>
            <w:r w:rsidRPr="005C3B55">
              <w:rPr>
                <w:noProof/>
                <w:szCs w:val="24"/>
              </w:rPr>
              <w:t xml:space="preserve"> </w:t>
            </w:r>
            <w:r w:rsidRPr="005C3B55">
              <w:rPr>
                <w:szCs w:val="24"/>
              </w:rPr>
              <w:t>the Danube River basin and the Adriatic Sea basin.</w:t>
            </w:r>
            <w:r w:rsidRPr="005C3B55">
              <w:rPr>
                <w:noProof/>
                <w:szCs w:val="24"/>
              </w:rPr>
              <w:t xml:space="preserve"> </w:t>
            </w:r>
            <w:r w:rsidRPr="005C3B55">
              <w:rPr>
                <w:szCs w:val="24"/>
              </w:rPr>
              <w:t>A total of 155 water bodies of surface waters have been determined.</w:t>
            </w:r>
          </w:p>
          <w:p w:rsidR="00BD3B5F" w:rsidRPr="005C3B55" w:rsidRDefault="00BD3B5F">
            <w:pPr>
              <w:spacing w:before="0" w:after="0"/>
              <w:jc w:val="left"/>
              <w:rPr>
                <w:noProof/>
                <w:szCs w:val="24"/>
              </w:rPr>
            </w:pPr>
            <w:r w:rsidRPr="005C3B55">
              <w:rPr>
                <w:b/>
                <w:szCs w:val="24"/>
              </w:rPr>
              <w:t>Chemical status of surface waters:</w:t>
            </w:r>
            <w:r w:rsidRPr="005C3B55">
              <w:rPr>
                <w:noProof/>
                <w:szCs w:val="24"/>
              </w:rPr>
              <w:t xml:space="preserve"> </w:t>
            </w:r>
            <w:r w:rsidRPr="005C3B55">
              <w:rPr>
                <w:szCs w:val="24"/>
              </w:rPr>
              <w:t>All inland waters (rivers and lakes) are in good chemical condition, since the load with priority substances is low.</w:t>
            </w:r>
            <w:r w:rsidRPr="005C3B55">
              <w:rPr>
                <w:noProof/>
                <w:szCs w:val="24"/>
              </w:rPr>
              <w:t xml:space="preserve"> </w:t>
            </w:r>
            <w:r w:rsidRPr="005C3B55">
              <w:rPr>
                <w:szCs w:val="24"/>
              </w:rPr>
              <w:t>5 WB (3.2 per cent) of 155 water bodies (WB) do not achieve a good chemical status of surface waters.</w:t>
            </w:r>
            <w:r w:rsidRPr="005C3B55">
              <w:rPr>
                <w:noProof/>
                <w:szCs w:val="24"/>
              </w:rPr>
              <w:t xml:space="preserve"> </w:t>
            </w:r>
            <w:r w:rsidRPr="005C3B55">
              <w:rPr>
                <w:szCs w:val="24"/>
              </w:rPr>
              <w:t>They are in a poor chemical state due to tributylin compounds.</w:t>
            </w:r>
            <w:r w:rsidRPr="005C3B55">
              <w:rPr>
                <w:noProof/>
                <w:szCs w:val="24"/>
              </w:rPr>
              <w:t xml:space="preserve"> </w:t>
            </w:r>
            <w:r w:rsidRPr="005C3B55">
              <w:rPr>
                <w:szCs w:val="24"/>
              </w:rPr>
              <w:t>149 WB (96.1 per cent) are in a good chemical state; one WB was not assessed.</w:t>
            </w:r>
          </w:p>
          <w:p w:rsidR="00BD3B5F" w:rsidRPr="005C3B55" w:rsidRDefault="00BD3B5F">
            <w:pPr>
              <w:spacing w:before="0" w:after="0"/>
              <w:jc w:val="left"/>
              <w:rPr>
                <w:noProof/>
                <w:szCs w:val="24"/>
              </w:rPr>
            </w:pPr>
            <w:r w:rsidRPr="005C3B55">
              <w:rPr>
                <w:b/>
                <w:szCs w:val="24"/>
              </w:rPr>
              <w:t>Ecological status of surface waters:</w:t>
            </w:r>
            <w:r w:rsidRPr="005C3B55">
              <w:rPr>
                <w:noProof/>
                <w:szCs w:val="24"/>
              </w:rPr>
              <w:t xml:space="preserve"> </w:t>
            </w:r>
            <w:r w:rsidRPr="005C3B55">
              <w:rPr>
                <w:szCs w:val="24"/>
              </w:rPr>
              <w:t>On the basis of the assessment of the situation for the Water Management Plan of the Slovenian Environment Agency, 59 water bodies (38.1 per cent) are not in a good ecological state, two (1.3 per cent) were classified in the very poor state category, seven (4.5 per cent) in the poor category and 41 (26.5 per cent) in the moderate category, while</w:t>
            </w:r>
            <w:r w:rsidRPr="005C3B55">
              <w:rPr>
                <w:noProof/>
                <w:szCs w:val="24"/>
              </w:rPr>
              <w:t xml:space="preserve"> </w:t>
            </w:r>
            <w:r w:rsidRPr="005C3B55">
              <w:rPr>
                <w:szCs w:val="24"/>
              </w:rPr>
              <w:t>9 water bodies (5.8 per cent) do not have good ecological potential.</w:t>
            </w:r>
            <w:r w:rsidRPr="005C3B55">
              <w:rPr>
                <w:noProof/>
                <w:szCs w:val="24"/>
              </w:rPr>
              <w:t xml:space="preserve"> </w:t>
            </w:r>
            <w:r w:rsidRPr="005C3B55">
              <w:rPr>
                <w:szCs w:val="24"/>
              </w:rPr>
              <w:t>The reasons for not achieving the objectives of Water Directive 2000/60/EC were excessive burdening with organic mass, and the hydromorphological and nutrients burden.</w:t>
            </w:r>
            <w:r w:rsidRPr="005C3B55">
              <w:rPr>
                <w:noProof/>
                <w:szCs w:val="24"/>
              </w:rPr>
              <w:t xml:space="preserve"> </w:t>
            </w:r>
            <w:r w:rsidRPr="005C3B55">
              <w:rPr>
                <w:szCs w:val="24"/>
              </w:rPr>
              <w:t>7.1 per cent of water bodies were classified as very good, while 44.5 per cent of water bodies were classified as in a good ecological state.</w:t>
            </w:r>
            <w:r w:rsidRPr="005C3B55">
              <w:rPr>
                <w:noProof/>
                <w:szCs w:val="24"/>
              </w:rPr>
              <w:t xml:space="preserve"> </w:t>
            </w:r>
            <w:r w:rsidRPr="005C3B55">
              <w:rPr>
                <w:szCs w:val="24"/>
              </w:rPr>
              <w:t>10.3 per cent of WB were not assessed (retention basins, Škocjanski zatok, artificial water bodies for which no assessment method has been developed).</w:t>
            </w:r>
          </w:p>
          <w:p w:rsidR="00BD3B5F" w:rsidRPr="005C3B55" w:rsidRDefault="00BD3B5F">
            <w:pPr>
              <w:spacing w:before="240" w:after="240"/>
              <w:jc w:val="left"/>
              <w:rPr>
                <w:noProof/>
                <w:szCs w:val="24"/>
              </w:rPr>
            </w:pPr>
            <w:r w:rsidRPr="005C3B55">
              <w:rPr>
                <w:b/>
                <w:szCs w:val="24"/>
              </w:rPr>
              <w:t>Chemical status of groundwater:</w:t>
            </w:r>
            <w:r w:rsidRPr="005C3B55">
              <w:rPr>
                <w:noProof/>
                <w:szCs w:val="24"/>
              </w:rPr>
              <w:t xml:space="preserve"> </w:t>
            </w:r>
            <w:r w:rsidRPr="005C3B55">
              <w:rPr>
                <w:szCs w:val="24"/>
              </w:rPr>
              <w:t>The quality of groundwater is impacted by the vulnerability of aquifers and activities that occur on the earth’s surface.</w:t>
            </w:r>
            <w:r w:rsidRPr="005C3B55">
              <w:rPr>
                <w:noProof/>
                <w:szCs w:val="24"/>
              </w:rPr>
              <w:t xml:space="preserve"> </w:t>
            </w:r>
            <w:r w:rsidRPr="005C3B55">
              <w:rPr>
                <w:szCs w:val="24"/>
              </w:rPr>
              <w:t>Aquifers with granular porosity prevail in flat river valleys, frequently referred to as alluvial aquifers, providing ideal conditions for agriculture, industry and various craft activities.</w:t>
            </w:r>
            <w:r w:rsidRPr="005C3B55">
              <w:rPr>
                <w:noProof/>
                <w:szCs w:val="24"/>
              </w:rPr>
              <w:t xml:space="preserve"> </w:t>
            </w:r>
            <w:r w:rsidRPr="005C3B55">
              <w:rPr>
                <w:szCs w:val="24"/>
              </w:rPr>
              <w:t>This is also reflected in the nitrate content in groundwater.</w:t>
            </w:r>
          </w:p>
          <w:p w:rsidR="00BD3B5F" w:rsidRPr="005C3B55" w:rsidRDefault="00BD3B5F">
            <w:pPr>
              <w:spacing w:before="240" w:after="240"/>
              <w:jc w:val="left"/>
              <w:rPr>
                <w:noProof/>
                <w:szCs w:val="24"/>
              </w:rPr>
            </w:pPr>
            <w:r w:rsidRPr="005C3B55">
              <w:rPr>
                <w:szCs w:val="24"/>
              </w:rPr>
              <w:t>Slovenia is divided into 21 groundwater bodies.</w:t>
            </w:r>
            <w:r w:rsidRPr="005C3B55">
              <w:rPr>
                <w:noProof/>
                <w:szCs w:val="24"/>
              </w:rPr>
              <w:t xml:space="preserve"> </w:t>
            </w:r>
            <w:r w:rsidRPr="005C3B55">
              <w:rPr>
                <w:szCs w:val="24"/>
              </w:rPr>
              <w:t>In the 2009–2013 period, 18 WB (85.7 per cent) achieved a good chemical status.</w:t>
            </w:r>
            <w:r w:rsidRPr="005C3B55">
              <w:rPr>
                <w:noProof/>
                <w:szCs w:val="24"/>
              </w:rPr>
              <w:t xml:space="preserve"> </w:t>
            </w:r>
            <w:r w:rsidRPr="005C3B55">
              <w:rPr>
                <w:szCs w:val="24"/>
              </w:rPr>
              <w:t>Poor chemical status was established in 3 WB (14.3 per cent).</w:t>
            </w:r>
            <w:r w:rsidRPr="005C3B55">
              <w:rPr>
                <w:noProof/>
                <w:szCs w:val="24"/>
              </w:rPr>
              <w:t xml:space="preserve"> </w:t>
            </w:r>
            <w:r w:rsidRPr="005C3B55">
              <w:rPr>
                <w:szCs w:val="24"/>
              </w:rPr>
              <w:t>The most burdened WBs are the Savinja River Basin, the Drava River Basin and the Mura River Basin.</w:t>
            </w:r>
            <w:r w:rsidRPr="005C3B55">
              <w:rPr>
                <w:noProof/>
                <w:szCs w:val="24"/>
              </w:rPr>
              <w:t xml:space="preserve"> </w:t>
            </w:r>
            <w:r w:rsidRPr="005C3B55">
              <w:rPr>
                <w:szCs w:val="24"/>
              </w:rPr>
              <w:t>The reason for not achieving a good chemical status in all WBs is the increased nitrate content; in the Drava River Basin, the reason is still increased atrazine content.</w:t>
            </w:r>
          </w:p>
          <w:p w:rsidR="00BD3B5F" w:rsidRPr="005C3B55" w:rsidRDefault="00BD3B5F">
            <w:pPr>
              <w:spacing w:before="240" w:after="240"/>
              <w:jc w:val="left"/>
              <w:rPr>
                <w:noProof/>
                <w:szCs w:val="24"/>
              </w:rPr>
            </w:pPr>
            <w:r w:rsidRPr="005C3B55">
              <w:rPr>
                <w:szCs w:val="24"/>
              </w:rPr>
              <w:t>Average annual nitrate values in water bodies with alluvial aquifers which are most burdened with nitrates in the 1998 to 2013 period showed statistically typical trends of nitrate content reduction in the water bodies of the Savinja, Drava and Mura River basins.</w:t>
            </w:r>
            <w:r w:rsidRPr="005C3B55">
              <w:rPr>
                <w:noProof/>
                <w:szCs w:val="24"/>
              </w:rPr>
              <w:t xml:space="preserve"> </w:t>
            </w:r>
            <w:r w:rsidRPr="005C3B55">
              <w:rPr>
                <w:szCs w:val="24"/>
              </w:rPr>
              <w:t>Nitrate contents reductions in other water bodies are not statistically typical.</w:t>
            </w:r>
            <w:r w:rsidRPr="005C3B55">
              <w:rPr>
                <w:noProof/>
                <w:szCs w:val="24"/>
              </w:rPr>
              <w:t xml:space="preserve"> </w:t>
            </w:r>
            <w:r w:rsidRPr="005C3B55">
              <w:rPr>
                <w:szCs w:val="24"/>
              </w:rPr>
              <w:t>The results of national groundwater monitoring at least in some water bodies confirm positive effects, which could be the consequence of measures to reduce nitrogen intake in soil.</w:t>
            </w:r>
          </w:p>
          <w:p w:rsidR="00BD3B5F" w:rsidRPr="005C3B55" w:rsidRDefault="00BD3B5F">
            <w:pPr>
              <w:spacing w:before="240" w:after="240"/>
              <w:jc w:val="left"/>
              <w:rPr>
                <w:noProof/>
                <w:szCs w:val="24"/>
              </w:rPr>
            </w:pPr>
            <w:r w:rsidRPr="005C3B55">
              <w:rPr>
                <w:b/>
                <w:szCs w:val="24"/>
              </w:rPr>
              <w:t>Effects of agriculture on hydromorphology and the water environment</w:t>
            </w:r>
            <w:r w:rsidRPr="005C3B55">
              <w:rPr>
                <w:szCs w:val="24"/>
              </w:rPr>
              <w:t>:</w:t>
            </w:r>
            <w:r w:rsidRPr="005C3B55">
              <w:rPr>
                <w:noProof/>
                <w:szCs w:val="24"/>
              </w:rPr>
              <w:t xml:space="preserve"> </w:t>
            </w:r>
            <w:r w:rsidRPr="005C3B55">
              <w:rPr>
                <w:szCs w:val="24"/>
              </w:rPr>
              <w:t>Agriculture has an important influence on the preservation of waters.</w:t>
            </w:r>
            <w:r w:rsidRPr="005C3B55">
              <w:rPr>
                <w:noProof/>
                <w:szCs w:val="24"/>
              </w:rPr>
              <w:t xml:space="preserve"> </w:t>
            </w:r>
            <w:r w:rsidRPr="005C3B55">
              <w:rPr>
                <w:szCs w:val="24"/>
              </w:rPr>
              <w:t>Point and dispersed pollution is problematic, since it occurs due to the inappropriate (improper or excessive) use of livestock manure (manure and liquefied manure) or mineral manure (nitrogen and phoshphorus) or inappropriate use of other organic manure (digestat, compost, sludge from municipal wastewater treatment plants).</w:t>
            </w:r>
            <w:r w:rsidRPr="005C3B55">
              <w:rPr>
                <w:noProof/>
                <w:szCs w:val="24"/>
              </w:rPr>
              <w:t xml:space="preserve"> </w:t>
            </w:r>
            <w:r w:rsidRPr="005C3B55">
              <w:rPr>
                <w:szCs w:val="24"/>
              </w:rPr>
              <w:t>These conditions in combination with the inappropriate regulation of agricultural land along water courses (removal of riparian vegetation, inappropriate irrigation etc.) and also in combination with natural features (soil, precipitation etc.) are often the reason for poor water status.</w:t>
            </w:r>
          </w:p>
          <w:p w:rsidR="00BD3B5F" w:rsidRPr="005C3B55" w:rsidRDefault="00BD3B5F">
            <w:pPr>
              <w:spacing w:before="240" w:after="240"/>
              <w:jc w:val="left"/>
              <w:rPr>
                <w:noProof/>
                <w:szCs w:val="24"/>
              </w:rPr>
            </w:pPr>
            <w:r w:rsidRPr="005C3B55">
              <w:rPr>
                <w:szCs w:val="24"/>
              </w:rPr>
              <w:t>At the same time, intensive agriculture is also a source of hydromorphological burdening caused by water extraction and the construction of retaining reservoirs for irrigation and intensification of land use in riparian areas.</w:t>
            </w:r>
            <w:r w:rsidRPr="005C3B55">
              <w:rPr>
                <w:noProof/>
                <w:szCs w:val="24"/>
              </w:rPr>
              <w:t xml:space="preserve"> </w:t>
            </w:r>
            <w:r w:rsidRPr="005C3B55">
              <w:rPr>
                <w:szCs w:val="24"/>
              </w:rPr>
              <w:t>To reduce this burden, legal regulations stipulate that investors must obtain appropriate environment protection permits in accordance with the regulations on environment protection, as well as other prescribed consents and permits from the competent authorities in accordance with the Agricultural Land Act (Official Gazette of the Republic of Slovenia, no.</w:t>
            </w:r>
            <w:r w:rsidRPr="005C3B55">
              <w:rPr>
                <w:noProof/>
                <w:szCs w:val="24"/>
              </w:rPr>
              <w:t xml:space="preserve"> </w:t>
            </w:r>
            <w:r w:rsidRPr="005C3B55">
              <w:rPr>
                <w:szCs w:val="24"/>
              </w:rPr>
              <w:t>71/2011-UPB2 with all amendments) and the Waters Act (Official Gazette of the Republic of Slovenia, no.</w:t>
            </w:r>
            <w:r w:rsidRPr="005C3B55">
              <w:rPr>
                <w:noProof/>
                <w:szCs w:val="24"/>
              </w:rPr>
              <w:t xml:space="preserve"> </w:t>
            </w:r>
            <w:r w:rsidRPr="005C3B55">
              <w:rPr>
                <w:szCs w:val="24"/>
              </w:rPr>
              <w:t>67/02 with all amendments).</w:t>
            </w:r>
            <w:r w:rsidRPr="005C3B55">
              <w:rPr>
                <w:noProof/>
                <w:szCs w:val="24"/>
              </w:rPr>
              <w:t xml:space="preserve"> </w:t>
            </w:r>
            <w:r w:rsidRPr="005C3B55">
              <w:rPr>
                <w:szCs w:val="24"/>
              </w:rPr>
              <w:t>Interventions in space which could permanently or temporarily impact a water regime or water status (including hydromelioration) require mandatory water approval.</w:t>
            </w:r>
            <w:r w:rsidRPr="005C3B55">
              <w:rPr>
                <w:noProof/>
                <w:szCs w:val="24"/>
              </w:rPr>
              <w:t xml:space="preserve"> </w:t>
            </w:r>
            <w:r w:rsidRPr="005C3B55">
              <w:rPr>
                <w:szCs w:val="24"/>
              </w:rPr>
              <w:t>Water approval is required for water extraction.</w:t>
            </w:r>
            <w:r w:rsidRPr="005C3B55">
              <w:rPr>
                <w:noProof/>
                <w:szCs w:val="24"/>
              </w:rPr>
              <w:t xml:space="preserve"> </w:t>
            </w:r>
            <w:r w:rsidRPr="005C3B55">
              <w:rPr>
                <w:szCs w:val="24"/>
              </w:rPr>
              <w:t>Water approval is issued by the Slovenian Environment Agency (ARSO) if the intended use is harmonised with the criteria and conditions for allocating water rights and water management plans, and if the intended use does not reduce, limit or disable the implementation of the current water rights of other beneficiaries.</w:t>
            </w:r>
            <w:r w:rsidRPr="005C3B55">
              <w:rPr>
                <w:noProof/>
                <w:szCs w:val="24"/>
              </w:rPr>
              <w:t xml:space="preserve"> </w:t>
            </w:r>
            <w:r w:rsidRPr="005C3B55">
              <w:rPr>
                <w:szCs w:val="24"/>
              </w:rPr>
              <w:t>Drainage of agricultural land has not been permitted in Slovenia since 1991.</w:t>
            </w:r>
          </w:p>
          <w:p w:rsidR="00BD3B5F" w:rsidRPr="005C3B55" w:rsidRDefault="00BD3B5F">
            <w:pPr>
              <w:spacing w:before="240" w:after="240"/>
              <w:jc w:val="left"/>
              <w:rPr>
                <w:noProof/>
                <w:szCs w:val="24"/>
              </w:rPr>
            </w:pPr>
            <w:r w:rsidRPr="005C3B55">
              <w:rPr>
                <w:b/>
                <w:szCs w:val="24"/>
              </w:rPr>
              <w:t>Use of water in agriculture:</w:t>
            </w:r>
            <w:r w:rsidRPr="005C3B55">
              <w:rPr>
                <w:noProof/>
                <w:szCs w:val="24"/>
              </w:rPr>
              <w:t xml:space="preserve"> </w:t>
            </w:r>
            <w:r w:rsidRPr="005C3B55">
              <w:rPr>
                <w:szCs w:val="24"/>
              </w:rPr>
              <w:t>Less than one per cent of UAA in Slovenia is irrigated.</w:t>
            </w:r>
            <w:r w:rsidRPr="005C3B55">
              <w:rPr>
                <w:noProof/>
                <w:szCs w:val="24"/>
              </w:rPr>
              <w:t xml:space="preserve"> </w:t>
            </w:r>
            <w:r w:rsidRPr="005C3B55">
              <w:rPr>
                <w:szCs w:val="24"/>
              </w:rPr>
              <w:t>The extraction of water in agriculture in 2013 amounted to 3.6 million cubic metres.</w:t>
            </w:r>
            <w:r w:rsidRPr="005C3B55">
              <w:rPr>
                <w:noProof/>
                <w:szCs w:val="24"/>
              </w:rPr>
              <w:t xml:space="preserve"> </w:t>
            </w:r>
            <w:r w:rsidRPr="005C3B55">
              <w:rPr>
                <w:szCs w:val="24"/>
              </w:rPr>
              <w:t>The most frequently irrigated crops are hops, vegetables and fruit.</w:t>
            </w:r>
            <w:r w:rsidRPr="005C3B55">
              <w:rPr>
                <w:noProof/>
                <w:szCs w:val="24"/>
              </w:rPr>
              <w:t xml:space="preserve"> </w:t>
            </w:r>
            <w:r w:rsidRPr="005C3B55">
              <w:rPr>
                <w:szCs w:val="24"/>
              </w:rPr>
              <w:t>The majority of irrigation systems was built before 1990, after which their development stopped.</w:t>
            </w:r>
            <w:r w:rsidRPr="005C3B55">
              <w:rPr>
                <w:noProof/>
                <w:szCs w:val="24"/>
              </w:rPr>
              <w:t xml:space="preserve"> </w:t>
            </w:r>
            <w:r w:rsidRPr="005C3B55">
              <w:rPr>
                <w:szCs w:val="24"/>
              </w:rPr>
              <w:t>The actual use of irrigation systems is also low and in many places does not exceed 50 per cent of land in the area of the irrigation system.</w:t>
            </w:r>
          </w:p>
          <w:p w:rsidR="00BD3B5F" w:rsidRPr="005C3B55" w:rsidRDefault="00BD3B5F">
            <w:pPr>
              <w:spacing w:before="240" w:after="240"/>
              <w:jc w:val="left"/>
              <w:rPr>
                <w:noProof/>
                <w:szCs w:val="24"/>
              </w:rPr>
            </w:pPr>
            <w:r w:rsidRPr="005C3B55">
              <w:rPr>
                <w:b/>
                <w:szCs w:val="24"/>
              </w:rPr>
              <w:t>Soil</w:t>
            </w:r>
          </w:p>
          <w:p w:rsidR="00BD3B5F" w:rsidRPr="005C3B55" w:rsidRDefault="00BD3B5F">
            <w:pPr>
              <w:spacing w:before="0" w:after="0"/>
              <w:jc w:val="left"/>
              <w:rPr>
                <w:noProof/>
                <w:szCs w:val="24"/>
              </w:rPr>
            </w:pPr>
            <w:r w:rsidRPr="005C3B55">
              <w:rPr>
                <w:szCs w:val="24"/>
              </w:rPr>
              <w:t>It has been established on the basis of an analysis of soil pits, the soil map and soil types as per the use of agricultural land in Slovenia that there is less organic substances on land with intensive treatment in the upper soil horizon than on land which is not ploughed.</w:t>
            </w:r>
            <w:r w:rsidRPr="005C3B55">
              <w:rPr>
                <w:noProof/>
                <w:szCs w:val="24"/>
              </w:rPr>
              <w:t xml:space="preserve"> </w:t>
            </w:r>
            <w:r w:rsidRPr="005C3B55">
              <w:rPr>
                <w:szCs w:val="24"/>
              </w:rPr>
              <w:t>Generally, soil is relatively well supplied with organic substances, as data from the soil map show that the content of organic substances is higher than 2 per cent in 86.2 per cent of agricultural land, and higher than 4 per cent in 30.9 per cent of agricultural land.</w:t>
            </w:r>
            <w:r w:rsidRPr="005C3B55">
              <w:rPr>
                <w:noProof/>
                <w:szCs w:val="24"/>
              </w:rPr>
              <w:t xml:space="preserve"> </w:t>
            </w:r>
            <w:r w:rsidRPr="005C3B55">
              <w:rPr>
                <w:szCs w:val="24"/>
              </w:rPr>
              <w:t>According to data from the European Soil Portal, the content of organic carbon in the upper layer of soil (0–30 cm) in Slovenia was 0.2 Gt in 2010.</w:t>
            </w:r>
          </w:p>
          <w:p w:rsidR="00BD3B5F" w:rsidRPr="005C3B55" w:rsidRDefault="00BD3B5F">
            <w:pPr>
              <w:spacing w:before="240" w:after="240"/>
              <w:jc w:val="left"/>
              <w:rPr>
                <w:noProof/>
                <w:szCs w:val="24"/>
              </w:rPr>
            </w:pPr>
            <w:r w:rsidRPr="005C3B55">
              <w:rPr>
                <w:szCs w:val="24"/>
              </w:rPr>
              <w:t>Areas with a high risk of soil erosion occur locally and are highly dependent on terrain, vegetation, type of soil and climatic characteristics.</w:t>
            </w:r>
            <w:r w:rsidRPr="005C3B55">
              <w:rPr>
                <w:noProof/>
                <w:szCs w:val="24"/>
              </w:rPr>
              <w:t xml:space="preserve"> </w:t>
            </w:r>
            <w:r w:rsidRPr="005C3B55">
              <w:rPr>
                <w:szCs w:val="24"/>
              </w:rPr>
              <w:t>Water erosion is dominant in Slovenia, while wind and snow erosion also occur.</w:t>
            </w:r>
            <w:r w:rsidRPr="005C3B55">
              <w:rPr>
                <w:noProof/>
                <w:szCs w:val="24"/>
              </w:rPr>
              <w:t xml:space="preserve"> </w:t>
            </w:r>
            <w:r w:rsidRPr="005C3B55">
              <w:rPr>
                <w:szCs w:val="24"/>
              </w:rPr>
              <w:t>Erosion on agricultural land is primarily caused by water and wind, but it is by no means negligible, and is most intensive on arable land.</w:t>
            </w:r>
            <w:r w:rsidRPr="005C3B55">
              <w:rPr>
                <w:noProof/>
                <w:szCs w:val="24"/>
              </w:rPr>
              <w:t xml:space="preserve"> </w:t>
            </w:r>
            <w:r w:rsidRPr="005C3B55">
              <w:rPr>
                <w:szCs w:val="24"/>
              </w:rPr>
              <w:t>The estimated level of loss of soil due to water erosion based on the RUSLE model is 7.2 tons/ha/year, which is the third highest value in the EU-27. The RUSLE model estimation determines that 269,900 ha or 37.1 per cent of agricultural land is affected by moderate to severe water erosion.</w:t>
            </w:r>
          </w:p>
          <w:p w:rsidR="00BD3B5F" w:rsidRPr="005C3B55" w:rsidRDefault="00BD3B5F">
            <w:pPr>
              <w:spacing w:before="240" w:after="240"/>
              <w:jc w:val="left"/>
              <w:rPr>
                <w:noProof/>
                <w:szCs w:val="24"/>
              </w:rPr>
            </w:pPr>
            <w:r w:rsidRPr="005C3B55">
              <w:rPr>
                <w:szCs w:val="24"/>
              </w:rPr>
              <w:t>In certain parts of Slovenia, soil is also acidic, impacting soil fertility, sensitivity to pollution and various uses of soil.</w:t>
            </w:r>
            <w:r w:rsidRPr="005C3B55">
              <w:rPr>
                <w:noProof/>
                <w:szCs w:val="24"/>
              </w:rPr>
              <w:t xml:space="preserve"> </w:t>
            </w:r>
            <w:r w:rsidRPr="005C3B55">
              <w:rPr>
                <w:szCs w:val="24"/>
              </w:rPr>
              <w:t>Soil is acidic due to non-carbon surfaces as well as the leaching of nutrients.</w:t>
            </w:r>
          </w:p>
          <w:p w:rsidR="00BD3B5F" w:rsidRPr="005C3B55" w:rsidRDefault="00BD3B5F">
            <w:pPr>
              <w:spacing w:before="240" w:after="240"/>
              <w:jc w:val="left"/>
              <w:rPr>
                <w:noProof/>
                <w:szCs w:val="24"/>
              </w:rPr>
            </w:pPr>
            <w:r w:rsidRPr="005C3B55">
              <w:rPr>
                <w:szCs w:val="24"/>
              </w:rPr>
              <w:t>The principal source of soil contamination due to agricultural activity is the use of fertilisers and pesticides.</w:t>
            </w:r>
            <w:r w:rsidRPr="005C3B55">
              <w:rPr>
                <w:noProof/>
                <w:szCs w:val="24"/>
              </w:rPr>
              <w:t xml:space="preserve"> </w:t>
            </w:r>
            <w:r w:rsidRPr="005C3B55">
              <w:rPr>
                <w:szCs w:val="24"/>
              </w:rPr>
              <w:t>The consumption of mineral fertilisers in Slovenia decreased by 31.4 per cent in the 1992–2013 period.</w:t>
            </w:r>
            <w:r w:rsidRPr="005C3B55">
              <w:rPr>
                <w:noProof/>
                <w:szCs w:val="24"/>
              </w:rPr>
              <w:t xml:space="preserve"> </w:t>
            </w:r>
            <w:r w:rsidRPr="005C3B55">
              <w:rPr>
                <w:szCs w:val="24"/>
              </w:rPr>
              <w:t>The consumption of mineral fertilisers per hectare also decreased in the aforementioned period, i.e. from 342 kilograms per hectare to 272 kilograms per hectare, which is a 20.5 per cent decrease.</w:t>
            </w:r>
            <w:r w:rsidRPr="005C3B55">
              <w:rPr>
                <w:noProof/>
                <w:szCs w:val="24"/>
              </w:rPr>
              <w:t xml:space="preserve"> </w:t>
            </w:r>
            <w:r w:rsidRPr="005C3B55">
              <w:rPr>
                <w:szCs w:val="24"/>
              </w:rPr>
              <w:t>The consumption of plant nutrients – nitrogen, phosphorus and potassium –  also decreased by 27.4 per cent (from 135 kilograms per hectare to 98 kilograms per hectare).</w:t>
            </w:r>
            <w:r w:rsidRPr="005C3B55">
              <w:rPr>
                <w:noProof/>
                <w:szCs w:val="24"/>
              </w:rPr>
              <w:t xml:space="preserve"> </w:t>
            </w:r>
            <w:r w:rsidRPr="005C3B55">
              <w:rPr>
                <w:szCs w:val="24"/>
              </w:rPr>
              <w:t>Mineral fertilisers are used in Slovenia primarily for additional fertilisation with nitrogen, while fertilisation with phosphorus and potassium is combined with manure in the pre-sowing treatment of soil.</w:t>
            </w:r>
          </w:p>
          <w:p w:rsidR="00BD3B5F" w:rsidRPr="005C3B55" w:rsidRDefault="00BD3B5F">
            <w:pPr>
              <w:spacing w:before="240" w:after="240"/>
              <w:jc w:val="left"/>
              <w:rPr>
                <w:noProof/>
                <w:szCs w:val="24"/>
              </w:rPr>
            </w:pPr>
            <w:r w:rsidRPr="005C3B55">
              <w:rPr>
                <w:szCs w:val="24"/>
              </w:rPr>
              <w:t>Nitrogen balance surplus in agriculture in the past twenty years has been declining.</w:t>
            </w:r>
            <w:r w:rsidRPr="005C3B55">
              <w:rPr>
                <w:noProof/>
                <w:szCs w:val="24"/>
              </w:rPr>
              <w:t xml:space="preserve"> </w:t>
            </w:r>
            <w:r w:rsidRPr="005C3B55">
              <w:rPr>
                <w:szCs w:val="24"/>
              </w:rPr>
              <w:t>In 2012, it amounted to 59 kg N/ha UAA.</w:t>
            </w:r>
          </w:p>
          <w:p w:rsidR="00BD3B5F" w:rsidRPr="005C3B55" w:rsidRDefault="00BD3B5F">
            <w:pPr>
              <w:spacing w:before="0" w:after="0"/>
              <w:jc w:val="left"/>
              <w:rPr>
                <w:noProof/>
                <w:szCs w:val="24"/>
              </w:rPr>
            </w:pPr>
            <w:r w:rsidRPr="005C3B55">
              <w:rPr>
                <w:szCs w:val="24"/>
              </w:rPr>
              <w:t>The total intake of nitrogen to UAA fell by almost one fifth, from 89,961 tons in 1992 to 72,710 tons in 2012, which is the least in the considered period.</w:t>
            </w:r>
            <w:r w:rsidRPr="005C3B55">
              <w:rPr>
                <w:noProof/>
                <w:szCs w:val="24"/>
              </w:rPr>
              <w:t xml:space="preserve"> </w:t>
            </w:r>
            <w:r w:rsidRPr="005C3B55">
              <w:rPr>
                <w:szCs w:val="24"/>
              </w:rPr>
              <w:t>The average intake of nitrogen per hectare of UAA also dropped, i.e. from 162 kg N/ha to 152 kg N/ha.</w:t>
            </w:r>
            <w:r w:rsidRPr="005C3B55">
              <w:rPr>
                <w:noProof/>
                <w:szCs w:val="24"/>
              </w:rPr>
              <w:t xml:space="preserve"> </w:t>
            </w:r>
            <w:r w:rsidRPr="005C3B55">
              <w:rPr>
                <w:szCs w:val="24"/>
              </w:rPr>
              <w:t>The main source of nitrogen intake to UAA is nitrogen from livestock (50 per cent on average) and mineral fertilisers (36 per cent on average).</w:t>
            </w:r>
          </w:p>
          <w:p w:rsidR="00BD3B5F" w:rsidRPr="005C3B55" w:rsidRDefault="00BD3B5F">
            <w:pPr>
              <w:spacing w:before="240" w:after="240"/>
              <w:jc w:val="left"/>
              <w:rPr>
                <w:noProof/>
                <w:szCs w:val="24"/>
              </w:rPr>
            </w:pPr>
            <w:r w:rsidRPr="005C3B55">
              <w:rPr>
                <w:szCs w:val="24"/>
              </w:rPr>
              <w:t>The reduced consumption of mineral fertilisers made the main contribution to the reduced nitrogen intake.</w:t>
            </w:r>
            <w:r w:rsidRPr="005C3B55">
              <w:rPr>
                <w:noProof/>
                <w:szCs w:val="24"/>
              </w:rPr>
              <w:t xml:space="preserve"> </w:t>
            </w:r>
            <w:r w:rsidRPr="005C3B55">
              <w:rPr>
                <w:szCs w:val="24"/>
              </w:rPr>
              <w:t>Produce absorption of nitrogen oscillated, since it was between 28,973 tons and 54,956 tons or an average of between 52 kg and 109 kg of nitrogen per hectare a year.</w:t>
            </w:r>
            <w:r w:rsidRPr="005C3B55">
              <w:rPr>
                <w:noProof/>
                <w:szCs w:val="24"/>
              </w:rPr>
              <w:t xml:space="preserve"> </w:t>
            </w:r>
            <w:r w:rsidRPr="005C3B55">
              <w:rPr>
                <w:szCs w:val="24"/>
              </w:rPr>
              <w:t>Such differences depend on different weather conditions, since the absorption of nitrogen in dry years also declines due to decreased produce.</w:t>
            </w:r>
          </w:p>
          <w:p w:rsidR="00BD3B5F" w:rsidRPr="005C3B55" w:rsidRDefault="00BD3B5F">
            <w:pPr>
              <w:spacing w:before="240" w:after="240"/>
              <w:jc w:val="left"/>
              <w:rPr>
                <w:noProof/>
                <w:szCs w:val="24"/>
              </w:rPr>
            </w:pPr>
            <w:r w:rsidRPr="005C3B55">
              <w:rPr>
                <w:szCs w:val="24"/>
              </w:rPr>
              <w:t>The use of funds for plant protection halved, according to data on their sale, i.e. from 2,031 tons in 1992 to 1,016 tons in 2012. In the past five years, the use remained the same, at about 5.7 kg of active substance per hectare of arable land.</w:t>
            </w:r>
            <w:r w:rsidRPr="005C3B55">
              <w:rPr>
                <w:noProof/>
                <w:szCs w:val="24"/>
              </w:rPr>
              <w:t xml:space="preserve"> </w:t>
            </w:r>
            <w:r w:rsidRPr="005C3B55">
              <w:rPr>
                <w:szCs w:val="24"/>
              </w:rPr>
              <w:t>In 2012, total use amounted to 5.1 kg/ha, which is the least in the entire monitored period.</w:t>
            </w:r>
            <w:r w:rsidRPr="005C3B55">
              <w:rPr>
                <w:noProof/>
                <w:szCs w:val="24"/>
              </w:rPr>
              <w:t xml:space="preserve"> </w:t>
            </w:r>
            <w:r w:rsidRPr="005C3B55">
              <w:rPr>
                <w:szCs w:val="24"/>
              </w:rPr>
              <w:t>The use of plant protection products per hectare of cultivated land in Slovenia is higher than in most other EU countries, but comparable to countries with similar species of cultivated plants and similar production conditions.</w:t>
            </w:r>
            <w:r w:rsidRPr="005C3B55">
              <w:rPr>
                <w:noProof/>
                <w:szCs w:val="24"/>
              </w:rPr>
              <w:t xml:space="preserve"> </w:t>
            </w:r>
            <w:r w:rsidRPr="005C3B55">
              <w:rPr>
                <w:szCs w:val="24"/>
              </w:rPr>
              <w:t>Slovenia has a high share of permanent crops (orchards, vineyards and hop plantations), where the use of plant protection products (primarily fungicides) per hectare is significantly higher than for cereals and most root crops.</w:t>
            </w:r>
            <w:r w:rsidRPr="005C3B55">
              <w:rPr>
                <w:noProof/>
                <w:szCs w:val="24"/>
              </w:rPr>
              <w:t xml:space="preserve"> </w:t>
            </w:r>
            <w:r w:rsidRPr="005C3B55">
              <w:rPr>
                <w:szCs w:val="24"/>
              </w:rPr>
              <w:t>Fungicides comprise more than two-thirds of all plant protection products used, primarily anorganic fungicides based on sulphur, which are less burdening on the environment.</w:t>
            </w:r>
          </w:p>
          <w:p w:rsidR="00BD3B5F" w:rsidRPr="005C3B55" w:rsidRDefault="00BD3B5F">
            <w:pPr>
              <w:spacing w:before="240" w:after="240"/>
              <w:jc w:val="left"/>
              <w:rPr>
                <w:noProof/>
                <w:szCs w:val="24"/>
              </w:rPr>
            </w:pPr>
            <w:r w:rsidRPr="005C3B55">
              <w:rPr>
                <w:szCs w:val="24"/>
              </w:rPr>
              <w:t>The reduced use of plant protection products is due to the modernisation of agricultural mechanisation and improved techniques for the application of protection products that provide better coverage of treated surfaces and greater efficiency, as well as the reduced application of products outside the intended application sites during application.</w:t>
            </w:r>
          </w:p>
          <w:p w:rsidR="00BD3B5F" w:rsidRPr="005C3B55" w:rsidRDefault="00BD3B5F">
            <w:pPr>
              <w:spacing w:before="240" w:after="240"/>
              <w:jc w:val="left"/>
              <w:rPr>
                <w:noProof/>
                <w:szCs w:val="24"/>
              </w:rPr>
            </w:pPr>
            <w:r w:rsidRPr="005C3B55">
              <w:rPr>
                <w:b/>
                <w:szCs w:val="24"/>
              </w:rPr>
              <w:t>Air</w:t>
            </w:r>
          </w:p>
          <w:p w:rsidR="00BD3B5F" w:rsidRPr="005C3B55" w:rsidRDefault="00BD3B5F">
            <w:pPr>
              <w:spacing w:before="240" w:after="240"/>
              <w:jc w:val="left"/>
              <w:rPr>
                <w:noProof/>
                <w:szCs w:val="24"/>
              </w:rPr>
            </w:pPr>
            <w:r w:rsidRPr="005C3B55">
              <w:rPr>
                <w:szCs w:val="24"/>
              </w:rPr>
              <w:t>Agricultural activity significantly contributes to emissions of air pollutants only in terms of ammonia (NH</w:t>
            </w:r>
            <w:r w:rsidRPr="005C3B55">
              <w:rPr>
                <w:szCs w:val="24"/>
                <w:vertAlign w:val="subscript"/>
              </w:rPr>
              <w:t>3</w:t>
            </w:r>
            <w:r w:rsidRPr="005C3B55">
              <w:rPr>
                <w:szCs w:val="24"/>
              </w:rPr>
              <w:t>) and particles (PM</w:t>
            </w:r>
            <w:r w:rsidRPr="005C3B55">
              <w:rPr>
                <w:szCs w:val="24"/>
                <w:vertAlign w:val="subscript"/>
              </w:rPr>
              <w:t>10</w:t>
            </w:r>
            <w:r w:rsidRPr="005C3B55">
              <w:rPr>
                <w:szCs w:val="24"/>
              </w:rPr>
              <w:t>, PM</w:t>
            </w:r>
            <w:r w:rsidRPr="005C3B55">
              <w:rPr>
                <w:szCs w:val="24"/>
                <w:vertAlign w:val="subscript"/>
              </w:rPr>
              <w:t>2.5</w:t>
            </w:r>
            <w:r w:rsidRPr="005C3B55">
              <w:rPr>
                <w:szCs w:val="24"/>
              </w:rPr>
              <w:t xml:space="preserve"> and TSP).</w:t>
            </w:r>
            <w:r w:rsidRPr="005C3B55">
              <w:rPr>
                <w:noProof/>
                <w:szCs w:val="24"/>
              </w:rPr>
              <w:t xml:space="preserve"> </w:t>
            </w:r>
            <w:r w:rsidRPr="005C3B55">
              <w:rPr>
                <w:szCs w:val="24"/>
              </w:rPr>
              <w:t>Agriculture contributes a minor share of nitrogen oxide (NOx) and non-methane volatile organic compound (NMVOC) emissions, but these have not been assessed in the national emission records.</w:t>
            </w:r>
            <w:r w:rsidRPr="005C3B55">
              <w:rPr>
                <w:noProof/>
                <w:szCs w:val="24"/>
              </w:rPr>
              <w:t xml:space="preserve"> </w:t>
            </w:r>
            <w:r w:rsidRPr="005C3B55">
              <w:rPr>
                <w:szCs w:val="24"/>
              </w:rPr>
              <w:t>Ammonia contributed the biggest share of emitted substances that cause acidification and eutrophication in 2012.</w:t>
            </w:r>
            <w:r w:rsidRPr="005C3B55">
              <w:rPr>
                <w:noProof/>
                <w:szCs w:val="24"/>
              </w:rPr>
              <w:t xml:space="preserve"> </w:t>
            </w:r>
            <w:r w:rsidRPr="005C3B55">
              <w:rPr>
                <w:szCs w:val="24"/>
              </w:rPr>
              <w:t>Its total emission was 44 per cent.</w:t>
            </w:r>
            <w:r w:rsidRPr="005C3B55">
              <w:rPr>
                <w:noProof/>
                <w:szCs w:val="24"/>
              </w:rPr>
              <w:t xml:space="preserve"> </w:t>
            </w:r>
            <w:r w:rsidRPr="005C3B55">
              <w:rPr>
                <w:szCs w:val="24"/>
              </w:rPr>
              <w:t>The main source of ammonia is agriculture, which contributes as much as 96 per cent to total ammonia emissions in the country.</w:t>
            </w:r>
            <w:r w:rsidRPr="005C3B55">
              <w:rPr>
                <w:noProof/>
                <w:szCs w:val="24"/>
              </w:rPr>
              <w:t xml:space="preserve"> </w:t>
            </w:r>
            <w:r w:rsidRPr="005C3B55">
              <w:rPr>
                <w:szCs w:val="24"/>
              </w:rPr>
              <w:t>Ammonia emissions in 2012 were 21 per cent lower in comparison to 1990.</w:t>
            </w:r>
            <w:r w:rsidRPr="005C3B55">
              <w:rPr>
                <w:noProof/>
                <w:szCs w:val="24"/>
              </w:rPr>
              <w:t xml:space="preserve"> </w:t>
            </w:r>
            <w:r w:rsidRPr="005C3B55">
              <w:rPr>
                <w:szCs w:val="24"/>
              </w:rPr>
              <w:t>The reduction of emissions is mostly the result of the lower number of livestock.</w:t>
            </w:r>
            <w:r w:rsidRPr="005C3B55">
              <w:rPr>
                <w:noProof/>
                <w:szCs w:val="24"/>
              </w:rPr>
              <w:t xml:space="preserve"> </w:t>
            </w:r>
            <w:r w:rsidRPr="005C3B55">
              <w:rPr>
                <w:szCs w:val="24"/>
              </w:rPr>
              <w:t>Ammonia emissions in 2012 were 12 per cent lower than the target value (20,000 t/ha), which may not be exceeded (since 2010).</w:t>
            </w:r>
            <w:r w:rsidRPr="005C3B55">
              <w:rPr>
                <w:noProof/>
                <w:szCs w:val="24"/>
              </w:rPr>
              <w:t xml:space="preserve"> </w:t>
            </w:r>
            <w:r w:rsidRPr="005C3B55">
              <w:rPr>
                <w:szCs w:val="24"/>
              </w:rPr>
              <w:t>Greenhouse gas, methane and dinitrogen oxide emissions have reduced by 14 per cent from 1986 to 2011.</w:t>
            </w:r>
            <w:r w:rsidRPr="005C3B55">
              <w:rPr>
                <w:noProof/>
                <w:szCs w:val="24"/>
              </w:rPr>
              <w:t xml:space="preserve"> </w:t>
            </w:r>
            <w:r w:rsidRPr="005C3B55">
              <w:rPr>
                <w:szCs w:val="24"/>
              </w:rPr>
              <w:t>This was mostly affected by smaller extent of cattle, pig and poultry breeding, as well as improved livestock fertiliser management methods.</w:t>
            </w:r>
            <w:r w:rsidRPr="005C3B55">
              <w:rPr>
                <w:noProof/>
                <w:szCs w:val="24"/>
              </w:rPr>
              <w:t xml:space="preserve"> </w:t>
            </w:r>
            <w:r w:rsidRPr="005C3B55">
              <w:rPr>
                <w:szCs w:val="24"/>
              </w:rPr>
              <w:t>Annual methane emissions in agriculture decreased from 54,285 to 50,362 tons from 1986 to 2011 or by 7.2 per cent; dinitrogen oxide emissions decreased from 3,455 to 2,720 tons or by 21.3 per cent.</w:t>
            </w:r>
            <w:r w:rsidRPr="005C3B55">
              <w:rPr>
                <w:noProof/>
                <w:szCs w:val="24"/>
              </w:rPr>
              <w:t xml:space="preserve"> </w:t>
            </w:r>
            <w:r w:rsidRPr="005C3B55">
              <w:rPr>
                <w:szCs w:val="24"/>
              </w:rPr>
              <w:t>The greenhouse effect of greenhouse gases from agriculture expressed in CO</w:t>
            </w:r>
            <w:r w:rsidRPr="005C3B55">
              <w:rPr>
                <w:szCs w:val="24"/>
                <w:vertAlign w:val="subscript"/>
              </w:rPr>
              <w:t>2</w:t>
            </w:r>
            <w:r w:rsidRPr="005C3B55">
              <w:rPr>
                <w:szCs w:val="24"/>
              </w:rPr>
              <w:t xml:space="preserve"> equivalent decreased in this period from 2,210,953 to 1,900,728 tons or by 14 per cent.</w:t>
            </w:r>
            <w:r w:rsidRPr="005C3B55">
              <w:rPr>
                <w:noProof/>
                <w:szCs w:val="24"/>
              </w:rPr>
              <w:t xml:space="preserve"> </w:t>
            </w:r>
            <w:r w:rsidRPr="005C3B55">
              <w:rPr>
                <w:szCs w:val="24"/>
              </w:rPr>
              <w:t>Greenhouse gas emissions from forestry in 2011 amounted to 16.15 Gg of CO</w:t>
            </w:r>
            <w:r w:rsidRPr="005C3B55">
              <w:rPr>
                <w:szCs w:val="24"/>
                <w:vertAlign w:val="subscript"/>
              </w:rPr>
              <w:t>2</w:t>
            </w:r>
            <w:r w:rsidRPr="005C3B55">
              <w:rPr>
                <w:szCs w:val="24"/>
              </w:rPr>
              <w:t xml:space="preserve"> equivalent, which is only 0.08 per cent of total greenhouse gas emissions.</w:t>
            </w:r>
            <w:r w:rsidRPr="005C3B55">
              <w:rPr>
                <w:noProof/>
                <w:szCs w:val="24"/>
              </w:rPr>
              <w:t xml:space="preserve"> </w:t>
            </w:r>
            <w:r w:rsidRPr="005C3B55">
              <w:rPr>
                <w:szCs w:val="24"/>
              </w:rPr>
              <w:t>Greenhouse gas emissions from forestry are produced through the consumption of fuel for felling, skidding and wood processing in warehouses (mostly as CO</w:t>
            </w:r>
            <w:r w:rsidRPr="005C3B55">
              <w:rPr>
                <w:szCs w:val="24"/>
                <w:vertAlign w:val="subscript"/>
              </w:rPr>
              <w:t>2</w:t>
            </w:r>
            <w:r w:rsidRPr="005C3B55">
              <w:rPr>
                <w:szCs w:val="24"/>
              </w:rPr>
              <w:t>).</w:t>
            </w:r>
            <w:r w:rsidRPr="005C3B55">
              <w:rPr>
                <w:noProof/>
                <w:szCs w:val="24"/>
              </w:rPr>
              <w:t xml:space="preserve"> </w:t>
            </w:r>
            <w:r w:rsidRPr="005C3B55">
              <w:rPr>
                <w:szCs w:val="24"/>
              </w:rPr>
              <w:t>Between 1986 and 2011, they decreased from 58.25 to 16.15 Gg of CO</w:t>
            </w:r>
            <w:r w:rsidRPr="005C3B55">
              <w:rPr>
                <w:szCs w:val="24"/>
                <w:vertAlign w:val="subscript"/>
              </w:rPr>
              <w:t>2</w:t>
            </w:r>
            <w:r w:rsidRPr="005C3B55">
              <w:rPr>
                <w:szCs w:val="24"/>
              </w:rPr>
              <w:t xml:space="preserve"> equivalent, or by 72.3 per cent.</w:t>
            </w:r>
            <w:r w:rsidRPr="005C3B55">
              <w:rPr>
                <w:noProof/>
                <w:szCs w:val="24"/>
              </w:rPr>
              <w:t xml:space="preserve"> </w:t>
            </w:r>
            <w:r w:rsidRPr="005C3B55">
              <w:rPr>
                <w:szCs w:val="24"/>
              </w:rPr>
              <w:t>PM</w:t>
            </w:r>
            <w:r w:rsidRPr="005C3B55">
              <w:rPr>
                <w:szCs w:val="24"/>
                <w:vertAlign w:val="subscript"/>
              </w:rPr>
              <w:t>2.5</w:t>
            </w:r>
            <w:r w:rsidRPr="005C3B55">
              <w:rPr>
                <w:szCs w:val="24"/>
              </w:rPr>
              <w:t xml:space="preserve"> emissions in the 2000-2012 period increased by 12 per cent, mostly due to the increased use of wood biomass for household heating.</w:t>
            </w:r>
            <w:r w:rsidRPr="005C3B55">
              <w:rPr>
                <w:noProof/>
                <w:szCs w:val="24"/>
              </w:rPr>
              <w:t xml:space="preserve"> </w:t>
            </w:r>
            <w:r w:rsidRPr="005C3B55">
              <w:rPr>
                <w:szCs w:val="24"/>
              </w:rPr>
              <w:t>Individual heating devices are another reason for PM</w:t>
            </w:r>
            <w:r w:rsidRPr="005C3B55">
              <w:rPr>
                <w:szCs w:val="24"/>
                <w:vertAlign w:val="subscript"/>
              </w:rPr>
              <w:t>10</w:t>
            </w:r>
            <w:r w:rsidRPr="005C3B55">
              <w:rPr>
                <w:szCs w:val="24"/>
              </w:rPr>
              <w:t xml:space="preserve"> pollution.</w:t>
            </w:r>
          </w:p>
          <w:p w:rsidR="00BD3B5F" w:rsidRPr="005C3B55" w:rsidRDefault="00BD3B5F">
            <w:pPr>
              <w:spacing w:before="240" w:after="240"/>
              <w:jc w:val="left"/>
              <w:rPr>
                <w:noProof/>
                <w:szCs w:val="24"/>
              </w:rPr>
            </w:pPr>
            <w:r w:rsidRPr="005C3B55">
              <w:rPr>
                <w:b/>
                <w:szCs w:val="24"/>
              </w:rPr>
              <w:t>Climate change</w:t>
            </w:r>
          </w:p>
          <w:p w:rsidR="00BD3B5F" w:rsidRPr="005C3B55" w:rsidRDefault="00BD3B5F">
            <w:pPr>
              <w:spacing w:before="240" w:after="240"/>
              <w:jc w:val="left"/>
              <w:rPr>
                <w:noProof/>
                <w:szCs w:val="24"/>
              </w:rPr>
            </w:pPr>
            <w:r w:rsidRPr="005C3B55">
              <w:rPr>
                <w:szCs w:val="24"/>
              </w:rPr>
              <w:t>The average annual temperature throughout country has been rising.</w:t>
            </w:r>
            <w:r w:rsidRPr="005C3B55">
              <w:rPr>
                <w:noProof/>
                <w:szCs w:val="24"/>
              </w:rPr>
              <w:t xml:space="preserve"> </w:t>
            </w:r>
            <w:r w:rsidRPr="005C3B55">
              <w:rPr>
                <w:szCs w:val="24"/>
              </w:rPr>
              <w:t>In the 1961–2011 period, average temperatures increased by 1.7 degrees Celsius, slightly more in the east than in the west.</w:t>
            </w:r>
            <w:r w:rsidRPr="005C3B55">
              <w:rPr>
                <w:noProof/>
                <w:szCs w:val="24"/>
              </w:rPr>
              <w:t xml:space="preserve"> </w:t>
            </w:r>
            <w:r w:rsidRPr="005C3B55">
              <w:rPr>
                <w:szCs w:val="24"/>
              </w:rPr>
              <w:t>The rise has been recorded in all seasons, while the trend has not been pronounced only in the autumn.</w:t>
            </w:r>
            <w:r w:rsidRPr="005C3B55">
              <w:rPr>
                <w:noProof/>
                <w:szCs w:val="24"/>
              </w:rPr>
              <w:t xml:space="preserve"> </w:t>
            </w:r>
            <w:r w:rsidRPr="005C3B55">
              <w:rPr>
                <w:szCs w:val="24"/>
              </w:rPr>
              <w:t>Warming is noticeable also in daily extremes – the lowest and highest air temperatures.</w:t>
            </w:r>
            <w:r w:rsidRPr="005C3B55">
              <w:rPr>
                <w:noProof/>
                <w:szCs w:val="24"/>
              </w:rPr>
              <w:t xml:space="preserve"> </w:t>
            </w:r>
            <w:r w:rsidRPr="005C3B55">
              <w:rPr>
                <w:szCs w:val="24"/>
              </w:rPr>
              <w:t xml:space="preserve">Rainfall is even more variable than temperature. </w:t>
            </w:r>
            <w:r w:rsidRPr="005C3B55">
              <w:rPr>
                <w:noProof/>
                <w:szCs w:val="24"/>
              </w:rPr>
              <w:t xml:space="preserve"> </w:t>
            </w:r>
            <w:r w:rsidRPr="005C3B55">
              <w:rPr>
                <w:szCs w:val="24"/>
              </w:rPr>
              <w:t>Average rainfall decreased by around 160 millimetres in the 1961–2011 period.</w:t>
            </w:r>
            <w:r w:rsidRPr="005C3B55">
              <w:rPr>
                <w:noProof/>
                <w:szCs w:val="24"/>
              </w:rPr>
              <w:t xml:space="preserve"> </w:t>
            </w:r>
            <w:r w:rsidRPr="005C3B55">
              <w:rPr>
                <w:szCs w:val="24"/>
              </w:rPr>
              <w:t>The rainfall regime varies, which impacts the frequency of days with rainfall above the selected thresholds.</w:t>
            </w:r>
            <w:r w:rsidRPr="005C3B55">
              <w:rPr>
                <w:noProof/>
                <w:szCs w:val="24"/>
              </w:rPr>
              <w:t xml:space="preserve"> </w:t>
            </w:r>
            <w:r w:rsidRPr="005C3B55">
              <w:rPr>
                <w:szCs w:val="24"/>
              </w:rPr>
              <w:t>Regional differences can be the consequence of diverse rainfall regimes.</w:t>
            </w:r>
            <w:r w:rsidRPr="005C3B55">
              <w:rPr>
                <w:noProof/>
                <w:szCs w:val="24"/>
              </w:rPr>
              <w:t xml:space="preserve"> </w:t>
            </w:r>
            <w:r w:rsidRPr="005C3B55">
              <w:rPr>
                <w:szCs w:val="24"/>
              </w:rPr>
              <w:t>Along with changes in the annual scale, the changes in the frequency and intensity by individual seasons are even more important.</w:t>
            </w:r>
            <w:r w:rsidRPr="005C3B55">
              <w:rPr>
                <w:noProof/>
                <w:szCs w:val="24"/>
              </w:rPr>
              <w:t xml:space="preserve"> </w:t>
            </w:r>
            <w:r w:rsidRPr="005C3B55">
              <w:rPr>
                <w:szCs w:val="24"/>
              </w:rPr>
              <w:t>Every year, heavy storms with strong wind, downpours and hail occur in Slovenia.</w:t>
            </w:r>
            <w:r w:rsidRPr="005C3B55">
              <w:rPr>
                <w:noProof/>
                <w:szCs w:val="24"/>
              </w:rPr>
              <w:t xml:space="preserve"> </w:t>
            </w:r>
            <w:r w:rsidRPr="005C3B55">
              <w:rPr>
                <w:szCs w:val="24"/>
              </w:rPr>
              <w:t>Very intensive rainfall lasting for several hours or a day or two, which can cause landslides or local floods, also occurs locally.</w:t>
            </w:r>
            <w:r w:rsidRPr="005C3B55">
              <w:rPr>
                <w:noProof/>
                <w:szCs w:val="24"/>
              </w:rPr>
              <w:t xml:space="preserve"> </w:t>
            </w:r>
            <w:r w:rsidRPr="005C3B55">
              <w:rPr>
                <w:szCs w:val="24"/>
              </w:rPr>
              <w:t>Almost every year, there is an episode of strong wind that causes damage and falls trees.</w:t>
            </w:r>
            <w:r w:rsidRPr="005C3B55">
              <w:rPr>
                <w:noProof/>
                <w:szCs w:val="24"/>
              </w:rPr>
              <w:t xml:space="preserve"> </w:t>
            </w:r>
            <w:r w:rsidRPr="005C3B55">
              <w:rPr>
                <w:szCs w:val="24"/>
              </w:rPr>
              <w:t>Catastrophic droughts and floods are becoming more frequent and sometimes occur in consequtive years.</w:t>
            </w:r>
            <w:r w:rsidRPr="005C3B55">
              <w:rPr>
                <w:noProof/>
                <w:szCs w:val="24"/>
              </w:rPr>
              <w:t xml:space="preserve"> </w:t>
            </w:r>
            <w:r w:rsidRPr="005C3B55">
              <w:rPr>
                <w:szCs w:val="24"/>
              </w:rPr>
              <w:t>Excessive rainfall and drought can occur in the same year.</w:t>
            </w:r>
            <w:r w:rsidRPr="005C3B55">
              <w:rPr>
                <w:noProof/>
                <w:szCs w:val="24"/>
              </w:rPr>
              <w:t xml:space="preserve"> </w:t>
            </w:r>
            <w:r w:rsidRPr="005C3B55">
              <w:rPr>
                <w:szCs w:val="24"/>
              </w:rPr>
              <w:t>Data on the thickest snow cover throughout the entire country suggest a decreasing trend, which is least pronounced in high mountains.</w:t>
            </w:r>
            <w:r w:rsidRPr="005C3B55">
              <w:rPr>
                <w:noProof/>
                <w:szCs w:val="24"/>
              </w:rPr>
              <w:t xml:space="preserve"> </w:t>
            </w:r>
            <w:r w:rsidRPr="005C3B55">
              <w:rPr>
                <w:szCs w:val="24"/>
              </w:rPr>
              <w:t>Evapotranspiration has also increased due to the rise in temperatures.</w:t>
            </w:r>
            <w:r w:rsidRPr="005C3B55">
              <w:rPr>
                <w:noProof/>
                <w:szCs w:val="24"/>
              </w:rPr>
              <w:t xml:space="preserve"> </w:t>
            </w:r>
            <w:r w:rsidRPr="005C3B55">
              <w:rPr>
                <w:szCs w:val="24"/>
              </w:rPr>
              <w:t>Together with the decrease in rainfall in spring and summer, higher evapotranspiration increases the probability of both agricultural and hydrological drought.</w:t>
            </w:r>
            <w:r w:rsidRPr="005C3B55">
              <w:rPr>
                <w:noProof/>
                <w:szCs w:val="24"/>
              </w:rPr>
              <w:t xml:space="preserve"> </w:t>
            </w:r>
            <w:r w:rsidRPr="005C3B55">
              <w:rPr>
                <w:szCs w:val="24"/>
              </w:rPr>
              <w:t>Throughout almost all of Slovenia, potential evapotranspiration has increased by more than 10 per cent in the last 40 years.</w:t>
            </w:r>
          </w:p>
          <w:p w:rsidR="00BD3B5F" w:rsidRPr="005C3B55" w:rsidRDefault="00BD3B5F">
            <w:pPr>
              <w:spacing w:before="240" w:after="240"/>
              <w:jc w:val="left"/>
              <w:rPr>
                <w:noProof/>
                <w:szCs w:val="24"/>
              </w:rPr>
            </w:pPr>
            <w:r w:rsidRPr="005C3B55">
              <w:rPr>
                <w:noProof/>
                <w:szCs w:val="24"/>
              </w:rPr>
              <w:t> </w:t>
            </w:r>
          </w:p>
          <w:p w:rsidR="00BD3B5F" w:rsidRPr="005C3B55" w:rsidRDefault="00BD3B5F">
            <w:pPr>
              <w:spacing w:before="240" w:after="240"/>
              <w:jc w:val="left"/>
              <w:rPr>
                <w:noProof/>
                <w:szCs w:val="24"/>
              </w:rPr>
            </w:pPr>
            <w:r w:rsidRPr="005C3B55">
              <w:rPr>
                <w:b/>
                <w:szCs w:val="24"/>
              </w:rPr>
              <w:t>SOCIO-GEOGRAPHICAL FEATURES</w:t>
            </w:r>
          </w:p>
          <w:p w:rsidR="00BD3B5F" w:rsidRPr="005C3B55" w:rsidRDefault="00BD3B5F">
            <w:pPr>
              <w:spacing w:before="240" w:after="240"/>
              <w:jc w:val="left"/>
              <w:rPr>
                <w:noProof/>
                <w:szCs w:val="24"/>
              </w:rPr>
            </w:pPr>
            <w:r w:rsidRPr="005C3B55">
              <w:rPr>
                <w:b/>
                <w:szCs w:val="24"/>
              </w:rPr>
              <w:t>Demographic features</w:t>
            </w:r>
          </w:p>
          <w:p w:rsidR="00BD3B5F" w:rsidRPr="005C3B55" w:rsidRDefault="00BD3B5F">
            <w:pPr>
              <w:spacing w:before="240" w:after="240"/>
              <w:jc w:val="left"/>
              <w:rPr>
                <w:noProof/>
                <w:szCs w:val="24"/>
              </w:rPr>
            </w:pPr>
            <w:r w:rsidRPr="005C3B55">
              <w:rPr>
                <w:szCs w:val="24"/>
              </w:rPr>
              <w:t>2,058,821 people live in Slovenia (0.4 per cent of EU population).</w:t>
            </w:r>
            <w:r w:rsidRPr="005C3B55">
              <w:rPr>
                <w:noProof/>
                <w:szCs w:val="24"/>
              </w:rPr>
              <w:t xml:space="preserve"> </w:t>
            </w:r>
            <w:r w:rsidRPr="005C3B55">
              <w:rPr>
                <w:szCs w:val="24"/>
              </w:rPr>
              <w:t>Relative to the average population density in the EU (116.3 inhabitants per km²), with 101.6 inhabitants per km</w:t>
            </w:r>
            <w:r w:rsidRPr="005C3B55">
              <w:rPr>
                <w:szCs w:val="24"/>
                <w:vertAlign w:val="superscript"/>
              </w:rPr>
              <w:t>2</w:t>
            </w:r>
            <w:r w:rsidRPr="005C3B55">
              <w:rPr>
                <w:szCs w:val="24"/>
              </w:rPr>
              <w:t xml:space="preserve"> Slovenia is among the relatively sparsely populated EU member states.</w:t>
            </w:r>
            <w:r w:rsidRPr="005C3B55">
              <w:rPr>
                <w:noProof/>
                <w:szCs w:val="24"/>
              </w:rPr>
              <w:t xml:space="preserve"> </w:t>
            </w:r>
            <w:r w:rsidRPr="005C3B55">
              <w:rPr>
                <w:szCs w:val="24"/>
              </w:rPr>
              <w:t>The settlement pattern is characterised by densely populated valley (plain) areas, where almost 60 per cent of the entire population live on less than 20 per cent of the entire territory.</w:t>
            </w:r>
            <w:r w:rsidRPr="005C3B55">
              <w:rPr>
                <w:noProof/>
                <w:szCs w:val="24"/>
              </w:rPr>
              <w:t xml:space="preserve"> </w:t>
            </w:r>
            <w:r w:rsidRPr="005C3B55">
              <w:rPr>
                <w:szCs w:val="24"/>
              </w:rPr>
              <w:t>Population density is low in the hilly subalpine and Dinaric-Karst areas and along the national border, where small scattered settlements predominate.</w:t>
            </w:r>
          </w:p>
          <w:p w:rsidR="00BD3B5F" w:rsidRPr="005C3B55" w:rsidRDefault="00BD3B5F">
            <w:pPr>
              <w:spacing w:before="240" w:after="240"/>
              <w:jc w:val="left"/>
              <w:rPr>
                <w:noProof/>
                <w:szCs w:val="24"/>
              </w:rPr>
            </w:pPr>
            <w:r w:rsidRPr="005C3B55">
              <w:rPr>
                <w:szCs w:val="24"/>
              </w:rPr>
              <w:t>As in the EU, demographic trends show an increase in the number of elderly people in Slovenia.</w:t>
            </w:r>
            <w:r w:rsidRPr="005C3B55">
              <w:rPr>
                <w:noProof/>
                <w:szCs w:val="24"/>
              </w:rPr>
              <w:t xml:space="preserve"> </w:t>
            </w:r>
            <w:r w:rsidRPr="005C3B55">
              <w:rPr>
                <w:szCs w:val="24"/>
              </w:rPr>
              <w:t>The share of people aged 65 or older was 17.1 per cent in 2013; the share of people younger than 15 years was 14.5 per cent;</w:t>
            </w:r>
            <w:r w:rsidRPr="005C3B55">
              <w:rPr>
                <w:noProof/>
                <w:szCs w:val="24"/>
              </w:rPr>
              <w:t xml:space="preserve"> </w:t>
            </w:r>
            <w:r w:rsidRPr="005C3B55">
              <w:rPr>
                <w:szCs w:val="24"/>
              </w:rPr>
              <w:t>68.4 per cent of the population is between 15 and 64 years of age.</w:t>
            </w:r>
            <w:r w:rsidRPr="005C3B55">
              <w:rPr>
                <w:noProof/>
                <w:szCs w:val="24"/>
              </w:rPr>
              <w:t xml:space="preserve"> </w:t>
            </w:r>
            <w:r w:rsidRPr="005C3B55">
              <w:rPr>
                <w:szCs w:val="24"/>
              </w:rPr>
              <w:t>The rural population is slightly older.</w:t>
            </w:r>
            <w:r w:rsidRPr="005C3B55">
              <w:rPr>
                <w:noProof/>
                <w:szCs w:val="24"/>
              </w:rPr>
              <w:t xml:space="preserve"> </w:t>
            </w:r>
            <w:r w:rsidRPr="005C3B55">
              <w:rPr>
                <w:szCs w:val="24"/>
              </w:rPr>
              <w:t>The ageing index, which represents the ratio between the number of persons aged 65 or older and the number of persons younger than 15, stood at 118.1 in 2013.</w:t>
            </w:r>
          </w:p>
          <w:p w:rsidR="00BD3B5F" w:rsidRPr="005C3B55" w:rsidRDefault="00BD3B5F">
            <w:pPr>
              <w:spacing w:before="240" w:after="240"/>
              <w:jc w:val="left"/>
              <w:rPr>
                <w:noProof/>
                <w:szCs w:val="24"/>
              </w:rPr>
            </w:pPr>
            <w:r w:rsidRPr="005C3B55">
              <w:rPr>
                <w:b/>
                <w:szCs w:val="24"/>
              </w:rPr>
              <w:t>Economy</w:t>
            </w:r>
          </w:p>
          <w:p w:rsidR="00BD3B5F" w:rsidRPr="005C3B55" w:rsidRDefault="00BD3B5F">
            <w:pPr>
              <w:spacing w:before="240" w:after="240"/>
              <w:jc w:val="left"/>
              <w:rPr>
                <w:noProof/>
                <w:szCs w:val="24"/>
              </w:rPr>
            </w:pPr>
            <w:r w:rsidRPr="005C3B55">
              <w:rPr>
                <w:szCs w:val="24"/>
              </w:rPr>
              <w:t>Gross domestic product (GDP) in Slovenia in 2013 amounted to EUR 35,274.9 million, or EUR 17,100 per inhabitant, or 82.4 per cent of the EU-27 average (measured by purchasing power standards).</w:t>
            </w:r>
            <w:r w:rsidRPr="005C3B55">
              <w:rPr>
                <w:noProof/>
                <w:szCs w:val="24"/>
              </w:rPr>
              <w:t xml:space="preserve"> </w:t>
            </w:r>
            <w:r w:rsidRPr="005C3B55">
              <w:rPr>
                <w:szCs w:val="24"/>
              </w:rPr>
              <w:t>GDP per capita in 2012 in predominantly rural regions stood at EUR 14,282 or 36.4 per cent of total GDP, while it stood at EUR 19,438 or 63.6 per cent of total GDP in moderately rural areas.</w:t>
            </w:r>
          </w:p>
          <w:p w:rsidR="00BD3B5F" w:rsidRPr="005C3B55" w:rsidRDefault="00BD3B5F">
            <w:pPr>
              <w:spacing w:before="240" w:after="240"/>
              <w:jc w:val="left"/>
              <w:rPr>
                <w:noProof/>
                <w:szCs w:val="24"/>
              </w:rPr>
            </w:pPr>
            <w:r w:rsidRPr="005C3B55">
              <w:rPr>
                <w:szCs w:val="24"/>
              </w:rPr>
              <w:t>Gross value added (GVA) in Slovenia in 2013 stood at EUR 30,513.4 million.</w:t>
            </w:r>
            <w:r w:rsidRPr="005C3B55">
              <w:rPr>
                <w:noProof/>
                <w:szCs w:val="24"/>
              </w:rPr>
              <w:t xml:space="preserve"> </w:t>
            </w:r>
            <w:r w:rsidRPr="005C3B55">
              <w:rPr>
                <w:szCs w:val="24"/>
              </w:rPr>
              <w:t>The primary sector generated 2.9 per cent of total GVA, the secondary sector generated 31.4 per cent, and the tertiary sector generated 65.7 per cent.</w:t>
            </w:r>
          </w:p>
          <w:p w:rsidR="00BD3B5F" w:rsidRPr="005C3B55" w:rsidRDefault="00BD3B5F">
            <w:pPr>
              <w:spacing w:before="240" w:after="240"/>
              <w:jc w:val="left"/>
              <w:rPr>
                <w:noProof/>
                <w:szCs w:val="24"/>
              </w:rPr>
            </w:pPr>
            <w:r w:rsidRPr="005C3B55">
              <w:rPr>
                <w:szCs w:val="24"/>
              </w:rPr>
              <w:t>Slovenia therefore achieves only slightly more than 80 per cent of the average EU’s productivity (expressed in terms of purchasing power standards).</w:t>
            </w:r>
            <w:r w:rsidRPr="005C3B55">
              <w:rPr>
                <w:noProof/>
                <w:szCs w:val="24"/>
              </w:rPr>
              <w:t xml:space="preserve"> </w:t>
            </w:r>
            <w:r w:rsidRPr="005C3B55">
              <w:rPr>
                <w:szCs w:val="24"/>
              </w:rPr>
              <w:t>Labour productivity in 2013 was EUR 33,145 per inhabitant.</w:t>
            </w:r>
            <w:r w:rsidRPr="005C3B55">
              <w:rPr>
                <w:noProof/>
                <w:szCs w:val="24"/>
              </w:rPr>
              <w:t xml:space="preserve"> </w:t>
            </w:r>
            <w:r w:rsidRPr="005C3B55">
              <w:rPr>
                <w:szCs w:val="24"/>
              </w:rPr>
              <w:t>Labour productivity in the primary sector was EUR 11,481, in the secondary sector EUR 35,393 and in the tertiary sector EUR 34,999 per inhabitant.</w:t>
            </w:r>
            <w:r w:rsidRPr="005C3B55">
              <w:rPr>
                <w:noProof/>
                <w:szCs w:val="24"/>
              </w:rPr>
              <w:t xml:space="preserve"> </w:t>
            </w:r>
            <w:r w:rsidRPr="005C3B55">
              <w:rPr>
                <w:szCs w:val="24"/>
              </w:rPr>
              <w:t>According to economic accounts data on agriculture, labour productivity in agriculture (GVA/AWU) in the 2011–2013 period amounted to EUR 5,457.</w:t>
            </w:r>
            <w:r w:rsidRPr="005C3B55">
              <w:rPr>
                <w:noProof/>
                <w:szCs w:val="24"/>
              </w:rPr>
              <w:t xml:space="preserve"> </w:t>
            </w:r>
            <w:r w:rsidRPr="005C3B55">
              <w:rPr>
                <w:szCs w:val="24"/>
              </w:rPr>
              <w:t>Labour productivity in forestry (GVA/AWU) in 2010 to 2012 stood at EUR 38,397.</w:t>
            </w:r>
          </w:p>
          <w:p w:rsidR="00BD3B5F" w:rsidRPr="005C3B55" w:rsidRDefault="00BD3B5F">
            <w:pPr>
              <w:spacing w:before="240" w:after="240"/>
              <w:jc w:val="left"/>
              <w:rPr>
                <w:noProof/>
                <w:szCs w:val="24"/>
              </w:rPr>
            </w:pPr>
            <w:r w:rsidRPr="005C3B55">
              <w:rPr>
                <w:szCs w:val="24"/>
              </w:rPr>
              <w:t>There was a total of 161,636 companies registered in Slovenia in 2012, of which 152,423 were micro companies, 6,827 were small companies, 2,042 were medium-sized companies and 344 large companies.</w:t>
            </w:r>
            <w:r w:rsidRPr="005C3B55">
              <w:rPr>
                <w:noProof/>
                <w:szCs w:val="24"/>
              </w:rPr>
              <w:t xml:space="preserve"> </w:t>
            </w:r>
            <w:r w:rsidRPr="005C3B55">
              <w:rPr>
                <w:szCs w:val="24"/>
              </w:rPr>
              <w:t>In terms of the number of employees, micro companies prevailed (94.3 per cent).</w:t>
            </w:r>
            <w:r w:rsidRPr="005C3B55">
              <w:rPr>
                <w:noProof/>
                <w:szCs w:val="24"/>
              </w:rPr>
              <w:t xml:space="preserve"> </w:t>
            </w:r>
            <w:r w:rsidRPr="005C3B55">
              <w:rPr>
                <w:szCs w:val="24"/>
              </w:rPr>
              <w:t>However, most of the revenue was generated by medium-sized companies (27.4 per cent) and large companies (32.8 per cent), which employed more than half (55.1 per cent) of all persons working in companies.</w:t>
            </w:r>
            <w:r w:rsidRPr="005C3B55">
              <w:rPr>
                <w:noProof/>
                <w:szCs w:val="24"/>
              </w:rPr>
              <w:t xml:space="preserve"> </w:t>
            </w:r>
            <w:r w:rsidRPr="005C3B55">
              <w:rPr>
                <w:szCs w:val="24"/>
              </w:rPr>
              <w:t>In 2012, 59.6 per cent of all companies from the cohesion region of Western Slovenia were located in the Central Slovenia statistical region.</w:t>
            </w:r>
            <w:r w:rsidRPr="005C3B55">
              <w:rPr>
                <w:noProof/>
                <w:szCs w:val="24"/>
              </w:rPr>
              <w:t xml:space="preserve"> </w:t>
            </w:r>
            <w:r w:rsidRPr="005C3B55">
              <w:rPr>
                <w:szCs w:val="24"/>
              </w:rPr>
              <w:t>They employed 67.4 per cent of working persons and generated the largest revenue (73.6 per cent) in Western Slovenia.</w:t>
            </w:r>
          </w:p>
          <w:p w:rsidR="00BD3B5F" w:rsidRPr="005C3B55" w:rsidRDefault="00BD3B5F">
            <w:pPr>
              <w:spacing w:before="240" w:after="240"/>
              <w:jc w:val="left"/>
              <w:rPr>
                <w:noProof/>
                <w:szCs w:val="24"/>
              </w:rPr>
            </w:pPr>
            <w:r w:rsidRPr="005C3B55">
              <w:rPr>
                <w:szCs w:val="24"/>
              </w:rPr>
              <w:t>One of the prerequisites for the development of SMEs in rural areas as part of the polycentric model of development of Slovenia is good infrastructure, particularly coverage with broadband internet connections, which is also a key indicator of the level of development of an information society’s infrastructure.</w:t>
            </w:r>
            <w:r w:rsidRPr="005C3B55">
              <w:rPr>
                <w:noProof/>
                <w:szCs w:val="24"/>
              </w:rPr>
              <w:t xml:space="preserve"> </w:t>
            </w:r>
            <w:r w:rsidRPr="005C3B55">
              <w:rPr>
                <w:szCs w:val="24"/>
              </w:rPr>
              <w:t>According to data from Digital Agenda for Europe, Slovenia is below the EU average as per this indicator (SLO 74 per cent, EU 76 per cent).</w:t>
            </w:r>
            <w:r w:rsidRPr="005C3B55">
              <w:rPr>
                <w:noProof/>
                <w:szCs w:val="24"/>
              </w:rPr>
              <w:t xml:space="preserve"> </w:t>
            </w:r>
            <w:r w:rsidRPr="005C3B55">
              <w:rPr>
                <w:szCs w:val="24"/>
              </w:rPr>
              <w:t>In 2013, standard fixed broadband connections covered 89 per cent of households in Slovenia (EU-27: 97 per cent).</w:t>
            </w:r>
            <w:r w:rsidRPr="005C3B55">
              <w:rPr>
                <w:noProof/>
                <w:szCs w:val="24"/>
              </w:rPr>
              <w:t xml:space="preserve"> </w:t>
            </w:r>
            <w:r w:rsidRPr="005C3B55">
              <w:rPr>
                <w:szCs w:val="24"/>
              </w:rPr>
              <w:t>The Next Generation Access,</w:t>
            </w:r>
            <w:r w:rsidRPr="005C3B55">
              <w:rPr>
                <w:noProof/>
                <w:szCs w:val="24"/>
              </w:rPr>
              <w:t xml:space="preserve"> </w:t>
            </w:r>
            <w:r w:rsidRPr="005C3B55">
              <w:rPr>
                <w:szCs w:val="24"/>
              </w:rPr>
              <w:t>which will enable at least a 30 Mbps transfer, is available to 74 per cent of households (EU-27:</w:t>
            </w:r>
            <w:r w:rsidRPr="005C3B55">
              <w:rPr>
                <w:noProof/>
                <w:szCs w:val="24"/>
              </w:rPr>
              <w:t xml:space="preserve"> 62 per cent). </w:t>
            </w:r>
            <w:r w:rsidRPr="005C3B55">
              <w:rPr>
                <w:szCs w:val="24"/>
              </w:rPr>
              <w:t>In 2013, 26.5 per cent of people had access to a fixed broadband connection (expressed as the share of subscribers in the entire population) (EU-27: 29.8 per cent).</w:t>
            </w:r>
            <w:r w:rsidRPr="005C3B55">
              <w:rPr>
                <w:noProof/>
                <w:szCs w:val="24"/>
              </w:rPr>
              <w:t xml:space="preserve"> </w:t>
            </w:r>
            <w:r w:rsidRPr="005C3B55">
              <w:rPr>
                <w:szCs w:val="24"/>
              </w:rPr>
              <w:t>The share of fast connections (at least 30 Mbps) was much lower than the average, at 6 per cent (EU-27: 21 per cent), while the share of ultra fast connections (at least 100 Mbps) stood at 4 per cent of all subscriptions (EU-27: 5 per cent).</w:t>
            </w:r>
            <w:r w:rsidRPr="005C3B55">
              <w:rPr>
                <w:noProof/>
                <w:szCs w:val="24"/>
              </w:rPr>
              <w:t xml:space="preserve"> </w:t>
            </w:r>
            <w:r w:rsidRPr="005C3B55">
              <w:rPr>
                <w:szCs w:val="24"/>
              </w:rPr>
              <w:t>In 2013, 42 per cent of people had access to mobile internet (expressed as the share of subscribers in the entire population) (EU-27: 62.4 per cent).</w:t>
            </w:r>
          </w:p>
          <w:p w:rsidR="00BD3B5F" w:rsidRPr="005C3B55" w:rsidRDefault="00BD3B5F">
            <w:pPr>
              <w:spacing w:before="240" w:after="240"/>
              <w:jc w:val="left"/>
              <w:rPr>
                <w:noProof/>
                <w:szCs w:val="24"/>
              </w:rPr>
            </w:pPr>
            <w:r w:rsidRPr="005C3B55">
              <w:rPr>
                <w:szCs w:val="24"/>
              </w:rPr>
              <w:t>The access to appropriate financial sources is one of the crucial obstacles to growth and development, especially of micro, small and medium-size companies in Slovenia, since the conditions for their acquisition have become tighter.</w:t>
            </w:r>
            <w:r w:rsidRPr="005C3B55">
              <w:rPr>
                <w:noProof/>
                <w:szCs w:val="24"/>
              </w:rPr>
              <w:t xml:space="preserve"> </w:t>
            </w:r>
            <w:r w:rsidRPr="005C3B55">
              <w:rPr>
                <w:szCs w:val="24"/>
              </w:rPr>
              <w:t>For this reason, the Government of the Republic of Slovenia as well as the European Commission and the European Parliament see the solution in stimulating the use of financial instruments.</w:t>
            </w:r>
            <w:r w:rsidRPr="005C3B55">
              <w:rPr>
                <w:noProof/>
                <w:szCs w:val="24"/>
              </w:rPr>
              <w:t xml:space="preserve"> </w:t>
            </w:r>
            <w:r w:rsidRPr="005C3B55">
              <w:rPr>
                <w:szCs w:val="24"/>
              </w:rPr>
              <w:t xml:space="preserve"> In its autumn forecast of economic movements for 2014, the Institute of Macroeconomic Analysis and Development of the Republic of Slovenia (IMAD) also established that the basic problem in acquiring suitable means for start-up of activities is caused by the banking system, since banks have for several years maintained high active interest rates, and  also since the start of the rehabilitation of the banking system these have remained higher that the average in the Euro zone; therefore, the next few years do not promise an increase in demand for loans at market interest rates.</w:t>
            </w:r>
          </w:p>
          <w:p w:rsidR="00BD3B5F" w:rsidRPr="005C3B55" w:rsidRDefault="00BD3B5F">
            <w:pPr>
              <w:spacing w:before="240" w:after="240"/>
              <w:jc w:val="left"/>
              <w:rPr>
                <w:noProof/>
                <w:szCs w:val="24"/>
              </w:rPr>
            </w:pPr>
            <w:r w:rsidRPr="005C3B55">
              <w:rPr>
                <w:b/>
                <w:szCs w:val="24"/>
              </w:rPr>
              <w:t>Employment</w:t>
            </w:r>
          </w:p>
          <w:p w:rsidR="00BD3B5F" w:rsidRPr="005C3B55" w:rsidRDefault="00BD3B5F">
            <w:pPr>
              <w:spacing w:before="240" w:after="240"/>
              <w:jc w:val="left"/>
              <w:rPr>
                <w:noProof/>
                <w:szCs w:val="24"/>
              </w:rPr>
            </w:pPr>
            <w:r w:rsidRPr="005C3B55">
              <w:rPr>
                <w:szCs w:val="24"/>
              </w:rPr>
              <w:t>The employment rate expressed as the share of persons in employment from the same age group (between the ages of 15 and 64) in comparison with the entire population of the age group, stood at 63.3 per cent (EU-27: 64.2 per cent).</w:t>
            </w:r>
            <w:r w:rsidRPr="005C3B55">
              <w:rPr>
                <w:noProof/>
                <w:szCs w:val="24"/>
              </w:rPr>
              <w:t xml:space="preserve"> </w:t>
            </w:r>
            <w:r w:rsidRPr="005C3B55">
              <w:rPr>
                <w:szCs w:val="24"/>
              </w:rPr>
              <w:t>The rate is higher for men (67.1 per cent) than women (59.2 per cent).</w:t>
            </w:r>
          </w:p>
          <w:p w:rsidR="00BD3B5F" w:rsidRPr="005C3B55" w:rsidRDefault="00BD3B5F">
            <w:pPr>
              <w:spacing w:before="240" w:after="240"/>
              <w:jc w:val="left"/>
              <w:rPr>
                <w:noProof/>
                <w:szCs w:val="24"/>
              </w:rPr>
            </w:pPr>
            <w:r w:rsidRPr="005C3B55">
              <w:rPr>
                <w:b/>
                <w:szCs w:val="24"/>
              </w:rPr>
              <w:t>Unemployment and poverty</w:t>
            </w:r>
          </w:p>
          <w:p w:rsidR="00BD3B5F" w:rsidRPr="005C3B55" w:rsidRDefault="00BD3B5F">
            <w:pPr>
              <w:spacing w:before="240" w:after="240"/>
              <w:jc w:val="left"/>
              <w:rPr>
                <w:noProof/>
                <w:szCs w:val="24"/>
              </w:rPr>
            </w:pPr>
            <w:r w:rsidRPr="005C3B55">
              <w:rPr>
                <w:szCs w:val="24"/>
              </w:rPr>
              <w:t>Unemployment increased in the 2008–2013 period from 4.4 per cent to 10.1 per cent.</w:t>
            </w:r>
            <w:r w:rsidRPr="005C3B55">
              <w:rPr>
                <w:noProof/>
                <w:szCs w:val="24"/>
              </w:rPr>
              <w:t xml:space="preserve"> </w:t>
            </w:r>
            <w:r w:rsidRPr="005C3B55">
              <w:rPr>
                <w:szCs w:val="24"/>
              </w:rPr>
              <w:t>The increase is noted in all age groups, but especially among the young (age group 15–24 years).</w:t>
            </w:r>
            <w:r w:rsidRPr="005C3B55">
              <w:rPr>
                <w:noProof/>
                <w:szCs w:val="24"/>
              </w:rPr>
              <w:t xml:space="preserve"> </w:t>
            </w:r>
            <w:r w:rsidRPr="005C3B55">
              <w:rPr>
                <w:szCs w:val="24"/>
              </w:rPr>
              <w:t>Youth unemployment increased from 10.4 per cent in 2008 to 21.6 per cent in 2013.</w:t>
            </w:r>
          </w:p>
          <w:p w:rsidR="00BD3B5F" w:rsidRPr="005C3B55" w:rsidRDefault="00BD3B5F">
            <w:pPr>
              <w:spacing w:before="240" w:after="240"/>
              <w:jc w:val="left"/>
              <w:rPr>
                <w:noProof/>
                <w:szCs w:val="24"/>
              </w:rPr>
            </w:pPr>
            <w:r w:rsidRPr="005C3B55">
              <w:rPr>
                <w:szCs w:val="24"/>
              </w:rPr>
              <w:t>The share of the population at risk of poverty or social exclusion in Slovenia is below the EU average according to the indicators of poverty and social exclusion within the context of the Europe 2020 Strategy, but a growing trend has been recorded since 2009.</w:t>
            </w:r>
            <w:r w:rsidRPr="005C3B55">
              <w:rPr>
                <w:noProof/>
                <w:szCs w:val="24"/>
              </w:rPr>
              <w:t xml:space="preserve"> </w:t>
            </w:r>
            <w:r w:rsidRPr="005C3B55">
              <w:rPr>
                <w:szCs w:val="24"/>
              </w:rPr>
              <w:t>In 2009, there were 339,000 (17.1 per cent) such persons, and in 2013 410,000 (20.4 per cent of the population).</w:t>
            </w:r>
            <w:r w:rsidRPr="005C3B55">
              <w:rPr>
                <w:noProof/>
                <w:szCs w:val="24"/>
              </w:rPr>
              <w:t xml:space="preserve"> </w:t>
            </w:r>
            <w:r w:rsidRPr="005C3B55">
              <w:rPr>
                <w:szCs w:val="24"/>
              </w:rPr>
              <w:t>The share of women at risk of poverty or social exlusion increased from 2009 to 2013 from 19.1 per cent to 21.4 per cent.</w:t>
            </w:r>
          </w:p>
          <w:p w:rsidR="00BD3B5F" w:rsidRPr="005C3B55" w:rsidRDefault="00BD3B5F">
            <w:pPr>
              <w:spacing w:before="240" w:after="240"/>
              <w:jc w:val="left"/>
              <w:rPr>
                <w:noProof/>
                <w:szCs w:val="24"/>
              </w:rPr>
            </w:pPr>
            <w:r w:rsidRPr="005C3B55">
              <w:rPr>
                <w:szCs w:val="24"/>
              </w:rPr>
              <w:t>As per the Promotion of Balanced Regional Development Act (Official Gazette of the Republic of Slovenia, no. 20/11 with amendments), the Government of the Republic of Slovenia can determine problem areas for which additional development support measures are prepared within the scope of various policies.</w:t>
            </w:r>
            <w:r w:rsidRPr="005C3B55">
              <w:rPr>
                <w:noProof/>
                <w:szCs w:val="24"/>
              </w:rPr>
              <w:t xml:space="preserve"> </w:t>
            </w:r>
            <w:r w:rsidRPr="005C3B55">
              <w:rPr>
                <w:szCs w:val="24"/>
              </w:rPr>
              <w:t>Such areas are, for instance, border problem areas and problem areas with high unemployment.</w:t>
            </w:r>
          </w:p>
          <w:p w:rsidR="00BD3B5F" w:rsidRPr="005C3B55" w:rsidRDefault="00BD3B5F">
            <w:pPr>
              <w:spacing w:before="240" w:after="240"/>
              <w:jc w:val="left"/>
              <w:rPr>
                <w:noProof/>
                <w:szCs w:val="24"/>
              </w:rPr>
            </w:pPr>
            <w:r w:rsidRPr="005C3B55">
              <w:rPr>
                <w:b/>
                <w:szCs w:val="24"/>
              </w:rPr>
              <w:t>Local development</w:t>
            </w:r>
          </w:p>
          <w:p w:rsidR="00BD3B5F" w:rsidRPr="005C3B55" w:rsidRDefault="00BD3B5F">
            <w:pPr>
              <w:spacing w:before="240" w:after="240"/>
              <w:jc w:val="left"/>
              <w:rPr>
                <w:noProof/>
                <w:szCs w:val="24"/>
              </w:rPr>
            </w:pPr>
            <w:r w:rsidRPr="005C3B55">
              <w:rPr>
                <w:szCs w:val="24"/>
              </w:rPr>
              <w:t>There are 212 municipalities in Slovenia.</w:t>
            </w:r>
            <w:r w:rsidRPr="005C3B55">
              <w:rPr>
                <w:noProof/>
                <w:szCs w:val="24"/>
              </w:rPr>
              <w:t xml:space="preserve"> </w:t>
            </w:r>
            <w:r w:rsidRPr="005C3B55">
              <w:rPr>
                <w:szCs w:val="24"/>
              </w:rPr>
              <w:t>Great dispersal and small size often cause problems for comprehensive and complex local development projects.</w:t>
            </w:r>
            <w:r w:rsidRPr="005C3B55">
              <w:rPr>
                <w:noProof/>
                <w:szCs w:val="24"/>
              </w:rPr>
              <w:t xml:space="preserve"> </w:t>
            </w:r>
            <w:r w:rsidRPr="005C3B55">
              <w:rPr>
                <w:szCs w:val="24"/>
              </w:rPr>
              <w:t>Therefore, local development partnerships that share similar problems, challenges and objectives are necessary.</w:t>
            </w:r>
          </w:p>
          <w:p w:rsidR="00BD3B5F" w:rsidRPr="005C3B55" w:rsidRDefault="00BD3B5F">
            <w:pPr>
              <w:spacing w:before="240" w:after="240"/>
              <w:jc w:val="left"/>
              <w:rPr>
                <w:noProof/>
                <w:szCs w:val="24"/>
              </w:rPr>
            </w:pPr>
            <w:r w:rsidRPr="005C3B55">
              <w:rPr>
                <w:szCs w:val="24"/>
              </w:rPr>
              <w:t>Slovenian rural areas encounter numerous problems and challenges:</w:t>
            </w:r>
            <w:r w:rsidRPr="005C3B55">
              <w:rPr>
                <w:noProof/>
                <w:szCs w:val="24"/>
              </w:rPr>
              <w:t xml:space="preserve"> </w:t>
            </w:r>
            <w:r w:rsidRPr="005C3B55">
              <w:rPr>
                <w:szCs w:val="24"/>
              </w:rPr>
              <w:t>negative demographic trends, high unemployment and lack of jobs, emptying of less developed towns and those which are further away from larger centres, insufficient infrastructure development and lack of basic services, low entrepreneurship activity in the countryside, higher representation of agriculture in the economic structure, poverty and social exclusion, the need to preserve landscape identity and environment protection, as well as the preservation of natural resources.</w:t>
            </w:r>
          </w:p>
          <w:p w:rsidR="00BD3B5F" w:rsidRPr="005C3B55" w:rsidRDefault="00BD3B5F">
            <w:pPr>
              <w:spacing w:before="240" w:after="240"/>
              <w:jc w:val="left"/>
              <w:rPr>
                <w:noProof/>
                <w:szCs w:val="24"/>
              </w:rPr>
            </w:pPr>
            <w:r w:rsidRPr="005C3B55">
              <w:rPr>
                <w:szCs w:val="24"/>
              </w:rPr>
              <w:t>The 2007-2013 programming period showed that the approach is effective in addressing many of the above-mentioned challenges posed by the local environment.</w:t>
            </w:r>
            <w:r w:rsidRPr="005C3B55">
              <w:rPr>
                <w:noProof/>
                <w:szCs w:val="24"/>
              </w:rPr>
              <w:t xml:space="preserve"> </w:t>
            </w:r>
            <w:r w:rsidRPr="005C3B55">
              <w:rPr>
                <w:szCs w:val="24"/>
              </w:rPr>
              <w:t>Thirty-three local action groups implemented LEADER measures, undertaking various projects that contributed to realising local developmental strategies.</w:t>
            </w:r>
            <w:r w:rsidRPr="005C3B55">
              <w:rPr>
                <w:noProof/>
                <w:szCs w:val="24"/>
              </w:rPr>
              <w:t xml:space="preserve"> </w:t>
            </w:r>
            <w:r w:rsidRPr="005C3B55">
              <w:rPr>
                <w:szCs w:val="24"/>
              </w:rPr>
              <w:t>In combination with third axis measures, especially measures intended for the restoration and development of villages as well as the preservation and improvement of rural heritage, several minor projects were implemented at the local level which produced many positive changes.</w:t>
            </w:r>
            <w:r w:rsidRPr="005C3B55">
              <w:rPr>
                <w:noProof/>
                <w:szCs w:val="24"/>
              </w:rPr>
              <w:t xml:space="preserve"> </w:t>
            </w:r>
            <w:r w:rsidRPr="005C3B55">
              <w:rPr>
                <w:szCs w:val="24"/>
              </w:rPr>
              <w:t>The development level of rural areas is diverse, so the ‘bottom-up’ approach must be used to support operations that contribute to the sustainable development of rural areas.</w:t>
            </w:r>
            <w:r w:rsidRPr="005C3B55">
              <w:rPr>
                <w:noProof/>
                <w:szCs w:val="24"/>
              </w:rPr>
              <w:t xml:space="preserve"> </w:t>
            </w:r>
            <w:r w:rsidRPr="005C3B55">
              <w:rPr>
                <w:szCs w:val="24"/>
              </w:rPr>
              <w:t>Stimulating entrepreneurship and creating new jobs, the greater inclusion of young generations, women and other vulnerable groups, the development of basic service as well as the conservation of nature and cultural heritage protection are important for improving the quality of life in the countryside.</w:t>
            </w:r>
          </w:p>
          <w:p w:rsidR="00BD3B5F" w:rsidRPr="005C3B55" w:rsidRDefault="00BD3B5F">
            <w:pPr>
              <w:spacing w:before="240" w:after="240"/>
              <w:jc w:val="left"/>
              <w:rPr>
                <w:noProof/>
                <w:szCs w:val="24"/>
              </w:rPr>
            </w:pPr>
            <w:r w:rsidRPr="005C3B55">
              <w:rPr>
                <w:noProof/>
                <w:szCs w:val="24"/>
              </w:rPr>
              <w:t> </w:t>
            </w:r>
          </w:p>
          <w:p w:rsidR="00BD3B5F" w:rsidRPr="005C3B55" w:rsidRDefault="00BD3B5F">
            <w:pPr>
              <w:spacing w:before="240" w:after="240"/>
              <w:jc w:val="left"/>
              <w:rPr>
                <w:noProof/>
                <w:szCs w:val="24"/>
              </w:rPr>
            </w:pPr>
            <w:r w:rsidRPr="005C3B55">
              <w:rPr>
                <w:b/>
                <w:szCs w:val="24"/>
              </w:rPr>
              <w:t>SITUATION IN AGRICULTURE, THE FOOD INDUSTRY AND FORESTRY</w:t>
            </w:r>
          </w:p>
          <w:p w:rsidR="00BD3B5F" w:rsidRPr="005C3B55" w:rsidRDefault="00BD3B5F">
            <w:pPr>
              <w:spacing w:before="240" w:after="240"/>
              <w:jc w:val="left"/>
              <w:rPr>
                <w:noProof/>
                <w:szCs w:val="24"/>
              </w:rPr>
            </w:pPr>
            <w:r w:rsidRPr="005C3B55">
              <w:rPr>
                <w:b/>
                <w:szCs w:val="24"/>
              </w:rPr>
              <w:t>Agricultural holdings</w:t>
            </w:r>
          </w:p>
          <w:p w:rsidR="00BD3B5F" w:rsidRPr="005C3B55" w:rsidRDefault="00BD3B5F">
            <w:pPr>
              <w:spacing w:before="240" w:after="240"/>
              <w:jc w:val="left"/>
              <w:rPr>
                <w:noProof/>
                <w:szCs w:val="24"/>
              </w:rPr>
            </w:pPr>
            <w:r w:rsidRPr="005C3B55">
              <w:rPr>
                <w:szCs w:val="24"/>
              </w:rPr>
              <w:t>According to data provided by sample research on the structure of agricultural holdings, in 2013 there were 72,377 agricultural holdings comparable with the European level (i.e. farm enterprises and family farms together), which is 3 per cent less than in 2010; 69.9 per cent of agricultural holdings are located in Eastern Slovenia (50,580), and 30.1 per cent (21,798) in Western Slovenia.</w:t>
            </w:r>
            <w:r w:rsidRPr="005C3B55">
              <w:rPr>
                <w:noProof/>
                <w:szCs w:val="24"/>
              </w:rPr>
              <w:t xml:space="preserve"> </w:t>
            </w:r>
            <w:r w:rsidRPr="005C3B55">
              <w:rPr>
                <w:szCs w:val="24"/>
              </w:rPr>
              <w:t>The highest number of agricultural holdings is located in Podravje (11,427), Savinjska (10,956) and the Pomurje statistical regions (8,446), while by far the smallest number is located in Zasavje (907).</w:t>
            </w:r>
          </w:p>
          <w:p w:rsidR="00BD3B5F" w:rsidRPr="005C3B55" w:rsidRDefault="00BD3B5F">
            <w:pPr>
              <w:spacing w:before="240" w:after="240"/>
              <w:jc w:val="left"/>
              <w:rPr>
                <w:noProof/>
                <w:szCs w:val="24"/>
              </w:rPr>
            </w:pPr>
            <w:r w:rsidRPr="005C3B55">
              <w:rPr>
                <w:szCs w:val="24"/>
              </w:rPr>
              <w:t>In 2013, agricultural holdings used more than 477,000 ha of agricultural land, which is almost the same as in the agriculture census in 2010 (+0.5 per cent).</w:t>
            </w:r>
            <w:r w:rsidRPr="005C3B55">
              <w:rPr>
                <w:noProof/>
                <w:szCs w:val="24"/>
              </w:rPr>
              <w:t xml:space="preserve"> </w:t>
            </w:r>
            <w:r w:rsidRPr="005C3B55">
              <w:rPr>
                <w:szCs w:val="24"/>
              </w:rPr>
              <w:t>Along with the smaller number of agricultural holdings and similar UAA, the average size of holdings increased from 6.4 ha in 2010 to 6.6 ha in 2013, or by 3.1 per cent.</w:t>
            </w:r>
            <w:r w:rsidRPr="005C3B55">
              <w:rPr>
                <w:noProof/>
                <w:szCs w:val="24"/>
              </w:rPr>
              <w:t xml:space="preserve"> </w:t>
            </w:r>
            <w:r w:rsidRPr="005C3B55">
              <w:rPr>
                <w:szCs w:val="24"/>
              </w:rPr>
              <w:t>An average agricultural holding cultivates 6.6 ha of UAA, divided into 22 land plots on average.</w:t>
            </w:r>
            <w:r w:rsidRPr="005C3B55">
              <w:rPr>
                <w:noProof/>
                <w:szCs w:val="24"/>
              </w:rPr>
              <w:t xml:space="preserve"> </w:t>
            </w:r>
            <w:r w:rsidRPr="005C3B55">
              <w:rPr>
                <w:szCs w:val="24"/>
              </w:rPr>
              <w:t>This puts the average size of land plot used on agricultural holdings at barely 0.3 ha.</w:t>
            </w:r>
          </w:p>
          <w:p w:rsidR="00BD3B5F" w:rsidRPr="005C3B55" w:rsidRDefault="00BD3B5F">
            <w:pPr>
              <w:spacing w:before="240" w:after="240"/>
              <w:jc w:val="left"/>
              <w:rPr>
                <w:noProof/>
                <w:szCs w:val="24"/>
              </w:rPr>
            </w:pPr>
            <w:r w:rsidRPr="005C3B55">
              <w:rPr>
                <w:szCs w:val="24"/>
              </w:rPr>
              <w:t>In 2013, slightly less than 58,000 agricultural holdings or 900 (4 per cent) less than in 2010 bred cattle. These holdings altogether bred somewhat less than 400,000 livestock units (LU) or 5 per cent less than in 2010. Livestock holdings on average bred 6.9 LU or 4 per cent less than three years ago, when this amount was 7.2 LU per holding.</w:t>
            </w:r>
            <w:r w:rsidRPr="005C3B55">
              <w:rPr>
                <w:noProof/>
                <w:szCs w:val="24"/>
              </w:rPr>
              <w:t xml:space="preserve"> </w:t>
            </w:r>
            <w:r w:rsidRPr="005C3B55">
              <w:rPr>
                <w:szCs w:val="24"/>
              </w:rPr>
              <w:t>The decrease in LU is mainly the consequence of the number of pigs declining by one-fourth compared to 2010. The number of LU decreased in all size classes, most notably in the size class from 20 to 30 LU (-10 per cent).</w:t>
            </w:r>
            <w:r w:rsidRPr="005C3B55">
              <w:rPr>
                <w:noProof/>
                <w:szCs w:val="24"/>
              </w:rPr>
              <w:t xml:space="preserve"> </w:t>
            </w:r>
            <w:r w:rsidRPr="005C3B55">
              <w:rPr>
                <w:szCs w:val="24"/>
              </w:rPr>
              <w:t>In the field of livestock farming, especially pig farming, there is an increasing need to improve breeding or focus on providing higher standards of animal welfare.</w:t>
            </w:r>
          </w:p>
          <w:p w:rsidR="00BD3B5F" w:rsidRPr="005C3B55" w:rsidRDefault="00BD3B5F">
            <w:pPr>
              <w:spacing w:before="240" w:after="240"/>
              <w:jc w:val="left"/>
              <w:rPr>
                <w:noProof/>
                <w:szCs w:val="24"/>
              </w:rPr>
            </w:pPr>
            <w:r w:rsidRPr="005C3B55">
              <w:rPr>
                <w:szCs w:val="24"/>
              </w:rPr>
              <w:t>Increasing specialisation is also perceived in Slovenian agriculture.</w:t>
            </w:r>
            <w:r w:rsidRPr="005C3B55">
              <w:rPr>
                <w:noProof/>
                <w:szCs w:val="24"/>
              </w:rPr>
              <w:t xml:space="preserve"> </w:t>
            </w:r>
            <w:r w:rsidRPr="005C3B55">
              <w:rPr>
                <w:szCs w:val="24"/>
              </w:rPr>
              <w:t>In 2010, 71 per cent of agricultural holdings were orientated towards a specific sector of the crop or livestock production (EU-27: 75  per cent).</w:t>
            </w:r>
            <w:r w:rsidRPr="005C3B55">
              <w:rPr>
                <w:noProof/>
                <w:szCs w:val="24"/>
              </w:rPr>
              <w:t xml:space="preserve"> </w:t>
            </w:r>
            <w:r w:rsidRPr="005C3B55">
              <w:rPr>
                <w:szCs w:val="24"/>
              </w:rPr>
              <w:t>Arable farming is predominant in crop production (17 per cent).</w:t>
            </w:r>
            <w:r w:rsidRPr="005C3B55">
              <w:rPr>
                <w:noProof/>
                <w:szCs w:val="24"/>
              </w:rPr>
              <w:t xml:space="preserve"> </w:t>
            </w:r>
            <w:r w:rsidRPr="005C3B55">
              <w:rPr>
                <w:szCs w:val="24"/>
              </w:rPr>
              <w:t>Pastoral farming is predominant among agricultural holdings which breed livestock (40 per cent of all agricultural holdings).</w:t>
            </w:r>
            <w:r w:rsidRPr="005C3B55">
              <w:rPr>
                <w:noProof/>
                <w:szCs w:val="24"/>
              </w:rPr>
              <w:t xml:space="preserve"> </w:t>
            </w:r>
            <w:r w:rsidRPr="005C3B55">
              <w:rPr>
                <w:szCs w:val="24"/>
              </w:rPr>
              <w:t>Almost 30 per cent of agricultural holdings are oriented towards mixed production.</w:t>
            </w:r>
            <w:r w:rsidRPr="005C3B55">
              <w:rPr>
                <w:noProof/>
                <w:szCs w:val="24"/>
              </w:rPr>
              <w:t xml:space="preserve"> </w:t>
            </w:r>
            <w:r w:rsidRPr="005C3B55">
              <w:rPr>
                <w:szCs w:val="24"/>
              </w:rPr>
              <w:t>The number of holdings oriented towards various forms of crop production is increasing in Slovenia, while the number of mixed and livestock breeding holdings has decreased.</w:t>
            </w:r>
          </w:p>
          <w:p w:rsidR="00BD3B5F" w:rsidRPr="005C3B55" w:rsidRDefault="00BD3B5F">
            <w:pPr>
              <w:spacing w:before="240" w:after="240"/>
              <w:jc w:val="left"/>
              <w:rPr>
                <w:noProof/>
                <w:szCs w:val="24"/>
              </w:rPr>
            </w:pPr>
            <w:r w:rsidRPr="005C3B55">
              <w:rPr>
                <w:szCs w:val="24"/>
              </w:rPr>
              <w:t>The changes in size structure show that land concentration processes are continuing, while processes in livestock farming have slowed down.</w:t>
            </w:r>
            <w:r w:rsidRPr="005C3B55">
              <w:rPr>
                <w:noProof/>
                <w:szCs w:val="24"/>
              </w:rPr>
              <w:t xml:space="preserve"> </w:t>
            </w:r>
            <w:r w:rsidRPr="005C3B55">
              <w:rPr>
                <w:szCs w:val="24"/>
              </w:rPr>
              <w:t>Despite all this, the competitiveness of Slovenian farms in comparison to EU-27 is low because of their small sizes.</w:t>
            </w:r>
          </w:p>
          <w:p w:rsidR="00BD3B5F" w:rsidRPr="005C3B55" w:rsidRDefault="00BD3B5F">
            <w:pPr>
              <w:spacing w:before="240" w:after="240"/>
              <w:jc w:val="left"/>
              <w:rPr>
                <w:noProof/>
                <w:szCs w:val="24"/>
              </w:rPr>
            </w:pPr>
            <w:r w:rsidRPr="005C3B55">
              <w:rPr>
                <w:szCs w:val="24"/>
              </w:rPr>
              <w:t>Due to their specific agrarian structure, the majority of Slovenian farms cannot survive only on agricultural income (only less than one-fifth), so they get income from other sources on or outside the farm.</w:t>
            </w:r>
            <w:r w:rsidRPr="005C3B55">
              <w:rPr>
                <w:noProof/>
                <w:szCs w:val="24"/>
              </w:rPr>
              <w:t xml:space="preserve"> </w:t>
            </w:r>
            <w:r w:rsidRPr="005C3B55">
              <w:rPr>
                <w:szCs w:val="24"/>
              </w:rPr>
              <w:t>One form of diversifying income on farms is subsidiary activity in agriculture.</w:t>
            </w:r>
            <w:r w:rsidRPr="005C3B55">
              <w:rPr>
                <w:noProof/>
                <w:szCs w:val="24"/>
              </w:rPr>
              <w:t xml:space="preserve"> </w:t>
            </w:r>
            <w:r w:rsidRPr="005C3B55">
              <w:rPr>
                <w:szCs w:val="24"/>
              </w:rPr>
              <w:t>In 2013, there were 12,103 subsidiary activities registered in Slovenia, mostly for services with farm and forest mechanisation, activities related to food processing and farm tourism.</w:t>
            </w:r>
          </w:p>
          <w:p w:rsidR="00BD3B5F" w:rsidRPr="005C3B55" w:rsidRDefault="00BD3B5F">
            <w:pPr>
              <w:spacing w:before="240" w:after="240"/>
              <w:jc w:val="left"/>
              <w:rPr>
                <w:noProof/>
                <w:szCs w:val="24"/>
              </w:rPr>
            </w:pPr>
            <w:r w:rsidRPr="005C3B55">
              <w:rPr>
                <w:szCs w:val="24"/>
              </w:rPr>
              <w:t>Restructuring processes focus on adapting agricultural holdings to horizontal contents related to the environment (more than one-third of surface water does not have a good ecological status, greater use of plant protection products/ha than the EU average, as well as increased spread of PPP due to obsolete technology, 96 per cent of ammonia is emitted from agriculture), innovation (there were 4.1 per cent of agricultural holdings in 2013 and 8.4 per cent of UAA included in organic farming), mitigation of climate change and adaption to it (around 25 per cent of permenent plantations are covered with nets for protection against hail, the aim until 2020 is to cover 40 per cent of plantations with anti-hail nets).</w:t>
            </w:r>
          </w:p>
          <w:p w:rsidR="00BD3B5F" w:rsidRPr="005C3B55" w:rsidRDefault="00BD3B5F">
            <w:pPr>
              <w:spacing w:before="240" w:after="240"/>
              <w:jc w:val="left"/>
              <w:rPr>
                <w:noProof/>
                <w:szCs w:val="24"/>
              </w:rPr>
            </w:pPr>
            <w:r w:rsidRPr="005C3B55">
              <w:rPr>
                <w:szCs w:val="24"/>
              </w:rPr>
              <w:t>The target group for restructuring includes larger, market-oriented agricultural holdings for which agriculture is the main or only source of income, and which are therefore more sensitive to market oscillations and climate change, and also agricultural holdings active in organic food production and agricultural holdings that are located in water protection areas or hilly and mountaneous areas.</w:t>
            </w:r>
          </w:p>
          <w:p w:rsidR="00BD3B5F" w:rsidRPr="005C3B55" w:rsidRDefault="00BD3B5F">
            <w:pPr>
              <w:spacing w:before="240" w:after="240"/>
              <w:jc w:val="left"/>
              <w:rPr>
                <w:noProof/>
                <w:szCs w:val="24"/>
              </w:rPr>
            </w:pPr>
            <w:r w:rsidRPr="005C3B55">
              <w:rPr>
                <w:b/>
                <w:szCs w:val="24"/>
              </w:rPr>
              <w:t>Agricultural land</w:t>
            </w:r>
          </w:p>
          <w:p w:rsidR="00BD3B5F" w:rsidRPr="005C3B55" w:rsidRDefault="00BD3B5F">
            <w:pPr>
              <w:spacing w:before="240" w:after="240"/>
              <w:jc w:val="left"/>
              <w:rPr>
                <w:noProof/>
                <w:szCs w:val="24"/>
              </w:rPr>
            </w:pPr>
            <w:r w:rsidRPr="005C3B55">
              <w:rPr>
                <w:szCs w:val="24"/>
              </w:rPr>
              <w:t>Most of the utilised agricultural land is located in less favoured areas.</w:t>
            </w:r>
            <w:r w:rsidRPr="005C3B55">
              <w:rPr>
                <w:noProof/>
                <w:szCs w:val="24"/>
              </w:rPr>
              <w:t xml:space="preserve"> </w:t>
            </w:r>
            <w:r w:rsidRPr="005C3B55">
              <w:rPr>
                <w:szCs w:val="24"/>
              </w:rPr>
              <w:t>According to the record of actual use of agricultural land, most land in Slovenia is covered by meadows.</w:t>
            </w:r>
            <w:r w:rsidRPr="005C3B55">
              <w:rPr>
                <w:noProof/>
                <w:szCs w:val="24"/>
              </w:rPr>
              <w:t xml:space="preserve"> </w:t>
            </w:r>
            <w:r w:rsidRPr="005C3B55">
              <w:rPr>
                <w:szCs w:val="24"/>
              </w:rPr>
              <w:t>Permanent meadows, marsh meadows and agricultural land overgrown with forest trees account for 54.2 per cent of all agricultural land (2013).</w:t>
            </w:r>
            <w:r w:rsidRPr="005C3B55">
              <w:rPr>
                <w:noProof/>
                <w:szCs w:val="24"/>
              </w:rPr>
              <w:t xml:space="preserve"> </w:t>
            </w:r>
            <w:r w:rsidRPr="005C3B55">
              <w:rPr>
                <w:szCs w:val="24"/>
              </w:rPr>
              <w:t>More than 27 per cent comprises fields, 3.8 per cent extensive orchards, 2.9 per cent vineyards, 0.6 per cent intensive orchards, and very little other land for agricultural purposes (less than one per cent).</w:t>
            </w:r>
          </w:p>
          <w:p w:rsidR="00BD3B5F" w:rsidRPr="005C3B55" w:rsidRDefault="00BD3B5F">
            <w:pPr>
              <w:spacing w:before="240" w:after="240"/>
              <w:jc w:val="left"/>
              <w:rPr>
                <w:noProof/>
                <w:szCs w:val="24"/>
              </w:rPr>
            </w:pPr>
            <w:r w:rsidRPr="005C3B55">
              <w:rPr>
                <w:szCs w:val="24"/>
              </w:rPr>
              <w:t>The surface of extensive (meadow) orchards has increased most among the most significant types of agricultural use in comparison to 2006 (+23.4 per cent), which is the consequence of the accurate exclusion of smaller land plots from meadows and not so much due to setting up extensive orchards.</w:t>
            </w:r>
            <w:r w:rsidRPr="005C3B55">
              <w:rPr>
                <w:noProof/>
                <w:szCs w:val="24"/>
              </w:rPr>
              <w:t xml:space="preserve"> </w:t>
            </w:r>
            <w:r w:rsidRPr="005C3B55">
              <w:rPr>
                <w:szCs w:val="24"/>
              </w:rPr>
              <w:t>Olive plantation land has increased from 2006 (+21.4 per cent), while the surface of intensive orchards has decreased (-12.8 per cent).</w:t>
            </w:r>
            <w:r w:rsidRPr="005C3B55">
              <w:rPr>
                <w:noProof/>
                <w:szCs w:val="24"/>
              </w:rPr>
              <w:t xml:space="preserve"> </w:t>
            </w:r>
            <w:r w:rsidRPr="005C3B55">
              <w:rPr>
                <w:szCs w:val="24"/>
              </w:rPr>
              <w:t>Hop plantation land has decreased in comparison with 2006 (-7.5 per cent), and the surface of vineyards is also decreasing (-12.1 per cent).</w:t>
            </w:r>
            <w:r w:rsidRPr="005C3B55">
              <w:rPr>
                <w:noProof/>
                <w:szCs w:val="24"/>
              </w:rPr>
              <w:t xml:space="preserve"> </w:t>
            </w:r>
            <w:r w:rsidRPr="005C3B55">
              <w:rPr>
                <w:szCs w:val="24"/>
              </w:rPr>
              <w:t>The surface of fields is slightly increasing (+0.7 per cent) and the surface of meadows (permanent meadows, marsh meadows and agricultural land overgrown with forest trees -5 per cent) is slightly decreasing, also due to more accurate determinations of extensive orchards.</w:t>
            </w:r>
            <w:r w:rsidRPr="005C3B55">
              <w:rPr>
                <w:noProof/>
                <w:szCs w:val="24"/>
              </w:rPr>
              <w:t xml:space="preserve"> </w:t>
            </w:r>
            <w:r w:rsidRPr="005C3B55">
              <w:rPr>
                <w:szCs w:val="24"/>
              </w:rPr>
              <w:t>Although the total surface of greenhouses is 139 ha, the increase in comparison with 2006 is quite significant (32.4 per cent).</w:t>
            </w:r>
            <w:r w:rsidRPr="005C3B55">
              <w:rPr>
                <w:noProof/>
                <w:szCs w:val="24"/>
              </w:rPr>
              <w:t xml:space="preserve"> </w:t>
            </w:r>
            <w:r w:rsidRPr="005C3B55">
              <w:rPr>
                <w:szCs w:val="24"/>
              </w:rPr>
              <w:t>Among other types of agricultural land usage, the most extensive changes have occurred due to agricultural land becoming overgrown (+55.3 per cent in comparison with 2006) and non-cultivated agricultural land, where the surface increased by a factor of 9.15 with regard to records of actual use.</w:t>
            </w:r>
            <w:r w:rsidRPr="005C3B55">
              <w:rPr>
                <w:noProof/>
                <w:szCs w:val="24"/>
              </w:rPr>
              <w:t xml:space="preserve"> </w:t>
            </w:r>
            <w:r w:rsidRPr="005C3B55">
              <w:rPr>
                <w:szCs w:val="24"/>
              </w:rPr>
              <w:t>Some 33,527 ha of agricultural land is overgrown in Slovenia (5 per cent) and 10,407 ha of agricultural land is covered with forest trees (1.6 per cent), which totals 2.17 per cent of the entire territory of Slovenia or 5.6 per cent of all agricultural land.</w:t>
            </w:r>
          </w:p>
          <w:p w:rsidR="00BD3B5F" w:rsidRPr="005C3B55" w:rsidRDefault="00BD3B5F">
            <w:pPr>
              <w:spacing w:before="240" w:after="240"/>
              <w:jc w:val="left"/>
              <w:rPr>
                <w:noProof/>
                <w:szCs w:val="24"/>
              </w:rPr>
            </w:pPr>
            <w:r w:rsidRPr="005C3B55">
              <w:rPr>
                <w:szCs w:val="24"/>
              </w:rPr>
              <w:t>The share of holdings that use more than 20 ha of agricultural land increased from 4.4 per cent in 2010 to 4.8 per cent in 2013; the share of UAA of these holdings increased from 28.9 per cent to 30.7 per cent.</w:t>
            </w:r>
          </w:p>
          <w:p w:rsidR="00BD3B5F" w:rsidRPr="005C3B55" w:rsidRDefault="00BD3B5F">
            <w:pPr>
              <w:spacing w:before="240" w:after="240"/>
              <w:jc w:val="left"/>
              <w:rPr>
                <w:noProof/>
                <w:szCs w:val="24"/>
              </w:rPr>
            </w:pPr>
            <w:r w:rsidRPr="005C3B55">
              <w:rPr>
                <w:szCs w:val="24"/>
              </w:rPr>
              <w:t>A large share of areas which are subject to a special management regulation on environmental protection is characteristic of Slovenia, which also affects farming.</w:t>
            </w:r>
            <w:r w:rsidRPr="005C3B55">
              <w:rPr>
                <w:noProof/>
                <w:szCs w:val="24"/>
              </w:rPr>
              <w:t xml:space="preserve"> </w:t>
            </w:r>
            <w:r w:rsidRPr="005C3B55">
              <w:rPr>
                <w:szCs w:val="24"/>
              </w:rPr>
              <w:t>In accordance with the provisions of Council Directive 91/676/EEC, the entire territory of Slovenia is determined as an area vulnerable to contamination with nitrates of agricultural origin.</w:t>
            </w:r>
            <w:r w:rsidRPr="005C3B55">
              <w:rPr>
                <w:noProof/>
                <w:szCs w:val="24"/>
              </w:rPr>
              <w:t xml:space="preserve"> </w:t>
            </w:r>
            <w:r w:rsidRPr="005C3B55">
              <w:rPr>
                <w:szCs w:val="24"/>
              </w:rPr>
              <w:t>Water protection areas (WPA) account for more than 20 per cent (442,822 ha) of Slovenia’s territory, of which 4,583 ha are in the narrowest WPAs, processed by 3,465 agricultural holdings (4.5 per cent).</w:t>
            </w:r>
          </w:p>
          <w:p w:rsidR="00BD3B5F" w:rsidRPr="005C3B55" w:rsidRDefault="00BD3B5F">
            <w:pPr>
              <w:spacing w:before="240" w:after="240"/>
              <w:jc w:val="left"/>
              <w:rPr>
                <w:noProof/>
                <w:szCs w:val="24"/>
              </w:rPr>
            </w:pPr>
            <w:r w:rsidRPr="005C3B55">
              <w:rPr>
                <w:szCs w:val="24"/>
              </w:rPr>
              <w:t>In 2010, the forest share as per all agricultural land was 42 per cent;</w:t>
            </w:r>
            <w:r w:rsidRPr="005C3B55">
              <w:rPr>
                <w:noProof/>
                <w:szCs w:val="24"/>
              </w:rPr>
              <w:t xml:space="preserve"> </w:t>
            </w:r>
            <w:r w:rsidRPr="005C3B55">
              <w:rPr>
                <w:szCs w:val="24"/>
              </w:rPr>
              <w:t>84 per cent of all agricultural holdings in 2010 also included woodland.</w:t>
            </w:r>
          </w:p>
          <w:p w:rsidR="00BD3B5F" w:rsidRPr="005C3B55" w:rsidRDefault="00BD3B5F">
            <w:pPr>
              <w:spacing w:before="240" w:after="240"/>
              <w:jc w:val="left"/>
              <w:rPr>
                <w:noProof/>
                <w:szCs w:val="24"/>
              </w:rPr>
            </w:pPr>
            <w:r w:rsidRPr="005C3B55">
              <w:rPr>
                <w:b/>
                <w:szCs w:val="24"/>
              </w:rPr>
              <w:t>Organic farming</w:t>
            </w:r>
          </w:p>
          <w:p w:rsidR="00BD3B5F" w:rsidRPr="005C3B55" w:rsidRDefault="00BD3B5F">
            <w:pPr>
              <w:spacing w:before="240" w:after="240"/>
              <w:jc w:val="left"/>
              <w:rPr>
                <w:noProof/>
                <w:szCs w:val="24"/>
              </w:rPr>
            </w:pPr>
            <w:r w:rsidRPr="005C3B55">
              <w:rPr>
                <w:szCs w:val="24"/>
              </w:rPr>
              <w:t>The last several years has seen a growing number of organic agricultural holdings.</w:t>
            </w:r>
            <w:r w:rsidRPr="005C3B55">
              <w:rPr>
                <w:noProof/>
                <w:szCs w:val="24"/>
              </w:rPr>
              <w:t xml:space="preserve"> </w:t>
            </w:r>
            <w:r w:rsidRPr="005C3B55">
              <w:rPr>
                <w:szCs w:val="24"/>
              </w:rPr>
              <w:t>In 2013, 3,049 agricultural holdings were included in the measure.</w:t>
            </w:r>
            <w:r w:rsidRPr="005C3B55">
              <w:rPr>
                <w:noProof/>
                <w:szCs w:val="24"/>
              </w:rPr>
              <w:t xml:space="preserve"> </w:t>
            </w:r>
            <w:r w:rsidRPr="005C3B55">
              <w:rPr>
                <w:szCs w:val="24"/>
              </w:rPr>
              <w:t>In that year, 2,232 agricultural holdings finalised the transitional period and obtained a certificate and the right to label their products or foodstuffs with the official ‘organic’ label.</w:t>
            </w:r>
            <w:r w:rsidRPr="005C3B55">
              <w:rPr>
                <w:noProof/>
                <w:szCs w:val="24"/>
              </w:rPr>
              <w:t xml:space="preserve"> </w:t>
            </w:r>
            <w:r w:rsidRPr="005C3B55">
              <w:rPr>
                <w:szCs w:val="24"/>
              </w:rPr>
              <w:t>The number of agricultural holdings in the supervision system is still only 4.1 per cent of all agricultural holdings.</w:t>
            </w:r>
          </w:p>
          <w:p w:rsidR="00BD3B5F" w:rsidRPr="005C3B55" w:rsidRDefault="00BD3B5F">
            <w:pPr>
              <w:spacing w:before="240" w:after="240"/>
              <w:jc w:val="left"/>
              <w:rPr>
                <w:noProof/>
                <w:szCs w:val="24"/>
              </w:rPr>
            </w:pPr>
            <w:r w:rsidRPr="005C3B55">
              <w:rPr>
                <w:szCs w:val="24"/>
              </w:rPr>
              <w:t>The utilised agricultural area included in supervision of organic farming in 2013 accounted for 8.4 per cent of all utilised agricultural land and increased by 10.2 per cent in comparison to 2012.</w:t>
            </w:r>
            <w:r w:rsidRPr="005C3B55">
              <w:rPr>
                <w:noProof/>
                <w:szCs w:val="24"/>
              </w:rPr>
              <w:t xml:space="preserve"> </w:t>
            </w:r>
            <w:r w:rsidRPr="005C3B55">
              <w:rPr>
                <w:szCs w:val="24"/>
              </w:rPr>
              <w:t>From the aspect of individual categories of agricultural land in use, grassland had the largest share (86.7 per cent), followed by crops on fields (8.1 per cent), orchards (2.9 per cent) and vineyards (1.0 per cent).</w:t>
            </w:r>
            <w:r w:rsidRPr="005C3B55">
              <w:rPr>
                <w:noProof/>
                <w:szCs w:val="24"/>
              </w:rPr>
              <w:t xml:space="preserve"> </w:t>
            </w:r>
            <w:r w:rsidRPr="005C3B55">
              <w:rPr>
                <w:szCs w:val="24"/>
              </w:rPr>
              <w:t>Olive plantations and vegetables comprised less than one per cent of total organic farming land.</w:t>
            </w:r>
          </w:p>
          <w:p w:rsidR="00BD3B5F" w:rsidRPr="005C3B55" w:rsidRDefault="00BD3B5F">
            <w:pPr>
              <w:spacing w:before="240" w:after="240"/>
              <w:jc w:val="left"/>
              <w:rPr>
                <w:noProof/>
                <w:szCs w:val="24"/>
              </w:rPr>
            </w:pPr>
            <w:r w:rsidRPr="005C3B55">
              <w:rPr>
                <w:szCs w:val="24"/>
              </w:rPr>
              <w:t>The number of animals on farms in the organic farming supervision system is increasing each year.</w:t>
            </w:r>
            <w:r w:rsidRPr="005C3B55">
              <w:rPr>
                <w:noProof/>
                <w:szCs w:val="24"/>
              </w:rPr>
              <w:t xml:space="preserve"> </w:t>
            </w:r>
            <w:r w:rsidRPr="005C3B55">
              <w:rPr>
                <w:szCs w:val="24"/>
              </w:rPr>
              <w:t>According to the number of animals, first place is taken by poultry, followed by small cattle and cattle.</w:t>
            </w:r>
          </w:p>
          <w:p w:rsidR="00BD3B5F" w:rsidRPr="005C3B55" w:rsidRDefault="00BD3B5F">
            <w:pPr>
              <w:spacing w:before="240" w:after="240"/>
              <w:jc w:val="left"/>
              <w:rPr>
                <w:noProof/>
                <w:szCs w:val="24"/>
              </w:rPr>
            </w:pPr>
            <w:r w:rsidRPr="005C3B55">
              <w:rPr>
                <w:b/>
                <w:szCs w:val="24"/>
              </w:rPr>
              <w:t>Economic situation in agriculture</w:t>
            </w:r>
          </w:p>
          <w:p w:rsidR="00BD3B5F" w:rsidRPr="005C3B55" w:rsidRDefault="00BD3B5F">
            <w:pPr>
              <w:spacing w:before="240" w:after="240"/>
              <w:jc w:val="left"/>
              <w:rPr>
                <w:noProof/>
                <w:szCs w:val="24"/>
              </w:rPr>
            </w:pPr>
            <w:r w:rsidRPr="005C3B55">
              <w:rPr>
                <w:szCs w:val="24"/>
              </w:rPr>
              <w:t>The economic situation of agriculture has been characterised in the past by great changes in prices, which also affected income, together with changes in the scope of production and intermediate consumption.</w:t>
            </w:r>
            <w:r w:rsidRPr="005C3B55">
              <w:rPr>
                <w:noProof/>
                <w:szCs w:val="24"/>
              </w:rPr>
              <w:t xml:space="preserve"> </w:t>
            </w:r>
            <w:r w:rsidRPr="005C3B55">
              <w:rPr>
                <w:szCs w:val="24"/>
              </w:rPr>
              <w:t>After growth in 2010 and 2011, income in agriculture dropped significantly in 2012, and remained at a similar level in 2013.</w:t>
            </w:r>
          </w:p>
          <w:p w:rsidR="00BD3B5F" w:rsidRPr="005C3B55" w:rsidRDefault="00BD3B5F">
            <w:pPr>
              <w:spacing w:before="240" w:after="240"/>
              <w:jc w:val="left"/>
              <w:rPr>
                <w:noProof/>
                <w:szCs w:val="24"/>
              </w:rPr>
            </w:pPr>
            <w:r w:rsidRPr="005C3B55">
              <w:rPr>
                <w:szCs w:val="24"/>
              </w:rPr>
              <w:t>According to the data from economic invoices for agriculture, the value of production at basic prices in 2013 amounted to about EUR 1.17 billion or two per cent more than in 2012.</w:t>
            </w:r>
            <w:r w:rsidRPr="005C3B55">
              <w:rPr>
                <w:noProof/>
                <w:szCs w:val="24"/>
              </w:rPr>
              <w:t xml:space="preserve"> </w:t>
            </w:r>
            <w:r w:rsidRPr="005C3B55">
              <w:rPr>
                <w:szCs w:val="24"/>
              </w:rPr>
              <w:t>Interim consumption comprises two-thirds of this value (EUR 780 million); the remaining share is taken by gross added value (EUR 390 million).</w:t>
            </w:r>
            <w:r w:rsidRPr="005C3B55">
              <w:rPr>
                <w:noProof/>
                <w:szCs w:val="24"/>
              </w:rPr>
              <w:t xml:space="preserve"> </w:t>
            </w:r>
            <w:r w:rsidRPr="005C3B55">
              <w:rPr>
                <w:szCs w:val="24"/>
              </w:rPr>
              <w:t>In 2013, the nominal factor income remained close to the level of the previous year (around EUR 390 million).</w:t>
            </w:r>
            <w:r w:rsidRPr="005C3B55">
              <w:rPr>
                <w:noProof/>
                <w:szCs w:val="24"/>
              </w:rPr>
              <w:t xml:space="preserve"> </w:t>
            </w:r>
            <w:r w:rsidRPr="005C3B55">
              <w:rPr>
                <w:szCs w:val="24"/>
              </w:rPr>
              <w:t>At 2.3 per cent lower number of annual work units (AWU), factor income per AWU reached less than EUR 5,200 which is about 36 per cent of the EU-27 average. The agricultural work productivity (GVA/AWU) amounted to EUR 5,457 in the 2011–2013 period.</w:t>
            </w:r>
          </w:p>
          <w:p w:rsidR="00BD3B5F" w:rsidRPr="005C3B55" w:rsidRDefault="00BD3B5F">
            <w:pPr>
              <w:spacing w:before="240" w:after="240"/>
              <w:jc w:val="left"/>
              <w:rPr>
                <w:noProof/>
                <w:szCs w:val="24"/>
              </w:rPr>
            </w:pPr>
            <w:r w:rsidRPr="005C3B55">
              <w:rPr>
                <w:szCs w:val="24"/>
              </w:rPr>
              <w:t>In percentages, real gross added value fell by one per cent, while net added value and factor income were slightly lower by 3 per cent in comparison to 2012. Due to the reduction of employment in agriculture, factor income per annual work unit remained almost the same as the previous year (lower by 0.3 per cent).</w:t>
            </w:r>
          </w:p>
          <w:p w:rsidR="00BD3B5F" w:rsidRPr="005C3B55" w:rsidRDefault="00BD3B5F">
            <w:pPr>
              <w:spacing w:before="240" w:after="240"/>
              <w:jc w:val="left"/>
              <w:rPr>
                <w:noProof/>
                <w:szCs w:val="24"/>
              </w:rPr>
            </w:pPr>
            <w:r w:rsidRPr="005C3B55">
              <w:rPr>
                <w:szCs w:val="24"/>
              </w:rPr>
              <w:t>In 2013, agriculture, hunting, forestry and fishery added 2.9 per cent to the total added value, and 8.4 per cent to total employment.</w:t>
            </w:r>
            <w:r w:rsidRPr="005C3B55">
              <w:rPr>
                <w:noProof/>
                <w:szCs w:val="24"/>
              </w:rPr>
              <w:t xml:space="preserve"> </w:t>
            </w:r>
            <w:r w:rsidRPr="005C3B55">
              <w:rPr>
                <w:szCs w:val="24"/>
              </w:rPr>
              <w:t>Both shares slightly increased in comparison to 2012.</w:t>
            </w:r>
          </w:p>
          <w:p w:rsidR="00BD3B5F" w:rsidRPr="005C3B55" w:rsidRDefault="00BD3B5F">
            <w:pPr>
              <w:spacing w:before="240" w:after="240"/>
              <w:jc w:val="left"/>
              <w:rPr>
                <w:noProof/>
                <w:szCs w:val="24"/>
              </w:rPr>
            </w:pPr>
            <w:r w:rsidRPr="005C3B55">
              <w:rPr>
                <w:b/>
                <w:szCs w:val="24"/>
              </w:rPr>
              <w:t>Labour force on agricultural holdings</w:t>
            </w:r>
          </w:p>
          <w:p w:rsidR="00BD3B5F" w:rsidRPr="005C3B55" w:rsidRDefault="00BD3B5F">
            <w:pPr>
              <w:spacing w:before="240" w:after="240"/>
              <w:jc w:val="left"/>
              <w:rPr>
                <w:noProof/>
                <w:szCs w:val="24"/>
              </w:rPr>
            </w:pPr>
            <w:r w:rsidRPr="005C3B55">
              <w:rPr>
                <w:szCs w:val="24"/>
              </w:rPr>
              <w:t>More than 200,000 active working persons pursued agricultural activities in farm enterprises and family farms in Slovenia in 2013.</w:t>
            </w:r>
            <w:r w:rsidRPr="005C3B55">
              <w:rPr>
                <w:noProof/>
                <w:szCs w:val="24"/>
              </w:rPr>
              <w:t xml:space="preserve"> </w:t>
            </w:r>
            <w:r w:rsidRPr="005C3B55">
              <w:rPr>
                <w:szCs w:val="24"/>
              </w:rPr>
              <w:t>Total work input in agriculture in Slovenia in 2013 expressed in annual work units (AWU) was 82,746 AWU or 0.17 AWU per hectare of UAA.</w:t>
            </w:r>
            <w:r w:rsidRPr="005C3B55">
              <w:rPr>
                <w:noProof/>
                <w:szCs w:val="24"/>
              </w:rPr>
              <w:t xml:space="preserve"> </w:t>
            </w:r>
            <w:r w:rsidRPr="005C3B55">
              <w:rPr>
                <w:szCs w:val="24"/>
              </w:rPr>
              <w:t>As much as 93.4 per cent of work in agriculture was performed by family labour in 2013.</w:t>
            </w:r>
            <w:r w:rsidRPr="005C3B55">
              <w:rPr>
                <w:noProof/>
                <w:szCs w:val="24"/>
              </w:rPr>
              <w:t xml:space="preserve"> </w:t>
            </w:r>
            <w:r w:rsidRPr="005C3B55">
              <w:rPr>
                <w:szCs w:val="24"/>
              </w:rPr>
              <w:t>The number of AWU increased by 2.7 per cent compared to 2010.</w:t>
            </w:r>
            <w:r w:rsidRPr="005C3B55">
              <w:rPr>
                <w:noProof/>
                <w:szCs w:val="24"/>
              </w:rPr>
              <w:t xml:space="preserve"> </w:t>
            </w:r>
            <w:r w:rsidRPr="005C3B55">
              <w:rPr>
                <w:szCs w:val="24"/>
              </w:rPr>
              <w:t>In comparison to the EU-27, Slovenia has above-average employment on agricultural holdings.</w:t>
            </w:r>
            <w:r w:rsidRPr="005C3B55">
              <w:rPr>
                <w:noProof/>
                <w:szCs w:val="24"/>
              </w:rPr>
              <w:t xml:space="preserve"> </w:t>
            </w:r>
            <w:r w:rsidRPr="005C3B55">
              <w:rPr>
                <w:szCs w:val="24"/>
              </w:rPr>
              <w:t>One AWU in Slovenia cultivates 6.3 ha of UAA, which is almost three times less than the EU-27 average.</w:t>
            </w:r>
          </w:p>
          <w:p w:rsidR="00BD3B5F" w:rsidRPr="005C3B55" w:rsidRDefault="00BD3B5F">
            <w:pPr>
              <w:spacing w:before="240" w:after="240"/>
              <w:jc w:val="left"/>
              <w:rPr>
                <w:noProof/>
                <w:szCs w:val="24"/>
              </w:rPr>
            </w:pPr>
            <w:r w:rsidRPr="005C3B55">
              <w:rPr>
                <w:szCs w:val="24"/>
              </w:rPr>
              <w:t>Slovenia is a country with an unfavourable age structure of heads of agricultural holdings:</w:t>
            </w:r>
            <w:r w:rsidRPr="005C3B55">
              <w:rPr>
                <w:noProof/>
                <w:szCs w:val="24"/>
              </w:rPr>
              <w:t xml:space="preserve"> </w:t>
            </w:r>
            <w:r w:rsidRPr="005C3B55">
              <w:rPr>
                <w:szCs w:val="24"/>
              </w:rPr>
              <w:t>44.9 per cent are younger than 55 years (3.5 percentage points less than average EU-27).</w:t>
            </w:r>
            <w:r w:rsidRPr="005C3B55">
              <w:rPr>
                <w:noProof/>
                <w:szCs w:val="24"/>
              </w:rPr>
              <w:t xml:space="preserve"> </w:t>
            </w:r>
            <w:r w:rsidRPr="005C3B55">
              <w:rPr>
                <w:szCs w:val="24"/>
              </w:rPr>
              <w:t>The share of owners of agricultural holdings under the age of 35 in Slovenia is only 4.3 per cent, which puts it among countries with the smallest share of young owners of agricultural holdings (EU-27: 7.5 per cent).</w:t>
            </w:r>
          </w:p>
          <w:p w:rsidR="00BD3B5F" w:rsidRPr="005C3B55" w:rsidRDefault="00BD3B5F">
            <w:pPr>
              <w:spacing w:before="240" w:after="240"/>
              <w:jc w:val="left"/>
              <w:rPr>
                <w:noProof/>
                <w:szCs w:val="24"/>
              </w:rPr>
            </w:pPr>
            <w:r w:rsidRPr="005C3B55">
              <w:rPr>
                <w:szCs w:val="24"/>
              </w:rPr>
              <w:t>Educational structure in Slovenia is somewhat better than the EU-27 average, as less than two-thirds of heads of agricultural holdings (50.1 per cent) have practical experience only in agriculture, while the share of those with full agricultural education stands at 11.7 per cent.</w:t>
            </w:r>
          </w:p>
          <w:p w:rsidR="00BD3B5F" w:rsidRPr="005C3B55" w:rsidRDefault="00BD3B5F">
            <w:pPr>
              <w:spacing w:before="240" w:after="240"/>
              <w:jc w:val="left"/>
              <w:rPr>
                <w:noProof/>
                <w:szCs w:val="24"/>
              </w:rPr>
            </w:pPr>
            <w:r w:rsidRPr="005C3B55">
              <w:rPr>
                <w:b/>
                <w:szCs w:val="24"/>
              </w:rPr>
              <w:t>Food processing industry</w:t>
            </w:r>
          </w:p>
          <w:p w:rsidR="00BD3B5F" w:rsidRPr="005C3B55" w:rsidRDefault="00BD3B5F">
            <w:pPr>
              <w:spacing w:before="240" w:after="240"/>
              <w:jc w:val="left"/>
              <w:rPr>
                <w:noProof/>
                <w:szCs w:val="24"/>
              </w:rPr>
            </w:pPr>
            <w:r w:rsidRPr="005C3B55">
              <w:rPr>
                <w:szCs w:val="24"/>
              </w:rPr>
              <w:t>The production of food and beverages is among the most important activities in the Slovenian economy and, because of its close connection with domestic supply sources, it has one of the strongest multiplicative effects on the national economy, although the contribution of the food processing industry to GDP has been decreasing since 1996.</w:t>
            </w:r>
            <w:r w:rsidRPr="005C3B55">
              <w:rPr>
                <w:noProof/>
                <w:szCs w:val="24"/>
              </w:rPr>
              <w:t xml:space="preserve"> </w:t>
            </w:r>
            <w:r w:rsidRPr="005C3B55">
              <w:rPr>
                <w:szCs w:val="24"/>
              </w:rPr>
              <w:t>What is characteristic of this industry is high exposure to fierce competition from abroad, which companies have been facing in particular following Slovenia joined the EU in 2004, and processes of ownership consolidation (so-called management buy-outs), which have resulted in a developmental standstill in the majority of companies, and even to bankruptcies.</w:t>
            </w:r>
          </w:p>
          <w:p w:rsidR="00BD3B5F" w:rsidRPr="005C3B55" w:rsidRDefault="00BD3B5F">
            <w:pPr>
              <w:spacing w:before="240" w:after="240"/>
              <w:jc w:val="left"/>
              <w:rPr>
                <w:noProof/>
                <w:szCs w:val="24"/>
              </w:rPr>
            </w:pPr>
            <w:r w:rsidRPr="005C3B55">
              <w:rPr>
                <w:szCs w:val="24"/>
              </w:rPr>
              <w:t>In the past, the production of beverages and food contributed about 1.5 per cent to the total added value of economic activities, and about 1.7 per cent to total employment.</w:t>
            </w:r>
            <w:r w:rsidRPr="005C3B55">
              <w:rPr>
                <w:noProof/>
                <w:szCs w:val="24"/>
              </w:rPr>
              <w:t xml:space="preserve"> </w:t>
            </w:r>
            <w:r w:rsidRPr="005C3B55">
              <w:rPr>
                <w:szCs w:val="24"/>
              </w:rPr>
              <w:t>Both shares have remained stable since 2008, showing a standstill in the marked trend of reducing the share of food processing activities.</w:t>
            </w:r>
          </w:p>
          <w:p w:rsidR="00BD3B5F" w:rsidRPr="005C3B55" w:rsidRDefault="00BD3B5F">
            <w:pPr>
              <w:spacing w:before="240" w:after="240"/>
              <w:jc w:val="left"/>
              <w:rPr>
                <w:noProof/>
                <w:szCs w:val="24"/>
              </w:rPr>
            </w:pPr>
            <w:r w:rsidRPr="005C3B55">
              <w:rPr>
                <w:szCs w:val="24"/>
              </w:rPr>
              <w:t>In accordance with the Report on the situation in agriculture, food production, forestry and fisheries in 2013, 12,516 workers were employed in 642 food processing companies.</w:t>
            </w:r>
            <w:r w:rsidRPr="005C3B55">
              <w:rPr>
                <w:noProof/>
                <w:szCs w:val="24"/>
              </w:rPr>
              <w:t xml:space="preserve"> </w:t>
            </w:r>
            <w:r w:rsidRPr="005C3B55">
              <w:rPr>
                <w:szCs w:val="24"/>
              </w:rPr>
              <w:t>The number of companies with registered food and beverages production activities increased by 4.1 per cent in comparison to 2012, while the number of employees dropped by almost 3 per cent.</w:t>
            </w:r>
            <w:r w:rsidRPr="005C3B55">
              <w:rPr>
                <w:noProof/>
                <w:szCs w:val="24"/>
              </w:rPr>
              <w:t xml:space="preserve"> </w:t>
            </w:r>
            <w:r w:rsidRPr="005C3B55">
              <w:rPr>
                <w:szCs w:val="24"/>
              </w:rPr>
              <w:t>The trend of an increasing number of companies and decreasing number of employees has been noticeable for a longer period; the size structure of the branch is also changing.</w:t>
            </w:r>
            <w:r w:rsidRPr="005C3B55">
              <w:rPr>
                <w:noProof/>
                <w:szCs w:val="24"/>
              </w:rPr>
              <w:t xml:space="preserve"> </w:t>
            </w:r>
            <w:r w:rsidRPr="005C3B55">
              <w:rPr>
                <w:szCs w:val="24"/>
              </w:rPr>
              <w:t>The average number of employees is decreasing, since micro and small companies are being established.</w:t>
            </w:r>
          </w:p>
          <w:p w:rsidR="00BD3B5F" w:rsidRPr="005C3B55" w:rsidRDefault="00BD3B5F">
            <w:pPr>
              <w:spacing w:before="240" w:after="240"/>
              <w:jc w:val="left"/>
              <w:rPr>
                <w:noProof/>
                <w:szCs w:val="24"/>
              </w:rPr>
            </w:pPr>
            <w:r w:rsidRPr="005C3B55">
              <w:rPr>
                <w:szCs w:val="24"/>
              </w:rPr>
              <w:t>In 2013, food industry revenue amounted to EUR 2 billion, which in real terms is 2.5 per cent less than in 2012.</w:t>
            </w:r>
            <w:r w:rsidRPr="005C3B55">
              <w:rPr>
                <w:noProof/>
                <w:szCs w:val="24"/>
              </w:rPr>
              <w:t xml:space="preserve"> </w:t>
            </w:r>
            <w:r w:rsidRPr="005C3B55">
              <w:rPr>
                <w:szCs w:val="24"/>
              </w:rPr>
              <w:t>A similar decline in revenue was also noticed in 2012. The reduction in revenue is primarily the result of the reduction in production scope, while the minimum increase in prices did not compensate for this reduction.</w:t>
            </w:r>
          </w:p>
          <w:p w:rsidR="00BD3B5F" w:rsidRPr="005C3B55" w:rsidRDefault="00BD3B5F">
            <w:pPr>
              <w:spacing w:before="240" w:after="240"/>
              <w:jc w:val="left"/>
              <w:rPr>
                <w:noProof/>
                <w:szCs w:val="24"/>
              </w:rPr>
            </w:pPr>
            <w:r w:rsidRPr="005C3B55">
              <w:rPr>
                <w:szCs w:val="24"/>
              </w:rPr>
              <w:t>Slight growth in productivity in real terms was achieved in 2013, measured by sales revenue per employee.</w:t>
            </w:r>
            <w:r w:rsidRPr="005C3B55">
              <w:rPr>
                <w:noProof/>
                <w:szCs w:val="24"/>
              </w:rPr>
              <w:t xml:space="preserve"> </w:t>
            </w:r>
            <w:r w:rsidRPr="005C3B55">
              <w:rPr>
                <w:szCs w:val="24"/>
              </w:rPr>
              <w:t>An employee in a food processing company created an average of EUR 159,400 in revenue, which in real terms is 0.4 per cent more than in 2012.</w:t>
            </w:r>
            <w:r w:rsidRPr="005C3B55">
              <w:rPr>
                <w:noProof/>
                <w:szCs w:val="24"/>
              </w:rPr>
              <w:t xml:space="preserve"> </w:t>
            </w:r>
            <w:r w:rsidRPr="005C3B55">
              <w:rPr>
                <w:szCs w:val="24"/>
              </w:rPr>
              <w:t>Added value per employee also increased in real terms.</w:t>
            </w:r>
            <w:r w:rsidRPr="005C3B55">
              <w:rPr>
                <w:noProof/>
                <w:szCs w:val="24"/>
              </w:rPr>
              <w:t xml:space="preserve"> </w:t>
            </w:r>
            <w:r w:rsidRPr="005C3B55">
              <w:rPr>
                <w:szCs w:val="24"/>
              </w:rPr>
              <w:t>An employee in a food processing company created an average of EUR 34,440 in revenue, which in real terms is 1.3 per cent more than in 2012.</w:t>
            </w:r>
          </w:p>
          <w:p w:rsidR="00BD3B5F" w:rsidRPr="005C3B55" w:rsidRDefault="00BD3B5F">
            <w:pPr>
              <w:spacing w:before="240" w:after="240"/>
              <w:jc w:val="left"/>
              <w:rPr>
                <w:noProof/>
                <w:szCs w:val="24"/>
              </w:rPr>
            </w:pPr>
            <w:r w:rsidRPr="005C3B55">
              <w:rPr>
                <w:szCs w:val="24"/>
              </w:rPr>
              <w:t>The biggest shares in the structure of food processing are generated by four branches:</w:t>
            </w:r>
            <w:r w:rsidRPr="005C3B55">
              <w:rPr>
                <w:noProof/>
                <w:szCs w:val="24"/>
              </w:rPr>
              <w:t xml:space="preserve"> </w:t>
            </w:r>
            <w:r w:rsidRPr="005C3B55">
              <w:rPr>
                <w:szCs w:val="24"/>
              </w:rPr>
              <w:t>flour milling and baking, meat processing, milk processing and the production of beverages (primarily beer).</w:t>
            </w:r>
            <w:r w:rsidRPr="005C3B55">
              <w:rPr>
                <w:noProof/>
                <w:szCs w:val="24"/>
              </w:rPr>
              <w:t xml:space="preserve"> </w:t>
            </w:r>
            <w:r w:rsidRPr="005C3B55">
              <w:rPr>
                <w:szCs w:val="24"/>
              </w:rPr>
              <w:t>The share of other branches is significantly smaller, especially in processing vegetables, where Slovenia’s self-sufficiency is also low.</w:t>
            </w:r>
          </w:p>
          <w:p w:rsidR="00BD3B5F" w:rsidRPr="005C3B55" w:rsidRDefault="00BD3B5F">
            <w:pPr>
              <w:spacing w:before="240" w:after="240"/>
              <w:jc w:val="left"/>
              <w:rPr>
                <w:noProof/>
                <w:szCs w:val="24"/>
              </w:rPr>
            </w:pPr>
            <w:r w:rsidRPr="005C3B55">
              <w:rPr>
                <w:b/>
                <w:szCs w:val="24"/>
              </w:rPr>
              <w:t>Rate of self-sufficiency in plant and animal products</w:t>
            </w:r>
          </w:p>
          <w:p w:rsidR="00BD3B5F" w:rsidRPr="005C3B55" w:rsidRDefault="00BD3B5F">
            <w:pPr>
              <w:spacing w:before="240" w:after="240"/>
              <w:jc w:val="left"/>
              <w:rPr>
                <w:noProof/>
                <w:szCs w:val="24"/>
              </w:rPr>
            </w:pPr>
            <w:r w:rsidRPr="005C3B55">
              <w:rPr>
                <w:szCs w:val="24"/>
              </w:rPr>
              <w:t>According to data from the Statistical Office (SURS) and the Agricultural Institute (AIS), the rate of self-sufficiency in Slovenia in animal products is higher and somewhat more stable than that of plant products.</w:t>
            </w:r>
            <w:r w:rsidRPr="005C3B55">
              <w:rPr>
                <w:noProof/>
                <w:szCs w:val="24"/>
              </w:rPr>
              <w:t xml:space="preserve"> </w:t>
            </w:r>
            <w:r w:rsidRPr="005C3B55">
              <w:rPr>
                <w:szCs w:val="24"/>
              </w:rPr>
              <w:t>The self-sufficiency rate in 2013 was 80.2 per cent: 54.7 per cent for grains, 33.3 per cent for vegetables and 46.4 per cent for potatoes.</w:t>
            </w:r>
            <w:r w:rsidRPr="005C3B55">
              <w:rPr>
                <w:noProof/>
                <w:szCs w:val="24"/>
              </w:rPr>
              <w:t xml:space="preserve"> </w:t>
            </w:r>
            <w:r w:rsidRPr="005C3B55">
              <w:rPr>
                <w:szCs w:val="24"/>
              </w:rPr>
              <w:t>Self-sufficiency rates differ significantly for individual types of meat (low self-sufficiency in pork: 39.3 per cent).</w:t>
            </w:r>
            <w:r w:rsidRPr="005C3B55">
              <w:rPr>
                <w:noProof/>
                <w:szCs w:val="24"/>
              </w:rPr>
              <w:t xml:space="preserve"> </w:t>
            </w:r>
            <w:r w:rsidRPr="005C3B55">
              <w:rPr>
                <w:szCs w:val="24"/>
              </w:rPr>
              <w:t>Self-sufficiency in eco-products is very low, merely 20 per cent.</w:t>
            </w:r>
            <w:r w:rsidRPr="005C3B55">
              <w:rPr>
                <w:noProof/>
                <w:szCs w:val="24"/>
              </w:rPr>
              <w:t xml:space="preserve"> </w:t>
            </w:r>
            <w:r w:rsidRPr="005C3B55">
              <w:rPr>
                <w:szCs w:val="24"/>
              </w:rPr>
              <w:t>The situation in seed production is also worrying, since we only have one producer.</w:t>
            </w:r>
          </w:p>
          <w:p w:rsidR="00BD3B5F" w:rsidRPr="005C3B55" w:rsidRDefault="00BD3B5F">
            <w:pPr>
              <w:spacing w:before="240" w:after="240"/>
              <w:jc w:val="left"/>
              <w:rPr>
                <w:noProof/>
                <w:szCs w:val="24"/>
              </w:rPr>
            </w:pPr>
            <w:r w:rsidRPr="005C3B55">
              <w:rPr>
                <w:b/>
                <w:szCs w:val="24"/>
              </w:rPr>
              <w:t>Market orientation</w:t>
            </w:r>
          </w:p>
          <w:p w:rsidR="00BD3B5F" w:rsidRPr="005C3B55" w:rsidRDefault="00BD3B5F">
            <w:pPr>
              <w:spacing w:before="240" w:after="240"/>
              <w:jc w:val="left"/>
              <w:rPr>
                <w:noProof/>
                <w:szCs w:val="24"/>
              </w:rPr>
            </w:pPr>
            <w:r w:rsidRPr="005C3B55">
              <w:rPr>
                <w:szCs w:val="24"/>
              </w:rPr>
              <w:t>A low level of market-oriented activity is typical of Slovenia, as only 40 per cent of family farms allocate the bulk of their output for sale.</w:t>
            </w:r>
            <w:r w:rsidRPr="005C3B55">
              <w:rPr>
                <w:noProof/>
                <w:szCs w:val="24"/>
              </w:rPr>
              <w:t xml:space="preserve"> </w:t>
            </w:r>
            <w:r w:rsidRPr="005C3B55">
              <w:rPr>
                <w:szCs w:val="24"/>
              </w:rPr>
              <w:t>A major share of farm products is used or sold directly on agricultural holdings.</w:t>
            </w:r>
            <w:r w:rsidRPr="005C3B55">
              <w:rPr>
                <w:noProof/>
                <w:szCs w:val="24"/>
              </w:rPr>
              <w:t xml:space="preserve"> </w:t>
            </w:r>
            <w:r w:rsidRPr="005C3B55">
              <w:rPr>
                <w:szCs w:val="24"/>
              </w:rPr>
              <w:t>This share is large primarily for feed grain, potato, vegetables and fruit, where between 70 to 90 per cent of produce does not eneter registered marketing channels.</w:t>
            </w:r>
            <w:r w:rsidRPr="005C3B55">
              <w:rPr>
                <w:noProof/>
                <w:szCs w:val="24"/>
              </w:rPr>
              <w:t xml:space="preserve"> </w:t>
            </w:r>
            <w:r w:rsidRPr="005C3B55">
              <w:rPr>
                <w:szCs w:val="24"/>
              </w:rPr>
              <w:t>This share is usually lower for animal products, a consequence of increasingly strict veterinary regulations.</w:t>
            </w:r>
            <w:r w:rsidRPr="005C3B55">
              <w:rPr>
                <w:noProof/>
                <w:szCs w:val="24"/>
              </w:rPr>
              <w:t xml:space="preserve"> </w:t>
            </w:r>
            <w:r w:rsidRPr="005C3B55">
              <w:rPr>
                <w:szCs w:val="24"/>
              </w:rPr>
              <w:t>Slaughtering of animals is conducted on agricultural holdings to a large extent only for pigs (about 40 per cent) and sheep and goats (more than 90 per cent).</w:t>
            </w:r>
            <w:r w:rsidRPr="005C3B55">
              <w:rPr>
                <w:noProof/>
                <w:szCs w:val="24"/>
              </w:rPr>
              <w:t xml:space="preserve"> </w:t>
            </w:r>
            <w:r w:rsidRPr="005C3B55">
              <w:rPr>
                <w:szCs w:val="24"/>
              </w:rPr>
              <w:t>Sales of milk to dairy companies (domestic and foreign) account for more than 80 per cent of total production, while half of the entire production of table eggs is sold through registered marketing channels (buy-in and sale at markets).</w:t>
            </w:r>
            <w:r w:rsidRPr="005C3B55">
              <w:rPr>
                <w:noProof/>
                <w:szCs w:val="24"/>
              </w:rPr>
              <w:t xml:space="preserve"> </w:t>
            </w:r>
            <w:r w:rsidRPr="005C3B55">
              <w:rPr>
                <w:szCs w:val="24"/>
              </w:rPr>
              <w:t>For honey, this share is much smaller (around 25 per cent).</w:t>
            </w:r>
          </w:p>
          <w:p w:rsidR="00BD3B5F" w:rsidRPr="005C3B55" w:rsidRDefault="00BD3B5F">
            <w:pPr>
              <w:spacing w:before="240" w:after="240"/>
              <w:jc w:val="left"/>
              <w:rPr>
                <w:noProof/>
                <w:szCs w:val="24"/>
              </w:rPr>
            </w:pPr>
            <w:r w:rsidRPr="005C3B55">
              <w:rPr>
                <w:b/>
                <w:szCs w:val="24"/>
              </w:rPr>
              <w:t>Risk management</w:t>
            </w:r>
          </w:p>
          <w:p w:rsidR="00BD3B5F" w:rsidRPr="005C3B55" w:rsidRDefault="00BD3B5F">
            <w:pPr>
              <w:spacing w:before="240" w:after="240"/>
              <w:jc w:val="left"/>
              <w:rPr>
                <w:noProof/>
                <w:szCs w:val="24"/>
              </w:rPr>
            </w:pPr>
            <w:r w:rsidRPr="005C3B55">
              <w:rPr>
                <w:szCs w:val="24"/>
              </w:rPr>
              <w:t>According to the estimate of the Agricultural Institute of Slovenia, agriculture is among the most sensitive sectors due to direct dependence on environmental effects, since this sector is mostly affected by extraordinary weather events.</w:t>
            </w:r>
            <w:r w:rsidRPr="005C3B55">
              <w:rPr>
                <w:noProof/>
                <w:szCs w:val="24"/>
              </w:rPr>
              <w:t xml:space="preserve"> </w:t>
            </w:r>
            <w:r w:rsidRPr="005C3B55">
              <w:rPr>
                <w:szCs w:val="24"/>
              </w:rPr>
              <w:t>Occassional unfavourable weather conditions can destroy or strongly affect agricultural products, thus reducing income for agricultural holdings.</w:t>
            </w:r>
            <w:r w:rsidRPr="005C3B55">
              <w:rPr>
                <w:noProof/>
                <w:szCs w:val="24"/>
              </w:rPr>
              <w:t xml:space="preserve"> </w:t>
            </w:r>
            <w:r w:rsidRPr="005C3B55">
              <w:rPr>
                <w:szCs w:val="24"/>
              </w:rPr>
              <w:t>In the past, most damage in agriculture was caused by drought, hail and storms, as well as by other unfavourable weather conditions such as strong wind, glaze ice, heavy rainfall, floods and weather-conditioned diseases and pests.</w:t>
            </w:r>
            <w:r w:rsidRPr="005C3B55">
              <w:rPr>
                <w:noProof/>
                <w:szCs w:val="24"/>
              </w:rPr>
              <w:t xml:space="preserve"> </w:t>
            </w:r>
            <w:r w:rsidRPr="005C3B55">
              <w:rPr>
                <w:szCs w:val="24"/>
              </w:rPr>
              <w:t>In the past decade, severe drought has occurred quite frequently.</w:t>
            </w:r>
            <w:r w:rsidRPr="005C3B55">
              <w:rPr>
                <w:noProof/>
                <w:szCs w:val="24"/>
              </w:rPr>
              <w:t xml:space="preserve"> </w:t>
            </w:r>
            <w:r w:rsidRPr="005C3B55">
              <w:rPr>
                <w:szCs w:val="24"/>
              </w:rPr>
              <w:t>The last meteorological drought in 2013 was so extensive that it was declared a natural disaster.</w:t>
            </w:r>
            <w:r w:rsidRPr="005C3B55">
              <w:rPr>
                <w:noProof/>
                <w:szCs w:val="24"/>
              </w:rPr>
              <w:t xml:space="preserve"> </w:t>
            </w:r>
            <w:r w:rsidRPr="005C3B55">
              <w:rPr>
                <w:szCs w:val="24"/>
              </w:rPr>
              <w:t>Risk management measures in agriculture due to climate change are focused on prevention and adaptation with agro-technical measures (crop rotation, selection of appropriate crop varieties, improved PPP spreading techniques etc.), investment measures (irrigation infrastructure, use of wastewater, anti-hail nets, special farm mechanisation with a marked environmental effect etc.), ensuring a stable income position, raising qualifications and the level of information as well as effective transfer of knowledge into practice (demonstration centres, master farms, various cooperation projects etc.), refining, selecting and preserving indigenous and traditional varieties or species, as well as the technological adaptation and restoration of agricultural holdings.</w:t>
            </w:r>
            <w:r w:rsidRPr="005C3B55">
              <w:rPr>
                <w:noProof/>
                <w:szCs w:val="24"/>
              </w:rPr>
              <w:t xml:space="preserve"> </w:t>
            </w:r>
            <w:r w:rsidRPr="005C3B55">
              <w:rPr>
                <w:szCs w:val="24"/>
              </w:rPr>
              <w:t>The Government of the Republic of Slovenia ensures budgetary reserves to eliminate the consequences of natural accidents in agriculture, i.e. in accordance with the Removal of the Consequences of Natural Disasters Act (Official Gazette of the Republic of Slovenia, no.</w:t>
            </w:r>
            <w:r w:rsidRPr="005C3B55">
              <w:rPr>
                <w:noProof/>
                <w:szCs w:val="24"/>
              </w:rPr>
              <w:t xml:space="preserve"> </w:t>
            </w:r>
            <w:r w:rsidRPr="005C3B55">
              <w:rPr>
                <w:szCs w:val="24"/>
              </w:rPr>
              <w:t>114/05 with all amendments).</w:t>
            </w:r>
            <w:r w:rsidRPr="005C3B55">
              <w:rPr>
                <w:noProof/>
                <w:szCs w:val="24"/>
              </w:rPr>
              <w:t xml:space="preserve"> </w:t>
            </w:r>
            <w:r w:rsidRPr="005C3B55">
              <w:rPr>
                <w:szCs w:val="24"/>
              </w:rPr>
              <w:t>Funds cannot be acquired under this Act if state aid in the form of co-financing of insurance premiums for the purpose of eliminating the consequences of unfavourable weather conditions, mass outbreaks of harmful organisms and animal diseases is available.</w:t>
            </w:r>
            <w:r w:rsidRPr="005C3B55">
              <w:rPr>
                <w:noProof/>
                <w:szCs w:val="24"/>
              </w:rPr>
              <w:t xml:space="preserve"> </w:t>
            </w:r>
            <w:r w:rsidRPr="005C3B55">
              <w:rPr>
                <w:szCs w:val="24"/>
              </w:rPr>
              <w:t>The co-financing of insurance premiums for insuring agricultural products started in 2006. Insurance is thus becoming the basic form of protection against consequences of natural disasters.</w:t>
            </w:r>
            <w:r w:rsidRPr="005C3B55">
              <w:rPr>
                <w:noProof/>
                <w:szCs w:val="24"/>
              </w:rPr>
              <w:t xml:space="preserve"> </w:t>
            </w:r>
            <w:r w:rsidRPr="005C3B55">
              <w:rPr>
                <w:szCs w:val="24"/>
              </w:rPr>
              <w:t>Due to annual disasters and payments of damages in 2009 and 2010, insurance technical results were very poor; therefore, insurance conditions have become stricter, which is reflected in the scope of concluded insurance contracts.</w:t>
            </w:r>
          </w:p>
          <w:p w:rsidR="00BD3B5F" w:rsidRPr="005C3B55" w:rsidRDefault="00BD3B5F">
            <w:pPr>
              <w:spacing w:before="240" w:after="240"/>
              <w:jc w:val="left"/>
              <w:rPr>
                <w:noProof/>
                <w:szCs w:val="24"/>
              </w:rPr>
            </w:pPr>
            <w:r w:rsidRPr="005C3B55">
              <w:rPr>
                <w:b/>
                <w:szCs w:val="24"/>
              </w:rPr>
              <w:t>Cooperatives and other forms of association</w:t>
            </w:r>
            <w:r w:rsidRPr="005C3B55">
              <w:rPr>
                <w:b/>
                <w:noProof/>
                <w:szCs w:val="24"/>
              </w:rPr>
              <w:t xml:space="preserve"> </w:t>
            </w:r>
          </w:p>
          <w:p w:rsidR="00BD3B5F" w:rsidRPr="005C3B55" w:rsidRDefault="00BD3B5F">
            <w:pPr>
              <w:spacing w:before="240" w:after="240"/>
              <w:jc w:val="left"/>
              <w:rPr>
                <w:noProof/>
                <w:szCs w:val="24"/>
              </w:rPr>
            </w:pPr>
            <w:r w:rsidRPr="005C3B55">
              <w:rPr>
                <w:szCs w:val="24"/>
              </w:rPr>
              <w:t>Cooperatives in Slovenia are among the most widespread and traditional forms of business cooperation in the agricultural sector.</w:t>
            </w:r>
            <w:r w:rsidRPr="005C3B55">
              <w:rPr>
                <w:noProof/>
                <w:szCs w:val="24"/>
              </w:rPr>
              <w:t xml:space="preserve"> </w:t>
            </w:r>
            <w:r w:rsidRPr="005C3B55">
              <w:rPr>
                <w:szCs w:val="24"/>
              </w:rPr>
              <w:t>76 cooperatives were operating in agriculture at the end of 2013.</w:t>
            </w:r>
            <w:r w:rsidRPr="005C3B55">
              <w:rPr>
                <w:noProof/>
                <w:szCs w:val="24"/>
              </w:rPr>
              <w:t xml:space="preserve"> </w:t>
            </w:r>
            <w:r w:rsidRPr="005C3B55">
              <w:rPr>
                <w:szCs w:val="24"/>
              </w:rPr>
              <w:t>A total of 3,203 people were employed in the entire cooperative system at the end of 2013.</w:t>
            </w:r>
            <w:r w:rsidRPr="005C3B55">
              <w:rPr>
                <w:noProof/>
                <w:szCs w:val="24"/>
              </w:rPr>
              <w:t xml:space="preserve"> </w:t>
            </w:r>
            <w:r w:rsidRPr="005C3B55">
              <w:rPr>
                <w:szCs w:val="24"/>
              </w:rPr>
              <w:t>In terms of their activity, cooperatives are divided into general, multi-purpose supply and sales agricultural cooperatives and specialised cooperatives (forestry, fruit growing, milk production and other cooperatives).</w:t>
            </w:r>
            <w:r w:rsidRPr="005C3B55">
              <w:rPr>
                <w:noProof/>
                <w:szCs w:val="24"/>
              </w:rPr>
              <w:t xml:space="preserve"> </w:t>
            </w:r>
            <w:r w:rsidRPr="005C3B55">
              <w:rPr>
                <w:szCs w:val="24"/>
              </w:rPr>
              <w:t>Some cooperatives also own food production facilities.</w:t>
            </w:r>
            <w:r w:rsidRPr="005C3B55">
              <w:rPr>
                <w:noProof/>
                <w:szCs w:val="24"/>
              </w:rPr>
              <w:t xml:space="preserve"> </w:t>
            </w:r>
            <w:r w:rsidRPr="005C3B55">
              <w:rPr>
                <w:szCs w:val="24"/>
              </w:rPr>
              <w:t>These are mainly meat-processing facilities and wine cellars, while they are also present in the milk sector (certain cheese factories, dairy companies) to a lesser extent.</w:t>
            </w:r>
          </w:p>
          <w:p w:rsidR="00BD3B5F" w:rsidRPr="005C3B55" w:rsidRDefault="00BD3B5F">
            <w:pPr>
              <w:spacing w:before="240" w:after="240"/>
              <w:jc w:val="left"/>
              <w:rPr>
                <w:noProof/>
                <w:szCs w:val="24"/>
              </w:rPr>
            </w:pPr>
            <w:r w:rsidRPr="005C3B55">
              <w:rPr>
                <w:szCs w:val="24"/>
              </w:rPr>
              <w:t>Alongside existing cooperatives, alternative forms of agricultural product supply networks are emerging (e.g. eco-cooperatives, pre-ordered supply, social services).</w:t>
            </w:r>
            <w:r w:rsidRPr="005C3B55">
              <w:rPr>
                <w:noProof/>
                <w:szCs w:val="24"/>
              </w:rPr>
              <w:t xml:space="preserve"> </w:t>
            </w:r>
            <w:r w:rsidRPr="005C3B55">
              <w:rPr>
                <w:szCs w:val="24"/>
              </w:rPr>
              <w:t>One of the alternative forms of association is the producer group;</w:t>
            </w:r>
            <w:r w:rsidRPr="005C3B55">
              <w:rPr>
                <w:noProof/>
                <w:szCs w:val="24"/>
              </w:rPr>
              <w:t xml:space="preserve"> </w:t>
            </w:r>
            <w:r w:rsidRPr="005C3B55">
              <w:rPr>
                <w:szCs w:val="24"/>
              </w:rPr>
              <w:t>22 producer groups operating quality schemes (organic production and processing, protected designation of origin, protected geographical indication, traditional specialty guaranteed, higher quality) were established and registered by the end of 2013.</w:t>
            </w:r>
            <w:r w:rsidRPr="005C3B55">
              <w:rPr>
                <w:noProof/>
                <w:szCs w:val="24"/>
              </w:rPr>
              <w:t xml:space="preserve"> </w:t>
            </w:r>
            <w:r w:rsidRPr="005C3B55">
              <w:rPr>
                <w:szCs w:val="24"/>
              </w:rPr>
              <w:t>There is still no organisation of producers, which would be established according to the regulations on the common organisation of the markets (COM); therefore, incentives to improve the organisation in sectors as determined by the regulation on COM would be sensible.</w:t>
            </w:r>
          </w:p>
          <w:p w:rsidR="00BD3B5F" w:rsidRPr="005C3B55" w:rsidRDefault="00BD3B5F">
            <w:pPr>
              <w:spacing w:before="240" w:after="240"/>
              <w:jc w:val="left"/>
              <w:rPr>
                <w:noProof/>
                <w:szCs w:val="24"/>
              </w:rPr>
            </w:pPr>
            <w:r w:rsidRPr="005C3B55">
              <w:rPr>
                <w:szCs w:val="24"/>
              </w:rPr>
              <w:t>Connecting producers in sectors with lower levels of self-supply, i.e. for fruit and vegetables, cereals, pork and seeds, should be stimulated in co-relation with low self-supply rates.</w:t>
            </w:r>
            <w:r w:rsidRPr="005C3B55">
              <w:rPr>
                <w:noProof/>
                <w:szCs w:val="24"/>
              </w:rPr>
              <w:t xml:space="preserve"> </w:t>
            </w:r>
            <w:r w:rsidRPr="005C3B55">
              <w:rPr>
                <w:szCs w:val="24"/>
              </w:rPr>
              <w:t>The same applies to non-agricultural products.</w:t>
            </w:r>
          </w:p>
          <w:p w:rsidR="00BD3B5F" w:rsidRPr="005C3B55" w:rsidRDefault="00BD3B5F">
            <w:pPr>
              <w:spacing w:before="240" w:after="240"/>
              <w:jc w:val="left"/>
              <w:rPr>
                <w:noProof/>
                <w:szCs w:val="24"/>
              </w:rPr>
            </w:pPr>
            <w:r w:rsidRPr="005C3B55">
              <w:rPr>
                <w:szCs w:val="24"/>
              </w:rPr>
              <w:t>A total of 41 products have so far been protected at the national level (11 with protected designation of origin, 17 with protected geographical indication, 3 with traditional specialty guaranteed and 10 with higher quality);</w:t>
            </w:r>
            <w:r w:rsidRPr="005C3B55">
              <w:rPr>
                <w:noProof/>
                <w:szCs w:val="24"/>
              </w:rPr>
              <w:t xml:space="preserve"> </w:t>
            </w:r>
            <w:r w:rsidRPr="005C3B55">
              <w:rPr>
                <w:szCs w:val="24"/>
              </w:rPr>
              <w:t>27 of the protected products have also been certified;</w:t>
            </w:r>
            <w:r w:rsidRPr="005C3B55">
              <w:rPr>
                <w:noProof/>
                <w:szCs w:val="24"/>
              </w:rPr>
              <w:t xml:space="preserve"> </w:t>
            </w:r>
            <w:r w:rsidRPr="005C3B55">
              <w:rPr>
                <w:szCs w:val="24"/>
              </w:rPr>
              <w:t>21 Slovenian products have been registered at the European Commission.</w:t>
            </w:r>
          </w:p>
          <w:p w:rsidR="00BD3B5F" w:rsidRPr="005C3B55" w:rsidRDefault="00BD3B5F">
            <w:pPr>
              <w:spacing w:before="240" w:after="240"/>
              <w:jc w:val="left"/>
              <w:rPr>
                <w:noProof/>
                <w:szCs w:val="24"/>
              </w:rPr>
            </w:pPr>
            <w:r w:rsidRPr="005C3B55">
              <w:rPr>
                <w:b/>
                <w:szCs w:val="24"/>
              </w:rPr>
              <w:t>Knowledge transfer</w:t>
            </w:r>
          </w:p>
          <w:p w:rsidR="00BD3B5F" w:rsidRPr="005C3B55" w:rsidRDefault="00BD3B5F">
            <w:pPr>
              <w:spacing w:before="240" w:after="240"/>
              <w:jc w:val="left"/>
              <w:rPr>
                <w:noProof/>
                <w:szCs w:val="24"/>
              </w:rPr>
            </w:pPr>
            <w:r w:rsidRPr="005C3B55">
              <w:rPr>
                <w:szCs w:val="24"/>
              </w:rPr>
              <w:t>The transfer of knowledge and innovations from research through advisory services and representative interest organisations to final users/farmers is weak or insufficient.</w:t>
            </w:r>
            <w:r w:rsidRPr="005C3B55">
              <w:rPr>
                <w:noProof/>
                <w:szCs w:val="24"/>
              </w:rPr>
              <w:t xml:space="preserve"> </w:t>
            </w:r>
            <w:r w:rsidRPr="005C3B55">
              <w:rPr>
                <w:szCs w:val="24"/>
              </w:rPr>
              <w:t>Something similar holds for feedback on needs detected in agricultural practice.</w:t>
            </w:r>
            <w:r w:rsidRPr="005C3B55">
              <w:rPr>
                <w:noProof/>
                <w:szCs w:val="24"/>
              </w:rPr>
              <w:t xml:space="preserve"> </w:t>
            </w:r>
            <w:r w:rsidRPr="005C3B55">
              <w:rPr>
                <w:szCs w:val="24"/>
              </w:rPr>
              <w:t>Cooperation between individual stakeholders in the system of transfer of knowledge and innovation is sporadic and based primarily on informal connections.</w:t>
            </w:r>
            <w:r w:rsidRPr="005C3B55">
              <w:rPr>
                <w:noProof/>
                <w:szCs w:val="24"/>
              </w:rPr>
              <w:t xml:space="preserve"> </w:t>
            </w:r>
            <w:r w:rsidRPr="005C3B55">
              <w:rPr>
                <w:szCs w:val="24"/>
              </w:rPr>
              <w:t>Besides the poor transfer of knowledge, consultants are insufficiently qualified, and specialised advisory services are lacking.</w:t>
            </w:r>
          </w:p>
          <w:p w:rsidR="00BD3B5F" w:rsidRPr="005C3B55" w:rsidRDefault="00BD3B5F">
            <w:pPr>
              <w:spacing w:before="240" w:after="240"/>
              <w:jc w:val="left"/>
              <w:rPr>
                <w:noProof/>
                <w:szCs w:val="24"/>
              </w:rPr>
            </w:pPr>
            <w:r w:rsidRPr="005C3B55">
              <w:rPr>
                <w:szCs w:val="24"/>
              </w:rPr>
              <w:t>The Agricultural Advisory Service at the Chamber of Agriculture and Forestry of Slovenia, the Public Service for Beekeeping within the Beekeepers Association of Slovenia and Public Forestry Service within the Slovenia Forest Service were established which operate in accordance with the provisions of the Act on agriculture in the fields of advisory services and transfer of knowledge in agriculture and forestry.</w:t>
            </w:r>
            <w:r w:rsidRPr="005C3B55">
              <w:rPr>
                <w:noProof/>
                <w:szCs w:val="24"/>
              </w:rPr>
              <w:t xml:space="preserve"> </w:t>
            </w:r>
            <w:r w:rsidRPr="005C3B55">
              <w:rPr>
                <w:szCs w:val="24"/>
              </w:rPr>
              <w:t>Research and educational institutions play a great role in the transfer of knowledge.</w:t>
            </w:r>
          </w:p>
          <w:p w:rsidR="00BD3B5F" w:rsidRPr="005C3B55" w:rsidRDefault="00BD3B5F">
            <w:pPr>
              <w:spacing w:before="240" w:after="240"/>
              <w:jc w:val="left"/>
              <w:rPr>
                <w:noProof/>
                <w:szCs w:val="24"/>
              </w:rPr>
            </w:pPr>
            <w:r w:rsidRPr="005C3B55">
              <w:rPr>
                <w:b/>
                <w:szCs w:val="24"/>
              </w:rPr>
              <w:t>Forestry, wood processing and forest-wood chains</w:t>
            </w:r>
          </w:p>
          <w:p w:rsidR="00BD3B5F" w:rsidRPr="005C3B55" w:rsidRDefault="00BD3B5F">
            <w:pPr>
              <w:spacing w:before="240" w:after="240"/>
              <w:jc w:val="left"/>
              <w:rPr>
                <w:noProof/>
                <w:szCs w:val="24"/>
              </w:rPr>
            </w:pPr>
            <w:r w:rsidRPr="005C3B55">
              <w:rPr>
                <w:szCs w:val="24"/>
              </w:rPr>
              <w:t>Slovenia is very rich in forests, having the highest share of forests in the EU.</w:t>
            </w:r>
            <w:r w:rsidRPr="005C3B55">
              <w:rPr>
                <w:noProof/>
                <w:szCs w:val="24"/>
              </w:rPr>
              <w:t xml:space="preserve"> </w:t>
            </w:r>
            <w:r w:rsidRPr="005C3B55">
              <w:rPr>
                <w:szCs w:val="24"/>
              </w:rPr>
              <w:t>In 2013, forests covered 1,183,433 ha.</w:t>
            </w:r>
            <w:r w:rsidRPr="005C3B55">
              <w:rPr>
                <w:noProof/>
                <w:szCs w:val="24"/>
              </w:rPr>
              <w:t xml:space="preserve"> </w:t>
            </w:r>
            <w:r w:rsidRPr="005C3B55">
              <w:rPr>
                <w:szCs w:val="24"/>
              </w:rPr>
              <w:t>The area of the so-called commercial forests is 1,074,985 ha, protected forests 98,947 ha and forest reserves 9,501 ha.</w:t>
            </w:r>
            <w:r w:rsidRPr="005C3B55">
              <w:rPr>
                <w:noProof/>
                <w:szCs w:val="24"/>
              </w:rPr>
              <w:t xml:space="preserve"> </w:t>
            </w:r>
            <w:r w:rsidRPr="005C3B55">
              <w:rPr>
                <w:szCs w:val="24"/>
              </w:rPr>
              <w:t>Exceptional preservation of natural ecosystems is also a special feature of Slovenia.</w:t>
            </w:r>
          </w:p>
          <w:p w:rsidR="00BD3B5F" w:rsidRPr="005C3B55" w:rsidRDefault="00BD3B5F">
            <w:pPr>
              <w:spacing w:before="240" w:after="240"/>
              <w:jc w:val="left"/>
              <w:rPr>
                <w:noProof/>
                <w:szCs w:val="24"/>
              </w:rPr>
            </w:pPr>
            <w:r w:rsidRPr="005C3B55">
              <w:rPr>
                <w:szCs w:val="24"/>
              </w:rPr>
              <w:t>Forests are an important source of drinking water and their contribution to improving the quality of air and mitigation of the consequences of climate change is irreplaceable. They are also an important source of wood and wood biomass.</w:t>
            </w:r>
            <w:r w:rsidRPr="005C3B55">
              <w:rPr>
                <w:noProof/>
                <w:szCs w:val="24"/>
              </w:rPr>
              <w:t xml:space="preserve"> </w:t>
            </w:r>
            <w:r w:rsidRPr="005C3B55">
              <w:rPr>
                <w:szCs w:val="24"/>
              </w:rPr>
              <w:t>Slovenian forests capture annually around 5 Mt of carbon dioxide (CO</w:t>
            </w:r>
            <w:r w:rsidRPr="005C3B55">
              <w:rPr>
                <w:szCs w:val="24"/>
                <w:vertAlign w:val="subscript"/>
              </w:rPr>
              <w:t>2</w:t>
            </w:r>
            <w:r w:rsidRPr="005C3B55">
              <w:rPr>
                <w:szCs w:val="24"/>
              </w:rPr>
              <w:t>).</w:t>
            </w:r>
          </w:p>
          <w:p w:rsidR="00BD3B5F" w:rsidRPr="005C3B55" w:rsidRDefault="00BD3B5F">
            <w:pPr>
              <w:spacing w:before="240" w:after="240"/>
              <w:jc w:val="left"/>
              <w:rPr>
                <w:noProof/>
                <w:szCs w:val="24"/>
              </w:rPr>
            </w:pPr>
            <w:r w:rsidRPr="005C3B55">
              <w:rPr>
                <w:szCs w:val="24"/>
              </w:rPr>
              <w:t>Forest management is directed by forest management plans which ensure the sustainable and multi-purpose management of forests.</w:t>
            </w:r>
            <w:r w:rsidRPr="005C3B55">
              <w:rPr>
                <w:noProof/>
                <w:szCs w:val="24"/>
              </w:rPr>
              <w:t xml:space="preserve"> </w:t>
            </w:r>
            <w:r w:rsidRPr="005C3B55">
              <w:rPr>
                <w:szCs w:val="24"/>
              </w:rPr>
              <w:t>Forests are mostly well preserved from the aspect of biodiversity.</w:t>
            </w:r>
            <w:r w:rsidRPr="005C3B55">
              <w:rPr>
                <w:noProof/>
                <w:szCs w:val="24"/>
              </w:rPr>
              <w:t xml:space="preserve"> </w:t>
            </w:r>
            <w:r w:rsidRPr="005C3B55">
              <w:rPr>
                <w:szCs w:val="24"/>
              </w:rPr>
              <w:t>Despite this, certain forest habitats are deteriorating, whereby the woodpecker and capercaillie are the most endangered species.</w:t>
            </w:r>
          </w:p>
          <w:p w:rsidR="00BD3B5F" w:rsidRPr="005C3B55" w:rsidRDefault="00BD3B5F">
            <w:pPr>
              <w:spacing w:before="240" w:after="240"/>
              <w:jc w:val="left"/>
              <w:rPr>
                <w:noProof/>
                <w:szCs w:val="24"/>
              </w:rPr>
            </w:pPr>
            <w:r w:rsidRPr="005C3B55">
              <w:rPr>
                <w:szCs w:val="24"/>
              </w:rPr>
              <w:t>The annual increment in forests is 8,492,000 m3 according to data from the Slovenia Forest Service.</w:t>
            </w:r>
            <w:r w:rsidRPr="005C3B55">
              <w:rPr>
                <w:noProof/>
                <w:szCs w:val="24"/>
              </w:rPr>
              <w:t xml:space="preserve"> </w:t>
            </w:r>
            <w:r w:rsidRPr="005C3B55">
              <w:rPr>
                <w:szCs w:val="24"/>
              </w:rPr>
              <w:t>The 75 per cent increment could be felled on the basis of the Resolution on the National Forest Programme (Official Gazette of the Republic of Slovenia, no. 111/07) without endangering forest stability or their habitats.</w:t>
            </w:r>
            <w:r w:rsidRPr="005C3B55">
              <w:rPr>
                <w:noProof/>
                <w:szCs w:val="24"/>
              </w:rPr>
              <w:t xml:space="preserve"> </w:t>
            </w:r>
            <w:r w:rsidRPr="005C3B55">
              <w:rPr>
                <w:szCs w:val="24"/>
              </w:rPr>
              <w:t>On the basis of forest management plans, 6 million m</w:t>
            </w:r>
            <w:r w:rsidRPr="005C3B55">
              <w:rPr>
                <w:szCs w:val="24"/>
                <w:vertAlign w:val="superscript"/>
              </w:rPr>
              <w:t>3</w:t>
            </w:r>
            <w:r w:rsidRPr="005C3B55">
              <w:rPr>
                <w:szCs w:val="24"/>
              </w:rPr>
              <w:t xml:space="preserve"> of forest could be felled annually in Slovenia, while the actual felling in 2013 amounted to 3.9 million m</w:t>
            </w:r>
            <w:r w:rsidRPr="005C3B55">
              <w:rPr>
                <w:szCs w:val="24"/>
                <w:vertAlign w:val="superscript"/>
              </w:rPr>
              <w:t>3</w:t>
            </w:r>
            <w:r w:rsidRPr="005C3B55">
              <w:rPr>
                <w:szCs w:val="24"/>
              </w:rPr>
              <w:t xml:space="preserve"> or 65 per cent of the potential.</w:t>
            </w:r>
          </w:p>
          <w:p w:rsidR="00BD3B5F" w:rsidRPr="005C3B55" w:rsidRDefault="00BD3B5F">
            <w:pPr>
              <w:spacing w:before="240" w:after="240"/>
              <w:jc w:val="left"/>
              <w:rPr>
                <w:noProof/>
                <w:szCs w:val="24"/>
              </w:rPr>
            </w:pPr>
            <w:r w:rsidRPr="005C3B55">
              <w:rPr>
                <w:szCs w:val="24"/>
              </w:rPr>
              <w:t>The ownership structure of private forests is exceptionally unfavourable; forest areas are mainly fragmented and small, and their owners are not connected.</w:t>
            </w:r>
            <w:r w:rsidRPr="005C3B55">
              <w:rPr>
                <w:noProof/>
                <w:szCs w:val="24"/>
              </w:rPr>
              <w:t xml:space="preserve"> </w:t>
            </w:r>
            <w:r w:rsidRPr="005C3B55">
              <w:rPr>
                <w:szCs w:val="24"/>
              </w:rPr>
              <w:t>76 per cent of forests are in private ownership, 21 per cent in state ownership, and 3 per cent are owned by municipalities;</w:t>
            </w:r>
            <w:r w:rsidRPr="005C3B55">
              <w:rPr>
                <w:noProof/>
                <w:szCs w:val="24"/>
              </w:rPr>
              <w:t xml:space="preserve"> </w:t>
            </w:r>
            <w:r w:rsidRPr="005C3B55">
              <w:rPr>
                <w:szCs w:val="24"/>
              </w:rPr>
              <w:t>466,973 forest owners are entered in the land register;</w:t>
            </w:r>
            <w:r w:rsidRPr="005C3B55">
              <w:rPr>
                <w:noProof/>
                <w:szCs w:val="24"/>
              </w:rPr>
              <w:t xml:space="preserve"> </w:t>
            </w:r>
            <w:r w:rsidRPr="005C3B55">
              <w:rPr>
                <w:szCs w:val="24"/>
              </w:rPr>
              <w:t>68 per cent of owners own less than 1 hectare of forest areas.</w:t>
            </w:r>
            <w:r w:rsidRPr="005C3B55">
              <w:rPr>
                <w:noProof/>
                <w:szCs w:val="24"/>
              </w:rPr>
              <w:t xml:space="preserve"> </w:t>
            </w:r>
            <w:r w:rsidRPr="005C3B55">
              <w:rPr>
                <w:szCs w:val="24"/>
              </w:rPr>
              <w:t>Only 2 per cent of owners manage a forest holding larger than 15 ha.</w:t>
            </w:r>
            <w:r w:rsidRPr="005C3B55">
              <w:rPr>
                <w:noProof/>
                <w:szCs w:val="24"/>
              </w:rPr>
              <w:t xml:space="preserve"> </w:t>
            </w:r>
            <w:r w:rsidRPr="005C3B55">
              <w:rPr>
                <w:szCs w:val="24"/>
              </w:rPr>
              <w:t>According to data from the 2010 agriculture census, agricultural holdings managed 32 per cent of the total forest area in Slovenia.</w:t>
            </w:r>
            <w:r w:rsidRPr="005C3B55">
              <w:rPr>
                <w:noProof/>
                <w:szCs w:val="24"/>
              </w:rPr>
              <w:t xml:space="preserve"> </w:t>
            </w:r>
            <w:r w:rsidRPr="005C3B55">
              <w:rPr>
                <w:szCs w:val="24"/>
              </w:rPr>
              <w:t>The average size of a forest holding per owner is 2.6 ha.</w:t>
            </w:r>
            <w:r w:rsidRPr="005C3B55">
              <w:rPr>
                <w:noProof/>
                <w:szCs w:val="24"/>
              </w:rPr>
              <w:t xml:space="preserve"> </w:t>
            </w:r>
            <w:r w:rsidRPr="005C3B55">
              <w:rPr>
                <w:szCs w:val="24"/>
              </w:rPr>
              <w:t>Private owners act as unconnected individuals in the market.</w:t>
            </w:r>
            <w:r w:rsidRPr="005C3B55">
              <w:rPr>
                <w:noProof/>
                <w:szCs w:val="24"/>
              </w:rPr>
              <w:t xml:space="preserve"> </w:t>
            </w:r>
            <w:r w:rsidRPr="005C3B55">
              <w:rPr>
                <w:szCs w:val="24"/>
              </w:rPr>
              <w:t>In the field of forestry, more than 4,000 forest owners are associated in 29 forest owner associations, which are united in the Forest Owners Association.</w:t>
            </w:r>
            <w:r w:rsidRPr="005C3B55">
              <w:rPr>
                <w:noProof/>
                <w:szCs w:val="24"/>
              </w:rPr>
              <w:t xml:space="preserve"> </w:t>
            </w:r>
            <w:r w:rsidRPr="005C3B55">
              <w:rPr>
                <w:szCs w:val="24"/>
              </w:rPr>
              <w:t>In 2010, forestry works (for example, felling, transport of wood, construction of forest roads, production of wood chips, planting and protection of forests) were performed (with own or hired labour) by somewhat more than 43,000 family farms, which invested around 3,260 AWU in this work.</w:t>
            </w:r>
            <w:r w:rsidRPr="005C3B55">
              <w:rPr>
                <w:noProof/>
                <w:szCs w:val="24"/>
              </w:rPr>
              <w:t xml:space="preserve"> </w:t>
            </w:r>
            <w:r w:rsidRPr="005C3B55">
              <w:rPr>
                <w:szCs w:val="24"/>
              </w:rPr>
              <w:t>For about 9,000 family farms, this activity also represented additional income or gainful activity; these farms invested a total of somewhat more than 1,480 AWU in forestry works.</w:t>
            </w:r>
            <w:r w:rsidRPr="005C3B55">
              <w:rPr>
                <w:noProof/>
                <w:szCs w:val="24"/>
              </w:rPr>
              <w:t xml:space="preserve"> </w:t>
            </w:r>
            <w:r w:rsidRPr="005C3B55">
              <w:rPr>
                <w:szCs w:val="24"/>
              </w:rPr>
              <w:t>Forest owners have on average poor technical equipment; they are economically ineffective and inadequately trained, which results in frequent accidents at work.</w:t>
            </w:r>
          </w:p>
          <w:p w:rsidR="00BD3B5F" w:rsidRPr="005C3B55" w:rsidRDefault="00BD3B5F">
            <w:pPr>
              <w:spacing w:before="240" w:after="240"/>
              <w:jc w:val="left"/>
              <w:rPr>
                <w:noProof/>
                <w:szCs w:val="24"/>
              </w:rPr>
            </w:pPr>
            <w:r w:rsidRPr="005C3B55">
              <w:rPr>
                <w:szCs w:val="24"/>
              </w:rPr>
              <w:t>The number of employees in forestry decreased significantly in the last 20 years.</w:t>
            </w:r>
            <w:r w:rsidRPr="005C3B55">
              <w:rPr>
                <w:noProof/>
                <w:szCs w:val="24"/>
              </w:rPr>
              <w:t xml:space="preserve"> </w:t>
            </w:r>
            <w:r w:rsidRPr="005C3B55">
              <w:rPr>
                <w:szCs w:val="24"/>
              </w:rPr>
              <w:t>Before 1990, around 8,000 people were employed in forestry.</w:t>
            </w:r>
            <w:r w:rsidRPr="005C3B55">
              <w:rPr>
                <w:noProof/>
                <w:szCs w:val="24"/>
              </w:rPr>
              <w:t xml:space="preserve"> </w:t>
            </w:r>
            <w:r w:rsidRPr="005C3B55">
              <w:rPr>
                <w:szCs w:val="24"/>
              </w:rPr>
              <w:t>According to data for 2010, 1,580 workers were employed in forestry in 77 companies, of which 5 were large companies, 4 medium, 5 small and 63 micro companies.</w:t>
            </w:r>
          </w:p>
          <w:p w:rsidR="00BD3B5F" w:rsidRPr="005C3B55" w:rsidRDefault="00BD3B5F">
            <w:pPr>
              <w:spacing w:before="240" w:after="240"/>
              <w:jc w:val="left"/>
              <w:rPr>
                <w:noProof/>
                <w:szCs w:val="24"/>
              </w:rPr>
            </w:pPr>
            <w:r w:rsidRPr="005C3B55">
              <w:rPr>
                <w:szCs w:val="24"/>
              </w:rPr>
              <w:t>According to the Economic accounts for forestry, this industry generated EUR 230.4 million of added value in 2012 (value of standing timber is considered without own consumption).</w:t>
            </w:r>
            <w:r w:rsidRPr="005C3B55">
              <w:rPr>
                <w:noProof/>
                <w:szCs w:val="24"/>
              </w:rPr>
              <w:t xml:space="preserve"> </w:t>
            </w:r>
            <w:r w:rsidRPr="005C3B55">
              <w:rPr>
                <w:szCs w:val="24"/>
              </w:rPr>
              <w:t>Labour productivity in forestry (GVA/AVU) stood at EUR 42,953 in 2012.</w:t>
            </w:r>
            <w:r w:rsidRPr="005C3B55">
              <w:rPr>
                <w:noProof/>
                <w:szCs w:val="24"/>
              </w:rPr>
              <w:t xml:space="preserve"> </w:t>
            </w:r>
            <w:r w:rsidRPr="005C3B55">
              <w:rPr>
                <w:szCs w:val="24"/>
              </w:rPr>
              <w:t>The labour productivity trend in forestry is very positive.</w:t>
            </w:r>
            <w:r w:rsidRPr="005C3B55">
              <w:rPr>
                <w:noProof/>
                <w:szCs w:val="24"/>
              </w:rPr>
              <w:t xml:space="preserve"> </w:t>
            </w:r>
            <w:r w:rsidRPr="005C3B55">
              <w:rPr>
                <w:szCs w:val="24"/>
              </w:rPr>
              <w:t>In the period from 2003, factor income increased from EUR 71.3 million to EUR 197.8 million in 2012.</w:t>
            </w:r>
            <w:r w:rsidRPr="005C3B55">
              <w:rPr>
                <w:noProof/>
                <w:szCs w:val="24"/>
              </w:rPr>
              <w:t xml:space="preserve"> </w:t>
            </w:r>
            <w:r w:rsidRPr="005C3B55">
              <w:rPr>
                <w:szCs w:val="24"/>
              </w:rPr>
              <w:t>The GVA share of forestry in Slovenia’s GDP was 0.7 per cent in 2012.</w:t>
            </w:r>
            <w:r w:rsidRPr="005C3B55">
              <w:rPr>
                <w:noProof/>
                <w:szCs w:val="24"/>
              </w:rPr>
              <w:t xml:space="preserve"> </w:t>
            </w:r>
            <w:r w:rsidRPr="005C3B55">
              <w:rPr>
                <w:szCs w:val="24"/>
              </w:rPr>
              <w:t>Felled timber generates some EUR 2 billion of added value during further processing.</w:t>
            </w:r>
          </w:p>
          <w:p w:rsidR="00BD3B5F" w:rsidRPr="005C3B55" w:rsidRDefault="00BD3B5F">
            <w:pPr>
              <w:spacing w:before="240" w:after="240"/>
              <w:jc w:val="left"/>
              <w:rPr>
                <w:noProof/>
                <w:szCs w:val="24"/>
              </w:rPr>
            </w:pPr>
            <w:r w:rsidRPr="005C3B55">
              <w:rPr>
                <w:szCs w:val="24"/>
              </w:rPr>
              <w:t>The production of forest wood products amounted to EUR 3.5 million m</w:t>
            </w:r>
            <w:r w:rsidRPr="005C3B55">
              <w:rPr>
                <w:szCs w:val="24"/>
                <w:vertAlign w:val="superscript"/>
              </w:rPr>
              <w:t>3</w:t>
            </w:r>
            <w:r w:rsidRPr="005C3B55">
              <w:rPr>
                <w:szCs w:val="24"/>
              </w:rPr>
              <w:t xml:space="preserve"> (net, without bark) in 2013, which is the highest value recorded so far.</w:t>
            </w:r>
            <w:r w:rsidRPr="005C3B55">
              <w:rPr>
                <w:noProof/>
                <w:szCs w:val="24"/>
              </w:rPr>
              <w:t xml:space="preserve"> </w:t>
            </w:r>
            <w:r w:rsidRPr="005C3B55">
              <w:rPr>
                <w:szCs w:val="24"/>
              </w:rPr>
              <w:t>In 2013, the production of round conifer timber amounted to EUR 1.92 million m</w:t>
            </w:r>
            <w:r w:rsidRPr="005C3B55">
              <w:rPr>
                <w:szCs w:val="24"/>
                <w:vertAlign w:val="superscript"/>
              </w:rPr>
              <w:t xml:space="preserve">3 </w:t>
            </w:r>
            <w:r w:rsidRPr="005C3B55">
              <w:rPr>
                <w:szCs w:val="24"/>
              </w:rPr>
              <w:t>(net), and of broad-leaved trees EUR 1.60 million m</w:t>
            </w:r>
            <w:r w:rsidRPr="005C3B55">
              <w:rPr>
                <w:szCs w:val="24"/>
                <w:vertAlign w:val="superscript"/>
              </w:rPr>
              <w:t>3</w:t>
            </w:r>
            <w:r w:rsidRPr="005C3B55">
              <w:rPr>
                <w:szCs w:val="24"/>
              </w:rPr>
              <w:t xml:space="preserve"> (net).</w:t>
            </w:r>
          </w:p>
          <w:p w:rsidR="00BD3B5F" w:rsidRPr="005C3B55" w:rsidRDefault="00BD3B5F">
            <w:pPr>
              <w:spacing w:before="240" w:after="240"/>
              <w:jc w:val="left"/>
              <w:rPr>
                <w:noProof/>
                <w:szCs w:val="24"/>
              </w:rPr>
            </w:pPr>
            <w:r w:rsidRPr="005C3B55">
              <w:rPr>
                <w:szCs w:val="24"/>
              </w:rPr>
              <w:t>In terms of numbers, sawmills with up to 5 employees predominate in Slovenia.</w:t>
            </w:r>
            <w:r w:rsidRPr="005C3B55">
              <w:rPr>
                <w:noProof/>
                <w:szCs w:val="24"/>
              </w:rPr>
              <w:t xml:space="preserve"> </w:t>
            </w:r>
            <w:r w:rsidRPr="005C3B55">
              <w:rPr>
                <w:szCs w:val="24"/>
              </w:rPr>
              <w:t>Most wood is processed in larger sawmills (more than 20 employees).</w:t>
            </w:r>
            <w:r w:rsidRPr="005C3B55">
              <w:rPr>
                <w:noProof/>
                <w:szCs w:val="24"/>
              </w:rPr>
              <w:t xml:space="preserve"> </w:t>
            </w:r>
            <w:r w:rsidRPr="005C3B55">
              <w:rPr>
                <w:szCs w:val="24"/>
              </w:rPr>
              <w:t>In the structure of production, round conifer timber dominates with more than a 75 per cent share.</w:t>
            </w:r>
          </w:p>
          <w:p w:rsidR="00BD3B5F" w:rsidRPr="005C3B55" w:rsidRDefault="00BD3B5F">
            <w:pPr>
              <w:spacing w:before="240" w:after="240"/>
              <w:jc w:val="left"/>
              <w:rPr>
                <w:noProof/>
                <w:szCs w:val="24"/>
              </w:rPr>
            </w:pPr>
            <w:r w:rsidRPr="005C3B55">
              <w:rPr>
                <w:szCs w:val="24"/>
              </w:rPr>
              <w:t>A fifth of forests in Slovenia are mostly closed, with state-owned forests being more open than private ones.</w:t>
            </w:r>
            <w:r w:rsidRPr="005C3B55">
              <w:rPr>
                <w:noProof/>
                <w:szCs w:val="24"/>
              </w:rPr>
              <w:t xml:space="preserve"> </w:t>
            </w:r>
            <w:r w:rsidRPr="005C3B55">
              <w:rPr>
                <w:szCs w:val="24"/>
              </w:rPr>
              <w:t>In 2012, the density of forest roads was 10.4 m/ha, which is significantly less than the optimal openness, determined in the National Forest Programme, thus amounting to 27.6 m/ha.</w:t>
            </w:r>
            <w:r w:rsidRPr="005C3B55">
              <w:rPr>
                <w:noProof/>
                <w:szCs w:val="24"/>
              </w:rPr>
              <w:t xml:space="preserve"> </w:t>
            </w:r>
            <w:r w:rsidRPr="005C3B55">
              <w:rPr>
                <w:szCs w:val="24"/>
              </w:rPr>
              <w:t>According to estimates by the Forest Service, there are currently 93 m/ha km of skid trails in Slovenia, which is also less than the optimal openness, which is 154 m/ha and determined in the Rules on forest traffic routes.</w:t>
            </w:r>
          </w:p>
          <w:p w:rsidR="00BD3B5F" w:rsidRPr="005C3B55" w:rsidRDefault="00BD3B5F">
            <w:pPr>
              <w:spacing w:before="240" w:after="240"/>
              <w:jc w:val="left"/>
              <w:rPr>
                <w:noProof/>
                <w:szCs w:val="24"/>
              </w:rPr>
            </w:pPr>
            <w:r w:rsidRPr="005C3B55">
              <w:rPr>
                <w:b/>
                <w:szCs w:val="24"/>
              </w:rPr>
              <w:t>Damage prevention and management in forests</w:t>
            </w:r>
          </w:p>
          <w:p w:rsidR="00BD3B5F" w:rsidRPr="005C3B55" w:rsidRDefault="00BD3B5F">
            <w:pPr>
              <w:spacing w:before="240" w:after="240"/>
              <w:jc w:val="left"/>
              <w:rPr>
                <w:noProof/>
                <w:szCs w:val="24"/>
              </w:rPr>
            </w:pPr>
            <w:r w:rsidRPr="005C3B55">
              <w:rPr>
                <w:szCs w:val="24"/>
              </w:rPr>
              <w:t>In Slovenia, glaze ice of medium intensity occurs every few years, while glaze ice of great intensity causing considerable economic damage occurs approximately every 50 years.</w:t>
            </w:r>
            <w:r w:rsidRPr="005C3B55">
              <w:rPr>
                <w:noProof/>
                <w:szCs w:val="24"/>
              </w:rPr>
              <w:t xml:space="preserve"> </w:t>
            </w:r>
            <w:r w:rsidRPr="005C3B55">
              <w:rPr>
                <w:szCs w:val="24"/>
              </w:rPr>
              <w:t>The occurrence of glaze ice is typical of south-western Slovenia.</w:t>
            </w:r>
            <w:r w:rsidRPr="005C3B55">
              <w:rPr>
                <w:noProof/>
                <w:szCs w:val="24"/>
              </w:rPr>
              <w:t xml:space="preserve"> </w:t>
            </w:r>
            <w:r w:rsidRPr="005C3B55">
              <w:rPr>
                <w:szCs w:val="24"/>
              </w:rPr>
              <w:t>It is most common in high Karst areas and on its margins, mostly on the continental or coastal side.</w:t>
            </w:r>
            <w:r w:rsidRPr="005C3B55">
              <w:rPr>
                <w:noProof/>
                <w:szCs w:val="24"/>
              </w:rPr>
              <w:t xml:space="preserve"> </w:t>
            </w:r>
            <w:r w:rsidRPr="005C3B55">
              <w:rPr>
                <w:szCs w:val="24"/>
              </w:rPr>
              <w:t>It also occurs in valleys where cold air persists.</w:t>
            </w:r>
            <w:r w:rsidRPr="005C3B55">
              <w:rPr>
                <w:noProof/>
                <w:szCs w:val="24"/>
              </w:rPr>
              <w:t xml:space="preserve"> </w:t>
            </w:r>
            <w:r w:rsidRPr="005C3B55">
              <w:rPr>
                <w:szCs w:val="24"/>
              </w:rPr>
              <w:t>It is most pronounced at altitudes from 400 to 1,000 meters.</w:t>
            </w:r>
            <w:r w:rsidRPr="005C3B55">
              <w:rPr>
                <w:noProof/>
                <w:szCs w:val="24"/>
              </w:rPr>
              <w:t xml:space="preserve"> </w:t>
            </w:r>
            <w:r w:rsidRPr="005C3B55">
              <w:rPr>
                <w:szCs w:val="24"/>
              </w:rPr>
              <w:t>It causes great damage to trees, electricity and phone lines.</w:t>
            </w:r>
            <w:r w:rsidRPr="005C3B55">
              <w:rPr>
                <w:noProof/>
                <w:szCs w:val="24"/>
              </w:rPr>
              <w:t xml:space="preserve"> </w:t>
            </w:r>
            <w:r w:rsidRPr="005C3B55">
              <w:rPr>
                <w:szCs w:val="24"/>
              </w:rPr>
              <w:t>Deciduous trees suffer most damage, since the surface of the branches is larger and ice sticks there.</w:t>
            </w:r>
            <w:r w:rsidRPr="005C3B55">
              <w:rPr>
                <w:noProof/>
                <w:szCs w:val="24"/>
              </w:rPr>
              <w:t xml:space="preserve"> </w:t>
            </w:r>
            <w:r w:rsidRPr="005C3B55">
              <w:rPr>
                <w:szCs w:val="24"/>
              </w:rPr>
              <w:t>Among the coniferous trees, red pine is most commonly damaged due to its fragile branches.</w:t>
            </w:r>
            <w:r w:rsidRPr="005C3B55">
              <w:rPr>
                <w:noProof/>
                <w:szCs w:val="24"/>
              </w:rPr>
              <w:t xml:space="preserve"> </w:t>
            </w:r>
            <w:r w:rsidRPr="005C3B55">
              <w:rPr>
                <w:szCs w:val="24"/>
              </w:rPr>
              <w:t>As of February 2014, glaze ice has been treated as a natural disaster in Slovenia.</w:t>
            </w:r>
          </w:p>
          <w:p w:rsidR="00BD3B5F" w:rsidRPr="005C3B55" w:rsidRDefault="00BD3B5F">
            <w:pPr>
              <w:spacing w:before="0" w:after="0"/>
              <w:jc w:val="left"/>
              <w:rPr>
                <w:noProof/>
                <w:szCs w:val="24"/>
              </w:rPr>
            </w:pPr>
            <w:r w:rsidRPr="005C3B55">
              <w:rPr>
                <w:szCs w:val="24"/>
              </w:rPr>
              <w:t>At the end of January and beginning of February 2014, a natural disaster caused by glaze ice caused major and minor damage to almost all Slovenia’s forests.</w:t>
            </w:r>
            <w:r w:rsidRPr="005C3B55">
              <w:rPr>
                <w:noProof/>
                <w:szCs w:val="24"/>
              </w:rPr>
              <w:t xml:space="preserve"> </w:t>
            </w:r>
            <w:r w:rsidRPr="005C3B55">
              <w:rPr>
                <w:szCs w:val="24"/>
              </w:rPr>
              <w:t>Only forests in the Slovenian Primorje region up to 500 metres above sea level, forests in the Sub-pannonian area of Eastern Slovenia and forests 1,200 metres above sea level remained undamaged.</w:t>
            </w:r>
            <w:r w:rsidRPr="005C3B55">
              <w:rPr>
                <w:noProof/>
                <w:szCs w:val="24"/>
              </w:rPr>
              <w:t xml:space="preserve"> </w:t>
            </w:r>
            <w:r w:rsidRPr="005C3B55">
              <w:rPr>
                <w:szCs w:val="24"/>
              </w:rPr>
              <w:t>Sanitary cutting of damaged trees is required on 51 per cent of forest area.</w:t>
            </w:r>
            <w:r w:rsidRPr="005C3B55">
              <w:rPr>
                <w:noProof/>
                <w:szCs w:val="24"/>
              </w:rPr>
              <w:t xml:space="preserve"> </w:t>
            </w:r>
            <w:r w:rsidRPr="005C3B55">
              <w:rPr>
                <w:szCs w:val="24"/>
              </w:rPr>
              <w:t>Forests on the border between the Karst-coastal to continental area, on the SW edge of the Ljubljana Basin and in the Cerkljansko-Idrijsko region at 300 to 900 metres above sea level suffered the most damage.</w:t>
            </w:r>
          </w:p>
          <w:p w:rsidR="00BD3B5F" w:rsidRPr="005C3B55" w:rsidRDefault="00BD3B5F">
            <w:pPr>
              <w:spacing w:before="240" w:after="240"/>
              <w:jc w:val="left"/>
              <w:rPr>
                <w:noProof/>
                <w:szCs w:val="24"/>
              </w:rPr>
            </w:pPr>
            <w:r w:rsidRPr="005C3B55">
              <w:rPr>
                <w:b/>
                <w:szCs w:val="24"/>
              </w:rPr>
              <w:t>Production of renewable energy sources from agriculture and forestry</w:t>
            </w:r>
          </w:p>
          <w:p w:rsidR="00BD3B5F" w:rsidRPr="005C3B55" w:rsidRDefault="00BD3B5F">
            <w:pPr>
              <w:spacing w:before="240" w:after="240"/>
              <w:jc w:val="left"/>
              <w:rPr>
                <w:noProof/>
                <w:szCs w:val="24"/>
              </w:rPr>
            </w:pPr>
            <w:r w:rsidRPr="005C3B55">
              <w:rPr>
                <w:szCs w:val="24"/>
              </w:rPr>
              <w:t>78 family agricultural holdings are engaged in the production and marketing of energy from renewable sources in Slovenia.</w:t>
            </w:r>
            <w:r w:rsidRPr="005C3B55">
              <w:rPr>
                <w:noProof/>
                <w:szCs w:val="24"/>
              </w:rPr>
              <w:t xml:space="preserve"> </w:t>
            </w:r>
            <w:r w:rsidRPr="005C3B55">
              <w:rPr>
                <w:szCs w:val="24"/>
              </w:rPr>
              <w:t>The main renewable source of energy in Slovenia from agriculture in 2011 was biogas.</w:t>
            </w:r>
            <w:r w:rsidRPr="005C3B55">
              <w:rPr>
                <w:noProof/>
                <w:szCs w:val="24"/>
              </w:rPr>
              <w:t xml:space="preserve"> </w:t>
            </w:r>
            <w:r w:rsidRPr="005C3B55">
              <w:rPr>
                <w:szCs w:val="24"/>
              </w:rPr>
              <w:t>Other agricultural sources of bio-energy have not been initiated yet.</w:t>
            </w:r>
            <w:r w:rsidRPr="005C3B55">
              <w:rPr>
                <w:noProof/>
                <w:szCs w:val="24"/>
              </w:rPr>
              <w:t xml:space="preserve"> </w:t>
            </w:r>
            <w:r w:rsidRPr="005C3B55">
              <w:rPr>
                <w:szCs w:val="24"/>
              </w:rPr>
              <w:t>There were 23 biogas devices with total nominal power of 26.6 MWe at the end of 2012.</w:t>
            </w:r>
            <w:r w:rsidRPr="005C3B55">
              <w:rPr>
                <w:noProof/>
                <w:szCs w:val="24"/>
              </w:rPr>
              <w:t xml:space="preserve"> </w:t>
            </w:r>
            <w:r w:rsidRPr="005C3B55">
              <w:rPr>
                <w:szCs w:val="24"/>
              </w:rPr>
              <w:t>Along with liquid manure or manure, other substrates are used, mostly energy plants with large methane or biogas output.</w:t>
            </w:r>
            <w:r w:rsidRPr="005C3B55">
              <w:rPr>
                <w:noProof/>
                <w:szCs w:val="24"/>
              </w:rPr>
              <w:t xml:space="preserve"> </w:t>
            </w:r>
            <w:r w:rsidRPr="005C3B55">
              <w:rPr>
                <w:szCs w:val="24"/>
              </w:rPr>
              <w:t>By the end of 2011, biogas was used to produce only electricity and heat.</w:t>
            </w:r>
            <w:r w:rsidRPr="005C3B55">
              <w:rPr>
                <w:noProof/>
                <w:szCs w:val="24"/>
              </w:rPr>
              <w:t xml:space="preserve"> </w:t>
            </w:r>
            <w:r w:rsidRPr="005C3B55">
              <w:rPr>
                <w:szCs w:val="24"/>
              </w:rPr>
              <w:t>Biogas as motor fuel is still not in use.</w:t>
            </w:r>
            <w:r w:rsidRPr="005C3B55">
              <w:rPr>
                <w:noProof/>
                <w:szCs w:val="24"/>
              </w:rPr>
              <w:t xml:space="preserve"> </w:t>
            </w:r>
            <w:r w:rsidRPr="005C3B55">
              <w:rPr>
                <w:szCs w:val="24"/>
              </w:rPr>
              <w:t>The production of oilseeds, among which oilseed rape is especially important for energy purposes, is slowly increasing in Slovenia.</w:t>
            </w:r>
            <w:r w:rsidRPr="005C3B55">
              <w:rPr>
                <w:noProof/>
                <w:szCs w:val="24"/>
              </w:rPr>
              <w:t xml:space="preserve"> </w:t>
            </w:r>
            <w:r w:rsidRPr="005C3B55">
              <w:rPr>
                <w:szCs w:val="24"/>
              </w:rPr>
              <w:t>In 2000, 122 ha of arable land and in 2013 6,369 ha of arable land were planted with oilseed rape.</w:t>
            </w:r>
            <w:r w:rsidRPr="005C3B55">
              <w:rPr>
                <w:noProof/>
                <w:szCs w:val="24"/>
              </w:rPr>
              <w:t xml:space="preserve"> </w:t>
            </w:r>
            <w:r w:rsidRPr="005C3B55">
              <w:rPr>
                <w:szCs w:val="24"/>
              </w:rPr>
              <w:t>Only a few smaller oil production plants for pressing oilseed rape operate on some farms; however, the oil is not intended for sale for the production of bio-diesel.</w:t>
            </w:r>
            <w:r w:rsidRPr="005C3B55">
              <w:rPr>
                <w:noProof/>
                <w:szCs w:val="24"/>
              </w:rPr>
              <w:t xml:space="preserve"> </w:t>
            </w:r>
            <w:r w:rsidRPr="005C3B55">
              <w:rPr>
                <w:szCs w:val="24"/>
              </w:rPr>
              <w:t>The use of pure vegetable oil from oilseed rape as fuel to power diesel vehicles in Slovenia is very limited.</w:t>
            </w:r>
            <w:r w:rsidRPr="005C3B55">
              <w:rPr>
                <w:noProof/>
                <w:szCs w:val="24"/>
              </w:rPr>
              <w:t xml:space="preserve"> </w:t>
            </w:r>
            <w:r w:rsidRPr="005C3B55">
              <w:rPr>
                <w:szCs w:val="24"/>
              </w:rPr>
              <w:t>The production of renewable sources of energy from agriculture in 2011 was 26.2 kToe.</w:t>
            </w:r>
          </w:p>
          <w:p w:rsidR="00BD3B5F" w:rsidRPr="005C3B55" w:rsidRDefault="00BD3B5F">
            <w:pPr>
              <w:spacing w:before="240" w:after="240"/>
              <w:jc w:val="left"/>
              <w:rPr>
                <w:noProof/>
                <w:szCs w:val="24"/>
              </w:rPr>
            </w:pPr>
            <w:r w:rsidRPr="005C3B55">
              <w:rPr>
                <w:szCs w:val="24"/>
              </w:rPr>
              <w:t>Wood of poor quality which is a by-product (residue) in the primary processing of wood in wood processing plants (chemically untreated wood) and wood waste produced in the regular maintenance of forests (branches, tops) and roundwood of lesser quality (‘wood biomass’) is used for heat and electric energy production.</w:t>
            </w:r>
            <w:r w:rsidRPr="005C3B55">
              <w:rPr>
                <w:noProof/>
                <w:szCs w:val="24"/>
              </w:rPr>
              <w:t xml:space="preserve"> </w:t>
            </w:r>
            <w:r w:rsidRPr="005C3B55">
              <w:rPr>
                <w:szCs w:val="24"/>
              </w:rPr>
              <w:t>Some 1.3 million m</w:t>
            </w:r>
            <w:r w:rsidRPr="005C3B55">
              <w:rPr>
                <w:szCs w:val="24"/>
                <w:vertAlign w:val="superscript"/>
              </w:rPr>
              <w:t>3</w:t>
            </w:r>
            <w:r w:rsidRPr="005C3B55">
              <w:rPr>
                <w:szCs w:val="24"/>
              </w:rPr>
              <w:t xml:space="preserve"> of gross wood (biomass) is used annually in Slovenia for thermal energy purposes, producing 415 PJ of thermal energy.</w:t>
            </w:r>
            <w:r w:rsidRPr="005C3B55">
              <w:rPr>
                <w:noProof/>
                <w:szCs w:val="24"/>
              </w:rPr>
              <w:t xml:space="preserve"> </w:t>
            </w:r>
            <w:r w:rsidRPr="005C3B55">
              <w:rPr>
                <w:szCs w:val="24"/>
              </w:rPr>
              <w:t>The production of renewable energy sources from forestry in 2011 was 518 kToe.</w:t>
            </w:r>
            <w:r w:rsidRPr="005C3B55">
              <w:rPr>
                <w:noProof/>
                <w:szCs w:val="24"/>
              </w:rPr>
              <w:t xml:space="preserve"> </w:t>
            </w:r>
            <w:r w:rsidRPr="005C3B55">
              <w:rPr>
                <w:szCs w:val="24"/>
              </w:rPr>
              <w:t>In recent years, there has been an increase in PM particles (PM</w:t>
            </w:r>
            <w:r w:rsidRPr="005C3B55">
              <w:rPr>
                <w:szCs w:val="24"/>
                <w:vertAlign w:val="subscript"/>
              </w:rPr>
              <w:t xml:space="preserve">2.5 </w:t>
            </w:r>
            <w:r w:rsidRPr="005C3B55">
              <w:rPr>
                <w:szCs w:val="24"/>
              </w:rPr>
              <w:t>and PM</w:t>
            </w:r>
            <w:r w:rsidRPr="005C3B55">
              <w:rPr>
                <w:szCs w:val="24"/>
                <w:vertAlign w:val="subscript"/>
              </w:rPr>
              <w:t>10</w:t>
            </w:r>
            <w:r w:rsidRPr="005C3B55">
              <w:rPr>
                <w:szCs w:val="24"/>
              </w:rPr>
              <w:t>) emissions due to greater use of wood biomass for heating of households.</w:t>
            </w:r>
          </w:p>
          <w:p w:rsidR="00BD3B5F" w:rsidRPr="005C3B55" w:rsidRDefault="00BD3B5F">
            <w:pPr>
              <w:spacing w:before="240" w:after="240"/>
              <w:jc w:val="left"/>
              <w:rPr>
                <w:noProof/>
                <w:szCs w:val="24"/>
              </w:rPr>
            </w:pPr>
            <w:r w:rsidRPr="005C3B55">
              <w:rPr>
                <w:b/>
                <w:szCs w:val="24"/>
              </w:rPr>
              <w:t>Use of energy in agriculture and forestry</w:t>
            </w:r>
          </w:p>
          <w:p w:rsidR="00BD3B5F" w:rsidRPr="005C3B55" w:rsidRDefault="00BD3B5F">
            <w:pPr>
              <w:spacing w:before="240" w:after="240"/>
              <w:jc w:val="left"/>
              <w:rPr>
                <w:noProof/>
                <w:szCs w:val="24"/>
              </w:rPr>
            </w:pPr>
            <w:r w:rsidRPr="005C3B55">
              <w:rPr>
                <w:szCs w:val="24"/>
              </w:rPr>
              <w:t>The use of energy in agriculture is expressed in the direct use of gas oil, petrol and electricity, as well as indirect use in the production of mineral fertilisers.</w:t>
            </w:r>
            <w:r w:rsidRPr="005C3B55">
              <w:rPr>
                <w:noProof/>
                <w:szCs w:val="24"/>
              </w:rPr>
              <w:t xml:space="preserve"> </w:t>
            </w:r>
            <w:r w:rsidRPr="005C3B55">
              <w:rPr>
                <w:szCs w:val="24"/>
              </w:rPr>
              <w:t>The greatest share in the total use of energy in agriculture falls to gas oil for powering farm vehicles (49.6 per cent).</w:t>
            </w:r>
            <w:r w:rsidRPr="005C3B55">
              <w:rPr>
                <w:noProof/>
                <w:szCs w:val="24"/>
              </w:rPr>
              <w:t xml:space="preserve"> </w:t>
            </w:r>
            <w:r w:rsidRPr="005C3B55">
              <w:rPr>
                <w:szCs w:val="24"/>
              </w:rPr>
              <w:t>This is followed by energy for the production of mineral fertilisers (42.6 per cent), electricity (4.6 per cent) and petrol (3.2 per cent).</w:t>
            </w:r>
            <w:r w:rsidRPr="005C3B55">
              <w:rPr>
                <w:noProof/>
                <w:szCs w:val="24"/>
              </w:rPr>
              <w:t xml:space="preserve"> </w:t>
            </w:r>
            <w:r w:rsidRPr="005C3B55">
              <w:rPr>
                <w:szCs w:val="24"/>
              </w:rPr>
              <w:t>The use of gas oil in agriculture in Slovenia dropped by 11.7 per cent from 1992 to 2004.</w:t>
            </w:r>
            <w:r w:rsidRPr="005C3B55">
              <w:rPr>
                <w:noProof/>
                <w:szCs w:val="24"/>
              </w:rPr>
              <w:t xml:space="preserve"> </w:t>
            </w:r>
            <w:r w:rsidRPr="005C3B55">
              <w:rPr>
                <w:szCs w:val="24"/>
              </w:rPr>
              <w:t>The use of petrol from 1991 to 2000 fell by 33.1 per cent.</w:t>
            </w:r>
            <w:r w:rsidRPr="005C3B55">
              <w:rPr>
                <w:noProof/>
                <w:szCs w:val="24"/>
              </w:rPr>
              <w:t xml:space="preserve"> </w:t>
            </w:r>
            <w:r w:rsidRPr="005C3B55">
              <w:rPr>
                <w:szCs w:val="24"/>
              </w:rPr>
              <w:t>The consumption of electricity was monitored only between 2000 and 2004. The use dropped by 8.6 per cent in that period.</w:t>
            </w:r>
            <w:r w:rsidRPr="005C3B55">
              <w:rPr>
                <w:noProof/>
                <w:szCs w:val="24"/>
              </w:rPr>
              <w:t xml:space="preserve"> </w:t>
            </w:r>
            <w:r w:rsidRPr="005C3B55">
              <w:rPr>
                <w:szCs w:val="24"/>
              </w:rPr>
              <w:t>The use of energy for the production of mineral fertilisers has been declining since 1998.</w:t>
            </w:r>
            <w:r w:rsidRPr="005C3B55">
              <w:rPr>
                <w:noProof/>
                <w:szCs w:val="24"/>
              </w:rPr>
              <w:t xml:space="preserve"> </w:t>
            </w:r>
            <w:r w:rsidRPr="005C3B55">
              <w:rPr>
                <w:szCs w:val="24"/>
              </w:rPr>
              <w:t>The small share of the production of agricultural plant varieties in heated greenhouses is also favourable in terms of energy use.</w:t>
            </w:r>
            <w:r w:rsidRPr="005C3B55">
              <w:rPr>
                <w:noProof/>
                <w:szCs w:val="24"/>
              </w:rPr>
              <w:t xml:space="preserve"> </w:t>
            </w:r>
            <w:r w:rsidRPr="005C3B55">
              <w:rPr>
                <w:szCs w:val="24"/>
              </w:rPr>
              <w:t>Due to the increase in energy prices, agricultural holdings have been investing in improving energy efficiency.</w:t>
            </w:r>
            <w:r w:rsidRPr="005C3B55">
              <w:rPr>
                <w:noProof/>
                <w:szCs w:val="24"/>
              </w:rPr>
              <w:t xml:space="preserve"> </w:t>
            </w:r>
            <w:r w:rsidRPr="005C3B55">
              <w:rPr>
                <w:szCs w:val="24"/>
              </w:rPr>
              <w:t>The use of energy in agriculture and forestry in 2012 amounted to 76 k Toe.</w:t>
            </w:r>
          </w:p>
          <w:p w:rsidR="00BD3B5F" w:rsidRPr="005C3B55" w:rsidRDefault="00BD3B5F">
            <w:pPr>
              <w:pStyle w:val="Telobesedila"/>
              <w:rPr>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20"/>
              <w:gridCol w:w="3021"/>
              <w:gridCol w:w="3021"/>
            </w:tblGrid>
            <w:tr w:rsidR="00BD3B5F" w:rsidRPr="005C3B55">
              <w:tc>
                <w:tcPr>
                  <w:tcW w:w="3020" w:type="dxa"/>
                  <w:tcBorders>
                    <w:top w:val="single" w:sz="4" w:space="0" w:color="auto"/>
                    <w:left w:val="single" w:sz="4" w:space="0" w:color="auto"/>
                    <w:bottom w:val="single" w:sz="4" w:space="0" w:color="auto"/>
                    <w:right w:val="single" w:sz="4" w:space="0" w:color="auto"/>
                  </w:tcBorders>
                </w:tcPr>
                <w:p w:rsidR="00BD3B5F" w:rsidRPr="005C3B55" w:rsidRDefault="00BD3B5F">
                  <w:pPr>
                    <w:rPr>
                      <w:b/>
                      <w:sz w:val="20"/>
                      <w:szCs w:val="24"/>
                    </w:rPr>
                  </w:pPr>
                  <w:r w:rsidRPr="005C3B55">
                    <w:rPr>
                      <w:b/>
                      <w:noProof/>
                      <w:sz w:val="20"/>
                      <w:szCs w:val="24"/>
                    </w:rPr>
                    <w:t>Extensive meadows</w:t>
                  </w:r>
                  <w:r w:rsidRPr="005C3B55">
                    <w:rPr>
                      <w:b/>
                      <w:sz w:val="20"/>
                      <w:szCs w:val="24"/>
                    </w:rPr>
                    <w:t xml:space="preserve"> </w:t>
                  </w:r>
                </w:p>
              </w:tc>
              <w:tc>
                <w:tcPr>
                  <w:tcW w:w="3021" w:type="dxa"/>
                  <w:tcBorders>
                    <w:top w:val="single" w:sz="4" w:space="0" w:color="auto"/>
                    <w:left w:val="single" w:sz="4" w:space="0" w:color="auto"/>
                    <w:bottom w:val="single" w:sz="4" w:space="0" w:color="auto"/>
                    <w:right w:val="single" w:sz="4" w:space="0" w:color="auto"/>
                  </w:tcBorders>
                </w:tcPr>
                <w:p w:rsidR="00BD3B5F" w:rsidRPr="005C3B55" w:rsidRDefault="00BD3B5F">
                  <w:pPr>
                    <w:rPr>
                      <w:b/>
                      <w:sz w:val="20"/>
                      <w:szCs w:val="24"/>
                    </w:rPr>
                  </w:pPr>
                  <w:r w:rsidRPr="005C3B55">
                    <w:rPr>
                      <w:b/>
                      <w:noProof/>
                      <w:sz w:val="20"/>
                      <w:szCs w:val="24"/>
                    </w:rPr>
                    <w:t>Extensive agricultural landscape</w:t>
                  </w:r>
                </w:p>
              </w:tc>
              <w:tc>
                <w:tcPr>
                  <w:tcW w:w="3021" w:type="dxa"/>
                  <w:tcBorders>
                    <w:top w:val="single" w:sz="4" w:space="0" w:color="auto"/>
                    <w:left w:val="single" w:sz="4" w:space="0" w:color="auto"/>
                    <w:bottom w:val="single" w:sz="4" w:space="0" w:color="auto"/>
                    <w:right w:val="single" w:sz="4" w:space="0" w:color="auto"/>
                  </w:tcBorders>
                </w:tcPr>
                <w:p w:rsidR="00BD3B5F" w:rsidRPr="005C3B55" w:rsidRDefault="00BD3B5F">
                  <w:pPr>
                    <w:rPr>
                      <w:b/>
                      <w:sz w:val="20"/>
                      <w:szCs w:val="24"/>
                    </w:rPr>
                  </w:pPr>
                  <w:r w:rsidRPr="005C3B55">
                    <w:rPr>
                      <w:b/>
                      <w:noProof/>
                      <w:sz w:val="20"/>
                      <w:szCs w:val="24"/>
                    </w:rPr>
                    <w:t>Unfragmented and unopened forests</w:t>
                  </w:r>
                </w:p>
              </w:tc>
            </w:tr>
            <w:tr w:rsidR="00BD3B5F" w:rsidRPr="005C3B55">
              <w:tc>
                <w:tcPr>
                  <w:tcW w:w="3020" w:type="dxa"/>
                  <w:tcBorders>
                    <w:top w:val="single" w:sz="4" w:space="0" w:color="auto"/>
                    <w:left w:val="single" w:sz="4" w:space="0" w:color="auto"/>
                    <w:bottom w:val="single" w:sz="4" w:space="0" w:color="auto"/>
                    <w:right w:val="single" w:sz="4" w:space="0" w:color="auto"/>
                  </w:tcBorders>
                </w:tcPr>
                <w:p w:rsidR="00BD3B5F" w:rsidRPr="005C3B55" w:rsidRDefault="00BD3B5F">
                  <w:pPr>
                    <w:rPr>
                      <w:sz w:val="20"/>
                      <w:szCs w:val="24"/>
                    </w:rPr>
                  </w:pPr>
                  <w:r w:rsidRPr="005C3B55">
                    <w:rPr>
                      <w:noProof/>
                      <w:sz w:val="20"/>
                      <w:szCs w:val="24"/>
                    </w:rPr>
                    <w:t>Corn crake (</w:t>
                  </w:r>
                  <w:r w:rsidRPr="005C3B55">
                    <w:rPr>
                      <w:i/>
                      <w:noProof/>
                      <w:sz w:val="20"/>
                      <w:szCs w:val="24"/>
                    </w:rPr>
                    <w:t>Crex crex</w:t>
                  </w:r>
                  <w:r w:rsidRPr="005C3B55">
                    <w:rPr>
                      <w:noProof/>
                      <w:sz w:val="20"/>
                      <w:szCs w:val="24"/>
                    </w:rPr>
                    <w:t>)</w:t>
                  </w:r>
                </w:p>
              </w:tc>
              <w:tc>
                <w:tcPr>
                  <w:tcW w:w="3021" w:type="dxa"/>
                  <w:tcBorders>
                    <w:top w:val="single" w:sz="4" w:space="0" w:color="auto"/>
                    <w:left w:val="single" w:sz="4" w:space="0" w:color="auto"/>
                    <w:bottom w:val="single" w:sz="4" w:space="0" w:color="auto"/>
                    <w:right w:val="single" w:sz="4" w:space="0" w:color="auto"/>
                  </w:tcBorders>
                </w:tcPr>
                <w:p w:rsidR="00BD3B5F" w:rsidRPr="005C3B55" w:rsidRDefault="00BD3B5F">
                  <w:pPr>
                    <w:rPr>
                      <w:sz w:val="20"/>
                      <w:szCs w:val="24"/>
                    </w:rPr>
                  </w:pPr>
                  <w:r w:rsidRPr="005C3B55">
                    <w:rPr>
                      <w:noProof/>
                      <w:sz w:val="20"/>
                      <w:szCs w:val="24"/>
                    </w:rPr>
                    <w:t>European roller (</w:t>
                  </w:r>
                  <w:r w:rsidRPr="005C3B55">
                    <w:rPr>
                      <w:i/>
                      <w:noProof/>
                      <w:sz w:val="20"/>
                      <w:szCs w:val="24"/>
                    </w:rPr>
                    <w:t>Coracias garrulous</w:t>
                  </w:r>
                  <w:r w:rsidRPr="005C3B55">
                    <w:rPr>
                      <w:noProof/>
                      <w:sz w:val="20"/>
                      <w:szCs w:val="24"/>
                    </w:rPr>
                    <w:t>)</w:t>
                  </w:r>
                </w:p>
              </w:tc>
              <w:tc>
                <w:tcPr>
                  <w:tcW w:w="3021" w:type="dxa"/>
                  <w:tcBorders>
                    <w:top w:val="single" w:sz="4" w:space="0" w:color="auto"/>
                    <w:left w:val="single" w:sz="4" w:space="0" w:color="auto"/>
                    <w:bottom w:val="single" w:sz="4" w:space="0" w:color="auto"/>
                    <w:right w:val="single" w:sz="4" w:space="0" w:color="auto"/>
                  </w:tcBorders>
                </w:tcPr>
                <w:p w:rsidR="00BD3B5F" w:rsidRPr="005C3B55" w:rsidRDefault="00BD3B5F">
                  <w:pPr>
                    <w:rPr>
                      <w:sz w:val="20"/>
                      <w:szCs w:val="24"/>
                    </w:rPr>
                  </w:pPr>
                  <w:r w:rsidRPr="005C3B55">
                    <w:rPr>
                      <w:noProof/>
                      <w:sz w:val="20"/>
                      <w:szCs w:val="24"/>
                    </w:rPr>
                    <w:t>White backed woodpecker (</w:t>
                  </w:r>
                  <w:r w:rsidRPr="005C3B55">
                    <w:rPr>
                      <w:i/>
                      <w:noProof/>
                      <w:sz w:val="20"/>
                      <w:szCs w:val="24"/>
                    </w:rPr>
                    <w:t>Dedrocopos leucotos</w:t>
                  </w:r>
                  <w:r w:rsidRPr="005C3B55">
                    <w:rPr>
                      <w:noProof/>
                      <w:sz w:val="20"/>
                      <w:szCs w:val="24"/>
                    </w:rPr>
                    <w:t>)</w:t>
                  </w:r>
                </w:p>
              </w:tc>
            </w:tr>
            <w:tr w:rsidR="00BD3B5F" w:rsidRPr="005C3B55">
              <w:tc>
                <w:tcPr>
                  <w:tcW w:w="3020" w:type="dxa"/>
                  <w:tcBorders>
                    <w:top w:val="single" w:sz="4" w:space="0" w:color="auto"/>
                    <w:left w:val="single" w:sz="4" w:space="0" w:color="auto"/>
                    <w:bottom w:val="single" w:sz="4" w:space="0" w:color="auto"/>
                    <w:right w:val="single" w:sz="4" w:space="0" w:color="auto"/>
                  </w:tcBorders>
                </w:tcPr>
                <w:p w:rsidR="00BD3B5F" w:rsidRPr="005C3B55" w:rsidRDefault="00BD3B5F">
                  <w:pPr>
                    <w:rPr>
                      <w:sz w:val="20"/>
                      <w:szCs w:val="24"/>
                    </w:rPr>
                  </w:pPr>
                  <w:r w:rsidRPr="005C3B55">
                    <w:rPr>
                      <w:noProof/>
                      <w:sz w:val="20"/>
                      <w:szCs w:val="24"/>
                    </w:rPr>
                    <w:t>Eurasian curlew (</w:t>
                  </w:r>
                  <w:r w:rsidRPr="005C3B55">
                    <w:rPr>
                      <w:i/>
                      <w:noProof/>
                      <w:sz w:val="20"/>
                      <w:szCs w:val="24"/>
                    </w:rPr>
                    <w:t>Numenius arquata</w:t>
                  </w:r>
                  <w:r w:rsidRPr="005C3B55">
                    <w:rPr>
                      <w:noProof/>
                      <w:sz w:val="20"/>
                      <w:szCs w:val="24"/>
                    </w:rPr>
                    <w:t>)</w:t>
                  </w:r>
                </w:p>
              </w:tc>
              <w:tc>
                <w:tcPr>
                  <w:tcW w:w="3021" w:type="dxa"/>
                  <w:tcBorders>
                    <w:top w:val="single" w:sz="4" w:space="0" w:color="auto"/>
                    <w:left w:val="single" w:sz="4" w:space="0" w:color="auto"/>
                    <w:bottom w:val="single" w:sz="4" w:space="0" w:color="auto"/>
                    <w:right w:val="single" w:sz="4" w:space="0" w:color="auto"/>
                  </w:tcBorders>
                </w:tcPr>
                <w:p w:rsidR="00BD3B5F" w:rsidRPr="005C3B55" w:rsidRDefault="00BD3B5F">
                  <w:pPr>
                    <w:rPr>
                      <w:sz w:val="20"/>
                      <w:szCs w:val="24"/>
                    </w:rPr>
                  </w:pPr>
                  <w:r w:rsidRPr="005C3B55">
                    <w:rPr>
                      <w:noProof/>
                      <w:sz w:val="20"/>
                      <w:szCs w:val="24"/>
                    </w:rPr>
                    <w:t>Lesser grey shrike (</w:t>
                  </w:r>
                  <w:r w:rsidRPr="005C3B55">
                    <w:rPr>
                      <w:i/>
                      <w:noProof/>
                      <w:sz w:val="20"/>
                      <w:szCs w:val="24"/>
                    </w:rPr>
                    <w:t>Lanius minor</w:t>
                  </w:r>
                  <w:r w:rsidRPr="005C3B55">
                    <w:rPr>
                      <w:noProof/>
                      <w:sz w:val="20"/>
                      <w:szCs w:val="24"/>
                    </w:rPr>
                    <w:t>)</w:t>
                  </w:r>
                </w:p>
              </w:tc>
              <w:tc>
                <w:tcPr>
                  <w:tcW w:w="3021" w:type="dxa"/>
                  <w:tcBorders>
                    <w:top w:val="single" w:sz="4" w:space="0" w:color="auto"/>
                    <w:left w:val="single" w:sz="4" w:space="0" w:color="auto"/>
                    <w:bottom w:val="single" w:sz="4" w:space="0" w:color="auto"/>
                    <w:right w:val="single" w:sz="4" w:space="0" w:color="auto"/>
                  </w:tcBorders>
                </w:tcPr>
                <w:p w:rsidR="00BD3B5F" w:rsidRPr="005C3B55" w:rsidRDefault="00BD3B5F">
                  <w:pPr>
                    <w:rPr>
                      <w:sz w:val="20"/>
                      <w:szCs w:val="24"/>
                    </w:rPr>
                  </w:pPr>
                  <w:r w:rsidRPr="005C3B55">
                    <w:rPr>
                      <w:noProof/>
                      <w:sz w:val="20"/>
                      <w:szCs w:val="24"/>
                    </w:rPr>
                    <w:t>Three-toed woodpecker (</w:t>
                  </w:r>
                  <w:r w:rsidRPr="005C3B55">
                    <w:rPr>
                      <w:i/>
                      <w:noProof/>
                      <w:sz w:val="20"/>
                      <w:szCs w:val="24"/>
                    </w:rPr>
                    <w:t>Picoides tridactylus</w:t>
                  </w:r>
                  <w:r w:rsidRPr="005C3B55">
                    <w:rPr>
                      <w:noProof/>
                      <w:sz w:val="20"/>
                      <w:szCs w:val="24"/>
                    </w:rPr>
                    <w:t>)</w:t>
                  </w:r>
                </w:p>
              </w:tc>
            </w:tr>
            <w:tr w:rsidR="00BD3B5F" w:rsidRPr="005C3B55">
              <w:tc>
                <w:tcPr>
                  <w:tcW w:w="3020" w:type="dxa"/>
                  <w:tcBorders>
                    <w:top w:val="single" w:sz="4" w:space="0" w:color="auto"/>
                    <w:left w:val="single" w:sz="4" w:space="0" w:color="auto"/>
                    <w:bottom w:val="single" w:sz="4" w:space="0" w:color="auto"/>
                    <w:right w:val="single" w:sz="4" w:space="0" w:color="auto"/>
                  </w:tcBorders>
                </w:tcPr>
                <w:p w:rsidR="00BD3B5F" w:rsidRPr="005C3B55" w:rsidRDefault="00BD3B5F">
                  <w:pPr>
                    <w:rPr>
                      <w:sz w:val="20"/>
                      <w:szCs w:val="24"/>
                    </w:rPr>
                  </w:pPr>
                  <w:r w:rsidRPr="005C3B55">
                    <w:rPr>
                      <w:noProof/>
                      <w:sz w:val="20"/>
                      <w:szCs w:val="24"/>
                    </w:rPr>
                    <w:t>Wood lark (</w:t>
                  </w:r>
                  <w:r w:rsidRPr="005C3B55">
                    <w:rPr>
                      <w:i/>
                      <w:noProof/>
                      <w:sz w:val="20"/>
                      <w:szCs w:val="24"/>
                    </w:rPr>
                    <w:t>Lullula arborea</w:t>
                  </w:r>
                  <w:r w:rsidRPr="005C3B55">
                    <w:rPr>
                      <w:noProof/>
                      <w:sz w:val="20"/>
                      <w:szCs w:val="24"/>
                    </w:rPr>
                    <w:t>)</w:t>
                  </w:r>
                </w:p>
              </w:tc>
              <w:tc>
                <w:tcPr>
                  <w:tcW w:w="3021" w:type="dxa"/>
                  <w:tcBorders>
                    <w:top w:val="single" w:sz="4" w:space="0" w:color="auto"/>
                    <w:left w:val="single" w:sz="4" w:space="0" w:color="auto"/>
                    <w:bottom w:val="single" w:sz="4" w:space="0" w:color="auto"/>
                    <w:right w:val="single" w:sz="4" w:space="0" w:color="auto"/>
                  </w:tcBorders>
                </w:tcPr>
                <w:p w:rsidR="00BD3B5F" w:rsidRPr="005C3B55" w:rsidRDefault="00BD3B5F">
                  <w:pPr>
                    <w:rPr>
                      <w:sz w:val="20"/>
                      <w:szCs w:val="24"/>
                    </w:rPr>
                  </w:pPr>
                  <w:r w:rsidRPr="005C3B55">
                    <w:rPr>
                      <w:noProof/>
                      <w:sz w:val="20"/>
                      <w:szCs w:val="24"/>
                    </w:rPr>
                    <w:t>Eurasian scops owl (</w:t>
                  </w:r>
                  <w:r w:rsidRPr="005C3B55">
                    <w:rPr>
                      <w:i/>
                      <w:noProof/>
                      <w:sz w:val="20"/>
                      <w:szCs w:val="24"/>
                    </w:rPr>
                    <w:t>Otus scops</w:t>
                  </w:r>
                  <w:r w:rsidRPr="005C3B55">
                    <w:rPr>
                      <w:noProof/>
                      <w:sz w:val="20"/>
                      <w:szCs w:val="24"/>
                    </w:rPr>
                    <w:t>)</w:t>
                  </w:r>
                </w:p>
              </w:tc>
              <w:tc>
                <w:tcPr>
                  <w:tcW w:w="3021" w:type="dxa"/>
                  <w:tcBorders>
                    <w:top w:val="single" w:sz="4" w:space="0" w:color="auto"/>
                    <w:left w:val="single" w:sz="4" w:space="0" w:color="auto"/>
                    <w:bottom w:val="single" w:sz="4" w:space="0" w:color="auto"/>
                    <w:right w:val="single" w:sz="4" w:space="0" w:color="auto"/>
                  </w:tcBorders>
                </w:tcPr>
                <w:p w:rsidR="00BD3B5F" w:rsidRPr="005C3B55" w:rsidRDefault="00BD3B5F">
                  <w:pPr>
                    <w:rPr>
                      <w:sz w:val="20"/>
                      <w:szCs w:val="24"/>
                    </w:rPr>
                  </w:pPr>
                  <w:r w:rsidRPr="005C3B55">
                    <w:rPr>
                      <w:noProof/>
                      <w:sz w:val="20"/>
                      <w:szCs w:val="24"/>
                    </w:rPr>
                    <w:t>Red-breasted flycatcher (</w:t>
                  </w:r>
                  <w:r w:rsidRPr="005C3B55">
                    <w:rPr>
                      <w:i/>
                      <w:noProof/>
                      <w:sz w:val="20"/>
                      <w:szCs w:val="24"/>
                    </w:rPr>
                    <w:t>Ficedula parva</w:t>
                  </w:r>
                  <w:r w:rsidRPr="005C3B55">
                    <w:rPr>
                      <w:noProof/>
                      <w:sz w:val="20"/>
                      <w:szCs w:val="24"/>
                    </w:rPr>
                    <w:t>)</w:t>
                  </w:r>
                </w:p>
              </w:tc>
            </w:tr>
            <w:tr w:rsidR="00BD3B5F" w:rsidRPr="005C3B55">
              <w:tc>
                <w:tcPr>
                  <w:tcW w:w="3020" w:type="dxa"/>
                  <w:tcBorders>
                    <w:top w:val="single" w:sz="4" w:space="0" w:color="auto"/>
                    <w:left w:val="single" w:sz="4" w:space="0" w:color="auto"/>
                    <w:bottom w:val="single" w:sz="4" w:space="0" w:color="auto"/>
                    <w:right w:val="single" w:sz="4" w:space="0" w:color="auto"/>
                  </w:tcBorders>
                </w:tcPr>
                <w:p w:rsidR="00BD3B5F" w:rsidRPr="005C3B55" w:rsidRDefault="00BD3B5F">
                  <w:pPr>
                    <w:rPr>
                      <w:sz w:val="20"/>
                      <w:szCs w:val="24"/>
                    </w:rPr>
                  </w:pPr>
                  <w:r w:rsidRPr="005C3B55">
                    <w:rPr>
                      <w:noProof/>
                      <w:sz w:val="20"/>
                      <w:szCs w:val="24"/>
                    </w:rPr>
                    <w:t>Ortolan bunting (</w:t>
                  </w:r>
                  <w:r w:rsidRPr="005C3B55">
                    <w:rPr>
                      <w:i/>
                      <w:noProof/>
                      <w:sz w:val="20"/>
                      <w:szCs w:val="24"/>
                    </w:rPr>
                    <w:t>Emberiza hortulana</w:t>
                  </w:r>
                  <w:r w:rsidRPr="005C3B55">
                    <w:rPr>
                      <w:noProof/>
                      <w:sz w:val="20"/>
                      <w:szCs w:val="24"/>
                    </w:rPr>
                    <w:t>)</w:t>
                  </w:r>
                </w:p>
              </w:tc>
              <w:tc>
                <w:tcPr>
                  <w:tcW w:w="3021" w:type="dxa"/>
                  <w:tcBorders>
                    <w:top w:val="single" w:sz="4" w:space="0" w:color="auto"/>
                    <w:left w:val="single" w:sz="4" w:space="0" w:color="auto"/>
                    <w:bottom w:val="single" w:sz="4" w:space="0" w:color="auto"/>
                    <w:right w:val="single" w:sz="4" w:space="0" w:color="auto"/>
                  </w:tcBorders>
                </w:tcPr>
                <w:p w:rsidR="00BD3B5F" w:rsidRPr="005C3B55" w:rsidRDefault="00BD3B5F">
                  <w:pPr>
                    <w:rPr>
                      <w:sz w:val="20"/>
                      <w:szCs w:val="24"/>
                    </w:rPr>
                  </w:pPr>
                  <w:r w:rsidRPr="005C3B55">
                    <w:rPr>
                      <w:noProof/>
                      <w:sz w:val="20"/>
                      <w:szCs w:val="24"/>
                    </w:rPr>
                    <w:t>Hoopoe (</w:t>
                  </w:r>
                  <w:r w:rsidRPr="005C3B55">
                    <w:rPr>
                      <w:i/>
                      <w:noProof/>
                      <w:sz w:val="20"/>
                      <w:szCs w:val="24"/>
                    </w:rPr>
                    <w:t>Upupa epops</w:t>
                  </w:r>
                  <w:r w:rsidRPr="005C3B55">
                    <w:rPr>
                      <w:noProof/>
                      <w:sz w:val="20"/>
                      <w:szCs w:val="24"/>
                    </w:rPr>
                    <w:t>)</w:t>
                  </w:r>
                </w:p>
              </w:tc>
              <w:tc>
                <w:tcPr>
                  <w:tcW w:w="3021" w:type="dxa"/>
                  <w:tcBorders>
                    <w:top w:val="single" w:sz="4" w:space="0" w:color="auto"/>
                    <w:left w:val="single" w:sz="4" w:space="0" w:color="auto"/>
                    <w:bottom w:val="single" w:sz="4" w:space="0" w:color="auto"/>
                    <w:right w:val="single" w:sz="4" w:space="0" w:color="auto"/>
                  </w:tcBorders>
                </w:tcPr>
                <w:p w:rsidR="00BD3B5F" w:rsidRPr="005C3B55" w:rsidRDefault="00BD3B5F">
                  <w:pPr>
                    <w:rPr>
                      <w:sz w:val="20"/>
                      <w:szCs w:val="24"/>
                    </w:rPr>
                  </w:pPr>
                  <w:r w:rsidRPr="005C3B55">
                    <w:rPr>
                      <w:noProof/>
                      <w:sz w:val="20"/>
                      <w:szCs w:val="24"/>
                    </w:rPr>
                    <w:t>Capercaillie (</w:t>
                  </w:r>
                  <w:r w:rsidRPr="005C3B55">
                    <w:rPr>
                      <w:i/>
                      <w:noProof/>
                      <w:sz w:val="20"/>
                      <w:szCs w:val="24"/>
                    </w:rPr>
                    <w:t>Tetrao urogallus</w:t>
                  </w:r>
                  <w:r w:rsidRPr="005C3B55">
                    <w:rPr>
                      <w:noProof/>
                      <w:sz w:val="20"/>
                      <w:szCs w:val="24"/>
                    </w:rPr>
                    <w:t>)</w:t>
                  </w:r>
                </w:p>
              </w:tc>
            </w:tr>
            <w:tr w:rsidR="00BD3B5F" w:rsidRPr="005C3B55">
              <w:tc>
                <w:tcPr>
                  <w:tcW w:w="3020" w:type="dxa"/>
                  <w:tcBorders>
                    <w:top w:val="single" w:sz="4" w:space="0" w:color="auto"/>
                    <w:left w:val="single" w:sz="4" w:space="0" w:color="auto"/>
                    <w:bottom w:val="single" w:sz="4" w:space="0" w:color="auto"/>
                    <w:right w:val="single" w:sz="4" w:space="0" w:color="auto"/>
                  </w:tcBorders>
                </w:tcPr>
                <w:p w:rsidR="00BD3B5F" w:rsidRPr="005C3B55" w:rsidRDefault="00BD3B5F">
                  <w:pPr>
                    <w:rPr>
                      <w:sz w:val="20"/>
                      <w:szCs w:val="24"/>
                    </w:rPr>
                  </w:pPr>
                  <w:r w:rsidRPr="005C3B55">
                    <w:rPr>
                      <w:noProof/>
                      <w:sz w:val="20"/>
                      <w:szCs w:val="24"/>
                    </w:rPr>
                    <w:t>Corn bunting (</w:t>
                  </w:r>
                  <w:r w:rsidRPr="005C3B55">
                    <w:rPr>
                      <w:i/>
                      <w:noProof/>
                      <w:sz w:val="20"/>
                      <w:szCs w:val="24"/>
                    </w:rPr>
                    <w:t>Emberiza calandra</w:t>
                  </w:r>
                  <w:r w:rsidRPr="005C3B55">
                    <w:rPr>
                      <w:noProof/>
                      <w:sz w:val="20"/>
                      <w:szCs w:val="24"/>
                    </w:rPr>
                    <w:t>)</w:t>
                  </w:r>
                </w:p>
              </w:tc>
              <w:tc>
                <w:tcPr>
                  <w:tcW w:w="3021" w:type="dxa"/>
                  <w:tcBorders>
                    <w:top w:val="single" w:sz="4" w:space="0" w:color="auto"/>
                    <w:left w:val="single" w:sz="4" w:space="0" w:color="auto"/>
                    <w:bottom w:val="single" w:sz="4" w:space="0" w:color="auto"/>
                    <w:right w:val="single" w:sz="4" w:space="0" w:color="auto"/>
                  </w:tcBorders>
                </w:tcPr>
                <w:p w:rsidR="00BD3B5F" w:rsidRPr="005C3B55" w:rsidRDefault="00BD3B5F">
                  <w:pPr>
                    <w:rPr>
                      <w:sz w:val="20"/>
                      <w:szCs w:val="24"/>
                    </w:rPr>
                  </w:pPr>
                  <w:r w:rsidRPr="005C3B55">
                    <w:rPr>
                      <w:noProof/>
                      <w:sz w:val="20"/>
                      <w:szCs w:val="24"/>
                    </w:rPr>
                    <w:t>Linnet (</w:t>
                  </w:r>
                  <w:r w:rsidRPr="005C3B55">
                    <w:rPr>
                      <w:i/>
                      <w:noProof/>
                      <w:sz w:val="20"/>
                      <w:szCs w:val="24"/>
                    </w:rPr>
                    <w:t>Carduelis cannabina</w:t>
                  </w:r>
                  <w:r w:rsidRPr="005C3B55">
                    <w:rPr>
                      <w:noProof/>
                      <w:sz w:val="20"/>
                      <w:szCs w:val="24"/>
                    </w:rPr>
                    <w:t>)</w:t>
                  </w:r>
                </w:p>
              </w:tc>
              <w:tc>
                <w:tcPr>
                  <w:tcW w:w="3021" w:type="dxa"/>
                  <w:tcBorders>
                    <w:top w:val="single" w:sz="4" w:space="0" w:color="auto"/>
                    <w:left w:val="single" w:sz="4" w:space="0" w:color="auto"/>
                    <w:bottom w:val="single" w:sz="4" w:space="0" w:color="auto"/>
                    <w:right w:val="single" w:sz="4" w:space="0" w:color="auto"/>
                  </w:tcBorders>
                </w:tcPr>
                <w:p w:rsidR="00BD3B5F" w:rsidRPr="005C3B55" w:rsidRDefault="00BD3B5F">
                  <w:pPr>
                    <w:rPr>
                      <w:sz w:val="20"/>
                      <w:szCs w:val="24"/>
                    </w:rPr>
                  </w:pPr>
                  <w:r w:rsidRPr="005C3B55">
                    <w:rPr>
                      <w:noProof/>
                      <w:sz w:val="20"/>
                      <w:szCs w:val="24"/>
                    </w:rPr>
                    <w:t>Black stork (</w:t>
                  </w:r>
                  <w:r w:rsidRPr="005C3B55">
                    <w:rPr>
                      <w:i/>
                      <w:noProof/>
                      <w:sz w:val="20"/>
                      <w:szCs w:val="24"/>
                    </w:rPr>
                    <w:t>Ciconia nigra</w:t>
                  </w:r>
                  <w:r w:rsidRPr="005C3B55">
                    <w:rPr>
                      <w:noProof/>
                      <w:sz w:val="20"/>
                      <w:szCs w:val="24"/>
                    </w:rPr>
                    <w:t>)</w:t>
                  </w:r>
                </w:p>
              </w:tc>
            </w:tr>
            <w:tr w:rsidR="00BD3B5F" w:rsidRPr="005C3B55">
              <w:tc>
                <w:tcPr>
                  <w:tcW w:w="3020" w:type="dxa"/>
                  <w:tcBorders>
                    <w:top w:val="single" w:sz="4" w:space="0" w:color="auto"/>
                    <w:left w:val="single" w:sz="4" w:space="0" w:color="auto"/>
                    <w:bottom w:val="single" w:sz="4" w:space="0" w:color="auto"/>
                    <w:right w:val="single" w:sz="4" w:space="0" w:color="auto"/>
                  </w:tcBorders>
                </w:tcPr>
                <w:p w:rsidR="00BD3B5F" w:rsidRPr="005C3B55" w:rsidRDefault="00BD3B5F">
                  <w:pPr>
                    <w:rPr>
                      <w:sz w:val="20"/>
                      <w:szCs w:val="24"/>
                    </w:rPr>
                  </w:pPr>
                  <w:r w:rsidRPr="005C3B55">
                    <w:rPr>
                      <w:noProof/>
                      <w:sz w:val="20"/>
                      <w:szCs w:val="24"/>
                    </w:rPr>
                    <w:t>Red-backed shrike (</w:t>
                  </w:r>
                  <w:r w:rsidRPr="005C3B55">
                    <w:rPr>
                      <w:i/>
                      <w:noProof/>
                      <w:sz w:val="20"/>
                      <w:szCs w:val="24"/>
                    </w:rPr>
                    <w:t>Lanius collurio</w:t>
                  </w:r>
                  <w:r w:rsidRPr="005C3B55">
                    <w:rPr>
                      <w:noProof/>
                      <w:sz w:val="20"/>
                      <w:szCs w:val="24"/>
                    </w:rPr>
                    <w:t>)</w:t>
                  </w:r>
                </w:p>
              </w:tc>
              <w:tc>
                <w:tcPr>
                  <w:tcW w:w="3021" w:type="dxa"/>
                  <w:tcBorders>
                    <w:top w:val="single" w:sz="4" w:space="0" w:color="auto"/>
                    <w:left w:val="single" w:sz="4" w:space="0" w:color="auto"/>
                    <w:bottom w:val="single" w:sz="4" w:space="0" w:color="auto"/>
                    <w:right w:val="single" w:sz="4" w:space="0" w:color="auto"/>
                  </w:tcBorders>
                </w:tcPr>
                <w:p w:rsidR="00BD3B5F" w:rsidRPr="005C3B55" w:rsidRDefault="00BD3B5F">
                  <w:pPr>
                    <w:rPr>
                      <w:sz w:val="20"/>
                      <w:szCs w:val="24"/>
                    </w:rPr>
                  </w:pPr>
                  <w:r w:rsidRPr="005C3B55">
                    <w:rPr>
                      <w:noProof/>
                      <w:sz w:val="20"/>
                      <w:szCs w:val="24"/>
                    </w:rPr>
                    <w:t>Wryneck (</w:t>
                  </w:r>
                  <w:r w:rsidRPr="005C3B55">
                    <w:rPr>
                      <w:i/>
                      <w:noProof/>
                      <w:sz w:val="20"/>
                      <w:szCs w:val="24"/>
                    </w:rPr>
                    <w:t>Jynx torquilla</w:t>
                  </w:r>
                  <w:r w:rsidRPr="005C3B55">
                    <w:rPr>
                      <w:noProof/>
                      <w:sz w:val="20"/>
                      <w:szCs w:val="24"/>
                    </w:rPr>
                    <w:t>)</w:t>
                  </w:r>
                </w:p>
              </w:tc>
              <w:tc>
                <w:tcPr>
                  <w:tcW w:w="3021" w:type="dxa"/>
                  <w:tcBorders>
                    <w:top w:val="single" w:sz="4" w:space="0" w:color="auto"/>
                    <w:left w:val="single" w:sz="4" w:space="0" w:color="auto"/>
                    <w:bottom w:val="single" w:sz="4" w:space="0" w:color="auto"/>
                    <w:right w:val="single" w:sz="4" w:space="0" w:color="auto"/>
                  </w:tcBorders>
                </w:tcPr>
                <w:p w:rsidR="00BD3B5F" w:rsidRPr="005C3B55" w:rsidRDefault="00BD3B5F">
                  <w:pPr>
                    <w:rPr>
                      <w:sz w:val="20"/>
                      <w:szCs w:val="24"/>
                    </w:rPr>
                  </w:pPr>
                </w:p>
              </w:tc>
            </w:tr>
            <w:tr w:rsidR="00BD3B5F" w:rsidRPr="005C3B55">
              <w:tc>
                <w:tcPr>
                  <w:tcW w:w="3020" w:type="dxa"/>
                  <w:tcBorders>
                    <w:top w:val="single" w:sz="4" w:space="0" w:color="auto"/>
                    <w:left w:val="single" w:sz="4" w:space="0" w:color="auto"/>
                    <w:bottom w:val="single" w:sz="4" w:space="0" w:color="auto"/>
                    <w:right w:val="single" w:sz="4" w:space="0" w:color="auto"/>
                  </w:tcBorders>
                </w:tcPr>
                <w:p w:rsidR="00BD3B5F" w:rsidRPr="005C3B55" w:rsidRDefault="00BD3B5F">
                  <w:pPr>
                    <w:rPr>
                      <w:sz w:val="20"/>
                      <w:szCs w:val="24"/>
                    </w:rPr>
                  </w:pPr>
                  <w:r w:rsidRPr="005C3B55">
                    <w:rPr>
                      <w:noProof/>
                      <w:sz w:val="20"/>
                      <w:szCs w:val="24"/>
                    </w:rPr>
                    <w:t>Whinchat (</w:t>
                  </w:r>
                  <w:r w:rsidRPr="005C3B55">
                    <w:rPr>
                      <w:i/>
                      <w:noProof/>
                      <w:sz w:val="20"/>
                      <w:szCs w:val="24"/>
                    </w:rPr>
                    <w:t>Saxicola rubetra</w:t>
                  </w:r>
                  <w:r w:rsidRPr="005C3B55">
                    <w:rPr>
                      <w:noProof/>
                      <w:sz w:val="20"/>
                      <w:szCs w:val="24"/>
                    </w:rPr>
                    <w:t>)</w:t>
                  </w:r>
                </w:p>
              </w:tc>
              <w:tc>
                <w:tcPr>
                  <w:tcW w:w="3021" w:type="dxa"/>
                  <w:tcBorders>
                    <w:top w:val="single" w:sz="4" w:space="0" w:color="auto"/>
                    <w:left w:val="single" w:sz="4" w:space="0" w:color="auto"/>
                    <w:bottom w:val="single" w:sz="4" w:space="0" w:color="auto"/>
                    <w:right w:val="single" w:sz="4" w:space="0" w:color="auto"/>
                  </w:tcBorders>
                </w:tcPr>
                <w:p w:rsidR="00BD3B5F" w:rsidRPr="005C3B55" w:rsidRDefault="00BD3B5F">
                  <w:pPr>
                    <w:rPr>
                      <w:sz w:val="20"/>
                      <w:szCs w:val="24"/>
                    </w:rPr>
                  </w:pPr>
                </w:p>
              </w:tc>
              <w:tc>
                <w:tcPr>
                  <w:tcW w:w="3021" w:type="dxa"/>
                  <w:tcBorders>
                    <w:top w:val="single" w:sz="4" w:space="0" w:color="auto"/>
                    <w:left w:val="single" w:sz="4" w:space="0" w:color="auto"/>
                    <w:bottom w:val="single" w:sz="4" w:space="0" w:color="auto"/>
                    <w:right w:val="single" w:sz="4" w:space="0" w:color="auto"/>
                  </w:tcBorders>
                </w:tcPr>
                <w:p w:rsidR="00BD3B5F" w:rsidRPr="005C3B55" w:rsidRDefault="00BD3B5F">
                  <w:pPr>
                    <w:rPr>
                      <w:sz w:val="20"/>
                      <w:szCs w:val="24"/>
                    </w:rPr>
                  </w:pPr>
                </w:p>
              </w:tc>
            </w:tr>
            <w:tr w:rsidR="00BD3B5F" w:rsidRPr="005C3B55">
              <w:tc>
                <w:tcPr>
                  <w:tcW w:w="3020" w:type="dxa"/>
                  <w:tcBorders>
                    <w:top w:val="single" w:sz="4" w:space="0" w:color="auto"/>
                    <w:left w:val="single" w:sz="4" w:space="0" w:color="auto"/>
                    <w:bottom w:val="single" w:sz="4" w:space="0" w:color="auto"/>
                    <w:right w:val="single" w:sz="4" w:space="0" w:color="auto"/>
                  </w:tcBorders>
                </w:tcPr>
                <w:p w:rsidR="00BD3B5F" w:rsidRPr="005C3B55" w:rsidRDefault="00BD3B5F">
                  <w:pPr>
                    <w:rPr>
                      <w:sz w:val="20"/>
                      <w:szCs w:val="24"/>
                    </w:rPr>
                  </w:pPr>
                  <w:r w:rsidRPr="005C3B55">
                    <w:rPr>
                      <w:noProof/>
                      <w:sz w:val="20"/>
                      <w:szCs w:val="24"/>
                    </w:rPr>
                    <w:t>Sky lark (Alauda arvensis)</w:t>
                  </w:r>
                </w:p>
              </w:tc>
              <w:tc>
                <w:tcPr>
                  <w:tcW w:w="3021" w:type="dxa"/>
                  <w:tcBorders>
                    <w:top w:val="single" w:sz="4" w:space="0" w:color="auto"/>
                    <w:left w:val="single" w:sz="4" w:space="0" w:color="auto"/>
                    <w:bottom w:val="single" w:sz="4" w:space="0" w:color="auto"/>
                    <w:right w:val="single" w:sz="4" w:space="0" w:color="auto"/>
                  </w:tcBorders>
                </w:tcPr>
                <w:p w:rsidR="00BD3B5F" w:rsidRPr="005C3B55" w:rsidRDefault="00BD3B5F">
                  <w:pPr>
                    <w:rPr>
                      <w:sz w:val="20"/>
                      <w:szCs w:val="24"/>
                    </w:rPr>
                  </w:pPr>
                </w:p>
              </w:tc>
              <w:tc>
                <w:tcPr>
                  <w:tcW w:w="3021" w:type="dxa"/>
                  <w:tcBorders>
                    <w:top w:val="single" w:sz="4" w:space="0" w:color="auto"/>
                    <w:left w:val="single" w:sz="4" w:space="0" w:color="auto"/>
                    <w:bottom w:val="single" w:sz="4" w:space="0" w:color="auto"/>
                    <w:right w:val="single" w:sz="4" w:space="0" w:color="auto"/>
                  </w:tcBorders>
                </w:tcPr>
                <w:p w:rsidR="00BD3B5F" w:rsidRPr="005C3B55" w:rsidRDefault="00BD3B5F">
                  <w:pPr>
                    <w:rPr>
                      <w:sz w:val="20"/>
                      <w:szCs w:val="24"/>
                    </w:rPr>
                  </w:pPr>
                </w:p>
              </w:tc>
            </w:tr>
          </w:tbl>
          <w:p w:rsidR="00BD3B5F" w:rsidRPr="005C3B55" w:rsidRDefault="00BD3B5F">
            <w:pPr>
              <w:pStyle w:val="Telobesedila3"/>
              <w:jc w:val="left"/>
              <w:rPr>
                <w:szCs w:val="24"/>
              </w:rPr>
            </w:pPr>
          </w:p>
          <w:p w:rsidR="00BD3B5F" w:rsidRPr="005C3B55" w:rsidRDefault="00BD3B5F">
            <w:pPr>
              <w:pStyle w:val="Noga"/>
              <w:jc w:val="center"/>
              <w:rPr>
                <w:szCs w:val="24"/>
              </w:rPr>
            </w:pPr>
            <w:r w:rsidRPr="005C3B55">
              <w:rPr>
                <w:noProof/>
                <w:szCs w:val="24"/>
              </w:rPr>
              <w:t>List of birds and their habitats – unfavourable status</w:t>
            </w:r>
          </w:p>
          <w:p w:rsidR="00BD3B5F" w:rsidRPr="005C3B55" w:rsidRDefault="00BD3B5F">
            <w:pPr>
              <w:pStyle w:val="Noga"/>
              <w:jc w:val="center"/>
              <w:rPr>
                <w:szCs w:val="24"/>
              </w:rPr>
            </w:pPr>
          </w:p>
        </w:tc>
      </w:tr>
    </w:tbl>
    <w:p w:rsidR="00BD3B5F" w:rsidRPr="005C3B55" w:rsidRDefault="00BD3B5F">
      <w:pPr>
        <w:pStyle w:val="Naslov3"/>
        <w:tabs>
          <w:tab w:val="clear" w:pos="765"/>
        </w:tabs>
        <w:ind w:left="0" w:firstLine="0"/>
        <w:jc w:val="left"/>
        <w:rPr>
          <w:szCs w:val="24"/>
          <w:lang w:val="en-GB"/>
        </w:rPr>
      </w:pPr>
      <w:bookmarkStart w:id="45" w:name="_Toc416192503"/>
      <w:r w:rsidRPr="005C3B55">
        <w:rPr>
          <w:szCs w:val="24"/>
          <w:lang w:val="en-GB"/>
        </w:rPr>
        <w:t>Strengths determined in the programme area</w:t>
      </w:r>
      <w:bookmarkEnd w:id="45"/>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10656" w:type="dxa"/>
          </w:tcPr>
          <w:p w:rsidR="00BD3B5F" w:rsidRPr="005C3B55" w:rsidRDefault="00BD3B5F" w:rsidP="00BD3B5F">
            <w:pPr>
              <w:numPr>
                <w:ilvl w:val="0"/>
                <w:numId w:val="22"/>
              </w:numPr>
              <w:spacing w:before="0" w:after="0"/>
              <w:ind w:hanging="290"/>
              <w:jc w:val="left"/>
              <w:rPr>
                <w:noProof/>
                <w:szCs w:val="24"/>
              </w:rPr>
            </w:pPr>
            <w:r w:rsidRPr="005C3B55">
              <w:rPr>
                <w:szCs w:val="24"/>
              </w:rPr>
              <w:t>The major part of all UAA is located in areas of high natural value (between 60 and 80 per cent).</w:t>
            </w:r>
          </w:p>
          <w:p w:rsidR="00BD3B5F" w:rsidRPr="005C3B55" w:rsidRDefault="00BD3B5F" w:rsidP="00BD3B5F">
            <w:pPr>
              <w:numPr>
                <w:ilvl w:val="0"/>
                <w:numId w:val="22"/>
              </w:numPr>
              <w:spacing w:before="0" w:after="0"/>
              <w:ind w:hanging="290"/>
              <w:jc w:val="left"/>
              <w:rPr>
                <w:noProof/>
                <w:szCs w:val="24"/>
              </w:rPr>
            </w:pPr>
            <w:r w:rsidRPr="005C3B55">
              <w:rPr>
                <w:szCs w:val="24"/>
              </w:rPr>
              <w:t>High share of protected areas contributes to sustainable development.</w:t>
            </w:r>
          </w:p>
          <w:p w:rsidR="00BD3B5F" w:rsidRPr="005C3B55" w:rsidRDefault="00BD3B5F" w:rsidP="00BD3B5F">
            <w:pPr>
              <w:numPr>
                <w:ilvl w:val="0"/>
                <w:numId w:val="22"/>
              </w:numPr>
              <w:spacing w:before="0" w:after="0"/>
              <w:ind w:hanging="290"/>
              <w:jc w:val="left"/>
              <w:rPr>
                <w:noProof/>
                <w:szCs w:val="24"/>
              </w:rPr>
            </w:pPr>
            <w:r w:rsidRPr="005C3B55">
              <w:rPr>
                <w:szCs w:val="24"/>
              </w:rPr>
              <w:t>Rich natural, cultural heritage and diverse cultural landscape.</w:t>
            </w:r>
          </w:p>
          <w:p w:rsidR="00BD3B5F" w:rsidRPr="005C3B55" w:rsidRDefault="00BD3B5F" w:rsidP="00BD3B5F">
            <w:pPr>
              <w:numPr>
                <w:ilvl w:val="0"/>
                <w:numId w:val="22"/>
              </w:numPr>
              <w:spacing w:before="0" w:after="0"/>
              <w:ind w:hanging="290"/>
              <w:jc w:val="left"/>
              <w:rPr>
                <w:noProof/>
                <w:szCs w:val="24"/>
              </w:rPr>
            </w:pPr>
            <w:r w:rsidRPr="005C3B55">
              <w:rPr>
                <w:szCs w:val="24"/>
              </w:rPr>
              <w:t>Numerous autochthonous varieties of agricultural plants and domestic animal breeds which are optimally adapted to local environmental conditions.</w:t>
            </w:r>
          </w:p>
          <w:p w:rsidR="00BD3B5F" w:rsidRPr="005C3B55" w:rsidRDefault="00BD3B5F" w:rsidP="00BD3B5F">
            <w:pPr>
              <w:numPr>
                <w:ilvl w:val="0"/>
                <w:numId w:val="22"/>
              </w:numPr>
              <w:spacing w:before="0" w:after="0"/>
              <w:ind w:hanging="290"/>
              <w:jc w:val="left"/>
              <w:rPr>
                <w:noProof/>
                <w:szCs w:val="24"/>
              </w:rPr>
            </w:pPr>
            <w:r w:rsidRPr="005C3B55">
              <w:rPr>
                <w:szCs w:val="24"/>
              </w:rPr>
              <w:t>For the most part, good quantity of organic matter in soil.</w:t>
            </w:r>
          </w:p>
          <w:p w:rsidR="00BD3B5F" w:rsidRPr="005C3B55" w:rsidRDefault="00BD3B5F" w:rsidP="00BD3B5F">
            <w:pPr>
              <w:numPr>
                <w:ilvl w:val="0"/>
                <w:numId w:val="22"/>
              </w:numPr>
              <w:spacing w:before="0" w:after="0"/>
              <w:ind w:hanging="290"/>
              <w:jc w:val="left"/>
              <w:rPr>
                <w:noProof/>
                <w:szCs w:val="24"/>
              </w:rPr>
            </w:pPr>
            <w:r w:rsidRPr="005C3B55">
              <w:rPr>
                <w:szCs w:val="24"/>
              </w:rPr>
              <w:t>Decrease in the use of mineral fertilisers per ha of UAA (-31.4 per cent between 1992 and 2013) and in the use of plant nutrients (N, P</w:t>
            </w:r>
            <w:r w:rsidRPr="005C3B55">
              <w:rPr>
                <w:szCs w:val="24"/>
                <w:vertAlign w:val="subscript"/>
              </w:rPr>
              <w:t>2</w:t>
            </w:r>
            <w:r w:rsidRPr="005C3B55">
              <w:rPr>
                <w:szCs w:val="24"/>
              </w:rPr>
              <w:t>O</w:t>
            </w:r>
            <w:r w:rsidRPr="005C3B55">
              <w:rPr>
                <w:szCs w:val="24"/>
                <w:vertAlign w:val="subscript"/>
              </w:rPr>
              <w:t>5</w:t>
            </w:r>
            <w:r w:rsidRPr="005C3B55">
              <w:rPr>
                <w:szCs w:val="24"/>
              </w:rPr>
              <w:t>, K</w:t>
            </w:r>
            <w:r w:rsidRPr="005C3B55">
              <w:rPr>
                <w:szCs w:val="24"/>
                <w:vertAlign w:val="subscript"/>
              </w:rPr>
              <w:t>2</w:t>
            </w:r>
            <w:r w:rsidRPr="005C3B55">
              <w:rPr>
                <w:szCs w:val="24"/>
              </w:rPr>
              <w:t>O) (-27.4 per cent).</w:t>
            </w:r>
          </w:p>
          <w:p w:rsidR="00BD3B5F" w:rsidRPr="005C3B55" w:rsidRDefault="00BD3B5F" w:rsidP="00BD3B5F">
            <w:pPr>
              <w:numPr>
                <w:ilvl w:val="0"/>
                <w:numId w:val="22"/>
              </w:numPr>
              <w:spacing w:before="0" w:after="0"/>
              <w:ind w:hanging="290"/>
              <w:jc w:val="left"/>
              <w:rPr>
                <w:noProof/>
                <w:szCs w:val="24"/>
              </w:rPr>
            </w:pPr>
            <w:r w:rsidRPr="005C3B55">
              <w:rPr>
                <w:szCs w:val="24"/>
              </w:rPr>
              <w:t>The use of plant protection products is decreasing.</w:t>
            </w:r>
            <w:r w:rsidRPr="005C3B55">
              <w:rPr>
                <w:noProof/>
                <w:szCs w:val="24"/>
              </w:rPr>
              <w:t xml:space="preserve"> </w:t>
            </w:r>
            <w:r w:rsidRPr="005C3B55">
              <w:rPr>
                <w:szCs w:val="24"/>
              </w:rPr>
              <w:t>In 1992, 2,031 tons of these products were used; in 2012, 1,016 tons were used.</w:t>
            </w:r>
          </w:p>
          <w:p w:rsidR="00BD3B5F" w:rsidRPr="005C3B55" w:rsidRDefault="00BD3B5F" w:rsidP="00BD3B5F">
            <w:pPr>
              <w:numPr>
                <w:ilvl w:val="0"/>
                <w:numId w:val="22"/>
              </w:numPr>
              <w:spacing w:before="0" w:after="0"/>
              <w:ind w:hanging="290"/>
              <w:jc w:val="left"/>
              <w:rPr>
                <w:noProof/>
                <w:szCs w:val="24"/>
              </w:rPr>
            </w:pPr>
            <w:r w:rsidRPr="005C3B55">
              <w:rPr>
                <w:szCs w:val="24"/>
              </w:rPr>
              <w:t>The reduction of the balance surplus of nitrogen at the national level in the 1992–2012 period due to the reduction in the total input of nitrogen on agricultural land (-19.2 per cent).</w:t>
            </w:r>
          </w:p>
          <w:p w:rsidR="00BD3B5F" w:rsidRPr="005C3B55" w:rsidRDefault="00BD3B5F" w:rsidP="00BD3B5F">
            <w:pPr>
              <w:numPr>
                <w:ilvl w:val="0"/>
                <w:numId w:val="22"/>
              </w:numPr>
              <w:spacing w:before="0" w:after="0"/>
              <w:ind w:hanging="290"/>
              <w:jc w:val="left"/>
              <w:rPr>
                <w:noProof/>
                <w:szCs w:val="24"/>
              </w:rPr>
            </w:pPr>
            <w:r w:rsidRPr="005C3B55">
              <w:rPr>
                <w:szCs w:val="24"/>
              </w:rPr>
              <w:t>Exceptionally high amount of natural water sources.</w:t>
            </w:r>
          </w:p>
          <w:p w:rsidR="00BD3B5F" w:rsidRPr="005C3B55" w:rsidRDefault="00BD3B5F" w:rsidP="00BD3B5F">
            <w:pPr>
              <w:numPr>
                <w:ilvl w:val="0"/>
                <w:numId w:val="22"/>
              </w:numPr>
              <w:spacing w:before="0" w:after="0"/>
              <w:ind w:hanging="290"/>
              <w:jc w:val="left"/>
              <w:rPr>
                <w:noProof/>
                <w:szCs w:val="24"/>
              </w:rPr>
            </w:pPr>
            <w:r w:rsidRPr="005C3B55">
              <w:rPr>
                <w:szCs w:val="24"/>
              </w:rPr>
              <w:t>About one-third of groundwater which is pumped for drinking is of sufficient quality to be supplied to consumers in its natural condition without additional processing.</w:t>
            </w:r>
          </w:p>
          <w:p w:rsidR="00BD3B5F" w:rsidRPr="005C3B55" w:rsidRDefault="00BD3B5F" w:rsidP="00BD3B5F">
            <w:pPr>
              <w:numPr>
                <w:ilvl w:val="0"/>
                <w:numId w:val="22"/>
              </w:numPr>
              <w:spacing w:before="0" w:after="0"/>
              <w:ind w:hanging="290"/>
              <w:jc w:val="left"/>
              <w:rPr>
                <w:noProof/>
                <w:szCs w:val="24"/>
              </w:rPr>
            </w:pPr>
            <w:r w:rsidRPr="005C3B55">
              <w:rPr>
                <w:szCs w:val="24"/>
              </w:rPr>
              <w:t>Good quantity status of groundwater.</w:t>
            </w:r>
          </w:p>
          <w:p w:rsidR="00BD3B5F" w:rsidRPr="005C3B55" w:rsidRDefault="00BD3B5F" w:rsidP="00BD3B5F">
            <w:pPr>
              <w:numPr>
                <w:ilvl w:val="0"/>
                <w:numId w:val="22"/>
              </w:numPr>
              <w:spacing w:before="0" w:after="0"/>
              <w:ind w:hanging="290"/>
              <w:jc w:val="left"/>
              <w:rPr>
                <w:noProof/>
                <w:szCs w:val="24"/>
              </w:rPr>
            </w:pPr>
            <w:r w:rsidRPr="005C3B55">
              <w:rPr>
                <w:szCs w:val="24"/>
              </w:rPr>
              <w:t>Good chemical status of the major share of surface water (96.1 per cent).</w:t>
            </w:r>
          </w:p>
          <w:p w:rsidR="00BD3B5F" w:rsidRPr="005C3B55" w:rsidRDefault="00BD3B5F" w:rsidP="00BD3B5F">
            <w:pPr>
              <w:numPr>
                <w:ilvl w:val="0"/>
                <w:numId w:val="22"/>
              </w:numPr>
              <w:spacing w:before="0" w:after="0"/>
              <w:ind w:hanging="290"/>
              <w:jc w:val="left"/>
              <w:rPr>
                <w:noProof/>
                <w:szCs w:val="24"/>
              </w:rPr>
            </w:pPr>
            <w:r w:rsidRPr="005C3B55">
              <w:rPr>
                <w:szCs w:val="24"/>
              </w:rPr>
              <w:t>The legislation stipulates that the use of water must be programmed, planned and implemented so as not to worsen the condition of water.</w:t>
            </w:r>
            <w:r w:rsidRPr="005C3B55">
              <w:rPr>
                <w:noProof/>
                <w:szCs w:val="24"/>
              </w:rPr>
              <w:t xml:space="preserve"> </w:t>
            </w:r>
            <w:r w:rsidRPr="005C3B55">
              <w:rPr>
                <w:szCs w:val="24"/>
              </w:rPr>
              <w:t>The enforcement of water protection regimes on state territory which also determine restrictions on water use, determine prohibitions on construction, land and forest management.</w:t>
            </w:r>
          </w:p>
          <w:p w:rsidR="00BD3B5F" w:rsidRPr="005C3B55" w:rsidRDefault="00BD3B5F" w:rsidP="00BD3B5F">
            <w:pPr>
              <w:numPr>
                <w:ilvl w:val="0"/>
                <w:numId w:val="22"/>
              </w:numPr>
              <w:spacing w:before="0" w:after="0"/>
              <w:ind w:hanging="290"/>
              <w:jc w:val="left"/>
              <w:rPr>
                <w:noProof/>
                <w:szCs w:val="24"/>
              </w:rPr>
            </w:pPr>
            <w:r w:rsidRPr="005C3B55">
              <w:rPr>
                <w:szCs w:val="24"/>
              </w:rPr>
              <w:t>Greenhouse gas emissions and ammonia emissions from agriculture have been gradually decreasing in the last two decades.</w:t>
            </w:r>
          </w:p>
          <w:p w:rsidR="00BD3B5F" w:rsidRPr="005C3B55" w:rsidRDefault="00BD3B5F" w:rsidP="00BD3B5F">
            <w:pPr>
              <w:numPr>
                <w:ilvl w:val="0"/>
                <w:numId w:val="22"/>
              </w:numPr>
              <w:spacing w:before="0" w:after="0"/>
              <w:ind w:hanging="290"/>
              <w:jc w:val="left"/>
              <w:rPr>
                <w:noProof/>
                <w:szCs w:val="24"/>
              </w:rPr>
            </w:pPr>
            <w:r w:rsidRPr="005C3B55">
              <w:rPr>
                <w:szCs w:val="24"/>
              </w:rPr>
              <w:t>Changes in size structure show that the concentration of agricultural land is continuing.</w:t>
            </w:r>
          </w:p>
          <w:p w:rsidR="00BD3B5F" w:rsidRPr="005C3B55" w:rsidRDefault="00BD3B5F" w:rsidP="00BD3B5F">
            <w:pPr>
              <w:numPr>
                <w:ilvl w:val="0"/>
                <w:numId w:val="22"/>
              </w:numPr>
              <w:spacing w:before="0" w:after="0"/>
              <w:ind w:hanging="290"/>
              <w:jc w:val="left"/>
              <w:rPr>
                <w:noProof/>
                <w:szCs w:val="24"/>
              </w:rPr>
            </w:pPr>
            <w:r w:rsidRPr="005C3B55">
              <w:rPr>
                <w:szCs w:val="24"/>
              </w:rPr>
              <w:t>The increase in interest in implementing agricultural amelioration and land consolidation and the introduction of irrigation systems in the 2007–2013 programming period is an advantage exclusively from the aspect of economic effects of these interventions on agricultural competitiveness.</w:t>
            </w:r>
          </w:p>
          <w:p w:rsidR="00BD3B5F" w:rsidRPr="005C3B55" w:rsidRDefault="00BD3B5F" w:rsidP="00BD3B5F">
            <w:pPr>
              <w:numPr>
                <w:ilvl w:val="0"/>
                <w:numId w:val="22"/>
              </w:numPr>
              <w:spacing w:before="0" w:after="0"/>
              <w:ind w:hanging="290"/>
              <w:jc w:val="left"/>
              <w:rPr>
                <w:noProof/>
                <w:szCs w:val="24"/>
              </w:rPr>
            </w:pPr>
            <w:r w:rsidRPr="005C3B55">
              <w:rPr>
                <w:szCs w:val="24"/>
              </w:rPr>
              <w:t>Good legislation on interventions in the environment (example:</w:t>
            </w:r>
            <w:r w:rsidRPr="005C3B55">
              <w:rPr>
                <w:noProof/>
                <w:szCs w:val="24"/>
              </w:rPr>
              <w:t xml:space="preserve"> </w:t>
            </w:r>
            <w:r w:rsidRPr="005C3B55">
              <w:rPr>
                <w:szCs w:val="24"/>
              </w:rPr>
              <w:t>ameliorations), which for individual operations determines the preliminary acquisition of appropriate environmental protection and water permits, water and other approvals, the determination of ecologically acceptable flows in the case of water permits thus reducing pressure on the environment due to ameliorations in the field of hydromorphology and preservation of types and habitats.</w:t>
            </w:r>
            <w:r w:rsidRPr="005C3B55">
              <w:rPr>
                <w:noProof/>
                <w:szCs w:val="24"/>
              </w:rPr>
              <w:t xml:space="preserve"> </w:t>
            </w:r>
            <w:r w:rsidRPr="005C3B55">
              <w:rPr>
                <w:szCs w:val="24"/>
              </w:rPr>
              <w:t>A preliminary assessment and environmental impact assessment are required for areas of land above certain thresholds.</w:t>
            </w:r>
          </w:p>
          <w:p w:rsidR="00BD3B5F" w:rsidRPr="005C3B55" w:rsidRDefault="00BD3B5F" w:rsidP="00BD3B5F">
            <w:pPr>
              <w:numPr>
                <w:ilvl w:val="0"/>
                <w:numId w:val="22"/>
              </w:numPr>
              <w:spacing w:before="0" w:after="0"/>
              <w:ind w:hanging="290"/>
              <w:jc w:val="left"/>
              <w:rPr>
                <w:noProof/>
                <w:szCs w:val="24"/>
              </w:rPr>
            </w:pPr>
            <w:r w:rsidRPr="005C3B55">
              <w:rPr>
                <w:szCs w:val="24"/>
              </w:rPr>
              <w:t>Drainage of agricultural land has not been permitted in Slovenia since 1991.</w:t>
            </w:r>
          </w:p>
          <w:p w:rsidR="00BD3B5F" w:rsidRPr="005C3B55" w:rsidRDefault="00BD3B5F" w:rsidP="00BD3B5F">
            <w:pPr>
              <w:numPr>
                <w:ilvl w:val="0"/>
                <w:numId w:val="22"/>
              </w:numPr>
              <w:spacing w:before="0" w:after="0"/>
              <w:ind w:hanging="290"/>
              <w:jc w:val="left"/>
              <w:rPr>
                <w:noProof/>
                <w:szCs w:val="24"/>
              </w:rPr>
            </w:pPr>
            <w:r w:rsidRPr="005C3B55">
              <w:rPr>
                <w:szCs w:val="24"/>
              </w:rPr>
              <w:t>Professionalisation in agriculture is increasing, which is shown in the higher levels of formal education of owners of agricultural holdings.</w:t>
            </w:r>
          </w:p>
          <w:p w:rsidR="00BD3B5F" w:rsidRPr="005C3B55" w:rsidRDefault="00BD3B5F" w:rsidP="00BD3B5F">
            <w:pPr>
              <w:numPr>
                <w:ilvl w:val="0"/>
                <w:numId w:val="22"/>
              </w:numPr>
              <w:spacing w:before="0" w:after="0"/>
              <w:ind w:hanging="290"/>
              <w:jc w:val="left"/>
              <w:rPr>
                <w:noProof/>
                <w:szCs w:val="24"/>
              </w:rPr>
            </w:pPr>
            <w:r w:rsidRPr="005C3B55">
              <w:rPr>
                <w:szCs w:val="24"/>
              </w:rPr>
              <w:t>Increase in the number of registered supplementary farm activities.</w:t>
            </w:r>
          </w:p>
          <w:p w:rsidR="00BD3B5F" w:rsidRPr="005C3B55" w:rsidRDefault="00BD3B5F" w:rsidP="00BD3B5F">
            <w:pPr>
              <w:numPr>
                <w:ilvl w:val="0"/>
                <w:numId w:val="22"/>
              </w:numPr>
              <w:spacing w:before="0" w:after="0"/>
              <w:ind w:hanging="290"/>
              <w:jc w:val="left"/>
              <w:rPr>
                <w:noProof/>
                <w:szCs w:val="24"/>
              </w:rPr>
            </w:pPr>
            <w:r w:rsidRPr="005C3B55">
              <w:rPr>
                <w:szCs w:val="24"/>
              </w:rPr>
              <w:t>Increased interest in organic farming, which is shown in the increase in the number of organic agricultural holdings and the scope of land which is farmed organically.</w:t>
            </w:r>
          </w:p>
          <w:p w:rsidR="00BD3B5F" w:rsidRPr="005C3B55" w:rsidRDefault="00BD3B5F" w:rsidP="00BD3B5F">
            <w:pPr>
              <w:numPr>
                <w:ilvl w:val="0"/>
                <w:numId w:val="22"/>
              </w:numPr>
              <w:spacing w:before="0" w:after="0"/>
              <w:ind w:hanging="290"/>
              <w:jc w:val="left"/>
              <w:rPr>
                <w:noProof/>
                <w:szCs w:val="24"/>
              </w:rPr>
            </w:pPr>
            <w:r w:rsidRPr="005C3B55">
              <w:rPr>
                <w:szCs w:val="24"/>
              </w:rPr>
              <w:t>Appropriate environmental conditions for organic farming.</w:t>
            </w:r>
          </w:p>
          <w:p w:rsidR="00BD3B5F" w:rsidRPr="005C3B55" w:rsidRDefault="00BD3B5F" w:rsidP="00BD3B5F">
            <w:pPr>
              <w:numPr>
                <w:ilvl w:val="0"/>
                <w:numId w:val="22"/>
              </w:numPr>
              <w:spacing w:before="0" w:after="0"/>
              <w:ind w:hanging="290"/>
              <w:jc w:val="left"/>
              <w:rPr>
                <w:noProof/>
                <w:szCs w:val="24"/>
              </w:rPr>
            </w:pPr>
            <w:r w:rsidRPr="005C3B55">
              <w:rPr>
                <w:szCs w:val="24"/>
              </w:rPr>
              <w:t>Cooperatives play an important role in connecting primary producers, ensuring the purchase of farm products and their processing, ensuring intermediate goods and other services for the wider rural population.</w:t>
            </w:r>
          </w:p>
          <w:p w:rsidR="00BD3B5F" w:rsidRPr="005C3B55" w:rsidRDefault="00BD3B5F" w:rsidP="00BD3B5F">
            <w:pPr>
              <w:numPr>
                <w:ilvl w:val="0"/>
                <w:numId w:val="22"/>
              </w:numPr>
              <w:spacing w:before="0" w:after="0"/>
              <w:ind w:hanging="290"/>
              <w:jc w:val="left"/>
              <w:rPr>
                <w:noProof/>
                <w:szCs w:val="24"/>
              </w:rPr>
            </w:pPr>
            <w:r w:rsidRPr="005C3B55">
              <w:rPr>
                <w:szCs w:val="24"/>
              </w:rPr>
              <w:t>Established system of quality schemes and slight increase in the number of products in quality schemes.</w:t>
            </w:r>
          </w:p>
          <w:p w:rsidR="00BD3B5F" w:rsidRPr="005C3B55" w:rsidRDefault="00BD3B5F" w:rsidP="00BD3B5F">
            <w:pPr>
              <w:numPr>
                <w:ilvl w:val="0"/>
                <w:numId w:val="22"/>
              </w:numPr>
              <w:spacing w:before="0" w:after="0"/>
              <w:ind w:hanging="290"/>
              <w:jc w:val="left"/>
              <w:rPr>
                <w:noProof/>
                <w:szCs w:val="24"/>
              </w:rPr>
            </w:pPr>
            <w:r w:rsidRPr="005C3B55">
              <w:rPr>
                <w:szCs w:val="24"/>
              </w:rPr>
              <w:t>The food processing industry is strongly integrated with domestic purchase sources, and has one of the greatest multiplicative effects on the economy.</w:t>
            </w:r>
            <w:r w:rsidRPr="005C3B55">
              <w:rPr>
                <w:noProof/>
                <w:szCs w:val="24"/>
              </w:rPr>
              <w:t xml:space="preserve"> </w:t>
            </w:r>
            <w:r w:rsidRPr="005C3B55">
              <w:rPr>
                <w:szCs w:val="24"/>
              </w:rPr>
              <w:t>The food processing industry is a key purchaser of materials and goods, thus having a great impact on the preservation and further development of agricultural production.</w:t>
            </w:r>
          </w:p>
          <w:p w:rsidR="00BD3B5F" w:rsidRPr="005C3B55" w:rsidRDefault="00BD3B5F" w:rsidP="00BD3B5F">
            <w:pPr>
              <w:numPr>
                <w:ilvl w:val="0"/>
                <w:numId w:val="22"/>
              </w:numPr>
              <w:spacing w:before="0" w:after="0"/>
              <w:ind w:hanging="290"/>
              <w:jc w:val="left"/>
              <w:rPr>
                <w:noProof/>
                <w:szCs w:val="24"/>
              </w:rPr>
            </w:pPr>
            <w:r w:rsidRPr="005C3B55">
              <w:rPr>
                <w:szCs w:val="24"/>
              </w:rPr>
              <w:t>Dispersal of organisational units of agricultural advisory and public forestry services that provide advice in the field of agriculture and forestry in Slovenia.</w:t>
            </w:r>
          </w:p>
          <w:p w:rsidR="00BD3B5F" w:rsidRPr="005C3B55" w:rsidRDefault="00BD3B5F" w:rsidP="00BD3B5F">
            <w:pPr>
              <w:numPr>
                <w:ilvl w:val="0"/>
                <w:numId w:val="22"/>
              </w:numPr>
              <w:spacing w:before="0" w:after="0"/>
              <w:ind w:hanging="290"/>
              <w:jc w:val="left"/>
              <w:rPr>
                <w:noProof/>
                <w:szCs w:val="24"/>
              </w:rPr>
            </w:pPr>
            <w:r w:rsidRPr="005C3B55">
              <w:rPr>
                <w:szCs w:val="24"/>
              </w:rPr>
              <w:t>The transfer of knowledge to the final user in agriculture is organised in the form of a public advisory service, a service for plant health protection, expert tasks in plant production, advisory services in beekeeping and expert tasks in livestock farming.</w:t>
            </w:r>
          </w:p>
          <w:p w:rsidR="00BD3B5F" w:rsidRPr="005C3B55" w:rsidRDefault="00BD3B5F" w:rsidP="00BD3B5F">
            <w:pPr>
              <w:numPr>
                <w:ilvl w:val="0"/>
                <w:numId w:val="22"/>
              </w:numPr>
              <w:spacing w:before="0" w:after="0"/>
              <w:ind w:hanging="290"/>
              <w:jc w:val="left"/>
              <w:rPr>
                <w:noProof/>
                <w:szCs w:val="24"/>
              </w:rPr>
            </w:pPr>
            <w:r w:rsidRPr="005C3B55">
              <w:rPr>
                <w:szCs w:val="24"/>
              </w:rPr>
              <w:t>There are numerous research and educational institutions in Slovenia which have an important role in the generation and transfer of knowledge in the field of agriculture and forestry.</w:t>
            </w:r>
            <w:r w:rsidRPr="005C3B55">
              <w:rPr>
                <w:noProof/>
                <w:szCs w:val="24"/>
              </w:rPr>
              <w:t xml:space="preserve"> </w:t>
            </w:r>
            <w:r w:rsidRPr="005C3B55">
              <w:rPr>
                <w:szCs w:val="24"/>
              </w:rPr>
              <w:t>Their research work is supported by target research programme projects, which are co-financed by line ministry.</w:t>
            </w:r>
            <w:r w:rsidRPr="005C3B55">
              <w:rPr>
                <w:noProof/>
                <w:szCs w:val="24"/>
              </w:rPr>
              <w:t xml:space="preserve"> </w:t>
            </w:r>
            <w:r w:rsidRPr="005C3B55">
              <w:rPr>
                <w:szCs w:val="24"/>
              </w:rPr>
              <w:t>Target research programmes were designed as a special programme structure of the National Research Programme and as support for sector development planning.</w:t>
            </w:r>
          </w:p>
          <w:p w:rsidR="00BD3B5F" w:rsidRPr="005C3B55" w:rsidRDefault="00BD3B5F" w:rsidP="00BD3B5F">
            <w:pPr>
              <w:numPr>
                <w:ilvl w:val="0"/>
                <w:numId w:val="22"/>
              </w:numPr>
              <w:spacing w:before="0" w:after="0"/>
              <w:ind w:hanging="290"/>
              <w:jc w:val="left"/>
              <w:rPr>
                <w:noProof/>
                <w:szCs w:val="24"/>
              </w:rPr>
            </w:pPr>
            <w:r w:rsidRPr="005C3B55">
              <w:rPr>
                <w:szCs w:val="24"/>
              </w:rPr>
              <w:t>In terms of forest cover, Slovenia ranks third among EU countries, immediately after Finland and Sweden, since slightly less than two-thirds of the territory (58.4 per cent) is covered with forests.</w:t>
            </w:r>
            <w:r w:rsidRPr="005C3B55">
              <w:rPr>
                <w:noProof/>
                <w:szCs w:val="24"/>
              </w:rPr>
              <w:t xml:space="preserve"> </w:t>
            </w:r>
            <w:r w:rsidRPr="005C3B55">
              <w:rPr>
                <w:szCs w:val="24"/>
              </w:rPr>
              <w:t>Forests are an important source of drinking water, and their contribution to improving the quality of air, sequestration of carbon dioxide and mitigation of the consequences of climate change is irreplaceable. They are also important sources of wood and wood biomass.</w:t>
            </w:r>
          </w:p>
          <w:p w:rsidR="00BD3B5F" w:rsidRPr="005C3B55" w:rsidRDefault="00BD3B5F" w:rsidP="00BD3B5F">
            <w:pPr>
              <w:numPr>
                <w:ilvl w:val="0"/>
                <w:numId w:val="22"/>
              </w:numPr>
              <w:spacing w:before="0" w:after="0"/>
              <w:ind w:hanging="290"/>
              <w:jc w:val="left"/>
              <w:rPr>
                <w:noProof/>
                <w:szCs w:val="24"/>
              </w:rPr>
            </w:pPr>
            <w:r w:rsidRPr="005C3B55">
              <w:rPr>
                <w:szCs w:val="24"/>
              </w:rPr>
              <w:t>Preserved forest ecosystems are the foundation of biodiversity, which is also the basis of forests as a natural resource.</w:t>
            </w:r>
            <w:r w:rsidRPr="005C3B55">
              <w:rPr>
                <w:noProof/>
                <w:szCs w:val="24"/>
              </w:rPr>
              <w:t xml:space="preserve"> </w:t>
            </w:r>
            <w:r w:rsidRPr="005C3B55">
              <w:rPr>
                <w:szCs w:val="24"/>
              </w:rPr>
              <w:t>The condition of beech forests that make up most of the forests in Slovenia is favourable and is preserved or even improved with the help of appropriate forest practice.</w:t>
            </w:r>
            <w:r w:rsidRPr="005C3B55">
              <w:rPr>
                <w:noProof/>
                <w:szCs w:val="24"/>
              </w:rPr>
              <w:t xml:space="preserve"> </w:t>
            </w:r>
            <w:r w:rsidRPr="005C3B55">
              <w:rPr>
                <w:szCs w:val="24"/>
              </w:rPr>
              <w:t>Forest management is directed by forest management plans which ensure the sustainable and multi-purpose management of forests.</w:t>
            </w:r>
          </w:p>
          <w:p w:rsidR="00BD3B5F" w:rsidRPr="005C3B55" w:rsidRDefault="00BD3B5F" w:rsidP="00BD3B5F">
            <w:pPr>
              <w:numPr>
                <w:ilvl w:val="0"/>
                <w:numId w:val="22"/>
              </w:numPr>
              <w:spacing w:before="0" w:after="0"/>
              <w:ind w:hanging="290"/>
              <w:jc w:val="left"/>
              <w:rPr>
                <w:noProof/>
                <w:szCs w:val="24"/>
              </w:rPr>
            </w:pPr>
            <w:r w:rsidRPr="005C3B55">
              <w:rPr>
                <w:szCs w:val="24"/>
              </w:rPr>
              <w:t>The increase in labour productivity and factor income in forestry.</w:t>
            </w:r>
          </w:p>
          <w:p w:rsidR="00BD3B5F" w:rsidRPr="005C3B55" w:rsidRDefault="00BD3B5F" w:rsidP="00BD3B5F">
            <w:pPr>
              <w:numPr>
                <w:ilvl w:val="0"/>
                <w:numId w:val="22"/>
              </w:numPr>
              <w:spacing w:before="0" w:after="0"/>
              <w:ind w:hanging="290"/>
              <w:jc w:val="left"/>
              <w:rPr>
                <w:noProof/>
                <w:szCs w:val="24"/>
              </w:rPr>
            </w:pPr>
            <w:r w:rsidRPr="005C3B55">
              <w:rPr>
                <w:szCs w:val="24"/>
              </w:rPr>
              <w:t>Contribution of investments in forest mechanisation and equipment, as well as forest roads, which were supported in the 2007–2013 programming period, contribute to increasing safety at work in forests, reducing skidding distances and reducing the costs of felling and skidding.</w:t>
            </w:r>
          </w:p>
          <w:p w:rsidR="00BD3B5F" w:rsidRPr="005C3B55" w:rsidRDefault="00BD3B5F" w:rsidP="00BD3B5F">
            <w:pPr>
              <w:numPr>
                <w:ilvl w:val="0"/>
                <w:numId w:val="22"/>
              </w:numPr>
              <w:spacing w:before="0" w:after="0"/>
              <w:ind w:hanging="290"/>
              <w:jc w:val="left"/>
              <w:rPr>
                <w:noProof/>
                <w:szCs w:val="24"/>
              </w:rPr>
            </w:pPr>
            <w:r w:rsidRPr="005C3B55">
              <w:rPr>
                <w:szCs w:val="24"/>
              </w:rPr>
              <w:t>Many years of experience in the implementation of programmes for comprehensive rural development and the active involvement of local communities and population in development planning.</w:t>
            </w:r>
          </w:p>
          <w:p w:rsidR="00BD3B5F" w:rsidRPr="005C3B55" w:rsidRDefault="00BD3B5F" w:rsidP="00BD3B5F">
            <w:pPr>
              <w:numPr>
                <w:ilvl w:val="0"/>
                <w:numId w:val="22"/>
              </w:numPr>
              <w:spacing w:before="0" w:after="0"/>
              <w:ind w:hanging="290"/>
              <w:jc w:val="left"/>
              <w:rPr>
                <w:noProof/>
                <w:szCs w:val="24"/>
              </w:rPr>
            </w:pPr>
            <w:r w:rsidRPr="005C3B55">
              <w:rPr>
                <w:szCs w:val="24"/>
              </w:rPr>
              <w:t>The LEADER measures in the 2007–2013 programming period proved to be successful tools for the realising local development needs.</w:t>
            </w:r>
          </w:p>
          <w:p w:rsidR="00BD3B5F" w:rsidRPr="005C3B55" w:rsidRDefault="00BD3B5F" w:rsidP="00BD3B5F">
            <w:pPr>
              <w:numPr>
                <w:ilvl w:val="0"/>
                <w:numId w:val="22"/>
              </w:numPr>
              <w:spacing w:before="0" w:after="240"/>
              <w:ind w:hanging="290"/>
              <w:jc w:val="left"/>
              <w:rPr>
                <w:noProof/>
                <w:szCs w:val="24"/>
              </w:rPr>
            </w:pPr>
            <w:r w:rsidRPr="005C3B55">
              <w:rPr>
                <w:szCs w:val="24"/>
              </w:rPr>
              <w:t>Great interest in local development initiatives and among the population in implementing projects according to the ‘bottom-up’ approach.</w:t>
            </w:r>
          </w:p>
          <w:p w:rsidR="00BD3B5F" w:rsidRPr="005C3B55" w:rsidRDefault="00BD3B5F">
            <w:pPr>
              <w:pStyle w:val="Telobesedila"/>
              <w:rPr>
                <w:szCs w:val="24"/>
              </w:rPr>
            </w:pPr>
          </w:p>
        </w:tc>
      </w:tr>
    </w:tbl>
    <w:p w:rsidR="00BD3B5F" w:rsidRPr="005C3B55" w:rsidRDefault="00BD3B5F" w:rsidP="0014388E">
      <w:pPr>
        <w:pStyle w:val="Naslov3"/>
        <w:tabs>
          <w:tab w:val="clear" w:pos="765"/>
        </w:tabs>
        <w:ind w:left="0" w:firstLine="0"/>
        <w:jc w:val="left"/>
        <w:rPr>
          <w:szCs w:val="24"/>
          <w:lang w:val="en-GB"/>
        </w:rPr>
      </w:pPr>
      <w:bookmarkStart w:id="46" w:name="_Toc416192504"/>
      <w:r w:rsidRPr="005C3B55">
        <w:rPr>
          <w:szCs w:val="24"/>
          <w:lang w:val="en-GB"/>
        </w:rPr>
        <w:t>Weaknesses determined in the programme area</w:t>
      </w:r>
      <w:bookmarkEnd w:id="46"/>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10656" w:type="dxa"/>
          </w:tcPr>
          <w:p w:rsidR="00BD3B5F" w:rsidRPr="005C3B55" w:rsidRDefault="00BD3B5F" w:rsidP="00BD3B5F">
            <w:pPr>
              <w:numPr>
                <w:ilvl w:val="0"/>
                <w:numId w:val="23"/>
              </w:numPr>
              <w:spacing w:before="0" w:after="0"/>
              <w:ind w:hanging="290"/>
              <w:jc w:val="left"/>
              <w:rPr>
                <w:noProof/>
                <w:szCs w:val="24"/>
              </w:rPr>
            </w:pPr>
            <w:r w:rsidRPr="005C3B55">
              <w:rPr>
                <w:szCs w:val="24"/>
              </w:rPr>
              <w:t>Inappropriate or poor status of many habitat types from the aspect of preserving biodiversity, among which grassland and freshwater habitat types are most exposed to the impacts of agriculture.</w:t>
            </w:r>
          </w:p>
          <w:p w:rsidR="00BD3B5F" w:rsidRPr="005C3B55" w:rsidRDefault="00BD3B5F" w:rsidP="00BD3B5F">
            <w:pPr>
              <w:numPr>
                <w:ilvl w:val="0"/>
                <w:numId w:val="23"/>
              </w:numPr>
              <w:spacing w:before="0" w:after="0"/>
              <w:ind w:hanging="290"/>
              <w:jc w:val="left"/>
              <w:rPr>
                <w:noProof/>
                <w:szCs w:val="24"/>
              </w:rPr>
            </w:pPr>
            <w:r w:rsidRPr="005C3B55">
              <w:rPr>
                <w:szCs w:val="24"/>
              </w:rPr>
              <w:t xml:space="preserve">Worsening of the status of grassland habitat types related to the agricultural landscape, which is shown in </w:t>
            </w:r>
            <w:r w:rsidR="0014388E" w:rsidRPr="005C3B55">
              <w:rPr>
                <w:szCs w:val="24"/>
              </w:rPr>
              <w:t>reduced</w:t>
            </w:r>
            <w:r w:rsidRPr="005C3B55">
              <w:rPr>
                <w:szCs w:val="24"/>
              </w:rPr>
              <w:t xml:space="preserve"> populations of certain species of birds in the agricultural landscape.</w:t>
            </w:r>
            <w:r w:rsidRPr="005C3B55">
              <w:rPr>
                <w:noProof/>
                <w:szCs w:val="24"/>
              </w:rPr>
              <w:t xml:space="preserve"> </w:t>
            </w:r>
            <w:r w:rsidRPr="005C3B55">
              <w:rPr>
                <w:szCs w:val="24"/>
              </w:rPr>
              <w:t xml:space="preserve">These areas are primarily extensive grasslands and various wet-land habitats (dry grasslands on various bases, wet meadows, </w:t>
            </w:r>
            <w:r w:rsidRPr="005C3B55">
              <w:rPr>
                <w:i/>
                <w:szCs w:val="24"/>
              </w:rPr>
              <w:t>Fraxinus excelsior</w:t>
            </w:r>
            <w:r w:rsidRPr="005C3B55">
              <w:rPr>
                <w:szCs w:val="24"/>
              </w:rPr>
              <w:t>).</w:t>
            </w:r>
            <w:r w:rsidRPr="005C3B55">
              <w:rPr>
                <w:noProof/>
                <w:szCs w:val="24"/>
              </w:rPr>
              <w:t xml:space="preserve"> </w:t>
            </w:r>
            <w:r w:rsidRPr="005C3B55">
              <w:rPr>
                <w:szCs w:val="24"/>
              </w:rPr>
              <w:t>Grassland habitats are also endangered by various farming methods, from converting to arable land, mowing and pasturing intensification to fertilisation; they are also endangered by overgrowing due to the termination of mowing.</w:t>
            </w:r>
          </w:p>
          <w:p w:rsidR="00BD3B5F" w:rsidRPr="005C3B55" w:rsidRDefault="00BD3B5F" w:rsidP="00BD3B5F">
            <w:pPr>
              <w:numPr>
                <w:ilvl w:val="0"/>
                <w:numId w:val="23"/>
              </w:numPr>
              <w:spacing w:before="0" w:after="0"/>
              <w:ind w:hanging="290"/>
              <w:jc w:val="left"/>
              <w:rPr>
                <w:noProof/>
                <w:szCs w:val="24"/>
              </w:rPr>
            </w:pPr>
            <w:r w:rsidRPr="005C3B55">
              <w:rPr>
                <w:szCs w:val="24"/>
              </w:rPr>
              <w:t>The decreasing trend in some birds of the agricultural landscape is also typical and the consequence of intensified agriculture (reduction in versatility, amelioration, reduction of meadows, intensity of meadow use, elimination of hedges).</w:t>
            </w:r>
          </w:p>
          <w:p w:rsidR="00BD3B5F" w:rsidRPr="005C3B55" w:rsidRDefault="00BD3B5F" w:rsidP="00BD3B5F">
            <w:pPr>
              <w:numPr>
                <w:ilvl w:val="0"/>
                <w:numId w:val="23"/>
              </w:numPr>
              <w:spacing w:before="0" w:after="0"/>
              <w:ind w:hanging="290"/>
              <w:jc w:val="left"/>
              <w:rPr>
                <w:noProof/>
                <w:szCs w:val="24"/>
              </w:rPr>
            </w:pPr>
            <w:r w:rsidRPr="005C3B55">
              <w:rPr>
                <w:szCs w:val="24"/>
              </w:rPr>
              <w:t>Many minority habitat types connected to forests are in an unfavourable or poor condition from the aspect of biodiversity preservation, which is mostly seen in the deterioration in populations of certain species of forest birds (these mostly concern various habitats on wet land, river and marsh forests).</w:t>
            </w:r>
            <w:r w:rsidRPr="005C3B55">
              <w:rPr>
                <w:noProof/>
                <w:szCs w:val="24"/>
              </w:rPr>
              <w:t xml:space="preserve"> </w:t>
            </w:r>
            <w:r w:rsidRPr="005C3B55">
              <w:rPr>
                <w:szCs w:val="24"/>
              </w:rPr>
              <w:t>Other factors impact the preservation of minority forest habitat types besides forestry, including water management and agricultural activities.</w:t>
            </w:r>
          </w:p>
          <w:p w:rsidR="00BD3B5F" w:rsidRPr="005C3B55" w:rsidRDefault="00BD3B5F" w:rsidP="00BD3B5F">
            <w:pPr>
              <w:numPr>
                <w:ilvl w:val="0"/>
                <w:numId w:val="23"/>
              </w:numPr>
              <w:spacing w:before="0" w:after="0"/>
              <w:ind w:hanging="290"/>
              <w:jc w:val="left"/>
              <w:rPr>
                <w:noProof/>
                <w:szCs w:val="24"/>
              </w:rPr>
            </w:pPr>
            <w:r w:rsidRPr="005C3B55">
              <w:rPr>
                <w:szCs w:val="24"/>
              </w:rPr>
              <w:t>Excessive burden on groundwater with nitrates and pesticides as well as their dissolution products in individual areas (the Savinja, Drava and Mura River basins).</w:t>
            </w:r>
            <w:r w:rsidRPr="005C3B55">
              <w:rPr>
                <w:noProof/>
                <w:szCs w:val="24"/>
              </w:rPr>
              <w:t xml:space="preserve"> </w:t>
            </w:r>
            <w:r w:rsidRPr="005C3B55">
              <w:rPr>
                <w:szCs w:val="24"/>
              </w:rPr>
              <w:t>This is caused primarily by intensive farming in flat areas, where aquifers with granular porosity are predominant.</w:t>
            </w:r>
          </w:p>
          <w:p w:rsidR="00BD3B5F" w:rsidRPr="005C3B55" w:rsidRDefault="00BD3B5F" w:rsidP="00BD3B5F">
            <w:pPr>
              <w:numPr>
                <w:ilvl w:val="0"/>
                <w:numId w:val="23"/>
              </w:numPr>
              <w:spacing w:before="0" w:after="0"/>
              <w:ind w:hanging="290"/>
              <w:jc w:val="left"/>
              <w:rPr>
                <w:noProof/>
                <w:szCs w:val="24"/>
              </w:rPr>
            </w:pPr>
            <w:r w:rsidRPr="005C3B55">
              <w:rPr>
                <w:szCs w:val="24"/>
              </w:rPr>
              <w:t>A great share of WB of surface water does not attain a good ecological status or good ecological potential.</w:t>
            </w:r>
            <w:r w:rsidRPr="005C3B55">
              <w:rPr>
                <w:noProof/>
                <w:szCs w:val="24"/>
              </w:rPr>
              <w:t xml:space="preserve"> </w:t>
            </w:r>
            <w:r w:rsidRPr="005C3B55">
              <w:rPr>
                <w:szCs w:val="24"/>
              </w:rPr>
              <w:t>Most water bodies are excessively burdened with nutrients, as well as an excessive burden of organic mass and special pollutants.</w:t>
            </w:r>
            <w:r w:rsidRPr="005C3B55">
              <w:rPr>
                <w:noProof/>
                <w:szCs w:val="24"/>
              </w:rPr>
              <w:t xml:space="preserve"> </w:t>
            </w:r>
            <w:r w:rsidRPr="005C3B55">
              <w:rPr>
                <w:szCs w:val="24"/>
              </w:rPr>
              <w:t>This has negative effects on the preservation of freshwater habitat types and species of European importance which are related to these habitats.</w:t>
            </w:r>
          </w:p>
          <w:p w:rsidR="00BD3B5F" w:rsidRPr="005C3B55" w:rsidRDefault="00BD3B5F" w:rsidP="00BD3B5F">
            <w:pPr>
              <w:numPr>
                <w:ilvl w:val="0"/>
                <w:numId w:val="23"/>
              </w:numPr>
              <w:spacing w:before="0" w:after="0"/>
              <w:ind w:hanging="290"/>
              <w:jc w:val="left"/>
              <w:rPr>
                <w:noProof/>
                <w:szCs w:val="24"/>
              </w:rPr>
            </w:pPr>
            <w:r w:rsidRPr="005C3B55">
              <w:rPr>
                <w:szCs w:val="24"/>
              </w:rPr>
              <w:t>Despite the fairly good supply of soil with organic matter, there is a risk of the content of organic matter being reduced in individual areas of NE Slovenia.</w:t>
            </w:r>
            <w:r w:rsidRPr="005C3B55">
              <w:rPr>
                <w:noProof/>
                <w:szCs w:val="24"/>
              </w:rPr>
              <w:t xml:space="preserve"> </w:t>
            </w:r>
            <w:r w:rsidRPr="005C3B55">
              <w:rPr>
                <w:szCs w:val="24"/>
              </w:rPr>
              <w:t>In these areas, soil is acidic, thus impacting soil fertility.</w:t>
            </w:r>
          </w:p>
          <w:p w:rsidR="00BD3B5F" w:rsidRPr="005C3B55" w:rsidRDefault="00BD3B5F" w:rsidP="00BD3B5F">
            <w:pPr>
              <w:numPr>
                <w:ilvl w:val="0"/>
                <w:numId w:val="23"/>
              </w:numPr>
              <w:spacing w:before="0" w:after="0"/>
              <w:ind w:hanging="290"/>
              <w:jc w:val="left"/>
              <w:rPr>
                <w:noProof/>
                <w:szCs w:val="24"/>
              </w:rPr>
            </w:pPr>
            <w:r w:rsidRPr="005C3B55">
              <w:rPr>
                <w:szCs w:val="24"/>
              </w:rPr>
              <w:t>Balance surplus of nitrogen.</w:t>
            </w:r>
            <w:r w:rsidRPr="005C3B55">
              <w:rPr>
                <w:noProof/>
                <w:szCs w:val="24"/>
              </w:rPr>
              <w:t xml:space="preserve"> </w:t>
            </w:r>
            <w:r w:rsidRPr="005C3B55">
              <w:rPr>
                <w:szCs w:val="24"/>
              </w:rPr>
              <w:t>The largest nitrogen surplus was established in the NE part of Slovenia (the Drava and Mura basins, Vzhodne Slovenske gorice).</w:t>
            </w:r>
          </w:p>
          <w:p w:rsidR="00BD3B5F" w:rsidRPr="005C3B55" w:rsidRDefault="00BD3B5F" w:rsidP="00BD3B5F">
            <w:pPr>
              <w:numPr>
                <w:ilvl w:val="0"/>
                <w:numId w:val="23"/>
              </w:numPr>
              <w:spacing w:before="0" w:after="0"/>
              <w:ind w:hanging="290"/>
              <w:jc w:val="left"/>
              <w:rPr>
                <w:noProof/>
                <w:szCs w:val="24"/>
              </w:rPr>
            </w:pPr>
            <w:r w:rsidRPr="005C3B55">
              <w:rPr>
                <w:szCs w:val="24"/>
              </w:rPr>
              <w:t>The scope of agricultural land is declining due to building and the overgrowing of agricultural land.</w:t>
            </w:r>
            <w:r w:rsidRPr="005C3B55">
              <w:rPr>
                <w:noProof/>
                <w:szCs w:val="24"/>
              </w:rPr>
              <w:t xml:space="preserve"> </w:t>
            </w:r>
            <w:r w:rsidRPr="005C3B55">
              <w:rPr>
                <w:szCs w:val="24"/>
              </w:rPr>
              <w:t>The overgrowing process is most marked in hilly areas with less favourable relief or lower quality soil.</w:t>
            </w:r>
          </w:p>
          <w:p w:rsidR="00BD3B5F" w:rsidRPr="005C3B55" w:rsidRDefault="00BD3B5F" w:rsidP="00BD3B5F">
            <w:pPr>
              <w:numPr>
                <w:ilvl w:val="0"/>
                <w:numId w:val="23"/>
              </w:numPr>
              <w:spacing w:before="0" w:after="0"/>
              <w:ind w:hanging="290"/>
              <w:jc w:val="left"/>
              <w:rPr>
                <w:noProof/>
                <w:szCs w:val="24"/>
              </w:rPr>
            </w:pPr>
            <w:r w:rsidRPr="005C3B55">
              <w:rPr>
                <w:szCs w:val="24"/>
              </w:rPr>
              <w:t>High risk areas with regard to soil erosion occur locally in Slovenia.</w:t>
            </w:r>
            <w:r w:rsidRPr="005C3B55">
              <w:rPr>
                <w:noProof/>
                <w:szCs w:val="24"/>
              </w:rPr>
              <w:t xml:space="preserve"> </w:t>
            </w:r>
            <w:r w:rsidRPr="005C3B55">
              <w:rPr>
                <w:szCs w:val="24"/>
              </w:rPr>
              <w:t>The erosion of agricultural land is caused primarily by water and wind and most notably on arable land.</w:t>
            </w:r>
          </w:p>
          <w:p w:rsidR="00BD3B5F" w:rsidRPr="005C3B55" w:rsidRDefault="00BD3B5F" w:rsidP="00BD3B5F">
            <w:pPr>
              <w:numPr>
                <w:ilvl w:val="0"/>
                <w:numId w:val="23"/>
              </w:numPr>
              <w:spacing w:before="0" w:after="0"/>
              <w:ind w:hanging="290"/>
              <w:jc w:val="left"/>
              <w:rPr>
                <w:noProof/>
                <w:szCs w:val="24"/>
              </w:rPr>
            </w:pPr>
            <w:r w:rsidRPr="005C3B55">
              <w:rPr>
                <w:szCs w:val="24"/>
              </w:rPr>
              <w:t>The consumption of pesticides per hectare of cultivated land in Slovenia is higher than in the majority of other EU countries, but comparable to countries with similar species of cultivated plants and similar production conditions.</w:t>
            </w:r>
            <w:r w:rsidRPr="005C3B55">
              <w:rPr>
                <w:noProof/>
                <w:szCs w:val="24"/>
              </w:rPr>
              <w:t xml:space="preserve"> </w:t>
            </w:r>
            <w:r w:rsidRPr="005C3B55">
              <w:rPr>
                <w:szCs w:val="24"/>
              </w:rPr>
              <w:t>Slovenia has a high share of permanent plantations (orchards, vineyards and hop plantations), where the use of plant protection products (primarily fungicides) per hectare is significantly higher than for cereals and most root crops.</w:t>
            </w:r>
          </w:p>
          <w:p w:rsidR="00BD3B5F" w:rsidRPr="005C3B55" w:rsidRDefault="00BD3B5F" w:rsidP="00BD3B5F">
            <w:pPr>
              <w:numPr>
                <w:ilvl w:val="0"/>
                <w:numId w:val="23"/>
              </w:numPr>
              <w:spacing w:before="0" w:after="0"/>
              <w:ind w:hanging="290"/>
              <w:jc w:val="left"/>
              <w:rPr>
                <w:noProof/>
                <w:szCs w:val="24"/>
              </w:rPr>
            </w:pPr>
            <w:r w:rsidRPr="005C3B55">
              <w:rPr>
                <w:szCs w:val="24"/>
              </w:rPr>
              <w:t>Agriculture contributes to greenhouse gases and ammonia emissions.</w:t>
            </w:r>
            <w:r w:rsidRPr="005C3B55">
              <w:rPr>
                <w:noProof/>
                <w:szCs w:val="24"/>
              </w:rPr>
              <w:t xml:space="preserve"> </w:t>
            </w:r>
            <w:r w:rsidRPr="005C3B55">
              <w:rPr>
                <w:szCs w:val="24"/>
              </w:rPr>
              <w:t>It contributes 9.7 per cent of greenhouse gas emissions and 96 per cent of ammonia emissions.</w:t>
            </w:r>
          </w:p>
          <w:p w:rsidR="00BD3B5F" w:rsidRPr="005C3B55" w:rsidRDefault="00BD3B5F" w:rsidP="00BD3B5F">
            <w:pPr>
              <w:numPr>
                <w:ilvl w:val="0"/>
                <w:numId w:val="23"/>
              </w:numPr>
              <w:spacing w:before="0" w:after="0"/>
              <w:ind w:hanging="290"/>
              <w:jc w:val="left"/>
              <w:rPr>
                <w:noProof/>
                <w:szCs w:val="24"/>
              </w:rPr>
            </w:pPr>
            <w:r w:rsidRPr="005C3B55">
              <w:rPr>
                <w:szCs w:val="24"/>
              </w:rPr>
              <w:t>In the past two decades, droughts and extreme weather conditions have become more frequent (heavy rainfall, strong winds, hail etc.).</w:t>
            </w:r>
            <w:r w:rsidRPr="005C3B55">
              <w:rPr>
                <w:noProof/>
                <w:szCs w:val="24"/>
              </w:rPr>
              <w:t xml:space="preserve"> </w:t>
            </w:r>
            <w:r w:rsidRPr="005C3B55">
              <w:rPr>
                <w:szCs w:val="24"/>
              </w:rPr>
              <w:t>Damage due to drought is most extensive in agriculture (especially in eastern Slovenia and Primorska); there are problems with water supply; the number of fires has increased.</w:t>
            </w:r>
            <w:r w:rsidRPr="005C3B55">
              <w:rPr>
                <w:noProof/>
                <w:szCs w:val="24"/>
              </w:rPr>
              <w:t xml:space="preserve"> </w:t>
            </w:r>
            <w:r w:rsidRPr="005C3B55">
              <w:rPr>
                <w:szCs w:val="24"/>
              </w:rPr>
              <w:t>The trend of average annual temperatures is rising in Slovenia, as well as changes in the quantity and spatial distribution of rain.</w:t>
            </w:r>
            <w:r w:rsidRPr="005C3B55">
              <w:rPr>
                <w:noProof/>
                <w:szCs w:val="24"/>
              </w:rPr>
              <w:t xml:space="preserve"> </w:t>
            </w:r>
            <w:r w:rsidRPr="005C3B55">
              <w:rPr>
                <w:szCs w:val="24"/>
              </w:rPr>
              <w:t>Evapotranspiration is increasing.</w:t>
            </w:r>
          </w:p>
          <w:p w:rsidR="00BD3B5F" w:rsidRPr="005C3B55" w:rsidRDefault="00BD3B5F" w:rsidP="00BD3B5F">
            <w:pPr>
              <w:numPr>
                <w:ilvl w:val="0"/>
                <w:numId w:val="23"/>
              </w:numPr>
              <w:spacing w:before="0" w:after="0"/>
              <w:ind w:hanging="290"/>
              <w:jc w:val="left"/>
              <w:rPr>
                <w:noProof/>
                <w:szCs w:val="24"/>
              </w:rPr>
            </w:pPr>
            <w:r w:rsidRPr="005C3B55">
              <w:rPr>
                <w:szCs w:val="24"/>
              </w:rPr>
              <w:t>Focusing on the economic effects on agriculture and the low utilisation of irrigation systems, the scope of irrigated land is smaller than the scope of land prepared for irrigation; together with the standstill in the development of major irrigation systems, this is quite unfavourable for the supply of locally produced food of plant origin.</w:t>
            </w:r>
            <w:r w:rsidRPr="005C3B55">
              <w:rPr>
                <w:noProof/>
                <w:szCs w:val="24"/>
              </w:rPr>
              <w:t xml:space="preserve"> </w:t>
            </w:r>
            <w:r w:rsidRPr="005C3B55">
              <w:rPr>
                <w:szCs w:val="24"/>
              </w:rPr>
              <w:t>Most irrigation systems are over 20 years old.</w:t>
            </w:r>
          </w:p>
          <w:p w:rsidR="00BD3B5F" w:rsidRPr="005C3B55" w:rsidRDefault="00BD3B5F" w:rsidP="00BD3B5F">
            <w:pPr>
              <w:numPr>
                <w:ilvl w:val="0"/>
                <w:numId w:val="23"/>
              </w:numPr>
              <w:spacing w:before="0" w:after="0"/>
              <w:ind w:hanging="290"/>
              <w:jc w:val="left"/>
              <w:rPr>
                <w:noProof/>
                <w:szCs w:val="24"/>
              </w:rPr>
            </w:pPr>
            <w:r w:rsidRPr="005C3B55">
              <w:rPr>
                <w:szCs w:val="24"/>
              </w:rPr>
              <w:t>Inappropriate ameliorations have in some areas worsened the status of habitats and types.</w:t>
            </w:r>
            <w:r w:rsidRPr="005C3B55">
              <w:rPr>
                <w:noProof/>
                <w:szCs w:val="24"/>
              </w:rPr>
              <w:t xml:space="preserve"> </w:t>
            </w:r>
            <w:r w:rsidRPr="005C3B55">
              <w:rPr>
                <w:szCs w:val="24"/>
              </w:rPr>
              <w:t>Restructuring processes in agriculture are taking place, but slower on average than in the EU-27.</w:t>
            </w:r>
          </w:p>
          <w:p w:rsidR="00BD3B5F" w:rsidRPr="005C3B55" w:rsidRDefault="00BD3B5F" w:rsidP="00BD3B5F">
            <w:pPr>
              <w:numPr>
                <w:ilvl w:val="0"/>
                <w:numId w:val="23"/>
              </w:numPr>
              <w:spacing w:before="0" w:after="0"/>
              <w:ind w:hanging="290"/>
              <w:jc w:val="left"/>
              <w:rPr>
                <w:noProof/>
                <w:szCs w:val="24"/>
              </w:rPr>
            </w:pPr>
            <w:r w:rsidRPr="005C3B55">
              <w:rPr>
                <w:szCs w:val="24"/>
              </w:rPr>
              <w:t>Key factors of the lag in development are:</w:t>
            </w:r>
            <w:r w:rsidRPr="005C3B55">
              <w:rPr>
                <w:noProof/>
                <w:szCs w:val="24"/>
              </w:rPr>
              <w:t xml:space="preserve"> </w:t>
            </w:r>
            <w:r w:rsidRPr="005C3B55">
              <w:rPr>
                <w:szCs w:val="24"/>
              </w:rPr>
              <w:t>unfavourable size structure of agricultural holdings and dispersal of farm land; low specialisation rate in agriculture, which is improving, although it remains below the EU average; low productivity; unfavourable age structure of farm owners.</w:t>
            </w:r>
            <w:r w:rsidRPr="005C3B55">
              <w:rPr>
                <w:noProof/>
                <w:szCs w:val="24"/>
              </w:rPr>
              <w:t xml:space="preserve"> </w:t>
            </w:r>
            <w:r w:rsidRPr="005C3B55">
              <w:rPr>
                <w:szCs w:val="24"/>
              </w:rPr>
              <w:t>The level of formal education in agriculture is rising, but owners who have only practical experience in agriculture are in the majority (50.1 per cent).</w:t>
            </w:r>
          </w:p>
          <w:p w:rsidR="00BD3B5F" w:rsidRPr="005C3B55" w:rsidRDefault="00BD3B5F" w:rsidP="00BD3B5F">
            <w:pPr>
              <w:numPr>
                <w:ilvl w:val="0"/>
                <w:numId w:val="23"/>
              </w:numPr>
              <w:spacing w:before="0" w:after="0"/>
              <w:ind w:hanging="290"/>
              <w:jc w:val="left"/>
              <w:rPr>
                <w:noProof/>
                <w:szCs w:val="24"/>
              </w:rPr>
            </w:pPr>
            <w:r w:rsidRPr="005C3B55">
              <w:rPr>
                <w:szCs w:val="24"/>
              </w:rPr>
              <w:t>Slovenia has a large share of areas with limited possibilities for agricultural activity (86.3 per cent of Slovenian territory), impacting the competitiveness of agriculture.</w:t>
            </w:r>
            <w:r w:rsidRPr="005C3B55">
              <w:rPr>
                <w:noProof/>
                <w:szCs w:val="24"/>
              </w:rPr>
              <w:t xml:space="preserve"> </w:t>
            </w:r>
            <w:r w:rsidRPr="005C3B55">
              <w:rPr>
                <w:szCs w:val="24"/>
              </w:rPr>
              <w:t>Permanent meadows and pastures prevail in the structure of agricultural use (54.2 per cent of all agricultural land in use).</w:t>
            </w:r>
          </w:p>
          <w:p w:rsidR="00BD3B5F" w:rsidRPr="005C3B55" w:rsidRDefault="00BD3B5F" w:rsidP="00BD3B5F">
            <w:pPr>
              <w:numPr>
                <w:ilvl w:val="0"/>
                <w:numId w:val="23"/>
              </w:numPr>
              <w:spacing w:before="0" w:after="0"/>
              <w:ind w:hanging="290"/>
              <w:jc w:val="left"/>
              <w:rPr>
                <w:noProof/>
                <w:szCs w:val="24"/>
              </w:rPr>
            </w:pPr>
            <w:r w:rsidRPr="005C3B55">
              <w:rPr>
                <w:szCs w:val="24"/>
              </w:rPr>
              <w:t>The average economic size of agricultural holdings expressed as standard income amounted to EUR 16,158 in 2013 or EUR 12,233 in 2010, which is two times less than the average EU-27 and five times less than the EU-15 (EUR 71,825).</w:t>
            </w:r>
            <w:r w:rsidRPr="005C3B55">
              <w:rPr>
                <w:noProof/>
                <w:szCs w:val="24"/>
              </w:rPr>
              <w:t xml:space="preserve"> </w:t>
            </w:r>
            <w:r w:rsidRPr="005C3B55">
              <w:rPr>
                <w:szCs w:val="24"/>
              </w:rPr>
              <w:t>This ranks Slovenia among those countries which lag behind the average EU-27. In 2010, agricultural holdings with an economic size of EUR 8,000 prevailed (69 per cent).</w:t>
            </w:r>
            <w:r w:rsidRPr="005C3B55">
              <w:rPr>
                <w:noProof/>
                <w:szCs w:val="24"/>
              </w:rPr>
              <w:t xml:space="preserve"> </w:t>
            </w:r>
            <w:r w:rsidRPr="005C3B55">
              <w:rPr>
                <w:szCs w:val="24"/>
              </w:rPr>
              <w:t>The average value of standard income per AWU in 2013 was only EUR 14,100.</w:t>
            </w:r>
          </w:p>
          <w:p w:rsidR="00BD3B5F" w:rsidRPr="005C3B55" w:rsidRDefault="00BD3B5F" w:rsidP="00BD3B5F">
            <w:pPr>
              <w:numPr>
                <w:ilvl w:val="0"/>
                <w:numId w:val="23"/>
              </w:numPr>
              <w:spacing w:before="0" w:after="0"/>
              <w:ind w:hanging="290"/>
              <w:jc w:val="left"/>
              <w:rPr>
                <w:noProof/>
                <w:szCs w:val="24"/>
              </w:rPr>
            </w:pPr>
            <w:r w:rsidRPr="005C3B55">
              <w:rPr>
                <w:szCs w:val="24"/>
              </w:rPr>
              <w:t>The factor income/AWU in 2013 amounted to 36 per cent of the EU-27 average. Payments from the Common Agricultural Policy account for a great share of factor income.</w:t>
            </w:r>
          </w:p>
          <w:p w:rsidR="00BD3B5F" w:rsidRPr="005C3B55" w:rsidRDefault="00BD3B5F" w:rsidP="00BD3B5F">
            <w:pPr>
              <w:numPr>
                <w:ilvl w:val="0"/>
                <w:numId w:val="23"/>
              </w:numPr>
              <w:spacing w:before="0" w:after="0"/>
              <w:ind w:hanging="290"/>
              <w:jc w:val="left"/>
              <w:rPr>
                <w:noProof/>
                <w:szCs w:val="24"/>
              </w:rPr>
            </w:pPr>
            <w:r w:rsidRPr="005C3B55">
              <w:rPr>
                <w:szCs w:val="24"/>
              </w:rPr>
              <w:t>The use of renewable energy sources is gradually increasing, although fossil fuels still prevail.</w:t>
            </w:r>
            <w:r w:rsidRPr="005C3B55">
              <w:rPr>
                <w:noProof/>
                <w:szCs w:val="24"/>
              </w:rPr>
              <w:t xml:space="preserve"> </w:t>
            </w:r>
            <w:r w:rsidRPr="005C3B55">
              <w:rPr>
                <w:szCs w:val="24"/>
              </w:rPr>
              <w:t>The fluctuation of energy prices as a key input in agriculture is an important factor in closing price-cost relations in agriculture, which is reflected in economic results in agriculture.</w:t>
            </w:r>
            <w:r w:rsidRPr="005C3B55">
              <w:rPr>
                <w:noProof/>
                <w:szCs w:val="24"/>
              </w:rPr>
              <w:t xml:space="preserve"> </w:t>
            </w:r>
            <w:r w:rsidRPr="005C3B55">
              <w:rPr>
                <w:szCs w:val="24"/>
              </w:rPr>
              <w:t>The energy efficiency of agricultural holdings is too low.</w:t>
            </w:r>
          </w:p>
          <w:p w:rsidR="00BD3B5F" w:rsidRPr="005C3B55" w:rsidRDefault="00BD3B5F" w:rsidP="00BD3B5F">
            <w:pPr>
              <w:numPr>
                <w:ilvl w:val="0"/>
                <w:numId w:val="23"/>
              </w:numPr>
              <w:spacing w:before="0" w:after="0"/>
              <w:ind w:hanging="290"/>
              <w:jc w:val="left"/>
              <w:rPr>
                <w:noProof/>
                <w:szCs w:val="24"/>
              </w:rPr>
            </w:pPr>
            <w:r w:rsidRPr="005C3B55">
              <w:rPr>
                <w:szCs w:val="24"/>
              </w:rPr>
              <w:t>Employment in agriculture, or the total number of AWU in the 2000–2013 period, dropped by 23.5 per cent; the average agricultural holding in Slovenia still has an above-average employment rate (1.03 AWU) on agricultural holdings in comparison with the EU-27.</w:t>
            </w:r>
            <w:r w:rsidRPr="005C3B55">
              <w:rPr>
                <w:noProof/>
                <w:szCs w:val="24"/>
              </w:rPr>
              <w:t xml:space="preserve"> </w:t>
            </w:r>
            <w:r w:rsidRPr="005C3B55">
              <w:rPr>
                <w:szCs w:val="24"/>
              </w:rPr>
              <w:t>One AWU in Slovenia processes 6.3 ha of UAA, or three times less than the average in EU-27. Labour productivity in agriculture is to a great extent the result of the agrarian structure, which is very diverse in the EU-27 area.</w:t>
            </w:r>
          </w:p>
          <w:p w:rsidR="00BD3B5F" w:rsidRPr="005C3B55" w:rsidRDefault="00BD3B5F" w:rsidP="00BD3B5F">
            <w:pPr>
              <w:numPr>
                <w:ilvl w:val="0"/>
                <w:numId w:val="23"/>
              </w:numPr>
              <w:spacing w:before="0" w:after="0"/>
              <w:ind w:hanging="290"/>
              <w:jc w:val="left"/>
              <w:rPr>
                <w:noProof/>
                <w:szCs w:val="24"/>
              </w:rPr>
            </w:pPr>
            <w:r w:rsidRPr="005C3B55">
              <w:rPr>
                <w:szCs w:val="24"/>
              </w:rPr>
              <w:t>The offer of organic farming products lags behind the demand.</w:t>
            </w:r>
            <w:r w:rsidRPr="005C3B55">
              <w:rPr>
                <w:noProof/>
                <w:szCs w:val="24"/>
              </w:rPr>
              <w:t xml:space="preserve"> </w:t>
            </w:r>
            <w:r w:rsidRPr="005C3B55">
              <w:rPr>
                <w:szCs w:val="24"/>
              </w:rPr>
              <w:t>The differentiation and recognition of agricultural and food products in quality schemes is still insufficient, and the inclusion of producers in quality schemes is also too low.</w:t>
            </w:r>
            <w:r w:rsidRPr="005C3B55">
              <w:rPr>
                <w:noProof/>
                <w:szCs w:val="24"/>
              </w:rPr>
              <w:t xml:space="preserve"> </w:t>
            </w:r>
            <w:r w:rsidRPr="005C3B55">
              <w:rPr>
                <w:szCs w:val="24"/>
              </w:rPr>
              <w:t>Participation in quality schemes is related to additional costs and commitments, which are usually not fully returned by the market in the initial phase, which is frequently an obstacle to the faster and wider inclusion of producers in these schemes.</w:t>
            </w:r>
          </w:p>
          <w:p w:rsidR="00BD3B5F" w:rsidRPr="005C3B55" w:rsidRDefault="00BD3B5F" w:rsidP="00BD3B5F">
            <w:pPr>
              <w:numPr>
                <w:ilvl w:val="0"/>
                <w:numId w:val="23"/>
              </w:numPr>
              <w:spacing w:before="0" w:after="0"/>
              <w:ind w:hanging="290"/>
              <w:jc w:val="left"/>
              <w:rPr>
                <w:noProof/>
                <w:szCs w:val="24"/>
              </w:rPr>
            </w:pPr>
            <w:r w:rsidRPr="005C3B55">
              <w:rPr>
                <w:szCs w:val="24"/>
              </w:rPr>
              <w:t>Insufficient presence of above-standard animal breeding that considers animal welfare aspects which exceed the prescribed legal standards or usual breeding practice in Slovenian agriculture.</w:t>
            </w:r>
            <w:r w:rsidRPr="005C3B55">
              <w:rPr>
                <w:noProof/>
                <w:szCs w:val="24"/>
              </w:rPr>
              <w:t xml:space="preserve"> </w:t>
            </w:r>
            <w:r w:rsidRPr="005C3B55">
              <w:rPr>
                <w:szCs w:val="24"/>
              </w:rPr>
              <w:t>Breeders are insufficiently informed, or also dissuaded by the economics of breeding, to take on higher standards of practice.</w:t>
            </w:r>
          </w:p>
          <w:p w:rsidR="00BD3B5F" w:rsidRPr="005C3B55" w:rsidRDefault="00BD3B5F" w:rsidP="00BD3B5F">
            <w:pPr>
              <w:numPr>
                <w:ilvl w:val="0"/>
                <w:numId w:val="23"/>
              </w:numPr>
              <w:spacing w:before="0" w:after="0"/>
              <w:ind w:hanging="290"/>
              <w:jc w:val="left"/>
              <w:rPr>
                <w:noProof/>
                <w:szCs w:val="24"/>
              </w:rPr>
            </w:pPr>
            <w:r w:rsidRPr="005C3B55">
              <w:rPr>
                <w:szCs w:val="24"/>
              </w:rPr>
              <w:t>Despite a long tradition of cooperative activities, the level of market orientation and organisation is too low, with the exception of individual agricultural products (e.g. milk), and this prevents agricultural holdings from greater participation in the market and economies of scale.</w:t>
            </w:r>
          </w:p>
          <w:p w:rsidR="00BD3B5F" w:rsidRPr="005C3B55" w:rsidRDefault="00BD3B5F" w:rsidP="00BD3B5F">
            <w:pPr>
              <w:numPr>
                <w:ilvl w:val="0"/>
                <w:numId w:val="23"/>
              </w:numPr>
              <w:spacing w:before="0" w:after="0"/>
              <w:ind w:hanging="290"/>
              <w:jc w:val="left"/>
              <w:rPr>
                <w:noProof/>
                <w:szCs w:val="24"/>
              </w:rPr>
            </w:pPr>
            <w:r w:rsidRPr="005C3B55">
              <w:rPr>
                <w:szCs w:val="24"/>
              </w:rPr>
              <w:t>Due to the lack of integration and inability to supply large quantities of products, primary producers are in a disadvantageous negotiating position in comparison to the food processing industry and traders.</w:t>
            </w:r>
          </w:p>
          <w:p w:rsidR="00BD3B5F" w:rsidRPr="005C3B55" w:rsidRDefault="00BD3B5F" w:rsidP="00BD3B5F">
            <w:pPr>
              <w:numPr>
                <w:ilvl w:val="0"/>
                <w:numId w:val="23"/>
              </w:numPr>
              <w:spacing w:before="0" w:after="0"/>
              <w:ind w:hanging="290"/>
              <w:jc w:val="left"/>
              <w:rPr>
                <w:noProof/>
                <w:szCs w:val="24"/>
              </w:rPr>
            </w:pPr>
            <w:r w:rsidRPr="005C3B55">
              <w:rPr>
                <w:szCs w:val="24"/>
              </w:rPr>
              <w:t>Small number of established groups of producers and non-existence of organisations of producers.</w:t>
            </w:r>
          </w:p>
          <w:p w:rsidR="00BD3B5F" w:rsidRPr="005C3B55" w:rsidRDefault="00BD3B5F" w:rsidP="00BD3B5F">
            <w:pPr>
              <w:numPr>
                <w:ilvl w:val="0"/>
                <w:numId w:val="23"/>
              </w:numPr>
              <w:spacing w:before="0" w:after="0"/>
              <w:ind w:hanging="290"/>
              <w:jc w:val="left"/>
              <w:rPr>
                <w:noProof/>
                <w:szCs w:val="24"/>
              </w:rPr>
            </w:pPr>
            <w:r w:rsidRPr="005C3B55">
              <w:rPr>
                <w:szCs w:val="24"/>
              </w:rPr>
              <w:t>In the past few years, the food processing industry has seen a deterioration in the most important economic indicators, which is mainly the result of insufficient adaptation to severe competition in the domestic and foreign markets.</w:t>
            </w:r>
            <w:r w:rsidRPr="005C3B55">
              <w:rPr>
                <w:noProof/>
                <w:szCs w:val="24"/>
              </w:rPr>
              <w:t xml:space="preserve"> </w:t>
            </w:r>
            <w:r w:rsidRPr="005C3B55">
              <w:rPr>
                <w:szCs w:val="24"/>
              </w:rPr>
              <w:t>Ownership consolidation in some large food processing companies has had an important but negative impact on the results.</w:t>
            </w:r>
            <w:r w:rsidRPr="005C3B55">
              <w:rPr>
                <w:noProof/>
                <w:szCs w:val="24"/>
              </w:rPr>
              <w:t xml:space="preserve"> </w:t>
            </w:r>
            <w:r w:rsidRPr="005C3B55">
              <w:rPr>
                <w:szCs w:val="24"/>
              </w:rPr>
              <w:t>The added value in the 2008–2013 period decreased by 7.5 per cent in real terms.</w:t>
            </w:r>
            <w:r w:rsidRPr="005C3B55">
              <w:rPr>
                <w:noProof/>
                <w:szCs w:val="24"/>
              </w:rPr>
              <w:t xml:space="preserve"> </w:t>
            </w:r>
            <w:r w:rsidRPr="005C3B55">
              <w:rPr>
                <w:szCs w:val="24"/>
              </w:rPr>
              <w:t>The number of people employed in the industry is also decreasing.</w:t>
            </w:r>
          </w:p>
          <w:p w:rsidR="00BD3B5F" w:rsidRPr="005C3B55" w:rsidRDefault="00BD3B5F" w:rsidP="00BD3B5F">
            <w:pPr>
              <w:numPr>
                <w:ilvl w:val="0"/>
                <w:numId w:val="23"/>
              </w:numPr>
              <w:spacing w:before="0" w:after="0"/>
              <w:ind w:hanging="290"/>
              <w:jc w:val="left"/>
              <w:rPr>
                <w:noProof/>
                <w:szCs w:val="24"/>
              </w:rPr>
            </w:pPr>
            <w:r w:rsidRPr="005C3B55">
              <w:rPr>
                <w:szCs w:val="24"/>
              </w:rPr>
              <w:t>Risk management instruments are used in the field of managing production, price, income and revenue risks in agriculture in Slovenia only for co-financing insurance premiums; however, the extent of insured agricultural land is still declining.</w:t>
            </w:r>
            <w:r w:rsidRPr="005C3B55">
              <w:rPr>
                <w:noProof/>
                <w:szCs w:val="24"/>
              </w:rPr>
              <w:t xml:space="preserve"> </w:t>
            </w:r>
            <w:r w:rsidRPr="005C3B55">
              <w:rPr>
                <w:szCs w:val="24"/>
              </w:rPr>
              <w:t>Interest in inclusion in group risk management (e.g. via mutual fund for product risks) is poor.</w:t>
            </w:r>
            <w:r w:rsidRPr="005C3B55">
              <w:rPr>
                <w:noProof/>
                <w:szCs w:val="24"/>
              </w:rPr>
              <w:t xml:space="preserve"> </w:t>
            </w:r>
            <w:r w:rsidRPr="005C3B55">
              <w:rPr>
                <w:szCs w:val="24"/>
              </w:rPr>
              <w:t>The reason for this is most probably the stabilising effect of payments from the Common Agricultural Policy (CAP).</w:t>
            </w:r>
          </w:p>
          <w:p w:rsidR="00BD3B5F" w:rsidRPr="005C3B55" w:rsidRDefault="00BD3B5F" w:rsidP="00BD3B5F">
            <w:pPr>
              <w:numPr>
                <w:ilvl w:val="0"/>
                <w:numId w:val="23"/>
              </w:numPr>
              <w:spacing w:before="0" w:after="0"/>
              <w:ind w:hanging="290"/>
              <w:jc w:val="left"/>
              <w:rPr>
                <w:noProof/>
                <w:szCs w:val="24"/>
              </w:rPr>
            </w:pPr>
            <w:r w:rsidRPr="005C3B55">
              <w:rPr>
                <w:szCs w:val="24"/>
              </w:rPr>
              <w:t>There is a lack of specialised advisory services, especially in the field of technological development in agriculture, the economics of production, protection of natural resources and climate change.</w:t>
            </w:r>
            <w:r w:rsidRPr="005C3B55">
              <w:rPr>
                <w:noProof/>
                <w:szCs w:val="24"/>
              </w:rPr>
              <w:t xml:space="preserve"> </w:t>
            </w:r>
            <w:r w:rsidRPr="005C3B55">
              <w:rPr>
                <w:szCs w:val="24"/>
              </w:rPr>
              <w:t>There is a lack of highly qualified consultants.</w:t>
            </w:r>
            <w:r w:rsidRPr="005C3B55">
              <w:rPr>
                <w:noProof/>
                <w:szCs w:val="24"/>
              </w:rPr>
              <w:t xml:space="preserve"> </w:t>
            </w:r>
            <w:r w:rsidRPr="005C3B55">
              <w:rPr>
                <w:szCs w:val="24"/>
              </w:rPr>
              <w:t>The Public Advisory Service is overburdened with administrative tasks connected with drawing EU funds.</w:t>
            </w:r>
          </w:p>
          <w:p w:rsidR="00BD3B5F" w:rsidRPr="005C3B55" w:rsidRDefault="00BD3B5F" w:rsidP="00BD3B5F">
            <w:pPr>
              <w:numPr>
                <w:ilvl w:val="0"/>
                <w:numId w:val="23"/>
              </w:numPr>
              <w:spacing w:before="0" w:after="0"/>
              <w:ind w:hanging="290"/>
              <w:jc w:val="left"/>
              <w:rPr>
                <w:noProof/>
                <w:szCs w:val="24"/>
              </w:rPr>
            </w:pPr>
            <w:r w:rsidRPr="005C3B55">
              <w:rPr>
                <w:szCs w:val="24"/>
              </w:rPr>
              <w:t>Poor transfer of knowledge and innovations from research to agricultural practice and insufficient feedback about the needs of agricultural practice.</w:t>
            </w:r>
            <w:r w:rsidRPr="005C3B55">
              <w:rPr>
                <w:noProof/>
                <w:szCs w:val="24"/>
              </w:rPr>
              <w:t xml:space="preserve"> </w:t>
            </w:r>
            <w:r w:rsidRPr="005C3B55">
              <w:rPr>
                <w:szCs w:val="24"/>
              </w:rPr>
              <w:t>There is insufficient cooperation between the stakeholders in this area.</w:t>
            </w:r>
          </w:p>
          <w:p w:rsidR="00BD3B5F" w:rsidRPr="005C3B55" w:rsidRDefault="00BD3B5F" w:rsidP="00BD3B5F">
            <w:pPr>
              <w:numPr>
                <w:ilvl w:val="0"/>
                <w:numId w:val="23"/>
              </w:numPr>
              <w:spacing w:before="0" w:after="0"/>
              <w:ind w:hanging="290"/>
              <w:jc w:val="left"/>
              <w:rPr>
                <w:noProof/>
                <w:szCs w:val="24"/>
              </w:rPr>
            </w:pPr>
            <w:r w:rsidRPr="005C3B55">
              <w:rPr>
                <w:szCs w:val="24"/>
              </w:rPr>
              <w:t>Due to damage caused by glaze ice and snow at the beginning of 2014 over a wide area of forests (especially in western Slovenia), great economic and environmental damage occurred.</w:t>
            </w:r>
            <w:r w:rsidRPr="005C3B55">
              <w:rPr>
                <w:noProof/>
                <w:szCs w:val="24"/>
              </w:rPr>
              <w:t xml:space="preserve"> </w:t>
            </w:r>
            <w:r w:rsidRPr="005C3B55">
              <w:rPr>
                <w:szCs w:val="24"/>
              </w:rPr>
              <w:t>Half of the forest territory in Slovenia was damaged.</w:t>
            </w:r>
          </w:p>
          <w:p w:rsidR="00BD3B5F" w:rsidRPr="005C3B55" w:rsidRDefault="00BD3B5F" w:rsidP="00BD3B5F">
            <w:pPr>
              <w:numPr>
                <w:ilvl w:val="0"/>
                <w:numId w:val="23"/>
              </w:numPr>
              <w:spacing w:before="0" w:after="0"/>
              <w:ind w:hanging="290"/>
              <w:jc w:val="left"/>
              <w:rPr>
                <w:noProof/>
                <w:szCs w:val="24"/>
              </w:rPr>
            </w:pPr>
            <w:r w:rsidRPr="005C3B55">
              <w:rPr>
                <w:szCs w:val="24"/>
              </w:rPr>
              <w:t>Frequent natural disasters (damage caused by glaze ice, floods, land slides etc.).</w:t>
            </w:r>
          </w:p>
          <w:p w:rsidR="00BD3B5F" w:rsidRPr="005C3B55" w:rsidRDefault="00BD3B5F" w:rsidP="00BD3B5F">
            <w:pPr>
              <w:numPr>
                <w:ilvl w:val="0"/>
                <w:numId w:val="23"/>
              </w:numPr>
              <w:spacing w:before="0" w:after="0"/>
              <w:ind w:hanging="290"/>
              <w:jc w:val="left"/>
              <w:rPr>
                <w:noProof/>
                <w:szCs w:val="24"/>
              </w:rPr>
            </w:pPr>
            <w:r w:rsidRPr="005C3B55">
              <w:rPr>
                <w:szCs w:val="24"/>
              </w:rPr>
              <w:t>There is inappropriate ownership structure of forest owners, fragmentation and small plots of forest land.</w:t>
            </w:r>
          </w:p>
          <w:p w:rsidR="00BD3B5F" w:rsidRPr="005C3B55" w:rsidRDefault="00BD3B5F" w:rsidP="00BD3B5F">
            <w:pPr>
              <w:numPr>
                <w:ilvl w:val="0"/>
                <w:numId w:val="23"/>
              </w:numPr>
              <w:spacing w:before="0" w:after="0"/>
              <w:ind w:hanging="290"/>
              <w:jc w:val="left"/>
              <w:rPr>
                <w:noProof/>
                <w:szCs w:val="24"/>
              </w:rPr>
            </w:pPr>
            <w:r w:rsidRPr="005C3B55">
              <w:rPr>
                <w:szCs w:val="24"/>
              </w:rPr>
              <w:t>Felling in forests is insufficiently implemented, mostly due to the lack of appropriate forest infrastructure to enable wood skidding.</w:t>
            </w:r>
          </w:p>
          <w:p w:rsidR="00BD3B5F" w:rsidRPr="005C3B55" w:rsidRDefault="00BD3B5F" w:rsidP="00BD3B5F">
            <w:pPr>
              <w:numPr>
                <w:ilvl w:val="0"/>
                <w:numId w:val="23"/>
              </w:numPr>
              <w:spacing w:before="0" w:after="0"/>
              <w:ind w:hanging="290"/>
              <w:jc w:val="left"/>
              <w:rPr>
                <w:noProof/>
                <w:szCs w:val="24"/>
              </w:rPr>
            </w:pPr>
            <w:r w:rsidRPr="005C3B55">
              <w:rPr>
                <w:szCs w:val="24"/>
              </w:rPr>
              <w:t>Poor market organisation and connections between forest owners and further on in forest-wood chains.</w:t>
            </w:r>
          </w:p>
          <w:p w:rsidR="00BD3B5F" w:rsidRPr="005C3B55" w:rsidRDefault="00BD3B5F" w:rsidP="00BD3B5F">
            <w:pPr>
              <w:numPr>
                <w:ilvl w:val="0"/>
                <w:numId w:val="23"/>
              </w:numPr>
              <w:spacing w:before="0" w:after="0"/>
              <w:ind w:hanging="290"/>
              <w:jc w:val="left"/>
              <w:rPr>
                <w:noProof/>
                <w:szCs w:val="24"/>
              </w:rPr>
            </w:pPr>
            <w:r w:rsidRPr="005C3B55">
              <w:rPr>
                <w:szCs w:val="24"/>
              </w:rPr>
              <w:t>Due to the poor technical equipment of forest owners and insufficient qualifications for work in the forests, accidents still occur in forests.</w:t>
            </w:r>
          </w:p>
          <w:p w:rsidR="00BD3B5F" w:rsidRPr="005C3B55" w:rsidRDefault="00BD3B5F" w:rsidP="00BD3B5F">
            <w:pPr>
              <w:numPr>
                <w:ilvl w:val="0"/>
                <w:numId w:val="23"/>
              </w:numPr>
              <w:spacing w:before="0" w:after="0"/>
              <w:ind w:hanging="290"/>
              <w:jc w:val="left"/>
              <w:rPr>
                <w:noProof/>
                <w:szCs w:val="24"/>
              </w:rPr>
            </w:pPr>
            <w:r w:rsidRPr="005C3B55">
              <w:rPr>
                <w:szCs w:val="24"/>
              </w:rPr>
              <w:t>Insufficient use of wood in the business sector (e.g. as construction material) and wood biomass (wood residue and wood of lower quality) as a renewable source of energy.</w:t>
            </w:r>
            <w:r w:rsidRPr="005C3B55">
              <w:rPr>
                <w:noProof/>
                <w:szCs w:val="24"/>
              </w:rPr>
              <w:t xml:space="preserve"> </w:t>
            </w:r>
            <w:r w:rsidRPr="005C3B55">
              <w:rPr>
                <w:szCs w:val="24"/>
              </w:rPr>
              <w:t>There is still unexploited potential in this area in the Republic of Slovenia, since actual felling is substantially lower than the annual growth and permitted felling in forests stipulated by the Resolution on the National Forest Programme (Official Gazette of the Republic of Slovenia, no. 111/07).</w:t>
            </w:r>
            <w:r w:rsidRPr="005C3B55">
              <w:rPr>
                <w:noProof/>
                <w:szCs w:val="24"/>
              </w:rPr>
              <w:t xml:space="preserve"> </w:t>
            </w:r>
            <w:r w:rsidRPr="005C3B55">
              <w:rPr>
                <w:szCs w:val="24"/>
              </w:rPr>
              <w:t>On the other hand, there has been a trend of increased burden with PM particles, which is the result of non-optimal burning of wood biomass, showing the inappropriate condition of heating devices.</w:t>
            </w:r>
          </w:p>
          <w:p w:rsidR="00BD3B5F" w:rsidRPr="005C3B55" w:rsidRDefault="00BD3B5F" w:rsidP="00BD3B5F">
            <w:pPr>
              <w:numPr>
                <w:ilvl w:val="0"/>
                <w:numId w:val="23"/>
              </w:numPr>
              <w:spacing w:before="0" w:after="0"/>
              <w:ind w:hanging="290"/>
              <w:jc w:val="left"/>
              <w:rPr>
                <w:noProof/>
                <w:szCs w:val="24"/>
              </w:rPr>
            </w:pPr>
            <w:r w:rsidRPr="005C3B55">
              <w:rPr>
                <w:szCs w:val="24"/>
              </w:rPr>
              <w:t>Stagnating forest-wood processing chain and consequently, less exploited and utilised wood.</w:t>
            </w:r>
            <w:r w:rsidRPr="005C3B55">
              <w:rPr>
                <w:noProof/>
                <w:szCs w:val="24"/>
              </w:rPr>
              <w:t xml:space="preserve"> </w:t>
            </w:r>
            <w:r w:rsidRPr="005C3B55">
              <w:rPr>
                <w:szCs w:val="24"/>
              </w:rPr>
              <w:t>Instead of products with high added value, Slovenia mostly exports raw wood.</w:t>
            </w:r>
            <w:r w:rsidRPr="005C3B55">
              <w:rPr>
                <w:noProof/>
                <w:szCs w:val="24"/>
              </w:rPr>
              <w:t xml:space="preserve"> </w:t>
            </w:r>
            <w:r w:rsidRPr="005C3B55">
              <w:rPr>
                <w:szCs w:val="24"/>
              </w:rPr>
              <w:t>Numerous wood processing companies in Slovenia have gone bankrupt in the last two decades.</w:t>
            </w:r>
          </w:p>
          <w:p w:rsidR="00BD3B5F" w:rsidRPr="005C3B55" w:rsidRDefault="00BD3B5F" w:rsidP="00BD3B5F">
            <w:pPr>
              <w:numPr>
                <w:ilvl w:val="0"/>
                <w:numId w:val="23"/>
              </w:numPr>
              <w:spacing w:before="0" w:after="0"/>
              <w:ind w:hanging="290"/>
              <w:jc w:val="left"/>
              <w:rPr>
                <w:noProof/>
                <w:szCs w:val="24"/>
              </w:rPr>
            </w:pPr>
            <w:r w:rsidRPr="005C3B55">
              <w:rPr>
                <w:szCs w:val="24"/>
              </w:rPr>
              <w:t>Slovenia lags behind the average economic development of the EU as measured by GDP per capita as per purchasing power.</w:t>
            </w:r>
            <w:r w:rsidRPr="005C3B55">
              <w:rPr>
                <w:noProof/>
                <w:szCs w:val="24"/>
              </w:rPr>
              <w:t xml:space="preserve"> </w:t>
            </w:r>
            <w:r w:rsidRPr="005C3B55">
              <w:rPr>
                <w:szCs w:val="24"/>
              </w:rPr>
              <w:t>GDP by purchasing power per capita in Slovenia in 2013 was 82.4 per cent of the EU-27 average (for comparison:</w:t>
            </w:r>
            <w:r w:rsidRPr="005C3B55">
              <w:rPr>
                <w:noProof/>
                <w:szCs w:val="24"/>
              </w:rPr>
              <w:t xml:space="preserve"> </w:t>
            </w:r>
            <w:r w:rsidRPr="005C3B55">
              <w:rPr>
                <w:szCs w:val="24"/>
              </w:rPr>
              <w:t>in 2008, it was 90.3 per cent).</w:t>
            </w:r>
          </w:p>
          <w:p w:rsidR="00BD3B5F" w:rsidRPr="005C3B55" w:rsidRDefault="00BD3B5F" w:rsidP="00BD3B5F">
            <w:pPr>
              <w:numPr>
                <w:ilvl w:val="0"/>
                <w:numId w:val="23"/>
              </w:numPr>
              <w:spacing w:before="0" w:after="0"/>
              <w:ind w:hanging="290"/>
              <w:jc w:val="left"/>
              <w:rPr>
                <w:noProof/>
                <w:szCs w:val="24"/>
              </w:rPr>
            </w:pPr>
            <w:r w:rsidRPr="005C3B55">
              <w:rPr>
                <w:szCs w:val="24"/>
              </w:rPr>
              <w:t>In rural Slovenian regions, GDP is usually lower than the Slovenian average.</w:t>
            </w:r>
          </w:p>
          <w:p w:rsidR="00BD3B5F" w:rsidRPr="005C3B55" w:rsidRDefault="00BD3B5F" w:rsidP="00BD3B5F">
            <w:pPr>
              <w:numPr>
                <w:ilvl w:val="0"/>
                <w:numId w:val="23"/>
              </w:numPr>
              <w:spacing w:before="0" w:after="0"/>
              <w:ind w:hanging="290"/>
              <w:jc w:val="left"/>
              <w:rPr>
                <w:noProof/>
                <w:szCs w:val="24"/>
              </w:rPr>
            </w:pPr>
            <w:r w:rsidRPr="005C3B55">
              <w:rPr>
                <w:szCs w:val="24"/>
              </w:rPr>
              <w:t>The difficult access to debt financial sources and high interest rates have a negative impact on the investment activities of agricultural holdings and companies.</w:t>
            </w:r>
          </w:p>
          <w:p w:rsidR="00BD3B5F" w:rsidRPr="005C3B55" w:rsidRDefault="00BD3B5F" w:rsidP="00BD3B5F">
            <w:pPr>
              <w:numPr>
                <w:ilvl w:val="0"/>
                <w:numId w:val="23"/>
              </w:numPr>
              <w:spacing w:before="0" w:after="0"/>
              <w:ind w:hanging="290"/>
              <w:jc w:val="left"/>
              <w:rPr>
                <w:noProof/>
                <w:szCs w:val="24"/>
              </w:rPr>
            </w:pPr>
            <w:r w:rsidRPr="005C3B55">
              <w:rPr>
                <w:szCs w:val="24"/>
              </w:rPr>
              <w:t>According to the development rate of the information society in comparison with other EU Member States, Slovenia has persistently lagged behind for more than a decade, which has a negative impact on other developmental areas.</w:t>
            </w:r>
            <w:r w:rsidRPr="005C3B55">
              <w:rPr>
                <w:noProof/>
                <w:szCs w:val="24"/>
              </w:rPr>
              <w:t xml:space="preserve"> </w:t>
            </w:r>
            <w:r w:rsidRPr="005C3B55">
              <w:rPr>
                <w:szCs w:val="24"/>
              </w:rPr>
              <w:t>Considering the data for the EU-27, the coverage of households with standard fixed broadband networks is quite problematic (especially in the countryside); the situation is also quite serious concerning access speed.</w:t>
            </w:r>
            <w:r w:rsidRPr="005C3B55">
              <w:rPr>
                <w:noProof/>
                <w:szCs w:val="24"/>
              </w:rPr>
              <w:t xml:space="preserve"> </w:t>
            </w:r>
            <w:r w:rsidRPr="005C3B55">
              <w:rPr>
                <w:szCs w:val="24"/>
              </w:rPr>
              <w:t>There are still areas where a broadband infrastructure has not been constructed and where there is no commercial interest in constructing one.</w:t>
            </w:r>
          </w:p>
          <w:p w:rsidR="00BD3B5F" w:rsidRPr="005C3B55" w:rsidRDefault="00BD3B5F" w:rsidP="00BD3B5F">
            <w:pPr>
              <w:numPr>
                <w:ilvl w:val="0"/>
                <w:numId w:val="23"/>
              </w:numPr>
              <w:spacing w:before="0" w:after="0"/>
              <w:ind w:hanging="290"/>
              <w:jc w:val="left"/>
              <w:rPr>
                <w:noProof/>
                <w:szCs w:val="24"/>
              </w:rPr>
            </w:pPr>
            <w:r w:rsidRPr="005C3B55">
              <w:rPr>
                <w:szCs w:val="24"/>
              </w:rPr>
              <w:t>A strong increase in survey-based and registered unemployment in the 2008–2013 period, as a result of the worsening economic situation in the country.</w:t>
            </w:r>
            <w:r w:rsidRPr="005C3B55">
              <w:rPr>
                <w:noProof/>
                <w:szCs w:val="24"/>
              </w:rPr>
              <w:t xml:space="preserve"> </w:t>
            </w:r>
            <w:r w:rsidRPr="005C3B55">
              <w:rPr>
                <w:szCs w:val="24"/>
              </w:rPr>
              <w:t>The increase is noted in all age groups, but especially among the young from 15–24 years of age (surveyed unemployment rate in 2008 was 10.4 per cent, in 2013 it was 21.6 per cent).</w:t>
            </w:r>
          </w:p>
          <w:p w:rsidR="00BD3B5F" w:rsidRPr="005C3B55" w:rsidRDefault="00BD3B5F" w:rsidP="00BD3B5F">
            <w:pPr>
              <w:numPr>
                <w:ilvl w:val="0"/>
                <w:numId w:val="23"/>
              </w:numPr>
              <w:spacing w:before="0" w:after="0"/>
              <w:ind w:hanging="290"/>
              <w:jc w:val="left"/>
              <w:rPr>
                <w:noProof/>
                <w:szCs w:val="24"/>
              </w:rPr>
            </w:pPr>
            <w:r w:rsidRPr="005C3B55">
              <w:rPr>
                <w:szCs w:val="24"/>
              </w:rPr>
              <w:t>Unemployment is higher among younger generations, women and other vulnerable social groups.</w:t>
            </w:r>
          </w:p>
          <w:p w:rsidR="00BD3B5F" w:rsidRPr="005C3B55" w:rsidRDefault="00BD3B5F" w:rsidP="00BD3B5F">
            <w:pPr>
              <w:numPr>
                <w:ilvl w:val="0"/>
                <w:numId w:val="23"/>
              </w:numPr>
              <w:spacing w:before="0" w:after="0"/>
              <w:ind w:hanging="290"/>
              <w:jc w:val="left"/>
              <w:rPr>
                <w:noProof/>
                <w:szCs w:val="24"/>
              </w:rPr>
            </w:pPr>
            <w:r w:rsidRPr="005C3B55">
              <w:rPr>
                <w:szCs w:val="24"/>
              </w:rPr>
              <w:t>The share of people in the population at risk of poverty or social exclusion has been rising since 2009, when the rate was 17.1 per cent (2013: 20.4 per cent of population).</w:t>
            </w:r>
          </w:p>
          <w:p w:rsidR="00BD3B5F" w:rsidRPr="005C3B55" w:rsidRDefault="00BD3B5F" w:rsidP="00BD3B5F">
            <w:pPr>
              <w:numPr>
                <w:ilvl w:val="0"/>
                <w:numId w:val="23"/>
              </w:numPr>
              <w:spacing w:before="0" w:after="0"/>
              <w:ind w:hanging="290"/>
              <w:jc w:val="left"/>
              <w:rPr>
                <w:noProof/>
                <w:szCs w:val="24"/>
              </w:rPr>
            </w:pPr>
            <w:r w:rsidRPr="005C3B55">
              <w:rPr>
                <w:szCs w:val="24"/>
              </w:rPr>
              <w:t>Ageing of population, especially in areas where there is a lack of jobs and those who are more remote from larger regional centres.</w:t>
            </w:r>
          </w:p>
          <w:p w:rsidR="00BD3B5F" w:rsidRPr="005C3B55" w:rsidRDefault="00BD3B5F" w:rsidP="00BD3B5F">
            <w:pPr>
              <w:numPr>
                <w:ilvl w:val="0"/>
                <w:numId w:val="23"/>
              </w:numPr>
              <w:spacing w:before="0" w:after="0"/>
              <w:ind w:hanging="290"/>
              <w:jc w:val="left"/>
              <w:rPr>
                <w:noProof/>
                <w:szCs w:val="24"/>
              </w:rPr>
            </w:pPr>
            <w:r w:rsidRPr="005C3B55">
              <w:rPr>
                <w:szCs w:val="24"/>
              </w:rPr>
              <w:t>The needs and challenges of local areas are extensive, since they have high unemployment rates, high social exclusion and increasing poverty, a lack of basic services; a special concern is also environment protection and nature conservation as well as cultural heritage conservation.</w:t>
            </w:r>
          </w:p>
          <w:p w:rsidR="00BD3B5F" w:rsidRPr="005C3B55" w:rsidRDefault="00BD3B5F" w:rsidP="00BD3B5F">
            <w:pPr>
              <w:numPr>
                <w:ilvl w:val="0"/>
                <w:numId w:val="23"/>
              </w:numPr>
              <w:spacing w:before="0" w:after="0"/>
              <w:ind w:hanging="290"/>
              <w:jc w:val="left"/>
              <w:rPr>
                <w:noProof/>
                <w:szCs w:val="24"/>
              </w:rPr>
            </w:pPr>
            <w:r w:rsidRPr="005C3B55">
              <w:rPr>
                <w:szCs w:val="24"/>
              </w:rPr>
              <w:t>In the 2007–2013 period, the lack of strategic orientation, innovation, dispersion and mostly the short-term effect, as well as the lack of awareness among the population and appropriate qualifications in the management and implementation of LEADER projects, was shown in local LEADER developmental projects.</w:t>
            </w:r>
          </w:p>
          <w:p w:rsidR="00BD3B5F" w:rsidRPr="005C3B55" w:rsidRDefault="00BD3B5F" w:rsidP="00BD3B5F">
            <w:pPr>
              <w:numPr>
                <w:ilvl w:val="0"/>
                <w:numId w:val="23"/>
              </w:numPr>
              <w:spacing w:before="0" w:after="0"/>
              <w:ind w:hanging="290"/>
              <w:jc w:val="left"/>
              <w:rPr>
                <w:noProof/>
                <w:szCs w:val="24"/>
              </w:rPr>
            </w:pPr>
            <w:r w:rsidRPr="005C3B55">
              <w:rPr>
                <w:szCs w:val="24"/>
              </w:rPr>
              <w:t>The lack of developmental approaches and management structures for the implementation of comprehensive projects within the CLLD approach.</w:t>
            </w:r>
          </w:p>
          <w:p w:rsidR="00BD3B5F" w:rsidRPr="005C3B55" w:rsidRDefault="00BD3B5F" w:rsidP="00BD3B5F">
            <w:pPr>
              <w:numPr>
                <w:ilvl w:val="0"/>
                <w:numId w:val="23"/>
              </w:numPr>
              <w:spacing w:before="0" w:after="240"/>
              <w:ind w:hanging="290"/>
              <w:jc w:val="left"/>
              <w:rPr>
                <w:noProof/>
                <w:szCs w:val="24"/>
              </w:rPr>
            </w:pPr>
            <w:r w:rsidRPr="005C3B55">
              <w:rPr>
                <w:szCs w:val="24"/>
              </w:rPr>
              <w:t>Ensuring own funds of LAGs for the implementation of comprehensive local development projects and acquisition of good loans.</w:t>
            </w:r>
          </w:p>
          <w:p w:rsidR="00BD3B5F" w:rsidRPr="005C3B55" w:rsidRDefault="00BD3B5F">
            <w:pPr>
              <w:spacing w:before="240" w:after="240"/>
              <w:jc w:val="left"/>
              <w:rPr>
                <w:noProof/>
                <w:szCs w:val="24"/>
              </w:rPr>
            </w:pPr>
            <w:r w:rsidRPr="005C3B55">
              <w:rPr>
                <w:noProof/>
                <w:szCs w:val="24"/>
              </w:rPr>
              <w:t> </w:t>
            </w:r>
          </w:p>
          <w:p w:rsidR="00BD3B5F" w:rsidRPr="005C3B55" w:rsidRDefault="00BD3B5F">
            <w:pPr>
              <w:pStyle w:val="Telobesedila"/>
              <w:rPr>
                <w:szCs w:val="24"/>
              </w:rPr>
            </w:pPr>
          </w:p>
        </w:tc>
      </w:tr>
    </w:tbl>
    <w:p w:rsidR="00BD3B5F" w:rsidRPr="005C3B55" w:rsidRDefault="00BD3B5F">
      <w:pPr>
        <w:pStyle w:val="Naslov3"/>
        <w:tabs>
          <w:tab w:val="clear" w:pos="765"/>
        </w:tabs>
        <w:ind w:left="0" w:firstLine="0"/>
        <w:jc w:val="left"/>
        <w:rPr>
          <w:szCs w:val="24"/>
          <w:lang w:val="en-GB"/>
        </w:rPr>
      </w:pPr>
      <w:bookmarkStart w:id="47" w:name="_Toc416192505"/>
      <w:r w:rsidRPr="005C3B55">
        <w:rPr>
          <w:szCs w:val="24"/>
          <w:lang w:val="en-GB"/>
        </w:rPr>
        <w:t>Opportunities determined in the programme area</w:t>
      </w:r>
      <w:bookmarkEnd w:id="47"/>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10656" w:type="dxa"/>
          </w:tcPr>
          <w:p w:rsidR="00BD3B5F" w:rsidRPr="005C3B55" w:rsidRDefault="00BD3B5F" w:rsidP="00BD3B5F">
            <w:pPr>
              <w:numPr>
                <w:ilvl w:val="0"/>
                <w:numId w:val="24"/>
              </w:numPr>
              <w:spacing w:before="0" w:after="0"/>
              <w:ind w:hanging="290"/>
              <w:jc w:val="left"/>
              <w:rPr>
                <w:noProof/>
                <w:szCs w:val="24"/>
              </w:rPr>
            </w:pPr>
            <w:r w:rsidRPr="005C3B55">
              <w:rPr>
                <w:szCs w:val="24"/>
              </w:rPr>
              <w:t>Greater qualification and motivation of agricultural holdings to take over sustainable agricultural practices, which will enable the reduction of impacts of agriculture on the environment.</w:t>
            </w:r>
            <w:r w:rsidRPr="005C3B55">
              <w:rPr>
                <w:noProof/>
                <w:szCs w:val="24"/>
              </w:rPr>
              <w:t xml:space="preserve"> </w:t>
            </w:r>
            <w:r w:rsidRPr="005C3B55">
              <w:rPr>
                <w:szCs w:val="24"/>
              </w:rPr>
              <w:t>Areas of reducing and professionally founded use of PPP, nutrients (nitrogen, phosphorus) and organic substances are of key importance.</w:t>
            </w:r>
            <w:r w:rsidRPr="005C3B55">
              <w:rPr>
                <w:noProof/>
                <w:szCs w:val="24"/>
              </w:rPr>
              <w:t xml:space="preserve"> </w:t>
            </w:r>
            <w:r w:rsidRPr="005C3B55">
              <w:rPr>
                <w:szCs w:val="24"/>
              </w:rPr>
              <w:t>Implementing practices that contribute to more appropriate use and processing of soil (also for the purpose of reducing the hydromorphological burden on water and nutrient washing), preservation of cultural landscape, landscape elements (e.g. hedges, riparian vegetation).</w:t>
            </w:r>
            <w:r w:rsidRPr="005C3B55">
              <w:rPr>
                <w:noProof/>
                <w:szCs w:val="24"/>
              </w:rPr>
              <w:t xml:space="preserve"> </w:t>
            </w:r>
            <w:r w:rsidRPr="005C3B55">
              <w:rPr>
                <w:szCs w:val="24"/>
              </w:rPr>
              <w:t>Strengthening the preservation of genetic sources.</w:t>
            </w:r>
            <w:r w:rsidRPr="005C3B55">
              <w:rPr>
                <w:noProof/>
                <w:szCs w:val="24"/>
              </w:rPr>
              <w:t xml:space="preserve"> </w:t>
            </w:r>
            <w:r w:rsidRPr="005C3B55">
              <w:rPr>
                <w:szCs w:val="24"/>
              </w:rPr>
              <w:t>Producers must be encouraged to take up organic farming.</w:t>
            </w:r>
            <w:r w:rsidRPr="005C3B55">
              <w:rPr>
                <w:noProof/>
                <w:szCs w:val="24"/>
              </w:rPr>
              <w:t xml:space="preserve"> </w:t>
            </w:r>
            <w:r w:rsidRPr="005C3B55">
              <w:rPr>
                <w:szCs w:val="24"/>
              </w:rPr>
              <w:t>These practices will address the worsening status of habitat types and species, which is especially problematic on grassland and freshwater habitat types.</w:t>
            </w:r>
            <w:r w:rsidRPr="005C3B55">
              <w:rPr>
                <w:noProof/>
                <w:szCs w:val="24"/>
              </w:rPr>
              <w:t xml:space="preserve"> </w:t>
            </w:r>
            <w:r w:rsidRPr="005C3B55">
              <w:rPr>
                <w:szCs w:val="24"/>
              </w:rPr>
              <w:t>A sustainable agriculture development model can respond to the increasing expectations of society with regard to preserving natural resources (biodiversity, water and soil quality) and a diverse cultural landscape as well as to the growth in consumer demand for a better range of products in quality schemes.</w:t>
            </w:r>
          </w:p>
          <w:p w:rsidR="00BD3B5F" w:rsidRPr="005C3B55" w:rsidRDefault="00BD3B5F" w:rsidP="00BD3B5F">
            <w:pPr>
              <w:numPr>
                <w:ilvl w:val="0"/>
                <w:numId w:val="24"/>
              </w:numPr>
              <w:spacing w:before="0" w:after="0"/>
              <w:ind w:hanging="290"/>
              <w:jc w:val="left"/>
              <w:rPr>
                <w:noProof/>
                <w:szCs w:val="24"/>
              </w:rPr>
            </w:pPr>
            <w:r w:rsidRPr="005C3B55">
              <w:rPr>
                <w:szCs w:val="24"/>
              </w:rPr>
              <w:t>Agricultural holdings can increase activities to resist climate change with a more appropriate selection of agro-technical measures and crops; they can reduce soil loss due to erosion and increase the stability of production.</w:t>
            </w:r>
            <w:r w:rsidRPr="005C3B55">
              <w:rPr>
                <w:noProof/>
                <w:szCs w:val="24"/>
              </w:rPr>
              <w:t xml:space="preserve"> </w:t>
            </w:r>
            <w:r w:rsidRPr="005C3B55">
              <w:rPr>
                <w:szCs w:val="24"/>
              </w:rPr>
              <w:t>In dry periods, they can improve the stability of production with a more effective water supply (water containers, water retention tanks), the adjustment of ventilation systems and stable cooling, adaptation of animal feeding etc.</w:t>
            </w:r>
          </w:p>
          <w:p w:rsidR="00BD3B5F" w:rsidRPr="005C3B55" w:rsidRDefault="00BD3B5F" w:rsidP="00BD3B5F">
            <w:pPr>
              <w:numPr>
                <w:ilvl w:val="0"/>
                <w:numId w:val="24"/>
              </w:numPr>
              <w:spacing w:before="0" w:after="0"/>
              <w:ind w:hanging="290"/>
              <w:jc w:val="left"/>
              <w:rPr>
                <w:noProof/>
                <w:szCs w:val="24"/>
              </w:rPr>
            </w:pPr>
            <w:r w:rsidRPr="005C3B55">
              <w:rPr>
                <w:szCs w:val="24"/>
              </w:rPr>
              <w:t>Sustainble irrigation development, including the increased utilisation and renovation of existing irrigation systems, and greater economic stability and efficiency of farm production during dry periods can be ensured by a water management plan while considering the significance of rational and effective consumption</w:t>
            </w:r>
            <w:r w:rsidRPr="005C3B55">
              <w:rPr>
                <w:vanish/>
                <w:szCs w:val="24"/>
              </w:rPr>
              <w:t xml:space="preserve"> of water.</w:t>
            </w:r>
          </w:p>
          <w:p w:rsidR="00BD3B5F" w:rsidRPr="005C3B55" w:rsidRDefault="00BD3B5F" w:rsidP="00BD3B5F">
            <w:pPr>
              <w:numPr>
                <w:ilvl w:val="0"/>
                <w:numId w:val="24"/>
              </w:numPr>
              <w:spacing w:before="0" w:after="0"/>
              <w:ind w:hanging="290"/>
              <w:jc w:val="left"/>
              <w:rPr>
                <w:noProof/>
                <w:szCs w:val="24"/>
              </w:rPr>
            </w:pPr>
            <w:r w:rsidRPr="005C3B55">
              <w:rPr>
                <w:szCs w:val="24"/>
              </w:rPr>
              <w:t>Measures to reduce GHG emissions in agriculture can directly contribute to the competitiveness of the industry, since energy and nitrogen are emitted into the environment with methane and di-nitrogen oxide.</w:t>
            </w:r>
            <w:r w:rsidRPr="005C3B55">
              <w:rPr>
                <w:noProof/>
                <w:szCs w:val="24"/>
              </w:rPr>
              <w:t xml:space="preserve"> </w:t>
            </w:r>
            <w:r w:rsidRPr="005C3B55">
              <w:rPr>
                <w:szCs w:val="24"/>
              </w:rPr>
              <w:t>The same applies to ammonia emissions.</w:t>
            </w:r>
            <w:r w:rsidRPr="005C3B55">
              <w:rPr>
                <w:noProof/>
                <w:szCs w:val="24"/>
              </w:rPr>
              <w:t xml:space="preserve"> </w:t>
            </w:r>
            <w:r w:rsidRPr="005C3B55">
              <w:rPr>
                <w:szCs w:val="24"/>
              </w:rPr>
              <w:t>By implementing measures to reduce ammonia emissions into the air, producers can increase the quantity of nutrients for plants, reduce the costs of mineral fertilisers etc.</w:t>
            </w:r>
            <w:r w:rsidRPr="005C3B55">
              <w:rPr>
                <w:noProof/>
                <w:szCs w:val="24"/>
              </w:rPr>
              <w:t xml:space="preserve"> </w:t>
            </w:r>
            <w:r w:rsidRPr="005C3B55">
              <w:rPr>
                <w:szCs w:val="24"/>
              </w:rPr>
              <w:t>Opportunities are shown in raising awareness and accessing incentives to increase breeding efficiency, improved methods of breeding and manure storage, professional fertilisation and less use of fertilisers, less use of PPP etc., thus reducing GHG emissions and ammonia emissions in agriculture.</w:t>
            </w:r>
          </w:p>
          <w:p w:rsidR="00BD3B5F" w:rsidRPr="005C3B55" w:rsidRDefault="00BD3B5F" w:rsidP="00BD3B5F">
            <w:pPr>
              <w:numPr>
                <w:ilvl w:val="0"/>
                <w:numId w:val="24"/>
              </w:numPr>
              <w:spacing w:before="0" w:after="0"/>
              <w:ind w:hanging="290"/>
              <w:jc w:val="left"/>
              <w:rPr>
                <w:noProof/>
                <w:szCs w:val="24"/>
              </w:rPr>
            </w:pPr>
            <w:r w:rsidRPr="005C3B55">
              <w:rPr>
                <w:szCs w:val="24"/>
              </w:rPr>
              <w:t>Appropriate soil cultivation can increase the sequestration of carbon in soil.</w:t>
            </w:r>
          </w:p>
          <w:p w:rsidR="00BD3B5F" w:rsidRPr="005C3B55" w:rsidRDefault="00BD3B5F" w:rsidP="00BD3B5F">
            <w:pPr>
              <w:numPr>
                <w:ilvl w:val="0"/>
                <w:numId w:val="24"/>
              </w:numPr>
              <w:spacing w:before="0" w:after="0"/>
              <w:ind w:hanging="290"/>
              <w:jc w:val="left"/>
              <w:rPr>
                <w:noProof/>
                <w:szCs w:val="24"/>
              </w:rPr>
            </w:pPr>
            <w:r w:rsidRPr="005C3B55">
              <w:rPr>
                <w:szCs w:val="24"/>
              </w:rPr>
              <w:t>Enhancing restructuring processes and raising the productivity of Slovenian agriculture can be achieved by continuing land (agrarian) operations, greater specialisation in agriculture, raising labour productivity and economic efficiency, generational renewal and raising the level of qualifications in agriculture and stimulating market-oriented agricultural holdings to additionally invest in improving the environment, increasing innovation and adapting to climate change.</w:t>
            </w:r>
          </w:p>
          <w:p w:rsidR="00BD3B5F" w:rsidRPr="005C3B55" w:rsidRDefault="00BD3B5F" w:rsidP="00BD3B5F">
            <w:pPr>
              <w:numPr>
                <w:ilvl w:val="0"/>
                <w:numId w:val="24"/>
              </w:numPr>
              <w:spacing w:before="0" w:after="0"/>
              <w:ind w:hanging="290"/>
              <w:jc w:val="left"/>
              <w:rPr>
                <w:noProof/>
                <w:szCs w:val="24"/>
              </w:rPr>
            </w:pPr>
            <w:r w:rsidRPr="005C3B55">
              <w:rPr>
                <w:szCs w:val="24"/>
              </w:rPr>
              <w:t>Increasing the share of young farmers up to 40 years old can contribute to the faster introduction of new technological knowledge and innovation.</w:t>
            </w:r>
          </w:p>
          <w:p w:rsidR="00BD3B5F" w:rsidRPr="005C3B55" w:rsidRDefault="00BD3B5F" w:rsidP="00BD3B5F">
            <w:pPr>
              <w:numPr>
                <w:ilvl w:val="0"/>
                <w:numId w:val="24"/>
              </w:numPr>
              <w:spacing w:before="0" w:after="0"/>
              <w:ind w:hanging="290"/>
              <w:jc w:val="left"/>
              <w:rPr>
                <w:noProof/>
                <w:szCs w:val="24"/>
              </w:rPr>
            </w:pPr>
            <w:r w:rsidRPr="005C3B55">
              <w:rPr>
                <w:szCs w:val="24"/>
              </w:rPr>
              <w:t>The preservation and development of agricultural activity in areas with limited possibilities for agricultural activity.</w:t>
            </w:r>
          </w:p>
          <w:p w:rsidR="00BD3B5F" w:rsidRPr="005C3B55" w:rsidRDefault="00BD3B5F" w:rsidP="00BD3B5F">
            <w:pPr>
              <w:numPr>
                <w:ilvl w:val="0"/>
                <w:numId w:val="24"/>
              </w:numPr>
              <w:spacing w:before="0" w:after="0"/>
              <w:ind w:hanging="290"/>
              <w:jc w:val="left"/>
              <w:rPr>
                <w:noProof/>
                <w:szCs w:val="24"/>
              </w:rPr>
            </w:pPr>
            <w:r w:rsidRPr="005C3B55">
              <w:rPr>
                <w:szCs w:val="24"/>
              </w:rPr>
              <w:t>The greater use of renewable sources of energy can contribute to raising energy efficiency, reducing fixed production costs and dependence on fossil fuels, and thus also to improving the environmental and economic efficiency of agricultural holdings.</w:t>
            </w:r>
          </w:p>
          <w:p w:rsidR="00BD3B5F" w:rsidRPr="005C3B55" w:rsidRDefault="00BD3B5F" w:rsidP="00BD3B5F">
            <w:pPr>
              <w:numPr>
                <w:ilvl w:val="0"/>
                <w:numId w:val="24"/>
              </w:numPr>
              <w:spacing w:before="0" w:after="0"/>
              <w:ind w:hanging="290"/>
              <w:jc w:val="left"/>
              <w:rPr>
                <w:noProof/>
                <w:szCs w:val="24"/>
              </w:rPr>
            </w:pPr>
            <w:r w:rsidRPr="005C3B55">
              <w:rPr>
                <w:szCs w:val="24"/>
              </w:rPr>
              <w:t>Enhanced inclusion of farmers in quality schemes opens new market opportunities.</w:t>
            </w:r>
          </w:p>
          <w:p w:rsidR="00BD3B5F" w:rsidRPr="005C3B55" w:rsidRDefault="00BD3B5F" w:rsidP="00BD3B5F">
            <w:pPr>
              <w:numPr>
                <w:ilvl w:val="0"/>
                <w:numId w:val="24"/>
              </w:numPr>
              <w:spacing w:before="0" w:after="0"/>
              <w:ind w:hanging="290"/>
              <w:jc w:val="left"/>
              <w:rPr>
                <w:noProof/>
                <w:szCs w:val="24"/>
              </w:rPr>
            </w:pPr>
            <w:r w:rsidRPr="005C3B55">
              <w:rPr>
                <w:szCs w:val="24"/>
              </w:rPr>
              <w:t>The expansion and introduction of higher standards of animal breeding based on animal welfare is an opportunity to increase demand among consumers for products that originate from animal-friendly breeding, and the opportunity for the potential development of a new quality scheme.</w:t>
            </w:r>
          </w:p>
          <w:p w:rsidR="00BD3B5F" w:rsidRPr="005C3B55" w:rsidRDefault="00BD3B5F" w:rsidP="00BD3B5F">
            <w:pPr>
              <w:numPr>
                <w:ilvl w:val="0"/>
                <w:numId w:val="24"/>
              </w:numPr>
              <w:spacing w:before="0" w:after="0"/>
              <w:ind w:hanging="290"/>
              <w:jc w:val="left"/>
              <w:rPr>
                <w:noProof/>
                <w:szCs w:val="24"/>
              </w:rPr>
            </w:pPr>
            <w:r w:rsidRPr="005C3B55">
              <w:rPr>
                <w:szCs w:val="24"/>
              </w:rPr>
              <w:t>Connecting and organising market chains can enable agricultural holdings greater participation in the market, and greater processing stability, thereby achieving economies of scale and greater negotiating power, as well as higher final prices.</w:t>
            </w:r>
            <w:r w:rsidRPr="005C3B55">
              <w:rPr>
                <w:noProof/>
                <w:szCs w:val="24"/>
              </w:rPr>
              <w:t xml:space="preserve"> </w:t>
            </w:r>
            <w:r w:rsidRPr="005C3B55">
              <w:rPr>
                <w:szCs w:val="24"/>
              </w:rPr>
              <w:t>By connecting, various production and price oscillations can be reduced or mitigated, and the costs are reduced, e.g. of production, joint approach to the market, marketing and promotion.</w:t>
            </w:r>
          </w:p>
          <w:p w:rsidR="00BD3B5F" w:rsidRPr="005C3B55" w:rsidRDefault="00BD3B5F" w:rsidP="00BD3B5F">
            <w:pPr>
              <w:numPr>
                <w:ilvl w:val="0"/>
                <w:numId w:val="24"/>
              </w:numPr>
              <w:spacing w:before="0" w:after="0"/>
              <w:ind w:hanging="290"/>
              <w:jc w:val="left"/>
              <w:rPr>
                <w:noProof/>
                <w:szCs w:val="24"/>
              </w:rPr>
            </w:pPr>
            <w:r w:rsidRPr="005C3B55">
              <w:rPr>
                <w:szCs w:val="24"/>
              </w:rPr>
              <w:t>The increased competitiveness of the food processing branch, which can have positive multiplicative effects on the Slovenian agricultural environment, the creation of new jobs in this industry and its positioning in relation to competitors in the domestic and other markets.</w:t>
            </w:r>
          </w:p>
          <w:p w:rsidR="00BD3B5F" w:rsidRPr="005C3B55" w:rsidRDefault="00BD3B5F" w:rsidP="00BD3B5F">
            <w:pPr>
              <w:numPr>
                <w:ilvl w:val="0"/>
                <w:numId w:val="24"/>
              </w:numPr>
              <w:spacing w:before="0" w:after="0"/>
              <w:ind w:hanging="290"/>
              <w:jc w:val="left"/>
              <w:rPr>
                <w:noProof/>
                <w:szCs w:val="24"/>
              </w:rPr>
            </w:pPr>
            <w:r w:rsidRPr="005C3B55">
              <w:rPr>
                <w:szCs w:val="24"/>
              </w:rPr>
              <w:t>Immovable cultural heritage, which should be restored by intervening in buildings that are purposed for the agricultural, food and forest sectors, as well as other non-agricultural activities in the countryside.</w:t>
            </w:r>
          </w:p>
          <w:p w:rsidR="00BD3B5F" w:rsidRPr="005C3B55" w:rsidRDefault="00BD3B5F" w:rsidP="00BD3B5F">
            <w:pPr>
              <w:numPr>
                <w:ilvl w:val="0"/>
                <w:numId w:val="24"/>
              </w:numPr>
              <w:spacing w:before="0" w:after="0"/>
              <w:ind w:hanging="290"/>
              <w:jc w:val="left"/>
              <w:rPr>
                <w:noProof/>
                <w:szCs w:val="24"/>
              </w:rPr>
            </w:pPr>
            <w:r w:rsidRPr="005C3B55">
              <w:rPr>
                <w:szCs w:val="24"/>
              </w:rPr>
              <w:t>The establishment of new instruments for risk management to ensure greater stability in production and the costs of agricultural producers.</w:t>
            </w:r>
          </w:p>
          <w:p w:rsidR="00BD3B5F" w:rsidRPr="005C3B55" w:rsidRDefault="00BD3B5F" w:rsidP="00BD3B5F">
            <w:pPr>
              <w:numPr>
                <w:ilvl w:val="0"/>
                <w:numId w:val="24"/>
              </w:numPr>
              <w:spacing w:before="0" w:after="0"/>
              <w:ind w:hanging="290"/>
              <w:jc w:val="left"/>
              <w:rPr>
                <w:noProof/>
                <w:szCs w:val="24"/>
              </w:rPr>
            </w:pPr>
            <w:r w:rsidRPr="005C3B55">
              <w:rPr>
                <w:szCs w:val="24"/>
              </w:rPr>
              <w:t>Better qualifications of consultants and better accessibility of specialised advisory services, and improved cooperation between various stakeholders for transferring knowledge and innovations can significantly contribute to greater productivity and sustainability in agriculture.</w:t>
            </w:r>
          </w:p>
          <w:p w:rsidR="00BD3B5F" w:rsidRPr="005C3B55" w:rsidRDefault="00BD3B5F" w:rsidP="00BD3B5F">
            <w:pPr>
              <w:numPr>
                <w:ilvl w:val="0"/>
                <w:numId w:val="24"/>
              </w:numPr>
              <w:spacing w:before="0" w:after="0"/>
              <w:ind w:hanging="290"/>
              <w:jc w:val="left"/>
              <w:rPr>
                <w:noProof/>
                <w:szCs w:val="24"/>
              </w:rPr>
            </w:pPr>
            <w:r w:rsidRPr="005C3B55">
              <w:rPr>
                <w:szCs w:val="24"/>
              </w:rPr>
              <w:t>By investing in the renewal of forests damaged in disasters, faster restoration of the environmental, social and economic functions of forests can be ensured.</w:t>
            </w:r>
          </w:p>
          <w:p w:rsidR="00BD3B5F" w:rsidRPr="005C3B55" w:rsidRDefault="00BD3B5F" w:rsidP="00BD3B5F">
            <w:pPr>
              <w:numPr>
                <w:ilvl w:val="0"/>
                <w:numId w:val="24"/>
              </w:numPr>
              <w:spacing w:before="0" w:after="0"/>
              <w:ind w:hanging="290"/>
              <w:jc w:val="left"/>
              <w:rPr>
                <w:noProof/>
                <w:szCs w:val="24"/>
              </w:rPr>
            </w:pPr>
            <w:r w:rsidRPr="005C3B55">
              <w:rPr>
                <w:szCs w:val="24"/>
              </w:rPr>
              <w:t>Sustainable forest management that considers the significance of preserving sensitive habitats and species in forests – development of eco-cells.</w:t>
            </w:r>
          </w:p>
          <w:p w:rsidR="00BD3B5F" w:rsidRPr="005C3B55" w:rsidRDefault="00BD3B5F" w:rsidP="00BD3B5F">
            <w:pPr>
              <w:numPr>
                <w:ilvl w:val="0"/>
                <w:numId w:val="24"/>
              </w:numPr>
              <w:spacing w:before="0" w:after="0"/>
              <w:ind w:hanging="290"/>
              <w:jc w:val="left"/>
              <w:rPr>
                <w:noProof/>
                <w:szCs w:val="24"/>
              </w:rPr>
            </w:pPr>
            <w:r w:rsidRPr="005C3B55">
              <w:rPr>
                <w:szCs w:val="24"/>
              </w:rPr>
              <w:t>Improving forest infrastructure can improve the utilisation of possible felling in forests and reduce the costs of skidding, as well as raising the economic efficiency of forest owners.</w:t>
            </w:r>
          </w:p>
          <w:p w:rsidR="00BD3B5F" w:rsidRPr="005C3B55" w:rsidRDefault="00BD3B5F" w:rsidP="00BD3B5F">
            <w:pPr>
              <w:numPr>
                <w:ilvl w:val="0"/>
                <w:numId w:val="24"/>
              </w:numPr>
              <w:spacing w:before="0" w:after="0"/>
              <w:ind w:hanging="290"/>
              <w:jc w:val="left"/>
              <w:rPr>
                <w:noProof/>
                <w:szCs w:val="24"/>
              </w:rPr>
            </w:pPr>
            <w:r w:rsidRPr="005C3B55">
              <w:rPr>
                <w:szCs w:val="24"/>
              </w:rPr>
              <w:t>Improving the technical equipment of forest owners can enhance economic and environmental efficiency and reduce the risk of labour accidents in forests.</w:t>
            </w:r>
          </w:p>
          <w:p w:rsidR="00BD3B5F" w:rsidRPr="005C3B55" w:rsidRDefault="00BD3B5F" w:rsidP="00BD3B5F">
            <w:pPr>
              <w:numPr>
                <w:ilvl w:val="0"/>
                <w:numId w:val="24"/>
              </w:numPr>
              <w:spacing w:before="0" w:after="0"/>
              <w:ind w:hanging="290"/>
              <w:jc w:val="left"/>
              <w:rPr>
                <w:noProof/>
                <w:szCs w:val="24"/>
              </w:rPr>
            </w:pPr>
            <w:r w:rsidRPr="005C3B55">
              <w:rPr>
                <w:szCs w:val="24"/>
              </w:rPr>
              <w:t>Expanding the use of wood as a construction material, material for industry and a renewable source of energy can have an important impact on the development of the wood-processing industry or the entire forest-wood chain.</w:t>
            </w:r>
            <w:r w:rsidRPr="005C3B55">
              <w:rPr>
                <w:noProof/>
                <w:szCs w:val="24"/>
              </w:rPr>
              <w:t xml:space="preserve"> </w:t>
            </w:r>
            <w:r w:rsidRPr="005C3B55">
              <w:rPr>
                <w:szCs w:val="24"/>
              </w:rPr>
              <w:t>It must be ensured that the use of forest potential is harmonised with forest and economic plans, so that no excessive forest exploitation occurs.</w:t>
            </w:r>
            <w:r w:rsidRPr="005C3B55">
              <w:rPr>
                <w:noProof/>
                <w:szCs w:val="24"/>
              </w:rPr>
              <w:t xml:space="preserve"> </w:t>
            </w:r>
            <w:r w:rsidRPr="005C3B55">
              <w:rPr>
                <w:szCs w:val="24"/>
              </w:rPr>
              <w:t>At the same time, it must be considered when stimulating the use of wood biomass that in the case of non-optimal burning this can be a potential source of additional PM particle emissions.</w:t>
            </w:r>
          </w:p>
          <w:p w:rsidR="00BD3B5F" w:rsidRPr="005C3B55" w:rsidRDefault="00BD3B5F" w:rsidP="00BD3B5F">
            <w:pPr>
              <w:numPr>
                <w:ilvl w:val="0"/>
                <w:numId w:val="24"/>
              </w:numPr>
              <w:spacing w:before="0" w:after="0"/>
              <w:ind w:hanging="290"/>
              <w:jc w:val="left"/>
              <w:rPr>
                <w:noProof/>
                <w:szCs w:val="24"/>
              </w:rPr>
            </w:pPr>
            <w:r w:rsidRPr="005C3B55">
              <w:rPr>
                <w:szCs w:val="24"/>
              </w:rPr>
              <w:t>Better market organisation of forest owners can improve their incomes, simplify joint approaches to the market and negotiating positions with other elements in the forest-wood chain.</w:t>
            </w:r>
          </w:p>
          <w:p w:rsidR="00BD3B5F" w:rsidRPr="005C3B55" w:rsidRDefault="00BD3B5F" w:rsidP="00BD3B5F">
            <w:pPr>
              <w:numPr>
                <w:ilvl w:val="0"/>
                <w:numId w:val="24"/>
              </w:numPr>
              <w:spacing w:before="0" w:after="0"/>
              <w:ind w:hanging="290"/>
              <w:jc w:val="left"/>
              <w:rPr>
                <w:noProof/>
                <w:szCs w:val="24"/>
              </w:rPr>
            </w:pPr>
            <w:r w:rsidRPr="005C3B55">
              <w:rPr>
                <w:szCs w:val="24"/>
              </w:rPr>
              <w:t>Better organisation and collaboration on developing forest-wood chains in Slovenia can enhance the competitiveness of all links in the chain from forestry to wood processing, and enhance the added value of wood.</w:t>
            </w:r>
            <w:r w:rsidRPr="005C3B55">
              <w:rPr>
                <w:noProof/>
                <w:szCs w:val="24"/>
              </w:rPr>
              <w:t xml:space="preserve"> </w:t>
            </w:r>
            <w:r w:rsidRPr="005C3B55">
              <w:rPr>
                <w:szCs w:val="24"/>
              </w:rPr>
              <w:t>The restructuring of the wood-processing industry is of key importance.</w:t>
            </w:r>
          </w:p>
          <w:p w:rsidR="00BD3B5F" w:rsidRPr="005C3B55" w:rsidRDefault="00BD3B5F" w:rsidP="00BD3B5F">
            <w:pPr>
              <w:numPr>
                <w:ilvl w:val="0"/>
                <w:numId w:val="24"/>
              </w:numPr>
              <w:spacing w:before="0" w:after="0"/>
              <w:ind w:hanging="290"/>
              <w:jc w:val="left"/>
              <w:rPr>
                <w:noProof/>
                <w:szCs w:val="24"/>
              </w:rPr>
            </w:pPr>
            <w:r w:rsidRPr="005C3B55">
              <w:rPr>
                <w:szCs w:val="24"/>
              </w:rPr>
              <w:t>From the aspect of increasing unemployment and halting the decline in economic activity in the countryside, the opportunity to preserve jobs and create new ones lies in developing non-agricultural activities, which will mostly rely on activating local potential in connection with cultural heritage, the preservation of nature, natural resources (e.g. wood), human and social capital, local self-sufficiency, green tourism, and renewable sources of energy.</w:t>
            </w:r>
          </w:p>
          <w:p w:rsidR="00BD3B5F" w:rsidRPr="005C3B55" w:rsidRDefault="00BD3B5F" w:rsidP="00BD3B5F">
            <w:pPr>
              <w:numPr>
                <w:ilvl w:val="0"/>
                <w:numId w:val="24"/>
              </w:numPr>
              <w:spacing w:before="0" w:after="0"/>
              <w:ind w:hanging="290"/>
              <w:jc w:val="left"/>
              <w:rPr>
                <w:noProof/>
                <w:szCs w:val="24"/>
              </w:rPr>
            </w:pPr>
            <w:r w:rsidRPr="005C3B55">
              <w:rPr>
                <w:szCs w:val="24"/>
              </w:rPr>
              <w:t>By using appropriate financial instruments when banks are not making loans, investment activities of agricultural holdings and companies could be improved.</w:t>
            </w:r>
          </w:p>
          <w:p w:rsidR="00BD3B5F" w:rsidRPr="005C3B55" w:rsidRDefault="00BD3B5F" w:rsidP="00BD3B5F">
            <w:pPr>
              <w:numPr>
                <w:ilvl w:val="0"/>
                <w:numId w:val="24"/>
              </w:numPr>
              <w:spacing w:before="0" w:after="0"/>
              <w:ind w:hanging="290"/>
              <w:jc w:val="left"/>
              <w:rPr>
                <w:noProof/>
                <w:szCs w:val="24"/>
              </w:rPr>
            </w:pPr>
            <w:r w:rsidRPr="005C3B55">
              <w:rPr>
                <w:szCs w:val="24"/>
              </w:rPr>
              <w:t>The improved access to ITC technologies (broadband Internet) and increased use and quality can have a positive impact economic activities, and may also attract investors, create new jobs and improve the demographic structure of the countryside.</w:t>
            </w:r>
          </w:p>
          <w:p w:rsidR="00BD3B5F" w:rsidRPr="005C3B55" w:rsidRDefault="00BD3B5F" w:rsidP="00BD3B5F">
            <w:pPr>
              <w:numPr>
                <w:ilvl w:val="0"/>
                <w:numId w:val="24"/>
              </w:numPr>
              <w:spacing w:before="0" w:after="0"/>
              <w:ind w:hanging="290"/>
              <w:jc w:val="left"/>
              <w:rPr>
                <w:noProof/>
                <w:szCs w:val="24"/>
              </w:rPr>
            </w:pPr>
            <w:r w:rsidRPr="005C3B55">
              <w:rPr>
                <w:szCs w:val="24"/>
              </w:rPr>
              <w:t>Environment protection and the preservation of cultural heritage is important for ensuring the socially sustainable and harmonised development of the countryside, the preservation of settlements and the improvement of living standards.</w:t>
            </w:r>
          </w:p>
          <w:p w:rsidR="00BD3B5F" w:rsidRPr="005C3B55" w:rsidRDefault="00BD3B5F" w:rsidP="00BD3B5F">
            <w:pPr>
              <w:numPr>
                <w:ilvl w:val="0"/>
                <w:numId w:val="24"/>
              </w:numPr>
              <w:spacing w:before="0" w:after="0"/>
              <w:ind w:hanging="290"/>
              <w:jc w:val="left"/>
              <w:rPr>
                <w:noProof/>
                <w:szCs w:val="24"/>
              </w:rPr>
            </w:pPr>
            <w:r w:rsidRPr="005C3B55">
              <w:rPr>
                <w:szCs w:val="24"/>
              </w:rPr>
              <w:t>Specific local development strategies based on a situation analysis and analysis of local area needs.</w:t>
            </w:r>
          </w:p>
          <w:p w:rsidR="00BD3B5F" w:rsidRPr="005C3B55" w:rsidRDefault="00BD3B5F" w:rsidP="00BD3B5F">
            <w:pPr>
              <w:numPr>
                <w:ilvl w:val="0"/>
                <w:numId w:val="24"/>
              </w:numPr>
              <w:spacing w:before="0" w:after="0"/>
              <w:ind w:hanging="290"/>
              <w:jc w:val="left"/>
              <w:rPr>
                <w:noProof/>
                <w:szCs w:val="24"/>
              </w:rPr>
            </w:pPr>
            <w:r w:rsidRPr="005C3B55">
              <w:rPr>
                <w:szCs w:val="24"/>
              </w:rPr>
              <w:t>Harmonised rural development in accordance with the needs of the local environment.</w:t>
            </w:r>
          </w:p>
          <w:p w:rsidR="00BD3B5F" w:rsidRPr="005C3B55" w:rsidRDefault="00BD3B5F" w:rsidP="00BD3B5F">
            <w:pPr>
              <w:numPr>
                <w:ilvl w:val="0"/>
                <w:numId w:val="24"/>
              </w:numPr>
              <w:spacing w:before="0" w:after="0"/>
              <w:ind w:hanging="290"/>
              <w:jc w:val="left"/>
              <w:rPr>
                <w:noProof/>
                <w:szCs w:val="24"/>
              </w:rPr>
            </w:pPr>
            <w:r w:rsidRPr="005C3B55">
              <w:rPr>
                <w:szCs w:val="24"/>
              </w:rPr>
              <w:t>Cooperation and exchange of experience, best practice cases and knowledge between local development partnerships.</w:t>
            </w:r>
          </w:p>
          <w:p w:rsidR="00BD3B5F" w:rsidRPr="005C3B55" w:rsidRDefault="00BD3B5F" w:rsidP="00BD3B5F">
            <w:pPr>
              <w:numPr>
                <w:ilvl w:val="0"/>
                <w:numId w:val="24"/>
              </w:numPr>
              <w:spacing w:before="0" w:after="0"/>
              <w:ind w:hanging="290"/>
              <w:jc w:val="left"/>
              <w:rPr>
                <w:noProof/>
                <w:szCs w:val="24"/>
              </w:rPr>
            </w:pPr>
            <w:r w:rsidRPr="005C3B55">
              <w:rPr>
                <w:szCs w:val="24"/>
              </w:rPr>
              <w:t>Creating new jobs, improving basic services, environment protection, nature conservation, cultural heritage conservation, greater inclusion of young people, women and other vulnerable groups with consideration of the needs of the local area.</w:t>
            </w:r>
          </w:p>
          <w:p w:rsidR="00BD3B5F" w:rsidRPr="005C3B55" w:rsidRDefault="00BD3B5F" w:rsidP="00BD3B5F">
            <w:pPr>
              <w:numPr>
                <w:ilvl w:val="0"/>
                <w:numId w:val="24"/>
              </w:numPr>
              <w:spacing w:before="0" w:after="240"/>
              <w:ind w:hanging="290"/>
              <w:jc w:val="left"/>
              <w:rPr>
                <w:noProof/>
                <w:szCs w:val="24"/>
              </w:rPr>
            </w:pPr>
            <w:r w:rsidRPr="005C3B55">
              <w:rPr>
                <w:szCs w:val="24"/>
              </w:rPr>
              <w:t>Implementation of comprehensive and complex operations that arise from the needs of local partnerships via various financing sources.</w:t>
            </w:r>
          </w:p>
          <w:p w:rsidR="00BD3B5F" w:rsidRPr="005C3B55" w:rsidRDefault="00BD3B5F">
            <w:pPr>
              <w:pStyle w:val="Telobesedila"/>
              <w:rPr>
                <w:szCs w:val="24"/>
              </w:rPr>
            </w:pPr>
          </w:p>
        </w:tc>
      </w:tr>
    </w:tbl>
    <w:p w:rsidR="00BD3B5F" w:rsidRPr="005C3B55" w:rsidRDefault="00BD3B5F">
      <w:pPr>
        <w:pStyle w:val="Naslov3"/>
        <w:tabs>
          <w:tab w:val="clear" w:pos="765"/>
        </w:tabs>
        <w:ind w:left="0" w:firstLine="0"/>
        <w:jc w:val="left"/>
        <w:rPr>
          <w:szCs w:val="24"/>
          <w:lang w:val="en-GB"/>
        </w:rPr>
      </w:pPr>
      <w:bookmarkStart w:id="48" w:name="_Toc416192506"/>
      <w:r w:rsidRPr="005C3B55">
        <w:rPr>
          <w:szCs w:val="24"/>
          <w:lang w:val="en-GB"/>
        </w:rPr>
        <w:t>Threats determined in the programme area</w:t>
      </w:r>
      <w:bookmarkEnd w:id="48"/>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10656" w:type="dxa"/>
          </w:tcPr>
          <w:p w:rsidR="00BD3B5F" w:rsidRPr="005C3B55" w:rsidRDefault="00BD3B5F" w:rsidP="00BD3B5F">
            <w:pPr>
              <w:numPr>
                <w:ilvl w:val="0"/>
                <w:numId w:val="25"/>
              </w:numPr>
              <w:spacing w:before="0" w:after="0"/>
              <w:ind w:hanging="290"/>
              <w:jc w:val="left"/>
              <w:rPr>
                <w:noProof/>
                <w:szCs w:val="24"/>
              </w:rPr>
            </w:pPr>
            <w:r w:rsidRPr="005C3B55">
              <w:rPr>
                <w:szCs w:val="24"/>
              </w:rPr>
              <w:t>The lack of interest of farmers in engaging in environmentally-friendly practices and the further intensification of agriculture with inappropriate, excessive input of PPP, fertilisers and inappropriate cultivation of soil.</w:t>
            </w:r>
            <w:r w:rsidRPr="005C3B55">
              <w:rPr>
                <w:noProof/>
                <w:szCs w:val="24"/>
              </w:rPr>
              <w:t xml:space="preserve"> </w:t>
            </w:r>
            <w:r w:rsidRPr="005C3B55">
              <w:rPr>
                <w:szCs w:val="24"/>
              </w:rPr>
              <w:t>This can further harm water, soil and nature.</w:t>
            </w:r>
          </w:p>
          <w:p w:rsidR="00BD3B5F" w:rsidRPr="005C3B55" w:rsidRDefault="00BD3B5F" w:rsidP="00BD3B5F">
            <w:pPr>
              <w:numPr>
                <w:ilvl w:val="0"/>
                <w:numId w:val="25"/>
              </w:numPr>
              <w:spacing w:before="0" w:after="0"/>
              <w:ind w:hanging="290"/>
              <w:jc w:val="left"/>
              <w:rPr>
                <w:noProof/>
                <w:szCs w:val="24"/>
              </w:rPr>
            </w:pPr>
            <w:r w:rsidRPr="005C3B55">
              <w:rPr>
                <w:szCs w:val="24"/>
              </w:rPr>
              <w:t>Abandoning agricultural activity in more remote areas, i.e. areas with limited possibilities for agricultural activity, can negatively impact the demographic and economic structure of these areas.</w:t>
            </w:r>
            <w:r w:rsidRPr="005C3B55">
              <w:rPr>
                <w:noProof/>
                <w:szCs w:val="24"/>
              </w:rPr>
              <w:t xml:space="preserve"> </w:t>
            </w:r>
            <w:r w:rsidRPr="005C3B55">
              <w:rPr>
                <w:szCs w:val="24"/>
              </w:rPr>
              <w:t>At the same time, the abandonment of farming leads to overgrowth of agricultural land, where the productive potential of soil and the habitat for certain species, e.g. farmland birds, is lost.</w:t>
            </w:r>
          </w:p>
          <w:p w:rsidR="00BD3B5F" w:rsidRPr="005C3B55" w:rsidRDefault="00BD3B5F" w:rsidP="00BD3B5F">
            <w:pPr>
              <w:numPr>
                <w:ilvl w:val="0"/>
                <w:numId w:val="25"/>
              </w:numPr>
              <w:spacing w:before="0" w:after="0"/>
              <w:ind w:hanging="290"/>
              <w:jc w:val="left"/>
              <w:rPr>
                <w:noProof/>
                <w:szCs w:val="24"/>
              </w:rPr>
            </w:pPr>
            <w:r w:rsidRPr="005C3B55">
              <w:rPr>
                <w:szCs w:val="24"/>
              </w:rPr>
              <w:t>Without the appropriate adjustment of breeding methods, regulating storage capacities for manure, and unchanged use of PPP and fertilisers etc., agriculture will continue to contribute significantly to the emergence of GHG and ammonia emissions.</w:t>
            </w:r>
            <w:r w:rsidRPr="005C3B55">
              <w:rPr>
                <w:noProof/>
                <w:szCs w:val="24"/>
              </w:rPr>
              <w:t xml:space="preserve"> </w:t>
            </w:r>
            <w:r w:rsidRPr="005C3B55">
              <w:rPr>
                <w:szCs w:val="24"/>
              </w:rPr>
              <w:t>This will negatively impact the climate, ecosystems and people’s health.</w:t>
            </w:r>
          </w:p>
          <w:p w:rsidR="00BD3B5F" w:rsidRPr="005C3B55" w:rsidRDefault="00BD3B5F" w:rsidP="00BD3B5F">
            <w:pPr>
              <w:numPr>
                <w:ilvl w:val="0"/>
                <w:numId w:val="25"/>
              </w:numPr>
              <w:spacing w:before="0" w:after="0"/>
              <w:ind w:hanging="290"/>
              <w:jc w:val="left"/>
              <w:rPr>
                <w:noProof/>
                <w:szCs w:val="24"/>
              </w:rPr>
            </w:pPr>
            <w:r w:rsidRPr="005C3B55">
              <w:rPr>
                <w:szCs w:val="24"/>
              </w:rPr>
              <w:t>The lack of awareness and economic interest of farmers in adjusting agricultural practices to climate change.</w:t>
            </w:r>
            <w:r w:rsidRPr="005C3B55">
              <w:rPr>
                <w:noProof/>
                <w:szCs w:val="24"/>
              </w:rPr>
              <w:t xml:space="preserve"> </w:t>
            </w:r>
            <w:r w:rsidRPr="005C3B55">
              <w:rPr>
                <w:szCs w:val="24"/>
              </w:rPr>
              <w:t>The increase of negative impacts of climate change in the form of greater frequency and longer duration of spring and summer drought, as well as more frequent adverse climatic events (extremely high or low temperatures, late or early frost, strong wind, glaze ice, storms with hail, floods), more pest and diseases can strongly impact the economic situation of agricultural holdings.</w:t>
            </w:r>
          </w:p>
          <w:p w:rsidR="00BD3B5F" w:rsidRPr="005C3B55" w:rsidRDefault="00BD3B5F" w:rsidP="00BD3B5F">
            <w:pPr>
              <w:numPr>
                <w:ilvl w:val="0"/>
                <w:numId w:val="25"/>
              </w:numPr>
              <w:spacing w:before="0" w:after="0"/>
              <w:ind w:hanging="290"/>
              <w:jc w:val="left"/>
              <w:rPr>
                <w:noProof/>
                <w:szCs w:val="24"/>
              </w:rPr>
            </w:pPr>
            <w:r w:rsidRPr="005C3B55">
              <w:rPr>
                <w:szCs w:val="24"/>
              </w:rPr>
              <w:t>Climate change will cause the need to increase quality water sources for the water supply.</w:t>
            </w:r>
            <w:r w:rsidRPr="005C3B55">
              <w:rPr>
                <w:noProof/>
                <w:szCs w:val="24"/>
              </w:rPr>
              <w:t xml:space="preserve"> </w:t>
            </w:r>
            <w:r w:rsidRPr="005C3B55">
              <w:rPr>
                <w:szCs w:val="24"/>
              </w:rPr>
              <w:t>The most vulnerable areas due to climate change will include those which are already problematic from the aspect of drinking water supply or are exposed to drought.</w:t>
            </w:r>
          </w:p>
          <w:p w:rsidR="00BD3B5F" w:rsidRPr="005C3B55" w:rsidRDefault="00BD3B5F" w:rsidP="00BD3B5F">
            <w:pPr>
              <w:numPr>
                <w:ilvl w:val="0"/>
                <w:numId w:val="25"/>
              </w:numPr>
              <w:spacing w:before="0" w:after="0"/>
              <w:ind w:hanging="290"/>
              <w:jc w:val="left"/>
              <w:rPr>
                <w:noProof/>
                <w:szCs w:val="24"/>
              </w:rPr>
            </w:pPr>
            <w:r w:rsidRPr="005C3B55">
              <w:rPr>
                <w:szCs w:val="24"/>
              </w:rPr>
              <w:t>The lack of strategically oriented and systematic investments in the promotion of restructuring processes will increase the developmental lag behind the average of EU countries, lower the competitiveness of the industry and increase exposure to price pressure from the competition.</w:t>
            </w:r>
          </w:p>
          <w:p w:rsidR="00BD3B5F" w:rsidRPr="005C3B55" w:rsidRDefault="00BD3B5F" w:rsidP="00BD3B5F">
            <w:pPr>
              <w:numPr>
                <w:ilvl w:val="0"/>
                <w:numId w:val="25"/>
              </w:numPr>
              <w:spacing w:before="0" w:after="0"/>
              <w:ind w:hanging="290"/>
              <w:jc w:val="left"/>
              <w:rPr>
                <w:noProof/>
                <w:szCs w:val="24"/>
              </w:rPr>
            </w:pPr>
            <w:r w:rsidRPr="005C3B55">
              <w:rPr>
                <w:szCs w:val="24"/>
              </w:rPr>
              <w:t>Agriculture and its activity can be a potential source of negative hydromorphological and other environmental burdens (especially regarding the worsening of the status of habitats and types, quality of water).</w:t>
            </w:r>
            <w:r w:rsidRPr="005C3B55">
              <w:rPr>
                <w:noProof/>
                <w:szCs w:val="24"/>
              </w:rPr>
              <w:t xml:space="preserve"> </w:t>
            </w:r>
            <w:r w:rsidRPr="005C3B55">
              <w:rPr>
                <w:szCs w:val="24"/>
              </w:rPr>
              <w:t>Inappropriate implementation and integration of agrarian operations (consolidations, agromeliorations, irrigation systems) in space, including the expansion of the existing network of irrigation systems which would not be harmonised with the water management plan, can negatively impact biodiversity as well as water status.</w:t>
            </w:r>
          </w:p>
          <w:p w:rsidR="00BD3B5F" w:rsidRPr="005C3B55" w:rsidRDefault="00BD3B5F" w:rsidP="00BD3B5F">
            <w:pPr>
              <w:numPr>
                <w:ilvl w:val="0"/>
                <w:numId w:val="25"/>
              </w:numPr>
              <w:spacing w:before="0" w:after="0"/>
              <w:ind w:hanging="290"/>
              <w:jc w:val="left"/>
              <w:rPr>
                <w:noProof/>
                <w:szCs w:val="24"/>
              </w:rPr>
            </w:pPr>
            <w:r w:rsidRPr="005C3B55">
              <w:rPr>
                <w:szCs w:val="24"/>
              </w:rPr>
              <w:t>Land consolidation that focuses on intensification constitues a threat to biodiversity, since small farms with traditional methods of agricultural land cultivation are the main guarantors of rich biodiversity.</w:t>
            </w:r>
          </w:p>
          <w:p w:rsidR="00BD3B5F" w:rsidRPr="005C3B55" w:rsidRDefault="00BD3B5F" w:rsidP="00BD3B5F">
            <w:pPr>
              <w:numPr>
                <w:ilvl w:val="0"/>
                <w:numId w:val="25"/>
              </w:numPr>
              <w:spacing w:before="0" w:after="0"/>
              <w:ind w:hanging="290"/>
              <w:jc w:val="left"/>
              <w:rPr>
                <w:noProof/>
                <w:szCs w:val="24"/>
              </w:rPr>
            </w:pPr>
            <w:r w:rsidRPr="005C3B55">
              <w:rPr>
                <w:szCs w:val="24"/>
              </w:rPr>
              <w:t>Too slow generational restructuring will slow down the introduction of new technological knowledge and innovation in agriculture.</w:t>
            </w:r>
            <w:r w:rsidRPr="005C3B55">
              <w:rPr>
                <w:noProof/>
                <w:szCs w:val="24"/>
              </w:rPr>
              <w:t xml:space="preserve"> </w:t>
            </w:r>
            <w:r w:rsidRPr="005C3B55">
              <w:rPr>
                <w:szCs w:val="24"/>
              </w:rPr>
              <w:t>We can expect the abandonment of farms, which in the long term will impact the demographic structure of the countryside.</w:t>
            </w:r>
          </w:p>
          <w:p w:rsidR="00BD3B5F" w:rsidRPr="005C3B55" w:rsidRDefault="00BD3B5F" w:rsidP="00BD3B5F">
            <w:pPr>
              <w:numPr>
                <w:ilvl w:val="0"/>
                <w:numId w:val="25"/>
              </w:numPr>
              <w:spacing w:before="0" w:after="0"/>
              <w:ind w:hanging="290"/>
              <w:jc w:val="left"/>
              <w:rPr>
                <w:noProof/>
                <w:szCs w:val="24"/>
              </w:rPr>
            </w:pPr>
            <w:r w:rsidRPr="005C3B55">
              <w:rPr>
                <w:szCs w:val="24"/>
              </w:rPr>
              <w:t>Abandoning farming in areas with limited possibilities for agricultural activity leads to the loss of cultural landscape and biodiversity.</w:t>
            </w:r>
            <w:r w:rsidRPr="005C3B55">
              <w:rPr>
                <w:noProof/>
                <w:szCs w:val="24"/>
              </w:rPr>
              <w:t xml:space="preserve"> </w:t>
            </w:r>
            <w:r w:rsidRPr="005C3B55">
              <w:rPr>
                <w:szCs w:val="24"/>
              </w:rPr>
              <w:t>This can also lead to a change in the demographic and economic structure of these areas.</w:t>
            </w:r>
          </w:p>
          <w:p w:rsidR="00BD3B5F" w:rsidRPr="005C3B55" w:rsidRDefault="00BD3B5F" w:rsidP="00BD3B5F">
            <w:pPr>
              <w:numPr>
                <w:ilvl w:val="0"/>
                <w:numId w:val="25"/>
              </w:numPr>
              <w:spacing w:before="0" w:after="0"/>
              <w:ind w:hanging="290"/>
              <w:jc w:val="left"/>
              <w:rPr>
                <w:noProof/>
                <w:szCs w:val="24"/>
              </w:rPr>
            </w:pPr>
            <w:r w:rsidRPr="005C3B55">
              <w:rPr>
                <w:szCs w:val="24"/>
              </w:rPr>
              <w:t>The impact of agriculture on the environment will not be reduced if energy efficiency and the use of fossil fuels do not change.</w:t>
            </w:r>
          </w:p>
          <w:p w:rsidR="00BD3B5F" w:rsidRPr="005C3B55" w:rsidRDefault="00BD3B5F" w:rsidP="00BD3B5F">
            <w:pPr>
              <w:numPr>
                <w:ilvl w:val="0"/>
                <w:numId w:val="25"/>
              </w:numPr>
              <w:spacing w:before="0" w:after="0"/>
              <w:ind w:hanging="290"/>
              <w:jc w:val="left"/>
              <w:rPr>
                <w:noProof/>
                <w:szCs w:val="24"/>
              </w:rPr>
            </w:pPr>
            <w:r w:rsidRPr="005C3B55">
              <w:rPr>
                <w:szCs w:val="24"/>
              </w:rPr>
              <w:t>There is a lack of interest among farmers in joining quality schemes, because they would not have additional economic benefits.</w:t>
            </w:r>
          </w:p>
          <w:p w:rsidR="00BD3B5F" w:rsidRPr="005C3B55" w:rsidRDefault="00BD3B5F" w:rsidP="00BD3B5F">
            <w:pPr>
              <w:numPr>
                <w:ilvl w:val="0"/>
                <w:numId w:val="25"/>
              </w:numPr>
              <w:spacing w:before="0" w:after="0"/>
              <w:ind w:hanging="290"/>
              <w:jc w:val="left"/>
              <w:rPr>
                <w:noProof/>
                <w:szCs w:val="24"/>
              </w:rPr>
            </w:pPr>
            <w:r w:rsidRPr="005C3B55">
              <w:rPr>
                <w:szCs w:val="24"/>
              </w:rPr>
              <w:t>Competitive pressure to improve the economics of breeding or further reduce the costs of breeding can divert breeders from engaging in demands for higher standards in animal breeding, since these also entail higher costs (e.g. investments in ensuring releases, larger areas, interior equipment, fodder etc.) as well as reducing the number of animals in herds.</w:t>
            </w:r>
            <w:r w:rsidRPr="005C3B55">
              <w:rPr>
                <w:noProof/>
                <w:szCs w:val="24"/>
              </w:rPr>
              <w:t xml:space="preserve"> </w:t>
            </w:r>
            <w:r w:rsidRPr="005C3B55">
              <w:rPr>
                <w:szCs w:val="24"/>
              </w:rPr>
              <w:t>Without appropriate incentives, breeders will not be stimulated to adopt higher breeding standards, since the market does not return the costs to the breeder (if the product is not appropriately protected or included in a quality scheme).</w:t>
            </w:r>
          </w:p>
          <w:p w:rsidR="00BD3B5F" w:rsidRPr="005C3B55" w:rsidRDefault="00BD3B5F" w:rsidP="00BD3B5F">
            <w:pPr>
              <w:numPr>
                <w:ilvl w:val="0"/>
                <w:numId w:val="25"/>
              </w:numPr>
              <w:spacing w:before="0" w:after="0"/>
              <w:ind w:hanging="290"/>
              <w:jc w:val="left"/>
              <w:rPr>
                <w:noProof/>
                <w:szCs w:val="24"/>
              </w:rPr>
            </w:pPr>
            <w:r w:rsidRPr="005C3B55">
              <w:rPr>
                <w:szCs w:val="24"/>
              </w:rPr>
              <w:t>Inadequate market orientation and organisation and poor cooperation among producers as well as links in the agro-food chain, the lack of regulated and long-term partnerships and trust, greater pressure from the competition, individualism and opportunism all continue to negatively impact the existing market organisation and prevent primary producers from achieving greater market participation, negotiating power, recognition, economies of scale and higher final prices for products.</w:t>
            </w:r>
          </w:p>
          <w:p w:rsidR="00BD3B5F" w:rsidRPr="005C3B55" w:rsidRDefault="00BD3B5F" w:rsidP="00BD3B5F">
            <w:pPr>
              <w:numPr>
                <w:ilvl w:val="0"/>
                <w:numId w:val="25"/>
              </w:numPr>
              <w:spacing w:before="0" w:after="0"/>
              <w:ind w:hanging="290"/>
              <w:jc w:val="left"/>
              <w:rPr>
                <w:noProof/>
                <w:szCs w:val="24"/>
              </w:rPr>
            </w:pPr>
            <w:r w:rsidRPr="005C3B55">
              <w:rPr>
                <w:szCs w:val="24"/>
              </w:rPr>
              <w:t>Without investments in development and innovation, stable ownership and effective management, it is expected that the situation in the food processing chain will continue to deteriorate, which will have a negative impact on the agricultural sector as well as on the development of the industry.</w:t>
            </w:r>
          </w:p>
          <w:p w:rsidR="00BD3B5F" w:rsidRPr="005C3B55" w:rsidRDefault="00BD3B5F" w:rsidP="00BD3B5F">
            <w:pPr>
              <w:numPr>
                <w:ilvl w:val="0"/>
                <w:numId w:val="25"/>
              </w:numPr>
              <w:spacing w:before="0" w:after="0"/>
              <w:ind w:hanging="290"/>
              <w:jc w:val="left"/>
              <w:rPr>
                <w:noProof/>
                <w:szCs w:val="24"/>
              </w:rPr>
            </w:pPr>
            <w:r w:rsidRPr="005C3B55">
              <w:rPr>
                <w:szCs w:val="24"/>
              </w:rPr>
              <w:t>Greater exposure to various production, price and other risks in agriculture due to the liberalisation of agricultural markets.</w:t>
            </w:r>
          </w:p>
          <w:p w:rsidR="00BD3B5F" w:rsidRPr="005C3B55" w:rsidRDefault="00BD3B5F" w:rsidP="00BD3B5F">
            <w:pPr>
              <w:numPr>
                <w:ilvl w:val="0"/>
                <w:numId w:val="25"/>
              </w:numPr>
              <w:spacing w:before="0" w:after="0"/>
              <w:ind w:hanging="290"/>
              <w:jc w:val="left"/>
              <w:rPr>
                <w:noProof/>
                <w:szCs w:val="24"/>
              </w:rPr>
            </w:pPr>
            <w:r w:rsidRPr="005C3B55">
              <w:rPr>
                <w:szCs w:val="24"/>
              </w:rPr>
              <w:t>The lack of qualified consultants and access to specialised advisory services will additionally weaken the flow of knowledge and innovation to producers, which will negatively impact the speed of restructuring and the development of the sector, its productivity and sustainability.</w:t>
            </w:r>
          </w:p>
          <w:p w:rsidR="00BD3B5F" w:rsidRPr="005C3B55" w:rsidRDefault="00BD3B5F" w:rsidP="00BD3B5F">
            <w:pPr>
              <w:numPr>
                <w:ilvl w:val="0"/>
                <w:numId w:val="25"/>
              </w:numPr>
              <w:spacing w:before="0" w:after="0"/>
              <w:ind w:hanging="290"/>
              <w:jc w:val="left"/>
              <w:rPr>
                <w:noProof/>
                <w:szCs w:val="24"/>
              </w:rPr>
            </w:pPr>
            <w:r w:rsidRPr="005C3B55">
              <w:rPr>
                <w:szCs w:val="24"/>
              </w:rPr>
              <w:t>In the field of knowledge transfer and innovation from research spheres to agricultural practice, the lack of developmentally-oriented, innovative cooperation projects which could actually impact the agriculture, forestry and food is shown as a threat.</w:t>
            </w:r>
          </w:p>
          <w:p w:rsidR="00BD3B5F" w:rsidRPr="005C3B55" w:rsidRDefault="00BD3B5F" w:rsidP="00BD3B5F">
            <w:pPr>
              <w:numPr>
                <w:ilvl w:val="0"/>
                <w:numId w:val="25"/>
              </w:numPr>
              <w:spacing w:before="0" w:after="0"/>
              <w:ind w:hanging="290"/>
              <w:jc w:val="left"/>
              <w:rPr>
                <w:noProof/>
                <w:szCs w:val="24"/>
              </w:rPr>
            </w:pPr>
            <w:r w:rsidRPr="005C3B55">
              <w:rPr>
                <w:szCs w:val="24"/>
              </w:rPr>
              <w:t>Due to noise and modified overgrowth, opening forests to more intensive felling can impact the population of sensitive and forest-conditioned species.</w:t>
            </w:r>
          </w:p>
          <w:p w:rsidR="00BD3B5F" w:rsidRPr="005C3B55" w:rsidRDefault="00BD3B5F" w:rsidP="00BD3B5F">
            <w:pPr>
              <w:numPr>
                <w:ilvl w:val="0"/>
                <w:numId w:val="25"/>
              </w:numPr>
              <w:spacing w:before="0" w:after="0"/>
              <w:ind w:hanging="290"/>
              <w:jc w:val="left"/>
              <w:rPr>
                <w:noProof/>
                <w:szCs w:val="24"/>
              </w:rPr>
            </w:pPr>
            <w:r w:rsidRPr="005C3B55">
              <w:rPr>
                <w:szCs w:val="24"/>
              </w:rPr>
              <w:t>The construction of forest roads may have a negative impact on important habitats of certain qualifying bird species dependent on old forests rich in dead biomass, and other qualifying animal species, which depend on such habitats.</w:t>
            </w:r>
            <w:r w:rsidRPr="005C3B55">
              <w:rPr>
                <w:noProof/>
                <w:szCs w:val="24"/>
              </w:rPr>
              <w:t xml:space="preserve"> </w:t>
            </w:r>
            <w:r w:rsidRPr="005C3B55">
              <w:rPr>
                <w:szCs w:val="24"/>
              </w:rPr>
              <w:t>This may result in a reduction in biodiversity and increased environmental risk.</w:t>
            </w:r>
            <w:r w:rsidRPr="005C3B55">
              <w:rPr>
                <w:noProof/>
                <w:szCs w:val="24"/>
              </w:rPr>
              <w:t xml:space="preserve"> </w:t>
            </w:r>
            <w:r w:rsidRPr="005C3B55">
              <w:rPr>
                <w:szCs w:val="24"/>
              </w:rPr>
              <w:t>Every road in a Natura 2000 area is assessed within the scope of acquiring nature protection approval in accordance with Nature Conservation Act (Official Gazette of the Republic of Slovenia, no.</w:t>
            </w:r>
            <w:r w:rsidRPr="005C3B55">
              <w:rPr>
                <w:noProof/>
                <w:szCs w:val="24"/>
              </w:rPr>
              <w:t xml:space="preserve"> </w:t>
            </w:r>
            <w:r w:rsidRPr="005C3B55">
              <w:rPr>
                <w:szCs w:val="24"/>
              </w:rPr>
              <w:t>96/04 with all amendments), i.e. on the appropriateness of integrating the mentioned road in the forest.</w:t>
            </w:r>
          </w:p>
          <w:p w:rsidR="00BD3B5F" w:rsidRPr="005C3B55" w:rsidRDefault="00BD3B5F" w:rsidP="00BD3B5F">
            <w:pPr>
              <w:numPr>
                <w:ilvl w:val="0"/>
                <w:numId w:val="25"/>
              </w:numPr>
              <w:spacing w:before="0" w:after="0"/>
              <w:ind w:hanging="290"/>
              <w:jc w:val="left"/>
              <w:rPr>
                <w:noProof/>
                <w:szCs w:val="24"/>
              </w:rPr>
            </w:pPr>
            <w:r w:rsidRPr="005C3B55">
              <w:rPr>
                <w:szCs w:val="24"/>
              </w:rPr>
              <w:t>There is a danger of additional damage caused by pests in coniferous forests heavily damaged in natural disasters.</w:t>
            </w:r>
            <w:r w:rsidRPr="005C3B55">
              <w:rPr>
                <w:noProof/>
                <w:szCs w:val="24"/>
              </w:rPr>
              <w:t xml:space="preserve"> </w:t>
            </w:r>
            <w:r w:rsidRPr="005C3B55">
              <w:rPr>
                <w:szCs w:val="24"/>
              </w:rPr>
              <w:t>Without the appropriate rehabilitation and revitalisation of forests, the hydrological and climatic function of forests is endangered.</w:t>
            </w:r>
            <w:r w:rsidRPr="005C3B55">
              <w:rPr>
                <w:noProof/>
                <w:szCs w:val="24"/>
              </w:rPr>
              <w:t xml:space="preserve"> </w:t>
            </w:r>
            <w:r w:rsidRPr="005C3B55">
              <w:rPr>
                <w:szCs w:val="24"/>
              </w:rPr>
              <w:t>Due to the increase in rehabilitation works in the forest, there is a danger of more injuries at work due to inappropriate equipment and qualifications.</w:t>
            </w:r>
            <w:r w:rsidRPr="005C3B55">
              <w:rPr>
                <w:noProof/>
                <w:szCs w:val="24"/>
              </w:rPr>
              <w:t xml:space="preserve"> </w:t>
            </w:r>
            <w:r w:rsidRPr="005C3B55">
              <w:rPr>
                <w:szCs w:val="24"/>
              </w:rPr>
              <w:t>In terms of biodiversity, the rehabilitation of forests damaged in natural disasters can have short-term negative impacts, since the scope of work in the forest increases and anthropogenous impacts on forest ecosystems increase.</w:t>
            </w:r>
          </w:p>
          <w:p w:rsidR="00BD3B5F" w:rsidRPr="005C3B55" w:rsidRDefault="00BD3B5F" w:rsidP="00BD3B5F">
            <w:pPr>
              <w:numPr>
                <w:ilvl w:val="0"/>
                <w:numId w:val="25"/>
              </w:numPr>
              <w:spacing w:before="0" w:after="0"/>
              <w:ind w:hanging="290"/>
              <w:jc w:val="left"/>
              <w:rPr>
                <w:noProof/>
                <w:szCs w:val="24"/>
              </w:rPr>
            </w:pPr>
            <w:r w:rsidRPr="005C3B55">
              <w:rPr>
                <w:szCs w:val="24"/>
              </w:rPr>
              <w:t>We can expect that, with the existing inappropriate ownership structure of forests, and the fragmentation and small size of forest ownership, the economic potential of forests will be insufficiently exploited.</w:t>
            </w:r>
          </w:p>
          <w:p w:rsidR="00BD3B5F" w:rsidRPr="005C3B55" w:rsidRDefault="00BD3B5F" w:rsidP="00BD3B5F">
            <w:pPr>
              <w:numPr>
                <w:ilvl w:val="0"/>
                <w:numId w:val="25"/>
              </w:numPr>
              <w:spacing w:before="0" w:after="0"/>
              <w:ind w:hanging="290"/>
              <w:jc w:val="left"/>
              <w:rPr>
                <w:noProof/>
                <w:szCs w:val="24"/>
              </w:rPr>
            </w:pPr>
            <w:r w:rsidRPr="005C3B55">
              <w:rPr>
                <w:szCs w:val="24"/>
              </w:rPr>
              <w:t>Without further investments in technical equipment of forest owners and better qualifications for work in forests, accidents at work will continue to occur.</w:t>
            </w:r>
          </w:p>
          <w:p w:rsidR="00BD3B5F" w:rsidRPr="005C3B55" w:rsidRDefault="00BD3B5F" w:rsidP="00BD3B5F">
            <w:pPr>
              <w:numPr>
                <w:ilvl w:val="0"/>
                <w:numId w:val="25"/>
              </w:numPr>
              <w:spacing w:before="0" w:after="0"/>
              <w:ind w:hanging="290"/>
              <w:jc w:val="left"/>
              <w:rPr>
                <w:noProof/>
                <w:szCs w:val="24"/>
              </w:rPr>
            </w:pPr>
            <w:r w:rsidRPr="005C3B55">
              <w:rPr>
                <w:szCs w:val="24"/>
              </w:rPr>
              <w:t>Due to insufficient market organisation and connections in the forest-wood chain, we can expect that opportunities to improve the incomes of all elements in the forest-wood chain as well as more successful emergence in the market and the possibilities of raising the added value of wood will remain unexploited.</w:t>
            </w:r>
          </w:p>
          <w:p w:rsidR="00BD3B5F" w:rsidRPr="005C3B55" w:rsidRDefault="00BD3B5F" w:rsidP="00BD3B5F">
            <w:pPr>
              <w:numPr>
                <w:ilvl w:val="0"/>
                <w:numId w:val="25"/>
              </w:numPr>
              <w:spacing w:before="0" w:after="0"/>
              <w:ind w:hanging="290"/>
              <w:jc w:val="left"/>
              <w:rPr>
                <w:noProof/>
                <w:szCs w:val="24"/>
              </w:rPr>
            </w:pPr>
            <w:r w:rsidRPr="005C3B55">
              <w:rPr>
                <w:szCs w:val="24"/>
              </w:rPr>
              <w:t>Greater felling of wood along with unchanged domestic demand for wood products and semi-products will increase wood exports and reduce added value.</w:t>
            </w:r>
            <w:r w:rsidRPr="005C3B55">
              <w:rPr>
                <w:noProof/>
                <w:szCs w:val="24"/>
              </w:rPr>
              <w:t xml:space="preserve"> </w:t>
            </w:r>
            <w:r w:rsidRPr="005C3B55">
              <w:rPr>
                <w:szCs w:val="24"/>
              </w:rPr>
              <w:t>At the same time, the greater use of wood biomass for heating purposes causes an increase in PM particles, which occur with non-optimal burning.</w:t>
            </w:r>
          </w:p>
          <w:p w:rsidR="00BD3B5F" w:rsidRPr="005C3B55" w:rsidRDefault="00BD3B5F" w:rsidP="00BD3B5F">
            <w:pPr>
              <w:numPr>
                <w:ilvl w:val="0"/>
                <w:numId w:val="25"/>
              </w:numPr>
              <w:spacing w:before="0" w:after="0"/>
              <w:ind w:hanging="290"/>
              <w:jc w:val="left"/>
              <w:rPr>
                <w:noProof/>
                <w:szCs w:val="24"/>
              </w:rPr>
            </w:pPr>
            <w:r w:rsidRPr="005C3B55">
              <w:rPr>
                <w:szCs w:val="24"/>
              </w:rPr>
              <w:t>Without successful restructuring and the development of the wood-processing industry, as well as better organisation, added value from wood will remain unexploited.</w:t>
            </w:r>
            <w:r w:rsidRPr="005C3B55">
              <w:rPr>
                <w:noProof/>
                <w:szCs w:val="24"/>
              </w:rPr>
              <w:t xml:space="preserve"> </w:t>
            </w:r>
            <w:r w:rsidRPr="005C3B55">
              <w:rPr>
                <w:szCs w:val="24"/>
              </w:rPr>
              <w:t>This also reduces opportunities to create new jobs in the country.</w:t>
            </w:r>
          </w:p>
          <w:p w:rsidR="00BD3B5F" w:rsidRPr="005C3B55" w:rsidRDefault="00BD3B5F" w:rsidP="00BD3B5F">
            <w:pPr>
              <w:numPr>
                <w:ilvl w:val="0"/>
                <w:numId w:val="25"/>
              </w:numPr>
              <w:spacing w:before="0" w:after="0"/>
              <w:ind w:hanging="290"/>
              <w:jc w:val="left"/>
              <w:rPr>
                <w:noProof/>
                <w:szCs w:val="24"/>
              </w:rPr>
            </w:pPr>
            <w:r w:rsidRPr="005C3B55">
              <w:rPr>
                <w:szCs w:val="24"/>
              </w:rPr>
              <w:t>If the current trends and economic crisis continue, we can expect more unemployment and a worsening of the socio-economic situation of people in the countryside.</w:t>
            </w:r>
            <w:r w:rsidRPr="005C3B55">
              <w:rPr>
                <w:noProof/>
                <w:szCs w:val="24"/>
              </w:rPr>
              <w:t xml:space="preserve"> </w:t>
            </w:r>
            <w:r w:rsidRPr="005C3B55">
              <w:rPr>
                <w:szCs w:val="24"/>
              </w:rPr>
              <w:t>We can expect the local potential of the countryside in the form of natural and cultural heritage, human and social capital to remain insufficiently exploited.</w:t>
            </w:r>
          </w:p>
          <w:p w:rsidR="00BD3B5F" w:rsidRPr="005C3B55" w:rsidRDefault="00BD3B5F" w:rsidP="00BD3B5F">
            <w:pPr>
              <w:numPr>
                <w:ilvl w:val="0"/>
                <w:numId w:val="25"/>
              </w:numPr>
              <w:spacing w:before="0" w:after="0"/>
              <w:ind w:hanging="290"/>
              <w:jc w:val="left"/>
              <w:rPr>
                <w:noProof/>
                <w:szCs w:val="24"/>
              </w:rPr>
            </w:pPr>
            <w:r w:rsidRPr="005C3B55">
              <w:rPr>
                <w:szCs w:val="24"/>
              </w:rPr>
              <w:t>If the unfavourable conditions continue to prevail in the banking market, the conditions for loans to agricultural holdings and companies will remain very poor and impede the demand for loans and investment activities.</w:t>
            </w:r>
          </w:p>
          <w:p w:rsidR="00BD3B5F" w:rsidRPr="005C3B55" w:rsidRDefault="00BD3B5F" w:rsidP="00BD3B5F">
            <w:pPr>
              <w:numPr>
                <w:ilvl w:val="0"/>
                <w:numId w:val="25"/>
              </w:numPr>
              <w:spacing w:before="0" w:after="0"/>
              <w:ind w:hanging="290"/>
              <w:jc w:val="left"/>
              <w:rPr>
                <w:noProof/>
                <w:szCs w:val="24"/>
              </w:rPr>
            </w:pPr>
            <w:r w:rsidRPr="005C3B55">
              <w:rPr>
                <w:szCs w:val="24"/>
              </w:rPr>
              <w:t>Inappropriate access to information and communication technologies (broadband Internet) of appropriate speed will negatively impact economic activity, as well as investments, new jobs, demographic structure and the quality of life in the countryside.</w:t>
            </w:r>
          </w:p>
          <w:p w:rsidR="00BD3B5F" w:rsidRPr="005C3B55" w:rsidRDefault="00BD3B5F" w:rsidP="00BD3B5F">
            <w:pPr>
              <w:numPr>
                <w:ilvl w:val="0"/>
                <w:numId w:val="25"/>
              </w:numPr>
              <w:spacing w:before="0" w:after="0"/>
              <w:ind w:hanging="290"/>
              <w:jc w:val="left"/>
              <w:rPr>
                <w:noProof/>
                <w:szCs w:val="24"/>
              </w:rPr>
            </w:pPr>
            <w:r w:rsidRPr="005C3B55">
              <w:rPr>
                <w:szCs w:val="24"/>
              </w:rPr>
              <w:t>The lack of objectives and strategic ideas among local development partnerships.</w:t>
            </w:r>
          </w:p>
          <w:p w:rsidR="00BD3B5F" w:rsidRPr="005C3B55" w:rsidRDefault="00BD3B5F" w:rsidP="00BD3B5F">
            <w:pPr>
              <w:numPr>
                <w:ilvl w:val="0"/>
                <w:numId w:val="25"/>
              </w:numPr>
              <w:spacing w:before="0" w:after="0"/>
              <w:ind w:hanging="290"/>
              <w:jc w:val="left"/>
              <w:rPr>
                <w:noProof/>
                <w:szCs w:val="24"/>
              </w:rPr>
            </w:pPr>
            <w:r w:rsidRPr="005C3B55">
              <w:rPr>
                <w:szCs w:val="24"/>
              </w:rPr>
              <w:t>Non-harmonised and unbalanced approach to resolving local development incentives.</w:t>
            </w:r>
          </w:p>
          <w:p w:rsidR="00BD3B5F" w:rsidRPr="005C3B55" w:rsidRDefault="00BD3B5F" w:rsidP="00BD3B5F">
            <w:pPr>
              <w:numPr>
                <w:ilvl w:val="0"/>
                <w:numId w:val="25"/>
              </w:numPr>
              <w:spacing w:before="0" w:after="0"/>
              <w:ind w:hanging="290"/>
              <w:jc w:val="left"/>
              <w:rPr>
                <w:noProof/>
                <w:szCs w:val="24"/>
              </w:rPr>
            </w:pPr>
            <w:r w:rsidRPr="005C3B55">
              <w:rPr>
                <w:szCs w:val="24"/>
              </w:rPr>
              <w:t>Poorly prepared and non-harmonised local development strategies.</w:t>
            </w:r>
          </w:p>
          <w:p w:rsidR="00BD3B5F" w:rsidRPr="005C3B55" w:rsidRDefault="00BD3B5F" w:rsidP="00BD3B5F">
            <w:pPr>
              <w:numPr>
                <w:ilvl w:val="0"/>
                <w:numId w:val="25"/>
              </w:numPr>
              <w:spacing w:before="0" w:after="0"/>
              <w:ind w:hanging="290"/>
              <w:jc w:val="left"/>
              <w:rPr>
                <w:noProof/>
                <w:szCs w:val="24"/>
              </w:rPr>
            </w:pPr>
            <w:r w:rsidRPr="005C3B55">
              <w:rPr>
                <w:szCs w:val="24"/>
              </w:rPr>
              <w:t>The lack of knowledge and experience to implement comprehensive and complex rural projects with a combination of funds from various funds and other sources of financing.</w:t>
            </w:r>
          </w:p>
          <w:p w:rsidR="00BD3B5F" w:rsidRPr="005C3B55" w:rsidRDefault="00BD3B5F" w:rsidP="00BD3B5F">
            <w:pPr>
              <w:numPr>
                <w:ilvl w:val="0"/>
                <w:numId w:val="25"/>
              </w:numPr>
              <w:spacing w:before="0" w:after="240"/>
              <w:ind w:hanging="290"/>
              <w:jc w:val="left"/>
              <w:rPr>
                <w:noProof/>
                <w:szCs w:val="24"/>
              </w:rPr>
            </w:pPr>
            <w:r w:rsidRPr="005C3B55">
              <w:rPr>
                <w:szCs w:val="24"/>
              </w:rPr>
              <w:t>Ineffective stimulation of local development results in lost opportunities for the wider economic development of these areas, the establishment of a better quality of life and social integration in the countryside as well as an environment for creating new jobs and environment protection and nature and cultural heritage preservation in the countryside.</w:t>
            </w:r>
          </w:p>
          <w:p w:rsidR="00BD3B5F" w:rsidRPr="005C3B55" w:rsidRDefault="00BD3B5F">
            <w:pPr>
              <w:pStyle w:val="Telobesedila"/>
              <w:rPr>
                <w:szCs w:val="24"/>
              </w:rPr>
            </w:pPr>
          </w:p>
        </w:tc>
      </w:tr>
    </w:tbl>
    <w:p w:rsidR="00BD3B5F" w:rsidRPr="005C3B55" w:rsidRDefault="00BD3B5F">
      <w:pPr>
        <w:rPr>
          <w:szCs w:val="24"/>
        </w:rPr>
        <w:sectPr w:rsidR="00BD3B5F" w:rsidRPr="005C3B55">
          <w:pgSz w:w="12240" w:h="15840"/>
          <w:pgMar w:top="900" w:right="900" w:bottom="900" w:left="900" w:header="708" w:footer="708" w:gutter="0"/>
          <w:cols w:space="708"/>
        </w:sectPr>
      </w:pPr>
    </w:p>
    <w:p w:rsidR="00BD3B5F" w:rsidRPr="005C3B55" w:rsidRDefault="00BD3B5F">
      <w:pPr>
        <w:pStyle w:val="Naslov3"/>
        <w:tabs>
          <w:tab w:val="clear" w:pos="765"/>
        </w:tabs>
        <w:ind w:left="0" w:firstLine="0"/>
        <w:jc w:val="left"/>
        <w:rPr>
          <w:szCs w:val="24"/>
          <w:lang w:val="en-GB"/>
        </w:rPr>
      </w:pPr>
      <w:bookmarkStart w:id="49" w:name="_Toc416192507"/>
      <w:r w:rsidRPr="005C3B55">
        <w:rPr>
          <w:szCs w:val="24"/>
          <w:lang w:val="en-GB"/>
        </w:rPr>
        <w:t>Common indicators of situation</w:t>
      </w:r>
      <w:bookmarkEnd w:id="49"/>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4981"/>
        <w:gridCol w:w="1489"/>
        <w:gridCol w:w="3254"/>
        <w:gridCol w:w="932"/>
      </w:tblGrid>
      <w:tr w:rsidR="00BD3B5F" w:rsidRPr="005C3B55">
        <w:tc>
          <w:tcPr>
            <w:tcW w:w="10656" w:type="dxa"/>
            <w:gridSpan w:val="4"/>
            <w:shd w:val="clear" w:color="auto" w:fill="808080"/>
            <w:tcMar>
              <w:top w:w="20" w:type="dxa"/>
              <w:bottom w:w="20" w:type="dxa"/>
            </w:tcMar>
            <w:vAlign w:val="center"/>
          </w:tcPr>
          <w:p w:rsidR="00BD3B5F" w:rsidRPr="005C3B55" w:rsidRDefault="00BD3B5F">
            <w:pPr>
              <w:jc w:val="left"/>
              <w:rPr>
                <w:szCs w:val="24"/>
              </w:rPr>
            </w:pPr>
            <w:r w:rsidRPr="005C3B55">
              <w:rPr>
                <w:b/>
                <w:sz w:val="20"/>
                <w:szCs w:val="24"/>
              </w:rPr>
              <w:t>I Socio-economic and rural situation</w:t>
            </w:r>
          </w:p>
        </w:tc>
      </w:tr>
      <w:tr w:rsidR="00BD3B5F" w:rsidRPr="005C3B55">
        <w:tc>
          <w:tcPr>
            <w:tcW w:w="10656" w:type="dxa"/>
            <w:gridSpan w:val="4"/>
            <w:shd w:val="clear" w:color="auto" w:fill="C0C0C0"/>
            <w:tcMar>
              <w:top w:w="20" w:type="dxa"/>
              <w:bottom w:w="20" w:type="dxa"/>
            </w:tcMar>
            <w:vAlign w:val="center"/>
          </w:tcPr>
          <w:p w:rsidR="00BD3B5F" w:rsidRPr="005C3B55" w:rsidRDefault="00BD3B5F">
            <w:pPr>
              <w:jc w:val="left"/>
              <w:rPr>
                <w:sz w:val="16"/>
                <w:szCs w:val="24"/>
              </w:rPr>
            </w:pPr>
            <w:r w:rsidRPr="005C3B55">
              <w:rPr>
                <w:noProof/>
                <w:sz w:val="16"/>
                <w:szCs w:val="24"/>
              </w:rPr>
              <w:t>1 Population</w:t>
            </w:r>
          </w:p>
        </w:tc>
      </w:tr>
      <w:tr w:rsidR="00BD3B5F" w:rsidRPr="005C3B55">
        <w:tc>
          <w:tcPr>
            <w:tcW w:w="4981" w:type="dxa"/>
            <w:shd w:val="clear" w:color="auto" w:fill="C0C0C0"/>
            <w:tcMar>
              <w:top w:w="20" w:type="dxa"/>
              <w:bottom w:w="20" w:type="dxa"/>
            </w:tcMar>
            <w:vAlign w:val="center"/>
          </w:tcPr>
          <w:p w:rsidR="00BD3B5F" w:rsidRPr="005C3B55" w:rsidRDefault="00BD3B5F">
            <w:pPr>
              <w:jc w:val="center"/>
              <w:rPr>
                <w:sz w:val="16"/>
                <w:szCs w:val="24"/>
              </w:rPr>
            </w:pPr>
            <w:r w:rsidRPr="005C3B55">
              <w:rPr>
                <w:noProof/>
                <w:sz w:val="16"/>
                <w:szCs w:val="24"/>
              </w:rPr>
              <w:t>Indicator</w:t>
            </w:r>
          </w:p>
        </w:tc>
        <w:tc>
          <w:tcPr>
            <w:tcW w:w="1489" w:type="dxa"/>
            <w:shd w:val="clear" w:color="auto" w:fill="C0C0C0"/>
            <w:tcMar>
              <w:top w:w="20" w:type="dxa"/>
              <w:bottom w:w="20" w:type="dxa"/>
            </w:tcMar>
            <w:vAlign w:val="center"/>
          </w:tcPr>
          <w:p w:rsidR="00BD3B5F" w:rsidRPr="005C3B55" w:rsidRDefault="00BD3B5F">
            <w:pPr>
              <w:jc w:val="center"/>
              <w:rPr>
                <w:sz w:val="16"/>
                <w:szCs w:val="24"/>
              </w:rPr>
            </w:pPr>
            <w:r w:rsidRPr="005C3B55">
              <w:rPr>
                <w:noProof/>
                <w:sz w:val="16"/>
                <w:szCs w:val="24"/>
              </w:rPr>
              <w:t>Value</w:t>
            </w:r>
          </w:p>
        </w:tc>
        <w:tc>
          <w:tcPr>
            <w:tcW w:w="3254" w:type="dxa"/>
            <w:shd w:val="clear" w:color="auto" w:fill="C0C0C0"/>
            <w:tcMar>
              <w:top w:w="20" w:type="dxa"/>
              <w:bottom w:w="20" w:type="dxa"/>
            </w:tcMar>
            <w:vAlign w:val="center"/>
          </w:tcPr>
          <w:p w:rsidR="00BD3B5F" w:rsidRPr="005C3B55" w:rsidRDefault="00BD3B5F">
            <w:pPr>
              <w:jc w:val="center"/>
              <w:rPr>
                <w:sz w:val="16"/>
                <w:szCs w:val="24"/>
              </w:rPr>
            </w:pPr>
            <w:r w:rsidRPr="005C3B55">
              <w:rPr>
                <w:noProof/>
                <w:sz w:val="16"/>
                <w:szCs w:val="24"/>
              </w:rPr>
              <w:t>Unit</w:t>
            </w:r>
          </w:p>
        </w:tc>
        <w:tc>
          <w:tcPr>
            <w:tcW w:w="932" w:type="dxa"/>
            <w:shd w:val="clear" w:color="auto" w:fill="C0C0C0"/>
            <w:tcMar>
              <w:top w:w="20" w:type="dxa"/>
              <w:bottom w:w="20" w:type="dxa"/>
            </w:tcMar>
            <w:vAlign w:val="center"/>
          </w:tcPr>
          <w:p w:rsidR="00BD3B5F" w:rsidRPr="005C3B55" w:rsidRDefault="00BD3B5F">
            <w:pPr>
              <w:jc w:val="center"/>
              <w:rPr>
                <w:sz w:val="16"/>
                <w:szCs w:val="24"/>
              </w:rPr>
            </w:pPr>
            <w:r w:rsidRPr="005C3B55">
              <w:rPr>
                <w:noProof/>
                <w:sz w:val="16"/>
                <w:szCs w:val="24"/>
              </w:rPr>
              <w:t>Year</w:t>
            </w:r>
          </w:p>
        </w:tc>
      </w:tr>
      <w:tr w:rsidR="00BD3B5F" w:rsidRPr="005C3B55">
        <w:tc>
          <w:tcPr>
            <w:tcW w:w="4981"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total</w:t>
            </w:r>
          </w:p>
        </w:tc>
        <w:tc>
          <w:tcPr>
            <w:tcW w:w="1489"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2,058,821</w:t>
            </w:r>
          </w:p>
        </w:tc>
        <w:tc>
          <w:tcPr>
            <w:tcW w:w="3254"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Inhabitants</w:t>
            </w:r>
          </w:p>
        </w:tc>
        <w:tc>
          <w:tcPr>
            <w:tcW w:w="932"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2013  </w:t>
            </w:r>
          </w:p>
        </w:tc>
      </w:tr>
      <w:tr w:rsidR="00BD3B5F" w:rsidRPr="005C3B55">
        <w:tc>
          <w:tcPr>
            <w:tcW w:w="4981"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rural</w:t>
            </w:r>
          </w:p>
        </w:tc>
        <w:tc>
          <w:tcPr>
            <w:tcW w:w="1489"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43.7</w:t>
            </w:r>
          </w:p>
        </w:tc>
        <w:tc>
          <w:tcPr>
            <w:tcW w:w="3254"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 of total</w:t>
            </w:r>
          </w:p>
        </w:tc>
        <w:tc>
          <w:tcPr>
            <w:tcW w:w="932"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2013  </w:t>
            </w:r>
          </w:p>
        </w:tc>
      </w:tr>
      <w:tr w:rsidR="00BD3B5F" w:rsidRPr="005C3B55">
        <w:tc>
          <w:tcPr>
            <w:tcW w:w="4981"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intermediate</w:t>
            </w:r>
          </w:p>
        </w:tc>
        <w:tc>
          <w:tcPr>
            <w:tcW w:w="1489"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56.3</w:t>
            </w:r>
          </w:p>
        </w:tc>
        <w:tc>
          <w:tcPr>
            <w:tcW w:w="3254"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 of total</w:t>
            </w:r>
          </w:p>
        </w:tc>
        <w:tc>
          <w:tcPr>
            <w:tcW w:w="932"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2013  </w:t>
            </w:r>
          </w:p>
        </w:tc>
      </w:tr>
      <w:tr w:rsidR="00BD3B5F" w:rsidRPr="005C3B55">
        <w:tc>
          <w:tcPr>
            <w:tcW w:w="4981"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urban</w:t>
            </w:r>
          </w:p>
        </w:tc>
        <w:tc>
          <w:tcPr>
            <w:tcW w:w="1489"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noProof/>
                <w:sz w:val="16"/>
                <w:szCs w:val="24"/>
              </w:rPr>
              <w:t>NA</w:t>
            </w:r>
          </w:p>
        </w:tc>
        <w:tc>
          <w:tcPr>
            <w:tcW w:w="3254"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 of total</w:t>
            </w:r>
          </w:p>
        </w:tc>
        <w:tc>
          <w:tcPr>
            <w:tcW w:w="932"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 </w:t>
            </w:r>
          </w:p>
        </w:tc>
      </w:tr>
      <w:tr w:rsidR="00BD3B5F" w:rsidRPr="005C3B55">
        <w:tc>
          <w:tcPr>
            <w:tcW w:w="10656" w:type="dxa"/>
            <w:gridSpan w:val="4"/>
            <w:shd w:val="clear" w:color="auto" w:fill="C0C0C0"/>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2 Age structure</w:t>
            </w:r>
          </w:p>
        </w:tc>
      </w:tr>
      <w:tr w:rsidR="00BD3B5F" w:rsidRPr="005C3B55">
        <w:tc>
          <w:tcPr>
            <w:tcW w:w="4981"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Indicator</w:t>
            </w:r>
          </w:p>
        </w:tc>
        <w:tc>
          <w:tcPr>
            <w:tcW w:w="1489"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Value</w:t>
            </w:r>
          </w:p>
        </w:tc>
        <w:tc>
          <w:tcPr>
            <w:tcW w:w="3254"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Unit</w:t>
            </w:r>
          </w:p>
        </w:tc>
        <w:tc>
          <w:tcPr>
            <w:tcW w:w="932"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Year</w:t>
            </w:r>
          </w:p>
        </w:tc>
      </w:tr>
      <w:tr w:rsidR="00BD3B5F" w:rsidRPr="005C3B55">
        <w:tc>
          <w:tcPr>
            <w:tcW w:w="4981"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total &lt; 15 years</w:t>
            </w:r>
          </w:p>
        </w:tc>
        <w:tc>
          <w:tcPr>
            <w:tcW w:w="1489"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14.5</w:t>
            </w:r>
          </w:p>
        </w:tc>
        <w:tc>
          <w:tcPr>
            <w:tcW w:w="3254"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 of total population</w:t>
            </w:r>
          </w:p>
        </w:tc>
        <w:tc>
          <w:tcPr>
            <w:tcW w:w="932"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2013  </w:t>
            </w:r>
          </w:p>
        </w:tc>
      </w:tr>
      <w:tr w:rsidR="00BD3B5F" w:rsidRPr="005C3B55">
        <w:tc>
          <w:tcPr>
            <w:tcW w:w="4981"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total 15–64 years</w:t>
            </w:r>
            <w:r w:rsidRPr="005C3B55">
              <w:rPr>
                <w:sz w:val="16"/>
                <w:szCs w:val="24"/>
              </w:rPr>
              <w:t xml:space="preserve"> </w:t>
            </w:r>
          </w:p>
        </w:tc>
        <w:tc>
          <w:tcPr>
            <w:tcW w:w="1489"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68.4</w:t>
            </w:r>
          </w:p>
        </w:tc>
        <w:tc>
          <w:tcPr>
            <w:tcW w:w="3254"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 of total population</w:t>
            </w:r>
          </w:p>
        </w:tc>
        <w:tc>
          <w:tcPr>
            <w:tcW w:w="932"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2013  </w:t>
            </w:r>
          </w:p>
        </w:tc>
      </w:tr>
      <w:tr w:rsidR="00BD3B5F" w:rsidRPr="005C3B55">
        <w:tc>
          <w:tcPr>
            <w:tcW w:w="4981"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total &gt; 64 years</w:t>
            </w:r>
          </w:p>
        </w:tc>
        <w:tc>
          <w:tcPr>
            <w:tcW w:w="1489"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17.1</w:t>
            </w:r>
          </w:p>
        </w:tc>
        <w:tc>
          <w:tcPr>
            <w:tcW w:w="3254"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 of total population</w:t>
            </w:r>
          </w:p>
        </w:tc>
        <w:tc>
          <w:tcPr>
            <w:tcW w:w="932"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2013  </w:t>
            </w:r>
          </w:p>
        </w:tc>
      </w:tr>
      <w:tr w:rsidR="00BD3B5F" w:rsidRPr="005C3B55">
        <w:tc>
          <w:tcPr>
            <w:tcW w:w="4981"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rural &lt; 15 years</w:t>
            </w:r>
          </w:p>
        </w:tc>
        <w:tc>
          <w:tcPr>
            <w:tcW w:w="1489"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13.8</w:t>
            </w:r>
          </w:p>
        </w:tc>
        <w:tc>
          <w:tcPr>
            <w:tcW w:w="3254"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 of total population</w:t>
            </w:r>
          </w:p>
        </w:tc>
        <w:tc>
          <w:tcPr>
            <w:tcW w:w="932"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2012  </w:t>
            </w:r>
          </w:p>
        </w:tc>
      </w:tr>
      <w:tr w:rsidR="00BD3B5F" w:rsidRPr="005C3B55">
        <w:tc>
          <w:tcPr>
            <w:tcW w:w="4981"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rural &lt; 15–64 years</w:t>
            </w:r>
          </w:p>
        </w:tc>
        <w:tc>
          <w:tcPr>
            <w:tcW w:w="1489"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69</w:t>
            </w:r>
          </w:p>
        </w:tc>
        <w:tc>
          <w:tcPr>
            <w:tcW w:w="3254"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 of total population</w:t>
            </w:r>
          </w:p>
        </w:tc>
        <w:tc>
          <w:tcPr>
            <w:tcW w:w="932"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2012  </w:t>
            </w:r>
          </w:p>
        </w:tc>
      </w:tr>
      <w:tr w:rsidR="00BD3B5F" w:rsidRPr="005C3B55">
        <w:tc>
          <w:tcPr>
            <w:tcW w:w="4981"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rural &gt; 64 years</w:t>
            </w:r>
          </w:p>
        </w:tc>
        <w:tc>
          <w:tcPr>
            <w:tcW w:w="1489"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17.3</w:t>
            </w:r>
          </w:p>
        </w:tc>
        <w:tc>
          <w:tcPr>
            <w:tcW w:w="3254"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 of total population</w:t>
            </w:r>
          </w:p>
        </w:tc>
        <w:tc>
          <w:tcPr>
            <w:tcW w:w="932"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2012  </w:t>
            </w:r>
          </w:p>
        </w:tc>
      </w:tr>
      <w:tr w:rsidR="00BD3B5F" w:rsidRPr="005C3B55">
        <w:tc>
          <w:tcPr>
            <w:tcW w:w="10656" w:type="dxa"/>
            <w:gridSpan w:val="4"/>
            <w:shd w:val="clear" w:color="auto" w:fill="C0C0C0"/>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3 Land</w:t>
            </w:r>
          </w:p>
        </w:tc>
      </w:tr>
      <w:tr w:rsidR="00BD3B5F" w:rsidRPr="005C3B55">
        <w:tc>
          <w:tcPr>
            <w:tcW w:w="4981"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Indicator</w:t>
            </w:r>
          </w:p>
        </w:tc>
        <w:tc>
          <w:tcPr>
            <w:tcW w:w="1489"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Value</w:t>
            </w:r>
          </w:p>
        </w:tc>
        <w:tc>
          <w:tcPr>
            <w:tcW w:w="3254"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Unit</w:t>
            </w:r>
          </w:p>
        </w:tc>
        <w:tc>
          <w:tcPr>
            <w:tcW w:w="932"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Year</w:t>
            </w:r>
          </w:p>
        </w:tc>
      </w:tr>
      <w:tr w:rsidR="00BD3B5F" w:rsidRPr="005C3B55">
        <w:tc>
          <w:tcPr>
            <w:tcW w:w="4981"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total</w:t>
            </w:r>
          </w:p>
        </w:tc>
        <w:tc>
          <w:tcPr>
            <w:tcW w:w="1489"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20,273</w:t>
            </w:r>
          </w:p>
        </w:tc>
        <w:tc>
          <w:tcPr>
            <w:tcW w:w="3254"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Km2</w:t>
            </w:r>
          </w:p>
        </w:tc>
        <w:tc>
          <w:tcPr>
            <w:tcW w:w="932"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2013  </w:t>
            </w:r>
          </w:p>
        </w:tc>
      </w:tr>
      <w:tr w:rsidR="00BD3B5F" w:rsidRPr="005C3B55">
        <w:tc>
          <w:tcPr>
            <w:tcW w:w="4981"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rural</w:t>
            </w:r>
          </w:p>
        </w:tc>
        <w:tc>
          <w:tcPr>
            <w:tcW w:w="1489"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58.6</w:t>
            </w:r>
          </w:p>
        </w:tc>
        <w:tc>
          <w:tcPr>
            <w:tcW w:w="3254"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 of total area</w:t>
            </w:r>
          </w:p>
        </w:tc>
        <w:tc>
          <w:tcPr>
            <w:tcW w:w="932"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2013  </w:t>
            </w:r>
          </w:p>
        </w:tc>
      </w:tr>
      <w:tr w:rsidR="00BD3B5F" w:rsidRPr="005C3B55">
        <w:tc>
          <w:tcPr>
            <w:tcW w:w="4981"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intermediate</w:t>
            </w:r>
          </w:p>
        </w:tc>
        <w:tc>
          <w:tcPr>
            <w:tcW w:w="1489"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41.4</w:t>
            </w:r>
          </w:p>
        </w:tc>
        <w:tc>
          <w:tcPr>
            <w:tcW w:w="3254"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 of total area</w:t>
            </w:r>
          </w:p>
        </w:tc>
        <w:tc>
          <w:tcPr>
            <w:tcW w:w="932"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2013  </w:t>
            </w:r>
          </w:p>
        </w:tc>
      </w:tr>
      <w:tr w:rsidR="00BD3B5F" w:rsidRPr="005C3B55">
        <w:tc>
          <w:tcPr>
            <w:tcW w:w="4981"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urban</w:t>
            </w:r>
          </w:p>
        </w:tc>
        <w:tc>
          <w:tcPr>
            <w:tcW w:w="1489"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noProof/>
                <w:sz w:val="16"/>
                <w:szCs w:val="24"/>
              </w:rPr>
              <w:t>NA</w:t>
            </w:r>
          </w:p>
        </w:tc>
        <w:tc>
          <w:tcPr>
            <w:tcW w:w="3254"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 of total area</w:t>
            </w:r>
          </w:p>
        </w:tc>
        <w:tc>
          <w:tcPr>
            <w:tcW w:w="932"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 </w:t>
            </w:r>
          </w:p>
        </w:tc>
      </w:tr>
      <w:tr w:rsidR="00BD3B5F" w:rsidRPr="005C3B55">
        <w:tc>
          <w:tcPr>
            <w:tcW w:w="10656" w:type="dxa"/>
            <w:gridSpan w:val="4"/>
            <w:shd w:val="clear" w:color="auto" w:fill="C0C0C0"/>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4 Population density</w:t>
            </w:r>
          </w:p>
        </w:tc>
      </w:tr>
      <w:tr w:rsidR="00BD3B5F" w:rsidRPr="005C3B55">
        <w:tc>
          <w:tcPr>
            <w:tcW w:w="4981"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Indicator</w:t>
            </w:r>
          </w:p>
        </w:tc>
        <w:tc>
          <w:tcPr>
            <w:tcW w:w="1489"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Value</w:t>
            </w:r>
          </w:p>
        </w:tc>
        <w:tc>
          <w:tcPr>
            <w:tcW w:w="3254"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Unit</w:t>
            </w:r>
          </w:p>
        </w:tc>
        <w:tc>
          <w:tcPr>
            <w:tcW w:w="932"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Year</w:t>
            </w:r>
          </w:p>
        </w:tc>
      </w:tr>
      <w:tr w:rsidR="00BD3B5F" w:rsidRPr="005C3B55">
        <w:tc>
          <w:tcPr>
            <w:tcW w:w="4981"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total</w:t>
            </w:r>
          </w:p>
        </w:tc>
        <w:tc>
          <w:tcPr>
            <w:tcW w:w="1489"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101.6</w:t>
            </w:r>
          </w:p>
        </w:tc>
        <w:tc>
          <w:tcPr>
            <w:tcW w:w="3254"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Inhab / km2</w:t>
            </w:r>
          </w:p>
        </w:tc>
        <w:tc>
          <w:tcPr>
            <w:tcW w:w="932"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2013  </w:t>
            </w:r>
          </w:p>
        </w:tc>
      </w:tr>
      <w:tr w:rsidR="00BD3B5F" w:rsidRPr="005C3B55">
        <w:tc>
          <w:tcPr>
            <w:tcW w:w="4981"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rural</w:t>
            </w:r>
          </w:p>
        </w:tc>
        <w:tc>
          <w:tcPr>
            <w:tcW w:w="1489"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75.5</w:t>
            </w:r>
          </w:p>
        </w:tc>
        <w:tc>
          <w:tcPr>
            <w:tcW w:w="3254"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Inhab / km2</w:t>
            </w:r>
          </w:p>
        </w:tc>
        <w:tc>
          <w:tcPr>
            <w:tcW w:w="932"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2013  </w:t>
            </w:r>
          </w:p>
        </w:tc>
      </w:tr>
      <w:tr w:rsidR="00BD3B5F" w:rsidRPr="005C3B55">
        <w:tc>
          <w:tcPr>
            <w:tcW w:w="10656" w:type="dxa"/>
            <w:gridSpan w:val="4"/>
            <w:shd w:val="clear" w:color="auto" w:fill="C0C0C0"/>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5 Employment rate</w:t>
            </w:r>
          </w:p>
        </w:tc>
      </w:tr>
      <w:tr w:rsidR="00BD3B5F" w:rsidRPr="005C3B55">
        <w:tc>
          <w:tcPr>
            <w:tcW w:w="4981"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Indicator</w:t>
            </w:r>
          </w:p>
        </w:tc>
        <w:tc>
          <w:tcPr>
            <w:tcW w:w="1489"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Value</w:t>
            </w:r>
          </w:p>
        </w:tc>
        <w:tc>
          <w:tcPr>
            <w:tcW w:w="3254"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Unit</w:t>
            </w:r>
          </w:p>
        </w:tc>
        <w:tc>
          <w:tcPr>
            <w:tcW w:w="932"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Year</w:t>
            </w:r>
          </w:p>
        </w:tc>
      </w:tr>
      <w:tr w:rsidR="00BD3B5F" w:rsidRPr="005C3B55">
        <w:tc>
          <w:tcPr>
            <w:tcW w:w="4981"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total (15–64 years)</w:t>
            </w:r>
          </w:p>
        </w:tc>
        <w:tc>
          <w:tcPr>
            <w:tcW w:w="1489"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63.3</w:t>
            </w:r>
          </w:p>
        </w:tc>
        <w:tc>
          <w:tcPr>
            <w:tcW w:w="3254"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w:t>
            </w:r>
          </w:p>
        </w:tc>
        <w:tc>
          <w:tcPr>
            <w:tcW w:w="932"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2013  </w:t>
            </w:r>
          </w:p>
        </w:tc>
      </w:tr>
      <w:tr w:rsidR="00BD3B5F" w:rsidRPr="005C3B55">
        <w:tc>
          <w:tcPr>
            <w:tcW w:w="4981"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men (15–64 year)</w:t>
            </w:r>
          </w:p>
        </w:tc>
        <w:tc>
          <w:tcPr>
            <w:tcW w:w="1489"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67.1</w:t>
            </w:r>
          </w:p>
        </w:tc>
        <w:tc>
          <w:tcPr>
            <w:tcW w:w="3254"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w:t>
            </w:r>
          </w:p>
        </w:tc>
        <w:tc>
          <w:tcPr>
            <w:tcW w:w="932"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2013  </w:t>
            </w:r>
          </w:p>
        </w:tc>
      </w:tr>
      <w:tr w:rsidR="00BD3B5F" w:rsidRPr="005C3B55">
        <w:tc>
          <w:tcPr>
            <w:tcW w:w="4981"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women (15–64 years)</w:t>
            </w:r>
          </w:p>
        </w:tc>
        <w:tc>
          <w:tcPr>
            <w:tcW w:w="1489"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59.2</w:t>
            </w:r>
          </w:p>
        </w:tc>
        <w:tc>
          <w:tcPr>
            <w:tcW w:w="3254"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w:t>
            </w:r>
          </w:p>
        </w:tc>
        <w:tc>
          <w:tcPr>
            <w:tcW w:w="932"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2013  </w:t>
            </w:r>
          </w:p>
        </w:tc>
      </w:tr>
      <w:tr w:rsidR="00BD3B5F" w:rsidRPr="005C3B55">
        <w:tc>
          <w:tcPr>
            <w:tcW w:w="4981"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*rural (sparsely populated) (15–64 years)</w:t>
            </w:r>
          </w:p>
        </w:tc>
        <w:tc>
          <w:tcPr>
            <w:tcW w:w="1489"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64</w:t>
            </w:r>
          </w:p>
        </w:tc>
        <w:tc>
          <w:tcPr>
            <w:tcW w:w="3254"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w:t>
            </w:r>
          </w:p>
        </w:tc>
        <w:tc>
          <w:tcPr>
            <w:tcW w:w="932"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2013  </w:t>
            </w:r>
          </w:p>
        </w:tc>
      </w:tr>
      <w:tr w:rsidR="00BD3B5F" w:rsidRPr="005C3B55">
        <w:tc>
          <w:tcPr>
            <w:tcW w:w="4981"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total (20–64 years)</w:t>
            </w:r>
          </w:p>
        </w:tc>
        <w:tc>
          <w:tcPr>
            <w:tcW w:w="1489"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67.2</w:t>
            </w:r>
          </w:p>
        </w:tc>
        <w:tc>
          <w:tcPr>
            <w:tcW w:w="3254"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w:t>
            </w:r>
          </w:p>
        </w:tc>
        <w:tc>
          <w:tcPr>
            <w:tcW w:w="932"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2013  </w:t>
            </w:r>
          </w:p>
        </w:tc>
      </w:tr>
      <w:tr w:rsidR="00BD3B5F" w:rsidRPr="005C3B55">
        <w:tc>
          <w:tcPr>
            <w:tcW w:w="4981"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men (20–64 years)</w:t>
            </w:r>
          </w:p>
        </w:tc>
        <w:tc>
          <w:tcPr>
            <w:tcW w:w="1489"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71.2</w:t>
            </w:r>
          </w:p>
        </w:tc>
        <w:tc>
          <w:tcPr>
            <w:tcW w:w="3254"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w:t>
            </w:r>
          </w:p>
        </w:tc>
        <w:tc>
          <w:tcPr>
            <w:tcW w:w="932"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2013  </w:t>
            </w:r>
          </w:p>
        </w:tc>
      </w:tr>
      <w:tr w:rsidR="00BD3B5F" w:rsidRPr="005C3B55">
        <w:tc>
          <w:tcPr>
            <w:tcW w:w="4981"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women (20–64 years)</w:t>
            </w:r>
          </w:p>
        </w:tc>
        <w:tc>
          <w:tcPr>
            <w:tcW w:w="1489"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63</w:t>
            </w:r>
          </w:p>
        </w:tc>
        <w:tc>
          <w:tcPr>
            <w:tcW w:w="3254"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w:t>
            </w:r>
          </w:p>
        </w:tc>
        <w:tc>
          <w:tcPr>
            <w:tcW w:w="932"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2013  </w:t>
            </w:r>
          </w:p>
        </w:tc>
      </w:tr>
      <w:tr w:rsidR="00BD3B5F" w:rsidRPr="005C3B55">
        <w:tc>
          <w:tcPr>
            <w:tcW w:w="10656" w:type="dxa"/>
            <w:gridSpan w:val="4"/>
            <w:shd w:val="clear" w:color="auto" w:fill="C0C0C0"/>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6 Self-employment rate</w:t>
            </w:r>
          </w:p>
        </w:tc>
      </w:tr>
      <w:tr w:rsidR="00BD3B5F" w:rsidRPr="005C3B55">
        <w:tc>
          <w:tcPr>
            <w:tcW w:w="4981"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Indicator</w:t>
            </w:r>
          </w:p>
        </w:tc>
        <w:tc>
          <w:tcPr>
            <w:tcW w:w="1489"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Value</w:t>
            </w:r>
          </w:p>
        </w:tc>
        <w:tc>
          <w:tcPr>
            <w:tcW w:w="3254"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Unit</w:t>
            </w:r>
          </w:p>
        </w:tc>
        <w:tc>
          <w:tcPr>
            <w:tcW w:w="932"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Year</w:t>
            </w:r>
          </w:p>
        </w:tc>
      </w:tr>
      <w:tr w:rsidR="00BD3B5F" w:rsidRPr="005C3B55">
        <w:tc>
          <w:tcPr>
            <w:tcW w:w="4981"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total (15–64 years)</w:t>
            </w:r>
          </w:p>
        </w:tc>
        <w:tc>
          <w:tcPr>
            <w:tcW w:w="1489"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11.6</w:t>
            </w:r>
          </w:p>
        </w:tc>
        <w:tc>
          <w:tcPr>
            <w:tcW w:w="3254"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w:t>
            </w:r>
          </w:p>
        </w:tc>
        <w:tc>
          <w:tcPr>
            <w:tcW w:w="932"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2013  </w:t>
            </w:r>
          </w:p>
        </w:tc>
      </w:tr>
      <w:tr w:rsidR="00BD3B5F" w:rsidRPr="005C3B55">
        <w:tc>
          <w:tcPr>
            <w:tcW w:w="10656" w:type="dxa"/>
            <w:gridSpan w:val="4"/>
            <w:shd w:val="clear" w:color="auto" w:fill="C0C0C0"/>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7 Unemployment rate</w:t>
            </w:r>
          </w:p>
        </w:tc>
      </w:tr>
      <w:tr w:rsidR="00BD3B5F" w:rsidRPr="005C3B55">
        <w:tc>
          <w:tcPr>
            <w:tcW w:w="4981"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Indicator</w:t>
            </w:r>
          </w:p>
        </w:tc>
        <w:tc>
          <w:tcPr>
            <w:tcW w:w="1489"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Value</w:t>
            </w:r>
          </w:p>
        </w:tc>
        <w:tc>
          <w:tcPr>
            <w:tcW w:w="3254"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Unit</w:t>
            </w:r>
          </w:p>
        </w:tc>
        <w:tc>
          <w:tcPr>
            <w:tcW w:w="932"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Year</w:t>
            </w:r>
          </w:p>
        </w:tc>
      </w:tr>
      <w:tr w:rsidR="00BD3B5F" w:rsidRPr="005C3B55">
        <w:tc>
          <w:tcPr>
            <w:tcW w:w="4981"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total (15–74 years)</w:t>
            </w:r>
          </w:p>
        </w:tc>
        <w:tc>
          <w:tcPr>
            <w:tcW w:w="1489"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10.1</w:t>
            </w:r>
          </w:p>
        </w:tc>
        <w:tc>
          <w:tcPr>
            <w:tcW w:w="3254"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w:t>
            </w:r>
          </w:p>
        </w:tc>
        <w:tc>
          <w:tcPr>
            <w:tcW w:w="932"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2013  </w:t>
            </w:r>
          </w:p>
        </w:tc>
      </w:tr>
      <w:tr w:rsidR="00BD3B5F" w:rsidRPr="005C3B55">
        <w:tc>
          <w:tcPr>
            <w:tcW w:w="4981"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young (15–24 years)</w:t>
            </w:r>
          </w:p>
        </w:tc>
        <w:tc>
          <w:tcPr>
            <w:tcW w:w="1489"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21.6</w:t>
            </w:r>
          </w:p>
        </w:tc>
        <w:tc>
          <w:tcPr>
            <w:tcW w:w="3254"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w:t>
            </w:r>
          </w:p>
        </w:tc>
        <w:tc>
          <w:tcPr>
            <w:tcW w:w="932"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2013  </w:t>
            </w:r>
          </w:p>
        </w:tc>
      </w:tr>
      <w:tr w:rsidR="00BD3B5F" w:rsidRPr="005C3B55">
        <w:tc>
          <w:tcPr>
            <w:tcW w:w="4981"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*rural (sparsely populated) (15–74 years)</w:t>
            </w:r>
          </w:p>
        </w:tc>
        <w:tc>
          <w:tcPr>
            <w:tcW w:w="1489"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9.8</w:t>
            </w:r>
          </w:p>
        </w:tc>
        <w:tc>
          <w:tcPr>
            <w:tcW w:w="3254"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w:t>
            </w:r>
          </w:p>
        </w:tc>
        <w:tc>
          <w:tcPr>
            <w:tcW w:w="932"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2013  </w:t>
            </w:r>
          </w:p>
        </w:tc>
      </w:tr>
      <w:tr w:rsidR="00BD3B5F" w:rsidRPr="005C3B55">
        <w:tc>
          <w:tcPr>
            <w:tcW w:w="4981"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young (15–24 years)</w:t>
            </w:r>
          </w:p>
        </w:tc>
        <w:tc>
          <w:tcPr>
            <w:tcW w:w="1489"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21.1</w:t>
            </w:r>
          </w:p>
        </w:tc>
        <w:tc>
          <w:tcPr>
            <w:tcW w:w="3254"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w:t>
            </w:r>
          </w:p>
        </w:tc>
        <w:tc>
          <w:tcPr>
            <w:tcW w:w="932"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2013  </w:t>
            </w:r>
          </w:p>
        </w:tc>
      </w:tr>
      <w:tr w:rsidR="00BD3B5F" w:rsidRPr="005C3B55">
        <w:tc>
          <w:tcPr>
            <w:tcW w:w="10656" w:type="dxa"/>
            <w:gridSpan w:val="4"/>
            <w:shd w:val="clear" w:color="auto" w:fill="C0C0C0"/>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8 GDP per capita</w:t>
            </w:r>
          </w:p>
        </w:tc>
      </w:tr>
      <w:tr w:rsidR="00BD3B5F" w:rsidRPr="005C3B55">
        <w:tc>
          <w:tcPr>
            <w:tcW w:w="4981"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Indicator</w:t>
            </w:r>
          </w:p>
        </w:tc>
        <w:tc>
          <w:tcPr>
            <w:tcW w:w="1489"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Value</w:t>
            </w:r>
          </w:p>
        </w:tc>
        <w:tc>
          <w:tcPr>
            <w:tcW w:w="3254"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Unit</w:t>
            </w:r>
          </w:p>
        </w:tc>
        <w:tc>
          <w:tcPr>
            <w:tcW w:w="932"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Year</w:t>
            </w:r>
          </w:p>
        </w:tc>
      </w:tr>
      <w:tr w:rsidR="00BD3B5F" w:rsidRPr="005C3B55">
        <w:tc>
          <w:tcPr>
            <w:tcW w:w="4981"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total</w:t>
            </w:r>
          </w:p>
        </w:tc>
        <w:tc>
          <w:tcPr>
            <w:tcW w:w="1489"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82.4</w:t>
            </w:r>
          </w:p>
        </w:tc>
        <w:tc>
          <w:tcPr>
            <w:tcW w:w="3254"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Index PPS (EU-27 = 100)</w:t>
            </w:r>
          </w:p>
        </w:tc>
        <w:tc>
          <w:tcPr>
            <w:tcW w:w="932"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2013  </w:t>
            </w:r>
          </w:p>
        </w:tc>
      </w:tr>
      <w:tr w:rsidR="00BD3B5F" w:rsidRPr="005C3B55">
        <w:tc>
          <w:tcPr>
            <w:tcW w:w="4981"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*rural</w:t>
            </w:r>
          </w:p>
        </w:tc>
        <w:tc>
          <w:tcPr>
            <w:tcW w:w="1489"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69.3</w:t>
            </w:r>
          </w:p>
        </w:tc>
        <w:tc>
          <w:tcPr>
            <w:tcW w:w="3254"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Index PPS (EU-27 = 100)</w:t>
            </w:r>
          </w:p>
        </w:tc>
        <w:tc>
          <w:tcPr>
            <w:tcW w:w="932"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2010  </w:t>
            </w:r>
          </w:p>
        </w:tc>
      </w:tr>
      <w:tr w:rsidR="00BD3B5F" w:rsidRPr="005C3B55">
        <w:tc>
          <w:tcPr>
            <w:tcW w:w="10656" w:type="dxa"/>
            <w:gridSpan w:val="4"/>
            <w:shd w:val="clear" w:color="auto" w:fill="C0C0C0"/>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9 Poverty rate</w:t>
            </w:r>
          </w:p>
        </w:tc>
      </w:tr>
      <w:tr w:rsidR="00BD3B5F" w:rsidRPr="005C3B55">
        <w:tc>
          <w:tcPr>
            <w:tcW w:w="4981"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Indicator</w:t>
            </w:r>
          </w:p>
        </w:tc>
        <w:tc>
          <w:tcPr>
            <w:tcW w:w="1489"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Value</w:t>
            </w:r>
          </w:p>
        </w:tc>
        <w:tc>
          <w:tcPr>
            <w:tcW w:w="3254"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Unit</w:t>
            </w:r>
          </w:p>
        </w:tc>
        <w:tc>
          <w:tcPr>
            <w:tcW w:w="932"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Year</w:t>
            </w:r>
          </w:p>
        </w:tc>
      </w:tr>
      <w:tr w:rsidR="00BD3B5F" w:rsidRPr="005C3B55">
        <w:tc>
          <w:tcPr>
            <w:tcW w:w="4981"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total</w:t>
            </w:r>
          </w:p>
        </w:tc>
        <w:tc>
          <w:tcPr>
            <w:tcW w:w="1489"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20.4</w:t>
            </w:r>
          </w:p>
        </w:tc>
        <w:tc>
          <w:tcPr>
            <w:tcW w:w="3254"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 of total population</w:t>
            </w:r>
          </w:p>
        </w:tc>
        <w:tc>
          <w:tcPr>
            <w:tcW w:w="932"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2013  </w:t>
            </w:r>
          </w:p>
        </w:tc>
      </w:tr>
      <w:tr w:rsidR="00BD3B5F" w:rsidRPr="005C3B55">
        <w:tc>
          <w:tcPr>
            <w:tcW w:w="4981"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*rural (sparsely populated)</w:t>
            </w:r>
          </w:p>
        </w:tc>
        <w:tc>
          <w:tcPr>
            <w:tcW w:w="1489"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21.7</w:t>
            </w:r>
          </w:p>
        </w:tc>
        <w:tc>
          <w:tcPr>
            <w:tcW w:w="3254"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 of total population</w:t>
            </w:r>
          </w:p>
        </w:tc>
        <w:tc>
          <w:tcPr>
            <w:tcW w:w="932"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2013  </w:t>
            </w:r>
          </w:p>
        </w:tc>
      </w:tr>
      <w:tr w:rsidR="00BD3B5F" w:rsidRPr="005C3B55">
        <w:tc>
          <w:tcPr>
            <w:tcW w:w="10656" w:type="dxa"/>
            <w:gridSpan w:val="4"/>
            <w:shd w:val="clear" w:color="auto" w:fill="C0C0C0"/>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10 Economy structure (GVA)</w:t>
            </w:r>
          </w:p>
        </w:tc>
      </w:tr>
      <w:tr w:rsidR="00BD3B5F" w:rsidRPr="005C3B55">
        <w:tc>
          <w:tcPr>
            <w:tcW w:w="4981"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Indicator</w:t>
            </w:r>
          </w:p>
        </w:tc>
        <w:tc>
          <w:tcPr>
            <w:tcW w:w="1489"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Value</w:t>
            </w:r>
          </w:p>
        </w:tc>
        <w:tc>
          <w:tcPr>
            <w:tcW w:w="3254"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Unit</w:t>
            </w:r>
          </w:p>
        </w:tc>
        <w:tc>
          <w:tcPr>
            <w:tcW w:w="932"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Year</w:t>
            </w:r>
          </w:p>
        </w:tc>
      </w:tr>
      <w:tr w:rsidR="00BD3B5F" w:rsidRPr="005C3B55">
        <w:tc>
          <w:tcPr>
            <w:tcW w:w="4981"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total</w:t>
            </w:r>
          </w:p>
        </w:tc>
        <w:tc>
          <w:tcPr>
            <w:tcW w:w="1489"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30,513.4</w:t>
            </w:r>
          </w:p>
        </w:tc>
        <w:tc>
          <w:tcPr>
            <w:tcW w:w="3254"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EUR million</w:t>
            </w:r>
          </w:p>
        </w:tc>
        <w:tc>
          <w:tcPr>
            <w:tcW w:w="932"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2013  </w:t>
            </w:r>
          </w:p>
        </w:tc>
      </w:tr>
      <w:tr w:rsidR="00BD3B5F" w:rsidRPr="005C3B55">
        <w:tc>
          <w:tcPr>
            <w:tcW w:w="4981"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primary</w:t>
            </w:r>
          </w:p>
        </w:tc>
        <w:tc>
          <w:tcPr>
            <w:tcW w:w="1489"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2.9</w:t>
            </w:r>
          </w:p>
        </w:tc>
        <w:tc>
          <w:tcPr>
            <w:tcW w:w="3254"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 of total</w:t>
            </w:r>
          </w:p>
        </w:tc>
        <w:tc>
          <w:tcPr>
            <w:tcW w:w="932"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2013  </w:t>
            </w:r>
          </w:p>
        </w:tc>
      </w:tr>
      <w:tr w:rsidR="00BD3B5F" w:rsidRPr="005C3B55">
        <w:tc>
          <w:tcPr>
            <w:tcW w:w="4981"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secondary</w:t>
            </w:r>
          </w:p>
        </w:tc>
        <w:tc>
          <w:tcPr>
            <w:tcW w:w="1489"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31.4</w:t>
            </w:r>
          </w:p>
        </w:tc>
        <w:tc>
          <w:tcPr>
            <w:tcW w:w="3254"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 of total</w:t>
            </w:r>
          </w:p>
        </w:tc>
        <w:tc>
          <w:tcPr>
            <w:tcW w:w="932"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2013  </w:t>
            </w:r>
          </w:p>
        </w:tc>
      </w:tr>
      <w:tr w:rsidR="00BD3B5F" w:rsidRPr="005C3B55">
        <w:tc>
          <w:tcPr>
            <w:tcW w:w="4981"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tertiary</w:t>
            </w:r>
          </w:p>
        </w:tc>
        <w:tc>
          <w:tcPr>
            <w:tcW w:w="1489"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65.7</w:t>
            </w:r>
          </w:p>
        </w:tc>
        <w:tc>
          <w:tcPr>
            <w:tcW w:w="3254"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 of total</w:t>
            </w:r>
          </w:p>
        </w:tc>
        <w:tc>
          <w:tcPr>
            <w:tcW w:w="932"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2013  </w:t>
            </w:r>
          </w:p>
        </w:tc>
      </w:tr>
      <w:tr w:rsidR="00BD3B5F" w:rsidRPr="005C3B55">
        <w:tc>
          <w:tcPr>
            <w:tcW w:w="4981"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rural</w:t>
            </w:r>
          </w:p>
        </w:tc>
        <w:tc>
          <w:tcPr>
            <w:tcW w:w="1489"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36.4</w:t>
            </w:r>
          </w:p>
        </w:tc>
        <w:tc>
          <w:tcPr>
            <w:tcW w:w="3254"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 of total</w:t>
            </w:r>
          </w:p>
        </w:tc>
        <w:tc>
          <w:tcPr>
            <w:tcW w:w="932"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2011  </w:t>
            </w:r>
          </w:p>
        </w:tc>
      </w:tr>
      <w:tr w:rsidR="00BD3B5F" w:rsidRPr="005C3B55">
        <w:tc>
          <w:tcPr>
            <w:tcW w:w="4981"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intermediate</w:t>
            </w:r>
          </w:p>
        </w:tc>
        <w:tc>
          <w:tcPr>
            <w:tcW w:w="1489"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63.6</w:t>
            </w:r>
          </w:p>
        </w:tc>
        <w:tc>
          <w:tcPr>
            <w:tcW w:w="3254"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 of total</w:t>
            </w:r>
          </w:p>
        </w:tc>
        <w:tc>
          <w:tcPr>
            <w:tcW w:w="932"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2011  </w:t>
            </w:r>
          </w:p>
        </w:tc>
      </w:tr>
      <w:tr w:rsidR="00BD3B5F" w:rsidRPr="005C3B55">
        <w:tc>
          <w:tcPr>
            <w:tcW w:w="4981"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urban</w:t>
            </w:r>
          </w:p>
        </w:tc>
        <w:tc>
          <w:tcPr>
            <w:tcW w:w="1489"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noProof/>
                <w:sz w:val="16"/>
                <w:szCs w:val="24"/>
              </w:rPr>
              <w:t>NA</w:t>
            </w:r>
          </w:p>
        </w:tc>
        <w:tc>
          <w:tcPr>
            <w:tcW w:w="3254"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 of total</w:t>
            </w:r>
          </w:p>
        </w:tc>
        <w:tc>
          <w:tcPr>
            <w:tcW w:w="932"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 </w:t>
            </w:r>
          </w:p>
        </w:tc>
      </w:tr>
      <w:tr w:rsidR="00BD3B5F" w:rsidRPr="005C3B55">
        <w:tc>
          <w:tcPr>
            <w:tcW w:w="10656" w:type="dxa"/>
            <w:gridSpan w:val="4"/>
            <w:shd w:val="clear" w:color="auto" w:fill="C0C0C0"/>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11 Employment structure</w:t>
            </w:r>
          </w:p>
        </w:tc>
      </w:tr>
      <w:tr w:rsidR="00BD3B5F" w:rsidRPr="005C3B55">
        <w:tc>
          <w:tcPr>
            <w:tcW w:w="4981"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Indicator</w:t>
            </w:r>
          </w:p>
        </w:tc>
        <w:tc>
          <w:tcPr>
            <w:tcW w:w="1489"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Value</w:t>
            </w:r>
          </w:p>
        </w:tc>
        <w:tc>
          <w:tcPr>
            <w:tcW w:w="3254"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Unit</w:t>
            </w:r>
          </w:p>
        </w:tc>
        <w:tc>
          <w:tcPr>
            <w:tcW w:w="932"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Year</w:t>
            </w:r>
          </w:p>
        </w:tc>
      </w:tr>
      <w:tr w:rsidR="00BD3B5F" w:rsidRPr="005C3B55">
        <w:tc>
          <w:tcPr>
            <w:tcW w:w="4981"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total</w:t>
            </w:r>
          </w:p>
        </w:tc>
        <w:tc>
          <w:tcPr>
            <w:tcW w:w="1489"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920.6</w:t>
            </w:r>
          </w:p>
        </w:tc>
        <w:tc>
          <w:tcPr>
            <w:tcW w:w="3254"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1000 persons</w:t>
            </w:r>
          </w:p>
        </w:tc>
        <w:tc>
          <w:tcPr>
            <w:tcW w:w="932"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2013  </w:t>
            </w:r>
          </w:p>
        </w:tc>
      </w:tr>
      <w:tr w:rsidR="00BD3B5F" w:rsidRPr="005C3B55">
        <w:tc>
          <w:tcPr>
            <w:tcW w:w="4981"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primary</w:t>
            </w:r>
          </w:p>
        </w:tc>
        <w:tc>
          <w:tcPr>
            <w:tcW w:w="1489"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8.4</w:t>
            </w:r>
          </w:p>
        </w:tc>
        <w:tc>
          <w:tcPr>
            <w:tcW w:w="3254"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 of total</w:t>
            </w:r>
          </w:p>
        </w:tc>
        <w:tc>
          <w:tcPr>
            <w:tcW w:w="932"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2013  </w:t>
            </w:r>
          </w:p>
        </w:tc>
      </w:tr>
      <w:tr w:rsidR="00BD3B5F" w:rsidRPr="005C3B55">
        <w:tc>
          <w:tcPr>
            <w:tcW w:w="4981"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secondary</w:t>
            </w:r>
          </w:p>
        </w:tc>
        <w:tc>
          <w:tcPr>
            <w:tcW w:w="1489"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29.4</w:t>
            </w:r>
          </w:p>
        </w:tc>
        <w:tc>
          <w:tcPr>
            <w:tcW w:w="3254"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 of total</w:t>
            </w:r>
          </w:p>
        </w:tc>
        <w:tc>
          <w:tcPr>
            <w:tcW w:w="932"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2013  </w:t>
            </w:r>
          </w:p>
        </w:tc>
      </w:tr>
      <w:tr w:rsidR="00BD3B5F" w:rsidRPr="005C3B55">
        <w:tc>
          <w:tcPr>
            <w:tcW w:w="4981"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tertiary</w:t>
            </w:r>
          </w:p>
        </w:tc>
        <w:tc>
          <w:tcPr>
            <w:tcW w:w="1489"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62.2</w:t>
            </w:r>
          </w:p>
        </w:tc>
        <w:tc>
          <w:tcPr>
            <w:tcW w:w="3254"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 of total</w:t>
            </w:r>
          </w:p>
        </w:tc>
        <w:tc>
          <w:tcPr>
            <w:tcW w:w="932"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2013  </w:t>
            </w:r>
          </w:p>
        </w:tc>
      </w:tr>
      <w:tr w:rsidR="00BD3B5F" w:rsidRPr="005C3B55">
        <w:tc>
          <w:tcPr>
            <w:tcW w:w="4981"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rural</w:t>
            </w:r>
          </w:p>
        </w:tc>
        <w:tc>
          <w:tcPr>
            <w:tcW w:w="1489"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39.6</w:t>
            </w:r>
          </w:p>
        </w:tc>
        <w:tc>
          <w:tcPr>
            <w:tcW w:w="3254"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 of total</w:t>
            </w:r>
          </w:p>
        </w:tc>
        <w:tc>
          <w:tcPr>
            <w:tcW w:w="932"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2010  </w:t>
            </w:r>
          </w:p>
        </w:tc>
      </w:tr>
      <w:tr w:rsidR="00BD3B5F" w:rsidRPr="005C3B55">
        <w:tc>
          <w:tcPr>
            <w:tcW w:w="4981"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intermediate</w:t>
            </w:r>
          </w:p>
        </w:tc>
        <w:tc>
          <w:tcPr>
            <w:tcW w:w="1489"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60.4</w:t>
            </w:r>
          </w:p>
        </w:tc>
        <w:tc>
          <w:tcPr>
            <w:tcW w:w="3254"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 of total</w:t>
            </w:r>
          </w:p>
        </w:tc>
        <w:tc>
          <w:tcPr>
            <w:tcW w:w="932"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2010  </w:t>
            </w:r>
          </w:p>
        </w:tc>
      </w:tr>
      <w:tr w:rsidR="00BD3B5F" w:rsidRPr="005C3B55">
        <w:tc>
          <w:tcPr>
            <w:tcW w:w="4981"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urban</w:t>
            </w:r>
          </w:p>
        </w:tc>
        <w:tc>
          <w:tcPr>
            <w:tcW w:w="1489"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noProof/>
                <w:sz w:val="16"/>
                <w:szCs w:val="24"/>
              </w:rPr>
              <w:t>NA</w:t>
            </w:r>
          </w:p>
        </w:tc>
        <w:tc>
          <w:tcPr>
            <w:tcW w:w="3254"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 of total</w:t>
            </w:r>
          </w:p>
        </w:tc>
        <w:tc>
          <w:tcPr>
            <w:tcW w:w="932"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 </w:t>
            </w:r>
          </w:p>
        </w:tc>
      </w:tr>
      <w:tr w:rsidR="00BD3B5F" w:rsidRPr="005C3B55">
        <w:tc>
          <w:tcPr>
            <w:tcW w:w="10656" w:type="dxa"/>
            <w:gridSpan w:val="4"/>
            <w:shd w:val="clear" w:color="auto" w:fill="C0C0C0"/>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12 Work productivity by industries</w:t>
            </w:r>
          </w:p>
        </w:tc>
      </w:tr>
      <w:tr w:rsidR="00BD3B5F" w:rsidRPr="005C3B55">
        <w:tc>
          <w:tcPr>
            <w:tcW w:w="4981"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Indicator</w:t>
            </w:r>
          </w:p>
        </w:tc>
        <w:tc>
          <w:tcPr>
            <w:tcW w:w="1489"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Value</w:t>
            </w:r>
          </w:p>
        </w:tc>
        <w:tc>
          <w:tcPr>
            <w:tcW w:w="3254"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Unit</w:t>
            </w:r>
          </w:p>
        </w:tc>
        <w:tc>
          <w:tcPr>
            <w:tcW w:w="932"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Year</w:t>
            </w:r>
          </w:p>
        </w:tc>
      </w:tr>
      <w:tr w:rsidR="00BD3B5F" w:rsidRPr="005C3B55">
        <w:tc>
          <w:tcPr>
            <w:tcW w:w="4981"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total</w:t>
            </w:r>
          </w:p>
        </w:tc>
        <w:tc>
          <w:tcPr>
            <w:tcW w:w="1489"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33,145.1</w:t>
            </w:r>
          </w:p>
        </w:tc>
        <w:tc>
          <w:tcPr>
            <w:tcW w:w="3254"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EUR/person</w:t>
            </w:r>
          </w:p>
        </w:tc>
        <w:tc>
          <w:tcPr>
            <w:tcW w:w="932"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2013  </w:t>
            </w:r>
          </w:p>
        </w:tc>
      </w:tr>
      <w:tr w:rsidR="00BD3B5F" w:rsidRPr="005C3B55">
        <w:tc>
          <w:tcPr>
            <w:tcW w:w="4981"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primary</w:t>
            </w:r>
          </w:p>
        </w:tc>
        <w:tc>
          <w:tcPr>
            <w:tcW w:w="1489"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11,481.2</w:t>
            </w:r>
          </w:p>
        </w:tc>
        <w:tc>
          <w:tcPr>
            <w:tcW w:w="3254"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EUR/person</w:t>
            </w:r>
          </w:p>
        </w:tc>
        <w:tc>
          <w:tcPr>
            <w:tcW w:w="932"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2013  </w:t>
            </w:r>
          </w:p>
        </w:tc>
      </w:tr>
      <w:tr w:rsidR="00BD3B5F" w:rsidRPr="005C3B55">
        <w:tc>
          <w:tcPr>
            <w:tcW w:w="4981"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secondary</w:t>
            </w:r>
          </w:p>
        </w:tc>
        <w:tc>
          <w:tcPr>
            <w:tcW w:w="1489"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35,392.5</w:t>
            </w:r>
          </w:p>
        </w:tc>
        <w:tc>
          <w:tcPr>
            <w:tcW w:w="3254"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EUR/person</w:t>
            </w:r>
          </w:p>
        </w:tc>
        <w:tc>
          <w:tcPr>
            <w:tcW w:w="932"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2013  </w:t>
            </w:r>
          </w:p>
        </w:tc>
      </w:tr>
      <w:tr w:rsidR="00BD3B5F" w:rsidRPr="005C3B55">
        <w:tc>
          <w:tcPr>
            <w:tcW w:w="4981"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tertiary</w:t>
            </w:r>
          </w:p>
        </w:tc>
        <w:tc>
          <w:tcPr>
            <w:tcW w:w="1489"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34,999.1</w:t>
            </w:r>
          </w:p>
        </w:tc>
        <w:tc>
          <w:tcPr>
            <w:tcW w:w="3254"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EUR/person</w:t>
            </w:r>
          </w:p>
        </w:tc>
        <w:tc>
          <w:tcPr>
            <w:tcW w:w="932"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2013  </w:t>
            </w:r>
          </w:p>
        </w:tc>
      </w:tr>
      <w:tr w:rsidR="00BD3B5F" w:rsidRPr="005C3B55">
        <w:tc>
          <w:tcPr>
            <w:tcW w:w="4981"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rural</w:t>
            </w:r>
          </w:p>
        </w:tc>
        <w:tc>
          <w:tcPr>
            <w:tcW w:w="1489"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30,752.9</w:t>
            </w:r>
          </w:p>
        </w:tc>
        <w:tc>
          <w:tcPr>
            <w:tcW w:w="3254"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EUR/person</w:t>
            </w:r>
          </w:p>
        </w:tc>
        <w:tc>
          <w:tcPr>
            <w:tcW w:w="932"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2011  </w:t>
            </w:r>
          </w:p>
        </w:tc>
      </w:tr>
      <w:tr w:rsidR="00BD3B5F" w:rsidRPr="005C3B55">
        <w:tc>
          <w:tcPr>
            <w:tcW w:w="4981"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intermediate</w:t>
            </w:r>
          </w:p>
        </w:tc>
        <w:tc>
          <w:tcPr>
            <w:tcW w:w="1489"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34,964.6</w:t>
            </w:r>
          </w:p>
        </w:tc>
        <w:tc>
          <w:tcPr>
            <w:tcW w:w="3254"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EUR/person</w:t>
            </w:r>
          </w:p>
        </w:tc>
        <w:tc>
          <w:tcPr>
            <w:tcW w:w="932"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2011  </w:t>
            </w:r>
          </w:p>
        </w:tc>
      </w:tr>
      <w:tr w:rsidR="00BD3B5F" w:rsidRPr="005C3B55">
        <w:tc>
          <w:tcPr>
            <w:tcW w:w="4981"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urban</w:t>
            </w:r>
          </w:p>
        </w:tc>
        <w:tc>
          <w:tcPr>
            <w:tcW w:w="1489"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noProof/>
                <w:sz w:val="16"/>
                <w:szCs w:val="24"/>
              </w:rPr>
              <w:t>NA</w:t>
            </w:r>
          </w:p>
        </w:tc>
        <w:tc>
          <w:tcPr>
            <w:tcW w:w="3254"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EUR/person</w:t>
            </w:r>
          </w:p>
        </w:tc>
        <w:tc>
          <w:tcPr>
            <w:tcW w:w="932"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 </w:t>
            </w:r>
          </w:p>
        </w:tc>
      </w:tr>
    </w:tbl>
    <w:p w:rsidR="00BD3B5F" w:rsidRPr="005C3B55" w:rsidRDefault="00BD3B5F">
      <w:pPr>
        <w:rPr>
          <w:szCs w:val="24"/>
        </w:rPr>
      </w:pPr>
      <w:r w:rsidRPr="005C3B55">
        <w:rPr>
          <w:szCs w:val="24"/>
        </w:rPr>
        <w:br w:type="page"/>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5915"/>
        <w:gridCol w:w="736"/>
        <w:gridCol w:w="3066"/>
        <w:gridCol w:w="939"/>
      </w:tblGrid>
      <w:tr w:rsidR="00BD3B5F" w:rsidRPr="005C3B55">
        <w:tc>
          <w:tcPr>
            <w:tcW w:w="10656" w:type="dxa"/>
            <w:gridSpan w:val="4"/>
            <w:shd w:val="clear" w:color="auto" w:fill="808080"/>
            <w:tcMar>
              <w:top w:w="20" w:type="dxa"/>
              <w:bottom w:w="20" w:type="dxa"/>
            </w:tcMar>
            <w:vAlign w:val="center"/>
          </w:tcPr>
          <w:p w:rsidR="00BD3B5F" w:rsidRPr="005C3B55" w:rsidRDefault="00BD3B5F">
            <w:pPr>
              <w:jc w:val="left"/>
              <w:rPr>
                <w:b/>
                <w:sz w:val="20"/>
                <w:szCs w:val="24"/>
              </w:rPr>
            </w:pPr>
            <w:r w:rsidRPr="005C3B55">
              <w:rPr>
                <w:b/>
                <w:noProof/>
                <w:sz w:val="20"/>
                <w:szCs w:val="24"/>
              </w:rPr>
              <w:t>II Agriculture/sector analysis</w:t>
            </w:r>
          </w:p>
        </w:tc>
      </w:tr>
      <w:tr w:rsidR="00BD3B5F" w:rsidRPr="005C3B55">
        <w:tc>
          <w:tcPr>
            <w:tcW w:w="10656" w:type="dxa"/>
            <w:gridSpan w:val="4"/>
            <w:shd w:val="clear" w:color="auto" w:fill="C0C0C0"/>
            <w:tcMar>
              <w:top w:w="20" w:type="dxa"/>
              <w:bottom w:w="20" w:type="dxa"/>
            </w:tcMar>
            <w:vAlign w:val="center"/>
          </w:tcPr>
          <w:p w:rsidR="00BD3B5F" w:rsidRPr="005C3B55" w:rsidRDefault="00BD3B5F">
            <w:pPr>
              <w:jc w:val="left"/>
              <w:rPr>
                <w:sz w:val="16"/>
                <w:szCs w:val="24"/>
              </w:rPr>
            </w:pPr>
            <w:r w:rsidRPr="005C3B55">
              <w:rPr>
                <w:noProof/>
                <w:sz w:val="16"/>
                <w:szCs w:val="24"/>
              </w:rPr>
              <w:t>13 Employment by economic activities</w:t>
            </w:r>
          </w:p>
        </w:tc>
      </w:tr>
      <w:tr w:rsidR="00BD3B5F" w:rsidRPr="005C3B55">
        <w:tc>
          <w:tcPr>
            <w:tcW w:w="5915" w:type="dxa"/>
            <w:shd w:val="clear" w:color="auto" w:fill="C0C0C0"/>
            <w:tcMar>
              <w:top w:w="20" w:type="dxa"/>
              <w:bottom w:w="20" w:type="dxa"/>
            </w:tcMar>
            <w:vAlign w:val="center"/>
          </w:tcPr>
          <w:p w:rsidR="00BD3B5F" w:rsidRPr="005C3B55" w:rsidRDefault="00BD3B5F">
            <w:pPr>
              <w:jc w:val="center"/>
              <w:rPr>
                <w:sz w:val="16"/>
                <w:szCs w:val="24"/>
              </w:rPr>
            </w:pPr>
            <w:r w:rsidRPr="005C3B55">
              <w:rPr>
                <w:noProof/>
                <w:sz w:val="16"/>
                <w:szCs w:val="24"/>
              </w:rPr>
              <w:t>Indicator</w:t>
            </w:r>
          </w:p>
        </w:tc>
        <w:tc>
          <w:tcPr>
            <w:tcW w:w="736" w:type="dxa"/>
            <w:shd w:val="clear" w:color="auto" w:fill="C0C0C0"/>
            <w:tcMar>
              <w:top w:w="20" w:type="dxa"/>
              <w:bottom w:w="20" w:type="dxa"/>
            </w:tcMar>
            <w:vAlign w:val="center"/>
          </w:tcPr>
          <w:p w:rsidR="00BD3B5F" w:rsidRPr="005C3B55" w:rsidRDefault="00BD3B5F">
            <w:pPr>
              <w:jc w:val="center"/>
              <w:rPr>
                <w:sz w:val="16"/>
                <w:szCs w:val="24"/>
              </w:rPr>
            </w:pPr>
            <w:r w:rsidRPr="005C3B55">
              <w:rPr>
                <w:noProof/>
                <w:sz w:val="16"/>
                <w:szCs w:val="24"/>
              </w:rPr>
              <w:t>Value</w:t>
            </w:r>
          </w:p>
        </w:tc>
        <w:tc>
          <w:tcPr>
            <w:tcW w:w="3066" w:type="dxa"/>
            <w:shd w:val="clear" w:color="auto" w:fill="C0C0C0"/>
            <w:tcMar>
              <w:top w:w="20" w:type="dxa"/>
              <w:bottom w:w="20" w:type="dxa"/>
            </w:tcMar>
            <w:vAlign w:val="center"/>
          </w:tcPr>
          <w:p w:rsidR="00BD3B5F" w:rsidRPr="005C3B55" w:rsidRDefault="00BD3B5F">
            <w:pPr>
              <w:jc w:val="center"/>
              <w:rPr>
                <w:sz w:val="16"/>
                <w:szCs w:val="24"/>
              </w:rPr>
            </w:pPr>
            <w:r w:rsidRPr="005C3B55">
              <w:rPr>
                <w:noProof/>
                <w:sz w:val="16"/>
                <w:szCs w:val="24"/>
              </w:rPr>
              <w:t>Unit</w:t>
            </w:r>
          </w:p>
        </w:tc>
        <w:tc>
          <w:tcPr>
            <w:tcW w:w="939" w:type="dxa"/>
            <w:shd w:val="clear" w:color="auto" w:fill="C0C0C0"/>
            <w:tcMar>
              <w:top w:w="20" w:type="dxa"/>
              <w:bottom w:w="20" w:type="dxa"/>
            </w:tcMar>
            <w:vAlign w:val="center"/>
          </w:tcPr>
          <w:p w:rsidR="00BD3B5F" w:rsidRPr="005C3B55" w:rsidRDefault="00BD3B5F">
            <w:pPr>
              <w:jc w:val="center"/>
              <w:rPr>
                <w:sz w:val="16"/>
                <w:szCs w:val="24"/>
              </w:rPr>
            </w:pPr>
            <w:r w:rsidRPr="005C3B55">
              <w:rPr>
                <w:noProof/>
                <w:sz w:val="16"/>
                <w:szCs w:val="24"/>
              </w:rPr>
              <w:t>Year</w:t>
            </w:r>
          </w:p>
        </w:tc>
      </w:tr>
      <w:tr w:rsidR="00BD3B5F" w:rsidRPr="005C3B55">
        <w:tc>
          <w:tcPr>
            <w:tcW w:w="5915"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total</w:t>
            </w:r>
          </w:p>
        </w:tc>
        <w:tc>
          <w:tcPr>
            <w:tcW w:w="736"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905.9</w:t>
            </w:r>
          </w:p>
        </w:tc>
        <w:tc>
          <w:tcPr>
            <w:tcW w:w="3066"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1000 persons</w:t>
            </w:r>
          </w:p>
        </w:tc>
        <w:tc>
          <w:tcPr>
            <w:tcW w:w="939"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2013  </w:t>
            </w:r>
          </w:p>
        </w:tc>
      </w:tr>
      <w:tr w:rsidR="00BD3B5F" w:rsidRPr="005C3B55">
        <w:tc>
          <w:tcPr>
            <w:tcW w:w="5915"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agriculture</w:t>
            </w:r>
          </w:p>
        </w:tc>
        <w:tc>
          <w:tcPr>
            <w:tcW w:w="736"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72.5</w:t>
            </w:r>
          </w:p>
        </w:tc>
        <w:tc>
          <w:tcPr>
            <w:tcW w:w="3066"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1000 persons</w:t>
            </w:r>
          </w:p>
        </w:tc>
        <w:tc>
          <w:tcPr>
            <w:tcW w:w="939"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2013  </w:t>
            </w:r>
          </w:p>
        </w:tc>
      </w:tr>
      <w:tr w:rsidR="00BD3B5F" w:rsidRPr="005C3B55">
        <w:tc>
          <w:tcPr>
            <w:tcW w:w="5915"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agriculture</w:t>
            </w:r>
          </w:p>
        </w:tc>
        <w:tc>
          <w:tcPr>
            <w:tcW w:w="736"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8</w:t>
            </w:r>
          </w:p>
        </w:tc>
        <w:tc>
          <w:tcPr>
            <w:tcW w:w="3066"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 of total</w:t>
            </w:r>
          </w:p>
        </w:tc>
        <w:tc>
          <w:tcPr>
            <w:tcW w:w="939"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2013  </w:t>
            </w:r>
          </w:p>
        </w:tc>
      </w:tr>
      <w:tr w:rsidR="00BD3B5F" w:rsidRPr="005C3B55">
        <w:tc>
          <w:tcPr>
            <w:tcW w:w="5915"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forestry</w:t>
            </w:r>
          </w:p>
        </w:tc>
        <w:tc>
          <w:tcPr>
            <w:tcW w:w="736"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3.6</w:t>
            </w:r>
          </w:p>
        </w:tc>
        <w:tc>
          <w:tcPr>
            <w:tcW w:w="3066"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1000 persons</w:t>
            </w:r>
          </w:p>
        </w:tc>
        <w:tc>
          <w:tcPr>
            <w:tcW w:w="939"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2013  </w:t>
            </w:r>
          </w:p>
        </w:tc>
      </w:tr>
      <w:tr w:rsidR="00BD3B5F" w:rsidRPr="005C3B55">
        <w:tc>
          <w:tcPr>
            <w:tcW w:w="5915"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forestry</w:t>
            </w:r>
          </w:p>
        </w:tc>
        <w:tc>
          <w:tcPr>
            <w:tcW w:w="736"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0.4</w:t>
            </w:r>
          </w:p>
        </w:tc>
        <w:tc>
          <w:tcPr>
            <w:tcW w:w="3066"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 of total</w:t>
            </w:r>
          </w:p>
        </w:tc>
        <w:tc>
          <w:tcPr>
            <w:tcW w:w="939"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2013  </w:t>
            </w:r>
          </w:p>
        </w:tc>
      </w:tr>
      <w:tr w:rsidR="00BD3B5F" w:rsidRPr="005C3B55">
        <w:tc>
          <w:tcPr>
            <w:tcW w:w="5915"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food industry</w:t>
            </w:r>
          </w:p>
        </w:tc>
        <w:tc>
          <w:tcPr>
            <w:tcW w:w="736"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17.5</w:t>
            </w:r>
          </w:p>
        </w:tc>
        <w:tc>
          <w:tcPr>
            <w:tcW w:w="3066"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1000 persons</w:t>
            </w:r>
          </w:p>
        </w:tc>
        <w:tc>
          <w:tcPr>
            <w:tcW w:w="939"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2013  </w:t>
            </w:r>
          </w:p>
        </w:tc>
      </w:tr>
      <w:tr w:rsidR="00BD3B5F" w:rsidRPr="005C3B55">
        <w:tc>
          <w:tcPr>
            <w:tcW w:w="5915"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food industry</w:t>
            </w:r>
          </w:p>
        </w:tc>
        <w:tc>
          <w:tcPr>
            <w:tcW w:w="736"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1.9</w:t>
            </w:r>
          </w:p>
        </w:tc>
        <w:tc>
          <w:tcPr>
            <w:tcW w:w="3066"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 of total</w:t>
            </w:r>
          </w:p>
        </w:tc>
        <w:tc>
          <w:tcPr>
            <w:tcW w:w="939"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2013  </w:t>
            </w:r>
          </w:p>
        </w:tc>
      </w:tr>
      <w:tr w:rsidR="00BD3B5F" w:rsidRPr="005C3B55">
        <w:tc>
          <w:tcPr>
            <w:tcW w:w="5915"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tourism</w:t>
            </w:r>
          </w:p>
        </w:tc>
        <w:tc>
          <w:tcPr>
            <w:tcW w:w="736"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37.9</w:t>
            </w:r>
          </w:p>
        </w:tc>
        <w:tc>
          <w:tcPr>
            <w:tcW w:w="3066"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1000 persons</w:t>
            </w:r>
          </w:p>
        </w:tc>
        <w:tc>
          <w:tcPr>
            <w:tcW w:w="939"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2013  </w:t>
            </w:r>
          </w:p>
        </w:tc>
      </w:tr>
      <w:tr w:rsidR="00BD3B5F" w:rsidRPr="005C3B55">
        <w:tc>
          <w:tcPr>
            <w:tcW w:w="5915"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tourism</w:t>
            </w:r>
          </w:p>
        </w:tc>
        <w:tc>
          <w:tcPr>
            <w:tcW w:w="736"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4.2</w:t>
            </w:r>
          </w:p>
        </w:tc>
        <w:tc>
          <w:tcPr>
            <w:tcW w:w="3066"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 of total</w:t>
            </w:r>
          </w:p>
        </w:tc>
        <w:tc>
          <w:tcPr>
            <w:tcW w:w="939"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2013  </w:t>
            </w:r>
          </w:p>
        </w:tc>
      </w:tr>
      <w:tr w:rsidR="00BD3B5F" w:rsidRPr="005C3B55">
        <w:tc>
          <w:tcPr>
            <w:tcW w:w="10656" w:type="dxa"/>
            <w:gridSpan w:val="4"/>
            <w:shd w:val="clear" w:color="auto" w:fill="C0C0C0"/>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14 Work productivity in agriculture</w:t>
            </w:r>
          </w:p>
        </w:tc>
      </w:tr>
      <w:tr w:rsidR="00BD3B5F" w:rsidRPr="005C3B55">
        <w:tc>
          <w:tcPr>
            <w:tcW w:w="5915"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Indicator</w:t>
            </w:r>
          </w:p>
        </w:tc>
        <w:tc>
          <w:tcPr>
            <w:tcW w:w="736"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Value</w:t>
            </w:r>
          </w:p>
        </w:tc>
        <w:tc>
          <w:tcPr>
            <w:tcW w:w="3066"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Unit</w:t>
            </w:r>
          </w:p>
        </w:tc>
        <w:tc>
          <w:tcPr>
            <w:tcW w:w="939"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Year</w:t>
            </w:r>
          </w:p>
        </w:tc>
      </w:tr>
      <w:tr w:rsidR="00BD3B5F" w:rsidRPr="005C3B55">
        <w:tc>
          <w:tcPr>
            <w:tcW w:w="5915"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total</w:t>
            </w:r>
          </w:p>
        </w:tc>
        <w:tc>
          <w:tcPr>
            <w:tcW w:w="736"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5,457.1</w:t>
            </w:r>
          </w:p>
        </w:tc>
        <w:tc>
          <w:tcPr>
            <w:tcW w:w="3066"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EUR/AWU</w:t>
            </w:r>
          </w:p>
        </w:tc>
        <w:tc>
          <w:tcPr>
            <w:tcW w:w="939"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2013  </w:t>
            </w:r>
          </w:p>
        </w:tc>
      </w:tr>
      <w:tr w:rsidR="00BD3B5F" w:rsidRPr="005C3B55">
        <w:tc>
          <w:tcPr>
            <w:tcW w:w="10656" w:type="dxa"/>
            <w:gridSpan w:val="4"/>
            <w:shd w:val="clear" w:color="auto" w:fill="FFFFFF"/>
            <w:tcMar>
              <w:top w:w="20" w:type="dxa"/>
              <w:bottom w:w="20" w:type="dxa"/>
            </w:tcMar>
            <w:vAlign w:val="center"/>
          </w:tcPr>
          <w:p w:rsidR="00BD3B5F" w:rsidRPr="005C3B55" w:rsidRDefault="00BD3B5F">
            <w:pPr>
              <w:rPr>
                <w:sz w:val="16"/>
                <w:szCs w:val="24"/>
              </w:rPr>
            </w:pPr>
            <w:r w:rsidRPr="005C3B55">
              <w:rPr>
                <w:noProof/>
                <w:sz w:val="16"/>
                <w:szCs w:val="24"/>
              </w:rPr>
              <w:t>Comment:</w:t>
            </w:r>
            <w:r w:rsidRPr="005C3B55">
              <w:rPr>
                <w:sz w:val="16"/>
                <w:szCs w:val="24"/>
              </w:rPr>
              <w:t xml:space="preserve"> </w:t>
            </w:r>
            <w:r w:rsidRPr="005C3B55">
              <w:rPr>
                <w:i/>
                <w:sz w:val="16"/>
                <w:szCs w:val="24"/>
              </w:rPr>
              <w:t>2011-2013</w:t>
            </w:r>
          </w:p>
        </w:tc>
      </w:tr>
      <w:tr w:rsidR="00BD3B5F" w:rsidRPr="005C3B55">
        <w:tc>
          <w:tcPr>
            <w:tcW w:w="10656" w:type="dxa"/>
            <w:gridSpan w:val="4"/>
            <w:shd w:val="clear" w:color="auto" w:fill="C0C0C0"/>
            <w:tcMar>
              <w:top w:w="20" w:type="dxa"/>
              <w:bottom w:w="20" w:type="dxa"/>
            </w:tcMar>
            <w:vAlign w:val="center"/>
          </w:tcPr>
          <w:p w:rsidR="00BD3B5F" w:rsidRPr="005C3B55" w:rsidRDefault="00BD3B5F">
            <w:pPr>
              <w:jc w:val="left"/>
              <w:rPr>
                <w:sz w:val="16"/>
                <w:szCs w:val="24"/>
              </w:rPr>
            </w:pPr>
            <w:r w:rsidRPr="005C3B55">
              <w:rPr>
                <w:noProof/>
                <w:sz w:val="16"/>
                <w:szCs w:val="24"/>
              </w:rPr>
              <w:t>15 Work productivity in forestry</w:t>
            </w:r>
          </w:p>
        </w:tc>
      </w:tr>
      <w:tr w:rsidR="00BD3B5F" w:rsidRPr="005C3B55">
        <w:tc>
          <w:tcPr>
            <w:tcW w:w="5915" w:type="dxa"/>
            <w:shd w:val="clear" w:color="auto" w:fill="C0C0C0"/>
            <w:tcMar>
              <w:top w:w="20" w:type="dxa"/>
              <w:bottom w:w="20" w:type="dxa"/>
            </w:tcMar>
            <w:vAlign w:val="center"/>
          </w:tcPr>
          <w:p w:rsidR="00BD3B5F" w:rsidRPr="005C3B55" w:rsidRDefault="00BD3B5F">
            <w:pPr>
              <w:jc w:val="center"/>
              <w:rPr>
                <w:sz w:val="16"/>
                <w:szCs w:val="24"/>
              </w:rPr>
            </w:pPr>
            <w:r w:rsidRPr="005C3B55">
              <w:rPr>
                <w:noProof/>
                <w:sz w:val="16"/>
                <w:szCs w:val="24"/>
              </w:rPr>
              <w:t>Indicator</w:t>
            </w:r>
          </w:p>
        </w:tc>
        <w:tc>
          <w:tcPr>
            <w:tcW w:w="736" w:type="dxa"/>
            <w:shd w:val="clear" w:color="auto" w:fill="C0C0C0"/>
            <w:tcMar>
              <w:top w:w="20" w:type="dxa"/>
              <w:bottom w:w="20" w:type="dxa"/>
            </w:tcMar>
            <w:vAlign w:val="center"/>
          </w:tcPr>
          <w:p w:rsidR="00BD3B5F" w:rsidRPr="005C3B55" w:rsidRDefault="00BD3B5F">
            <w:pPr>
              <w:jc w:val="center"/>
              <w:rPr>
                <w:sz w:val="16"/>
                <w:szCs w:val="24"/>
              </w:rPr>
            </w:pPr>
            <w:r w:rsidRPr="005C3B55">
              <w:rPr>
                <w:noProof/>
                <w:sz w:val="16"/>
                <w:szCs w:val="24"/>
              </w:rPr>
              <w:t>Value</w:t>
            </w:r>
          </w:p>
        </w:tc>
        <w:tc>
          <w:tcPr>
            <w:tcW w:w="3066" w:type="dxa"/>
            <w:shd w:val="clear" w:color="auto" w:fill="C0C0C0"/>
            <w:tcMar>
              <w:top w:w="20" w:type="dxa"/>
              <w:bottom w:w="20" w:type="dxa"/>
            </w:tcMar>
            <w:vAlign w:val="center"/>
          </w:tcPr>
          <w:p w:rsidR="00BD3B5F" w:rsidRPr="005C3B55" w:rsidRDefault="00BD3B5F">
            <w:pPr>
              <w:jc w:val="center"/>
              <w:rPr>
                <w:sz w:val="16"/>
                <w:szCs w:val="24"/>
              </w:rPr>
            </w:pPr>
            <w:r w:rsidRPr="005C3B55">
              <w:rPr>
                <w:noProof/>
                <w:sz w:val="16"/>
                <w:szCs w:val="24"/>
              </w:rPr>
              <w:t>Unit</w:t>
            </w:r>
          </w:p>
        </w:tc>
        <w:tc>
          <w:tcPr>
            <w:tcW w:w="939" w:type="dxa"/>
            <w:shd w:val="clear" w:color="auto" w:fill="C0C0C0"/>
            <w:tcMar>
              <w:top w:w="20" w:type="dxa"/>
              <w:bottom w:w="20" w:type="dxa"/>
            </w:tcMar>
            <w:vAlign w:val="center"/>
          </w:tcPr>
          <w:p w:rsidR="00BD3B5F" w:rsidRPr="005C3B55" w:rsidRDefault="00BD3B5F">
            <w:pPr>
              <w:jc w:val="center"/>
              <w:rPr>
                <w:sz w:val="16"/>
                <w:szCs w:val="24"/>
              </w:rPr>
            </w:pPr>
            <w:r w:rsidRPr="005C3B55">
              <w:rPr>
                <w:noProof/>
                <w:sz w:val="16"/>
                <w:szCs w:val="24"/>
              </w:rPr>
              <w:t>Year</w:t>
            </w:r>
          </w:p>
        </w:tc>
      </w:tr>
      <w:tr w:rsidR="00BD3B5F" w:rsidRPr="005C3B55">
        <w:tc>
          <w:tcPr>
            <w:tcW w:w="5915"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total</w:t>
            </w:r>
          </w:p>
        </w:tc>
        <w:tc>
          <w:tcPr>
            <w:tcW w:w="736"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38,397</w:t>
            </w:r>
          </w:p>
        </w:tc>
        <w:tc>
          <w:tcPr>
            <w:tcW w:w="3066"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EUR/AWU</w:t>
            </w:r>
          </w:p>
        </w:tc>
        <w:tc>
          <w:tcPr>
            <w:tcW w:w="939"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2012  </w:t>
            </w:r>
          </w:p>
        </w:tc>
      </w:tr>
      <w:tr w:rsidR="00BD3B5F" w:rsidRPr="005C3B55">
        <w:tc>
          <w:tcPr>
            <w:tcW w:w="10656" w:type="dxa"/>
            <w:gridSpan w:val="4"/>
            <w:shd w:val="clear" w:color="auto" w:fill="FFFFFF"/>
            <w:tcMar>
              <w:top w:w="20" w:type="dxa"/>
              <w:bottom w:w="20" w:type="dxa"/>
            </w:tcMar>
            <w:vAlign w:val="center"/>
          </w:tcPr>
          <w:p w:rsidR="00BD3B5F" w:rsidRPr="005C3B55" w:rsidRDefault="00BD3B5F">
            <w:pPr>
              <w:rPr>
                <w:sz w:val="16"/>
                <w:szCs w:val="24"/>
              </w:rPr>
            </w:pPr>
            <w:r w:rsidRPr="005C3B55">
              <w:rPr>
                <w:noProof/>
                <w:sz w:val="16"/>
                <w:szCs w:val="24"/>
              </w:rPr>
              <w:t>Comment:</w:t>
            </w:r>
            <w:r w:rsidRPr="005C3B55">
              <w:rPr>
                <w:sz w:val="16"/>
                <w:szCs w:val="24"/>
              </w:rPr>
              <w:t xml:space="preserve"> </w:t>
            </w:r>
            <w:r w:rsidRPr="005C3B55">
              <w:rPr>
                <w:i/>
                <w:sz w:val="16"/>
                <w:szCs w:val="24"/>
              </w:rPr>
              <w:t>2010-2012</w:t>
            </w:r>
          </w:p>
        </w:tc>
      </w:tr>
      <w:tr w:rsidR="00BD3B5F" w:rsidRPr="005C3B55">
        <w:tc>
          <w:tcPr>
            <w:tcW w:w="10656" w:type="dxa"/>
            <w:gridSpan w:val="4"/>
            <w:shd w:val="clear" w:color="auto" w:fill="C0C0C0"/>
            <w:tcMar>
              <w:top w:w="20" w:type="dxa"/>
              <w:bottom w:w="20" w:type="dxa"/>
            </w:tcMar>
            <w:vAlign w:val="center"/>
          </w:tcPr>
          <w:p w:rsidR="00BD3B5F" w:rsidRPr="005C3B55" w:rsidRDefault="00BD3B5F">
            <w:pPr>
              <w:jc w:val="left"/>
              <w:rPr>
                <w:sz w:val="16"/>
                <w:szCs w:val="24"/>
              </w:rPr>
            </w:pPr>
            <w:r w:rsidRPr="005C3B55">
              <w:rPr>
                <w:noProof/>
                <w:sz w:val="16"/>
                <w:szCs w:val="24"/>
              </w:rPr>
              <w:t>16 Work productivity in food industry</w:t>
            </w:r>
          </w:p>
        </w:tc>
      </w:tr>
      <w:tr w:rsidR="00BD3B5F" w:rsidRPr="005C3B55">
        <w:tc>
          <w:tcPr>
            <w:tcW w:w="5915" w:type="dxa"/>
            <w:shd w:val="clear" w:color="auto" w:fill="C0C0C0"/>
            <w:tcMar>
              <w:top w:w="20" w:type="dxa"/>
              <w:bottom w:w="20" w:type="dxa"/>
            </w:tcMar>
            <w:vAlign w:val="center"/>
          </w:tcPr>
          <w:p w:rsidR="00BD3B5F" w:rsidRPr="005C3B55" w:rsidRDefault="00BD3B5F">
            <w:pPr>
              <w:jc w:val="center"/>
              <w:rPr>
                <w:sz w:val="16"/>
                <w:szCs w:val="24"/>
              </w:rPr>
            </w:pPr>
            <w:r w:rsidRPr="005C3B55">
              <w:rPr>
                <w:noProof/>
                <w:sz w:val="16"/>
                <w:szCs w:val="24"/>
              </w:rPr>
              <w:t>Indicator</w:t>
            </w:r>
          </w:p>
        </w:tc>
        <w:tc>
          <w:tcPr>
            <w:tcW w:w="736" w:type="dxa"/>
            <w:shd w:val="clear" w:color="auto" w:fill="C0C0C0"/>
            <w:tcMar>
              <w:top w:w="20" w:type="dxa"/>
              <w:bottom w:w="20" w:type="dxa"/>
            </w:tcMar>
            <w:vAlign w:val="center"/>
          </w:tcPr>
          <w:p w:rsidR="00BD3B5F" w:rsidRPr="005C3B55" w:rsidRDefault="00BD3B5F">
            <w:pPr>
              <w:jc w:val="center"/>
              <w:rPr>
                <w:sz w:val="16"/>
                <w:szCs w:val="24"/>
              </w:rPr>
            </w:pPr>
            <w:r w:rsidRPr="005C3B55">
              <w:rPr>
                <w:noProof/>
                <w:sz w:val="16"/>
                <w:szCs w:val="24"/>
              </w:rPr>
              <w:t>Value</w:t>
            </w:r>
          </w:p>
        </w:tc>
        <w:tc>
          <w:tcPr>
            <w:tcW w:w="3066" w:type="dxa"/>
            <w:shd w:val="clear" w:color="auto" w:fill="C0C0C0"/>
            <w:tcMar>
              <w:top w:w="20" w:type="dxa"/>
              <w:bottom w:w="20" w:type="dxa"/>
            </w:tcMar>
            <w:vAlign w:val="center"/>
          </w:tcPr>
          <w:p w:rsidR="00BD3B5F" w:rsidRPr="005C3B55" w:rsidRDefault="00BD3B5F">
            <w:pPr>
              <w:jc w:val="center"/>
              <w:rPr>
                <w:sz w:val="16"/>
                <w:szCs w:val="24"/>
              </w:rPr>
            </w:pPr>
            <w:r w:rsidRPr="005C3B55">
              <w:rPr>
                <w:noProof/>
                <w:sz w:val="16"/>
                <w:szCs w:val="24"/>
              </w:rPr>
              <w:t>Unit</w:t>
            </w:r>
          </w:p>
        </w:tc>
        <w:tc>
          <w:tcPr>
            <w:tcW w:w="939" w:type="dxa"/>
            <w:shd w:val="clear" w:color="auto" w:fill="C0C0C0"/>
            <w:tcMar>
              <w:top w:w="20" w:type="dxa"/>
              <w:bottom w:w="20" w:type="dxa"/>
            </w:tcMar>
            <w:vAlign w:val="center"/>
          </w:tcPr>
          <w:p w:rsidR="00BD3B5F" w:rsidRPr="005C3B55" w:rsidRDefault="00BD3B5F">
            <w:pPr>
              <w:jc w:val="center"/>
              <w:rPr>
                <w:sz w:val="16"/>
                <w:szCs w:val="24"/>
              </w:rPr>
            </w:pPr>
            <w:r w:rsidRPr="005C3B55">
              <w:rPr>
                <w:noProof/>
                <w:sz w:val="16"/>
                <w:szCs w:val="24"/>
              </w:rPr>
              <w:t>Year</w:t>
            </w:r>
          </w:p>
        </w:tc>
      </w:tr>
      <w:tr w:rsidR="00BD3B5F" w:rsidRPr="005C3B55">
        <w:tc>
          <w:tcPr>
            <w:tcW w:w="5915"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total</w:t>
            </w:r>
          </w:p>
        </w:tc>
        <w:tc>
          <w:tcPr>
            <w:tcW w:w="736"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29,084</w:t>
            </w:r>
          </w:p>
        </w:tc>
        <w:tc>
          <w:tcPr>
            <w:tcW w:w="3066"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EUR/person</w:t>
            </w:r>
          </w:p>
        </w:tc>
        <w:tc>
          <w:tcPr>
            <w:tcW w:w="939"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2013  </w:t>
            </w:r>
          </w:p>
        </w:tc>
      </w:tr>
      <w:tr w:rsidR="00BD3B5F" w:rsidRPr="005C3B55">
        <w:tc>
          <w:tcPr>
            <w:tcW w:w="10656" w:type="dxa"/>
            <w:gridSpan w:val="4"/>
            <w:shd w:val="clear" w:color="auto" w:fill="FFFFFF"/>
            <w:tcMar>
              <w:top w:w="20" w:type="dxa"/>
              <w:bottom w:w="20" w:type="dxa"/>
            </w:tcMar>
            <w:vAlign w:val="center"/>
          </w:tcPr>
          <w:p w:rsidR="00BD3B5F" w:rsidRPr="005C3B55" w:rsidRDefault="00BD3B5F">
            <w:pPr>
              <w:rPr>
                <w:sz w:val="16"/>
                <w:szCs w:val="24"/>
              </w:rPr>
            </w:pPr>
            <w:r w:rsidRPr="005C3B55">
              <w:rPr>
                <w:noProof/>
                <w:sz w:val="16"/>
                <w:szCs w:val="24"/>
              </w:rPr>
              <w:t>Comment:</w:t>
            </w:r>
            <w:r w:rsidRPr="005C3B55">
              <w:rPr>
                <w:sz w:val="16"/>
                <w:szCs w:val="24"/>
              </w:rPr>
              <w:t xml:space="preserve"> </w:t>
            </w:r>
            <w:r w:rsidRPr="005C3B55">
              <w:rPr>
                <w:i/>
                <w:sz w:val="16"/>
                <w:szCs w:val="24"/>
              </w:rPr>
              <w:t>2011-2013</w:t>
            </w:r>
          </w:p>
        </w:tc>
      </w:tr>
      <w:tr w:rsidR="00BD3B5F" w:rsidRPr="005C3B55">
        <w:tc>
          <w:tcPr>
            <w:tcW w:w="10656" w:type="dxa"/>
            <w:gridSpan w:val="4"/>
            <w:shd w:val="clear" w:color="auto" w:fill="C0C0C0"/>
            <w:tcMar>
              <w:top w:w="20" w:type="dxa"/>
              <w:bottom w:w="20" w:type="dxa"/>
            </w:tcMar>
            <w:vAlign w:val="center"/>
          </w:tcPr>
          <w:p w:rsidR="00BD3B5F" w:rsidRPr="005C3B55" w:rsidRDefault="00BD3B5F">
            <w:pPr>
              <w:jc w:val="left"/>
              <w:rPr>
                <w:sz w:val="16"/>
                <w:szCs w:val="24"/>
              </w:rPr>
            </w:pPr>
            <w:r w:rsidRPr="005C3B55">
              <w:rPr>
                <w:noProof/>
                <w:sz w:val="16"/>
                <w:szCs w:val="24"/>
              </w:rPr>
              <w:t>17 Agricultural holdings (farms)</w:t>
            </w:r>
          </w:p>
        </w:tc>
      </w:tr>
      <w:tr w:rsidR="00BD3B5F" w:rsidRPr="005C3B55">
        <w:tc>
          <w:tcPr>
            <w:tcW w:w="5915" w:type="dxa"/>
            <w:shd w:val="clear" w:color="auto" w:fill="C0C0C0"/>
            <w:tcMar>
              <w:top w:w="20" w:type="dxa"/>
              <w:bottom w:w="20" w:type="dxa"/>
            </w:tcMar>
            <w:vAlign w:val="center"/>
          </w:tcPr>
          <w:p w:rsidR="00BD3B5F" w:rsidRPr="005C3B55" w:rsidRDefault="00BD3B5F">
            <w:pPr>
              <w:jc w:val="center"/>
              <w:rPr>
                <w:sz w:val="16"/>
                <w:szCs w:val="24"/>
              </w:rPr>
            </w:pPr>
            <w:r w:rsidRPr="005C3B55">
              <w:rPr>
                <w:noProof/>
                <w:sz w:val="16"/>
                <w:szCs w:val="24"/>
              </w:rPr>
              <w:t>Indicator</w:t>
            </w:r>
          </w:p>
        </w:tc>
        <w:tc>
          <w:tcPr>
            <w:tcW w:w="736" w:type="dxa"/>
            <w:shd w:val="clear" w:color="auto" w:fill="C0C0C0"/>
            <w:tcMar>
              <w:top w:w="20" w:type="dxa"/>
              <w:bottom w:w="20" w:type="dxa"/>
            </w:tcMar>
            <w:vAlign w:val="center"/>
          </w:tcPr>
          <w:p w:rsidR="00BD3B5F" w:rsidRPr="005C3B55" w:rsidRDefault="00BD3B5F">
            <w:pPr>
              <w:jc w:val="center"/>
              <w:rPr>
                <w:sz w:val="16"/>
                <w:szCs w:val="24"/>
              </w:rPr>
            </w:pPr>
            <w:r w:rsidRPr="005C3B55">
              <w:rPr>
                <w:noProof/>
                <w:sz w:val="16"/>
                <w:szCs w:val="24"/>
              </w:rPr>
              <w:t>Value</w:t>
            </w:r>
          </w:p>
        </w:tc>
        <w:tc>
          <w:tcPr>
            <w:tcW w:w="3066" w:type="dxa"/>
            <w:shd w:val="clear" w:color="auto" w:fill="C0C0C0"/>
            <w:tcMar>
              <w:top w:w="20" w:type="dxa"/>
              <w:bottom w:w="20" w:type="dxa"/>
            </w:tcMar>
            <w:vAlign w:val="center"/>
          </w:tcPr>
          <w:p w:rsidR="00BD3B5F" w:rsidRPr="005C3B55" w:rsidRDefault="00BD3B5F">
            <w:pPr>
              <w:jc w:val="center"/>
              <w:rPr>
                <w:sz w:val="16"/>
                <w:szCs w:val="24"/>
              </w:rPr>
            </w:pPr>
            <w:r w:rsidRPr="005C3B55">
              <w:rPr>
                <w:noProof/>
                <w:sz w:val="16"/>
                <w:szCs w:val="24"/>
              </w:rPr>
              <w:t>Unit</w:t>
            </w:r>
          </w:p>
        </w:tc>
        <w:tc>
          <w:tcPr>
            <w:tcW w:w="939" w:type="dxa"/>
            <w:shd w:val="clear" w:color="auto" w:fill="C0C0C0"/>
            <w:tcMar>
              <w:top w:w="20" w:type="dxa"/>
              <w:bottom w:w="20" w:type="dxa"/>
            </w:tcMar>
            <w:vAlign w:val="center"/>
          </w:tcPr>
          <w:p w:rsidR="00BD3B5F" w:rsidRPr="005C3B55" w:rsidRDefault="00BD3B5F">
            <w:pPr>
              <w:jc w:val="center"/>
              <w:rPr>
                <w:sz w:val="16"/>
                <w:szCs w:val="24"/>
              </w:rPr>
            </w:pPr>
            <w:r w:rsidRPr="005C3B55">
              <w:rPr>
                <w:noProof/>
                <w:sz w:val="16"/>
                <w:szCs w:val="24"/>
              </w:rPr>
              <w:t>Year</w:t>
            </w:r>
          </w:p>
        </w:tc>
      </w:tr>
      <w:tr w:rsidR="00BD3B5F" w:rsidRPr="005C3B55">
        <w:tc>
          <w:tcPr>
            <w:tcW w:w="5915"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total</w:t>
            </w:r>
          </w:p>
        </w:tc>
        <w:tc>
          <w:tcPr>
            <w:tcW w:w="736"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72,377</w:t>
            </w:r>
          </w:p>
        </w:tc>
        <w:tc>
          <w:tcPr>
            <w:tcW w:w="3066"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No</w:t>
            </w:r>
          </w:p>
        </w:tc>
        <w:tc>
          <w:tcPr>
            <w:tcW w:w="939"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2013  </w:t>
            </w:r>
          </w:p>
        </w:tc>
      </w:tr>
      <w:tr w:rsidR="00BD3B5F" w:rsidRPr="005C3B55">
        <w:tc>
          <w:tcPr>
            <w:tcW w:w="5915" w:type="dxa"/>
            <w:shd w:val="clear" w:color="auto" w:fill="FFFFFF"/>
            <w:tcMar>
              <w:top w:w="20" w:type="dxa"/>
              <w:bottom w:w="20" w:type="dxa"/>
            </w:tcMar>
            <w:vAlign w:val="center"/>
          </w:tcPr>
          <w:p w:rsidR="00BD3B5F" w:rsidRPr="005C3B55" w:rsidRDefault="00BD3B5F">
            <w:pPr>
              <w:spacing w:before="20" w:after="20"/>
              <w:jc w:val="left"/>
              <w:rPr>
                <w:szCs w:val="24"/>
              </w:rPr>
            </w:pPr>
            <w:r w:rsidRPr="005C3B55">
              <w:rPr>
                <w:sz w:val="16"/>
                <w:szCs w:val="24"/>
              </w:rPr>
              <w:t>Size of the agricultural holding &lt; 2 ha</w:t>
            </w:r>
          </w:p>
        </w:tc>
        <w:tc>
          <w:tcPr>
            <w:tcW w:w="736"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18,554</w:t>
            </w:r>
          </w:p>
        </w:tc>
        <w:tc>
          <w:tcPr>
            <w:tcW w:w="3066"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No</w:t>
            </w:r>
          </w:p>
        </w:tc>
        <w:tc>
          <w:tcPr>
            <w:tcW w:w="939"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2013  </w:t>
            </w:r>
          </w:p>
        </w:tc>
      </w:tr>
      <w:tr w:rsidR="00BD3B5F" w:rsidRPr="005C3B55">
        <w:tc>
          <w:tcPr>
            <w:tcW w:w="5915" w:type="dxa"/>
            <w:shd w:val="clear" w:color="auto" w:fill="FFFFFF"/>
            <w:tcMar>
              <w:top w:w="20" w:type="dxa"/>
              <w:bottom w:w="20" w:type="dxa"/>
            </w:tcMar>
            <w:vAlign w:val="center"/>
          </w:tcPr>
          <w:p w:rsidR="00BD3B5F" w:rsidRPr="005C3B55" w:rsidRDefault="00BD3B5F">
            <w:pPr>
              <w:spacing w:before="20" w:after="20"/>
              <w:jc w:val="left"/>
              <w:rPr>
                <w:szCs w:val="24"/>
              </w:rPr>
            </w:pPr>
            <w:r w:rsidRPr="005C3B55">
              <w:rPr>
                <w:sz w:val="16"/>
                <w:szCs w:val="24"/>
              </w:rPr>
              <w:t>Size of the agricultural holding 2-4.9 ha</w:t>
            </w:r>
          </w:p>
        </w:tc>
        <w:tc>
          <w:tcPr>
            <w:tcW w:w="736"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25,130</w:t>
            </w:r>
          </w:p>
        </w:tc>
        <w:tc>
          <w:tcPr>
            <w:tcW w:w="3066"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No</w:t>
            </w:r>
          </w:p>
        </w:tc>
        <w:tc>
          <w:tcPr>
            <w:tcW w:w="939"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2013  </w:t>
            </w:r>
          </w:p>
        </w:tc>
      </w:tr>
      <w:tr w:rsidR="00BD3B5F" w:rsidRPr="005C3B55">
        <w:tc>
          <w:tcPr>
            <w:tcW w:w="5915" w:type="dxa"/>
            <w:shd w:val="clear" w:color="auto" w:fill="FFFFFF"/>
            <w:tcMar>
              <w:top w:w="20" w:type="dxa"/>
              <w:bottom w:w="20" w:type="dxa"/>
            </w:tcMar>
            <w:vAlign w:val="center"/>
          </w:tcPr>
          <w:p w:rsidR="00BD3B5F" w:rsidRPr="005C3B55" w:rsidRDefault="00BD3B5F">
            <w:pPr>
              <w:spacing w:before="20" w:after="20"/>
              <w:jc w:val="left"/>
              <w:rPr>
                <w:szCs w:val="24"/>
              </w:rPr>
            </w:pPr>
            <w:r w:rsidRPr="005C3B55">
              <w:rPr>
                <w:sz w:val="16"/>
                <w:szCs w:val="24"/>
              </w:rPr>
              <w:t>Size of the agricultural holding 5-9.9 ha</w:t>
            </w:r>
          </w:p>
        </w:tc>
        <w:tc>
          <w:tcPr>
            <w:tcW w:w="736"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17,207</w:t>
            </w:r>
          </w:p>
        </w:tc>
        <w:tc>
          <w:tcPr>
            <w:tcW w:w="3066"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No</w:t>
            </w:r>
          </w:p>
        </w:tc>
        <w:tc>
          <w:tcPr>
            <w:tcW w:w="939"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2013  </w:t>
            </w:r>
          </w:p>
        </w:tc>
      </w:tr>
      <w:tr w:rsidR="00BD3B5F" w:rsidRPr="005C3B55">
        <w:tc>
          <w:tcPr>
            <w:tcW w:w="5915" w:type="dxa"/>
            <w:shd w:val="clear" w:color="auto" w:fill="FFFFFF"/>
            <w:tcMar>
              <w:top w:w="20" w:type="dxa"/>
              <w:bottom w:w="20" w:type="dxa"/>
            </w:tcMar>
            <w:vAlign w:val="center"/>
          </w:tcPr>
          <w:p w:rsidR="00BD3B5F" w:rsidRPr="005C3B55" w:rsidRDefault="00BD3B5F">
            <w:pPr>
              <w:spacing w:before="20" w:after="20"/>
              <w:jc w:val="left"/>
              <w:rPr>
                <w:szCs w:val="24"/>
              </w:rPr>
            </w:pPr>
            <w:r w:rsidRPr="005C3B55">
              <w:rPr>
                <w:sz w:val="16"/>
                <w:szCs w:val="24"/>
              </w:rPr>
              <w:t>Size of the agricultural holding 10-19.9 ha</w:t>
            </w:r>
          </w:p>
        </w:tc>
        <w:tc>
          <w:tcPr>
            <w:tcW w:w="736"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7,882</w:t>
            </w:r>
          </w:p>
        </w:tc>
        <w:tc>
          <w:tcPr>
            <w:tcW w:w="3066"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No</w:t>
            </w:r>
          </w:p>
        </w:tc>
        <w:tc>
          <w:tcPr>
            <w:tcW w:w="939"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2013  </w:t>
            </w:r>
          </w:p>
        </w:tc>
      </w:tr>
      <w:tr w:rsidR="00BD3B5F" w:rsidRPr="005C3B55">
        <w:tc>
          <w:tcPr>
            <w:tcW w:w="5915" w:type="dxa"/>
            <w:shd w:val="clear" w:color="auto" w:fill="FFFFFF"/>
            <w:tcMar>
              <w:top w:w="20" w:type="dxa"/>
              <w:bottom w:w="20" w:type="dxa"/>
            </w:tcMar>
            <w:vAlign w:val="center"/>
          </w:tcPr>
          <w:p w:rsidR="00BD3B5F" w:rsidRPr="005C3B55" w:rsidRDefault="00BD3B5F">
            <w:pPr>
              <w:spacing w:before="20" w:after="20"/>
              <w:jc w:val="left"/>
              <w:rPr>
                <w:szCs w:val="24"/>
              </w:rPr>
            </w:pPr>
            <w:r w:rsidRPr="005C3B55">
              <w:rPr>
                <w:sz w:val="16"/>
                <w:szCs w:val="24"/>
              </w:rPr>
              <w:t>Size of the agricultural holding 20-29.9 ha</w:t>
            </w:r>
          </w:p>
        </w:tc>
        <w:tc>
          <w:tcPr>
            <w:tcW w:w="736"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1,956</w:t>
            </w:r>
          </w:p>
        </w:tc>
        <w:tc>
          <w:tcPr>
            <w:tcW w:w="3066"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No</w:t>
            </w:r>
          </w:p>
        </w:tc>
        <w:tc>
          <w:tcPr>
            <w:tcW w:w="939"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2013  </w:t>
            </w:r>
          </w:p>
        </w:tc>
      </w:tr>
      <w:tr w:rsidR="00BD3B5F" w:rsidRPr="005C3B55">
        <w:tc>
          <w:tcPr>
            <w:tcW w:w="5915" w:type="dxa"/>
            <w:shd w:val="clear" w:color="auto" w:fill="FFFFFF"/>
            <w:tcMar>
              <w:top w:w="20" w:type="dxa"/>
              <w:bottom w:w="20" w:type="dxa"/>
            </w:tcMar>
            <w:vAlign w:val="center"/>
          </w:tcPr>
          <w:p w:rsidR="00BD3B5F" w:rsidRPr="005C3B55" w:rsidRDefault="00BD3B5F">
            <w:pPr>
              <w:spacing w:before="20" w:after="20"/>
              <w:jc w:val="left"/>
              <w:rPr>
                <w:szCs w:val="24"/>
              </w:rPr>
            </w:pPr>
            <w:r w:rsidRPr="005C3B55">
              <w:rPr>
                <w:sz w:val="16"/>
                <w:szCs w:val="24"/>
              </w:rPr>
              <w:t>Size of the agricultural holding 30-49.9 ha</w:t>
            </w:r>
          </w:p>
        </w:tc>
        <w:tc>
          <w:tcPr>
            <w:tcW w:w="736"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1,043</w:t>
            </w:r>
          </w:p>
        </w:tc>
        <w:tc>
          <w:tcPr>
            <w:tcW w:w="3066"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No</w:t>
            </w:r>
          </w:p>
        </w:tc>
        <w:tc>
          <w:tcPr>
            <w:tcW w:w="939"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2013  </w:t>
            </w:r>
          </w:p>
        </w:tc>
      </w:tr>
      <w:tr w:rsidR="00BD3B5F" w:rsidRPr="005C3B55">
        <w:tc>
          <w:tcPr>
            <w:tcW w:w="5915" w:type="dxa"/>
            <w:shd w:val="clear" w:color="auto" w:fill="FFFFFF"/>
            <w:tcMar>
              <w:top w:w="20" w:type="dxa"/>
              <w:bottom w:w="20" w:type="dxa"/>
            </w:tcMar>
            <w:vAlign w:val="center"/>
          </w:tcPr>
          <w:p w:rsidR="00BD3B5F" w:rsidRPr="005C3B55" w:rsidRDefault="00BD3B5F">
            <w:pPr>
              <w:spacing w:before="20" w:after="20"/>
              <w:jc w:val="left"/>
              <w:rPr>
                <w:szCs w:val="24"/>
              </w:rPr>
            </w:pPr>
            <w:r w:rsidRPr="005C3B55">
              <w:rPr>
                <w:sz w:val="16"/>
                <w:szCs w:val="24"/>
              </w:rPr>
              <w:t>Size of the agricultural holding 50-99.9 ha</w:t>
            </w:r>
          </w:p>
        </w:tc>
        <w:tc>
          <w:tcPr>
            <w:tcW w:w="736"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394</w:t>
            </w:r>
          </w:p>
        </w:tc>
        <w:tc>
          <w:tcPr>
            <w:tcW w:w="3066"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No</w:t>
            </w:r>
          </w:p>
        </w:tc>
        <w:tc>
          <w:tcPr>
            <w:tcW w:w="939"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2013  </w:t>
            </w:r>
          </w:p>
        </w:tc>
      </w:tr>
      <w:tr w:rsidR="00BD3B5F" w:rsidRPr="005C3B55">
        <w:tc>
          <w:tcPr>
            <w:tcW w:w="5915" w:type="dxa"/>
            <w:shd w:val="clear" w:color="auto" w:fill="FFFFFF"/>
            <w:tcMar>
              <w:top w:w="20" w:type="dxa"/>
              <w:bottom w:w="20" w:type="dxa"/>
            </w:tcMar>
            <w:vAlign w:val="center"/>
          </w:tcPr>
          <w:p w:rsidR="00BD3B5F" w:rsidRPr="005C3B55" w:rsidRDefault="00BD3B5F">
            <w:pPr>
              <w:spacing w:before="20" w:after="20"/>
              <w:jc w:val="left"/>
              <w:rPr>
                <w:szCs w:val="24"/>
              </w:rPr>
            </w:pPr>
            <w:r w:rsidRPr="005C3B55">
              <w:rPr>
                <w:sz w:val="16"/>
                <w:szCs w:val="24"/>
              </w:rPr>
              <w:t>Size of the agricultural holding &gt; 100 ha</w:t>
            </w:r>
          </w:p>
        </w:tc>
        <w:tc>
          <w:tcPr>
            <w:tcW w:w="736"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112</w:t>
            </w:r>
          </w:p>
        </w:tc>
        <w:tc>
          <w:tcPr>
            <w:tcW w:w="3066"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No</w:t>
            </w:r>
          </w:p>
        </w:tc>
        <w:tc>
          <w:tcPr>
            <w:tcW w:w="939"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2013  </w:t>
            </w:r>
          </w:p>
        </w:tc>
      </w:tr>
      <w:tr w:rsidR="00BD3B5F" w:rsidRPr="005C3B55">
        <w:tc>
          <w:tcPr>
            <w:tcW w:w="5915" w:type="dxa"/>
            <w:shd w:val="clear" w:color="auto" w:fill="FFFFFF"/>
            <w:tcMar>
              <w:top w:w="20" w:type="dxa"/>
              <w:bottom w:w="20" w:type="dxa"/>
            </w:tcMar>
            <w:vAlign w:val="center"/>
          </w:tcPr>
          <w:p w:rsidR="00BD3B5F" w:rsidRPr="005C3B55" w:rsidRDefault="00BD3B5F">
            <w:pPr>
              <w:spacing w:before="20" w:after="20"/>
              <w:jc w:val="left"/>
              <w:rPr>
                <w:szCs w:val="24"/>
              </w:rPr>
            </w:pPr>
            <w:r w:rsidRPr="005C3B55">
              <w:rPr>
                <w:sz w:val="16"/>
                <w:szCs w:val="24"/>
              </w:rPr>
              <w:t>Economic size of agricultural holding &lt; 2.000 standard revenue</w:t>
            </w:r>
          </w:p>
        </w:tc>
        <w:tc>
          <w:tcPr>
            <w:tcW w:w="736"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15,690</w:t>
            </w:r>
          </w:p>
        </w:tc>
        <w:tc>
          <w:tcPr>
            <w:tcW w:w="3066"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No</w:t>
            </w:r>
          </w:p>
        </w:tc>
        <w:tc>
          <w:tcPr>
            <w:tcW w:w="939"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2010  </w:t>
            </w:r>
          </w:p>
        </w:tc>
      </w:tr>
      <w:tr w:rsidR="00BD3B5F" w:rsidRPr="005C3B55">
        <w:tc>
          <w:tcPr>
            <w:tcW w:w="5915" w:type="dxa"/>
            <w:shd w:val="clear" w:color="auto" w:fill="FFFFFF"/>
            <w:tcMar>
              <w:top w:w="20" w:type="dxa"/>
              <w:bottom w:w="20" w:type="dxa"/>
            </w:tcMar>
            <w:vAlign w:val="center"/>
          </w:tcPr>
          <w:p w:rsidR="00BD3B5F" w:rsidRPr="005C3B55" w:rsidRDefault="00BD3B5F">
            <w:pPr>
              <w:spacing w:before="20" w:after="20"/>
              <w:jc w:val="left"/>
              <w:rPr>
                <w:szCs w:val="24"/>
              </w:rPr>
            </w:pPr>
            <w:r w:rsidRPr="005C3B55">
              <w:rPr>
                <w:sz w:val="16"/>
                <w:szCs w:val="24"/>
              </w:rPr>
              <w:t>Economic size of agricultural holding  2.000–3.999 standard revenue</w:t>
            </w:r>
          </w:p>
        </w:tc>
        <w:tc>
          <w:tcPr>
            <w:tcW w:w="736"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17,650</w:t>
            </w:r>
          </w:p>
        </w:tc>
        <w:tc>
          <w:tcPr>
            <w:tcW w:w="3066"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No</w:t>
            </w:r>
          </w:p>
        </w:tc>
        <w:tc>
          <w:tcPr>
            <w:tcW w:w="939"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2010  </w:t>
            </w:r>
          </w:p>
        </w:tc>
      </w:tr>
      <w:tr w:rsidR="00BD3B5F" w:rsidRPr="005C3B55">
        <w:tc>
          <w:tcPr>
            <w:tcW w:w="5915" w:type="dxa"/>
            <w:shd w:val="clear" w:color="auto" w:fill="FFFFFF"/>
            <w:tcMar>
              <w:top w:w="20" w:type="dxa"/>
              <w:bottom w:w="20" w:type="dxa"/>
            </w:tcMar>
            <w:vAlign w:val="center"/>
          </w:tcPr>
          <w:p w:rsidR="00BD3B5F" w:rsidRPr="005C3B55" w:rsidRDefault="00BD3B5F">
            <w:pPr>
              <w:spacing w:before="20" w:after="20"/>
              <w:jc w:val="left"/>
              <w:rPr>
                <w:szCs w:val="24"/>
              </w:rPr>
            </w:pPr>
            <w:r w:rsidRPr="005C3B55">
              <w:rPr>
                <w:sz w:val="16"/>
                <w:szCs w:val="24"/>
              </w:rPr>
              <w:t>Economic size of agricultural holding  4.000–7.999 standard revenue</w:t>
            </w:r>
          </w:p>
        </w:tc>
        <w:tc>
          <w:tcPr>
            <w:tcW w:w="736"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18,120</w:t>
            </w:r>
          </w:p>
        </w:tc>
        <w:tc>
          <w:tcPr>
            <w:tcW w:w="3066"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No</w:t>
            </w:r>
          </w:p>
        </w:tc>
        <w:tc>
          <w:tcPr>
            <w:tcW w:w="939"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2010  </w:t>
            </w:r>
          </w:p>
        </w:tc>
      </w:tr>
      <w:tr w:rsidR="00BD3B5F" w:rsidRPr="005C3B55">
        <w:tc>
          <w:tcPr>
            <w:tcW w:w="5915" w:type="dxa"/>
            <w:shd w:val="clear" w:color="auto" w:fill="FFFFFF"/>
            <w:tcMar>
              <w:top w:w="20" w:type="dxa"/>
              <w:bottom w:w="20" w:type="dxa"/>
            </w:tcMar>
            <w:vAlign w:val="center"/>
          </w:tcPr>
          <w:p w:rsidR="00BD3B5F" w:rsidRPr="005C3B55" w:rsidRDefault="00BD3B5F">
            <w:pPr>
              <w:spacing w:before="20" w:after="20"/>
              <w:jc w:val="left"/>
              <w:rPr>
                <w:szCs w:val="24"/>
              </w:rPr>
            </w:pPr>
            <w:r w:rsidRPr="005C3B55">
              <w:rPr>
                <w:sz w:val="16"/>
                <w:szCs w:val="24"/>
              </w:rPr>
              <w:t>Economic size of agricultural holding  8.000–14.999 standard revenue</w:t>
            </w:r>
          </w:p>
        </w:tc>
        <w:tc>
          <w:tcPr>
            <w:tcW w:w="736"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10,650</w:t>
            </w:r>
          </w:p>
        </w:tc>
        <w:tc>
          <w:tcPr>
            <w:tcW w:w="3066"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No</w:t>
            </w:r>
          </w:p>
        </w:tc>
        <w:tc>
          <w:tcPr>
            <w:tcW w:w="939"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2010  </w:t>
            </w:r>
          </w:p>
        </w:tc>
      </w:tr>
      <w:tr w:rsidR="00BD3B5F" w:rsidRPr="005C3B55">
        <w:tc>
          <w:tcPr>
            <w:tcW w:w="5915" w:type="dxa"/>
            <w:shd w:val="clear" w:color="auto" w:fill="FFFFFF"/>
            <w:tcMar>
              <w:top w:w="20" w:type="dxa"/>
              <w:bottom w:w="20" w:type="dxa"/>
            </w:tcMar>
            <w:vAlign w:val="center"/>
          </w:tcPr>
          <w:p w:rsidR="00BD3B5F" w:rsidRPr="005C3B55" w:rsidRDefault="00BD3B5F">
            <w:pPr>
              <w:spacing w:before="20" w:after="20"/>
              <w:jc w:val="left"/>
              <w:rPr>
                <w:szCs w:val="24"/>
              </w:rPr>
            </w:pPr>
            <w:r w:rsidRPr="005C3B55">
              <w:rPr>
                <w:sz w:val="16"/>
                <w:szCs w:val="24"/>
              </w:rPr>
              <w:t>Economic size of agricultural holding  15.000–24.999 standard revenue</w:t>
            </w:r>
          </w:p>
        </w:tc>
        <w:tc>
          <w:tcPr>
            <w:tcW w:w="736"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5,000</w:t>
            </w:r>
          </w:p>
        </w:tc>
        <w:tc>
          <w:tcPr>
            <w:tcW w:w="3066"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No</w:t>
            </w:r>
          </w:p>
        </w:tc>
        <w:tc>
          <w:tcPr>
            <w:tcW w:w="939"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2010  </w:t>
            </w:r>
          </w:p>
        </w:tc>
      </w:tr>
      <w:tr w:rsidR="00BD3B5F" w:rsidRPr="005C3B55">
        <w:tc>
          <w:tcPr>
            <w:tcW w:w="5915" w:type="dxa"/>
            <w:shd w:val="clear" w:color="auto" w:fill="FFFFFF"/>
            <w:tcMar>
              <w:top w:w="20" w:type="dxa"/>
              <w:bottom w:w="20" w:type="dxa"/>
            </w:tcMar>
            <w:vAlign w:val="center"/>
          </w:tcPr>
          <w:p w:rsidR="00BD3B5F" w:rsidRPr="005C3B55" w:rsidRDefault="00BD3B5F">
            <w:pPr>
              <w:spacing w:before="20" w:after="20"/>
              <w:jc w:val="left"/>
              <w:rPr>
                <w:szCs w:val="24"/>
              </w:rPr>
            </w:pPr>
            <w:r w:rsidRPr="005C3B55">
              <w:rPr>
                <w:sz w:val="16"/>
                <w:szCs w:val="24"/>
              </w:rPr>
              <w:t>Economic size of agricultural holding  25.000–49.999 standard revenue</w:t>
            </w:r>
          </w:p>
        </w:tc>
        <w:tc>
          <w:tcPr>
            <w:tcW w:w="736"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4,460</w:t>
            </w:r>
          </w:p>
        </w:tc>
        <w:tc>
          <w:tcPr>
            <w:tcW w:w="3066"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No</w:t>
            </w:r>
          </w:p>
        </w:tc>
        <w:tc>
          <w:tcPr>
            <w:tcW w:w="939"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2010  </w:t>
            </w:r>
          </w:p>
        </w:tc>
      </w:tr>
      <w:tr w:rsidR="00BD3B5F" w:rsidRPr="005C3B55">
        <w:tc>
          <w:tcPr>
            <w:tcW w:w="5915" w:type="dxa"/>
            <w:shd w:val="clear" w:color="auto" w:fill="FFFFFF"/>
            <w:tcMar>
              <w:top w:w="20" w:type="dxa"/>
              <w:bottom w:w="20" w:type="dxa"/>
            </w:tcMar>
            <w:vAlign w:val="center"/>
          </w:tcPr>
          <w:p w:rsidR="00BD3B5F" w:rsidRPr="005C3B55" w:rsidRDefault="00BD3B5F">
            <w:pPr>
              <w:spacing w:before="20" w:after="20"/>
              <w:jc w:val="left"/>
              <w:rPr>
                <w:szCs w:val="24"/>
              </w:rPr>
            </w:pPr>
            <w:r w:rsidRPr="005C3B55">
              <w:rPr>
                <w:sz w:val="16"/>
                <w:szCs w:val="24"/>
              </w:rPr>
              <w:t>Economic size of agricultural holding  50.000–99.999 standard revenue</w:t>
            </w:r>
          </w:p>
        </w:tc>
        <w:tc>
          <w:tcPr>
            <w:tcW w:w="736"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2,170</w:t>
            </w:r>
          </w:p>
        </w:tc>
        <w:tc>
          <w:tcPr>
            <w:tcW w:w="3066"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No</w:t>
            </w:r>
          </w:p>
        </w:tc>
        <w:tc>
          <w:tcPr>
            <w:tcW w:w="939"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2010  </w:t>
            </w:r>
          </w:p>
        </w:tc>
      </w:tr>
      <w:tr w:rsidR="00BD3B5F" w:rsidRPr="005C3B55">
        <w:tc>
          <w:tcPr>
            <w:tcW w:w="5915" w:type="dxa"/>
            <w:shd w:val="clear" w:color="auto" w:fill="FFFFFF"/>
            <w:tcMar>
              <w:top w:w="20" w:type="dxa"/>
              <w:bottom w:w="20" w:type="dxa"/>
            </w:tcMar>
            <w:vAlign w:val="center"/>
          </w:tcPr>
          <w:p w:rsidR="00BD3B5F" w:rsidRPr="005C3B55" w:rsidRDefault="00BD3B5F">
            <w:pPr>
              <w:spacing w:before="20" w:after="20"/>
              <w:jc w:val="left"/>
              <w:rPr>
                <w:szCs w:val="24"/>
              </w:rPr>
            </w:pPr>
            <w:r w:rsidRPr="005C3B55">
              <w:rPr>
                <w:sz w:val="16"/>
                <w:szCs w:val="24"/>
              </w:rPr>
              <w:t>Economic size of agricultural holding  100.000–249.999 standard revenue</w:t>
            </w:r>
          </w:p>
        </w:tc>
        <w:tc>
          <w:tcPr>
            <w:tcW w:w="736"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780</w:t>
            </w:r>
          </w:p>
        </w:tc>
        <w:tc>
          <w:tcPr>
            <w:tcW w:w="3066"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No</w:t>
            </w:r>
          </w:p>
        </w:tc>
        <w:tc>
          <w:tcPr>
            <w:tcW w:w="939"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2010  </w:t>
            </w:r>
          </w:p>
        </w:tc>
      </w:tr>
      <w:tr w:rsidR="00BD3B5F" w:rsidRPr="005C3B55">
        <w:tc>
          <w:tcPr>
            <w:tcW w:w="5915" w:type="dxa"/>
            <w:shd w:val="clear" w:color="auto" w:fill="FFFFFF"/>
            <w:tcMar>
              <w:top w:w="20" w:type="dxa"/>
              <w:bottom w:w="20" w:type="dxa"/>
            </w:tcMar>
            <w:vAlign w:val="center"/>
          </w:tcPr>
          <w:p w:rsidR="00BD3B5F" w:rsidRPr="005C3B55" w:rsidRDefault="00BD3B5F">
            <w:pPr>
              <w:spacing w:before="20" w:after="20"/>
              <w:jc w:val="left"/>
              <w:rPr>
                <w:szCs w:val="24"/>
              </w:rPr>
            </w:pPr>
            <w:r w:rsidRPr="005C3B55">
              <w:rPr>
                <w:sz w:val="16"/>
                <w:szCs w:val="24"/>
              </w:rPr>
              <w:t>Economic size of agricultural holding  250.000–499.999 standard revenue</w:t>
            </w:r>
          </w:p>
        </w:tc>
        <w:tc>
          <w:tcPr>
            <w:tcW w:w="736"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80</w:t>
            </w:r>
          </w:p>
        </w:tc>
        <w:tc>
          <w:tcPr>
            <w:tcW w:w="3066"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No</w:t>
            </w:r>
          </w:p>
        </w:tc>
        <w:tc>
          <w:tcPr>
            <w:tcW w:w="939"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2010  </w:t>
            </w:r>
          </w:p>
        </w:tc>
      </w:tr>
      <w:tr w:rsidR="00BD3B5F" w:rsidRPr="005C3B55">
        <w:tc>
          <w:tcPr>
            <w:tcW w:w="5915" w:type="dxa"/>
            <w:shd w:val="clear" w:color="auto" w:fill="FFFFFF"/>
            <w:tcMar>
              <w:top w:w="20" w:type="dxa"/>
              <w:bottom w:w="20" w:type="dxa"/>
            </w:tcMar>
            <w:vAlign w:val="center"/>
          </w:tcPr>
          <w:p w:rsidR="00BD3B5F" w:rsidRPr="005C3B55" w:rsidRDefault="00BD3B5F">
            <w:pPr>
              <w:spacing w:before="20" w:after="20"/>
              <w:jc w:val="left"/>
              <w:rPr>
                <w:szCs w:val="24"/>
              </w:rPr>
            </w:pPr>
            <w:r w:rsidRPr="005C3B55">
              <w:rPr>
                <w:sz w:val="16"/>
                <w:szCs w:val="24"/>
              </w:rPr>
              <w:t>Economic size of agricultural holding &gt; 500.000 standard revenue</w:t>
            </w:r>
          </w:p>
        </w:tc>
        <w:tc>
          <w:tcPr>
            <w:tcW w:w="736"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40</w:t>
            </w:r>
          </w:p>
        </w:tc>
        <w:tc>
          <w:tcPr>
            <w:tcW w:w="3066"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No</w:t>
            </w:r>
          </w:p>
        </w:tc>
        <w:tc>
          <w:tcPr>
            <w:tcW w:w="939"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2010  </w:t>
            </w:r>
          </w:p>
        </w:tc>
      </w:tr>
      <w:tr w:rsidR="00BD3B5F" w:rsidRPr="005C3B55">
        <w:tc>
          <w:tcPr>
            <w:tcW w:w="5915" w:type="dxa"/>
            <w:shd w:val="clear" w:color="auto" w:fill="FFFFFF"/>
            <w:tcMar>
              <w:top w:w="20" w:type="dxa"/>
              <w:bottom w:w="20" w:type="dxa"/>
            </w:tcMar>
            <w:vAlign w:val="center"/>
          </w:tcPr>
          <w:p w:rsidR="00BD3B5F" w:rsidRPr="005C3B55" w:rsidRDefault="00BD3B5F">
            <w:pPr>
              <w:spacing w:before="20" w:after="20"/>
              <w:jc w:val="left"/>
              <w:rPr>
                <w:szCs w:val="24"/>
              </w:rPr>
            </w:pPr>
            <w:r w:rsidRPr="005C3B55">
              <w:rPr>
                <w:sz w:val="16"/>
                <w:szCs w:val="24"/>
              </w:rPr>
              <w:t>Average physical size</w:t>
            </w:r>
          </w:p>
        </w:tc>
        <w:tc>
          <w:tcPr>
            <w:tcW w:w="736"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6.6</w:t>
            </w:r>
          </w:p>
        </w:tc>
        <w:tc>
          <w:tcPr>
            <w:tcW w:w="3066"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ha UAA/holding</w:t>
            </w:r>
          </w:p>
        </w:tc>
        <w:tc>
          <w:tcPr>
            <w:tcW w:w="939"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2013  </w:t>
            </w:r>
          </w:p>
        </w:tc>
      </w:tr>
      <w:tr w:rsidR="00BD3B5F" w:rsidRPr="005C3B55">
        <w:tc>
          <w:tcPr>
            <w:tcW w:w="5915" w:type="dxa"/>
            <w:shd w:val="clear" w:color="auto" w:fill="FFFFFF"/>
            <w:tcMar>
              <w:top w:w="20" w:type="dxa"/>
              <w:bottom w:w="20" w:type="dxa"/>
            </w:tcMar>
            <w:vAlign w:val="center"/>
          </w:tcPr>
          <w:p w:rsidR="00BD3B5F" w:rsidRPr="005C3B55" w:rsidRDefault="00BD3B5F">
            <w:pPr>
              <w:spacing w:before="0" w:after="0"/>
              <w:jc w:val="left"/>
              <w:rPr>
                <w:szCs w:val="24"/>
              </w:rPr>
            </w:pPr>
            <w:r w:rsidRPr="005C3B55">
              <w:rPr>
                <w:sz w:val="16"/>
                <w:szCs w:val="24"/>
              </w:rPr>
              <w:t>Average economic size</w:t>
            </w:r>
          </w:p>
          <w:p w:rsidR="00BD3B5F" w:rsidRPr="005C3B55" w:rsidRDefault="00BD3B5F">
            <w:pPr>
              <w:spacing w:before="0" w:after="0"/>
              <w:jc w:val="left"/>
              <w:rPr>
                <w:sz w:val="16"/>
                <w:szCs w:val="24"/>
              </w:rPr>
            </w:pPr>
          </w:p>
        </w:tc>
        <w:tc>
          <w:tcPr>
            <w:tcW w:w="736"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16,158</w:t>
            </w:r>
          </w:p>
        </w:tc>
        <w:tc>
          <w:tcPr>
            <w:tcW w:w="3066"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EUR of SO/holding</w:t>
            </w:r>
          </w:p>
        </w:tc>
        <w:tc>
          <w:tcPr>
            <w:tcW w:w="939"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2013  </w:t>
            </w:r>
          </w:p>
        </w:tc>
      </w:tr>
      <w:tr w:rsidR="00BD3B5F" w:rsidRPr="005C3B55">
        <w:tc>
          <w:tcPr>
            <w:tcW w:w="5915" w:type="dxa"/>
            <w:shd w:val="clear" w:color="auto" w:fill="FFFFFF"/>
            <w:tcMar>
              <w:top w:w="20" w:type="dxa"/>
              <w:bottom w:w="20" w:type="dxa"/>
            </w:tcMar>
            <w:vAlign w:val="center"/>
          </w:tcPr>
          <w:p w:rsidR="00BD3B5F" w:rsidRPr="005C3B55" w:rsidRDefault="00BD3B5F">
            <w:pPr>
              <w:spacing w:before="20" w:after="20"/>
              <w:jc w:val="left"/>
              <w:rPr>
                <w:szCs w:val="24"/>
              </w:rPr>
            </w:pPr>
            <w:r w:rsidRPr="005C3B55">
              <w:rPr>
                <w:sz w:val="16"/>
                <w:szCs w:val="24"/>
              </w:rPr>
              <w:t>Average size in work units (person)</w:t>
            </w:r>
          </w:p>
        </w:tc>
        <w:tc>
          <w:tcPr>
            <w:tcW w:w="736"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2.8</w:t>
            </w:r>
          </w:p>
        </w:tc>
        <w:tc>
          <w:tcPr>
            <w:tcW w:w="3066"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Persons/holding</w:t>
            </w:r>
          </w:p>
        </w:tc>
        <w:tc>
          <w:tcPr>
            <w:tcW w:w="939"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2013  </w:t>
            </w:r>
          </w:p>
        </w:tc>
      </w:tr>
      <w:tr w:rsidR="00BD3B5F" w:rsidRPr="005C3B55">
        <w:tc>
          <w:tcPr>
            <w:tcW w:w="5915" w:type="dxa"/>
            <w:shd w:val="clear" w:color="auto" w:fill="FFFFFF"/>
            <w:tcMar>
              <w:top w:w="20" w:type="dxa"/>
              <w:bottom w:w="20" w:type="dxa"/>
            </w:tcMar>
            <w:vAlign w:val="center"/>
          </w:tcPr>
          <w:p w:rsidR="00BD3B5F" w:rsidRPr="005C3B55" w:rsidRDefault="00BD3B5F">
            <w:pPr>
              <w:spacing w:before="20" w:after="20"/>
              <w:jc w:val="left"/>
              <w:rPr>
                <w:szCs w:val="24"/>
              </w:rPr>
            </w:pPr>
            <w:r w:rsidRPr="005C3B55">
              <w:rPr>
                <w:sz w:val="16"/>
                <w:szCs w:val="24"/>
              </w:rPr>
              <w:t>Average size in work units (annual number of work units)</w:t>
            </w:r>
          </w:p>
        </w:tc>
        <w:tc>
          <w:tcPr>
            <w:tcW w:w="736"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1</w:t>
            </w:r>
          </w:p>
        </w:tc>
        <w:tc>
          <w:tcPr>
            <w:tcW w:w="3066"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AWU/holding</w:t>
            </w:r>
          </w:p>
        </w:tc>
        <w:tc>
          <w:tcPr>
            <w:tcW w:w="939"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2013  </w:t>
            </w:r>
          </w:p>
        </w:tc>
      </w:tr>
      <w:tr w:rsidR="00BD3B5F" w:rsidRPr="005C3B55">
        <w:tc>
          <w:tcPr>
            <w:tcW w:w="10656" w:type="dxa"/>
            <w:gridSpan w:val="4"/>
            <w:shd w:val="clear" w:color="auto" w:fill="C0C0C0"/>
            <w:tcMar>
              <w:top w:w="20" w:type="dxa"/>
              <w:bottom w:w="20" w:type="dxa"/>
            </w:tcMar>
            <w:vAlign w:val="center"/>
          </w:tcPr>
          <w:p w:rsidR="00BD3B5F" w:rsidRPr="005C3B55" w:rsidRDefault="00BD3B5F">
            <w:pPr>
              <w:spacing w:before="20" w:after="20"/>
              <w:jc w:val="left"/>
              <w:rPr>
                <w:szCs w:val="24"/>
              </w:rPr>
            </w:pPr>
            <w:r w:rsidRPr="005C3B55">
              <w:rPr>
                <w:sz w:val="16"/>
                <w:szCs w:val="24"/>
              </w:rPr>
              <w:t>18 Agricultural land</w:t>
            </w:r>
          </w:p>
        </w:tc>
      </w:tr>
      <w:tr w:rsidR="00BD3B5F" w:rsidRPr="005C3B55">
        <w:tc>
          <w:tcPr>
            <w:tcW w:w="5915"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Indicator</w:t>
            </w:r>
          </w:p>
        </w:tc>
        <w:tc>
          <w:tcPr>
            <w:tcW w:w="736"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Value</w:t>
            </w:r>
          </w:p>
        </w:tc>
        <w:tc>
          <w:tcPr>
            <w:tcW w:w="3066"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Unit</w:t>
            </w:r>
          </w:p>
        </w:tc>
        <w:tc>
          <w:tcPr>
            <w:tcW w:w="939"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Year</w:t>
            </w:r>
          </w:p>
        </w:tc>
      </w:tr>
      <w:tr w:rsidR="00BD3B5F" w:rsidRPr="005C3B55">
        <w:tc>
          <w:tcPr>
            <w:tcW w:w="5915" w:type="dxa"/>
            <w:shd w:val="clear" w:color="auto" w:fill="FFFFFF"/>
            <w:tcMar>
              <w:top w:w="20" w:type="dxa"/>
              <w:bottom w:w="20" w:type="dxa"/>
            </w:tcMar>
            <w:vAlign w:val="center"/>
          </w:tcPr>
          <w:p w:rsidR="00BD3B5F" w:rsidRPr="005C3B55" w:rsidRDefault="00BD3B5F">
            <w:pPr>
              <w:spacing w:before="20" w:after="20"/>
              <w:jc w:val="left"/>
              <w:rPr>
                <w:szCs w:val="24"/>
              </w:rPr>
            </w:pPr>
            <w:r w:rsidRPr="005C3B55">
              <w:rPr>
                <w:sz w:val="16"/>
                <w:szCs w:val="24"/>
              </w:rPr>
              <w:t>Total utilised agricultural area</w:t>
            </w:r>
          </w:p>
        </w:tc>
        <w:tc>
          <w:tcPr>
            <w:tcW w:w="736"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602,208</w:t>
            </w:r>
          </w:p>
        </w:tc>
        <w:tc>
          <w:tcPr>
            <w:tcW w:w="3066"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ha</w:t>
            </w:r>
          </w:p>
        </w:tc>
        <w:tc>
          <w:tcPr>
            <w:tcW w:w="939"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2013  </w:t>
            </w:r>
          </w:p>
        </w:tc>
      </w:tr>
      <w:tr w:rsidR="00BD3B5F" w:rsidRPr="005C3B55">
        <w:tc>
          <w:tcPr>
            <w:tcW w:w="5915" w:type="dxa"/>
            <w:shd w:val="clear" w:color="auto" w:fill="FFFFFF"/>
            <w:tcMar>
              <w:top w:w="20" w:type="dxa"/>
              <w:bottom w:w="20" w:type="dxa"/>
            </w:tcMar>
            <w:vAlign w:val="center"/>
          </w:tcPr>
          <w:p w:rsidR="00BD3B5F" w:rsidRPr="005C3B55" w:rsidRDefault="00BD3B5F">
            <w:pPr>
              <w:spacing w:before="20" w:after="20"/>
              <w:jc w:val="left"/>
              <w:rPr>
                <w:szCs w:val="24"/>
              </w:rPr>
            </w:pPr>
            <w:r w:rsidRPr="005C3B55">
              <w:rPr>
                <w:sz w:val="16"/>
                <w:szCs w:val="24"/>
              </w:rPr>
              <w:t>Arable land</w:t>
            </w:r>
          </w:p>
        </w:tc>
        <w:tc>
          <w:tcPr>
            <w:tcW w:w="736"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36.5</w:t>
            </w:r>
          </w:p>
        </w:tc>
        <w:tc>
          <w:tcPr>
            <w:tcW w:w="3066"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 of total UAA</w:t>
            </w:r>
          </w:p>
        </w:tc>
        <w:tc>
          <w:tcPr>
            <w:tcW w:w="939"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2013  </w:t>
            </w:r>
          </w:p>
        </w:tc>
      </w:tr>
      <w:tr w:rsidR="00BD3B5F" w:rsidRPr="005C3B55">
        <w:tc>
          <w:tcPr>
            <w:tcW w:w="5915" w:type="dxa"/>
            <w:shd w:val="clear" w:color="auto" w:fill="FFFFFF"/>
            <w:tcMar>
              <w:top w:w="20" w:type="dxa"/>
              <w:bottom w:w="20" w:type="dxa"/>
            </w:tcMar>
            <w:vAlign w:val="center"/>
          </w:tcPr>
          <w:p w:rsidR="00BD3B5F" w:rsidRPr="005C3B55" w:rsidRDefault="00BD3B5F">
            <w:pPr>
              <w:spacing w:before="20" w:after="20"/>
              <w:jc w:val="left"/>
              <w:rPr>
                <w:szCs w:val="24"/>
              </w:rPr>
            </w:pPr>
            <w:r w:rsidRPr="005C3B55">
              <w:rPr>
                <w:sz w:val="16"/>
                <w:szCs w:val="24"/>
              </w:rPr>
              <w:t>Permanent pastures and meadows</w:t>
            </w:r>
          </w:p>
        </w:tc>
        <w:tc>
          <w:tcPr>
            <w:tcW w:w="736"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57.9</w:t>
            </w:r>
          </w:p>
        </w:tc>
        <w:tc>
          <w:tcPr>
            <w:tcW w:w="3066"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 of total UAA</w:t>
            </w:r>
          </w:p>
        </w:tc>
        <w:tc>
          <w:tcPr>
            <w:tcW w:w="939"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2013  </w:t>
            </w:r>
          </w:p>
        </w:tc>
      </w:tr>
      <w:tr w:rsidR="00BD3B5F" w:rsidRPr="005C3B55">
        <w:tc>
          <w:tcPr>
            <w:tcW w:w="5915" w:type="dxa"/>
            <w:shd w:val="clear" w:color="auto" w:fill="FFFFFF"/>
            <w:tcMar>
              <w:top w:w="20" w:type="dxa"/>
              <w:bottom w:w="20" w:type="dxa"/>
            </w:tcMar>
            <w:vAlign w:val="center"/>
          </w:tcPr>
          <w:p w:rsidR="00BD3B5F" w:rsidRPr="005C3B55" w:rsidRDefault="00BD3B5F">
            <w:pPr>
              <w:spacing w:before="20" w:after="20"/>
              <w:jc w:val="left"/>
              <w:rPr>
                <w:szCs w:val="24"/>
              </w:rPr>
            </w:pPr>
            <w:r w:rsidRPr="005C3B55">
              <w:rPr>
                <w:sz w:val="16"/>
                <w:szCs w:val="24"/>
              </w:rPr>
              <w:t>Permanent plantations</w:t>
            </w:r>
          </w:p>
        </w:tc>
        <w:tc>
          <w:tcPr>
            <w:tcW w:w="736"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5.6</w:t>
            </w:r>
          </w:p>
        </w:tc>
        <w:tc>
          <w:tcPr>
            <w:tcW w:w="3066"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 of total UAA</w:t>
            </w:r>
          </w:p>
        </w:tc>
        <w:tc>
          <w:tcPr>
            <w:tcW w:w="939"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2013  </w:t>
            </w:r>
          </w:p>
        </w:tc>
      </w:tr>
      <w:tr w:rsidR="00BD3B5F" w:rsidRPr="005C3B55">
        <w:tc>
          <w:tcPr>
            <w:tcW w:w="10656" w:type="dxa"/>
            <w:gridSpan w:val="4"/>
            <w:shd w:val="clear" w:color="auto" w:fill="C0C0C0"/>
            <w:tcMar>
              <w:top w:w="20" w:type="dxa"/>
              <w:bottom w:w="20" w:type="dxa"/>
            </w:tcMar>
            <w:vAlign w:val="center"/>
          </w:tcPr>
          <w:p w:rsidR="00BD3B5F" w:rsidRPr="005C3B55" w:rsidRDefault="00BD3B5F">
            <w:pPr>
              <w:spacing w:before="20" w:after="20"/>
              <w:jc w:val="left"/>
              <w:rPr>
                <w:szCs w:val="24"/>
              </w:rPr>
            </w:pPr>
            <w:r w:rsidRPr="005C3B55">
              <w:rPr>
                <w:sz w:val="16"/>
                <w:szCs w:val="24"/>
              </w:rPr>
              <w:t>19 Agricultural land subject to organic farming</w:t>
            </w:r>
          </w:p>
        </w:tc>
      </w:tr>
      <w:tr w:rsidR="00BD3B5F" w:rsidRPr="005C3B55">
        <w:tc>
          <w:tcPr>
            <w:tcW w:w="5915"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Indicator</w:t>
            </w:r>
          </w:p>
        </w:tc>
        <w:tc>
          <w:tcPr>
            <w:tcW w:w="736"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Value</w:t>
            </w:r>
          </w:p>
        </w:tc>
        <w:tc>
          <w:tcPr>
            <w:tcW w:w="3066"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Unit</w:t>
            </w:r>
          </w:p>
        </w:tc>
        <w:tc>
          <w:tcPr>
            <w:tcW w:w="939"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Year</w:t>
            </w:r>
          </w:p>
        </w:tc>
      </w:tr>
      <w:tr w:rsidR="00BD3B5F" w:rsidRPr="005C3B55">
        <w:tc>
          <w:tcPr>
            <w:tcW w:w="5915" w:type="dxa"/>
            <w:shd w:val="clear" w:color="auto" w:fill="FFFFFF"/>
            <w:tcMar>
              <w:top w:w="20" w:type="dxa"/>
              <w:bottom w:w="20" w:type="dxa"/>
            </w:tcMar>
            <w:vAlign w:val="center"/>
          </w:tcPr>
          <w:p w:rsidR="00BD3B5F" w:rsidRPr="005C3B55" w:rsidRDefault="00BD3B5F">
            <w:pPr>
              <w:spacing w:before="20" w:after="20"/>
              <w:jc w:val="left"/>
              <w:rPr>
                <w:szCs w:val="24"/>
              </w:rPr>
            </w:pPr>
            <w:r w:rsidRPr="005C3B55">
              <w:rPr>
                <w:sz w:val="16"/>
                <w:szCs w:val="24"/>
              </w:rPr>
              <w:t>Certified</w:t>
            </w:r>
          </w:p>
        </w:tc>
        <w:tc>
          <w:tcPr>
            <w:tcW w:w="736"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30,041</w:t>
            </w:r>
          </w:p>
        </w:tc>
        <w:tc>
          <w:tcPr>
            <w:tcW w:w="3066"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ha UAA</w:t>
            </w:r>
          </w:p>
        </w:tc>
        <w:tc>
          <w:tcPr>
            <w:tcW w:w="939"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2013  </w:t>
            </w:r>
          </w:p>
        </w:tc>
      </w:tr>
      <w:tr w:rsidR="00BD3B5F" w:rsidRPr="005C3B55">
        <w:tc>
          <w:tcPr>
            <w:tcW w:w="5915" w:type="dxa"/>
            <w:shd w:val="clear" w:color="auto" w:fill="FFFFFF"/>
            <w:tcMar>
              <w:top w:w="20" w:type="dxa"/>
              <w:bottom w:w="20" w:type="dxa"/>
            </w:tcMar>
            <w:vAlign w:val="center"/>
          </w:tcPr>
          <w:p w:rsidR="00BD3B5F" w:rsidRPr="005C3B55" w:rsidRDefault="00BD3B5F">
            <w:pPr>
              <w:spacing w:before="20" w:after="20"/>
              <w:jc w:val="left"/>
              <w:rPr>
                <w:szCs w:val="24"/>
              </w:rPr>
            </w:pPr>
            <w:r w:rsidRPr="005C3B55">
              <w:rPr>
                <w:sz w:val="16"/>
                <w:szCs w:val="24"/>
              </w:rPr>
              <w:t>In conversion</w:t>
            </w:r>
          </w:p>
        </w:tc>
        <w:tc>
          <w:tcPr>
            <w:tcW w:w="736"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8,624</w:t>
            </w:r>
          </w:p>
        </w:tc>
        <w:tc>
          <w:tcPr>
            <w:tcW w:w="3066"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ha UAA</w:t>
            </w:r>
          </w:p>
        </w:tc>
        <w:tc>
          <w:tcPr>
            <w:tcW w:w="939"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2013  </w:t>
            </w:r>
          </w:p>
        </w:tc>
      </w:tr>
      <w:tr w:rsidR="00BD3B5F" w:rsidRPr="005C3B55">
        <w:tc>
          <w:tcPr>
            <w:tcW w:w="5915" w:type="dxa"/>
            <w:shd w:val="clear" w:color="auto" w:fill="FFFFFF"/>
            <w:tcMar>
              <w:top w:w="20" w:type="dxa"/>
              <w:bottom w:w="20" w:type="dxa"/>
            </w:tcMar>
            <w:vAlign w:val="center"/>
          </w:tcPr>
          <w:p w:rsidR="00BD3B5F" w:rsidRPr="005C3B55" w:rsidRDefault="00BD3B5F">
            <w:pPr>
              <w:spacing w:before="20" w:after="20"/>
              <w:jc w:val="left"/>
              <w:rPr>
                <w:szCs w:val="24"/>
              </w:rPr>
            </w:pPr>
            <w:r w:rsidRPr="005C3B55">
              <w:rPr>
                <w:sz w:val="16"/>
                <w:szCs w:val="24"/>
              </w:rPr>
              <w:t>Share of used agricultural area (certified and in conversion)</w:t>
            </w:r>
          </w:p>
        </w:tc>
        <w:tc>
          <w:tcPr>
            <w:tcW w:w="736"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8.4</w:t>
            </w:r>
          </w:p>
        </w:tc>
        <w:tc>
          <w:tcPr>
            <w:tcW w:w="3066"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 of total UAA</w:t>
            </w:r>
          </w:p>
        </w:tc>
        <w:tc>
          <w:tcPr>
            <w:tcW w:w="939"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2013  </w:t>
            </w:r>
          </w:p>
        </w:tc>
      </w:tr>
      <w:tr w:rsidR="00BD3B5F" w:rsidRPr="005C3B55">
        <w:tc>
          <w:tcPr>
            <w:tcW w:w="10656" w:type="dxa"/>
            <w:gridSpan w:val="4"/>
            <w:shd w:val="clear" w:color="auto" w:fill="C0C0C0"/>
            <w:tcMar>
              <w:top w:w="20" w:type="dxa"/>
              <w:bottom w:w="20" w:type="dxa"/>
            </w:tcMar>
            <w:vAlign w:val="center"/>
          </w:tcPr>
          <w:p w:rsidR="00BD3B5F" w:rsidRPr="005C3B55" w:rsidRDefault="00BD3B5F">
            <w:pPr>
              <w:spacing w:before="20" w:after="20"/>
              <w:jc w:val="left"/>
              <w:rPr>
                <w:szCs w:val="24"/>
              </w:rPr>
            </w:pPr>
            <w:r w:rsidRPr="005C3B55">
              <w:rPr>
                <w:sz w:val="16"/>
                <w:szCs w:val="24"/>
              </w:rPr>
              <w:t>20 Irrigated land</w:t>
            </w:r>
          </w:p>
        </w:tc>
      </w:tr>
      <w:tr w:rsidR="00BD3B5F" w:rsidRPr="005C3B55">
        <w:tc>
          <w:tcPr>
            <w:tcW w:w="5915"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Indicator</w:t>
            </w:r>
          </w:p>
        </w:tc>
        <w:tc>
          <w:tcPr>
            <w:tcW w:w="736"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Value</w:t>
            </w:r>
          </w:p>
        </w:tc>
        <w:tc>
          <w:tcPr>
            <w:tcW w:w="3066"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Unit</w:t>
            </w:r>
          </w:p>
        </w:tc>
        <w:tc>
          <w:tcPr>
            <w:tcW w:w="939"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Year</w:t>
            </w:r>
          </w:p>
        </w:tc>
      </w:tr>
      <w:tr w:rsidR="00BD3B5F" w:rsidRPr="005C3B55">
        <w:tc>
          <w:tcPr>
            <w:tcW w:w="5915"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total</w:t>
            </w:r>
          </w:p>
        </w:tc>
        <w:tc>
          <w:tcPr>
            <w:tcW w:w="736"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2,232</w:t>
            </w:r>
          </w:p>
        </w:tc>
        <w:tc>
          <w:tcPr>
            <w:tcW w:w="3066"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ha</w:t>
            </w:r>
          </w:p>
        </w:tc>
        <w:tc>
          <w:tcPr>
            <w:tcW w:w="939"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2013  </w:t>
            </w:r>
          </w:p>
        </w:tc>
      </w:tr>
      <w:tr w:rsidR="00BD3B5F" w:rsidRPr="005C3B55">
        <w:tc>
          <w:tcPr>
            <w:tcW w:w="5915"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Share of used agricultural area</w:t>
            </w:r>
          </w:p>
        </w:tc>
        <w:tc>
          <w:tcPr>
            <w:tcW w:w="736"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0.5</w:t>
            </w:r>
          </w:p>
        </w:tc>
        <w:tc>
          <w:tcPr>
            <w:tcW w:w="3066"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 of total UAA</w:t>
            </w:r>
          </w:p>
        </w:tc>
        <w:tc>
          <w:tcPr>
            <w:tcW w:w="939"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2013  </w:t>
            </w:r>
          </w:p>
        </w:tc>
      </w:tr>
      <w:tr w:rsidR="00BD3B5F" w:rsidRPr="005C3B55">
        <w:tc>
          <w:tcPr>
            <w:tcW w:w="10656" w:type="dxa"/>
            <w:gridSpan w:val="4"/>
            <w:shd w:val="clear" w:color="auto" w:fill="C0C0C0"/>
            <w:tcMar>
              <w:top w:w="20" w:type="dxa"/>
              <w:bottom w:w="20" w:type="dxa"/>
            </w:tcMar>
            <w:vAlign w:val="center"/>
          </w:tcPr>
          <w:p w:rsidR="00BD3B5F" w:rsidRPr="005C3B55" w:rsidRDefault="00BD3B5F">
            <w:pPr>
              <w:spacing w:before="20" w:after="20"/>
              <w:jc w:val="left"/>
              <w:rPr>
                <w:szCs w:val="24"/>
              </w:rPr>
            </w:pPr>
            <w:r w:rsidRPr="005C3B55">
              <w:rPr>
                <w:sz w:val="16"/>
                <w:szCs w:val="24"/>
              </w:rPr>
              <w:t>21 Livestock units</w:t>
            </w:r>
          </w:p>
        </w:tc>
      </w:tr>
      <w:tr w:rsidR="00BD3B5F" w:rsidRPr="005C3B55">
        <w:tc>
          <w:tcPr>
            <w:tcW w:w="5915"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Indicator</w:t>
            </w:r>
          </w:p>
        </w:tc>
        <w:tc>
          <w:tcPr>
            <w:tcW w:w="736"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Value</w:t>
            </w:r>
          </w:p>
        </w:tc>
        <w:tc>
          <w:tcPr>
            <w:tcW w:w="3066"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Unit</w:t>
            </w:r>
          </w:p>
        </w:tc>
        <w:tc>
          <w:tcPr>
            <w:tcW w:w="939"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Year</w:t>
            </w:r>
          </w:p>
        </w:tc>
      </w:tr>
      <w:tr w:rsidR="00BD3B5F" w:rsidRPr="005C3B55">
        <w:tc>
          <w:tcPr>
            <w:tcW w:w="5915"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total</w:t>
            </w:r>
          </w:p>
        </w:tc>
        <w:tc>
          <w:tcPr>
            <w:tcW w:w="736"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399,349</w:t>
            </w:r>
          </w:p>
        </w:tc>
        <w:tc>
          <w:tcPr>
            <w:tcW w:w="3066"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LSU</w:t>
            </w:r>
          </w:p>
        </w:tc>
        <w:tc>
          <w:tcPr>
            <w:tcW w:w="939"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2013  </w:t>
            </w:r>
          </w:p>
        </w:tc>
      </w:tr>
      <w:tr w:rsidR="00BD3B5F" w:rsidRPr="005C3B55">
        <w:tc>
          <w:tcPr>
            <w:tcW w:w="10656" w:type="dxa"/>
            <w:gridSpan w:val="4"/>
            <w:shd w:val="clear" w:color="auto" w:fill="C0C0C0"/>
            <w:tcMar>
              <w:top w:w="20" w:type="dxa"/>
              <w:bottom w:w="20" w:type="dxa"/>
            </w:tcMar>
            <w:vAlign w:val="center"/>
          </w:tcPr>
          <w:p w:rsidR="00BD3B5F" w:rsidRPr="005C3B55" w:rsidRDefault="00BD3B5F">
            <w:pPr>
              <w:spacing w:before="20" w:after="20"/>
              <w:jc w:val="left"/>
              <w:rPr>
                <w:szCs w:val="24"/>
              </w:rPr>
            </w:pPr>
            <w:r w:rsidRPr="005C3B55">
              <w:rPr>
                <w:sz w:val="16"/>
                <w:szCs w:val="24"/>
              </w:rPr>
              <w:t>22 Labour force on agricultural holdings</w:t>
            </w:r>
          </w:p>
        </w:tc>
      </w:tr>
      <w:tr w:rsidR="00BD3B5F" w:rsidRPr="005C3B55">
        <w:tc>
          <w:tcPr>
            <w:tcW w:w="5915"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Indicator</w:t>
            </w:r>
          </w:p>
        </w:tc>
        <w:tc>
          <w:tcPr>
            <w:tcW w:w="736"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Value</w:t>
            </w:r>
          </w:p>
        </w:tc>
        <w:tc>
          <w:tcPr>
            <w:tcW w:w="3066"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Unit</w:t>
            </w:r>
          </w:p>
        </w:tc>
        <w:tc>
          <w:tcPr>
            <w:tcW w:w="939"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Year</w:t>
            </w:r>
          </w:p>
        </w:tc>
      </w:tr>
      <w:tr w:rsidR="00BD3B5F" w:rsidRPr="005C3B55">
        <w:tc>
          <w:tcPr>
            <w:tcW w:w="5915" w:type="dxa"/>
            <w:shd w:val="clear" w:color="auto" w:fill="FFFFFF"/>
            <w:tcMar>
              <w:top w:w="20" w:type="dxa"/>
              <w:bottom w:w="20" w:type="dxa"/>
            </w:tcMar>
            <w:vAlign w:val="center"/>
          </w:tcPr>
          <w:p w:rsidR="00BD3B5F" w:rsidRPr="005C3B55" w:rsidRDefault="00BD3B5F">
            <w:pPr>
              <w:spacing w:before="20" w:after="20"/>
              <w:jc w:val="left"/>
              <w:rPr>
                <w:szCs w:val="24"/>
              </w:rPr>
            </w:pPr>
            <w:r w:rsidRPr="005C3B55">
              <w:rPr>
                <w:sz w:val="16"/>
                <w:szCs w:val="24"/>
              </w:rPr>
              <w:t>Labour force on agricultural holdings, total</w:t>
            </w:r>
          </w:p>
        </w:tc>
        <w:tc>
          <w:tcPr>
            <w:tcW w:w="736"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200,631</w:t>
            </w:r>
          </w:p>
        </w:tc>
        <w:tc>
          <w:tcPr>
            <w:tcW w:w="3066"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Persons</w:t>
            </w:r>
          </w:p>
        </w:tc>
        <w:tc>
          <w:tcPr>
            <w:tcW w:w="939"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2013  </w:t>
            </w:r>
          </w:p>
        </w:tc>
      </w:tr>
      <w:tr w:rsidR="00BD3B5F" w:rsidRPr="005C3B55">
        <w:tc>
          <w:tcPr>
            <w:tcW w:w="5915"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Labour force on agricultural holdings, total</w:t>
            </w:r>
          </w:p>
        </w:tc>
        <w:tc>
          <w:tcPr>
            <w:tcW w:w="736"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79,474</w:t>
            </w:r>
          </w:p>
        </w:tc>
        <w:tc>
          <w:tcPr>
            <w:tcW w:w="3066"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AWU</w:t>
            </w:r>
          </w:p>
        </w:tc>
        <w:tc>
          <w:tcPr>
            <w:tcW w:w="939"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2013  </w:t>
            </w:r>
          </w:p>
        </w:tc>
      </w:tr>
      <w:tr w:rsidR="00BD3B5F" w:rsidRPr="005C3B55">
        <w:tc>
          <w:tcPr>
            <w:tcW w:w="10656" w:type="dxa"/>
            <w:gridSpan w:val="4"/>
            <w:shd w:val="clear" w:color="auto" w:fill="C0C0C0"/>
            <w:tcMar>
              <w:top w:w="20" w:type="dxa"/>
              <w:bottom w:w="20" w:type="dxa"/>
            </w:tcMar>
            <w:vAlign w:val="center"/>
          </w:tcPr>
          <w:p w:rsidR="00BD3B5F" w:rsidRPr="005C3B55" w:rsidRDefault="00BD3B5F">
            <w:pPr>
              <w:spacing w:before="20" w:after="20"/>
              <w:jc w:val="left"/>
              <w:rPr>
                <w:szCs w:val="24"/>
              </w:rPr>
            </w:pPr>
            <w:r w:rsidRPr="005C3B55">
              <w:rPr>
                <w:sz w:val="16"/>
                <w:szCs w:val="24"/>
              </w:rPr>
              <w:t>23 Age structure of agricultural holdings' owners</w:t>
            </w:r>
          </w:p>
        </w:tc>
      </w:tr>
      <w:tr w:rsidR="00BD3B5F" w:rsidRPr="005C3B55">
        <w:tc>
          <w:tcPr>
            <w:tcW w:w="5915"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Indicator</w:t>
            </w:r>
          </w:p>
        </w:tc>
        <w:tc>
          <w:tcPr>
            <w:tcW w:w="736"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Value</w:t>
            </w:r>
          </w:p>
        </w:tc>
        <w:tc>
          <w:tcPr>
            <w:tcW w:w="3066"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Unit</w:t>
            </w:r>
          </w:p>
        </w:tc>
        <w:tc>
          <w:tcPr>
            <w:tcW w:w="939"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Year</w:t>
            </w:r>
          </w:p>
        </w:tc>
      </w:tr>
      <w:tr w:rsidR="00BD3B5F" w:rsidRPr="005C3B55">
        <w:tc>
          <w:tcPr>
            <w:tcW w:w="5915" w:type="dxa"/>
            <w:shd w:val="clear" w:color="auto" w:fill="FFFFFF"/>
            <w:tcMar>
              <w:top w:w="20" w:type="dxa"/>
              <w:bottom w:w="20" w:type="dxa"/>
            </w:tcMar>
            <w:vAlign w:val="center"/>
          </w:tcPr>
          <w:p w:rsidR="00BD3B5F" w:rsidRPr="005C3B55" w:rsidRDefault="00BD3B5F">
            <w:pPr>
              <w:spacing w:before="20" w:after="20"/>
              <w:jc w:val="left"/>
              <w:rPr>
                <w:szCs w:val="24"/>
              </w:rPr>
            </w:pPr>
            <w:r w:rsidRPr="005C3B55">
              <w:rPr>
                <w:sz w:val="16"/>
                <w:szCs w:val="24"/>
              </w:rPr>
              <w:t>Number of agricultural holdings' owners, total</w:t>
            </w:r>
          </w:p>
        </w:tc>
        <w:tc>
          <w:tcPr>
            <w:tcW w:w="736"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72,176</w:t>
            </w:r>
          </w:p>
        </w:tc>
        <w:tc>
          <w:tcPr>
            <w:tcW w:w="3066"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No</w:t>
            </w:r>
          </w:p>
        </w:tc>
        <w:tc>
          <w:tcPr>
            <w:tcW w:w="939"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2013  </w:t>
            </w:r>
          </w:p>
        </w:tc>
      </w:tr>
      <w:tr w:rsidR="00BD3B5F" w:rsidRPr="005C3B55">
        <w:tc>
          <w:tcPr>
            <w:tcW w:w="5915"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Share &lt; 35 years</w:t>
            </w:r>
          </w:p>
        </w:tc>
        <w:tc>
          <w:tcPr>
            <w:tcW w:w="736"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4.3</w:t>
            </w:r>
          </w:p>
        </w:tc>
        <w:tc>
          <w:tcPr>
            <w:tcW w:w="3066"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 of total managers</w:t>
            </w:r>
          </w:p>
        </w:tc>
        <w:tc>
          <w:tcPr>
            <w:tcW w:w="939"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2010  </w:t>
            </w:r>
          </w:p>
        </w:tc>
      </w:tr>
      <w:tr w:rsidR="00BD3B5F" w:rsidRPr="005C3B55">
        <w:tc>
          <w:tcPr>
            <w:tcW w:w="5915"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Ratio &lt; 35 / &gt;= 55 years</w:t>
            </w:r>
          </w:p>
        </w:tc>
        <w:tc>
          <w:tcPr>
            <w:tcW w:w="736"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7.7</w:t>
            </w:r>
          </w:p>
        </w:tc>
        <w:tc>
          <w:tcPr>
            <w:tcW w:w="3066"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No of young managers by 100 elderly managers</w:t>
            </w:r>
          </w:p>
        </w:tc>
        <w:tc>
          <w:tcPr>
            <w:tcW w:w="939"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2010  </w:t>
            </w:r>
          </w:p>
        </w:tc>
      </w:tr>
      <w:tr w:rsidR="00BD3B5F" w:rsidRPr="005C3B55">
        <w:tc>
          <w:tcPr>
            <w:tcW w:w="10656" w:type="dxa"/>
            <w:gridSpan w:val="4"/>
            <w:shd w:val="clear" w:color="auto" w:fill="C0C0C0"/>
            <w:tcMar>
              <w:top w:w="20" w:type="dxa"/>
              <w:bottom w:w="20" w:type="dxa"/>
            </w:tcMar>
            <w:vAlign w:val="center"/>
          </w:tcPr>
          <w:p w:rsidR="00BD3B5F" w:rsidRPr="005C3B55" w:rsidRDefault="00BD3B5F">
            <w:pPr>
              <w:spacing w:before="20" w:after="20"/>
              <w:jc w:val="left"/>
              <w:rPr>
                <w:szCs w:val="24"/>
              </w:rPr>
            </w:pPr>
            <w:r w:rsidRPr="005C3B55">
              <w:rPr>
                <w:sz w:val="16"/>
                <w:szCs w:val="24"/>
              </w:rPr>
              <w:t>24 Agricultural education of agricultural holdings' owners</w:t>
            </w:r>
          </w:p>
        </w:tc>
      </w:tr>
      <w:tr w:rsidR="00BD3B5F" w:rsidRPr="005C3B55">
        <w:tc>
          <w:tcPr>
            <w:tcW w:w="5915"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Indicator</w:t>
            </w:r>
          </w:p>
        </w:tc>
        <w:tc>
          <w:tcPr>
            <w:tcW w:w="736"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Value</w:t>
            </w:r>
          </w:p>
        </w:tc>
        <w:tc>
          <w:tcPr>
            <w:tcW w:w="3066"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Unit</w:t>
            </w:r>
          </w:p>
        </w:tc>
        <w:tc>
          <w:tcPr>
            <w:tcW w:w="939"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Year</w:t>
            </w:r>
          </w:p>
        </w:tc>
      </w:tr>
      <w:tr w:rsidR="00BD3B5F" w:rsidRPr="005C3B55">
        <w:tc>
          <w:tcPr>
            <w:tcW w:w="5915" w:type="dxa"/>
            <w:shd w:val="clear" w:color="auto" w:fill="FFFFFF"/>
            <w:tcMar>
              <w:top w:w="20" w:type="dxa"/>
              <w:bottom w:w="20" w:type="dxa"/>
            </w:tcMar>
            <w:vAlign w:val="center"/>
          </w:tcPr>
          <w:p w:rsidR="00BD3B5F" w:rsidRPr="005C3B55" w:rsidRDefault="00BD3B5F">
            <w:pPr>
              <w:spacing w:before="20" w:after="20"/>
              <w:jc w:val="left"/>
              <w:rPr>
                <w:szCs w:val="24"/>
              </w:rPr>
            </w:pPr>
            <w:r w:rsidRPr="005C3B55">
              <w:rPr>
                <w:sz w:val="16"/>
                <w:szCs w:val="24"/>
              </w:rPr>
              <w:t>Share of all owners with basic and comprehensive agricultural education</w:t>
            </w:r>
          </w:p>
        </w:tc>
        <w:tc>
          <w:tcPr>
            <w:tcW w:w="736"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49.9</w:t>
            </w:r>
          </w:p>
        </w:tc>
        <w:tc>
          <w:tcPr>
            <w:tcW w:w="3066"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 of total</w:t>
            </w:r>
          </w:p>
        </w:tc>
        <w:tc>
          <w:tcPr>
            <w:tcW w:w="939"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2013  </w:t>
            </w:r>
          </w:p>
        </w:tc>
      </w:tr>
      <w:tr w:rsidR="00BD3B5F" w:rsidRPr="005C3B55">
        <w:tc>
          <w:tcPr>
            <w:tcW w:w="5915" w:type="dxa"/>
            <w:shd w:val="clear" w:color="auto" w:fill="FFFFFF"/>
            <w:tcMar>
              <w:top w:w="20" w:type="dxa"/>
              <w:bottom w:w="20" w:type="dxa"/>
            </w:tcMar>
            <w:vAlign w:val="center"/>
          </w:tcPr>
          <w:p w:rsidR="00BD3B5F" w:rsidRPr="005C3B55" w:rsidRDefault="00BD3B5F">
            <w:pPr>
              <w:spacing w:before="20" w:after="20"/>
              <w:jc w:val="left"/>
              <w:rPr>
                <w:szCs w:val="24"/>
              </w:rPr>
            </w:pPr>
            <w:r w:rsidRPr="005C3B55">
              <w:rPr>
                <w:sz w:val="16"/>
                <w:szCs w:val="24"/>
              </w:rPr>
              <w:t>Share of owners &lt; 35 years with basic and comprehensive agricultural education</w:t>
            </w:r>
          </w:p>
        </w:tc>
        <w:tc>
          <w:tcPr>
            <w:tcW w:w="736"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46.9</w:t>
            </w:r>
          </w:p>
        </w:tc>
        <w:tc>
          <w:tcPr>
            <w:tcW w:w="3066"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 of total</w:t>
            </w:r>
          </w:p>
        </w:tc>
        <w:tc>
          <w:tcPr>
            <w:tcW w:w="939"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2010  </w:t>
            </w:r>
          </w:p>
        </w:tc>
      </w:tr>
      <w:tr w:rsidR="00BD3B5F" w:rsidRPr="005C3B55">
        <w:tc>
          <w:tcPr>
            <w:tcW w:w="10656" w:type="dxa"/>
            <w:gridSpan w:val="4"/>
            <w:shd w:val="clear" w:color="auto" w:fill="C0C0C0"/>
            <w:tcMar>
              <w:top w:w="20" w:type="dxa"/>
              <w:bottom w:w="20" w:type="dxa"/>
            </w:tcMar>
            <w:vAlign w:val="center"/>
          </w:tcPr>
          <w:p w:rsidR="00BD3B5F" w:rsidRPr="005C3B55" w:rsidRDefault="00BD3B5F">
            <w:pPr>
              <w:spacing w:before="20" w:after="20"/>
              <w:jc w:val="left"/>
              <w:rPr>
                <w:szCs w:val="24"/>
              </w:rPr>
            </w:pPr>
            <w:r w:rsidRPr="005C3B55">
              <w:rPr>
                <w:sz w:val="16"/>
                <w:szCs w:val="24"/>
              </w:rPr>
              <w:t>25 Agriculture factor income</w:t>
            </w:r>
          </w:p>
        </w:tc>
      </w:tr>
      <w:tr w:rsidR="00BD3B5F" w:rsidRPr="005C3B55">
        <w:tc>
          <w:tcPr>
            <w:tcW w:w="5915"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Indicator</w:t>
            </w:r>
          </w:p>
        </w:tc>
        <w:tc>
          <w:tcPr>
            <w:tcW w:w="736"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Value</w:t>
            </w:r>
          </w:p>
        </w:tc>
        <w:tc>
          <w:tcPr>
            <w:tcW w:w="3066"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Unit</w:t>
            </w:r>
          </w:p>
        </w:tc>
        <w:tc>
          <w:tcPr>
            <w:tcW w:w="939"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Year</w:t>
            </w:r>
          </w:p>
        </w:tc>
      </w:tr>
      <w:tr w:rsidR="00BD3B5F" w:rsidRPr="005C3B55">
        <w:tc>
          <w:tcPr>
            <w:tcW w:w="5915"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Total</w:t>
            </w:r>
          </w:p>
        </w:tc>
        <w:tc>
          <w:tcPr>
            <w:tcW w:w="736"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5,175</w:t>
            </w:r>
          </w:p>
        </w:tc>
        <w:tc>
          <w:tcPr>
            <w:tcW w:w="3066"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EUR/AWU</w:t>
            </w:r>
          </w:p>
        </w:tc>
        <w:tc>
          <w:tcPr>
            <w:tcW w:w="939"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2013  </w:t>
            </w:r>
          </w:p>
        </w:tc>
      </w:tr>
      <w:tr w:rsidR="00BD3B5F" w:rsidRPr="005C3B55">
        <w:tc>
          <w:tcPr>
            <w:tcW w:w="5915"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Total (index)</w:t>
            </w:r>
          </w:p>
        </w:tc>
        <w:tc>
          <w:tcPr>
            <w:tcW w:w="736"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102.6</w:t>
            </w:r>
          </w:p>
        </w:tc>
        <w:tc>
          <w:tcPr>
            <w:tcW w:w="3066"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Index 2005 = 100</w:t>
            </w:r>
          </w:p>
        </w:tc>
        <w:tc>
          <w:tcPr>
            <w:tcW w:w="939"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2013  </w:t>
            </w:r>
          </w:p>
        </w:tc>
      </w:tr>
      <w:tr w:rsidR="00BD3B5F" w:rsidRPr="005C3B55">
        <w:tc>
          <w:tcPr>
            <w:tcW w:w="10656" w:type="dxa"/>
            <w:gridSpan w:val="4"/>
            <w:shd w:val="clear" w:color="auto" w:fill="C0C0C0"/>
            <w:tcMar>
              <w:top w:w="20" w:type="dxa"/>
              <w:bottom w:w="20" w:type="dxa"/>
            </w:tcMar>
            <w:vAlign w:val="center"/>
          </w:tcPr>
          <w:p w:rsidR="00BD3B5F" w:rsidRPr="005C3B55" w:rsidRDefault="00BD3B5F">
            <w:pPr>
              <w:spacing w:before="20" w:after="20"/>
              <w:jc w:val="left"/>
              <w:rPr>
                <w:szCs w:val="24"/>
              </w:rPr>
            </w:pPr>
            <w:r w:rsidRPr="005C3B55">
              <w:rPr>
                <w:sz w:val="16"/>
                <w:szCs w:val="24"/>
              </w:rPr>
              <w:t>26 Entrepreneurial income of agriculture</w:t>
            </w:r>
          </w:p>
        </w:tc>
      </w:tr>
      <w:tr w:rsidR="00BD3B5F" w:rsidRPr="005C3B55">
        <w:tc>
          <w:tcPr>
            <w:tcW w:w="5915"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Indicator</w:t>
            </w:r>
          </w:p>
        </w:tc>
        <w:tc>
          <w:tcPr>
            <w:tcW w:w="736"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Value</w:t>
            </w:r>
          </w:p>
        </w:tc>
        <w:tc>
          <w:tcPr>
            <w:tcW w:w="3066"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Unit</w:t>
            </w:r>
          </w:p>
        </w:tc>
        <w:tc>
          <w:tcPr>
            <w:tcW w:w="939"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Year</w:t>
            </w:r>
          </w:p>
        </w:tc>
      </w:tr>
      <w:tr w:rsidR="00BD3B5F" w:rsidRPr="005C3B55">
        <w:tc>
          <w:tcPr>
            <w:tcW w:w="5915" w:type="dxa"/>
            <w:shd w:val="clear" w:color="auto" w:fill="FFFFFF"/>
            <w:tcMar>
              <w:top w:w="20" w:type="dxa"/>
              <w:bottom w:w="20" w:type="dxa"/>
            </w:tcMar>
            <w:vAlign w:val="center"/>
          </w:tcPr>
          <w:p w:rsidR="00BD3B5F" w:rsidRPr="005C3B55" w:rsidRDefault="00BD3B5F">
            <w:pPr>
              <w:spacing w:before="20" w:after="20"/>
              <w:jc w:val="left"/>
              <w:rPr>
                <w:szCs w:val="24"/>
              </w:rPr>
            </w:pPr>
            <w:r w:rsidRPr="005C3B55">
              <w:rPr>
                <w:sz w:val="16"/>
                <w:szCs w:val="24"/>
              </w:rPr>
              <w:t>Living standard of farmers</w:t>
            </w:r>
          </w:p>
        </w:tc>
        <w:tc>
          <w:tcPr>
            <w:tcW w:w="736"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4,022.9</w:t>
            </w:r>
          </w:p>
        </w:tc>
        <w:tc>
          <w:tcPr>
            <w:tcW w:w="3066"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EUR/AWU</w:t>
            </w:r>
          </w:p>
        </w:tc>
        <w:tc>
          <w:tcPr>
            <w:tcW w:w="939"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2012  </w:t>
            </w:r>
          </w:p>
        </w:tc>
      </w:tr>
      <w:tr w:rsidR="00BD3B5F" w:rsidRPr="005C3B55">
        <w:tc>
          <w:tcPr>
            <w:tcW w:w="5915" w:type="dxa"/>
            <w:shd w:val="clear" w:color="auto" w:fill="FFFFFF"/>
            <w:tcMar>
              <w:top w:w="20" w:type="dxa"/>
              <w:bottom w:w="20" w:type="dxa"/>
            </w:tcMar>
            <w:vAlign w:val="center"/>
          </w:tcPr>
          <w:p w:rsidR="00BD3B5F" w:rsidRPr="005C3B55" w:rsidRDefault="00BD3B5F">
            <w:pPr>
              <w:spacing w:before="20" w:after="20"/>
              <w:jc w:val="left"/>
              <w:rPr>
                <w:szCs w:val="24"/>
              </w:rPr>
            </w:pPr>
            <w:r w:rsidRPr="005C3B55">
              <w:rPr>
                <w:sz w:val="16"/>
                <w:szCs w:val="24"/>
              </w:rPr>
              <w:t>Living standard of farmers as the share of the living standard of persons employed in other sectors</w:t>
            </w:r>
          </w:p>
        </w:tc>
        <w:tc>
          <w:tcPr>
            <w:tcW w:w="736"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19.6</w:t>
            </w:r>
          </w:p>
        </w:tc>
        <w:tc>
          <w:tcPr>
            <w:tcW w:w="3066"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w:t>
            </w:r>
          </w:p>
        </w:tc>
        <w:tc>
          <w:tcPr>
            <w:tcW w:w="939"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2012  </w:t>
            </w:r>
          </w:p>
        </w:tc>
      </w:tr>
      <w:tr w:rsidR="00BD3B5F" w:rsidRPr="005C3B55">
        <w:tc>
          <w:tcPr>
            <w:tcW w:w="10656" w:type="dxa"/>
            <w:gridSpan w:val="4"/>
            <w:shd w:val="clear" w:color="auto" w:fill="C0C0C0"/>
            <w:tcMar>
              <w:top w:w="20" w:type="dxa"/>
              <w:bottom w:w="20" w:type="dxa"/>
            </w:tcMar>
            <w:vAlign w:val="center"/>
          </w:tcPr>
          <w:p w:rsidR="00BD3B5F" w:rsidRPr="005C3B55" w:rsidRDefault="00BD3B5F">
            <w:pPr>
              <w:spacing w:before="20" w:after="20"/>
              <w:jc w:val="left"/>
              <w:rPr>
                <w:szCs w:val="24"/>
              </w:rPr>
            </w:pPr>
            <w:r w:rsidRPr="005C3B55">
              <w:rPr>
                <w:sz w:val="16"/>
                <w:szCs w:val="24"/>
              </w:rPr>
              <w:t>27 Total factor productivity in agriculture</w:t>
            </w:r>
          </w:p>
        </w:tc>
      </w:tr>
      <w:tr w:rsidR="00BD3B5F" w:rsidRPr="005C3B55">
        <w:tc>
          <w:tcPr>
            <w:tcW w:w="5915"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Indicator</w:t>
            </w:r>
          </w:p>
        </w:tc>
        <w:tc>
          <w:tcPr>
            <w:tcW w:w="736"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Value</w:t>
            </w:r>
          </w:p>
        </w:tc>
        <w:tc>
          <w:tcPr>
            <w:tcW w:w="3066"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Unit</w:t>
            </w:r>
          </w:p>
        </w:tc>
        <w:tc>
          <w:tcPr>
            <w:tcW w:w="939"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Year</w:t>
            </w:r>
          </w:p>
        </w:tc>
      </w:tr>
      <w:tr w:rsidR="00BD3B5F" w:rsidRPr="005C3B55">
        <w:tc>
          <w:tcPr>
            <w:tcW w:w="5915"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Total (index)</w:t>
            </w:r>
          </w:p>
        </w:tc>
        <w:tc>
          <w:tcPr>
            <w:tcW w:w="736"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101.4</w:t>
            </w:r>
          </w:p>
        </w:tc>
        <w:tc>
          <w:tcPr>
            <w:tcW w:w="3066"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Index 2005 = 100</w:t>
            </w:r>
          </w:p>
        </w:tc>
        <w:tc>
          <w:tcPr>
            <w:tcW w:w="939"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2009 - 2011  </w:t>
            </w:r>
          </w:p>
        </w:tc>
      </w:tr>
      <w:tr w:rsidR="00BD3B5F" w:rsidRPr="005C3B55">
        <w:tc>
          <w:tcPr>
            <w:tcW w:w="10656" w:type="dxa"/>
            <w:gridSpan w:val="4"/>
            <w:shd w:val="clear" w:color="auto" w:fill="C0C0C0"/>
            <w:tcMar>
              <w:top w:w="20" w:type="dxa"/>
              <w:bottom w:w="20" w:type="dxa"/>
            </w:tcMar>
            <w:vAlign w:val="center"/>
          </w:tcPr>
          <w:p w:rsidR="00BD3B5F" w:rsidRPr="005C3B55" w:rsidRDefault="00BD3B5F">
            <w:pPr>
              <w:spacing w:before="20" w:after="20"/>
              <w:jc w:val="left"/>
              <w:rPr>
                <w:szCs w:val="24"/>
              </w:rPr>
            </w:pPr>
            <w:r w:rsidRPr="005C3B55">
              <w:rPr>
                <w:sz w:val="16"/>
                <w:szCs w:val="24"/>
              </w:rPr>
              <w:t>28 Gross investments in fixed assets in agriculture</w:t>
            </w:r>
          </w:p>
        </w:tc>
      </w:tr>
      <w:tr w:rsidR="00BD3B5F" w:rsidRPr="005C3B55">
        <w:tc>
          <w:tcPr>
            <w:tcW w:w="5915"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Indicator</w:t>
            </w:r>
          </w:p>
        </w:tc>
        <w:tc>
          <w:tcPr>
            <w:tcW w:w="736"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Value</w:t>
            </w:r>
          </w:p>
        </w:tc>
        <w:tc>
          <w:tcPr>
            <w:tcW w:w="3066"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Unit</w:t>
            </w:r>
          </w:p>
        </w:tc>
        <w:tc>
          <w:tcPr>
            <w:tcW w:w="939"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Year</w:t>
            </w:r>
          </w:p>
        </w:tc>
      </w:tr>
      <w:tr w:rsidR="00BD3B5F" w:rsidRPr="005C3B55">
        <w:tc>
          <w:tcPr>
            <w:tcW w:w="5915" w:type="dxa"/>
            <w:shd w:val="clear" w:color="auto" w:fill="FFFFFF"/>
            <w:tcMar>
              <w:top w:w="20" w:type="dxa"/>
              <w:bottom w:w="20" w:type="dxa"/>
            </w:tcMar>
            <w:vAlign w:val="center"/>
          </w:tcPr>
          <w:p w:rsidR="00BD3B5F" w:rsidRPr="005C3B55" w:rsidRDefault="00BD3B5F">
            <w:pPr>
              <w:spacing w:before="20" w:after="20"/>
              <w:jc w:val="left"/>
              <w:rPr>
                <w:szCs w:val="24"/>
              </w:rPr>
            </w:pPr>
            <w:r w:rsidRPr="005C3B55">
              <w:rPr>
                <w:sz w:val="16"/>
                <w:szCs w:val="24"/>
              </w:rPr>
              <w:t>Gross investments in fixed assets</w:t>
            </w:r>
          </w:p>
        </w:tc>
        <w:tc>
          <w:tcPr>
            <w:tcW w:w="736"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218.2</w:t>
            </w:r>
          </w:p>
        </w:tc>
        <w:tc>
          <w:tcPr>
            <w:tcW w:w="3066"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EUR million</w:t>
            </w:r>
          </w:p>
        </w:tc>
        <w:tc>
          <w:tcPr>
            <w:tcW w:w="939"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2013  </w:t>
            </w:r>
          </w:p>
        </w:tc>
      </w:tr>
      <w:tr w:rsidR="00BD3B5F" w:rsidRPr="005C3B55">
        <w:tc>
          <w:tcPr>
            <w:tcW w:w="5915" w:type="dxa"/>
            <w:shd w:val="clear" w:color="auto" w:fill="FFFFFF"/>
            <w:tcMar>
              <w:top w:w="20" w:type="dxa"/>
              <w:bottom w:w="20" w:type="dxa"/>
            </w:tcMar>
            <w:vAlign w:val="center"/>
          </w:tcPr>
          <w:p w:rsidR="00BD3B5F" w:rsidRPr="005C3B55" w:rsidRDefault="00BD3B5F">
            <w:pPr>
              <w:spacing w:before="20" w:after="20"/>
              <w:jc w:val="left"/>
              <w:rPr>
                <w:szCs w:val="24"/>
              </w:rPr>
            </w:pPr>
            <w:r w:rsidRPr="005C3B55">
              <w:rPr>
                <w:sz w:val="16"/>
                <w:szCs w:val="24"/>
              </w:rPr>
              <w:t>Share of GVA in agriculture</w:t>
            </w:r>
          </w:p>
        </w:tc>
        <w:tc>
          <w:tcPr>
            <w:tcW w:w="736"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33.4</w:t>
            </w:r>
          </w:p>
        </w:tc>
        <w:tc>
          <w:tcPr>
            <w:tcW w:w="3066"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 of GVA in agriculture</w:t>
            </w:r>
          </w:p>
        </w:tc>
        <w:tc>
          <w:tcPr>
            <w:tcW w:w="939"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2012  </w:t>
            </w:r>
          </w:p>
        </w:tc>
      </w:tr>
      <w:tr w:rsidR="00BD3B5F" w:rsidRPr="005C3B55">
        <w:tc>
          <w:tcPr>
            <w:tcW w:w="10656" w:type="dxa"/>
            <w:gridSpan w:val="4"/>
            <w:shd w:val="clear" w:color="auto" w:fill="C0C0C0"/>
            <w:tcMar>
              <w:top w:w="20" w:type="dxa"/>
              <w:bottom w:w="20" w:type="dxa"/>
            </w:tcMar>
            <w:vAlign w:val="center"/>
          </w:tcPr>
          <w:p w:rsidR="00BD3B5F" w:rsidRPr="005C3B55" w:rsidRDefault="00BD3B5F">
            <w:pPr>
              <w:spacing w:before="20" w:after="20"/>
              <w:jc w:val="left"/>
              <w:rPr>
                <w:szCs w:val="24"/>
              </w:rPr>
            </w:pPr>
            <w:r w:rsidRPr="005C3B55">
              <w:rPr>
                <w:sz w:val="16"/>
                <w:szCs w:val="24"/>
              </w:rPr>
              <w:t xml:space="preserve">29 Forest and other forest land (000) </w:t>
            </w:r>
          </w:p>
        </w:tc>
      </w:tr>
      <w:tr w:rsidR="00BD3B5F" w:rsidRPr="005C3B55">
        <w:tc>
          <w:tcPr>
            <w:tcW w:w="5915"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Indicator</w:t>
            </w:r>
          </w:p>
        </w:tc>
        <w:tc>
          <w:tcPr>
            <w:tcW w:w="736"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Value</w:t>
            </w:r>
          </w:p>
        </w:tc>
        <w:tc>
          <w:tcPr>
            <w:tcW w:w="3066"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Unit</w:t>
            </w:r>
          </w:p>
        </w:tc>
        <w:tc>
          <w:tcPr>
            <w:tcW w:w="939"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Year</w:t>
            </w:r>
          </w:p>
        </w:tc>
      </w:tr>
      <w:tr w:rsidR="00BD3B5F" w:rsidRPr="005C3B55">
        <w:tc>
          <w:tcPr>
            <w:tcW w:w="5915"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Total</w:t>
            </w:r>
          </w:p>
        </w:tc>
        <w:tc>
          <w:tcPr>
            <w:tcW w:w="736"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1,274</w:t>
            </w:r>
          </w:p>
        </w:tc>
        <w:tc>
          <w:tcPr>
            <w:tcW w:w="3066"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1000 ha</w:t>
            </w:r>
          </w:p>
        </w:tc>
        <w:tc>
          <w:tcPr>
            <w:tcW w:w="939"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2010  </w:t>
            </w:r>
          </w:p>
        </w:tc>
      </w:tr>
      <w:tr w:rsidR="00BD3B5F" w:rsidRPr="005C3B55">
        <w:tc>
          <w:tcPr>
            <w:tcW w:w="5915" w:type="dxa"/>
            <w:shd w:val="clear" w:color="auto" w:fill="FFFFFF"/>
            <w:tcMar>
              <w:top w:w="20" w:type="dxa"/>
              <w:bottom w:w="20" w:type="dxa"/>
            </w:tcMar>
            <w:vAlign w:val="center"/>
          </w:tcPr>
          <w:p w:rsidR="00BD3B5F" w:rsidRPr="005C3B55" w:rsidRDefault="00BD3B5F">
            <w:pPr>
              <w:spacing w:before="20" w:after="20"/>
              <w:jc w:val="left"/>
              <w:rPr>
                <w:szCs w:val="24"/>
              </w:rPr>
            </w:pPr>
            <w:r w:rsidRPr="005C3B55">
              <w:rPr>
                <w:sz w:val="16"/>
                <w:szCs w:val="24"/>
              </w:rPr>
              <w:t xml:space="preserve">Share of total land area </w:t>
            </w:r>
          </w:p>
        </w:tc>
        <w:tc>
          <w:tcPr>
            <w:tcW w:w="736"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62.8</w:t>
            </w:r>
          </w:p>
        </w:tc>
        <w:tc>
          <w:tcPr>
            <w:tcW w:w="3066"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 of total land area</w:t>
            </w:r>
          </w:p>
        </w:tc>
        <w:tc>
          <w:tcPr>
            <w:tcW w:w="939"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2010  </w:t>
            </w:r>
          </w:p>
        </w:tc>
      </w:tr>
      <w:tr w:rsidR="00BD3B5F" w:rsidRPr="005C3B55">
        <w:tc>
          <w:tcPr>
            <w:tcW w:w="10656" w:type="dxa"/>
            <w:gridSpan w:val="4"/>
            <w:shd w:val="clear" w:color="auto" w:fill="C0C0C0"/>
            <w:tcMar>
              <w:top w:w="20" w:type="dxa"/>
              <w:bottom w:w="20" w:type="dxa"/>
            </w:tcMar>
            <w:vAlign w:val="center"/>
          </w:tcPr>
          <w:p w:rsidR="00BD3B5F" w:rsidRPr="005C3B55" w:rsidRDefault="00BD3B5F">
            <w:pPr>
              <w:spacing w:before="20" w:after="20"/>
              <w:jc w:val="left"/>
              <w:rPr>
                <w:szCs w:val="24"/>
              </w:rPr>
            </w:pPr>
            <w:r w:rsidRPr="005C3B55">
              <w:rPr>
                <w:sz w:val="16"/>
                <w:szCs w:val="24"/>
              </w:rPr>
              <w:t>30 Tourist infrastructure</w:t>
            </w:r>
          </w:p>
        </w:tc>
      </w:tr>
      <w:tr w:rsidR="00BD3B5F" w:rsidRPr="005C3B55">
        <w:tc>
          <w:tcPr>
            <w:tcW w:w="5915"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Indicator</w:t>
            </w:r>
          </w:p>
        </w:tc>
        <w:tc>
          <w:tcPr>
            <w:tcW w:w="736"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Value</w:t>
            </w:r>
          </w:p>
        </w:tc>
        <w:tc>
          <w:tcPr>
            <w:tcW w:w="3066"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Unit</w:t>
            </w:r>
          </w:p>
        </w:tc>
        <w:tc>
          <w:tcPr>
            <w:tcW w:w="939"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Year</w:t>
            </w:r>
          </w:p>
        </w:tc>
      </w:tr>
      <w:tr w:rsidR="00BD3B5F" w:rsidRPr="005C3B55">
        <w:tc>
          <w:tcPr>
            <w:tcW w:w="5915" w:type="dxa"/>
            <w:shd w:val="clear" w:color="auto" w:fill="FFFFFF"/>
            <w:tcMar>
              <w:top w:w="20" w:type="dxa"/>
              <w:bottom w:w="20" w:type="dxa"/>
            </w:tcMar>
            <w:vAlign w:val="center"/>
          </w:tcPr>
          <w:p w:rsidR="00BD3B5F" w:rsidRPr="005C3B55" w:rsidRDefault="00BD3B5F">
            <w:pPr>
              <w:spacing w:before="20" w:after="20"/>
              <w:jc w:val="left"/>
              <w:rPr>
                <w:szCs w:val="24"/>
              </w:rPr>
            </w:pPr>
            <w:r w:rsidRPr="005C3B55">
              <w:rPr>
                <w:sz w:val="16"/>
                <w:szCs w:val="24"/>
              </w:rPr>
              <w:t>Number of beds in accommodation and catering facilities</w:t>
            </w:r>
          </w:p>
        </w:tc>
        <w:tc>
          <w:tcPr>
            <w:tcW w:w="736"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105,559</w:t>
            </w:r>
          </w:p>
        </w:tc>
        <w:tc>
          <w:tcPr>
            <w:tcW w:w="3066"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No of bed-places</w:t>
            </w:r>
          </w:p>
        </w:tc>
        <w:tc>
          <w:tcPr>
            <w:tcW w:w="939"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2013  </w:t>
            </w:r>
          </w:p>
        </w:tc>
      </w:tr>
      <w:tr w:rsidR="00BD3B5F" w:rsidRPr="005C3B55">
        <w:tc>
          <w:tcPr>
            <w:tcW w:w="5915"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Rural</w:t>
            </w:r>
          </w:p>
        </w:tc>
        <w:tc>
          <w:tcPr>
            <w:tcW w:w="736"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55.3</w:t>
            </w:r>
          </w:p>
        </w:tc>
        <w:tc>
          <w:tcPr>
            <w:tcW w:w="3066"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 of total</w:t>
            </w:r>
          </w:p>
        </w:tc>
        <w:tc>
          <w:tcPr>
            <w:tcW w:w="939"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2013  </w:t>
            </w:r>
          </w:p>
        </w:tc>
      </w:tr>
      <w:tr w:rsidR="00BD3B5F" w:rsidRPr="005C3B55">
        <w:tc>
          <w:tcPr>
            <w:tcW w:w="5915"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Intermediate</w:t>
            </w:r>
          </w:p>
        </w:tc>
        <w:tc>
          <w:tcPr>
            <w:tcW w:w="736"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36.1</w:t>
            </w:r>
          </w:p>
        </w:tc>
        <w:tc>
          <w:tcPr>
            <w:tcW w:w="3066"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 of total</w:t>
            </w:r>
          </w:p>
        </w:tc>
        <w:tc>
          <w:tcPr>
            <w:tcW w:w="939"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2013  </w:t>
            </w:r>
          </w:p>
        </w:tc>
      </w:tr>
      <w:tr w:rsidR="00BD3B5F" w:rsidRPr="005C3B55">
        <w:tc>
          <w:tcPr>
            <w:tcW w:w="5915"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Urban</w:t>
            </w:r>
            <w:r w:rsidRPr="005C3B55">
              <w:rPr>
                <w:sz w:val="16"/>
                <w:szCs w:val="24"/>
              </w:rPr>
              <w:t xml:space="preserve"> </w:t>
            </w:r>
          </w:p>
        </w:tc>
        <w:tc>
          <w:tcPr>
            <w:tcW w:w="736"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8.6</w:t>
            </w:r>
          </w:p>
        </w:tc>
        <w:tc>
          <w:tcPr>
            <w:tcW w:w="3066"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 of total</w:t>
            </w:r>
          </w:p>
        </w:tc>
        <w:tc>
          <w:tcPr>
            <w:tcW w:w="939"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2013  </w:t>
            </w:r>
          </w:p>
        </w:tc>
      </w:tr>
    </w:tbl>
    <w:p w:rsidR="00BD3B5F" w:rsidRPr="005C3B55" w:rsidRDefault="00BD3B5F">
      <w:pPr>
        <w:rPr>
          <w:szCs w:val="24"/>
        </w:rPr>
      </w:pPr>
      <w:r w:rsidRPr="005C3B55">
        <w:rPr>
          <w:szCs w:val="24"/>
        </w:rPr>
        <w:br w:type="page"/>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5673"/>
        <w:gridCol w:w="737"/>
        <w:gridCol w:w="3028"/>
        <w:gridCol w:w="1218"/>
      </w:tblGrid>
      <w:tr w:rsidR="00BD3B5F" w:rsidRPr="005C3B55">
        <w:tc>
          <w:tcPr>
            <w:tcW w:w="10656" w:type="dxa"/>
            <w:gridSpan w:val="4"/>
            <w:shd w:val="clear" w:color="auto" w:fill="808080"/>
            <w:tcMar>
              <w:top w:w="20" w:type="dxa"/>
              <w:bottom w:w="20" w:type="dxa"/>
            </w:tcMar>
            <w:vAlign w:val="center"/>
          </w:tcPr>
          <w:p w:rsidR="00BD3B5F" w:rsidRPr="005C3B55" w:rsidRDefault="00BD3B5F">
            <w:pPr>
              <w:jc w:val="left"/>
              <w:rPr>
                <w:szCs w:val="24"/>
              </w:rPr>
            </w:pPr>
            <w:r w:rsidRPr="005C3B55">
              <w:rPr>
                <w:b/>
                <w:sz w:val="20"/>
                <w:szCs w:val="24"/>
              </w:rPr>
              <w:t>III Environment/climate</w:t>
            </w:r>
          </w:p>
        </w:tc>
      </w:tr>
      <w:tr w:rsidR="00BD3B5F" w:rsidRPr="005C3B55">
        <w:tc>
          <w:tcPr>
            <w:tcW w:w="10656" w:type="dxa"/>
            <w:gridSpan w:val="4"/>
            <w:shd w:val="clear" w:color="auto" w:fill="C0C0C0"/>
            <w:tcMar>
              <w:top w:w="20" w:type="dxa"/>
              <w:bottom w:w="20" w:type="dxa"/>
            </w:tcMar>
            <w:vAlign w:val="center"/>
          </w:tcPr>
          <w:p w:rsidR="00BD3B5F" w:rsidRPr="005C3B55" w:rsidRDefault="00BD3B5F">
            <w:pPr>
              <w:jc w:val="left"/>
              <w:rPr>
                <w:szCs w:val="24"/>
              </w:rPr>
            </w:pPr>
            <w:r w:rsidRPr="005C3B55">
              <w:rPr>
                <w:sz w:val="16"/>
                <w:szCs w:val="24"/>
              </w:rPr>
              <w:t>31 Soil coverage</w:t>
            </w:r>
          </w:p>
        </w:tc>
      </w:tr>
      <w:tr w:rsidR="00BD3B5F" w:rsidRPr="005C3B55">
        <w:tc>
          <w:tcPr>
            <w:tcW w:w="5673" w:type="dxa"/>
            <w:shd w:val="clear" w:color="auto" w:fill="C0C0C0"/>
            <w:tcMar>
              <w:top w:w="20" w:type="dxa"/>
              <w:bottom w:w="20" w:type="dxa"/>
            </w:tcMar>
            <w:vAlign w:val="center"/>
          </w:tcPr>
          <w:p w:rsidR="00BD3B5F" w:rsidRPr="005C3B55" w:rsidRDefault="00BD3B5F">
            <w:pPr>
              <w:jc w:val="center"/>
              <w:rPr>
                <w:sz w:val="16"/>
                <w:szCs w:val="24"/>
              </w:rPr>
            </w:pPr>
            <w:r w:rsidRPr="005C3B55">
              <w:rPr>
                <w:noProof/>
                <w:sz w:val="16"/>
                <w:szCs w:val="24"/>
              </w:rPr>
              <w:t>Indicator</w:t>
            </w:r>
          </w:p>
        </w:tc>
        <w:tc>
          <w:tcPr>
            <w:tcW w:w="737" w:type="dxa"/>
            <w:shd w:val="clear" w:color="auto" w:fill="C0C0C0"/>
            <w:tcMar>
              <w:top w:w="20" w:type="dxa"/>
              <w:bottom w:w="20" w:type="dxa"/>
            </w:tcMar>
            <w:vAlign w:val="center"/>
          </w:tcPr>
          <w:p w:rsidR="00BD3B5F" w:rsidRPr="005C3B55" w:rsidRDefault="00BD3B5F">
            <w:pPr>
              <w:jc w:val="center"/>
              <w:rPr>
                <w:sz w:val="16"/>
                <w:szCs w:val="24"/>
              </w:rPr>
            </w:pPr>
            <w:r w:rsidRPr="005C3B55">
              <w:rPr>
                <w:noProof/>
                <w:sz w:val="16"/>
                <w:szCs w:val="24"/>
              </w:rPr>
              <w:t>Value</w:t>
            </w:r>
          </w:p>
        </w:tc>
        <w:tc>
          <w:tcPr>
            <w:tcW w:w="3028" w:type="dxa"/>
            <w:shd w:val="clear" w:color="auto" w:fill="C0C0C0"/>
            <w:tcMar>
              <w:top w:w="20" w:type="dxa"/>
              <w:bottom w:w="20" w:type="dxa"/>
            </w:tcMar>
            <w:vAlign w:val="center"/>
          </w:tcPr>
          <w:p w:rsidR="00BD3B5F" w:rsidRPr="005C3B55" w:rsidRDefault="00BD3B5F">
            <w:pPr>
              <w:jc w:val="center"/>
              <w:rPr>
                <w:sz w:val="16"/>
                <w:szCs w:val="24"/>
              </w:rPr>
            </w:pPr>
            <w:r w:rsidRPr="005C3B55">
              <w:rPr>
                <w:noProof/>
                <w:sz w:val="16"/>
                <w:szCs w:val="24"/>
              </w:rPr>
              <w:t>Unit</w:t>
            </w:r>
          </w:p>
        </w:tc>
        <w:tc>
          <w:tcPr>
            <w:tcW w:w="1218" w:type="dxa"/>
            <w:shd w:val="clear" w:color="auto" w:fill="C0C0C0"/>
            <w:tcMar>
              <w:top w:w="20" w:type="dxa"/>
              <w:bottom w:w="20" w:type="dxa"/>
            </w:tcMar>
            <w:vAlign w:val="center"/>
          </w:tcPr>
          <w:p w:rsidR="00BD3B5F" w:rsidRPr="005C3B55" w:rsidRDefault="00BD3B5F">
            <w:pPr>
              <w:jc w:val="center"/>
              <w:rPr>
                <w:sz w:val="16"/>
                <w:szCs w:val="24"/>
              </w:rPr>
            </w:pPr>
            <w:r w:rsidRPr="005C3B55">
              <w:rPr>
                <w:noProof/>
                <w:sz w:val="16"/>
                <w:szCs w:val="24"/>
              </w:rPr>
              <w:t>Year</w:t>
            </w:r>
          </w:p>
        </w:tc>
      </w:tr>
      <w:tr w:rsidR="00BD3B5F" w:rsidRPr="005C3B55">
        <w:tc>
          <w:tcPr>
            <w:tcW w:w="5673" w:type="dxa"/>
            <w:shd w:val="clear" w:color="auto" w:fill="FFFFFF"/>
            <w:tcMar>
              <w:top w:w="20" w:type="dxa"/>
              <w:bottom w:w="20" w:type="dxa"/>
            </w:tcMar>
            <w:vAlign w:val="center"/>
          </w:tcPr>
          <w:p w:rsidR="00BD3B5F" w:rsidRPr="005C3B55" w:rsidRDefault="00BD3B5F">
            <w:pPr>
              <w:spacing w:before="20" w:after="20"/>
              <w:jc w:val="left"/>
              <w:rPr>
                <w:szCs w:val="24"/>
              </w:rPr>
            </w:pPr>
            <w:r w:rsidRPr="005C3B55">
              <w:rPr>
                <w:sz w:val="16"/>
                <w:szCs w:val="24"/>
              </w:rPr>
              <w:t>Share of agricultural land</w:t>
            </w:r>
          </w:p>
        </w:tc>
        <w:tc>
          <w:tcPr>
            <w:tcW w:w="737"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34.9</w:t>
            </w:r>
          </w:p>
        </w:tc>
        <w:tc>
          <w:tcPr>
            <w:tcW w:w="3028"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 of total area</w:t>
            </w:r>
          </w:p>
        </w:tc>
        <w:tc>
          <w:tcPr>
            <w:tcW w:w="1218"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2006  </w:t>
            </w:r>
          </w:p>
        </w:tc>
      </w:tr>
      <w:tr w:rsidR="00BD3B5F" w:rsidRPr="005C3B55">
        <w:tc>
          <w:tcPr>
            <w:tcW w:w="5673" w:type="dxa"/>
            <w:shd w:val="clear" w:color="auto" w:fill="FFFFFF"/>
            <w:tcMar>
              <w:top w:w="20" w:type="dxa"/>
              <w:bottom w:w="20" w:type="dxa"/>
            </w:tcMar>
            <w:vAlign w:val="center"/>
          </w:tcPr>
          <w:p w:rsidR="00BD3B5F" w:rsidRPr="005C3B55" w:rsidRDefault="00BD3B5F">
            <w:pPr>
              <w:spacing w:before="20" w:after="20"/>
              <w:jc w:val="left"/>
              <w:rPr>
                <w:szCs w:val="24"/>
              </w:rPr>
            </w:pPr>
            <w:r w:rsidRPr="005C3B55">
              <w:rPr>
                <w:sz w:val="16"/>
                <w:szCs w:val="24"/>
              </w:rPr>
              <w:t>Share of natural grasslands</w:t>
            </w:r>
          </w:p>
        </w:tc>
        <w:tc>
          <w:tcPr>
            <w:tcW w:w="737"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1</w:t>
            </w:r>
          </w:p>
        </w:tc>
        <w:tc>
          <w:tcPr>
            <w:tcW w:w="3028"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 of total area</w:t>
            </w:r>
          </w:p>
        </w:tc>
        <w:tc>
          <w:tcPr>
            <w:tcW w:w="1218"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2006  </w:t>
            </w:r>
          </w:p>
        </w:tc>
      </w:tr>
      <w:tr w:rsidR="00BD3B5F" w:rsidRPr="005C3B55">
        <w:tc>
          <w:tcPr>
            <w:tcW w:w="5673" w:type="dxa"/>
            <w:shd w:val="clear" w:color="auto" w:fill="FFFFFF"/>
            <w:tcMar>
              <w:top w:w="20" w:type="dxa"/>
              <w:bottom w:w="20" w:type="dxa"/>
            </w:tcMar>
            <w:vAlign w:val="center"/>
          </w:tcPr>
          <w:p w:rsidR="00BD3B5F" w:rsidRPr="005C3B55" w:rsidRDefault="00BD3B5F">
            <w:pPr>
              <w:spacing w:before="20" w:after="20"/>
              <w:jc w:val="left"/>
              <w:rPr>
                <w:szCs w:val="24"/>
              </w:rPr>
            </w:pPr>
            <w:r w:rsidRPr="005C3B55">
              <w:rPr>
                <w:sz w:val="16"/>
                <w:szCs w:val="24"/>
              </w:rPr>
              <w:t>Share of forest land</w:t>
            </w:r>
          </w:p>
        </w:tc>
        <w:tc>
          <w:tcPr>
            <w:tcW w:w="737"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56.1</w:t>
            </w:r>
          </w:p>
        </w:tc>
        <w:tc>
          <w:tcPr>
            <w:tcW w:w="3028"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 of total area</w:t>
            </w:r>
          </w:p>
        </w:tc>
        <w:tc>
          <w:tcPr>
            <w:tcW w:w="1218"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2006  </w:t>
            </w:r>
          </w:p>
        </w:tc>
      </w:tr>
      <w:tr w:rsidR="00BD3B5F" w:rsidRPr="005C3B55">
        <w:tc>
          <w:tcPr>
            <w:tcW w:w="5673" w:type="dxa"/>
            <w:shd w:val="clear" w:color="auto" w:fill="FFFFFF"/>
            <w:tcMar>
              <w:top w:w="20" w:type="dxa"/>
              <w:bottom w:w="20" w:type="dxa"/>
            </w:tcMar>
            <w:vAlign w:val="center"/>
          </w:tcPr>
          <w:p w:rsidR="00BD3B5F" w:rsidRPr="005C3B55" w:rsidRDefault="00BD3B5F">
            <w:pPr>
              <w:spacing w:before="20" w:after="20"/>
              <w:jc w:val="left"/>
              <w:rPr>
                <w:szCs w:val="24"/>
              </w:rPr>
            </w:pPr>
            <w:r w:rsidRPr="005C3B55">
              <w:rPr>
                <w:sz w:val="16"/>
                <w:szCs w:val="24"/>
              </w:rPr>
              <w:t>Share of forest with shrubs</w:t>
            </w:r>
          </w:p>
        </w:tc>
        <w:tc>
          <w:tcPr>
            <w:tcW w:w="737"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2.2</w:t>
            </w:r>
          </w:p>
        </w:tc>
        <w:tc>
          <w:tcPr>
            <w:tcW w:w="3028"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 of total area</w:t>
            </w:r>
          </w:p>
        </w:tc>
        <w:tc>
          <w:tcPr>
            <w:tcW w:w="1218"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2006  </w:t>
            </w:r>
          </w:p>
        </w:tc>
      </w:tr>
      <w:tr w:rsidR="00BD3B5F" w:rsidRPr="005C3B55">
        <w:tc>
          <w:tcPr>
            <w:tcW w:w="5673" w:type="dxa"/>
            <w:shd w:val="clear" w:color="auto" w:fill="FFFFFF"/>
            <w:tcMar>
              <w:top w:w="20" w:type="dxa"/>
              <w:bottom w:w="20" w:type="dxa"/>
            </w:tcMar>
            <w:vAlign w:val="center"/>
          </w:tcPr>
          <w:p w:rsidR="00BD3B5F" w:rsidRPr="005C3B55" w:rsidRDefault="00BD3B5F">
            <w:pPr>
              <w:spacing w:before="20" w:after="20"/>
              <w:jc w:val="left"/>
              <w:rPr>
                <w:szCs w:val="24"/>
              </w:rPr>
            </w:pPr>
            <w:r w:rsidRPr="005C3B55">
              <w:rPr>
                <w:sz w:val="16"/>
                <w:szCs w:val="24"/>
              </w:rPr>
              <w:t>Share of natural land</w:t>
            </w:r>
          </w:p>
        </w:tc>
        <w:tc>
          <w:tcPr>
            <w:tcW w:w="737"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2.6</w:t>
            </w:r>
          </w:p>
        </w:tc>
        <w:tc>
          <w:tcPr>
            <w:tcW w:w="3028"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 of total area</w:t>
            </w:r>
          </w:p>
        </w:tc>
        <w:tc>
          <w:tcPr>
            <w:tcW w:w="1218"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2006  </w:t>
            </w:r>
          </w:p>
        </w:tc>
      </w:tr>
      <w:tr w:rsidR="00BD3B5F" w:rsidRPr="005C3B55">
        <w:tc>
          <w:tcPr>
            <w:tcW w:w="5673" w:type="dxa"/>
            <w:shd w:val="clear" w:color="auto" w:fill="FFFFFF"/>
            <w:tcMar>
              <w:top w:w="20" w:type="dxa"/>
              <w:bottom w:w="20" w:type="dxa"/>
            </w:tcMar>
            <w:vAlign w:val="center"/>
          </w:tcPr>
          <w:p w:rsidR="00BD3B5F" w:rsidRPr="005C3B55" w:rsidRDefault="00BD3B5F">
            <w:pPr>
              <w:spacing w:before="20" w:after="20"/>
              <w:jc w:val="left"/>
              <w:rPr>
                <w:szCs w:val="24"/>
              </w:rPr>
            </w:pPr>
            <w:r w:rsidRPr="005C3B55">
              <w:rPr>
                <w:sz w:val="16"/>
                <w:szCs w:val="24"/>
              </w:rPr>
              <w:t>Share of built-up land</w:t>
            </w:r>
          </w:p>
        </w:tc>
        <w:tc>
          <w:tcPr>
            <w:tcW w:w="737"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2.7</w:t>
            </w:r>
          </w:p>
        </w:tc>
        <w:tc>
          <w:tcPr>
            <w:tcW w:w="3028"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 of total area</w:t>
            </w:r>
          </w:p>
        </w:tc>
        <w:tc>
          <w:tcPr>
            <w:tcW w:w="1218"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2006  </w:t>
            </w:r>
          </w:p>
        </w:tc>
      </w:tr>
      <w:tr w:rsidR="00BD3B5F" w:rsidRPr="005C3B55">
        <w:tc>
          <w:tcPr>
            <w:tcW w:w="5673" w:type="dxa"/>
            <w:shd w:val="clear" w:color="auto" w:fill="FFFFFF"/>
            <w:tcMar>
              <w:top w:w="20" w:type="dxa"/>
              <w:bottom w:w="20" w:type="dxa"/>
            </w:tcMar>
            <w:vAlign w:val="center"/>
          </w:tcPr>
          <w:p w:rsidR="00BD3B5F" w:rsidRPr="005C3B55" w:rsidRDefault="00BD3B5F">
            <w:pPr>
              <w:spacing w:before="20" w:after="20"/>
              <w:jc w:val="left"/>
              <w:rPr>
                <w:szCs w:val="24"/>
              </w:rPr>
            </w:pPr>
            <w:r w:rsidRPr="005C3B55">
              <w:rPr>
                <w:sz w:val="16"/>
                <w:szCs w:val="24"/>
              </w:rPr>
              <w:t>Share of other land</w:t>
            </w:r>
          </w:p>
        </w:tc>
        <w:tc>
          <w:tcPr>
            <w:tcW w:w="737"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0.4</w:t>
            </w:r>
          </w:p>
        </w:tc>
        <w:tc>
          <w:tcPr>
            <w:tcW w:w="3028"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 of total area</w:t>
            </w:r>
          </w:p>
        </w:tc>
        <w:tc>
          <w:tcPr>
            <w:tcW w:w="1218"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2006  </w:t>
            </w:r>
          </w:p>
        </w:tc>
      </w:tr>
      <w:tr w:rsidR="00BD3B5F" w:rsidRPr="005C3B55">
        <w:tc>
          <w:tcPr>
            <w:tcW w:w="10656" w:type="dxa"/>
            <w:gridSpan w:val="4"/>
            <w:shd w:val="clear" w:color="auto" w:fill="C0C0C0"/>
            <w:tcMar>
              <w:top w:w="20" w:type="dxa"/>
              <w:bottom w:w="20" w:type="dxa"/>
            </w:tcMar>
            <w:vAlign w:val="center"/>
          </w:tcPr>
          <w:p w:rsidR="00BD3B5F" w:rsidRPr="005C3B55" w:rsidRDefault="00BD3B5F">
            <w:pPr>
              <w:spacing w:before="20" w:after="20"/>
              <w:jc w:val="left"/>
              <w:rPr>
                <w:szCs w:val="24"/>
              </w:rPr>
            </w:pPr>
            <w:r w:rsidRPr="005C3B55">
              <w:rPr>
                <w:sz w:val="16"/>
                <w:szCs w:val="24"/>
              </w:rPr>
              <w:t>32 Other areas facing natural constraints</w:t>
            </w:r>
          </w:p>
        </w:tc>
      </w:tr>
      <w:tr w:rsidR="00BD3B5F" w:rsidRPr="005C3B55">
        <w:tc>
          <w:tcPr>
            <w:tcW w:w="5673"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Indicator</w:t>
            </w:r>
          </w:p>
        </w:tc>
        <w:tc>
          <w:tcPr>
            <w:tcW w:w="737"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Value</w:t>
            </w:r>
          </w:p>
        </w:tc>
        <w:tc>
          <w:tcPr>
            <w:tcW w:w="3028"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Unit</w:t>
            </w:r>
          </w:p>
        </w:tc>
        <w:tc>
          <w:tcPr>
            <w:tcW w:w="1218"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Year</w:t>
            </w:r>
          </w:p>
        </w:tc>
      </w:tr>
      <w:tr w:rsidR="00BD3B5F" w:rsidRPr="005C3B55">
        <w:tc>
          <w:tcPr>
            <w:tcW w:w="5673"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Total</w:t>
            </w:r>
          </w:p>
        </w:tc>
        <w:tc>
          <w:tcPr>
            <w:tcW w:w="737"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75.3</w:t>
            </w:r>
          </w:p>
        </w:tc>
        <w:tc>
          <w:tcPr>
            <w:tcW w:w="3028"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 of total UAA</w:t>
            </w:r>
          </w:p>
        </w:tc>
        <w:tc>
          <w:tcPr>
            <w:tcW w:w="1218"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2013  </w:t>
            </w:r>
          </w:p>
        </w:tc>
      </w:tr>
      <w:tr w:rsidR="00BD3B5F" w:rsidRPr="005C3B55">
        <w:tc>
          <w:tcPr>
            <w:tcW w:w="5673"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Mountainous</w:t>
            </w:r>
          </w:p>
        </w:tc>
        <w:tc>
          <w:tcPr>
            <w:tcW w:w="737"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55.7</w:t>
            </w:r>
          </w:p>
        </w:tc>
        <w:tc>
          <w:tcPr>
            <w:tcW w:w="3028"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 of total UAA</w:t>
            </w:r>
          </w:p>
        </w:tc>
        <w:tc>
          <w:tcPr>
            <w:tcW w:w="1218"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2013  </w:t>
            </w:r>
          </w:p>
        </w:tc>
      </w:tr>
      <w:tr w:rsidR="00BD3B5F" w:rsidRPr="005C3B55">
        <w:tc>
          <w:tcPr>
            <w:tcW w:w="5673"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Other</w:t>
            </w:r>
          </w:p>
        </w:tc>
        <w:tc>
          <w:tcPr>
            <w:tcW w:w="737"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3.6</w:t>
            </w:r>
          </w:p>
        </w:tc>
        <w:tc>
          <w:tcPr>
            <w:tcW w:w="3028"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 of total UAA</w:t>
            </w:r>
          </w:p>
        </w:tc>
        <w:tc>
          <w:tcPr>
            <w:tcW w:w="1218"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2013  </w:t>
            </w:r>
          </w:p>
        </w:tc>
      </w:tr>
      <w:tr w:rsidR="00BD3B5F" w:rsidRPr="005C3B55">
        <w:tc>
          <w:tcPr>
            <w:tcW w:w="5673"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Special</w:t>
            </w:r>
          </w:p>
        </w:tc>
        <w:tc>
          <w:tcPr>
            <w:tcW w:w="737"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16</w:t>
            </w:r>
          </w:p>
        </w:tc>
        <w:tc>
          <w:tcPr>
            <w:tcW w:w="3028"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 of total UAA</w:t>
            </w:r>
          </w:p>
        </w:tc>
        <w:tc>
          <w:tcPr>
            <w:tcW w:w="1218"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2013  </w:t>
            </w:r>
          </w:p>
        </w:tc>
      </w:tr>
      <w:tr w:rsidR="00BD3B5F" w:rsidRPr="005C3B55">
        <w:tc>
          <w:tcPr>
            <w:tcW w:w="10656" w:type="dxa"/>
            <w:gridSpan w:val="4"/>
            <w:shd w:val="clear" w:color="auto" w:fill="C0C0C0"/>
            <w:tcMar>
              <w:top w:w="20" w:type="dxa"/>
              <w:bottom w:w="20" w:type="dxa"/>
            </w:tcMar>
            <w:vAlign w:val="center"/>
          </w:tcPr>
          <w:p w:rsidR="00BD3B5F" w:rsidRPr="005C3B55" w:rsidRDefault="00BD3B5F">
            <w:pPr>
              <w:spacing w:before="20" w:after="20"/>
              <w:jc w:val="left"/>
              <w:rPr>
                <w:szCs w:val="24"/>
              </w:rPr>
            </w:pPr>
            <w:r w:rsidRPr="005C3B55">
              <w:rPr>
                <w:sz w:val="16"/>
                <w:szCs w:val="24"/>
              </w:rPr>
              <w:t>33 Intensity of farming</w:t>
            </w:r>
          </w:p>
        </w:tc>
      </w:tr>
      <w:tr w:rsidR="00BD3B5F" w:rsidRPr="005C3B55">
        <w:tc>
          <w:tcPr>
            <w:tcW w:w="5673"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Indicator</w:t>
            </w:r>
          </w:p>
        </w:tc>
        <w:tc>
          <w:tcPr>
            <w:tcW w:w="737"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Value</w:t>
            </w:r>
          </w:p>
        </w:tc>
        <w:tc>
          <w:tcPr>
            <w:tcW w:w="3028"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Unit</w:t>
            </w:r>
          </w:p>
        </w:tc>
        <w:tc>
          <w:tcPr>
            <w:tcW w:w="1218"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Year</w:t>
            </w:r>
          </w:p>
        </w:tc>
      </w:tr>
      <w:tr w:rsidR="00BD3B5F" w:rsidRPr="005C3B55">
        <w:tc>
          <w:tcPr>
            <w:tcW w:w="5673"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Low intensity</w:t>
            </w:r>
          </w:p>
        </w:tc>
        <w:tc>
          <w:tcPr>
            <w:tcW w:w="737"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59.7</w:t>
            </w:r>
          </w:p>
        </w:tc>
        <w:tc>
          <w:tcPr>
            <w:tcW w:w="3028"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 of total UAA</w:t>
            </w:r>
          </w:p>
        </w:tc>
        <w:tc>
          <w:tcPr>
            <w:tcW w:w="1218"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2007  </w:t>
            </w:r>
          </w:p>
        </w:tc>
      </w:tr>
      <w:tr w:rsidR="00BD3B5F" w:rsidRPr="005C3B55">
        <w:tc>
          <w:tcPr>
            <w:tcW w:w="5673"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Medium intensity</w:t>
            </w:r>
          </w:p>
        </w:tc>
        <w:tc>
          <w:tcPr>
            <w:tcW w:w="737"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24.2</w:t>
            </w:r>
          </w:p>
        </w:tc>
        <w:tc>
          <w:tcPr>
            <w:tcW w:w="3028"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 of total UAA</w:t>
            </w:r>
          </w:p>
        </w:tc>
        <w:tc>
          <w:tcPr>
            <w:tcW w:w="1218"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2007  </w:t>
            </w:r>
          </w:p>
        </w:tc>
      </w:tr>
      <w:tr w:rsidR="00BD3B5F" w:rsidRPr="005C3B55">
        <w:tc>
          <w:tcPr>
            <w:tcW w:w="5673"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High intensity</w:t>
            </w:r>
          </w:p>
        </w:tc>
        <w:tc>
          <w:tcPr>
            <w:tcW w:w="737"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16.1</w:t>
            </w:r>
          </w:p>
        </w:tc>
        <w:tc>
          <w:tcPr>
            <w:tcW w:w="3028"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 of total UAA</w:t>
            </w:r>
          </w:p>
        </w:tc>
        <w:tc>
          <w:tcPr>
            <w:tcW w:w="1218"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2007  </w:t>
            </w:r>
          </w:p>
        </w:tc>
      </w:tr>
      <w:tr w:rsidR="00BD3B5F" w:rsidRPr="005C3B55">
        <w:tc>
          <w:tcPr>
            <w:tcW w:w="5673"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Pastures</w:t>
            </w:r>
          </w:p>
        </w:tc>
        <w:tc>
          <w:tcPr>
            <w:tcW w:w="737"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25.1</w:t>
            </w:r>
          </w:p>
        </w:tc>
        <w:tc>
          <w:tcPr>
            <w:tcW w:w="3028"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 of total UAA</w:t>
            </w:r>
          </w:p>
        </w:tc>
        <w:tc>
          <w:tcPr>
            <w:tcW w:w="1218"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2010  </w:t>
            </w:r>
          </w:p>
        </w:tc>
      </w:tr>
      <w:tr w:rsidR="00BD3B5F" w:rsidRPr="005C3B55">
        <w:tc>
          <w:tcPr>
            <w:tcW w:w="10656" w:type="dxa"/>
            <w:gridSpan w:val="4"/>
            <w:shd w:val="clear" w:color="auto" w:fill="C0C0C0"/>
            <w:tcMar>
              <w:top w:w="20" w:type="dxa"/>
              <w:bottom w:w="20" w:type="dxa"/>
            </w:tcMar>
            <w:vAlign w:val="center"/>
          </w:tcPr>
          <w:p w:rsidR="00BD3B5F" w:rsidRPr="005C3B55" w:rsidRDefault="00BD3B5F">
            <w:pPr>
              <w:spacing w:before="20" w:after="20"/>
              <w:jc w:val="left"/>
              <w:rPr>
                <w:szCs w:val="24"/>
              </w:rPr>
            </w:pPr>
            <w:r w:rsidRPr="005C3B55">
              <w:rPr>
                <w:sz w:val="16"/>
                <w:szCs w:val="24"/>
              </w:rPr>
              <w:t>34 Natura 2000 sites</w:t>
            </w:r>
          </w:p>
        </w:tc>
      </w:tr>
      <w:tr w:rsidR="00BD3B5F" w:rsidRPr="005C3B55">
        <w:tc>
          <w:tcPr>
            <w:tcW w:w="5673"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Indicator</w:t>
            </w:r>
          </w:p>
        </w:tc>
        <w:tc>
          <w:tcPr>
            <w:tcW w:w="737"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Value</w:t>
            </w:r>
          </w:p>
        </w:tc>
        <w:tc>
          <w:tcPr>
            <w:tcW w:w="3028"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Unit</w:t>
            </w:r>
          </w:p>
        </w:tc>
        <w:tc>
          <w:tcPr>
            <w:tcW w:w="1218"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Year</w:t>
            </w:r>
          </w:p>
        </w:tc>
      </w:tr>
      <w:tr w:rsidR="00BD3B5F" w:rsidRPr="005C3B55">
        <w:tc>
          <w:tcPr>
            <w:tcW w:w="5673"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Share of land</w:t>
            </w:r>
          </w:p>
        </w:tc>
        <w:tc>
          <w:tcPr>
            <w:tcW w:w="737"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37.9</w:t>
            </w:r>
          </w:p>
        </w:tc>
        <w:tc>
          <w:tcPr>
            <w:tcW w:w="3028"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 of territory</w:t>
            </w:r>
          </w:p>
        </w:tc>
        <w:tc>
          <w:tcPr>
            <w:tcW w:w="1218"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2013  </w:t>
            </w:r>
          </w:p>
        </w:tc>
      </w:tr>
      <w:tr w:rsidR="00BD3B5F" w:rsidRPr="005C3B55">
        <w:tc>
          <w:tcPr>
            <w:tcW w:w="5673"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Share of used agricultural area (including natural grasslands)</w:t>
            </w:r>
          </w:p>
        </w:tc>
        <w:tc>
          <w:tcPr>
            <w:tcW w:w="737"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21.3</w:t>
            </w:r>
          </w:p>
        </w:tc>
        <w:tc>
          <w:tcPr>
            <w:tcW w:w="3028"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 of UAA</w:t>
            </w:r>
          </w:p>
        </w:tc>
        <w:tc>
          <w:tcPr>
            <w:tcW w:w="1218"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2012  </w:t>
            </w:r>
          </w:p>
        </w:tc>
      </w:tr>
      <w:tr w:rsidR="00BD3B5F" w:rsidRPr="005C3B55">
        <w:tc>
          <w:tcPr>
            <w:tcW w:w="5673"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Share of total forest area</w:t>
            </w:r>
          </w:p>
        </w:tc>
        <w:tc>
          <w:tcPr>
            <w:tcW w:w="737"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42.8</w:t>
            </w:r>
          </w:p>
        </w:tc>
        <w:tc>
          <w:tcPr>
            <w:tcW w:w="3028"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 of forest area</w:t>
            </w:r>
          </w:p>
        </w:tc>
        <w:tc>
          <w:tcPr>
            <w:tcW w:w="1218"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2012  </w:t>
            </w:r>
          </w:p>
        </w:tc>
      </w:tr>
      <w:tr w:rsidR="00BD3B5F" w:rsidRPr="005C3B55">
        <w:tc>
          <w:tcPr>
            <w:tcW w:w="10656" w:type="dxa"/>
            <w:gridSpan w:val="4"/>
            <w:shd w:val="clear" w:color="auto" w:fill="C0C0C0"/>
            <w:tcMar>
              <w:top w:w="20" w:type="dxa"/>
              <w:bottom w:w="20" w:type="dxa"/>
            </w:tcMar>
            <w:vAlign w:val="center"/>
          </w:tcPr>
          <w:p w:rsidR="00BD3B5F" w:rsidRPr="005C3B55" w:rsidRDefault="00BD3B5F">
            <w:pPr>
              <w:spacing w:before="20" w:after="20"/>
              <w:jc w:val="left"/>
              <w:rPr>
                <w:szCs w:val="24"/>
              </w:rPr>
            </w:pPr>
            <w:r w:rsidRPr="005C3B55">
              <w:rPr>
                <w:sz w:val="16"/>
                <w:szCs w:val="24"/>
              </w:rPr>
              <w:t>35 Agricultural landscape birds index</w:t>
            </w:r>
          </w:p>
        </w:tc>
      </w:tr>
      <w:tr w:rsidR="00BD3B5F" w:rsidRPr="005C3B55">
        <w:tc>
          <w:tcPr>
            <w:tcW w:w="5673"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Indicator</w:t>
            </w:r>
          </w:p>
        </w:tc>
        <w:tc>
          <w:tcPr>
            <w:tcW w:w="737"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Value</w:t>
            </w:r>
          </w:p>
        </w:tc>
        <w:tc>
          <w:tcPr>
            <w:tcW w:w="3028"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Unit</w:t>
            </w:r>
          </w:p>
        </w:tc>
        <w:tc>
          <w:tcPr>
            <w:tcW w:w="1218"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Year</w:t>
            </w:r>
          </w:p>
        </w:tc>
      </w:tr>
      <w:tr w:rsidR="00BD3B5F" w:rsidRPr="005C3B55">
        <w:tc>
          <w:tcPr>
            <w:tcW w:w="5673"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Total (index)</w:t>
            </w:r>
          </w:p>
        </w:tc>
        <w:tc>
          <w:tcPr>
            <w:tcW w:w="737"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78.4</w:t>
            </w:r>
          </w:p>
        </w:tc>
        <w:tc>
          <w:tcPr>
            <w:tcW w:w="3028"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Index 2000 = 100</w:t>
            </w:r>
          </w:p>
        </w:tc>
        <w:tc>
          <w:tcPr>
            <w:tcW w:w="1218"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2013  </w:t>
            </w:r>
          </w:p>
        </w:tc>
      </w:tr>
      <w:tr w:rsidR="00BD3B5F" w:rsidRPr="005C3B55">
        <w:tc>
          <w:tcPr>
            <w:tcW w:w="10656" w:type="dxa"/>
            <w:gridSpan w:val="4"/>
            <w:shd w:val="clear" w:color="auto" w:fill="FFFFFF"/>
            <w:tcMar>
              <w:top w:w="20" w:type="dxa"/>
              <w:bottom w:w="20" w:type="dxa"/>
            </w:tcMar>
            <w:vAlign w:val="center"/>
          </w:tcPr>
          <w:p w:rsidR="00BD3B5F" w:rsidRPr="005C3B55" w:rsidRDefault="00BD3B5F">
            <w:pPr>
              <w:rPr>
                <w:sz w:val="16"/>
                <w:szCs w:val="24"/>
              </w:rPr>
            </w:pPr>
            <w:r w:rsidRPr="005C3B55">
              <w:rPr>
                <w:noProof/>
                <w:sz w:val="16"/>
                <w:szCs w:val="24"/>
              </w:rPr>
              <w:t>Comment:</w:t>
            </w:r>
            <w:r w:rsidRPr="005C3B55">
              <w:rPr>
                <w:sz w:val="16"/>
                <w:szCs w:val="24"/>
              </w:rPr>
              <w:t xml:space="preserve"> </w:t>
            </w:r>
            <w:r w:rsidRPr="005C3B55">
              <w:rPr>
                <w:i/>
                <w:noProof/>
                <w:sz w:val="16"/>
                <w:szCs w:val="24"/>
              </w:rPr>
              <w:t>Index 2008 = 100</w:t>
            </w:r>
          </w:p>
        </w:tc>
      </w:tr>
      <w:tr w:rsidR="00BD3B5F" w:rsidRPr="005C3B55">
        <w:tc>
          <w:tcPr>
            <w:tcW w:w="10656" w:type="dxa"/>
            <w:gridSpan w:val="4"/>
            <w:shd w:val="clear" w:color="auto" w:fill="C0C0C0"/>
            <w:tcMar>
              <w:top w:w="20" w:type="dxa"/>
              <w:bottom w:w="20" w:type="dxa"/>
            </w:tcMar>
            <w:vAlign w:val="center"/>
          </w:tcPr>
          <w:p w:rsidR="00BD3B5F" w:rsidRPr="005C3B55" w:rsidRDefault="00BD3B5F">
            <w:pPr>
              <w:jc w:val="left"/>
              <w:rPr>
                <w:szCs w:val="24"/>
              </w:rPr>
            </w:pPr>
            <w:r w:rsidRPr="005C3B55">
              <w:rPr>
                <w:sz w:val="16"/>
                <w:szCs w:val="24"/>
              </w:rPr>
              <w:t>36 Status of preservation of agricultural habitats (grasslands)</w:t>
            </w:r>
          </w:p>
        </w:tc>
      </w:tr>
      <w:tr w:rsidR="00BD3B5F" w:rsidRPr="005C3B55">
        <w:tc>
          <w:tcPr>
            <w:tcW w:w="5673" w:type="dxa"/>
            <w:shd w:val="clear" w:color="auto" w:fill="C0C0C0"/>
            <w:tcMar>
              <w:top w:w="20" w:type="dxa"/>
              <w:bottom w:w="20" w:type="dxa"/>
            </w:tcMar>
            <w:vAlign w:val="center"/>
          </w:tcPr>
          <w:p w:rsidR="00BD3B5F" w:rsidRPr="005C3B55" w:rsidRDefault="00BD3B5F">
            <w:pPr>
              <w:jc w:val="center"/>
              <w:rPr>
                <w:sz w:val="16"/>
                <w:szCs w:val="24"/>
              </w:rPr>
            </w:pPr>
            <w:r w:rsidRPr="005C3B55">
              <w:rPr>
                <w:noProof/>
                <w:sz w:val="16"/>
                <w:szCs w:val="24"/>
              </w:rPr>
              <w:t>Indicator</w:t>
            </w:r>
          </w:p>
        </w:tc>
        <w:tc>
          <w:tcPr>
            <w:tcW w:w="737" w:type="dxa"/>
            <w:shd w:val="clear" w:color="auto" w:fill="C0C0C0"/>
            <w:tcMar>
              <w:top w:w="20" w:type="dxa"/>
              <w:bottom w:w="20" w:type="dxa"/>
            </w:tcMar>
            <w:vAlign w:val="center"/>
          </w:tcPr>
          <w:p w:rsidR="00BD3B5F" w:rsidRPr="005C3B55" w:rsidRDefault="00BD3B5F">
            <w:pPr>
              <w:jc w:val="center"/>
              <w:rPr>
                <w:sz w:val="16"/>
                <w:szCs w:val="24"/>
              </w:rPr>
            </w:pPr>
            <w:r w:rsidRPr="005C3B55">
              <w:rPr>
                <w:noProof/>
                <w:sz w:val="16"/>
                <w:szCs w:val="24"/>
              </w:rPr>
              <w:t>Value</w:t>
            </w:r>
          </w:p>
        </w:tc>
        <w:tc>
          <w:tcPr>
            <w:tcW w:w="3028" w:type="dxa"/>
            <w:shd w:val="clear" w:color="auto" w:fill="C0C0C0"/>
            <w:tcMar>
              <w:top w:w="20" w:type="dxa"/>
              <w:bottom w:w="20" w:type="dxa"/>
            </w:tcMar>
            <w:vAlign w:val="center"/>
          </w:tcPr>
          <w:p w:rsidR="00BD3B5F" w:rsidRPr="005C3B55" w:rsidRDefault="00BD3B5F">
            <w:pPr>
              <w:jc w:val="center"/>
              <w:rPr>
                <w:sz w:val="16"/>
                <w:szCs w:val="24"/>
              </w:rPr>
            </w:pPr>
            <w:r w:rsidRPr="005C3B55">
              <w:rPr>
                <w:noProof/>
                <w:sz w:val="16"/>
                <w:szCs w:val="24"/>
              </w:rPr>
              <w:t>Unit</w:t>
            </w:r>
          </w:p>
        </w:tc>
        <w:tc>
          <w:tcPr>
            <w:tcW w:w="1218" w:type="dxa"/>
            <w:shd w:val="clear" w:color="auto" w:fill="C0C0C0"/>
            <w:tcMar>
              <w:top w:w="20" w:type="dxa"/>
              <w:bottom w:w="20" w:type="dxa"/>
            </w:tcMar>
            <w:vAlign w:val="center"/>
          </w:tcPr>
          <w:p w:rsidR="00BD3B5F" w:rsidRPr="005C3B55" w:rsidRDefault="00BD3B5F">
            <w:pPr>
              <w:jc w:val="center"/>
              <w:rPr>
                <w:sz w:val="16"/>
                <w:szCs w:val="24"/>
              </w:rPr>
            </w:pPr>
            <w:r w:rsidRPr="005C3B55">
              <w:rPr>
                <w:noProof/>
                <w:sz w:val="16"/>
                <w:szCs w:val="24"/>
              </w:rPr>
              <w:t>Year</w:t>
            </w:r>
          </w:p>
        </w:tc>
      </w:tr>
      <w:tr w:rsidR="00BD3B5F" w:rsidRPr="005C3B55">
        <w:tc>
          <w:tcPr>
            <w:tcW w:w="5673"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Favourable</w:t>
            </w:r>
            <w:r w:rsidRPr="005C3B55">
              <w:rPr>
                <w:sz w:val="16"/>
                <w:szCs w:val="24"/>
              </w:rPr>
              <w:t xml:space="preserve"> </w:t>
            </w:r>
          </w:p>
        </w:tc>
        <w:tc>
          <w:tcPr>
            <w:tcW w:w="737"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27.8</w:t>
            </w:r>
          </w:p>
        </w:tc>
        <w:tc>
          <w:tcPr>
            <w:tcW w:w="3028"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 of assessments of habitats</w:t>
            </w:r>
          </w:p>
        </w:tc>
        <w:tc>
          <w:tcPr>
            <w:tcW w:w="1218"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2012  </w:t>
            </w:r>
          </w:p>
        </w:tc>
      </w:tr>
      <w:tr w:rsidR="00BD3B5F" w:rsidRPr="005C3B55">
        <w:tc>
          <w:tcPr>
            <w:tcW w:w="10656" w:type="dxa"/>
            <w:gridSpan w:val="4"/>
            <w:shd w:val="clear" w:color="auto" w:fill="FFFFFF"/>
            <w:tcMar>
              <w:top w:w="20" w:type="dxa"/>
              <w:bottom w:w="20" w:type="dxa"/>
            </w:tcMar>
            <w:vAlign w:val="center"/>
          </w:tcPr>
          <w:p w:rsidR="00BD3B5F" w:rsidRPr="005C3B55" w:rsidRDefault="00BD3B5F">
            <w:pPr>
              <w:rPr>
                <w:sz w:val="16"/>
                <w:szCs w:val="24"/>
              </w:rPr>
            </w:pPr>
            <w:r w:rsidRPr="005C3B55">
              <w:rPr>
                <w:noProof/>
                <w:sz w:val="16"/>
                <w:szCs w:val="24"/>
              </w:rPr>
              <w:t>Comment:</w:t>
            </w:r>
            <w:r w:rsidRPr="005C3B55">
              <w:rPr>
                <w:sz w:val="16"/>
                <w:szCs w:val="24"/>
              </w:rPr>
              <w:t xml:space="preserve"> </w:t>
            </w:r>
            <w:r w:rsidRPr="005C3B55">
              <w:rPr>
                <w:i/>
                <w:sz w:val="16"/>
                <w:szCs w:val="24"/>
              </w:rPr>
              <w:t>2007-1012</w:t>
            </w:r>
          </w:p>
        </w:tc>
      </w:tr>
      <w:tr w:rsidR="00BD3B5F" w:rsidRPr="005C3B55">
        <w:tc>
          <w:tcPr>
            <w:tcW w:w="5673" w:type="dxa"/>
            <w:shd w:val="clear" w:color="auto" w:fill="FFFFFF"/>
            <w:tcMar>
              <w:top w:w="20" w:type="dxa"/>
              <w:bottom w:w="20" w:type="dxa"/>
            </w:tcMar>
            <w:vAlign w:val="center"/>
          </w:tcPr>
          <w:p w:rsidR="00BD3B5F" w:rsidRPr="005C3B55" w:rsidRDefault="00BD3B5F">
            <w:pPr>
              <w:spacing w:before="20" w:after="20"/>
              <w:jc w:val="left"/>
              <w:rPr>
                <w:szCs w:val="24"/>
              </w:rPr>
            </w:pPr>
            <w:r w:rsidRPr="005C3B55">
              <w:rPr>
                <w:sz w:val="16"/>
                <w:szCs w:val="24"/>
              </w:rPr>
              <w:t>Unfavourable – insufficient</w:t>
            </w:r>
          </w:p>
        </w:tc>
        <w:tc>
          <w:tcPr>
            <w:tcW w:w="737"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22.2</w:t>
            </w:r>
          </w:p>
        </w:tc>
        <w:tc>
          <w:tcPr>
            <w:tcW w:w="3028"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 of assessments of habitats</w:t>
            </w:r>
          </w:p>
        </w:tc>
        <w:tc>
          <w:tcPr>
            <w:tcW w:w="1218"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2012  </w:t>
            </w:r>
          </w:p>
        </w:tc>
      </w:tr>
      <w:tr w:rsidR="00BD3B5F" w:rsidRPr="005C3B55">
        <w:tc>
          <w:tcPr>
            <w:tcW w:w="10656" w:type="dxa"/>
            <w:gridSpan w:val="4"/>
            <w:shd w:val="clear" w:color="auto" w:fill="FFFFFF"/>
            <w:tcMar>
              <w:top w:w="20" w:type="dxa"/>
              <w:bottom w:w="20" w:type="dxa"/>
            </w:tcMar>
            <w:vAlign w:val="center"/>
          </w:tcPr>
          <w:p w:rsidR="00BD3B5F" w:rsidRPr="005C3B55" w:rsidRDefault="00BD3B5F">
            <w:pPr>
              <w:rPr>
                <w:sz w:val="16"/>
                <w:szCs w:val="24"/>
              </w:rPr>
            </w:pPr>
            <w:r w:rsidRPr="005C3B55">
              <w:rPr>
                <w:noProof/>
                <w:sz w:val="16"/>
                <w:szCs w:val="24"/>
              </w:rPr>
              <w:t>Comment:</w:t>
            </w:r>
            <w:r w:rsidRPr="005C3B55">
              <w:rPr>
                <w:sz w:val="16"/>
                <w:szCs w:val="24"/>
              </w:rPr>
              <w:t xml:space="preserve"> </w:t>
            </w:r>
            <w:r w:rsidRPr="005C3B55">
              <w:rPr>
                <w:i/>
                <w:sz w:val="16"/>
                <w:szCs w:val="24"/>
              </w:rPr>
              <w:t>2007-2012</w:t>
            </w:r>
          </w:p>
        </w:tc>
      </w:tr>
      <w:tr w:rsidR="00BD3B5F" w:rsidRPr="005C3B55">
        <w:tc>
          <w:tcPr>
            <w:tcW w:w="5673" w:type="dxa"/>
            <w:shd w:val="clear" w:color="auto" w:fill="FFFFFF"/>
            <w:tcMar>
              <w:top w:w="20" w:type="dxa"/>
              <w:bottom w:w="20" w:type="dxa"/>
            </w:tcMar>
            <w:vAlign w:val="center"/>
          </w:tcPr>
          <w:p w:rsidR="00BD3B5F" w:rsidRPr="005C3B55" w:rsidRDefault="00BD3B5F">
            <w:pPr>
              <w:spacing w:before="20" w:after="20"/>
              <w:jc w:val="left"/>
              <w:rPr>
                <w:szCs w:val="24"/>
              </w:rPr>
            </w:pPr>
            <w:r w:rsidRPr="005C3B55">
              <w:rPr>
                <w:sz w:val="16"/>
                <w:szCs w:val="24"/>
              </w:rPr>
              <w:t>Unfavourable – poor</w:t>
            </w:r>
          </w:p>
        </w:tc>
        <w:tc>
          <w:tcPr>
            <w:tcW w:w="737"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50</w:t>
            </w:r>
          </w:p>
        </w:tc>
        <w:tc>
          <w:tcPr>
            <w:tcW w:w="3028"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 of assessments of habitats</w:t>
            </w:r>
          </w:p>
        </w:tc>
        <w:tc>
          <w:tcPr>
            <w:tcW w:w="1218"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2012  </w:t>
            </w:r>
          </w:p>
        </w:tc>
      </w:tr>
      <w:tr w:rsidR="00BD3B5F" w:rsidRPr="005C3B55">
        <w:tc>
          <w:tcPr>
            <w:tcW w:w="10656" w:type="dxa"/>
            <w:gridSpan w:val="4"/>
            <w:shd w:val="clear" w:color="auto" w:fill="FFFFFF"/>
            <w:tcMar>
              <w:top w:w="20" w:type="dxa"/>
              <w:bottom w:w="20" w:type="dxa"/>
            </w:tcMar>
            <w:vAlign w:val="center"/>
          </w:tcPr>
          <w:p w:rsidR="00BD3B5F" w:rsidRPr="005C3B55" w:rsidRDefault="00BD3B5F">
            <w:pPr>
              <w:rPr>
                <w:sz w:val="16"/>
                <w:szCs w:val="24"/>
              </w:rPr>
            </w:pPr>
            <w:r w:rsidRPr="005C3B55">
              <w:rPr>
                <w:noProof/>
                <w:sz w:val="16"/>
                <w:szCs w:val="24"/>
              </w:rPr>
              <w:t>Comment:</w:t>
            </w:r>
            <w:r w:rsidRPr="005C3B55">
              <w:rPr>
                <w:sz w:val="16"/>
                <w:szCs w:val="24"/>
              </w:rPr>
              <w:t xml:space="preserve"> </w:t>
            </w:r>
            <w:r w:rsidRPr="005C3B55">
              <w:rPr>
                <w:i/>
                <w:sz w:val="16"/>
                <w:szCs w:val="24"/>
              </w:rPr>
              <w:t>2007-2012</w:t>
            </w:r>
          </w:p>
        </w:tc>
      </w:tr>
      <w:tr w:rsidR="00BD3B5F" w:rsidRPr="005C3B55">
        <w:tc>
          <w:tcPr>
            <w:tcW w:w="5673"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Not known</w:t>
            </w:r>
          </w:p>
        </w:tc>
        <w:tc>
          <w:tcPr>
            <w:tcW w:w="737"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0</w:t>
            </w:r>
          </w:p>
        </w:tc>
        <w:tc>
          <w:tcPr>
            <w:tcW w:w="3028"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 of assessments of habitats</w:t>
            </w:r>
          </w:p>
        </w:tc>
        <w:tc>
          <w:tcPr>
            <w:tcW w:w="1218"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2012  </w:t>
            </w:r>
          </w:p>
        </w:tc>
      </w:tr>
      <w:tr w:rsidR="00BD3B5F" w:rsidRPr="005C3B55">
        <w:tc>
          <w:tcPr>
            <w:tcW w:w="10656" w:type="dxa"/>
            <w:gridSpan w:val="4"/>
            <w:shd w:val="clear" w:color="auto" w:fill="FFFFFF"/>
            <w:tcMar>
              <w:top w:w="20" w:type="dxa"/>
              <w:bottom w:w="20" w:type="dxa"/>
            </w:tcMar>
            <w:vAlign w:val="center"/>
          </w:tcPr>
          <w:p w:rsidR="00BD3B5F" w:rsidRPr="005C3B55" w:rsidRDefault="00BD3B5F">
            <w:pPr>
              <w:rPr>
                <w:sz w:val="16"/>
                <w:szCs w:val="24"/>
              </w:rPr>
            </w:pPr>
            <w:r w:rsidRPr="005C3B55">
              <w:rPr>
                <w:noProof/>
                <w:sz w:val="16"/>
                <w:szCs w:val="24"/>
              </w:rPr>
              <w:t>Comment:</w:t>
            </w:r>
            <w:r w:rsidRPr="005C3B55">
              <w:rPr>
                <w:sz w:val="16"/>
                <w:szCs w:val="24"/>
              </w:rPr>
              <w:t xml:space="preserve"> </w:t>
            </w:r>
            <w:r w:rsidRPr="005C3B55">
              <w:rPr>
                <w:i/>
                <w:sz w:val="16"/>
                <w:szCs w:val="24"/>
              </w:rPr>
              <w:t>2007-2012</w:t>
            </w:r>
          </w:p>
        </w:tc>
      </w:tr>
      <w:tr w:rsidR="00BD3B5F" w:rsidRPr="005C3B55">
        <w:tc>
          <w:tcPr>
            <w:tcW w:w="10656" w:type="dxa"/>
            <w:gridSpan w:val="4"/>
            <w:shd w:val="clear" w:color="auto" w:fill="C0C0C0"/>
            <w:tcMar>
              <w:top w:w="20" w:type="dxa"/>
              <w:bottom w:w="20" w:type="dxa"/>
            </w:tcMar>
            <w:vAlign w:val="center"/>
          </w:tcPr>
          <w:p w:rsidR="00BD3B5F" w:rsidRPr="005C3B55" w:rsidRDefault="00BD3B5F">
            <w:pPr>
              <w:jc w:val="left"/>
              <w:rPr>
                <w:szCs w:val="24"/>
              </w:rPr>
            </w:pPr>
            <w:r w:rsidRPr="005C3B55">
              <w:rPr>
                <w:sz w:val="16"/>
                <w:szCs w:val="24"/>
              </w:rPr>
              <w:t>37 Farming with high natural value</w:t>
            </w:r>
          </w:p>
        </w:tc>
      </w:tr>
      <w:tr w:rsidR="00BD3B5F" w:rsidRPr="005C3B55">
        <w:tc>
          <w:tcPr>
            <w:tcW w:w="5673" w:type="dxa"/>
            <w:shd w:val="clear" w:color="auto" w:fill="C0C0C0"/>
            <w:tcMar>
              <w:top w:w="20" w:type="dxa"/>
              <w:bottom w:w="20" w:type="dxa"/>
            </w:tcMar>
            <w:vAlign w:val="center"/>
          </w:tcPr>
          <w:p w:rsidR="00BD3B5F" w:rsidRPr="005C3B55" w:rsidRDefault="00BD3B5F">
            <w:pPr>
              <w:jc w:val="center"/>
              <w:rPr>
                <w:sz w:val="16"/>
                <w:szCs w:val="24"/>
              </w:rPr>
            </w:pPr>
            <w:r w:rsidRPr="005C3B55">
              <w:rPr>
                <w:noProof/>
                <w:sz w:val="16"/>
                <w:szCs w:val="24"/>
              </w:rPr>
              <w:t>Indicator</w:t>
            </w:r>
          </w:p>
        </w:tc>
        <w:tc>
          <w:tcPr>
            <w:tcW w:w="737" w:type="dxa"/>
            <w:shd w:val="clear" w:color="auto" w:fill="C0C0C0"/>
            <w:tcMar>
              <w:top w:w="20" w:type="dxa"/>
              <w:bottom w:w="20" w:type="dxa"/>
            </w:tcMar>
            <w:vAlign w:val="center"/>
          </w:tcPr>
          <w:p w:rsidR="00BD3B5F" w:rsidRPr="005C3B55" w:rsidRDefault="00BD3B5F">
            <w:pPr>
              <w:jc w:val="center"/>
              <w:rPr>
                <w:sz w:val="16"/>
                <w:szCs w:val="24"/>
              </w:rPr>
            </w:pPr>
            <w:r w:rsidRPr="005C3B55">
              <w:rPr>
                <w:noProof/>
                <w:sz w:val="16"/>
                <w:szCs w:val="24"/>
              </w:rPr>
              <w:t>Value</w:t>
            </w:r>
          </w:p>
        </w:tc>
        <w:tc>
          <w:tcPr>
            <w:tcW w:w="3028" w:type="dxa"/>
            <w:shd w:val="clear" w:color="auto" w:fill="C0C0C0"/>
            <w:tcMar>
              <w:top w:w="20" w:type="dxa"/>
              <w:bottom w:w="20" w:type="dxa"/>
            </w:tcMar>
            <w:vAlign w:val="center"/>
          </w:tcPr>
          <w:p w:rsidR="00BD3B5F" w:rsidRPr="005C3B55" w:rsidRDefault="00BD3B5F">
            <w:pPr>
              <w:jc w:val="center"/>
              <w:rPr>
                <w:sz w:val="16"/>
                <w:szCs w:val="24"/>
              </w:rPr>
            </w:pPr>
            <w:r w:rsidRPr="005C3B55">
              <w:rPr>
                <w:noProof/>
                <w:sz w:val="16"/>
                <w:szCs w:val="24"/>
              </w:rPr>
              <w:t>Unit</w:t>
            </w:r>
          </w:p>
        </w:tc>
        <w:tc>
          <w:tcPr>
            <w:tcW w:w="1218" w:type="dxa"/>
            <w:shd w:val="clear" w:color="auto" w:fill="C0C0C0"/>
            <w:tcMar>
              <w:top w:w="20" w:type="dxa"/>
              <w:bottom w:w="20" w:type="dxa"/>
            </w:tcMar>
            <w:vAlign w:val="center"/>
          </w:tcPr>
          <w:p w:rsidR="00BD3B5F" w:rsidRPr="005C3B55" w:rsidRDefault="00BD3B5F">
            <w:pPr>
              <w:jc w:val="center"/>
              <w:rPr>
                <w:sz w:val="16"/>
                <w:szCs w:val="24"/>
              </w:rPr>
            </w:pPr>
            <w:r w:rsidRPr="005C3B55">
              <w:rPr>
                <w:noProof/>
                <w:sz w:val="16"/>
                <w:szCs w:val="24"/>
              </w:rPr>
              <w:t>Year</w:t>
            </w:r>
          </w:p>
        </w:tc>
      </w:tr>
      <w:tr w:rsidR="00BD3B5F" w:rsidRPr="005C3B55">
        <w:tc>
          <w:tcPr>
            <w:tcW w:w="5673"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Total</w:t>
            </w:r>
          </w:p>
        </w:tc>
        <w:tc>
          <w:tcPr>
            <w:tcW w:w="737"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75.6</w:t>
            </w:r>
          </w:p>
        </w:tc>
        <w:tc>
          <w:tcPr>
            <w:tcW w:w="3028"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 of total UAA</w:t>
            </w:r>
          </w:p>
        </w:tc>
        <w:tc>
          <w:tcPr>
            <w:tcW w:w="1218"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2012 e</w:t>
            </w:r>
          </w:p>
        </w:tc>
      </w:tr>
      <w:tr w:rsidR="00BD3B5F" w:rsidRPr="005C3B55">
        <w:tc>
          <w:tcPr>
            <w:tcW w:w="10656" w:type="dxa"/>
            <w:gridSpan w:val="4"/>
            <w:shd w:val="clear" w:color="auto" w:fill="C0C0C0"/>
            <w:tcMar>
              <w:top w:w="20" w:type="dxa"/>
              <w:bottom w:w="20" w:type="dxa"/>
            </w:tcMar>
            <w:vAlign w:val="center"/>
          </w:tcPr>
          <w:p w:rsidR="00BD3B5F" w:rsidRPr="005C3B55" w:rsidRDefault="00BD3B5F">
            <w:pPr>
              <w:spacing w:before="20" w:after="20"/>
              <w:jc w:val="left"/>
              <w:rPr>
                <w:szCs w:val="24"/>
              </w:rPr>
            </w:pPr>
            <w:r w:rsidRPr="005C3B55">
              <w:rPr>
                <w:sz w:val="16"/>
                <w:szCs w:val="24"/>
              </w:rPr>
              <w:t>38 Protected forest</w:t>
            </w:r>
          </w:p>
        </w:tc>
      </w:tr>
      <w:tr w:rsidR="00BD3B5F" w:rsidRPr="005C3B55">
        <w:tc>
          <w:tcPr>
            <w:tcW w:w="5673"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Indicator</w:t>
            </w:r>
          </w:p>
        </w:tc>
        <w:tc>
          <w:tcPr>
            <w:tcW w:w="737"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Value</w:t>
            </w:r>
          </w:p>
        </w:tc>
        <w:tc>
          <w:tcPr>
            <w:tcW w:w="3028"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Unit</w:t>
            </w:r>
          </w:p>
        </w:tc>
        <w:tc>
          <w:tcPr>
            <w:tcW w:w="1218"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Year</w:t>
            </w:r>
          </w:p>
        </w:tc>
      </w:tr>
      <w:tr w:rsidR="00BD3B5F" w:rsidRPr="005C3B55">
        <w:tc>
          <w:tcPr>
            <w:tcW w:w="5673"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Category 1.1</w:t>
            </w:r>
          </w:p>
        </w:tc>
        <w:tc>
          <w:tcPr>
            <w:tcW w:w="737"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0.8</w:t>
            </w:r>
          </w:p>
        </w:tc>
        <w:tc>
          <w:tcPr>
            <w:tcW w:w="3028"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 of FOWL area</w:t>
            </w:r>
          </w:p>
        </w:tc>
        <w:tc>
          <w:tcPr>
            <w:tcW w:w="1218"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2010  </w:t>
            </w:r>
          </w:p>
        </w:tc>
      </w:tr>
      <w:tr w:rsidR="00BD3B5F" w:rsidRPr="005C3B55">
        <w:tc>
          <w:tcPr>
            <w:tcW w:w="5673"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Category 1.2</w:t>
            </w:r>
          </w:p>
        </w:tc>
        <w:tc>
          <w:tcPr>
            <w:tcW w:w="737"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7.8</w:t>
            </w:r>
          </w:p>
        </w:tc>
        <w:tc>
          <w:tcPr>
            <w:tcW w:w="3028"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 of FOWL area</w:t>
            </w:r>
          </w:p>
        </w:tc>
        <w:tc>
          <w:tcPr>
            <w:tcW w:w="1218"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2010  </w:t>
            </w:r>
          </w:p>
        </w:tc>
      </w:tr>
      <w:tr w:rsidR="00BD3B5F" w:rsidRPr="005C3B55">
        <w:tc>
          <w:tcPr>
            <w:tcW w:w="5673"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Category 1.3</w:t>
            </w:r>
          </w:p>
        </w:tc>
        <w:tc>
          <w:tcPr>
            <w:tcW w:w="737"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5.3</w:t>
            </w:r>
          </w:p>
        </w:tc>
        <w:tc>
          <w:tcPr>
            <w:tcW w:w="3028"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 of FOWL area</w:t>
            </w:r>
          </w:p>
        </w:tc>
        <w:tc>
          <w:tcPr>
            <w:tcW w:w="1218"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2010  </w:t>
            </w:r>
          </w:p>
        </w:tc>
      </w:tr>
      <w:tr w:rsidR="00BD3B5F" w:rsidRPr="005C3B55">
        <w:tc>
          <w:tcPr>
            <w:tcW w:w="5673"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Category 2</w:t>
            </w:r>
          </w:p>
        </w:tc>
        <w:tc>
          <w:tcPr>
            <w:tcW w:w="737"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6.4</w:t>
            </w:r>
          </w:p>
        </w:tc>
        <w:tc>
          <w:tcPr>
            <w:tcW w:w="3028"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 of FOWL area</w:t>
            </w:r>
          </w:p>
        </w:tc>
        <w:tc>
          <w:tcPr>
            <w:tcW w:w="1218"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2010  </w:t>
            </w:r>
          </w:p>
        </w:tc>
      </w:tr>
      <w:tr w:rsidR="00BD3B5F" w:rsidRPr="005C3B55">
        <w:tc>
          <w:tcPr>
            <w:tcW w:w="10656" w:type="dxa"/>
            <w:gridSpan w:val="4"/>
            <w:shd w:val="clear" w:color="auto" w:fill="C0C0C0"/>
            <w:tcMar>
              <w:top w:w="20" w:type="dxa"/>
              <w:bottom w:w="20" w:type="dxa"/>
            </w:tcMar>
            <w:vAlign w:val="center"/>
          </w:tcPr>
          <w:p w:rsidR="00BD3B5F" w:rsidRPr="005C3B55" w:rsidRDefault="00BD3B5F">
            <w:pPr>
              <w:spacing w:before="20" w:after="20"/>
              <w:jc w:val="left"/>
              <w:rPr>
                <w:szCs w:val="24"/>
              </w:rPr>
            </w:pPr>
            <w:r w:rsidRPr="005C3B55">
              <w:rPr>
                <w:sz w:val="16"/>
                <w:szCs w:val="24"/>
              </w:rPr>
              <w:t>39 Abstraction of water in agriculture</w:t>
            </w:r>
          </w:p>
        </w:tc>
      </w:tr>
      <w:tr w:rsidR="00BD3B5F" w:rsidRPr="005C3B55">
        <w:tc>
          <w:tcPr>
            <w:tcW w:w="5673"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Indicator</w:t>
            </w:r>
          </w:p>
        </w:tc>
        <w:tc>
          <w:tcPr>
            <w:tcW w:w="737"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Value</w:t>
            </w:r>
          </w:p>
        </w:tc>
        <w:tc>
          <w:tcPr>
            <w:tcW w:w="3028"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Unit</w:t>
            </w:r>
          </w:p>
        </w:tc>
        <w:tc>
          <w:tcPr>
            <w:tcW w:w="1218"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Year</w:t>
            </w:r>
          </w:p>
        </w:tc>
      </w:tr>
      <w:tr w:rsidR="00BD3B5F" w:rsidRPr="005C3B55">
        <w:tc>
          <w:tcPr>
            <w:tcW w:w="5673"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Total</w:t>
            </w:r>
          </w:p>
        </w:tc>
        <w:tc>
          <w:tcPr>
            <w:tcW w:w="737"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3,604</w:t>
            </w:r>
          </w:p>
        </w:tc>
        <w:tc>
          <w:tcPr>
            <w:tcW w:w="3028"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1000 m3</w:t>
            </w:r>
          </w:p>
        </w:tc>
        <w:tc>
          <w:tcPr>
            <w:tcW w:w="1218"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2013  </w:t>
            </w:r>
          </w:p>
        </w:tc>
      </w:tr>
      <w:tr w:rsidR="00BD3B5F" w:rsidRPr="005C3B55">
        <w:tc>
          <w:tcPr>
            <w:tcW w:w="10656" w:type="dxa"/>
            <w:gridSpan w:val="4"/>
            <w:shd w:val="clear" w:color="auto" w:fill="C0C0C0"/>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40 Water quality</w:t>
            </w:r>
          </w:p>
        </w:tc>
      </w:tr>
      <w:tr w:rsidR="00BD3B5F" w:rsidRPr="005C3B55">
        <w:tc>
          <w:tcPr>
            <w:tcW w:w="5673"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Indicator</w:t>
            </w:r>
          </w:p>
        </w:tc>
        <w:tc>
          <w:tcPr>
            <w:tcW w:w="737"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Value</w:t>
            </w:r>
          </w:p>
        </w:tc>
        <w:tc>
          <w:tcPr>
            <w:tcW w:w="3028"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Unit</w:t>
            </w:r>
          </w:p>
        </w:tc>
        <w:tc>
          <w:tcPr>
            <w:tcW w:w="1218"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Year</w:t>
            </w:r>
          </w:p>
        </w:tc>
      </w:tr>
      <w:tr w:rsidR="00BD3B5F" w:rsidRPr="005C3B55">
        <w:tc>
          <w:tcPr>
            <w:tcW w:w="5673" w:type="dxa"/>
            <w:shd w:val="clear" w:color="auto" w:fill="FFFFFF"/>
            <w:tcMar>
              <w:top w:w="20" w:type="dxa"/>
              <w:bottom w:w="20" w:type="dxa"/>
            </w:tcMar>
            <w:vAlign w:val="center"/>
          </w:tcPr>
          <w:p w:rsidR="00BD3B5F" w:rsidRPr="005C3B55" w:rsidRDefault="00BD3B5F">
            <w:pPr>
              <w:spacing w:before="20" w:after="20"/>
              <w:jc w:val="left"/>
              <w:rPr>
                <w:szCs w:val="24"/>
              </w:rPr>
            </w:pPr>
            <w:r w:rsidRPr="005C3B55">
              <w:rPr>
                <w:sz w:val="16"/>
                <w:szCs w:val="24"/>
              </w:rPr>
              <w:t>Potential surplus of nitrogen on agricultural land</w:t>
            </w:r>
          </w:p>
        </w:tc>
        <w:tc>
          <w:tcPr>
            <w:tcW w:w="737"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54.5</w:t>
            </w:r>
          </w:p>
        </w:tc>
        <w:tc>
          <w:tcPr>
            <w:tcW w:w="3028"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kg N/ha/year</w:t>
            </w:r>
          </w:p>
        </w:tc>
        <w:tc>
          <w:tcPr>
            <w:tcW w:w="1218"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2012  </w:t>
            </w:r>
          </w:p>
        </w:tc>
      </w:tr>
      <w:tr w:rsidR="00BD3B5F" w:rsidRPr="005C3B55">
        <w:tc>
          <w:tcPr>
            <w:tcW w:w="10656" w:type="dxa"/>
            <w:gridSpan w:val="4"/>
            <w:shd w:val="clear" w:color="auto" w:fill="FFFFFF"/>
            <w:tcMar>
              <w:top w:w="20" w:type="dxa"/>
              <w:bottom w:w="20" w:type="dxa"/>
            </w:tcMar>
            <w:vAlign w:val="center"/>
          </w:tcPr>
          <w:p w:rsidR="00BD3B5F" w:rsidRPr="005C3B55" w:rsidRDefault="00BD3B5F">
            <w:pPr>
              <w:rPr>
                <w:sz w:val="16"/>
                <w:szCs w:val="24"/>
              </w:rPr>
            </w:pPr>
            <w:r w:rsidRPr="005C3B55">
              <w:rPr>
                <w:noProof/>
                <w:sz w:val="16"/>
                <w:szCs w:val="24"/>
              </w:rPr>
              <w:t>Comment:</w:t>
            </w:r>
            <w:r w:rsidRPr="005C3B55">
              <w:rPr>
                <w:sz w:val="16"/>
                <w:szCs w:val="24"/>
              </w:rPr>
              <w:t xml:space="preserve"> </w:t>
            </w:r>
            <w:r w:rsidRPr="005C3B55">
              <w:rPr>
                <w:i/>
                <w:sz w:val="16"/>
                <w:szCs w:val="24"/>
              </w:rPr>
              <w:t>2009-2012</w:t>
            </w:r>
          </w:p>
        </w:tc>
      </w:tr>
      <w:tr w:rsidR="00BD3B5F" w:rsidRPr="005C3B55">
        <w:tc>
          <w:tcPr>
            <w:tcW w:w="5673" w:type="dxa"/>
            <w:shd w:val="clear" w:color="auto" w:fill="FFFFFF"/>
            <w:tcMar>
              <w:top w:w="20" w:type="dxa"/>
              <w:bottom w:w="20" w:type="dxa"/>
            </w:tcMar>
            <w:vAlign w:val="center"/>
          </w:tcPr>
          <w:p w:rsidR="00BD3B5F" w:rsidRPr="005C3B55" w:rsidRDefault="00BD3B5F">
            <w:pPr>
              <w:spacing w:before="20" w:after="20"/>
              <w:jc w:val="left"/>
              <w:rPr>
                <w:szCs w:val="24"/>
              </w:rPr>
            </w:pPr>
            <w:r w:rsidRPr="005C3B55">
              <w:rPr>
                <w:sz w:val="16"/>
                <w:szCs w:val="24"/>
              </w:rPr>
              <w:t>Potential surplus of phosphorus on agricultural land</w:t>
            </w:r>
          </w:p>
        </w:tc>
        <w:tc>
          <w:tcPr>
            <w:tcW w:w="737"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8</w:t>
            </w:r>
          </w:p>
        </w:tc>
        <w:tc>
          <w:tcPr>
            <w:tcW w:w="3028"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kg P/ha/year</w:t>
            </w:r>
          </w:p>
        </w:tc>
        <w:tc>
          <w:tcPr>
            <w:tcW w:w="1218"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2005 - 2008  </w:t>
            </w:r>
          </w:p>
        </w:tc>
      </w:tr>
      <w:tr w:rsidR="00BD3B5F" w:rsidRPr="005C3B55">
        <w:tc>
          <w:tcPr>
            <w:tcW w:w="5673" w:type="dxa"/>
            <w:shd w:val="clear" w:color="auto" w:fill="FFFFFF"/>
            <w:tcMar>
              <w:top w:w="20" w:type="dxa"/>
              <w:bottom w:w="20" w:type="dxa"/>
            </w:tcMar>
            <w:vAlign w:val="center"/>
          </w:tcPr>
          <w:p w:rsidR="00BD3B5F" w:rsidRPr="005C3B55" w:rsidRDefault="00BD3B5F">
            <w:pPr>
              <w:spacing w:before="20" w:after="20"/>
              <w:jc w:val="left"/>
              <w:rPr>
                <w:szCs w:val="24"/>
              </w:rPr>
            </w:pPr>
            <w:r w:rsidRPr="005C3B55">
              <w:rPr>
                <w:sz w:val="16"/>
                <w:szCs w:val="24"/>
              </w:rPr>
              <w:t>Nitrates in freshwater – surface water: high quality</w:t>
            </w:r>
          </w:p>
        </w:tc>
        <w:tc>
          <w:tcPr>
            <w:tcW w:w="737"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100</w:t>
            </w:r>
          </w:p>
        </w:tc>
        <w:tc>
          <w:tcPr>
            <w:tcW w:w="3028"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 of monitoring sites</w:t>
            </w:r>
          </w:p>
        </w:tc>
        <w:tc>
          <w:tcPr>
            <w:tcW w:w="1218"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2012  </w:t>
            </w:r>
          </w:p>
        </w:tc>
      </w:tr>
      <w:tr w:rsidR="00BD3B5F" w:rsidRPr="005C3B55">
        <w:tc>
          <w:tcPr>
            <w:tcW w:w="5673" w:type="dxa"/>
            <w:shd w:val="clear" w:color="auto" w:fill="FFFFFF"/>
            <w:tcMar>
              <w:top w:w="20" w:type="dxa"/>
              <w:bottom w:w="20" w:type="dxa"/>
            </w:tcMar>
            <w:vAlign w:val="center"/>
          </w:tcPr>
          <w:p w:rsidR="00BD3B5F" w:rsidRPr="005C3B55" w:rsidRDefault="00BD3B5F">
            <w:pPr>
              <w:spacing w:before="20" w:after="20"/>
              <w:jc w:val="left"/>
              <w:rPr>
                <w:szCs w:val="24"/>
              </w:rPr>
            </w:pPr>
            <w:r w:rsidRPr="005C3B55">
              <w:rPr>
                <w:sz w:val="16"/>
                <w:szCs w:val="24"/>
              </w:rPr>
              <w:t>Nitrates in freshwater – surface water: medium quality</w:t>
            </w:r>
          </w:p>
        </w:tc>
        <w:tc>
          <w:tcPr>
            <w:tcW w:w="737"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0</w:t>
            </w:r>
          </w:p>
        </w:tc>
        <w:tc>
          <w:tcPr>
            <w:tcW w:w="3028"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 of monitoring sites</w:t>
            </w:r>
          </w:p>
        </w:tc>
        <w:tc>
          <w:tcPr>
            <w:tcW w:w="1218"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2012  </w:t>
            </w:r>
          </w:p>
        </w:tc>
      </w:tr>
      <w:tr w:rsidR="00BD3B5F" w:rsidRPr="005C3B55">
        <w:tc>
          <w:tcPr>
            <w:tcW w:w="5673" w:type="dxa"/>
            <w:shd w:val="clear" w:color="auto" w:fill="FFFFFF"/>
            <w:tcMar>
              <w:top w:w="20" w:type="dxa"/>
              <w:bottom w:w="20" w:type="dxa"/>
            </w:tcMar>
            <w:vAlign w:val="center"/>
          </w:tcPr>
          <w:p w:rsidR="00BD3B5F" w:rsidRPr="005C3B55" w:rsidRDefault="00BD3B5F">
            <w:pPr>
              <w:spacing w:before="20" w:after="20"/>
              <w:jc w:val="left"/>
              <w:rPr>
                <w:szCs w:val="24"/>
              </w:rPr>
            </w:pPr>
            <w:r w:rsidRPr="005C3B55">
              <w:rPr>
                <w:sz w:val="16"/>
                <w:szCs w:val="24"/>
              </w:rPr>
              <w:t>Nitrates in freshwater – surface water: poor quality</w:t>
            </w:r>
          </w:p>
        </w:tc>
        <w:tc>
          <w:tcPr>
            <w:tcW w:w="737"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0</w:t>
            </w:r>
          </w:p>
        </w:tc>
        <w:tc>
          <w:tcPr>
            <w:tcW w:w="3028"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 of monitoring sites</w:t>
            </w:r>
          </w:p>
        </w:tc>
        <w:tc>
          <w:tcPr>
            <w:tcW w:w="1218"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2012  </w:t>
            </w:r>
          </w:p>
        </w:tc>
      </w:tr>
      <w:tr w:rsidR="00BD3B5F" w:rsidRPr="005C3B55">
        <w:tc>
          <w:tcPr>
            <w:tcW w:w="5673" w:type="dxa"/>
            <w:shd w:val="clear" w:color="auto" w:fill="FFFFFF"/>
            <w:tcMar>
              <w:top w:w="20" w:type="dxa"/>
              <w:bottom w:w="20" w:type="dxa"/>
            </w:tcMar>
            <w:vAlign w:val="center"/>
          </w:tcPr>
          <w:p w:rsidR="00BD3B5F" w:rsidRPr="005C3B55" w:rsidRDefault="00BD3B5F">
            <w:pPr>
              <w:spacing w:before="20" w:after="20"/>
              <w:jc w:val="left"/>
              <w:rPr>
                <w:szCs w:val="24"/>
              </w:rPr>
            </w:pPr>
            <w:r w:rsidRPr="005C3B55">
              <w:rPr>
                <w:sz w:val="16"/>
                <w:szCs w:val="24"/>
              </w:rPr>
              <w:t>Nitrates in freshwater – groundwater: high quality</w:t>
            </w:r>
          </w:p>
        </w:tc>
        <w:tc>
          <w:tcPr>
            <w:tcW w:w="737"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73.9</w:t>
            </w:r>
          </w:p>
        </w:tc>
        <w:tc>
          <w:tcPr>
            <w:tcW w:w="3028"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 of monitoring sites</w:t>
            </w:r>
          </w:p>
        </w:tc>
        <w:tc>
          <w:tcPr>
            <w:tcW w:w="1218"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2013  </w:t>
            </w:r>
          </w:p>
        </w:tc>
      </w:tr>
      <w:tr w:rsidR="00BD3B5F" w:rsidRPr="005C3B55">
        <w:tc>
          <w:tcPr>
            <w:tcW w:w="5673" w:type="dxa"/>
            <w:shd w:val="clear" w:color="auto" w:fill="FFFFFF"/>
            <w:tcMar>
              <w:top w:w="20" w:type="dxa"/>
              <w:bottom w:w="20" w:type="dxa"/>
            </w:tcMar>
            <w:vAlign w:val="center"/>
          </w:tcPr>
          <w:p w:rsidR="00BD3B5F" w:rsidRPr="005C3B55" w:rsidRDefault="00BD3B5F">
            <w:pPr>
              <w:spacing w:before="20" w:after="20"/>
              <w:jc w:val="left"/>
              <w:rPr>
                <w:szCs w:val="24"/>
              </w:rPr>
            </w:pPr>
            <w:r w:rsidRPr="005C3B55">
              <w:rPr>
                <w:sz w:val="16"/>
                <w:szCs w:val="24"/>
              </w:rPr>
              <w:t>Nitrates in freshwater – groundwater: medium quality</w:t>
            </w:r>
          </w:p>
        </w:tc>
        <w:tc>
          <w:tcPr>
            <w:tcW w:w="737"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19.6</w:t>
            </w:r>
          </w:p>
        </w:tc>
        <w:tc>
          <w:tcPr>
            <w:tcW w:w="3028"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 of monitoring sites</w:t>
            </w:r>
          </w:p>
        </w:tc>
        <w:tc>
          <w:tcPr>
            <w:tcW w:w="1218"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2013  </w:t>
            </w:r>
          </w:p>
        </w:tc>
      </w:tr>
      <w:tr w:rsidR="00BD3B5F" w:rsidRPr="005C3B55">
        <w:tc>
          <w:tcPr>
            <w:tcW w:w="5673" w:type="dxa"/>
            <w:shd w:val="clear" w:color="auto" w:fill="FFFFFF"/>
            <w:tcMar>
              <w:top w:w="20" w:type="dxa"/>
              <w:bottom w:w="20" w:type="dxa"/>
            </w:tcMar>
            <w:vAlign w:val="center"/>
          </w:tcPr>
          <w:p w:rsidR="00BD3B5F" w:rsidRPr="005C3B55" w:rsidRDefault="00BD3B5F">
            <w:pPr>
              <w:spacing w:before="20" w:after="20"/>
              <w:jc w:val="left"/>
              <w:rPr>
                <w:szCs w:val="24"/>
              </w:rPr>
            </w:pPr>
            <w:r w:rsidRPr="005C3B55">
              <w:rPr>
                <w:sz w:val="16"/>
                <w:szCs w:val="24"/>
              </w:rPr>
              <w:t>Nitrates in freshwater – groundwater: poor quality</w:t>
            </w:r>
          </w:p>
        </w:tc>
        <w:tc>
          <w:tcPr>
            <w:tcW w:w="737"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6.5</w:t>
            </w:r>
          </w:p>
        </w:tc>
        <w:tc>
          <w:tcPr>
            <w:tcW w:w="3028"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 of monitoring sites</w:t>
            </w:r>
          </w:p>
        </w:tc>
        <w:tc>
          <w:tcPr>
            <w:tcW w:w="1218"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2013  </w:t>
            </w:r>
          </w:p>
        </w:tc>
      </w:tr>
      <w:tr w:rsidR="00BD3B5F" w:rsidRPr="005C3B55">
        <w:tc>
          <w:tcPr>
            <w:tcW w:w="10656" w:type="dxa"/>
            <w:gridSpan w:val="4"/>
            <w:shd w:val="clear" w:color="auto" w:fill="C0C0C0"/>
            <w:tcMar>
              <w:top w:w="20" w:type="dxa"/>
              <w:bottom w:w="20" w:type="dxa"/>
            </w:tcMar>
            <w:vAlign w:val="center"/>
          </w:tcPr>
          <w:p w:rsidR="00BD3B5F" w:rsidRPr="005C3B55" w:rsidRDefault="00BD3B5F">
            <w:pPr>
              <w:spacing w:before="20" w:after="20"/>
              <w:jc w:val="left"/>
              <w:rPr>
                <w:szCs w:val="24"/>
              </w:rPr>
            </w:pPr>
            <w:r w:rsidRPr="005C3B55">
              <w:rPr>
                <w:sz w:val="16"/>
                <w:szCs w:val="24"/>
              </w:rPr>
              <w:t>41 Organic substances in the soil of arable land</w:t>
            </w:r>
          </w:p>
        </w:tc>
      </w:tr>
      <w:tr w:rsidR="00BD3B5F" w:rsidRPr="005C3B55">
        <w:tc>
          <w:tcPr>
            <w:tcW w:w="5673"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Indicator</w:t>
            </w:r>
          </w:p>
        </w:tc>
        <w:tc>
          <w:tcPr>
            <w:tcW w:w="737"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Value</w:t>
            </w:r>
          </w:p>
        </w:tc>
        <w:tc>
          <w:tcPr>
            <w:tcW w:w="3028"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Unit</w:t>
            </w:r>
          </w:p>
        </w:tc>
        <w:tc>
          <w:tcPr>
            <w:tcW w:w="1218"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Year</w:t>
            </w:r>
          </w:p>
        </w:tc>
      </w:tr>
      <w:tr w:rsidR="00BD3B5F" w:rsidRPr="005C3B55">
        <w:tc>
          <w:tcPr>
            <w:tcW w:w="5673" w:type="dxa"/>
            <w:shd w:val="clear" w:color="auto" w:fill="FFFFFF"/>
            <w:tcMar>
              <w:top w:w="20" w:type="dxa"/>
              <w:bottom w:w="20" w:type="dxa"/>
            </w:tcMar>
            <w:vAlign w:val="center"/>
          </w:tcPr>
          <w:p w:rsidR="00BD3B5F" w:rsidRPr="005C3B55" w:rsidRDefault="00BD3B5F">
            <w:pPr>
              <w:spacing w:before="20" w:after="20"/>
              <w:jc w:val="left"/>
              <w:rPr>
                <w:szCs w:val="24"/>
              </w:rPr>
            </w:pPr>
            <w:r w:rsidRPr="005C3B55">
              <w:rPr>
                <w:sz w:val="16"/>
                <w:szCs w:val="24"/>
              </w:rPr>
              <w:t xml:space="preserve">Total assessment of organic carbon content </w:t>
            </w:r>
          </w:p>
        </w:tc>
        <w:tc>
          <w:tcPr>
            <w:tcW w:w="737"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1.9</w:t>
            </w:r>
          </w:p>
        </w:tc>
        <w:tc>
          <w:tcPr>
            <w:tcW w:w="3028"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mega tons</w:t>
            </w:r>
          </w:p>
        </w:tc>
        <w:tc>
          <w:tcPr>
            <w:tcW w:w="1218"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2009  </w:t>
            </w:r>
          </w:p>
        </w:tc>
      </w:tr>
      <w:tr w:rsidR="00BD3B5F" w:rsidRPr="005C3B55">
        <w:tc>
          <w:tcPr>
            <w:tcW w:w="5673" w:type="dxa"/>
            <w:shd w:val="clear" w:color="auto" w:fill="FFFFFF"/>
            <w:tcMar>
              <w:top w:w="20" w:type="dxa"/>
              <w:bottom w:w="20" w:type="dxa"/>
            </w:tcMar>
            <w:vAlign w:val="center"/>
          </w:tcPr>
          <w:p w:rsidR="00BD3B5F" w:rsidRPr="005C3B55" w:rsidRDefault="00BD3B5F">
            <w:pPr>
              <w:spacing w:before="20" w:after="20"/>
              <w:jc w:val="left"/>
              <w:rPr>
                <w:szCs w:val="24"/>
              </w:rPr>
            </w:pPr>
            <w:r w:rsidRPr="005C3B55">
              <w:rPr>
                <w:sz w:val="16"/>
                <w:szCs w:val="24"/>
              </w:rPr>
              <w:t>Average content of organic carbon</w:t>
            </w:r>
          </w:p>
        </w:tc>
        <w:tc>
          <w:tcPr>
            <w:tcW w:w="737"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12.7</w:t>
            </w:r>
          </w:p>
        </w:tc>
        <w:tc>
          <w:tcPr>
            <w:tcW w:w="3028"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g kg-1</w:t>
            </w:r>
          </w:p>
        </w:tc>
        <w:tc>
          <w:tcPr>
            <w:tcW w:w="1218"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2009  </w:t>
            </w:r>
          </w:p>
        </w:tc>
      </w:tr>
      <w:tr w:rsidR="00BD3B5F" w:rsidRPr="005C3B55">
        <w:tc>
          <w:tcPr>
            <w:tcW w:w="10656" w:type="dxa"/>
            <w:gridSpan w:val="4"/>
            <w:shd w:val="clear" w:color="auto" w:fill="C0C0C0"/>
            <w:tcMar>
              <w:top w:w="20" w:type="dxa"/>
              <w:bottom w:w="20" w:type="dxa"/>
            </w:tcMar>
            <w:vAlign w:val="center"/>
          </w:tcPr>
          <w:p w:rsidR="00BD3B5F" w:rsidRPr="005C3B55" w:rsidRDefault="00BD3B5F">
            <w:pPr>
              <w:spacing w:before="20" w:after="20"/>
              <w:jc w:val="left"/>
              <w:rPr>
                <w:szCs w:val="24"/>
              </w:rPr>
            </w:pPr>
            <w:r w:rsidRPr="005C3B55">
              <w:rPr>
                <w:sz w:val="16"/>
                <w:szCs w:val="24"/>
              </w:rPr>
              <w:t>42 Soil erosion due to water</w:t>
            </w:r>
          </w:p>
        </w:tc>
      </w:tr>
      <w:tr w:rsidR="00BD3B5F" w:rsidRPr="005C3B55">
        <w:tc>
          <w:tcPr>
            <w:tcW w:w="5673"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Indicator</w:t>
            </w:r>
          </w:p>
        </w:tc>
        <w:tc>
          <w:tcPr>
            <w:tcW w:w="737"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Value</w:t>
            </w:r>
          </w:p>
        </w:tc>
        <w:tc>
          <w:tcPr>
            <w:tcW w:w="3028"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Unit</w:t>
            </w:r>
          </w:p>
        </w:tc>
        <w:tc>
          <w:tcPr>
            <w:tcW w:w="1218"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Year</w:t>
            </w:r>
          </w:p>
        </w:tc>
      </w:tr>
      <w:tr w:rsidR="00BD3B5F" w:rsidRPr="005C3B55">
        <w:tc>
          <w:tcPr>
            <w:tcW w:w="5673" w:type="dxa"/>
            <w:shd w:val="clear" w:color="auto" w:fill="FFFFFF"/>
            <w:tcMar>
              <w:top w:w="20" w:type="dxa"/>
              <w:bottom w:w="20" w:type="dxa"/>
            </w:tcMar>
            <w:vAlign w:val="center"/>
          </w:tcPr>
          <w:p w:rsidR="00BD3B5F" w:rsidRPr="005C3B55" w:rsidRDefault="00BD3B5F">
            <w:pPr>
              <w:spacing w:before="20" w:after="20"/>
              <w:jc w:val="left"/>
              <w:rPr>
                <w:szCs w:val="24"/>
              </w:rPr>
            </w:pPr>
            <w:r w:rsidRPr="005C3B55">
              <w:rPr>
                <w:sz w:val="16"/>
                <w:szCs w:val="24"/>
              </w:rPr>
              <w:t>Soil loss rate due to water erosion</w:t>
            </w:r>
          </w:p>
        </w:tc>
        <w:tc>
          <w:tcPr>
            <w:tcW w:w="737"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7.2</w:t>
            </w:r>
          </w:p>
        </w:tc>
        <w:tc>
          <w:tcPr>
            <w:tcW w:w="3028"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tonnes/ha/year</w:t>
            </w:r>
          </w:p>
        </w:tc>
        <w:tc>
          <w:tcPr>
            <w:tcW w:w="1218"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2006  </w:t>
            </w:r>
          </w:p>
        </w:tc>
      </w:tr>
      <w:tr w:rsidR="00BD3B5F" w:rsidRPr="005C3B55">
        <w:tc>
          <w:tcPr>
            <w:tcW w:w="5673" w:type="dxa"/>
            <w:shd w:val="clear" w:color="auto" w:fill="FFFFFF"/>
            <w:tcMar>
              <w:top w:w="20" w:type="dxa"/>
              <w:bottom w:w="20" w:type="dxa"/>
            </w:tcMar>
            <w:vAlign w:val="center"/>
          </w:tcPr>
          <w:p w:rsidR="00BD3B5F" w:rsidRPr="005C3B55" w:rsidRDefault="00BD3B5F">
            <w:pPr>
              <w:spacing w:before="20" w:after="20"/>
              <w:jc w:val="left"/>
              <w:rPr>
                <w:szCs w:val="24"/>
              </w:rPr>
            </w:pPr>
            <w:r w:rsidRPr="005C3B55">
              <w:rPr>
                <w:sz w:val="16"/>
                <w:szCs w:val="24"/>
              </w:rPr>
              <w:t>Affected agricultural land</w:t>
            </w:r>
          </w:p>
        </w:tc>
        <w:tc>
          <w:tcPr>
            <w:tcW w:w="737"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269.9</w:t>
            </w:r>
          </w:p>
        </w:tc>
        <w:tc>
          <w:tcPr>
            <w:tcW w:w="3028"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1000 ha</w:t>
            </w:r>
          </w:p>
        </w:tc>
        <w:tc>
          <w:tcPr>
            <w:tcW w:w="1218"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2006 - 2007  </w:t>
            </w:r>
          </w:p>
        </w:tc>
      </w:tr>
      <w:tr w:rsidR="00BD3B5F" w:rsidRPr="005C3B55">
        <w:tc>
          <w:tcPr>
            <w:tcW w:w="5673"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Affected agricultural land</w:t>
            </w:r>
          </w:p>
        </w:tc>
        <w:tc>
          <w:tcPr>
            <w:tcW w:w="737"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37.1</w:t>
            </w:r>
          </w:p>
        </w:tc>
        <w:tc>
          <w:tcPr>
            <w:tcW w:w="3028"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 of agricultural area</w:t>
            </w:r>
          </w:p>
        </w:tc>
        <w:tc>
          <w:tcPr>
            <w:tcW w:w="1218"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2006 - 2007  </w:t>
            </w:r>
          </w:p>
        </w:tc>
      </w:tr>
      <w:tr w:rsidR="00BD3B5F" w:rsidRPr="005C3B55">
        <w:tc>
          <w:tcPr>
            <w:tcW w:w="10656" w:type="dxa"/>
            <w:gridSpan w:val="4"/>
            <w:shd w:val="clear" w:color="auto" w:fill="C0C0C0"/>
            <w:tcMar>
              <w:top w:w="20" w:type="dxa"/>
              <w:bottom w:w="20" w:type="dxa"/>
            </w:tcMar>
            <w:vAlign w:val="center"/>
          </w:tcPr>
          <w:p w:rsidR="00BD3B5F" w:rsidRPr="005C3B55" w:rsidRDefault="00BD3B5F">
            <w:pPr>
              <w:spacing w:before="20" w:after="20"/>
              <w:jc w:val="left"/>
              <w:rPr>
                <w:szCs w:val="24"/>
              </w:rPr>
            </w:pPr>
            <w:r w:rsidRPr="005C3B55">
              <w:rPr>
                <w:sz w:val="16"/>
                <w:szCs w:val="24"/>
              </w:rPr>
              <w:t>43 Production of renewable energy sources from agriculture and forestry</w:t>
            </w:r>
          </w:p>
        </w:tc>
      </w:tr>
      <w:tr w:rsidR="00BD3B5F" w:rsidRPr="005C3B55">
        <w:tc>
          <w:tcPr>
            <w:tcW w:w="5673"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Indicator</w:t>
            </w:r>
          </w:p>
        </w:tc>
        <w:tc>
          <w:tcPr>
            <w:tcW w:w="737"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Value</w:t>
            </w:r>
          </w:p>
        </w:tc>
        <w:tc>
          <w:tcPr>
            <w:tcW w:w="3028"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Unit</w:t>
            </w:r>
          </w:p>
        </w:tc>
        <w:tc>
          <w:tcPr>
            <w:tcW w:w="1218"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Year</w:t>
            </w:r>
          </w:p>
        </w:tc>
      </w:tr>
      <w:tr w:rsidR="00BD3B5F" w:rsidRPr="005C3B55">
        <w:tc>
          <w:tcPr>
            <w:tcW w:w="5673" w:type="dxa"/>
            <w:shd w:val="clear" w:color="auto" w:fill="FFFFFF"/>
            <w:tcMar>
              <w:top w:w="20" w:type="dxa"/>
              <w:bottom w:w="20" w:type="dxa"/>
            </w:tcMar>
            <w:vAlign w:val="center"/>
          </w:tcPr>
          <w:p w:rsidR="00BD3B5F" w:rsidRPr="005C3B55" w:rsidRDefault="00BD3B5F">
            <w:pPr>
              <w:spacing w:before="20" w:after="20"/>
              <w:jc w:val="left"/>
              <w:rPr>
                <w:szCs w:val="24"/>
              </w:rPr>
            </w:pPr>
            <w:r w:rsidRPr="005C3B55">
              <w:rPr>
                <w:sz w:val="16"/>
                <w:szCs w:val="24"/>
              </w:rPr>
              <w:t>From agriculture</w:t>
            </w:r>
          </w:p>
        </w:tc>
        <w:tc>
          <w:tcPr>
            <w:tcW w:w="737"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26.2</w:t>
            </w:r>
          </w:p>
        </w:tc>
        <w:tc>
          <w:tcPr>
            <w:tcW w:w="3028"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kToe</w:t>
            </w:r>
          </w:p>
        </w:tc>
        <w:tc>
          <w:tcPr>
            <w:tcW w:w="1218"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2011  </w:t>
            </w:r>
          </w:p>
        </w:tc>
      </w:tr>
      <w:tr w:rsidR="00BD3B5F" w:rsidRPr="005C3B55">
        <w:tc>
          <w:tcPr>
            <w:tcW w:w="5673" w:type="dxa"/>
            <w:shd w:val="clear" w:color="auto" w:fill="FFFFFF"/>
            <w:tcMar>
              <w:top w:w="20" w:type="dxa"/>
              <w:bottom w:w="20" w:type="dxa"/>
            </w:tcMar>
            <w:vAlign w:val="center"/>
          </w:tcPr>
          <w:p w:rsidR="00BD3B5F" w:rsidRPr="005C3B55" w:rsidRDefault="00BD3B5F">
            <w:pPr>
              <w:spacing w:before="20" w:after="20"/>
              <w:jc w:val="left"/>
              <w:rPr>
                <w:szCs w:val="24"/>
              </w:rPr>
            </w:pPr>
            <w:r w:rsidRPr="005C3B55">
              <w:rPr>
                <w:sz w:val="16"/>
                <w:szCs w:val="24"/>
              </w:rPr>
              <w:t>From forestry</w:t>
            </w:r>
          </w:p>
        </w:tc>
        <w:tc>
          <w:tcPr>
            <w:tcW w:w="737"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518</w:t>
            </w:r>
          </w:p>
        </w:tc>
        <w:tc>
          <w:tcPr>
            <w:tcW w:w="3028"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kToe</w:t>
            </w:r>
          </w:p>
        </w:tc>
        <w:tc>
          <w:tcPr>
            <w:tcW w:w="1218"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2011  </w:t>
            </w:r>
          </w:p>
        </w:tc>
      </w:tr>
      <w:tr w:rsidR="00BD3B5F" w:rsidRPr="005C3B55">
        <w:tc>
          <w:tcPr>
            <w:tcW w:w="10656" w:type="dxa"/>
            <w:gridSpan w:val="4"/>
            <w:shd w:val="clear" w:color="auto" w:fill="C0C0C0"/>
            <w:tcMar>
              <w:top w:w="20" w:type="dxa"/>
              <w:bottom w:w="20" w:type="dxa"/>
            </w:tcMar>
            <w:vAlign w:val="center"/>
          </w:tcPr>
          <w:p w:rsidR="00BD3B5F" w:rsidRPr="005C3B55" w:rsidRDefault="00BD3B5F">
            <w:pPr>
              <w:spacing w:before="20" w:after="20"/>
              <w:jc w:val="left"/>
              <w:rPr>
                <w:szCs w:val="24"/>
              </w:rPr>
            </w:pPr>
            <w:r w:rsidRPr="005C3B55">
              <w:rPr>
                <w:sz w:val="16"/>
                <w:szCs w:val="24"/>
              </w:rPr>
              <w:t>44 Use of energy in agriculture, forestry and food industry</w:t>
            </w:r>
          </w:p>
        </w:tc>
      </w:tr>
      <w:tr w:rsidR="00BD3B5F" w:rsidRPr="005C3B55">
        <w:tc>
          <w:tcPr>
            <w:tcW w:w="5673"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Indicator</w:t>
            </w:r>
          </w:p>
        </w:tc>
        <w:tc>
          <w:tcPr>
            <w:tcW w:w="737"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Value</w:t>
            </w:r>
          </w:p>
        </w:tc>
        <w:tc>
          <w:tcPr>
            <w:tcW w:w="3028"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Unit</w:t>
            </w:r>
          </w:p>
        </w:tc>
        <w:tc>
          <w:tcPr>
            <w:tcW w:w="1218"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Year</w:t>
            </w:r>
          </w:p>
        </w:tc>
      </w:tr>
      <w:tr w:rsidR="00BD3B5F" w:rsidRPr="005C3B55">
        <w:tc>
          <w:tcPr>
            <w:tcW w:w="5673" w:type="dxa"/>
            <w:shd w:val="clear" w:color="auto" w:fill="FFFFFF"/>
            <w:tcMar>
              <w:top w:w="20" w:type="dxa"/>
              <w:bottom w:w="20" w:type="dxa"/>
            </w:tcMar>
            <w:vAlign w:val="center"/>
          </w:tcPr>
          <w:p w:rsidR="00BD3B5F" w:rsidRPr="005C3B55" w:rsidRDefault="00BD3B5F">
            <w:pPr>
              <w:spacing w:before="20" w:after="20"/>
              <w:jc w:val="left"/>
              <w:rPr>
                <w:szCs w:val="24"/>
              </w:rPr>
            </w:pPr>
            <w:r w:rsidRPr="005C3B55">
              <w:rPr>
                <w:sz w:val="16"/>
                <w:szCs w:val="24"/>
              </w:rPr>
              <w:t>Agriculture and forestry</w:t>
            </w:r>
          </w:p>
        </w:tc>
        <w:tc>
          <w:tcPr>
            <w:tcW w:w="737"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75.8</w:t>
            </w:r>
          </w:p>
        </w:tc>
        <w:tc>
          <w:tcPr>
            <w:tcW w:w="3028"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kToe</w:t>
            </w:r>
          </w:p>
        </w:tc>
        <w:tc>
          <w:tcPr>
            <w:tcW w:w="1218"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2012  </w:t>
            </w:r>
          </w:p>
        </w:tc>
      </w:tr>
      <w:tr w:rsidR="00BD3B5F" w:rsidRPr="005C3B55">
        <w:tc>
          <w:tcPr>
            <w:tcW w:w="5673" w:type="dxa"/>
            <w:shd w:val="clear" w:color="auto" w:fill="FFFFFF"/>
            <w:tcMar>
              <w:top w:w="20" w:type="dxa"/>
              <w:bottom w:w="20" w:type="dxa"/>
            </w:tcMar>
            <w:vAlign w:val="center"/>
          </w:tcPr>
          <w:p w:rsidR="00BD3B5F" w:rsidRPr="005C3B55" w:rsidRDefault="00BD3B5F">
            <w:pPr>
              <w:spacing w:before="20" w:after="20"/>
              <w:jc w:val="left"/>
              <w:rPr>
                <w:szCs w:val="24"/>
              </w:rPr>
            </w:pPr>
            <w:r w:rsidRPr="005C3B55">
              <w:rPr>
                <w:sz w:val="16"/>
                <w:szCs w:val="24"/>
              </w:rPr>
              <w:t>Use per ha (agriculture and forestry)</w:t>
            </w:r>
          </w:p>
        </w:tc>
        <w:tc>
          <w:tcPr>
            <w:tcW w:w="737"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44.9</w:t>
            </w:r>
          </w:p>
        </w:tc>
        <w:tc>
          <w:tcPr>
            <w:tcW w:w="3028"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kg of oil equivalent per ha of UAA</w:t>
            </w:r>
          </w:p>
        </w:tc>
        <w:tc>
          <w:tcPr>
            <w:tcW w:w="1218"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2012  </w:t>
            </w:r>
          </w:p>
        </w:tc>
      </w:tr>
      <w:tr w:rsidR="00BD3B5F" w:rsidRPr="005C3B55">
        <w:tc>
          <w:tcPr>
            <w:tcW w:w="5673" w:type="dxa"/>
            <w:shd w:val="clear" w:color="auto" w:fill="FFFFFF"/>
            <w:tcMar>
              <w:top w:w="20" w:type="dxa"/>
              <w:bottom w:w="20" w:type="dxa"/>
            </w:tcMar>
            <w:vAlign w:val="center"/>
          </w:tcPr>
          <w:p w:rsidR="00BD3B5F" w:rsidRPr="005C3B55" w:rsidRDefault="00BD3B5F">
            <w:pPr>
              <w:spacing w:before="20" w:after="20"/>
              <w:jc w:val="left"/>
              <w:rPr>
                <w:szCs w:val="24"/>
              </w:rPr>
            </w:pPr>
            <w:r w:rsidRPr="005C3B55">
              <w:rPr>
                <w:sz w:val="16"/>
                <w:szCs w:val="24"/>
              </w:rPr>
              <w:t>Food industry</w:t>
            </w:r>
          </w:p>
        </w:tc>
        <w:tc>
          <w:tcPr>
            <w:tcW w:w="737"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61.6</w:t>
            </w:r>
          </w:p>
        </w:tc>
        <w:tc>
          <w:tcPr>
            <w:tcW w:w="3028"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kToe</w:t>
            </w:r>
          </w:p>
        </w:tc>
        <w:tc>
          <w:tcPr>
            <w:tcW w:w="1218"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2012  </w:t>
            </w:r>
          </w:p>
        </w:tc>
      </w:tr>
      <w:tr w:rsidR="00BD3B5F" w:rsidRPr="005C3B55">
        <w:tc>
          <w:tcPr>
            <w:tcW w:w="10656" w:type="dxa"/>
            <w:gridSpan w:val="4"/>
            <w:shd w:val="clear" w:color="auto" w:fill="C0C0C0"/>
            <w:tcMar>
              <w:top w:w="20" w:type="dxa"/>
              <w:bottom w:w="20" w:type="dxa"/>
            </w:tcMar>
            <w:vAlign w:val="center"/>
          </w:tcPr>
          <w:p w:rsidR="00BD3B5F" w:rsidRPr="005C3B55" w:rsidRDefault="00BD3B5F">
            <w:pPr>
              <w:spacing w:before="20" w:after="20"/>
              <w:jc w:val="left"/>
              <w:rPr>
                <w:szCs w:val="24"/>
              </w:rPr>
            </w:pPr>
            <w:r w:rsidRPr="005C3B55">
              <w:rPr>
                <w:sz w:val="16"/>
                <w:szCs w:val="24"/>
              </w:rPr>
              <w:t>45 Greenhouse gas emissions from agriculture</w:t>
            </w:r>
          </w:p>
        </w:tc>
      </w:tr>
      <w:tr w:rsidR="00BD3B5F" w:rsidRPr="005C3B55">
        <w:tc>
          <w:tcPr>
            <w:tcW w:w="5673"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Indicator</w:t>
            </w:r>
          </w:p>
        </w:tc>
        <w:tc>
          <w:tcPr>
            <w:tcW w:w="737"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Value</w:t>
            </w:r>
          </w:p>
        </w:tc>
        <w:tc>
          <w:tcPr>
            <w:tcW w:w="3028"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Unit</w:t>
            </w:r>
          </w:p>
        </w:tc>
        <w:tc>
          <w:tcPr>
            <w:tcW w:w="1218"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Year</w:t>
            </w:r>
          </w:p>
        </w:tc>
      </w:tr>
      <w:tr w:rsidR="00BD3B5F" w:rsidRPr="005C3B55">
        <w:tc>
          <w:tcPr>
            <w:tcW w:w="5673" w:type="dxa"/>
            <w:shd w:val="clear" w:color="auto" w:fill="FFFFFF"/>
            <w:tcMar>
              <w:top w:w="20" w:type="dxa"/>
              <w:bottom w:w="20" w:type="dxa"/>
            </w:tcMar>
            <w:vAlign w:val="center"/>
          </w:tcPr>
          <w:p w:rsidR="00BD3B5F" w:rsidRPr="005C3B55" w:rsidRDefault="00BD3B5F">
            <w:pPr>
              <w:spacing w:before="20" w:after="20"/>
              <w:jc w:val="left"/>
              <w:rPr>
                <w:szCs w:val="24"/>
              </w:rPr>
            </w:pPr>
            <w:r w:rsidRPr="005C3B55">
              <w:rPr>
                <w:sz w:val="16"/>
                <w:szCs w:val="24"/>
              </w:rPr>
              <w:t>Total agriculture (CH</w:t>
            </w:r>
            <w:r w:rsidRPr="005C3B55">
              <w:rPr>
                <w:sz w:val="16"/>
                <w:szCs w:val="24"/>
                <w:vertAlign w:val="subscript"/>
              </w:rPr>
              <w:t>4</w:t>
            </w:r>
            <w:r w:rsidRPr="005C3B55">
              <w:rPr>
                <w:sz w:val="16"/>
                <w:szCs w:val="24"/>
              </w:rPr>
              <w:t xml:space="preserve"> and N</w:t>
            </w:r>
            <w:r w:rsidRPr="005C3B55">
              <w:rPr>
                <w:sz w:val="16"/>
                <w:szCs w:val="24"/>
                <w:vertAlign w:val="subscript"/>
              </w:rPr>
              <w:t>2</w:t>
            </w:r>
            <w:r w:rsidRPr="005C3B55">
              <w:rPr>
                <w:sz w:val="16"/>
                <w:szCs w:val="24"/>
              </w:rPr>
              <w:t>O and emissions/abstraction from soil)</w:t>
            </w:r>
          </w:p>
        </w:tc>
        <w:tc>
          <w:tcPr>
            <w:tcW w:w="737"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2,968</w:t>
            </w:r>
          </w:p>
        </w:tc>
        <w:tc>
          <w:tcPr>
            <w:tcW w:w="3028"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1000 t of CO2 equivalent</w:t>
            </w:r>
          </w:p>
        </w:tc>
        <w:tc>
          <w:tcPr>
            <w:tcW w:w="1218"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2011  </w:t>
            </w:r>
          </w:p>
        </w:tc>
      </w:tr>
      <w:tr w:rsidR="00BD3B5F" w:rsidRPr="005C3B55">
        <w:tc>
          <w:tcPr>
            <w:tcW w:w="5673" w:type="dxa"/>
            <w:shd w:val="clear" w:color="auto" w:fill="FFFFFF"/>
            <w:tcMar>
              <w:top w:w="20" w:type="dxa"/>
              <w:bottom w:w="20" w:type="dxa"/>
            </w:tcMar>
            <w:vAlign w:val="center"/>
          </w:tcPr>
          <w:p w:rsidR="00BD3B5F" w:rsidRPr="005C3B55" w:rsidRDefault="00BD3B5F">
            <w:pPr>
              <w:spacing w:before="20" w:after="20"/>
              <w:jc w:val="left"/>
              <w:rPr>
                <w:szCs w:val="24"/>
              </w:rPr>
            </w:pPr>
            <w:r w:rsidRPr="005C3B55">
              <w:rPr>
                <w:sz w:val="16"/>
                <w:szCs w:val="24"/>
              </w:rPr>
              <w:t>Share of total greenhouse gas emissions</w:t>
            </w:r>
          </w:p>
        </w:tc>
        <w:tc>
          <w:tcPr>
            <w:tcW w:w="737"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30</w:t>
            </w:r>
          </w:p>
        </w:tc>
        <w:tc>
          <w:tcPr>
            <w:tcW w:w="3028"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noProof/>
                <w:sz w:val="16"/>
                <w:szCs w:val="24"/>
              </w:rPr>
              <w:t>% of total net emissions</w:t>
            </w:r>
          </w:p>
        </w:tc>
        <w:tc>
          <w:tcPr>
            <w:tcW w:w="1218" w:type="dxa"/>
            <w:shd w:val="clear" w:color="auto" w:fill="FFFFFF"/>
            <w:tcMar>
              <w:top w:w="20" w:type="dxa"/>
              <w:bottom w:w="20" w:type="dxa"/>
            </w:tcMar>
            <w:vAlign w:val="center"/>
          </w:tcPr>
          <w:p w:rsidR="00BD3B5F" w:rsidRPr="005C3B55" w:rsidRDefault="00BD3B5F">
            <w:pPr>
              <w:spacing w:before="20" w:after="20"/>
              <w:jc w:val="left"/>
              <w:rPr>
                <w:sz w:val="16"/>
                <w:szCs w:val="24"/>
              </w:rPr>
            </w:pPr>
            <w:r w:rsidRPr="005C3B55">
              <w:rPr>
                <w:sz w:val="16"/>
                <w:szCs w:val="24"/>
              </w:rPr>
              <w:t xml:space="preserve">2011  </w:t>
            </w:r>
          </w:p>
        </w:tc>
      </w:tr>
    </w:tbl>
    <w:p w:rsidR="00BD3B5F" w:rsidRPr="005C3B55" w:rsidRDefault="00BD3B5F">
      <w:pPr>
        <w:rPr>
          <w:szCs w:val="24"/>
        </w:rPr>
        <w:sectPr w:rsidR="00BD3B5F" w:rsidRPr="005C3B55">
          <w:pgSz w:w="12240" w:h="15840"/>
          <w:pgMar w:top="900" w:right="900" w:bottom="900" w:left="900" w:header="708" w:footer="708" w:gutter="0"/>
          <w:cols w:space="708"/>
        </w:sectPr>
      </w:pPr>
    </w:p>
    <w:p w:rsidR="00BD3B5F" w:rsidRPr="005C3B55" w:rsidRDefault="00BD3B5F">
      <w:pPr>
        <w:pStyle w:val="Naslov3"/>
        <w:tabs>
          <w:tab w:val="clear" w:pos="765"/>
        </w:tabs>
        <w:ind w:left="0" w:firstLine="0"/>
        <w:jc w:val="left"/>
        <w:rPr>
          <w:szCs w:val="24"/>
          <w:lang w:val="en-GB"/>
        </w:rPr>
      </w:pPr>
      <w:bookmarkStart w:id="50" w:name="_Toc416192508"/>
      <w:r w:rsidRPr="005C3B55">
        <w:rPr>
          <w:szCs w:val="24"/>
          <w:lang w:val="en-GB"/>
        </w:rPr>
        <w:t>Situation indicators for individual programmes</w:t>
      </w:r>
      <w:bookmarkEnd w:id="5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50"/>
        <w:gridCol w:w="2614"/>
        <w:gridCol w:w="2096"/>
        <w:gridCol w:w="1582"/>
        <w:gridCol w:w="1323"/>
        <w:gridCol w:w="1391"/>
      </w:tblGrid>
      <w:tr w:rsidR="00BD3B5F" w:rsidRPr="005C3B55">
        <w:tc>
          <w:tcPr>
            <w:tcW w:w="1650" w:type="dxa"/>
            <w:shd w:val="clear" w:color="auto" w:fill="C0C0C0"/>
            <w:tcMar>
              <w:top w:w="20" w:type="dxa"/>
              <w:bottom w:w="20" w:type="dxa"/>
            </w:tcMar>
            <w:vAlign w:val="center"/>
          </w:tcPr>
          <w:p w:rsidR="00BD3B5F" w:rsidRPr="005C3B55" w:rsidRDefault="00BD3B5F">
            <w:pPr>
              <w:jc w:val="center"/>
              <w:rPr>
                <w:sz w:val="16"/>
                <w:szCs w:val="24"/>
              </w:rPr>
            </w:pPr>
            <w:r w:rsidRPr="005C3B55">
              <w:rPr>
                <w:noProof/>
                <w:sz w:val="16"/>
                <w:szCs w:val="24"/>
              </w:rPr>
              <w:t>Sector</w:t>
            </w:r>
          </w:p>
        </w:tc>
        <w:tc>
          <w:tcPr>
            <w:tcW w:w="2614" w:type="dxa"/>
            <w:shd w:val="clear" w:color="auto" w:fill="C0C0C0"/>
            <w:tcMar>
              <w:top w:w="20" w:type="dxa"/>
              <w:bottom w:w="20" w:type="dxa"/>
            </w:tcMar>
            <w:vAlign w:val="center"/>
          </w:tcPr>
          <w:p w:rsidR="00BD3B5F" w:rsidRPr="005C3B55" w:rsidRDefault="00BD3B5F">
            <w:pPr>
              <w:jc w:val="center"/>
              <w:rPr>
                <w:sz w:val="16"/>
                <w:szCs w:val="24"/>
              </w:rPr>
            </w:pPr>
            <w:r w:rsidRPr="005C3B55">
              <w:rPr>
                <w:noProof/>
                <w:sz w:val="16"/>
                <w:szCs w:val="24"/>
              </w:rPr>
              <w:t>Designation</w:t>
            </w:r>
          </w:p>
        </w:tc>
        <w:tc>
          <w:tcPr>
            <w:tcW w:w="2096" w:type="dxa"/>
            <w:shd w:val="clear" w:color="auto" w:fill="C0C0C0"/>
            <w:tcMar>
              <w:top w:w="20" w:type="dxa"/>
              <w:bottom w:w="20" w:type="dxa"/>
            </w:tcMar>
            <w:vAlign w:val="center"/>
          </w:tcPr>
          <w:p w:rsidR="00BD3B5F" w:rsidRPr="005C3B55" w:rsidRDefault="00BD3B5F">
            <w:pPr>
              <w:jc w:val="center"/>
              <w:rPr>
                <w:sz w:val="16"/>
                <w:szCs w:val="24"/>
              </w:rPr>
            </w:pPr>
            <w:r w:rsidRPr="005C3B55">
              <w:rPr>
                <w:noProof/>
                <w:sz w:val="16"/>
                <w:szCs w:val="24"/>
              </w:rPr>
              <w:t>Indicator</w:t>
            </w:r>
          </w:p>
        </w:tc>
        <w:tc>
          <w:tcPr>
            <w:tcW w:w="1582" w:type="dxa"/>
            <w:shd w:val="clear" w:color="auto" w:fill="C0C0C0"/>
            <w:tcMar>
              <w:top w:w="20" w:type="dxa"/>
              <w:bottom w:w="20" w:type="dxa"/>
            </w:tcMar>
            <w:vAlign w:val="center"/>
          </w:tcPr>
          <w:p w:rsidR="00BD3B5F" w:rsidRPr="005C3B55" w:rsidRDefault="00BD3B5F">
            <w:pPr>
              <w:jc w:val="center"/>
              <w:rPr>
                <w:sz w:val="16"/>
                <w:szCs w:val="24"/>
              </w:rPr>
            </w:pPr>
            <w:r w:rsidRPr="005C3B55">
              <w:rPr>
                <w:noProof/>
                <w:sz w:val="16"/>
                <w:szCs w:val="24"/>
              </w:rPr>
              <w:t>Value</w:t>
            </w:r>
          </w:p>
        </w:tc>
        <w:tc>
          <w:tcPr>
            <w:tcW w:w="1323" w:type="dxa"/>
            <w:shd w:val="clear" w:color="auto" w:fill="C0C0C0"/>
            <w:tcMar>
              <w:top w:w="20" w:type="dxa"/>
              <w:bottom w:w="20" w:type="dxa"/>
            </w:tcMar>
            <w:vAlign w:val="center"/>
          </w:tcPr>
          <w:p w:rsidR="00BD3B5F" w:rsidRPr="005C3B55" w:rsidRDefault="00BD3B5F">
            <w:pPr>
              <w:jc w:val="center"/>
              <w:rPr>
                <w:sz w:val="16"/>
                <w:szCs w:val="24"/>
              </w:rPr>
            </w:pPr>
            <w:r w:rsidRPr="005C3B55">
              <w:rPr>
                <w:noProof/>
                <w:sz w:val="16"/>
                <w:szCs w:val="24"/>
              </w:rPr>
              <w:t>Unit</w:t>
            </w:r>
          </w:p>
        </w:tc>
        <w:tc>
          <w:tcPr>
            <w:tcW w:w="1391" w:type="dxa"/>
            <w:shd w:val="clear" w:color="auto" w:fill="C0C0C0"/>
            <w:tcMar>
              <w:top w:w="20" w:type="dxa"/>
              <w:bottom w:w="20" w:type="dxa"/>
            </w:tcMar>
            <w:vAlign w:val="center"/>
          </w:tcPr>
          <w:p w:rsidR="00BD3B5F" w:rsidRPr="005C3B55" w:rsidRDefault="00BD3B5F">
            <w:pPr>
              <w:rPr>
                <w:sz w:val="16"/>
                <w:szCs w:val="24"/>
              </w:rPr>
            </w:pPr>
            <w:r w:rsidRPr="005C3B55">
              <w:rPr>
                <w:noProof/>
                <w:sz w:val="16"/>
                <w:szCs w:val="24"/>
              </w:rPr>
              <w:t>Year</w:t>
            </w:r>
          </w:p>
        </w:tc>
      </w:tr>
    </w:tbl>
    <w:p w:rsidR="00BD3B5F" w:rsidRPr="005C3B55" w:rsidRDefault="00BD3B5F">
      <w:pPr>
        <w:jc w:val="center"/>
        <w:rPr>
          <w:sz w:val="16"/>
          <w:szCs w:val="24"/>
        </w:rPr>
        <w:sectPr w:rsidR="00BD3B5F" w:rsidRPr="005C3B55">
          <w:pgSz w:w="12240" w:h="15840"/>
          <w:pgMar w:top="900" w:right="900" w:bottom="900" w:left="900" w:header="708" w:footer="708" w:gutter="0"/>
          <w:cols w:space="708"/>
        </w:sectPr>
      </w:pPr>
    </w:p>
    <w:p w:rsidR="00BD3B5F" w:rsidRPr="005C3B55" w:rsidRDefault="00BD3B5F">
      <w:pPr>
        <w:pStyle w:val="Naslov2"/>
        <w:tabs>
          <w:tab w:val="clear" w:pos="765"/>
        </w:tabs>
        <w:ind w:left="0" w:firstLine="0"/>
        <w:rPr>
          <w:b w:val="0"/>
          <w:sz w:val="16"/>
          <w:szCs w:val="24"/>
          <w:lang w:val="en-GB"/>
        </w:rPr>
      </w:pPr>
      <w:bookmarkStart w:id="51" w:name="_Toc416192509"/>
      <w:r w:rsidRPr="005C3B55">
        <w:rPr>
          <w:szCs w:val="24"/>
          <w:lang w:val="en-GB"/>
        </w:rPr>
        <w:t>Assessment of needs</w:t>
      </w:r>
      <w:bookmarkEnd w:id="5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448"/>
        <w:gridCol w:w="412"/>
        <w:gridCol w:w="403"/>
        <w:gridCol w:w="403"/>
        <w:gridCol w:w="412"/>
        <w:gridCol w:w="403"/>
        <w:gridCol w:w="412"/>
        <w:gridCol w:w="403"/>
        <w:gridCol w:w="412"/>
        <w:gridCol w:w="403"/>
        <w:gridCol w:w="403"/>
        <w:gridCol w:w="412"/>
        <w:gridCol w:w="403"/>
        <w:gridCol w:w="403"/>
        <w:gridCol w:w="412"/>
        <w:gridCol w:w="394"/>
        <w:gridCol w:w="412"/>
        <w:gridCol w:w="403"/>
        <w:gridCol w:w="403"/>
        <w:gridCol w:w="1052"/>
        <w:gridCol w:w="1538"/>
        <w:gridCol w:w="910"/>
      </w:tblGrid>
      <w:tr w:rsidR="00BD3B5F" w:rsidRPr="005C3B55">
        <w:tc>
          <w:tcPr>
            <w:tcW w:w="3448" w:type="dxa"/>
            <w:vMerge w:val="restart"/>
            <w:shd w:val="clear" w:color="auto" w:fill="808080"/>
            <w:tcMar>
              <w:top w:w="20" w:type="dxa"/>
              <w:bottom w:w="20" w:type="dxa"/>
            </w:tcMar>
            <w:vAlign w:val="center"/>
          </w:tcPr>
          <w:p w:rsidR="00BD3B5F" w:rsidRPr="005C3B55" w:rsidRDefault="00BD3B5F">
            <w:pPr>
              <w:jc w:val="left"/>
              <w:rPr>
                <w:szCs w:val="24"/>
              </w:rPr>
            </w:pPr>
            <w:r w:rsidRPr="005C3B55">
              <w:rPr>
                <w:b/>
                <w:sz w:val="20"/>
                <w:szCs w:val="24"/>
              </w:rPr>
              <w:t>Title (or reference) of the need</w:t>
            </w:r>
          </w:p>
        </w:tc>
        <w:tc>
          <w:tcPr>
            <w:tcW w:w="1218" w:type="dxa"/>
            <w:gridSpan w:val="3"/>
            <w:shd w:val="clear" w:color="auto" w:fill="808080"/>
            <w:tcMar>
              <w:top w:w="20" w:type="dxa"/>
              <w:bottom w:w="20" w:type="dxa"/>
            </w:tcMar>
            <w:vAlign w:val="center"/>
          </w:tcPr>
          <w:p w:rsidR="00BD3B5F" w:rsidRPr="005C3B55" w:rsidRDefault="00BD3B5F">
            <w:pPr>
              <w:jc w:val="center"/>
              <w:rPr>
                <w:b/>
                <w:sz w:val="20"/>
                <w:szCs w:val="24"/>
              </w:rPr>
            </w:pPr>
            <w:r w:rsidRPr="005C3B55">
              <w:rPr>
                <w:b/>
                <w:noProof/>
                <w:sz w:val="20"/>
                <w:szCs w:val="24"/>
              </w:rPr>
              <w:t>P1</w:t>
            </w:r>
          </w:p>
        </w:tc>
        <w:tc>
          <w:tcPr>
            <w:tcW w:w="815" w:type="dxa"/>
            <w:gridSpan w:val="2"/>
            <w:shd w:val="clear" w:color="auto" w:fill="808080"/>
            <w:tcMar>
              <w:top w:w="20" w:type="dxa"/>
              <w:bottom w:w="20" w:type="dxa"/>
            </w:tcMar>
            <w:vAlign w:val="center"/>
          </w:tcPr>
          <w:p w:rsidR="00BD3B5F" w:rsidRPr="005C3B55" w:rsidRDefault="00BD3B5F">
            <w:pPr>
              <w:jc w:val="center"/>
              <w:rPr>
                <w:b/>
                <w:sz w:val="20"/>
                <w:szCs w:val="24"/>
              </w:rPr>
            </w:pPr>
            <w:r w:rsidRPr="005C3B55">
              <w:rPr>
                <w:b/>
                <w:noProof/>
                <w:sz w:val="20"/>
                <w:szCs w:val="24"/>
              </w:rPr>
              <w:t>P2</w:t>
            </w:r>
          </w:p>
        </w:tc>
        <w:tc>
          <w:tcPr>
            <w:tcW w:w="815" w:type="dxa"/>
            <w:gridSpan w:val="2"/>
            <w:shd w:val="clear" w:color="auto" w:fill="808080"/>
            <w:tcMar>
              <w:top w:w="20" w:type="dxa"/>
              <w:bottom w:w="20" w:type="dxa"/>
            </w:tcMar>
            <w:vAlign w:val="center"/>
          </w:tcPr>
          <w:p w:rsidR="00BD3B5F" w:rsidRPr="005C3B55" w:rsidRDefault="00BD3B5F">
            <w:pPr>
              <w:jc w:val="center"/>
              <w:rPr>
                <w:b/>
                <w:sz w:val="20"/>
                <w:szCs w:val="24"/>
              </w:rPr>
            </w:pPr>
            <w:r w:rsidRPr="005C3B55">
              <w:rPr>
                <w:b/>
                <w:noProof/>
                <w:sz w:val="20"/>
                <w:szCs w:val="24"/>
              </w:rPr>
              <w:t>P3</w:t>
            </w:r>
          </w:p>
        </w:tc>
        <w:tc>
          <w:tcPr>
            <w:tcW w:w="1218" w:type="dxa"/>
            <w:gridSpan w:val="3"/>
            <w:shd w:val="clear" w:color="auto" w:fill="808080"/>
            <w:tcMar>
              <w:top w:w="20" w:type="dxa"/>
              <w:bottom w:w="20" w:type="dxa"/>
            </w:tcMar>
            <w:vAlign w:val="center"/>
          </w:tcPr>
          <w:p w:rsidR="00BD3B5F" w:rsidRPr="005C3B55" w:rsidRDefault="00BD3B5F">
            <w:pPr>
              <w:jc w:val="center"/>
              <w:rPr>
                <w:b/>
                <w:sz w:val="20"/>
                <w:szCs w:val="24"/>
              </w:rPr>
            </w:pPr>
            <w:r w:rsidRPr="005C3B55">
              <w:rPr>
                <w:b/>
                <w:noProof/>
                <w:sz w:val="20"/>
                <w:szCs w:val="24"/>
              </w:rPr>
              <w:t>P4</w:t>
            </w:r>
          </w:p>
        </w:tc>
        <w:tc>
          <w:tcPr>
            <w:tcW w:w="2024" w:type="dxa"/>
            <w:gridSpan w:val="5"/>
            <w:shd w:val="clear" w:color="auto" w:fill="808080"/>
            <w:tcMar>
              <w:top w:w="20" w:type="dxa"/>
              <w:bottom w:w="20" w:type="dxa"/>
            </w:tcMar>
            <w:vAlign w:val="center"/>
          </w:tcPr>
          <w:p w:rsidR="00BD3B5F" w:rsidRPr="005C3B55" w:rsidRDefault="00BD3B5F">
            <w:pPr>
              <w:jc w:val="center"/>
              <w:rPr>
                <w:b/>
                <w:sz w:val="20"/>
                <w:szCs w:val="24"/>
              </w:rPr>
            </w:pPr>
            <w:r w:rsidRPr="005C3B55">
              <w:rPr>
                <w:b/>
                <w:noProof/>
                <w:sz w:val="20"/>
                <w:szCs w:val="24"/>
              </w:rPr>
              <w:t>P5</w:t>
            </w:r>
          </w:p>
        </w:tc>
        <w:tc>
          <w:tcPr>
            <w:tcW w:w="1218" w:type="dxa"/>
            <w:gridSpan w:val="3"/>
            <w:shd w:val="clear" w:color="auto" w:fill="808080"/>
            <w:tcMar>
              <w:top w:w="20" w:type="dxa"/>
              <w:bottom w:w="20" w:type="dxa"/>
            </w:tcMar>
            <w:vAlign w:val="center"/>
          </w:tcPr>
          <w:p w:rsidR="00BD3B5F" w:rsidRPr="005C3B55" w:rsidRDefault="00BD3B5F">
            <w:pPr>
              <w:jc w:val="center"/>
              <w:rPr>
                <w:b/>
                <w:sz w:val="20"/>
                <w:szCs w:val="24"/>
              </w:rPr>
            </w:pPr>
            <w:r w:rsidRPr="005C3B55">
              <w:rPr>
                <w:b/>
                <w:noProof/>
                <w:sz w:val="20"/>
                <w:szCs w:val="24"/>
              </w:rPr>
              <w:t>P6</w:t>
            </w:r>
          </w:p>
        </w:tc>
        <w:tc>
          <w:tcPr>
            <w:tcW w:w="3500" w:type="dxa"/>
            <w:gridSpan w:val="3"/>
            <w:shd w:val="clear" w:color="auto" w:fill="808080"/>
            <w:tcMar>
              <w:top w:w="20" w:type="dxa"/>
              <w:bottom w:w="20" w:type="dxa"/>
            </w:tcMar>
            <w:vAlign w:val="center"/>
          </w:tcPr>
          <w:p w:rsidR="00BD3B5F" w:rsidRPr="005C3B55" w:rsidRDefault="00BD3B5F">
            <w:pPr>
              <w:jc w:val="center"/>
              <w:rPr>
                <w:b/>
                <w:sz w:val="20"/>
                <w:szCs w:val="24"/>
              </w:rPr>
            </w:pPr>
            <w:r w:rsidRPr="005C3B55">
              <w:rPr>
                <w:b/>
                <w:noProof/>
                <w:sz w:val="20"/>
                <w:szCs w:val="24"/>
              </w:rPr>
              <w:t>Horizontal objectives</w:t>
            </w:r>
          </w:p>
        </w:tc>
      </w:tr>
      <w:tr w:rsidR="00BD3B5F" w:rsidRPr="005C3B55">
        <w:tc>
          <w:tcPr>
            <w:tcW w:w="0" w:type="auto"/>
            <w:vMerge/>
            <w:shd w:val="clear" w:color="auto" w:fill="808080"/>
            <w:tcMar>
              <w:top w:w="20" w:type="dxa"/>
              <w:bottom w:w="20" w:type="dxa"/>
            </w:tcMar>
            <w:vAlign w:val="center"/>
          </w:tcPr>
          <w:p w:rsidR="00BD3B5F" w:rsidRPr="005C3B55" w:rsidRDefault="00BD3B5F">
            <w:pPr>
              <w:jc w:val="center"/>
              <w:rPr>
                <w:b/>
                <w:sz w:val="20"/>
                <w:szCs w:val="24"/>
              </w:rPr>
            </w:pPr>
          </w:p>
        </w:tc>
        <w:tc>
          <w:tcPr>
            <w:tcW w:w="412" w:type="dxa"/>
            <w:shd w:val="clear" w:color="auto" w:fill="C0C0C0"/>
            <w:tcMar>
              <w:top w:w="20" w:type="dxa"/>
              <w:bottom w:w="20" w:type="dxa"/>
            </w:tcMar>
            <w:vAlign w:val="center"/>
          </w:tcPr>
          <w:p w:rsidR="00BD3B5F" w:rsidRPr="005C3B55" w:rsidRDefault="00BD3B5F">
            <w:pPr>
              <w:jc w:val="center"/>
              <w:rPr>
                <w:sz w:val="16"/>
                <w:szCs w:val="24"/>
              </w:rPr>
            </w:pPr>
            <w:r w:rsidRPr="005C3B55">
              <w:rPr>
                <w:noProof/>
                <w:sz w:val="16"/>
                <w:szCs w:val="24"/>
              </w:rPr>
              <w:t>1A</w:t>
            </w:r>
          </w:p>
        </w:tc>
        <w:tc>
          <w:tcPr>
            <w:tcW w:w="403" w:type="dxa"/>
            <w:shd w:val="clear" w:color="auto" w:fill="C0C0C0"/>
            <w:tcMar>
              <w:top w:w="20" w:type="dxa"/>
              <w:bottom w:w="20" w:type="dxa"/>
            </w:tcMar>
            <w:vAlign w:val="center"/>
          </w:tcPr>
          <w:p w:rsidR="00BD3B5F" w:rsidRPr="005C3B55" w:rsidRDefault="00BD3B5F">
            <w:pPr>
              <w:jc w:val="center"/>
              <w:rPr>
                <w:sz w:val="16"/>
                <w:szCs w:val="24"/>
              </w:rPr>
            </w:pPr>
            <w:r w:rsidRPr="005C3B55">
              <w:rPr>
                <w:noProof/>
                <w:sz w:val="16"/>
                <w:szCs w:val="24"/>
              </w:rPr>
              <w:t>1B</w:t>
            </w:r>
          </w:p>
        </w:tc>
        <w:tc>
          <w:tcPr>
            <w:tcW w:w="403" w:type="dxa"/>
            <w:shd w:val="clear" w:color="auto" w:fill="C0C0C0"/>
            <w:tcMar>
              <w:top w:w="20" w:type="dxa"/>
              <w:bottom w:w="20" w:type="dxa"/>
            </w:tcMar>
            <w:vAlign w:val="center"/>
          </w:tcPr>
          <w:p w:rsidR="00BD3B5F" w:rsidRPr="005C3B55" w:rsidRDefault="00BD3B5F">
            <w:pPr>
              <w:jc w:val="center"/>
              <w:rPr>
                <w:sz w:val="16"/>
                <w:szCs w:val="24"/>
              </w:rPr>
            </w:pPr>
            <w:r w:rsidRPr="005C3B55">
              <w:rPr>
                <w:noProof/>
                <w:sz w:val="16"/>
                <w:szCs w:val="24"/>
              </w:rPr>
              <w:t>1C</w:t>
            </w:r>
          </w:p>
        </w:tc>
        <w:tc>
          <w:tcPr>
            <w:tcW w:w="412" w:type="dxa"/>
            <w:shd w:val="clear" w:color="auto" w:fill="C0C0C0"/>
            <w:tcMar>
              <w:top w:w="20" w:type="dxa"/>
              <w:bottom w:w="20" w:type="dxa"/>
            </w:tcMar>
            <w:vAlign w:val="center"/>
          </w:tcPr>
          <w:p w:rsidR="00BD3B5F" w:rsidRPr="005C3B55" w:rsidRDefault="00BD3B5F">
            <w:pPr>
              <w:jc w:val="center"/>
              <w:rPr>
                <w:sz w:val="16"/>
                <w:szCs w:val="24"/>
              </w:rPr>
            </w:pPr>
            <w:r w:rsidRPr="005C3B55">
              <w:rPr>
                <w:noProof/>
                <w:sz w:val="16"/>
                <w:szCs w:val="24"/>
              </w:rPr>
              <w:t>2A</w:t>
            </w:r>
          </w:p>
        </w:tc>
        <w:tc>
          <w:tcPr>
            <w:tcW w:w="403" w:type="dxa"/>
            <w:shd w:val="clear" w:color="auto" w:fill="C0C0C0"/>
            <w:tcMar>
              <w:top w:w="20" w:type="dxa"/>
              <w:bottom w:w="20" w:type="dxa"/>
            </w:tcMar>
            <w:vAlign w:val="center"/>
          </w:tcPr>
          <w:p w:rsidR="00BD3B5F" w:rsidRPr="005C3B55" w:rsidRDefault="00BD3B5F">
            <w:pPr>
              <w:jc w:val="center"/>
              <w:rPr>
                <w:sz w:val="16"/>
                <w:szCs w:val="24"/>
              </w:rPr>
            </w:pPr>
            <w:r w:rsidRPr="005C3B55">
              <w:rPr>
                <w:noProof/>
                <w:sz w:val="16"/>
                <w:szCs w:val="24"/>
              </w:rPr>
              <w:t>2B</w:t>
            </w:r>
          </w:p>
        </w:tc>
        <w:tc>
          <w:tcPr>
            <w:tcW w:w="412" w:type="dxa"/>
            <w:shd w:val="clear" w:color="auto" w:fill="C0C0C0"/>
            <w:tcMar>
              <w:top w:w="20" w:type="dxa"/>
              <w:bottom w:w="20" w:type="dxa"/>
            </w:tcMar>
            <w:vAlign w:val="center"/>
          </w:tcPr>
          <w:p w:rsidR="00BD3B5F" w:rsidRPr="005C3B55" w:rsidRDefault="00BD3B5F">
            <w:pPr>
              <w:jc w:val="center"/>
              <w:rPr>
                <w:sz w:val="16"/>
                <w:szCs w:val="24"/>
              </w:rPr>
            </w:pPr>
            <w:r w:rsidRPr="005C3B55">
              <w:rPr>
                <w:noProof/>
                <w:sz w:val="16"/>
                <w:szCs w:val="24"/>
              </w:rPr>
              <w:t>3A</w:t>
            </w:r>
          </w:p>
        </w:tc>
        <w:tc>
          <w:tcPr>
            <w:tcW w:w="403" w:type="dxa"/>
            <w:shd w:val="clear" w:color="auto" w:fill="C0C0C0"/>
            <w:tcMar>
              <w:top w:w="20" w:type="dxa"/>
              <w:bottom w:w="20" w:type="dxa"/>
            </w:tcMar>
            <w:vAlign w:val="center"/>
          </w:tcPr>
          <w:p w:rsidR="00BD3B5F" w:rsidRPr="005C3B55" w:rsidRDefault="00BD3B5F">
            <w:pPr>
              <w:jc w:val="center"/>
              <w:rPr>
                <w:sz w:val="16"/>
                <w:szCs w:val="24"/>
              </w:rPr>
            </w:pPr>
            <w:r w:rsidRPr="005C3B55">
              <w:rPr>
                <w:noProof/>
                <w:sz w:val="16"/>
                <w:szCs w:val="24"/>
              </w:rPr>
              <w:t>3B</w:t>
            </w:r>
          </w:p>
        </w:tc>
        <w:tc>
          <w:tcPr>
            <w:tcW w:w="412" w:type="dxa"/>
            <w:shd w:val="clear" w:color="auto" w:fill="C0C0C0"/>
            <w:tcMar>
              <w:top w:w="20" w:type="dxa"/>
              <w:bottom w:w="20" w:type="dxa"/>
            </w:tcMar>
            <w:vAlign w:val="center"/>
          </w:tcPr>
          <w:p w:rsidR="00BD3B5F" w:rsidRPr="005C3B55" w:rsidRDefault="00BD3B5F">
            <w:pPr>
              <w:jc w:val="center"/>
              <w:rPr>
                <w:sz w:val="16"/>
                <w:szCs w:val="24"/>
              </w:rPr>
            </w:pPr>
            <w:r w:rsidRPr="005C3B55">
              <w:rPr>
                <w:noProof/>
                <w:sz w:val="16"/>
                <w:szCs w:val="24"/>
              </w:rPr>
              <w:t>4A</w:t>
            </w:r>
          </w:p>
        </w:tc>
        <w:tc>
          <w:tcPr>
            <w:tcW w:w="403" w:type="dxa"/>
            <w:shd w:val="clear" w:color="auto" w:fill="C0C0C0"/>
            <w:tcMar>
              <w:top w:w="20" w:type="dxa"/>
              <w:bottom w:w="20" w:type="dxa"/>
            </w:tcMar>
            <w:vAlign w:val="center"/>
          </w:tcPr>
          <w:p w:rsidR="00BD3B5F" w:rsidRPr="005C3B55" w:rsidRDefault="00BD3B5F">
            <w:pPr>
              <w:jc w:val="center"/>
              <w:rPr>
                <w:sz w:val="16"/>
                <w:szCs w:val="24"/>
              </w:rPr>
            </w:pPr>
            <w:r w:rsidRPr="005C3B55">
              <w:rPr>
                <w:noProof/>
                <w:sz w:val="16"/>
                <w:szCs w:val="24"/>
              </w:rPr>
              <w:t>4B</w:t>
            </w:r>
          </w:p>
        </w:tc>
        <w:tc>
          <w:tcPr>
            <w:tcW w:w="403" w:type="dxa"/>
            <w:shd w:val="clear" w:color="auto" w:fill="C0C0C0"/>
            <w:tcMar>
              <w:top w:w="20" w:type="dxa"/>
              <w:bottom w:w="20" w:type="dxa"/>
            </w:tcMar>
            <w:vAlign w:val="center"/>
          </w:tcPr>
          <w:p w:rsidR="00BD3B5F" w:rsidRPr="005C3B55" w:rsidRDefault="00BD3B5F">
            <w:pPr>
              <w:jc w:val="center"/>
              <w:rPr>
                <w:sz w:val="16"/>
                <w:szCs w:val="24"/>
              </w:rPr>
            </w:pPr>
            <w:r w:rsidRPr="005C3B55">
              <w:rPr>
                <w:noProof/>
                <w:sz w:val="16"/>
                <w:szCs w:val="24"/>
              </w:rPr>
              <w:t>4C</w:t>
            </w:r>
          </w:p>
        </w:tc>
        <w:tc>
          <w:tcPr>
            <w:tcW w:w="412" w:type="dxa"/>
            <w:shd w:val="clear" w:color="auto" w:fill="C0C0C0"/>
            <w:tcMar>
              <w:top w:w="20" w:type="dxa"/>
              <w:bottom w:w="20" w:type="dxa"/>
            </w:tcMar>
            <w:vAlign w:val="center"/>
          </w:tcPr>
          <w:p w:rsidR="00BD3B5F" w:rsidRPr="005C3B55" w:rsidRDefault="00BD3B5F">
            <w:pPr>
              <w:jc w:val="center"/>
              <w:rPr>
                <w:sz w:val="16"/>
                <w:szCs w:val="24"/>
              </w:rPr>
            </w:pPr>
            <w:r w:rsidRPr="005C3B55">
              <w:rPr>
                <w:noProof/>
                <w:sz w:val="16"/>
                <w:szCs w:val="24"/>
              </w:rPr>
              <w:t>5A</w:t>
            </w:r>
          </w:p>
        </w:tc>
        <w:tc>
          <w:tcPr>
            <w:tcW w:w="403" w:type="dxa"/>
            <w:shd w:val="clear" w:color="auto" w:fill="C0C0C0"/>
            <w:tcMar>
              <w:top w:w="20" w:type="dxa"/>
              <w:bottom w:w="20" w:type="dxa"/>
            </w:tcMar>
            <w:vAlign w:val="center"/>
          </w:tcPr>
          <w:p w:rsidR="00BD3B5F" w:rsidRPr="005C3B55" w:rsidRDefault="00BD3B5F">
            <w:pPr>
              <w:jc w:val="center"/>
              <w:rPr>
                <w:sz w:val="16"/>
                <w:szCs w:val="24"/>
              </w:rPr>
            </w:pPr>
            <w:r w:rsidRPr="005C3B55">
              <w:rPr>
                <w:noProof/>
                <w:sz w:val="16"/>
                <w:szCs w:val="24"/>
              </w:rPr>
              <w:t>5B</w:t>
            </w:r>
          </w:p>
        </w:tc>
        <w:tc>
          <w:tcPr>
            <w:tcW w:w="403" w:type="dxa"/>
            <w:shd w:val="clear" w:color="auto" w:fill="C0C0C0"/>
            <w:tcMar>
              <w:top w:w="20" w:type="dxa"/>
              <w:bottom w:w="20" w:type="dxa"/>
            </w:tcMar>
            <w:vAlign w:val="center"/>
          </w:tcPr>
          <w:p w:rsidR="00BD3B5F" w:rsidRPr="005C3B55" w:rsidRDefault="00BD3B5F">
            <w:pPr>
              <w:jc w:val="center"/>
              <w:rPr>
                <w:sz w:val="16"/>
                <w:szCs w:val="24"/>
              </w:rPr>
            </w:pPr>
            <w:r w:rsidRPr="005C3B55">
              <w:rPr>
                <w:noProof/>
                <w:sz w:val="16"/>
                <w:szCs w:val="24"/>
              </w:rPr>
              <w:t>5C</w:t>
            </w:r>
          </w:p>
        </w:tc>
        <w:tc>
          <w:tcPr>
            <w:tcW w:w="412" w:type="dxa"/>
            <w:shd w:val="clear" w:color="auto" w:fill="C0C0C0"/>
            <w:tcMar>
              <w:top w:w="20" w:type="dxa"/>
              <w:bottom w:w="20" w:type="dxa"/>
            </w:tcMar>
            <w:vAlign w:val="center"/>
          </w:tcPr>
          <w:p w:rsidR="00BD3B5F" w:rsidRPr="005C3B55" w:rsidRDefault="00BD3B5F">
            <w:pPr>
              <w:jc w:val="center"/>
              <w:rPr>
                <w:sz w:val="16"/>
                <w:szCs w:val="24"/>
              </w:rPr>
            </w:pPr>
            <w:r w:rsidRPr="005C3B55">
              <w:rPr>
                <w:noProof/>
                <w:sz w:val="16"/>
                <w:szCs w:val="24"/>
              </w:rPr>
              <w:t>5D</w:t>
            </w:r>
          </w:p>
        </w:tc>
        <w:tc>
          <w:tcPr>
            <w:tcW w:w="394" w:type="dxa"/>
            <w:shd w:val="clear" w:color="auto" w:fill="C0C0C0"/>
            <w:tcMar>
              <w:top w:w="20" w:type="dxa"/>
              <w:bottom w:w="20" w:type="dxa"/>
            </w:tcMar>
            <w:vAlign w:val="center"/>
          </w:tcPr>
          <w:p w:rsidR="00BD3B5F" w:rsidRPr="005C3B55" w:rsidRDefault="00BD3B5F">
            <w:pPr>
              <w:jc w:val="center"/>
              <w:rPr>
                <w:sz w:val="16"/>
                <w:szCs w:val="24"/>
              </w:rPr>
            </w:pPr>
            <w:r w:rsidRPr="005C3B55">
              <w:rPr>
                <w:noProof/>
                <w:sz w:val="16"/>
                <w:szCs w:val="24"/>
              </w:rPr>
              <w:t>5E</w:t>
            </w:r>
          </w:p>
        </w:tc>
        <w:tc>
          <w:tcPr>
            <w:tcW w:w="412" w:type="dxa"/>
            <w:shd w:val="clear" w:color="auto" w:fill="C0C0C0"/>
            <w:tcMar>
              <w:top w:w="20" w:type="dxa"/>
              <w:bottom w:w="20" w:type="dxa"/>
            </w:tcMar>
            <w:vAlign w:val="center"/>
          </w:tcPr>
          <w:p w:rsidR="00BD3B5F" w:rsidRPr="005C3B55" w:rsidRDefault="00BD3B5F">
            <w:pPr>
              <w:jc w:val="center"/>
              <w:rPr>
                <w:sz w:val="16"/>
                <w:szCs w:val="24"/>
              </w:rPr>
            </w:pPr>
            <w:r w:rsidRPr="005C3B55">
              <w:rPr>
                <w:noProof/>
                <w:sz w:val="16"/>
                <w:szCs w:val="24"/>
              </w:rPr>
              <w:t>6A</w:t>
            </w:r>
          </w:p>
        </w:tc>
        <w:tc>
          <w:tcPr>
            <w:tcW w:w="403" w:type="dxa"/>
            <w:shd w:val="clear" w:color="auto" w:fill="C0C0C0"/>
            <w:tcMar>
              <w:top w:w="20" w:type="dxa"/>
              <w:bottom w:w="20" w:type="dxa"/>
            </w:tcMar>
            <w:vAlign w:val="center"/>
          </w:tcPr>
          <w:p w:rsidR="00BD3B5F" w:rsidRPr="005C3B55" w:rsidRDefault="00BD3B5F">
            <w:pPr>
              <w:jc w:val="center"/>
              <w:rPr>
                <w:sz w:val="16"/>
                <w:szCs w:val="24"/>
              </w:rPr>
            </w:pPr>
            <w:r w:rsidRPr="005C3B55">
              <w:rPr>
                <w:noProof/>
                <w:sz w:val="16"/>
                <w:szCs w:val="24"/>
              </w:rPr>
              <w:t>6B</w:t>
            </w:r>
          </w:p>
        </w:tc>
        <w:tc>
          <w:tcPr>
            <w:tcW w:w="403" w:type="dxa"/>
            <w:shd w:val="clear" w:color="auto" w:fill="C0C0C0"/>
            <w:tcMar>
              <w:top w:w="20" w:type="dxa"/>
              <w:bottom w:w="20" w:type="dxa"/>
            </w:tcMar>
            <w:vAlign w:val="center"/>
          </w:tcPr>
          <w:p w:rsidR="00BD3B5F" w:rsidRPr="005C3B55" w:rsidRDefault="00BD3B5F">
            <w:pPr>
              <w:jc w:val="center"/>
              <w:rPr>
                <w:sz w:val="16"/>
                <w:szCs w:val="24"/>
              </w:rPr>
            </w:pPr>
            <w:r w:rsidRPr="005C3B55">
              <w:rPr>
                <w:noProof/>
                <w:sz w:val="16"/>
                <w:szCs w:val="24"/>
              </w:rPr>
              <w:t>6C</w:t>
            </w:r>
          </w:p>
        </w:tc>
        <w:tc>
          <w:tcPr>
            <w:tcW w:w="1052" w:type="dxa"/>
            <w:shd w:val="clear" w:color="auto" w:fill="C0C0C0"/>
            <w:tcMar>
              <w:top w:w="20" w:type="dxa"/>
              <w:bottom w:w="20" w:type="dxa"/>
            </w:tcMar>
            <w:vAlign w:val="center"/>
          </w:tcPr>
          <w:p w:rsidR="00BD3B5F" w:rsidRPr="005C3B55" w:rsidRDefault="00BD3B5F">
            <w:pPr>
              <w:jc w:val="center"/>
              <w:rPr>
                <w:sz w:val="16"/>
                <w:szCs w:val="24"/>
              </w:rPr>
            </w:pPr>
            <w:r w:rsidRPr="005C3B55">
              <w:rPr>
                <w:noProof/>
                <w:sz w:val="16"/>
                <w:szCs w:val="24"/>
              </w:rPr>
              <w:t>Environment</w:t>
            </w:r>
          </w:p>
        </w:tc>
        <w:tc>
          <w:tcPr>
            <w:tcW w:w="1538" w:type="dxa"/>
            <w:shd w:val="clear" w:color="auto" w:fill="C0C0C0"/>
            <w:tcMar>
              <w:top w:w="20" w:type="dxa"/>
              <w:bottom w:w="20" w:type="dxa"/>
            </w:tcMar>
            <w:vAlign w:val="center"/>
          </w:tcPr>
          <w:p w:rsidR="00BD3B5F" w:rsidRPr="005C3B55" w:rsidRDefault="00BD3B5F">
            <w:pPr>
              <w:jc w:val="center"/>
              <w:rPr>
                <w:szCs w:val="24"/>
              </w:rPr>
            </w:pPr>
            <w:r w:rsidRPr="005C3B55">
              <w:rPr>
                <w:sz w:val="16"/>
                <w:szCs w:val="24"/>
              </w:rPr>
              <w:t>Mitigating, and adapting to, climate change</w:t>
            </w:r>
          </w:p>
        </w:tc>
        <w:tc>
          <w:tcPr>
            <w:tcW w:w="910" w:type="dxa"/>
            <w:shd w:val="clear" w:color="auto" w:fill="C0C0C0"/>
            <w:tcMar>
              <w:top w:w="20" w:type="dxa"/>
              <w:bottom w:w="20" w:type="dxa"/>
            </w:tcMar>
            <w:vAlign w:val="center"/>
          </w:tcPr>
          <w:p w:rsidR="00BD3B5F" w:rsidRPr="005C3B55" w:rsidRDefault="00BD3B5F">
            <w:pPr>
              <w:jc w:val="center"/>
              <w:rPr>
                <w:sz w:val="16"/>
                <w:szCs w:val="24"/>
              </w:rPr>
            </w:pPr>
            <w:r w:rsidRPr="005C3B55">
              <w:rPr>
                <w:noProof/>
                <w:sz w:val="16"/>
                <w:szCs w:val="24"/>
              </w:rPr>
              <w:t>Innovation</w:t>
            </w:r>
          </w:p>
        </w:tc>
      </w:tr>
      <w:tr w:rsidR="00BD3B5F" w:rsidRPr="005C3B55">
        <w:tc>
          <w:tcPr>
            <w:tcW w:w="3448" w:type="dxa"/>
            <w:shd w:val="clear" w:color="auto" w:fill="FFFFFF"/>
            <w:tcMar>
              <w:top w:w="20" w:type="dxa"/>
              <w:bottom w:w="20" w:type="dxa"/>
            </w:tcMar>
            <w:vAlign w:val="bottom"/>
          </w:tcPr>
          <w:p w:rsidR="00BD3B5F" w:rsidRPr="005C3B55" w:rsidRDefault="00BD3B5F">
            <w:pPr>
              <w:jc w:val="left"/>
              <w:rPr>
                <w:szCs w:val="24"/>
              </w:rPr>
            </w:pPr>
            <w:r w:rsidRPr="005C3B55">
              <w:rPr>
                <w:sz w:val="16"/>
                <w:szCs w:val="24"/>
              </w:rPr>
              <w:t>N01 - Increasing productivity in agriculture</w:t>
            </w:r>
          </w:p>
        </w:tc>
        <w:tc>
          <w:tcPr>
            <w:tcW w:w="412" w:type="dxa"/>
            <w:shd w:val="clear" w:color="auto" w:fill="FFFFFF"/>
            <w:tcMar>
              <w:top w:w="20" w:type="dxa"/>
              <w:bottom w:w="20" w:type="dxa"/>
            </w:tcMar>
            <w:vAlign w:val="bottom"/>
          </w:tcPr>
          <w:p w:rsidR="00BD3B5F" w:rsidRPr="005C3B55" w:rsidRDefault="00BD3B5F">
            <w:pPr>
              <w:jc w:val="center"/>
              <w:rPr>
                <w:sz w:val="16"/>
                <w:szCs w:val="24"/>
              </w:rPr>
            </w:pPr>
          </w:p>
        </w:tc>
        <w:tc>
          <w:tcPr>
            <w:tcW w:w="403"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403"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412"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403"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412"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412" w:type="dxa"/>
            <w:shd w:val="clear" w:color="auto" w:fill="FFFFFF"/>
            <w:tcMar>
              <w:top w:w="20" w:type="dxa"/>
              <w:bottom w:w="20" w:type="dxa"/>
            </w:tcMar>
            <w:vAlign w:val="bottom"/>
          </w:tcPr>
          <w:p w:rsidR="00BD3B5F" w:rsidRPr="005C3B55" w:rsidRDefault="00BD3B5F">
            <w:pPr>
              <w:jc w:val="center"/>
              <w:rPr>
                <w:szCs w:val="24"/>
              </w:rPr>
            </w:pP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412"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403"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403"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412"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394" w:type="dxa"/>
            <w:shd w:val="clear" w:color="auto" w:fill="FFFFFF"/>
            <w:tcMar>
              <w:top w:w="20" w:type="dxa"/>
              <w:bottom w:w="20" w:type="dxa"/>
            </w:tcMar>
            <w:vAlign w:val="bottom"/>
          </w:tcPr>
          <w:p w:rsidR="00BD3B5F" w:rsidRPr="005C3B55" w:rsidRDefault="00BD3B5F">
            <w:pPr>
              <w:jc w:val="center"/>
              <w:rPr>
                <w:szCs w:val="24"/>
              </w:rPr>
            </w:pPr>
          </w:p>
        </w:tc>
        <w:tc>
          <w:tcPr>
            <w:tcW w:w="412" w:type="dxa"/>
            <w:shd w:val="clear" w:color="auto" w:fill="FFFFFF"/>
            <w:tcMar>
              <w:top w:w="20" w:type="dxa"/>
              <w:bottom w:w="20" w:type="dxa"/>
            </w:tcMar>
            <w:vAlign w:val="bottom"/>
          </w:tcPr>
          <w:p w:rsidR="00BD3B5F" w:rsidRPr="005C3B55" w:rsidRDefault="00BD3B5F">
            <w:pPr>
              <w:jc w:val="center"/>
              <w:rPr>
                <w:szCs w:val="24"/>
              </w:rPr>
            </w:pP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1052"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1538"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910"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r>
      <w:tr w:rsidR="00BD3B5F" w:rsidRPr="005C3B55">
        <w:tc>
          <w:tcPr>
            <w:tcW w:w="3448" w:type="dxa"/>
            <w:shd w:val="clear" w:color="auto" w:fill="FFFFFF"/>
            <w:tcMar>
              <w:top w:w="20" w:type="dxa"/>
              <w:bottom w:w="20" w:type="dxa"/>
            </w:tcMar>
            <w:vAlign w:val="bottom"/>
          </w:tcPr>
          <w:p w:rsidR="00BD3B5F" w:rsidRPr="005C3B55" w:rsidRDefault="00BD3B5F">
            <w:pPr>
              <w:jc w:val="left"/>
              <w:rPr>
                <w:szCs w:val="24"/>
              </w:rPr>
            </w:pPr>
            <w:r w:rsidRPr="005C3B55">
              <w:rPr>
                <w:sz w:val="16"/>
                <w:szCs w:val="24"/>
              </w:rPr>
              <w:t>N02 - Improving the size structure and decreasing fragmentation of agricultural holdings as well as regulating agricultural infrastructure</w:t>
            </w:r>
          </w:p>
        </w:tc>
        <w:tc>
          <w:tcPr>
            <w:tcW w:w="412"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412"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412" w:type="dxa"/>
            <w:shd w:val="clear" w:color="auto" w:fill="FFFFFF"/>
            <w:tcMar>
              <w:top w:w="20" w:type="dxa"/>
              <w:bottom w:w="20" w:type="dxa"/>
            </w:tcMar>
            <w:vAlign w:val="bottom"/>
          </w:tcPr>
          <w:p w:rsidR="00BD3B5F" w:rsidRPr="005C3B55" w:rsidRDefault="00BD3B5F">
            <w:pPr>
              <w:jc w:val="center"/>
              <w:rPr>
                <w:szCs w:val="24"/>
              </w:rPr>
            </w:pP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412" w:type="dxa"/>
            <w:shd w:val="clear" w:color="auto" w:fill="FFFFFF"/>
            <w:tcMar>
              <w:top w:w="20" w:type="dxa"/>
              <w:bottom w:w="20" w:type="dxa"/>
            </w:tcMar>
            <w:vAlign w:val="bottom"/>
          </w:tcPr>
          <w:p w:rsidR="00BD3B5F" w:rsidRPr="005C3B55" w:rsidRDefault="00BD3B5F">
            <w:pPr>
              <w:jc w:val="center"/>
              <w:rPr>
                <w:szCs w:val="24"/>
              </w:rPr>
            </w:pP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412"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412"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394" w:type="dxa"/>
            <w:shd w:val="clear" w:color="auto" w:fill="FFFFFF"/>
            <w:tcMar>
              <w:top w:w="20" w:type="dxa"/>
              <w:bottom w:w="20" w:type="dxa"/>
            </w:tcMar>
            <w:vAlign w:val="bottom"/>
          </w:tcPr>
          <w:p w:rsidR="00BD3B5F" w:rsidRPr="005C3B55" w:rsidRDefault="00BD3B5F">
            <w:pPr>
              <w:jc w:val="center"/>
              <w:rPr>
                <w:szCs w:val="24"/>
              </w:rPr>
            </w:pPr>
          </w:p>
        </w:tc>
        <w:tc>
          <w:tcPr>
            <w:tcW w:w="412" w:type="dxa"/>
            <w:shd w:val="clear" w:color="auto" w:fill="FFFFFF"/>
            <w:tcMar>
              <w:top w:w="20" w:type="dxa"/>
              <w:bottom w:w="20" w:type="dxa"/>
            </w:tcMar>
            <w:vAlign w:val="bottom"/>
          </w:tcPr>
          <w:p w:rsidR="00BD3B5F" w:rsidRPr="005C3B55" w:rsidRDefault="00BD3B5F">
            <w:pPr>
              <w:jc w:val="center"/>
              <w:rPr>
                <w:szCs w:val="24"/>
              </w:rPr>
            </w:pP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1052"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1538"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910" w:type="dxa"/>
            <w:shd w:val="clear" w:color="auto" w:fill="FFFFFF"/>
            <w:tcMar>
              <w:top w:w="20" w:type="dxa"/>
              <w:bottom w:w="20" w:type="dxa"/>
            </w:tcMar>
            <w:vAlign w:val="bottom"/>
          </w:tcPr>
          <w:p w:rsidR="00BD3B5F" w:rsidRPr="005C3B55" w:rsidRDefault="00BD3B5F">
            <w:pPr>
              <w:jc w:val="center"/>
              <w:rPr>
                <w:szCs w:val="24"/>
              </w:rPr>
            </w:pPr>
          </w:p>
        </w:tc>
      </w:tr>
      <w:tr w:rsidR="00BD3B5F" w:rsidRPr="005C3B55">
        <w:tc>
          <w:tcPr>
            <w:tcW w:w="3448" w:type="dxa"/>
            <w:shd w:val="clear" w:color="auto" w:fill="FFFFFF"/>
            <w:tcMar>
              <w:top w:w="20" w:type="dxa"/>
              <w:bottom w:w="20" w:type="dxa"/>
            </w:tcMar>
            <w:vAlign w:val="bottom"/>
          </w:tcPr>
          <w:p w:rsidR="00BD3B5F" w:rsidRPr="005C3B55" w:rsidRDefault="00BD3B5F">
            <w:pPr>
              <w:jc w:val="left"/>
              <w:rPr>
                <w:szCs w:val="24"/>
              </w:rPr>
            </w:pPr>
            <w:r w:rsidRPr="005C3B55">
              <w:rPr>
                <w:sz w:val="16"/>
                <w:szCs w:val="24"/>
              </w:rPr>
              <w:t>N03 - Improving the age structure of owners of agricultural holdings</w:t>
            </w:r>
          </w:p>
        </w:tc>
        <w:tc>
          <w:tcPr>
            <w:tcW w:w="412" w:type="dxa"/>
            <w:shd w:val="clear" w:color="auto" w:fill="FFFFFF"/>
            <w:tcMar>
              <w:top w:w="20" w:type="dxa"/>
              <w:bottom w:w="20" w:type="dxa"/>
            </w:tcMar>
            <w:vAlign w:val="bottom"/>
          </w:tcPr>
          <w:p w:rsidR="00BD3B5F" w:rsidRPr="005C3B55" w:rsidRDefault="00BD3B5F">
            <w:pPr>
              <w:jc w:val="center"/>
              <w:rPr>
                <w:sz w:val="16"/>
                <w:szCs w:val="24"/>
              </w:rPr>
            </w:pPr>
          </w:p>
        </w:tc>
        <w:tc>
          <w:tcPr>
            <w:tcW w:w="403" w:type="dxa"/>
            <w:shd w:val="clear" w:color="auto" w:fill="FFFFFF"/>
            <w:tcMar>
              <w:top w:w="20" w:type="dxa"/>
              <w:bottom w:w="20" w:type="dxa"/>
            </w:tcMar>
            <w:vAlign w:val="bottom"/>
          </w:tcPr>
          <w:p w:rsidR="00BD3B5F" w:rsidRPr="005C3B55" w:rsidRDefault="00BD3B5F">
            <w:pPr>
              <w:jc w:val="center"/>
              <w:rPr>
                <w:sz w:val="16"/>
                <w:szCs w:val="24"/>
              </w:rPr>
            </w:pPr>
          </w:p>
        </w:tc>
        <w:tc>
          <w:tcPr>
            <w:tcW w:w="403"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412"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403"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412" w:type="dxa"/>
            <w:shd w:val="clear" w:color="auto" w:fill="FFFFFF"/>
            <w:tcMar>
              <w:top w:w="20" w:type="dxa"/>
              <w:bottom w:w="20" w:type="dxa"/>
            </w:tcMar>
            <w:vAlign w:val="bottom"/>
          </w:tcPr>
          <w:p w:rsidR="00BD3B5F" w:rsidRPr="005C3B55" w:rsidRDefault="00BD3B5F">
            <w:pPr>
              <w:jc w:val="center"/>
              <w:rPr>
                <w:szCs w:val="24"/>
              </w:rPr>
            </w:pP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412" w:type="dxa"/>
            <w:shd w:val="clear" w:color="auto" w:fill="FFFFFF"/>
            <w:tcMar>
              <w:top w:w="20" w:type="dxa"/>
              <w:bottom w:w="20" w:type="dxa"/>
            </w:tcMar>
            <w:vAlign w:val="bottom"/>
          </w:tcPr>
          <w:p w:rsidR="00BD3B5F" w:rsidRPr="005C3B55" w:rsidRDefault="00BD3B5F">
            <w:pPr>
              <w:jc w:val="center"/>
              <w:rPr>
                <w:szCs w:val="24"/>
              </w:rPr>
            </w:pP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412" w:type="dxa"/>
            <w:shd w:val="clear" w:color="auto" w:fill="FFFFFF"/>
            <w:tcMar>
              <w:top w:w="20" w:type="dxa"/>
              <w:bottom w:w="20" w:type="dxa"/>
            </w:tcMar>
            <w:vAlign w:val="bottom"/>
          </w:tcPr>
          <w:p w:rsidR="00BD3B5F" w:rsidRPr="005C3B55" w:rsidRDefault="00BD3B5F">
            <w:pPr>
              <w:jc w:val="center"/>
              <w:rPr>
                <w:szCs w:val="24"/>
              </w:rPr>
            </w:pP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412" w:type="dxa"/>
            <w:shd w:val="clear" w:color="auto" w:fill="FFFFFF"/>
            <w:tcMar>
              <w:top w:w="20" w:type="dxa"/>
              <w:bottom w:w="20" w:type="dxa"/>
            </w:tcMar>
            <w:vAlign w:val="bottom"/>
          </w:tcPr>
          <w:p w:rsidR="00BD3B5F" w:rsidRPr="005C3B55" w:rsidRDefault="00BD3B5F">
            <w:pPr>
              <w:jc w:val="center"/>
              <w:rPr>
                <w:szCs w:val="24"/>
              </w:rPr>
            </w:pPr>
          </w:p>
        </w:tc>
        <w:tc>
          <w:tcPr>
            <w:tcW w:w="394" w:type="dxa"/>
            <w:shd w:val="clear" w:color="auto" w:fill="FFFFFF"/>
            <w:tcMar>
              <w:top w:w="20" w:type="dxa"/>
              <w:bottom w:w="20" w:type="dxa"/>
            </w:tcMar>
            <w:vAlign w:val="bottom"/>
          </w:tcPr>
          <w:p w:rsidR="00BD3B5F" w:rsidRPr="005C3B55" w:rsidRDefault="00BD3B5F">
            <w:pPr>
              <w:jc w:val="center"/>
              <w:rPr>
                <w:szCs w:val="24"/>
              </w:rPr>
            </w:pPr>
          </w:p>
        </w:tc>
        <w:tc>
          <w:tcPr>
            <w:tcW w:w="412" w:type="dxa"/>
            <w:shd w:val="clear" w:color="auto" w:fill="FFFFFF"/>
            <w:tcMar>
              <w:top w:w="20" w:type="dxa"/>
              <w:bottom w:w="20" w:type="dxa"/>
            </w:tcMar>
            <w:vAlign w:val="bottom"/>
          </w:tcPr>
          <w:p w:rsidR="00BD3B5F" w:rsidRPr="005C3B55" w:rsidRDefault="00BD3B5F">
            <w:pPr>
              <w:jc w:val="center"/>
              <w:rPr>
                <w:szCs w:val="24"/>
              </w:rPr>
            </w:pP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1052"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1538"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910"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r>
      <w:tr w:rsidR="00BD3B5F" w:rsidRPr="005C3B55">
        <w:tc>
          <w:tcPr>
            <w:tcW w:w="3448" w:type="dxa"/>
            <w:shd w:val="clear" w:color="auto" w:fill="FFFFFF"/>
            <w:tcMar>
              <w:top w:w="20" w:type="dxa"/>
              <w:bottom w:w="20" w:type="dxa"/>
            </w:tcMar>
            <w:vAlign w:val="bottom"/>
          </w:tcPr>
          <w:p w:rsidR="00BD3B5F" w:rsidRPr="005C3B55" w:rsidRDefault="00BD3B5F">
            <w:pPr>
              <w:jc w:val="left"/>
              <w:rPr>
                <w:szCs w:val="24"/>
              </w:rPr>
            </w:pPr>
            <w:r w:rsidRPr="005C3B55">
              <w:rPr>
                <w:sz w:val="16"/>
                <w:szCs w:val="24"/>
              </w:rPr>
              <w:t>N04 - Improving qualifications in agriculture, forestry and the food industry</w:t>
            </w:r>
          </w:p>
        </w:tc>
        <w:tc>
          <w:tcPr>
            <w:tcW w:w="412"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403"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412"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403"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412"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412"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403"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403"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412"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403"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403"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412" w:type="dxa"/>
            <w:shd w:val="clear" w:color="auto" w:fill="FFFFFF"/>
            <w:tcMar>
              <w:top w:w="20" w:type="dxa"/>
              <w:bottom w:w="20" w:type="dxa"/>
            </w:tcMar>
            <w:vAlign w:val="bottom"/>
          </w:tcPr>
          <w:p w:rsidR="00BD3B5F" w:rsidRPr="005C3B55" w:rsidRDefault="00BD3B5F">
            <w:pPr>
              <w:jc w:val="center"/>
              <w:rPr>
                <w:szCs w:val="24"/>
              </w:rPr>
            </w:pPr>
          </w:p>
        </w:tc>
        <w:tc>
          <w:tcPr>
            <w:tcW w:w="394" w:type="dxa"/>
            <w:shd w:val="clear" w:color="auto" w:fill="FFFFFF"/>
            <w:tcMar>
              <w:top w:w="20" w:type="dxa"/>
              <w:bottom w:w="20" w:type="dxa"/>
            </w:tcMar>
            <w:vAlign w:val="bottom"/>
          </w:tcPr>
          <w:p w:rsidR="00BD3B5F" w:rsidRPr="005C3B55" w:rsidRDefault="00BD3B5F">
            <w:pPr>
              <w:jc w:val="center"/>
              <w:rPr>
                <w:szCs w:val="24"/>
              </w:rPr>
            </w:pPr>
          </w:p>
        </w:tc>
        <w:tc>
          <w:tcPr>
            <w:tcW w:w="412" w:type="dxa"/>
            <w:shd w:val="clear" w:color="auto" w:fill="FFFFFF"/>
            <w:tcMar>
              <w:top w:w="20" w:type="dxa"/>
              <w:bottom w:w="20" w:type="dxa"/>
            </w:tcMar>
            <w:vAlign w:val="bottom"/>
          </w:tcPr>
          <w:p w:rsidR="00BD3B5F" w:rsidRPr="005C3B55" w:rsidRDefault="00BD3B5F">
            <w:pPr>
              <w:jc w:val="center"/>
              <w:rPr>
                <w:szCs w:val="24"/>
              </w:rPr>
            </w:pP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1052"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1538"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910"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r>
      <w:tr w:rsidR="00BD3B5F" w:rsidRPr="005C3B55">
        <w:tc>
          <w:tcPr>
            <w:tcW w:w="3448" w:type="dxa"/>
            <w:shd w:val="clear" w:color="auto" w:fill="FFFFFF"/>
            <w:tcMar>
              <w:top w:w="20" w:type="dxa"/>
              <w:bottom w:w="20" w:type="dxa"/>
            </w:tcMar>
            <w:vAlign w:val="bottom"/>
          </w:tcPr>
          <w:p w:rsidR="00BD3B5F" w:rsidRPr="005C3B55" w:rsidRDefault="00BD3B5F">
            <w:pPr>
              <w:jc w:val="left"/>
              <w:rPr>
                <w:szCs w:val="24"/>
              </w:rPr>
            </w:pPr>
            <w:r w:rsidRPr="005C3B55">
              <w:rPr>
                <w:sz w:val="16"/>
                <w:szCs w:val="24"/>
              </w:rPr>
              <w:t>N05 - Upgrading the qualifications of consultants</w:t>
            </w:r>
          </w:p>
        </w:tc>
        <w:tc>
          <w:tcPr>
            <w:tcW w:w="412"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412"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412"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412"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403"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403"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412" w:type="dxa"/>
            <w:shd w:val="clear" w:color="auto" w:fill="FFFFFF"/>
            <w:tcMar>
              <w:top w:w="20" w:type="dxa"/>
              <w:bottom w:w="20" w:type="dxa"/>
            </w:tcMar>
            <w:vAlign w:val="bottom"/>
          </w:tcPr>
          <w:p w:rsidR="00BD3B5F" w:rsidRPr="005C3B55" w:rsidRDefault="00BD3B5F">
            <w:pPr>
              <w:jc w:val="center"/>
              <w:rPr>
                <w:szCs w:val="24"/>
              </w:rPr>
            </w:pP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412" w:type="dxa"/>
            <w:shd w:val="clear" w:color="auto" w:fill="FFFFFF"/>
            <w:tcMar>
              <w:top w:w="20" w:type="dxa"/>
              <w:bottom w:w="20" w:type="dxa"/>
            </w:tcMar>
            <w:vAlign w:val="bottom"/>
          </w:tcPr>
          <w:p w:rsidR="00BD3B5F" w:rsidRPr="005C3B55" w:rsidRDefault="00BD3B5F">
            <w:pPr>
              <w:jc w:val="center"/>
              <w:rPr>
                <w:szCs w:val="24"/>
              </w:rPr>
            </w:pPr>
          </w:p>
        </w:tc>
        <w:tc>
          <w:tcPr>
            <w:tcW w:w="394" w:type="dxa"/>
            <w:shd w:val="clear" w:color="auto" w:fill="FFFFFF"/>
            <w:tcMar>
              <w:top w:w="20" w:type="dxa"/>
              <w:bottom w:w="20" w:type="dxa"/>
            </w:tcMar>
            <w:vAlign w:val="bottom"/>
          </w:tcPr>
          <w:p w:rsidR="00BD3B5F" w:rsidRPr="005C3B55" w:rsidRDefault="00BD3B5F">
            <w:pPr>
              <w:jc w:val="center"/>
              <w:rPr>
                <w:szCs w:val="24"/>
              </w:rPr>
            </w:pPr>
          </w:p>
        </w:tc>
        <w:tc>
          <w:tcPr>
            <w:tcW w:w="412" w:type="dxa"/>
            <w:shd w:val="clear" w:color="auto" w:fill="FFFFFF"/>
            <w:tcMar>
              <w:top w:w="20" w:type="dxa"/>
              <w:bottom w:w="20" w:type="dxa"/>
            </w:tcMar>
            <w:vAlign w:val="bottom"/>
          </w:tcPr>
          <w:p w:rsidR="00BD3B5F" w:rsidRPr="005C3B55" w:rsidRDefault="00BD3B5F">
            <w:pPr>
              <w:jc w:val="center"/>
              <w:rPr>
                <w:szCs w:val="24"/>
              </w:rPr>
            </w:pP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1052"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1538"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910"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r>
      <w:tr w:rsidR="00BD3B5F" w:rsidRPr="005C3B55">
        <w:tc>
          <w:tcPr>
            <w:tcW w:w="3448" w:type="dxa"/>
            <w:shd w:val="clear" w:color="auto" w:fill="FFFFFF"/>
            <w:tcMar>
              <w:top w:w="20" w:type="dxa"/>
              <w:bottom w:w="20" w:type="dxa"/>
            </w:tcMar>
            <w:vAlign w:val="bottom"/>
          </w:tcPr>
          <w:p w:rsidR="00BD3B5F" w:rsidRPr="005C3B55" w:rsidRDefault="00BD3B5F">
            <w:pPr>
              <w:jc w:val="left"/>
              <w:rPr>
                <w:szCs w:val="24"/>
              </w:rPr>
            </w:pPr>
            <w:r w:rsidRPr="005C3B55">
              <w:rPr>
                <w:sz w:val="16"/>
                <w:szCs w:val="24"/>
              </w:rPr>
              <w:t>N06 - Guaranteeing specialised advisory services in the agricultural sector</w:t>
            </w:r>
          </w:p>
        </w:tc>
        <w:tc>
          <w:tcPr>
            <w:tcW w:w="412"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412" w:type="dxa"/>
            <w:shd w:val="clear" w:color="auto" w:fill="FFFFFF"/>
            <w:tcMar>
              <w:top w:w="20" w:type="dxa"/>
              <w:bottom w:w="20" w:type="dxa"/>
            </w:tcMar>
            <w:vAlign w:val="bottom"/>
          </w:tcPr>
          <w:p w:rsidR="00BD3B5F" w:rsidRPr="005C3B55" w:rsidRDefault="00BD3B5F">
            <w:pPr>
              <w:jc w:val="center"/>
              <w:rPr>
                <w:szCs w:val="24"/>
              </w:rPr>
            </w:pP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412"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412"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403"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403"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412" w:type="dxa"/>
            <w:shd w:val="clear" w:color="auto" w:fill="FFFFFF"/>
            <w:tcMar>
              <w:top w:w="20" w:type="dxa"/>
              <w:bottom w:w="20" w:type="dxa"/>
            </w:tcMar>
            <w:vAlign w:val="bottom"/>
          </w:tcPr>
          <w:p w:rsidR="00BD3B5F" w:rsidRPr="005C3B55" w:rsidRDefault="00BD3B5F">
            <w:pPr>
              <w:jc w:val="center"/>
              <w:rPr>
                <w:szCs w:val="24"/>
              </w:rPr>
            </w:pP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412" w:type="dxa"/>
            <w:shd w:val="clear" w:color="auto" w:fill="FFFFFF"/>
            <w:tcMar>
              <w:top w:w="20" w:type="dxa"/>
              <w:bottom w:w="20" w:type="dxa"/>
            </w:tcMar>
            <w:vAlign w:val="bottom"/>
          </w:tcPr>
          <w:p w:rsidR="00BD3B5F" w:rsidRPr="005C3B55" w:rsidRDefault="00BD3B5F">
            <w:pPr>
              <w:jc w:val="center"/>
              <w:rPr>
                <w:szCs w:val="24"/>
              </w:rPr>
            </w:pPr>
          </w:p>
        </w:tc>
        <w:tc>
          <w:tcPr>
            <w:tcW w:w="394" w:type="dxa"/>
            <w:shd w:val="clear" w:color="auto" w:fill="FFFFFF"/>
            <w:tcMar>
              <w:top w:w="20" w:type="dxa"/>
              <w:bottom w:w="20" w:type="dxa"/>
            </w:tcMar>
            <w:vAlign w:val="bottom"/>
          </w:tcPr>
          <w:p w:rsidR="00BD3B5F" w:rsidRPr="005C3B55" w:rsidRDefault="00BD3B5F">
            <w:pPr>
              <w:jc w:val="center"/>
              <w:rPr>
                <w:szCs w:val="24"/>
              </w:rPr>
            </w:pPr>
          </w:p>
        </w:tc>
        <w:tc>
          <w:tcPr>
            <w:tcW w:w="412" w:type="dxa"/>
            <w:shd w:val="clear" w:color="auto" w:fill="FFFFFF"/>
            <w:tcMar>
              <w:top w:w="20" w:type="dxa"/>
              <w:bottom w:w="20" w:type="dxa"/>
            </w:tcMar>
            <w:vAlign w:val="bottom"/>
          </w:tcPr>
          <w:p w:rsidR="00BD3B5F" w:rsidRPr="005C3B55" w:rsidRDefault="00BD3B5F">
            <w:pPr>
              <w:jc w:val="center"/>
              <w:rPr>
                <w:szCs w:val="24"/>
              </w:rPr>
            </w:pP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1052"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1538"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910" w:type="dxa"/>
            <w:shd w:val="clear" w:color="auto" w:fill="FFFFFF"/>
            <w:tcMar>
              <w:top w:w="20" w:type="dxa"/>
              <w:bottom w:w="20" w:type="dxa"/>
            </w:tcMar>
            <w:vAlign w:val="bottom"/>
          </w:tcPr>
          <w:p w:rsidR="00BD3B5F" w:rsidRPr="005C3B55" w:rsidRDefault="00BD3B5F">
            <w:pPr>
              <w:jc w:val="center"/>
              <w:rPr>
                <w:szCs w:val="24"/>
              </w:rPr>
            </w:pPr>
          </w:p>
        </w:tc>
      </w:tr>
      <w:tr w:rsidR="00BD3B5F" w:rsidRPr="005C3B55">
        <w:tc>
          <w:tcPr>
            <w:tcW w:w="3448" w:type="dxa"/>
            <w:shd w:val="clear" w:color="auto" w:fill="FFFFFF"/>
            <w:tcMar>
              <w:top w:w="20" w:type="dxa"/>
              <w:bottom w:w="20" w:type="dxa"/>
            </w:tcMar>
            <w:vAlign w:val="bottom"/>
          </w:tcPr>
          <w:p w:rsidR="00BD3B5F" w:rsidRPr="005C3B55" w:rsidRDefault="00BD3B5F">
            <w:pPr>
              <w:jc w:val="left"/>
              <w:rPr>
                <w:szCs w:val="24"/>
              </w:rPr>
            </w:pPr>
            <w:r w:rsidRPr="005C3B55">
              <w:rPr>
                <w:sz w:val="16"/>
                <w:szCs w:val="24"/>
              </w:rPr>
              <w:t>N07 - More efficient transfer of knowledge and innovation in agriculture, the food industry and forestry</w:t>
            </w:r>
          </w:p>
        </w:tc>
        <w:tc>
          <w:tcPr>
            <w:tcW w:w="412"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403"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412"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412"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412"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403"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403"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412"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412"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394" w:type="dxa"/>
            <w:shd w:val="clear" w:color="auto" w:fill="FFFFFF"/>
            <w:tcMar>
              <w:top w:w="20" w:type="dxa"/>
              <w:bottom w:w="20" w:type="dxa"/>
            </w:tcMar>
            <w:vAlign w:val="bottom"/>
          </w:tcPr>
          <w:p w:rsidR="00BD3B5F" w:rsidRPr="005C3B55" w:rsidRDefault="00BD3B5F">
            <w:pPr>
              <w:jc w:val="center"/>
              <w:rPr>
                <w:szCs w:val="24"/>
              </w:rPr>
            </w:pPr>
          </w:p>
        </w:tc>
        <w:tc>
          <w:tcPr>
            <w:tcW w:w="412"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1052"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1538"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910"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r>
      <w:tr w:rsidR="00BD3B5F" w:rsidRPr="005C3B55">
        <w:tc>
          <w:tcPr>
            <w:tcW w:w="3448" w:type="dxa"/>
            <w:shd w:val="clear" w:color="auto" w:fill="FFFFFF"/>
            <w:tcMar>
              <w:top w:w="20" w:type="dxa"/>
              <w:bottom w:w="20" w:type="dxa"/>
            </w:tcMar>
            <w:vAlign w:val="bottom"/>
          </w:tcPr>
          <w:p w:rsidR="00BD3B5F" w:rsidRPr="005C3B55" w:rsidRDefault="00BD3B5F">
            <w:pPr>
              <w:jc w:val="left"/>
              <w:rPr>
                <w:szCs w:val="24"/>
              </w:rPr>
            </w:pPr>
            <w:r w:rsidRPr="005C3B55">
              <w:rPr>
                <w:sz w:val="16"/>
                <w:szCs w:val="24"/>
              </w:rPr>
              <w:t>N08 - Preserving and/or improving biodiversity in habitats related to agricultural landscape</w:t>
            </w:r>
          </w:p>
        </w:tc>
        <w:tc>
          <w:tcPr>
            <w:tcW w:w="412"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403"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403"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412" w:type="dxa"/>
            <w:shd w:val="clear" w:color="auto" w:fill="FFFFFF"/>
            <w:tcMar>
              <w:top w:w="20" w:type="dxa"/>
              <w:bottom w:w="20" w:type="dxa"/>
            </w:tcMar>
            <w:vAlign w:val="bottom"/>
          </w:tcPr>
          <w:p w:rsidR="00BD3B5F" w:rsidRPr="005C3B55" w:rsidRDefault="00BD3B5F">
            <w:pPr>
              <w:jc w:val="center"/>
              <w:rPr>
                <w:szCs w:val="24"/>
              </w:rPr>
            </w:pP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412" w:type="dxa"/>
            <w:shd w:val="clear" w:color="auto" w:fill="FFFFFF"/>
            <w:tcMar>
              <w:top w:w="20" w:type="dxa"/>
              <w:bottom w:w="20" w:type="dxa"/>
            </w:tcMar>
            <w:vAlign w:val="bottom"/>
          </w:tcPr>
          <w:p w:rsidR="00BD3B5F" w:rsidRPr="005C3B55" w:rsidRDefault="00BD3B5F">
            <w:pPr>
              <w:jc w:val="center"/>
              <w:rPr>
                <w:szCs w:val="24"/>
              </w:rPr>
            </w:pP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412"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403"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403"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412" w:type="dxa"/>
            <w:shd w:val="clear" w:color="auto" w:fill="FFFFFF"/>
            <w:tcMar>
              <w:top w:w="20" w:type="dxa"/>
              <w:bottom w:w="20" w:type="dxa"/>
            </w:tcMar>
            <w:vAlign w:val="bottom"/>
          </w:tcPr>
          <w:p w:rsidR="00BD3B5F" w:rsidRPr="005C3B55" w:rsidRDefault="00BD3B5F">
            <w:pPr>
              <w:jc w:val="center"/>
              <w:rPr>
                <w:szCs w:val="24"/>
              </w:rPr>
            </w:pP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412" w:type="dxa"/>
            <w:shd w:val="clear" w:color="auto" w:fill="FFFFFF"/>
            <w:tcMar>
              <w:top w:w="20" w:type="dxa"/>
              <w:bottom w:w="20" w:type="dxa"/>
            </w:tcMar>
            <w:vAlign w:val="bottom"/>
          </w:tcPr>
          <w:p w:rsidR="00BD3B5F" w:rsidRPr="005C3B55" w:rsidRDefault="00BD3B5F">
            <w:pPr>
              <w:jc w:val="center"/>
              <w:rPr>
                <w:szCs w:val="24"/>
              </w:rPr>
            </w:pPr>
          </w:p>
        </w:tc>
        <w:tc>
          <w:tcPr>
            <w:tcW w:w="394" w:type="dxa"/>
            <w:shd w:val="clear" w:color="auto" w:fill="FFFFFF"/>
            <w:tcMar>
              <w:top w:w="20" w:type="dxa"/>
              <w:bottom w:w="20" w:type="dxa"/>
            </w:tcMar>
            <w:vAlign w:val="bottom"/>
          </w:tcPr>
          <w:p w:rsidR="00BD3B5F" w:rsidRPr="005C3B55" w:rsidRDefault="00BD3B5F">
            <w:pPr>
              <w:jc w:val="center"/>
              <w:rPr>
                <w:szCs w:val="24"/>
              </w:rPr>
            </w:pPr>
          </w:p>
        </w:tc>
        <w:tc>
          <w:tcPr>
            <w:tcW w:w="412" w:type="dxa"/>
            <w:shd w:val="clear" w:color="auto" w:fill="FFFFFF"/>
            <w:tcMar>
              <w:top w:w="20" w:type="dxa"/>
              <w:bottom w:w="20" w:type="dxa"/>
            </w:tcMar>
            <w:vAlign w:val="bottom"/>
          </w:tcPr>
          <w:p w:rsidR="00BD3B5F" w:rsidRPr="005C3B55" w:rsidRDefault="00BD3B5F">
            <w:pPr>
              <w:jc w:val="center"/>
              <w:rPr>
                <w:szCs w:val="24"/>
              </w:rPr>
            </w:pP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1052"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1538"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910" w:type="dxa"/>
            <w:shd w:val="clear" w:color="auto" w:fill="FFFFFF"/>
            <w:tcMar>
              <w:top w:w="20" w:type="dxa"/>
              <w:bottom w:w="20" w:type="dxa"/>
            </w:tcMar>
            <w:vAlign w:val="bottom"/>
          </w:tcPr>
          <w:p w:rsidR="00BD3B5F" w:rsidRPr="005C3B55" w:rsidRDefault="00BD3B5F">
            <w:pPr>
              <w:jc w:val="center"/>
              <w:rPr>
                <w:szCs w:val="24"/>
              </w:rPr>
            </w:pPr>
          </w:p>
        </w:tc>
      </w:tr>
      <w:tr w:rsidR="00BD3B5F" w:rsidRPr="005C3B55">
        <w:tc>
          <w:tcPr>
            <w:tcW w:w="3448" w:type="dxa"/>
            <w:shd w:val="clear" w:color="auto" w:fill="FFFFFF"/>
            <w:tcMar>
              <w:top w:w="20" w:type="dxa"/>
              <w:bottom w:w="20" w:type="dxa"/>
            </w:tcMar>
            <w:vAlign w:val="bottom"/>
          </w:tcPr>
          <w:p w:rsidR="00BD3B5F" w:rsidRPr="005C3B55" w:rsidRDefault="00BD3B5F">
            <w:pPr>
              <w:jc w:val="left"/>
              <w:rPr>
                <w:szCs w:val="24"/>
              </w:rPr>
            </w:pPr>
            <w:r w:rsidRPr="005C3B55">
              <w:rPr>
                <w:sz w:val="16"/>
                <w:szCs w:val="24"/>
              </w:rPr>
              <w:t>N09 - Reducing the negative impacts of agriculture on the quality of surface water and groundwater</w:t>
            </w:r>
          </w:p>
        </w:tc>
        <w:tc>
          <w:tcPr>
            <w:tcW w:w="412"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403"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403"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412"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412" w:type="dxa"/>
            <w:shd w:val="clear" w:color="auto" w:fill="FFFFFF"/>
            <w:tcMar>
              <w:top w:w="20" w:type="dxa"/>
              <w:bottom w:w="20" w:type="dxa"/>
            </w:tcMar>
            <w:vAlign w:val="bottom"/>
          </w:tcPr>
          <w:p w:rsidR="00BD3B5F" w:rsidRPr="005C3B55" w:rsidRDefault="00BD3B5F">
            <w:pPr>
              <w:jc w:val="center"/>
              <w:rPr>
                <w:szCs w:val="24"/>
              </w:rPr>
            </w:pP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412"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403"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403"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412" w:type="dxa"/>
            <w:shd w:val="clear" w:color="auto" w:fill="FFFFFF"/>
            <w:tcMar>
              <w:top w:w="20" w:type="dxa"/>
              <w:bottom w:w="20" w:type="dxa"/>
            </w:tcMar>
            <w:vAlign w:val="bottom"/>
          </w:tcPr>
          <w:p w:rsidR="00BD3B5F" w:rsidRPr="005C3B55" w:rsidRDefault="00BD3B5F">
            <w:pPr>
              <w:jc w:val="center"/>
              <w:rPr>
                <w:szCs w:val="24"/>
              </w:rPr>
            </w:pP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412" w:type="dxa"/>
            <w:shd w:val="clear" w:color="auto" w:fill="FFFFFF"/>
            <w:tcMar>
              <w:top w:w="20" w:type="dxa"/>
              <w:bottom w:w="20" w:type="dxa"/>
            </w:tcMar>
            <w:vAlign w:val="bottom"/>
          </w:tcPr>
          <w:p w:rsidR="00BD3B5F" w:rsidRPr="005C3B55" w:rsidRDefault="00BD3B5F">
            <w:pPr>
              <w:jc w:val="center"/>
              <w:rPr>
                <w:szCs w:val="24"/>
              </w:rPr>
            </w:pPr>
          </w:p>
        </w:tc>
        <w:tc>
          <w:tcPr>
            <w:tcW w:w="394" w:type="dxa"/>
            <w:shd w:val="clear" w:color="auto" w:fill="FFFFFF"/>
            <w:tcMar>
              <w:top w:w="20" w:type="dxa"/>
              <w:bottom w:w="20" w:type="dxa"/>
            </w:tcMar>
            <w:vAlign w:val="bottom"/>
          </w:tcPr>
          <w:p w:rsidR="00BD3B5F" w:rsidRPr="005C3B55" w:rsidRDefault="00BD3B5F">
            <w:pPr>
              <w:jc w:val="center"/>
              <w:rPr>
                <w:szCs w:val="24"/>
              </w:rPr>
            </w:pPr>
          </w:p>
        </w:tc>
        <w:tc>
          <w:tcPr>
            <w:tcW w:w="412" w:type="dxa"/>
            <w:shd w:val="clear" w:color="auto" w:fill="FFFFFF"/>
            <w:tcMar>
              <w:top w:w="20" w:type="dxa"/>
              <w:bottom w:w="20" w:type="dxa"/>
            </w:tcMar>
            <w:vAlign w:val="bottom"/>
          </w:tcPr>
          <w:p w:rsidR="00BD3B5F" w:rsidRPr="005C3B55" w:rsidRDefault="00BD3B5F">
            <w:pPr>
              <w:jc w:val="center"/>
              <w:rPr>
                <w:szCs w:val="24"/>
              </w:rPr>
            </w:pP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1052"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1538"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910"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r>
      <w:tr w:rsidR="00BD3B5F" w:rsidRPr="005C3B55">
        <w:tc>
          <w:tcPr>
            <w:tcW w:w="3448" w:type="dxa"/>
            <w:shd w:val="clear" w:color="auto" w:fill="FFFFFF"/>
            <w:tcMar>
              <w:top w:w="20" w:type="dxa"/>
              <w:bottom w:w="20" w:type="dxa"/>
            </w:tcMar>
            <w:vAlign w:val="bottom"/>
          </w:tcPr>
          <w:p w:rsidR="00BD3B5F" w:rsidRPr="005C3B55" w:rsidRDefault="00BD3B5F">
            <w:pPr>
              <w:jc w:val="left"/>
              <w:rPr>
                <w:szCs w:val="24"/>
              </w:rPr>
            </w:pPr>
            <w:r w:rsidRPr="005C3B55">
              <w:rPr>
                <w:sz w:val="16"/>
                <w:szCs w:val="24"/>
              </w:rPr>
              <w:t>N10 - Preserving or improving productive potential of soil</w:t>
            </w:r>
          </w:p>
        </w:tc>
        <w:tc>
          <w:tcPr>
            <w:tcW w:w="412"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403"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412" w:type="dxa"/>
            <w:shd w:val="clear" w:color="auto" w:fill="FFFFFF"/>
            <w:tcMar>
              <w:top w:w="20" w:type="dxa"/>
              <w:bottom w:w="20" w:type="dxa"/>
            </w:tcMar>
            <w:vAlign w:val="bottom"/>
          </w:tcPr>
          <w:p w:rsidR="00BD3B5F" w:rsidRPr="005C3B55" w:rsidRDefault="00BD3B5F">
            <w:pPr>
              <w:jc w:val="center"/>
              <w:rPr>
                <w:szCs w:val="24"/>
              </w:rPr>
            </w:pP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412" w:type="dxa"/>
            <w:shd w:val="clear" w:color="auto" w:fill="FFFFFF"/>
            <w:tcMar>
              <w:top w:w="20" w:type="dxa"/>
              <w:bottom w:w="20" w:type="dxa"/>
            </w:tcMar>
            <w:vAlign w:val="bottom"/>
          </w:tcPr>
          <w:p w:rsidR="00BD3B5F" w:rsidRPr="005C3B55" w:rsidRDefault="00BD3B5F">
            <w:pPr>
              <w:jc w:val="center"/>
              <w:rPr>
                <w:szCs w:val="24"/>
              </w:rPr>
            </w:pP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412"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403"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403"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412" w:type="dxa"/>
            <w:shd w:val="clear" w:color="auto" w:fill="FFFFFF"/>
            <w:tcMar>
              <w:top w:w="20" w:type="dxa"/>
              <w:bottom w:w="20" w:type="dxa"/>
            </w:tcMar>
            <w:vAlign w:val="bottom"/>
          </w:tcPr>
          <w:p w:rsidR="00BD3B5F" w:rsidRPr="005C3B55" w:rsidRDefault="00BD3B5F">
            <w:pPr>
              <w:jc w:val="center"/>
              <w:rPr>
                <w:szCs w:val="24"/>
              </w:rPr>
            </w:pP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412" w:type="dxa"/>
            <w:shd w:val="clear" w:color="auto" w:fill="FFFFFF"/>
            <w:tcMar>
              <w:top w:w="20" w:type="dxa"/>
              <w:bottom w:w="20" w:type="dxa"/>
            </w:tcMar>
            <w:vAlign w:val="bottom"/>
          </w:tcPr>
          <w:p w:rsidR="00BD3B5F" w:rsidRPr="005C3B55" w:rsidRDefault="00BD3B5F">
            <w:pPr>
              <w:jc w:val="center"/>
              <w:rPr>
                <w:szCs w:val="24"/>
              </w:rPr>
            </w:pPr>
          </w:p>
        </w:tc>
        <w:tc>
          <w:tcPr>
            <w:tcW w:w="394" w:type="dxa"/>
            <w:shd w:val="clear" w:color="auto" w:fill="FFFFFF"/>
            <w:tcMar>
              <w:top w:w="20" w:type="dxa"/>
              <w:bottom w:w="20" w:type="dxa"/>
            </w:tcMar>
            <w:vAlign w:val="bottom"/>
          </w:tcPr>
          <w:p w:rsidR="00BD3B5F" w:rsidRPr="005C3B55" w:rsidRDefault="00BD3B5F">
            <w:pPr>
              <w:jc w:val="center"/>
              <w:rPr>
                <w:szCs w:val="24"/>
              </w:rPr>
            </w:pPr>
          </w:p>
        </w:tc>
        <w:tc>
          <w:tcPr>
            <w:tcW w:w="412" w:type="dxa"/>
            <w:shd w:val="clear" w:color="auto" w:fill="FFFFFF"/>
            <w:tcMar>
              <w:top w:w="20" w:type="dxa"/>
              <w:bottom w:w="20" w:type="dxa"/>
            </w:tcMar>
            <w:vAlign w:val="bottom"/>
          </w:tcPr>
          <w:p w:rsidR="00BD3B5F" w:rsidRPr="005C3B55" w:rsidRDefault="00BD3B5F">
            <w:pPr>
              <w:jc w:val="center"/>
              <w:rPr>
                <w:szCs w:val="24"/>
              </w:rPr>
            </w:pP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1052"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1538" w:type="dxa"/>
            <w:shd w:val="clear" w:color="auto" w:fill="FFFFFF"/>
            <w:tcMar>
              <w:top w:w="20" w:type="dxa"/>
              <w:bottom w:w="20" w:type="dxa"/>
            </w:tcMar>
            <w:vAlign w:val="bottom"/>
          </w:tcPr>
          <w:p w:rsidR="00BD3B5F" w:rsidRPr="005C3B55" w:rsidRDefault="00BD3B5F">
            <w:pPr>
              <w:jc w:val="center"/>
              <w:rPr>
                <w:szCs w:val="24"/>
              </w:rPr>
            </w:pPr>
          </w:p>
        </w:tc>
        <w:tc>
          <w:tcPr>
            <w:tcW w:w="910" w:type="dxa"/>
            <w:shd w:val="clear" w:color="auto" w:fill="FFFFFF"/>
            <w:tcMar>
              <w:top w:w="20" w:type="dxa"/>
              <w:bottom w:w="20" w:type="dxa"/>
            </w:tcMar>
            <w:vAlign w:val="bottom"/>
          </w:tcPr>
          <w:p w:rsidR="00BD3B5F" w:rsidRPr="005C3B55" w:rsidRDefault="00BD3B5F">
            <w:pPr>
              <w:jc w:val="center"/>
              <w:rPr>
                <w:szCs w:val="24"/>
              </w:rPr>
            </w:pPr>
          </w:p>
        </w:tc>
      </w:tr>
      <w:tr w:rsidR="00BD3B5F" w:rsidRPr="005C3B55">
        <w:tc>
          <w:tcPr>
            <w:tcW w:w="3448" w:type="dxa"/>
            <w:shd w:val="clear" w:color="auto" w:fill="FFFFFF"/>
            <w:tcMar>
              <w:top w:w="20" w:type="dxa"/>
              <w:bottom w:w="20" w:type="dxa"/>
            </w:tcMar>
            <w:vAlign w:val="bottom"/>
          </w:tcPr>
          <w:p w:rsidR="00BD3B5F" w:rsidRPr="005C3B55" w:rsidRDefault="00BD3B5F">
            <w:pPr>
              <w:jc w:val="left"/>
              <w:rPr>
                <w:szCs w:val="24"/>
              </w:rPr>
            </w:pPr>
            <w:r w:rsidRPr="005C3B55">
              <w:rPr>
                <w:sz w:val="16"/>
                <w:szCs w:val="24"/>
              </w:rPr>
              <w:t>N11 - Preserving farming in areas with limited possibilities for agricultural activity</w:t>
            </w:r>
          </w:p>
        </w:tc>
        <w:tc>
          <w:tcPr>
            <w:tcW w:w="412" w:type="dxa"/>
            <w:shd w:val="clear" w:color="auto" w:fill="FFFFFF"/>
            <w:tcMar>
              <w:top w:w="20" w:type="dxa"/>
              <w:bottom w:w="20" w:type="dxa"/>
            </w:tcMar>
            <w:vAlign w:val="bottom"/>
          </w:tcPr>
          <w:p w:rsidR="00BD3B5F" w:rsidRPr="005C3B55" w:rsidRDefault="00BD3B5F">
            <w:pPr>
              <w:jc w:val="center"/>
              <w:rPr>
                <w:sz w:val="16"/>
                <w:szCs w:val="24"/>
              </w:rPr>
            </w:pPr>
          </w:p>
        </w:tc>
        <w:tc>
          <w:tcPr>
            <w:tcW w:w="403" w:type="dxa"/>
            <w:shd w:val="clear" w:color="auto" w:fill="FFFFFF"/>
            <w:tcMar>
              <w:top w:w="20" w:type="dxa"/>
              <w:bottom w:w="20" w:type="dxa"/>
            </w:tcMar>
            <w:vAlign w:val="bottom"/>
          </w:tcPr>
          <w:p w:rsidR="00BD3B5F" w:rsidRPr="005C3B55" w:rsidRDefault="00BD3B5F">
            <w:pPr>
              <w:jc w:val="center"/>
              <w:rPr>
                <w:sz w:val="16"/>
                <w:szCs w:val="24"/>
              </w:rPr>
            </w:pPr>
          </w:p>
        </w:tc>
        <w:tc>
          <w:tcPr>
            <w:tcW w:w="403" w:type="dxa"/>
            <w:shd w:val="clear" w:color="auto" w:fill="FFFFFF"/>
            <w:tcMar>
              <w:top w:w="20" w:type="dxa"/>
              <w:bottom w:w="20" w:type="dxa"/>
            </w:tcMar>
            <w:vAlign w:val="bottom"/>
          </w:tcPr>
          <w:p w:rsidR="00BD3B5F" w:rsidRPr="005C3B55" w:rsidRDefault="00BD3B5F">
            <w:pPr>
              <w:jc w:val="center"/>
              <w:rPr>
                <w:sz w:val="16"/>
                <w:szCs w:val="24"/>
              </w:rPr>
            </w:pPr>
          </w:p>
        </w:tc>
        <w:tc>
          <w:tcPr>
            <w:tcW w:w="412" w:type="dxa"/>
            <w:shd w:val="clear" w:color="auto" w:fill="FFFFFF"/>
            <w:tcMar>
              <w:top w:w="20" w:type="dxa"/>
              <w:bottom w:w="20" w:type="dxa"/>
            </w:tcMar>
            <w:vAlign w:val="bottom"/>
          </w:tcPr>
          <w:p w:rsidR="00BD3B5F" w:rsidRPr="005C3B55" w:rsidRDefault="00BD3B5F">
            <w:pPr>
              <w:jc w:val="center"/>
              <w:rPr>
                <w:sz w:val="16"/>
                <w:szCs w:val="24"/>
              </w:rPr>
            </w:pPr>
          </w:p>
        </w:tc>
        <w:tc>
          <w:tcPr>
            <w:tcW w:w="403" w:type="dxa"/>
            <w:shd w:val="clear" w:color="auto" w:fill="FFFFFF"/>
            <w:tcMar>
              <w:top w:w="20" w:type="dxa"/>
              <w:bottom w:w="20" w:type="dxa"/>
            </w:tcMar>
            <w:vAlign w:val="bottom"/>
          </w:tcPr>
          <w:p w:rsidR="00BD3B5F" w:rsidRPr="005C3B55" w:rsidRDefault="00BD3B5F">
            <w:pPr>
              <w:jc w:val="center"/>
              <w:rPr>
                <w:sz w:val="16"/>
                <w:szCs w:val="24"/>
              </w:rPr>
            </w:pPr>
          </w:p>
        </w:tc>
        <w:tc>
          <w:tcPr>
            <w:tcW w:w="412" w:type="dxa"/>
            <w:shd w:val="clear" w:color="auto" w:fill="FFFFFF"/>
            <w:tcMar>
              <w:top w:w="20" w:type="dxa"/>
              <w:bottom w:w="20" w:type="dxa"/>
            </w:tcMar>
            <w:vAlign w:val="bottom"/>
          </w:tcPr>
          <w:p w:rsidR="00BD3B5F" w:rsidRPr="005C3B55" w:rsidRDefault="00BD3B5F">
            <w:pPr>
              <w:jc w:val="center"/>
              <w:rPr>
                <w:sz w:val="16"/>
                <w:szCs w:val="24"/>
              </w:rPr>
            </w:pPr>
          </w:p>
        </w:tc>
        <w:tc>
          <w:tcPr>
            <w:tcW w:w="403" w:type="dxa"/>
            <w:shd w:val="clear" w:color="auto" w:fill="FFFFFF"/>
            <w:tcMar>
              <w:top w:w="20" w:type="dxa"/>
              <w:bottom w:w="20" w:type="dxa"/>
            </w:tcMar>
            <w:vAlign w:val="bottom"/>
          </w:tcPr>
          <w:p w:rsidR="00BD3B5F" w:rsidRPr="005C3B55" w:rsidRDefault="00BD3B5F">
            <w:pPr>
              <w:jc w:val="center"/>
              <w:rPr>
                <w:sz w:val="16"/>
                <w:szCs w:val="24"/>
              </w:rPr>
            </w:pPr>
          </w:p>
        </w:tc>
        <w:tc>
          <w:tcPr>
            <w:tcW w:w="412"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412" w:type="dxa"/>
            <w:shd w:val="clear" w:color="auto" w:fill="FFFFFF"/>
            <w:tcMar>
              <w:top w:w="20" w:type="dxa"/>
              <w:bottom w:w="20" w:type="dxa"/>
            </w:tcMar>
            <w:vAlign w:val="bottom"/>
          </w:tcPr>
          <w:p w:rsidR="00BD3B5F" w:rsidRPr="005C3B55" w:rsidRDefault="00BD3B5F">
            <w:pPr>
              <w:jc w:val="center"/>
              <w:rPr>
                <w:szCs w:val="24"/>
              </w:rPr>
            </w:pP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412" w:type="dxa"/>
            <w:shd w:val="clear" w:color="auto" w:fill="FFFFFF"/>
            <w:tcMar>
              <w:top w:w="20" w:type="dxa"/>
              <w:bottom w:w="20" w:type="dxa"/>
            </w:tcMar>
            <w:vAlign w:val="bottom"/>
          </w:tcPr>
          <w:p w:rsidR="00BD3B5F" w:rsidRPr="005C3B55" w:rsidRDefault="00BD3B5F">
            <w:pPr>
              <w:jc w:val="center"/>
              <w:rPr>
                <w:szCs w:val="24"/>
              </w:rPr>
            </w:pPr>
          </w:p>
        </w:tc>
        <w:tc>
          <w:tcPr>
            <w:tcW w:w="394" w:type="dxa"/>
            <w:shd w:val="clear" w:color="auto" w:fill="FFFFFF"/>
            <w:tcMar>
              <w:top w:w="20" w:type="dxa"/>
              <w:bottom w:w="20" w:type="dxa"/>
            </w:tcMar>
            <w:vAlign w:val="bottom"/>
          </w:tcPr>
          <w:p w:rsidR="00BD3B5F" w:rsidRPr="005C3B55" w:rsidRDefault="00BD3B5F">
            <w:pPr>
              <w:jc w:val="center"/>
              <w:rPr>
                <w:szCs w:val="24"/>
              </w:rPr>
            </w:pPr>
          </w:p>
        </w:tc>
        <w:tc>
          <w:tcPr>
            <w:tcW w:w="412" w:type="dxa"/>
            <w:shd w:val="clear" w:color="auto" w:fill="FFFFFF"/>
            <w:tcMar>
              <w:top w:w="20" w:type="dxa"/>
              <w:bottom w:w="20" w:type="dxa"/>
            </w:tcMar>
            <w:vAlign w:val="bottom"/>
          </w:tcPr>
          <w:p w:rsidR="00BD3B5F" w:rsidRPr="005C3B55" w:rsidRDefault="00BD3B5F">
            <w:pPr>
              <w:jc w:val="center"/>
              <w:rPr>
                <w:szCs w:val="24"/>
              </w:rPr>
            </w:pP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1052"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1538" w:type="dxa"/>
            <w:shd w:val="clear" w:color="auto" w:fill="FFFFFF"/>
            <w:tcMar>
              <w:top w:w="20" w:type="dxa"/>
              <w:bottom w:w="20" w:type="dxa"/>
            </w:tcMar>
            <w:vAlign w:val="bottom"/>
          </w:tcPr>
          <w:p w:rsidR="00BD3B5F" w:rsidRPr="005C3B55" w:rsidRDefault="00BD3B5F">
            <w:pPr>
              <w:jc w:val="center"/>
              <w:rPr>
                <w:szCs w:val="24"/>
              </w:rPr>
            </w:pPr>
          </w:p>
        </w:tc>
        <w:tc>
          <w:tcPr>
            <w:tcW w:w="910" w:type="dxa"/>
            <w:shd w:val="clear" w:color="auto" w:fill="FFFFFF"/>
            <w:tcMar>
              <w:top w:w="20" w:type="dxa"/>
              <w:bottom w:w="20" w:type="dxa"/>
            </w:tcMar>
            <w:vAlign w:val="bottom"/>
          </w:tcPr>
          <w:p w:rsidR="00BD3B5F" w:rsidRPr="005C3B55" w:rsidRDefault="00BD3B5F">
            <w:pPr>
              <w:jc w:val="center"/>
              <w:rPr>
                <w:szCs w:val="24"/>
              </w:rPr>
            </w:pPr>
          </w:p>
        </w:tc>
      </w:tr>
      <w:tr w:rsidR="00BD3B5F" w:rsidRPr="005C3B55">
        <w:tc>
          <w:tcPr>
            <w:tcW w:w="3448" w:type="dxa"/>
            <w:shd w:val="clear" w:color="auto" w:fill="FFFFFF"/>
            <w:tcMar>
              <w:top w:w="20" w:type="dxa"/>
              <w:bottom w:w="20" w:type="dxa"/>
            </w:tcMar>
            <w:vAlign w:val="bottom"/>
          </w:tcPr>
          <w:p w:rsidR="00BD3B5F" w:rsidRPr="005C3B55" w:rsidRDefault="00BD3B5F">
            <w:pPr>
              <w:jc w:val="left"/>
              <w:rPr>
                <w:szCs w:val="24"/>
              </w:rPr>
            </w:pPr>
            <w:r w:rsidRPr="005C3B55">
              <w:rPr>
                <w:sz w:val="16"/>
                <w:szCs w:val="24"/>
              </w:rPr>
              <w:t>N12 - Reducing greenhouse gas emissions and ammonia in agriculture</w:t>
            </w:r>
          </w:p>
        </w:tc>
        <w:tc>
          <w:tcPr>
            <w:tcW w:w="412"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403"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403"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412"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412" w:type="dxa"/>
            <w:shd w:val="clear" w:color="auto" w:fill="FFFFFF"/>
            <w:tcMar>
              <w:top w:w="20" w:type="dxa"/>
              <w:bottom w:w="20" w:type="dxa"/>
            </w:tcMar>
            <w:vAlign w:val="bottom"/>
          </w:tcPr>
          <w:p w:rsidR="00BD3B5F" w:rsidRPr="005C3B55" w:rsidRDefault="00BD3B5F">
            <w:pPr>
              <w:jc w:val="center"/>
              <w:rPr>
                <w:szCs w:val="24"/>
              </w:rPr>
            </w:pP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412"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403"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403"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412" w:type="dxa"/>
            <w:shd w:val="clear" w:color="auto" w:fill="FFFFFF"/>
            <w:tcMar>
              <w:top w:w="20" w:type="dxa"/>
              <w:bottom w:w="20" w:type="dxa"/>
            </w:tcMar>
            <w:vAlign w:val="bottom"/>
          </w:tcPr>
          <w:p w:rsidR="00BD3B5F" w:rsidRPr="005C3B55" w:rsidRDefault="00BD3B5F">
            <w:pPr>
              <w:jc w:val="center"/>
              <w:rPr>
                <w:szCs w:val="24"/>
              </w:rPr>
            </w:pP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412"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394"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412" w:type="dxa"/>
            <w:shd w:val="clear" w:color="auto" w:fill="FFFFFF"/>
            <w:tcMar>
              <w:top w:w="20" w:type="dxa"/>
              <w:bottom w:w="20" w:type="dxa"/>
            </w:tcMar>
            <w:vAlign w:val="bottom"/>
          </w:tcPr>
          <w:p w:rsidR="00BD3B5F" w:rsidRPr="005C3B55" w:rsidRDefault="00BD3B5F">
            <w:pPr>
              <w:jc w:val="center"/>
              <w:rPr>
                <w:szCs w:val="24"/>
              </w:rPr>
            </w:pP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1052"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1538"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910"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r>
      <w:tr w:rsidR="00BD3B5F" w:rsidRPr="005C3B55">
        <w:tc>
          <w:tcPr>
            <w:tcW w:w="3448" w:type="dxa"/>
            <w:shd w:val="clear" w:color="auto" w:fill="FFFFFF"/>
            <w:tcMar>
              <w:top w:w="20" w:type="dxa"/>
              <w:bottom w:w="20" w:type="dxa"/>
            </w:tcMar>
            <w:vAlign w:val="bottom"/>
          </w:tcPr>
          <w:p w:rsidR="00BD3B5F" w:rsidRPr="005C3B55" w:rsidRDefault="00BD3B5F">
            <w:pPr>
              <w:jc w:val="left"/>
              <w:rPr>
                <w:szCs w:val="24"/>
              </w:rPr>
            </w:pPr>
            <w:r w:rsidRPr="005C3B55">
              <w:rPr>
                <w:sz w:val="16"/>
                <w:szCs w:val="24"/>
              </w:rPr>
              <w:t>N13 - Increasing the use of RES in the use of energy and increasing the energy efficiency</w:t>
            </w:r>
          </w:p>
        </w:tc>
        <w:tc>
          <w:tcPr>
            <w:tcW w:w="412" w:type="dxa"/>
            <w:shd w:val="clear" w:color="auto" w:fill="FFFFFF"/>
            <w:tcMar>
              <w:top w:w="20" w:type="dxa"/>
              <w:bottom w:w="20" w:type="dxa"/>
            </w:tcMar>
            <w:vAlign w:val="bottom"/>
          </w:tcPr>
          <w:p w:rsidR="00BD3B5F" w:rsidRPr="005C3B55" w:rsidRDefault="00BD3B5F">
            <w:pPr>
              <w:jc w:val="center"/>
              <w:rPr>
                <w:sz w:val="16"/>
                <w:szCs w:val="24"/>
              </w:rPr>
            </w:pPr>
          </w:p>
        </w:tc>
        <w:tc>
          <w:tcPr>
            <w:tcW w:w="403" w:type="dxa"/>
            <w:shd w:val="clear" w:color="auto" w:fill="FFFFFF"/>
            <w:tcMar>
              <w:top w:w="20" w:type="dxa"/>
              <w:bottom w:w="20" w:type="dxa"/>
            </w:tcMar>
            <w:vAlign w:val="bottom"/>
          </w:tcPr>
          <w:p w:rsidR="00BD3B5F" w:rsidRPr="005C3B55" w:rsidRDefault="00BD3B5F">
            <w:pPr>
              <w:jc w:val="center"/>
              <w:rPr>
                <w:sz w:val="16"/>
                <w:szCs w:val="24"/>
              </w:rPr>
            </w:pPr>
          </w:p>
        </w:tc>
        <w:tc>
          <w:tcPr>
            <w:tcW w:w="403" w:type="dxa"/>
            <w:shd w:val="clear" w:color="auto" w:fill="FFFFFF"/>
            <w:tcMar>
              <w:top w:w="20" w:type="dxa"/>
              <w:bottom w:w="20" w:type="dxa"/>
            </w:tcMar>
            <w:vAlign w:val="bottom"/>
          </w:tcPr>
          <w:p w:rsidR="00BD3B5F" w:rsidRPr="005C3B55" w:rsidRDefault="00BD3B5F">
            <w:pPr>
              <w:jc w:val="center"/>
              <w:rPr>
                <w:sz w:val="16"/>
                <w:szCs w:val="24"/>
              </w:rPr>
            </w:pPr>
          </w:p>
        </w:tc>
        <w:tc>
          <w:tcPr>
            <w:tcW w:w="412"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412" w:type="dxa"/>
            <w:shd w:val="clear" w:color="auto" w:fill="FFFFFF"/>
            <w:tcMar>
              <w:top w:w="20" w:type="dxa"/>
              <w:bottom w:w="20" w:type="dxa"/>
            </w:tcMar>
            <w:vAlign w:val="bottom"/>
          </w:tcPr>
          <w:p w:rsidR="00BD3B5F" w:rsidRPr="005C3B55" w:rsidRDefault="00BD3B5F">
            <w:pPr>
              <w:jc w:val="center"/>
              <w:rPr>
                <w:szCs w:val="24"/>
              </w:rPr>
            </w:pP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412" w:type="dxa"/>
            <w:shd w:val="clear" w:color="auto" w:fill="FFFFFF"/>
            <w:tcMar>
              <w:top w:w="20" w:type="dxa"/>
              <w:bottom w:w="20" w:type="dxa"/>
            </w:tcMar>
            <w:vAlign w:val="bottom"/>
          </w:tcPr>
          <w:p w:rsidR="00BD3B5F" w:rsidRPr="005C3B55" w:rsidRDefault="00BD3B5F">
            <w:pPr>
              <w:jc w:val="center"/>
              <w:rPr>
                <w:szCs w:val="24"/>
              </w:rPr>
            </w:pP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412" w:type="dxa"/>
            <w:shd w:val="clear" w:color="auto" w:fill="FFFFFF"/>
            <w:tcMar>
              <w:top w:w="20" w:type="dxa"/>
              <w:bottom w:w="20" w:type="dxa"/>
            </w:tcMar>
            <w:vAlign w:val="bottom"/>
          </w:tcPr>
          <w:p w:rsidR="00BD3B5F" w:rsidRPr="005C3B55" w:rsidRDefault="00BD3B5F">
            <w:pPr>
              <w:jc w:val="center"/>
              <w:rPr>
                <w:szCs w:val="24"/>
              </w:rPr>
            </w:pPr>
          </w:p>
        </w:tc>
        <w:tc>
          <w:tcPr>
            <w:tcW w:w="403"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403"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412" w:type="dxa"/>
            <w:shd w:val="clear" w:color="auto" w:fill="FFFFFF"/>
            <w:tcMar>
              <w:top w:w="20" w:type="dxa"/>
              <w:bottom w:w="20" w:type="dxa"/>
            </w:tcMar>
            <w:vAlign w:val="bottom"/>
          </w:tcPr>
          <w:p w:rsidR="00BD3B5F" w:rsidRPr="005C3B55" w:rsidRDefault="00BD3B5F">
            <w:pPr>
              <w:jc w:val="center"/>
              <w:rPr>
                <w:szCs w:val="24"/>
              </w:rPr>
            </w:pPr>
          </w:p>
        </w:tc>
        <w:tc>
          <w:tcPr>
            <w:tcW w:w="394" w:type="dxa"/>
            <w:shd w:val="clear" w:color="auto" w:fill="FFFFFF"/>
            <w:tcMar>
              <w:top w:w="20" w:type="dxa"/>
              <w:bottom w:w="20" w:type="dxa"/>
            </w:tcMar>
            <w:vAlign w:val="bottom"/>
          </w:tcPr>
          <w:p w:rsidR="00BD3B5F" w:rsidRPr="005C3B55" w:rsidRDefault="00BD3B5F">
            <w:pPr>
              <w:jc w:val="center"/>
              <w:rPr>
                <w:szCs w:val="24"/>
              </w:rPr>
            </w:pPr>
          </w:p>
        </w:tc>
        <w:tc>
          <w:tcPr>
            <w:tcW w:w="412"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1052"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1538"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910"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r>
      <w:tr w:rsidR="00BD3B5F" w:rsidRPr="005C3B55">
        <w:tc>
          <w:tcPr>
            <w:tcW w:w="3448" w:type="dxa"/>
            <w:shd w:val="clear" w:color="auto" w:fill="FFFFFF"/>
            <w:tcMar>
              <w:top w:w="20" w:type="dxa"/>
              <w:bottom w:w="20" w:type="dxa"/>
            </w:tcMar>
            <w:vAlign w:val="bottom"/>
          </w:tcPr>
          <w:p w:rsidR="00BD3B5F" w:rsidRPr="005C3B55" w:rsidRDefault="00BD3B5F">
            <w:pPr>
              <w:jc w:val="left"/>
              <w:rPr>
                <w:szCs w:val="24"/>
              </w:rPr>
            </w:pPr>
            <w:r w:rsidRPr="005C3B55">
              <w:rPr>
                <w:sz w:val="16"/>
                <w:szCs w:val="24"/>
              </w:rPr>
              <w:t>N14 - Adjustment of agriculture to climate change</w:t>
            </w:r>
          </w:p>
        </w:tc>
        <w:tc>
          <w:tcPr>
            <w:tcW w:w="412"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403"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403"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412"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412" w:type="dxa"/>
            <w:shd w:val="clear" w:color="auto" w:fill="FFFFFF"/>
            <w:tcMar>
              <w:top w:w="20" w:type="dxa"/>
              <w:bottom w:w="20" w:type="dxa"/>
            </w:tcMar>
            <w:vAlign w:val="bottom"/>
          </w:tcPr>
          <w:p w:rsidR="00BD3B5F" w:rsidRPr="005C3B55" w:rsidRDefault="00BD3B5F">
            <w:pPr>
              <w:jc w:val="center"/>
              <w:rPr>
                <w:szCs w:val="24"/>
              </w:rPr>
            </w:pP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412"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403"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403"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412"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412"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394" w:type="dxa"/>
            <w:shd w:val="clear" w:color="auto" w:fill="FFFFFF"/>
            <w:tcMar>
              <w:top w:w="20" w:type="dxa"/>
              <w:bottom w:w="20" w:type="dxa"/>
            </w:tcMar>
            <w:vAlign w:val="bottom"/>
          </w:tcPr>
          <w:p w:rsidR="00BD3B5F" w:rsidRPr="005C3B55" w:rsidRDefault="00BD3B5F">
            <w:pPr>
              <w:jc w:val="center"/>
              <w:rPr>
                <w:szCs w:val="24"/>
              </w:rPr>
            </w:pPr>
          </w:p>
        </w:tc>
        <w:tc>
          <w:tcPr>
            <w:tcW w:w="412" w:type="dxa"/>
            <w:shd w:val="clear" w:color="auto" w:fill="FFFFFF"/>
            <w:tcMar>
              <w:top w:w="20" w:type="dxa"/>
              <w:bottom w:w="20" w:type="dxa"/>
            </w:tcMar>
            <w:vAlign w:val="bottom"/>
          </w:tcPr>
          <w:p w:rsidR="00BD3B5F" w:rsidRPr="005C3B55" w:rsidRDefault="00BD3B5F">
            <w:pPr>
              <w:jc w:val="center"/>
              <w:rPr>
                <w:szCs w:val="24"/>
              </w:rPr>
            </w:pP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1052"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1538"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910"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r>
      <w:tr w:rsidR="00BD3B5F" w:rsidRPr="005C3B55">
        <w:tc>
          <w:tcPr>
            <w:tcW w:w="3448" w:type="dxa"/>
            <w:shd w:val="clear" w:color="auto" w:fill="FFFFFF"/>
            <w:tcMar>
              <w:top w:w="20" w:type="dxa"/>
              <w:bottom w:w="20" w:type="dxa"/>
            </w:tcMar>
            <w:vAlign w:val="bottom"/>
          </w:tcPr>
          <w:p w:rsidR="00BD3B5F" w:rsidRPr="005C3B55" w:rsidRDefault="00BD3B5F">
            <w:pPr>
              <w:jc w:val="left"/>
              <w:rPr>
                <w:szCs w:val="24"/>
              </w:rPr>
            </w:pPr>
            <w:r w:rsidRPr="005C3B55">
              <w:rPr>
                <w:sz w:val="16"/>
                <w:szCs w:val="24"/>
              </w:rPr>
              <w:t>N15 - Developing new risk management instruments</w:t>
            </w:r>
          </w:p>
        </w:tc>
        <w:tc>
          <w:tcPr>
            <w:tcW w:w="412" w:type="dxa"/>
            <w:shd w:val="clear" w:color="auto" w:fill="FFFFFF"/>
            <w:tcMar>
              <w:top w:w="20" w:type="dxa"/>
              <w:bottom w:w="20" w:type="dxa"/>
            </w:tcMar>
            <w:vAlign w:val="bottom"/>
          </w:tcPr>
          <w:p w:rsidR="00BD3B5F" w:rsidRPr="005C3B55" w:rsidRDefault="00BD3B5F">
            <w:pPr>
              <w:jc w:val="center"/>
              <w:rPr>
                <w:sz w:val="16"/>
                <w:szCs w:val="24"/>
              </w:rPr>
            </w:pPr>
          </w:p>
        </w:tc>
        <w:tc>
          <w:tcPr>
            <w:tcW w:w="403" w:type="dxa"/>
            <w:shd w:val="clear" w:color="auto" w:fill="FFFFFF"/>
            <w:tcMar>
              <w:top w:w="20" w:type="dxa"/>
              <w:bottom w:w="20" w:type="dxa"/>
            </w:tcMar>
            <w:vAlign w:val="bottom"/>
          </w:tcPr>
          <w:p w:rsidR="00BD3B5F" w:rsidRPr="005C3B55" w:rsidRDefault="00BD3B5F">
            <w:pPr>
              <w:jc w:val="center"/>
              <w:rPr>
                <w:sz w:val="16"/>
                <w:szCs w:val="24"/>
              </w:rPr>
            </w:pPr>
          </w:p>
        </w:tc>
        <w:tc>
          <w:tcPr>
            <w:tcW w:w="403" w:type="dxa"/>
            <w:shd w:val="clear" w:color="auto" w:fill="FFFFFF"/>
            <w:tcMar>
              <w:top w:w="20" w:type="dxa"/>
              <w:bottom w:w="20" w:type="dxa"/>
            </w:tcMar>
            <w:vAlign w:val="bottom"/>
          </w:tcPr>
          <w:p w:rsidR="00BD3B5F" w:rsidRPr="005C3B55" w:rsidRDefault="00BD3B5F">
            <w:pPr>
              <w:jc w:val="center"/>
              <w:rPr>
                <w:sz w:val="16"/>
                <w:szCs w:val="24"/>
              </w:rPr>
            </w:pPr>
          </w:p>
        </w:tc>
        <w:tc>
          <w:tcPr>
            <w:tcW w:w="412" w:type="dxa"/>
            <w:shd w:val="clear" w:color="auto" w:fill="FFFFFF"/>
            <w:tcMar>
              <w:top w:w="20" w:type="dxa"/>
              <w:bottom w:w="20" w:type="dxa"/>
            </w:tcMar>
            <w:vAlign w:val="bottom"/>
          </w:tcPr>
          <w:p w:rsidR="00BD3B5F" w:rsidRPr="005C3B55" w:rsidRDefault="00BD3B5F">
            <w:pPr>
              <w:jc w:val="center"/>
              <w:rPr>
                <w:sz w:val="16"/>
                <w:szCs w:val="24"/>
              </w:rPr>
            </w:pPr>
          </w:p>
        </w:tc>
        <w:tc>
          <w:tcPr>
            <w:tcW w:w="403" w:type="dxa"/>
            <w:shd w:val="clear" w:color="auto" w:fill="FFFFFF"/>
            <w:tcMar>
              <w:top w:w="20" w:type="dxa"/>
              <w:bottom w:w="20" w:type="dxa"/>
            </w:tcMar>
            <w:vAlign w:val="bottom"/>
          </w:tcPr>
          <w:p w:rsidR="00BD3B5F" w:rsidRPr="005C3B55" w:rsidRDefault="00BD3B5F">
            <w:pPr>
              <w:jc w:val="center"/>
              <w:rPr>
                <w:sz w:val="16"/>
                <w:szCs w:val="24"/>
              </w:rPr>
            </w:pPr>
          </w:p>
        </w:tc>
        <w:tc>
          <w:tcPr>
            <w:tcW w:w="412" w:type="dxa"/>
            <w:shd w:val="clear" w:color="auto" w:fill="FFFFFF"/>
            <w:tcMar>
              <w:top w:w="20" w:type="dxa"/>
              <w:bottom w:w="20" w:type="dxa"/>
            </w:tcMar>
            <w:vAlign w:val="bottom"/>
          </w:tcPr>
          <w:p w:rsidR="00BD3B5F" w:rsidRPr="005C3B55" w:rsidRDefault="00BD3B5F">
            <w:pPr>
              <w:jc w:val="center"/>
              <w:rPr>
                <w:sz w:val="16"/>
                <w:szCs w:val="24"/>
              </w:rPr>
            </w:pPr>
          </w:p>
        </w:tc>
        <w:tc>
          <w:tcPr>
            <w:tcW w:w="403"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412" w:type="dxa"/>
            <w:shd w:val="clear" w:color="auto" w:fill="FFFFFF"/>
            <w:tcMar>
              <w:top w:w="20" w:type="dxa"/>
              <w:bottom w:w="20" w:type="dxa"/>
            </w:tcMar>
            <w:vAlign w:val="bottom"/>
          </w:tcPr>
          <w:p w:rsidR="00BD3B5F" w:rsidRPr="005C3B55" w:rsidRDefault="00BD3B5F">
            <w:pPr>
              <w:jc w:val="center"/>
              <w:rPr>
                <w:szCs w:val="24"/>
              </w:rPr>
            </w:pP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412" w:type="dxa"/>
            <w:shd w:val="clear" w:color="auto" w:fill="FFFFFF"/>
            <w:tcMar>
              <w:top w:w="20" w:type="dxa"/>
              <w:bottom w:w="20" w:type="dxa"/>
            </w:tcMar>
            <w:vAlign w:val="bottom"/>
          </w:tcPr>
          <w:p w:rsidR="00BD3B5F" w:rsidRPr="005C3B55" w:rsidRDefault="00BD3B5F">
            <w:pPr>
              <w:jc w:val="center"/>
              <w:rPr>
                <w:szCs w:val="24"/>
              </w:rPr>
            </w:pP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412" w:type="dxa"/>
            <w:shd w:val="clear" w:color="auto" w:fill="FFFFFF"/>
            <w:tcMar>
              <w:top w:w="20" w:type="dxa"/>
              <w:bottom w:w="20" w:type="dxa"/>
            </w:tcMar>
            <w:vAlign w:val="bottom"/>
          </w:tcPr>
          <w:p w:rsidR="00BD3B5F" w:rsidRPr="005C3B55" w:rsidRDefault="00BD3B5F">
            <w:pPr>
              <w:jc w:val="center"/>
              <w:rPr>
                <w:szCs w:val="24"/>
              </w:rPr>
            </w:pPr>
          </w:p>
        </w:tc>
        <w:tc>
          <w:tcPr>
            <w:tcW w:w="394" w:type="dxa"/>
            <w:shd w:val="clear" w:color="auto" w:fill="FFFFFF"/>
            <w:tcMar>
              <w:top w:w="20" w:type="dxa"/>
              <w:bottom w:w="20" w:type="dxa"/>
            </w:tcMar>
            <w:vAlign w:val="bottom"/>
          </w:tcPr>
          <w:p w:rsidR="00BD3B5F" w:rsidRPr="005C3B55" w:rsidRDefault="00BD3B5F">
            <w:pPr>
              <w:jc w:val="center"/>
              <w:rPr>
                <w:szCs w:val="24"/>
              </w:rPr>
            </w:pPr>
          </w:p>
        </w:tc>
        <w:tc>
          <w:tcPr>
            <w:tcW w:w="412" w:type="dxa"/>
            <w:shd w:val="clear" w:color="auto" w:fill="FFFFFF"/>
            <w:tcMar>
              <w:top w:w="20" w:type="dxa"/>
              <w:bottom w:w="20" w:type="dxa"/>
            </w:tcMar>
            <w:vAlign w:val="bottom"/>
          </w:tcPr>
          <w:p w:rsidR="00BD3B5F" w:rsidRPr="005C3B55" w:rsidRDefault="00BD3B5F">
            <w:pPr>
              <w:jc w:val="center"/>
              <w:rPr>
                <w:szCs w:val="24"/>
              </w:rPr>
            </w:pP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1052" w:type="dxa"/>
            <w:shd w:val="clear" w:color="auto" w:fill="FFFFFF"/>
            <w:tcMar>
              <w:top w:w="20" w:type="dxa"/>
              <w:bottom w:w="20" w:type="dxa"/>
            </w:tcMar>
            <w:vAlign w:val="bottom"/>
          </w:tcPr>
          <w:p w:rsidR="00BD3B5F" w:rsidRPr="005C3B55" w:rsidRDefault="00BD3B5F">
            <w:pPr>
              <w:jc w:val="center"/>
              <w:rPr>
                <w:szCs w:val="24"/>
              </w:rPr>
            </w:pPr>
          </w:p>
        </w:tc>
        <w:tc>
          <w:tcPr>
            <w:tcW w:w="1538"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910" w:type="dxa"/>
            <w:shd w:val="clear" w:color="auto" w:fill="FFFFFF"/>
            <w:tcMar>
              <w:top w:w="20" w:type="dxa"/>
              <w:bottom w:w="20" w:type="dxa"/>
            </w:tcMar>
            <w:vAlign w:val="bottom"/>
          </w:tcPr>
          <w:p w:rsidR="00BD3B5F" w:rsidRPr="005C3B55" w:rsidRDefault="00BD3B5F">
            <w:pPr>
              <w:jc w:val="center"/>
              <w:rPr>
                <w:szCs w:val="24"/>
              </w:rPr>
            </w:pPr>
          </w:p>
        </w:tc>
      </w:tr>
      <w:tr w:rsidR="00BD3B5F" w:rsidRPr="005C3B55">
        <w:tc>
          <w:tcPr>
            <w:tcW w:w="3448" w:type="dxa"/>
            <w:shd w:val="clear" w:color="auto" w:fill="FFFFFF"/>
            <w:tcMar>
              <w:top w:w="20" w:type="dxa"/>
              <w:bottom w:w="20" w:type="dxa"/>
            </w:tcMar>
            <w:vAlign w:val="bottom"/>
          </w:tcPr>
          <w:p w:rsidR="00BD3B5F" w:rsidRPr="005C3B55" w:rsidRDefault="00BD3B5F">
            <w:pPr>
              <w:jc w:val="left"/>
              <w:rPr>
                <w:szCs w:val="24"/>
              </w:rPr>
            </w:pPr>
            <w:r w:rsidRPr="005C3B55">
              <w:rPr>
                <w:sz w:val="16"/>
                <w:szCs w:val="24"/>
              </w:rPr>
              <w:t>N16 - Stimulating the use of financial instruments</w:t>
            </w:r>
          </w:p>
        </w:tc>
        <w:tc>
          <w:tcPr>
            <w:tcW w:w="412" w:type="dxa"/>
            <w:shd w:val="clear" w:color="auto" w:fill="FFFFFF"/>
            <w:tcMar>
              <w:top w:w="20" w:type="dxa"/>
              <w:bottom w:w="20" w:type="dxa"/>
            </w:tcMar>
            <w:vAlign w:val="bottom"/>
          </w:tcPr>
          <w:p w:rsidR="00BD3B5F" w:rsidRPr="005C3B55" w:rsidRDefault="00BD3B5F">
            <w:pPr>
              <w:jc w:val="center"/>
              <w:rPr>
                <w:sz w:val="16"/>
                <w:szCs w:val="24"/>
              </w:rPr>
            </w:pPr>
          </w:p>
        </w:tc>
        <w:tc>
          <w:tcPr>
            <w:tcW w:w="403" w:type="dxa"/>
            <w:shd w:val="clear" w:color="auto" w:fill="FFFFFF"/>
            <w:tcMar>
              <w:top w:w="20" w:type="dxa"/>
              <w:bottom w:w="20" w:type="dxa"/>
            </w:tcMar>
            <w:vAlign w:val="bottom"/>
          </w:tcPr>
          <w:p w:rsidR="00BD3B5F" w:rsidRPr="005C3B55" w:rsidRDefault="00BD3B5F">
            <w:pPr>
              <w:jc w:val="center"/>
              <w:rPr>
                <w:sz w:val="16"/>
                <w:szCs w:val="24"/>
              </w:rPr>
            </w:pPr>
          </w:p>
        </w:tc>
        <w:tc>
          <w:tcPr>
            <w:tcW w:w="403" w:type="dxa"/>
            <w:shd w:val="clear" w:color="auto" w:fill="FFFFFF"/>
            <w:tcMar>
              <w:top w:w="20" w:type="dxa"/>
              <w:bottom w:w="20" w:type="dxa"/>
            </w:tcMar>
            <w:vAlign w:val="bottom"/>
          </w:tcPr>
          <w:p w:rsidR="00BD3B5F" w:rsidRPr="005C3B55" w:rsidRDefault="00BD3B5F">
            <w:pPr>
              <w:jc w:val="center"/>
              <w:rPr>
                <w:sz w:val="16"/>
                <w:szCs w:val="24"/>
              </w:rPr>
            </w:pPr>
          </w:p>
        </w:tc>
        <w:tc>
          <w:tcPr>
            <w:tcW w:w="412" w:type="dxa"/>
            <w:shd w:val="clear" w:color="auto" w:fill="FFFFFF"/>
            <w:tcMar>
              <w:top w:w="20" w:type="dxa"/>
              <w:bottom w:w="20" w:type="dxa"/>
            </w:tcMar>
            <w:vAlign w:val="bottom"/>
          </w:tcPr>
          <w:p w:rsidR="00BD3B5F" w:rsidRPr="005C3B55" w:rsidRDefault="00BD3B5F">
            <w:pPr>
              <w:jc w:val="center"/>
              <w:rPr>
                <w:sz w:val="16"/>
                <w:szCs w:val="24"/>
              </w:rPr>
            </w:pPr>
          </w:p>
        </w:tc>
        <w:tc>
          <w:tcPr>
            <w:tcW w:w="403" w:type="dxa"/>
            <w:shd w:val="clear" w:color="auto" w:fill="FFFFFF"/>
            <w:tcMar>
              <w:top w:w="20" w:type="dxa"/>
              <w:bottom w:w="20" w:type="dxa"/>
            </w:tcMar>
            <w:vAlign w:val="bottom"/>
          </w:tcPr>
          <w:p w:rsidR="00BD3B5F" w:rsidRPr="005C3B55" w:rsidRDefault="00BD3B5F">
            <w:pPr>
              <w:jc w:val="center"/>
              <w:rPr>
                <w:sz w:val="16"/>
                <w:szCs w:val="24"/>
              </w:rPr>
            </w:pPr>
          </w:p>
        </w:tc>
        <w:tc>
          <w:tcPr>
            <w:tcW w:w="412"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412" w:type="dxa"/>
            <w:shd w:val="clear" w:color="auto" w:fill="FFFFFF"/>
            <w:tcMar>
              <w:top w:w="20" w:type="dxa"/>
              <w:bottom w:w="20" w:type="dxa"/>
            </w:tcMar>
            <w:vAlign w:val="bottom"/>
          </w:tcPr>
          <w:p w:rsidR="00BD3B5F" w:rsidRPr="005C3B55" w:rsidRDefault="00BD3B5F">
            <w:pPr>
              <w:jc w:val="center"/>
              <w:rPr>
                <w:szCs w:val="24"/>
              </w:rPr>
            </w:pP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412" w:type="dxa"/>
            <w:shd w:val="clear" w:color="auto" w:fill="FFFFFF"/>
            <w:tcMar>
              <w:top w:w="20" w:type="dxa"/>
              <w:bottom w:w="20" w:type="dxa"/>
            </w:tcMar>
            <w:vAlign w:val="bottom"/>
          </w:tcPr>
          <w:p w:rsidR="00BD3B5F" w:rsidRPr="005C3B55" w:rsidRDefault="00BD3B5F">
            <w:pPr>
              <w:jc w:val="center"/>
              <w:rPr>
                <w:szCs w:val="24"/>
              </w:rPr>
            </w:pP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412" w:type="dxa"/>
            <w:shd w:val="clear" w:color="auto" w:fill="FFFFFF"/>
            <w:tcMar>
              <w:top w:w="20" w:type="dxa"/>
              <w:bottom w:w="20" w:type="dxa"/>
            </w:tcMar>
            <w:vAlign w:val="bottom"/>
          </w:tcPr>
          <w:p w:rsidR="00BD3B5F" w:rsidRPr="005C3B55" w:rsidRDefault="00BD3B5F">
            <w:pPr>
              <w:jc w:val="center"/>
              <w:rPr>
                <w:szCs w:val="24"/>
              </w:rPr>
            </w:pPr>
          </w:p>
        </w:tc>
        <w:tc>
          <w:tcPr>
            <w:tcW w:w="394" w:type="dxa"/>
            <w:shd w:val="clear" w:color="auto" w:fill="FFFFFF"/>
            <w:tcMar>
              <w:top w:w="20" w:type="dxa"/>
              <w:bottom w:w="20" w:type="dxa"/>
            </w:tcMar>
            <w:vAlign w:val="bottom"/>
          </w:tcPr>
          <w:p w:rsidR="00BD3B5F" w:rsidRPr="005C3B55" w:rsidRDefault="00BD3B5F">
            <w:pPr>
              <w:jc w:val="center"/>
              <w:rPr>
                <w:szCs w:val="24"/>
              </w:rPr>
            </w:pPr>
          </w:p>
        </w:tc>
        <w:tc>
          <w:tcPr>
            <w:tcW w:w="412"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1052" w:type="dxa"/>
            <w:shd w:val="clear" w:color="auto" w:fill="FFFFFF"/>
            <w:tcMar>
              <w:top w:w="20" w:type="dxa"/>
              <w:bottom w:w="20" w:type="dxa"/>
            </w:tcMar>
            <w:vAlign w:val="bottom"/>
          </w:tcPr>
          <w:p w:rsidR="00BD3B5F" w:rsidRPr="005C3B55" w:rsidRDefault="00BD3B5F">
            <w:pPr>
              <w:jc w:val="center"/>
              <w:rPr>
                <w:szCs w:val="24"/>
              </w:rPr>
            </w:pPr>
          </w:p>
        </w:tc>
        <w:tc>
          <w:tcPr>
            <w:tcW w:w="1538" w:type="dxa"/>
            <w:shd w:val="clear" w:color="auto" w:fill="FFFFFF"/>
            <w:tcMar>
              <w:top w:w="20" w:type="dxa"/>
              <w:bottom w:w="20" w:type="dxa"/>
            </w:tcMar>
            <w:vAlign w:val="bottom"/>
          </w:tcPr>
          <w:p w:rsidR="00BD3B5F" w:rsidRPr="005C3B55" w:rsidRDefault="00BD3B5F">
            <w:pPr>
              <w:jc w:val="center"/>
              <w:rPr>
                <w:szCs w:val="24"/>
              </w:rPr>
            </w:pPr>
          </w:p>
        </w:tc>
        <w:tc>
          <w:tcPr>
            <w:tcW w:w="910"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r>
      <w:tr w:rsidR="00BD3B5F" w:rsidRPr="005C3B55">
        <w:tc>
          <w:tcPr>
            <w:tcW w:w="3448" w:type="dxa"/>
            <w:shd w:val="clear" w:color="auto" w:fill="FFFFFF"/>
            <w:tcMar>
              <w:top w:w="20" w:type="dxa"/>
              <w:bottom w:w="20" w:type="dxa"/>
            </w:tcMar>
            <w:vAlign w:val="bottom"/>
          </w:tcPr>
          <w:p w:rsidR="00BD3B5F" w:rsidRPr="005C3B55" w:rsidRDefault="00BD3B5F">
            <w:pPr>
              <w:jc w:val="left"/>
              <w:rPr>
                <w:szCs w:val="24"/>
              </w:rPr>
            </w:pPr>
            <w:r w:rsidRPr="005C3B55">
              <w:rPr>
                <w:sz w:val="16"/>
                <w:szCs w:val="24"/>
              </w:rPr>
              <w:t>N17 - Stimulating organic farming and a wider range of products in quality schemes</w:t>
            </w:r>
          </w:p>
        </w:tc>
        <w:tc>
          <w:tcPr>
            <w:tcW w:w="412"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403"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403"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412"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412"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412"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403"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403"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412" w:type="dxa"/>
            <w:shd w:val="clear" w:color="auto" w:fill="FFFFFF"/>
            <w:tcMar>
              <w:top w:w="20" w:type="dxa"/>
              <w:bottom w:w="20" w:type="dxa"/>
            </w:tcMar>
            <w:vAlign w:val="bottom"/>
          </w:tcPr>
          <w:p w:rsidR="00BD3B5F" w:rsidRPr="005C3B55" w:rsidRDefault="00BD3B5F">
            <w:pPr>
              <w:jc w:val="center"/>
              <w:rPr>
                <w:szCs w:val="24"/>
              </w:rPr>
            </w:pP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412" w:type="dxa"/>
            <w:shd w:val="clear" w:color="auto" w:fill="FFFFFF"/>
            <w:tcMar>
              <w:top w:w="20" w:type="dxa"/>
              <w:bottom w:w="20" w:type="dxa"/>
            </w:tcMar>
            <w:vAlign w:val="bottom"/>
          </w:tcPr>
          <w:p w:rsidR="00BD3B5F" w:rsidRPr="005C3B55" w:rsidRDefault="00BD3B5F">
            <w:pPr>
              <w:jc w:val="center"/>
              <w:rPr>
                <w:szCs w:val="24"/>
              </w:rPr>
            </w:pPr>
          </w:p>
        </w:tc>
        <w:tc>
          <w:tcPr>
            <w:tcW w:w="394" w:type="dxa"/>
            <w:shd w:val="clear" w:color="auto" w:fill="FFFFFF"/>
            <w:tcMar>
              <w:top w:w="20" w:type="dxa"/>
              <w:bottom w:w="20" w:type="dxa"/>
            </w:tcMar>
            <w:vAlign w:val="bottom"/>
          </w:tcPr>
          <w:p w:rsidR="00BD3B5F" w:rsidRPr="005C3B55" w:rsidRDefault="00BD3B5F">
            <w:pPr>
              <w:jc w:val="center"/>
              <w:rPr>
                <w:szCs w:val="24"/>
              </w:rPr>
            </w:pPr>
          </w:p>
        </w:tc>
        <w:tc>
          <w:tcPr>
            <w:tcW w:w="412" w:type="dxa"/>
            <w:shd w:val="clear" w:color="auto" w:fill="FFFFFF"/>
            <w:tcMar>
              <w:top w:w="20" w:type="dxa"/>
              <w:bottom w:w="20" w:type="dxa"/>
            </w:tcMar>
            <w:vAlign w:val="bottom"/>
          </w:tcPr>
          <w:p w:rsidR="00BD3B5F" w:rsidRPr="005C3B55" w:rsidRDefault="00BD3B5F">
            <w:pPr>
              <w:jc w:val="center"/>
              <w:rPr>
                <w:szCs w:val="24"/>
              </w:rPr>
            </w:pP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1052"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1538"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910"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r>
      <w:tr w:rsidR="00BD3B5F" w:rsidRPr="005C3B55">
        <w:tc>
          <w:tcPr>
            <w:tcW w:w="3448" w:type="dxa"/>
            <w:shd w:val="clear" w:color="auto" w:fill="FFFFFF"/>
            <w:tcMar>
              <w:top w:w="20" w:type="dxa"/>
              <w:bottom w:w="20" w:type="dxa"/>
            </w:tcMar>
            <w:vAlign w:val="bottom"/>
          </w:tcPr>
          <w:p w:rsidR="00BD3B5F" w:rsidRPr="005C3B55" w:rsidRDefault="00BD3B5F">
            <w:pPr>
              <w:jc w:val="left"/>
              <w:rPr>
                <w:szCs w:val="24"/>
              </w:rPr>
            </w:pPr>
            <w:r w:rsidRPr="005C3B55">
              <w:rPr>
                <w:sz w:val="16"/>
                <w:szCs w:val="24"/>
              </w:rPr>
              <w:t>N18 - Stimulating agricultural holdings to engage in higher standards of animal breeding</w:t>
            </w:r>
          </w:p>
        </w:tc>
        <w:tc>
          <w:tcPr>
            <w:tcW w:w="412"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403"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412" w:type="dxa"/>
            <w:shd w:val="clear" w:color="auto" w:fill="FFFFFF"/>
            <w:tcMar>
              <w:top w:w="20" w:type="dxa"/>
              <w:bottom w:w="20" w:type="dxa"/>
            </w:tcMar>
            <w:vAlign w:val="bottom"/>
          </w:tcPr>
          <w:p w:rsidR="00BD3B5F" w:rsidRPr="005C3B55" w:rsidRDefault="00BD3B5F">
            <w:pPr>
              <w:jc w:val="center"/>
              <w:rPr>
                <w:szCs w:val="24"/>
              </w:rPr>
            </w:pP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412"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412" w:type="dxa"/>
            <w:shd w:val="clear" w:color="auto" w:fill="FFFFFF"/>
            <w:tcMar>
              <w:top w:w="20" w:type="dxa"/>
              <w:bottom w:w="20" w:type="dxa"/>
            </w:tcMar>
            <w:vAlign w:val="bottom"/>
          </w:tcPr>
          <w:p w:rsidR="00BD3B5F" w:rsidRPr="005C3B55" w:rsidRDefault="00BD3B5F">
            <w:pPr>
              <w:jc w:val="center"/>
              <w:rPr>
                <w:szCs w:val="24"/>
              </w:rPr>
            </w:pP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412" w:type="dxa"/>
            <w:shd w:val="clear" w:color="auto" w:fill="FFFFFF"/>
            <w:tcMar>
              <w:top w:w="20" w:type="dxa"/>
              <w:bottom w:w="20" w:type="dxa"/>
            </w:tcMar>
            <w:vAlign w:val="bottom"/>
          </w:tcPr>
          <w:p w:rsidR="00BD3B5F" w:rsidRPr="005C3B55" w:rsidRDefault="00BD3B5F">
            <w:pPr>
              <w:jc w:val="center"/>
              <w:rPr>
                <w:szCs w:val="24"/>
              </w:rPr>
            </w:pP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412"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394" w:type="dxa"/>
            <w:shd w:val="clear" w:color="auto" w:fill="FFFFFF"/>
            <w:tcMar>
              <w:top w:w="20" w:type="dxa"/>
              <w:bottom w:w="20" w:type="dxa"/>
            </w:tcMar>
            <w:vAlign w:val="bottom"/>
          </w:tcPr>
          <w:p w:rsidR="00BD3B5F" w:rsidRPr="005C3B55" w:rsidRDefault="00BD3B5F">
            <w:pPr>
              <w:jc w:val="center"/>
              <w:rPr>
                <w:szCs w:val="24"/>
              </w:rPr>
            </w:pPr>
          </w:p>
        </w:tc>
        <w:tc>
          <w:tcPr>
            <w:tcW w:w="412" w:type="dxa"/>
            <w:shd w:val="clear" w:color="auto" w:fill="FFFFFF"/>
            <w:tcMar>
              <w:top w:w="20" w:type="dxa"/>
              <w:bottom w:w="20" w:type="dxa"/>
            </w:tcMar>
            <w:vAlign w:val="bottom"/>
          </w:tcPr>
          <w:p w:rsidR="00BD3B5F" w:rsidRPr="005C3B55" w:rsidRDefault="00BD3B5F">
            <w:pPr>
              <w:jc w:val="center"/>
              <w:rPr>
                <w:szCs w:val="24"/>
              </w:rPr>
            </w:pP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1052" w:type="dxa"/>
            <w:shd w:val="clear" w:color="auto" w:fill="FFFFFF"/>
            <w:tcMar>
              <w:top w:w="20" w:type="dxa"/>
              <w:bottom w:w="20" w:type="dxa"/>
            </w:tcMar>
            <w:vAlign w:val="bottom"/>
          </w:tcPr>
          <w:p w:rsidR="00BD3B5F" w:rsidRPr="005C3B55" w:rsidRDefault="00BD3B5F">
            <w:pPr>
              <w:jc w:val="center"/>
              <w:rPr>
                <w:szCs w:val="24"/>
              </w:rPr>
            </w:pPr>
          </w:p>
        </w:tc>
        <w:tc>
          <w:tcPr>
            <w:tcW w:w="1538"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910" w:type="dxa"/>
            <w:shd w:val="clear" w:color="auto" w:fill="FFFFFF"/>
            <w:tcMar>
              <w:top w:w="20" w:type="dxa"/>
              <w:bottom w:w="20" w:type="dxa"/>
            </w:tcMar>
            <w:vAlign w:val="bottom"/>
          </w:tcPr>
          <w:p w:rsidR="00BD3B5F" w:rsidRPr="005C3B55" w:rsidRDefault="00BD3B5F">
            <w:pPr>
              <w:jc w:val="center"/>
              <w:rPr>
                <w:szCs w:val="24"/>
              </w:rPr>
            </w:pPr>
          </w:p>
        </w:tc>
      </w:tr>
      <w:tr w:rsidR="00BD3B5F" w:rsidRPr="005C3B55">
        <w:tc>
          <w:tcPr>
            <w:tcW w:w="3448" w:type="dxa"/>
            <w:shd w:val="clear" w:color="auto" w:fill="FFFFFF"/>
            <w:tcMar>
              <w:top w:w="20" w:type="dxa"/>
              <w:bottom w:w="20" w:type="dxa"/>
            </w:tcMar>
            <w:vAlign w:val="bottom"/>
          </w:tcPr>
          <w:p w:rsidR="00BD3B5F" w:rsidRPr="005C3B55" w:rsidRDefault="00BD3B5F">
            <w:pPr>
              <w:jc w:val="left"/>
              <w:rPr>
                <w:szCs w:val="24"/>
              </w:rPr>
            </w:pPr>
            <w:r w:rsidRPr="005C3B55">
              <w:rPr>
                <w:sz w:val="16"/>
                <w:szCs w:val="24"/>
              </w:rPr>
              <w:t>N19 - Increasing market orientation, horizontal and vertical connections</w:t>
            </w:r>
          </w:p>
        </w:tc>
        <w:tc>
          <w:tcPr>
            <w:tcW w:w="412" w:type="dxa"/>
            <w:shd w:val="clear" w:color="auto" w:fill="FFFFFF"/>
            <w:tcMar>
              <w:top w:w="20" w:type="dxa"/>
              <w:bottom w:w="20" w:type="dxa"/>
            </w:tcMar>
            <w:vAlign w:val="bottom"/>
          </w:tcPr>
          <w:p w:rsidR="00BD3B5F" w:rsidRPr="005C3B55" w:rsidRDefault="00BD3B5F">
            <w:pPr>
              <w:jc w:val="center"/>
              <w:rPr>
                <w:sz w:val="16"/>
                <w:szCs w:val="24"/>
              </w:rPr>
            </w:pPr>
          </w:p>
        </w:tc>
        <w:tc>
          <w:tcPr>
            <w:tcW w:w="403" w:type="dxa"/>
            <w:shd w:val="clear" w:color="auto" w:fill="FFFFFF"/>
            <w:tcMar>
              <w:top w:w="20" w:type="dxa"/>
              <w:bottom w:w="20" w:type="dxa"/>
            </w:tcMar>
            <w:vAlign w:val="bottom"/>
          </w:tcPr>
          <w:p w:rsidR="00BD3B5F" w:rsidRPr="005C3B55" w:rsidRDefault="00BD3B5F">
            <w:pPr>
              <w:jc w:val="center"/>
              <w:rPr>
                <w:sz w:val="16"/>
                <w:szCs w:val="24"/>
              </w:rPr>
            </w:pPr>
          </w:p>
        </w:tc>
        <w:tc>
          <w:tcPr>
            <w:tcW w:w="403"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412" w:type="dxa"/>
            <w:shd w:val="clear" w:color="auto" w:fill="FFFFFF"/>
            <w:tcMar>
              <w:top w:w="20" w:type="dxa"/>
              <w:bottom w:w="20" w:type="dxa"/>
            </w:tcMar>
            <w:vAlign w:val="bottom"/>
          </w:tcPr>
          <w:p w:rsidR="00BD3B5F" w:rsidRPr="005C3B55" w:rsidRDefault="00BD3B5F">
            <w:pPr>
              <w:jc w:val="center"/>
              <w:rPr>
                <w:szCs w:val="24"/>
              </w:rPr>
            </w:pP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412"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412" w:type="dxa"/>
            <w:shd w:val="clear" w:color="auto" w:fill="FFFFFF"/>
            <w:tcMar>
              <w:top w:w="20" w:type="dxa"/>
              <w:bottom w:w="20" w:type="dxa"/>
            </w:tcMar>
            <w:vAlign w:val="bottom"/>
          </w:tcPr>
          <w:p w:rsidR="00BD3B5F" w:rsidRPr="005C3B55" w:rsidRDefault="00BD3B5F">
            <w:pPr>
              <w:jc w:val="center"/>
              <w:rPr>
                <w:szCs w:val="24"/>
              </w:rPr>
            </w:pP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412" w:type="dxa"/>
            <w:shd w:val="clear" w:color="auto" w:fill="FFFFFF"/>
            <w:tcMar>
              <w:top w:w="20" w:type="dxa"/>
              <w:bottom w:w="20" w:type="dxa"/>
            </w:tcMar>
            <w:vAlign w:val="bottom"/>
          </w:tcPr>
          <w:p w:rsidR="00BD3B5F" w:rsidRPr="005C3B55" w:rsidRDefault="00BD3B5F">
            <w:pPr>
              <w:jc w:val="center"/>
              <w:rPr>
                <w:szCs w:val="24"/>
              </w:rPr>
            </w:pP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412" w:type="dxa"/>
            <w:shd w:val="clear" w:color="auto" w:fill="FFFFFF"/>
            <w:tcMar>
              <w:top w:w="20" w:type="dxa"/>
              <w:bottom w:w="20" w:type="dxa"/>
            </w:tcMar>
            <w:vAlign w:val="bottom"/>
          </w:tcPr>
          <w:p w:rsidR="00BD3B5F" w:rsidRPr="005C3B55" w:rsidRDefault="00BD3B5F">
            <w:pPr>
              <w:jc w:val="center"/>
              <w:rPr>
                <w:szCs w:val="24"/>
              </w:rPr>
            </w:pPr>
          </w:p>
        </w:tc>
        <w:tc>
          <w:tcPr>
            <w:tcW w:w="394" w:type="dxa"/>
            <w:shd w:val="clear" w:color="auto" w:fill="FFFFFF"/>
            <w:tcMar>
              <w:top w:w="20" w:type="dxa"/>
              <w:bottom w:w="20" w:type="dxa"/>
            </w:tcMar>
            <w:vAlign w:val="bottom"/>
          </w:tcPr>
          <w:p w:rsidR="00BD3B5F" w:rsidRPr="005C3B55" w:rsidRDefault="00BD3B5F">
            <w:pPr>
              <w:jc w:val="center"/>
              <w:rPr>
                <w:szCs w:val="24"/>
              </w:rPr>
            </w:pPr>
          </w:p>
        </w:tc>
        <w:tc>
          <w:tcPr>
            <w:tcW w:w="412" w:type="dxa"/>
            <w:shd w:val="clear" w:color="auto" w:fill="FFFFFF"/>
            <w:tcMar>
              <w:top w:w="20" w:type="dxa"/>
              <w:bottom w:w="20" w:type="dxa"/>
            </w:tcMar>
            <w:vAlign w:val="bottom"/>
          </w:tcPr>
          <w:p w:rsidR="00BD3B5F" w:rsidRPr="005C3B55" w:rsidRDefault="00BD3B5F">
            <w:pPr>
              <w:jc w:val="center"/>
              <w:rPr>
                <w:szCs w:val="24"/>
              </w:rPr>
            </w:pP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1052"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1538"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910"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r>
      <w:tr w:rsidR="00BD3B5F" w:rsidRPr="005C3B55">
        <w:tc>
          <w:tcPr>
            <w:tcW w:w="3448" w:type="dxa"/>
            <w:shd w:val="clear" w:color="auto" w:fill="FFFFFF"/>
            <w:tcMar>
              <w:top w:w="20" w:type="dxa"/>
              <w:bottom w:w="20" w:type="dxa"/>
            </w:tcMar>
            <w:vAlign w:val="bottom"/>
          </w:tcPr>
          <w:p w:rsidR="00BD3B5F" w:rsidRPr="005C3B55" w:rsidRDefault="00BD3B5F">
            <w:pPr>
              <w:jc w:val="left"/>
              <w:rPr>
                <w:szCs w:val="24"/>
              </w:rPr>
            </w:pPr>
            <w:r w:rsidRPr="005C3B55">
              <w:rPr>
                <w:sz w:val="16"/>
                <w:szCs w:val="24"/>
              </w:rPr>
              <w:t>N20 - Stimulating investments in the processing, development and marketing of agricultural products</w:t>
            </w:r>
          </w:p>
        </w:tc>
        <w:tc>
          <w:tcPr>
            <w:tcW w:w="412" w:type="dxa"/>
            <w:shd w:val="clear" w:color="auto" w:fill="FFFFFF"/>
            <w:tcMar>
              <w:top w:w="20" w:type="dxa"/>
              <w:bottom w:w="20" w:type="dxa"/>
            </w:tcMar>
            <w:vAlign w:val="bottom"/>
          </w:tcPr>
          <w:p w:rsidR="00BD3B5F" w:rsidRPr="005C3B55" w:rsidRDefault="00BD3B5F">
            <w:pPr>
              <w:jc w:val="center"/>
              <w:rPr>
                <w:sz w:val="16"/>
                <w:szCs w:val="24"/>
              </w:rPr>
            </w:pPr>
          </w:p>
        </w:tc>
        <w:tc>
          <w:tcPr>
            <w:tcW w:w="403"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403"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412" w:type="dxa"/>
            <w:shd w:val="clear" w:color="auto" w:fill="FFFFFF"/>
            <w:tcMar>
              <w:top w:w="20" w:type="dxa"/>
              <w:bottom w:w="20" w:type="dxa"/>
            </w:tcMar>
            <w:vAlign w:val="bottom"/>
          </w:tcPr>
          <w:p w:rsidR="00BD3B5F" w:rsidRPr="005C3B55" w:rsidRDefault="00BD3B5F">
            <w:pPr>
              <w:jc w:val="center"/>
              <w:rPr>
                <w:szCs w:val="24"/>
              </w:rPr>
            </w:pP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412"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412" w:type="dxa"/>
            <w:shd w:val="clear" w:color="auto" w:fill="FFFFFF"/>
            <w:tcMar>
              <w:top w:w="20" w:type="dxa"/>
              <w:bottom w:w="20" w:type="dxa"/>
            </w:tcMar>
            <w:vAlign w:val="bottom"/>
          </w:tcPr>
          <w:p w:rsidR="00BD3B5F" w:rsidRPr="005C3B55" w:rsidRDefault="00BD3B5F">
            <w:pPr>
              <w:jc w:val="center"/>
              <w:rPr>
                <w:szCs w:val="24"/>
              </w:rPr>
            </w:pP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412" w:type="dxa"/>
            <w:shd w:val="clear" w:color="auto" w:fill="FFFFFF"/>
            <w:tcMar>
              <w:top w:w="20" w:type="dxa"/>
              <w:bottom w:w="20" w:type="dxa"/>
            </w:tcMar>
            <w:vAlign w:val="bottom"/>
          </w:tcPr>
          <w:p w:rsidR="00BD3B5F" w:rsidRPr="005C3B55" w:rsidRDefault="00BD3B5F">
            <w:pPr>
              <w:jc w:val="center"/>
              <w:rPr>
                <w:szCs w:val="24"/>
              </w:rPr>
            </w:pP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403"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412" w:type="dxa"/>
            <w:shd w:val="clear" w:color="auto" w:fill="FFFFFF"/>
            <w:tcMar>
              <w:top w:w="20" w:type="dxa"/>
              <w:bottom w:w="20" w:type="dxa"/>
            </w:tcMar>
            <w:vAlign w:val="bottom"/>
          </w:tcPr>
          <w:p w:rsidR="00BD3B5F" w:rsidRPr="005C3B55" w:rsidRDefault="00BD3B5F">
            <w:pPr>
              <w:jc w:val="center"/>
              <w:rPr>
                <w:szCs w:val="24"/>
              </w:rPr>
            </w:pPr>
          </w:p>
        </w:tc>
        <w:tc>
          <w:tcPr>
            <w:tcW w:w="394" w:type="dxa"/>
            <w:shd w:val="clear" w:color="auto" w:fill="FFFFFF"/>
            <w:tcMar>
              <w:top w:w="20" w:type="dxa"/>
              <w:bottom w:w="20" w:type="dxa"/>
            </w:tcMar>
            <w:vAlign w:val="bottom"/>
          </w:tcPr>
          <w:p w:rsidR="00BD3B5F" w:rsidRPr="005C3B55" w:rsidRDefault="00BD3B5F">
            <w:pPr>
              <w:jc w:val="center"/>
              <w:rPr>
                <w:szCs w:val="24"/>
              </w:rPr>
            </w:pPr>
          </w:p>
        </w:tc>
        <w:tc>
          <w:tcPr>
            <w:tcW w:w="412" w:type="dxa"/>
            <w:shd w:val="clear" w:color="auto" w:fill="FFFFFF"/>
            <w:tcMar>
              <w:top w:w="20" w:type="dxa"/>
              <w:bottom w:w="20" w:type="dxa"/>
            </w:tcMar>
            <w:vAlign w:val="bottom"/>
          </w:tcPr>
          <w:p w:rsidR="00BD3B5F" w:rsidRPr="005C3B55" w:rsidRDefault="00BD3B5F">
            <w:pPr>
              <w:jc w:val="center"/>
              <w:rPr>
                <w:szCs w:val="24"/>
              </w:rPr>
            </w:pP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1052"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1538"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910"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r>
      <w:tr w:rsidR="00BD3B5F" w:rsidRPr="005C3B55">
        <w:tc>
          <w:tcPr>
            <w:tcW w:w="3448" w:type="dxa"/>
            <w:shd w:val="clear" w:color="auto" w:fill="FFFFFF"/>
            <w:tcMar>
              <w:top w:w="20" w:type="dxa"/>
              <w:bottom w:w="20" w:type="dxa"/>
            </w:tcMar>
            <w:vAlign w:val="bottom"/>
          </w:tcPr>
          <w:p w:rsidR="00BD3B5F" w:rsidRPr="005C3B55" w:rsidRDefault="00BD3B5F">
            <w:pPr>
              <w:jc w:val="left"/>
              <w:rPr>
                <w:szCs w:val="24"/>
              </w:rPr>
            </w:pPr>
            <w:r w:rsidRPr="005C3B55">
              <w:rPr>
                <w:sz w:val="16"/>
                <w:szCs w:val="24"/>
              </w:rPr>
              <w:t>N21 - Preserving and/or improving biodiversity preservation in forests</w:t>
            </w:r>
          </w:p>
        </w:tc>
        <w:tc>
          <w:tcPr>
            <w:tcW w:w="412" w:type="dxa"/>
            <w:shd w:val="clear" w:color="auto" w:fill="FFFFFF"/>
            <w:tcMar>
              <w:top w:w="20" w:type="dxa"/>
              <w:bottom w:w="20" w:type="dxa"/>
            </w:tcMar>
            <w:vAlign w:val="bottom"/>
          </w:tcPr>
          <w:p w:rsidR="00BD3B5F" w:rsidRPr="005C3B55" w:rsidRDefault="00BD3B5F">
            <w:pPr>
              <w:jc w:val="center"/>
              <w:rPr>
                <w:sz w:val="16"/>
                <w:szCs w:val="24"/>
              </w:rPr>
            </w:pPr>
          </w:p>
        </w:tc>
        <w:tc>
          <w:tcPr>
            <w:tcW w:w="403" w:type="dxa"/>
            <w:shd w:val="clear" w:color="auto" w:fill="FFFFFF"/>
            <w:tcMar>
              <w:top w:w="20" w:type="dxa"/>
              <w:bottom w:w="20" w:type="dxa"/>
            </w:tcMar>
            <w:vAlign w:val="bottom"/>
          </w:tcPr>
          <w:p w:rsidR="00BD3B5F" w:rsidRPr="005C3B55" w:rsidRDefault="00BD3B5F">
            <w:pPr>
              <w:jc w:val="center"/>
              <w:rPr>
                <w:sz w:val="16"/>
                <w:szCs w:val="24"/>
              </w:rPr>
            </w:pPr>
          </w:p>
        </w:tc>
        <w:tc>
          <w:tcPr>
            <w:tcW w:w="403" w:type="dxa"/>
            <w:shd w:val="clear" w:color="auto" w:fill="FFFFFF"/>
            <w:tcMar>
              <w:top w:w="20" w:type="dxa"/>
              <w:bottom w:w="20" w:type="dxa"/>
            </w:tcMar>
            <w:vAlign w:val="bottom"/>
          </w:tcPr>
          <w:p w:rsidR="00BD3B5F" w:rsidRPr="005C3B55" w:rsidRDefault="00BD3B5F">
            <w:pPr>
              <w:jc w:val="center"/>
              <w:rPr>
                <w:sz w:val="16"/>
                <w:szCs w:val="24"/>
              </w:rPr>
            </w:pPr>
          </w:p>
        </w:tc>
        <w:tc>
          <w:tcPr>
            <w:tcW w:w="412" w:type="dxa"/>
            <w:shd w:val="clear" w:color="auto" w:fill="FFFFFF"/>
            <w:tcMar>
              <w:top w:w="20" w:type="dxa"/>
              <w:bottom w:w="20" w:type="dxa"/>
            </w:tcMar>
            <w:vAlign w:val="bottom"/>
          </w:tcPr>
          <w:p w:rsidR="00BD3B5F" w:rsidRPr="005C3B55" w:rsidRDefault="00BD3B5F">
            <w:pPr>
              <w:jc w:val="center"/>
              <w:rPr>
                <w:sz w:val="16"/>
                <w:szCs w:val="24"/>
              </w:rPr>
            </w:pPr>
          </w:p>
        </w:tc>
        <w:tc>
          <w:tcPr>
            <w:tcW w:w="403" w:type="dxa"/>
            <w:shd w:val="clear" w:color="auto" w:fill="FFFFFF"/>
            <w:tcMar>
              <w:top w:w="20" w:type="dxa"/>
              <w:bottom w:w="20" w:type="dxa"/>
            </w:tcMar>
            <w:vAlign w:val="bottom"/>
          </w:tcPr>
          <w:p w:rsidR="00BD3B5F" w:rsidRPr="005C3B55" w:rsidRDefault="00BD3B5F">
            <w:pPr>
              <w:jc w:val="center"/>
              <w:rPr>
                <w:sz w:val="16"/>
                <w:szCs w:val="24"/>
              </w:rPr>
            </w:pPr>
          </w:p>
        </w:tc>
        <w:tc>
          <w:tcPr>
            <w:tcW w:w="412" w:type="dxa"/>
            <w:shd w:val="clear" w:color="auto" w:fill="FFFFFF"/>
            <w:tcMar>
              <w:top w:w="20" w:type="dxa"/>
              <w:bottom w:w="20" w:type="dxa"/>
            </w:tcMar>
            <w:vAlign w:val="bottom"/>
          </w:tcPr>
          <w:p w:rsidR="00BD3B5F" w:rsidRPr="005C3B55" w:rsidRDefault="00BD3B5F">
            <w:pPr>
              <w:jc w:val="center"/>
              <w:rPr>
                <w:sz w:val="16"/>
                <w:szCs w:val="24"/>
              </w:rPr>
            </w:pPr>
          </w:p>
        </w:tc>
        <w:tc>
          <w:tcPr>
            <w:tcW w:w="403" w:type="dxa"/>
            <w:shd w:val="clear" w:color="auto" w:fill="FFFFFF"/>
            <w:tcMar>
              <w:top w:w="20" w:type="dxa"/>
              <w:bottom w:w="20" w:type="dxa"/>
            </w:tcMar>
            <w:vAlign w:val="bottom"/>
          </w:tcPr>
          <w:p w:rsidR="00BD3B5F" w:rsidRPr="005C3B55" w:rsidRDefault="00BD3B5F">
            <w:pPr>
              <w:jc w:val="center"/>
              <w:rPr>
                <w:sz w:val="16"/>
                <w:szCs w:val="24"/>
              </w:rPr>
            </w:pPr>
          </w:p>
        </w:tc>
        <w:tc>
          <w:tcPr>
            <w:tcW w:w="412"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412" w:type="dxa"/>
            <w:shd w:val="clear" w:color="auto" w:fill="FFFFFF"/>
            <w:tcMar>
              <w:top w:w="20" w:type="dxa"/>
              <w:bottom w:w="20" w:type="dxa"/>
            </w:tcMar>
            <w:vAlign w:val="bottom"/>
          </w:tcPr>
          <w:p w:rsidR="00BD3B5F" w:rsidRPr="005C3B55" w:rsidRDefault="00BD3B5F">
            <w:pPr>
              <w:jc w:val="center"/>
              <w:rPr>
                <w:szCs w:val="24"/>
              </w:rPr>
            </w:pP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412" w:type="dxa"/>
            <w:shd w:val="clear" w:color="auto" w:fill="FFFFFF"/>
            <w:tcMar>
              <w:top w:w="20" w:type="dxa"/>
              <w:bottom w:w="20" w:type="dxa"/>
            </w:tcMar>
            <w:vAlign w:val="bottom"/>
          </w:tcPr>
          <w:p w:rsidR="00BD3B5F" w:rsidRPr="005C3B55" w:rsidRDefault="00BD3B5F">
            <w:pPr>
              <w:jc w:val="center"/>
              <w:rPr>
                <w:szCs w:val="24"/>
              </w:rPr>
            </w:pPr>
          </w:p>
        </w:tc>
        <w:tc>
          <w:tcPr>
            <w:tcW w:w="394" w:type="dxa"/>
            <w:shd w:val="clear" w:color="auto" w:fill="FFFFFF"/>
            <w:tcMar>
              <w:top w:w="20" w:type="dxa"/>
              <w:bottom w:w="20" w:type="dxa"/>
            </w:tcMar>
            <w:vAlign w:val="bottom"/>
          </w:tcPr>
          <w:p w:rsidR="00BD3B5F" w:rsidRPr="005C3B55" w:rsidRDefault="00BD3B5F">
            <w:pPr>
              <w:jc w:val="center"/>
              <w:rPr>
                <w:szCs w:val="24"/>
              </w:rPr>
            </w:pPr>
          </w:p>
        </w:tc>
        <w:tc>
          <w:tcPr>
            <w:tcW w:w="412" w:type="dxa"/>
            <w:shd w:val="clear" w:color="auto" w:fill="FFFFFF"/>
            <w:tcMar>
              <w:top w:w="20" w:type="dxa"/>
              <w:bottom w:w="20" w:type="dxa"/>
            </w:tcMar>
            <w:vAlign w:val="bottom"/>
          </w:tcPr>
          <w:p w:rsidR="00BD3B5F" w:rsidRPr="005C3B55" w:rsidRDefault="00BD3B5F">
            <w:pPr>
              <w:jc w:val="center"/>
              <w:rPr>
                <w:szCs w:val="24"/>
              </w:rPr>
            </w:pP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1052"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1538" w:type="dxa"/>
            <w:shd w:val="clear" w:color="auto" w:fill="FFFFFF"/>
            <w:tcMar>
              <w:top w:w="20" w:type="dxa"/>
              <w:bottom w:w="20" w:type="dxa"/>
            </w:tcMar>
            <w:vAlign w:val="bottom"/>
          </w:tcPr>
          <w:p w:rsidR="00BD3B5F" w:rsidRPr="005C3B55" w:rsidRDefault="00BD3B5F">
            <w:pPr>
              <w:jc w:val="center"/>
              <w:rPr>
                <w:szCs w:val="24"/>
              </w:rPr>
            </w:pPr>
          </w:p>
        </w:tc>
        <w:tc>
          <w:tcPr>
            <w:tcW w:w="910" w:type="dxa"/>
            <w:shd w:val="clear" w:color="auto" w:fill="FFFFFF"/>
            <w:tcMar>
              <w:top w:w="20" w:type="dxa"/>
              <w:bottom w:w="20" w:type="dxa"/>
            </w:tcMar>
            <w:vAlign w:val="bottom"/>
          </w:tcPr>
          <w:p w:rsidR="00BD3B5F" w:rsidRPr="005C3B55" w:rsidRDefault="00BD3B5F">
            <w:pPr>
              <w:jc w:val="center"/>
              <w:rPr>
                <w:szCs w:val="24"/>
              </w:rPr>
            </w:pPr>
          </w:p>
        </w:tc>
      </w:tr>
      <w:tr w:rsidR="00BD3B5F" w:rsidRPr="005C3B55">
        <w:tc>
          <w:tcPr>
            <w:tcW w:w="3448" w:type="dxa"/>
            <w:shd w:val="clear" w:color="auto" w:fill="FFFFFF"/>
            <w:tcMar>
              <w:top w:w="20" w:type="dxa"/>
              <w:bottom w:w="20" w:type="dxa"/>
            </w:tcMar>
            <w:vAlign w:val="bottom"/>
          </w:tcPr>
          <w:p w:rsidR="00BD3B5F" w:rsidRPr="005C3B55" w:rsidRDefault="00BD3B5F">
            <w:pPr>
              <w:jc w:val="left"/>
              <w:rPr>
                <w:szCs w:val="24"/>
              </w:rPr>
            </w:pPr>
            <w:r w:rsidRPr="005C3B55">
              <w:rPr>
                <w:sz w:val="16"/>
                <w:szCs w:val="24"/>
              </w:rPr>
              <w:t>N22 - Restoring forest potential destroyed after a natural disaster</w:t>
            </w:r>
          </w:p>
        </w:tc>
        <w:tc>
          <w:tcPr>
            <w:tcW w:w="412" w:type="dxa"/>
            <w:shd w:val="clear" w:color="auto" w:fill="FFFFFF"/>
            <w:tcMar>
              <w:top w:w="20" w:type="dxa"/>
              <w:bottom w:w="20" w:type="dxa"/>
            </w:tcMar>
            <w:vAlign w:val="bottom"/>
          </w:tcPr>
          <w:p w:rsidR="00BD3B5F" w:rsidRPr="005C3B55" w:rsidRDefault="00BD3B5F">
            <w:pPr>
              <w:jc w:val="center"/>
              <w:rPr>
                <w:sz w:val="16"/>
                <w:szCs w:val="24"/>
              </w:rPr>
            </w:pPr>
          </w:p>
        </w:tc>
        <w:tc>
          <w:tcPr>
            <w:tcW w:w="403" w:type="dxa"/>
            <w:shd w:val="clear" w:color="auto" w:fill="FFFFFF"/>
            <w:tcMar>
              <w:top w:w="20" w:type="dxa"/>
              <w:bottom w:w="20" w:type="dxa"/>
            </w:tcMar>
            <w:vAlign w:val="bottom"/>
          </w:tcPr>
          <w:p w:rsidR="00BD3B5F" w:rsidRPr="005C3B55" w:rsidRDefault="00BD3B5F">
            <w:pPr>
              <w:jc w:val="center"/>
              <w:rPr>
                <w:sz w:val="16"/>
                <w:szCs w:val="24"/>
              </w:rPr>
            </w:pPr>
          </w:p>
        </w:tc>
        <w:tc>
          <w:tcPr>
            <w:tcW w:w="403" w:type="dxa"/>
            <w:shd w:val="clear" w:color="auto" w:fill="FFFFFF"/>
            <w:tcMar>
              <w:top w:w="20" w:type="dxa"/>
              <w:bottom w:w="20" w:type="dxa"/>
            </w:tcMar>
            <w:vAlign w:val="bottom"/>
          </w:tcPr>
          <w:p w:rsidR="00BD3B5F" w:rsidRPr="005C3B55" w:rsidRDefault="00BD3B5F">
            <w:pPr>
              <w:jc w:val="center"/>
              <w:rPr>
                <w:sz w:val="16"/>
                <w:szCs w:val="24"/>
              </w:rPr>
            </w:pPr>
          </w:p>
        </w:tc>
        <w:tc>
          <w:tcPr>
            <w:tcW w:w="412" w:type="dxa"/>
            <w:shd w:val="clear" w:color="auto" w:fill="FFFFFF"/>
            <w:tcMar>
              <w:top w:w="20" w:type="dxa"/>
              <w:bottom w:w="20" w:type="dxa"/>
            </w:tcMar>
            <w:vAlign w:val="bottom"/>
          </w:tcPr>
          <w:p w:rsidR="00BD3B5F" w:rsidRPr="005C3B55" w:rsidRDefault="00BD3B5F">
            <w:pPr>
              <w:jc w:val="center"/>
              <w:rPr>
                <w:sz w:val="16"/>
                <w:szCs w:val="24"/>
              </w:rPr>
            </w:pPr>
          </w:p>
        </w:tc>
        <w:tc>
          <w:tcPr>
            <w:tcW w:w="403" w:type="dxa"/>
            <w:shd w:val="clear" w:color="auto" w:fill="FFFFFF"/>
            <w:tcMar>
              <w:top w:w="20" w:type="dxa"/>
              <w:bottom w:w="20" w:type="dxa"/>
            </w:tcMar>
            <w:vAlign w:val="bottom"/>
          </w:tcPr>
          <w:p w:rsidR="00BD3B5F" w:rsidRPr="005C3B55" w:rsidRDefault="00BD3B5F">
            <w:pPr>
              <w:jc w:val="center"/>
              <w:rPr>
                <w:sz w:val="16"/>
                <w:szCs w:val="24"/>
              </w:rPr>
            </w:pPr>
          </w:p>
        </w:tc>
        <w:tc>
          <w:tcPr>
            <w:tcW w:w="412" w:type="dxa"/>
            <w:shd w:val="clear" w:color="auto" w:fill="FFFFFF"/>
            <w:tcMar>
              <w:top w:w="20" w:type="dxa"/>
              <w:bottom w:w="20" w:type="dxa"/>
            </w:tcMar>
            <w:vAlign w:val="bottom"/>
          </w:tcPr>
          <w:p w:rsidR="00BD3B5F" w:rsidRPr="005C3B55" w:rsidRDefault="00BD3B5F">
            <w:pPr>
              <w:jc w:val="center"/>
              <w:rPr>
                <w:sz w:val="16"/>
                <w:szCs w:val="24"/>
              </w:rPr>
            </w:pPr>
          </w:p>
        </w:tc>
        <w:tc>
          <w:tcPr>
            <w:tcW w:w="403" w:type="dxa"/>
            <w:shd w:val="clear" w:color="auto" w:fill="FFFFFF"/>
            <w:tcMar>
              <w:top w:w="20" w:type="dxa"/>
              <w:bottom w:w="20" w:type="dxa"/>
            </w:tcMar>
            <w:vAlign w:val="bottom"/>
          </w:tcPr>
          <w:p w:rsidR="00BD3B5F" w:rsidRPr="005C3B55" w:rsidRDefault="00BD3B5F">
            <w:pPr>
              <w:jc w:val="center"/>
              <w:rPr>
                <w:sz w:val="16"/>
                <w:szCs w:val="24"/>
              </w:rPr>
            </w:pPr>
          </w:p>
        </w:tc>
        <w:tc>
          <w:tcPr>
            <w:tcW w:w="412"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412" w:type="dxa"/>
            <w:shd w:val="clear" w:color="auto" w:fill="FFFFFF"/>
            <w:tcMar>
              <w:top w:w="20" w:type="dxa"/>
              <w:bottom w:w="20" w:type="dxa"/>
            </w:tcMar>
            <w:vAlign w:val="bottom"/>
          </w:tcPr>
          <w:p w:rsidR="00BD3B5F" w:rsidRPr="005C3B55" w:rsidRDefault="00BD3B5F">
            <w:pPr>
              <w:jc w:val="center"/>
              <w:rPr>
                <w:szCs w:val="24"/>
              </w:rPr>
            </w:pP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412" w:type="dxa"/>
            <w:shd w:val="clear" w:color="auto" w:fill="FFFFFF"/>
            <w:tcMar>
              <w:top w:w="20" w:type="dxa"/>
              <w:bottom w:w="20" w:type="dxa"/>
            </w:tcMar>
            <w:vAlign w:val="bottom"/>
          </w:tcPr>
          <w:p w:rsidR="00BD3B5F" w:rsidRPr="005C3B55" w:rsidRDefault="00BD3B5F">
            <w:pPr>
              <w:jc w:val="center"/>
              <w:rPr>
                <w:szCs w:val="24"/>
              </w:rPr>
            </w:pPr>
          </w:p>
        </w:tc>
        <w:tc>
          <w:tcPr>
            <w:tcW w:w="394"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412" w:type="dxa"/>
            <w:shd w:val="clear" w:color="auto" w:fill="FFFFFF"/>
            <w:tcMar>
              <w:top w:w="20" w:type="dxa"/>
              <w:bottom w:w="20" w:type="dxa"/>
            </w:tcMar>
            <w:vAlign w:val="bottom"/>
          </w:tcPr>
          <w:p w:rsidR="00BD3B5F" w:rsidRPr="005C3B55" w:rsidRDefault="00BD3B5F">
            <w:pPr>
              <w:jc w:val="center"/>
              <w:rPr>
                <w:szCs w:val="24"/>
              </w:rPr>
            </w:pP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1052"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1538"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910" w:type="dxa"/>
            <w:shd w:val="clear" w:color="auto" w:fill="FFFFFF"/>
            <w:tcMar>
              <w:top w:w="20" w:type="dxa"/>
              <w:bottom w:w="20" w:type="dxa"/>
            </w:tcMar>
            <w:vAlign w:val="bottom"/>
          </w:tcPr>
          <w:p w:rsidR="00BD3B5F" w:rsidRPr="005C3B55" w:rsidRDefault="00BD3B5F">
            <w:pPr>
              <w:jc w:val="center"/>
              <w:rPr>
                <w:szCs w:val="24"/>
              </w:rPr>
            </w:pPr>
          </w:p>
        </w:tc>
      </w:tr>
      <w:tr w:rsidR="00BD3B5F" w:rsidRPr="005C3B55">
        <w:tc>
          <w:tcPr>
            <w:tcW w:w="3448" w:type="dxa"/>
            <w:shd w:val="clear" w:color="auto" w:fill="FFFFFF"/>
            <w:tcMar>
              <w:top w:w="20" w:type="dxa"/>
              <w:bottom w:w="20" w:type="dxa"/>
            </w:tcMar>
            <w:vAlign w:val="bottom"/>
          </w:tcPr>
          <w:p w:rsidR="00BD3B5F" w:rsidRPr="005C3B55" w:rsidRDefault="00BD3B5F">
            <w:pPr>
              <w:jc w:val="left"/>
              <w:rPr>
                <w:szCs w:val="24"/>
              </w:rPr>
            </w:pPr>
            <w:r w:rsidRPr="005C3B55">
              <w:rPr>
                <w:sz w:val="16"/>
                <w:szCs w:val="24"/>
              </w:rPr>
              <w:t>N23 - Regulating forest infrastructure to achieve greater forest openness</w:t>
            </w:r>
          </w:p>
        </w:tc>
        <w:tc>
          <w:tcPr>
            <w:tcW w:w="412" w:type="dxa"/>
            <w:shd w:val="clear" w:color="auto" w:fill="FFFFFF"/>
            <w:tcMar>
              <w:top w:w="20" w:type="dxa"/>
              <w:bottom w:w="20" w:type="dxa"/>
            </w:tcMar>
            <w:vAlign w:val="bottom"/>
          </w:tcPr>
          <w:p w:rsidR="00BD3B5F" w:rsidRPr="005C3B55" w:rsidRDefault="00BD3B5F">
            <w:pPr>
              <w:jc w:val="center"/>
              <w:rPr>
                <w:sz w:val="16"/>
                <w:szCs w:val="24"/>
              </w:rPr>
            </w:pPr>
          </w:p>
        </w:tc>
        <w:tc>
          <w:tcPr>
            <w:tcW w:w="403" w:type="dxa"/>
            <w:shd w:val="clear" w:color="auto" w:fill="FFFFFF"/>
            <w:tcMar>
              <w:top w:w="20" w:type="dxa"/>
              <w:bottom w:w="20" w:type="dxa"/>
            </w:tcMar>
            <w:vAlign w:val="bottom"/>
          </w:tcPr>
          <w:p w:rsidR="00BD3B5F" w:rsidRPr="005C3B55" w:rsidRDefault="00BD3B5F">
            <w:pPr>
              <w:jc w:val="center"/>
              <w:rPr>
                <w:sz w:val="16"/>
                <w:szCs w:val="24"/>
              </w:rPr>
            </w:pPr>
          </w:p>
        </w:tc>
        <w:tc>
          <w:tcPr>
            <w:tcW w:w="403" w:type="dxa"/>
            <w:shd w:val="clear" w:color="auto" w:fill="FFFFFF"/>
            <w:tcMar>
              <w:top w:w="20" w:type="dxa"/>
              <w:bottom w:w="20" w:type="dxa"/>
            </w:tcMar>
            <w:vAlign w:val="bottom"/>
          </w:tcPr>
          <w:p w:rsidR="00BD3B5F" w:rsidRPr="005C3B55" w:rsidRDefault="00BD3B5F">
            <w:pPr>
              <w:jc w:val="center"/>
              <w:rPr>
                <w:sz w:val="16"/>
                <w:szCs w:val="24"/>
              </w:rPr>
            </w:pPr>
          </w:p>
        </w:tc>
        <w:tc>
          <w:tcPr>
            <w:tcW w:w="412"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412" w:type="dxa"/>
            <w:shd w:val="clear" w:color="auto" w:fill="FFFFFF"/>
            <w:tcMar>
              <w:top w:w="20" w:type="dxa"/>
              <w:bottom w:w="20" w:type="dxa"/>
            </w:tcMar>
            <w:vAlign w:val="bottom"/>
          </w:tcPr>
          <w:p w:rsidR="00BD3B5F" w:rsidRPr="005C3B55" w:rsidRDefault="00BD3B5F">
            <w:pPr>
              <w:jc w:val="center"/>
              <w:rPr>
                <w:szCs w:val="24"/>
              </w:rPr>
            </w:pP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412"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412" w:type="dxa"/>
            <w:shd w:val="clear" w:color="auto" w:fill="FFFFFF"/>
            <w:tcMar>
              <w:top w:w="20" w:type="dxa"/>
              <w:bottom w:w="20" w:type="dxa"/>
            </w:tcMar>
            <w:vAlign w:val="bottom"/>
          </w:tcPr>
          <w:p w:rsidR="00BD3B5F" w:rsidRPr="005C3B55" w:rsidRDefault="00BD3B5F">
            <w:pPr>
              <w:jc w:val="center"/>
              <w:rPr>
                <w:szCs w:val="24"/>
              </w:rPr>
            </w:pP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412" w:type="dxa"/>
            <w:shd w:val="clear" w:color="auto" w:fill="FFFFFF"/>
            <w:tcMar>
              <w:top w:w="20" w:type="dxa"/>
              <w:bottom w:w="20" w:type="dxa"/>
            </w:tcMar>
            <w:vAlign w:val="bottom"/>
          </w:tcPr>
          <w:p w:rsidR="00BD3B5F" w:rsidRPr="005C3B55" w:rsidRDefault="00BD3B5F">
            <w:pPr>
              <w:jc w:val="center"/>
              <w:rPr>
                <w:szCs w:val="24"/>
              </w:rPr>
            </w:pPr>
          </w:p>
        </w:tc>
        <w:tc>
          <w:tcPr>
            <w:tcW w:w="394" w:type="dxa"/>
            <w:shd w:val="clear" w:color="auto" w:fill="FFFFFF"/>
            <w:tcMar>
              <w:top w:w="20" w:type="dxa"/>
              <w:bottom w:w="20" w:type="dxa"/>
            </w:tcMar>
            <w:vAlign w:val="bottom"/>
          </w:tcPr>
          <w:p w:rsidR="00BD3B5F" w:rsidRPr="005C3B55" w:rsidRDefault="00BD3B5F">
            <w:pPr>
              <w:jc w:val="center"/>
              <w:rPr>
                <w:szCs w:val="24"/>
              </w:rPr>
            </w:pPr>
          </w:p>
        </w:tc>
        <w:tc>
          <w:tcPr>
            <w:tcW w:w="412" w:type="dxa"/>
            <w:shd w:val="clear" w:color="auto" w:fill="FFFFFF"/>
            <w:tcMar>
              <w:top w:w="20" w:type="dxa"/>
              <w:bottom w:w="20" w:type="dxa"/>
            </w:tcMar>
            <w:vAlign w:val="bottom"/>
          </w:tcPr>
          <w:p w:rsidR="00BD3B5F" w:rsidRPr="005C3B55" w:rsidRDefault="00BD3B5F">
            <w:pPr>
              <w:jc w:val="center"/>
              <w:rPr>
                <w:szCs w:val="24"/>
              </w:rPr>
            </w:pP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1052"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1538" w:type="dxa"/>
            <w:shd w:val="clear" w:color="auto" w:fill="FFFFFF"/>
            <w:tcMar>
              <w:top w:w="20" w:type="dxa"/>
              <w:bottom w:w="20" w:type="dxa"/>
            </w:tcMar>
            <w:vAlign w:val="bottom"/>
          </w:tcPr>
          <w:p w:rsidR="00BD3B5F" w:rsidRPr="005C3B55" w:rsidRDefault="00BD3B5F">
            <w:pPr>
              <w:jc w:val="center"/>
              <w:rPr>
                <w:szCs w:val="24"/>
              </w:rPr>
            </w:pPr>
          </w:p>
        </w:tc>
        <w:tc>
          <w:tcPr>
            <w:tcW w:w="910" w:type="dxa"/>
            <w:shd w:val="clear" w:color="auto" w:fill="FFFFFF"/>
            <w:tcMar>
              <w:top w:w="20" w:type="dxa"/>
              <w:bottom w:w="20" w:type="dxa"/>
            </w:tcMar>
            <w:vAlign w:val="bottom"/>
          </w:tcPr>
          <w:p w:rsidR="00BD3B5F" w:rsidRPr="005C3B55" w:rsidRDefault="00BD3B5F">
            <w:pPr>
              <w:jc w:val="center"/>
              <w:rPr>
                <w:szCs w:val="24"/>
              </w:rPr>
            </w:pPr>
          </w:p>
        </w:tc>
      </w:tr>
      <w:tr w:rsidR="00BD3B5F" w:rsidRPr="005C3B55">
        <w:tc>
          <w:tcPr>
            <w:tcW w:w="3448" w:type="dxa"/>
            <w:shd w:val="clear" w:color="auto" w:fill="FFFFFF"/>
            <w:tcMar>
              <w:top w:w="20" w:type="dxa"/>
              <w:bottom w:w="20" w:type="dxa"/>
            </w:tcMar>
            <w:vAlign w:val="bottom"/>
          </w:tcPr>
          <w:p w:rsidR="00BD3B5F" w:rsidRPr="005C3B55" w:rsidRDefault="00BD3B5F">
            <w:pPr>
              <w:jc w:val="left"/>
              <w:rPr>
                <w:szCs w:val="24"/>
              </w:rPr>
            </w:pPr>
            <w:r w:rsidRPr="005C3B55">
              <w:rPr>
                <w:sz w:val="16"/>
                <w:szCs w:val="24"/>
              </w:rPr>
              <w:t>N24 - Stimulating investments in forest technologies and wood processing</w:t>
            </w:r>
          </w:p>
        </w:tc>
        <w:tc>
          <w:tcPr>
            <w:tcW w:w="412" w:type="dxa"/>
            <w:shd w:val="clear" w:color="auto" w:fill="FFFFFF"/>
            <w:tcMar>
              <w:top w:w="20" w:type="dxa"/>
              <w:bottom w:w="20" w:type="dxa"/>
            </w:tcMar>
            <w:vAlign w:val="bottom"/>
          </w:tcPr>
          <w:p w:rsidR="00BD3B5F" w:rsidRPr="005C3B55" w:rsidRDefault="00BD3B5F">
            <w:pPr>
              <w:jc w:val="center"/>
              <w:rPr>
                <w:sz w:val="16"/>
                <w:szCs w:val="24"/>
              </w:rPr>
            </w:pPr>
          </w:p>
        </w:tc>
        <w:tc>
          <w:tcPr>
            <w:tcW w:w="403" w:type="dxa"/>
            <w:shd w:val="clear" w:color="auto" w:fill="FFFFFF"/>
            <w:tcMar>
              <w:top w:w="20" w:type="dxa"/>
              <w:bottom w:w="20" w:type="dxa"/>
            </w:tcMar>
            <w:vAlign w:val="bottom"/>
          </w:tcPr>
          <w:p w:rsidR="00BD3B5F" w:rsidRPr="005C3B55" w:rsidRDefault="00BD3B5F">
            <w:pPr>
              <w:jc w:val="center"/>
              <w:rPr>
                <w:sz w:val="16"/>
                <w:szCs w:val="24"/>
              </w:rPr>
            </w:pPr>
          </w:p>
        </w:tc>
        <w:tc>
          <w:tcPr>
            <w:tcW w:w="403" w:type="dxa"/>
            <w:shd w:val="clear" w:color="auto" w:fill="FFFFFF"/>
            <w:tcMar>
              <w:top w:w="20" w:type="dxa"/>
              <w:bottom w:w="20" w:type="dxa"/>
            </w:tcMar>
            <w:vAlign w:val="bottom"/>
          </w:tcPr>
          <w:p w:rsidR="00BD3B5F" w:rsidRPr="005C3B55" w:rsidRDefault="00BD3B5F">
            <w:pPr>
              <w:jc w:val="center"/>
              <w:rPr>
                <w:sz w:val="16"/>
                <w:szCs w:val="24"/>
              </w:rPr>
            </w:pPr>
          </w:p>
        </w:tc>
        <w:tc>
          <w:tcPr>
            <w:tcW w:w="412" w:type="dxa"/>
            <w:shd w:val="clear" w:color="auto" w:fill="FFFFFF"/>
            <w:tcMar>
              <w:top w:w="20" w:type="dxa"/>
              <w:bottom w:w="20" w:type="dxa"/>
            </w:tcMar>
            <w:vAlign w:val="bottom"/>
          </w:tcPr>
          <w:p w:rsidR="00BD3B5F" w:rsidRPr="005C3B55" w:rsidRDefault="00BD3B5F">
            <w:pPr>
              <w:jc w:val="center"/>
              <w:rPr>
                <w:sz w:val="16"/>
                <w:szCs w:val="24"/>
              </w:rPr>
            </w:pPr>
          </w:p>
        </w:tc>
        <w:tc>
          <w:tcPr>
            <w:tcW w:w="403" w:type="dxa"/>
            <w:shd w:val="clear" w:color="auto" w:fill="FFFFFF"/>
            <w:tcMar>
              <w:top w:w="20" w:type="dxa"/>
              <w:bottom w:w="20" w:type="dxa"/>
            </w:tcMar>
            <w:vAlign w:val="bottom"/>
          </w:tcPr>
          <w:p w:rsidR="00BD3B5F" w:rsidRPr="005C3B55" w:rsidRDefault="00BD3B5F">
            <w:pPr>
              <w:jc w:val="center"/>
              <w:rPr>
                <w:sz w:val="16"/>
                <w:szCs w:val="24"/>
              </w:rPr>
            </w:pPr>
          </w:p>
        </w:tc>
        <w:tc>
          <w:tcPr>
            <w:tcW w:w="412" w:type="dxa"/>
            <w:shd w:val="clear" w:color="auto" w:fill="FFFFFF"/>
            <w:tcMar>
              <w:top w:w="20" w:type="dxa"/>
              <w:bottom w:w="20" w:type="dxa"/>
            </w:tcMar>
            <w:vAlign w:val="bottom"/>
          </w:tcPr>
          <w:p w:rsidR="00BD3B5F" w:rsidRPr="005C3B55" w:rsidRDefault="00BD3B5F">
            <w:pPr>
              <w:jc w:val="center"/>
              <w:rPr>
                <w:sz w:val="16"/>
                <w:szCs w:val="24"/>
              </w:rPr>
            </w:pPr>
          </w:p>
        </w:tc>
        <w:tc>
          <w:tcPr>
            <w:tcW w:w="403" w:type="dxa"/>
            <w:shd w:val="clear" w:color="auto" w:fill="FFFFFF"/>
            <w:tcMar>
              <w:top w:w="20" w:type="dxa"/>
              <w:bottom w:w="20" w:type="dxa"/>
            </w:tcMar>
            <w:vAlign w:val="bottom"/>
          </w:tcPr>
          <w:p w:rsidR="00BD3B5F" w:rsidRPr="005C3B55" w:rsidRDefault="00BD3B5F">
            <w:pPr>
              <w:jc w:val="center"/>
              <w:rPr>
                <w:sz w:val="16"/>
                <w:szCs w:val="24"/>
              </w:rPr>
            </w:pPr>
          </w:p>
        </w:tc>
        <w:tc>
          <w:tcPr>
            <w:tcW w:w="412" w:type="dxa"/>
            <w:shd w:val="clear" w:color="auto" w:fill="FFFFFF"/>
            <w:tcMar>
              <w:top w:w="20" w:type="dxa"/>
              <w:bottom w:w="20" w:type="dxa"/>
            </w:tcMar>
            <w:vAlign w:val="bottom"/>
          </w:tcPr>
          <w:p w:rsidR="00BD3B5F" w:rsidRPr="005C3B55" w:rsidRDefault="00BD3B5F">
            <w:pPr>
              <w:jc w:val="center"/>
              <w:rPr>
                <w:sz w:val="16"/>
                <w:szCs w:val="24"/>
              </w:rPr>
            </w:pPr>
          </w:p>
        </w:tc>
        <w:tc>
          <w:tcPr>
            <w:tcW w:w="403" w:type="dxa"/>
            <w:shd w:val="clear" w:color="auto" w:fill="FFFFFF"/>
            <w:tcMar>
              <w:top w:w="20" w:type="dxa"/>
              <w:bottom w:w="20" w:type="dxa"/>
            </w:tcMar>
            <w:vAlign w:val="bottom"/>
          </w:tcPr>
          <w:p w:rsidR="00BD3B5F" w:rsidRPr="005C3B55" w:rsidRDefault="00BD3B5F">
            <w:pPr>
              <w:jc w:val="center"/>
              <w:rPr>
                <w:sz w:val="16"/>
                <w:szCs w:val="24"/>
              </w:rPr>
            </w:pPr>
          </w:p>
        </w:tc>
        <w:tc>
          <w:tcPr>
            <w:tcW w:w="403" w:type="dxa"/>
            <w:shd w:val="clear" w:color="auto" w:fill="FFFFFF"/>
            <w:tcMar>
              <w:top w:w="20" w:type="dxa"/>
              <w:bottom w:w="20" w:type="dxa"/>
            </w:tcMar>
            <w:vAlign w:val="bottom"/>
          </w:tcPr>
          <w:p w:rsidR="00BD3B5F" w:rsidRPr="005C3B55" w:rsidRDefault="00BD3B5F">
            <w:pPr>
              <w:jc w:val="center"/>
              <w:rPr>
                <w:sz w:val="16"/>
                <w:szCs w:val="24"/>
              </w:rPr>
            </w:pPr>
          </w:p>
        </w:tc>
        <w:tc>
          <w:tcPr>
            <w:tcW w:w="412" w:type="dxa"/>
            <w:shd w:val="clear" w:color="auto" w:fill="FFFFFF"/>
            <w:tcMar>
              <w:top w:w="20" w:type="dxa"/>
              <w:bottom w:w="20" w:type="dxa"/>
            </w:tcMar>
            <w:vAlign w:val="bottom"/>
          </w:tcPr>
          <w:p w:rsidR="00BD3B5F" w:rsidRPr="005C3B55" w:rsidRDefault="00BD3B5F">
            <w:pPr>
              <w:jc w:val="center"/>
              <w:rPr>
                <w:sz w:val="16"/>
                <w:szCs w:val="24"/>
              </w:rPr>
            </w:pPr>
          </w:p>
        </w:tc>
        <w:tc>
          <w:tcPr>
            <w:tcW w:w="403" w:type="dxa"/>
            <w:shd w:val="clear" w:color="auto" w:fill="FFFFFF"/>
            <w:tcMar>
              <w:top w:w="20" w:type="dxa"/>
              <w:bottom w:w="20" w:type="dxa"/>
            </w:tcMar>
            <w:vAlign w:val="bottom"/>
          </w:tcPr>
          <w:p w:rsidR="00BD3B5F" w:rsidRPr="005C3B55" w:rsidRDefault="00BD3B5F">
            <w:pPr>
              <w:jc w:val="center"/>
              <w:rPr>
                <w:sz w:val="16"/>
                <w:szCs w:val="24"/>
              </w:rPr>
            </w:pPr>
          </w:p>
        </w:tc>
        <w:tc>
          <w:tcPr>
            <w:tcW w:w="403"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412" w:type="dxa"/>
            <w:shd w:val="clear" w:color="auto" w:fill="FFFFFF"/>
            <w:tcMar>
              <w:top w:w="20" w:type="dxa"/>
              <w:bottom w:w="20" w:type="dxa"/>
            </w:tcMar>
            <w:vAlign w:val="bottom"/>
          </w:tcPr>
          <w:p w:rsidR="00BD3B5F" w:rsidRPr="005C3B55" w:rsidRDefault="00BD3B5F">
            <w:pPr>
              <w:jc w:val="center"/>
              <w:rPr>
                <w:szCs w:val="24"/>
              </w:rPr>
            </w:pPr>
          </w:p>
        </w:tc>
        <w:tc>
          <w:tcPr>
            <w:tcW w:w="394" w:type="dxa"/>
            <w:shd w:val="clear" w:color="auto" w:fill="FFFFFF"/>
            <w:tcMar>
              <w:top w:w="20" w:type="dxa"/>
              <w:bottom w:w="20" w:type="dxa"/>
            </w:tcMar>
            <w:vAlign w:val="bottom"/>
          </w:tcPr>
          <w:p w:rsidR="00BD3B5F" w:rsidRPr="005C3B55" w:rsidRDefault="00BD3B5F">
            <w:pPr>
              <w:jc w:val="center"/>
              <w:rPr>
                <w:szCs w:val="24"/>
              </w:rPr>
            </w:pPr>
          </w:p>
        </w:tc>
        <w:tc>
          <w:tcPr>
            <w:tcW w:w="412"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1052"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1538"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910"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r>
      <w:tr w:rsidR="00BD3B5F" w:rsidRPr="005C3B55">
        <w:tc>
          <w:tcPr>
            <w:tcW w:w="3448" w:type="dxa"/>
            <w:shd w:val="clear" w:color="auto" w:fill="FFFFFF"/>
            <w:tcMar>
              <w:top w:w="20" w:type="dxa"/>
              <w:bottom w:w="20" w:type="dxa"/>
            </w:tcMar>
            <w:vAlign w:val="bottom"/>
          </w:tcPr>
          <w:p w:rsidR="00BD3B5F" w:rsidRPr="005C3B55" w:rsidRDefault="00BD3B5F">
            <w:pPr>
              <w:jc w:val="left"/>
              <w:rPr>
                <w:szCs w:val="24"/>
              </w:rPr>
            </w:pPr>
            <w:r w:rsidRPr="005C3B55">
              <w:rPr>
                <w:sz w:val="16"/>
                <w:szCs w:val="24"/>
              </w:rPr>
              <w:t>N25 - Improving market organisation and connections of forest owners and further on in forest-wood chains</w:t>
            </w:r>
          </w:p>
        </w:tc>
        <w:tc>
          <w:tcPr>
            <w:tcW w:w="412" w:type="dxa"/>
            <w:shd w:val="clear" w:color="auto" w:fill="FFFFFF"/>
            <w:tcMar>
              <w:top w:w="20" w:type="dxa"/>
              <w:bottom w:w="20" w:type="dxa"/>
            </w:tcMar>
            <w:vAlign w:val="bottom"/>
          </w:tcPr>
          <w:p w:rsidR="00BD3B5F" w:rsidRPr="005C3B55" w:rsidRDefault="00BD3B5F">
            <w:pPr>
              <w:jc w:val="center"/>
              <w:rPr>
                <w:sz w:val="16"/>
                <w:szCs w:val="24"/>
              </w:rPr>
            </w:pPr>
          </w:p>
        </w:tc>
        <w:tc>
          <w:tcPr>
            <w:tcW w:w="403" w:type="dxa"/>
            <w:shd w:val="clear" w:color="auto" w:fill="FFFFFF"/>
            <w:tcMar>
              <w:top w:w="20" w:type="dxa"/>
              <w:bottom w:w="20" w:type="dxa"/>
            </w:tcMar>
            <w:vAlign w:val="bottom"/>
          </w:tcPr>
          <w:p w:rsidR="00BD3B5F" w:rsidRPr="005C3B55" w:rsidRDefault="00BD3B5F">
            <w:pPr>
              <w:jc w:val="center"/>
              <w:rPr>
                <w:sz w:val="16"/>
                <w:szCs w:val="24"/>
              </w:rPr>
            </w:pPr>
          </w:p>
        </w:tc>
        <w:tc>
          <w:tcPr>
            <w:tcW w:w="403" w:type="dxa"/>
            <w:shd w:val="clear" w:color="auto" w:fill="FFFFFF"/>
            <w:tcMar>
              <w:top w:w="20" w:type="dxa"/>
              <w:bottom w:w="20" w:type="dxa"/>
            </w:tcMar>
            <w:vAlign w:val="bottom"/>
          </w:tcPr>
          <w:p w:rsidR="00BD3B5F" w:rsidRPr="005C3B55" w:rsidRDefault="00BD3B5F">
            <w:pPr>
              <w:jc w:val="center"/>
              <w:rPr>
                <w:sz w:val="16"/>
                <w:szCs w:val="24"/>
              </w:rPr>
            </w:pPr>
          </w:p>
        </w:tc>
        <w:tc>
          <w:tcPr>
            <w:tcW w:w="412" w:type="dxa"/>
            <w:shd w:val="clear" w:color="auto" w:fill="FFFFFF"/>
            <w:tcMar>
              <w:top w:w="20" w:type="dxa"/>
              <w:bottom w:w="20" w:type="dxa"/>
            </w:tcMar>
            <w:vAlign w:val="bottom"/>
          </w:tcPr>
          <w:p w:rsidR="00BD3B5F" w:rsidRPr="005C3B55" w:rsidRDefault="00BD3B5F">
            <w:pPr>
              <w:jc w:val="center"/>
              <w:rPr>
                <w:sz w:val="16"/>
                <w:szCs w:val="24"/>
              </w:rPr>
            </w:pPr>
          </w:p>
        </w:tc>
        <w:tc>
          <w:tcPr>
            <w:tcW w:w="403" w:type="dxa"/>
            <w:shd w:val="clear" w:color="auto" w:fill="FFFFFF"/>
            <w:tcMar>
              <w:top w:w="20" w:type="dxa"/>
              <w:bottom w:w="20" w:type="dxa"/>
            </w:tcMar>
            <w:vAlign w:val="bottom"/>
          </w:tcPr>
          <w:p w:rsidR="00BD3B5F" w:rsidRPr="005C3B55" w:rsidRDefault="00BD3B5F">
            <w:pPr>
              <w:jc w:val="center"/>
              <w:rPr>
                <w:sz w:val="16"/>
                <w:szCs w:val="24"/>
              </w:rPr>
            </w:pPr>
          </w:p>
        </w:tc>
        <w:tc>
          <w:tcPr>
            <w:tcW w:w="412"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412" w:type="dxa"/>
            <w:shd w:val="clear" w:color="auto" w:fill="FFFFFF"/>
            <w:tcMar>
              <w:top w:w="20" w:type="dxa"/>
              <w:bottom w:w="20" w:type="dxa"/>
            </w:tcMar>
            <w:vAlign w:val="bottom"/>
          </w:tcPr>
          <w:p w:rsidR="00BD3B5F" w:rsidRPr="005C3B55" w:rsidRDefault="00BD3B5F">
            <w:pPr>
              <w:jc w:val="center"/>
              <w:rPr>
                <w:szCs w:val="24"/>
              </w:rPr>
            </w:pP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412" w:type="dxa"/>
            <w:shd w:val="clear" w:color="auto" w:fill="FFFFFF"/>
            <w:tcMar>
              <w:top w:w="20" w:type="dxa"/>
              <w:bottom w:w="20" w:type="dxa"/>
            </w:tcMar>
            <w:vAlign w:val="bottom"/>
          </w:tcPr>
          <w:p w:rsidR="00BD3B5F" w:rsidRPr="005C3B55" w:rsidRDefault="00BD3B5F">
            <w:pPr>
              <w:jc w:val="center"/>
              <w:rPr>
                <w:szCs w:val="24"/>
              </w:rPr>
            </w:pP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412" w:type="dxa"/>
            <w:shd w:val="clear" w:color="auto" w:fill="FFFFFF"/>
            <w:tcMar>
              <w:top w:w="20" w:type="dxa"/>
              <w:bottom w:w="20" w:type="dxa"/>
            </w:tcMar>
            <w:vAlign w:val="bottom"/>
          </w:tcPr>
          <w:p w:rsidR="00BD3B5F" w:rsidRPr="005C3B55" w:rsidRDefault="00BD3B5F">
            <w:pPr>
              <w:jc w:val="center"/>
              <w:rPr>
                <w:szCs w:val="24"/>
              </w:rPr>
            </w:pPr>
          </w:p>
        </w:tc>
        <w:tc>
          <w:tcPr>
            <w:tcW w:w="394" w:type="dxa"/>
            <w:shd w:val="clear" w:color="auto" w:fill="FFFFFF"/>
            <w:tcMar>
              <w:top w:w="20" w:type="dxa"/>
              <w:bottom w:w="20" w:type="dxa"/>
            </w:tcMar>
            <w:vAlign w:val="bottom"/>
          </w:tcPr>
          <w:p w:rsidR="00BD3B5F" w:rsidRPr="005C3B55" w:rsidRDefault="00BD3B5F">
            <w:pPr>
              <w:jc w:val="center"/>
              <w:rPr>
                <w:szCs w:val="24"/>
              </w:rPr>
            </w:pPr>
          </w:p>
        </w:tc>
        <w:tc>
          <w:tcPr>
            <w:tcW w:w="412"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1052"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1538"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910"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r>
      <w:tr w:rsidR="00BD3B5F" w:rsidRPr="005C3B55">
        <w:tc>
          <w:tcPr>
            <w:tcW w:w="3448" w:type="dxa"/>
            <w:shd w:val="clear" w:color="auto" w:fill="FFFFFF"/>
            <w:tcMar>
              <w:top w:w="20" w:type="dxa"/>
              <w:bottom w:w="20" w:type="dxa"/>
            </w:tcMar>
            <w:vAlign w:val="bottom"/>
          </w:tcPr>
          <w:p w:rsidR="00BD3B5F" w:rsidRPr="005C3B55" w:rsidRDefault="00BD3B5F">
            <w:pPr>
              <w:jc w:val="left"/>
              <w:rPr>
                <w:szCs w:val="24"/>
              </w:rPr>
            </w:pPr>
            <w:r w:rsidRPr="005C3B55">
              <w:rPr>
                <w:sz w:val="16"/>
                <w:szCs w:val="24"/>
              </w:rPr>
              <w:t>N26 - Stimulating the use of wood</w:t>
            </w:r>
          </w:p>
        </w:tc>
        <w:tc>
          <w:tcPr>
            <w:tcW w:w="412" w:type="dxa"/>
            <w:shd w:val="clear" w:color="auto" w:fill="FFFFFF"/>
            <w:tcMar>
              <w:top w:w="20" w:type="dxa"/>
              <w:bottom w:w="20" w:type="dxa"/>
            </w:tcMar>
            <w:vAlign w:val="bottom"/>
          </w:tcPr>
          <w:p w:rsidR="00BD3B5F" w:rsidRPr="005C3B55" w:rsidRDefault="00BD3B5F">
            <w:pPr>
              <w:jc w:val="center"/>
              <w:rPr>
                <w:sz w:val="16"/>
                <w:szCs w:val="24"/>
              </w:rPr>
            </w:pPr>
          </w:p>
        </w:tc>
        <w:tc>
          <w:tcPr>
            <w:tcW w:w="403" w:type="dxa"/>
            <w:shd w:val="clear" w:color="auto" w:fill="FFFFFF"/>
            <w:tcMar>
              <w:top w:w="20" w:type="dxa"/>
              <w:bottom w:w="20" w:type="dxa"/>
            </w:tcMar>
            <w:vAlign w:val="bottom"/>
          </w:tcPr>
          <w:p w:rsidR="00BD3B5F" w:rsidRPr="005C3B55" w:rsidRDefault="00BD3B5F">
            <w:pPr>
              <w:jc w:val="center"/>
              <w:rPr>
                <w:sz w:val="16"/>
                <w:szCs w:val="24"/>
              </w:rPr>
            </w:pPr>
          </w:p>
        </w:tc>
        <w:tc>
          <w:tcPr>
            <w:tcW w:w="403" w:type="dxa"/>
            <w:shd w:val="clear" w:color="auto" w:fill="FFFFFF"/>
            <w:tcMar>
              <w:top w:w="20" w:type="dxa"/>
              <w:bottom w:w="20" w:type="dxa"/>
            </w:tcMar>
            <w:vAlign w:val="bottom"/>
          </w:tcPr>
          <w:p w:rsidR="00BD3B5F" w:rsidRPr="005C3B55" w:rsidRDefault="00BD3B5F">
            <w:pPr>
              <w:jc w:val="center"/>
              <w:rPr>
                <w:sz w:val="16"/>
                <w:szCs w:val="24"/>
              </w:rPr>
            </w:pPr>
          </w:p>
        </w:tc>
        <w:tc>
          <w:tcPr>
            <w:tcW w:w="412" w:type="dxa"/>
            <w:shd w:val="clear" w:color="auto" w:fill="FFFFFF"/>
            <w:tcMar>
              <w:top w:w="20" w:type="dxa"/>
              <w:bottom w:w="20" w:type="dxa"/>
            </w:tcMar>
            <w:vAlign w:val="bottom"/>
          </w:tcPr>
          <w:p w:rsidR="00BD3B5F" w:rsidRPr="005C3B55" w:rsidRDefault="00BD3B5F">
            <w:pPr>
              <w:jc w:val="center"/>
              <w:rPr>
                <w:sz w:val="16"/>
                <w:szCs w:val="24"/>
              </w:rPr>
            </w:pPr>
          </w:p>
        </w:tc>
        <w:tc>
          <w:tcPr>
            <w:tcW w:w="403" w:type="dxa"/>
            <w:shd w:val="clear" w:color="auto" w:fill="FFFFFF"/>
            <w:tcMar>
              <w:top w:w="20" w:type="dxa"/>
              <w:bottom w:w="20" w:type="dxa"/>
            </w:tcMar>
            <w:vAlign w:val="bottom"/>
          </w:tcPr>
          <w:p w:rsidR="00BD3B5F" w:rsidRPr="005C3B55" w:rsidRDefault="00BD3B5F">
            <w:pPr>
              <w:jc w:val="center"/>
              <w:rPr>
                <w:sz w:val="16"/>
                <w:szCs w:val="24"/>
              </w:rPr>
            </w:pPr>
          </w:p>
        </w:tc>
        <w:tc>
          <w:tcPr>
            <w:tcW w:w="412" w:type="dxa"/>
            <w:shd w:val="clear" w:color="auto" w:fill="FFFFFF"/>
            <w:tcMar>
              <w:top w:w="20" w:type="dxa"/>
              <w:bottom w:w="20" w:type="dxa"/>
            </w:tcMar>
            <w:vAlign w:val="bottom"/>
          </w:tcPr>
          <w:p w:rsidR="00BD3B5F" w:rsidRPr="005C3B55" w:rsidRDefault="00BD3B5F">
            <w:pPr>
              <w:jc w:val="center"/>
              <w:rPr>
                <w:sz w:val="16"/>
                <w:szCs w:val="24"/>
              </w:rPr>
            </w:pPr>
          </w:p>
        </w:tc>
        <w:tc>
          <w:tcPr>
            <w:tcW w:w="403" w:type="dxa"/>
            <w:shd w:val="clear" w:color="auto" w:fill="FFFFFF"/>
            <w:tcMar>
              <w:top w:w="20" w:type="dxa"/>
              <w:bottom w:w="20" w:type="dxa"/>
            </w:tcMar>
            <w:vAlign w:val="bottom"/>
          </w:tcPr>
          <w:p w:rsidR="00BD3B5F" w:rsidRPr="005C3B55" w:rsidRDefault="00BD3B5F">
            <w:pPr>
              <w:jc w:val="center"/>
              <w:rPr>
                <w:sz w:val="16"/>
                <w:szCs w:val="24"/>
              </w:rPr>
            </w:pPr>
          </w:p>
        </w:tc>
        <w:tc>
          <w:tcPr>
            <w:tcW w:w="412" w:type="dxa"/>
            <w:shd w:val="clear" w:color="auto" w:fill="FFFFFF"/>
            <w:tcMar>
              <w:top w:w="20" w:type="dxa"/>
              <w:bottom w:w="20" w:type="dxa"/>
            </w:tcMar>
            <w:vAlign w:val="bottom"/>
          </w:tcPr>
          <w:p w:rsidR="00BD3B5F" w:rsidRPr="005C3B55" w:rsidRDefault="00BD3B5F">
            <w:pPr>
              <w:jc w:val="center"/>
              <w:rPr>
                <w:sz w:val="16"/>
                <w:szCs w:val="24"/>
              </w:rPr>
            </w:pPr>
          </w:p>
        </w:tc>
        <w:tc>
          <w:tcPr>
            <w:tcW w:w="403" w:type="dxa"/>
            <w:shd w:val="clear" w:color="auto" w:fill="FFFFFF"/>
            <w:tcMar>
              <w:top w:w="20" w:type="dxa"/>
              <w:bottom w:w="20" w:type="dxa"/>
            </w:tcMar>
            <w:vAlign w:val="bottom"/>
          </w:tcPr>
          <w:p w:rsidR="00BD3B5F" w:rsidRPr="005C3B55" w:rsidRDefault="00BD3B5F">
            <w:pPr>
              <w:jc w:val="center"/>
              <w:rPr>
                <w:sz w:val="16"/>
                <w:szCs w:val="24"/>
              </w:rPr>
            </w:pPr>
          </w:p>
        </w:tc>
        <w:tc>
          <w:tcPr>
            <w:tcW w:w="403" w:type="dxa"/>
            <w:shd w:val="clear" w:color="auto" w:fill="FFFFFF"/>
            <w:tcMar>
              <w:top w:w="20" w:type="dxa"/>
              <w:bottom w:w="20" w:type="dxa"/>
            </w:tcMar>
            <w:vAlign w:val="bottom"/>
          </w:tcPr>
          <w:p w:rsidR="00BD3B5F" w:rsidRPr="005C3B55" w:rsidRDefault="00BD3B5F">
            <w:pPr>
              <w:jc w:val="center"/>
              <w:rPr>
                <w:sz w:val="16"/>
                <w:szCs w:val="24"/>
              </w:rPr>
            </w:pPr>
          </w:p>
        </w:tc>
        <w:tc>
          <w:tcPr>
            <w:tcW w:w="412" w:type="dxa"/>
            <w:shd w:val="clear" w:color="auto" w:fill="FFFFFF"/>
            <w:tcMar>
              <w:top w:w="20" w:type="dxa"/>
              <w:bottom w:w="20" w:type="dxa"/>
            </w:tcMar>
            <w:vAlign w:val="bottom"/>
          </w:tcPr>
          <w:p w:rsidR="00BD3B5F" w:rsidRPr="005C3B55" w:rsidRDefault="00BD3B5F">
            <w:pPr>
              <w:jc w:val="center"/>
              <w:rPr>
                <w:sz w:val="16"/>
                <w:szCs w:val="24"/>
              </w:rPr>
            </w:pPr>
          </w:p>
        </w:tc>
        <w:tc>
          <w:tcPr>
            <w:tcW w:w="403" w:type="dxa"/>
            <w:shd w:val="clear" w:color="auto" w:fill="FFFFFF"/>
            <w:tcMar>
              <w:top w:w="20" w:type="dxa"/>
              <w:bottom w:w="20" w:type="dxa"/>
            </w:tcMar>
            <w:vAlign w:val="bottom"/>
          </w:tcPr>
          <w:p w:rsidR="00BD3B5F" w:rsidRPr="005C3B55" w:rsidRDefault="00BD3B5F">
            <w:pPr>
              <w:jc w:val="center"/>
              <w:rPr>
                <w:sz w:val="16"/>
                <w:szCs w:val="24"/>
              </w:rPr>
            </w:pPr>
          </w:p>
        </w:tc>
        <w:tc>
          <w:tcPr>
            <w:tcW w:w="403"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412" w:type="dxa"/>
            <w:shd w:val="clear" w:color="auto" w:fill="FFFFFF"/>
            <w:tcMar>
              <w:top w:w="20" w:type="dxa"/>
              <w:bottom w:w="20" w:type="dxa"/>
            </w:tcMar>
            <w:vAlign w:val="bottom"/>
          </w:tcPr>
          <w:p w:rsidR="00BD3B5F" w:rsidRPr="005C3B55" w:rsidRDefault="00BD3B5F">
            <w:pPr>
              <w:jc w:val="center"/>
              <w:rPr>
                <w:szCs w:val="24"/>
              </w:rPr>
            </w:pPr>
          </w:p>
        </w:tc>
        <w:tc>
          <w:tcPr>
            <w:tcW w:w="394" w:type="dxa"/>
            <w:shd w:val="clear" w:color="auto" w:fill="FFFFFF"/>
            <w:tcMar>
              <w:top w:w="20" w:type="dxa"/>
              <w:bottom w:w="20" w:type="dxa"/>
            </w:tcMar>
            <w:vAlign w:val="bottom"/>
          </w:tcPr>
          <w:p w:rsidR="00BD3B5F" w:rsidRPr="005C3B55" w:rsidRDefault="00BD3B5F">
            <w:pPr>
              <w:jc w:val="center"/>
              <w:rPr>
                <w:szCs w:val="24"/>
              </w:rPr>
            </w:pPr>
          </w:p>
        </w:tc>
        <w:tc>
          <w:tcPr>
            <w:tcW w:w="412"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1052"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1538"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910"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r>
      <w:tr w:rsidR="00BD3B5F" w:rsidRPr="005C3B55">
        <w:tc>
          <w:tcPr>
            <w:tcW w:w="3448" w:type="dxa"/>
            <w:shd w:val="clear" w:color="auto" w:fill="FFFFFF"/>
            <w:tcMar>
              <w:top w:w="20" w:type="dxa"/>
              <w:bottom w:w="20" w:type="dxa"/>
            </w:tcMar>
            <w:vAlign w:val="bottom"/>
          </w:tcPr>
          <w:p w:rsidR="00BD3B5F" w:rsidRPr="005C3B55" w:rsidRDefault="00BD3B5F">
            <w:pPr>
              <w:jc w:val="left"/>
              <w:rPr>
                <w:szCs w:val="24"/>
              </w:rPr>
            </w:pPr>
            <w:r w:rsidRPr="005C3B55">
              <w:rPr>
                <w:sz w:val="16"/>
                <w:szCs w:val="24"/>
              </w:rPr>
              <w:t>N27 - Diversification to non-agricultural activities in the countryside</w:t>
            </w:r>
          </w:p>
        </w:tc>
        <w:tc>
          <w:tcPr>
            <w:tcW w:w="412" w:type="dxa"/>
            <w:shd w:val="clear" w:color="auto" w:fill="FFFFFF"/>
            <w:tcMar>
              <w:top w:w="20" w:type="dxa"/>
              <w:bottom w:w="20" w:type="dxa"/>
            </w:tcMar>
            <w:vAlign w:val="bottom"/>
          </w:tcPr>
          <w:p w:rsidR="00BD3B5F" w:rsidRPr="005C3B55" w:rsidRDefault="00BD3B5F">
            <w:pPr>
              <w:jc w:val="center"/>
              <w:rPr>
                <w:sz w:val="16"/>
                <w:szCs w:val="24"/>
              </w:rPr>
            </w:pPr>
          </w:p>
        </w:tc>
        <w:tc>
          <w:tcPr>
            <w:tcW w:w="403" w:type="dxa"/>
            <w:shd w:val="clear" w:color="auto" w:fill="FFFFFF"/>
            <w:tcMar>
              <w:top w:w="20" w:type="dxa"/>
              <w:bottom w:w="20" w:type="dxa"/>
            </w:tcMar>
            <w:vAlign w:val="bottom"/>
          </w:tcPr>
          <w:p w:rsidR="00BD3B5F" w:rsidRPr="005C3B55" w:rsidRDefault="00BD3B5F">
            <w:pPr>
              <w:jc w:val="center"/>
              <w:rPr>
                <w:sz w:val="16"/>
                <w:szCs w:val="24"/>
              </w:rPr>
            </w:pPr>
          </w:p>
        </w:tc>
        <w:tc>
          <w:tcPr>
            <w:tcW w:w="403" w:type="dxa"/>
            <w:shd w:val="clear" w:color="auto" w:fill="FFFFFF"/>
            <w:tcMar>
              <w:top w:w="20" w:type="dxa"/>
              <w:bottom w:w="20" w:type="dxa"/>
            </w:tcMar>
            <w:vAlign w:val="bottom"/>
          </w:tcPr>
          <w:p w:rsidR="00BD3B5F" w:rsidRPr="005C3B55" w:rsidRDefault="00BD3B5F">
            <w:pPr>
              <w:jc w:val="center"/>
              <w:rPr>
                <w:sz w:val="16"/>
                <w:szCs w:val="24"/>
              </w:rPr>
            </w:pPr>
          </w:p>
        </w:tc>
        <w:tc>
          <w:tcPr>
            <w:tcW w:w="412" w:type="dxa"/>
            <w:shd w:val="clear" w:color="auto" w:fill="FFFFFF"/>
            <w:tcMar>
              <w:top w:w="20" w:type="dxa"/>
              <w:bottom w:w="20" w:type="dxa"/>
            </w:tcMar>
            <w:vAlign w:val="bottom"/>
          </w:tcPr>
          <w:p w:rsidR="00BD3B5F" w:rsidRPr="005C3B55" w:rsidRDefault="00BD3B5F">
            <w:pPr>
              <w:jc w:val="center"/>
              <w:rPr>
                <w:sz w:val="16"/>
                <w:szCs w:val="24"/>
              </w:rPr>
            </w:pPr>
          </w:p>
        </w:tc>
        <w:tc>
          <w:tcPr>
            <w:tcW w:w="403" w:type="dxa"/>
            <w:shd w:val="clear" w:color="auto" w:fill="FFFFFF"/>
            <w:tcMar>
              <w:top w:w="20" w:type="dxa"/>
              <w:bottom w:w="20" w:type="dxa"/>
            </w:tcMar>
            <w:vAlign w:val="bottom"/>
          </w:tcPr>
          <w:p w:rsidR="00BD3B5F" w:rsidRPr="005C3B55" w:rsidRDefault="00BD3B5F">
            <w:pPr>
              <w:jc w:val="center"/>
              <w:rPr>
                <w:sz w:val="16"/>
                <w:szCs w:val="24"/>
              </w:rPr>
            </w:pPr>
          </w:p>
        </w:tc>
        <w:tc>
          <w:tcPr>
            <w:tcW w:w="412" w:type="dxa"/>
            <w:shd w:val="clear" w:color="auto" w:fill="FFFFFF"/>
            <w:tcMar>
              <w:top w:w="20" w:type="dxa"/>
              <w:bottom w:w="20" w:type="dxa"/>
            </w:tcMar>
            <w:vAlign w:val="bottom"/>
          </w:tcPr>
          <w:p w:rsidR="00BD3B5F" w:rsidRPr="005C3B55" w:rsidRDefault="00BD3B5F">
            <w:pPr>
              <w:jc w:val="center"/>
              <w:rPr>
                <w:sz w:val="16"/>
                <w:szCs w:val="24"/>
              </w:rPr>
            </w:pPr>
          </w:p>
        </w:tc>
        <w:tc>
          <w:tcPr>
            <w:tcW w:w="403" w:type="dxa"/>
            <w:shd w:val="clear" w:color="auto" w:fill="FFFFFF"/>
            <w:tcMar>
              <w:top w:w="20" w:type="dxa"/>
              <w:bottom w:w="20" w:type="dxa"/>
            </w:tcMar>
            <w:vAlign w:val="bottom"/>
          </w:tcPr>
          <w:p w:rsidR="00BD3B5F" w:rsidRPr="005C3B55" w:rsidRDefault="00BD3B5F">
            <w:pPr>
              <w:jc w:val="center"/>
              <w:rPr>
                <w:sz w:val="16"/>
                <w:szCs w:val="24"/>
              </w:rPr>
            </w:pPr>
          </w:p>
        </w:tc>
        <w:tc>
          <w:tcPr>
            <w:tcW w:w="412" w:type="dxa"/>
            <w:shd w:val="clear" w:color="auto" w:fill="FFFFFF"/>
            <w:tcMar>
              <w:top w:w="20" w:type="dxa"/>
              <w:bottom w:w="20" w:type="dxa"/>
            </w:tcMar>
            <w:vAlign w:val="bottom"/>
          </w:tcPr>
          <w:p w:rsidR="00BD3B5F" w:rsidRPr="005C3B55" w:rsidRDefault="00BD3B5F">
            <w:pPr>
              <w:jc w:val="center"/>
              <w:rPr>
                <w:sz w:val="16"/>
                <w:szCs w:val="24"/>
              </w:rPr>
            </w:pPr>
          </w:p>
        </w:tc>
        <w:tc>
          <w:tcPr>
            <w:tcW w:w="403" w:type="dxa"/>
            <w:shd w:val="clear" w:color="auto" w:fill="FFFFFF"/>
            <w:tcMar>
              <w:top w:w="20" w:type="dxa"/>
              <w:bottom w:w="20" w:type="dxa"/>
            </w:tcMar>
            <w:vAlign w:val="bottom"/>
          </w:tcPr>
          <w:p w:rsidR="00BD3B5F" w:rsidRPr="005C3B55" w:rsidRDefault="00BD3B5F">
            <w:pPr>
              <w:jc w:val="center"/>
              <w:rPr>
                <w:sz w:val="16"/>
                <w:szCs w:val="24"/>
              </w:rPr>
            </w:pPr>
          </w:p>
        </w:tc>
        <w:tc>
          <w:tcPr>
            <w:tcW w:w="403" w:type="dxa"/>
            <w:shd w:val="clear" w:color="auto" w:fill="FFFFFF"/>
            <w:tcMar>
              <w:top w:w="20" w:type="dxa"/>
              <w:bottom w:w="20" w:type="dxa"/>
            </w:tcMar>
            <w:vAlign w:val="bottom"/>
          </w:tcPr>
          <w:p w:rsidR="00BD3B5F" w:rsidRPr="005C3B55" w:rsidRDefault="00BD3B5F">
            <w:pPr>
              <w:jc w:val="center"/>
              <w:rPr>
                <w:sz w:val="16"/>
                <w:szCs w:val="24"/>
              </w:rPr>
            </w:pPr>
          </w:p>
        </w:tc>
        <w:tc>
          <w:tcPr>
            <w:tcW w:w="412" w:type="dxa"/>
            <w:shd w:val="clear" w:color="auto" w:fill="FFFFFF"/>
            <w:tcMar>
              <w:top w:w="20" w:type="dxa"/>
              <w:bottom w:w="20" w:type="dxa"/>
            </w:tcMar>
            <w:vAlign w:val="bottom"/>
          </w:tcPr>
          <w:p w:rsidR="00BD3B5F" w:rsidRPr="005C3B55" w:rsidRDefault="00BD3B5F">
            <w:pPr>
              <w:jc w:val="center"/>
              <w:rPr>
                <w:sz w:val="16"/>
                <w:szCs w:val="24"/>
              </w:rPr>
            </w:pPr>
          </w:p>
        </w:tc>
        <w:tc>
          <w:tcPr>
            <w:tcW w:w="403" w:type="dxa"/>
            <w:shd w:val="clear" w:color="auto" w:fill="FFFFFF"/>
            <w:tcMar>
              <w:top w:w="20" w:type="dxa"/>
              <w:bottom w:w="20" w:type="dxa"/>
            </w:tcMar>
            <w:vAlign w:val="bottom"/>
          </w:tcPr>
          <w:p w:rsidR="00BD3B5F" w:rsidRPr="005C3B55" w:rsidRDefault="00BD3B5F">
            <w:pPr>
              <w:jc w:val="center"/>
              <w:rPr>
                <w:sz w:val="16"/>
                <w:szCs w:val="24"/>
              </w:rPr>
            </w:pPr>
          </w:p>
        </w:tc>
        <w:tc>
          <w:tcPr>
            <w:tcW w:w="403"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412" w:type="dxa"/>
            <w:shd w:val="clear" w:color="auto" w:fill="FFFFFF"/>
            <w:tcMar>
              <w:top w:w="20" w:type="dxa"/>
              <w:bottom w:w="20" w:type="dxa"/>
            </w:tcMar>
            <w:vAlign w:val="bottom"/>
          </w:tcPr>
          <w:p w:rsidR="00BD3B5F" w:rsidRPr="005C3B55" w:rsidRDefault="00BD3B5F">
            <w:pPr>
              <w:jc w:val="center"/>
              <w:rPr>
                <w:szCs w:val="24"/>
              </w:rPr>
            </w:pPr>
          </w:p>
        </w:tc>
        <w:tc>
          <w:tcPr>
            <w:tcW w:w="394" w:type="dxa"/>
            <w:shd w:val="clear" w:color="auto" w:fill="FFFFFF"/>
            <w:tcMar>
              <w:top w:w="20" w:type="dxa"/>
              <w:bottom w:w="20" w:type="dxa"/>
            </w:tcMar>
            <w:vAlign w:val="bottom"/>
          </w:tcPr>
          <w:p w:rsidR="00BD3B5F" w:rsidRPr="005C3B55" w:rsidRDefault="00BD3B5F">
            <w:pPr>
              <w:jc w:val="center"/>
              <w:rPr>
                <w:szCs w:val="24"/>
              </w:rPr>
            </w:pPr>
          </w:p>
        </w:tc>
        <w:tc>
          <w:tcPr>
            <w:tcW w:w="412"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1052"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1538"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910"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r>
      <w:tr w:rsidR="00BD3B5F" w:rsidRPr="005C3B55">
        <w:tc>
          <w:tcPr>
            <w:tcW w:w="3448" w:type="dxa"/>
            <w:shd w:val="clear" w:color="auto" w:fill="FFFFFF"/>
            <w:tcMar>
              <w:top w:w="20" w:type="dxa"/>
              <w:bottom w:w="20" w:type="dxa"/>
            </w:tcMar>
            <w:vAlign w:val="bottom"/>
          </w:tcPr>
          <w:p w:rsidR="00BD3B5F" w:rsidRPr="005C3B55" w:rsidRDefault="00BD3B5F">
            <w:pPr>
              <w:jc w:val="left"/>
              <w:rPr>
                <w:szCs w:val="24"/>
              </w:rPr>
            </w:pPr>
            <w:r w:rsidRPr="005C3B55">
              <w:rPr>
                <w:sz w:val="16"/>
                <w:szCs w:val="24"/>
              </w:rPr>
              <w:t>N28 - Improving access to broadband Internet with appropriate speed</w:t>
            </w:r>
          </w:p>
        </w:tc>
        <w:tc>
          <w:tcPr>
            <w:tcW w:w="412" w:type="dxa"/>
            <w:shd w:val="clear" w:color="auto" w:fill="FFFFFF"/>
            <w:tcMar>
              <w:top w:w="20" w:type="dxa"/>
              <w:bottom w:w="20" w:type="dxa"/>
            </w:tcMar>
            <w:vAlign w:val="bottom"/>
          </w:tcPr>
          <w:p w:rsidR="00BD3B5F" w:rsidRPr="005C3B55" w:rsidRDefault="00BD3B5F">
            <w:pPr>
              <w:jc w:val="center"/>
              <w:rPr>
                <w:sz w:val="16"/>
                <w:szCs w:val="24"/>
              </w:rPr>
            </w:pPr>
          </w:p>
        </w:tc>
        <w:tc>
          <w:tcPr>
            <w:tcW w:w="403" w:type="dxa"/>
            <w:shd w:val="clear" w:color="auto" w:fill="FFFFFF"/>
            <w:tcMar>
              <w:top w:w="20" w:type="dxa"/>
              <w:bottom w:w="20" w:type="dxa"/>
            </w:tcMar>
            <w:vAlign w:val="bottom"/>
          </w:tcPr>
          <w:p w:rsidR="00BD3B5F" w:rsidRPr="005C3B55" w:rsidRDefault="00BD3B5F">
            <w:pPr>
              <w:jc w:val="center"/>
              <w:rPr>
                <w:sz w:val="16"/>
                <w:szCs w:val="24"/>
              </w:rPr>
            </w:pPr>
          </w:p>
        </w:tc>
        <w:tc>
          <w:tcPr>
            <w:tcW w:w="403" w:type="dxa"/>
            <w:shd w:val="clear" w:color="auto" w:fill="FFFFFF"/>
            <w:tcMar>
              <w:top w:w="20" w:type="dxa"/>
              <w:bottom w:w="20" w:type="dxa"/>
            </w:tcMar>
            <w:vAlign w:val="bottom"/>
          </w:tcPr>
          <w:p w:rsidR="00BD3B5F" w:rsidRPr="005C3B55" w:rsidRDefault="00BD3B5F">
            <w:pPr>
              <w:jc w:val="center"/>
              <w:rPr>
                <w:sz w:val="16"/>
                <w:szCs w:val="24"/>
              </w:rPr>
            </w:pPr>
          </w:p>
        </w:tc>
        <w:tc>
          <w:tcPr>
            <w:tcW w:w="412" w:type="dxa"/>
            <w:shd w:val="clear" w:color="auto" w:fill="FFFFFF"/>
            <w:tcMar>
              <w:top w:w="20" w:type="dxa"/>
              <w:bottom w:w="20" w:type="dxa"/>
            </w:tcMar>
            <w:vAlign w:val="bottom"/>
          </w:tcPr>
          <w:p w:rsidR="00BD3B5F" w:rsidRPr="005C3B55" w:rsidRDefault="00BD3B5F">
            <w:pPr>
              <w:jc w:val="center"/>
              <w:rPr>
                <w:sz w:val="16"/>
                <w:szCs w:val="24"/>
              </w:rPr>
            </w:pPr>
          </w:p>
        </w:tc>
        <w:tc>
          <w:tcPr>
            <w:tcW w:w="403" w:type="dxa"/>
            <w:shd w:val="clear" w:color="auto" w:fill="FFFFFF"/>
            <w:tcMar>
              <w:top w:w="20" w:type="dxa"/>
              <w:bottom w:w="20" w:type="dxa"/>
            </w:tcMar>
            <w:vAlign w:val="bottom"/>
          </w:tcPr>
          <w:p w:rsidR="00BD3B5F" w:rsidRPr="005C3B55" w:rsidRDefault="00BD3B5F">
            <w:pPr>
              <w:jc w:val="center"/>
              <w:rPr>
                <w:sz w:val="16"/>
                <w:szCs w:val="24"/>
              </w:rPr>
            </w:pPr>
          </w:p>
        </w:tc>
        <w:tc>
          <w:tcPr>
            <w:tcW w:w="412" w:type="dxa"/>
            <w:shd w:val="clear" w:color="auto" w:fill="FFFFFF"/>
            <w:tcMar>
              <w:top w:w="20" w:type="dxa"/>
              <w:bottom w:w="20" w:type="dxa"/>
            </w:tcMar>
            <w:vAlign w:val="bottom"/>
          </w:tcPr>
          <w:p w:rsidR="00BD3B5F" w:rsidRPr="005C3B55" w:rsidRDefault="00BD3B5F">
            <w:pPr>
              <w:jc w:val="center"/>
              <w:rPr>
                <w:sz w:val="16"/>
                <w:szCs w:val="24"/>
              </w:rPr>
            </w:pPr>
          </w:p>
        </w:tc>
        <w:tc>
          <w:tcPr>
            <w:tcW w:w="403" w:type="dxa"/>
            <w:shd w:val="clear" w:color="auto" w:fill="FFFFFF"/>
            <w:tcMar>
              <w:top w:w="20" w:type="dxa"/>
              <w:bottom w:w="20" w:type="dxa"/>
            </w:tcMar>
            <w:vAlign w:val="bottom"/>
          </w:tcPr>
          <w:p w:rsidR="00BD3B5F" w:rsidRPr="005C3B55" w:rsidRDefault="00BD3B5F">
            <w:pPr>
              <w:jc w:val="center"/>
              <w:rPr>
                <w:sz w:val="16"/>
                <w:szCs w:val="24"/>
              </w:rPr>
            </w:pPr>
          </w:p>
        </w:tc>
        <w:tc>
          <w:tcPr>
            <w:tcW w:w="412" w:type="dxa"/>
            <w:shd w:val="clear" w:color="auto" w:fill="FFFFFF"/>
            <w:tcMar>
              <w:top w:w="20" w:type="dxa"/>
              <w:bottom w:w="20" w:type="dxa"/>
            </w:tcMar>
            <w:vAlign w:val="bottom"/>
          </w:tcPr>
          <w:p w:rsidR="00BD3B5F" w:rsidRPr="005C3B55" w:rsidRDefault="00BD3B5F">
            <w:pPr>
              <w:jc w:val="center"/>
              <w:rPr>
                <w:sz w:val="16"/>
                <w:szCs w:val="24"/>
              </w:rPr>
            </w:pPr>
          </w:p>
        </w:tc>
        <w:tc>
          <w:tcPr>
            <w:tcW w:w="403" w:type="dxa"/>
            <w:shd w:val="clear" w:color="auto" w:fill="FFFFFF"/>
            <w:tcMar>
              <w:top w:w="20" w:type="dxa"/>
              <w:bottom w:w="20" w:type="dxa"/>
            </w:tcMar>
            <w:vAlign w:val="bottom"/>
          </w:tcPr>
          <w:p w:rsidR="00BD3B5F" w:rsidRPr="005C3B55" w:rsidRDefault="00BD3B5F">
            <w:pPr>
              <w:jc w:val="center"/>
              <w:rPr>
                <w:sz w:val="16"/>
                <w:szCs w:val="24"/>
              </w:rPr>
            </w:pPr>
          </w:p>
        </w:tc>
        <w:tc>
          <w:tcPr>
            <w:tcW w:w="403" w:type="dxa"/>
            <w:shd w:val="clear" w:color="auto" w:fill="FFFFFF"/>
            <w:tcMar>
              <w:top w:w="20" w:type="dxa"/>
              <w:bottom w:w="20" w:type="dxa"/>
            </w:tcMar>
            <w:vAlign w:val="bottom"/>
          </w:tcPr>
          <w:p w:rsidR="00BD3B5F" w:rsidRPr="005C3B55" w:rsidRDefault="00BD3B5F">
            <w:pPr>
              <w:jc w:val="center"/>
              <w:rPr>
                <w:sz w:val="16"/>
                <w:szCs w:val="24"/>
              </w:rPr>
            </w:pPr>
          </w:p>
        </w:tc>
        <w:tc>
          <w:tcPr>
            <w:tcW w:w="412" w:type="dxa"/>
            <w:shd w:val="clear" w:color="auto" w:fill="FFFFFF"/>
            <w:tcMar>
              <w:top w:w="20" w:type="dxa"/>
              <w:bottom w:w="20" w:type="dxa"/>
            </w:tcMar>
            <w:vAlign w:val="bottom"/>
          </w:tcPr>
          <w:p w:rsidR="00BD3B5F" w:rsidRPr="005C3B55" w:rsidRDefault="00BD3B5F">
            <w:pPr>
              <w:jc w:val="center"/>
              <w:rPr>
                <w:sz w:val="16"/>
                <w:szCs w:val="24"/>
              </w:rPr>
            </w:pPr>
          </w:p>
        </w:tc>
        <w:tc>
          <w:tcPr>
            <w:tcW w:w="403" w:type="dxa"/>
            <w:shd w:val="clear" w:color="auto" w:fill="FFFFFF"/>
            <w:tcMar>
              <w:top w:w="20" w:type="dxa"/>
              <w:bottom w:w="20" w:type="dxa"/>
            </w:tcMar>
            <w:vAlign w:val="bottom"/>
          </w:tcPr>
          <w:p w:rsidR="00BD3B5F" w:rsidRPr="005C3B55" w:rsidRDefault="00BD3B5F">
            <w:pPr>
              <w:jc w:val="center"/>
              <w:rPr>
                <w:sz w:val="16"/>
                <w:szCs w:val="24"/>
              </w:rPr>
            </w:pPr>
          </w:p>
        </w:tc>
        <w:tc>
          <w:tcPr>
            <w:tcW w:w="403" w:type="dxa"/>
            <w:shd w:val="clear" w:color="auto" w:fill="FFFFFF"/>
            <w:tcMar>
              <w:top w:w="20" w:type="dxa"/>
              <w:bottom w:w="20" w:type="dxa"/>
            </w:tcMar>
            <w:vAlign w:val="bottom"/>
          </w:tcPr>
          <w:p w:rsidR="00BD3B5F" w:rsidRPr="005C3B55" w:rsidRDefault="00BD3B5F">
            <w:pPr>
              <w:jc w:val="center"/>
              <w:rPr>
                <w:sz w:val="16"/>
                <w:szCs w:val="24"/>
              </w:rPr>
            </w:pPr>
          </w:p>
        </w:tc>
        <w:tc>
          <w:tcPr>
            <w:tcW w:w="412" w:type="dxa"/>
            <w:shd w:val="clear" w:color="auto" w:fill="FFFFFF"/>
            <w:tcMar>
              <w:top w:w="20" w:type="dxa"/>
              <w:bottom w:w="20" w:type="dxa"/>
            </w:tcMar>
            <w:vAlign w:val="bottom"/>
          </w:tcPr>
          <w:p w:rsidR="00BD3B5F" w:rsidRPr="005C3B55" w:rsidRDefault="00BD3B5F">
            <w:pPr>
              <w:jc w:val="center"/>
              <w:rPr>
                <w:sz w:val="16"/>
                <w:szCs w:val="24"/>
              </w:rPr>
            </w:pPr>
          </w:p>
        </w:tc>
        <w:tc>
          <w:tcPr>
            <w:tcW w:w="394" w:type="dxa"/>
            <w:shd w:val="clear" w:color="auto" w:fill="FFFFFF"/>
            <w:tcMar>
              <w:top w:w="20" w:type="dxa"/>
              <w:bottom w:w="20" w:type="dxa"/>
            </w:tcMar>
            <w:vAlign w:val="bottom"/>
          </w:tcPr>
          <w:p w:rsidR="00BD3B5F" w:rsidRPr="005C3B55" w:rsidRDefault="00BD3B5F">
            <w:pPr>
              <w:jc w:val="center"/>
              <w:rPr>
                <w:sz w:val="16"/>
                <w:szCs w:val="24"/>
              </w:rPr>
            </w:pPr>
          </w:p>
        </w:tc>
        <w:tc>
          <w:tcPr>
            <w:tcW w:w="412" w:type="dxa"/>
            <w:shd w:val="clear" w:color="auto" w:fill="FFFFFF"/>
            <w:tcMar>
              <w:top w:w="20" w:type="dxa"/>
              <w:bottom w:w="20" w:type="dxa"/>
            </w:tcMar>
            <w:vAlign w:val="bottom"/>
          </w:tcPr>
          <w:p w:rsidR="00BD3B5F" w:rsidRPr="005C3B55" w:rsidRDefault="00BD3B5F">
            <w:pPr>
              <w:jc w:val="center"/>
              <w:rPr>
                <w:sz w:val="16"/>
                <w:szCs w:val="24"/>
              </w:rPr>
            </w:pPr>
          </w:p>
        </w:tc>
        <w:tc>
          <w:tcPr>
            <w:tcW w:w="403" w:type="dxa"/>
            <w:shd w:val="clear" w:color="auto" w:fill="FFFFFF"/>
            <w:tcMar>
              <w:top w:w="20" w:type="dxa"/>
              <w:bottom w:w="20" w:type="dxa"/>
            </w:tcMar>
            <w:vAlign w:val="bottom"/>
          </w:tcPr>
          <w:p w:rsidR="00BD3B5F" w:rsidRPr="005C3B55" w:rsidRDefault="00BD3B5F">
            <w:pPr>
              <w:jc w:val="center"/>
              <w:rPr>
                <w:sz w:val="16"/>
                <w:szCs w:val="24"/>
              </w:rPr>
            </w:pPr>
          </w:p>
        </w:tc>
        <w:tc>
          <w:tcPr>
            <w:tcW w:w="403"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1052" w:type="dxa"/>
            <w:shd w:val="clear" w:color="auto" w:fill="FFFFFF"/>
            <w:tcMar>
              <w:top w:w="20" w:type="dxa"/>
              <w:bottom w:w="20" w:type="dxa"/>
            </w:tcMar>
            <w:vAlign w:val="bottom"/>
          </w:tcPr>
          <w:p w:rsidR="00BD3B5F" w:rsidRPr="005C3B55" w:rsidRDefault="00BD3B5F">
            <w:pPr>
              <w:jc w:val="center"/>
              <w:rPr>
                <w:szCs w:val="24"/>
              </w:rPr>
            </w:pPr>
          </w:p>
        </w:tc>
        <w:tc>
          <w:tcPr>
            <w:tcW w:w="1538" w:type="dxa"/>
            <w:shd w:val="clear" w:color="auto" w:fill="FFFFFF"/>
            <w:tcMar>
              <w:top w:w="20" w:type="dxa"/>
              <w:bottom w:w="20" w:type="dxa"/>
            </w:tcMar>
            <w:vAlign w:val="bottom"/>
          </w:tcPr>
          <w:p w:rsidR="00BD3B5F" w:rsidRPr="005C3B55" w:rsidRDefault="00BD3B5F">
            <w:pPr>
              <w:jc w:val="center"/>
              <w:rPr>
                <w:szCs w:val="24"/>
              </w:rPr>
            </w:pPr>
          </w:p>
        </w:tc>
        <w:tc>
          <w:tcPr>
            <w:tcW w:w="910"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r>
      <w:tr w:rsidR="00BD3B5F" w:rsidRPr="005C3B55">
        <w:tc>
          <w:tcPr>
            <w:tcW w:w="3448" w:type="dxa"/>
            <w:shd w:val="clear" w:color="auto" w:fill="FFFFFF"/>
            <w:tcMar>
              <w:top w:w="20" w:type="dxa"/>
              <w:bottom w:w="20" w:type="dxa"/>
            </w:tcMar>
            <w:vAlign w:val="bottom"/>
          </w:tcPr>
          <w:p w:rsidR="00BD3B5F" w:rsidRPr="005C3B55" w:rsidRDefault="00BD3B5F">
            <w:pPr>
              <w:jc w:val="left"/>
              <w:rPr>
                <w:szCs w:val="24"/>
              </w:rPr>
            </w:pPr>
            <w:r w:rsidRPr="005C3B55">
              <w:rPr>
                <w:sz w:val="16"/>
                <w:szCs w:val="24"/>
              </w:rPr>
              <w:t>N29 - Investing in the renewal and development of villages</w:t>
            </w:r>
          </w:p>
        </w:tc>
        <w:tc>
          <w:tcPr>
            <w:tcW w:w="412" w:type="dxa"/>
            <w:shd w:val="clear" w:color="auto" w:fill="FFFFFF"/>
            <w:tcMar>
              <w:top w:w="20" w:type="dxa"/>
              <w:bottom w:w="20" w:type="dxa"/>
            </w:tcMar>
            <w:vAlign w:val="bottom"/>
          </w:tcPr>
          <w:p w:rsidR="00BD3B5F" w:rsidRPr="005C3B55" w:rsidRDefault="00BD3B5F">
            <w:pPr>
              <w:jc w:val="center"/>
              <w:rPr>
                <w:sz w:val="16"/>
                <w:szCs w:val="24"/>
              </w:rPr>
            </w:pPr>
          </w:p>
        </w:tc>
        <w:tc>
          <w:tcPr>
            <w:tcW w:w="403" w:type="dxa"/>
            <w:shd w:val="clear" w:color="auto" w:fill="FFFFFF"/>
            <w:tcMar>
              <w:top w:w="20" w:type="dxa"/>
              <w:bottom w:w="20" w:type="dxa"/>
            </w:tcMar>
            <w:vAlign w:val="bottom"/>
          </w:tcPr>
          <w:p w:rsidR="00BD3B5F" w:rsidRPr="005C3B55" w:rsidRDefault="00BD3B5F">
            <w:pPr>
              <w:jc w:val="center"/>
              <w:rPr>
                <w:sz w:val="16"/>
                <w:szCs w:val="24"/>
              </w:rPr>
            </w:pPr>
          </w:p>
        </w:tc>
        <w:tc>
          <w:tcPr>
            <w:tcW w:w="403" w:type="dxa"/>
            <w:shd w:val="clear" w:color="auto" w:fill="FFFFFF"/>
            <w:tcMar>
              <w:top w:w="20" w:type="dxa"/>
              <w:bottom w:w="20" w:type="dxa"/>
            </w:tcMar>
            <w:vAlign w:val="bottom"/>
          </w:tcPr>
          <w:p w:rsidR="00BD3B5F" w:rsidRPr="005C3B55" w:rsidRDefault="00BD3B5F">
            <w:pPr>
              <w:jc w:val="center"/>
              <w:rPr>
                <w:sz w:val="16"/>
                <w:szCs w:val="24"/>
              </w:rPr>
            </w:pPr>
          </w:p>
        </w:tc>
        <w:tc>
          <w:tcPr>
            <w:tcW w:w="412" w:type="dxa"/>
            <w:shd w:val="clear" w:color="auto" w:fill="FFFFFF"/>
            <w:tcMar>
              <w:top w:w="20" w:type="dxa"/>
              <w:bottom w:w="20" w:type="dxa"/>
            </w:tcMar>
            <w:vAlign w:val="bottom"/>
          </w:tcPr>
          <w:p w:rsidR="00BD3B5F" w:rsidRPr="005C3B55" w:rsidRDefault="00BD3B5F">
            <w:pPr>
              <w:jc w:val="center"/>
              <w:rPr>
                <w:sz w:val="16"/>
                <w:szCs w:val="24"/>
              </w:rPr>
            </w:pPr>
          </w:p>
        </w:tc>
        <w:tc>
          <w:tcPr>
            <w:tcW w:w="403" w:type="dxa"/>
            <w:shd w:val="clear" w:color="auto" w:fill="FFFFFF"/>
            <w:tcMar>
              <w:top w:w="20" w:type="dxa"/>
              <w:bottom w:w="20" w:type="dxa"/>
            </w:tcMar>
            <w:vAlign w:val="bottom"/>
          </w:tcPr>
          <w:p w:rsidR="00BD3B5F" w:rsidRPr="005C3B55" w:rsidRDefault="00BD3B5F">
            <w:pPr>
              <w:jc w:val="center"/>
              <w:rPr>
                <w:sz w:val="16"/>
                <w:szCs w:val="24"/>
              </w:rPr>
            </w:pPr>
          </w:p>
        </w:tc>
        <w:tc>
          <w:tcPr>
            <w:tcW w:w="412" w:type="dxa"/>
            <w:shd w:val="clear" w:color="auto" w:fill="FFFFFF"/>
            <w:tcMar>
              <w:top w:w="20" w:type="dxa"/>
              <w:bottom w:w="20" w:type="dxa"/>
            </w:tcMar>
            <w:vAlign w:val="bottom"/>
          </w:tcPr>
          <w:p w:rsidR="00BD3B5F" w:rsidRPr="005C3B55" w:rsidRDefault="00BD3B5F">
            <w:pPr>
              <w:jc w:val="center"/>
              <w:rPr>
                <w:sz w:val="16"/>
                <w:szCs w:val="24"/>
              </w:rPr>
            </w:pPr>
          </w:p>
        </w:tc>
        <w:tc>
          <w:tcPr>
            <w:tcW w:w="403" w:type="dxa"/>
            <w:shd w:val="clear" w:color="auto" w:fill="FFFFFF"/>
            <w:tcMar>
              <w:top w:w="20" w:type="dxa"/>
              <w:bottom w:w="20" w:type="dxa"/>
            </w:tcMar>
            <w:vAlign w:val="bottom"/>
          </w:tcPr>
          <w:p w:rsidR="00BD3B5F" w:rsidRPr="005C3B55" w:rsidRDefault="00BD3B5F">
            <w:pPr>
              <w:jc w:val="center"/>
              <w:rPr>
                <w:sz w:val="16"/>
                <w:szCs w:val="24"/>
              </w:rPr>
            </w:pPr>
          </w:p>
        </w:tc>
        <w:tc>
          <w:tcPr>
            <w:tcW w:w="412" w:type="dxa"/>
            <w:shd w:val="clear" w:color="auto" w:fill="FFFFFF"/>
            <w:tcMar>
              <w:top w:w="20" w:type="dxa"/>
              <w:bottom w:w="20" w:type="dxa"/>
            </w:tcMar>
            <w:vAlign w:val="bottom"/>
          </w:tcPr>
          <w:p w:rsidR="00BD3B5F" w:rsidRPr="005C3B55" w:rsidRDefault="00BD3B5F">
            <w:pPr>
              <w:jc w:val="center"/>
              <w:rPr>
                <w:sz w:val="16"/>
                <w:szCs w:val="24"/>
              </w:rPr>
            </w:pPr>
          </w:p>
        </w:tc>
        <w:tc>
          <w:tcPr>
            <w:tcW w:w="403" w:type="dxa"/>
            <w:shd w:val="clear" w:color="auto" w:fill="FFFFFF"/>
            <w:tcMar>
              <w:top w:w="20" w:type="dxa"/>
              <w:bottom w:w="20" w:type="dxa"/>
            </w:tcMar>
            <w:vAlign w:val="bottom"/>
          </w:tcPr>
          <w:p w:rsidR="00BD3B5F" w:rsidRPr="005C3B55" w:rsidRDefault="00BD3B5F">
            <w:pPr>
              <w:jc w:val="center"/>
              <w:rPr>
                <w:sz w:val="16"/>
                <w:szCs w:val="24"/>
              </w:rPr>
            </w:pPr>
          </w:p>
        </w:tc>
        <w:tc>
          <w:tcPr>
            <w:tcW w:w="403" w:type="dxa"/>
            <w:shd w:val="clear" w:color="auto" w:fill="FFFFFF"/>
            <w:tcMar>
              <w:top w:w="20" w:type="dxa"/>
              <w:bottom w:w="20" w:type="dxa"/>
            </w:tcMar>
            <w:vAlign w:val="bottom"/>
          </w:tcPr>
          <w:p w:rsidR="00BD3B5F" w:rsidRPr="005C3B55" w:rsidRDefault="00BD3B5F">
            <w:pPr>
              <w:jc w:val="center"/>
              <w:rPr>
                <w:sz w:val="16"/>
                <w:szCs w:val="24"/>
              </w:rPr>
            </w:pPr>
          </w:p>
        </w:tc>
        <w:tc>
          <w:tcPr>
            <w:tcW w:w="412" w:type="dxa"/>
            <w:shd w:val="clear" w:color="auto" w:fill="FFFFFF"/>
            <w:tcMar>
              <w:top w:w="20" w:type="dxa"/>
              <w:bottom w:w="20" w:type="dxa"/>
            </w:tcMar>
            <w:vAlign w:val="bottom"/>
          </w:tcPr>
          <w:p w:rsidR="00BD3B5F" w:rsidRPr="005C3B55" w:rsidRDefault="00BD3B5F">
            <w:pPr>
              <w:jc w:val="center"/>
              <w:rPr>
                <w:sz w:val="16"/>
                <w:szCs w:val="24"/>
              </w:rPr>
            </w:pPr>
          </w:p>
        </w:tc>
        <w:tc>
          <w:tcPr>
            <w:tcW w:w="403" w:type="dxa"/>
            <w:shd w:val="clear" w:color="auto" w:fill="FFFFFF"/>
            <w:tcMar>
              <w:top w:w="20" w:type="dxa"/>
              <w:bottom w:w="20" w:type="dxa"/>
            </w:tcMar>
            <w:vAlign w:val="bottom"/>
          </w:tcPr>
          <w:p w:rsidR="00BD3B5F" w:rsidRPr="005C3B55" w:rsidRDefault="00BD3B5F">
            <w:pPr>
              <w:jc w:val="center"/>
              <w:rPr>
                <w:sz w:val="16"/>
                <w:szCs w:val="24"/>
              </w:rPr>
            </w:pPr>
          </w:p>
        </w:tc>
        <w:tc>
          <w:tcPr>
            <w:tcW w:w="403" w:type="dxa"/>
            <w:shd w:val="clear" w:color="auto" w:fill="FFFFFF"/>
            <w:tcMar>
              <w:top w:w="20" w:type="dxa"/>
              <w:bottom w:w="20" w:type="dxa"/>
            </w:tcMar>
            <w:vAlign w:val="bottom"/>
          </w:tcPr>
          <w:p w:rsidR="00BD3B5F" w:rsidRPr="005C3B55" w:rsidRDefault="00BD3B5F">
            <w:pPr>
              <w:jc w:val="center"/>
              <w:rPr>
                <w:sz w:val="16"/>
                <w:szCs w:val="24"/>
              </w:rPr>
            </w:pPr>
          </w:p>
        </w:tc>
        <w:tc>
          <w:tcPr>
            <w:tcW w:w="412" w:type="dxa"/>
            <w:shd w:val="clear" w:color="auto" w:fill="FFFFFF"/>
            <w:tcMar>
              <w:top w:w="20" w:type="dxa"/>
              <w:bottom w:w="20" w:type="dxa"/>
            </w:tcMar>
            <w:vAlign w:val="bottom"/>
          </w:tcPr>
          <w:p w:rsidR="00BD3B5F" w:rsidRPr="005C3B55" w:rsidRDefault="00BD3B5F">
            <w:pPr>
              <w:jc w:val="center"/>
              <w:rPr>
                <w:sz w:val="16"/>
                <w:szCs w:val="24"/>
              </w:rPr>
            </w:pPr>
          </w:p>
        </w:tc>
        <w:tc>
          <w:tcPr>
            <w:tcW w:w="394" w:type="dxa"/>
            <w:shd w:val="clear" w:color="auto" w:fill="FFFFFF"/>
            <w:tcMar>
              <w:top w:w="20" w:type="dxa"/>
              <w:bottom w:w="20" w:type="dxa"/>
            </w:tcMar>
            <w:vAlign w:val="bottom"/>
          </w:tcPr>
          <w:p w:rsidR="00BD3B5F" w:rsidRPr="005C3B55" w:rsidRDefault="00BD3B5F">
            <w:pPr>
              <w:jc w:val="center"/>
              <w:rPr>
                <w:sz w:val="16"/>
                <w:szCs w:val="24"/>
              </w:rPr>
            </w:pPr>
          </w:p>
        </w:tc>
        <w:tc>
          <w:tcPr>
            <w:tcW w:w="412" w:type="dxa"/>
            <w:shd w:val="clear" w:color="auto" w:fill="FFFFFF"/>
            <w:tcMar>
              <w:top w:w="20" w:type="dxa"/>
              <w:bottom w:w="20" w:type="dxa"/>
            </w:tcMar>
            <w:vAlign w:val="bottom"/>
          </w:tcPr>
          <w:p w:rsidR="00BD3B5F" w:rsidRPr="005C3B55" w:rsidRDefault="00BD3B5F">
            <w:pPr>
              <w:jc w:val="center"/>
              <w:rPr>
                <w:sz w:val="16"/>
                <w:szCs w:val="24"/>
              </w:rPr>
            </w:pPr>
          </w:p>
        </w:tc>
        <w:tc>
          <w:tcPr>
            <w:tcW w:w="403"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1052"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1538" w:type="dxa"/>
            <w:shd w:val="clear" w:color="auto" w:fill="FFFFFF"/>
            <w:tcMar>
              <w:top w:w="20" w:type="dxa"/>
              <w:bottom w:w="20" w:type="dxa"/>
            </w:tcMar>
            <w:vAlign w:val="bottom"/>
          </w:tcPr>
          <w:p w:rsidR="00BD3B5F" w:rsidRPr="005C3B55" w:rsidRDefault="00BD3B5F">
            <w:pPr>
              <w:jc w:val="center"/>
              <w:rPr>
                <w:szCs w:val="24"/>
              </w:rPr>
            </w:pPr>
          </w:p>
        </w:tc>
        <w:tc>
          <w:tcPr>
            <w:tcW w:w="910" w:type="dxa"/>
            <w:shd w:val="clear" w:color="auto" w:fill="FFFFFF"/>
            <w:tcMar>
              <w:top w:w="20" w:type="dxa"/>
              <w:bottom w:w="20" w:type="dxa"/>
            </w:tcMar>
            <w:vAlign w:val="bottom"/>
          </w:tcPr>
          <w:p w:rsidR="00BD3B5F" w:rsidRPr="005C3B55" w:rsidRDefault="00BD3B5F">
            <w:pPr>
              <w:jc w:val="center"/>
              <w:rPr>
                <w:szCs w:val="24"/>
              </w:rPr>
            </w:pPr>
          </w:p>
        </w:tc>
      </w:tr>
      <w:tr w:rsidR="00BD3B5F" w:rsidRPr="005C3B55">
        <w:tc>
          <w:tcPr>
            <w:tcW w:w="3448" w:type="dxa"/>
            <w:shd w:val="clear" w:color="auto" w:fill="FFFFFF"/>
            <w:tcMar>
              <w:top w:w="20" w:type="dxa"/>
              <w:bottom w:w="20" w:type="dxa"/>
            </w:tcMar>
            <w:vAlign w:val="bottom"/>
          </w:tcPr>
          <w:p w:rsidR="00BD3B5F" w:rsidRPr="005C3B55" w:rsidRDefault="00BD3B5F">
            <w:pPr>
              <w:jc w:val="left"/>
              <w:rPr>
                <w:szCs w:val="24"/>
              </w:rPr>
            </w:pPr>
            <w:r w:rsidRPr="005C3B55">
              <w:rPr>
                <w:sz w:val="16"/>
                <w:szCs w:val="24"/>
              </w:rPr>
              <w:t>N30 - Preserving natural and cultural heritage in the countryside</w:t>
            </w:r>
          </w:p>
        </w:tc>
        <w:tc>
          <w:tcPr>
            <w:tcW w:w="412" w:type="dxa"/>
            <w:shd w:val="clear" w:color="auto" w:fill="FFFFFF"/>
            <w:tcMar>
              <w:top w:w="20" w:type="dxa"/>
              <w:bottom w:w="20" w:type="dxa"/>
            </w:tcMar>
            <w:vAlign w:val="bottom"/>
          </w:tcPr>
          <w:p w:rsidR="00BD3B5F" w:rsidRPr="005C3B55" w:rsidRDefault="00BD3B5F">
            <w:pPr>
              <w:jc w:val="center"/>
              <w:rPr>
                <w:sz w:val="16"/>
                <w:szCs w:val="24"/>
              </w:rPr>
            </w:pPr>
          </w:p>
        </w:tc>
        <w:tc>
          <w:tcPr>
            <w:tcW w:w="403" w:type="dxa"/>
            <w:shd w:val="clear" w:color="auto" w:fill="FFFFFF"/>
            <w:tcMar>
              <w:top w:w="20" w:type="dxa"/>
              <w:bottom w:w="20" w:type="dxa"/>
            </w:tcMar>
            <w:vAlign w:val="bottom"/>
          </w:tcPr>
          <w:p w:rsidR="00BD3B5F" w:rsidRPr="005C3B55" w:rsidRDefault="00BD3B5F">
            <w:pPr>
              <w:jc w:val="center"/>
              <w:rPr>
                <w:sz w:val="16"/>
                <w:szCs w:val="24"/>
              </w:rPr>
            </w:pPr>
          </w:p>
        </w:tc>
        <w:tc>
          <w:tcPr>
            <w:tcW w:w="403" w:type="dxa"/>
            <w:shd w:val="clear" w:color="auto" w:fill="FFFFFF"/>
            <w:tcMar>
              <w:top w:w="20" w:type="dxa"/>
              <w:bottom w:w="20" w:type="dxa"/>
            </w:tcMar>
            <w:vAlign w:val="bottom"/>
          </w:tcPr>
          <w:p w:rsidR="00BD3B5F" w:rsidRPr="005C3B55" w:rsidRDefault="00BD3B5F">
            <w:pPr>
              <w:jc w:val="center"/>
              <w:rPr>
                <w:sz w:val="16"/>
                <w:szCs w:val="24"/>
              </w:rPr>
            </w:pPr>
          </w:p>
        </w:tc>
        <w:tc>
          <w:tcPr>
            <w:tcW w:w="412" w:type="dxa"/>
            <w:shd w:val="clear" w:color="auto" w:fill="FFFFFF"/>
            <w:tcMar>
              <w:top w:w="20" w:type="dxa"/>
              <w:bottom w:w="20" w:type="dxa"/>
            </w:tcMar>
            <w:vAlign w:val="bottom"/>
          </w:tcPr>
          <w:p w:rsidR="00BD3B5F" w:rsidRPr="005C3B55" w:rsidRDefault="00BD3B5F">
            <w:pPr>
              <w:jc w:val="center"/>
              <w:rPr>
                <w:sz w:val="16"/>
                <w:szCs w:val="24"/>
              </w:rPr>
            </w:pPr>
          </w:p>
        </w:tc>
        <w:tc>
          <w:tcPr>
            <w:tcW w:w="403" w:type="dxa"/>
            <w:shd w:val="clear" w:color="auto" w:fill="FFFFFF"/>
            <w:tcMar>
              <w:top w:w="20" w:type="dxa"/>
              <w:bottom w:w="20" w:type="dxa"/>
            </w:tcMar>
            <w:vAlign w:val="bottom"/>
          </w:tcPr>
          <w:p w:rsidR="00BD3B5F" w:rsidRPr="005C3B55" w:rsidRDefault="00BD3B5F">
            <w:pPr>
              <w:jc w:val="center"/>
              <w:rPr>
                <w:sz w:val="16"/>
                <w:szCs w:val="24"/>
              </w:rPr>
            </w:pPr>
          </w:p>
        </w:tc>
        <w:tc>
          <w:tcPr>
            <w:tcW w:w="412" w:type="dxa"/>
            <w:shd w:val="clear" w:color="auto" w:fill="FFFFFF"/>
            <w:tcMar>
              <w:top w:w="20" w:type="dxa"/>
              <w:bottom w:w="20" w:type="dxa"/>
            </w:tcMar>
            <w:vAlign w:val="bottom"/>
          </w:tcPr>
          <w:p w:rsidR="00BD3B5F" w:rsidRPr="005C3B55" w:rsidRDefault="00BD3B5F">
            <w:pPr>
              <w:jc w:val="center"/>
              <w:rPr>
                <w:sz w:val="16"/>
                <w:szCs w:val="24"/>
              </w:rPr>
            </w:pPr>
          </w:p>
        </w:tc>
        <w:tc>
          <w:tcPr>
            <w:tcW w:w="403" w:type="dxa"/>
            <w:shd w:val="clear" w:color="auto" w:fill="FFFFFF"/>
            <w:tcMar>
              <w:top w:w="20" w:type="dxa"/>
              <w:bottom w:w="20" w:type="dxa"/>
            </w:tcMar>
            <w:vAlign w:val="bottom"/>
          </w:tcPr>
          <w:p w:rsidR="00BD3B5F" w:rsidRPr="005C3B55" w:rsidRDefault="00BD3B5F">
            <w:pPr>
              <w:jc w:val="center"/>
              <w:rPr>
                <w:sz w:val="16"/>
                <w:szCs w:val="24"/>
              </w:rPr>
            </w:pPr>
          </w:p>
        </w:tc>
        <w:tc>
          <w:tcPr>
            <w:tcW w:w="412" w:type="dxa"/>
            <w:shd w:val="clear" w:color="auto" w:fill="FFFFFF"/>
            <w:tcMar>
              <w:top w:w="20" w:type="dxa"/>
              <w:bottom w:w="20" w:type="dxa"/>
            </w:tcMar>
            <w:vAlign w:val="bottom"/>
          </w:tcPr>
          <w:p w:rsidR="00BD3B5F" w:rsidRPr="005C3B55" w:rsidRDefault="00BD3B5F">
            <w:pPr>
              <w:jc w:val="center"/>
              <w:rPr>
                <w:sz w:val="16"/>
                <w:szCs w:val="24"/>
              </w:rPr>
            </w:pPr>
          </w:p>
        </w:tc>
        <w:tc>
          <w:tcPr>
            <w:tcW w:w="403" w:type="dxa"/>
            <w:shd w:val="clear" w:color="auto" w:fill="FFFFFF"/>
            <w:tcMar>
              <w:top w:w="20" w:type="dxa"/>
              <w:bottom w:w="20" w:type="dxa"/>
            </w:tcMar>
            <w:vAlign w:val="bottom"/>
          </w:tcPr>
          <w:p w:rsidR="00BD3B5F" w:rsidRPr="005C3B55" w:rsidRDefault="00BD3B5F">
            <w:pPr>
              <w:jc w:val="center"/>
              <w:rPr>
                <w:sz w:val="16"/>
                <w:szCs w:val="24"/>
              </w:rPr>
            </w:pPr>
          </w:p>
        </w:tc>
        <w:tc>
          <w:tcPr>
            <w:tcW w:w="403" w:type="dxa"/>
            <w:shd w:val="clear" w:color="auto" w:fill="FFFFFF"/>
            <w:tcMar>
              <w:top w:w="20" w:type="dxa"/>
              <w:bottom w:w="20" w:type="dxa"/>
            </w:tcMar>
            <w:vAlign w:val="bottom"/>
          </w:tcPr>
          <w:p w:rsidR="00BD3B5F" w:rsidRPr="005C3B55" w:rsidRDefault="00BD3B5F">
            <w:pPr>
              <w:jc w:val="center"/>
              <w:rPr>
                <w:sz w:val="16"/>
                <w:szCs w:val="24"/>
              </w:rPr>
            </w:pPr>
          </w:p>
        </w:tc>
        <w:tc>
          <w:tcPr>
            <w:tcW w:w="412" w:type="dxa"/>
            <w:shd w:val="clear" w:color="auto" w:fill="FFFFFF"/>
            <w:tcMar>
              <w:top w:w="20" w:type="dxa"/>
              <w:bottom w:w="20" w:type="dxa"/>
            </w:tcMar>
            <w:vAlign w:val="bottom"/>
          </w:tcPr>
          <w:p w:rsidR="00BD3B5F" w:rsidRPr="005C3B55" w:rsidRDefault="00BD3B5F">
            <w:pPr>
              <w:jc w:val="center"/>
              <w:rPr>
                <w:sz w:val="16"/>
                <w:szCs w:val="24"/>
              </w:rPr>
            </w:pPr>
          </w:p>
        </w:tc>
        <w:tc>
          <w:tcPr>
            <w:tcW w:w="403" w:type="dxa"/>
            <w:shd w:val="clear" w:color="auto" w:fill="FFFFFF"/>
            <w:tcMar>
              <w:top w:w="20" w:type="dxa"/>
              <w:bottom w:w="20" w:type="dxa"/>
            </w:tcMar>
            <w:vAlign w:val="bottom"/>
          </w:tcPr>
          <w:p w:rsidR="00BD3B5F" w:rsidRPr="005C3B55" w:rsidRDefault="00BD3B5F">
            <w:pPr>
              <w:jc w:val="center"/>
              <w:rPr>
                <w:sz w:val="16"/>
                <w:szCs w:val="24"/>
              </w:rPr>
            </w:pPr>
          </w:p>
        </w:tc>
        <w:tc>
          <w:tcPr>
            <w:tcW w:w="403" w:type="dxa"/>
            <w:shd w:val="clear" w:color="auto" w:fill="FFFFFF"/>
            <w:tcMar>
              <w:top w:w="20" w:type="dxa"/>
              <w:bottom w:w="20" w:type="dxa"/>
            </w:tcMar>
            <w:vAlign w:val="bottom"/>
          </w:tcPr>
          <w:p w:rsidR="00BD3B5F" w:rsidRPr="005C3B55" w:rsidRDefault="00BD3B5F">
            <w:pPr>
              <w:jc w:val="center"/>
              <w:rPr>
                <w:sz w:val="16"/>
                <w:szCs w:val="24"/>
              </w:rPr>
            </w:pPr>
          </w:p>
        </w:tc>
        <w:tc>
          <w:tcPr>
            <w:tcW w:w="412" w:type="dxa"/>
            <w:shd w:val="clear" w:color="auto" w:fill="FFFFFF"/>
            <w:tcMar>
              <w:top w:w="20" w:type="dxa"/>
              <w:bottom w:w="20" w:type="dxa"/>
            </w:tcMar>
            <w:vAlign w:val="bottom"/>
          </w:tcPr>
          <w:p w:rsidR="00BD3B5F" w:rsidRPr="005C3B55" w:rsidRDefault="00BD3B5F">
            <w:pPr>
              <w:jc w:val="center"/>
              <w:rPr>
                <w:sz w:val="16"/>
                <w:szCs w:val="24"/>
              </w:rPr>
            </w:pPr>
          </w:p>
        </w:tc>
        <w:tc>
          <w:tcPr>
            <w:tcW w:w="394" w:type="dxa"/>
            <w:shd w:val="clear" w:color="auto" w:fill="FFFFFF"/>
            <w:tcMar>
              <w:top w:w="20" w:type="dxa"/>
              <w:bottom w:w="20" w:type="dxa"/>
            </w:tcMar>
            <w:vAlign w:val="bottom"/>
          </w:tcPr>
          <w:p w:rsidR="00BD3B5F" w:rsidRPr="005C3B55" w:rsidRDefault="00BD3B5F">
            <w:pPr>
              <w:jc w:val="center"/>
              <w:rPr>
                <w:sz w:val="16"/>
                <w:szCs w:val="24"/>
              </w:rPr>
            </w:pPr>
          </w:p>
        </w:tc>
        <w:tc>
          <w:tcPr>
            <w:tcW w:w="412"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403"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1052"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1538" w:type="dxa"/>
            <w:shd w:val="clear" w:color="auto" w:fill="FFFFFF"/>
            <w:tcMar>
              <w:top w:w="20" w:type="dxa"/>
              <w:bottom w:w="20" w:type="dxa"/>
            </w:tcMar>
            <w:vAlign w:val="bottom"/>
          </w:tcPr>
          <w:p w:rsidR="00BD3B5F" w:rsidRPr="005C3B55" w:rsidRDefault="00BD3B5F">
            <w:pPr>
              <w:jc w:val="center"/>
              <w:rPr>
                <w:szCs w:val="24"/>
              </w:rPr>
            </w:pPr>
          </w:p>
        </w:tc>
        <w:tc>
          <w:tcPr>
            <w:tcW w:w="910" w:type="dxa"/>
            <w:shd w:val="clear" w:color="auto" w:fill="FFFFFF"/>
            <w:tcMar>
              <w:top w:w="20" w:type="dxa"/>
              <w:bottom w:w="20" w:type="dxa"/>
            </w:tcMar>
            <w:vAlign w:val="bottom"/>
          </w:tcPr>
          <w:p w:rsidR="00BD3B5F" w:rsidRPr="005C3B55" w:rsidRDefault="00BD3B5F">
            <w:pPr>
              <w:jc w:val="center"/>
              <w:rPr>
                <w:szCs w:val="24"/>
              </w:rPr>
            </w:pPr>
          </w:p>
        </w:tc>
      </w:tr>
      <w:tr w:rsidR="00BD3B5F" w:rsidRPr="005C3B55">
        <w:tc>
          <w:tcPr>
            <w:tcW w:w="3448" w:type="dxa"/>
            <w:shd w:val="clear" w:color="auto" w:fill="FFFFFF"/>
            <w:tcMar>
              <w:top w:w="20" w:type="dxa"/>
              <w:bottom w:w="20" w:type="dxa"/>
            </w:tcMar>
            <w:vAlign w:val="bottom"/>
          </w:tcPr>
          <w:p w:rsidR="00BD3B5F" w:rsidRPr="005C3B55" w:rsidRDefault="00BD3B5F">
            <w:pPr>
              <w:jc w:val="left"/>
              <w:rPr>
                <w:szCs w:val="24"/>
              </w:rPr>
            </w:pPr>
            <w:r w:rsidRPr="005C3B55">
              <w:rPr>
                <w:sz w:val="16"/>
                <w:szCs w:val="24"/>
              </w:rPr>
              <w:t>N31 - More efficient stimulation of local development</w:t>
            </w:r>
          </w:p>
        </w:tc>
        <w:tc>
          <w:tcPr>
            <w:tcW w:w="412" w:type="dxa"/>
            <w:shd w:val="clear" w:color="auto" w:fill="FFFFFF"/>
            <w:tcMar>
              <w:top w:w="20" w:type="dxa"/>
              <w:bottom w:w="20" w:type="dxa"/>
            </w:tcMar>
            <w:vAlign w:val="bottom"/>
          </w:tcPr>
          <w:p w:rsidR="00BD3B5F" w:rsidRPr="005C3B55" w:rsidRDefault="00BD3B5F">
            <w:pPr>
              <w:jc w:val="center"/>
              <w:rPr>
                <w:sz w:val="16"/>
                <w:szCs w:val="24"/>
              </w:rPr>
            </w:pPr>
          </w:p>
        </w:tc>
        <w:tc>
          <w:tcPr>
            <w:tcW w:w="403" w:type="dxa"/>
            <w:shd w:val="clear" w:color="auto" w:fill="FFFFFF"/>
            <w:tcMar>
              <w:top w:w="20" w:type="dxa"/>
              <w:bottom w:w="20" w:type="dxa"/>
            </w:tcMar>
            <w:vAlign w:val="bottom"/>
          </w:tcPr>
          <w:p w:rsidR="00BD3B5F" w:rsidRPr="005C3B55" w:rsidRDefault="00BD3B5F">
            <w:pPr>
              <w:jc w:val="center"/>
              <w:rPr>
                <w:sz w:val="16"/>
                <w:szCs w:val="24"/>
              </w:rPr>
            </w:pPr>
          </w:p>
        </w:tc>
        <w:tc>
          <w:tcPr>
            <w:tcW w:w="403" w:type="dxa"/>
            <w:shd w:val="clear" w:color="auto" w:fill="FFFFFF"/>
            <w:tcMar>
              <w:top w:w="20" w:type="dxa"/>
              <w:bottom w:w="20" w:type="dxa"/>
            </w:tcMar>
            <w:vAlign w:val="bottom"/>
          </w:tcPr>
          <w:p w:rsidR="00BD3B5F" w:rsidRPr="005C3B55" w:rsidRDefault="00BD3B5F">
            <w:pPr>
              <w:jc w:val="center"/>
              <w:rPr>
                <w:sz w:val="16"/>
                <w:szCs w:val="24"/>
              </w:rPr>
            </w:pPr>
          </w:p>
        </w:tc>
        <w:tc>
          <w:tcPr>
            <w:tcW w:w="412" w:type="dxa"/>
            <w:shd w:val="clear" w:color="auto" w:fill="FFFFFF"/>
            <w:tcMar>
              <w:top w:w="20" w:type="dxa"/>
              <w:bottom w:w="20" w:type="dxa"/>
            </w:tcMar>
            <w:vAlign w:val="bottom"/>
          </w:tcPr>
          <w:p w:rsidR="00BD3B5F" w:rsidRPr="005C3B55" w:rsidRDefault="00BD3B5F">
            <w:pPr>
              <w:jc w:val="center"/>
              <w:rPr>
                <w:sz w:val="16"/>
                <w:szCs w:val="24"/>
              </w:rPr>
            </w:pPr>
          </w:p>
        </w:tc>
        <w:tc>
          <w:tcPr>
            <w:tcW w:w="403" w:type="dxa"/>
            <w:shd w:val="clear" w:color="auto" w:fill="FFFFFF"/>
            <w:tcMar>
              <w:top w:w="20" w:type="dxa"/>
              <w:bottom w:w="20" w:type="dxa"/>
            </w:tcMar>
            <w:vAlign w:val="bottom"/>
          </w:tcPr>
          <w:p w:rsidR="00BD3B5F" w:rsidRPr="005C3B55" w:rsidRDefault="00BD3B5F">
            <w:pPr>
              <w:jc w:val="center"/>
              <w:rPr>
                <w:sz w:val="16"/>
                <w:szCs w:val="24"/>
              </w:rPr>
            </w:pPr>
          </w:p>
        </w:tc>
        <w:tc>
          <w:tcPr>
            <w:tcW w:w="412" w:type="dxa"/>
            <w:shd w:val="clear" w:color="auto" w:fill="FFFFFF"/>
            <w:tcMar>
              <w:top w:w="20" w:type="dxa"/>
              <w:bottom w:w="20" w:type="dxa"/>
            </w:tcMar>
            <w:vAlign w:val="bottom"/>
          </w:tcPr>
          <w:p w:rsidR="00BD3B5F" w:rsidRPr="005C3B55" w:rsidRDefault="00BD3B5F">
            <w:pPr>
              <w:jc w:val="center"/>
              <w:rPr>
                <w:sz w:val="16"/>
                <w:szCs w:val="24"/>
              </w:rPr>
            </w:pPr>
          </w:p>
        </w:tc>
        <w:tc>
          <w:tcPr>
            <w:tcW w:w="403" w:type="dxa"/>
            <w:shd w:val="clear" w:color="auto" w:fill="FFFFFF"/>
            <w:tcMar>
              <w:top w:w="20" w:type="dxa"/>
              <w:bottom w:w="20" w:type="dxa"/>
            </w:tcMar>
            <w:vAlign w:val="bottom"/>
          </w:tcPr>
          <w:p w:rsidR="00BD3B5F" w:rsidRPr="005C3B55" w:rsidRDefault="00BD3B5F">
            <w:pPr>
              <w:jc w:val="center"/>
              <w:rPr>
                <w:sz w:val="16"/>
                <w:szCs w:val="24"/>
              </w:rPr>
            </w:pPr>
          </w:p>
        </w:tc>
        <w:tc>
          <w:tcPr>
            <w:tcW w:w="412" w:type="dxa"/>
            <w:shd w:val="clear" w:color="auto" w:fill="FFFFFF"/>
            <w:tcMar>
              <w:top w:w="20" w:type="dxa"/>
              <w:bottom w:w="20" w:type="dxa"/>
            </w:tcMar>
            <w:vAlign w:val="bottom"/>
          </w:tcPr>
          <w:p w:rsidR="00BD3B5F" w:rsidRPr="005C3B55" w:rsidRDefault="00BD3B5F">
            <w:pPr>
              <w:jc w:val="center"/>
              <w:rPr>
                <w:sz w:val="16"/>
                <w:szCs w:val="24"/>
              </w:rPr>
            </w:pPr>
          </w:p>
        </w:tc>
        <w:tc>
          <w:tcPr>
            <w:tcW w:w="403" w:type="dxa"/>
            <w:shd w:val="clear" w:color="auto" w:fill="FFFFFF"/>
            <w:tcMar>
              <w:top w:w="20" w:type="dxa"/>
              <w:bottom w:w="20" w:type="dxa"/>
            </w:tcMar>
            <w:vAlign w:val="bottom"/>
          </w:tcPr>
          <w:p w:rsidR="00BD3B5F" w:rsidRPr="005C3B55" w:rsidRDefault="00BD3B5F">
            <w:pPr>
              <w:jc w:val="center"/>
              <w:rPr>
                <w:sz w:val="16"/>
                <w:szCs w:val="24"/>
              </w:rPr>
            </w:pPr>
          </w:p>
        </w:tc>
        <w:tc>
          <w:tcPr>
            <w:tcW w:w="403" w:type="dxa"/>
            <w:shd w:val="clear" w:color="auto" w:fill="FFFFFF"/>
            <w:tcMar>
              <w:top w:w="20" w:type="dxa"/>
              <w:bottom w:w="20" w:type="dxa"/>
            </w:tcMar>
            <w:vAlign w:val="bottom"/>
          </w:tcPr>
          <w:p w:rsidR="00BD3B5F" w:rsidRPr="005C3B55" w:rsidRDefault="00BD3B5F">
            <w:pPr>
              <w:jc w:val="center"/>
              <w:rPr>
                <w:sz w:val="16"/>
                <w:szCs w:val="24"/>
              </w:rPr>
            </w:pPr>
          </w:p>
        </w:tc>
        <w:tc>
          <w:tcPr>
            <w:tcW w:w="412" w:type="dxa"/>
            <w:shd w:val="clear" w:color="auto" w:fill="FFFFFF"/>
            <w:tcMar>
              <w:top w:w="20" w:type="dxa"/>
              <w:bottom w:w="20" w:type="dxa"/>
            </w:tcMar>
            <w:vAlign w:val="bottom"/>
          </w:tcPr>
          <w:p w:rsidR="00BD3B5F" w:rsidRPr="005C3B55" w:rsidRDefault="00BD3B5F">
            <w:pPr>
              <w:jc w:val="center"/>
              <w:rPr>
                <w:sz w:val="16"/>
                <w:szCs w:val="24"/>
              </w:rPr>
            </w:pPr>
          </w:p>
        </w:tc>
        <w:tc>
          <w:tcPr>
            <w:tcW w:w="403" w:type="dxa"/>
            <w:shd w:val="clear" w:color="auto" w:fill="FFFFFF"/>
            <w:tcMar>
              <w:top w:w="20" w:type="dxa"/>
              <w:bottom w:w="20" w:type="dxa"/>
            </w:tcMar>
            <w:vAlign w:val="bottom"/>
          </w:tcPr>
          <w:p w:rsidR="00BD3B5F" w:rsidRPr="005C3B55" w:rsidRDefault="00BD3B5F">
            <w:pPr>
              <w:jc w:val="center"/>
              <w:rPr>
                <w:sz w:val="16"/>
                <w:szCs w:val="24"/>
              </w:rPr>
            </w:pPr>
          </w:p>
        </w:tc>
        <w:tc>
          <w:tcPr>
            <w:tcW w:w="403" w:type="dxa"/>
            <w:shd w:val="clear" w:color="auto" w:fill="FFFFFF"/>
            <w:tcMar>
              <w:top w:w="20" w:type="dxa"/>
              <w:bottom w:w="20" w:type="dxa"/>
            </w:tcMar>
            <w:vAlign w:val="bottom"/>
          </w:tcPr>
          <w:p w:rsidR="00BD3B5F" w:rsidRPr="005C3B55" w:rsidRDefault="00BD3B5F">
            <w:pPr>
              <w:jc w:val="center"/>
              <w:rPr>
                <w:sz w:val="16"/>
                <w:szCs w:val="24"/>
              </w:rPr>
            </w:pPr>
          </w:p>
        </w:tc>
        <w:tc>
          <w:tcPr>
            <w:tcW w:w="412" w:type="dxa"/>
            <w:shd w:val="clear" w:color="auto" w:fill="FFFFFF"/>
            <w:tcMar>
              <w:top w:w="20" w:type="dxa"/>
              <w:bottom w:w="20" w:type="dxa"/>
            </w:tcMar>
            <w:vAlign w:val="bottom"/>
          </w:tcPr>
          <w:p w:rsidR="00BD3B5F" w:rsidRPr="005C3B55" w:rsidRDefault="00BD3B5F">
            <w:pPr>
              <w:jc w:val="center"/>
              <w:rPr>
                <w:sz w:val="16"/>
                <w:szCs w:val="24"/>
              </w:rPr>
            </w:pPr>
          </w:p>
        </w:tc>
        <w:tc>
          <w:tcPr>
            <w:tcW w:w="394" w:type="dxa"/>
            <w:shd w:val="clear" w:color="auto" w:fill="FFFFFF"/>
            <w:tcMar>
              <w:top w:w="20" w:type="dxa"/>
              <w:bottom w:w="20" w:type="dxa"/>
            </w:tcMar>
            <w:vAlign w:val="bottom"/>
          </w:tcPr>
          <w:p w:rsidR="00BD3B5F" w:rsidRPr="005C3B55" w:rsidRDefault="00BD3B5F">
            <w:pPr>
              <w:jc w:val="center"/>
              <w:rPr>
                <w:sz w:val="16"/>
                <w:szCs w:val="24"/>
              </w:rPr>
            </w:pPr>
          </w:p>
        </w:tc>
        <w:tc>
          <w:tcPr>
            <w:tcW w:w="412" w:type="dxa"/>
            <w:shd w:val="clear" w:color="auto" w:fill="FFFFFF"/>
            <w:tcMar>
              <w:top w:w="20" w:type="dxa"/>
              <w:bottom w:w="20" w:type="dxa"/>
            </w:tcMar>
            <w:vAlign w:val="bottom"/>
          </w:tcPr>
          <w:p w:rsidR="00BD3B5F" w:rsidRPr="005C3B55" w:rsidRDefault="00BD3B5F">
            <w:pPr>
              <w:jc w:val="center"/>
              <w:rPr>
                <w:sz w:val="16"/>
                <w:szCs w:val="24"/>
              </w:rPr>
            </w:pPr>
          </w:p>
        </w:tc>
        <w:tc>
          <w:tcPr>
            <w:tcW w:w="403"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403" w:type="dxa"/>
            <w:shd w:val="clear" w:color="auto" w:fill="FFFFFF"/>
            <w:tcMar>
              <w:top w:w="20" w:type="dxa"/>
              <w:bottom w:w="20" w:type="dxa"/>
            </w:tcMar>
            <w:vAlign w:val="bottom"/>
          </w:tcPr>
          <w:p w:rsidR="00BD3B5F" w:rsidRPr="005C3B55" w:rsidRDefault="00BD3B5F">
            <w:pPr>
              <w:jc w:val="center"/>
              <w:rPr>
                <w:szCs w:val="24"/>
              </w:rPr>
            </w:pPr>
          </w:p>
        </w:tc>
        <w:tc>
          <w:tcPr>
            <w:tcW w:w="1052"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1538"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c>
          <w:tcPr>
            <w:tcW w:w="910" w:type="dxa"/>
            <w:shd w:val="clear" w:color="auto" w:fill="FFFFFF"/>
            <w:tcMar>
              <w:top w:w="20" w:type="dxa"/>
              <w:bottom w:w="20" w:type="dxa"/>
            </w:tcMar>
            <w:vAlign w:val="bottom"/>
          </w:tcPr>
          <w:p w:rsidR="00BD3B5F" w:rsidRPr="005C3B55" w:rsidRDefault="00BD3B5F">
            <w:pPr>
              <w:jc w:val="center"/>
              <w:rPr>
                <w:b/>
                <w:sz w:val="16"/>
                <w:szCs w:val="24"/>
              </w:rPr>
            </w:pPr>
            <w:r w:rsidRPr="005C3B55">
              <w:rPr>
                <w:b/>
                <w:noProof/>
                <w:sz w:val="16"/>
                <w:szCs w:val="24"/>
              </w:rPr>
              <w:t>X</w:t>
            </w:r>
          </w:p>
        </w:tc>
      </w:tr>
    </w:tbl>
    <w:p w:rsidR="00BD3B5F" w:rsidRPr="005C3B55" w:rsidRDefault="00BD3B5F">
      <w:pPr>
        <w:rPr>
          <w:szCs w:val="24"/>
        </w:rPr>
        <w:sectPr w:rsidR="00BD3B5F" w:rsidRPr="005C3B55">
          <w:pgSz w:w="15840" w:h="12240" w:orient="landscape"/>
          <w:pgMar w:top="900" w:right="900" w:bottom="900" w:left="900" w:header="708" w:footer="708" w:gutter="0"/>
          <w:cols w:space="708"/>
        </w:sectPr>
      </w:pPr>
    </w:p>
    <w:p w:rsidR="00BD3B5F" w:rsidRPr="005C3B55" w:rsidRDefault="00BD3B5F">
      <w:pPr>
        <w:pStyle w:val="Naslov3"/>
        <w:tabs>
          <w:tab w:val="clear" w:pos="765"/>
        </w:tabs>
        <w:ind w:left="0" w:firstLine="0"/>
        <w:jc w:val="left"/>
        <w:rPr>
          <w:szCs w:val="24"/>
          <w:lang w:val="en-GB"/>
        </w:rPr>
      </w:pPr>
      <w:bookmarkStart w:id="52" w:name="_Toc416192510"/>
      <w:r w:rsidRPr="005C3B55">
        <w:rPr>
          <w:szCs w:val="24"/>
          <w:lang w:val="en-GB"/>
        </w:rPr>
        <w:t>N01 - Increasing productivity in agriculture</w:t>
      </w:r>
      <w:bookmarkEnd w:id="52"/>
    </w:p>
    <w:p w:rsidR="00BD3B5F" w:rsidRPr="005C3B55" w:rsidRDefault="00BD3B5F">
      <w:pPr>
        <w:rPr>
          <w:szCs w:val="24"/>
        </w:rPr>
      </w:pPr>
      <w:r w:rsidRPr="005C3B55">
        <w:rPr>
          <w:szCs w:val="24"/>
        </w:rPr>
        <w:t>Priorities/focus areas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10656"/>
      </w:tblGrid>
      <w:tr w:rsidR="00BD3B5F" w:rsidRPr="005C3B55">
        <w:tc>
          <w:tcPr>
            <w:tcW w:w="10656" w:type="dxa"/>
            <w:shd w:val="clear" w:color="auto" w:fill="FFFFFF"/>
            <w:tcMar>
              <w:top w:w="20" w:type="dxa"/>
              <w:bottom w:w="20" w:type="dxa"/>
            </w:tcMar>
            <w:vAlign w:val="bottom"/>
          </w:tcPr>
          <w:p w:rsidR="00BD3B5F" w:rsidRPr="005C3B55" w:rsidRDefault="00BD3B5F" w:rsidP="00BD3B5F">
            <w:pPr>
              <w:numPr>
                <w:ilvl w:val="0"/>
                <w:numId w:val="26"/>
              </w:numPr>
              <w:rPr>
                <w:szCs w:val="24"/>
              </w:rPr>
            </w:pPr>
            <w:r w:rsidRPr="005C3B55">
              <w:rPr>
                <w:szCs w:val="24"/>
              </w:rPr>
              <w:t>1B) Strengthening the links between agriculture, food production and forestry and research and innovation, including for a better environmental management and environmental efficiency</w:t>
            </w:r>
          </w:p>
          <w:p w:rsidR="00BD3B5F" w:rsidRPr="005C3B55" w:rsidRDefault="00BD3B5F" w:rsidP="00BD3B5F">
            <w:pPr>
              <w:numPr>
                <w:ilvl w:val="0"/>
                <w:numId w:val="26"/>
              </w:numPr>
              <w:rPr>
                <w:szCs w:val="24"/>
              </w:rPr>
            </w:pPr>
            <w:r w:rsidRPr="005C3B55">
              <w:rPr>
                <w:szCs w:val="24"/>
              </w:rPr>
              <w:t>1C) Enhancing life-long learning and professional training in the agricultural and forestry sectors</w:t>
            </w:r>
          </w:p>
          <w:p w:rsidR="00BD3B5F" w:rsidRPr="005C3B55" w:rsidRDefault="00BD3B5F" w:rsidP="00BD3B5F">
            <w:pPr>
              <w:numPr>
                <w:ilvl w:val="0"/>
                <w:numId w:val="26"/>
              </w:numPr>
              <w:rPr>
                <w:szCs w:val="24"/>
              </w:rPr>
            </w:pPr>
            <w:r w:rsidRPr="005C3B55">
              <w:rPr>
                <w:szCs w:val="24"/>
              </w:rPr>
              <w:t>2A) Improving the economic performance of all agricultural holdings and facilitating the restructuring and modernisation of agricultural holdings, in order to particularly increase their market participation, market-orientation and agricultural diversification</w:t>
            </w:r>
          </w:p>
          <w:p w:rsidR="00BD3B5F" w:rsidRPr="005C3B55" w:rsidRDefault="00BD3B5F" w:rsidP="00BD3B5F">
            <w:pPr>
              <w:numPr>
                <w:ilvl w:val="0"/>
                <w:numId w:val="26"/>
              </w:numPr>
              <w:rPr>
                <w:szCs w:val="24"/>
              </w:rPr>
            </w:pPr>
            <w:r w:rsidRPr="005C3B55">
              <w:rPr>
                <w:szCs w:val="24"/>
              </w:rPr>
              <w:t>2B) Facilitating suitably trained farmers to launch an agricultural activity, especially by ensuring generational renewal</w:t>
            </w:r>
          </w:p>
          <w:p w:rsidR="00BD3B5F" w:rsidRPr="005C3B55" w:rsidRDefault="00BD3B5F" w:rsidP="00BD3B5F">
            <w:pPr>
              <w:numPr>
                <w:ilvl w:val="0"/>
                <w:numId w:val="26"/>
              </w:numPr>
              <w:rPr>
                <w:szCs w:val="24"/>
              </w:rPr>
            </w:pPr>
            <w:r w:rsidRPr="005C3B55">
              <w:rPr>
                <w:szCs w:val="24"/>
              </w:rPr>
              <w:t>3A) Improving the competitiveness of primary producers with their enhanced inclusion in the agro-food chain through quality schemes, adding value to agricultural products and promotion in local markets, short supply chains, producer groups and organisations and inter-branch organisations</w:t>
            </w:r>
          </w:p>
          <w:p w:rsidR="00BD3B5F" w:rsidRPr="005C3B55" w:rsidRDefault="00BD3B5F" w:rsidP="00BD3B5F">
            <w:pPr>
              <w:numPr>
                <w:ilvl w:val="0"/>
                <w:numId w:val="26"/>
              </w:numPr>
              <w:rPr>
                <w:szCs w:val="24"/>
              </w:rPr>
            </w:pPr>
            <w:r w:rsidRPr="005C3B55">
              <w:rPr>
                <w:szCs w:val="24"/>
              </w:rPr>
              <w:t>5A) Increasing efficient water use in agriculture</w:t>
            </w:r>
          </w:p>
          <w:p w:rsidR="00BD3B5F" w:rsidRPr="005C3B55" w:rsidRDefault="00BD3B5F" w:rsidP="00BD3B5F">
            <w:pPr>
              <w:numPr>
                <w:ilvl w:val="0"/>
                <w:numId w:val="26"/>
              </w:numPr>
              <w:rPr>
                <w:szCs w:val="24"/>
              </w:rPr>
            </w:pPr>
            <w:r w:rsidRPr="005C3B55">
              <w:rPr>
                <w:szCs w:val="24"/>
              </w:rPr>
              <w:t>5B) Increasing energy efficiency in agriculture and food production</w:t>
            </w:r>
          </w:p>
          <w:p w:rsidR="00BD3B5F" w:rsidRPr="005C3B55" w:rsidRDefault="00BD3B5F" w:rsidP="00BD3B5F">
            <w:pPr>
              <w:numPr>
                <w:ilvl w:val="0"/>
                <w:numId w:val="26"/>
              </w:numPr>
              <w:rPr>
                <w:szCs w:val="24"/>
              </w:rPr>
            </w:pPr>
            <w:r w:rsidRPr="005C3B55">
              <w:rPr>
                <w:szCs w:val="24"/>
              </w:rPr>
              <w:t>5C) Facilitating the supply and use of renewable energy sources, by-products, waste and residue and other non-food materials for the purposes of bio-economy</w:t>
            </w:r>
          </w:p>
          <w:p w:rsidR="00BD3B5F" w:rsidRPr="005C3B55" w:rsidRDefault="00BD3B5F" w:rsidP="00BD3B5F">
            <w:pPr>
              <w:numPr>
                <w:ilvl w:val="0"/>
                <w:numId w:val="26"/>
              </w:numPr>
              <w:rPr>
                <w:szCs w:val="24"/>
              </w:rPr>
            </w:pPr>
            <w:r w:rsidRPr="005C3B55">
              <w:rPr>
                <w:szCs w:val="24"/>
              </w:rPr>
              <w:t>5D) Reducing emissions of greenhouse gases and ammonia in agriculture</w:t>
            </w:r>
          </w:p>
        </w:tc>
      </w:tr>
    </w:tbl>
    <w:p w:rsidR="00BD3B5F" w:rsidRPr="005C3B55" w:rsidRDefault="00BD3B5F">
      <w:pPr>
        <w:rPr>
          <w:szCs w:val="24"/>
        </w:rPr>
      </w:pPr>
      <w:r w:rsidRPr="005C3B55">
        <w:rPr>
          <w:szCs w:val="24"/>
        </w:rPr>
        <w:t>Horizontal objectives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10656"/>
      </w:tblGrid>
      <w:tr w:rsidR="00BD3B5F" w:rsidRPr="005C3B55">
        <w:tc>
          <w:tcPr>
            <w:tcW w:w="10656" w:type="dxa"/>
            <w:shd w:val="clear" w:color="auto" w:fill="FFFFFF"/>
            <w:tcMar>
              <w:top w:w="20" w:type="dxa"/>
              <w:bottom w:w="20" w:type="dxa"/>
            </w:tcMar>
            <w:vAlign w:val="bottom"/>
          </w:tcPr>
          <w:p w:rsidR="00BD3B5F" w:rsidRPr="005C3B55" w:rsidRDefault="00BD3B5F" w:rsidP="00BD3B5F">
            <w:pPr>
              <w:numPr>
                <w:ilvl w:val="0"/>
                <w:numId w:val="27"/>
              </w:numPr>
              <w:rPr>
                <w:szCs w:val="24"/>
              </w:rPr>
            </w:pPr>
            <w:r w:rsidRPr="005C3B55">
              <w:rPr>
                <w:szCs w:val="24"/>
              </w:rPr>
              <w:t>Environment</w:t>
            </w:r>
          </w:p>
          <w:p w:rsidR="00BD3B5F" w:rsidRPr="005C3B55" w:rsidRDefault="00BD3B5F" w:rsidP="00BD3B5F">
            <w:pPr>
              <w:numPr>
                <w:ilvl w:val="0"/>
                <w:numId w:val="27"/>
              </w:numPr>
              <w:rPr>
                <w:szCs w:val="24"/>
              </w:rPr>
            </w:pPr>
            <w:r w:rsidRPr="005C3B55">
              <w:rPr>
                <w:szCs w:val="24"/>
              </w:rPr>
              <w:t>Mitigating, and adapting to, climate change</w:t>
            </w:r>
          </w:p>
          <w:p w:rsidR="00BD3B5F" w:rsidRPr="005C3B55" w:rsidRDefault="00BD3B5F" w:rsidP="00BD3B5F">
            <w:pPr>
              <w:numPr>
                <w:ilvl w:val="0"/>
                <w:numId w:val="27"/>
              </w:numPr>
              <w:rPr>
                <w:szCs w:val="24"/>
              </w:rPr>
            </w:pPr>
            <w:r w:rsidRPr="005C3B55">
              <w:rPr>
                <w:szCs w:val="24"/>
              </w:rPr>
              <w:t>Innovation</w:t>
            </w:r>
          </w:p>
        </w:tc>
      </w:tr>
    </w:tbl>
    <w:p w:rsidR="00BD3B5F" w:rsidRPr="005C3B55" w:rsidRDefault="00BD3B5F">
      <w:pPr>
        <w:rPr>
          <w:szCs w:val="24"/>
        </w:rPr>
      </w:pPr>
      <w:r w:rsidRPr="005C3B55">
        <w:rPr>
          <w:szCs w:val="24"/>
        </w:rPr>
        <w:t>Description</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10656" w:type="dxa"/>
            <w:tcMar>
              <w:top w:w="20" w:type="dxa"/>
              <w:bottom w:w="20" w:type="dxa"/>
            </w:tcMar>
            <w:vAlign w:val="bottom"/>
          </w:tcPr>
          <w:p w:rsidR="00BD3B5F" w:rsidRPr="005C3B55" w:rsidRDefault="00BD3B5F">
            <w:pPr>
              <w:spacing w:before="0" w:after="240"/>
              <w:jc w:val="left"/>
              <w:rPr>
                <w:noProof/>
                <w:szCs w:val="24"/>
              </w:rPr>
            </w:pPr>
            <w:r w:rsidRPr="005C3B55">
              <w:rPr>
                <w:szCs w:val="24"/>
              </w:rPr>
              <w:t>Slovenian agriculture faces low labour productivity, which is a key factor in developmental stagnation in comparison with most other EU Member States.</w:t>
            </w:r>
            <w:r w:rsidRPr="005C3B55">
              <w:rPr>
                <w:noProof/>
                <w:szCs w:val="24"/>
              </w:rPr>
              <w:t xml:space="preserve"> </w:t>
            </w:r>
            <w:r w:rsidRPr="005C3B55">
              <w:rPr>
                <w:szCs w:val="24"/>
              </w:rPr>
              <w:t>In the 2011–2013 period, labour productivity in agriculture (GVA/AWU) amounted to 5,457 EUR/AWU, which is only 34% of the EU-27 average (16,023 EUR/AWU).</w:t>
            </w:r>
            <w:r w:rsidRPr="005C3B55">
              <w:rPr>
                <w:noProof/>
                <w:szCs w:val="24"/>
              </w:rPr>
              <w:t xml:space="preserve"> </w:t>
            </w:r>
            <w:r w:rsidRPr="005C3B55">
              <w:rPr>
                <w:szCs w:val="24"/>
              </w:rPr>
              <w:t>This ranks Slovenia among Member States with the lowest labour productivity in agriculture.</w:t>
            </w:r>
            <w:r w:rsidRPr="005C3B55">
              <w:rPr>
                <w:noProof/>
                <w:szCs w:val="24"/>
              </w:rPr>
              <w:t xml:space="preserve"> </w:t>
            </w:r>
            <w:r w:rsidRPr="005C3B55">
              <w:rPr>
                <w:szCs w:val="24"/>
              </w:rPr>
              <w:t>In comparison with the 15 Member States which joined the EU before 2004, this discrepancy is even higher (26,770 EUR/AWU).</w:t>
            </w:r>
            <w:r w:rsidRPr="005C3B55">
              <w:rPr>
                <w:noProof/>
                <w:szCs w:val="24"/>
              </w:rPr>
              <w:t xml:space="preserve"> </w:t>
            </w:r>
            <w:r w:rsidRPr="005C3B55">
              <w:rPr>
                <w:szCs w:val="24"/>
              </w:rPr>
              <w:t>If we compare the input of labour or the scope of AWU for processing one hectare of agricultural land in use, we can also see that one AWU in Slovenia processes 6.3 ha of UAA, or three times less than the average of the EU-27 and four times less than the average of the EU-15. Labour productivity in agriculture, which is largely a result of the agrarian structure, is very diverse in the EU-27.</w:t>
            </w:r>
            <w:r w:rsidRPr="005C3B55">
              <w:rPr>
                <w:noProof/>
                <w:szCs w:val="24"/>
              </w:rPr>
              <w:t xml:space="preserve"> </w:t>
            </w:r>
            <w:r w:rsidRPr="005C3B55">
              <w:rPr>
                <w:szCs w:val="24"/>
              </w:rPr>
              <w:t>This is exceptionally unfavourable in Slovenia with regard to other EU-27 Member States.</w:t>
            </w:r>
          </w:p>
          <w:p w:rsidR="00BD3B5F" w:rsidRPr="005C3B55" w:rsidRDefault="00BD3B5F">
            <w:pPr>
              <w:spacing w:before="240" w:after="240"/>
              <w:jc w:val="left"/>
              <w:rPr>
                <w:noProof/>
                <w:szCs w:val="24"/>
              </w:rPr>
            </w:pPr>
            <w:r w:rsidRPr="005C3B55">
              <w:rPr>
                <w:szCs w:val="24"/>
              </w:rPr>
              <w:t>Increasing labour productivity is one of the key identified needs and the precondition for the faster development of Slovenian agriculture.</w:t>
            </w:r>
            <w:r w:rsidRPr="005C3B55">
              <w:rPr>
                <w:noProof/>
                <w:szCs w:val="24"/>
              </w:rPr>
              <w:t xml:space="preserve"> </w:t>
            </w:r>
            <w:r w:rsidRPr="005C3B55">
              <w:rPr>
                <w:szCs w:val="24"/>
              </w:rPr>
              <w:t>Besides investments in modernisation, i.e. the technological development of agricultural holdings, other factors of structural adaptation such as improving the agrarian structure, the age structure and qualifications in agriculture raise productivity.</w:t>
            </w:r>
            <w:r w:rsidRPr="005C3B55">
              <w:rPr>
                <w:noProof/>
                <w:szCs w:val="24"/>
              </w:rPr>
              <w:t xml:space="preserve"> </w:t>
            </w:r>
            <w:r w:rsidRPr="005C3B55">
              <w:rPr>
                <w:szCs w:val="24"/>
              </w:rPr>
              <w:t>A key role is also attributed to the more efficient transfer of the latest knowledge to agricultural practice and the introduction of innovation in production, which can result in enhanced agricultural sustainability.</w:t>
            </w:r>
            <w:r w:rsidRPr="005C3B55">
              <w:rPr>
                <w:noProof/>
                <w:szCs w:val="24"/>
              </w:rPr>
              <w:t xml:space="preserve"> </w:t>
            </w:r>
            <w:r w:rsidRPr="005C3B55">
              <w:rPr>
                <w:szCs w:val="24"/>
              </w:rPr>
              <w:t>The goal of increasing productivity must be to produce more by affecting the environment and climate less.</w:t>
            </w:r>
          </w:p>
          <w:p w:rsidR="00BD3B5F" w:rsidRPr="005C3B55" w:rsidRDefault="00BD3B5F">
            <w:pPr>
              <w:pStyle w:val="Telobesedila"/>
              <w:rPr>
                <w:szCs w:val="24"/>
              </w:rPr>
            </w:pPr>
          </w:p>
        </w:tc>
      </w:tr>
    </w:tbl>
    <w:p w:rsidR="00BD3B5F" w:rsidRPr="005C3B55" w:rsidRDefault="00BD3B5F">
      <w:pPr>
        <w:pStyle w:val="Naslov3"/>
        <w:tabs>
          <w:tab w:val="clear" w:pos="765"/>
        </w:tabs>
        <w:ind w:left="0" w:firstLine="0"/>
        <w:jc w:val="left"/>
        <w:rPr>
          <w:szCs w:val="24"/>
          <w:lang w:val="en-GB"/>
        </w:rPr>
      </w:pPr>
      <w:bookmarkStart w:id="53" w:name="_Toc416192511"/>
      <w:r w:rsidRPr="005C3B55">
        <w:rPr>
          <w:szCs w:val="24"/>
          <w:lang w:val="en-GB"/>
        </w:rPr>
        <w:t>N02 - Improving the size structure and decreasing fragmentation of agricultural holdings as well as regulating agricultural infrastructure</w:t>
      </w:r>
      <w:bookmarkEnd w:id="53"/>
    </w:p>
    <w:p w:rsidR="00BD3B5F" w:rsidRPr="005C3B55" w:rsidRDefault="00BD3B5F">
      <w:pPr>
        <w:rPr>
          <w:szCs w:val="24"/>
        </w:rPr>
      </w:pPr>
      <w:r w:rsidRPr="005C3B55">
        <w:rPr>
          <w:szCs w:val="24"/>
        </w:rPr>
        <w:t>Priorities/focus areas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10656"/>
      </w:tblGrid>
      <w:tr w:rsidR="00BD3B5F" w:rsidRPr="005C3B55">
        <w:tc>
          <w:tcPr>
            <w:tcW w:w="10656" w:type="dxa"/>
            <w:tcMar>
              <w:top w:w="20" w:type="dxa"/>
              <w:bottom w:w="20" w:type="dxa"/>
            </w:tcMar>
            <w:vAlign w:val="bottom"/>
          </w:tcPr>
          <w:p w:rsidR="00BD3B5F" w:rsidRPr="005C3B55" w:rsidRDefault="00BD3B5F" w:rsidP="00BD3B5F">
            <w:pPr>
              <w:numPr>
                <w:ilvl w:val="0"/>
                <w:numId w:val="28"/>
              </w:numPr>
              <w:rPr>
                <w:szCs w:val="24"/>
              </w:rPr>
            </w:pPr>
            <w:r w:rsidRPr="005C3B55">
              <w:rPr>
                <w:szCs w:val="24"/>
              </w:rPr>
              <w:t>1A) Promoting innovation, cooperation and the development of knowledge bases in rural areas</w:t>
            </w:r>
          </w:p>
          <w:p w:rsidR="00BD3B5F" w:rsidRPr="005C3B55" w:rsidRDefault="00BD3B5F" w:rsidP="00BD3B5F">
            <w:pPr>
              <w:numPr>
                <w:ilvl w:val="0"/>
                <w:numId w:val="28"/>
              </w:numPr>
              <w:rPr>
                <w:szCs w:val="24"/>
              </w:rPr>
            </w:pPr>
            <w:r w:rsidRPr="005C3B55">
              <w:rPr>
                <w:szCs w:val="24"/>
              </w:rPr>
              <w:t>2A) Improving the economic performance of all agricultural holdings and facilitating the restructuring and modernisation of agricultural holdings, in order to particularly increase their market participation, market-orientation and agricultural diversification</w:t>
            </w:r>
          </w:p>
          <w:p w:rsidR="00BD3B5F" w:rsidRPr="005C3B55" w:rsidRDefault="00BD3B5F" w:rsidP="00BD3B5F">
            <w:pPr>
              <w:numPr>
                <w:ilvl w:val="0"/>
                <w:numId w:val="28"/>
              </w:numPr>
              <w:rPr>
                <w:szCs w:val="24"/>
              </w:rPr>
            </w:pPr>
            <w:r w:rsidRPr="005C3B55">
              <w:rPr>
                <w:szCs w:val="24"/>
              </w:rPr>
              <w:t>5A) Increasing efficient water use in agriculture</w:t>
            </w:r>
          </w:p>
          <w:p w:rsidR="00BD3B5F" w:rsidRPr="005C3B55" w:rsidRDefault="00BD3B5F" w:rsidP="00BD3B5F">
            <w:pPr>
              <w:numPr>
                <w:ilvl w:val="0"/>
                <w:numId w:val="28"/>
              </w:numPr>
              <w:rPr>
                <w:szCs w:val="24"/>
              </w:rPr>
            </w:pPr>
            <w:r w:rsidRPr="005C3B55">
              <w:rPr>
                <w:szCs w:val="24"/>
              </w:rPr>
              <w:t>5D) Reducing emissions of greenhouse gases and ammonia in agriculture</w:t>
            </w:r>
          </w:p>
        </w:tc>
      </w:tr>
    </w:tbl>
    <w:p w:rsidR="00BD3B5F" w:rsidRPr="005C3B55" w:rsidRDefault="00BD3B5F">
      <w:pPr>
        <w:rPr>
          <w:szCs w:val="24"/>
        </w:rPr>
      </w:pPr>
      <w:r w:rsidRPr="005C3B55">
        <w:rPr>
          <w:szCs w:val="24"/>
        </w:rPr>
        <w:t>Horizontal objectives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10656"/>
      </w:tblGrid>
      <w:tr w:rsidR="00BD3B5F" w:rsidRPr="005C3B55">
        <w:tc>
          <w:tcPr>
            <w:tcW w:w="10656" w:type="dxa"/>
            <w:tcMar>
              <w:top w:w="20" w:type="dxa"/>
              <w:bottom w:w="20" w:type="dxa"/>
            </w:tcMar>
            <w:vAlign w:val="bottom"/>
          </w:tcPr>
          <w:p w:rsidR="00BD3B5F" w:rsidRPr="005C3B55" w:rsidRDefault="00BD3B5F" w:rsidP="00BD3B5F">
            <w:pPr>
              <w:numPr>
                <w:ilvl w:val="0"/>
                <w:numId w:val="29"/>
              </w:numPr>
              <w:rPr>
                <w:szCs w:val="24"/>
              </w:rPr>
            </w:pPr>
            <w:r w:rsidRPr="005C3B55">
              <w:rPr>
                <w:szCs w:val="24"/>
              </w:rPr>
              <w:t>Environment</w:t>
            </w:r>
          </w:p>
          <w:p w:rsidR="00BD3B5F" w:rsidRPr="005C3B55" w:rsidRDefault="00BD3B5F" w:rsidP="00BD3B5F">
            <w:pPr>
              <w:numPr>
                <w:ilvl w:val="0"/>
                <w:numId w:val="29"/>
              </w:numPr>
              <w:rPr>
                <w:szCs w:val="24"/>
              </w:rPr>
            </w:pPr>
            <w:r w:rsidRPr="005C3B55">
              <w:rPr>
                <w:szCs w:val="24"/>
              </w:rPr>
              <w:t>Mitigating, and adapting to, climate change</w:t>
            </w:r>
          </w:p>
        </w:tc>
      </w:tr>
    </w:tbl>
    <w:p w:rsidR="00BD3B5F" w:rsidRPr="005C3B55" w:rsidRDefault="00BD3B5F">
      <w:pPr>
        <w:rPr>
          <w:szCs w:val="24"/>
        </w:rPr>
      </w:pPr>
      <w:r w:rsidRPr="005C3B55">
        <w:rPr>
          <w:szCs w:val="24"/>
        </w:rPr>
        <w:t>Description</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10656" w:type="dxa"/>
            <w:tcMar>
              <w:top w:w="20" w:type="dxa"/>
              <w:bottom w:w="20" w:type="dxa"/>
            </w:tcMar>
            <w:vAlign w:val="bottom"/>
          </w:tcPr>
          <w:p w:rsidR="00BD3B5F" w:rsidRPr="005C3B55" w:rsidRDefault="00BD3B5F">
            <w:pPr>
              <w:spacing w:before="0" w:after="240"/>
              <w:jc w:val="left"/>
              <w:rPr>
                <w:noProof/>
                <w:szCs w:val="24"/>
              </w:rPr>
            </w:pPr>
            <w:r w:rsidRPr="005C3B55">
              <w:rPr>
                <w:szCs w:val="24"/>
              </w:rPr>
              <w:t>Slovenian agriculture has a very small average size of agricultural holdings and quite large-scale fragmentation of agricultural land.</w:t>
            </w:r>
            <w:r w:rsidRPr="005C3B55">
              <w:rPr>
                <w:noProof/>
                <w:szCs w:val="24"/>
              </w:rPr>
              <w:t xml:space="preserve"> </w:t>
            </w:r>
            <w:r w:rsidRPr="005C3B55">
              <w:rPr>
                <w:szCs w:val="24"/>
              </w:rPr>
              <w:t>These are factors that prevent intensive production, increase the costs of production and reduce the competitiveness of agriculture in comparison with production in other EU Member States.</w:t>
            </w:r>
            <w:r w:rsidRPr="005C3B55">
              <w:rPr>
                <w:noProof/>
                <w:szCs w:val="24"/>
              </w:rPr>
              <w:t xml:space="preserve"> </w:t>
            </w:r>
            <w:r w:rsidRPr="005C3B55">
              <w:rPr>
                <w:szCs w:val="24"/>
              </w:rPr>
              <w:t>Slovenia ranks among the countries with minimum average size of UAA per agricultural holding in the EU-27.</w:t>
            </w:r>
          </w:p>
          <w:p w:rsidR="00BD3B5F" w:rsidRPr="005C3B55" w:rsidRDefault="00BD3B5F">
            <w:pPr>
              <w:spacing w:before="240" w:after="240"/>
              <w:jc w:val="left"/>
              <w:rPr>
                <w:noProof/>
                <w:szCs w:val="24"/>
              </w:rPr>
            </w:pPr>
            <w:r w:rsidRPr="005C3B55">
              <w:rPr>
                <w:szCs w:val="24"/>
              </w:rPr>
              <w:t>In order to make agricultural holdings more competitive, land should be concentrated and the quality of land improved; this could be achieved by implementing agrarian activities such as land consolidation and amelioration (irrigating and agro-melioration).</w:t>
            </w:r>
            <w:r w:rsidRPr="005C3B55">
              <w:rPr>
                <w:noProof/>
                <w:szCs w:val="24"/>
              </w:rPr>
              <w:t xml:space="preserve"> </w:t>
            </w:r>
            <w:r w:rsidRPr="005C3B55">
              <w:rPr>
                <w:szCs w:val="24"/>
              </w:rPr>
              <w:t>With agrarian actions, the land structure can be improved, including the conditions for cultivation, as well as the quality of, agricultural land.</w:t>
            </w:r>
          </w:p>
          <w:p w:rsidR="00BD3B5F" w:rsidRPr="005C3B55" w:rsidRDefault="00BD3B5F">
            <w:pPr>
              <w:spacing w:before="240" w:after="240"/>
              <w:jc w:val="left"/>
              <w:rPr>
                <w:noProof/>
                <w:szCs w:val="24"/>
              </w:rPr>
            </w:pPr>
            <w:r w:rsidRPr="005C3B55">
              <w:rPr>
                <w:szCs w:val="24"/>
              </w:rPr>
              <w:t>Agrarian actions that are appropriately implemented and integrated into the agricultural environment can have a positive impact on the environment and on reducing GHG emissions.</w:t>
            </w:r>
            <w:r w:rsidRPr="005C3B55">
              <w:rPr>
                <w:noProof/>
                <w:szCs w:val="24"/>
              </w:rPr>
              <w:t xml:space="preserve"> </w:t>
            </w:r>
            <w:r w:rsidRPr="005C3B55">
              <w:rPr>
                <w:szCs w:val="24"/>
              </w:rPr>
              <w:t>The consolidation of agricultural land has a positive impact, especially from the aspect of lesser energy use in mechanical cultivation and soil supply, as well as in transport, and increases the possibilities for more appropriate crop rotation, which can also have effects on the environment.</w:t>
            </w:r>
            <w:r w:rsidRPr="005C3B55">
              <w:rPr>
                <w:noProof/>
                <w:szCs w:val="24"/>
              </w:rPr>
              <w:t xml:space="preserve"> </w:t>
            </w:r>
            <w:r w:rsidRPr="005C3B55">
              <w:rPr>
                <w:szCs w:val="24"/>
              </w:rPr>
              <w:t>Appropriate crop rotation increases the content of organic matter in soil, improves soil structure, reduces soil degradation and raises output as well as profitability in the long term.</w:t>
            </w:r>
          </w:p>
          <w:p w:rsidR="00BD3B5F" w:rsidRPr="005C3B55" w:rsidRDefault="00BD3B5F">
            <w:pPr>
              <w:spacing w:before="240" w:after="240"/>
              <w:jc w:val="left"/>
              <w:rPr>
                <w:noProof/>
                <w:szCs w:val="24"/>
              </w:rPr>
            </w:pPr>
            <w:r w:rsidRPr="005C3B55">
              <w:rPr>
                <w:szCs w:val="24"/>
              </w:rPr>
              <w:t>The technological renovation of existing irrigation systems has a positive impact on the more rational use of water and is also a measure for adapting to climate change.</w:t>
            </w:r>
            <w:r w:rsidRPr="005C3B55">
              <w:rPr>
                <w:noProof/>
                <w:szCs w:val="24"/>
              </w:rPr>
              <w:t xml:space="preserve"> </w:t>
            </w:r>
            <w:r w:rsidRPr="005C3B55">
              <w:rPr>
                <w:szCs w:val="24"/>
              </w:rPr>
              <w:t>Increasing the utilisiation of existing systems, their technological modernisation and the development of new irrigation systems increases the stability of agricultural production and the quality of agricultural products while also observing the importance of efficient water use and its reduced use.</w:t>
            </w:r>
          </w:p>
          <w:p w:rsidR="00BD3B5F" w:rsidRPr="005C3B55" w:rsidRDefault="00BD3B5F">
            <w:pPr>
              <w:spacing w:before="240" w:after="240"/>
              <w:jc w:val="left"/>
              <w:rPr>
                <w:noProof/>
                <w:szCs w:val="24"/>
              </w:rPr>
            </w:pPr>
            <w:r w:rsidRPr="005C3B55">
              <w:rPr>
                <w:szCs w:val="24"/>
              </w:rPr>
              <w:t>Planning and implementing the mentioned agrarian actions in agriculture must be harmonised with the environment protection requirements.</w:t>
            </w:r>
            <w:r w:rsidRPr="005C3B55">
              <w:rPr>
                <w:noProof/>
                <w:szCs w:val="24"/>
              </w:rPr>
              <w:t xml:space="preserve"> </w:t>
            </w:r>
            <w:r w:rsidRPr="005C3B55">
              <w:rPr>
                <w:szCs w:val="24"/>
              </w:rPr>
              <w:t>Prior to the implementation of these operations, all the required permits for protection of the environment, as well as other approvals must be obtained, i.e. those stipulated by regulations on agricultural land regulation, spatial planning, nature preservation, environment and water protection.</w:t>
            </w:r>
          </w:p>
          <w:p w:rsidR="00BD3B5F" w:rsidRPr="005C3B55" w:rsidRDefault="00BD3B5F">
            <w:pPr>
              <w:pStyle w:val="Telobesedila"/>
              <w:rPr>
                <w:szCs w:val="24"/>
              </w:rPr>
            </w:pPr>
          </w:p>
        </w:tc>
      </w:tr>
    </w:tbl>
    <w:p w:rsidR="00BD3B5F" w:rsidRPr="005C3B55" w:rsidRDefault="00BD3B5F">
      <w:pPr>
        <w:pStyle w:val="Naslov3"/>
        <w:tabs>
          <w:tab w:val="clear" w:pos="765"/>
        </w:tabs>
        <w:ind w:left="0" w:firstLine="0"/>
        <w:jc w:val="left"/>
        <w:rPr>
          <w:szCs w:val="24"/>
          <w:lang w:val="en-GB"/>
        </w:rPr>
      </w:pPr>
      <w:bookmarkStart w:id="54" w:name="_Toc416192512"/>
      <w:r w:rsidRPr="005C3B55">
        <w:rPr>
          <w:szCs w:val="24"/>
          <w:lang w:val="en-GB"/>
        </w:rPr>
        <w:t>N03 - Improving the age structure of owners of agricultural holdings</w:t>
      </w:r>
      <w:bookmarkEnd w:id="54"/>
    </w:p>
    <w:p w:rsidR="00BD3B5F" w:rsidRPr="005C3B55" w:rsidRDefault="00BD3B5F">
      <w:pPr>
        <w:rPr>
          <w:szCs w:val="24"/>
        </w:rPr>
      </w:pPr>
      <w:r w:rsidRPr="005C3B55">
        <w:rPr>
          <w:szCs w:val="24"/>
        </w:rPr>
        <w:t>Priorities/focus areas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10656"/>
      </w:tblGrid>
      <w:tr w:rsidR="00BD3B5F" w:rsidRPr="005C3B55">
        <w:tc>
          <w:tcPr>
            <w:tcW w:w="10656" w:type="dxa"/>
            <w:tcMar>
              <w:top w:w="20" w:type="dxa"/>
              <w:bottom w:w="20" w:type="dxa"/>
            </w:tcMar>
            <w:vAlign w:val="bottom"/>
          </w:tcPr>
          <w:p w:rsidR="00BD3B5F" w:rsidRPr="005C3B55" w:rsidRDefault="00BD3B5F" w:rsidP="00BD3B5F">
            <w:pPr>
              <w:numPr>
                <w:ilvl w:val="0"/>
                <w:numId w:val="30"/>
              </w:numPr>
              <w:rPr>
                <w:szCs w:val="24"/>
              </w:rPr>
            </w:pPr>
            <w:r w:rsidRPr="005C3B55">
              <w:rPr>
                <w:szCs w:val="24"/>
              </w:rPr>
              <w:t>1C) Enhancing life-long learning and professional training in the agricultural and forestry sectors</w:t>
            </w:r>
          </w:p>
          <w:p w:rsidR="00BD3B5F" w:rsidRPr="005C3B55" w:rsidRDefault="00BD3B5F" w:rsidP="00BD3B5F">
            <w:pPr>
              <w:numPr>
                <w:ilvl w:val="0"/>
                <w:numId w:val="30"/>
              </w:numPr>
              <w:rPr>
                <w:szCs w:val="24"/>
              </w:rPr>
            </w:pPr>
            <w:r w:rsidRPr="005C3B55">
              <w:rPr>
                <w:szCs w:val="24"/>
              </w:rPr>
              <w:t>2A) Improving the economic performance of all agricultural holdings and facilitating the restructuring and modernisation of agricultural holdings, in order to particularly increase their market participation, market-orientation and agricultural diversification</w:t>
            </w:r>
          </w:p>
          <w:p w:rsidR="00BD3B5F" w:rsidRPr="005C3B55" w:rsidRDefault="00BD3B5F" w:rsidP="00BD3B5F">
            <w:pPr>
              <w:numPr>
                <w:ilvl w:val="0"/>
                <w:numId w:val="30"/>
              </w:numPr>
              <w:rPr>
                <w:szCs w:val="24"/>
              </w:rPr>
            </w:pPr>
            <w:r w:rsidRPr="005C3B55">
              <w:rPr>
                <w:szCs w:val="24"/>
              </w:rPr>
              <w:t>2B) Facilitating suitably trained farmers to launch an agricultural activity, especially by ensuring generational renewal</w:t>
            </w:r>
          </w:p>
        </w:tc>
      </w:tr>
    </w:tbl>
    <w:p w:rsidR="00BD3B5F" w:rsidRPr="005C3B55" w:rsidRDefault="00BD3B5F">
      <w:pPr>
        <w:rPr>
          <w:szCs w:val="24"/>
        </w:rPr>
      </w:pPr>
      <w:r w:rsidRPr="005C3B55">
        <w:rPr>
          <w:szCs w:val="24"/>
        </w:rPr>
        <w:t>Horizontal objectives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10656"/>
      </w:tblGrid>
      <w:tr w:rsidR="00BD3B5F" w:rsidRPr="005C3B55">
        <w:tc>
          <w:tcPr>
            <w:tcW w:w="10656" w:type="dxa"/>
            <w:tcMar>
              <w:top w:w="20" w:type="dxa"/>
              <w:bottom w:w="20" w:type="dxa"/>
            </w:tcMar>
            <w:vAlign w:val="bottom"/>
          </w:tcPr>
          <w:p w:rsidR="00BD3B5F" w:rsidRPr="005C3B55" w:rsidRDefault="00BD3B5F" w:rsidP="00BD3B5F">
            <w:pPr>
              <w:numPr>
                <w:ilvl w:val="0"/>
                <w:numId w:val="31"/>
              </w:numPr>
              <w:rPr>
                <w:szCs w:val="24"/>
              </w:rPr>
            </w:pPr>
            <w:r w:rsidRPr="005C3B55">
              <w:rPr>
                <w:szCs w:val="24"/>
              </w:rPr>
              <w:t>Environment</w:t>
            </w:r>
          </w:p>
          <w:p w:rsidR="00BD3B5F" w:rsidRPr="005C3B55" w:rsidRDefault="00BD3B5F" w:rsidP="00BD3B5F">
            <w:pPr>
              <w:numPr>
                <w:ilvl w:val="0"/>
                <w:numId w:val="31"/>
              </w:numPr>
              <w:rPr>
                <w:szCs w:val="24"/>
              </w:rPr>
            </w:pPr>
            <w:r w:rsidRPr="005C3B55">
              <w:rPr>
                <w:szCs w:val="24"/>
              </w:rPr>
              <w:t>Mitigating, and adapting to, climate change</w:t>
            </w:r>
          </w:p>
          <w:p w:rsidR="00BD3B5F" w:rsidRPr="005C3B55" w:rsidRDefault="00BD3B5F" w:rsidP="00BD3B5F">
            <w:pPr>
              <w:numPr>
                <w:ilvl w:val="0"/>
                <w:numId w:val="31"/>
              </w:numPr>
              <w:rPr>
                <w:szCs w:val="24"/>
              </w:rPr>
            </w:pPr>
            <w:r w:rsidRPr="005C3B55">
              <w:rPr>
                <w:szCs w:val="24"/>
              </w:rPr>
              <w:t>Innovation</w:t>
            </w:r>
          </w:p>
        </w:tc>
      </w:tr>
    </w:tbl>
    <w:p w:rsidR="00BD3B5F" w:rsidRPr="005C3B55" w:rsidRDefault="00BD3B5F">
      <w:pPr>
        <w:rPr>
          <w:szCs w:val="24"/>
        </w:rPr>
      </w:pPr>
      <w:r w:rsidRPr="005C3B55">
        <w:rPr>
          <w:szCs w:val="24"/>
        </w:rPr>
        <w:t>Description</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10656" w:type="dxa"/>
            <w:tcMar>
              <w:top w:w="20" w:type="dxa"/>
              <w:bottom w:w="20" w:type="dxa"/>
            </w:tcMar>
            <w:vAlign w:val="bottom"/>
          </w:tcPr>
          <w:p w:rsidR="00BD3B5F" w:rsidRPr="005C3B55" w:rsidRDefault="00BD3B5F">
            <w:pPr>
              <w:spacing w:before="0" w:after="240"/>
              <w:jc w:val="left"/>
              <w:rPr>
                <w:noProof/>
                <w:szCs w:val="24"/>
              </w:rPr>
            </w:pPr>
            <w:r w:rsidRPr="005C3B55">
              <w:rPr>
                <w:szCs w:val="24"/>
              </w:rPr>
              <w:t>The age structure of owners of agricultural holdings has an important influence on labour productivity.</w:t>
            </w:r>
            <w:r w:rsidRPr="005C3B55">
              <w:rPr>
                <w:noProof/>
                <w:szCs w:val="24"/>
              </w:rPr>
              <w:t xml:space="preserve"> </w:t>
            </w:r>
            <w:r w:rsidRPr="005C3B55">
              <w:rPr>
                <w:szCs w:val="24"/>
              </w:rPr>
              <w:t>The age structure in Slovenian agriculture is exceptionally unfavourable.</w:t>
            </w:r>
            <w:r w:rsidRPr="005C3B55">
              <w:rPr>
                <w:noProof/>
                <w:szCs w:val="24"/>
              </w:rPr>
              <w:t xml:space="preserve"> </w:t>
            </w:r>
            <w:r w:rsidRPr="005C3B55">
              <w:rPr>
                <w:szCs w:val="24"/>
              </w:rPr>
              <w:t>The average age of owners of agricultural holdings was 56 years in 2013 and had not changed since 2000.</w:t>
            </w:r>
            <w:r w:rsidRPr="005C3B55">
              <w:rPr>
                <w:noProof/>
                <w:szCs w:val="24"/>
              </w:rPr>
              <w:t xml:space="preserve"> </w:t>
            </w:r>
            <w:r w:rsidRPr="005C3B55">
              <w:rPr>
                <w:szCs w:val="24"/>
              </w:rPr>
              <w:t>Only 4.3% of all owners of agricultural holdings were younger than 35 years in 2010, while the share of those older than 55 years was 56.6%.</w:t>
            </w:r>
            <w:r w:rsidRPr="005C3B55">
              <w:rPr>
                <w:noProof/>
                <w:szCs w:val="24"/>
              </w:rPr>
              <w:t xml:space="preserve"> </w:t>
            </w:r>
            <w:r w:rsidRPr="005C3B55">
              <w:rPr>
                <w:szCs w:val="24"/>
              </w:rPr>
              <w:t>This is slightly more than the EU-27 average (53.1%), which ranks Slovenia among countries with a more unfavourable age structure of farm holders.</w:t>
            </w:r>
          </w:p>
          <w:p w:rsidR="00BD3B5F" w:rsidRPr="005C3B55" w:rsidRDefault="00BD3B5F">
            <w:pPr>
              <w:spacing w:before="240" w:after="240"/>
              <w:jc w:val="left"/>
              <w:rPr>
                <w:noProof/>
                <w:szCs w:val="24"/>
              </w:rPr>
            </w:pPr>
            <w:r w:rsidRPr="005C3B55">
              <w:rPr>
                <w:szCs w:val="24"/>
              </w:rPr>
              <w:t>A better age structure is therefore one of the most important development needs of Slovenian agriculture.</w:t>
            </w:r>
            <w:r w:rsidRPr="005C3B55">
              <w:rPr>
                <w:noProof/>
                <w:szCs w:val="24"/>
              </w:rPr>
              <w:t xml:space="preserve"> </w:t>
            </w:r>
            <w:r w:rsidRPr="005C3B55">
              <w:rPr>
                <w:szCs w:val="24"/>
              </w:rPr>
              <w:t>Younger owners of agricultural holdings are better educated, and are quicker to learn about novelties and adapt to the market situation; they are usually more motivated to acquire additional knowledge, introduce improvements and innovation in the technological and environmental fields and in adapting to, and mitigating, climate change.</w:t>
            </w:r>
            <w:r w:rsidRPr="005C3B55">
              <w:rPr>
                <w:noProof/>
                <w:szCs w:val="24"/>
              </w:rPr>
              <w:t xml:space="preserve"> </w:t>
            </w:r>
            <w:r w:rsidRPr="005C3B55">
              <w:rPr>
                <w:szCs w:val="24"/>
              </w:rPr>
              <w:t>Along with start-up support, they should also have appropriate access to new knowledge via target-oriented training.</w:t>
            </w:r>
          </w:p>
          <w:p w:rsidR="00BD3B5F" w:rsidRPr="005C3B55" w:rsidRDefault="00BD3B5F">
            <w:pPr>
              <w:spacing w:before="240" w:after="240"/>
              <w:jc w:val="left"/>
              <w:rPr>
                <w:noProof/>
                <w:szCs w:val="24"/>
              </w:rPr>
            </w:pPr>
            <w:r w:rsidRPr="005C3B55">
              <w:rPr>
                <w:szCs w:val="24"/>
              </w:rPr>
              <w:t>Generational renewal is also important from the aspect of preserving the vitality of the Slovenian countryside.</w:t>
            </w:r>
            <w:r w:rsidRPr="005C3B55">
              <w:rPr>
                <w:noProof/>
                <w:szCs w:val="24"/>
              </w:rPr>
              <w:t xml:space="preserve"> </w:t>
            </w:r>
            <w:r w:rsidRPr="005C3B55">
              <w:rPr>
                <w:szCs w:val="24"/>
              </w:rPr>
              <w:t>The migration of younger generations to regional development centres exacerbates the rural demographic structure.</w:t>
            </w:r>
          </w:p>
          <w:p w:rsidR="00BD3B5F" w:rsidRPr="005C3B55" w:rsidRDefault="00BD3B5F">
            <w:pPr>
              <w:pStyle w:val="Telobesedila"/>
              <w:rPr>
                <w:szCs w:val="24"/>
              </w:rPr>
            </w:pPr>
          </w:p>
        </w:tc>
      </w:tr>
    </w:tbl>
    <w:p w:rsidR="00BD3B5F" w:rsidRPr="005C3B55" w:rsidRDefault="00BD3B5F">
      <w:pPr>
        <w:pStyle w:val="Naslov3"/>
        <w:tabs>
          <w:tab w:val="clear" w:pos="765"/>
        </w:tabs>
        <w:ind w:left="0" w:firstLine="0"/>
        <w:jc w:val="left"/>
        <w:rPr>
          <w:szCs w:val="24"/>
          <w:lang w:val="en-GB"/>
        </w:rPr>
      </w:pPr>
      <w:bookmarkStart w:id="55" w:name="_Toc416192513"/>
      <w:r w:rsidRPr="005C3B55">
        <w:rPr>
          <w:szCs w:val="24"/>
          <w:lang w:val="en-GB"/>
        </w:rPr>
        <w:t>N04 - Improving qualifications in agriculture, forestry and the food industry</w:t>
      </w:r>
      <w:bookmarkEnd w:id="55"/>
    </w:p>
    <w:p w:rsidR="00BD3B5F" w:rsidRPr="005C3B55" w:rsidRDefault="00BD3B5F">
      <w:pPr>
        <w:rPr>
          <w:szCs w:val="24"/>
        </w:rPr>
      </w:pPr>
      <w:r w:rsidRPr="005C3B55">
        <w:rPr>
          <w:szCs w:val="24"/>
        </w:rPr>
        <w:t>Priorities/focus areas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10656"/>
      </w:tblGrid>
      <w:tr w:rsidR="00BD3B5F" w:rsidRPr="005C3B55">
        <w:tc>
          <w:tcPr>
            <w:tcW w:w="10656" w:type="dxa"/>
            <w:tcMar>
              <w:top w:w="20" w:type="dxa"/>
              <w:bottom w:w="20" w:type="dxa"/>
            </w:tcMar>
            <w:vAlign w:val="bottom"/>
          </w:tcPr>
          <w:p w:rsidR="00BD3B5F" w:rsidRPr="005C3B55" w:rsidRDefault="00BD3B5F" w:rsidP="00BD3B5F">
            <w:pPr>
              <w:numPr>
                <w:ilvl w:val="0"/>
                <w:numId w:val="32"/>
              </w:numPr>
              <w:rPr>
                <w:szCs w:val="24"/>
              </w:rPr>
            </w:pPr>
            <w:r w:rsidRPr="005C3B55">
              <w:rPr>
                <w:szCs w:val="24"/>
              </w:rPr>
              <w:t>1A) Promoting innovation, cooperation and the development of knowledge bases in rural areas</w:t>
            </w:r>
          </w:p>
          <w:p w:rsidR="00BD3B5F" w:rsidRPr="005C3B55" w:rsidRDefault="00BD3B5F" w:rsidP="00BD3B5F">
            <w:pPr>
              <w:numPr>
                <w:ilvl w:val="0"/>
                <w:numId w:val="32"/>
              </w:numPr>
              <w:rPr>
                <w:szCs w:val="24"/>
              </w:rPr>
            </w:pPr>
            <w:r w:rsidRPr="005C3B55">
              <w:rPr>
                <w:szCs w:val="24"/>
              </w:rPr>
              <w:t>1C) Enhancing life-long learning and professional training in the agricultural and forestry sectors</w:t>
            </w:r>
          </w:p>
          <w:p w:rsidR="00BD3B5F" w:rsidRPr="005C3B55" w:rsidRDefault="00BD3B5F" w:rsidP="00BD3B5F">
            <w:pPr>
              <w:numPr>
                <w:ilvl w:val="0"/>
                <w:numId w:val="32"/>
              </w:numPr>
              <w:rPr>
                <w:szCs w:val="24"/>
              </w:rPr>
            </w:pPr>
            <w:r w:rsidRPr="005C3B55">
              <w:rPr>
                <w:szCs w:val="24"/>
              </w:rPr>
              <w:t>2A) Improving the economic performance of all agricultural holdings and facilitating the restructuring and modernisation of agricultural holdings, in order to particularly increase their market participation, market-orientation and agricultural diversification</w:t>
            </w:r>
          </w:p>
          <w:p w:rsidR="00BD3B5F" w:rsidRPr="005C3B55" w:rsidRDefault="00BD3B5F" w:rsidP="00BD3B5F">
            <w:pPr>
              <w:numPr>
                <w:ilvl w:val="0"/>
                <w:numId w:val="32"/>
              </w:numPr>
              <w:rPr>
                <w:szCs w:val="24"/>
              </w:rPr>
            </w:pPr>
            <w:r w:rsidRPr="005C3B55">
              <w:rPr>
                <w:szCs w:val="24"/>
              </w:rPr>
              <w:t>2B) Facilitating suitably trained farmers to launch an agricultural activity, especially by ensuring generational renewal</w:t>
            </w:r>
          </w:p>
          <w:p w:rsidR="00BD3B5F" w:rsidRPr="005C3B55" w:rsidRDefault="00BD3B5F" w:rsidP="00BD3B5F">
            <w:pPr>
              <w:numPr>
                <w:ilvl w:val="0"/>
                <w:numId w:val="32"/>
              </w:numPr>
              <w:rPr>
                <w:szCs w:val="24"/>
              </w:rPr>
            </w:pPr>
            <w:r w:rsidRPr="005C3B55">
              <w:rPr>
                <w:szCs w:val="24"/>
              </w:rPr>
              <w:t>3A) Improving the competitiveness of primary producers with their enhanced inclusion in the agro-food chain through quality schemes, adding value to agricultural products and promotion in local markets, short supply chains, producer groups and organisations and inter-branch organisations</w:t>
            </w:r>
          </w:p>
          <w:p w:rsidR="00BD3B5F" w:rsidRPr="005C3B55" w:rsidRDefault="00BD3B5F" w:rsidP="00BD3B5F">
            <w:pPr>
              <w:numPr>
                <w:ilvl w:val="0"/>
                <w:numId w:val="32"/>
              </w:numPr>
              <w:rPr>
                <w:szCs w:val="24"/>
              </w:rPr>
            </w:pPr>
            <w:r w:rsidRPr="005C3B55">
              <w:rPr>
                <w:szCs w:val="24"/>
              </w:rPr>
              <w:t>4A) Restoring, preserving and enhancing biodiversity, including in Natura 2000 sites, and in areas facing natural or other specific constraints, and high nature value farming, as well as the state of European landscapes</w:t>
            </w:r>
          </w:p>
          <w:p w:rsidR="00BD3B5F" w:rsidRPr="005C3B55" w:rsidRDefault="00BD3B5F" w:rsidP="00BD3B5F">
            <w:pPr>
              <w:numPr>
                <w:ilvl w:val="0"/>
                <w:numId w:val="32"/>
              </w:numPr>
              <w:rPr>
                <w:szCs w:val="24"/>
              </w:rPr>
            </w:pPr>
            <w:r w:rsidRPr="005C3B55">
              <w:rPr>
                <w:szCs w:val="24"/>
              </w:rPr>
              <w:t>4B) Improving water management, including the management of fertilisers and pesticides</w:t>
            </w:r>
          </w:p>
          <w:p w:rsidR="00BD3B5F" w:rsidRPr="005C3B55" w:rsidRDefault="00BD3B5F" w:rsidP="00BD3B5F">
            <w:pPr>
              <w:numPr>
                <w:ilvl w:val="0"/>
                <w:numId w:val="32"/>
              </w:numPr>
              <w:rPr>
                <w:szCs w:val="24"/>
              </w:rPr>
            </w:pPr>
            <w:r w:rsidRPr="005C3B55">
              <w:rPr>
                <w:szCs w:val="24"/>
              </w:rPr>
              <w:t>4C) Preventing soil erosion and improving soil management</w:t>
            </w:r>
          </w:p>
          <w:p w:rsidR="00BD3B5F" w:rsidRPr="005C3B55" w:rsidRDefault="00BD3B5F" w:rsidP="00BD3B5F">
            <w:pPr>
              <w:numPr>
                <w:ilvl w:val="0"/>
                <w:numId w:val="32"/>
              </w:numPr>
              <w:rPr>
                <w:szCs w:val="24"/>
              </w:rPr>
            </w:pPr>
            <w:r w:rsidRPr="005C3B55">
              <w:rPr>
                <w:szCs w:val="24"/>
              </w:rPr>
              <w:t>5A) Increasing efficient water use in agriculture</w:t>
            </w:r>
          </w:p>
          <w:p w:rsidR="00BD3B5F" w:rsidRPr="005C3B55" w:rsidRDefault="00BD3B5F" w:rsidP="00BD3B5F">
            <w:pPr>
              <w:numPr>
                <w:ilvl w:val="0"/>
                <w:numId w:val="32"/>
              </w:numPr>
              <w:rPr>
                <w:szCs w:val="24"/>
              </w:rPr>
            </w:pPr>
            <w:r w:rsidRPr="005C3B55">
              <w:rPr>
                <w:szCs w:val="24"/>
              </w:rPr>
              <w:t>5B) Increasing energy efficiency in agriculture and food production</w:t>
            </w:r>
          </w:p>
          <w:p w:rsidR="00BD3B5F" w:rsidRPr="005C3B55" w:rsidRDefault="00BD3B5F" w:rsidP="00BD3B5F">
            <w:pPr>
              <w:numPr>
                <w:ilvl w:val="0"/>
                <w:numId w:val="32"/>
              </w:numPr>
              <w:rPr>
                <w:szCs w:val="24"/>
              </w:rPr>
            </w:pPr>
            <w:r w:rsidRPr="005C3B55">
              <w:rPr>
                <w:szCs w:val="24"/>
              </w:rPr>
              <w:t>5C) Facilitating the supply and use of renewable energy sources, by-products, waste and residue and other non-food materials for the purposes of bio-economy</w:t>
            </w:r>
          </w:p>
        </w:tc>
      </w:tr>
    </w:tbl>
    <w:p w:rsidR="00BD3B5F" w:rsidRPr="005C3B55" w:rsidRDefault="00BD3B5F">
      <w:pPr>
        <w:rPr>
          <w:szCs w:val="24"/>
        </w:rPr>
      </w:pPr>
      <w:r w:rsidRPr="005C3B55">
        <w:rPr>
          <w:szCs w:val="24"/>
        </w:rPr>
        <w:t>Horizontal objectives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10656"/>
      </w:tblGrid>
      <w:tr w:rsidR="00BD3B5F" w:rsidRPr="005C3B55">
        <w:tc>
          <w:tcPr>
            <w:tcW w:w="10656" w:type="dxa"/>
            <w:tcMar>
              <w:top w:w="20" w:type="dxa"/>
              <w:bottom w:w="20" w:type="dxa"/>
            </w:tcMar>
            <w:vAlign w:val="bottom"/>
          </w:tcPr>
          <w:p w:rsidR="00BD3B5F" w:rsidRPr="005C3B55" w:rsidRDefault="00BD3B5F" w:rsidP="00BD3B5F">
            <w:pPr>
              <w:numPr>
                <w:ilvl w:val="0"/>
                <w:numId w:val="33"/>
              </w:numPr>
              <w:rPr>
                <w:szCs w:val="24"/>
              </w:rPr>
            </w:pPr>
            <w:r w:rsidRPr="005C3B55">
              <w:rPr>
                <w:szCs w:val="24"/>
              </w:rPr>
              <w:t>Environment</w:t>
            </w:r>
          </w:p>
          <w:p w:rsidR="00BD3B5F" w:rsidRPr="005C3B55" w:rsidRDefault="00BD3B5F" w:rsidP="00BD3B5F">
            <w:pPr>
              <w:numPr>
                <w:ilvl w:val="0"/>
                <w:numId w:val="33"/>
              </w:numPr>
              <w:rPr>
                <w:szCs w:val="24"/>
              </w:rPr>
            </w:pPr>
            <w:r w:rsidRPr="005C3B55">
              <w:rPr>
                <w:szCs w:val="24"/>
              </w:rPr>
              <w:t>Mitigating, and adapting to, climate change</w:t>
            </w:r>
          </w:p>
          <w:p w:rsidR="00BD3B5F" w:rsidRPr="005C3B55" w:rsidRDefault="00BD3B5F" w:rsidP="00BD3B5F">
            <w:pPr>
              <w:numPr>
                <w:ilvl w:val="0"/>
                <w:numId w:val="33"/>
              </w:numPr>
              <w:rPr>
                <w:szCs w:val="24"/>
              </w:rPr>
            </w:pPr>
            <w:r w:rsidRPr="005C3B55">
              <w:rPr>
                <w:szCs w:val="24"/>
              </w:rPr>
              <w:t>Innovation</w:t>
            </w:r>
          </w:p>
        </w:tc>
      </w:tr>
    </w:tbl>
    <w:p w:rsidR="00BD3B5F" w:rsidRPr="005C3B55" w:rsidRDefault="00BD3B5F">
      <w:pPr>
        <w:rPr>
          <w:szCs w:val="24"/>
        </w:rPr>
      </w:pPr>
      <w:r w:rsidRPr="005C3B55">
        <w:rPr>
          <w:szCs w:val="24"/>
        </w:rPr>
        <w:t>Description</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10656" w:type="dxa"/>
            <w:tcMar>
              <w:top w:w="20" w:type="dxa"/>
              <w:bottom w:w="20" w:type="dxa"/>
            </w:tcMar>
            <w:vAlign w:val="bottom"/>
          </w:tcPr>
          <w:p w:rsidR="00BD3B5F" w:rsidRPr="005C3B55" w:rsidRDefault="00BD3B5F">
            <w:pPr>
              <w:spacing w:before="0" w:after="240"/>
              <w:jc w:val="left"/>
              <w:rPr>
                <w:noProof/>
                <w:szCs w:val="24"/>
              </w:rPr>
            </w:pPr>
            <w:r w:rsidRPr="005C3B55">
              <w:rPr>
                <w:szCs w:val="24"/>
              </w:rPr>
              <w:t>Raising qualifications in all three business segments mentioned is a key requirement.</w:t>
            </w:r>
            <w:r w:rsidRPr="005C3B55">
              <w:rPr>
                <w:noProof/>
                <w:szCs w:val="24"/>
              </w:rPr>
              <w:t xml:space="preserve"> </w:t>
            </w:r>
            <w:r w:rsidRPr="005C3B55">
              <w:rPr>
                <w:szCs w:val="24"/>
              </w:rPr>
              <w:t>The level of qualifications indirectly impacts competitiveness, labour productivity, safety at work, the ability to adapt to a rapidly changing economic situation, greater difficulty and informatisation of work, technological progress and higher standards in production (e.g. hygienic, technological).</w:t>
            </w:r>
            <w:r w:rsidRPr="005C3B55">
              <w:rPr>
                <w:noProof/>
                <w:szCs w:val="24"/>
              </w:rPr>
              <w:t xml:space="preserve"> </w:t>
            </w:r>
            <w:r w:rsidRPr="005C3B55">
              <w:rPr>
                <w:szCs w:val="24"/>
              </w:rPr>
              <w:t>The level of qualifications impacts the speed of introducing technological novelties and innovation in production, as well as the ability to adapt to increasing demands in the field of environment and climate protection.</w:t>
            </w:r>
            <w:r w:rsidRPr="005C3B55">
              <w:rPr>
                <w:noProof/>
                <w:szCs w:val="24"/>
              </w:rPr>
              <w:t xml:space="preserve"> </w:t>
            </w:r>
            <w:r w:rsidRPr="005C3B55">
              <w:rPr>
                <w:szCs w:val="24"/>
              </w:rPr>
              <w:t>Measures for raising qualifications in the field of environment protection should focus on those areas and agricultural holdings that are located in environmentally vulnerable areas such as water protection areas and protected Natura 2000 areas.</w:t>
            </w:r>
          </w:p>
          <w:p w:rsidR="00BD3B5F" w:rsidRPr="005C3B55" w:rsidRDefault="00BD3B5F">
            <w:pPr>
              <w:spacing w:before="240" w:after="240"/>
              <w:jc w:val="left"/>
              <w:rPr>
                <w:noProof/>
                <w:szCs w:val="24"/>
              </w:rPr>
            </w:pPr>
            <w:r w:rsidRPr="005C3B55">
              <w:rPr>
                <w:szCs w:val="24"/>
              </w:rPr>
              <w:t>There are many ways to improve qualification; however, it is very important that new knowledge is directly put into practice.</w:t>
            </w:r>
          </w:p>
          <w:p w:rsidR="00BD3B5F" w:rsidRPr="005C3B55" w:rsidRDefault="00BD3B5F">
            <w:pPr>
              <w:pStyle w:val="Telobesedila"/>
              <w:rPr>
                <w:szCs w:val="24"/>
              </w:rPr>
            </w:pPr>
          </w:p>
        </w:tc>
      </w:tr>
    </w:tbl>
    <w:p w:rsidR="00BD3B5F" w:rsidRPr="005C3B55" w:rsidRDefault="00BD3B5F">
      <w:pPr>
        <w:pStyle w:val="Naslov3"/>
        <w:tabs>
          <w:tab w:val="clear" w:pos="765"/>
        </w:tabs>
        <w:ind w:left="0" w:firstLine="0"/>
        <w:jc w:val="left"/>
        <w:rPr>
          <w:szCs w:val="24"/>
          <w:lang w:val="en-GB"/>
        </w:rPr>
      </w:pPr>
      <w:bookmarkStart w:id="56" w:name="_Toc416192514"/>
      <w:r w:rsidRPr="005C3B55">
        <w:rPr>
          <w:szCs w:val="24"/>
          <w:lang w:val="en-GB"/>
        </w:rPr>
        <w:t>N05 - Upgrading the qualifications of consultants</w:t>
      </w:r>
      <w:bookmarkEnd w:id="56"/>
    </w:p>
    <w:p w:rsidR="00BD3B5F" w:rsidRPr="005C3B55" w:rsidRDefault="00BD3B5F">
      <w:pPr>
        <w:rPr>
          <w:szCs w:val="24"/>
        </w:rPr>
      </w:pPr>
      <w:r w:rsidRPr="005C3B55">
        <w:rPr>
          <w:szCs w:val="24"/>
        </w:rPr>
        <w:t>Priorities/focus areas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10656"/>
      </w:tblGrid>
      <w:tr w:rsidR="00BD3B5F" w:rsidRPr="005C3B55">
        <w:tc>
          <w:tcPr>
            <w:tcW w:w="10656" w:type="dxa"/>
            <w:tcMar>
              <w:top w:w="20" w:type="dxa"/>
              <w:bottom w:w="20" w:type="dxa"/>
            </w:tcMar>
            <w:vAlign w:val="bottom"/>
          </w:tcPr>
          <w:p w:rsidR="00BD3B5F" w:rsidRPr="005C3B55" w:rsidRDefault="00BD3B5F" w:rsidP="00BD3B5F">
            <w:pPr>
              <w:numPr>
                <w:ilvl w:val="0"/>
                <w:numId w:val="34"/>
              </w:numPr>
              <w:rPr>
                <w:szCs w:val="24"/>
              </w:rPr>
            </w:pPr>
            <w:r w:rsidRPr="005C3B55">
              <w:rPr>
                <w:szCs w:val="24"/>
              </w:rPr>
              <w:t>1A) Promoting innovation, cooperation and the development of knowledge bases in rural areas</w:t>
            </w:r>
          </w:p>
          <w:p w:rsidR="00BD3B5F" w:rsidRPr="005C3B55" w:rsidRDefault="00BD3B5F" w:rsidP="00BD3B5F">
            <w:pPr>
              <w:numPr>
                <w:ilvl w:val="0"/>
                <w:numId w:val="34"/>
              </w:numPr>
              <w:rPr>
                <w:szCs w:val="24"/>
              </w:rPr>
            </w:pPr>
            <w:r w:rsidRPr="005C3B55">
              <w:rPr>
                <w:szCs w:val="24"/>
              </w:rPr>
              <w:t>2A) Improving the economic performance of all agricultural holdings and facilitating the restructuring and modernisation of agricultural holdings, in order to particularly increase their market participation, market-orientation and agricultural diversification</w:t>
            </w:r>
          </w:p>
          <w:p w:rsidR="00BD3B5F" w:rsidRPr="005C3B55" w:rsidRDefault="00BD3B5F" w:rsidP="00BD3B5F">
            <w:pPr>
              <w:numPr>
                <w:ilvl w:val="0"/>
                <w:numId w:val="34"/>
              </w:numPr>
              <w:rPr>
                <w:szCs w:val="24"/>
              </w:rPr>
            </w:pPr>
            <w:r w:rsidRPr="005C3B55">
              <w:rPr>
                <w:szCs w:val="24"/>
              </w:rPr>
              <w:t>3A) Improving the competitiveness of primary producers with their enhanced inclusion in the agro-food chain through quality schemes, adding value to agricultural products and promotion in local markets, short supply chains, producer groups and organisations and inter-branch organisations</w:t>
            </w:r>
          </w:p>
          <w:p w:rsidR="00BD3B5F" w:rsidRPr="005C3B55" w:rsidRDefault="00BD3B5F" w:rsidP="00BD3B5F">
            <w:pPr>
              <w:numPr>
                <w:ilvl w:val="0"/>
                <w:numId w:val="34"/>
              </w:numPr>
              <w:rPr>
                <w:szCs w:val="24"/>
              </w:rPr>
            </w:pPr>
            <w:r w:rsidRPr="005C3B55">
              <w:rPr>
                <w:szCs w:val="24"/>
              </w:rPr>
              <w:t>4A) Restoring, preserving and enhancing biodiversity, including in Natura 2000 sites, and in areas facing natural or other specific constraints, and high nature value farming, as well as the state of European landscapes</w:t>
            </w:r>
          </w:p>
          <w:p w:rsidR="00BD3B5F" w:rsidRPr="005C3B55" w:rsidRDefault="00BD3B5F" w:rsidP="00BD3B5F">
            <w:pPr>
              <w:numPr>
                <w:ilvl w:val="0"/>
                <w:numId w:val="34"/>
              </w:numPr>
              <w:rPr>
                <w:szCs w:val="24"/>
              </w:rPr>
            </w:pPr>
            <w:r w:rsidRPr="005C3B55">
              <w:rPr>
                <w:szCs w:val="24"/>
              </w:rPr>
              <w:t>4B) Improving water management, including the management of fertilisers and pesticides</w:t>
            </w:r>
          </w:p>
          <w:p w:rsidR="00BD3B5F" w:rsidRPr="005C3B55" w:rsidRDefault="00BD3B5F" w:rsidP="00BD3B5F">
            <w:pPr>
              <w:numPr>
                <w:ilvl w:val="0"/>
                <w:numId w:val="34"/>
              </w:numPr>
              <w:rPr>
                <w:szCs w:val="24"/>
              </w:rPr>
            </w:pPr>
            <w:r w:rsidRPr="005C3B55">
              <w:rPr>
                <w:szCs w:val="24"/>
              </w:rPr>
              <w:t>4C) Preventing soil erosion and improving soil management</w:t>
            </w:r>
          </w:p>
        </w:tc>
      </w:tr>
    </w:tbl>
    <w:p w:rsidR="00BD3B5F" w:rsidRPr="005C3B55" w:rsidRDefault="00BD3B5F">
      <w:pPr>
        <w:rPr>
          <w:szCs w:val="24"/>
        </w:rPr>
      </w:pPr>
      <w:r w:rsidRPr="005C3B55">
        <w:rPr>
          <w:szCs w:val="24"/>
        </w:rPr>
        <w:t>Horizontal objectives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10656"/>
      </w:tblGrid>
      <w:tr w:rsidR="00BD3B5F" w:rsidRPr="005C3B55">
        <w:tc>
          <w:tcPr>
            <w:tcW w:w="10656" w:type="dxa"/>
            <w:tcMar>
              <w:top w:w="20" w:type="dxa"/>
              <w:bottom w:w="20" w:type="dxa"/>
            </w:tcMar>
            <w:vAlign w:val="bottom"/>
          </w:tcPr>
          <w:p w:rsidR="00BD3B5F" w:rsidRPr="005C3B55" w:rsidRDefault="00BD3B5F" w:rsidP="00BD3B5F">
            <w:pPr>
              <w:numPr>
                <w:ilvl w:val="0"/>
                <w:numId w:val="35"/>
              </w:numPr>
              <w:rPr>
                <w:szCs w:val="24"/>
              </w:rPr>
            </w:pPr>
            <w:r w:rsidRPr="005C3B55">
              <w:rPr>
                <w:szCs w:val="24"/>
              </w:rPr>
              <w:t>Environment</w:t>
            </w:r>
          </w:p>
          <w:p w:rsidR="00BD3B5F" w:rsidRPr="005C3B55" w:rsidRDefault="00BD3B5F" w:rsidP="00BD3B5F">
            <w:pPr>
              <w:numPr>
                <w:ilvl w:val="0"/>
                <w:numId w:val="35"/>
              </w:numPr>
              <w:rPr>
                <w:szCs w:val="24"/>
              </w:rPr>
            </w:pPr>
            <w:r w:rsidRPr="005C3B55">
              <w:rPr>
                <w:szCs w:val="24"/>
              </w:rPr>
              <w:t>Mitigating, and adapting to, climate change</w:t>
            </w:r>
          </w:p>
          <w:p w:rsidR="00BD3B5F" w:rsidRPr="005C3B55" w:rsidRDefault="00BD3B5F" w:rsidP="00BD3B5F">
            <w:pPr>
              <w:numPr>
                <w:ilvl w:val="0"/>
                <w:numId w:val="35"/>
              </w:numPr>
              <w:rPr>
                <w:szCs w:val="24"/>
              </w:rPr>
            </w:pPr>
            <w:r w:rsidRPr="005C3B55">
              <w:rPr>
                <w:szCs w:val="24"/>
              </w:rPr>
              <w:t>Innovation</w:t>
            </w:r>
          </w:p>
        </w:tc>
      </w:tr>
    </w:tbl>
    <w:p w:rsidR="00BD3B5F" w:rsidRPr="005C3B55" w:rsidRDefault="00BD3B5F">
      <w:pPr>
        <w:rPr>
          <w:szCs w:val="24"/>
        </w:rPr>
      </w:pPr>
      <w:r w:rsidRPr="005C3B55">
        <w:rPr>
          <w:szCs w:val="24"/>
        </w:rPr>
        <w:t>Description</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10656" w:type="dxa"/>
            <w:tcMar>
              <w:top w:w="20" w:type="dxa"/>
              <w:bottom w:w="20" w:type="dxa"/>
            </w:tcMar>
            <w:vAlign w:val="bottom"/>
          </w:tcPr>
          <w:p w:rsidR="00BD3B5F" w:rsidRPr="005C3B55" w:rsidRDefault="00BD3B5F">
            <w:pPr>
              <w:spacing w:before="0" w:after="0"/>
              <w:jc w:val="left"/>
              <w:rPr>
                <w:noProof/>
                <w:szCs w:val="24"/>
              </w:rPr>
            </w:pPr>
            <w:r w:rsidRPr="005C3B55">
              <w:rPr>
                <w:szCs w:val="24"/>
              </w:rPr>
              <w:t>Advisory services have traditionally been an important link in the transfer of knowledge and information to farmers.</w:t>
            </w:r>
            <w:r w:rsidRPr="005C3B55">
              <w:rPr>
                <w:noProof/>
                <w:szCs w:val="24"/>
              </w:rPr>
              <w:t xml:space="preserve"> </w:t>
            </w:r>
            <w:r w:rsidRPr="005C3B55">
              <w:rPr>
                <w:szCs w:val="24"/>
              </w:rPr>
              <w:t>Several public services have been engaged in the field of agriculture and forestry, which are financed from the state budget.</w:t>
            </w:r>
            <w:r w:rsidRPr="005C3B55">
              <w:rPr>
                <w:noProof/>
                <w:szCs w:val="24"/>
              </w:rPr>
              <w:t xml:space="preserve"> </w:t>
            </w:r>
            <w:r w:rsidRPr="005C3B55">
              <w:rPr>
                <w:szCs w:val="24"/>
              </w:rPr>
              <w:t>These services provide advice in technological, economic and environmental fields of work.</w:t>
            </w:r>
            <w:r w:rsidRPr="005C3B55">
              <w:rPr>
                <w:noProof/>
                <w:szCs w:val="24"/>
              </w:rPr>
              <w:t xml:space="preserve"> </w:t>
            </w:r>
            <w:r w:rsidRPr="005C3B55">
              <w:rPr>
                <w:szCs w:val="24"/>
              </w:rPr>
              <w:t>In all three fields, especially the protection of natural resources (biodiversity, organic farming) and climate, however, the lack of knowledge and qualification of consultants are evident.</w:t>
            </w:r>
          </w:p>
          <w:p w:rsidR="00BD3B5F" w:rsidRPr="005C3B55" w:rsidRDefault="00BD3B5F">
            <w:pPr>
              <w:spacing w:before="240" w:after="240"/>
              <w:jc w:val="left"/>
              <w:rPr>
                <w:noProof/>
                <w:szCs w:val="24"/>
              </w:rPr>
            </w:pPr>
            <w:r w:rsidRPr="005C3B55">
              <w:rPr>
                <w:szCs w:val="24"/>
              </w:rPr>
              <w:t>In order to follow rapid technological development and increasing demands with regard to protecting natural resources and the climate, consultants should be highly qualified and in regular contact with the latest know-how.</w:t>
            </w:r>
            <w:r w:rsidRPr="005C3B55">
              <w:rPr>
                <w:noProof/>
                <w:szCs w:val="24"/>
              </w:rPr>
              <w:t xml:space="preserve"> </w:t>
            </w:r>
            <w:r w:rsidRPr="005C3B55">
              <w:rPr>
                <w:szCs w:val="24"/>
              </w:rPr>
              <w:t>In this way, a higher quality of advisory services could be achieved, which would directly contribute to promoting sustainable development in this sector.</w:t>
            </w:r>
          </w:p>
          <w:p w:rsidR="00BD3B5F" w:rsidRPr="005C3B55" w:rsidRDefault="00BD3B5F">
            <w:pPr>
              <w:pStyle w:val="Telobesedila"/>
              <w:rPr>
                <w:szCs w:val="24"/>
              </w:rPr>
            </w:pPr>
          </w:p>
        </w:tc>
      </w:tr>
    </w:tbl>
    <w:p w:rsidR="00BD3B5F" w:rsidRPr="005C3B55" w:rsidRDefault="00BD3B5F">
      <w:pPr>
        <w:pStyle w:val="Naslov3"/>
        <w:tabs>
          <w:tab w:val="clear" w:pos="765"/>
        </w:tabs>
        <w:ind w:left="0" w:firstLine="0"/>
        <w:jc w:val="left"/>
        <w:rPr>
          <w:szCs w:val="24"/>
          <w:lang w:val="en-GB"/>
        </w:rPr>
      </w:pPr>
      <w:bookmarkStart w:id="57" w:name="_Toc416192515"/>
      <w:r w:rsidRPr="005C3B55">
        <w:rPr>
          <w:szCs w:val="24"/>
          <w:lang w:val="en-GB"/>
        </w:rPr>
        <w:t>N06 - Guaranteeing specialised advisory services in the agricultural sector</w:t>
      </w:r>
      <w:bookmarkEnd w:id="57"/>
    </w:p>
    <w:p w:rsidR="00BD3B5F" w:rsidRPr="005C3B55" w:rsidRDefault="00BD3B5F">
      <w:pPr>
        <w:rPr>
          <w:szCs w:val="24"/>
        </w:rPr>
      </w:pPr>
      <w:r w:rsidRPr="005C3B55">
        <w:rPr>
          <w:szCs w:val="24"/>
        </w:rPr>
        <w:t>Priorities/focus areas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10656"/>
      </w:tblGrid>
      <w:tr w:rsidR="00BD3B5F" w:rsidRPr="005C3B55">
        <w:tc>
          <w:tcPr>
            <w:tcW w:w="10656" w:type="dxa"/>
            <w:tcMar>
              <w:top w:w="20" w:type="dxa"/>
              <w:bottom w:w="20" w:type="dxa"/>
            </w:tcMar>
            <w:vAlign w:val="bottom"/>
          </w:tcPr>
          <w:p w:rsidR="00BD3B5F" w:rsidRPr="005C3B55" w:rsidRDefault="00BD3B5F" w:rsidP="00BD3B5F">
            <w:pPr>
              <w:numPr>
                <w:ilvl w:val="0"/>
                <w:numId w:val="36"/>
              </w:numPr>
              <w:rPr>
                <w:szCs w:val="24"/>
              </w:rPr>
            </w:pPr>
            <w:r w:rsidRPr="005C3B55">
              <w:rPr>
                <w:szCs w:val="24"/>
              </w:rPr>
              <w:t>1A) Promoting innovation, cooperation and the development of knowledge bases in rural areas</w:t>
            </w:r>
          </w:p>
          <w:p w:rsidR="00BD3B5F" w:rsidRPr="005C3B55" w:rsidRDefault="00BD3B5F" w:rsidP="00BD3B5F">
            <w:pPr>
              <w:numPr>
                <w:ilvl w:val="0"/>
                <w:numId w:val="36"/>
              </w:numPr>
              <w:rPr>
                <w:szCs w:val="24"/>
              </w:rPr>
            </w:pPr>
            <w:r w:rsidRPr="005C3B55">
              <w:rPr>
                <w:szCs w:val="24"/>
              </w:rPr>
              <w:t>3A) Improving the competitiveness of primary producers with their enhanced inclusion in the agro-food chain through quality schemes, adding value to agricultural products and promotion in local markets, short supply chains, producer groups and organisations and inter-branch organisations</w:t>
            </w:r>
          </w:p>
          <w:p w:rsidR="00BD3B5F" w:rsidRPr="005C3B55" w:rsidRDefault="00BD3B5F" w:rsidP="00BD3B5F">
            <w:pPr>
              <w:numPr>
                <w:ilvl w:val="0"/>
                <w:numId w:val="36"/>
              </w:numPr>
              <w:rPr>
                <w:szCs w:val="24"/>
              </w:rPr>
            </w:pPr>
            <w:r w:rsidRPr="005C3B55">
              <w:rPr>
                <w:szCs w:val="24"/>
              </w:rPr>
              <w:t>4A) Restoring, preserving and enhancing biodiversity, including in Natura 2000 sites, and in areas facing natural or other specific constraints, and high nature value farming, as well as the state of European landscapes</w:t>
            </w:r>
          </w:p>
          <w:p w:rsidR="00BD3B5F" w:rsidRPr="005C3B55" w:rsidRDefault="00BD3B5F" w:rsidP="00BD3B5F">
            <w:pPr>
              <w:numPr>
                <w:ilvl w:val="0"/>
                <w:numId w:val="36"/>
              </w:numPr>
              <w:rPr>
                <w:szCs w:val="24"/>
              </w:rPr>
            </w:pPr>
            <w:r w:rsidRPr="005C3B55">
              <w:rPr>
                <w:szCs w:val="24"/>
              </w:rPr>
              <w:t>4B) Improving water management, including the management of fertilisers and pesticides</w:t>
            </w:r>
          </w:p>
          <w:p w:rsidR="00BD3B5F" w:rsidRPr="005C3B55" w:rsidRDefault="00BD3B5F" w:rsidP="00BD3B5F">
            <w:pPr>
              <w:numPr>
                <w:ilvl w:val="0"/>
                <w:numId w:val="36"/>
              </w:numPr>
              <w:rPr>
                <w:szCs w:val="24"/>
              </w:rPr>
            </w:pPr>
            <w:r w:rsidRPr="005C3B55">
              <w:rPr>
                <w:szCs w:val="24"/>
              </w:rPr>
              <w:t>4C) Preventing soil erosion and improving soil management</w:t>
            </w:r>
          </w:p>
        </w:tc>
      </w:tr>
    </w:tbl>
    <w:p w:rsidR="00BD3B5F" w:rsidRPr="005C3B55" w:rsidRDefault="00BD3B5F">
      <w:pPr>
        <w:rPr>
          <w:szCs w:val="24"/>
        </w:rPr>
      </w:pPr>
      <w:r w:rsidRPr="005C3B55">
        <w:rPr>
          <w:szCs w:val="24"/>
        </w:rPr>
        <w:t>Horizontal objectives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10656"/>
      </w:tblGrid>
      <w:tr w:rsidR="00BD3B5F" w:rsidRPr="005C3B55">
        <w:tc>
          <w:tcPr>
            <w:tcW w:w="10656" w:type="dxa"/>
            <w:tcMar>
              <w:top w:w="20" w:type="dxa"/>
              <w:bottom w:w="20" w:type="dxa"/>
            </w:tcMar>
            <w:vAlign w:val="bottom"/>
          </w:tcPr>
          <w:p w:rsidR="00BD3B5F" w:rsidRPr="005C3B55" w:rsidRDefault="00BD3B5F" w:rsidP="00BD3B5F">
            <w:pPr>
              <w:numPr>
                <w:ilvl w:val="0"/>
                <w:numId w:val="37"/>
              </w:numPr>
              <w:rPr>
                <w:szCs w:val="24"/>
              </w:rPr>
            </w:pPr>
            <w:r w:rsidRPr="005C3B55">
              <w:rPr>
                <w:szCs w:val="24"/>
              </w:rPr>
              <w:t>Environment</w:t>
            </w:r>
          </w:p>
          <w:p w:rsidR="00BD3B5F" w:rsidRPr="005C3B55" w:rsidRDefault="00BD3B5F" w:rsidP="00BD3B5F">
            <w:pPr>
              <w:numPr>
                <w:ilvl w:val="0"/>
                <w:numId w:val="37"/>
              </w:numPr>
              <w:rPr>
                <w:szCs w:val="24"/>
              </w:rPr>
            </w:pPr>
            <w:r w:rsidRPr="005C3B55">
              <w:rPr>
                <w:szCs w:val="24"/>
              </w:rPr>
              <w:t>Mitigating, and adapting to, climate change</w:t>
            </w:r>
          </w:p>
        </w:tc>
      </w:tr>
    </w:tbl>
    <w:p w:rsidR="00BD3B5F" w:rsidRPr="005C3B55" w:rsidRDefault="00BD3B5F">
      <w:pPr>
        <w:rPr>
          <w:szCs w:val="24"/>
        </w:rPr>
      </w:pPr>
      <w:r w:rsidRPr="005C3B55">
        <w:rPr>
          <w:szCs w:val="24"/>
        </w:rPr>
        <w:t>Description</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10656" w:type="dxa"/>
            <w:tcMar>
              <w:top w:w="20" w:type="dxa"/>
              <w:bottom w:w="20" w:type="dxa"/>
            </w:tcMar>
            <w:vAlign w:val="bottom"/>
          </w:tcPr>
          <w:p w:rsidR="00BD3B5F" w:rsidRPr="005C3B55" w:rsidRDefault="00BD3B5F">
            <w:pPr>
              <w:spacing w:before="0" w:after="240"/>
              <w:jc w:val="left"/>
              <w:rPr>
                <w:noProof/>
                <w:szCs w:val="24"/>
              </w:rPr>
            </w:pPr>
            <w:r w:rsidRPr="005C3B55">
              <w:rPr>
                <w:szCs w:val="24"/>
              </w:rPr>
              <w:t>Appropriate access to specialised advisory services adapted to the individual needs of farmers is a key factor for the quicker and more efficient transfer of knowledge to farmers.</w:t>
            </w:r>
            <w:r w:rsidRPr="005C3B55">
              <w:rPr>
                <w:noProof/>
                <w:szCs w:val="24"/>
              </w:rPr>
              <w:t xml:space="preserve"> </w:t>
            </w:r>
            <w:r w:rsidRPr="005C3B55">
              <w:rPr>
                <w:szCs w:val="24"/>
              </w:rPr>
              <w:t>Agricultural holdings are becoming more specialised, so they need appropriate expert support in the form of specialised advisory services.</w:t>
            </w:r>
          </w:p>
          <w:p w:rsidR="00BD3B5F" w:rsidRPr="005C3B55" w:rsidRDefault="00BD3B5F">
            <w:pPr>
              <w:spacing w:before="240" w:after="240"/>
              <w:jc w:val="left"/>
              <w:rPr>
                <w:noProof/>
                <w:szCs w:val="24"/>
              </w:rPr>
            </w:pPr>
            <w:r w:rsidRPr="005C3B55">
              <w:rPr>
                <w:szCs w:val="24"/>
              </w:rPr>
              <w:t>Since Slovenia is committed to a sustainable development model in agriculture, we have set a goal to attain more economically effective agricultural holdings and also to efficiently and sustainably use natural sources and increase resistance to climate change and adaptation to such change, so the offer of advisory services should be developed especially in the field of stimulating agricultural practices that positively impact the protection of natural sources and the climate, organic farming and higher standard animal breeding.</w:t>
            </w:r>
          </w:p>
          <w:p w:rsidR="00BD3B5F" w:rsidRPr="005C3B55" w:rsidRDefault="00BD3B5F">
            <w:pPr>
              <w:spacing w:before="240" w:after="240"/>
              <w:jc w:val="left"/>
              <w:rPr>
                <w:noProof/>
                <w:szCs w:val="24"/>
              </w:rPr>
            </w:pPr>
            <w:r w:rsidRPr="005C3B55">
              <w:rPr>
                <w:szCs w:val="24"/>
              </w:rPr>
              <w:t>This is especially important for agricultural holdings located in areas in which legal restrictions apply (for example, water protection areas and Natura 2000 sites).</w:t>
            </w:r>
          </w:p>
          <w:p w:rsidR="00BD3B5F" w:rsidRPr="005C3B55" w:rsidRDefault="00BD3B5F">
            <w:pPr>
              <w:pStyle w:val="Telobesedila"/>
              <w:rPr>
                <w:szCs w:val="24"/>
              </w:rPr>
            </w:pPr>
          </w:p>
        </w:tc>
      </w:tr>
    </w:tbl>
    <w:p w:rsidR="00BD3B5F" w:rsidRPr="005C3B55" w:rsidRDefault="00BD3B5F">
      <w:pPr>
        <w:pStyle w:val="Naslov3"/>
        <w:tabs>
          <w:tab w:val="clear" w:pos="765"/>
        </w:tabs>
        <w:ind w:left="0" w:firstLine="0"/>
        <w:jc w:val="left"/>
        <w:rPr>
          <w:szCs w:val="24"/>
          <w:lang w:val="en-GB"/>
        </w:rPr>
      </w:pPr>
      <w:bookmarkStart w:id="58" w:name="_Toc416192516"/>
      <w:r w:rsidRPr="005C3B55">
        <w:rPr>
          <w:szCs w:val="24"/>
          <w:lang w:val="en-GB"/>
        </w:rPr>
        <w:t>N07 - More efficient transfer of knowledge and innovation in agriculture, the food industry and forestry</w:t>
      </w:r>
      <w:bookmarkEnd w:id="58"/>
    </w:p>
    <w:p w:rsidR="00BD3B5F" w:rsidRPr="005C3B55" w:rsidRDefault="00BD3B5F">
      <w:pPr>
        <w:rPr>
          <w:szCs w:val="24"/>
        </w:rPr>
      </w:pPr>
      <w:r w:rsidRPr="005C3B55">
        <w:rPr>
          <w:szCs w:val="24"/>
        </w:rPr>
        <w:t>Priorities/focus areas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10656"/>
      </w:tblGrid>
      <w:tr w:rsidR="00BD3B5F" w:rsidRPr="005C3B55">
        <w:tc>
          <w:tcPr>
            <w:tcW w:w="10656" w:type="dxa"/>
            <w:tcMar>
              <w:top w:w="20" w:type="dxa"/>
              <w:bottom w:w="20" w:type="dxa"/>
            </w:tcMar>
            <w:vAlign w:val="bottom"/>
          </w:tcPr>
          <w:p w:rsidR="00BD3B5F" w:rsidRPr="005C3B55" w:rsidRDefault="00BD3B5F" w:rsidP="00BD3B5F">
            <w:pPr>
              <w:numPr>
                <w:ilvl w:val="0"/>
                <w:numId w:val="38"/>
              </w:numPr>
              <w:rPr>
                <w:szCs w:val="24"/>
              </w:rPr>
            </w:pPr>
            <w:r w:rsidRPr="005C3B55">
              <w:rPr>
                <w:szCs w:val="24"/>
              </w:rPr>
              <w:t>1A) Promoting innovation, cooperation and the development of knowledge bases in rural areas</w:t>
            </w:r>
          </w:p>
          <w:p w:rsidR="00BD3B5F" w:rsidRPr="005C3B55" w:rsidRDefault="00BD3B5F" w:rsidP="00BD3B5F">
            <w:pPr>
              <w:numPr>
                <w:ilvl w:val="0"/>
                <w:numId w:val="38"/>
              </w:numPr>
              <w:rPr>
                <w:szCs w:val="24"/>
              </w:rPr>
            </w:pPr>
            <w:r w:rsidRPr="005C3B55">
              <w:rPr>
                <w:szCs w:val="24"/>
              </w:rPr>
              <w:t>1B) Strengthening the links between agriculture, food production and forestry and research and innovation, including for a better environmental management and environmental efficiency</w:t>
            </w:r>
          </w:p>
          <w:p w:rsidR="00BD3B5F" w:rsidRPr="005C3B55" w:rsidRDefault="00BD3B5F" w:rsidP="00BD3B5F">
            <w:pPr>
              <w:numPr>
                <w:ilvl w:val="0"/>
                <w:numId w:val="38"/>
              </w:numPr>
              <w:rPr>
                <w:szCs w:val="24"/>
              </w:rPr>
            </w:pPr>
            <w:r w:rsidRPr="005C3B55">
              <w:rPr>
                <w:szCs w:val="24"/>
              </w:rPr>
              <w:t>2A) Improving the economic performance of all agricultural holdings and facilitating the restructuring and modernisation of agricultural holdings, in order to particularly increase their market participation, market-orientation and agricultural diversification</w:t>
            </w:r>
          </w:p>
          <w:p w:rsidR="00BD3B5F" w:rsidRPr="005C3B55" w:rsidRDefault="00BD3B5F" w:rsidP="00BD3B5F">
            <w:pPr>
              <w:numPr>
                <w:ilvl w:val="0"/>
                <w:numId w:val="38"/>
              </w:numPr>
              <w:rPr>
                <w:szCs w:val="24"/>
              </w:rPr>
            </w:pPr>
            <w:r w:rsidRPr="005C3B55">
              <w:rPr>
                <w:szCs w:val="24"/>
              </w:rPr>
              <w:t>3A) Improving the competitiveness of primary producers with their enhanced inclusion in the agro-food chain through quality schemes, adding value to agricultural products and promotion in local markets, short supply chains, producer groups and organisations and inter-branch organisations</w:t>
            </w:r>
          </w:p>
          <w:p w:rsidR="00BD3B5F" w:rsidRPr="005C3B55" w:rsidRDefault="00BD3B5F" w:rsidP="00BD3B5F">
            <w:pPr>
              <w:numPr>
                <w:ilvl w:val="0"/>
                <w:numId w:val="38"/>
              </w:numPr>
              <w:rPr>
                <w:szCs w:val="24"/>
              </w:rPr>
            </w:pPr>
            <w:r w:rsidRPr="005C3B55">
              <w:rPr>
                <w:szCs w:val="24"/>
              </w:rPr>
              <w:t>4A) Restoring, preserving and enhancing biodiversity, including in Natura 2000 sites, and in areas facing natural or other specific constraints, and high nature value farming, as well as the state of European landscapes</w:t>
            </w:r>
          </w:p>
          <w:p w:rsidR="00BD3B5F" w:rsidRPr="005C3B55" w:rsidRDefault="00BD3B5F" w:rsidP="00BD3B5F">
            <w:pPr>
              <w:numPr>
                <w:ilvl w:val="0"/>
                <w:numId w:val="38"/>
              </w:numPr>
              <w:rPr>
                <w:szCs w:val="24"/>
              </w:rPr>
            </w:pPr>
            <w:r w:rsidRPr="005C3B55">
              <w:rPr>
                <w:szCs w:val="24"/>
              </w:rPr>
              <w:t>4B) Improving water management, including the management of fertilisers and pesticides</w:t>
            </w:r>
          </w:p>
          <w:p w:rsidR="00BD3B5F" w:rsidRPr="005C3B55" w:rsidRDefault="00BD3B5F" w:rsidP="00BD3B5F">
            <w:pPr>
              <w:numPr>
                <w:ilvl w:val="0"/>
                <w:numId w:val="38"/>
              </w:numPr>
              <w:rPr>
                <w:szCs w:val="24"/>
              </w:rPr>
            </w:pPr>
            <w:r w:rsidRPr="005C3B55">
              <w:rPr>
                <w:szCs w:val="24"/>
              </w:rPr>
              <w:t>4C) Preventing soil erosion and improving soil management</w:t>
            </w:r>
          </w:p>
          <w:p w:rsidR="00BD3B5F" w:rsidRPr="005C3B55" w:rsidRDefault="00BD3B5F" w:rsidP="00BD3B5F">
            <w:pPr>
              <w:numPr>
                <w:ilvl w:val="0"/>
                <w:numId w:val="38"/>
              </w:numPr>
              <w:rPr>
                <w:szCs w:val="24"/>
              </w:rPr>
            </w:pPr>
            <w:r w:rsidRPr="005C3B55">
              <w:rPr>
                <w:szCs w:val="24"/>
              </w:rPr>
              <w:t>5A) Increasing efficient water use in agriculture</w:t>
            </w:r>
          </w:p>
          <w:p w:rsidR="00BD3B5F" w:rsidRPr="005C3B55" w:rsidRDefault="00BD3B5F" w:rsidP="00BD3B5F">
            <w:pPr>
              <w:numPr>
                <w:ilvl w:val="0"/>
                <w:numId w:val="38"/>
              </w:numPr>
              <w:spacing w:before="0" w:after="0"/>
              <w:rPr>
                <w:szCs w:val="24"/>
              </w:rPr>
            </w:pPr>
            <w:r w:rsidRPr="005C3B55">
              <w:rPr>
                <w:szCs w:val="24"/>
              </w:rPr>
              <w:t>5D) Reducing emissions of greenhouse gases and ammonia in agriculture</w:t>
            </w:r>
          </w:p>
          <w:p w:rsidR="00BD3B5F" w:rsidRPr="005C3B55" w:rsidRDefault="00BD3B5F" w:rsidP="00BD3B5F">
            <w:pPr>
              <w:numPr>
                <w:ilvl w:val="0"/>
                <w:numId w:val="38"/>
              </w:numPr>
              <w:rPr>
                <w:szCs w:val="24"/>
              </w:rPr>
            </w:pPr>
            <w:r w:rsidRPr="005C3B55">
              <w:rPr>
                <w:szCs w:val="24"/>
              </w:rPr>
              <w:t>6A) Facilitating diversification, creation and development of small enterprises and job creation</w:t>
            </w:r>
          </w:p>
        </w:tc>
      </w:tr>
    </w:tbl>
    <w:p w:rsidR="00BD3B5F" w:rsidRPr="005C3B55" w:rsidRDefault="00BD3B5F">
      <w:pPr>
        <w:rPr>
          <w:szCs w:val="24"/>
        </w:rPr>
      </w:pPr>
      <w:r w:rsidRPr="005C3B55">
        <w:rPr>
          <w:szCs w:val="24"/>
        </w:rPr>
        <w:t>Horizontal objectives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10656"/>
      </w:tblGrid>
      <w:tr w:rsidR="00BD3B5F" w:rsidRPr="005C3B55">
        <w:tc>
          <w:tcPr>
            <w:tcW w:w="10656" w:type="dxa"/>
            <w:tcMar>
              <w:top w:w="20" w:type="dxa"/>
              <w:bottom w:w="20" w:type="dxa"/>
            </w:tcMar>
            <w:vAlign w:val="bottom"/>
          </w:tcPr>
          <w:p w:rsidR="00BD3B5F" w:rsidRPr="005C3B55" w:rsidRDefault="00BD3B5F" w:rsidP="00BD3B5F">
            <w:pPr>
              <w:numPr>
                <w:ilvl w:val="0"/>
                <w:numId w:val="39"/>
              </w:numPr>
              <w:rPr>
                <w:szCs w:val="24"/>
              </w:rPr>
            </w:pPr>
            <w:r w:rsidRPr="005C3B55">
              <w:rPr>
                <w:szCs w:val="24"/>
              </w:rPr>
              <w:t>Environment</w:t>
            </w:r>
          </w:p>
          <w:p w:rsidR="00BD3B5F" w:rsidRPr="005C3B55" w:rsidRDefault="00BD3B5F" w:rsidP="00BD3B5F">
            <w:pPr>
              <w:numPr>
                <w:ilvl w:val="0"/>
                <w:numId w:val="39"/>
              </w:numPr>
              <w:rPr>
                <w:szCs w:val="24"/>
              </w:rPr>
            </w:pPr>
            <w:r w:rsidRPr="005C3B55">
              <w:rPr>
                <w:szCs w:val="24"/>
              </w:rPr>
              <w:t>Mitigating, and adapting to, climate change</w:t>
            </w:r>
          </w:p>
          <w:p w:rsidR="00BD3B5F" w:rsidRPr="005C3B55" w:rsidRDefault="00BD3B5F" w:rsidP="00BD3B5F">
            <w:pPr>
              <w:numPr>
                <w:ilvl w:val="0"/>
                <w:numId w:val="39"/>
              </w:numPr>
              <w:rPr>
                <w:szCs w:val="24"/>
              </w:rPr>
            </w:pPr>
            <w:r w:rsidRPr="005C3B55">
              <w:rPr>
                <w:szCs w:val="24"/>
              </w:rPr>
              <w:t>Innovation</w:t>
            </w:r>
          </w:p>
        </w:tc>
      </w:tr>
    </w:tbl>
    <w:p w:rsidR="00BD3B5F" w:rsidRPr="005C3B55" w:rsidRDefault="00BD3B5F">
      <w:pPr>
        <w:rPr>
          <w:szCs w:val="24"/>
        </w:rPr>
      </w:pPr>
      <w:r w:rsidRPr="005C3B55">
        <w:rPr>
          <w:szCs w:val="24"/>
        </w:rPr>
        <w:t>Description</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10656" w:type="dxa"/>
            <w:tcMar>
              <w:top w:w="20" w:type="dxa"/>
              <w:bottom w:w="20" w:type="dxa"/>
            </w:tcMar>
            <w:vAlign w:val="bottom"/>
          </w:tcPr>
          <w:p w:rsidR="00BD3B5F" w:rsidRPr="005C3B55" w:rsidRDefault="00BD3B5F">
            <w:pPr>
              <w:spacing w:before="0" w:after="240"/>
              <w:jc w:val="left"/>
              <w:rPr>
                <w:noProof/>
                <w:szCs w:val="24"/>
              </w:rPr>
            </w:pPr>
            <w:r w:rsidRPr="005C3B55">
              <w:rPr>
                <w:szCs w:val="24"/>
              </w:rPr>
              <w:t>The transfer of knowledge and innovation in agriculture, food industry and forestry is poor.</w:t>
            </w:r>
            <w:r w:rsidRPr="005C3B55">
              <w:rPr>
                <w:noProof/>
                <w:szCs w:val="24"/>
              </w:rPr>
              <w:t xml:space="preserve"> </w:t>
            </w:r>
            <w:r w:rsidRPr="005C3B55">
              <w:rPr>
                <w:szCs w:val="24"/>
              </w:rPr>
              <w:t>The needs for transferring technologies and technological knowledge in practice, stronger connections between farmers, expert services and researchers are shown especially in the field of agriculture and also in food processing industry and forestry.</w:t>
            </w:r>
            <w:r w:rsidRPr="005C3B55">
              <w:rPr>
                <w:noProof/>
                <w:szCs w:val="24"/>
              </w:rPr>
              <w:t xml:space="preserve"> </w:t>
            </w:r>
            <w:r w:rsidRPr="005C3B55">
              <w:rPr>
                <w:szCs w:val="24"/>
              </w:rPr>
              <w:t>Cooperation between key stakeholders in the system is poor and sporadic; feedback on the needs in practice is also insufficient.</w:t>
            </w:r>
            <w:r w:rsidRPr="005C3B55">
              <w:rPr>
                <w:noProof/>
                <w:szCs w:val="24"/>
              </w:rPr>
              <w:t xml:space="preserve"> </w:t>
            </w:r>
            <w:r w:rsidRPr="005C3B55">
              <w:rPr>
                <w:szCs w:val="24"/>
              </w:rPr>
              <w:t>Researchers are turning away from agricultural practice due to the system of assessing research achievements; therefore, research is insufficiently applicative and useful in practice.</w:t>
            </w:r>
            <w:r w:rsidRPr="005C3B55">
              <w:rPr>
                <w:noProof/>
                <w:szCs w:val="24"/>
              </w:rPr>
              <w:t xml:space="preserve"> </w:t>
            </w:r>
            <w:r w:rsidRPr="005C3B55">
              <w:rPr>
                <w:szCs w:val="24"/>
              </w:rPr>
              <w:t>End users are not sufficiently included or informed on research results</w:t>
            </w:r>
            <w:r w:rsidRPr="005C3B55">
              <w:rPr>
                <w:noProof/>
                <w:szCs w:val="24"/>
              </w:rPr>
              <w:t xml:space="preserve"> </w:t>
            </w:r>
            <w:r w:rsidRPr="005C3B55">
              <w:rPr>
                <w:szCs w:val="24"/>
              </w:rPr>
              <w:t>while these results are not sufficiently practical for end users.</w:t>
            </w:r>
          </w:p>
          <w:p w:rsidR="00BD3B5F" w:rsidRPr="005C3B55" w:rsidRDefault="00BD3B5F">
            <w:pPr>
              <w:spacing w:before="240" w:after="240"/>
              <w:jc w:val="left"/>
              <w:rPr>
                <w:noProof/>
                <w:szCs w:val="24"/>
              </w:rPr>
            </w:pPr>
            <w:r w:rsidRPr="005C3B55">
              <w:rPr>
                <w:szCs w:val="24"/>
              </w:rPr>
              <w:t>Weaknesses in the field of knowledge and innovation transfer are evident in Slovenia; therefore, it is important that the connections between research and practice that are lacking be re-established, which will more quickly initiate a two-way flow of information and knowledge.</w:t>
            </w:r>
            <w:r w:rsidRPr="005C3B55">
              <w:rPr>
                <w:noProof/>
                <w:szCs w:val="24"/>
              </w:rPr>
              <w:t xml:space="preserve"> </w:t>
            </w:r>
            <w:r w:rsidRPr="005C3B55">
              <w:rPr>
                <w:szCs w:val="24"/>
              </w:rPr>
              <w:t>In order to ensure the actual transfer of innovation to production, the active participation of end users (e.g. farmers, companies) is important from the beginning of a (research) process/project.</w:t>
            </w:r>
          </w:p>
          <w:p w:rsidR="00BD3B5F" w:rsidRPr="005C3B55" w:rsidRDefault="00BD3B5F">
            <w:pPr>
              <w:spacing w:before="240" w:after="240"/>
              <w:jc w:val="left"/>
              <w:rPr>
                <w:noProof/>
                <w:szCs w:val="24"/>
              </w:rPr>
            </w:pPr>
            <w:r w:rsidRPr="005C3B55">
              <w:rPr>
                <w:szCs w:val="24"/>
              </w:rPr>
              <w:t>Areas where the transfer of knowledge and innovation must be strengthened include the development of technologies, the protection of natural sources and the mitigation of climate change or adaptation to such change.</w:t>
            </w:r>
            <w:r w:rsidRPr="005C3B55">
              <w:rPr>
                <w:noProof/>
                <w:szCs w:val="24"/>
              </w:rPr>
              <w:t xml:space="preserve"> </w:t>
            </w:r>
            <w:r w:rsidRPr="005C3B55">
              <w:rPr>
                <w:szCs w:val="24"/>
              </w:rPr>
              <w:t>In this framework, the aspect of reducing the impacts of agriculture on water status and the preservation of habitats and species must be ensured, mostly via appropriate and reduced use of nutrients, organic substances and PPPs and by reducing the hydromorphological burden.</w:t>
            </w:r>
            <w:r w:rsidRPr="005C3B55">
              <w:rPr>
                <w:noProof/>
                <w:szCs w:val="24"/>
              </w:rPr>
              <w:t xml:space="preserve"> </w:t>
            </w:r>
            <w:r w:rsidRPr="005C3B55">
              <w:rPr>
                <w:szCs w:val="24"/>
              </w:rPr>
              <w:t>Strengthening the transfer of knowledge and innovation in this field should be connected to the development of appropriate technologies in agriculture.</w:t>
            </w:r>
          </w:p>
          <w:p w:rsidR="00BD3B5F" w:rsidRPr="005C3B55" w:rsidRDefault="00BD3B5F">
            <w:pPr>
              <w:spacing w:before="240" w:after="240"/>
              <w:jc w:val="left"/>
              <w:rPr>
                <w:noProof/>
                <w:szCs w:val="24"/>
              </w:rPr>
            </w:pPr>
            <w:r w:rsidRPr="005C3B55">
              <w:rPr>
                <w:szCs w:val="24"/>
              </w:rPr>
              <w:t>In forestry, the importance of safe work in forests and sustainable forest management, especially in the Natura 2000 areas, should be emphasised.</w:t>
            </w:r>
          </w:p>
          <w:p w:rsidR="00BD3B5F" w:rsidRPr="005C3B55" w:rsidRDefault="00BD3B5F">
            <w:pPr>
              <w:pStyle w:val="Telobesedila"/>
              <w:rPr>
                <w:szCs w:val="24"/>
              </w:rPr>
            </w:pPr>
          </w:p>
        </w:tc>
      </w:tr>
    </w:tbl>
    <w:p w:rsidR="00BD3B5F" w:rsidRPr="005C3B55" w:rsidRDefault="00BD3B5F">
      <w:pPr>
        <w:pStyle w:val="Naslov3"/>
        <w:tabs>
          <w:tab w:val="clear" w:pos="765"/>
        </w:tabs>
        <w:ind w:left="0" w:firstLine="0"/>
        <w:jc w:val="left"/>
        <w:rPr>
          <w:szCs w:val="24"/>
          <w:lang w:val="en-GB"/>
        </w:rPr>
      </w:pPr>
      <w:bookmarkStart w:id="59" w:name="_Toc416192517"/>
      <w:r w:rsidRPr="005C3B55">
        <w:rPr>
          <w:szCs w:val="24"/>
          <w:lang w:val="en-GB"/>
        </w:rPr>
        <w:t>N08 - Preserving and/or improving biodiversity in habitats related to agricultural landscape</w:t>
      </w:r>
      <w:bookmarkEnd w:id="59"/>
    </w:p>
    <w:p w:rsidR="00BD3B5F" w:rsidRPr="005C3B55" w:rsidRDefault="00BD3B5F">
      <w:pPr>
        <w:rPr>
          <w:szCs w:val="24"/>
        </w:rPr>
      </w:pPr>
      <w:r w:rsidRPr="005C3B55">
        <w:rPr>
          <w:szCs w:val="24"/>
        </w:rPr>
        <w:t>Priorities/focus areas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10656"/>
      </w:tblGrid>
      <w:tr w:rsidR="00BD3B5F" w:rsidRPr="005C3B55">
        <w:tc>
          <w:tcPr>
            <w:tcW w:w="10656" w:type="dxa"/>
            <w:tcMar>
              <w:top w:w="20" w:type="dxa"/>
              <w:bottom w:w="20" w:type="dxa"/>
            </w:tcMar>
            <w:vAlign w:val="bottom"/>
          </w:tcPr>
          <w:p w:rsidR="00BD3B5F" w:rsidRPr="005C3B55" w:rsidRDefault="00BD3B5F" w:rsidP="00BD3B5F">
            <w:pPr>
              <w:numPr>
                <w:ilvl w:val="0"/>
                <w:numId w:val="40"/>
              </w:numPr>
              <w:rPr>
                <w:szCs w:val="24"/>
              </w:rPr>
            </w:pPr>
            <w:r w:rsidRPr="005C3B55">
              <w:rPr>
                <w:szCs w:val="24"/>
              </w:rPr>
              <w:t>1A) Promoting innovation, cooperation and the development of knowledge bases in rural areas</w:t>
            </w:r>
          </w:p>
          <w:p w:rsidR="00BD3B5F" w:rsidRPr="005C3B55" w:rsidRDefault="00BD3B5F" w:rsidP="00BD3B5F">
            <w:pPr>
              <w:numPr>
                <w:ilvl w:val="0"/>
                <w:numId w:val="40"/>
              </w:numPr>
              <w:rPr>
                <w:szCs w:val="24"/>
              </w:rPr>
            </w:pPr>
            <w:r w:rsidRPr="005C3B55">
              <w:rPr>
                <w:szCs w:val="24"/>
              </w:rPr>
              <w:t>1B) Strengthening the links between agriculture, food production and forestry and research and innovation, including for a better environmental management and environmental efficiency</w:t>
            </w:r>
          </w:p>
          <w:p w:rsidR="00BD3B5F" w:rsidRPr="005C3B55" w:rsidRDefault="00BD3B5F" w:rsidP="00BD3B5F">
            <w:pPr>
              <w:numPr>
                <w:ilvl w:val="0"/>
                <w:numId w:val="40"/>
              </w:numPr>
              <w:rPr>
                <w:szCs w:val="24"/>
              </w:rPr>
            </w:pPr>
            <w:r w:rsidRPr="005C3B55">
              <w:rPr>
                <w:szCs w:val="24"/>
              </w:rPr>
              <w:t>1C) Enhancing life-long learning and professional training in the agricultural and forestry sectors</w:t>
            </w:r>
          </w:p>
          <w:p w:rsidR="00BD3B5F" w:rsidRPr="005C3B55" w:rsidRDefault="00BD3B5F" w:rsidP="00BD3B5F">
            <w:pPr>
              <w:numPr>
                <w:ilvl w:val="0"/>
                <w:numId w:val="40"/>
              </w:numPr>
              <w:rPr>
                <w:szCs w:val="24"/>
              </w:rPr>
            </w:pPr>
            <w:r w:rsidRPr="005C3B55">
              <w:rPr>
                <w:szCs w:val="24"/>
              </w:rPr>
              <w:t>4A) Restoring, preserving and enhancing biodiversity, including in Natura 2000 sites, and in areas facing natural or other specific constraints, and high nature value farming, as well as the state of European landscapes</w:t>
            </w:r>
          </w:p>
          <w:p w:rsidR="00BD3B5F" w:rsidRPr="005C3B55" w:rsidRDefault="00BD3B5F" w:rsidP="00BD3B5F">
            <w:pPr>
              <w:numPr>
                <w:ilvl w:val="0"/>
                <w:numId w:val="40"/>
              </w:numPr>
              <w:rPr>
                <w:szCs w:val="24"/>
              </w:rPr>
            </w:pPr>
            <w:r w:rsidRPr="005C3B55">
              <w:rPr>
                <w:szCs w:val="24"/>
              </w:rPr>
              <w:t>4B) Improving water management, including the management of fertilisers and pesticides</w:t>
            </w:r>
          </w:p>
          <w:p w:rsidR="00BD3B5F" w:rsidRPr="005C3B55" w:rsidRDefault="00BD3B5F" w:rsidP="00BD3B5F">
            <w:pPr>
              <w:numPr>
                <w:ilvl w:val="0"/>
                <w:numId w:val="40"/>
              </w:numPr>
              <w:rPr>
                <w:szCs w:val="24"/>
              </w:rPr>
            </w:pPr>
            <w:r w:rsidRPr="005C3B55">
              <w:rPr>
                <w:szCs w:val="24"/>
              </w:rPr>
              <w:t>4C) Preventing soil erosion and improving soil management</w:t>
            </w:r>
          </w:p>
        </w:tc>
      </w:tr>
    </w:tbl>
    <w:p w:rsidR="00BD3B5F" w:rsidRPr="005C3B55" w:rsidRDefault="00BD3B5F">
      <w:pPr>
        <w:rPr>
          <w:szCs w:val="24"/>
        </w:rPr>
      </w:pPr>
      <w:r w:rsidRPr="005C3B55">
        <w:rPr>
          <w:szCs w:val="24"/>
        </w:rPr>
        <w:t>Horizontal objectives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10656"/>
      </w:tblGrid>
      <w:tr w:rsidR="00BD3B5F" w:rsidRPr="005C3B55">
        <w:tc>
          <w:tcPr>
            <w:tcW w:w="10656" w:type="dxa"/>
            <w:tcMar>
              <w:top w:w="20" w:type="dxa"/>
              <w:bottom w:w="20" w:type="dxa"/>
            </w:tcMar>
            <w:vAlign w:val="bottom"/>
          </w:tcPr>
          <w:p w:rsidR="00BD3B5F" w:rsidRPr="005C3B55" w:rsidRDefault="00BD3B5F" w:rsidP="00BD3B5F">
            <w:pPr>
              <w:numPr>
                <w:ilvl w:val="0"/>
                <w:numId w:val="41"/>
              </w:numPr>
              <w:rPr>
                <w:szCs w:val="24"/>
              </w:rPr>
            </w:pPr>
            <w:r w:rsidRPr="005C3B55">
              <w:rPr>
                <w:szCs w:val="24"/>
              </w:rPr>
              <w:t>Environment</w:t>
            </w:r>
          </w:p>
          <w:p w:rsidR="00BD3B5F" w:rsidRPr="005C3B55" w:rsidRDefault="00BD3B5F" w:rsidP="00BD3B5F">
            <w:pPr>
              <w:numPr>
                <w:ilvl w:val="0"/>
                <w:numId w:val="41"/>
              </w:numPr>
              <w:rPr>
                <w:szCs w:val="24"/>
              </w:rPr>
            </w:pPr>
            <w:r w:rsidRPr="005C3B55">
              <w:rPr>
                <w:szCs w:val="24"/>
              </w:rPr>
              <w:t>Mitigating, and adapting to, climate change</w:t>
            </w:r>
          </w:p>
        </w:tc>
      </w:tr>
    </w:tbl>
    <w:p w:rsidR="00BD3B5F" w:rsidRPr="005C3B55" w:rsidRDefault="00BD3B5F">
      <w:pPr>
        <w:rPr>
          <w:szCs w:val="24"/>
        </w:rPr>
      </w:pPr>
      <w:r w:rsidRPr="005C3B55">
        <w:rPr>
          <w:szCs w:val="24"/>
        </w:rPr>
        <w:t>Description</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10656" w:type="dxa"/>
            <w:tcMar>
              <w:top w:w="20" w:type="dxa"/>
              <w:bottom w:w="20" w:type="dxa"/>
            </w:tcMar>
            <w:vAlign w:val="bottom"/>
          </w:tcPr>
          <w:p w:rsidR="00BD3B5F" w:rsidRPr="005C3B55" w:rsidRDefault="00BD3B5F">
            <w:pPr>
              <w:spacing w:before="0" w:after="240"/>
              <w:jc w:val="left"/>
              <w:rPr>
                <w:noProof/>
                <w:szCs w:val="24"/>
              </w:rPr>
            </w:pPr>
            <w:r w:rsidRPr="005C3B55">
              <w:rPr>
                <w:szCs w:val="24"/>
              </w:rPr>
              <w:t>Slovenia has a high rate of biodiversity preservation.</w:t>
            </w:r>
            <w:r w:rsidRPr="005C3B55">
              <w:rPr>
                <w:noProof/>
                <w:szCs w:val="24"/>
              </w:rPr>
              <w:t xml:space="preserve"> </w:t>
            </w:r>
            <w:r w:rsidRPr="005C3B55">
              <w:rPr>
                <w:szCs w:val="24"/>
              </w:rPr>
              <w:t>Nevertheless, the status of habitat preservation is worsening in some areas, which is evident from the report under the Directive on the Conservation of Natural Habitats and of Wild Fauna and Flora (Council Directive 92/43/EEC) and Council Directive 79/409/EEC on the Conservation of Wild Birds.</w:t>
            </w:r>
          </w:p>
          <w:p w:rsidR="00BD3B5F" w:rsidRPr="005C3B55" w:rsidRDefault="00BD3B5F">
            <w:pPr>
              <w:spacing w:before="240" w:after="240"/>
              <w:jc w:val="left"/>
              <w:rPr>
                <w:noProof/>
                <w:szCs w:val="24"/>
              </w:rPr>
            </w:pPr>
            <w:r w:rsidRPr="005C3B55">
              <w:rPr>
                <w:szCs w:val="24"/>
              </w:rPr>
              <w:t>This also applies for certain habitats that are related to agricultural landscape.</w:t>
            </w:r>
            <w:r w:rsidRPr="005C3B55">
              <w:rPr>
                <w:noProof/>
                <w:szCs w:val="24"/>
              </w:rPr>
              <w:t xml:space="preserve"> </w:t>
            </w:r>
            <w:r w:rsidRPr="005C3B55">
              <w:rPr>
                <w:szCs w:val="24"/>
              </w:rPr>
              <w:t>Extensive grasslands in narrower areas within Natura 2000 sites are especially endangered, mostly by the intensification of agricultural use, or by overgrowing.</w:t>
            </w:r>
            <w:r w:rsidRPr="005C3B55">
              <w:rPr>
                <w:noProof/>
                <w:szCs w:val="24"/>
              </w:rPr>
              <w:t xml:space="preserve"> </w:t>
            </w:r>
            <w:r w:rsidRPr="005C3B55">
              <w:rPr>
                <w:szCs w:val="24"/>
              </w:rPr>
              <w:t>An important indicator is the status of the population of agricultural landscape bird populations and generalists.</w:t>
            </w:r>
            <w:r w:rsidRPr="005C3B55">
              <w:rPr>
                <w:noProof/>
                <w:szCs w:val="24"/>
              </w:rPr>
              <w:t xml:space="preserve"> </w:t>
            </w:r>
            <w:r w:rsidRPr="005C3B55">
              <w:rPr>
                <w:szCs w:val="24"/>
              </w:rPr>
              <w:t>Populations of birds typical of agricultural landscape are mostly reduced due to the intensification of agriculture (reduction in diversification, amelioration, reduction of meadows, increased entry of pesticides, intensity of meadow utilisation, removal of hedges).</w:t>
            </w:r>
            <w:r w:rsidRPr="005C3B55">
              <w:rPr>
                <w:noProof/>
                <w:szCs w:val="24"/>
              </w:rPr>
              <w:t xml:space="preserve"> </w:t>
            </w:r>
            <w:r w:rsidRPr="005C3B55">
              <w:rPr>
                <w:szCs w:val="24"/>
              </w:rPr>
              <w:t>Improving the preservation of habitats which are in poor condition is of key importance if we want to reverse the negative trend in the preservation of species connected to certain habitats.</w:t>
            </w:r>
          </w:p>
          <w:p w:rsidR="00BD3B5F" w:rsidRPr="005C3B55" w:rsidRDefault="00BD3B5F">
            <w:pPr>
              <w:spacing w:before="240" w:after="240"/>
              <w:jc w:val="left"/>
              <w:rPr>
                <w:noProof/>
                <w:szCs w:val="24"/>
              </w:rPr>
            </w:pPr>
            <w:r w:rsidRPr="005C3B55">
              <w:rPr>
                <w:szCs w:val="24"/>
              </w:rPr>
              <w:t>Due to overgrowth, the preservation of extensive agricultural practices must be stimulated.</w:t>
            </w:r>
            <w:r w:rsidRPr="005C3B55">
              <w:rPr>
                <w:noProof/>
                <w:szCs w:val="24"/>
              </w:rPr>
              <w:t xml:space="preserve"> </w:t>
            </w:r>
            <w:r w:rsidRPr="005C3B55">
              <w:rPr>
                <w:szCs w:val="24"/>
              </w:rPr>
              <w:t>In more vulnerable areas where agricultural use has intensified, farmers must be stimulated to apply more appropriate timetables, methods and frequency of mowing, more appropriate methods of hay storage, limit the use and type of fertilisers and PPPs, and limit pasturing.</w:t>
            </w:r>
          </w:p>
          <w:p w:rsidR="00BD3B5F" w:rsidRPr="005C3B55" w:rsidRDefault="00BD3B5F">
            <w:pPr>
              <w:spacing w:before="240" w:after="240"/>
              <w:jc w:val="left"/>
              <w:rPr>
                <w:noProof/>
                <w:szCs w:val="24"/>
              </w:rPr>
            </w:pPr>
            <w:r w:rsidRPr="005C3B55">
              <w:rPr>
                <w:szCs w:val="24"/>
              </w:rPr>
              <w:t>Within the scope of the priority Action Framework for the 2014–2020 programming period for Natura 2000 areas, section G.1.a states possible measures especially in the field of agriculture that can contribute to improving the situation in these areas, including stimulating of investments connected with preserving appropriate forms of agriculture, the development of supplementary activities, cooperation, Natura 2000 payments, agri-environment-climate payments, LEADER measures etc.</w:t>
            </w:r>
          </w:p>
          <w:p w:rsidR="00BD3B5F" w:rsidRPr="005C3B55" w:rsidRDefault="00BD3B5F">
            <w:pPr>
              <w:spacing w:before="240" w:after="240"/>
              <w:jc w:val="left"/>
              <w:rPr>
                <w:noProof/>
                <w:szCs w:val="24"/>
              </w:rPr>
            </w:pPr>
            <w:r w:rsidRPr="005C3B55">
              <w:rPr>
                <w:szCs w:val="24"/>
              </w:rPr>
              <w:t>Raising the qualifications of farmers, increasing accessibility to specialised advisory services and the more efficient transfer of knowledge and innovation into practice are essential for the better preservation of biodiversity in agricultural landscape habitats.</w:t>
            </w:r>
          </w:p>
          <w:p w:rsidR="00BD3B5F" w:rsidRPr="005C3B55" w:rsidRDefault="00BD3B5F">
            <w:pPr>
              <w:pStyle w:val="Telobesedila"/>
              <w:rPr>
                <w:szCs w:val="24"/>
              </w:rPr>
            </w:pPr>
          </w:p>
        </w:tc>
      </w:tr>
    </w:tbl>
    <w:p w:rsidR="00BD3B5F" w:rsidRPr="005C3B55" w:rsidRDefault="00BD3B5F">
      <w:pPr>
        <w:pStyle w:val="Naslov3"/>
        <w:tabs>
          <w:tab w:val="clear" w:pos="765"/>
        </w:tabs>
        <w:ind w:left="0" w:firstLine="0"/>
        <w:jc w:val="left"/>
        <w:rPr>
          <w:szCs w:val="24"/>
          <w:lang w:val="en-GB"/>
        </w:rPr>
      </w:pPr>
      <w:bookmarkStart w:id="60" w:name="_Toc416192518"/>
      <w:r w:rsidRPr="005C3B55">
        <w:rPr>
          <w:szCs w:val="24"/>
          <w:lang w:val="en-GB"/>
        </w:rPr>
        <w:t>N09 - Reducing the negative impacts of agriculture on the quality of surface water and groundwater</w:t>
      </w:r>
      <w:bookmarkEnd w:id="60"/>
    </w:p>
    <w:p w:rsidR="00BD3B5F" w:rsidRPr="005C3B55" w:rsidRDefault="00BD3B5F">
      <w:pPr>
        <w:rPr>
          <w:szCs w:val="24"/>
        </w:rPr>
      </w:pPr>
      <w:r w:rsidRPr="005C3B55">
        <w:rPr>
          <w:szCs w:val="24"/>
        </w:rPr>
        <w:t>Priorities/focus areas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10656"/>
      </w:tblGrid>
      <w:tr w:rsidR="00BD3B5F" w:rsidRPr="005C3B55">
        <w:tc>
          <w:tcPr>
            <w:tcW w:w="10656" w:type="dxa"/>
            <w:tcMar>
              <w:top w:w="20" w:type="dxa"/>
              <w:bottom w:w="20" w:type="dxa"/>
            </w:tcMar>
            <w:vAlign w:val="bottom"/>
          </w:tcPr>
          <w:p w:rsidR="00BD3B5F" w:rsidRPr="005C3B55" w:rsidRDefault="00BD3B5F" w:rsidP="00BD3B5F">
            <w:pPr>
              <w:numPr>
                <w:ilvl w:val="0"/>
                <w:numId w:val="42"/>
              </w:numPr>
              <w:rPr>
                <w:szCs w:val="24"/>
              </w:rPr>
            </w:pPr>
            <w:r w:rsidRPr="005C3B55">
              <w:rPr>
                <w:szCs w:val="24"/>
              </w:rPr>
              <w:t>1A) Promoting innovation, cooperation and the development of knowledge bases in rural areas</w:t>
            </w:r>
          </w:p>
          <w:p w:rsidR="00BD3B5F" w:rsidRPr="005C3B55" w:rsidRDefault="00BD3B5F" w:rsidP="00BD3B5F">
            <w:pPr>
              <w:numPr>
                <w:ilvl w:val="0"/>
                <w:numId w:val="42"/>
              </w:numPr>
              <w:rPr>
                <w:szCs w:val="24"/>
              </w:rPr>
            </w:pPr>
            <w:r w:rsidRPr="005C3B55">
              <w:rPr>
                <w:szCs w:val="24"/>
              </w:rPr>
              <w:t>1B) Strengthening the links between agriculture, food production and forestry and research and innovation, including for a better environmental management and environmental efficiency</w:t>
            </w:r>
          </w:p>
          <w:p w:rsidR="00BD3B5F" w:rsidRPr="005C3B55" w:rsidRDefault="00BD3B5F" w:rsidP="00BD3B5F">
            <w:pPr>
              <w:numPr>
                <w:ilvl w:val="0"/>
                <w:numId w:val="42"/>
              </w:numPr>
              <w:rPr>
                <w:szCs w:val="24"/>
              </w:rPr>
            </w:pPr>
            <w:r w:rsidRPr="005C3B55">
              <w:rPr>
                <w:szCs w:val="24"/>
              </w:rPr>
              <w:t>1C) Enhancing life-long learning and professional training in the agricultural and forestry sectors</w:t>
            </w:r>
          </w:p>
          <w:p w:rsidR="00BD3B5F" w:rsidRPr="005C3B55" w:rsidRDefault="00BD3B5F" w:rsidP="00BD3B5F">
            <w:pPr>
              <w:numPr>
                <w:ilvl w:val="0"/>
                <w:numId w:val="42"/>
              </w:numPr>
              <w:rPr>
                <w:szCs w:val="24"/>
              </w:rPr>
            </w:pPr>
            <w:r w:rsidRPr="005C3B55">
              <w:rPr>
                <w:szCs w:val="24"/>
              </w:rPr>
              <w:t>2A) Improving the economic performance of all agricultural holdings and facilitating the restructuring and modernisation of agricultural holdings, in order to particularly increase their market participation, market-orientation and agricultural diversification</w:t>
            </w:r>
          </w:p>
          <w:p w:rsidR="00BD3B5F" w:rsidRPr="005C3B55" w:rsidRDefault="00BD3B5F" w:rsidP="00BD3B5F">
            <w:pPr>
              <w:numPr>
                <w:ilvl w:val="0"/>
                <w:numId w:val="42"/>
              </w:numPr>
              <w:rPr>
                <w:szCs w:val="24"/>
              </w:rPr>
            </w:pPr>
            <w:r w:rsidRPr="005C3B55">
              <w:rPr>
                <w:szCs w:val="24"/>
              </w:rPr>
              <w:t>4A) Restoring, preserving and enhancing biodiversity, including in Natura 2000 sites, and in areas facing natural or other specific constraints, and high nature value farming, as well as the state of European landscapes</w:t>
            </w:r>
          </w:p>
          <w:p w:rsidR="00BD3B5F" w:rsidRPr="005C3B55" w:rsidRDefault="00BD3B5F" w:rsidP="00BD3B5F">
            <w:pPr>
              <w:numPr>
                <w:ilvl w:val="0"/>
                <w:numId w:val="42"/>
              </w:numPr>
              <w:rPr>
                <w:szCs w:val="24"/>
              </w:rPr>
            </w:pPr>
            <w:r w:rsidRPr="005C3B55">
              <w:rPr>
                <w:szCs w:val="24"/>
              </w:rPr>
              <w:t>4B) Improving water management, including the management of fertilisers and pesticides</w:t>
            </w:r>
          </w:p>
          <w:p w:rsidR="00BD3B5F" w:rsidRPr="005C3B55" w:rsidRDefault="00BD3B5F" w:rsidP="00BD3B5F">
            <w:pPr>
              <w:numPr>
                <w:ilvl w:val="0"/>
                <w:numId w:val="42"/>
              </w:numPr>
              <w:rPr>
                <w:szCs w:val="24"/>
              </w:rPr>
            </w:pPr>
            <w:r w:rsidRPr="005C3B55">
              <w:rPr>
                <w:szCs w:val="24"/>
              </w:rPr>
              <w:t>4C) Preventing soil erosion and improving soil management</w:t>
            </w:r>
          </w:p>
        </w:tc>
      </w:tr>
    </w:tbl>
    <w:p w:rsidR="00BD3B5F" w:rsidRPr="005C3B55" w:rsidRDefault="00BD3B5F">
      <w:pPr>
        <w:rPr>
          <w:szCs w:val="24"/>
        </w:rPr>
      </w:pPr>
      <w:r w:rsidRPr="005C3B55">
        <w:rPr>
          <w:szCs w:val="24"/>
        </w:rPr>
        <w:t>Horizontal objectives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10656"/>
      </w:tblGrid>
      <w:tr w:rsidR="00BD3B5F" w:rsidRPr="005C3B55">
        <w:tc>
          <w:tcPr>
            <w:tcW w:w="10656" w:type="dxa"/>
            <w:tcMar>
              <w:top w:w="20" w:type="dxa"/>
              <w:bottom w:w="20" w:type="dxa"/>
            </w:tcMar>
            <w:vAlign w:val="bottom"/>
          </w:tcPr>
          <w:p w:rsidR="00BD3B5F" w:rsidRPr="005C3B55" w:rsidRDefault="00BD3B5F" w:rsidP="00BD3B5F">
            <w:pPr>
              <w:numPr>
                <w:ilvl w:val="0"/>
                <w:numId w:val="43"/>
              </w:numPr>
              <w:rPr>
                <w:szCs w:val="24"/>
              </w:rPr>
            </w:pPr>
            <w:r w:rsidRPr="005C3B55">
              <w:rPr>
                <w:szCs w:val="24"/>
              </w:rPr>
              <w:t>Environment</w:t>
            </w:r>
          </w:p>
          <w:p w:rsidR="00BD3B5F" w:rsidRPr="005C3B55" w:rsidRDefault="00BD3B5F" w:rsidP="00BD3B5F">
            <w:pPr>
              <w:numPr>
                <w:ilvl w:val="0"/>
                <w:numId w:val="43"/>
              </w:numPr>
              <w:rPr>
                <w:szCs w:val="24"/>
              </w:rPr>
            </w:pPr>
            <w:r w:rsidRPr="005C3B55">
              <w:rPr>
                <w:szCs w:val="24"/>
              </w:rPr>
              <w:t>Mitigating, and adapting to, climate change</w:t>
            </w:r>
          </w:p>
          <w:p w:rsidR="00BD3B5F" w:rsidRPr="005C3B55" w:rsidRDefault="00BD3B5F" w:rsidP="00BD3B5F">
            <w:pPr>
              <w:numPr>
                <w:ilvl w:val="0"/>
                <w:numId w:val="43"/>
              </w:numPr>
              <w:rPr>
                <w:szCs w:val="24"/>
              </w:rPr>
            </w:pPr>
            <w:r w:rsidRPr="005C3B55">
              <w:rPr>
                <w:szCs w:val="24"/>
              </w:rPr>
              <w:t>Innovation</w:t>
            </w:r>
          </w:p>
        </w:tc>
      </w:tr>
    </w:tbl>
    <w:p w:rsidR="00BD3B5F" w:rsidRPr="005C3B55" w:rsidRDefault="00BD3B5F">
      <w:pPr>
        <w:rPr>
          <w:szCs w:val="24"/>
        </w:rPr>
      </w:pPr>
      <w:r w:rsidRPr="005C3B55">
        <w:rPr>
          <w:szCs w:val="24"/>
        </w:rPr>
        <w:t>Description</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10656" w:type="dxa"/>
            <w:tcMar>
              <w:top w:w="20" w:type="dxa"/>
              <w:bottom w:w="20" w:type="dxa"/>
            </w:tcMar>
            <w:vAlign w:val="bottom"/>
          </w:tcPr>
          <w:p w:rsidR="00BD3B5F" w:rsidRPr="005C3B55" w:rsidRDefault="00BD3B5F">
            <w:pPr>
              <w:spacing w:before="0" w:after="0"/>
              <w:jc w:val="left"/>
              <w:rPr>
                <w:noProof/>
                <w:szCs w:val="24"/>
              </w:rPr>
            </w:pPr>
            <w:r w:rsidRPr="005C3B55">
              <w:rPr>
                <w:szCs w:val="24"/>
              </w:rPr>
              <w:t>From the aspect of agricultural impacts on the condition of surface waters, the negative impact of agriculture on the ecological condition of surface waters should be emphasised, where excessive burdening with nutrients has been detected.</w:t>
            </w:r>
            <w:r w:rsidRPr="005C3B55">
              <w:rPr>
                <w:noProof/>
                <w:szCs w:val="24"/>
              </w:rPr>
              <w:t xml:space="preserve"> </w:t>
            </w:r>
            <w:r w:rsidRPr="005C3B55">
              <w:rPr>
                <w:szCs w:val="24"/>
              </w:rPr>
              <w:t>Considering the quality of groundwater, in some areas the chemical status of groundwater shows excessive burdening with nitrates and pesticides as well as their decomposition products.</w:t>
            </w:r>
            <w:r w:rsidRPr="005C3B55">
              <w:rPr>
                <w:noProof/>
                <w:szCs w:val="24"/>
              </w:rPr>
              <w:t xml:space="preserve"> </w:t>
            </w:r>
            <w:r w:rsidRPr="005C3B55">
              <w:rPr>
                <w:szCs w:val="24"/>
              </w:rPr>
              <w:t>Poor chemical status of groundwater is typical of three bodies of groundwater in the north-eastern part of Slovenia (the Savinja, Draga and Mura River basins) with intensive agricultural production.</w:t>
            </w:r>
          </w:p>
          <w:p w:rsidR="00BD3B5F" w:rsidRPr="005C3B55" w:rsidRDefault="00BD3B5F">
            <w:pPr>
              <w:spacing w:before="240" w:after="240"/>
              <w:jc w:val="left"/>
              <w:rPr>
                <w:noProof/>
                <w:szCs w:val="24"/>
              </w:rPr>
            </w:pPr>
            <w:r w:rsidRPr="005C3B55">
              <w:rPr>
                <w:szCs w:val="24"/>
              </w:rPr>
              <w:t>In order to improve the condition of surface water and groundwater, the impact of agriculture on water pollution must be reduced.</w:t>
            </w:r>
            <w:r w:rsidRPr="005C3B55">
              <w:rPr>
                <w:noProof/>
                <w:szCs w:val="24"/>
              </w:rPr>
              <w:t xml:space="preserve"> </w:t>
            </w:r>
            <w:r w:rsidRPr="005C3B55">
              <w:rPr>
                <w:szCs w:val="24"/>
              </w:rPr>
              <w:t>Measures should focus on areas where agricultural production is more intensive, i.e. in north-eastern Slovenia, where a good water status is not attained.</w:t>
            </w:r>
            <w:r w:rsidRPr="005C3B55">
              <w:rPr>
                <w:noProof/>
                <w:szCs w:val="24"/>
              </w:rPr>
              <w:t xml:space="preserve"> </w:t>
            </w:r>
            <w:r w:rsidRPr="005C3B55">
              <w:rPr>
                <w:szCs w:val="24"/>
              </w:rPr>
              <w:t>These include catchment areas of surface waters and groundwater referred to in the Water Management Plan where objectives under the Water Framework Directive (Directive 2000/60/EC) will not be attained.</w:t>
            </w:r>
          </w:p>
          <w:p w:rsidR="00BD3B5F" w:rsidRPr="005C3B55" w:rsidRDefault="00BD3B5F">
            <w:pPr>
              <w:spacing w:before="240" w:after="240"/>
              <w:jc w:val="left"/>
              <w:rPr>
                <w:noProof/>
                <w:szCs w:val="24"/>
              </w:rPr>
            </w:pPr>
            <w:r w:rsidRPr="005C3B55">
              <w:rPr>
                <w:szCs w:val="24"/>
              </w:rPr>
              <w:t>Measures should focus on reducing the intake of PPPs and fertilisers, more appropriate soil cultivation, stimulating the greening of arable land, refocusing on organic farming, conversion of arable land to grassland etc.</w:t>
            </w:r>
            <w:r w:rsidRPr="005C3B55">
              <w:rPr>
                <w:noProof/>
                <w:szCs w:val="24"/>
              </w:rPr>
              <w:t xml:space="preserve"> </w:t>
            </w:r>
            <w:r w:rsidRPr="005C3B55">
              <w:rPr>
                <w:szCs w:val="24"/>
              </w:rPr>
              <w:t>At the same time, investments in more efficient use of nitrogen fertilisers, storage capacities, special mechanisation etc. should also be made.</w:t>
            </w:r>
            <w:r w:rsidRPr="005C3B55">
              <w:rPr>
                <w:noProof/>
                <w:szCs w:val="24"/>
              </w:rPr>
              <w:t xml:space="preserve"> </w:t>
            </w:r>
            <w:r w:rsidRPr="005C3B55">
              <w:rPr>
                <w:szCs w:val="24"/>
              </w:rPr>
              <w:t>The qualifications of farmers, accessibility of specialised advisory services and more efficient transfer of knowledge and innovation in practice should be stimulated.</w:t>
            </w:r>
          </w:p>
          <w:p w:rsidR="00BD3B5F" w:rsidRPr="005C3B55" w:rsidRDefault="00BD3B5F">
            <w:pPr>
              <w:pStyle w:val="Telobesedila"/>
              <w:rPr>
                <w:szCs w:val="24"/>
              </w:rPr>
            </w:pPr>
          </w:p>
        </w:tc>
      </w:tr>
    </w:tbl>
    <w:p w:rsidR="00BD3B5F" w:rsidRPr="005C3B55" w:rsidRDefault="00BD3B5F">
      <w:pPr>
        <w:pStyle w:val="Naslov3"/>
        <w:tabs>
          <w:tab w:val="clear" w:pos="765"/>
        </w:tabs>
        <w:ind w:left="0" w:firstLine="0"/>
        <w:jc w:val="left"/>
        <w:rPr>
          <w:szCs w:val="24"/>
          <w:lang w:val="en-GB"/>
        </w:rPr>
      </w:pPr>
      <w:bookmarkStart w:id="61" w:name="_Toc416192519"/>
      <w:r w:rsidRPr="005C3B55">
        <w:rPr>
          <w:szCs w:val="24"/>
          <w:lang w:val="en-GB"/>
        </w:rPr>
        <w:t>N10 - Preserving or improving productive potential of soil</w:t>
      </w:r>
      <w:bookmarkEnd w:id="61"/>
    </w:p>
    <w:p w:rsidR="00BD3B5F" w:rsidRPr="005C3B55" w:rsidRDefault="00BD3B5F">
      <w:pPr>
        <w:rPr>
          <w:szCs w:val="24"/>
        </w:rPr>
      </w:pPr>
      <w:r w:rsidRPr="005C3B55">
        <w:rPr>
          <w:szCs w:val="24"/>
        </w:rPr>
        <w:t>Priorities/focus areas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10656"/>
      </w:tblGrid>
      <w:tr w:rsidR="00BD3B5F" w:rsidRPr="005C3B55">
        <w:tc>
          <w:tcPr>
            <w:tcW w:w="10656" w:type="dxa"/>
            <w:tcMar>
              <w:top w:w="20" w:type="dxa"/>
              <w:bottom w:w="20" w:type="dxa"/>
            </w:tcMar>
            <w:vAlign w:val="bottom"/>
          </w:tcPr>
          <w:p w:rsidR="00BD3B5F" w:rsidRPr="005C3B55" w:rsidRDefault="00BD3B5F" w:rsidP="00BD3B5F">
            <w:pPr>
              <w:numPr>
                <w:ilvl w:val="0"/>
                <w:numId w:val="44"/>
              </w:numPr>
              <w:rPr>
                <w:szCs w:val="24"/>
              </w:rPr>
            </w:pPr>
            <w:r w:rsidRPr="005C3B55">
              <w:rPr>
                <w:szCs w:val="24"/>
              </w:rPr>
              <w:t>1A) Promoting innovation, cooperation and the development of knowledge bases in rural areas</w:t>
            </w:r>
          </w:p>
          <w:p w:rsidR="00BD3B5F" w:rsidRPr="005C3B55" w:rsidRDefault="00BD3B5F" w:rsidP="00BD3B5F">
            <w:pPr>
              <w:numPr>
                <w:ilvl w:val="0"/>
                <w:numId w:val="44"/>
              </w:numPr>
              <w:rPr>
                <w:szCs w:val="24"/>
              </w:rPr>
            </w:pPr>
            <w:r w:rsidRPr="005C3B55">
              <w:rPr>
                <w:szCs w:val="24"/>
              </w:rPr>
              <w:t>1C) Enhancing life-long learning and professional training in the agricultural and forestry sectors</w:t>
            </w:r>
          </w:p>
          <w:p w:rsidR="00BD3B5F" w:rsidRPr="005C3B55" w:rsidRDefault="00BD3B5F" w:rsidP="00BD3B5F">
            <w:pPr>
              <w:numPr>
                <w:ilvl w:val="0"/>
                <w:numId w:val="44"/>
              </w:numPr>
              <w:rPr>
                <w:szCs w:val="24"/>
              </w:rPr>
            </w:pPr>
            <w:r w:rsidRPr="005C3B55">
              <w:rPr>
                <w:szCs w:val="24"/>
              </w:rPr>
              <w:t>4A) Restoring, preserving and enhancing biodiversity, including in Natura 2000 sites, and in areas facing natural or other specific constraints, and high nature value farming, as well as the state of European landscapes</w:t>
            </w:r>
          </w:p>
          <w:p w:rsidR="00BD3B5F" w:rsidRPr="005C3B55" w:rsidRDefault="00BD3B5F" w:rsidP="00BD3B5F">
            <w:pPr>
              <w:numPr>
                <w:ilvl w:val="0"/>
                <w:numId w:val="44"/>
              </w:numPr>
              <w:rPr>
                <w:szCs w:val="24"/>
              </w:rPr>
            </w:pPr>
            <w:r w:rsidRPr="005C3B55">
              <w:rPr>
                <w:szCs w:val="24"/>
              </w:rPr>
              <w:t>4B) Improving water management, including the management of fertilisers and pesticides</w:t>
            </w:r>
          </w:p>
          <w:p w:rsidR="00BD3B5F" w:rsidRPr="005C3B55" w:rsidRDefault="00BD3B5F" w:rsidP="00BD3B5F">
            <w:pPr>
              <w:numPr>
                <w:ilvl w:val="0"/>
                <w:numId w:val="44"/>
              </w:numPr>
              <w:rPr>
                <w:szCs w:val="24"/>
              </w:rPr>
            </w:pPr>
            <w:r w:rsidRPr="005C3B55">
              <w:rPr>
                <w:szCs w:val="24"/>
              </w:rPr>
              <w:t>4C) Preventing soil erosion and improving soil management</w:t>
            </w:r>
          </w:p>
        </w:tc>
      </w:tr>
    </w:tbl>
    <w:p w:rsidR="00BD3B5F" w:rsidRPr="005C3B55" w:rsidRDefault="00BD3B5F">
      <w:pPr>
        <w:rPr>
          <w:szCs w:val="24"/>
        </w:rPr>
      </w:pPr>
      <w:r w:rsidRPr="005C3B55">
        <w:rPr>
          <w:szCs w:val="24"/>
        </w:rPr>
        <w:t>Horizontal objectives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10656"/>
      </w:tblGrid>
      <w:tr w:rsidR="00BD3B5F" w:rsidRPr="005C3B55">
        <w:tc>
          <w:tcPr>
            <w:tcW w:w="10656" w:type="dxa"/>
            <w:tcMar>
              <w:top w:w="20" w:type="dxa"/>
              <w:bottom w:w="20" w:type="dxa"/>
            </w:tcMar>
            <w:vAlign w:val="bottom"/>
          </w:tcPr>
          <w:p w:rsidR="00BD3B5F" w:rsidRPr="005C3B55" w:rsidRDefault="00BD3B5F" w:rsidP="00BD3B5F">
            <w:pPr>
              <w:numPr>
                <w:ilvl w:val="0"/>
                <w:numId w:val="45"/>
              </w:numPr>
              <w:rPr>
                <w:szCs w:val="24"/>
              </w:rPr>
            </w:pPr>
            <w:r w:rsidRPr="005C3B55">
              <w:rPr>
                <w:szCs w:val="24"/>
              </w:rPr>
              <w:t>Environment</w:t>
            </w:r>
          </w:p>
        </w:tc>
      </w:tr>
    </w:tbl>
    <w:p w:rsidR="00BD3B5F" w:rsidRPr="005C3B55" w:rsidRDefault="00BD3B5F">
      <w:pPr>
        <w:rPr>
          <w:szCs w:val="24"/>
        </w:rPr>
      </w:pPr>
      <w:r w:rsidRPr="005C3B55">
        <w:rPr>
          <w:szCs w:val="24"/>
        </w:rPr>
        <w:t>Description</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10656" w:type="dxa"/>
            <w:tcMar>
              <w:top w:w="20" w:type="dxa"/>
              <w:bottom w:w="20" w:type="dxa"/>
            </w:tcMar>
            <w:vAlign w:val="bottom"/>
          </w:tcPr>
          <w:p w:rsidR="00BD3B5F" w:rsidRPr="005C3B55" w:rsidRDefault="00BD3B5F">
            <w:pPr>
              <w:spacing w:before="0" w:after="240"/>
              <w:jc w:val="left"/>
              <w:rPr>
                <w:noProof/>
                <w:szCs w:val="24"/>
              </w:rPr>
            </w:pPr>
            <w:r w:rsidRPr="005C3B55">
              <w:rPr>
                <w:szCs w:val="24"/>
              </w:rPr>
              <w:t>Most soil in Slovenia is not polluted; some individual areas burdened with certain metals, which is the result of industrial activity in these areas, stand out.</w:t>
            </w:r>
            <w:r w:rsidRPr="005C3B55">
              <w:rPr>
                <w:noProof/>
                <w:szCs w:val="24"/>
              </w:rPr>
              <w:t xml:space="preserve"> </w:t>
            </w:r>
            <w:r w:rsidRPr="005C3B55">
              <w:rPr>
                <w:szCs w:val="24"/>
              </w:rPr>
              <w:t>In intensive agricultural areas, residues of plant protection products and their breakdown products may be found, which can leach as nitrates through the soil and contaminate groundwater.</w:t>
            </w:r>
            <w:r w:rsidRPr="005C3B55">
              <w:rPr>
                <w:noProof/>
                <w:szCs w:val="24"/>
              </w:rPr>
              <w:t xml:space="preserve"> </w:t>
            </w:r>
            <w:r w:rsidRPr="005C3B55">
              <w:rPr>
                <w:szCs w:val="24"/>
              </w:rPr>
              <w:t>The soil in Slovenia is generally rich in organic matter, which impacts numerous features of soil (improves aeration and soil porosity, the binding of nutrients and dangerous substances; reduces soil erosion and is a habitat for numerous organisms and the sinking of atmospheric CO</w:t>
            </w:r>
            <w:r w:rsidRPr="005C3B55">
              <w:rPr>
                <w:szCs w:val="24"/>
                <w:vertAlign w:val="subscript"/>
              </w:rPr>
              <w:t>2</w:t>
            </w:r>
            <w:r w:rsidRPr="005C3B55">
              <w:rPr>
                <w:szCs w:val="24"/>
              </w:rPr>
              <w:t>).</w:t>
            </w:r>
            <w:r w:rsidRPr="005C3B55">
              <w:rPr>
                <w:noProof/>
                <w:szCs w:val="24"/>
              </w:rPr>
              <w:t xml:space="preserve"> </w:t>
            </w:r>
            <w:r w:rsidRPr="005C3B55">
              <w:rPr>
                <w:szCs w:val="24"/>
              </w:rPr>
              <w:t>Despite this, more care needs to be taken to maintain and increase the organic content of soil in certain parts of the country.</w:t>
            </w:r>
            <w:r w:rsidRPr="005C3B55">
              <w:rPr>
                <w:noProof/>
                <w:szCs w:val="24"/>
              </w:rPr>
              <w:t xml:space="preserve"> </w:t>
            </w:r>
            <w:r w:rsidRPr="005C3B55">
              <w:rPr>
                <w:szCs w:val="24"/>
              </w:rPr>
              <w:t>In certain parts of Slovenia, soil is acidic, impacting the fertility of soil, sensitivity to pollution and varied use of soil.</w:t>
            </w:r>
            <w:r w:rsidRPr="005C3B55">
              <w:rPr>
                <w:noProof/>
                <w:szCs w:val="24"/>
              </w:rPr>
              <w:t xml:space="preserve"> </w:t>
            </w:r>
            <w:r w:rsidRPr="005C3B55">
              <w:rPr>
                <w:szCs w:val="24"/>
              </w:rPr>
              <w:t>Soil is acidic due to non-carbon surfaces as well as the leaching of nutrients.</w:t>
            </w:r>
          </w:p>
          <w:p w:rsidR="00BD3B5F" w:rsidRPr="005C3B55" w:rsidRDefault="00BD3B5F">
            <w:pPr>
              <w:spacing w:before="240" w:after="240"/>
              <w:jc w:val="left"/>
              <w:rPr>
                <w:noProof/>
                <w:szCs w:val="24"/>
              </w:rPr>
            </w:pPr>
            <w:r w:rsidRPr="005C3B55">
              <w:rPr>
                <w:szCs w:val="24"/>
              </w:rPr>
              <w:t>Regarding the concentrations of mineral fertilisers and plant nutrients in the soil, data show that use in the past two decades has decreased significantly; however, the trend of reduction of input must continue.</w:t>
            </w:r>
            <w:r w:rsidRPr="005C3B55">
              <w:rPr>
                <w:noProof/>
                <w:szCs w:val="24"/>
              </w:rPr>
              <w:t xml:space="preserve"> </w:t>
            </w:r>
            <w:r w:rsidRPr="005C3B55">
              <w:rPr>
                <w:szCs w:val="24"/>
              </w:rPr>
              <w:t>The maximum nitrogen surplus balance has been found in north-eastern Slovenia.</w:t>
            </w:r>
          </w:p>
          <w:p w:rsidR="00BD3B5F" w:rsidRPr="005C3B55" w:rsidRDefault="00BD3B5F">
            <w:pPr>
              <w:spacing w:before="240" w:after="240"/>
              <w:jc w:val="left"/>
              <w:rPr>
                <w:noProof/>
                <w:szCs w:val="24"/>
              </w:rPr>
            </w:pPr>
            <w:r w:rsidRPr="005C3B55">
              <w:rPr>
                <w:szCs w:val="24"/>
              </w:rPr>
              <w:t>For production purposes, the danger of soil erosion must be reduced, since it is very significant in Slovenia.</w:t>
            </w:r>
            <w:r w:rsidRPr="005C3B55">
              <w:rPr>
                <w:noProof/>
                <w:szCs w:val="24"/>
              </w:rPr>
              <w:t xml:space="preserve"> </w:t>
            </w:r>
            <w:r w:rsidRPr="005C3B55">
              <w:rPr>
                <w:szCs w:val="24"/>
              </w:rPr>
              <w:t>Most erosion of agricultural land is caused by water and wind and is most intensive on arable land.</w:t>
            </w:r>
            <w:r w:rsidRPr="005C3B55">
              <w:rPr>
                <w:noProof/>
                <w:szCs w:val="24"/>
              </w:rPr>
              <w:t xml:space="preserve"> </w:t>
            </w:r>
            <w:r w:rsidRPr="005C3B55">
              <w:rPr>
                <w:szCs w:val="24"/>
              </w:rPr>
              <w:t>The risk of erosion can be reduced by implementing more appropriate cultivation methods.</w:t>
            </w:r>
          </w:p>
          <w:p w:rsidR="00BD3B5F" w:rsidRPr="005C3B55" w:rsidRDefault="00BD3B5F">
            <w:pPr>
              <w:spacing w:before="240" w:after="240"/>
              <w:jc w:val="left"/>
              <w:rPr>
                <w:noProof/>
                <w:szCs w:val="24"/>
              </w:rPr>
            </w:pPr>
            <w:r w:rsidRPr="005C3B55">
              <w:rPr>
                <w:szCs w:val="24"/>
              </w:rPr>
              <w:t>In order to preserve soil quality, the intake of plant protection products and mineral fertilisers as well as plant nutrients should be reduced; professional fertilisation with organic fertilisers should be stimulated, crop rotation, conservation tillage and the greening of arable land should be implemented.</w:t>
            </w:r>
            <w:r w:rsidRPr="005C3B55">
              <w:rPr>
                <w:noProof/>
                <w:szCs w:val="24"/>
              </w:rPr>
              <w:t xml:space="preserve"> </w:t>
            </w:r>
            <w:r w:rsidRPr="005C3B55">
              <w:rPr>
                <w:szCs w:val="24"/>
              </w:rPr>
              <w:t>All the above can have positive effects on water quality.</w:t>
            </w:r>
            <w:r w:rsidRPr="005C3B55">
              <w:rPr>
                <w:noProof/>
                <w:szCs w:val="24"/>
              </w:rPr>
              <w:t xml:space="preserve"> </w:t>
            </w:r>
            <w:r w:rsidRPr="005C3B55">
              <w:rPr>
                <w:szCs w:val="24"/>
              </w:rPr>
              <w:t>In order to motivate farmers to take such measures, they should be additionally trained. The accessibility of specialised advisory services should be enhanced and the transfer of knowledge and innovation in practice should be more effective.</w:t>
            </w:r>
          </w:p>
          <w:p w:rsidR="00BD3B5F" w:rsidRPr="005C3B55" w:rsidRDefault="00BD3B5F">
            <w:pPr>
              <w:pStyle w:val="Telobesedila"/>
              <w:rPr>
                <w:szCs w:val="24"/>
              </w:rPr>
            </w:pPr>
          </w:p>
        </w:tc>
      </w:tr>
    </w:tbl>
    <w:p w:rsidR="00BD3B5F" w:rsidRPr="005C3B55" w:rsidRDefault="00BD3B5F">
      <w:pPr>
        <w:pStyle w:val="Naslov3"/>
        <w:tabs>
          <w:tab w:val="clear" w:pos="765"/>
        </w:tabs>
        <w:ind w:left="0" w:firstLine="0"/>
        <w:jc w:val="left"/>
        <w:rPr>
          <w:szCs w:val="24"/>
          <w:lang w:val="en-GB"/>
        </w:rPr>
      </w:pPr>
      <w:bookmarkStart w:id="62" w:name="_Toc416192520"/>
      <w:r w:rsidRPr="005C3B55">
        <w:rPr>
          <w:szCs w:val="24"/>
          <w:lang w:val="en-GB"/>
        </w:rPr>
        <w:t>N11 - Preserving farming in areas with limited possibilities for agricultural activity</w:t>
      </w:r>
      <w:bookmarkEnd w:id="62"/>
    </w:p>
    <w:p w:rsidR="00BD3B5F" w:rsidRPr="005C3B55" w:rsidRDefault="00BD3B5F">
      <w:pPr>
        <w:rPr>
          <w:szCs w:val="24"/>
        </w:rPr>
      </w:pPr>
      <w:r w:rsidRPr="005C3B55">
        <w:rPr>
          <w:szCs w:val="24"/>
        </w:rPr>
        <w:t>Priorities/focus areas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10656"/>
      </w:tblGrid>
      <w:tr w:rsidR="00BD3B5F" w:rsidRPr="005C3B55">
        <w:tc>
          <w:tcPr>
            <w:tcW w:w="10656" w:type="dxa"/>
            <w:tcMar>
              <w:top w:w="20" w:type="dxa"/>
              <w:bottom w:w="20" w:type="dxa"/>
            </w:tcMar>
            <w:vAlign w:val="bottom"/>
          </w:tcPr>
          <w:p w:rsidR="00BD3B5F" w:rsidRPr="005C3B55" w:rsidRDefault="00BD3B5F" w:rsidP="00BD3B5F">
            <w:pPr>
              <w:numPr>
                <w:ilvl w:val="0"/>
                <w:numId w:val="46"/>
              </w:numPr>
              <w:rPr>
                <w:szCs w:val="24"/>
              </w:rPr>
            </w:pPr>
            <w:r w:rsidRPr="005C3B55">
              <w:rPr>
                <w:szCs w:val="24"/>
              </w:rPr>
              <w:t>4A) Restoring, preserving and enhancing biodiversity, including in Natura 2000 sites, and in areas facing natural or other specific constraints, and high nature value farming, as well as the state of European landscapes</w:t>
            </w:r>
          </w:p>
        </w:tc>
      </w:tr>
    </w:tbl>
    <w:p w:rsidR="00BD3B5F" w:rsidRPr="005C3B55" w:rsidRDefault="00BD3B5F">
      <w:pPr>
        <w:rPr>
          <w:szCs w:val="24"/>
        </w:rPr>
      </w:pPr>
      <w:r w:rsidRPr="005C3B55">
        <w:rPr>
          <w:szCs w:val="24"/>
        </w:rPr>
        <w:t>Horizontal objectives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10656"/>
      </w:tblGrid>
      <w:tr w:rsidR="00BD3B5F" w:rsidRPr="005C3B55">
        <w:tc>
          <w:tcPr>
            <w:tcW w:w="10656" w:type="dxa"/>
            <w:tcMar>
              <w:top w:w="20" w:type="dxa"/>
              <w:bottom w:w="20" w:type="dxa"/>
            </w:tcMar>
            <w:vAlign w:val="bottom"/>
          </w:tcPr>
          <w:p w:rsidR="00BD3B5F" w:rsidRPr="005C3B55" w:rsidRDefault="00BD3B5F" w:rsidP="00BD3B5F">
            <w:pPr>
              <w:numPr>
                <w:ilvl w:val="0"/>
                <w:numId w:val="47"/>
              </w:numPr>
              <w:rPr>
                <w:szCs w:val="24"/>
              </w:rPr>
            </w:pPr>
            <w:r w:rsidRPr="005C3B55">
              <w:rPr>
                <w:szCs w:val="24"/>
              </w:rPr>
              <w:t>Environment</w:t>
            </w:r>
          </w:p>
        </w:tc>
      </w:tr>
    </w:tbl>
    <w:p w:rsidR="00BD3B5F" w:rsidRPr="005C3B55" w:rsidRDefault="00BD3B5F">
      <w:pPr>
        <w:rPr>
          <w:szCs w:val="24"/>
        </w:rPr>
      </w:pPr>
      <w:r w:rsidRPr="005C3B55">
        <w:rPr>
          <w:szCs w:val="24"/>
        </w:rPr>
        <w:t>Description</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10656" w:type="dxa"/>
            <w:tcMar>
              <w:top w:w="20" w:type="dxa"/>
              <w:bottom w:w="20" w:type="dxa"/>
            </w:tcMar>
            <w:vAlign w:val="bottom"/>
          </w:tcPr>
          <w:p w:rsidR="00BD3B5F" w:rsidRPr="005C3B55" w:rsidRDefault="00BD3B5F">
            <w:pPr>
              <w:spacing w:before="0" w:after="240"/>
              <w:jc w:val="left"/>
              <w:rPr>
                <w:noProof/>
                <w:szCs w:val="24"/>
              </w:rPr>
            </w:pPr>
            <w:r w:rsidRPr="005C3B55">
              <w:rPr>
                <w:szCs w:val="24"/>
              </w:rPr>
              <w:t>Slovenia is among the EU-27 countries with the highest share of agricultural land in use in areas with limited possibilities for agricultural activity.</w:t>
            </w:r>
            <w:r w:rsidRPr="005C3B55">
              <w:rPr>
                <w:noProof/>
                <w:szCs w:val="24"/>
              </w:rPr>
              <w:t xml:space="preserve"> </w:t>
            </w:r>
            <w:r w:rsidRPr="005C3B55">
              <w:rPr>
                <w:szCs w:val="24"/>
              </w:rPr>
              <w:t>Slovenia stands out mostly due to the share of such land in mountain areas (55.7%), since the average of the EU-27 in 2005 was 16.2%.</w:t>
            </w:r>
            <w:r w:rsidRPr="005C3B55">
              <w:rPr>
                <w:noProof/>
                <w:szCs w:val="24"/>
              </w:rPr>
              <w:t xml:space="preserve"> </w:t>
            </w:r>
            <w:r w:rsidRPr="005C3B55">
              <w:rPr>
                <w:szCs w:val="24"/>
              </w:rPr>
              <w:t>3.6% of agricultural land is located in areas with other natural limitations on agricultural activity; an additional 16% is located in areas with special limitations.</w:t>
            </w:r>
            <w:r w:rsidRPr="005C3B55">
              <w:rPr>
                <w:noProof/>
                <w:szCs w:val="24"/>
              </w:rPr>
              <w:t xml:space="preserve"> </w:t>
            </w:r>
            <w:r w:rsidRPr="005C3B55">
              <w:rPr>
                <w:szCs w:val="24"/>
              </w:rPr>
              <w:t>A total of 75.3% of agricultural land in use is located in areas with limited possibilities for agricultural activity.</w:t>
            </w:r>
            <w:r w:rsidRPr="005C3B55">
              <w:rPr>
                <w:noProof/>
                <w:szCs w:val="24"/>
              </w:rPr>
              <w:t xml:space="preserve"> </w:t>
            </w:r>
            <w:r w:rsidRPr="005C3B55">
              <w:rPr>
                <w:szCs w:val="24"/>
              </w:rPr>
              <w:t>All of this reduces the competitiveness of Slovenian agriculture, limits the selection of possible production orientations and increases production costs.</w:t>
            </w:r>
          </w:p>
          <w:p w:rsidR="00BD3B5F" w:rsidRPr="005C3B55" w:rsidRDefault="00BD3B5F">
            <w:pPr>
              <w:spacing w:before="240" w:after="240"/>
              <w:jc w:val="left"/>
              <w:rPr>
                <w:noProof/>
                <w:szCs w:val="24"/>
              </w:rPr>
            </w:pPr>
            <w:r w:rsidRPr="005C3B55">
              <w:rPr>
                <w:szCs w:val="24"/>
              </w:rPr>
              <w:t>Preserving agriculture in these areas is very important for Slovenia, since this prevents the overgrowth of agricultural land, preserves biodiversity and the agricultural landscape and ensures the settlement of the Slovenian landscape.</w:t>
            </w:r>
          </w:p>
          <w:p w:rsidR="00BD3B5F" w:rsidRPr="005C3B55" w:rsidRDefault="00BD3B5F">
            <w:pPr>
              <w:pStyle w:val="Telobesedila"/>
              <w:rPr>
                <w:szCs w:val="24"/>
              </w:rPr>
            </w:pPr>
          </w:p>
        </w:tc>
      </w:tr>
    </w:tbl>
    <w:p w:rsidR="00BD3B5F" w:rsidRPr="005C3B55" w:rsidRDefault="00BD3B5F">
      <w:pPr>
        <w:pStyle w:val="Naslov3"/>
        <w:tabs>
          <w:tab w:val="clear" w:pos="765"/>
        </w:tabs>
        <w:ind w:left="0" w:firstLine="0"/>
        <w:jc w:val="left"/>
        <w:rPr>
          <w:szCs w:val="24"/>
          <w:lang w:val="en-GB"/>
        </w:rPr>
      </w:pPr>
      <w:bookmarkStart w:id="63" w:name="_Toc416192521"/>
      <w:r w:rsidRPr="005C3B55">
        <w:rPr>
          <w:szCs w:val="24"/>
          <w:lang w:val="en-GB"/>
        </w:rPr>
        <w:t>N12 - Reducing greenhouse gas emissions and ammonia in agriculture</w:t>
      </w:r>
      <w:bookmarkEnd w:id="63"/>
    </w:p>
    <w:p w:rsidR="00BD3B5F" w:rsidRPr="005C3B55" w:rsidRDefault="00BD3B5F">
      <w:pPr>
        <w:rPr>
          <w:szCs w:val="24"/>
        </w:rPr>
      </w:pPr>
      <w:r w:rsidRPr="005C3B55">
        <w:rPr>
          <w:szCs w:val="24"/>
        </w:rPr>
        <w:t>Priorities/focus areas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10656"/>
      </w:tblGrid>
      <w:tr w:rsidR="00BD3B5F" w:rsidRPr="005C3B55">
        <w:tc>
          <w:tcPr>
            <w:tcW w:w="10656" w:type="dxa"/>
            <w:tcMar>
              <w:top w:w="20" w:type="dxa"/>
              <w:bottom w:w="20" w:type="dxa"/>
            </w:tcMar>
            <w:vAlign w:val="bottom"/>
          </w:tcPr>
          <w:p w:rsidR="00BD3B5F" w:rsidRPr="005C3B55" w:rsidRDefault="00BD3B5F" w:rsidP="00BD3B5F">
            <w:pPr>
              <w:numPr>
                <w:ilvl w:val="0"/>
                <w:numId w:val="48"/>
              </w:numPr>
              <w:rPr>
                <w:szCs w:val="24"/>
              </w:rPr>
            </w:pPr>
            <w:r w:rsidRPr="005C3B55">
              <w:rPr>
                <w:szCs w:val="24"/>
              </w:rPr>
              <w:t>1A) Promoting innovation, cooperation and the development of knowledge bases in rural areas</w:t>
            </w:r>
          </w:p>
          <w:p w:rsidR="00BD3B5F" w:rsidRPr="005C3B55" w:rsidRDefault="00BD3B5F" w:rsidP="00BD3B5F">
            <w:pPr>
              <w:numPr>
                <w:ilvl w:val="0"/>
                <w:numId w:val="48"/>
              </w:numPr>
              <w:rPr>
                <w:szCs w:val="24"/>
              </w:rPr>
            </w:pPr>
            <w:r w:rsidRPr="005C3B55">
              <w:rPr>
                <w:szCs w:val="24"/>
              </w:rPr>
              <w:t>1B) Strengthening the links between agriculture, food production and forestry and research and innovation, including for a better environmental management and environmental efficiency</w:t>
            </w:r>
          </w:p>
          <w:p w:rsidR="00BD3B5F" w:rsidRPr="005C3B55" w:rsidRDefault="00BD3B5F" w:rsidP="00BD3B5F">
            <w:pPr>
              <w:numPr>
                <w:ilvl w:val="0"/>
                <w:numId w:val="48"/>
              </w:numPr>
              <w:rPr>
                <w:szCs w:val="24"/>
              </w:rPr>
            </w:pPr>
            <w:r w:rsidRPr="005C3B55">
              <w:rPr>
                <w:szCs w:val="24"/>
              </w:rPr>
              <w:t>1C) Enhancing life-long learning and professional training in the agricultural and forestry sectors</w:t>
            </w:r>
          </w:p>
          <w:p w:rsidR="00BD3B5F" w:rsidRPr="005C3B55" w:rsidRDefault="00BD3B5F" w:rsidP="00BD3B5F">
            <w:pPr>
              <w:numPr>
                <w:ilvl w:val="0"/>
                <w:numId w:val="48"/>
              </w:numPr>
              <w:rPr>
                <w:szCs w:val="24"/>
              </w:rPr>
            </w:pPr>
            <w:r w:rsidRPr="005C3B55">
              <w:rPr>
                <w:szCs w:val="24"/>
              </w:rPr>
              <w:t>2A) Improving the economic performance of all agricultural holdings and facilitating the restructuring and modernisation of agricultural holdings, in order to particularly increase their market participation, market-orientation and agricultural diversification</w:t>
            </w:r>
          </w:p>
          <w:p w:rsidR="00BD3B5F" w:rsidRPr="005C3B55" w:rsidRDefault="00BD3B5F" w:rsidP="00BD3B5F">
            <w:pPr>
              <w:numPr>
                <w:ilvl w:val="0"/>
                <w:numId w:val="48"/>
              </w:numPr>
              <w:rPr>
                <w:szCs w:val="24"/>
              </w:rPr>
            </w:pPr>
            <w:r w:rsidRPr="005C3B55">
              <w:rPr>
                <w:szCs w:val="24"/>
              </w:rPr>
              <w:t>4A) Restoring, preserving and enhancing biodiversity, including in Natura 2000 sites, and in areas facing natural or other specific constraints, and high nature value farming, as well as the state of European landscapes</w:t>
            </w:r>
          </w:p>
          <w:p w:rsidR="00BD3B5F" w:rsidRPr="005C3B55" w:rsidRDefault="00BD3B5F" w:rsidP="00BD3B5F">
            <w:pPr>
              <w:numPr>
                <w:ilvl w:val="0"/>
                <w:numId w:val="48"/>
              </w:numPr>
              <w:rPr>
                <w:szCs w:val="24"/>
              </w:rPr>
            </w:pPr>
            <w:r w:rsidRPr="005C3B55">
              <w:rPr>
                <w:szCs w:val="24"/>
              </w:rPr>
              <w:t>4B) Improving water management, including the management of fertilisers and pesticides</w:t>
            </w:r>
          </w:p>
          <w:p w:rsidR="00BD3B5F" w:rsidRPr="005C3B55" w:rsidRDefault="00BD3B5F" w:rsidP="00BD3B5F">
            <w:pPr>
              <w:numPr>
                <w:ilvl w:val="0"/>
                <w:numId w:val="48"/>
              </w:numPr>
              <w:rPr>
                <w:szCs w:val="24"/>
              </w:rPr>
            </w:pPr>
            <w:r w:rsidRPr="005C3B55">
              <w:rPr>
                <w:szCs w:val="24"/>
              </w:rPr>
              <w:t>4C) Preventing soil erosion and improving soil management</w:t>
            </w:r>
          </w:p>
          <w:p w:rsidR="00BD3B5F" w:rsidRPr="005C3B55" w:rsidRDefault="00BD3B5F" w:rsidP="00BD3B5F">
            <w:pPr>
              <w:numPr>
                <w:ilvl w:val="0"/>
                <w:numId w:val="48"/>
              </w:numPr>
              <w:rPr>
                <w:szCs w:val="24"/>
              </w:rPr>
            </w:pPr>
            <w:r w:rsidRPr="005C3B55">
              <w:rPr>
                <w:szCs w:val="24"/>
              </w:rPr>
              <w:t>5D) Reducing emissions of greenhouse gases and ammonia in agriculture</w:t>
            </w:r>
          </w:p>
          <w:p w:rsidR="00BD3B5F" w:rsidRPr="005C3B55" w:rsidRDefault="00BD3B5F" w:rsidP="00BD3B5F">
            <w:pPr>
              <w:numPr>
                <w:ilvl w:val="0"/>
                <w:numId w:val="48"/>
              </w:numPr>
              <w:rPr>
                <w:szCs w:val="24"/>
              </w:rPr>
            </w:pPr>
            <w:r w:rsidRPr="005C3B55">
              <w:rPr>
                <w:szCs w:val="24"/>
              </w:rPr>
              <w:t>5E) Promoting the storage and sequestration of carbon in agriculture and forestry</w:t>
            </w:r>
          </w:p>
        </w:tc>
      </w:tr>
    </w:tbl>
    <w:p w:rsidR="00BD3B5F" w:rsidRPr="005C3B55" w:rsidRDefault="00BD3B5F">
      <w:pPr>
        <w:rPr>
          <w:szCs w:val="24"/>
        </w:rPr>
      </w:pPr>
      <w:r w:rsidRPr="005C3B55">
        <w:rPr>
          <w:szCs w:val="24"/>
        </w:rPr>
        <w:t>Horizontal objectives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10656"/>
      </w:tblGrid>
      <w:tr w:rsidR="00BD3B5F" w:rsidRPr="005C3B55">
        <w:tc>
          <w:tcPr>
            <w:tcW w:w="10656" w:type="dxa"/>
            <w:tcMar>
              <w:top w:w="20" w:type="dxa"/>
              <w:bottom w:w="20" w:type="dxa"/>
            </w:tcMar>
            <w:vAlign w:val="bottom"/>
          </w:tcPr>
          <w:p w:rsidR="00BD3B5F" w:rsidRPr="005C3B55" w:rsidRDefault="00BD3B5F" w:rsidP="00BD3B5F">
            <w:pPr>
              <w:numPr>
                <w:ilvl w:val="0"/>
                <w:numId w:val="49"/>
              </w:numPr>
              <w:rPr>
                <w:szCs w:val="24"/>
              </w:rPr>
            </w:pPr>
            <w:r w:rsidRPr="005C3B55">
              <w:rPr>
                <w:szCs w:val="24"/>
              </w:rPr>
              <w:t>Environment</w:t>
            </w:r>
          </w:p>
          <w:p w:rsidR="00BD3B5F" w:rsidRPr="005C3B55" w:rsidRDefault="00BD3B5F" w:rsidP="00BD3B5F">
            <w:pPr>
              <w:numPr>
                <w:ilvl w:val="0"/>
                <w:numId w:val="49"/>
              </w:numPr>
              <w:rPr>
                <w:szCs w:val="24"/>
              </w:rPr>
            </w:pPr>
            <w:r w:rsidRPr="005C3B55">
              <w:rPr>
                <w:szCs w:val="24"/>
              </w:rPr>
              <w:t>Mitigating, and adapting to, climate change</w:t>
            </w:r>
          </w:p>
          <w:p w:rsidR="00BD3B5F" w:rsidRPr="005C3B55" w:rsidRDefault="00BD3B5F" w:rsidP="00BD3B5F">
            <w:pPr>
              <w:numPr>
                <w:ilvl w:val="0"/>
                <w:numId w:val="49"/>
              </w:numPr>
              <w:rPr>
                <w:szCs w:val="24"/>
              </w:rPr>
            </w:pPr>
            <w:r w:rsidRPr="005C3B55">
              <w:rPr>
                <w:szCs w:val="24"/>
              </w:rPr>
              <w:t>Innovation</w:t>
            </w:r>
          </w:p>
        </w:tc>
      </w:tr>
    </w:tbl>
    <w:p w:rsidR="00BD3B5F" w:rsidRPr="005C3B55" w:rsidRDefault="00BD3B5F">
      <w:pPr>
        <w:rPr>
          <w:szCs w:val="24"/>
        </w:rPr>
      </w:pPr>
      <w:r w:rsidRPr="005C3B55">
        <w:rPr>
          <w:szCs w:val="24"/>
        </w:rPr>
        <w:t>Description</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10656" w:type="dxa"/>
            <w:tcMar>
              <w:top w:w="20" w:type="dxa"/>
              <w:bottom w:w="20" w:type="dxa"/>
            </w:tcMar>
            <w:vAlign w:val="bottom"/>
          </w:tcPr>
          <w:p w:rsidR="00BD3B5F" w:rsidRPr="005C3B55" w:rsidRDefault="00BD3B5F">
            <w:pPr>
              <w:spacing w:before="0" w:after="240"/>
              <w:jc w:val="left"/>
              <w:rPr>
                <w:noProof/>
                <w:szCs w:val="24"/>
              </w:rPr>
            </w:pPr>
            <w:r w:rsidRPr="005C3B55">
              <w:rPr>
                <w:szCs w:val="24"/>
              </w:rPr>
              <w:t>Agriculture is a source of greenhouse gas emissions (9.7% of all emissions).</w:t>
            </w:r>
            <w:r w:rsidRPr="005C3B55">
              <w:rPr>
                <w:noProof/>
                <w:szCs w:val="24"/>
              </w:rPr>
              <w:t xml:space="preserve"> </w:t>
            </w:r>
            <w:r w:rsidRPr="005C3B55">
              <w:rPr>
                <w:szCs w:val="24"/>
              </w:rPr>
              <w:t>Methane and nitrous oxide contribute most to the emissions (over 90% of emissions from agriculture), followed by carbon dioxide.</w:t>
            </w:r>
            <w:r w:rsidRPr="005C3B55">
              <w:rPr>
                <w:noProof/>
                <w:szCs w:val="24"/>
              </w:rPr>
              <w:t xml:space="preserve"> </w:t>
            </w:r>
            <w:r w:rsidRPr="005C3B55">
              <w:rPr>
                <w:szCs w:val="24"/>
              </w:rPr>
              <w:t>This sector also contributes over 90% of ammonia emissions.</w:t>
            </w:r>
            <w:r w:rsidRPr="005C3B55">
              <w:rPr>
                <w:noProof/>
                <w:szCs w:val="24"/>
              </w:rPr>
              <w:t xml:space="preserve"> </w:t>
            </w:r>
            <w:r w:rsidRPr="005C3B55">
              <w:rPr>
                <w:szCs w:val="24"/>
              </w:rPr>
              <w:t>The reduction of greenhouse gas and ammonia emissions is one of the main challenges of Slovenian agriculture.</w:t>
            </w:r>
          </w:p>
          <w:p w:rsidR="00BD3B5F" w:rsidRPr="005C3B55" w:rsidRDefault="00BD3B5F">
            <w:pPr>
              <w:spacing w:before="240" w:after="240"/>
              <w:jc w:val="left"/>
              <w:rPr>
                <w:noProof/>
                <w:szCs w:val="24"/>
              </w:rPr>
            </w:pPr>
            <w:r w:rsidRPr="005C3B55">
              <w:rPr>
                <w:szCs w:val="24"/>
              </w:rPr>
              <w:t>The possibilities of reducing greenhouse gas emissions from agriculture are mostly evident in the area of vegetable production and the use of energy efficient technologies, effective nitrogen management, including such types and quantities as well as time and manner of applying fertilisers, optimising fertilisation on the basis of soil analysis, fertilisation plans, appropriate methods of soil cultivation, the selection of crop rotation with a sufficient share of both legume crops and soil greening.</w:t>
            </w:r>
            <w:r w:rsidRPr="005C3B55">
              <w:rPr>
                <w:noProof/>
                <w:szCs w:val="24"/>
              </w:rPr>
              <w:t xml:space="preserve"> </w:t>
            </w:r>
            <w:r w:rsidRPr="005C3B55">
              <w:rPr>
                <w:szCs w:val="24"/>
              </w:rPr>
              <w:t>The latter measures, which are connected to the manner of land treatment which increases organic matter in soil, also have positive effects on the storing or binding of carbon in soil.</w:t>
            </w:r>
          </w:p>
          <w:p w:rsidR="00BD3B5F" w:rsidRPr="005C3B55" w:rsidRDefault="00BD3B5F">
            <w:pPr>
              <w:spacing w:before="240" w:after="240"/>
              <w:jc w:val="left"/>
              <w:rPr>
                <w:noProof/>
                <w:szCs w:val="24"/>
              </w:rPr>
            </w:pPr>
            <w:r w:rsidRPr="005C3B55">
              <w:rPr>
                <w:szCs w:val="24"/>
              </w:rPr>
              <w:t>In the field of cattle farming, the reduction of greenhouse gas and ammonia emissions can be achieved with more appropriate animal manure management and by improving breeding technology, reducing the intensity of breeding, pasturing, improving fodder rations, more appropriate storage of manure and acquiring biogas etc.</w:t>
            </w:r>
          </w:p>
          <w:p w:rsidR="00BD3B5F" w:rsidRPr="005C3B55" w:rsidRDefault="00BD3B5F">
            <w:pPr>
              <w:spacing w:before="240" w:after="240"/>
              <w:jc w:val="left"/>
              <w:rPr>
                <w:noProof/>
                <w:szCs w:val="24"/>
              </w:rPr>
            </w:pPr>
            <w:r w:rsidRPr="005C3B55">
              <w:rPr>
                <w:szCs w:val="24"/>
              </w:rPr>
              <w:t>Increasing the efficient use of energy on agricultural holdings also positively impacts the reduction of emissions.</w:t>
            </w:r>
          </w:p>
          <w:p w:rsidR="00BD3B5F" w:rsidRPr="005C3B55" w:rsidRDefault="00BD3B5F">
            <w:pPr>
              <w:spacing w:before="240" w:after="240"/>
              <w:jc w:val="left"/>
              <w:rPr>
                <w:noProof/>
                <w:szCs w:val="24"/>
              </w:rPr>
            </w:pPr>
            <w:r w:rsidRPr="005C3B55">
              <w:rPr>
                <w:szCs w:val="24"/>
              </w:rPr>
              <w:t>The qualifications of farmers, accessibility of specialised advisory services and more efficient transfer of knowledge and innovation in practice should also be stimulated.</w:t>
            </w:r>
          </w:p>
          <w:p w:rsidR="00BD3B5F" w:rsidRPr="005C3B55" w:rsidRDefault="00BD3B5F">
            <w:pPr>
              <w:pStyle w:val="Telobesedila"/>
              <w:rPr>
                <w:szCs w:val="24"/>
              </w:rPr>
            </w:pPr>
          </w:p>
        </w:tc>
      </w:tr>
    </w:tbl>
    <w:p w:rsidR="00BD3B5F" w:rsidRPr="005C3B55" w:rsidRDefault="00BD3B5F">
      <w:pPr>
        <w:pStyle w:val="Naslov3"/>
        <w:tabs>
          <w:tab w:val="clear" w:pos="765"/>
        </w:tabs>
        <w:ind w:left="0" w:firstLine="0"/>
        <w:jc w:val="left"/>
        <w:rPr>
          <w:szCs w:val="24"/>
          <w:lang w:val="en-GB"/>
        </w:rPr>
      </w:pPr>
      <w:bookmarkStart w:id="64" w:name="_Toc416192522"/>
      <w:r w:rsidRPr="005C3B55">
        <w:rPr>
          <w:szCs w:val="24"/>
          <w:lang w:val="en-GB"/>
        </w:rPr>
        <w:t>N13 - Increasing the use of RES in the use of energy and increasing the energy efficiency</w:t>
      </w:r>
      <w:bookmarkEnd w:id="64"/>
      <w:r w:rsidRPr="005C3B55">
        <w:rPr>
          <w:szCs w:val="24"/>
          <w:lang w:val="en-GB"/>
        </w:rPr>
        <w:t xml:space="preserve"> </w:t>
      </w:r>
    </w:p>
    <w:p w:rsidR="00BD3B5F" w:rsidRPr="005C3B55" w:rsidRDefault="00BD3B5F">
      <w:pPr>
        <w:rPr>
          <w:szCs w:val="24"/>
        </w:rPr>
      </w:pPr>
      <w:r w:rsidRPr="005C3B55">
        <w:rPr>
          <w:szCs w:val="24"/>
        </w:rPr>
        <w:t>Priorities/focus areas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10656"/>
      </w:tblGrid>
      <w:tr w:rsidR="00BD3B5F" w:rsidRPr="005C3B55">
        <w:tc>
          <w:tcPr>
            <w:tcW w:w="10656" w:type="dxa"/>
            <w:tcMar>
              <w:top w:w="20" w:type="dxa"/>
              <w:bottom w:w="20" w:type="dxa"/>
            </w:tcMar>
            <w:vAlign w:val="bottom"/>
          </w:tcPr>
          <w:p w:rsidR="00BD3B5F" w:rsidRPr="005C3B55" w:rsidRDefault="00BD3B5F" w:rsidP="00BD3B5F">
            <w:pPr>
              <w:numPr>
                <w:ilvl w:val="0"/>
                <w:numId w:val="50"/>
              </w:numPr>
              <w:rPr>
                <w:szCs w:val="24"/>
              </w:rPr>
            </w:pPr>
            <w:r w:rsidRPr="005C3B55">
              <w:rPr>
                <w:szCs w:val="24"/>
              </w:rPr>
              <w:t>2A) Improving the economic performance of all agricultural holdings and facilitating the restructuring and modernisation of agricultural holdings, in order to particularly increase their market participation, market-orientation and agricultural diversification</w:t>
            </w:r>
          </w:p>
          <w:p w:rsidR="00BD3B5F" w:rsidRPr="005C3B55" w:rsidRDefault="00BD3B5F" w:rsidP="00BD3B5F">
            <w:pPr>
              <w:numPr>
                <w:ilvl w:val="0"/>
                <w:numId w:val="50"/>
              </w:numPr>
              <w:rPr>
                <w:szCs w:val="24"/>
              </w:rPr>
            </w:pPr>
            <w:r w:rsidRPr="005C3B55">
              <w:rPr>
                <w:szCs w:val="24"/>
              </w:rPr>
              <w:t>5B) Increasing energy efficiency in agriculture and food production</w:t>
            </w:r>
          </w:p>
          <w:p w:rsidR="00BD3B5F" w:rsidRPr="005C3B55" w:rsidRDefault="00BD3B5F" w:rsidP="00BD3B5F">
            <w:pPr>
              <w:numPr>
                <w:ilvl w:val="0"/>
                <w:numId w:val="50"/>
              </w:numPr>
              <w:rPr>
                <w:szCs w:val="24"/>
              </w:rPr>
            </w:pPr>
            <w:r w:rsidRPr="005C3B55">
              <w:rPr>
                <w:szCs w:val="24"/>
              </w:rPr>
              <w:t>5C) Facilitating the supply and use of renewable energy sources, by-products, waste and residue and other non-food materials for the purposes of bio-economy</w:t>
            </w:r>
          </w:p>
          <w:p w:rsidR="00BD3B5F" w:rsidRPr="005C3B55" w:rsidRDefault="00BD3B5F" w:rsidP="00BD3B5F">
            <w:pPr>
              <w:numPr>
                <w:ilvl w:val="0"/>
                <w:numId w:val="50"/>
              </w:numPr>
              <w:rPr>
                <w:szCs w:val="24"/>
              </w:rPr>
            </w:pPr>
            <w:r w:rsidRPr="005C3B55">
              <w:rPr>
                <w:szCs w:val="24"/>
              </w:rPr>
              <w:t>6A) Facilitating diversification, creation and development of small enterprises and job creation</w:t>
            </w:r>
          </w:p>
        </w:tc>
      </w:tr>
    </w:tbl>
    <w:p w:rsidR="00BD3B5F" w:rsidRPr="005C3B55" w:rsidRDefault="00BD3B5F">
      <w:pPr>
        <w:rPr>
          <w:szCs w:val="24"/>
        </w:rPr>
      </w:pPr>
      <w:r w:rsidRPr="005C3B55">
        <w:rPr>
          <w:szCs w:val="24"/>
        </w:rPr>
        <w:t>Horizontal objectives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10656"/>
      </w:tblGrid>
      <w:tr w:rsidR="00BD3B5F" w:rsidRPr="005C3B55">
        <w:tc>
          <w:tcPr>
            <w:tcW w:w="10656" w:type="dxa"/>
            <w:tcMar>
              <w:top w:w="20" w:type="dxa"/>
              <w:bottom w:w="20" w:type="dxa"/>
            </w:tcMar>
            <w:vAlign w:val="bottom"/>
          </w:tcPr>
          <w:p w:rsidR="00BD3B5F" w:rsidRPr="005C3B55" w:rsidRDefault="00BD3B5F" w:rsidP="00BD3B5F">
            <w:pPr>
              <w:numPr>
                <w:ilvl w:val="0"/>
                <w:numId w:val="51"/>
              </w:numPr>
              <w:rPr>
                <w:szCs w:val="24"/>
              </w:rPr>
            </w:pPr>
            <w:r w:rsidRPr="005C3B55">
              <w:rPr>
                <w:szCs w:val="24"/>
              </w:rPr>
              <w:t>Environment</w:t>
            </w:r>
          </w:p>
          <w:p w:rsidR="00BD3B5F" w:rsidRPr="005C3B55" w:rsidRDefault="00BD3B5F" w:rsidP="00BD3B5F">
            <w:pPr>
              <w:numPr>
                <w:ilvl w:val="0"/>
                <w:numId w:val="51"/>
              </w:numPr>
              <w:rPr>
                <w:szCs w:val="24"/>
              </w:rPr>
            </w:pPr>
            <w:r w:rsidRPr="005C3B55">
              <w:rPr>
                <w:szCs w:val="24"/>
              </w:rPr>
              <w:t>Mitigating, and adapting to, climate change</w:t>
            </w:r>
          </w:p>
          <w:p w:rsidR="00BD3B5F" w:rsidRPr="005C3B55" w:rsidRDefault="00BD3B5F" w:rsidP="00BD3B5F">
            <w:pPr>
              <w:numPr>
                <w:ilvl w:val="0"/>
                <w:numId w:val="51"/>
              </w:numPr>
              <w:rPr>
                <w:szCs w:val="24"/>
              </w:rPr>
            </w:pPr>
            <w:r w:rsidRPr="005C3B55">
              <w:rPr>
                <w:szCs w:val="24"/>
              </w:rPr>
              <w:t>Innovation</w:t>
            </w:r>
          </w:p>
        </w:tc>
      </w:tr>
    </w:tbl>
    <w:p w:rsidR="00BD3B5F" w:rsidRPr="005C3B55" w:rsidRDefault="00BD3B5F">
      <w:pPr>
        <w:rPr>
          <w:szCs w:val="24"/>
        </w:rPr>
      </w:pPr>
      <w:r w:rsidRPr="005C3B55">
        <w:rPr>
          <w:szCs w:val="24"/>
        </w:rPr>
        <w:t>Description</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10656" w:type="dxa"/>
            <w:tcMar>
              <w:top w:w="20" w:type="dxa"/>
              <w:bottom w:w="20" w:type="dxa"/>
            </w:tcMar>
            <w:vAlign w:val="bottom"/>
          </w:tcPr>
          <w:p w:rsidR="00BD3B5F" w:rsidRPr="005C3B55" w:rsidRDefault="00BD3B5F">
            <w:pPr>
              <w:spacing w:before="0" w:after="240"/>
              <w:jc w:val="left"/>
              <w:rPr>
                <w:noProof/>
                <w:szCs w:val="24"/>
              </w:rPr>
            </w:pPr>
            <w:r w:rsidRPr="005C3B55">
              <w:rPr>
                <w:szCs w:val="24"/>
              </w:rPr>
              <w:t>The largest share of all energy consumed in agriculture is taken by gas oil to power agricultural machinery and energy to produce mineral fertilisers (more than 90% of all consumption).</w:t>
            </w:r>
            <w:r w:rsidRPr="005C3B55">
              <w:rPr>
                <w:noProof/>
                <w:szCs w:val="24"/>
              </w:rPr>
              <w:t xml:space="preserve"> </w:t>
            </w:r>
            <w:r w:rsidRPr="005C3B55">
              <w:rPr>
                <w:szCs w:val="24"/>
              </w:rPr>
              <w:t>Electricity and the use of petrol present lower shares.</w:t>
            </w:r>
            <w:r w:rsidRPr="005C3B55">
              <w:rPr>
                <w:noProof/>
                <w:szCs w:val="24"/>
              </w:rPr>
              <w:t xml:space="preserve"> </w:t>
            </w:r>
            <w:r w:rsidRPr="005C3B55">
              <w:rPr>
                <w:szCs w:val="24"/>
              </w:rPr>
              <w:t>Increasing the use of renewable sources of energy on agricultural holdings and increasing their energy efficiency can improve their environmental efficiency and at the same time reduce their dependence on non-renewable energy sources.</w:t>
            </w:r>
          </w:p>
          <w:p w:rsidR="00BD3B5F" w:rsidRPr="005C3B55" w:rsidRDefault="00BD3B5F">
            <w:pPr>
              <w:spacing w:before="240" w:after="240"/>
              <w:jc w:val="left"/>
              <w:rPr>
                <w:noProof/>
                <w:szCs w:val="24"/>
              </w:rPr>
            </w:pPr>
            <w:r w:rsidRPr="005C3B55">
              <w:rPr>
                <w:szCs w:val="24"/>
              </w:rPr>
              <w:t>Biogas, water, geothermal energy, solar energy, the use of wood biomass are the key renewable sources of energy which can significantly impact further development.</w:t>
            </w:r>
            <w:r w:rsidRPr="005C3B55">
              <w:rPr>
                <w:noProof/>
                <w:szCs w:val="24"/>
              </w:rPr>
              <w:t xml:space="preserve"> </w:t>
            </w:r>
            <w:r w:rsidRPr="005C3B55">
              <w:rPr>
                <w:szCs w:val="24"/>
              </w:rPr>
              <w:t>We must ensure that especially in the field of wood biomass use the aspects of sustainable use of forest potential are considered and harmonised with forest management plans to avoid excessive exploitation of forests for energy purposes.</w:t>
            </w:r>
            <w:r w:rsidRPr="005C3B55">
              <w:rPr>
                <w:noProof/>
                <w:szCs w:val="24"/>
              </w:rPr>
              <w:t xml:space="preserve"> </w:t>
            </w:r>
            <w:r w:rsidRPr="005C3B55">
              <w:rPr>
                <w:szCs w:val="24"/>
              </w:rPr>
              <w:t>The use of wood biomass must not become a source for increasing the burden with PM particles which emerge due to non-optimal burning of wood biomass in old and inefficient solid fuel furnaces or other devices with non-optimal burning.</w:t>
            </w:r>
          </w:p>
          <w:p w:rsidR="00BD3B5F" w:rsidRPr="005C3B55" w:rsidRDefault="00BD3B5F">
            <w:pPr>
              <w:spacing w:before="240" w:after="240"/>
              <w:jc w:val="left"/>
              <w:rPr>
                <w:noProof/>
                <w:szCs w:val="24"/>
              </w:rPr>
            </w:pPr>
            <w:r w:rsidRPr="005C3B55">
              <w:rPr>
                <w:szCs w:val="24"/>
              </w:rPr>
              <w:t>The energy efficiency of agricultural holdings can be improved by reducing the fragmentation of agricultural land and improving the energy efficiency of buildings, machinery and equipment, with a different method of cultivation that also reduces fuel consumption etc.</w:t>
            </w:r>
          </w:p>
          <w:p w:rsidR="00BD3B5F" w:rsidRPr="005C3B55" w:rsidRDefault="00BD3B5F">
            <w:pPr>
              <w:spacing w:before="240" w:after="240"/>
              <w:jc w:val="left"/>
              <w:rPr>
                <w:noProof/>
                <w:szCs w:val="24"/>
              </w:rPr>
            </w:pPr>
            <w:r w:rsidRPr="005C3B55">
              <w:rPr>
                <w:szCs w:val="24"/>
              </w:rPr>
              <w:t>All of the above can significantly reduce energy use and contribute to increasing the competitiveness of agricultural holdings.</w:t>
            </w:r>
            <w:r w:rsidRPr="005C3B55">
              <w:rPr>
                <w:noProof/>
                <w:szCs w:val="24"/>
              </w:rPr>
              <w:t xml:space="preserve"> </w:t>
            </w:r>
            <w:r w:rsidRPr="005C3B55">
              <w:rPr>
                <w:szCs w:val="24"/>
              </w:rPr>
              <w:t>All these measures contribute to reducing CO</w:t>
            </w:r>
            <w:r w:rsidRPr="005C3B55">
              <w:rPr>
                <w:szCs w:val="24"/>
                <w:vertAlign w:val="subscript"/>
              </w:rPr>
              <w:t>2</w:t>
            </w:r>
            <w:r w:rsidRPr="005C3B55">
              <w:rPr>
                <w:szCs w:val="24"/>
              </w:rPr>
              <w:t xml:space="preserve"> emissions and mitigating climate change.</w:t>
            </w:r>
          </w:p>
          <w:p w:rsidR="00BD3B5F" w:rsidRPr="005C3B55" w:rsidRDefault="00BD3B5F">
            <w:pPr>
              <w:pStyle w:val="Telobesedila"/>
              <w:rPr>
                <w:szCs w:val="24"/>
              </w:rPr>
            </w:pPr>
          </w:p>
        </w:tc>
      </w:tr>
    </w:tbl>
    <w:p w:rsidR="00BD3B5F" w:rsidRPr="005C3B55" w:rsidRDefault="00BD3B5F">
      <w:pPr>
        <w:pStyle w:val="Naslov3"/>
        <w:tabs>
          <w:tab w:val="clear" w:pos="765"/>
        </w:tabs>
        <w:ind w:left="0" w:firstLine="0"/>
        <w:jc w:val="left"/>
        <w:rPr>
          <w:szCs w:val="24"/>
          <w:lang w:val="en-GB"/>
        </w:rPr>
      </w:pPr>
      <w:bookmarkStart w:id="65" w:name="_Toc416192523"/>
      <w:r w:rsidRPr="005C3B55">
        <w:rPr>
          <w:szCs w:val="24"/>
          <w:lang w:val="en-GB"/>
        </w:rPr>
        <w:t>N14 - Adjustment of agriculture to climate change</w:t>
      </w:r>
      <w:bookmarkEnd w:id="65"/>
    </w:p>
    <w:p w:rsidR="00BD3B5F" w:rsidRPr="005C3B55" w:rsidRDefault="00BD3B5F">
      <w:pPr>
        <w:spacing w:before="0" w:after="0"/>
        <w:rPr>
          <w:szCs w:val="24"/>
        </w:rPr>
      </w:pPr>
      <w:r w:rsidRPr="005C3B55">
        <w:rPr>
          <w:szCs w:val="24"/>
        </w:rPr>
        <w:t>Priorities/focus areas</w:t>
      </w:r>
    </w:p>
    <w:p w:rsidR="00BD3B5F" w:rsidRPr="005C3B55" w:rsidRDefault="00BD3B5F">
      <w:pPr>
        <w:spacing w:before="0" w:after="0"/>
        <w:rPr>
          <w:szCs w:val="24"/>
        </w:rPr>
      </w:pP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10656"/>
      </w:tblGrid>
      <w:tr w:rsidR="00BD3B5F" w:rsidRPr="005C3B55">
        <w:tc>
          <w:tcPr>
            <w:tcW w:w="10656" w:type="dxa"/>
            <w:tcMar>
              <w:top w:w="20" w:type="dxa"/>
              <w:bottom w:w="20" w:type="dxa"/>
            </w:tcMar>
            <w:vAlign w:val="bottom"/>
          </w:tcPr>
          <w:p w:rsidR="00BD3B5F" w:rsidRPr="005C3B55" w:rsidRDefault="00BD3B5F" w:rsidP="00BD3B5F">
            <w:pPr>
              <w:numPr>
                <w:ilvl w:val="0"/>
                <w:numId w:val="52"/>
              </w:numPr>
              <w:rPr>
                <w:szCs w:val="24"/>
              </w:rPr>
            </w:pPr>
            <w:r w:rsidRPr="005C3B55">
              <w:rPr>
                <w:szCs w:val="24"/>
              </w:rPr>
              <w:t>1A) Promoting innovation, cooperation and the development of knowledge bases in rural areas</w:t>
            </w:r>
          </w:p>
          <w:p w:rsidR="00BD3B5F" w:rsidRPr="005C3B55" w:rsidRDefault="00BD3B5F" w:rsidP="00BD3B5F">
            <w:pPr>
              <w:numPr>
                <w:ilvl w:val="0"/>
                <w:numId w:val="52"/>
              </w:numPr>
              <w:rPr>
                <w:szCs w:val="24"/>
              </w:rPr>
            </w:pPr>
            <w:r w:rsidRPr="005C3B55">
              <w:rPr>
                <w:szCs w:val="24"/>
              </w:rPr>
              <w:t>1B) Strengthening the links between agriculture, food production and forestry and research and innovation, including for a better environmental management and environmental efficiency</w:t>
            </w:r>
          </w:p>
          <w:p w:rsidR="00BD3B5F" w:rsidRPr="005C3B55" w:rsidRDefault="00BD3B5F" w:rsidP="00BD3B5F">
            <w:pPr>
              <w:numPr>
                <w:ilvl w:val="0"/>
                <w:numId w:val="52"/>
              </w:numPr>
              <w:rPr>
                <w:szCs w:val="24"/>
              </w:rPr>
            </w:pPr>
            <w:r w:rsidRPr="005C3B55">
              <w:rPr>
                <w:szCs w:val="24"/>
              </w:rPr>
              <w:t>1C) Enhancing life-long learning and professional training in the agricultural and forestry sectors</w:t>
            </w:r>
          </w:p>
          <w:p w:rsidR="00BD3B5F" w:rsidRPr="005C3B55" w:rsidRDefault="00BD3B5F" w:rsidP="00BD3B5F">
            <w:pPr>
              <w:numPr>
                <w:ilvl w:val="0"/>
                <w:numId w:val="52"/>
              </w:numPr>
              <w:rPr>
                <w:szCs w:val="24"/>
              </w:rPr>
            </w:pPr>
            <w:r w:rsidRPr="005C3B55">
              <w:rPr>
                <w:szCs w:val="24"/>
              </w:rPr>
              <w:t>2A) Improving the economic performance of all agricultural holdings and facilitating the restructuring and modernisation of agricultural holdings, in order to particularly increase their market participation, market-orientation and agricultural diversification</w:t>
            </w:r>
          </w:p>
          <w:p w:rsidR="00BD3B5F" w:rsidRPr="005C3B55" w:rsidRDefault="00BD3B5F" w:rsidP="00BD3B5F">
            <w:pPr>
              <w:numPr>
                <w:ilvl w:val="0"/>
                <w:numId w:val="52"/>
              </w:numPr>
              <w:rPr>
                <w:szCs w:val="24"/>
              </w:rPr>
            </w:pPr>
            <w:r w:rsidRPr="005C3B55">
              <w:rPr>
                <w:szCs w:val="24"/>
              </w:rPr>
              <w:t>4A) Restoring, preserving and enhancing biodiversity, including in Natura 2000 sites, and in areas facing natural or other specific constraints, and high nature value farming, as well as the state of European landscapes</w:t>
            </w:r>
          </w:p>
          <w:p w:rsidR="00BD3B5F" w:rsidRPr="005C3B55" w:rsidRDefault="00BD3B5F" w:rsidP="00BD3B5F">
            <w:pPr>
              <w:numPr>
                <w:ilvl w:val="0"/>
                <w:numId w:val="52"/>
              </w:numPr>
              <w:rPr>
                <w:szCs w:val="24"/>
              </w:rPr>
            </w:pPr>
            <w:r w:rsidRPr="005C3B55">
              <w:rPr>
                <w:szCs w:val="24"/>
              </w:rPr>
              <w:t>4B) Improving water management, including the management of fertilisers and pesticides</w:t>
            </w:r>
          </w:p>
          <w:p w:rsidR="00BD3B5F" w:rsidRPr="005C3B55" w:rsidRDefault="00BD3B5F" w:rsidP="00BD3B5F">
            <w:pPr>
              <w:numPr>
                <w:ilvl w:val="0"/>
                <w:numId w:val="52"/>
              </w:numPr>
              <w:rPr>
                <w:szCs w:val="24"/>
              </w:rPr>
            </w:pPr>
            <w:r w:rsidRPr="005C3B55">
              <w:rPr>
                <w:szCs w:val="24"/>
              </w:rPr>
              <w:t>4C) Preventing soil erosion and improving soil management</w:t>
            </w:r>
          </w:p>
          <w:p w:rsidR="00BD3B5F" w:rsidRPr="005C3B55" w:rsidRDefault="00BD3B5F" w:rsidP="00BD3B5F">
            <w:pPr>
              <w:numPr>
                <w:ilvl w:val="0"/>
                <w:numId w:val="52"/>
              </w:numPr>
              <w:rPr>
                <w:szCs w:val="24"/>
              </w:rPr>
            </w:pPr>
            <w:r w:rsidRPr="005C3B55">
              <w:rPr>
                <w:szCs w:val="24"/>
              </w:rPr>
              <w:t>5A) Increasing efficient water use in agriculture</w:t>
            </w:r>
          </w:p>
          <w:p w:rsidR="00BD3B5F" w:rsidRPr="005C3B55" w:rsidRDefault="00BD3B5F" w:rsidP="00BD3B5F">
            <w:pPr>
              <w:numPr>
                <w:ilvl w:val="0"/>
                <w:numId w:val="52"/>
              </w:numPr>
              <w:rPr>
                <w:szCs w:val="24"/>
              </w:rPr>
            </w:pPr>
            <w:r w:rsidRPr="005C3B55">
              <w:rPr>
                <w:szCs w:val="24"/>
              </w:rPr>
              <w:t>5D) Reducing emissions of greenhouse gases and ammonia in agriculture</w:t>
            </w:r>
          </w:p>
        </w:tc>
      </w:tr>
    </w:tbl>
    <w:p w:rsidR="00BD3B5F" w:rsidRPr="005C3B55" w:rsidRDefault="00BD3B5F">
      <w:pPr>
        <w:rPr>
          <w:szCs w:val="24"/>
        </w:rPr>
      </w:pPr>
      <w:r w:rsidRPr="005C3B55">
        <w:rPr>
          <w:szCs w:val="24"/>
        </w:rPr>
        <w:t>Horizontal objectives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10656"/>
      </w:tblGrid>
      <w:tr w:rsidR="00BD3B5F" w:rsidRPr="005C3B55">
        <w:tc>
          <w:tcPr>
            <w:tcW w:w="10656" w:type="dxa"/>
            <w:tcMar>
              <w:top w:w="20" w:type="dxa"/>
              <w:bottom w:w="20" w:type="dxa"/>
            </w:tcMar>
            <w:vAlign w:val="bottom"/>
          </w:tcPr>
          <w:p w:rsidR="00BD3B5F" w:rsidRPr="005C3B55" w:rsidRDefault="00BD3B5F" w:rsidP="00BD3B5F">
            <w:pPr>
              <w:numPr>
                <w:ilvl w:val="0"/>
                <w:numId w:val="53"/>
              </w:numPr>
              <w:rPr>
                <w:szCs w:val="24"/>
              </w:rPr>
            </w:pPr>
            <w:r w:rsidRPr="005C3B55">
              <w:rPr>
                <w:szCs w:val="24"/>
              </w:rPr>
              <w:t>Environment</w:t>
            </w:r>
          </w:p>
          <w:p w:rsidR="00BD3B5F" w:rsidRPr="005C3B55" w:rsidRDefault="00BD3B5F" w:rsidP="00BD3B5F">
            <w:pPr>
              <w:numPr>
                <w:ilvl w:val="0"/>
                <w:numId w:val="53"/>
              </w:numPr>
              <w:rPr>
                <w:szCs w:val="24"/>
              </w:rPr>
            </w:pPr>
            <w:r w:rsidRPr="005C3B55">
              <w:rPr>
                <w:szCs w:val="24"/>
              </w:rPr>
              <w:t>Mitigating, and adapting to, climate change</w:t>
            </w:r>
          </w:p>
          <w:p w:rsidR="00BD3B5F" w:rsidRPr="005C3B55" w:rsidRDefault="00BD3B5F" w:rsidP="00BD3B5F">
            <w:pPr>
              <w:numPr>
                <w:ilvl w:val="0"/>
                <w:numId w:val="53"/>
              </w:numPr>
              <w:rPr>
                <w:szCs w:val="24"/>
              </w:rPr>
            </w:pPr>
            <w:r w:rsidRPr="005C3B55">
              <w:rPr>
                <w:szCs w:val="24"/>
              </w:rPr>
              <w:t>Innovation</w:t>
            </w:r>
          </w:p>
        </w:tc>
      </w:tr>
    </w:tbl>
    <w:p w:rsidR="00BD3B5F" w:rsidRPr="005C3B55" w:rsidRDefault="00BD3B5F">
      <w:pPr>
        <w:rPr>
          <w:szCs w:val="24"/>
        </w:rPr>
      </w:pPr>
      <w:r w:rsidRPr="005C3B55">
        <w:rPr>
          <w:szCs w:val="24"/>
        </w:rPr>
        <w:t>Description</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10656" w:type="dxa"/>
            <w:tcMar>
              <w:top w:w="20" w:type="dxa"/>
              <w:bottom w:w="20" w:type="dxa"/>
            </w:tcMar>
            <w:vAlign w:val="bottom"/>
          </w:tcPr>
          <w:p w:rsidR="00BD3B5F" w:rsidRPr="005C3B55" w:rsidRDefault="00BD3B5F">
            <w:pPr>
              <w:spacing w:before="0" w:after="240"/>
              <w:jc w:val="left"/>
              <w:rPr>
                <w:noProof/>
                <w:szCs w:val="24"/>
              </w:rPr>
            </w:pPr>
            <w:r w:rsidRPr="005C3B55">
              <w:rPr>
                <w:szCs w:val="24"/>
              </w:rPr>
              <w:t>Agriculture is more and more exposed to the effects of climate change; therefore, adaptation should start as soon as possible.</w:t>
            </w:r>
            <w:r w:rsidRPr="005C3B55">
              <w:rPr>
                <w:noProof/>
                <w:szCs w:val="24"/>
              </w:rPr>
              <w:t xml:space="preserve"> </w:t>
            </w:r>
            <w:r w:rsidRPr="005C3B55">
              <w:rPr>
                <w:szCs w:val="24"/>
              </w:rPr>
              <w:t>At the level of agricultural holdings, appropriate agro-technical practices should be employed to adapt to modified climate change, e.g. the selection of appropriate crop rotation (better utilisation of available water, reduced danger of pest and diseases); adaptation of the date of sowing to temperatures and precipitation; the selection of appropriate varieties of agricultural plants that are more resistant to drought; the improvement of supervision of pests and diseases (situation monitoring, integrated protection); the maintenance of hedges and trees for wind protection, appropriate soil cultivation that reduces evapotranspiration.</w:t>
            </w:r>
            <w:r w:rsidRPr="005C3B55">
              <w:rPr>
                <w:noProof/>
                <w:szCs w:val="24"/>
              </w:rPr>
              <w:t xml:space="preserve"> </w:t>
            </w:r>
            <w:r w:rsidRPr="005C3B55">
              <w:rPr>
                <w:szCs w:val="24"/>
              </w:rPr>
              <w:t>These measures also include the adaptation of ventilation and cooling systems in stables to prevent heat stress in animals, the selection of more adaptable breeds of domestic animals and the adaptation of fodder (e.g. in the case of heat stress).</w:t>
            </w:r>
          </w:p>
          <w:p w:rsidR="00BD3B5F" w:rsidRPr="005C3B55" w:rsidRDefault="00BD3B5F">
            <w:pPr>
              <w:spacing w:before="240" w:after="240"/>
              <w:jc w:val="left"/>
              <w:rPr>
                <w:noProof/>
                <w:szCs w:val="24"/>
              </w:rPr>
            </w:pPr>
            <w:r w:rsidRPr="005C3B55">
              <w:rPr>
                <w:szCs w:val="24"/>
              </w:rPr>
              <w:t>To reduce risks and limit damage caused by climate change, agricultural holdings can contribute by investing in more efficient water management (technological modernisation of existing irrigation systems and more efficient irrigation systems, use of wastewater, storage of rainwater, reducing loss of water) and setting up systems for protection against adverse climatic events (anti-hail nets, protection against frost etc.).</w:t>
            </w:r>
            <w:r w:rsidRPr="005C3B55">
              <w:rPr>
                <w:noProof/>
                <w:szCs w:val="24"/>
              </w:rPr>
              <w:t xml:space="preserve"> </w:t>
            </w:r>
            <w:r w:rsidRPr="005C3B55">
              <w:rPr>
                <w:szCs w:val="24"/>
              </w:rPr>
              <w:t>Within the scope of technological renovations of existing irrigation systems, we must follow the objectives of reducing the consumption of water and its effective use, as well as increasing water savings (reduce losses of water due to system modernisation etc.), which can contribute to faster adaptation to climate change and reducing the impacts of agriculture on the environment.</w:t>
            </w:r>
            <w:r w:rsidRPr="005C3B55">
              <w:rPr>
                <w:noProof/>
                <w:szCs w:val="24"/>
              </w:rPr>
              <w:t xml:space="preserve"> </w:t>
            </w:r>
            <w:r w:rsidRPr="005C3B55">
              <w:rPr>
                <w:szCs w:val="24"/>
              </w:rPr>
              <w:t>Market-oriented agricultural holdings are more affected by unfavourable weather conditions, since agriculture is their main source of income; therefore, they must be given access to financial means for adapting to climate change.</w:t>
            </w:r>
          </w:p>
          <w:p w:rsidR="00BD3B5F" w:rsidRPr="005C3B55" w:rsidRDefault="00BD3B5F">
            <w:pPr>
              <w:spacing w:before="240" w:after="240"/>
              <w:jc w:val="left"/>
              <w:rPr>
                <w:noProof/>
                <w:szCs w:val="24"/>
              </w:rPr>
            </w:pPr>
            <w:r w:rsidRPr="005C3B55">
              <w:rPr>
                <w:szCs w:val="24"/>
              </w:rPr>
              <w:t>The level of qualifications and raising the awareness of farmers will impact the speed of adapting agriculture to climate change; therefore, the intensive education of farmers should be stimulated, the accessibility of specialised advisory services should be enhanced and more efficient transfer of knowledge and innovation in practice should be ensured.</w:t>
            </w:r>
          </w:p>
          <w:p w:rsidR="00BD3B5F" w:rsidRPr="005C3B55" w:rsidRDefault="00BD3B5F">
            <w:pPr>
              <w:pStyle w:val="Telobesedila"/>
              <w:rPr>
                <w:szCs w:val="24"/>
              </w:rPr>
            </w:pPr>
          </w:p>
        </w:tc>
      </w:tr>
    </w:tbl>
    <w:p w:rsidR="00BD3B5F" w:rsidRPr="005C3B55" w:rsidRDefault="00BD3B5F">
      <w:pPr>
        <w:pStyle w:val="Naslov3"/>
        <w:tabs>
          <w:tab w:val="clear" w:pos="765"/>
        </w:tabs>
        <w:ind w:left="0" w:firstLine="0"/>
        <w:jc w:val="left"/>
        <w:rPr>
          <w:szCs w:val="24"/>
          <w:lang w:val="en-GB"/>
        </w:rPr>
      </w:pPr>
      <w:bookmarkStart w:id="66" w:name="_Toc416192524"/>
      <w:r w:rsidRPr="005C3B55">
        <w:rPr>
          <w:szCs w:val="24"/>
          <w:lang w:val="en-GB"/>
        </w:rPr>
        <w:t>N15 - Developing new risk management instruments</w:t>
      </w:r>
      <w:bookmarkEnd w:id="66"/>
    </w:p>
    <w:p w:rsidR="00BD3B5F" w:rsidRPr="005C3B55" w:rsidRDefault="00BD3B5F">
      <w:pPr>
        <w:rPr>
          <w:szCs w:val="24"/>
        </w:rPr>
      </w:pPr>
      <w:r w:rsidRPr="005C3B55">
        <w:rPr>
          <w:szCs w:val="24"/>
        </w:rPr>
        <w:t>Priorities/focus areas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10656"/>
      </w:tblGrid>
      <w:tr w:rsidR="00BD3B5F" w:rsidRPr="005C3B55">
        <w:tc>
          <w:tcPr>
            <w:tcW w:w="10656" w:type="dxa"/>
            <w:tcMar>
              <w:top w:w="20" w:type="dxa"/>
              <w:bottom w:w="20" w:type="dxa"/>
            </w:tcMar>
            <w:vAlign w:val="bottom"/>
          </w:tcPr>
          <w:p w:rsidR="00BD3B5F" w:rsidRPr="005C3B55" w:rsidRDefault="00BD3B5F" w:rsidP="00BD3B5F">
            <w:pPr>
              <w:numPr>
                <w:ilvl w:val="0"/>
                <w:numId w:val="54"/>
              </w:numPr>
              <w:rPr>
                <w:szCs w:val="24"/>
              </w:rPr>
            </w:pPr>
            <w:r w:rsidRPr="005C3B55">
              <w:rPr>
                <w:szCs w:val="24"/>
              </w:rPr>
              <w:t>3B) Support for the prevention and management of risks on farms</w:t>
            </w:r>
          </w:p>
        </w:tc>
      </w:tr>
    </w:tbl>
    <w:p w:rsidR="00BD3B5F" w:rsidRPr="005C3B55" w:rsidRDefault="00BD3B5F">
      <w:pPr>
        <w:rPr>
          <w:szCs w:val="24"/>
        </w:rPr>
      </w:pPr>
      <w:r w:rsidRPr="005C3B55">
        <w:rPr>
          <w:szCs w:val="24"/>
        </w:rPr>
        <w:t>Horizontal objectives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10656"/>
      </w:tblGrid>
      <w:tr w:rsidR="00BD3B5F" w:rsidRPr="005C3B55">
        <w:tc>
          <w:tcPr>
            <w:tcW w:w="10656" w:type="dxa"/>
            <w:tcMar>
              <w:top w:w="20" w:type="dxa"/>
              <w:bottom w:w="20" w:type="dxa"/>
            </w:tcMar>
            <w:vAlign w:val="bottom"/>
          </w:tcPr>
          <w:p w:rsidR="00BD3B5F" w:rsidRPr="005C3B55" w:rsidRDefault="00BD3B5F" w:rsidP="00BD3B5F">
            <w:pPr>
              <w:numPr>
                <w:ilvl w:val="0"/>
                <w:numId w:val="55"/>
              </w:numPr>
              <w:rPr>
                <w:szCs w:val="24"/>
              </w:rPr>
            </w:pPr>
            <w:r w:rsidRPr="005C3B55">
              <w:rPr>
                <w:szCs w:val="24"/>
              </w:rPr>
              <w:t>Mitigating, and adapting to, climate change</w:t>
            </w:r>
          </w:p>
        </w:tc>
      </w:tr>
    </w:tbl>
    <w:p w:rsidR="00BD3B5F" w:rsidRPr="005C3B55" w:rsidRDefault="00BD3B5F">
      <w:pPr>
        <w:rPr>
          <w:szCs w:val="24"/>
        </w:rPr>
      </w:pPr>
      <w:r w:rsidRPr="005C3B55">
        <w:rPr>
          <w:szCs w:val="24"/>
        </w:rPr>
        <w:t>Description</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10656" w:type="dxa"/>
            <w:tcMar>
              <w:top w:w="20" w:type="dxa"/>
              <w:bottom w:w="20" w:type="dxa"/>
            </w:tcMar>
            <w:vAlign w:val="bottom"/>
          </w:tcPr>
          <w:p w:rsidR="00BD3B5F" w:rsidRPr="005C3B55" w:rsidRDefault="00BD3B5F">
            <w:pPr>
              <w:spacing w:before="0" w:after="240"/>
              <w:jc w:val="left"/>
              <w:rPr>
                <w:noProof/>
                <w:szCs w:val="24"/>
              </w:rPr>
            </w:pPr>
            <w:r w:rsidRPr="005C3B55">
              <w:rPr>
                <w:szCs w:val="24"/>
              </w:rPr>
              <w:t>The production and income risks which agriculture will face in the future will increase with the impact of climate change.</w:t>
            </w:r>
            <w:r w:rsidRPr="005C3B55">
              <w:rPr>
                <w:noProof/>
                <w:szCs w:val="24"/>
              </w:rPr>
              <w:t xml:space="preserve"> </w:t>
            </w:r>
            <w:r w:rsidRPr="005C3B55">
              <w:rPr>
                <w:szCs w:val="24"/>
              </w:rPr>
              <w:t>These risks can be reduced by appropriate risk management and by adapting agricultural production and implementing preventive measures.</w:t>
            </w:r>
            <w:r w:rsidRPr="005C3B55">
              <w:rPr>
                <w:noProof/>
                <w:szCs w:val="24"/>
              </w:rPr>
              <w:t xml:space="preserve"> </w:t>
            </w:r>
            <w:r w:rsidRPr="005C3B55">
              <w:rPr>
                <w:szCs w:val="24"/>
              </w:rPr>
              <w:t>A system for co-financing insurance premiums for produce, animals and plants is available in Slovenia; however, insurance in case of drought is not possible.</w:t>
            </w:r>
            <w:r w:rsidRPr="005C3B55">
              <w:rPr>
                <w:noProof/>
                <w:szCs w:val="24"/>
              </w:rPr>
              <w:t xml:space="preserve"> </w:t>
            </w:r>
            <w:r w:rsidRPr="005C3B55">
              <w:rPr>
                <w:szCs w:val="24"/>
              </w:rPr>
              <w:t>The state budget provides means for co-financing insurance premiums.</w:t>
            </w:r>
            <w:r w:rsidRPr="005C3B55">
              <w:rPr>
                <w:noProof/>
                <w:szCs w:val="24"/>
              </w:rPr>
              <w:t xml:space="preserve"> </w:t>
            </w:r>
            <w:r w:rsidRPr="005C3B55">
              <w:rPr>
                <w:szCs w:val="24"/>
              </w:rPr>
              <w:t>In the past few years, the trend of low interest among farmers and insurance companies for concluding such insurance contracts has been noticed.</w:t>
            </w:r>
            <w:r w:rsidRPr="005C3B55">
              <w:rPr>
                <w:noProof/>
                <w:szCs w:val="24"/>
              </w:rPr>
              <w:t xml:space="preserve"> </w:t>
            </w:r>
            <w:r w:rsidRPr="005C3B55">
              <w:rPr>
                <w:szCs w:val="24"/>
              </w:rPr>
              <w:t>Funds for eliminating damage in agriculture which cannot be insured are provided from the state budget when this damage exceeds the legally determined threshold.</w:t>
            </w:r>
          </w:p>
          <w:p w:rsidR="00BD3B5F" w:rsidRPr="005C3B55" w:rsidRDefault="00BD3B5F">
            <w:pPr>
              <w:spacing w:before="240" w:after="240"/>
              <w:jc w:val="left"/>
              <w:rPr>
                <w:noProof/>
                <w:szCs w:val="24"/>
              </w:rPr>
            </w:pPr>
            <w:r w:rsidRPr="005C3B55">
              <w:rPr>
                <w:szCs w:val="24"/>
              </w:rPr>
              <w:t>Other instruments, such as mutual funds, which could be the source of financial compensations to farmers for economic losses or compensations for income stabilisation, have not been developed in Slovenia.</w:t>
            </w:r>
            <w:r w:rsidRPr="005C3B55">
              <w:rPr>
                <w:noProof/>
                <w:szCs w:val="24"/>
              </w:rPr>
              <w:t xml:space="preserve"> </w:t>
            </w:r>
            <w:r w:rsidRPr="005C3B55">
              <w:rPr>
                <w:szCs w:val="24"/>
              </w:rPr>
              <w:t>One of the reasons is that direct payments from the CAP have a stabilising effect, so farmers show no interest in establishing mutual funds.</w:t>
            </w:r>
            <w:r w:rsidRPr="005C3B55">
              <w:rPr>
                <w:noProof/>
                <w:szCs w:val="24"/>
              </w:rPr>
              <w:t xml:space="preserve"> </w:t>
            </w:r>
            <w:r w:rsidRPr="005C3B55">
              <w:rPr>
                <w:szCs w:val="24"/>
              </w:rPr>
              <w:t>In the case of changes to the regulation of direct payments from the CAP and increasing impacts of climate change, a greater need to develop new risk management instruments could emerge in the middle-term period.</w:t>
            </w:r>
            <w:r w:rsidRPr="005C3B55">
              <w:rPr>
                <w:noProof/>
                <w:szCs w:val="24"/>
              </w:rPr>
              <w:t xml:space="preserve">   </w:t>
            </w:r>
          </w:p>
          <w:p w:rsidR="00BD3B5F" w:rsidRPr="005C3B55" w:rsidRDefault="00BD3B5F">
            <w:pPr>
              <w:pStyle w:val="Telobesedila"/>
              <w:rPr>
                <w:szCs w:val="24"/>
              </w:rPr>
            </w:pPr>
          </w:p>
        </w:tc>
      </w:tr>
    </w:tbl>
    <w:p w:rsidR="00BD3B5F" w:rsidRPr="005C3B55" w:rsidRDefault="00BD3B5F">
      <w:pPr>
        <w:pStyle w:val="Naslov3"/>
        <w:tabs>
          <w:tab w:val="clear" w:pos="765"/>
        </w:tabs>
        <w:spacing w:before="0" w:after="0"/>
        <w:ind w:left="0" w:firstLine="0"/>
        <w:jc w:val="left"/>
        <w:rPr>
          <w:szCs w:val="24"/>
          <w:lang w:val="en-GB"/>
        </w:rPr>
      </w:pPr>
      <w:bookmarkStart w:id="67" w:name="_Toc416192525"/>
      <w:r w:rsidRPr="005C3B55">
        <w:rPr>
          <w:szCs w:val="24"/>
          <w:lang w:val="en-GB"/>
        </w:rPr>
        <w:t>N16 - Stimulating the use of financial instruments</w:t>
      </w:r>
      <w:bookmarkEnd w:id="67"/>
    </w:p>
    <w:p w:rsidR="00BD3B5F" w:rsidRPr="005C3B55" w:rsidRDefault="00BD3B5F">
      <w:pPr>
        <w:rPr>
          <w:szCs w:val="24"/>
        </w:rPr>
      </w:pPr>
      <w:r w:rsidRPr="005C3B55">
        <w:rPr>
          <w:szCs w:val="24"/>
        </w:rPr>
        <w:t>Priorities/focus areas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10656"/>
      </w:tblGrid>
      <w:tr w:rsidR="00BD3B5F" w:rsidRPr="005C3B55">
        <w:tc>
          <w:tcPr>
            <w:tcW w:w="10656" w:type="dxa"/>
            <w:tcMar>
              <w:top w:w="20" w:type="dxa"/>
              <w:bottom w:w="20" w:type="dxa"/>
            </w:tcMar>
            <w:vAlign w:val="bottom"/>
          </w:tcPr>
          <w:p w:rsidR="00BD3B5F" w:rsidRPr="005C3B55" w:rsidRDefault="00BD3B5F" w:rsidP="00BD3B5F">
            <w:pPr>
              <w:numPr>
                <w:ilvl w:val="0"/>
                <w:numId w:val="56"/>
              </w:numPr>
              <w:rPr>
                <w:szCs w:val="24"/>
              </w:rPr>
            </w:pPr>
            <w:r w:rsidRPr="005C3B55">
              <w:rPr>
                <w:szCs w:val="24"/>
              </w:rPr>
              <w:t>3A) Improving the competitiveness of primary producers with their enhanced inclusion in the agro-food chain through quality schemes, adding value to agricultural products and promotion in local markets, short supply chains, producer groups and organisations and inter-branch organisations</w:t>
            </w:r>
          </w:p>
          <w:p w:rsidR="00BD3B5F" w:rsidRPr="005C3B55" w:rsidRDefault="00BD3B5F" w:rsidP="00BD3B5F">
            <w:pPr>
              <w:numPr>
                <w:ilvl w:val="0"/>
                <w:numId w:val="56"/>
              </w:numPr>
              <w:rPr>
                <w:szCs w:val="24"/>
              </w:rPr>
            </w:pPr>
            <w:r w:rsidRPr="005C3B55">
              <w:rPr>
                <w:szCs w:val="24"/>
              </w:rPr>
              <w:t>6A) Facilitating diversification, creation and development of small enterprises and job creation</w:t>
            </w:r>
          </w:p>
        </w:tc>
      </w:tr>
    </w:tbl>
    <w:p w:rsidR="00BD3B5F" w:rsidRPr="005C3B55" w:rsidRDefault="00BD3B5F">
      <w:pPr>
        <w:rPr>
          <w:szCs w:val="24"/>
        </w:rPr>
      </w:pPr>
      <w:r w:rsidRPr="005C3B55">
        <w:rPr>
          <w:szCs w:val="24"/>
        </w:rPr>
        <w:t>Horizontal objectives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10656"/>
      </w:tblGrid>
      <w:tr w:rsidR="00BD3B5F" w:rsidRPr="005C3B55">
        <w:tc>
          <w:tcPr>
            <w:tcW w:w="10656" w:type="dxa"/>
            <w:tcMar>
              <w:top w:w="20" w:type="dxa"/>
              <w:bottom w:w="20" w:type="dxa"/>
            </w:tcMar>
            <w:vAlign w:val="bottom"/>
          </w:tcPr>
          <w:p w:rsidR="00BD3B5F" w:rsidRPr="005C3B55" w:rsidRDefault="00BD3B5F" w:rsidP="00BD3B5F">
            <w:pPr>
              <w:numPr>
                <w:ilvl w:val="0"/>
                <w:numId w:val="57"/>
              </w:numPr>
              <w:rPr>
                <w:szCs w:val="24"/>
              </w:rPr>
            </w:pPr>
            <w:r w:rsidRPr="005C3B55">
              <w:rPr>
                <w:szCs w:val="24"/>
              </w:rPr>
              <w:t>Innovation</w:t>
            </w:r>
          </w:p>
        </w:tc>
      </w:tr>
    </w:tbl>
    <w:p w:rsidR="00BD3B5F" w:rsidRPr="005C3B55" w:rsidRDefault="00BD3B5F">
      <w:pPr>
        <w:rPr>
          <w:szCs w:val="24"/>
        </w:rPr>
      </w:pPr>
      <w:r w:rsidRPr="005C3B55">
        <w:rPr>
          <w:szCs w:val="24"/>
        </w:rPr>
        <w:t>Description</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10656" w:type="dxa"/>
            <w:tcMar>
              <w:top w:w="20" w:type="dxa"/>
              <w:bottom w:w="20" w:type="dxa"/>
            </w:tcMar>
            <w:vAlign w:val="bottom"/>
          </w:tcPr>
          <w:p w:rsidR="00BD3B5F" w:rsidRPr="005C3B55" w:rsidRDefault="00BD3B5F">
            <w:pPr>
              <w:spacing w:before="0" w:after="240"/>
              <w:jc w:val="left"/>
              <w:rPr>
                <w:noProof/>
                <w:szCs w:val="24"/>
              </w:rPr>
            </w:pPr>
            <w:r w:rsidRPr="005C3B55">
              <w:rPr>
                <w:szCs w:val="24"/>
              </w:rPr>
              <w:t>Access to suitable financial sources is a crucial obstacle to growth and development, especially of micro, small and medium-size enterprises in Slovenia, since the conditions for acquiring them have tightened.</w:t>
            </w:r>
            <w:r w:rsidRPr="005C3B55">
              <w:rPr>
                <w:noProof/>
                <w:szCs w:val="24"/>
              </w:rPr>
              <w:t xml:space="preserve"> </w:t>
            </w:r>
            <w:r w:rsidRPr="005C3B55">
              <w:rPr>
                <w:szCs w:val="24"/>
              </w:rPr>
              <w:t>For this reason, the Government of the Republic of Slovenia as well as the European Commission and the European Parliament see the solution in stimulating the use of financial instruments.</w:t>
            </w:r>
            <w:r w:rsidRPr="005C3B55">
              <w:rPr>
                <w:noProof/>
                <w:szCs w:val="24"/>
              </w:rPr>
              <w:t xml:space="preserve"> </w:t>
            </w:r>
            <w:r w:rsidRPr="005C3B55">
              <w:rPr>
                <w:szCs w:val="24"/>
              </w:rPr>
              <w:t>The Institute of Macroeconomic Analysis and Development of the Republic of Slovenia (IMAD) also established in its autumn forecast of economic movements for 2014 that the basic problem in acquiring suitable funding for start-up activities lies with the banking system, since banks have been reducing the range of loans to the non-banking sector for several years. Therefore, the coming years do not promise an increase in demand for loans at market interest rates due to the relatively expensive loans and poor loan conditions for companies.</w:t>
            </w:r>
            <w:r w:rsidRPr="005C3B55">
              <w:rPr>
                <w:noProof/>
                <w:szCs w:val="24"/>
              </w:rPr>
              <w:t xml:space="preserve"> </w:t>
            </w:r>
            <w:r w:rsidRPr="005C3B55">
              <w:rPr>
                <w:szCs w:val="24"/>
              </w:rPr>
              <w:t>One of the most important obstacles to the faster recovery of the economy is difficult access to financing sources, which is also emphasised in the Stability Programme of the Government of the Republic of Slovenia for 2014, which is prepared within the scope of the European Semester.</w:t>
            </w:r>
          </w:p>
          <w:p w:rsidR="00BD3B5F" w:rsidRPr="005C3B55" w:rsidRDefault="00BD3B5F">
            <w:pPr>
              <w:spacing w:before="240" w:after="240"/>
              <w:jc w:val="left"/>
              <w:rPr>
                <w:noProof/>
                <w:szCs w:val="24"/>
              </w:rPr>
            </w:pPr>
            <w:r w:rsidRPr="005C3B55">
              <w:rPr>
                <w:szCs w:val="24"/>
              </w:rPr>
              <w:t>Companies in agriculture, food and the wood processing chain, as well as other rural activities face difficult conditions in this area; therefore, they need to be enabled simpler access to appropriate financing sources, which is a precondition for creating growth, introducing innovation and creating new jobs.</w:t>
            </w:r>
          </w:p>
          <w:p w:rsidR="00BD3B5F" w:rsidRPr="005C3B55" w:rsidRDefault="00BD3B5F">
            <w:pPr>
              <w:pStyle w:val="Telobesedila"/>
              <w:rPr>
                <w:szCs w:val="24"/>
              </w:rPr>
            </w:pPr>
          </w:p>
        </w:tc>
      </w:tr>
    </w:tbl>
    <w:p w:rsidR="00BD3B5F" w:rsidRPr="005C3B55" w:rsidRDefault="00BD3B5F">
      <w:pPr>
        <w:pStyle w:val="Naslov3"/>
        <w:tabs>
          <w:tab w:val="clear" w:pos="765"/>
        </w:tabs>
        <w:ind w:left="0" w:firstLine="0"/>
        <w:jc w:val="left"/>
        <w:rPr>
          <w:szCs w:val="24"/>
          <w:lang w:val="en-GB"/>
        </w:rPr>
      </w:pPr>
      <w:bookmarkStart w:id="68" w:name="_Toc416192526"/>
      <w:r w:rsidRPr="005C3B55">
        <w:rPr>
          <w:szCs w:val="24"/>
          <w:lang w:val="en-GB"/>
        </w:rPr>
        <w:t>N17 - Stimulating organic farming and a wider range of products in quality schemes</w:t>
      </w:r>
      <w:bookmarkEnd w:id="68"/>
    </w:p>
    <w:p w:rsidR="00BD3B5F" w:rsidRPr="005C3B55" w:rsidRDefault="00BD3B5F">
      <w:pPr>
        <w:rPr>
          <w:szCs w:val="24"/>
        </w:rPr>
      </w:pPr>
      <w:r w:rsidRPr="005C3B55">
        <w:rPr>
          <w:szCs w:val="24"/>
        </w:rPr>
        <w:t>Priorities/focus areas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10656"/>
      </w:tblGrid>
      <w:tr w:rsidR="00BD3B5F" w:rsidRPr="005C3B55">
        <w:tc>
          <w:tcPr>
            <w:tcW w:w="10656" w:type="dxa"/>
            <w:tcMar>
              <w:top w:w="20" w:type="dxa"/>
              <w:bottom w:w="20" w:type="dxa"/>
            </w:tcMar>
            <w:vAlign w:val="bottom"/>
          </w:tcPr>
          <w:p w:rsidR="00BD3B5F" w:rsidRPr="005C3B55" w:rsidRDefault="00BD3B5F" w:rsidP="00BD3B5F">
            <w:pPr>
              <w:numPr>
                <w:ilvl w:val="0"/>
                <w:numId w:val="58"/>
              </w:numPr>
              <w:rPr>
                <w:szCs w:val="24"/>
              </w:rPr>
            </w:pPr>
            <w:r w:rsidRPr="005C3B55">
              <w:rPr>
                <w:szCs w:val="24"/>
              </w:rPr>
              <w:t>1A) Promoting innovation, cooperation and the development of knowledge bases in rural areas</w:t>
            </w:r>
          </w:p>
          <w:p w:rsidR="00BD3B5F" w:rsidRPr="005C3B55" w:rsidRDefault="00BD3B5F" w:rsidP="00BD3B5F">
            <w:pPr>
              <w:numPr>
                <w:ilvl w:val="0"/>
                <w:numId w:val="58"/>
              </w:numPr>
              <w:rPr>
                <w:szCs w:val="24"/>
              </w:rPr>
            </w:pPr>
            <w:r w:rsidRPr="005C3B55">
              <w:rPr>
                <w:szCs w:val="24"/>
              </w:rPr>
              <w:t>1B) Strengthening the links between agriculture, food production and forestry and research and innovation, including for a better environmental management and environmental efficiency</w:t>
            </w:r>
          </w:p>
          <w:p w:rsidR="00BD3B5F" w:rsidRPr="005C3B55" w:rsidRDefault="00BD3B5F" w:rsidP="00BD3B5F">
            <w:pPr>
              <w:numPr>
                <w:ilvl w:val="0"/>
                <w:numId w:val="58"/>
              </w:numPr>
              <w:rPr>
                <w:szCs w:val="24"/>
              </w:rPr>
            </w:pPr>
            <w:r w:rsidRPr="005C3B55">
              <w:rPr>
                <w:szCs w:val="24"/>
              </w:rPr>
              <w:t>1C) Enhancing life-long learning and professional training in the agricultural and forestry sectors</w:t>
            </w:r>
          </w:p>
          <w:p w:rsidR="00BD3B5F" w:rsidRPr="005C3B55" w:rsidRDefault="00BD3B5F" w:rsidP="00BD3B5F">
            <w:pPr>
              <w:numPr>
                <w:ilvl w:val="0"/>
                <w:numId w:val="58"/>
              </w:numPr>
              <w:rPr>
                <w:szCs w:val="24"/>
              </w:rPr>
            </w:pPr>
            <w:r w:rsidRPr="005C3B55">
              <w:rPr>
                <w:szCs w:val="24"/>
              </w:rPr>
              <w:t>2A) Improving the economic performance of all agricultural holdings and facilitating the restructuring and modernisation of agricultural holdings, in order to particularly increase their market participation, market-orientation and agricultural diversification</w:t>
            </w:r>
          </w:p>
          <w:p w:rsidR="00BD3B5F" w:rsidRPr="005C3B55" w:rsidRDefault="00BD3B5F" w:rsidP="00BD3B5F">
            <w:pPr>
              <w:numPr>
                <w:ilvl w:val="0"/>
                <w:numId w:val="58"/>
              </w:numPr>
              <w:rPr>
                <w:szCs w:val="24"/>
              </w:rPr>
            </w:pPr>
            <w:r w:rsidRPr="005C3B55">
              <w:rPr>
                <w:szCs w:val="24"/>
              </w:rPr>
              <w:t>3A) Improving the competitiveness of primary producers with their enhanced inclusion in the agro-food chain through quality schemes, adding value to agricultural products and promotion in local markets, short supply chains, producer groups and organisations and inter-branch organisations</w:t>
            </w:r>
          </w:p>
          <w:p w:rsidR="00BD3B5F" w:rsidRPr="005C3B55" w:rsidRDefault="00BD3B5F" w:rsidP="00BD3B5F">
            <w:pPr>
              <w:numPr>
                <w:ilvl w:val="0"/>
                <w:numId w:val="58"/>
              </w:numPr>
              <w:rPr>
                <w:szCs w:val="24"/>
              </w:rPr>
            </w:pPr>
            <w:r w:rsidRPr="005C3B55">
              <w:rPr>
                <w:szCs w:val="24"/>
              </w:rPr>
              <w:t>4A) Restoring, preserving and enhancing biodiversity, including in Natura 2000 sites, and in areas facing natural or other specific constraints, and high nature value farming, as well as the state of European landscapes</w:t>
            </w:r>
          </w:p>
          <w:p w:rsidR="00BD3B5F" w:rsidRPr="005C3B55" w:rsidRDefault="00BD3B5F" w:rsidP="00BD3B5F">
            <w:pPr>
              <w:numPr>
                <w:ilvl w:val="0"/>
                <w:numId w:val="58"/>
              </w:numPr>
              <w:spacing w:before="0" w:after="0"/>
              <w:rPr>
                <w:szCs w:val="24"/>
              </w:rPr>
            </w:pPr>
            <w:r w:rsidRPr="005C3B55">
              <w:rPr>
                <w:szCs w:val="24"/>
              </w:rPr>
              <w:t>4B) Improving water management, including the management of fertilisers and pesticides</w:t>
            </w:r>
          </w:p>
          <w:p w:rsidR="00BD3B5F" w:rsidRPr="005C3B55" w:rsidRDefault="00BD3B5F" w:rsidP="00BD3B5F">
            <w:pPr>
              <w:numPr>
                <w:ilvl w:val="0"/>
                <w:numId w:val="58"/>
              </w:numPr>
              <w:rPr>
                <w:szCs w:val="24"/>
              </w:rPr>
            </w:pPr>
            <w:r w:rsidRPr="005C3B55">
              <w:rPr>
                <w:szCs w:val="24"/>
              </w:rPr>
              <w:t>4C) Preventing soil erosion and improving soil management</w:t>
            </w:r>
          </w:p>
        </w:tc>
      </w:tr>
    </w:tbl>
    <w:p w:rsidR="00BD3B5F" w:rsidRPr="005C3B55" w:rsidRDefault="00BD3B5F">
      <w:pPr>
        <w:rPr>
          <w:szCs w:val="24"/>
        </w:rPr>
      </w:pPr>
      <w:r w:rsidRPr="005C3B55">
        <w:rPr>
          <w:szCs w:val="24"/>
        </w:rPr>
        <w:t>Horizontal objectives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10656"/>
      </w:tblGrid>
      <w:tr w:rsidR="00BD3B5F" w:rsidRPr="005C3B55">
        <w:tc>
          <w:tcPr>
            <w:tcW w:w="10656" w:type="dxa"/>
            <w:tcMar>
              <w:top w:w="20" w:type="dxa"/>
              <w:bottom w:w="20" w:type="dxa"/>
            </w:tcMar>
            <w:vAlign w:val="bottom"/>
          </w:tcPr>
          <w:p w:rsidR="00BD3B5F" w:rsidRPr="005C3B55" w:rsidRDefault="00BD3B5F" w:rsidP="00BD3B5F">
            <w:pPr>
              <w:numPr>
                <w:ilvl w:val="0"/>
                <w:numId w:val="59"/>
              </w:numPr>
              <w:rPr>
                <w:szCs w:val="24"/>
              </w:rPr>
            </w:pPr>
            <w:r w:rsidRPr="005C3B55">
              <w:rPr>
                <w:szCs w:val="24"/>
              </w:rPr>
              <w:t>Environment</w:t>
            </w:r>
          </w:p>
          <w:p w:rsidR="00BD3B5F" w:rsidRPr="005C3B55" w:rsidRDefault="00BD3B5F" w:rsidP="00BD3B5F">
            <w:pPr>
              <w:numPr>
                <w:ilvl w:val="0"/>
                <w:numId w:val="59"/>
              </w:numPr>
              <w:rPr>
                <w:szCs w:val="24"/>
              </w:rPr>
            </w:pPr>
            <w:r w:rsidRPr="005C3B55">
              <w:rPr>
                <w:szCs w:val="24"/>
              </w:rPr>
              <w:t>Mitigating, and adapting to, climate change</w:t>
            </w:r>
          </w:p>
          <w:p w:rsidR="00BD3B5F" w:rsidRPr="005C3B55" w:rsidRDefault="00BD3B5F" w:rsidP="00BD3B5F">
            <w:pPr>
              <w:numPr>
                <w:ilvl w:val="0"/>
                <w:numId w:val="59"/>
              </w:numPr>
              <w:rPr>
                <w:szCs w:val="24"/>
              </w:rPr>
            </w:pPr>
            <w:r w:rsidRPr="005C3B55">
              <w:rPr>
                <w:szCs w:val="24"/>
              </w:rPr>
              <w:t>Innovation</w:t>
            </w:r>
          </w:p>
        </w:tc>
      </w:tr>
    </w:tbl>
    <w:p w:rsidR="00BD3B5F" w:rsidRPr="005C3B55" w:rsidRDefault="00BD3B5F">
      <w:pPr>
        <w:rPr>
          <w:szCs w:val="24"/>
        </w:rPr>
      </w:pPr>
      <w:r w:rsidRPr="005C3B55">
        <w:rPr>
          <w:szCs w:val="24"/>
        </w:rPr>
        <w:t>Description</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10656" w:type="dxa"/>
            <w:tcMar>
              <w:top w:w="20" w:type="dxa"/>
              <w:bottom w:w="20" w:type="dxa"/>
            </w:tcMar>
            <w:vAlign w:val="bottom"/>
          </w:tcPr>
          <w:p w:rsidR="00BD3B5F" w:rsidRPr="005C3B55" w:rsidRDefault="00BD3B5F">
            <w:pPr>
              <w:spacing w:before="0" w:after="240"/>
              <w:jc w:val="left"/>
              <w:rPr>
                <w:noProof/>
                <w:szCs w:val="24"/>
              </w:rPr>
            </w:pPr>
            <w:r w:rsidRPr="005C3B55">
              <w:rPr>
                <w:szCs w:val="24"/>
              </w:rPr>
              <w:t>The share of organic products is very low in Slovenia and does not meet the demand.</w:t>
            </w:r>
            <w:r w:rsidRPr="005C3B55">
              <w:rPr>
                <w:noProof/>
                <w:szCs w:val="24"/>
              </w:rPr>
              <w:t xml:space="preserve"> </w:t>
            </w:r>
            <w:r w:rsidRPr="005C3B55">
              <w:rPr>
                <w:szCs w:val="24"/>
              </w:rPr>
              <w:t>Something smilar applies to other products in quality schemes.</w:t>
            </w:r>
            <w:r w:rsidRPr="005C3B55">
              <w:rPr>
                <w:noProof/>
                <w:szCs w:val="24"/>
              </w:rPr>
              <w:t xml:space="preserve"> </w:t>
            </w:r>
            <w:r w:rsidRPr="005C3B55">
              <w:rPr>
                <w:szCs w:val="24"/>
              </w:rPr>
              <w:t>Considering the increase in consumer demand for products in quality schemes in the past few years, there are many unexploited possibilities for further development and market opportunities, which can be used by agricultural holdings to improve their economic situation.</w:t>
            </w:r>
            <w:r w:rsidRPr="005C3B55">
              <w:rPr>
                <w:noProof/>
                <w:szCs w:val="24"/>
              </w:rPr>
              <w:t xml:space="preserve"> </w:t>
            </w:r>
            <w:r w:rsidRPr="005C3B55">
              <w:rPr>
                <w:szCs w:val="24"/>
              </w:rPr>
              <w:t>By stimulating agricultural holdings to locally produce products in quality schemes, various effects can be achieved: an economic effect, and effects on health care, the environment and climate, since this involves products that are produced in the local environment in an innovative and environmentally-friendly way.</w:t>
            </w:r>
          </w:p>
          <w:p w:rsidR="00BD3B5F" w:rsidRPr="005C3B55" w:rsidRDefault="00BD3B5F">
            <w:pPr>
              <w:spacing w:before="240" w:after="240"/>
              <w:jc w:val="left"/>
              <w:rPr>
                <w:noProof/>
                <w:szCs w:val="24"/>
              </w:rPr>
            </w:pPr>
            <w:r w:rsidRPr="005C3B55">
              <w:rPr>
                <w:szCs w:val="24"/>
              </w:rPr>
              <w:t>In addition to greater inclusion of agricultural holdings in quality schemes and greater market orientation of these holdings, more effective differentiation of agricultural products and food or their greater recognisability among consumers should be ensured.</w:t>
            </w:r>
            <w:r w:rsidRPr="005C3B55">
              <w:rPr>
                <w:noProof/>
                <w:szCs w:val="24"/>
              </w:rPr>
              <w:t xml:space="preserve"> </w:t>
            </w:r>
            <w:r w:rsidRPr="005C3B55">
              <w:rPr>
                <w:szCs w:val="24"/>
              </w:rPr>
              <w:t>Consumers are not sufficiently aware of the national protection labels of agricultural products or food and EU quality labels.</w:t>
            </w:r>
            <w:r w:rsidRPr="005C3B55">
              <w:rPr>
                <w:noProof/>
                <w:szCs w:val="24"/>
              </w:rPr>
              <w:t xml:space="preserve"> </w:t>
            </w:r>
            <w:r w:rsidRPr="005C3B55">
              <w:rPr>
                <w:szCs w:val="24"/>
              </w:rPr>
              <w:t>The promotion and provision of information about these products should be stimulated.</w:t>
            </w:r>
          </w:p>
          <w:p w:rsidR="00BD3B5F" w:rsidRPr="005C3B55" w:rsidRDefault="00BD3B5F">
            <w:pPr>
              <w:spacing w:before="240" w:after="240"/>
              <w:jc w:val="left"/>
              <w:rPr>
                <w:noProof/>
                <w:szCs w:val="24"/>
              </w:rPr>
            </w:pPr>
            <w:r w:rsidRPr="005C3B55">
              <w:rPr>
                <w:szCs w:val="24"/>
              </w:rPr>
              <w:t>Better qualifications, accessibility to specialised advisory services, better methods of transferring knowledge and innovation to agricultural practice and financial means for their restructuring should be ensured in the process of redirecting agricultural holdings towards organic farming.</w:t>
            </w:r>
          </w:p>
          <w:p w:rsidR="00BD3B5F" w:rsidRPr="005C3B55" w:rsidRDefault="00BD3B5F">
            <w:pPr>
              <w:pStyle w:val="Telobesedila"/>
              <w:rPr>
                <w:szCs w:val="24"/>
              </w:rPr>
            </w:pPr>
          </w:p>
        </w:tc>
      </w:tr>
    </w:tbl>
    <w:p w:rsidR="00BD3B5F" w:rsidRPr="005C3B55" w:rsidRDefault="00BD3B5F">
      <w:pPr>
        <w:pStyle w:val="Naslov3"/>
        <w:tabs>
          <w:tab w:val="clear" w:pos="765"/>
        </w:tabs>
        <w:ind w:left="0" w:firstLine="0"/>
        <w:jc w:val="left"/>
        <w:rPr>
          <w:szCs w:val="24"/>
          <w:lang w:val="en-GB"/>
        </w:rPr>
      </w:pPr>
      <w:bookmarkStart w:id="69" w:name="_Toc416192527"/>
      <w:r w:rsidRPr="005C3B55">
        <w:rPr>
          <w:szCs w:val="24"/>
          <w:lang w:val="en-GB"/>
        </w:rPr>
        <w:t>N18 - Stimulating agricultural holdings to engage in higher standards of animal breeding</w:t>
      </w:r>
      <w:bookmarkEnd w:id="69"/>
    </w:p>
    <w:p w:rsidR="00BD3B5F" w:rsidRPr="005C3B55" w:rsidRDefault="00BD3B5F">
      <w:pPr>
        <w:rPr>
          <w:szCs w:val="24"/>
        </w:rPr>
      </w:pPr>
      <w:r w:rsidRPr="005C3B55">
        <w:rPr>
          <w:szCs w:val="24"/>
        </w:rPr>
        <w:t>Priorities/focus areas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10656"/>
      </w:tblGrid>
      <w:tr w:rsidR="00BD3B5F" w:rsidRPr="005C3B55">
        <w:tc>
          <w:tcPr>
            <w:tcW w:w="10656" w:type="dxa"/>
            <w:tcMar>
              <w:top w:w="20" w:type="dxa"/>
              <w:bottom w:w="20" w:type="dxa"/>
            </w:tcMar>
            <w:vAlign w:val="bottom"/>
          </w:tcPr>
          <w:p w:rsidR="00BD3B5F" w:rsidRPr="005C3B55" w:rsidRDefault="00BD3B5F" w:rsidP="00BD3B5F">
            <w:pPr>
              <w:numPr>
                <w:ilvl w:val="0"/>
                <w:numId w:val="60"/>
              </w:numPr>
              <w:rPr>
                <w:szCs w:val="24"/>
              </w:rPr>
            </w:pPr>
            <w:r w:rsidRPr="005C3B55">
              <w:rPr>
                <w:szCs w:val="24"/>
              </w:rPr>
              <w:t>1A) Promoting innovation, cooperation and the development of knowledge bases in rural areas</w:t>
            </w:r>
          </w:p>
          <w:p w:rsidR="00BD3B5F" w:rsidRPr="005C3B55" w:rsidRDefault="00BD3B5F" w:rsidP="00BD3B5F">
            <w:pPr>
              <w:numPr>
                <w:ilvl w:val="0"/>
                <w:numId w:val="60"/>
              </w:numPr>
              <w:rPr>
                <w:szCs w:val="24"/>
              </w:rPr>
            </w:pPr>
            <w:r w:rsidRPr="005C3B55">
              <w:rPr>
                <w:szCs w:val="24"/>
              </w:rPr>
              <w:t>1C) Enhancing life-long learning and professional training in the agricultural and forestry sectors</w:t>
            </w:r>
          </w:p>
          <w:p w:rsidR="00BD3B5F" w:rsidRPr="005C3B55" w:rsidRDefault="00BD3B5F" w:rsidP="00BD3B5F">
            <w:pPr>
              <w:numPr>
                <w:ilvl w:val="0"/>
                <w:numId w:val="60"/>
              </w:numPr>
              <w:rPr>
                <w:szCs w:val="24"/>
              </w:rPr>
            </w:pPr>
            <w:r w:rsidRPr="005C3B55">
              <w:rPr>
                <w:szCs w:val="24"/>
              </w:rPr>
              <w:t>3A) Improving the competitiveness of primary producers with their enhanced inclusion in the agro-food chain through quality schemes, adding value to agricultural products and promotion in local markets, short supply chains, producer groups and organisations and inter-branch organisations</w:t>
            </w:r>
          </w:p>
          <w:p w:rsidR="00BD3B5F" w:rsidRPr="005C3B55" w:rsidRDefault="00BD3B5F" w:rsidP="00BD3B5F">
            <w:pPr>
              <w:numPr>
                <w:ilvl w:val="0"/>
                <w:numId w:val="60"/>
              </w:numPr>
              <w:rPr>
                <w:szCs w:val="24"/>
              </w:rPr>
            </w:pPr>
            <w:r w:rsidRPr="005C3B55">
              <w:rPr>
                <w:szCs w:val="24"/>
              </w:rPr>
              <w:t>5D) Reducing emissions of greenhouse gases and ammonia in agriculture</w:t>
            </w:r>
          </w:p>
        </w:tc>
      </w:tr>
    </w:tbl>
    <w:p w:rsidR="00BD3B5F" w:rsidRPr="005C3B55" w:rsidRDefault="00BD3B5F">
      <w:pPr>
        <w:rPr>
          <w:szCs w:val="24"/>
        </w:rPr>
      </w:pPr>
      <w:r w:rsidRPr="005C3B55">
        <w:rPr>
          <w:szCs w:val="24"/>
        </w:rPr>
        <w:t>Horizontal objectives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10656"/>
      </w:tblGrid>
      <w:tr w:rsidR="00BD3B5F" w:rsidRPr="005C3B55">
        <w:tc>
          <w:tcPr>
            <w:tcW w:w="10656" w:type="dxa"/>
            <w:tcMar>
              <w:top w:w="20" w:type="dxa"/>
              <w:bottom w:w="20" w:type="dxa"/>
            </w:tcMar>
            <w:vAlign w:val="bottom"/>
          </w:tcPr>
          <w:p w:rsidR="00BD3B5F" w:rsidRPr="005C3B55" w:rsidRDefault="00BD3B5F" w:rsidP="00BD3B5F">
            <w:pPr>
              <w:numPr>
                <w:ilvl w:val="0"/>
                <w:numId w:val="61"/>
              </w:numPr>
              <w:rPr>
                <w:szCs w:val="24"/>
              </w:rPr>
            </w:pPr>
            <w:r w:rsidRPr="005C3B55">
              <w:rPr>
                <w:szCs w:val="24"/>
              </w:rPr>
              <w:t>Mitigating, and adapting to, climate change</w:t>
            </w:r>
          </w:p>
        </w:tc>
      </w:tr>
    </w:tbl>
    <w:p w:rsidR="00BD3B5F" w:rsidRPr="005C3B55" w:rsidRDefault="00BD3B5F">
      <w:pPr>
        <w:rPr>
          <w:szCs w:val="24"/>
        </w:rPr>
      </w:pPr>
      <w:r w:rsidRPr="005C3B55">
        <w:rPr>
          <w:szCs w:val="24"/>
        </w:rPr>
        <w:t>Description</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10656" w:type="dxa"/>
            <w:tcMar>
              <w:top w:w="20" w:type="dxa"/>
              <w:bottom w:w="20" w:type="dxa"/>
            </w:tcMar>
            <w:vAlign w:val="bottom"/>
          </w:tcPr>
          <w:p w:rsidR="00BD3B5F" w:rsidRPr="005C3B55" w:rsidRDefault="00BD3B5F">
            <w:pPr>
              <w:spacing w:before="0" w:after="240"/>
              <w:jc w:val="left"/>
              <w:rPr>
                <w:noProof/>
                <w:szCs w:val="24"/>
              </w:rPr>
            </w:pPr>
            <w:r w:rsidRPr="005C3B55">
              <w:rPr>
                <w:szCs w:val="24"/>
              </w:rPr>
              <w:t>Due to economic pressure (market-price), agricultural holdings are forced to additionally reduce costs and increase productivity and the intensity of breeding.</w:t>
            </w:r>
            <w:r w:rsidRPr="005C3B55">
              <w:rPr>
                <w:noProof/>
                <w:szCs w:val="24"/>
              </w:rPr>
              <w:t xml:space="preserve"> </w:t>
            </w:r>
            <w:r w:rsidRPr="005C3B55">
              <w:rPr>
                <w:szCs w:val="24"/>
              </w:rPr>
              <w:t>On the other hand, consumers show a growing demand for products of animal origin produced by breeding methods that are adapted to the animals or above standard.</w:t>
            </w:r>
            <w:r w:rsidRPr="005C3B55">
              <w:rPr>
                <w:noProof/>
                <w:szCs w:val="24"/>
              </w:rPr>
              <w:t xml:space="preserve"> </w:t>
            </w:r>
            <w:r w:rsidRPr="005C3B55">
              <w:rPr>
                <w:szCs w:val="24"/>
              </w:rPr>
              <w:t>Such methods must be specially stimulated from this aspect.</w:t>
            </w:r>
            <w:r w:rsidRPr="005C3B55">
              <w:rPr>
                <w:noProof/>
                <w:szCs w:val="24"/>
              </w:rPr>
              <w:t xml:space="preserve">  </w:t>
            </w:r>
          </w:p>
          <w:p w:rsidR="00BD3B5F" w:rsidRPr="005C3B55" w:rsidRDefault="00BD3B5F">
            <w:pPr>
              <w:spacing w:before="240" w:after="240"/>
              <w:jc w:val="left"/>
              <w:rPr>
                <w:noProof/>
                <w:szCs w:val="24"/>
              </w:rPr>
            </w:pPr>
            <w:r w:rsidRPr="005C3B55">
              <w:rPr>
                <w:szCs w:val="24"/>
              </w:rPr>
              <w:t>The concern for animal welfare raises costs for agricultural holdings, and these costs reduce their competitiveness.</w:t>
            </w:r>
            <w:r w:rsidRPr="005C3B55">
              <w:rPr>
                <w:noProof/>
                <w:szCs w:val="24"/>
              </w:rPr>
              <w:t xml:space="preserve"> </w:t>
            </w:r>
            <w:r w:rsidRPr="005C3B55">
              <w:rPr>
                <w:szCs w:val="24"/>
              </w:rPr>
              <w:t>Therefore, agricultural holdings should be stimulated to assume higher standards regarding animal welfare, since the market does not reimburse these costs in the intial phase.</w:t>
            </w:r>
            <w:r w:rsidRPr="005C3B55">
              <w:rPr>
                <w:noProof/>
                <w:szCs w:val="24"/>
              </w:rPr>
              <w:t xml:space="preserve"> </w:t>
            </w:r>
            <w:r w:rsidRPr="005C3B55">
              <w:rPr>
                <w:szCs w:val="24"/>
              </w:rPr>
              <w:t>Awareness should be raised among consumers that higher standards of animal breeding raise costs, which are reflected in the higher prices of products originating from animal-friendly breeding.</w:t>
            </w:r>
            <w:r w:rsidRPr="005C3B55">
              <w:rPr>
                <w:noProof/>
                <w:szCs w:val="24"/>
              </w:rPr>
              <w:t xml:space="preserve"> </w:t>
            </w:r>
            <w:r w:rsidRPr="005C3B55">
              <w:rPr>
                <w:szCs w:val="24"/>
              </w:rPr>
              <w:t>The demands for higher standards of animal breeding should be connected with the quality schemes system to ensure the appropriate differentiation of products on the market.</w:t>
            </w:r>
          </w:p>
          <w:p w:rsidR="00BD3B5F" w:rsidRPr="005C3B55" w:rsidRDefault="00BD3B5F">
            <w:pPr>
              <w:spacing w:before="240" w:after="240"/>
              <w:jc w:val="left"/>
              <w:rPr>
                <w:noProof/>
                <w:szCs w:val="24"/>
              </w:rPr>
            </w:pPr>
            <w:r w:rsidRPr="005C3B55">
              <w:rPr>
                <w:szCs w:val="24"/>
              </w:rPr>
              <w:t>The concern for higher standards of animal breeding can positively impact the environment and reduce GHG emissions (reducing breeding intensity, regulating fodder rations).</w:t>
            </w:r>
          </w:p>
          <w:p w:rsidR="00BD3B5F" w:rsidRPr="005C3B55" w:rsidRDefault="00BD3B5F">
            <w:pPr>
              <w:spacing w:before="240" w:after="240"/>
              <w:jc w:val="left"/>
              <w:rPr>
                <w:noProof/>
                <w:szCs w:val="24"/>
              </w:rPr>
            </w:pPr>
            <w:r w:rsidRPr="005C3B55">
              <w:rPr>
                <w:szCs w:val="24"/>
              </w:rPr>
              <w:t>Agricultural holdings should obtain appropriate information on the conditions for higher standards and should have access to specialised advisory services.</w:t>
            </w:r>
          </w:p>
          <w:p w:rsidR="00BD3B5F" w:rsidRPr="005C3B55" w:rsidRDefault="00BD3B5F">
            <w:pPr>
              <w:pStyle w:val="Telobesedila"/>
              <w:rPr>
                <w:szCs w:val="24"/>
              </w:rPr>
            </w:pPr>
          </w:p>
        </w:tc>
      </w:tr>
    </w:tbl>
    <w:p w:rsidR="00BD3B5F" w:rsidRPr="005C3B55" w:rsidRDefault="00BD3B5F">
      <w:pPr>
        <w:pStyle w:val="Naslov3"/>
        <w:tabs>
          <w:tab w:val="clear" w:pos="765"/>
        </w:tabs>
        <w:ind w:left="0" w:firstLine="0"/>
        <w:jc w:val="left"/>
        <w:rPr>
          <w:szCs w:val="24"/>
          <w:lang w:val="en-GB"/>
        </w:rPr>
      </w:pPr>
      <w:bookmarkStart w:id="70" w:name="_Toc416192528"/>
      <w:r w:rsidRPr="005C3B55">
        <w:rPr>
          <w:szCs w:val="24"/>
          <w:lang w:val="en-GB"/>
        </w:rPr>
        <w:t>N 19 - Increasing market orientation, horizontal and vertical connections</w:t>
      </w:r>
      <w:bookmarkEnd w:id="70"/>
    </w:p>
    <w:p w:rsidR="00BD3B5F" w:rsidRPr="005C3B55" w:rsidRDefault="00BD3B5F">
      <w:pPr>
        <w:rPr>
          <w:szCs w:val="24"/>
        </w:rPr>
      </w:pPr>
      <w:r w:rsidRPr="005C3B55">
        <w:rPr>
          <w:szCs w:val="24"/>
        </w:rPr>
        <w:t>Priorities/focus areas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10656"/>
      </w:tblGrid>
      <w:tr w:rsidR="00BD3B5F" w:rsidRPr="005C3B55">
        <w:tc>
          <w:tcPr>
            <w:tcW w:w="10656" w:type="dxa"/>
            <w:tcMar>
              <w:top w:w="20" w:type="dxa"/>
              <w:bottom w:w="20" w:type="dxa"/>
            </w:tcMar>
            <w:vAlign w:val="bottom"/>
          </w:tcPr>
          <w:p w:rsidR="00BD3B5F" w:rsidRPr="005C3B55" w:rsidRDefault="00BD3B5F" w:rsidP="00BD3B5F">
            <w:pPr>
              <w:numPr>
                <w:ilvl w:val="0"/>
                <w:numId w:val="62"/>
              </w:numPr>
              <w:rPr>
                <w:szCs w:val="24"/>
              </w:rPr>
            </w:pPr>
            <w:r w:rsidRPr="005C3B55">
              <w:rPr>
                <w:szCs w:val="24"/>
              </w:rPr>
              <w:t>1C) Enhancing life-long learning and professional training in the agricultural and forestry sectors</w:t>
            </w:r>
          </w:p>
          <w:p w:rsidR="00BD3B5F" w:rsidRPr="005C3B55" w:rsidRDefault="00BD3B5F" w:rsidP="00BD3B5F">
            <w:pPr>
              <w:numPr>
                <w:ilvl w:val="0"/>
                <w:numId w:val="62"/>
              </w:numPr>
              <w:rPr>
                <w:szCs w:val="24"/>
              </w:rPr>
            </w:pPr>
            <w:r w:rsidRPr="005C3B55">
              <w:rPr>
                <w:szCs w:val="24"/>
              </w:rPr>
              <w:t>3A) Improving the competitiveness of primary producers with their enhanced inclusion in the agro-food chain through quality schemes, adding value to agricultural products and promotion in local markets, short supply chains, producer groups and organisations and inter-branch organisations</w:t>
            </w:r>
          </w:p>
        </w:tc>
      </w:tr>
    </w:tbl>
    <w:p w:rsidR="00BD3B5F" w:rsidRPr="005C3B55" w:rsidRDefault="00BD3B5F">
      <w:pPr>
        <w:rPr>
          <w:szCs w:val="24"/>
        </w:rPr>
      </w:pPr>
      <w:r w:rsidRPr="005C3B55">
        <w:rPr>
          <w:szCs w:val="24"/>
        </w:rPr>
        <w:t>Horizontal objectives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10656"/>
      </w:tblGrid>
      <w:tr w:rsidR="00BD3B5F" w:rsidRPr="005C3B55">
        <w:tc>
          <w:tcPr>
            <w:tcW w:w="10656" w:type="dxa"/>
            <w:tcMar>
              <w:top w:w="20" w:type="dxa"/>
              <w:bottom w:w="20" w:type="dxa"/>
            </w:tcMar>
            <w:vAlign w:val="bottom"/>
          </w:tcPr>
          <w:p w:rsidR="00BD3B5F" w:rsidRPr="005C3B55" w:rsidRDefault="00BD3B5F" w:rsidP="00BD3B5F">
            <w:pPr>
              <w:numPr>
                <w:ilvl w:val="0"/>
                <w:numId w:val="63"/>
              </w:numPr>
              <w:rPr>
                <w:szCs w:val="24"/>
              </w:rPr>
            </w:pPr>
            <w:r w:rsidRPr="005C3B55">
              <w:rPr>
                <w:szCs w:val="24"/>
              </w:rPr>
              <w:t>Environment</w:t>
            </w:r>
          </w:p>
          <w:p w:rsidR="00BD3B5F" w:rsidRPr="005C3B55" w:rsidRDefault="00BD3B5F" w:rsidP="00BD3B5F">
            <w:pPr>
              <w:numPr>
                <w:ilvl w:val="0"/>
                <w:numId w:val="63"/>
              </w:numPr>
              <w:rPr>
                <w:szCs w:val="24"/>
              </w:rPr>
            </w:pPr>
            <w:r w:rsidRPr="005C3B55">
              <w:rPr>
                <w:szCs w:val="24"/>
              </w:rPr>
              <w:t>Mitigating, and adapting to, climate change</w:t>
            </w:r>
          </w:p>
          <w:p w:rsidR="00BD3B5F" w:rsidRPr="005C3B55" w:rsidRDefault="00BD3B5F" w:rsidP="00BD3B5F">
            <w:pPr>
              <w:numPr>
                <w:ilvl w:val="0"/>
                <w:numId w:val="63"/>
              </w:numPr>
              <w:rPr>
                <w:szCs w:val="24"/>
              </w:rPr>
            </w:pPr>
            <w:r w:rsidRPr="005C3B55">
              <w:rPr>
                <w:szCs w:val="24"/>
              </w:rPr>
              <w:t>Innovation</w:t>
            </w:r>
          </w:p>
        </w:tc>
      </w:tr>
    </w:tbl>
    <w:p w:rsidR="00BD3B5F" w:rsidRPr="005C3B55" w:rsidRDefault="00BD3B5F">
      <w:pPr>
        <w:rPr>
          <w:szCs w:val="24"/>
        </w:rPr>
      </w:pPr>
      <w:r w:rsidRPr="005C3B55">
        <w:rPr>
          <w:szCs w:val="24"/>
        </w:rPr>
        <w:t>Description</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10656" w:type="dxa"/>
            <w:tcMar>
              <w:top w:w="20" w:type="dxa"/>
              <w:bottom w:w="20" w:type="dxa"/>
            </w:tcMar>
            <w:vAlign w:val="bottom"/>
          </w:tcPr>
          <w:p w:rsidR="00BD3B5F" w:rsidRPr="005C3B55" w:rsidRDefault="00BD3B5F">
            <w:pPr>
              <w:spacing w:before="0" w:after="240"/>
              <w:jc w:val="left"/>
              <w:rPr>
                <w:noProof/>
                <w:szCs w:val="24"/>
              </w:rPr>
            </w:pPr>
            <w:r w:rsidRPr="005C3B55">
              <w:rPr>
                <w:szCs w:val="24"/>
              </w:rPr>
              <w:t>Increasing the level of market orientation of agricultural holdings by establishing closer cooperation and ties among the primary producers and along the agro-food chain is one of the biggest development challenges to Slovenian agriculture, particularly for economically smaller agricultural holdings.</w:t>
            </w:r>
            <w:r w:rsidRPr="005C3B55">
              <w:rPr>
                <w:noProof/>
                <w:szCs w:val="24"/>
              </w:rPr>
              <w:t xml:space="preserve"> </w:t>
            </w:r>
            <w:r w:rsidRPr="005C3B55">
              <w:rPr>
                <w:szCs w:val="24"/>
              </w:rPr>
              <w:t>Increasing the level of market orientation is particularly important for products of higher quality, where supply is not keeping up with demand.</w:t>
            </w:r>
            <w:r w:rsidRPr="005C3B55">
              <w:rPr>
                <w:noProof/>
                <w:szCs w:val="24"/>
              </w:rPr>
              <w:t xml:space="preserve"> </w:t>
            </w:r>
            <w:r w:rsidRPr="005C3B55">
              <w:rPr>
                <w:szCs w:val="24"/>
              </w:rPr>
              <w:t>Therefore, focusing on production which is more environmentally-friendly and breeding based on improved animal welfare, and the inclusion of farmers in quality schemes can be an interesting market opportunity for agricultural holdings.</w:t>
            </w:r>
          </w:p>
          <w:p w:rsidR="00BD3B5F" w:rsidRPr="005C3B55" w:rsidRDefault="00BD3B5F">
            <w:pPr>
              <w:spacing w:before="240" w:after="240"/>
              <w:jc w:val="left"/>
              <w:rPr>
                <w:noProof/>
                <w:szCs w:val="24"/>
              </w:rPr>
            </w:pPr>
            <w:r w:rsidRPr="005C3B55">
              <w:rPr>
                <w:szCs w:val="24"/>
              </w:rPr>
              <w:t>It is of key importance for taking advantage of market opportunities that agricultural holdings establish connections among themselves and with other links in the chain, because this makes it easier to enter the (local) market, reduces costs through the joint organisation of production, marketing and promotion, ensures greater stability in production, spreads the risks associated with the changing situation in the market and improves the negotiating position with respect to other links in the agro-food chain.</w:t>
            </w:r>
            <w:r w:rsidRPr="005C3B55">
              <w:rPr>
                <w:noProof/>
                <w:szCs w:val="24"/>
              </w:rPr>
              <w:t xml:space="preserve"> </w:t>
            </w:r>
            <w:r w:rsidRPr="005C3B55">
              <w:rPr>
                <w:szCs w:val="24"/>
              </w:rPr>
              <w:t>It is essential that the entire chain functions well, because problems in one link affect others.</w:t>
            </w:r>
            <w:r w:rsidRPr="005C3B55">
              <w:rPr>
                <w:noProof/>
                <w:szCs w:val="24"/>
              </w:rPr>
              <w:t xml:space="preserve"> </w:t>
            </w:r>
            <w:r w:rsidRPr="005C3B55">
              <w:rPr>
                <w:szCs w:val="24"/>
              </w:rPr>
              <w:t>The economic situation of the primary sector is significantly impacted by the success of the operations of food processing companies and vice versa.</w:t>
            </w:r>
            <w:r w:rsidRPr="005C3B55">
              <w:rPr>
                <w:noProof/>
                <w:szCs w:val="24"/>
              </w:rPr>
              <w:t xml:space="preserve"> </w:t>
            </w:r>
            <w:r w:rsidRPr="005C3B55">
              <w:rPr>
                <w:szCs w:val="24"/>
              </w:rPr>
              <w:t>If primary production cannot follow the needs of food processing companies, this is reflected in the position of this branch.</w:t>
            </w:r>
          </w:p>
          <w:p w:rsidR="00BD3B5F" w:rsidRPr="005C3B55" w:rsidRDefault="00BD3B5F">
            <w:pPr>
              <w:spacing w:before="240" w:after="240"/>
              <w:jc w:val="left"/>
              <w:rPr>
                <w:noProof/>
                <w:szCs w:val="24"/>
              </w:rPr>
            </w:pPr>
            <w:r w:rsidRPr="005C3B55">
              <w:rPr>
                <w:szCs w:val="24"/>
              </w:rPr>
              <w:t>In order to improve market orientation and connectivity in agriculture, it will be necessary to improve the transfer of knowledge, raise the level of skills and encourage the development of local markets and short supply chains.</w:t>
            </w:r>
          </w:p>
          <w:p w:rsidR="00BD3B5F" w:rsidRPr="005C3B55" w:rsidRDefault="00BD3B5F">
            <w:pPr>
              <w:pStyle w:val="Telobesedila"/>
              <w:rPr>
                <w:szCs w:val="24"/>
              </w:rPr>
            </w:pPr>
          </w:p>
        </w:tc>
      </w:tr>
    </w:tbl>
    <w:p w:rsidR="00BD3B5F" w:rsidRPr="005C3B55" w:rsidRDefault="00BD3B5F">
      <w:pPr>
        <w:pStyle w:val="Naslov3"/>
        <w:tabs>
          <w:tab w:val="clear" w:pos="765"/>
        </w:tabs>
        <w:ind w:left="0" w:firstLine="0"/>
        <w:jc w:val="left"/>
        <w:rPr>
          <w:szCs w:val="24"/>
          <w:lang w:val="en-GB"/>
        </w:rPr>
      </w:pPr>
      <w:bookmarkStart w:id="71" w:name="_Toc416192529"/>
      <w:r w:rsidRPr="005C3B55">
        <w:rPr>
          <w:szCs w:val="24"/>
          <w:lang w:val="en-GB"/>
        </w:rPr>
        <w:t>N20 - Stimulating investments in the processing, development and marketing of agricultural products</w:t>
      </w:r>
      <w:bookmarkEnd w:id="71"/>
    </w:p>
    <w:p w:rsidR="00BD3B5F" w:rsidRPr="005C3B55" w:rsidRDefault="00BD3B5F">
      <w:pPr>
        <w:rPr>
          <w:szCs w:val="24"/>
        </w:rPr>
      </w:pPr>
      <w:r w:rsidRPr="005C3B55">
        <w:rPr>
          <w:szCs w:val="24"/>
        </w:rPr>
        <w:t>Priorities/focus areas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10656"/>
      </w:tblGrid>
      <w:tr w:rsidR="00BD3B5F" w:rsidRPr="005C3B55">
        <w:tc>
          <w:tcPr>
            <w:tcW w:w="10656" w:type="dxa"/>
            <w:tcMar>
              <w:top w:w="20" w:type="dxa"/>
              <w:bottom w:w="20" w:type="dxa"/>
            </w:tcMar>
            <w:vAlign w:val="bottom"/>
          </w:tcPr>
          <w:p w:rsidR="00BD3B5F" w:rsidRPr="005C3B55" w:rsidRDefault="00BD3B5F" w:rsidP="00BD3B5F">
            <w:pPr>
              <w:numPr>
                <w:ilvl w:val="0"/>
                <w:numId w:val="64"/>
              </w:numPr>
              <w:rPr>
                <w:szCs w:val="24"/>
              </w:rPr>
            </w:pPr>
            <w:r w:rsidRPr="005C3B55">
              <w:rPr>
                <w:szCs w:val="24"/>
              </w:rPr>
              <w:t>1B) Strengthening the links between agriculture, food production and forestry and research and innovation, including for a better environmental management and environmental efficiency</w:t>
            </w:r>
          </w:p>
          <w:p w:rsidR="00BD3B5F" w:rsidRPr="005C3B55" w:rsidRDefault="00BD3B5F" w:rsidP="00BD3B5F">
            <w:pPr>
              <w:numPr>
                <w:ilvl w:val="0"/>
                <w:numId w:val="64"/>
              </w:numPr>
              <w:rPr>
                <w:szCs w:val="24"/>
              </w:rPr>
            </w:pPr>
            <w:r w:rsidRPr="005C3B55">
              <w:rPr>
                <w:szCs w:val="24"/>
              </w:rPr>
              <w:t>1C) Enhancing life-long learning and professional training in the agricultural and forestry sectors</w:t>
            </w:r>
          </w:p>
          <w:p w:rsidR="00BD3B5F" w:rsidRPr="005C3B55" w:rsidRDefault="00BD3B5F" w:rsidP="00BD3B5F">
            <w:pPr>
              <w:numPr>
                <w:ilvl w:val="0"/>
                <w:numId w:val="64"/>
              </w:numPr>
              <w:rPr>
                <w:szCs w:val="24"/>
              </w:rPr>
            </w:pPr>
            <w:r w:rsidRPr="005C3B55">
              <w:rPr>
                <w:szCs w:val="24"/>
              </w:rPr>
              <w:t>3A) Improving the competitiveness of primary producers with their enhanced inclusion in the agro-food chain through quality schemes, adding value to agricultural products and promotion in local markets, short supply chains, producer groups and organisations and inter-branch organisations</w:t>
            </w:r>
          </w:p>
          <w:p w:rsidR="00BD3B5F" w:rsidRPr="005C3B55" w:rsidRDefault="00BD3B5F" w:rsidP="00BD3B5F">
            <w:pPr>
              <w:numPr>
                <w:ilvl w:val="0"/>
                <w:numId w:val="64"/>
              </w:numPr>
              <w:rPr>
                <w:szCs w:val="24"/>
              </w:rPr>
            </w:pPr>
            <w:r w:rsidRPr="005C3B55">
              <w:rPr>
                <w:szCs w:val="24"/>
              </w:rPr>
              <w:t>5C) Facilitating the supply and use of renewable energy sources, by-products, waste and residue and other non-food materials for the purposes of bio-economy</w:t>
            </w:r>
          </w:p>
        </w:tc>
      </w:tr>
    </w:tbl>
    <w:p w:rsidR="00BD3B5F" w:rsidRPr="005C3B55" w:rsidRDefault="00BD3B5F">
      <w:pPr>
        <w:rPr>
          <w:szCs w:val="24"/>
        </w:rPr>
      </w:pPr>
      <w:r w:rsidRPr="005C3B55">
        <w:rPr>
          <w:szCs w:val="24"/>
        </w:rPr>
        <w:t>Horizontal objectives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10656"/>
      </w:tblGrid>
      <w:tr w:rsidR="00BD3B5F" w:rsidRPr="005C3B55">
        <w:tc>
          <w:tcPr>
            <w:tcW w:w="10656" w:type="dxa"/>
            <w:tcMar>
              <w:top w:w="20" w:type="dxa"/>
              <w:bottom w:w="20" w:type="dxa"/>
            </w:tcMar>
            <w:vAlign w:val="bottom"/>
          </w:tcPr>
          <w:p w:rsidR="00BD3B5F" w:rsidRPr="005C3B55" w:rsidRDefault="00BD3B5F" w:rsidP="00BD3B5F">
            <w:pPr>
              <w:numPr>
                <w:ilvl w:val="0"/>
                <w:numId w:val="65"/>
              </w:numPr>
              <w:rPr>
                <w:szCs w:val="24"/>
              </w:rPr>
            </w:pPr>
            <w:r w:rsidRPr="005C3B55">
              <w:rPr>
                <w:szCs w:val="24"/>
              </w:rPr>
              <w:t>Environment</w:t>
            </w:r>
          </w:p>
          <w:p w:rsidR="00BD3B5F" w:rsidRPr="005C3B55" w:rsidRDefault="00BD3B5F" w:rsidP="00BD3B5F">
            <w:pPr>
              <w:numPr>
                <w:ilvl w:val="0"/>
                <w:numId w:val="65"/>
              </w:numPr>
              <w:rPr>
                <w:szCs w:val="24"/>
              </w:rPr>
            </w:pPr>
            <w:r w:rsidRPr="005C3B55">
              <w:rPr>
                <w:szCs w:val="24"/>
              </w:rPr>
              <w:t>Mitigating, and adapting to, climate change</w:t>
            </w:r>
          </w:p>
          <w:p w:rsidR="00BD3B5F" w:rsidRPr="005C3B55" w:rsidRDefault="00BD3B5F" w:rsidP="00BD3B5F">
            <w:pPr>
              <w:numPr>
                <w:ilvl w:val="0"/>
                <w:numId w:val="65"/>
              </w:numPr>
              <w:rPr>
                <w:szCs w:val="24"/>
              </w:rPr>
            </w:pPr>
            <w:r w:rsidRPr="005C3B55">
              <w:rPr>
                <w:szCs w:val="24"/>
              </w:rPr>
              <w:t>Innovation</w:t>
            </w:r>
          </w:p>
        </w:tc>
      </w:tr>
    </w:tbl>
    <w:p w:rsidR="00BD3B5F" w:rsidRPr="005C3B55" w:rsidRDefault="00BD3B5F">
      <w:pPr>
        <w:rPr>
          <w:szCs w:val="24"/>
        </w:rPr>
      </w:pPr>
      <w:r w:rsidRPr="005C3B55">
        <w:rPr>
          <w:szCs w:val="24"/>
        </w:rPr>
        <w:t>Description</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10656" w:type="dxa"/>
            <w:tcMar>
              <w:top w:w="20" w:type="dxa"/>
              <w:bottom w:w="20" w:type="dxa"/>
            </w:tcMar>
            <w:vAlign w:val="bottom"/>
          </w:tcPr>
          <w:p w:rsidR="00BD3B5F" w:rsidRPr="005C3B55" w:rsidRDefault="00BD3B5F">
            <w:pPr>
              <w:spacing w:before="0" w:after="240"/>
              <w:jc w:val="left"/>
              <w:rPr>
                <w:noProof/>
                <w:szCs w:val="24"/>
              </w:rPr>
            </w:pPr>
            <w:r w:rsidRPr="005C3B55">
              <w:rPr>
                <w:szCs w:val="24"/>
              </w:rPr>
              <w:t>To raise the added value of farm products, investments in the food processing industry, the development of new products and the marketing of farm products should be stimulated.</w:t>
            </w:r>
            <w:r w:rsidRPr="005C3B55">
              <w:rPr>
                <w:noProof/>
                <w:szCs w:val="24"/>
              </w:rPr>
              <w:t xml:space="preserve"> </w:t>
            </w:r>
            <w:r w:rsidRPr="005C3B55">
              <w:rPr>
                <w:szCs w:val="24"/>
              </w:rPr>
              <w:t>Efficient operations in the food processing industry are essential for the existence of primary agricultural production, since it is a factor in the stability and economic development of the entire agro-food chain.</w:t>
            </w:r>
            <w:r w:rsidRPr="005C3B55">
              <w:rPr>
                <w:noProof/>
                <w:szCs w:val="24"/>
              </w:rPr>
              <w:t xml:space="preserve"> </w:t>
            </w:r>
            <w:r w:rsidRPr="005C3B55">
              <w:rPr>
                <w:szCs w:val="24"/>
              </w:rPr>
              <w:t>It is quite worrying that the business results of the Slovenian food processing industry have been worsening in recent years, i.e. in all activities.</w:t>
            </w:r>
            <w:r w:rsidRPr="005C3B55">
              <w:rPr>
                <w:noProof/>
                <w:szCs w:val="24"/>
              </w:rPr>
              <w:t xml:space="preserve"> </w:t>
            </w:r>
            <w:r w:rsidRPr="005C3B55">
              <w:rPr>
                <w:szCs w:val="24"/>
              </w:rPr>
              <w:t>The deeply indebted companies are burdened by ownership consolidation and difficult conditions for acquiring additional debt sources of financing, which further aggravates investments in this industry.</w:t>
            </w:r>
            <w:r w:rsidRPr="005C3B55">
              <w:rPr>
                <w:noProof/>
                <w:szCs w:val="24"/>
              </w:rPr>
              <w:t xml:space="preserve"> </w:t>
            </w:r>
            <w:r w:rsidRPr="005C3B55">
              <w:rPr>
                <w:szCs w:val="24"/>
              </w:rPr>
              <w:t>Investments in food-processing facilities are necessary from the aspect of productivity growth and also the competitiveness of the entire sector, as well as from the aspect of adapting to harsh hygienic and environmental standards, which includes the need to increase energy efficiency.</w:t>
            </w:r>
          </w:p>
          <w:p w:rsidR="00BD3B5F" w:rsidRPr="005C3B55" w:rsidRDefault="00BD3B5F">
            <w:pPr>
              <w:spacing w:before="240" w:after="240"/>
              <w:jc w:val="left"/>
              <w:rPr>
                <w:noProof/>
                <w:szCs w:val="24"/>
              </w:rPr>
            </w:pPr>
            <w:r w:rsidRPr="005C3B55">
              <w:rPr>
                <w:szCs w:val="24"/>
              </w:rPr>
              <w:t>The processing of agricultural products, which is implemented as an additional and supplementary activity on farms, presents an important additional source of income, especially for small family farms, since it enables their existence and has a positive impact on the vitality of the countryside.</w:t>
            </w:r>
          </w:p>
          <w:p w:rsidR="00BD3B5F" w:rsidRPr="005C3B55" w:rsidRDefault="00BD3B5F">
            <w:pPr>
              <w:spacing w:before="240" w:after="240"/>
              <w:jc w:val="left"/>
              <w:rPr>
                <w:noProof/>
                <w:szCs w:val="24"/>
              </w:rPr>
            </w:pPr>
            <w:r w:rsidRPr="005C3B55">
              <w:rPr>
                <w:szCs w:val="24"/>
              </w:rPr>
              <w:t>In the field of processing, developing and marketing agricultural products, the qualifications of employees in agriculture and food industry should be ensured, and various forms of cooperation among stakeholders should be stimulated in order to develop new products and technologies, and to efficiently transfer knowledge and innovation in production etc.</w:t>
            </w:r>
          </w:p>
          <w:p w:rsidR="00BD3B5F" w:rsidRPr="005C3B55" w:rsidRDefault="00BD3B5F">
            <w:pPr>
              <w:pStyle w:val="Telobesedila"/>
              <w:rPr>
                <w:szCs w:val="24"/>
              </w:rPr>
            </w:pPr>
          </w:p>
        </w:tc>
      </w:tr>
    </w:tbl>
    <w:p w:rsidR="00BD3B5F" w:rsidRPr="005C3B55" w:rsidRDefault="00BD3B5F">
      <w:pPr>
        <w:pStyle w:val="Naslov3"/>
        <w:tabs>
          <w:tab w:val="clear" w:pos="765"/>
        </w:tabs>
        <w:ind w:left="0" w:firstLine="0"/>
        <w:jc w:val="left"/>
        <w:rPr>
          <w:szCs w:val="24"/>
          <w:lang w:val="en-GB"/>
        </w:rPr>
      </w:pPr>
      <w:bookmarkStart w:id="72" w:name="_Toc416192530"/>
      <w:r w:rsidRPr="005C3B55">
        <w:rPr>
          <w:szCs w:val="24"/>
          <w:lang w:val="en-GB"/>
        </w:rPr>
        <w:t>N21 - Preserving and/or improving biodiversity preservation in forests</w:t>
      </w:r>
      <w:bookmarkEnd w:id="72"/>
    </w:p>
    <w:p w:rsidR="00BD3B5F" w:rsidRPr="005C3B55" w:rsidRDefault="00BD3B5F">
      <w:pPr>
        <w:rPr>
          <w:szCs w:val="24"/>
        </w:rPr>
      </w:pPr>
      <w:r w:rsidRPr="005C3B55">
        <w:rPr>
          <w:szCs w:val="24"/>
        </w:rPr>
        <w:t>Priorities/focus areas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10656"/>
      </w:tblGrid>
      <w:tr w:rsidR="00BD3B5F" w:rsidRPr="005C3B55">
        <w:tc>
          <w:tcPr>
            <w:tcW w:w="10656" w:type="dxa"/>
            <w:tcMar>
              <w:top w:w="20" w:type="dxa"/>
              <w:bottom w:w="20" w:type="dxa"/>
            </w:tcMar>
            <w:vAlign w:val="bottom"/>
          </w:tcPr>
          <w:p w:rsidR="00BD3B5F" w:rsidRPr="005C3B55" w:rsidRDefault="00BD3B5F" w:rsidP="00BD3B5F">
            <w:pPr>
              <w:numPr>
                <w:ilvl w:val="0"/>
                <w:numId w:val="66"/>
              </w:numPr>
              <w:rPr>
                <w:szCs w:val="24"/>
              </w:rPr>
            </w:pPr>
            <w:r w:rsidRPr="005C3B55">
              <w:rPr>
                <w:szCs w:val="24"/>
              </w:rPr>
              <w:t>4A) Restoring, preserving and enhancing biodiversity, including in Natura 2000 sites, and in areas facing natural or other specific constraints, and high nature value farming, as well as the state of European landscapes</w:t>
            </w:r>
          </w:p>
        </w:tc>
      </w:tr>
    </w:tbl>
    <w:p w:rsidR="00BD3B5F" w:rsidRPr="005C3B55" w:rsidRDefault="00BD3B5F">
      <w:pPr>
        <w:rPr>
          <w:szCs w:val="24"/>
        </w:rPr>
      </w:pPr>
      <w:r w:rsidRPr="005C3B55">
        <w:rPr>
          <w:szCs w:val="24"/>
        </w:rPr>
        <w:t>Horizontal objectives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10656"/>
      </w:tblGrid>
      <w:tr w:rsidR="00BD3B5F" w:rsidRPr="005C3B55">
        <w:tc>
          <w:tcPr>
            <w:tcW w:w="10656" w:type="dxa"/>
            <w:tcMar>
              <w:top w:w="20" w:type="dxa"/>
              <w:bottom w:w="20" w:type="dxa"/>
            </w:tcMar>
            <w:vAlign w:val="bottom"/>
          </w:tcPr>
          <w:p w:rsidR="00BD3B5F" w:rsidRPr="005C3B55" w:rsidRDefault="00BD3B5F" w:rsidP="00BD3B5F">
            <w:pPr>
              <w:numPr>
                <w:ilvl w:val="0"/>
                <w:numId w:val="67"/>
              </w:numPr>
              <w:rPr>
                <w:szCs w:val="24"/>
              </w:rPr>
            </w:pPr>
            <w:r w:rsidRPr="005C3B55">
              <w:rPr>
                <w:szCs w:val="24"/>
              </w:rPr>
              <w:t>Environment</w:t>
            </w:r>
          </w:p>
        </w:tc>
      </w:tr>
    </w:tbl>
    <w:p w:rsidR="00BD3B5F" w:rsidRPr="005C3B55" w:rsidRDefault="00BD3B5F">
      <w:pPr>
        <w:rPr>
          <w:szCs w:val="24"/>
        </w:rPr>
      </w:pPr>
      <w:r w:rsidRPr="005C3B55">
        <w:rPr>
          <w:szCs w:val="24"/>
        </w:rPr>
        <w:t>Description</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10656" w:type="dxa"/>
            <w:tcMar>
              <w:top w:w="20" w:type="dxa"/>
              <w:bottom w:w="20" w:type="dxa"/>
            </w:tcMar>
            <w:vAlign w:val="bottom"/>
          </w:tcPr>
          <w:p w:rsidR="00BD3B5F" w:rsidRPr="005C3B55" w:rsidRDefault="00BD3B5F">
            <w:pPr>
              <w:spacing w:before="0" w:after="240"/>
              <w:jc w:val="left"/>
              <w:rPr>
                <w:noProof/>
                <w:szCs w:val="24"/>
              </w:rPr>
            </w:pPr>
            <w:r w:rsidRPr="005C3B55">
              <w:rPr>
                <w:szCs w:val="24"/>
              </w:rPr>
              <w:t>Despite the high level of biodiversity preservation in Slovenia, the condition of individual forest species (e.g. capercaillie, woodpecker) is worsening, due to which appropriate measures are necessary.</w:t>
            </w:r>
            <w:r w:rsidRPr="005C3B55">
              <w:rPr>
                <w:noProof/>
                <w:szCs w:val="24"/>
              </w:rPr>
              <w:t xml:space="preserve"> </w:t>
            </w:r>
            <w:r w:rsidRPr="005C3B55">
              <w:rPr>
                <w:szCs w:val="24"/>
              </w:rPr>
              <w:t>Measures are related to active management and the implementation of adapted forest management, or the management of individual forest areas must be limited.</w:t>
            </w:r>
          </w:p>
          <w:p w:rsidR="00BD3B5F" w:rsidRPr="005C3B55" w:rsidRDefault="00BD3B5F">
            <w:pPr>
              <w:spacing w:before="240" w:after="240"/>
              <w:jc w:val="left"/>
              <w:rPr>
                <w:noProof/>
                <w:szCs w:val="24"/>
              </w:rPr>
            </w:pPr>
            <w:r w:rsidRPr="005C3B55">
              <w:rPr>
                <w:szCs w:val="24"/>
              </w:rPr>
              <w:t>To improve the condition of habitats and species, the network of eco-cells in Natura 2000 areas must be stimulated. A larger share of waste biomass and habitat trees, peaceful zones without management, or active zones with targeted management (opening surfaces, selectively cleaning of overgrowth for the purpose of creating micro-habitats) may be ensured through a suitable network of eco-cells.</w:t>
            </w:r>
            <w:r w:rsidRPr="005C3B55">
              <w:rPr>
                <w:noProof/>
                <w:szCs w:val="24"/>
              </w:rPr>
              <w:t xml:space="preserve"> </w:t>
            </w:r>
            <w:r w:rsidRPr="005C3B55">
              <w:rPr>
                <w:szCs w:val="24"/>
              </w:rPr>
              <w:t>Forest owners must be encouraged to take such measures.</w:t>
            </w:r>
          </w:p>
          <w:p w:rsidR="00BD3B5F" w:rsidRPr="005C3B55" w:rsidRDefault="00BD3B5F">
            <w:pPr>
              <w:spacing w:before="240" w:after="240"/>
              <w:jc w:val="left"/>
              <w:rPr>
                <w:noProof/>
                <w:szCs w:val="24"/>
              </w:rPr>
            </w:pPr>
            <w:r w:rsidRPr="005C3B55">
              <w:rPr>
                <w:szCs w:val="24"/>
              </w:rPr>
              <w:t>From the aspect of biodiversity preservation in forests, appropriate planning of new forest routes should be implemented in accordance with the regulations on forestry and nature protection based on forest management and silvicultural plans, as well as on the basis of the new programme for managing Natura 2000 areas.</w:t>
            </w:r>
          </w:p>
          <w:p w:rsidR="00BD3B5F" w:rsidRPr="005C3B55" w:rsidRDefault="00BD3B5F">
            <w:pPr>
              <w:pStyle w:val="Telobesedila"/>
              <w:rPr>
                <w:szCs w:val="24"/>
              </w:rPr>
            </w:pPr>
          </w:p>
        </w:tc>
      </w:tr>
    </w:tbl>
    <w:p w:rsidR="00BD3B5F" w:rsidRPr="005C3B55" w:rsidRDefault="00BD3B5F">
      <w:pPr>
        <w:pStyle w:val="Naslov3"/>
        <w:tabs>
          <w:tab w:val="clear" w:pos="765"/>
        </w:tabs>
        <w:ind w:left="0" w:firstLine="0"/>
        <w:jc w:val="left"/>
        <w:rPr>
          <w:szCs w:val="24"/>
          <w:lang w:val="en-GB"/>
        </w:rPr>
      </w:pPr>
      <w:bookmarkStart w:id="73" w:name="_Toc416192531"/>
      <w:r w:rsidRPr="005C3B55">
        <w:rPr>
          <w:szCs w:val="24"/>
          <w:lang w:val="en-GB"/>
        </w:rPr>
        <w:t>N22 - Restoring forest potential destroyed after a natural disaster</w:t>
      </w:r>
      <w:bookmarkEnd w:id="73"/>
    </w:p>
    <w:p w:rsidR="00BD3B5F" w:rsidRPr="005C3B55" w:rsidRDefault="00BD3B5F">
      <w:pPr>
        <w:rPr>
          <w:szCs w:val="24"/>
        </w:rPr>
      </w:pPr>
      <w:r w:rsidRPr="005C3B55">
        <w:rPr>
          <w:szCs w:val="24"/>
        </w:rPr>
        <w:t>Priorities/focus areas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10656"/>
      </w:tblGrid>
      <w:tr w:rsidR="00BD3B5F" w:rsidRPr="005C3B55">
        <w:tc>
          <w:tcPr>
            <w:tcW w:w="10656" w:type="dxa"/>
            <w:tcMar>
              <w:top w:w="20" w:type="dxa"/>
              <w:bottom w:w="20" w:type="dxa"/>
            </w:tcMar>
            <w:vAlign w:val="bottom"/>
          </w:tcPr>
          <w:p w:rsidR="00BD3B5F" w:rsidRPr="005C3B55" w:rsidRDefault="00BD3B5F" w:rsidP="00BD3B5F">
            <w:pPr>
              <w:numPr>
                <w:ilvl w:val="0"/>
                <w:numId w:val="68"/>
              </w:numPr>
              <w:rPr>
                <w:szCs w:val="24"/>
              </w:rPr>
            </w:pPr>
            <w:r w:rsidRPr="005C3B55">
              <w:rPr>
                <w:szCs w:val="24"/>
              </w:rPr>
              <w:t>4A) Restoring, preserving and enhancing biodiversity, including in Natura 2000 sites, and in areas facing natural or other specific constraints, and high nature value farming, as well as the state of European landscapes</w:t>
            </w:r>
          </w:p>
          <w:p w:rsidR="00BD3B5F" w:rsidRPr="005C3B55" w:rsidRDefault="00BD3B5F" w:rsidP="00BD3B5F">
            <w:pPr>
              <w:numPr>
                <w:ilvl w:val="0"/>
                <w:numId w:val="68"/>
              </w:numPr>
              <w:rPr>
                <w:szCs w:val="24"/>
              </w:rPr>
            </w:pPr>
            <w:r w:rsidRPr="005C3B55">
              <w:rPr>
                <w:szCs w:val="24"/>
              </w:rPr>
              <w:t>5E) Promoting the storage and sequestration of carbon in agriculture and forestry</w:t>
            </w:r>
          </w:p>
        </w:tc>
      </w:tr>
    </w:tbl>
    <w:p w:rsidR="00BD3B5F" w:rsidRPr="005C3B55" w:rsidRDefault="00BD3B5F">
      <w:pPr>
        <w:rPr>
          <w:szCs w:val="24"/>
        </w:rPr>
      </w:pPr>
      <w:r w:rsidRPr="005C3B55">
        <w:rPr>
          <w:szCs w:val="24"/>
        </w:rPr>
        <w:t>Horizontal objectives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10656"/>
      </w:tblGrid>
      <w:tr w:rsidR="00BD3B5F" w:rsidRPr="005C3B55">
        <w:tc>
          <w:tcPr>
            <w:tcW w:w="10656" w:type="dxa"/>
            <w:tcMar>
              <w:top w:w="20" w:type="dxa"/>
              <w:bottom w:w="20" w:type="dxa"/>
            </w:tcMar>
            <w:vAlign w:val="bottom"/>
          </w:tcPr>
          <w:p w:rsidR="00BD3B5F" w:rsidRPr="005C3B55" w:rsidRDefault="00BD3B5F" w:rsidP="00BD3B5F">
            <w:pPr>
              <w:numPr>
                <w:ilvl w:val="0"/>
                <w:numId w:val="69"/>
              </w:numPr>
              <w:rPr>
                <w:szCs w:val="24"/>
              </w:rPr>
            </w:pPr>
            <w:r w:rsidRPr="005C3B55">
              <w:rPr>
                <w:szCs w:val="24"/>
              </w:rPr>
              <w:t>Environment</w:t>
            </w:r>
          </w:p>
          <w:p w:rsidR="00BD3B5F" w:rsidRPr="005C3B55" w:rsidRDefault="00BD3B5F" w:rsidP="00BD3B5F">
            <w:pPr>
              <w:numPr>
                <w:ilvl w:val="0"/>
                <w:numId w:val="69"/>
              </w:numPr>
              <w:rPr>
                <w:szCs w:val="24"/>
              </w:rPr>
            </w:pPr>
            <w:r w:rsidRPr="005C3B55">
              <w:rPr>
                <w:szCs w:val="24"/>
              </w:rPr>
              <w:t>Mitigating, and adapting to, climate change</w:t>
            </w:r>
          </w:p>
        </w:tc>
      </w:tr>
    </w:tbl>
    <w:p w:rsidR="00BD3B5F" w:rsidRPr="005C3B55" w:rsidRDefault="00BD3B5F">
      <w:pPr>
        <w:rPr>
          <w:szCs w:val="24"/>
        </w:rPr>
      </w:pPr>
      <w:r w:rsidRPr="005C3B55">
        <w:rPr>
          <w:szCs w:val="24"/>
        </w:rPr>
        <w:t>Description</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10656" w:type="dxa"/>
            <w:tcMar>
              <w:top w:w="20" w:type="dxa"/>
              <w:bottom w:w="20" w:type="dxa"/>
            </w:tcMar>
            <w:vAlign w:val="bottom"/>
          </w:tcPr>
          <w:p w:rsidR="00BD3B5F" w:rsidRPr="005C3B55" w:rsidRDefault="00BD3B5F">
            <w:pPr>
              <w:spacing w:before="0" w:after="240"/>
              <w:jc w:val="left"/>
              <w:rPr>
                <w:noProof/>
                <w:szCs w:val="24"/>
              </w:rPr>
            </w:pPr>
            <w:r w:rsidRPr="005C3B55">
              <w:rPr>
                <w:szCs w:val="24"/>
              </w:rPr>
              <w:t>At the end of January and the beginning of February 2014, a large portion of Slovenian forests was affected by glaze ice and snow.</w:t>
            </w:r>
            <w:r w:rsidRPr="005C3B55">
              <w:rPr>
                <w:noProof/>
                <w:szCs w:val="24"/>
              </w:rPr>
              <w:t xml:space="preserve"> </w:t>
            </w:r>
            <w:r w:rsidRPr="005C3B55">
              <w:rPr>
                <w:szCs w:val="24"/>
              </w:rPr>
              <w:t>This natural disaster caused major or minor damage to almost all Slovenian forests.</w:t>
            </w:r>
            <w:r w:rsidRPr="005C3B55">
              <w:rPr>
                <w:noProof/>
                <w:szCs w:val="24"/>
              </w:rPr>
              <w:t xml:space="preserve"> </w:t>
            </w:r>
            <w:r w:rsidRPr="005C3B55">
              <w:rPr>
                <w:szCs w:val="24"/>
              </w:rPr>
              <w:t>Only forests in the Slovenian Primorje region up to 500 metres above sea level, forests in the sub-Pannonian area of Eastern Slovenia and over 1,200 metres above sea level remained undamaged; 51% of the forest surface requires felling of damaged trees;</w:t>
            </w:r>
            <w:r w:rsidRPr="005C3B55">
              <w:rPr>
                <w:noProof/>
                <w:szCs w:val="24"/>
              </w:rPr>
              <w:t xml:space="preserve"> </w:t>
            </w:r>
            <w:r w:rsidRPr="005C3B55">
              <w:rPr>
                <w:szCs w:val="24"/>
              </w:rPr>
              <w:t>9.3 million cubic metres of damaged trees will have to be cut due to damage.</w:t>
            </w:r>
          </w:p>
          <w:p w:rsidR="00BD3B5F" w:rsidRPr="005C3B55" w:rsidRDefault="00BD3B5F">
            <w:pPr>
              <w:spacing w:before="240" w:after="240"/>
              <w:jc w:val="left"/>
              <w:rPr>
                <w:noProof/>
                <w:szCs w:val="24"/>
              </w:rPr>
            </w:pPr>
            <w:r w:rsidRPr="005C3B55">
              <w:rPr>
                <w:szCs w:val="24"/>
              </w:rPr>
              <w:t>Due to the high rate of damage in Slovenian forests, the environmental (e.g. hydrological function) and climatic function of forests is affected, since forests store carbon dioxide and reduce concentrations of greenhouse gases in the atmosphere.</w:t>
            </w:r>
            <w:r w:rsidRPr="005C3B55">
              <w:rPr>
                <w:noProof/>
                <w:szCs w:val="24"/>
              </w:rPr>
              <w:t xml:space="preserve"> </w:t>
            </w:r>
            <w:r w:rsidRPr="005C3B55">
              <w:rPr>
                <w:szCs w:val="24"/>
              </w:rPr>
              <w:t>In order to re-establish forest potential, rehabilitation felling must be followed by restoration.</w:t>
            </w:r>
            <w:r w:rsidRPr="005C3B55">
              <w:rPr>
                <w:noProof/>
                <w:szCs w:val="24"/>
              </w:rPr>
              <w:t xml:space="preserve"> </w:t>
            </w:r>
            <w:r w:rsidRPr="005C3B55">
              <w:rPr>
                <w:szCs w:val="24"/>
              </w:rPr>
              <w:t>Approximately 13,800 ha of forests (2% of damaged forests) require rehabilitation (natural rehabilitation and restoration with planting).</w:t>
            </w:r>
            <w:r w:rsidRPr="005C3B55">
              <w:rPr>
                <w:noProof/>
                <w:szCs w:val="24"/>
              </w:rPr>
              <w:t xml:space="preserve"> </w:t>
            </w:r>
            <w:r w:rsidRPr="005C3B55">
              <w:rPr>
                <w:szCs w:val="24"/>
              </w:rPr>
              <w:t>These are areas where the share of felling of damaged trees is higher than 50% of the wood stock (6,615 ha), as well as areas with concentrated trees that are damaged to a lesser extent.</w:t>
            </w:r>
            <w:r w:rsidRPr="005C3B55">
              <w:rPr>
                <w:noProof/>
                <w:szCs w:val="24"/>
              </w:rPr>
              <w:t xml:space="preserve"> </w:t>
            </w:r>
            <w:r w:rsidRPr="005C3B55">
              <w:rPr>
                <w:szCs w:val="24"/>
              </w:rPr>
              <w:t>About 877 ha of damaged forests will have to be restored by new planting and nursing (6% of forests dedicated to restoration).</w:t>
            </w:r>
          </w:p>
          <w:p w:rsidR="00BD3B5F" w:rsidRPr="005C3B55" w:rsidRDefault="00BD3B5F">
            <w:pPr>
              <w:spacing w:before="240" w:after="240"/>
              <w:jc w:val="left"/>
              <w:rPr>
                <w:noProof/>
                <w:szCs w:val="24"/>
              </w:rPr>
            </w:pPr>
            <w:r w:rsidRPr="005C3B55">
              <w:rPr>
                <w:szCs w:val="24"/>
              </w:rPr>
              <w:t>The restoration of forest will be directed at pursuing sustainable methods in order to preserve the natural structure of plant and animal species according to the guidelines of the Resolution on the National Forest Programme (Official Gazette of the Republic of Slovenia, no. 111/07).</w:t>
            </w:r>
            <w:r w:rsidRPr="005C3B55">
              <w:rPr>
                <w:noProof/>
                <w:szCs w:val="24"/>
              </w:rPr>
              <w:t xml:space="preserve"> </w:t>
            </w:r>
            <w:r w:rsidRPr="005C3B55">
              <w:rPr>
                <w:szCs w:val="24"/>
              </w:rPr>
              <w:t>This also determines the guidelines on preserving forest biodiversity at the level of ecosystems, namely:</w:t>
            </w:r>
          </w:p>
          <w:p w:rsidR="00BD3B5F" w:rsidRPr="005C3B55" w:rsidRDefault="00BD3B5F" w:rsidP="00BD3B5F">
            <w:pPr>
              <w:numPr>
                <w:ilvl w:val="0"/>
                <w:numId w:val="70"/>
              </w:numPr>
              <w:spacing w:before="240" w:after="0"/>
              <w:ind w:hanging="290"/>
              <w:jc w:val="left"/>
              <w:rPr>
                <w:noProof/>
                <w:szCs w:val="24"/>
              </w:rPr>
            </w:pPr>
            <w:r w:rsidRPr="005C3B55">
              <w:rPr>
                <w:szCs w:val="24"/>
              </w:rPr>
              <w:t>the natural structure of tree species should be provided primarily with the natural renewal of stands, whereas particular attention should be paid to the constant harmonisation of the plant and animal component of forests, and</w:t>
            </w:r>
          </w:p>
          <w:p w:rsidR="00BD3B5F" w:rsidRPr="005C3B55" w:rsidRDefault="00BD3B5F" w:rsidP="00BD3B5F">
            <w:pPr>
              <w:numPr>
                <w:ilvl w:val="0"/>
                <w:numId w:val="70"/>
              </w:numPr>
              <w:spacing w:before="0" w:after="240"/>
              <w:ind w:hanging="290"/>
              <w:jc w:val="left"/>
              <w:rPr>
                <w:noProof/>
                <w:szCs w:val="24"/>
              </w:rPr>
            </w:pPr>
            <w:r w:rsidRPr="005C3B55">
              <w:rPr>
                <w:szCs w:val="24"/>
              </w:rPr>
              <w:t>in the renewal of stands by planting, advantage should be given to stands adjusted to domestic species and local provenances.</w:t>
            </w:r>
          </w:p>
          <w:p w:rsidR="00BD3B5F" w:rsidRPr="005C3B55" w:rsidRDefault="00BD3B5F">
            <w:pPr>
              <w:spacing w:before="240" w:after="240"/>
              <w:jc w:val="left"/>
              <w:rPr>
                <w:noProof/>
                <w:szCs w:val="24"/>
              </w:rPr>
            </w:pPr>
            <w:r w:rsidRPr="005C3B55">
              <w:rPr>
                <w:szCs w:val="24"/>
              </w:rPr>
              <w:t>The regulations regulating forest reproductive material (Forest Reproductive Material Act, Rules on determining regions of provenance) also stipulate that only forest reproductive material of appropriate quality and provenance may be used.</w:t>
            </w:r>
          </w:p>
          <w:p w:rsidR="00BD3B5F" w:rsidRPr="005C3B55" w:rsidRDefault="00BD3B5F">
            <w:pPr>
              <w:pStyle w:val="Telobesedila"/>
              <w:rPr>
                <w:szCs w:val="24"/>
              </w:rPr>
            </w:pPr>
          </w:p>
        </w:tc>
      </w:tr>
    </w:tbl>
    <w:p w:rsidR="00BD3B5F" w:rsidRPr="005C3B55" w:rsidRDefault="00BD3B5F">
      <w:pPr>
        <w:pStyle w:val="Naslov3"/>
        <w:tabs>
          <w:tab w:val="clear" w:pos="765"/>
        </w:tabs>
        <w:ind w:left="0" w:firstLine="0"/>
        <w:jc w:val="left"/>
        <w:rPr>
          <w:szCs w:val="24"/>
          <w:lang w:val="en-GB"/>
        </w:rPr>
      </w:pPr>
      <w:bookmarkStart w:id="74" w:name="_Toc416192532"/>
      <w:r w:rsidRPr="005C3B55">
        <w:rPr>
          <w:szCs w:val="24"/>
          <w:lang w:val="en-GB"/>
        </w:rPr>
        <w:t>N23 - Regulating forest infrastructure to achieve greater forest openness</w:t>
      </w:r>
      <w:bookmarkEnd w:id="74"/>
    </w:p>
    <w:p w:rsidR="00BD3B5F" w:rsidRPr="005C3B55" w:rsidRDefault="00BD3B5F">
      <w:pPr>
        <w:rPr>
          <w:szCs w:val="24"/>
        </w:rPr>
      </w:pPr>
      <w:r w:rsidRPr="005C3B55">
        <w:rPr>
          <w:szCs w:val="24"/>
        </w:rPr>
        <w:t>Priorities/focus areas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10656"/>
      </w:tblGrid>
      <w:tr w:rsidR="00BD3B5F" w:rsidRPr="005C3B55">
        <w:tc>
          <w:tcPr>
            <w:tcW w:w="10656" w:type="dxa"/>
            <w:tcMar>
              <w:top w:w="20" w:type="dxa"/>
              <w:bottom w:w="20" w:type="dxa"/>
            </w:tcMar>
            <w:vAlign w:val="bottom"/>
          </w:tcPr>
          <w:p w:rsidR="00BD3B5F" w:rsidRPr="005C3B55" w:rsidRDefault="00BD3B5F" w:rsidP="00BD3B5F">
            <w:pPr>
              <w:numPr>
                <w:ilvl w:val="0"/>
                <w:numId w:val="71"/>
              </w:numPr>
              <w:rPr>
                <w:szCs w:val="24"/>
              </w:rPr>
            </w:pPr>
            <w:r w:rsidRPr="005C3B55">
              <w:rPr>
                <w:szCs w:val="24"/>
              </w:rPr>
              <w:t>2A) Improving the economic performance of all agricultural holdings and facilitating the restructuring and modernisation of agricultural holdings, in order to particularly increase their market participation, market-orientation and agricultural diversification</w:t>
            </w:r>
          </w:p>
          <w:p w:rsidR="00BD3B5F" w:rsidRPr="005C3B55" w:rsidRDefault="00BD3B5F" w:rsidP="00BD3B5F">
            <w:pPr>
              <w:numPr>
                <w:ilvl w:val="0"/>
                <w:numId w:val="71"/>
              </w:numPr>
              <w:rPr>
                <w:szCs w:val="24"/>
              </w:rPr>
            </w:pPr>
            <w:r w:rsidRPr="005C3B55">
              <w:rPr>
                <w:szCs w:val="24"/>
              </w:rPr>
              <w:t>4A) Restoring, preserving and enhancing biodiversity, including in Natura 2000 sites, and in areas facing natural or other specific constraints, and high nature value farming, as well as the state of European landscapes</w:t>
            </w:r>
          </w:p>
        </w:tc>
      </w:tr>
    </w:tbl>
    <w:p w:rsidR="00BD3B5F" w:rsidRPr="005C3B55" w:rsidRDefault="00BD3B5F">
      <w:pPr>
        <w:rPr>
          <w:szCs w:val="24"/>
        </w:rPr>
      </w:pPr>
      <w:r w:rsidRPr="005C3B55">
        <w:rPr>
          <w:szCs w:val="24"/>
        </w:rPr>
        <w:t>Horizontal objectives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10656"/>
      </w:tblGrid>
      <w:tr w:rsidR="00BD3B5F" w:rsidRPr="005C3B55">
        <w:tc>
          <w:tcPr>
            <w:tcW w:w="10656" w:type="dxa"/>
            <w:tcMar>
              <w:top w:w="20" w:type="dxa"/>
              <w:bottom w:w="20" w:type="dxa"/>
            </w:tcMar>
            <w:vAlign w:val="bottom"/>
          </w:tcPr>
          <w:p w:rsidR="00BD3B5F" w:rsidRPr="005C3B55" w:rsidRDefault="00BD3B5F" w:rsidP="00BD3B5F">
            <w:pPr>
              <w:numPr>
                <w:ilvl w:val="0"/>
                <w:numId w:val="72"/>
              </w:numPr>
              <w:rPr>
                <w:szCs w:val="24"/>
              </w:rPr>
            </w:pPr>
            <w:r w:rsidRPr="005C3B55">
              <w:rPr>
                <w:szCs w:val="24"/>
              </w:rPr>
              <w:t>Environment</w:t>
            </w:r>
          </w:p>
        </w:tc>
      </w:tr>
    </w:tbl>
    <w:p w:rsidR="00BD3B5F" w:rsidRPr="005C3B55" w:rsidRDefault="00BD3B5F">
      <w:pPr>
        <w:rPr>
          <w:szCs w:val="24"/>
        </w:rPr>
      </w:pPr>
      <w:r w:rsidRPr="005C3B55">
        <w:rPr>
          <w:szCs w:val="24"/>
        </w:rPr>
        <w:t>Description</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10656" w:type="dxa"/>
            <w:tcMar>
              <w:top w:w="20" w:type="dxa"/>
              <w:bottom w:w="20" w:type="dxa"/>
            </w:tcMar>
            <w:vAlign w:val="bottom"/>
          </w:tcPr>
          <w:p w:rsidR="00BD3B5F" w:rsidRPr="005C3B55" w:rsidRDefault="00BD3B5F">
            <w:pPr>
              <w:spacing w:before="0" w:after="240"/>
              <w:jc w:val="left"/>
              <w:rPr>
                <w:noProof/>
                <w:szCs w:val="24"/>
              </w:rPr>
            </w:pPr>
            <w:r w:rsidRPr="005C3B55">
              <w:rPr>
                <w:szCs w:val="24"/>
              </w:rPr>
              <w:t>The regulation of forest infrastructure (forest routes) is important for achieving greater openness in forests.</w:t>
            </w:r>
            <w:r w:rsidRPr="005C3B55">
              <w:rPr>
                <w:noProof/>
                <w:szCs w:val="24"/>
              </w:rPr>
              <w:t xml:space="preserve"> </w:t>
            </w:r>
            <w:r w:rsidRPr="005C3B55">
              <w:rPr>
                <w:szCs w:val="24"/>
              </w:rPr>
              <w:t>Opening forests with forest routes is part of sustainable forest management.</w:t>
            </w:r>
            <w:r w:rsidRPr="005C3B55">
              <w:rPr>
                <w:noProof/>
                <w:szCs w:val="24"/>
              </w:rPr>
              <w:t xml:space="preserve"> </w:t>
            </w:r>
            <w:r w:rsidRPr="005C3B55">
              <w:rPr>
                <w:szCs w:val="24"/>
              </w:rPr>
              <w:t>In addition to the fact that it enables the utilisation of natural assets in this area, it also enables regular maintenance and rehabilitation works in forests, thus preserving forest structures.</w:t>
            </w:r>
          </w:p>
          <w:p w:rsidR="00BD3B5F" w:rsidRPr="005C3B55" w:rsidRDefault="00BD3B5F">
            <w:pPr>
              <w:spacing w:before="240" w:after="240"/>
              <w:jc w:val="left"/>
              <w:rPr>
                <w:noProof/>
                <w:szCs w:val="24"/>
              </w:rPr>
            </w:pPr>
            <w:r w:rsidRPr="005C3B55">
              <w:rPr>
                <w:szCs w:val="24"/>
              </w:rPr>
              <w:t>Greater openness of forests reduces the costs of extracting wood and raises the income from forest activities.</w:t>
            </w:r>
            <w:r w:rsidRPr="005C3B55">
              <w:rPr>
                <w:noProof/>
                <w:szCs w:val="24"/>
              </w:rPr>
              <w:t xml:space="preserve"> </w:t>
            </w:r>
            <w:r w:rsidRPr="005C3B55">
              <w:rPr>
                <w:szCs w:val="24"/>
              </w:rPr>
              <w:t>Since opening of forests and the intensification of felling can negatively impact biodiversity, it is necessary to consider legislation on forests and nature protection in the process of integrating forest routes.</w:t>
            </w:r>
            <w:r w:rsidRPr="005C3B55">
              <w:rPr>
                <w:noProof/>
                <w:szCs w:val="24"/>
              </w:rPr>
              <w:t xml:space="preserve"> </w:t>
            </w:r>
            <w:r w:rsidRPr="005C3B55">
              <w:rPr>
                <w:szCs w:val="24"/>
              </w:rPr>
              <w:t>When integrating forest infrastructure into a wider area, the negative impact of such intervention on biodiversity in forests must be prevented or maximally reduced.</w:t>
            </w:r>
            <w:r w:rsidRPr="005C3B55">
              <w:rPr>
                <w:noProof/>
                <w:szCs w:val="24"/>
              </w:rPr>
              <w:t xml:space="preserve"> </w:t>
            </w:r>
            <w:r w:rsidRPr="005C3B55">
              <w:rPr>
                <w:szCs w:val="24"/>
              </w:rPr>
              <w:t>Forest route planning must be harmonised with the limitations and conditions determined by forest management plans.</w:t>
            </w:r>
            <w:r w:rsidRPr="005C3B55">
              <w:rPr>
                <w:noProof/>
                <w:szCs w:val="24"/>
              </w:rPr>
              <w:t xml:space="preserve"> </w:t>
            </w:r>
            <w:r w:rsidRPr="005C3B55">
              <w:rPr>
                <w:szCs w:val="24"/>
              </w:rPr>
              <w:t>Approval by the Forest Service must be provided for the construction of facilities and interventions in forests or forest areas in accordance with Article 21 of the Forest Act.</w:t>
            </w:r>
            <w:r w:rsidRPr="005C3B55">
              <w:rPr>
                <w:noProof/>
                <w:szCs w:val="24"/>
              </w:rPr>
              <w:t xml:space="preserve"> </w:t>
            </w:r>
            <w:r w:rsidRPr="005C3B55">
              <w:rPr>
                <w:szCs w:val="24"/>
              </w:rPr>
              <w:t>For planned construction in special protection areas (Natura 2000), construction in protected areas that are by protection acts, construction that intervenes in a valuable natural feature requires a nature protection approval in accordance with Nature Conservation Act (Official Gazette of the Republic of Slovenia, no.</w:t>
            </w:r>
            <w:r w:rsidRPr="005C3B55">
              <w:rPr>
                <w:noProof/>
                <w:szCs w:val="24"/>
              </w:rPr>
              <w:t xml:space="preserve"> </w:t>
            </w:r>
            <w:r w:rsidRPr="005C3B55">
              <w:rPr>
                <w:szCs w:val="24"/>
              </w:rPr>
              <w:t>96/04 with amendments).</w:t>
            </w:r>
            <w:r w:rsidRPr="005C3B55">
              <w:rPr>
                <w:noProof/>
                <w:szCs w:val="24"/>
              </w:rPr>
              <w:t xml:space="preserve"> </w:t>
            </w:r>
            <w:r w:rsidRPr="005C3B55">
              <w:rPr>
                <w:szCs w:val="24"/>
              </w:rPr>
              <w:t>The requirements referred to in Article 6 of Directive 92/43/EEC are also implemented in this process.</w:t>
            </w:r>
            <w:r w:rsidRPr="005C3B55">
              <w:rPr>
                <w:noProof/>
                <w:szCs w:val="24"/>
              </w:rPr>
              <w:t xml:space="preserve"> </w:t>
            </w:r>
            <w:r w:rsidRPr="005C3B55">
              <w:rPr>
                <w:szCs w:val="24"/>
              </w:rPr>
              <w:t>Interventions in space which could permanently or temporarily impact a water regime or water status require mandatory water approval as per regulations stipulating the field of water.</w:t>
            </w:r>
          </w:p>
          <w:p w:rsidR="00BD3B5F" w:rsidRPr="005C3B55" w:rsidRDefault="00BD3B5F">
            <w:pPr>
              <w:spacing w:before="240" w:after="240"/>
              <w:jc w:val="left"/>
              <w:rPr>
                <w:noProof/>
                <w:szCs w:val="24"/>
              </w:rPr>
            </w:pPr>
            <w:r w:rsidRPr="005C3B55">
              <w:rPr>
                <w:szCs w:val="24"/>
              </w:rPr>
              <w:t>All construction interventions must consider legislation on building, spatial planning, environment protection, nature and water conservation and road construction.</w:t>
            </w:r>
          </w:p>
          <w:p w:rsidR="00BD3B5F" w:rsidRPr="005C3B55" w:rsidRDefault="00BD3B5F">
            <w:pPr>
              <w:pStyle w:val="Telobesedila"/>
              <w:rPr>
                <w:szCs w:val="24"/>
              </w:rPr>
            </w:pPr>
          </w:p>
        </w:tc>
      </w:tr>
    </w:tbl>
    <w:p w:rsidR="00BD3B5F" w:rsidRPr="005C3B55" w:rsidRDefault="00BD3B5F">
      <w:pPr>
        <w:pStyle w:val="Naslov3"/>
        <w:tabs>
          <w:tab w:val="clear" w:pos="765"/>
        </w:tabs>
        <w:ind w:left="0" w:firstLine="0"/>
        <w:jc w:val="left"/>
        <w:rPr>
          <w:szCs w:val="24"/>
          <w:lang w:val="en-GB"/>
        </w:rPr>
      </w:pPr>
      <w:bookmarkStart w:id="75" w:name="_Toc416192533"/>
      <w:r w:rsidRPr="005C3B55">
        <w:rPr>
          <w:szCs w:val="24"/>
          <w:lang w:val="en-GB"/>
        </w:rPr>
        <w:t>N24 - Stimulating investments in forest technologies and wood processing</w:t>
      </w:r>
      <w:bookmarkEnd w:id="75"/>
    </w:p>
    <w:p w:rsidR="00BD3B5F" w:rsidRPr="005C3B55" w:rsidRDefault="00BD3B5F">
      <w:pPr>
        <w:rPr>
          <w:szCs w:val="24"/>
        </w:rPr>
      </w:pPr>
      <w:r w:rsidRPr="005C3B55">
        <w:rPr>
          <w:szCs w:val="24"/>
        </w:rPr>
        <w:t>Priorities/focus areas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10656"/>
      </w:tblGrid>
      <w:tr w:rsidR="00BD3B5F" w:rsidRPr="005C3B55">
        <w:tc>
          <w:tcPr>
            <w:tcW w:w="10656" w:type="dxa"/>
            <w:tcMar>
              <w:top w:w="20" w:type="dxa"/>
              <w:bottom w:w="20" w:type="dxa"/>
            </w:tcMar>
            <w:vAlign w:val="bottom"/>
          </w:tcPr>
          <w:p w:rsidR="00BD3B5F" w:rsidRPr="005C3B55" w:rsidRDefault="00BD3B5F" w:rsidP="00BD3B5F">
            <w:pPr>
              <w:numPr>
                <w:ilvl w:val="0"/>
                <w:numId w:val="73"/>
              </w:numPr>
              <w:rPr>
                <w:szCs w:val="24"/>
              </w:rPr>
            </w:pPr>
            <w:r w:rsidRPr="005C3B55">
              <w:rPr>
                <w:szCs w:val="24"/>
              </w:rPr>
              <w:t>5C) Facilitating the supply and use of renewable energy sources, by-products, waste and residue and other non-food materials for the purposes of bio-economy</w:t>
            </w:r>
          </w:p>
          <w:p w:rsidR="00BD3B5F" w:rsidRPr="005C3B55" w:rsidRDefault="00BD3B5F" w:rsidP="00BD3B5F">
            <w:pPr>
              <w:numPr>
                <w:ilvl w:val="0"/>
                <w:numId w:val="73"/>
              </w:numPr>
              <w:rPr>
                <w:szCs w:val="24"/>
              </w:rPr>
            </w:pPr>
            <w:r w:rsidRPr="005C3B55">
              <w:rPr>
                <w:szCs w:val="24"/>
              </w:rPr>
              <w:t>6A) Facilitating diversification, creation and development of small enterprises and job creation</w:t>
            </w:r>
          </w:p>
        </w:tc>
      </w:tr>
    </w:tbl>
    <w:p w:rsidR="00BD3B5F" w:rsidRPr="005C3B55" w:rsidRDefault="00BD3B5F">
      <w:pPr>
        <w:rPr>
          <w:szCs w:val="24"/>
        </w:rPr>
      </w:pPr>
      <w:r w:rsidRPr="005C3B55">
        <w:rPr>
          <w:szCs w:val="24"/>
        </w:rPr>
        <w:t>Horizontal objectives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10656"/>
      </w:tblGrid>
      <w:tr w:rsidR="00BD3B5F" w:rsidRPr="005C3B55">
        <w:tc>
          <w:tcPr>
            <w:tcW w:w="10656" w:type="dxa"/>
            <w:tcMar>
              <w:top w:w="20" w:type="dxa"/>
              <w:bottom w:w="20" w:type="dxa"/>
            </w:tcMar>
            <w:vAlign w:val="bottom"/>
          </w:tcPr>
          <w:p w:rsidR="00BD3B5F" w:rsidRPr="005C3B55" w:rsidRDefault="00BD3B5F" w:rsidP="00BD3B5F">
            <w:pPr>
              <w:numPr>
                <w:ilvl w:val="0"/>
                <w:numId w:val="74"/>
              </w:numPr>
              <w:rPr>
                <w:szCs w:val="24"/>
              </w:rPr>
            </w:pPr>
            <w:r w:rsidRPr="005C3B55">
              <w:rPr>
                <w:szCs w:val="24"/>
              </w:rPr>
              <w:t>Environment</w:t>
            </w:r>
          </w:p>
          <w:p w:rsidR="00BD3B5F" w:rsidRPr="005C3B55" w:rsidRDefault="00BD3B5F" w:rsidP="00BD3B5F">
            <w:pPr>
              <w:numPr>
                <w:ilvl w:val="0"/>
                <w:numId w:val="74"/>
              </w:numPr>
              <w:rPr>
                <w:szCs w:val="24"/>
              </w:rPr>
            </w:pPr>
            <w:r w:rsidRPr="005C3B55">
              <w:rPr>
                <w:szCs w:val="24"/>
              </w:rPr>
              <w:t>Mitigating, and adapting to, climate change</w:t>
            </w:r>
          </w:p>
          <w:p w:rsidR="00BD3B5F" w:rsidRPr="005C3B55" w:rsidRDefault="00BD3B5F" w:rsidP="00BD3B5F">
            <w:pPr>
              <w:numPr>
                <w:ilvl w:val="0"/>
                <w:numId w:val="74"/>
              </w:numPr>
              <w:rPr>
                <w:szCs w:val="24"/>
              </w:rPr>
            </w:pPr>
            <w:r w:rsidRPr="005C3B55">
              <w:rPr>
                <w:szCs w:val="24"/>
              </w:rPr>
              <w:t>Innovation</w:t>
            </w:r>
          </w:p>
        </w:tc>
      </w:tr>
    </w:tbl>
    <w:p w:rsidR="00BD3B5F" w:rsidRPr="005C3B55" w:rsidRDefault="00BD3B5F">
      <w:pPr>
        <w:rPr>
          <w:szCs w:val="24"/>
        </w:rPr>
      </w:pPr>
      <w:r w:rsidRPr="005C3B55">
        <w:rPr>
          <w:szCs w:val="24"/>
        </w:rPr>
        <w:t>Description</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10656" w:type="dxa"/>
            <w:tcMar>
              <w:top w:w="20" w:type="dxa"/>
              <w:bottom w:w="20" w:type="dxa"/>
            </w:tcMar>
            <w:vAlign w:val="bottom"/>
          </w:tcPr>
          <w:p w:rsidR="00BD3B5F" w:rsidRPr="005C3B55" w:rsidRDefault="00BD3B5F">
            <w:pPr>
              <w:spacing w:before="0" w:after="240"/>
              <w:jc w:val="left"/>
              <w:rPr>
                <w:noProof/>
                <w:szCs w:val="24"/>
              </w:rPr>
            </w:pPr>
            <w:r w:rsidRPr="005C3B55">
              <w:rPr>
                <w:szCs w:val="24"/>
              </w:rPr>
              <w:t>The realisation of wood felling in forests can be achieved by stimulating investments in forest technologies, which along with greater efficiency of felling and skidding, will ensure greater safety of work in forests as well as a reduction of the negative impact of felling and skidding on undergrowth and forest structures.</w:t>
            </w:r>
            <w:r w:rsidRPr="005C3B55">
              <w:rPr>
                <w:noProof/>
                <w:szCs w:val="24"/>
              </w:rPr>
              <w:t xml:space="preserve"> </w:t>
            </w:r>
            <w:r w:rsidRPr="005C3B55">
              <w:rPr>
                <w:szCs w:val="24"/>
              </w:rPr>
              <w:t>The implementation of maintenance work in forests is also simplified with appropriate forest technologies.</w:t>
            </w:r>
          </w:p>
          <w:p w:rsidR="00BD3B5F" w:rsidRPr="005C3B55" w:rsidRDefault="00BD3B5F">
            <w:pPr>
              <w:spacing w:before="240" w:after="240"/>
              <w:jc w:val="left"/>
              <w:rPr>
                <w:noProof/>
                <w:szCs w:val="24"/>
              </w:rPr>
            </w:pPr>
            <w:r w:rsidRPr="005C3B55">
              <w:rPr>
                <w:szCs w:val="24"/>
              </w:rPr>
              <w:t>By intensifying forest management, felling and maintaining forests, which is also connected with the continuous implementation of forest management plans, Slovenian forests will enable the production of a better quality range of products, which will attract higher prices on the market.</w:t>
            </w:r>
            <w:r w:rsidRPr="005C3B55">
              <w:rPr>
                <w:noProof/>
                <w:szCs w:val="24"/>
              </w:rPr>
              <w:t xml:space="preserve"> </w:t>
            </w:r>
            <w:r w:rsidRPr="005C3B55">
              <w:rPr>
                <w:szCs w:val="24"/>
              </w:rPr>
              <w:t>Increased felling will enable the greater use of wood as a sustainable natural material and renewable source of energy in the economy, which will impact the environment and the climate.</w:t>
            </w:r>
          </w:p>
          <w:p w:rsidR="00BD3B5F" w:rsidRPr="005C3B55" w:rsidRDefault="00BD3B5F">
            <w:pPr>
              <w:spacing w:before="240" w:after="240"/>
              <w:jc w:val="left"/>
              <w:rPr>
                <w:noProof/>
                <w:szCs w:val="24"/>
              </w:rPr>
            </w:pPr>
            <w:r w:rsidRPr="005C3B55">
              <w:rPr>
                <w:szCs w:val="24"/>
              </w:rPr>
              <w:t>More felling also creates more jobs, especially in the countryside.</w:t>
            </w:r>
            <w:r w:rsidRPr="005C3B55">
              <w:rPr>
                <w:noProof/>
                <w:szCs w:val="24"/>
              </w:rPr>
              <w:t xml:space="preserve"> </w:t>
            </w:r>
            <w:r w:rsidRPr="005C3B55">
              <w:rPr>
                <w:szCs w:val="24"/>
              </w:rPr>
              <w:t>Considering that a great share of private forests is owned by farms, the implementation of services with forestry mechanisation and wood processing could be an important source of income on farms.</w:t>
            </w:r>
          </w:p>
          <w:p w:rsidR="00BD3B5F" w:rsidRPr="005C3B55" w:rsidRDefault="00BD3B5F">
            <w:pPr>
              <w:spacing w:before="240" w:after="240"/>
              <w:jc w:val="left"/>
              <w:rPr>
                <w:noProof/>
                <w:szCs w:val="24"/>
              </w:rPr>
            </w:pPr>
            <w:r w:rsidRPr="005C3B55">
              <w:rPr>
                <w:szCs w:val="24"/>
              </w:rPr>
              <w:t>Investments in processing activity are essential for increasing added value.</w:t>
            </w:r>
            <w:r w:rsidRPr="005C3B55">
              <w:rPr>
                <w:noProof/>
                <w:szCs w:val="24"/>
              </w:rPr>
              <w:t xml:space="preserve"> </w:t>
            </w:r>
            <w:r w:rsidRPr="005C3B55">
              <w:rPr>
                <w:szCs w:val="24"/>
              </w:rPr>
              <w:t>Due to non-regulated or even terminated forest-wood processing chain, Slovenian wood is not utilised sufficiently.</w:t>
            </w:r>
            <w:r w:rsidRPr="005C3B55">
              <w:rPr>
                <w:noProof/>
                <w:szCs w:val="24"/>
              </w:rPr>
              <w:t xml:space="preserve"> </w:t>
            </w:r>
            <w:r w:rsidRPr="005C3B55">
              <w:rPr>
                <w:szCs w:val="24"/>
              </w:rPr>
              <w:t>Investments in establishing and modernising existing sawmills need to be strengthened in the field of non-industrial (primary) wood processing, so that these mills become more competitive.</w:t>
            </w:r>
          </w:p>
          <w:p w:rsidR="00BD3B5F" w:rsidRPr="005C3B55" w:rsidRDefault="00BD3B5F">
            <w:pPr>
              <w:spacing w:before="240" w:after="240"/>
              <w:jc w:val="left"/>
              <w:rPr>
                <w:noProof/>
                <w:szCs w:val="24"/>
              </w:rPr>
            </w:pPr>
            <w:r w:rsidRPr="005C3B55">
              <w:rPr>
                <w:szCs w:val="24"/>
              </w:rPr>
              <w:t>It also has to be ensured that aspects of sustainable forest potential use will be considered.</w:t>
            </w:r>
            <w:r w:rsidRPr="005C3B55">
              <w:rPr>
                <w:noProof/>
                <w:szCs w:val="24"/>
              </w:rPr>
              <w:t xml:space="preserve"> </w:t>
            </w:r>
            <w:r w:rsidRPr="005C3B55">
              <w:rPr>
                <w:szCs w:val="24"/>
              </w:rPr>
              <w:t>Forest management must be harmonised with forest management plans in order to prevent excessive exploitation of forests.</w:t>
            </w:r>
            <w:r w:rsidRPr="005C3B55">
              <w:rPr>
                <w:noProof/>
                <w:szCs w:val="24"/>
              </w:rPr>
              <w:t xml:space="preserve"> </w:t>
            </w:r>
            <w:r w:rsidRPr="005C3B55">
              <w:rPr>
                <w:szCs w:val="24"/>
              </w:rPr>
              <w:t>At the same time, it must be ensured when exploiting forests for energy purposes (obtaining wood biomass as a renewable energy source) that by increasing the use of wood biomass the burdening with PM particles does not increase.</w:t>
            </w:r>
          </w:p>
          <w:p w:rsidR="00BD3B5F" w:rsidRPr="005C3B55" w:rsidRDefault="00BD3B5F">
            <w:pPr>
              <w:pStyle w:val="Telobesedila"/>
              <w:rPr>
                <w:szCs w:val="24"/>
              </w:rPr>
            </w:pPr>
          </w:p>
        </w:tc>
      </w:tr>
    </w:tbl>
    <w:p w:rsidR="00BD3B5F" w:rsidRPr="005C3B55" w:rsidRDefault="00BD3B5F">
      <w:pPr>
        <w:pStyle w:val="Naslov3"/>
        <w:tabs>
          <w:tab w:val="clear" w:pos="765"/>
        </w:tabs>
        <w:ind w:left="0" w:firstLine="0"/>
        <w:jc w:val="left"/>
        <w:rPr>
          <w:szCs w:val="24"/>
          <w:lang w:val="en-GB"/>
        </w:rPr>
      </w:pPr>
      <w:bookmarkStart w:id="76" w:name="_Toc416192534"/>
      <w:r w:rsidRPr="005C3B55">
        <w:rPr>
          <w:szCs w:val="24"/>
          <w:lang w:val="en-GB"/>
        </w:rPr>
        <w:t>N25 - Improving market organisation and connections of forest owners and further on in forest-wood chains</w:t>
      </w:r>
      <w:bookmarkEnd w:id="76"/>
    </w:p>
    <w:p w:rsidR="00BD3B5F" w:rsidRPr="005C3B55" w:rsidRDefault="00BD3B5F">
      <w:pPr>
        <w:rPr>
          <w:szCs w:val="24"/>
        </w:rPr>
      </w:pPr>
      <w:r w:rsidRPr="005C3B55">
        <w:rPr>
          <w:szCs w:val="24"/>
        </w:rPr>
        <w:t>Priorities/focus areas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10656"/>
      </w:tblGrid>
      <w:tr w:rsidR="00BD3B5F" w:rsidRPr="005C3B55">
        <w:tc>
          <w:tcPr>
            <w:tcW w:w="10656" w:type="dxa"/>
            <w:tcMar>
              <w:top w:w="20" w:type="dxa"/>
              <w:bottom w:w="20" w:type="dxa"/>
            </w:tcMar>
            <w:vAlign w:val="bottom"/>
          </w:tcPr>
          <w:p w:rsidR="00BD3B5F" w:rsidRPr="005C3B55" w:rsidRDefault="00BD3B5F" w:rsidP="00BD3B5F">
            <w:pPr>
              <w:numPr>
                <w:ilvl w:val="0"/>
                <w:numId w:val="75"/>
              </w:numPr>
              <w:rPr>
                <w:szCs w:val="24"/>
              </w:rPr>
            </w:pPr>
            <w:r w:rsidRPr="005C3B55">
              <w:rPr>
                <w:szCs w:val="24"/>
              </w:rPr>
              <w:t>3A) Improving the competitiveness of primary producers with their enhanced inclusion in the agro-food chain through quality schemes, adding value to agricultural products and promotion in local markets, short supply chains, producer groups and organisations and inter-branch organisations</w:t>
            </w:r>
          </w:p>
          <w:p w:rsidR="00BD3B5F" w:rsidRPr="005C3B55" w:rsidRDefault="00BD3B5F" w:rsidP="00BD3B5F">
            <w:pPr>
              <w:numPr>
                <w:ilvl w:val="0"/>
                <w:numId w:val="75"/>
              </w:numPr>
              <w:rPr>
                <w:szCs w:val="24"/>
              </w:rPr>
            </w:pPr>
            <w:r w:rsidRPr="005C3B55">
              <w:rPr>
                <w:szCs w:val="24"/>
              </w:rPr>
              <w:t>6A) Facilitating diversification, creation and development of small enterprises and job creation</w:t>
            </w:r>
          </w:p>
        </w:tc>
      </w:tr>
    </w:tbl>
    <w:p w:rsidR="00BD3B5F" w:rsidRPr="005C3B55" w:rsidRDefault="00BD3B5F">
      <w:pPr>
        <w:rPr>
          <w:szCs w:val="24"/>
        </w:rPr>
      </w:pPr>
      <w:r w:rsidRPr="005C3B55">
        <w:rPr>
          <w:szCs w:val="24"/>
        </w:rPr>
        <w:t>Horizontal objectives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10656"/>
      </w:tblGrid>
      <w:tr w:rsidR="00BD3B5F" w:rsidRPr="005C3B55">
        <w:tc>
          <w:tcPr>
            <w:tcW w:w="10656" w:type="dxa"/>
            <w:tcMar>
              <w:top w:w="20" w:type="dxa"/>
              <w:bottom w:w="20" w:type="dxa"/>
            </w:tcMar>
            <w:vAlign w:val="bottom"/>
          </w:tcPr>
          <w:p w:rsidR="00BD3B5F" w:rsidRPr="005C3B55" w:rsidRDefault="00BD3B5F" w:rsidP="00BD3B5F">
            <w:pPr>
              <w:numPr>
                <w:ilvl w:val="0"/>
                <w:numId w:val="76"/>
              </w:numPr>
              <w:rPr>
                <w:szCs w:val="24"/>
              </w:rPr>
            </w:pPr>
            <w:r w:rsidRPr="005C3B55">
              <w:rPr>
                <w:szCs w:val="24"/>
              </w:rPr>
              <w:t>Environment</w:t>
            </w:r>
          </w:p>
          <w:p w:rsidR="00BD3B5F" w:rsidRPr="005C3B55" w:rsidRDefault="00BD3B5F" w:rsidP="00BD3B5F">
            <w:pPr>
              <w:numPr>
                <w:ilvl w:val="0"/>
                <w:numId w:val="76"/>
              </w:numPr>
              <w:rPr>
                <w:szCs w:val="24"/>
              </w:rPr>
            </w:pPr>
            <w:r w:rsidRPr="005C3B55">
              <w:rPr>
                <w:szCs w:val="24"/>
              </w:rPr>
              <w:t>Mitigating, and adapting to, climate change</w:t>
            </w:r>
          </w:p>
          <w:p w:rsidR="00BD3B5F" w:rsidRPr="005C3B55" w:rsidRDefault="00BD3B5F" w:rsidP="00BD3B5F">
            <w:pPr>
              <w:numPr>
                <w:ilvl w:val="0"/>
                <w:numId w:val="76"/>
              </w:numPr>
              <w:rPr>
                <w:szCs w:val="24"/>
              </w:rPr>
            </w:pPr>
            <w:r w:rsidRPr="005C3B55">
              <w:rPr>
                <w:szCs w:val="24"/>
              </w:rPr>
              <w:t>Innovation</w:t>
            </w:r>
          </w:p>
        </w:tc>
      </w:tr>
    </w:tbl>
    <w:p w:rsidR="00BD3B5F" w:rsidRPr="005C3B55" w:rsidRDefault="00BD3B5F">
      <w:pPr>
        <w:rPr>
          <w:szCs w:val="24"/>
        </w:rPr>
      </w:pPr>
      <w:r w:rsidRPr="005C3B55">
        <w:rPr>
          <w:szCs w:val="24"/>
        </w:rPr>
        <w:t>Description</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10656" w:type="dxa"/>
            <w:tcMar>
              <w:top w:w="20" w:type="dxa"/>
              <w:bottom w:w="20" w:type="dxa"/>
            </w:tcMar>
            <w:vAlign w:val="bottom"/>
          </w:tcPr>
          <w:p w:rsidR="00BD3B5F" w:rsidRPr="005C3B55" w:rsidRDefault="00BD3B5F">
            <w:pPr>
              <w:spacing w:before="0" w:after="240"/>
              <w:jc w:val="left"/>
              <w:rPr>
                <w:noProof/>
                <w:szCs w:val="24"/>
              </w:rPr>
            </w:pPr>
            <w:r w:rsidRPr="005C3B55">
              <w:rPr>
                <w:szCs w:val="24"/>
              </w:rPr>
              <w:t>The ownership structure of private forests is exceptionally unfavourable; forest areas are mainly fragmented and small, and their owners are not connected.</w:t>
            </w:r>
            <w:r w:rsidRPr="005C3B55">
              <w:rPr>
                <w:noProof/>
                <w:szCs w:val="24"/>
              </w:rPr>
              <w:t xml:space="preserve"> </w:t>
            </w:r>
            <w:r w:rsidRPr="005C3B55">
              <w:rPr>
                <w:szCs w:val="24"/>
              </w:rPr>
              <w:t>This reduces their competitiveness and productivity, prevents economies of scale and reduces their negotiating power with other links in the chain.</w:t>
            </w:r>
          </w:p>
          <w:p w:rsidR="00BD3B5F" w:rsidRPr="005C3B55" w:rsidRDefault="00BD3B5F">
            <w:pPr>
              <w:spacing w:before="240" w:after="240"/>
              <w:jc w:val="left"/>
              <w:rPr>
                <w:noProof/>
                <w:szCs w:val="24"/>
              </w:rPr>
            </w:pPr>
            <w:r w:rsidRPr="005C3B55">
              <w:rPr>
                <w:szCs w:val="24"/>
              </w:rPr>
              <w:t>The negative effects of extensive fragmentation and lack of connection are also shown in other links in the chain.</w:t>
            </w:r>
            <w:r w:rsidRPr="005C3B55">
              <w:rPr>
                <w:noProof/>
                <w:szCs w:val="24"/>
              </w:rPr>
              <w:t xml:space="preserve"> </w:t>
            </w:r>
            <w:r w:rsidRPr="005C3B55">
              <w:rPr>
                <w:szCs w:val="24"/>
              </w:rPr>
              <w:t>The improvement of market organisation and connection among forest owners as well as connections with other links in the forest-wood chain is of key importance if we want to improve the competitiveness of the entire chain, more successfully exploit felling and use the possibilities for achieving high added value of wood, which is a key strategic objective of the country.</w:t>
            </w:r>
            <w:r w:rsidRPr="005C3B55">
              <w:rPr>
                <w:noProof/>
                <w:szCs w:val="24"/>
              </w:rPr>
              <w:t xml:space="preserve"> </w:t>
            </w:r>
            <w:r w:rsidRPr="005C3B55">
              <w:rPr>
                <w:szCs w:val="24"/>
              </w:rPr>
              <w:t>This also contributes to creating new jobs and increasing added value per employee in the wood processing industry.</w:t>
            </w:r>
            <w:r w:rsidRPr="005C3B55">
              <w:rPr>
                <w:noProof/>
                <w:szCs w:val="24"/>
              </w:rPr>
              <w:t xml:space="preserve"> </w:t>
            </w:r>
            <w:r w:rsidRPr="005C3B55">
              <w:rPr>
                <w:szCs w:val="24"/>
              </w:rPr>
              <w:t>The end result of greater market organisation and connection along the forest-wood chain is the greater use of wood, which has positive effects not only on the economy, but also on the environment and climate.</w:t>
            </w:r>
          </w:p>
          <w:p w:rsidR="00BD3B5F" w:rsidRPr="005C3B55" w:rsidRDefault="00BD3B5F">
            <w:pPr>
              <w:spacing w:before="240" w:after="240"/>
              <w:jc w:val="left"/>
              <w:rPr>
                <w:noProof/>
                <w:szCs w:val="24"/>
              </w:rPr>
            </w:pPr>
            <w:r w:rsidRPr="005C3B55">
              <w:rPr>
                <w:szCs w:val="24"/>
              </w:rPr>
              <w:t>Supporting investments in the establishment and development of non-agricultural activities, where priority will be given to activities in relation to adding value to wood, will additionally contribute to creating new jobs and adding value per employee in the wood processing industry, as well as to the better utilisation of forest potential.</w:t>
            </w:r>
          </w:p>
          <w:p w:rsidR="00BD3B5F" w:rsidRPr="005C3B55" w:rsidRDefault="00BD3B5F">
            <w:pPr>
              <w:pStyle w:val="Telobesedila"/>
              <w:rPr>
                <w:szCs w:val="24"/>
              </w:rPr>
            </w:pPr>
          </w:p>
        </w:tc>
      </w:tr>
    </w:tbl>
    <w:p w:rsidR="00BD3B5F" w:rsidRPr="005C3B55" w:rsidRDefault="00BD3B5F">
      <w:pPr>
        <w:pStyle w:val="Naslov3"/>
        <w:tabs>
          <w:tab w:val="clear" w:pos="765"/>
        </w:tabs>
        <w:ind w:left="0" w:firstLine="0"/>
        <w:jc w:val="left"/>
        <w:rPr>
          <w:szCs w:val="24"/>
          <w:lang w:val="en-GB"/>
        </w:rPr>
      </w:pPr>
      <w:bookmarkStart w:id="77" w:name="_Toc416192535"/>
      <w:r w:rsidRPr="005C3B55">
        <w:rPr>
          <w:szCs w:val="24"/>
          <w:lang w:val="en-GB"/>
        </w:rPr>
        <w:t>N26 - Stimulating the use of wood</w:t>
      </w:r>
      <w:bookmarkEnd w:id="77"/>
    </w:p>
    <w:p w:rsidR="00BD3B5F" w:rsidRPr="005C3B55" w:rsidRDefault="00BD3B5F">
      <w:pPr>
        <w:rPr>
          <w:szCs w:val="24"/>
        </w:rPr>
      </w:pPr>
      <w:r w:rsidRPr="005C3B55">
        <w:rPr>
          <w:szCs w:val="24"/>
        </w:rPr>
        <w:t>Priorities/focus areas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10656"/>
      </w:tblGrid>
      <w:tr w:rsidR="00BD3B5F" w:rsidRPr="005C3B55">
        <w:tc>
          <w:tcPr>
            <w:tcW w:w="10656" w:type="dxa"/>
            <w:tcMar>
              <w:top w:w="20" w:type="dxa"/>
              <w:bottom w:w="20" w:type="dxa"/>
            </w:tcMar>
            <w:vAlign w:val="bottom"/>
          </w:tcPr>
          <w:p w:rsidR="00BD3B5F" w:rsidRPr="005C3B55" w:rsidRDefault="00BD3B5F" w:rsidP="00BD3B5F">
            <w:pPr>
              <w:numPr>
                <w:ilvl w:val="0"/>
                <w:numId w:val="77"/>
              </w:numPr>
              <w:rPr>
                <w:szCs w:val="24"/>
              </w:rPr>
            </w:pPr>
            <w:r w:rsidRPr="005C3B55">
              <w:rPr>
                <w:szCs w:val="24"/>
              </w:rPr>
              <w:t>5C) Facilitating the supply and use of renewable energy sources, by-products, waste and residue and other non-food materials for the purposes of bio-economy</w:t>
            </w:r>
          </w:p>
          <w:p w:rsidR="00BD3B5F" w:rsidRPr="005C3B55" w:rsidRDefault="00BD3B5F" w:rsidP="00BD3B5F">
            <w:pPr>
              <w:numPr>
                <w:ilvl w:val="0"/>
                <w:numId w:val="77"/>
              </w:numPr>
              <w:rPr>
                <w:szCs w:val="24"/>
              </w:rPr>
            </w:pPr>
            <w:r w:rsidRPr="005C3B55">
              <w:rPr>
                <w:szCs w:val="24"/>
              </w:rPr>
              <w:t>6A) Facilitating diversification, creation and development of small enterprises and job creation</w:t>
            </w:r>
          </w:p>
        </w:tc>
      </w:tr>
    </w:tbl>
    <w:p w:rsidR="00BD3B5F" w:rsidRPr="005C3B55" w:rsidRDefault="00BD3B5F">
      <w:pPr>
        <w:rPr>
          <w:szCs w:val="24"/>
        </w:rPr>
      </w:pPr>
      <w:r w:rsidRPr="005C3B55">
        <w:rPr>
          <w:szCs w:val="24"/>
        </w:rPr>
        <w:t>Horizontal objectives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10656"/>
      </w:tblGrid>
      <w:tr w:rsidR="00BD3B5F" w:rsidRPr="005C3B55">
        <w:tc>
          <w:tcPr>
            <w:tcW w:w="10656" w:type="dxa"/>
            <w:tcMar>
              <w:top w:w="20" w:type="dxa"/>
              <w:bottom w:w="20" w:type="dxa"/>
            </w:tcMar>
            <w:vAlign w:val="bottom"/>
          </w:tcPr>
          <w:p w:rsidR="00BD3B5F" w:rsidRPr="005C3B55" w:rsidRDefault="00BD3B5F" w:rsidP="00BD3B5F">
            <w:pPr>
              <w:numPr>
                <w:ilvl w:val="0"/>
                <w:numId w:val="78"/>
              </w:numPr>
              <w:rPr>
                <w:szCs w:val="24"/>
              </w:rPr>
            </w:pPr>
            <w:r w:rsidRPr="005C3B55">
              <w:rPr>
                <w:szCs w:val="24"/>
              </w:rPr>
              <w:t>Environment</w:t>
            </w:r>
          </w:p>
          <w:p w:rsidR="00BD3B5F" w:rsidRPr="005C3B55" w:rsidRDefault="00BD3B5F" w:rsidP="00BD3B5F">
            <w:pPr>
              <w:numPr>
                <w:ilvl w:val="0"/>
                <w:numId w:val="78"/>
              </w:numPr>
              <w:rPr>
                <w:szCs w:val="24"/>
              </w:rPr>
            </w:pPr>
            <w:r w:rsidRPr="005C3B55">
              <w:rPr>
                <w:szCs w:val="24"/>
              </w:rPr>
              <w:t>Mitigating, and adapting to, climate change</w:t>
            </w:r>
          </w:p>
          <w:p w:rsidR="00BD3B5F" w:rsidRPr="005C3B55" w:rsidRDefault="00BD3B5F" w:rsidP="00BD3B5F">
            <w:pPr>
              <w:numPr>
                <w:ilvl w:val="0"/>
                <w:numId w:val="78"/>
              </w:numPr>
              <w:rPr>
                <w:szCs w:val="24"/>
              </w:rPr>
            </w:pPr>
            <w:r w:rsidRPr="005C3B55">
              <w:rPr>
                <w:szCs w:val="24"/>
              </w:rPr>
              <w:t>Innovation</w:t>
            </w:r>
          </w:p>
        </w:tc>
      </w:tr>
    </w:tbl>
    <w:p w:rsidR="00BD3B5F" w:rsidRPr="005C3B55" w:rsidRDefault="00BD3B5F">
      <w:pPr>
        <w:rPr>
          <w:szCs w:val="24"/>
        </w:rPr>
      </w:pPr>
      <w:r w:rsidRPr="005C3B55">
        <w:rPr>
          <w:szCs w:val="24"/>
        </w:rPr>
        <w:t>Description</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10656" w:type="dxa"/>
            <w:tcMar>
              <w:top w:w="20" w:type="dxa"/>
              <w:bottom w:w="20" w:type="dxa"/>
            </w:tcMar>
            <w:vAlign w:val="bottom"/>
          </w:tcPr>
          <w:p w:rsidR="00BD3B5F" w:rsidRPr="005C3B55" w:rsidRDefault="00BD3B5F">
            <w:pPr>
              <w:spacing w:before="0" w:after="240"/>
              <w:jc w:val="left"/>
              <w:rPr>
                <w:noProof/>
                <w:szCs w:val="24"/>
              </w:rPr>
            </w:pPr>
            <w:r w:rsidRPr="005C3B55">
              <w:rPr>
                <w:szCs w:val="24"/>
              </w:rPr>
              <w:t>Wood is a ‘high technology’ product of nature which is often used in an inappropriate manner, with an insufficient level of innovation and insufficient added value.</w:t>
            </w:r>
            <w:r w:rsidRPr="005C3B55">
              <w:rPr>
                <w:noProof/>
                <w:szCs w:val="24"/>
              </w:rPr>
              <w:t xml:space="preserve"> </w:t>
            </w:r>
            <w:r w:rsidRPr="005C3B55">
              <w:rPr>
                <w:szCs w:val="24"/>
              </w:rPr>
              <w:t>By increasing the use of wood and creating a market for wood products and services, we can contribute to ensuring new jobs and increase added value per employee in forestry and wood processing industry.</w:t>
            </w:r>
          </w:p>
          <w:p w:rsidR="00BD3B5F" w:rsidRPr="005C3B55" w:rsidRDefault="00BD3B5F">
            <w:pPr>
              <w:spacing w:before="240" w:after="240"/>
              <w:jc w:val="left"/>
              <w:rPr>
                <w:noProof/>
                <w:szCs w:val="24"/>
              </w:rPr>
            </w:pPr>
            <w:r w:rsidRPr="005C3B55">
              <w:rPr>
                <w:szCs w:val="24"/>
              </w:rPr>
              <w:t>Wood also represents carbon dioxide sink therefore, it is rational to stimulate the processing of roundwood, which contributes to carbon storage in wood products and thus to the reduction of greenhouse gas emissions.</w:t>
            </w:r>
            <w:r w:rsidRPr="005C3B55">
              <w:rPr>
                <w:noProof/>
                <w:szCs w:val="24"/>
              </w:rPr>
              <w:t xml:space="preserve"> </w:t>
            </w:r>
            <w:r w:rsidRPr="005C3B55">
              <w:rPr>
                <w:szCs w:val="24"/>
              </w:rPr>
              <w:t>The enhanced use of wood and wood biomass in the economy (waste wood and wood of poorer quality) as a renewable source of energy is very important from the aspect of Slovenia’s commitments within the scope of the EU Climate and Energy Package.</w:t>
            </w:r>
            <w:r w:rsidRPr="005C3B55">
              <w:rPr>
                <w:noProof/>
                <w:szCs w:val="24"/>
              </w:rPr>
              <w:t xml:space="preserve"> </w:t>
            </w:r>
            <w:r w:rsidRPr="005C3B55">
              <w:rPr>
                <w:szCs w:val="24"/>
              </w:rPr>
              <w:t>The European Commission determined in the package that, by 2020, Slovenia has to increase the use of renewable sources of energy from 16% to 25% in the end use of energy. Considering the quantity of forests in Slovenia, wood biomass has major potential for increasing the use of renewable sources of energy (and for reducing the use of fossil fuels for producing electricity and heating), and for reducing greenhouse gas emissions as well as burdening of the environment; therefore, this source is a key source for achieving the objectives in the National Renewable Energy Action Plan 2010-2020, adopted on the basis of the Directive 2009/28/EC on the promotion of the use of energy from renewable sources.</w:t>
            </w:r>
          </w:p>
          <w:p w:rsidR="00BD3B5F" w:rsidRPr="005C3B55" w:rsidRDefault="00BD3B5F">
            <w:pPr>
              <w:spacing w:before="240" w:after="240"/>
              <w:jc w:val="left"/>
              <w:rPr>
                <w:noProof/>
                <w:szCs w:val="24"/>
              </w:rPr>
            </w:pPr>
            <w:r w:rsidRPr="005C3B55">
              <w:rPr>
                <w:szCs w:val="24"/>
              </w:rPr>
              <w:t>The consideration of aspects of the sustainable use of forest potential that will be harmonised with forest management plans must be ensured in order to prevent excessive exploitation of forests for energy purposes.</w:t>
            </w:r>
            <w:r w:rsidRPr="005C3B55">
              <w:rPr>
                <w:noProof/>
                <w:szCs w:val="24"/>
              </w:rPr>
              <w:t xml:space="preserve"> </w:t>
            </w:r>
            <w:r w:rsidRPr="005C3B55">
              <w:rPr>
                <w:szCs w:val="24"/>
              </w:rPr>
              <w:t>At the same time, the use of wood biomass may not become a source of increasing the burden with PM particles caused by non-optimal burning of wood biomass.</w:t>
            </w:r>
          </w:p>
          <w:p w:rsidR="00BD3B5F" w:rsidRPr="005C3B55" w:rsidRDefault="00BD3B5F">
            <w:pPr>
              <w:pStyle w:val="Telobesedila"/>
              <w:rPr>
                <w:szCs w:val="24"/>
              </w:rPr>
            </w:pPr>
          </w:p>
        </w:tc>
      </w:tr>
    </w:tbl>
    <w:p w:rsidR="00BD3B5F" w:rsidRPr="005C3B55" w:rsidRDefault="00BD3B5F">
      <w:pPr>
        <w:pStyle w:val="Naslov3"/>
        <w:tabs>
          <w:tab w:val="clear" w:pos="765"/>
        </w:tabs>
        <w:ind w:left="0" w:firstLine="0"/>
        <w:jc w:val="left"/>
        <w:rPr>
          <w:szCs w:val="24"/>
          <w:lang w:val="en-GB"/>
        </w:rPr>
      </w:pPr>
      <w:bookmarkStart w:id="78" w:name="_Toc416192536"/>
      <w:r w:rsidRPr="005C3B55">
        <w:rPr>
          <w:szCs w:val="24"/>
          <w:lang w:val="en-GB"/>
        </w:rPr>
        <w:t>N27 - Diversification to non-agricultural activities in the countryside</w:t>
      </w:r>
      <w:bookmarkEnd w:id="78"/>
    </w:p>
    <w:p w:rsidR="00BD3B5F" w:rsidRPr="005C3B55" w:rsidRDefault="00BD3B5F">
      <w:pPr>
        <w:rPr>
          <w:szCs w:val="24"/>
        </w:rPr>
      </w:pPr>
      <w:r w:rsidRPr="005C3B55">
        <w:rPr>
          <w:szCs w:val="24"/>
        </w:rPr>
        <w:t>Priorities/focus areas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10656"/>
      </w:tblGrid>
      <w:tr w:rsidR="00BD3B5F" w:rsidRPr="005C3B55">
        <w:tc>
          <w:tcPr>
            <w:tcW w:w="10656" w:type="dxa"/>
            <w:tcMar>
              <w:top w:w="20" w:type="dxa"/>
              <w:bottom w:w="20" w:type="dxa"/>
            </w:tcMar>
            <w:vAlign w:val="bottom"/>
          </w:tcPr>
          <w:p w:rsidR="00BD3B5F" w:rsidRPr="005C3B55" w:rsidRDefault="00BD3B5F" w:rsidP="00BD3B5F">
            <w:pPr>
              <w:numPr>
                <w:ilvl w:val="0"/>
                <w:numId w:val="79"/>
              </w:numPr>
              <w:rPr>
                <w:szCs w:val="24"/>
              </w:rPr>
            </w:pPr>
            <w:r w:rsidRPr="005C3B55">
              <w:rPr>
                <w:szCs w:val="24"/>
              </w:rPr>
              <w:t>5C) Facilitating the supply and use of renewable energy sources, by-products, waste and residue and other non-food materials for the purposes of bio-economy</w:t>
            </w:r>
          </w:p>
          <w:p w:rsidR="00BD3B5F" w:rsidRPr="005C3B55" w:rsidRDefault="00BD3B5F" w:rsidP="00BD3B5F">
            <w:pPr>
              <w:numPr>
                <w:ilvl w:val="0"/>
                <w:numId w:val="79"/>
              </w:numPr>
              <w:rPr>
                <w:szCs w:val="24"/>
              </w:rPr>
            </w:pPr>
            <w:r w:rsidRPr="005C3B55">
              <w:rPr>
                <w:szCs w:val="24"/>
              </w:rPr>
              <w:t>6A) Facilitating diversification, creation and development of small enterprises and job creation</w:t>
            </w:r>
          </w:p>
        </w:tc>
      </w:tr>
    </w:tbl>
    <w:p w:rsidR="00BD3B5F" w:rsidRPr="005C3B55" w:rsidRDefault="00BD3B5F">
      <w:pPr>
        <w:spacing w:before="0" w:after="0"/>
        <w:rPr>
          <w:szCs w:val="24"/>
        </w:rPr>
      </w:pPr>
      <w:r w:rsidRPr="005C3B55">
        <w:rPr>
          <w:szCs w:val="24"/>
        </w:rPr>
        <w:t>Horizontal objectives</w:t>
      </w:r>
    </w:p>
    <w:p w:rsidR="00BD3B5F" w:rsidRPr="005C3B55" w:rsidRDefault="00BD3B5F">
      <w:pPr>
        <w:spacing w:before="0" w:after="0"/>
        <w:rPr>
          <w:szCs w:val="24"/>
        </w:rPr>
      </w:pP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10656"/>
      </w:tblGrid>
      <w:tr w:rsidR="00BD3B5F" w:rsidRPr="005C3B55">
        <w:tc>
          <w:tcPr>
            <w:tcW w:w="10656" w:type="dxa"/>
            <w:tcMar>
              <w:top w:w="20" w:type="dxa"/>
              <w:bottom w:w="20" w:type="dxa"/>
            </w:tcMar>
            <w:vAlign w:val="bottom"/>
          </w:tcPr>
          <w:p w:rsidR="00BD3B5F" w:rsidRPr="005C3B55" w:rsidRDefault="00BD3B5F" w:rsidP="00BD3B5F">
            <w:pPr>
              <w:numPr>
                <w:ilvl w:val="0"/>
                <w:numId w:val="80"/>
              </w:numPr>
              <w:rPr>
                <w:szCs w:val="24"/>
              </w:rPr>
            </w:pPr>
            <w:r w:rsidRPr="005C3B55">
              <w:rPr>
                <w:szCs w:val="24"/>
              </w:rPr>
              <w:t>Environment</w:t>
            </w:r>
          </w:p>
          <w:p w:rsidR="00BD3B5F" w:rsidRPr="005C3B55" w:rsidRDefault="00BD3B5F" w:rsidP="00BD3B5F">
            <w:pPr>
              <w:numPr>
                <w:ilvl w:val="0"/>
                <w:numId w:val="80"/>
              </w:numPr>
              <w:rPr>
                <w:szCs w:val="24"/>
              </w:rPr>
            </w:pPr>
            <w:r w:rsidRPr="005C3B55">
              <w:rPr>
                <w:szCs w:val="24"/>
              </w:rPr>
              <w:t>Mitigating, and adapting to, climate change</w:t>
            </w:r>
          </w:p>
          <w:p w:rsidR="00BD3B5F" w:rsidRPr="005C3B55" w:rsidRDefault="00BD3B5F" w:rsidP="00BD3B5F">
            <w:pPr>
              <w:numPr>
                <w:ilvl w:val="0"/>
                <w:numId w:val="80"/>
              </w:numPr>
              <w:rPr>
                <w:szCs w:val="24"/>
              </w:rPr>
            </w:pPr>
            <w:r w:rsidRPr="005C3B55">
              <w:rPr>
                <w:szCs w:val="24"/>
              </w:rPr>
              <w:t>Innovation</w:t>
            </w:r>
          </w:p>
        </w:tc>
      </w:tr>
    </w:tbl>
    <w:p w:rsidR="00BD3B5F" w:rsidRPr="005C3B55" w:rsidRDefault="00BD3B5F">
      <w:pPr>
        <w:rPr>
          <w:szCs w:val="24"/>
        </w:rPr>
      </w:pPr>
      <w:r w:rsidRPr="005C3B55">
        <w:rPr>
          <w:szCs w:val="24"/>
        </w:rPr>
        <w:t>Description</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10656" w:type="dxa"/>
            <w:tcMar>
              <w:top w:w="20" w:type="dxa"/>
              <w:bottom w:w="20" w:type="dxa"/>
            </w:tcMar>
            <w:vAlign w:val="bottom"/>
          </w:tcPr>
          <w:p w:rsidR="00BD3B5F" w:rsidRPr="005C3B55" w:rsidRDefault="00BD3B5F">
            <w:pPr>
              <w:spacing w:before="0" w:after="0"/>
              <w:jc w:val="left"/>
              <w:rPr>
                <w:noProof/>
                <w:szCs w:val="24"/>
              </w:rPr>
            </w:pPr>
            <w:r w:rsidRPr="005C3B55">
              <w:rPr>
                <w:szCs w:val="24"/>
              </w:rPr>
              <w:t>The aggravated economic and social situation is also strongly reflected in the countryside.</w:t>
            </w:r>
            <w:r w:rsidRPr="005C3B55">
              <w:rPr>
                <w:noProof/>
                <w:szCs w:val="24"/>
              </w:rPr>
              <w:t xml:space="preserve"> </w:t>
            </w:r>
            <w:r w:rsidRPr="005C3B55">
              <w:rPr>
                <w:szCs w:val="24"/>
              </w:rPr>
              <w:t>The increase in unemployment, especially among youth with a large number of highly educated people, is quite worrying.</w:t>
            </w:r>
            <w:r w:rsidRPr="005C3B55">
              <w:rPr>
                <w:noProof/>
                <w:szCs w:val="24"/>
              </w:rPr>
              <w:t xml:space="preserve"> </w:t>
            </w:r>
            <w:r w:rsidRPr="005C3B55">
              <w:rPr>
                <w:szCs w:val="24"/>
              </w:rPr>
              <w:t>The increase in unemployment greatly increases the risk of poverty and social exclusion.</w:t>
            </w:r>
          </w:p>
          <w:p w:rsidR="00BD3B5F" w:rsidRPr="005C3B55" w:rsidRDefault="00BD3B5F">
            <w:pPr>
              <w:spacing w:before="240" w:after="240"/>
              <w:jc w:val="left"/>
              <w:rPr>
                <w:noProof/>
                <w:szCs w:val="24"/>
              </w:rPr>
            </w:pPr>
            <w:r w:rsidRPr="005C3B55">
              <w:rPr>
                <w:szCs w:val="24"/>
              </w:rPr>
              <w:t>In order to preserve a viable countryside, it is necessary to promote economic activities which contribute to the activation and development of the local potential of the local environment and, consequently, contribute to increasing added value, and the preservation of existing and creation of new (particularly green) jobs in the countryside.</w:t>
            </w:r>
            <w:r w:rsidRPr="005C3B55">
              <w:rPr>
                <w:noProof/>
                <w:szCs w:val="24"/>
              </w:rPr>
              <w:t xml:space="preserve"> </w:t>
            </w:r>
            <w:r w:rsidRPr="005C3B55">
              <w:rPr>
                <w:szCs w:val="24"/>
              </w:rPr>
              <w:t>This is why it is necessary to promote development and the establishment of new companies in the countryside and of supplementary farm activities, especially in areas that enable the utilisation of advantages of a certain local environment:</w:t>
            </w:r>
            <w:r w:rsidRPr="005C3B55">
              <w:rPr>
                <w:noProof/>
                <w:szCs w:val="24"/>
              </w:rPr>
              <w:t xml:space="preserve"> </w:t>
            </w:r>
            <w:r w:rsidRPr="005C3B55">
              <w:rPr>
                <w:szCs w:val="24"/>
              </w:rPr>
              <w:t>available labour force, preserved environment and nature, rich natural and cultural heritage, wood, green tourism, social entrepreneurship, local self-sufficiency etc.</w:t>
            </w:r>
            <w:r w:rsidRPr="005C3B55">
              <w:rPr>
                <w:noProof/>
                <w:szCs w:val="24"/>
              </w:rPr>
              <w:t xml:space="preserve"> </w:t>
            </w:r>
            <w:r w:rsidRPr="005C3B55">
              <w:rPr>
                <w:szCs w:val="24"/>
              </w:rPr>
              <w:t>At the same time, numerous opportunities in cooperation projects in the field of diversifying farm activities in relation to health care, social inclusion, environmental education and food etc. are arising.</w:t>
            </w:r>
          </w:p>
          <w:p w:rsidR="00BD3B5F" w:rsidRPr="005C3B55" w:rsidRDefault="00BD3B5F">
            <w:pPr>
              <w:spacing w:before="240" w:after="240"/>
              <w:jc w:val="left"/>
              <w:rPr>
                <w:noProof/>
                <w:szCs w:val="24"/>
              </w:rPr>
            </w:pPr>
            <w:r w:rsidRPr="005C3B55">
              <w:rPr>
                <w:szCs w:val="24"/>
              </w:rPr>
              <w:t>Stimulating greater use of endogenous potentials of the local environment cannot worsen the environment status.</w:t>
            </w:r>
            <w:r w:rsidRPr="005C3B55">
              <w:rPr>
                <w:noProof/>
                <w:szCs w:val="24"/>
              </w:rPr>
              <w:t xml:space="preserve"> </w:t>
            </w:r>
            <w:r w:rsidRPr="005C3B55">
              <w:rPr>
                <w:szCs w:val="24"/>
              </w:rPr>
              <w:t>This is of key importance in connection with stimulating non-agricultural activities in the field of wood processing and acquiring renewable energy sources – wood biomass that cannot cause excessive exploitation of forest for energy purposes and increase PM particle emissions.</w:t>
            </w:r>
          </w:p>
          <w:p w:rsidR="00BD3B5F" w:rsidRPr="005C3B55" w:rsidRDefault="00BD3B5F">
            <w:pPr>
              <w:spacing w:before="240" w:after="240"/>
              <w:jc w:val="left"/>
              <w:rPr>
                <w:noProof/>
                <w:szCs w:val="24"/>
              </w:rPr>
            </w:pPr>
            <w:r w:rsidRPr="005C3B55">
              <w:rPr>
                <w:szCs w:val="24"/>
              </w:rPr>
              <w:t>The emphasis on an appropriate economic and financial environment is of key importance.</w:t>
            </w:r>
            <w:r w:rsidRPr="005C3B55">
              <w:rPr>
                <w:noProof/>
                <w:szCs w:val="24"/>
              </w:rPr>
              <w:t xml:space="preserve"> </w:t>
            </w:r>
            <w:r w:rsidRPr="005C3B55">
              <w:rPr>
                <w:szCs w:val="24"/>
              </w:rPr>
              <w:t>Legal entities in the countryside should have easier access to more cost-effective refundable forms of financing.</w:t>
            </w:r>
            <w:r w:rsidRPr="005C3B55">
              <w:rPr>
                <w:noProof/>
                <w:szCs w:val="24"/>
              </w:rPr>
              <w:t xml:space="preserve"> </w:t>
            </w:r>
            <w:r w:rsidRPr="005C3B55">
              <w:rPr>
                <w:szCs w:val="24"/>
              </w:rPr>
              <w:t>This is important for companies in their early start-up stages, when they lack their own sources and have difficultly accessing various forms of bank financing.</w:t>
            </w:r>
          </w:p>
          <w:p w:rsidR="00BD3B5F" w:rsidRPr="005C3B55" w:rsidRDefault="00BD3B5F">
            <w:pPr>
              <w:pStyle w:val="Telobesedila"/>
              <w:rPr>
                <w:szCs w:val="24"/>
              </w:rPr>
            </w:pPr>
          </w:p>
        </w:tc>
      </w:tr>
    </w:tbl>
    <w:p w:rsidR="00BD3B5F" w:rsidRPr="005C3B55" w:rsidRDefault="00BD3B5F">
      <w:pPr>
        <w:pStyle w:val="Naslov3"/>
        <w:tabs>
          <w:tab w:val="clear" w:pos="765"/>
        </w:tabs>
        <w:ind w:left="0" w:firstLine="0"/>
        <w:jc w:val="left"/>
        <w:rPr>
          <w:szCs w:val="24"/>
          <w:lang w:val="en-GB"/>
        </w:rPr>
      </w:pPr>
      <w:bookmarkStart w:id="79" w:name="_Toc416192537"/>
      <w:r w:rsidRPr="005C3B55">
        <w:rPr>
          <w:szCs w:val="24"/>
          <w:lang w:val="en-GB"/>
        </w:rPr>
        <w:t>N28 - Improving access to broadband Internet with appropriate speed</w:t>
      </w:r>
      <w:bookmarkEnd w:id="79"/>
    </w:p>
    <w:p w:rsidR="00BD3B5F" w:rsidRPr="005C3B55" w:rsidRDefault="00BD3B5F">
      <w:pPr>
        <w:rPr>
          <w:szCs w:val="24"/>
        </w:rPr>
      </w:pPr>
      <w:r w:rsidRPr="005C3B55">
        <w:rPr>
          <w:szCs w:val="24"/>
        </w:rPr>
        <w:t>Priorities/focus areas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10656"/>
      </w:tblGrid>
      <w:tr w:rsidR="00BD3B5F" w:rsidRPr="005C3B55">
        <w:tc>
          <w:tcPr>
            <w:tcW w:w="10656" w:type="dxa"/>
            <w:tcMar>
              <w:top w:w="20" w:type="dxa"/>
              <w:bottom w:w="20" w:type="dxa"/>
            </w:tcMar>
            <w:vAlign w:val="bottom"/>
          </w:tcPr>
          <w:p w:rsidR="00BD3B5F" w:rsidRPr="005C3B55" w:rsidRDefault="00BD3B5F" w:rsidP="00BD3B5F">
            <w:pPr>
              <w:numPr>
                <w:ilvl w:val="0"/>
                <w:numId w:val="81"/>
              </w:numPr>
              <w:rPr>
                <w:szCs w:val="24"/>
              </w:rPr>
            </w:pPr>
            <w:r w:rsidRPr="005C3B55">
              <w:rPr>
                <w:szCs w:val="24"/>
              </w:rPr>
              <w:t>6C) Promotion of access to information and communication technology (ICT) in rural areas and their use and quality</w:t>
            </w:r>
          </w:p>
        </w:tc>
      </w:tr>
    </w:tbl>
    <w:p w:rsidR="00BD3B5F" w:rsidRPr="005C3B55" w:rsidRDefault="00BD3B5F">
      <w:pPr>
        <w:rPr>
          <w:szCs w:val="24"/>
        </w:rPr>
      </w:pPr>
      <w:r w:rsidRPr="005C3B55">
        <w:rPr>
          <w:szCs w:val="24"/>
        </w:rPr>
        <w:t>Horizontal objectives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10656"/>
      </w:tblGrid>
      <w:tr w:rsidR="00BD3B5F" w:rsidRPr="005C3B55">
        <w:tc>
          <w:tcPr>
            <w:tcW w:w="10656" w:type="dxa"/>
            <w:tcMar>
              <w:top w:w="20" w:type="dxa"/>
              <w:bottom w:w="20" w:type="dxa"/>
            </w:tcMar>
            <w:vAlign w:val="bottom"/>
          </w:tcPr>
          <w:p w:rsidR="00BD3B5F" w:rsidRPr="005C3B55" w:rsidRDefault="00BD3B5F" w:rsidP="00BD3B5F">
            <w:pPr>
              <w:numPr>
                <w:ilvl w:val="0"/>
                <w:numId w:val="82"/>
              </w:numPr>
              <w:rPr>
                <w:szCs w:val="24"/>
              </w:rPr>
            </w:pPr>
            <w:r w:rsidRPr="005C3B55">
              <w:rPr>
                <w:szCs w:val="24"/>
              </w:rPr>
              <w:t>Innovation</w:t>
            </w:r>
          </w:p>
        </w:tc>
      </w:tr>
    </w:tbl>
    <w:p w:rsidR="00BD3B5F" w:rsidRPr="005C3B55" w:rsidRDefault="00BD3B5F">
      <w:pPr>
        <w:rPr>
          <w:szCs w:val="24"/>
        </w:rPr>
      </w:pPr>
      <w:r w:rsidRPr="005C3B55">
        <w:rPr>
          <w:szCs w:val="24"/>
        </w:rPr>
        <w:t>Description</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10656" w:type="dxa"/>
            <w:tcMar>
              <w:top w:w="20" w:type="dxa"/>
              <w:bottom w:w="20" w:type="dxa"/>
            </w:tcMar>
            <w:vAlign w:val="bottom"/>
          </w:tcPr>
          <w:p w:rsidR="00BD3B5F" w:rsidRPr="005C3B55" w:rsidRDefault="00BD3B5F">
            <w:pPr>
              <w:spacing w:before="0" w:after="240"/>
              <w:jc w:val="left"/>
              <w:rPr>
                <w:noProof/>
                <w:szCs w:val="24"/>
              </w:rPr>
            </w:pPr>
            <w:r w:rsidRPr="005C3B55">
              <w:rPr>
                <w:szCs w:val="24"/>
              </w:rPr>
              <w:t>In terms of information society development, Slovenia lags behind the EU-27 average. This is shown in the share of households with broadband Internet access as well as in the share of broadband connections per 100 inhabitants.</w:t>
            </w:r>
            <w:r w:rsidRPr="005C3B55">
              <w:rPr>
                <w:noProof/>
                <w:szCs w:val="24"/>
              </w:rPr>
              <w:t xml:space="preserve"> </w:t>
            </w:r>
            <w:r w:rsidRPr="005C3B55">
              <w:rPr>
                <w:szCs w:val="24"/>
              </w:rPr>
              <w:t>With regard to standard fixed broadband networks coverage, Slovenia is among the four EU Member States with the lowest coverage.</w:t>
            </w:r>
            <w:r w:rsidRPr="005C3B55">
              <w:rPr>
                <w:noProof/>
                <w:szCs w:val="24"/>
              </w:rPr>
              <w:t xml:space="preserve"> </w:t>
            </w:r>
            <w:r w:rsidRPr="005C3B55">
              <w:rPr>
                <w:szCs w:val="24"/>
              </w:rPr>
              <w:t>The situation is also quite worrying in the field of accessible speed, since only a minor part of broadband connections enables 30 Mb/s or more.</w:t>
            </w:r>
            <w:r w:rsidRPr="005C3B55">
              <w:rPr>
                <w:noProof/>
                <w:szCs w:val="24"/>
              </w:rPr>
              <w:t xml:space="preserve"> </w:t>
            </w:r>
            <w:r w:rsidRPr="005C3B55">
              <w:rPr>
                <w:szCs w:val="24"/>
              </w:rPr>
              <w:t>The shortfall in the development of broadband infrastructure has been growing in the past few years.</w:t>
            </w:r>
          </w:p>
          <w:p w:rsidR="00BD3B5F" w:rsidRPr="005C3B55" w:rsidRDefault="00BD3B5F">
            <w:pPr>
              <w:spacing w:before="240" w:after="240"/>
              <w:jc w:val="left"/>
              <w:rPr>
                <w:noProof/>
                <w:szCs w:val="24"/>
              </w:rPr>
            </w:pPr>
            <w:r w:rsidRPr="005C3B55">
              <w:rPr>
                <w:szCs w:val="24"/>
              </w:rPr>
              <w:t>The improvement of access to ITC (broadband Internet of suitable speed) and increased use and quality can positively impact economic activities, attract investors, introduce innovations, create new jobs and improve the demographic structure of the countryside.</w:t>
            </w:r>
          </w:p>
          <w:p w:rsidR="00BD3B5F" w:rsidRPr="005C3B55" w:rsidRDefault="00BD3B5F">
            <w:pPr>
              <w:pStyle w:val="Telobesedila"/>
              <w:rPr>
                <w:szCs w:val="24"/>
              </w:rPr>
            </w:pPr>
          </w:p>
        </w:tc>
      </w:tr>
    </w:tbl>
    <w:p w:rsidR="00BD3B5F" w:rsidRPr="005C3B55" w:rsidRDefault="00BD3B5F">
      <w:pPr>
        <w:pStyle w:val="Naslov3"/>
        <w:tabs>
          <w:tab w:val="clear" w:pos="765"/>
        </w:tabs>
        <w:ind w:left="0" w:firstLine="0"/>
        <w:jc w:val="left"/>
        <w:rPr>
          <w:szCs w:val="24"/>
          <w:lang w:val="en-GB"/>
        </w:rPr>
      </w:pPr>
      <w:bookmarkStart w:id="80" w:name="_Toc416192538"/>
      <w:r w:rsidRPr="005C3B55">
        <w:rPr>
          <w:szCs w:val="24"/>
          <w:lang w:val="en-GB"/>
        </w:rPr>
        <w:t>N29 - Investing in the renewal and development of villages</w:t>
      </w:r>
      <w:bookmarkEnd w:id="80"/>
    </w:p>
    <w:p w:rsidR="00BD3B5F" w:rsidRPr="005C3B55" w:rsidRDefault="00BD3B5F">
      <w:pPr>
        <w:rPr>
          <w:szCs w:val="24"/>
        </w:rPr>
      </w:pPr>
      <w:r w:rsidRPr="005C3B55">
        <w:rPr>
          <w:szCs w:val="24"/>
        </w:rPr>
        <w:t>Priorities/focus areas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10656"/>
      </w:tblGrid>
      <w:tr w:rsidR="00BD3B5F" w:rsidRPr="005C3B55">
        <w:tc>
          <w:tcPr>
            <w:tcW w:w="10656" w:type="dxa"/>
            <w:tcMar>
              <w:top w:w="20" w:type="dxa"/>
              <w:bottom w:w="20" w:type="dxa"/>
            </w:tcMar>
            <w:vAlign w:val="bottom"/>
          </w:tcPr>
          <w:p w:rsidR="00BD3B5F" w:rsidRPr="005C3B55" w:rsidRDefault="00BD3B5F" w:rsidP="00BD3B5F">
            <w:pPr>
              <w:numPr>
                <w:ilvl w:val="0"/>
                <w:numId w:val="83"/>
              </w:numPr>
              <w:rPr>
                <w:szCs w:val="24"/>
              </w:rPr>
            </w:pPr>
            <w:r w:rsidRPr="005C3B55">
              <w:rPr>
                <w:szCs w:val="24"/>
              </w:rPr>
              <w:t>6B) Facilitation of local development of rural areas</w:t>
            </w:r>
          </w:p>
        </w:tc>
      </w:tr>
    </w:tbl>
    <w:p w:rsidR="00BD3B5F" w:rsidRPr="005C3B55" w:rsidRDefault="00BD3B5F">
      <w:pPr>
        <w:rPr>
          <w:szCs w:val="24"/>
        </w:rPr>
      </w:pPr>
      <w:r w:rsidRPr="005C3B55">
        <w:rPr>
          <w:szCs w:val="24"/>
        </w:rPr>
        <w:t>Horizontal objectives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10656"/>
      </w:tblGrid>
      <w:tr w:rsidR="00BD3B5F" w:rsidRPr="005C3B55">
        <w:tc>
          <w:tcPr>
            <w:tcW w:w="10656" w:type="dxa"/>
            <w:tcMar>
              <w:top w:w="20" w:type="dxa"/>
              <w:bottom w:w="20" w:type="dxa"/>
            </w:tcMar>
            <w:vAlign w:val="bottom"/>
          </w:tcPr>
          <w:p w:rsidR="00BD3B5F" w:rsidRPr="005C3B55" w:rsidRDefault="00BD3B5F" w:rsidP="00BD3B5F">
            <w:pPr>
              <w:numPr>
                <w:ilvl w:val="0"/>
                <w:numId w:val="84"/>
              </w:numPr>
              <w:rPr>
                <w:szCs w:val="24"/>
              </w:rPr>
            </w:pPr>
            <w:r w:rsidRPr="005C3B55">
              <w:rPr>
                <w:szCs w:val="24"/>
              </w:rPr>
              <w:t>Environment</w:t>
            </w:r>
          </w:p>
        </w:tc>
      </w:tr>
    </w:tbl>
    <w:p w:rsidR="00BD3B5F" w:rsidRPr="005C3B55" w:rsidRDefault="00BD3B5F">
      <w:pPr>
        <w:rPr>
          <w:szCs w:val="24"/>
        </w:rPr>
      </w:pPr>
      <w:r w:rsidRPr="005C3B55">
        <w:rPr>
          <w:szCs w:val="24"/>
        </w:rPr>
        <w:t>Description</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10656" w:type="dxa"/>
            <w:tcMar>
              <w:top w:w="20" w:type="dxa"/>
              <w:bottom w:w="20" w:type="dxa"/>
            </w:tcMar>
            <w:vAlign w:val="bottom"/>
          </w:tcPr>
          <w:p w:rsidR="00BD3B5F" w:rsidRPr="005C3B55" w:rsidRDefault="00BD3B5F">
            <w:pPr>
              <w:spacing w:before="0" w:after="240"/>
              <w:jc w:val="left"/>
              <w:rPr>
                <w:noProof/>
                <w:szCs w:val="24"/>
              </w:rPr>
            </w:pPr>
            <w:r w:rsidRPr="005C3B55">
              <w:rPr>
                <w:szCs w:val="24"/>
              </w:rPr>
              <w:t>The differences between the urban and rural way of life are narrowing, although the key features of each remain clearly recognisable.</w:t>
            </w:r>
            <w:r w:rsidRPr="005C3B55">
              <w:rPr>
                <w:noProof/>
                <w:szCs w:val="24"/>
              </w:rPr>
              <w:t xml:space="preserve"> </w:t>
            </w:r>
            <w:r w:rsidRPr="005C3B55">
              <w:rPr>
                <w:szCs w:val="24"/>
              </w:rPr>
              <w:t>In comparison with urban areas, rural areas have specific development needs, problems and opportunities, which require a different development approach.</w:t>
            </w:r>
            <w:r w:rsidRPr="005C3B55">
              <w:rPr>
                <w:noProof/>
                <w:szCs w:val="24"/>
              </w:rPr>
              <w:t xml:space="preserve"> </w:t>
            </w:r>
            <w:r w:rsidRPr="005C3B55">
              <w:rPr>
                <w:szCs w:val="24"/>
              </w:rPr>
              <w:t>The development and availability of infrastructure for people and companies in the countryside are very important, especially municipal, road infrastructure etc.</w:t>
            </w:r>
            <w:r w:rsidRPr="005C3B55">
              <w:rPr>
                <w:noProof/>
                <w:szCs w:val="24"/>
              </w:rPr>
              <w:t xml:space="preserve"> </w:t>
            </w:r>
            <w:r w:rsidRPr="005C3B55">
              <w:rPr>
                <w:szCs w:val="24"/>
              </w:rPr>
              <w:t>In comparison with towns, the countryside is neglected in terms of infrastructure development and thus more exposed to the risk of abandonment.</w:t>
            </w:r>
            <w:r w:rsidRPr="005C3B55">
              <w:rPr>
                <w:noProof/>
                <w:szCs w:val="24"/>
              </w:rPr>
              <w:t xml:space="preserve"> </w:t>
            </w:r>
            <w:r w:rsidRPr="005C3B55">
              <w:rPr>
                <w:szCs w:val="24"/>
              </w:rPr>
              <w:t>The decrease in settlement in the countryside can cause the socially undesirable emptying of areas.</w:t>
            </w:r>
            <w:r w:rsidRPr="005C3B55">
              <w:rPr>
                <w:noProof/>
                <w:szCs w:val="24"/>
              </w:rPr>
              <w:t xml:space="preserve"> </w:t>
            </w:r>
            <w:r w:rsidRPr="005C3B55">
              <w:rPr>
                <w:szCs w:val="24"/>
              </w:rPr>
              <w:t>In addition to the infrastructure, the development of cultural, leisure and other activities in multi-purpose facilities which are frequently empty and have no exact purpose must be enabled in order to preserve the vitality of the countryside.</w:t>
            </w:r>
          </w:p>
          <w:p w:rsidR="00BD3B5F" w:rsidRPr="005C3B55" w:rsidRDefault="00BD3B5F">
            <w:pPr>
              <w:spacing w:before="240" w:after="240"/>
              <w:jc w:val="left"/>
              <w:rPr>
                <w:noProof/>
                <w:szCs w:val="24"/>
              </w:rPr>
            </w:pPr>
            <w:r w:rsidRPr="005C3B55">
              <w:rPr>
                <w:szCs w:val="24"/>
              </w:rPr>
              <w:t>By investing in the renewal and development of villages, living conditions in rural communities can be improved and they can contribute to the attraction of the village environment as a living area with the potential to develop other economic activities.</w:t>
            </w:r>
          </w:p>
          <w:p w:rsidR="00BD3B5F" w:rsidRPr="005C3B55" w:rsidRDefault="00BD3B5F">
            <w:pPr>
              <w:pStyle w:val="Telobesedila"/>
              <w:rPr>
                <w:szCs w:val="24"/>
              </w:rPr>
            </w:pPr>
          </w:p>
        </w:tc>
      </w:tr>
    </w:tbl>
    <w:p w:rsidR="00BD3B5F" w:rsidRPr="005C3B55" w:rsidRDefault="00BD3B5F">
      <w:pPr>
        <w:pStyle w:val="Naslov3"/>
        <w:tabs>
          <w:tab w:val="clear" w:pos="765"/>
        </w:tabs>
        <w:ind w:left="0" w:firstLine="0"/>
        <w:jc w:val="left"/>
        <w:rPr>
          <w:szCs w:val="24"/>
          <w:lang w:val="en-GB"/>
        </w:rPr>
      </w:pPr>
      <w:bookmarkStart w:id="81" w:name="_Toc416192539"/>
      <w:r w:rsidRPr="005C3B55">
        <w:rPr>
          <w:szCs w:val="24"/>
          <w:lang w:val="en-GB"/>
        </w:rPr>
        <w:t>N30 - Preserving natural and cultural heritage in the countryside</w:t>
      </w:r>
      <w:bookmarkEnd w:id="81"/>
    </w:p>
    <w:p w:rsidR="00BD3B5F" w:rsidRPr="005C3B55" w:rsidRDefault="00BD3B5F">
      <w:pPr>
        <w:rPr>
          <w:szCs w:val="24"/>
        </w:rPr>
      </w:pPr>
      <w:r w:rsidRPr="005C3B55">
        <w:rPr>
          <w:szCs w:val="24"/>
        </w:rPr>
        <w:t>Priorities/focus areas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10656"/>
      </w:tblGrid>
      <w:tr w:rsidR="00BD3B5F" w:rsidRPr="005C3B55">
        <w:tc>
          <w:tcPr>
            <w:tcW w:w="10656" w:type="dxa"/>
            <w:tcMar>
              <w:top w:w="20" w:type="dxa"/>
              <w:bottom w:w="20" w:type="dxa"/>
            </w:tcMar>
            <w:vAlign w:val="bottom"/>
          </w:tcPr>
          <w:p w:rsidR="00BD3B5F" w:rsidRPr="005C3B55" w:rsidRDefault="00BD3B5F" w:rsidP="00BD3B5F">
            <w:pPr>
              <w:numPr>
                <w:ilvl w:val="0"/>
                <w:numId w:val="85"/>
              </w:numPr>
              <w:rPr>
                <w:szCs w:val="24"/>
              </w:rPr>
            </w:pPr>
            <w:r w:rsidRPr="005C3B55">
              <w:rPr>
                <w:szCs w:val="24"/>
              </w:rPr>
              <w:t>6A) Facilitating diversification, creation and development of small enterprises and job creation</w:t>
            </w:r>
          </w:p>
          <w:p w:rsidR="00BD3B5F" w:rsidRPr="005C3B55" w:rsidRDefault="00BD3B5F" w:rsidP="00BD3B5F">
            <w:pPr>
              <w:numPr>
                <w:ilvl w:val="0"/>
                <w:numId w:val="85"/>
              </w:numPr>
              <w:rPr>
                <w:szCs w:val="24"/>
              </w:rPr>
            </w:pPr>
            <w:r w:rsidRPr="005C3B55">
              <w:rPr>
                <w:szCs w:val="24"/>
              </w:rPr>
              <w:t>6B) Facilitation of local development of rural areas</w:t>
            </w:r>
          </w:p>
        </w:tc>
      </w:tr>
    </w:tbl>
    <w:p w:rsidR="00BD3B5F" w:rsidRPr="005C3B55" w:rsidRDefault="00BD3B5F">
      <w:pPr>
        <w:rPr>
          <w:szCs w:val="24"/>
        </w:rPr>
      </w:pPr>
      <w:r w:rsidRPr="005C3B55">
        <w:rPr>
          <w:szCs w:val="24"/>
        </w:rPr>
        <w:t>Horizontal objectives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10656"/>
      </w:tblGrid>
      <w:tr w:rsidR="00BD3B5F" w:rsidRPr="005C3B55">
        <w:tc>
          <w:tcPr>
            <w:tcW w:w="10656" w:type="dxa"/>
            <w:tcMar>
              <w:top w:w="20" w:type="dxa"/>
              <w:bottom w:w="20" w:type="dxa"/>
            </w:tcMar>
            <w:vAlign w:val="bottom"/>
          </w:tcPr>
          <w:p w:rsidR="00BD3B5F" w:rsidRPr="005C3B55" w:rsidRDefault="00BD3B5F" w:rsidP="00BD3B5F">
            <w:pPr>
              <w:numPr>
                <w:ilvl w:val="0"/>
                <w:numId w:val="86"/>
              </w:numPr>
              <w:rPr>
                <w:szCs w:val="24"/>
              </w:rPr>
            </w:pPr>
            <w:r w:rsidRPr="005C3B55">
              <w:rPr>
                <w:szCs w:val="24"/>
              </w:rPr>
              <w:t>Environment</w:t>
            </w:r>
          </w:p>
        </w:tc>
      </w:tr>
    </w:tbl>
    <w:p w:rsidR="00BD3B5F" w:rsidRPr="005C3B55" w:rsidRDefault="00BD3B5F">
      <w:pPr>
        <w:rPr>
          <w:szCs w:val="24"/>
        </w:rPr>
      </w:pPr>
      <w:r w:rsidRPr="005C3B55">
        <w:rPr>
          <w:szCs w:val="24"/>
        </w:rPr>
        <w:t>Description</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10656" w:type="dxa"/>
            <w:tcMar>
              <w:top w:w="20" w:type="dxa"/>
              <w:bottom w:w="20" w:type="dxa"/>
            </w:tcMar>
            <w:vAlign w:val="bottom"/>
          </w:tcPr>
          <w:p w:rsidR="00BD3B5F" w:rsidRPr="005C3B55" w:rsidRDefault="00BD3B5F">
            <w:pPr>
              <w:spacing w:before="0" w:after="240"/>
              <w:jc w:val="left"/>
              <w:rPr>
                <w:noProof/>
                <w:szCs w:val="24"/>
              </w:rPr>
            </w:pPr>
            <w:r w:rsidRPr="005C3B55">
              <w:rPr>
                <w:szCs w:val="24"/>
              </w:rPr>
              <w:t>The cultural landscape and heritage in the countryside offer very important economic opportunities; therefore, it is necessary to recognise this potential and increase the meaning of heritage as a developmental factor.</w:t>
            </w:r>
            <w:r w:rsidRPr="005C3B55">
              <w:rPr>
                <w:noProof/>
                <w:szCs w:val="24"/>
              </w:rPr>
              <w:t xml:space="preserve"> </w:t>
            </w:r>
            <w:r w:rsidRPr="005C3B55">
              <w:rPr>
                <w:szCs w:val="24"/>
              </w:rPr>
              <w:t>The heritage of the countryside includes natural and cultural heritage.</w:t>
            </w:r>
            <w:r w:rsidRPr="005C3B55">
              <w:rPr>
                <w:noProof/>
                <w:szCs w:val="24"/>
              </w:rPr>
              <w:t xml:space="preserve"> </w:t>
            </w:r>
            <w:r w:rsidRPr="005C3B55">
              <w:rPr>
                <w:szCs w:val="24"/>
              </w:rPr>
              <w:t>Areas of valuable natural features and the preservation of cultural landscape of the countryside must be assessed as part of the nation’s identity and as an opportunity to stimulate tourism and thus related activities.</w:t>
            </w:r>
            <w:r w:rsidRPr="005C3B55">
              <w:rPr>
                <w:noProof/>
                <w:szCs w:val="24"/>
              </w:rPr>
              <w:t xml:space="preserve"> </w:t>
            </w:r>
            <w:r w:rsidRPr="005C3B55">
              <w:rPr>
                <w:szCs w:val="24"/>
              </w:rPr>
              <w:t>The preservation of the cultural identity of the countryside is very important for a state such as Slovenia, which has a relatively high level of preservation in a relatively small territory.</w:t>
            </w:r>
          </w:p>
          <w:p w:rsidR="00BD3B5F" w:rsidRPr="005C3B55" w:rsidRDefault="00BD3B5F">
            <w:pPr>
              <w:spacing w:before="240" w:after="240"/>
              <w:jc w:val="left"/>
              <w:rPr>
                <w:noProof/>
                <w:szCs w:val="24"/>
              </w:rPr>
            </w:pPr>
            <w:r w:rsidRPr="005C3B55">
              <w:rPr>
                <w:szCs w:val="24"/>
              </w:rPr>
              <w:t>Therefore, investments in preserving heritage in the countryside must be enabled and connection between cultural heritage and valuable natural features with the development of tourism and leisure time must be enabled; the quality of life in the countryside must be improved, thus indirectly impacting the greater economic vitality of the countryside.</w:t>
            </w:r>
          </w:p>
          <w:p w:rsidR="00BD3B5F" w:rsidRPr="005C3B55" w:rsidRDefault="00BD3B5F">
            <w:pPr>
              <w:pStyle w:val="Telobesedila"/>
              <w:rPr>
                <w:szCs w:val="24"/>
              </w:rPr>
            </w:pPr>
          </w:p>
        </w:tc>
      </w:tr>
    </w:tbl>
    <w:p w:rsidR="00BD3B5F" w:rsidRPr="005C3B55" w:rsidRDefault="00BD3B5F">
      <w:pPr>
        <w:pStyle w:val="Naslov3"/>
        <w:tabs>
          <w:tab w:val="clear" w:pos="765"/>
        </w:tabs>
        <w:ind w:left="0" w:firstLine="0"/>
        <w:jc w:val="left"/>
        <w:rPr>
          <w:szCs w:val="24"/>
          <w:lang w:val="en-GB"/>
        </w:rPr>
      </w:pPr>
      <w:bookmarkStart w:id="82" w:name="_Toc416192540"/>
      <w:r w:rsidRPr="005C3B55">
        <w:rPr>
          <w:szCs w:val="24"/>
          <w:lang w:val="en-GB"/>
        </w:rPr>
        <w:t>N31 - More efficient stimulation of local development</w:t>
      </w:r>
      <w:bookmarkEnd w:id="82"/>
    </w:p>
    <w:p w:rsidR="00BD3B5F" w:rsidRPr="005C3B55" w:rsidRDefault="00BD3B5F">
      <w:pPr>
        <w:rPr>
          <w:szCs w:val="24"/>
        </w:rPr>
      </w:pPr>
      <w:r w:rsidRPr="005C3B55">
        <w:rPr>
          <w:szCs w:val="24"/>
        </w:rPr>
        <w:t>Priorities/focus areas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10656"/>
      </w:tblGrid>
      <w:tr w:rsidR="00BD3B5F" w:rsidRPr="005C3B55">
        <w:tc>
          <w:tcPr>
            <w:tcW w:w="10656" w:type="dxa"/>
            <w:tcMar>
              <w:top w:w="20" w:type="dxa"/>
              <w:bottom w:w="20" w:type="dxa"/>
            </w:tcMar>
            <w:vAlign w:val="bottom"/>
          </w:tcPr>
          <w:p w:rsidR="00BD3B5F" w:rsidRPr="005C3B55" w:rsidRDefault="00BD3B5F" w:rsidP="00BD3B5F">
            <w:pPr>
              <w:numPr>
                <w:ilvl w:val="0"/>
                <w:numId w:val="87"/>
              </w:numPr>
              <w:rPr>
                <w:szCs w:val="24"/>
              </w:rPr>
            </w:pPr>
            <w:r w:rsidRPr="005C3B55">
              <w:rPr>
                <w:szCs w:val="24"/>
              </w:rPr>
              <w:t>6B) Facilitation of local development of rural areas</w:t>
            </w:r>
          </w:p>
        </w:tc>
      </w:tr>
    </w:tbl>
    <w:p w:rsidR="00BD3B5F" w:rsidRPr="005C3B55" w:rsidRDefault="00BD3B5F">
      <w:pPr>
        <w:rPr>
          <w:szCs w:val="24"/>
        </w:rPr>
      </w:pPr>
      <w:r w:rsidRPr="005C3B55">
        <w:rPr>
          <w:szCs w:val="24"/>
        </w:rPr>
        <w:t>Horizontal objectives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10656"/>
      </w:tblGrid>
      <w:tr w:rsidR="00BD3B5F" w:rsidRPr="005C3B55">
        <w:tc>
          <w:tcPr>
            <w:tcW w:w="10656" w:type="dxa"/>
            <w:tcMar>
              <w:top w:w="20" w:type="dxa"/>
              <w:bottom w:w="20" w:type="dxa"/>
            </w:tcMar>
            <w:vAlign w:val="bottom"/>
          </w:tcPr>
          <w:p w:rsidR="00BD3B5F" w:rsidRPr="005C3B55" w:rsidRDefault="00BD3B5F" w:rsidP="00BD3B5F">
            <w:pPr>
              <w:numPr>
                <w:ilvl w:val="0"/>
                <w:numId w:val="88"/>
              </w:numPr>
              <w:rPr>
                <w:szCs w:val="24"/>
              </w:rPr>
            </w:pPr>
            <w:r w:rsidRPr="005C3B55">
              <w:rPr>
                <w:szCs w:val="24"/>
              </w:rPr>
              <w:t>Environment</w:t>
            </w:r>
          </w:p>
          <w:p w:rsidR="00BD3B5F" w:rsidRPr="005C3B55" w:rsidRDefault="00BD3B5F" w:rsidP="00BD3B5F">
            <w:pPr>
              <w:numPr>
                <w:ilvl w:val="0"/>
                <w:numId w:val="88"/>
              </w:numPr>
              <w:rPr>
                <w:szCs w:val="24"/>
              </w:rPr>
            </w:pPr>
            <w:r w:rsidRPr="005C3B55">
              <w:rPr>
                <w:szCs w:val="24"/>
              </w:rPr>
              <w:t>Mitigating, and adapting to, climate change</w:t>
            </w:r>
          </w:p>
          <w:p w:rsidR="00BD3B5F" w:rsidRPr="005C3B55" w:rsidRDefault="00BD3B5F" w:rsidP="00BD3B5F">
            <w:pPr>
              <w:numPr>
                <w:ilvl w:val="0"/>
                <w:numId w:val="88"/>
              </w:numPr>
              <w:rPr>
                <w:szCs w:val="24"/>
              </w:rPr>
            </w:pPr>
            <w:r w:rsidRPr="005C3B55">
              <w:rPr>
                <w:szCs w:val="24"/>
              </w:rPr>
              <w:t>Innovation</w:t>
            </w:r>
          </w:p>
        </w:tc>
      </w:tr>
    </w:tbl>
    <w:p w:rsidR="00BD3B5F" w:rsidRPr="005C3B55" w:rsidRDefault="00BD3B5F">
      <w:pPr>
        <w:rPr>
          <w:szCs w:val="24"/>
        </w:rPr>
      </w:pPr>
      <w:r w:rsidRPr="005C3B55">
        <w:rPr>
          <w:szCs w:val="24"/>
        </w:rPr>
        <w:t>Description</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10656" w:type="dxa"/>
            <w:tcMar>
              <w:top w:w="20" w:type="dxa"/>
              <w:bottom w:w="20" w:type="dxa"/>
            </w:tcMar>
            <w:vAlign w:val="bottom"/>
          </w:tcPr>
          <w:p w:rsidR="00BD3B5F" w:rsidRPr="005C3B55" w:rsidRDefault="00BD3B5F">
            <w:pPr>
              <w:spacing w:before="0" w:after="240"/>
              <w:jc w:val="left"/>
              <w:rPr>
                <w:noProof/>
                <w:szCs w:val="24"/>
              </w:rPr>
            </w:pPr>
            <w:r w:rsidRPr="005C3B55">
              <w:rPr>
                <w:szCs w:val="24"/>
              </w:rPr>
              <w:t>Slovenia has many years of experience in implementing various local development programmes, which it upgraded by implementing the LEADER approach in the 2007-2013 period.</w:t>
            </w:r>
            <w:r w:rsidRPr="005C3B55">
              <w:rPr>
                <w:noProof/>
                <w:szCs w:val="24"/>
              </w:rPr>
              <w:t xml:space="preserve"> </w:t>
            </w:r>
            <w:r w:rsidRPr="005C3B55">
              <w:rPr>
                <w:szCs w:val="24"/>
              </w:rPr>
              <w:t>It is necessary to continue stimulating the inclusion of local populations to actively determine and guide the development of the local environment.</w:t>
            </w:r>
            <w:r w:rsidRPr="005C3B55">
              <w:rPr>
                <w:noProof/>
                <w:szCs w:val="24"/>
              </w:rPr>
              <w:t xml:space="preserve"> </w:t>
            </w:r>
            <w:r w:rsidRPr="005C3B55">
              <w:rPr>
                <w:szCs w:val="24"/>
              </w:rPr>
              <w:t>This also strengthens local identity, the sense of affiliation and the possibilities of impacting development, social cohesion among the people and creates the conditions for better exploitation of the endogenous development potential of the local environment.</w:t>
            </w:r>
            <w:r w:rsidRPr="005C3B55">
              <w:rPr>
                <w:noProof/>
                <w:szCs w:val="24"/>
              </w:rPr>
              <w:t xml:space="preserve"> </w:t>
            </w:r>
            <w:r w:rsidRPr="005C3B55">
              <w:rPr>
                <w:szCs w:val="24"/>
              </w:rPr>
              <w:t>All of the above, stimulates the economic development of these areas and improves the quality of life in the countryside.</w:t>
            </w:r>
          </w:p>
          <w:p w:rsidR="00BD3B5F" w:rsidRPr="005C3B55" w:rsidRDefault="00BD3B5F">
            <w:pPr>
              <w:spacing w:before="240" w:after="240"/>
              <w:jc w:val="left"/>
              <w:rPr>
                <w:noProof/>
                <w:szCs w:val="24"/>
              </w:rPr>
            </w:pPr>
            <w:r w:rsidRPr="005C3B55">
              <w:rPr>
                <w:szCs w:val="24"/>
              </w:rPr>
              <w:t>The need for greater inclusion of the local population in determining key priorities of local development strategies and greater strategic orientation will be shown in the future.</w:t>
            </w:r>
            <w:r w:rsidRPr="005C3B55">
              <w:rPr>
                <w:noProof/>
                <w:szCs w:val="24"/>
              </w:rPr>
              <w:t xml:space="preserve"> </w:t>
            </w:r>
            <w:r w:rsidRPr="005C3B55">
              <w:rPr>
                <w:szCs w:val="24"/>
              </w:rPr>
              <w:t>In the given economic situation, local communities face the lack of financial funds, so the economic and social image of the countryside is deteriorating; therefore, the determination of key priorities for investmenting in local development has become even more important.</w:t>
            </w:r>
            <w:r w:rsidRPr="005C3B55">
              <w:rPr>
                <w:noProof/>
                <w:szCs w:val="24"/>
              </w:rPr>
              <w:t xml:space="preserve"> </w:t>
            </w:r>
            <w:r w:rsidRPr="005C3B55">
              <w:rPr>
                <w:szCs w:val="24"/>
              </w:rPr>
              <w:t>Orientation by results and sustainable projects supported on the basis of local development strategies are also needed.</w:t>
            </w:r>
            <w:r w:rsidRPr="005C3B55">
              <w:rPr>
                <w:noProof/>
                <w:szCs w:val="24"/>
              </w:rPr>
              <w:t xml:space="preserve"> </w:t>
            </w:r>
            <w:r w:rsidRPr="005C3B55">
              <w:rPr>
                <w:szCs w:val="24"/>
              </w:rPr>
              <w:t>These strategies should derive from the perceived strengths, weaknesses, opportunities and threats to the development of the local area and on the needs thus identified.</w:t>
            </w:r>
          </w:p>
          <w:p w:rsidR="00BD3B5F" w:rsidRPr="005C3B55" w:rsidRDefault="00BD3B5F">
            <w:pPr>
              <w:pStyle w:val="Telobesedila"/>
              <w:rPr>
                <w:szCs w:val="24"/>
              </w:rPr>
            </w:pPr>
          </w:p>
        </w:tc>
      </w:tr>
    </w:tbl>
    <w:p w:rsidR="00BD3B5F" w:rsidRPr="005C3B55" w:rsidRDefault="00BD3B5F">
      <w:pPr>
        <w:rPr>
          <w:szCs w:val="24"/>
        </w:rPr>
        <w:sectPr w:rsidR="00BD3B5F" w:rsidRPr="005C3B55">
          <w:pgSz w:w="12240" w:h="15840"/>
          <w:pgMar w:top="900" w:right="900" w:bottom="900" w:left="900" w:header="708" w:footer="708" w:gutter="0"/>
          <w:cols w:space="708"/>
        </w:sectPr>
      </w:pPr>
    </w:p>
    <w:p w:rsidR="00BD3B5F" w:rsidRPr="005C3B55" w:rsidRDefault="00BD3B5F">
      <w:pPr>
        <w:pStyle w:val="Naslov1"/>
        <w:rPr>
          <w:szCs w:val="24"/>
          <w:lang w:val="en-GB"/>
        </w:rPr>
      </w:pPr>
      <w:bookmarkStart w:id="83" w:name="_Toc416192541"/>
      <w:r w:rsidRPr="005C3B55">
        <w:rPr>
          <w:szCs w:val="24"/>
          <w:lang w:val="en-GB"/>
        </w:rPr>
        <w:t>Description of strategy</w:t>
      </w:r>
      <w:bookmarkEnd w:id="83"/>
    </w:p>
    <w:p w:rsidR="00BD3B5F" w:rsidRPr="005C3B55" w:rsidRDefault="00BD3B5F">
      <w:pPr>
        <w:pStyle w:val="Naslov2"/>
        <w:tabs>
          <w:tab w:val="clear" w:pos="765"/>
        </w:tabs>
        <w:ind w:left="0" w:firstLine="0"/>
        <w:rPr>
          <w:szCs w:val="24"/>
          <w:highlight w:val="lightGray"/>
          <w:lang w:val="en-GB"/>
        </w:rPr>
      </w:pPr>
      <w:bookmarkStart w:id="84" w:name="_Toc416192542"/>
      <w:r w:rsidRPr="005C3B55">
        <w:rPr>
          <w:szCs w:val="24"/>
          <w:highlight w:val="lightGray"/>
          <w:lang w:val="en-GB"/>
        </w:rPr>
        <w:t>Justification of needs selected for discussion within the rural development programme and the selection of objectives, priorities, focus areas and target values on the basis of evidence of the SWOT analysis and the assessment of needs. If necessary, justification of thematic sub-programmes included in the programme. Justification must observe in particular the requirements under Article 8(1)(c)(i) and (iv) of Regulation (EU) No 1305/2013.</w:t>
      </w:r>
      <w:bookmarkEnd w:id="84"/>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10656" w:type="dxa"/>
            <w:tcMar>
              <w:top w:w="20" w:type="dxa"/>
              <w:bottom w:w="20" w:type="dxa"/>
            </w:tcMar>
            <w:vAlign w:val="bottom"/>
          </w:tcPr>
          <w:p w:rsidR="00BD3B5F" w:rsidRPr="005C3B55" w:rsidRDefault="00BD3B5F">
            <w:pPr>
              <w:spacing w:before="0" w:after="240"/>
              <w:jc w:val="left"/>
              <w:rPr>
                <w:noProof/>
                <w:szCs w:val="24"/>
              </w:rPr>
            </w:pPr>
            <w:r w:rsidRPr="005C3B55">
              <w:rPr>
                <w:szCs w:val="24"/>
              </w:rPr>
              <w:t>Based on situation and SWOT analyses, determined needs and by considering national strategic documents that determine the development of agriculture, food industry and forestry until 2020 and while observing the Partnership Agreement between the Republic of Slovenia and the European Commission, Slovenia determined 6 action areas:</w:t>
            </w:r>
          </w:p>
          <w:p w:rsidR="00BD3B5F" w:rsidRPr="005C3B55" w:rsidRDefault="00BD3B5F" w:rsidP="00BD3B5F">
            <w:pPr>
              <w:numPr>
                <w:ilvl w:val="0"/>
                <w:numId w:val="89"/>
              </w:numPr>
              <w:spacing w:before="240" w:after="0"/>
              <w:jc w:val="left"/>
              <w:rPr>
                <w:noProof/>
                <w:szCs w:val="24"/>
              </w:rPr>
            </w:pPr>
            <w:r w:rsidRPr="005C3B55">
              <w:rPr>
                <w:szCs w:val="24"/>
              </w:rPr>
              <w:t>Facilitation of processes of structural adjustment in agriculture and, consequently, the creation of conditions for increasing the productivity of Slovenian agriculture.</w:t>
            </w:r>
          </w:p>
          <w:p w:rsidR="00BD3B5F" w:rsidRPr="005C3B55" w:rsidRDefault="00BD3B5F" w:rsidP="00BD3B5F">
            <w:pPr>
              <w:numPr>
                <w:ilvl w:val="0"/>
                <w:numId w:val="89"/>
              </w:numPr>
              <w:spacing w:before="0" w:after="0"/>
              <w:jc w:val="left"/>
              <w:rPr>
                <w:noProof/>
                <w:szCs w:val="24"/>
              </w:rPr>
            </w:pPr>
            <w:r w:rsidRPr="005C3B55">
              <w:rPr>
                <w:szCs w:val="24"/>
              </w:rPr>
              <w:t>Efficient market-oriented organisation of agriculture, strengthening of agro-food chains and improved visibility and quality of local products.</w:t>
            </w:r>
          </w:p>
          <w:p w:rsidR="00BD3B5F" w:rsidRPr="005C3B55" w:rsidRDefault="00BD3B5F" w:rsidP="00BD3B5F">
            <w:pPr>
              <w:numPr>
                <w:ilvl w:val="0"/>
                <w:numId w:val="89"/>
              </w:numPr>
              <w:spacing w:before="0" w:after="0"/>
              <w:jc w:val="left"/>
              <w:rPr>
                <w:noProof/>
                <w:szCs w:val="24"/>
              </w:rPr>
            </w:pPr>
            <w:r w:rsidRPr="005C3B55">
              <w:rPr>
                <w:szCs w:val="24"/>
              </w:rPr>
              <w:t>Sustainable exploitation of forests and increasing added value of wood, with better market integration in the field of forestry and along the forest-wood chain, and by increasing competitiveness in forestry and non-industrial wood processing.</w:t>
            </w:r>
          </w:p>
          <w:p w:rsidR="00BD3B5F" w:rsidRPr="005C3B55" w:rsidRDefault="00BD3B5F" w:rsidP="00BD3B5F">
            <w:pPr>
              <w:numPr>
                <w:ilvl w:val="0"/>
                <w:numId w:val="89"/>
              </w:numPr>
              <w:spacing w:before="0" w:after="0"/>
              <w:jc w:val="left"/>
              <w:rPr>
                <w:noProof/>
                <w:szCs w:val="24"/>
              </w:rPr>
            </w:pPr>
            <w:r w:rsidRPr="005C3B55">
              <w:rPr>
                <w:szCs w:val="24"/>
              </w:rPr>
              <w:t>Promotion of agricultural practices which contribute to the good condition of natural resources and adaptation to climate change.</w:t>
            </w:r>
          </w:p>
          <w:p w:rsidR="00BD3B5F" w:rsidRPr="005C3B55" w:rsidRDefault="00BD3B5F" w:rsidP="00BD3B5F">
            <w:pPr>
              <w:numPr>
                <w:ilvl w:val="0"/>
                <w:numId w:val="89"/>
              </w:numPr>
              <w:spacing w:before="0" w:after="0"/>
              <w:jc w:val="left"/>
              <w:rPr>
                <w:noProof/>
                <w:szCs w:val="24"/>
              </w:rPr>
            </w:pPr>
            <w:r w:rsidRPr="005C3B55">
              <w:rPr>
                <w:szCs w:val="24"/>
              </w:rPr>
              <w:t>Green jobs and coherent and sustainable development of rural areas based on the development of the local potential of the local environment.</w:t>
            </w:r>
          </w:p>
          <w:p w:rsidR="00BD3B5F" w:rsidRPr="005C3B55" w:rsidRDefault="00BD3B5F" w:rsidP="00BD3B5F">
            <w:pPr>
              <w:numPr>
                <w:ilvl w:val="0"/>
                <w:numId w:val="89"/>
              </w:numPr>
              <w:spacing w:before="0" w:after="240"/>
              <w:jc w:val="left"/>
              <w:rPr>
                <w:noProof/>
                <w:szCs w:val="24"/>
              </w:rPr>
            </w:pPr>
            <w:r w:rsidRPr="005C3B55">
              <w:rPr>
                <w:szCs w:val="24"/>
              </w:rPr>
              <w:t>Transfer of knowledge and innovation, environmental care and climate change are horizontal objectives which are pursued by all five action areas of needs.</w:t>
            </w:r>
          </w:p>
          <w:p w:rsidR="00BD3B5F" w:rsidRPr="005C3B55" w:rsidRDefault="00BD3B5F">
            <w:pPr>
              <w:spacing w:before="240" w:after="240"/>
              <w:jc w:val="left"/>
              <w:rPr>
                <w:noProof/>
                <w:szCs w:val="24"/>
              </w:rPr>
            </w:pPr>
            <w:r w:rsidRPr="005C3B55">
              <w:rPr>
                <w:szCs w:val="24"/>
              </w:rPr>
              <w:t>The mentioned areas of needs follow the objectives of the Europe 2020 Strategy, the recommendations of the European Commission, the selected thematic objectives of the Partnership Agreement and six priorities as determined in Article 5 of Regulation (EU) No 1305/2013.</w:t>
            </w:r>
          </w:p>
          <w:p w:rsidR="00BD3B5F" w:rsidRPr="005C3B55" w:rsidRDefault="00BD3B5F">
            <w:pPr>
              <w:spacing w:before="240" w:after="240"/>
              <w:jc w:val="left"/>
              <w:rPr>
                <w:noProof/>
                <w:szCs w:val="24"/>
              </w:rPr>
            </w:pPr>
            <w:r w:rsidRPr="005C3B55">
              <w:rPr>
                <w:szCs w:val="24"/>
              </w:rPr>
              <w:t xml:space="preserve">To facilitate processes of structural adjustment in agriculture determined in </w:t>
            </w:r>
            <w:r w:rsidRPr="005C3B55">
              <w:rPr>
                <w:b/>
                <w:szCs w:val="24"/>
              </w:rPr>
              <w:t>Priority 2</w:t>
            </w:r>
            <w:r w:rsidRPr="005C3B55">
              <w:rPr>
                <w:szCs w:val="24"/>
              </w:rPr>
              <w:t xml:space="preserve"> under Regulation (EU) No 1305/2013, Slovenia has selected the following needs:</w:t>
            </w:r>
          </w:p>
          <w:p w:rsidR="00BD3B5F" w:rsidRPr="005C3B55" w:rsidRDefault="00BD3B5F" w:rsidP="00BD3B5F">
            <w:pPr>
              <w:numPr>
                <w:ilvl w:val="0"/>
                <w:numId w:val="90"/>
              </w:numPr>
              <w:spacing w:before="240" w:after="0"/>
              <w:ind w:hanging="290"/>
              <w:jc w:val="left"/>
              <w:rPr>
                <w:noProof/>
                <w:szCs w:val="24"/>
              </w:rPr>
            </w:pPr>
            <w:r w:rsidRPr="005C3B55">
              <w:rPr>
                <w:szCs w:val="24"/>
              </w:rPr>
              <w:t>Need 01: Increasing productivity in agriculture</w:t>
            </w:r>
          </w:p>
          <w:p w:rsidR="00BD3B5F" w:rsidRPr="005C3B55" w:rsidRDefault="00BD3B5F" w:rsidP="00BD3B5F">
            <w:pPr>
              <w:numPr>
                <w:ilvl w:val="0"/>
                <w:numId w:val="90"/>
              </w:numPr>
              <w:spacing w:before="0" w:after="0"/>
              <w:ind w:hanging="290"/>
              <w:jc w:val="left"/>
              <w:rPr>
                <w:noProof/>
                <w:szCs w:val="24"/>
              </w:rPr>
            </w:pPr>
            <w:r w:rsidRPr="005C3B55">
              <w:rPr>
                <w:szCs w:val="24"/>
              </w:rPr>
              <w:t>Need 02: Improving the size structure and decreasing fragmentation of agricultural holdings as well as regulating agricultural infrastructure</w:t>
            </w:r>
          </w:p>
          <w:p w:rsidR="00BD3B5F" w:rsidRPr="005C3B55" w:rsidRDefault="00BD3B5F" w:rsidP="00BD3B5F">
            <w:pPr>
              <w:numPr>
                <w:ilvl w:val="0"/>
                <w:numId w:val="90"/>
              </w:numPr>
              <w:spacing w:before="0" w:after="0"/>
              <w:ind w:hanging="290"/>
              <w:jc w:val="left"/>
              <w:rPr>
                <w:noProof/>
                <w:szCs w:val="24"/>
              </w:rPr>
            </w:pPr>
            <w:r w:rsidRPr="005C3B55">
              <w:rPr>
                <w:szCs w:val="24"/>
              </w:rPr>
              <w:t>Need 03: Improving the age structure of owners of agricultural holdings</w:t>
            </w:r>
          </w:p>
          <w:p w:rsidR="00BD3B5F" w:rsidRPr="005C3B55" w:rsidRDefault="00BD3B5F" w:rsidP="00BD3B5F">
            <w:pPr>
              <w:numPr>
                <w:ilvl w:val="0"/>
                <w:numId w:val="90"/>
              </w:numPr>
              <w:spacing w:before="0" w:after="0"/>
              <w:ind w:hanging="290"/>
              <w:jc w:val="left"/>
              <w:rPr>
                <w:noProof/>
                <w:szCs w:val="24"/>
              </w:rPr>
            </w:pPr>
            <w:r w:rsidRPr="005C3B55">
              <w:rPr>
                <w:szCs w:val="24"/>
              </w:rPr>
              <w:t>Need 04: Improving qualifications in agriculture, forestry and the food industry</w:t>
            </w:r>
          </w:p>
          <w:p w:rsidR="00BD3B5F" w:rsidRPr="005C3B55" w:rsidRDefault="00BD3B5F" w:rsidP="00BD3B5F">
            <w:pPr>
              <w:numPr>
                <w:ilvl w:val="0"/>
                <w:numId w:val="90"/>
              </w:numPr>
              <w:spacing w:before="0" w:after="0"/>
              <w:ind w:hanging="290"/>
              <w:jc w:val="left"/>
              <w:rPr>
                <w:noProof/>
                <w:szCs w:val="24"/>
              </w:rPr>
            </w:pPr>
            <w:r w:rsidRPr="005C3B55">
              <w:rPr>
                <w:szCs w:val="24"/>
              </w:rPr>
              <w:t>Need 07: More efficient transfer of knowledge and innovation in agriculture, the food industry and forestry</w:t>
            </w:r>
          </w:p>
          <w:p w:rsidR="00BD3B5F" w:rsidRPr="005C3B55" w:rsidRDefault="00BD3B5F" w:rsidP="00BD3B5F">
            <w:pPr>
              <w:numPr>
                <w:ilvl w:val="0"/>
                <w:numId w:val="90"/>
              </w:numPr>
              <w:spacing w:before="0" w:after="0"/>
              <w:ind w:hanging="290"/>
              <w:jc w:val="left"/>
              <w:rPr>
                <w:noProof/>
                <w:szCs w:val="24"/>
              </w:rPr>
            </w:pPr>
            <w:r w:rsidRPr="005C3B55">
              <w:rPr>
                <w:szCs w:val="24"/>
              </w:rPr>
              <w:t>Need 09: Reducing the negative impacts of agriculture on the quality of surface water and groundwater</w:t>
            </w:r>
          </w:p>
          <w:p w:rsidR="00BD3B5F" w:rsidRPr="005C3B55" w:rsidRDefault="00BD3B5F" w:rsidP="00BD3B5F">
            <w:pPr>
              <w:numPr>
                <w:ilvl w:val="0"/>
                <w:numId w:val="90"/>
              </w:numPr>
              <w:spacing w:before="0" w:after="0"/>
              <w:ind w:hanging="290"/>
              <w:jc w:val="left"/>
              <w:rPr>
                <w:noProof/>
                <w:szCs w:val="24"/>
              </w:rPr>
            </w:pPr>
            <w:r w:rsidRPr="005C3B55">
              <w:rPr>
                <w:szCs w:val="24"/>
              </w:rPr>
              <w:t>Need 12: Reducing greenhouse gas emissions and ammonia in agriculture</w:t>
            </w:r>
          </w:p>
          <w:p w:rsidR="00BD3B5F" w:rsidRPr="005C3B55" w:rsidRDefault="00BD3B5F" w:rsidP="00BD3B5F">
            <w:pPr>
              <w:numPr>
                <w:ilvl w:val="0"/>
                <w:numId w:val="90"/>
              </w:numPr>
              <w:spacing w:before="0" w:after="0"/>
              <w:ind w:hanging="290"/>
              <w:jc w:val="left"/>
              <w:rPr>
                <w:noProof/>
                <w:szCs w:val="24"/>
              </w:rPr>
            </w:pPr>
            <w:r w:rsidRPr="005C3B55">
              <w:rPr>
                <w:szCs w:val="24"/>
              </w:rPr>
              <w:t>Need 13: Increasing the use of RES in the use of energy and increasing the energy efficiency</w:t>
            </w:r>
          </w:p>
          <w:p w:rsidR="00BD3B5F" w:rsidRPr="005C3B55" w:rsidRDefault="00BD3B5F" w:rsidP="00BD3B5F">
            <w:pPr>
              <w:numPr>
                <w:ilvl w:val="0"/>
                <w:numId w:val="90"/>
              </w:numPr>
              <w:spacing w:before="0" w:after="0"/>
              <w:ind w:hanging="290"/>
              <w:jc w:val="left"/>
              <w:rPr>
                <w:noProof/>
                <w:szCs w:val="24"/>
              </w:rPr>
            </w:pPr>
            <w:r w:rsidRPr="005C3B55">
              <w:rPr>
                <w:szCs w:val="24"/>
              </w:rPr>
              <w:t>Need 14: Adjusting agriculture to climate change</w:t>
            </w:r>
          </w:p>
          <w:p w:rsidR="00BD3B5F" w:rsidRPr="005C3B55" w:rsidRDefault="00BD3B5F" w:rsidP="00BD3B5F">
            <w:pPr>
              <w:numPr>
                <w:ilvl w:val="0"/>
                <w:numId w:val="90"/>
              </w:numPr>
              <w:spacing w:before="0" w:after="0"/>
              <w:ind w:hanging="290"/>
              <w:jc w:val="left"/>
              <w:rPr>
                <w:noProof/>
                <w:szCs w:val="24"/>
              </w:rPr>
            </w:pPr>
            <w:r w:rsidRPr="005C3B55">
              <w:rPr>
                <w:szCs w:val="24"/>
              </w:rPr>
              <w:t>Need 17: Stimulating organic farming and a wider range of products in quality schemes</w:t>
            </w:r>
          </w:p>
          <w:p w:rsidR="00BD3B5F" w:rsidRPr="005C3B55" w:rsidRDefault="00BD3B5F" w:rsidP="00BD3B5F">
            <w:pPr>
              <w:numPr>
                <w:ilvl w:val="0"/>
                <w:numId w:val="90"/>
              </w:numPr>
              <w:spacing w:before="0" w:after="240"/>
              <w:ind w:hanging="290"/>
              <w:jc w:val="left"/>
              <w:rPr>
                <w:noProof/>
                <w:szCs w:val="24"/>
              </w:rPr>
            </w:pPr>
            <w:r w:rsidRPr="005C3B55">
              <w:rPr>
                <w:szCs w:val="24"/>
              </w:rPr>
              <w:t>Need 23: Regulating forest infrastructure to achieve greater forest openness</w:t>
            </w:r>
          </w:p>
          <w:p w:rsidR="00BD3B5F" w:rsidRPr="005C3B55" w:rsidRDefault="00BD3B5F">
            <w:pPr>
              <w:spacing w:before="240" w:after="240"/>
              <w:jc w:val="left"/>
              <w:rPr>
                <w:noProof/>
                <w:szCs w:val="24"/>
              </w:rPr>
            </w:pPr>
            <w:r w:rsidRPr="005C3B55">
              <w:rPr>
                <w:szCs w:val="24"/>
              </w:rPr>
              <w:t>Considering the great stagnation of Slovenian agriculture in comparison with the EU-27 average according to most economic indicators, increasing productivity is the fundamental need of Slovenia agriculture, to which the selected needs 02, 03, 04 and 07 refer. These are mutually strengthened and create synergies.</w:t>
            </w:r>
            <w:r w:rsidRPr="005C3B55">
              <w:rPr>
                <w:noProof/>
                <w:szCs w:val="24"/>
              </w:rPr>
              <w:t xml:space="preserve"> </w:t>
            </w:r>
            <w:r w:rsidRPr="005C3B55">
              <w:rPr>
                <w:szCs w:val="24"/>
              </w:rPr>
              <w:t>Need 23 is intended to increase the openness of forests and create the possibilities for the greater use of wood, which is an important additional source of income on farms.</w:t>
            </w:r>
          </w:p>
          <w:p w:rsidR="00BD3B5F" w:rsidRPr="005C3B55" w:rsidRDefault="00BD3B5F">
            <w:pPr>
              <w:spacing w:before="240" w:after="240"/>
              <w:jc w:val="left"/>
              <w:rPr>
                <w:noProof/>
                <w:szCs w:val="24"/>
              </w:rPr>
            </w:pPr>
            <w:r w:rsidRPr="005C3B55">
              <w:rPr>
                <w:szCs w:val="24"/>
              </w:rPr>
              <w:t>Needs 09, 12, 13 and 14 are mostly focused on increasing the environmental efficiency of agricultural holdings and mitigating climate change or adapting to them.</w:t>
            </w:r>
            <w:r w:rsidRPr="005C3B55">
              <w:rPr>
                <w:noProof/>
                <w:szCs w:val="24"/>
              </w:rPr>
              <w:t xml:space="preserve"> </w:t>
            </w:r>
            <w:r w:rsidRPr="005C3B55">
              <w:rPr>
                <w:szCs w:val="24"/>
              </w:rPr>
              <w:t>The mentioned needs primarily refer to Priority 5, which Slovenia does not plan to programme.</w:t>
            </w:r>
            <w:r w:rsidRPr="005C3B55">
              <w:rPr>
                <w:noProof/>
                <w:szCs w:val="24"/>
              </w:rPr>
              <w:t xml:space="preserve"> </w:t>
            </w:r>
            <w:r w:rsidRPr="005C3B55">
              <w:rPr>
                <w:szCs w:val="24"/>
              </w:rPr>
              <w:t>We estimate that the increase in environmental efficiency and responding to climate change are inseparably connected with the structural adaptation of agriculture.</w:t>
            </w:r>
            <w:r w:rsidRPr="005C3B55">
              <w:rPr>
                <w:noProof/>
                <w:szCs w:val="24"/>
              </w:rPr>
              <w:t xml:space="preserve">   </w:t>
            </w:r>
          </w:p>
          <w:p w:rsidR="00BD3B5F" w:rsidRPr="005C3B55" w:rsidRDefault="00BD3B5F">
            <w:pPr>
              <w:spacing w:before="240" w:after="240"/>
              <w:jc w:val="left"/>
              <w:rPr>
                <w:noProof/>
                <w:szCs w:val="24"/>
              </w:rPr>
            </w:pPr>
            <w:r w:rsidRPr="005C3B55">
              <w:rPr>
                <w:szCs w:val="24"/>
              </w:rPr>
              <w:t>From the determined needs, Slovenia did not opt for the following:</w:t>
            </w:r>
          </w:p>
          <w:p w:rsidR="00BD3B5F" w:rsidRPr="005C3B55" w:rsidRDefault="00BD3B5F" w:rsidP="00BD3B5F">
            <w:pPr>
              <w:numPr>
                <w:ilvl w:val="0"/>
                <w:numId w:val="91"/>
              </w:numPr>
              <w:spacing w:before="240" w:after="240"/>
              <w:ind w:hanging="290"/>
              <w:jc w:val="left"/>
              <w:rPr>
                <w:noProof/>
                <w:szCs w:val="24"/>
              </w:rPr>
            </w:pPr>
            <w:r w:rsidRPr="005C3B55">
              <w:rPr>
                <w:szCs w:val="24"/>
              </w:rPr>
              <w:t>Need 05: Upgrading the qualifications of consultants</w:t>
            </w:r>
          </w:p>
          <w:p w:rsidR="00BD3B5F" w:rsidRPr="005C3B55" w:rsidRDefault="00BD3B5F">
            <w:pPr>
              <w:spacing w:before="240" w:after="240"/>
              <w:jc w:val="left"/>
              <w:rPr>
                <w:noProof/>
                <w:szCs w:val="24"/>
              </w:rPr>
            </w:pPr>
            <w:r w:rsidRPr="005C3B55">
              <w:rPr>
                <w:szCs w:val="24"/>
              </w:rPr>
              <w:t>Based on acts determining agriculture and forests, public services were established, which are mostly financed from the state budget.</w:t>
            </w:r>
            <w:r w:rsidRPr="005C3B55">
              <w:rPr>
                <w:noProof/>
                <w:szCs w:val="24"/>
              </w:rPr>
              <w:t xml:space="preserve"> </w:t>
            </w:r>
            <w:r w:rsidRPr="005C3B55">
              <w:rPr>
                <w:szCs w:val="24"/>
              </w:rPr>
              <w:t>Since the training of consultants is also financed from these funds, we did not opt for this need.</w:t>
            </w:r>
          </w:p>
          <w:p w:rsidR="00BD3B5F" w:rsidRPr="005C3B55" w:rsidRDefault="00BD3B5F">
            <w:pPr>
              <w:spacing w:before="240" w:after="240"/>
              <w:jc w:val="left"/>
              <w:rPr>
                <w:noProof/>
                <w:szCs w:val="24"/>
              </w:rPr>
            </w:pPr>
            <w:r w:rsidRPr="005C3B55">
              <w:rPr>
                <w:noProof/>
                <w:szCs w:val="24"/>
              </w:rPr>
              <w:t xml:space="preserve"> </w:t>
            </w:r>
            <w:r w:rsidRPr="005C3B55">
              <w:rPr>
                <w:szCs w:val="24"/>
              </w:rPr>
              <w:t>20% of all available funds from the RDP 2014–2020 are intended for Priority 2. After Priority 4, which is intended for protecting natural sources, this is the second strongest priority in terms of the allocation of funds.</w:t>
            </w:r>
            <w:r w:rsidRPr="005C3B55">
              <w:rPr>
                <w:noProof/>
                <w:szCs w:val="24"/>
              </w:rPr>
              <w:t xml:space="preserve"> </w:t>
            </w:r>
            <w:r w:rsidRPr="005C3B55">
              <w:rPr>
                <w:szCs w:val="24"/>
              </w:rPr>
              <w:t>Both priorities are mutually enhancing where they refer to the greater sustainability of agricultural holdings.</w:t>
            </w:r>
          </w:p>
          <w:p w:rsidR="00BD3B5F" w:rsidRPr="005C3B55" w:rsidRDefault="00BD3B5F">
            <w:pPr>
              <w:spacing w:before="240" w:after="240"/>
              <w:jc w:val="left"/>
              <w:rPr>
                <w:noProof/>
                <w:szCs w:val="24"/>
              </w:rPr>
            </w:pPr>
            <w:r w:rsidRPr="005C3B55">
              <w:rPr>
                <w:szCs w:val="24"/>
              </w:rPr>
              <w:t>While other European and investment funds (so-called ESI funds) do not support structural adaptation in agriculture, we can expect synergies with Pillar 1 of CAP in this part.</w:t>
            </w:r>
            <w:r w:rsidRPr="005C3B55">
              <w:rPr>
                <w:noProof/>
                <w:szCs w:val="24"/>
              </w:rPr>
              <w:t xml:space="preserve"> </w:t>
            </w:r>
            <w:r w:rsidRPr="005C3B55">
              <w:rPr>
                <w:szCs w:val="24"/>
              </w:rPr>
              <w:t>The basic functions of each pillar are different; both pillars together enable a stable environment and development for agricultural holdings.</w:t>
            </w:r>
          </w:p>
          <w:p w:rsidR="00BD3B5F" w:rsidRPr="005C3B55" w:rsidRDefault="00BD3B5F">
            <w:pPr>
              <w:spacing w:before="240" w:after="240"/>
              <w:jc w:val="left"/>
              <w:rPr>
                <w:noProof/>
                <w:szCs w:val="24"/>
              </w:rPr>
            </w:pPr>
            <w:r w:rsidRPr="005C3B55">
              <w:rPr>
                <w:szCs w:val="24"/>
              </w:rPr>
              <w:t>Within the scope of direct payments from Pillar 1 of CAP, synergies can be expected with the new scheme for young farmers, which will additionally support generational renewal in the agricultural sector.</w:t>
            </w:r>
            <w:r w:rsidRPr="005C3B55">
              <w:rPr>
                <w:noProof/>
                <w:szCs w:val="24"/>
              </w:rPr>
              <w:t xml:space="preserve"> </w:t>
            </w:r>
            <w:r w:rsidRPr="005C3B55">
              <w:rPr>
                <w:szCs w:val="24"/>
              </w:rPr>
              <w:t>1% of the national envelope for direct payments are dedicated to this scheme.</w:t>
            </w:r>
            <w:r w:rsidRPr="005C3B55">
              <w:rPr>
                <w:noProof/>
                <w:szCs w:val="24"/>
              </w:rPr>
              <w:t xml:space="preserve"> </w:t>
            </w:r>
            <w:r w:rsidRPr="005C3B55">
              <w:rPr>
                <w:szCs w:val="24"/>
              </w:rPr>
              <w:t>Synergies are also expected for direct payments referring to anticipated voluntary schemes of payments related to production, since they present an additional support to certain types of agriculture and sectors which encounter difficulties.</w:t>
            </w:r>
            <w:r w:rsidRPr="005C3B55">
              <w:rPr>
                <w:noProof/>
                <w:szCs w:val="24"/>
              </w:rPr>
              <w:t xml:space="preserve"> </w:t>
            </w:r>
            <w:r w:rsidRPr="005C3B55">
              <w:rPr>
                <w:szCs w:val="24"/>
              </w:rPr>
              <w:t>In this framework, payments for the production of cereals, milk in hilly and mountain areas, for breeding of bulls and bullocks, for vegetable and leguminous plants are anticipated.</w:t>
            </w:r>
            <w:r w:rsidRPr="005C3B55">
              <w:rPr>
                <w:noProof/>
                <w:szCs w:val="24"/>
              </w:rPr>
              <w:t xml:space="preserve"> </w:t>
            </w:r>
            <w:r w:rsidRPr="005C3B55">
              <w:rPr>
                <w:szCs w:val="24"/>
              </w:rPr>
              <w:t>15% of the national envelope will be dedicated to production-related payments, and an additional 2% for leguminous plants.</w:t>
            </w:r>
          </w:p>
          <w:p w:rsidR="00BD3B5F" w:rsidRPr="005C3B55" w:rsidRDefault="00BD3B5F">
            <w:pPr>
              <w:spacing w:before="240" w:after="240"/>
              <w:jc w:val="left"/>
              <w:rPr>
                <w:noProof/>
                <w:szCs w:val="24"/>
              </w:rPr>
            </w:pPr>
            <w:r w:rsidRPr="005C3B55">
              <w:rPr>
                <w:szCs w:val="24"/>
              </w:rPr>
              <w:t xml:space="preserve">In the field of more effective market organisation and connection as well as adding value to farm products as determined in </w:t>
            </w:r>
            <w:r w:rsidRPr="005C3B55">
              <w:rPr>
                <w:b/>
                <w:szCs w:val="24"/>
              </w:rPr>
              <w:t>Priority 3</w:t>
            </w:r>
            <w:r w:rsidRPr="005C3B55">
              <w:rPr>
                <w:szCs w:val="24"/>
              </w:rPr>
              <w:t xml:space="preserve"> under Regulation (EU) No 1305/2013, Slovenia selected the following needs:</w:t>
            </w:r>
          </w:p>
          <w:p w:rsidR="00BD3B5F" w:rsidRPr="005C3B55" w:rsidRDefault="00BD3B5F" w:rsidP="00BD3B5F">
            <w:pPr>
              <w:numPr>
                <w:ilvl w:val="0"/>
                <w:numId w:val="92"/>
              </w:numPr>
              <w:spacing w:before="240" w:after="0"/>
              <w:ind w:hanging="290"/>
              <w:jc w:val="left"/>
              <w:rPr>
                <w:noProof/>
                <w:szCs w:val="24"/>
              </w:rPr>
            </w:pPr>
            <w:r w:rsidRPr="005C3B55">
              <w:rPr>
                <w:szCs w:val="24"/>
              </w:rPr>
              <w:t>Need 01: Increasing productivity in agriculture</w:t>
            </w:r>
          </w:p>
          <w:p w:rsidR="00BD3B5F" w:rsidRPr="005C3B55" w:rsidRDefault="00BD3B5F" w:rsidP="00BD3B5F">
            <w:pPr>
              <w:numPr>
                <w:ilvl w:val="0"/>
                <w:numId w:val="92"/>
              </w:numPr>
              <w:spacing w:before="0" w:after="0"/>
              <w:ind w:hanging="290"/>
              <w:jc w:val="left"/>
              <w:rPr>
                <w:noProof/>
                <w:szCs w:val="24"/>
              </w:rPr>
            </w:pPr>
            <w:r w:rsidRPr="005C3B55">
              <w:rPr>
                <w:szCs w:val="24"/>
              </w:rPr>
              <w:t xml:space="preserve">Need 04: Improving qualifications in agriculture, forestry and the food industry </w:t>
            </w:r>
          </w:p>
          <w:p w:rsidR="00BD3B5F" w:rsidRPr="005C3B55" w:rsidRDefault="00BD3B5F" w:rsidP="00BD3B5F">
            <w:pPr>
              <w:numPr>
                <w:ilvl w:val="0"/>
                <w:numId w:val="92"/>
              </w:numPr>
              <w:spacing w:before="0" w:after="0"/>
              <w:ind w:hanging="290"/>
              <w:jc w:val="left"/>
              <w:rPr>
                <w:noProof/>
                <w:szCs w:val="24"/>
              </w:rPr>
            </w:pPr>
            <w:r w:rsidRPr="005C3B55">
              <w:rPr>
                <w:szCs w:val="24"/>
              </w:rPr>
              <w:t>Need 06: Guaranteeing specialised advisory services in the agricultural sector</w:t>
            </w:r>
          </w:p>
          <w:p w:rsidR="00BD3B5F" w:rsidRPr="005C3B55" w:rsidRDefault="00BD3B5F" w:rsidP="00BD3B5F">
            <w:pPr>
              <w:numPr>
                <w:ilvl w:val="0"/>
                <w:numId w:val="92"/>
              </w:numPr>
              <w:spacing w:before="0" w:after="0"/>
              <w:ind w:hanging="290"/>
              <w:jc w:val="left"/>
              <w:rPr>
                <w:noProof/>
                <w:szCs w:val="24"/>
              </w:rPr>
            </w:pPr>
            <w:r w:rsidRPr="005C3B55">
              <w:rPr>
                <w:szCs w:val="24"/>
              </w:rPr>
              <w:t>Need 07: More efficient transfer of knowledge and innovation in agriculture, the food industry and forestry</w:t>
            </w:r>
          </w:p>
          <w:p w:rsidR="00BD3B5F" w:rsidRPr="005C3B55" w:rsidRDefault="00BD3B5F" w:rsidP="00BD3B5F">
            <w:pPr>
              <w:numPr>
                <w:ilvl w:val="0"/>
                <w:numId w:val="92"/>
              </w:numPr>
              <w:spacing w:before="0" w:after="0"/>
              <w:ind w:hanging="290"/>
              <w:jc w:val="left"/>
              <w:rPr>
                <w:noProof/>
                <w:szCs w:val="24"/>
              </w:rPr>
            </w:pPr>
            <w:r w:rsidRPr="005C3B55">
              <w:rPr>
                <w:szCs w:val="24"/>
              </w:rPr>
              <w:t>Need 16: Stimulating the use of financial instruments</w:t>
            </w:r>
          </w:p>
          <w:p w:rsidR="00BD3B5F" w:rsidRPr="005C3B55" w:rsidRDefault="00BD3B5F" w:rsidP="00BD3B5F">
            <w:pPr>
              <w:numPr>
                <w:ilvl w:val="0"/>
                <w:numId w:val="92"/>
              </w:numPr>
              <w:spacing w:before="0" w:after="0"/>
              <w:ind w:hanging="290"/>
              <w:jc w:val="left"/>
              <w:rPr>
                <w:noProof/>
                <w:szCs w:val="24"/>
              </w:rPr>
            </w:pPr>
            <w:r w:rsidRPr="005C3B55">
              <w:rPr>
                <w:szCs w:val="24"/>
              </w:rPr>
              <w:t>Need 17: Stimulating organic farming and a wider range of products in quality schemes</w:t>
            </w:r>
          </w:p>
          <w:p w:rsidR="00BD3B5F" w:rsidRPr="005C3B55" w:rsidRDefault="00BD3B5F" w:rsidP="00BD3B5F">
            <w:pPr>
              <w:numPr>
                <w:ilvl w:val="0"/>
                <w:numId w:val="92"/>
              </w:numPr>
              <w:spacing w:before="0" w:after="0"/>
              <w:ind w:hanging="290"/>
              <w:jc w:val="left"/>
              <w:rPr>
                <w:noProof/>
                <w:szCs w:val="24"/>
              </w:rPr>
            </w:pPr>
            <w:r w:rsidRPr="005C3B55">
              <w:rPr>
                <w:szCs w:val="24"/>
              </w:rPr>
              <w:t>Need 18: Stimulating agricultural holdings to engage in higher standard animal breeding</w:t>
            </w:r>
          </w:p>
          <w:p w:rsidR="00BD3B5F" w:rsidRPr="005C3B55" w:rsidRDefault="00BD3B5F" w:rsidP="00BD3B5F">
            <w:pPr>
              <w:numPr>
                <w:ilvl w:val="0"/>
                <w:numId w:val="92"/>
              </w:numPr>
              <w:spacing w:before="0" w:after="0"/>
              <w:ind w:hanging="290"/>
              <w:jc w:val="left"/>
              <w:rPr>
                <w:noProof/>
                <w:szCs w:val="24"/>
              </w:rPr>
            </w:pPr>
            <w:r w:rsidRPr="005C3B55">
              <w:rPr>
                <w:szCs w:val="24"/>
              </w:rPr>
              <w:t>Need 19: Increasing market orientation, horizontal and vertical connections</w:t>
            </w:r>
          </w:p>
          <w:p w:rsidR="00BD3B5F" w:rsidRPr="005C3B55" w:rsidRDefault="00BD3B5F" w:rsidP="00BD3B5F">
            <w:pPr>
              <w:numPr>
                <w:ilvl w:val="0"/>
                <w:numId w:val="92"/>
              </w:numPr>
              <w:spacing w:before="0" w:after="0"/>
              <w:ind w:hanging="290"/>
              <w:jc w:val="left"/>
              <w:rPr>
                <w:noProof/>
                <w:szCs w:val="24"/>
              </w:rPr>
            </w:pPr>
            <w:r w:rsidRPr="005C3B55">
              <w:rPr>
                <w:szCs w:val="24"/>
              </w:rPr>
              <w:t>Need 20: Stimulating investments in the processing, development and marketing of agricultural products</w:t>
            </w:r>
          </w:p>
          <w:p w:rsidR="00BD3B5F" w:rsidRPr="005C3B55" w:rsidRDefault="00BD3B5F" w:rsidP="00BD3B5F">
            <w:pPr>
              <w:numPr>
                <w:ilvl w:val="0"/>
                <w:numId w:val="92"/>
              </w:numPr>
              <w:spacing w:before="0" w:after="240"/>
              <w:ind w:hanging="290"/>
              <w:jc w:val="left"/>
              <w:rPr>
                <w:noProof/>
                <w:szCs w:val="24"/>
              </w:rPr>
            </w:pPr>
            <w:r w:rsidRPr="005C3B55">
              <w:rPr>
                <w:szCs w:val="24"/>
              </w:rPr>
              <w:t>Need 25: Improving market organisation and connections between forest owners and further on in forest-wood chains</w:t>
            </w:r>
          </w:p>
          <w:p w:rsidR="00BD3B5F" w:rsidRPr="005C3B55" w:rsidRDefault="00BD3B5F">
            <w:pPr>
              <w:spacing w:before="240" w:after="240"/>
              <w:jc w:val="left"/>
              <w:rPr>
                <w:noProof/>
                <w:szCs w:val="24"/>
              </w:rPr>
            </w:pPr>
            <w:r w:rsidRPr="005C3B55">
              <w:rPr>
                <w:szCs w:val="24"/>
              </w:rPr>
              <w:t>Since unfavourable structural and natural features prevent Slovenian agriculture from achieving the competitiveness of countries with significantly better natural and structural conditions, we must focus on increasing the added value of products and achieve greater differentiation in the offer of products, which consumer will recognise.</w:t>
            </w:r>
            <w:r w:rsidRPr="005C3B55">
              <w:rPr>
                <w:noProof/>
                <w:szCs w:val="24"/>
              </w:rPr>
              <w:t xml:space="preserve"> </w:t>
            </w:r>
            <w:r w:rsidRPr="005C3B55">
              <w:rPr>
                <w:szCs w:val="24"/>
              </w:rPr>
              <w:t>Greater emphasis should be put on developing local markets and short supply chains, since this stimulates local production, job creation and the wider economic and social vitality of the countryside, as well as market organisation and cooperation in agriculture and forestry.</w:t>
            </w:r>
          </w:p>
          <w:p w:rsidR="00BD3B5F" w:rsidRPr="005C3B55" w:rsidRDefault="00BD3B5F">
            <w:pPr>
              <w:spacing w:before="240" w:after="240"/>
              <w:jc w:val="left"/>
              <w:rPr>
                <w:noProof/>
                <w:szCs w:val="24"/>
              </w:rPr>
            </w:pPr>
            <w:r w:rsidRPr="005C3B55">
              <w:rPr>
                <w:szCs w:val="24"/>
              </w:rPr>
              <w:t>From the determined needs, Slovenia did not opt for the following:</w:t>
            </w:r>
          </w:p>
          <w:p w:rsidR="00BD3B5F" w:rsidRPr="005C3B55" w:rsidRDefault="00BD3B5F" w:rsidP="00BD3B5F">
            <w:pPr>
              <w:numPr>
                <w:ilvl w:val="0"/>
                <w:numId w:val="93"/>
              </w:numPr>
              <w:spacing w:before="240" w:after="0"/>
              <w:ind w:hanging="290"/>
              <w:jc w:val="left"/>
              <w:rPr>
                <w:noProof/>
                <w:szCs w:val="24"/>
              </w:rPr>
            </w:pPr>
            <w:r w:rsidRPr="005C3B55">
              <w:rPr>
                <w:szCs w:val="24"/>
              </w:rPr>
              <w:t>Need 05: Upgrading the qualifications of consultants</w:t>
            </w:r>
          </w:p>
          <w:p w:rsidR="00BD3B5F" w:rsidRPr="005C3B55" w:rsidRDefault="00BD3B5F" w:rsidP="00BD3B5F">
            <w:pPr>
              <w:numPr>
                <w:ilvl w:val="0"/>
                <w:numId w:val="93"/>
              </w:numPr>
              <w:spacing w:before="0" w:after="240"/>
              <w:ind w:hanging="290"/>
              <w:jc w:val="left"/>
              <w:rPr>
                <w:noProof/>
                <w:szCs w:val="24"/>
              </w:rPr>
            </w:pPr>
            <w:r w:rsidRPr="005C3B55">
              <w:rPr>
                <w:szCs w:val="24"/>
              </w:rPr>
              <w:t>Need 15: Developing new risk management instruments</w:t>
            </w:r>
          </w:p>
          <w:p w:rsidR="00BD3B5F" w:rsidRPr="005C3B55" w:rsidRDefault="00BD3B5F">
            <w:pPr>
              <w:spacing w:before="240" w:after="240"/>
              <w:jc w:val="left"/>
              <w:rPr>
                <w:noProof/>
                <w:szCs w:val="24"/>
              </w:rPr>
            </w:pPr>
            <w:r w:rsidRPr="005C3B55">
              <w:rPr>
                <w:szCs w:val="24"/>
              </w:rPr>
              <w:t>Based on acts determining agriculture and forests, public services were established, which are mostly financed from the state budget.</w:t>
            </w:r>
            <w:r w:rsidRPr="005C3B55">
              <w:rPr>
                <w:noProof/>
                <w:szCs w:val="24"/>
              </w:rPr>
              <w:t xml:space="preserve"> </w:t>
            </w:r>
            <w:r w:rsidRPr="005C3B55">
              <w:rPr>
                <w:szCs w:val="24"/>
              </w:rPr>
              <w:t>Since the training of consultants is already financed from these funds, Slovenia did not opt for Need 05.</w:t>
            </w:r>
            <w:r w:rsidRPr="005C3B55">
              <w:rPr>
                <w:noProof/>
                <w:szCs w:val="24"/>
              </w:rPr>
              <w:t xml:space="preserve"> </w:t>
            </w:r>
            <w:r w:rsidRPr="005C3B55">
              <w:rPr>
                <w:szCs w:val="24"/>
              </w:rPr>
              <w:t>Slovenia did not opt for Need 15 because the co-financing of insurance premiums will be provided from the state budget.</w:t>
            </w:r>
            <w:r w:rsidRPr="005C3B55">
              <w:rPr>
                <w:noProof/>
                <w:szCs w:val="24"/>
              </w:rPr>
              <w:t xml:space="preserve"> </w:t>
            </w:r>
            <w:r w:rsidRPr="005C3B55">
              <w:rPr>
                <w:szCs w:val="24"/>
              </w:rPr>
              <w:t>Other risk management instruments in Slovenia have not been developed yet.</w:t>
            </w:r>
            <w:r w:rsidRPr="005C3B55">
              <w:rPr>
                <w:noProof/>
                <w:szCs w:val="24"/>
              </w:rPr>
              <w:t xml:space="preserve">  </w:t>
            </w:r>
          </w:p>
          <w:p w:rsidR="00BD3B5F" w:rsidRPr="005C3B55" w:rsidRDefault="00BD3B5F">
            <w:pPr>
              <w:spacing w:before="240" w:after="240"/>
              <w:jc w:val="left"/>
              <w:rPr>
                <w:noProof/>
                <w:szCs w:val="24"/>
              </w:rPr>
            </w:pPr>
            <w:r w:rsidRPr="005C3B55">
              <w:rPr>
                <w:szCs w:val="24"/>
              </w:rPr>
              <w:t>Approximately 9% of all available programme funds are intended for this priority.</w:t>
            </w:r>
            <w:r w:rsidRPr="005C3B55">
              <w:rPr>
                <w:noProof/>
                <w:szCs w:val="24"/>
              </w:rPr>
              <w:t xml:space="preserve"> </w:t>
            </w:r>
            <w:r w:rsidRPr="005C3B55">
              <w:rPr>
                <w:szCs w:val="24"/>
              </w:rPr>
              <w:t>The largest share of funds is dedicated to processing and marketing agricultural products, where financial instruments will be used.</w:t>
            </w:r>
          </w:p>
          <w:p w:rsidR="00BD3B5F" w:rsidRPr="005C3B55" w:rsidRDefault="00BD3B5F">
            <w:pPr>
              <w:spacing w:before="240" w:after="240"/>
              <w:jc w:val="left"/>
              <w:rPr>
                <w:noProof/>
                <w:szCs w:val="24"/>
              </w:rPr>
            </w:pPr>
            <w:r w:rsidRPr="005C3B55">
              <w:rPr>
                <w:szCs w:val="24"/>
              </w:rPr>
              <w:t>While other ESI funds do not anticipate support for such needs, positive synergies can be expected in relation to Pillar 1 of the CAP, more specifically with grants that are allocated for producer organisations under Regulation (EU) No 1308/2013 and other instruments (e.g. for financing operational programmes in the fruit and vegetable sector), whereas double financing may not occur.</w:t>
            </w:r>
            <w:r w:rsidRPr="005C3B55">
              <w:rPr>
                <w:noProof/>
                <w:szCs w:val="24"/>
              </w:rPr>
              <w:t xml:space="preserve">    </w:t>
            </w:r>
          </w:p>
          <w:p w:rsidR="00BD3B5F" w:rsidRPr="005C3B55" w:rsidRDefault="00BD3B5F">
            <w:pPr>
              <w:spacing w:before="240" w:after="240"/>
              <w:jc w:val="left"/>
              <w:rPr>
                <w:noProof/>
                <w:szCs w:val="24"/>
              </w:rPr>
            </w:pPr>
            <w:r w:rsidRPr="005C3B55">
              <w:rPr>
                <w:szCs w:val="24"/>
              </w:rPr>
              <w:t xml:space="preserve">In the field of protecting natural resources and adapting to climate change, as determined in </w:t>
            </w:r>
            <w:r w:rsidRPr="005C3B55">
              <w:rPr>
                <w:b/>
                <w:szCs w:val="24"/>
              </w:rPr>
              <w:t>Priority 4</w:t>
            </w:r>
            <w:r w:rsidRPr="005C3B55">
              <w:rPr>
                <w:szCs w:val="24"/>
              </w:rPr>
              <w:t xml:space="preserve"> under Regulation (EU) No 1305/2013, Slovenia selected the following needs:</w:t>
            </w:r>
          </w:p>
          <w:p w:rsidR="00BD3B5F" w:rsidRPr="005C3B55" w:rsidRDefault="00BD3B5F" w:rsidP="00BD3B5F">
            <w:pPr>
              <w:numPr>
                <w:ilvl w:val="0"/>
                <w:numId w:val="94"/>
              </w:numPr>
              <w:spacing w:before="240" w:after="0"/>
              <w:ind w:hanging="290"/>
              <w:jc w:val="left"/>
              <w:rPr>
                <w:noProof/>
                <w:szCs w:val="24"/>
              </w:rPr>
            </w:pPr>
            <w:r w:rsidRPr="005C3B55">
              <w:rPr>
                <w:szCs w:val="24"/>
              </w:rPr>
              <w:t>Need 04: Improving qualifications in agriculture, forestry and the food industry</w:t>
            </w:r>
          </w:p>
          <w:p w:rsidR="00BD3B5F" w:rsidRPr="005C3B55" w:rsidRDefault="00BD3B5F" w:rsidP="00BD3B5F">
            <w:pPr>
              <w:numPr>
                <w:ilvl w:val="0"/>
                <w:numId w:val="94"/>
              </w:numPr>
              <w:spacing w:before="0" w:after="0"/>
              <w:ind w:hanging="290"/>
              <w:jc w:val="left"/>
              <w:rPr>
                <w:noProof/>
                <w:szCs w:val="24"/>
              </w:rPr>
            </w:pPr>
            <w:r w:rsidRPr="005C3B55">
              <w:rPr>
                <w:szCs w:val="24"/>
              </w:rPr>
              <w:t>Need 06: Guaranteeing specialised advisory services in the agricultural sector</w:t>
            </w:r>
          </w:p>
          <w:p w:rsidR="00BD3B5F" w:rsidRPr="005C3B55" w:rsidRDefault="00BD3B5F" w:rsidP="00BD3B5F">
            <w:pPr>
              <w:numPr>
                <w:ilvl w:val="0"/>
                <w:numId w:val="94"/>
              </w:numPr>
              <w:spacing w:before="0" w:after="0"/>
              <w:ind w:hanging="290"/>
              <w:jc w:val="left"/>
              <w:rPr>
                <w:noProof/>
                <w:szCs w:val="24"/>
              </w:rPr>
            </w:pPr>
            <w:r w:rsidRPr="005C3B55">
              <w:rPr>
                <w:szCs w:val="24"/>
              </w:rPr>
              <w:t>Need 07: More efficient transfer of knowledge and innovation in agriculture, the food industry and forestry</w:t>
            </w:r>
          </w:p>
          <w:p w:rsidR="00BD3B5F" w:rsidRPr="005C3B55" w:rsidRDefault="00BD3B5F" w:rsidP="00BD3B5F">
            <w:pPr>
              <w:numPr>
                <w:ilvl w:val="0"/>
                <w:numId w:val="94"/>
              </w:numPr>
              <w:spacing w:before="0" w:after="0"/>
              <w:ind w:hanging="290"/>
              <w:jc w:val="left"/>
              <w:rPr>
                <w:noProof/>
                <w:szCs w:val="24"/>
              </w:rPr>
            </w:pPr>
            <w:r w:rsidRPr="005C3B55">
              <w:rPr>
                <w:szCs w:val="24"/>
              </w:rPr>
              <w:t>Need 08: Preserving and/or improving biodiversity in habitats related to agricultural landscape</w:t>
            </w:r>
          </w:p>
          <w:p w:rsidR="00BD3B5F" w:rsidRPr="005C3B55" w:rsidRDefault="00BD3B5F" w:rsidP="00BD3B5F">
            <w:pPr>
              <w:numPr>
                <w:ilvl w:val="0"/>
                <w:numId w:val="94"/>
              </w:numPr>
              <w:spacing w:before="0" w:after="0"/>
              <w:ind w:hanging="290"/>
              <w:jc w:val="left"/>
              <w:rPr>
                <w:noProof/>
                <w:szCs w:val="24"/>
              </w:rPr>
            </w:pPr>
            <w:r w:rsidRPr="005C3B55">
              <w:rPr>
                <w:szCs w:val="24"/>
              </w:rPr>
              <w:t>Need 09: Reducing the negative impacts of agriculture on the quality of surface water and groundwater</w:t>
            </w:r>
          </w:p>
          <w:p w:rsidR="00BD3B5F" w:rsidRPr="005C3B55" w:rsidRDefault="00BD3B5F" w:rsidP="00BD3B5F">
            <w:pPr>
              <w:numPr>
                <w:ilvl w:val="0"/>
                <w:numId w:val="94"/>
              </w:numPr>
              <w:spacing w:before="0" w:after="0"/>
              <w:ind w:hanging="290"/>
              <w:jc w:val="left"/>
              <w:rPr>
                <w:noProof/>
                <w:szCs w:val="24"/>
              </w:rPr>
            </w:pPr>
            <w:r w:rsidRPr="005C3B55">
              <w:rPr>
                <w:szCs w:val="24"/>
              </w:rPr>
              <w:t>Need 10: Preserving or improving productive potential of soil</w:t>
            </w:r>
          </w:p>
          <w:p w:rsidR="00BD3B5F" w:rsidRPr="005C3B55" w:rsidRDefault="00BD3B5F" w:rsidP="00BD3B5F">
            <w:pPr>
              <w:numPr>
                <w:ilvl w:val="0"/>
                <w:numId w:val="94"/>
              </w:numPr>
              <w:spacing w:before="0" w:after="0"/>
              <w:ind w:hanging="290"/>
              <w:jc w:val="left"/>
              <w:rPr>
                <w:noProof/>
                <w:szCs w:val="24"/>
              </w:rPr>
            </w:pPr>
            <w:r w:rsidRPr="005C3B55">
              <w:rPr>
                <w:szCs w:val="24"/>
              </w:rPr>
              <w:t>Need 11: Preserving farming in areas with limited possibilities for agricultural activity</w:t>
            </w:r>
          </w:p>
          <w:p w:rsidR="00BD3B5F" w:rsidRPr="005C3B55" w:rsidRDefault="00BD3B5F" w:rsidP="00BD3B5F">
            <w:pPr>
              <w:numPr>
                <w:ilvl w:val="0"/>
                <w:numId w:val="94"/>
              </w:numPr>
              <w:spacing w:before="0" w:after="0"/>
              <w:ind w:hanging="290"/>
              <w:jc w:val="left"/>
              <w:rPr>
                <w:noProof/>
                <w:szCs w:val="24"/>
              </w:rPr>
            </w:pPr>
            <w:r w:rsidRPr="005C3B55">
              <w:rPr>
                <w:szCs w:val="24"/>
              </w:rPr>
              <w:t>Need 12: Reducing greenhouse gas emissions and ammonia in agriculture</w:t>
            </w:r>
          </w:p>
          <w:p w:rsidR="00BD3B5F" w:rsidRPr="005C3B55" w:rsidRDefault="00BD3B5F" w:rsidP="00BD3B5F">
            <w:pPr>
              <w:numPr>
                <w:ilvl w:val="0"/>
                <w:numId w:val="94"/>
              </w:numPr>
              <w:spacing w:before="0" w:after="0"/>
              <w:ind w:hanging="290"/>
              <w:jc w:val="left"/>
              <w:rPr>
                <w:noProof/>
                <w:szCs w:val="24"/>
              </w:rPr>
            </w:pPr>
            <w:r w:rsidRPr="005C3B55">
              <w:rPr>
                <w:szCs w:val="24"/>
              </w:rPr>
              <w:t>Need 14: Adjusting agriculture to climate change</w:t>
            </w:r>
          </w:p>
          <w:p w:rsidR="00BD3B5F" w:rsidRPr="005C3B55" w:rsidRDefault="00BD3B5F" w:rsidP="00BD3B5F">
            <w:pPr>
              <w:numPr>
                <w:ilvl w:val="0"/>
                <w:numId w:val="94"/>
              </w:numPr>
              <w:spacing w:before="0" w:after="0"/>
              <w:ind w:hanging="290"/>
              <w:jc w:val="left"/>
              <w:rPr>
                <w:noProof/>
                <w:szCs w:val="24"/>
              </w:rPr>
            </w:pPr>
            <w:r w:rsidRPr="005C3B55">
              <w:rPr>
                <w:szCs w:val="24"/>
              </w:rPr>
              <w:t>Need 17: Stimulating organic farming and a wider range of products in quality schemes</w:t>
            </w:r>
          </w:p>
          <w:p w:rsidR="00BD3B5F" w:rsidRPr="005C3B55" w:rsidRDefault="00BD3B5F" w:rsidP="00BD3B5F">
            <w:pPr>
              <w:numPr>
                <w:ilvl w:val="0"/>
                <w:numId w:val="94"/>
              </w:numPr>
              <w:spacing w:before="0" w:after="0"/>
              <w:ind w:hanging="290"/>
              <w:jc w:val="left"/>
              <w:rPr>
                <w:noProof/>
                <w:szCs w:val="24"/>
              </w:rPr>
            </w:pPr>
            <w:r w:rsidRPr="005C3B55">
              <w:rPr>
                <w:szCs w:val="24"/>
              </w:rPr>
              <w:t>Need 22: Restoring forest potential destroyed after a natural disaster</w:t>
            </w:r>
          </w:p>
          <w:p w:rsidR="00BD3B5F" w:rsidRPr="005C3B55" w:rsidRDefault="00BD3B5F" w:rsidP="00BD3B5F">
            <w:pPr>
              <w:numPr>
                <w:ilvl w:val="0"/>
                <w:numId w:val="94"/>
              </w:numPr>
              <w:spacing w:before="0" w:after="240"/>
              <w:ind w:hanging="290"/>
              <w:jc w:val="left"/>
              <w:rPr>
                <w:noProof/>
                <w:szCs w:val="24"/>
              </w:rPr>
            </w:pPr>
            <w:r w:rsidRPr="005C3B55">
              <w:rPr>
                <w:szCs w:val="24"/>
              </w:rPr>
              <w:t>Need 23: Regulating forest infrastructure to achieve greater forest openness</w:t>
            </w:r>
          </w:p>
          <w:p w:rsidR="00BD3B5F" w:rsidRPr="005C3B55" w:rsidRDefault="00BD3B5F">
            <w:pPr>
              <w:spacing w:before="240" w:after="240"/>
              <w:jc w:val="left"/>
              <w:rPr>
                <w:noProof/>
                <w:szCs w:val="24"/>
              </w:rPr>
            </w:pPr>
            <w:r w:rsidRPr="005C3B55">
              <w:rPr>
                <w:szCs w:val="24"/>
              </w:rPr>
              <w:t>In its strategic documents, Slovenia is committed to sustainable agriculture, which will ensure food and economic goals as well as public assets connected with safe food, environment and nature protection as well as social and spatial balance.</w:t>
            </w:r>
            <w:r w:rsidRPr="005C3B55">
              <w:rPr>
                <w:noProof/>
                <w:szCs w:val="24"/>
              </w:rPr>
              <w:t xml:space="preserve"> </w:t>
            </w:r>
            <w:r w:rsidRPr="005C3B55">
              <w:rPr>
                <w:szCs w:val="24"/>
              </w:rPr>
              <w:t>The selected needs are closely connected.</w:t>
            </w:r>
            <w:r w:rsidRPr="005C3B55">
              <w:rPr>
                <w:noProof/>
                <w:szCs w:val="24"/>
              </w:rPr>
              <w:t xml:space="preserve"> </w:t>
            </w:r>
            <w:r w:rsidRPr="005C3B55">
              <w:rPr>
                <w:szCs w:val="24"/>
              </w:rPr>
              <w:t>By stimulating agricultural practices that contribute to realising most of the above-mentioned needs, we can simultaneously impact the situation of waters, soil and biodiversity.</w:t>
            </w:r>
            <w:r w:rsidRPr="005C3B55">
              <w:rPr>
                <w:noProof/>
                <w:szCs w:val="24"/>
              </w:rPr>
              <w:t xml:space="preserve"> </w:t>
            </w:r>
            <w:r w:rsidRPr="005C3B55">
              <w:rPr>
                <w:szCs w:val="24"/>
              </w:rPr>
              <w:t>In this framework, actions will be focused on habitats, where the situation has been worsening, species are endangered, and water quality is poor.</w:t>
            </w:r>
            <w:r w:rsidRPr="005C3B55">
              <w:rPr>
                <w:noProof/>
                <w:szCs w:val="24"/>
              </w:rPr>
              <w:t xml:space="preserve"> </w:t>
            </w:r>
            <w:r w:rsidRPr="005C3B55">
              <w:rPr>
                <w:szCs w:val="24"/>
              </w:rPr>
              <w:t>Due to damage caused by glaze ice at the beginning of 2014, the most damaged forests will have to be revitalised as quickly as possible.</w:t>
            </w:r>
          </w:p>
          <w:p w:rsidR="00BD3B5F" w:rsidRPr="005C3B55" w:rsidRDefault="00BD3B5F">
            <w:pPr>
              <w:spacing w:before="240" w:after="240"/>
              <w:jc w:val="left"/>
              <w:rPr>
                <w:noProof/>
                <w:szCs w:val="24"/>
              </w:rPr>
            </w:pPr>
            <w:r w:rsidRPr="005C3B55">
              <w:rPr>
                <w:szCs w:val="24"/>
              </w:rPr>
              <w:t>From the determined needs, Slovenia did not opt for the following:</w:t>
            </w:r>
          </w:p>
          <w:p w:rsidR="00BD3B5F" w:rsidRPr="005C3B55" w:rsidRDefault="00BD3B5F" w:rsidP="00BD3B5F">
            <w:pPr>
              <w:numPr>
                <w:ilvl w:val="0"/>
                <w:numId w:val="95"/>
              </w:numPr>
              <w:spacing w:before="240" w:after="0"/>
              <w:ind w:hanging="290"/>
              <w:jc w:val="left"/>
              <w:rPr>
                <w:noProof/>
                <w:szCs w:val="24"/>
              </w:rPr>
            </w:pPr>
            <w:r w:rsidRPr="005C3B55">
              <w:rPr>
                <w:szCs w:val="24"/>
              </w:rPr>
              <w:t>Need 05: Upgrading the qualifications of consultants</w:t>
            </w:r>
          </w:p>
          <w:p w:rsidR="00BD3B5F" w:rsidRPr="005C3B55" w:rsidRDefault="00BD3B5F" w:rsidP="00BD3B5F">
            <w:pPr>
              <w:numPr>
                <w:ilvl w:val="0"/>
                <w:numId w:val="95"/>
              </w:numPr>
              <w:spacing w:before="0" w:after="240"/>
              <w:ind w:hanging="290"/>
              <w:jc w:val="left"/>
              <w:rPr>
                <w:noProof/>
                <w:szCs w:val="24"/>
              </w:rPr>
            </w:pPr>
            <w:r w:rsidRPr="005C3B55">
              <w:rPr>
                <w:szCs w:val="24"/>
              </w:rPr>
              <w:t>Need 21. Preserving and/or improving biodiversity preservation in forests</w:t>
            </w:r>
          </w:p>
          <w:p w:rsidR="00BD3B5F" w:rsidRPr="005C3B55" w:rsidRDefault="00BD3B5F">
            <w:pPr>
              <w:spacing w:before="240" w:after="240"/>
              <w:jc w:val="left"/>
              <w:rPr>
                <w:noProof/>
                <w:szCs w:val="24"/>
              </w:rPr>
            </w:pPr>
            <w:r w:rsidRPr="005C3B55">
              <w:rPr>
                <w:szCs w:val="24"/>
              </w:rPr>
              <w:t>Based on acts determining agriculture and forests, public services were established, which are mostly financed from the state budget.</w:t>
            </w:r>
            <w:r w:rsidRPr="005C3B55">
              <w:rPr>
                <w:noProof/>
                <w:szCs w:val="24"/>
              </w:rPr>
              <w:t xml:space="preserve"> </w:t>
            </w:r>
            <w:r w:rsidRPr="005C3B55">
              <w:rPr>
                <w:szCs w:val="24"/>
              </w:rPr>
              <w:t>Since the training of consultants is already financed from these funds, Slovenia did not opt for Need 05.</w:t>
            </w:r>
            <w:r w:rsidRPr="005C3B55">
              <w:rPr>
                <w:noProof/>
                <w:szCs w:val="24"/>
              </w:rPr>
              <w:t xml:space="preserve"> </w:t>
            </w:r>
            <w:r w:rsidRPr="005C3B55">
              <w:rPr>
                <w:szCs w:val="24"/>
              </w:rPr>
              <w:t>Need 21 was not included because the funds for establishing eco-cells in national and private forests will be provided by the state budget.</w:t>
            </w:r>
          </w:p>
          <w:p w:rsidR="00BD3B5F" w:rsidRPr="005C3B55" w:rsidRDefault="00BD3B5F">
            <w:pPr>
              <w:spacing w:before="240" w:after="240"/>
              <w:jc w:val="left"/>
              <w:rPr>
                <w:noProof/>
                <w:szCs w:val="24"/>
              </w:rPr>
            </w:pPr>
            <w:r w:rsidRPr="005C3B55">
              <w:rPr>
                <w:noProof/>
                <w:szCs w:val="24"/>
              </w:rPr>
              <w:t xml:space="preserve"> </w:t>
            </w:r>
            <w:r w:rsidRPr="005C3B55">
              <w:rPr>
                <w:szCs w:val="24"/>
              </w:rPr>
              <w:t>Priority 4 intended for protecting natural resources is the most important priority of the RDP 2014–2020. 52% of all programme funds are intended for this priority.</w:t>
            </w:r>
            <w:r w:rsidRPr="005C3B55">
              <w:rPr>
                <w:noProof/>
                <w:szCs w:val="24"/>
              </w:rPr>
              <w:t xml:space="preserve"> </w:t>
            </w:r>
            <w:r w:rsidRPr="005C3B55">
              <w:rPr>
                <w:szCs w:val="24"/>
              </w:rPr>
              <w:t>This shows that the sustainable component is well to the fore of this programme period, whereas it has to be considered that environmental effectiveness of agricultural holdings (including the adaptation to climate change) is also addressed within Priority 2.</w:t>
            </w:r>
          </w:p>
          <w:p w:rsidR="00BD3B5F" w:rsidRPr="005C3B55" w:rsidRDefault="00BD3B5F">
            <w:pPr>
              <w:spacing w:before="240" w:after="240"/>
              <w:jc w:val="left"/>
              <w:rPr>
                <w:noProof/>
                <w:szCs w:val="24"/>
              </w:rPr>
            </w:pPr>
            <w:r w:rsidRPr="005C3B55">
              <w:rPr>
                <w:szCs w:val="24"/>
              </w:rPr>
              <w:t>In the field of protecting natural resources, we expect synergies with ESI funds and in connection with the green component of direct payments from Pillar 1 of the CAP.</w:t>
            </w:r>
            <w:r w:rsidRPr="005C3B55">
              <w:rPr>
                <w:noProof/>
                <w:szCs w:val="24"/>
              </w:rPr>
              <w:t xml:space="preserve"> </w:t>
            </w:r>
            <w:r w:rsidRPr="005C3B55">
              <w:rPr>
                <w:szCs w:val="24"/>
              </w:rPr>
              <w:t>Synergies with ESI funds are expected in connection with preserving the productive potential of soil, since anti-flooding measures will be financed from ESI funds, which is also relevant to reducing water erosion on agricultural land.</w:t>
            </w:r>
            <w:r w:rsidRPr="005C3B55">
              <w:rPr>
                <w:noProof/>
                <w:szCs w:val="24"/>
              </w:rPr>
              <w:t xml:space="preserve"> </w:t>
            </w:r>
            <w:r w:rsidRPr="005C3B55">
              <w:rPr>
                <w:szCs w:val="24"/>
              </w:rPr>
              <w:t>Synergies can be achieved in reaching the objectives of a good water situation and the preservation of biodiversity, since investments in infrastructure for drainage and treatment of wastewater, the reduction of the hydromorphological burden, the establishment of the Natura 2000 site management system and green infrastructure will be supported by ESI funds.</w:t>
            </w:r>
            <w:r w:rsidRPr="005C3B55">
              <w:rPr>
                <w:noProof/>
                <w:szCs w:val="24"/>
              </w:rPr>
              <w:t xml:space="preserve"> </w:t>
            </w:r>
            <w:r w:rsidRPr="005C3B55">
              <w:rPr>
                <w:szCs w:val="24"/>
              </w:rPr>
              <w:t>In the field of efficient use of resources and preservation of biodiversity, synergies will be sought while connecting measures with integrated LIFE projects from the LIFE financial instrument.</w:t>
            </w:r>
            <w:r w:rsidRPr="005C3B55">
              <w:rPr>
                <w:noProof/>
                <w:szCs w:val="24"/>
              </w:rPr>
              <w:t xml:space="preserve"> </w:t>
            </w:r>
            <w:r w:rsidRPr="005C3B55">
              <w:rPr>
                <w:szCs w:val="24"/>
              </w:rPr>
              <w:t>Synergies in relation to Pillar 1 of the CAP are seen in introducing green payments as a component of direct payment, for which 30% of the national envelope will be intended.</w:t>
            </w:r>
            <w:r w:rsidRPr="005C3B55">
              <w:rPr>
                <w:noProof/>
                <w:szCs w:val="24"/>
              </w:rPr>
              <w:t xml:space="preserve"> </w:t>
            </w:r>
            <w:r w:rsidRPr="005C3B55">
              <w:rPr>
                <w:szCs w:val="24"/>
              </w:rPr>
              <w:t>Agri-environment measures supplement possibilities for implementing individual practices selected by the Republic of Slovenia which thus enable agricultural holdings to establish surfaces with ecological significance, diversify agricultural crops and determine environmentally sensitive permanent grasslands which will be preserved at the level of the agricultural holding.</w:t>
            </w:r>
          </w:p>
          <w:p w:rsidR="00BD3B5F" w:rsidRPr="005C3B55" w:rsidRDefault="00BD3B5F">
            <w:pPr>
              <w:spacing w:before="240" w:after="240"/>
              <w:jc w:val="left"/>
              <w:rPr>
                <w:noProof/>
                <w:szCs w:val="24"/>
              </w:rPr>
            </w:pPr>
            <w:r w:rsidRPr="005C3B55">
              <w:rPr>
                <w:b/>
                <w:szCs w:val="24"/>
              </w:rPr>
              <w:t>Slovenia did not opt for the programming of Priority 5</w:t>
            </w:r>
            <w:r w:rsidRPr="005C3B55">
              <w:rPr>
                <w:szCs w:val="24"/>
              </w:rPr>
              <w:t xml:space="preserve"> under Regulation (EU) No 1305/2013, which is related to the efficient use of resources and mitigation of climate change because all focus areas from this priority are included in other priorities. Climate change is furthermore one of the horizontal objectives included in many measures of the RDP 2014–2020.</w:t>
            </w:r>
          </w:p>
          <w:p w:rsidR="00BD3B5F" w:rsidRPr="005C3B55" w:rsidRDefault="00BD3B5F">
            <w:pPr>
              <w:spacing w:before="240" w:after="240"/>
              <w:jc w:val="left"/>
              <w:rPr>
                <w:noProof/>
                <w:szCs w:val="24"/>
              </w:rPr>
            </w:pPr>
            <w:r w:rsidRPr="005C3B55">
              <w:rPr>
                <w:szCs w:val="24"/>
              </w:rPr>
              <w:t xml:space="preserve">In the field of </w:t>
            </w:r>
            <w:r w:rsidRPr="005C3B55">
              <w:rPr>
                <w:b/>
                <w:szCs w:val="24"/>
              </w:rPr>
              <w:t>Priority 6</w:t>
            </w:r>
            <w:r w:rsidRPr="005C3B55">
              <w:rPr>
                <w:szCs w:val="24"/>
              </w:rPr>
              <w:t xml:space="preserve"> under Regulation (EU) No 1305/2013, Slovenia has opted for the following needs:</w:t>
            </w:r>
          </w:p>
          <w:p w:rsidR="00BD3B5F" w:rsidRPr="005C3B55" w:rsidRDefault="00BD3B5F" w:rsidP="00BD3B5F">
            <w:pPr>
              <w:numPr>
                <w:ilvl w:val="0"/>
                <w:numId w:val="96"/>
              </w:numPr>
              <w:spacing w:before="240" w:after="0"/>
              <w:ind w:hanging="290"/>
              <w:jc w:val="left"/>
              <w:rPr>
                <w:noProof/>
                <w:szCs w:val="24"/>
              </w:rPr>
            </w:pPr>
            <w:r w:rsidRPr="005C3B55">
              <w:rPr>
                <w:szCs w:val="24"/>
              </w:rPr>
              <w:t>Need 07: More efficient transfer of knowledge and innovation in agriculture, the food industry and forestry</w:t>
            </w:r>
          </w:p>
          <w:p w:rsidR="00BD3B5F" w:rsidRPr="005C3B55" w:rsidRDefault="00BD3B5F" w:rsidP="00BD3B5F">
            <w:pPr>
              <w:numPr>
                <w:ilvl w:val="0"/>
                <w:numId w:val="96"/>
              </w:numPr>
              <w:spacing w:before="0" w:after="0"/>
              <w:ind w:hanging="290"/>
              <w:jc w:val="left"/>
              <w:rPr>
                <w:noProof/>
                <w:szCs w:val="24"/>
              </w:rPr>
            </w:pPr>
            <w:r w:rsidRPr="005C3B55">
              <w:rPr>
                <w:szCs w:val="24"/>
              </w:rPr>
              <w:t>Need 13: Increasing the use of RES in the use of energy and increasing the energy efficiency</w:t>
            </w:r>
          </w:p>
          <w:p w:rsidR="00BD3B5F" w:rsidRPr="005C3B55" w:rsidRDefault="00BD3B5F" w:rsidP="00BD3B5F">
            <w:pPr>
              <w:numPr>
                <w:ilvl w:val="0"/>
                <w:numId w:val="96"/>
              </w:numPr>
              <w:spacing w:before="0" w:after="0"/>
              <w:ind w:hanging="290"/>
              <w:jc w:val="left"/>
              <w:rPr>
                <w:noProof/>
                <w:szCs w:val="24"/>
              </w:rPr>
            </w:pPr>
            <w:r w:rsidRPr="005C3B55">
              <w:rPr>
                <w:szCs w:val="24"/>
              </w:rPr>
              <w:t>Need 16: Stimulating the use of financial instruments</w:t>
            </w:r>
          </w:p>
          <w:p w:rsidR="00BD3B5F" w:rsidRPr="005C3B55" w:rsidRDefault="00BD3B5F" w:rsidP="00BD3B5F">
            <w:pPr>
              <w:numPr>
                <w:ilvl w:val="0"/>
                <w:numId w:val="96"/>
              </w:numPr>
              <w:spacing w:before="0" w:after="0"/>
              <w:ind w:hanging="290"/>
              <w:jc w:val="left"/>
              <w:rPr>
                <w:noProof/>
                <w:szCs w:val="24"/>
              </w:rPr>
            </w:pPr>
            <w:r w:rsidRPr="005C3B55">
              <w:rPr>
                <w:szCs w:val="24"/>
              </w:rPr>
              <w:t>Need 24: Stimulating investments in forest technologies and wood processing</w:t>
            </w:r>
          </w:p>
          <w:p w:rsidR="00BD3B5F" w:rsidRPr="005C3B55" w:rsidRDefault="00BD3B5F" w:rsidP="00BD3B5F">
            <w:pPr>
              <w:numPr>
                <w:ilvl w:val="0"/>
                <w:numId w:val="96"/>
              </w:numPr>
              <w:spacing w:before="0" w:after="0"/>
              <w:ind w:hanging="290"/>
              <w:jc w:val="left"/>
              <w:rPr>
                <w:noProof/>
                <w:szCs w:val="24"/>
              </w:rPr>
            </w:pPr>
            <w:r w:rsidRPr="005C3B55">
              <w:rPr>
                <w:szCs w:val="24"/>
              </w:rPr>
              <w:t>Need 25: Improving market organisation and connections between forest owners and further on in forest-wood chains</w:t>
            </w:r>
          </w:p>
          <w:p w:rsidR="00BD3B5F" w:rsidRPr="005C3B55" w:rsidRDefault="00BD3B5F" w:rsidP="00BD3B5F">
            <w:pPr>
              <w:numPr>
                <w:ilvl w:val="0"/>
                <w:numId w:val="96"/>
              </w:numPr>
              <w:spacing w:before="0" w:after="0"/>
              <w:ind w:hanging="290"/>
              <w:jc w:val="left"/>
              <w:rPr>
                <w:noProof/>
                <w:szCs w:val="24"/>
              </w:rPr>
            </w:pPr>
            <w:r w:rsidRPr="005C3B55">
              <w:rPr>
                <w:szCs w:val="24"/>
              </w:rPr>
              <w:t>Need 26: Stimulating the use of wood</w:t>
            </w:r>
          </w:p>
          <w:p w:rsidR="00BD3B5F" w:rsidRPr="005C3B55" w:rsidRDefault="00BD3B5F" w:rsidP="00BD3B5F">
            <w:pPr>
              <w:numPr>
                <w:ilvl w:val="0"/>
                <w:numId w:val="96"/>
              </w:numPr>
              <w:spacing w:before="0" w:after="0"/>
              <w:ind w:hanging="290"/>
              <w:jc w:val="left"/>
              <w:rPr>
                <w:noProof/>
                <w:szCs w:val="24"/>
              </w:rPr>
            </w:pPr>
            <w:r w:rsidRPr="005C3B55">
              <w:rPr>
                <w:szCs w:val="24"/>
              </w:rPr>
              <w:t>Need 27: Diversification to non-agricultural activities in the countryside</w:t>
            </w:r>
          </w:p>
          <w:p w:rsidR="00BD3B5F" w:rsidRPr="005C3B55" w:rsidRDefault="00BD3B5F" w:rsidP="00BD3B5F">
            <w:pPr>
              <w:numPr>
                <w:ilvl w:val="0"/>
                <w:numId w:val="96"/>
              </w:numPr>
              <w:spacing w:before="0" w:after="0"/>
              <w:ind w:hanging="290"/>
              <w:jc w:val="left"/>
              <w:rPr>
                <w:noProof/>
                <w:szCs w:val="24"/>
              </w:rPr>
            </w:pPr>
            <w:r w:rsidRPr="005C3B55">
              <w:rPr>
                <w:szCs w:val="24"/>
              </w:rPr>
              <w:t>Need 28: Improving access to broadband Internet with appropriate speed</w:t>
            </w:r>
          </w:p>
          <w:p w:rsidR="00BD3B5F" w:rsidRPr="005C3B55" w:rsidRDefault="00BD3B5F" w:rsidP="00BD3B5F">
            <w:pPr>
              <w:numPr>
                <w:ilvl w:val="0"/>
                <w:numId w:val="96"/>
              </w:numPr>
              <w:spacing w:before="0" w:after="0"/>
              <w:ind w:hanging="290"/>
              <w:jc w:val="left"/>
              <w:rPr>
                <w:noProof/>
                <w:szCs w:val="24"/>
              </w:rPr>
            </w:pPr>
            <w:r w:rsidRPr="005C3B55">
              <w:rPr>
                <w:szCs w:val="24"/>
              </w:rPr>
              <w:t>Need 31: More efficient stimulation of local development</w:t>
            </w:r>
          </w:p>
          <w:p w:rsidR="00BD3B5F" w:rsidRPr="005C3B55" w:rsidRDefault="00BD3B5F">
            <w:pPr>
              <w:spacing w:before="240" w:after="240"/>
              <w:jc w:val="left"/>
              <w:rPr>
                <w:noProof/>
                <w:szCs w:val="24"/>
              </w:rPr>
            </w:pPr>
            <w:r w:rsidRPr="005C3B55">
              <w:rPr>
                <w:szCs w:val="24"/>
              </w:rPr>
              <w:t>The mentioned needs strive to strengthen economic activities in the countryside, establish appropriate ICT infrastructure (broadband networks) and the conditions for the preservation and establishment of new jobs, diversification of income on farms and harmonised as well as sustainable development of the countryside, which will be based on local developmental partnerships and the development of the local potential of the local environment (wood, rich natural and cultural heritage, qualified labour force, tourism, social entrepreneurship etc.).</w:t>
            </w:r>
            <w:r w:rsidRPr="005C3B55">
              <w:rPr>
                <w:noProof/>
                <w:szCs w:val="24"/>
              </w:rPr>
              <w:t xml:space="preserve"> </w:t>
            </w:r>
            <w:r w:rsidRPr="005C3B55">
              <w:rPr>
                <w:szCs w:val="24"/>
              </w:rPr>
              <w:t>Financial instruments for easier development of activities are being introduced within the scope of this priority.</w:t>
            </w:r>
            <w:r w:rsidRPr="005C3B55">
              <w:rPr>
                <w:noProof/>
                <w:szCs w:val="24"/>
              </w:rPr>
              <w:t xml:space="preserve">  </w:t>
            </w:r>
          </w:p>
          <w:p w:rsidR="00BD3B5F" w:rsidRPr="005C3B55" w:rsidRDefault="00BD3B5F">
            <w:pPr>
              <w:spacing w:before="240" w:after="240"/>
              <w:jc w:val="left"/>
              <w:rPr>
                <w:noProof/>
                <w:szCs w:val="24"/>
              </w:rPr>
            </w:pPr>
            <w:r w:rsidRPr="005C3B55">
              <w:rPr>
                <w:szCs w:val="24"/>
              </w:rPr>
              <w:t>From the determined needs, Slovenia did not opt for the following:</w:t>
            </w:r>
          </w:p>
          <w:p w:rsidR="00BD3B5F" w:rsidRPr="005C3B55" w:rsidRDefault="00BD3B5F" w:rsidP="00BD3B5F">
            <w:pPr>
              <w:numPr>
                <w:ilvl w:val="0"/>
                <w:numId w:val="97"/>
              </w:numPr>
              <w:spacing w:before="240" w:after="0"/>
              <w:ind w:hanging="290"/>
              <w:jc w:val="left"/>
              <w:rPr>
                <w:noProof/>
                <w:szCs w:val="24"/>
              </w:rPr>
            </w:pPr>
            <w:r w:rsidRPr="005C3B55">
              <w:rPr>
                <w:szCs w:val="24"/>
              </w:rPr>
              <w:t>Need 29: Investing in the renewal and development of villages</w:t>
            </w:r>
          </w:p>
          <w:p w:rsidR="00BD3B5F" w:rsidRPr="005C3B55" w:rsidRDefault="00BD3B5F" w:rsidP="00BD3B5F">
            <w:pPr>
              <w:numPr>
                <w:ilvl w:val="0"/>
                <w:numId w:val="97"/>
              </w:numPr>
              <w:spacing w:before="0" w:after="240"/>
              <w:ind w:hanging="290"/>
              <w:jc w:val="left"/>
              <w:rPr>
                <w:noProof/>
                <w:szCs w:val="24"/>
              </w:rPr>
            </w:pPr>
            <w:r w:rsidRPr="005C3B55">
              <w:rPr>
                <w:szCs w:val="24"/>
              </w:rPr>
              <w:t>Need 30: Preserving natural and cultural heritage in the countryside</w:t>
            </w:r>
          </w:p>
          <w:p w:rsidR="00BD3B5F" w:rsidRPr="005C3B55" w:rsidRDefault="00BD3B5F">
            <w:pPr>
              <w:spacing w:before="240" w:after="240"/>
              <w:jc w:val="left"/>
              <w:rPr>
                <w:noProof/>
                <w:szCs w:val="24"/>
              </w:rPr>
            </w:pPr>
            <w:r w:rsidRPr="005C3B55">
              <w:rPr>
                <w:szCs w:val="24"/>
              </w:rPr>
              <w:t>Local partnerships will be able to address these needs within the promotion of local development.</w:t>
            </w:r>
            <w:r w:rsidRPr="005C3B55">
              <w:rPr>
                <w:noProof/>
                <w:szCs w:val="24"/>
              </w:rPr>
              <w:t xml:space="preserve"> </w:t>
            </w:r>
            <w:r w:rsidRPr="005C3B55">
              <w:rPr>
                <w:szCs w:val="24"/>
              </w:rPr>
              <w:t>Such needs may be subject to support if local partnerships recognised them as a challenge and determine them in their LDSs.</w:t>
            </w:r>
            <w:r w:rsidRPr="005C3B55">
              <w:rPr>
                <w:noProof/>
                <w:szCs w:val="24"/>
              </w:rPr>
              <w:t xml:space="preserve"> </w:t>
            </w:r>
            <w:r w:rsidRPr="005C3B55">
              <w:rPr>
                <w:szCs w:val="24"/>
              </w:rPr>
              <w:t>The MA recognised these needs as a challenge and thus also included this aspect in the thematic fields of action.</w:t>
            </w:r>
            <w:r w:rsidRPr="005C3B55">
              <w:rPr>
                <w:noProof/>
                <w:szCs w:val="24"/>
              </w:rPr>
              <w:t xml:space="preserve"> </w:t>
            </w:r>
            <w:r w:rsidRPr="005C3B55">
              <w:rPr>
                <w:szCs w:val="24"/>
              </w:rPr>
              <w:t>The preservation of architectural cultural heritage will be ensured with investments in the renewal of agricultural holdings, food-processing and wood-processing facilities.</w:t>
            </w:r>
            <w:r w:rsidRPr="005C3B55">
              <w:rPr>
                <w:noProof/>
                <w:szCs w:val="24"/>
              </w:rPr>
              <w:t xml:space="preserve"> </w:t>
            </w:r>
            <w:r w:rsidRPr="005C3B55">
              <w:rPr>
                <w:szCs w:val="24"/>
              </w:rPr>
              <w:t>Nature conservation and protection of cultural heritage will also be supported within investments in non-agricultural activities.</w:t>
            </w:r>
          </w:p>
          <w:p w:rsidR="00BD3B5F" w:rsidRPr="005C3B55" w:rsidRDefault="00BD3B5F">
            <w:pPr>
              <w:spacing w:before="240" w:after="240"/>
              <w:jc w:val="left"/>
              <w:rPr>
                <w:noProof/>
                <w:szCs w:val="24"/>
              </w:rPr>
            </w:pPr>
            <w:r w:rsidRPr="005C3B55">
              <w:rPr>
                <w:noProof/>
                <w:szCs w:val="24"/>
              </w:rPr>
              <w:t xml:space="preserve"> </w:t>
            </w:r>
            <w:r w:rsidRPr="005C3B55">
              <w:rPr>
                <w:szCs w:val="24"/>
              </w:rPr>
              <w:t>15% of the available funds from the RDP 2014–2020 are dedicated for Priority 6. In the field of developing economic activities in the countryside and local development, several synergies with ESI funds can be expected:</w:t>
            </w:r>
            <w:r w:rsidRPr="005C3B55">
              <w:rPr>
                <w:noProof/>
                <w:szCs w:val="24"/>
              </w:rPr>
              <w:t xml:space="preserve"> </w:t>
            </w:r>
            <w:r w:rsidRPr="005C3B55">
              <w:rPr>
                <w:szCs w:val="24"/>
              </w:rPr>
              <w:t>especially in the field of broadband network development; stimulation of entrepreneurship (social entrepreneurship); the use of RES, where wood is an important RES; the improvement of the quality of life in the countryside by regulating drinking water systems; regulating municipal and traffic infrastructure; investments in health care and social infrastructure, establishing the Natura 2000 site management system, employment etc.</w:t>
            </w:r>
          </w:p>
          <w:p w:rsidR="00BD3B5F" w:rsidRPr="005C3B55" w:rsidRDefault="00BD3B5F">
            <w:pPr>
              <w:pStyle w:val="Telobesedila"/>
              <w:rPr>
                <w:szCs w:val="24"/>
              </w:rPr>
            </w:pPr>
          </w:p>
        </w:tc>
      </w:tr>
    </w:tbl>
    <w:p w:rsidR="00BD3B5F" w:rsidRPr="005C3B55" w:rsidRDefault="00BD3B5F">
      <w:pPr>
        <w:rPr>
          <w:szCs w:val="24"/>
        </w:rPr>
        <w:sectPr w:rsidR="00BD3B5F" w:rsidRPr="005C3B55">
          <w:pgSz w:w="12240" w:h="15840"/>
          <w:pgMar w:top="900" w:right="900" w:bottom="900" w:left="900" w:header="708" w:footer="708" w:gutter="0"/>
          <w:cols w:space="708"/>
        </w:sectPr>
      </w:pPr>
    </w:p>
    <w:p w:rsidR="00BD3B5F" w:rsidRPr="005C3B55" w:rsidRDefault="00BD3B5F">
      <w:pPr>
        <w:pStyle w:val="Naslov2"/>
        <w:tabs>
          <w:tab w:val="clear" w:pos="765"/>
        </w:tabs>
        <w:ind w:left="0" w:firstLine="0"/>
        <w:rPr>
          <w:szCs w:val="24"/>
          <w:lang w:val="en-GB"/>
        </w:rPr>
      </w:pPr>
      <w:bookmarkStart w:id="85" w:name="_Toc416192543"/>
      <w:r w:rsidRPr="005C3B55">
        <w:rPr>
          <w:szCs w:val="24"/>
          <w:lang w:val="en-GB"/>
        </w:rPr>
        <w:t>The combination and justification of measures for rural development for each priority, including the justification of allocated financial means for measures and suitability of financial means as per the objectives as determined in Article 8(1)(c)(ii) and (iii) of Regulation (EU) No 1305/2013. The combination of measures from intervention logic is based on evidence from the SWOT analysis and justification and determination of priority needs under Point 5.1.</w:t>
      </w:r>
      <w:bookmarkEnd w:id="85"/>
    </w:p>
    <w:p w:rsidR="00BD3B5F" w:rsidRPr="005C3B55" w:rsidRDefault="00BD3B5F">
      <w:pPr>
        <w:pStyle w:val="Naslov3"/>
        <w:tabs>
          <w:tab w:val="clear" w:pos="765"/>
        </w:tabs>
        <w:ind w:left="0" w:firstLine="0"/>
        <w:jc w:val="left"/>
        <w:rPr>
          <w:szCs w:val="24"/>
          <w:lang w:val="en-GB"/>
        </w:rPr>
      </w:pPr>
      <w:bookmarkStart w:id="86" w:name="_Toc416192544"/>
      <w:r w:rsidRPr="005C3B55">
        <w:rPr>
          <w:szCs w:val="24"/>
          <w:lang w:val="en-GB"/>
        </w:rPr>
        <w:t>N1: Facilitating transfer of knowledge and innovation in agriculture, forestry and rural areas</w:t>
      </w:r>
      <w:bookmarkEnd w:id="86"/>
    </w:p>
    <w:p w:rsidR="00BD3B5F" w:rsidRPr="005C3B55" w:rsidRDefault="00BD3B5F">
      <w:pPr>
        <w:pStyle w:val="Naslov4"/>
        <w:tabs>
          <w:tab w:val="clear" w:pos="765"/>
        </w:tabs>
        <w:ind w:left="0" w:firstLine="0"/>
        <w:jc w:val="left"/>
        <w:rPr>
          <w:szCs w:val="24"/>
          <w:lang w:val="en-GB"/>
        </w:rPr>
      </w:pPr>
      <w:r w:rsidRPr="005C3B55">
        <w:rPr>
          <w:szCs w:val="24"/>
          <w:lang w:val="en-GB"/>
        </w:rPr>
        <w:t>1A) Promoting innovation, cooperation and the development of knowledge bases in rural areas</w:t>
      </w:r>
    </w:p>
    <w:p w:rsidR="00BD3B5F" w:rsidRPr="005C3B55" w:rsidRDefault="00BD3B5F">
      <w:pPr>
        <w:pStyle w:val="Naslov5"/>
        <w:tabs>
          <w:tab w:val="clear" w:pos="765"/>
        </w:tabs>
        <w:ind w:left="0" w:firstLine="0"/>
        <w:rPr>
          <w:b w:val="0"/>
          <w:szCs w:val="24"/>
          <w:lang w:val="en-GB"/>
        </w:rPr>
      </w:pPr>
      <w:r w:rsidRPr="005C3B55">
        <w:rPr>
          <w:b w:val="0"/>
          <w:noProof w:val="0"/>
          <w:szCs w:val="24"/>
          <w:lang w:val="en-GB"/>
        </w:rPr>
        <w:t>Selection of rural development measures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10656"/>
      </w:tblGrid>
      <w:tr w:rsidR="00BD3B5F" w:rsidRPr="005C3B55">
        <w:tc>
          <w:tcPr>
            <w:tcW w:w="10656" w:type="dxa"/>
            <w:tcMar>
              <w:top w:w="20" w:type="dxa"/>
              <w:bottom w:w="20" w:type="dxa"/>
            </w:tcMar>
            <w:vAlign w:val="bottom"/>
          </w:tcPr>
          <w:p w:rsidR="00BD3B5F" w:rsidRPr="005C3B55" w:rsidRDefault="00BD3B5F" w:rsidP="00BD3B5F">
            <w:pPr>
              <w:numPr>
                <w:ilvl w:val="0"/>
                <w:numId w:val="98"/>
              </w:numPr>
              <w:rPr>
                <w:szCs w:val="24"/>
              </w:rPr>
            </w:pPr>
            <w:r w:rsidRPr="005C3B55">
              <w:rPr>
                <w:szCs w:val="24"/>
              </w:rPr>
              <w:t>M01 – Knowledge transfer and information actions (Article 14)</w:t>
            </w:r>
          </w:p>
          <w:p w:rsidR="00BD3B5F" w:rsidRPr="005C3B55" w:rsidRDefault="00BD3B5F" w:rsidP="00BD3B5F">
            <w:pPr>
              <w:numPr>
                <w:ilvl w:val="0"/>
                <w:numId w:val="98"/>
              </w:numPr>
              <w:rPr>
                <w:szCs w:val="24"/>
              </w:rPr>
            </w:pPr>
            <w:r w:rsidRPr="005C3B55">
              <w:rPr>
                <w:szCs w:val="24"/>
              </w:rPr>
              <w:t>M02 – Advisory services, farm management and farm relief services (Article 15)</w:t>
            </w:r>
          </w:p>
          <w:p w:rsidR="00BD3B5F" w:rsidRPr="005C3B55" w:rsidRDefault="00BD3B5F" w:rsidP="00BD3B5F">
            <w:pPr>
              <w:numPr>
                <w:ilvl w:val="0"/>
                <w:numId w:val="98"/>
              </w:numPr>
              <w:rPr>
                <w:szCs w:val="24"/>
              </w:rPr>
            </w:pPr>
            <w:r w:rsidRPr="005C3B55">
              <w:rPr>
                <w:szCs w:val="24"/>
              </w:rPr>
              <w:t>M16 – Cooperation (Article 35)</w:t>
            </w:r>
          </w:p>
        </w:tc>
      </w:tr>
    </w:tbl>
    <w:p w:rsidR="00BD3B5F" w:rsidRPr="005C3B55" w:rsidRDefault="00BD3B5F">
      <w:pPr>
        <w:pStyle w:val="Naslov5"/>
        <w:tabs>
          <w:tab w:val="clear" w:pos="765"/>
        </w:tabs>
        <w:ind w:left="0" w:firstLine="0"/>
        <w:rPr>
          <w:b w:val="0"/>
          <w:szCs w:val="24"/>
          <w:lang w:val="en-GB"/>
        </w:rPr>
      </w:pPr>
      <w:r w:rsidRPr="005C3B55">
        <w:rPr>
          <w:noProof w:val="0"/>
          <w:szCs w:val="24"/>
          <w:lang w:val="en-GB"/>
        </w:rPr>
        <w:t>Combination and justification of rural development measures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10656" w:type="dxa"/>
            <w:tcMar>
              <w:top w:w="20" w:type="dxa"/>
              <w:bottom w:w="20" w:type="dxa"/>
            </w:tcMar>
            <w:vAlign w:val="bottom"/>
          </w:tcPr>
          <w:p w:rsidR="00BD3B5F" w:rsidRPr="005C3B55" w:rsidRDefault="00BD3B5F">
            <w:pPr>
              <w:spacing w:before="0" w:after="240"/>
              <w:jc w:val="left"/>
              <w:rPr>
                <w:noProof/>
                <w:szCs w:val="24"/>
              </w:rPr>
            </w:pPr>
            <w:r w:rsidRPr="005C3B55">
              <w:rPr>
                <w:szCs w:val="24"/>
              </w:rPr>
              <w:t>The main obstacle for the development of agriculture, forestry and the food processing industry is the poor transfer of knowledge and innovation into practice.</w:t>
            </w:r>
            <w:r w:rsidRPr="005C3B55">
              <w:rPr>
                <w:noProof/>
                <w:szCs w:val="24"/>
              </w:rPr>
              <w:t xml:space="preserve"> </w:t>
            </w:r>
            <w:r w:rsidRPr="005C3B55">
              <w:rPr>
                <w:szCs w:val="24"/>
              </w:rPr>
              <w:t>Challenges in knowledge and innovation transfer are manifested in the technological field as well as in the field of environmental protection and climate change adaptation.</w:t>
            </w:r>
            <w:r w:rsidRPr="005C3B55">
              <w:rPr>
                <w:noProof/>
                <w:szCs w:val="24"/>
              </w:rPr>
              <w:t xml:space="preserve"> </w:t>
            </w:r>
            <w:r w:rsidRPr="005C3B55">
              <w:rPr>
                <w:szCs w:val="24"/>
              </w:rPr>
              <w:t>The selected measures will be used to establish missing links between research and practice, facilitate access to specialised counselling and improve the qualifications of people employed in agriculture, forestry and food processing.</w:t>
            </w:r>
            <w:r w:rsidRPr="005C3B55">
              <w:rPr>
                <w:noProof/>
                <w:szCs w:val="24"/>
              </w:rPr>
              <w:t xml:space="preserve"> </w:t>
            </w:r>
            <w:r w:rsidRPr="005C3B55">
              <w:rPr>
                <w:szCs w:val="24"/>
              </w:rPr>
              <w:t>A total of 4% of all available funds for the programme will be allocated to the aforementioned measures with slightly less than half being allocated to M16.</w:t>
            </w:r>
            <w:r w:rsidRPr="005C3B55">
              <w:rPr>
                <w:noProof/>
                <w:szCs w:val="24"/>
              </w:rPr>
              <w:t xml:space="preserve"> </w:t>
            </w:r>
            <w:r w:rsidRPr="005C3B55">
              <w:rPr>
                <w:szCs w:val="24"/>
              </w:rPr>
              <w:t>Measures are interconnected, which strengthens them and, at the same time, enhances the effects of other measures, as they contribute to attaining the objectives of focus areas 2A, 2B, 3A, 4A, 4B and 4C.</w:t>
            </w:r>
            <w:r w:rsidRPr="005C3B55">
              <w:rPr>
                <w:noProof/>
                <w:szCs w:val="24"/>
              </w:rPr>
              <w:t xml:space="preserve">     </w:t>
            </w:r>
          </w:p>
          <w:p w:rsidR="00BD3B5F" w:rsidRPr="005C3B55" w:rsidRDefault="00BD3B5F">
            <w:pPr>
              <w:spacing w:before="240" w:after="240"/>
              <w:jc w:val="left"/>
              <w:rPr>
                <w:noProof/>
                <w:szCs w:val="24"/>
              </w:rPr>
            </w:pPr>
            <w:r w:rsidRPr="005C3B55">
              <w:rPr>
                <w:szCs w:val="24"/>
              </w:rPr>
              <w:t>The measure related to knowledge transfer and information actions pursues the objectives of increasing qualifications in the agricultural, forestry and food industry sectors.</w:t>
            </w:r>
            <w:r w:rsidRPr="005C3B55">
              <w:rPr>
                <w:noProof/>
                <w:szCs w:val="24"/>
              </w:rPr>
              <w:t xml:space="preserve"> </w:t>
            </w:r>
            <w:r w:rsidRPr="005C3B55">
              <w:rPr>
                <w:szCs w:val="24"/>
              </w:rPr>
              <w:t>This measure will also support training relating to measures M11, M10 and M14.</w:t>
            </w:r>
            <w:r w:rsidRPr="005C3B55">
              <w:rPr>
                <w:noProof/>
                <w:szCs w:val="24"/>
              </w:rPr>
              <w:t xml:space="preserve"> </w:t>
            </w:r>
            <w:r w:rsidRPr="005C3B55">
              <w:rPr>
                <w:szCs w:val="24"/>
              </w:rPr>
              <w:t>The second selected measure within this focus area is also focused on providing specialised advisory services related to the aforementioned measures.</w:t>
            </w:r>
            <w:r w:rsidRPr="005C3B55">
              <w:rPr>
                <w:noProof/>
                <w:szCs w:val="24"/>
              </w:rPr>
              <w:t xml:space="preserve"> </w:t>
            </w:r>
            <w:r w:rsidRPr="005C3B55">
              <w:rPr>
                <w:szCs w:val="24"/>
              </w:rPr>
              <w:t>The analysis of the situation shows that insufficient qualifications and availability of specialised advisory services are present particularly in the fields of natural resource protection, climate change adaptation and animal welfare.</w:t>
            </w:r>
            <w:r w:rsidRPr="005C3B55">
              <w:rPr>
                <w:noProof/>
                <w:szCs w:val="24"/>
              </w:rPr>
              <w:t xml:space="preserve"> </w:t>
            </w:r>
            <w:r w:rsidRPr="005C3B55">
              <w:rPr>
                <w:szCs w:val="24"/>
              </w:rPr>
              <w:t>Measure M16 also pursues the objectives of greater sustainability and climate change adaptation, and puts great emphasis on technological development.</w:t>
            </w:r>
          </w:p>
          <w:p w:rsidR="00BD3B5F" w:rsidRPr="005C3B55" w:rsidRDefault="00BD3B5F">
            <w:pPr>
              <w:pStyle w:val="Telobesedila"/>
              <w:rPr>
                <w:szCs w:val="24"/>
              </w:rPr>
            </w:pPr>
          </w:p>
        </w:tc>
      </w:tr>
    </w:tbl>
    <w:p w:rsidR="00BD3B5F" w:rsidRPr="005C3B55" w:rsidRDefault="00BD3B5F">
      <w:pPr>
        <w:rPr>
          <w:szCs w:val="24"/>
        </w:rPr>
      </w:pPr>
    </w:p>
    <w:p w:rsidR="00BD3B5F" w:rsidRPr="005C3B55" w:rsidRDefault="00BD3B5F">
      <w:pPr>
        <w:pStyle w:val="Naslov4"/>
        <w:tabs>
          <w:tab w:val="clear" w:pos="765"/>
        </w:tabs>
        <w:ind w:left="0" w:firstLine="0"/>
        <w:jc w:val="left"/>
        <w:rPr>
          <w:szCs w:val="24"/>
          <w:lang w:val="en-GB"/>
        </w:rPr>
      </w:pPr>
      <w:r w:rsidRPr="005C3B55">
        <w:rPr>
          <w:szCs w:val="24"/>
          <w:lang w:val="en-GB"/>
        </w:rPr>
        <w:t>1B) Strengthening the links between agriculture, food production and forestry and research and innovation, including for a better environmental management and environmental efficiency</w:t>
      </w:r>
    </w:p>
    <w:p w:rsidR="00BD3B5F" w:rsidRPr="005C3B55" w:rsidRDefault="00BD3B5F">
      <w:pPr>
        <w:pStyle w:val="Naslov5"/>
        <w:tabs>
          <w:tab w:val="clear" w:pos="765"/>
        </w:tabs>
        <w:ind w:left="0" w:firstLine="0"/>
        <w:rPr>
          <w:szCs w:val="24"/>
          <w:lang w:val="en-GB"/>
        </w:rPr>
      </w:pPr>
      <w:r w:rsidRPr="005C3B55">
        <w:rPr>
          <w:noProof w:val="0"/>
          <w:szCs w:val="24"/>
          <w:lang w:val="en-GB"/>
        </w:rPr>
        <w:t>Selection of rural development measures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10656"/>
      </w:tblGrid>
      <w:tr w:rsidR="00BD3B5F" w:rsidRPr="005C3B55">
        <w:tc>
          <w:tcPr>
            <w:tcW w:w="10656" w:type="dxa"/>
            <w:tcMar>
              <w:top w:w="20" w:type="dxa"/>
              <w:bottom w:w="20" w:type="dxa"/>
            </w:tcMar>
            <w:vAlign w:val="bottom"/>
          </w:tcPr>
          <w:p w:rsidR="00BD3B5F" w:rsidRPr="005C3B55" w:rsidRDefault="00BD3B5F" w:rsidP="00BD3B5F">
            <w:pPr>
              <w:numPr>
                <w:ilvl w:val="0"/>
                <w:numId w:val="99"/>
              </w:numPr>
              <w:rPr>
                <w:szCs w:val="24"/>
              </w:rPr>
            </w:pPr>
            <w:r w:rsidRPr="005C3B55">
              <w:rPr>
                <w:szCs w:val="24"/>
              </w:rPr>
              <w:t>M16 – Cooperation (Article 35)</w:t>
            </w:r>
          </w:p>
        </w:tc>
      </w:tr>
    </w:tbl>
    <w:p w:rsidR="00BD3B5F" w:rsidRPr="005C3B55" w:rsidRDefault="00BD3B5F">
      <w:pPr>
        <w:pStyle w:val="Naslov5"/>
        <w:tabs>
          <w:tab w:val="clear" w:pos="765"/>
        </w:tabs>
        <w:ind w:left="0" w:firstLine="0"/>
        <w:rPr>
          <w:szCs w:val="24"/>
          <w:lang w:val="en-GB"/>
        </w:rPr>
      </w:pPr>
      <w:r w:rsidRPr="005C3B55">
        <w:rPr>
          <w:noProof w:val="0"/>
          <w:szCs w:val="24"/>
          <w:lang w:val="en-GB"/>
        </w:rPr>
        <w:t>Combination and justification of rural development measures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10656" w:type="dxa"/>
            <w:tcMar>
              <w:top w:w="20" w:type="dxa"/>
              <w:bottom w:w="20" w:type="dxa"/>
            </w:tcMar>
            <w:vAlign w:val="bottom"/>
          </w:tcPr>
          <w:p w:rsidR="00BD3B5F" w:rsidRPr="005C3B55" w:rsidRDefault="00BD3B5F">
            <w:pPr>
              <w:spacing w:before="0" w:after="240"/>
              <w:jc w:val="left"/>
              <w:rPr>
                <w:noProof/>
                <w:szCs w:val="24"/>
              </w:rPr>
            </w:pPr>
            <w:r w:rsidRPr="005C3B55">
              <w:rPr>
                <w:szCs w:val="24"/>
              </w:rPr>
              <w:t>A more efficient knowledge and innovation transfer is only possible through tighter interactive cooperation between research and end-users of knowledge in agricultural, food industry and forestry sectors.</w:t>
            </w:r>
            <w:r w:rsidRPr="005C3B55">
              <w:rPr>
                <w:noProof/>
                <w:szCs w:val="24"/>
              </w:rPr>
              <w:t xml:space="preserve"> </w:t>
            </w:r>
            <w:r w:rsidRPr="005C3B55">
              <w:rPr>
                <w:szCs w:val="24"/>
              </w:rPr>
              <w:t>According to an analysis of the situation, such cooperation is poor resulting in innovation and new technological knowledge being insufficiently tested in practice; the offer of applicable knowledge in Slovenia is limited, and the transfer to practice is poorly organised.</w:t>
            </w:r>
            <w:r w:rsidRPr="005C3B55">
              <w:rPr>
                <w:noProof/>
                <w:szCs w:val="24"/>
              </w:rPr>
              <w:t xml:space="preserve"> </w:t>
            </w:r>
            <w:r w:rsidRPr="005C3B55">
              <w:rPr>
                <w:szCs w:val="24"/>
              </w:rPr>
              <w:t>Lack of private initiative and coordinated work of all institutions contribute to these problems and reduce efficiency.</w:t>
            </w:r>
          </w:p>
          <w:p w:rsidR="00BD3B5F" w:rsidRPr="005C3B55" w:rsidRDefault="00BD3B5F">
            <w:pPr>
              <w:spacing w:before="240" w:after="240"/>
              <w:jc w:val="left"/>
              <w:rPr>
                <w:noProof/>
                <w:szCs w:val="24"/>
              </w:rPr>
            </w:pPr>
            <w:r w:rsidRPr="005C3B55">
              <w:rPr>
                <w:szCs w:val="24"/>
              </w:rPr>
              <w:t>As part of this measure, we will therefore promote various forms of cooperation between various research and expert institutions and end-users of knowledge, with an emphasis on the work of operational groups of the European Innovation Partnership.</w:t>
            </w:r>
            <w:r w:rsidRPr="005C3B55">
              <w:rPr>
                <w:noProof/>
                <w:szCs w:val="24"/>
              </w:rPr>
              <w:t xml:space="preserve"> </w:t>
            </w:r>
            <w:r w:rsidRPr="005C3B55">
              <w:rPr>
                <w:szCs w:val="24"/>
              </w:rPr>
              <w:t>In this way, the connections between science and practice would be re-established or strengthened, which would contribute to more effective knowledge transfer and information feedback on the detected needs from agricultural practice towards research, and greater applicability and the sustainability of results would be ensured.</w:t>
            </w:r>
          </w:p>
          <w:p w:rsidR="00BD3B5F" w:rsidRPr="005C3B55" w:rsidRDefault="00BD3B5F">
            <w:pPr>
              <w:spacing w:before="240" w:after="240"/>
              <w:jc w:val="left"/>
              <w:rPr>
                <w:noProof/>
                <w:szCs w:val="24"/>
              </w:rPr>
            </w:pPr>
            <w:r w:rsidRPr="005C3B55">
              <w:rPr>
                <w:szCs w:val="24"/>
              </w:rPr>
              <w:t>Slightly less than 2% of RDP 2014–2020 funds are allocated to this measure. The aforementioned funds will be used to promote cooperation in the field of technical development in order to increase productivity, environmental performance, and the ability to mitigate, and adapt to, climate change.</w:t>
            </w:r>
            <w:r w:rsidRPr="005C3B55">
              <w:rPr>
                <w:noProof/>
                <w:szCs w:val="24"/>
              </w:rPr>
              <w:t xml:space="preserve"> </w:t>
            </w:r>
            <w:r w:rsidRPr="005C3B55">
              <w:rPr>
                <w:szCs w:val="24"/>
              </w:rPr>
              <w:t>As part of this measure, cooperation projects in the narrower areas of Natura 2000 where the deterioration of habitats and species has been detected based on the analysis of the situation, and areas important from the aspect of achieving better quality of ground and surface water will receive targeted support.</w:t>
            </w:r>
          </w:p>
          <w:p w:rsidR="00BD3B5F" w:rsidRPr="005C3B55" w:rsidRDefault="00BD3B5F">
            <w:pPr>
              <w:pStyle w:val="Telobesedila"/>
              <w:rPr>
                <w:szCs w:val="24"/>
              </w:rPr>
            </w:pPr>
          </w:p>
        </w:tc>
      </w:tr>
    </w:tbl>
    <w:p w:rsidR="00BD3B5F" w:rsidRPr="005C3B55" w:rsidRDefault="00BD3B5F">
      <w:pPr>
        <w:rPr>
          <w:szCs w:val="24"/>
        </w:rPr>
      </w:pPr>
    </w:p>
    <w:p w:rsidR="00BD3B5F" w:rsidRPr="005C3B55" w:rsidRDefault="00BD3B5F">
      <w:pPr>
        <w:pStyle w:val="Naslov4"/>
        <w:tabs>
          <w:tab w:val="clear" w:pos="765"/>
        </w:tabs>
        <w:ind w:left="0" w:firstLine="0"/>
        <w:jc w:val="left"/>
        <w:rPr>
          <w:szCs w:val="24"/>
          <w:lang w:val="en-GB"/>
        </w:rPr>
      </w:pPr>
      <w:r w:rsidRPr="005C3B55">
        <w:rPr>
          <w:szCs w:val="24"/>
          <w:lang w:val="en-GB"/>
        </w:rPr>
        <w:t>1C) Enhancing life-long learning and professional training in the agricultural and forestry sectors</w:t>
      </w:r>
    </w:p>
    <w:p w:rsidR="00BD3B5F" w:rsidRPr="005C3B55" w:rsidRDefault="00BD3B5F">
      <w:pPr>
        <w:pStyle w:val="Naslov5"/>
        <w:tabs>
          <w:tab w:val="clear" w:pos="765"/>
        </w:tabs>
        <w:ind w:left="0" w:firstLine="0"/>
        <w:rPr>
          <w:szCs w:val="24"/>
          <w:lang w:val="en-GB"/>
        </w:rPr>
      </w:pPr>
      <w:r w:rsidRPr="005C3B55">
        <w:rPr>
          <w:noProof w:val="0"/>
          <w:szCs w:val="24"/>
          <w:lang w:val="en-GB"/>
        </w:rPr>
        <w:t>Selection of rural development measures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10656"/>
      </w:tblGrid>
      <w:tr w:rsidR="00BD3B5F" w:rsidRPr="005C3B55">
        <w:tc>
          <w:tcPr>
            <w:tcW w:w="10656" w:type="dxa"/>
            <w:tcMar>
              <w:top w:w="20" w:type="dxa"/>
              <w:bottom w:w="20" w:type="dxa"/>
            </w:tcMar>
            <w:vAlign w:val="bottom"/>
          </w:tcPr>
          <w:p w:rsidR="00BD3B5F" w:rsidRPr="005C3B55" w:rsidRDefault="00BD3B5F" w:rsidP="00BD3B5F">
            <w:pPr>
              <w:numPr>
                <w:ilvl w:val="0"/>
                <w:numId w:val="100"/>
              </w:numPr>
              <w:rPr>
                <w:szCs w:val="24"/>
              </w:rPr>
            </w:pPr>
            <w:r w:rsidRPr="005C3B55">
              <w:rPr>
                <w:szCs w:val="24"/>
              </w:rPr>
              <w:t>M01 – Knowledge transfer and information actions (Article 14)</w:t>
            </w:r>
          </w:p>
        </w:tc>
      </w:tr>
    </w:tbl>
    <w:p w:rsidR="00BD3B5F" w:rsidRPr="005C3B55" w:rsidRDefault="00BD3B5F">
      <w:pPr>
        <w:pStyle w:val="Naslov5"/>
        <w:tabs>
          <w:tab w:val="clear" w:pos="765"/>
        </w:tabs>
        <w:ind w:left="0" w:firstLine="0"/>
        <w:rPr>
          <w:szCs w:val="24"/>
          <w:lang w:val="en-GB"/>
        </w:rPr>
      </w:pPr>
      <w:r w:rsidRPr="005C3B55">
        <w:rPr>
          <w:noProof w:val="0"/>
          <w:szCs w:val="24"/>
          <w:lang w:val="en-GB"/>
        </w:rPr>
        <w:t>Combination and justification of rural development measures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10656" w:type="dxa"/>
            <w:tcMar>
              <w:top w:w="20" w:type="dxa"/>
              <w:bottom w:w="20" w:type="dxa"/>
            </w:tcMar>
            <w:vAlign w:val="bottom"/>
          </w:tcPr>
          <w:p w:rsidR="00BD3B5F" w:rsidRPr="005C3B55" w:rsidRDefault="00BD3B5F">
            <w:pPr>
              <w:spacing w:before="0" w:after="240"/>
              <w:jc w:val="left"/>
              <w:rPr>
                <w:noProof/>
                <w:szCs w:val="24"/>
              </w:rPr>
            </w:pPr>
            <w:r w:rsidRPr="005C3B55">
              <w:rPr>
                <w:szCs w:val="24"/>
              </w:rPr>
              <w:t>The complexity of agricultural, food industry and forestry activities requires an increase in qualifications, and constant acquisition of new knowledge and competences.</w:t>
            </w:r>
            <w:r w:rsidRPr="005C3B55">
              <w:rPr>
                <w:noProof/>
                <w:szCs w:val="24"/>
              </w:rPr>
              <w:t xml:space="preserve"> </w:t>
            </w:r>
            <w:r w:rsidRPr="005C3B55">
              <w:rPr>
                <w:szCs w:val="24"/>
              </w:rPr>
              <w:t>According to an analysis of the situation, the need to increase the qualifications is primarily manifested in the field of technological development and the introduction of innovation in production technology, reducing environmental impacts, mitigating and adapting to climate change, horizontal and vertical connection, animal welfare, safe work in forest, improved digital skills, transition to a low-carbon society etc.</w:t>
            </w:r>
            <w:r w:rsidRPr="005C3B55">
              <w:rPr>
                <w:noProof/>
                <w:szCs w:val="24"/>
              </w:rPr>
              <w:t xml:space="preserve"> </w:t>
            </w:r>
            <w:r w:rsidRPr="005C3B55">
              <w:rPr>
                <w:szCs w:val="24"/>
              </w:rPr>
              <w:t>Such needs are addressed by the selected measure, since the activities of training and knowledge transfer, and demonstration projects intended for practical display of introducing new technologies will be supported.</w:t>
            </w:r>
          </w:p>
          <w:p w:rsidR="00BD3B5F" w:rsidRPr="005C3B55" w:rsidRDefault="00BD3B5F">
            <w:pPr>
              <w:spacing w:before="240" w:after="240"/>
              <w:jc w:val="left"/>
              <w:rPr>
                <w:noProof/>
                <w:szCs w:val="24"/>
              </w:rPr>
            </w:pPr>
            <w:r w:rsidRPr="005C3B55">
              <w:rPr>
                <w:szCs w:val="24"/>
              </w:rPr>
              <w:t>The measure will be intended for training related to M11, M10 and M14, as well as to other contents which will be detected as requiring increased qualifications in the aforementioned sectors.</w:t>
            </w:r>
            <w:r w:rsidRPr="005C3B55">
              <w:rPr>
                <w:noProof/>
                <w:szCs w:val="24"/>
              </w:rPr>
              <w:t xml:space="preserve"> </w:t>
            </w:r>
            <w:r w:rsidRPr="005C3B55">
              <w:rPr>
                <w:szCs w:val="24"/>
              </w:rPr>
              <w:t>Trainings will be especially target-oriented in areas vulnerable from the aspect of biodiversity conservation (narrower areas of Natura 2000 where the deterioration of the state of habitats and qualification species has been detected, and areas important from the aspect of reducing impacts of agriculture on the quality of ground and surface water).</w:t>
            </w:r>
            <w:r w:rsidRPr="005C3B55">
              <w:rPr>
                <w:noProof/>
                <w:szCs w:val="24"/>
              </w:rPr>
              <w:t xml:space="preserve"> </w:t>
            </w:r>
            <w:r w:rsidRPr="005C3B55">
              <w:rPr>
                <w:szCs w:val="24"/>
              </w:rPr>
              <w:t>The measure contributes to focus areas 2A, 2B, 3A, 4A, 4B and 4C. The contents in connection with Priority 4 are allocated over two-thirds of all available funds in this measure, which is in compliance with the fact that the majority of the funds will be allocated to training for the implementation of the three aforementioned measures of RDP 2014–2020. This supports and strengthens mutual effects of the measures.</w:t>
            </w:r>
          </w:p>
          <w:p w:rsidR="00BD3B5F" w:rsidRPr="005C3B55" w:rsidRDefault="00BD3B5F">
            <w:pPr>
              <w:pStyle w:val="Telobesedila"/>
              <w:rPr>
                <w:szCs w:val="24"/>
              </w:rPr>
            </w:pPr>
          </w:p>
        </w:tc>
      </w:tr>
    </w:tbl>
    <w:p w:rsidR="00BD3B5F" w:rsidRPr="005C3B55" w:rsidRDefault="00BD3B5F">
      <w:pPr>
        <w:rPr>
          <w:szCs w:val="24"/>
        </w:rPr>
      </w:pPr>
    </w:p>
    <w:p w:rsidR="00BD3B5F" w:rsidRPr="005C3B55" w:rsidRDefault="00BD3B5F">
      <w:pPr>
        <w:pStyle w:val="Naslov3"/>
        <w:tabs>
          <w:tab w:val="clear" w:pos="765"/>
        </w:tabs>
        <w:ind w:left="0" w:firstLine="0"/>
        <w:jc w:val="left"/>
        <w:rPr>
          <w:szCs w:val="24"/>
          <w:lang w:val="en-GB"/>
        </w:rPr>
      </w:pPr>
      <w:bookmarkStart w:id="87" w:name="_Toc416192545"/>
      <w:r w:rsidRPr="005C3B55">
        <w:rPr>
          <w:noProof/>
          <w:szCs w:val="24"/>
          <w:lang w:val="en-GB"/>
        </w:rPr>
        <w:t>N2:</w:t>
      </w:r>
      <w:r w:rsidRPr="005C3B55">
        <w:rPr>
          <w:szCs w:val="24"/>
          <w:lang w:val="en-GB"/>
        </w:rPr>
        <w:t xml:space="preserve"> Strengthening the viability of farms and competitiveness of all types of farming in all regions, and promoting innovative agricultural technologies and sustainable forest management</w:t>
      </w:r>
      <w:bookmarkEnd w:id="87"/>
    </w:p>
    <w:p w:rsidR="00BD3B5F" w:rsidRPr="005C3B55" w:rsidRDefault="00BD3B5F">
      <w:pPr>
        <w:pStyle w:val="Naslov4"/>
        <w:tabs>
          <w:tab w:val="clear" w:pos="765"/>
        </w:tabs>
        <w:ind w:left="0" w:firstLine="0"/>
        <w:jc w:val="left"/>
        <w:rPr>
          <w:szCs w:val="24"/>
          <w:lang w:val="en-GB"/>
        </w:rPr>
      </w:pPr>
      <w:r w:rsidRPr="005C3B55">
        <w:rPr>
          <w:szCs w:val="24"/>
          <w:lang w:val="en-GB"/>
        </w:rPr>
        <w:t>2A) Improving the economic performance of all agricultural holdings and facilitating the restructuring and modernisation of agricultural holdings, in order to particularly increase their market participation, market-orientation and agricultural diversification</w:t>
      </w:r>
    </w:p>
    <w:p w:rsidR="00BD3B5F" w:rsidRPr="005C3B55" w:rsidRDefault="00BD3B5F">
      <w:pPr>
        <w:pStyle w:val="Naslov5"/>
        <w:tabs>
          <w:tab w:val="clear" w:pos="765"/>
        </w:tabs>
        <w:ind w:left="0" w:firstLine="0"/>
        <w:rPr>
          <w:b w:val="0"/>
          <w:szCs w:val="24"/>
          <w:lang w:val="en-GB"/>
        </w:rPr>
      </w:pPr>
      <w:r w:rsidRPr="005C3B55">
        <w:rPr>
          <w:b w:val="0"/>
          <w:noProof w:val="0"/>
          <w:szCs w:val="24"/>
          <w:lang w:val="en-GB"/>
        </w:rPr>
        <w:t>Selection of rural development measures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10656"/>
      </w:tblGrid>
      <w:tr w:rsidR="00BD3B5F" w:rsidRPr="005C3B55">
        <w:tc>
          <w:tcPr>
            <w:tcW w:w="10656" w:type="dxa"/>
            <w:tcMar>
              <w:top w:w="20" w:type="dxa"/>
              <w:bottom w:w="20" w:type="dxa"/>
            </w:tcMar>
            <w:vAlign w:val="bottom"/>
          </w:tcPr>
          <w:p w:rsidR="00BD3B5F" w:rsidRPr="005C3B55" w:rsidRDefault="00BD3B5F" w:rsidP="00BD3B5F">
            <w:pPr>
              <w:numPr>
                <w:ilvl w:val="0"/>
                <w:numId w:val="101"/>
              </w:numPr>
              <w:rPr>
                <w:szCs w:val="24"/>
              </w:rPr>
            </w:pPr>
            <w:r w:rsidRPr="005C3B55">
              <w:rPr>
                <w:szCs w:val="24"/>
              </w:rPr>
              <w:t>M01 – Knowledge transfer and information actions (Article 14)</w:t>
            </w:r>
          </w:p>
          <w:p w:rsidR="00BD3B5F" w:rsidRPr="005C3B55" w:rsidRDefault="00BD3B5F" w:rsidP="00BD3B5F">
            <w:pPr>
              <w:numPr>
                <w:ilvl w:val="0"/>
                <w:numId w:val="101"/>
              </w:numPr>
              <w:rPr>
                <w:szCs w:val="24"/>
              </w:rPr>
            </w:pPr>
            <w:r w:rsidRPr="005C3B55">
              <w:rPr>
                <w:szCs w:val="24"/>
              </w:rPr>
              <w:t>M04 - Investments in physical assets (Article 17)</w:t>
            </w:r>
          </w:p>
          <w:p w:rsidR="00BD3B5F" w:rsidRPr="005C3B55" w:rsidRDefault="00BD3B5F" w:rsidP="00BD3B5F">
            <w:pPr>
              <w:numPr>
                <w:ilvl w:val="0"/>
                <w:numId w:val="101"/>
              </w:numPr>
              <w:rPr>
                <w:szCs w:val="24"/>
              </w:rPr>
            </w:pPr>
            <w:r w:rsidRPr="005C3B55">
              <w:rPr>
                <w:szCs w:val="24"/>
              </w:rPr>
              <w:t>M16 – Cooperation (Article 35)</w:t>
            </w:r>
          </w:p>
        </w:tc>
      </w:tr>
    </w:tbl>
    <w:p w:rsidR="00BD3B5F" w:rsidRPr="005C3B55" w:rsidRDefault="00BD3B5F">
      <w:pPr>
        <w:pStyle w:val="Naslov5"/>
        <w:tabs>
          <w:tab w:val="clear" w:pos="765"/>
        </w:tabs>
        <w:ind w:left="0" w:firstLine="0"/>
        <w:rPr>
          <w:b w:val="0"/>
          <w:szCs w:val="24"/>
          <w:lang w:val="en-GB"/>
        </w:rPr>
      </w:pPr>
      <w:r w:rsidRPr="005C3B55">
        <w:rPr>
          <w:noProof w:val="0"/>
          <w:szCs w:val="24"/>
          <w:lang w:val="en-GB"/>
        </w:rPr>
        <w:t>Combination and justification of rural development measures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10656" w:type="dxa"/>
            <w:tcMar>
              <w:top w:w="20" w:type="dxa"/>
              <w:bottom w:w="20" w:type="dxa"/>
            </w:tcMar>
            <w:vAlign w:val="bottom"/>
          </w:tcPr>
          <w:p w:rsidR="00BD3B5F" w:rsidRPr="005C3B55" w:rsidRDefault="00BD3B5F">
            <w:pPr>
              <w:spacing w:before="0" w:after="240"/>
              <w:jc w:val="left"/>
              <w:rPr>
                <w:noProof/>
                <w:szCs w:val="24"/>
              </w:rPr>
            </w:pPr>
            <w:r w:rsidRPr="005C3B55">
              <w:rPr>
                <w:szCs w:val="24"/>
              </w:rPr>
              <w:t>Structural characteristics of Slovenian agriculture, particularly a low labour productivity, unfavourable size structure of agricultural holdings and fragmentation of holdings reduce the efficiency of the use of production resources in agriculture and hamper a faster development in agriculture.</w:t>
            </w:r>
            <w:r w:rsidRPr="005C3B55">
              <w:rPr>
                <w:noProof/>
                <w:szCs w:val="24"/>
              </w:rPr>
              <w:t xml:space="preserve"> </w:t>
            </w:r>
            <w:r w:rsidRPr="005C3B55">
              <w:rPr>
                <w:szCs w:val="24"/>
              </w:rPr>
              <w:t>The lag in development behind the EU-27 is not decreasing.</w:t>
            </w:r>
            <w:r w:rsidRPr="005C3B55">
              <w:rPr>
                <w:noProof/>
                <w:szCs w:val="24"/>
              </w:rPr>
              <w:t xml:space="preserve"> </w:t>
            </w:r>
            <w:r w:rsidRPr="005C3B55">
              <w:rPr>
                <w:szCs w:val="24"/>
              </w:rPr>
              <w:t>In this relation, one of the needs detected is the need to increase productivity, i.e. to optimise the use of production factors while taking into account the sustainable use of natural resources and the impact of climate change.</w:t>
            </w:r>
          </w:p>
          <w:p w:rsidR="00BD3B5F" w:rsidRPr="005C3B55" w:rsidRDefault="00BD3B5F">
            <w:pPr>
              <w:spacing w:before="240" w:after="240"/>
              <w:jc w:val="left"/>
              <w:rPr>
                <w:noProof/>
                <w:szCs w:val="24"/>
              </w:rPr>
            </w:pPr>
            <w:r w:rsidRPr="005C3B55">
              <w:rPr>
                <w:szCs w:val="24"/>
              </w:rPr>
              <w:t>The combination of the aforementioned measures is expected to accelerate the processes of modernisation, structural adjustment and new developmental cycle in agriculture.</w:t>
            </w:r>
            <w:r w:rsidRPr="005C3B55">
              <w:rPr>
                <w:noProof/>
                <w:szCs w:val="24"/>
              </w:rPr>
              <w:t xml:space="preserve"> </w:t>
            </w:r>
            <w:r w:rsidRPr="005C3B55">
              <w:rPr>
                <w:szCs w:val="24"/>
              </w:rPr>
              <w:t>Technological development of agricultural holdings and their restructuring will be promoted with measure M04, intended for adjustment to horizontal objectives.</w:t>
            </w:r>
            <w:r w:rsidRPr="005C3B55">
              <w:rPr>
                <w:noProof/>
                <w:szCs w:val="24"/>
              </w:rPr>
              <w:t xml:space="preserve"> </w:t>
            </w:r>
            <w:r w:rsidRPr="005C3B55">
              <w:rPr>
                <w:szCs w:val="24"/>
              </w:rPr>
              <w:t>Investments in agricultural infrastructure are intended to improve the size structure and land arrangement, and establish or modernise irrigation systems, which is crucial from the aspect of ensuring stability and quality of agricultural production and rational use of water.</w:t>
            </w:r>
            <w:r w:rsidRPr="005C3B55">
              <w:rPr>
                <w:noProof/>
                <w:szCs w:val="24"/>
              </w:rPr>
              <w:t xml:space="preserve"> </w:t>
            </w:r>
            <w:r w:rsidRPr="005C3B55">
              <w:rPr>
                <w:szCs w:val="24"/>
              </w:rPr>
              <w:t>Measure M01 is intended to increase the qualifications of owners of agricultural holdings in the technological field, while the purpose of measure M16 in this context is to accelerate knowledge and innovation transfer through pilot projects, development of new products, technologies, etc.</w:t>
            </w:r>
            <w:r w:rsidRPr="005C3B55">
              <w:rPr>
                <w:noProof/>
                <w:szCs w:val="24"/>
              </w:rPr>
              <w:t xml:space="preserve"> </w:t>
            </w:r>
            <w:r w:rsidRPr="005C3B55">
              <w:rPr>
                <w:szCs w:val="24"/>
              </w:rPr>
              <w:t>All three measures are interconnected and strengthened each other in order to improve the competitiveness of Slovenian agriculture.</w:t>
            </w:r>
            <w:r w:rsidRPr="005C3B55">
              <w:rPr>
                <w:noProof/>
                <w:szCs w:val="24"/>
              </w:rPr>
              <w:t xml:space="preserve"> </w:t>
            </w:r>
            <w:r w:rsidRPr="005C3B55">
              <w:rPr>
                <w:szCs w:val="24"/>
              </w:rPr>
              <w:t>The investment measure encompasses a narrow target group of slightly more than 3% of agricultural holdings which are in this way expected to improve their economic and environmental efficiency, and response to climate change.</w:t>
            </w:r>
            <w:r w:rsidRPr="005C3B55">
              <w:rPr>
                <w:noProof/>
                <w:szCs w:val="24"/>
              </w:rPr>
              <w:t xml:space="preserve"> </w:t>
            </w:r>
            <w:r w:rsidRPr="005C3B55">
              <w:rPr>
                <w:szCs w:val="24"/>
              </w:rPr>
              <w:t>Approximately EUR 162 million or over 14% of funds for RDP 2014–2020 are allocated to Focus area 2A.</w:t>
            </w:r>
          </w:p>
          <w:p w:rsidR="00BD3B5F" w:rsidRPr="005C3B55" w:rsidRDefault="00BD3B5F">
            <w:pPr>
              <w:spacing w:before="240" w:after="240"/>
              <w:jc w:val="left"/>
              <w:rPr>
                <w:noProof/>
                <w:szCs w:val="24"/>
              </w:rPr>
            </w:pPr>
            <w:r w:rsidRPr="005C3B55">
              <w:rPr>
                <w:szCs w:val="24"/>
              </w:rPr>
              <w:t>The implementation of measures will have an indirect impact on the following focus areas:</w:t>
            </w:r>
          </w:p>
          <w:p w:rsidR="00BD3B5F" w:rsidRPr="005C3B55" w:rsidRDefault="00BD3B5F" w:rsidP="00BD3B5F">
            <w:pPr>
              <w:numPr>
                <w:ilvl w:val="0"/>
                <w:numId w:val="102"/>
              </w:numPr>
              <w:spacing w:before="240" w:after="0"/>
              <w:ind w:hanging="290"/>
              <w:jc w:val="left"/>
              <w:rPr>
                <w:noProof/>
                <w:szCs w:val="24"/>
              </w:rPr>
            </w:pPr>
            <w:r w:rsidRPr="005C3B55">
              <w:rPr>
                <w:noProof/>
                <w:szCs w:val="24"/>
              </w:rPr>
              <w:t xml:space="preserve">M01: 1A </w:t>
            </w:r>
            <w:r w:rsidRPr="005C3B55">
              <w:rPr>
                <w:szCs w:val="24"/>
              </w:rPr>
              <w:t>and</w:t>
            </w:r>
            <w:r w:rsidRPr="005C3B55">
              <w:rPr>
                <w:noProof/>
                <w:szCs w:val="24"/>
              </w:rPr>
              <w:t xml:space="preserve"> 1C;</w:t>
            </w:r>
          </w:p>
          <w:p w:rsidR="00BD3B5F" w:rsidRPr="005C3B55" w:rsidRDefault="00BD3B5F" w:rsidP="00BD3B5F">
            <w:pPr>
              <w:numPr>
                <w:ilvl w:val="0"/>
                <w:numId w:val="102"/>
              </w:numPr>
              <w:spacing w:before="0" w:after="0"/>
              <w:ind w:hanging="290"/>
              <w:jc w:val="left"/>
              <w:rPr>
                <w:noProof/>
                <w:szCs w:val="24"/>
              </w:rPr>
            </w:pPr>
            <w:r w:rsidRPr="005C3B55">
              <w:rPr>
                <w:noProof/>
                <w:szCs w:val="24"/>
              </w:rPr>
              <w:t xml:space="preserve">M04: 1A, 2B, 3A, 4A, 5A, 5B, 5C </w:t>
            </w:r>
            <w:r w:rsidRPr="005C3B55">
              <w:rPr>
                <w:szCs w:val="24"/>
              </w:rPr>
              <w:t>and</w:t>
            </w:r>
            <w:r w:rsidRPr="005C3B55">
              <w:rPr>
                <w:noProof/>
                <w:szCs w:val="24"/>
              </w:rPr>
              <w:t xml:space="preserve"> 5D;</w:t>
            </w:r>
          </w:p>
          <w:p w:rsidR="00BD3B5F" w:rsidRPr="005C3B55" w:rsidRDefault="00BD3B5F" w:rsidP="00BD3B5F">
            <w:pPr>
              <w:numPr>
                <w:ilvl w:val="0"/>
                <w:numId w:val="102"/>
              </w:numPr>
              <w:spacing w:before="0" w:after="240"/>
              <w:ind w:hanging="290"/>
              <w:jc w:val="left"/>
              <w:rPr>
                <w:noProof/>
                <w:szCs w:val="24"/>
              </w:rPr>
            </w:pPr>
            <w:r w:rsidRPr="005C3B55">
              <w:rPr>
                <w:noProof/>
                <w:szCs w:val="24"/>
              </w:rPr>
              <w:t xml:space="preserve">M16: 1A, 1B, 5C, 5D </w:t>
            </w:r>
            <w:r w:rsidRPr="005C3B55">
              <w:rPr>
                <w:szCs w:val="24"/>
              </w:rPr>
              <w:t>and</w:t>
            </w:r>
            <w:r w:rsidRPr="005C3B55">
              <w:rPr>
                <w:noProof/>
                <w:szCs w:val="24"/>
              </w:rPr>
              <w:t xml:space="preserve"> 6A.</w:t>
            </w:r>
          </w:p>
          <w:p w:rsidR="00BD3B5F" w:rsidRPr="005C3B55" w:rsidRDefault="00BD3B5F">
            <w:pPr>
              <w:pStyle w:val="Telobesedila"/>
              <w:rPr>
                <w:szCs w:val="24"/>
              </w:rPr>
            </w:pPr>
          </w:p>
        </w:tc>
      </w:tr>
    </w:tbl>
    <w:p w:rsidR="00BD3B5F" w:rsidRPr="005C3B55" w:rsidRDefault="00BD3B5F">
      <w:pPr>
        <w:rPr>
          <w:szCs w:val="24"/>
        </w:rPr>
      </w:pPr>
    </w:p>
    <w:p w:rsidR="00BD3B5F" w:rsidRPr="005C3B55" w:rsidRDefault="00BD3B5F">
      <w:pPr>
        <w:pStyle w:val="Naslov4"/>
        <w:tabs>
          <w:tab w:val="clear" w:pos="765"/>
        </w:tabs>
        <w:ind w:left="0" w:firstLine="0"/>
        <w:jc w:val="left"/>
        <w:rPr>
          <w:szCs w:val="24"/>
          <w:lang w:val="en-GB"/>
        </w:rPr>
      </w:pPr>
      <w:r w:rsidRPr="005C3B55">
        <w:rPr>
          <w:szCs w:val="24"/>
          <w:lang w:val="en-GB"/>
        </w:rPr>
        <w:t>2B) Facilitating suitably trained farmers to launch an agricultural activity, especially by ensuring generational renewal</w:t>
      </w:r>
    </w:p>
    <w:p w:rsidR="00BD3B5F" w:rsidRPr="005C3B55" w:rsidRDefault="00BD3B5F">
      <w:pPr>
        <w:pStyle w:val="Naslov5"/>
        <w:tabs>
          <w:tab w:val="clear" w:pos="765"/>
        </w:tabs>
        <w:ind w:left="0" w:firstLine="0"/>
        <w:rPr>
          <w:szCs w:val="24"/>
          <w:lang w:val="en-GB"/>
        </w:rPr>
      </w:pPr>
      <w:r w:rsidRPr="005C3B55">
        <w:rPr>
          <w:noProof w:val="0"/>
          <w:szCs w:val="24"/>
          <w:lang w:val="en-GB"/>
        </w:rPr>
        <w:t>Selection of rural development measures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10656"/>
      </w:tblGrid>
      <w:tr w:rsidR="00BD3B5F" w:rsidRPr="005C3B55">
        <w:tc>
          <w:tcPr>
            <w:tcW w:w="10656" w:type="dxa"/>
            <w:tcMar>
              <w:top w:w="20" w:type="dxa"/>
              <w:bottom w:w="20" w:type="dxa"/>
            </w:tcMar>
            <w:vAlign w:val="bottom"/>
          </w:tcPr>
          <w:p w:rsidR="00BD3B5F" w:rsidRPr="005C3B55" w:rsidRDefault="00BD3B5F" w:rsidP="00BD3B5F">
            <w:pPr>
              <w:numPr>
                <w:ilvl w:val="0"/>
                <w:numId w:val="103"/>
              </w:numPr>
              <w:rPr>
                <w:szCs w:val="24"/>
              </w:rPr>
            </w:pPr>
            <w:r w:rsidRPr="005C3B55">
              <w:rPr>
                <w:szCs w:val="24"/>
              </w:rPr>
              <w:t>M01 – Knowledge transfer and information actions (Article 14)</w:t>
            </w:r>
          </w:p>
          <w:p w:rsidR="00BD3B5F" w:rsidRPr="005C3B55" w:rsidRDefault="00BD3B5F" w:rsidP="00BD3B5F">
            <w:pPr>
              <w:numPr>
                <w:ilvl w:val="0"/>
                <w:numId w:val="103"/>
              </w:numPr>
              <w:rPr>
                <w:szCs w:val="24"/>
              </w:rPr>
            </w:pPr>
            <w:r w:rsidRPr="005C3B55">
              <w:rPr>
                <w:szCs w:val="24"/>
              </w:rPr>
              <w:t>M06 – Farm and business development (Article 19)</w:t>
            </w:r>
          </w:p>
        </w:tc>
      </w:tr>
    </w:tbl>
    <w:p w:rsidR="00BD3B5F" w:rsidRPr="005C3B55" w:rsidRDefault="00BD3B5F">
      <w:pPr>
        <w:pStyle w:val="Naslov5"/>
        <w:tabs>
          <w:tab w:val="clear" w:pos="765"/>
        </w:tabs>
        <w:ind w:left="0" w:firstLine="0"/>
        <w:rPr>
          <w:szCs w:val="24"/>
          <w:lang w:val="en-GB"/>
        </w:rPr>
      </w:pPr>
      <w:r w:rsidRPr="005C3B55">
        <w:rPr>
          <w:noProof w:val="0"/>
          <w:szCs w:val="24"/>
          <w:lang w:val="en-GB"/>
        </w:rPr>
        <w:t>Combination and justification of rural development measures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10656" w:type="dxa"/>
            <w:tcMar>
              <w:top w:w="20" w:type="dxa"/>
              <w:bottom w:w="20" w:type="dxa"/>
            </w:tcMar>
            <w:vAlign w:val="bottom"/>
          </w:tcPr>
          <w:p w:rsidR="00BD3B5F" w:rsidRPr="005C3B55" w:rsidRDefault="00BD3B5F">
            <w:pPr>
              <w:spacing w:before="0" w:after="240"/>
              <w:jc w:val="left"/>
              <w:rPr>
                <w:noProof/>
                <w:szCs w:val="24"/>
              </w:rPr>
            </w:pPr>
            <w:r w:rsidRPr="005C3B55">
              <w:rPr>
                <w:szCs w:val="24"/>
              </w:rPr>
              <w:t>According to an analysis of the situation, one of the reasons for the low productivity of Slovenian agriculture is the still unfavourable age structure of owners of agricultural holdings.</w:t>
            </w:r>
            <w:r w:rsidRPr="005C3B55">
              <w:rPr>
                <w:noProof/>
                <w:szCs w:val="24"/>
              </w:rPr>
              <w:t xml:space="preserve"> </w:t>
            </w:r>
            <w:r w:rsidRPr="005C3B55">
              <w:rPr>
                <w:szCs w:val="24"/>
              </w:rPr>
              <w:t>The average age of owners of agricultural holdings has not changed since 2000; it was 56 years in 2013.</w:t>
            </w:r>
            <w:r w:rsidRPr="005C3B55">
              <w:rPr>
                <w:noProof/>
                <w:szCs w:val="24"/>
              </w:rPr>
              <w:t xml:space="preserve"> </w:t>
            </w:r>
            <w:r w:rsidRPr="005C3B55">
              <w:rPr>
                <w:szCs w:val="24"/>
              </w:rPr>
              <w:t>Therefore, the age structure of owners of agricultural holdings does not provide a suitable basis to strengthen the development and enhance the productivity of farms which requires special knowledge, introduction of new technologies and innovation, process and organisational improvements, etc.</w:t>
            </w:r>
            <w:r w:rsidRPr="005C3B55">
              <w:rPr>
                <w:noProof/>
                <w:szCs w:val="24"/>
              </w:rPr>
              <w:t xml:space="preserve"> </w:t>
            </w:r>
            <w:r w:rsidRPr="005C3B55">
              <w:rPr>
                <w:szCs w:val="24"/>
              </w:rPr>
              <w:t>The processes of structural adjustment of Slovenian agriculture will be faster if they coincide with the processes of generational renewal on farms and increase in qualification of young owners of agricultural holdings.</w:t>
            </w:r>
            <w:r w:rsidRPr="005C3B55">
              <w:rPr>
                <w:noProof/>
                <w:szCs w:val="24"/>
              </w:rPr>
              <w:t xml:space="preserve"> </w:t>
            </w:r>
            <w:r w:rsidRPr="005C3B55">
              <w:rPr>
                <w:szCs w:val="24"/>
              </w:rPr>
              <w:t>A decision to launch an activity is not simple, as it is connected with economic risks.</w:t>
            </w:r>
            <w:r w:rsidRPr="005C3B55">
              <w:rPr>
                <w:noProof/>
                <w:szCs w:val="24"/>
              </w:rPr>
              <w:t xml:space="preserve"> </w:t>
            </w:r>
            <w:r w:rsidRPr="005C3B55">
              <w:rPr>
                <w:szCs w:val="24"/>
              </w:rPr>
              <w:t>The young find it harder to access the necessary funds to purchase agricultural land and necessary machinery and equipment, and establish or expand production capacities.</w:t>
            </w:r>
          </w:p>
          <w:p w:rsidR="00BD3B5F" w:rsidRPr="005C3B55" w:rsidRDefault="00BD3B5F">
            <w:pPr>
              <w:spacing w:before="240" w:after="240"/>
              <w:jc w:val="left"/>
              <w:rPr>
                <w:noProof/>
                <w:szCs w:val="24"/>
              </w:rPr>
            </w:pPr>
            <w:r w:rsidRPr="005C3B55">
              <w:rPr>
                <w:szCs w:val="24"/>
              </w:rPr>
              <w:t>Farm start-up and development aid for young farmers within measure M06 may facilitate the first years of setting up a farm, and thus stimulate young people to continue the agricultural activity and employ in the agricultural sector.</w:t>
            </w:r>
            <w:r w:rsidRPr="005C3B55">
              <w:rPr>
                <w:noProof/>
                <w:szCs w:val="24"/>
              </w:rPr>
              <w:t xml:space="preserve"> </w:t>
            </w:r>
            <w:r w:rsidRPr="005C3B55">
              <w:rPr>
                <w:szCs w:val="24"/>
              </w:rPr>
              <w:t>Measure M01 may facilitate young farmers to increase the qualifications for pursuing the activity.</w:t>
            </w:r>
            <w:r w:rsidRPr="005C3B55">
              <w:rPr>
                <w:noProof/>
                <w:szCs w:val="24"/>
              </w:rPr>
              <w:t xml:space="preserve"> </w:t>
            </w:r>
            <w:r w:rsidRPr="005C3B55">
              <w:rPr>
                <w:szCs w:val="24"/>
              </w:rPr>
              <w:t>Both measures work towards faster structural adjustment in agriculture and the preservation of the viability of the Slovenian countryside.</w:t>
            </w:r>
            <w:r w:rsidRPr="005C3B55">
              <w:rPr>
                <w:noProof/>
                <w:szCs w:val="24"/>
              </w:rPr>
              <w:t xml:space="preserve"> </w:t>
            </w:r>
            <w:r w:rsidRPr="005C3B55">
              <w:rPr>
                <w:szCs w:val="24"/>
              </w:rPr>
              <w:t>Approximately EUR 61 million are allocated to both measures. 2,500 young farmers (3.45% of agricultural holdings) are expected to be supported with start-up aid.</w:t>
            </w:r>
          </w:p>
          <w:p w:rsidR="00BD3B5F" w:rsidRPr="005C3B55" w:rsidRDefault="00BD3B5F">
            <w:pPr>
              <w:spacing w:before="240" w:after="240"/>
              <w:jc w:val="left"/>
              <w:rPr>
                <w:noProof/>
                <w:szCs w:val="24"/>
              </w:rPr>
            </w:pPr>
            <w:r w:rsidRPr="005C3B55">
              <w:rPr>
                <w:szCs w:val="24"/>
              </w:rPr>
              <w:t>The implementation of measures will have an indirect impact on the following focus areas:</w:t>
            </w:r>
          </w:p>
          <w:p w:rsidR="00BD3B5F" w:rsidRPr="005C3B55" w:rsidRDefault="00BD3B5F" w:rsidP="00BD3B5F">
            <w:pPr>
              <w:numPr>
                <w:ilvl w:val="0"/>
                <w:numId w:val="104"/>
              </w:numPr>
              <w:spacing w:before="240" w:after="0"/>
              <w:ind w:hanging="290"/>
              <w:jc w:val="left"/>
              <w:rPr>
                <w:noProof/>
                <w:szCs w:val="24"/>
              </w:rPr>
            </w:pPr>
            <w:r w:rsidRPr="005C3B55">
              <w:rPr>
                <w:noProof/>
                <w:szCs w:val="24"/>
              </w:rPr>
              <w:t xml:space="preserve">M01: 1A, 1C </w:t>
            </w:r>
            <w:r w:rsidRPr="005C3B55">
              <w:rPr>
                <w:szCs w:val="24"/>
              </w:rPr>
              <w:t>and</w:t>
            </w:r>
            <w:r w:rsidRPr="005C3B55">
              <w:rPr>
                <w:noProof/>
                <w:szCs w:val="24"/>
              </w:rPr>
              <w:t xml:space="preserve"> 2A;</w:t>
            </w:r>
          </w:p>
          <w:p w:rsidR="00BD3B5F" w:rsidRPr="005C3B55" w:rsidRDefault="00BD3B5F" w:rsidP="00BD3B5F">
            <w:pPr>
              <w:numPr>
                <w:ilvl w:val="0"/>
                <w:numId w:val="104"/>
              </w:numPr>
              <w:spacing w:before="0" w:after="240"/>
              <w:ind w:hanging="290"/>
              <w:jc w:val="left"/>
              <w:rPr>
                <w:noProof/>
                <w:szCs w:val="24"/>
              </w:rPr>
            </w:pPr>
            <w:r w:rsidRPr="005C3B55">
              <w:rPr>
                <w:noProof/>
                <w:szCs w:val="24"/>
              </w:rPr>
              <w:t xml:space="preserve">M06: 1A </w:t>
            </w:r>
            <w:r w:rsidRPr="005C3B55">
              <w:rPr>
                <w:szCs w:val="24"/>
              </w:rPr>
              <w:t>and</w:t>
            </w:r>
            <w:r w:rsidRPr="005C3B55">
              <w:rPr>
                <w:noProof/>
                <w:szCs w:val="24"/>
              </w:rPr>
              <w:t xml:space="preserve"> 2A.</w:t>
            </w:r>
          </w:p>
          <w:p w:rsidR="00BD3B5F" w:rsidRPr="005C3B55" w:rsidRDefault="00BD3B5F">
            <w:pPr>
              <w:pStyle w:val="Telobesedila"/>
              <w:rPr>
                <w:szCs w:val="24"/>
              </w:rPr>
            </w:pPr>
          </w:p>
        </w:tc>
      </w:tr>
    </w:tbl>
    <w:p w:rsidR="00BD3B5F" w:rsidRPr="005C3B55" w:rsidRDefault="00BD3B5F">
      <w:pPr>
        <w:rPr>
          <w:szCs w:val="24"/>
        </w:rPr>
      </w:pPr>
    </w:p>
    <w:p w:rsidR="00BD3B5F" w:rsidRPr="005C3B55" w:rsidRDefault="00BD3B5F">
      <w:pPr>
        <w:pStyle w:val="Naslov3"/>
        <w:tabs>
          <w:tab w:val="clear" w:pos="765"/>
        </w:tabs>
        <w:ind w:left="0" w:firstLine="0"/>
        <w:jc w:val="left"/>
        <w:rPr>
          <w:szCs w:val="24"/>
          <w:lang w:val="en-GB"/>
        </w:rPr>
      </w:pPr>
      <w:bookmarkStart w:id="88" w:name="_Toc416192546"/>
      <w:r w:rsidRPr="005C3B55">
        <w:rPr>
          <w:noProof/>
          <w:szCs w:val="24"/>
          <w:lang w:val="en-GB"/>
        </w:rPr>
        <w:t>N3:</w:t>
      </w:r>
      <w:r w:rsidRPr="005C3B55">
        <w:rPr>
          <w:szCs w:val="24"/>
          <w:lang w:val="en-GB"/>
        </w:rPr>
        <w:t xml:space="preserve"> Encouraging organisation of the food supply chain, including processing and marketing of agricultural products, animal welfare and risk management in agriculture</w:t>
      </w:r>
      <w:bookmarkEnd w:id="88"/>
    </w:p>
    <w:p w:rsidR="00BD3B5F" w:rsidRPr="005C3B55" w:rsidRDefault="00BD3B5F">
      <w:pPr>
        <w:pStyle w:val="Naslov4"/>
        <w:tabs>
          <w:tab w:val="clear" w:pos="765"/>
        </w:tabs>
        <w:ind w:left="0" w:firstLine="0"/>
        <w:jc w:val="left"/>
        <w:rPr>
          <w:szCs w:val="24"/>
          <w:lang w:val="en-GB"/>
        </w:rPr>
      </w:pPr>
      <w:r w:rsidRPr="005C3B55">
        <w:rPr>
          <w:szCs w:val="24"/>
          <w:lang w:val="en-GB"/>
        </w:rPr>
        <w:t>3A) Improving the competitiveness of primary producers with their enhanced inclusion in the agro-food chain through quality schemes, adding value to agricultural products and promotion in local markets, short supply chains, producer groups and organisations and inter-branch organisations</w:t>
      </w:r>
    </w:p>
    <w:p w:rsidR="00BD3B5F" w:rsidRPr="005C3B55" w:rsidRDefault="00BD3B5F">
      <w:pPr>
        <w:pStyle w:val="Naslov5"/>
        <w:tabs>
          <w:tab w:val="clear" w:pos="765"/>
        </w:tabs>
        <w:ind w:left="0" w:firstLine="0"/>
        <w:rPr>
          <w:b w:val="0"/>
          <w:szCs w:val="24"/>
          <w:lang w:val="en-GB"/>
        </w:rPr>
      </w:pPr>
      <w:r w:rsidRPr="005C3B55">
        <w:rPr>
          <w:b w:val="0"/>
          <w:noProof w:val="0"/>
          <w:szCs w:val="24"/>
          <w:lang w:val="en-GB"/>
        </w:rPr>
        <w:t>Selection of rural development measures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10656"/>
      </w:tblGrid>
      <w:tr w:rsidR="00BD3B5F" w:rsidRPr="005C3B55">
        <w:tc>
          <w:tcPr>
            <w:tcW w:w="10656" w:type="dxa"/>
            <w:tcMar>
              <w:top w:w="20" w:type="dxa"/>
              <w:bottom w:w="20" w:type="dxa"/>
            </w:tcMar>
            <w:vAlign w:val="bottom"/>
          </w:tcPr>
          <w:p w:rsidR="00BD3B5F" w:rsidRPr="005C3B55" w:rsidRDefault="00BD3B5F" w:rsidP="00BD3B5F">
            <w:pPr>
              <w:numPr>
                <w:ilvl w:val="0"/>
                <w:numId w:val="105"/>
              </w:numPr>
              <w:rPr>
                <w:szCs w:val="24"/>
              </w:rPr>
            </w:pPr>
            <w:r w:rsidRPr="005C3B55">
              <w:rPr>
                <w:szCs w:val="24"/>
              </w:rPr>
              <w:t>M01 – Knowledge transfer and information actions (Article 14)</w:t>
            </w:r>
          </w:p>
          <w:p w:rsidR="00BD3B5F" w:rsidRPr="005C3B55" w:rsidRDefault="00BD3B5F" w:rsidP="00BD3B5F">
            <w:pPr>
              <w:numPr>
                <w:ilvl w:val="0"/>
                <w:numId w:val="105"/>
              </w:numPr>
              <w:rPr>
                <w:szCs w:val="24"/>
              </w:rPr>
            </w:pPr>
            <w:r w:rsidRPr="005C3B55">
              <w:rPr>
                <w:szCs w:val="24"/>
              </w:rPr>
              <w:t>M02 – Advisory services, farm management and farm relief services (Article 15)</w:t>
            </w:r>
          </w:p>
          <w:p w:rsidR="00BD3B5F" w:rsidRPr="005C3B55" w:rsidRDefault="00BD3B5F" w:rsidP="00BD3B5F">
            <w:pPr>
              <w:numPr>
                <w:ilvl w:val="0"/>
                <w:numId w:val="105"/>
              </w:numPr>
              <w:rPr>
                <w:szCs w:val="24"/>
              </w:rPr>
            </w:pPr>
            <w:r w:rsidRPr="005C3B55">
              <w:rPr>
                <w:szCs w:val="24"/>
              </w:rPr>
              <w:t>M03 – Quality schemes for agricultural products and foodstuffs (Article 16)</w:t>
            </w:r>
          </w:p>
          <w:p w:rsidR="00BD3B5F" w:rsidRPr="005C3B55" w:rsidRDefault="00BD3B5F" w:rsidP="00BD3B5F">
            <w:pPr>
              <w:numPr>
                <w:ilvl w:val="0"/>
                <w:numId w:val="105"/>
              </w:numPr>
              <w:rPr>
                <w:szCs w:val="24"/>
              </w:rPr>
            </w:pPr>
            <w:r w:rsidRPr="005C3B55">
              <w:rPr>
                <w:szCs w:val="24"/>
              </w:rPr>
              <w:t>M04 - Investments in physical assets (Article 17)</w:t>
            </w:r>
          </w:p>
          <w:p w:rsidR="00BD3B5F" w:rsidRPr="005C3B55" w:rsidRDefault="00BD3B5F" w:rsidP="00BD3B5F">
            <w:pPr>
              <w:numPr>
                <w:ilvl w:val="0"/>
                <w:numId w:val="105"/>
              </w:numPr>
              <w:rPr>
                <w:szCs w:val="24"/>
              </w:rPr>
            </w:pPr>
            <w:r w:rsidRPr="005C3B55">
              <w:rPr>
                <w:szCs w:val="24"/>
              </w:rPr>
              <w:t>M09 – Setting-up of producer groups and organisations (Article 27)</w:t>
            </w:r>
          </w:p>
          <w:p w:rsidR="00BD3B5F" w:rsidRPr="005C3B55" w:rsidRDefault="00BD3B5F" w:rsidP="00BD3B5F">
            <w:pPr>
              <w:numPr>
                <w:ilvl w:val="0"/>
                <w:numId w:val="105"/>
              </w:numPr>
              <w:rPr>
                <w:szCs w:val="24"/>
              </w:rPr>
            </w:pPr>
            <w:r w:rsidRPr="005C3B55">
              <w:rPr>
                <w:szCs w:val="24"/>
              </w:rPr>
              <w:t>M14 – Animal welfare (Article 33)</w:t>
            </w:r>
          </w:p>
          <w:p w:rsidR="00BD3B5F" w:rsidRPr="005C3B55" w:rsidRDefault="00BD3B5F" w:rsidP="00BD3B5F">
            <w:pPr>
              <w:numPr>
                <w:ilvl w:val="0"/>
                <w:numId w:val="105"/>
              </w:numPr>
              <w:rPr>
                <w:szCs w:val="24"/>
              </w:rPr>
            </w:pPr>
            <w:r w:rsidRPr="005C3B55">
              <w:rPr>
                <w:szCs w:val="24"/>
              </w:rPr>
              <w:t>M16 – Cooperation (Article 35)</w:t>
            </w:r>
          </w:p>
        </w:tc>
      </w:tr>
    </w:tbl>
    <w:p w:rsidR="00BD3B5F" w:rsidRPr="005C3B55" w:rsidRDefault="00BD3B5F">
      <w:pPr>
        <w:pStyle w:val="Naslov5"/>
        <w:tabs>
          <w:tab w:val="clear" w:pos="765"/>
        </w:tabs>
        <w:ind w:left="0" w:firstLine="0"/>
        <w:rPr>
          <w:b w:val="0"/>
          <w:szCs w:val="24"/>
          <w:lang w:val="en-GB"/>
        </w:rPr>
      </w:pPr>
      <w:r w:rsidRPr="005C3B55">
        <w:rPr>
          <w:noProof w:val="0"/>
          <w:szCs w:val="24"/>
          <w:lang w:val="en-GB"/>
        </w:rPr>
        <w:t>Combination and justification of rural development measures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10656" w:type="dxa"/>
            <w:tcMar>
              <w:top w:w="20" w:type="dxa"/>
              <w:bottom w:w="20" w:type="dxa"/>
            </w:tcMar>
            <w:vAlign w:val="bottom"/>
          </w:tcPr>
          <w:p w:rsidR="00BD3B5F" w:rsidRPr="005C3B55" w:rsidRDefault="00BD3B5F">
            <w:pPr>
              <w:spacing w:before="0" w:after="240"/>
              <w:jc w:val="left"/>
              <w:rPr>
                <w:noProof/>
                <w:szCs w:val="24"/>
              </w:rPr>
            </w:pPr>
            <w:r w:rsidRPr="005C3B55">
              <w:rPr>
                <w:szCs w:val="24"/>
              </w:rPr>
              <w:t>Integration of agricultural holdings in various forms of production and marketing organisation, establishment and development of short supply chains and local markets is a key factor for increasing the competitiveness of agriculture and food industry, as well as the forestry sector.</w:t>
            </w:r>
            <w:r w:rsidRPr="005C3B55">
              <w:rPr>
                <w:noProof/>
                <w:szCs w:val="24"/>
              </w:rPr>
              <w:t xml:space="preserve"> </w:t>
            </w:r>
            <w:r w:rsidRPr="005C3B55">
              <w:rPr>
                <w:szCs w:val="24"/>
              </w:rPr>
              <w:t>According to an analysis of the situation, market organisation is one of the weaknesses detected.</w:t>
            </w:r>
            <w:r w:rsidRPr="005C3B55">
              <w:rPr>
                <w:noProof/>
                <w:szCs w:val="24"/>
              </w:rPr>
              <w:t xml:space="preserve"> </w:t>
            </w:r>
            <w:r w:rsidRPr="005C3B55">
              <w:rPr>
                <w:szCs w:val="24"/>
              </w:rPr>
              <w:t>The combination of measures within this focus area will be used to make an effort towards integration into efficient market chains:</w:t>
            </w:r>
            <w:r w:rsidRPr="005C3B55">
              <w:rPr>
                <w:noProof/>
                <w:szCs w:val="24"/>
              </w:rPr>
              <w:t xml:space="preserve"> </w:t>
            </w:r>
            <w:r w:rsidRPr="005C3B55">
              <w:rPr>
                <w:szCs w:val="24"/>
              </w:rPr>
              <w:t>horizontally towards the utilisation of advantages of production integration, common use of production capacities and joint performance, and vertically with the objective of establishing closer ties with production facilities, increasing the supply of agricultural products and foodstuffs with higher added value, especially products from quality schemes and higher standard animal production.</w:t>
            </w:r>
            <w:r w:rsidRPr="005C3B55">
              <w:rPr>
                <w:noProof/>
                <w:szCs w:val="24"/>
              </w:rPr>
              <w:t xml:space="preserve"> </w:t>
            </w:r>
            <w:r w:rsidRPr="005C3B55">
              <w:rPr>
                <w:szCs w:val="24"/>
              </w:rPr>
              <w:t>The economic integration is completed by Measure M16 whose objective is to support the establishment of supply chains and local markets, and their promotion.</w:t>
            </w:r>
          </w:p>
          <w:p w:rsidR="00BD3B5F" w:rsidRPr="005C3B55" w:rsidRDefault="00BD3B5F">
            <w:pPr>
              <w:spacing w:before="240" w:after="240"/>
              <w:jc w:val="left"/>
              <w:rPr>
                <w:noProof/>
                <w:szCs w:val="24"/>
              </w:rPr>
            </w:pPr>
            <w:r w:rsidRPr="005C3B55">
              <w:rPr>
                <w:szCs w:val="24"/>
              </w:rPr>
              <w:t>Measures may be integrated; therefore, numerous synergies may be expected.</w:t>
            </w:r>
            <w:r w:rsidRPr="005C3B55">
              <w:rPr>
                <w:noProof/>
                <w:szCs w:val="24"/>
              </w:rPr>
              <w:t xml:space="preserve"> </w:t>
            </w:r>
            <w:r w:rsidRPr="005C3B55">
              <w:rPr>
                <w:szCs w:val="24"/>
              </w:rPr>
              <w:t>They bring advantages from the economic, nutritional, environmental and wider social aspect, and present a response to the increased expectations of consumers for greater offer of high-quality products which guarantee quality to consumers and provide numerous new market opportunities to producers.</w:t>
            </w:r>
            <w:r w:rsidRPr="005C3B55">
              <w:rPr>
                <w:noProof/>
                <w:szCs w:val="24"/>
              </w:rPr>
              <w:t xml:space="preserve"> </w:t>
            </w:r>
            <w:r w:rsidRPr="005C3B55">
              <w:rPr>
                <w:szCs w:val="24"/>
              </w:rPr>
              <w:t>The key to attaining these objectives is to increase the qualifications and improve the availability of advisory services, primarily in connection with measures M11 and M14. Approximately EUR 102 million or 9% of funds for RDP 2014–2020 are allocated to focus area 3A. The measures intended for the integration in quality schemes, producer groups/organisations, short supply chains and local markets will include slightly less than 2% of agricultural holdings.</w:t>
            </w:r>
          </w:p>
          <w:p w:rsidR="00BD3B5F" w:rsidRPr="005C3B55" w:rsidRDefault="00BD3B5F">
            <w:pPr>
              <w:spacing w:before="240" w:after="240"/>
              <w:jc w:val="left"/>
              <w:rPr>
                <w:noProof/>
                <w:szCs w:val="24"/>
              </w:rPr>
            </w:pPr>
            <w:r w:rsidRPr="005C3B55">
              <w:rPr>
                <w:szCs w:val="24"/>
              </w:rPr>
              <w:t>The implementation of measures will have an indirect impact on the following focus areas:</w:t>
            </w:r>
          </w:p>
          <w:p w:rsidR="00BD3B5F" w:rsidRPr="005C3B55" w:rsidRDefault="00BD3B5F" w:rsidP="00BD3B5F">
            <w:pPr>
              <w:numPr>
                <w:ilvl w:val="0"/>
                <w:numId w:val="106"/>
              </w:numPr>
              <w:spacing w:before="240" w:after="0"/>
              <w:ind w:hanging="290"/>
              <w:jc w:val="left"/>
              <w:rPr>
                <w:noProof/>
                <w:szCs w:val="24"/>
              </w:rPr>
            </w:pPr>
            <w:r w:rsidRPr="005C3B55">
              <w:rPr>
                <w:noProof/>
                <w:szCs w:val="24"/>
              </w:rPr>
              <w:t xml:space="preserve">M01: 1A, 1C </w:t>
            </w:r>
            <w:r w:rsidRPr="005C3B55">
              <w:rPr>
                <w:szCs w:val="24"/>
              </w:rPr>
              <w:t>and</w:t>
            </w:r>
            <w:r w:rsidRPr="005C3B55">
              <w:rPr>
                <w:noProof/>
                <w:szCs w:val="24"/>
              </w:rPr>
              <w:t xml:space="preserve"> 2A;</w:t>
            </w:r>
          </w:p>
          <w:p w:rsidR="00BD3B5F" w:rsidRPr="005C3B55" w:rsidRDefault="00BD3B5F" w:rsidP="00BD3B5F">
            <w:pPr>
              <w:numPr>
                <w:ilvl w:val="0"/>
                <w:numId w:val="106"/>
              </w:numPr>
              <w:spacing w:before="0" w:after="0"/>
              <w:ind w:hanging="290"/>
              <w:jc w:val="left"/>
              <w:rPr>
                <w:noProof/>
                <w:szCs w:val="24"/>
              </w:rPr>
            </w:pPr>
            <w:r w:rsidRPr="005C3B55">
              <w:rPr>
                <w:noProof/>
                <w:szCs w:val="24"/>
              </w:rPr>
              <w:t>M02: 1A;</w:t>
            </w:r>
          </w:p>
          <w:p w:rsidR="00BD3B5F" w:rsidRPr="005C3B55" w:rsidRDefault="00BD3B5F" w:rsidP="00BD3B5F">
            <w:pPr>
              <w:numPr>
                <w:ilvl w:val="0"/>
                <w:numId w:val="106"/>
              </w:numPr>
              <w:spacing w:before="0" w:after="0"/>
              <w:ind w:hanging="290"/>
              <w:jc w:val="left"/>
              <w:rPr>
                <w:noProof/>
                <w:szCs w:val="24"/>
              </w:rPr>
            </w:pPr>
            <w:r w:rsidRPr="005C3B55">
              <w:rPr>
                <w:noProof/>
                <w:szCs w:val="24"/>
              </w:rPr>
              <w:t xml:space="preserve">M04: 1B, 1C </w:t>
            </w:r>
            <w:r w:rsidRPr="005C3B55">
              <w:rPr>
                <w:szCs w:val="24"/>
              </w:rPr>
              <w:t>and</w:t>
            </w:r>
            <w:r w:rsidRPr="005C3B55">
              <w:rPr>
                <w:noProof/>
                <w:szCs w:val="24"/>
              </w:rPr>
              <w:t xml:space="preserve"> 5C;</w:t>
            </w:r>
          </w:p>
          <w:p w:rsidR="00BD3B5F" w:rsidRPr="005C3B55" w:rsidRDefault="00BD3B5F" w:rsidP="00BD3B5F">
            <w:pPr>
              <w:numPr>
                <w:ilvl w:val="0"/>
                <w:numId w:val="106"/>
              </w:numPr>
              <w:spacing w:before="0" w:after="0"/>
              <w:ind w:hanging="290"/>
              <w:jc w:val="left"/>
              <w:rPr>
                <w:noProof/>
                <w:szCs w:val="24"/>
              </w:rPr>
            </w:pPr>
            <w:r w:rsidRPr="005C3B55">
              <w:rPr>
                <w:noProof/>
                <w:szCs w:val="24"/>
              </w:rPr>
              <w:t xml:space="preserve">M14: 1A, 1B </w:t>
            </w:r>
            <w:r w:rsidRPr="005C3B55">
              <w:rPr>
                <w:szCs w:val="24"/>
              </w:rPr>
              <w:t>and</w:t>
            </w:r>
            <w:r w:rsidRPr="005C3B55">
              <w:rPr>
                <w:noProof/>
                <w:szCs w:val="24"/>
              </w:rPr>
              <w:t xml:space="preserve"> 5D;</w:t>
            </w:r>
          </w:p>
          <w:p w:rsidR="00BD3B5F" w:rsidRPr="005C3B55" w:rsidRDefault="00BD3B5F" w:rsidP="00BD3B5F">
            <w:pPr>
              <w:numPr>
                <w:ilvl w:val="0"/>
                <w:numId w:val="106"/>
              </w:numPr>
              <w:spacing w:before="0" w:after="240"/>
              <w:ind w:hanging="290"/>
              <w:jc w:val="left"/>
              <w:rPr>
                <w:noProof/>
                <w:szCs w:val="24"/>
              </w:rPr>
            </w:pPr>
            <w:r w:rsidRPr="005C3B55">
              <w:rPr>
                <w:noProof/>
                <w:szCs w:val="24"/>
              </w:rPr>
              <w:t xml:space="preserve">M16: 1A, 1B, 2A, 6A </w:t>
            </w:r>
            <w:r w:rsidRPr="005C3B55">
              <w:rPr>
                <w:szCs w:val="24"/>
              </w:rPr>
              <w:t>and</w:t>
            </w:r>
            <w:r w:rsidRPr="005C3B55">
              <w:rPr>
                <w:noProof/>
                <w:szCs w:val="24"/>
              </w:rPr>
              <w:t xml:space="preserve"> 6B.</w:t>
            </w:r>
          </w:p>
          <w:p w:rsidR="00BD3B5F" w:rsidRPr="005C3B55" w:rsidRDefault="00BD3B5F">
            <w:pPr>
              <w:pStyle w:val="Telobesedila"/>
              <w:rPr>
                <w:szCs w:val="24"/>
              </w:rPr>
            </w:pPr>
          </w:p>
        </w:tc>
      </w:tr>
    </w:tbl>
    <w:p w:rsidR="00BD3B5F" w:rsidRPr="005C3B55" w:rsidRDefault="00BD3B5F">
      <w:pPr>
        <w:rPr>
          <w:szCs w:val="24"/>
        </w:rPr>
      </w:pPr>
    </w:p>
    <w:p w:rsidR="00BD3B5F" w:rsidRPr="005C3B55" w:rsidRDefault="00BD3B5F">
      <w:pPr>
        <w:pStyle w:val="Naslov4"/>
        <w:tabs>
          <w:tab w:val="clear" w:pos="765"/>
        </w:tabs>
        <w:ind w:left="0" w:firstLine="0"/>
        <w:jc w:val="left"/>
        <w:rPr>
          <w:szCs w:val="24"/>
          <w:lang w:val="en-GB"/>
        </w:rPr>
      </w:pPr>
      <w:r w:rsidRPr="005C3B55">
        <w:rPr>
          <w:szCs w:val="24"/>
          <w:lang w:val="en-GB"/>
        </w:rPr>
        <w:t>3B) Support for the prevention and management of risks on farms</w:t>
      </w:r>
    </w:p>
    <w:p w:rsidR="00BD3B5F" w:rsidRPr="005C3B55" w:rsidRDefault="00BD3B5F">
      <w:pPr>
        <w:pStyle w:val="Naslov5"/>
        <w:tabs>
          <w:tab w:val="clear" w:pos="765"/>
        </w:tabs>
        <w:ind w:left="0" w:firstLine="0"/>
        <w:rPr>
          <w:szCs w:val="24"/>
          <w:lang w:val="en-GB"/>
        </w:rPr>
      </w:pPr>
      <w:r w:rsidRPr="005C3B55">
        <w:rPr>
          <w:noProof w:val="0"/>
          <w:szCs w:val="24"/>
          <w:lang w:val="en-GB"/>
        </w:rPr>
        <w:t>Selection of rural development measures</w:t>
      </w:r>
    </w:p>
    <w:p w:rsidR="00BD3B5F" w:rsidRPr="005C3B55" w:rsidRDefault="00BD3B5F">
      <w:pPr>
        <w:pStyle w:val="Naslov5"/>
        <w:tabs>
          <w:tab w:val="clear" w:pos="765"/>
        </w:tabs>
        <w:ind w:left="0" w:firstLine="0"/>
        <w:rPr>
          <w:szCs w:val="24"/>
          <w:lang w:val="en-GB"/>
        </w:rPr>
      </w:pPr>
      <w:r w:rsidRPr="005C3B55">
        <w:rPr>
          <w:noProof w:val="0"/>
          <w:szCs w:val="24"/>
          <w:lang w:val="en-GB"/>
        </w:rPr>
        <w:t>Combination and justification of rural development measures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10656" w:type="dxa"/>
            <w:tcMar>
              <w:top w:w="20" w:type="dxa"/>
              <w:bottom w:w="20" w:type="dxa"/>
            </w:tcMar>
            <w:vAlign w:val="bottom"/>
          </w:tcPr>
          <w:p w:rsidR="00BD3B5F" w:rsidRPr="005C3B55" w:rsidRDefault="00BD3B5F">
            <w:pPr>
              <w:spacing w:before="0" w:after="240"/>
              <w:jc w:val="left"/>
              <w:rPr>
                <w:noProof/>
                <w:szCs w:val="24"/>
              </w:rPr>
            </w:pPr>
            <w:r w:rsidRPr="005C3B55">
              <w:rPr>
                <w:szCs w:val="24"/>
              </w:rPr>
              <w:t>Slovenia will not programme the measures from this focus area.</w:t>
            </w:r>
          </w:p>
          <w:p w:rsidR="00BD3B5F" w:rsidRPr="005C3B55" w:rsidRDefault="00BD3B5F">
            <w:pPr>
              <w:spacing w:before="240" w:after="240"/>
              <w:jc w:val="left"/>
              <w:rPr>
                <w:noProof/>
                <w:szCs w:val="24"/>
              </w:rPr>
            </w:pPr>
            <w:r w:rsidRPr="005C3B55">
              <w:rPr>
                <w:szCs w:val="24"/>
              </w:rPr>
              <w:t>Explanation:</w:t>
            </w:r>
            <w:r w:rsidRPr="005C3B55">
              <w:rPr>
                <w:noProof/>
                <w:szCs w:val="24"/>
              </w:rPr>
              <w:t xml:space="preserve"> </w:t>
            </w:r>
            <w:r w:rsidRPr="005C3B55">
              <w:rPr>
                <w:szCs w:val="24"/>
              </w:rPr>
              <w:t>Slovenia decided not to programme the measures in the field of risk management, since the measure of co-financing insurance premiums is implemented from the state budget.</w:t>
            </w:r>
            <w:r w:rsidRPr="005C3B55">
              <w:rPr>
                <w:noProof/>
                <w:szCs w:val="24"/>
              </w:rPr>
              <w:t xml:space="preserve"> </w:t>
            </w:r>
            <w:r w:rsidRPr="005C3B55">
              <w:rPr>
                <w:szCs w:val="24"/>
              </w:rPr>
              <w:t>Slovenia has not developed other risk management instruments, as no real interest had been expressed. At the same time, one of the key preconditions had not been fulfilled for their establishment, i.e. bookkeeping at agricultural holdings.</w:t>
            </w:r>
            <w:r w:rsidRPr="005C3B55">
              <w:rPr>
                <w:noProof/>
                <w:szCs w:val="24"/>
              </w:rPr>
              <w:t xml:space="preserve"> </w:t>
            </w:r>
            <w:r w:rsidRPr="005C3B55">
              <w:rPr>
                <w:szCs w:val="24"/>
              </w:rPr>
              <w:t>Faster development of these instruments may be expected in the following years, especially in the case of greater changes in the field of payments within Pillar 1 of the CAP which, for the time being, have a stabilising effect.</w:t>
            </w:r>
          </w:p>
          <w:p w:rsidR="00BD3B5F" w:rsidRPr="005C3B55" w:rsidRDefault="00BD3B5F">
            <w:pPr>
              <w:pStyle w:val="Telobesedila"/>
              <w:rPr>
                <w:szCs w:val="24"/>
              </w:rPr>
            </w:pPr>
          </w:p>
        </w:tc>
      </w:tr>
    </w:tbl>
    <w:p w:rsidR="00BD3B5F" w:rsidRPr="005C3B55" w:rsidRDefault="00BD3B5F">
      <w:pPr>
        <w:rPr>
          <w:szCs w:val="24"/>
        </w:rPr>
      </w:pPr>
    </w:p>
    <w:p w:rsidR="00BD3B5F" w:rsidRPr="005C3B55" w:rsidRDefault="00BD3B5F">
      <w:pPr>
        <w:pStyle w:val="Naslov3"/>
        <w:tabs>
          <w:tab w:val="clear" w:pos="765"/>
        </w:tabs>
        <w:ind w:left="0" w:firstLine="0"/>
        <w:jc w:val="left"/>
        <w:rPr>
          <w:szCs w:val="24"/>
          <w:lang w:val="en-GB"/>
        </w:rPr>
      </w:pPr>
      <w:bookmarkStart w:id="89" w:name="_Toc416192547"/>
      <w:r w:rsidRPr="005C3B55">
        <w:rPr>
          <w:szCs w:val="24"/>
          <w:lang w:val="en-GB"/>
        </w:rPr>
        <w:t>N4: Restoration, preservation and enhancement of ecosystems related to agriculture and forestry</w:t>
      </w:r>
      <w:bookmarkEnd w:id="89"/>
    </w:p>
    <w:p w:rsidR="00BD3B5F" w:rsidRPr="005C3B55" w:rsidRDefault="00BD3B5F">
      <w:pPr>
        <w:pStyle w:val="Naslov4"/>
        <w:tabs>
          <w:tab w:val="clear" w:pos="765"/>
        </w:tabs>
        <w:ind w:left="0" w:firstLine="0"/>
        <w:jc w:val="left"/>
        <w:rPr>
          <w:szCs w:val="24"/>
          <w:lang w:val="en-GB"/>
        </w:rPr>
      </w:pPr>
      <w:r w:rsidRPr="005C3B55">
        <w:rPr>
          <w:szCs w:val="24"/>
          <w:lang w:val="en-GB"/>
        </w:rPr>
        <w:t>4A) Restoring, preserving and enhancing biodiversity, including in Natura 2000 sites, and in areas facing natural or other specific constraints, and high nature value farming, as well as the state of European landscapes</w:t>
      </w:r>
    </w:p>
    <w:p w:rsidR="00BD3B5F" w:rsidRPr="005C3B55" w:rsidRDefault="00BD3B5F">
      <w:pPr>
        <w:pStyle w:val="Naslov5"/>
        <w:tabs>
          <w:tab w:val="clear" w:pos="765"/>
        </w:tabs>
        <w:ind w:left="0" w:firstLine="0"/>
        <w:rPr>
          <w:b w:val="0"/>
          <w:szCs w:val="24"/>
          <w:lang w:val="en-GB"/>
        </w:rPr>
      </w:pPr>
      <w:r w:rsidRPr="005C3B55">
        <w:rPr>
          <w:b w:val="0"/>
          <w:noProof w:val="0"/>
          <w:szCs w:val="24"/>
          <w:lang w:val="en-GB"/>
        </w:rPr>
        <w:t>Measures for agricultural land</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10656"/>
      </w:tblGrid>
      <w:tr w:rsidR="00BD3B5F" w:rsidRPr="005C3B55">
        <w:tc>
          <w:tcPr>
            <w:tcW w:w="10656" w:type="dxa"/>
            <w:tcMar>
              <w:top w:w="20" w:type="dxa"/>
              <w:bottom w:w="20" w:type="dxa"/>
            </w:tcMar>
            <w:vAlign w:val="bottom"/>
          </w:tcPr>
          <w:p w:rsidR="00BD3B5F" w:rsidRPr="005C3B55" w:rsidRDefault="00BD3B5F" w:rsidP="00BD3B5F">
            <w:pPr>
              <w:numPr>
                <w:ilvl w:val="0"/>
                <w:numId w:val="107"/>
              </w:numPr>
              <w:rPr>
                <w:szCs w:val="24"/>
              </w:rPr>
            </w:pPr>
            <w:r w:rsidRPr="005C3B55">
              <w:rPr>
                <w:szCs w:val="24"/>
              </w:rPr>
              <w:t>M01 – Knowledge transfer and information actions (Article 14)</w:t>
            </w:r>
          </w:p>
          <w:p w:rsidR="00BD3B5F" w:rsidRPr="005C3B55" w:rsidRDefault="00BD3B5F" w:rsidP="00BD3B5F">
            <w:pPr>
              <w:numPr>
                <w:ilvl w:val="0"/>
                <w:numId w:val="107"/>
              </w:numPr>
              <w:rPr>
                <w:szCs w:val="24"/>
              </w:rPr>
            </w:pPr>
            <w:r w:rsidRPr="005C3B55">
              <w:rPr>
                <w:szCs w:val="24"/>
              </w:rPr>
              <w:t>M02 – Advisory services, farm management and farm relief services (Article 15)</w:t>
            </w:r>
          </w:p>
          <w:p w:rsidR="00BD3B5F" w:rsidRPr="005C3B55" w:rsidRDefault="00BD3B5F" w:rsidP="00BD3B5F">
            <w:pPr>
              <w:numPr>
                <w:ilvl w:val="0"/>
                <w:numId w:val="107"/>
              </w:numPr>
              <w:rPr>
                <w:szCs w:val="24"/>
              </w:rPr>
            </w:pPr>
            <w:r w:rsidRPr="005C3B55">
              <w:rPr>
                <w:szCs w:val="24"/>
              </w:rPr>
              <w:t xml:space="preserve">M10 – </w:t>
            </w:r>
            <w:r w:rsidRPr="005C3B55">
              <w:rPr>
                <w:rStyle w:val="atn"/>
                <w:szCs w:val="24"/>
              </w:rPr>
              <w:t>Agri-environment-climate payments</w:t>
            </w:r>
            <w:r w:rsidRPr="005C3B55">
              <w:rPr>
                <w:szCs w:val="24"/>
              </w:rPr>
              <w:t xml:space="preserve"> </w:t>
            </w:r>
            <w:r w:rsidRPr="005C3B55">
              <w:rPr>
                <w:rStyle w:val="hps"/>
                <w:szCs w:val="24"/>
              </w:rPr>
              <w:t xml:space="preserve">(Article </w:t>
            </w:r>
            <w:r w:rsidRPr="005C3B55">
              <w:rPr>
                <w:szCs w:val="24"/>
              </w:rPr>
              <w:t>28)</w:t>
            </w:r>
          </w:p>
          <w:p w:rsidR="00BD3B5F" w:rsidRPr="005C3B55" w:rsidRDefault="00BD3B5F" w:rsidP="00BD3B5F">
            <w:pPr>
              <w:numPr>
                <w:ilvl w:val="0"/>
                <w:numId w:val="107"/>
              </w:numPr>
              <w:rPr>
                <w:szCs w:val="24"/>
              </w:rPr>
            </w:pPr>
            <w:r w:rsidRPr="005C3B55">
              <w:rPr>
                <w:szCs w:val="24"/>
              </w:rPr>
              <w:t>M11 – Organic farming (Article 29)</w:t>
            </w:r>
          </w:p>
          <w:p w:rsidR="00BD3B5F" w:rsidRPr="005C3B55" w:rsidRDefault="00BD3B5F" w:rsidP="00BD3B5F">
            <w:pPr>
              <w:numPr>
                <w:ilvl w:val="0"/>
                <w:numId w:val="107"/>
              </w:numPr>
              <w:rPr>
                <w:szCs w:val="24"/>
              </w:rPr>
            </w:pPr>
            <w:r w:rsidRPr="005C3B55">
              <w:rPr>
                <w:szCs w:val="24"/>
              </w:rPr>
              <w:t>M13 – Payments to areas facing natural or other specific constraints (Article 31)</w:t>
            </w:r>
          </w:p>
          <w:p w:rsidR="00BD3B5F" w:rsidRPr="005C3B55" w:rsidRDefault="00BD3B5F" w:rsidP="00BD3B5F">
            <w:pPr>
              <w:numPr>
                <w:ilvl w:val="0"/>
                <w:numId w:val="107"/>
              </w:numPr>
              <w:rPr>
                <w:szCs w:val="24"/>
              </w:rPr>
            </w:pPr>
            <w:r w:rsidRPr="005C3B55">
              <w:rPr>
                <w:szCs w:val="24"/>
              </w:rPr>
              <w:t>M16 – Cooperation (Article 35)</w:t>
            </w:r>
          </w:p>
        </w:tc>
      </w:tr>
    </w:tbl>
    <w:p w:rsidR="00BD3B5F" w:rsidRPr="005C3B55" w:rsidRDefault="00BD3B5F">
      <w:pPr>
        <w:pStyle w:val="Naslov5"/>
        <w:tabs>
          <w:tab w:val="clear" w:pos="765"/>
        </w:tabs>
        <w:ind w:left="0" w:firstLine="0"/>
        <w:rPr>
          <w:b w:val="0"/>
          <w:szCs w:val="24"/>
          <w:lang w:val="en-GB"/>
        </w:rPr>
      </w:pPr>
      <w:r w:rsidRPr="005C3B55">
        <w:rPr>
          <w:b w:val="0"/>
          <w:noProof w:val="0"/>
          <w:szCs w:val="24"/>
          <w:lang w:val="en-GB"/>
        </w:rPr>
        <w:t>Measures for forest land</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10656"/>
      </w:tblGrid>
      <w:tr w:rsidR="00BD3B5F" w:rsidRPr="005C3B55">
        <w:tc>
          <w:tcPr>
            <w:tcW w:w="10656" w:type="dxa"/>
            <w:tcMar>
              <w:top w:w="20" w:type="dxa"/>
              <w:bottom w:w="20" w:type="dxa"/>
            </w:tcMar>
            <w:vAlign w:val="bottom"/>
          </w:tcPr>
          <w:p w:rsidR="00BD3B5F" w:rsidRPr="005C3B55" w:rsidRDefault="00BD3B5F" w:rsidP="00BD3B5F">
            <w:pPr>
              <w:numPr>
                <w:ilvl w:val="0"/>
                <w:numId w:val="108"/>
              </w:numPr>
              <w:rPr>
                <w:szCs w:val="24"/>
              </w:rPr>
            </w:pPr>
            <w:r w:rsidRPr="005C3B55">
              <w:rPr>
                <w:szCs w:val="24"/>
              </w:rPr>
              <w:t>M08 – Investments in forest area development and improvement of the viability of forests (Articles 21-26)</w:t>
            </w:r>
          </w:p>
        </w:tc>
      </w:tr>
    </w:tbl>
    <w:p w:rsidR="00BD3B5F" w:rsidRPr="005C3B55" w:rsidRDefault="00BD3B5F">
      <w:pPr>
        <w:pStyle w:val="Naslov5"/>
        <w:tabs>
          <w:tab w:val="clear" w:pos="765"/>
        </w:tabs>
        <w:ind w:left="0" w:firstLine="0"/>
        <w:rPr>
          <w:b w:val="0"/>
          <w:szCs w:val="24"/>
          <w:lang w:val="en-GB"/>
        </w:rPr>
      </w:pPr>
      <w:r w:rsidRPr="005C3B55">
        <w:rPr>
          <w:noProof w:val="0"/>
          <w:szCs w:val="24"/>
          <w:lang w:val="en-GB"/>
        </w:rPr>
        <w:t>Combination and justification of rural development measures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10656" w:type="dxa"/>
            <w:tcMar>
              <w:top w:w="20" w:type="dxa"/>
              <w:bottom w:w="20" w:type="dxa"/>
            </w:tcMar>
            <w:vAlign w:val="bottom"/>
          </w:tcPr>
          <w:p w:rsidR="00BD3B5F" w:rsidRPr="005C3B55" w:rsidRDefault="00BD3B5F">
            <w:pPr>
              <w:spacing w:before="0" w:after="240"/>
              <w:jc w:val="left"/>
              <w:rPr>
                <w:noProof/>
                <w:szCs w:val="24"/>
              </w:rPr>
            </w:pPr>
            <w:r w:rsidRPr="005C3B55">
              <w:rPr>
                <w:szCs w:val="24"/>
              </w:rPr>
              <w:t>In accordance with the objective of providing an environmental function of agriculture and conservation of cultural landscape, agri-environment-climate payments will be carried out with special attention being paid to areas important for the conservation of biodiversity (important ecological areas of special grassland habitats, grassland habitats of butterflies and litter-raking forests, main areas of presence of birds of humid extensive meadows, most vulnerable grasslands within the Natura 2000 sites and main areas of presence of bear and wolf).</w:t>
            </w:r>
            <w:r w:rsidRPr="005C3B55">
              <w:rPr>
                <w:noProof/>
                <w:szCs w:val="24"/>
              </w:rPr>
              <w:t xml:space="preserve"> </w:t>
            </w:r>
            <w:r w:rsidRPr="005C3B55">
              <w:rPr>
                <w:szCs w:val="24"/>
              </w:rPr>
              <w:t>This measure is intended to encompass 153,000 ha or 25% of all utilised agricultural land.</w:t>
            </w:r>
            <w:r w:rsidRPr="005C3B55">
              <w:rPr>
                <w:noProof/>
                <w:szCs w:val="24"/>
              </w:rPr>
              <w:t xml:space="preserve"> </w:t>
            </w:r>
            <w:r w:rsidRPr="005C3B55">
              <w:rPr>
                <w:szCs w:val="24"/>
              </w:rPr>
              <w:t>Conversion to, and implementation of, organic farming will be supported on additional 20,000 ha.</w:t>
            </w:r>
            <w:r w:rsidRPr="005C3B55">
              <w:rPr>
                <w:noProof/>
                <w:szCs w:val="24"/>
              </w:rPr>
              <w:t xml:space="preserve"> </w:t>
            </w:r>
            <w:r w:rsidRPr="005C3B55">
              <w:rPr>
                <w:szCs w:val="24"/>
              </w:rPr>
              <w:t>At the same time, this will also provide a response to the growing demand from the society for the use of environmentally-friendly farming methods as well as the growing demand for products from quality schemes.</w:t>
            </w:r>
          </w:p>
          <w:p w:rsidR="00BD3B5F" w:rsidRPr="005C3B55" w:rsidRDefault="00BD3B5F">
            <w:pPr>
              <w:spacing w:before="240" w:after="240"/>
              <w:jc w:val="left"/>
              <w:rPr>
                <w:noProof/>
                <w:szCs w:val="24"/>
              </w:rPr>
            </w:pPr>
            <w:r w:rsidRPr="005C3B55">
              <w:rPr>
                <w:szCs w:val="24"/>
              </w:rPr>
              <w:t>Payments to farmers in areas with limited possibilities for agricultural activity will also be carried out, and will promote further use of agricultural land and conservation of cultural landscape, and thus contribute to the prevention of overgrowing which is one of the reasons for the loss of biodiversity.</w:t>
            </w:r>
          </w:p>
          <w:p w:rsidR="00BD3B5F" w:rsidRPr="005C3B55" w:rsidRDefault="00BD3B5F">
            <w:pPr>
              <w:spacing w:before="240" w:after="240"/>
              <w:jc w:val="left"/>
              <w:rPr>
                <w:noProof/>
                <w:szCs w:val="24"/>
              </w:rPr>
            </w:pPr>
            <w:r w:rsidRPr="005C3B55">
              <w:rPr>
                <w:szCs w:val="24"/>
              </w:rPr>
              <w:t>Approximately 48% of RDP 2014–2020 funds are allocated to these measures, which demonstrates a strong environmental component of the programme.</w:t>
            </w:r>
            <w:r w:rsidRPr="005C3B55">
              <w:rPr>
                <w:noProof/>
                <w:szCs w:val="24"/>
              </w:rPr>
              <w:t xml:space="preserve"> </w:t>
            </w:r>
            <w:r w:rsidRPr="005C3B55">
              <w:rPr>
                <w:szCs w:val="24"/>
              </w:rPr>
              <w:t>The focus area will also be strongly supported by measures connected with knowledge transfer, availability of specialised advisory services and cooperation projects.</w:t>
            </w:r>
          </w:p>
          <w:p w:rsidR="00BD3B5F" w:rsidRPr="005C3B55" w:rsidRDefault="00BD3B5F">
            <w:pPr>
              <w:spacing w:before="240" w:after="240"/>
              <w:jc w:val="left"/>
              <w:rPr>
                <w:noProof/>
                <w:szCs w:val="24"/>
              </w:rPr>
            </w:pPr>
            <w:r w:rsidRPr="005C3B55">
              <w:rPr>
                <w:szCs w:val="24"/>
              </w:rPr>
              <w:t>As part of this focus area, a measure intended to eliminate the damage in forests will be implemented within which tree planting and nursing will be carried out, which is important from the aspect of re-establishing the environmental and other functions of forests.</w:t>
            </w:r>
          </w:p>
          <w:p w:rsidR="00BD3B5F" w:rsidRPr="005C3B55" w:rsidRDefault="00BD3B5F">
            <w:pPr>
              <w:spacing w:before="240" w:after="240"/>
              <w:jc w:val="left"/>
              <w:rPr>
                <w:noProof/>
                <w:szCs w:val="24"/>
              </w:rPr>
            </w:pPr>
            <w:r w:rsidRPr="005C3B55">
              <w:rPr>
                <w:szCs w:val="24"/>
              </w:rPr>
              <w:t>The implementation of measures will have an indirect impact on the following focus areas:</w:t>
            </w:r>
          </w:p>
          <w:p w:rsidR="00BD3B5F" w:rsidRPr="005C3B55" w:rsidRDefault="00BD3B5F" w:rsidP="00BD3B5F">
            <w:pPr>
              <w:numPr>
                <w:ilvl w:val="0"/>
                <w:numId w:val="109"/>
              </w:numPr>
              <w:spacing w:before="240" w:after="0"/>
              <w:ind w:hanging="290"/>
              <w:jc w:val="left"/>
              <w:rPr>
                <w:noProof/>
                <w:szCs w:val="24"/>
              </w:rPr>
            </w:pPr>
            <w:r w:rsidRPr="005C3B55">
              <w:rPr>
                <w:noProof/>
                <w:szCs w:val="24"/>
              </w:rPr>
              <w:t xml:space="preserve">M01: 1A, 1C, 5A, 5B </w:t>
            </w:r>
            <w:r w:rsidRPr="005C3B55">
              <w:rPr>
                <w:szCs w:val="24"/>
              </w:rPr>
              <w:t>and</w:t>
            </w:r>
            <w:r w:rsidRPr="005C3B55">
              <w:rPr>
                <w:noProof/>
                <w:szCs w:val="24"/>
              </w:rPr>
              <w:t xml:space="preserve"> 5D;</w:t>
            </w:r>
          </w:p>
          <w:p w:rsidR="00BD3B5F" w:rsidRPr="005C3B55" w:rsidRDefault="00BD3B5F" w:rsidP="00BD3B5F">
            <w:pPr>
              <w:numPr>
                <w:ilvl w:val="0"/>
                <w:numId w:val="109"/>
              </w:numPr>
              <w:spacing w:before="0" w:after="0"/>
              <w:ind w:hanging="290"/>
              <w:jc w:val="left"/>
              <w:rPr>
                <w:noProof/>
                <w:szCs w:val="24"/>
              </w:rPr>
            </w:pPr>
            <w:r w:rsidRPr="005C3B55">
              <w:rPr>
                <w:noProof/>
                <w:szCs w:val="24"/>
              </w:rPr>
              <w:t xml:space="preserve">M02: 1A, 2A, 5A </w:t>
            </w:r>
            <w:r w:rsidRPr="005C3B55">
              <w:rPr>
                <w:szCs w:val="24"/>
              </w:rPr>
              <w:t>and</w:t>
            </w:r>
            <w:r w:rsidRPr="005C3B55">
              <w:rPr>
                <w:noProof/>
                <w:szCs w:val="24"/>
              </w:rPr>
              <w:t xml:space="preserve"> 5D;</w:t>
            </w:r>
          </w:p>
          <w:p w:rsidR="00BD3B5F" w:rsidRPr="005C3B55" w:rsidRDefault="00BD3B5F" w:rsidP="00BD3B5F">
            <w:pPr>
              <w:numPr>
                <w:ilvl w:val="0"/>
                <w:numId w:val="109"/>
              </w:numPr>
              <w:spacing w:before="0" w:after="0"/>
              <w:ind w:hanging="290"/>
              <w:jc w:val="left"/>
              <w:rPr>
                <w:noProof/>
                <w:szCs w:val="24"/>
              </w:rPr>
            </w:pPr>
            <w:r w:rsidRPr="005C3B55">
              <w:rPr>
                <w:noProof/>
                <w:szCs w:val="24"/>
              </w:rPr>
              <w:t xml:space="preserve">M10: 1A, 1B, 1C, 5D </w:t>
            </w:r>
            <w:r w:rsidRPr="005C3B55">
              <w:rPr>
                <w:szCs w:val="24"/>
              </w:rPr>
              <w:t>and</w:t>
            </w:r>
            <w:r w:rsidRPr="005C3B55">
              <w:rPr>
                <w:noProof/>
                <w:szCs w:val="24"/>
              </w:rPr>
              <w:t xml:space="preserve"> 5E;</w:t>
            </w:r>
          </w:p>
          <w:p w:rsidR="00BD3B5F" w:rsidRPr="005C3B55" w:rsidRDefault="00BD3B5F" w:rsidP="00BD3B5F">
            <w:pPr>
              <w:numPr>
                <w:ilvl w:val="0"/>
                <w:numId w:val="109"/>
              </w:numPr>
              <w:spacing w:before="0" w:after="0"/>
              <w:ind w:hanging="290"/>
              <w:jc w:val="left"/>
              <w:rPr>
                <w:noProof/>
                <w:szCs w:val="24"/>
              </w:rPr>
            </w:pPr>
            <w:r w:rsidRPr="005C3B55">
              <w:rPr>
                <w:noProof/>
                <w:szCs w:val="24"/>
              </w:rPr>
              <w:t xml:space="preserve">M11: 1A, 1B, 1C, 5D </w:t>
            </w:r>
            <w:r w:rsidRPr="005C3B55">
              <w:rPr>
                <w:szCs w:val="24"/>
              </w:rPr>
              <w:t>and</w:t>
            </w:r>
            <w:r w:rsidRPr="005C3B55">
              <w:rPr>
                <w:noProof/>
                <w:szCs w:val="24"/>
              </w:rPr>
              <w:t xml:space="preserve"> 5E;</w:t>
            </w:r>
          </w:p>
          <w:p w:rsidR="00BD3B5F" w:rsidRPr="005C3B55" w:rsidRDefault="00BD3B5F" w:rsidP="00BD3B5F">
            <w:pPr>
              <w:numPr>
                <w:ilvl w:val="0"/>
                <w:numId w:val="109"/>
              </w:numPr>
              <w:spacing w:before="0" w:after="0"/>
              <w:ind w:hanging="290"/>
              <w:jc w:val="left"/>
              <w:rPr>
                <w:noProof/>
                <w:szCs w:val="24"/>
              </w:rPr>
            </w:pPr>
            <w:r w:rsidRPr="005C3B55">
              <w:rPr>
                <w:noProof/>
                <w:szCs w:val="24"/>
              </w:rPr>
              <w:t xml:space="preserve">M16: 1A, 1B, 2A </w:t>
            </w:r>
            <w:r w:rsidRPr="005C3B55">
              <w:rPr>
                <w:szCs w:val="24"/>
              </w:rPr>
              <w:t xml:space="preserve">and </w:t>
            </w:r>
            <w:r w:rsidRPr="005C3B55">
              <w:rPr>
                <w:noProof/>
                <w:szCs w:val="24"/>
              </w:rPr>
              <w:t>5A;</w:t>
            </w:r>
          </w:p>
          <w:p w:rsidR="00BD3B5F" w:rsidRPr="005C3B55" w:rsidRDefault="00BD3B5F" w:rsidP="00BD3B5F">
            <w:pPr>
              <w:numPr>
                <w:ilvl w:val="0"/>
                <w:numId w:val="109"/>
              </w:numPr>
              <w:spacing w:before="0" w:after="240"/>
              <w:ind w:hanging="290"/>
              <w:jc w:val="left"/>
              <w:rPr>
                <w:noProof/>
                <w:szCs w:val="24"/>
              </w:rPr>
            </w:pPr>
            <w:r w:rsidRPr="005C3B55">
              <w:rPr>
                <w:noProof/>
                <w:szCs w:val="24"/>
              </w:rPr>
              <w:t>M08: 5E.</w:t>
            </w:r>
          </w:p>
          <w:p w:rsidR="00BD3B5F" w:rsidRPr="005C3B55" w:rsidRDefault="00BD3B5F">
            <w:pPr>
              <w:pStyle w:val="Telobesedila"/>
              <w:rPr>
                <w:szCs w:val="24"/>
              </w:rPr>
            </w:pPr>
          </w:p>
        </w:tc>
      </w:tr>
    </w:tbl>
    <w:p w:rsidR="00BD3B5F" w:rsidRPr="005C3B55" w:rsidRDefault="00BD3B5F">
      <w:pPr>
        <w:rPr>
          <w:szCs w:val="24"/>
        </w:rPr>
      </w:pPr>
    </w:p>
    <w:p w:rsidR="00BD3B5F" w:rsidRPr="005C3B55" w:rsidRDefault="00BD3B5F">
      <w:pPr>
        <w:pStyle w:val="Naslov4"/>
        <w:tabs>
          <w:tab w:val="clear" w:pos="765"/>
        </w:tabs>
        <w:ind w:left="0" w:firstLine="0"/>
        <w:jc w:val="left"/>
        <w:rPr>
          <w:szCs w:val="24"/>
          <w:lang w:val="en-GB"/>
        </w:rPr>
      </w:pPr>
      <w:r w:rsidRPr="005C3B55">
        <w:rPr>
          <w:szCs w:val="24"/>
          <w:lang w:val="en-GB"/>
        </w:rPr>
        <w:t>4B) Improving water management, including the management of fertilisers and pesticides</w:t>
      </w:r>
    </w:p>
    <w:p w:rsidR="00BD3B5F" w:rsidRPr="005C3B55" w:rsidRDefault="00BD3B5F">
      <w:pPr>
        <w:pStyle w:val="Naslov5"/>
        <w:tabs>
          <w:tab w:val="clear" w:pos="765"/>
        </w:tabs>
        <w:ind w:left="0" w:firstLine="0"/>
        <w:rPr>
          <w:szCs w:val="24"/>
          <w:lang w:val="en-GB"/>
        </w:rPr>
      </w:pPr>
      <w:r w:rsidRPr="005C3B55">
        <w:rPr>
          <w:noProof w:val="0"/>
          <w:szCs w:val="24"/>
          <w:lang w:val="en-GB"/>
        </w:rPr>
        <w:t>Measures for agricultural land</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10656"/>
      </w:tblGrid>
      <w:tr w:rsidR="00BD3B5F" w:rsidRPr="005C3B55">
        <w:tc>
          <w:tcPr>
            <w:tcW w:w="10656" w:type="dxa"/>
            <w:tcMar>
              <w:top w:w="20" w:type="dxa"/>
              <w:bottom w:w="20" w:type="dxa"/>
            </w:tcMar>
            <w:vAlign w:val="bottom"/>
          </w:tcPr>
          <w:p w:rsidR="00BD3B5F" w:rsidRPr="005C3B55" w:rsidRDefault="00BD3B5F" w:rsidP="00BD3B5F">
            <w:pPr>
              <w:numPr>
                <w:ilvl w:val="0"/>
                <w:numId w:val="110"/>
              </w:numPr>
              <w:rPr>
                <w:szCs w:val="24"/>
              </w:rPr>
            </w:pPr>
            <w:r w:rsidRPr="005C3B55">
              <w:rPr>
                <w:szCs w:val="24"/>
              </w:rPr>
              <w:t>M01 – Knowledge transfer and information actions (Article 14)</w:t>
            </w:r>
          </w:p>
          <w:p w:rsidR="00BD3B5F" w:rsidRPr="005C3B55" w:rsidRDefault="00BD3B5F" w:rsidP="00BD3B5F">
            <w:pPr>
              <w:numPr>
                <w:ilvl w:val="0"/>
                <w:numId w:val="110"/>
              </w:numPr>
              <w:rPr>
                <w:szCs w:val="24"/>
              </w:rPr>
            </w:pPr>
            <w:r w:rsidRPr="005C3B55">
              <w:rPr>
                <w:szCs w:val="24"/>
              </w:rPr>
              <w:t>M02 – Advisory services, farm management and farm relief services (Article 15)</w:t>
            </w:r>
          </w:p>
          <w:p w:rsidR="00BD3B5F" w:rsidRPr="005C3B55" w:rsidRDefault="00BD3B5F" w:rsidP="00BD3B5F">
            <w:pPr>
              <w:numPr>
                <w:ilvl w:val="0"/>
                <w:numId w:val="110"/>
              </w:numPr>
              <w:rPr>
                <w:szCs w:val="24"/>
              </w:rPr>
            </w:pPr>
            <w:r w:rsidRPr="005C3B55">
              <w:rPr>
                <w:szCs w:val="24"/>
              </w:rPr>
              <w:t xml:space="preserve">M10 – </w:t>
            </w:r>
            <w:r w:rsidRPr="005C3B55">
              <w:rPr>
                <w:rStyle w:val="atn"/>
                <w:szCs w:val="24"/>
              </w:rPr>
              <w:t>Agri-environment-climate payments</w:t>
            </w:r>
            <w:r w:rsidRPr="005C3B55">
              <w:rPr>
                <w:szCs w:val="24"/>
              </w:rPr>
              <w:t xml:space="preserve"> </w:t>
            </w:r>
            <w:r w:rsidRPr="005C3B55">
              <w:rPr>
                <w:rStyle w:val="hps"/>
                <w:szCs w:val="24"/>
              </w:rPr>
              <w:t xml:space="preserve">(Article </w:t>
            </w:r>
            <w:r w:rsidRPr="005C3B55">
              <w:rPr>
                <w:szCs w:val="24"/>
              </w:rPr>
              <w:t>28)</w:t>
            </w:r>
          </w:p>
          <w:p w:rsidR="00BD3B5F" w:rsidRPr="005C3B55" w:rsidRDefault="00BD3B5F" w:rsidP="00BD3B5F">
            <w:pPr>
              <w:numPr>
                <w:ilvl w:val="0"/>
                <w:numId w:val="110"/>
              </w:numPr>
              <w:rPr>
                <w:szCs w:val="24"/>
              </w:rPr>
            </w:pPr>
            <w:r w:rsidRPr="005C3B55">
              <w:rPr>
                <w:szCs w:val="24"/>
              </w:rPr>
              <w:t>M11 – Organic farming (Article 29)</w:t>
            </w:r>
          </w:p>
          <w:p w:rsidR="00BD3B5F" w:rsidRPr="005C3B55" w:rsidRDefault="00BD3B5F" w:rsidP="00BD3B5F">
            <w:pPr>
              <w:numPr>
                <w:ilvl w:val="0"/>
                <w:numId w:val="110"/>
              </w:numPr>
              <w:rPr>
                <w:szCs w:val="24"/>
              </w:rPr>
            </w:pPr>
            <w:r w:rsidRPr="005C3B55">
              <w:rPr>
                <w:szCs w:val="24"/>
              </w:rPr>
              <w:t>M13 – Payments to areas facing natural or other specific constraints (Article 31)</w:t>
            </w:r>
          </w:p>
          <w:p w:rsidR="00BD3B5F" w:rsidRPr="005C3B55" w:rsidRDefault="00BD3B5F" w:rsidP="00BD3B5F">
            <w:pPr>
              <w:numPr>
                <w:ilvl w:val="0"/>
                <w:numId w:val="110"/>
              </w:numPr>
              <w:rPr>
                <w:szCs w:val="24"/>
              </w:rPr>
            </w:pPr>
            <w:r w:rsidRPr="005C3B55">
              <w:rPr>
                <w:szCs w:val="24"/>
              </w:rPr>
              <w:t>M16 – Cooperation (Article 35)</w:t>
            </w:r>
          </w:p>
        </w:tc>
      </w:tr>
    </w:tbl>
    <w:p w:rsidR="00BD3B5F" w:rsidRPr="005C3B55" w:rsidRDefault="00BD3B5F">
      <w:pPr>
        <w:pStyle w:val="Naslov5"/>
        <w:tabs>
          <w:tab w:val="clear" w:pos="765"/>
        </w:tabs>
        <w:ind w:left="0" w:firstLine="0"/>
        <w:rPr>
          <w:szCs w:val="24"/>
          <w:lang w:val="en-GB"/>
        </w:rPr>
      </w:pPr>
      <w:r w:rsidRPr="005C3B55">
        <w:rPr>
          <w:noProof w:val="0"/>
          <w:szCs w:val="24"/>
          <w:lang w:val="en-GB"/>
        </w:rPr>
        <w:t>Measures for forest land</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10656"/>
      </w:tblGrid>
      <w:tr w:rsidR="00BD3B5F" w:rsidRPr="005C3B55">
        <w:tc>
          <w:tcPr>
            <w:tcW w:w="10656" w:type="dxa"/>
            <w:tcMar>
              <w:top w:w="20" w:type="dxa"/>
              <w:bottom w:w="20" w:type="dxa"/>
            </w:tcMar>
            <w:vAlign w:val="bottom"/>
          </w:tcPr>
          <w:p w:rsidR="00BD3B5F" w:rsidRPr="005C3B55" w:rsidRDefault="00BD3B5F" w:rsidP="00BD3B5F">
            <w:pPr>
              <w:numPr>
                <w:ilvl w:val="0"/>
                <w:numId w:val="111"/>
              </w:numPr>
              <w:rPr>
                <w:szCs w:val="24"/>
              </w:rPr>
            </w:pPr>
            <w:r w:rsidRPr="005C3B55">
              <w:rPr>
                <w:szCs w:val="24"/>
              </w:rPr>
              <w:t>M08 – Investments in forest area development and improvement of the viability of forests (Articles 21-26)</w:t>
            </w:r>
          </w:p>
        </w:tc>
      </w:tr>
    </w:tbl>
    <w:p w:rsidR="00BD3B5F" w:rsidRPr="005C3B55" w:rsidRDefault="00BD3B5F">
      <w:pPr>
        <w:pStyle w:val="Naslov5"/>
        <w:tabs>
          <w:tab w:val="clear" w:pos="765"/>
        </w:tabs>
        <w:ind w:left="0" w:firstLine="0"/>
        <w:rPr>
          <w:szCs w:val="24"/>
          <w:lang w:val="en-GB"/>
        </w:rPr>
      </w:pPr>
      <w:r w:rsidRPr="005C3B55">
        <w:rPr>
          <w:noProof w:val="0"/>
          <w:szCs w:val="24"/>
          <w:lang w:val="en-GB"/>
        </w:rPr>
        <w:t>Combination and justification of rural development measures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10656" w:type="dxa"/>
            <w:tcMar>
              <w:top w:w="20" w:type="dxa"/>
              <w:bottom w:w="20" w:type="dxa"/>
            </w:tcMar>
            <w:vAlign w:val="bottom"/>
          </w:tcPr>
          <w:p w:rsidR="00BD3B5F" w:rsidRPr="005C3B55" w:rsidRDefault="00BD3B5F">
            <w:pPr>
              <w:spacing w:before="0" w:after="240"/>
              <w:jc w:val="left"/>
              <w:rPr>
                <w:noProof/>
                <w:szCs w:val="24"/>
              </w:rPr>
            </w:pPr>
            <w:r w:rsidRPr="005C3B55">
              <w:rPr>
                <w:szCs w:val="24"/>
              </w:rPr>
              <w:t>Excessive intake of nutrients and pesticides in flatland areas with intensive farming is a risk to natural resources, especially to the quality of groundwater which is the source of drinking water for around 97% residents in Slovenia.</w:t>
            </w:r>
            <w:r w:rsidRPr="005C3B55">
              <w:rPr>
                <w:noProof/>
                <w:szCs w:val="24"/>
              </w:rPr>
              <w:t xml:space="preserve"> </w:t>
            </w:r>
            <w:r w:rsidRPr="005C3B55">
              <w:rPr>
                <w:szCs w:val="24"/>
              </w:rPr>
              <w:t>Thus, improving soil management and reducing the intake of plant protection products and fertilisers are among the most important areas of action.</w:t>
            </w:r>
            <w:r w:rsidRPr="005C3B55">
              <w:rPr>
                <w:noProof/>
                <w:szCs w:val="24"/>
              </w:rPr>
              <w:t xml:space="preserve"> </w:t>
            </w:r>
            <w:r w:rsidRPr="005C3B55">
              <w:rPr>
                <w:szCs w:val="24"/>
              </w:rPr>
              <w:t>As part of this focus area, conversion to organic farming or further implementation of organic farming and facilitating adoption of above standard production technologies via agri-environment-climate payments will be promoted.</w:t>
            </w:r>
            <w:r w:rsidRPr="005C3B55">
              <w:rPr>
                <w:noProof/>
                <w:szCs w:val="24"/>
              </w:rPr>
              <w:t xml:space="preserve"> </w:t>
            </w:r>
            <w:r w:rsidRPr="005C3B55">
              <w:rPr>
                <w:szCs w:val="24"/>
              </w:rPr>
              <w:t>Within these payments, a special scheme will be established, which will be intended to reduce the impacts of agriculture on water, and within which incentives will be intended to reduce or stop the use of fertilisers and plant protection products, and for suitable tillage which prevents leakage of nitrates and plant protection products in soil and water, etc.</w:t>
            </w:r>
          </w:p>
          <w:p w:rsidR="00BD3B5F" w:rsidRPr="005C3B55" w:rsidRDefault="00BD3B5F">
            <w:pPr>
              <w:spacing w:before="240" w:after="240"/>
              <w:jc w:val="left"/>
              <w:rPr>
                <w:noProof/>
                <w:szCs w:val="24"/>
              </w:rPr>
            </w:pPr>
            <w:r w:rsidRPr="005C3B55">
              <w:rPr>
                <w:szCs w:val="24"/>
              </w:rPr>
              <w:t>A part of these requirements will be especially linked to the catchment areas of water bodies of surface waters and groundwater referred to in the Water Management Plan where the objectives from the Water Framework Directive (2000/60/EC) will not be attained, and to the catchment areas of retention basins of Šmartinsko, Perniško, Gajševsko and Ledavsko lakes, where water monitoring points to an excessive intake of nutrients.</w:t>
            </w:r>
          </w:p>
          <w:p w:rsidR="00BD3B5F" w:rsidRPr="005C3B55" w:rsidRDefault="00BD3B5F">
            <w:pPr>
              <w:spacing w:before="240" w:after="240"/>
              <w:jc w:val="left"/>
              <w:rPr>
                <w:noProof/>
                <w:szCs w:val="24"/>
              </w:rPr>
            </w:pPr>
            <w:r w:rsidRPr="005C3B55">
              <w:rPr>
                <w:szCs w:val="24"/>
              </w:rPr>
              <w:t>Measure M10 in connection with focus area 4B is expected to be implemented on 129,000 ha (21% of all utilised agricultural land).</w:t>
            </w:r>
            <w:r w:rsidRPr="005C3B55">
              <w:rPr>
                <w:noProof/>
                <w:szCs w:val="24"/>
              </w:rPr>
              <w:t xml:space="preserve"> </w:t>
            </w:r>
            <w:r w:rsidRPr="005C3B55">
              <w:rPr>
                <w:szCs w:val="24"/>
              </w:rPr>
              <w:t>Conversion to, and implementation of, organic farming will be supported on additional 20,000 ha.</w:t>
            </w:r>
            <w:r w:rsidRPr="005C3B55">
              <w:rPr>
                <w:noProof/>
                <w:szCs w:val="24"/>
              </w:rPr>
              <w:t xml:space="preserve"> </w:t>
            </w:r>
            <w:r w:rsidRPr="005C3B55">
              <w:rPr>
                <w:szCs w:val="24"/>
              </w:rPr>
              <w:t>Measures as part of this priority will be strongly supported with measures related to knowledge transfer, availability of specialised advisory services and cooperation between various stakeholders.</w:t>
            </w:r>
          </w:p>
          <w:p w:rsidR="00BD3B5F" w:rsidRPr="005C3B55" w:rsidRDefault="00BD3B5F">
            <w:pPr>
              <w:spacing w:before="240" w:after="240"/>
              <w:jc w:val="left"/>
              <w:rPr>
                <w:noProof/>
                <w:szCs w:val="24"/>
              </w:rPr>
            </w:pPr>
            <w:r w:rsidRPr="005C3B55">
              <w:rPr>
                <w:szCs w:val="24"/>
              </w:rPr>
              <w:t>As part of this focus area, a measure intended to eliminate the damage in forests explained within area 4A will be implemented.</w:t>
            </w:r>
          </w:p>
          <w:p w:rsidR="00BD3B5F" w:rsidRPr="005C3B55" w:rsidRDefault="00BD3B5F">
            <w:pPr>
              <w:spacing w:before="240" w:after="240"/>
              <w:jc w:val="left"/>
              <w:rPr>
                <w:noProof/>
                <w:szCs w:val="24"/>
              </w:rPr>
            </w:pPr>
            <w:r w:rsidRPr="005C3B55">
              <w:rPr>
                <w:szCs w:val="24"/>
              </w:rPr>
              <w:t>The implementation of measures will have an indirect impact on the following focus areas:</w:t>
            </w:r>
          </w:p>
          <w:p w:rsidR="00BD3B5F" w:rsidRPr="005C3B55" w:rsidRDefault="00BD3B5F" w:rsidP="00BD3B5F">
            <w:pPr>
              <w:numPr>
                <w:ilvl w:val="0"/>
                <w:numId w:val="112"/>
              </w:numPr>
              <w:spacing w:before="240" w:after="0"/>
              <w:ind w:hanging="290"/>
              <w:jc w:val="left"/>
              <w:rPr>
                <w:noProof/>
                <w:szCs w:val="24"/>
              </w:rPr>
            </w:pPr>
            <w:r w:rsidRPr="005C3B55">
              <w:rPr>
                <w:noProof/>
                <w:szCs w:val="24"/>
              </w:rPr>
              <w:t xml:space="preserve">M01: 1A, 1C, 5A, 5B </w:t>
            </w:r>
            <w:r w:rsidRPr="005C3B55">
              <w:rPr>
                <w:szCs w:val="24"/>
              </w:rPr>
              <w:t>and</w:t>
            </w:r>
            <w:r w:rsidRPr="005C3B55">
              <w:rPr>
                <w:noProof/>
                <w:szCs w:val="24"/>
              </w:rPr>
              <w:t xml:space="preserve"> 5D;</w:t>
            </w:r>
          </w:p>
          <w:p w:rsidR="00BD3B5F" w:rsidRPr="005C3B55" w:rsidRDefault="00BD3B5F" w:rsidP="00BD3B5F">
            <w:pPr>
              <w:numPr>
                <w:ilvl w:val="0"/>
                <w:numId w:val="112"/>
              </w:numPr>
              <w:spacing w:before="0" w:after="0"/>
              <w:ind w:hanging="290"/>
              <w:jc w:val="left"/>
              <w:rPr>
                <w:noProof/>
                <w:szCs w:val="24"/>
              </w:rPr>
            </w:pPr>
            <w:r w:rsidRPr="005C3B55">
              <w:rPr>
                <w:noProof/>
                <w:szCs w:val="24"/>
              </w:rPr>
              <w:t xml:space="preserve">M02: 1A, 2A, 5A </w:t>
            </w:r>
            <w:r w:rsidRPr="005C3B55">
              <w:rPr>
                <w:szCs w:val="24"/>
              </w:rPr>
              <w:t xml:space="preserve">and </w:t>
            </w:r>
            <w:r w:rsidRPr="005C3B55">
              <w:rPr>
                <w:noProof/>
                <w:szCs w:val="24"/>
              </w:rPr>
              <w:t>5D;</w:t>
            </w:r>
          </w:p>
          <w:p w:rsidR="00BD3B5F" w:rsidRPr="005C3B55" w:rsidRDefault="00BD3B5F" w:rsidP="00BD3B5F">
            <w:pPr>
              <w:numPr>
                <w:ilvl w:val="0"/>
                <w:numId w:val="112"/>
              </w:numPr>
              <w:spacing w:before="0" w:after="0"/>
              <w:ind w:hanging="290"/>
              <w:jc w:val="left"/>
              <w:rPr>
                <w:noProof/>
                <w:szCs w:val="24"/>
              </w:rPr>
            </w:pPr>
            <w:r w:rsidRPr="005C3B55">
              <w:rPr>
                <w:noProof/>
                <w:szCs w:val="24"/>
              </w:rPr>
              <w:t xml:space="preserve">M10: 1A, 1B, 1C, 5D </w:t>
            </w:r>
            <w:r w:rsidRPr="005C3B55">
              <w:rPr>
                <w:szCs w:val="24"/>
              </w:rPr>
              <w:t>and</w:t>
            </w:r>
            <w:r w:rsidRPr="005C3B55">
              <w:rPr>
                <w:noProof/>
                <w:szCs w:val="24"/>
              </w:rPr>
              <w:t xml:space="preserve"> 5E;</w:t>
            </w:r>
          </w:p>
          <w:p w:rsidR="00BD3B5F" w:rsidRPr="005C3B55" w:rsidRDefault="00BD3B5F" w:rsidP="00BD3B5F">
            <w:pPr>
              <w:numPr>
                <w:ilvl w:val="0"/>
                <w:numId w:val="112"/>
              </w:numPr>
              <w:spacing w:before="0" w:after="0"/>
              <w:ind w:hanging="290"/>
              <w:jc w:val="left"/>
              <w:rPr>
                <w:noProof/>
                <w:szCs w:val="24"/>
              </w:rPr>
            </w:pPr>
            <w:r w:rsidRPr="005C3B55">
              <w:rPr>
                <w:noProof/>
                <w:szCs w:val="24"/>
              </w:rPr>
              <w:t xml:space="preserve">M11: 1A, 1B, 1C, 5D </w:t>
            </w:r>
            <w:r w:rsidRPr="005C3B55">
              <w:rPr>
                <w:szCs w:val="24"/>
              </w:rPr>
              <w:t>and</w:t>
            </w:r>
            <w:r w:rsidRPr="005C3B55">
              <w:rPr>
                <w:noProof/>
                <w:szCs w:val="24"/>
              </w:rPr>
              <w:t xml:space="preserve"> 5E;</w:t>
            </w:r>
          </w:p>
          <w:p w:rsidR="00BD3B5F" w:rsidRPr="005C3B55" w:rsidRDefault="00BD3B5F" w:rsidP="00BD3B5F">
            <w:pPr>
              <w:numPr>
                <w:ilvl w:val="0"/>
                <w:numId w:val="112"/>
              </w:numPr>
              <w:spacing w:before="0" w:after="0"/>
              <w:ind w:hanging="290"/>
              <w:jc w:val="left"/>
              <w:rPr>
                <w:noProof/>
                <w:szCs w:val="24"/>
              </w:rPr>
            </w:pPr>
            <w:r w:rsidRPr="005C3B55">
              <w:rPr>
                <w:noProof/>
                <w:szCs w:val="24"/>
              </w:rPr>
              <w:t xml:space="preserve">M16: 1A, 1B, 2A </w:t>
            </w:r>
            <w:r w:rsidRPr="005C3B55">
              <w:rPr>
                <w:szCs w:val="24"/>
              </w:rPr>
              <w:t>and</w:t>
            </w:r>
            <w:r w:rsidRPr="005C3B55">
              <w:rPr>
                <w:noProof/>
                <w:szCs w:val="24"/>
              </w:rPr>
              <w:t xml:space="preserve"> 5A;</w:t>
            </w:r>
          </w:p>
          <w:p w:rsidR="00BD3B5F" w:rsidRPr="005C3B55" w:rsidRDefault="00BD3B5F" w:rsidP="00BD3B5F">
            <w:pPr>
              <w:numPr>
                <w:ilvl w:val="0"/>
                <w:numId w:val="112"/>
              </w:numPr>
              <w:spacing w:before="0" w:after="240"/>
              <w:ind w:hanging="290"/>
              <w:jc w:val="left"/>
              <w:rPr>
                <w:noProof/>
                <w:szCs w:val="24"/>
              </w:rPr>
            </w:pPr>
            <w:r w:rsidRPr="005C3B55">
              <w:rPr>
                <w:noProof/>
                <w:szCs w:val="24"/>
              </w:rPr>
              <w:t>M08: 5E.</w:t>
            </w:r>
          </w:p>
          <w:p w:rsidR="00BD3B5F" w:rsidRPr="005C3B55" w:rsidRDefault="00BD3B5F">
            <w:pPr>
              <w:pStyle w:val="Telobesedila"/>
              <w:rPr>
                <w:szCs w:val="24"/>
              </w:rPr>
            </w:pPr>
          </w:p>
        </w:tc>
      </w:tr>
    </w:tbl>
    <w:p w:rsidR="00BD3B5F" w:rsidRPr="005C3B55" w:rsidRDefault="00BD3B5F">
      <w:pPr>
        <w:rPr>
          <w:szCs w:val="24"/>
        </w:rPr>
      </w:pPr>
    </w:p>
    <w:p w:rsidR="00BD3B5F" w:rsidRPr="005C3B55" w:rsidRDefault="00BD3B5F">
      <w:pPr>
        <w:pStyle w:val="Naslov4"/>
        <w:tabs>
          <w:tab w:val="clear" w:pos="765"/>
        </w:tabs>
        <w:ind w:left="0" w:firstLine="0"/>
        <w:jc w:val="left"/>
        <w:rPr>
          <w:szCs w:val="24"/>
          <w:lang w:val="en-GB"/>
        </w:rPr>
      </w:pPr>
      <w:r w:rsidRPr="005C3B55">
        <w:rPr>
          <w:szCs w:val="24"/>
          <w:lang w:val="en-GB"/>
        </w:rPr>
        <w:t>4C) Preventing soil erosion and improving soil management</w:t>
      </w:r>
    </w:p>
    <w:p w:rsidR="00BD3B5F" w:rsidRPr="005C3B55" w:rsidRDefault="00BD3B5F">
      <w:pPr>
        <w:pStyle w:val="Naslov5"/>
        <w:tabs>
          <w:tab w:val="clear" w:pos="765"/>
        </w:tabs>
        <w:ind w:left="0" w:firstLine="0"/>
        <w:rPr>
          <w:szCs w:val="24"/>
          <w:lang w:val="en-GB"/>
        </w:rPr>
      </w:pPr>
      <w:r w:rsidRPr="005C3B55">
        <w:rPr>
          <w:noProof w:val="0"/>
          <w:szCs w:val="24"/>
          <w:lang w:val="en-GB"/>
        </w:rPr>
        <w:t>Measures for agricultural land</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10656"/>
      </w:tblGrid>
      <w:tr w:rsidR="00BD3B5F" w:rsidRPr="005C3B55">
        <w:tc>
          <w:tcPr>
            <w:tcW w:w="10656" w:type="dxa"/>
            <w:tcMar>
              <w:top w:w="20" w:type="dxa"/>
              <w:bottom w:w="20" w:type="dxa"/>
            </w:tcMar>
            <w:vAlign w:val="bottom"/>
          </w:tcPr>
          <w:p w:rsidR="00BD3B5F" w:rsidRPr="005C3B55" w:rsidRDefault="00BD3B5F" w:rsidP="00BD3B5F">
            <w:pPr>
              <w:numPr>
                <w:ilvl w:val="0"/>
                <w:numId w:val="113"/>
              </w:numPr>
              <w:rPr>
                <w:szCs w:val="24"/>
              </w:rPr>
            </w:pPr>
            <w:r w:rsidRPr="005C3B55">
              <w:rPr>
                <w:szCs w:val="24"/>
              </w:rPr>
              <w:t>M01 – Knowledge transfer and information actions (Article 14)</w:t>
            </w:r>
          </w:p>
          <w:p w:rsidR="00BD3B5F" w:rsidRPr="005C3B55" w:rsidRDefault="00BD3B5F" w:rsidP="00BD3B5F">
            <w:pPr>
              <w:numPr>
                <w:ilvl w:val="0"/>
                <w:numId w:val="113"/>
              </w:numPr>
              <w:rPr>
                <w:szCs w:val="24"/>
              </w:rPr>
            </w:pPr>
            <w:r w:rsidRPr="005C3B55">
              <w:rPr>
                <w:szCs w:val="24"/>
              </w:rPr>
              <w:t>M02 – Advisory services, farm management and farm relief services (Article 15)</w:t>
            </w:r>
          </w:p>
          <w:p w:rsidR="00BD3B5F" w:rsidRPr="005C3B55" w:rsidRDefault="00BD3B5F" w:rsidP="00BD3B5F">
            <w:pPr>
              <w:numPr>
                <w:ilvl w:val="0"/>
                <w:numId w:val="113"/>
              </w:numPr>
              <w:rPr>
                <w:szCs w:val="24"/>
              </w:rPr>
            </w:pPr>
            <w:r w:rsidRPr="005C3B55">
              <w:rPr>
                <w:szCs w:val="24"/>
              </w:rPr>
              <w:t xml:space="preserve">M10 – </w:t>
            </w:r>
            <w:r w:rsidRPr="005C3B55">
              <w:rPr>
                <w:rStyle w:val="atn"/>
                <w:szCs w:val="24"/>
              </w:rPr>
              <w:t>Agri-environment-climate payments</w:t>
            </w:r>
            <w:r w:rsidRPr="005C3B55">
              <w:rPr>
                <w:szCs w:val="24"/>
              </w:rPr>
              <w:t xml:space="preserve"> </w:t>
            </w:r>
            <w:r w:rsidRPr="005C3B55">
              <w:rPr>
                <w:rStyle w:val="hps"/>
                <w:szCs w:val="24"/>
              </w:rPr>
              <w:t xml:space="preserve">(Article </w:t>
            </w:r>
            <w:r w:rsidRPr="005C3B55">
              <w:rPr>
                <w:szCs w:val="24"/>
              </w:rPr>
              <w:t>28)</w:t>
            </w:r>
          </w:p>
          <w:p w:rsidR="00BD3B5F" w:rsidRPr="005C3B55" w:rsidRDefault="00BD3B5F" w:rsidP="00BD3B5F">
            <w:pPr>
              <w:numPr>
                <w:ilvl w:val="0"/>
                <w:numId w:val="113"/>
              </w:numPr>
              <w:rPr>
                <w:szCs w:val="24"/>
              </w:rPr>
            </w:pPr>
            <w:r w:rsidRPr="005C3B55">
              <w:rPr>
                <w:szCs w:val="24"/>
              </w:rPr>
              <w:t>M11 – Organic farming (Article 29)</w:t>
            </w:r>
          </w:p>
          <w:p w:rsidR="00BD3B5F" w:rsidRPr="005C3B55" w:rsidRDefault="00BD3B5F" w:rsidP="00BD3B5F">
            <w:pPr>
              <w:numPr>
                <w:ilvl w:val="0"/>
                <w:numId w:val="113"/>
              </w:numPr>
              <w:rPr>
                <w:szCs w:val="24"/>
              </w:rPr>
            </w:pPr>
            <w:r w:rsidRPr="005C3B55">
              <w:rPr>
                <w:szCs w:val="24"/>
              </w:rPr>
              <w:t>M13 – Payments to areas facing natural or other specific constraints (Article 31)</w:t>
            </w:r>
          </w:p>
          <w:p w:rsidR="00BD3B5F" w:rsidRPr="005C3B55" w:rsidRDefault="00BD3B5F" w:rsidP="00BD3B5F">
            <w:pPr>
              <w:numPr>
                <w:ilvl w:val="0"/>
                <w:numId w:val="113"/>
              </w:numPr>
              <w:rPr>
                <w:szCs w:val="24"/>
              </w:rPr>
            </w:pPr>
            <w:r w:rsidRPr="005C3B55">
              <w:rPr>
                <w:szCs w:val="24"/>
              </w:rPr>
              <w:t>M16 – Cooperation (Article 35)</w:t>
            </w:r>
          </w:p>
        </w:tc>
      </w:tr>
    </w:tbl>
    <w:p w:rsidR="00BD3B5F" w:rsidRPr="005C3B55" w:rsidRDefault="00BD3B5F">
      <w:pPr>
        <w:pStyle w:val="Naslov5"/>
        <w:tabs>
          <w:tab w:val="clear" w:pos="765"/>
        </w:tabs>
        <w:ind w:left="0" w:firstLine="0"/>
        <w:rPr>
          <w:szCs w:val="24"/>
          <w:lang w:val="en-GB"/>
        </w:rPr>
      </w:pPr>
      <w:r w:rsidRPr="005C3B55">
        <w:rPr>
          <w:noProof w:val="0"/>
          <w:szCs w:val="24"/>
          <w:lang w:val="en-GB"/>
        </w:rPr>
        <w:t>Measures for forest land</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10656"/>
      </w:tblGrid>
      <w:tr w:rsidR="00BD3B5F" w:rsidRPr="005C3B55">
        <w:tc>
          <w:tcPr>
            <w:tcW w:w="10656" w:type="dxa"/>
            <w:tcMar>
              <w:top w:w="20" w:type="dxa"/>
              <w:bottom w:w="20" w:type="dxa"/>
            </w:tcMar>
            <w:vAlign w:val="bottom"/>
          </w:tcPr>
          <w:p w:rsidR="00BD3B5F" w:rsidRPr="005C3B55" w:rsidRDefault="00BD3B5F" w:rsidP="00BD3B5F">
            <w:pPr>
              <w:numPr>
                <w:ilvl w:val="0"/>
                <w:numId w:val="114"/>
              </w:numPr>
              <w:rPr>
                <w:szCs w:val="24"/>
              </w:rPr>
            </w:pPr>
            <w:r w:rsidRPr="005C3B55">
              <w:rPr>
                <w:szCs w:val="24"/>
              </w:rPr>
              <w:t>M08 – Investments in forest area development and improvement of the viability of forests (Articles 21-26)</w:t>
            </w:r>
          </w:p>
        </w:tc>
      </w:tr>
    </w:tbl>
    <w:p w:rsidR="00BD3B5F" w:rsidRPr="005C3B55" w:rsidRDefault="00BD3B5F">
      <w:pPr>
        <w:pStyle w:val="Naslov5"/>
        <w:tabs>
          <w:tab w:val="clear" w:pos="765"/>
        </w:tabs>
        <w:ind w:left="0" w:firstLine="0"/>
        <w:rPr>
          <w:szCs w:val="24"/>
          <w:lang w:val="en-GB"/>
        </w:rPr>
      </w:pPr>
      <w:r w:rsidRPr="005C3B55">
        <w:rPr>
          <w:noProof w:val="0"/>
          <w:szCs w:val="24"/>
          <w:lang w:val="en-GB"/>
        </w:rPr>
        <w:t>Combination and justification of rural development measures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10656" w:type="dxa"/>
            <w:tcMar>
              <w:top w:w="20" w:type="dxa"/>
              <w:bottom w:w="20" w:type="dxa"/>
            </w:tcMar>
            <w:vAlign w:val="bottom"/>
          </w:tcPr>
          <w:p w:rsidR="00BD3B5F" w:rsidRPr="005C3B55" w:rsidRDefault="00BD3B5F">
            <w:pPr>
              <w:spacing w:before="0" w:after="240"/>
              <w:jc w:val="left"/>
              <w:rPr>
                <w:noProof/>
                <w:szCs w:val="24"/>
              </w:rPr>
            </w:pPr>
            <w:r w:rsidRPr="005C3B55">
              <w:rPr>
                <w:szCs w:val="24"/>
              </w:rPr>
              <w:t>According to an analysis of the situation, soil in Slovenia is generally well supplied with organic substances which is primarily the result of the use of agricultural land with prevailing grasslands and the fact that a relatively large quantity of manure is used on arable land and permanent plantations.</w:t>
            </w:r>
            <w:r w:rsidRPr="005C3B55">
              <w:rPr>
                <w:noProof/>
                <w:szCs w:val="24"/>
              </w:rPr>
              <w:t xml:space="preserve"> </w:t>
            </w:r>
            <w:r w:rsidRPr="005C3B55">
              <w:rPr>
                <w:szCs w:val="24"/>
              </w:rPr>
              <w:t>With regards to pollution, research have shown that soil in Slovenia (with the exception of certain industrial areas) is not severely polluted.</w:t>
            </w:r>
            <w:r w:rsidRPr="005C3B55">
              <w:rPr>
                <w:noProof/>
                <w:szCs w:val="24"/>
              </w:rPr>
              <w:t xml:space="preserve"> </w:t>
            </w:r>
            <w:r w:rsidRPr="005C3B55">
              <w:rPr>
                <w:szCs w:val="24"/>
              </w:rPr>
              <w:t>In intensive agricultural areas, residues of plant protection products and their breakdown products may be found, which can leach as nitrates through the soil and contaminate groundwater.</w:t>
            </w:r>
            <w:r w:rsidRPr="005C3B55">
              <w:rPr>
                <w:noProof/>
                <w:szCs w:val="24"/>
              </w:rPr>
              <w:t xml:space="preserve"> </w:t>
            </w:r>
            <w:r w:rsidRPr="005C3B55">
              <w:rPr>
                <w:szCs w:val="24"/>
              </w:rPr>
              <w:t>Soil erosion is also present locally.</w:t>
            </w:r>
          </w:p>
          <w:p w:rsidR="00BD3B5F" w:rsidRPr="005C3B55" w:rsidRDefault="00BD3B5F">
            <w:pPr>
              <w:spacing w:before="240" w:after="240"/>
              <w:jc w:val="left"/>
              <w:rPr>
                <w:noProof/>
                <w:szCs w:val="24"/>
              </w:rPr>
            </w:pPr>
            <w:r w:rsidRPr="005C3B55">
              <w:rPr>
                <w:szCs w:val="24"/>
              </w:rPr>
              <w:t>Improving soil management and reducing the intake of plant protection products and fertilisers were defined as the key areas of action as part of this focus area.</w:t>
            </w:r>
            <w:r w:rsidRPr="005C3B55">
              <w:rPr>
                <w:noProof/>
                <w:szCs w:val="24"/>
              </w:rPr>
              <w:t xml:space="preserve"> </w:t>
            </w:r>
            <w:r w:rsidRPr="005C3B55">
              <w:rPr>
                <w:szCs w:val="24"/>
              </w:rPr>
              <w:t>Like in focus area 4B, an emphasis will be put on introducing above standard production technologies through agri-environment-climate payments and conversion of agricultural holdings to organic farming or encouraging them to continue with organic farming.</w:t>
            </w:r>
            <w:r w:rsidRPr="005C3B55">
              <w:rPr>
                <w:noProof/>
                <w:szCs w:val="24"/>
              </w:rPr>
              <w:t xml:space="preserve"> </w:t>
            </w:r>
            <w:r w:rsidRPr="005C3B55">
              <w:rPr>
                <w:szCs w:val="24"/>
              </w:rPr>
              <w:t>The physical size of surfaces where the requirements of agri-environment-climate payments related to focus area 4C are expected to be implemented is 144,000 ha which is 24% of all utilised agricultural land.</w:t>
            </w:r>
            <w:r w:rsidRPr="005C3B55">
              <w:rPr>
                <w:noProof/>
                <w:szCs w:val="24"/>
              </w:rPr>
              <w:t xml:space="preserve"> </w:t>
            </w:r>
            <w:r w:rsidRPr="005C3B55">
              <w:rPr>
                <w:szCs w:val="24"/>
              </w:rPr>
              <w:t>Conversion to, and implementation of, organic farming will be supported on additional 20,000 ha.</w:t>
            </w:r>
          </w:p>
          <w:p w:rsidR="00BD3B5F" w:rsidRPr="005C3B55" w:rsidRDefault="00BD3B5F">
            <w:pPr>
              <w:spacing w:before="240" w:after="240"/>
              <w:jc w:val="left"/>
              <w:rPr>
                <w:noProof/>
                <w:szCs w:val="24"/>
              </w:rPr>
            </w:pPr>
            <w:r w:rsidRPr="005C3B55">
              <w:rPr>
                <w:szCs w:val="24"/>
              </w:rPr>
              <w:t>The aforementioned measures will contribute to the reduction of intake of plant protection products and fertilisers, and more suitable tillage with the objective of maintaining the quality and production potential of soil and erosion management.</w:t>
            </w:r>
            <w:r w:rsidRPr="005C3B55">
              <w:rPr>
                <w:noProof/>
                <w:szCs w:val="24"/>
              </w:rPr>
              <w:t xml:space="preserve"> </w:t>
            </w:r>
            <w:r w:rsidRPr="005C3B55">
              <w:rPr>
                <w:szCs w:val="24"/>
              </w:rPr>
              <w:t>Measures as part of this priority will be strongly supported with measures related to knowledge transfer and availability of specialised advisory services.</w:t>
            </w:r>
          </w:p>
          <w:p w:rsidR="00BD3B5F" w:rsidRPr="005C3B55" w:rsidRDefault="00BD3B5F">
            <w:pPr>
              <w:spacing w:before="240" w:after="240"/>
              <w:jc w:val="left"/>
              <w:rPr>
                <w:noProof/>
                <w:szCs w:val="24"/>
              </w:rPr>
            </w:pPr>
            <w:r w:rsidRPr="005C3B55">
              <w:rPr>
                <w:szCs w:val="24"/>
              </w:rPr>
              <w:t>The implementation of measures will have an indirect impact on the following focus areas:</w:t>
            </w:r>
          </w:p>
          <w:p w:rsidR="00BD3B5F" w:rsidRPr="005C3B55" w:rsidRDefault="00BD3B5F" w:rsidP="00BD3B5F">
            <w:pPr>
              <w:numPr>
                <w:ilvl w:val="0"/>
                <w:numId w:val="115"/>
              </w:numPr>
              <w:spacing w:before="240" w:after="0"/>
              <w:ind w:hanging="290"/>
              <w:jc w:val="left"/>
              <w:rPr>
                <w:noProof/>
                <w:szCs w:val="24"/>
              </w:rPr>
            </w:pPr>
            <w:r w:rsidRPr="005C3B55">
              <w:rPr>
                <w:noProof/>
                <w:szCs w:val="24"/>
              </w:rPr>
              <w:t xml:space="preserve">M01: 1A, 1C, 5A, 5B </w:t>
            </w:r>
            <w:r w:rsidRPr="005C3B55">
              <w:rPr>
                <w:szCs w:val="24"/>
              </w:rPr>
              <w:t>and</w:t>
            </w:r>
            <w:r w:rsidRPr="005C3B55">
              <w:rPr>
                <w:noProof/>
                <w:szCs w:val="24"/>
              </w:rPr>
              <w:t xml:space="preserve"> 5D;</w:t>
            </w:r>
          </w:p>
          <w:p w:rsidR="00BD3B5F" w:rsidRPr="005C3B55" w:rsidRDefault="00BD3B5F" w:rsidP="00BD3B5F">
            <w:pPr>
              <w:numPr>
                <w:ilvl w:val="0"/>
                <w:numId w:val="115"/>
              </w:numPr>
              <w:spacing w:before="0" w:after="0"/>
              <w:ind w:hanging="290"/>
              <w:jc w:val="left"/>
              <w:rPr>
                <w:noProof/>
                <w:szCs w:val="24"/>
              </w:rPr>
            </w:pPr>
            <w:r w:rsidRPr="005C3B55">
              <w:rPr>
                <w:noProof/>
                <w:szCs w:val="24"/>
              </w:rPr>
              <w:t xml:space="preserve">M02: 1A, 2A, 5A </w:t>
            </w:r>
            <w:r w:rsidRPr="005C3B55">
              <w:rPr>
                <w:szCs w:val="24"/>
              </w:rPr>
              <w:t>and</w:t>
            </w:r>
            <w:r w:rsidRPr="005C3B55">
              <w:rPr>
                <w:noProof/>
                <w:szCs w:val="24"/>
              </w:rPr>
              <w:t xml:space="preserve"> 5D;</w:t>
            </w:r>
          </w:p>
          <w:p w:rsidR="00BD3B5F" w:rsidRPr="005C3B55" w:rsidRDefault="00BD3B5F" w:rsidP="00BD3B5F">
            <w:pPr>
              <w:numPr>
                <w:ilvl w:val="0"/>
                <w:numId w:val="115"/>
              </w:numPr>
              <w:spacing w:before="0" w:after="0"/>
              <w:ind w:hanging="290"/>
              <w:jc w:val="left"/>
              <w:rPr>
                <w:noProof/>
                <w:szCs w:val="24"/>
              </w:rPr>
            </w:pPr>
            <w:r w:rsidRPr="005C3B55">
              <w:rPr>
                <w:noProof/>
                <w:szCs w:val="24"/>
              </w:rPr>
              <w:t xml:space="preserve">M10: 1A, 1B, 1C, 5D </w:t>
            </w:r>
            <w:r w:rsidRPr="005C3B55">
              <w:rPr>
                <w:szCs w:val="24"/>
              </w:rPr>
              <w:t>and</w:t>
            </w:r>
            <w:r w:rsidRPr="005C3B55">
              <w:rPr>
                <w:noProof/>
                <w:szCs w:val="24"/>
              </w:rPr>
              <w:t xml:space="preserve"> 5E;</w:t>
            </w:r>
          </w:p>
          <w:p w:rsidR="00BD3B5F" w:rsidRPr="005C3B55" w:rsidRDefault="00BD3B5F" w:rsidP="00BD3B5F">
            <w:pPr>
              <w:numPr>
                <w:ilvl w:val="0"/>
                <w:numId w:val="115"/>
              </w:numPr>
              <w:spacing w:before="0" w:after="0"/>
              <w:ind w:hanging="290"/>
              <w:jc w:val="left"/>
              <w:rPr>
                <w:noProof/>
                <w:szCs w:val="24"/>
              </w:rPr>
            </w:pPr>
            <w:r w:rsidRPr="005C3B55">
              <w:rPr>
                <w:noProof/>
                <w:szCs w:val="24"/>
              </w:rPr>
              <w:t xml:space="preserve">M11: 1A, 1B, 1C, 5D </w:t>
            </w:r>
            <w:r w:rsidRPr="005C3B55">
              <w:rPr>
                <w:szCs w:val="24"/>
              </w:rPr>
              <w:t>and</w:t>
            </w:r>
            <w:r w:rsidRPr="005C3B55">
              <w:rPr>
                <w:noProof/>
                <w:szCs w:val="24"/>
              </w:rPr>
              <w:t xml:space="preserve"> 5E;</w:t>
            </w:r>
          </w:p>
          <w:p w:rsidR="00BD3B5F" w:rsidRPr="005C3B55" w:rsidRDefault="00BD3B5F" w:rsidP="00BD3B5F">
            <w:pPr>
              <w:numPr>
                <w:ilvl w:val="0"/>
                <w:numId w:val="115"/>
              </w:numPr>
              <w:spacing w:before="0" w:after="0"/>
              <w:ind w:hanging="290"/>
              <w:jc w:val="left"/>
              <w:rPr>
                <w:noProof/>
                <w:szCs w:val="24"/>
              </w:rPr>
            </w:pPr>
            <w:r w:rsidRPr="005C3B55">
              <w:rPr>
                <w:noProof/>
                <w:szCs w:val="24"/>
              </w:rPr>
              <w:t xml:space="preserve">M16: 1A, 1B, 2A </w:t>
            </w:r>
            <w:r w:rsidRPr="005C3B55">
              <w:rPr>
                <w:szCs w:val="24"/>
              </w:rPr>
              <w:t>and</w:t>
            </w:r>
            <w:r w:rsidRPr="005C3B55">
              <w:rPr>
                <w:noProof/>
                <w:szCs w:val="24"/>
              </w:rPr>
              <w:t xml:space="preserve"> 5A;</w:t>
            </w:r>
          </w:p>
          <w:p w:rsidR="00BD3B5F" w:rsidRPr="005C3B55" w:rsidRDefault="00BD3B5F" w:rsidP="00BD3B5F">
            <w:pPr>
              <w:numPr>
                <w:ilvl w:val="0"/>
                <w:numId w:val="115"/>
              </w:numPr>
              <w:spacing w:before="0" w:after="240"/>
              <w:ind w:hanging="290"/>
              <w:jc w:val="left"/>
              <w:rPr>
                <w:noProof/>
                <w:szCs w:val="24"/>
              </w:rPr>
            </w:pPr>
            <w:r w:rsidRPr="005C3B55">
              <w:rPr>
                <w:noProof/>
                <w:szCs w:val="24"/>
              </w:rPr>
              <w:t>M08: 5E.</w:t>
            </w:r>
          </w:p>
          <w:p w:rsidR="00BD3B5F" w:rsidRPr="005C3B55" w:rsidRDefault="00BD3B5F">
            <w:pPr>
              <w:pStyle w:val="Telobesedila"/>
              <w:rPr>
                <w:szCs w:val="24"/>
              </w:rPr>
            </w:pPr>
          </w:p>
        </w:tc>
      </w:tr>
    </w:tbl>
    <w:p w:rsidR="00BD3B5F" w:rsidRPr="005C3B55" w:rsidRDefault="00BD3B5F">
      <w:pPr>
        <w:rPr>
          <w:szCs w:val="24"/>
        </w:rPr>
      </w:pPr>
    </w:p>
    <w:p w:rsidR="00BD3B5F" w:rsidRPr="005C3B55" w:rsidRDefault="00BD3B5F">
      <w:pPr>
        <w:pStyle w:val="Naslov3"/>
        <w:tabs>
          <w:tab w:val="clear" w:pos="765"/>
        </w:tabs>
        <w:ind w:left="0" w:firstLine="0"/>
        <w:jc w:val="left"/>
        <w:rPr>
          <w:szCs w:val="24"/>
          <w:lang w:val="en-GB"/>
        </w:rPr>
      </w:pPr>
      <w:bookmarkStart w:id="90" w:name="_Toc416192548"/>
      <w:r w:rsidRPr="005C3B55">
        <w:rPr>
          <w:szCs w:val="24"/>
          <w:lang w:val="en-GB"/>
        </w:rPr>
        <w:t>N3: Stimulating efficient use of resources and supporting transition to a low-carbon and climate-adapted economy in agricultural, food and forestry sectors</w:t>
      </w:r>
      <w:bookmarkEnd w:id="90"/>
    </w:p>
    <w:p w:rsidR="00BD3B5F" w:rsidRPr="005C3B55" w:rsidRDefault="00BD3B5F">
      <w:pPr>
        <w:pStyle w:val="Naslov4"/>
        <w:tabs>
          <w:tab w:val="clear" w:pos="765"/>
        </w:tabs>
        <w:ind w:left="0" w:firstLine="0"/>
        <w:jc w:val="left"/>
        <w:rPr>
          <w:szCs w:val="24"/>
          <w:lang w:val="en-GB"/>
        </w:rPr>
      </w:pPr>
      <w:r w:rsidRPr="005C3B55">
        <w:rPr>
          <w:szCs w:val="24"/>
          <w:lang w:val="en-GB"/>
        </w:rPr>
        <w:t>5A) Increasing efficient water use in agriculture</w:t>
      </w:r>
    </w:p>
    <w:p w:rsidR="00BD3B5F" w:rsidRPr="005C3B55" w:rsidRDefault="00BD3B5F">
      <w:pPr>
        <w:pStyle w:val="Naslov5"/>
        <w:tabs>
          <w:tab w:val="clear" w:pos="765"/>
        </w:tabs>
        <w:ind w:left="0" w:firstLine="0"/>
        <w:rPr>
          <w:b w:val="0"/>
          <w:szCs w:val="24"/>
          <w:lang w:val="en-GB"/>
        </w:rPr>
      </w:pPr>
      <w:r w:rsidRPr="005C3B55">
        <w:rPr>
          <w:b w:val="0"/>
          <w:noProof w:val="0"/>
          <w:szCs w:val="24"/>
          <w:lang w:val="en-GB"/>
        </w:rPr>
        <w:t>Selection of rural development measures</w:t>
      </w:r>
    </w:p>
    <w:p w:rsidR="00BD3B5F" w:rsidRPr="005C3B55" w:rsidRDefault="00BD3B5F">
      <w:pPr>
        <w:pStyle w:val="Naslov5"/>
        <w:tabs>
          <w:tab w:val="clear" w:pos="765"/>
        </w:tabs>
        <w:ind w:left="0" w:firstLine="0"/>
        <w:rPr>
          <w:b w:val="0"/>
          <w:szCs w:val="24"/>
          <w:lang w:val="en-GB"/>
        </w:rPr>
      </w:pPr>
      <w:r w:rsidRPr="005C3B55">
        <w:rPr>
          <w:noProof w:val="0"/>
          <w:szCs w:val="24"/>
          <w:lang w:val="en-GB"/>
        </w:rPr>
        <w:t>Combination and justification of rural development measures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10656" w:type="dxa"/>
            <w:tcMar>
              <w:top w:w="20" w:type="dxa"/>
              <w:bottom w:w="20" w:type="dxa"/>
            </w:tcMar>
            <w:vAlign w:val="bottom"/>
          </w:tcPr>
          <w:p w:rsidR="00BD3B5F" w:rsidRPr="005C3B55" w:rsidRDefault="00BD3B5F">
            <w:pPr>
              <w:spacing w:before="0" w:after="240"/>
              <w:jc w:val="left"/>
              <w:rPr>
                <w:noProof/>
                <w:szCs w:val="24"/>
              </w:rPr>
            </w:pPr>
            <w:r w:rsidRPr="005C3B55">
              <w:rPr>
                <w:szCs w:val="24"/>
              </w:rPr>
              <w:t>Measures are not programmed in this focus area.</w:t>
            </w:r>
          </w:p>
          <w:p w:rsidR="00BD3B5F" w:rsidRPr="005C3B55" w:rsidRDefault="00BD3B5F">
            <w:pPr>
              <w:spacing w:before="240" w:after="240"/>
              <w:jc w:val="left"/>
              <w:rPr>
                <w:noProof/>
                <w:szCs w:val="24"/>
              </w:rPr>
            </w:pPr>
            <w:r w:rsidRPr="005C3B55">
              <w:rPr>
                <w:szCs w:val="24"/>
              </w:rPr>
              <w:t>Explanation:</w:t>
            </w:r>
            <w:r w:rsidRPr="005C3B55">
              <w:rPr>
                <w:noProof/>
                <w:szCs w:val="24"/>
              </w:rPr>
              <w:t xml:space="preserve"> </w:t>
            </w:r>
            <w:r w:rsidRPr="005C3B55">
              <w:rPr>
                <w:szCs w:val="24"/>
              </w:rPr>
              <w:t>The objective of enhancing water utilisation efficiency in agriculture will be pursued as part of measure M04 which will support investments in storing rain water, technological modernisation of existing irrigation systems, arrangement of reservoirs etc.</w:t>
            </w:r>
            <w:r w:rsidRPr="005C3B55">
              <w:rPr>
                <w:noProof/>
                <w:szCs w:val="24"/>
              </w:rPr>
              <w:t xml:space="preserve"> </w:t>
            </w:r>
            <w:r w:rsidRPr="005C3B55">
              <w:rPr>
                <w:szCs w:val="24"/>
              </w:rPr>
              <w:t>In this way, also the objectives from focus area 5A will be met.</w:t>
            </w:r>
          </w:p>
          <w:p w:rsidR="00BD3B5F" w:rsidRPr="005C3B55" w:rsidRDefault="00BD3B5F">
            <w:pPr>
              <w:pStyle w:val="Telobesedila"/>
              <w:rPr>
                <w:szCs w:val="24"/>
              </w:rPr>
            </w:pPr>
          </w:p>
        </w:tc>
      </w:tr>
    </w:tbl>
    <w:p w:rsidR="00BD3B5F" w:rsidRPr="005C3B55" w:rsidRDefault="00BD3B5F">
      <w:pPr>
        <w:rPr>
          <w:szCs w:val="24"/>
        </w:rPr>
      </w:pPr>
    </w:p>
    <w:p w:rsidR="00BD3B5F" w:rsidRPr="005C3B55" w:rsidRDefault="00BD3B5F">
      <w:pPr>
        <w:pStyle w:val="Naslov4"/>
        <w:tabs>
          <w:tab w:val="clear" w:pos="765"/>
        </w:tabs>
        <w:ind w:left="0" w:firstLine="0"/>
        <w:jc w:val="left"/>
        <w:rPr>
          <w:szCs w:val="24"/>
          <w:lang w:val="en-GB"/>
        </w:rPr>
      </w:pPr>
      <w:r w:rsidRPr="005C3B55">
        <w:rPr>
          <w:szCs w:val="24"/>
          <w:lang w:val="en-GB"/>
        </w:rPr>
        <w:t>5B) Increasing energy efficiency in agriculture and food production</w:t>
      </w:r>
    </w:p>
    <w:p w:rsidR="00BD3B5F" w:rsidRPr="005C3B55" w:rsidRDefault="00BD3B5F">
      <w:pPr>
        <w:pStyle w:val="Naslov5"/>
        <w:tabs>
          <w:tab w:val="clear" w:pos="765"/>
        </w:tabs>
        <w:ind w:left="0" w:firstLine="0"/>
        <w:rPr>
          <w:szCs w:val="24"/>
          <w:lang w:val="en-GB"/>
        </w:rPr>
      </w:pPr>
      <w:r w:rsidRPr="005C3B55">
        <w:rPr>
          <w:noProof w:val="0"/>
          <w:szCs w:val="24"/>
          <w:lang w:val="en-GB"/>
        </w:rPr>
        <w:t>Selection of rural development measures</w:t>
      </w:r>
    </w:p>
    <w:p w:rsidR="00BD3B5F" w:rsidRPr="005C3B55" w:rsidRDefault="00BD3B5F">
      <w:pPr>
        <w:pStyle w:val="Naslov5"/>
        <w:tabs>
          <w:tab w:val="clear" w:pos="765"/>
        </w:tabs>
        <w:ind w:left="0" w:firstLine="0"/>
        <w:rPr>
          <w:szCs w:val="24"/>
          <w:lang w:val="en-GB"/>
        </w:rPr>
      </w:pPr>
      <w:r w:rsidRPr="005C3B55">
        <w:rPr>
          <w:noProof w:val="0"/>
          <w:szCs w:val="24"/>
          <w:lang w:val="en-GB"/>
        </w:rPr>
        <w:t>Combination and justification of rural development measures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10656" w:type="dxa"/>
            <w:tcMar>
              <w:top w:w="20" w:type="dxa"/>
              <w:bottom w:w="20" w:type="dxa"/>
            </w:tcMar>
            <w:vAlign w:val="bottom"/>
          </w:tcPr>
          <w:p w:rsidR="00BD3B5F" w:rsidRPr="005C3B55" w:rsidRDefault="00BD3B5F">
            <w:pPr>
              <w:spacing w:before="0" w:after="240"/>
              <w:jc w:val="left"/>
              <w:rPr>
                <w:noProof/>
                <w:szCs w:val="24"/>
              </w:rPr>
            </w:pPr>
            <w:r w:rsidRPr="005C3B55">
              <w:rPr>
                <w:szCs w:val="24"/>
              </w:rPr>
              <w:t>Measures are not programmed in this focus area.</w:t>
            </w:r>
          </w:p>
          <w:p w:rsidR="00BD3B5F" w:rsidRPr="005C3B55" w:rsidRDefault="00BD3B5F">
            <w:pPr>
              <w:spacing w:before="240" w:after="240"/>
              <w:jc w:val="left"/>
              <w:rPr>
                <w:noProof/>
                <w:szCs w:val="24"/>
              </w:rPr>
            </w:pPr>
            <w:r w:rsidRPr="005C3B55">
              <w:rPr>
                <w:szCs w:val="24"/>
              </w:rPr>
              <w:t>Explanation:</w:t>
            </w:r>
            <w:r w:rsidRPr="005C3B55">
              <w:rPr>
                <w:noProof/>
                <w:szCs w:val="24"/>
              </w:rPr>
              <w:t xml:space="preserve"> </w:t>
            </w:r>
            <w:r w:rsidRPr="005C3B55">
              <w:rPr>
                <w:szCs w:val="24"/>
              </w:rPr>
              <w:t>The objective of enhancing the efficiency of energy use in agriculture and food industry will be pursued as part of measure M04 which will also support investments in enhancing energy efficiency of agricultural and food processing facilities.</w:t>
            </w:r>
          </w:p>
          <w:p w:rsidR="00BD3B5F" w:rsidRPr="005C3B55" w:rsidRDefault="00BD3B5F">
            <w:pPr>
              <w:pStyle w:val="Telobesedila"/>
              <w:rPr>
                <w:szCs w:val="24"/>
              </w:rPr>
            </w:pPr>
          </w:p>
        </w:tc>
      </w:tr>
    </w:tbl>
    <w:p w:rsidR="00BD3B5F" w:rsidRPr="005C3B55" w:rsidRDefault="00BD3B5F">
      <w:pPr>
        <w:rPr>
          <w:szCs w:val="24"/>
        </w:rPr>
      </w:pPr>
    </w:p>
    <w:p w:rsidR="00BD3B5F" w:rsidRPr="005C3B55" w:rsidRDefault="00BD3B5F">
      <w:pPr>
        <w:pStyle w:val="Naslov4"/>
        <w:tabs>
          <w:tab w:val="clear" w:pos="765"/>
        </w:tabs>
        <w:ind w:left="0" w:firstLine="0"/>
        <w:jc w:val="left"/>
        <w:rPr>
          <w:szCs w:val="24"/>
          <w:lang w:val="en-GB"/>
        </w:rPr>
      </w:pPr>
      <w:r w:rsidRPr="005C3B55">
        <w:rPr>
          <w:szCs w:val="24"/>
          <w:lang w:val="en-GB"/>
        </w:rPr>
        <w:t>5C) Facilitating the supply and use of renewable energy sources, by-products, waste and residue and other non-food materials for the purposes of bio-economy</w:t>
      </w:r>
    </w:p>
    <w:p w:rsidR="00BD3B5F" w:rsidRPr="005C3B55" w:rsidRDefault="00BD3B5F">
      <w:pPr>
        <w:pStyle w:val="Naslov5"/>
        <w:tabs>
          <w:tab w:val="clear" w:pos="765"/>
        </w:tabs>
        <w:ind w:left="0" w:firstLine="0"/>
        <w:rPr>
          <w:szCs w:val="24"/>
          <w:lang w:val="en-GB"/>
        </w:rPr>
      </w:pPr>
      <w:r w:rsidRPr="005C3B55">
        <w:rPr>
          <w:noProof w:val="0"/>
          <w:szCs w:val="24"/>
          <w:lang w:val="en-GB"/>
        </w:rPr>
        <w:t>Selection of rural development measures</w:t>
      </w:r>
    </w:p>
    <w:p w:rsidR="00BD3B5F" w:rsidRPr="005C3B55" w:rsidRDefault="00BD3B5F">
      <w:pPr>
        <w:pStyle w:val="Naslov5"/>
        <w:tabs>
          <w:tab w:val="clear" w:pos="765"/>
        </w:tabs>
        <w:ind w:left="0" w:firstLine="0"/>
        <w:rPr>
          <w:szCs w:val="24"/>
          <w:lang w:val="en-GB"/>
        </w:rPr>
      </w:pPr>
      <w:r w:rsidRPr="005C3B55">
        <w:rPr>
          <w:noProof w:val="0"/>
          <w:szCs w:val="24"/>
          <w:lang w:val="en-GB"/>
        </w:rPr>
        <w:t>Combination and justification of rural development measures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10656" w:type="dxa"/>
            <w:tcMar>
              <w:top w:w="20" w:type="dxa"/>
              <w:bottom w:w="20" w:type="dxa"/>
            </w:tcMar>
            <w:vAlign w:val="bottom"/>
          </w:tcPr>
          <w:p w:rsidR="00BD3B5F" w:rsidRPr="005C3B55" w:rsidRDefault="00BD3B5F">
            <w:pPr>
              <w:spacing w:before="0" w:after="240"/>
              <w:jc w:val="left"/>
              <w:rPr>
                <w:noProof/>
                <w:szCs w:val="24"/>
              </w:rPr>
            </w:pPr>
            <w:r w:rsidRPr="005C3B55">
              <w:rPr>
                <w:szCs w:val="24"/>
              </w:rPr>
              <w:t>Measures are not programmed in this focus area.</w:t>
            </w:r>
          </w:p>
          <w:p w:rsidR="00BD3B5F" w:rsidRPr="005C3B55" w:rsidRDefault="00BD3B5F">
            <w:pPr>
              <w:spacing w:before="240" w:after="240"/>
              <w:jc w:val="left"/>
              <w:rPr>
                <w:noProof/>
                <w:szCs w:val="24"/>
              </w:rPr>
            </w:pPr>
            <w:r w:rsidRPr="005C3B55">
              <w:rPr>
                <w:szCs w:val="24"/>
              </w:rPr>
              <w:t>Explanation:</w:t>
            </w:r>
            <w:r w:rsidRPr="005C3B55">
              <w:rPr>
                <w:noProof/>
                <w:szCs w:val="24"/>
              </w:rPr>
              <w:t xml:space="preserve"> </w:t>
            </w:r>
            <w:r w:rsidRPr="005C3B55">
              <w:rPr>
                <w:szCs w:val="24"/>
              </w:rPr>
              <w:t>The objective of facilitating the supply and use of renewable energy sources, by-products, waste and residues, and other non-food products for bio-economy is intended to be promoted through measures M04 and M06 which will support investments in generating energy for own needs and sale.</w:t>
            </w:r>
          </w:p>
          <w:p w:rsidR="00BD3B5F" w:rsidRPr="005C3B55" w:rsidRDefault="00BD3B5F">
            <w:pPr>
              <w:pStyle w:val="Telobesedila"/>
              <w:rPr>
                <w:szCs w:val="24"/>
              </w:rPr>
            </w:pPr>
          </w:p>
        </w:tc>
      </w:tr>
    </w:tbl>
    <w:p w:rsidR="00BD3B5F" w:rsidRPr="005C3B55" w:rsidRDefault="00BD3B5F">
      <w:pPr>
        <w:rPr>
          <w:szCs w:val="24"/>
        </w:rPr>
      </w:pPr>
    </w:p>
    <w:p w:rsidR="00BD3B5F" w:rsidRPr="005C3B55" w:rsidRDefault="00BD3B5F">
      <w:pPr>
        <w:pStyle w:val="Naslov4"/>
        <w:tabs>
          <w:tab w:val="clear" w:pos="765"/>
        </w:tabs>
        <w:ind w:left="0" w:firstLine="0"/>
        <w:jc w:val="left"/>
        <w:rPr>
          <w:szCs w:val="24"/>
          <w:lang w:val="en-GB"/>
        </w:rPr>
      </w:pPr>
      <w:r w:rsidRPr="005C3B55">
        <w:rPr>
          <w:szCs w:val="24"/>
          <w:lang w:val="en-GB"/>
        </w:rPr>
        <w:t>5D) Reducing emissions of greenhouse gases and ammonia in agriculture</w:t>
      </w:r>
    </w:p>
    <w:p w:rsidR="00BD3B5F" w:rsidRPr="005C3B55" w:rsidRDefault="00BD3B5F">
      <w:pPr>
        <w:pStyle w:val="Naslov5"/>
        <w:tabs>
          <w:tab w:val="clear" w:pos="765"/>
        </w:tabs>
        <w:ind w:left="0" w:firstLine="0"/>
        <w:rPr>
          <w:szCs w:val="24"/>
          <w:lang w:val="en-GB"/>
        </w:rPr>
      </w:pPr>
      <w:r w:rsidRPr="005C3B55">
        <w:rPr>
          <w:noProof w:val="0"/>
          <w:szCs w:val="24"/>
          <w:lang w:val="en-GB"/>
        </w:rPr>
        <w:t>Selection of rural development measures</w:t>
      </w:r>
    </w:p>
    <w:p w:rsidR="00BD3B5F" w:rsidRPr="005C3B55" w:rsidRDefault="00BD3B5F">
      <w:pPr>
        <w:pStyle w:val="Naslov5"/>
        <w:tabs>
          <w:tab w:val="clear" w:pos="765"/>
        </w:tabs>
        <w:ind w:left="0" w:firstLine="0"/>
        <w:rPr>
          <w:szCs w:val="24"/>
          <w:lang w:val="en-GB"/>
        </w:rPr>
      </w:pPr>
      <w:r w:rsidRPr="005C3B55">
        <w:rPr>
          <w:noProof w:val="0"/>
          <w:szCs w:val="24"/>
          <w:lang w:val="en-GB"/>
        </w:rPr>
        <w:t>Combination and justification of rural development measures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10656" w:type="dxa"/>
            <w:tcMar>
              <w:top w:w="20" w:type="dxa"/>
              <w:bottom w:w="20" w:type="dxa"/>
            </w:tcMar>
            <w:vAlign w:val="bottom"/>
          </w:tcPr>
          <w:p w:rsidR="00BD3B5F" w:rsidRPr="005C3B55" w:rsidRDefault="00BD3B5F">
            <w:pPr>
              <w:spacing w:before="0" w:after="240"/>
              <w:jc w:val="left"/>
              <w:rPr>
                <w:noProof/>
                <w:szCs w:val="24"/>
              </w:rPr>
            </w:pPr>
            <w:r w:rsidRPr="005C3B55">
              <w:rPr>
                <w:szCs w:val="24"/>
              </w:rPr>
              <w:t>Measures are not programmed in this focus area.</w:t>
            </w:r>
          </w:p>
          <w:p w:rsidR="00BD3B5F" w:rsidRPr="005C3B55" w:rsidRDefault="00BD3B5F">
            <w:pPr>
              <w:spacing w:before="240" w:after="240"/>
              <w:jc w:val="left"/>
              <w:rPr>
                <w:noProof/>
                <w:szCs w:val="24"/>
              </w:rPr>
            </w:pPr>
            <w:r w:rsidRPr="005C3B55">
              <w:rPr>
                <w:szCs w:val="24"/>
              </w:rPr>
              <w:t>Explanation:</w:t>
            </w:r>
            <w:r w:rsidRPr="005C3B55">
              <w:rPr>
                <w:noProof/>
                <w:szCs w:val="24"/>
              </w:rPr>
              <w:t xml:space="preserve"> </w:t>
            </w:r>
            <w:r w:rsidRPr="005C3B55">
              <w:rPr>
                <w:szCs w:val="24"/>
              </w:rPr>
              <w:t>The objective of reducing greenhouse gas and ammonium emissions in agriculture is intended to be pursued firstly as part of measure M04 within which investments in livestock agricultural holdings will contribute to more appropriate storage of manure, acquisition of biogas, purchase of special agricultural machinery for rational use of nitrogen, building of compost facilities, technological modernisation of stables and purchase of equipment for animal faeces, energy efficiency etc.</w:t>
            </w:r>
            <w:r w:rsidRPr="005C3B55">
              <w:rPr>
                <w:noProof/>
                <w:szCs w:val="24"/>
              </w:rPr>
              <w:t xml:space="preserve"> </w:t>
            </w:r>
            <w:r w:rsidRPr="005C3B55">
              <w:rPr>
                <w:szCs w:val="24"/>
              </w:rPr>
              <w:t>In the field of plant production, a positive contribution to the aforementioned focus area is expected primarily through measures M10 and M11 within which more efficient nitrogen management will be promoted, which includes the type, quantity, time and manner of fertiliser application, fertilisation optimisation based on soil analysis, fertilisation plan, a suitable manner of tillage, selection of a suitable rotation crop with a sufficient share of legumes etc.</w:t>
            </w:r>
            <w:r w:rsidRPr="005C3B55">
              <w:rPr>
                <w:noProof/>
                <w:szCs w:val="24"/>
              </w:rPr>
              <w:t xml:space="preserve"> </w:t>
            </w:r>
            <w:r w:rsidRPr="005C3B55">
              <w:rPr>
                <w:szCs w:val="24"/>
              </w:rPr>
              <w:t>The latter measures, which are connected to the manner of tillage which increases the organic matter in soil, also have positive effects on the storing or binding of carbon in soil.</w:t>
            </w:r>
          </w:p>
          <w:p w:rsidR="00BD3B5F" w:rsidRPr="005C3B55" w:rsidRDefault="00BD3B5F">
            <w:pPr>
              <w:pStyle w:val="Telobesedila"/>
              <w:rPr>
                <w:szCs w:val="24"/>
              </w:rPr>
            </w:pPr>
          </w:p>
        </w:tc>
      </w:tr>
    </w:tbl>
    <w:p w:rsidR="00BD3B5F" w:rsidRPr="005C3B55" w:rsidRDefault="00BD3B5F">
      <w:pPr>
        <w:rPr>
          <w:szCs w:val="24"/>
        </w:rPr>
      </w:pPr>
    </w:p>
    <w:p w:rsidR="00BD3B5F" w:rsidRPr="005C3B55" w:rsidRDefault="00BD3B5F">
      <w:pPr>
        <w:pStyle w:val="Naslov4"/>
        <w:tabs>
          <w:tab w:val="clear" w:pos="765"/>
        </w:tabs>
        <w:ind w:left="0" w:firstLine="0"/>
        <w:jc w:val="left"/>
        <w:rPr>
          <w:szCs w:val="24"/>
          <w:lang w:val="en-GB"/>
        </w:rPr>
      </w:pPr>
      <w:r w:rsidRPr="005C3B55">
        <w:rPr>
          <w:szCs w:val="24"/>
          <w:lang w:val="en-GB"/>
        </w:rPr>
        <w:t>5E) Promoting the storage and sequestration of carbon in agriculture and forestry</w:t>
      </w:r>
    </w:p>
    <w:p w:rsidR="00BD3B5F" w:rsidRPr="005C3B55" w:rsidRDefault="00BD3B5F">
      <w:pPr>
        <w:pStyle w:val="Naslov5"/>
        <w:tabs>
          <w:tab w:val="clear" w:pos="765"/>
        </w:tabs>
        <w:ind w:left="0" w:firstLine="0"/>
        <w:rPr>
          <w:szCs w:val="24"/>
          <w:lang w:val="en-GB"/>
        </w:rPr>
      </w:pPr>
      <w:r w:rsidRPr="005C3B55">
        <w:rPr>
          <w:noProof w:val="0"/>
          <w:szCs w:val="24"/>
          <w:lang w:val="en-GB"/>
        </w:rPr>
        <w:t>Selection of rural development measures</w:t>
      </w:r>
    </w:p>
    <w:p w:rsidR="00BD3B5F" w:rsidRPr="005C3B55" w:rsidRDefault="00BD3B5F">
      <w:pPr>
        <w:pStyle w:val="Naslov5"/>
        <w:tabs>
          <w:tab w:val="clear" w:pos="765"/>
        </w:tabs>
        <w:ind w:left="0" w:firstLine="0"/>
        <w:rPr>
          <w:szCs w:val="24"/>
          <w:lang w:val="en-GB"/>
        </w:rPr>
      </w:pPr>
      <w:r w:rsidRPr="005C3B55">
        <w:rPr>
          <w:noProof w:val="0"/>
          <w:szCs w:val="24"/>
          <w:lang w:val="en-GB"/>
        </w:rPr>
        <w:t>Combination and justification of rural development measures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10656" w:type="dxa"/>
            <w:tcMar>
              <w:top w:w="20" w:type="dxa"/>
              <w:bottom w:w="20" w:type="dxa"/>
            </w:tcMar>
            <w:vAlign w:val="bottom"/>
          </w:tcPr>
          <w:p w:rsidR="00BD3B5F" w:rsidRPr="005C3B55" w:rsidRDefault="00BD3B5F">
            <w:pPr>
              <w:spacing w:before="0" w:after="240"/>
              <w:jc w:val="left"/>
              <w:rPr>
                <w:noProof/>
                <w:szCs w:val="24"/>
              </w:rPr>
            </w:pPr>
            <w:r w:rsidRPr="005C3B55">
              <w:rPr>
                <w:szCs w:val="24"/>
              </w:rPr>
              <w:t>Measures are not programmed in this focus area.</w:t>
            </w:r>
          </w:p>
          <w:p w:rsidR="00BD3B5F" w:rsidRPr="005C3B55" w:rsidRDefault="00BD3B5F">
            <w:pPr>
              <w:spacing w:before="240" w:after="240"/>
              <w:jc w:val="left"/>
              <w:rPr>
                <w:noProof/>
                <w:szCs w:val="24"/>
              </w:rPr>
            </w:pPr>
            <w:r w:rsidRPr="005C3B55">
              <w:rPr>
                <w:szCs w:val="24"/>
              </w:rPr>
              <w:t>Explanation:</w:t>
            </w:r>
            <w:r w:rsidRPr="005C3B55">
              <w:rPr>
                <w:noProof/>
                <w:szCs w:val="24"/>
              </w:rPr>
              <w:t xml:space="preserve"> </w:t>
            </w:r>
            <w:r w:rsidRPr="005C3B55">
              <w:rPr>
                <w:szCs w:val="24"/>
              </w:rPr>
              <w:t>The objective of storing and sequestration of carbon in agriculture and forestry is primarily promoted through focus areas 4A, 4B and 4C; therefore, this focus area will not be separately programmed.</w:t>
            </w:r>
            <w:r w:rsidRPr="005C3B55">
              <w:rPr>
                <w:noProof/>
                <w:szCs w:val="24"/>
              </w:rPr>
              <w:t xml:space="preserve"> </w:t>
            </w:r>
            <w:r w:rsidRPr="005C3B55">
              <w:rPr>
                <w:szCs w:val="24"/>
              </w:rPr>
              <w:t>The key measures include M10 and M11 and the measure intended to restore forests following a natural disaster.</w:t>
            </w:r>
            <w:r w:rsidRPr="005C3B55">
              <w:rPr>
                <w:noProof/>
                <w:szCs w:val="24"/>
              </w:rPr>
              <w:t xml:space="preserve"> </w:t>
            </w:r>
            <w:r w:rsidRPr="005C3B55">
              <w:rPr>
                <w:szCs w:val="24"/>
              </w:rPr>
              <w:t>We contribute to the storing and binding of carbon in soil in agriculture by promoting pasture, suitable manners of tillage (e.g. conservation tillage), use of crop rotation which includes legumes, and other measures which increase the organic matter in soil.</w:t>
            </w:r>
            <w:r w:rsidRPr="005C3B55">
              <w:rPr>
                <w:noProof/>
                <w:szCs w:val="24"/>
              </w:rPr>
              <w:t xml:space="preserve"> </w:t>
            </w:r>
            <w:r w:rsidRPr="005C3B55">
              <w:rPr>
                <w:szCs w:val="24"/>
              </w:rPr>
              <w:t>In forestry, restoring forest potential also contributes to the sequestration of carbon from the atmosphere.</w:t>
            </w:r>
          </w:p>
          <w:p w:rsidR="00BD3B5F" w:rsidRPr="005C3B55" w:rsidRDefault="00BD3B5F">
            <w:pPr>
              <w:pStyle w:val="Telobesedila"/>
              <w:rPr>
                <w:szCs w:val="24"/>
              </w:rPr>
            </w:pPr>
          </w:p>
        </w:tc>
      </w:tr>
    </w:tbl>
    <w:p w:rsidR="00BD3B5F" w:rsidRPr="005C3B55" w:rsidRDefault="00BD3B5F">
      <w:pPr>
        <w:rPr>
          <w:szCs w:val="24"/>
        </w:rPr>
      </w:pPr>
    </w:p>
    <w:p w:rsidR="00BD3B5F" w:rsidRPr="005C3B55" w:rsidRDefault="00BD3B5F">
      <w:pPr>
        <w:pStyle w:val="Naslov3"/>
        <w:tabs>
          <w:tab w:val="clear" w:pos="765"/>
        </w:tabs>
        <w:ind w:left="0" w:firstLine="0"/>
        <w:jc w:val="left"/>
        <w:rPr>
          <w:szCs w:val="24"/>
          <w:lang w:val="en-GB"/>
        </w:rPr>
      </w:pPr>
      <w:bookmarkStart w:id="91" w:name="_Toc416192549"/>
      <w:r w:rsidRPr="005C3B55">
        <w:rPr>
          <w:szCs w:val="24"/>
          <w:lang w:val="en-GB"/>
        </w:rPr>
        <w:t>N6: Promotion of social inclusion, reduction of poverty and economic development of rural areas</w:t>
      </w:r>
      <w:bookmarkEnd w:id="91"/>
    </w:p>
    <w:p w:rsidR="00BD3B5F" w:rsidRPr="005C3B55" w:rsidRDefault="00BD3B5F">
      <w:pPr>
        <w:pStyle w:val="Naslov4"/>
        <w:tabs>
          <w:tab w:val="clear" w:pos="765"/>
        </w:tabs>
        <w:ind w:left="0" w:firstLine="0"/>
        <w:jc w:val="left"/>
        <w:rPr>
          <w:szCs w:val="24"/>
          <w:lang w:val="en-GB"/>
        </w:rPr>
      </w:pPr>
      <w:r w:rsidRPr="005C3B55">
        <w:rPr>
          <w:szCs w:val="24"/>
          <w:lang w:val="en-GB"/>
        </w:rPr>
        <w:t>6A) Facilitating diversification, creation and development of small enterprises and job creation</w:t>
      </w:r>
    </w:p>
    <w:p w:rsidR="00BD3B5F" w:rsidRPr="005C3B55" w:rsidRDefault="00BD3B5F">
      <w:pPr>
        <w:pStyle w:val="Naslov5"/>
        <w:tabs>
          <w:tab w:val="clear" w:pos="765"/>
        </w:tabs>
        <w:ind w:left="0" w:firstLine="0"/>
        <w:rPr>
          <w:b w:val="0"/>
          <w:szCs w:val="24"/>
          <w:lang w:val="en-GB"/>
        </w:rPr>
      </w:pPr>
      <w:r w:rsidRPr="005C3B55">
        <w:rPr>
          <w:b w:val="0"/>
          <w:noProof w:val="0"/>
          <w:szCs w:val="24"/>
          <w:lang w:val="en-GB"/>
        </w:rPr>
        <w:t>Selection of rural development measures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10656"/>
      </w:tblGrid>
      <w:tr w:rsidR="00BD3B5F" w:rsidRPr="005C3B55">
        <w:tc>
          <w:tcPr>
            <w:tcW w:w="10656" w:type="dxa"/>
            <w:tcMar>
              <w:top w:w="20" w:type="dxa"/>
              <w:bottom w:w="20" w:type="dxa"/>
            </w:tcMar>
            <w:vAlign w:val="bottom"/>
          </w:tcPr>
          <w:p w:rsidR="00BD3B5F" w:rsidRPr="005C3B55" w:rsidRDefault="00BD3B5F" w:rsidP="00BD3B5F">
            <w:pPr>
              <w:numPr>
                <w:ilvl w:val="0"/>
                <w:numId w:val="116"/>
              </w:numPr>
              <w:rPr>
                <w:szCs w:val="24"/>
              </w:rPr>
            </w:pPr>
            <w:r w:rsidRPr="005C3B55">
              <w:rPr>
                <w:szCs w:val="24"/>
              </w:rPr>
              <w:t>M06 – Farm and business development (Article 19)</w:t>
            </w:r>
          </w:p>
          <w:p w:rsidR="00BD3B5F" w:rsidRPr="005C3B55" w:rsidRDefault="00BD3B5F" w:rsidP="00BD3B5F">
            <w:pPr>
              <w:numPr>
                <w:ilvl w:val="0"/>
                <w:numId w:val="116"/>
              </w:numPr>
              <w:rPr>
                <w:szCs w:val="24"/>
              </w:rPr>
            </w:pPr>
            <w:r w:rsidRPr="005C3B55">
              <w:rPr>
                <w:szCs w:val="24"/>
              </w:rPr>
              <w:t>M08 – Investments in forest area development and improvement of the viability of forests (Articles 21-26)</w:t>
            </w:r>
          </w:p>
          <w:p w:rsidR="00BD3B5F" w:rsidRPr="005C3B55" w:rsidRDefault="00BD3B5F" w:rsidP="00BD3B5F">
            <w:pPr>
              <w:numPr>
                <w:ilvl w:val="0"/>
                <w:numId w:val="116"/>
              </w:numPr>
              <w:rPr>
                <w:szCs w:val="24"/>
              </w:rPr>
            </w:pPr>
            <w:r w:rsidRPr="005C3B55">
              <w:rPr>
                <w:szCs w:val="24"/>
              </w:rPr>
              <w:t>M16 – Cooperation (Article 35)</w:t>
            </w:r>
          </w:p>
        </w:tc>
      </w:tr>
    </w:tbl>
    <w:p w:rsidR="00BD3B5F" w:rsidRPr="005C3B55" w:rsidRDefault="00BD3B5F">
      <w:pPr>
        <w:pStyle w:val="Naslov5"/>
        <w:tabs>
          <w:tab w:val="clear" w:pos="765"/>
        </w:tabs>
        <w:ind w:left="0" w:firstLine="0"/>
        <w:rPr>
          <w:b w:val="0"/>
          <w:szCs w:val="24"/>
          <w:lang w:val="en-GB"/>
        </w:rPr>
      </w:pPr>
      <w:r w:rsidRPr="005C3B55">
        <w:rPr>
          <w:noProof w:val="0"/>
          <w:szCs w:val="24"/>
          <w:lang w:val="en-GB"/>
        </w:rPr>
        <w:t>Combination and justification of rural development measures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10656" w:type="dxa"/>
            <w:tcMar>
              <w:top w:w="20" w:type="dxa"/>
              <w:bottom w:w="20" w:type="dxa"/>
            </w:tcMar>
            <w:vAlign w:val="bottom"/>
          </w:tcPr>
          <w:p w:rsidR="00BD3B5F" w:rsidRPr="005C3B55" w:rsidRDefault="00BD3B5F">
            <w:pPr>
              <w:spacing w:before="0" w:after="240"/>
              <w:jc w:val="left"/>
              <w:rPr>
                <w:noProof/>
                <w:szCs w:val="24"/>
              </w:rPr>
            </w:pPr>
            <w:r w:rsidRPr="005C3B55">
              <w:rPr>
                <w:szCs w:val="24"/>
              </w:rPr>
              <w:t>The aggravated economic situation and increasing unemployment threatens the socially sustainable and coherent development of the countryside.</w:t>
            </w:r>
            <w:r w:rsidRPr="005C3B55">
              <w:rPr>
                <w:noProof/>
                <w:szCs w:val="24"/>
              </w:rPr>
              <w:t xml:space="preserve"> </w:t>
            </w:r>
            <w:r w:rsidRPr="005C3B55">
              <w:rPr>
                <w:szCs w:val="24"/>
              </w:rPr>
              <w:t>Therefore, it is necessary to use a combination of measures within this focus area to stimulate the economic activity in the countryside in the form of developing subsidiary on-farm activities, micro and small companies in the countryside, and thus promote the creation of an additional source of income on farms, and the preservation and creation of new (green) jobs.</w:t>
            </w:r>
            <w:r w:rsidRPr="005C3B55">
              <w:rPr>
                <w:noProof/>
                <w:szCs w:val="24"/>
              </w:rPr>
              <w:t xml:space="preserve"> </w:t>
            </w:r>
            <w:r w:rsidRPr="005C3B55">
              <w:rPr>
                <w:szCs w:val="24"/>
              </w:rPr>
              <w:t>The key contribution to this may be provided by measures M06 and M08, which support investments in forestry technologies, processing and mobilising forest products.</w:t>
            </w:r>
          </w:p>
          <w:p w:rsidR="00BD3B5F" w:rsidRPr="005C3B55" w:rsidRDefault="00BD3B5F">
            <w:pPr>
              <w:spacing w:before="240" w:after="240"/>
              <w:jc w:val="left"/>
              <w:rPr>
                <w:noProof/>
                <w:szCs w:val="24"/>
              </w:rPr>
            </w:pPr>
            <w:r w:rsidRPr="005C3B55">
              <w:rPr>
                <w:szCs w:val="24"/>
              </w:rPr>
              <w:t>Advantage will be given to micro and small companies and farms with subsidiary activities which will connect their development with activation of endogenous potentials of rural areas, which means that their primary activities will be related to wood processing, local self-sufficiency, green tourism, natural and cultural heritage and traditional knowledge, social entrepreneurship, social security services, management of organic waste and renewable energy sources which will create conditions for the creation of green jobs or an additional source of income for the farm.</w:t>
            </w:r>
            <w:r w:rsidRPr="005C3B55">
              <w:rPr>
                <w:noProof/>
                <w:szCs w:val="24"/>
              </w:rPr>
              <w:t xml:space="preserve">  </w:t>
            </w:r>
          </w:p>
          <w:p w:rsidR="00BD3B5F" w:rsidRPr="005C3B55" w:rsidRDefault="00BD3B5F">
            <w:pPr>
              <w:spacing w:before="240" w:after="240"/>
              <w:jc w:val="left"/>
              <w:rPr>
                <w:noProof/>
                <w:szCs w:val="24"/>
              </w:rPr>
            </w:pPr>
            <w:r w:rsidRPr="005C3B55">
              <w:rPr>
                <w:szCs w:val="24"/>
              </w:rPr>
              <w:t>Measure M16 will also contribute to the objectives of this focus area, which will encourage the cooperation of multiple subjects in the field of diversification of agricultural activities in relation to health protection, social inclusion, agriculture supported by the community, and education about the environment and food.</w:t>
            </w:r>
          </w:p>
          <w:p w:rsidR="00BD3B5F" w:rsidRPr="005C3B55" w:rsidRDefault="00BD3B5F">
            <w:pPr>
              <w:spacing w:before="240" w:after="240"/>
              <w:jc w:val="left"/>
              <w:rPr>
                <w:noProof/>
                <w:szCs w:val="24"/>
              </w:rPr>
            </w:pPr>
            <w:r w:rsidRPr="005C3B55">
              <w:rPr>
                <w:szCs w:val="24"/>
              </w:rPr>
              <w:t>Some EUR 106 million are allocated to the measures within this focus area, which is slightly less than 10% of all RDP 2014–2020 funds. As part of this focus area, also financial instruments will be used.</w:t>
            </w:r>
            <w:r w:rsidRPr="005C3B55">
              <w:rPr>
                <w:noProof/>
                <w:szCs w:val="24"/>
              </w:rPr>
              <w:t xml:space="preserve"> </w:t>
            </w:r>
            <w:r w:rsidRPr="005C3B55">
              <w:rPr>
                <w:szCs w:val="24"/>
              </w:rPr>
              <w:t>Approximately 500 new jobs will be created in the countryside.</w:t>
            </w:r>
          </w:p>
          <w:p w:rsidR="00BD3B5F" w:rsidRPr="005C3B55" w:rsidRDefault="00BD3B5F">
            <w:pPr>
              <w:spacing w:before="240" w:after="240"/>
              <w:jc w:val="left"/>
              <w:rPr>
                <w:noProof/>
                <w:szCs w:val="24"/>
              </w:rPr>
            </w:pPr>
            <w:r w:rsidRPr="005C3B55">
              <w:rPr>
                <w:szCs w:val="24"/>
              </w:rPr>
              <w:t>The implementation of measures will have an indirect impact on the following focus areas:</w:t>
            </w:r>
          </w:p>
          <w:p w:rsidR="00BD3B5F" w:rsidRPr="005C3B55" w:rsidRDefault="00BD3B5F" w:rsidP="00BD3B5F">
            <w:pPr>
              <w:numPr>
                <w:ilvl w:val="0"/>
                <w:numId w:val="117"/>
              </w:numPr>
              <w:spacing w:before="240" w:after="0"/>
              <w:ind w:hanging="290"/>
              <w:jc w:val="left"/>
              <w:rPr>
                <w:noProof/>
                <w:szCs w:val="24"/>
              </w:rPr>
            </w:pPr>
            <w:r w:rsidRPr="005C3B55">
              <w:rPr>
                <w:noProof/>
                <w:szCs w:val="24"/>
              </w:rPr>
              <w:t>M06: 5C;</w:t>
            </w:r>
          </w:p>
          <w:p w:rsidR="00BD3B5F" w:rsidRPr="005C3B55" w:rsidRDefault="00BD3B5F" w:rsidP="00BD3B5F">
            <w:pPr>
              <w:numPr>
                <w:ilvl w:val="0"/>
                <w:numId w:val="117"/>
              </w:numPr>
              <w:spacing w:before="0" w:after="0"/>
              <w:ind w:hanging="290"/>
              <w:jc w:val="left"/>
              <w:rPr>
                <w:noProof/>
                <w:szCs w:val="24"/>
              </w:rPr>
            </w:pPr>
            <w:r w:rsidRPr="005C3B55">
              <w:rPr>
                <w:noProof/>
                <w:szCs w:val="24"/>
              </w:rPr>
              <w:t>M08: 5C;</w:t>
            </w:r>
          </w:p>
          <w:p w:rsidR="00BD3B5F" w:rsidRPr="005C3B55" w:rsidRDefault="00BD3B5F" w:rsidP="00BD3B5F">
            <w:pPr>
              <w:numPr>
                <w:ilvl w:val="0"/>
                <w:numId w:val="117"/>
              </w:numPr>
              <w:spacing w:before="0" w:after="240"/>
              <w:ind w:hanging="290"/>
              <w:jc w:val="left"/>
              <w:rPr>
                <w:noProof/>
                <w:szCs w:val="24"/>
              </w:rPr>
            </w:pPr>
            <w:r w:rsidRPr="005C3B55">
              <w:rPr>
                <w:noProof/>
                <w:szCs w:val="24"/>
              </w:rPr>
              <w:t xml:space="preserve">M16: 1A, 1B, 4A, 4B </w:t>
            </w:r>
            <w:r w:rsidRPr="005C3B55">
              <w:rPr>
                <w:szCs w:val="24"/>
              </w:rPr>
              <w:t>and</w:t>
            </w:r>
            <w:r w:rsidRPr="005C3B55">
              <w:rPr>
                <w:noProof/>
                <w:szCs w:val="24"/>
              </w:rPr>
              <w:t xml:space="preserve"> 6B.</w:t>
            </w:r>
          </w:p>
          <w:p w:rsidR="00BD3B5F" w:rsidRPr="005C3B55" w:rsidRDefault="00BD3B5F">
            <w:pPr>
              <w:pStyle w:val="Telobesedila"/>
              <w:rPr>
                <w:szCs w:val="24"/>
              </w:rPr>
            </w:pPr>
          </w:p>
        </w:tc>
      </w:tr>
    </w:tbl>
    <w:p w:rsidR="00BD3B5F" w:rsidRPr="005C3B55" w:rsidRDefault="00BD3B5F">
      <w:pPr>
        <w:rPr>
          <w:szCs w:val="24"/>
        </w:rPr>
      </w:pPr>
    </w:p>
    <w:p w:rsidR="00BD3B5F" w:rsidRPr="005C3B55" w:rsidRDefault="00BD3B5F">
      <w:pPr>
        <w:pStyle w:val="Naslov4"/>
        <w:tabs>
          <w:tab w:val="clear" w:pos="765"/>
        </w:tabs>
        <w:ind w:left="0" w:firstLine="0"/>
        <w:jc w:val="left"/>
        <w:rPr>
          <w:szCs w:val="24"/>
          <w:lang w:val="en-GB"/>
        </w:rPr>
      </w:pPr>
      <w:r w:rsidRPr="005C3B55">
        <w:rPr>
          <w:szCs w:val="24"/>
          <w:lang w:val="en-GB"/>
        </w:rPr>
        <w:t>6B) Facilitation of local development of rural areas</w:t>
      </w:r>
    </w:p>
    <w:p w:rsidR="00BD3B5F" w:rsidRPr="005C3B55" w:rsidRDefault="00BD3B5F">
      <w:pPr>
        <w:pStyle w:val="Naslov5"/>
        <w:tabs>
          <w:tab w:val="clear" w:pos="765"/>
        </w:tabs>
        <w:ind w:left="0" w:firstLine="0"/>
        <w:rPr>
          <w:szCs w:val="24"/>
          <w:lang w:val="en-GB"/>
        </w:rPr>
      </w:pPr>
      <w:r w:rsidRPr="005C3B55">
        <w:rPr>
          <w:noProof w:val="0"/>
          <w:szCs w:val="24"/>
          <w:lang w:val="en-GB"/>
        </w:rPr>
        <w:t>Selection of rural development measures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10656"/>
      </w:tblGrid>
      <w:tr w:rsidR="00BD3B5F" w:rsidRPr="005C3B55">
        <w:tc>
          <w:tcPr>
            <w:tcW w:w="10656" w:type="dxa"/>
            <w:tcMar>
              <w:top w:w="20" w:type="dxa"/>
              <w:bottom w:w="20" w:type="dxa"/>
            </w:tcMar>
            <w:vAlign w:val="bottom"/>
          </w:tcPr>
          <w:p w:rsidR="00BD3B5F" w:rsidRPr="005C3B55" w:rsidRDefault="00BD3B5F" w:rsidP="00BD3B5F">
            <w:pPr>
              <w:numPr>
                <w:ilvl w:val="0"/>
                <w:numId w:val="118"/>
              </w:numPr>
              <w:rPr>
                <w:szCs w:val="24"/>
              </w:rPr>
            </w:pPr>
            <w:r w:rsidRPr="005C3B55">
              <w:rPr>
                <w:szCs w:val="24"/>
              </w:rPr>
              <w:t>M19 – Support for LEADER local development (CLLD – community-led local development) (Article 35 of Regulation (EU) No 1303/2013)</w:t>
            </w:r>
          </w:p>
        </w:tc>
      </w:tr>
    </w:tbl>
    <w:p w:rsidR="00BD3B5F" w:rsidRPr="005C3B55" w:rsidRDefault="00BD3B5F">
      <w:pPr>
        <w:pStyle w:val="Naslov5"/>
        <w:tabs>
          <w:tab w:val="clear" w:pos="765"/>
        </w:tabs>
        <w:ind w:left="0" w:firstLine="0"/>
        <w:rPr>
          <w:szCs w:val="24"/>
          <w:lang w:val="en-GB"/>
        </w:rPr>
      </w:pPr>
      <w:r w:rsidRPr="005C3B55">
        <w:rPr>
          <w:noProof w:val="0"/>
          <w:szCs w:val="24"/>
          <w:lang w:val="en-GB"/>
        </w:rPr>
        <w:t>Combination and justification of rural development measures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10656" w:type="dxa"/>
            <w:tcMar>
              <w:top w:w="20" w:type="dxa"/>
              <w:bottom w:w="20" w:type="dxa"/>
            </w:tcMar>
            <w:vAlign w:val="bottom"/>
          </w:tcPr>
          <w:p w:rsidR="00BD3B5F" w:rsidRPr="005C3B55" w:rsidRDefault="00BD3B5F">
            <w:pPr>
              <w:spacing w:before="0" w:after="240"/>
              <w:jc w:val="left"/>
              <w:rPr>
                <w:noProof/>
                <w:szCs w:val="24"/>
              </w:rPr>
            </w:pPr>
            <w:r w:rsidRPr="005C3B55">
              <w:rPr>
                <w:szCs w:val="24"/>
              </w:rPr>
              <w:t>Local development is based on the utilisation of endogenous development potentials of the countryside and the building of social capital in the form of active involvement of the population in joint planning and decision-making about its own local development under the principles of subsidiarity and participatory democracy.</w:t>
            </w:r>
            <w:r w:rsidRPr="005C3B55">
              <w:rPr>
                <w:noProof/>
                <w:szCs w:val="24"/>
              </w:rPr>
              <w:t xml:space="preserve"> </w:t>
            </w:r>
            <w:r w:rsidRPr="005C3B55">
              <w:rPr>
                <w:szCs w:val="24"/>
              </w:rPr>
              <w:t>The implementation of the LEADER 2007–2013 measures was well-received by the local population and proved to be a successful tool for solving local development needs, which is why the application of the CLLD approach is anticipated in the 2014–2020 period within three funds, i.e. EAFRD, ERDF and EMFF.</w:t>
            </w:r>
          </w:p>
          <w:p w:rsidR="00BD3B5F" w:rsidRPr="005C3B55" w:rsidRDefault="00BD3B5F">
            <w:pPr>
              <w:spacing w:before="240" w:after="240"/>
              <w:jc w:val="left"/>
              <w:rPr>
                <w:noProof/>
                <w:szCs w:val="24"/>
              </w:rPr>
            </w:pPr>
            <w:r w:rsidRPr="005C3B55">
              <w:rPr>
                <w:szCs w:val="24"/>
              </w:rPr>
              <w:t>To realise a balanced development of local areas, it is necessary to implement close cooperation among different funds, which will start resolving the local development requirements through collaborating and complementing and thus pursue the objectives of the European Union.</w:t>
            </w:r>
            <w:r w:rsidRPr="005C3B55">
              <w:rPr>
                <w:noProof/>
                <w:szCs w:val="24"/>
              </w:rPr>
              <w:t xml:space="preserve"> </w:t>
            </w:r>
            <w:r w:rsidRPr="005C3B55">
              <w:rPr>
                <w:szCs w:val="24"/>
              </w:rPr>
              <w:t>The advantage of the joint approach is providing more comprehensive solving of local development needs.</w:t>
            </w:r>
          </w:p>
          <w:p w:rsidR="00BD3B5F" w:rsidRPr="005C3B55" w:rsidRDefault="00BD3B5F">
            <w:pPr>
              <w:spacing w:before="240" w:after="240"/>
              <w:jc w:val="left"/>
              <w:rPr>
                <w:noProof/>
                <w:szCs w:val="24"/>
              </w:rPr>
            </w:pPr>
            <w:r w:rsidRPr="005C3B55">
              <w:rPr>
                <w:szCs w:val="24"/>
              </w:rPr>
              <w:t>The ‘bottom-up’ approach has many advantages in comparison to traditional development policies, since it responds to the actual needs of local areas and thus ensures greater multiplicative effects at local, regional and finally national levels.</w:t>
            </w:r>
            <w:r w:rsidRPr="005C3B55">
              <w:rPr>
                <w:noProof/>
                <w:szCs w:val="24"/>
              </w:rPr>
              <w:t xml:space="preserve"> </w:t>
            </w:r>
            <w:r w:rsidRPr="005C3B55">
              <w:rPr>
                <w:szCs w:val="24"/>
              </w:rPr>
              <w:t>Another advantage is also that local people take control of local development, which stimulates a sense of local identity, and establish local partnerships which form and implement a comprehensive local development strategy and thus respond to a broad array of local challenges and needs.</w:t>
            </w:r>
            <w:r w:rsidRPr="005C3B55">
              <w:rPr>
                <w:noProof/>
                <w:szCs w:val="24"/>
              </w:rPr>
              <w:t xml:space="preserve"> </w:t>
            </w:r>
            <w:r w:rsidRPr="005C3B55">
              <w:rPr>
                <w:szCs w:val="24"/>
              </w:rPr>
              <w:t>Local partnerships determine their own local development priorities and operations which will be subject to co-financing, which is the most recognisable and the greatest advantage of such approach.</w:t>
            </w:r>
          </w:p>
          <w:p w:rsidR="00BD3B5F" w:rsidRPr="005C3B55" w:rsidRDefault="00BD3B5F">
            <w:pPr>
              <w:spacing w:before="240" w:after="240"/>
              <w:jc w:val="left"/>
              <w:rPr>
                <w:noProof/>
                <w:szCs w:val="24"/>
              </w:rPr>
            </w:pPr>
            <w:r w:rsidRPr="005C3B55">
              <w:rPr>
                <w:szCs w:val="24"/>
              </w:rPr>
              <w:t>The objective of the approach is to promote social inclusion and combat poverty and any discrimination which contributes to decreasing regional development differences and the economic development of areas.</w:t>
            </w:r>
            <w:r w:rsidRPr="005C3B55">
              <w:rPr>
                <w:noProof/>
                <w:szCs w:val="24"/>
              </w:rPr>
              <w:t xml:space="preserve"> </w:t>
            </w:r>
            <w:r w:rsidRPr="005C3B55">
              <w:rPr>
                <w:szCs w:val="24"/>
              </w:rPr>
              <w:t>Furthermore, it contributes greatly to preserving and protecting the environment and cultural landscape, cultural heritage and its elements.</w:t>
            </w:r>
          </w:p>
          <w:p w:rsidR="00BD3B5F" w:rsidRPr="005C3B55" w:rsidRDefault="00BD3B5F">
            <w:pPr>
              <w:spacing w:before="240" w:after="240"/>
              <w:jc w:val="left"/>
              <w:rPr>
                <w:noProof/>
                <w:szCs w:val="24"/>
              </w:rPr>
            </w:pPr>
            <w:r w:rsidRPr="005C3B55">
              <w:rPr>
                <w:szCs w:val="24"/>
              </w:rPr>
              <w:t>Some 5% funds are earmarked for the LEADER measure.</w:t>
            </w:r>
            <w:r w:rsidRPr="005C3B55">
              <w:rPr>
                <w:noProof/>
                <w:szCs w:val="24"/>
              </w:rPr>
              <w:t xml:space="preserve"> </w:t>
            </w:r>
            <w:r w:rsidRPr="005C3B55">
              <w:rPr>
                <w:szCs w:val="24"/>
              </w:rPr>
              <w:t>The EMFF, contributing EUR 5 million, and the ERDF, contributing EUR 30 million, have also become involved in realising objectives of the EU policy and meeting joint local development needs.</w:t>
            </w:r>
          </w:p>
          <w:p w:rsidR="00BD3B5F" w:rsidRPr="005C3B55" w:rsidRDefault="00BD3B5F">
            <w:pPr>
              <w:spacing w:before="240" w:after="240"/>
              <w:jc w:val="left"/>
              <w:rPr>
                <w:noProof/>
                <w:szCs w:val="24"/>
              </w:rPr>
            </w:pPr>
            <w:r w:rsidRPr="005C3B55">
              <w:rPr>
                <w:szCs w:val="24"/>
              </w:rPr>
              <w:t>The implementation of the measure will have an indirect impact on the following focus areas:</w:t>
            </w:r>
          </w:p>
          <w:p w:rsidR="00BD3B5F" w:rsidRPr="005C3B55" w:rsidRDefault="00BD3B5F">
            <w:pPr>
              <w:spacing w:before="240" w:after="240"/>
              <w:jc w:val="left"/>
              <w:rPr>
                <w:noProof/>
                <w:szCs w:val="24"/>
              </w:rPr>
            </w:pPr>
            <w:r w:rsidRPr="005C3B55">
              <w:rPr>
                <w:noProof/>
                <w:szCs w:val="24"/>
              </w:rPr>
              <w:t xml:space="preserve">M19: 1A, 1B, 1C, 2A, 3A, 3B, 4A, 4B, 4C, 5A, 5B, 5C, 5D </w:t>
            </w:r>
            <w:r w:rsidRPr="005C3B55">
              <w:rPr>
                <w:szCs w:val="24"/>
              </w:rPr>
              <w:t>and</w:t>
            </w:r>
            <w:r w:rsidRPr="005C3B55">
              <w:rPr>
                <w:noProof/>
                <w:szCs w:val="24"/>
              </w:rPr>
              <w:t xml:space="preserve"> 6A.</w:t>
            </w:r>
          </w:p>
          <w:p w:rsidR="00BD3B5F" w:rsidRPr="005C3B55" w:rsidRDefault="00BD3B5F">
            <w:pPr>
              <w:pStyle w:val="Telobesedila"/>
              <w:rPr>
                <w:szCs w:val="24"/>
              </w:rPr>
            </w:pPr>
          </w:p>
        </w:tc>
      </w:tr>
    </w:tbl>
    <w:p w:rsidR="00BD3B5F" w:rsidRPr="005C3B55" w:rsidRDefault="00BD3B5F">
      <w:pPr>
        <w:rPr>
          <w:szCs w:val="24"/>
        </w:rPr>
      </w:pPr>
    </w:p>
    <w:p w:rsidR="00BD3B5F" w:rsidRPr="005C3B55" w:rsidRDefault="00BD3B5F">
      <w:pPr>
        <w:pStyle w:val="Naslov4"/>
        <w:tabs>
          <w:tab w:val="clear" w:pos="765"/>
        </w:tabs>
        <w:ind w:left="0" w:firstLine="0"/>
        <w:jc w:val="left"/>
        <w:rPr>
          <w:szCs w:val="24"/>
          <w:lang w:val="en-GB"/>
        </w:rPr>
      </w:pPr>
      <w:r w:rsidRPr="005C3B55">
        <w:rPr>
          <w:szCs w:val="24"/>
          <w:lang w:val="en-GB"/>
        </w:rPr>
        <w:t>6C) Promotion of access to information and communication technology (ICT) in rural areas and their use and quality</w:t>
      </w:r>
    </w:p>
    <w:p w:rsidR="00BD3B5F" w:rsidRPr="005C3B55" w:rsidRDefault="00BD3B5F">
      <w:pPr>
        <w:pStyle w:val="Naslov5"/>
        <w:tabs>
          <w:tab w:val="clear" w:pos="765"/>
        </w:tabs>
        <w:ind w:left="0" w:firstLine="0"/>
        <w:rPr>
          <w:szCs w:val="24"/>
          <w:lang w:val="en-GB"/>
        </w:rPr>
      </w:pPr>
      <w:r w:rsidRPr="005C3B55">
        <w:rPr>
          <w:noProof w:val="0"/>
          <w:szCs w:val="24"/>
          <w:lang w:val="en-GB"/>
        </w:rPr>
        <w:t>Selection of rural development measures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10656"/>
      </w:tblGrid>
      <w:tr w:rsidR="00BD3B5F" w:rsidRPr="005C3B55">
        <w:tc>
          <w:tcPr>
            <w:tcW w:w="10656" w:type="dxa"/>
            <w:tcMar>
              <w:top w:w="20" w:type="dxa"/>
              <w:bottom w:w="20" w:type="dxa"/>
            </w:tcMar>
            <w:vAlign w:val="bottom"/>
          </w:tcPr>
          <w:p w:rsidR="00BD3B5F" w:rsidRPr="005C3B55" w:rsidRDefault="00BD3B5F" w:rsidP="00BD3B5F">
            <w:pPr>
              <w:numPr>
                <w:ilvl w:val="0"/>
                <w:numId w:val="119"/>
              </w:numPr>
              <w:rPr>
                <w:szCs w:val="24"/>
              </w:rPr>
            </w:pPr>
            <w:r w:rsidRPr="005C3B55">
              <w:rPr>
                <w:szCs w:val="24"/>
              </w:rPr>
              <w:t>M07 – Basic services and village renewal in rural areas (Article 20)</w:t>
            </w:r>
          </w:p>
        </w:tc>
      </w:tr>
    </w:tbl>
    <w:p w:rsidR="00BD3B5F" w:rsidRPr="005C3B55" w:rsidRDefault="00BD3B5F">
      <w:pPr>
        <w:pStyle w:val="Naslov5"/>
        <w:tabs>
          <w:tab w:val="clear" w:pos="765"/>
        </w:tabs>
        <w:ind w:left="0" w:firstLine="0"/>
        <w:rPr>
          <w:szCs w:val="24"/>
          <w:lang w:val="en-GB"/>
        </w:rPr>
      </w:pPr>
      <w:r w:rsidRPr="005C3B55">
        <w:rPr>
          <w:noProof w:val="0"/>
          <w:szCs w:val="24"/>
          <w:lang w:val="en-GB"/>
        </w:rPr>
        <w:t>Combination and justification of rural development measures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10656" w:type="dxa"/>
            <w:tcMar>
              <w:top w:w="20" w:type="dxa"/>
              <w:bottom w:w="20" w:type="dxa"/>
            </w:tcMar>
            <w:vAlign w:val="bottom"/>
          </w:tcPr>
          <w:p w:rsidR="00BD3B5F" w:rsidRPr="005C3B55" w:rsidRDefault="00BD3B5F">
            <w:pPr>
              <w:spacing w:before="0" w:after="240"/>
              <w:jc w:val="left"/>
              <w:rPr>
                <w:noProof/>
                <w:szCs w:val="24"/>
              </w:rPr>
            </w:pPr>
            <w:r w:rsidRPr="005C3B55">
              <w:rPr>
                <w:szCs w:val="24"/>
              </w:rPr>
              <w:t>Focus area 6C will support investments in broadband infrastructure in the countryside.</w:t>
            </w:r>
            <w:r w:rsidRPr="005C3B55">
              <w:rPr>
                <w:noProof/>
                <w:szCs w:val="24"/>
              </w:rPr>
              <w:t xml:space="preserve"> </w:t>
            </w:r>
            <w:r w:rsidRPr="005C3B55">
              <w:rPr>
                <w:szCs w:val="24"/>
              </w:rPr>
              <w:t>The statistical data from the analysis of the situation show that, according to several indicators regarding the coverage and available speeds of broadband Internet networks, we lag greatly behind the EU-27 average, which has a negative impact on the economy and the quality of life in the countryside.</w:t>
            </w:r>
            <w:r w:rsidRPr="005C3B55">
              <w:rPr>
                <w:noProof/>
                <w:szCs w:val="24"/>
              </w:rPr>
              <w:t xml:space="preserve"> </w:t>
            </w:r>
            <w:r w:rsidRPr="005C3B55">
              <w:rPr>
                <w:szCs w:val="24"/>
              </w:rPr>
              <w:t>The investments must be implemented only in areas where broadband infrastructure has not yet been constructed and where there is no commercial interest in its construction;</w:t>
            </w:r>
            <w:r w:rsidRPr="005C3B55">
              <w:rPr>
                <w:noProof/>
                <w:szCs w:val="24"/>
              </w:rPr>
              <w:t xml:space="preserve"> </w:t>
            </w:r>
            <w:r w:rsidRPr="005C3B55">
              <w:rPr>
                <w:szCs w:val="24"/>
              </w:rPr>
              <w:t>these are areas where the broadband infrastructure has not been built yet or regions where newly interested customers do not have the possibility to access the broadband network because the operators have not showed any interest in constructing the network.</w:t>
            </w:r>
            <w:r w:rsidRPr="005C3B55">
              <w:rPr>
                <w:noProof/>
                <w:szCs w:val="24"/>
              </w:rPr>
              <w:t xml:space="preserve"> </w:t>
            </w:r>
            <w:r w:rsidRPr="005C3B55">
              <w:rPr>
                <w:szCs w:val="24"/>
              </w:rPr>
              <w:t>Broadband infrastructure is still not available to approximately one-third of the population or 260,000 households in the countryside.</w:t>
            </w:r>
            <w:r w:rsidRPr="005C3B55">
              <w:rPr>
                <w:noProof/>
                <w:szCs w:val="24"/>
              </w:rPr>
              <w:t xml:space="preserve"> </w:t>
            </w:r>
            <w:r w:rsidRPr="005C3B55">
              <w:rPr>
                <w:szCs w:val="24"/>
              </w:rPr>
              <w:t>The measures are expected to support 10 operations for the construction of broadband network, which would facilitate 35,000 people gaining access to broadband Internet.</w:t>
            </w:r>
          </w:p>
          <w:p w:rsidR="00BD3B5F" w:rsidRPr="005C3B55" w:rsidRDefault="00BD3B5F">
            <w:pPr>
              <w:pStyle w:val="Telobesedila"/>
              <w:rPr>
                <w:szCs w:val="24"/>
              </w:rPr>
            </w:pPr>
          </w:p>
        </w:tc>
      </w:tr>
    </w:tbl>
    <w:p w:rsidR="00BD3B5F" w:rsidRPr="005C3B55" w:rsidRDefault="00BD3B5F">
      <w:pPr>
        <w:rPr>
          <w:szCs w:val="24"/>
        </w:rPr>
      </w:pPr>
    </w:p>
    <w:p w:rsidR="00BD3B5F" w:rsidRPr="005C3B55" w:rsidRDefault="00BD3B5F">
      <w:pPr>
        <w:rPr>
          <w:szCs w:val="24"/>
        </w:rPr>
        <w:sectPr w:rsidR="00BD3B5F" w:rsidRPr="005C3B55">
          <w:pgSz w:w="12240" w:h="15840"/>
          <w:pgMar w:top="900" w:right="900" w:bottom="900" w:left="900" w:header="708" w:footer="708" w:gutter="0"/>
          <w:cols w:space="708"/>
        </w:sectPr>
      </w:pPr>
    </w:p>
    <w:p w:rsidR="00BD3B5F" w:rsidRPr="005C3B55" w:rsidRDefault="00BD3B5F">
      <w:pPr>
        <w:pStyle w:val="Naslov2"/>
        <w:tabs>
          <w:tab w:val="clear" w:pos="765"/>
        </w:tabs>
        <w:ind w:left="0" w:firstLine="0"/>
        <w:rPr>
          <w:szCs w:val="24"/>
          <w:lang w:val="en-GB"/>
        </w:rPr>
      </w:pPr>
      <w:bookmarkStart w:id="92" w:name="_Toc416192550"/>
      <w:r w:rsidRPr="005C3B55">
        <w:rPr>
          <w:szCs w:val="24"/>
          <w:lang w:val="en-GB"/>
        </w:rPr>
        <w:t>Description of how horizontal objectives will be discussed, including special requirements in Article 8(1)(c)(v) of Regulation (EU) No 1305/2013</w:t>
      </w:r>
      <w:bookmarkEnd w:id="92"/>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10656" w:type="dxa"/>
            <w:tcMar>
              <w:top w:w="20" w:type="dxa"/>
              <w:bottom w:w="20" w:type="dxa"/>
            </w:tcMar>
            <w:vAlign w:val="bottom"/>
          </w:tcPr>
          <w:p w:rsidR="00BD3B5F" w:rsidRPr="005C3B55" w:rsidRDefault="00BD3B5F">
            <w:pPr>
              <w:spacing w:before="0" w:after="240"/>
              <w:jc w:val="left"/>
              <w:rPr>
                <w:noProof/>
                <w:szCs w:val="24"/>
              </w:rPr>
            </w:pPr>
            <w:r w:rsidRPr="005C3B55">
              <w:rPr>
                <w:szCs w:val="24"/>
              </w:rPr>
              <w:t>The objectives are being realised as per the principles of sustainable development.</w:t>
            </w:r>
            <w:r w:rsidRPr="005C3B55">
              <w:rPr>
                <w:noProof/>
                <w:szCs w:val="24"/>
              </w:rPr>
              <w:t xml:space="preserve"> </w:t>
            </w:r>
            <w:r w:rsidRPr="005C3B55">
              <w:rPr>
                <w:szCs w:val="24"/>
              </w:rPr>
              <w:t>In spite of its small size, Slovenia is geographically very diverse, to which spatial variability of all climate variables is connected, and has great horizontal gradients, which dictate various levels of vulnerability of individual areas.</w:t>
            </w:r>
            <w:r w:rsidRPr="005C3B55">
              <w:rPr>
                <w:noProof/>
                <w:szCs w:val="24"/>
              </w:rPr>
              <w:t xml:space="preserve"> </w:t>
            </w:r>
            <w:r w:rsidRPr="005C3B55">
              <w:rPr>
                <w:szCs w:val="24"/>
              </w:rPr>
              <w:t>Environment protection, the efficient use of resources, mitigation of, and adaptation to, climate change, preservation of biodiversity through innovative approaches either with new technologies, practices or procedures are necessary for the provision of sustainable development.</w:t>
            </w:r>
          </w:p>
          <w:p w:rsidR="00BD3B5F" w:rsidRPr="005C3B55" w:rsidRDefault="00BD3B5F">
            <w:pPr>
              <w:spacing w:before="240" w:after="240"/>
              <w:jc w:val="left"/>
              <w:rPr>
                <w:noProof/>
                <w:szCs w:val="24"/>
              </w:rPr>
            </w:pPr>
            <w:r w:rsidRPr="005C3B55">
              <w:rPr>
                <w:szCs w:val="24"/>
              </w:rPr>
              <w:t>Management requires the observance of the principles of environmental safety and economic efficiency.</w:t>
            </w:r>
            <w:r w:rsidRPr="005C3B55">
              <w:rPr>
                <w:noProof/>
                <w:szCs w:val="24"/>
              </w:rPr>
              <w:t xml:space="preserve"> </w:t>
            </w:r>
            <w:r w:rsidRPr="005C3B55">
              <w:rPr>
                <w:szCs w:val="24"/>
              </w:rPr>
              <w:t>This is followed by horizontal objectives determined at the EU level.</w:t>
            </w:r>
            <w:r w:rsidRPr="005C3B55">
              <w:rPr>
                <w:noProof/>
                <w:szCs w:val="24"/>
              </w:rPr>
              <w:t xml:space="preserve"> </w:t>
            </w:r>
            <w:r w:rsidRPr="005C3B55">
              <w:rPr>
                <w:szCs w:val="24"/>
              </w:rPr>
              <w:t>Horizontal objectives relating to innovation, the environment, and mitigation of, and adaptation to, climate change are included in many measures which supplement and upgrade each other and create synergies.</w:t>
            </w:r>
            <w:r w:rsidRPr="005C3B55">
              <w:rPr>
                <w:noProof/>
                <w:szCs w:val="24"/>
              </w:rPr>
              <w:t xml:space="preserve"> </w:t>
            </w:r>
            <w:r w:rsidRPr="005C3B55">
              <w:rPr>
                <w:szCs w:val="24"/>
              </w:rPr>
              <w:t>Key measures, including all three horizontal objectives, are M01, M02, M16 and M19.</w:t>
            </w:r>
            <w:r w:rsidRPr="005C3B55">
              <w:rPr>
                <w:noProof/>
                <w:szCs w:val="24"/>
              </w:rPr>
              <w:t xml:space="preserve"> </w:t>
            </w:r>
            <w:r w:rsidRPr="005C3B55">
              <w:rPr>
                <w:szCs w:val="24"/>
              </w:rPr>
              <w:t>In addition to these, M03, M04, M06, M09 and M11 also contribute to all three horizontal objectives.</w:t>
            </w:r>
          </w:p>
          <w:p w:rsidR="00BD3B5F" w:rsidRPr="005C3B55" w:rsidRDefault="00BD3B5F">
            <w:pPr>
              <w:spacing w:before="240" w:after="240"/>
              <w:jc w:val="left"/>
              <w:rPr>
                <w:noProof/>
                <w:szCs w:val="24"/>
              </w:rPr>
            </w:pPr>
            <w:r w:rsidRPr="005C3B55">
              <w:rPr>
                <w:szCs w:val="24"/>
              </w:rPr>
              <w:t>More than 50% of the total EAFRD contribution is intended to mitigate and adapt to the consequences of climate change and to solve other environmental problems and challenges.</w:t>
            </w:r>
          </w:p>
          <w:p w:rsidR="00BD3B5F" w:rsidRPr="005C3B55" w:rsidRDefault="00BD3B5F">
            <w:pPr>
              <w:spacing w:before="240" w:after="240"/>
              <w:jc w:val="left"/>
              <w:rPr>
                <w:noProof/>
                <w:szCs w:val="24"/>
              </w:rPr>
            </w:pPr>
            <w:r w:rsidRPr="005C3B55">
              <w:rPr>
                <w:b/>
                <w:szCs w:val="24"/>
              </w:rPr>
              <w:t>Horizontal objective:</w:t>
            </w:r>
            <w:r w:rsidRPr="005C3B55">
              <w:rPr>
                <w:b/>
                <w:noProof/>
                <w:szCs w:val="24"/>
              </w:rPr>
              <w:t xml:space="preserve"> </w:t>
            </w:r>
            <w:r w:rsidRPr="005C3B55">
              <w:rPr>
                <w:b/>
                <w:szCs w:val="24"/>
              </w:rPr>
              <w:t>Environment</w:t>
            </w:r>
          </w:p>
          <w:p w:rsidR="00BD3B5F" w:rsidRPr="005C3B55" w:rsidRDefault="00BD3B5F">
            <w:pPr>
              <w:spacing w:before="240" w:after="240"/>
              <w:jc w:val="left"/>
              <w:rPr>
                <w:noProof/>
                <w:szCs w:val="24"/>
              </w:rPr>
            </w:pPr>
            <w:r w:rsidRPr="005C3B55">
              <w:rPr>
                <w:szCs w:val="24"/>
              </w:rPr>
              <w:t>The fundamental principle of environment protection is the harmonisation of all activities in a sustainable manner directed towards development objectives.</w:t>
            </w:r>
            <w:r w:rsidRPr="005C3B55">
              <w:rPr>
                <w:noProof/>
                <w:szCs w:val="24"/>
              </w:rPr>
              <w:t xml:space="preserve"> </w:t>
            </w:r>
            <w:r w:rsidRPr="005C3B55">
              <w:rPr>
                <w:szCs w:val="24"/>
              </w:rPr>
              <w:t>Measures M01 and M02 are directly included in the implementation of measures M10 and M11, since farmers included in these measures will have to participate in training and individual consulting.</w:t>
            </w:r>
            <w:r w:rsidRPr="005C3B55">
              <w:rPr>
                <w:noProof/>
                <w:szCs w:val="24"/>
              </w:rPr>
              <w:t xml:space="preserve"> </w:t>
            </w:r>
            <w:r w:rsidRPr="005C3B55">
              <w:rPr>
                <w:szCs w:val="24"/>
              </w:rPr>
              <w:t>By these means, we wished to additionally strengthen the efficiency and success of implementing the aforementioned measures which, in terms of their content, are extremely important in reducing the impact of agriculture on the environment.</w:t>
            </w:r>
          </w:p>
          <w:p w:rsidR="00BD3B5F" w:rsidRPr="005C3B55" w:rsidRDefault="00BD3B5F">
            <w:pPr>
              <w:spacing w:before="240" w:after="240"/>
              <w:jc w:val="left"/>
              <w:rPr>
                <w:noProof/>
                <w:szCs w:val="24"/>
              </w:rPr>
            </w:pPr>
            <w:r w:rsidRPr="005C3B55">
              <w:rPr>
                <w:szCs w:val="24"/>
              </w:rPr>
              <w:t>In their production principles, quality schemes have higher standards regarding environment protection within measure M03 and have direct and indirect effects on the higher level of awareness of the importance of environment protection.</w:t>
            </w:r>
            <w:r w:rsidRPr="005C3B55">
              <w:rPr>
                <w:noProof/>
                <w:szCs w:val="24"/>
              </w:rPr>
              <w:t xml:space="preserve"> </w:t>
            </w:r>
            <w:r w:rsidRPr="005C3B55">
              <w:rPr>
                <w:szCs w:val="24"/>
              </w:rPr>
              <w:t>Special emphasis will be put on organic farming, which has numerous positive effects on biodiversity conservation, and the quality of soil and water.</w:t>
            </w:r>
          </w:p>
          <w:p w:rsidR="00BD3B5F" w:rsidRPr="005C3B55" w:rsidRDefault="00BD3B5F">
            <w:pPr>
              <w:spacing w:before="240" w:after="240"/>
              <w:jc w:val="left"/>
              <w:rPr>
                <w:noProof/>
                <w:szCs w:val="24"/>
              </w:rPr>
            </w:pPr>
            <w:r w:rsidRPr="005C3B55">
              <w:rPr>
                <w:szCs w:val="24"/>
              </w:rPr>
              <w:t>Measure M04 is intended for investments in fixed assets.</w:t>
            </w:r>
            <w:r w:rsidRPr="005C3B55">
              <w:rPr>
                <w:noProof/>
                <w:szCs w:val="24"/>
              </w:rPr>
              <w:t xml:space="preserve"> </w:t>
            </w:r>
            <w:r w:rsidRPr="005C3B55">
              <w:rPr>
                <w:szCs w:val="24"/>
              </w:rPr>
              <w:t>Within this measure, investments in greater environmental performance of agricultural holdings and food production facilities will be stimulated by promoting greater energy efficiency of these facilities, use of renewable energy sources (RES) and arrangement of wastewater treatment plants.</w:t>
            </w:r>
            <w:r w:rsidRPr="005C3B55">
              <w:rPr>
                <w:noProof/>
                <w:szCs w:val="24"/>
              </w:rPr>
              <w:t xml:space="preserve"> </w:t>
            </w:r>
            <w:r w:rsidRPr="005C3B55">
              <w:rPr>
                <w:szCs w:val="24"/>
              </w:rPr>
              <w:t>Investments in special machinery which reduces the use of plant protection products or fertilisers will be encouraged on agricultural holdings, including investments in arranging storage capacities for manure etc.</w:t>
            </w:r>
            <w:r w:rsidRPr="005C3B55">
              <w:rPr>
                <w:noProof/>
                <w:szCs w:val="24"/>
              </w:rPr>
              <w:t xml:space="preserve"> </w:t>
            </w:r>
            <w:r w:rsidRPr="005C3B55">
              <w:rPr>
                <w:szCs w:val="24"/>
              </w:rPr>
              <w:t>More rational use of drinking water will be promoted by investing in technologies for saving water and its reuse, and better utilisation of available water by encouraging investments in reservoirs, technological modernisation of irrigation systems etc.</w:t>
            </w:r>
            <w:r w:rsidRPr="005C3B55">
              <w:rPr>
                <w:noProof/>
                <w:szCs w:val="24"/>
              </w:rPr>
              <w:t xml:space="preserve"> </w:t>
            </w:r>
            <w:r w:rsidRPr="005C3B55">
              <w:rPr>
                <w:szCs w:val="24"/>
              </w:rPr>
              <w:t>Sub-measure M06.4 will primarily support companies whose business plans will include the creation of green jobs, energy efficiency or use of RES.</w:t>
            </w:r>
          </w:p>
          <w:p w:rsidR="00BD3B5F" w:rsidRPr="005C3B55" w:rsidRDefault="00BD3B5F">
            <w:pPr>
              <w:spacing w:before="240" w:after="240"/>
              <w:jc w:val="left"/>
              <w:rPr>
                <w:noProof/>
                <w:szCs w:val="24"/>
              </w:rPr>
            </w:pPr>
            <w:r w:rsidRPr="005C3B55">
              <w:rPr>
                <w:szCs w:val="24"/>
              </w:rPr>
              <w:t>The aspect of environment protection may be noticed in other measures, e.g. in the measure promoting inclusion in quality schemes, the development of local markets and short supply chains, which promote environmentally-friendly agricultural production in the local environment.</w:t>
            </w:r>
          </w:p>
          <w:p w:rsidR="00BD3B5F" w:rsidRPr="005C3B55" w:rsidRDefault="00BD3B5F">
            <w:pPr>
              <w:spacing w:before="240" w:after="240"/>
              <w:jc w:val="left"/>
              <w:rPr>
                <w:noProof/>
                <w:szCs w:val="24"/>
              </w:rPr>
            </w:pPr>
            <w:r w:rsidRPr="005C3B55">
              <w:rPr>
                <w:szCs w:val="24"/>
              </w:rPr>
              <w:t>Within the framework of establishing producer groups supported within measure M09, it is expected that local production and the production of organic products from quality schemes will observe local capacities of production in a certain local area with the emphasis on reducing energy and emissions per product unit and by observing the principles of sustainable agriculture (protection of natural resources, preservation of biodiversity).</w:t>
            </w:r>
            <w:r w:rsidRPr="005C3B55">
              <w:rPr>
                <w:noProof/>
                <w:szCs w:val="24"/>
              </w:rPr>
              <w:t xml:space="preserve"> </w:t>
            </w:r>
            <w:r w:rsidRPr="005C3B55">
              <w:rPr>
                <w:szCs w:val="24"/>
              </w:rPr>
              <w:t>This will contribute to the added support of organic farming.</w:t>
            </w:r>
          </w:p>
          <w:p w:rsidR="00BD3B5F" w:rsidRPr="005C3B55" w:rsidRDefault="00BD3B5F">
            <w:pPr>
              <w:spacing w:before="240" w:after="240"/>
              <w:jc w:val="left"/>
              <w:rPr>
                <w:noProof/>
                <w:szCs w:val="24"/>
              </w:rPr>
            </w:pPr>
            <w:r w:rsidRPr="005C3B55">
              <w:rPr>
                <w:szCs w:val="24"/>
              </w:rPr>
              <w:t>A positive impact on the environment is also expected within measure M10, i.e. by implementing above-standard technologies of production and breeding, crop rotation and selection of agricultural plant species, techniques of soil cultivation, and crop and plantation care, breeding of local breeds, controlled use of fertilisers and plant protection products etc.</w:t>
            </w:r>
          </w:p>
          <w:p w:rsidR="00BD3B5F" w:rsidRPr="005C3B55" w:rsidRDefault="00BD3B5F">
            <w:pPr>
              <w:spacing w:before="240" w:after="240"/>
              <w:jc w:val="left"/>
              <w:rPr>
                <w:noProof/>
                <w:szCs w:val="24"/>
              </w:rPr>
            </w:pPr>
            <w:r w:rsidRPr="005C3B55">
              <w:rPr>
                <w:szCs w:val="24"/>
              </w:rPr>
              <w:t>Organic farming ensures the production of high-quality and safe food, rich in nutritional value and high vitamin, mineral and antioxidant content, and additionally, reduces all forms of pollution to the greatest extent possible.</w:t>
            </w:r>
          </w:p>
          <w:p w:rsidR="00BD3B5F" w:rsidRPr="005C3B55" w:rsidRDefault="00BD3B5F">
            <w:pPr>
              <w:spacing w:before="240" w:after="240"/>
              <w:jc w:val="left"/>
              <w:rPr>
                <w:noProof/>
                <w:szCs w:val="24"/>
              </w:rPr>
            </w:pPr>
            <w:r w:rsidRPr="005C3B55">
              <w:rPr>
                <w:szCs w:val="24"/>
              </w:rPr>
              <w:t>Measure M13 also contributes to the objective of biodiversity through payments for areas with natural and other special constraints whose purpose is the maintenance of agricultural activity in these areas, which prevents the loss of habitats relating to the agricultural landscape.</w:t>
            </w:r>
            <w:r w:rsidRPr="005C3B55">
              <w:rPr>
                <w:noProof/>
                <w:szCs w:val="24"/>
              </w:rPr>
              <w:t xml:space="preserve"> </w:t>
            </w:r>
            <w:r w:rsidRPr="005C3B55">
              <w:rPr>
                <w:szCs w:val="24"/>
              </w:rPr>
              <w:t>The pressure on the environment is also reduced by ensuring breeding adapted to animals within measure M14, since this measure is intended to provide above-standards for animal welfare.</w:t>
            </w:r>
          </w:p>
          <w:p w:rsidR="00BD3B5F" w:rsidRPr="005C3B55" w:rsidRDefault="00BD3B5F">
            <w:pPr>
              <w:spacing w:before="240" w:after="240"/>
              <w:jc w:val="left"/>
              <w:rPr>
                <w:noProof/>
                <w:szCs w:val="24"/>
              </w:rPr>
            </w:pPr>
            <w:r w:rsidRPr="005C3B55">
              <w:rPr>
                <w:szCs w:val="24"/>
              </w:rPr>
              <w:t>This objective must be pursued by local partnerships within LDS, because environment protection presents an important challenge also for local communities.</w:t>
            </w:r>
          </w:p>
          <w:p w:rsidR="00BD3B5F" w:rsidRPr="005C3B55" w:rsidRDefault="00BD3B5F">
            <w:pPr>
              <w:spacing w:before="240" w:after="240"/>
              <w:jc w:val="left"/>
              <w:rPr>
                <w:noProof/>
                <w:szCs w:val="24"/>
              </w:rPr>
            </w:pPr>
            <w:r w:rsidRPr="005C3B55">
              <w:rPr>
                <w:b/>
                <w:szCs w:val="24"/>
              </w:rPr>
              <w:t>Horizontal objective:</w:t>
            </w:r>
            <w:r w:rsidRPr="005C3B55">
              <w:rPr>
                <w:b/>
                <w:noProof/>
                <w:szCs w:val="24"/>
              </w:rPr>
              <w:t xml:space="preserve"> </w:t>
            </w:r>
            <w:r w:rsidRPr="005C3B55">
              <w:rPr>
                <w:b/>
                <w:szCs w:val="24"/>
              </w:rPr>
              <w:t>Mitigating, and adapting to, climate change</w:t>
            </w:r>
          </w:p>
          <w:p w:rsidR="00BD3B5F" w:rsidRPr="005C3B55" w:rsidRDefault="00BD3B5F">
            <w:pPr>
              <w:spacing w:before="240" w:after="240"/>
              <w:jc w:val="left"/>
              <w:rPr>
                <w:noProof/>
                <w:szCs w:val="24"/>
              </w:rPr>
            </w:pPr>
            <w:r w:rsidRPr="005C3B55">
              <w:rPr>
                <w:szCs w:val="24"/>
              </w:rPr>
              <w:t>The EU policy focuses on the mitigation of climate change and the shift to a low-carbon society.</w:t>
            </w:r>
            <w:r w:rsidRPr="005C3B55">
              <w:rPr>
                <w:noProof/>
                <w:szCs w:val="24"/>
              </w:rPr>
              <w:t xml:space="preserve"> </w:t>
            </w:r>
            <w:r w:rsidRPr="005C3B55">
              <w:rPr>
                <w:szCs w:val="24"/>
              </w:rPr>
              <w:t>The efforts in the field of adjusting to new conditions and thus reducing the vulnerability and damage due to climate change are important challenges at the national level.</w:t>
            </w:r>
            <w:r w:rsidRPr="005C3B55">
              <w:rPr>
                <w:noProof/>
                <w:szCs w:val="24"/>
              </w:rPr>
              <w:t xml:space="preserve"> </w:t>
            </w:r>
            <w:r w:rsidRPr="005C3B55">
              <w:rPr>
                <w:szCs w:val="24"/>
              </w:rPr>
              <w:t>The measures of the RDP 2014–2020 follow accordingly. The measures which contribute to the objective of “mitigating, and adjusting to, climate change” also include the limitation of greenhouse gas emissions (GHG) and adjustment to the effects of climate change which are no longer avoidable.</w:t>
            </w:r>
            <w:r w:rsidRPr="005C3B55">
              <w:rPr>
                <w:noProof/>
                <w:szCs w:val="24"/>
              </w:rPr>
              <w:t xml:space="preserve"> </w:t>
            </w:r>
            <w:r w:rsidRPr="005C3B55">
              <w:rPr>
                <w:szCs w:val="24"/>
              </w:rPr>
              <w:t>Effective management of climate change includes the observance of the principle of optimum use of natural resources.</w:t>
            </w:r>
            <w:r w:rsidRPr="005C3B55">
              <w:rPr>
                <w:noProof/>
                <w:szCs w:val="24"/>
              </w:rPr>
              <w:t xml:space="preserve"> </w:t>
            </w:r>
            <w:r w:rsidRPr="005C3B55">
              <w:rPr>
                <w:szCs w:val="24"/>
              </w:rPr>
              <w:t>Sustainable management enables s transition to a low-carbon society in a socially and economically sustainable way as one of the aspects of a comprehensive shift to sustainable society.</w:t>
            </w:r>
          </w:p>
          <w:p w:rsidR="00BD3B5F" w:rsidRPr="005C3B55" w:rsidRDefault="00BD3B5F">
            <w:pPr>
              <w:spacing w:before="240" w:after="240"/>
              <w:jc w:val="left"/>
              <w:rPr>
                <w:noProof/>
                <w:szCs w:val="24"/>
              </w:rPr>
            </w:pPr>
            <w:r w:rsidRPr="005C3B55">
              <w:rPr>
                <w:szCs w:val="24"/>
              </w:rPr>
              <w:t>Similarly to the horizontal objective ‘environment’, this horizontal objective is also pursued by many measures of RDP 2014–2020. As stated in need 14 “Adjusting agriculture to climate change”, agriculture has always been forced to adjust to weather conditions due to its great dependence on natural features, so that the expected climate change particularly denotes the continuation of such adjustment, which will become more demanding and must be supported with measures and practices.</w:t>
            </w:r>
            <w:r w:rsidRPr="005C3B55">
              <w:rPr>
                <w:noProof/>
                <w:szCs w:val="24"/>
              </w:rPr>
              <w:t xml:space="preserve"> </w:t>
            </w:r>
            <w:r w:rsidRPr="005C3B55">
              <w:rPr>
                <w:szCs w:val="24"/>
              </w:rPr>
              <w:t>In comparison to other business sectors, agriculture as a whole is a significantly more complex system in which economic laws intertwine with the biological and ecological characteristics of production, since its GHG emissions impact the climate change and also require its adjustment to these changes.</w:t>
            </w:r>
            <w:r w:rsidRPr="005C3B55">
              <w:rPr>
                <w:noProof/>
                <w:szCs w:val="24"/>
              </w:rPr>
              <w:t xml:space="preserve"> </w:t>
            </w:r>
            <w:r w:rsidRPr="005C3B55">
              <w:rPr>
                <w:szCs w:val="24"/>
              </w:rPr>
              <w:t>Measure M04 is of key importance in the field of reducing GHG and ammonia emissions in agriculture.</w:t>
            </w:r>
            <w:r w:rsidRPr="005C3B55">
              <w:rPr>
                <w:noProof/>
                <w:szCs w:val="24"/>
              </w:rPr>
              <w:t xml:space="preserve"> </w:t>
            </w:r>
            <w:r w:rsidRPr="005C3B55">
              <w:rPr>
                <w:szCs w:val="24"/>
              </w:rPr>
              <w:t>Different investments in reducing GHG emissions from agricultural soil and investments in the arrangement of storage capacities for manure, establishment of small biogas devices on livestock agricultural holdings, purchase of special machinery for the rational use of nitrogen, putting liquid manure in soil, the purchase of equipment for animal faeces, including modernisation of stables for adjusting ventilation and cooling systems for the prevention of heat stress in animals will be supported within this measure.</w:t>
            </w:r>
            <w:r w:rsidRPr="005C3B55">
              <w:rPr>
                <w:noProof/>
                <w:szCs w:val="24"/>
              </w:rPr>
              <w:t xml:space="preserve"> </w:t>
            </w:r>
            <w:r w:rsidRPr="005C3B55">
              <w:rPr>
                <w:szCs w:val="24"/>
              </w:rPr>
              <w:t>Measure M04 will also support the use of wood as construction material, which will contribute to reducing CO</w:t>
            </w:r>
            <w:r w:rsidRPr="005C3B55">
              <w:rPr>
                <w:szCs w:val="24"/>
                <w:vertAlign w:val="subscript"/>
              </w:rPr>
              <w:t>2</w:t>
            </w:r>
            <w:r w:rsidRPr="005C3B55">
              <w:rPr>
                <w:szCs w:val="24"/>
              </w:rPr>
              <w:t xml:space="preserve"> emissions from agriculture, since CO</w:t>
            </w:r>
            <w:r w:rsidRPr="005C3B55">
              <w:rPr>
                <w:szCs w:val="24"/>
                <w:vertAlign w:val="subscript"/>
              </w:rPr>
              <w:t>2</w:t>
            </w:r>
            <w:r w:rsidRPr="005C3B55">
              <w:rPr>
                <w:szCs w:val="24"/>
              </w:rPr>
              <w:t xml:space="preserve"> integrated over the decades in wood is not released into the atmosphere. The introduction of RES, improved energy efficiency of facilities and agricultural mechanisation will also be supported.</w:t>
            </w:r>
            <w:r w:rsidRPr="005C3B55">
              <w:rPr>
                <w:noProof/>
                <w:szCs w:val="24"/>
              </w:rPr>
              <w:t xml:space="preserve"> </w:t>
            </w:r>
            <w:r w:rsidRPr="005C3B55">
              <w:rPr>
                <w:szCs w:val="24"/>
              </w:rPr>
              <w:t>The arrangement of agricultural infrastructure, particularly in the part referring to the consolidation of agricultural land which may reduce CO</w:t>
            </w:r>
            <w:r w:rsidRPr="005C3B55">
              <w:rPr>
                <w:szCs w:val="24"/>
                <w:vertAlign w:val="subscript"/>
              </w:rPr>
              <w:t xml:space="preserve">2 </w:t>
            </w:r>
            <w:r w:rsidRPr="005C3B55">
              <w:rPr>
                <w:szCs w:val="24"/>
              </w:rPr>
              <w:t>emissions into the air, also contributes to reducing GHG emissions due to better organisation of work and reduced unnecessary interventions with machinery.</w:t>
            </w:r>
            <w:r w:rsidRPr="005C3B55">
              <w:rPr>
                <w:noProof/>
                <w:szCs w:val="24"/>
              </w:rPr>
              <w:t xml:space="preserve"> </w:t>
            </w:r>
            <w:r w:rsidRPr="005C3B55">
              <w:rPr>
                <w:szCs w:val="24"/>
              </w:rPr>
              <w:t>Relating to adjustments to climate change, the investments contributing to reducing risks and limiting damage due to current or expected climate change must be mentioned, which contribute to more active defence at the level of agricultural holdings.</w:t>
            </w:r>
            <w:r w:rsidRPr="005C3B55">
              <w:rPr>
                <w:noProof/>
                <w:szCs w:val="24"/>
              </w:rPr>
              <w:t xml:space="preserve"> </w:t>
            </w:r>
            <w:r w:rsidRPr="005C3B55">
              <w:rPr>
                <w:szCs w:val="24"/>
              </w:rPr>
              <w:t>These investments particularly refer to more efficient water management, the arrangement of reservoirs, technological modernisation of irrigation systems and establishment of systems for protection against extreme weather phenomena (e.g. anti-hail nets, protection against frost).</w:t>
            </w:r>
          </w:p>
          <w:p w:rsidR="00BD3B5F" w:rsidRPr="005C3B55" w:rsidRDefault="00BD3B5F">
            <w:pPr>
              <w:spacing w:before="0" w:after="0"/>
              <w:jc w:val="left"/>
              <w:rPr>
                <w:noProof/>
                <w:szCs w:val="24"/>
              </w:rPr>
            </w:pPr>
            <w:r w:rsidRPr="005C3B55">
              <w:rPr>
                <w:szCs w:val="24"/>
              </w:rPr>
              <w:t>Important contributions to the aforementioned objective are also provided by measures M10 and M11, which promote suitable agro-technical practices which may affect the mitigation of, and adaptation of agriculture to, climate change, e.g. by selecting a suitable rotation crop, maintaining hedges and trees for protection against wind, and more suitable tillage, which reduces evapotranspiration and increases organic matter in soil.</w:t>
            </w:r>
            <w:r w:rsidRPr="005C3B55">
              <w:rPr>
                <w:noProof/>
                <w:szCs w:val="24"/>
              </w:rPr>
              <w:t xml:space="preserve"> </w:t>
            </w:r>
            <w:r w:rsidRPr="005C3B55">
              <w:rPr>
                <w:szCs w:val="24"/>
              </w:rPr>
              <w:t>These activities under measures M10 and M11 actually reduce the economic consequences of climate change at the level of agricultural holdings with suitable risk management by applying less risky technologies (activities) and the diversification of agricultural production.</w:t>
            </w:r>
            <w:r w:rsidRPr="005C3B55">
              <w:rPr>
                <w:noProof/>
                <w:szCs w:val="24"/>
              </w:rPr>
              <w:t xml:space="preserve"> </w:t>
            </w:r>
            <w:r w:rsidRPr="005C3B55">
              <w:rPr>
                <w:szCs w:val="24"/>
              </w:rPr>
              <w:t>These are merely a few of the possible methods which contribute to adapting to climate change.</w:t>
            </w:r>
            <w:r w:rsidRPr="005C3B55">
              <w:rPr>
                <w:noProof/>
                <w:szCs w:val="24"/>
              </w:rPr>
              <w:t xml:space="preserve"> </w:t>
            </w:r>
            <w:r w:rsidRPr="005C3B55">
              <w:rPr>
                <w:szCs w:val="24"/>
              </w:rPr>
              <w:t>Reduced and more efficient use of fertilisers and PPPs, converting fields into meadows, greening and similar are also important for mitigating, and adjusting to, climate change which is also promoted within measure M10.</w:t>
            </w:r>
          </w:p>
          <w:p w:rsidR="00BD3B5F" w:rsidRPr="005C3B55" w:rsidRDefault="00BD3B5F">
            <w:pPr>
              <w:spacing w:before="240" w:after="240"/>
              <w:jc w:val="left"/>
              <w:rPr>
                <w:noProof/>
                <w:szCs w:val="24"/>
              </w:rPr>
            </w:pPr>
            <w:r w:rsidRPr="005C3B55">
              <w:rPr>
                <w:szCs w:val="24"/>
              </w:rPr>
              <w:t>In the field of forestry, measure M08.4 should be mentioned, which promotes the revitalisation of forests and restoration of forest potential following natural disasters by planting suitable tree species.</w:t>
            </w:r>
            <w:r w:rsidRPr="005C3B55">
              <w:rPr>
                <w:noProof/>
                <w:szCs w:val="24"/>
              </w:rPr>
              <w:t xml:space="preserve"> </w:t>
            </w:r>
            <w:r w:rsidRPr="005C3B55">
              <w:rPr>
                <w:szCs w:val="24"/>
              </w:rPr>
              <w:t>Sub-measure M08.6 may have a positive impact relating to further possibilities of the greater exploitation of wood for the purpose of e.g. construction material or raw material for products with high added value.</w:t>
            </w:r>
          </w:p>
          <w:p w:rsidR="00BD3B5F" w:rsidRPr="005C3B55" w:rsidRDefault="00BD3B5F">
            <w:pPr>
              <w:spacing w:before="240" w:after="240"/>
              <w:jc w:val="left"/>
              <w:rPr>
                <w:noProof/>
                <w:szCs w:val="24"/>
              </w:rPr>
            </w:pPr>
            <w:r w:rsidRPr="005C3B55">
              <w:rPr>
                <w:szCs w:val="24"/>
              </w:rPr>
              <w:t>Other RDP 2014–2020 measures supporting quality schemes, the development of local markets and short supply chains which reduce transport routes and promote local production also have a positive impact on this objective.</w:t>
            </w:r>
          </w:p>
          <w:p w:rsidR="00BD3B5F" w:rsidRPr="005C3B55" w:rsidRDefault="00BD3B5F">
            <w:pPr>
              <w:spacing w:before="240" w:after="240"/>
              <w:jc w:val="left"/>
              <w:rPr>
                <w:noProof/>
                <w:szCs w:val="24"/>
              </w:rPr>
            </w:pPr>
            <w:r w:rsidRPr="005C3B55">
              <w:rPr>
                <w:szCs w:val="24"/>
              </w:rPr>
              <w:t>Due to positive effects on the extended period of exploitation and improvement of reproduction indicators, measure M14 may also have a positive impact on the mitigation of climate change.</w:t>
            </w:r>
          </w:p>
          <w:p w:rsidR="00BD3B5F" w:rsidRPr="005C3B55" w:rsidRDefault="00BD3B5F">
            <w:pPr>
              <w:spacing w:before="240" w:after="240"/>
              <w:jc w:val="left"/>
              <w:rPr>
                <w:noProof/>
                <w:szCs w:val="24"/>
              </w:rPr>
            </w:pPr>
            <w:r w:rsidRPr="005C3B55">
              <w:rPr>
                <w:szCs w:val="24"/>
              </w:rPr>
              <w:t>In addition to all the provided and described effects of RDP 2014–2020 measures, three measures, i.e. M01, M02 and M16 have to be highlighted.</w:t>
            </w:r>
            <w:r w:rsidRPr="005C3B55">
              <w:rPr>
                <w:noProof/>
                <w:szCs w:val="24"/>
              </w:rPr>
              <w:t xml:space="preserve"> </w:t>
            </w:r>
            <w:r w:rsidRPr="005C3B55">
              <w:rPr>
                <w:szCs w:val="24"/>
              </w:rPr>
              <w:t>These are measures which strongly support other RDP 2014–2020 measures and significantly strengthen knowledge and innovation transfer regarding climate change.</w:t>
            </w:r>
          </w:p>
          <w:p w:rsidR="00BD3B5F" w:rsidRPr="005C3B55" w:rsidRDefault="00BD3B5F">
            <w:pPr>
              <w:spacing w:before="240" w:after="240"/>
              <w:jc w:val="left"/>
              <w:rPr>
                <w:noProof/>
                <w:szCs w:val="24"/>
              </w:rPr>
            </w:pPr>
            <w:r w:rsidRPr="005C3B55">
              <w:rPr>
                <w:szCs w:val="24"/>
              </w:rPr>
              <w:t>This objective must be pursued by local partnerships within LDS, because the mitigation of, and adaptation to, climate change presents an important challenge also for local communities.</w:t>
            </w:r>
          </w:p>
          <w:p w:rsidR="00BD3B5F" w:rsidRPr="005C3B55" w:rsidRDefault="00BD3B5F">
            <w:pPr>
              <w:spacing w:before="240" w:after="240"/>
              <w:jc w:val="left"/>
              <w:rPr>
                <w:noProof/>
                <w:szCs w:val="24"/>
              </w:rPr>
            </w:pPr>
            <w:r w:rsidRPr="005C3B55">
              <w:rPr>
                <w:szCs w:val="24"/>
              </w:rPr>
              <w:t>The majority of programmed measures contribute indirectly or directly to mitigating, and adapting to, climate change, which is why Slovenia did not decide to continue programme Priority 5, which is further elaborated in the section ‘Stimulating efficient use of resources and supporting transition to a low-carbon and climate-adapted economy in agricultural, food and forestry sectors,’ but has selected the horizontal approach to addressing the issue of climate change.</w:t>
            </w:r>
          </w:p>
          <w:p w:rsidR="00BD3B5F" w:rsidRPr="005C3B55" w:rsidRDefault="00BD3B5F">
            <w:pPr>
              <w:spacing w:before="240" w:after="240"/>
              <w:jc w:val="left"/>
              <w:rPr>
                <w:noProof/>
                <w:szCs w:val="24"/>
              </w:rPr>
            </w:pPr>
            <w:r w:rsidRPr="005C3B55">
              <w:rPr>
                <w:b/>
                <w:szCs w:val="24"/>
              </w:rPr>
              <w:t>Horizontal objective:</w:t>
            </w:r>
            <w:r w:rsidRPr="005C3B55">
              <w:rPr>
                <w:b/>
                <w:noProof/>
                <w:szCs w:val="24"/>
              </w:rPr>
              <w:t xml:space="preserve"> </w:t>
            </w:r>
            <w:r w:rsidRPr="005C3B55">
              <w:rPr>
                <w:b/>
                <w:szCs w:val="24"/>
              </w:rPr>
              <w:t>Innovation</w:t>
            </w:r>
            <w:r w:rsidRPr="005C3B55">
              <w:rPr>
                <w:b/>
                <w:noProof/>
                <w:szCs w:val="24"/>
              </w:rPr>
              <w:t xml:space="preserve"> </w:t>
            </w:r>
          </w:p>
          <w:p w:rsidR="00BD3B5F" w:rsidRPr="005C3B55" w:rsidRDefault="00BD3B5F">
            <w:pPr>
              <w:spacing w:before="240" w:after="240"/>
              <w:jc w:val="left"/>
              <w:rPr>
                <w:noProof/>
                <w:szCs w:val="24"/>
              </w:rPr>
            </w:pPr>
            <w:r w:rsidRPr="005C3B55">
              <w:rPr>
                <w:szCs w:val="24"/>
              </w:rPr>
              <w:t>The key for success and attaining many objectives is innovative approach.</w:t>
            </w:r>
            <w:r w:rsidRPr="005C3B55">
              <w:rPr>
                <w:noProof/>
                <w:szCs w:val="24"/>
              </w:rPr>
              <w:t xml:space="preserve"> </w:t>
            </w:r>
            <w:r w:rsidRPr="005C3B55">
              <w:rPr>
                <w:szCs w:val="24"/>
              </w:rPr>
              <w:t xml:space="preserve">This horizontal objective will be directly supported by measure M16, which will support </w:t>
            </w:r>
            <w:r w:rsidRPr="005C3B55">
              <w:rPr>
                <w:i/>
                <w:szCs w:val="24"/>
              </w:rPr>
              <w:t>inter alia</w:t>
            </w:r>
            <w:r w:rsidRPr="005C3B55">
              <w:rPr>
                <w:szCs w:val="24"/>
              </w:rPr>
              <w:t xml:space="preserve"> the operations of operational groups of the European Innovation Partnership (EIP) in the field of agricultural productivity and sustainability.</w:t>
            </w:r>
            <w:r w:rsidRPr="005C3B55">
              <w:rPr>
                <w:noProof/>
                <w:szCs w:val="24"/>
              </w:rPr>
              <w:t xml:space="preserve"> </w:t>
            </w:r>
            <w:r w:rsidRPr="005C3B55">
              <w:rPr>
                <w:szCs w:val="24"/>
              </w:rPr>
              <w:t>Also, other forms of partnerships which will be established for cooperative projects may contribute to innovation.</w:t>
            </w:r>
            <w:r w:rsidRPr="005C3B55">
              <w:rPr>
                <w:noProof/>
                <w:szCs w:val="24"/>
              </w:rPr>
              <w:t xml:space="preserve"> </w:t>
            </w:r>
            <w:r w:rsidRPr="005C3B55">
              <w:rPr>
                <w:szCs w:val="24"/>
              </w:rPr>
              <w:t>The measure includes the enhancement of innovation and its transfer into practice, particularly key operations within pilot projects and the development of new products, practices, processes and technologies in the agricultural, food industry and forestry sectors.</w:t>
            </w:r>
          </w:p>
          <w:p w:rsidR="00BD3B5F" w:rsidRPr="005C3B55" w:rsidRDefault="00BD3B5F">
            <w:pPr>
              <w:spacing w:before="240" w:after="240"/>
              <w:jc w:val="left"/>
              <w:rPr>
                <w:noProof/>
                <w:szCs w:val="24"/>
              </w:rPr>
            </w:pPr>
            <w:r w:rsidRPr="005C3B55">
              <w:rPr>
                <w:szCs w:val="24"/>
              </w:rPr>
              <w:t>Measures M01 and M02 may contribute significantly to the creation of a suitable environment for innovation, as they improve the qualifications of producers and cutting-edge knowledge flow, and thus create suitable preconditions for innovation development.</w:t>
            </w:r>
          </w:p>
          <w:p w:rsidR="00BD3B5F" w:rsidRPr="005C3B55" w:rsidRDefault="00BD3B5F">
            <w:pPr>
              <w:spacing w:before="240" w:after="240"/>
              <w:jc w:val="left"/>
              <w:rPr>
                <w:noProof/>
                <w:szCs w:val="24"/>
              </w:rPr>
            </w:pPr>
            <w:r w:rsidRPr="005C3B55">
              <w:rPr>
                <w:szCs w:val="24"/>
              </w:rPr>
              <w:t>Investments supported by measure M04 will also be able to directly contribute to the introduction of innovative approaches in the production, processing and marketing of agricultural and food products.</w:t>
            </w:r>
            <w:r w:rsidRPr="005C3B55">
              <w:rPr>
                <w:noProof/>
                <w:szCs w:val="24"/>
              </w:rPr>
              <w:t xml:space="preserve"> </w:t>
            </w:r>
            <w:r w:rsidRPr="005C3B55">
              <w:rPr>
                <w:szCs w:val="24"/>
              </w:rPr>
              <w:t>The development of innovation in the field of high-quality local products, and their production and marketing is also anticipated under M03.</w:t>
            </w:r>
          </w:p>
          <w:p w:rsidR="00BD3B5F" w:rsidRPr="005C3B55" w:rsidRDefault="00BD3B5F">
            <w:pPr>
              <w:spacing w:before="240" w:after="240"/>
              <w:jc w:val="left"/>
              <w:rPr>
                <w:noProof/>
                <w:szCs w:val="24"/>
              </w:rPr>
            </w:pPr>
            <w:r w:rsidRPr="005C3B55">
              <w:rPr>
                <w:szCs w:val="24"/>
              </w:rPr>
              <w:t>Sub-measure M06.4, intended for the development of entrepreneurship, also has a high innovative potential.</w:t>
            </w:r>
          </w:p>
          <w:p w:rsidR="00BD3B5F" w:rsidRPr="005C3B55" w:rsidRDefault="00BD3B5F">
            <w:pPr>
              <w:spacing w:before="240" w:after="240"/>
              <w:jc w:val="left"/>
              <w:rPr>
                <w:noProof/>
                <w:szCs w:val="24"/>
              </w:rPr>
            </w:pPr>
            <w:r w:rsidRPr="005C3B55">
              <w:rPr>
                <w:szCs w:val="24"/>
              </w:rPr>
              <w:t>Sub-measure M07 is aimed at creating innovative working environment and thus increase employment and productivity and increased use of advanced e-skills.</w:t>
            </w:r>
          </w:p>
          <w:p w:rsidR="00BD3B5F" w:rsidRPr="005C3B55" w:rsidRDefault="00BD3B5F">
            <w:pPr>
              <w:spacing w:before="240" w:after="240"/>
              <w:jc w:val="left"/>
              <w:rPr>
                <w:noProof/>
                <w:szCs w:val="24"/>
              </w:rPr>
            </w:pPr>
            <w:r w:rsidRPr="005C3B55">
              <w:rPr>
                <w:szCs w:val="24"/>
              </w:rPr>
              <w:t>Measure M11 also posses innovative potential, as it promotes innovative approaches in the implementation of improved breeding and new production technologies.</w:t>
            </w:r>
            <w:r w:rsidRPr="005C3B55">
              <w:rPr>
                <w:noProof/>
                <w:szCs w:val="24"/>
              </w:rPr>
              <w:t xml:space="preserve"> </w:t>
            </w:r>
            <w:r w:rsidRPr="005C3B55">
              <w:rPr>
                <w:szCs w:val="24"/>
              </w:rPr>
              <w:t>Certain other measures, e.g. the measure related to quality schemes, may also be innovative, since they promote innovation development in the field of local high-quality products, their production and marketing.</w:t>
            </w:r>
          </w:p>
          <w:p w:rsidR="00BD3B5F" w:rsidRPr="005C3B55" w:rsidRDefault="00BD3B5F">
            <w:pPr>
              <w:spacing w:before="240" w:after="240"/>
              <w:jc w:val="left"/>
              <w:rPr>
                <w:noProof/>
                <w:szCs w:val="24"/>
              </w:rPr>
            </w:pPr>
            <w:r w:rsidRPr="005C3B55">
              <w:rPr>
                <w:szCs w:val="24"/>
              </w:rPr>
              <w:t>Many innovative approached are expected in the implementation of LEADER measure, since the method of implementing sub-measure M19.2 includes a strong incentive to introduce new solutions, practices, approaches, technologies and procedures.</w:t>
            </w:r>
            <w:r w:rsidRPr="005C3B55">
              <w:rPr>
                <w:noProof/>
                <w:szCs w:val="24"/>
              </w:rPr>
              <w:t xml:space="preserve"> </w:t>
            </w:r>
            <w:r w:rsidRPr="005C3B55">
              <w:rPr>
                <w:szCs w:val="24"/>
              </w:rPr>
              <w:t>Sub-measure M19.2 is implemented according to the ‘bottom-up’ approach, which means that local entities form LDS and select projects based on the needs of the local environment.</w:t>
            </w:r>
            <w:r w:rsidRPr="005C3B55">
              <w:rPr>
                <w:noProof/>
                <w:szCs w:val="24"/>
              </w:rPr>
              <w:t xml:space="preserve"> </w:t>
            </w:r>
            <w:r w:rsidRPr="005C3B55">
              <w:rPr>
                <w:szCs w:val="24"/>
              </w:rPr>
              <w:t>LEADER funds may also cover certain small investments in infrastructure which are frequently a condition for innovation and further development.</w:t>
            </w:r>
            <w:r w:rsidRPr="005C3B55">
              <w:rPr>
                <w:noProof/>
                <w:szCs w:val="24"/>
              </w:rPr>
              <w:t xml:space="preserve"> </w:t>
            </w:r>
            <w:r w:rsidRPr="005C3B55">
              <w:rPr>
                <w:szCs w:val="24"/>
              </w:rPr>
              <w:t>The method of implementation presents a different approach to tackling challenges and is based on demand or needs and combines experience with knowledge of different local players.</w:t>
            </w:r>
          </w:p>
          <w:p w:rsidR="00BD3B5F" w:rsidRPr="005C3B55" w:rsidRDefault="00BD3B5F">
            <w:pPr>
              <w:spacing w:before="0" w:after="0"/>
              <w:jc w:val="left"/>
              <w:rPr>
                <w:noProof/>
                <w:szCs w:val="24"/>
              </w:rPr>
            </w:pPr>
          </w:p>
        </w:tc>
      </w:tr>
    </w:tbl>
    <w:p w:rsidR="00BD3B5F" w:rsidRPr="005C3B55" w:rsidRDefault="00BD3B5F">
      <w:pPr>
        <w:rPr>
          <w:szCs w:val="24"/>
        </w:rPr>
        <w:sectPr w:rsidR="00BD3B5F" w:rsidRPr="005C3B55">
          <w:pgSz w:w="12240" w:h="15840"/>
          <w:pgMar w:top="900" w:right="900" w:bottom="900" w:left="900" w:header="708" w:footer="708" w:gutter="0"/>
          <w:cols w:space="708"/>
        </w:sectPr>
      </w:pPr>
    </w:p>
    <w:p w:rsidR="00BD3B5F" w:rsidRPr="005C3B55" w:rsidRDefault="00BD3B5F">
      <w:pPr>
        <w:pStyle w:val="Naslov2"/>
        <w:tabs>
          <w:tab w:val="clear" w:pos="765"/>
        </w:tabs>
        <w:ind w:left="0" w:firstLine="0"/>
        <w:rPr>
          <w:szCs w:val="24"/>
          <w:lang w:val="en-GB"/>
        </w:rPr>
      </w:pPr>
      <w:bookmarkStart w:id="93" w:name="_Toc416192551"/>
      <w:r w:rsidRPr="005C3B55">
        <w:rPr>
          <w:szCs w:val="24"/>
          <w:lang w:val="en-GB"/>
        </w:rPr>
        <w:t>Collective table of intervention logic displaying selected priorities and focus areas for the rural development programme, objectives supported by figures and a combination of measures planned for their attainment, including planned expenses (the table was created automatically on the basis of information from sections 5.2 and 11)</w:t>
      </w:r>
      <w:bookmarkEnd w:id="9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6"/>
        <w:gridCol w:w="5714"/>
        <w:gridCol w:w="1077"/>
        <w:gridCol w:w="1271"/>
        <w:gridCol w:w="1688"/>
      </w:tblGrid>
      <w:tr w:rsidR="00BD3B5F" w:rsidRPr="005C3B55">
        <w:tc>
          <w:tcPr>
            <w:tcW w:w="10656" w:type="dxa"/>
            <w:gridSpan w:val="5"/>
            <w:shd w:val="clear" w:color="auto" w:fill="808080"/>
            <w:tcMar>
              <w:top w:w="20" w:type="dxa"/>
              <w:bottom w:w="20" w:type="dxa"/>
            </w:tcMar>
            <w:vAlign w:val="bottom"/>
          </w:tcPr>
          <w:p w:rsidR="00BD3B5F" w:rsidRPr="005C3B55" w:rsidRDefault="00BD3B5F">
            <w:pPr>
              <w:jc w:val="left"/>
              <w:rPr>
                <w:szCs w:val="24"/>
              </w:rPr>
            </w:pPr>
            <w:r w:rsidRPr="005C3B55">
              <w:rPr>
                <w:b/>
                <w:sz w:val="20"/>
                <w:szCs w:val="24"/>
              </w:rPr>
              <w:t>Priority 1</w:t>
            </w:r>
          </w:p>
        </w:tc>
      </w:tr>
      <w:tr w:rsidR="00BD3B5F" w:rsidRPr="005C3B55">
        <w:tc>
          <w:tcPr>
            <w:tcW w:w="906" w:type="dxa"/>
            <w:shd w:val="clear" w:color="auto" w:fill="C0C0C0"/>
            <w:tcMar>
              <w:top w:w="20" w:type="dxa"/>
              <w:bottom w:w="20" w:type="dxa"/>
            </w:tcMar>
            <w:vAlign w:val="bottom"/>
          </w:tcPr>
          <w:p w:rsidR="00BD3B5F" w:rsidRPr="005C3B55" w:rsidRDefault="00BD3B5F">
            <w:pPr>
              <w:jc w:val="center"/>
              <w:rPr>
                <w:szCs w:val="24"/>
              </w:rPr>
            </w:pPr>
            <w:r w:rsidRPr="005C3B55">
              <w:rPr>
                <w:sz w:val="16"/>
                <w:szCs w:val="24"/>
              </w:rPr>
              <w:t>Focus area</w:t>
            </w:r>
          </w:p>
        </w:tc>
        <w:tc>
          <w:tcPr>
            <w:tcW w:w="5714" w:type="dxa"/>
            <w:shd w:val="clear" w:color="auto" w:fill="C0C0C0"/>
            <w:tcMar>
              <w:top w:w="20" w:type="dxa"/>
              <w:bottom w:w="20" w:type="dxa"/>
            </w:tcMar>
            <w:vAlign w:val="bottom"/>
          </w:tcPr>
          <w:p w:rsidR="00BD3B5F" w:rsidRPr="005C3B55" w:rsidRDefault="00BD3B5F">
            <w:pPr>
              <w:jc w:val="center"/>
              <w:rPr>
                <w:szCs w:val="24"/>
              </w:rPr>
            </w:pPr>
            <w:r w:rsidRPr="005C3B55">
              <w:rPr>
                <w:sz w:val="16"/>
                <w:szCs w:val="24"/>
              </w:rPr>
              <w:t>Description of target indicator</w:t>
            </w:r>
          </w:p>
        </w:tc>
        <w:tc>
          <w:tcPr>
            <w:tcW w:w="1077" w:type="dxa"/>
            <w:shd w:val="clear" w:color="auto" w:fill="C0C0C0"/>
            <w:tcMar>
              <w:top w:w="20" w:type="dxa"/>
              <w:bottom w:w="20" w:type="dxa"/>
            </w:tcMar>
            <w:vAlign w:val="bottom"/>
          </w:tcPr>
          <w:p w:rsidR="00BD3B5F" w:rsidRPr="005C3B55" w:rsidRDefault="00BD3B5F">
            <w:pPr>
              <w:jc w:val="center"/>
              <w:rPr>
                <w:szCs w:val="24"/>
              </w:rPr>
            </w:pPr>
            <w:r w:rsidRPr="005C3B55">
              <w:rPr>
                <w:sz w:val="16"/>
                <w:szCs w:val="24"/>
              </w:rPr>
              <w:t>Target value for 2023</w:t>
            </w:r>
          </w:p>
        </w:tc>
        <w:tc>
          <w:tcPr>
            <w:tcW w:w="1271" w:type="dxa"/>
            <w:shd w:val="clear" w:color="auto" w:fill="C0C0C0"/>
            <w:tcMar>
              <w:top w:w="20" w:type="dxa"/>
              <w:bottom w:w="20" w:type="dxa"/>
            </w:tcMar>
            <w:vAlign w:val="bottom"/>
          </w:tcPr>
          <w:p w:rsidR="00BD3B5F" w:rsidRPr="005C3B55" w:rsidRDefault="00BD3B5F">
            <w:pPr>
              <w:jc w:val="center"/>
              <w:rPr>
                <w:szCs w:val="24"/>
              </w:rPr>
            </w:pPr>
            <w:r w:rsidRPr="005C3B55">
              <w:rPr>
                <w:sz w:val="16"/>
                <w:szCs w:val="24"/>
              </w:rPr>
              <w:t>Expenses planned</w:t>
            </w:r>
          </w:p>
        </w:tc>
        <w:tc>
          <w:tcPr>
            <w:tcW w:w="1688" w:type="dxa"/>
            <w:shd w:val="clear" w:color="auto" w:fill="C0C0C0"/>
            <w:tcMar>
              <w:top w:w="20" w:type="dxa"/>
              <w:bottom w:w="20" w:type="dxa"/>
            </w:tcMar>
            <w:vAlign w:val="bottom"/>
          </w:tcPr>
          <w:p w:rsidR="00BD3B5F" w:rsidRPr="005C3B55" w:rsidRDefault="00BD3B5F">
            <w:pPr>
              <w:jc w:val="center"/>
              <w:rPr>
                <w:szCs w:val="24"/>
              </w:rPr>
            </w:pPr>
            <w:r w:rsidRPr="005C3B55">
              <w:rPr>
                <w:sz w:val="16"/>
                <w:szCs w:val="24"/>
              </w:rPr>
              <w:t>Combination of measures</w:t>
            </w:r>
          </w:p>
        </w:tc>
      </w:tr>
      <w:tr w:rsidR="00BD3B5F" w:rsidRPr="005C3B55">
        <w:trPr>
          <w:trHeight w:val="225"/>
        </w:trPr>
        <w:tc>
          <w:tcPr>
            <w:tcW w:w="906" w:type="dxa"/>
            <w:vMerge w:val="restart"/>
            <w:shd w:val="clear" w:color="auto" w:fill="FFFFFF"/>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1A</w:t>
            </w:r>
          </w:p>
        </w:tc>
        <w:tc>
          <w:tcPr>
            <w:tcW w:w="5714" w:type="dxa"/>
            <w:vMerge w:val="restart"/>
            <w:shd w:val="clear" w:color="auto" w:fill="FFFFFF"/>
            <w:tcMar>
              <w:top w:w="20" w:type="dxa"/>
              <w:bottom w:w="20" w:type="dxa"/>
            </w:tcMar>
            <w:vAlign w:val="center"/>
          </w:tcPr>
          <w:p w:rsidR="00BD3B5F" w:rsidRPr="005C3B55" w:rsidRDefault="00BD3B5F">
            <w:pPr>
              <w:spacing w:before="20" w:after="20"/>
              <w:jc w:val="left"/>
              <w:rPr>
                <w:szCs w:val="24"/>
              </w:rPr>
            </w:pPr>
            <w:r w:rsidRPr="005C3B55">
              <w:rPr>
                <w:noProof/>
                <w:sz w:val="16"/>
                <w:szCs w:val="24"/>
              </w:rPr>
              <w:t>T1:</w:t>
            </w:r>
            <w:r w:rsidRPr="005C3B55">
              <w:rPr>
                <w:sz w:val="16"/>
                <w:szCs w:val="24"/>
              </w:rPr>
              <w:t xml:space="preserve"> Percentage of expenses as per Article 14, 15 and 35 of Regulation (EU) No 1305/2013 relating to total expense for the rural development programme (focus area 1A)</w:t>
            </w:r>
          </w:p>
        </w:tc>
        <w:tc>
          <w:tcPr>
            <w:tcW w:w="1077" w:type="dxa"/>
            <w:vMerge w:val="restart"/>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3.91%</w:t>
            </w:r>
          </w:p>
        </w:tc>
        <w:tc>
          <w:tcPr>
            <w:tcW w:w="1271" w:type="dxa"/>
            <w:vMerge w:val="restart"/>
            <w:shd w:val="clear" w:color="auto" w:fill="FFFFFF"/>
            <w:tcMar>
              <w:top w:w="20" w:type="dxa"/>
              <w:bottom w:w="20" w:type="dxa"/>
            </w:tcMar>
            <w:vAlign w:val="center"/>
          </w:tcPr>
          <w:p w:rsidR="00BD3B5F" w:rsidRPr="005C3B55" w:rsidRDefault="00BD3B5F">
            <w:pPr>
              <w:spacing w:before="20" w:after="20"/>
              <w:jc w:val="right"/>
              <w:rPr>
                <w:sz w:val="16"/>
                <w:szCs w:val="24"/>
              </w:rPr>
            </w:pPr>
          </w:p>
        </w:tc>
        <w:tc>
          <w:tcPr>
            <w:tcW w:w="1688" w:type="dxa"/>
            <w:vMerge w:val="restart"/>
            <w:shd w:val="clear" w:color="auto" w:fill="FFFFFF"/>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M01, M02, M16</w:t>
            </w:r>
          </w:p>
        </w:tc>
      </w:tr>
      <w:tr w:rsidR="00BD3B5F" w:rsidRPr="005C3B55">
        <w:tc>
          <w:tcPr>
            <w:tcW w:w="906" w:type="dxa"/>
            <w:vMerge w:val="restart"/>
            <w:shd w:val="clear" w:color="auto" w:fill="FFFFFF"/>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1B</w:t>
            </w:r>
          </w:p>
        </w:tc>
        <w:tc>
          <w:tcPr>
            <w:tcW w:w="5714" w:type="dxa"/>
            <w:shd w:val="clear" w:color="auto" w:fill="FFFFFF"/>
            <w:tcMar>
              <w:top w:w="20" w:type="dxa"/>
              <w:bottom w:w="20" w:type="dxa"/>
            </w:tcMar>
            <w:vAlign w:val="center"/>
          </w:tcPr>
          <w:p w:rsidR="00BD3B5F" w:rsidRPr="005C3B55" w:rsidRDefault="00BD3B5F">
            <w:pPr>
              <w:spacing w:before="20" w:after="20"/>
              <w:jc w:val="left"/>
              <w:rPr>
                <w:szCs w:val="24"/>
              </w:rPr>
            </w:pPr>
            <w:r w:rsidRPr="005C3B55">
              <w:rPr>
                <w:noProof/>
                <w:sz w:val="16"/>
                <w:szCs w:val="24"/>
              </w:rPr>
              <w:t>T2:</w:t>
            </w:r>
            <w:r w:rsidRPr="005C3B55">
              <w:rPr>
                <w:sz w:val="16"/>
                <w:szCs w:val="24"/>
              </w:rPr>
              <w:t xml:space="preserve">  Total number of cooperation operations supported as part of the cooperation measure (Article 35 of Regulation (EU) No 1305/201) (groups, networks/clusters, pilot projects etc.) </w:t>
            </w:r>
            <w:r w:rsidRPr="005C3B55">
              <w:rPr>
                <w:noProof/>
                <w:sz w:val="16"/>
                <w:szCs w:val="24"/>
              </w:rPr>
              <w:t>(focus area 1B)</w:t>
            </w:r>
          </w:p>
        </w:tc>
        <w:tc>
          <w:tcPr>
            <w:tcW w:w="1077"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60.00</w:t>
            </w:r>
          </w:p>
        </w:tc>
        <w:tc>
          <w:tcPr>
            <w:tcW w:w="1271" w:type="dxa"/>
            <w:shd w:val="clear" w:color="auto" w:fill="FFFFFF"/>
            <w:tcMar>
              <w:top w:w="20" w:type="dxa"/>
              <w:bottom w:w="20" w:type="dxa"/>
            </w:tcMar>
            <w:vAlign w:val="center"/>
          </w:tcPr>
          <w:p w:rsidR="00BD3B5F" w:rsidRPr="005C3B55" w:rsidRDefault="00BD3B5F">
            <w:pPr>
              <w:spacing w:before="20" w:after="20"/>
              <w:jc w:val="right"/>
              <w:rPr>
                <w:sz w:val="16"/>
                <w:szCs w:val="24"/>
              </w:rPr>
            </w:pPr>
          </w:p>
        </w:tc>
        <w:tc>
          <w:tcPr>
            <w:tcW w:w="1688" w:type="dxa"/>
            <w:shd w:val="clear" w:color="auto" w:fill="FFFFFF"/>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M16</w:t>
            </w:r>
          </w:p>
        </w:tc>
      </w:tr>
      <w:tr w:rsidR="00BD3B5F" w:rsidRPr="005C3B55">
        <w:tc>
          <w:tcPr>
            <w:tcW w:w="906" w:type="dxa"/>
            <w:vMerge w:val="restart"/>
            <w:shd w:val="clear" w:color="auto" w:fill="FFFFFF"/>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1C</w:t>
            </w:r>
          </w:p>
        </w:tc>
        <w:tc>
          <w:tcPr>
            <w:tcW w:w="5714" w:type="dxa"/>
            <w:shd w:val="clear" w:color="auto" w:fill="FFFFFF"/>
            <w:tcMar>
              <w:top w:w="20" w:type="dxa"/>
              <w:bottom w:w="20" w:type="dxa"/>
            </w:tcMar>
            <w:vAlign w:val="center"/>
          </w:tcPr>
          <w:p w:rsidR="00BD3B5F" w:rsidRPr="005C3B55" w:rsidRDefault="00BD3B5F">
            <w:pPr>
              <w:spacing w:before="20" w:after="20"/>
              <w:jc w:val="left"/>
              <w:rPr>
                <w:szCs w:val="24"/>
              </w:rPr>
            </w:pPr>
            <w:r w:rsidRPr="005C3B55">
              <w:rPr>
                <w:noProof/>
                <w:sz w:val="16"/>
                <w:szCs w:val="24"/>
              </w:rPr>
              <w:t>T3:</w:t>
            </w:r>
            <w:r w:rsidRPr="005C3B55">
              <w:rPr>
                <w:sz w:val="16"/>
                <w:szCs w:val="24"/>
              </w:rPr>
              <w:t xml:space="preserve"> Total number of qualified participants as per Article 14 of Regulation (EU) No 1305/2013 (focus area 1C)</w:t>
            </w:r>
          </w:p>
        </w:tc>
        <w:tc>
          <w:tcPr>
            <w:tcW w:w="1077"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99,60.00</w:t>
            </w:r>
          </w:p>
        </w:tc>
        <w:tc>
          <w:tcPr>
            <w:tcW w:w="1271" w:type="dxa"/>
            <w:shd w:val="clear" w:color="auto" w:fill="FFFFFF"/>
            <w:tcMar>
              <w:top w:w="20" w:type="dxa"/>
              <w:bottom w:w="20" w:type="dxa"/>
            </w:tcMar>
            <w:vAlign w:val="center"/>
          </w:tcPr>
          <w:p w:rsidR="00BD3B5F" w:rsidRPr="005C3B55" w:rsidRDefault="00BD3B5F">
            <w:pPr>
              <w:spacing w:before="20" w:after="20"/>
              <w:jc w:val="right"/>
              <w:rPr>
                <w:sz w:val="16"/>
                <w:szCs w:val="24"/>
              </w:rPr>
            </w:pPr>
          </w:p>
        </w:tc>
        <w:tc>
          <w:tcPr>
            <w:tcW w:w="1688" w:type="dxa"/>
            <w:shd w:val="clear" w:color="auto" w:fill="FFFFFF"/>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M01</w:t>
            </w:r>
          </w:p>
        </w:tc>
      </w:tr>
      <w:tr w:rsidR="00BD3B5F" w:rsidRPr="005C3B55">
        <w:trPr>
          <w:trHeight w:val="250"/>
        </w:trPr>
        <w:tc>
          <w:tcPr>
            <w:tcW w:w="10656" w:type="dxa"/>
            <w:gridSpan w:val="5"/>
            <w:vMerge w:val="restart"/>
            <w:shd w:val="clear" w:color="auto" w:fill="808080"/>
            <w:tcMar>
              <w:top w:w="20" w:type="dxa"/>
              <w:bottom w:w="20" w:type="dxa"/>
            </w:tcMar>
            <w:vAlign w:val="center"/>
          </w:tcPr>
          <w:p w:rsidR="00BD3B5F" w:rsidRPr="005C3B55" w:rsidRDefault="00BD3B5F">
            <w:pPr>
              <w:spacing w:before="20" w:after="20"/>
              <w:jc w:val="left"/>
              <w:rPr>
                <w:b/>
                <w:sz w:val="20"/>
                <w:szCs w:val="24"/>
              </w:rPr>
            </w:pPr>
            <w:r w:rsidRPr="005C3B55">
              <w:rPr>
                <w:b/>
                <w:noProof/>
                <w:sz w:val="20"/>
                <w:szCs w:val="24"/>
              </w:rPr>
              <w:t>Priority 2</w:t>
            </w:r>
          </w:p>
        </w:tc>
      </w:tr>
      <w:tr w:rsidR="00BD3B5F" w:rsidRPr="005C3B55">
        <w:trPr>
          <w:trHeight w:val="225"/>
        </w:trPr>
        <w:tc>
          <w:tcPr>
            <w:tcW w:w="906" w:type="dxa"/>
            <w:vMerge w:val="restart"/>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Focus area</w:t>
            </w:r>
          </w:p>
        </w:tc>
        <w:tc>
          <w:tcPr>
            <w:tcW w:w="5714" w:type="dxa"/>
            <w:vMerge w:val="restart"/>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Description of target indicator</w:t>
            </w:r>
          </w:p>
        </w:tc>
        <w:tc>
          <w:tcPr>
            <w:tcW w:w="1077" w:type="dxa"/>
            <w:vMerge w:val="restart"/>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Target value for 2023</w:t>
            </w:r>
          </w:p>
        </w:tc>
        <w:tc>
          <w:tcPr>
            <w:tcW w:w="1271" w:type="dxa"/>
            <w:vMerge w:val="restart"/>
            <w:shd w:val="clear" w:color="auto" w:fill="C0C0C0"/>
            <w:tcMar>
              <w:top w:w="20" w:type="dxa"/>
              <w:bottom w:w="20" w:type="dxa"/>
            </w:tcMar>
            <w:vAlign w:val="center"/>
          </w:tcPr>
          <w:p w:rsidR="00BD3B5F" w:rsidRPr="005C3B55" w:rsidRDefault="00BD3B5F">
            <w:pPr>
              <w:spacing w:before="20" w:after="20"/>
              <w:jc w:val="center"/>
              <w:rPr>
                <w:szCs w:val="24"/>
              </w:rPr>
            </w:pPr>
            <w:r w:rsidRPr="005C3B55">
              <w:rPr>
                <w:sz w:val="16"/>
                <w:szCs w:val="24"/>
              </w:rPr>
              <w:t>Expenses planned</w:t>
            </w:r>
          </w:p>
        </w:tc>
        <w:tc>
          <w:tcPr>
            <w:tcW w:w="1688" w:type="dxa"/>
            <w:vMerge w:val="restart"/>
            <w:shd w:val="clear" w:color="auto" w:fill="C0C0C0"/>
            <w:tcMar>
              <w:top w:w="20" w:type="dxa"/>
              <w:bottom w:w="20" w:type="dxa"/>
            </w:tcMar>
            <w:vAlign w:val="center"/>
          </w:tcPr>
          <w:p w:rsidR="00BD3B5F" w:rsidRPr="005C3B55" w:rsidRDefault="00BD3B5F">
            <w:pPr>
              <w:spacing w:before="20" w:after="20"/>
              <w:jc w:val="center"/>
              <w:rPr>
                <w:szCs w:val="24"/>
              </w:rPr>
            </w:pPr>
            <w:r w:rsidRPr="005C3B55">
              <w:rPr>
                <w:sz w:val="16"/>
                <w:szCs w:val="24"/>
              </w:rPr>
              <w:t>Combination of measures</w:t>
            </w:r>
          </w:p>
        </w:tc>
      </w:tr>
      <w:tr w:rsidR="00BD3B5F" w:rsidRPr="005C3B55">
        <w:tc>
          <w:tcPr>
            <w:tcW w:w="906" w:type="dxa"/>
            <w:vMerge w:val="restart"/>
            <w:shd w:val="clear" w:color="auto" w:fill="FFFFFF"/>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2A</w:t>
            </w:r>
          </w:p>
        </w:tc>
        <w:tc>
          <w:tcPr>
            <w:tcW w:w="5714" w:type="dxa"/>
            <w:shd w:val="clear" w:color="auto" w:fill="FFFFFF"/>
            <w:tcMar>
              <w:top w:w="20" w:type="dxa"/>
              <w:bottom w:w="20" w:type="dxa"/>
            </w:tcMar>
            <w:vAlign w:val="center"/>
          </w:tcPr>
          <w:p w:rsidR="00BD3B5F" w:rsidRPr="005C3B55" w:rsidRDefault="00BD3B5F">
            <w:pPr>
              <w:spacing w:before="20" w:after="20"/>
              <w:jc w:val="left"/>
              <w:rPr>
                <w:szCs w:val="24"/>
              </w:rPr>
            </w:pPr>
            <w:r w:rsidRPr="005C3B55">
              <w:rPr>
                <w:noProof/>
                <w:sz w:val="16"/>
                <w:szCs w:val="24"/>
              </w:rPr>
              <w:t>T4:</w:t>
            </w:r>
            <w:r w:rsidRPr="005C3B55">
              <w:rPr>
                <w:sz w:val="16"/>
                <w:szCs w:val="24"/>
              </w:rPr>
              <w:t xml:space="preserve"> Percentage of agricultural holdings with the RDP programme support for investment in restructuring or modernisation (focus area 2A)</w:t>
            </w:r>
          </w:p>
        </w:tc>
        <w:tc>
          <w:tcPr>
            <w:tcW w:w="1077"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3.44%</w:t>
            </w:r>
          </w:p>
        </w:tc>
        <w:tc>
          <w:tcPr>
            <w:tcW w:w="1271"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162,346,866.81</w:t>
            </w:r>
          </w:p>
        </w:tc>
        <w:tc>
          <w:tcPr>
            <w:tcW w:w="1688" w:type="dxa"/>
            <w:shd w:val="clear" w:color="auto" w:fill="FFFFFF"/>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M01, M04, M16</w:t>
            </w:r>
          </w:p>
        </w:tc>
      </w:tr>
      <w:tr w:rsidR="00BD3B5F" w:rsidRPr="005C3B55">
        <w:tc>
          <w:tcPr>
            <w:tcW w:w="906" w:type="dxa"/>
            <w:vMerge w:val="restart"/>
            <w:shd w:val="clear" w:color="auto" w:fill="FFFFFF"/>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2B</w:t>
            </w:r>
          </w:p>
        </w:tc>
        <w:tc>
          <w:tcPr>
            <w:tcW w:w="5714" w:type="dxa"/>
            <w:shd w:val="clear" w:color="auto" w:fill="FFFFFF"/>
            <w:tcMar>
              <w:top w:w="20" w:type="dxa"/>
              <w:bottom w:w="20" w:type="dxa"/>
            </w:tcMar>
            <w:vAlign w:val="center"/>
          </w:tcPr>
          <w:p w:rsidR="00BD3B5F" w:rsidRPr="005C3B55" w:rsidRDefault="00BD3B5F">
            <w:pPr>
              <w:spacing w:before="20" w:after="20"/>
              <w:jc w:val="left"/>
              <w:rPr>
                <w:szCs w:val="24"/>
              </w:rPr>
            </w:pPr>
            <w:r w:rsidRPr="005C3B55">
              <w:rPr>
                <w:noProof/>
                <w:sz w:val="16"/>
                <w:szCs w:val="24"/>
              </w:rPr>
              <w:t>T5:</w:t>
            </w:r>
            <w:r w:rsidRPr="005C3B55">
              <w:rPr>
                <w:sz w:val="16"/>
                <w:szCs w:val="24"/>
              </w:rPr>
              <w:t xml:space="preserve"> Percentage of agricultural holdings with a business development plan/investments, or young farmers supported with the Rural Development Programme (focus area 2B)</w:t>
            </w:r>
          </w:p>
        </w:tc>
        <w:tc>
          <w:tcPr>
            <w:tcW w:w="1077"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3.45%</w:t>
            </w:r>
          </w:p>
        </w:tc>
        <w:tc>
          <w:tcPr>
            <w:tcW w:w="1271"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61,275,000.00</w:t>
            </w:r>
          </w:p>
        </w:tc>
        <w:tc>
          <w:tcPr>
            <w:tcW w:w="1688" w:type="dxa"/>
            <w:shd w:val="clear" w:color="auto" w:fill="FFFFFF"/>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M01, M06</w:t>
            </w:r>
          </w:p>
        </w:tc>
      </w:tr>
      <w:tr w:rsidR="00BD3B5F" w:rsidRPr="005C3B55">
        <w:trPr>
          <w:trHeight w:val="250"/>
        </w:trPr>
        <w:tc>
          <w:tcPr>
            <w:tcW w:w="10656" w:type="dxa"/>
            <w:gridSpan w:val="5"/>
            <w:vMerge w:val="restart"/>
            <w:shd w:val="clear" w:color="auto" w:fill="808080"/>
            <w:tcMar>
              <w:top w:w="20" w:type="dxa"/>
              <w:bottom w:w="20" w:type="dxa"/>
            </w:tcMar>
            <w:vAlign w:val="center"/>
          </w:tcPr>
          <w:p w:rsidR="00BD3B5F" w:rsidRPr="005C3B55" w:rsidRDefault="00BD3B5F">
            <w:pPr>
              <w:spacing w:before="20" w:after="20"/>
              <w:jc w:val="left"/>
              <w:rPr>
                <w:b/>
                <w:sz w:val="20"/>
                <w:szCs w:val="24"/>
              </w:rPr>
            </w:pPr>
            <w:r w:rsidRPr="005C3B55">
              <w:rPr>
                <w:b/>
                <w:noProof/>
                <w:sz w:val="20"/>
                <w:szCs w:val="24"/>
              </w:rPr>
              <w:t>Priority 3</w:t>
            </w:r>
          </w:p>
        </w:tc>
      </w:tr>
      <w:tr w:rsidR="00BD3B5F" w:rsidRPr="005C3B55">
        <w:tc>
          <w:tcPr>
            <w:tcW w:w="906" w:type="dxa"/>
            <w:vMerge w:val="restart"/>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Focus area</w:t>
            </w:r>
          </w:p>
        </w:tc>
        <w:tc>
          <w:tcPr>
            <w:tcW w:w="5714"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Description of target indicator</w:t>
            </w:r>
          </w:p>
        </w:tc>
        <w:tc>
          <w:tcPr>
            <w:tcW w:w="1077" w:type="dxa"/>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Target value for 2023</w:t>
            </w:r>
          </w:p>
        </w:tc>
        <w:tc>
          <w:tcPr>
            <w:tcW w:w="1271" w:type="dxa"/>
            <w:shd w:val="clear" w:color="auto" w:fill="C0C0C0"/>
            <w:tcMar>
              <w:top w:w="20" w:type="dxa"/>
              <w:bottom w:w="20" w:type="dxa"/>
            </w:tcMar>
            <w:vAlign w:val="center"/>
          </w:tcPr>
          <w:p w:rsidR="00BD3B5F" w:rsidRPr="005C3B55" w:rsidRDefault="00BD3B5F">
            <w:pPr>
              <w:spacing w:before="20" w:after="20"/>
              <w:jc w:val="center"/>
              <w:rPr>
                <w:szCs w:val="24"/>
              </w:rPr>
            </w:pPr>
            <w:r w:rsidRPr="005C3B55">
              <w:rPr>
                <w:sz w:val="16"/>
                <w:szCs w:val="24"/>
              </w:rPr>
              <w:t>Expenses planned</w:t>
            </w:r>
          </w:p>
        </w:tc>
        <w:tc>
          <w:tcPr>
            <w:tcW w:w="1688" w:type="dxa"/>
            <w:shd w:val="clear" w:color="auto" w:fill="C0C0C0"/>
            <w:tcMar>
              <w:top w:w="20" w:type="dxa"/>
              <w:bottom w:w="20" w:type="dxa"/>
            </w:tcMar>
            <w:vAlign w:val="center"/>
          </w:tcPr>
          <w:p w:rsidR="00BD3B5F" w:rsidRPr="005C3B55" w:rsidRDefault="00BD3B5F">
            <w:pPr>
              <w:spacing w:before="20" w:after="20"/>
              <w:jc w:val="center"/>
              <w:rPr>
                <w:szCs w:val="24"/>
              </w:rPr>
            </w:pPr>
            <w:r w:rsidRPr="005C3B55">
              <w:rPr>
                <w:sz w:val="16"/>
                <w:szCs w:val="24"/>
              </w:rPr>
              <w:t>Combination of measures</w:t>
            </w:r>
          </w:p>
        </w:tc>
      </w:tr>
      <w:tr w:rsidR="00BD3B5F" w:rsidRPr="005C3B55">
        <w:tc>
          <w:tcPr>
            <w:tcW w:w="906" w:type="dxa"/>
            <w:vMerge w:val="restart"/>
            <w:shd w:val="clear" w:color="auto" w:fill="FFFFFF"/>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3A</w:t>
            </w:r>
          </w:p>
        </w:tc>
        <w:tc>
          <w:tcPr>
            <w:tcW w:w="5714" w:type="dxa"/>
            <w:shd w:val="clear" w:color="auto" w:fill="FFFFFF"/>
            <w:tcMar>
              <w:top w:w="20" w:type="dxa"/>
              <w:bottom w:w="20" w:type="dxa"/>
            </w:tcMar>
            <w:vAlign w:val="center"/>
          </w:tcPr>
          <w:p w:rsidR="00BD3B5F" w:rsidRPr="005C3B55" w:rsidRDefault="00BD3B5F">
            <w:pPr>
              <w:spacing w:before="20" w:after="20"/>
              <w:jc w:val="left"/>
              <w:rPr>
                <w:szCs w:val="24"/>
              </w:rPr>
            </w:pPr>
            <w:r w:rsidRPr="005C3B55">
              <w:rPr>
                <w:noProof/>
                <w:sz w:val="16"/>
                <w:szCs w:val="24"/>
              </w:rPr>
              <w:t>T6:</w:t>
            </w:r>
            <w:r w:rsidRPr="005C3B55">
              <w:rPr>
                <w:sz w:val="16"/>
                <w:szCs w:val="24"/>
              </w:rPr>
              <w:t xml:space="preserve"> Percentage of agricultural holdings receiving support for participating in quality schemes, local markets and short supply chains and producer groups/organisations (focus area 3A)</w:t>
            </w:r>
          </w:p>
        </w:tc>
        <w:tc>
          <w:tcPr>
            <w:tcW w:w="1077"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1.70%</w:t>
            </w:r>
          </w:p>
        </w:tc>
        <w:tc>
          <w:tcPr>
            <w:tcW w:w="1271"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101,898,082.70</w:t>
            </w:r>
          </w:p>
        </w:tc>
        <w:tc>
          <w:tcPr>
            <w:tcW w:w="1688" w:type="dxa"/>
            <w:shd w:val="clear" w:color="auto" w:fill="FFFFFF"/>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M01, M02, M03, M04, M09, M14, M16</w:t>
            </w:r>
          </w:p>
        </w:tc>
      </w:tr>
      <w:tr w:rsidR="00BD3B5F" w:rsidRPr="005C3B55">
        <w:trPr>
          <w:trHeight w:val="250"/>
        </w:trPr>
        <w:tc>
          <w:tcPr>
            <w:tcW w:w="10656" w:type="dxa"/>
            <w:gridSpan w:val="5"/>
            <w:vMerge w:val="restart"/>
            <w:shd w:val="clear" w:color="auto" w:fill="808080"/>
            <w:tcMar>
              <w:top w:w="20" w:type="dxa"/>
              <w:bottom w:w="20" w:type="dxa"/>
            </w:tcMar>
            <w:vAlign w:val="center"/>
          </w:tcPr>
          <w:p w:rsidR="00BD3B5F" w:rsidRPr="005C3B55" w:rsidRDefault="00BD3B5F">
            <w:pPr>
              <w:spacing w:before="20" w:after="20"/>
              <w:jc w:val="left"/>
              <w:rPr>
                <w:b/>
                <w:sz w:val="20"/>
                <w:szCs w:val="24"/>
              </w:rPr>
            </w:pPr>
            <w:r w:rsidRPr="005C3B55">
              <w:rPr>
                <w:b/>
                <w:noProof/>
                <w:sz w:val="20"/>
                <w:szCs w:val="24"/>
              </w:rPr>
              <w:t>Priority 4</w:t>
            </w:r>
          </w:p>
        </w:tc>
      </w:tr>
      <w:tr w:rsidR="00BD3B5F" w:rsidRPr="005C3B55">
        <w:trPr>
          <w:trHeight w:val="225"/>
        </w:trPr>
        <w:tc>
          <w:tcPr>
            <w:tcW w:w="906" w:type="dxa"/>
            <w:vMerge w:val="restart"/>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Focus area</w:t>
            </w:r>
          </w:p>
        </w:tc>
        <w:tc>
          <w:tcPr>
            <w:tcW w:w="5714" w:type="dxa"/>
            <w:vMerge w:val="restart"/>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Description of target indicator</w:t>
            </w:r>
          </w:p>
        </w:tc>
        <w:tc>
          <w:tcPr>
            <w:tcW w:w="1077" w:type="dxa"/>
            <w:vMerge w:val="restart"/>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Target value for 2023</w:t>
            </w:r>
          </w:p>
        </w:tc>
        <w:tc>
          <w:tcPr>
            <w:tcW w:w="1271" w:type="dxa"/>
            <w:vMerge w:val="restart"/>
            <w:shd w:val="clear" w:color="auto" w:fill="C0C0C0"/>
            <w:tcMar>
              <w:top w:w="20" w:type="dxa"/>
              <w:bottom w:w="20" w:type="dxa"/>
            </w:tcMar>
            <w:vAlign w:val="center"/>
          </w:tcPr>
          <w:p w:rsidR="00BD3B5F" w:rsidRPr="005C3B55" w:rsidRDefault="00BD3B5F">
            <w:pPr>
              <w:spacing w:before="20" w:after="20"/>
              <w:jc w:val="center"/>
              <w:rPr>
                <w:szCs w:val="24"/>
              </w:rPr>
            </w:pPr>
            <w:r w:rsidRPr="005C3B55">
              <w:rPr>
                <w:sz w:val="16"/>
                <w:szCs w:val="24"/>
              </w:rPr>
              <w:t>Expenses planned</w:t>
            </w:r>
          </w:p>
        </w:tc>
        <w:tc>
          <w:tcPr>
            <w:tcW w:w="1688" w:type="dxa"/>
            <w:vMerge w:val="restart"/>
            <w:shd w:val="clear" w:color="auto" w:fill="C0C0C0"/>
            <w:tcMar>
              <w:top w:w="20" w:type="dxa"/>
              <w:bottom w:w="20" w:type="dxa"/>
            </w:tcMar>
            <w:vAlign w:val="center"/>
          </w:tcPr>
          <w:p w:rsidR="00BD3B5F" w:rsidRPr="005C3B55" w:rsidRDefault="00BD3B5F">
            <w:pPr>
              <w:spacing w:before="20" w:after="20"/>
              <w:jc w:val="center"/>
              <w:rPr>
                <w:szCs w:val="24"/>
              </w:rPr>
            </w:pPr>
            <w:r w:rsidRPr="005C3B55">
              <w:rPr>
                <w:sz w:val="16"/>
                <w:szCs w:val="24"/>
              </w:rPr>
              <w:t>Combination of measures</w:t>
            </w:r>
          </w:p>
        </w:tc>
      </w:tr>
      <w:tr w:rsidR="00BD3B5F" w:rsidRPr="005C3B55">
        <w:trPr>
          <w:trHeight w:val="225"/>
        </w:trPr>
        <w:tc>
          <w:tcPr>
            <w:tcW w:w="906" w:type="dxa"/>
            <w:vMerge w:val="restart"/>
            <w:shd w:val="clear" w:color="auto" w:fill="FFFFFF"/>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4A (agri)</w:t>
            </w:r>
          </w:p>
        </w:tc>
        <w:tc>
          <w:tcPr>
            <w:tcW w:w="5714" w:type="dxa"/>
            <w:vMerge w:val="restart"/>
            <w:shd w:val="clear" w:color="auto" w:fill="FFFFFF"/>
            <w:tcMar>
              <w:top w:w="20" w:type="dxa"/>
              <w:bottom w:w="20" w:type="dxa"/>
            </w:tcMar>
            <w:vAlign w:val="center"/>
          </w:tcPr>
          <w:p w:rsidR="00BD3B5F" w:rsidRPr="005C3B55" w:rsidRDefault="00BD3B5F">
            <w:pPr>
              <w:spacing w:before="20" w:after="20"/>
              <w:jc w:val="left"/>
              <w:rPr>
                <w:szCs w:val="24"/>
              </w:rPr>
            </w:pPr>
            <w:r w:rsidRPr="005C3B55">
              <w:rPr>
                <w:noProof/>
                <w:sz w:val="16"/>
                <w:szCs w:val="24"/>
              </w:rPr>
              <w:t>T9:</w:t>
            </w:r>
            <w:r w:rsidRPr="005C3B55">
              <w:rPr>
                <w:sz w:val="16"/>
                <w:szCs w:val="24"/>
              </w:rPr>
              <w:t xml:space="preserve"> Percentage of agricultural land for which management contracts on the support of biodiversity and/or landscapes have been signed (focus area 4A)</w:t>
            </w:r>
          </w:p>
        </w:tc>
        <w:tc>
          <w:tcPr>
            <w:tcW w:w="1077" w:type="dxa"/>
            <w:vMerge w:val="restart"/>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28.73%</w:t>
            </w:r>
          </w:p>
        </w:tc>
        <w:tc>
          <w:tcPr>
            <w:tcW w:w="1271" w:type="dxa"/>
            <w:vMerge w:val="restart"/>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554,757,099.00</w:t>
            </w:r>
          </w:p>
        </w:tc>
        <w:tc>
          <w:tcPr>
            <w:tcW w:w="1688" w:type="dxa"/>
            <w:vMerge w:val="restart"/>
            <w:shd w:val="clear" w:color="auto" w:fill="FFFFFF"/>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M01, M02, M10, M11, M13, M16</w:t>
            </w:r>
          </w:p>
        </w:tc>
      </w:tr>
      <w:tr w:rsidR="00BD3B5F" w:rsidRPr="005C3B55">
        <w:trPr>
          <w:trHeight w:val="225"/>
        </w:trPr>
        <w:tc>
          <w:tcPr>
            <w:tcW w:w="906" w:type="dxa"/>
            <w:vMerge w:val="restart"/>
            <w:shd w:val="clear" w:color="auto" w:fill="FFFFFF"/>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4B (agri)</w:t>
            </w:r>
          </w:p>
        </w:tc>
        <w:tc>
          <w:tcPr>
            <w:tcW w:w="5714" w:type="dxa"/>
            <w:vMerge w:val="restart"/>
            <w:shd w:val="clear" w:color="auto" w:fill="FFFFFF"/>
            <w:tcMar>
              <w:top w:w="20" w:type="dxa"/>
              <w:bottom w:w="20" w:type="dxa"/>
            </w:tcMar>
            <w:vAlign w:val="center"/>
          </w:tcPr>
          <w:p w:rsidR="00BD3B5F" w:rsidRPr="005C3B55" w:rsidRDefault="00BD3B5F">
            <w:pPr>
              <w:spacing w:before="20" w:after="20"/>
              <w:jc w:val="left"/>
              <w:rPr>
                <w:szCs w:val="24"/>
              </w:rPr>
            </w:pPr>
            <w:r w:rsidRPr="005C3B55">
              <w:rPr>
                <w:noProof/>
                <w:sz w:val="16"/>
                <w:szCs w:val="24"/>
              </w:rPr>
              <w:t>T10:</w:t>
            </w:r>
            <w:r w:rsidRPr="005C3B55">
              <w:rPr>
                <w:sz w:val="16"/>
                <w:szCs w:val="24"/>
              </w:rPr>
              <w:t xml:space="preserve"> Percentage of agricultural land for which management contracts on the improvement of water management have been signed (focus area 4B)</w:t>
            </w:r>
          </w:p>
        </w:tc>
        <w:tc>
          <w:tcPr>
            <w:tcW w:w="1077" w:type="dxa"/>
            <w:vMerge w:val="restart"/>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24.74%</w:t>
            </w:r>
          </w:p>
        </w:tc>
        <w:tc>
          <w:tcPr>
            <w:tcW w:w="0" w:type="auto"/>
            <w:vMerge/>
            <w:shd w:val="clear" w:color="auto" w:fill="FFFFFF"/>
            <w:tcMar>
              <w:top w:w="20" w:type="dxa"/>
              <w:bottom w:w="20" w:type="dxa"/>
            </w:tcMar>
            <w:vAlign w:val="center"/>
          </w:tcPr>
          <w:p w:rsidR="00BD3B5F" w:rsidRPr="005C3B55" w:rsidRDefault="00BD3B5F">
            <w:pPr>
              <w:spacing w:before="20" w:after="20"/>
              <w:jc w:val="right"/>
              <w:rPr>
                <w:sz w:val="16"/>
                <w:szCs w:val="24"/>
              </w:rPr>
            </w:pPr>
          </w:p>
        </w:tc>
        <w:tc>
          <w:tcPr>
            <w:tcW w:w="0" w:type="auto"/>
            <w:vMerge/>
            <w:shd w:val="clear" w:color="auto" w:fill="FFFFFF"/>
            <w:tcMar>
              <w:top w:w="20" w:type="dxa"/>
              <w:bottom w:w="20" w:type="dxa"/>
            </w:tcMar>
            <w:vAlign w:val="center"/>
          </w:tcPr>
          <w:p w:rsidR="00BD3B5F" w:rsidRPr="005C3B55" w:rsidRDefault="00BD3B5F">
            <w:pPr>
              <w:spacing w:before="20" w:after="20"/>
              <w:jc w:val="center"/>
              <w:rPr>
                <w:sz w:val="16"/>
                <w:szCs w:val="24"/>
              </w:rPr>
            </w:pPr>
          </w:p>
        </w:tc>
      </w:tr>
      <w:tr w:rsidR="00BD3B5F" w:rsidRPr="005C3B55">
        <w:trPr>
          <w:trHeight w:val="225"/>
        </w:trPr>
        <w:tc>
          <w:tcPr>
            <w:tcW w:w="906" w:type="dxa"/>
            <w:vMerge w:val="restart"/>
            <w:shd w:val="clear" w:color="auto" w:fill="FFFFFF"/>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4C (agri)</w:t>
            </w:r>
          </w:p>
        </w:tc>
        <w:tc>
          <w:tcPr>
            <w:tcW w:w="5714" w:type="dxa"/>
            <w:vMerge w:val="restart"/>
            <w:shd w:val="clear" w:color="auto" w:fill="FFFFFF"/>
            <w:tcMar>
              <w:top w:w="20" w:type="dxa"/>
              <w:bottom w:w="20" w:type="dxa"/>
            </w:tcMar>
            <w:vAlign w:val="center"/>
          </w:tcPr>
          <w:p w:rsidR="00BD3B5F" w:rsidRPr="005C3B55" w:rsidRDefault="00BD3B5F">
            <w:pPr>
              <w:spacing w:before="20" w:after="20"/>
              <w:jc w:val="left"/>
              <w:rPr>
                <w:szCs w:val="24"/>
              </w:rPr>
            </w:pPr>
            <w:r w:rsidRPr="005C3B55">
              <w:rPr>
                <w:noProof/>
                <w:sz w:val="16"/>
                <w:szCs w:val="24"/>
              </w:rPr>
              <w:t>T12:</w:t>
            </w:r>
            <w:r w:rsidRPr="005C3B55">
              <w:rPr>
                <w:sz w:val="16"/>
                <w:szCs w:val="24"/>
              </w:rPr>
              <w:t xml:space="preserve"> Percentage of agricultural land for which management contracts on the improvement of soil management and/or prevention of soil erosion have been signed (focus area 4C)</w:t>
            </w:r>
          </w:p>
        </w:tc>
        <w:tc>
          <w:tcPr>
            <w:tcW w:w="1077" w:type="dxa"/>
            <w:vMerge w:val="restart"/>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27.23%</w:t>
            </w:r>
          </w:p>
        </w:tc>
        <w:tc>
          <w:tcPr>
            <w:tcW w:w="0" w:type="auto"/>
            <w:vMerge/>
            <w:shd w:val="clear" w:color="auto" w:fill="FFFFFF"/>
            <w:tcMar>
              <w:top w:w="20" w:type="dxa"/>
              <w:bottom w:w="20" w:type="dxa"/>
            </w:tcMar>
            <w:vAlign w:val="center"/>
          </w:tcPr>
          <w:p w:rsidR="00BD3B5F" w:rsidRPr="005C3B55" w:rsidRDefault="00BD3B5F">
            <w:pPr>
              <w:spacing w:before="20" w:after="20"/>
              <w:jc w:val="right"/>
              <w:rPr>
                <w:sz w:val="16"/>
                <w:szCs w:val="24"/>
              </w:rPr>
            </w:pPr>
          </w:p>
        </w:tc>
        <w:tc>
          <w:tcPr>
            <w:tcW w:w="0" w:type="auto"/>
            <w:vMerge/>
            <w:shd w:val="clear" w:color="auto" w:fill="FFFFFF"/>
            <w:tcMar>
              <w:top w:w="20" w:type="dxa"/>
              <w:bottom w:w="20" w:type="dxa"/>
            </w:tcMar>
            <w:vAlign w:val="center"/>
          </w:tcPr>
          <w:p w:rsidR="00BD3B5F" w:rsidRPr="005C3B55" w:rsidRDefault="00BD3B5F">
            <w:pPr>
              <w:spacing w:before="20" w:after="20"/>
              <w:jc w:val="center"/>
              <w:rPr>
                <w:sz w:val="16"/>
                <w:szCs w:val="24"/>
              </w:rPr>
            </w:pPr>
          </w:p>
        </w:tc>
      </w:tr>
      <w:tr w:rsidR="00BD3B5F" w:rsidRPr="005C3B55">
        <w:trPr>
          <w:trHeight w:val="225"/>
        </w:trPr>
        <w:tc>
          <w:tcPr>
            <w:tcW w:w="906" w:type="dxa"/>
            <w:vMerge w:val="restart"/>
            <w:shd w:val="clear" w:color="auto" w:fill="FFFFFF"/>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4A (forestry)</w:t>
            </w:r>
          </w:p>
        </w:tc>
        <w:tc>
          <w:tcPr>
            <w:tcW w:w="5714" w:type="dxa"/>
            <w:vMerge w:val="restart"/>
            <w:shd w:val="clear" w:color="auto" w:fill="FFFFFF"/>
            <w:tcMar>
              <w:top w:w="20" w:type="dxa"/>
              <w:bottom w:w="20" w:type="dxa"/>
            </w:tcMar>
            <w:vAlign w:val="center"/>
          </w:tcPr>
          <w:p w:rsidR="00BD3B5F" w:rsidRPr="005C3B55" w:rsidRDefault="00BD3B5F">
            <w:pPr>
              <w:spacing w:before="20" w:after="20"/>
              <w:jc w:val="left"/>
              <w:rPr>
                <w:sz w:val="16"/>
                <w:szCs w:val="24"/>
              </w:rPr>
            </w:pPr>
          </w:p>
        </w:tc>
        <w:tc>
          <w:tcPr>
            <w:tcW w:w="1077" w:type="dxa"/>
            <w:vMerge w:val="restart"/>
            <w:shd w:val="clear" w:color="auto" w:fill="FFFFFF"/>
            <w:tcMar>
              <w:top w:w="20" w:type="dxa"/>
              <w:bottom w:w="20" w:type="dxa"/>
            </w:tcMar>
            <w:vAlign w:val="center"/>
          </w:tcPr>
          <w:p w:rsidR="00BD3B5F" w:rsidRPr="005C3B55" w:rsidRDefault="00BD3B5F">
            <w:pPr>
              <w:spacing w:before="20" w:after="20"/>
              <w:jc w:val="right"/>
              <w:rPr>
                <w:sz w:val="16"/>
                <w:szCs w:val="24"/>
              </w:rPr>
            </w:pPr>
          </w:p>
        </w:tc>
        <w:tc>
          <w:tcPr>
            <w:tcW w:w="1271" w:type="dxa"/>
            <w:vMerge w:val="restart"/>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20,454,400.00</w:t>
            </w:r>
          </w:p>
        </w:tc>
        <w:tc>
          <w:tcPr>
            <w:tcW w:w="1688" w:type="dxa"/>
            <w:vMerge w:val="restart"/>
            <w:shd w:val="clear" w:color="auto" w:fill="FFFFFF"/>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M08</w:t>
            </w:r>
          </w:p>
        </w:tc>
      </w:tr>
      <w:tr w:rsidR="00BD3B5F" w:rsidRPr="005C3B55">
        <w:tc>
          <w:tcPr>
            <w:tcW w:w="906" w:type="dxa"/>
            <w:vMerge w:val="restart"/>
            <w:shd w:val="clear" w:color="auto" w:fill="FFFFFF"/>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4B (forestry)</w:t>
            </w:r>
          </w:p>
        </w:tc>
        <w:tc>
          <w:tcPr>
            <w:tcW w:w="5714" w:type="dxa"/>
            <w:shd w:val="clear" w:color="auto" w:fill="FFFFFF"/>
            <w:tcMar>
              <w:top w:w="20" w:type="dxa"/>
              <w:bottom w:w="20" w:type="dxa"/>
            </w:tcMar>
            <w:vAlign w:val="center"/>
          </w:tcPr>
          <w:p w:rsidR="00BD3B5F" w:rsidRPr="005C3B55" w:rsidRDefault="00BD3B5F">
            <w:pPr>
              <w:spacing w:before="20" w:after="20"/>
              <w:jc w:val="left"/>
              <w:rPr>
                <w:sz w:val="16"/>
                <w:szCs w:val="24"/>
              </w:rPr>
            </w:pPr>
          </w:p>
        </w:tc>
        <w:tc>
          <w:tcPr>
            <w:tcW w:w="1077" w:type="dxa"/>
            <w:shd w:val="clear" w:color="auto" w:fill="FFFFFF"/>
            <w:tcMar>
              <w:top w:w="20" w:type="dxa"/>
              <w:bottom w:w="20" w:type="dxa"/>
            </w:tcMar>
            <w:vAlign w:val="center"/>
          </w:tcPr>
          <w:p w:rsidR="00BD3B5F" w:rsidRPr="005C3B55" w:rsidRDefault="00BD3B5F">
            <w:pPr>
              <w:spacing w:before="20" w:after="20"/>
              <w:jc w:val="right"/>
              <w:rPr>
                <w:sz w:val="16"/>
                <w:szCs w:val="24"/>
              </w:rPr>
            </w:pPr>
          </w:p>
        </w:tc>
        <w:tc>
          <w:tcPr>
            <w:tcW w:w="0" w:type="auto"/>
            <w:vMerge/>
            <w:shd w:val="clear" w:color="auto" w:fill="FFFFFF"/>
            <w:tcMar>
              <w:top w:w="20" w:type="dxa"/>
              <w:bottom w:w="20" w:type="dxa"/>
            </w:tcMar>
            <w:vAlign w:val="center"/>
          </w:tcPr>
          <w:p w:rsidR="00BD3B5F" w:rsidRPr="005C3B55" w:rsidRDefault="00BD3B5F">
            <w:pPr>
              <w:spacing w:before="20" w:after="20"/>
              <w:jc w:val="right"/>
              <w:rPr>
                <w:sz w:val="16"/>
                <w:szCs w:val="24"/>
              </w:rPr>
            </w:pPr>
          </w:p>
        </w:tc>
        <w:tc>
          <w:tcPr>
            <w:tcW w:w="0" w:type="auto"/>
            <w:vMerge/>
            <w:shd w:val="clear" w:color="auto" w:fill="FFFFFF"/>
            <w:tcMar>
              <w:top w:w="20" w:type="dxa"/>
              <w:bottom w:w="20" w:type="dxa"/>
            </w:tcMar>
            <w:vAlign w:val="center"/>
          </w:tcPr>
          <w:p w:rsidR="00BD3B5F" w:rsidRPr="005C3B55" w:rsidRDefault="00BD3B5F">
            <w:pPr>
              <w:spacing w:before="20" w:after="20"/>
              <w:jc w:val="center"/>
              <w:rPr>
                <w:sz w:val="16"/>
                <w:szCs w:val="24"/>
              </w:rPr>
            </w:pPr>
          </w:p>
        </w:tc>
      </w:tr>
      <w:tr w:rsidR="00BD3B5F" w:rsidRPr="005C3B55">
        <w:tc>
          <w:tcPr>
            <w:tcW w:w="906" w:type="dxa"/>
            <w:vMerge w:val="restart"/>
            <w:shd w:val="clear" w:color="auto" w:fill="FFFFFF"/>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4C (forestry)</w:t>
            </w:r>
          </w:p>
        </w:tc>
        <w:tc>
          <w:tcPr>
            <w:tcW w:w="5714" w:type="dxa"/>
            <w:shd w:val="clear" w:color="auto" w:fill="FFFFFF"/>
            <w:tcMar>
              <w:top w:w="20" w:type="dxa"/>
              <w:bottom w:w="20" w:type="dxa"/>
            </w:tcMar>
            <w:vAlign w:val="center"/>
          </w:tcPr>
          <w:p w:rsidR="00BD3B5F" w:rsidRPr="005C3B55" w:rsidRDefault="00BD3B5F">
            <w:pPr>
              <w:spacing w:before="20" w:after="20"/>
              <w:jc w:val="left"/>
              <w:rPr>
                <w:sz w:val="16"/>
                <w:szCs w:val="24"/>
              </w:rPr>
            </w:pPr>
          </w:p>
        </w:tc>
        <w:tc>
          <w:tcPr>
            <w:tcW w:w="1077" w:type="dxa"/>
            <w:shd w:val="clear" w:color="auto" w:fill="FFFFFF"/>
            <w:tcMar>
              <w:top w:w="20" w:type="dxa"/>
              <w:bottom w:w="20" w:type="dxa"/>
            </w:tcMar>
            <w:vAlign w:val="center"/>
          </w:tcPr>
          <w:p w:rsidR="00BD3B5F" w:rsidRPr="005C3B55" w:rsidRDefault="00BD3B5F">
            <w:pPr>
              <w:spacing w:before="20" w:after="20"/>
              <w:jc w:val="right"/>
              <w:rPr>
                <w:sz w:val="16"/>
                <w:szCs w:val="24"/>
              </w:rPr>
            </w:pPr>
          </w:p>
        </w:tc>
        <w:tc>
          <w:tcPr>
            <w:tcW w:w="0" w:type="auto"/>
            <w:vMerge/>
            <w:shd w:val="clear" w:color="auto" w:fill="FFFFFF"/>
            <w:tcMar>
              <w:top w:w="20" w:type="dxa"/>
              <w:bottom w:w="20" w:type="dxa"/>
            </w:tcMar>
            <w:vAlign w:val="center"/>
          </w:tcPr>
          <w:p w:rsidR="00BD3B5F" w:rsidRPr="005C3B55" w:rsidRDefault="00BD3B5F">
            <w:pPr>
              <w:spacing w:before="20" w:after="20"/>
              <w:jc w:val="right"/>
              <w:rPr>
                <w:sz w:val="16"/>
                <w:szCs w:val="24"/>
              </w:rPr>
            </w:pPr>
          </w:p>
        </w:tc>
        <w:tc>
          <w:tcPr>
            <w:tcW w:w="0" w:type="auto"/>
            <w:vMerge/>
            <w:shd w:val="clear" w:color="auto" w:fill="FFFFFF"/>
            <w:tcMar>
              <w:top w:w="20" w:type="dxa"/>
              <w:bottom w:w="20" w:type="dxa"/>
            </w:tcMar>
            <w:vAlign w:val="center"/>
          </w:tcPr>
          <w:p w:rsidR="00BD3B5F" w:rsidRPr="005C3B55" w:rsidRDefault="00BD3B5F">
            <w:pPr>
              <w:spacing w:before="20" w:after="20"/>
              <w:jc w:val="center"/>
              <w:rPr>
                <w:sz w:val="16"/>
                <w:szCs w:val="24"/>
              </w:rPr>
            </w:pPr>
          </w:p>
        </w:tc>
      </w:tr>
      <w:tr w:rsidR="00BD3B5F" w:rsidRPr="005C3B55">
        <w:trPr>
          <w:trHeight w:val="250"/>
        </w:trPr>
        <w:tc>
          <w:tcPr>
            <w:tcW w:w="10656" w:type="dxa"/>
            <w:gridSpan w:val="5"/>
            <w:vMerge w:val="restart"/>
            <w:shd w:val="clear" w:color="auto" w:fill="808080"/>
            <w:tcMar>
              <w:top w:w="20" w:type="dxa"/>
              <w:bottom w:w="20" w:type="dxa"/>
            </w:tcMar>
            <w:vAlign w:val="center"/>
          </w:tcPr>
          <w:p w:rsidR="00BD3B5F" w:rsidRPr="005C3B55" w:rsidRDefault="00BD3B5F">
            <w:pPr>
              <w:spacing w:before="20" w:after="20"/>
              <w:jc w:val="left"/>
              <w:rPr>
                <w:b/>
                <w:sz w:val="20"/>
                <w:szCs w:val="24"/>
              </w:rPr>
            </w:pPr>
            <w:r w:rsidRPr="005C3B55">
              <w:rPr>
                <w:b/>
                <w:noProof/>
                <w:sz w:val="20"/>
                <w:szCs w:val="24"/>
              </w:rPr>
              <w:t>Priority 6</w:t>
            </w:r>
          </w:p>
        </w:tc>
      </w:tr>
      <w:tr w:rsidR="00BD3B5F" w:rsidRPr="005C3B55">
        <w:trPr>
          <w:trHeight w:val="225"/>
        </w:trPr>
        <w:tc>
          <w:tcPr>
            <w:tcW w:w="906" w:type="dxa"/>
            <w:vMerge w:val="restart"/>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Focus area</w:t>
            </w:r>
          </w:p>
        </w:tc>
        <w:tc>
          <w:tcPr>
            <w:tcW w:w="5714" w:type="dxa"/>
            <w:vMerge w:val="restart"/>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Description of target indicator</w:t>
            </w:r>
          </w:p>
        </w:tc>
        <w:tc>
          <w:tcPr>
            <w:tcW w:w="1077" w:type="dxa"/>
            <w:vMerge w:val="restart"/>
            <w:shd w:val="clear" w:color="auto" w:fill="C0C0C0"/>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Target value for 2023</w:t>
            </w:r>
          </w:p>
        </w:tc>
        <w:tc>
          <w:tcPr>
            <w:tcW w:w="1271" w:type="dxa"/>
            <w:vMerge w:val="restart"/>
            <w:shd w:val="clear" w:color="auto" w:fill="C0C0C0"/>
            <w:tcMar>
              <w:top w:w="20" w:type="dxa"/>
              <w:bottom w:w="20" w:type="dxa"/>
            </w:tcMar>
            <w:vAlign w:val="center"/>
          </w:tcPr>
          <w:p w:rsidR="00BD3B5F" w:rsidRPr="005C3B55" w:rsidRDefault="00BD3B5F">
            <w:pPr>
              <w:spacing w:before="20" w:after="20"/>
              <w:jc w:val="center"/>
              <w:rPr>
                <w:szCs w:val="24"/>
              </w:rPr>
            </w:pPr>
            <w:r w:rsidRPr="005C3B55">
              <w:rPr>
                <w:sz w:val="16"/>
                <w:szCs w:val="24"/>
              </w:rPr>
              <w:t>Expenses planned</w:t>
            </w:r>
          </w:p>
        </w:tc>
        <w:tc>
          <w:tcPr>
            <w:tcW w:w="1688" w:type="dxa"/>
            <w:vMerge w:val="restart"/>
            <w:shd w:val="clear" w:color="auto" w:fill="C0C0C0"/>
            <w:tcMar>
              <w:top w:w="20" w:type="dxa"/>
              <w:bottom w:w="20" w:type="dxa"/>
            </w:tcMar>
            <w:vAlign w:val="center"/>
          </w:tcPr>
          <w:p w:rsidR="00BD3B5F" w:rsidRPr="005C3B55" w:rsidRDefault="00BD3B5F">
            <w:pPr>
              <w:spacing w:before="20" w:after="20"/>
              <w:jc w:val="center"/>
              <w:rPr>
                <w:szCs w:val="24"/>
              </w:rPr>
            </w:pPr>
            <w:r w:rsidRPr="005C3B55">
              <w:rPr>
                <w:sz w:val="16"/>
                <w:szCs w:val="24"/>
              </w:rPr>
              <w:t>Combination of measures</w:t>
            </w:r>
          </w:p>
        </w:tc>
      </w:tr>
      <w:tr w:rsidR="00BD3B5F" w:rsidRPr="005C3B55">
        <w:trPr>
          <w:trHeight w:val="225"/>
        </w:trPr>
        <w:tc>
          <w:tcPr>
            <w:tcW w:w="906" w:type="dxa"/>
            <w:vMerge w:val="restart"/>
            <w:shd w:val="clear" w:color="auto" w:fill="FFFFFF"/>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6A</w:t>
            </w:r>
          </w:p>
        </w:tc>
        <w:tc>
          <w:tcPr>
            <w:tcW w:w="5714" w:type="dxa"/>
            <w:vMerge w:val="restart"/>
            <w:shd w:val="clear" w:color="auto" w:fill="FFFFFF"/>
            <w:tcMar>
              <w:top w:w="20" w:type="dxa"/>
              <w:bottom w:w="20" w:type="dxa"/>
            </w:tcMar>
            <w:vAlign w:val="center"/>
          </w:tcPr>
          <w:p w:rsidR="00BD3B5F" w:rsidRPr="005C3B55" w:rsidRDefault="00BD3B5F">
            <w:pPr>
              <w:spacing w:before="20" w:after="20"/>
              <w:jc w:val="left"/>
              <w:rPr>
                <w:szCs w:val="24"/>
              </w:rPr>
            </w:pPr>
            <w:r w:rsidRPr="005C3B55">
              <w:rPr>
                <w:noProof/>
                <w:sz w:val="16"/>
                <w:szCs w:val="24"/>
              </w:rPr>
              <w:t>T20:</w:t>
            </w:r>
            <w:r w:rsidRPr="005C3B55">
              <w:rPr>
                <w:sz w:val="16"/>
                <w:szCs w:val="24"/>
              </w:rPr>
              <w:t xml:space="preserve"> Jobs created by supported projects (focus area 6A)</w:t>
            </w:r>
          </w:p>
        </w:tc>
        <w:tc>
          <w:tcPr>
            <w:tcW w:w="1077" w:type="dxa"/>
            <w:vMerge w:val="restart"/>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500.00</w:t>
            </w:r>
          </w:p>
        </w:tc>
        <w:tc>
          <w:tcPr>
            <w:tcW w:w="1271" w:type="dxa"/>
            <w:vMerge w:val="restart"/>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105,625,937.50</w:t>
            </w:r>
          </w:p>
        </w:tc>
        <w:tc>
          <w:tcPr>
            <w:tcW w:w="1688" w:type="dxa"/>
            <w:vMerge w:val="restart"/>
            <w:shd w:val="clear" w:color="auto" w:fill="FFFFFF"/>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M06, M08, M16</w:t>
            </w:r>
          </w:p>
        </w:tc>
      </w:tr>
      <w:tr w:rsidR="00BD3B5F" w:rsidRPr="005C3B55">
        <w:trPr>
          <w:trHeight w:val="225"/>
        </w:trPr>
        <w:tc>
          <w:tcPr>
            <w:tcW w:w="906" w:type="dxa"/>
            <w:vMerge w:val="restart"/>
            <w:shd w:val="clear" w:color="auto" w:fill="FFFFFF"/>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6B</w:t>
            </w:r>
          </w:p>
        </w:tc>
        <w:tc>
          <w:tcPr>
            <w:tcW w:w="5714" w:type="dxa"/>
            <w:vMerge w:val="restart"/>
            <w:shd w:val="clear" w:color="auto" w:fill="FFFFFF"/>
            <w:tcMar>
              <w:top w:w="20" w:type="dxa"/>
              <w:bottom w:w="20" w:type="dxa"/>
            </w:tcMar>
            <w:vAlign w:val="center"/>
          </w:tcPr>
          <w:p w:rsidR="00BD3B5F" w:rsidRPr="005C3B55" w:rsidRDefault="00BD3B5F">
            <w:pPr>
              <w:spacing w:before="20" w:after="20"/>
              <w:jc w:val="left"/>
              <w:rPr>
                <w:szCs w:val="24"/>
              </w:rPr>
            </w:pPr>
            <w:r w:rsidRPr="005C3B55">
              <w:rPr>
                <w:noProof/>
                <w:sz w:val="16"/>
                <w:szCs w:val="24"/>
              </w:rPr>
              <w:t>T21:</w:t>
            </w:r>
            <w:r w:rsidRPr="005C3B55">
              <w:rPr>
                <w:sz w:val="16"/>
                <w:szCs w:val="24"/>
              </w:rPr>
              <w:t xml:space="preserve"> Percentage of rural population included in strategies of local development (focus area 6B)</w:t>
            </w:r>
          </w:p>
        </w:tc>
        <w:tc>
          <w:tcPr>
            <w:tcW w:w="1077" w:type="dxa"/>
            <w:vMerge w:val="restart"/>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65.57%</w:t>
            </w:r>
          </w:p>
        </w:tc>
        <w:tc>
          <w:tcPr>
            <w:tcW w:w="1271" w:type="dxa"/>
            <w:vMerge w:val="restart"/>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52,365,613.75</w:t>
            </w:r>
          </w:p>
        </w:tc>
        <w:tc>
          <w:tcPr>
            <w:tcW w:w="1688" w:type="dxa"/>
            <w:vMerge w:val="restart"/>
            <w:shd w:val="clear" w:color="auto" w:fill="FFFFFF"/>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M19</w:t>
            </w:r>
          </w:p>
        </w:tc>
      </w:tr>
      <w:tr w:rsidR="00BD3B5F" w:rsidRPr="005C3B55">
        <w:trPr>
          <w:trHeight w:val="240"/>
        </w:trPr>
        <w:tc>
          <w:tcPr>
            <w:tcW w:w="0" w:type="auto"/>
            <w:vMerge/>
            <w:shd w:val="clear" w:color="auto" w:fill="FFFFFF"/>
            <w:tcMar>
              <w:top w:w="20" w:type="dxa"/>
              <w:bottom w:w="20" w:type="dxa"/>
            </w:tcMar>
            <w:vAlign w:val="center"/>
          </w:tcPr>
          <w:p w:rsidR="00BD3B5F" w:rsidRPr="005C3B55" w:rsidRDefault="00BD3B5F">
            <w:pPr>
              <w:spacing w:before="20" w:after="20"/>
              <w:jc w:val="center"/>
              <w:rPr>
                <w:sz w:val="16"/>
                <w:szCs w:val="24"/>
              </w:rPr>
            </w:pPr>
          </w:p>
        </w:tc>
        <w:tc>
          <w:tcPr>
            <w:tcW w:w="5714" w:type="dxa"/>
            <w:vMerge w:val="restart"/>
            <w:shd w:val="clear" w:color="auto" w:fill="FFFFFF"/>
            <w:tcMar>
              <w:top w:w="20" w:type="dxa"/>
              <w:bottom w:w="20" w:type="dxa"/>
            </w:tcMar>
            <w:vAlign w:val="center"/>
          </w:tcPr>
          <w:p w:rsidR="00BD3B5F" w:rsidRPr="005C3B55" w:rsidRDefault="00BD3B5F">
            <w:pPr>
              <w:spacing w:before="20" w:after="20"/>
              <w:jc w:val="left"/>
              <w:rPr>
                <w:szCs w:val="24"/>
              </w:rPr>
            </w:pPr>
            <w:r w:rsidRPr="005C3B55">
              <w:rPr>
                <w:noProof/>
                <w:sz w:val="16"/>
                <w:szCs w:val="24"/>
              </w:rPr>
              <w:t>T22:</w:t>
            </w:r>
            <w:r w:rsidRPr="005C3B55">
              <w:rPr>
                <w:sz w:val="16"/>
                <w:szCs w:val="24"/>
              </w:rPr>
              <w:t xml:space="preserve"> Per cent of rural population receiving improved services/infrastructure (focus area 6B)</w:t>
            </w:r>
          </w:p>
        </w:tc>
        <w:tc>
          <w:tcPr>
            <w:tcW w:w="1077" w:type="dxa"/>
            <w:vMerge w:val="restart"/>
            <w:shd w:val="clear" w:color="auto" w:fill="FFFFFF"/>
            <w:tcMar>
              <w:top w:w="20" w:type="dxa"/>
              <w:bottom w:w="20" w:type="dxa"/>
            </w:tcMar>
            <w:vAlign w:val="center"/>
          </w:tcPr>
          <w:p w:rsidR="00BD3B5F" w:rsidRPr="005C3B55" w:rsidRDefault="00BD3B5F">
            <w:pPr>
              <w:spacing w:before="20" w:after="20"/>
              <w:jc w:val="right"/>
              <w:rPr>
                <w:sz w:val="16"/>
                <w:szCs w:val="24"/>
              </w:rPr>
            </w:pPr>
          </w:p>
        </w:tc>
        <w:tc>
          <w:tcPr>
            <w:tcW w:w="0" w:type="auto"/>
            <w:vMerge/>
            <w:shd w:val="clear" w:color="auto" w:fill="FFFFFF"/>
            <w:tcMar>
              <w:top w:w="20" w:type="dxa"/>
              <w:bottom w:w="20" w:type="dxa"/>
            </w:tcMar>
            <w:vAlign w:val="center"/>
          </w:tcPr>
          <w:p w:rsidR="00BD3B5F" w:rsidRPr="005C3B55" w:rsidRDefault="00BD3B5F">
            <w:pPr>
              <w:spacing w:before="20" w:after="20"/>
              <w:jc w:val="right"/>
              <w:rPr>
                <w:sz w:val="16"/>
                <w:szCs w:val="24"/>
              </w:rPr>
            </w:pPr>
          </w:p>
        </w:tc>
        <w:tc>
          <w:tcPr>
            <w:tcW w:w="0" w:type="auto"/>
            <w:vMerge/>
            <w:shd w:val="clear" w:color="auto" w:fill="FFFFFF"/>
            <w:tcMar>
              <w:top w:w="20" w:type="dxa"/>
              <w:bottom w:w="20" w:type="dxa"/>
            </w:tcMar>
            <w:vAlign w:val="center"/>
          </w:tcPr>
          <w:p w:rsidR="00BD3B5F" w:rsidRPr="005C3B55" w:rsidRDefault="00BD3B5F">
            <w:pPr>
              <w:spacing w:before="20" w:after="20"/>
              <w:jc w:val="center"/>
              <w:rPr>
                <w:sz w:val="16"/>
                <w:szCs w:val="24"/>
              </w:rPr>
            </w:pPr>
          </w:p>
        </w:tc>
      </w:tr>
      <w:tr w:rsidR="00BD3B5F" w:rsidRPr="005C3B55">
        <w:tc>
          <w:tcPr>
            <w:tcW w:w="0" w:type="auto"/>
            <w:vMerge/>
            <w:shd w:val="clear" w:color="auto" w:fill="FFFFFF"/>
            <w:tcMar>
              <w:top w:w="20" w:type="dxa"/>
              <w:bottom w:w="20" w:type="dxa"/>
            </w:tcMar>
            <w:vAlign w:val="center"/>
          </w:tcPr>
          <w:p w:rsidR="00BD3B5F" w:rsidRPr="005C3B55" w:rsidRDefault="00BD3B5F">
            <w:pPr>
              <w:spacing w:before="20" w:after="20"/>
              <w:jc w:val="center"/>
              <w:rPr>
                <w:sz w:val="16"/>
                <w:szCs w:val="24"/>
              </w:rPr>
            </w:pPr>
          </w:p>
        </w:tc>
        <w:tc>
          <w:tcPr>
            <w:tcW w:w="5714" w:type="dxa"/>
            <w:shd w:val="clear" w:color="auto" w:fill="FFFFFF"/>
            <w:tcMar>
              <w:top w:w="20" w:type="dxa"/>
              <w:bottom w:w="20" w:type="dxa"/>
            </w:tcMar>
            <w:vAlign w:val="center"/>
          </w:tcPr>
          <w:p w:rsidR="00BD3B5F" w:rsidRPr="005C3B55" w:rsidRDefault="00BD3B5F">
            <w:pPr>
              <w:spacing w:before="20" w:after="20"/>
              <w:jc w:val="left"/>
              <w:rPr>
                <w:szCs w:val="24"/>
              </w:rPr>
            </w:pPr>
            <w:r w:rsidRPr="005C3B55">
              <w:rPr>
                <w:noProof/>
                <w:sz w:val="16"/>
                <w:szCs w:val="24"/>
              </w:rPr>
              <w:t>T23:</w:t>
            </w:r>
            <w:r w:rsidRPr="005C3B55">
              <w:rPr>
                <w:sz w:val="16"/>
                <w:szCs w:val="24"/>
              </w:rPr>
              <w:t xml:space="preserve"> Jobs created by supported projects (Leader) (focus area 6B)</w:t>
            </w:r>
          </w:p>
        </w:tc>
        <w:tc>
          <w:tcPr>
            <w:tcW w:w="1077"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66.00</w:t>
            </w:r>
          </w:p>
        </w:tc>
        <w:tc>
          <w:tcPr>
            <w:tcW w:w="0" w:type="auto"/>
            <w:vMerge/>
            <w:shd w:val="clear" w:color="auto" w:fill="FFFFFF"/>
            <w:tcMar>
              <w:top w:w="20" w:type="dxa"/>
              <w:bottom w:w="20" w:type="dxa"/>
            </w:tcMar>
            <w:vAlign w:val="center"/>
          </w:tcPr>
          <w:p w:rsidR="00BD3B5F" w:rsidRPr="005C3B55" w:rsidRDefault="00BD3B5F">
            <w:pPr>
              <w:spacing w:before="20" w:after="20"/>
              <w:jc w:val="right"/>
              <w:rPr>
                <w:sz w:val="16"/>
                <w:szCs w:val="24"/>
              </w:rPr>
            </w:pPr>
          </w:p>
        </w:tc>
        <w:tc>
          <w:tcPr>
            <w:tcW w:w="0" w:type="auto"/>
            <w:vMerge/>
            <w:shd w:val="clear" w:color="auto" w:fill="FFFFFF"/>
            <w:tcMar>
              <w:top w:w="20" w:type="dxa"/>
              <w:bottom w:w="20" w:type="dxa"/>
            </w:tcMar>
            <w:vAlign w:val="center"/>
          </w:tcPr>
          <w:p w:rsidR="00BD3B5F" w:rsidRPr="005C3B55" w:rsidRDefault="00BD3B5F">
            <w:pPr>
              <w:spacing w:before="20" w:after="20"/>
              <w:jc w:val="center"/>
              <w:rPr>
                <w:sz w:val="16"/>
                <w:szCs w:val="24"/>
              </w:rPr>
            </w:pPr>
          </w:p>
        </w:tc>
      </w:tr>
      <w:tr w:rsidR="00BD3B5F" w:rsidRPr="005C3B55">
        <w:tc>
          <w:tcPr>
            <w:tcW w:w="906" w:type="dxa"/>
            <w:shd w:val="clear" w:color="auto" w:fill="FFFFFF"/>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6C</w:t>
            </w:r>
          </w:p>
        </w:tc>
        <w:tc>
          <w:tcPr>
            <w:tcW w:w="5714" w:type="dxa"/>
            <w:shd w:val="clear" w:color="auto" w:fill="FFFFFF"/>
            <w:tcMar>
              <w:top w:w="20" w:type="dxa"/>
              <w:bottom w:w="20" w:type="dxa"/>
            </w:tcMar>
            <w:vAlign w:val="center"/>
          </w:tcPr>
          <w:p w:rsidR="00BD3B5F" w:rsidRPr="005C3B55" w:rsidRDefault="00BD3B5F">
            <w:pPr>
              <w:spacing w:before="20" w:after="20"/>
              <w:jc w:val="left"/>
              <w:rPr>
                <w:szCs w:val="24"/>
              </w:rPr>
            </w:pPr>
            <w:r w:rsidRPr="005C3B55">
              <w:rPr>
                <w:noProof/>
                <w:sz w:val="16"/>
                <w:szCs w:val="24"/>
              </w:rPr>
              <w:t>T24:</w:t>
            </w:r>
            <w:r w:rsidRPr="005C3B55">
              <w:rPr>
                <w:sz w:val="16"/>
                <w:szCs w:val="24"/>
              </w:rPr>
              <w:t xml:space="preserve"> Percentage of rural population receiving improved services/infrastructure (ICT) (focus area 6C)</w:t>
            </w:r>
          </w:p>
        </w:tc>
        <w:tc>
          <w:tcPr>
            <w:tcW w:w="1077"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1.70%</w:t>
            </w:r>
          </w:p>
        </w:tc>
        <w:tc>
          <w:tcPr>
            <w:tcW w:w="1271" w:type="dxa"/>
            <w:shd w:val="clear" w:color="auto" w:fill="FFFFFF"/>
            <w:tcMar>
              <w:top w:w="20" w:type="dxa"/>
              <w:bottom w:w="20" w:type="dxa"/>
            </w:tcMar>
            <w:vAlign w:val="center"/>
          </w:tcPr>
          <w:p w:rsidR="00BD3B5F" w:rsidRPr="005C3B55" w:rsidRDefault="00BD3B5F">
            <w:pPr>
              <w:spacing w:before="20" w:after="20"/>
              <w:jc w:val="right"/>
              <w:rPr>
                <w:sz w:val="16"/>
                <w:szCs w:val="24"/>
              </w:rPr>
            </w:pPr>
            <w:r w:rsidRPr="005C3B55">
              <w:rPr>
                <w:sz w:val="16"/>
                <w:szCs w:val="24"/>
              </w:rPr>
              <w:t>10,000,000.00</w:t>
            </w:r>
          </w:p>
        </w:tc>
        <w:tc>
          <w:tcPr>
            <w:tcW w:w="1688" w:type="dxa"/>
            <w:shd w:val="clear" w:color="auto" w:fill="FFFFFF"/>
            <w:tcMar>
              <w:top w:w="20" w:type="dxa"/>
              <w:bottom w:w="20" w:type="dxa"/>
            </w:tcMar>
            <w:vAlign w:val="center"/>
          </w:tcPr>
          <w:p w:rsidR="00BD3B5F" w:rsidRPr="005C3B55" w:rsidRDefault="00BD3B5F">
            <w:pPr>
              <w:spacing w:before="20" w:after="20"/>
              <w:jc w:val="center"/>
              <w:rPr>
                <w:sz w:val="16"/>
                <w:szCs w:val="24"/>
              </w:rPr>
            </w:pPr>
            <w:r w:rsidRPr="005C3B55">
              <w:rPr>
                <w:noProof/>
                <w:sz w:val="16"/>
                <w:szCs w:val="24"/>
              </w:rPr>
              <w:t>M07</w:t>
            </w:r>
          </w:p>
        </w:tc>
      </w:tr>
    </w:tbl>
    <w:p w:rsidR="00BD3B5F" w:rsidRPr="005C3B55" w:rsidRDefault="00BD3B5F">
      <w:pPr>
        <w:rPr>
          <w:sz w:val="20"/>
          <w:szCs w:val="24"/>
        </w:rPr>
        <w:sectPr w:rsidR="00BD3B5F" w:rsidRPr="005C3B55">
          <w:pgSz w:w="12240" w:h="15840"/>
          <w:pgMar w:top="900" w:right="900" w:bottom="900" w:left="900" w:header="708" w:footer="708" w:gutter="0"/>
          <w:cols w:space="708"/>
        </w:sectPr>
      </w:pPr>
    </w:p>
    <w:p w:rsidR="00BD3B5F" w:rsidRPr="005C3B55" w:rsidRDefault="00BD3B5F">
      <w:pPr>
        <w:pStyle w:val="Naslov2"/>
        <w:tabs>
          <w:tab w:val="clear" w:pos="765"/>
        </w:tabs>
        <w:ind w:left="0" w:firstLine="0"/>
        <w:rPr>
          <w:szCs w:val="24"/>
          <w:lang w:val="en-GB"/>
        </w:rPr>
      </w:pPr>
      <w:bookmarkStart w:id="94" w:name="_Toc416192552"/>
      <w:r w:rsidRPr="005C3B55">
        <w:rPr>
          <w:szCs w:val="24"/>
          <w:lang w:val="en-GB"/>
        </w:rPr>
        <w:t>Description of possibilities for advisory services in order to provide suitable advisory services and support for regulative requirements and activities relating to innovation to present measures adopted as per Article 8(1)(c)(vi) of Regulation (EU) No 1305/2013</w:t>
      </w:r>
      <w:bookmarkEnd w:id="94"/>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10656" w:type="dxa"/>
            <w:tcMar>
              <w:top w:w="20" w:type="dxa"/>
              <w:bottom w:w="20" w:type="dxa"/>
            </w:tcMar>
            <w:vAlign w:val="center"/>
          </w:tcPr>
          <w:p w:rsidR="00BD3B5F" w:rsidRPr="005C3B55" w:rsidRDefault="00BD3B5F">
            <w:pPr>
              <w:spacing w:before="0" w:after="240"/>
              <w:jc w:val="left"/>
              <w:rPr>
                <w:noProof/>
                <w:szCs w:val="24"/>
              </w:rPr>
            </w:pPr>
            <w:r w:rsidRPr="005C3B55">
              <w:rPr>
                <w:szCs w:val="24"/>
              </w:rPr>
              <w:t>In the field of suitable provision of advisory services, several public services operate in Slovenia which provide advice on agriculture and forestry.</w:t>
            </w:r>
            <w:r w:rsidRPr="005C3B55">
              <w:rPr>
                <w:noProof/>
                <w:szCs w:val="24"/>
              </w:rPr>
              <w:t xml:space="preserve"> </w:t>
            </w:r>
            <w:r w:rsidRPr="005C3B55">
              <w:rPr>
                <w:szCs w:val="24"/>
              </w:rPr>
              <w:t>These services were established pursuant to acts regulating agriculture and forests, and are mostly financed from the state budget.</w:t>
            </w:r>
            <w:r w:rsidRPr="005C3B55">
              <w:rPr>
                <w:noProof/>
                <w:szCs w:val="24"/>
              </w:rPr>
              <w:t xml:space="preserve"> </w:t>
            </w:r>
            <w:r w:rsidRPr="005C3B55">
              <w:rPr>
                <w:szCs w:val="24"/>
              </w:rPr>
              <w:t>In the field of agricultural policy implementation, the significance of the Agricultural Advisory Service (AAS) with its broad network of consultants throughout Slovenia should be especially highlighted.</w:t>
            </w:r>
            <w:r w:rsidRPr="005C3B55">
              <w:rPr>
                <w:noProof/>
                <w:szCs w:val="24"/>
              </w:rPr>
              <w:t xml:space="preserve"> </w:t>
            </w:r>
            <w:r w:rsidRPr="005C3B55">
              <w:rPr>
                <w:szCs w:val="24"/>
              </w:rPr>
              <w:t>The Service functions under the auspices of the Chamber of Agriculture and Forestry of Slovenia (CAFS).</w:t>
            </w:r>
          </w:p>
          <w:p w:rsidR="00BD3B5F" w:rsidRPr="005C3B55" w:rsidRDefault="00BD3B5F">
            <w:pPr>
              <w:spacing w:before="240" w:after="240"/>
              <w:jc w:val="left"/>
              <w:rPr>
                <w:noProof/>
                <w:szCs w:val="24"/>
              </w:rPr>
            </w:pPr>
            <w:r w:rsidRPr="005C3B55">
              <w:rPr>
                <w:szCs w:val="24"/>
              </w:rPr>
              <w:t>The fundamental tasks of JSKS are defined in legal instruments (Agriculture Act; Official Gazette of the Republic of Slovenia, no. 45/08 with all amendments and the Chamber of Agriculture and Forestry Act; Official Gazette of the Republic of Slovenia, no. 69/04 with all amendments) and are determined in more detail in the annual work programme approved by the Government of the Republic of Slovenia.</w:t>
            </w:r>
            <w:r w:rsidRPr="005C3B55">
              <w:rPr>
                <w:noProof/>
                <w:szCs w:val="24"/>
              </w:rPr>
              <w:t xml:space="preserve"> </w:t>
            </w:r>
            <w:r w:rsidRPr="005C3B55">
              <w:rPr>
                <w:szCs w:val="24"/>
              </w:rPr>
              <w:t>The tasks include advisory services regarding the technological, economic and environmental protection areas of agricultural activity; advisory services and assistance in the preparation of development plans for agricultural holdings; assistance with drawing on funds from agricultural policy measures; the organisation of expert events, and promotion and assistance in connecting and joining farmers; advisory services regarding agriculture and agriculture-related regulations; guiding the development of farm management and others.</w:t>
            </w:r>
          </w:p>
          <w:p w:rsidR="00BD3B5F" w:rsidRPr="005C3B55" w:rsidRDefault="00BD3B5F">
            <w:pPr>
              <w:spacing w:before="240" w:after="240"/>
              <w:jc w:val="left"/>
              <w:rPr>
                <w:noProof/>
                <w:szCs w:val="24"/>
              </w:rPr>
            </w:pPr>
            <w:r w:rsidRPr="005C3B55">
              <w:rPr>
                <w:szCs w:val="24"/>
              </w:rPr>
              <w:t>The AAS includes over 300 active agricultural advisers.</w:t>
            </w:r>
            <w:r w:rsidRPr="005C3B55">
              <w:rPr>
                <w:noProof/>
                <w:szCs w:val="24"/>
              </w:rPr>
              <w:t xml:space="preserve"> </w:t>
            </w:r>
            <w:r w:rsidRPr="005C3B55">
              <w:rPr>
                <w:szCs w:val="24"/>
              </w:rPr>
              <w:t>Due to its multi-branch network of advisers, the AAS has a very important role in providing support to farmers and other entities in fulfilling the requirements and obligations determined by the CAP legal framework.</w:t>
            </w:r>
            <w:r w:rsidRPr="005C3B55">
              <w:rPr>
                <w:noProof/>
                <w:szCs w:val="24"/>
              </w:rPr>
              <w:t xml:space="preserve"> </w:t>
            </w:r>
            <w:r w:rsidRPr="005C3B55">
              <w:rPr>
                <w:szCs w:val="24"/>
              </w:rPr>
              <w:t>Since the AAS is an intermediary between farmers and the research field, it is also an important element in knowledge and information transfer in agriculture. Therefore, it is seen as an important promoter of innovation transfer in agriculture in connection with the EIP.</w:t>
            </w:r>
          </w:p>
          <w:p w:rsidR="00BD3B5F" w:rsidRPr="005C3B55" w:rsidRDefault="00BD3B5F">
            <w:pPr>
              <w:spacing w:before="240" w:after="240"/>
              <w:jc w:val="left"/>
              <w:rPr>
                <w:noProof/>
                <w:szCs w:val="24"/>
              </w:rPr>
            </w:pPr>
            <w:r w:rsidRPr="005C3B55">
              <w:rPr>
                <w:szCs w:val="24"/>
              </w:rPr>
              <w:t>One of the key sets of AAS’s public tasks is ‘technological and environmental consulting and protection of production sources’ as defined in its annual work programme.</w:t>
            </w:r>
            <w:r w:rsidRPr="005C3B55">
              <w:rPr>
                <w:noProof/>
                <w:szCs w:val="24"/>
              </w:rPr>
              <w:t xml:space="preserve"> </w:t>
            </w:r>
            <w:r w:rsidRPr="005C3B55">
              <w:rPr>
                <w:szCs w:val="24"/>
              </w:rPr>
              <w:t>The task includes consulting and education relating to technological and environment protection fields of implementing agricultural activity and knowledge transfer directly to users and assistance in incorporating scientific and expert knowledge into practice.</w:t>
            </w:r>
            <w:r w:rsidRPr="005C3B55">
              <w:rPr>
                <w:noProof/>
                <w:szCs w:val="24"/>
              </w:rPr>
              <w:t xml:space="preserve"> </w:t>
            </w:r>
            <w:r w:rsidRPr="005C3B55">
              <w:rPr>
                <w:szCs w:val="24"/>
              </w:rPr>
              <w:t>The set also includes technological consulting, including adjusting to climate change, safety at work, protection of water sources, plant health protection etc.</w:t>
            </w:r>
            <w:r w:rsidRPr="005C3B55">
              <w:rPr>
                <w:noProof/>
                <w:szCs w:val="24"/>
              </w:rPr>
              <w:t xml:space="preserve"> </w:t>
            </w:r>
            <w:r w:rsidRPr="005C3B55">
              <w:rPr>
                <w:szCs w:val="24"/>
              </w:rPr>
              <w:t>The substantive section also accelerates the transfer of up-to-date knowledge and innovation into practice to achieve higher productivity and sustainability of agricultural holdings.</w:t>
            </w:r>
            <w:r w:rsidRPr="005C3B55">
              <w:rPr>
                <w:noProof/>
                <w:szCs w:val="24"/>
              </w:rPr>
              <w:t xml:space="preserve"> </w:t>
            </w:r>
            <w:r w:rsidRPr="005C3B55">
              <w:rPr>
                <w:szCs w:val="24"/>
              </w:rPr>
              <w:t>Advisory services on agri-environment content and regulatory requirements of cross-compliance are also implemented.</w:t>
            </w:r>
            <w:r w:rsidRPr="005C3B55">
              <w:rPr>
                <w:noProof/>
                <w:szCs w:val="24"/>
              </w:rPr>
              <w:t xml:space="preserve"> </w:t>
            </w:r>
            <w:r w:rsidRPr="005C3B55">
              <w:rPr>
                <w:szCs w:val="24"/>
              </w:rPr>
              <w:t>The education of farmers and advisers on the content and importance of cross-compliance, personal consulting at farms, informing on the changes to the cross-compliance system and preparation of suitable materials also take place within the field of cross-compliance.</w:t>
            </w:r>
            <w:r w:rsidRPr="005C3B55">
              <w:rPr>
                <w:noProof/>
                <w:szCs w:val="24"/>
              </w:rPr>
              <w:t xml:space="preserve"> </w:t>
            </w:r>
            <w:r w:rsidRPr="005C3B55">
              <w:rPr>
                <w:szCs w:val="24"/>
              </w:rPr>
              <w:t>The work programme of this service includes all content determined by the second paragraph of Article 12 of Regulation (EU) No 1306/2013.</w:t>
            </w:r>
            <w:r w:rsidRPr="005C3B55">
              <w:rPr>
                <w:noProof/>
                <w:szCs w:val="24"/>
              </w:rPr>
              <w:t xml:space="preserve"> </w:t>
            </w:r>
            <w:r w:rsidRPr="005C3B55">
              <w:rPr>
                <w:szCs w:val="24"/>
              </w:rPr>
              <w:t>Access to these services is free for users, since its financing is being provided by the Republic of Slovenia.</w:t>
            </w:r>
          </w:p>
          <w:p w:rsidR="00BD3B5F" w:rsidRPr="005C3B55" w:rsidRDefault="00BD3B5F">
            <w:pPr>
              <w:spacing w:before="240" w:after="240"/>
              <w:jc w:val="left"/>
              <w:rPr>
                <w:noProof/>
                <w:szCs w:val="24"/>
              </w:rPr>
            </w:pPr>
            <w:r w:rsidRPr="005C3B55">
              <w:rPr>
                <w:szCs w:val="24"/>
              </w:rPr>
              <w:t>The implementation of training and advisory services within measure M01 (Article 14 of Regulation (EU) No 1305/2013) and M02 (Article 15 of Regulation (EU) No 1305/2013) is more targeted.</w:t>
            </w:r>
            <w:r w:rsidRPr="005C3B55">
              <w:rPr>
                <w:noProof/>
                <w:szCs w:val="24"/>
              </w:rPr>
              <w:t xml:space="preserve"> </w:t>
            </w:r>
            <w:r w:rsidRPr="005C3B55">
              <w:rPr>
                <w:szCs w:val="24"/>
              </w:rPr>
              <w:t>Training and advisory services implemented within these two measures are not included in the AAS’s work programme.</w:t>
            </w:r>
            <w:r w:rsidRPr="005C3B55">
              <w:rPr>
                <w:noProof/>
                <w:szCs w:val="24"/>
              </w:rPr>
              <w:t xml:space="preserve"> </w:t>
            </w:r>
            <w:r w:rsidRPr="005C3B55">
              <w:rPr>
                <w:szCs w:val="24"/>
              </w:rPr>
              <w:t>They will be free for users, and providers of advisory services will be selected in accordance with the act regulating public procurements.</w:t>
            </w:r>
            <w:r w:rsidRPr="005C3B55">
              <w:rPr>
                <w:noProof/>
                <w:szCs w:val="24"/>
              </w:rPr>
              <w:t xml:space="preserve"> </w:t>
            </w:r>
            <w:r w:rsidRPr="005C3B55">
              <w:rPr>
                <w:szCs w:val="24"/>
              </w:rPr>
              <w:t>These measures will particularly address the preservation of biodiverisity and protection of water sources which, in the existing agricultural consulting system, lacked knowledge or poor knowledge transfer to specific target groups of farmers, i.e. farmers whose land is situated in the most vulnerable Natura 2000 areas and areas of water bodies where the objectives of the Water Framework Directive (Directive 2000/60/EC) will not be attained.</w:t>
            </w:r>
            <w:r w:rsidRPr="005C3B55">
              <w:rPr>
                <w:noProof/>
                <w:szCs w:val="24"/>
              </w:rPr>
              <w:t xml:space="preserve"> </w:t>
            </w:r>
            <w:r w:rsidRPr="005C3B55">
              <w:rPr>
                <w:szCs w:val="24"/>
              </w:rPr>
              <w:t>The measures will also be aimed at suitable technological implementation of requirements under measures on the basis of Article 28 and 29 of Regulation (EU) No 1305/2013, whereby the requirements in the fields of nature protection, water sources, soil and climate change will be addressed to the highest degree possible and as target-oriented as possible, while also reducing the rate of errors which result in the reimbursement of payments.</w:t>
            </w:r>
            <w:r w:rsidRPr="005C3B55">
              <w:rPr>
                <w:noProof/>
                <w:szCs w:val="24"/>
              </w:rPr>
              <w:t xml:space="preserve"> </w:t>
            </w:r>
            <w:r w:rsidRPr="005C3B55">
              <w:rPr>
                <w:szCs w:val="24"/>
              </w:rPr>
              <w:t>Poor knowledge of requirements was one of the reasons for the high error rate in agri-environment payments in the 2007–2013 period given by the contractor for on-going evaluation, the company OIKOS, in the on-going evaluation report from 2013 entitled “Implementation of the RDP 2007–2013 depending on the quality of public service of agricultural consulting”.</w:t>
            </w:r>
          </w:p>
          <w:p w:rsidR="00BD3B5F" w:rsidRPr="005C3B55" w:rsidRDefault="00BD3B5F">
            <w:pPr>
              <w:spacing w:before="240" w:after="240"/>
              <w:jc w:val="left"/>
              <w:rPr>
                <w:noProof/>
                <w:szCs w:val="24"/>
              </w:rPr>
            </w:pPr>
            <w:r w:rsidRPr="005C3B55">
              <w:rPr>
                <w:szCs w:val="24"/>
              </w:rPr>
              <w:t>In order to increase the competence of AAS’s advisers and ensure the better transfer of knowledge to the farmers in the field of preserving biodiversity, the Technical Assistance of the RDP 2014–2020 will also be useful. The activities of training AAS’s advisers, informing and promotion, organisation of regional workshops with farmers farming in the most vulnerable Natura 2000 areas etc. will be financed from the assistance which will be implemented by nature protection organisations selected as per the act governing public procurements.</w:t>
            </w:r>
            <w:r w:rsidRPr="005C3B55">
              <w:rPr>
                <w:noProof/>
                <w:szCs w:val="24"/>
              </w:rPr>
              <w:t xml:space="preserve"> </w:t>
            </w:r>
            <w:r w:rsidRPr="005C3B55">
              <w:rPr>
                <w:szCs w:val="24"/>
              </w:rPr>
              <w:t>In this way, we wish to raise the level of knowledge of AAS’s advisers in the field of nature conservation, increase the awareness of farmers of the importance of preserving habitats and species, promote greater inclusion in the nature conservation scheme of agri-environment-climate payments and thus achieve more successful realisation of the objectives of the Birds Directive (Council Directive 79/409/EEC) and the Directive on the Conservation of Natural Habitats and of Wild Fauna and Flora (Council Directive 92/43/EEC).</w:t>
            </w:r>
            <w:r w:rsidRPr="005C3B55">
              <w:rPr>
                <w:noProof/>
                <w:szCs w:val="24"/>
              </w:rPr>
              <w:t xml:space="preserve">  </w:t>
            </w:r>
          </w:p>
          <w:p w:rsidR="00BD3B5F" w:rsidRPr="005C3B55" w:rsidRDefault="00BD3B5F">
            <w:pPr>
              <w:spacing w:before="240" w:after="240"/>
              <w:jc w:val="left"/>
              <w:rPr>
                <w:noProof/>
                <w:szCs w:val="24"/>
              </w:rPr>
            </w:pPr>
            <w:r w:rsidRPr="005C3B55">
              <w:rPr>
                <w:szCs w:val="24"/>
              </w:rPr>
              <w:t>Furthermore, suitable correlations between measures M16 (Article 25 of Regulation (EU) No 1305/2013) and M01 (Article 14 of Regulation (EU) No 1305/2013) can ensure quicker transfer of applicative knowledge and innovation in practice, which, in compliance with the aforementioned on-going evaluation report, is also shown as one of the weaknesses detected in the agricultural counselling system of the Republic of Slovenia.</w:t>
            </w:r>
            <w:r w:rsidRPr="005C3B55">
              <w:rPr>
                <w:noProof/>
                <w:szCs w:val="24"/>
              </w:rPr>
              <w:t xml:space="preserve">    </w:t>
            </w:r>
          </w:p>
          <w:p w:rsidR="00BD3B5F" w:rsidRPr="005C3B55" w:rsidRDefault="00BD3B5F">
            <w:pPr>
              <w:spacing w:before="240" w:after="240"/>
              <w:jc w:val="left"/>
              <w:rPr>
                <w:noProof/>
                <w:szCs w:val="24"/>
              </w:rPr>
            </w:pPr>
            <w:r w:rsidRPr="005C3B55">
              <w:rPr>
                <w:szCs w:val="24"/>
              </w:rPr>
              <w:t>An increasingly important support role has also been assumed by the Rural Network, which is becoming an interactive tool for transferring the most recent information about programme implementation and broader activity in rural development and the CAP.</w:t>
            </w:r>
            <w:r w:rsidRPr="005C3B55">
              <w:rPr>
                <w:noProof/>
                <w:szCs w:val="24"/>
              </w:rPr>
              <w:t xml:space="preserve"> </w:t>
            </w:r>
            <w:r w:rsidRPr="005C3B55">
              <w:rPr>
                <w:szCs w:val="24"/>
              </w:rPr>
              <w:t>The Network is not merely a ‘virtual’ platform, but an increasingly important support tool, organiser and co-creator of various events and training, publications, etc., with which it enhances its position among numerous, frequently insufficiently connected, communication channels in the field of rural development contents, and attempts to connect the channels as much as possible.</w:t>
            </w:r>
          </w:p>
          <w:p w:rsidR="00BD3B5F" w:rsidRPr="005C3B55" w:rsidRDefault="00BD3B5F">
            <w:pPr>
              <w:spacing w:before="240" w:after="240"/>
              <w:jc w:val="left"/>
              <w:rPr>
                <w:noProof/>
                <w:szCs w:val="24"/>
              </w:rPr>
            </w:pPr>
            <w:r w:rsidRPr="005C3B55">
              <w:rPr>
                <w:szCs w:val="24"/>
              </w:rPr>
              <w:t>Regarding the provision of a suitable support environment for implementing the RDP 2014–2020, the upgrading of IT systems at the Agency for Agricultural Markets and Rural Development (AAMRD) and changes in the field of administrative procedure introduced by an amendment to the Agriculture Act (Official Gazette of the Republic of Slovenia, no. 26/14), the main objectives are the acceleration, rationalisation and rationality of procedures of allocating EU funds should also be mentioned, in addition to the support role of advisory services and the Network.</w:t>
            </w:r>
            <w:r w:rsidRPr="005C3B55">
              <w:rPr>
                <w:noProof/>
                <w:szCs w:val="24"/>
              </w:rPr>
              <w:t xml:space="preserve">    </w:t>
            </w:r>
          </w:p>
          <w:p w:rsidR="00BD3B5F" w:rsidRPr="005C3B55" w:rsidRDefault="00BD3B5F">
            <w:pPr>
              <w:pStyle w:val="Telobesedila"/>
              <w:rPr>
                <w:szCs w:val="24"/>
              </w:rPr>
            </w:pPr>
          </w:p>
        </w:tc>
      </w:tr>
    </w:tbl>
    <w:p w:rsidR="00BD3B5F" w:rsidRPr="005C3B55" w:rsidRDefault="00BD3B5F">
      <w:pPr>
        <w:rPr>
          <w:szCs w:val="24"/>
        </w:rPr>
        <w:sectPr w:rsidR="00BD3B5F" w:rsidRPr="005C3B55">
          <w:pgSz w:w="12240" w:h="15840"/>
          <w:pgMar w:top="900" w:right="900" w:bottom="900" w:left="900" w:header="708" w:footer="708" w:gutter="0"/>
          <w:cols w:space="708"/>
        </w:sectPr>
      </w:pPr>
    </w:p>
    <w:p w:rsidR="00BD3B5F" w:rsidRPr="005C3B55" w:rsidRDefault="00BD3B5F">
      <w:pPr>
        <w:pStyle w:val="Naslov1"/>
        <w:rPr>
          <w:szCs w:val="24"/>
          <w:lang w:val="en-GB"/>
        </w:rPr>
      </w:pPr>
      <w:bookmarkStart w:id="95" w:name="_Toc416192553"/>
      <w:r w:rsidRPr="005C3B55">
        <w:rPr>
          <w:szCs w:val="24"/>
          <w:lang w:val="en-GB"/>
        </w:rPr>
        <w:t>Ex-ante conditionality assessment</w:t>
      </w:r>
      <w:bookmarkEnd w:id="95"/>
    </w:p>
    <w:p w:rsidR="00BD3B5F" w:rsidRPr="005C3B55" w:rsidRDefault="00BD3B5F">
      <w:pPr>
        <w:pStyle w:val="Naslov2"/>
        <w:tabs>
          <w:tab w:val="clear" w:pos="765"/>
        </w:tabs>
        <w:ind w:left="0" w:firstLine="0"/>
        <w:rPr>
          <w:szCs w:val="24"/>
          <w:lang w:val="en-GB"/>
        </w:rPr>
      </w:pPr>
      <w:bookmarkStart w:id="96" w:name="_Toc416192554"/>
      <w:r w:rsidRPr="005C3B55">
        <w:rPr>
          <w:szCs w:val="24"/>
          <w:lang w:val="en-GB"/>
        </w:rPr>
        <w:t>Additional Information</w:t>
      </w:r>
      <w:bookmarkEnd w:id="96"/>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10656" w:type="dxa"/>
            <w:tcMar>
              <w:top w:w="20" w:type="dxa"/>
              <w:bottom w:w="20" w:type="dxa"/>
            </w:tcMar>
            <w:vAlign w:val="center"/>
          </w:tcPr>
          <w:p w:rsidR="00BD3B5F" w:rsidRPr="005C3B55" w:rsidRDefault="00BD3B5F">
            <w:pPr>
              <w:spacing w:before="0" w:after="240"/>
              <w:jc w:val="left"/>
              <w:rPr>
                <w:noProof/>
                <w:szCs w:val="24"/>
              </w:rPr>
            </w:pPr>
            <w:r w:rsidRPr="005C3B55">
              <w:rPr>
                <w:noProof/>
                <w:szCs w:val="24"/>
              </w:rPr>
              <w:t>/</w:t>
            </w:r>
          </w:p>
          <w:p w:rsidR="00BD3B5F" w:rsidRPr="005C3B55" w:rsidRDefault="00BD3B5F">
            <w:pPr>
              <w:pStyle w:val="Telobesedila"/>
              <w:rPr>
                <w:szCs w:val="24"/>
              </w:rPr>
            </w:pPr>
          </w:p>
        </w:tc>
      </w:tr>
    </w:tbl>
    <w:p w:rsidR="00BD3B5F" w:rsidRPr="005C3B55" w:rsidRDefault="00BD3B5F">
      <w:pPr>
        <w:rPr>
          <w:szCs w:val="24"/>
        </w:rPr>
        <w:sectPr w:rsidR="00BD3B5F" w:rsidRPr="005C3B55">
          <w:pgSz w:w="12240" w:h="15840"/>
          <w:pgMar w:top="900" w:right="900" w:bottom="900" w:left="900" w:header="708" w:footer="708" w:gutter="0"/>
          <w:cols w:space="708"/>
        </w:sectPr>
      </w:pPr>
    </w:p>
    <w:p w:rsidR="00BD3B5F" w:rsidRPr="005C3B55" w:rsidRDefault="00BD3B5F">
      <w:pPr>
        <w:pStyle w:val="Naslov2"/>
        <w:tabs>
          <w:tab w:val="clear" w:pos="765"/>
        </w:tabs>
        <w:ind w:left="0" w:firstLine="0"/>
        <w:rPr>
          <w:szCs w:val="24"/>
          <w:lang w:val="en-GB"/>
        </w:rPr>
      </w:pPr>
      <w:r w:rsidRPr="005C3B55">
        <w:rPr>
          <w:szCs w:val="24"/>
          <w:lang w:val="en-GB"/>
        </w:rPr>
        <w:t xml:space="preserve"> </w:t>
      </w:r>
      <w:bookmarkStart w:id="97" w:name="_Toc416192555"/>
      <w:r w:rsidRPr="005C3B55">
        <w:rPr>
          <w:szCs w:val="24"/>
          <w:lang w:val="en-GB"/>
        </w:rPr>
        <w:t>Ex-ante conditionalities</w:t>
      </w:r>
      <w:bookmarkEnd w:id="9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64"/>
        <w:gridCol w:w="2851"/>
        <w:gridCol w:w="3564"/>
        <w:gridCol w:w="2851"/>
        <w:gridCol w:w="1426"/>
      </w:tblGrid>
      <w:tr w:rsidR="00BD3B5F" w:rsidRPr="005C3B55">
        <w:tc>
          <w:tcPr>
            <w:tcW w:w="1250" w:type="pct"/>
            <w:shd w:val="clear" w:color="auto" w:fill="C0C0C0"/>
            <w:tcMar>
              <w:top w:w="20" w:type="dxa"/>
              <w:bottom w:w="20" w:type="dxa"/>
            </w:tcMar>
            <w:vAlign w:val="center"/>
          </w:tcPr>
          <w:p w:rsidR="00BD3B5F" w:rsidRPr="005C3B55" w:rsidRDefault="00BD3B5F">
            <w:pPr>
              <w:jc w:val="center"/>
              <w:rPr>
                <w:szCs w:val="24"/>
              </w:rPr>
            </w:pPr>
            <w:r w:rsidRPr="005C3B55">
              <w:rPr>
                <w:b/>
                <w:sz w:val="16"/>
                <w:szCs w:val="24"/>
              </w:rPr>
              <w:t>Applicable ex-ante conditionality at the national level</w:t>
            </w:r>
          </w:p>
        </w:tc>
        <w:tc>
          <w:tcPr>
            <w:tcW w:w="1000" w:type="pct"/>
            <w:shd w:val="clear" w:color="auto" w:fill="C0C0C0"/>
            <w:tcMar>
              <w:top w:w="20" w:type="dxa"/>
              <w:bottom w:w="20" w:type="dxa"/>
            </w:tcMar>
            <w:vAlign w:val="center"/>
          </w:tcPr>
          <w:p w:rsidR="00BD3B5F" w:rsidRPr="005C3B55" w:rsidRDefault="00BD3B5F">
            <w:pPr>
              <w:jc w:val="center"/>
              <w:rPr>
                <w:szCs w:val="24"/>
              </w:rPr>
            </w:pPr>
            <w:r w:rsidRPr="005C3B55">
              <w:rPr>
                <w:b/>
                <w:sz w:val="16"/>
                <w:szCs w:val="24"/>
              </w:rPr>
              <w:t>Applicable ex-ante conditionality is fulfilled: Yes /No/Partly</w:t>
            </w:r>
          </w:p>
        </w:tc>
        <w:tc>
          <w:tcPr>
            <w:tcW w:w="1250" w:type="pct"/>
            <w:shd w:val="clear" w:color="auto" w:fill="C0C0C0"/>
            <w:tcMar>
              <w:top w:w="20" w:type="dxa"/>
              <w:bottom w:w="20" w:type="dxa"/>
            </w:tcMar>
            <w:vAlign w:val="center"/>
          </w:tcPr>
          <w:p w:rsidR="00BD3B5F" w:rsidRPr="005C3B55" w:rsidRDefault="00BD3B5F">
            <w:pPr>
              <w:jc w:val="center"/>
              <w:rPr>
                <w:szCs w:val="24"/>
              </w:rPr>
            </w:pPr>
            <w:r w:rsidRPr="005C3B55">
              <w:rPr>
                <w:b/>
                <w:sz w:val="16"/>
                <w:szCs w:val="24"/>
              </w:rPr>
              <w:t>Assessment of their fulfilment</w:t>
            </w:r>
          </w:p>
        </w:tc>
        <w:tc>
          <w:tcPr>
            <w:tcW w:w="1000" w:type="pct"/>
            <w:shd w:val="clear" w:color="auto" w:fill="C0C0C0"/>
            <w:tcMar>
              <w:top w:w="20" w:type="dxa"/>
              <w:bottom w:w="20" w:type="dxa"/>
            </w:tcMar>
            <w:vAlign w:val="center"/>
          </w:tcPr>
          <w:p w:rsidR="00BD3B5F" w:rsidRPr="005C3B55" w:rsidRDefault="00BD3B5F">
            <w:pPr>
              <w:jc w:val="center"/>
              <w:rPr>
                <w:szCs w:val="24"/>
              </w:rPr>
            </w:pPr>
            <w:r w:rsidRPr="005C3B55">
              <w:rPr>
                <w:b/>
                <w:sz w:val="16"/>
                <w:szCs w:val="24"/>
              </w:rPr>
              <w:t>Priorities/focus areas</w:t>
            </w:r>
          </w:p>
        </w:tc>
        <w:tc>
          <w:tcPr>
            <w:tcW w:w="500" w:type="pct"/>
            <w:shd w:val="clear" w:color="auto" w:fill="C0C0C0"/>
            <w:tcMar>
              <w:top w:w="20" w:type="dxa"/>
              <w:bottom w:w="20" w:type="dxa"/>
            </w:tcMar>
            <w:vAlign w:val="center"/>
          </w:tcPr>
          <w:p w:rsidR="00BD3B5F" w:rsidRPr="005C3B55" w:rsidRDefault="00BD3B5F">
            <w:pPr>
              <w:jc w:val="center"/>
              <w:rPr>
                <w:szCs w:val="24"/>
              </w:rPr>
            </w:pPr>
            <w:r w:rsidRPr="005C3B55">
              <w:rPr>
                <w:b/>
                <w:sz w:val="16"/>
                <w:szCs w:val="24"/>
              </w:rPr>
              <w:t>Measures</w:t>
            </w:r>
          </w:p>
        </w:tc>
      </w:tr>
      <w:tr w:rsidR="00BD3B5F" w:rsidRPr="005C3B55">
        <w:trPr>
          <w:trHeight w:val="405"/>
        </w:trPr>
        <w:tc>
          <w:tcPr>
            <w:tcW w:w="500" w:type="pct"/>
            <w:vMerge w:val="restart"/>
            <w:shd w:val="clear" w:color="auto" w:fill="FFFFFF"/>
            <w:tcMar>
              <w:top w:w="20" w:type="dxa"/>
              <w:bottom w:w="20" w:type="dxa"/>
            </w:tcMar>
            <w:vAlign w:val="center"/>
          </w:tcPr>
          <w:p w:rsidR="00BD3B5F" w:rsidRPr="005C3B55" w:rsidRDefault="00BD3B5F">
            <w:pPr>
              <w:jc w:val="left"/>
              <w:rPr>
                <w:szCs w:val="24"/>
              </w:rPr>
            </w:pPr>
            <w:r w:rsidRPr="005C3B55">
              <w:rPr>
                <w:sz w:val="12"/>
                <w:szCs w:val="24"/>
              </w:rPr>
              <w:t>G1) Elimination of discrimination: Existence of administrative capacity to implement and apply anti-discrimination legislation and policy of the EU in the field of ESI funds</w:t>
            </w:r>
          </w:p>
        </w:tc>
        <w:tc>
          <w:tcPr>
            <w:tcW w:w="500" w:type="pct"/>
            <w:vMerge w:val="restart"/>
            <w:shd w:val="clear" w:color="auto" w:fill="FFFFFF"/>
            <w:tcMar>
              <w:top w:w="20" w:type="dxa"/>
              <w:bottom w:w="20" w:type="dxa"/>
            </w:tcMar>
            <w:vAlign w:val="center"/>
          </w:tcPr>
          <w:p w:rsidR="00BD3B5F" w:rsidRPr="005C3B55" w:rsidRDefault="00BD3B5F">
            <w:pPr>
              <w:jc w:val="left"/>
              <w:rPr>
                <w:sz w:val="12"/>
                <w:szCs w:val="24"/>
              </w:rPr>
            </w:pPr>
            <w:r w:rsidRPr="005C3B55">
              <w:rPr>
                <w:noProof/>
                <w:sz w:val="12"/>
                <w:szCs w:val="24"/>
              </w:rPr>
              <w:t>yes</w:t>
            </w:r>
          </w:p>
        </w:tc>
        <w:tc>
          <w:tcPr>
            <w:tcW w:w="500" w:type="pct"/>
            <w:vMerge w:val="restart"/>
            <w:shd w:val="clear" w:color="auto" w:fill="FFFFFF"/>
            <w:tcMar>
              <w:top w:w="20" w:type="dxa"/>
              <w:bottom w:w="20" w:type="dxa"/>
            </w:tcMar>
            <w:vAlign w:val="center"/>
          </w:tcPr>
          <w:p w:rsidR="00BD3B5F" w:rsidRPr="005C3B55" w:rsidRDefault="00BD3B5F">
            <w:pPr>
              <w:jc w:val="left"/>
              <w:rPr>
                <w:szCs w:val="24"/>
              </w:rPr>
            </w:pPr>
            <w:r w:rsidRPr="005C3B55">
              <w:rPr>
                <w:sz w:val="12"/>
                <w:szCs w:val="24"/>
              </w:rPr>
              <w:t>Ex-ante conditionality has been completely fulfilled.</w:t>
            </w:r>
          </w:p>
        </w:tc>
        <w:tc>
          <w:tcPr>
            <w:tcW w:w="500" w:type="pct"/>
            <w:vMerge w:val="restart"/>
            <w:shd w:val="clear" w:color="auto" w:fill="FFFFFF"/>
            <w:tcMar>
              <w:top w:w="20" w:type="dxa"/>
              <w:bottom w:w="20" w:type="dxa"/>
            </w:tcMar>
            <w:vAlign w:val="center"/>
          </w:tcPr>
          <w:p w:rsidR="00BD3B5F" w:rsidRPr="005C3B55" w:rsidRDefault="00BD3B5F">
            <w:pPr>
              <w:jc w:val="left"/>
              <w:rPr>
                <w:sz w:val="12"/>
                <w:szCs w:val="24"/>
              </w:rPr>
            </w:pPr>
            <w:r w:rsidRPr="005C3B55">
              <w:rPr>
                <w:noProof/>
                <w:sz w:val="12"/>
                <w:szCs w:val="24"/>
              </w:rPr>
              <w:t>6B</w:t>
            </w:r>
          </w:p>
        </w:tc>
        <w:tc>
          <w:tcPr>
            <w:tcW w:w="500" w:type="pct"/>
            <w:vMerge w:val="restart"/>
            <w:shd w:val="clear" w:color="auto" w:fill="FFFFFF"/>
            <w:tcMar>
              <w:top w:w="20" w:type="dxa"/>
              <w:bottom w:w="20" w:type="dxa"/>
            </w:tcMar>
            <w:vAlign w:val="center"/>
          </w:tcPr>
          <w:p w:rsidR="00BD3B5F" w:rsidRPr="005C3B55" w:rsidRDefault="00BD3B5F">
            <w:pPr>
              <w:jc w:val="left"/>
              <w:rPr>
                <w:sz w:val="12"/>
                <w:szCs w:val="24"/>
              </w:rPr>
            </w:pPr>
            <w:r w:rsidRPr="005C3B55">
              <w:rPr>
                <w:noProof/>
                <w:sz w:val="12"/>
                <w:szCs w:val="24"/>
              </w:rPr>
              <w:t>M02, M19, M01, M16</w:t>
            </w:r>
          </w:p>
        </w:tc>
      </w:tr>
      <w:tr w:rsidR="00BD3B5F" w:rsidRPr="005C3B55">
        <w:trPr>
          <w:trHeight w:val="390"/>
        </w:trPr>
        <w:tc>
          <w:tcPr>
            <w:tcW w:w="500" w:type="pct"/>
            <w:vMerge/>
            <w:shd w:val="clear" w:color="auto" w:fill="FFFFFF"/>
            <w:tcMar>
              <w:top w:w="20" w:type="dxa"/>
              <w:bottom w:w="20" w:type="dxa"/>
            </w:tcMar>
            <w:vAlign w:val="center"/>
          </w:tcPr>
          <w:p w:rsidR="00BD3B5F" w:rsidRPr="005C3B55" w:rsidRDefault="00BD3B5F">
            <w:pPr>
              <w:jc w:val="left"/>
              <w:rPr>
                <w:sz w:val="12"/>
                <w:szCs w:val="24"/>
              </w:rPr>
            </w:pPr>
          </w:p>
        </w:tc>
        <w:tc>
          <w:tcPr>
            <w:tcW w:w="500" w:type="pct"/>
            <w:vMerge/>
            <w:shd w:val="clear" w:color="auto" w:fill="FFFFFF"/>
            <w:tcMar>
              <w:top w:w="20" w:type="dxa"/>
              <w:bottom w:w="20" w:type="dxa"/>
            </w:tcMar>
            <w:vAlign w:val="center"/>
          </w:tcPr>
          <w:p w:rsidR="00BD3B5F" w:rsidRPr="005C3B55" w:rsidRDefault="00BD3B5F">
            <w:pPr>
              <w:jc w:val="left"/>
              <w:rPr>
                <w:sz w:val="12"/>
                <w:szCs w:val="24"/>
              </w:rPr>
            </w:pPr>
          </w:p>
        </w:tc>
        <w:tc>
          <w:tcPr>
            <w:tcW w:w="500" w:type="pct"/>
            <w:vMerge/>
            <w:shd w:val="clear" w:color="auto" w:fill="FFFFFF"/>
            <w:tcMar>
              <w:top w:w="20" w:type="dxa"/>
              <w:bottom w:w="20" w:type="dxa"/>
            </w:tcMar>
            <w:vAlign w:val="center"/>
          </w:tcPr>
          <w:p w:rsidR="00BD3B5F" w:rsidRPr="005C3B55" w:rsidRDefault="00BD3B5F">
            <w:pPr>
              <w:jc w:val="left"/>
              <w:rPr>
                <w:sz w:val="12"/>
                <w:szCs w:val="24"/>
              </w:rPr>
            </w:pPr>
          </w:p>
        </w:tc>
        <w:tc>
          <w:tcPr>
            <w:tcW w:w="500" w:type="pct"/>
            <w:vMerge/>
            <w:shd w:val="clear" w:color="auto" w:fill="FFFFFF"/>
            <w:tcMar>
              <w:top w:w="20" w:type="dxa"/>
              <w:bottom w:w="20" w:type="dxa"/>
            </w:tcMar>
            <w:vAlign w:val="center"/>
          </w:tcPr>
          <w:p w:rsidR="00BD3B5F" w:rsidRPr="005C3B55" w:rsidRDefault="00BD3B5F">
            <w:pPr>
              <w:jc w:val="left"/>
              <w:rPr>
                <w:sz w:val="12"/>
                <w:szCs w:val="24"/>
              </w:rPr>
            </w:pPr>
          </w:p>
        </w:tc>
        <w:tc>
          <w:tcPr>
            <w:tcW w:w="500" w:type="pct"/>
            <w:vMerge/>
            <w:shd w:val="clear" w:color="auto" w:fill="FFFFFF"/>
            <w:tcMar>
              <w:top w:w="20" w:type="dxa"/>
              <w:bottom w:w="20" w:type="dxa"/>
            </w:tcMar>
            <w:vAlign w:val="center"/>
          </w:tcPr>
          <w:p w:rsidR="00BD3B5F" w:rsidRPr="005C3B55" w:rsidRDefault="00BD3B5F">
            <w:pPr>
              <w:jc w:val="left"/>
              <w:rPr>
                <w:sz w:val="12"/>
                <w:szCs w:val="24"/>
              </w:rPr>
            </w:pPr>
          </w:p>
        </w:tc>
      </w:tr>
      <w:tr w:rsidR="00BD3B5F" w:rsidRPr="005C3B55">
        <w:trPr>
          <w:trHeight w:val="405"/>
        </w:trPr>
        <w:tc>
          <w:tcPr>
            <w:tcW w:w="500" w:type="pct"/>
            <w:vMerge w:val="restart"/>
            <w:shd w:val="clear" w:color="auto" w:fill="FFFFFF"/>
            <w:tcMar>
              <w:top w:w="20" w:type="dxa"/>
              <w:bottom w:w="20" w:type="dxa"/>
            </w:tcMar>
            <w:vAlign w:val="center"/>
          </w:tcPr>
          <w:p w:rsidR="00BD3B5F" w:rsidRPr="005C3B55" w:rsidRDefault="00BD3B5F">
            <w:pPr>
              <w:jc w:val="left"/>
              <w:rPr>
                <w:szCs w:val="24"/>
              </w:rPr>
            </w:pPr>
            <w:r w:rsidRPr="005C3B55">
              <w:rPr>
                <w:sz w:val="12"/>
                <w:szCs w:val="24"/>
              </w:rPr>
              <w:t>G2) Gender equality: Existence of administrative capacity to implement and apply gender equality legislation and policy of the EU in the field of ESI funds</w:t>
            </w:r>
          </w:p>
        </w:tc>
        <w:tc>
          <w:tcPr>
            <w:tcW w:w="500" w:type="pct"/>
            <w:vMerge w:val="restart"/>
            <w:shd w:val="clear" w:color="auto" w:fill="FFFFFF"/>
            <w:tcMar>
              <w:top w:w="20" w:type="dxa"/>
              <w:bottom w:w="20" w:type="dxa"/>
            </w:tcMar>
            <w:vAlign w:val="center"/>
          </w:tcPr>
          <w:p w:rsidR="00BD3B5F" w:rsidRPr="005C3B55" w:rsidRDefault="00BD3B5F">
            <w:pPr>
              <w:jc w:val="left"/>
              <w:rPr>
                <w:sz w:val="12"/>
                <w:szCs w:val="24"/>
              </w:rPr>
            </w:pPr>
            <w:r w:rsidRPr="005C3B55">
              <w:rPr>
                <w:noProof/>
                <w:sz w:val="12"/>
                <w:szCs w:val="24"/>
              </w:rPr>
              <w:t>yes</w:t>
            </w:r>
          </w:p>
        </w:tc>
        <w:tc>
          <w:tcPr>
            <w:tcW w:w="500" w:type="pct"/>
            <w:vMerge w:val="restart"/>
            <w:shd w:val="clear" w:color="auto" w:fill="FFFFFF"/>
            <w:tcMar>
              <w:top w:w="20" w:type="dxa"/>
              <w:bottom w:w="20" w:type="dxa"/>
            </w:tcMar>
            <w:vAlign w:val="center"/>
          </w:tcPr>
          <w:p w:rsidR="00BD3B5F" w:rsidRPr="005C3B55" w:rsidRDefault="00BD3B5F">
            <w:pPr>
              <w:jc w:val="left"/>
              <w:rPr>
                <w:sz w:val="12"/>
                <w:szCs w:val="24"/>
              </w:rPr>
            </w:pPr>
            <w:r w:rsidRPr="005C3B55">
              <w:rPr>
                <w:sz w:val="12"/>
                <w:szCs w:val="24"/>
              </w:rPr>
              <w:t>Ex-ante conditionality has been completely fulfilled.</w:t>
            </w:r>
          </w:p>
          <w:p w:rsidR="00BD3B5F" w:rsidRPr="005C3B55" w:rsidRDefault="00BD3B5F">
            <w:pPr>
              <w:jc w:val="left"/>
              <w:rPr>
                <w:sz w:val="12"/>
                <w:szCs w:val="24"/>
              </w:rPr>
            </w:pPr>
          </w:p>
        </w:tc>
        <w:tc>
          <w:tcPr>
            <w:tcW w:w="500" w:type="pct"/>
            <w:vMerge w:val="restart"/>
            <w:shd w:val="clear" w:color="auto" w:fill="FFFFFF"/>
            <w:tcMar>
              <w:top w:w="20" w:type="dxa"/>
              <w:bottom w:w="20" w:type="dxa"/>
            </w:tcMar>
            <w:vAlign w:val="center"/>
          </w:tcPr>
          <w:p w:rsidR="00BD3B5F" w:rsidRPr="005C3B55" w:rsidRDefault="00BD3B5F">
            <w:pPr>
              <w:jc w:val="left"/>
              <w:rPr>
                <w:sz w:val="12"/>
                <w:szCs w:val="24"/>
              </w:rPr>
            </w:pPr>
            <w:r w:rsidRPr="005C3B55">
              <w:rPr>
                <w:noProof/>
                <w:sz w:val="12"/>
                <w:szCs w:val="24"/>
              </w:rPr>
              <w:t>6A, 6B</w:t>
            </w:r>
          </w:p>
        </w:tc>
        <w:tc>
          <w:tcPr>
            <w:tcW w:w="500" w:type="pct"/>
            <w:vMerge w:val="restart"/>
            <w:shd w:val="clear" w:color="auto" w:fill="FFFFFF"/>
            <w:tcMar>
              <w:top w:w="20" w:type="dxa"/>
              <w:bottom w:w="20" w:type="dxa"/>
            </w:tcMar>
            <w:vAlign w:val="center"/>
          </w:tcPr>
          <w:p w:rsidR="00BD3B5F" w:rsidRPr="005C3B55" w:rsidRDefault="00BD3B5F">
            <w:pPr>
              <w:jc w:val="left"/>
              <w:rPr>
                <w:sz w:val="12"/>
                <w:szCs w:val="24"/>
              </w:rPr>
            </w:pPr>
            <w:r w:rsidRPr="005C3B55">
              <w:rPr>
                <w:noProof/>
                <w:sz w:val="12"/>
                <w:szCs w:val="24"/>
              </w:rPr>
              <w:t>M16, M01, M19, M06, M02, M07</w:t>
            </w:r>
          </w:p>
        </w:tc>
      </w:tr>
      <w:tr w:rsidR="00BD3B5F" w:rsidRPr="005C3B55">
        <w:trPr>
          <w:trHeight w:val="390"/>
        </w:trPr>
        <w:tc>
          <w:tcPr>
            <w:tcW w:w="500" w:type="pct"/>
            <w:vMerge/>
            <w:shd w:val="clear" w:color="auto" w:fill="FFFFFF"/>
            <w:tcMar>
              <w:top w:w="20" w:type="dxa"/>
              <w:bottom w:w="20" w:type="dxa"/>
            </w:tcMar>
            <w:vAlign w:val="center"/>
          </w:tcPr>
          <w:p w:rsidR="00BD3B5F" w:rsidRPr="005C3B55" w:rsidRDefault="00BD3B5F">
            <w:pPr>
              <w:jc w:val="left"/>
              <w:rPr>
                <w:sz w:val="12"/>
                <w:szCs w:val="24"/>
              </w:rPr>
            </w:pPr>
          </w:p>
        </w:tc>
        <w:tc>
          <w:tcPr>
            <w:tcW w:w="500" w:type="pct"/>
            <w:vMerge/>
            <w:shd w:val="clear" w:color="auto" w:fill="FFFFFF"/>
            <w:tcMar>
              <w:top w:w="20" w:type="dxa"/>
              <w:bottom w:w="20" w:type="dxa"/>
            </w:tcMar>
            <w:vAlign w:val="center"/>
          </w:tcPr>
          <w:p w:rsidR="00BD3B5F" w:rsidRPr="005C3B55" w:rsidRDefault="00BD3B5F">
            <w:pPr>
              <w:jc w:val="left"/>
              <w:rPr>
                <w:sz w:val="12"/>
                <w:szCs w:val="24"/>
              </w:rPr>
            </w:pPr>
          </w:p>
        </w:tc>
        <w:tc>
          <w:tcPr>
            <w:tcW w:w="500" w:type="pct"/>
            <w:vMerge/>
            <w:shd w:val="clear" w:color="auto" w:fill="FFFFFF"/>
            <w:tcMar>
              <w:top w:w="20" w:type="dxa"/>
              <w:bottom w:w="20" w:type="dxa"/>
            </w:tcMar>
            <w:vAlign w:val="center"/>
          </w:tcPr>
          <w:p w:rsidR="00BD3B5F" w:rsidRPr="005C3B55" w:rsidRDefault="00BD3B5F">
            <w:pPr>
              <w:jc w:val="left"/>
              <w:rPr>
                <w:sz w:val="12"/>
                <w:szCs w:val="24"/>
              </w:rPr>
            </w:pPr>
          </w:p>
        </w:tc>
        <w:tc>
          <w:tcPr>
            <w:tcW w:w="500" w:type="pct"/>
            <w:vMerge/>
            <w:shd w:val="clear" w:color="auto" w:fill="FFFFFF"/>
            <w:tcMar>
              <w:top w:w="20" w:type="dxa"/>
              <w:bottom w:w="20" w:type="dxa"/>
            </w:tcMar>
            <w:vAlign w:val="center"/>
          </w:tcPr>
          <w:p w:rsidR="00BD3B5F" w:rsidRPr="005C3B55" w:rsidRDefault="00BD3B5F">
            <w:pPr>
              <w:jc w:val="left"/>
              <w:rPr>
                <w:sz w:val="12"/>
                <w:szCs w:val="24"/>
              </w:rPr>
            </w:pPr>
          </w:p>
        </w:tc>
        <w:tc>
          <w:tcPr>
            <w:tcW w:w="500" w:type="pct"/>
            <w:vMerge/>
            <w:shd w:val="clear" w:color="auto" w:fill="FFFFFF"/>
            <w:tcMar>
              <w:top w:w="20" w:type="dxa"/>
              <w:bottom w:w="20" w:type="dxa"/>
            </w:tcMar>
            <w:vAlign w:val="center"/>
          </w:tcPr>
          <w:p w:rsidR="00BD3B5F" w:rsidRPr="005C3B55" w:rsidRDefault="00BD3B5F">
            <w:pPr>
              <w:jc w:val="left"/>
              <w:rPr>
                <w:sz w:val="12"/>
                <w:szCs w:val="24"/>
              </w:rPr>
            </w:pPr>
          </w:p>
        </w:tc>
      </w:tr>
      <w:tr w:rsidR="00BD3B5F" w:rsidRPr="005C3B55">
        <w:trPr>
          <w:trHeight w:val="405"/>
        </w:trPr>
        <w:tc>
          <w:tcPr>
            <w:tcW w:w="500" w:type="pct"/>
            <w:vMerge w:val="restart"/>
            <w:shd w:val="clear" w:color="auto" w:fill="FFFFFF"/>
            <w:tcMar>
              <w:top w:w="20" w:type="dxa"/>
              <w:bottom w:w="20" w:type="dxa"/>
            </w:tcMar>
            <w:vAlign w:val="center"/>
          </w:tcPr>
          <w:p w:rsidR="00BD3B5F" w:rsidRPr="005C3B55" w:rsidRDefault="00BD3B5F">
            <w:pPr>
              <w:jc w:val="left"/>
              <w:rPr>
                <w:szCs w:val="24"/>
              </w:rPr>
            </w:pPr>
            <w:r w:rsidRPr="005C3B55">
              <w:rPr>
                <w:sz w:val="12"/>
                <w:szCs w:val="24"/>
              </w:rPr>
              <w:t>G3) Disability: Existence of administrative capacity to implement and apply the United Nations Convention on the rights of persons with disabilities in the field of ESI funds as per Council Decision 2010/48/EC</w:t>
            </w:r>
          </w:p>
        </w:tc>
        <w:tc>
          <w:tcPr>
            <w:tcW w:w="500" w:type="pct"/>
            <w:vMerge w:val="restart"/>
            <w:shd w:val="clear" w:color="auto" w:fill="FFFFFF"/>
            <w:tcMar>
              <w:top w:w="20" w:type="dxa"/>
              <w:bottom w:w="20" w:type="dxa"/>
            </w:tcMar>
            <w:vAlign w:val="center"/>
          </w:tcPr>
          <w:p w:rsidR="00BD3B5F" w:rsidRPr="005C3B55" w:rsidRDefault="00BD3B5F">
            <w:pPr>
              <w:jc w:val="left"/>
              <w:rPr>
                <w:sz w:val="12"/>
                <w:szCs w:val="24"/>
              </w:rPr>
            </w:pPr>
            <w:r w:rsidRPr="005C3B55">
              <w:rPr>
                <w:noProof/>
                <w:sz w:val="12"/>
                <w:szCs w:val="24"/>
              </w:rPr>
              <w:t>yes</w:t>
            </w:r>
          </w:p>
        </w:tc>
        <w:tc>
          <w:tcPr>
            <w:tcW w:w="500" w:type="pct"/>
            <w:vMerge w:val="restart"/>
            <w:shd w:val="clear" w:color="auto" w:fill="FFFFFF"/>
            <w:tcMar>
              <w:top w:w="20" w:type="dxa"/>
              <w:bottom w:w="20" w:type="dxa"/>
            </w:tcMar>
            <w:vAlign w:val="center"/>
          </w:tcPr>
          <w:p w:rsidR="00BD3B5F" w:rsidRPr="005C3B55" w:rsidRDefault="00BD3B5F">
            <w:pPr>
              <w:jc w:val="left"/>
              <w:rPr>
                <w:sz w:val="12"/>
                <w:szCs w:val="24"/>
              </w:rPr>
            </w:pPr>
            <w:r w:rsidRPr="005C3B55">
              <w:rPr>
                <w:sz w:val="12"/>
                <w:szCs w:val="24"/>
              </w:rPr>
              <w:t>Ex-ante conditionality has been completely fulfilled.</w:t>
            </w:r>
          </w:p>
          <w:p w:rsidR="00BD3B5F" w:rsidRPr="005C3B55" w:rsidRDefault="00BD3B5F">
            <w:pPr>
              <w:jc w:val="left"/>
              <w:rPr>
                <w:sz w:val="12"/>
                <w:szCs w:val="24"/>
              </w:rPr>
            </w:pPr>
          </w:p>
          <w:p w:rsidR="00BD3B5F" w:rsidRPr="005C3B55" w:rsidRDefault="00BD3B5F">
            <w:pPr>
              <w:jc w:val="left"/>
              <w:rPr>
                <w:sz w:val="12"/>
                <w:szCs w:val="24"/>
              </w:rPr>
            </w:pPr>
          </w:p>
        </w:tc>
        <w:tc>
          <w:tcPr>
            <w:tcW w:w="500" w:type="pct"/>
            <w:vMerge w:val="restart"/>
            <w:shd w:val="clear" w:color="auto" w:fill="FFFFFF"/>
            <w:tcMar>
              <w:top w:w="20" w:type="dxa"/>
              <w:bottom w:w="20" w:type="dxa"/>
            </w:tcMar>
            <w:vAlign w:val="center"/>
          </w:tcPr>
          <w:p w:rsidR="00BD3B5F" w:rsidRPr="005C3B55" w:rsidRDefault="00BD3B5F">
            <w:pPr>
              <w:jc w:val="left"/>
              <w:rPr>
                <w:sz w:val="12"/>
                <w:szCs w:val="24"/>
              </w:rPr>
            </w:pPr>
            <w:r w:rsidRPr="005C3B55">
              <w:rPr>
                <w:noProof/>
                <w:sz w:val="12"/>
                <w:szCs w:val="24"/>
              </w:rPr>
              <w:t>6A, 6B</w:t>
            </w:r>
          </w:p>
        </w:tc>
        <w:tc>
          <w:tcPr>
            <w:tcW w:w="500" w:type="pct"/>
            <w:vMerge w:val="restart"/>
            <w:shd w:val="clear" w:color="auto" w:fill="FFFFFF"/>
            <w:tcMar>
              <w:top w:w="20" w:type="dxa"/>
              <w:bottom w:w="20" w:type="dxa"/>
            </w:tcMar>
            <w:vAlign w:val="center"/>
          </w:tcPr>
          <w:p w:rsidR="00BD3B5F" w:rsidRPr="005C3B55" w:rsidRDefault="00BD3B5F">
            <w:pPr>
              <w:jc w:val="left"/>
              <w:rPr>
                <w:sz w:val="12"/>
                <w:szCs w:val="24"/>
              </w:rPr>
            </w:pPr>
            <w:r w:rsidRPr="005C3B55">
              <w:rPr>
                <w:noProof/>
                <w:sz w:val="12"/>
                <w:szCs w:val="24"/>
              </w:rPr>
              <w:t>M07, M06, M16, M19</w:t>
            </w:r>
          </w:p>
        </w:tc>
      </w:tr>
      <w:tr w:rsidR="00BD3B5F" w:rsidRPr="005C3B55">
        <w:trPr>
          <w:trHeight w:val="390"/>
        </w:trPr>
        <w:tc>
          <w:tcPr>
            <w:tcW w:w="500" w:type="pct"/>
            <w:vMerge/>
            <w:shd w:val="clear" w:color="auto" w:fill="FFFFFF"/>
            <w:tcMar>
              <w:top w:w="20" w:type="dxa"/>
              <w:bottom w:w="20" w:type="dxa"/>
            </w:tcMar>
            <w:vAlign w:val="center"/>
          </w:tcPr>
          <w:p w:rsidR="00BD3B5F" w:rsidRPr="005C3B55" w:rsidRDefault="00BD3B5F">
            <w:pPr>
              <w:jc w:val="left"/>
              <w:rPr>
                <w:sz w:val="12"/>
                <w:szCs w:val="24"/>
              </w:rPr>
            </w:pPr>
          </w:p>
        </w:tc>
        <w:tc>
          <w:tcPr>
            <w:tcW w:w="500" w:type="pct"/>
            <w:vMerge/>
            <w:shd w:val="clear" w:color="auto" w:fill="FFFFFF"/>
            <w:tcMar>
              <w:top w:w="20" w:type="dxa"/>
              <w:bottom w:w="20" w:type="dxa"/>
            </w:tcMar>
            <w:vAlign w:val="center"/>
          </w:tcPr>
          <w:p w:rsidR="00BD3B5F" w:rsidRPr="005C3B55" w:rsidRDefault="00BD3B5F">
            <w:pPr>
              <w:jc w:val="left"/>
              <w:rPr>
                <w:sz w:val="12"/>
                <w:szCs w:val="24"/>
              </w:rPr>
            </w:pPr>
          </w:p>
        </w:tc>
        <w:tc>
          <w:tcPr>
            <w:tcW w:w="500" w:type="pct"/>
            <w:vMerge/>
            <w:shd w:val="clear" w:color="auto" w:fill="FFFFFF"/>
            <w:tcMar>
              <w:top w:w="20" w:type="dxa"/>
              <w:bottom w:w="20" w:type="dxa"/>
            </w:tcMar>
            <w:vAlign w:val="center"/>
          </w:tcPr>
          <w:p w:rsidR="00BD3B5F" w:rsidRPr="005C3B55" w:rsidRDefault="00BD3B5F">
            <w:pPr>
              <w:jc w:val="left"/>
              <w:rPr>
                <w:sz w:val="12"/>
                <w:szCs w:val="24"/>
              </w:rPr>
            </w:pPr>
          </w:p>
        </w:tc>
        <w:tc>
          <w:tcPr>
            <w:tcW w:w="500" w:type="pct"/>
            <w:vMerge/>
            <w:shd w:val="clear" w:color="auto" w:fill="FFFFFF"/>
            <w:tcMar>
              <w:top w:w="20" w:type="dxa"/>
              <w:bottom w:w="20" w:type="dxa"/>
            </w:tcMar>
            <w:vAlign w:val="center"/>
          </w:tcPr>
          <w:p w:rsidR="00BD3B5F" w:rsidRPr="005C3B55" w:rsidRDefault="00BD3B5F">
            <w:pPr>
              <w:jc w:val="left"/>
              <w:rPr>
                <w:sz w:val="12"/>
                <w:szCs w:val="24"/>
              </w:rPr>
            </w:pPr>
          </w:p>
        </w:tc>
        <w:tc>
          <w:tcPr>
            <w:tcW w:w="500" w:type="pct"/>
            <w:vMerge/>
            <w:shd w:val="clear" w:color="auto" w:fill="FFFFFF"/>
            <w:tcMar>
              <w:top w:w="20" w:type="dxa"/>
              <w:bottom w:w="20" w:type="dxa"/>
            </w:tcMar>
            <w:vAlign w:val="center"/>
          </w:tcPr>
          <w:p w:rsidR="00BD3B5F" w:rsidRPr="005C3B55" w:rsidRDefault="00BD3B5F">
            <w:pPr>
              <w:jc w:val="left"/>
              <w:rPr>
                <w:sz w:val="12"/>
                <w:szCs w:val="24"/>
              </w:rPr>
            </w:pPr>
          </w:p>
        </w:tc>
      </w:tr>
      <w:tr w:rsidR="00BD3B5F" w:rsidRPr="005C3B55">
        <w:trPr>
          <w:trHeight w:val="390"/>
        </w:trPr>
        <w:tc>
          <w:tcPr>
            <w:tcW w:w="500" w:type="pct"/>
            <w:vMerge/>
            <w:shd w:val="clear" w:color="auto" w:fill="FFFFFF"/>
            <w:tcMar>
              <w:top w:w="20" w:type="dxa"/>
              <w:bottom w:w="20" w:type="dxa"/>
            </w:tcMar>
            <w:vAlign w:val="center"/>
          </w:tcPr>
          <w:p w:rsidR="00BD3B5F" w:rsidRPr="005C3B55" w:rsidRDefault="00BD3B5F">
            <w:pPr>
              <w:jc w:val="left"/>
              <w:rPr>
                <w:sz w:val="12"/>
                <w:szCs w:val="24"/>
              </w:rPr>
            </w:pPr>
          </w:p>
        </w:tc>
        <w:tc>
          <w:tcPr>
            <w:tcW w:w="500" w:type="pct"/>
            <w:vMerge/>
            <w:shd w:val="clear" w:color="auto" w:fill="FFFFFF"/>
            <w:tcMar>
              <w:top w:w="20" w:type="dxa"/>
              <w:bottom w:w="20" w:type="dxa"/>
            </w:tcMar>
            <w:vAlign w:val="center"/>
          </w:tcPr>
          <w:p w:rsidR="00BD3B5F" w:rsidRPr="005C3B55" w:rsidRDefault="00BD3B5F">
            <w:pPr>
              <w:jc w:val="left"/>
              <w:rPr>
                <w:sz w:val="12"/>
                <w:szCs w:val="24"/>
              </w:rPr>
            </w:pPr>
          </w:p>
        </w:tc>
        <w:tc>
          <w:tcPr>
            <w:tcW w:w="500" w:type="pct"/>
            <w:vMerge/>
            <w:shd w:val="clear" w:color="auto" w:fill="FFFFFF"/>
            <w:tcMar>
              <w:top w:w="20" w:type="dxa"/>
              <w:bottom w:w="20" w:type="dxa"/>
            </w:tcMar>
            <w:vAlign w:val="center"/>
          </w:tcPr>
          <w:p w:rsidR="00BD3B5F" w:rsidRPr="005C3B55" w:rsidRDefault="00BD3B5F">
            <w:pPr>
              <w:jc w:val="left"/>
              <w:rPr>
                <w:sz w:val="12"/>
                <w:szCs w:val="24"/>
              </w:rPr>
            </w:pPr>
          </w:p>
        </w:tc>
        <w:tc>
          <w:tcPr>
            <w:tcW w:w="500" w:type="pct"/>
            <w:vMerge/>
            <w:shd w:val="clear" w:color="auto" w:fill="FFFFFF"/>
            <w:tcMar>
              <w:top w:w="20" w:type="dxa"/>
              <w:bottom w:w="20" w:type="dxa"/>
            </w:tcMar>
            <w:vAlign w:val="center"/>
          </w:tcPr>
          <w:p w:rsidR="00BD3B5F" w:rsidRPr="005C3B55" w:rsidRDefault="00BD3B5F">
            <w:pPr>
              <w:jc w:val="left"/>
              <w:rPr>
                <w:sz w:val="12"/>
                <w:szCs w:val="24"/>
              </w:rPr>
            </w:pPr>
          </w:p>
        </w:tc>
        <w:tc>
          <w:tcPr>
            <w:tcW w:w="500" w:type="pct"/>
            <w:vMerge/>
            <w:shd w:val="clear" w:color="auto" w:fill="FFFFFF"/>
            <w:tcMar>
              <w:top w:w="20" w:type="dxa"/>
              <w:bottom w:w="20" w:type="dxa"/>
            </w:tcMar>
            <w:vAlign w:val="center"/>
          </w:tcPr>
          <w:p w:rsidR="00BD3B5F" w:rsidRPr="005C3B55" w:rsidRDefault="00BD3B5F">
            <w:pPr>
              <w:jc w:val="left"/>
              <w:rPr>
                <w:sz w:val="12"/>
                <w:szCs w:val="24"/>
              </w:rPr>
            </w:pPr>
          </w:p>
        </w:tc>
      </w:tr>
      <w:tr w:rsidR="00BD3B5F" w:rsidRPr="005C3B55">
        <w:trPr>
          <w:trHeight w:val="405"/>
        </w:trPr>
        <w:tc>
          <w:tcPr>
            <w:tcW w:w="500" w:type="pct"/>
            <w:vMerge w:val="restart"/>
            <w:shd w:val="clear" w:color="auto" w:fill="FFFFFF"/>
            <w:tcMar>
              <w:top w:w="20" w:type="dxa"/>
              <w:bottom w:w="20" w:type="dxa"/>
            </w:tcMar>
            <w:vAlign w:val="center"/>
          </w:tcPr>
          <w:p w:rsidR="00BD3B5F" w:rsidRPr="005C3B55" w:rsidRDefault="00BD3B5F">
            <w:pPr>
              <w:jc w:val="left"/>
              <w:rPr>
                <w:szCs w:val="24"/>
              </w:rPr>
            </w:pPr>
            <w:r w:rsidRPr="005C3B55">
              <w:rPr>
                <w:sz w:val="12"/>
                <w:szCs w:val="24"/>
              </w:rPr>
              <w:t>G4) Public procurement: Arrangement of efficient application of EU legislation on public procurement in the field of ESI funds</w:t>
            </w:r>
          </w:p>
        </w:tc>
        <w:tc>
          <w:tcPr>
            <w:tcW w:w="500" w:type="pct"/>
            <w:vMerge w:val="restart"/>
            <w:shd w:val="clear" w:color="auto" w:fill="FFFFFF"/>
            <w:tcMar>
              <w:top w:w="20" w:type="dxa"/>
              <w:bottom w:w="20" w:type="dxa"/>
            </w:tcMar>
            <w:vAlign w:val="center"/>
          </w:tcPr>
          <w:p w:rsidR="00BD3B5F" w:rsidRPr="005C3B55" w:rsidRDefault="00BD3B5F">
            <w:pPr>
              <w:jc w:val="left"/>
              <w:rPr>
                <w:sz w:val="12"/>
                <w:szCs w:val="24"/>
              </w:rPr>
            </w:pPr>
            <w:r w:rsidRPr="005C3B55">
              <w:rPr>
                <w:noProof/>
                <w:sz w:val="12"/>
                <w:szCs w:val="24"/>
              </w:rPr>
              <w:t>partially</w:t>
            </w:r>
          </w:p>
        </w:tc>
        <w:tc>
          <w:tcPr>
            <w:tcW w:w="500" w:type="pct"/>
            <w:vMerge w:val="restart"/>
            <w:shd w:val="clear" w:color="auto" w:fill="FFFFFF"/>
            <w:tcMar>
              <w:top w:w="20" w:type="dxa"/>
              <w:bottom w:w="20" w:type="dxa"/>
            </w:tcMar>
            <w:vAlign w:val="center"/>
          </w:tcPr>
          <w:p w:rsidR="00BD3B5F" w:rsidRPr="005C3B55" w:rsidRDefault="00BD3B5F">
            <w:pPr>
              <w:jc w:val="left"/>
              <w:rPr>
                <w:szCs w:val="24"/>
              </w:rPr>
            </w:pPr>
            <w:r w:rsidRPr="005C3B55">
              <w:rPr>
                <w:sz w:val="12"/>
                <w:szCs w:val="24"/>
              </w:rPr>
              <w:t>Within this ex-ante conditionality, the criteria regarding the arrangement which ensures transparent contract award procedures, and the arrangement of training of, and providing information to, staff included in the implementation of ESI funds have been fulfilled. However, the criteria relating to arrangement of efficient application of EU legislation on public procurements supported by suitable mechanisms and relating to arrangements for the provision of administrative capacity for implementation and application of EU’s rules on public procurements have not been fulfilled.</w:t>
            </w:r>
          </w:p>
        </w:tc>
        <w:tc>
          <w:tcPr>
            <w:tcW w:w="500" w:type="pct"/>
            <w:vMerge w:val="restart"/>
            <w:shd w:val="clear" w:color="auto" w:fill="FFFFFF"/>
            <w:tcMar>
              <w:top w:w="20" w:type="dxa"/>
              <w:bottom w:w="20" w:type="dxa"/>
            </w:tcMar>
            <w:vAlign w:val="center"/>
          </w:tcPr>
          <w:p w:rsidR="00BD3B5F" w:rsidRPr="005C3B55" w:rsidRDefault="00BD3B5F">
            <w:pPr>
              <w:jc w:val="left"/>
              <w:rPr>
                <w:sz w:val="12"/>
                <w:szCs w:val="24"/>
              </w:rPr>
            </w:pPr>
            <w:r w:rsidRPr="005C3B55">
              <w:rPr>
                <w:noProof/>
                <w:sz w:val="12"/>
                <w:szCs w:val="24"/>
              </w:rPr>
              <w:t>2A, 6B</w:t>
            </w:r>
          </w:p>
        </w:tc>
        <w:tc>
          <w:tcPr>
            <w:tcW w:w="500" w:type="pct"/>
            <w:vMerge w:val="restart"/>
            <w:shd w:val="clear" w:color="auto" w:fill="FFFFFF"/>
            <w:tcMar>
              <w:top w:w="20" w:type="dxa"/>
              <w:bottom w:w="20" w:type="dxa"/>
            </w:tcMar>
            <w:vAlign w:val="center"/>
          </w:tcPr>
          <w:p w:rsidR="00BD3B5F" w:rsidRPr="005C3B55" w:rsidRDefault="00BD3B5F">
            <w:pPr>
              <w:jc w:val="left"/>
              <w:rPr>
                <w:sz w:val="12"/>
                <w:szCs w:val="24"/>
              </w:rPr>
            </w:pPr>
            <w:r w:rsidRPr="005C3B55">
              <w:rPr>
                <w:noProof/>
                <w:sz w:val="12"/>
                <w:szCs w:val="24"/>
              </w:rPr>
              <w:t>M08, M20, M07, M02, M19, M01, M06, M04, M16</w:t>
            </w:r>
          </w:p>
        </w:tc>
      </w:tr>
      <w:tr w:rsidR="00BD3B5F" w:rsidRPr="005C3B55">
        <w:trPr>
          <w:trHeight w:val="390"/>
        </w:trPr>
        <w:tc>
          <w:tcPr>
            <w:tcW w:w="500" w:type="pct"/>
            <w:vMerge/>
            <w:shd w:val="clear" w:color="auto" w:fill="FFFFFF"/>
            <w:tcMar>
              <w:top w:w="20" w:type="dxa"/>
              <w:bottom w:w="20" w:type="dxa"/>
            </w:tcMar>
            <w:vAlign w:val="center"/>
          </w:tcPr>
          <w:p w:rsidR="00BD3B5F" w:rsidRPr="005C3B55" w:rsidRDefault="00BD3B5F">
            <w:pPr>
              <w:jc w:val="left"/>
              <w:rPr>
                <w:sz w:val="12"/>
                <w:szCs w:val="24"/>
              </w:rPr>
            </w:pPr>
          </w:p>
        </w:tc>
        <w:tc>
          <w:tcPr>
            <w:tcW w:w="500" w:type="pct"/>
            <w:vMerge/>
            <w:shd w:val="clear" w:color="auto" w:fill="FFFFFF"/>
            <w:tcMar>
              <w:top w:w="20" w:type="dxa"/>
              <w:bottom w:w="20" w:type="dxa"/>
            </w:tcMar>
            <w:vAlign w:val="center"/>
          </w:tcPr>
          <w:p w:rsidR="00BD3B5F" w:rsidRPr="005C3B55" w:rsidRDefault="00BD3B5F">
            <w:pPr>
              <w:jc w:val="left"/>
              <w:rPr>
                <w:sz w:val="12"/>
                <w:szCs w:val="24"/>
              </w:rPr>
            </w:pPr>
          </w:p>
        </w:tc>
        <w:tc>
          <w:tcPr>
            <w:tcW w:w="500" w:type="pct"/>
            <w:vMerge/>
            <w:shd w:val="clear" w:color="auto" w:fill="FFFFFF"/>
            <w:tcMar>
              <w:top w:w="20" w:type="dxa"/>
              <w:bottom w:w="20" w:type="dxa"/>
            </w:tcMar>
            <w:vAlign w:val="center"/>
          </w:tcPr>
          <w:p w:rsidR="00BD3B5F" w:rsidRPr="005C3B55" w:rsidRDefault="00BD3B5F">
            <w:pPr>
              <w:jc w:val="left"/>
              <w:rPr>
                <w:sz w:val="12"/>
                <w:szCs w:val="24"/>
              </w:rPr>
            </w:pPr>
          </w:p>
        </w:tc>
        <w:tc>
          <w:tcPr>
            <w:tcW w:w="500" w:type="pct"/>
            <w:vMerge/>
            <w:shd w:val="clear" w:color="auto" w:fill="FFFFFF"/>
            <w:tcMar>
              <w:top w:w="20" w:type="dxa"/>
              <w:bottom w:w="20" w:type="dxa"/>
            </w:tcMar>
            <w:vAlign w:val="center"/>
          </w:tcPr>
          <w:p w:rsidR="00BD3B5F" w:rsidRPr="005C3B55" w:rsidRDefault="00BD3B5F">
            <w:pPr>
              <w:jc w:val="left"/>
              <w:rPr>
                <w:sz w:val="12"/>
                <w:szCs w:val="24"/>
              </w:rPr>
            </w:pPr>
          </w:p>
        </w:tc>
        <w:tc>
          <w:tcPr>
            <w:tcW w:w="500" w:type="pct"/>
            <w:vMerge/>
            <w:shd w:val="clear" w:color="auto" w:fill="FFFFFF"/>
            <w:tcMar>
              <w:top w:w="20" w:type="dxa"/>
              <w:bottom w:w="20" w:type="dxa"/>
            </w:tcMar>
            <w:vAlign w:val="center"/>
          </w:tcPr>
          <w:p w:rsidR="00BD3B5F" w:rsidRPr="005C3B55" w:rsidRDefault="00BD3B5F">
            <w:pPr>
              <w:jc w:val="left"/>
              <w:rPr>
                <w:sz w:val="12"/>
                <w:szCs w:val="24"/>
              </w:rPr>
            </w:pPr>
          </w:p>
        </w:tc>
      </w:tr>
      <w:tr w:rsidR="00BD3B5F" w:rsidRPr="005C3B55">
        <w:trPr>
          <w:trHeight w:val="390"/>
        </w:trPr>
        <w:tc>
          <w:tcPr>
            <w:tcW w:w="500" w:type="pct"/>
            <w:vMerge/>
            <w:shd w:val="clear" w:color="auto" w:fill="FFFFFF"/>
            <w:tcMar>
              <w:top w:w="20" w:type="dxa"/>
              <w:bottom w:w="20" w:type="dxa"/>
            </w:tcMar>
            <w:vAlign w:val="center"/>
          </w:tcPr>
          <w:p w:rsidR="00BD3B5F" w:rsidRPr="005C3B55" w:rsidRDefault="00BD3B5F">
            <w:pPr>
              <w:jc w:val="left"/>
              <w:rPr>
                <w:sz w:val="12"/>
                <w:szCs w:val="24"/>
              </w:rPr>
            </w:pPr>
          </w:p>
        </w:tc>
        <w:tc>
          <w:tcPr>
            <w:tcW w:w="500" w:type="pct"/>
            <w:vMerge/>
            <w:shd w:val="clear" w:color="auto" w:fill="FFFFFF"/>
            <w:tcMar>
              <w:top w:w="20" w:type="dxa"/>
              <w:bottom w:w="20" w:type="dxa"/>
            </w:tcMar>
            <w:vAlign w:val="center"/>
          </w:tcPr>
          <w:p w:rsidR="00BD3B5F" w:rsidRPr="005C3B55" w:rsidRDefault="00BD3B5F">
            <w:pPr>
              <w:jc w:val="left"/>
              <w:rPr>
                <w:sz w:val="12"/>
                <w:szCs w:val="24"/>
              </w:rPr>
            </w:pPr>
          </w:p>
        </w:tc>
        <w:tc>
          <w:tcPr>
            <w:tcW w:w="500" w:type="pct"/>
            <w:vMerge/>
            <w:shd w:val="clear" w:color="auto" w:fill="FFFFFF"/>
            <w:tcMar>
              <w:top w:w="20" w:type="dxa"/>
              <w:bottom w:w="20" w:type="dxa"/>
            </w:tcMar>
            <w:vAlign w:val="center"/>
          </w:tcPr>
          <w:p w:rsidR="00BD3B5F" w:rsidRPr="005C3B55" w:rsidRDefault="00BD3B5F">
            <w:pPr>
              <w:jc w:val="left"/>
              <w:rPr>
                <w:sz w:val="12"/>
                <w:szCs w:val="24"/>
              </w:rPr>
            </w:pPr>
          </w:p>
        </w:tc>
        <w:tc>
          <w:tcPr>
            <w:tcW w:w="500" w:type="pct"/>
            <w:vMerge/>
            <w:shd w:val="clear" w:color="auto" w:fill="FFFFFF"/>
            <w:tcMar>
              <w:top w:w="20" w:type="dxa"/>
              <w:bottom w:w="20" w:type="dxa"/>
            </w:tcMar>
            <w:vAlign w:val="center"/>
          </w:tcPr>
          <w:p w:rsidR="00BD3B5F" w:rsidRPr="005C3B55" w:rsidRDefault="00BD3B5F">
            <w:pPr>
              <w:jc w:val="left"/>
              <w:rPr>
                <w:sz w:val="12"/>
                <w:szCs w:val="24"/>
              </w:rPr>
            </w:pPr>
          </w:p>
        </w:tc>
        <w:tc>
          <w:tcPr>
            <w:tcW w:w="500" w:type="pct"/>
            <w:vMerge/>
            <w:shd w:val="clear" w:color="auto" w:fill="FFFFFF"/>
            <w:tcMar>
              <w:top w:w="20" w:type="dxa"/>
              <w:bottom w:w="20" w:type="dxa"/>
            </w:tcMar>
            <w:vAlign w:val="center"/>
          </w:tcPr>
          <w:p w:rsidR="00BD3B5F" w:rsidRPr="005C3B55" w:rsidRDefault="00BD3B5F">
            <w:pPr>
              <w:jc w:val="left"/>
              <w:rPr>
                <w:sz w:val="12"/>
                <w:szCs w:val="24"/>
              </w:rPr>
            </w:pPr>
          </w:p>
        </w:tc>
      </w:tr>
      <w:tr w:rsidR="00BD3B5F" w:rsidRPr="005C3B55">
        <w:trPr>
          <w:trHeight w:val="390"/>
        </w:trPr>
        <w:tc>
          <w:tcPr>
            <w:tcW w:w="500" w:type="pct"/>
            <w:vMerge/>
            <w:shd w:val="clear" w:color="auto" w:fill="FFFFFF"/>
            <w:tcMar>
              <w:top w:w="20" w:type="dxa"/>
              <w:bottom w:w="20" w:type="dxa"/>
            </w:tcMar>
            <w:vAlign w:val="center"/>
          </w:tcPr>
          <w:p w:rsidR="00BD3B5F" w:rsidRPr="005C3B55" w:rsidRDefault="00BD3B5F">
            <w:pPr>
              <w:jc w:val="left"/>
              <w:rPr>
                <w:sz w:val="12"/>
                <w:szCs w:val="24"/>
              </w:rPr>
            </w:pPr>
          </w:p>
        </w:tc>
        <w:tc>
          <w:tcPr>
            <w:tcW w:w="500" w:type="pct"/>
            <w:vMerge/>
            <w:shd w:val="clear" w:color="auto" w:fill="FFFFFF"/>
            <w:tcMar>
              <w:top w:w="20" w:type="dxa"/>
              <w:bottom w:w="20" w:type="dxa"/>
            </w:tcMar>
            <w:vAlign w:val="center"/>
          </w:tcPr>
          <w:p w:rsidR="00BD3B5F" w:rsidRPr="005C3B55" w:rsidRDefault="00BD3B5F">
            <w:pPr>
              <w:jc w:val="left"/>
              <w:rPr>
                <w:sz w:val="12"/>
                <w:szCs w:val="24"/>
              </w:rPr>
            </w:pPr>
          </w:p>
        </w:tc>
        <w:tc>
          <w:tcPr>
            <w:tcW w:w="500" w:type="pct"/>
            <w:vMerge/>
            <w:shd w:val="clear" w:color="auto" w:fill="FFFFFF"/>
            <w:tcMar>
              <w:top w:w="20" w:type="dxa"/>
              <w:bottom w:w="20" w:type="dxa"/>
            </w:tcMar>
            <w:vAlign w:val="center"/>
          </w:tcPr>
          <w:p w:rsidR="00BD3B5F" w:rsidRPr="005C3B55" w:rsidRDefault="00BD3B5F">
            <w:pPr>
              <w:jc w:val="left"/>
              <w:rPr>
                <w:sz w:val="12"/>
                <w:szCs w:val="24"/>
              </w:rPr>
            </w:pPr>
          </w:p>
        </w:tc>
        <w:tc>
          <w:tcPr>
            <w:tcW w:w="500" w:type="pct"/>
            <w:vMerge/>
            <w:shd w:val="clear" w:color="auto" w:fill="FFFFFF"/>
            <w:tcMar>
              <w:top w:w="20" w:type="dxa"/>
              <w:bottom w:w="20" w:type="dxa"/>
            </w:tcMar>
            <w:vAlign w:val="center"/>
          </w:tcPr>
          <w:p w:rsidR="00BD3B5F" w:rsidRPr="005C3B55" w:rsidRDefault="00BD3B5F">
            <w:pPr>
              <w:jc w:val="left"/>
              <w:rPr>
                <w:sz w:val="12"/>
                <w:szCs w:val="24"/>
              </w:rPr>
            </w:pPr>
          </w:p>
        </w:tc>
        <w:tc>
          <w:tcPr>
            <w:tcW w:w="500" w:type="pct"/>
            <w:vMerge/>
            <w:shd w:val="clear" w:color="auto" w:fill="FFFFFF"/>
            <w:tcMar>
              <w:top w:w="20" w:type="dxa"/>
              <w:bottom w:w="20" w:type="dxa"/>
            </w:tcMar>
            <w:vAlign w:val="center"/>
          </w:tcPr>
          <w:p w:rsidR="00BD3B5F" w:rsidRPr="005C3B55" w:rsidRDefault="00BD3B5F">
            <w:pPr>
              <w:jc w:val="left"/>
              <w:rPr>
                <w:sz w:val="12"/>
                <w:szCs w:val="24"/>
              </w:rPr>
            </w:pPr>
          </w:p>
        </w:tc>
      </w:tr>
      <w:tr w:rsidR="00BD3B5F" w:rsidRPr="005C3B55">
        <w:trPr>
          <w:trHeight w:val="405"/>
        </w:trPr>
        <w:tc>
          <w:tcPr>
            <w:tcW w:w="500" w:type="pct"/>
            <w:vMerge w:val="restart"/>
            <w:shd w:val="clear" w:color="auto" w:fill="FFFFFF"/>
            <w:tcMar>
              <w:top w:w="20" w:type="dxa"/>
              <w:bottom w:w="20" w:type="dxa"/>
            </w:tcMar>
            <w:vAlign w:val="center"/>
          </w:tcPr>
          <w:p w:rsidR="00BD3B5F" w:rsidRPr="005C3B55" w:rsidRDefault="00BD3B5F">
            <w:pPr>
              <w:jc w:val="left"/>
              <w:rPr>
                <w:szCs w:val="24"/>
              </w:rPr>
            </w:pPr>
            <w:r w:rsidRPr="005C3B55">
              <w:rPr>
                <w:sz w:val="12"/>
                <w:szCs w:val="24"/>
              </w:rPr>
              <w:t>G5) State aid: Arrangement of efficient application of EU rules on state aid in the field of ESI funds</w:t>
            </w:r>
          </w:p>
        </w:tc>
        <w:tc>
          <w:tcPr>
            <w:tcW w:w="500" w:type="pct"/>
            <w:vMerge w:val="restart"/>
            <w:shd w:val="clear" w:color="auto" w:fill="FFFFFF"/>
            <w:tcMar>
              <w:top w:w="20" w:type="dxa"/>
              <w:bottom w:w="20" w:type="dxa"/>
            </w:tcMar>
            <w:vAlign w:val="center"/>
          </w:tcPr>
          <w:p w:rsidR="00BD3B5F" w:rsidRPr="005C3B55" w:rsidRDefault="00BD3B5F">
            <w:pPr>
              <w:jc w:val="left"/>
              <w:rPr>
                <w:sz w:val="12"/>
                <w:szCs w:val="24"/>
              </w:rPr>
            </w:pPr>
            <w:r w:rsidRPr="005C3B55">
              <w:rPr>
                <w:noProof/>
                <w:sz w:val="12"/>
                <w:szCs w:val="24"/>
              </w:rPr>
              <w:t>yes</w:t>
            </w:r>
          </w:p>
        </w:tc>
        <w:tc>
          <w:tcPr>
            <w:tcW w:w="500" w:type="pct"/>
            <w:vMerge w:val="restart"/>
            <w:shd w:val="clear" w:color="auto" w:fill="FFFFFF"/>
            <w:tcMar>
              <w:top w:w="20" w:type="dxa"/>
              <w:bottom w:w="20" w:type="dxa"/>
            </w:tcMar>
            <w:vAlign w:val="center"/>
          </w:tcPr>
          <w:p w:rsidR="00BD3B5F" w:rsidRPr="005C3B55" w:rsidRDefault="00BD3B5F">
            <w:pPr>
              <w:jc w:val="left"/>
              <w:rPr>
                <w:szCs w:val="24"/>
              </w:rPr>
            </w:pPr>
            <w:r w:rsidRPr="005C3B55">
              <w:rPr>
                <w:sz w:val="12"/>
                <w:szCs w:val="24"/>
              </w:rPr>
              <w:t>Ex-ante conditionality has been completely fulfilled.</w:t>
            </w:r>
          </w:p>
        </w:tc>
        <w:tc>
          <w:tcPr>
            <w:tcW w:w="500" w:type="pct"/>
            <w:vMerge w:val="restart"/>
            <w:shd w:val="clear" w:color="auto" w:fill="FFFFFF"/>
            <w:tcMar>
              <w:top w:w="20" w:type="dxa"/>
              <w:bottom w:w="20" w:type="dxa"/>
            </w:tcMar>
            <w:vAlign w:val="center"/>
          </w:tcPr>
          <w:p w:rsidR="00BD3B5F" w:rsidRPr="005C3B55" w:rsidRDefault="00BD3B5F">
            <w:pPr>
              <w:jc w:val="left"/>
              <w:rPr>
                <w:sz w:val="12"/>
                <w:szCs w:val="24"/>
              </w:rPr>
            </w:pPr>
            <w:r w:rsidRPr="005C3B55">
              <w:rPr>
                <w:noProof/>
                <w:sz w:val="12"/>
                <w:szCs w:val="24"/>
              </w:rPr>
              <w:t>P4, 6C, 2A, 3A, 6A</w:t>
            </w:r>
          </w:p>
        </w:tc>
        <w:tc>
          <w:tcPr>
            <w:tcW w:w="500" w:type="pct"/>
            <w:vMerge w:val="restart"/>
            <w:shd w:val="clear" w:color="auto" w:fill="FFFFFF"/>
            <w:tcMar>
              <w:top w:w="20" w:type="dxa"/>
              <w:bottom w:w="20" w:type="dxa"/>
            </w:tcMar>
            <w:vAlign w:val="center"/>
          </w:tcPr>
          <w:p w:rsidR="00BD3B5F" w:rsidRPr="005C3B55" w:rsidRDefault="00BD3B5F">
            <w:pPr>
              <w:jc w:val="left"/>
              <w:rPr>
                <w:sz w:val="12"/>
                <w:szCs w:val="24"/>
              </w:rPr>
            </w:pPr>
            <w:r w:rsidRPr="005C3B55">
              <w:rPr>
                <w:noProof/>
                <w:sz w:val="12"/>
                <w:szCs w:val="24"/>
              </w:rPr>
              <w:t>M19, M02, M04, M06, M09, M16, M03, M01, M07, M05, M08</w:t>
            </w:r>
          </w:p>
        </w:tc>
      </w:tr>
      <w:tr w:rsidR="00BD3B5F" w:rsidRPr="005C3B55">
        <w:trPr>
          <w:trHeight w:val="390"/>
        </w:trPr>
        <w:tc>
          <w:tcPr>
            <w:tcW w:w="500" w:type="pct"/>
            <w:vMerge/>
            <w:shd w:val="clear" w:color="auto" w:fill="FFFFFF"/>
            <w:tcMar>
              <w:top w:w="20" w:type="dxa"/>
              <w:bottom w:w="20" w:type="dxa"/>
            </w:tcMar>
            <w:vAlign w:val="center"/>
          </w:tcPr>
          <w:p w:rsidR="00BD3B5F" w:rsidRPr="005C3B55" w:rsidRDefault="00BD3B5F">
            <w:pPr>
              <w:jc w:val="left"/>
              <w:rPr>
                <w:sz w:val="12"/>
                <w:szCs w:val="24"/>
              </w:rPr>
            </w:pPr>
          </w:p>
        </w:tc>
        <w:tc>
          <w:tcPr>
            <w:tcW w:w="500" w:type="pct"/>
            <w:vMerge/>
            <w:shd w:val="clear" w:color="auto" w:fill="FFFFFF"/>
            <w:tcMar>
              <w:top w:w="20" w:type="dxa"/>
              <w:bottom w:w="20" w:type="dxa"/>
            </w:tcMar>
            <w:vAlign w:val="center"/>
          </w:tcPr>
          <w:p w:rsidR="00BD3B5F" w:rsidRPr="005C3B55" w:rsidRDefault="00BD3B5F">
            <w:pPr>
              <w:jc w:val="left"/>
              <w:rPr>
                <w:sz w:val="12"/>
                <w:szCs w:val="24"/>
              </w:rPr>
            </w:pPr>
          </w:p>
        </w:tc>
        <w:tc>
          <w:tcPr>
            <w:tcW w:w="500" w:type="pct"/>
            <w:vMerge/>
            <w:shd w:val="clear" w:color="auto" w:fill="FFFFFF"/>
            <w:tcMar>
              <w:top w:w="20" w:type="dxa"/>
              <w:bottom w:w="20" w:type="dxa"/>
            </w:tcMar>
            <w:vAlign w:val="center"/>
          </w:tcPr>
          <w:p w:rsidR="00BD3B5F" w:rsidRPr="005C3B55" w:rsidRDefault="00BD3B5F">
            <w:pPr>
              <w:jc w:val="left"/>
              <w:rPr>
                <w:sz w:val="12"/>
                <w:szCs w:val="24"/>
              </w:rPr>
            </w:pPr>
          </w:p>
        </w:tc>
        <w:tc>
          <w:tcPr>
            <w:tcW w:w="500" w:type="pct"/>
            <w:vMerge/>
            <w:shd w:val="clear" w:color="auto" w:fill="FFFFFF"/>
            <w:tcMar>
              <w:top w:w="20" w:type="dxa"/>
              <w:bottom w:w="20" w:type="dxa"/>
            </w:tcMar>
            <w:vAlign w:val="center"/>
          </w:tcPr>
          <w:p w:rsidR="00BD3B5F" w:rsidRPr="005C3B55" w:rsidRDefault="00BD3B5F">
            <w:pPr>
              <w:jc w:val="left"/>
              <w:rPr>
                <w:sz w:val="12"/>
                <w:szCs w:val="24"/>
              </w:rPr>
            </w:pPr>
          </w:p>
        </w:tc>
        <w:tc>
          <w:tcPr>
            <w:tcW w:w="500" w:type="pct"/>
            <w:vMerge/>
            <w:shd w:val="clear" w:color="auto" w:fill="FFFFFF"/>
            <w:tcMar>
              <w:top w:w="20" w:type="dxa"/>
              <w:bottom w:w="20" w:type="dxa"/>
            </w:tcMar>
            <w:vAlign w:val="center"/>
          </w:tcPr>
          <w:p w:rsidR="00BD3B5F" w:rsidRPr="005C3B55" w:rsidRDefault="00BD3B5F">
            <w:pPr>
              <w:jc w:val="left"/>
              <w:rPr>
                <w:sz w:val="12"/>
                <w:szCs w:val="24"/>
              </w:rPr>
            </w:pPr>
          </w:p>
        </w:tc>
      </w:tr>
      <w:tr w:rsidR="00BD3B5F" w:rsidRPr="005C3B55">
        <w:trPr>
          <w:trHeight w:val="390"/>
        </w:trPr>
        <w:tc>
          <w:tcPr>
            <w:tcW w:w="500" w:type="pct"/>
            <w:vMerge/>
            <w:shd w:val="clear" w:color="auto" w:fill="FFFFFF"/>
            <w:tcMar>
              <w:top w:w="20" w:type="dxa"/>
              <w:bottom w:w="20" w:type="dxa"/>
            </w:tcMar>
            <w:vAlign w:val="center"/>
          </w:tcPr>
          <w:p w:rsidR="00BD3B5F" w:rsidRPr="005C3B55" w:rsidRDefault="00BD3B5F">
            <w:pPr>
              <w:jc w:val="left"/>
              <w:rPr>
                <w:sz w:val="12"/>
                <w:szCs w:val="24"/>
              </w:rPr>
            </w:pPr>
          </w:p>
        </w:tc>
        <w:tc>
          <w:tcPr>
            <w:tcW w:w="500" w:type="pct"/>
            <w:vMerge/>
            <w:shd w:val="clear" w:color="auto" w:fill="FFFFFF"/>
            <w:tcMar>
              <w:top w:w="20" w:type="dxa"/>
              <w:bottom w:w="20" w:type="dxa"/>
            </w:tcMar>
            <w:vAlign w:val="center"/>
          </w:tcPr>
          <w:p w:rsidR="00BD3B5F" w:rsidRPr="005C3B55" w:rsidRDefault="00BD3B5F">
            <w:pPr>
              <w:jc w:val="left"/>
              <w:rPr>
                <w:sz w:val="12"/>
                <w:szCs w:val="24"/>
              </w:rPr>
            </w:pPr>
          </w:p>
        </w:tc>
        <w:tc>
          <w:tcPr>
            <w:tcW w:w="500" w:type="pct"/>
            <w:vMerge/>
            <w:shd w:val="clear" w:color="auto" w:fill="FFFFFF"/>
            <w:tcMar>
              <w:top w:w="20" w:type="dxa"/>
              <w:bottom w:w="20" w:type="dxa"/>
            </w:tcMar>
            <w:vAlign w:val="center"/>
          </w:tcPr>
          <w:p w:rsidR="00BD3B5F" w:rsidRPr="005C3B55" w:rsidRDefault="00BD3B5F">
            <w:pPr>
              <w:jc w:val="left"/>
              <w:rPr>
                <w:sz w:val="12"/>
                <w:szCs w:val="24"/>
              </w:rPr>
            </w:pPr>
          </w:p>
        </w:tc>
        <w:tc>
          <w:tcPr>
            <w:tcW w:w="500" w:type="pct"/>
            <w:vMerge/>
            <w:shd w:val="clear" w:color="auto" w:fill="FFFFFF"/>
            <w:tcMar>
              <w:top w:w="20" w:type="dxa"/>
              <w:bottom w:w="20" w:type="dxa"/>
            </w:tcMar>
            <w:vAlign w:val="center"/>
          </w:tcPr>
          <w:p w:rsidR="00BD3B5F" w:rsidRPr="005C3B55" w:rsidRDefault="00BD3B5F">
            <w:pPr>
              <w:jc w:val="left"/>
              <w:rPr>
                <w:sz w:val="12"/>
                <w:szCs w:val="24"/>
              </w:rPr>
            </w:pPr>
          </w:p>
        </w:tc>
        <w:tc>
          <w:tcPr>
            <w:tcW w:w="500" w:type="pct"/>
            <w:vMerge/>
            <w:shd w:val="clear" w:color="auto" w:fill="FFFFFF"/>
            <w:tcMar>
              <w:top w:w="20" w:type="dxa"/>
              <w:bottom w:w="20" w:type="dxa"/>
            </w:tcMar>
            <w:vAlign w:val="center"/>
          </w:tcPr>
          <w:p w:rsidR="00BD3B5F" w:rsidRPr="005C3B55" w:rsidRDefault="00BD3B5F">
            <w:pPr>
              <w:jc w:val="left"/>
              <w:rPr>
                <w:sz w:val="12"/>
                <w:szCs w:val="24"/>
              </w:rPr>
            </w:pPr>
          </w:p>
        </w:tc>
      </w:tr>
      <w:tr w:rsidR="00BD3B5F" w:rsidRPr="005C3B55">
        <w:trPr>
          <w:trHeight w:val="405"/>
        </w:trPr>
        <w:tc>
          <w:tcPr>
            <w:tcW w:w="500" w:type="pct"/>
            <w:vMerge w:val="restart"/>
            <w:shd w:val="clear" w:color="auto" w:fill="FFFFFF"/>
            <w:tcMar>
              <w:top w:w="20" w:type="dxa"/>
              <w:bottom w:w="20" w:type="dxa"/>
            </w:tcMar>
            <w:vAlign w:val="center"/>
          </w:tcPr>
          <w:p w:rsidR="00BD3B5F" w:rsidRPr="005C3B55" w:rsidRDefault="00BD3B5F">
            <w:pPr>
              <w:jc w:val="left"/>
              <w:rPr>
                <w:szCs w:val="24"/>
              </w:rPr>
            </w:pPr>
            <w:r w:rsidRPr="005C3B55">
              <w:rPr>
                <w:sz w:val="12"/>
                <w:szCs w:val="24"/>
              </w:rPr>
              <w:t>G6) Environmental legislation related to the environmental impact assessment and strategic environmental assessment: Arrangement of efficient application of EU environmental legislation relating to the environmental impact assessment and strategic environmental assessment</w:t>
            </w:r>
          </w:p>
        </w:tc>
        <w:tc>
          <w:tcPr>
            <w:tcW w:w="500" w:type="pct"/>
            <w:vMerge w:val="restart"/>
            <w:shd w:val="clear" w:color="auto" w:fill="FFFFFF"/>
            <w:tcMar>
              <w:top w:w="20" w:type="dxa"/>
              <w:bottom w:w="20" w:type="dxa"/>
            </w:tcMar>
            <w:vAlign w:val="center"/>
          </w:tcPr>
          <w:p w:rsidR="00BD3B5F" w:rsidRPr="005C3B55" w:rsidRDefault="00BD3B5F">
            <w:pPr>
              <w:jc w:val="left"/>
              <w:rPr>
                <w:sz w:val="12"/>
                <w:szCs w:val="24"/>
              </w:rPr>
            </w:pPr>
            <w:r w:rsidRPr="005C3B55">
              <w:rPr>
                <w:noProof/>
                <w:sz w:val="12"/>
                <w:szCs w:val="24"/>
              </w:rPr>
              <w:t>partially</w:t>
            </w:r>
          </w:p>
        </w:tc>
        <w:tc>
          <w:tcPr>
            <w:tcW w:w="500" w:type="pct"/>
            <w:vMerge w:val="restart"/>
            <w:shd w:val="clear" w:color="auto" w:fill="FFFFFF"/>
            <w:tcMar>
              <w:top w:w="20" w:type="dxa"/>
              <w:bottom w:w="20" w:type="dxa"/>
            </w:tcMar>
            <w:vAlign w:val="center"/>
          </w:tcPr>
          <w:p w:rsidR="00BD3B5F" w:rsidRPr="005C3B55" w:rsidRDefault="00BD3B5F">
            <w:pPr>
              <w:jc w:val="left"/>
              <w:rPr>
                <w:szCs w:val="24"/>
              </w:rPr>
            </w:pPr>
            <w:r w:rsidRPr="005C3B55">
              <w:rPr>
                <w:sz w:val="12"/>
                <w:szCs w:val="24"/>
              </w:rPr>
              <w:t>Within this ex-ante conditionality, the criterion is fulfilled referring to the arrangement for efficient application of Directive 2011/92/EU of the European Parliament and of the Council (EIA) and Directive 2001/42/EC of the European Parliament and of the Council (SEA). However, the criteria as per the arrangement of training of, and providing information to, staff included in the implementation of the EIA and SEA directives, which ensures sufficient administrative capacity, are not fulfilled.</w:t>
            </w:r>
          </w:p>
        </w:tc>
        <w:tc>
          <w:tcPr>
            <w:tcW w:w="500" w:type="pct"/>
            <w:vMerge w:val="restart"/>
            <w:shd w:val="clear" w:color="auto" w:fill="FFFFFF"/>
            <w:tcMar>
              <w:top w:w="20" w:type="dxa"/>
              <w:bottom w:w="20" w:type="dxa"/>
            </w:tcMar>
            <w:vAlign w:val="center"/>
          </w:tcPr>
          <w:p w:rsidR="00BD3B5F" w:rsidRPr="005C3B55" w:rsidRDefault="00BD3B5F">
            <w:pPr>
              <w:jc w:val="left"/>
              <w:rPr>
                <w:sz w:val="12"/>
                <w:szCs w:val="24"/>
              </w:rPr>
            </w:pPr>
            <w:r w:rsidRPr="005C3B55">
              <w:rPr>
                <w:noProof/>
                <w:sz w:val="12"/>
                <w:szCs w:val="24"/>
              </w:rPr>
              <w:t>P4, 6A, 6C, 3A, 2A</w:t>
            </w:r>
          </w:p>
        </w:tc>
        <w:tc>
          <w:tcPr>
            <w:tcW w:w="500" w:type="pct"/>
            <w:vMerge w:val="restart"/>
            <w:shd w:val="clear" w:color="auto" w:fill="FFFFFF"/>
            <w:tcMar>
              <w:top w:w="20" w:type="dxa"/>
              <w:bottom w:w="20" w:type="dxa"/>
            </w:tcMar>
            <w:vAlign w:val="center"/>
          </w:tcPr>
          <w:p w:rsidR="00BD3B5F" w:rsidRPr="005C3B55" w:rsidRDefault="00BD3B5F">
            <w:pPr>
              <w:jc w:val="left"/>
              <w:rPr>
                <w:sz w:val="12"/>
                <w:szCs w:val="24"/>
              </w:rPr>
            </w:pPr>
            <w:r w:rsidRPr="005C3B55">
              <w:rPr>
                <w:noProof/>
                <w:sz w:val="12"/>
                <w:szCs w:val="24"/>
              </w:rPr>
              <w:t>M13, M19, M08, M14, M20, M09, M10, M04, M06, M02, M07, M16, M03, M01, M11</w:t>
            </w:r>
          </w:p>
        </w:tc>
      </w:tr>
      <w:tr w:rsidR="00BD3B5F" w:rsidRPr="005C3B55">
        <w:trPr>
          <w:trHeight w:val="390"/>
        </w:trPr>
        <w:tc>
          <w:tcPr>
            <w:tcW w:w="500" w:type="pct"/>
            <w:vMerge/>
            <w:shd w:val="clear" w:color="auto" w:fill="FFFFFF"/>
            <w:tcMar>
              <w:top w:w="20" w:type="dxa"/>
              <w:bottom w:w="20" w:type="dxa"/>
            </w:tcMar>
            <w:vAlign w:val="center"/>
          </w:tcPr>
          <w:p w:rsidR="00BD3B5F" w:rsidRPr="005C3B55" w:rsidRDefault="00BD3B5F">
            <w:pPr>
              <w:jc w:val="left"/>
              <w:rPr>
                <w:sz w:val="12"/>
                <w:szCs w:val="24"/>
              </w:rPr>
            </w:pPr>
          </w:p>
        </w:tc>
        <w:tc>
          <w:tcPr>
            <w:tcW w:w="500" w:type="pct"/>
            <w:vMerge/>
            <w:shd w:val="clear" w:color="auto" w:fill="FFFFFF"/>
            <w:tcMar>
              <w:top w:w="20" w:type="dxa"/>
              <w:bottom w:w="20" w:type="dxa"/>
            </w:tcMar>
            <w:vAlign w:val="center"/>
          </w:tcPr>
          <w:p w:rsidR="00BD3B5F" w:rsidRPr="005C3B55" w:rsidRDefault="00BD3B5F">
            <w:pPr>
              <w:jc w:val="left"/>
              <w:rPr>
                <w:sz w:val="12"/>
                <w:szCs w:val="24"/>
              </w:rPr>
            </w:pPr>
          </w:p>
        </w:tc>
        <w:tc>
          <w:tcPr>
            <w:tcW w:w="500" w:type="pct"/>
            <w:vMerge/>
            <w:shd w:val="clear" w:color="auto" w:fill="FFFFFF"/>
            <w:tcMar>
              <w:top w:w="20" w:type="dxa"/>
              <w:bottom w:w="20" w:type="dxa"/>
            </w:tcMar>
            <w:vAlign w:val="center"/>
          </w:tcPr>
          <w:p w:rsidR="00BD3B5F" w:rsidRPr="005C3B55" w:rsidRDefault="00BD3B5F">
            <w:pPr>
              <w:jc w:val="left"/>
              <w:rPr>
                <w:sz w:val="12"/>
                <w:szCs w:val="24"/>
              </w:rPr>
            </w:pPr>
          </w:p>
        </w:tc>
        <w:tc>
          <w:tcPr>
            <w:tcW w:w="500" w:type="pct"/>
            <w:vMerge/>
            <w:shd w:val="clear" w:color="auto" w:fill="FFFFFF"/>
            <w:tcMar>
              <w:top w:w="20" w:type="dxa"/>
              <w:bottom w:w="20" w:type="dxa"/>
            </w:tcMar>
            <w:vAlign w:val="center"/>
          </w:tcPr>
          <w:p w:rsidR="00BD3B5F" w:rsidRPr="005C3B55" w:rsidRDefault="00BD3B5F">
            <w:pPr>
              <w:jc w:val="left"/>
              <w:rPr>
                <w:sz w:val="12"/>
                <w:szCs w:val="24"/>
              </w:rPr>
            </w:pPr>
          </w:p>
        </w:tc>
        <w:tc>
          <w:tcPr>
            <w:tcW w:w="500" w:type="pct"/>
            <w:vMerge/>
            <w:shd w:val="clear" w:color="auto" w:fill="FFFFFF"/>
            <w:tcMar>
              <w:top w:w="20" w:type="dxa"/>
              <w:bottom w:w="20" w:type="dxa"/>
            </w:tcMar>
            <w:vAlign w:val="center"/>
          </w:tcPr>
          <w:p w:rsidR="00BD3B5F" w:rsidRPr="005C3B55" w:rsidRDefault="00BD3B5F">
            <w:pPr>
              <w:jc w:val="left"/>
              <w:rPr>
                <w:sz w:val="12"/>
                <w:szCs w:val="24"/>
              </w:rPr>
            </w:pPr>
          </w:p>
        </w:tc>
      </w:tr>
      <w:tr w:rsidR="00BD3B5F" w:rsidRPr="005C3B55">
        <w:trPr>
          <w:trHeight w:val="390"/>
        </w:trPr>
        <w:tc>
          <w:tcPr>
            <w:tcW w:w="500" w:type="pct"/>
            <w:vMerge/>
            <w:shd w:val="clear" w:color="auto" w:fill="FFFFFF"/>
            <w:tcMar>
              <w:top w:w="20" w:type="dxa"/>
              <w:bottom w:w="20" w:type="dxa"/>
            </w:tcMar>
            <w:vAlign w:val="center"/>
          </w:tcPr>
          <w:p w:rsidR="00BD3B5F" w:rsidRPr="005C3B55" w:rsidRDefault="00BD3B5F">
            <w:pPr>
              <w:jc w:val="left"/>
              <w:rPr>
                <w:sz w:val="12"/>
                <w:szCs w:val="24"/>
              </w:rPr>
            </w:pPr>
          </w:p>
        </w:tc>
        <w:tc>
          <w:tcPr>
            <w:tcW w:w="500" w:type="pct"/>
            <w:vMerge/>
            <w:shd w:val="clear" w:color="auto" w:fill="FFFFFF"/>
            <w:tcMar>
              <w:top w:w="20" w:type="dxa"/>
              <w:bottom w:w="20" w:type="dxa"/>
            </w:tcMar>
            <w:vAlign w:val="center"/>
          </w:tcPr>
          <w:p w:rsidR="00BD3B5F" w:rsidRPr="005C3B55" w:rsidRDefault="00BD3B5F">
            <w:pPr>
              <w:jc w:val="left"/>
              <w:rPr>
                <w:sz w:val="12"/>
                <w:szCs w:val="24"/>
              </w:rPr>
            </w:pPr>
          </w:p>
        </w:tc>
        <w:tc>
          <w:tcPr>
            <w:tcW w:w="500" w:type="pct"/>
            <w:vMerge/>
            <w:shd w:val="clear" w:color="auto" w:fill="FFFFFF"/>
            <w:tcMar>
              <w:top w:w="20" w:type="dxa"/>
              <w:bottom w:w="20" w:type="dxa"/>
            </w:tcMar>
            <w:vAlign w:val="center"/>
          </w:tcPr>
          <w:p w:rsidR="00BD3B5F" w:rsidRPr="005C3B55" w:rsidRDefault="00BD3B5F">
            <w:pPr>
              <w:jc w:val="left"/>
              <w:rPr>
                <w:sz w:val="12"/>
                <w:szCs w:val="24"/>
              </w:rPr>
            </w:pPr>
          </w:p>
        </w:tc>
        <w:tc>
          <w:tcPr>
            <w:tcW w:w="500" w:type="pct"/>
            <w:vMerge/>
            <w:shd w:val="clear" w:color="auto" w:fill="FFFFFF"/>
            <w:tcMar>
              <w:top w:w="20" w:type="dxa"/>
              <w:bottom w:w="20" w:type="dxa"/>
            </w:tcMar>
            <w:vAlign w:val="center"/>
          </w:tcPr>
          <w:p w:rsidR="00BD3B5F" w:rsidRPr="005C3B55" w:rsidRDefault="00BD3B5F">
            <w:pPr>
              <w:jc w:val="left"/>
              <w:rPr>
                <w:sz w:val="12"/>
                <w:szCs w:val="24"/>
              </w:rPr>
            </w:pPr>
          </w:p>
        </w:tc>
        <w:tc>
          <w:tcPr>
            <w:tcW w:w="500" w:type="pct"/>
            <w:vMerge/>
            <w:shd w:val="clear" w:color="auto" w:fill="FFFFFF"/>
            <w:tcMar>
              <w:top w:w="20" w:type="dxa"/>
              <w:bottom w:w="20" w:type="dxa"/>
            </w:tcMar>
            <w:vAlign w:val="center"/>
          </w:tcPr>
          <w:p w:rsidR="00BD3B5F" w:rsidRPr="005C3B55" w:rsidRDefault="00BD3B5F">
            <w:pPr>
              <w:jc w:val="left"/>
              <w:rPr>
                <w:sz w:val="12"/>
                <w:szCs w:val="24"/>
              </w:rPr>
            </w:pPr>
          </w:p>
        </w:tc>
      </w:tr>
      <w:tr w:rsidR="00BD3B5F" w:rsidRPr="005C3B55">
        <w:trPr>
          <w:trHeight w:val="405"/>
        </w:trPr>
        <w:tc>
          <w:tcPr>
            <w:tcW w:w="500" w:type="pct"/>
            <w:vMerge w:val="restart"/>
            <w:shd w:val="clear" w:color="auto" w:fill="FFFFFF"/>
            <w:tcMar>
              <w:top w:w="20" w:type="dxa"/>
              <w:bottom w:w="20" w:type="dxa"/>
            </w:tcMar>
            <w:vAlign w:val="center"/>
          </w:tcPr>
          <w:p w:rsidR="00BD3B5F" w:rsidRPr="005C3B55" w:rsidRDefault="00BD3B5F">
            <w:pPr>
              <w:jc w:val="left"/>
              <w:rPr>
                <w:szCs w:val="24"/>
              </w:rPr>
            </w:pPr>
            <w:r w:rsidRPr="005C3B55">
              <w:rPr>
                <w:sz w:val="12"/>
                <w:szCs w:val="24"/>
              </w:rPr>
              <w:t>G7) Statistical systems and result indicators: Application of necessary statistical basis for implementing an evaluation of the effectiveness and impact of programmes. The existence of a result indicator system necessary for the selection of measures which contribute most to the desired results, for monitoring progress in attaining results and implementing impact assessment.</w:t>
            </w:r>
          </w:p>
        </w:tc>
        <w:tc>
          <w:tcPr>
            <w:tcW w:w="500" w:type="pct"/>
            <w:vMerge w:val="restart"/>
            <w:shd w:val="clear" w:color="auto" w:fill="FFFFFF"/>
            <w:tcMar>
              <w:top w:w="20" w:type="dxa"/>
              <w:bottom w:w="20" w:type="dxa"/>
            </w:tcMar>
            <w:vAlign w:val="center"/>
          </w:tcPr>
          <w:p w:rsidR="00BD3B5F" w:rsidRPr="005C3B55" w:rsidRDefault="00BD3B5F">
            <w:pPr>
              <w:jc w:val="left"/>
              <w:rPr>
                <w:sz w:val="12"/>
                <w:szCs w:val="24"/>
              </w:rPr>
            </w:pPr>
            <w:r w:rsidRPr="005C3B55">
              <w:rPr>
                <w:noProof/>
                <w:sz w:val="12"/>
                <w:szCs w:val="24"/>
              </w:rPr>
              <w:t>yes</w:t>
            </w:r>
          </w:p>
        </w:tc>
        <w:tc>
          <w:tcPr>
            <w:tcW w:w="500" w:type="pct"/>
            <w:vMerge w:val="restart"/>
            <w:shd w:val="clear" w:color="auto" w:fill="FFFFFF"/>
            <w:tcMar>
              <w:top w:w="20" w:type="dxa"/>
              <w:bottom w:w="20" w:type="dxa"/>
            </w:tcMar>
            <w:vAlign w:val="center"/>
          </w:tcPr>
          <w:p w:rsidR="00BD3B5F" w:rsidRPr="005C3B55" w:rsidRDefault="00BD3B5F">
            <w:pPr>
              <w:jc w:val="left"/>
              <w:rPr>
                <w:szCs w:val="24"/>
              </w:rPr>
            </w:pPr>
            <w:r w:rsidRPr="005C3B55">
              <w:rPr>
                <w:sz w:val="12"/>
                <w:szCs w:val="24"/>
              </w:rPr>
              <w:t>Ex-ante conditionality has been completely fulfilled.</w:t>
            </w:r>
          </w:p>
        </w:tc>
        <w:tc>
          <w:tcPr>
            <w:tcW w:w="500" w:type="pct"/>
            <w:vMerge w:val="restart"/>
            <w:shd w:val="clear" w:color="auto" w:fill="FFFFFF"/>
            <w:tcMar>
              <w:top w:w="20" w:type="dxa"/>
              <w:bottom w:w="20" w:type="dxa"/>
            </w:tcMar>
            <w:vAlign w:val="center"/>
          </w:tcPr>
          <w:p w:rsidR="00BD3B5F" w:rsidRPr="005C3B55" w:rsidRDefault="00BD3B5F">
            <w:pPr>
              <w:jc w:val="left"/>
              <w:rPr>
                <w:sz w:val="12"/>
                <w:szCs w:val="24"/>
              </w:rPr>
            </w:pPr>
            <w:r w:rsidRPr="005C3B55">
              <w:rPr>
                <w:noProof/>
                <w:sz w:val="12"/>
                <w:szCs w:val="24"/>
              </w:rPr>
              <w:t>P4, 6A, 3A, 2B, 1C, 1A, 6B, 1B, 2A, 6C</w:t>
            </w:r>
          </w:p>
        </w:tc>
        <w:tc>
          <w:tcPr>
            <w:tcW w:w="500" w:type="pct"/>
            <w:vMerge w:val="restart"/>
            <w:shd w:val="clear" w:color="auto" w:fill="FFFFFF"/>
            <w:tcMar>
              <w:top w:w="20" w:type="dxa"/>
              <w:bottom w:w="20" w:type="dxa"/>
            </w:tcMar>
            <w:vAlign w:val="center"/>
          </w:tcPr>
          <w:p w:rsidR="00BD3B5F" w:rsidRPr="005C3B55" w:rsidRDefault="00BD3B5F">
            <w:pPr>
              <w:jc w:val="left"/>
              <w:rPr>
                <w:sz w:val="12"/>
                <w:szCs w:val="24"/>
              </w:rPr>
            </w:pPr>
            <w:r w:rsidRPr="005C3B55">
              <w:rPr>
                <w:noProof/>
                <w:sz w:val="12"/>
                <w:szCs w:val="24"/>
              </w:rPr>
              <w:t>M14, M03, M06, M04, M19, M11, M13, M07, M02, M16, M09, M10, M01, M08</w:t>
            </w:r>
          </w:p>
        </w:tc>
      </w:tr>
      <w:tr w:rsidR="00BD3B5F" w:rsidRPr="005C3B55">
        <w:trPr>
          <w:trHeight w:val="390"/>
        </w:trPr>
        <w:tc>
          <w:tcPr>
            <w:tcW w:w="500" w:type="pct"/>
            <w:vMerge/>
            <w:shd w:val="clear" w:color="auto" w:fill="FFFFFF"/>
            <w:tcMar>
              <w:top w:w="20" w:type="dxa"/>
              <w:bottom w:w="20" w:type="dxa"/>
            </w:tcMar>
            <w:vAlign w:val="center"/>
          </w:tcPr>
          <w:p w:rsidR="00BD3B5F" w:rsidRPr="005C3B55" w:rsidRDefault="00BD3B5F">
            <w:pPr>
              <w:jc w:val="left"/>
              <w:rPr>
                <w:sz w:val="12"/>
                <w:szCs w:val="24"/>
              </w:rPr>
            </w:pPr>
          </w:p>
        </w:tc>
        <w:tc>
          <w:tcPr>
            <w:tcW w:w="500" w:type="pct"/>
            <w:vMerge/>
            <w:shd w:val="clear" w:color="auto" w:fill="FFFFFF"/>
            <w:tcMar>
              <w:top w:w="20" w:type="dxa"/>
              <w:bottom w:w="20" w:type="dxa"/>
            </w:tcMar>
            <w:vAlign w:val="center"/>
          </w:tcPr>
          <w:p w:rsidR="00BD3B5F" w:rsidRPr="005C3B55" w:rsidRDefault="00BD3B5F">
            <w:pPr>
              <w:jc w:val="left"/>
              <w:rPr>
                <w:sz w:val="12"/>
                <w:szCs w:val="24"/>
              </w:rPr>
            </w:pPr>
          </w:p>
        </w:tc>
        <w:tc>
          <w:tcPr>
            <w:tcW w:w="500" w:type="pct"/>
            <w:vMerge/>
            <w:shd w:val="clear" w:color="auto" w:fill="FFFFFF"/>
            <w:tcMar>
              <w:top w:w="20" w:type="dxa"/>
              <w:bottom w:w="20" w:type="dxa"/>
            </w:tcMar>
            <w:vAlign w:val="center"/>
          </w:tcPr>
          <w:p w:rsidR="00BD3B5F" w:rsidRPr="005C3B55" w:rsidRDefault="00BD3B5F">
            <w:pPr>
              <w:jc w:val="left"/>
              <w:rPr>
                <w:sz w:val="12"/>
                <w:szCs w:val="24"/>
              </w:rPr>
            </w:pPr>
          </w:p>
        </w:tc>
        <w:tc>
          <w:tcPr>
            <w:tcW w:w="500" w:type="pct"/>
            <w:vMerge/>
            <w:shd w:val="clear" w:color="auto" w:fill="FFFFFF"/>
            <w:tcMar>
              <w:top w:w="20" w:type="dxa"/>
              <w:bottom w:w="20" w:type="dxa"/>
            </w:tcMar>
            <w:vAlign w:val="center"/>
          </w:tcPr>
          <w:p w:rsidR="00BD3B5F" w:rsidRPr="005C3B55" w:rsidRDefault="00BD3B5F">
            <w:pPr>
              <w:jc w:val="left"/>
              <w:rPr>
                <w:sz w:val="12"/>
                <w:szCs w:val="24"/>
              </w:rPr>
            </w:pPr>
          </w:p>
        </w:tc>
        <w:tc>
          <w:tcPr>
            <w:tcW w:w="500" w:type="pct"/>
            <w:vMerge/>
            <w:shd w:val="clear" w:color="auto" w:fill="FFFFFF"/>
            <w:tcMar>
              <w:top w:w="20" w:type="dxa"/>
              <w:bottom w:w="20" w:type="dxa"/>
            </w:tcMar>
            <w:vAlign w:val="center"/>
          </w:tcPr>
          <w:p w:rsidR="00BD3B5F" w:rsidRPr="005C3B55" w:rsidRDefault="00BD3B5F">
            <w:pPr>
              <w:jc w:val="left"/>
              <w:rPr>
                <w:sz w:val="12"/>
                <w:szCs w:val="24"/>
              </w:rPr>
            </w:pPr>
          </w:p>
        </w:tc>
      </w:tr>
      <w:tr w:rsidR="00BD3B5F" w:rsidRPr="005C3B55">
        <w:trPr>
          <w:trHeight w:val="390"/>
        </w:trPr>
        <w:tc>
          <w:tcPr>
            <w:tcW w:w="500" w:type="pct"/>
            <w:vMerge/>
            <w:shd w:val="clear" w:color="auto" w:fill="FFFFFF"/>
            <w:tcMar>
              <w:top w:w="20" w:type="dxa"/>
              <w:bottom w:w="20" w:type="dxa"/>
            </w:tcMar>
            <w:vAlign w:val="center"/>
          </w:tcPr>
          <w:p w:rsidR="00BD3B5F" w:rsidRPr="005C3B55" w:rsidRDefault="00BD3B5F">
            <w:pPr>
              <w:jc w:val="left"/>
              <w:rPr>
                <w:sz w:val="12"/>
                <w:szCs w:val="24"/>
              </w:rPr>
            </w:pPr>
          </w:p>
        </w:tc>
        <w:tc>
          <w:tcPr>
            <w:tcW w:w="500" w:type="pct"/>
            <w:vMerge/>
            <w:shd w:val="clear" w:color="auto" w:fill="FFFFFF"/>
            <w:tcMar>
              <w:top w:w="20" w:type="dxa"/>
              <w:bottom w:w="20" w:type="dxa"/>
            </w:tcMar>
            <w:vAlign w:val="center"/>
          </w:tcPr>
          <w:p w:rsidR="00BD3B5F" w:rsidRPr="005C3B55" w:rsidRDefault="00BD3B5F">
            <w:pPr>
              <w:jc w:val="left"/>
              <w:rPr>
                <w:sz w:val="12"/>
                <w:szCs w:val="24"/>
              </w:rPr>
            </w:pPr>
          </w:p>
        </w:tc>
        <w:tc>
          <w:tcPr>
            <w:tcW w:w="500" w:type="pct"/>
            <w:vMerge/>
            <w:shd w:val="clear" w:color="auto" w:fill="FFFFFF"/>
            <w:tcMar>
              <w:top w:w="20" w:type="dxa"/>
              <w:bottom w:w="20" w:type="dxa"/>
            </w:tcMar>
            <w:vAlign w:val="center"/>
          </w:tcPr>
          <w:p w:rsidR="00BD3B5F" w:rsidRPr="005C3B55" w:rsidRDefault="00BD3B5F">
            <w:pPr>
              <w:jc w:val="left"/>
              <w:rPr>
                <w:sz w:val="12"/>
                <w:szCs w:val="24"/>
              </w:rPr>
            </w:pPr>
          </w:p>
        </w:tc>
        <w:tc>
          <w:tcPr>
            <w:tcW w:w="500" w:type="pct"/>
            <w:vMerge/>
            <w:shd w:val="clear" w:color="auto" w:fill="FFFFFF"/>
            <w:tcMar>
              <w:top w:w="20" w:type="dxa"/>
              <w:bottom w:w="20" w:type="dxa"/>
            </w:tcMar>
            <w:vAlign w:val="center"/>
          </w:tcPr>
          <w:p w:rsidR="00BD3B5F" w:rsidRPr="005C3B55" w:rsidRDefault="00BD3B5F">
            <w:pPr>
              <w:jc w:val="left"/>
              <w:rPr>
                <w:sz w:val="12"/>
                <w:szCs w:val="24"/>
              </w:rPr>
            </w:pPr>
          </w:p>
        </w:tc>
        <w:tc>
          <w:tcPr>
            <w:tcW w:w="500" w:type="pct"/>
            <w:vMerge/>
            <w:shd w:val="clear" w:color="auto" w:fill="FFFFFF"/>
            <w:tcMar>
              <w:top w:w="20" w:type="dxa"/>
              <w:bottom w:w="20" w:type="dxa"/>
            </w:tcMar>
            <w:vAlign w:val="center"/>
          </w:tcPr>
          <w:p w:rsidR="00BD3B5F" w:rsidRPr="005C3B55" w:rsidRDefault="00BD3B5F">
            <w:pPr>
              <w:jc w:val="left"/>
              <w:rPr>
                <w:sz w:val="12"/>
                <w:szCs w:val="24"/>
              </w:rPr>
            </w:pPr>
          </w:p>
        </w:tc>
      </w:tr>
      <w:tr w:rsidR="00BD3B5F" w:rsidRPr="005C3B55">
        <w:trPr>
          <w:trHeight w:val="390"/>
        </w:trPr>
        <w:tc>
          <w:tcPr>
            <w:tcW w:w="500" w:type="pct"/>
            <w:vMerge/>
            <w:shd w:val="clear" w:color="auto" w:fill="FFFFFF"/>
            <w:tcMar>
              <w:top w:w="20" w:type="dxa"/>
              <w:bottom w:w="20" w:type="dxa"/>
            </w:tcMar>
            <w:vAlign w:val="center"/>
          </w:tcPr>
          <w:p w:rsidR="00BD3B5F" w:rsidRPr="005C3B55" w:rsidRDefault="00BD3B5F">
            <w:pPr>
              <w:jc w:val="left"/>
              <w:rPr>
                <w:sz w:val="12"/>
                <w:szCs w:val="24"/>
              </w:rPr>
            </w:pPr>
          </w:p>
        </w:tc>
        <w:tc>
          <w:tcPr>
            <w:tcW w:w="500" w:type="pct"/>
            <w:vMerge/>
            <w:shd w:val="clear" w:color="auto" w:fill="FFFFFF"/>
            <w:tcMar>
              <w:top w:w="20" w:type="dxa"/>
              <w:bottom w:w="20" w:type="dxa"/>
            </w:tcMar>
            <w:vAlign w:val="center"/>
          </w:tcPr>
          <w:p w:rsidR="00BD3B5F" w:rsidRPr="005C3B55" w:rsidRDefault="00BD3B5F">
            <w:pPr>
              <w:jc w:val="left"/>
              <w:rPr>
                <w:sz w:val="12"/>
                <w:szCs w:val="24"/>
              </w:rPr>
            </w:pPr>
          </w:p>
        </w:tc>
        <w:tc>
          <w:tcPr>
            <w:tcW w:w="500" w:type="pct"/>
            <w:vMerge/>
            <w:shd w:val="clear" w:color="auto" w:fill="FFFFFF"/>
            <w:tcMar>
              <w:top w:w="20" w:type="dxa"/>
              <w:bottom w:w="20" w:type="dxa"/>
            </w:tcMar>
            <w:vAlign w:val="center"/>
          </w:tcPr>
          <w:p w:rsidR="00BD3B5F" w:rsidRPr="005C3B55" w:rsidRDefault="00BD3B5F">
            <w:pPr>
              <w:jc w:val="left"/>
              <w:rPr>
                <w:sz w:val="12"/>
                <w:szCs w:val="24"/>
              </w:rPr>
            </w:pPr>
          </w:p>
        </w:tc>
        <w:tc>
          <w:tcPr>
            <w:tcW w:w="500" w:type="pct"/>
            <w:vMerge/>
            <w:shd w:val="clear" w:color="auto" w:fill="FFFFFF"/>
            <w:tcMar>
              <w:top w:w="20" w:type="dxa"/>
              <w:bottom w:w="20" w:type="dxa"/>
            </w:tcMar>
            <w:vAlign w:val="center"/>
          </w:tcPr>
          <w:p w:rsidR="00BD3B5F" w:rsidRPr="005C3B55" w:rsidRDefault="00BD3B5F">
            <w:pPr>
              <w:jc w:val="left"/>
              <w:rPr>
                <w:sz w:val="12"/>
                <w:szCs w:val="24"/>
              </w:rPr>
            </w:pPr>
          </w:p>
        </w:tc>
        <w:tc>
          <w:tcPr>
            <w:tcW w:w="500" w:type="pct"/>
            <w:vMerge/>
            <w:shd w:val="clear" w:color="auto" w:fill="FFFFFF"/>
            <w:tcMar>
              <w:top w:w="20" w:type="dxa"/>
              <w:bottom w:w="20" w:type="dxa"/>
            </w:tcMar>
            <w:vAlign w:val="center"/>
          </w:tcPr>
          <w:p w:rsidR="00BD3B5F" w:rsidRPr="005C3B55" w:rsidRDefault="00BD3B5F">
            <w:pPr>
              <w:jc w:val="left"/>
              <w:rPr>
                <w:sz w:val="12"/>
                <w:szCs w:val="24"/>
              </w:rPr>
            </w:pPr>
          </w:p>
        </w:tc>
      </w:tr>
      <w:tr w:rsidR="00BD3B5F" w:rsidRPr="005C3B55">
        <w:trPr>
          <w:trHeight w:val="390"/>
        </w:trPr>
        <w:tc>
          <w:tcPr>
            <w:tcW w:w="500" w:type="pct"/>
            <w:vMerge/>
            <w:shd w:val="clear" w:color="auto" w:fill="FFFFFF"/>
            <w:tcMar>
              <w:top w:w="20" w:type="dxa"/>
              <w:bottom w:w="20" w:type="dxa"/>
            </w:tcMar>
            <w:vAlign w:val="center"/>
          </w:tcPr>
          <w:p w:rsidR="00BD3B5F" w:rsidRPr="005C3B55" w:rsidRDefault="00BD3B5F">
            <w:pPr>
              <w:jc w:val="left"/>
              <w:rPr>
                <w:sz w:val="12"/>
                <w:szCs w:val="24"/>
              </w:rPr>
            </w:pPr>
          </w:p>
        </w:tc>
        <w:tc>
          <w:tcPr>
            <w:tcW w:w="500" w:type="pct"/>
            <w:vMerge/>
            <w:shd w:val="clear" w:color="auto" w:fill="FFFFFF"/>
            <w:tcMar>
              <w:top w:w="20" w:type="dxa"/>
              <w:bottom w:w="20" w:type="dxa"/>
            </w:tcMar>
            <w:vAlign w:val="center"/>
          </w:tcPr>
          <w:p w:rsidR="00BD3B5F" w:rsidRPr="005C3B55" w:rsidRDefault="00BD3B5F">
            <w:pPr>
              <w:jc w:val="left"/>
              <w:rPr>
                <w:sz w:val="12"/>
                <w:szCs w:val="24"/>
              </w:rPr>
            </w:pPr>
          </w:p>
        </w:tc>
        <w:tc>
          <w:tcPr>
            <w:tcW w:w="500" w:type="pct"/>
            <w:vMerge/>
            <w:shd w:val="clear" w:color="auto" w:fill="FFFFFF"/>
            <w:tcMar>
              <w:top w:w="20" w:type="dxa"/>
              <w:bottom w:w="20" w:type="dxa"/>
            </w:tcMar>
            <w:vAlign w:val="center"/>
          </w:tcPr>
          <w:p w:rsidR="00BD3B5F" w:rsidRPr="005C3B55" w:rsidRDefault="00BD3B5F">
            <w:pPr>
              <w:jc w:val="left"/>
              <w:rPr>
                <w:sz w:val="12"/>
                <w:szCs w:val="24"/>
              </w:rPr>
            </w:pPr>
          </w:p>
        </w:tc>
        <w:tc>
          <w:tcPr>
            <w:tcW w:w="500" w:type="pct"/>
            <w:vMerge/>
            <w:shd w:val="clear" w:color="auto" w:fill="FFFFFF"/>
            <w:tcMar>
              <w:top w:w="20" w:type="dxa"/>
              <w:bottom w:w="20" w:type="dxa"/>
            </w:tcMar>
            <w:vAlign w:val="center"/>
          </w:tcPr>
          <w:p w:rsidR="00BD3B5F" w:rsidRPr="005C3B55" w:rsidRDefault="00BD3B5F">
            <w:pPr>
              <w:jc w:val="left"/>
              <w:rPr>
                <w:sz w:val="12"/>
                <w:szCs w:val="24"/>
              </w:rPr>
            </w:pPr>
          </w:p>
        </w:tc>
        <w:tc>
          <w:tcPr>
            <w:tcW w:w="500" w:type="pct"/>
            <w:vMerge/>
            <w:shd w:val="clear" w:color="auto" w:fill="FFFFFF"/>
            <w:tcMar>
              <w:top w:w="20" w:type="dxa"/>
              <w:bottom w:w="20" w:type="dxa"/>
            </w:tcMar>
            <w:vAlign w:val="center"/>
          </w:tcPr>
          <w:p w:rsidR="00BD3B5F" w:rsidRPr="005C3B55" w:rsidRDefault="00BD3B5F">
            <w:pPr>
              <w:jc w:val="left"/>
              <w:rPr>
                <w:sz w:val="12"/>
                <w:szCs w:val="24"/>
              </w:rPr>
            </w:pPr>
          </w:p>
        </w:tc>
      </w:tr>
      <w:tr w:rsidR="00BD3B5F" w:rsidRPr="005C3B55">
        <w:trPr>
          <w:trHeight w:val="390"/>
        </w:trPr>
        <w:tc>
          <w:tcPr>
            <w:tcW w:w="500" w:type="pct"/>
            <w:vMerge/>
            <w:shd w:val="clear" w:color="auto" w:fill="FFFFFF"/>
            <w:tcMar>
              <w:top w:w="20" w:type="dxa"/>
              <w:bottom w:w="20" w:type="dxa"/>
            </w:tcMar>
            <w:vAlign w:val="center"/>
          </w:tcPr>
          <w:p w:rsidR="00BD3B5F" w:rsidRPr="005C3B55" w:rsidRDefault="00BD3B5F">
            <w:pPr>
              <w:jc w:val="left"/>
              <w:rPr>
                <w:sz w:val="12"/>
                <w:szCs w:val="24"/>
              </w:rPr>
            </w:pPr>
          </w:p>
        </w:tc>
        <w:tc>
          <w:tcPr>
            <w:tcW w:w="500" w:type="pct"/>
            <w:vMerge/>
            <w:shd w:val="clear" w:color="auto" w:fill="FFFFFF"/>
            <w:tcMar>
              <w:top w:w="20" w:type="dxa"/>
              <w:bottom w:w="20" w:type="dxa"/>
            </w:tcMar>
            <w:vAlign w:val="center"/>
          </w:tcPr>
          <w:p w:rsidR="00BD3B5F" w:rsidRPr="005C3B55" w:rsidRDefault="00BD3B5F">
            <w:pPr>
              <w:jc w:val="left"/>
              <w:rPr>
                <w:sz w:val="12"/>
                <w:szCs w:val="24"/>
              </w:rPr>
            </w:pPr>
          </w:p>
        </w:tc>
        <w:tc>
          <w:tcPr>
            <w:tcW w:w="500" w:type="pct"/>
            <w:vMerge/>
            <w:shd w:val="clear" w:color="auto" w:fill="FFFFFF"/>
            <w:tcMar>
              <w:top w:w="20" w:type="dxa"/>
              <w:bottom w:w="20" w:type="dxa"/>
            </w:tcMar>
            <w:vAlign w:val="center"/>
          </w:tcPr>
          <w:p w:rsidR="00BD3B5F" w:rsidRPr="005C3B55" w:rsidRDefault="00BD3B5F">
            <w:pPr>
              <w:jc w:val="left"/>
              <w:rPr>
                <w:sz w:val="12"/>
                <w:szCs w:val="24"/>
              </w:rPr>
            </w:pPr>
          </w:p>
        </w:tc>
        <w:tc>
          <w:tcPr>
            <w:tcW w:w="500" w:type="pct"/>
            <w:vMerge/>
            <w:shd w:val="clear" w:color="auto" w:fill="FFFFFF"/>
            <w:tcMar>
              <w:top w:w="20" w:type="dxa"/>
              <w:bottom w:w="20" w:type="dxa"/>
            </w:tcMar>
            <w:vAlign w:val="center"/>
          </w:tcPr>
          <w:p w:rsidR="00BD3B5F" w:rsidRPr="005C3B55" w:rsidRDefault="00BD3B5F">
            <w:pPr>
              <w:jc w:val="left"/>
              <w:rPr>
                <w:sz w:val="12"/>
                <w:szCs w:val="24"/>
              </w:rPr>
            </w:pPr>
          </w:p>
        </w:tc>
        <w:tc>
          <w:tcPr>
            <w:tcW w:w="500" w:type="pct"/>
            <w:vMerge/>
            <w:shd w:val="clear" w:color="auto" w:fill="FFFFFF"/>
            <w:tcMar>
              <w:top w:w="20" w:type="dxa"/>
              <w:bottom w:w="20" w:type="dxa"/>
            </w:tcMar>
            <w:vAlign w:val="center"/>
          </w:tcPr>
          <w:p w:rsidR="00BD3B5F" w:rsidRPr="005C3B55" w:rsidRDefault="00BD3B5F">
            <w:pPr>
              <w:jc w:val="left"/>
              <w:rPr>
                <w:sz w:val="12"/>
                <w:szCs w:val="24"/>
              </w:rPr>
            </w:pPr>
          </w:p>
        </w:tc>
      </w:tr>
      <w:tr w:rsidR="00BD3B5F" w:rsidRPr="005C3B55">
        <w:trPr>
          <w:trHeight w:val="405"/>
        </w:trPr>
        <w:tc>
          <w:tcPr>
            <w:tcW w:w="500" w:type="pct"/>
            <w:vMerge w:val="restart"/>
            <w:shd w:val="clear" w:color="auto" w:fill="FFFFFF"/>
            <w:tcMar>
              <w:top w:w="20" w:type="dxa"/>
              <w:bottom w:w="20" w:type="dxa"/>
            </w:tcMar>
            <w:vAlign w:val="center"/>
          </w:tcPr>
          <w:p w:rsidR="00BD3B5F" w:rsidRPr="005C3B55" w:rsidRDefault="00BD3B5F">
            <w:pPr>
              <w:jc w:val="left"/>
              <w:rPr>
                <w:szCs w:val="24"/>
              </w:rPr>
            </w:pPr>
            <w:r w:rsidRPr="005C3B55">
              <w:rPr>
                <w:sz w:val="12"/>
                <w:szCs w:val="24"/>
              </w:rPr>
              <w:t>P4.1) Good agricultural and environmental conditions (GAEC): Standards for the preservation of good agricultural and environmental conditions in agriculture from Chapter I, Title VI of Regulation (EU) No 1306/2013 are determined at the national level</w:t>
            </w:r>
          </w:p>
        </w:tc>
        <w:tc>
          <w:tcPr>
            <w:tcW w:w="500" w:type="pct"/>
            <w:vMerge w:val="restart"/>
            <w:shd w:val="clear" w:color="auto" w:fill="FFFFFF"/>
            <w:tcMar>
              <w:top w:w="20" w:type="dxa"/>
              <w:bottom w:w="20" w:type="dxa"/>
            </w:tcMar>
            <w:vAlign w:val="center"/>
          </w:tcPr>
          <w:p w:rsidR="00BD3B5F" w:rsidRPr="005C3B55" w:rsidRDefault="00BD3B5F">
            <w:pPr>
              <w:jc w:val="left"/>
              <w:rPr>
                <w:sz w:val="12"/>
                <w:szCs w:val="24"/>
              </w:rPr>
            </w:pPr>
            <w:r w:rsidRPr="005C3B55">
              <w:rPr>
                <w:noProof/>
                <w:sz w:val="12"/>
                <w:szCs w:val="24"/>
              </w:rPr>
              <w:t>yes</w:t>
            </w:r>
          </w:p>
        </w:tc>
        <w:tc>
          <w:tcPr>
            <w:tcW w:w="500" w:type="pct"/>
            <w:vMerge w:val="restart"/>
            <w:shd w:val="clear" w:color="auto" w:fill="FFFFFF"/>
            <w:tcMar>
              <w:top w:w="20" w:type="dxa"/>
              <w:bottom w:w="20" w:type="dxa"/>
            </w:tcMar>
            <w:vAlign w:val="center"/>
          </w:tcPr>
          <w:p w:rsidR="00BD3B5F" w:rsidRPr="005C3B55" w:rsidRDefault="00BD3B5F">
            <w:pPr>
              <w:jc w:val="left"/>
              <w:rPr>
                <w:szCs w:val="24"/>
              </w:rPr>
            </w:pPr>
            <w:r w:rsidRPr="005C3B55">
              <w:rPr>
                <w:sz w:val="12"/>
                <w:szCs w:val="24"/>
              </w:rPr>
              <w:t>Ex-ante conditionality has been completely fulfilled.</w:t>
            </w:r>
          </w:p>
        </w:tc>
        <w:tc>
          <w:tcPr>
            <w:tcW w:w="500" w:type="pct"/>
            <w:vMerge w:val="restart"/>
            <w:shd w:val="clear" w:color="auto" w:fill="FFFFFF"/>
            <w:tcMar>
              <w:top w:w="20" w:type="dxa"/>
              <w:bottom w:w="20" w:type="dxa"/>
            </w:tcMar>
            <w:vAlign w:val="center"/>
          </w:tcPr>
          <w:p w:rsidR="00BD3B5F" w:rsidRPr="005C3B55" w:rsidRDefault="00BD3B5F">
            <w:pPr>
              <w:jc w:val="left"/>
              <w:rPr>
                <w:sz w:val="12"/>
                <w:szCs w:val="24"/>
              </w:rPr>
            </w:pPr>
            <w:r w:rsidRPr="005C3B55">
              <w:rPr>
                <w:noProof/>
                <w:sz w:val="12"/>
                <w:szCs w:val="24"/>
              </w:rPr>
              <w:t>P4</w:t>
            </w:r>
          </w:p>
        </w:tc>
        <w:tc>
          <w:tcPr>
            <w:tcW w:w="500" w:type="pct"/>
            <w:vMerge w:val="restart"/>
            <w:shd w:val="clear" w:color="auto" w:fill="FFFFFF"/>
            <w:tcMar>
              <w:top w:w="20" w:type="dxa"/>
              <w:bottom w:w="20" w:type="dxa"/>
            </w:tcMar>
            <w:vAlign w:val="center"/>
          </w:tcPr>
          <w:p w:rsidR="00BD3B5F" w:rsidRPr="005C3B55" w:rsidRDefault="00BD3B5F">
            <w:pPr>
              <w:jc w:val="left"/>
              <w:rPr>
                <w:sz w:val="12"/>
                <w:szCs w:val="24"/>
              </w:rPr>
            </w:pPr>
            <w:r w:rsidRPr="005C3B55">
              <w:rPr>
                <w:noProof/>
                <w:sz w:val="12"/>
                <w:szCs w:val="24"/>
              </w:rPr>
              <w:t>M10, M11</w:t>
            </w:r>
          </w:p>
        </w:tc>
      </w:tr>
      <w:tr w:rsidR="00BD3B5F" w:rsidRPr="005C3B55">
        <w:trPr>
          <w:trHeight w:val="405"/>
        </w:trPr>
        <w:tc>
          <w:tcPr>
            <w:tcW w:w="500" w:type="pct"/>
            <w:vMerge w:val="restart"/>
            <w:shd w:val="clear" w:color="auto" w:fill="FFFFFF"/>
            <w:tcMar>
              <w:top w:w="20" w:type="dxa"/>
              <w:bottom w:w="20" w:type="dxa"/>
            </w:tcMar>
            <w:vAlign w:val="center"/>
          </w:tcPr>
          <w:p w:rsidR="00BD3B5F" w:rsidRPr="005C3B55" w:rsidRDefault="00BD3B5F">
            <w:pPr>
              <w:jc w:val="left"/>
              <w:rPr>
                <w:szCs w:val="24"/>
              </w:rPr>
            </w:pPr>
            <w:r w:rsidRPr="005C3B55">
              <w:rPr>
                <w:sz w:val="12"/>
                <w:szCs w:val="24"/>
              </w:rPr>
              <w:t>P4.2) Minimum requirements for fertiliser and plant protection product use: Minimum requirements for fertiliser and plant protection product use referred to in Article 28, Chapter I, Title III of Regulation (EU) No 1305/2013 are specified at the national level</w:t>
            </w:r>
          </w:p>
        </w:tc>
        <w:tc>
          <w:tcPr>
            <w:tcW w:w="500" w:type="pct"/>
            <w:vMerge w:val="restart"/>
            <w:shd w:val="clear" w:color="auto" w:fill="FFFFFF"/>
            <w:tcMar>
              <w:top w:w="20" w:type="dxa"/>
              <w:bottom w:w="20" w:type="dxa"/>
            </w:tcMar>
            <w:vAlign w:val="center"/>
          </w:tcPr>
          <w:p w:rsidR="00BD3B5F" w:rsidRPr="005C3B55" w:rsidRDefault="00BD3B5F">
            <w:pPr>
              <w:jc w:val="left"/>
              <w:rPr>
                <w:sz w:val="12"/>
                <w:szCs w:val="24"/>
              </w:rPr>
            </w:pPr>
            <w:r w:rsidRPr="005C3B55">
              <w:rPr>
                <w:noProof/>
                <w:sz w:val="12"/>
                <w:szCs w:val="24"/>
              </w:rPr>
              <w:t>yes</w:t>
            </w:r>
          </w:p>
        </w:tc>
        <w:tc>
          <w:tcPr>
            <w:tcW w:w="500" w:type="pct"/>
            <w:vMerge w:val="restart"/>
            <w:shd w:val="clear" w:color="auto" w:fill="FFFFFF"/>
            <w:tcMar>
              <w:top w:w="20" w:type="dxa"/>
              <w:bottom w:w="20" w:type="dxa"/>
            </w:tcMar>
            <w:vAlign w:val="center"/>
          </w:tcPr>
          <w:p w:rsidR="00BD3B5F" w:rsidRPr="005C3B55" w:rsidRDefault="00BD3B5F">
            <w:pPr>
              <w:jc w:val="left"/>
              <w:rPr>
                <w:szCs w:val="24"/>
              </w:rPr>
            </w:pPr>
            <w:r w:rsidRPr="005C3B55">
              <w:rPr>
                <w:sz w:val="12"/>
                <w:szCs w:val="24"/>
              </w:rPr>
              <w:t>Ex-ante conditionality has been completely fulfilled.</w:t>
            </w:r>
          </w:p>
        </w:tc>
        <w:tc>
          <w:tcPr>
            <w:tcW w:w="500" w:type="pct"/>
            <w:vMerge w:val="restart"/>
            <w:shd w:val="clear" w:color="auto" w:fill="FFFFFF"/>
            <w:tcMar>
              <w:top w:w="20" w:type="dxa"/>
              <w:bottom w:w="20" w:type="dxa"/>
            </w:tcMar>
            <w:vAlign w:val="center"/>
          </w:tcPr>
          <w:p w:rsidR="00BD3B5F" w:rsidRPr="005C3B55" w:rsidRDefault="00BD3B5F">
            <w:pPr>
              <w:jc w:val="left"/>
              <w:rPr>
                <w:sz w:val="12"/>
                <w:szCs w:val="24"/>
              </w:rPr>
            </w:pPr>
            <w:r w:rsidRPr="005C3B55">
              <w:rPr>
                <w:noProof/>
                <w:sz w:val="12"/>
                <w:szCs w:val="24"/>
              </w:rPr>
              <w:t>P4</w:t>
            </w:r>
          </w:p>
        </w:tc>
        <w:tc>
          <w:tcPr>
            <w:tcW w:w="500" w:type="pct"/>
            <w:vMerge w:val="restart"/>
            <w:shd w:val="clear" w:color="auto" w:fill="FFFFFF"/>
            <w:tcMar>
              <w:top w:w="20" w:type="dxa"/>
              <w:bottom w:w="20" w:type="dxa"/>
            </w:tcMar>
            <w:vAlign w:val="center"/>
          </w:tcPr>
          <w:p w:rsidR="00BD3B5F" w:rsidRPr="005C3B55" w:rsidRDefault="00BD3B5F">
            <w:pPr>
              <w:jc w:val="left"/>
              <w:rPr>
                <w:sz w:val="12"/>
                <w:szCs w:val="24"/>
              </w:rPr>
            </w:pPr>
            <w:r w:rsidRPr="005C3B55">
              <w:rPr>
                <w:noProof/>
                <w:sz w:val="12"/>
                <w:szCs w:val="24"/>
              </w:rPr>
              <w:t>M10, M11</w:t>
            </w:r>
          </w:p>
        </w:tc>
      </w:tr>
      <w:tr w:rsidR="00BD3B5F" w:rsidRPr="005C3B55">
        <w:trPr>
          <w:trHeight w:val="405"/>
        </w:trPr>
        <w:tc>
          <w:tcPr>
            <w:tcW w:w="500" w:type="pct"/>
            <w:vMerge w:val="restart"/>
            <w:shd w:val="clear" w:color="auto" w:fill="FFFFFF"/>
            <w:tcMar>
              <w:top w:w="20" w:type="dxa"/>
              <w:bottom w:w="20" w:type="dxa"/>
            </w:tcMar>
            <w:vAlign w:val="center"/>
          </w:tcPr>
          <w:p w:rsidR="00BD3B5F" w:rsidRPr="005C3B55" w:rsidRDefault="00BD3B5F">
            <w:pPr>
              <w:jc w:val="left"/>
              <w:rPr>
                <w:szCs w:val="24"/>
              </w:rPr>
            </w:pPr>
            <w:r w:rsidRPr="005C3B55">
              <w:rPr>
                <w:sz w:val="12"/>
                <w:szCs w:val="24"/>
              </w:rPr>
              <w:t>P4.3) Other relevant national standards: Relevant mandatory national standards have been established for the purposes of Article 28, Chapter I, Title III of Regulation (EU) No 1305/2013</w:t>
            </w:r>
          </w:p>
        </w:tc>
        <w:tc>
          <w:tcPr>
            <w:tcW w:w="500" w:type="pct"/>
            <w:vMerge w:val="restart"/>
            <w:shd w:val="clear" w:color="auto" w:fill="FFFFFF"/>
            <w:tcMar>
              <w:top w:w="20" w:type="dxa"/>
              <w:bottom w:w="20" w:type="dxa"/>
            </w:tcMar>
            <w:vAlign w:val="center"/>
          </w:tcPr>
          <w:p w:rsidR="00BD3B5F" w:rsidRPr="005C3B55" w:rsidRDefault="00BD3B5F">
            <w:pPr>
              <w:jc w:val="left"/>
              <w:rPr>
                <w:sz w:val="12"/>
                <w:szCs w:val="24"/>
              </w:rPr>
            </w:pPr>
            <w:r w:rsidRPr="005C3B55">
              <w:rPr>
                <w:noProof/>
                <w:sz w:val="12"/>
                <w:szCs w:val="24"/>
              </w:rPr>
              <w:t>yes</w:t>
            </w:r>
          </w:p>
        </w:tc>
        <w:tc>
          <w:tcPr>
            <w:tcW w:w="500" w:type="pct"/>
            <w:vMerge w:val="restart"/>
            <w:shd w:val="clear" w:color="auto" w:fill="FFFFFF"/>
            <w:tcMar>
              <w:top w:w="20" w:type="dxa"/>
              <w:bottom w:w="20" w:type="dxa"/>
            </w:tcMar>
            <w:vAlign w:val="center"/>
          </w:tcPr>
          <w:p w:rsidR="00BD3B5F" w:rsidRPr="005C3B55" w:rsidRDefault="00BD3B5F">
            <w:pPr>
              <w:jc w:val="left"/>
              <w:rPr>
                <w:szCs w:val="24"/>
              </w:rPr>
            </w:pPr>
            <w:r w:rsidRPr="005C3B55">
              <w:rPr>
                <w:sz w:val="12"/>
                <w:szCs w:val="24"/>
              </w:rPr>
              <w:t>Ex-ante conditionality has been completely fulfilled.</w:t>
            </w:r>
          </w:p>
        </w:tc>
        <w:tc>
          <w:tcPr>
            <w:tcW w:w="500" w:type="pct"/>
            <w:vMerge w:val="restart"/>
            <w:shd w:val="clear" w:color="auto" w:fill="FFFFFF"/>
            <w:tcMar>
              <w:top w:w="20" w:type="dxa"/>
              <w:bottom w:w="20" w:type="dxa"/>
            </w:tcMar>
            <w:vAlign w:val="center"/>
          </w:tcPr>
          <w:p w:rsidR="00BD3B5F" w:rsidRPr="005C3B55" w:rsidRDefault="00BD3B5F">
            <w:pPr>
              <w:jc w:val="left"/>
              <w:rPr>
                <w:sz w:val="12"/>
                <w:szCs w:val="24"/>
              </w:rPr>
            </w:pPr>
            <w:r w:rsidRPr="005C3B55">
              <w:rPr>
                <w:noProof/>
                <w:sz w:val="12"/>
                <w:szCs w:val="24"/>
              </w:rPr>
              <w:t>P4</w:t>
            </w:r>
          </w:p>
        </w:tc>
        <w:tc>
          <w:tcPr>
            <w:tcW w:w="500" w:type="pct"/>
            <w:vMerge w:val="restart"/>
            <w:shd w:val="clear" w:color="auto" w:fill="FFFFFF"/>
            <w:tcMar>
              <w:top w:w="20" w:type="dxa"/>
              <w:bottom w:w="20" w:type="dxa"/>
            </w:tcMar>
            <w:vAlign w:val="center"/>
          </w:tcPr>
          <w:p w:rsidR="00BD3B5F" w:rsidRPr="005C3B55" w:rsidRDefault="00BD3B5F">
            <w:pPr>
              <w:jc w:val="left"/>
              <w:rPr>
                <w:sz w:val="12"/>
                <w:szCs w:val="24"/>
              </w:rPr>
            </w:pPr>
            <w:r w:rsidRPr="005C3B55">
              <w:rPr>
                <w:noProof/>
                <w:sz w:val="12"/>
                <w:szCs w:val="24"/>
              </w:rPr>
              <w:t>M10</w:t>
            </w:r>
          </w:p>
        </w:tc>
      </w:tr>
      <w:tr w:rsidR="00BD3B5F" w:rsidRPr="005C3B55">
        <w:trPr>
          <w:trHeight w:val="405"/>
        </w:trPr>
        <w:tc>
          <w:tcPr>
            <w:tcW w:w="500" w:type="pct"/>
            <w:vMerge w:val="restart"/>
            <w:shd w:val="clear" w:color="auto" w:fill="FFFFFF"/>
            <w:tcMar>
              <w:top w:w="20" w:type="dxa"/>
              <w:bottom w:w="20" w:type="dxa"/>
            </w:tcMar>
            <w:vAlign w:val="center"/>
          </w:tcPr>
          <w:p w:rsidR="00BD3B5F" w:rsidRPr="005C3B55" w:rsidRDefault="00BD3B5F">
            <w:pPr>
              <w:jc w:val="left"/>
              <w:rPr>
                <w:szCs w:val="24"/>
              </w:rPr>
            </w:pPr>
            <w:r w:rsidRPr="005C3B55">
              <w:rPr>
                <w:sz w:val="12"/>
                <w:szCs w:val="24"/>
              </w:rPr>
              <w:t>P6.1) Next generation access infrastructure: The existence of national and regional next generation access plans, which include regional measures for attaining EU objectives as per high-speed Internet access, with an emphasis on fields where the market fails to provide sufficient high-quality open infrastructure at acceptable prices as per EU rules on competition and state aid, and to provide accessible services to vulnerable groups</w:t>
            </w:r>
          </w:p>
        </w:tc>
        <w:tc>
          <w:tcPr>
            <w:tcW w:w="500" w:type="pct"/>
            <w:vMerge w:val="restart"/>
            <w:shd w:val="clear" w:color="auto" w:fill="FFFFFF"/>
            <w:tcMar>
              <w:top w:w="20" w:type="dxa"/>
              <w:bottom w:w="20" w:type="dxa"/>
            </w:tcMar>
            <w:vAlign w:val="center"/>
          </w:tcPr>
          <w:p w:rsidR="00BD3B5F" w:rsidRPr="005C3B55" w:rsidRDefault="00BD3B5F">
            <w:pPr>
              <w:jc w:val="left"/>
              <w:rPr>
                <w:sz w:val="12"/>
                <w:szCs w:val="24"/>
              </w:rPr>
            </w:pPr>
            <w:r w:rsidRPr="005C3B55">
              <w:rPr>
                <w:noProof/>
                <w:sz w:val="12"/>
                <w:szCs w:val="24"/>
              </w:rPr>
              <w:t>no</w:t>
            </w:r>
          </w:p>
        </w:tc>
        <w:tc>
          <w:tcPr>
            <w:tcW w:w="500" w:type="pct"/>
            <w:vMerge w:val="restart"/>
            <w:shd w:val="clear" w:color="auto" w:fill="FFFFFF"/>
            <w:tcMar>
              <w:top w:w="20" w:type="dxa"/>
              <w:bottom w:w="20" w:type="dxa"/>
            </w:tcMar>
            <w:vAlign w:val="center"/>
          </w:tcPr>
          <w:p w:rsidR="00BD3B5F" w:rsidRPr="005C3B55" w:rsidRDefault="00BD3B5F">
            <w:pPr>
              <w:jc w:val="left"/>
              <w:rPr>
                <w:szCs w:val="24"/>
              </w:rPr>
            </w:pPr>
            <w:r w:rsidRPr="005C3B55">
              <w:rPr>
                <w:sz w:val="12"/>
                <w:szCs w:val="24"/>
              </w:rPr>
              <w:t>Ex-ante conditionality has not been fulfilled.</w:t>
            </w:r>
          </w:p>
        </w:tc>
        <w:tc>
          <w:tcPr>
            <w:tcW w:w="500" w:type="pct"/>
            <w:vMerge w:val="restart"/>
            <w:shd w:val="clear" w:color="auto" w:fill="FFFFFF"/>
            <w:tcMar>
              <w:top w:w="20" w:type="dxa"/>
              <w:bottom w:w="20" w:type="dxa"/>
            </w:tcMar>
            <w:vAlign w:val="center"/>
          </w:tcPr>
          <w:p w:rsidR="00BD3B5F" w:rsidRPr="005C3B55" w:rsidRDefault="00BD3B5F">
            <w:pPr>
              <w:jc w:val="left"/>
              <w:rPr>
                <w:sz w:val="12"/>
                <w:szCs w:val="24"/>
              </w:rPr>
            </w:pPr>
            <w:r w:rsidRPr="005C3B55">
              <w:rPr>
                <w:noProof/>
                <w:sz w:val="12"/>
                <w:szCs w:val="24"/>
              </w:rPr>
              <w:t>6C</w:t>
            </w:r>
          </w:p>
        </w:tc>
        <w:tc>
          <w:tcPr>
            <w:tcW w:w="500" w:type="pct"/>
            <w:vMerge w:val="restart"/>
            <w:shd w:val="clear" w:color="auto" w:fill="FFFFFF"/>
            <w:tcMar>
              <w:top w:w="20" w:type="dxa"/>
              <w:bottom w:w="20" w:type="dxa"/>
            </w:tcMar>
            <w:vAlign w:val="center"/>
          </w:tcPr>
          <w:p w:rsidR="00BD3B5F" w:rsidRPr="005C3B55" w:rsidRDefault="00BD3B5F">
            <w:pPr>
              <w:jc w:val="left"/>
              <w:rPr>
                <w:sz w:val="12"/>
                <w:szCs w:val="24"/>
              </w:rPr>
            </w:pPr>
            <w:r w:rsidRPr="005C3B55">
              <w:rPr>
                <w:noProof/>
                <w:sz w:val="12"/>
                <w:szCs w:val="24"/>
              </w:rPr>
              <w:t>M07</w:t>
            </w:r>
          </w:p>
        </w:tc>
      </w:tr>
      <w:tr w:rsidR="00BD3B5F" w:rsidRPr="005C3B55">
        <w:trPr>
          <w:trHeight w:val="390"/>
        </w:trPr>
        <w:tc>
          <w:tcPr>
            <w:tcW w:w="500" w:type="pct"/>
            <w:vMerge/>
            <w:shd w:val="clear" w:color="auto" w:fill="FFFFFF"/>
            <w:tcMar>
              <w:top w:w="20" w:type="dxa"/>
              <w:bottom w:w="20" w:type="dxa"/>
            </w:tcMar>
            <w:vAlign w:val="center"/>
          </w:tcPr>
          <w:p w:rsidR="00BD3B5F" w:rsidRPr="005C3B55" w:rsidRDefault="00BD3B5F">
            <w:pPr>
              <w:jc w:val="left"/>
              <w:rPr>
                <w:sz w:val="12"/>
                <w:szCs w:val="24"/>
              </w:rPr>
            </w:pPr>
          </w:p>
        </w:tc>
        <w:tc>
          <w:tcPr>
            <w:tcW w:w="500" w:type="pct"/>
            <w:vMerge/>
            <w:shd w:val="clear" w:color="auto" w:fill="FFFFFF"/>
            <w:tcMar>
              <w:top w:w="20" w:type="dxa"/>
              <w:bottom w:w="20" w:type="dxa"/>
            </w:tcMar>
            <w:vAlign w:val="center"/>
          </w:tcPr>
          <w:p w:rsidR="00BD3B5F" w:rsidRPr="005C3B55" w:rsidRDefault="00BD3B5F">
            <w:pPr>
              <w:jc w:val="left"/>
              <w:rPr>
                <w:sz w:val="12"/>
                <w:szCs w:val="24"/>
              </w:rPr>
            </w:pPr>
          </w:p>
        </w:tc>
        <w:tc>
          <w:tcPr>
            <w:tcW w:w="500" w:type="pct"/>
            <w:vMerge/>
            <w:shd w:val="clear" w:color="auto" w:fill="FFFFFF"/>
            <w:tcMar>
              <w:top w:w="20" w:type="dxa"/>
              <w:bottom w:w="20" w:type="dxa"/>
            </w:tcMar>
            <w:vAlign w:val="center"/>
          </w:tcPr>
          <w:p w:rsidR="00BD3B5F" w:rsidRPr="005C3B55" w:rsidRDefault="00BD3B5F">
            <w:pPr>
              <w:jc w:val="left"/>
              <w:rPr>
                <w:sz w:val="12"/>
                <w:szCs w:val="24"/>
              </w:rPr>
            </w:pPr>
          </w:p>
        </w:tc>
        <w:tc>
          <w:tcPr>
            <w:tcW w:w="500" w:type="pct"/>
            <w:vMerge/>
            <w:shd w:val="clear" w:color="auto" w:fill="FFFFFF"/>
            <w:tcMar>
              <w:top w:w="20" w:type="dxa"/>
              <w:bottom w:w="20" w:type="dxa"/>
            </w:tcMar>
            <w:vAlign w:val="center"/>
          </w:tcPr>
          <w:p w:rsidR="00BD3B5F" w:rsidRPr="005C3B55" w:rsidRDefault="00BD3B5F">
            <w:pPr>
              <w:jc w:val="left"/>
              <w:rPr>
                <w:sz w:val="12"/>
                <w:szCs w:val="24"/>
              </w:rPr>
            </w:pPr>
          </w:p>
        </w:tc>
        <w:tc>
          <w:tcPr>
            <w:tcW w:w="500" w:type="pct"/>
            <w:vMerge/>
            <w:shd w:val="clear" w:color="auto" w:fill="FFFFFF"/>
            <w:tcMar>
              <w:top w:w="20" w:type="dxa"/>
              <w:bottom w:w="20" w:type="dxa"/>
            </w:tcMar>
            <w:vAlign w:val="center"/>
          </w:tcPr>
          <w:p w:rsidR="00BD3B5F" w:rsidRPr="005C3B55" w:rsidRDefault="00BD3B5F">
            <w:pPr>
              <w:jc w:val="left"/>
              <w:rPr>
                <w:sz w:val="12"/>
                <w:szCs w:val="24"/>
              </w:rPr>
            </w:pPr>
          </w:p>
        </w:tc>
      </w:tr>
      <w:tr w:rsidR="00BD3B5F" w:rsidRPr="005C3B55">
        <w:trPr>
          <w:trHeight w:val="390"/>
        </w:trPr>
        <w:tc>
          <w:tcPr>
            <w:tcW w:w="500" w:type="pct"/>
            <w:vMerge/>
            <w:shd w:val="clear" w:color="auto" w:fill="FFFFFF"/>
            <w:tcMar>
              <w:top w:w="20" w:type="dxa"/>
              <w:bottom w:w="20" w:type="dxa"/>
            </w:tcMar>
            <w:vAlign w:val="center"/>
          </w:tcPr>
          <w:p w:rsidR="00BD3B5F" w:rsidRPr="005C3B55" w:rsidRDefault="00BD3B5F">
            <w:pPr>
              <w:jc w:val="left"/>
              <w:rPr>
                <w:sz w:val="12"/>
                <w:szCs w:val="24"/>
              </w:rPr>
            </w:pPr>
          </w:p>
        </w:tc>
        <w:tc>
          <w:tcPr>
            <w:tcW w:w="500" w:type="pct"/>
            <w:vMerge/>
            <w:shd w:val="clear" w:color="auto" w:fill="FFFFFF"/>
            <w:tcMar>
              <w:top w:w="20" w:type="dxa"/>
              <w:bottom w:w="20" w:type="dxa"/>
            </w:tcMar>
            <w:vAlign w:val="center"/>
          </w:tcPr>
          <w:p w:rsidR="00BD3B5F" w:rsidRPr="005C3B55" w:rsidRDefault="00BD3B5F">
            <w:pPr>
              <w:jc w:val="left"/>
              <w:rPr>
                <w:sz w:val="12"/>
                <w:szCs w:val="24"/>
              </w:rPr>
            </w:pPr>
          </w:p>
        </w:tc>
        <w:tc>
          <w:tcPr>
            <w:tcW w:w="500" w:type="pct"/>
            <w:vMerge/>
            <w:shd w:val="clear" w:color="auto" w:fill="FFFFFF"/>
            <w:tcMar>
              <w:top w:w="20" w:type="dxa"/>
              <w:bottom w:w="20" w:type="dxa"/>
            </w:tcMar>
            <w:vAlign w:val="center"/>
          </w:tcPr>
          <w:p w:rsidR="00BD3B5F" w:rsidRPr="005C3B55" w:rsidRDefault="00BD3B5F">
            <w:pPr>
              <w:jc w:val="left"/>
              <w:rPr>
                <w:sz w:val="12"/>
                <w:szCs w:val="24"/>
              </w:rPr>
            </w:pPr>
          </w:p>
        </w:tc>
        <w:tc>
          <w:tcPr>
            <w:tcW w:w="500" w:type="pct"/>
            <w:vMerge/>
            <w:shd w:val="clear" w:color="auto" w:fill="FFFFFF"/>
            <w:tcMar>
              <w:top w:w="20" w:type="dxa"/>
              <w:bottom w:w="20" w:type="dxa"/>
            </w:tcMar>
            <w:vAlign w:val="center"/>
          </w:tcPr>
          <w:p w:rsidR="00BD3B5F" w:rsidRPr="005C3B55" w:rsidRDefault="00BD3B5F">
            <w:pPr>
              <w:jc w:val="left"/>
              <w:rPr>
                <w:sz w:val="12"/>
                <w:szCs w:val="24"/>
              </w:rPr>
            </w:pPr>
          </w:p>
        </w:tc>
        <w:tc>
          <w:tcPr>
            <w:tcW w:w="500" w:type="pct"/>
            <w:vMerge/>
            <w:shd w:val="clear" w:color="auto" w:fill="FFFFFF"/>
            <w:tcMar>
              <w:top w:w="20" w:type="dxa"/>
              <w:bottom w:w="20" w:type="dxa"/>
            </w:tcMar>
            <w:vAlign w:val="center"/>
          </w:tcPr>
          <w:p w:rsidR="00BD3B5F" w:rsidRPr="005C3B55" w:rsidRDefault="00BD3B5F">
            <w:pPr>
              <w:jc w:val="left"/>
              <w:rPr>
                <w:sz w:val="12"/>
                <w:szCs w:val="24"/>
              </w:rPr>
            </w:pPr>
          </w:p>
        </w:tc>
      </w:tr>
    </w:tbl>
    <w:p w:rsidR="00BD3B5F" w:rsidRPr="005C3B55" w:rsidRDefault="00BD3B5F">
      <w:pPr>
        <w:rPr>
          <w:b/>
          <w:szCs w:val="24"/>
        </w:rPr>
      </w:pPr>
      <w:r w:rsidRPr="005C3B55">
        <w:rPr>
          <w:b/>
          <w:szCs w:val="24"/>
        </w:rPr>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46"/>
        <w:gridCol w:w="1645"/>
        <w:gridCol w:w="767"/>
        <w:gridCol w:w="8673"/>
        <w:gridCol w:w="1525"/>
      </w:tblGrid>
      <w:tr w:rsidR="00BD3B5F" w:rsidRPr="005C3B55">
        <w:tc>
          <w:tcPr>
            <w:tcW w:w="577" w:type="pct"/>
            <w:vMerge w:val="restart"/>
            <w:shd w:val="clear" w:color="auto" w:fill="C0C0C0"/>
            <w:tcMar>
              <w:top w:w="20" w:type="dxa"/>
              <w:bottom w:w="20" w:type="dxa"/>
            </w:tcMar>
            <w:vAlign w:val="center"/>
          </w:tcPr>
          <w:p w:rsidR="00BD3B5F" w:rsidRPr="005C3B55" w:rsidRDefault="00BD3B5F">
            <w:pPr>
              <w:jc w:val="center"/>
              <w:rPr>
                <w:szCs w:val="24"/>
              </w:rPr>
            </w:pPr>
            <w:r w:rsidRPr="005C3B55">
              <w:rPr>
                <w:b/>
                <w:sz w:val="16"/>
                <w:szCs w:val="24"/>
              </w:rPr>
              <w:t>Applicable ex-ante conditionality at the national level</w:t>
            </w:r>
          </w:p>
        </w:tc>
        <w:tc>
          <w:tcPr>
            <w:tcW w:w="577" w:type="pct"/>
            <w:shd w:val="clear" w:color="auto" w:fill="C0C0C0"/>
            <w:tcMar>
              <w:top w:w="20" w:type="dxa"/>
              <w:bottom w:w="20" w:type="dxa"/>
            </w:tcMar>
            <w:vAlign w:val="center"/>
          </w:tcPr>
          <w:p w:rsidR="00BD3B5F" w:rsidRPr="005C3B55" w:rsidRDefault="00BD3B5F">
            <w:pPr>
              <w:jc w:val="center"/>
              <w:rPr>
                <w:szCs w:val="24"/>
              </w:rPr>
            </w:pPr>
            <w:r w:rsidRPr="005C3B55">
              <w:rPr>
                <w:b/>
                <w:sz w:val="16"/>
                <w:szCs w:val="24"/>
              </w:rPr>
              <w:t>Criteria</w:t>
            </w:r>
          </w:p>
        </w:tc>
        <w:tc>
          <w:tcPr>
            <w:tcW w:w="269" w:type="pct"/>
            <w:shd w:val="clear" w:color="auto" w:fill="C0C0C0"/>
            <w:tcMar>
              <w:top w:w="20" w:type="dxa"/>
              <w:bottom w:w="20" w:type="dxa"/>
            </w:tcMar>
            <w:vAlign w:val="center"/>
          </w:tcPr>
          <w:p w:rsidR="00BD3B5F" w:rsidRPr="005C3B55" w:rsidRDefault="00BD3B5F">
            <w:pPr>
              <w:jc w:val="center"/>
              <w:rPr>
                <w:szCs w:val="24"/>
              </w:rPr>
            </w:pPr>
            <w:r w:rsidRPr="005C3B55">
              <w:rPr>
                <w:b/>
                <w:sz w:val="16"/>
                <w:szCs w:val="24"/>
              </w:rPr>
              <w:t>Criteria fulfilled (yes/no)</w:t>
            </w:r>
          </w:p>
        </w:tc>
        <w:tc>
          <w:tcPr>
            <w:tcW w:w="3042" w:type="pct"/>
            <w:shd w:val="clear" w:color="auto" w:fill="C0C0C0"/>
            <w:tcMar>
              <w:top w:w="20" w:type="dxa"/>
              <w:bottom w:w="20" w:type="dxa"/>
            </w:tcMar>
            <w:vAlign w:val="center"/>
          </w:tcPr>
          <w:p w:rsidR="00BD3B5F" w:rsidRPr="005C3B55" w:rsidRDefault="00BD3B5F">
            <w:pPr>
              <w:jc w:val="center"/>
              <w:rPr>
                <w:szCs w:val="24"/>
              </w:rPr>
            </w:pPr>
            <w:r w:rsidRPr="005C3B55">
              <w:rPr>
                <w:b/>
                <w:sz w:val="16"/>
                <w:szCs w:val="24"/>
              </w:rPr>
              <w:t>Reference (if fulfilled) [reference to strategies, legal acts or other relevant documents]</w:t>
            </w:r>
          </w:p>
        </w:tc>
        <w:tc>
          <w:tcPr>
            <w:tcW w:w="536" w:type="pct"/>
            <w:shd w:val="clear" w:color="auto" w:fill="C0C0C0"/>
            <w:tcMar>
              <w:top w:w="20" w:type="dxa"/>
              <w:bottom w:w="20" w:type="dxa"/>
            </w:tcMar>
            <w:vAlign w:val="center"/>
          </w:tcPr>
          <w:p w:rsidR="00BD3B5F" w:rsidRPr="005C3B55" w:rsidRDefault="00BD3B5F">
            <w:pPr>
              <w:jc w:val="center"/>
              <w:rPr>
                <w:szCs w:val="24"/>
              </w:rPr>
            </w:pPr>
            <w:r w:rsidRPr="005C3B55">
              <w:rPr>
                <w:b/>
                <w:sz w:val="16"/>
                <w:szCs w:val="24"/>
              </w:rPr>
              <w:t>Assessment of their fulfilment</w:t>
            </w:r>
          </w:p>
        </w:tc>
      </w:tr>
      <w:tr w:rsidR="00BD3B5F" w:rsidRPr="005C3B55">
        <w:tc>
          <w:tcPr>
            <w:tcW w:w="577" w:type="pct"/>
            <w:vMerge w:val="restart"/>
            <w:shd w:val="clear" w:color="auto" w:fill="FFFFFF"/>
            <w:tcMar>
              <w:top w:w="20" w:type="dxa"/>
              <w:bottom w:w="20" w:type="dxa"/>
            </w:tcMar>
            <w:vAlign w:val="center"/>
          </w:tcPr>
          <w:p w:rsidR="00BD3B5F" w:rsidRPr="005C3B55" w:rsidRDefault="00BD3B5F">
            <w:pPr>
              <w:jc w:val="left"/>
              <w:rPr>
                <w:szCs w:val="24"/>
              </w:rPr>
            </w:pPr>
            <w:r w:rsidRPr="005C3B55">
              <w:rPr>
                <w:sz w:val="12"/>
                <w:szCs w:val="24"/>
              </w:rPr>
              <w:t>G1) Elimination of discrimination: Existence of administrative capacity to implement and apply anti-discrimination legislation and policy of the EU in the field of ESI funds</w:t>
            </w:r>
          </w:p>
        </w:tc>
        <w:tc>
          <w:tcPr>
            <w:tcW w:w="577" w:type="pct"/>
            <w:shd w:val="clear" w:color="auto" w:fill="FFFFFF"/>
            <w:tcMar>
              <w:top w:w="20" w:type="dxa"/>
              <w:bottom w:w="20" w:type="dxa"/>
            </w:tcMar>
            <w:vAlign w:val="center"/>
          </w:tcPr>
          <w:p w:rsidR="00BD3B5F" w:rsidRPr="005C3B55" w:rsidRDefault="00BD3B5F">
            <w:pPr>
              <w:jc w:val="left"/>
              <w:rPr>
                <w:szCs w:val="24"/>
              </w:rPr>
            </w:pPr>
            <w:r w:rsidRPr="005C3B55">
              <w:rPr>
                <w:sz w:val="12"/>
                <w:szCs w:val="24"/>
              </w:rPr>
              <w:t>G1.a) Arrangements in accordance with the institutional and legal framework of Member States to include institutions responsible for encouraging equal treatment of all persons in the preparation and implementation of the programmes, including the provision of counselling on equality in activities related to ESI funds</w:t>
            </w:r>
          </w:p>
        </w:tc>
        <w:tc>
          <w:tcPr>
            <w:tcW w:w="269" w:type="pct"/>
            <w:shd w:val="clear" w:color="auto" w:fill="FFFFFF"/>
            <w:tcMar>
              <w:top w:w="20" w:type="dxa"/>
              <w:bottom w:w="20" w:type="dxa"/>
            </w:tcMar>
            <w:vAlign w:val="center"/>
          </w:tcPr>
          <w:p w:rsidR="00BD3B5F" w:rsidRPr="005C3B55" w:rsidRDefault="00BD3B5F">
            <w:pPr>
              <w:jc w:val="left"/>
              <w:rPr>
                <w:sz w:val="12"/>
                <w:szCs w:val="24"/>
              </w:rPr>
            </w:pPr>
            <w:r w:rsidRPr="005C3B55">
              <w:rPr>
                <w:noProof/>
                <w:sz w:val="12"/>
                <w:szCs w:val="24"/>
              </w:rPr>
              <w:t>Yes</w:t>
            </w:r>
          </w:p>
        </w:tc>
        <w:tc>
          <w:tcPr>
            <w:tcW w:w="3042" w:type="pct"/>
            <w:shd w:val="clear" w:color="auto" w:fill="FFFFFF"/>
            <w:tcMar>
              <w:top w:w="20" w:type="dxa"/>
              <w:bottom w:w="20" w:type="dxa"/>
            </w:tcMar>
            <w:vAlign w:val="center"/>
          </w:tcPr>
          <w:p w:rsidR="00BD3B5F" w:rsidRPr="005C3B55" w:rsidRDefault="00BD3B5F">
            <w:pPr>
              <w:spacing w:before="0" w:after="160"/>
              <w:jc w:val="left"/>
              <w:rPr>
                <w:noProof/>
                <w:sz w:val="15"/>
                <w:szCs w:val="24"/>
              </w:rPr>
            </w:pPr>
            <w:r w:rsidRPr="005C3B55">
              <w:rPr>
                <w:sz w:val="15"/>
                <w:szCs w:val="24"/>
              </w:rPr>
              <w:t>Guidelines on the integration of the non-discrimination principle:</w:t>
            </w:r>
          </w:p>
          <w:p w:rsidR="00BD3B5F" w:rsidRPr="005C3B55" w:rsidRDefault="00BD3B5F">
            <w:pPr>
              <w:spacing w:before="150" w:after="150"/>
              <w:jc w:val="left"/>
              <w:rPr>
                <w:noProof/>
                <w:sz w:val="15"/>
                <w:szCs w:val="24"/>
              </w:rPr>
            </w:pPr>
            <w:r w:rsidRPr="005C3B55">
              <w:rPr>
                <w:noProof/>
                <w:sz w:val="15"/>
                <w:szCs w:val="24"/>
              </w:rPr>
              <w:t>http://www.arhiv.uem.gov.si/fileadmin/uem.gov.si/pageuploads/DoseciEnakostVRaznolikosti/Smernice.pdf</w:t>
            </w:r>
          </w:p>
          <w:p w:rsidR="00BD3B5F" w:rsidRPr="005C3B55" w:rsidRDefault="00BD3B5F">
            <w:pPr>
              <w:jc w:val="left"/>
              <w:rPr>
                <w:sz w:val="12"/>
                <w:szCs w:val="24"/>
              </w:rPr>
            </w:pPr>
          </w:p>
        </w:tc>
        <w:tc>
          <w:tcPr>
            <w:tcW w:w="536" w:type="pct"/>
            <w:shd w:val="clear" w:color="auto" w:fill="FFFFFF"/>
            <w:tcMar>
              <w:top w:w="20" w:type="dxa"/>
              <w:bottom w:w="20" w:type="dxa"/>
            </w:tcMar>
            <w:vAlign w:val="center"/>
          </w:tcPr>
          <w:p w:rsidR="00BD3B5F" w:rsidRPr="005C3B55" w:rsidRDefault="00BD3B5F">
            <w:pPr>
              <w:jc w:val="left"/>
              <w:rPr>
                <w:szCs w:val="24"/>
              </w:rPr>
            </w:pPr>
            <w:r w:rsidRPr="005C3B55">
              <w:rPr>
                <w:sz w:val="12"/>
                <w:szCs w:val="24"/>
              </w:rPr>
              <w:t xml:space="preserve">The national authority for ensuring the principle of equal treatment (the so-called Advocate of the Principle of Equal Treatment) was established in 2005. </w:t>
            </w:r>
          </w:p>
          <w:p w:rsidR="00BD3B5F" w:rsidRPr="005C3B55" w:rsidRDefault="00BD3B5F">
            <w:pPr>
              <w:jc w:val="left"/>
              <w:rPr>
                <w:sz w:val="12"/>
                <w:szCs w:val="24"/>
              </w:rPr>
            </w:pPr>
            <w:r w:rsidRPr="005C3B55">
              <w:rPr>
                <w:sz w:val="12"/>
                <w:szCs w:val="24"/>
              </w:rPr>
              <w:t>The guidelines on the integration of the non-discrimination principle were published in 2011. The guidelines indirectly involve the inclusion of the body for ensuring the principle of equal treatment.</w:t>
            </w:r>
          </w:p>
          <w:p w:rsidR="00BD3B5F" w:rsidRPr="005C3B55" w:rsidRDefault="00BD3B5F">
            <w:pPr>
              <w:jc w:val="left"/>
              <w:rPr>
                <w:sz w:val="12"/>
                <w:szCs w:val="24"/>
              </w:rPr>
            </w:pPr>
          </w:p>
        </w:tc>
      </w:tr>
      <w:tr w:rsidR="00BD3B5F" w:rsidRPr="005C3B55">
        <w:tc>
          <w:tcPr>
            <w:tcW w:w="577" w:type="pct"/>
            <w:vMerge/>
            <w:shd w:val="clear" w:color="auto" w:fill="FFFFFF"/>
            <w:tcMar>
              <w:top w:w="20" w:type="dxa"/>
              <w:bottom w:w="20" w:type="dxa"/>
            </w:tcMar>
            <w:vAlign w:val="center"/>
          </w:tcPr>
          <w:p w:rsidR="00BD3B5F" w:rsidRPr="005C3B55" w:rsidRDefault="00BD3B5F">
            <w:pPr>
              <w:jc w:val="left"/>
              <w:rPr>
                <w:sz w:val="12"/>
                <w:szCs w:val="24"/>
              </w:rPr>
            </w:pPr>
          </w:p>
        </w:tc>
        <w:tc>
          <w:tcPr>
            <w:tcW w:w="577" w:type="pct"/>
            <w:shd w:val="clear" w:color="auto" w:fill="FFFFFF"/>
            <w:tcMar>
              <w:top w:w="20" w:type="dxa"/>
              <w:bottom w:w="20" w:type="dxa"/>
            </w:tcMar>
            <w:vAlign w:val="center"/>
          </w:tcPr>
          <w:p w:rsidR="00BD3B5F" w:rsidRPr="005C3B55" w:rsidRDefault="00BD3B5F">
            <w:pPr>
              <w:jc w:val="left"/>
              <w:rPr>
                <w:szCs w:val="24"/>
              </w:rPr>
            </w:pPr>
            <w:r w:rsidRPr="005C3B55">
              <w:rPr>
                <w:sz w:val="12"/>
                <w:szCs w:val="24"/>
              </w:rPr>
              <w:t>G1.b) Arrangement of training of staff included in the management and supervision of ESI funds in the field of EU anti-discrimination legislation and policy</w:t>
            </w:r>
          </w:p>
        </w:tc>
        <w:tc>
          <w:tcPr>
            <w:tcW w:w="269" w:type="pct"/>
            <w:shd w:val="clear" w:color="auto" w:fill="FFFFFF"/>
            <w:tcMar>
              <w:top w:w="20" w:type="dxa"/>
              <w:bottom w:w="20" w:type="dxa"/>
            </w:tcMar>
            <w:vAlign w:val="center"/>
          </w:tcPr>
          <w:p w:rsidR="00BD3B5F" w:rsidRPr="005C3B55" w:rsidRDefault="00BD3B5F">
            <w:pPr>
              <w:jc w:val="left"/>
              <w:rPr>
                <w:sz w:val="12"/>
                <w:szCs w:val="24"/>
              </w:rPr>
            </w:pPr>
            <w:r w:rsidRPr="005C3B55">
              <w:rPr>
                <w:noProof/>
                <w:sz w:val="12"/>
                <w:szCs w:val="24"/>
              </w:rPr>
              <w:t>Yes</w:t>
            </w:r>
          </w:p>
        </w:tc>
        <w:tc>
          <w:tcPr>
            <w:tcW w:w="3042" w:type="pct"/>
            <w:shd w:val="clear" w:color="auto" w:fill="FFFFFF"/>
            <w:tcMar>
              <w:top w:w="20" w:type="dxa"/>
              <w:bottom w:w="20" w:type="dxa"/>
            </w:tcMar>
            <w:vAlign w:val="center"/>
          </w:tcPr>
          <w:p w:rsidR="00BD3B5F" w:rsidRPr="005C3B55" w:rsidRDefault="00BD3B5F">
            <w:pPr>
              <w:spacing w:before="0" w:after="160"/>
              <w:jc w:val="left"/>
              <w:rPr>
                <w:noProof/>
                <w:sz w:val="15"/>
                <w:szCs w:val="24"/>
              </w:rPr>
            </w:pPr>
            <w:r w:rsidRPr="005C3B55">
              <w:rPr>
                <w:sz w:val="15"/>
                <w:szCs w:val="24"/>
              </w:rPr>
              <w:t>Indicative training plan 2014–2020 for ESI funds is an annex to RDP 2014–2020.</w:t>
            </w:r>
          </w:p>
          <w:p w:rsidR="00BD3B5F" w:rsidRPr="005C3B55" w:rsidRDefault="00BD3B5F">
            <w:pPr>
              <w:jc w:val="left"/>
              <w:rPr>
                <w:sz w:val="12"/>
                <w:szCs w:val="24"/>
              </w:rPr>
            </w:pPr>
          </w:p>
        </w:tc>
        <w:tc>
          <w:tcPr>
            <w:tcW w:w="536" w:type="pct"/>
            <w:shd w:val="clear" w:color="auto" w:fill="FFFFFF"/>
            <w:tcMar>
              <w:top w:w="20" w:type="dxa"/>
              <w:bottom w:w="20" w:type="dxa"/>
            </w:tcMar>
            <w:vAlign w:val="center"/>
          </w:tcPr>
          <w:p w:rsidR="00BD3B5F" w:rsidRPr="005C3B55" w:rsidRDefault="00BD3B5F">
            <w:pPr>
              <w:jc w:val="left"/>
              <w:rPr>
                <w:szCs w:val="24"/>
              </w:rPr>
            </w:pPr>
            <w:r w:rsidRPr="005C3B55">
              <w:rPr>
                <w:sz w:val="12"/>
                <w:szCs w:val="24"/>
              </w:rPr>
              <w:t>For the needs of training of staff included in the management and supervision of ESI funds, a indicative training plan was prepared for the 2014–2020 period. This is a joint document of the Managing Authority of  RDP 2014–2020 and the Managing Authority of the Operational Programme for the European Cohesion Policy (OP ECP). The indicative training plan also anticipates training relating to European anti-discrimination policy and regulations.</w:t>
            </w:r>
          </w:p>
        </w:tc>
      </w:tr>
      <w:tr w:rsidR="00BD3B5F" w:rsidRPr="005C3B55">
        <w:tc>
          <w:tcPr>
            <w:tcW w:w="577" w:type="pct"/>
            <w:vMerge w:val="restart"/>
            <w:shd w:val="clear" w:color="auto" w:fill="FFFFFF"/>
            <w:tcMar>
              <w:top w:w="20" w:type="dxa"/>
              <w:bottom w:w="20" w:type="dxa"/>
            </w:tcMar>
            <w:vAlign w:val="center"/>
          </w:tcPr>
          <w:p w:rsidR="00BD3B5F" w:rsidRPr="005C3B55" w:rsidRDefault="00BD3B5F">
            <w:pPr>
              <w:jc w:val="left"/>
              <w:rPr>
                <w:szCs w:val="24"/>
              </w:rPr>
            </w:pPr>
            <w:r w:rsidRPr="005C3B55">
              <w:rPr>
                <w:sz w:val="12"/>
                <w:szCs w:val="24"/>
              </w:rPr>
              <w:t>G2) Gender equality: Existence of administrative capacity to implement and apply gender equality legislation and policy of the EU in the field of ESI funds</w:t>
            </w:r>
          </w:p>
        </w:tc>
        <w:tc>
          <w:tcPr>
            <w:tcW w:w="577" w:type="pct"/>
            <w:shd w:val="clear" w:color="auto" w:fill="FFFFFF"/>
            <w:tcMar>
              <w:top w:w="20" w:type="dxa"/>
              <w:bottom w:w="20" w:type="dxa"/>
            </w:tcMar>
            <w:vAlign w:val="center"/>
          </w:tcPr>
          <w:p w:rsidR="00BD3B5F" w:rsidRPr="005C3B55" w:rsidRDefault="00BD3B5F">
            <w:pPr>
              <w:jc w:val="left"/>
              <w:rPr>
                <w:szCs w:val="24"/>
              </w:rPr>
            </w:pPr>
            <w:r w:rsidRPr="005C3B55">
              <w:rPr>
                <w:sz w:val="12"/>
                <w:szCs w:val="24"/>
              </w:rPr>
              <w:t>G2.a) Arrangements in accordance with the institutional and legal framework of Member States to include institutions responsible for gender equality in the preparation and implementation of the programmes, including the provision of counselling on equality in activities related to ESI funds</w:t>
            </w:r>
          </w:p>
        </w:tc>
        <w:tc>
          <w:tcPr>
            <w:tcW w:w="269" w:type="pct"/>
            <w:shd w:val="clear" w:color="auto" w:fill="FFFFFF"/>
            <w:tcMar>
              <w:top w:w="20" w:type="dxa"/>
              <w:bottom w:w="20" w:type="dxa"/>
            </w:tcMar>
            <w:vAlign w:val="center"/>
          </w:tcPr>
          <w:p w:rsidR="00BD3B5F" w:rsidRPr="005C3B55" w:rsidRDefault="00BD3B5F">
            <w:pPr>
              <w:jc w:val="left"/>
              <w:rPr>
                <w:sz w:val="12"/>
                <w:szCs w:val="24"/>
              </w:rPr>
            </w:pPr>
            <w:r w:rsidRPr="005C3B55">
              <w:rPr>
                <w:noProof/>
                <w:sz w:val="12"/>
                <w:szCs w:val="24"/>
              </w:rPr>
              <w:t>Yes</w:t>
            </w:r>
          </w:p>
        </w:tc>
        <w:tc>
          <w:tcPr>
            <w:tcW w:w="3042" w:type="pct"/>
            <w:shd w:val="clear" w:color="auto" w:fill="FFFFFF"/>
            <w:tcMar>
              <w:top w:w="20" w:type="dxa"/>
              <w:bottom w:w="20" w:type="dxa"/>
            </w:tcMar>
            <w:vAlign w:val="center"/>
          </w:tcPr>
          <w:p w:rsidR="00BD3B5F" w:rsidRPr="005C3B55" w:rsidRDefault="00BD3B5F">
            <w:pPr>
              <w:spacing w:before="0" w:after="160"/>
              <w:jc w:val="left"/>
              <w:rPr>
                <w:noProof/>
                <w:sz w:val="15"/>
                <w:szCs w:val="24"/>
              </w:rPr>
            </w:pPr>
            <w:r w:rsidRPr="005C3B55">
              <w:rPr>
                <w:sz w:val="15"/>
                <w:szCs w:val="24"/>
              </w:rPr>
              <w:t>Guidelines on the integration of the gender equality principle in development planning policies:</w:t>
            </w:r>
          </w:p>
          <w:p w:rsidR="00BD3B5F" w:rsidRPr="005C3B55" w:rsidRDefault="00BD3B5F">
            <w:pPr>
              <w:spacing w:before="150" w:after="150"/>
              <w:jc w:val="left"/>
              <w:rPr>
                <w:noProof/>
                <w:sz w:val="15"/>
                <w:szCs w:val="24"/>
              </w:rPr>
            </w:pPr>
            <w:r w:rsidRPr="005C3B55">
              <w:rPr>
                <w:noProof/>
                <w:sz w:val="15"/>
                <w:szCs w:val="24"/>
              </w:rPr>
              <w:t>http://www.mddsz.gov.si/fileadmin/mddsz.gov.si/pageuploads/dokumenti__pdf/enake_moznosti/GE2010SmerniceRazvojnoNacrtovanje.pdf</w:t>
            </w:r>
          </w:p>
          <w:p w:rsidR="00BD3B5F" w:rsidRPr="005C3B55" w:rsidRDefault="00BD3B5F">
            <w:pPr>
              <w:spacing w:before="160" w:after="160"/>
              <w:jc w:val="left"/>
              <w:rPr>
                <w:noProof/>
                <w:sz w:val="15"/>
                <w:szCs w:val="24"/>
              </w:rPr>
            </w:pPr>
            <w:r w:rsidRPr="005C3B55">
              <w:rPr>
                <w:sz w:val="15"/>
                <w:szCs w:val="24"/>
              </w:rPr>
              <w:t>Guidelines on the integration of the non-discrimination principle:</w:t>
            </w:r>
          </w:p>
          <w:p w:rsidR="00BD3B5F" w:rsidRPr="005C3B55" w:rsidRDefault="00BD3B5F">
            <w:pPr>
              <w:spacing w:before="150" w:after="150"/>
              <w:jc w:val="left"/>
              <w:rPr>
                <w:noProof/>
                <w:sz w:val="15"/>
                <w:szCs w:val="24"/>
              </w:rPr>
            </w:pPr>
            <w:r w:rsidRPr="005C3B55">
              <w:rPr>
                <w:noProof/>
                <w:sz w:val="15"/>
                <w:szCs w:val="24"/>
              </w:rPr>
              <w:t>http://www.arhiv.uem.gov.si/fileadmin/uem.gov.si/pageuploads/DoseciEnakostVRaznolikosti/Smernice.pdf</w:t>
            </w:r>
          </w:p>
          <w:p w:rsidR="00BD3B5F" w:rsidRPr="005C3B55" w:rsidRDefault="00BD3B5F">
            <w:pPr>
              <w:jc w:val="left"/>
              <w:rPr>
                <w:sz w:val="12"/>
                <w:szCs w:val="24"/>
              </w:rPr>
            </w:pPr>
          </w:p>
        </w:tc>
        <w:tc>
          <w:tcPr>
            <w:tcW w:w="536" w:type="pct"/>
            <w:shd w:val="clear" w:color="auto" w:fill="FFFFFF"/>
            <w:tcMar>
              <w:top w:w="20" w:type="dxa"/>
              <w:bottom w:w="20" w:type="dxa"/>
            </w:tcMar>
            <w:vAlign w:val="center"/>
          </w:tcPr>
          <w:p w:rsidR="00BD3B5F" w:rsidRPr="005C3B55" w:rsidRDefault="00BD3B5F">
            <w:pPr>
              <w:jc w:val="left"/>
              <w:rPr>
                <w:szCs w:val="24"/>
              </w:rPr>
            </w:pPr>
            <w:r w:rsidRPr="005C3B55">
              <w:rPr>
                <w:sz w:val="12"/>
                <w:szCs w:val="24"/>
              </w:rPr>
              <w:t xml:space="preserve">The national authority for ensuring the principle of equal treatment (the so-called Advocate of the Principle of Equal Treatment) was established in 2005. </w:t>
            </w:r>
          </w:p>
          <w:p w:rsidR="00BD3B5F" w:rsidRPr="005C3B55" w:rsidRDefault="00BD3B5F">
            <w:pPr>
              <w:jc w:val="left"/>
              <w:rPr>
                <w:sz w:val="12"/>
                <w:szCs w:val="24"/>
              </w:rPr>
            </w:pPr>
            <w:r w:rsidRPr="005C3B55">
              <w:rPr>
                <w:sz w:val="12"/>
                <w:szCs w:val="24"/>
              </w:rPr>
              <w:t>The guidelines on the integration of the gender equality principl in development planning policies were published in 2012.</w:t>
            </w:r>
          </w:p>
          <w:p w:rsidR="00BD3B5F" w:rsidRPr="005C3B55" w:rsidRDefault="00BD3B5F">
            <w:pPr>
              <w:jc w:val="left"/>
              <w:rPr>
                <w:sz w:val="12"/>
                <w:szCs w:val="24"/>
              </w:rPr>
            </w:pPr>
            <w:r w:rsidRPr="005C3B55">
              <w:rPr>
                <w:sz w:val="12"/>
                <w:szCs w:val="24"/>
              </w:rPr>
              <w:t>The guidelines on the integration of the non-discrimination principle were published in 2011. The guidelines indirectly involve the inclusion of the body for ensuring the principle of equal treatment.</w:t>
            </w:r>
          </w:p>
          <w:p w:rsidR="00BD3B5F" w:rsidRPr="005C3B55" w:rsidRDefault="00BD3B5F">
            <w:pPr>
              <w:jc w:val="left"/>
              <w:rPr>
                <w:sz w:val="12"/>
                <w:szCs w:val="24"/>
              </w:rPr>
            </w:pPr>
          </w:p>
        </w:tc>
      </w:tr>
      <w:tr w:rsidR="00BD3B5F" w:rsidRPr="005C3B55">
        <w:tc>
          <w:tcPr>
            <w:tcW w:w="577" w:type="pct"/>
            <w:vMerge/>
            <w:shd w:val="clear" w:color="auto" w:fill="FFFFFF"/>
            <w:tcMar>
              <w:top w:w="20" w:type="dxa"/>
              <w:bottom w:w="20" w:type="dxa"/>
            </w:tcMar>
            <w:vAlign w:val="center"/>
          </w:tcPr>
          <w:p w:rsidR="00BD3B5F" w:rsidRPr="005C3B55" w:rsidRDefault="00BD3B5F">
            <w:pPr>
              <w:jc w:val="left"/>
              <w:rPr>
                <w:sz w:val="12"/>
                <w:szCs w:val="24"/>
              </w:rPr>
            </w:pPr>
          </w:p>
        </w:tc>
        <w:tc>
          <w:tcPr>
            <w:tcW w:w="577" w:type="pct"/>
            <w:shd w:val="clear" w:color="auto" w:fill="FFFFFF"/>
            <w:tcMar>
              <w:top w:w="20" w:type="dxa"/>
              <w:bottom w:w="20" w:type="dxa"/>
            </w:tcMar>
            <w:vAlign w:val="center"/>
          </w:tcPr>
          <w:p w:rsidR="00BD3B5F" w:rsidRPr="005C3B55" w:rsidRDefault="00BD3B5F">
            <w:pPr>
              <w:jc w:val="left"/>
              <w:rPr>
                <w:szCs w:val="24"/>
              </w:rPr>
            </w:pPr>
            <w:r w:rsidRPr="005C3B55">
              <w:rPr>
                <w:sz w:val="12"/>
                <w:szCs w:val="24"/>
              </w:rPr>
              <w:t>G2.b) Arrangement of training of staff included in the management and supervision of ESI funds in the field of EU legislation and policy for gender equality and the observance of the gender equality principle</w:t>
            </w:r>
          </w:p>
        </w:tc>
        <w:tc>
          <w:tcPr>
            <w:tcW w:w="269" w:type="pct"/>
            <w:shd w:val="clear" w:color="auto" w:fill="FFFFFF"/>
            <w:tcMar>
              <w:top w:w="20" w:type="dxa"/>
              <w:bottom w:w="20" w:type="dxa"/>
            </w:tcMar>
            <w:vAlign w:val="center"/>
          </w:tcPr>
          <w:p w:rsidR="00BD3B5F" w:rsidRPr="005C3B55" w:rsidRDefault="00BD3B5F">
            <w:pPr>
              <w:jc w:val="left"/>
              <w:rPr>
                <w:sz w:val="12"/>
                <w:szCs w:val="24"/>
              </w:rPr>
            </w:pPr>
            <w:r w:rsidRPr="005C3B55">
              <w:rPr>
                <w:noProof/>
                <w:sz w:val="12"/>
                <w:szCs w:val="24"/>
              </w:rPr>
              <w:t>Yes</w:t>
            </w:r>
          </w:p>
        </w:tc>
        <w:tc>
          <w:tcPr>
            <w:tcW w:w="3042" w:type="pct"/>
            <w:shd w:val="clear" w:color="auto" w:fill="FFFFFF"/>
            <w:tcMar>
              <w:top w:w="20" w:type="dxa"/>
              <w:bottom w:w="20" w:type="dxa"/>
            </w:tcMar>
            <w:vAlign w:val="center"/>
          </w:tcPr>
          <w:p w:rsidR="00BD3B5F" w:rsidRPr="005C3B55" w:rsidRDefault="00BD3B5F">
            <w:pPr>
              <w:spacing w:before="0" w:after="160"/>
              <w:jc w:val="left"/>
              <w:rPr>
                <w:noProof/>
                <w:sz w:val="15"/>
                <w:szCs w:val="24"/>
              </w:rPr>
            </w:pPr>
            <w:r w:rsidRPr="005C3B55">
              <w:rPr>
                <w:sz w:val="15"/>
                <w:szCs w:val="24"/>
              </w:rPr>
              <w:t>Indicative training plan 2014–2020 for ESI funds is an annex to RDP 2014–2020.</w:t>
            </w:r>
          </w:p>
          <w:p w:rsidR="00BD3B5F" w:rsidRPr="005C3B55" w:rsidRDefault="00BD3B5F">
            <w:pPr>
              <w:jc w:val="left"/>
              <w:rPr>
                <w:sz w:val="12"/>
                <w:szCs w:val="24"/>
              </w:rPr>
            </w:pPr>
          </w:p>
        </w:tc>
        <w:tc>
          <w:tcPr>
            <w:tcW w:w="536" w:type="pct"/>
            <w:shd w:val="clear" w:color="auto" w:fill="FFFFFF"/>
            <w:tcMar>
              <w:top w:w="20" w:type="dxa"/>
              <w:bottom w:w="20" w:type="dxa"/>
            </w:tcMar>
            <w:vAlign w:val="center"/>
          </w:tcPr>
          <w:p w:rsidR="00BD3B5F" w:rsidRPr="005C3B55" w:rsidRDefault="00BD3B5F">
            <w:pPr>
              <w:jc w:val="left"/>
              <w:rPr>
                <w:szCs w:val="24"/>
              </w:rPr>
            </w:pPr>
            <w:r w:rsidRPr="005C3B55">
              <w:rPr>
                <w:sz w:val="12"/>
                <w:szCs w:val="24"/>
              </w:rPr>
              <w:t>For the needs of training of staff included in the management and supervision of ESI funds, a indicative training plan was prepared for the 2014–2020 period. This is a joint document of the Managing Authority of  RDP 2014–2020 and the Managing Authority of the Operational Programme for the European Cohesion Policy. The indicative training plan also anticipates training relating to regulations in the field of gender equality and the promotion of this principle in practice.</w:t>
            </w:r>
          </w:p>
        </w:tc>
      </w:tr>
      <w:tr w:rsidR="00BD3B5F" w:rsidRPr="005C3B55">
        <w:tc>
          <w:tcPr>
            <w:tcW w:w="577" w:type="pct"/>
            <w:vMerge w:val="restart"/>
            <w:shd w:val="clear" w:color="auto" w:fill="FFFFFF"/>
            <w:tcMar>
              <w:top w:w="20" w:type="dxa"/>
              <w:bottom w:w="20" w:type="dxa"/>
            </w:tcMar>
            <w:vAlign w:val="center"/>
          </w:tcPr>
          <w:p w:rsidR="00BD3B5F" w:rsidRPr="005C3B55" w:rsidRDefault="00BD3B5F">
            <w:pPr>
              <w:jc w:val="left"/>
              <w:rPr>
                <w:szCs w:val="24"/>
              </w:rPr>
            </w:pPr>
            <w:r w:rsidRPr="005C3B55">
              <w:rPr>
                <w:sz w:val="12"/>
                <w:szCs w:val="24"/>
              </w:rPr>
              <w:t>G3) Disability: Existence of administrative capacity to implement and apply the United Nations Convention on the rights of persons with disabilities in the field of ESI funds as per Council Decision 2010/48/EC</w:t>
            </w:r>
          </w:p>
        </w:tc>
        <w:tc>
          <w:tcPr>
            <w:tcW w:w="577" w:type="pct"/>
            <w:shd w:val="clear" w:color="auto" w:fill="FFFFFF"/>
            <w:tcMar>
              <w:top w:w="20" w:type="dxa"/>
              <w:bottom w:w="20" w:type="dxa"/>
            </w:tcMar>
            <w:vAlign w:val="center"/>
          </w:tcPr>
          <w:p w:rsidR="00BD3B5F" w:rsidRPr="005C3B55" w:rsidRDefault="00BD3B5F">
            <w:pPr>
              <w:jc w:val="left"/>
              <w:rPr>
                <w:szCs w:val="24"/>
              </w:rPr>
            </w:pPr>
            <w:r w:rsidRPr="005C3B55">
              <w:rPr>
                <w:sz w:val="12"/>
                <w:szCs w:val="24"/>
              </w:rPr>
              <w:t>G2.a) Arrangements in accordance with the institutional and legal framework of Member States for consluting institutions responsible for enforcing rights of the disabled, or representative organisations of the disables and other stakeholders in the preparation and implementation of programmes and their participation in these programmes</w:t>
            </w:r>
          </w:p>
        </w:tc>
        <w:tc>
          <w:tcPr>
            <w:tcW w:w="269" w:type="pct"/>
            <w:shd w:val="clear" w:color="auto" w:fill="FFFFFF"/>
            <w:tcMar>
              <w:top w:w="20" w:type="dxa"/>
              <w:bottom w:w="20" w:type="dxa"/>
            </w:tcMar>
            <w:vAlign w:val="center"/>
          </w:tcPr>
          <w:p w:rsidR="00BD3B5F" w:rsidRPr="005C3B55" w:rsidRDefault="00BD3B5F">
            <w:pPr>
              <w:jc w:val="left"/>
              <w:rPr>
                <w:sz w:val="12"/>
                <w:szCs w:val="24"/>
              </w:rPr>
            </w:pPr>
            <w:r w:rsidRPr="005C3B55">
              <w:rPr>
                <w:noProof/>
                <w:sz w:val="12"/>
                <w:szCs w:val="24"/>
              </w:rPr>
              <w:t>Yes</w:t>
            </w:r>
          </w:p>
        </w:tc>
        <w:tc>
          <w:tcPr>
            <w:tcW w:w="3042" w:type="pct"/>
            <w:shd w:val="clear" w:color="auto" w:fill="FFFFFF"/>
            <w:tcMar>
              <w:top w:w="20" w:type="dxa"/>
              <w:bottom w:w="20" w:type="dxa"/>
            </w:tcMar>
            <w:vAlign w:val="center"/>
          </w:tcPr>
          <w:p w:rsidR="00BD3B5F" w:rsidRPr="005C3B55" w:rsidRDefault="00BD3B5F">
            <w:pPr>
              <w:spacing w:before="0" w:after="160"/>
              <w:jc w:val="left"/>
              <w:rPr>
                <w:noProof/>
                <w:szCs w:val="24"/>
              </w:rPr>
            </w:pPr>
            <w:r w:rsidRPr="005C3B55">
              <w:rPr>
                <w:sz w:val="15"/>
                <w:szCs w:val="24"/>
              </w:rPr>
              <w:t>Disabled People’s Organisations Act:</w:t>
            </w:r>
            <w:r w:rsidRPr="005C3B55">
              <w:rPr>
                <w:noProof/>
                <w:sz w:val="15"/>
                <w:szCs w:val="24"/>
              </w:rPr>
              <w:t xml:space="preserve"> http://www.uradni-list.si/1/content?id=39875</w:t>
            </w:r>
          </w:p>
          <w:p w:rsidR="00BD3B5F" w:rsidRPr="005C3B55" w:rsidRDefault="00BD3B5F">
            <w:pPr>
              <w:spacing w:before="160" w:after="160"/>
              <w:jc w:val="left"/>
              <w:rPr>
                <w:noProof/>
                <w:szCs w:val="24"/>
              </w:rPr>
            </w:pPr>
            <w:r w:rsidRPr="005C3B55">
              <w:rPr>
                <w:sz w:val="15"/>
                <w:szCs w:val="24"/>
              </w:rPr>
              <w:t>Equalisation of Opportunities for Persons with Disabilities Act:</w:t>
            </w:r>
            <w:r w:rsidRPr="005C3B55">
              <w:rPr>
                <w:noProof/>
                <w:sz w:val="15"/>
                <w:szCs w:val="24"/>
              </w:rPr>
              <w:t xml:space="preserve"> http://www.uradni-list.si/1/content?id=100876</w:t>
            </w:r>
          </w:p>
          <w:p w:rsidR="00BD3B5F" w:rsidRPr="005C3B55" w:rsidRDefault="00BD3B5F">
            <w:pPr>
              <w:jc w:val="left"/>
              <w:rPr>
                <w:sz w:val="12"/>
                <w:szCs w:val="24"/>
              </w:rPr>
            </w:pPr>
          </w:p>
        </w:tc>
        <w:tc>
          <w:tcPr>
            <w:tcW w:w="536" w:type="pct"/>
            <w:shd w:val="clear" w:color="auto" w:fill="FFFFFF"/>
            <w:tcMar>
              <w:top w:w="20" w:type="dxa"/>
              <w:bottom w:w="20" w:type="dxa"/>
            </w:tcMar>
            <w:vAlign w:val="center"/>
          </w:tcPr>
          <w:p w:rsidR="00BD3B5F" w:rsidRPr="005C3B55" w:rsidRDefault="00BD3B5F">
            <w:pPr>
              <w:jc w:val="left"/>
              <w:rPr>
                <w:szCs w:val="24"/>
              </w:rPr>
            </w:pPr>
            <w:r w:rsidRPr="005C3B55">
              <w:rPr>
                <w:sz w:val="12"/>
                <w:szCs w:val="24"/>
              </w:rPr>
              <w:t>In accordance with the Disabled People’s Organisations Act (Official Gazette of the Republic of Slovenia, no. 108/2002), representative organisations of persons with disabilities represent persons with disabilities and their interests in the dialogue with bodies at the national and international level and, also in accordance with regulations, propose representatives of persons with disabilities to working bodies of national or other authorities dealing with issues of persons with disabilities.</w:t>
            </w:r>
          </w:p>
          <w:p w:rsidR="00BD3B5F" w:rsidRPr="005C3B55" w:rsidRDefault="00BD3B5F">
            <w:pPr>
              <w:jc w:val="left"/>
              <w:rPr>
                <w:sz w:val="12"/>
                <w:szCs w:val="24"/>
              </w:rPr>
            </w:pPr>
            <w:r w:rsidRPr="005C3B55">
              <w:rPr>
                <w:sz w:val="12"/>
                <w:szCs w:val="24"/>
              </w:rPr>
              <w:t>Since 1991, persons with special needs have acted as members of working bodies which prepare national laws and programmes dealing with disability.</w:t>
            </w:r>
          </w:p>
          <w:p w:rsidR="00BD3B5F" w:rsidRPr="005C3B55" w:rsidRDefault="00BD3B5F">
            <w:pPr>
              <w:jc w:val="left"/>
              <w:rPr>
                <w:szCs w:val="24"/>
              </w:rPr>
            </w:pPr>
            <w:r w:rsidRPr="005C3B55">
              <w:rPr>
                <w:sz w:val="12"/>
                <w:szCs w:val="24"/>
              </w:rPr>
              <w:t>The National Council on Disability is the focal point which is responsible for realising the interests of national authorities, professionals and persons with disabilities (Article 28 of the Equalisation of Opportunities for Persons with Disabilities Act; Official Gazette of the Republic of Slovenia, no. 94/2010).</w:t>
            </w:r>
          </w:p>
        </w:tc>
      </w:tr>
      <w:tr w:rsidR="00BD3B5F" w:rsidRPr="005C3B55">
        <w:tc>
          <w:tcPr>
            <w:tcW w:w="577" w:type="pct"/>
            <w:vMerge/>
            <w:shd w:val="clear" w:color="auto" w:fill="FFFFFF"/>
            <w:tcMar>
              <w:top w:w="20" w:type="dxa"/>
              <w:bottom w:w="20" w:type="dxa"/>
            </w:tcMar>
            <w:vAlign w:val="center"/>
          </w:tcPr>
          <w:p w:rsidR="00BD3B5F" w:rsidRPr="005C3B55" w:rsidRDefault="00BD3B5F">
            <w:pPr>
              <w:jc w:val="left"/>
              <w:rPr>
                <w:sz w:val="12"/>
                <w:szCs w:val="24"/>
              </w:rPr>
            </w:pPr>
          </w:p>
        </w:tc>
        <w:tc>
          <w:tcPr>
            <w:tcW w:w="577" w:type="pct"/>
            <w:shd w:val="clear" w:color="auto" w:fill="FFFFFF"/>
            <w:tcMar>
              <w:top w:w="20" w:type="dxa"/>
              <w:bottom w:w="20" w:type="dxa"/>
            </w:tcMar>
            <w:vAlign w:val="center"/>
          </w:tcPr>
          <w:p w:rsidR="00BD3B5F" w:rsidRPr="005C3B55" w:rsidRDefault="00BD3B5F">
            <w:pPr>
              <w:jc w:val="left"/>
              <w:rPr>
                <w:szCs w:val="24"/>
              </w:rPr>
            </w:pPr>
            <w:r w:rsidRPr="005C3B55">
              <w:rPr>
                <w:sz w:val="12"/>
                <w:szCs w:val="24"/>
              </w:rPr>
              <w:t>G3.b) Arrangement of training of authority staff included in the management and supervision of ESI funds in the fields of suitable legislation and policy on disabilities at the Union and national levels, including the accessibility and use of the United Nations Convention on the rights of persons with disabilities as reflected in EU legislation and national legislation respectively</w:t>
            </w:r>
          </w:p>
        </w:tc>
        <w:tc>
          <w:tcPr>
            <w:tcW w:w="269" w:type="pct"/>
            <w:shd w:val="clear" w:color="auto" w:fill="FFFFFF"/>
            <w:tcMar>
              <w:top w:w="20" w:type="dxa"/>
              <w:bottom w:w="20" w:type="dxa"/>
            </w:tcMar>
            <w:vAlign w:val="center"/>
          </w:tcPr>
          <w:p w:rsidR="00BD3B5F" w:rsidRPr="005C3B55" w:rsidRDefault="00BD3B5F">
            <w:pPr>
              <w:jc w:val="left"/>
              <w:rPr>
                <w:sz w:val="12"/>
                <w:szCs w:val="24"/>
              </w:rPr>
            </w:pPr>
            <w:r w:rsidRPr="005C3B55">
              <w:rPr>
                <w:noProof/>
                <w:sz w:val="12"/>
                <w:szCs w:val="24"/>
              </w:rPr>
              <w:t>Yes</w:t>
            </w:r>
          </w:p>
        </w:tc>
        <w:tc>
          <w:tcPr>
            <w:tcW w:w="3042" w:type="pct"/>
            <w:shd w:val="clear" w:color="auto" w:fill="FFFFFF"/>
            <w:tcMar>
              <w:top w:w="20" w:type="dxa"/>
              <w:bottom w:w="20" w:type="dxa"/>
            </w:tcMar>
            <w:vAlign w:val="center"/>
          </w:tcPr>
          <w:p w:rsidR="00BD3B5F" w:rsidRPr="005C3B55" w:rsidRDefault="00BD3B5F">
            <w:pPr>
              <w:spacing w:before="0" w:after="160"/>
              <w:jc w:val="left"/>
              <w:rPr>
                <w:noProof/>
                <w:sz w:val="15"/>
                <w:szCs w:val="24"/>
              </w:rPr>
            </w:pPr>
            <w:r w:rsidRPr="005C3B55">
              <w:rPr>
                <w:sz w:val="15"/>
                <w:szCs w:val="24"/>
              </w:rPr>
              <w:t>Indicative training plan 2014–2020 for ESI funds is an annex to RDP 2014–2020.</w:t>
            </w:r>
          </w:p>
          <w:p w:rsidR="00BD3B5F" w:rsidRPr="005C3B55" w:rsidRDefault="00BD3B5F">
            <w:pPr>
              <w:jc w:val="left"/>
              <w:rPr>
                <w:sz w:val="12"/>
                <w:szCs w:val="24"/>
              </w:rPr>
            </w:pPr>
          </w:p>
        </w:tc>
        <w:tc>
          <w:tcPr>
            <w:tcW w:w="536" w:type="pct"/>
            <w:shd w:val="clear" w:color="auto" w:fill="FFFFFF"/>
            <w:tcMar>
              <w:top w:w="20" w:type="dxa"/>
              <w:bottom w:w="20" w:type="dxa"/>
            </w:tcMar>
            <w:vAlign w:val="center"/>
          </w:tcPr>
          <w:p w:rsidR="00BD3B5F" w:rsidRPr="005C3B55" w:rsidRDefault="00BD3B5F">
            <w:pPr>
              <w:jc w:val="left"/>
              <w:rPr>
                <w:szCs w:val="24"/>
              </w:rPr>
            </w:pPr>
            <w:r w:rsidRPr="005C3B55">
              <w:rPr>
                <w:sz w:val="12"/>
                <w:szCs w:val="24"/>
              </w:rPr>
              <w:t xml:space="preserve">For the needs of training of staff included in the management and supervision of ESI funds, a indicative training plan was prepared for the 2014–2020 period. This is a joint document of the Managing Authority of  RDP 2014–2020 and the Managing Authority of the Operational Programme for the European Cohesion Policy. The indicative training plan also anticipates training relating to the observance of principles of accessibility, equality and non-discrimination of persons with disabilities. </w:t>
            </w:r>
          </w:p>
        </w:tc>
      </w:tr>
      <w:tr w:rsidR="00BD3B5F" w:rsidRPr="005C3B55">
        <w:tc>
          <w:tcPr>
            <w:tcW w:w="577" w:type="pct"/>
            <w:vMerge/>
            <w:shd w:val="clear" w:color="auto" w:fill="FFFFFF"/>
            <w:tcMar>
              <w:top w:w="20" w:type="dxa"/>
              <w:bottom w:w="20" w:type="dxa"/>
            </w:tcMar>
            <w:vAlign w:val="center"/>
          </w:tcPr>
          <w:p w:rsidR="00BD3B5F" w:rsidRPr="005C3B55" w:rsidRDefault="00BD3B5F">
            <w:pPr>
              <w:jc w:val="left"/>
              <w:rPr>
                <w:sz w:val="12"/>
                <w:szCs w:val="24"/>
              </w:rPr>
            </w:pPr>
          </w:p>
        </w:tc>
        <w:tc>
          <w:tcPr>
            <w:tcW w:w="577" w:type="pct"/>
            <w:shd w:val="clear" w:color="auto" w:fill="FFFFFF"/>
            <w:tcMar>
              <w:top w:w="20" w:type="dxa"/>
              <w:bottom w:w="20" w:type="dxa"/>
            </w:tcMar>
            <w:vAlign w:val="center"/>
          </w:tcPr>
          <w:p w:rsidR="00BD3B5F" w:rsidRPr="005C3B55" w:rsidRDefault="00BD3B5F">
            <w:pPr>
              <w:jc w:val="left"/>
              <w:rPr>
                <w:szCs w:val="24"/>
              </w:rPr>
            </w:pPr>
            <w:r w:rsidRPr="005C3B55">
              <w:rPr>
                <w:sz w:val="12"/>
                <w:szCs w:val="24"/>
              </w:rPr>
              <w:t>G3.c) Arrangements for monitoring the implementation of Article 9 of the aforementioned Convention in the field of ESI funds during the preparation and implementation of programmes</w:t>
            </w:r>
          </w:p>
        </w:tc>
        <w:tc>
          <w:tcPr>
            <w:tcW w:w="269" w:type="pct"/>
            <w:shd w:val="clear" w:color="auto" w:fill="FFFFFF"/>
            <w:tcMar>
              <w:top w:w="20" w:type="dxa"/>
              <w:bottom w:w="20" w:type="dxa"/>
            </w:tcMar>
            <w:vAlign w:val="center"/>
          </w:tcPr>
          <w:p w:rsidR="00BD3B5F" w:rsidRPr="005C3B55" w:rsidRDefault="00BD3B5F">
            <w:pPr>
              <w:jc w:val="left"/>
              <w:rPr>
                <w:sz w:val="12"/>
                <w:szCs w:val="24"/>
              </w:rPr>
            </w:pPr>
            <w:r w:rsidRPr="005C3B55">
              <w:rPr>
                <w:noProof/>
                <w:sz w:val="12"/>
                <w:szCs w:val="24"/>
              </w:rPr>
              <w:t>Yes</w:t>
            </w:r>
          </w:p>
        </w:tc>
        <w:tc>
          <w:tcPr>
            <w:tcW w:w="3042" w:type="pct"/>
            <w:shd w:val="clear" w:color="auto" w:fill="FFFFFF"/>
            <w:tcMar>
              <w:top w:w="20" w:type="dxa"/>
              <w:bottom w:w="20" w:type="dxa"/>
            </w:tcMar>
            <w:vAlign w:val="center"/>
          </w:tcPr>
          <w:p w:rsidR="00BD3B5F" w:rsidRPr="005C3B55" w:rsidRDefault="00BD3B5F">
            <w:pPr>
              <w:spacing w:before="0" w:after="160"/>
              <w:jc w:val="left"/>
              <w:rPr>
                <w:noProof/>
                <w:sz w:val="15"/>
                <w:szCs w:val="24"/>
              </w:rPr>
            </w:pPr>
            <w:r w:rsidRPr="005C3B55">
              <w:rPr>
                <w:sz w:val="15"/>
                <w:szCs w:val="24"/>
              </w:rPr>
              <w:t>National guidelines to improve the built environment, information and communications accessibility for people with disabilities:</w:t>
            </w:r>
          </w:p>
          <w:p w:rsidR="00BD3B5F" w:rsidRPr="005C3B55" w:rsidRDefault="00BD3B5F">
            <w:pPr>
              <w:spacing w:before="150" w:after="150"/>
              <w:jc w:val="left"/>
              <w:rPr>
                <w:noProof/>
                <w:sz w:val="15"/>
                <w:szCs w:val="24"/>
              </w:rPr>
            </w:pPr>
            <w:r w:rsidRPr="005C3B55">
              <w:rPr>
                <w:noProof/>
                <w:sz w:val="15"/>
                <w:szCs w:val="24"/>
              </w:rPr>
              <w:t>http://www.uradni-list.si/1/content?id=59479</w:t>
            </w:r>
          </w:p>
          <w:p w:rsidR="00BD3B5F" w:rsidRPr="005C3B55" w:rsidRDefault="00BD3B5F">
            <w:pPr>
              <w:spacing w:before="160" w:after="160"/>
              <w:jc w:val="left"/>
              <w:rPr>
                <w:noProof/>
                <w:szCs w:val="24"/>
              </w:rPr>
            </w:pPr>
            <w:r w:rsidRPr="005C3B55">
              <w:rPr>
                <w:sz w:val="15"/>
                <w:szCs w:val="24"/>
              </w:rPr>
              <w:t>Action Programme for Persons with Disabilities 2014–2021:</w:t>
            </w:r>
            <w:r w:rsidRPr="005C3B55">
              <w:rPr>
                <w:noProof/>
                <w:sz w:val="15"/>
                <w:szCs w:val="24"/>
              </w:rPr>
              <w:t xml:space="preserve"> http://www.mddsz.gov.si/si/zakonodaja_in_dokumenti/pomembni_dokumenti/</w:t>
            </w:r>
          </w:p>
          <w:p w:rsidR="00BD3B5F" w:rsidRPr="005C3B55" w:rsidRDefault="00BD3B5F">
            <w:pPr>
              <w:spacing w:before="160" w:after="160"/>
              <w:jc w:val="left"/>
              <w:rPr>
                <w:noProof/>
                <w:szCs w:val="24"/>
              </w:rPr>
            </w:pPr>
            <w:r w:rsidRPr="005C3B55">
              <w:rPr>
                <w:sz w:val="15"/>
                <w:szCs w:val="24"/>
              </w:rPr>
              <w:t>Equalisation of Opportunities for Persons with Disabilities Act:</w:t>
            </w:r>
            <w:r w:rsidRPr="005C3B55">
              <w:rPr>
                <w:noProof/>
                <w:sz w:val="15"/>
                <w:szCs w:val="24"/>
              </w:rPr>
              <w:t xml:space="preserve"> http://www.uradni-list.si/1/content?id=100876</w:t>
            </w:r>
          </w:p>
          <w:p w:rsidR="00BD3B5F" w:rsidRPr="005C3B55" w:rsidRDefault="00BD3B5F">
            <w:pPr>
              <w:jc w:val="left"/>
              <w:rPr>
                <w:sz w:val="12"/>
                <w:szCs w:val="24"/>
              </w:rPr>
            </w:pPr>
          </w:p>
        </w:tc>
        <w:tc>
          <w:tcPr>
            <w:tcW w:w="536" w:type="pct"/>
            <w:shd w:val="clear" w:color="auto" w:fill="FFFFFF"/>
            <w:tcMar>
              <w:top w:w="20" w:type="dxa"/>
              <w:bottom w:w="20" w:type="dxa"/>
            </w:tcMar>
            <w:vAlign w:val="center"/>
          </w:tcPr>
          <w:p w:rsidR="00BD3B5F" w:rsidRPr="005C3B55" w:rsidRDefault="00BD3B5F">
            <w:pPr>
              <w:jc w:val="left"/>
              <w:rPr>
                <w:szCs w:val="24"/>
              </w:rPr>
            </w:pPr>
            <w:r w:rsidRPr="005C3B55">
              <w:rPr>
                <w:sz w:val="12"/>
                <w:szCs w:val="24"/>
              </w:rPr>
              <w:t xml:space="preserve">National guidelines to improve the built environment, information and communications accessibility for people with disabilities were adopted in 2005 (Official Gazette of the Republic of Slovenia, no. 113/2005). </w:t>
            </w:r>
          </w:p>
          <w:p w:rsidR="00BD3B5F" w:rsidRPr="005C3B55" w:rsidRDefault="00BD3B5F">
            <w:pPr>
              <w:jc w:val="left"/>
              <w:rPr>
                <w:szCs w:val="24"/>
              </w:rPr>
            </w:pPr>
            <w:r w:rsidRPr="005C3B55">
              <w:rPr>
                <w:sz w:val="12"/>
                <w:szCs w:val="24"/>
              </w:rPr>
              <w:t xml:space="preserve">In 2006, the Government of the Republic of Slovenia adopted the National Action Programme for Persons with Disabilities. In 2014, the Government of the Republic of Slovenia adopted the National Action Programme for Persons with Disabilities 2014–2021. </w:t>
            </w:r>
          </w:p>
          <w:p w:rsidR="00BD3B5F" w:rsidRPr="005C3B55" w:rsidRDefault="00BD3B5F">
            <w:pPr>
              <w:jc w:val="left"/>
              <w:rPr>
                <w:szCs w:val="24"/>
              </w:rPr>
            </w:pPr>
            <w:r w:rsidRPr="005C3B55">
              <w:rPr>
                <w:sz w:val="12"/>
                <w:szCs w:val="24"/>
              </w:rPr>
              <w:t>The Equalisation of Opportunities for Persons with Disabilities Act</w:t>
            </w:r>
            <w:r w:rsidRPr="005C3B55">
              <w:rPr>
                <w:sz w:val="15"/>
                <w:szCs w:val="24"/>
              </w:rPr>
              <w:t xml:space="preserve"> </w:t>
            </w:r>
            <w:r w:rsidRPr="005C3B55">
              <w:rPr>
                <w:sz w:val="12"/>
                <w:szCs w:val="24"/>
              </w:rPr>
              <w:t xml:space="preserve">(Official Gazette of the Republic of Slovenia, no. 94/2010) prohibits discrimination when accessing buildings, goods and services, including access to information (Articles 7, 8, 9 and 14). </w:t>
            </w:r>
          </w:p>
          <w:p w:rsidR="00BD3B5F" w:rsidRPr="005C3B55" w:rsidRDefault="00BD3B5F">
            <w:pPr>
              <w:jc w:val="left"/>
              <w:rPr>
                <w:szCs w:val="24"/>
              </w:rPr>
            </w:pPr>
            <w:r w:rsidRPr="005C3B55">
              <w:rPr>
                <w:sz w:val="12"/>
                <w:szCs w:val="24"/>
              </w:rPr>
              <w:t>The Council for persons with disabilities of the Republic of Slovenia was established on the basis of Article 28 of the Equalisation of Opportunities for Persons with Disabilities Act as an independent tri-partite body whose members include representatives of disability organisations, representatives of expert institutions in the field of protection of disabled persons and representatives of the Government of the Republic of Slovenia. One of the tasks of the Council is the promotion and monitoring the implementation of the Convention on the Rights of Persons with Disabilities, i.e. also the realisation of Article 9.</w:t>
            </w:r>
          </w:p>
          <w:p w:rsidR="00BD3B5F" w:rsidRPr="005C3B55" w:rsidRDefault="00BD3B5F">
            <w:pPr>
              <w:jc w:val="left"/>
              <w:rPr>
                <w:sz w:val="12"/>
                <w:szCs w:val="24"/>
              </w:rPr>
            </w:pPr>
          </w:p>
        </w:tc>
      </w:tr>
      <w:tr w:rsidR="00BD3B5F" w:rsidRPr="005C3B55">
        <w:tc>
          <w:tcPr>
            <w:tcW w:w="577" w:type="pct"/>
            <w:vMerge w:val="restart"/>
            <w:shd w:val="clear" w:color="auto" w:fill="FFFFFF"/>
            <w:tcMar>
              <w:top w:w="20" w:type="dxa"/>
              <w:bottom w:w="20" w:type="dxa"/>
            </w:tcMar>
            <w:vAlign w:val="center"/>
          </w:tcPr>
          <w:p w:rsidR="00BD3B5F" w:rsidRPr="005C3B55" w:rsidRDefault="00BD3B5F">
            <w:pPr>
              <w:jc w:val="left"/>
              <w:rPr>
                <w:szCs w:val="24"/>
              </w:rPr>
            </w:pPr>
            <w:r w:rsidRPr="005C3B55">
              <w:rPr>
                <w:sz w:val="12"/>
                <w:szCs w:val="24"/>
              </w:rPr>
              <w:t>G4) Public procurement: Arrangement of efficient application of EU legislation on public procurement in the field of ESI funds</w:t>
            </w:r>
          </w:p>
        </w:tc>
        <w:tc>
          <w:tcPr>
            <w:tcW w:w="577" w:type="pct"/>
            <w:shd w:val="clear" w:color="auto" w:fill="FFFFFF"/>
            <w:tcMar>
              <w:top w:w="20" w:type="dxa"/>
              <w:bottom w:w="20" w:type="dxa"/>
            </w:tcMar>
            <w:vAlign w:val="center"/>
          </w:tcPr>
          <w:p w:rsidR="00BD3B5F" w:rsidRPr="005C3B55" w:rsidRDefault="00BD3B5F">
            <w:pPr>
              <w:jc w:val="left"/>
              <w:rPr>
                <w:szCs w:val="24"/>
              </w:rPr>
            </w:pPr>
            <w:r w:rsidRPr="005C3B55">
              <w:rPr>
                <w:sz w:val="12"/>
                <w:szCs w:val="24"/>
              </w:rPr>
              <w:t>G4.a) Arrangement of efficient application of EU legislation on public procurement supported with suitable mechanisms</w:t>
            </w:r>
          </w:p>
        </w:tc>
        <w:tc>
          <w:tcPr>
            <w:tcW w:w="269" w:type="pct"/>
            <w:shd w:val="clear" w:color="auto" w:fill="FFFFFF"/>
            <w:tcMar>
              <w:top w:w="20" w:type="dxa"/>
              <w:bottom w:w="20" w:type="dxa"/>
            </w:tcMar>
            <w:vAlign w:val="center"/>
          </w:tcPr>
          <w:p w:rsidR="00BD3B5F" w:rsidRPr="005C3B55" w:rsidRDefault="00BD3B5F">
            <w:pPr>
              <w:jc w:val="left"/>
              <w:rPr>
                <w:sz w:val="12"/>
                <w:szCs w:val="24"/>
              </w:rPr>
            </w:pPr>
            <w:r w:rsidRPr="005C3B55">
              <w:rPr>
                <w:noProof/>
                <w:sz w:val="12"/>
                <w:szCs w:val="24"/>
              </w:rPr>
              <w:t>No</w:t>
            </w:r>
          </w:p>
        </w:tc>
        <w:tc>
          <w:tcPr>
            <w:tcW w:w="3042" w:type="pct"/>
            <w:shd w:val="clear" w:color="auto" w:fill="FFFFFF"/>
            <w:tcMar>
              <w:top w:w="20" w:type="dxa"/>
              <w:bottom w:w="20" w:type="dxa"/>
            </w:tcMar>
            <w:vAlign w:val="center"/>
          </w:tcPr>
          <w:p w:rsidR="00BD3B5F" w:rsidRPr="005C3B55" w:rsidRDefault="00BD3B5F">
            <w:pPr>
              <w:spacing w:before="0" w:after="160"/>
              <w:jc w:val="left"/>
              <w:rPr>
                <w:noProof/>
                <w:szCs w:val="24"/>
              </w:rPr>
            </w:pPr>
            <w:r w:rsidRPr="005C3B55">
              <w:rPr>
                <w:sz w:val="15"/>
                <w:szCs w:val="24"/>
              </w:rPr>
              <w:t>Public Procurement Act:</w:t>
            </w:r>
            <w:r w:rsidRPr="005C3B55">
              <w:rPr>
                <w:noProof/>
                <w:sz w:val="15"/>
                <w:szCs w:val="24"/>
              </w:rPr>
              <w:t xml:space="preserve"> http://www.pisrs.si/Pis.web/pregledPredpisa?id=ZAKO4298</w:t>
            </w:r>
          </w:p>
          <w:p w:rsidR="00BD3B5F" w:rsidRPr="005C3B55" w:rsidRDefault="00BD3B5F">
            <w:pPr>
              <w:spacing w:before="160" w:after="160"/>
              <w:jc w:val="left"/>
              <w:rPr>
                <w:noProof/>
                <w:szCs w:val="24"/>
              </w:rPr>
            </w:pPr>
            <w:r w:rsidRPr="005C3B55">
              <w:rPr>
                <w:sz w:val="15"/>
                <w:szCs w:val="24"/>
              </w:rPr>
              <w:t>Act Regulating Public Procurement in Water, Energy, Transport and Postal Services:</w:t>
            </w:r>
            <w:r w:rsidRPr="005C3B55">
              <w:rPr>
                <w:noProof/>
                <w:sz w:val="15"/>
                <w:szCs w:val="24"/>
              </w:rPr>
              <w:t xml:space="preserve"> http://www.pisrs.si/Pis.web/pregledPredpisa?id=ZAKO4299</w:t>
            </w:r>
          </w:p>
          <w:p w:rsidR="00BD3B5F" w:rsidRPr="005C3B55" w:rsidRDefault="00BD3B5F">
            <w:pPr>
              <w:jc w:val="left"/>
              <w:rPr>
                <w:sz w:val="12"/>
                <w:szCs w:val="24"/>
              </w:rPr>
            </w:pPr>
          </w:p>
        </w:tc>
        <w:tc>
          <w:tcPr>
            <w:tcW w:w="536" w:type="pct"/>
            <w:shd w:val="clear" w:color="auto" w:fill="FFFFFF"/>
            <w:tcMar>
              <w:top w:w="20" w:type="dxa"/>
              <w:bottom w:w="20" w:type="dxa"/>
            </w:tcMar>
            <w:vAlign w:val="center"/>
          </w:tcPr>
          <w:p w:rsidR="00BD3B5F" w:rsidRPr="005C3B55" w:rsidRDefault="00BD3B5F">
            <w:pPr>
              <w:jc w:val="left"/>
              <w:rPr>
                <w:szCs w:val="24"/>
              </w:rPr>
            </w:pPr>
            <w:r w:rsidRPr="005C3B55">
              <w:rPr>
                <w:sz w:val="12"/>
                <w:szCs w:val="24"/>
              </w:rPr>
              <w:t xml:space="preserve">Directive 2004/18/EC was implemented in the national legislation with the Public Procurement Act (ZJN) (Official Gazette of the Republic of Slovenia, no. 12/2013) and its implementing acts; Directive 2004/17/EC was transposed with the Act Regulating Public Procurement in Water, Energy, Transport and Postal Service (PPWMETPSAA) (Official Gazette of the Republic of Slovenia, no. 72/2011) and thus related implementing acts. Numerous provisions were included in national public procurement legislation which improve transparency and integrity in public procurement, prevent the granting of undue advantage to some bidders and limit the risk of corruption. </w:t>
            </w:r>
          </w:p>
          <w:p w:rsidR="00BD3B5F" w:rsidRPr="005C3B55" w:rsidRDefault="00BD3B5F">
            <w:pPr>
              <w:jc w:val="left"/>
              <w:rPr>
                <w:szCs w:val="24"/>
              </w:rPr>
            </w:pPr>
            <w:r w:rsidRPr="005C3B55">
              <w:rPr>
                <w:sz w:val="12"/>
                <w:szCs w:val="24"/>
              </w:rPr>
              <w:t xml:space="preserve">For instance: in the negotiated procedure without prior publication, the publication of the notice on ex-ante transparency of the decision for awarding the contract is mandatory, which serves as the basis for unjustly dismissed bidders who seek legal protection. For awarding contracts on additional supply of goods, services and construction, which amount to 30% of the original contract, public contracting authorities have to obtain approval of the relevant supervisory body. Staff and other persons involved in awarding of contracts have to inform the head of the contracting authority on each case of potential conflict of interest with the most favourable bidder. The opening of bids must be public. Any significant violation of public procurement regulations by the contracting authority, bidder and subcontractor is punishable. </w:t>
            </w:r>
          </w:p>
          <w:p w:rsidR="00BD3B5F" w:rsidRPr="005C3B55" w:rsidRDefault="00BD3B5F">
            <w:pPr>
              <w:jc w:val="left"/>
              <w:rPr>
                <w:szCs w:val="24"/>
              </w:rPr>
            </w:pPr>
            <w:r w:rsidRPr="005C3B55">
              <w:rPr>
                <w:sz w:val="12"/>
                <w:szCs w:val="24"/>
              </w:rPr>
              <w:t xml:space="preserve">Reference to relevant articles of national legislation (ZJN and PPWMETPSAA): </w:t>
            </w:r>
          </w:p>
          <w:p w:rsidR="00BD3B5F" w:rsidRPr="005C3B55" w:rsidRDefault="00BD3B5F">
            <w:pPr>
              <w:jc w:val="left"/>
              <w:rPr>
                <w:szCs w:val="24"/>
              </w:rPr>
            </w:pPr>
            <w:r w:rsidRPr="005C3B55">
              <w:rPr>
                <w:sz w:val="12"/>
                <w:szCs w:val="24"/>
              </w:rPr>
              <w:t>• mandatory publication of ex-ante notice in the case of negotiated procedure without prior publication of the public procurement (PPA: Article 63.b; PPWMETPSAA: Article 64.b);</w:t>
            </w:r>
          </w:p>
          <w:p w:rsidR="00BD3B5F" w:rsidRPr="005C3B55" w:rsidRDefault="00BD3B5F">
            <w:pPr>
              <w:jc w:val="left"/>
              <w:rPr>
                <w:szCs w:val="24"/>
              </w:rPr>
            </w:pPr>
            <w:r w:rsidRPr="005C3B55">
              <w:rPr>
                <w:sz w:val="12"/>
                <w:szCs w:val="24"/>
              </w:rPr>
              <w:t>• approval of the relevant supervisory body for adiditonal goods, construction and services (ZJN: the seventh paragraph of Article 29; PPWMETPSAA: the second paragraph of Article 35);</w:t>
            </w:r>
          </w:p>
          <w:p w:rsidR="00BD3B5F" w:rsidRPr="005C3B55" w:rsidRDefault="00BD3B5F">
            <w:pPr>
              <w:jc w:val="left"/>
              <w:rPr>
                <w:szCs w:val="24"/>
              </w:rPr>
            </w:pPr>
            <w:r w:rsidRPr="005C3B55">
              <w:rPr>
                <w:sz w:val="12"/>
                <w:szCs w:val="24"/>
              </w:rPr>
              <w:t xml:space="preserve">• informing of staff on the decision of awarding the contract so that they may notify their supervisors on possible conflict of interest (ZJN: paragraphs 7-10 of Article 79; PPWMETPSAA: paragraphs 7-10 of Article 83); </w:t>
            </w:r>
          </w:p>
          <w:p w:rsidR="00BD3B5F" w:rsidRPr="005C3B55" w:rsidRDefault="00BD3B5F">
            <w:pPr>
              <w:jc w:val="left"/>
              <w:rPr>
                <w:szCs w:val="24"/>
              </w:rPr>
            </w:pPr>
            <w:r w:rsidRPr="005C3B55">
              <w:rPr>
                <w:sz w:val="12"/>
                <w:szCs w:val="24"/>
              </w:rPr>
              <w:t>• public opening of bids (ZJN: Article 75; PPWMETPSAA: Article 79);</w:t>
            </w:r>
          </w:p>
          <w:p w:rsidR="00BD3B5F" w:rsidRPr="005C3B55" w:rsidRDefault="00BD3B5F">
            <w:pPr>
              <w:jc w:val="left"/>
              <w:rPr>
                <w:szCs w:val="24"/>
              </w:rPr>
            </w:pPr>
            <w:r w:rsidRPr="005C3B55">
              <w:rPr>
                <w:sz w:val="12"/>
                <w:szCs w:val="24"/>
              </w:rPr>
              <w:t>• sanctions in the case of violation of rules on public procurement as offences (ZJN: Article 109–109; PPWMETPSAA: Articles 106–106);</w:t>
            </w:r>
          </w:p>
          <w:p w:rsidR="00BD3B5F" w:rsidRPr="005C3B55" w:rsidRDefault="00BD3B5F">
            <w:pPr>
              <w:jc w:val="left"/>
              <w:rPr>
                <w:szCs w:val="24"/>
              </w:rPr>
            </w:pPr>
            <w:r w:rsidRPr="005C3B55">
              <w:rPr>
                <w:sz w:val="12"/>
                <w:szCs w:val="24"/>
              </w:rPr>
              <w:t>Description of arrangements discussing main and reoccuring types of erros established in audit reports: the Ministry of Finance promptly considers the reports and findings of reviews and control authorities in the field of public procurement and public spending (e.g. the Slovenian Court of Audit, the National Review Commission for the Review of Public Procurement Procedures, the Budget Supervision Office and the Anti-Corruption Commission) and regularly cooperates with these authorities, professional associations and chambers, and non-governmental organisations (e.g. the Slovenian Chamber of Commerce and Industry, the Chamber of Craft and Small Business, the Chamber of Architecture and Spatial Planning and UMANOTERA) regarding the findings in the field of public procurement. According to the nature, significance, scale and effects of an individual issue, the Ministry of Finance adopts the appropriate measures, such as drafting amendments to legislation, preparing secondary legislation, guidelines, positions and interpretations of legislation, and establishing necessary IT infrastructure.</w:t>
            </w:r>
          </w:p>
          <w:p w:rsidR="00BD3B5F" w:rsidRPr="005C3B55" w:rsidRDefault="00BD3B5F">
            <w:pPr>
              <w:jc w:val="left"/>
              <w:rPr>
                <w:szCs w:val="24"/>
              </w:rPr>
            </w:pPr>
            <w:r w:rsidRPr="005C3B55">
              <w:rPr>
                <w:sz w:val="12"/>
                <w:szCs w:val="24"/>
              </w:rPr>
              <w:t>To resolve main and repeated types of errors in public procurement, an extensive analysis of public procurement practices, especially those related to ESI funds, will be prepared by the end of November 2014. To resolve any problems and dilemmas in the shortest time possible, a special intergovernmental working group will be established by the end of June 2014.</w:t>
            </w:r>
          </w:p>
          <w:p w:rsidR="00BD3B5F" w:rsidRPr="005C3B55" w:rsidRDefault="00BD3B5F">
            <w:pPr>
              <w:jc w:val="left"/>
              <w:rPr>
                <w:szCs w:val="24"/>
              </w:rPr>
            </w:pPr>
            <w:r w:rsidRPr="005C3B55">
              <w:rPr>
                <w:sz w:val="12"/>
                <w:szCs w:val="24"/>
              </w:rPr>
              <w:t>A special advisory unit within the authority (i.e. ‘Help Desk’) which is competent for public procurement (Ministry of Finance) is operating and offers contracting authorities advice in the phase of tender documentation preparation and in the process from the publication of the call for bids until its conclusion. Technical assistance funds from the OP ECP are foreseen for the unit’s staff reinforcement and its regular training. The help desk will cooperate closely with the managing authorities.</w:t>
            </w:r>
          </w:p>
          <w:p w:rsidR="00BD3B5F" w:rsidRPr="005C3B55" w:rsidRDefault="00BD3B5F">
            <w:pPr>
              <w:jc w:val="left"/>
              <w:rPr>
                <w:szCs w:val="24"/>
              </w:rPr>
            </w:pPr>
            <w:r w:rsidRPr="005C3B55">
              <w:rPr>
                <w:sz w:val="12"/>
                <w:szCs w:val="24"/>
              </w:rPr>
              <w:t>An ad hoc consultation group in the field of public procurement will be set up., which will identify key issues in the field of public procurement procedures and prepare proposals on how to address these issues at a systemic level. The group, who will meet if necessary, will comprise representatives of institutions which have key roles in the public procurement system.</w:t>
            </w:r>
          </w:p>
          <w:p w:rsidR="00BD3B5F" w:rsidRPr="005C3B55" w:rsidRDefault="00BD3B5F">
            <w:pPr>
              <w:jc w:val="left"/>
              <w:rPr>
                <w:sz w:val="12"/>
                <w:szCs w:val="24"/>
              </w:rPr>
            </w:pPr>
          </w:p>
        </w:tc>
      </w:tr>
      <w:tr w:rsidR="00BD3B5F" w:rsidRPr="005C3B55">
        <w:tc>
          <w:tcPr>
            <w:tcW w:w="577" w:type="pct"/>
            <w:vMerge/>
            <w:shd w:val="clear" w:color="auto" w:fill="FFFFFF"/>
            <w:tcMar>
              <w:top w:w="20" w:type="dxa"/>
              <w:bottom w:w="20" w:type="dxa"/>
            </w:tcMar>
            <w:vAlign w:val="center"/>
          </w:tcPr>
          <w:p w:rsidR="00BD3B5F" w:rsidRPr="005C3B55" w:rsidRDefault="00BD3B5F">
            <w:pPr>
              <w:jc w:val="left"/>
              <w:rPr>
                <w:sz w:val="12"/>
                <w:szCs w:val="24"/>
              </w:rPr>
            </w:pPr>
          </w:p>
        </w:tc>
        <w:tc>
          <w:tcPr>
            <w:tcW w:w="577" w:type="pct"/>
            <w:shd w:val="clear" w:color="auto" w:fill="FFFFFF"/>
            <w:tcMar>
              <w:top w:w="20" w:type="dxa"/>
              <w:bottom w:w="20" w:type="dxa"/>
            </w:tcMar>
            <w:vAlign w:val="center"/>
          </w:tcPr>
          <w:p w:rsidR="00BD3B5F" w:rsidRPr="005C3B55" w:rsidRDefault="00BD3B5F">
            <w:pPr>
              <w:jc w:val="left"/>
              <w:rPr>
                <w:szCs w:val="24"/>
              </w:rPr>
            </w:pPr>
            <w:r w:rsidRPr="005C3B55">
              <w:rPr>
                <w:sz w:val="12"/>
                <w:szCs w:val="24"/>
              </w:rPr>
              <w:t>G4.b) Arrangement ensuring transparent public procurement procedures</w:t>
            </w:r>
          </w:p>
        </w:tc>
        <w:tc>
          <w:tcPr>
            <w:tcW w:w="269" w:type="pct"/>
            <w:shd w:val="clear" w:color="auto" w:fill="FFFFFF"/>
            <w:tcMar>
              <w:top w:w="20" w:type="dxa"/>
              <w:bottom w:w="20" w:type="dxa"/>
            </w:tcMar>
            <w:vAlign w:val="center"/>
          </w:tcPr>
          <w:p w:rsidR="00BD3B5F" w:rsidRPr="005C3B55" w:rsidRDefault="00BD3B5F">
            <w:pPr>
              <w:jc w:val="left"/>
              <w:rPr>
                <w:sz w:val="12"/>
                <w:szCs w:val="24"/>
              </w:rPr>
            </w:pPr>
            <w:r w:rsidRPr="005C3B55">
              <w:rPr>
                <w:noProof/>
                <w:sz w:val="12"/>
                <w:szCs w:val="24"/>
              </w:rPr>
              <w:t>Yes</w:t>
            </w:r>
          </w:p>
        </w:tc>
        <w:tc>
          <w:tcPr>
            <w:tcW w:w="3042" w:type="pct"/>
            <w:shd w:val="clear" w:color="auto" w:fill="FFFFFF"/>
            <w:tcMar>
              <w:top w:w="20" w:type="dxa"/>
              <w:bottom w:w="20" w:type="dxa"/>
            </w:tcMar>
            <w:vAlign w:val="center"/>
          </w:tcPr>
          <w:p w:rsidR="00BD3B5F" w:rsidRPr="005C3B55" w:rsidRDefault="00BD3B5F">
            <w:pPr>
              <w:spacing w:before="0" w:after="160"/>
              <w:jc w:val="left"/>
              <w:rPr>
                <w:noProof/>
                <w:szCs w:val="24"/>
              </w:rPr>
            </w:pPr>
            <w:r w:rsidRPr="005C3B55">
              <w:rPr>
                <w:sz w:val="15"/>
                <w:szCs w:val="24"/>
              </w:rPr>
              <w:t>Public Procurement Act:</w:t>
            </w:r>
            <w:r w:rsidRPr="005C3B55">
              <w:rPr>
                <w:noProof/>
                <w:sz w:val="15"/>
                <w:szCs w:val="24"/>
              </w:rPr>
              <w:t xml:space="preserve"> http://www.pisrs.si/Pis.web/pregledPredpisa?id=ZAKO4298</w:t>
            </w:r>
          </w:p>
          <w:p w:rsidR="00BD3B5F" w:rsidRPr="005C3B55" w:rsidRDefault="00BD3B5F">
            <w:pPr>
              <w:spacing w:before="160" w:after="160"/>
              <w:jc w:val="left"/>
              <w:rPr>
                <w:noProof/>
                <w:szCs w:val="24"/>
              </w:rPr>
            </w:pPr>
            <w:r w:rsidRPr="005C3B55">
              <w:rPr>
                <w:sz w:val="15"/>
                <w:szCs w:val="24"/>
              </w:rPr>
              <w:t>Act Regulating Public Procurement in Water, Energy, Transport and Postal Services:</w:t>
            </w:r>
            <w:r w:rsidRPr="005C3B55">
              <w:rPr>
                <w:noProof/>
                <w:sz w:val="15"/>
                <w:szCs w:val="24"/>
              </w:rPr>
              <w:t xml:space="preserve"> http://www.pisrs.si/Pis.web/pregledPredpisa?id=ZAKO4299</w:t>
            </w:r>
          </w:p>
          <w:p w:rsidR="00BD3B5F" w:rsidRPr="005C3B55" w:rsidRDefault="00BD3B5F">
            <w:pPr>
              <w:jc w:val="left"/>
              <w:rPr>
                <w:sz w:val="12"/>
                <w:szCs w:val="24"/>
              </w:rPr>
            </w:pPr>
          </w:p>
        </w:tc>
        <w:tc>
          <w:tcPr>
            <w:tcW w:w="536" w:type="pct"/>
            <w:shd w:val="clear" w:color="auto" w:fill="FFFFFF"/>
            <w:tcMar>
              <w:top w:w="20" w:type="dxa"/>
              <w:bottom w:w="20" w:type="dxa"/>
            </w:tcMar>
            <w:vAlign w:val="center"/>
          </w:tcPr>
          <w:p w:rsidR="00BD3B5F" w:rsidRPr="005C3B55" w:rsidRDefault="00BD3B5F">
            <w:pPr>
              <w:jc w:val="left"/>
              <w:rPr>
                <w:szCs w:val="24"/>
              </w:rPr>
            </w:pPr>
            <w:r w:rsidRPr="005C3B55">
              <w:rPr>
                <w:sz w:val="12"/>
                <w:szCs w:val="24"/>
              </w:rPr>
              <w:t>Slovenian public procurement leglisation regulates procedures for awarding contracts for goods and services from EUR 20,000 upwards and from EUR 40,000 upwards for works. Regarding infrastructure, the legislation regulates contract awards from EUR 40,000 upwards (goods and services) and from EUR 80,000 upwards for works.</w:t>
            </w:r>
          </w:p>
          <w:p w:rsidR="00BD3B5F" w:rsidRPr="005C3B55" w:rsidRDefault="00BD3B5F">
            <w:pPr>
              <w:jc w:val="left"/>
              <w:rPr>
                <w:szCs w:val="24"/>
              </w:rPr>
            </w:pPr>
            <w:r w:rsidRPr="005C3B55">
              <w:rPr>
                <w:sz w:val="12"/>
                <w:szCs w:val="24"/>
              </w:rPr>
              <w:t xml:space="preserve">Guidelines on public procurement below the thresholds are not required in Slovenian, since the Public Procurement Act (ZJN) and Act Regulating Public Procurement in Water, Energy, Transport and Postal Service (PPWMETPSAA) determine very low thresholds for contract award procedures regulated by the act to be transparent (ZJN: Articles 12 and 24; PPWMETPSAA: Articles 17 and 32). The acts also govern phases and award procedures (ZJN: Article 77; PPWMETPSAA: Article 73); content of tender documentation (ZJN: Articles 71, 81–83, 85–89.a, 91, 93, 94, 95. b, 95.c; PPWMETPSAA: Articles 73, 85, 87, 88, 90, 93, 94, 95.b, 95.c) and other provisions. </w:t>
            </w:r>
          </w:p>
          <w:p w:rsidR="00BD3B5F" w:rsidRPr="005C3B55" w:rsidRDefault="00BD3B5F">
            <w:pPr>
              <w:jc w:val="left"/>
              <w:rPr>
                <w:szCs w:val="24"/>
              </w:rPr>
            </w:pPr>
            <w:r w:rsidRPr="005C3B55">
              <w:rPr>
                <w:sz w:val="12"/>
                <w:szCs w:val="24"/>
              </w:rPr>
              <w:t>The establishment of several IT modules for an upgrade of the e-procurement platform within a few months (e-auction, e-tenderer dossier, e-catalogue, IT software for managing and controlling award procedures within the contracting authority).</w:t>
            </w:r>
          </w:p>
        </w:tc>
      </w:tr>
      <w:tr w:rsidR="00BD3B5F" w:rsidRPr="005C3B55">
        <w:tc>
          <w:tcPr>
            <w:tcW w:w="577" w:type="pct"/>
            <w:vMerge/>
            <w:shd w:val="clear" w:color="auto" w:fill="FFFFFF"/>
            <w:tcMar>
              <w:top w:w="20" w:type="dxa"/>
              <w:bottom w:w="20" w:type="dxa"/>
            </w:tcMar>
            <w:vAlign w:val="center"/>
          </w:tcPr>
          <w:p w:rsidR="00BD3B5F" w:rsidRPr="005C3B55" w:rsidRDefault="00BD3B5F">
            <w:pPr>
              <w:jc w:val="left"/>
              <w:rPr>
                <w:sz w:val="12"/>
                <w:szCs w:val="24"/>
              </w:rPr>
            </w:pPr>
          </w:p>
        </w:tc>
        <w:tc>
          <w:tcPr>
            <w:tcW w:w="577" w:type="pct"/>
            <w:shd w:val="clear" w:color="auto" w:fill="FFFFFF"/>
            <w:tcMar>
              <w:top w:w="20" w:type="dxa"/>
              <w:bottom w:w="20" w:type="dxa"/>
            </w:tcMar>
            <w:vAlign w:val="center"/>
          </w:tcPr>
          <w:p w:rsidR="00BD3B5F" w:rsidRPr="005C3B55" w:rsidRDefault="00BD3B5F">
            <w:pPr>
              <w:jc w:val="left"/>
              <w:rPr>
                <w:szCs w:val="24"/>
              </w:rPr>
            </w:pPr>
            <w:r w:rsidRPr="005C3B55">
              <w:rPr>
                <w:sz w:val="12"/>
                <w:szCs w:val="24"/>
              </w:rPr>
              <w:t>G4.c) Arrangement of training of, and providing information to, staff included in the implementation of ESI funds</w:t>
            </w:r>
          </w:p>
        </w:tc>
        <w:tc>
          <w:tcPr>
            <w:tcW w:w="269" w:type="pct"/>
            <w:shd w:val="clear" w:color="auto" w:fill="FFFFFF"/>
            <w:tcMar>
              <w:top w:w="20" w:type="dxa"/>
              <w:bottom w:w="20" w:type="dxa"/>
            </w:tcMar>
            <w:vAlign w:val="center"/>
          </w:tcPr>
          <w:p w:rsidR="00BD3B5F" w:rsidRPr="005C3B55" w:rsidRDefault="00BD3B5F">
            <w:pPr>
              <w:jc w:val="left"/>
              <w:rPr>
                <w:sz w:val="12"/>
                <w:szCs w:val="24"/>
              </w:rPr>
            </w:pPr>
            <w:r w:rsidRPr="005C3B55">
              <w:rPr>
                <w:noProof/>
                <w:sz w:val="12"/>
                <w:szCs w:val="24"/>
              </w:rPr>
              <w:t>Yes</w:t>
            </w:r>
          </w:p>
        </w:tc>
        <w:tc>
          <w:tcPr>
            <w:tcW w:w="3042" w:type="pct"/>
            <w:shd w:val="clear" w:color="auto" w:fill="FFFFFF"/>
            <w:tcMar>
              <w:top w:w="20" w:type="dxa"/>
              <w:bottom w:w="20" w:type="dxa"/>
            </w:tcMar>
            <w:vAlign w:val="center"/>
          </w:tcPr>
          <w:p w:rsidR="00BD3B5F" w:rsidRPr="005C3B55" w:rsidRDefault="00BD3B5F">
            <w:pPr>
              <w:spacing w:before="0" w:after="160"/>
              <w:jc w:val="left"/>
              <w:rPr>
                <w:noProof/>
                <w:szCs w:val="24"/>
              </w:rPr>
            </w:pPr>
            <w:r w:rsidRPr="005C3B55">
              <w:rPr>
                <w:sz w:val="15"/>
                <w:szCs w:val="24"/>
              </w:rPr>
              <w:t>Strategy for the training and education of public servants in public procurement for the 2013–2014 period:</w:t>
            </w:r>
            <w:r w:rsidRPr="005C3B55">
              <w:rPr>
                <w:noProof/>
                <w:sz w:val="15"/>
                <w:szCs w:val="24"/>
              </w:rPr>
              <w:t xml:space="preserve"> http://www.djn.mf.gov.si/index.php?t=news&amp;id=20&amp;l=sl</w:t>
            </w:r>
          </w:p>
          <w:p w:rsidR="00BD3B5F" w:rsidRPr="005C3B55" w:rsidRDefault="00BD3B5F">
            <w:pPr>
              <w:spacing w:before="160" w:after="160"/>
              <w:jc w:val="left"/>
              <w:rPr>
                <w:noProof/>
                <w:szCs w:val="24"/>
              </w:rPr>
            </w:pPr>
            <w:r w:rsidRPr="005C3B55">
              <w:rPr>
                <w:sz w:val="15"/>
                <w:szCs w:val="24"/>
              </w:rPr>
              <w:t>Position of the Ministry of Finance on legislation regarding public procurement:</w:t>
            </w:r>
            <w:r w:rsidRPr="005C3B55">
              <w:rPr>
                <w:noProof/>
                <w:sz w:val="15"/>
                <w:szCs w:val="24"/>
              </w:rPr>
              <w:t xml:space="preserve"> http://www.djn.mf.gov.si/sistem-javnega-narocanja/stalisca-ministrstva</w:t>
            </w:r>
          </w:p>
          <w:p w:rsidR="00BD3B5F" w:rsidRPr="005C3B55" w:rsidRDefault="00BD3B5F">
            <w:pPr>
              <w:spacing w:before="160" w:after="160"/>
              <w:jc w:val="left"/>
              <w:rPr>
                <w:noProof/>
                <w:szCs w:val="24"/>
              </w:rPr>
            </w:pPr>
            <w:r w:rsidRPr="005C3B55">
              <w:rPr>
                <w:sz w:val="15"/>
                <w:szCs w:val="24"/>
              </w:rPr>
              <w:t>FAQ on public procurement – useful information:</w:t>
            </w:r>
            <w:r w:rsidRPr="005C3B55">
              <w:rPr>
                <w:noProof/>
                <w:sz w:val="15"/>
                <w:szCs w:val="24"/>
              </w:rPr>
              <w:t xml:space="preserve"> http://www.djn.mf.gov.si/sistem-javnega-narocanja/koristne-informacije</w:t>
            </w:r>
          </w:p>
          <w:p w:rsidR="00BD3B5F" w:rsidRPr="005C3B55" w:rsidRDefault="00BD3B5F">
            <w:pPr>
              <w:spacing w:before="160" w:after="160"/>
              <w:jc w:val="left"/>
              <w:rPr>
                <w:noProof/>
                <w:szCs w:val="24"/>
              </w:rPr>
            </w:pPr>
            <w:r w:rsidRPr="005C3B55">
              <w:rPr>
                <w:sz w:val="15"/>
                <w:szCs w:val="24"/>
              </w:rPr>
              <w:t>Sample tender documentation:</w:t>
            </w:r>
            <w:r w:rsidRPr="005C3B55">
              <w:rPr>
                <w:noProof/>
                <w:sz w:val="15"/>
                <w:szCs w:val="24"/>
              </w:rPr>
              <w:t xml:space="preserve"> http://www.djn.mf.gov.si/narocniki/vzorcna-razpisna-dokumentacija</w:t>
            </w:r>
          </w:p>
          <w:p w:rsidR="00BD3B5F" w:rsidRPr="005C3B55" w:rsidRDefault="00BD3B5F">
            <w:pPr>
              <w:spacing w:before="160" w:after="160"/>
              <w:jc w:val="left"/>
              <w:rPr>
                <w:noProof/>
                <w:szCs w:val="24"/>
              </w:rPr>
            </w:pPr>
            <w:r w:rsidRPr="005C3B55">
              <w:rPr>
                <w:sz w:val="15"/>
                <w:szCs w:val="24"/>
              </w:rPr>
              <w:t>Market information on some types of goods and services:</w:t>
            </w:r>
            <w:r w:rsidRPr="005C3B55">
              <w:rPr>
                <w:noProof/>
                <w:sz w:val="15"/>
                <w:szCs w:val="24"/>
              </w:rPr>
              <w:t xml:space="preserve"> http://www.djn.mf.gov.si/narocniki/baza-trznih-informacij</w:t>
            </w:r>
          </w:p>
          <w:p w:rsidR="00BD3B5F" w:rsidRPr="005C3B55" w:rsidRDefault="00BD3B5F">
            <w:pPr>
              <w:spacing w:before="160" w:after="160"/>
              <w:jc w:val="left"/>
              <w:rPr>
                <w:noProof/>
                <w:szCs w:val="24"/>
              </w:rPr>
            </w:pPr>
            <w:r w:rsidRPr="005C3B55">
              <w:rPr>
                <w:sz w:val="15"/>
                <w:szCs w:val="24"/>
              </w:rPr>
              <w:t>Public Procurement Portal:</w:t>
            </w:r>
            <w:r w:rsidRPr="005C3B55">
              <w:rPr>
                <w:noProof/>
                <w:sz w:val="15"/>
                <w:szCs w:val="24"/>
              </w:rPr>
              <w:t xml:space="preserve"> http://www.enarocanje.si/?podrocje=portal</w:t>
            </w:r>
          </w:p>
          <w:p w:rsidR="00BD3B5F" w:rsidRPr="005C3B55" w:rsidRDefault="00BD3B5F">
            <w:pPr>
              <w:spacing w:before="160" w:after="160"/>
              <w:jc w:val="left"/>
              <w:rPr>
                <w:noProof/>
                <w:szCs w:val="24"/>
              </w:rPr>
            </w:pPr>
            <w:r w:rsidRPr="005C3B55">
              <w:rPr>
                <w:sz w:val="15"/>
                <w:szCs w:val="24"/>
              </w:rPr>
              <w:t>In the last two years, recommendations and standardised forms have been drafted in the field of public procurement:</w:t>
            </w:r>
            <w:r w:rsidRPr="005C3B55">
              <w:rPr>
                <w:noProof/>
                <w:sz w:val="15"/>
                <w:szCs w:val="24"/>
              </w:rPr>
              <w:t xml:space="preserve"> (http://www.djn.mf.gov.si/sistem-javneganarocanja/predpisi/slovenska-zakonodaja/#c8, and guidance for public procurement on food: http://www.djn.mf.gov.si/index.php?t=news&amp;id=36&amp;l=sl</w:t>
            </w:r>
          </w:p>
          <w:p w:rsidR="00BD3B5F" w:rsidRPr="005C3B55" w:rsidRDefault="00BD3B5F">
            <w:pPr>
              <w:spacing w:before="160" w:after="160"/>
              <w:jc w:val="left"/>
              <w:rPr>
                <w:noProof/>
                <w:sz w:val="15"/>
                <w:szCs w:val="24"/>
              </w:rPr>
            </w:pPr>
            <w:r w:rsidRPr="005C3B55">
              <w:rPr>
                <w:sz w:val="15"/>
                <w:szCs w:val="24"/>
              </w:rPr>
              <w:t>Indicative training plan 2014–2020 for ESI funds is an annex to RDP 2014–2020.</w:t>
            </w:r>
          </w:p>
          <w:p w:rsidR="00BD3B5F" w:rsidRPr="005C3B55" w:rsidRDefault="00BD3B5F">
            <w:pPr>
              <w:jc w:val="left"/>
              <w:rPr>
                <w:sz w:val="12"/>
                <w:szCs w:val="24"/>
              </w:rPr>
            </w:pPr>
          </w:p>
        </w:tc>
        <w:tc>
          <w:tcPr>
            <w:tcW w:w="536" w:type="pct"/>
            <w:shd w:val="clear" w:color="auto" w:fill="FFFFFF"/>
            <w:tcMar>
              <w:top w:w="20" w:type="dxa"/>
              <w:bottom w:w="20" w:type="dxa"/>
            </w:tcMar>
            <w:vAlign w:val="center"/>
          </w:tcPr>
          <w:p w:rsidR="00BD3B5F" w:rsidRPr="005C3B55" w:rsidRDefault="00BD3B5F">
            <w:pPr>
              <w:jc w:val="left"/>
              <w:rPr>
                <w:szCs w:val="24"/>
              </w:rPr>
            </w:pPr>
            <w:r w:rsidRPr="005C3B55">
              <w:rPr>
                <w:sz w:val="12"/>
                <w:szCs w:val="24"/>
              </w:rPr>
              <w:t>The Ministry of Finance adopted the Strategy of Training of Public Employees in the Area of Public Procurement for the Period 2013–2014. The Ministry has thus committed itself, with the help of the Ministry of Public Administration, to providing strategic development of the knowledge and expertise, growth and professionalisation of the public employees involved in public procurement procedures. The objective of the strategy is to disseminate novelties and changes in this field, and to ensure permanent, consistent and systematic training on public procurement. Thus the Administration Academy regularly organises such trainings. Eleven free seminars were carried out in 2012, and the Ministry of Finance staff participated in seminars, symposiums and professional meetings organised by various associations, chambers and organisations (e.g. the Chamber of Commerce and Industry and the Slovenian Association of Purchasing). The Ministry of Finance submits its positions on public procurement legislation and has established a site for frequently asked questions (FAQ), and also publishes sample tender documentation and market data on individual types of public procurement items. The Public Procurement Portal is used by the Ministry to disseminate important information to portal users and by sending e-mails.</w:t>
            </w:r>
          </w:p>
          <w:p w:rsidR="00BD3B5F" w:rsidRPr="005C3B55" w:rsidRDefault="00BD3B5F">
            <w:pPr>
              <w:jc w:val="left"/>
              <w:rPr>
                <w:szCs w:val="24"/>
              </w:rPr>
            </w:pPr>
            <w:r w:rsidRPr="005C3B55">
              <w:rPr>
                <w:sz w:val="12"/>
                <w:szCs w:val="24"/>
              </w:rPr>
              <w:t>Further pursuit of activities; additional, specialised seminars; dissemination of information via the national public procurement platform ‘portal javnih naročil’ is foreseen. Important clarifications, tender templates and procedural flowcharts are available on the Ministry of Finance website. Guidlines for public procurement of engineering services and standardised contracts for public works and services connected to public works are being prepared.</w:t>
            </w:r>
          </w:p>
          <w:p w:rsidR="00BD3B5F" w:rsidRPr="005C3B55" w:rsidRDefault="00BD3B5F">
            <w:pPr>
              <w:jc w:val="left"/>
              <w:rPr>
                <w:szCs w:val="24"/>
              </w:rPr>
            </w:pPr>
            <w:r w:rsidRPr="005C3B55">
              <w:rPr>
                <w:sz w:val="12"/>
                <w:szCs w:val="24"/>
              </w:rPr>
              <w:t xml:space="preserve">Trainings are an important way of enhancing professionalisation in public procurement. The Ministry of Finance will thus ensure training also in the future. The strategy for the years following 2014 will most likely be prepared this year. In 2014, several professional training courses on public procurement will be organised for managing authorities, intermediate bodies and audit authorities. The training will focus on questions important for ensuring transparent, non-discriminatory and efficient procurement (e.g. specialised training for negotiated procedure). Training for contracting authorities is implemented several times a year. It focuses on general interpretation of public procurement rules and on various topics (e.g. green public procurement, small value procurement – best practices). Training will also be organised in the future. </w:t>
            </w:r>
          </w:p>
          <w:p w:rsidR="00BD3B5F" w:rsidRPr="005C3B55" w:rsidRDefault="00BD3B5F">
            <w:pPr>
              <w:jc w:val="left"/>
              <w:rPr>
                <w:szCs w:val="24"/>
              </w:rPr>
            </w:pPr>
            <w:r w:rsidRPr="005C3B55">
              <w:rPr>
                <w:sz w:val="12"/>
                <w:szCs w:val="24"/>
              </w:rPr>
              <w:t>For the needs of training of staff included in the management and supervision of ESI funds, a indicative training plan was prepared for the 2014–2020 period. This is a joint document of the Managing Authority of  RDP 2014–2020 and the Managing Authority of the Operational Programme for the European Cohesion Policy. The indicative training plan also anticipates training relating to amendments to legislation and the provision of permanent, regular and systematic training in the field of public procurement.</w:t>
            </w:r>
          </w:p>
        </w:tc>
      </w:tr>
      <w:tr w:rsidR="00BD3B5F" w:rsidRPr="005C3B55">
        <w:tc>
          <w:tcPr>
            <w:tcW w:w="577" w:type="pct"/>
            <w:vMerge/>
            <w:shd w:val="clear" w:color="auto" w:fill="FFFFFF"/>
            <w:tcMar>
              <w:top w:w="20" w:type="dxa"/>
              <w:bottom w:w="20" w:type="dxa"/>
            </w:tcMar>
            <w:vAlign w:val="center"/>
          </w:tcPr>
          <w:p w:rsidR="00BD3B5F" w:rsidRPr="005C3B55" w:rsidRDefault="00BD3B5F">
            <w:pPr>
              <w:jc w:val="left"/>
              <w:rPr>
                <w:sz w:val="12"/>
                <w:szCs w:val="24"/>
              </w:rPr>
            </w:pPr>
          </w:p>
        </w:tc>
        <w:tc>
          <w:tcPr>
            <w:tcW w:w="577" w:type="pct"/>
            <w:shd w:val="clear" w:color="auto" w:fill="FFFFFF"/>
            <w:tcMar>
              <w:top w:w="20" w:type="dxa"/>
              <w:bottom w:w="20" w:type="dxa"/>
            </w:tcMar>
            <w:vAlign w:val="center"/>
          </w:tcPr>
          <w:p w:rsidR="00BD3B5F" w:rsidRPr="005C3B55" w:rsidRDefault="00BD3B5F">
            <w:pPr>
              <w:jc w:val="left"/>
              <w:rPr>
                <w:szCs w:val="24"/>
              </w:rPr>
            </w:pPr>
            <w:r w:rsidRPr="005C3B55">
              <w:rPr>
                <w:sz w:val="12"/>
                <w:szCs w:val="24"/>
              </w:rPr>
              <w:t>G4.d) Arrangement of administrative capacity for the implementation and application of Union's rules on public procurement</w:t>
            </w:r>
          </w:p>
        </w:tc>
        <w:tc>
          <w:tcPr>
            <w:tcW w:w="269" w:type="pct"/>
            <w:shd w:val="clear" w:color="auto" w:fill="FFFFFF"/>
            <w:tcMar>
              <w:top w:w="20" w:type="dxa"/>
              <w:bottom w:w="20" w:type="dxa"/>
            </w:tcMar>
            <w:vAlign w:val="center"/>
          </w:tcPr>
          <w:p w:rsidR="00BD3B5F" w:rsidRPr="005C3B55" w:rsidRDefault="00BD3B5F">
            <w:pPr>
              <w:jc w:val="left"/>
              <w:rPr>
                <w:sz w:val="12"/>
                <w:szCs w:val="24"/>
              </w:rPr>
            </w:pPr>
            <w:r w:rsidRPr="005C3B55">
              <w:rPr>
                <w:noProof/>
                <w:sz w:val="12"/>
                <w:szCs w:val="24"/>
              </w:rPr>
              <w:t>No</w:t>
            </w:r>
          </w:p>
        </w:tc>
        <w:tc>
          <w:tcPr>
            <w:tcW w:w="3042" w:type="pct"/>
            <w:shd w:val="clear" w:color="auto" w:fill="FFFFFF"/>
            <w:tcMar>
              <w:top w:w="20" w:type="dxa"/>
              <w:bottom w:w="20" w:type="dxa"/>
            </w:tcMar>
            <w:vAlign w:val="center"/>
          </w:tcPr>
          <w:p w:rsidR="00BD3B5F" w:rsidRPr="005C3B55" w:rsidRDefault="00BD3B5F">
            <w:pPr>
              <w:jc w:val="left"/>
              <w:rPr>
                <w:sz w:val="12"/>
                <w:szCs w:val="24"/>
              </w:rPr>
            </w:pPr>
          </w:p>
        </w:tc>
        <w:tc>
          <w:tcPr>
            <w:tcW w:w="536" w:type="pct"/>
            <w:shd w:val="clear" w:color="auto" w:fill="FFFFFF"/>
            <w:tcMar>
              <w:top w:w="20" w:type="dxa"/>
              <w:bottom w:w="20" w:type="dxa"/>
            </w:tcMar>
            <w:vAlign w:val="center"/>
          </w:tcPr>
          <w:p w:rsidR="00BD3B5F" w:rsidRPr="005C3B55" w:rsidRDefault="00BD3B5F">
            <w:pPr>
              <w:jc w:val="left"/>
              <w:rPr>
                <w:szCs w:val="24"/>
              </w:rPr>
            </w:pPr>
            <w:r w:rsidRPr="005C3B55">
              <w:rPr>
                <w:sz w:val="12"/>
                <w:szCs w:val="24"/>
              </w:rPr>
              <w:t>The Ministry of Finance is responsible for the public procurement area and interprets any potential ambiguities related to public procurement rules. It also provides its positions, recommendations and other useful information. The Ministry has sufficient staff capacity to provide counselling on individual procedures, but could with further resources and recruitment also provide regular counselling services by phone.</w:t>
            </w:r>
          </w:p>
          <w:p w:rsidR="00BD3B5F" w:rsidRPr="005C3B55" w:rsidRDefault="00BD3B5F">
            <w:pPr>
              <w:jc w:val="left"/>
              <w:rPr>
                <w:sz w:val="12"/>
                <w:szCs w:val="24"/>
              </w:rPr>
            </w:pPr>
            <w:r w:rsidRPr="005C3B55">
              <w:rPr>
                <w:sz w:val="12"/>
                <w:szCs w:val="24"/>
              </w:rPr>
              <w:t>The Strategy will improve institutional capacities of public bodies and interested parties and will contribute to efficient public administration and establish a mechanism for each field on how to establish a framework for effective functioning.</w:t>
            </w:r>
          </w:p>
          <w:p w:rsidR="00BD3B5F" w:rsidRPr="005C3B55" w:rsidRDefault="00BD3B5F">
            <w:pPr>
              <w:jc w:val="left"/>
              <w:rPr>
                <w:sz w:val="12"/>
                <w:szCs w:val="24"/>
              </w:rPr>
            </w:pPr>
            <w:r w:rsidRPr="005C3B55">
              <w:rPr>
                <w:sz w:val="12"/>
                <w:szCs w:val="24"/>
              </w:rPr>
              <w:t>In the context of the new programming period, it is anticipated to include this area in the capacity-building programme developed under the Technical Assistance of the OP ECP.</w:t>
            </w:r>
          </w:p>
          <w:p w:rsidR="00BD3B5F" w:rsidRPr="005C3B55" w:rsidRDefault="00BD3B5F">
            <w:pPr>
              <w:jc w:val="left"/>
              <w:rPr>
                <w:szCs w:val="24"/>
              </w:rPr>
            </w:pPr>
            <w:r w:rsidRPr="005C3B55">
              <w:rPr>
                <w:sz w:val="12"/>
                <w:szCs w:val="24"/>
              </w:rPr>
              <w:t>To ensure improvements in the preparation of tender documentation, the process of ex-ante controls of such documentation will be revised and optimised. The use of standard tender documentation, already prepared by the Ministry of Finance, will be promoted.</w:t>
            </w:r>
          </w:p>
          <w:p w:rsidR="00BD3B5F" w:rsidRPr="005C3B55" w:rsidRDefault="00BD3B5F">
            <w:pPr>
              <w:jc w:val="left"/>
              <w:rPr>
                <w:szCs w:val="24"/>
              </w:rPr>
            </w:pPr>
            <w:r w:rsidRPr="005C3B55">
              <w:rPr>
                <w:sz w:val="12"/>
                <w:szCs w:val="24"/>
              </w:rPr>
              <w:t>Since the beginning of March 2014, the Ministry of Finance has been available for phone consultations twice a week for three hours. The Ministry has also been preparing written explanations on the potential vagueness of the provisions of the Public Procurement Act, and publishing important positions and positions on questions asked on its website, and submitting them to users of the ‘portal javnih naročil’ national platform. The Ministry of Finance is responsible for the public procurement area and interprets any potential ambiguities related to public procurement rules. It also provides its positions, recommendations and other useful information. The Ministry has sufficient staff capacity to provide counselling on individual procedures, but could with further resources and recruitment also provide regular counselling services by phone.</w:t>
            </w:r>
          </w:p>
          <w:p w:rsidR="00BD3B5F" w:rsidRPr="005C3B55" w:rsidRDefault="00BD3B5F">
            <w:pPr>
              <w:jc w:val="left"/>
              <w:rPr>
                <w:sz w:val="12"/>
                <w:szCs w:val="24"/>
              </w:rPr>
            </w:pPr>
          </w:p>
        </w:tc>
      </w:tr>
      <w:tr w:rsidR="00BD3B5F" w:rsidRPr="005C3B55">
        <w:tc>
          <w:tcPr>
            <w:tcW w:w="577" w:type="pct"/>
            <w:vMerge w:val="restart"/>
            <w:shd w:val="clear" w:color="auto" w:fill="FFFFFF"/>
            <w:tcMar>
              <w:top w:w="20" w:type="dxa"/>
              <w:bottom w:w="20" w:type="dxa"/>
            </w:tcMar>
            <w:vAlign w:val="center"/>
          </w:tcPr>
          <w:p w:rsidR="00BD3B5F" w:rsidRPr="005C3B55" w:rsidRDefault="00BD3B5F">
            <w:pPr>
              <w:jc w:val="left"/>
              <w:rPr>
                <w:szCs w:val="24"/>
              </w:rPr>
            </w:pPr>
            <w:r w:rsidRPr="005C3B55">
              <w:rPr>
                <w:sz w:val="12"/>
                <w:szCs w:val="24"/>
              </w:rPr>
              <w:t>G5) State aid: Arrangement of efficient application of EU rules on state aid in the field of ESI funds</w:t>
            </w:r>
          </w:p>
        </w:tc>
        <w:tc>
          <w:tcPr>
            <w:tcW w:w="577" w:type="pct"/>
            <w:shd w:val="clear" w:color="auto" w:fill="FFFFFF"/>
            <w:tcMar>
              <w:top w:w="20" w:type="dxa"/>
              <w:bottom w:w="20" w:type="dxa"/>
            </w:tcMar>
            <w:vAlign w:val="center"/>
          </w:tcPr>
          <w:p w:rsidR="00BD3B5F" w:rsidRPr="005C3B55" w:rsidRDefault="00BD3B5F">
            <w:pPr>
              <w:jc w:val="left"/>
              <w:rPr>
                <w:szCs w:val="24"/>
              </w:rPr>
            </w:pPr>
            <w:r w:rsidRPr="005C3B55">
              <w:rPr>
                <w:sz w:val="12"/>
                <w:szCs w:val="24"/>
              </w:rPr>
              <w:t>G5.a) Arrangement of efficient application of EU rules on state aid</w:t>
            </w:r>
          </w:p>
        </w:tc>
        <w:tc>
          <w:tcPr>
            <w:tcW w:w="269" w:type="pct"/>
            <w:shd w:val="clear" w:color="auto" w:fill="FFFFFF"/>
            <w:tcMar>
              <w:top w:w="20" w:type="dxa"/>
              <w:bottom w:w="20" w:type="dxa"/>
            </w:tcMar>
            <w:vAlign w:val="center"/>
          </w:tcPr>
          <w:p w:rsidR="00BD3B5F" w:rsidRPr="005C3B55" w:rsidRDefault="00BD3B5F">
            <w:pPr>
              <w:jc w:val="left"/>
              <w:rPr>
                <w:sz w:val="12"/>
                <w:szCs w:val="24"/>
              </w:rPr>
            </w:pPr>
            <w:r w:rsidRPr="005C3B55">
              <w:rPr>
                <w:noProof/>
                <w:sz w:val="12"/>
                <w:szCs w:val="24"/>
              </w:rPr>
              <w:t>Yes</w:t>
            </w:r>
          </w:p>
        </w:tc>
        <w:tc>
          <w:tcPr>
            <w:tcW w:w="3042" w:type="pct"/>
            <w:shd w:val="clear" w:color="auto" w:fill="FFFFFF"/>
            <w:tcMar>
              <w:top w:w="20" w:type="dxa"/>
              <w:bottom w:w="20" w:type="dxa"/>
            </w:tcMar>
            <w:vAlign w:val="center"/>
          </w:tcPr>
          <w:p w:rsidR="00BD3B5F" w:rsidRPr="005C3B55" w:rsidRDefault="00BD3B5F">
            <w:pPr>
              <w:spacing w:before="0" w:after="160"/>
              <w:jc w:val="left"/>
              <w:rPr>
                <w:noProof/>
                <w:szCs w:val="24"/>
              </w:rPr>
            </w:pPr>
            <w:r w:rsidRPr="005C3B55">
              <w:rPr>
                <w:sz w:val="15"/>
                <w:szCs w:val="24"/>
              </w:rPr>
              <w:t>Monitoring of State Aids Act, ZSDrP:</w:t>
            </w:r>
            <w:r w:rsidRPr="005C3B55">
              <w:rPr>
                <w:noProof/>
                <w:sz w:val="15"/>
                <w:szCs w:val="24"/>
              </w:rPr>
              <w:t xml:space="preserve"> http://www.pisrs.si/Pis.web/pregledPredpisa?id=ZAKO3849</w:t>
            </w:r>
          </w:p>
          <w:p w:rsidR="00BD3B5F" w:rsidRPr="005C3B55" w:rsidRDefault="00BD3B5F">
            <w:pPr>
              <w:spacing w:before="160" w:after="160"/>
              <w:jc w:val="left"/>
              <w:rPr>
                <w:noProof/>
                <w:szCs w:val="24"/>
              </w:rPr>
            </w:pPr>
            <w:r w:rsidRPr="005C3B55">
              <w:rPr>
                <w:sz w:val="15"/>
                <w:szCs w:val="24"/>
              </w:rPr>
              <w:t>Decree on data submission and on the reporting of granted state aid and de minimis aid:</w:t>
            </w:r>
            <w:r w:rsidRPr="005C3B55">
              <w:rPr>
                <w:noProof/>
                <w:sz w:val="15"/>
                <w:szCs w:val="24"/>
              </w:rPr>
              <w:t xml:space="preserve"> http://www.pisrs.si/Pis.web/pregledPredpisa?id=URED4372</w:t>
            </w:r>
          </w:p>
          <w:p w:rsidR="00BD3B5F" w:rsidRPr="005C3B55" w:rsidRDefault="00BD3B5F">
            <w:pPr>
              <w:spacing w:before="160" w:after="160"/>
              <w:jc w:val="left"/>
              <w:rPr>
                <w:noProof/>
                <w:szCs w:val="24"/>
              </w:rPr>
            </w:pPr>
            <w:r w:rsidRPr="005C3B55">
              <w:rPr>
                <w:sz w:val="15"/>
                <w:szCs w:val="24"/>
              </w:rPr>
              <w:t>Decree on the communication of contents and supply of data on state aid in the area of agriculture and fisheries:</w:t>
            </w:r>
            <w:r w:rsidRPr="005C3B55">
              <w:rPr>
                <w:noProof/>
                <w:sz w:val="15"/>
                <w:szCs w:val="24"/>
              </w:rPr>
              <w:t xml:space="preserve"> http://www.pisrs.si/Pis.web/pregledPredpisa?id=URED3411</w:t>
            </w:r>
          </w:p>
          <w:p w:rsidR="00BD3B5F" w:rsidRPr="005C3B55" w:rsidRDefault="00BD3B5F">
            <w:pPr>
              <w:spacing w:before="160" w:after="160"/>
              <w:jc w:val="left"/>
              <w:rPr>
                <w:noProof/>
                <w:szCs w:val="24"/>
              </w:rPr>
            </w:pPr>
            <w:r w:rsidRPr="005C3B55">
              <w:rPr>
                <w:sz w:val="15"/>
                <w:szCs w:val="24"/>
              </w:rPr>
              <w:t>Rules on the transmission of data and reporting on state aid in the area of agriculture and fishery:</w:t>
            </w:r>
            <w:r w:rsidRPr="005C3B55">
              <w:rPr>
                <w:noProof/>
                <w:sz w:val="15"/>
                <w:szCs w:val="24"/>
              </w:rPr>
              <w:t xml:space="preserve"> http://www.pisrs.si/Pis.web/pregledPredpisa?id=PRAV6034</w:t>
            </w:r>
          </w:p>
          <w:p w:rsidR="00BD3B5F" w:rsidRPr="005C3B55" w:rsidRDefault="00BD3B5F">
            <w:pPr>
              <w:spacing w:before="160" w:after="160"/>
              <w:jc w:val="left"/>
              <w:rPr>
                <w:noProof/>
                <w:szCs w:val="24"/>
              </w:rPr>
            </w:pPr>
            <w:r w:rsidRPr="005C3B55">
              <w:rPr>
                <w:sz w:val="15"/>
                <w:szCs w:val="24"/>
              </w:rPr>
              <w:t>Instruction on measuring the efficiency of granted state aid:</w:t>
            </w:r>
            <w:r w:rsidRPr="005C3B55">
              <w:rPr>
                <w:noProof/>
                <w:sz w:val="15"/>
                <w:szCs w:val="24"/>
              </w:rPr>
              <w:t xml:space="preserve"> http://www.mf.gov.si/fileadmin/mf.gov.si/pageuploads/nadz_pom/Predpisi_v_sloveniji/Slovenski/navodilo_ucinki_pomoci.pdf</w:t>
            </w:r>
          </w:p>
          <w:p w:rsidR="00BD3B5F" w:rsidRPr="005C3B55" w:rsidRDefault="00BD3B5F">
            <w:pPr>
              <w:spacing w:before="160" w:after="160"/>
              <w:jc w:val="left"/>
              <w:rPr>
                <w:noProof/>
                <w:szCs w:val="24"/>
              </w:rPr>
            </w:pPr>
            <w:r w:rsidRPr="005C3B55">
              <w:rPr>
                <w:sz w:val="15"/>
                <w:szCs w:val="24"/>
              </w:rPr>
              <w:t>Regulation on the procedure of standards and manners to allocate means for the promotion of the evolutional programme and the preferential tasks:</w:t>
            </w:r>
            <w:r w:rsidRPr="005C3B55">
              <w:rPr>
                <w:noProof/>
                <w:sz w:val="15"/>
                <w:szCs w:val="24"/>
              </w:rPr>
              <w:t xml:space="preserve"> http://pisrs.si/Pis.web/pregledPredpisa?id=URED5827</w:t>
            </w:r>
          </w:p>
          <w:p w:rsidR="00BD3B5F" w:rsidRPr="005C3B55" w:rsidRDefault="00BD3B5F">
            <w:pPr>
              <w:spacing w:before="160" w:after="160"/>
              <w:jc w:val="left"/>
              <w:rPr>
                <w:noProof/>
                <w:szCs w:val="24"/>
              </w:rPr>
            </w:pPr>
            <w:r w:rsidRPr="005C3B55">
              <w:rPr>
                <w:sz w:val="15"/>
                <w:szCs w:val="24"/>
              </w:rPr>
              <w:t>Agriculture Act:</w:t>
            </w:r>
            <w:r w:rsidRPr="005C3B55">
              <w:rPr>
                <w:noProof/>
                <w:sz w:val="15"/>
                <w:szCs w:val="24"/>
              </w:rPr>
              <w:t xml:space="preserve"> http://www.pisrs.si/Pis.web/pregledPredpisa?id=ZAKO4716.</w:t>
            </w:r>
          </w:p>
          <w:p w:rsidR="00BD3B5F" w:rsidRPr="005C3B55" w:rsidRDefault="00BD3B5F">
            <w:pPr>
              <w:jc w:val="left"/>
              <w:rPr>
                <w:sz w:val="12"/>
                <w:szCs w:val="24"/>
              </w:rPr>
            </w:pPr>
          </w:p>
        </w:tc>
        <w:tc>
          <w:tcPr>
            <w:tcW w:w="536" w:type="pct"/>
            <w:shd w:val="clear" w:color="auto" w:fill="FFFFFF"/>
            <w:tcMar>
              <w:top w:w="20" w:type="dxa"/>
              <w:bottom w:w="20" w:type="dxa"/>
            </w:tcMar>
            <w:vAlign w:val="center"/>
          </w:tcPr>
          <w:p w:rsidR="00BD3B5F" w:rsidRPr="005C3B55" w:rsidRDefault="00BD3B5F">
            <w:pPr>
              <w:jc w:val="left"/>
              <w:rPr>
                <w:szCs w:val="24"/>
              </w:rPr>
            </w:pPr>
            <w:r w:rsidRPr="005C3B55">
              <w:rPr>
                <w:sz w:val="12"/>
                <w:szCs w:val="24"/>
              </w:rPr>
              <w:t xml:space="preserve">State aid is governed by the following legislative acts of the Republic of Slovenia: </w:t>
            </w:r>
          </w:p>
          <w:p w:rsidR="00BD3B5F" w:rsidRPr="005C3B55" w:rsidRDefault="00BD3B5F">
            <w:pPr>
              <w:jc w:val="left"/>
              <w:rPr>
                <w:szCs w:val="24"/>
              </w:rPr>
            </w:pPr>
            <w:r w:rsidRPr="005C3B55">
              <w:rPr>
                <w:sz w:val="12"/>
                <w:szCs w:val="24"/>
              </w:rPr>
              <w:t>• Monitoring of State Aids Act (Official Gazette of the Republic of Slovenia, no. 37/2004),</w:t>
            </w:r>
          </w:p>
          <w:p w:rsidR="00BD3B5F" w:rsidRPr="005C3B55" w:rsidRDefault="00BD3B5F">
            <w:pPr>
              <w:jc w:val="left"/>
              <w:rPr>
                <w:szCs w:val="24"/>
              </w:rPr>
            </w:pPr>
            <w:r w:rsidRPr="005C3B55">
              <w:rPr>
                <w:sz w:val="12"/>
                <w:szCs w:val="24"/>
              </w:rPr>
              <w:t>• Decree on data submission and on the reporting of granted state aid and de minimis aid (Official Gazette of the Republic of Slovenia, nos. 61/2004, 22/2007),</w:t>
            </w:r>
          </w:p>
          <w:p w:rsidR="00BD3B5F" w:rsidRPr="005C3B55" w:rsidRDefault="00BD3B5F">
            <w:pPr>
              <w:jc w:val="left"/>
              <w:rPr>
                <w:szCs w:val="24"/>
              </w:rPr>
            </w:pPr>
            <w:r w:rsidRPr="005C3B55">
              <w:rPr>
                <w:sz w:val="12"/>
                <w:szCs w:val="24"/>
              </w:rPr>
              <w:t>• Decree on the communication of contents and supply of data on state aid in the area of agriculture and fisheries (Official Gazette of the Republic of Slovenia, no. 74/2004),</w:t>
            </w:r>
          </w:p>
          <w:p w:rsidR="00BD3B5F" w:rsidRPr="005C3B55" w:rsidRDefault="00BD3B5F">
            <w:pPr>
              <w:jc w:val="left"/>
              <w:rPr>
                <w:szCs w:val="24"/>
              </w:rPr>
            </w:pPr>
            <w:r w:rsidRPr="005C3B55">
              <w:rPr>
                <w:sz w:val="12"/>
                <w:szCs w:val="24"/>
              </w:rPr>
              <w:t>• Rules on the transmission of data and reporting on state aid in the area of agriculture and fishery (Official Gazette of the Republic of Slovenia, no. 106/2004),</w:t>
            </w:r>
          </w:p>
          <w:p w:rsidR="00BD3B5F" w:rsidRPr="005C3B55" w:rsidRDefault="00BD3B5F">
            <w:pPr>
              <w:jc w:val="left"/>
              <w:rPr>
                <w:sz w:val="12"/>
                <w:szCs w:val="24"/>
              </w:rPr>
            </w:pPr>
            <w:r w:rsidRPr="005C3B55">
              <w:rPr>
                <w:sz w:val="12"/>
                <w:szCs w:val="24"/>
              </w:rPr>
              <w:t>• Instruction on measuring the efficiency of granted state aid.</w:t>
            </w:r>
          </w:p>
          <w:p w:rsidR="00BD3B5F" w:rsidRPr="005C3B55" w:rsidRDefault="00BD3B5F">
            <w:pPr>
              <w:jc w:val="left"/>
              <w:rPr>
                <w:sz w:val="12"/>
                <w:szCs w:val="24"/>
              </w:rPr>
            </w:pPr>
            <w:r w:rsidRPr="005C3B55">
              <w:rPr>
                <w:sz w:val="12"/>
                <w:szCs w:val="24"/>
              </w:rPr>
              <w:t>Under the Rural Development Programme of the Repulic of Slovenia for the 2014–2020 programming period, state aid will be allocated on the basis of the following EU regulations on state aid:</w:t>
            </w:r>
          </w:p>
          <w:p w:rsidR="00BD3B5F" w:rsidRPr="005C3B55" w:rsidRDefault="00BD3B5F">
            <w:pPr>
              <w:jc w:val="left"/>
              <w:rPr>
                <w:szCs w:val="24"/>
              </w:rPr>
            </w:pPr>
            <w:r w:rsidRPr="005C3B55">
              <w:rPr>
                <w:sz w:val="12"/>
                <w:szCs w:val="24"/>
              </w:rPr>
              <w:t>- Commission Regulation (EU) No 651/2014 of 17 June 2014 declaring certain categories of aid compatible with the common market in application of Articles 107 and 108 of the Treaty (General block exemption);</w:t>
            </w:r>
          </w:p>
          <w:p w:rsidR="00BD3B5F" w:rsidRPr="005C3B55" w:rsidRDefault="00BD3B5F">
            <w:pPr>
              <w:jc w:val="left"/>
              <w:rPr>
                <w:szCs w:val="24"/>
              </w:rPr>
            </w:pPr>
            <w:r w:rsidRPr="005C3B55">
              <w:rPr>
                <w:sz w:val="12"/>
                <w:szCs w:val="24"/>
              </w:rPr>
              <w:t>- Commission Regulation (EU) No 1407/2013 of 18 December 2013 on the application of Articles 107 and 108 of the Treaty on the Functioning of the European Union regarding de minimis aid (OJ L 352, 24 December 2013, p. 1);</w:t>
            </w:r>
          </w:p>
          <w:p w:rsidR="00BD3B5F" w:rsidRPr="005C3B55" w:rsidRDefault="00BD3B5F">
            <w:pPr>
              <w:jc w:val="left"/>
              <w:rPr>
                <w:szCs w:val="24"/>
              </w:rPr>
            </w:pPr>
            <w:r w:rsidRPr="005C3B55">
              <w:rPr>
                <w:sz w:val="12"/>
                <w:szCs w:val="24"/>
              </w:rPr>
              <w:t>- Commission Regulation (EU) No 702/2014 of 25 June 2014 declaring certain categories of aid in the agriculture and forestry sector and in rural areas compatible with the common market in application of Articles 107 and 108 of the Treaty on the Functioning of the European Union (block exemption in agriculture);</w:t>
            </w:r>
          </w:p>
          <w:p w:rsidR="00BD3B5F" w:rsidRPr="005C3B55" w:rsidRDefault="00BD3B5F">
            <w:pPr>
              <w:jc w:val="left"/>
              <w:rPr>
                <w:sz w:val="12"/>
                <w:szCs w:val="24"/>
              </w:rPr>
            </w:pPr>
            <w:r w:rsidRPr="005C3B55">
              <w:rPr>
                <w:sz w:val="12"/>
                <w:szCs w:val="24"/>
              </w:rPr>
              <w:t>- European Union Guidelines on State aid in the agriculture and forestry sector and in rural areas during the period 2014-2020.</w:t>
            </w:r>
          </w:p>
          <w:p w:rsidR="00BD3B5F" w:rsidRPr="005C3B55" w:rsidRDefault="00BD3B5F">
            <w:pPr>
              <w:jc w:val="left"/>
              <w:rPr>
                <w:sz w:val="12"/>
                <w:szCs w:val="24"/>
              </w:rPr>
            </w:pPr>
            <w:r w:rsidRPr="005C3B55">
              <w:rPr>
                <w:sz w:val="12"/>
                <w:szCs w:val="24"/>
              </w:rPr>
              <w:t>The following two authorities are responsible for state aid in Slovenia:</w:t>
            </w:r>
          </w:p>
          <w:p w:rsidR="00BD3B5F" w:rsidRPr="005C3B55" w:rsidRDefault="00BD3B5F">
            <w:pPr>
              <w:jc w:val="left"/>
              <w:rPr>
                <w:sz w:val="12"/>
                <w:szCs w:val="24"/>
              </w:rPr>
            </w:pPr>
            <w:r w:rsidRPr="005C3B55">
              <w:rPr>
                <w:sz w:val="12"/>
                <w:szCs w:val="24"/>
              </w:rPr>
              <w:t xml:space="preserve">1. </w:t>
            </w:r>
            <w:r w:rsidRPr="005C3B55">
              <w:rPr>
                <w:color w:val="000000"/>
                <w:sz w:val="12"/>
                <w:szCs w:val="24"/>
              </w:rPr>
              <w:t xml:space="preserve">In accordance with Article 3 of the </w:t>
            </w:r>
            <w:r w:rsidRPr="005C3B55">
              <w:rPr>
                <w:sz w:val="12"/>
                <w:szCs w:val="24"/>
              </w:rPr>
              <w:t>ZSDrP</w:t>
            </w:r>
            <w:r w:rsidRPr="005C3B55">
              <w:rPr>
                <w:color w:val="000000"/>
                <w:sz w:val="12"/>
                <w:szCs w:val="24"/>
              </w:rPr>
              <w:t>, the Ministry of Finance, State Aid Monitoring Division (hereinafter: MF) performs the following tasks:</w:t>
            </w:r>
          </w:p>
          <w:p w:rsidR="00BD3B5F" w:rsidRPr="005C3B55" w:rsidRDefault="00BD3B5F">
            <w:pPr>
              <w:jc w:val="left"/>
              <w:rPr>
                <w:sz w:val="12"/>
                <w:szCs w:val="24"/>
              </w:rPr>
            </w:pPr>
            <w:r w:rsidRPr="005C3B55">
              <w:rPr>
                <w:sz w:val="12"/>
                <w:szCs w:val="24"/>
              </w:rPr>
              <w:t>- addresses, assesses and submits declarations of state aid to the European Commission,</w:t>
            </w:r>
          </w:p>
          <w:p w:rsidR="00BD3B5F" w:rsidRPr="005C3B55" w:rsidRDefault="00BD3B5F">
            <w:pPr>
              <w:jc w:val="left"/>
              <w:rPr>
                <w:szCs w:val="24"/>
              </w:rPr>
            </w:pPr>
            <w:r w:rsidRPr="005C3B55">
              <w:rPr>
                <w:sz w:val="12"/>
                <w:szCs w:val="24"/>
              </w:rPr>
              <w:t xml:space="preserve">- addresses, assesses and gives opinions for state aid which constitute a general block exemption regulation and for aid according to the ‘de minimis’ principle, </w:t>
            </w:r>
          </w:p>
          <w:p w:rsidR="00BD3B5F" w:rsidRPr="005C3B55" w:rsidRDefault="00BD3B5F">
            <w:pPr>
              <w:jc w:val="left"/>
              <w:rPr>
                <w:szCs w:val="24"/>
              </w:rPr>
            </w:pPr>
            <w:r w:rsidRPr="005C3B55">
              <w:rPr>
                <w:sz w:val="12"/>
                <w:szCs w:val="24"/>
              </w:rPr>
              <w:t xml:space="preserve">- collects, processes and monitors data on state aid and aid granted according to the ‘de minimis’ principle, and keeps records on these data, </w:t>
            </w:r>
          </w:p>
          <w:p w:rsidR="00BD3B5F" w:rsidRPr="005C3B55" w:rsidRDefault="00BD3B5F">
            <w:pPr>
              <w:jc w:val="left"/>
              <w:rPr>
                <w:sz w:val="12"/>
                <w:szCs w:val="24"/>
              </w:rPr>
            </w:pPr>
            <w:r w:rsidRPr="005C3B55">
              <w:rPr>
                <w:sz w:val="12"/>
                <w:szCs w:val="24"/>
              </w:rPr>
              <w:t>- prepares annual reports,</w:t>
            </w:r>
          </w:p>
          <w:p w:rsidR="00BD3B5F" w:rsidRPr="005C3B55" w:rsidRDefault="00BD3B5F">
            <w:pPr>
              <w:jc w:val="left"/>
              <w:rPr>
                <w:sz w:val="12"/>
                <w:szCs w:val="24"/>
              </w:rPr>
            </w:pPr>
            <w:r w:rsidRPr="005C3B55">
              <w:rPr>
                <w:sz w:val="12"/>
                <w:szCs w:val="24"/>
              </w:rPr>
              <w:t>- advises state aid managers.</w:t>
            </w:r>
          </w:p>
          <w:p w:rsidR="00BD3B5F" w:rsidRPr="005C3B55" w:rsidRDefault="00BD3B5F">
            <w:pPr>
              <w:jc w:val="left"/>
              <w:rPr>
                <w:sz w:val="12"/>
                <w:szCs w:val="24"/>
              </w:rPr>
            </w:pPr>
            <w:r w:rsidRPr="005C3B55">
              <w:rPr>
                <w:sz w:val="12"/>
                <w:szCs w:val="24"/>
              </w:rPr>
              <w:t xml:space="preserve">2. </w:t>
            </w:r>
            <w:r w:rsidRPr="005C3B55">
              <w:rPr>
                <w:color w:val="000000"/>
                <w:sz w:val="12"/>
                <w:szCs w:val="24"/>
              </w:rPr>
              <w:t>In accordance with Article 2 of the Decree on the communication of contents and supply of data on state aid in the area of agriculture and fisheries, the Ministry of Agriculture, Forestry and Food (MKGP) is responsible for the supply of data on state aid in the area of agriculture and fisheries. It is also responsible for the evaluation of conformity of state aid in agriculture and fisheries which do not need to be notified to the European Commission. It performs the following tasks:</w:t>
            </w:r>
          </w:p>
          <w:p w:rsidR="00BD3B5F" w:rsidRPr="005C3B55" w:rsidRDefault="00BD3B5F">
            <w:pPr>
              <w:jc w:val="left"/>
              <w:rPr>
                <w:sz w:val="12"/>
                <w:szCs w:val="24"/>
              </w:rPr>
            </w:pPr>
            <w:r w:rsidRPr="005C3B55">
              <w:rPr>
                <w:sz w:val="12"/>
                <w:szCs w:val="24"/>
              </w:rPr>
              <w:t>- addresses, assesses and submits notifications of state aid in the field of agriculture and fisheries to the European Commission,</w:t>
            </w:r>
          </w:p>
          <w:p w:rsidR="00BD3B5F" w:rsidRPr="005C3B55" w:rsidRDefault="00BD3B5F">
            <w:pPr>
              <w:jc w:val="left"/>
              <w:rPr>
                <w:sz w:val="12"/>
                <w:szCs w:val="24"/>
              </w:rPr>
            </w:pPr>
            <w:r w:rsidRPr="005C3B55">
              <w:rPr>
                <w:sz w:val="12"/>
                <w:szCs w:val="24"/>
              </w:rPr>
              <w:t>- addresses, assesses and gives opinion on certain categories of block exemptions in the field of agriculture and fisheries,</w:t>
            </w:r>
          </w:p>
          <w:p w:rsidR="00BD3B5F" w:rsidRPr="005C3B55" w:rsidRDefault="00BD3B5F">
            <w:pPr>
              <w:jc w:val="left"/>
              <w:rPr>
                <w:sz w:val="12"/>
                <w:szCs w:val="24"/>
              </w:rPr>
            </w:pPr>
            <w:r w:rsidRPr="005C3B55">
              <w:rPr>
                <w:color w:val="000000"/>
                <w:sz w:val="12"/>
                <w:szCs w:val="24"/>
              </w:rPr>
              <w:t>- prepares annual report on state aid granted in the field of agriculture and fisheries for the European Commission,</w:t>
            </w:r>
          </w:p>
          <w:p w:rsidR="00BD3B5F" w:rsidRPr="005C3B55" w:rsidRDefault="00BD3B5F">
            <w:pPr>
              <w:jc w:val="left"/>
              <w:rPr>
                <w:sz w:val="12"/>
                <w:szCs w:val="24"/>
              </w:rPr>
            </w:pPr>
            <w:r w:rsidRPr="005C3B55">
              <w:rPr>
                <w:color w:val="000000"/>
                <w:sz w:val="12"/>
                <w:szCs w:val="24"/>
              </w:rPr>
              <w:t>- keeps records of state aid granted in the field of agriculture and fisheries.</w:t>
            </w:r>
          </w:p>
          <w:p w:rsidR="00BD3B5F" w:rsidRPr="005C3B55" w:rsidRDefault="00BD3B5F">
            <w:pPr>
              <w:jc w:val="left"/>
              <w:rPr>
                <w:sz w:val="12"/>
                <w:szCs w:val="24"/>
              </w:rPr>
            </w:pPr>
            <w:r w:rsidRPr="005C3B55">
              <w:rPr>
                <w:sz w:val="12"/>
                <w:szCs w:val="24"/>
              </w:rPr>
              <w:t>Actions in place to prevent the granting of unlawful or incompatible state aid include:</w:t>
            </w:r>
          </w:p>
          <w:p w:rsidR="00BD3B5F" w:rsidRPr="005C3B55" w:rsidRDefault="00BD3B5F">
            <w:pPr>
              <w:jc w:val="left"/>
              <w:rPr>
                <w:sz w:val="12"/>
                <w:szCs w:val="24"/>
              </w:rPr>
            </w:pPr>
            <w:r w:rsidRPr="005C3B55">
              <w:rPr>
                <w:sz w:val="12"/>
                <w:szCs w:val="24"/>
              </w:rPr>
              <w:t>- State aid control is centralised.</w:t>
            </w:r>
          </w:p>
          <w:p w:rsidR="00BD3B5F" w:rsidRPr="005C3B55" w:rsidRDefault="00BD3B5F">
            <w:pPr>
              <w:jc w:val="left"/>
              <w:rPr>
                <w:szCs w:val="24"/>
              </w:rPr>
            </w:pPr>
            <w:r w:rsidRPr="005C3B55">
              <w:rPr>
                <w:sz w:val="12"/>
                <w:szCs w:val="24"/>
              </w:rPr>
              <w:t xml:space="preserve">- Slovenia is a unicum compard with other Member States in this respect. </w:t>
            </w:r>
            <w:r w:rsidRPr="005C3B55">
              <w:rPr>
                <w:color w:val="000000"/>
                <w:sz w:val="12"/>
                <w:szCs w:val="24"/>
              </w:rPr>
              <w:t xml:space="preserve">In line with Article 4 of the </w:t>
            </w:r>
            <w:r w:rsidRPr="005C3B55">
              <w:rPr>
                <w:sz w:val="12"/>
                <w:szCs w:val="24"/>
              </w:rPr>
              <w:t xml:space="preserve">ZSDrP </w:t>
            </w:r>
            <w:r w:rsidRPr="005C3B55">
              <w:rPr>
                <w:color w:val="000000"/>
                <w:sz w:val="12"/>
                <w:szCs w:val="24"/>
              </w:rPr>
              <w:t>the relevant granting authorities are to prior notify to the SAMD any new state aid or any modifications to the existing scheme. The SAMD assess the compatibility of an individual scheme and issues a binding opinion on compatibility.</w:t>
            </w:r>
            <w:r w:rsidRPr="005C3B55">
              <w:rPr>
                <w:sz w:val="12"/>
                <w:szCs w:val="24"/>
              </w:rPr>
              <w:t xml:space="preserve">  </w:t>
            </w:r>
            <w:r w:rsidRPr="005C3B55">
              <w:rPr>
                <w:color w:val="000000"/>
                <w:sz w:val="12"/>
                <w:szCs w:val="24"/>
              </w:rPr>
              <w:t>This applies to state aids under the General Block Exemption Regulation (GBER)and also to de minimis aid.</w:t>
            </w:r>
          </w:p>
          <w:p w:rsidR="00BD3B5F" w:rsidRPr="005C3B55" w:rsidRDefault="00BD3B5F">
            <w:pPr>
              <w:jc w:val="left"/>
              <w:rPr>
                <w:szCs w:val="24"/>
              </w:rPr>
            </w:pPr>
            <w:r w:rsidRPr="005C3B55">
              <w:rPr>
                <w:color w:val="000000"/>
                <w:sz w:val="12"/>
                <w:szCs w:val="24"/>
              </w:rPr>
              <w:t>Based on the Monitoring of State Aids Act the granting authorities are to receive the above binding opinion prior to any award (standstill clause).</w:t>
            </w:r>
            <w:r w:rsidRPr="005C3B55">
              <w:rPr>
                <w:sz w:val="12"/>
                <w:szCs w:val="24"/>
              </w:rPr>
              <w:t xml:space="preserve"> </w:t>
            </w:r>
            <w:r w:rsidRPr="005C3B55">
              <w:rPr>
                <w:color w:val="000000"/>
                <w:sz w:val="12"/>
                <w:szCs w:val="24"/>
              </w:rPr>
              <w:t>Such procedure ensures that compatibility is first checked and that only state aid compatible with the relevant state aid rules is awarded.</w:t>
            </w:r>
            <w:r w:rsidRPr="005C3B55">
              <w:rPr>
                <w:sz w:val="12"/>
                <w:szCs w:val="24"/>
              </w:rPr>
              <w:t xml:space="preserve"> </w:t>
            </w:r>
            <w:r w:rsidRPr="005C3B55">
              <w:rPr>
                <w:color w:val="000000"/>
                <w:sz w:val="12"/>
                <w:szCs w:val="24"/>
              </w:rPr>
              <w:t>Directorate General for Competition annually carries out a sample control of state aid awarded in line with the GBER and has not detected any errors under the schemes in Slovenia so far.</w:t>
            </w:r>
            <w:r w:rsidRPr="005C3B55">
              <w:rPr>
                <w:sz w:val="12"/>
                <w:szCs w:val="24"/>
              </w:rPr>
              <w:t xml:space="preserve"> The MF keeps a database on state aid granted and aid granted according to the ‘de minimis’ principle. Pursuant to Article 9 of the ZSDrP, the MF keeps records in order to ensure transparency in the field of state aid:  </w:t>
            </w:r>
            <w:r w:rsidRPr="005C3B55">
              <w:rPr>
                <w:color w:val="000000"/>
                <w:sz w:val="12"/>
                <w:szCs w:val="24"/>
              </w:rPr>
              <w:t>all notifications, notifications forwarded to the European Commission, granted state aid, granted state aid under the ‘de minimis’ rule</w:t>
            </w:r>
            <w:r w:rsidRPr="005C3B55">
              <w:rPr>
                <w:rFonts w:ascii="Arial" w:hAnsi="Arial"/>
                <w:color w:val="000000"/>
                <w:sz w:val="18"/>
                <w:szCs w:val="24"/>
              </w:rPr>
              <w:t>.</w:t>
            </w:r>
          </w:p>
          <w:p w:rsidR="00BD3B5F" w:rsidRPr="005C3B55" w:rsidRDefault="00BD3B5F">
            <w:pPr>
              <w:jc w:val="left"/>
              <w:rPr>
                <w:szCs w:val="24"/>
              </w:rPr>
            </w:pPr>
            <w:r w:rsidRPr="005C3B55">
              <w:rPr>
                <w:color w:val="000000"/>
                <w:sz w:val="12"/>
                <w:szCs w:val="24"/>
              </w:rPr>
              <w:t>In accordance with the Rules on the transmission of data and reporting on state aid in the area of agriculture and fishery, the state aid manager should prepare the content of the individual state aid in a written and electronic form on forms which are available on the dedicated website of the MKGP and submit it to the MKGP.</w:t>
            </w:r>
            <w:r w:rsidRPr="005C3B55">
              <w:rPr>
                <w:sz w:val="12"/>
                <w:szCs w:val="24"/>
              </w:rPr>
              <w:t xml:space="preserve"> The same applies for the supplementation or amendment of state aid. </w:t>
            </w:r>
            <w:r w:rsidRPr="005C3B55">
              <w:rPr>
                <w:color w:val="000000"/>
                <w:sz w:val="12"/>
                <w:szCs w:val="24"/>
              </w:rPr>
              <w:t>In addition to the completed form the submitted notification should also contain the legal basis, justification and all supporting documentation to which the state aid manager refers.</w:t>
            </w:r>
          </w:p>
          <w:p w:rsidR="00BD3B5F" w:rsidRPr="005C3B55" w:rsidRDefault="00BD3B5F">
            <w:pPr>
              <w:jc w:val="left"/>
              <w:rPr>
                <w:szCs w:val="24"/>
              </w:rPr>
            </w:pPr>
            <w:r w:rsidRPr="005C3B55">
              <w:rPr>
                <w:sz w:val="12"/>
                <w:szCs w:val="24"/>
              </w:rPr>
              <w:t>The MKGP submits the state aid to the European Commission. The communication in terms of additional questions, explanations and information related to state aid declared between the EC and managers is implemented through the MKGP. The MF addresses block exemptions and aid according to the ‘de minimis’ principle, and provides opinions on their compliance with state aid rules. Until a positive opinion has been issued, the MKGP remains reserved and granting state aid is prohibited.</w:t>
            </w:r>
          </w:p>
          <w:p w:rsidR="00BD3B5F" w:rsidRPr="005C3B55" w:rsidRDefault="00BD3B5F">
            <w:pPr>
              <w:spacing w:before="0" w:after="0"/>
              <w:jc w:val="left"/>
              <w:rPr>
                <w:szCs w:val="24"/>
              </w:rPr>
            </w:pPr>
            <w:r w:rsidRPr="005C3B55">
              <w:rPr>
                <w:sz w:val="12"/>
                <w:szCs w:val="24"/>
              </w:rPr>
              <w:t xml:space="preserve">For the implementation of financial instruments, the provisions of the ZSDrP and regulations adopted on its basis fully apply. In the Regulation on the procedure of standards and manners to allocate means for the promotion of the evolutional programme and the preferential tasks, the Government of the Republic of Slovenia has generally regulated the special field of financial instrument implementation. Article 27 stipulates that direct users of the state budget and recipients of funds must ensure that the support instrument implementation intended for target groups of end-users does not contravene state aid regulations. </w:t>
            </w:r>
            <w:r w:rsidRPr="005C3B55">
              <w:rPr>
                <w:color w:val="000000"/>
                <w:sz w:val="12"/>
                <w:szCs w:val="24"/>
              </w:rPr>
              <w:t>It further defines that in cases where financial support measures do not meet the rules of market investor, the advantage of holding fund or an individual financial instrument must be evaluated and end recipients identified and the volume of state aid determined on this basis.</w:t>
            </w:r>
          </w:p>
          <w:p w:rsidR="00BD3B5F" w:rsidRPr="005C3B55" w:rsidRDefault="00BD3B5F">
            <w:pPr>
              <w:jc w:val="left"/>
              <w:rPr>
                <w:sz w:val="12"/>
                <w:szCs w:val="24"/>
              </w:rPr>
            </w:pPr>
            <w:r w:rsidRPr="005C3B55">
              <w:rPr>
                <w:sz w:val="12"/>
                <w:szCs w:val="24"/>
              </w:rPr>
              <w:t>Dissemination and exchange of information</w:t>
            </w:r>
          </w:p>
          <w:p w:rsidR="00BD3B5F" w:rsidRPr="005C3B55" w:rsidRDefault="00BD3B5F">
            <w:pPr>
              <w:jc w:val="left"/>
              <w:rPr>
                <w:szCs w:val="24"/>
              </w:rPr>
            </w:pPr>
            <w:r w:rsidRPr="005C3B55">
              <w:rPr>
                <w:color w:val="000000"/>
                <w:sz w:val="12"/>
                <w:szCs w:val="24"/>
              </w:rPr>
              <w:t>- The MF keeps the central database on granted state aid and de minimis aid by recipients.</w:t>
            </w:r>
            <w:r w:rsidRPr="005C3B55">
              <w:rPr>
                <w:sz w:val="12"/>
                <w:szCs w:val="24"/>
              </w:rPr>
              <w:t xml:space="preserve"> </w:t>
            </w:r>
            <w:r w:rsidRPr="005C3B55">
              <w:rPr>
                <w:color w:val="000000"/>
                <w:sz w:val="12"/>
                <w:szCs w:val="24"/>
              </w:rPr>
              <w:t xml:space="preserve">Granting authorities are to forward the relevant information in accordance with Article 4 of the </w:t>
            </w:r>
            <w:r w:rsidRPr="005C3B55">
              <w:rPr>
                <w:sz w:val="12"/>
                <w:szCs w:val="24"/>
              </w:rPr>
              <w:t>ZSDrP</w:t>
            </w:r>
            <w:r w:rsidRPr="005C3B55">
              <w:rPr>
                <w:color w:val="000000"/>
                <w:sz w:val="12"/>
                <w:szCs w:val="24"/>
              </w:rPr>
              <w:t>.</w:t>
            </w:r>
            <w:r w:rsidRPr="005C3B55">
              <w:rPr>
                <w:sz w:val="12"/>
                <w:szCs w:val="24"/>
              </w:rPr>
              <w:t xml:space="preserve"> The Decree on data submission and on the reporting of granted state aid and de minimis aid and the Decree on the communication of contents and supply of data on state aid in the area of agriculture and fisheries stipulate the manners and deadlines for submitting data to the MF. </w:t>
            </w:r>
            <w:r w:rsidRPr="005C3B55">
              <w:rPr>
                <w:color w:val="000000"/>
                <w:sz w:val="12"/>
                <w:szCs w:val="24"/>
              </w:rPr>
              <w:t xml:space="preserve">The latter collects and processes data on granted state aid and state aid under the de minimis rule and data on the efficiency and effectiveness of spending the resources under the state aid in accordance with Article 8 of the </w:t>
            </w:r>
            <w:r w:rsidRPr="005C3B55">
              <w:rPr>
                <w:sz w:val="12"/>
                <w:szCs w:val="24"/>
              </w:rPr>
              <w:t>ZSDrP</w:t>
            </w:r>
            <w:r w:rsidRPr="005C3B55">
              <w:rPr>
                <w:color w:val="000000"/>
                <w:sz w:val="12"/>
                <w:szCs w:val="24"/>
              </w:rPr>
              <w:t>.</w:t>
            </w:r>
            <w:r w:rsidRPr="005C3B55">
              <w:rPr>
                <w:sz w:val="12"/>
                <w:szCs w:val="24"/>
              </w:rPr>
              <w:t xml:space="preserve"> The data are submitted by state aid managers. The MF keeps a database on state aid granted and aid granted according to the ‘de minimis’ principle. </w:t>
            </w:r>
            <w:r w:rsidRPr="005C3B55">
              <w:rPr>
                <w:color w:val="000000"/>
                <w:sz w:val="12"/>
                <w:szCs w:val="24"/>
              </w:rPr>
              <w:t xml:space="preserve">As per Article 9 of the </w:t>
            </w:r>
            <w:r w:rsidRPr="005C3B55">
              <w:rPr>
                <w:sz w:val="12"/>
                <w:szCs w:val="24"/>
              </w:rPr>
              <w:t>ZSDrP and i</w:t>
            </w:r>
            <w:r w:rsidRPr="005C3B55">
              <w:rPr>
                <w:color w:val="000000"/>
                <w:sz w:val="12"/>
                <w:szCs w:val="24"/>
              </w:rPr>
              <w:t>n order to secure transparency, the MF also keeps records of valid schemes and individual state aids and de minimis aids, available on the MF website.</w:t>
            </w:r>
            <w:r w:rsidRPr="005C3B55">
              <w:rPr>
                <w:sz w:val="12"/>
                <w:szCs w:val="24"/>
              </w:rPr>
              <w:t xml:space="preserve"> </w:t>
            </w:r>
            <w:r w:rsidRPr="005C3B55">
              <w:rPr>
                <w:color w:val="000000"/>
                <w:sz w:val="12"/>
                <w:szCs w:val="24"/>
              </w:rPr>
              <w:t>On the basis of collected data, the MF annually produces a comprehensive report on granted state aid and de minimis aid and makes it available online.</w:t>
            </w:r>
          </w:p>
          <w:p w:rsidR="00BD3B5F" w:rsidRPr="005C3B55" w:rsidRDefault="00BD3B5F">
            <w:pPr>
              <w:jc w:val="left"/>
              <w:rPr>
                <w:sz w:val="12"/>
                <w:szCs w:val="24"/>
              </w:rPr>
            </w:pPr>
          </w:p>
        </w:tc>
      </w:tr>
      <w:tr w:rsidR="00BD3B5F" w:rsidRPr="005C3B55">
        <w:tc>
          <w:tcPr>
            <w:tcW w:w="577" w:type="pct"/>
            <w:vMerge/>
            <w:shd w:val="clear" w:color="auto" w:fill="FFFFFF"/>
            <w:tcMar>
              <w:top w:w="20" w:type="dxa"/>
              <w:bottom w:w="20" w:type="dxa"/>
            </w:tcMar>
            <w:vAlign w:val="center"/>
          </w:tcPr>
          <w:p w:rsidR="00BD3B5F" w:rsidRPr="005C3B55" w:rsidRDefault="00BD3B5F">
            <w:pPr>
              <w:jc w:val="left"/>
              <w:rPr>
                <w:sz w:val="12"/>
                <w:szCs w:val="24"/>
              </w:rPr>
            </w:pPr>
          </w:p>
        </w:tc>
        <w:tc>
          <w:tcPr>
            <w:tcW w:w="577" w:type="pct"/>
            <w:shd w:val="clear" w:color="auto" w:fill="FFFFFF"/>
            <w:tcMar>
              <w:top w:w="20" w:type="dxa"/>
              <w:bottom w:w="20" w:type="dxa"/>
            </w:tcMar>
            <w:vAlign w:val="center"/>
          </w:tcPr>
          <w:p w:rsidR="00BD3B5F" w:rsidRPr="005C3B55" w:rsidRDefault="00BD3B5F">
            <w:pPr>
              <w:jc w:val="left"/>
              <w:rPr>
                <w:szCs w:val="24"/>
              </w:rPr>
            </w:pPr>
            <w:r w:rsidRPr="005C3B55">
              <w:rPr>
                <w:sz w:val="12"/>
                <w:szCs w:val="24"/>
              </w:rPr>
              <w:t>G5.b) Arrangement of training of, and providing information to, staff included in the implementation of ESI funds</w:t>
            </w:r>
          </w:p>
        </w:tc>
        <w:tc>
          <w:tcPr>
            <w:tcW w:w="269" w:type="pct"/>
            <w:shd w:val="clear" w:color="auto" w:fill="FFFFFF"/>
            <w:tcMar>
              <w:top w:w="20" w:type="dxa"/>
              <w:bottom w:w="20" w:type="dxa"/>
            </w:tcMar>
            <w:vAlign w:val="center"/>
          </w:tcPr>
          <w:p w:rsidR="00BD3B5F" w:rsidRPr="005C3B55" w:rsidRDefault="00BD3B5F">
            <w:pPr>
              <w:jc w:val="left"/>
              <w:rPr>
                <w:sz w:val="12"/>
                <w:szCs w:val="24"/>
              </w:rPr>
            </w:pPr>
            <w:r w:rsidRPr="005C3B55">
              <w:rPr>
                <w:noProof/>
                <w:sz w:val="12"/>
                <w:szCs w:val="24"/>
              </w:rPr>
              <w:t>Yes</w:t>
            </w:r>
          </w:p>
        </w:tc>
        <w:tc>
          <w:tcPr>
            <w:tcW w:w="3042" w:type="pct"/>
            <w:shd w:val="clear" w:color="auto" w:fill="FFFFFF"/>
            <w:tcMar>
              <w:top w:w="20" w:type="dxa"/>
              <w:bottom w:w="20" w:type="dxa"/>
            </w:tcMar>
            <w:vAlign w:val="center"/>
          </w:tcPr>
          <w:p w:rsidR="00BD3B5F" w:rsidRPr="005C3B55" w:rsidRDefault="00BD3B5F">
            <w:pPr>
              <w:spacing w:before="0" w:after="160"/>
              <w:jc w:val="left"/>
              <w:rPr>
                <w:noProof/>
                <w:szCs w:val="24"/>
              </w:rPr>
            </w:pPr>
            <w:r w:rsidRPr="005C3B55">
              <w:rPr>
                <w:sz w:val="15"/>
                <w:szCs w:val="24"/>
              </w:rPr>
              <w:t>Website where relevant guidelines, explanations and clarifications in the field of state aid are available:</w:t>
            </w:r>
            <w:r w:rsidRPr="005C3B55">
              <w:rPr>
                <w:noProof/>
                <w:sz w:val="15"/>
                <w:szCs w:val="24"/>
              </w:rPr>
              <w:t xml:space="preserve"> http://www.mf.gov.si/si/delovna_podrocja/drzavne_pomoci/#c567</w:t>
            </w:r>
          </w:p>
          <w:p w:rsidR="00BD3B5F" w:rsidRPr="005C3B55" w:rsidRDefault="00BD3B5F">
            <w:pPr>
              <w:spacing w:before="160" w:after="160"/>
              <w:jc w:val="left"/>
              <w:rPr>
                <w:noProof/>
                <w:szCs w:val="24"/>
              </w:rPr>
            </w:pPr>
            <w:r w:rsidRPr="005C3B55">
              <w:rPr>
                <w:sz w:val="15"/>
                <w:szCs w:val="24"/>
              </w:rPr>
              <w:t>Website where relevant guidelines, explanations and clarifications in the field of agriculture and fisheries are available:</w:t>
            </w:r>
            <w:r w:rsidRPr="005C3B55">
              <w:rPr>
                <w:noProof/>
                <w:sz w:val="15"/>
                <w:szCs w:val="24"/>
              </w:rPr>
              <w:t xml:space="preserve"> http://www.mko.gov.si/si/delovna_podrocja/drzavne_pomoci/</w:t>
            </w:r>
          </w:p>
          <w:p w:rsidR="00BD3B5F" w:rsidRPr="005C3B55" w:rsidRDefault="00BD3B5F">
            <w:pPr>
              <w:spacing w:before="160" w:after="160"/>
              <w:jc w:val="left"/>
              <w:rPr>
                <w:noProof/>
                <w:sz w:val="15"/>
                <w:szCs w:val="24"/>
              </w:rPr>
            </w:pPr>
            <w:r w:rsidRPr="005C3B55">
              <w:rPr>
                <w:sz w:val="15"/>
                <w:szCs w:val="24"/>
              </w:rPr>
              <w:t>Indicative training plan 2014–2020 for ESI funds is an annex to RDP 2014–2020.</w:t>
            </w:r>
          </w:p>
          <w:p w:rsidR="00BD3B5F" w:rsidRPr="005C3B55" w:rsidRDefault="00BD3B5F">
            <w:pPr>
              <w:jc w:val="left"/>
              <w:rPr>
                <w:sz w:val="12"/>
                <w:szCs w:val="24"/>
              </w:rPr>
            </w:pPr>
          </w:p>
        </w:tc>
        <w:tc>
          <w:tcPr>
            <w:tcW w:w="536" w:type="pct"/>
            <w:shd w:val="clear" w:color="auto" w:fill="FFFFFF"/>
            <w:tcMar>
              <w:top w:w="20" w:type="dxa"/>
              <w:bottom w:w="20" w:type="dxa"/>
            </w:tcMar>
            <w:vAlign w:val="center"/>
          </w:tcPr>
          <w:p w:rsidR="00BD3B5F" w:rsidRPr="005C3B55" w:rsidRDefault="00BD3B5F">
            <w:pPr>
              <w:jc w:val="left"/>
              <w:rPr>
                <w:sz w:val="12"/>
                <w:szCs w:val="24"/>
              </w:rPr>
            </w:pPr>
            <w:r w:rsidRPr="005C3B55">
              <w:rPr>
                <w:sz w:val="12"/>
                <w:szCs w:val="24"/>
              </w:rPr>
              <w:t>Dissemination and exchange of information</w:t>
            </w:r>
          </w:p>
          <w:p w:rsidR="00BD3B5F" w:rsidRPr="005C3B55" w:rsidRDefault="00BD3B5F">
            <w:pPr>
              <w:jc w:val="left"/>
              <w:rPr>
                <w:szCs w:val="24"/>
              </w:rPr>
            </w:pPr>
            <w:r w:rsidRPr="005C3B55">
              <w:rPr>
                <w:sz w:val="12"/>
                <w:szCs w:val="24"/>
              </w:rPr>
              <w:t xml:space="preserve">- Within the tasks of the MF to address and provide opinions on state aid which constitute block exemptions and aid according to the ‘de minimis’ principle, and advise state aid managers, a special website has been established, which includes guidelines and explanations regarding state aids. In this context, a presentation is available for all interested parties: the MF, regulations in Slovenia, EU rules, reporting on state aid granted, records, annual reports and archives. On its website, the MF regularly publishes all news regarding state aid and all rules, and replies to the most frequently asked questions. </w:t>
            </w:r>
          </w:p>
          <w:p w:rsidR="00BD3B5F" w:rsidRPr="005C3B55" w:rsidRDefault="00BD3B5F">
            <w:pPr>
              <w:jc w:val="left"/>
              <w:rPr>
                <w:szCs w:val="24"/>
              </w:rPr>
            </w:pPr>
            <w:r w:rsidRPr="005C3B55">
              <w:rPr>
                <w:sz w:val="12"/>
                <w:szCs w:val="24"/>
              </w:rPr>
              <w:t xml:space="preserve">- Within the tasks of the MKGP to address and provide opinions on state aid which constitute block exemptions and aid according to the ‘de minimis’ principle, and advise state aid managers, a special website has been established, which includes guidelines and explanations regarding agriculture and fisheries. </w:t>
            </w:r>
          </w:p>
          <w:p w:rsidR="00BD3B5F" w:rsidRPr="005C3B55" w:rsidRDefault="00BD3B5F">
            <w:pPr>
              <w:jc w:val="left"/>
              <w:rPr>
                <w:szCs w:val="24"/>
              </w:rPr>
            </w:pPr>
            <w:r w:rsidRPr="005C3B55">
              <w:rPr>
                <w:sz w:val="12"/>
                <w:szCs w:val="24"/>
              </w:rPr>
              <w:t>When using technical aid funds, Slovenia will focus on preserving a stable and experienced structure of employees, but above all, the skills of employees will be additionally enhanced by continuous training and education. In this context, a presentation is available for all interested parties: the MKGP, regulations in Slovenia, EU rules, reporting on state aid granted, records, annual reports and archives. On its website, the MKGP regularly publishes all the novelties regarding state aid in the field of agriculture and fisheries, and publishes all the rules governing state aid in the field of agriculture and fisheries.</w:t>
            </w:r>
          </w:p>
          <w:p w:rsidR="00BD3B5F" w:rsidRPr="005C3B55" w:rsidRDefault="00BD3B5F">
            <w:pPr>
              <w:jc w:val="left"/>
              <w:rPr>
                <w:szCs w:val="24"/>
              </w:rPr>
            </w:pPr>
            <w:r w:rsidRPr="005C3B55">
              <w:rPr>
                <w:sz w:val="12"/>
                <w:szCs w:val="24"/>
              </w:rPr>
              <w:t xml:space="preserve">For the needs of training of staff included in the management and supervision of ESI funds, a indicative training plan was prepared for the 2014–2020 period. This is a joint document of the Managing Authority of  RDP 2014–2020 and the Managing Authority of the Operational Programme for the European Cohesion Policy. The indicative training plan also anticipates training in the field of state aid. </w:t>
            </w:r>
          </w:p>
          <w:p w:rsidR="00BD3B5F" w:rsidRPr="005C3B55" w:rsidRDefault="00BD3B5F">
            <w:pPr>
              <w:jc w:val="left"/>
              <w:rPr>
                <w:sz w:val="12"/>
                <w:szCs w:val="24"/>
              </w:rPr>
            </w:pPr>
          </w:p>
        </w:tc>
      </w:tr>
      <w:tr w:rsidR="00BD3B5F" w:rsidRPr="005C3B55">
        <w:tc>
          <w:tcPr>
            <w:tcW w:w="577" w:type="pct"/>
            <w:vMerge/>
            <w:shd w:val="clear" w:color="auto" w:fill="FFFFFF"/>
            <w:tcMar>
              <w:top w:w="20" w:type="dxa"/>
              <w:bottom w:w="20" w:type="dxa"/>
            </w:tcMar>
            <w:vAlign w:val="center"/>
          </w:tcPr>
          <w:p w:rsidR="00BD3B5F" w:rsidRPr="005C3B55" w:rsidRDefault="00BD3B5F">
            <w:pPr>
              <w:jc w:val="left"/>
              <w:rPr>
                <w:sz w:val="12"/>
                <w:szCs w:val="24"/>
              </w:rPr>
            </w:pPr>
          </w:p>
        </w:tc>
        <w:tc>
          <w:tcPr>
            <w:tcW w:w="577" w:type="pct"/>
            <w:shd w:val="clear" w:color="auto" w:fill="FFFFFF"/>
            <w:tcMar>
              <w:top w:w="20" w:type="dxa"/>
              <w:bottom w:w="20" w:type="dxa"/>
            </w:tcMar>
            <w:vAlign w:val="center"/>
          </w:tcPr>
          <w:p w:rsidR="00BD3B5F" w:rsidRPr="005C3B55" w:rsidRDefault="00BD3B5F">
            <w:pPr>
              <w:jc w:val="left"/>
              <w:rPr>
                <w:szCs w:val="24"/>
              </w:rPr>
            </w:pPr>
            <w:r w:rsidRPr="005C3B55">
              <w:rPr>
                <w:sz w:val="12"/>
                <w:szCs w:val="24"/>
              </w:rPr>
              <w:t>G5.c) Arrangement of administrative capacity for the implementation and application of Union's rules on state aid</w:t>
            </w:r>
          </w:p>
        </w:tc>
        <w:tc>
          <w:tcPr>
            <w:tcW w:w="269" w:type="pct"/>
            <w:shd w:val="clear" w:color="auto" w:fill="FFFFFF"/>
            <w:tcMar>
              <w:top w:w="20" w:type="dxa"/>
              <w:bottom w:w="20" w:type="dxa"/>
            </w:tcMar>
            <w:vAlign w:val="center"/>
          </w:tcPr>
          <w:p w:rsidR="00BD3B5F" w:rsidRPr="005C3B55" w:rsidRDefault="00BD3B5F">
            <w:pPr>
              <w:jc w:val="left"/>
              <w:rPr>
                <w:sz w:val="12"/>
                <w:szCs w:val="24"/>
              </w:rPr>
            </w:pPr>
            <w:r w:rsidRPr="005C3B55">
              <w:rPr>
                <w:noProof/>
                <w:sz w:val="12"/>
                <w:szCs w:val="24"/>
              </w:rPr>
              <w:t>Yes</w:t>
            </w:r>
          </w:p>
        </w:tc>
        <w:tc>
          <w:tcPr>
            <w:tcW w:w="3042" w:type="pct"/>
            <w:shd w:val="clear" w:color="auto" w:fill="FFFFFF"/>
            <w:tcMar>
              <w:top w:w="20" w:type="dxa"/>
              <w:bottom w:w="20" w:type="dxa"/>
            </w:tcMar>
            <w:vAlign w:val="center"/>
          </w:tcPr>
          <w:p w:rsidR="00BD3B5F" w:rsidRPr="005C3B55" w:rsidRDefault="00BD3B5F">
            <w:pPr>
              <w:spacing w:before="0" w:after="160"/>
              <w:jc w:val="left"/>
              <w:rPr>
                <w:noProof/>
                <w:sz w:val="15"/>
                <w:szCs w:val="24"/>
              </w:rPr>
            </w:pPr>
            <w:r w:rsidRPr="005C3B55">
              <w:rPr>
                <w:sz w:val="15"/>
                <w:szCs w:val="24"/>
              </w:rPr>
              <w:t>MF website, where suitable guidelines and explanations in the field of state aid are available (http://www.mf.gov.si/si/delovna_podrocja/drzavne_pomoci/#c567)</w:t>
            </w:r>
          </w:p>
          <w:p w:rsidR="00BD3B5F" w:rsidRPr="005C3B55" w:rsidRDefault="00BD3B5F">
            <w:pPr>
              <w:jc w:val="left"/>
              <w:rPr>
                <w:sz w:val="12"/>
                <w:szCs w:val="24"/>
              </w:rPr>
            </w:pPr>
          </w:p>
        </w:tc>
        <w:tc>
          <w:tcPr>
            <w:tcW w:w="536" w:type="pct"/>
            <w:shd w:val="clear" w:color="auto" w:fill="FFFFFF"/>
            <w:tcMar>
              <w:top w:w="20" w:type="dxa"/>
              <w:bottom w:w="20" w:type="dxa"/>
            </w:tcMar>
            <w:vAlign w:val="center"/>
          </w:tcPr>
          <w:p w:rsidR="00BD3B5F" w:rsidRPr="005C3B55" w:rsidRDefault="00BD3B5F">
            <w:pPr>
              <w:jc w:val="left"/>
              <w:rPr>
                <w:sz w:val="12"/>
                <w:szCs w:val="24"/>
              </w:rPr>
            </w:pPr>
            <w:r w:rsidRPr="005C3B55">
              <w:rPr>
                <w:sz w:val="12"/>
                <w:szCs w:val="24"/>
              </w:rPr>
              <w:t>Measures for ensuring administrative capacity:</w:t>
            </w:r>
          </w:p>
          <w:p w:rsidR="00BD3B5F" w:rsidRPr="005C3B55" w:rsidRDefault="00BD3B5F">
            <w:pPr>
              <w:jc w:val="left"/>
              <w:rPr>
                <w:szCs w:val="24"/>
              </w:rPr>
            </w:pPr>
            <w:r w:rsidRPr="005C3B55">
              <w:rPr>
                <w:color w:val="000000"/>
                <w:sz w:val="12"/>
                <w:szCs w:val="24"/>
              </w:rPr>
              <w:t xml:space="preserve">- In accordance with Article 3 of the </w:t>
            </w:r>
            <w:r w:rsidRPr="005C3B55">
              <w:rPr>
                <w:sz w:val="12"/>
                <w:szCs w:val="24"/>
              </w:rPr>
              <w:t>ZSDrP</w:t>
            </w:r>
            <w:r w:rsidRPr="005C3B55">
              <w:rPr>
                <w:color w:val="000000"/>
                <w:sz w:val="12"/>
                <w:szCs w:val="24"/>
              </w:rPr>
              <w:t>, the MF provides advice to state aid managers.</w:t>
            </w:r>
            <w:r w:rsidRPr="005C3B55">
              <w:rPr>
                <w:sz w:val="12"/>
                <w:szCs w:val="24"/>
              </w:rPr>
              <w:t xml:space="preserve"> </w:t>
            </w:r>
            <w:r w:rsidRPr="005C3B55">
              <w:rPr>
                <w:color w:val="000000"/>
                <w:sz w:val="12"/>
                <w:szCs w:val="24"/>
              </w:rPr>
              <w:t>Its advisory work is also carried out via mentioned website, where the relevant guidelines are available, as well as explanations and opinions on state aid are available.</w:t>
            </w:r>
            <w:r w:rsidRPr="005C3B55">
              <w:rPr>
                <w:sz w:val="12"/>
                <w:szCs w:val="24"/>
              </w:rPr>
              <w:t xml:space="preserve"> In this context, a presentation is available for all interested parties: the MF, regulations in Slovenia, EU rules, reporting on state aid granted, records, annual reports and archives. </w:t>
            </w:r>
          </w:p>
          <w:p w:rsidR="00BD3B5F" w:rsidRPr="005C3B55" w:rsidRDefault="00BD3B5F">
            <w:pPr>
              <w:jc w:val="left"/>
              <w:rPr>
                <w:sz w:val="12"/>
                <w:szCs w:val="24"/>
              </w:rPr>
            </w:pPr>
            <w:r w:rsidRPr="005C3B55">
              <w:rPr>
                <w:sz w:val="12"/>
                <w:szCs w:val="24"/>
              </w:rPr>
              <w:t>In accordance with Article 2 of the Decree on the communication of contents and supply of data on state aid in the area of agriculture and fisheries, the MKGP is responsible for the supply of data on state aid in the area of agriculture and fisheries. It is also responsible for the evaluation of conformity of state aid in agriculture and fisheries which do not need to be notified to the European Commission. It performs the following tasks:</w:t>
            </w:r>
          </w:p>
          <w:p w:rsidR="00BD3B5F" w:rsidRPr="005C3B55" w:rsidRDefault="00BD3B5F">
            <w:pPr>
              <w:jc w:val="left"/>
              <w:rPr>
                <w:sz w:val="12"/>
                <w:szCs w:val="24"/>
              </w:rPr>
            </w:pPr>
            <w:r w:rsidRPr="005C3B55">
              <w:rPr>
                <w:sz w:val="12"/>
                <w:szCs w:val="24"/>
              </w:rPr>
              <w:t>- addresses, assesses and submits notifications of state aid in the field of agriculture and fisheries to the European Commission,</w:t>
            </w:r>
          </w:p>
          <w:p w:rsidR="00BD3B5F" w:rsidRPr="005C3B55" w:rsidRDefault="00BD3B5F">
            <w:pPr>
              <w:jc w:val="left"/>
              <w:rPr>
                <w:sz w:val="12"/>
                <w:szCs w:val="24"/>
              </w:rPr>
            </w:pPr>
            <w:r w:rsidRPr="005C3B55">
              <w:rPr>
                <w:sz w:val="12"/>
                <w:szCs w:val="24"/>
              </w:rPr>
              <w:t>- addresses, assesses and gives opinion on certain categories of block exemptions in the field of agriculture and fisheries,</w:t>
            </w:r>
          </w:p>
          <w:p w:rsidR="00BD3B5F" w:rsidRPr="005C3B55" w:rsidRDefault="00BD3B5F">
            <w:pPr>
              <w:jc w:val="left"/>
              <w:rPr>
                <w:sz w:val="12"/>
                <w:szCs w:val="24"/>
              </w:rPr>
            </w:pPr>
            <w:r w:rsidRPr="005C3B55">
              <w:rPr>
                <w:sz w:val="12"/>
                <w:szCs w:val="24"/>
              </w:rPr>
              <w:t>- prepares annual report on state aid granted in the field of agriculture and fisheries for the European Commission,</w:t>
            </w:r>
          </w:p>
          <w:p w:rsidR="00BD3B5F" w:rsidRPr="005C3B55" w:rsidRDefault="00BD3B5F">
            <w:pPr>
              <w:spacing w:before="0" w:after="0"/>
              <w:jc w:val="left"/>
              <w:rPr>
                <w:sz w:val="12"/>
                <w:szCs w:val="24"/>
              </w:rPr>
            </w:pPr>
            <w:r w:rsidRPr="005C3B55">
              <w:rPr>
                <w:sz w:val="12"/>
                <w:szCs w:val="24"/>
              </w:rPr>
              <w:t>- keeps records of state aid granted in the field of agriculture and fisheries.</w:t>
            </w:r>
          </w:p>
          <w:p w:rsidR="00BD3B5F" w:rsidRPr="005C3B55" w:rsidRDefault="00BD3B5F">
            <w:pPr>
              <w:jc w:val="left"/>
              <w:rPr>
                <w:szCs w:val="24"/>
              </w:rPr>
            </w:pPr>
            <w:r w:rsidRPr="005C3B55">
              <w:rPr>
                <w:sz w:val="12"/>
                <w:szCs w:val="24"/>
              </w:rPr>
              <w:t>- Within the tasks of the MKGP to address and provide opinions on state aid in the field of agriculture and fisheries which constitute block exemptions and aid according to the ‘de minimis’ principle, and advise state aid managers, a special website has been established, which includes guidelines and explanations regarding agriculture and fisheries. In this context, a presentation is available for all interested parties: the MKGP, regulations in Slovenia, EU rules, reporting on state aid granted, records, annual reports and archives. On its website, the MKGP regularly publishes all the novelties regarding state aid in the field of agriculture and fisheries, and publishes all the rules governing state aid in the field of agriculture and fisheries. When using technical aid funds, Slovenia will focus on preserving a stable and experienced structure of employees, but above all, the skills of employees will be additionally enhanced by continuous training and education.</w:t>
            </w:r>
          </w:p>
        </w:tc>
      </w:tr>
      <w:tr w:rsidR="00BD3B5F" w:rsidRPr="005C3B55">
        <w:tc>
          <w:tcPr>
            <w:tcW w:w="577" w:type="pct"/>
            <w:vMerge w:val="restart"/>
            <w:shd w:val="clear" w:color="auto" w:fill="FFFFFF"/>
            <w:tcMar>
              <w:top w:w="20" w:type="dxa"/>
              <w:bottom w:w="20" w:type="dxa"/>
            </w:tcMar>
            <w:vAlign w:val="center"/>
          </w:tcPr>
          <w:p w:rsidR="00BD3B5F" w:rsidRPr="005C3B55" w:rsidRDefault="00BD3B5F">
            <w:pPr>
              <w:jc w:val="left"/>
              <w:rPr>
                <w:szCs w:val="24"/>
              </w:rPr>
            </w:pPr>
            <w:r w:rsidRPr="005C3B55">
              <w:rPr>
                <w:sz w:val="12"/>
                <w:szCs w:val="24"/>
              </w:rPr>
              <w:t>G6) Environmental legislation related to the environmental impact assessment and strategic environmental assessment: Arrangement of efficient application of EU environmental legislation relating to the environmental impact assessment and strategic environmental assessment</w:t>
            </w:r>
          </w:p>
        </w:tc>
        <w:tc>
          <w:tcPr>
            <w:tcW w:w="577" w:type="pct"/>
            <w:shd w:val="clear" w:color="auto" w:fill="FFFFFF"/>
            <w:tcMar>
              <w:top w:w="20" w:type="dxa"/>
              <w:bottom w:w="20" w:type="dxa"/>
            </w:tcMar>
            <w:vAlign w:val="center"/>
          </w:tcPr>
          <w:p w:rsidR="00BD3B5F" w:rsidRPr="005C3B55" w:rsidRDefault="00BD3B5F">
            <w:pPr>
              <w:jc w:val="left"/>
              <w:rPr>
                <w:szCs w:val="24"/>
              </w:rPr>
            </w:pPr>
            <w:r w:rsidRPr="005C3B55">
              <w:rPr>
                <w:sz w:val="12"/>
                <w:szCs w:val="24"/>
              </w:rPr>
              <w:t>G6.a) Arrangement of efficient application of Directive 2011/92/EU of the European Parliament and of the Council (EIA) and Directive 2001/42/EC of the European Parliament and of the Council (SEA)</w:t>
            </w:r>
          </w:p>
        </w:tc>
        <w:tc>
          <w:tcPr>
            <w:tcW w:w="269" w:type="pct"/>
            <w:shd w:val="clear" w:color="auto" w:fill="FFFFFF"/>
            <w:tcMar>
              <w:top w:w="20" w:type="dxa"/>
              <w:bottom w:w="20" w:type="dxa"/>
            </w:tcMar>
            <w:vAlign w:val="center"/>
          </w:tcPr>
          <w:p w:rsidR="00BD3B5F" w:rsidRPr="005C3B55" w:rsidRDefault="00BD3B5F">
            <w:pPr>
              <w:jc w:val="left"/>
              <w:rPr>
                <w:sz w:val="12"/>
                <w:szCs w:val="24"/>
              </w:rPr>
            </w:pPr>
            <w:r w:rsidRPr="005C3B55">
              <w:rPr>
                <w:noProof/>
                <w:sz w:val="12"/>
                <w:szCs w:val="24"/>
              </w:rPr>
              <w:t>Yes</w:t>
            </w:r>
          </w:p>
        </w:tc>
        <w:tc>
          <w:tcPr>
            <w:tcW w:w="3042" w:type="pct"/>
            <w:shd w:val="clear" w:color="auto" w:fill="FFFFFF"/>
            <w:tcMar>
              <w:top w:w="20" w:type="dxa"/>
              <w:bottom w:w="20" w:type="dxa"/>
            </w:tcMar>
            <w:vAlign w:val="center"/>
          </w:tcPr>
          <w:p w:rsidR="00BD3B5F" w:rsidRPr="005C3B55" w:rsidRDefault="00BD3B5F">
            <w:pPr>
              <w:spacing w:before="0" w:after="160"/>
              <w:jc w:val="left"/>
              <w:rPr>
                <w:noProof/>
                <w:szCs w:val="24"/>
              </w:rPr>
            </w:pPr>
            <w:r w:rsidRPr="005C3B55">
              <w:rPr>
                <w:sz w:val="15"/>
                <w:szCs w:val="24"/>
              </w:rPr>
              <w:t>Environmental Protection Act:</w:t>
            </w:r>
            <w:r w:rsidRPr="005C3B55">
              <w:rPr>
                <w:noProof/>
                <w:sz w:val="15"/>
                <w:szCs w:val="24"/>
              </w:rPr>
              <w:t xml:space="preserve"> http://www.pisrs.si/Pis.web/pregledPredpisa?id=ZAKO1545</w:t>
            </w:r>
          </w:p>
          <w:p w:rsidR="00BD3B5F" w:rsidRPr="005C3B55" w:rsidRDefault="00BD3B5F">
            <w:pPr>
              <w:spacing w:before="160" w:after="160"/>
              <w:jc w:val="left"/>
              <w:rPr>
                <w:noProof/>
                <w:szCs w:val="24"/>
              </w:rPr>
            </w:pPr>
            <w:r w:rsidRPr="005C3B55">
              <w:rPr>
                <w:sz w:val="15"/>
                <w:szCs w:val="24"/>
              </w:rPr>
              <w:t>Decree on environmental encroachments that require environmental impact assessments:</w:t>
            </w:r>
            <w:r w:rsidRPr="005C3B55">
              <w:rPr>
                <w:noProof/>
                <w:sz w:val="15"/>
                <w:szCs w:val="24"/>
              </w:rPr>
              <w:t xml:space="preserve"> http://www.pisrs.si/Pis.web/pregledPredpisa?id=URED6527http://www.uradni-list.si/1/objava.jsp?urlurid=20133337</w:t>
            </w:r>
          </w:p>
          <w:p w:rsidR="00BD3B5F" w:rsidRPr="005C3B55" w:rsidRDefault="00BD3B5F">
            <w:pPr>
              <w:spacing w:before="160" w:after="160"/>
              <w:jc w:val="left"/>
              <w:rPr>
                <w:noProof/>
                <w:szCs w:val="24"/>
              </w:rPr>
            </w:pPr>
            <w:r w:rsidRPr="005C3B55">
              <w:rPr>
                <w:sz w:val="15"/>
                <w:szCs w:val="24"/>
              </w:rPr>
              <w:t>Nature Conservation Act:</w:t>
            </w:r>
            <w:r w:rsidRPr="005C3B55">
              <w:rPr>
                <w:noProof/>
                <w:sz w:val="15"/>
                <w:szCs w:val="24"/>
              </w:rPr>
              <w:t xml:space="preserve">  (http://www.pisrs.si/Pis.web/pregledPredpisa?id=ZAKO1600uradno prečiščeno besedilo): http://www.uradni-list.si/1/objava.jsp?urlurid=20044233</w:t>
            </w:r>
          </w:p>
          <w:p w:rsidR="00BD3B5F" w:rsidRPr="005C3B55" w:rsidRDefault="00BD3B5F">
            <w:pPr>
              <w:spacing w:before="160" w:after="160"/>
              <w:jc w:val="left"/>
              <w:rPr>
                <w:noProof/>
                <w:szCs w:val="24"/>
              </w:rPr>
            </w:pPr>
            <w:r w:rsidRPr="005C3B55">
              <w:rPr>
                <w:sz w:val="15"/>
                <w:szCs w:val="24"/>
              </w:rPr>
              <w:t>Decree on the categories of activities for which an environmental impact assessment is mandatory:</w:t>
            </w:r>
            <w:r w:rsidRPr="005C3B55">
              <w:rPr>
                <w:noProof/>
                <w:sz w:val="15"/>
                <w:szCs w:val="24"/>
              </w:rPr>
              <w:t xml:space="preserve"> http://www.uradni-list.si/1/objava.jsp?urlurid=2013777</w:t>
            </w:r>
          </w:p>
          <w:p w:rsidR="00BD3B5F" w:rsidRPr="005C3B55" w:rsidRDefault="00BD3B5F">
            <w:pPr>
              <w:spacing w:before="160" w:after="160"/>
              <w:jc w:val="left"/>
              <w:rPr>
                <w:noProof/>
                <w:szCs w:val="24"/>
              </w:rPr>
            </w:pPr>
            <w:r w:rsidRPr="005C3B55">
              <w:rPr>
                <w:sz w:val="15"/>
                <w:szCs w:val="24"/>
              </w:rPr>
              <w:t>Decree on criteria for determining the likely significance of environmental effects of certain plans, programmes or other acts and its modifications in the environmental assessment procedure:</w:t>
            </w:r>
            <w:r w:rsidRPr="005C3B55">
              <w:rPr>
                <w:noProof/>
                <w:sz w:val="15"/>
                <w:szCs w:val="24"/>
              </w:rPr>
              <w:t xml:space="preserve"> http://www.pisrs.si/Pis.web/pregledPredpisa?id=URED5016http://www.uradni-list.si/1/objava.jsp?urlurid=2009248</w:t>
            </w:r>
          </w:p>
          <w:p w:rsidR="00BD3B5F" w:rsidRPr="005C3B55" w:rsidRDefault="00BD3B5F">
            <w:pPr>
              <w:spacing w:before="160" w:after="160"/>
              <w:jc w:val="left"/>
              <w:rPr>
                <w:noProof/>
                <w:szCs w:val="24"/>
              </w:rPr>
            </w:pPr>
            <w:r w:rsidRPr="005C3B55">
              <w:rPr>
                <w:sz w:val="15"/>
                <w:szCs w:val="24"/>
              </w:rPr>
              <w:t>Decree laying down the content of an environmental report and on detailed procedure for the assessment of the effects of certain plans and programmes on the environment:</w:t>
            </w:r>
            <w:r w:rsidRPr="005C3B55">
              <w:rPr>
                <w:noProof/>
                <w:sz w:val="15"/>
                <w:szCs w:val="24"/>
              </w:rPr>
              <w:t xml:space="preserve"> http://www.pisrs.si/Pis.web/pregledPredpisa?id=NAVO607</w:t>
            </w:r>
          </w:p>
          <w:p w:rsidR="00BD3B5F" w:rsidRPr="005C3B55" w:rsidRDefault="00BD3B5F">
            <w:pPr>
              <w:spacing w:before="150" w:after="150"/>
              <w:jc w:val="left"/>
              <w:rPr>
                <w:noProof/>
                <w:sz w:val="15"/>
                <w:szCs w:val="24"/>
              </w:rPr>
            </w:pPr>
            <w:r w:rsidRPr="005C3B55">
              <w:rPr>
                <w:noProof/>
                <w:sz w:val="15"/>
                <w:szCs w:val="24"/>
              </w:rPr>
              <w:t>http://www.uradni-list.si/1/objava.jsp?urlurid=20053253</w:t>
            </w:r>
          </w:p>
          <w:p w:rsidR="00BD3B5F" w:rsidRPr="005C3B55" w:rsidRDefault="00BD3B5F">
            <w:pPr>
              <w:spacing w:before="160" w:after="160"/>
              <w:jc w:val="left"/>
              <w:rPr>
                <w:noProof/>
                <w:szCs w:val="24"/>
              </w:rPr>
            </w:pPr>
            <w:r w:rsidRPr="005C3B55">
              <w:rPr>
                <w:sz w:val="15"/>
                <w:szCs w:val="24"/>
              </w:rPr>
              <w:t>Rules on the assessment of acceptability of impacts caused by the execution of plans and activities affecting nature in protected areas:</w:t>
            </w:r>
            <w:r w:rsidRPr="005C3B55">
              <w:rPr>
                <w:noProof/>
                <w:sz w:val="15"/>
                <w:szCs w:val="24"/>
              </w:rPr>
              <w:t xml:space="preserve"> http://www.pisrs.si/Pis.web/pregledPredpisa?id=PRAV5539http://www.uradni-list.si/1/objava.jsp?urlurid=201194</w:t>
            </w:r>
          </w:p>
          <w:p w:rsidR="00BD3B5F" w:rsidRPr="005C3B55" w:rsidRDefault="00BD3B5F">
            <w:pPr>
              <w:spacing w:before="160" w:after="160"/>
              <w:jc w:val="left"/>
              <w:rPr>
                <w:noProof/>
                <w:szCs w:val="24"/>
              </w:rPr>
            </w:pPr>
            <w:r w:rsidRPr="005C3B55">
              <w:rPr>
                <w:sz w:val="15"/>
                <w:szCs w:val="24"/>
              </w:rPr>
              <w:t>Slovenian Environment Agency:</w:t>
            </w:r>
            <w:r w:rsidRPr="005C3B55">
              <w:rPr>
                <w:noProof/>
                <w:sz w:val="15"/>
                <w:szCs w:val="24"/>
              </w:rPr>
              <w:t xml:space="preserve"> http://www.arso.gov.si/en/environmental%20protection/</w:t>
            </w:r>
          </w:p>
          <w:p w:rsidR="00BD3B5F" w:rsidRPr="005C3B55" w:rsidRDefault="00BD3B5F">
            <w:pPr>
              <w:jc w:val="left"/>
              <w:rPr>
                <w:sz w:val="12"/>
                <w:szCs w:val="24"/>
              </w:rPr>
            </w:pPr>
          </w:p>
        </w:tc>
        <w:tc>
          <w:tcPr>
            <w:tcW w:w="536" w:type="pct"/>
            <w:shd w:val="clear" w:color="auto" w:fill="FFFFFF"/>
            <w:tcMar>
              <w:top w:w="20" w:type="dxa"/>
              <w:bottom w:w="20" w:type="dxa"/>
            </w:tcMar>
            <w:vAlign w:val="center"/>
          </w:tcPr>
          <w:p w:rsidR="00BD3B5F" w:rsidRPr="005C3B55" w:rsidRDefault="00BD3B5F">
            <w:pPr>
              <w:jc w:val="left"/>
              <w:rPr>
                <w:sz w:val="12"/>
                <w:szCs w:val="24"/>
              </w:rPr>
            </w:pPr>
            <w:r w:rsidRPr="005C3B55">
              <w:rPr>
                <w:sz w:val="12"/>
                <w:szCs w:val="24"/>
              </w:rPr>
              <w:t>The SEA Directive and EIA Directive are transposed by the revised Environmental Protection Act (Article 40 and further articles) (Official Gazette of the Republic of Slovenia, no. 41/2004).</w:t>
            </w:r>
          </w:p>
          <w:p w:rsidR="00BD3B5F" w:rsidRPr="005C3B55" w:rsidRDefault="00BD3B5F">
            <w:pPr>
              <w:jc w:val="left"/>
              <w:rPr>
                <w:szCs w:val="24"/>
              </w:rPr>
            </w:pPr>
            <w:r w:rsidRPr="005C3B55">
              <w:rPr>
                <w:sz w:val="12"/>
                <w:szCs w:val="24"/>
              </w:rPr>
              <w:t>The Decree on the categories of activities for which an environmental impact assessment is mandatory was adopted by the Government of the Republic of Slovenia on 4 July 2014 (Official Gazette of the Republic of Slovenia, no. 51/2014). Decree on criteria for determining the likely significance of environmental effects of certain plans, programmes or other acts and its modifications in the environmental assessment procedure (Official Gazette of the Republic of Slovenia, no. 9/2009).</w:t>
            </w:r>
          </w:p>
          <w:p w:rsidR="00BD3B5F" w:rsidRPr="005C3B55" w:rsidRDefault="00BD3B5F">
            <w:pPr>
              <w:jc w:val="left"/>
              <w:rPr>
                <w:szCs w:val="24"/>
              </w:rPr>
            </w:pPr>
            <w:r w:rsidRPr="005C3B55">
              <w:rPr>
                <w:sz w:val="12"/>
                <w:szCs w:val="24"/>
              </w:rPr>
              <w:t xml:space="preserve">A suitable assessment pursuant to Article 6 of the Habitats Directive regarding SEA/EIA has been implemented in the Nature Conservation Act (ZON) (Official Gazette of the Republic of Slovenia, no. 96/2004). </w:t>
            </w:r>
          </w:p>
          <w:p w:rsidR="00BD3B5F" w:rsidRPr="005C3B55" w:rsidRDefault="00BD3B5F">
            <w:pPr>
              <w:jc w:val="left"/>
              <w:rPr>
                <w:szCs w:val="24"/>
              </w:rPr>
            </w:pPr>
            <w:r w:rsidRPr="005C3B55">
              <w:rPr>
                <w:sz w:val="12"/>
                <w:szCs w:val="24"/>
              </w:rPr>
              <w:t xml:space="preserve">The Rules on the assessment of acceptability of impacts caused by the execution of plans and activities affecting nature in protected areas (Official Gazette of the Republic of Slovenia, nos. 130/2004, 53/2006, 38/2010, 3/2011) were adopted. </w:t>
            </w:r>
          </w:p>
          <w:p w:rsidR="00BD3B5F" w:rsidRPr="005C3B55" w:rsidRDefault="00BD3B5F">
            <w:pPr>
              <w:jc w:val="left"/>
              <w:rPr>
                <w:szCs w:val="24"/>
              </w:rPr>
            </w:pPr>
            <w:r w:rsidRPr="005C3B55">
              <w:rPr>
                <w:sz w:val="12"/>
                <w:szCs w:val="24"/>
              </w:rPr>
              <w:t>Arrangements for ensuring high-quality information used in environmental impact assessment procedure are in place: the Slovenian Environment Agency is the authority responsible for verification.</w:t>
            </w:r>
          </w:p>
          <w:p w:rsidR="00BD3B5F" w:rsidRPr="005C3B55" w:rsidRDefault="00BD3B5F">
            <w:pPr>
              <w:jc w:val="left"/>
              <w:rPr>
                <w:szCs w:val="24"/>
              </w:rPr>
            </w:pPr>
            <w:r w:rsidRPr="005C3B55">
              <w:rPr>
                <w:sz w:val="12"/>
                <w:szCs w:val="24"/>
              </w:rPr>
              <w:t xml:space="preserve">Competent technical experts verify the documentation related to the EIA. </w:t>
            </w:r>
          </w:p>
          <w:p w:rsidR="00BD3B5F" w:rsidRPr="005C3B55" w:rsidRDefault="00BD3B5F">
            <w:pPr>
              <w:jc w:val="left"/>
              <w:rPr>
                <w:szCs w:val="24"/>
              </w:rPr>
            </w:pPr>
            <w:r w:rsidRPr="005C3B55">
              <w:rPr>
                <w:sz w:val="12"/>
                <w:szCs w:val="24"/>
              </w:rPr>
              <w:t xml:space="preserve">Arrangements for early and efficient opportunities offered to the public to participate in environmental decisions have been adopted, and the EIA reports are available to the public for comments on the website. </w:t>
            </w:r>
          </w:p>
          <w:p w:rsidR="00BD3B5F" w:rsidRPr="005C3B55" w:rsidRDefault="00BD3B5F">
            <w:pPr>
              <w:jc w:val="left"/>
              <w:rPr>
                <w:szCs w:val="24"/>
              </w:rPr>
            </w:pPr>
            <w:r w:rsidRPr="005C3B55">
              <w:rPr>
                <w:sz w:val="12"/>
                <w:szCs w:val="24"/>
              </w:rPr>
              <w:t xml:space="preserve">Arrangements for ensuring high-quality data used in the EIA procedure are in place: the Slovenian Environment Agency is the authority responsible for verification. </w:t>
            </w:r>
          </w:p>
          <w:p w:rsidR="00BD3B5F" w:rsidRPr="005C3B55" w:rsidRDefault="00BD3B5F">
            <w:pPr>
              <w:jc w:val="left"/>
              <w:rPr>
                <w:szCs w:val="24"/>
              </w:rPr>
            </w:pPr>
            <w:r w:rsidRPr="005C3B55">
              <w:rPr>
                <w:sz w:val="12"/>
                <w:szCs w:val="24"/>
              </w:rPr>
              <w:t>The valid act is the audited Environmental Protection Act:  Article 37 (SEA – programmes and plans), Article 40 (SEA – plans) and Article 58 (EIA).</w:t>
            </w:r>
          </w:p>
          <w:p w:rsidR="00BD3B5F" w:rsidRPr="005C3B55" w:rsidRDefault="00BD3B5F">
            <w:pPr>
              <w:jc w:val="left"/>
              <w:rPr>
                <w:sz w:val="12"/>
                <w:szCs w:val="24"/>
              </w:rPr>
            </w:pPr>
          </w:p>
        </w:tc>
      </w:tr>
      <w:tr w:rsidR="00BD3B5F" w:rsidRPr="005C3B55">
        <w:tc>
          <w:tcPr>
            <w:tcW w:w="577" w:type="pct"/>
            <w:vMerge/>
            <w:shd w:val="clear" w:color="auto" w:fill="FFFFFF"/>
            <w:tcMar>
              <w:top w:w="20" w:type="dxa"/>
              <w:bottom w:w="20" w:type="dxa"/>
            </w:tcMar>
            <w:vAlign w:val="center"/>
          </w:tcPr>
          <w:p w:rsidR="00BD3B5F" w:rsidRPr="005C3B55" w:rsidRDefault="00BD3B5F">
            <w:pPr>
              <w:jc w:val="left"/>
              <w:rPr>
                <w:sz w:val="12"/>
                <w:szCs w:val="24"/>
              </w:rPr>
            </w:pPr>
          </w:p>
        </w:tc>
        <w:tc>
          <w:tcPr>
            <w:tcW w:w="577" w:type="pct"/>
            <w:shd w:val="clear" w:color="auto" w:fill="FFFFFF"/>
            <w:tcMar>
              <w:top w:w="20" w:type="dxa"/>
              <w:bottom w:w="20" w:type="dxa"/>
            </w:tcMar>
            <w:vAlign w:val="center"/>
          </w:tcPr>
          <w:p w:rsidR="00BD3B5F" w:rsidRPr="005C3B55" w:rsidRDefault="00BD3B5F">
            <w:pPr>
              <w:jc w:val="left"/>
              <w:rPr>
                <w:szCs w:val="24"/>
              </w:rPr>
            </w:pPr>
            <w:r w:rsidRPr="005C3B55">
              <w:rPr>
                <w:sz w:val="12"/>
                <w:szCs w:val="24"/>
              </w:rPr>
              <w:t>G6.b) Arrangement of training of, and providing information to, staff included in the implementation of the EIA and SEA directives</w:t>
            </w:r>
          </w:p>
        </w:tc>
        <w:tc>
          <w:tcPr>
            <w:tcW w:w="269" w:type="pct"/>
            <w:shd w:val="clear" w:color="auto" w:fill="FFFFFF"/>
            <w:tcMar>
              <w:top w:w="20" w:type="dxa"/>
              <w:bottom w:w="20" w:type="dxa"/>
            </w:tcMar>
            <w:vAlign w:val="center"/>
          </w:tcPr>
          <w:p w:rsidR="00BD3B5F" w:rsidRPr="005C3B55" w:rsidRDefault="00BD3B5F">
            <w:pPr>
              <w:jc w:val="left"/>
              <w:rPr>
                <w:sz w:val="12"/>
                <w:szCs w:val="24"/>
              </w:rPr>
            </w:pPr>
            <w:r w:rsidRPr="005C3B55">
              <w:rPr>
                <w:noProof/>
                <w:sz w:val="12"/>
                <w:szCs w:val="24"/>
              </w:rPr>
              <w:t>No</w:t>
            </w:r>
          </w:p>
        </w:tc>
        <w:tc>
          <w:tcPr>
            <w:tcW w:w="3042" w:type="pct"/>
            <w:shd w:val="clear" w:color="auto" w:fill="FFFFFF"/>
            <w:tcMar>
              <w:top w:w="20" w:type="dxa"/>
              <w:bottom w:w="20" w:type="dxa"/>
            </w:tcMar>
            <w:vAlign w:val="center"/>
          </w:tcPr>
          <w:p w:rsidR="00BD3B5F" w:rsidRPr="005C3B55" w:rsidRDefault="00BD3B5F">
            <w:pPr>
              <w:spacing w:before="0" w:after="150"/>
              <w:jc w:val="left"/>
              <w:rPr>
                <w:noProof/>
                <w:sz w:val="15"/>
                <w:szCs w:val="24"/>
              </w:rPr>
            </w:pPr>
            <w:r w:rsidRPr="005C3B55">
              <w:rPr>
                <w:noProof/>
                <w:sz w:val="15"/>
                <w:szCs w:val="24"/>
              </w:rPr>
              <w:t>http://www.mko.gov.si/si/delovna_podrocja/presoje_vplivov_na_okolje/celovita_presoja_vplivov_na_okolje/</w:t>
            </w:r>
          </w:p>
          <w:p w:rsidR="00BD3B5F" w:rsidRPr="005C3B55" w:rsidRDefault="00BD3B5F">
            <w:pPr>
              <w:jc w:val="left"/>
              <w:rPr>
                <w:sz w:val="12"/>
                <w:szCs w:val="24"/>
              </w:rPr>
            </w:pPr>
          </w:p>
        </w:tc>
        <w:tc>
          <w:tcPr>
            <w:tcW w:w="536" w:type="pct"/>
            <w:shd w:val="clear" w:color="auto" w:fill="FFFFFF"/>
            <w:tcMar>
              <w:top w:w="20" w:type="dxa"/>
              <w:bottom w:w="20" w:type="dxa"/>
            </w:tcMar>
            <w:vAlign w:val="center"/>
          </w:tcPr>
          <w:p w:rsidR="00BD3B5F" w:rsidRPr="005C3B55" w:rsidRDefault="00BD3B5F">
            <w:pPr>
              <w:jc w:val="left"/>
              <w:rPr>
                <w:szCs w:val="24"/>
              </w:rPr>
            </w:pPr>
            <w:r w:rsidRPr="005C3B55">
              <w:rPr>
                <w:sz w:val="12"/>
                <w:szCs w:val="24"/>
              </w:rPr>
              <w:t xml:space="preserve">The European Commission workshop has been implemented for all authorities participating in the EIA/SEA assessments on habitats. </w:t>
            </w:r>
          </w:p>
          <w:p w:rsidR="00BD3B5F" w:rsidRPr="005C3B55" w:rsidRDefault="00BD3B5F">
            <w:pPr>
              <w:jc w:val="left"/>
              <w:rPr>
                <w:szCs w:val="24"/>
              </w:rPr>
            </w:pPr>
            <w:r w:rsidRPr="005C3B55">
              <w:rPr>
                <w:sz w:val="12"/>
                <w:szCs w:val="24"/>
              </w:rPr>
              <w:t xml:space="preserve">The information exchange system for all staff participating in the SEA/EIA for the implementation of ESI funds is provided by means of meetings, website, news and workshops. </w:t>
            </w:r>
          </w:p>
          <w:p w:rsidR="00BD3B5F" w:rsidRPr="005C3B55" w:rsidRDefault="00BD3B5F">
            <w:pPr>
              <w:jc w:val="left"/>
              <w:rPr>
                <w:sz w:val="12"/>
                <w:szCs w:val="24"/>
              </w:rPr>
            </w:pPr>
            <w:r w:rsidRPr="005C3B55">
              <w:rPr>
                <w:noProof/>
                <w:sz w:val="12"/>
                <w:szCs w:val="24"/>
              </w:rPr>
              <w:t>b.)</w:t>
            </w:r>
            <w:r w:rsidRPr="005C3B55">
              <w:rPr>
                <w:sz w:val="12"/>
                <w:szCs w:val="24"/>
              </w:rPr>
              <w:t xml:space="preserve"> to realise the EIA requirements and prepare a suitable assessment </w:t>
            </w:r>
          </w:p>
          <w:p w:rsidR="00BD3B5F" w:rsidRPr="005C3B55" w:rsidRDefault="00BD3B5F">
            <w:pPr>
              <w:jc w:val="left"/>
              <w:rPr>
                <w:sz w:val="12"/>
                <w:szCs w:val="24"/>
              </w:rPr>
            </w:pPr>
          </w:p>
          <w:p w:rsidR="00BD3B5F" w:rsidRPr="005C3B55" w:rsidRDefault="00BD3B5F">
            <w:pPr>
              <w:jc w:val="left"/>
              <w:rPr>
                <w:szCs w:val="24"/>
              </w:rPr>
            </w:pPr>
            <w:r w:rsidRPr="005C3B55">
              <w:rPr>
                <w:sz w:val="12"/>
                <w:szCs w:val="24"/>
              </w:rPr>
              <w:t xml:space="preserve">Slovenia will prepare a three-year programme of training and systematic allocation, i.e. the MKGP and the Environment will prepare a three-year action plan with measures to improve knowledge for line ministries, organisations, local communities, environmental experts and non-governmental organisations: </w:t>
            </w:r>
          </w:p>
          <w:p w:rsidR="00BD3B5F" w:rsidRPr="005C3B55" w:rsidRDefault="00BD3B5F">
            <w:pPr>
              <w:jc w:val="left"/>
              <w:rPr>
                <w:sz w:val="12"/>
                <w:szCs w:val="24"/>
              </w:rPr>
            </w:pPr>
            <w:r w:rsidRPr="005C3B55">
              <w:rPr>
                <w:noProof/>
                <w:sz w:val="12"/>
                <w:szCs w:val="24"/>
              </w:rPr>
              <w:t>a.)</w:t>
            </w:r>
            <w:r w:rsidRPr="005C3B55">
              <w:rPr>
                <w:sz w:val="12"/>
                <w:szCs w:val="24"/>
              </w:rPr>
              <w:t xml:space="preserve"> to realise the SEA requirements and prepare a suitable assessment </w:t>
            </w:r>
          </w:p>
          <w:p w:rsidR="00BD3B5F" w:rsidRPr="005C3B55" w:rsidRDefault="00BD3B5F">
            <w:pPr>
              <w:jc w:val="left"/>
              <w:rPr>
                <w:szCs w:val="24"/>
              </w:rPr>
            </w:pPr>
            <w:r w:rsidRPr="005C3B55">
              <w:rPr>
                <w:noProof/>
                <w:sz w:val="12"/>
                <w:szCs w:val="24"/>
              </w:rPr>
              <w:t>b.)</w:t>
            </w:r>
            <w:r w:rsidRPr="005C3B55">
              <w:rPr>
                <w:sz w:val="12"/>
                <w:szCs w:val="24"/>
              </w:rPr>
              <w:t xml:space="preserve"> to realise the EIA requirements and prepare a suitable assessment </w:t>
            </w:r>
          </w:p>
        </w:tc>
      </w:tr>
      <w:tr w:rsidR="00BD3B5F" w:rsidRPr="005C3B55">
        <w:tc>
          <w:tcPr>
            <w:tcW w:w="577" w:type="pct"/>
            <w:vMerge/>
            <w:shd w:val="clear" w:color="auto" w:fill="FFFFFF"/>
            <w:tcMar>
              <w:top w:w="20" w:type="dxa"/>
              <w:bottom w:w="20" w:type="dxa"/>
            </w:tcMar>
            <w:vAlign w:val="center"/>
          </w:tcPr>
          <w:p w:rsidR="00BD3B5F" w:rsidRPr="005C3B55" w:rsidRDefault="00BD3B5F">
            <w:pPr>
              <w:jc w:val="left"/>
              <w:rPr>
                <w:sz w:val="12"/>
                <w:szCs w:val="24"/>
              </w:rPr>
            </w:pPr>
          </w:p>
        </w:tc>
        <w:tc>
          <w:tcPr>
            <w:tcW w:w="577" w:type="pct"/>
            <w:shd w:val="clear" w:color="auto" w:fill="FFFFFF"/>
            <w:tcMar>
              <w:top w:w="20" w:type="dxa"/>
              <w:bottom w:w="20" w:type="dxa"/>
            </w:tcMar>
            <w:vAlign w:val="center"/>
          </w:tcPr>
          <w:p w:rsidR="00BD3B5F" w:rsidRPr="005C3B55" w:rsidRDefault="00BD3B5F">
            <w:pPr>
              <w:jc w:val="left"/>
              <w:rPr>
                <w:szCs w:val="24"/>
              </w:rPr>
            </w:pPr>
            <w:r w:rsidRPr="005C3B55">
              <w:rPr>
                <w:sz w:val="12"/>
                <w:szCs w:val="24"/>
              </w:rPr>
              <w:t>G6.c) Arrangement ensuring sufficient administrative capacity</w:t>
            </w:r>
          </w:p>
        </w:tc>
        <w:tc>
          <w:tcPr>
            <w:tcW w:w="269" w:type="pct"/>
            <w:shd w:val="clear" w:color="auto" w:fill="FFFFFF"/>
            <w:tcMar>
              <w:top w:w="20" w:type="dxa"/>
              <w:bottom w:w="20" w:type="dxa"/>
            </w:tcMar>
            <w:vAlign w:val="center"/>
          </w:tcPr>
          <w:p w:rsidR="00BD3B5F" w:rsidRPr="005C3B55" w:rsidRDefault="00BD3B5F">
            <w:pPr>
              <w:jc w:val="left"/>
              <w:rPr>
                <w:sz w:val="12"/>
                <w:szCs w:val="24"/>
              </w:rPr>
            </w:pPr>
            <w:r w:rsidRPr="005C3B55">
              <w:rPr>
                <w:noProof/>
                <w:sz w:val="12"/>
                <w:szCs w:val="24"/>
              </w:rPr>
              <w:t>No</w:t>
            </w:r>
          </w:p>
        </w:tc>
        <w:tc>
          <w:tcPr>
            <w:tcW w:w="3042" w:type="pct"/>
            <w:shd w:val="clear" w:color="auto" w:fill="FFFFFF"/>
            <w:tcMar>
              <w:top w:w="20" w:type="dxa"/>
              <w:bottom w:w="20" w:type="dxa"/>
            </w:tcMar>
            <w:vAlign w:val="center"/>
          </w:tcPr>
          <w:p w:rsidR="00BD3B5F" w:rsidRPr="005C3B55" w:rsidRDefault="00BD3B5F">
            <w:pPr>
              <w:spacing w:before="0" w:after="150"/>
              <w:jc w:val="left"/>
              <w:rPr>
                <w:noProof/>
                <w:sz w:val="15"/>
                <w:szCs w:val="24"/>
              </w:rPr>
            </w:pPr>
            <w:r w:rsidRPr="005C3B55">
              <w:rPr>
                <w:noProof/>
                <w:sz w:val="15"/>
                <w:szCs w:val="24"/>
              </w:rPr>
              <w:t>http://www.mko.gov.si/si/delovna_podrocja/presoje_vplivov_na_okolje/celovita_presoja_vplivov_na_okolje/</w:t>
            </w:r>
          </w:p>
          <w:p w:rsidR="00BD3B5F" w:rsidRPr="005C3B55" w:rsidRDefault="00BD3B5F">
            <w:pPr>
              <w:spacing w:before="150" w:after="150"/>
              <w:jc w:val="left"/>
              <w:rPr>
                <w:noProof/>
                <w:sz w:val="15"/>
                <w:szCs w:val="24"/>
              </w:rPr>
            </w:pPr>
            <w:r w:rsidRPr="005C3B55">
              <w:rPr>
                <w:noProof/>
                <w:sz w:val="15"/>
                <w:szCs w:val="24"/>
              </w:rPr>
              <w:t>http://www.mko.gov.si/si/delovna_podrocja/presoja_vplivov_na_okolje/cezmejna_presoja_vplivov_na_okolje/</w:t>
            </w:r>
          </w:p>
          <w:p w:rsidR="00BD3B5F" w:rsidRPr="005C3B55" w:rsidRDefault="00BD3B5F">
            <w:pPr>
              <w:spacing w:before="150" w:after="150"/>
              <w:jc w:val="left"/>
              <w:rPr>
                <w:noProof/>
                <w:sz w:val="15"/>
                <w:szCs w:val="24"/>
              </w:rPr>
            </w:pPr>
            <w:r w:rsidRPr="005C3B55">
              <w:rPr>
                <w:noProof/>
                <w:sz w:val="15"/>
                <w:szCs w:val="24"/>
              </w:rPr>
              <w:t>http://www.mko.gov.si/si/delovna_podrocja/presoje_vplivov_na_okolje/celovita_presoja_vplivov_na_okolje/</w:t>
            </w:r>
          </w:p>
          <w:p w:rsidR="00BD3B5F" w:rsidRPr="005C3B55" w:rsidRDefault="00BD3B5F">
            <w:pPr>
              <w:spacing w:before="150" w:after="150"/>
              <w:jc w:val="left"/>
              <w:rPr>
                <w:noProof/>
                <w:sz w:val="15"/>
                <w:szCs w:val="24"/>
              </w:rPr>
            </w:pPr>
            <w:r w:rsidRPr="005C3B55">
              <w:rPr>
                <w:noProof/>
                <w:sz w:val="15"/>
                <w:szCs w:val="24"/>
              </w:rPr>
              <w:t>http://www.mko.gov.si/si/delovna_podrocja/presoja_vplivov_na_okolje/cezmejna_presoja_vplivov_na_okolje/</w:t>
            </w:r>
          </w:p>
          <w:p w:rsidR="00BD3B5F" w:rsidRPr="005C3B55" w:rsidRDefault="00BD3B5F">
            <w:pPr>
              <w:jc w:val="left"/>
              <w:rPr>
                <w:sz w:val="12"/>
                <w:szCs w:val="24"/>
              </w:rPr>
            </w:pPr>
          </w:p>
        </w:tc>
        <w:tc>
          <w:tcPr>
            <w:tcW w:w="536" w:type="pct"/>
            <w:shd w:val="clear" w:color="auto" w:fill="FFFFFF"/>
            <w:tcMar>
              <w:top w:w="20" w:type="dxa"/>
              <w:bottom w:w="20" w:type="dxa"/>
            </w:tcMar>
            <w:vAlign w:val="center"/>
          </w:tcPr>
          <w:p w:rsidR="00BD3B5F" w:rsidRPr="005C3B55" w:rsidRDefault="00BD3B5F">
            <w:pPr>
              <w:jc w:val="left"/>
              <w:rPr>
                <w:szCs w:val="24"/>
              </w:rPr>
            </w:pPr>
            <w:r w:rsidRPr="005C3B55">
              <w:rPr>
                <w:sz w:val="12"/>
                <w:szCs w:val="24"/>
              </w:rPr>
              <w:t xml:space="preserve">Specialised authorities: SEA (Ministry of the Environment and Spatial Planning - MOP); EIA (Slovenian Environment Agency) with a suitable number of qualified employees who advise on the application of the SEA and EIA directives, and related directives. </w:t>
            </w:r>
          </w:p>
          <w:p w:rsidR="00BD3B5F" w:rsidRPr="005C3B55" w:rsidRDefault="00BD3B5F">
            <w:pPr>
              <w:jc w:val="left"/>
              <w:rPr>
                <w:szCs w:val="24"/>
              </w:rPr>
            </w:pPr>
            <w:r w:rsidRPr="005C3B55">
              <w:rPr>
                <w:sz w:val="12"/>
                <w:szCs w:val="24"/>
              </w:rPr>
              <w:t xml:space="preserve">Nine experts are employed at the SEA expert unit and five at the EIA expert unit, which ensures sufficient administrative capacity. The staff are qualified and experienced in the SEA/EIA field, and suitably qualified in the field of spatial planning, geography, landscape architecture and biology, and with certain knowledge in the field of waters and climate change. </w:t>
            </w:r>
          </w:p>
          <w:p w:rsidR="00BD3B5F" w:rsidRPr="005C3B55" w:rsidRDefault="00BD3B5F">
            <w:pPr>
              <w:jc w:val="left"/>
              <w:rPr>
                <w:szCs w:val="24"/>
              </w:rPr>
            </w:pPr>
            <w:r w:rsidRPr="005C3B55">
              <w:rPr>
                <w:sz w:val="12"/>
                <w:szCs w:val="24"/>
              </w:rPr>
              <w:t>EU guidelines apply to the implementation of the EIA/SEA directives and suitable assessments. Translations of all guidelines are available on the website.</w:t>
            </w:r>
          </w:p>
          <w:p w:rsidR="00BD3B5F" w:rsidRPr="005C3B55" w:rsidRDefault="00BD3B5F">
            <w:pPr>
              <w:jc w:val="left"/>
              <w:rPr>
                <w:sz w:val="12"/>
                <w:szCs w:val="24"/>
              </w:rPr>
            </w:pPr>
            <w:r w:rsidRPr="005C3B55">
              <w:rPr>
                <w:sz w:val="12"/>
                <w:szCs w:val="24"/>
              </w:rPr>
              <w:t>The relevant bodies and experts are informed on the guidelines at meetings.</w:t>
            </w:r>
          </w:p>
          <w:p w:rsidR="00BD3B5F" w:rsidRPr="005C3B55" w:rsidRDefault="00BD3B5F">
            <w:pPr>
              <w:jc w:val="left"/>
              <w:rPr>
                <w:szCs w:val="24"/>
              </w:rPr>
            </w:pPr>
            <w:r w:rsidRPr="005C3B55">
              <w:rPr>
                <w:sz w:val="12"/>
                <w:szCs w:val="24"/>
              </w:rPr>
              <w:t>An action plan has been prepared to fulfil the criterion. Slovenia will prepare a three-year programme of training and systematic allocation, i.e. the MOP will prepare a three-year action plan with measures to improve knowledge for line ministries, organisations, local communities, environmental experts and non-governmental organisations:</w:t>
            </w:r>
          </w:p>
          <w:p w:rsidR="00BD3B5F" w:rsidRPr="005C3B55" w:rsidRDefault="00BD3B5F">
            <w:pPr>
              <w:jc w:val="left"/>
              <w:rPr>
                <w:sz w:val="12"/>
                <w:szCs w:val="24"/>
              </w:rPr>
            </w:pPr>
            <w:r w:rsidRPr="005C3B55">
              <w:rPr>
                <w:noProof/>
                <w:sz w:val="12"/>
                <w:szCs w:val="24"/>
              </w:rPr>
              <w:t>a.)</w:t>
            </w:r>
            <w:r w:rsidRPr="005C3B55">
              <w:rPr>
                <w:sz w:val="12"/>
                <w:szCs w:val="24"/>
              </w:rPr>
              <w:t xml:space="preserve"> to realise the SEA requirements and prepare a suitable assessment</w:t>
            </w:r>
          </w:p>
          <w:p w:rsidR="00BD3B5F" w:rsidRPr="005C3B55" w:rsidRDefault="00BD3B5F">
            <w:pPr>
              <w:jc w:val="left"/>
              <w:rPr>
                <w:sz w:val="12"/>
                <w:szCs w:val="24"/>
              </w:rPr>
            </w:pPr>
            <w:r w:rsidRPr="005C3B55">
              <w:rPr>
                <w:noProof/>
                <w:sz w:val="12"/>
                <w:szCs w:val="24"/>
              </w:rPr>
              <w:t>b.)</w:t>
            </w:r>
            <w:r w:rsidRPr="005C3B55">
              <w:rPr>
                <w:sz w:val="12"/>
                <w:szCs w:val="24"/>
              </w:rPr>
              <w:t xml:space="preserve"> to realise the EIA requirements and prepare a suitable assessment</w:t>
            </w:r>
          </w:p>
          <w:p w:rsidR="00BD3B5F" w:rsidRPr="005C3B55" w:rsidRDefault="00BD3B5F">
            <w:pPr>
              <w:jc w:val="left"/>
              <w:rPr>
                <w:sz w:val="12"/>
                <w:szCs w:val="24"/>
              </w:rPr>
            </w:pPr>
            <w:r w:rsidRPr="005C3B55">
              <w:rPr>
                <w:sz w:val="12"/>
                <w:szCs w:val="24"/>
              </w:rPr>
              <w:t>The action plan is being prepared and harmonised with Jaspers.</w:t>
            </w:r>
          </w:p>
          <w:p w:rsidR="00BD3B5F" w:rsidRPr="005C3B55" w:rsidRDefault="00BD3B5F">
            <w:pPr>
              <w:jc w:val="left"/>
              <w:rPr>
                <w:sz w:val="12"/>
                <w:szCs w:val="24"/>
              </w:rPr>
            </w:pPr>
          </w:p>
        </w:tc>
      </w:tr>
      <w:tr w:rsidR="00BD3B5F" w:rsidRPr="005C3B55">
        <w:tc>
          <w:tcPr>
            <w:tcW w:w="577" w:type="pct"/>
            <w:vMerge w:val="restart"/>
            <w:shd w:val="clear" w:color="auto" w:fill="FFFFFF"/>
            <w:tcMar>
              <w:top w:w="20" w:type="dxa"/>
              <w:bottom w:w="20" w:type="dxa"/>
            </w:tcMar>
            <w:vAlign w:val="center"/>
          </w:tcPr>
          <w:p w:rsidR="00BD3B5F" w:rsidRPr="005C3B55" w:rsidRDefault="00BD3B5F">
            <w:pPr>
              <w:jc w:val="left"/>
              <w:rPr>
                <w:szCs w:val="24"/>
              </w:rPr>
            </w:pPr>
            <w:r w:rsidRPr="005C3B55">
              <w:rPr>
                <w:sz w:val="12"/>
                <w:szCs w:val="24"/>
              </w:rPr>
              <w:t>G7) Statistical systems and result indicators: Application of necessary statistical basis for implementing an evaluation of the effectiveness and impact of programmes. The existence of a result indicator system necessary for the selection of measures which contribute most to the desired result, for monitoring progress in attaining results and implementing impact assessment.</w:t>
            </w:r>
          </w:p>
        </w:tc>
        <w:tc>
          <w:tcPr>
            <w:tcW w:w="577" w:type="pct"/>
            <w:shd w:val="clear" w:color="auto" w:fill="FFFFFF"/>
            <w:tcMar>
              <w:top w:w="20" w:type="dxa"/>
              <w:bottom w:w="20" w:type="dxa"/>
            </w:tcMar>
            <w:vAlign w:val="center"/>
          </w:tcPr>
          <w:p w:rsidR="00BD3B5F" w:rsidRPr="005C3B55" w:rsidRDefault="00BD3B5F">
            <w:pPr>
              <w:jc w:val="left"/>
              <w:rPr>
                <w:szCs w:val="24"/>
              </w:rPr>
            </w:pPr>
            <w:r w:rsidRPr="005C3B55">
              <w:rPr>
                <w:sz w:val="12"/>
                <w:szCs w:val="24"/>
              </w:rPr>
              <w:t>G7.a) Arrangement of timely collection and aggregation of statistical data with the following elements: identification of sources and mechanisms to ensure statistical validation</w:t>
            </w:r>
          </w:p>
        </w:tc>
        <w:tc>
          <w:tcPr>
            <w:tcW w:w="269" w:type="pct"/>
            <w:shd w:val="clear" w:color="auto" w:fill="FFFFFF"/>
            <w:tcMar>
              <w:top w:w="20" w:type="dxa"/>
              <w:bottom w:w="20" w:type="dxa"/>
            </w:tcMar>
            <w:vAlign w:val="center"/>
          </w:tcPr>
          <w:p w:rsidR="00BD3B5F" w:rsidRPr="005C3B55" w:rsidRDefault="00BD3B5F">
            <w:pPr>
              <w:jc w:val="left"/>
              <w:rPr>
                <w:sz w:val="12"/>
                <w:szCs w:val="24"/>
              </w:rPr>
            </w:pPr>
            <w:r w:rsidRPr="005C3B55">
              <w:rPr>
                <w:noProof/>
                <w:sz w:val="12"/>
                <w:szCs w:val="24"/>
              </w:rPr>
              <w:t>Yes</w:t>
            </w:r>
          </w:p>
        </w:tc>
        <w:tc>
          <w:tcPr>
            <w:tcW w:w="3042" w:type="pct"/>
            <w:shd w:val="clear" w:color="auto" w:fill="FFFFFF"/>
            <w:tcMar>
              <w:top w:w="20" w:type="dxa"/>
              <w:bottom w:w="20" w:type="dxa"/>
            </w:tcMar>
            <w:vAlign w:val="center"/>
          </w:tcPr>
          <w:p w:rsidR="00BD3B5F" w:rsidRPr="005C3B55" w:rsidRDefault="00BD3B5F">
            <w:pPr>
              <w:spacing w:before="0" w:after="160"/>
              <w:jc w:val="left"/>
              <w:rPr>
                <w:noProof/>
                <w:sz w:val="15"/>
                <w:szCs w:val="24"/>
              </w:rPr>
            </w:pPr>
            <w:r w:rsidRPr="005C3B55">
              <w:rPr>
                <w:sz w:val="15"/>
                <w:szCs w:val="24"/>
              </w:rPr>
              <w:t>Common monitoring and evaluation system – CMES</w:t>
            </w:r>
          </w:p>
          <w:p w:rsidR="00BD3B5F" w:rsidRPr="005C3B55" w:rsidRDefault="00BD3B5F">
            <w:pPr>
              <w:jc w:val="left"/>
              <w:rPr>
                <w:sz w:val="12"/>
                <w:szCs w:val="24"/>
              </w:rPr>
            </w:pPr>
          </w:p>
        </w:tc>
        <w:tc>
          <w:tcPr>
            <w:tcW w:w="536" w:type="pct"/>
            <w:shd w:val="clear" w:color="auto" w:fill="FFFFFF"/>
            <w:tcMar>
              <w:top w:w="20" w:type="dxa"/>
              <w:bottom w:w="20" w:type="dxa"/>
            </w:tcMar>
            <w:vAlign w:val="center"/>
          </w:tcPr>
          <w:p w:rsidR="00BD3B5F" w:rsidRPr="005C3B55" w:rsidRDefault="00BD3B5F">
            <w:pPr>
              <w:jc w:val="left"/>
              <w:rPr>
                <w:szCs w:val="24"/>
              </w:rPr>
            </w:pPr>
            <w:r w:rsidRPr="005C3B55">
              <w:rPr>
                <w:sz w:val="12"/>
                <w:szCs w:val="24"/>
              </w:rPr>
              <w:t>Ex-ante conditionality has been completely fulfilled, since for the evaluation of the effectiveness and impact of the RDP, a common monitoring and evaluation system – CMES – is used, which was prepared in cooperation between the European Commission and Member States, and adopted by the Commission with Implementing Regulation (EU) No 808/2014.</w:t>
            </w:r>
          </w:p>
        </w:tc>
      </w:tr>
      <w:tr w:rsidR="00BD3B5F" w:rsidRPr="005C3B55">
        <w:tc>
          <w:tcPr>
            <w:tcW w:w="577" w:type="pct"/>
            <w:vMerge/>
            <w:shd w:val="clear" w:color="auto" w:fill="FFFFFF"/>
            <w:tcMar>
              <w:top w:w="20" w:type="dxa"/>
              <w:bottom w:w="20" w:type="dxa"/>
            </w:tcMar>
            <w:vAlign w:val="center"/>
          </w:tcPr>
          <w:p w:rsidR="00BD3B5F" w:rsidRPr="005C3B55" w:rsidRDefault="00BD3B5F">
            <w:pPr>
              <w:jc w:val="left"/>
              <w:rPr>
                <w:sz w:val="12"/>
                <w:szCs w:val="24"/>
              </w:rPr>
            </w:pPr>
          </w:p>
        </w:tc>
        <w:tc>
          <w:tcPr>
            <w:tcW w:w="577" w:type="pct"/>
            <w:shd w:val="clear" w:color="auto" w:fill="FFFFFF"/>
            <w:tcMar>
              <w:top w:w="20" w:type="dxa"/>
              <w:bottom w:w="20" w:type="dxa"/>
            </w:tcMar>
            <w:vAlign w:val="center"/>
          </w:tcPr>
          <w:p w:rsidR="00BD3B5F" w:rsidRPr="005C3B55" w:rsidRDefault="00BD3B5F">
            <w:pPr>
              <w:jc w:val="left"/>
              <w:rPr>
                <w:szCs w:val="24"/>
              </w:rPr>
            </w:pPr>
            <w:r w:rsidRPr="005C3B55">
              <w:rPr>
                <w:sz w:val="12"/>
                <w:szCs w:val="24"/>
              </w:rPr>
              <w:t>G7.b) Arrangement of timely collection and aggregation of statistical data with the following elements: arrangements for publication and public availability of aggregated data.</w:t>
            </w:r>
          </w:p>
        </w:tc>
        <w:tc>
          <w:tcPr>
            <w:tcW w:w="269" w:type="pct"/>
            <w:shd w:val="clear" w:color="auto" w:fill="FFFFFF"/>
            <w:tcMar>
              <w:top w:w="20" w:type="dxa"/>
              <w:bottom w:w="20" w:type="dxa"/>
            </w:tcMar>
            <w:vAlign w:val="center"/>
          </w:tcPr>
          <w:p w:rsidR="00BD3B5F" w:rsidRPr="005C3B55" w:rsidRDefault="00BD3B5F">
            <w:pPr>
              <w:jc w:val="left"/>
              <w:rPr>
                <w:sz w:val="12"/>
                <w:szCs w:val="24"/>
              </w:rPr>
            </w:pPr>
            <w:r w:rsidRPr="005C3B55">
              <w:rPr>
                <w:noProof/>
                <w:sz w:val="12"/>
                <w:szCs w:val="24"/>
              </w:rPr>
              <w:t>Yes</w:t>
            </w:r>
          </w:p>
        </w:tc>
        <w:tc>
          <w:tcPr>
            <w:tcW w:w="3042" w:type="pct"/>
            <w:shd w:val="clear" w:color="auto" w:fill="FFFFFF"/>
            <w:tcMar>
              <w:top w:w="20" w:type="dxa"/>
              <w:bottom w:w="20" w:type="dxa"/>
            </w:tcMar>
            <w:vAlign w:val="center"/>
          </w:tcPr>
          <w:p w:rsidR="00BD3B5F" w:rsidRPr="005C3B55" w:rsidRDefault="00BD3B5F">
            <w:pPr>
              <w:spacing w:before="0" w:after="160"/>
              <w:jc w:val="left"/>
              <w:rPr>
                <w:noProof/>
                <w:sz w:val="15"/>
                <w:szCs w:val="24"/>
              </w:rPr>
            </w:pPr>
            <w:r w:rsidRPr="005C3B55">
              <w:rPr>
                <w:sz w:val="15"/>
                <w:szCs w:val="24"/>
              </w:rPr>
              <w:t>Common monitoring and evaluation system – CMES</w:t>
            </w:r>
          </w:p>
          <w:p w:rsidR="00BD3B5F" w:rsidRPr="005C3B55" w:rsidRDefault="00BD3B5F">
            <w:pPr>
              <w:jc w:val="left"/>
              <w:rPr>
                <w:sz w:val="12"/>
                <w:szCs w:val="24"/>
              </w:rPr>
            </w:pPr>
          </w:p>
        </w:tc>
        <w:tc>
          <w:tcPr>
            <w:tcW w:w="536" w:type="pct"/>
            <w:shd w:val="clear" w:color="auto" w:fill="FFFFFF"/>
            <w:tcMar>
              <w:top w:w="20" w:type="dxa"/>
              <w:bottom w:w="20" w:type="dxa"/>
            </w:tcMar>
            <w:vAlign w:val="center"/>
          </w:tcPr>
          <w:p w:rsidR="00BD3B5F" w:rsidRPr="005C3B55" w:rsidRDefault="00BD3B5F">
            <w:pPr>
              <w:jc w:val="left"/>
              <w:rPr>
                <w:szCs w:val="24"/>
              </w:rPr>
            </w:pPr>
            <w:r w:rsidRPr="005C3B55">
              <w:rPr>
                <w:sz w:val="12"/>
                <w:szCs w:val="24"/>
              </w:rPr>
              <w:t>Ex-ante conditionality has been completely fulfilled, since for the evaluation of the effectiveness and impact of the RDP, a common monitoring and evaluation system – CMES – is used, which was prepared in cooperation between the European Commission and Member States, and adopted by the Commission with Implementing Regulation (EU) No 808/2014.</w:t>
            </w:r>
          </w:p>
        </w:tc>
      </w:tr>
      <w:tr w:rsidR="00BD3B5F" w:rsidRPr="005C3B55">
        <w:tc>
          <w:tcPr>
            <w:tcW w:w="577" w:type="pct"/>
            <w:vMerge/>
            <w:shd w:val="clear" w:color="auto" w:fill="FFFFFF"/>
            <w:tcMar>
              <w:top w:w="20" w:type="dxa"/>
              <w:bottom w:w="20" w:type="dxa"/>
            </w:tcMar>
            <w:vAlign w:val="center"/>
          </w:tcPr>
          <w:p w:rsidR="00BD3B5F" w:rsidRPr="005C3B55" w:rsidRDefault="00BD3B5F">
            <w:pPr>
              <w:jc w:val="left"/>
              <w:rPr>
                <w:sz w:val="12"/>
                <w:szCs w:val="24"/>
              </w:rPr>
            </w:pPr>
          </w:p>
        </w:tc>
        <w:tc>
          <w:tcPr>
            <w:tcW w:w="577" w:type="pct"/>
            <w:shd w:val="clear" w:color="auto" w:fill="FFFFFF"/>
            <w:tcMar>
              <w:top w:w="20" w:type="dxa"/>
              <w:bottom w:w="20" w:type="dxa"/>
            </w:tcMar>
            <w:vAlign w:val="center"/>
          </w:tcPr>
          <w:p w:rsidR="00BD3B5F" w:rsidRPr="005C3B55" w:rsidRDefault="00BD3B5F">
            <w:pPr>
              <w:jc w:val="left"/>
              <w:rPr>
                <w:szCs w:val="24"/>
              </w:rPr>
            </w:pPr>
            <w:r w:rsidRPr="005C3B55">
              <w:rPr>
                <w:sz w:val="12"/>
                <w:szCs w:val="24"/>
              </w:rPr>
              <w:t>G7.c) An effective system of result indicators including: the selection of result indicators for each programme providing information on the selection of policy actions financed by the programme</w:t>
            </w:r>
          </w:p>
        </w:tc>
        <w:tc>
          <w:tcPr>
            <w:tcW w:w="269" w:type="pct"/>
            <w:shd w:val="clear" w:color="auto" w:fill="FFFFFF"/>
            <w:tcMar>
              <w:top w:w="20" w:type="dxa"/>
              <w:bottom w:w="20" w:type="dxa"/>
            </w:tcMar>
            <w:vAlign w:val="center"/>
          </w:tcPr>
          <w:p w:rsidR="00BD3B5F" w:rsidRPr="005C3B55" w:rsidRDefault="00BD3B5F">
            <w:pPr>
              <w:jc w:val="left"/>
              <w:rPr>
                <w:sz w:val="12"/>
                <w:szCs w:val="24"/>
              </w:rPr>
            </w:pPr>
            <w:r w:rsidRPr="005C3B55">
              <w:rPr>
                <w:noProof/>
                <w:sz w:val="12"/>
                <w:szCs w:val="24"/>
              </w:rPr>
              <w:t>Yes</w:t>
            </w:r>
          </w:p>
        </w:tc>
        <w:tc>
          <w:tcPr>
            <w:tcW w:w="3042" w:type="pct"/>
            <w:shd w:val="clear" w:color="auto" w:fill="FFFFFF"/>
            <w:tcMar>
              <w:top w:w="20" w:type="dxa"/>
              <w:bottom w:w="20" w:type="dxa"/>
            </w:tcMar>
            <w:vAlign w:val="center"/>
          </w:tcPr>
          <w:p w:rsidR="00BD3B5F" w:rsidRPr="005C3B55" w:rsidRDefault="00BD3B5F">
            <w:pPr>
              <w:spacing w:before="0" w:after="0"/>
              <w:jc w:val="left"/>
              <w:rPr>
                <w:noProof/>
                <w:sz w:val="15"/>
                <w:szCs w:val="24"/>
              </w:rPr>
            </w:pPr>
            <w:r w:rsidRPr="005C3B55">
              <w:rPr>
                <w:sz w:val="15"/>
                <w:szCs w:val="24"/>
              </w:rPr>
              <w:t>Common monitoring and evaluation system – CMES</w:t>
            </w:r>
          </w:p>
          <w:p w:rsidR="00BD3B5F" w:rsidRPr="005C3B55" w:rsidRDefault="00BD3B5F">
            <w:pPr>
              <w:jc w:val="left"/>
              <w:rPr>
                <w:sz w:val="12"/>
                <w:szCs w:val="24"/>
              </w:rPr>
            </w:pPr>
          </w:p>
        </w:tc>
        <w:tc>
          <w:tcPr>
            <w:tcW w:w="536" w:type="pct"/>
            <w:shd w:val="clear" w:color="auto" w:fill="FFFFFF"/>
            <w:tcMar>
              <w:top w:w="20" w:type="dxa"/>
              <w:bottom w:w="20" w:type="dxa"/>
            </w:tcMar>
            <w:vAlign w:val="center"/>
          </w:tcPr>
          <w:p w:rsidR="00BD3B5F" w:rsidRPr="005C3B55" w:rsidRDefault="00BD3B5F">
            <w:pPr>
              <w:jc w:val="left"/>
              <w:rPr>
                <w:szCs w:val="24"/>
              </w:rPr>
            </w:pPr>
            <w:r w:rsidRPr="005C3B55">
              <w:rPr>
                <w:sz w:val="12"/>
                <w:szCs w:val="24"/>
              </w:rPr>
              <w:t>Ex-ante conditionality has been completely fulfilled, since for the evaluation of the effectiveness and impact of the RDP, a common monitoring and evaluation system – CMES – is used, which was prepared in cooperation between the European Commission and Member States, and adopted by the Commission with Implementing Regulation (EU) No 808/2014.</w:t>
            </w:r>
          </w:p>
        </w:tc>
      </w:tr>
      <w:tr w:rsidR="00BD3B5F" w:rsidRPr="005C3B55">
        <w:tc>
          <w:tcPr>
            <w:tcW w:w="577" w:type="pct"/>
            <w:vMerge/>
            <w:shd w:val="clear" w:color="auto" w:fill="FFFFFF"/>
            <w:tcMar>
              <w:top w:w="20" w:type="dxa"/>
              <w:bottom w:w="20" w:type="dxa"/>
            </w:tcMar>
            <w:vAlign w:val="center"/>
          </w:tcPr>
          <w:p w:rsidR="00BD3B5F" w:rsidRPr="005C3B55" w:rsidRDefault="00BD3B5F">
            <w:pPr>
              <w:jc w:val="left"/>
              <w:rPr>
                <w:sz w:val="12"/>
                <w:szCs w:val="24"/>
              </w:rPr>
            </w:pPr>
          </w:p>
        </w:tc>
        <w:tc>
          <w:tcPr>
            <w:tcW w:w="577" w:type="pct"/>
            <w:shd w:val="clear" w:color="auto" w:fill="FFFFFF"/>
            <w:tcMar>
              <w:top w:w="20" w:type="dxa"/>
              <w:bottom w:w="20" w:type="dxa"/>
            </w:tcMar>
            <w:vAlign w:val="center"/>
          </w:tcPr>
          <w:p w:rsidR="00BD3B5F" w:rsidRPr="005C3B55" w:rsidRDefault="00BD3B5F">
            <w:pPr>
              <w:spacing w:before="0" w:after="0"/>
              <w:jc w:val="left"/>
              <w:rPr>
                <w:szCs w:val="24"/>
              </w:rPr>
            </w:pPr>
            <w:r w:rsidRPr="005C3B55">
              <w:rPr>
                <w:sz w:val="12"/>
                <w:szCs w:val="24"/>
              </w:rPr>
              <w:t>G7.d) An effective system of result indicators including: the establishment of target values for these indicators</w:t>
            </w:r>
          </w:p>
          <w:p w:rsidR="00BD3B5F" w:rsidRPr="005C3B55" w:rsidRDefault="00BD3B5F">
            <w:pPr>
              <w:spacing w:before="0" w:after="0"/>
              <w:jc w:val="left"/>
              <w:rPr>
                <w:szCs w:val="24"/>
              </w:rPr>
            </w:pPr>
          </w:p>
        </w:tc>
        <w:tc>
          <w:tcPr>
            <w:tcW w:w="269" w:type="pct"/>
            <w:shd w:val="clear" w:color="auto" w:fill="FFFFFF"/>
            <w:tcMar>
              <w:top w:w="20" w:type="dxa"/>
              <w:bottom w:w="20" w:type="dxa"/>
            </w:tcMar>
            <w:vAlign w:val="center"/>
          </w:tcPr>
          <w:p w:rsidR="00BD3B5F" w:rsidRPr="005C3B55" w:rsidRDefault="00BD3B5F">
            <w:pPr>
              <w:jc w:val="left"/>
              <w:rPr>
                <w:sz w:val="12"/>
                <w:szCs w:val="24"/>
              </w:rPr>
            </w:pPr>
            <w:r w:rsidRPr="005C3B55">
              <w:rPr>
                <w:noProof/>
                <w:sz w:val="12"/>
                <w:szCs w:val="24"/>
              </w:rPr>
              <w:t>Yes</w:t>
            </w:r>
          </w:p>
        </w:tc>
        <w:tc>
          <w:tcPr>
            <w:tcW w:w="3042" w:type="pct"/>
            <w:shd w:val="clear" w:color="auto" w:fill="FFFFFF"/>
            <w:tcMar>
              <w:top w:w="20" w:type="dxa"/>
              <w:bottom w:w="20" w:type="dxa"/>
            </w:tcMar>
            <w:vAlign w:val="center"/>
          </w:tcPr>
          <w:p w:rsidR="00BD3B5F" w:rsidRPr="005C3B55" w:rsidRDefault="00BD3B5F">
            <w:pPr>
              <w:spacing w:before="0" w:after="160"/>
              <w:jc w:val="left"/>
              <w:rPr>
                <w:noProof/>
                <w:sz w:val="15"/>
                <w:szCs w:val="24"/>
              </w:rPr>
            </w:pPr>
            <w:r w:rsidRPr="005C3B55">
              <w:rPr>
                <w:sz w:val="15"/>
                <w:szCs w:val="24"/>
              </w:rPr>
              <w:t>Common monitoring and evaluation system – CMES</w:t>
            </w:r>
          </w:p>
          <w:p w:rsidR="00BD3B5F" w:rsidRPr="005C3B55" w:rsidRDefault="00BD3B5F">
            <w:pPr>
              <w:jc w:val="left"/>
              <w:rPr>
                <w:sz w:val="12"/>
                <w:szCs w:val="24"/>
              </w:rPr>
            </w:pPr>
          </w:p>
        </w:tc>
        <w:tc>
          <w:tcPr>
            <w:tcW w:w="536" w:type="pct"/>
            <w:shd w:val="clear" w:color="auto" w:fill="FFFFFF"/>
            <w:tcMar>
              <w:top w:w="20" w:type="dxa"/>
              <w:bottom w:w="20" w:type="dxa"/>
            </w:tcMar>
            <w:vAlign w:val="center"/>
          </w:tcPr>
          <w:p w:rsidR="00BD3B5F" w:rsidRPr="005C3B55" w:rsidRDefault="00BD3B5F">
            <w:pPr>
              <w:jc w:val="left"/>
              <w:rPr>
                <w:szCs w:val="24"/>
              </w:rPr>
            </w:pPr>
            <w:r w:rsidRPr="005C3B55">
              <w:rPr>
                <w:sz w:val="12"/>
                <w:szCs w:val="24"/>
              </w:rPr>
              <w:t>Ex-ante conditionality has been completely fulfilled, since for the evaluation of the effectiveness and impact of the RDP, a common monitoring and evaluation system – CMES – is used, which was prepared in cooperation between the European Commission and Member States, and adopted by the Commission with Implementing Regulation (EU) No 808/2014.</w:t>
            </w:r>
          </w:p>
        </w:tc>
      </w:tr>
      <w:tr w:rsidR="00BD3B5F" w:rsidRPr="005C3B55">
        <w:tc>
          <w:tcPr>
            <w:tcW w:w="577" w:type="pct"/>
            <w:vMerge/>
            <w:shd w:val="clear" w:color="auto" w:fill="FFFFFF"/>
            <w:tcMar>
              <w:top w:w="20" w:type="dxa"/>
              <w:bottom w:w="20" w:type="dxa"/>
            </w:tcMar>
            <w:vAlign w:val="center"/>
          </w:tcPr>
          <w:p w:rsidR="00BD3B5F" w:rsidRPr="005C3B55" w:rsidRDefault="00BD3B5F">
            <w:pPr>
              <w:jc w:val="left"/>
              <w:rPr>
                <w:sz w:val="12"/>
                <w:szCs w:val="24"/>
              </w:rPr>
            </w:pPr>
          </w:p>
        </w:tc>
        <w:tc>
          <w:tcPr>
            <w:tcW w:w="577" w:type="pct"/>
            <w:shd w:val="clear" w:color="auto" w:fill="FFFFFF"/>
            <w:tcMar>
              <w:top w:w="20" w:type="dxa"/>
              <w:bottom w:w="20" w:type="dxa"/>
            </w:tcMar>
            <w:vAlign w:val="center"/>
          </w:tcPr>
          <w:p w:rsidR="00BD3B5F" w:rsidRPr="005C3B55" w:rsidRDefault="00BD3B5F">
            <w:pPr>
              <w:jc w:val="left"/>
              <w:rPr>
                <w:szCs w:val="24"/>
              </w:rPr>
            </w:pPr>
            <w:r w:rsidRPr="005C3B55">
              <w:rPr>
                <w:sz w:val="12"/>
                <w:szCs w:val="24"/>
              </w:rPr>
              <w:t>G7.e) An effective system of result indicators including: the consistency of each indicator with the following requisities: robustness and statistical validation, clarity of normative interpretation, responsiveness to policy, timely collection of data</w:t>
            </w:r>
          </w:p>
        </w:tc>
        <w:tc>
          <w:tcPr>
            <w:tcW w:w="269" w:type="pct"/>
            <w:shd w:val="clear" w:color="auto" w:fill="FFFFFF"/>
            <w:tcMar>
              <w:top w:w="20" w:type="dxa"/>
              <w:bottom w:w="20" w:type="dxa"/>
            </w:tcMar>
            <w:vAlign w:val="center"/>
          </w:tcPr>
          <w:p w:rsidR="00BD3B5F" w:rsidRPr="005C3B55" w:rsidRDefault="00BD3B5F">
            <w:pPr>
              <w:jc w:val="left"/>
              <w:rPr>
                <w:sz w:val="12"/>
                <w:szCs w:val="24"/>
              </w:rPr>
            </w:pPr>
            <w:r w:rsidRPr="005C3B55">
              <w:rPr>
                <w:noProof/>
                <w:sz w:val="12"/>
                <w:szCs w:val="24"/>
              </w:rPr>
              <w:t>Yes</w:t>
            </w:r>
          </w:p>
        </w:tc>
        <w:tc>
          <w:tcPr>
            <w:tcW w:w="3042" w:type="pct"/>
            <w:shd w:val="clear" w:color="auto" w:fill="FFFFFF"/>
            <w:tcMar>
              <w:top w:w="20" w:type="dxa"/>
              <w:bottom w:w="20" w:type="dxa"/>
            </w:tcMar>
            <w:vAlign w:val="center"/>
          </w:tcPr>
          <w:p w:rsidR="00BD3B5F" w:rsidRPr="005C3B55" w:rsidRDefault="00BD3B5F">
            <w:pPr>
              <w:spacing w:before="0" w:after="160"/>
              <w:jc w:val="left"/>
              <w:rPr>
                <w:noProof/>
                <w:sz w:val="15"/>
                <w:szCs w:val="24"/>
              </w:rPr>
            </w:pPr>
            <w:r w:rsidRPr="005C3B55">
              <w:rPr>
                <w:sz w:val="15"/>
                <w:szCs w:val="24"/>
              </w:rPr>
              <w:t>Common monitoring and evaluation system – CMES</w:t>
            </w:r>
          </w:p>
          <w:p w:rsidR="00BD3B5F" w:rsidRPr="005C3B55" w:rsidRDefault="00BD3B5F">
            <w:pPr>
              <w:jc w:val="left"/>
              <w:rPr>
                <w:sz w:val="12"/>
                <w:szCs w:val="24"/>
              </w:rPr>
            </w:pPr>
          </w:p>
        </w:tc>
        <w:tc>
          <w:tcPr>
            <w:tcW w:w="536" w:type="pct"/>
            <w:shd w:val="clear" w:color="auto" w:fill="FFFFFF"/>
            <w:tcMar>
              <w:top w:w="20" w:type="dxa"/>
              <w:bottom w:w="20" w:type="dxa"/>
            </w:tcMar>
            <w:vAlign w:val="center"/>
          </w:tcPr>
          <w:p w:rsidR="00BD3B5F" w:rsidRPr="005C3B55" w:rsidRDefault="00BD3B5F">
            <w:pPr>
              <w:jc w:val="left"/>
              <w:rPr>
                <w:szCs w:val="24"/>
              </w:rPr>
            </w:pPr>
            <w:r w:rsidRPr="005C3B55">
              <w:rPr>
                <w:sz w:val="12"/>
                <w:szCs w:val="24"/>
              </w:rPr>
              <w:t>Ex-ante conditionality has been completely fulfilled, since for the evaluation of the effectiveness and impact of the RDP, a common monitoring and evaluation system – CMES – is used, which was prepared in cooperation between the European Commission and Member States, and adopted by the Commission with Implementing Regulation (EU) No 808/2014.</w:t>
            </w:r>
          </w:p>
        </w:tc>
      </w:tr>
      <w:tr w:rsidR="00BD3B5F" w:rsidRPr="005C3B55">
        <w:tc>
          <w:tcPr>
            <w:tcW w:w="577" w:type="pct"/>
            <w:vMerge/>
            <w:shd w:val="clear" w:color="auto" w:fill="FFFFFF"/>
            <w:tcMar>
              <w:top w:w="20" w:type="dxa"/>
              <w:bottom w:w="20" w:type="dxa"/>
            </w:tcMar>
            <w:vAlign w:val="center"/>
          </w:tcPr>
          <w:p w:rsidR="00BD3B5F" w:rsidRPr="005C3B55" w:rsidRDefault="00BD3B5F">
            <w:pPr>
              <w:jc w:val="left"/>
              <w:rPr>
                <w:sz w:val="12"/>
                <w:szCs w:val="24"/>
              </w:rPr>
            </w:pPr>
          </w:p>
        </w:tc>
        <w:tc>
          <w:tcPr>
            <w:tcW w:w="577" w:type="pct"/>
            <w:shd w:val="clear" w:color="auto" w:fill="FFFFFF"/>
            <w:tcMar>
              <w:top w:w="20" w:type="dxa"/>
              <w:bottom w:w="20" w:type="dxa"/>
            </w:tcMar>
            <w:vAlign w:val="center"/>
          </w:tcPr>
          <w:p w:rsidR="00BD3B5F" w:rsidRPr="005C3B55" w:rsidRDefault="00BD3B5F">
            <w:pPr>
              <w:jc w:val="left"/>
              <w:rPr>
                <w:szCs w:val="24"/>
              </w:rPr>
            </w:pPr>
            <w:r w:rsidRPr="005C3B55">
              <w:rPr>
                <w:sz w:val="12"/>
                <w:szCs w:val="24"/>
              </w:rPr>
              <w:t>G7.f) Procedures in place to ensure that all operations financed by the programme adopt an effective system of indicators</w:t>
            </w:r>
          </w:p>
        </w:tc>
        <w:tc>
          <w:tcPr>
            <w:tcW w:w="269" w:type="pct"/>
            <w:shd w:val="clear" w:color="auto" w:fill="FFFFFF"/>
            <w:tcMar>
              <w:top w:w="20" w:type="dxa"/>
              <w:bottom w:w="20" w:type="dxa"/>
            </w:tcMar>
            <w:vAlign w:val="center"/>
          </w:tcPr>
          <w:p w:rsidR="00BD3B5F" w:rsidRPr="005C3B55" w:rsidRDefault="00BD3B5F">
            <w:pPr>
              <w:jc w:val="left"/>
              <w:rPr>
                <w:sz w:val="12"/>
                <w:szCs w:val="24"/>
              </w:rPr>
            </w:pPr>
            <w:r w:rsidRPr="005C3B55">
              <w:rPr>
                <w:noProof/>
                <w:sz w:val="12"/>
                <w:szCs w:val="24"/>
              </w:rPr>
              <w:t>Yes</w:t>
            </w:r>
          </w:p>
        </w:tc>
        <w:tc>
          <w:tcPr>
            <w:tcW w:w="3042" w:type="pct"/>
            <w:shd w:val="clear" w:color="auto" w:fill="FFFFFF"/>
            <w:tcMar>
              <w:top w:w="20" w:type="dxa"/>
              <w:bottom w:w="20" w:type="dxa"/>
            </w:tcMar>
            <w:vAlign w:val="center"/>
          </w:tcPr>
          <w:p w:rsidR="00BD3B5F" w:rsidRPr="005C3B55" w:rsidRDefault="00BD3B5F">
            <w:pPr>
              <w:spacing w:before="0" w:after="160"/>
              <w:jc w:val="left"/>
              <w:rPr>
                <w:noProof/>
                <w:sz w:val="15"/>
                <w:szCs w:val="24"/>
              </w:rPr>
            </w:pPr>
            <w:r w:rsidRPr="005C3B55">
              <w:rPr>
                <w:sz w:val="15"/>
                <w:szCs w:val="24"/>
              </w:rPr>
              <w:t>Common monitoring and evaluation system – CMES</w:t>
            </w:r>
          </w:p>
          <w:p w:rsidR="00BD3B5F" w:rsidRPr="005C3B55" w:rsidRDefault="00BD3B5F">
            <w:pPr>
              <w:jc w:val="left"/>
              <w:rPr>
                <w:sz w:val="12"/>
                <w:szCs w:val="24"/>
              </w:rPr>
            </w:pPr>
          </w:p>
        </w:tc>
        <w:tc>
          <w:tcPr>
            <w:tcW w:w="536" w:type="pct"/>
            <w:shd w:val="clear" w:color="auto" w:fill="FFFFFF"/>
            <w:tcMar>
              <w:top w:w="20" w:type="dxa"/>
              <w:bottom w:w="20" w:type="dxa"/>
            </w:tcMar>
            <w:vAlign w:val="center"/>
          </w:tcPr>
          <w:p w:rsidR="00BD3B5F" w:rsidRPr="005C3B55" w:rsidRDefault="00BD3B5F">
            <w:pPr>
              <w:jc w:val="left"/>
              <w:rPr>
                <w:szCs w:val="24"/>
              </w:rPr>
            </w:pPr>
            <w:r w:rsidRPr="005C3B55">
              <w:rPr>
                <w:sz w:val="12"/>
                <w:szCs w:val="24"/>
              </w:rPr>
              <w:t>Ex-ante conditionality has been completely fulfilled, since for the evaluation of the effectiveness and impact of the RDP, a common monitoring and evaluation system – CMES – is used, which was prepared in cooperation between the European Commission and Member States, and adopted by the Commission with Implementing Regulation (EU) No 808/2014.</w:t>
            </w:r>
          </w:p>
        </w:tc>
      </w:tr>
      <w:tr w:rsidR="00BD3B5F" w:rsidRPr="005C3B55">
        <w:tc>
          <w:tcPr>
            <w:tcW w:w="577" w:type="pct"/>
            <w:vMerge w:val="restart"/>
            <w:shd w:val="clear" w:color="auto" w:fill="FFFFFF"/>
            <w:tcMar>
              <w:top w:w="20" w:type="dxa"/>
              <w:bottom w:w="20" w:type="dxa"/>
            </w:tcMar>
            <w:vAlign w:val="center"/>
          </w:tcPr>
          <w:p w:rsidR="00BD3B5F" w:rsidRPr="005C3B55" w:rsidRDefault="00BD3B5F">
            <w:pPr>
              <w:jc w:val="left"/>
              <w:rPr>
                <w:szCs w:val="24"/>
              </w:rPr>
            </w:pPr>
            <w:r w:rsidRPr="005C3B55">
              <w:rPr>
                <w:sz w:val="12"/>
                <w:szCs w:val="24"/>
              </w:rPr>
              <w:t>P4.1) Good agricultural and environmental conditions (GAEC): Standards for the preservation of good agricultural and environmental conditions in agriculture from Chapter I, Title VI, Regulation (EU) No 1306/2013 are determined at the national level</w:t>
            </w:r>
          </w:p>
        </w:tc>
        <w:tc>
          <w:tcPr>
            <w:tcW w:w="577" w:type="pct"/>
            <w:shd w:val="clear" w:color="auto" w:fill="FFFFFF"/>
            <w:tcMar>
              <w:top w:w="20" w:type="dxa"/>
              <w:bottom w:w="20" w:type="dxa"/>
            </w:tcMar>
            <w:vAlign w:val="center"/>
          </w:tcPr>
          <w:p w:rsidR="00BD3B5F" w:rsidRPr="005C3B55" w:rsidRDefault="00BD3B5F">
            <w:pPr>
              <w:jc w:val="left"/>
              <w:rPr>
                <w:szCs w:val="24"/>
              </w:rPr>
            </w:pPr>
            <w:r w:rsidRPr="005C3B55">
              <w:rPr>
                <w:sz w:val="12"/>
                <w:szCs w:val="24"/>
              </w:rPr>
              <w:t>P4.1.a) Standards for good agricultural and environmental conditions are specified in national legislation and described in programmes</w:t>
            </w:r>
          </w:p>
        </w:tc>
        <w:tc>
          <w:tcPr>
            <w:tcW w:w="269" w:type="pct"/>
            <w:shd w:val="clear" w:color="auto" w:fill="FFFFFF"/>
            <w:tcMar>
              <w:top w:w="20" w:type="dxa"/>
              <w:bottom w:w="20" w:type="dxa"/>
            </w:tcMar>
            <w:vAlign w:val="center"/>
          </w:tcPr>
          <w:p w:rsidR="00BD3B5F" w:rsidRPr="005C3B55" w:rsidRDefault="00BD3B5F">
            <w:pPr>
              <w:jc w:val="left"/>
              <w:rPr>
                <w:sz w:val="12"/>
                <w:szCs w:val="24"/>
              </w:rPr>
            </w:pPr>
            <w:r w:rsidRPr="005C3B55">
              <w:rPr>
                <w:noProof/>
                <w:sz w:val="12"/>
                <w:szCs w:val="24"/>
              </w:rPr>
              <w:t>Yes</w:t>
            </w:r>
          </w:p>
        </w:tc>
        <w:tc>
          <w:tcPr>
            <w:tcW w:w="3042" w:type="pct"/>
            <w:shd w:val="clear" w:color="auto" w:fill="FFFFFF"/>
            <w:tcMar>
              <w:top w:w="20" w:type="dxa"/>
              <w:bottom w:w="20" w:type="dxa"/>
            </w:tcMar>
            <w:vAlign w:val="center"/>
          </w:tcPr>
          <w:p w:rsidR="00BD3B5F" w:rsidRPr="005C3B55" w:rsidRDefault="00BD3B5F">
            <w:pPr>
              <w:spacing w:before="0" w:after="160"/>
              <w:jc w:val="left"/>
              <w:rPr>
                <w:noProof/>
                <w:szCs w:val="24"/>
              </w:rPr>
            </w:pPr>
            <w:r w:rsidRPr="005C3B55">
              <w:rPr>
                <w:sz w:val="15"/>
                <w:szCs w:val="24"/>
              </w:rPr>
              <w:t>Decree on the regulatory requirements for management and good agricultural and environmental conditions (cross compliance) in farming:</w:t>
            </w:r>
            <w:r w:rsidRPr="005C3B55">
              <w:rPr>
                <w:noProof/>
                <w:sz w:val="15"/>
                <w:szCs w:val="24"/>
              </w:rPr>
              <w:t xml:space="preserve"> http://www.pisrs.si/Pis.web/pregledPredpisa?id=URED5905</w:t>
            </w:r>
          </w:p>
          <w:p w:rsidR="00BD3B5F" w:rsidRPr="005C3B55" w:rsidRDefault="00BD3B5F">
            <w:pPr>
              <w:spacing w:before="150" w:after="150"/>
              <w:jc w:val="left"/>
              <w:rPr>
                <w:noProof/>
                <w:sz w:val="15"/>
                <w:szCs w:val="24"/>
              </w:rPr>
            </w:pPr>
            <w:r w:rsidRPr="005C3B55">
              <w:rPr>
                <w:noProof/>
                <w:sz w:val="15"/>
                <w:szCs w:val="24"/>
              </w:rPr>
              <w:t> </w:t>
            </w:r>
          </w:p>
          <w:p w:rsidR="00BD3B5F" w:rsidRPr="005C3B55" w:rsidRDefault="00BD3B5F">
            <w:pPr>
              <w:jc w:val="left"/>
              <w:rPr>
                <w:sz w:val="12"/>
                <w:szCs w:val="24"/>
              </w:rPr>
            </w:pPr>
          </w:p>
        </w:tc>
        <w:tc>
          <w:tcPr>
            <w:tcW w:w="536" w:type="pct"/>
            <w:shd w:val="clear" w:color="auto" w:fill="FFFFFF"/>
            <w:tcMar>
              <w:top w:w="20" w:type="dxa"/>
              <w:bottom w:w="20" w:type="dxa"/>
            </w:tcMar>
            <w:vAlign w:val="center"/>
          </w:tcPr>
          <w:p w:rsidR="00BD3B5F" w:rsidRPr="005C3B55" w:rsidRDefault="00BD3B5F">
            <w:pPr>
              <w:jc w:val="left"/>
              <w:rPr>
                <w:szCs w:val="24"/>
              </w:rPr>
            </w:pPr>
            <w:r w:rsidRPr="005C3B55">
              <w:rPr>
                <w:sz w:val="12"/>
                <w:szCs w:val="24"/>
              </w:rPr>
              <w:t>Good agricultural and environmental conditions in farming are defined in the Decree on the regulatory requirements for management and good agricultural and environmental conditions (cross compliance) in farming, and in chapters 8.2.9 and 8.2.10 of RDP 2014–2020.</w:t>
            </w:r>
          </w:p>
        </w:tc>
      </w:tr>
      <w:tr w:rsidR="00BD3B5F" w:rsidRPr="005C3B55">
        <w:tc>
          <w:tcPr>
            <w:tcW w:w="577" w:type="pct"/>
            <w:vMerge w:val="restart"/>
            <w:shd w:val="clear" w:color="auto" w:fill="FFFFFF"/>
            <w:tcMar>
              <w:top w:w="20" w:type="dxa"/>
              <w:bottom w:w="20" w:type="dxa"/>
            </w:tcMar>
            <w:vAlign w:val="center"/>
          </w:tcPr>
          <w:p w:rsidR="00BD3B5F" w:rsidRPr="005C3B55" w:rsidRDefault="00BD3B5F">
            <w:pPr>
              <w:jc w:val="left"/>
              <w:rPr>
                <w:szCs w:val="24"/>
              </w:rPr>
            </w:pPr>
            <w:r w:rsidRPr="005C3B55">
              <w:rPr>
                <w:sz w:val="12"/>
                <w:szCs w:val="24"/>
              </w:rPr>
              <w:t>P4.2) Minimum requirements for fertiliser and plant protection product use: Minimum requirements for fertiliser and plant protection product use referred to in Article 28, Chapter I, Title III of Regulation (EU) No 1305/2013 are specified at the national level</w:t>
            </w:r>
          </w:p>
        </w:tc>
        <w:tc>
          <w:tcPr>
            <w:tcW w:w="577" w:type="pct"/>
            <w:shd w:val="clear" w:color="auto" w:fill="FFFFFF"/>
            <w:tcMar>
              <w:top w:w="20" w:type="dxa"/>
              <w:bottom w:w="20" w:type="dxa"/>
            </w:tcMar>
            <w:vAlign w:val="center"/>
          </w:tcPr>
          <w:p w:rsidR="00BD3B5F" w:rsidRPr="005C3B55" w:rsidRDefault="00BD3B5F">
            <w:pPr>
              <w:jc w:val="left"/>
              <w:rPr>
                <w:szCs w:val="24"/>
              </w:rPr>
            </w:pPr>
            <w:r w:rsidRPr="005C3B55">
              <w:rPr>
                <w:sz w:val="12"/>
                <w:szCs w:val="24"/>
              </w:rPr>
              <w:t>P4.2.a) Minimum requirements for fertiliser and plant protection product use referred to in Article 28, Chapter I, Title III of Regulation (EU) No 1305/2013 are specified in programmes</w:t>
            </w:r>
          </w:p>
        </w:tc>
        <w:tc>
          <w:tcPr>
            <w:tcW w:w="269" w:type="pct"/>
            <w:shd w:val="clear" w:color="auto" w:fill="FFFFFF"/>
            <w:tcMar>
              <w:top w:w="20" w:type="dxa"/>
              <w:bottom w:w="20" w:type="dxa"/>
            </w:tcMar>
            <w:vAlign w:val="center"/>
          </w:tcPr>
          <w:p w:rsidR="00BD3B5F" w:rsidRPr="005C3B55" w:rsidRDefault="00BD3B5F">
            <w:pPr>
              <w:jc w:val="left"/>
              <w:rPr>
                <w:sz w:val="12"/>
                <w:szCs w:val="24"/>
              </w:rPr>
            </w:pPr>
            <w:r w:rsidRPr="005C3B55">
              <w:rPr>
                <w:noProof/>
                <w:sz w:val="12"/>
                <w:szCs w:val="24"/>
              </w:rPr>
              <w:t>Yes</w:t>
            </w:r>
          </w:p>
        </w:tc>
        <w:tc>
          <w:tcPr>
            <w:tcW w:w="3042" w:type="pct"/>
            <w:shd w:val="clear" w:color="auto" w:fill="FFFFFF"/>
            <w:tcMar>
              <w:top w:w="20" w:type="dxa"/>
              <w:bottom w:w="20" w:type="dxa"/>
            </w:tcMar>
            <w:vAlign w:val="center"/>
          </w:tcPr>
          <w:p w:rsidR="00BD3B5F" w:rsidRPr="005C3B55" w:rsidRDefault="00BD3B5F">
            <w:pPr>
              <w:spacing w:before="0" w:after="160"/>
              <w:jc w:val="left"/>
              <w:rPr>
                <w:noProof/>
                <w:szCs w:val="24"/>
              </w:rPr>
            </w:pPr>
            <w:r w:rsidRPr="005C3B55">
              <w:rPr>
                <w:sz w:val="15"/>
                <w:szCs w:val="24"/>
              </w:rPr>
              <w:t>Decree on the regulatory requirements for management and good agricultural and environmental conditions (cross compliance) in farming:</w:t>
            </w:r>
            <w:r w:rsidRPr="005C3B55">
              <w:rPr>
                <w:noProof/>
                <w:sz w:val="15"/>
                <w:szCs w:val="24"/>
              </w:rPr>
              <w:t xml:space="preserve"> http://www.pisrs.si/Pis.web/pregledPredpisa?id=URED5905</w:t>
            </w:r>
          </w:p>
          <w:p w:rsidR="00BD3B5F" w:rsidRPr="005C3B55" w:rsidRDefault="00BD3B5F">
            <w:pPr>
              <w:jc w:val="left"/>
              <w:rPr>
                <w:sz w:val="12"/>
                <w:szCs w:val="24"/>
              </w:rPr>
            </w:pPr>
          </w:p>
        </w:tc>
        <w:tc>
          <w:tcPr>
            <w:tcW w:w="536" w:type="pct"/>
            <w:shd w:val="clear" w:color="auto" w:fill="FFFFFF"/>
            <w:tcMar>
              <w:top w:w="20" w:type="dxa"/>
              <w:bottom w:w="20" w:type="dxa"/>
            </w:tcMar>
            <w:vAlign w:val="center"/>
          </w:tcPr>
          <w:p w:rsidR="00BD3B5F" w:rsidRPr="005C3B55" w:rsidRDefault="00BD3B5F">
            <w:pPr>
              <w:jc w:val="left"/>
              <w:rPr>
                <w:szCs w:val="24"/>
              </w:rPr>
            </w:pPr>
            <w:r w:rsidRPr="005C3B55">
              <w:rPr>
                <w:sz w:val="12"/>
                <w:szCs w:val="24"/>
              </w:rPr>
              <w:t>Minimum requirements for the use of fertilisers and plant protection products are defined in the Decree on the regulatory requirements for management and good agricultural and environmental conditions (cross compliance) in farming, and in chapters 8.2.9 and 8.2.10 of RDP 2014–2020.</w:t>
            </w:r>
          </w:p>
        </w:tc>
      </w:tr>
      <w:tr w:rsidR="00BD3B5F" w:rsidRPr="005C3B55">
        <w:tc>
          <w:tcPr>
            <w:tcW w:w="577" w:type="pct"/>
            <w:vMerge w:val="restart"/>
            <w:shd w:val="clear" w:color="auto" w:fill="FFFFFF"/>
            <w:tcMar>
              <w:top w:w="20" w:type="dxa"/>
              <w:bottom w:w="20" w:type="dxa"/>
            </w:tcMar>
            <w:vAlign w:val="center"/>
          </w:tcPr>
          <w:p w:rsidR="00BD3B5F" w:rsidRPr="005C3B55" w:rsidRDefault="00BD3B5F">
            <w:pPr>
              <w:jc w:val="left"/>
              <w:rPr>
                <w:szCs w:val="24"/>
              </w:rPr>
            </w:pPr>
            <w:r w:rsidRPr="005C3B55">
              <w:rPr>
                <w:sz w:val="12"/>
                <w:szCs w:val="24"/>
              </w:rPr>
              <w:t xml:space="preserve">P4.3) Other relevant national standards: Relevant mandatory national standards have been established for the purposes of Article 28, Chapter I, Title III of Regulation (EU) No 1305/2013 </w:t>
            </w:r>
          </w:p>
        </w:tc>
        <w:tc>
          <w:tcPr>
            <w:tcW w:w="577" w:type="pct"/>
            <w:shd w:val="clear" w:color="auto" w:fill="FFFFFF"/>
            <w:tcMar>
              <w:top w:w="20" w:type="dxa"/>
              <w:bottom w:w="20" w:type="dxa"/>
            </w:tcMar>
            <w:vAlign w:val="center"/>
          </w:tcPr>
          <w:p w:rsidR="00BD3B5F" w:rsidRPr="005C3B55" w:rsidRDefault="00BD3B5F">
            <w:pPr>
              <w:jc w:val="left"/>
              <w:rPr>
                <w:szCs w:val="24"/>
              </w:rPr>
            </w:pPr>
            <w:r w:rsidRPr="005C3B55">
              <w:rPr>
                <w:sz w:val="12"/>
                <w:szCs w:val="24"/>
              </w:rPr>
              <w:t>P4.3.a) Relevant mandatory national standards are described in the programmes</w:t>
            </w:r>
          </w:p>
        </w:tc>
        <w:tc>
          <w:tcPr>
            <w:tcW w:w="269" w:type="pct"/>
            <w:shd w:val="clear" w:color="auto" w:fill="FFFFFF"/>
            <w:tcMar>
              <w:top w:w="20" w:type="dxa"/>
              <w:bottom w:w="20" w:type="dxa"/>
            </w:tcMar>
            <w:vAlign w:val="center"/>
          </w:tcPr>
          <w:p w:rsidR="00BD3B5F" w:rsidRPr="005C3B55" w:rsidRDefault="00BD3B5F">
            <w:pPr>
              <w:jc w:val="left"/>
              <w:rPr>
                <w:sz w:val="12"/>
                <w:szCs w:val="24"/>
              </w:rPr>
            </w:pPr>
            <w:r w:rsidRPr="005C3B55">
              <w:rPr>
                <w:noProof/>
                <w:sz w:val="12"/>
                <w:szCs w:val="24"/>
              </w:rPr>
              <w:t>Yes</w:t>
            </w:r>
          </w:p>
        </w:tc>
        <w:tc>
          <w:tcPr>
            <w:tcW w:w="3042" w:type="pct"/>
            <w:shd w:val="clear" w:color="auto" w:fill="FFFFFF"/>
            <w:tcMar>
              <w:top w:w="20" w:type="dxa"/>
              <w:bottom w:w="20" w:type="dxa"/>
            </w:tcMar>
            <w:vAlign w:val="center"/>
          </w:tcPr>
          <w:p w:rsidR="00BD3B5F" w:rsidRPr="005C3B55" w:rsidRDefault="00BD3B5F">
            <w:pPr>
              <w:spacing w:before="0" w:after="160"/>
              <w:jc w:val="left"/>
              <w:rPr>
                <w:noProof/>
                <w:szCs w:val="24"/>
              </w:rPr>
            </w:pPr>
            <w:r w:rsidRPr="005C3B55">
              <w:rPr>
                <w:sz w:val="15"/>
                <w:szCs w:val="24"/>
              </w:rPr>
              <w:t>Rules on integrated pest management (Official Gazette of the Republic of Slovenia, no. 43/14):</w:t>
            </w:r>
            <w:r w:rsidRPr="005C3B55">
              <w:rPr>
                <w:noProof/>
                <w:sz w:val="15"/>
                <w:szCs w:val="24"/>
              </w:rPr>
              <w:t xml:space="preserve"> http://www.pisrs.si/Pis.web/pregledPredpisa?id=PRAV11530</w:t>
            </w:r>
          </w:p>
          <w:p w:rsidR="00BD3B5F" w:rsidRPr="005C3B55" w:rsidRDefault="00BD3B5F">
            <w:pPr>
              <w:spacing w:before="160" w:after="160"/>
              <w:jc w:val="left"/>
              <w:rPr>
                <w:noProof/>
                <w:szCs w:val="24"/>
              </w:rPr>
            </w:pPr>
            <w:r w:rsidRPr="005C3B55">
              <w:rPr>
                <w:sz w:val="15"/>
                <w:szCs w:val="24"/>
              </w:rPr>
              <w:t>Decree on the treatment of biodegradable waste and the use of compost or digestate (Official Gazette of the Republic of Slovenia, no. 99/13):</w:t>
            </w:r>
            <w:r w:rsidRPr="005C3B55">
              <w:rPr>
                <w:noProof/>
                <w:sz w:val="15"/>
                <w:szCs w:val="24"/>
              </w:rPr>
              <w:t xml:space="preserve"> http://www.pisrs.si/Pis.web/pregledPredpisa?id=URED6281</w:t>
            </w:r>
          </w:p>
          <w:p w:rsidR="00BD3B5F" w:rsidRPr="005C3B55" w:rsidRDefault="00BD3B5F">
            <w:pPr>
              <w:spacing w:before="160" w:after="160"/>
              <w:jc w:val="left"/>
              <w:rPr>
                <w:noProof/>
                <w:szCs w:val="24"/>
              </w:rPr>
            </w:pPr>
            <w:r w:rsidRPr="005C3B55">
              <w:rPr>
                <w:sz w:val="15"/>
                <w:szCs w:val="24"/>
              </w:rPr>
              <w:t>Rules on the appropriate manner of protecting property and the types of measures for preventing further damage to property (Official Gazette of the Republic of Slovenia, no. 74/05):</w:t>
            </w:r>
            <w:r w:rsidRPr="005C3B55">
              <w:rPr>
                <w:noProof/>
                <w:sz w:val="15"/>
                <w:szCs w:val="24"/>
              </w:rPr>
              <w:t xml:space="preserve"> http://www.uradni-list.si/1/content?id=57504</w:t>
            </w:r>
          </w:p>
          <w:p w:rsidR="00BD3B5F" w:rsidRPr="005C3B55" w:rsidRDefault="00BD3B5F">
            <w:pPr>
              <w:spacing w:before="160" w:after="160"/>
              <w:jc w:val="left"/>
              <w:rPr>
                <w:noProof/>
                <w:szCs w:val="24"/>
              </w:rPr>
            </w:pPr>
            <w:r w:rsidRPr="005C3B55">
              <w:rPr>
                <w:sz w:val="15"/>
                <w:szCs w:val="24"/>
              </w:rPr>
              <w:t>Wild Game and Hunting Act (Official Gazette of the Republic of Slovenia, no. 16/04 with all amendments):</w:t>
            </w:r>
            <w:r w:rsidRPr="005C3B55">
              <w:rPr>
                <w:noProof/>
                <w:sz w:val="15"/>
                <w:szCs w:val="24"/>
              </w:rPr>
              <w:t xml:space="preserve"> http://www.pisrs.si/Pis.web/pregledPredpisa?id=ZAKO3780</w:t>
            </w:r>
          </w:p>
          <w:p w:rsidR="00BD3B5F" w:rsidRPr="005C3B55" w:rsidRDefault="00BD3B5F">
            <w:pPr>
              <w:spacing w:before="160" w:after="160"/>
              <w:jc w:val="left"/>
              <w:rPr>
                <w:noProof/>
                <w:szCs w:val="24"/>
              </w:rPr>
            </w:pPr>
            <w:r w:rsidRPr="005C3B55">
              <w:rPr>
                <w:sz w:val="15"/>
                <w:szCs w:val="24"/>
              </w:rPr>
              <w:t>Livestock-Breeding Act (Official Gazette of the Republic of Slovenia, no. 18/02, with all amendments):</w:t>
            </w:r>
            <w:r w:rsidRPr="005C3B55">
              <w:rPr>
                <w:noProof/>
                <w:sz w:val="15"/>
                <w:szCs w:val="24"/>
              </w:rPr>
              <w:t xml:space="preserve"> http://www.pisrs.si/Pis.web/pregledPredpisa?id=ZAKO1548</w:t>
            </w:r>
          </w:p>
          <w:p w:rsidR="00BD3B5F" w:rsidRPr="005C3B55" w:rsidRDefault="00BD3B5F">
            <w:pPr>
              <w:spacing w:before="160" w:after="160"/>
              <w:jc w:val="left"/>
              <w:rPr>
                <w:noProof/>
                <w:szCs w:val="24"/>
              </w:rPr>
            </w:pPr>
            <w:r w:rsidRPr="005C3B55">
              <w:rPr>
                <w:sz w:val="15"/>
                <w:szCs w:val="24"/>
              </w:rPr>
              <w:t>Decree on the water protection zone for the aquifer of Ljubljansko polje (Official Gazette of the Republic of Slovenia, no. 120/04 with all amendments):</w:t>
            </w:r>
            <w:r w:rsidRPr="005C3B55">
              <w:rPr>
                <w:noProof/>
                <w:sz w:val="15"/>
                <w:szCs w:val="24"/>
              </w:rPr>
              <w:t xml:space="preserve"> http://www.pisrs.si/Pis.web/pregledPredpisa?id=URED3298</w:t>
            </w:r>
          </w:p>
          <w:p w:rsidR="00BD3B5F" w:rsidRPr="005C3B55" w:rsidRDefault="00BD3B5F">
            <w:pPr>
              <w:spacing w:before="160" w:after="160"/>
              <w:jc w:val="left"/>
              <w:rPr>
                <w:noProof/>
                <w:szCs w:val="24"/>
              </w:rPr>
            </w:pPr>
            <w:r w:rsidRPr="005C3B55">
              <w:rPr>
                <w:sz w:val="15"/>
                <w:szCs w:val="24"/>
              </w:rPr>
              <w:t>Decree on the water protection zone for the aquifer of Selniška Dobrava (Official Gazette of the Republic of Slovenia, no. 72/06 with all amendments):</w:t>
            </w:r>
            <w:r w:rsidRPr="005C3B55">
              <w:rPr>
                <w:noProof/>
                <w:sz w:val="15"/>
                <w:szCs w:val="24"/>
              </w:rPr>
              <w:t xml:space="preserve"> http://www.pisrs.si/Pis.web/pregledPredpisa?id=URED4128</w:t>
            </w:r>
          </w:p>
          <w:p w:rsidR="00BD3B5F" w:rsidRPr="005C3B55" w:rsidRDefault="00BD3B5F">
            <w:pPr>
              <w:spacing w:before="160" w:after="160"/>
              <w:jc w:val="left"/>
              <w:rPr>
                <w:noProof/>
                <w:szCs w:val="24"/>
              </w:rPr>
            </w:pPr>
            <w:r w:rsidRPr="005C3B55">
              <w:rPr>
                <w:sz w:val="15"/>
                <w:szCs w:val="24"/>
              </w:rPr>
              <w:t>Decree on the water protection zone for the aquifers of Ruše, Vrbanski plato, Limbuška dobrava and Dravsko polje (Official Gazette of the Republic of Slovenia, no. 24/07 with all amendments):</w:t>
            </w:r>
            <w:r w:rsidRPr="005C3B55">
              <w:rPr>
                <w:noProof/>
                <w:sz w:val="15"/>
                <w:szCs w:val="24"/>
              </w:rPr>
              <w:t xml:space="preserve"> http://www.pisrs.si/Pis.web/pregledPredpisa?id=URED4242</w:t>
            </w:r>
          </w:p>
          <w:p w:rsidR="00BD3B5F" w:rsidRPr="005C3B55" w:rsidRDefault="00BD3B5F">
            <w:pPr>
              <w:spacing w:before="160" w:after="160"/>
              <w:jc w:val="left"/>
              <w:rPr>
                <w:noProof/>
                <w:szCs w:val="24"/>
              </w:rPr>
            </w:pPr>
            <w:r w:rsidRPr="005C3B55">
              <w:rPr>
                <w:sz w:val="15"/>
                <w:szCs w:val="24"/>
              </w:rPr>
              <w:t>Decree on determining the drinking water protection area for the Dravsko Ptujsko polje body of water (Official Gazette of the Republic of Slovenia, no. 59/07 with all amendments):</w:t>
            </w:r>
            <w:r w:rsidRPr="005C3B55">
              <w:rPr>
                <w:noProof/>
                <w:sz w:val="15"/>
                <w:szCs w:val="24"/>
              </w:rPr>
              <w:t xml:space="preserve"> http://www.pisrs.si/Pis.web/pregledPredpisa?id=URED4395</w:t>
            </w:r>
          </w:p>
          <w:p w:rsidR="00BD3B5F" w:rsidRPr="005C3B55" w:rsidRDefault="00BD3B5F">
            <w:pPr>
              <w:spacing w:before="160" w:after="160"/>
              <w:jc w:val="left"/>
              <w:rPr>
                <w:noProof/>
                <w:szCs w:val="24"/>
              </w:rPr>
            </w:pPr>
            <w:r w:rsidRPr="005C3B55">
              <w:rPr>
                <w:sz w:val="15"/>
                <w:szCs w:val="24"/>
              </w:rPr>
              <w:t>Decree on determining the drinking water protection area for the Apaško polje body of water (Official Gazette of the Republic of Slovenia, no. 59/07 with all amendments):</w:t>
            </w:r>
            <w:r w:rsidRPr="005C3B55">
              <w:rPr>
                <w:noProof/>
                <w:sz w:val="15"/>
                <w:szCs w:val="24"/>
              </w:rPr>
              <w:t xml:space="preserve"> http://www.pisrs.si/Pis.web/pregledPredpisa?id=URED4538</w:t>
            </w:r>
          </w:p>
          <w:p w:rsidR="00BD3B5F" w:rsidRPr="005C3B55" w:rsidRDefault="00BD3B5F">
            <w:pPr>
              <w:spacing w:before="160" w:after="160"/>
              <w:jc w:val="left"/>
              <w:rPr>
                <w:noProof/>
                <w:szCs w:val="24"/>
              </w:rPr>
            </w:pPr>
            <w:r w:rsidRPr="005C3B55">
              <w:rPr>
                <w:sz w:val="15"/>
                <w:szCs w:val="24"/>
              </w:rPr>
              <w:t>Decree on the water protection area for the aquifers of Ljubljansko barje and outskirts of Ljubljana (Official Gazette of the Republic of Slovenia, no. 115/07 with all amendments):</w:t>
            </w:r>
            <w:r w:rsidRPr="005C3B55">
              <w:rPr>
                <w:noProof/>
                <w:sz w:val="15"/>
                <w:szCs w:val="24"/>
              </w:rPr>
              <w:t xml:space="preserve"> http://www.pisrs.si/Pis.web/pregledPredpisa?id=URED4396</w:t>
            </w:r>
          </w:p>
          <w:p w:rsidR="00BD3B5F" w:rsidRPr="005C3B55" w:rsidRDefault="00BD3B5F">
            <w:pPr>
              <w:spacing w:before="160" w:after="160"/>
              <w:jc w:val="left"/>
              <w:rPr>
                <w:noProof/>
                <w:szCs w:val="24"/>
              </w:rPr>
            </w:pPr>
            <w:r w:rsidRPr="005C3B55">
              <w:rPr>
                <w:sz w:val="15"/>
                <w:szCs w:val="24"/>
              </w:rPr>
              <w:t>Decree on determining the drinking water protection area for the aquifers of Rižana (Official Gazette of the Republic of Slovenia, no. 49/08 with all amendments):</w:t>
            </w:r>
            <w:r w:rsidRPr="005C3B55">
              <w:rPr>
                <w:noProof/>
                <w:sz w:val="15"/>
                <w:szCs w:val="24"/>
              </w:rPr>
              <w:t xml:space="preserve"> http://www.pisrs.si/Pis.web/pregledPredpisa?id=URED4397</w:t>
            </w:r>
          </w:p>
          <w:p w:rsidR="00BD3B5F" w:rsidRPr="005C3B55" w:rsidRDefault="00BD3B5F">
            <w:pPr>
              <w:spacing w:before="160" w:after="160"/>
              <w:jc w:val="left"/>
              <w:rPr>
                <w:noProof/>
                <w:szCs w:val="24"/>
              </w:rPr>
            </w:pPr>
            <w:r w:rsidRPr="005C3B55">
              <w:rPr>
                <w:sz w:val="15"/>
                <w:szCs w:val="24"/>
              </w:rPr>
              <w:t>Decree on the water protection area for aquifers of the municipalities of Šmartno ob Paki, Polzela and Braslovče (Official Gazette of the Republic of Slovenia, no. 98/11 with all amendments):</w:t>
            </w:r>
            <w:r w:rsidRPr="005C3B55">
              <w:rPr>
                <w:noProof/>
                <w:sz w:val="15"/>
                <w:szCs w:val="24"/>
              </w:rPr>
              <w:t xml:space="preserve"> http://www.pisrs.si/Pis.web/pregledPredpisa?id=URED5828</w:t>
            </w:r>
          </w:p>
          <w:p w:rsidR="00BD3B5F" w:rsidRPr="005C3B55" w:rsidRDefault="00BD3B5F">
            <w:pPr>
              <w:spacing w:before="160" w:after="160"/>
              <w:jc w:val="left"/>
              <w:rPr>
                <w:noProof/>
                <w:szCs w:val="24"/>
              </w:rPr>
            </w:pPr>
            <w:r w:rsidRPr="005C3B55">
              <w:rPr>
                <w:sz w:val="15"/>
                <w:szCs w:val="24"/>
              </w:rPr>
              <w:t>Decree on the water protection area for the aquifers of the Municipality of Jezersko (Official Gazette of Republic of Slovenia, no. 24/12):</w:t>
            </w:r>
            <w:r w:rsidRPr="005C3B55">
              <w:rPr>
                <w:noProof/>
                <w:sz w:val="15"/>
                <w:szCs w:val="24"/>
              </w:rPr>
              <w:t xml:space="preserve"> http://www.uradni-list.si/1/content?id=107978</w:t>
            </w:r>
          </w:p>
          <w:p w:rsidR="00BD3B5F" w:rsidRPr="005C3B55" w:rsidRDefault="00BD3B5F">
            <w:pPr>
              <w:spacing w:before="160" w:after="160"/>
              <w:jc w:val="left"/>
              <w:rPr>
                <w:noProof/>
                <w:szCs w:val="24"/>
              </w:rPr>
            </w:pPr>
            <w:r w:rsidRPr="005C3B55">
              <w:rPr>
                <w:sz w:val="15"/>
                <w:szCs w:val="24"/>
              </w:rPr>
              <w:t>Decree on the water protection area for the aquifers of the Municipality of Jesenice (Official Gazette of the Republic of Slovenia, no. 62/13):</w:t>
            </w:r>
            <w:r w:rsidRPr="005C3B55">
              <w:rPr>
                <w:noProof/>
                <w:sz w:val="15"/>
                <w:szCs w:val="24"/>
              </w:rPr>
              <w:t xml:space="preserve"> http://www.uradni-list.si/1/content?id=114104</w:t>
            </w:r>
          </w:p>
          <w:p w:rsidR="00BD3B5F" w:rsidRPr="005C3B55" w:rsidRDefault="00BD3B5F">
            <w:pPr>
              <w:jc w:val="left"/>
              <w:rPr>
                <w:sz w:val="12"/>
                <w:szCs w:val="24"/>
              </w:rPr>
            </w:pPr>
          </w:p>
        </w:tc>
        <w:tc>
          <w:tcPr>
            <w:tcW w:w="536" w:type="pct"/>
            <w:shd w:val="clear" w:color="auto" w:fill="FFFFFF"/>
            <w:tcMar>
              <w:top w:w="20" w:type="dxa"/>
              <w:bottom w:w="20" w:type="dxa"/>
            </w:tcMar>
            <w:vAlign w:val="center"/>
          </w:tcPr>
          <w:p w:rsidR="00BD3B5F" w:rsidRPr="005C3B55" w:rsidRDefault="00BD3B5F">
            <w:pPr>
              <w:jc w:val="left"/>
              <w:rPr>
                <w:sz w:val="12"/>
                <w:szCs w:val="24"/>
              </w:rPr>
            </w:pPr>
            <w:r w:rsidRPr="005C3B55">
              <w:rPr>
                <w:sz w:val="12"/>
                <w:szCs w:val="24"/>
              </w:rPr>
              <w:t>Relevant national standards are determined and described in Chapter 8.2.9:</w:t>
            </w:r>
          </w:p>
          <w:p w:rsidR="00BD3B5F" w:rsidRPr="005C3B55" w:rsidRDefault="00BD3B5F">
            <w:pPr>
              <w:jc w:val="left"/>
              <w:rPr>
                <w:sz w:val="12"/>
                <w:szCs w:val="24"/>
              </w:rPr>
            </w:pPr>
            <w:r w:rsidRPr="005C3B55">
              <w:rPr>
                <w:sz w:val="12"/>
                <w:szCs w:val="24"/>
              </w:rPr>
              <w:t>Decree on direct payments schemes for the period 2015-2020</w:t>
            </w:r>
          </w:p>
          <w:p w:rsidR="00BD3B5F" w:rsidRPr="005C3B55" w:rsidRDefault="00BD3B5F">
            <w:pPr>
              <w:jc w:val="left"/>
              <w:rPr>
                <w:sz w:val="12"/>
                <w:szCs w:val="24"/>
              </w:rPr>
            </w:pPr>
          </w:p>
          <w:p w:rsidR="00BD3B5F" w:rsidRPr="005C3B55" w:rsidRDefault="00BD3B5F">
            <w:pPr>
              <w:jc w:val="left"/>
              <w:rPr>
                <w:szCs w:val="24"/>
              </w:rPr>
            </w:pPr>
            <w:r w:rsidRPr="005C3B55">
              <w:rPr>
                <w:sz w:val="12"/>
                <w:szCs w:val="24"/>
              </w:rPr>
              <w:t>Rules on integrated pest management (Official Gazette of the Republic of Slovenia, no. 43/14)</w:t>
            </w:r>
          </w:p>
          <w:p w:rsidR="00BD3B5F" w:rsidRPr="005C3B55" w:rsidRDefault="00BD3B5F">
            <w:pPr>
              <w:jc w:val="left"/>
              <w:rPr>
                <w:sz w:val="12"/>
                <w:szCs w:val="24"/>
              </w:rPr>
            </w:pPr>
          </w:p>
          <w:p w:rsidR="00BD3B5F" w:rsidRPr="005C3B55" w:rsidRDefault="00BD3B5F">
            <w:pPr>
              <w:jc w:val="left"/>
              <w:rPr>
                <w:szCs w:val="24"/>
              </w:rPr>
            </w:pPr>
            <w:r w:rsidRPr="005C3B55">
              <w:rPr>
                <w:sz w:val="12"/>
                <w:szCs w:val="24"/>
              </w:rPr>
              <w:t>Decree on the treatment of biodegradable waste and the use of compost or digestate (Official Gazette of the Republic of Slovenia, no. 99/13)</w:t>
            </w:r>
          </w:p>
          <w:p w:rsidR="00BD3B5F" w:rsidRPr="005C3B55" w:rsidRDefault="00BD3B5F">
            <w:pPr>
              <w:jc w:val="left"/>
              <w:rPr>
                <w:sz w:val="12"/>
                <w:szCs w:val="24"/>
              </w:rPr>
            </w:pPr>
          </w:p>
          <w:p w:rsidR="00BD3B5F" w:rsidRPr="005C3B55" w:rsidRDefault="00BD3B5F">
            <w:pPr>
              <w:jc w:val="left"/>
              <w:rPr>
                <w:szCs w:val="24"/>
              </w:rPr>
            </w:pPr>
            <w:r w:rsidRPr="005C3B55">
              <w:rPr>
                <w:sz w:val="12"/>
                <w:szCs w:val="24"/>
              </w:rPr>
              <w:t>Decree on the water protection zone for the aquifer of Ljubljansko polje (Official Gazette of the Republic of Slovenia, no. 120/04 with all amendments)</w:t>
            </w:r>
          </w:p>
          <w:p w:rsidR="00BD3B5F" w:rsidRPr="005C3B55" w:rsidRDefault="00BD3B5F">
            <w:pPr>
              <w:jc w:val="left"/>
              <w:rPr>
                <w:sz w:val="12"/>
                <w:szCs w:val="24"/>
              </w:rPr>
            </w:pPr>
          </w:p>
          <w:p w:rsidR="00BD3B5F" w:rsidRPr="005C3B55" w:rsidRDefault="00BD3B5F">
            <w:pPr>
              <w:jc w:val="left"/>
              <w:rPr>
                <w:szCs w:val="24"/>
              </w:rPr>
            </w:pPr>
            <w:r w:rsidRPr="005C3B55">
              <w:rPr>
                <w:sz w:val="12"/>
                <w:szCs w:val="24"/>
              </w:rPr>
              <w:t>Decree on the water protection zone for the aquifer of Selniška Dobrava (Official Gazette of the Republic of Slovenia, no. 72/06 with all amendments)</w:t>
            </w:r>
          </w:p>
          <w:p w:rsidR="00BD3B5F" w:rsidRPr="005C3B55" w:rsidRDefault="00BD3B5F">
            <w:pPr>
              <w:jc w:val="left"/>
              <w:rPr>
                <w:sz w:val="12"/>
                <w:szCs w:val="24"/>
              </w:rPr>
            </w:pPr>
          </w:p>
          <w:p w:rsidR="00BD3B5F" w:rsidRPr="005C3B55" w:rsidRDefault="00BD3B5F">
            <w:pPr>
              <w:jc w:val="left"/>
              <w:rPr>
                <w:szCs w:val="24"/>
              </w:rPr>
            </w:pPr>
            <w:r w:rsidRPr="005C3B55">
              <w:rPr>
                <w:sz w:val="12"/>
                <w:szCs w:val="24"/>
              </w:rPr>
              <w:t>Decree on the water protection zone for the aquifers of Ruše, Vrbanski plato, Limbuška dobrava and Dravsko polje (Official Gazette of the Republic of Slovenia, no. 24/07 with all amendments)</w:t>
            </w:r>
          </w:p>
          <w:p w:rsidR="00BD3B5F" w:rsidRPr="005C3B55" w:rsidRDefault="00BD3B5F">
            <w:pPr>
              <w:jc w:val="left"/>
              <w:rPr>
                <w:sz w:val="12"/>
                <w:szCs w:val="24"/>
              </w:rPr>
            </w:pPr>
          </w:p>
          <w:p w:rsidR="00BD3B5F" w:rsidRPr="005C3B55" w:rsidRDefault="00BD3B5F">
            <w:pPr>
              <w:jc w:val="left"/>
              <w:rPr>
                <w:szCs w:val="24"/>
              </w:rPr>
            </w:pPr>
            <w:r w:rsidRPr="005C3B55">
              <w:rPr>
                <w:sz w:val="12"/>
                <w:szCs w:val="24"/>
              </w:rPr>
              <w:t>Decree on determining the drinking water protection area for the Dravsko Ptujsko polje body of water (Official Gazette of the Republic of Slovenia, no. 59/07 with all amendments)</w:t>
            </w:r>
          </w:p>
          <w:p w:rsidR="00BD3B5F" w:rsidRPr="005C3B55" w:rsidRDefault="00BD3B5F">
            <w:pPr>
              <w:jc w:val="left"/>
              <w:rPr>
                <w:sz w:val="12"/>
                <w:szCs w:val="24"/>
              </w:rPr>
            </w:pPr>
          </w:p>
          <w:p w:rsidR="00BD3B5F" w:rsidRPr="005C3B55" w:rsidRDefault="00BD3B5F">
            <w:pPr>
              <w:jc w:val="left"/>
              <w:rPr>
                <w:szCs w:val="24"/>
              </w:rPr>
            </w:pPr>
            <w:r w:rsidRPr="005C3B55">
              <w:rPr>
                <w:sz w:val="12"/>
                <w:szCs w:val="24"/>
              </w:rPr>
              <w:t>Decree on determining the drinking water protection area for the Apaško polje body of water (Official Gazette of the Republic of Slovenia, no. 59/07 with all amendments)</w:t>
            </w:r>
          </w:p>
          <w:p w:rsidR="00BD3B5F" w:rsidRPr="005C3B55" w:rsidRDefault="00BD3B5F">
            <w:pPr>
              <w:jc w:val="left"/>
              <w:rPr>
                <w:sz w:val="12"/>
                <w:szCs w:val="24"/>
              </w:rPr>
            </w:pPr>
          </w:p>
          <w:p w:rsidR="00BD3B5F" w:rsidRPr="005C3B55" w:rsidRDefault="00BD3B5F">
            <w:pPr>
              <w:jc w:val="left"/>
              <w:rPr>
                <w:szCs w:val="24"/>
              </w:rPr>
            </w:pPr>
            <w:r w:rsidRPr="005C3B55">
              <w:rPr>
                <w:sz w:val="12"/>
                <w:szCs w:val="24"/>
              </w:rPr>
              <w:t>Decree on the water protection area for the aquifers of Ljubljansko barje and outskirts of Ljubljana (Official Gazette of the Republic of Slovenia, no. 115/07 with all amendments)</w:t>
            </w:r>
          </w:p>
          <w:p w:rsidR="00BD3B5F" w:rsidRPr="005C3B55" w:rsidRDefault="00BD3B5F">
            <w:pPr>
              <w:jc w:val="left"/>
              <w:rPr>
                <w:sz w:val="12"/>
                <w:szCs w:val="24"/>
              </w:rPr>
            </w:pPr>
          </w:p>
          <w:p w:rsidR="00BD3B5F" w:rsidRPr="005C3B55" w:rsidRDefault="00BD3B5F">
            <w:pPr>
              <w:jc w:val="left"/>
              <w:rPr>
                <w:szCs w:val="24"/>
              </w:rPr>
            </w:pPr>
            <w:r w:rsidRPr="005C3B55">
              <w:rPr>
                <w:sz w:val="12"/>
                <w:szCs w:val="24"/>
              </w:rPr>
              <w:t>Decree on determining the drinking water protection area for the aquifers of Rižana (Official Gazette of the Republic of Slovenia, no. 49/08 with all amendments)</w:t>
            </w:r>
          </w:p>
          <w:p w:rsidR="00BD3B5F" w:rsidRPr="005C3B55" w:rsidRDefault="00BD3B5F">
            <w:pPr>
              <w:jc w:val="left"/>
              <w:rPr>
                <w:sz w:val="12"/>
                <w:szCs w:val="24"/>
              </w:rPr>
            </w:pPr>
          </w:p>
          <w:p w:rsidR="00BD3B5F" w:rsidRPr="005C3B55" w:rsidRDefault="00BD3B5F">
            <w:pPr>
              <w:jc w:val="left"/>
              <w:rPr>
                <w:szCs w:val="24"/>
              </w:rPr>
            </w:pPr>
            <w:r w:rsidRPr="005C3B55">
              <w:rPr>
                <w:sz w:val="12"/>
                <w:szCs w:val="24"/>
              </w:rPr>
              <w:t>Decree on the water protection area for aquifers of the municipalities of Šmartno ob Paki, Polzela and Braslovče (Official Gazette of the Republic of Slovenia, no. 98/11 with all amendments)</w:t>
            </w:r>
          </w:p>
          <w:p w:rsidR="00BD3B5F" w:rsidRPr="005C3B55" w:rsidRDefault="00BD3B5F">
            <w:pPr>
              <w:jc w:val="left"/>
              <w:rPr>
                <w:sz w:val="12"/>
                <w:szCs w:val="24"/>
              </w:rPr>
            </w:pPr>
          </w:p>
          <w:p w:rsidR="00BD3B5F" w:rsidRPr="005C3B55" w:rsidRDefault="00BD3B5F">
            <w:pPr>
              <w:jc w:val="left"/>
              <w:rPr>
                <w:szCs w:val="24"/>
              </w:rPr>
            </w:pPr>
            <w:r w:rsidRPr="005C3B55">
              <w:rPr>
                <w:sz w:val="12"/>
                <w:szCs w:val="24"/>
              </w:rPr>
              <w:t>Decree on the water protection area for the aquifers of the Municipality of Jezersko (Official Gazette of Republic of Slovenia, no. 24/12)</w:t>
            </w:r>
          </w:p>
          <w:p w:rsidR="00BD3B5F" w:rsidRPr="005C3B55" w:rsidRDefault="00BD3B5F">
            <w:pPr>
              <w:jc w:val="left"/>
              <w:rPr>
                <w:sz w:val="12"/>
                <w:szCs w:val="24"/>
              </w:rPr>
            </w:pPr>
          </w:p>
          <w:p w:rsidR="00BD3B5F" w:rsidRPr="005C3B55" w:rsidRDefault="00BD3B5F">
            <w:pPr>
              <w:jc w:val="left"/>
              <w:rPr>
                <w:szCs w:val="24"/>
              </w:rPr>
            </w:pPr>
            <w:r w:rsidRPr="005C3B55">
              <w:rPr>
                <w:sz w:val="12"/>
                <w:szCs w:val="24"/>
              </w:rPr>
              <w:t>Decree on the water protection area for the aquifers of the Municipality of Jesenice (Official Gazette of the Republic of Slovenia, no. 62/13)</w:t>
            </w:r>
          </w:p>
          <w:p w:rsidR="00BD3B5F" w:rsidRPr="005C3B55" w:rsidRDefault="00BD3B5F">
            <w:pPr>
              <w:jc w:val="left"/>
              <w:rPr>
                <w:sz w:val="12"/>
                <w:szCs w:val="24"/>
              </w:rPr>
            </w:pPr>
          </w:p>
          <w:p w:rsidR="00BD3B5F" w:rsidRPr="005C3B55" w:rsidRDefault="00BD3B5F">
            <w:pPr>
              <w:jc w:val="left"/>
              <w:rPr>
                <w:szCs w:val="24"/>
              </w:rPr>
            </w:pPr>
            <w:r w:rsidRPr="005C3B55">
              <w:rPr>
                <w:sz w:val="12"/>
                <w:szCs w:val="24"/>
              </w:rPr>
              <w:t>Rules on the appropriate manner of protecting property and the types of measures for preventing further damage to property (Official Gazette of the Republic of Slovenia, no. 74/05)</w:t>
            </w:r>
          </w:p>
          <w:p w:rsidR="00BD3B5F" w:rsidRPr="005C3B55" w:rsidRDefault="00BD3B5F">
            <w:pPr>
              <w:jc w:val="left"/>
              <w:rPr>
                <w:sz w:val="12"/>
                <w:szCs w:val="24"/>
              </w:rPr>
            </w:pPr>
          </w:p>
          <w:p w:rsidR="00BD3B5F" w:rsidRPr="005C3B55" w:rsidRDefault="00BD3B5F">
            <w:pPr>
              <w:jc w:val="left"/>
              <w:rPr>
                <w:szCs w:val="24"/>
              </w:rPr>
            </w:pPr>
            <w:r w:rsidRPr="005C3B55">
              <w:rPr>
                <w:sz w:val="12"/>
                <w:szCs w:val="24"/>
              </w:rPr>
              <w:t>Wild Game and Hunting Act (Official Gazette of the Republic of Slovenia, no. 16/04 with all amendments)</w:t>
            </w:r>
          </w:p>
          <w:p w:rsidR="00BD3B5F" w:rsidRPr="005C3B55" w:rsidRDefault="00BD3B5F">
            <w:pPr>
              <w:jc w:val="left"/>
              <w:rPr>
                <w:sz w:val="12"/>
                <w:szCs w:val="24"/>
              </w:rPr>
            </w:pPr>
          </w:p>
          <w:p w:rsidR="00BD3B5F" w:rsidRPr="005C3B55" w:rsidRDefault="00BD3B5F">
            <w:pPr>
              <w:jc w:val="left"/>
              <w:rPr>
                <w:szCs w:val="24"/>
              </w:rPr>
            </w:pPr>
            <w:r w:rsidRPr="005C3B55">
              <w:rPr>
                <w:sz w:val="12"/>
                <w:szCs w:val="24"/>
              </w:rPr>
              <w:t>Livestock-Breeding Act (Official Gazette of the Republic of Slovenia, no. 18/02, with all amendments)</w:t>
            </w:r>
          </w:p>
        </w:tc>
      </w:tr>
      <w:tr w:rsidR="00BD3B5F" w:rsidRPr="005C3B55">
        <w:tc>
          <w:tcPr>
            <w:tcW w:w="577" w:type="pct"/>
            <w:vMerge w:val="restart"/>
            <w:shd w:val="clear" w:color="auto" w:fill="FFFFFF"/>
            <w:tcMar>
              <w:top w:w="20" w:type="dxa"/>
              <w:bottom w:w="20" w:type="dxa"/>
            </w:tcMar>
            <w:vAlign w:val="center"/>
          </w:tcPr>
          <w:p w:rsidR="00BD3B5F" w:rsidRPr="005C3B55" w:rsidRDefault="00BD3B5F">
            <w:pPr>
              <w:jc w:val="left"/>
              <w:rPr>
                <w:szCs w:val="24"/>
              </w:rPr>
            </w:pPr>
            <w:r w:rsidRPr="005C3B55">
              <w:rPr>
                <w:sz w:val="12"/>
                <w:szCs w:val="24"/>
              </w:rPr>
              <w:t>P6.1) Next generation access infrastructure: The existence of national and regional next generation access plans, which include regional measures for attaining EU objectives as per high-speed Internet access, with an emphasis on fields where the market fails to provide sufficient high-quality open infrastructure at acceptable prices as per EU rules on competition and state aid, and to provide accessible services to vulnerable groups</w:t>
            </w:r>
          </w:p>
        </w:tc>
        <w:tc>
          <w:tcPr>
            <w:tcW w:w="577" w:type="pct"/>
            <w:shd w:val="clear" w:color="auto" w:fill="FFFFFF"/>
            <w:tcMar>
              <w:top w:w="20" w:type="dxa"/>
              <w:bottom w:w="20" w:type="dxa"/>
            </w:tcMar>
            <w:vAlign w:val="center"/>
          </w:tcPr>
          <w:p w:rsidR="00BD3B5F" w:rsidRPr="005C3B55" w:rsidRDefault="00BD3B5F">
            <w:pPr>
              <w:jc w:val="left"/>
              <w:rPr>
                <w:szCs w:val="24"/>
              </w:rPr>
            </w:pPr>
            <w:r w:rsidRPr="005C3B55">
              <w:rPr>
                <w:sz w:val="12"/>
                <w:szCs w:val="24"/>
              </w:rPr>
              <w:t>P6.1.a) A national or regional NGA plan is formed which includes: a plan of infrastructure investments based on economic analysis which observed the existing private and public infrastructure and  planned investments;</w:t>
            </w:r>
          </w:p>
        </w:tc>
        <w:tc>
          <w:tcPr>
            <w:tcW w:w="269" w:type="pct"/>
            <w:shd w:val="clear" w:color="auto" w:fill="FFFFFF"/>
            <w:tcMar>
              <w:top w:w="20" w:type="dxa"/>
              <w:bottom w:w="20" w:type="dxa"/>
            </w:tcMar>
            <w:vAlign w:val="center"/>
          </w:tcPr>
          <w:p w:rsidR="00BD3B5F" w:rsidRPr="005C3B55" w:rsidRDefault="00BD3B5F">
            <w:pPr>
              <w:jc w:val="left"/>
              <w:rPr>
                <w:sz w:val="12"/>
                <w:szCs w:val="24"/>
              </w:rPr>
            </w:pPr>
            <w:r w:rsidRPr="005C3B55">
              <w:rPr>
                <w:noProof/>
                <w:sz w:val="12"/>
                <w:szCs w:val="24"/>
              </w:rPr>
              <w:t>No</w:t>
            </w:r>
          </w:p>
        </w:tc>
        <w:tc>
          <w:tcPr>
            <w:tcW w:w="3042" w:type="pct"/>
            <w:shd w:val="clear" w:color="auto" w:fill="FFFFFF"/>
            <w:tcMar>
              <w:top w:w="20" w:type="dxa"/>
              <w:bottom w:w="20" w:type="dxa"/>
            </w:tcMar>
            <w:vAlign w:val="center"/>
          </w:tcPr>
          <w:p w:rsidR="00BD3B5F" w:rsidRPr="005C3B55" w:rsidRDefault="00BD3B5F">
            <w:pPr>
              <w:spacing w:before="0" w:after="160"/>
              <w:jc w:val="left"/>
              <w:rPr>
                <w:noProof/>
                <w:szCs w:val="24"/>
              </w:rPr>
            </w:pPr>
            <w:r w:rsidRPr="005C3B55">
              <w:rPr>
                <w:sz w:val="15"/>
                <w:szCs w:val="24"/>
              </w:rPr>
              <w:t>Broadband Network Development Strategy in the Republic of Slovenia:</w:t>
            </w:r>
            <w:r w:rsidRPr="005C3B55">
              <w:rPr>
                <w:noProof/>
                <w:sz w:val="15"/>
                <w:szCs w:val="24"/>
              </w:rPr>
              <w:t xml:space="preserve"> http://www.arhiv.mvzt.gov.si/fileadmin/mvzt.gov.si/pageuploads/DEK/Elektronske_komunikacije/Strategije/Strategija_BB_2008-07-10_EN.pdf</w:t>
            </w:r>
          </w:p>
          <w:p w:rsidR="00BD3B5F" w:rsidRPr="005C3B55" w:rsidRDefault="00BD3B5F">
            <w:pPr>
              <w:spacing w:before="160" w:after="160"/>
              <w:jc w:val="left"/>
              <w:rPr>
                <w:noProof/>
                <w:szCs w:val="24"/>
              </w:rPr>
            </w:pPr>
            <w:r w:rsidRPr="005C3B55">
              <w:rPr>
                <w:sz w:val="15"/>
                <w:szCs w:val="24"/>
              </w:rPr>
              <w:t>GURS website:</w:t>
            </w:r>
            <w:r w:rsidRPr="005C3B55">
              <w:rPr>
                <w:noProof/>
                <w:sz w:val="15"/>
                <w:szCs w:val="24"/>
              </w:rPr>
              <w:t xml:space="preserve"> http://prostor3.gov.si/javni/login.jsp?jezik=en</w:t>
            </w:r>
          </w:p>
          <w:p w:rsidR="00BD3B5F" w:rsidRPr="005C3B55" w:rsidRDefault="00BD3B5F">
            <w:pPr>
              <w:jc w:val="left"/>
              <w:rPr>
                <w:sz w:val="12"/>
                <w:szCs w:val="24"/>
              </w:rPr>
            </w:pPr>
          </w:p>
        </w:tc>
        <w:tc>
          <w:tcPr>
            <w:tcW w:w="536" w:type="pct"/>
            <w:shd w:val="clear" w:color="auto" w:fill="FFFFFF"/>
            <w:tcMar>
              <w:top w:w="20" w:type="dxa"/>
              <w:bottom w:w="20" w:type="dxa"/>
            </w:tcMar>
            <w:vAlign w:val="center"/>
          </w:tcPr>
          <w:p w:rsidR="00BD3B5F" w:rsidRPr="005C3B55" w:rsidRDefault="00BD3B5F">
            <w:pPr>
              <w:jc w:val="left"/>
              <w:rPr>
                <w:sz w:val="12"/>
                <w:szCs w:val="24"/>
              </w:rPr>
            </w:pPr>
            <w:r w:rsidRPr="005C3B55">
              <w:rPr>
                <w:sz w:val="12"/>
                <w:szCs w:val="24"/>
              </w:rPr>
              <w:t>The broadband network development strategy in Slovenia (since 2008) includes the objectives of electronic communications development, a plan of investments in infrastructure (economic analysis, existing infrastructure, published private investment plans), measures for attaining the objectives (radiofrequency spectrum, reduction of construction costs, etc.), measures to encourage the entry of private capital in the construction of broadband networks in areas with insufficient market interest.</w:t>
            </w:r>
          </w:p>
          <w:p w:rsidR="00BD3B5F" w:rsidRPr="005C3B55" w:rsidRDefault="00BD3B5F">
            <w:pPr>
              <w:jc w:val="left"/>
              <w:rPr>
                <w:szCs w:val="24"/>
              </w:rPr>
            </w:pPr>
            <w:r w:rsidRPr="005C3B55">
              <w:rPr>
                <w:sz w:val="12"/>
                <w:szCs w:val="24"/>
              </w:rPr>
              <w:t>The new broadband network development strategy, including the national plan for the next generation network, is being prepared. The plan includes measures which ensure the attainment of EU target values in the field of high-speed internet access, with an emphasis on fields where the Slovenian market does not provide high-quality open infrastructure at an acceptable price.</w:t>
            </w:r>
          </w:p>
          <w:p w:rsidR="00BD3B5F" w:rsidRPr="005C3B55" w:rsidRDefault="00BD3B5F">
            <w:pPr>
              <w:jc w:val="left"/>
              <w:rPr>
                <w:sz w:val="12"/>
                <w:szCs w:val="24"/>
              </w:rPr>
            </w:pPr>
            <w:r w:rsidRPr="005C3B55">
              <w:rPr>
                <w:sz w:val="12"/>
                <w:szCs w:val="24"/>
              </w:rPr>
              <w:t xml:space="preserve">The national plan for the next generation network will include a plan of investments in infrastructure (economic analysis, published private investment plans, budget funds, estimated costs), costs, a presentation of planned investment models and measures to encourage private investments. </w:t>
            </w:r>
          </w:p>
          <w:p w:rsidR="00BD3B5F" w:rsidRPr="005C3B55" w:rsidRDefault="00BD3B5F">
            <w:pPr>
              <w:jc w:val="left"/>
              <w:rPr>
                <w:szCs w:val="24"/>
              </w:rPr>
            </w:pPr>
            <w:r w:rsidRPr="005C3B55">
              <w:rPr>
                <w:sz w:val="12"/>
                <w:szCs w:val="24"/>
              </w:rPr>
              <w:t xml:space="preserve">The platform for monitoring broadband data and the Consolidated Cadastre of Public Infrastructure with broadband data already exist. </w:t>
            </w:r>
          </w:p>
          <w:p w:rsidR="00BD3B5F" w:rsidRPr="005C3B55" w:rsidRDefault="00BD3B5F">
            <w:pPr>
              <w:jc w:val="left"/>
              <w:rPr>
                <w:sz w:val="12"/>
                <w:szCs w:val="24"/>
              </w:rPr>
            </w:pPr>
            <w:r w:rsidRPr="005C3B55">
              <w:rPr>
                <w:sz w:val="12"/>
                <w:szCs w:val="24"/>
              </w:rPr>
              <w:t>The allocation of electronic communications infrastructure is being prepared:</w:t>
            </w:r>
          </w:p>
          <w:p w:rsidR="00BD3B5F" w:rsidRPr="005C3B55" w:rsidRDefault="00BD3B5F">
            <w:pPr>
              <w:jc w:val="left"/>
              <w:rPr>
                <w:sz w:val="12"/>
                <w:szCs w:val="24"/>
              </w:rPr>
            </w:pPr>
            <w:r w:rsidRPr="005C3B55">
              <w:rPr>
                <w:sz w:val="12"/>
                <w:szCs w:val="24"/>
              </w:rPr>
              <w:t>- a platform for monitoring broadband data (YES),</w:t>
            </w:r>
          </w:p>
          <w:p w:rsidR="00BD3B5F" w:rsidRPr="005C3B55" w:rsidRDefault="00BD3B5F">
            <w:pPr>
              <w:jc w:val="left"/>
              <w:rPr>
                <w:sz w:val="12"/>
                <w:szCs w:val="24"/>
              </w:rPr>
            </w:pPr>
            <w:r w:rsidRPr="005C3B55">
              <w:rPr>
                <w:sz w:val="12"/>
                <w:szCs w:val="24"/>
              </w:rPr>
              <w:t>- modernisation of the Consolidated Cadastre of Public Infrastructure with broadband data (by December 2013),</w:t>
            </w:r>
          </w:p>
          <w:p w:rsidR="00BD3B5F" w:rsidRPr="005C3B55" w:rsidRDefault="00BD3B5F">
            <w:pPr>
              <w:jc w:val="left"/>
              <w:rPr>
                <w:sz w:val="12"/>
                <w:szCs w:val="24"/>
              </w:rPr>
            </w:pPr>
            <w:r w:rsidRPr="005C3B55">
              <w:rPr>
                <w:sz w:val="12"/>
                <w:szCs w:val="24"/>
              </w:rPr>
              <w:t>- an analysis of broadband data with various user interfaces (by December 2013).</w:t>
            </w:r>
          </w:p>
          <w:p w:rsidR="00BD3B5F" w:rsidRPr="005C3B55" w:rsidRDefault="00BD3B5F">
            <w:pPr>
              <w:jc w:val="left"/>
              <w:rPr>
                <w:sz w:val="12"/>
                <w:szCs w:val="24"/>
              </w:rPr>
            </w:pPr>
            <w:r w:rsidRPr="005C3B55">
              <w:rPr>
                <w:sz w:val="12"/>
                <w:szCs w:val="24"/>
              </w:rPr>
              <w:t>Data is available at GURS website.</w:t>
            </w:r>
          </w:p>
          <w:p w:rsidR="00BD3B5F" w:rsidRPr="005C3B55" w:rsidRDefault="00BD3B5F">
            <w:pPr>
              <w:jc w:val="left"/>
              <w:rPr>
                <w:sz w:val="12"/>
                <w:szCs w:val="24"/>
              </w:rPr>
            </w:pPr>
          </w:p>
        </w:tc>
      </w:tr>
      <w:tr w:rsidR="00BD3B5F" w:rsidRPr="005C3B55">
        <w:tc>
          <w:tcPr>
            <w:tcW w:w="577" w:type="pct"/>
            <w:vMerge/>
            <w:shd w:val="clear" w:color="auto" w:fill="FFFFFF"/>
            <w:tcMar>
              <w:top w:w="20" w:type="dxa"/>
              <w:bottom w:w="20" w:type="dxa"/>
            </w:tcMar>
            <w:vAlign w:val="center"/>
          </w:tcPr>
          <w:p w:rsidR="00BD3B5F" w:rsidRPr="005C3B55" w:rsidRDefault="00BD3B5F">
            <w:pPr>
              <w:jc w:val="left"/>
              <w:rPr>
                <w:sz w:val="12"/>
                <w:szCs w:val="24"/>
              </w:rPr>
            </w:pPr>
          </w:p>
        </w:tc>
        <w:tc>
          <w:tcPr>
            <w:tcW w:w="577" w:type="pct"/>
            <w:shd w:val="clear" w:color="auto" w:fill="FFFFFF"/>
            <w:tcMar>
              <w:top w:w="20" w:type="dxa"/>
              <w:bottom w:w="20" w:type="dxa"/>
            </w:tcMar>
            <w:vAlign w:val="center"/>
          </w:tcPr>
          <w:p w:rsidR="00BD3B5F" w:rsidRPr="005C3B55" w:rsidRDefault="00BD3B5F">
            <w:pPr>
              <w:jc w:val="left"/>
              <w:rPr>
                <w:szCs w:val="24"/>
              </w:rPr>
            </w:pPr>
            <w:r w:rsidRPr="005C3B55">
              <w:rPr>
                <w:sz w:val="12"/>
                <w:szCs w:val="24"/>
              </w:rPr>
              <w:t>P6.1.b) A national or regional NGA plan is formed which includes: sustainable investment models which enhance competition and provide access to open, affordable and high-quality infrastructure and services which will be suitable also in future</w:t>
            </w:r>
          </w:p>
        </w:tc>
        <w:tc>
          <w:tcPr>
            <w:tcW w:w="269" w:type="pct"/>
            <w:shd w:val="clear" w:color="auto" w:fill="FFFFFF"/>
            <w:tcMar>
              <w:top w:w="20" w:type="dxa"/>
              <w:bottom w:w="20" w:type="dxa"/>
            </w:tcMar>
            <w:vAlign w:val="center"/>
          </w:tcPr>
          <w:p w:rsidR="00BD3B5F" w:rsidRPr="005C3B55" w:rsidRDefault="00BD3B5F">
            <w:pPr>
              <w:jc w:val="left"/>
              <w:rPr>
                <w:sz w:val="12"/>
                <w:szCs w:val="24"/>
              </w:rPr>
            </w:pPr>
            <w:r w:rsidRPr="005C3B55">
              <w:rPr>
                <w:noProof/>
                <w:sz w:val="12"/>
                <w:szCs w:val="24"/>
              </w:rPr>
              <w:t>No</w:t>
            </w:r>
          </w:p>
        </w:tc>
        <w:tc>
          <w:tcPr>
            <w:tcW w:w="3042" w:type="pct"/>
            <w:shd w:val="clear" w:color="auto" w:fill="FFFFFF"/>
            <w:tcMar>
              <w:top w:w="20" w:type="dxa"/>
              <w:bottom w:w="20" w:type="dxa"/>
            </w:tcMar>
            <w:vAlign w:val="center"/>
          </w:tcPr>
          <w:p w:rsidR="00BD3B5F" w:rsidRPr="005C3B55" w:rsidRDefault="00BD3B5F">
            <w:pPr>
              <w:spacing w:before="0" w:after="160"/>
              <w:jc w:val="left"/>
              <w:rPr>
                <w:noProof/>
                <w:szCs w:val="24"/>
              </w:rPr>
            </w:pPr>
            <w:r w:rsidRPr="005C3B55">
              <w:rPr>
                <w:sz w:val="15"/>
                <w:szCs w:val="24"/>
              </w:rPr>
              <w:t>Electronic Communications Act:</w:t>
            </w:r>
            <w:r w:rsidRPr="005C3B55">
              <w:rPr>
                <w:noProof/>
                <w:sz w:val="15"/>
                <w:szCs w:val="24"/>
              </w:rPr>
              <w:t xml:space="preserve"> http://www.uradni-list.si/1/content?id=111442</w:t>
            </w:r>
          </w:p>
          <w:p w:rsidR="00BD3B5F" w:rsidRPr="005C3B55" w:rsidRDefault="00BD3B5F">
            <w:pPr>
              <w:jc w:val="left"/>
              <w:rPr>
                <w:sz w:val="12"/>
                <w:szCs w:val="24"/>
              </w:rPr>
            </w:pPr>
          </w:p>
        </w:tc>
        <w:tc>
          <w:tcPr>
            <w:tcW w:w="536" w:type="pct"/>
            <w:shd w:val="clear" w:color="auto" w:fill="FFFFFF"/>
            <w:tcMar>
              <w:top w:w="20" w:type="dxa"/>
              <w:bottom w:w="20" w:type="dxa"/>
            </w:tcMar>
            <w:vAlign w:val="center"/>
          </w:tcPr>
          <w:p w:rsidR="00BD3B5F" w:rsidRPr="005C3B55" w:rsidRDefault="00BD3B5F">
            <w:pPr>
              <w:jc w:val="left"/>
              <w:rPr>
                <w:szCs w:val="24"/>
              </w:rPr>
            </w:pPr>
            <w:r w:rsidRPr="005C3B55">
              <w:rPr>
                <w:sz w:val="12"/>
                <w:szCs w:val="24"/>
              </w:rPr>
              <w:t xml:space="preserve">The new Electronic Communications Act (Official Gazette of the Republic of Slovenia, no. 109/2012) serves as the legal basis for measures promoting private investments and the reduction of construction costs. </w:t>
            </w:r>
          </w:p>
          <w:p w:rsidR="00BD3B5F" w:rsidRPr="005C3B55" w:rsidRDefault="00BD3B5F">
            <w:pPr>
              <w:jc w:val="left"/>
              <w:rPr>
                <w:sz w:val="12"/>
                <w:szCs w:val="24"/>
              </w:rPr>
            </w:pPr>
            <w:r w:rsidRPr="005C3B55">
              <w:rPr>
                <w:sz w:val="12"/>
                <w:szCs w:val="24"/>
              </w:rPr>
              <w:t>http://www.uradni-list.si/1/content?id=111442 Operational details will be determined in the national plan for next generation network.</w:t>
            </w:r>
          </w:p>
          <w:p w:rsidR="00BD3B5F" w:rsidRPr="005C3B55" w:rsidRDefault="00BD3B5F">
            <w:pPr>
              <w:jc w:val="left"/>
              <w:rPr>
                <w:sz w:val="12"/>
                <w:szCs w:val="24"/>
              </w:rPr>
            </w:pPr>
          </w:p>
        </w:tc>
      </w:tr>
      <w:tr w:rsidR="00BD3B5F" w:rsidRPr="005C3B55">
        <w:tc>
          <w:tcPr>
            <w:tcW w:w="577" w:type="pct"/>
            <w:vMerge/>
            <w:shd w:val="clear" w:color="auto" w:fill="FFFFFF"/>
            <w:tcMar>
              <w:top w:w="20" w:type="dxa"/>
              <w:bottom w:w="20" w:type="dxa"/>
            </w:tcMar>
            <w:vAlign w:val="center"/>
          </w:tcPr>
          <w:p w:rsidR="00BD3B5F" w:rsidRPr="005C3B55" w:rsidRDefault="00BD3B5F">
            <w:pPr>
              <w:jc w:val="left"/>
              <w:rPr>
                <w:sz w:val="12"/>
                <w:szCs w:val="24"/>
              </w:rPr>
            </w:pPr>
          </w:p>
        </w:tc>
        <w:tc>
          <w:tcPr>
            <w:tcW w:w="577" w:type="pct"/>
            <w:shd w:val="clear" w:color="auto" w:fill="FFFFFF"/>
            <w:tcMar>
              <w:top w:w="20" w:type="dxa"/>
              <w:bottom w:w="20" w:type="dxa"/>
            </w:tcMar>
            <w:vAlign w:val="center"/>
          </w:tcPr>
          <w:p w:rsidR="00BD3B5F" w:rsidRPr="005C3B55" w:rsidRDefault="00BD3B5F">
            <w:pPr>
              <w:jc w:val="left"/>
              <w:rPr>
                <w:szCs w:val="24"/>
              </w:rPr>
            </w:pPr>
            <w:r w:rsidRPr="005C3B55">
              <w:rPr>
                <w:sz w:val="12"/>
                <w:szCs w:val="24"/>
              </w:rPr>
              <w:t>P6.1.c) A national or regional NGA plan is formed which includes: measures to stimulate private investment</w:t>
            </w:r>
          </w:p>
        </w:tc>
        <w:tc>
          <w:tcPr>
            <w:tcW w:w="269" w:type="pct"/>
            <w:shd w:val="clear" w:color="auto" w:fill="FFFFFF"/>
            <w:tcMar>
              <w:top w:w="20" w:type="dxa"/>
              <w:bottom w:w="20" w:type="dxa"/>
            </w:tcMar>
            <w:vAlign w:val="center"/>
          </w:tcPr>
          <w:p w:rsidR="00BD3B5F" w:rsidRPr="005C3B55" w:rsidRDefault="00BD3B5F">
            <w:pPr>
              <w:jc w:val="left"/>
              <w:rPr>
                <w:sz w:val="12"/>
                <w:szCs w:val="24"/>
              </w:rPr>
            </w:pPr>
            <w:r w:rsidRPr="005C3B55">
              <w:rPr>
                <w:noProof/>
                <w:sz w:val="12"/>
                <w:szCs w:val="24"/>
              </w:rPr>
              <w:t>No</w:t>
            </w:r>
          </w:p>
        </w:tc>
        <w:tc>
          <w:tcPr>
            <w:tcW w:w="3042" w:type="pct"/>
            <w:shd w:val="clear" w:color="auto" w:fill="FFFFFF"/>
            <w:tcMar>
              <w:top w:w="20" w:type="dxa"/>
              <w:bottom w:w="20" w:type="dxa"/>
            </w:tcMar>
            <w:vAlign w:val="center"/>
          </w:tcPr>
          <w:p w:rsidR="00BD3B5F" w:rsidRPr="005C3B55" w:rsidRDefault="00BD3B5F">
            <w:pPr>
              <w:spacing w:before="0" w:after="160"/>
              <w:jc w:val="left"/>
              <w:rPr>
                <w:noProof/>
                <w:szCs w:val="24"/>
              </w:rPr>
            </w:pPr>
            <w:r w:rsidRPr="005C3B55">
              <w:rPr>
                <w:sz w:val="15"/>
                <w:szCs w:val="24"/>
              </w:rPr>
              <w:t>Electronic Communications Act:</w:t>
            </w:r>
            <w:r w:rsidRPr="005C3B55">
              <w:rPr>
                <w:noProof/>
                <w:sz w:val="15"/>
                <w:szCs w:val="24"/>
              </w:rPr>
              <w:t xml:space="preserve"> http://www.uradni-list.si/1/content?id=111442</w:t>
            </w:r>
          </w:p>
          <w:p w:rsidR="00BD3B5F" w:rsidRPr="005C3B55" w:rsidRDefault="00BD3B5F">
            <w:pPr>
              <w:spacing w:before="150" w:after="150"/>
              <w:jc w:val="left"/>
              <w:rPr>
                <w:noProof/>
                <w:sz w:val="15"/>
                <w:szCs w:val="24"/>
              </w:rPr>
            </w:pPr>
            <w:r w:rsidRPr="005C3B55">
              <w:rPr>
                <w:noProof/>
                <w:sz w:val="15"/>
                <w:szCs w:val="24"/>
              </w:rPr>
              <w:t>AKOS: http://www.akos-rs.si/radijski-spekter-novice</w:t>
            </w:r>
          </w:p>
          <w:p w:rsidR="00BD3B5F" w:rsidRPr="005C3B55" w:rsidRDefault="00BD3B5F">
            <w:pPr>
              <w:jc w:val="left"/>
              <w:rPr>
                <w:sz w:val="12"/>
                <w:szCs w:val="24"/>
              </w:rPr>
            </w:pPr>
          </w:p>
        </w:tc>
        <w:tc>
          <w:tcPr>
            <w:tcW w:w="536" w:type="pct"/>
            <w:shd w:val="clear" w:color="auto" w:fill="FFFFFF"/>
            <w:tcMar>
              <w:top w:w="20" w:type="dxa"/>
              <w:bottom w:w="20" w:type="dxa"/>
            </w:tcMar>
            <w:vAlign w:val="center"/>
          </w:tcPr>
          <w:p w:rsidR="00BD3B5F" w:rsidRPr="005C3B55" w:rsidRDefault="00BD3B5F">
            <w:pPr>
              <w:jc w:val="left"/>
              <w:rPr>
                <w:szCs w:val="24"/>
              </w:rPr>
            </w:pPr>
            <w:r w:rsidRPr="005C3B55">
              <w:rPr>
                <w:sz w:val="12"/>
                <w:szCs w:val="24"/>
              </w:rPr>
              <w:t xml:space="preserve">The new Electronic Communications Act (Official Gazette of the Republic of Slovenia, no. 109/2012) serves as the legal basis for measures promoting private investments and the reduction of construction costs. </w:t>
            </w:r>
          </w:p>
          <w:p w:rsidR="00BD3B5F" w:rsidRPr="005C3B55" w:rsidRDefault="00BD3B5F">
            <w:pPr>
              <w:jc w:val="left"/>
              <w:rPr>
                <w:szCs w:val="24"/>
              </w:rPr>
            </w:pPr>
            <w:r w:rsidRPr="005C3B55">
              <w:rPr>
                <w:sz w:val="12"/>
                <w:szCs w:val="24"/>
              </w:rPr>
              <w:t xml:space="preserve">http://www.uradni-list.si/1/content?id=111442 Operational details will be determined in the national plan for next generation network. </w:t>
            </w:r>
          </w:p>
          <w:p w:rsidR="00BD3B5F" w:rsidRPr="005C3B55" w:rsidRDefault="00BD3B5F">
            <w:pPr>
              <w:spacing w:before="0" w:after="0"/>
              <w:jc w:val="left"/>
              <w:rPr>
                <w:sz w:val="12"/>
                <w:szCs w:val="24"/>
              </w:rPr>
            </w:pPr>
            <w:r w:rsidRPr="005C3B55">
              <w:rPr>
                <w:sz w:val="12"/>
                <w:szCs w:val="24"/>
              </w:rPr>
              <w:t>The Agency for Communication Networks and Services of the Republic of Slovenia (AKOS) has been preparing measures to attain the objectives in the field of radio frequency spectrum.</w:t>
            </w:r>
          </w:p>
          <w:p w:rsidR="00BD3B5F" w:rsidRPr="005C3B55" w:rsidRDefault="00BD3B5F">
            <w:pPr>
              <w:jc w:val="left"/>
              <w:rPr>
                <w:sz w:val="12"/>
                <w:szCs w:val="24"/>
              </w:rPr>
            </w:pPr>
          </w:p>
        </w:tc>
      </w:tr>
    </w:tbl>
    <w:p w:rsidR="00BD3B5F" w:rsidRPr="005C3B55" w:rsidRDefault="00BD3B5F">
      <w:pPr>
        <w:pStyle w:val="Naslov3"/>
        <w:tabs>
          <w:tab w:val="clear" w:pos="765"/>
        </w:tabs>
        <w:ind w:left="0" w:firstLine="0"/>
        <w:jc w:val="left"/>
        <w:rPr>
          <w:b/>
          <w:szCs w:val="24"/>
          <w:lang w:val="en-GB"/>
        </w:rPr>
      </w:pPr>
      <w:r w:rsidRPr="005C3B55">
        <w:rPr>
          <w:b/>
          <w:szCs w:val="24"/>
          <w:lang w:val="en-GB"/>
        </w:rPr>
        <w:br w:type="page"/>
      </w:r>
      <w:bookmarkStart w:id="98" w:name="_Toc416192556"/>
      <w:r w:rsidRPr="005C3B55">
        <w:rPr>
          <w:szCs w:val="24"/>
          <w:lang w:val="en-GB"/>
        </w:rPr>
        <w:t>List of actions to be taken as general ex-ante conditionalities</w:t>
      </w:r>
      <w:bookmarkEnd w:id="9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52"/>
        <w:gridCol w:w="2851"/>
        <w:gridCol w:w="2851"/>
        <w:gridCol w:w="2851"/>
        <w:gridCol w:w="2851"/>
      </w:tblGrid>
      <w:tr w:rsidR="00BD3B5F" w:rsidRPr="005C3B55">
        <w:tc>
          <w:tcPr>
            <w:tcW w:w="1000" w:type="pct"/>
            <w:shd w:val="clear" w:color="auto" w:fill="C0C0C0"/>
            <w:tcMar>
              <w:top w:w="20" w:type="dxa"/>
              <w:bottom w:w="20" w:type="dxa"/>
            </w:tcMar>
            <w:vAlign w:val="center"/>
          </w:tcPr>
          <w:p w:rsidR="00BD3B5F" w:rsidRPr="005C3B55" w:rsidRDefault="00BD3B5F">
            <w:pPr>
              <w:jc w:val="center"/>
              <w:rPr>
                <w:szCs w:val="24"/>
              </w:rPr>
            </w:pPr>
            <w:r w:rsidRPr="005C3B55">
              <w:rPr>
                <w:b/>
                <w:sz w:val="16"/>
                <w:szCs w:val="24"/>
              </w:rPr>
              <w:t>Applicable ex-ante conditionality at the national level</w:t>
            </w:r>
          </w:p>
        </w:tc>
        <w:tc>
          <w:tcPr>
            <w:tcW w:w="1000" w:type="pct"/>
            <w:shd w:val="clear" w:color="auto" w:fill="C0C0C0"/>
            <w:tcMar>
              <w:top w:w="20" w:type="dxa"/>
              <w:bottom w:w="20" w:type="dxa"/>
            </w:tcMar>
            <w:vAlign w:val="center"/>
          </w:tcPr>
          <w:p w:rsidR="00BD3B5F" w:rsidRPr="005C3B55" w:rsidRDefault="00BD3B5F">
            <w:pPr>
              <w:jc w:val="center"/>
              <w:rPr>
                <w:szCs w:val="24"/>
              </w:rPr>
            </w:pPr>
            <w:r w:rsidRPr="005C3B55">
              <w:rPr>
                <w:b/>
                <w:sz w:val="16"/>
                <w:szCs w:val="24"/>
              </w:rPr>
              <w:t>Unfulfilled criteria</w:t>
            </w:r>
          </w:p>
        </w:tc>
        <w:tc>
          <w:tcPr>
            <w:tcW w:w="1000" w:type="pct"/>
            <w:shd w:val="clear" w:color="auto" w:fill="C0C0C0"/>
            <w:tcMar>
              <w:top w:w="20" w:type="dxa"/>
              <w:bottom w:w="20" w:type="dxa"/>
            </w:tcMar>
            <w:vAlign w:val="center"/>
          </w:tcPr>
          <w:p w:rsidR="00BD3B5F" w:rsidRPr="005C3B55" w:rsidRDefault="00BD3B5F">
            <w:pPr>
              <w:jc w:val="center"/>
              <w:rPr>
                <w:b/>
                <w:sz w:val="16"/>
                <w:szCs w:val="24"/>
              </w:rPr>
            </w:pPr>
            <w:r w:rsidRPr="005C3B55">
              <w:rPr>
                <w:b/>
                <w:noProof/>
                <w:sz w:val="16"/>
                <w:szCs w:val="24"/>
              </w:rPr>
              <w:t>Action to be taken</w:t>
            </w:r>
          </w:p>
        </w:tc>
        <w:tc>
          <w:tcPr>
            <w:tcW w:w="1000" w:type="pct"/>
            <w:shd w:val="clear" w:color="auto" w:fill="C0C0C0"/>
            <w:tcMar>
              <w:top w:w="20" w:type="dxa"/>
              <w:bottom w:w="20" w:type="dxa"/>
            </w:tcMar>
            <w:vAlign w:val="center"/>
          </w:tcPr>
          <w:p w:rsidR="00BD3B5F" w:rsidRPr="005C3B55" w:rsidRDefault="00BD3B5F">
            <w:pPr>
              <w:jc w:val="center"/>
              <w:rPr>
                <w:b/>
                <w:sz w:val="16"/>
                <w:szCs w:val="24"/>
              </w:rPr>
            </w:pPr>
            <w:r w:rsidRPr="005C3B55">
              <w:rPr>
                <w:b/>
                <w:noProof/>
                <w:sz w:val="16"/>
                <w:szCs w:val="24"/>
              </w:rPr>
              <w:t>Deadline</w:t>
            </w:r>
          </w:p>
        </w:tc>
        <w:tc>
          <w:tcPr>
            <w:tcW w:w="1000" w:type="pct"/>
            <w:shd w:val="clear" w:color="auto" w:fill="C0C0C0"/>
            <w:tcMar>
              <w:top w:w="20" w:type="dxa"/>
              <w:bottom w:w="20" w:type="dxa"/>
            </w:tcMar>
            <w:vAlign w:val="center"/>
          </w:tcPr>
          <w:p w:rsidR="00BD3B5F" w:rsidRPr="005C3B55" w:rsidRDefault="00BD3B5F">
            <w:pPr>
              <w:jc w:val="center"/>
              <w:rPr>
                <w:b/>
                <w:sz w:val="16"/>
                <w:szCs w:val="24"/>
              </w:rPr>
            </w:pPr>
            <w:r w:rsidRPr="005C3B55">
              <w:rPr>
                <w:b/>
                <w:noProof/>
                <w:sz w:val="16"/>
                <w:szCs w:val="24"/>
              </w:rPr>
              <w:t>Bodies responsible for fulfillment</w:t>
            </w:r>
          </w:p>
        </w:tc>
      </w:tr>
      <w:tr w:rsidR="00BD3B5F" w:rsidRPr="005C3B55">
        <w:tc>
          <w:tcPr>
            <w:tcW w:w="1000" w:type="pct"/>
            <w:vMerge w:val="restart"/>
            <w:shd w:val="clear" w:color="auto" w:fill="FFFFFF"/>
            <w:tcMar>
              <w:top w:w="20" w:type="dxa"/>
              <w:bottom w:w="20" w:type="dxa"/>
            </w:tcMar>
            <w:vAlign w:val="center"/>
          </w:tcPr>
          <w:p w:rsidR="00BD3B5F" w:rsidRPr="005C3B55" w:rsidRDefault="00BD3B5F">
            <w:pPr>
              <w:jc w:val="left"/>
              <w:rPr>
                <w:szCs w:val="24"/>
              </w:rPr>
            </w:pPr>
            <w:r w:rsidRPr="005C3B55">
              <w:rPr>
                <w:sz w:val="12"/>
                <w:szCs w:val="24"/>
              </w:rPr>
              <w:t>G4) Public procurement: Arrangement of efficient application of EU legislation on public procurement in the field of ESI funds</w:t>
            </w:r>
          </w:p>
        </w:tc>
        <w:tc>
          <w:tcPr>
            <w:tcW w:w="1000" w:type="pct"/>
            <w:shd w:val="clear" w:color="auto" w:fill="FFFFFF"/>
            <w:tcMar>
              <w:top w:w="20" w:type="dxa"/>
              <w:bottom w:w="20" w:type="dxa"/>
            </w:tcMar>
            <w:vAlign w:val="center"/>
          </w:tcPr>
          <w:p w:rsidR="00BD3B5F" w:rsidRPr="005C3B55" w:rsidRDefault="00BD3B5F">
            <w:pPr>
              <w:jc w:val="left"/>
              <w:rPr>
                <w:szCs w:val="24"/>
              </w:rPr>
            </w:pPr>
            <w:r w:rsidRPr="005C3B55">
              <w:rPr>
                <w:sz w:val="12"/>
                <w:szCs w:val="24"/>
              </w:rPr>
              <w:t>G4.a) Arrangement of efficient application of EU legislation on public procurement supported with suitable mechanisms</w:t>
            </w:r>
          </w:p>
        </w:tc>
        <w:tc>
          <w:tcPr>
            <w:tcW w:w="1000" w:type="pct"/>
            <w:shd w:val="clear" w:color="auto" w:fill="FFFFFF"/>
            <w:tcMar>
              <w:top w:w="20" w:type="dxa"/>
              <w:bottom w:w="20" w:type="dxa"/>
            </w:tcMar>
            <w:vAlign w:val="center"/>
          </w:tcPr>
          <w:p w:rsidR="00BD3B5F" w:rsidRPr="005C3B55" w:rsidRDefault="00BD3B5F">
            <w:pPr>
              <w:spacing w:before="0" w:after="160"/>
              <w:jc w:val="left"/>
              <w:rPr>
                <w:noProof/>
                <w:sz w:val="15"/>
                <w:szCs w:val="24"/>
              </w:rPr>
            </w:pPr>
            <w:r w:rsidRPr="005C3B55">
              <w:rPr>
                <w:sz w:val="15"/>
                <w:szCs w:val="24"/>
              </w:rPr>
              <w:t>To resolve main and repeated types of errors in public procurement, an extensive analysis of public procurement practices, especially those related to ESI funds, will be prepared by the end of November 2014.</w:t>
            </w:r>
          </w:p>
          <w:p w:rsidR="00BD3B5F" w:rsidRPr="005C3B55" w:rsidRDefault="00BD3B5F">
            <w:pPr>
              <w:spacing w:before="160" w:after="160"/>
              <w:jc w:val="left"/>
              <w:rPr>
                <w:noProof/>
                <w:szCs w:val="24"/>
              </w:rPr>
            </w:pPr>
            <w:r w:rsidRPr="005C3B55">
              <w:rPr>
                <w:sz w:val="15"/>
                <w:szCs w:val="24"/>
              </w:rPr>
              <w:t>A special advisory unit within the authority (i.e. ‘Help Desk’) which is competent for public procurement (Ministry of Finance) is operating and offers contracting authorities advice in the phase of tender documentation preparation and in the process from the publication of the call for bids until its conclusion.</w:t>
            </w:r>
            <w:r w:rsidRPr="005C3B55">
              <w:rPr>
                <w:noProof/>
                <w:sz w:val="15"/>
                <w:szCs w:val="24"/>
              </w:rPr>
              <w:t xml:space="preserve"> </w:t>
            </w:r>
            <w:r w:rsidRPr="005C3B55">
              <w:rPr>
                <w:sz w:val="15"/>
                <w:szCs w:val="24"/>
              </w:rPr>
              <w:t>Technical assistance funds from OP ECP are envisaged to strengthen human resources in the unit and for their regular training.</w:t>
            </w:r>
            <w:r w:rsidRPr="005C3B55">
              <w:rPr>
                <w:noProof/>
                <w:sz w:val="15"/>
                <w:szCs w:val="24"/>
              </w:rPr>
              <w:t xml:space="preserve"> </w:t>
            </w:r>
            <w:r w:rsidRPr="005C3B55">
              <w:rPr>
                <w:sz w:val="15"/>
                <w:szCs w:val="24"/>
              </w:rPr>
              <w:t>The unit will cooperate closely with the managing authorities for ESI funds.</w:t>
            </w:r>
          </w:p>
          <w:p w:rsidR="00BD3B5F" w:rsidRPr="005C3B55" w:rsidRDefault="00BD3B5F">
            <w:pPr>
              <w:spacing w:before="160" w:after="160"/>
              <w:jc w:val="left"/>
              <w:rPr>
                <w:noProof/>
                <w:szCs w:val="24"/>
              </w:rPr>
            </w:pPr>
            <w:r w:rsidRPr="005C3B55">
              <w:rPr>
                <w:sz w:val="15"/>
                <w:szCs w:val="24"/>
              </w:rPr>
              <w:t>An ad hoc consultation group in the field of public procurement will be set up., which will identify key issues in the field of public procurement procedures and prepare proposals on how to address these issues at a systemic level.</w:t>
            </w:r>
            <w:r w:rsidRPr="005C3B55">
              <w:rPr>
                <w:noProof/>
                <w:sz w:val="15"/>
                <w:szCs w:val="24"/>
              </w:rPr>
              <w:t xml:space="preserve"> </w:t>
            </w:r>
            <w:r w:rsidRPr="005C3B55">
              <w:rPr>
                <w:sz w:val="15"/>
                <w:szCs w:val="24"/>
              </w:rPr>
              <w:t>The group, who will meet if necessary, will comprise representatives of institutions which have key roles in the public procurement system.</w:t>
            </w:r>
            <w:r w:rsidRPr="005C3B55">
              <w:rPr>
                <w:noProof/>
                <w:sz w:val="15"/>
                <w:szCs w:val="24"/>
              </w:rPr>
              <w:t xml:space="preserve"> (30 November 2014)</w:t>
            </w:r>
          </w:p>
          <w:p w:rsidR="00BD3B5F" w:rsidRPr="005C3B55" w:rsidRDefault="00BD3B5F">
            <w:pPr>
              <w:jc w:val="left"/>
              <w:rPr>
                <w:sz w:val="12"/>
                <w:szCs w:val="24"/>
              </w:rPr>
            </w:pPr>
          </w:p>
        </w:tc>
        <w:tc>
          <w:tcPr>
            <w:tcW w:w="1000" w:type="pct"/>
            <w:shd w:val="clear" w:color="auto" w:fill="FFFFFF"/>
            <w:tcMar>
              <w:top w:w="20" w:type="dxa"/>
              <w:bottom w:w="20" w:type="dxa"/>
            </w:tcMar>
            <w:vAlign w:val="center"/>
          </w:tcPr>
          <w:p w:rsidR="00BD3B5F" w:rsidRPr="005C3B55" w:rsidRDefault="00BD3B5F">
            <w:pPr>
              <w:jc w:val="left"/>
              <w:rPr>
                <w:sz w:val="12"/>
                <w:szCs w:val="24"/>
              </w:rPr>
            </w:pPr>
            <w:r w:rsidRPr="005C3B55">
              <w:rPr>
                <w:noProof/>
                <w:sz w:val="12"/>
                <w:szCs w:val="24"/>
              </w:rPr>
              <w:t>30 November 2014</w:t>
            </w:r>
          </w:p>
        </w:tc>
        <w:tc>
          <w:tcPr>
            <w:tcW w:w="1000" w:type="pct"/>
            <w:shd w:val="clear" w:color="auto" w:fill="FFFFFF"/>
            <w:tcMar>
              <w:top w:w="20" w:type="dxa"/>
              <w:bottom w:w="20" w:type="dxa"/>
            </w:tcMar>
            <w:vAlign w:val="center"/>
          </w:tcPr>
          <w:p w:rsidR="00BD3B5F" w:rsidRPr="005C3B55" w:rsidRDefault="00BD3B5F">
            <w:pPr>
              <w:jc w:val="left"/>
              <w:rPr>
                <w:szCs w:val="24"/>
              </w:rPr>
            </w:pPr>
            <w:r w:rsidRPr="005C3B55">
              <w:rPr>
                <w:sz w:val="12"/>
                <w:szCs w:val="24"/>
              </w:rPr>
              <w:t>Managing authorities for ESI funds and the Ministry of Finance</w:t>
            </w:r>
          </w:p>
        </w:tc>
      </w:tr>
      <w:tr w:rsidR="00BD3B5F" w:rsidRPr="005C3B55">
        <w:tc>
          <w:tcPr>
            <w:tcW w:w="1000" w:type="pct"/>
            <w:vMerge/>
            <w:shd w:val="clear" w:color="auto" w:fill="FFFFFF"/>
            <w:tcMar>
              <w:top w:w="20" w:type="dxa"/>
              <w:bottom w:w="20" w:type="dxa"/>
            </w:tcMar>
            <w:vAlign w:val="center"/>
          </w:tcPr>
          <w:p w:rsidR="00BD3B5F" w:rsidRPr="005C3B55" w:rsidRDefault="00BD3B5F">
            <w:pPr>
              <w:jc w:val="left"/>
              <w:rPr>
                <w:sz w:val="12"/>
                <w:szCs w:val="24"/>
              </w:rPr>
            </w:pPr>
          </w:p>
        </w:tc>
        <w:tc>
          <w:tcPr>
            <w:tcW w:w="1000" w:type="pct"/>
            <w:shd w:val="clear" w:color="auto" w:fill="FFFFFF"/>
            <w:tcMar>
              <w:top w:w="20" w:type="dxa"/>
              <w:bottom w:w="20" w:type="dxa"/>
            </w:tcMar>
            <w:vAlign w:val="center"/>
          </w:tcPr>
          <w:p w:rsidR="00BD3B5F" w:rsidRPr="005C3B55" w:rsidRDefault="00BD3B5F">
            <w:pPr>
              <w:jc w:val="left"/>
              <w:rPr>
                <w:szCs w:val="24"/>
              </w:rPr>
            </w:pPr>
            <w:r w:rsidRPr="005C3B55">
              <w:rPr>
                <w:sz w:val="12"/>
                <w:szCs w:val="24"/>
              </w:rPr>
              <w:t>G4.d) Arrangement of administrative capacity for the implementation and application of Union’s rules on public procurement</w:t>
            </w:r>
          </w:p>
        </w:tc>
        <w:tc>
          <w:tcPr>
            <w:tcW w:w="1000" w:type="pct"/>
            <w:shd w:val="clear" w:color="auto" w:fill="FFFFFF"/>
            <w:tcMar>
              <w:top w:w="20" w:type="dxa"/>
              <w:bottom w:w="20" w:type="dxa"/>
            </w:tcMar>
            <w:vAlign w:val="center"/>
          </w:tcPr>
          <w:p w:rsidR="00BD3B5F" w:rsidRPr="005C3B55" w:rsidRDefault="00BD3B5F">
            <w:pPr>
              <w:spacing w:before="0" w:after="160"/>
              <w:jc w:val="left"/>
              <w:rPr>
                <w:noProof/>
                <w:szCs w:val="24"/>
              </w:rPr>
            </w:pPr>
            <w:r w:rsidRPr="005C3B55">
              <w:rPr>
                <w:sz w:val="15"/>
                <w:szCs w:val="24"/>
              </w:rPr>
              <w:t>A special training programme for beneficiaries and all managing and supervisory authorities will be prepared.</w:t>
            </w:r>
            <w:r w:rsidRPr="005C3B55">
              <w:rPr>
                <w:noProof/>
                <w:sz w:val="15"/>
                <w:szCs w:val="24"/>
              </w:rPr>
              <w:t xml:space="preserve"> </w:t>
            </w:r>
            <w:r w:rsidRPr="005C3B55">
              <w:rPr>
                <w:sz w:val="15"/>
                <w:szCs w:val="24"/>
              </w:rPr>
              <w:t>To strengthen administrative capacities, the training of beneficiaries will be crucial for providing the proper and complete preparation of tender documentation and implementation of public procurement procedures.</w:t>
            </w:r>
            <w:r w:rsidRPr="005C3B55">
              <w:rPr>
                <w:noProof/>
                <w:sz w:val="15"/>
                <w:szCs w:val="24"/>
              </w:rPr>
              <w:t xml:space="preserve"> </w:t>
            </w:r>
            <w:r w:rsidRPr="005C3B55">
              <w:rPr>
                <w:sz w:val="15"/>
                <w:szCs w:val="24"/>
              </w:rPr>
              <w:t>Suitable staff structure of bodies included in the implementation will also be of key importance with a special emphasis on the training of contract managers and supervisors.</w:t>
            </w:r>
          </w:p>
          <w:p w:rsidR="00BD3B5F" w:rsidRPr="005C3B55" w:rsidRDefault="00BD3B5F">
            <w:pPr>
              <w:jc w:val="left"/>
              <w:rPr>
                <w:sz w:val="12"/>
                <w:szCs w:val="24"/>
              </w:rPr>
            </w:pPr>
          </w:p>
        </w:tc>
        <w:tc>
          <w:tcPr>
            <w:tcW w:w="1000" w:type="pct"/>
            <w:shd w:val="clear" w:color="auto" w:fill="FFFFFF"/>
            <w:tcMar>
              <w:top w:w="20" w:type="dxa"/>
              <w:bottom w:w="20" w:type="dxa"/>
            </w:tcMar>
            <w:vAlign w:val="center"/>
          </w:tcPr>
          <w:p w:rsidR="00BD3B5F" w:rsidRPr="005C3B55" w:rsidRDefault="00BD3B5F">
            <w:pPr>
              <w:jc w:val="left"/>
              <w:rPr>
                <w:sz w:val="12"/>
                <w:szCs w:val="24"/>
              </w:rPr>
            </w:pPr>
            <w:r w:rsidRPr="005C3B55">
              <w:rPr>
                <w:noProof/>
                <w:sz w:val="12"/>
                <w:szCs w:val="24"/>
              </w:rPr>
              <w:t>31 December 2014</w:t>
            </w:r>
          </w:p>
        </w:tc>
        <w:tc>
          <w:tcPr>
            <w:tcW w:w="1000" w:type="pct"/>
            <w:shd w:val="clear" w:color="auto" w:fill="FFFFFF"/>
            <w:tcMar>
              <w:top w:w="20" w:type="dxa"/>
              <w:bottom w:w="20" w:type="dxa"/>
            </w:tcMar>
            <w:vAlign w:val="center"/>
          </w:tcPr>
          <w:p w:rsidR="00BD3B5F" w:rsidRPr="005C3B55" w:rsidRDefault="00BD3B5F">
            <w:pPr>
              <w:jc w:val="left"/>
              <w:rPr>
                <w:szCs w:val="24"/>
              </w:rPr>
            </w:pPr>
            <w:r w:rsidRPr="005C3B55">
              <w:rPr>
                <w:sz w:val="12"/>
                <w:szCs w:val="24"/>
              </w:rPr>
              <w:t xml:space="preserve">Ministry of Finance </w:t>
            </w:r>
          </w:p>
        </w:tc>
      </w:tr>
      <w:tr w:rsidR="00BD3B5F" w:rsidRPr="005C3B55">
        <w:tc>
          <w:tcPr>
            <w:tcW w:w="1000" w:type="pct"/>
            <w:vMerge w:val="restart"/>
            <w:shd w:val="clear" w:color="auto" w:fill="FFFFFF"/>
            <w:tcMar>
              <w:top w:w="20" w:type="dxa"/>
              <w:bottom w:w="20" w:type="dxa"/>
            </w:tcMar>
            <w:vAlign w:val="center"/>
          </w:tcPr>
          <w:p w:rsidR="00BD3B5F" w:rsidRPr="005C3B55" w:rsidRDefault="00BD3B5F">
            <w:pPr>
              <w:jc w:val="left"/>
              <w:rPr>
                <w:szCs w:val="24"/>
              </w:rPr>
            </w:pPr>
            <w:r w:rsidRPr="005C3B55">
              <w:rPr>
                <w:sz w:val="12"/>
                <w:szCs w:val="24"/>
              </w:rPr>
              <w:t>G6) Environmental legislation related to the environmental impact assessment and strategic environmental assessment: Arrangement of efficient application of EU environmental legislation relating to the environmental impact assessment and strategic environmental assessment</w:t>
            </w:r>
          </w:p>
        </w:tc>
        <w:tc>
          <w:tcPr>
            <w:tcW w:w="1000" w:type="pct"/>
            <w:shd w:val="clear" w:color="auto" w:fill="FFFFFF"/>
            <w:tcMar>
              <w:top w:w="20" w:type="dxa"/>
              <w:bottom w:w="20" w:type="dxa"/>
            </w:tcMar>
            <w:vAlign w:val="center"/>
          </w:tcPr>
          <w:p w:rsidR="00BD3B5F" w:rsidRPr="005C3B55" w:rsidRDefault="00BD3B5F">
            <w:pPr>
              <w:jc w:val="left"/>
              <w:rPr>
                <w:szCs w:val="24"/>
              </w:rPr>
            </w:pPr>
            <w:r w:rsidRPr="005C3B55">
              <w:rPr>
                <w:sz w:val="12"/>
                <w:szCs w:val="24"/>
              </w:rPr>
              <w:t>G6.b) Arrangement of training of, and providing information to, staff included in the implementation of the EIA and SEA directives</w:t>
            </w:r>
          </w:p>
        </w:tc>
        <w:tc>
          <w:tcPr>
            <w:tcW w:w="1000" w:type="pct"/>
            <w:shd w:val="clear" w:color="auto" w:fill="FFFFFF"/>
            <w:tcMar>
              <w:top w:w="20" w:type="dxa"/>
              <w:bottom w:w="20" w:type="dxa"/>
            </w:tcMar>
            <w:vAlign w:val="center"/>
          </w:tcPr>
          <w:p w:rsidR="00BD3B5F" w:rsidRPr="005C3B55" w:rsidRDefault="00BD3B5F">
            <w:pPr>
              <w:spacing w:before="0" w:after="160"/>
              <w:jc w:val="left"/>
              <w:rPr>
                <w:noProof/>
                <w:sz w:val="15"/>
                <w:szCs w:val="24"/>
              </w:rPr>
            </w:pPr>
            <w:r w:rsidRPr="005C3B55">
              <w:rPr>
                <w:sz w:val="15"/>
                <w:szCs w:val="24"/>
              </w:rPr>
              <w:t>An educational programme for SEA and EIA contents will be prepared.</w:t>
            </w:r>
          </w:p>
          <w:p w:rsidR="00BD3B5F" w:rsidRPr="005C3B55" w:rsidRDefault="00BD3B5F">
            <w:pPr>
              <w:jc w:val="left"/>
              <w:rPr>
                <w:sz w:val="12"/>
                <w:szCs w:val="24"/>
              </w:rPr>
            </w:pPr>
          </w:p>
        </w:tc>
        <w:tc>
          <w:tcPr>
            <w:tcW w:w="1000" w:type="pct"/>
            <w:shd w:val="clear" w:color="auto" w:fill="FFFFFF"/>
            <w:tcMar>
              <w:top w:w="20" w:type="dxa"/>
              <w:bottom w:w="20" w:type="dxa"/>
            </w:tcMar>
            <w:vAlign w:val="center"/>
          </w:tcPr>
          <w:p w:rsidR="00BD3B5F" w:rsidRPr="005C3B55" w:rsidRDefault="00BD3B5F">
            <w:pPr>
              <w:jc w:val="left"/>
              <w:rPr>
                <w:sz w:val="12"/>
                <w:szCs w:val="24"/>
              </w:rPr>
            </w:pPr>
            <w:r w:rsidRPr="005C3B55">
              <w:rPr>
                <w:noProof/>
                <w:sz w:val="12"/>
                <w:szCs w:val="24"/>
              </w:rPr>
              <w:t>31 December 2014</w:t>
            </w:r>
          </w:p>
        </w:tc>
        <w:tc>
          <w:tcPr>
            <w:tcW w:w="1000" w:type="pct"/>
            <w:shd w:val="clear" w:color="auto" w:fill="FFFFFF"/>
            <w:tcMar>
              <w:top w:w="20" w:type="dxa"/>
              <w:bottom w:w="20" w:type="dxa"/>
            </w:tcMar>
            <w:vAlign w:val="center"/>
          </w:tcPr>
          <w:p w:rsidR="00BD3B5F" w:rsidRPr="005C3B55" w:rsidRDefault="00BD3B5F">
            <w:pPr>
              <w:jc w:val="left"/>
              <w:rPr>
                <w:szCs w:val="24"/>
              </w:rPr>
            </w:pPr>
            <w:r w:rsidRPr="005C3B55">
              <w:rPr>
                <w:sz w:val="12"/>
                <w:szCs w:val="24"/>
              </w:rPr>
              <w:t>Ministry of the Environment and Spatial Planning</w:t>
            </w:r>
          </w:p>
        </w:tc>
      </w:tr>
      <w:tr w:rsidR="00BD3B5F" w:rsidRPr="005C3B55">
        <w:tc>
          <w:tcPr>
            <w:tcW w:w="1000" w:type="pct"/>
            <w:vMerge/>
            <w:shd w:val="clear" w:color="auto" w:fill="FFFFFF"/>
            <w:tcMar>
              <w:top w:w="20" w:type="dxa"/>
              <w:bottom w:w="20" w:type="dxa"/>
            </w:tcMar>
            <w:vAlign w:val="center"/>
          </w:tcPr>
          <w:p w:rsidR="00BD3B5F" w:rsidRPr="005C3B55" w:rsidRDefault="00BD3B5F">
            <w:pPr>
              <w:jc w:val="left"/>
              <w:rPr>
                <w:sz w:val="12"/>
                <w:szCs w:val="24"/>
              </w:rPr>
            </w:pPr>
          </w:p>
        </w:tc>
        <w:tc>
          <w:tcPr>
            <w:tcW w:w="1000" w:type="pct"/>
            <w:shd w:val="clear" w:color="auto" w:fill="FFFFFF"/>
            <w:tcMar>
              <w:top w:w="20" w:type="dxa"/>
              <w:bottom w:w="20" w:type="dxa"/>
            </w:tcMar>
            <w:vAlign w:val="center"/>
          </w:tcPr>
          <w:p w:rsidR="00BD3B5F" w:rsidRPr="005C3B55" w:rsidRDefault="00BD3B5F">
            <w:pPr>
              <w:jc w:val="left"/>
              <w:rPr>
                <w:szCs w:val="24"/>
              </w:rPr>
            </w:pPr>
            <w:r w:rsidRPr="005C3B55">
              <w:rPr>
                <w:sz w:val="12"/>
                <w:szCs w:val="24"/>
              </w:rPr>
              <w:t>G6.c) Arrangement ensuring sufficient administrative capacity</w:t>
            </w:r>
          </w:p>
        </w:tc>
        <w:tc>
          <w:tcPr>
            <w:tcW w:w="1000" w:type="pct"/>
            <w:shd w:val="clear" w:color="auto" w:fill="FFFFFF"/>
            <w:tcMar>
              <w:top w:w="20" w:type="dxa"/>
              <w:bottom w:w="20" w:type="dxa"/>
            </w:tcMar>
            <w:vAlign w:val="center"/>
          </w:tcPr>
          <w:p w:rsidR="00BD3B5F" w:rsidRPr="005C3B55" w:rsidRDefault="00BD3B5F">
            <w:pPr>
              <w:spacing w:before="0" w:after="160"/>
              <w:jc w:val="left"/>
              <w:rPr>
                <w:noProof/>
                <w:sz w:val="15"/>
                <w:szCs w:val="24"/>
              </w:rPr>
            </w:pPr>
            <w:r w:rsidRPr="005C3B55">
              <w:rPr>
                <w:sz w:val="15"/>
                <w:szCs w:val="24"/>
              </w:rPr>
              <w:t>Implementation of the programme for ministries, institutions and external contractors</w:t>
            </w:r>
          </w:p>
          <w:p w:rsidR="00BD3B5F" w:rsidRPr="005C3B55" w:rsidRDefault="00BD3B5F">
            <w:pPr>
              <w:spacing w:before="160" w:after="160"/>
              <w:jc w:val="left"/>
              <w:rPr>
                <w:noProof/>
                <w:sz w:val="15"/>
                <w:szCs w:val="24"/>
              </w:rPr>
            </w:pPr>
            <w:r w:rsidRPr="005C3B55">
              <w:rPr>
                <w:sz w:val="15"/>
                <w:szCs w:val="24"/>
              </w:rPr>
              <w:t>Slovenia will prepare a three-year programme of training and systematic allocation, i.e. the Ministry of Agriculture and the Environment will prepare a three-year action plan with measures to improve knowledge for line ministries, organisations, local communities, environmental experts and non-governmental organisations:</w:t>
            </w:r>
          </w:p>
          <w:p w:rsidR="00BD3B5F" w:rsidRPr="005C3B55" w:rsidRDefault="00BD3B5F">
            <w:pPr>
              <w:spacing w:before="160" w:after="160"/>
              <w:jc w:val="left"/>
              <w:rPr>
                <w:noProof/>
                <w:sz w:val="15"/>
                <w:szCs w:val="24"/>
              </w:rPr>
            </w:pPr>
            <w:r w:rsidRPr="005C3B55">
              <w:rPr>
                <w:noProof/>
                <w:sz w:val="15"/>
                <w:szCs w:val="24"/>
              </w:rPr>
              <w:t xml:space="preserve">a.) </w:t>
            </w:r>
            <w:r w:rsidRPr="005C3B55">
              <w:rPr>
                <w:sz w:val="15"/>
                <w:szCs w:val="24"/>
              </w:rPr>
              <w:t>to realise the SEA requirements and prepare a suitable assessment</w:t>
            </w:r>
          </w:p>
          <w:p w:rsidR="00BD3B5F" w:rsidRPr="005C3B55" w:rsidRDefault="00BD3B5F">
            <w:pPr>
              <w:spacing w:before="160" w:after="160"/>
              <w:jc w:val="left"/>
              <w:rPr>
                <w:noProof/>
                <w:sz w:val="15"/>
                <w:szCs w:val="24"/>
              </w:rPr>
            </w:pPr>
            <w:r w:rsidRPr="005C3B55">
              <w:rPr>
                <w:noProof/>
                <w:sz w:val="15"/>
                <w:szCs w:val="24"/>
              </w:rPr>
              <w:t xml:space="preserve">b.) </w:t>
            </w:r>
            <w:r w:rsidRPr="005C3B55">
              <w:rPr>
                <w:sz w:val="15"/>
                <w:szCs w:val="24"/>
              </w:rPr>
              <w:t>to realise the EIA requirements and prepare a suitable assessment</w:t>
            </w:r>
          </w:p>
          <w:p w:rsidR="00BD3B5F" w:rsidRPr="005C3B55" w:rsidRDefault="00BD3B5F">
            <w:pPr>
              <w:spacing w:before="160" w:after="160"/>
              <w:jc w:val="left"/>
              <w:rPr>
                <w:noProof/>
                <w:sz w:val="15"/>
                <w:szCs w:val="24"/>
              </w:rPr>
            </w:pPr>
            <w:r w:rsidRPr="005C3B55">
              <w:rPr>
                <w:sz w:val="15"/>
                <w:szCs w:val="24"/>
              </w:rPr>
              <w:t>The action plan is being prepared and harmonised with Jaspers; financing of its implementation is also planned through Technical Assistance of OP ECP.</w:t>
            </w:r>
          </w:p>
          <w:p w:rsidR="00BD3B5F" w:rsidRPr="005C3B55" w:rsidRDefault="00BD3B5F">
            <w:pPr>
              <w:jc w:val="left"/>
              <w:rPr>
                <w:sz w:val="12"/>
                <w:szCs w:val="24"/>
              </w:rPr>
            </w:pPr>
          </w:p>
        </w:tc>
        <w:tc>
          <w:tcPr>
            <w:tcW w:w="1000" w:type="pct"/>
            <w:shd w:val="clear" w:color="auto" w:fill="FFFFFF"/>
            <w:tcMar>
              <w:top w:w="20" w:type="dxa"/>
              <w:bottom w:w="20" w:type="dxa"/>
            </w:tcMar>
            <w:vAlign w:val="center"/>
          </w:tcPr>
          <w:p w:rsidR="00BD3B5F" w:rsidRPr="005C3B55" w:rsidRDefault="00BD3B5F">
            <w:pPr>
              <w:jc w:val="left"/>
              <w:rPr>
                <w:sz w:val="12"/>
                <w:szCs w:val="24"/>
              </w:rPr>
            </w:pPr>
            <w:r w:rsidRPr="005C3B55">
              <w:rPr>
                <w:noProof/>
                <w:sz w:val="12"/>
                <w:szCs w:val="24"/>
              </w:rPr>
              <w:t>30 June 2015</w:t>
            </w:r>
          </w:p>
        </w:tc>
        <w:tc>
          <w:tcPr>
            <w:tcW w:w="1000" w:type="pct"/>
            <w:shd w:val="clear" w:color="auto" w:fill="FFFFFF"/>
            <w:tcMar>
              <w:top w:w="20" w:type="dxa"/>
              <w:bottom w:w="20" w:type="dxa"/>
            </w:tcMar>
            <w:vAlign w:val="center"/>
          </w:tcPr>
          <w:p w:rsidR="00BD3B5F" w:rsidRPr="005C3B55" w:rsidRDefault="00BD3B5F">
            <w:pPr>
              <w:jc w:val="left"/>
              <w:rPr>
                <w:szCs w:val="24"/>
              </w:rPr>
            </w:pPr>
            <w:r w:rsidRPr="005C3B55">
              <w:rPr>
                <w:sz w:val="12"/>
                <w:szCs w:val="24"/>
              </w:rPr>
              <w:t>Ministry of the Environment and Spatial Planning</w:t>
            </w:r>
          </w:p>
        </w:tc>
      </w:tr>
    </w:tbl>
    <w:p w:rsidR="00BD3B5F" w:rsidRPr="005C3B55" w:rsidRDefault="00BD3B5F">
      <w:pPr>
        <w:pStyle w:val="Naslov3"/>
        <w:tabs>
          <w:tab w:val="clear" w:pos="765"/>
        </w:tabs>
        <w:ind w:left="0" w:firstLine="0"/>
        <w:jc w:val="left"/>
        <w:rPr>
          <w:b/>
          <w:szCs w:val="24"/>
          <w:lang w:val="en-GB"/>
        </w:rPr>
      </w:pPr>
      <w:r w:rsidRPr="005C3B55">
        <w:rPr>
          <w:b/>
          <w:szCs w:val="24"/>
          <w:lang w:val="en-GB"/>
        </w:rPr>
        <w:br w:type="page"/>
      </w:r>
      <w:bookmarkStart w:id="99" w:name="_Toc416192557"/>
      <w:r w:rsidRPr="005C3B55">
        <w:rPr>
          <w:szCs w:val="24"/>
          <w:lang w:val="en-GB"/>
        </w:rPr>
        <w:t>List of actions to be taken as general ex-ante conditionalities relating to priorities</w:t>
      </w:r>
      <w:bookmarkEnd w:id="9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52"/>
        <w:gridCol w:w="2851"/>
        <w:gridCol w:w="2851"/>
        <w:gridCol w:w="2851"/>
        <w:gridCol w:w="2851"/>
      </w:tblGrid>
      <w:tr w:rsidR="00BD3B5F" w:rsidRPr="005C3B55">
        <w:tc>
          <w:tcPr>
            <w:tcW w:w="1000" w:type="pct"/>
            <w:shd w:val="clear" w:color="auto" w:fill="C0C0C0"/>
            <w:tcMar>
              <w:top w:w="20" w:type="dxa"/>
              <w:bottom w:w="20" w:type="dxa"/>
            </w:tcMar>
            <w:vAlign w:val="center"/>
          </w:tcPr>
          <w:p w:rsidR="00BD3B5F" w:rsidRPr="005C3B55" w:rsidRDefault="00BD3B5F">
            <w:pPr>
              <w:jc w:val="center"/>
              <w:rPr>
                <w:szCs w:val="24"/>
              </w:rPr>
            </w:pPr>
            <w:r w:rsidRPr="005C3B55">
              <w:rPr>
                <w:b/>
                <w:sz w:val="16"/>
                <w:szCs w:val="24"/>
              </w:rPr>
              <w:t>Applicable ex-ante conditionality at the national level</w:t>
            </w:r>
          </w:p>
        </w:tc>
        <w:tc>
          <w:tcPr>
            <w:tcW w:w="1000" w:type="pct"/>
            <w:shd w:val="clear" w:color="auto" w:fill="C0C0C0"/>
            <w:tcMar>
              <w:top w:w="20" w:type="dxa"/>
              <w:bottom w:w="20" w:type="dxa"/>
            </w:tcMar>
            <w:vAlign w:val="center"/>
          </w:tcPr>
          <w:p w:rsidR="00BD3B5F" w:rsidRPr="005C3B55" w:rsidRDefault="00BD3B5F">
            <w:pPr>
              <w:jc w:val="center"/>
              <w:rPr>
                <w:szCs w:val="24"/>
              </w:rPr>
            </w:pPr>
            <w:r w:rsidRPr="005C3B55">
              <w:rPr>
                <w:b/>
                <w:sz w:val="16"/>
                <w:szCs w:val="24"/>
              </w:rPr>
              <w:t>Unfulfilled criteria</w:t>
            </w:r>
          </w:p>
        </w:tc>
        <w:tc>
          <w:tcPr>
            <w:tcW w:w="1000" w:type="pct"/>
            <w:shd w:val="clear" w:color="auto" w:fill="C0C0C0"/>
            <w:tcMar>
              <w:top w:w="20" w:type="dxa"/>
              <w:bottom w:w="20" w:type="dxa"/>
            </w:tcMar>
            <w:vAlign w:val="center"/>
          </w:tcPr>
          <w:p w:rsidR="00BD3B5F" w:rsidRPr="005C3B55" w:rsidRDefault="00BD3B5F">
            <w:pPr>
              <w:jc w:val="center"/>
              <w:rPr>
                <w:b/>
                <w:sz w:val="16"/>
                <w:szCs w:val="24"/>
              </w:rPr>
            </w:pPr>
            <w:r w:rsidRPr="005C3B55">
              <w:rPr>
                <w:b/>
                <w:noProof/>
                <w:sz w:val="16"/>
                <w:szCs w:val="24"/>
              </w:rPr>
              <w:t>Action to be taken</w:t>
            </w:r>
          </w:p>
        </w:tc>
        <w:tc>
          <w:tcPr>
            <w:tcW w:w="1000" w:type="pct"/>
            <w:shd w:val="clear" w:color="auto" w:fill="C0C0C0"/>
            <w:tcMar>
              <w:top w:w="20" w:type="dxa"/>
              <w:bottom w:w="20" w:type="dxa"/>
            </w:tcMar>
            <w:vAlign w:val="center"/>
          </w:tcPr>
          <w:p w:rsidR="00BD3B5F" w:rsidRPr="005C3B55" w:rsidRDefault="00BD3B5F">
            <w:pPr>
              <w:jc w:val="center"/>
              <w:rPr>
                <w:b/>
                <w:sz w:val="16"/>
                <w:szCs w:val="24"/>
              </w:rPr>
            </w:pPr>
            <w:r w:rsidRPr="005C3B55">
              <w:rPr>
                <w:b/>
                <w:noProof/>
                <w:sz w:val="16"/>
                <w:szCs w:val="24"/>
              </w:rPr>
              <w:t>Deadline</w:t>
            </w:r>
          </w:p>
        </w:tc>
        <w:tc>
          <w:tcPr>
            <w:tcW w:w="1000" w:type="pct"/>
            <w:shd w:val="clear" w:color="auto" w:fill="C0C0C0"/>
            <w:tcMar>
              <w:top w:w="20" w:type="dxa"/>
              <w:bottom w:w="20" w:type="dxa"/>
            </w:tcMar>
            <w:vAlign w:val="center"/>
          </w:tcPr>
          <w:p w:rsidR="00BD3B5F" w:rsidRPr="005C3B55" w:rsidRDefault="00BD3B5F">
            <w:pPr>
              <w:jc w:val="center"/>
              <w:rPr>
                <w:b/>
                <w:sz w:val="16"/>
                <w:szCs w:val="24"/>
              </w:rPr>
            </w:pPr>
            <w:r w:rsidRPr="005C3B55">
              <w:rPr>
                <w:b/>
                <w:noProof/>
                <w:sz w:val="16"/>
                <w:szCs w:val="24"/>
              </w:rPr>
              <w:t>Bodies responsible for fulfillment</w:t>
            </w:r>
          </w:p>
        </w:tc>
      </w:tr>
      <w:tr w:rsidR="00BD3B5F" w:rsidRPr="005C3B55">
        <w:tc>
          <w:tcPr>
            <w:tcW w:w="1000" w:type="pct"/>
            <w:vMerge w:val="restart"/>
            <w:shd w:val="clear" w:color="auto" w:fill="FFFFFF"/>
            <w:tcMar>
              <w:top w:w="20" w:type="dxa"/>
              <w:bottom w:w="20" w:type="dxa"/>
            </w:tcMar>
            <w:vAlign w:val="center"/>
          </w:tcPr>
          <w:p w:rsidR="00BD3B5F" w:rsidRPr="005C3B55" w:rsidRDefault="00BD3B5F">
            <w:pPr>
              <w:jc w:val="left"/>
              <w:rPr>
                <w:szCs w:val="24"/>
              </w:rPr>
            </w:pPr>
            <w:r w:rsidRPr="005C3B55">
              <w:rPr>
                <w:sz w:val="12"/>
                <w:szCs w:val="24"/>
              </w:rPr>
              <w:t>P6.1) Next generation access infrastructure: The existence of national and regional next generation access plans, which include regional measures for attaining EU objectives as per high-speed Internet access, with an emphasis on fields where the market fails to provide sufficient high-quality open infrastructure at acceptable prices as per EU rules on competition and state aid, and to provide accessible services to vulnerable groups</w:t>
            </w:r>
          </w:p>
        </w:tc>
        <w:tc>
          <w:tcPr>
            <w:tcW w:w="1000" w:type="pct"/>
            <w:shd w:val="clear" w:color="auto" w:fill="FFFFFF"/>
            <w:tcMar>
              <w:top w:w="20" w:type="dxa"/>
              <w:bottom w:w="20" w:type="dxa"/>
            </w:tcMar>
            <w:vAlign w:val="center"/>
          </w:tcPr>
          <w:p w:rsidR="00BD3B5F" w:rsidRPr="005C3B55" w:rsidRDefault="00BD3B5F">
            <w:pPr>
              <w:jc w:val="left"/>
              <w:rPr>
                <w:szCs w:val="24"/>
              </w:rPr>
            </w:pPr>
            <w:r w:rsidRPr="005C3B55">
              <w:rPr>
                <w:sz w:val="12"/>
                <w:szCs w:val="24"/>
              </w:rPr>
              <w:t>P6.1.a) A national or regional NGA plan is formed which includes: a plan of infrastructure investments based on economic analysis which observed the existing private and public infrastructure and  planned investments</w:t>
            </w:r>
          </w:p>
        </w:tc>
        <w:tc>
          <w:tcPr>
            <w:tcW w:w="1000" w:type="pct"/>
            <w:shd w:val="clear" w:color="auto" w:fill="FFFFFF"/>
            <w:tcMar>
              <w:top w:w="20" w:type="dxa"/>
              <w:bottom w:w="20" w:type="dxa"/>
            </w:tcMar>
            <w:vAlign w:val="center"/>
          </w:tcPr>
          <w:p w:rsidR="00BD3B5F" w:rsidRPr="005C3B55" w:rsidRDefault="00BD3B5F">
            <w:pPr>
              <w:spacing w:before="0" w:after="160"/>
              <w:jc w:val="left"/>
              <w:rPr>
                <w:noProof/>
                <w:sz w:val="15"/>
                <w:szCs w:val="24"/>
              </w:rPr>
            </w:pPr>
            <w:r w:rsidRPr="005C3B55">
              <w:rPr>
                <w:sz w:val="15"/>
                <w:szCs w:val="24"/>
              </w:rPr>
              <w:t>An assessment of the current situation in the next generation networks – May 2014.</w:t>
            </w:r>
          </w:p>
          <w:p w:rsidR="00BD3B5F" w:rsidRPr="005C3B55" w:rsidRDefault="00BD3B5F">
            <w:pPr>
              <w:spacing w:before="160" w:after="160"/>
              <w:jc w:val="left"/>
              <w:rPr>
                <w:noProof/>
                <w:sz w:val="15"/>
                <w:szCs w:val="24"/>
              </w:rPr>
            </w:pPr>
            <w:r w:rsidRPr="005C3B55">
              <w:rPr>
                <w:sz w:val="15"/>
                <w:szCs w:val="24"/>
              </w:rPr>
              <w:t>The preparation of a draft plan for next generation networks in Slovenia in compliance with the objectives of the Digital Agenda for Europe – May 2014.</w:t>
            </w:r>
          </w:p>
          <w:p w:rsidR="00BD3B5F" w:rsidRPr="005C3B55" w:rsidRDefault="00BD3B5F">
            <w:pPr>
              <w:spacing w:before="160" w:after="160"/>
              <w:jc w:val="left"/>
              <w:rPr>
                <w:noProof/>
                <w:sz w:val="15"/>
                <w:szCs w:val="24"/>
              </w:rPr>
            </w:pPr>
            <w:r w:rsidRPr="005C3B55">
              <w:rPr>
                <w:sz w:val="15"/>
                <w:szCs w:val="24"/>
              </w:rPr>
              <w:t>Public consultation with all interested parties between 29 August and 3 October 2014.</w:t>
            </w:r>
          </w:p>
          <w:p w:rsidR="00BD3B5F" w:rsidRPr="005C3B55" w:rsidRDefault="00BD3B5F">
            <w:pPr>
              <w:spacing w:before="160" w:after="160"/>
              <w:jc w:val="left"/>
              <w:rPr>
                <w:noProof/>
                <w:szCs w:val="24"/>
              </w:rPr>
            </w:pPr>
            <w:r w:rsidRPr="005C3B55">
              <w:rPr>
                <w:sz w:val="15"/>
                <w:szCs w:val="24"/>
              </w:rPr>
              <w:t>A review of the next generation network national plan between 3 and 31 October 2014.</w:t>
            </w:r>
            <w:r w:rsidRPr="005C3B55">
              <w:rPr>
                <w:noProof/>
                <w:sz w:val="15"/>
                <w:szCs w:val="24"/>
              </w:rPr>
              <w:t xml:space="preserve"> </w:t>
            </w:r>
          </w:p>
          <w:p w:rsidR="00BD3B5F" w:rsidRPr="005C3B55" w:rsidRDefault="00BD3B5F">
            <w:pPr>
              <w:spacing w:before="160" w:after="160"/>
              <w:jc w:val="left"/>
              <w:rPr>
                <w:noProof/>
                <w:szCs w:val="24"/>
              </w:rPr>
            </w:pPr>
            <w:r w:rsidRPr="005C3B55">
              <w:rPr>
                <w:sz w:val="15"/>
                <w:szCs w:val="24"/>
              </w:rPr>
              <w:t>Publication of draft national plan and public consultation between 15 December 2014 and 15 January 2015.</w:t>
            </w:r>
            <w:r w:rsidRPr="005C3B55">
              <w:rPr>
                <w:noProof/>
                <w:sz w:val="15"/>
                <w:szCs w:val="24"/>
              </w:rPr>
              <w:t xml:space="preserve"> </w:t>
            </w:r>
          </w:p>
          <w:p w:rsidR="00BD3B5F" w:rsidRPr="005C3B55" w:rsidRDefault="00BD3B5F">
            <w:pPr>
              <w:spacing w:before="160" w:after="160"/>
              <w:jc w:val="left"/>
              <w:rPr>
                <w:noProof/>
                <w:szCs w:val="24"/>
              </w:rPr>
            </w:pPr>
            <w:r w:rsidRPr="005C3B55">
              <w:rPr>
                <w:sz w:val="15"/>
                <w:szCs w:val="24"/>
              </w:rPr>
              <w:t>The approval procedure by the Government of the Republic of Slovenia – 27 February 2015.</w:t>
            </w:r>
            <w:r w:rsidRPr="005C3B55">
              <w:rPr>
                <w:noProof/>
                <w:sz w:val="15"/>
                <w:szCs w:val="24"/>
              </w:rPr>
              <w:t xml:space="preserve"> </w:t>
            </w:r>
          </w:p>
          <w:p w:rsidR="00BD3B5F" w:rsidRPr="005C3B55" w:rsidRDefault="00BD3B5F">
            <w:pPr>
              <w:jc w:val="left"/>
              <w:rPr>
                <w:sz w:val="12"/>
                <w:szCs w:val="24"/>
              </w:rPr>
            </w:pPr>
          </w:p>
        </w:tc>
        <w:tc>
          <w:tcPr>
            <w:tcW w:w="1000" w:type="pct"/>
            <w:shd w:val="clear" w:color="auto" w:fill="FFFFFF"/>
            <w:tcMar>
              <w:top w:w="20" w:type="dxa"/>
              <w:bottom w:w="20" w:type="dxa"/>
            </w:tcMar>
            <w:vAlign w:val="center"/>
          </w:tcPr>
          <w:p w:rsidR="00BD3B5F" w:rsidRPr="005C3B55" w:rsidRDefault="00BD3B5F">
            <w:pPr>
              <w:jc w:val="left"/>
              <w:rPr>
                <w:sz w:val="12"/>
                <w:szCs w:val="24"/>
              </w:rPr>
            </w:pPr>
            <w:r w:rsidRPr="005C3B55">
              <w:rPr>
                <w:noProof/>
                <w:sz w:val="12"/>
                <w:szCs w:val="24"/>
              </w:rPr>
              <w:t>27 February 2015</w:t>
            </w:r>
          </w:p>
        </w:tc>
        <w:tc>
          <w:tcPr>
            <w:tcW w:w="1000" w:type="pct"/>
            <w:shd w:val="clear" w:color="auto" w:fill="FFFFFF"/>
            <w:tcMar>
              <w:top w:w="20" w:type="dxa"/>
              <w:bottom w:w="20" w:type="dxa"/>
            </w:tcMar>
            <w:vAlign w:val="center"/>
          </w:tcPr>
          <w:p w:rsidR="00BD3B5F" w:rsidRPr="005C3B55" w:rsidRDefault="00BD3B5F">
            <w:pPr>
              <w:jc w:val="left"/>
              <w:rPr>
                <w:szCs w:val="24"/>
              </w:rPr>
            </w:pPr>
            <w:r w:rsidRPr="005C3B55">
              <w:rPr>
                <w:sz w:val="12"/>
                <w:szCs w:val="24"/>
              </w:rPr>
              <w:t>Ministry of Education, Science and Sport</w:t>
            </w:r>
          </w:p>
        </w:tc>
      </w:tr>
      <w:tr w:rsidR="00BD3B5F" w:rsidRPr="005C3B55">
        <w:tc>
          <w:tcPr>
            <w:tcW w:w="1000" w:type="pct"/>
            <w:vMerge/>
            <w:shd w:val="clear" w:color="auto" w:fill="FFFFFF"/>
            <w:tcMar>
              <w:top w:w="20" w:type="dxa"/>
              <w:bottom w:w="20" w:type="dxa"/>
            </w:tcMar>
            <w:vAlign w:val="center"/>
          </w:tcPr>
          <w:p w:rsidR="00BD3B5F" w:rsidRPr="005C3B55" w:rsidRDefault="00BD3B5F">
            <w:pPr>
              <w:jc w:val="left"/>
              <w:rPr>
                <w:sz w:val="12"/>
                <w:szCs w:val="24"/>
              </w:rPr>
            </w:pPr>
          </w:p>
        </w:tc>
        <w:tc>
          <w:tcPr>
            <w:tcW w:w="1000" w:type="pct"/>
            <w:shd w:val="clear" w:color="auto" w:fill="FFFFFF"/>
            <w:tcMar>
              <w:top w:w="20" w:type="dxa"/>
              <w:bottom w:w="20" w:type="dxa"/>
            </w:tcMar>
            <w:vAlign w:val="center"/>
          </w:tcPr>
          <w:p w:rsidR="00BD3B5F" w:rsidRPr="005C3B55" w:rsidRDefault="00BD3B5F">
            <w:pPr>
              <w:jc w:val="left"/>
              <w:rPr>
                <w:szCs w:val="24"/>
              </w:rPr>
            </w:pPr>
            <w:r w:rsidRPr="005C3B55">
              <w:rPr>
                <w:sz w:val="12"/>
                <w:szCs w:val="24"/>
              </w:rPr>
              <w:t>P6.1.b) A national or regional NGA plan is formed which includes: sustainable investment models which enhance competition and provide access to open, affordable and high-quality infrastructure and services which will be suitable also in future</w:t>
            </w:r>
          </w:p>
        </w:tc>
        <w:tc>
          <w:tcPr>
            <w:tcW w:w="1000" w:type="pct"/>
            <w:shd w:val="clear" w:color="auto" w:fill="FFFFFF"/>
            <w:tcMar>
              <w:top w:w="20" w:type="dxa"/>
              <w:bottom w:w="20" w:type="dxa"/>
            </w:tcMar>
            <w:vAlign w:val="center"/>
          </w:tcPr>
          <w:p w:rsidR="00BD3B5F" w:rsidRPr="005C3B55" w:rsidRDefault="00BD3B5F">
            <w:pPr>
              <w:spacing w:before="0" w:after="160"/>
              <w:jc w:val="left"/>
              <w:rPr>
                <w:noProof/>
                <w:sz w:val="15"/>
                <w:szCs w:val="24"/>
              </w:rPr>
            </w:pPr>
            <w:r w:rsidRPr="005C3B55">
              <w:rPr>
                <w:sz w:val="15"/>
                <w:szCs w:val="24"/>
              </w:rPr>
              <w:t>An assessment of the current situation in the next generation networks – May 2014.</w:t>
            </w:r>
          </w:p>
          <w:p w:rsidR="00BD3B5F" w:rsidRPr="005C3B55" w:rsidRDefault="00BD3B5F">
            <w:pPr>
              <w:spacing w:before="160" w:after="160"/>
              <w:jc w:val="left"/>
              <w:rPr>
                <w:noProof/>
                <w:sz w:val="15"/>
                <w:szCs w:val="24"/>
              </w:rPr>
            </w:pPr>
            <w:r w:rsidRPr="005C3B55">
              <w:rPr>
                <w:sz w:val="15"/>
                <w:szCs w:val="24"/>
              </w:rPr>
              <w:t>The preparation of a draft plan for next generation networks in Slovenia in compliance with the objectives of the Digital Agenda for Europe – May 2014.</w:t>
            </w:r>
          </w:p>
          <w:p w:rsidR="00BD3B5F" w:rsidRPr="005C3B55" w:rsidRDefault="00BD3B5F">
            <w:pPr>
              <w:spacing w:before="160" w:after="160"/>
              <w:jc w:val="left"/>
              <w:rPr>
                <w:noProof/>
                <w:sz w:val="15"/>
                <w:szCs w:val="24"/>
              </w:rPr>
            </w:pPr>
            <w:r w:rsidRPr="005C3B55">
              <w:rPr>
                <w:sz w:val="15"/>
                <w:szCs w:val="24"/>
              </w:rPr>
              <w:t>Public consultation with all interested parties between 29 August and 3 October 2014.</w:t>
            </w:r>
          </w:p>
          <w:p w:rsidR="00BD3B5F" w:rsidRPr="005C3B55" w:rsidRDefault="00BD3B5F">
            <w:pPr>
              <w:spacing w:before="160" w:after="160"/>
              <w:jc w:val="left"/>
              <w:rPr>
                <w:noProof/>
                <w:szCs w:val="24"/>
              </w:rPr>
            </w:pPr>
            <w:r w:rsidRPr="005C3B55">
              <w:rPr>
                <w:sz w:val="15"/>
                <w:szCs w:val="24"/>
              </w:rPr>
              <w:t>A review of the next generation network national plan between 3 and 31 October 2014.</w:t>
            </w:r>
            <w:r w:rsidRPr="005C3B55">
              <w:rPr>
                <w:noProof/>
                <w:sz w:val="15"/>
                <w:szCs w:val="24"/>
              </w:rPr>
              <w:t xml:space="preserve"> </w:t>
            </w:r>
          </w:p>
          <w:p w:rsidR="00BD3B5F" w:rsidRPr="005C3B55" w:rsidRDefault="00BD3B5F">
            <w:pPr>
              <w:spacing w:before="0" w:after="0"/>
              <w:jc w:val="left"/>
              <w:rPr>
                <w:noProof/>
                <w:szCs w:val="24"/>
              </w:rPr>
            </w:pPr>
            <w:r w:rsidRPr="005C3B55">
              <w:rPr>
                <w:sz w:val="15"/>
                <w:szCs w:val="24"/>
              </w:rPr>
              <w:t>Publication of draft national plan and public consultation between 15 December 2014 and 15 January 2015.</w:t>
            </w:r>
            <w:r w:rsidRPr="005C3B55">
              <w:rPr>
                <w:noProof/>
                <w:sz w:val="15"/>
                <w:szCs w:val="24"/>
              </w:rPr>
              <w:t xml:space="preserve"> </w:t>
            </w:r>
          </w:p>
          <w:p w:rsidR="00BD3B5F" w:rsidRPr="005C3B55" w:rsidRDefault="00BD3B5F">
            <w:pPr>
              <w:spacing w:before="160" w:after="160"/>
              <w:jc w:val="left"/>
              <w:rPr>
                <w:noProof/>
                <w:szCs w:val="24"/>
              </w:rPr>
            </w:pPr>
            <w:r w:rsidRPr="005C3B55">
              <w:rPr>
                <w:sz w:val="15"/>
                <w:szCs w:val="24"/>
              </w:rPr>
              <w:t>The approval procedure by the Government of the Republic of Slovenia – 27 February 2015.</w:t>
            </w:r>
          </w:p>
          <w:p w:rsidR="00BD3B5F" w:rsidRPr="005C3B55" w:rsidRDefault="00BD3B5F">
            <w:pPr>
              <w:jc w:val="left"/>
              <w:rPr>
                <w:sz w:val="12"/>
                <w:szCs w:val="24"/>
              </w:rPr>
            </w:pPr>
          </w:p>
        </w:tc>
        <w:tc>
          <w:tcPr>
            <w:tcW w:w="1000" w:type="pct"/>
            <w:shd w:val="clear" w:color="auto" w:fill="FFFFFF"/>
            <w:tcMar>
              <w:top w:w="20" w:type="dxa"/>
              <w:bottom w:w="20" w:type="dxa"/>
            </w:tcMar>
            <w:vAlign w:val="center"/>
          </w:tcPr>
          <w:p w:rsidR="00BD3B5F" w:rsidRPr="005C3B55" w:rsidRDefault="00BD3B5F">
            <w:pPr>
              <w:jc w:val="left"/>
              <w:rPr>
                <w:sz w:val="12"/>
                <w:szCs w:val="24"/>
              </w:rPr>
            </w:pPr>
            <w:r w:rsidRPr="005C3B55">
              <w:rPr>
                <w:noProof/>
                <w:sz w:val="12"/>
                <w:szCs w:val="24"/>
              </w:rPr>
              <w:t>27 February 2015</w:t>
            </w:r>
          </w:p>
        </w:tc>
        <w:tc>
          <w:tcPr>
            <w:tcW w:w="1000" w:type="pct"/>
            <w:shd w:val="clear" w:color="auto" w:fill="FFFFFF"/>
            <w:tcMar>
              <w:top w:w="20" w:type="dxa"/>
              <w:bottom w:w="20" w:type="dxa"/>
            </w:tcMar>
            <w:vAlign w:val="center"/>
          </w:tcPr>
          <w:p w:rsidR="00BD3B5F" w:rsidRPr="005C3B55" w:rsidRDefault="00BD3B5F">
            <w:pPr>
              <w:jc w:val="left"/>
              <w:rPr>
                <w:sz w:val="12"/>
                <w:szCs w:val="24"/>
              </w:rPr>
            </w:pPr>
            <w:r w:rsidRPr="005C3B55">
              <w:rPr>
                <w:noProof/>
                <w:sz w:val="12"/>
                <w:szCs w:val="24"/>
              </w:rPr>
              <w:t>Ministry of Education, Science and Sport</w:t>
            </w:r>
          </w:p>
        </w:tc>
      </w:tr>
      <w:tr w:rsidR="00BD3B5F" w:rsidRPr="005C3B55">
        <w:tc>
          <w:tcPr>
            <w:tcW w:w="1000" w:type="pct"/>
            <w:vMerge/>
            <w:shd w:val="clear" w:color="auto" w:fill="FFFFFF"/>
            <w:tcMar>
              <w:top w:w="20" w:type="dxa"/>
              <w:bottom w:w="20" w:type="dxa"/>
            </w:tcMar>
            <w:vAlign w:val="center"/>
          </w:tcPr>
          <w:p w:rsidR="00BD3B5F" w:rsidRPr="005C3B55" w:rsidRDefault="00BD3B5F">
            <w:pPr>
              <w:jc w:val="left"/>
              <w:rPr>
                <w:sz w:val="12"/>
                <w:szCs w:val="24"/>
              </w:rPr>
            </w:pPr>
          </w:p>
        </w:tc>
        <w:tc>
          <w:tcPr>
            <w:tcW w:w="1000" w:type="pct"/>
            <w:shd w:val="clear" w:color="auto" w:fill="FFFFFF"/>
            <w:tcMar>
              <w:top w:w="20" w:type="dxa"/>
              <w:bottom w:w="20" w:type="dxa"/>
            </w:tcMar>
            <w:vAlign w:val="center"/>
          </w:tcPr>
          <w:p w:rsidR="00BD3B5F" w:rsidRPr="005C3B55" w:rsidRDefault="00BD3B5F">
            <w:pPr>
              <w:jc w:val="left"/>
              <w:rPr>
                <w:szCs w:val="24"/>
              </w:rPr>
            </w:pPr>
            <w:r w:rsidRPr="005C3B55">
              <w:rPr>
                <w:sz w:val="12"/>
                <w:szCs w:val="24"/>
              </w:rPr>
              <w:t>P6.1.c) A national or regional NGA plan is formed which includes: measures to stimulate private investment</w:t>
            </w:r>
          </w:p>
        </w:tc>
        <w:tc>
          <w:tcPr>
            <w:tcW w:w="1000" w:type="pct"/>
            <w:shd w:val="clear" w:color="auto" w:fill="FFFFFF"/>
            <w:tcMar>
              <w:top w:w="20" w:type="dxa"/>
              <w:bottom w:w="20" w:type="dxa"/>
            </w:tcMar>
            <w:vAlign w:val="center"/>
          </w:tcPr>
          <w:p w:rsidR="00BD3B5F" w:rsidRPr="005C3B55" w:rsidRDefault="00BD3B5F">
            <w:pPr>
              <w:spacing w:before="0" w:after="160"/>
              <w:jc w:val="left"/>
              <w:rPr>
                <w:noProof/>
                <w:sz w:val="15"/>
                <w:szCs w:val="24"/>
              </w:rPr>
            </w:pPr>
            <w:r w:rsidRPr="005C3B55">
              <w:rPr>
                <w:sz w:val="15"/>
                <w:szCs w:val="24"/>
              </w:rPr>
              <w:t>An assessment of the current situation in the next generation networks – May 2014.</w:t>
            </w:r>
          </w:p>
          <w:p w:rsidR="00BD3B5F" w:rsidRPr="005C3B55" w:rsidRDefault="00BD3B5F">
            <w:pPr>
              <w:spacing w:before="160" w:after="160"/>
              <w:jc w:val="left"/>
              <w:rPr>
                <w:noProof/>
                <w:sz w:val="15"/>
                <w:szCs w:val="24"/>
              </w:rPr>
            </w:pPr>
            <w:r w:rsidRPr="005C3B55">
              <w:rPr>
                <w:sz w:val="15"/>
                <w:szCs w:val="24"/>
              </w:rPr>
              <w:t>The preparation of a draft plan for next generation networks in Slovenia in compliance with the objectives of the Digital Agenda for Europe – May 2014.</w:t>
            </w:r>
          </w:p>
          <w:p w:rsidR="00BD3B5F" w:rsidRPr="005C3B55" w:rsidRDefault="00BD3B5F">
            <w:pPr>
              <w:spacing w:before="160" w:after="160"/>
              <w:jc w:val="left"/>
              <w:rPr>
                <w:noProof/>
                <w:sz w:val="15"/>
                <w:szCs w:val="24"/>
              </w:rPr>
            </w:pPr>
            <w:r w:rsidRPr="005C3B55">
              <w:rPr>
                <w:sz w:val="15"/>
                <w:szCs w:val="24"/>
              </w:rPr>
              <w:t>Public consultation with all interested parties between 29 August and 3 October 2014.</w:t>
            </w:r>
          </w:p>
          <w:p w:rsidR="00BD3B5F" w:rsidRPr="005C3B55" w:rsidRDefault="00BD3B5F">
            <w:pPr>
              <w:spacing w:before="160" w:after="160"/>
              <w:jc w:val="left"/>
              <w:rPr>
                <w:noProof/>
                <w:szCs w:val="24"/>
              </w:rPr>
            </w:pPr>
            <w:r w:rsidRPr="005C3B55">
              <w:rPr>
                <w:sz w:val="15"/>
                <w:szCs w:val="24"/>
              </w:rPr>
              <w:t>A review of the next generation network national plan between 3 and 31 October 2014.</w:t>
            </w:r>
            <w:r w:rsidRPr="005C3B55">
              <w:rPr>
                <w:noProof/>
                <w:sz w:val="15"/>
                <w:szCs w:val="24"/>
              </w:rPr>
              <w:t xml:space="preserve"> </w:t>
            </w:r>
          </w:p>
          <w:p w:rsidR="00BD3B5F" w:rsidRPr="005C3B55" w:rsidRDefault="00BD3B5F">
            <w:pPr>
              <w:spacing w:before="0" w:after="0"/>
              <w:jc w:val="left"/>
              <w:rPr>
                <w:noProof/>
                <w:szCs w:val="24"/>
              </w:rPr>
            </w:pPr>
            <w:r w:rsidRPr="005C3B55">
              <w:rPr>
                <w:sz w:val="15"/>
                <w:szCs w:val="24"/>
              </w:rPr>
              <w:t>Publication of draft national plan and public consultation between 15 December 2014 and 15 January 2015.</w:t>
            </w:r>
            <w:r w:rsidRPr="005C3B55">
              <w:rPr>
                <w:noProof/>
                <w:sz w:val="15"/>
                <w:szCs w:val="24"/>
              </w:rPr>
              <w:t xml:space="preserve"> </w:t>
            </w:r>
          </w:p>
          <w:p w:rsidR="00BD3B5F" w:rsidRPr="005C3B55" w:rsidRDefault="00BD3B5F">
            <w:pPr>
              <w:spacing w:before="150" w:after="150"/>
              <w:jc w:val="left"/>
              <w:rPr>
                <w:noProof/>
                <w:sz w:val="15"/>
                <w:szCs w:val="24"/>
              </w:rPr>
            </w:pPr>
            <w:r w:rsidRPr="005C3B55">
              <w:rPr>
                <w:sz w:val="15"/>
                <w:szCs w:val="24"/>
              </w:rPr>
              <w:t>The approval procedure by the Government of the Republic of Slovenia – 27 February 2015.</w:t>
            </w:r>
          </w:p>
          <w:p w:rsidR="00BD3B5F" w:rsidRPr="005C3B55" w:rsidRDefault="00BD3B5F">
            <w:pPr>
              <w:jc w:val="left"/>
              <w:rPr>
                <w:sz w:val="12"/>
                <w:szCs w:val="24"/>
              </w:rPr>
            </w:pPr>
          </w:p>
        </w:tc>
        <w:tc>
          <w:tcPr>
            <w:tcW w:w="1000" w:type="pct"/>
            <w:shd w:val="clear" w:color="auto" w:fill="FFFFFF"/>
            <w:tcMar>
              <w:top w:w="20" w:type="dxa"/>
              <w:bottom w:w="20" w:type="dxa"/>
            </w:tcMar>
            <w:vAlign w:val="center"/>
          </w:tcPr>
          <w:p w:rsidR="00BD3B5F" w:rsidRPr="005C3B55" w:rsidRDefault="00BD3B5F">
            <w:pPr>
              <w:jc w:val="left"/>
              <w:rPr>
                <w:sz w:val="12"/>
                <w:szCs w:val="24"/>
              </w:rPr>
            </w:pPr>
            <w:r w:rsidRPr="005C3B55">
              <w:rPr>
                <w:noProof/>
                <w:sz w:val="12"/>
                <w:szCs w:val="24"/>
              </w:rPr>
              <w:t>27 February 2015</w:t>
            </w:r>
          </w:p>
        </w:tc>
        <w:tc>
          <w:tcPr>
            <w:tcW w:w="1000" w:type="pct"/>
            <w:shd w:val="clear" w:color="auto" w:fill="FFFFFF"/>
            <w:tcMar>
              <w:top w:w="20" w:type="dxa"/>
              <w:bottom w:w="20" w:type="dxa"/>
            </w:tcMar>
            <w:vAlign w:val="center"/>
          </w:tcPr>
          <w:p w:rsidR="00BD3B5F" w:rsidRPr="005C3B55" w:rsidRDefault="00BD3B5F">
            <w:pPr>
              <w:jc w:val="left"/>
              <w:rPr>
                <w:sz w:val="12"/>
                <w:szCs w:val="24"/>
              </w:rPr>
            </w:pPr>
            <w:r w:rsidRPr="005C3B55">
              <w:rPr>
                <w:noProof/>
                <w:sz w:val="12"/>
                <w:szCs w:val="24"/>
              </w:rPr>
              <w:t>Ministry of Education, Science and Sport</w:t>
            </w:r>
          </w:p>
        </w:tc>
      </w:tr>
    </w:tbl>
    <w:p w:rsidR="00BD3B5F" w:rsidRPr="005C3B55" w:rsidRDefault="00BD3B5F">
      <w:pPr>
        <w:rPr>
          <w:b/>
          <w:szCs w:val="24"/>
        </w:rPr>
        <w:sectPr w:rsidR="00BD3B5F" w:rsidRPr="005C3B55">
          <w:pgSz w:w="15840" w:h="12240" w:orient="landscape"/>
          <w:pgMar w:top="900" w:right="900" w:bottom="900" w:left="900" w:header="708" w:footer="708" w:gutter="0"/>
          <w:cols w:space="708"/>
        </w:sectPr>
      </w:pPr>
    </w:p>
    <w:p w:rsidR="00BD3B5F" w:rsidRPr="005C3B55" w:rsidRDefault="00BD3B5F">
      <w:pPr>
        <w:pStyle w:val="Naslov1"/>
        <w:rPr>
          <w:szCs w:val="24"/>
          <w:lang w:val="en-GB"/>
        </w:rPr>
      </w:pPr>
      <w:bookmarkStart w:id="100" w:name="_Toc416192558"/>
      <w:r w:rsidRPr="005C3B55">
        <w:rPr>
          <w:szCs w:val="24"/>
          <w:lang w:val="en-GB"/>
        </w:rPr>
        <w:t>Description of performance framework</w:t>
      </w:r>
      <w:bookmarkEnd w:id="100"/>
    </w:p>
    <w:p w:rsidR="00BD3B5F" w:rsidRPr="005C3B55" w:rsidRDefault="00BD3B5F">
      <w:pPr>
        <w:pStyle w:val="Naslov2"/>
        <w:tabs>
          <w:tab w:val="clear" w:pos="765"/>
        </w:tabs>
        <w:ind w:left="0" w:firstLine="0"/>
        <w:rPr>
          <w:szCs w:val="24"/>
          <w:lang w:val="en-GB"/>
        </w:rPr>
      </w:pPr>
      <w:bookmarkStart w:id="101" w:name="_Toc416192559"/>
      <w:r w:rsidRPr="005C3B55">
        <w:rPr>
          <w:szCs w:val="24"/>
          <w:lang w:val="en-GB"/>
        </w:rPr>
        <w:t>Indicators</w:t>
      </w:r>
      <w:bookmarkEnd w:id="10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07"/>
        <w:gridCol w:w="2555"/>
        <w:gridCol w:w="2409"/>
        <w:gridCol w:w="2127"/>
        <w:gridCol w:w="2977"/>
        <w:gridCol w:w="1417"/>
        <w:gridCol w:w="964"/>
      </w:tblGrid>
      <w:tr w:rsidR="00BD3B5F" w:rsidRPr="005C3B55">
        <w:tc>
          <w:tcPr>
            <w:tcW w:w="634" w:type="pct"/>
            <w:shd w:val="clear" w:color="auto" w:fill="C0C0C0"/>
            <w:tcMar>
              <w:top w:w="20" w:type="dxa"/>
              <w:bottom w:w="20" w:type="dxa"/>
            </w:tcMar>
            <w:vAlign w:val="center"/>
          </w:tcPr>
          <w:p w:rsidR="00BD3B5F" w:rsidRPr="005C3B55" w:rsidRDefault="00BD3B5F">
            <w:pPr>
              <w:rPr>
                <w:szCs w:val="24"/>
              </w:rPr>
            </w:pPr>
            <w:r w:rsidRPr="005C3B55">
              <w:rPr>
                <w:b/>
                <w:szCs w:val="24"/>
              </w:rPr>
              <w:t>Priority</w:t>
            </w:r>
          </w:p>
        </w:tc>
        <w:tc>
          <w:tcPr>
            <w:tcW w:w="896" w:type="pct"/>
            <w:shd w:val="clear" w:color="auto" w:fill="C0C0C0"/>
            <w:tcMar>
              <w:top w:w="20" w:type="dxa"/>
              <w:bottom w:w="20" w:type="dxa"/>
            </w:tcMar>
            <w:vAlign w:val="center"/>
          </w:tcPr>
          <w:p w:rsidR="00BD3B5F" w:rsidRPr="005C3B55" w:rsidRDefault="00BD3B5F">
            <w:pPr>
              <w:rPr>
                <w:b/>
                <w:szCs w:val="24"/>
              </w:rPr>
            </w:pPr>
            <w:r w:rsidRPr="005C3B55">
              <w:rPr>
                <w:b/>
                <w:noProof/>
                <w:szCs w:val="24"/>
              </w:rPr>
              <w:t>Applicable</w:t>
            </w:r>
          </w:p>
        </w:tc>
        <w:tc>
          <w:tcPr>
            <w:tcW w:w="845" w:type="pct"/>
            <w:shd w:val="clear" w:color="auto" w:fill="C0C0C0"/>
            <w:tcMar>
              <w:top w:w="20" w:type="dxa"/>
              <w:bottom w:w="20" w:type="dxa"/>
            </w:tcMar>
            <w:vAlign w:val="center"/>
          </w:tcPr>
          <w:p w:rsidR="00BD3B5F" w:rsidRPr="005C3B55" w:rsidRDefault="00BD3B5F">
            <w:pPr>
              <w:jc w:val="left"/>
              <w:rPr>
                <w:szCs w:val="24"/>
              </w:rPr>
            </w:pPr>
            <w:r w:rsidRPr="005C3B55">
              <w:rPr>
                <w:b/>
                <w:szCs w:val="24"/>
              </w:rPr>
              <w:t xml:space="preserve">Indicator and measurement unit if applicable </w:t>
            </w:r>
          </w:p>
        </w:tc>
        <w:tc>
          <w:tcPr>
            <w:tcW w:w="746" w:type="pct"/>
            <w:shd w:val="clear" w:color="auto" w:fill="C0C0C0"/>
            <w:tcMar>
              <w:top w:w="20" w:type="dxa"/>
              <w:bottom w:w="20" w:type="dxa"/>
            </w:tcMar>
            <w:vAlign w:val="center"/>
          </w:tcPr>
          <w:p w:rsidR="00BD3B5F" w:rsidRPr="005C3B55" w:rsidRDefault="00BD3B5F">
            <w:pPr>
              <w:jc w:val="left"/>
              <w:rPr>
                <w:szCs w:val="24"/>
              </w:rPr>
            </w:pPr>
            <w:r w:rsidRPr="005C3B55">
              <w:rPr>
                <w:b/>
                <w:szCs w:val="24"/>
              </w:rPr>
              <w:t>Target for 2023 (a)</w:t>
            </w:r>
          </w:p>
        </w:tc>
        <w:tc>
          <w:tcPr>
            <w:tcW w:w="1044" w:type="pct"/>
            <w:shd w:val="clear" w:color="auto" w:fill="C0C0C0"/>
            <w:tcMar>
              <w:top w:w="20" w:type="dxa"/>
              <w:bottom w:w="20" w:type="dxa"/>
            </w:tcMar>
            <w:vAlign w:val="center"/>
          </w:tcPr>
          <w:p w:rsidR="00BD3B5F" w:rsidRPr="005C3B55" w:rsidRDefault="00BD3B5F">
            <w:pPr>
              <w:jc w:val="left"/>
              <w:rPr>
                <w:szCs w:val="24"/>
              </w:rPr>
            </w:pPr>
            <w:r w:rsidRPr="005C3B55">
              <w:rPr>
                <w:b/>
                <w:szCs w:val="24"/>
              </w:rPr>
              <w:t>Additional funds for adjustment (b)</w:t>
            </w:r>
          </w:p>
        </w:tc>
        <w:tc>
          <w:tcPr>
            <w:tcW w:w="497" w:type="pct"/>
            <w:shd w:val="clear" w:color="auto" w:fill="C0C0C0"/>
            <w:tcMar>
              <w:top w:w="20" w:type="dxa"/>
              <w:bottom w:w="20" w:type="dxa"/>
            </w:tcMar>
            <w:vAlign w:val="center"/>
          </w:tcPr>
          <w:p w:rsidR="00BD3B5F" w:rsidRPr="005C3B55" w:rsidRDefault="00BD3B5F">
            <w:pPr>
              <w:jc w:val="left"/>
              <w:rPr>
                <w:szCs w:val="24"/>
              </w:rPr>
            </w:pPr>
            <w:r w:rsidRPr="005C3B55">
              <w:rPr>
                <w:b/>
                <w:szCs w:val="24"/>
              </w:rPr>
              <w:t>Milestone for 2018 in % (c)</w:t>
            </w:r>
          </w:p>
        </w:tc>
        <w:tc>
          <w:tcPr>
            <w:tcW w:w="338" w:type="pct"/>
            <w:shd w:val="clear" w:color="auto" w:fill="C0C0C0"/>
            <w:tcMar>
              <w:top w:w="20" w:type="dxa"/>
              <w:bottom w:w="20" w:type="dxa"/>
            </w:tcMar>
            <w:vAlign w:val="center"/>
          </w:tcPr>
          <w:p w:rsidR="00BD3B5F" w:rsidRPr="005C3B55" w:rsidRDefault="00BD3B5F">
            <w:pPr>
              <w:jc w:val="left"/>
              <w:rPr>
                <w:szCs w:val="24"/>
              </w:rPr>
            </w:pPr>
            <w:r w:rsidRPr="005C3B55">
              <w:rPr>
                <w:b/>
                <w:szCs w:val="24"/>
              </w:rPr>
              <w:t>Milestone in the absolute value (a-b)*c</w:t>
            </w:r>
          </w:p>
        </w:tc>
      </w:tr>
      <w:tr w:rsidR="00BD3B5F" w:rsidRPr="005C3B55">
        <w:tc>
          <w:tcPr>
            <w:tcW w:w="634" w:type="pct"/>
            <w:vMerge w:val="restart"/>
            <w:shd w:val="clear" w:color="auto" w:fill="FFFFFF"/>
            <w:tcMar>
              <w:top w:w="20" w:type="dxa"/>
              <w:bottom w:w="20" w:type="dxa"/>
            </w:tcMar>
            <w:vAlign w:val="center"/>
          </w:tcPr>
          <w:p w:rsidR="00BD3B5F" w:rsidRPr="005C3B55" w:rsidRDefault="00BD3B5F">
            <w:pPr>
              <w:jc w:val="left"/>
              <w:rPr>
                <w:szCs w:val="24"/>
              </w:rPr>
            </w:pPr>
            <w:r w:rsidRPr="005C3B55">
              <w:rPr>
                <w:noProof/>
                <w:szCs w:val="24"/>
              </w:rPr>
              <w:t>P2:</w:t>
            </w:r>
            <w:r w:rsidRPr="005C3B55">
              <w:rPr>
                <w:szCs w:val="24"/>
              </w:rPr>
              <w:t xml:space="preserve"> Strengthening the viability of farms and competitiveness of all types of farming in all regions, and promoting innovative agricultural technologies and sustainable forest management</w:t>
            </w:r>
          </w:p>
        </w:tc>
        <w:tc>
          <w:tcPr>
            <w:tcW w:w="896" w:type="pct"/>
            <w:shd w:val="clear" w:color="auto" w:fill="FFFFFF"/>
            <w:tcMar>
              <w:top w:w="20" w:type="dxa"/>
              <w:bottom w:w="20" w:type="dxa"/>
            </w:tcMar>
            <w:vAlign w:val="center"/>
          </w:tcPr>
          <w:p w:rsidR="00BD3B5F" w:rsidRPr="005C3B55" w:rsidRDefault="00BD3B5F">
            <w:pPr>
              <w:jc w:val="left"/>
              <w:rPr>
                <w:szCs w:val="24"/>
              </w:rPr>
            </w:pPr>
          </w:p>
        </w:tc>
        <w:tc>
          <w:tcPr>
            <w:tcW w:w="845" w:type="pct"/>
            <w:shd w:val="clear" w:color="auto" w:fill="FFFFFF"/>
            <w:tcMar>
              <w:top w:w="20" w:type="dxa"/>
              <w:bottom w:w="20" w:type="dxa"/>
            </w:tcMar>
            <w:vAlign w:val="center"/>
          </w:tcPr>
          <w:p w:rsidR="00BD3B5F" w:rsidRPr="005C3B55" w:rsidRDefault="00BD3B5F">
            <w:pPr>
              <w:jc w:val="left"/>
              <w:rPr>
                <w:szCs w:val="24"/>
              </w:rPr>
            </w:pPr>
            <w:r w:rsidRPr="005C3B55">
              <w:rPr>
                <w:szCs w:val="24"/>
              </w:rPr>
              <w:t>Number of agricultural holdings with the RDP programme support for investment in restructuring or modernisation (focus area 2A) + agricultural holdings with business development plan/investment for young farmers supported by the RDP programme (focus area 2B)</w:t>
            </w:r>
          </w:p>
        </w:tc>
        <w:tc>
          <w:tcPr>
            <w:tcW w:w="746" w:type="pct"/>
            <w:shd w:val="clear" w:color="auto" w:fill="FFFFFF"/>
            <w:tcMar>
              <w:top w:w="20" w:type="dxa"/>
              <w:bottom w:w="20" w:type="dxa"/>
            </w:tcMar>
            <w:vAlign w:val="center"/>
          </w:tcPr>
          <w:p w:rsidR="00BD3B5F" w:rsidRPr="005C3B55" w:rsidRDefault="00BD3B5F">
            <w:pPr>
              <w:jc w:val="right"/>
              <w:rPr>
                <w:szCs w:val="24"/>
              </w:rPr>
            </w:pPr>
            <w:r w:rsidRPr="005C3B55">
              <w:rPr>
                <w:szCs w:val="24"/>
              </w:rPr>
              <w:t>4,991.00</w:t>
            </w:r>
          </w:p>
        </w:tc>
        <w:tc>
          <w:tcPr>
            <w:tcW w:w="1044" w:type="pct"/>
            <w:shd w:val="clear" w:color="auto" w:fill="FFFFFF"/>
            <w:tcMar>
              <w:top w:w="20" w:type="dxa"/>
              <w:bottom w:w="20" w:type="dxa"/>
            </w:tcMar>
            <w:vAlign w:val="center"/>
          </w:tcPr>
          <w:p w:rsidR="00BD3B5F" w:rsidRPr="005C3B55" w:rsidRDefault="00BD3B5F">
            <w:pPr>
              <w:jc w:val="right"/>
              <w:rPr>
                <w:szCs w:val="24"/>
              </w:rPr>
            </w:pPr>
          </w:p>
        </w:tc>
        <w:tc>
          <w:tcPr>
            <w:tcW w:w="497" w:type="pct"/>
            <w:shd w:val="clear" w:color="auto" w:fill="FFFFFF"/>
            <w:tcMar>
              <w:top w:w="20" w:type="dxa"/>
              <w:bottom w:w="20" w:type="dxa"/>
            </w:tcMar>
            <w:vAlign w:val="center"/>
          </w:tcPr>
          <w:p w:rsidR="00BD3B5F" w:rsidRPr="005C3B55" w:rsidRDefault="00BD3B5F">
            <w:pPr>
              <w:jc w:val="right"/>
              <w:rPr>
                <w:szCs w:val="24"/>
              </w:rPr>
            </w:pPr>
          </w:p>
        </w:tc>
        <w:tc>
          <w:tcPr>
            <w:tcW w:w="338" w:type="pct"/>
            <w:shd w:val="clear" w:color="auto" w:fill="FFFFFF"/>
            <w:tcMar>
              <w:top w:w="20" w:type="dxa"/>
              <w:bottom w:w="20" w:type="dxa"/>
            </w:tcMar>
            <w:vAlign w:val="center"/>
          </w:tcPr>
          <w:p w:rsidR="00BD3B5F" w:rsidRPr="005C3B55" w:rsidRDefault="00BD3B5F">
            <w:pPr>
              <w:jc w:val="right"/>
              <w:rPr>
                <w:szCs w:val="24"/>
              </w:rPr>
            </w:pPr>
          </w:p>
        </w:tc>
      </w:tr>
      <w:tr w:rsidR="00BD3B5F" w:rsidRPr="005C3B55">
        <w:tc>
          <w:tcPr>
            <w:tcW w:w="634" w:type="pct"/>
            <w:vMerge/>
            <w:shd w:val="clear" w:color="auto" w:fill="FFFFFF"/>
            <w:tcMar>
              <w:top w:w="20" w:type="dxa"/>
              <w:bottom w:w="20" w:type="dxa"/>
            </w:tcMar>
            <w:vAlign w:val="center"/>
          </w:tcPr>
          <w:p w:rsidR="00BD3B5F" w:rsidRPr="005C3B55" w:rsidRDefault="00BD3B5F">
            <w:pPr>
              <w:jc w:val="left"/>
              <w:rPr>
                <w:szCs w:val="24"/>
              </w:rPr>
            </w:pPr>
          </w:p>
        </w:tc>
        <w:tc>
          <w:tcPr>
            <w:tcW w:w="896" w:type="pct"/>
            <w:shd w:val="clear" w:color="auto" w:fill="FFFFFF"/>
            <w:tcMar>
              <w:top w:w="20" w:type="dxa"/>
              <w:bottom w:w="20" w:type="dxa"/>
            </w:tcMar>
            <w:vAlign w:val="center"/>
          </w:tcPr>
          <w:p w:rsidR="00BD3B5F" w:rsidRPr="005C3B55" w:rsidRDefault="00BD3B5F">
            <w:pPr>
              <w:jc w:val="center"/>
              <w:rPr>
                <w:szCs w:val="24"/>
              </w:rPr>
            </w:pPr>
            <w:r w:rsidRPr="005C3B55">
              <w:rPr>
                <w:szCs w:val="24"/>
              </w:rPr>
              <w:t xml:space="preserve"> </w:t>
            </w:r>
            <w:r w:rsidRPr="005C3B55">
              <w:rPr>
                <w:noProof/>
                <w:szCs w:val="24"/>
              </w:rPr>
              <w:t>X</w:t>
            </w:r>
            <w:r w:rsidRPr="005C3B55">
              <w:rPr>
                <w:szCs w:val="24"/>
              </w:rPr>
              <w:t xml:space="preserve"> </w:t>
            </w:r>
          </w:p>
        </w:tc>
        <w:tc>
          <w:tcPr>
            <w:tcW w:w="845" w:type="pct"/>
            <w:shd w:val="clear" w:color="auto" w:fill="FFFFFF"/>
            <w:tcMar>
              <w:top w:w="20" w:type="dxa"/>
              <w:bottom w:w="20" w:type="dxa"/>
            </w:tcMar>
            <w:vAlign w:val="center"/>
          </w:tcPr>
          <w:p w:rsidR="00BD3B5F" w:rsidRPr="005C3B55" w:rsidRDefault="00BD3B5F">
            <w:pPr>
              <w:jc w:val="left"/>
              <w:rPr>
                <w:szCs w:val="24"/>
              </w:rPr>
            </w:pPr>
            <w:r w:rsidRPr="005C3B55">
              <w:rPr>
                <w:szCs w:val="24"/>
              </w:rPr>
              <w:t>Total public expenditure for P2 (EUR)</w:t>
            </w:r>
          </w:p>
        </w:tc>
        <w:tc>
          <w:tcPr>
            <w:tcW w:w="746" w:type="pct"/>
            <w:shd w:val="clear" w:color="auto" w:fill="FFFFFF"/>
            <w:tcMar>
              <w:top w:w="20" w:type="dxa"/>
              <w:bottom w:w="20" w:type="dxa"/>
            </w:tcMar>
            <w:vAlign w:val="center"/>
          </w:tcPr>
          <w:p w:rsidR="00BD3B5F" w:rsidRPr="005C3B55" w:rsidRDefault="00BD3B5F">
            <w:pPr>
              <w:jc w:val="right"/>
              <w:rPr>
                <w:szCs w:val="24"/>
              </w:rPr>
            </w:pPr>
            <w:r w:rsidRPr="005C3B55">
              <w:rPr>
                <w:szCs w:val="24"/>
              </w:rPr>
              <w:t>223,621,866.81</w:t>
            </w:r>
          </w:p>
        </w:tc>
        <w:tc>
          <w:tcPr>
            <w:tcW w:w="1044" w:type="pct"/>
            <w:shd w:val="clear" w:color="auto" w:fill="FFFFFF"/>
            <w:tcMar>
              <w:top w:w="20" w:type="dxa"/>
              <w:bottom w:w="20" w:type="dxa"/>
            </w:tcMar>
            <w:vAlign w:val="center"/>
          </w:tcPr>
          <w:p w:rsidR="00BD3B5F" w:rsidRPr="005C3B55" w:rsidRDefault="00BD3B5F">
            <w:pPr>
              <w:jc w:val="right"/>
              <w:rPr>
                <w:szCs w:val="24"/>
              </w:rPr>
            </w:pPr>
          </w:p>
        </w:tc>
        <w:tc>
          <w:tcPr>
            <w:tcW w:w="497" w:type="pct"/>
            <w:shd w:val="clear" w:color="auto" w:fill="FFFFFF"/>
            <w:tcMar>
              <w:top w:w="20" w:type="dxa"/>
              <w:bottom w:w="20" w:type="dxa"/>
            </w:tcMar>
            <w:vAlign w:val="center"/>
          </w:tcPr>
          <w:p w:rsidR="00BD3B5F" w:rsidRPr="005C3B55" w:rsidRDefault="00BD3B5F">
            <w:pPr>
              <w:jc w:val="right"/>
              <w:rPr>
                <w:szCs w:val="24"/>
              </w:rPr>
            </w:pPr>
            <w:r w:rsidRPr="005C3B55">
              <w:rPr>
                <w:szCs w:val="24"/>
              </w:rPr>
              <w:t>15%</w:t>
            </w:r>
          </w:p>
        </w:tc>
        <w:tc>
          <w:tcPr>
            <w:tcW w:w="338" w:type="pct"/>
            <w:shd w:val="clear" w:color="auto" w:fill="FFFFFF"/>
            <w:tcMar>
              <w:top w:w="20" w:type="dxa"/>
              <w:bottom w:w="20" w:type="dxa"/>
            </w:tcMar>
            <w:vAlign w:val="center"/>
          </w:tcPr>
          <w:p w:rsidR="00BD3B5F" w:rsidRPr="005C3B55" w:rsidRDefault="00BD3B5F">
            <w:pPr>
              <w:jc w:val="right"/>
              <w:rPr>
                <w:szCs w:val="24"/>
              </w:rPr>
            </w:pPr>
            <w:r w:rsidRPr="005C3B55">
              <w:rPr>
                <w:szCs w:val="24"/>
              </w:rPr>
              <w:t>33,543,280.02</w:t>
            </w:r>
          </w:p>
        </w:tc>
      </w:tr>
      <w:tr w:rsidR="00BD3B5F" w:rsidRPr="005C3B55">
        <w:tc>
          <w:tcPr>
            <w:tcW w:w="634" w:type="pct"/>
            <w:vMerge w:val="restart"/>
            <w:shd w:val="clear" w:color="auto" w:fill="FFFFFF"/>
            <w:tcMar>
              <w:top w:w="20" w:type="dxa"/>
              <w:bottom w:w="20" w:type="dxa"/>
            </w:tcMar>
            <w:vAlign w:val="center"/>
          </w:tcPr>
          <w:p w:rsidR="00BD3B5F" w:rsidRPr="005C3B55" w:rsidRDefault="00BD3B5F">
            <w:pPr>
              <w:jc w:val="left"/>
              <w:rPr>
                <w:szCs w:val="24"/>
              </w:rPr>
            </w:pPr>
            <w:r w:rsidRPr="005C3B55">
              <w:rPr>
                <w:noProof/>
                <w:szCs w:val="24"/>
              </w:rPr>
              <w:t>P3:</w:t>
            </w:r>
            <w:r w:rsidRPr="005C3B55">
              <w:rPr>
                <w:szCs w:val="24"/>
              </w:rPr>
              <w:t xml:space="preserve"> Encouraging organisation of the food supply chain, including processing and marketing of agricultural products, animal welfare and risk management in agriculture</w:t>
            </w:r>
          </w:p>
        </w:tc>
        <w:tc>
          <w:tcPr>
            <w:tcW w:w="896" w:type="pct"/>
            <w:shd w:val="clear" w:color="auto" w:fill="FFFFFF"/>
            <w:tcMar>
              <w:top w:w="20" w:type="dxa"/>
              <w:bottom w:w="20" w:type="dxa"/>
            </w:tcMar>
            <w:vAlign w:val="center"/>
          </w:tcPr>
          <w:p w:rsidR="00BD3B5F" w:rsidRPr="005C3B55" w:rsidRDefault="00BD3B5F">
            <w:pPr>
              <w:jc w:val="left"/>
              <w:rPr>
                <w:szCs w:val="24"/>
              </w:rPr>
            </w:pPr>
          </w:p>
        </w:tc>
        <w:tc>
          <w:tcPr>
            <w:tcW w:w="845" w:type="pct"/>
            <w:shd w:val="clear" w:color="auto" w:fill="FFFFFF"/>
            <w:tcMar>
              <w:top w:w="20" w:type="dxa"/>
              <w:bottom w:w="20" w:type="dxa"/>
            </w:tcMar>
            <w:vAlign w:val="center"/>
          </w:tcPr>
          <w:p w:rsidR="00BD3B5F" w:rsidRPr="005C3B55" w:rsidRDefault="00BD3B5F">
            <w:pPr>
              <w:jc w:val="left"/>
              <w:rPr>
                <w:szCs w:val="24"/>
              </w:rPr>
            </w:pPr>
            <w:r w:rsidRPr="005C3B55">
              <w:rPr>
                <w:szCs w:val="24"/>
              </w:rPr>
              <w:t xml:space="preserve">Number of agricultural holdings receiving support for participating in quality schemes, local markets and short supply chains and producer groups/organisations (focus area 3A) </w:t>
            </w:r>
          </w:p>
        </w:tc>
        <w:tc>
          <w:tcPr>
            <w:tcW w:w="746" w:type="pct"/>
            <w:shd w:val="clear" w:color="auto" w:fill="FFFFFF"/>
            <w:tcMar>
              <w:top w:w="20" w:type="dxa"/>
              <w:bottom w:w="20" w:type="dxa"/>
            </w:tcMar>
            <w:vAlign w:val="center"/>
          </w:tcPr>
          <w:p w:rsidR="00BD3B5F" w:rsidRPr="005C3B55" w:rsidRDefault="00BD3B5F">
            <w:pPr>
              <w:jc w:val="right"/>
              <w:rPr>
                <w:szCs w:val="24"/>
              </w:rPr>
            </w:pPr>
            <w:r w:rsidRPr="005C3B55">
              <w:rPr>
                <w:szCs w:val="24"/>
              </w:rPr>
              <w:t>1,230.00</w:t>
            </w:r>
          </w:p>
        </w:tc>
        <w:tc>
          <w:tcPr>
            <w:tcW w:w="1044" w:type="pct"/>
            <w:shd w:val="clear" w:color="auto" w:fill="FFFFFF"/>
            <w:tcMar>
              <w:top w:w="20" w:type="dxa"/>
              <w:bottom w:w="20" w:type="dxa"/>
            </w:tcMar>
            <w:vAlign w:val="center"/>
          </w:tcPr>
          <w:p w:rsidR="00BD3B5F" w:rsidRPr="005C3B55" w:rsidRDefault="00BD3B5F">
            <w:pPr>
              <w:jc w:val="right"/>
              <w:rPr>
                <w:szCs w:val="24"/>
              </w:rPr>
            </w:pPr>
          </w:p>
        </w:tc>
        <w:tc>
          <w:tcPr>
            <w:tcW w:w="497" w:type="pct"/>
            <w:shd w:val="clear" w:color="auto" w:fill="FFFFFF"/>
            <w:tcMar>
              <w:top w:w="20" w:type="dxa"/>
              <w:bottom w:w="20" w:type="dxa"/>
            </w:tcMar>
            <w:vAlign w:val="center"/>
          </w:tcPr>
          <w:p w:rsidR="00BD3B5F" w:rsidRPr="005C3B55" w:rsidRDefault="00BD3B5F">
            <w:pPr>
              <w:jc w:val="right"/>
              <w:rPr>
                <w:szCs w:val="24"/>
              </w:rPr>
            </w:pPr>
          </w:p>
        </w:tc>
        <w:tc>
          <w:tcPr>
            <w:tcW w:w="338" w:type="pct"/>
            <w:shd w:val="clear" w:color="auto" w:fill="FFFFFF"/>
            <w:tcMar>
              <w:top w:w="20" w:type="dxa"/>
              <w:bottom w:w="20" w:type="dxa"/>
            </w:tcMar>
            <w:vAlign w:val="center"/>
          </w:tcPr>
          <w:p w:rsidR="00BD3B5F" w:rsidRPr="005C3B55" w:rsidRDefault="00BD3B5F">
            <w:pPr>
              <w:jc w:val="right"/>
              <w:rPr>
                <w:szCs w:val="24"/>
              </w:rPr>
            </w:pPr>
          </w:p>
        </w:tc>
      </w:tr>
      <w:tr w:rsidR="00BD3B5F" w:rsidRPr="005C3B55">
        <w:tc>
          <w:tcPr>
            <w:tcW w:w="634" w:type="pct"/>
            <w:vMerge/>
            <w:shd w:val="clear" w:color="auto" w:fill="FFFFFF"/>
            <w:tcMar>
              <w:top w:w="20" w:type="dxa"/>
              <w:bottom w:w="20" w:type="dxa"/>
            </w:tcMar>
            <w:vAlign w:val="center"/>
          </w:tcPr>
          <w:p w:rsidR="00BD3B5F" w:rsidRPr="005C3B55" w:rsidRDefault="00BD3B5F">
            <w:pPr>
              <w:jc w:val="left"/>
              <w:rPr>
                <w:szCs w:val="24"/>
              </w:rPr>
            </w:pPr>
          </w:p>
        </w:tc>
        <w:tc>
          <w:tcPr>
            <w:tcW w:w="896" w:type="pct"/>
            <w:shd w:val="clear" w:color="auto" w:fill="FFFFFF"/>
            <w:tcMar>
              <w:top w:w="20" w:type="dxa"/>
              <w:bottom w:w="20" w:type="dxa"/>
            </w:tcMar>
            <w:vAlign w:val="center"/>
          </w:tcPr>
          <w:p w:rsidR="00BD3B5F" w:rsidRPr="005C3B55" w:rsidRDefault="00BD3B5F">
            <w:pPr>
              <w:jc w:val="left"/>
              <w:rPr>
                <w:szCs w:val="24"/>
              </w:rPr>
            </w:pPr>
          </w:p>
        </w:tc>
        <w:tc>
          <w:tcPr>
            <w:tcW w:w="845" w:type="pct"/>
            <w:shd w:val="clear" w:color="auto" w:fill="FFFFFF"/>
            <w:tcMar>
              <w:top w:w="20" w:type="dxa"/>
              <w:bottom w:w="20" w:type="dxa"/>
            </w:tcMar>
            <w:vAlign w:val="center"/>
          </w:tcPr>
          <w:p w:rsidR="00BD3B5F" w:rsidRPr="005C3B55" w:rsidRDefault="00BD3B5F">
            <w:pPr>
              <w:jc w:val="left"/>
              <w:rPr>
                <w:szCs w:val="24"/>
              </w:rPr>
            </w:pPr>
            <w:r w:rsidRPr="005C3B55">
              <w:rPr>
                <w:szCs w:val="24"/>
              </w:rPr>
              <w:t>Number of agricultural holdings participating in risk management schemes (focus area 3B)</w:t>
            </w:r>
          </w:p>
        </w:tc>
        <w:tc>
          <w:tcPr>
            <w:tcW w:w="746" w:type="pct"/>
            <w:shd w:val="clear" w:color="auto" w:fill="FFFFFF"/>
            <w:tcMar>
              <w:top w:w="20" w:type="dxa"/>
              <w:bottom w:w="20" w:type="dxa"/>
            </w:tcMar>
            <w:vAlign w:val="center"/>
          </w:tcPr>
          <w:p w:rsidR="00BD3B5F" w:rsidRPr="005C3B55" w:rsidRDefault="00BD3B5F">
            <w:pPr>
              <w:jc w:val="left"/>
              <w:rPr>
                <w:szCs w:val="24"/>
              </w:rPr>
            </w:pPr>
          </w:p>
        </w:tc>
        <w:tc>
          <w:tcPr>
            <w:tcW w:w="1044" w:type="pct"/>
            <w:shd w:val="clear" w:color="auto" w:fill="FFFFFF"/>
            <w:tcMar>
              <w:top w:w="20" w:type="dxa"/>
              <w:bottom w:w="20" w:type="dxa"/>
            </w:tcMar>
            <w:vAlign w:val="center"/>
          </w:tcPr>
          <w:p w:rsidR="00BD3B5F" w:rsidRPr="005C3B55" w:rsidRDefault="00BD3B5F">
            <w:pPr>
              <w:jc w:val="left"/>
              <w:rPr>
                <w:szCs w:val="24"/>
              </w:rPr>
            </w:pPr>
          </w:p>
        </w:tc>
        <w:tc>
          <w:tcPr>
            <w:tcW w:w="497" w:type="pct"/>
            <w:shd w:val="clear" w:color="auto" w:fill="FFFFFF"/>
            <w:tcMar>
              <w:top w:w="20" w:type="dxa"/>
              <w:bottom w:w="20" w:type="dxa"/>
            </w:tcMar>
            <w:vAlign w:val="center"/>
          </w:tcPr>
          <w:p w:rsidR="00BD3B5F" w:rsidRPr="005C3B55" w:rsidRDefault="00BD3B5F">
            <w:pPr>
              <w:jc w:val="left"/>
              <w:rPr>
                <w:szCs w:val="24"/>
              </w:rPr>
            </w:pPr>
          </w:p>
        </w:tc>
        <w:tc>
          <w:tcPr>
            <w:tcW w:w="338" w:type="pct"/>
            <w:shd w:val="clear" w:color="auto" w:fill="FFFFFF"/>
            <w:tcMar>
              <w:top w:w="20" w:type="dxa"/>
              <w:bottom w:w="20" w:type="dxa"/>
            </w:tcMar>
            <w:vAlign w:val="center"/>
          </w:tcPr>
          <w:p w:rsidR="00BD3B5F" w:rsidRPr="005C3B55" w:rsidRDefault="00BD3B5F">
            <w:pPr>
              <w:jc w:val="left"/>
              <w:rPr>
                <w:szCs w:val="24"/>
              </w:rPr>
            </w:pPr>
          </w:p>
        </w:tc>
      </w:tr>
      <w:tr w:rsidR="00BD3B5F" w:rsidRPr="005C3B55">
        <w:tc>
          <w:tcPr>
            <w:tcW w:w="634" w:type="pct"/>
            <w:vMerge/>
            <w:shd w:val="clear" w:color="auto" w:fill="FFFFFF"/>
            <w:tcMar>
              <w:top w:w="20" w:type="dxa"/>
              <w:bottom w:w="20" w:type="dxa"/>
            </w:tcMar>
            <w:vAlign w:val="center"/>
          </w:tcPr>
          <w:p w:rsidR="00BD3B5F" w:rsidRPr="005C3B55" w:rsidRDefault="00BD3B5F">
            <w:pPr>
              <w:jc w:val="left"/>
              <w:rPr>
                <w:szCs w:val="24"/>
              </w:rPr>
            </w:pPr>
          </w:p>
        </w:tc>
        <w:tc>
          <w:tcPr>
            <w:tcW w:w="896" w:type="pct"/>
            <w:shd w:val="clear" w:color="auto" w:fill="FFFFFF"/>
            <w:tcMar>
              <w:top w:w="20" w:type="dxa"/>
              <w:bottom w:w="20" w:type="dxa"/>
            </w:tcMar>
            <w:vAlign w:val="center"/>
          </w:tcPr>
          <w:p w:rsidR="00BD3B5F" w:rsidRPr="005C3B55" w:rsidRDefault="00BD3B5F">
            <w:pPr>
              <w:jc w:val="center"/>
              <w:rPr>
                <w:szCs w:val="24"/>
              </w:rPr>
            </w:pPr>
            <w:r w:rsidRPr="005C3B55">
              <w:rPr>
                <w:szCs w:val="24"/>
              </w:rPr>
              <w:t xml:space="preserve"> </w:t>
            </w:r>
            <w:r w:rsidRPr="005C3B55">
              <w:rPr>
                <w:noProof/>
                <w:szCs w:val="24"/>
              </w:rPr>
              <w:t>X</w:t>
            </w:r>
            <w:r w:rsidRPr="005C3B55">
              <w:rPr>
                <w:szCs w:val="24"/>
              </w:rPr>
              <w:t xml:space="preserve"> </w:t>
            </w:r>
          </w:p>
        </w:tc>
        <w:tc>
          <w:tcPr>
            <w:tcW w:w="845" w:type="pct"/>
            <w:shd w:val="clear" w:color="auto" w:fill="FFFFFF"/>
            <w:tcMar>
              <w:top w:w="20" w:type="dxa"/>
              <w:bottom w:w="20" w:type="dxa"/>
            </w:tcMar>
            <w:vAlign w:val="center"/>
          </w:tcPr>
          <w:p w:rsidR="00BD3B5F" w:rsidRPr="005C3B55" w:rsidRDefault="00BD3B5F">
            <w:pPr>
              <w:jc w:val="left"/>
              <w:rPr>
                <w:szCs w:val="24"/>
              </w:rPr>
            </w:pPr>
            <w:r w:rsidRPr="005C3B55">
              <w:rPr>
                <w:szCs w:val="24"/>
              </w:rPr>
              <w:t>Total public expenditure for P3 (EUR)</w:t>
            </w:r>
          </w:p>
        </w:tc>
        <w:tc>
          <w:tcPr>
            <w:tcW w:w="746" w:type="pct"/>
            <w:shd w:val="clear" w:color="auto" w:fill="FFFFFF"/>
            <w:tcMar>
              <w:top w:w="20" w:type="dxa"/>
              <w:bottom w:w="20" w:type="dxa"/>
            </w:tcMar>
            <w:vAlign w:val="center"/>
          </w:tcPr>
          <w:p w:rsidR="00BD3B5F" w:rsidRPr="005C3B55" w:rsidRDefault="00BD3B5F">
            <w:pPr>
              <w:jc w:val="right"/>
              <w:rPr>
                <w:szCs w:val="24"/>
              </w:rPr>
            </w:pPr>
            <w:r w:rsidRPr="005C3B55">
              <w:rPr>
                <w:szCs w:val="24"/>
              </w:rPr>
              <w:t>101,898,082.70</w:t>
            </w:r>
          </w:p>
        </w:tc>
        <w:tc>
          <w:tcPr>
            <w:tcW w:w="1044" w:type="pct"/>
            <w:shd w:val="clear" w:color="auto" w:fill="FFFFFF"/>
            <w:tcMar>
              <w:top w:w="20" w:type="dxa"/>
              <w:bottom w:w="20" w:type="dxa"/>
            </w:tcMar>
            <w:vAlign w:val="center"/>
          </w:tcPr>
          <w:p w:rsidR="00BD3B5F" w:rsidRPr="005C3B55" w:rsidRDefault="00BD3B5F">
            <w:pPr>
              <w:jc w:val="right"/>
              <w:rPr>
                <w:szCs w:val="24"/>
              </w:rPr>
            </w:pPr>
          </w:p>
        </w:tc>
        <w:tc>
          <w:tcPr>
            <w:tcW w:w="497" w:type="pct"/>
            <w:shd w:val="clear" w:color="auto" w:fill="FFFFFF"/>
            <w:tcMar>
              <w:top w:w="20" w:type="dxa"/>
              <w:bottom w:w="20" w:type="dxa"/>
            </w:tcMar>
            <w:vAlign w:val="center"/>
          </w:tcPr>
          <w:p w:rsidR="00BD3B5F" w:rsidRPr="005C3B55" w:rsidRDefault="00BD3B5F">
            <w:pPr>
              <w:jc w:val="right"/>
              <w:rPr>
                <w:szCs w:val="24"/>
              </w:rPr>
            </w:pPr>
            <w:r w:rsidRPr="005C3B55">
              <w:rPr>
                <w:szCs w:val="24"/>
              </w:rPr>
              <w:t>20%</w:t>
            </w:r>
          </w:p>
        </w:tc>
        <w:tc>
          <w:tcPr>
            <w:tcW w:w="338" w:type="pct"/>
            <w:shd w:val="clear" w:color="auto" w:fill="FFFFFF"/>
            <w:tcMar>
              <w:top w:w="20" w:type="dxa"/>
              <w:bottom w:w="20" w:type="dxa"/>
            </w:tcMar>
            <w:vAlign w:val="center"/>
          </w:tcPr>
          <w:p w:rsidR="00BD3B5F" w:rsidRPr="005C3B55" w:rsidRDefault="00BD3B5F">
            <w:pPr>
              <w:jc w:val="right"/>
              <w:rPr>
                <w:szCs w:val="24"/>
              </w:rPr>
            </w:pPr>
            <w:r w:rsidRPr="005C3B55">
              <w:rPr>
                <w:szCs w:val="24"/>
              </w:rPr>
              <w:t>20,379,616.54</w:t>
            </w:r>
          </w:p>
        </w:tc>
      </w:tr>
      <w:tr w:rsidR="00BD3B5F" w:rsidRPr="005C3B55">
        <w:tc>
          <w:tcPr>
            <w:tcW w:w="634" w:type="pct"/>
            <w:vMerge w:val="restart"/>
            <w:shd w:val="clear" w:color="auto" w:fill="FFFFFF"/>
            <w:tcMar>
              <w:top w:w="20" w:type="dxa"/>
              <w:bottom w:w="20" w:type="dxa"/>
            </w:tcMar>
            <w:vAlign w:val="center"/>
          </w:tcPr>
          <w:p w:rsidR="00BD3B5F" w:rsidRPr="005C3B55" w:rsidRDefault="00BD3B5F">
            <w:pPr>
              <w:jc w:val="left"/>
              <w:rPr>
                <w:szCs w:val="24"/>
              </w:rPr>
            </w:pPr>
            <w:r w:rsidRPr="005C3B55">
              <w:rPr>
                <w:noProof/>
                <w:szCs w:val="24"/>
              </w:rPr>
              <w:t>P4:</w:t>
            </w:r>
            <w:r w:rsidRPr="005C3B55">
              <w:rPr>
                <w:szCs w:val="24"/>
              </w:rPr>
              <w:t xml:space="preserve"> Restoration, preservation and improvement of ecosystems related to agriculture and forestry</w:t>
            </w:r>
          </w:p>
        </w:tc>
        <w:tc>
          <w:tcPr>
            <w:tcW w:w="896" w:type="pct"/>
            <w:shd w:val="clear" w:color="auto" w:fill="FFFFFF"/>
            <w:tcMar>
              <w:top w:w="20" w:type="dxa"/>
              <w:bottom w:w="20" w:type="dxa"/>
            </w:tcMar>
            <w:vAlign w:val="center"/>
          </w:tcPr>
          <w:p w:rsidR="00BD3B5F" w:rsidRPr="005C3B55" w:rsidRDefault="00BD3B5F">
            <w:pPr>
              <w:jc w:val="left"/>
              <w:rPr>
                <w:szCs w:val="24"/>
              </w:rPr>
            </w:pPr>
          </w:p>
        </w:tc>
        <w:tc>
          <w:tcPr>
            <w:tcW w:w="845" w:type="pct"/>
            <w:shd w:val="clear" w:color="auto" w:fill="FFFFFF"/>
            <w:tcMar>
              <w:top w:w="20" w:type="dxa"/>
              <w:bottom w:w="20" w:type="dxa"/>
            </w:tcMar>
            <w:vAlign w:val="center"/>
          </w:tcPr>
          <w:p w:rsidR="00BD3B5F" w:rsidRPr="005C3B55" w:rsidRDefault="00BD3B5F">
            <w:pPr>
              <w:jc w:val="left"/>
              <w:rPr>
                <w:szCs w:val="24"/>
              </w:rPr>
            </w:pPr>
            <w:r w:rsidRPr="005C3B55">
              <w:rPr>
                <w:szCs w:val="24"/>
              </w:rPr>
              <w:t>Agricultural land for which management contracts on the support of biodiversity (ha) (focus area 4A) + on the improvement of water management (ha) (focus area 4B) + on the improvement of soil management and/or prevention of soil erosion (ha) (focus area 4C) were concluded</w:t>
            </w:r>
          </w:p>
        </w:tc>
        <w:tc>
          <w:tcPr>
            <w:tcW w:w="746" w:type="pct"/>
            <w:shd w:val="clear" w:color="auto" w:fill="FFFFFF"/>
            <w:tcMar>
              <w:top w:w="20" w:type="dxa"/>
              <w:bottom w:w="20" w:type="dxa"/>
            </w:tcMar>
            <w:vAlign w:val="center"/>
          </w:tcPr>
          <w:p w:rsidR="00BD3B5F" w:rsidRPr="005C3B55" w:rsidRDefault="00BD3B5F">
            <w:pPr>
              <w:jc w:val="right"/>
              <w:rPr>
                <w:szCs w:val="24"/>
              </w:rPr>
            </w:pPr>
            <w:r w:rsidRPr="005C3B55">
              <w:rPr>
                <w:szCs w:val="24"/>
              </w:rPr>
              <w:t>481,000.00</w:t>
            </w:r>
          </w:p>
        </w:tc>
        <w:tc>
          <w:tcPr>
            <w:tcW w:w="1044" w:type="pct"/>
            <w:shd w:val="clear" w:color="auto" w:fill="FFFFFF"/>
            <w:tcMar>
              <w:top w:w="20" w:type="dxa"/>
              <w:bottom w:w="20" w:type="dxa"/>
            </w:tcMar>
            <w:vAlign w:val="center"/>
          </w:tcPr>
          <w:p w:rsidR="00BD3B5F" w:rsidRPr="005C3B55" w:rsidRDefault="00BD3B5F">
            <w:pPr>
              <w:jc w:val="right"/>
              <w:rPr>
                <w:szCs w:val="24"/>
              </w:rPr>
            </w:pPr>
          </w:p>
        </w:tc>
        <w:tc>
          <w:tcPr>
            <w:tcW w:w="497" w:type="pct"/>
            <w:shd w:val="clear" w:color="auto" w:fill="FFFFFF"/>
            <w:tcMar>
              <w:top w:w="20" w:type="dxa"/>
              <w:bottom w:w="20" w:type="dxa"/>
            </w:tcMar>
            <w:vAlign w:val="center"/>
          </w:tcPr>
          <w:p w:rsidR="00BD3B5F" w:rsidRPr="005C3B55" w:rsidRDefault="00BD3B5F">
            <w:pPr>
              <w:jc w:val="right"/>
              <w:rPr>
                <w:szCs w:val="24"/>
              </w:rPr>
            </w:pPr>
          </w:p>
        </w:tc>
        <w:tc>
          <w:tcPr>
            <w:tcW w:w="338" w:type="pct"/>
            <w:shd w:val="clear" w:color="auto" w:fill="FFFFFF"/>
            <w:tcMar>
              <w:top w:w="20" w:type="dxa"/>
              <w:bottom w:w="20" w:type="dxa"/>
            </w:tcMar>
            <w:vAlign w:val="center"/>
          </w:tcPr>
          <w:p w:rsidR="00BD3B5F" w:rsidRPr="005C3B55" w:rsidRDefault="00BD3B5F">
            <w:pPr>
              <w:jc w:val="right"/>
              <w:rPr>
                <w:szCs w:val="24"/>
              </w:rPr>
            </w:pPr>
          </w:p>
        </w:tc>
      </w:tr>
      <w:tr w:rsidR="00BD3B5F" w:rsidRPr="005C3B55">
        <w:tc>
          <w:tcPr>
            <w:tcW w:w="634" w:type="pct"/>
            <w:vMerge/>
            <w:shd w:val="clear" w:color="auto" w:fill="FFFFFF"/>
            <w:tcMar>
              <w:top w:w="20" w:type="dxa"/>
              <w:bottom w:w="20" w:type="dxa"/>
            </w:tcMar>
            <w:vAlign w:val="center"/>
          </w:tcPr>
          <w:p w:rsidR="00BD3B5F" w:rsidRPr="005C3B55" w:rsidRDefault="00BD3B5F">
            <w:pPr>
              <w:jc w:val="left"/>
              <w:rPr>
                <w:szCs w:val="24"/>
              </w:rPr>
            </w:pPr>
          </w:p>
        </w:tc>
        <w:tc>
          <w:tcPr>
            <w:tcW w:w="896" w:type="pct"/>
            <w:shd w:val="clear" w:color="auto" w:fill="FFFFFF"/>
            <w:tcMar>
              <w:top w:w="20" w:type="dxa"/>
              <w:bottom w:w="20" w:type="dxa"/>
            </w:tcMar>
            <w:vAlign w:val="center"/>
          </w:tcPr>
          <w:p w:rsidR="00BD3B5F" w:rsidRPr="005C3B55" w:rsidRDefault="00BD3B5F">
            <w:pPr>
              <w:jc w:val="center"/>
              <w:rPr>
                <w:szCs w:val="24"/>
              </w:rPr>
            </w:pPr>
            <w:r w:rsidRPr="005C3B55">
              <w:rPr>
                <w:szCs w:val="24"/>
              </w:rPr>
              <w:t xml:space="preserve"> </w:t>
            </w:r>
            <w:r w:rsidRPr="005C3B55">
              <w:rPr>
                <w:noProof/>
                <w:szCs w:val="24"/>
              </w:rPr>
              <w:t>X</w:t>
            </w:r>
            <w:r w:rsidRPr="005C3B55">
              <w:rPr>
                <w:szCs w:val="24"/>
              </w:rPr>
              <w:t xml:space="preserve"> </w:t>
            </w:r>
          </w:p>
        </w:tc>
        <w:tc>
          <w:tcPr>
            <w:tcW w:w="845" w:type="pct"/>
            <w:shd w:val="clear" w:color="auto" w:fill="FFFFFF"/>
            <w:tcMar>
              <w:top w:w="20" w:type="dxa"/>
              <w:bottom w:w="20" w:type="dxa"/>
            </w:tcMar>
            <w:vAlign w:val="center"/>
          </w:tcPr>
          <w:p w:rsidR="00BD3B5F" w:rsidRPr="005C3B55" w:rsidRDefault="00BD3B5F">
            <w:pPr>
              <w:jc w:val="left"/>
              <w:rPr>
                <w:szCs w:val="24"/>
              </w:rPr>
            </w:pPr>
            <w:r w:rsidRPr="005C3B55">
              <w:rPr>
                <w:szCs w:val="24"/>
              </w:rPr>
              <w:t>Total public expenditure for P4 (EUR)</w:t>
            </w:r>
          </w:p>
        </w:tc>
        <w:tc>
          <w:tcPr>
            <w:tcW w:w="746" w:type="pct"/>
            <w:shd w:val="clear" w:color="auto" w:fill="FFFFFF"/>
            <w:tcMar>
              <w:top w:w="20" w:type="dxa"/>
              <w:bottom w:w="20" w:type="dxa"/>
            </w:tcMar>
            <w:vAlign w:val="center"/>
          </w:tcPr>
          <w:p w:rsidR="00BD3B5F" w:rsidRPr="005C3B55" w:rsidRDefault="00BD3B5F">
            <w:pPr>
              <w:jc w:val="right"/>
              <w:rPr>
                <w:szCs w:val="24"/>
              </w:rPr>
            </w:pPr>
            <w:r w:rsidRPr="005C3B55">
              <w:rPr>
                <w:szCs w:val="24"/>
              </w:rPr>
              <w:t>575,211,499.00</w:t>
            </w:r>
          </w:p>
        </w:tc>
        <w:tc>
          <w:tcPr>
            <w:tcW w:w="1044" w:type="pct"/>
            <w:shd w:val="clear" w:color="auto" w:fill="FFFFFF"/>
            <w:tcMar>
              <w:top w:w="20" w:type="dxa"/>
              <w:bottom w:w="20" w:type="dxa"/>
            </w:tcMar>
            <w:vAlign w:val="center"/>
          </w:tcPr>
          <w:p w:rsidR="00BD3B5F" w:rsidRPr="005C3B55" w:rsidRDefault="00BD3B5F">
            <w:pPr>
              <w:jc w:val="right"/>
              <w:rPr>
                <w:szCs w:val="24"/>
              </w:rPr>
            </w:pPr>
          </w:p>
        </w:tc>
        <w:tc>
          <w:tcPr>
            <w:tcW w:w="497" w:type="pct"/>
            <w:shd w:val="clear" w:color="auto" w:fill="FFFFFF"/>
            <w:tcMar>
              <w:top w:w="20" w:type="dxa"/>
              <w:bottom w:w="20" w:type="dxa"/>
            </w:tcMar>
            <w:vAlign w:val="center"/>
          </w:tcPr>
          <w:p w:rsidR="00BD3B5F" w:rsidRPr="005C3B55" w:rsidRDefault="00BD3B5F">
            <w:pPr>
              <w:jc w:val="right"/>
              <w:rPr>
                <w:szCs w:val="24"/>
              </w:rPr>
            </w:pPr>
            <w:r w:rsidRPr="005C3B55">
              <w:rPr>
                <w:szCs w:val="24"/>
              </w:rPr>
              <w:t>40%</w:t>
            </w:r>
          </w:p>
        </w:tc>
        <w:tc>
          <w:tcPr>
            <w:tcW w:w="338" w:type="pct"/>
            <w:shd w:val="clear" w:color="auto" w:fill="FFFFFF"/>
            <w:tcMar>
              <w:top w:w="20" w:type="dxa"/>
              <w:bottom w:w="20" w:type="dxa"/>
            </w:tcMar>
            <w:vAlign w:val="center"/>
          </w:tcPr>
          <w:p w:rsidR="00BD3B5F" w:rsidRPr="005C3B55" w:rsidRDefault="00BD3B5F">
            <w:pPr>
              <w:jc w:val="right"/>
              <w:rPr>
                <w:szCs w:val="24"/>
              </w:rPr>
            </w:pPr>
            <w:r w:rsidRPr="005C3B55">
              <w:rPr>
                <w:szCs w:val="24"/>
              </w:rPr>
              <w:t>230,084,599.60</w:t>
            </w:r>
          </w:p>
        </w:tc>
      </w:tr>
      <w:tr w:rsidR="00BD3B5F" w:rsidRPr="005C3B55">
        <w:tc>
          <w:tcPr>
            <w:tcW w:w="634" w:type="pct"/>
            <w:vMerge w:val="restart"/>
            <w:shd w:val="clear" w:color="auto" w:fill="FFFFFF"/>
            <w:tcMar>
              <w:top w:w="20" w:type="dxa"/>
              <w:bottom w:w="20" w:type="dxa"/>
            </w:tcMar>
            <w:vAlign w:val="center"/>
          </w:tcPr>
          <w:p w:rsidR="00BD3B5F" w:rsidRPr="005C3B55" w:rsidRDefault="00BD3B5F">
            <w:pPr>
              <w:jc w:val="left"/>
              <w:rPr>
                <w:szCs w:val="24"/>
              </w:rPr>
            </w:pPr>
            <w:r w:rsidRPr="005C3B55">
              <w:rPr>
                <w:noProof/>
                <w:szCs w:val="24"/>
              </w:rPr>
              <w:t>P6:</w:t>
            </w:r>
            <w:r w:rsidRPr="005C3B55">
              <w:rPr>
                <w:szCs w:val="24"/>
              </w:rPr>
              <w:t xml:space="preserve"> Promotion of social inclusion, reduction of poverty and economic development of rural areas</w:t>
            </w:r>
          </w:p>
        </w:tc>
        <w:tc>
          <w:tcPr>
            <w:tcW w:w="896" w:type="pct"/>
            <w:shd w:val="clear" w:color="auto" w:fill="FFFFFF"/>
            <w:tcMar>
              <w:top w:w="20" w:type="dxa"/>
              <w:bottom w:w="20" w:type="dxa"/>
            </w:tcMar>
            <w:vAlign w:val="center"/>
          </w:tcPr>
          <w:p w:rsidR="00BD3B5F" w:rsidRPr="005C3B55" w:rsidRDefault="00BD3B5F">
            <w:pPr>
              <w:jc w:val="left"/>
              <w:rPr>
                <w:szCs w:val="24"/>
              </w:rPr>
            </w:pPr>
          </w:p>
        </w:tc>
        <w:tc>
          <w:tcPr>
            <w:tcW w:w="845" w:type="pct"/>
            <w:shd w:val="clear" w:color="auto" w:fill="FFFFFF"/>
            <w:tcMar>
              <w:top w:w="20" w:type="dxa"/>
              <w:bottom w:w="20" w:type="dxa"/>
            </w:tcMar>
            <w:vAlign w:val="center"/>
          </w:tcPr>
          <w:p w:rsidR="00BD3B5F" w:rsidRPr="005C3B55" w:rsidRDefault="00BD3B5F">
            <w:pPr>
              <w:jc w:val="left"/>
              <w:rPr>
                <w:szCs w:val="24"/>
              </w:rPr>
            </w:pPr>
            <w:r w:rsidRPr="005C3B55">
              <w:rPr>
                <w:szCs w:val="24"/>
              </w:rPr>
              <w:t>Number of operations supported to improve basic services and infrastructure in rural areas (focus areas 6B and 6C)</w:t>
            </w:r>
          </w:p>
        </w:tc>
        <w:tc>
          <w:tcPr>
            <w:tcW w:w="746" w:type="pct"/>
            <w:shd w:val="clear" w:color="auto" w:fill="FFFFFF"/>
            <w:tcMar>
              <w:top w:w="20" w:type="dxa"/>
              <w:bottom w:w="20" w:type="dxa"/>
            </w:tcMar>
            <w:vAlign w:val="center"/>
          </w:tcPr>
          <w:p w:rsidR="00BD3B5F" w:rsidRPr="005C3B55" w:rsidRDefault="00BD3B5F">
            <w:pPr>
              <w:jc w:val="right"/>
              <w:rPr>
                <w:szCs w:val="24"/>
              </w:rPr>
            </w:pPr>
            <w:r w:rsidRPr="005C3B55">
              <w:rPr>
                <w:szCs w:val="24"/>
              </w:rPr>
              <w:t>10.00</w:t>
            </w:r>
          </w:p>
        </w:tc>
        <w:tc>
          <w:tcPr>
            <w:tcW w:w="1044" w:type="pct"/>
            <w:shd w:val="clear" w:color="auto" w:fill="FFFFFF"/>
            <w:tcMar>
              <w:top w:w="20" w:type="dxa"/>
              <w:bottom w:w="20" w:type="dxa"/>
            </w:tcMar>
            <w:vAlign w:val="center"/>
          </w:tcPr>
          <w:p w:rsidR="00BD3B5F" w:rsidRPr="005C3B55" w:rsidRDefault="00BD3B5F">
            <w:pPr>
              <w:jc w:val="right"/>
              <w:rPr>
                <w:szCs w:val="24"/>
              </w:rPr>
            </w:pPr>
          </w:p>
        </w:tc>
        <w:tc>
          <w:tcPr>
            <w:tcW w:w="497" w:type="pct"/>
            <w:shd w:val="clear" w:color="auto" w:fill="FFFFFF"/>
            <w:tcMar>
              <w:top w:w="20" w:type="dxa"/>
              <w:bottom w:w="20" w:type="dxa"/>
            </w:tcMar>
            <w:vAlign w:val="center"/>
          </w:tcPr>
          <w:p w:rsidR="00BD3B5F" w:rsidRPr="005C3B55" w:rsidRDefault="00BD3B5F">
            <w:pPr>
              <w:jc w:val="right"/>
              <w:rPr>
                <w:szCs w:val="24"/>
              </w:rPr>
            </w:pPr>
          </w:p>
        </w:tc>
        <w:tc>
          <w:tcPr>
            <w:tcW w:w="338" w:type="pct"/>
            <w:shd w:val="clear" w:color="auto" w:fill="FFFFFF"/>
            <w:tcMar>
              <w:top w:w="20" w:type="dxa"/>
              <w:bottom w:w="20" w:type="dxa"/>
            </w:tcMar>
            <w:vAlign w:val="center"/>
          </w:tcPr>
          <w:p w:rsidR="00BD3B5F" w:rsidRPr="005C3B55" w:rsidRDefault="00BD3B5F">
            <w:pPr>
              <w:jc w:val="right"/>
              <w:rPr>
                <w:szCs w:val="24"/>
              </w:rPr>
            </w:pPr>
          </w:p>
        </w:tc>
      </w:tr>
      <w:tr w:rsidR="00BD3B5F" w:rsidRPr="005C3B55">
        <w:tc>
          <w:tcPr>
            <w:tcW w:w="634" w:type="pct"/>
            <w:vMerge/>
            <w:shd w:val="clear" w:color="auto" w:fill="FFFFFF"/>
            <w:tcMar>
              <w:top w:w="20" w:type="dxa"/>
              <w:bottom w:w="20" w:type="dxa"/>
            </w:tcMar>
            <w:vAlign w:val="center"/>
          </w:tcPr>
          <w:p w:rsidR="00BD3B5F" w:rsidRPr="005C3B55" w:rsidRDefault="00BD3B5F">
            <w:pPr>
              <w:jc w:val="left"/>
              <w:rPr>
                <w:szCs w:val="24"/>
              </w:rPr>
            </w:pPr>
          </w:p>
        </w:tc>
        <w:tc>
          <w:tcPr>
            <w:tcW w:w="896" w:type="pct"/>
            <w:shd w:val="clear" w:color="auto" w:fill="FFFFFF"/>
            <w:tcMar>
              <w:top w:w="20" w:type="dxa"/>
              <w:bottom w:w="20" w:type="dxa"/>
            </w:tcMar>
            <w:vAlign w:val="center"/>
          </w:tcPr>
          <w:p w:rsidR="00BD3B5F" w:rsidRPr="005C3B55" w:rsidRDefault="00BD3B5F">
            <w:pPr>
              <w:jc w:val="center"/>
              <w:rPr>
                <w:szCs w:val="24"/>
              </w:rPr>
            </w:pPr>
            <w:r w:rsidRPr="005C3B55">
              <w:rPr>
                <w:szCs w:val="24"/>
              </w:rPr>
              <w:t xml:space="preserve"> </w:t>
            </w:r>
            <w:r w:rsidRPr="005C3B55">
              <w:rPr>
                <w:noProof/>
                <w:szCs w:val="24"/>
              </w:rPr>
              <w:t>X</w:t>
            </w:r>
            <w:r w:rsidRPr="005C3B55">
              <w:rPr>
                <w:szCs w:val="24"/>
              </w:rPr>
              <w:t xml:space="preserve"> </w:t>
            </w:r>
          </w:p>
        </w:tc>
        <w:tc>
          <w:tcPr>
            <w:tcW w:w="845" w:type="pct"/>
            <w:shd w:val="clear" w:color="auto" w:fill="FFFFFF"/>
            <w:tcMar>
              <w:top w:w="20" w:type="dxa"/>
              <w:bottom w:w="20" w:type="dxa"/>
            </w:tcMar>
            <w:vAlign w:val="center"/>
          </w:tcPr>
          <w:p w:rsidR="00BD3B5F" w:rsidRPr="005C3B55" w:rsidRDefault="00BD3B5F">
            <w:pPr>
              <w:jc w:val="left"/>
              <w:rPr>
                <w:szCs w:val="24"/>
              </w:rPr>
            </w:pPr>
            <w:r w:rsidRPr="005C3B55">
              <w:rPr>
                <w:szCs w:val="24"/>
              </w:rPr>
              <w:t>Total public expenditure for P6 (EUR)</w:t>
            </w:r>
          </w:p>
        </w:tc>
        <w:tc>
          <w:tcPr>
            <w:tcW w:w="746" w:type="pct"/>
            <w:shd w:val="clear" w:color="auto" w:fill="FFFFFF"/>
            <w:tcMar>
              <w:top w:w="20" w:type="dxa"/>
              <w:bottom w:w="20" w:type="dxa"/>
            </w:tcMar>
            <w:vAlign w:val="center"/>
          </w:tcPr>
          <w:p w:rsidR="00BD3B5F" w:rsidRPr="005C3B55" w:rsidRDefault="00BD3B5F">
            <w:pPr>
              <w:jc w:val="right"/>
              <w:rPr>
                <w:szCs w:val="24"/>
              </w:rPr>
            </w:pPr>
            <w:r w:rsidRPr="005C3B55">
              <w:rPr>
                <w:szCs w:val="24"/>
              </w:rPr>
              <w:t>167,991,551.25</w:t>
            </w:r>
          </w:p>
        </w:tc>
        <w:tc>
          <w:tcPr>
            <w:tcW w:w="1044" w:type="pct"/>
            <w:shd w:val="clear" w:color="auto" w:fill="FFFFFF"/>
            <w:tcMar>
              <w:top w:w="20" w:type="dxa"/>
              <w:bottom w:w="20" w:type="dxa"/>
            </w:tcMar>
            <w:vAlign w:val="center"/>
          </w:tcPr>
          <w:p w:rsidR="00BD3B5F" w:rsidRPr="005C3B55" w:rsidRDefault="00BD3B5F">
            <w:pPr>
              <w:jc w:val="right"/>
              <w:rPr>
                <w:szCs w:val="24"/>
              </w:rPr>
            </w:pPr>
          </w:p>
        </w:tc>
        <w:tc>
          <w:tcPr>
            <w:tcW w:w="497" w:type="pct"/>
            <w:shd w:val="clear" w:color="auto" w:fill="FFFFFF"/>
            <w:tcMar>
              <w:top w:w="20" w:type="dxa"/>
              <w:bottom w:w="20" w:type="dxa"/>
            </w:tcMar>
            <w:vAlign w:val="center"/>
          </w:tcPr>
          <w:p w:rsidR="00BD3B5F" w:rsidRPr="005C3B55" w:rsidRDefault="00BD3B5F">
            <w:pPr>
              <w:jc w:val="right"/>
              <w:rPr>
                <w:szCs w:val="24"/>
              </w:rPr>
            </w:pPr>
            <w:r w:rsidRPr="005C3B55">
              <w:rPr>
                <w:szCs w:val="24"/>
              </w:rPr>
              <w:t>15%</w:t>
            </w:r>
          </w:p>
        </w:tc>
        <w:tc>
          <w:tcPr>
            <w:tcW w:w="338" w:type="pct"/>
            <w:shd w:val="clear" w:color="auto" w:fill="FFFFFF"/>
            <w:tcMar>
              <w:top w:w="20" w:type="dxa"/>
              <w:bottom w:w="20" w:type="dxa"/>
            </w:tcMar>
            <w:vAlign w:val="center"/>
          </w:tcPr>
          <w:p w:rsidR="00BD3B5F" w:rsidRPr="005C3B55" w:rsidRDefault="00BD3B5F">
            <w:pPr>
              <w:jc w:val="right"/>
              <w:rPr>
                <w:szCs w:val="24"/>
              </w:rPr>
            </w:pPr>
            <w:r w:rsidRPr="005C3B55">
              <w:rPr>
                <w:szCs w:val="24"/>
              </w:rPr>
              <w:t>25,198,732.69</w:t>
            </w:r>
          </w:p>
        </w:tc>
      </w:tr>
      <w:tr w:rsidR="00BD3B5F" w:rsidRPr="005C3B55">
        <w:tc>
          <w:tcPr>
            <w:tcW w:w="634" w:type="pct"/>
            <w:vMerge/>
            <w:shd w:val="clear" w:color="auto" w:fill="FFFFFF"/>
            <w:tcMar>
              <w:top w:w="20" w:type="dxa"/>
              <w:bottom w:w="20" w:type="dxa"/>
            </w:tcMar>
            <w:vAlign w:val="center"/>
          </w:tcPr>
          <w:p w:rsidR="00BD3B5F" w:rsidRPr="005C3B55" w:rsidRDefault="00BD3B5F">
            <w:pPr>
              <w:jc w:val="left"/>
              <w:rPr>
                <w:szCs w:val="24"/>
              </w:rPr>
            </w:pPr>
          </w:p>
        </w:tc>
        <w:tc>
          <w:tcPr>
            <w:tcW w:w="896" w:type="pct"/>
            <w:shd w:val="clear" w:color="auto" w:fill="FFFFFF"/>
            <w:tcMar>
              <w:top w:w="20" w:type="dxa"/>
              <w:bottom w:w="20" w:type="dxa"/>
            </w:tcMar>
            <w:vAlign w:val="center"/>
          </w:tcPr>
          <w:p w:rsidR="00BD3B5F" w:rsidRPr="005C3B55" w:rsidRDefault="00BD3B5F">
            <w:pPr>
              <w:jc w:val="center"/>
              <w:rPr>
                <w:szCs w:val="24"/>
              </w:rPr>
            </w:pPr>
            <w:r w:rsidRPr="005C3B55">
              <w:rPr>
                <w:szCs w:val="24"/>
              </w:rPr>
              <w:t xml:space="preserve"> </w:t>
            </w:r>
            <w:r w:rsidRPr="005C3B55">
              <w:rPr>
                <w:noProof/>
                <w:szCs w:val="24"/>
              </w:rPr>
              <w:t>X</w:t>
            </w:r>
            <w:r w:rsidRPr="005C3B55">
              <w:rPr>
                <w:szCs w:val="24"/>
              </w:rPr>
              <w:t xml:space="preserve"> </w:t>
            </w:r>
          </w:p>
        </w:tc>
        <w:tc>
          <w:tcPr>
            <w:tcW w:w="845" w:type="pct"/>
            <w:shd w:val="clear" w:color="auto" w:fill="FFFFFF"/>
            <w:tcMar>
              <w:top w:w="20" w:type="dxa"/>
              <w:bottom w:w="20" w:type="dxa"/>
            </w:tcMar>
            <w:vAlign w:val="center"/>
          </w:tcPr>
          <w:p w:rsidR="00BD3B5F" w:rsidRPr="005C3B55" w:rsidRDefault="00BD3B5F">
            <w:pPr>
              <w:jc w:val="left"/>
              <w:rPr>
                <w:szCs w:val="24"/>
              </w:rPr>
            </w:pPr>
            <w:r w:rsidRPr="005C3B55">
              <w:rPr>
                <w:szCs w:val="24"/>
              </w:rPr>
              <w:t>Population included in local action groups (focus area 6B)</w:t>
            </w:r>
          </w:p>
        </w:tc>
        <w:tc>
          <w:tcPr>
            <w:tcW w:w="746" w:type="pct"/>
            <w:shd w:val="clear" w:color="auto" w:fill="FFFFFF"/>
            <w:tcMar>
              <w:top w:w="20" w:type="dxa"/>
              <w:bottom w:w="20" w:type="dxa"/>
            </w:tcMar>
            <w:vAlign w:val="center"/>
          </w:tcPr>
          <w:p w:rsidR="00BD3B5F" w:rsidRPr="005C3B55" w:rsidRDefault="00BD3B5F">
            <w:pPr>
              <w:jc w:val="right"/>
              <w:rPr>
                <w:szCs w:val="24"/>
              </w:rPr>
            </w:pPr>
            <w:r w:rsidRPr="005C3B55">
              <w:rPr>
                <w:szCs w:val="24"/>
              </w:rPr>
              <w:t>1,350,000.00</w:t>
            </w:r>
          </w:p>
        </w:tc>
        <w:tc>
          <w:tcPr>
            <w:tcW w:w="1044" w:type="pct"/>
            <w:shd w:val="clear" w:color="auto" w:fill="FFFFFF"/>
            <w:tcMar>
              <w:top w:w="20" w:type="dxa"/>
              <w:bottom w:w="20" w:type="dxa"/>
            </w:tcMar>
            <w:vAlign w:val="center"/>
          </w:tcPr>
          <w:p w:rsidR="00BD3B5F" w:rsidRPr="005C3B55" w:rsidRDefault="00BD3B5F">
            <w:pPr>
              <w:jc w:val="right"/>
              <w:rPr>
                <w:szCs w:val="24"/>
              </w:rPr>
            </w:pPr>
          </w:p>
        </w:tc>
        <w:tc>
          <w:tcPr>
            <w:tcW w:w="497" w:type="pct"/>
            <w:shd w:val="clear" w:color="auto" w:fill="FFFFFF"/>
            <w:tcMar>
              <w:top w:w="20" w:type="dxa"/>
              <w:bottom w:w="20" w:type="dxa"/>
            </w:tcMar>
            <w:vAlign w:val="center"/>
          </w:tcPr>
          <w:p w:rsidR="00BD3B5F" w:rsidRPr="005C3B55" w:rsidRDefault="00BD3B5F">
            <w:pPr>
              <w:jc w:val="right"/>
              <w:rPr>
                <w:szCs w:val="24"/>
              </w:rPr>
            </w:pPr>
            <w:r w:rsidRPr="005C3B55">
              <w:rPr>
                <w:szCs w:val="24"/>
              </w:rPr>
              <w:t>100%</w:t>
            </w:r>
          </w:p>
        </w:tc>
        <w:tc>
          <w:tcPr>
            <w:tcW w:w="338" w:type="pct"/>
            <w:shd w:val="clear" w:color="auto" w:fill="FFFFFF"/>
            <w:tcMar>
              <w:top w:w="20" w:type="dxa"/>
              <w:bottom w:w="20" w:type="dxa"/>
            </w:tcMar>
            <w:vAlign w:val="center"/>
          </w:tcPr>
          <w:p w:rsidR="00BD3B5F" w:rsidRPr="005C3B55" w:rsidRDefault="00BD3B5F">
            <w:pPr>
              <w:jc w:val="right"/>
              <w:rPr>
                <w:szCs w:val="24"/>
              </w:rPr>
            </w:pPr>
            <w:r w:rsidRPr="005C3B55">
              <w:rPr>
                <w:szCs w:val="24"/>
              </w:rPr>
              <w:t>1,350,000.00</w:t>
            </w:r>
          </w:p>
        </w:tc>
      </w:tr>
    </w:tbl>
    <w:p w:rsidR="00BD3B5F" w:rsidRPr="005C3B55" w:rsidRDefault="00BD3B5F">
      <w:pPr>
        <w:rPr>
          <w:b/>
          <w:szCs w:val="24"/>
        </w:rPr>
      </w:pPr>
    </w:p>
    <w:p w:rsidR="00BD3B5F" w:rsidRPr="005C3B55" w:rsidRDefault="00BD3B5F">
      <w:pPr>
        <w:rPr>
          <w:b/>
          <w:szCs w:val="24"/>
        </w:rPr>
        <w:sectPr w:rsidR="00BD3B5F" w:rsidRPr="005C3B55">
          <w:pgSz w:w="15840" w:h="12240" w:orient="landscape"/>
          <w:pgMar w:top="900" w:right="900" w:bottom="900" w:left="900" w:header="708" w:footer="708" w:gutter="0"/>
          <w:cols w:space="708"/>
        </w:sectPr>
      </w:pPr>
    </w:p>
    <w:p w:rsidR="00BD3B5F" w:rsidRPr="005C3B55" w:rsidRDefault="00BD3B5F">
      <w:pPr>
        <w:pStyle w:val="Naslov3"/>
        <w:tabs>
          <w:tab w:val="clear" w:pos="765"/>
        </w:tabs>
        <w:ind w:left="0" w:firstLine="0"/>
        <w:jc w:val="left"/>
        <w:rPr>
          <w:szCs w:val="24"/>
          <w:lang w:val="en-GB"/>
        </w:rPr>
      </w:pPr>
      <w:bookmarkStart w:id="102" w:name="_Toc416192560"/>
      <w:r w:rsidRPr="005C3B55">
        <w:rPr>
          <w:noProof/>
          <w:szCs w:val="24"/>
          <w:lang w:val="en-GB"/>
        </w:rPr>
        <w:t>P2:</w:t>
      </w:r>
      <w:r w:rsidRPr="005C3B55">
        <w:rPr>
          <w:szCs w:val="24"/>
          <w:lang w:val="en-GB"/>
        </w:rPr>
        <w:t xml:space="preserve"> Strengthening the viability of farms and competitiveness of all types of farming in all regions, and promoting innovative agricultural technologies and sustainable forest management</w:t>
      </w:r>
      <w:bookmarkEnd w:id="102"/>
    </w:p>
    <w:p w:rsidR="00BD3B5F" w:rsidRPr="005C3B55" w:rsidRDefault="00BD3B5F">
      <w:pPr>
        <w:pStyle w:val="Naslov4"/>
        <w:tabs>
          <w:tab w:val="clear" w:pos="765"/>
        </w:tabs>
        <w:ind w:left="0" w:firstLine="0"/>
        <w:jc w:val="left"/>
        <w:rPr>
          <w:szCs w:val="24"/>
          <w:lang w:val="en-GB"/>
        </w:rPr>
      </w:pPr>
      <w:r w:rsidRPr="005C3B55">
        <w:rPr>
          <w:szCs w:val="24"/>
          <w:lang w:val="en-GB"/>
        </w:rPr>
        <w:t>Number of agricultural holdings with the RDP programme support for investment in restructuring or modernisation (focus area 2A) + agricultural holdings with business development plan/investment for young farmers supported by the RDP programme (focus area 2B)</w:t>
      </w:r>
    </w:p>
    <w:p w:rsidR="00BD3B5F" w:rsidRPr="005C3B55" w:rsidRDefault="00BD3B5F">
      <w:pPr>
        <w:rPr>
          <w:szCs w:val="24"/>
        </w:rPr>
      </w:pPr>
      <w:r w:rsidRPr="005C3B55">
        <w:rPr>
          <w:noProof/>
          <w:szCs w:val="24"/>
        </w:rPr>
        <w:t>Applicable:</w:t>
      </w:r>
      <w:r w:rsidRPr="005C3B55">
        <w:rPr>
          <w:szCs w:val="24"/>
        </w:rPr>
        <w:t xml:space="preserve"> </w:t>
      </w:r>
      <w:r w:rsidRPr="005C3B55">
        <w:rPr>
          <w:noProof/>
          <w:szCs w:val="24"/>
        </w:rPr>
        <w:t>No</w:t>
      </w:r>
    </w:p>
    <w:p w:rsidR="00BD3B5F" w:rsidRPr="005C3B55" w:rsidRDefault="00BD3B5F">
      <w:pPr>
        <w:rPr>
          <w:szCs w:val="24"/>
        </w:rPr>
      </w:pPr>
      <w:r w:rsidRPr="005C3B55">
        <w:rPr>
          <w:szCs w:val="24"/>
        </w:rPr>
        <w:t>Target for 2023 (a): 4,991.00</w:t>
      </w:r>
    </w:p>
    <w:p w:rsidR="00BD3B5F" w:rsidRPr="005C3B55" w:rsidRDefault="00BD3B5F">
      <w:pPr>
        <w:rPr>
          <w:szCs w:val="24"/>
        </w:rPr>
      </w:pPr>
      <w:r w:rsidRPr="005C3B55">
        <w:rPr>
          <w:szCs w:val="24"/>
        </w:rPr>
        <w:t xml:space="preserve">Additional funds for adjustment (b): </w:t>
      </w:r>
    </w:p>
    <w:p w:rsidR="00BD3B5F" w:rsidRPr="005C3B55" w:rsidRDefault="00BD3B5F">
      <w:pPr>
        <w:rPr>
          <w:szCs w:val="24"/>
        </w:rPr>
      </w:pPr>
      <w:r w:rsidRPr="005C3B55">
        <w:rPr>
          <w:szCs w:val="24"/>
        </w:rPr>
        <w:t xml:space="preserve">Milestone for 2018 in % (c): </w:t>
      </w:r>
    </w:p>
    <w:p w:rsidR="00BD3B5F" w:rsidRPr="005C3B55" w:rsidRDefault="00BD3B5F">
      <w:pPr>
        <w:rPr>
          <w:szCs w:val="24"/>
        </w:rPr>
      </w:pPr>
      <w:r w:rsidRPr="005C3B55">
        <w:rPr>
          <w:szCs w:val="24"/>
        </w:rPr>
        <w:t>Milestone in the absolute value (a-b)*c: 0.00</w:t>
      </w:r>
    </w:p>
    <w:p w:rsidR="00BD3B5F" w:rsidRPr="005C3B55" w:rsidRDefault="00BD3B5F">
      <w:pPr>
        <w:rPr>
          <w:szCs w:val="24"/>
        </w:rPr>
      </w:pPr>
      <w:r w:rsidRPr="005C3B55">
        <w:rPr>
          <w:szCs w:val="24"/>
        </w:rPr>
        <w:t>Justification of milestone determination:</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10656"/>
      </w:tblGrid>
      <w:tr w:rsidR="00BD3B5F" w:rsidRPr="005C3B55">
        <w:tc>
          <w:tcPr>
            <w:tcW w:w="5000" w:type="pct"/>
            <w:shd w:val="clear" w:color="auto" w:fill="FFFFFF"/>
            <w:tcMar>
              <w:top w:w="20" w:type="dxa"/>
              <w:bottom w:w="20" w:type="dxa"/>
            </w:tcMar>
            <w:vAlign w:val="center"/>
          </w:tcPr>
          <w:p w:rsidR="00BD3B5F" w:rsidRPr="005C3B55" w:rsidRDefault="00BD3B5F">
            <w:pPr>
              <w:rPr>
                <w:szCs w:val="24"/>
              </w:rPr>
            </w:pPr>
          </w:p>
        </w:tc>
      </w:tr>
    </w:tbl>
    <w:p w:rsidR="00BD3B5F" w:rsidRPr="005C3B55" w:rsidRDefault="00BD3B5F">
      <w:pPr>
        <w:pStyle w:val="Naslov4"/>
        <w:tabs>
          <w:tab w:val="clear" w:pos="765"/>
        </w:tabs>
        <w:ind w:left="0" w:firstLine="0"/>
        <w:jc w:val="left"/>
        <w:rPr>
          <w:szCs w:val="24"/>
          <w:lang w:val="en-GB"/>
        </w:rPr>
      </w:pPr>
      <w:r w:rsidRPr="005C3B55">
        <w:rPr>
          <w:szCs w:val="24"/>
          <w:lang w:val="en-GB"/>
        </w:rPr>
        <w:t>Total public expenditure for P2 (EUR)</w:t>
      </w:r>
    </w:p>
    <w:p w:rsidR="00BD3B5F" w:rsidRPr="005C3B55" w:rsidRDefault="00BD3B5F">
      <w:pPr>
        <w:rPr>
          <w:szCs w:val="24"/>
        </w:rPr>
      </w:pPr>
      <w:r w:rsidRPr="005C3B55">
        <w:rPr>
          <w:noProof/>
          <w:szCs w:val="24"/>
        </w:rPr>
        <w:t>Applicable:</w:t>
      </w:r>
      <w:r w:rsidRPr="005C3B55">
        <w:rPr>
          <w:szCs w:val="24"/>
        </w:rPr>
        <w:t xml:space="preserve"> </w:t>
      </w:r>
      <w:r w:rsidRPr="005C3B55">
        <w:rPr>
          <w:noProof/>
          <w:szCs w:val="24"/>
        </w:rPr>
        <w:t>Yes</w:t>
      </w:r>
    </w:p>
    <w:p w:rsidR="00BD3B5F" w:rsidRPr="005C3B55" w:rsidRDefault="00BD3B5F">
      <w:pPr>
        <w:rPr>
          <w:szCs w:val="24"/>
        </w:rPr>
      </w:pPr>
      <w:r w:rsidRPr="005C3B55">
        <w:rPr>
          <w:szCs w:val="24"/>
        </w:rPr>
        <w:t>Target for 2023 (a): 223,621,866.81</w:t>
      </w:r>
    </w:p>
    <w:p w:rsidR="00BD3B5F" w:rsidRPr="005C3B55" w:rsidRDefault="00BD3B5F">
      <w:pPr>
        <w:rPr>
          <w:szCs w:val="24"/>
        </w:rPr>
      </w:pPr>
      <w:r w:rsidRPr="005C3B55">
        <w:rPr>
          <w:szCs w:val="24"/>
        </w:rPr>
        <w:t xml:space="preserve">Additional funds for adjustment (b): </w:t>
      </w:r>
    </w:p>
    <w:p w:rsidR="00BD3B5F" w:rsidRPr="005C3B55" w:rsidRDefault="00BD3B5F">
      <w:pPr>
        <w:rPr>
          <w:szCs w:val="24"/>
        </w:rPr>
      </w:pPr>
      <w:r w:rsidRPr="005C3B55">
        <w:rPr>
          <w:szCs w:val="24"/>
        </w:rPr>
        <w:t>Milestone for 2018 in % (c): 15%</w:t>
      </w:r>
    </w:p>
    <w:p w:rsidR="00BD3B5F" w:rsidRPr="005C3B55" w:rsidRDefault="00BD3B5F">
      <w:pPr>
        <w:rPr>
          <w:szCs w:val="24"/>
        </w:rPr>
      </w:pPr>
      <w:r w:rsidRPr="005C3B55">
        <w:rPr>
          <w:szCs w:val="24"/>
        </w:rPr>
        <w:t>Milestone in the absolute value (a-b)*c: 33,543,280.02</w:t>
      </w:r>
    </w:p>
    <w:p w:rsidR="00BD3B5F" w:rsidRPr="005C3B55" w:rsidRDefault="00BD3B5F">
      <w:pPr>
        <w:rPr>
          <w:szCs w:val="24"/>
        </w:rPr>
      </w:pPr>
      <w:r w:rsidRPr="005C3B55">
        <w:rPr>
          <w:szCs w:val="24"/>
        </w:rPr>
        <w:t>Justification of milestone determination:</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10656"/>
      </w:tblGrid>
      <w:tr w:rsidR="00BD3B5F" w:rsidRPr="005C3B55">
        <w:tc>
          <w:tcPr>
            <w:tcW w:w="5000" w:type="pct"/>
            <w:shd w:val="clear" w:color="auto" w:fill="FFFFFF"/>
            <w:tcMar>
              <w:top w:w="20" w:type="dxa"/>
              <w:bottom w:w="20" w:type="dxa"/>
            </w:tcMar>
            <w:vAlign w:val="center"/>
          </w:tcPr>
          <w:p w:rsidR="00BD3B5F" w:rsidRPr="005C3B55" w:rsidRDefault="00BD3B5F">
            <w:pPr>
              <w:rPr>
                <w:szCs w:val="24"/>
              </w:rPr>
            </w:pPr>
            <w:r w:rsidRPr="005C3B55">
              <w:rPr>
                <w:szCs w:val="24"/>
              </w:rPr>
              <w:t xml:space="preserve">The target of the indicator was calculated on the basis of experience from the RDP 2007–2013. EUR 222 million or 19 per cent of all available public funds for the entire programme are allocated in the RDP 2007–2013 for measures 111, 112, 121 and 122 (purpose A). As part of PN2, sub/measures M01.1, M01.2, M04.1, M04.3, M06.1, M16.1, M16.2 and M16.5 are programmed, and EUR 223.6 million or 20 per cent of all available public funds for the entire RDP 2014–2020 are available. </w:t>
            </w:r>
          </w:p>
          <w:p w:rsidR="00BD3B5F" w:rsidRPr="005C3B55" w:rsidRDefault="00BD3B5F">
            <w:pPr>
              <w:rPr>
                <w:szCs w:val="24"/>
              </w:rPr>
            </w:pPr>
            <w:r w:rsidRPr="005C3B55">
              <w:rPr>
                <w:szCs w:val="24"/>
              </w:rPr>
              <w:t xml:space="preserve">Based on experience from the RDP 2007–2013, the value of milestone for 2018 is assessed at 15 per cent.  Within the RDP 2007–2013, 31 per cent of completed operations from the total target for measures 111, 112, 121, 122 (prupose A) and 125 of the RDP 2007–2013 were paid by the end of 2010. Under sub-measure M04.1 of the RDP 2014–2020, only investments in special machinery are eligible, which will cause the share of investments completed by 2018 to decline. Based on experience at the conclusion of the RDP 2007–2013, a disproportionately large share of approved, yet not completed operations can be noticed. At the same time, the second instalment of funds granted under sub-measure M06.1 will be paid only after the correct implementation of activities from the business plan, which means that no projects will be completed by 2018. Demanding and lengthy preparation of applications is required in investments in irrigation systems. Therefore, drawing of large amounts under this section of sub-measure M04.3 cannot be expected due to delays in the programme implementation. </w:t>
            </w:r>
          </w:p>
          <w:p w:rsidR="00BD3B5F" w:rsidRPr="005C3B55" w:rsidRDefault="00BD3B5F">
            <w:pPr>
              <w:rPr>
                <w:szCs w:val="24"/>
              </w:rPr>
            </w:pPr>
            <w:r w:rsidRPr="005C3B55">
              <w:rPr>
                <w:szCs w:val="24"/>
              </w:rPr>
              <w:t>Values for milestones for 2018 were compared to the values of the RDP 2007–2013 on 31 December 2010 at the level of the completed projects, since it was believed that this was the most suitable period for comparison. The situation in 2010 rather than 2011 was used, also as the implementation of the RDP 2014–2020 is expected to commence with a delay compared to the implementation of the RDP 2007–2013.</w:t>
            </w:r>
          </w:p>
        </w:tc>
      </w:tr>
    </w:tbl>
    <w:p w:rsidR="00BD3B5F" w:rsidRPr="005C3B55" w:rsidRDefault="00BD3B5F">
      <w:pPr>
        <w:pStyle w:val="Naslov3"/>
        <w:tabs>
          <w:tab w:val="clear" w:pos="765"/>
        </w:tabs>
        <w:ind w:left="0" w:firstLine="0"/>
        <w:jc w:val="left"/>
        <w:rPr>
          <w:szCs w:val="24"/>
          <w:lang w:val="en-GB"/>
        </w:rPr>
      </w:pPr>
      <w:bookmarkStart w:id="103" w:name="_Toc416192561"/>
      <w:r w:rsidRPr="005C3B55">
        <w:rPr>
          <w:noProof/>
          <w:szCs w:val="24"/>
          <w:lang w:val="en-GB"/>
        </w:rPr>
        <w:t>P3:</w:t>
      </w:r>
      <w:r w:rsidRPr="005C3B55">
        <w:rPr>
          <w:szCs w:val="24"/>
          <w:lang w:val="en-GB"/>
        </w:rPr>
        <w:t xml:space="preserve"> Encouraging organisation of the food supply chain, including processing and marketing of agricultural products, animal welfare and risk management in agriculture</w:t>
      </w:r>
      <w:bookmarkEnd w:id="103"/>
    </w:p>
    <w:p w:rsidR="00BD3B5F" w:rsidRPr="005C3B55" w:rsidRDefault="00BD3B5F">
      <w:pPr>
        <w:pStyle w:val="Naslov4"/>
        <w:tabs>
          <w:tab w:val="clear" w:pos="765"/>
        </w:tabs>
        <w:ind w:left="0" w:firstLine="0"/>
        <w:jc w:val="left"/>
        <w:rPr>
          <w:szCs w:val="24"/>
          <w:lang w:val="en-GB"/>
        </w:rPr>
      </w:pPr>
      <w:r w:rsidRPr="005C3B55">
        <w:rPr>
          <w:szCs w:val="24"/>
          <w:lang w:val="en-GB"/>
        </w:rPr>
        <w:t xml:space="preserve">Number of agricultural holdings receiving support for participating in quality schemes, local markets and short supply chains and producer groups/organisations (focus area 3A) </w:t>
      </w:r>
    </w:p>
    <w:p w:rsidR="00BD3B5F" w:rsidRPr="005C3B55" w:rsidRDefault="00BD3B5F">
      <w:pPr>
        <w:rPr>
          <w:szCs w:val="24"/>
        </w:rPr>
      </w:pPr>
      <w:r w:rsidRPr="005C3B55">
        <w:rPr>
          <w:noProof/>
          <w:szCs w:val="24"/>
        </w:rPr>
        <w:t>Applicable:</w:t>
      </w:r>
      <w:r w:rsidRPr="005C3B55">
        <w:rPr>
          <w:szCs w:val="24"/>
        </w:rPr>
        <w:t xml:space="preserve"> </w:t>
      </w:r>
      <w:r w:rsidRPr="005C3B55">
        <w:rPr>
          <w:noProof/>
          <w:szCs w:val="24"/>
        </w:rPr>
        <w:t>No</w:t>
      </w:r>
    </w:p>
    <w:p w:rsidR="00BD3B5F" w:rsidRPr="005C3B55" w:rsidRDefault="00BD3B5F">
      <w:pPr>
        <w:rPr>
          <w:szCs w:val="24"/>
        </w:rPr>
      </w:pPr>
      <w:r w:rsidRPr="005C3B55">
        <w:rPr>
          <w:szCs w:val="24"/>
        </w:rPr>
        <w:t>Target for 2023 (a): 1,230.00</w:t>
      </w:r>
    </w:p>
    <w:p w:rsidR="00BD3B5F" w:rsidRPr="005C3B55" w:rsidRDefault="00BD3B5F">
      <w:pPr>
        <w:rPr>
          <w:szCs w:val="24"/>
        </w:rPr>
      </w:pPr>
      <w:r w:rsidRPr="005C3B55">
        <w:rPr>
          <w:szCs w:val="24"/>
        </w:rPr>
        <w:t xml:space="preserve">Additional funds for adjustment (b): </w:t>
      </w:r>
    </w:p>
    <w:p w:rsidR="00BD3B5F" w:rsidRPr="005C3B55" w:rsidRDefault="00BD3B5F">
      <w:pPr>
        <w:rPr>
          <w:szCs w:val="24"/>
        </w:rPr>
      </w:pPr>
      <w:r w:rsidRPr="005C3B55">
        <w:rPr>
          <w:szCs w:val="24"/>
        </w:rPr>
        <w:t xml:space="preserve">Milestone for 2018 in % (c): </w:t>
      </w:r>
    </w:p>
    <w:p w:rsidR="00BD3B5F" w:rsidRPr="005C3B55" w:rsidRDefault="00BD3B5F">
      <w:pPr>
        <w:rPr>
          <w:szCs w:val="24"/>
        </w:rPr>
      </w:pPr>
      <w:r w:rsidRPr="005C3B55">
        <w:rPr>
          <w:szCs w:val="24"/>
        </w:rPr>
        <w:t>Milestone in the absolute value (a-b)*c: 0.00</w:t>
      </w:r>
    </w:p>
    <w:p w:rsidR="00BD3B5F" w:rsidRPr="005C3B55" w:rsidRDefault="00BD3B5F">
      <w:pPr>
        <w:rPr>
          <w:szCs w:val="24"/>
        </w:rPr>
      </w:pPr>
      <w:r w:rsidRPr="005C3B55">
        <w:rPr>
          <w:szCs w:val="24"/>
        </w:rPr>
        <w:t>Justification of milestone determination:</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10656"/>
      </w:tblGrid>
      <w:tr w:rsidR="00BD3B5F" w:rsidRPr="005C3B55">
        <w:tc>
          <w:tcPr>
            <w:tcW w:w="5000" w:type="pct"/>
            <w:shd w:val="clear" w:color="auto" w:fill="FFFFFF"/>
            <w:tcMar>
              <w:top w:w="20" w:type="dxa"/>
              <w:bottom w:w="20" w:type="dxa"/>
            </w:tcMar>
            <w:vAlign w:val="center"/>
          </w:tcPr>
          <w:p w:rsidR="00BD3B5F" w:rsidRPr="005C3B55" w:rsidRDefault="00BD3B5F">
            <w:pPr>
              <w:rPr>
                <w:szCs w:val="24"/>
              </w:rPr>
            </w:pPr>
          </w:p>
        </w:tc>
      </w:tr>
    </w:tbl>
    <w:p w:rsidR="00BD3B5F" w:rsidRPr="005C3B55" w:rsidRDefault="00BD3B5F">
      <w:pPr>
        <w:pStyle w:val="Naslov4"/>
        <w:tabs>
          <w:tab w:val="clear" w:pos="765"/>
        </w:tabs>
        <w:ind w:left="0" w:firstLine="0"/>
        <w:jc w:val="left"/>
        <w:rPr>
          <w:szCs w:val="24"/>
          <w:lang w:val="en-GB"/>
        </w:rPr>
      </w:pPr>
      <w:r w:rsidRPr="005C3B55">
        <w:rPr>
          <w:szCs w:val="24"/>
          <w:lang w:val="en-GB"/>
        </w:rPr>
        <w:t>Number of agricultural holdings participating in risk management schemes (focus area 3B)</w:t>
      </w:r>
    </w:p>
    <w:p w:rsidR="00BD3B5F" w:rsidRPr="005C3B55" w:rsidRDefault="00BD3B5F">
      <w:pPr>
        <w:rPr>
          <w:szCs w:val="24"/>
        </w:rPr>
      </w:pPr>
      <w:r w:rsidRPr="005C3B55">
        <w:rPr>
          <w:noProof/>
          <w:szCs w:val="24"/>
        </w:rPr>
        <w:t>Applicable:</w:t>
      </w:r>
      <w:r w:rsidRPr="005C3B55">
        <w:rPr>
          <w:szCs w:val="24"/>
        </w:rPr>
        <w:t xml:space="preserve"> </w:t>
      </w:r>
      <w:r w:rsidRPr="005C3B55">
        <w:rPr>
          <w:noProof/>
          <w:szCs w:val="24"/>
        </w:rPr>
        <w:t>No</w:t>
      </w:r>
    </w:p>
    <w:p w:rsidR="00BD3B5F" w:rsidRPr="005C3B55" w:rsidRDefault="00BD3B5F">
      <w:pPr>
        <w:rPr>
          <w:szCs w:val="24"/>
        </w:rPr>
      </w:pPr>
      <w:r w:rsidRPr="005C3B55">
        <w:rPr>
          <w:szCs w:val="24"/>
        </w:rPr>
        <w:t>Target for 2023 (a): 0.00</w:t>
      </w:r>
    </w:p>
    <w:p w:rsidR="00BD3B5F" w:rsidRPr="005C3B55" w:rsidRDefault="00BD3B5F">
      <w:pPr>
        <w:rPr>
          <w:szCs w:val="24"/>
        </w:rPr>
      </w:pPr>
      <w:r w:rsidRPr="005C3B55">
        <w:rPr>
          <w:szCs w:val="24"/>
        </w:rPr>
        <w:t xml:space="preserve">Additional funds for adjustment (b): </w:t>
      </w:r>
    </w:p>
    <w:p w:rsidR="00BD3B5F" w:rsidRPr="005C3B55" w:rsidRDefault="00BD3B5F">
      <w:pPr>
        <w:rPr>
          <w:szCs w:val="24"/>
        </w:rPr>
      </w:pPr>
      <w:r w:rsidRPr="005C3B55">
        <w:rPr>
          <w:szCs w:val="24"/>
        </w:rPr>
        <w:t xml:space="preserve">Milestone for 2018 in % (c): </w:t>
      </w:r>
    </w:p>
    <w:p w:rsidR="00BD3B5F" w:rsidRPr="005C3B55" w:rsidRDefault="00BD3B5F">
      <w:pPr>
        <w:rPr>
          <w:szCs w:val="24"/>
        </w:rPr>
      </w:pPr>
      <w:r w:rsidRPr="005C3B55">
        <w:rPr>
          <w:szCs w:val="24"/>
        </w:rPr>
        <w:t>Milestone in the absolute value (a-b)*c: 0.00</w:t>
      </w:r>
    </w:p>
    <w:p w:rsidR="00BD3B5F" w:rsidRPr="005C3B55" w:rsidRDefault="00BD3B5F">
      <w:pPr>
        <w:rPr>
          <w:szCs w:val="24"/>
        </w:rPr>
      </w:pPr>
      <w:r w:rsidRPr="005C3B55">
        <w:rPr>
          <w:szCs w:val="24"/>
        </w:rPr>
        <w:t>Justification of milestone determination:</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10656"/>
      </w:tblGrid>
      <w:tr w:rsidR="00BD3B5F" w:rsidRPr="005C3B55">
        <w:tc>
          <w:tcPr>
            <w:tcW w:w="5000" w:type="pct"/>
            <w:shd w:val="clear" w:color="auto" w:fill="FFFFFF"/>
            <w:tcMar>
              <w:top w:w="20" w:type="dxa"/>
              <w:bottom w:w="20" w:type="dxa"/>
            </w:tcMar>
            <w:vAlign w:val="center"/>
          </w:tcPr>
          <w:p w:rsidR="00BD3B5F" w:rsidRPr="005C3B55" w:rsidRDefault="00BD3B5F">
            <w:pPr>
              <w:rPr>
                <w:szCs w:val="24"/>
              </w:rPr>
            </w:pPr>
          </w:p>
        </w:tc>
      </w:tr>
    </w:tbl>
    <w:p w:rsidR="00BD3B5F" w:rsidRPr="005C3B55" w:rsidRDefault="00BD3B5F">
      <w:pPr>
        <w:pStyle w:val="Naslov4"/>
        <w:tabs>
          <w:tab w:val="clear" w:pos="765"/>
        </w:tabs>
        <w:ind w:left="0" w:firstLine="0"/>
        <w:jc w:val="left"/>
        <w:rPr>
          <w:szCs w:val="24"/>
          <w:lang w:val="en-GB"/>
        </w:rPr>
      </w:pPr>
      <w:r w:rsidRPr="005C3B55">
        <w:rPr>
          <w:szCs w:val="24"/>
          <w:lang w:val="en-GB"/>
        </w:rPr>
        <w:t>Total public expenditure for P3 (EUR)</w:t>
      </w:r>
    </w:p>
    <w:p w:rsidR="00BD3B5F" w:rsidRPr="005C3B55" w:rsidRDefault="00BD3B5F">
      <w:pPr>
        <w:rPr>
          <w:szCs w:val="24"/>
        </w:rPr>
      </w:pPr>
      <w:r w:rsidRPr="005C3B55">
        <w:rPr>
          <w:noProof/>
          <w:szCs w:val="24"/>
        </w:rPr>
        <w:t>Applicable:</w:t>
      </w:r>
      <w:r w:rsidRPr="005C3B55">
        <w:rPr>
          <w:szCs w:val="24"/>
        </w:rPr>
        <w:t xml:space="preserve"> </w:t>
      </w:r>
      <w:r w:rsidRPr="005C3B55">
        <w:rPr>
          <w:noProof/>
          <w:szCs w:val="24"/>
        </w:rPr>
        <w:t>Yes</w:t>
      </w:r>
    </w:p>
    <w:p w:rsidR="00BD3B5F" w:rsidRPr="005C3B55" w:rsidRDefault="00BD3B5F">
      <w:pPr>
        <w:rPr>
          <w:szCs w:val="24"/>
        </w:rPr>
      </w:pPr>
      <w:r w:rsidRPr="005C3B55">
        <w:rPr>
          <w:szCs w:val="24"/>
        </w:rPr>
        <w:t>Target for 2023 (a): 101,898,082.70</w:t>
      </w:r>
    </w:p>
    <w:p w:rsidR="00BD3B5F" w:rsidRPr="005C3B55" w:rsidRDefault="00BD3B5F">
      <w:pPr>
        <w:rPr>
          <w:szCs w:val="24"/>
        </w:rPr>
      </w:pPr>
      <w:r w:rsidRPr="005C3B55">
        <w:rPr>
          <w:szCs w:val="24"/>
        </w:rPr>
        <w:t xml:space="preserve">Additional funds for adjustment (b): </w:t>
      </w:r>
    </w:p>
    <w:p w:rsidR="00BD3B5F" w:rsidRPr="005C3B55" w:rsidRDefault="00BD3B5F">
      <w:pPr>
        <w:rPr>
          <w:szCs w:val="24"/>
        </w:rPr>
      </w:pPr>
      <w:r w:rsidRPr="005C3B55">
        <w:rPr>
          <w:szCs w:val="24"/>
        </w:rPr>
        <w:t>Milestone for 2018 in % (c): 20%</w:t>
      </w:r>
    </w:p>
    <w:p w:rsidR="00BD3B5F" w:rsidRPr="005C3B55" w:rsidRDefault="00BD3B5F">
      <w:pPr>
        <w:rPr>
          <w:szCs w:val="24"/>
        </w:rPr>
      </w:pPr>
      <w:r w:rsidRPr="005C3B55">
        <w:rPr>
          <w:szCs w:val="24"/>
        </w:rPr>
        <w:t>Milestone in the absolute value (a-b)*c: 20,379,616.54</w:t>
      </w:r>
    </w:p>
    <w:p w:rsidR="00BD3B5F" w:rsidRPr="005C3B55" w:rsidRDefault="00BD3B5F">
      <w:pPr>
        <w:rPr>
          <w:szCs w:val="24"/>
        </w:rPr>
      </w:pPr>
      <w:r w:rsidRPr="005C3B55">
        <w:rPr>
          <w:szCs w:val="24"/>
        </w:rPr>
        <w:t>Justification of milestone determination:</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10656"/>
      </w:tblGrid>
      <w:tr w:rsidR="00BD3B5F" w:rsidRPr="005C3B55">
        <w:tc>
          <w:tcPr>
            <w:tcW w:w="5000" w:type="pct"/>
            <w:shd w:val="clear" w:color="auto" w:fill="FFFFFF"/>
            <w:tcMar>
              <w:top w:w="20" w:type="dxa"/>
              <w:bottom w:w="20" w:type="dxa"/>
            </w:tcMar>
            <w:vAlign w:val="center"/>
          </w:tcPr>
          <w:p w:rsidR="00BD3B5F" w:rsidRPr="005C3B55" w:rsidRDefault="00BD3B5F">
            <w:pPr>
              <w:rPr>
                <w:szCs w:val="24"/>
              </w:rPr>
            </w:pPr>
            <w:r w:rsidRPr="005C3B55">
              <w:rPr>
                <w:szCs w:val="24"/>
              </w:rPr>
              <w:t xml:space="preserve">The target of the ‘Total Public Expenditure PN3’ indicator was calculated on the basis of experience from the RDP 2007–2013. EUR 113.5 million or 9 per cent of all available public funds for the entire programme were allocated in the RDP 2007–2013 for measures 123, 132, 133 and 142. As part of PN3, sub/measures M01.1, M02.1, M03.1, M03.2, M04.2, M09, M14, M16.1, M16.2 and M16.4 are programmed, and EUR 101.9 million or 9 per cent of all available public funds for the entire RDP 2014–2020 are available. </w:t>
            </w:r>
          </w:p>
          <w:p w:rsidR="00BD3B5F" w:rsidRPr="005C3B55" w:rsidRDefault="00BD3B5F">
            <w:pPr>
              <w:rPr>
                <w:szCs w:val="24"/>
              </w:rPr>
            </w:pPr>
            <w:r w:rsidRPr="005C3B55">
              <w:rPr>
                <w:szCs w:val="24"/>
              </w:rPr>
              <w:t xml:space="preserve">Based on experience from the RDP 2007–2013, the value of milestone for 2018 is assessed at 20 per cent. Within the RDP 2007–2013, 19 per cent of completed operations of the total target for measures 123, 132, 133 and 142 of the RDP 2007–2013 were supported by the end of 2010. Most of the funds available within PN3 are allocated to sub-measure M04.2, which includes the type of investments which are implemented over a long period. </w:t>
            </w:r>
          </w:p>
        </w:tc>
      </w:tr>
    </w:tbl>
    <w:p w:rsidR="00BD3B5F" w:rsidRPr="005C3B55" w:rsidRDefault="00BD3B5F">
      <w:pPr>
        <w:pStyle w:val="Naslov3"/>
        <w:tabs>
          <w:tab w:val="clear" w:pos="765"/>
        </w:tabs>
        <w:ind w:left="0" w:firstLine="0"/>
        <w:jc w:val="left"/>
        <w:rPr>
          <w:szCs w:val="24"/>
          <w:lang w:val="en-GB"/>
        </w:rPr>
      </w:pPr>
      <w:bookmarkStart w:id="104" w:name="_Toc416192562"/>
      <w:r w:rsidRPr="005C3B55">
        <w:rPr>
          <w:noProof/>
          <w:szCs w:val="24"/>
          <w:lang w:val="en-GB"/>
        </w:rPr>
        <w:t>P4:</w:t>
      </w:r>
      <w:r w:rsidRPr="005C3B55">
        <w:rPr>
          <w:szCs w:val="24"/>
          <w:lang w:val="en-GB"/>
        </w:rPr>
        <w:t xml:space="preserve"> Restoration, preservation and improvement of ecosystems related to agriculture and forestry</w:t>
      </w:r>
      <w:bookmarkEnd w:id="104"/>
    </w:p>
    <w:p w:rsidR="00BD3B5F" w:rsidRPr="005C3B55" w:rsidRDefault="00BD3B5F">
      <w:pPr>
        <w:pStyle w:val="Naslov4"/>
        <w:tabs>
          <w:tab w:val="clear" w:pos="765"/>
        </w:tabs>
        <w:ind w:left="0" w:firstLine="0"/>
        <w:jc w:val="left"/>
        <w:rPr>
          <w:szCs w:val="24"/>
          <w:lang w:val="en-GB"/>
        </w:rPr>
      </w:pPr>
      <w:r w:rsidRPr="005C3B55">
        <w:rPr>
          <w:szCs w:val="24"/>
          <w:lang w:val="en-GB"/>
        </w:rPr>
        <w:t>Agricultural land for which management contracts on the support of biodiversity (ha) (focus area 4A) + on the improvement of water management (ha) (focus area 4B) + on the improvement of soil management and/or prevention of soil erosion (ha) (focus area 4C) were concluded</w:t>
      </w:r>
    </w:p>
    <w:p w:rsidR="00BD3B5F" w:rsidRPr="005C3B55" w:rsidRDefault="00BD3B5F">
      <w:pPr>
        <w:rPr>
          <w:szCs w:val="24"/>
        </w:rPr>
      </w:pPr>
      <w:r w:rsidRPr="005C3B55">
        <w:rPr>
          <w:noProof/>
          <w:szCs w:val="24"/>
        </w:rPr>
        <w:t>Applicable:</w:t>
      </w:r>
      <w:r w:rsidRPr="005C3B55">
        <w:rPr>
          <w:szCs w:val="24"/>
        </w:rPr>
        <w:t xml:space="preserve"> </w:t>
      </w:r>
      <w:r w:rsidRPr="005C3B55">
        <w:rPr>
          <w:noProof/>
          <w:szCs w:val="24"/>
        </w:rPr>
        <w:t>No</w:t>
      </w:r>
    </w:p>
    <w:p w:rsidR="00BD3B5F" w:rsidRPr="005C3B55" w:rsidRDefault="00BD3B5F">
      <w:pPr>
        <w:rPr>
          <w:szCs w:val="24"/>
        </w:rPr>
      </w:pPr>
      <w:r w:rsidRPr="005C3B55">
        <w:rPr>
          <w:szCs w:val="24"/>
        </w:rPr>
        <w:t>Target for 2023 (a): 481,000.00</w:t>
      </w:r>
    </w:p>
    <w:p w:rsidR="00BD3B5F" w:rsidRPr="005C3B55" w:rsidRDefault="00BD3B5F">
      <w:pPr>
        <w:rPr>
          <w:szCs w:val="24"/>
        </w:rPr>
      </w:pPr>
      <w:r w:rsidRPr="005C3B55">
        <w:rPr>
          <w:szCs w:val="24"/>
        </w:rPr>
        <w:t xml:space="preserve">Additional funds for adjustment (b): </w:t>
      </w:r>
    </w:p>
    <w:p w:rsidR="00BD3B5F" w:rsidRPr="005C3B55" w:rsidRDefault="00BD3B5F">
      <w:pPr>
        <w:rPr>
          <w:szCs w:val="24"/>
        </w:rPr>
      </w:pPr>
      <w:r w:rsidRPr="005C3B55">
        <w:rPr>
          <w:szCs w:val="24"/>
        </w:rPr>
        <w:t xml:space="preserve">Milestone for 2018 in % (c): </w:t>
      </w:r>
    </w:p>
    <w:p w:rsidR="00BD3B5F" w:rsidRPr="005C3B55" w:rsidRDefault="00BD3B5F">
      <w:pPr>
        <w:rPr>
          <w:szCs w:val="24"/>
        </w:rPr>
      </w:pPr>
      <w:r w:rsidRPr="005C3B55">
        <w:rPr>
          <w:szCs w:val="24"/>
        </w:rPr>
        <w:t>Milestone in the absolute value (a-b)*c: 0.00</w:t>
      </w:r>
    </w:p>
    <w:p w:rsidR="00BD3B5F" w:rsidRPr="005C3B55" w:rsidRDefault="00BD3B5F">
      <w:pPr>
        <w:rPr>
          <w:szCs w:val="24"/>
        </w:rPr>
      </w:pPr>
      <w:r w:rsidRPr="005C3B55">
        <w:rPr>
          <w:szCs w:val="24"/>
        </w:rPr>
        <w:t>Justification of milestone determination:</w:t>
      </w:r>
    </w:p>
    <w:p w:rsidR="00BD3B5F" w:rsidRPr="005C3B55" w:rsidRDefault="00BD3B5F">
      <w:pPr>
        <w:spacing w:before="0" w:after="0"/>
        <w:rPr>
          <w:szCs w:val="24"/>
        </w:rPr>
      </w:pP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10656"/>
      </w:tblGrid>
      <w:tr w:rsidR="00BD3B5F" w:rsidRPr="005C3B55">
        <w:tc>
          <w:tcPr>
            <w:tcW w:w="5000" w:type="pct"/>
            <w:shd w:val="clear" w:color="auto" w:fill="FFFFFF"/>
            <w:tcMar>
              <w:top w:w="20" w:type="dxa"/>
              <w:bottom w:w="20" w:type="dxa"/>
            </w:tcMar>
            <w:vAlign w:val="center"/>
          </w:tcPr>
          <w:p w:rsidR="00BD3B5F" w:rsidRPr="005C3B55" w:rsidRDefault="00BD3B5F">
            <w:pPr>
              <w:rPr>
                <w:szCs w:val="24"/>
              </w:rPr>
            </w:pPr>
          </w:p>
        </w:tc>
      </w:tr>
    </w:tbl>
    <w:p w:rsidR="00BD3B5F" w:rsidRPr="005C3B55" w:rsidRDefault="00BD3B5F">
      <w:pPr>
        <w:pStyle w:val="Naslov4"/>
        <w:tabs>
          <w:tab w:val="clear" w:pos="765"/>
        </w:tabs>
        <w:ind w:left="0" w:firstLine="0"/>
        <w:jc w:val="left"/>
        <w:rPr>
          <w:szCs w:val="24"/>
          <w:lang w:val="en-GB"/>
        </w:rPr>
      </w:pPr>
      <w:r w:rsidRPr="005C3B55">
        <w:rPr>
          <w:szCs w:val="24"/>
          <w:lang w:val="en-GB"/>
        </w:rPr>
        <w:t>Total public expenditure for P4 (EUR)</w:t>
      </w:r>
    </w:p>
    <w:p w:rsidR="00BD3B5F" w:rsidRPr="005C3B55" w:rsidRDefault="00BD3B5F">
      <w:pPr>
        <w:rPr>
          <w:szCs w:val="24"/>
        </w:rPr>
      </w:pPr>
      <w:r w:rsidRPr="005C3B55">
        <w:rPr>
          <w:noProof/>
          <w:szCs w:val="24"/>
        </w:rPr>
        <w:t>Applicable:</w:t>
      </w:r>
      <w:r w:rsidRPr="005C3B55">
        <w:rPr>
          <w:szCs w:val="24"/>
        </w:rPr>
        <w:t xml:space="preserve"> </w:t>
      </w:r>
      <w:r w:rsidRPr="005C3B55">
        <w:rPr>
          <w:noProof/>
          <w:szCs w:val="24"/>
        </w:rPr>
        <w:t>Yes</w:t>
      </w:r>
    </w:p>
    <w:p w:rsidR="00BD3B5F" w:rsidRPr="005C3B55" w:rsidRDefault="00BD3B5F">
      <w:pPr>
        <w:rPr>
          <w:szCs w:val="24"/>
        </w:rPr>
      </w:pPr>
      <w:r w:rsidRPr="005C3B55">
        <w:rPr>
          <w:szCs w:val="24"/>
        </w:rPr>
        <w:t>Target for 2023 (a): 575,211,499.00</w:t>
      </w:r>
    </w:p>
    <w:p w:rsidR="00BD3B5F" w:rsidRPr="005C3B55" w:rsidRDefault="00BD3B5F">
      <w:pPr>
        <w:rPr>
          <w:szCs w:val="24"/>
        </w:rPr>
      </w:pPr>
      <w:r w:rsidRPr="005C3B55">
        <w:rPr>
          <w:szCs w:val="24"/>
        </w:rPr>
        <w:t xml:space="preserve">Additional funds for adjustment (b): </w:t>
      </w:r>
    </w:p>
    <w:p w:rsidR="00BD3B5F" w:rsidRPr="005C3B55" w:rsidRDefault="00BD3B5F">
      <w:pPr>
        <w:rPr>
          <w:szCs w:val="24"/>
        </w:rPr>
      </w:pPr>
      <w:r w:rsidRPr="005C3B55">
        <w:rPr>
          <w:szCs w:val="24"/>
        </w:rPr>
        <w:t>Milestone for 2018 in % (c): 40%</w:t>
      </w:r>
    </w:p>
    <w:p w:rsidR="00BD3B5F" w:rsidRPr="005C3B55" w:rsidRDefault="00BD3B5F">
      <w:pPr>
        <w:rPr>
          <w:szCs w:val="24"/>
        </w:rPr>
      </w:pPr>
      <w:r w:rsidRPr="005C3B55">
        <w:rPr>
          <w:szCs w:val="24"/>
        </w:rPr>
        <w:t>Milestone in the absolute value (a-b)*c: 230,084,599.60</w:t>
      </w:r>
    </w:p>
    <w:p w:rsidR="00BD3B5F" w:rsidRPr="005C3B55" w:rsidRDefault="00BD3B5F">
      <w:pPr>
        <w:rPr>
          <w:szCs w:val="24"/>
        </w:rPr>
      </w:pPr>
      <w:r w:rsidRPr="005C3B55">
        <w:rPr>
          <w:szCs w:val="24"/>
        </w:rPr>
        <w:t>Justification of milestone determination:</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10656"/>
      </w:tblGrid>
      <w:tr w:rsidR="00BD3B5F" w:rsidRPr="005C3B55">
        <w:tc>
          <w:tcPr>
            <w:tcW w:w="5000" w:type="pct"/>
            <w:shd w:val="clear" w:color="auto" w:fill="FFFFFF"/>
            <w:tcMar>
              <w:top w:w="20" w:type="dxa"/>
              <w:bottom w:w="20" w:type="dxa"/>
            </w:tcMar>
            <w:vAlign w:val="center"/>
          </w:tcPr>
          <w:p w:rsidR="00BD3B5F" w:rsidRPr="005C3B55" w:rsidRDefault="00BD3B5F">
            <w:pPr>
              <w:rPr>
                <w:szCs w:val="24"/>
              </w:rPr>
            </w:pPr>
            <w:r w:rsidRPr="005C3B55">
              <w:rPr>
                <w:szCs w:val="24"/>
              </w:rPr>
              <w:t xml:space="preserve">The target of the ‘Total Public Expenditure PN4’ indicator was calculated on the basis of experience from the RDP 2007–2013. EUR 583.4 million or 49 per cent of all available public funds for the entire programme were allocated in the RDP 2007–2013 for measures 211, 212 and 214. As part of PN4, sub-measures M01.1, M02.1, M08.4, M10.1, M11.1, M11.2, M13.1, M13.2, M13.3, M16.1, M16.2 and M16.5 are programmed, and EUR 575.2 million or 52 % of all available public funds for the entire RDP 2014–2020 are available. </w:t>
            </w:r>
          </w:p>
          <w:p w:rsidR="00BD3B5F" w:rsidRPr="005C3B55" w:rsidRDefault="00BD3B5F">
            <w:pPr>
              <w:rPr>
                <w:szCs w:val="24"/>
              </w:rPr>
            </w:pPr>
            <w:r w:rsidRPr="005C3B55">
              <w:rPr>
                <w:szCs w:val="24"/>
              </w:rPr>
              <w:t xml:space="preserve">Within the RDP 2007–2013, 48 per cent of available funds of the target for measures 211, 212 and 214 of the RDP 2007–2013 were paid by the end of 2010. First payments of liabilities within the RDP 2014–2020 are expected to be carried out in 2015. Therefore, the value of the indicator for 2018 is assessed at 40 per cent. </w:t>
            </w:r>
          </w:p>
        </w:tc>
      </w:tr>
    </w:tbl>
    <w:p w:rsidR="00BD3B5F" w:rsidRPr="005C3B55" w:rsidRDefault="00BD3B5F">
      <w:pPr>
        <w:pStyle w:val="Naslov3"/>
        <w:tabs>
          <w:tab w:val="clear" w:pos="765"/>
        </w:tabs>
        <w:ind w:left="0" w:firstLine="0"/>
        <w:jc w:val="left"/>
        <w:rPr>
          <w:szCs w:val="24"/>
          <w:lang w:val="en-GB"/>
        </w:rPr>
      </w:pPr>
      <w:bookmarkStart w:id="105" w:name="_Toc416192563"/>
      <w:r w:rsidRPr="005C3B55">
        <w:rPr>
          <w:noProof/>
          <w:szCs w:val="24"/>
          <w:lang w:val="en-GB"/>
        </w:rPr>
        <w:t>P6:</w:t>
      </w:r>
      <w:r w:rsidRPr="005C3B55">
        <w:rPr>
          <w:szCs w:val="24"/>
          <w:lang w:val="en-GB"/>
        </w:rPr>
        <w:t xml:space="preserve"> Promotion of social inclusion, reduction of poverty and economic development of rural areas</w:t>
      </w:r>
      <w:bookmarkEnd w:id="105"/>
    </w:p>
    <w:p w:rsidR="00BD3B5F" w:rsidRPr="005C3B55" w:rsidRDefault="00BD3B5F">
      <w:pPr>
        <w:pStyle w:val="Naslov4"/>
        <w:tabs>
          <w:tab w:val="clear" w:pos="765"/>
        </w:tabs>
        <w:ind w:left="0" w:firstLine="0"/>
        <w:jc w:val="left"/>
        <w:rPr>
          <w:szCs w:val="24"/>
          <w:lang w:val="en-GB"/>
        </w:rPr>
      </w:pPr>
      <w:r w:rsidRPr="005C3B55">
        <w:rPr>
          <w:szCs w:val="24"/>
          <w:lang w:val="en-GB"/>
        </w:rPr>
        <w:t>Number of operations supported to improve basic services and infrastructure in rural areas (focus areas 6B and 6C)</w:t>
      </w:r>
    </w:p>
    <w:p w:rsidR="00BD3B5F" w:rsidRPr="005C3B55" w:rsidRDefault="00BD3B5F">
      <w:pPr>
        <w:rPr>
          <w:szCs w:val="24"/>
        </w:rPr>
      </w:pPr>
      <w:r w:rsidRPr="005C3B55">
        <w:rPr>
          <w:noProof/>
          <w:szCs w:val="24"/>
        </w:rPr>
        <w:t>Applicable:</w:t>
      </w:r>
      <w:r w:rsidRPr="005C3B55">
        <w:rPr>
          <w:szCs w:val="24"/>
        </w:rPr>
        <w:t xml:space="preserve"> </w:t>
      </w:r>
      <w:r w:rsidRPr="005C3B55">
        <w:rPr>
          <w:noProof/>
          <w:szCs w:val="24"/>
        </w:rPr>
        <w:t>No</w:t>
      </w:r>
    </w:p>
    <w:p w:rsidR="00BD3B5F" w:rsidRPr="005C3B55" w:rsidRDefault="00BD3B5F">
      <w:pPr>
        <w:rPr>
          <w:szCs w:val="24"/>
        </w:rPr>
      </w:pPr>
      <w:r w:rsidRPr="005C3B55">
        <w:rPr>
          <w:szCs w:val="24"/>
        </w:rPr>
        <w:t>Target for 2023 (a): 10.00</w:t>
      </w:r>
    </w:p>
    <w:p w:rsidR="00BD3B5F" w:rsidRPr="005C3B55" w:rsidRDefault="00BD3B5F">
      <w:pPr>
        <w:rPr>
          <w:szCs w:val="24"/>
        </w:rPr>
      </w:pPr>
      <w:r w:rsidRPr="005C3B55">
        <w:rPr>
          <w:szCs w:val="24"/>
        </w:rPr>
        <w:t xml:space="preserve">Additional funds for adjustment (b): </w:t>
      </w:r>
    </w:p>
    <w:p w:rsidR="00BD3B5F" w:rsidRPr="005C3B55" w:rsidRDefault="00BD3B5F">
      <w:pPr>
        <w:rPr>
          <w:szCs w:val="24"/>
        </w:rPr>
      </w:pPr>
      <w:r w:rsidRPr="005C3B55">
        <w:rPr>
          <w:szCs w:val="24"/>
        </w:rPr>
        <w:t xml:space="preserve">Milestone for 2018 in % (c): </w:t>
      </w:r>
    </w:p>
    <w:p w:rsidR="00BD3B5F" w:rsidRPr="005C3B55" w:rsidRDefault="00BD3B5F">
      <w:pPr>
        <w:rPr>
          <w:szCs w:val="24"/>
        </w:rPr>
      </w:pPr>
      <w:r w:rsidRPr="005C3B55">
        <w:rPr>
          <w:szCs w:val="24"/>
        </w:rPr>
        <w:t>Milestone in the absolute value (a-b)*c: 0.00</w:t>
      </w:r>
    </w:p>
    <w:p w:rsidR="00BD3B5F" w:rsidRPr="005C3B55" w:rsidRDefault="00BD3B5F">
      <w:pPr>
        <w:rPr>
          <w:szCs w:val="24"/>
        </w:rPr>
      </w:pPr>
      <w:r w:rsidRPr="005C3B55">
        <w:rPr>
          <w:szCs w:val="24"/>
        </w:rPr>
        <w:t>Justification of milestone determination:</w:t>
      </w:r>
    </w:p>
    <w:p w:rsidR="00BD3B5F" w:rsidRPr="005C3B55" w:rsidRDefault="00BD3B5F">
      <w:pPr>
        <w:spacing w:before="0" w:after="0"/>
        <w:rPr>
          <w:szCs w:val="24"/>
        </w:rPr>
      </w:pP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10656"/>
      </w:tblGrid>
      <w:tr w:rsidR="00BD3B5F" w:rsidRPr="005C3B55">
        <w:tc>
          <w:tcPr>
            <w:tcW w:w="5000" w:type="pct"/>
            <w:shd w:val="clear" w:color="auto" w:fill="FFFFFF"/>
            <w:tcMar>
              <w:top w:w="20" w:type="dxa"/>
              <w:bottom w:w="20" w:type="dxa"/>
            </w:tcMar>
            <w:vAlign w:val="center"/>
          </w:tcPr>
          <w:p w:rsidR="00BD3B5F" w:rsidRPr="005C3B55" w:rsidRDefault="00BD3B5F">
            <w:pPr>
              <w:rPr>
                <w:szCs w:val="24"/>
              </w:rPr>
            </w:pPr>
          </w:p>
        </w:tc>
      </w:tr>
    </w:tbl>
    <w:p w:rsidR="00BD3B5F" w:rsidRPr="005C3B55" w:rsidRDefault="00BD3B5F">
      <w:pPr>
        <w:pStyle w:val="Naslov4"/>
        <w:tabs>
          <w:tab w:val="clear" w:pos="765"/>
        </w:tabs>
        <w:ind w:left="0" w:firstLine="0"/>
        <w:jc w:val="left"/>
        <w:rPr>
          <w:szCs w:val="24"/>
          <w:lang w:val="en-GB"/>
        </w:rPr>
      </w:pPr>
      <w:r w:rsidRPr="005C3B55">
        <w:rPr>
          <w:szCs w:val="24"/>
          <w:lang w:val="en-GB"/>
        </w:rPr>
        <w:t>Total public expenditure for P6 (EUR)</w:t>
      </w:r>
    </w:p>
    <w:p w:rsidR="00BD3B5F" w:rsidRPr="005C3B55" w:rsidRDefault="00BD3B5F">
      <w:pPr>
        <w:rPr>
          <w:szCs w:val="24"/>
        </w:rPr>
      </w:pPr>
      <w:r w:rsidRPr="005C3B55">
        <w:rPr>
          <w:noProof/>
          <w:szCs w:val="24"/>
        </w:rPr>
        <w:t>Applicable:</w:t>
      </w:r>
      <w:r w:rsidRPr="005C3B55">
        <w:rPr>
          <w:szCs w:val="24"/>
        </w:rPr>
        <w:t xml:space="preserve"> </w:t>
      </w:r>
      <w:r w:rsidRPr="005C3B55">
        <w:rPr>
          <w:noProof/>
          <w:szCs w:val="24"/>
        </w:rPr>
        <w:t>Yes</w:t>
      </w:r>
    </w:p>
    <w:p w:rsidR="00BD3B5F" w:rsidRPr="005C3B55" w:rsidRDefault="00BD3B5F">
      <w:pPr>
        <w:rPr>
          <w:szCs w:val="24"/>
        </w:rPr>
      </w:pPr>
      <w:r w:rsidRPr="005C3B55">
        <w:rPr>
          <w:szCs w:val="24"/>
        </w:rPr>
        <w:t>Target for 2023 (a): 167,991,551.25</w:t>
      </w:r>
    </w:p>
    <w:p w:rsidR="00BD3B5F" w:rsidRPr="005C3B55" w:rsidRDefault="00BD3B5F">
      <w:pPr>
        <w:rPr>
          <w:szCs w:val="24"/>
        </w:rPr>
      </w:pPr>
      <w:r w:rsidRPr="005C3B55">
        <w:rPr>
          <w:szCs w:val="24"/>
        </w:rPr>
        <w:t xml:space="preserve">Additional funds for adjustment (b): </w:t>
      </w:r>
    </w:p>
    <w:p w:rsidR="00BD3B5F" w:rsidRPr="005C3B55" w:rsidRDefault="00BD3B5F">
      <w:pPr>
        <w:rPr>
          <w:szCs w:val="24"/>
        </w:rPr>
      </w:pPr>
      <w:r w:rsidRPr="005C3B55">
        <w:rPr>
          <w:szCs w:val="24"/>
        </w:rPr>
        <w:t>Milestone for 2018 in % (c): 15%</w:t>
      </w:r>
    </w:p>
    <w:p w:rsidR="00BD3B5F" w:rsidRPr="005C3B55" w:rsidRDefault="00BD3B5F">
      <w:pPr>
        <w:rPr>
          <w:szCs w:val="24"/>
        </w:rPr>
      </w:pPr>
      <w:r w:rsidRPr="005C3B55">
        <w:rPr>
          <w:szCs w:val="24"/>
        </w:rPr>
        <w:t>Milestone in the absolute value (a-b)*c: 25,198,732.69</w:t>
      </w:r>
    </w:p>
    <w:p w:rsidR="00BD3B5F" w:rsidRPr="005C3B55" w:rsidRDefault="00BD3B5F">
      <w:pPr>
        <w:rPr>
          <w:szCs w:val="24"/>
        </w:rPr>
      </w:pPr>
      <w:r w:rsidRPr="005C3B55">
        <w:rPr>
          <w:szCs w:val="24"/>
        </w:rPr>
        <w:t>Justification of milestone determination:</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10656"/>
      </w:tblGrid>
      <w:tr w:rsidR="00BD3B5F" w:rsidRPr="005C3B55">
        <w:tc>
          <w:tcPr>
            <w:tcW w:w="5000" w:type="pct"/>
            <w:shd w:val="clear" w:color="auto" w:fill="FFFFFF"/>
            <w:tcMar>
              <w:top w:w="20" w:type="dxa"/>
              <w:bottom w:w="20" w:type="dxa"/>
            </w:tcMar>
            <w:vAlign w:val="center"/>
          </w:tcPr>
          <w:p w:rsidR="00BD3B5F" w:rsidRPr="005C3B55" w:rsidRDefault="00BD3B5F">
            <w:pPr>
              <w:rPr>
                <w:szCs w:val="24"/>
              </w:rPr>
            </w:pPr>
            <w:r w:rsidRPr="005C3B55">
              <w:rPr>
                <w:szCs w:val="24"/>
              </w:rPr>
              <w:t xml:space="preserve">The target of the ‘Total Public Expenditure PN6’ indicator was calculated on the basis of experience from the RDP 2007–2013. EUR 133.5 million or 11% of available public funds for the entire programme are available for measures 122 (purpose B: investments in the purchase of new machinery and equipment for felling and skidding), 311, 312, 321 and LEADER RDP 2007–2013. As part of PN6, (sub)measures M06.4, M08.6, M16.1, M16.2, M16.9, M19 and M07.3 are programmed, and EUR 168 million or 15 per cent of all available public funds for the entire RDP 2014–2020 are available. The increase is due to more available public funds under sub-measures M07.3 and M19 where the minimum share in the amount of 5 per cent of the total amount of funds available for the entire RDP 2014–2020 (3 per cent in the RDP 2007–2013) is taken into account. </w:t>
            </w:r>
          </w:p>
          <w:p w:rsidR="00BD3B5F" w:rsidRPr="005C3B55" w:rsidRDefault="00BD3B5F">
            <w:pPr>
              <w:rPr>
                <w:szCs w:val="24"/>
              </w:rPr>
            </w:pPr>
            <w:r w:rsidRPr="005C3B55">
              <w:rPr>
                <w:szCs w:val="24"/>
              </w:rPr>
              <w:t xml:space="preserve">Based on experience from the RDP 2007–2013, the value of milestone for 2018 is assessed at 15 per cent. Except in sub-measure M08.6, there is a risk that delayed payments of funds may occur (especially in sub-measures M06.4 and M07.3) due to the lengthy implementation of investments. The implementation of investments under sub-measure M06.4 is additionally hampered by the changed manner of project financing, which also includes refundable funds in the financial structure. Such funds may significantly affect interest for the implementation of investments. In measure M19, it is difficult to assess how the transfer of responsibility, the processing of applications and the control of the implementation by the AAMRD will affect the approval and implementation of projects. Within the RDP 2007–2013, 31 per cent of available funds of the target for measures 122 (purpose B), 311, 312, 321 and LEADER of the RDP 2007–2013 were paid by the end of 2010 within the completed operations. </w:t>
            </w:r>
          </w:p>
        </w:tc>
      </w:tr>
    </w:tbl>
    <w:p w:rsidR="00BD3B5F" w:rsidRPr="005C3B55" w:rsidRDefault="00BD3B5F">
      <w:pPr>
        <w:pStyle w:val="Naslov4"/>
        <w:tabs>
          <w:tab w:val="clear" w:pos="765"/>
        </w:tabs>
        <w:ind w:left="0" w:firstLine="0"/>
        <w:jc w:val="left"/>
        <w:rPr>
          <w:szCs w:val="24"/>
          <w:lang w:val="en-GB"/>
        </w:rPr>
      </w:pPr>
      <w:r w:rsidRPr="005C3B55">
        <w:rPr>
          <w:szCs w:val="24"/>
          <w:lang w:val="en-GB"/>
        </w:rPr>
        <w:t>Population included in local action groups (focus area 6B)</w:t>
      </w:r>
    </w:p>
    <w:p w:rsidR="00BD3B5F" w:rsidRPr="005C3B55" w:rsidRDefault="00BD3B5F">
      <w:pPr>
        <w:rPr>
          <w:szCs w:val="24"/>
        </w:rPr>
      </w:pPr>
      <w:r w:rsidRPr="005C3B55">
        <w:rPr>
          <w:noProof/>
          <w:szCs w:val="24"/>
        </w:rPr>
        <w:t>Applicable:</w:t>
      </w:r>
      <w:r w:rsidRPr="005C3B55">
        <w:rPr>
          <w:szCs w:val="24"/>
        </w:rPr>
        <w:t xml:space="preserve"> </w:t>
      </w:r>
      <w:r w:rsidRPr="005C3B55">
        <w:rPr>
          <w:noProof/>
          <w:szCs w:val="24"/>
        </w:rPr>
        <w:t>Yes</w:t>
      </w:r>
    </w:p>
    <w:p w:rsidR="00BD3B5F" w:rsidRPr="005C3B55" w:rsidRDefault="00BD3B5F">
      <w:pPr>
        <w:rPr>
          <w:szCs w:val="24"/>
        </w:rPr>
      </w:pPr>
      <w:r w:rsidRPr="005C3B55">
        <w:rPr>
          <w:szCs w:val="24"/>
        </w:rPr>
        <w:t>Target for 2023 (a): 1,350,000.00</w:t>
      </w:r>
    </w:p>
    <w:p w:rsidR="00BD3B5F" w:rsidRPr="005C3B55" w:rsidRDefault="00BD3B5F">
      <w:pPr>
        <w:rPr>
          <w:szCs w:val="24"/>
        </w:rPr>
      </w:pPr>
      <w:r w:rsidRPr="005C3B55">
        <w:rPr>
          <w:szCs w:val="24"/>
        </w:rPr>
        <w:t xml:space="preserve">Additional funds for adjustment (b): </w:t>
      </w:r>
    </w:p>
    <w:p w:rsidR="00BD3B5F" w:rsidRPr="005C3B55" w:rsidRDefault="00BD3B5F">
      <w:pPr>
        <w:rPr>
          <w:szCs w:val="24"/>
        </w:rPr>
      </w:pPr>
      <w:r w:rsidRPr="005C3B55">
        <w:rPr>
          <w:szCs w:val="24"/>
        </w:rPr>
        <w:t>Milestone for 2018 in % (c): 100%</w:t>
      </w:r>
    </w:p>
    <w:p w:rsidR="00BD3B5F" w:rsidRPr="005C3B55" w:rsidRDefault="00BD3B5F">
      <w:pPr>
        <w:rPr>
          <w:szCs w:val="24"/>
        </w:rPr>
      </w:pPr>
      <w:r w:rsidRPr="005C3B55">
        <w:rPr>
          <w:szCs w:val="24"/>
        </w:rPr>
        <w:t>Milestone in the absolute value (a-b)*c: 1,350,000.00</w:t>
      </w:r>
    </w:p>
    <w:p w:rsidR="00BD3B5F" w:rsidRPr="005C3B55" w:rsidRDefault="00BD3B5F">
      <w:pPr>
        <w:rPr>
          <w:szCs w:val="24"/>
        </w:rPr>
      </w:pPr>
      <w:r w:rsidRPr="005C3B55">
        <w:rPr>
          <w:szCs w:val="24"/>
        </w:rPr>
        <w:t>Justification of milestone determination:</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10656"/>
      </w:tblGrid>
      <w:tr w:rsidR="00BD3B5F" w:rsidRPr="005C3B55">
        <w:tc>
          <w:tcPr>
            <w:tcW w:w="800" w:type="pct"/>
            <w:shd w:val="clear" w:color="auto" w:fill="FFFFFF"/>
            <w:tcMar>
              <w:top w:w="20" w:type="dxa"/>
              <w:bottom w:w="20" w:type="dxa"/>
            </w:tcMar>
            <w:vAlign w:val="center"/>
          </w:tcPr>
          <w:p w:rsidR="00BD3B5F" w:rsidRPr="005C3B55" w:rsidRDefault="00BD3B5F">
            <w:pPr>
              <w:rPr>
                <w:szCs w:val="24"/>
              </w:rPr>
            </w:pPr>
            <w:r w:rsidRPr="005C3B55">
              <w:rPr>
                <w:szCs w:val="24"/>
              </w:rPr>
              <w:t xml:space="preserve">The target of the ‘Population covered by the LAG’ indicator was calculated on the basis of information on the number of people in settlements with fewer than 10,000 inhabitants. The number of inhabitants in settlements with fewer than 10,000 inhabitants is 1,422,012. Approximately 95 per cent of inhabitants in eligible areas (1,350,000) are expected to be included in LAGs. The population covered by LAGs was 1,269,308 in the 2007–2013 programming period. Based on experience from the RDP 2007–2013, the value of milestone 2018 is assessed at 100 per cent, as the selection of LAGs will be carried out at the beginning of the programming period. </w:t>
            </w:r>
          </w:p>
        </w:tc>
      </w:tr>
    </w:tbl>
    <w:p w:rsidR="00BD3B5F" w:rsidRPr="005C3B55" w:rsidRDefault="00BD3B5F">
      <w:pPr>
        <w:rPr>
          <w:szCs w:val="24"/>
        </w:rPr>
        <w:sectPr w:rsidR="00BD3B5F" w:rsidRPr="005C3B55">
          <w:pgSz w:w="12240" w:h="15840"/>
          <w:pgMar w:top="900" w:right="900" w:bottom="900" w:left="900" w:header="708" w:footer="708" w:gutter="0"/>
          <w:cols w:space="708"/>
        </w:sectPr>
      </w:pPr>
    </w:p>
    <w:p w:rsidR="00BD3B5F" w:rsidRPr="005C3B55" w:rsidRDefault="00BD3B5F">
      <w:pPr>
        <w:pStyle w:val="Naslov2"/>
        <w:tabs>
          <w:tab w:val="clear" w:pos="765"/>
        </w:tabs>
        <w:ind w:left="0" w:firstLine="0"/>
        <w:rPr>
          <w:szCs w:val="24"/>
          <w:lang w:val="en-GB"/>
        </w:rPr>
      </w:pPr>
      <w:bookmarkStart w:id="106" w:name="_Toc416192564"/>
      <w:r w:rsidRPr="005C3B55">
        <w:rPr>
          <w:szCs w:val="24"/>
          <w:lang w:val="en-GB"/>
        </w:rPr>
        <w:t>Alternative indicators</w:t>
      </w:r>
      <w:bookmarkEnd w:id="10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94"/>
        <w:gridCol w:w="2125"/>
        <w:gridCol w:w="2834"/>
        <w:gridCol w:w="2270"/>
        <w:gridCol w:w="2124"/>
        <w:gridCol w:w="1560"/>
        <w:gridCol w:w="1249"/>
      </w:tblGrid>
      <w:tr w:rsidR="00BD3B5F" w:rsidRPr="005C3B55">
        <w:tc>
          <w:tcPr>
            <w:tcW w:w="734" w:type="pct"/>
            <w:shd w:val="clear" w:color="auto" w:fill="C0C0C0"/>
            <w:tcMar>
              <w:top w:w="20" w:type="dxa"/>
              <w:bottom w:w="20" w:type="dxa"/>
            </w:tcMar>
            <w:vAlign w:val="center"/>
          </w:tcPr>
          <w:p w:rsidR="00BD3B5F" w:rsidRPr="005C3B55" w:rsidRDefault="00BD3B5F">
            <w:pPr>
              <w:rPr>
                <w:szCs w:val="24"/>
              </w:rPr>
            </w:pPr>
            <w:r w:rsidRPr="005C3B55">
              <w:rPr>
                <w:b/>
                <w:szCs w:val="24"/>
              </w:rPr>
              <w:t>Priority</w:t>
            </w:r>
          </w:p>
        </w:tc>
        <w:tc>
          <w:tcPr>
            <w:tcW w:w="745" w:type="pct"/>
            <w:shd w:val="clear" w:color="auto" w:fill="C0C0C0"/>
            <w:tcMar>
              <w:top w:w="20" w:type="dxa"/>
              <w:bottom w:w="20" w:type="dxa"/>
            </w:tcMar>
            <w:vAlign w:val="center"/>
          </w:tcPr>
          <w:p w:rsidR="00BD3B5F" w:rsidRPr="005C3B55" w:rsidRDefault="00BD3B5F">
            <w:pPr>
              <w:rPr>
                <w:szCs w:val="24"/>
              </w:rPr>
            </w:pPr>
            <w:r w:rsidRPr="005C3B55">
              <w:rPr>
                <w:b/>
                <w:noProof/>
                <w:szCs w:val="24"/>
              </w:rPr>
              <w:t>Applicable</w:t>
            </w:r>
          </w:p>
        </w:tc>
        <w:tc>
          <w:tcPr>
            <w:tcW w:w="994" w:type="pct"/>
            <w:shd w:val="clear" w:color="auto" w:fill="C0C0C0"/>
            <w:tcMar>
              <w:top w:w="20" w:type="dxa"/>
              <w:bottom w:w="20" w:type="dxa"/>
            </w:tcMar>
            <w:vAlign w:val="center"/>
          </w:tcPr>
          <w:p w:rsidR="00BD3B5F" w:rsidRPr="005C3B55" w:rsidRDefault="00BD3B5F">
            <w:pPr>
              <w:jc w:val="left"/>
              <w:rPr>
                <w:szCs w:val="24"/>
              </w:rPr>
            </w:pPr>
            <w:r w:rsidRPr="005C3B55">
              <w:rPr>
                <w:b/>
                <w:szCs w:val="24"/>
              </w:rPr>
              <w:t xml:space="preserve">Indicator and measurement unit if applicable </w:t>
            </w:r>
          </w:p>
        </w:tc>
        <w:tc>
          <w:tcPr>
            <w:tcW w:w="796" w:type="pct"/>
            <w:shd w:val="clear" w:color="auto" w:fill="C0C0C0"/>
            <w:tcMar>
              <w:top w:w="20" w:type="dxa"/>
              <w:bottom w:w="20" w:type="dxa"/>
            </w:tcMar>
            <w:vAlign w:val="center"/>
          </w:tcPr>
          <w:p w:rsidR="00BD3B5F" w:rsidRPr="005C3B55" w:rsidRDefault="00BD3B5F">
            <w:pPr>
              <w:jc w:val="left"/>
              <w:rPr>
                <w:szCs w:val="24"/>
              </w:rPr>
            </w:pPr>
            <w:r w:rsidRPr="005C3B55">
              <w:rPr>
                <w:b/>
                <w:szCs w:val="24"/>
              </w:rPr>
              <w:t>Target for 2023 (a)</w:t>
            </w:r>
          </w:p>
        </w:tc>
        <w:tc>
          <w:tcPr>
            <w:tcW w:w="745" w:type="pct"/>
            <w:shd w:val="clear" w:color="auto" w:fill="C0C0C0"/>
            <w:tcMar>
              <w:top w:w="20" w:type="dxa"/>
              <w:bottom w:w="20" w:type="dxa"/>
            </w:tcMar>
            <w:vAlign w:val="center"/>
          </w:tcPr>
          <w:p w:rsidR="00BD3B5F" w:rsidRPr="005C3B55" w:rsidRDefault="00BD3B5F">
            <w:pPr>
              <w:jc w:val="left"/>
              <w:rPr>
                <w:szCs w:val="24"/>
              </w:rPr>
            </w:pPr>
            <w:r w:rsidRPr="005C3B55">
              <w:rPr>
                <w:b/>
                <w:szCs w:val="24"/>
              </w:rPr>
              <w:t>Additional funds for adjustment (b)</w:t>
            </w:r>
          </w:p>
        </w:tc>
        <w:tc>
          <w:tcPr>
            <w:tcW w:w="547" w:type="pct"/>
            <w:shd w:val="clear" w:color="auto" w:fill="C0C0C0"/>
            <w:tcMar>
              <w:top w:w="20" w:type="dxa"/>
              <w:bottom w:w="20" w:type="dxa"/>
            </w:tcMar>
            <w:vAlign w:val="center"/>
          </w:tcPr>
          <w:p w:rsidR="00BD3B5F" w:rsidRPr="005C3B55" w:rsidRDefault="00BD3B5F">
            <w:pPr>
              <w:jc w:val="left"/>
              <w:rPr>
                <w:szCs w:val="24"/>
              </w:rPr>
            </w:pPr>
            <w:r w:rsidRPr="005C3B55">
              <w:rPr>
                <w:b/>
                <w:szCs w:val="24"/>
              </w:rPr>
              <w:t>Milestone for 2018 in % (c)</w:t>
            </w:r>
          </w:p>
        </w:tc>
        <w:tc>
          <w:tcPr>
            <w:tcW w:w="438" w:type="pct"/>
            <w:shd w:val="clear" w:color="auto" w:fill="C0C0C0"/>
            <w:tcMar>
              <w:top w:w="20" w:type="dxa"/>
              <w:bottom w:w="20" w:type="dxa"/>
            </w:tcMar>
            <w:vAlign w:val="center"/>
          </w:tcPr>
          <w:p w:rsidR="00BD3B5F" w:rsidRPr="005C3B55" w:rsidRDefault="00BD3B5F">
            <w:pPr>
              <w:jc w:val="left"/>
              <w:rPr>
                <w:szCs w:val="24"/>
              </w:rPr>
            </w:pPr>
            <w:r w:rsidRPr="005C3B55">
              <w:rPr>
                <w:b/>
                <w:szCs w:val="24"/>
              </w:rPr>
              <w:t>Milestone in the absolute value (a-b)*c</w:t>
            </w:r>
          </w:p>
        </w:tc>
      </w:tr>
      <w:tr w:rsidR="00BD3B5F" w:rsidRPr="005C3B55">
        <w:tc>
          <w:tcPr>
            <w:tcW w:w="734" w:type="pct"/>
            <w:shd w:val="clear" w:color="auto" w:fill="FFFFFF"/>
            <w:tcMar>
              <w:top w:w="20" w:type="dxa"/>
              <w:bottom w:w="20" w:type="dxa"/>
            </w:tcMar>
            <w:vAlign w:val="center"/>
          </w:tcPr>
          <w:p w:rsidR="00BD3B5F" w:rsidRPr="005C3B55" w:rsidRDefault="00BD3B5F">
            <w:pPr>
              <w:jc w:val="left"/>
              <w:rPr>
                <w:szCs w:val="24"/>
              </w:rPr>
            </w:pPr>
            <w:r w:rsidRPr="005C3B55">
              <w:rPr>
                <w:noProof/>
                <w:szCs w:val="24"/>
              </w:rPr>
              <w:t>P2:</w:t>
            </w:r>
            <w:r w:rsidRPr="005C3B55">
              <w:rPr>
                <w:szCs w:val="24"/>
              </w:rPr>
              <w:t xml:space="preserve"> Strengthening the viability of farms and competitiveness of all types of farming in all regions, and promoting innovative agricultural technologies and sustainable forest management</w:t>
            </w:r>
          </w:p>
        </w:tc>
        <w:tc>
          <w:tcPr>
            <w:tcW w:w="745" w:type="pct"/>
            <w:shd w:val="clear" w:color="auto" w:fill="FFFFFF"/>
            <w:tcMar>
              <w:top w:w="20" w:type="dxa"/>
              <w:bottom w:w="20" w:type="dxa"/>
            </w:tcMar>
            <w:vAlign w:val="center"/>
          </w:tcPr>
          <w:p w:rsidR="00BD3B5F" w:rsidRPr="005C3B55" w:rsidRDefault="00BD3B5F">
            <w:pPr>
              <w:jc w:val="center"/>
              <w:rPr>
                <w:szCs w:val="24"/>
              </w:rPr>
            </w:pPr>
            <w:r w:rsidRPr="005C3B55">
              <w:rPr>
                <w:szCs w:val="24"/>
              </w:rPr>
              <w:t xml:space="preserve"> </w:t>
            </w:r>
            <w:r w:rsidRPr="005C3B55">
              <w:rPr>
                <w:noProof/>
                <w:szCs w:val="24"/>
              </w:rPr>
              <w:t>X</w:t>
            </w:r>
            <w:r w:rsidRPr="005C3B55">
              <w:rPr>
                <w:szCs w:val="24"/>
              </w:rPr>
              <w:t xml:space="preserve"> </w:t>
            </w:r>
          </w:p>
        </w:tc>
        <w:tc>
          <w:tcPr>
            <w:tcW w:w="994" w:type="pct"/>
            <w:shd w:val="clear" w:color="auto" w:fill="FFFFFF"/>
            <w:tcMar>
              <w:top w:w="20" w:type="dxa"/>
              <w:bottom w:w="20" w:type="dxa"/>
            </w:tcMar>
            <w:vAlign w:val="center"/>
          </w:tcPr>
          <w:p w:rsidR="00BD3B5F" w:rsidRPr="005C3B55" w:rsidRDefault="00BD3B5F">
            <w:pPr>
              <w:jc w:val="left"/>
              <w:rPr>
                <w:szCs w:val="24"/>
              </w:rPr>
            </w:pPr>
            <w:r w:rsidRPr="005C3B55">
              <w:rPr>
                <w:szCs w:val="24"/>
              </w:rPr>
              <w:t xml:space="preserve">Number of agricultural holdings with the RDP programme support for investment in restructuring or modernisation (2A) </w:t>
            </w:r>
          </w:p>
        </w:tc>
        <w:tc>
          <w:tcPr>
            <w:tcW w:w="796" w:type="pct"/>
            <w:shd w:val="clear" w:color="auto" w:fill="FFFFFF"/>
            <w:tcMar>
              <w:top w:w="20" w:type="dxa"/>
              <w:bottom w:w="20" w:type="dxa"/>
            </w:tcMar>
            <w:vAlign w:val="center"/>
          </w:tcPr>
          <w:p w:rsidR="00BD3B5F" w:rsidRPr="005C3B55" w:rsidRDefault="00BD3B5F">
            <w:pPr>
              <w:jc w:val="right"/>
              <w:rPr>
                <w:szCs w:val="24"/>
              </w:rPr>
            </w:pPr>
            <w:r w:rsidRPr="005C3B55">
              <w:rPr>
                <w:szCs w:val="24"/>
              </w:rPr>
              <w:t>2,491.00</w:t>
            </w:r>
          </w:p>
        </w:tc>
        <w:tc>
          <w:tcPr>
            <w:tcW w:w="745" w:type="pct"/>
            <w:shd w:val="clear" w:color="auto" w:fill="FFFFFF"/>
            <w:tcMar>
              <w:top w:w="20" w:type="dxa"/>
              <w:bottom w:w="20" w:type="dxa"/>
            </w:tcMar>
            <w:vAlign w:val="center"/>
          </w:tcPr>
          <w:p w:rsidR="00BD3B5F" w:rsidRPr="005C3B55" w:rsidRDefault="00BD3B5F">
            <w:pPr>
              <w:jc w:val="right"/>
              <w:rPr>
                <w:szCs w:val="24"/>
              </w:rPr>
            </w:pPr>
          </w:p>
        </w:tc>
        <w:tc>
          <w:tcPr>
            <w:tcW w:w="547" w:type="pct"/>
            <w:shd w:val="clear" w:color="auto" w:fill="FFFFFF"/>
            <w:tcMar>
              <w:top w:w="20" w:type="dxa"/>
              <w:bottom w:w="20" w:type="dxa"/>
            </w:tcMar>
            <w:vAlign w:val="center"/>
          </w:tcPr>
          <w:p w:rsidR="00BD3B5F" w:rsidRPr="005C3B55" w:rsidRDefault="00BD3B5F">
            <w:pPr>
              <w:jc w:val="right"/>
              <w:rPr>
                <w:szCs w:val="24"/>
              </w:rPr>
            </w:pPr>
            <w:r w:rsidRPr="005C3B55">
              <w:rPr>
                <w:szCs w:val="24"/>
              </w:rPr>
              <w:t>20%</w:t>
            </w:r>
          </w:p>
        </w:tc>
        <w:tc>
          <w:tcPr>
            <w:tcW w:w="438" w:type="pct"/>
            <w:shd w:val="clear" w:color="auto" w:fill="FFFFFF"/>
            <w:tcMar>
              <w:top w:w="20" w:type="dxa"/>
              <w:bottom w:w="20" w:type="dxa"/>
            </w:tcMar>
            <w:vAlign w:val="center"/>
          </w:tcPr>
          <w:p w:rsidR="00BD3B5F" w:rsidRPr="005C3B55" w:rsidRDefault="00BD3B5F">
            <w:pPr>
              <w:jc w:val="right"/>
              <w:rPr>
                <w:szCs w:val="24"/>
              </w:rPr>
            </w:pPr>
            <w:r w:rsidRPr="005C3B55">
              <w:rPr>
                <w:szCs w:val="24"/>
              </w:rPr>
              <w:t>498.20</w:t>
            </w:r>
          </w:p>
        </w:tc>
      </w:tr>
      <w:tr w:rsidR="00BD3B5F" w:rsidRPr="005C3B55">
        <w:tc>
          <w:tcPr>
            <w:tcW w:w="734" w:type="pct"/>
            <w:shd w:val="clear" w:color="auto" w:fill="FFFFFF"/>
            <w:tcMar>
              <w:top w:w="20" w:type="dxa"/>
              <w:bottom w:w="20" w:type="dxa"/>
            </w:tcMar>
            <w:vAlign w:val="center"/>
          </w:tcPr>
          <w:p w:rsidR="00BD3B5F" w:rsidRPr="005C3B55" w:rsidRDefault="00BD3B5F">
            <w:pPr>
              <w:jc w:val="left"/>
              <w:rPr>
                <w:szCs w:val="24"/>
              </w:rPr>
            </w:pPr>
            <w:r w:rsidRPr="005C3B55">
              <w:rPr>
                <w:noProof/>
                <w:szCs w:val="24"/>
              </w:rPr>
              <w:t>P3:</w:t>
            </w:r>
            <w:r w:rsidRPr="005C3B55">
              <w:rPr>
                <w:szCs w:val="24"/>
              </w:rPr>
              <w:t xml:space="preserve"> Encouraging organisation of the food supply chain, including processing and marketing of agricultural products, animal welfare and risk management in agriculture</w:t>
            </w:r>
          </w:p>
        </w:tc>
        <w:tc>
          <w:tcPr>
            <w:tcW w:w="745" w:type="pct"/>
            <w:shd w:val="clear" w:color="auto" w:fill="FFFFFF"/>
            <w:tcMar>
              <w:top w:w="20" w:type="dxa"/>
              <w:bottom w:w="20" w:type="dxa"/>
            </w:tcMar>
            <w:vAlign w:val="center"/>
          </w:tcPr>
          <w:p w:rsidR="00BD3B5F" w:rsidRPr="005C3B55" w:rsidRDefault="00BD3B5F">
            <w:pPr>
              <w:jc w:val="center"/>
              <w:rPr>
                <w:szCs w:val="24"/>
              </w:rPr>
            </w:pPr>
            <w:r w:rsidRPr="005C3B55">
              <w:rPr>
                <w:szCs w:val="24"/>
              </w:rPr>
              <w:t xml:space="preserve"> </w:t>
            </w:r>
            <w:r w:rsidRPr="005C3B55">
              <w:rPr>
                <w:noProof/>
                <w:szCs w:val="24"/>
              </w:rPr>
              <w:t>X</w:t>
            </w:r>
            <w:r w:rsidRPr="005C3B55">
              <w:rPr>
                <w:szCs w:val="24"/>
              </w:rPr>
              <w:t xml:space="preserve"> </w:t>
            </w:r>
          </w:p>
        </w:tc>
        <w:tc>
          <w:tcPr>
            <w:tcW w:w="994" w:type="pct"/>
            <w:shd w:val="clear" w:color="auto" w:fill="FFFFFF"/>
            <w:tcMar>
              <w:top w:w="20" w:type="dxa"/>
              <w:bottom w:w="20" w:type="dxa"/>
            </w:tcMar>
            <w:vAlign w:val="center"/>
          </w:tcPr>
          <w:p w:rsidR="00BD3B5F" w:rsidRPr="005C3B55" w:rsidRDefault="00BD3B5F">
            <w:pPr>
              <w:jc w:val="left"/>
              <w:rPr>
                <w:szCs w:val="24"/>
              </w:rPr>
            </w:pPr>
            <w:r w:rsidRPr="005C3B55">
              <w:rPr>
                <w:szCs w:val="24"/>
              </w:rPr>
              <w:t>Number of operations supported for processing, marketing and/or developing of agricultural products (3A)</w:t>
            </w:r>
          </w:p>
        </w:tc>
        <w:tc>
          <w:tcPr>
            <w:tcW w:w="796" w:type="pct"/>
            <w:shd w:val="clear" w:color="auto" w:fill="FFFFFF"/>
            <w:tcMar>
              <w:top w:w="20" w:type="dxa"/>
              <w:bottom w:w="20" w:type="dxa"/>
            </w:tcMar>
            <w:vAlign w:val="center"/>
          </w:tcPr>
          <w:p w:rsidR="00BD3B5F" w:rsidRPr="005C3B55" w:rsidRDefault="00BD3B5F">
            <w:pPr>
              <w:jc w:val="right"/>
              <w:rPr>
                <w:szCs w:val="24"/>
              </w:rPr>
            </w:pPr>
            <w:r w:rsidRPr="005C3B55">
              <w:rPr>
                <w:szCs w:val="24"/>
              </w:rPr>
              <w:t>330.00</w:t>
            </w:r>
          </w:p>
        </w:tc>
        <w:tc>
          <w:tcPr>
            <w:tcW w:w="745" w:type="pct"/>
            <w:shd w:val="clear" w:color="auto" w:fill="FFFFFF"/>
            <w:tcMar>
              <w:top w:w="20" w:type="dxa"/>
              <w:bottom w:w="20" w:type="dxa"/>
            </w:tcMar>
            <w:vAlign w:val="center"/>
          </w:tcPr>
          <w:p w:rsidR="00BD3B5F" w:rsidRPr="005C3B55" w:rsidRDefault="00BD3B5F">
            <w:pPr>
              <w:jc w:val="right"/>
              <w:rPr>
                <w:szCs w:val="24"/>
              </w:rPr>
            </w:pPr>
          </w:p>
        </w:tc>
        <w:tc>
          <w:tcPr>
            <w:tcW w:w="547" w:type="pct"/>
            <w:shd w:val="clear" w:color="auto" w:fill="FFFFFF"/>
            <w:tcMar>
              <w:top w:w="20" w:type="dxa"/>
              <w:bottom w:w="20" w:type="dxa"/>
            </w:tcMar>
            <w:vAlign w:val="center"/>
          </w:tcPr>
          <w:p w:rsidR="00BD3B5F" w:rsidRPr="005C3B55" w:rsidRDefault="00BD3B5F">
            <w:pPr>
              <w:jc w:val="right"/>
              <w:rPr>
                <w:szCs w:val="24"/>
              </w:rPr>
            </w:pPr>
            <w:r w:rsidRPr="005C3B55">
              <w:rPr>
                <w:szCs w:val="24"/>
              </w:rPr>
              <w:t>20%</w:t>
            </w:r>
          </w:p>
        </w:tc>
        <w:tc>
          <w:tcPr>
            <w:tcW w:w="438" w:type="pct"/>
            <w:shd w:val="clear" w:color="auto" w:fill="FFFFFF"/>
            <w:tcMar>
              <w:top w:w="20" w:type="dxa"/>
              <w:bottom w:w="20" w:type="dxa"/>
            </w:tcMar>
            <w:vAlign w:val="center"/>
          </w:tcPr>
          <w:p w:rsidR="00BD3B5F" w:rsidRPr="005C3B55" w:rsidRDefault="00BD3B5F">
            <w:pPr>
              <w:jc w:val="right"/>
              <w:rPr>
                <w:szCs w:val="24"/>
              </w:rPr>
            </w:pPr>
            <w:r w:rsidRPr="005C3B55">
              <w:rPr>
                <w:szCs w:val="24"/>
              </w:rPr>
              <w:t>66.00</w:t>
            </w:r>
          </w:p>
        </w:tc>
      </w:tr>
      <w:tr w:rsidR="00BD3B5F" w:rsidRPr="005C3B55">
        <w:tc>
          <w:tcPr>
            <w:tcW w:w="734" w:type="pct"/>
            <w:vMerge w:val="restart"/>
            <w:shd w:val="clear" w:color="auto" w:fill="FFFFFF"/>
            <w:tcMar>
              <w:top w:w="20" w:type="dxa"/>
              <w:bottom w:w="20" w:type="dxa"/>
            </w:tcMar>
            <w:vAlign w:val="center"/>
          </w:tcPr>
          <w:p w:rsidR="00BD3B5F" w:rsidRPr="005C3B55" w:rsidRDefault="00BD3B5F">
            <w:pPr>
              <w:jc w:val="left"/>
              <w:rPr>
                <w:szCs w:val="24"/>
              </w:rPr>
            </w:pPr>
            <w:r w:rsidRPr="005C3B55">
              <w:rPr>
                <w:noProof/>
                <w:szCs w:val="24"/>
              </w:rPr>
              <w:t>P4:</w:t>
            </w:r>
            <w:r w:rsidRPr="005C3B55">
              <w:rPr>
                <w:szCs w:val="24"/>
              </w:rPr>
              <w:t xml:space="preserve"> Restoration, preservation and improvement of ecosystems related to agriculture and forestry</w:t>
            </w:r>
          </w:p>
        </w:tc>
        <w:tc>
          <w:tcPr>
            <w:tcW w:w="745" w:type="pct"/>
            <w:shd w:val="clear" w:color="auto" w:fill="FFFFFF"/>
            <w:tcMar>
              <w:top w:w="20" w:type="dxa"/>
              <w:bottom w:w="20" w:type="dxa"/>
            </w:tcMar>
            <w:vAlign w:val="center"/>
          </w:tcPr>
          <w:p w:rsidR="00BD3B5F" w:rsidRPr="005C3B55" w:rsidRDefault="00BD3B5F">
            <w:pPr>
              <w:jc w:val="center"/>
              <w:rPr>
                <w:szCs w:val="24"/>
              </w:rPr>
            </w:pPr>
            <w:r w:rsidRPr="005C3B55">
              <w:rPr>
                <w:szCs w:val="24"/>
              </w:rPr>
              <w:t xml:space="preserve"> </w:t>
            </w:r>
            <w:r w:rsidRPr="005C3B55">
              <w:rPr>
                <w:noProof/>
                <w:szCs w:val="24"/>
              </w:rPr>
              <w:t>X</w:t>
            </w:r>
            <w:r w:rsidRPr="005C3B55">
              <w:rPr>
                <w:szCs w:val="24"/>
              </w:rPr>
              <w:t xml:space="preserve"> </w:t>
            </w:r>
          </w:p>
        </w:tc>
        <w:tc>
          <w:tcPr>
            <w:tcW w:w="994" w:type="pct"/>
            <w:shd w:val="clear" w:color="auto" w:fill="FFFFFF"/>
            <w:tcMar>
              <w:top w:w="20" w:type="dxa"/>
              <w:bottom w:w="20" w:type="dxa"/>
            </w:tcMar>
            <w:vAlign w:val="center"/>
          </w:tcPr>
          <w:p w:rsidR="00BD3B5F" w:rsidRPr="005C3B55" w:rsidRDefault="00BD3B5F">
            <w:pPr>
              <w:jc w:val="left"/>
              <w:rPr>
                <w:szCs w:val="24"/>
              </w:rPr>
            </w:pPr>
            <w:r w:rsidRPr="005C3B55">
              <w:rPr>
                <w:szCs w:val="24"/>
              </w:rPr>
              <w:t>Agricultural areas supported under measure M11 (ha) (4ABC)</w:t>
            </w:r>
          </w:p>
        </w:tc>
        <w:tc>
          <w:tcPr>
            <w:tcW w:w="796" w:type="pct"/>
            <w:shd w:val="clear" w:color="auto" w:fill="FFFFFF"/>
            <w:tcMar>
              <w:top w:w="20" w:type="dxa"/>
              <w:bottom w:w="20" w:type="dxa"/>
            </w:tcMar>
            <w:vAlign w:val="center"/>
          </w:tcPr>
          <w:p w:rsidR="00BD3B5F" w:rsidRPr="005C3B55" w:rsidRDefault="00BD3B5F">
            <w:pPr>
              <w:jc w:val="right"/>
              <w:rPr>
                <w:szCs w:val="24"/>
              </w:rPr>
            </w:pPr>
            <w:r w:rsidRPr="005C3B55">
              <w:rPr>
                <w:szCs w:val="24"/>
              </w:rPr>
              <w:t>55,000.00</w:t>
            </w:r>
          </w:p>
        </w:tc>
        <w:tc>
          <w:tcPr>
            <w:tcW w:w="745" w:type="pct"/>
            <w:shd w:val="clear" w:color="auto" w:fill="FFFFFF"/>
            <w:tcMar>
              <w:top w:w="20" w:type="dxa"/>
              <w:bottom w:w="20" w:type="dxa"/>
            </w:tcMar>
            <w:vAlign w:val="center"/>
          </w:tcPr>
          <w:p w:rsidR="00BD3B5F" w:rsidRPr="005C3B55" w:rsidRDefault="00BD3B5F">
            <w:pPr>
              <w:jc w:val="right"/>
              <w:rPr>
                <w:szCs w:val="24"/>
              </w:rPr>
            </w:pPr>
          </w:p>
        </w:tc>
        <w:tc>
          <w:tcPr>
            <w:tcW w:w="547" w:type="pct"/>
            <w:shd w:val="clear" w:color="auto" w:fill="FFFFFF"/>
            <w:tcMar>
              <w:top w:w="20" w:type="dxa"/>
              <w:bottom w:w="20" w:type="dxa"/>
            </w:tcMar>
            <w:vAlign w:val="center"/>
          </w:tcPr>
          <w:p w:rsidR="00BD3B5F" w:rsidRPr="005C3B55" w:rsidRDefault="00BD3B5F">
            <w:pPr>
              <w:jc w:val="right"/>
              <w:rPr>
                <w:szCs w:val="24"/>
              </w:rPr>
            </w:pPr>
            <w:r w:rsidRPr="005C3B55">
              <w:rPr>
                <w:szCs w:val="24"/>
              </w:rPr>
              <w:t>75%</w:t>
            </w:r>
          </w:p>
        </w:tc>
        <w:tc>
          <w:tcPr>
            <w:tcW w:w="438" w:type="pct"/>
            <w:shd w:val="clear" w:color="auto" w:fill="FFFFFF"/>
            <w:tcMar>
              <w:top w:w="20" w:type="dxa"/>
              <w:bottom w:w="20" w:type="dxa"/>
            </w:tcMar>
            <w:vAlign w:val="center"/>
          </w:tcPr>
          <w:p w:rsidR="00BD3B5F" w:rsidRPr="005C3B55" w:rsidRDefault="00BD3B5F">
            <w:pPr>
              <w:jc w:val="right"/>
              <w:rPr>
                <w:szCs w:val="24"/>
              </w:rPr>
            </w:pPr>
            <w:r w:rsidRPr="005C3B55">
              <w:rPr>
                <w:szCs w:val="24"/>
              </w:rPr>
              <w:t>41,250.00</w:t>
            </w:r>
          </w:p>
        </w:tc>
      </w:tr>
      <w:tr w:rsidR="00BD3B5F" w:rsidRPr="005C3B55">
        <w:tc>
          <w:tcPr>
            <w:tcW w:w="734" w:type="pct"/>
            <w:vMerge/>
            <w:shd w:val="clear" w:color="auto" w:fill="FFFFFF"/>
            <w:tcMar>
              <w:top w:w="20" w:type="dxa"/>
              <w:bottom w:w="20" w:type="dxa"/>
            </w:tcMar>
            <w:vAlign w:val="center"/>
          </w:tcPr>
          <w:p w:rsidR="00BD3B5F" w:rsidRPr="005C3B55" w:rsidRDefault="00BD3B5F">
            <w:pPr>
              <w:jc w:val="left"/>
              <w:rPr>
                <w:szCs w:val="24"/>
              </w:rPr>
            </w:pPr>
          </w:p>
        </w:tc>
        <w:tc>
          <w:tcPr>
            <w:tcW w:w="745" w:type="pct"/>
            <w:shd w:val="clear" w:color="auto" w:fill="FFFFFF"/>
            <w:tcMar>
              <w:top w:w="20" w:type="dxa"/>
              <w:bottom w:w="20" w:type="dxa"/>
            </w:tcMar>
            <w:vAlign w:val="center"/>
          </w:tcPr>
          <w:p w:rsidR="00BD3B5F" w:rsidRPr="005C3B55" w:rsidRDefault="00BD3B5F">
            <w:pPr>
              <w:jc w:val="center"/>
              <w:rPr>
                <w:szCs w:val="24"/>
              </w:rPr>
            </w:pPr>
            <w:r w:rsidRPr="005C3B55">
              <w:rPr>
                <w:szCs w:val="24"/>
              </w:rPr>
              <w:t xml:space="preserve"> </w:t>
            </w:r>
            <w:r w:rsidRPr="005C3B55">
              <w:rPr>
                <w:noProof/>
                <w:szCs w:val="24"/>
              </w:rPr>
              <w:t>X</w:t>
            </w:r>
            <w:r w:rsidRPr="005C3B55">
              <w:rPr>
                <w:szCs w:val="24"/>
              </w:rPr>
              <w:t xml:space="preserve"> </w:t>
            </w:r>
          </w:p>
        </w:tc>
        <w:tc>
          <w:tcPr>
            <w:tcW w:w="994" w:type="pct"/>
            <w:shd w:val="clear" w:color="auto" w:fill="FFFFFF"/>
            <w:tcMar>
              <w:top w:w="20" w:type="dxa"/>
              <w:bottom w:w="20" w:type="dxa"/>
            </w:tcMar>
            <w:vAlign w:val="center"/>
          </w:tcPr>
          <w:p w:rsidR="00BD3B5F" w:rsidRPr="005C3B55" w:rsidRDefault="00BD3B5F">
            <w:pPr>
              <w:jc w:val="left"/>
              <w:rPr>
                <w:szCs w:val="24"/>
              </w:rPr>
            </w:pPr>
            <w:r w:rsidRPr="005C3B55">
              <w:rPr>
                <w:szCs w:val="24"/>
              </w:rPr>
              <w:t>Agricultural areas supported under measure M13 (ha) (4ABC)</w:t>
            </w:r>
          </w:p>
        </w:tc>
        <w:tc>
          <w:tcPr>
            <w:tcW w:w="796" w:type="pct"/>
            <w:shd w:val="clear" w:color="auto" w:fill="FFFFFF"/>
            <w:tcMar>
              <w:top w:w="20" w:type="dxa"/>
              <w:bottom w:w="20" w:type="dxa"/>
            </w:tcMar>
            <w:vAlign w:val="center"/>
          </w:tcPr>
          <w:p w:rsidR="00BD3B5F" w:rsidRPr="005C3B55" w:rsidRDefault="00BD3B5F">
            <w:pPr>
              <w:jc w:val="right"/>
              <w:rPr>
                <w:szCs w:val="24"/>
              </w:rPr>
            </w:pPr>
            <w:r w:rsidRPr="005C3B55">
              <w:rPr>
                <w:szCs w:val="24"/>
              </w:rPr>
              <w:t>329,800.00</w:t>
            </w:r>
          </w:p>
        </w:tc>
        <w:tc>
          <w:tcPr>
            <w:tcW w:w="745" w:type="pct"/>
            <w:shd w:val="clear" w:color="auto" w:fill="FFFFFF"/>
            <w:tcMar>
              <w:top w:w="20" w:type="dxa"/>
              <w:bottom w:w="20" w:type="dxa"/>
            </w:tcMar>
            <w:vAlign w:val="center"/>
          </w:tcPr>
          <w:p w:rsidR="00BD3B5F" w:rsidRPr="005C3B55" w:rsidRDefault="00BD3B5F">
            <w:pPr>
              <w:jc w:val="right"/>
              <w:rPr>
                <w:szCs w:val="24"/>
              </w:rPr>
            </w:pPr>
          </w:p>
        </w:tc>
        <w:tc>
          <w:tcPr>
            <w:tcW w:w="547" w:type="pct"/>
            <w:shd w:val="clear" w:color="auto" w:fill="FFFFFF"/>
            <w:tcMar>
              <w:top w:w="20" w:type="dxa"/>
              <w:bottom w:w="20" w:type="dxa"/>
            </w:tcMar>
            <w:vAlign w:val="center"/>
          </w:tcPr>
          <w:p w:rsidR="00BD3B5F" w:rsidRPr="005C3B55" w:rsidRDefault="00BD3B5F">
            <w:pPr>
              <w:jc w:val="right"/>
              <w:rPr>
                <w:szCs w:val="24"/>
              </w:rPr>
            </w:pPr>
            <w:r w:rsidRPr="005C3B55">
              <w:rPr>
                <w:szCs w:val="24"/>
              </w:rPr>
              <w:t>100%</w:t>
            </w:r>
          </w:p>
        </w:tc>
        <w:tc>
          <w:tcPr>
            <w:tcW w:w="438" w:type="pct"/>
            <w:shd w:val="clear" w:color="auto" w:fill="FFFFFF"/>
            <w:tcMar>
              <w:top w:w="20" w:type="dxa"/>
              <w:bottom w:w="20" w:type="dxa"/>
            </w:tcMar>
            <w:vAlign w:val="center"/>
          </w:tcPr>
          <w:p w:rsidR="00BD3B5F" w:rsidRPr="005C3B55" w:rsidRDefault="00BD3B5F">
            <w:pPr>
              <w:jc w:val="right"/>
              <w:rPr>
                <w:szCs w:val="24"/>
              </w:rPr>
            </w:pPr>
            <w:r w:rsidRPr="005C3B55">
              <w:rPr>
                <w:szCs w:val="24"/>
              </w:rPr>
              <w:t>329,800.00</w:t>
            </w:r>
          </w:p>
        </w:tc>
      </w:tr>
      <w:tr w:rsidR="00BD3B5F" w:rsidRPr="005C3B55">
        <w:tc>
          <w:tcPr>
            <w:tcW w:w="734" w:type="pct"/>
            <w:shd w:val="clear" w:color="auto" w:fill="FFFFFF"/>
            <w:tcMar>
              <w:top w:w="20" w:type="dxa"/>
              <w:bottom w:w="20" w:type="dxa"/>
            </w:tcMar>
            <w:vAlign w:val="center"/>
          </w:tcPr>
          <w:p w:rsidR="00BD3B5F" w:rsidRPr="005C3B55" w:rsidRDefault="00BD3B5F">
            <w:pPr>
              <w:jc w:val="left"/>
              <w:rPr>
                <w:szCs w:val="24"/>
              </w:rPr>
            </w:pPr>
            <w:r w:rsidRPr="005C3B55">
              <w:rPr>
                <w:noProof/>
                <w:szCs w:val="24"/>
              </w:rPr>
              <w:t>P6:</w:t>
            </w:r>
            <w:r w:rsidRPr="005C3B55">
              <w:rPr>
                <w:szCs w:val="24"/>
              </w:rPr>
              <w:t xml:space="preserve"> Promotion of social inclusion, reduction of poverty and economic development of rural areas</w:t>
            </w:r>
          </w:p>
        </w:tc>
        <w:tc>
          <w:tcPr>
            <w:tcW w:w="745" w:type="pct"/>
            <w:shd w:val="clear" w:color="auto" w:fill="FFFFFF"/>
            <w:tcMar>
              <w:top w:w="20" w:type="dxa"/>
              <w:bottom w:w="20" w:type="dxa"/>
            </w:tcMar>
            <w:vAlign w:val="center"/>
          </w:tcPr>
          <w:p w:rsidR="00BD3B5F" w:rsidRPr="005C3B55" w:rsidRDefault="00BD3B5F">
            <w:pPr>
              <w:jc w:val="center"/>
              <w:rPr>
                <w:szCs w:val="24"/>
              </w:rPr>
            </w:pPr>
            <w:r w:rsidRPr="005C3B55">
              <w:rPr>
                <w:szCs w:val="24"/>
              </w:rPr>
              <w:t xml:space="preserve"> </w:t>
            </w:r>
            <w:r w:rsidRPr="005C3B55">
              <w:rPr>
                <w:noProof/>
                <w:szCs w:val="24"/>
              </w:rPr>
              <w:t>X</w:t>
            </w:r>
            <w:r w:rsidRPr="005C3B55">
              <w:rPr>
                <w:szCs w:val="24"/>
              </w:rPr>
              <w:t xml:space="preserve"> </w:t>
            </w:r>
          </w:p>
        </w:tc>
        <w:tc>
          <w:tcPr>
            <w:tcW w:w="994" w:type="pct"/>
            <w:shd w:val="clear" w:color="auto" w:fill="FFFFFF"/>
            <w:tcMar>
              <w:top w:w="20" w:type="dxa"/>
              <w:bottom w:w="20" w:type="dxa"/>
            </w:tcMar>
            <w:vAlign w:val="center"/>
          </w:tcPr>
          <w:p w:rsidR="00BD3B5F" w:rsidRPr="005C3B55" w:rsidRDefault="00BD3B5F">
            <w:pPr>
              <w:jc w:val="left"/>
              <w:rPr>
                <w:szCs w:val="24"/>
              </w:rPr>
            </w:pPr>
            <w:r w:rsidRPr="005C3B55">
              <w:rPr>
                <w:szCs w:val="24"/>
              </w:rPr>
              <w:t>Number of operations supported within investments in forestry technologies, and in processing, mobilising and marketing of forestry products (6A)</w:t>
            </w:r>
          </w:p>
        </w:tc>
        <w:tc>
          <w:tcPr>
            <w:tcW w:w="796" w:type="pct"/>
            <w:shd w:val="clear" w:color="auto" w:fill="FFFFFF"/>
            <w:tcMar>
              <w:top w:w="20" w:type="dxa"/>
              <w:bottom w:w="20" w:type="dxa"/>
            </w:tcMar>
            <w:vAlign w:val="center"/>
          </w:tcPr>
          <w:p w:rsidR="00BD3B5F" w:rsidRPr="005C3B55" w:rsidRDefault="00BD3B5F">
            <w:pPr>
              <w:jc w:val="right"/>
              <w:rPr>
                <w:szCs w:val="24"/>
              </w:rPr>
            </w:pPr>
            <w:r w:rsidRPr="005C3B55">
              <w:rPr>
                <w:szCs w:val="24"/>
              </w:rPr>
              <w:t>228.00</w:t>
            </w:r>
          </w:p>
        </w:tc>
        <w:tc>
          <w:tcPr>
            <w:tcW w:w="745" w:type="pct"/>
            <w:shd w:val="clear" w:color="auto" w:fill="FFFFFF"/>
            <w:tcMar>
              <w:top w:w="20" w:type="dxa"/>
              <w:bottom w:w="20" w:type="dxa"/>
            </w:tcMar>
            <w:vAlign w:val="center"/>
          </w:tcPr>
          <w:p w:rsidR="00BD3B5F" w:rsidRPr="005C3B55" w:rsidRDefault="00BD3B5F">
            <w:pPr>
              <w:jc w:val="right"/>
              <w:rPr>
                <w:szCs w:val="24"/>
              </w:rPr>
            </w:pPr>
          </w:p>
        </w:tc>
        <w:tc>
          <w:tcPr>
            <w:tcW w:w="547" w:type="pct"/>
            <w:shd w:val="clear" w:color="auto" w:fill="FFFFFF"/>
            <w:tcMar>
              <w:top w:w="20" w:type="dxa"/>
              <w:bottom w:w="20" w:type="dxa"/>
            </w:tcMar>
            <w:vAlign w:val="center"/>
          </w:tcPr>
          <w:p w:rsidR="00BD3B5F" w:rsidRPr="005C3B55" w:rsidRDefault="00BD3B5F">
            <w:pPr>
              <w:jc w:val="right"/>
              <w:rPr>
                <w:szCs w:val="24"/>
              </w:rPr>
            </w:pPr>
            <w:r w:rsidRPr="005C3B55">
              <w:rPr>
                <w:szCs w:val="24"/>
              </w:rPr>
              <w:t>35%</w:t>
            </w:r>
          </w:p>
        </w:tc>
        <w:tc>
          <w:tcPr>
            <w:tcW w:w="438" w:type="pct"/>
            <w:shd w:val="clear" w:color="auto" w:fill="FFFFFF"/>
            <w:tcMar>
              <w:top w:w="20" w:type="dxa"/>
              <w:bottom w:w="20" w:type="dxa"/>
            </w:tcMar>
            <w:vAlign w:val="center"/>
          </w:tcPr>
          <w:p w:rsidR="00BD3B5F" w:rsidRPr="005C3B55" w:rsidRDefault="00BD3B5F">
            <w:pPr>
              <w:jc w:val="right"/>
              <w:rPr>
                <w:szCs w:val="24"/>
              </w:rPr>
            </w:pPr>
            <w:r w:rsidRPr="005C3B55">
              <w:rPr>
                <w:szCs w:val="24"/>
              </w:rPr>
              <w:t>79.80</w:t>
            </w:r>
          </w:p>
        </w:tc>
      </w:tr>
    </w:tbl>
    <w:p w:rsidR="00BD3B5F" w:rsidRPr="005C3B55" w:rsidRDefault="00BD3B5F">
      <w:pPr>
        <w:rPr>
          <w:b/>
          <w:szCs w:val="24"/>
        </w:rPr>
      </w:pPr>
    </w:p>
    <w:p w:rsidR="00BD3B5F" w:rsidRPr="005C3B55" w:rsidRDefault="00BD3B5F">
      <w:pPr>
        <w:pStyle w:val="Naslov3"/>
        <w:tabs>
          <w:tab w:val="clear" w:pos="765"/>
        </w:tabs>
        <w:ind w:left="0" w:firstLine="0"/>
        <w:jc w:val="left"/>
        <w:rPr>
          <w:szCs w:val="24"/>
          <w:lang w:val="en-GB"/>
        </w:rPr>
      </w:pPr>
      <w:bookmarkStart w:id="107" w:name="_Toc416192565"/>
      <w:r w:rsidRPr="005C3B55">
        <w:rPr>
          <w:noProof/>
          <w:szCs w:val="24"/>
          <w:lang w:val="en-GB"/>
        </w:rPr>
        <w:t>P2:</w:t>
      </w:r>
      <w:r w:rsidRPr="005C3B55">
        <w:rPr>
          <w:szCs w:val="24"/>
          <w:lang w:val="en-GB"/>
        </w:rPr>
        <w:t xml:space="preserve"> Strengthening the viability of farms and competitiveness of all types of farming in all regions, and promoting innovative agricultural technologies and sustainable forest management</w:t>
      </w:r>
      <w:bookmarkEnd w:id="107"/>
    </w:p>
    <w:p w:rsidR="00BD3B5F" w:rsidRPr="005C3B55" w:rsidRDefault="00BD3B5F">
      <w:pPr>
        <w:pStyle w:val="Naslov4"/>
        <w:tabs>
          <w:tab w:val="clear" w:pos="765"/>
        </w:tabs>
        <w:ind w:left="0" w:firstLine="0"/>
        <w:jc w:val="left"/>
        <w:rPr>
          <w:szCs w:val="24"/>
          <w:lang w:val="en-GB"/>
        </w:rPr>
      </w:pPr>
      <w:r w:rsidRPr="005C3B55">
        <w:rPr>
          <w:szCs w:val="24"/>
          <w:lang w:val="en-GB"/>
        </w:rPr>
        <w:t xml:space="preserve">Number of agricultural holdings with the RDP programme support for investment in restructuring or modernisation (2A) </w:t>
      </w:r>
    </w:p>
    <w:p w:rsidR="00BD3B5F" w:rsidRPr="005C3B55" w:rsidRDefault="00BD3B5F">
      <w:pPr>
        <w:rPr>
          <w:szCs w:val="24"/>
        </w:rPr>
      </w:pPr>
      <w:r w:rsidRPr="005C3B55">
        <w:rPr>
          <w:noProof/>
          <w:szCs w:val="24"/>
        </w:rPr>
        <w:t>Applicable:</w:t>
      </w:r>
      <w:r w:rsidRPr="005C3B55">
        <w:rPr>
          <w:szCs w:val="24"/>
        </w:rPr>
        <w:t xml:space="preserve"> </w:t>
      </w:r>
      <w:r w:rsidRPr="005C3B55">
        <w:rPr>
          <w:noProof/>
          <w:szCs w:val="24"/>
        </w:rPr>
        <w:t>Yes</w:t>
      </w:r>
    </w:p>
    <w:p w:rsidR="00BD3B5F" w:rsidRPr="005C3B55" w:rsidRDefault="00BD3B5F">
      <w:pPr>
        <w:rPr>
          <w:szCs w:val="24"/>
        </w:rPr>
      </w:pPr>
      <w:r w:rsidRPr="005C3B55">
        <w:rPr>
          <w:szCs w:val="24"/>
        </w:rPr>
        <w:t>Target for 2023 (a): 2,491.00</w:t>
      </w:r>
    </w:p>
    <w:p w:rsidR="00BD3B5F" w:rsidRPr="005C3B55" w:rsidRDefault="00BD3B5F">
      <w:pPr>
        <w:rPr>
          <w:szCs w:val="24"/>
        </w:rPr>
      </w:pPr>
      <w:r w:rsidRPr="005C3B55">
        <w:rPr>
          <w:szCs w:val="24"/>
        </w:rPr>
        <w:t xml:space="preserve">Additional funds for adjustment (b): </w:t>
      </w:r>
    </w:p>
    <w:p w:rsidR="00BD3B5F" w:rsidRPr="005C3B55" w:rsidRDefault="00BD3B5F">
      <w:pPr>
        <w:rPr>
          <w:szCs w:val="24"/>
        </w:rPr>
      </w:pPr>
      <w:r w:rsidRPr="005C3B55">
        <w:rPr>
          <w:szCs w:val="24"/>
        </w:rPr>
        <w:t>Milestone for 2018 in % (c): 20%</w:t>
      </w:r>
    </w:p>
    <w:p w:rsidR="00BD3B5F" w:rsidRPr="005C3B55" w:rsidRDefault="00BD3B5F">
      <w:pPr>
        <w:rPr>
          <w:szCs w:val="24"/>
        </w:rPr>
      </w:pPr>
      <w:r w:rsidRPr="005C3B55">
        <w:rPr>
          <w:szCs w:val="24"/>
        </w:rPr>
        <w:t>Milestone in the absolute value (a-b)*c: 498.20</w:t>
      </w:r>
    </w:p>
    <w:p w:rsidR="00BD3B5F" w:rsidRPr="005C3B55" w:rsidRDefault="00BD3B5F">
      <w:pPr>
        <w:rPr>
          <w:szCs w:val="24"/>
        </w:rPr>
      </w:pPr>
      <w:r w:rsidRPr="005C3B55">
        <w:rPr>
          <w:szCs w:val="24"/>
        </w:rPr>
        <w:t>Justification of milestone determination:</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14256"/>
      </w:tblGrid>
      <w:tr w:rsidR="00BD3B5F" w:rsidRPr="005C3B55">
        <w:tc>
          <w:tcPr>
            <w:tcW w:w="5000" w:type="pct"/>
            <w:shd w:val="clear" w:color="auto" w:fill="FFFFFF"/>
            <w:tcMar>
              <w:top w:w="20" w:type="dxa"/>
              <w:bottom w:w="20" w:type="dxa"/>
            </w:tcMar>
            <w:vAlign w:val="center"/>
          </w:tcPr>
          <w:p w:rsidR="00BD3B5F" w:rsidRPr="005C3B55" w:rsidRDefault="00BD3B5F">
            <w:pPr>
              <w:rPr>
                <w:szCs w:val="24"/>
              </w:rPr>
            </w:pPr>
            <w:r w:rsidRPr="005C3B55">
              <w:rPr>
                <w:szCs w:val="24"/>
              </w:rPr>
              <w:t xml:space="preserve">The ‘Number of agricultural holdings with the RDP programme support for investment in restructuring or modernisation (2A)’ indicator is a new indicator of the O.4 ‘Number of supported holdings/beneficiaries’ output. Sub-measure M04.1 is programmed within focus area 2A and represents the bulk of available public funds (EUR 118.6 million) within PN2 or 53 per cent. </w:t>
            </w:r>
          </w:p>
          <w:p w:rsidR="00BD3B5F" w:rsidRPr="005C3B55" w:rsidRDefault="00BD3B5F">
            <w:pPr>
              <w:rPr>
                <w:szCs w:val="24"/>
              </w:rPr>
            </w:pPr>
            <w:r w:rsidRPr="005C3B55">
              <w:rPr>
                <w:szCs w:val="24"/>
              </w:rPr>
              <w:t xml:space="preserve">The target of the ‘Number of agricultural holdings with the RDP programme support for investment in restructuring or modernisation (2A)’ indicator was calculated on the basis of the assessed average amount of funds granted per operation.  The average amount of funds allocated per operation was determined at the level of an investment type within the RDP 2007–2013. </w:t>
            </w:r>
          </w:p>
          <w:p w:rsidR="00BD3B5F" w:rsidRPr="005C3B55" w:rsidRDefault="00BD3B5F">
            <w:pPr>
              <w:rPr>
                <w:szCs w:val="24"/>
              </w:rPr>
            </w:pPr>
            <w:r w:rsidRPr="005C3B55">
              <w:rPr>
                <w:szCs w:val="24"/>
              </w:rPr>
              <w:t xml:space="preserve">Based on experience from the RDP 2007–2013, the value of milestone for 2018 is assessed at 20 per cent.  Within the RDP 2007–2013, 32 per cent of agricultural holdings of the target for measure 121 were supported by the end of 2010. Within measure 121, 46% of all costs granted were allocated for support for machinery by the end of 2010. Within the RDP 2014–2020, only investments in special machinery will be eligible under submeasure M04.1. Considering the fact that this type of investment is a one-off purchase, the investment is completed in a shorter period (compared with new constructions). The anticipated reduction in the number of supports for machinery will also constitute a reduction in the share of investments completed by 2018. Based on experience at the conclusion of the RDP 2007–2013, a disproportionately large share of approved, yet not completed operations can be noticed. </w:t>
            </w:r>
          </w:p>
        </w:tc>
      </w:tr>
    </w:tbl>
    <w:p w:rsidR="00BD3B5F" w:rsidRPr="005C3B55" w:rsidRDefault="00BD3B5F">
      <w:pPr>
        <w:pStyle w:val="Naslov3"/>
        <w:tabs>
          <w:tab w:val="clear" w:pos="765"/>
        </w:tabs>
        <w:ind w:left="0" w:firstLine="0"/>
        <w:jc w:val="left"/>
        <w:rPr>
          <w:szCs w:val="24"/>
          <w:lang w:val="en-GB"/>
        </w:rPr>
      </w:pPr>
      <w:bookmarkStart w:id="108" w:name="_Toc416192566"/>
      <w:r w:rsidRPr="005C3B55">
        <w:rPr>
          <w:noProof/>
          <w:szCs w:val="24"/>
          <w:lang w:val="en-GB"/>
        </w:rPr>
        <w:t>P3:</w:t>
      </w:r>
      <w:r w:rsidRPr="005C3B55">
        <w:rPr>
          <w:szCs w:val="24"/>
          <w:lang w:val="en-GB"/>
        </w:rPr>
        <w:t xml:space="preserve"> Encouraging organisation of the food supply chain, including processing and marketing of agricultural products, animal welfare and risk management in agriculture</w:t>
      </w:r>
      <w:bookmarkEnd w:id="108"/>
    </w:p>
    <w:p w:rsidR="00BD3B5F" w:rsidRPr="005C3B55" w:rsidRDefault="00BD3B5F">
      <w:pPr>
        <w:pStyle w:val="Naslov4"/>
        <w:tabs>
          <w:tab w:val="clear" w:pos="765"/>
        </w:tabs>
        <w:ind w:left="0" w:firstLine="0"/>
        <w:jc w:val="left"/>
        <w:rPr>
          <w:szCs w:val="24"/>
          <w:lang w:val="en-GB"/>
        </w:rPr>
      </w:pPr>
      <w:r w:rsidRPr="005C3B55">
        <w:rPr>
          <w:szCs w:val="24"/>
          <w:lang w:val="en-GB"/>
        </w:rPr>
        <w:t>Number of operations supported for processing, marketing and/or developing of agricultural products (3A)</w:t>
      </w:r>
    </w:p>
    <w:p w:rsidR="00BD3B5F" w:rsidRPr="005C3B55" w:rsidRDefault="00BD3B5F">
      <w:pPr>
        <w:rPr>
          <w:szCs w:val="24"/>
        </w:rPr>
      </w:pPr>
      <w:r w:rsidRPr="005C3B55">
        <w:rPr>
          <w:noProof/>
          <w:szCs w:val="24"/>
        </w:rPr>
        <w:t>Applicable:</w:t>
      </w:r>
      <w:r w:rsidRPr="005C3B55">
        <w:rPr>
          <w:szCs w:val="24"/>
        </w:rPr>
        <w:t xml:space="preserve"> </w:t>
      </w:r>
      <w:r w:rsidRPr="005C3B55">
        <w:rPr>
          <w:noProof/>
          <w:szCs w:val="24"/>
        </w:rPr>
        <w:t>Yes</w:t>
      </w:r>
    </w:p>
    <w:p w:rsidR="00BD3B5F" w:rsidRPr="005C3B55" w:rsidRDefault="00BD3B5F">
      <w:pPr>
        <w:rPr>
          <w:szCs w:val="24"/>
        </w:rPr>
      </w:pPr>
      <w:r w:rsidRPr="005C3B55">
        <w:rPr>
          <w:szCs w:val="24"/>
        </w:rPr>
        <w:t>Target for 2023 (a): 330.00</w:t>
      </w:r>
    </w:p>
    <w:p w:rsidR="00BD3B5F" w:rsidRPr="005C3B55" w:rsidRDefault="00BD3B5F">
      <w:pPr>
        <w:rPr>
          <w:szCs w:val="24"/>
        </w:rPr>
      </w:pPr>
      <w:r w:rsidRPr="005C3B55">
        <w:rPr>
          <w:szCs w:val="24"/>
        </w:rPr>
        <w:t xml:space="preserve">Additional funds for adjustment (b): </w:t>
      </w:r>
    </w:p>
    <w:p w:rsidR="00BD3B5F" w:rsidRPr="005C3B55" w:rsidRDefault="00BD3B5F">
      <w:pPr>
        <w:rPr>
          <w:szCs w:val="24"/>
        </w:rPr>
      </w:pPr>
      <w:r w:rsidRPr="005C3B55">
        <w:rPr>
          <w:szCs w:val="24"/>
        </w:rPr>
        <w:t>Milestone for 2018 in % (c): 20%</w:t>
      </w:r>
    </w:p>
    <w:p w:rsidR="00BD3B5F" w:rsidRPr="005C3B55" w:rsidRDefault="00BD3B5F">
      <w:pPr>
        <w:rPr>
          <w:szCs w:val="24"/>
        </w:rPr>
      </w:pPr>
      <w:r w:rsidRPr="005C3B55">
        <w:rPr>
          <w:szCs w:val="24"/>
        </w:rPr>
        <w:t>Milestone in the absolute value (a-b)*c: 66.00</w:t>
      </w:r>
    </w:p>
    <w:p w:rsidR="00BD3B5F" w:rsidRPr="005C3B55" w:rsidRDefault="00BD3B5F">
      <w:pPr>
        <w:rPr>
          <w:szCs w:val="24"/>
        </w:rPr>
      </w:pPr>
      <w:r w:rsidRPr="005C3B55">
        <w:rPr>
          <w:szCs w:val="24"/>
        </w:rPr>
        <w:t>Justification of milestone determination:</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14256"/>
      </w:tblGrid>
      <w:tr w:rsidR="00BD3B5F" w:rsidRPr="005C3B55">
        <w:tc>
          <w:tcPr>
            <w:tcW w:w="5000" w:type="pct"/>
            <w:shd w:val="clear" w:color="auto" w:fill="FFFFFF"/>
            <w:tcMar>
              <w:top w:w="20" w:type="dxa"/>
              <w:bottom w:w="20" w:type="dxa"/>
            </w:tcMar>
            <w:vAlign w:val="center"/>
          </w:tcPr>
          <w:p w:rsidR="00BD3B5F" w:rsidRPr="005C3B55" w:rsidRDefault="00BD3B5F">
            <w:pPr>
              <w:rPr>
                <w:szCs w:val="24"/>
              </w:rPr>
            </w:pPr>
            <w:r w:rsidRPr="005C3B55">
              <w:rPr>
                <w:szCs w:val="24"/>
              </w:rPr>
              <w:t xml:space="preserve">The ‘Number of operations supported for processing, marketing and/or developing agricultural products (3A)’ indicator is a new indicator of the O.3 ‘Number of operations supported’ output. Sub-measure M04.2 is programmed within focus area 3A and represents the bulk of available public funds (EUR 76.4 million) within PN3 or 75 per cent. </w:t>
            </w:r>
          </w:p>
          <w:p w:rsidR="00BD3B5F" w:rsidRPr="005C3B55" w:rsidRDefault="00BD3B5F">
            <w:pPr>
              <w:rPr>
                <w:szCs w:val="24"/>
              </w:rPr>
            </w:pPr>
            <w:r w:rsidRPr="005C3B55">
              <w:rPr>
                <w:szCs w:val="24"/>
              </w:rPr>
              <w:t xml:space="preserve">The target of the ‘Number of operations supported for processing, marketing and/or developing of agricultural products (3A)’ indicator was calculated on the basis of the assessed amount of funds allocated per application. The maximum justifiable amount of support reduced by the correction factor was taken into account. </w:t>
            </w:r>
          </w:p>
          <w:p w:rsidR="00BD3B5F" w:rsidRPr="005C3B55" w:rsidRDefault="00BD3B5F">
            <w:pPr>
              <w:rPr>
                <w:szCs w:val="24"/>
              </w:rPr>
            </w:pPr>
            <w:r w:rsidRPr="005C3B55">
              <w:rPr>
                <w:szCs w:val="24"/>
              </w:rPr>
              <w:t>Based on experience from the RDP 2007–2013, the value of milestone for 2018 is assessed at 20 per cent. Within the RDP 2007–2013, 27 per cent of operations of the target for measure 123 were completed by the end of 2010. Based on experience at the conclusion of the RDP 2007–2013, a disproportionately large share of approved, yet not completed operations can be noticed.</w:t>
            </w:r>
          </w:p>
        </w:tc>
      </w:tr>
    </w:tbl>
    <w:p w:rsidR="00BD3B5F" w:rsidRPr="005C3B55" w:rsidRDefault="00BD3B5F">
      <w:pPr>
        <w:pStyle w:val="Naslov3"/>
        <w:tabs>
          <w:tab w:val="clear" w:pos="765"/>
        </w:tabs>
        <w:ind w:left="0" w:firstLine="0"/>
        <w:jc w:val="left"/>
        <w:rPr>
          <w:szCs w:val="24"/>
          <w:lang w:val="en-GB"/>
        </w:rPr>
      </w:pPr>
      <w:bookmarkStart w:id="109" w:name="_Toc416192567"/>
      <w:r w:rsidRPr="005C3B55">
        <w:rPr>
          <w:noProof/>
          <w:szCs w:val="24"/>
          <w:lang w:val="en-GB"/>
        </w:rPr>
        <w:t>P4:</w:t>
      </w:r>
      <w:r w:rsidRPr="005C3B55">
        <w:rPr>
          <w:szCs w:val="24"/>
          <w:lang w:val="en-GB"/>
        </w:rPr>
        <w:t xml:space="preserve"> Restoration, preservation and improvement of ecosystems related to agriculture and forestry</w:t>
      </w:r>
      <w:bookmarkEnd w:id="109"/>
    </w:p>
    <w:p w:rsidR="00BD3B5F" w:rsidRPr="005C3B55" w:rsidRDefault="00BD3B5F">
      <w:pPr>
        <w:pStyle w:val="Naslov4"/>
        <w:tabs>
          <w:tab w:val="clear" w:pos="765"/>
        </w:tabs>
        <w:ind w:left="0" w:firstLine="0"/>
        <w:jc w:val="left"/>
        <w:rPr>
          <w:szCs w:val="24"/>
          <w:lang w:val="en-GB"/>
        </w:rPr>
      </w:pPr>
      <w:r w:rsidRPr="005C3B55">
        <w:rPr>
          <w:szCs w:val="24"/>
          <w:lang w:val="en-GB"/>
        </w:rPr>
        <w:t>Agricultural areas supported under measure M11 (ha) (4ABC)</w:t>
      </w:r>
    </w:p>
    <w:p w:rsidR="00BD3B5F" w:rsidRPr="005C3B55" w:rsidRDefault="00BD3B5F">
      <w:pPr>
        <w:rPr>
          <w:szCs w:val="24"/>
        </w:rPr>
      </w:pPr>
      <w:r w:rsidRPr="005C3B55">
        <w:rPr>
          <w:noProof/>
          <w:szCs w:val="24"/>
        </w:rPr>
        <w:t>Applicable:</w:t>
      </w:r>
      <w:r w:rsidRPr="005C3B55">
        <w:rPr>
          <w:szCs w:val="24"/>
        </w:rPr>
        <w:t xml:space="preserve"> </w:t>
      </w:r>
      <w:r w:rsidRPr="005C3B55">
        <w:rPr>
          <w:noProof/>
          <w:szCs w:val="24"/>
        </w:rPr>
        <w:t>Yes</w:t>
      </w:r>
    </w:p>
    <w:p w:rsidR="00BD3B5F" w:rsidRPr="005C3B55" w:rsidRDefault="00BD3B5F">
      <w:pPr>
        <w:rPr>
          <w:szCs w:val="24"/>
        </w:rPr>
      </w:pPr>
      <w:r w:rsidRPr="005C3B55">
        <w:rPr>
          <w:szCs w:val="24"/>
        </w:rPr>
        <w:t>Target for 2023 (a): 55,000.00</w:t>
      </w:r>
    </w:p>
    <w:p w:rsidR="00BD3B5F" w:rsidRPr="005C3B55" w:rsidRDefault="00BD3B5F">
      <w:pPr>
        <w:rPr>
          <w:szCs w:val="24"/>
        </w:rPr>
      </w:pPr>
      <w:r w:rsidRPr="005C3B55">
        <w:rPr>
          <w:szCs w:val="24"/>
        </w:rPr>
        <w:t xml:space="preserve">Additional funds for adjustment (b): </w:t>
      </w:r>
    </w:p>
    <w:p w:rsidR="00BD3B5F" w:rsidRPr="005C3B55" w:rsidRDefault="00BD3B5F">
      <w:pPr>
        <w:rPr>
          <w:szCs w:val="24"/>
        </w:rPr>
      </w:pPr>
      <w:r w:rsidRPr="005C3B55">
        <w:rPr>
          <w:szCs w:val="24"/>
        </w:rPr>
        <w:t>Milestone for 2018 in % (c): 75%</w:t>
      </w:r>
    </w:p>
    <w:p w:rsidR="00BD3B5F" w:rsidRPr="005C3B55" w:rsidRDefault="00BD3B5F">
      <w:pPr>
        <w:rPr>
          <w:szCs w:val="24"/>
        </w:rPr>
      </w:pPr>
      <w:r w:rsidRPr="005C3B55">
        <w:rPr>
          <w:szCs w:val="24"/>
        </w:rPr>
        <w:t>Milestone in the absolute value (a-b)*c: 41,250.00</w:t>
      </w:r>
    </w:p>
    <w:p w:rsidR="00BD3B5F" w:rsidRPr="005C3B55" w:rsidRDefault="00BD3B5F">
      <w:pPr>
        <w:rPr>
          <w:szCs w:val="24"/>
        </w:rPr>
      </w:pPr>
      <w:r w:rsidRPr="005C3B55">
        <w:rPr>
          <w:szCs w:val="24"/>
        </w:rPr>
        <w:t>Justification of milestone determination:</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14256"/>
      </w:tblGrid>
      <w:tr w:rsidR="00BD3B5F" w:rsidRPr="005C3B55">
        <w:tc>
          <w:tcPr>
            <w:tcW w:w="5000" w:type="pct"/>
            <w:shd w:val="clear" w:color="auto" w:fill="FFFFFF"/>
            <w:tcMar>
              <w:top w:w="20" w:type="dxa"/>
              <w:bottom w:w="20" w:type="dxa"/>
            </w:tcMar>
            <w:vAlign w:val="center"/>
          </w:tcPr>
          <w:p w:rsidR="00BD3B5F" w:rsidRPr="005C3B55" w:rsidRDefault="00BD3B5F">
            <w:pPr>
              <w:rPr>
                <w:szCs w:val="24"/>
              </w:rPr>
            </w:pPr>
            <w:r w:rsidRPr="005C3B55">
              <w:rPr>
                <w:szCs w:val="24"/>
              </w:rPr>
              <w:t xml:space="preserve">The ‘Agricultural areas supported under measure M11 (ha) (4ABC)’ indicator is a new indicator of the O.5 ‘Total area (ha)’ output. Measure M11 is programmed within PN4, for which EUR 60.2 million available public funds are anticipated, which is 10.5 per cent of public funds available for the entire PN4. Together with the ‘Agricultural areas supported under measure M13 (ha) (4ABC)’ indicator, they constitute EUR 326.1 million or 56.7 per cent of public funds available for the entire PN4. </w:t>
            </w:r>
          </w:p>
          <w:p w:rsidR="00BD3B5F" w:rsidRPr="005C3B55" w:rsidRDefault="00BD3B5F">
            <w:pPr>
              <w:rPr>
                <w:szCs w:val="24"/>
              </w:rPr>
            </w:pPr>
            <w:r w:rsidRPr="005C3B55">
              <w:rPr>
                <w:szCs w:val="24"/>
              </w:rPr>
              <w:t xml:space="preserve">The target of the ‘Agricultural areas supported under measure M11 (ha) (4ABC)’ indicator was calculated on the basis of experience in the implementation of the ‘Organic farming’ and ‘Conversion to organic farming’ sub-measures of measure 214 of the RDP 2007–2013. Within the implementation of the ‘Organic farming’ and ‘Conversion to organic farming’ sub-measures of measure 214, 36,130 ha of land were supported and EUR 38.8 million were paid by the end of 2013. </w:t>
            </w:r>
          </w:p>
          <w:p w:rsidR="00BD3B5F" w:rsidRPr="005C3B55" w:rsidRDefault="00BD3B5F">
            <w:pPr>
              <w:rPr>
                <w:szCs w:val="24"/>
              </w:rPr>
            </w:pPr>
            <w:r w:rsidRPr="005C3B55">
              <w:rPr>
                <w:szCs w:val="24"/>
              </w:rPr>
              <w:t xml:space="preserve">Under the ‘Organic farming’ sub-measure, 26,361 ha of land were supported by the end of 2010. </w:t>
            </w:r>
          </w:p>
          <w:p w:rsidR="00BD3B5F" w:rsidRPr="005C3B55" w:rsidRDefault="00BD3B5F">
            <w:pPr>
              <w:rPr>
                <w:szCs w:val="24"/>
              </w:rPr>
            </w:pPr>
            <w:r w:rsidRPr="005C3B55">
              <w:rPr>
                <w:szCs w:val="24"/>
              </w:rPr>
              <w:t>In 2013, the total area of land included in organic farming at the national level was 38,664 ha (conversion: 8,624 ha, implementation: 30,041 ha). In accordance with the area growth trend in organic farming in the 2008–2013 period (+29.6 per cent), the programme objective is that approximately 55,000 ha of land will be included in organic farming by the end of 2023 (conversion: 15,000 ha, implementation: 40,000 ha).</w:t>
            </w:r>
          </w:p>
          <w:p w:rsidR="00BD3B5F" w:rsidRPr="005C3B55" w:rsidRDefault="00BD3B5F">
            <w:pPr>
              <w:rPr>
                <w:szCs w:val="24"/>
              </w:rPr>
            </w:pPr>
            <w:r w:rsidRPr="005C3B55">
              <w:rPr>
                <w:szCs w:val="24"/>
              </w:rPr>
              <w:t xml:space="preserve">Based on experience from the RDP 2007–2013, the value of milestone for 2018 is assessed at 75 per cent. </w:t>
            </w:r>
          </w:p>
        </w:tc>
      </w:tr>
    </w:tbl>
    <w:p w:rsidR="00BD3B5F" w:rsidRPr="005C3B55" w:rsidRDefault="00BD3B5F">
      <w:pPr>
        <w:pStyle w:val="Naslov4"/>
        <w:tabs>
          <w:tab w:val="clear" w:pos="765"/>
        </w:tabs>
        <w:ind w:left="0" w:firstLine="0"/>
        <w:jc w:val="left"/>
        <w:rPr>
          <w:szCs w:val="24"/>
          <w:lang w:val="en-GB"/>
        </w:rPr>
      </w:pPr>
      <w:r w:rsidRPr="005C3B55">
        <w:rPr>
          <w:szCs w:val="24"/>
          <w:lang w:val="en-GB"/>
        </w:rPr>
        <w:t>Agricultural areas supported under measure M13 (ha) (4ABC)</w:t>
      </w:r>
    </w:p>
    <w:p w:rsidR="00BD3B5F" w:rsidRPr="005C3B55" w:rsidRDefault="00BD3B5F">
      <w:pPr>
        <w:rPr>
          <w:szCs w:val="24"/>
        </w:rPr>
      </w:pPr>
      <w:r w:rsidRPr="005C3B55">
        <w:rPr>
          <w:noProof/>
          <w:szCs w:val="24"/>
        </w:rPr>
        <w:t>Applicable:</w:t>
      </w:r>
      <w:r w:rsidRPr="005C3B55">
        <w:rPr>
          <w:szCs w:val="24"/>
        </w:rPr>
        <w:t xml:space="preserve"> </w:t>
      </w:r>
      <w:r w:rsidRPr="005C3B55">
        <w:rPr>
          <w:noProof/>
          <w:szCs w:val="24"/>
        </w:rPr>
        <w:t>Yes</w:t>
      </w:r>
    </w:p>
    <w:p w:rsidR="00BD3B5F" w:rsidRPr="005C3B55" w:rsidRDefault="00BD3B5F">
      <w:pPr>
        <w:rPr>
          <w:szCs w:val="24"/>
        </w:rPr>
      </w:pPr>
      <w:r w:rsidRPr="005C3B55">
        <w:rPr>
          <w:szCs w:val="24"/>
        </w:rPr>
        <w:t>Target for 2023 (a): 329,800.00</w:t>
      </w:r>
    </w:p>
    <w:p w:rsidR="00BD3B5F" w:rsidRPr="005C3B55" w:rsidRDefault="00BD3B5F">
      <w:pPr>
        <w:spacing w:before="0" w:after="0"/>
        <w:rPr>
          <w:szCs w:val="24"/>
        </w:rPr>
      </w:pPr>
      <w:r w:rsidRPr="005C3B55">
        <w:rPr>
          <w:szCs w:val="24"/>
        </w:rPr>
        <w:t xml:space="preserve">Additional funds for adjustment (b): </w:t>
      </w:r>
    </w:p>
    <w:p w:rsidR="00BD3B5F" w:rsidRPr="005C3B55" w:rsidRDefault="00BD3B5F">
      <w:pPr>
        <w:rPr>
          <w:szCs w:val="24"/>
        </w:rPr>
      </w:pPr>
      <w:r w:rsidRPr="005C3B55">
        <w:rPr>
          <w:szCs w:val="24"/>
        </w:rPr>
        <w:t>Milestone for 2018 in % (c): 100%</w:t>
      </w:r>
    </w:p>
    <w:p w:rsidR="00BD3B5F" w:rsidRPr="005C3B55" w:rsidRDefault="00BD3B5F">
      <w:pPr>
        <w:rPr>
          <w:szCs w:val="24"/>
        </w:rPr>
      </w:pPr>
      <w:r w:rsidRPr="005C3B55">
        <w:rPr>
          <w:szCs w:val="24"/>
        </w:rPr>
        <w:t>Milestone in the absolute value (a-b)*c: 329,800.00</w:t>
      </w:r>
    </w:p>
    <w:p w:rsidR="00BD3B5F" w:rsidRPr="005C3B55" w:rsidRDefault="00BD3B5F">
      <w:pPr>
        <w:rPr>
          <w:szCs w:val="24"/>
        </w:rPr>
      </w:pPr>
      <w:r w:rsidRPr="005C3B55">
        <w:rPr>
          <w:szCs w:val="24"/>
        </w:rPr>
        <w:t>Justification of milestone determination:</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14256"/>
      </w:tblGrid>
      <w:tr w:rsidR="00BD3B5F" w:rsidRPr="005C3B55">
        <w:tc>
          <w:tcPr>
            <w:tcW w:w="5000" w:type="pct"/>
            <w:shd w:val="clear" w:color="auto" w:fill="FFFFFF"/>
            <w:tcMar>
              <w:top w:w="20" w:type="dxa"/>
              <w:bottom w:w="20" w:type="dxa"/>
            </w:tcMar>
            <w:vAlign w:val="center"/>
          </w:tcPr>
          <w:p w:rsidR="00BD3B5F" w:rsidRPr="005C3B55" w:rsidRDefault="00BD3B5F">
            <w:pPr>
              <w:rPr>
                <w:szCs w:val="24"/>
              </w:rPr>
            </w:pPr>
            <w:r w:rsidRPr="005C3B55">
              <w:rPr>
                <w:szCs w:val="24"/>
              </w:rPr>
              <w:t xml:space="preserve">The ‘Agricultural areas supported under measure M13 (ha) (4ABC)’ indicator is a new indicator of the O.5 ‘Total area (ha)’ output. Measure M13 is programmed within PN4, for which EUR 265.9 million available public funds are anticipated, which is 46 per cent of public funds available for the entire PN4. Together with the ‘Agricultural areas supported under measure M11 (ha) (4ABC)’ indicator, they constitute EUR 326.1 million or 56.7 per cent of public funds available for the entire PN4. </w:t>
            </w:r>
          </w:p>
          <w:p w:rsidR="00BD3B5F" w:rsidRPr="005C3B55" w:rsidRDefault="00BD3B5F">
            <w:pPr>
              <w:rPr>
                <w:szCs w:val="24"/>
              </w:rPr>
            </w:pPr>
            <w:r w:rsidRPr="005C3B55">
              <w:rPr>
                <w:szCs w:val="24"/>
              </w:rPr>
              <w:t>The target of the indicator ‘Agricultural areas supported within measure M13 (ha) (4ABC)’ was calculated on the basis of experience from the implementation of measures 211 and 212 within the RDP 2007–2013. Some 330,000 ha of land were supported in 2013 under measures 211 and 212.</w:t>
            </w:r>
          </w:p>
          <w:p w:rsidR="00BD3B5F" w:rsidRPr="005C3B55" w:rsidRDefault="00BD3B5F">
            <w:pPr>
              <w:rPr>
                <w:szCs w:val="24"/>
              </w:rPr>
            </w:pPr>
            <w:r w:rsidRPr="005C3B55">
              <w:rPr>
                <w:szCs w:val="24"/>
              </w:rPr>
              <w:t xml:space="preserve">Based on experience from the RDP 2007–2013, the value of milestone for 2018 is assessed at 100 per cent. </w:t>
            </w:r>
          </w:p>
        </w:tc>
      </w:tr>
    </w:tbl>
    <w:p w:rsidR="00BD3B5F" w:rsidRPr="005C3B55" w:rsidRDefault="00BD3B5F">
      <w:pPr>
        <w:pStyle w:val="Naslov3"/>
        <w:tabs>
          <w:tab w:val="clear" w:pos="765"/>
        </w:tabs>
        <w:ind w:left="0" w:firstLine="0"/>
        <w:jc w:val="left"/>
        <w:rPr>
          <w:szCs w:val="24"/>
          <w:lang w:val="en-GB"/>
        </w:rPr>
      </w:pPr>
      <w:bookmarkStart w:id="110" w:name="_Toc416192568"/>
      <w:r w:rsidRPr="005C3B55">
        <w:rPr>
          <w:noProof/>
          <w:szCs w:val="24"/>
          <w:lang w:val="en-GB"/>
        </w:rPr>
        <w:t>P6:</w:t>
      </w:r>
      <w:r w:rsidRPr="005C3B55">
        <w:rPr>
          <w:szCs w:val="24"/>
          <w:lang w:val="en-GB"/>
        </w:rPr>
        <w:t xml:space="preserve"> Promotion of social inclusion, reduction of poverty and economic development of rural areas</w:t>
      </w:r>
      <w:bookmarkEnd w:id="110"/>
    </w:p>
    <w:p w:rsidR="00BD3B5F" w:rsidRPr="005C3B55" w:rsidRDefault="00BD3B5F">
      <w:pPr>
        <w:pStyle w:val="Naslov4"/>
        <w:tabs>
          <w:tab w:val="clear" w:pos="765"/>
        </w:tabs>
        <w:ind w:left="0" w:firstLine="0"/>
        <w:jc w:val="left"/>
        <w:rPr>
          <w:szCs w:val="24"/>
          <w:lang w:val="en-GB"/>
        </w:rPr>
      </w:pPr>
      <w:r w:rsidRPr="005C3B55">
        <w:rPr>
          <w:szCs w:val="24"/>
          <w:lang w:val="en-GB"/>
        </w:rPr>
        <w:t>Number of operations supported within investments in forestry technologies, and in processing, mobilising and marketing of forestry products (6A)</w:t>
      </w:r>
    </w:p>
    <w:p w:rsidR="00BD3B5F" w:rsidRPr="005C3B55" w:rsidRDefault="00BD3B5F">
      <w:pPr>
        <w:rPr>
          <w:szCs w:val="24"/>
        </w:rPr>
      </w:pPr>
      <w:r w:rsidRPr="005C3B55">
        <w:rPr>
          <w:noProof/>
          <w:szCs w:val="24"/>
        </w:rPr>
        <w:t>Applicable:</w:t>
      </w:r>
      <w:r w:rsidRPr="005C3B55">
        <w:rPr>
          <w:szCs w:val="24"/>
        </w:rPr>
        <w:t xml:space="preserve"> </w:t>
      </w:r>
      <w:r w:rsidRPr="005C3B55">
        <w:rPr>
          <w:noProof/>
          <w:szCs w:val="24"/>
        </w:rPr>
        <w:t>Yes</w:t>
      </w:r>
    </w:p>
    <w:p w:rsidR="00BD3B5F" w:rsidRPr="005C3B55" w:rsidRDefault="00BD3B5F">
      <w:pPr>
        <w:rPr>
          <w:szCs w:val="24"/>
        </w:rPr>
      </w:pPr>
      <w:r w:rsidRPr="005C3B55">
        <w:rPr>
          <w:szCs w:val="24"/>
        </w:rPr>
        <w:t>Target for 2023 (a): 228.00</w:t>
      </w:r>
    </w:p>
    <w:p w:rsidR="00BD3B5F" w:rsidRPr="005C3B55" w:rsidRDefault="00BD3B5F">
      <w:pPr>
        <w:rPr>
          <w:szCs w:val="24"/>
        </w:rPr>
      </w:pPr>
      <w:r w:rsidRPr="005C3B55">
        <w:rPr>
          <w:szCs w:val="24"/>
        </w:rPr>
        <w:t xml:space="preserve">Additional funds for adjustment (b): </w:t>
      </w:r>
    </w:p>
    <w:p w:rsidR="00BD3B5F" w:rsidRPr="005C3B55" w:rsidRDefault="00BD3B5F">
      <w:pPr>
        <w:rPr>
          <w:szCs w:val="24"/>
        </w:rPr>
      </w:pPr>
      <w:r w:rsidRPr="005C3B55">
        <w:rPr>
          <w:szCs w:val="24"/>
        </w:rPr>
        <w:t>Milestone for 2018 in % (c): 35%</w:t>
      </w:r>
    </w:p>
    <w:p w:rsidR="00BD3B5F" w:rsidRPr="005C3B55" w:rsidRDefault="00BD3B5F">
      <w:pPr>
        <w:rPr>
          <w:szCs w:val="24"/>
        </w:rPr>
      </w:pPr>
      <w:r w:rsidRPr="005C3B55">
        <w:rPr>
          <w:szCs w:val="24"/>
        </w:rPr>
        <w:t>Milestone in the absolute value (a-b)*c: 79.80</w:t>
      </w:r>
    </w:p>
    <w:p w:rsidR="00BD3B5F" w:rsidRPr="005C3B55" w:rsidRDefault="00BD3B5F">
      <w:pPr>
        <w:rPr>
          <w:szCs w:val="24"/>
        </w:rPr>
      </w:pPr>
      <w:r w:rsidRPr="005C3B55">
        <w:rPr>
          <w:szCs w:val="24"/>
        </w:rPr>
        <w:t>Justification of milestone determination:</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14256"/>
      </w:tblGrid>
      <w:tr w:rsidR="00BD3B5F" w:rsidRPr="005C3B55">
        <w:tc>
          <w:tcPr>
            <w:tcW w:w="5000" w:type="pct"/>
            <w:shd w:val="clear" w:color="auto" w:fill="FFFFFF"/>
            <w:tcMar>
              <w:top w:w="20" w:type="dxa"/>
              <w:bottom w:w="20" w:type="dxa"/>
            </w:tcMar>
            <w:vAlign w:val="center"/>
          </w:tcPr>
          <w:p w:rsidR="00BD3B5F" w:rsidRPr="005C3B55" w:rsidRDefault="00BD3B5F">
            <w:pPr>
              <w:rPr>
                <w:szCs w:val="24"/>
              </w:rPr>
            </w:pPr>
            <w:r w:rsidRPr="005C3B55">
              <w:rPr>
                <w:szCs w:val="24"/>
              </w:rPr>
              <w:t>The indicator is a new indicator of the O.3 ‘Number of operations supported’ output. Measure M08.6 is programmed within focus area 6A, for which EUR 39 million available public funds are anticipated, which is 23 per cent of public funds available for the entire PN6. Together with the ‘Population covered by LAG’ indicator, they constitute EUR 91.4 million or 54 per cent of public funds available for the entire PN6.</w:t>
            </w:r>
          </w:p>
          <w:p w:rsidR="00BD3B5F" w:rsidRPr="005C3B55" w:rsidRDefault="00BD3B5F">
            <w:pPr>
              <w:rPr>
                <w:szCs w:val="24"/>
              </w:rPr>
            </w:pPr>
            <w:r w:rsidRPr="005C3B55">
              <w:rPr>
                <w:szCs w:val="24"/>
              </w:rPr>
              <w:t>The target of the indicator was calculated on the basis of experience from the implementation of measure 122 within the RDP 2007–2013. The sub-measure is divided into two parts:</w:t>
            </w:r>
          </w:p>
          <w:p w:rsidR="00BD3B5F" w:rsidRPr="005C3B55" w:rsidRDefault="00BD3B5F">
            <w:pPr>
              <w:rPr>
                <w:szCs w:val="24"/>
              </w:rPr>
            </w:pPr>
            <w:r w:rsidRPr="005C3B55">
              <w:rPr>
                <w:szCs w:val="24"/>
              </w:rPr>
              <w:t>1. Machinery and equipment</w:t>
            </w:r>
          </w:p>
          <w:p w:rsidR="00BD3B5F" w:rsidRPr="005C3B55" w:rsidRDefault="00BD3B5F">
            <w:pPr>
              <w:rPr>
                <w:szCs w:val="24"/>
              </w:rPr>
            </w:pPr>
            <w:r w:rsidRPr="005C3B55">
              <w:rPr>
                <w:szCs w:val="24"/>
              </w:rPr>
              <w:t>The average amount of funds granted per application within the RDP 2007–2013 was EUR 34,634. The calculation is based on the ratio between the total funds available for the RDP 2014–2020 (EUR 11,026,666.67) and the average amount of funds granted per application while taking into account the stability factor (a total of 220 projects).</w:t>
            </w:r>
          </w:p>
          <w:p w:rsidR="00BD3B5F" w:rsidRPr="005C3B55" w:rsidRDefault="00BD3B5F">
            <w:pPr>
              <w:rPr>
                <w:szCs w:val="24"/>
              </w:rPr>
            </w:pPr>
            <w:r w:rsidRPr="005C3B55">
              <w:rPr>
                <w:szCs w:val="24"/>
              </w:rPr>
              <w:t>2. Non-industrial wood processing</w:t>
            </w:r>
          </w:p>
          <w:p w:rsidR="00BD3B5F" w:rsidRPr="005C3B55" w:rsidRDefault="00BD3B5F">
            <w:pPr>
              <w:rPr>
                <w:szCs w:val="24"/>
              </w:rPr>
            </w:pPr>
            <w:r w:rsidRPr="005C3B55">
              <w:rPr>
                <w:szCs w:val="24"/>
              </w:rPr>
              <w:t xml:space="preserve">The basis was the ‘Wood is Beautiful’ action plan. Slovenia needs three modern processing plants for non-industrial processing of softwood and five for hardwood (a total of 8 projects). </w:t>
            </w:r>
          </w:p>
          <w:p w:rsidR="00BD3B5F" w:rsidRPr="005C3B55" w:rsidRDefault="00BD3B5F">
            <w:pPr>
              <w:rPr>
                <w:szCs w:val="24"/>
              </w:rPr>
            </w:pPr>
            <w:r w:rsidRPr="005C3B55">
              <w:rPr>
                <w:szCs w:val="24"/>
              </w:rPr>
              <w:t>The value of milestone for 2018 is assessed at 35 per cent. Within the RDP 2007–2013, 53 per cent of operations of the target for measure 122 were completed by the end of 2010. The target is expected to be lower in the RDP 2014–2020 than in the RDP 2007–2013. In this programming period, the measure was implemented for the first time and beneficiaries showed a great deal of interest. Therefore, the needs for such investments in the new programming period are estimated to be lower.</w:t>
            </w:r>
          </w:p>
        </w:tc>
      </w:tr>
    </w:tbl>
    <w:p w:rsidR="00BD3B5F" w:rsidRPr="005C3B55" w:rsidRDefault="00BD3B5F">
      <w:pPr>
        <w:pStyle w:val="Naslov2"/>
        <w:tabs>
          <w:tab w:val="clear" w:pos="765"/>
        </w:tabs>
        <w:ind w:left="0" w:firstLine="0"/>
        <w:rPr>
          <w:szCs w:val="24"/>
          <w:lang w:val="en-GB"/>
        </w:rPr>
      </w:pPr>
      <w:r w:rsidRPr="005C3B55">
        <w:rPr>
          <w:szCs w:val="24"/>
          <w:lang w:val="en-GB"/>
        </w:rPr>
        <w:br w:type="page"/>
      </w:r>
      <w:bookmarkStart w:id="111" w:name="_Toc416192569"/>
      <w:r w:rsidRPr="005C3B55">
        <w:rPr>
          <w:szCs w:val="24"/>
          <w:lang w:val="en-GB"/>
        </w:rPr>
        <w:t>Reserve</w:t>
      </w:r>
      <w:bookmarkEnd w:id="11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27"/>
        <w:gridCol w:w="2694"/>
        <w:gridCol w:w="2552"/>
        <w:gridCol w:w="2267"/>
        <w:gridCol w:w="1702"/>
        <w:gridCol w:w="850"/>
        <w:gridCol w:w="964"/>
      </w:tblGrid>
      <w:tr w:rsidR="00144D8E" w:rsidRPr="005C3B55">
        <w:tc>
          <w:tcPr>
            <w:tcW w:w="1132" w:type="pct"/>
            <w:shd w:val="clear" w:color="auto" w:fill="C0C0C0"/>
            <w:tcMar>
              <w:top w:w="20" w:type="dxa"/>
              <w:bottom w:w="20" w:type="dxa"/>
            </w:tcMar>
            <w:vAlign w:val="center"/>
          </w:tcPr>
          <w:p w:rsidR="00BD3B5F" w:rsidRPr="005C3B55" w:rsidRDefault="00BD3B5F">
            <w:pPr>
              <w:rPr>
                <w:szCs w:val="24"/>
              </w:rPr>
            </w:pPr>
            <w:r w:rsidRPr="005C3B55">
              <w:rPr>
                <w:b/>
                <w:szCs w:val="24"/>
              </w:rPr>
              <w:t>Priority</w:t>
            </w:r>
          </w:p>
        </w:tc>
        <w:tc>
          <w:tcPr>
            <w:tcW w:w="945" w:type="pct"/>
            <w:shd w:val="clear" w:color="auto" w:fill="C0C0C0"/>
            <w:tcMar>
              <w:top w:w="20" w:type="dxa"/>
              <w:bottom w:w="20" w:type="dxa"/>
            </w:tcMar>
            <w:vAlign w:val="center"/>
          </w:tcPr>
          <w:p w:rsidR="00BD3B5F" w:rsidRPr="005C3B55" w:rsidRDefault="00BD3B5F">
            <w:pPr>
              <w:jc w:val="left"/>
              <w:rPr>
                <w:szCs w:val="24"/>
              </w:rPr>
            </w:pPr>
            <w:r w:rsidRPr="005C3B55">
              <w:rPr>
                <w:b/>
                <w:szCs w:val="24"/>
              </w:rPr>
              <w:t>Total planned Union contribution (EUR)</w:t>
            </w:r>
          </w:p>
        </w:tc>
        <w:tc>
          <w:tcPr>
            <w:tcW w:w="895" w:type="pct"/>
            <w:shd w:val="clear" w:color="auto" w:fill="C0C0C0"/>
            <w:tcMar>
              <w:top w:w="20" w:type="dxa"/>
              <w:bottom w:w="20" w:type="dxa"/>
            </w:tcMar>
            <w:vAlign w:val="center"/>
          </w:tcPr>
          <w:p w:rsidR="00BD3B5F" w:rsidRPr="005C3B55" w:rsidRDefault="00BD3B5F">
            <w:pPr>
              <w:jc w:val="left"/>
              <w:rPr>
                <w:szCs w:val="24"/>
              </w:rPr>
            </w:pPr>
            <w:r w:rsidRPr="005C3B55">
              <w:rPr>
                <w:b/>
                <w:szCs w:val="24"/>
              </w:rPr>
              <w:t>Total planned Union contribution (EUR) from which the performance reserve is calculated</w:t>
            </w:r>
          </w:p>
        </w:tc>
        <w:tc>
          <w:tcPr>
            <w:tcW w:w="795" w:type="pct"/>
            <w:shd w:val="clear" w:color="auto" w:fill="C0C0C0"/>
            <w:tcMar>
              <w:top w:w="20" w:type="dxa"/>
              <w:bottom w:w="20" w:type="dxa"/>
            </w:tcMar>
            <w:vAlign w:val="center"/>
          </w:tcPr>
          <w:p w:rsidR="00BD3B5F" w:rsidRPr="005C3B55" w:rsidRDefault="00BD3B5F">
            <w:pPr>
              <w:jc w:val="left"/>
              <w:rPr>
                <w:szCs w:val="24"/>
              </w:rPr>
            </w:pPr>
            <w:r w:rsidRPr="005C3B55">
              <w:rPr>
                <w:b/>
                <w:szCs w:val="24"/>
              </w:rPr>
              <w:t>Performance reserve (EUR)</w:t>
            </w:r>
          </w:p>
        </w:tc>
        <w:tc>
          <w:tcPr>
            <w:tcW w:w="597" w:type="pct"/>
            <w:shd w:val="clear" w:color="auto" w:fill="C0C0C0"/>
            <w:tcMar>
              <w:top w:w="20" w:type="dxa"/>
              <w:bottom w:w="20" w:type="dxa"/>
            </w:tcMar>
            <w:vAlign w:val="center"/>
          </w:tcPr>
          <w:p w:rsidR="00BD3B5F" w:rsidRPr="005C3B55" w:rsidRDefault="00BD3B5F">
            <w:pPr>
              <w:jc w:val="left"/>
              <w:rPr>
                <w:szCs w:val="24"/>
              </w:rPr>
            </w:pPr>
            <w:r w:rsidRPr="005C3B55">
              <w:rPr>
                <w:b/>
                <w:szCs w:val="24"/>
              </w:rPr>
              <w:t>Lowest performance reserve (at least 5%)</w:t>
            </w:r>
          </w:p>
        </w:tc>
        <w:tc>
          <w:tcPr>
            <w:tcW w:w="298" w:type="pct"/>
            <w:shd w:val="clear" w:color="auto" w:fill="C0C0C0"/>
            <w:tcMar>
              <w:top w:w="20" w:type="dxa"/>
              <w:bottom w:w="20" w:type="dxa"/>
            </w:tcMar>
            <w:vAlign w:val="center"/>
          </w:tcPr>
          <w:p w:rsidR="00BD3B5F" w:rsidRPr="005C3B55" w:rsidRDefault="00BD3B5F">
            <w:pPr>
              <w:jc w:val="left"/>
              <w:rPr>
                <w:szCs w:val="24"/>
              </w:rPr>
            </w:pPr>
            <w:r w:rsidRPr="005C3B55">
              <w:rPr>
                <w:b/>
                <w:szCs w:val="24"/>
              </w:rPr>
              <w:t>Highest performance reserve (at least 7%)</w:t>
            </w:r>
          </w:p>
        </w:tc>
        <w:tc>
          <w:tcPr>
            <w:tcW w:w="338" w:type="pct"/>
            <w:shd w:val="clear" w:color="auto" w:fill="C0C0C0"/>
            <w:tcMar>
              <w:top w:w="20" w:type="dxa"/>
              <w:bottom w:w="20" w:type="dxa"/>
            </w:tcMar>
            <w:vAlign w:val="center"/>
          </w:tcPr>
          <w:p w:rsidR="00BD3B5F" w:rsidRPr="005C3B55" w:rsidRDefault="00BD3B5F">
            <w:pPr>
              <w:jc w:val="left"/>
              <w:rPr>
                <w:szCs w:val="24"/>
              </w:rPr>
            </w:pPr>
            <w:r w:rsidRPr="005C3B55">
              <w:rPr>
                <w:b/>
                <w:szCs w:val="24"/>
              </w:rPr>
              <w:t>Rate of performance reserve</w:t>
            </w:r>
          </w:p>
        </w:tc>
      </w:tr>
      <w:tr w:rsidR="00144D8E" w:rsidRPr="005C3B55">
        <w:tc>
          <w:tcPr>
            <w:tcW w:w="1132" w:type="pct"/>
            <w:shd w:val="clear" w:color="auto" w:fill="FFFFFF"/>
            <w:tcMar>
              <w:top w:w="20" w:type="dxa"/>
              <w:bottom w:w="20" w:type="dxa"/>
            </w:tcMar>
            <w:vAlign w:val="center"/>
          </w:tcPr>
          <w:p w:rsidR="00BD3B5F" w:rsidRPr="005C3B55" w:rsidRDefault="00BD3B5F">
            <w:pPr>
              <w:jc w:val="left"/>
              <w:rPr>
                <w:szCs w:val="24"/>
              </w:rPr>
            </w:pPr>
            <w:r w:rsidRPr="005C3B55">
              <w:rPr>
                <w:noProof/>
                <w:szCs w:val="24"/>
              </w:rPr>
              <w:t>P2:</w:t>
            </w:r>
            <w:r w:rsidRPr="005C3B55">
              <w:rPr>
                <w:szCs w:val="24"/>
              </w:rPr>
              <w:t xml:space="preserve"> Strengthening the viability of farms and competitiveness of all types of farming in all regions, and promoting innovative agricultural technologies and sustainable forest management</w:t>
            </w:r>
          </w:p>
        </w:tc>
        <w:tc>
          <w:tcPr>
            <w:tcW w:w="945" w:type="pct"/>
            <w:shd w:val="clear" w:color="auto" w:fill="FFFFFF"/>
            <w:tcMar>
              <w:top w:w="20" w:type="dxa"/>
              <w:bottom w:w="20" w:type="dxa"/>
            </w:tcMar>
            <w:vAlign w:val="center"/>
          </w:tcPr>
          <w:p w:rsidR="00BD3B5F" w:rsidRPr="005C3B55" w:rsidRDefault="00BD3B5F">
            <w:pPr>
              <w:jc w:val="right"/>
              <w:rPr>
                <w:szCs w:val="24"/>
              </w:rPr>
            </w:pPr>
            <w:r w:rsidRPr="005C3B55">
              <w:rPr>
                <w:szCs w:val="24"/>
              </w:rPr>
              <w:t>171,312,265.73</w:t>
            </w:r>
          </w:p>
        </w:tc>
        <w:tc>
          <w:tcPr>
            <w:tcW w:w="895" w:type="pct"/>
            <w:shd w:val="clear" w:color="auto" w:fill="FFFFFF"/>
            <w:tcMar>
              <w:top w:w="20" w:type="dxa"/>
              <w:bottom w:w="20" w:type="dxa"/>
            </w:tcMar>
            <w:vAlign w:val="center"/>
          </w:tcPr>
          <w:p w:rsidR="00BD3B5F" w:rsidRPr="005C3B55" w:rsidRDefault="00BD3B5F">
            <w:pPr>
              <w:jc w:val="right"/>
              <w:rPr>
                <w:szCs w:val="24"/>
              </w:rPr>
            </w:pPr>
            <w:r w:rsidRPr="005C3B55">
              <w:rPr>
                <w:szCs w:val="24"/>
              </w:rPr>
              <w:t>177,436,236.88</w:t>
            </w:r>
          </w:p>
        </w:tc>
        <w:tc>
          <w:tcPr>
            <w:tcW w:w="795" w:type="pct"/>
            <w:shd w:val="clear" w:color="auto" w:fill="FFFFFF"/>
            <w:tcMar>
              <w:top w:w="20" w:type="dxa"/>
              <w:bottom w:w="20" w:type="dxa"/>
            </w:tcMar>
            <w:vAlign w:val="center"/>
          </w:tcPr>
          <w:p w:rsidR="00BD3B5F" w:rsidRPr="005C3B55" w:rsidRDefault="00BD3B5F">
            <w:pPr>
              <w:jc w:val="right"/>
              <w:rPr>
                <w:szCs w:val="24"/>
              </w:rPr>
            </w:pPr>
            <w:r w:rsidRPr="005C3B55">
              <w:rPr>
                <w:szCs w:val="24"/>
              </w:rPr>
              <w:t>8,871,811.84</w:t>
            </w:r>
          </w:p>
        </w:tc>
        <w:tc>
          <w:tcPr>
            <w:tcW w:w="597" w:type="pct"/>
            <w:shd w:val="clear" w:color="auto" w:fill="FFFFFF"/>
            <w:tcMar>
              <w:top w:w="20" w:type="dxa"/>
              <w:bottom w:w="20" w:type="dxa"/>
            </w:tcMar>
            <w:vAlign w:val="center"/>
          </w:tcPr>
          <w:p w:rsidR="00BD3B5F" w:rsidRPr="005C3B55" w:rsidRDefault="00BD3B5F">
            <w:pPr>
              <w:jc w:val="right"/>
              <w:rPr>
                <w:szCs w:val="24"/>
              </w:rPr>
            </w:pPr>
            <w:r w:rsidRPr="005C3B55">
              <w:rPr>
                <w:szCs w:val="24"/>
              </w:rPr>
              <w:t>8,871,811.84</w:t>
            </w:r>
          </w:p>
        </w:tc>
        <w:tc>
          <w:tcPr>
            <w:tcW w:w="298" w:type="pct"/>
            <w:shd w:val="clear" w:color="auto" w:fill="FFFFFF"/>
            <w:tcMar>
              <w:top w:w="20" w:type="dxa"/>
              <w:bottom w:w="20" w:type="dxa"/>
            </w:tcMar>
            <w:vAlign w:val="center"/>
          </w:tcPr>
          <w:p w:rsidR="00BD3B5F" w:rsidRPr="005C3B55" w:rsidRDefault="00BD3B5F">
            <w:pPr>
              <w:jc w:val="right"/>
              <w:rPr>
                <w:szCs w:val="24"/>
              </w:rPr>
            </w:pPr>
            <w:r w:rsidRPr="005C3B55">
              <w:rPr>
                <w:szCs w:val="24"/>
              </w:rPr>
              <w:t>12,420,536.58</w:t>
            </w:r>
          </w:p>
        </w:tc>
        <w:tc>
          <w:tcPr>
            <w:tcW w:w="338" w:type="pct"/>
            <w:shd w:val="clear" w:color="auto" w:fill="FFFFFF"/>
            <w:tcMar>
              <w:top w:w="20" w:type="dxa"/>
              <w:bottom w:w="20" w:type="dxa"/>
            </w:tcMar>
            <w:vAlign w:val="center"/>
          </w:tcPr>
          <w:p w:rsidR="00BD3B5F" w:rsidRPr="005C3B55" w:rsidRDefault="00BD3B5F">
            <w:pPr>
              <w:jc w:val="right"/>
              <w:rPr>
                <w:szCs w:val="24"/>
              </w:rPr>
            </w:pPr>
            <w:r w:rsidRPr="005C3B55">
              <w:rPr>
                <w:szCs w:val="24"/>
              </w:rPr>
              <w:t>5%</w:t>
            </w:r>
          </w:p>
        </w:tc>
      </w:tr>
      <w:tr w:rsidR="00144D8E" w:rsidRPr="005C3B55">
        <w:tc>
          <w:tcPr>
            <w:tcW w:w="1132" w:type="pct"/>
            <w:shd w:val="clear" w:color="auto" w:fill="FFFFFF"/>
            <w:tcMar>
              <w:top w:w="20" w:type="dxa"/>
              <w:bottom w:w="20" w:type="dxa"/>
            </w:tcMar>
            <w:vAlign w:val="center"/>
          </w:tcPr>
          <w:p w:rsidR="00BD3B5F" w:rsidRPr="005C3B55" w:rsidRDefault="00BD3B5F">
            <w:pPr>
              <w:jc w:val="left"/>
              <w:rPr>
                <w:szCs w:val="24"/>
              </w:rPr>
            </w:pPr>
            <w:r w:rsidRPr="005C3B55">
              <w:rPr>
                <w:noProof/>
                <w:szCs w:val="24"/>
              </w:rPr>
              <w:t>P3:</w:t>
            </w:r>
            <w:r w:rsidRPr="005C3B55">
              <w:rPr>
                <w:szCs w:val="24"/>
              </w:rPr>
              <w:t xml:space="preserve"> Encouraging organisation of the food supply chain, including processing and marketing of agricultural products, animal welfare and risk management in agriculture</w:t>
            </w:r>
          </w:p>
        </w:tc>
        <w:tc>
          <w:tcPr>
            <w:tcW w:w="945" w:type="pct"/>
            <w:shd w:val="clear" w:color="auto" w:fill="FFFFFF"/>
            <w:tcMar>
              <w:top w:w="20" w:type="dxa"/>
              <w:bottom w:w="20" w:type="dxa"/>
            </w:tcMar>
            <w:vAlign w:val="center"/>
          </w:tcPr>
          <w:p w:rsidR="00BD3B5F" w:rsidRPr="005C3B55" w:rsidRDefault="00BD3B5F">
            <w:pPr>
              <w:jc w:val="right"/>
              <w:rPr>
                <w:szCs w:val="24"/>
              </w:rPr>
            </w:pPr>
            <w:r w:rsidRPr="005C3B55">
              <w:rPr>
                <w:szCs w:val="24"/>
              </w:rPr>
              <w:t>76,777,466.27</w:t>
            </w:r>
          </w:p>
        </w:tc>
        <w:tc>
          <w:tcPr>
            <w:tcW w:w="895" w:type="pct"/>
            <w:shd w:val="clear" w:color="auto" w:fill="FFFFFF"/>
            <w:tcMar>
              <w:top w:w="20" w:type="dxa"/>
              <w:bottom w:w="20" w:type="dxa"/>
            </w:tcMar>
            <w:vAlign w:val="center"/>
          </w:tcPr>
          <w:p w:rsidR="00BD3B5F" w:rsidRPr="005C3B55" w:rsidRDefault="00BD3B5F">
            <w:pPr>
              <w:jc w:val="right"/>
              <w:rPr>
                <w:szCs w:val="24"/>
              </w:rPr>
            </w:pPr>
            <w:r w:rsidRPr="005C3B55">
              <w:rPr>
                <w:szCs w:val="24"/>
              </w:rPr>
              <w:t>79,522,062.44</w:t>
            </w:r>
          </w:p>
        </w:tc>
        <w:tc>
          <w:tcPr>
            <w:tcW w:w="795" w:type="pct"/>
            <w:shd w:val="clear" w:color="auto" w:fill="FFFFFF"/>
            <w:tcMar>
              <w:top w:w="20" w:type="dxa"/>
              <w:bottom w:w="20" w:type="dxa"/>
            </w:tcMar>
            <w:vAlign w:val="center"/>
          </w:tcPr>
          <w:p w:rsidR="00BD3B5F" w:rsidRPr="005C3B55" w:rsidRDefault="00BD3B5F">
            <w:pPr>
              <w:jc w:val="right"/>
              <w:rPr>
                <w:szCs w:val="24"/>
              </w:rPr>
            </w:pPr>
            <w:r w:rsidRPr="005C3B55">
              <w:rPr>
                <w:szCs w:val="24"/>
              </w:rPr>
              <w:t>3,976,103.12</w:t>
            </w:r>
          </w:p>
        </w:tc>
        <w:tc>
          <w:tcPr>
            <w:tcW w:w="597" w:type="pct"/>
            <w:shd w:val="clear" w:color="auto" w:fill="FFFFFF"/>
            <w:tcMar>
              <w:top w:w="20" w:type="dxa"/>
              <w:bottom w:w="20" w:type="dxa"/>
            </w:tcMar>
            <w:vAlign w:val="center"/>
          </w:tcPr>
          <w:p w:rsidR="00BD3B5F" w:rsidRPr="005C3B55" w:rsidRDefault="00BD3B5F">
            <w:pPr>
              <w:jc w:val="right"/>
              <w:rPr>
                <w:szCs w:val="24"/>
              </w:rPr>
            </w:pPr>
            <w:r w:rsidRPr="005C3B55">
              <w:rPr>
                <w:szCs w:val="24"/>
              </w:rPr>
              <w:t>3,976,103.12</w:t>
            </w:r>
          </w:p>
        </w:tc>
        <w:tc>
          <w:tcPr>
            <w:tcW w:w="298" w:type="pct"/>
            <w:shd w:val="clear" w:color="auto" w:fill="FFFFFF"/>
            <w:tcMar>
              <w:top w:w="20" w:type="dxa"/>
              <w:bottom w:w="20" w:type="dxa"/>
            </w:tcMar>
            <w:vAlign w:val="center"/>
          </w:tcPr>
          <w:p w:rsidR="00BD3B5F" w:rsidRPr="005C3B55" w:rsidRDefault="00BD3B5F">
            <w:pPr>
              <w:jc w:val="right"/>
              <w:rPr>
                <w:szCs w:val="24"/>
              </w:rPr>
            </w:pPr>
            <w:r w:rsidRPr="005C3B55">
              <w:rPr>
                <w:szCs w:val="24"/>
              </w:rPr>
              <w:t>5,566,544.37</w:t>
            </w:r>
          </w:p>
        </w:tc>
        <w:tc>
          <w:tcPr>
            <w:tcW w:w="338" w:type="pct"/>
            <w:shd w:val="clear" w:color="auto" w:fill="FFFFFF"/>
            <w:tcMar>
              <w:top w:w="20" w:type="dxa"/>
              <w:bottom w:w="20" w:type="dxa"/>
            </w:tcMar>
            <w:vAlign w:val="center"/>
          </w:tcPr>
          <w:p w:rsidR="00BD3B5F" w:rsidRPr="005C3B55" w:rsidRDefault="00BD3B5F">
            <w:pPr>
              <w:jc w:val="right"/>
              <w:rPr>
                <w:szCs w:val="24"/>
              </w:rPr>
            </w:pPr>
            <w:r w:rsidRPr="005C3B55">
              <w:rPr>
                <w:szCs w:val="24"/>
              </w:rPr>
              <w:t>5%</w:t>
            </w:r>
          </w:p>
        </w:tc>
      </w:tr>
      <w:tr w:rsidR="00144D8E" w:rsidRPr="005C3B55">
        <w:tc>
          <w:tcPr>
            <w:tcW w:w="1132" w:type="pct"/>
            <w:shd w:val="clear" w:color="auto" w:fill="FFFFFF"/>
            <w:tcMar>
              <w:top w:w="20" w:type="dxa"/>
              <w:bottom w:w="20" w:type="dxa"/>
            </w:tcMar>
            <w:vAlign w:val="center"/>
          </w:tcPr>
          <w:p w:rsidR="00BD3B5F" w:rsidRPr="005C3B55" w:rsidRDefault="00BD3B5F">
            <w:pPr>
              <w:jc w:val="left"/>
              <w:rPr>
                <w:szCs w:val="24"/>
              </w:rPr>
            </w:pPr>
            <w:r w:rsidRPr="005C3B55">
              <w:rPr>
                <w:noProof/>
                <w:szCs w:val="24"/>
              </w:rPr>
              <w:t>P4:</w:t>
            </w:r>
            <w:r w:rsidRPr="005C3B55">
              <w:rPr>
                <w:szCs w:val="24"/>
              </w:rPr>
              <w:t xml:space="preserve"> Restoration, preservation and improvement of ecosystems related to agriculture and forestry</w:t>
            </w:r>
          </w:p>
        </w:tc>
        <w:tc>
          <w:tcPr>
            <w:tcW w:w="945" w:type="pct"/>
            <w:shd w:val="clear" w:color="auto" w:fill="FFFFFF"/>
            <w:tcMar>
              <w:top w:w="20" w:type="dxa"/>
              <w:bottom w:w="20" w:type="dxa"/>
            </w:tcMar>
            <w:vAlign w:val="center"/>
          </w:tcPr>
          <w:p w:rsidR="00BD3B5F" w:rsidRPr="005C3B55" w:rsidRDefault="00BD3B5F">
            <w:pPr>
              <w:jc w:val="right"/>
              <w:rPr>
                <w:szCs w:val="24"/>
              </w:rPr>
            </w:pPr>
            <w:r w:rsidRPr="005C3B55">
              <w:rPr>
                <w:szCs w:val="24"/>
              </w:rPr>
              <w:t>432,135,580.00</w:t>
            </w:r>
          </w:p>
        </w:tc>
        <w:tc>
          <w:tcPr>
            <w:tcW w:w="895" w:type="pct"/>
            <w:shd w:val="clear" w:color="auto" w:fill="FFFFFF"/>
            <w:tcMar>
              <w:top w:w="20" w:type="dxa"/>
              <w:bottom w:w="20" w:type="dxa"/>
            </w:tcMar>
            <w:vAlign w:val="center"/>
          </w:tcPr>
          <w:p w:rsidR="00BD3B5F" w:rsidRPr="005C3B55" w:rsidRDefault="00BD3B5F">
            <w:pPr>
              <w:jc w:val="right"/>
              <w:rPr>
                <w:szCs w:val="24"/>
              </w:rPr>
            </w:pPr>
            <w:r w:rsidRPr="005C3B55">
              <w:rPr>
                <w:szCs w:val="24"/>
              </w:rPr>
              <w:t>447,583,311.15</w:t>
            </w:r>
          </w:p>
        </w:tc>
        <w:tc>
          <w:tcPr>
            <w:tcW w:w="795" w:type="pct"/>
            <w:shd w:val="clear" w:color="auto" w:fill="FFFFFF"/>
            <w:tcMar>
              <w:top w:w="20" w:type="dxa"/>
              <w:bottom w:w="20" w:type="dxa"/>
            </w:tcMar>
            <w:vAlign w:val="center"/>
          </w:tcPr>
          <w:p w:rsidR="00BD3B5F" w:rsidRPr="005C3B55" w:rsidRDefault="00BD3B5F">
            <w:pPr>
              <w:jc w:val="right"/>
              <w:rPr>
                <w:szCs w:val="24"/>
              </w:rPr>
            </w:pPr>
            <w:r w:rsidRPr="005C3B55">
              <w:rPr>
                <w:szCs w:val="24"/>
              </w:rPr>
              <w:t>30,757,663.59</w:t>
            </w:r>
          </w:p>
        </w:tc>
        <w:tc>
          <w:tcPr>
            <w:tcW w:w="597" w:type="pct"/>
            <w:shd w:val="clear" w:color="auto" w:fill="FFFFFF"/>
            <w:tcMar>
              <w:top w:w="20" w:type="dxa"/>
              <w:bottom w:w="20" w:type="dxa"/>
            </w:tcMar>
            <w:vAlign w:val="center"/>
          </w:tcPr>
          <w:p w:rsidR="00BD3B5F" w:rsidRPr="005C3B55" w:rsidRDefault="00BD3B5F">
            <w:pPr>
              <w:jc w:val="right"/>
              <w:rPr>
                <w:szCs w:val="24"/>
              </w:rPr>
            </w:pPr>
            <w:r w:rsidRPr="005C3B55">
              <w:rPr>
                <w:szCs w:val="24"/>
              </w:rPr>
              <w:t>22,379,165.56</w:t>
            </w:r>
          </w:p>
        </w:tc>
        <w:tc>
          <w:tcPr>
            <w:tcW w:w="298" w:type="pct"/>
            <w:shd w:val="clear" w:color="auto" w:fill="FFFFFF"/>
            <w:tcMar>
              <w:top w:w="20" w:type="dxa"/>
              <w:bottom w:w="20" w:type="dxa"/>
            </w:tcMar>
            <w:vAlign w:val="center"/>
          </w:tcPr>
          <w:p w:rsidR="00BD3B5F" w:rsidRPr="005C3B55" w:rsidRDefault="00BD3B5F">
            <w:pPr>
              <w:jc w:val="right"/>
              <w:rPr>
                <w:szCs w:val="24"/>
              </w:rPr>
            </w:pPr>
            <w:r w:rsidRPr="005C3B55">
              <w:rPr>
                <w:szCs w:val="24"/>
              </w:rPr>
              <w:t>31,330,831.78</w:t>
            </w:r>
          </w:p>
        </w:tc>
        <w:tc>
          <w:tcPr>
            <w:tcW w:w="338" w:type="pct"/>
            <w:shd w:val="clear" w:color="auto" w:fill="FFFFFF"/>
            <w:tcMar>
              <w:top w:w="20" w:type="dxa"/>
              <w:bottom w:w="20" w:type="dxa"/>
            </w:tcMar>
            <w:vAlign w:val="center"/>
          </w:tcPr>
          <w:p w:rsidR="00BD3B5F" w:rsidRPr="005C3B55" w:rsidRDefault="00BD3B5F">
            <w:pPr>
              <w:jc w:val="right"/>
              <w:rPr>
                <w:szCs w:val="24"/>
              </w:rPr>
            </w:pPr>
            <w:r w:rsidRPr="005C3B55">
              <w:rPr>
                <w:szCs w:val="24"/>
              </w:rPr>
              <w:t>6.87%</w:t>
            </w:r>
          </w:p>
        </w:tc>
      </w:tr>
      <w:tr w:rsidR="00144D8E" w:rsidRPr="005C3B55">
        <w:tc>
          <w:tcPr>
            <w:tcW w:w="1132" w:type="pct"/>
            <w:shd w:val="clear" w:color="auto" w:fill="FFFFFF"/>
            <w:tcMar>
              <w:top w:w="20" w:type="dxa"/>
              <w:bottom w:w="20" w:type="dxa"/>
            </w:tcMar>
            <w:vAlign w:val="center"/>
          </w:tcPr>
          <w:p w:rsidR="00BD3B5F" w:rsidRPr="005C3B55" w:rsidRDefault="00BD3B5F">
            <w:pPr>
              <w:jc w:val="left"/>
              <w:rPr>
                <w:szCs w:val="24"/>
              </w:rPr>
            </w:pPr>
            <w:r w:rsidRPr="005C3B55">
              <w:rPr>
                <w:noProof/>
                <w:szCs w:val="24"/>
              </w:rPr>
              <w:t>P6:</w:t>
            </w:r>
            <w:r w:rsidRPr="005C3B55">
              <w:rPr>
                <w:szCs w:val="24"/>
              </w:rPr>
              <w:t xml:space="preserve"> Promotion of social inclusion, reduction of poverty and economic development of rural areas</w:t>
            </w:r>
          </w:p>
        </w:tc>
        <w:tc>
          <w:tcPr>
            <w:tcW w:w="945" w:type="pct"/>
            <w:shd w:val="clear" w:color="auto" w:fill="FFFFFF"/>
            <w:tcMar>
              <w:top w:w="20" w:type="dxa"/>
              <w:bottom w:w="20" w:type="dxa"/>
            </w:tcMar>
            <w:vAlign w:val="center"/>
          </w:tcPr>
          <w:p w:rsidR="00BD3B5F" w:rsidRPr="005C3B55" w:rsidRDefault="00BD3B5F">
            <w:pPr>
              <w:jc w:val="right"/>
              <w:rPr>
                <w:szCs w:val="24"/>
              </w:rPr>
            </w:pPr>
            <w:r w:rsidRPr="005C3B55">
              <w:rPr>
                <w:szCs w:val="24"/>
              </w:rPr>
              <w:t>128,707,241.00</w:t>
            </w:r>
          </w:p>
        </w:tc>
        <w:tc>
          <w:tcPr>
            <w:tcW w:w="895" w:type="pct"/>
            <w:shd w:val="clear" w:color="auto" w:fill="FFFFFF"/>
            <w:tcMar>
              <w:top w:w="20" w:type="dxa"/>
              <w:bottom w:w="20" w:type="dxa"/>
            </w:tcMar>
            <w:vAlign w:val="center"/>
          </w:tcPr>
          <w:p w:rsidR="00BD3B5F" w:rsidRPr="005C3B55" w:rsidRDefault="00BD3B5F">
            <w:pPr>
              <w:jc w:val="right"/>
              <w:rPr>
                <w:szCs w:val="24"/>
              </w:rPr>
            </w:pPr>
            <w:r w:rsidRPr="005C3B55">
              <w:rPr>
                <w:szCs w:val="24"/>
              </w:rPr>
              <w:t>133,308,192.53</w:t>
            </w:r>
          </w:p>
        </w:tc>
        <w:tc>
          <w:tcPr>
            <w:tcW w:w="795" w:type="pct"/>
            <w:shd w:val="clear" w:color="auto" w:fill="FFFFFF"/>
            <w:tcMar>
              <w:top w:w="20" w:type="dxa"/>
              <w:bottom w:w="20" w:type="dxa"/>
            </w:tcMar>
            <w:vAlign w:val="center"/>
          </w:tcPr>
          <w:p w:rsidR="00BD3B5F" w:rsidRPr="005C3B55" w:rsidRDefault="00BD3B5F">
            <w:pPr>
              <w:jc w:val="right"/>
              <w:rPr>
                <w:szCs w:val="24"/>
              </w:rPr>
            </w:pPr>
            <w:r w:rsidRPr="005C3B55">
              <w:rPr>
                <w:szCs w:val="24"/>
              </w:rPr>
              <w:t>6,665,409.63</w:t>
            </w:r>
          </w:p>
        </w:tc>
        <w:tc>
          <w:tcPr>
            <w:tcW w:w="597" w:type="pct"/>
            <w:shd w:val="clear" w:color="auto" w:fill="FFFFFF"/>
            <w:tcMar>
              <w:top w:w="20" w:type="dxa"/>
              <w:bottom w:w="20" w:type="dxa"/>
            </w:tcMar>
            <w:vAlign w:val="center"/>
          </w:tcPr>
          <w:p w:rsidR="00BD3B5F" w:rsidRPr="005C3B55" w:rsidRDefault="00BD3B5F">
            <w:pPr>
              <w:jc w:val="right"/>
              <w:rPr>
                <w:szCs w:val="24"/>
              </w:rPr>
            </w:pPr>
            <w:r w:rsidRPr="005C3B55">
              <w:rPr>
                <w:szCs w:val="24"/>
              </w:rPr>
              <w:t>6,665,409.63</w:t>
            </w:r>
          </w:p>
        </w:tc>
        <w:tc>
          <w:tcPr>
            <w:tcW w:w="298" w:type="pct"/>
            <w:shd w:val="clear" w:color="auto" w:fill="FFFFFF"/>
            <w:tcMar>
              <w:top w:w="20" w:type="dxa"/>
              <w:bottom w:w="20" w:type="dxa"/>
            </w:tcMar>
            <w:vAlign w:val="center"/>
          </w:tcPr>
          <w:p w:rsidR="00BD3B5F" w:rsidRPr="005C3B55" w:rsidRDefault="00BD3B5F">
            <w:pPr>
              <w:jc w:val="right"/>
              <w:rPr>
                <w:szCs w:val="24"/>
              </w:rPr>
            </w:pPr>
            <w:r w:rsidRPr="005C3B55">
              <w:rPr>
                <w:szCs w:val="24"/>
              </w:rPr>
              <w:t>9,331,573.48</w:t>
            </w:r>
          </w:p>
        </w:tc>
        <w:tc>
          <w:tcPr>
            <w:tcW w:w="338" w:type="pct"/>
            <w:shd w:val="clear" w:color="auto" w:fill="FFFFFF"/>
            <w:tcMar>
              <w:top w:w="20" w:type="dxa"/>
              <w:bottom w:w="20" w:type="dxa"/>
            </w:tcMar>
            <w:vAlign w:val="center"/>
          </w:tcPr>
          <w:p w:rsidR="00BD3B5F" w:rsidRPr="005C3B55" w:rsidRDefault="00BD3B5F">
            <w:pPr>
              <w:jc w:val="right"/>
              <w:rPr>
                <w:szCs w:val="24"/>
              </w:rPr>
            </w:pPr>
            <w:r w:rsidRPr="005C3B55">
              <w:rPr>
                <w:szCs w:val="24"/>
              </w:rPr>
              <w:t>5%</w:t>
            </w:r>
          </w:p>
        </w:tc>
      </w:tr>
    </w:tbl>
    <w:p w:rsidR="00BD3B5F" w:rsidRPr="005C3B55" w:rsidRDefault="00BD3B5F">
      <w:pPr>
        <w:rPr>
          <w:b/>
          <w:szCs w:val="24"/>
        </w:rPr>
        <w:sectPr w:rsidR="00BD3B5F" w:rsidRPr="005C3B55">
          <w:pgSz w:w="15840" w:h="12240" w:orient="landscape"/>
          <w:pgMar w:top="900" w:right="900" w:bottom="900" w:left="900" w:header="708" w:footer="708" w:gutter="0"/>
          <w:cols w:space="708"/>
        </w:sectPr>
      </w:pPr>
    </w:p>
    <w:p w:rsidR="00BD3B5F" w:rsidRPr="005C3B55" w:rsidRDefault="00BD3B5F">
      <w:pPr>
        <w:pStyle w:val="Naslov1"/>
        <w:rPr>
          <w:szCs w:val="24"/>
          <w:lang w:val="en-GB"/>
        </w:rPr>
      </w:pPr>
      <w:r w:rsidRPr="005C3B55">
        <w:rPr>
          <w:szCs w:val="24"/>
          <w:lang w:val="en-GB"/>
        </w:rPr>
        <w:t xml:space="preserve"> </w:t>
      </w:r>
      <w:bookmarkStart w:id="112" w:name="_Toc416192570"/>
      <w:r w:rsidRPr="005C3B55">
        <w:rPr>
          <w:szCs w:val="24"/>
          <w:lang w:val="en-GB"/>
        </w:rPr>
        <w:t>Description of selected measures</w:t>
      </w:r>
      <w:bookmarkEnd w:id="112"/>
    </w:p>
    <w:p w:rsidR="00BD3B5F" w:rsidRPr="005C3B55" w:rsidRDefault="00BD3B5F">
      <w:pPr>
        <w:pStyle w:val="Naslov2"/>
        <w:tabs>
          <w:tab w:val="clear" w:pos="765"/>
        </w:tabs>
        <w:ind w:left="0" w:firstLine="0"/>
        <w:rPr>
          <w:szCs w:val="24"/>
          <w:lang w:val="en-GB"/>
        </w:rPr>
      </w:pPr>
      <w:bookmarkStart w:id="113" w:name="_Toc416192571"/>
      <w:r w:rsidRPr="005C3B55">
        <w:rPr>
          <w:szCs w:val="24"/>
          <w:lang w:val="en-GB"/>
        </w:rPr>
        <w:t>Description of general conditions used for more than one measure, including (if appropriate) a definition of a rural area, initial values, cross-compliance, anticipated use of financial instruments, anticipated use of advance payments, common provisions regarding investments, including provisions under Article 45 and 46 of Regulation (EU) No 1305/2013</w:t>
      </w:r>
      <w:bookmarkEnd w:id="113"/>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b/>
                <w:szCs w:val="24"/>
              </w:rPr>
              <w:t>Special definition of a rural area</w:t>
            </w:r>
          </w:p>
          <w:p w:rsidR="00BD3B5F" w:rsidRPr="005C3B55" w:rsidRDefault="00BD3B5F">
            <w:pPr>
              <w:spacing w:before="240" w:after="240"/>
              <w:jc w:val="left"/>
              <w:rPr>
                <w:noProof/>
                <w:szCs w:val="24"/>
              </w:rPr>
            </w:pPr>
            <w:r w:rsidRPr="005C3B55">
              <w:rPr>
                <w:szCs w:val="24"/>
              </w:rPr>
              <w:t>A special definition of a rural area is used for measures M19, M07 and M06.4, which is a sub-measure of measure M06.</w:t>
            </w:r>
            <w:r w:rsidRPr="005C3B55">
              <w:rPr>
                <w:noProof/>
                <w:szCs w:val="24"/>
              </w:rPr>
              <w:t xml:space="preserve"> </w:t>
            </w:r>
            <w:r w:rsidRPr="005C3B55">
              <w:rPr>
                <w:szCs w:val="24"/>
              </w:rPr>
              <w:t>With reference to measure M19, all settlements with fewer than 10,000 inhabitants are deemed rural areas.</w:t>
            </w:r>
            <w:r w:rsidRPr="005C3B55">
              <w:rPr>
                <w:noProof/>
                <w:szCs w:val="24"/>
              </w:rPr>
              <w:t xml:space="preserve"> </w:t>
            </w:r>
            <w:r w:rsidRPr="005C3B55">
              <w:rPr>
                <w:szCs w:val="24"/>
              </w:rPr>
              <w:t>With reference to measure M07 and sub-measure M06.4, all settlements with fewer than 5,000 inhabitants are deemed rural areas.</w:t>
            </w:r>
          </w:p>
          <w:p w:rsidR="00BD3B5F" w:rsidRPr="005C3B55" w:rsidRDefault="00BD3B5F">
            <w:pPr>
              <w:spacing w:before="240" w:after="240"/>
              <w:jc w:val="left"/>
              <w:rPr>
                <w:noProof/>
                <w:szCs w:val="24"/>
              </w:rPr>
            </w:pPr>
            <w:r w:rsidRPr="005C3B55">
              <w:rPr>
                <w:b/>
                <w:szCs w:val="24"/>
              </w:rPr>
              <w:t>Beneficiaries</w:t>
            </w:r>
          </w:p>
          <w:p w:rsidR="00BD3B5F" w:rsidRPr="005C3B55" w:rsidRDefault="00BD3B5F">
            <w:pPr>
              <w:spacing w:before="240" w:after="240"/>
              <w:jc w:val="left"/>
              <w:rPr>
                <w:noProof/>
                <w:szCs w:val="24"/>
              </w:rPr>
            </w:pPr>
            <w:r w:rsidRPr="005C3B55">
              <w:rPr>
                <w:szCs w:val="24"/>
              </w:rPr>
              <w:t>Support for investment is not granted to beneficiaries in difficulty as per the Community Guidelines on State Aid in the Agriculture and Forestry Sector 2014–2020, and Community Guidelines on State Aid for Rescuing and Restructuring Firms in Difficulty (OJ C 244, 1 October 2004).</w:t>
            </w:r>
          </w:p>
          <w:p w:rsidR="00BD3B5F" w:rsidRPr="005C3B55" w:rsidRDefault="00BD3B5F">
            <w:pPr>
              <w:spacing w:before="240" w:after="240"/>
              <w:jc w:val="left"/>
              <w:rPr>
                <w:noProof/>
                <w:szCs w:val="24"/>
              </w:rPr>
            </w:pPr>
            <w:r w:rsidRPr="005C3B55">
              <w:rPr>
                <w:b/>
                <w:szCs w:val="24"/>
              </w:rPr>
              <w:t>Eligibility</w:t>
            </w:r>
          </w:p>
          <w:p w:rsidR="00BD3B5F" w:rsidRPr="005C3B55" w:rsidRDefault="00BD3B5F">
            <w:pPr>
              <w:spacing w:before="240" w:after="240"/>
              <w:jc w:val="left"/>
              <w:rPr>
                <w:noProof/>
                <w:szCs w:val="24"/>
              </w:rPr>
            </w:pPr>
            <w:r w:rsidRPr="005C3B55">
              <w:rPr>
                <w:szCs w:val="24"/>
              </w:rPr>
              <w:t>Operations are eligible for support in accordance with the determination of the eligibility period within the description of each measure, sub-measure or operation.</w:t>
            </w:r>
            <w:r w:rsidRPr="005C3B55">
              <w:rPr>
                <w:noProof/>
                <w:szCs w:val="24"/>
              </w:rPr>
              <w:t xml:space="preserve"> </w:t>
            </w:r>
            <w:r w:rsidRPr="005C3B55">
              <w:rPr>
                <w:szCs w:val="24"/>
              </w:rPr>
              <w:t>Expenditure is eligible for contributions from the EAFRD fund, provided that the Paying Agency actually paid the aid between 1 January 2014 and 31 December 2023.</w:t>
            </w:r>
          </w:p>
          <w:p w:rsidR="00BD3B5F" w:rsidRPr="005C3B55" w:rsidRDefault="00BD3B5F">
            <w:pPr>
              <w:spacing w:before="240" w:after="240"/>
              <w:jc w:val="left"/>
              <w:rPr>
                <w:noProof/>
                <w:szCs w:val="24"/>
              </w:rPr>
            </w:pPr>
            <w:r w:rsidRPr="005C3B55">
              <w:rPr>
                <w:szCs w:val="24"/>
              </w:rPr>
              <w:t>Unless provided otherwise, only expenditure incurred after the operation was confirmed is considered eligible.</w:t>
            </w:r>
          </w:p>
          <w:p w:rsidR="00BD3B5F" w:rsidRPr="005C3B55" w:rsidRDefault="00BD3B5F">
            <w:pPr>
              <w:spacing w:before="0" w:after="0"/>
              <w:jc w:val="left"/>
              <w:rPr>
                <w:noProof/>
                <w:szCs w:val="24"/>
              </w:rPr>
            </w:pPr>
            <w:r w:rsidRPr="005C3B55">
              <w:rPr>
                <w:szCs w:val="24"/>
              </w:rPr>
              <w:t>The determination of the amount of eligible costs will take into account the upper limits of individual eligible costs, which will be determined in the Catalogue of the highest values of costs.</w:t>
            </w:r>
            <w:r w:rsidRPr="005C3B55">
              <w:rPr>
                <w:noProof/>
                <w:szCs w:val="24"/>
              </w:rPr>
              <w:t xml:space="preserve"> </w:t>
            </w:r>
            <w:r w:rsidRPr="005C3B55">
              <w:rPr>
                <w:szCs w:val="24"/>
              </w:rPr>
              <w:t>Regardless of this, the beneficiary will have to enclose one bid with the application.</w:t>
            </w:r>
            <w:r w:rsidRPr="005C3B55">
              <w:rPr>
                <w:noProof/>
                <w:szCs w:val="24"/>
              </w:rPr>
              <w:t xml:space="preserve"> </w:t>
            </w:r>
            <w:r w:rsidRPr="005C3B55">
              <w:rPr>
                <w:szCs w:val="24"/>
              </w:rPr>
              <w:t>In the case of values not determined in the Catalogue of the highest values of costs, the beneficiary must enclose three bids.</w:t>
            </w:r>
          </w:p>
          <w:p w:rsidR="00BD3B5F" w:rsidRPr="005C3B55" w:rsidRDefault="00BD3B5F">
            <w:pPr>
              <w:spacing w:before="240" w:after="240"/>
              <w:jc w:val="left"/>
              <w:rPr>
                <w:noProof/>
                <w:szCs w:val="24"/>
              </w:rPr>
            </w:pPr>
            <w:r w:rsidRPr="005C3B55">
              <w:rPr>
                <w:szCs w:val="24"/>
              </w:rPr>
              <w:t>Beneficiaries must prove payments with invoices and confirmations of payment.</w:t>
            </w:r>
            <w:r w:rsidRPr="005C3B55">
              <w:rPr>
                <w:noProof/>
                <w:szCs w:val="24"/>
              </w:rPr>
              <w:t xml:space="preserve"> </w:t>
            </w:r>
            <w:r w:rsidRPr="005C3B55">
              <w:rPr>
                <w:szCs w:val="24"/>
              </w:rPr>
              <w:t>If that is not possible, payment can be proved by documents of equal probative value, with the exception of the types of support under points (b), (c) and (d) of Article 67(1) of Regulation (EU) No 1303/2013.</w:t>
            </w:r>
          </w:p>
          <w:p w:rsidR="00BD3B5F" w:rsidRPr="005C3B55" w:rsidRDefault="00BD3B5F">
            <w:pPr>
              <w:spacing w:before="240" w:after="240"/>
              <w:jc w:val="left"/>
              <w:rPr>
                <w:noProof/>
                <w:szCs w:val="24"/>
              </w:rPr>
            </w:pPr>
            <w:r w:rsidRPr="005C3B55">
              <w:rPr>
                <w:b/>
                <w:szCs w:val="24"/>
              </w:rPr>
              <w:t>Eligible costs of investments</w:t>
            </w:r>
          </w:p>
          <w:p w:rsidR="00BD3B5F" w:rsidRPr="005C3B55" w:rsidRDefault="00BD3B5F">
            <w:pPr>
              <w:spacing w:before="240" w:after="240"/>
              <w:jc w:val="left"/>
              <w:rPr>
                <w:noProof/>
                <w:szCs w:val="24"/>
              </w:rPr>
            </w:pPr>
            <w:r w:rsidRPr="005C3B55">
              <w:rPr>
                <w:szCs w:val="24"/>
              </w:rPr>
              <w:t>In accordance with Article 45(1) of Regulation (EU) No 1305/2013, investment operations are eligible for support if, in accordance with the law specific to that kind of investment, they are preceded by an assessment of the expected environmental impact where the investment is likely to have negative effects on the environment.</w:t>
            </w:r>
          </w:p>
          <w:p w:rsidR="00BD3B5F" w:rsidRPr="005C3B55" w:rsidRDefault="00BD3B5F">
            <w:pPr>
              <w:spacing w:before="240" w:after="240"/>
              <w:jc w:val="left"/>
              <w:rPr>
                <w:noProof/>
                <w:szCs w:val="24"/>
              </w:rPr>
            </w:pPr>
            <w:r w:rsidRPr="005C3B55">
              <w:rPr>
                <w:szCs w:val="24"/>
              </w:rPr>
              <w:t>Under Article 45(2) of Regulation (EU) No 1305/2013, expenditure that is eligible for support is limited to:</w:t>
            </w:r>
          </w:p>
          <w:p w:rsidR="00BD3B5F" w:rsidRPr="005C3B55" w:rsidRDefault="00BD3B5F" w:rsidP="00BD3B5F">
            <w:pPr>
              <w:numPr>
                <w:ilvl w:val="0"/>
                <w:numId w:val="120"/>
              </w:numPr>
              <w:spacing w:before="240" w:after="0"/>
              <w:ind w:hanging="290"/>
              <w:jc w:val="left"/>
              <w:rPr>
                <w:noProof/>
                <w:szCs w:val="24"/>
              </w:rPr>
            </w:pPr>
            <w:r w:rsidRPr="005C3B55">
              <w:rPr>
                <w:szCs w:val="24"/>
              </w:rPr>
              <w:t>construction, acquisition, including leasing, or improvement of immovable property;</w:t>
            </w:r>
          </w:p>
          <w:p w:rsidR="00BD3B5F" w:rsidRPr="005C3B55" w:rsidRDefault="00BD3B5F" w:rsidP="00BD3B5F">
            <w:pPr>
              <w:numPr>
                <w:ilvl w:val="0"/>
                <w:numId w:val="120"/>
              </w:numPr>
              <w:spacing w:before="0" w:after="0"/>
              <w:ind w:hanging="290"/>
              <w:jc w:val="left"/>
              <w:rPr>
                <w:noProof/>
                <w:szCs w:val="24"/>
              </w:rPr>
            </w:pPr>
            <w:r w:rsidRPr="005C3B55">
              <w:rPr>
                <w:szCs w:val="24"/>
              </w:rPr>
              <w:t>the purchase or lease purchase of new machinery and equipment up to the market value of the asset;</w:t>
            </w:r>
          </w:p>
          <w:p w:rsidR="00BD3B5F" w:rsidRPr="005C3B55" w:rsidRDefault="00BD3B5F" w:rsidP="00BD3B5F">
            <w:pPr>
              <w:numPr>
                <w:ilvl w:val="0"/>
                <w:numId w:val="120"/>
              </w:numPr>
              <w:spacing w:before="0" w:after="0"/>
              <w:ind w:hanging="290"/>
              <w:jc w:val="left"/>
              <w:rPr>
                <w:noProof/>
                <w:szCs w:val="24"/>
              </w:rPr>
            </w:pPr>
            <w:r w:rsidRPr="005C3B55">
              <w:rPr>
                <w:szCs w:val="24"/>
              </w:rPr>
              <w:t xml:space="preserve">general costs linked to expenditure referred to in the first and second indents, such as architect, engineer and consultation fees, </w:t>
            </w:r>
            <w:r w:rsidRPr="005C3B55">
              <w:rPr>
                <w:rStyle w:val="DeltaViewInsertion"/>
                <w:b w:val="0"/>
                <w:i w:val="0"/>
                <w:szCs w:val="24"/>
              </w:rPr>
              <w:t>fees relating to advisory services on environmental and economic sustainability, including costs of feasibility studies.</w:t>
            </w:r>
            <w:r w:rsidRPr="005C3B55">
              <w:rPr>
                <w:noProof/>
                <w:szCs w:val="24"/>
              </w:rPr>
              <w:t xml:space="preserve"> </w:t>
            </w:r>
            <w:r w:rsidRPr="005C3B55">
              <w:rPr>
                <w:szCs w:val="24"/>
              </w:rPr>
              <w:t>Feasibility studies remain eligible expenditure even if, based on their results, no expenditure under the first or second indent is made;</w:t>
            </w:r>
          </w:p>
          <w:p w:rsidR="00BD3B5F" w:rsidRPr="005C3B55" w:rsidRDefault="00BD3B5F" w:rsidP="00BD3B5F">
            <w:pPr>
              <w:numPr>
                <w:ilvl w:val="0"/>
                <w:numId w:val="120"/>
              </w:numPr>
              <w:spacing w:before="0" w:after="0"/>
              <w:ind w:hanging="290"/>
              <w:jc w:val="left"/>
              <w:rPr>
                <w:noProof/>
                <w:szCs w:val="24"/>
              </w:rPr>
            </w:pPr>
            <w:r w:rsidRPr="005C3B55">
              <w:rPr>
                <w:szCs w:val="24"/>
              </w:rPr>
              <w:t>the following investments in intangible assets:</w:t>
            </w:r>
            <w:r w:rsidRPr="005C3B55">
              <w:rPr>
                <w:noProof/>
                <w:szCs w:val="24"/>
              </w:rPr>
              <w:t xml:space="preserve"> </w:t>
            </w:r>
            <w:r w:rsidRPr="005C3B55">
              <w:rPr>
                <w:szCs w:val="24"/>
              </w:rPr>
              <w:t>acquisition or development of computer software and acquisition of patents, licenses, copyrights, trademarks;</w:t>
            </w:r>
          </w:p>
          <w:p w:rsidR="00BD3B5F" w:rsidRPr="005C3B55" w:rsidRDefault="00BD3B5F" w:rsidP="00BD3B5F">
            <w:pPr>
              <w:numPr>
                <w:ilvl w:val="0"/>
                <w:numId w:val="120"/>
              </w:numPr>
              <w:spacing w:before="0" w:after="0"/>
              <w:ind w:hanging="290"/>
              <w:jc w:val="left"/>
              <w:rPr>
                <w:noProof/>
                <w:szCs w:val="24"/>
              </w:rPr>
            </w:pPr>
            <w:r w:rsidRPr="005C3B55">
              <w:rPr>
                <w:szCs w:val="24"/>
              </w:rPr>
              <w:t>the costs of establishing forest management plans and their equivalents;</w:t>
            </w:r>
          </w:p>
          <w:p w:rsidR="00BD3B5F" w:rsidRPr="005C3B55" w:rsidRDefault="00BD3B5F" w:rsidP="00BD3B5F">
            <w:pPr>
              <w:numPr>
                <w:ilvl w:val="0"/>
                <w:numId w:val="120"/>
              </w:numPr>
              <w:spacing w:before="0" w:after="240"/>
              <w:ind w:hanging="290"/>
              <w:jc w:val="left"/>
              <w:rPr>
                <w:noProof/>
                <w:szCs w:val="24"/>
              </w:rPr>
            </w:pPr>
            <w:r w:rsidRPr="005C3B55">
              <w:rPr>
                <w:szCs w:val="24"/>
              </w:rPr>
              <w:t>in the case of agricultural investments, the purchase of agricultural production rights, payment entitlements, animals, annual plants and their planting shall not be eligible for investment support.</w:t>
            </w:r>
            <w:r w:rsidRPr="005C3B55">
              <w:rPr>
                <w:noProof/>
                <w:szCs w:val="24"/>
              </w:rPr>
              <w:t xml:space="preserve"> </w:t>
            </w:r>
            <w:r w:rsidRPr="005C3B55">
              <w:rPr>
                <w:szCs w:val="24"/>
              </w:rPr>
              <w:t>However, in the case of the restoration of agricultural production potential damaged by natural disasters or catastrophic events, in accordance with point (b) of Article 18(1) of Regulation (EU) No  1305/2013, expenditure for the purchase of animals may be eligible expenditure.</w:t>
            </w:r>
          </w:p>
          <w:p w:rsidR="00BD3B5F" w:rsidRPr="005C3B55" w:rsidRDefault="00BD3B5F">
            <w:pPr>
              <w:spacing w:before="240" w:after="240"/>
              <w:jc w:val="left"/>
              <w:rPr>
                <w:noProof/>
                <w:szCs w:val="24"/>
              </w:rPr>
            </w:pPr>
            <w:r w:rsidRPr="005C3B55">
              <w:rPr>
                <w:szCs w:val="24"/>
              </w:rPr>
              <w:t>Article 13 of Regulation (EU) No 807/2014 provides that for the purposes of Article 45 of Regulation (EU) No 1305/2013:</w:t>
            </w:r>
          </w:p>
          <w:p w:rsidR="00BD3B5F" w:rsidRPr="005C3B55" w:rsidRDefault="00BD3B5F" w:rsidP="00BD3B5F">
            <w:pPr>
              <w:numPr>
                <w:ilvl w:val="0"/>
                <w:numId w:val="121"/>
              </w:numPr>
              <w:spacing w:before="240" w:after="0"/>
              <w:ind w:hanging="290"/>
              <w:jc w:val="left"/>
              <w:rPr>
                <w:noProof/>
                <w:szCs w:val="24"/>
              </w:rPr>
            </w:pPr>
            <w:r w:rsidRPr="005C3B55">
              <w:rPr>
                <w:szCs w:val="24"/>
              </w:rPr>
              <w:t>in the case of leasing, other costs connected with the leasing contract, such as the lessor’s margin, interest refinancing costs, overheads and insurance charges, shall not be eligible expenditure;</w:t>
            </w:r>
          </w:p>
          <w:p w:rsidR="00BD3B5F" w:rsidRPr="005C3B55" w:rsidRDefault="00BD3B5F" w:rsidP="00BD3B5F">
            <w:pPr>
              <w:numPr>
                <w:ilvl w:val="0"/>
                <w:numId w:val="121"/>
              </w:numPr>
              <w:spacing w:before="0" w:after="0"/>
              <w:ind w:hanging="290"/>
              <w:jc w:val="left"/>
              <w:rPr>
                <w:noProof/>
                <w:szCs w:val="24"/>
              </w:rPr>
            </w:pPr>
            <w:r w:rsidRPr="005C3B55">
              <w:rPr>
                <w:szCs w:val="24"/>
              </w:rPr>
              <w:t>the purchase of second-hand equipment is not regarded as eligible expenditure;</w:t>
            </w:r>
          </w:p>
          <w:p w:rsidR="00BD3B5F" w:rsidRPr="005C3B55" w:rsidRDefault="00BD3B5F" w:rsidP="00BD3B5F">
            <w:pPr>
              <w:numPr>
                <w:ilvl w:val="0"/>
                <w:numId w:val="121"/>
              </w:numPr>
              <w:spacing w:before="0" w:after="0"/>
              <w:ind w:hanging="290"/>
              <w:jc w:val="left"/>
              <w:rPr>
                <w:noProof/>
                <w:szCs w:val="24"/>
              </w:rPr>
            </w:pPr>
            <w:r w:rsidRPr="005C3B55">
              <w:rPr>
                <w:szCs w:val="24"/>
              </w:rPr>
              <w:t>compliance is required with minimum standards for energy efficiency for supported investments in renewable energy infrastructure that consume or produce energy in accordance with national regulations;</w:t>
            </w:r>
          </w:p>
          <w:p w:rsidR="00BD3B5F" w:rsidRPr="005C3B55" w:rsidRDefault="00BD3B5F" w:rsidP="00BD3B5F">
            <w:pPr>
              <w:numPr>
                <w:ilvl w:val="0"/>
                <w:numId w:val="121"/>
              </w:numPr>
              <w:spacing w:before="0" w:after="240"/>
              <w:ind w:hanging="290"/>
              <w:jc w:val="left"/>
              <w:rPr>
                <w:noProof/>
                <w:szCs w:val="24"/>
              </w:rPr>
            </w:pPr>
            <w:r w:rsidRPr="005C3B55">
              <w:rPr>
                <w:szCs w:val="24"/>
              </w:rPr>
              <w:t>investments in installations the primary purpose of which is electricity production from biomass are not eligible for support unless a minimum percentage of heat energy is utilised.</w:t>
            </w:r>
          </w:p>
          <w:p w:rsidR="00BD3B5F" w:rsidRPr="005C3B55" w:rsidRDefault="00BD3B5F">
            <w:pPr>
              <w:spacing w:before="240" w:after="240"/>
              <w:jc w:val="left"/>
              <w:rPr>
                <w:noProof/>
                <w:szCs w:val="24"/>
              </w:rPr>
            </w:pPr>
            <w:r w:rsidRPr="005C3B55">
              <w:rPr>
                <w:i/>
                <w:szCs w:val="24"/>
                <w:u w:val="single"/>
              </w:rPr>
              <w:t>Compliance with minimum energy efficiency standards</w:t>
            </w:r>
          </w:p>
          <w:p w:rsidR="00BD3B5F" w:rsidRPr="005C3B55" w:rsidRDefault="00BD3B5F">
            <w:pPr>
              <w:spacing w:before="0" w:after="0"/>
              <w:jc w:val="left"/>
              <w:rPr>
                <w:noProof/>
                <w:szCs w:val="24"/>
              </w:rPr>
            </w:pPr>
            <w:r w:rsidRPr="005C3B55">
              <w:rPr>
                <w:szCs w:val="24"/>
              </w:rPr>
              <w:t>In supported investments which use or generate electricity, minimum energy efficiency standards must be observed when these standards exist and have been determined at the national level.</w:t>
            </w:r>
            <w:r w:rsidRPr="005C3B55">
              <w:rPr>
                <w:noProof/>
                <w:szCs w:val="24"/>
              </w:rPr>
              <w:t xml:space="preserve"> </w:t>
            </w:r>
            <w:r w:rsidRPr="005C3B55">
              <w:rPr>
                <w:szCs w:val="24"/>
              </w:rPr>
              <w:t>Minimum energy efficiency standards have to be observed in supported investments which use or generate electricity and are provided in the Energy Act (Official Gazette of the Republic of Slovenia, no. 17/2014) and decrees adopted on its basis: the Decree on support for electricity generated from renewable energy sources (Official Gazette of the Republic of Slovenia, no. 37/09 with amendments), Decree on energy infrastructure (Official Gazette of the Republic of Slovenia, no. 62/03 with amendments), Decree on support for electricity generated in cogeneration with high efficiency (Official Gazette of the Republic of Slovenia, no. 37/09 with amendments), Decree on the emission of substances into the atmosphere from small and medium combustion plants (Official Gazette of the Republic of Slovenia, no. 24/13 with amendments) or after the enforcement of new executive regulations issued on the basis of the Energy Act (Official Gazette of the Republic of Slovenia, no. 17/2014 with amendments), these and all other decrees and regulations which determine minimum energy efficiency standards.</w:t>
            </w:r>
          </w:p>
          <w:p w:rsidR="00BD3B5F" w:rsidRPr="005C3B55" w:rsidRDefault="00BD3B5F">
            <w:pPr>
              <w:spacing w:before="240" w:after="240"/>
              <w:jc w:val="left"/>
              <w:rPr>
                <w:noProof/>
                <w:szCs w:val="24"/>
              </w:rPr>
            </w:pPr>
            <w:r w:rsidRPr="005C3B55">
              <w:rPr>
                <w:i/>
                <w:szCs w:val="24"/>
                <w:u w:val="single"/>
              </w:rPr>
              <w:t>The minimum percentage of heat energy for investments in installations the objective of which is electricity production</w:t>
            </w:r>
          </w:p>
          <w:p w:rsidR="00BD3B5F" w:rsidRPr="005C3B55" w:rsidRDefault="00BD3B5F">
            <w:pPr>
              <w:spacing w:before="240" w:after="240"/>
              <w:jc w:val="left"/>
              <w:rPr>
                <w:noProof/>
                <w:szCs w:val="24"/>
              </w:rPr>
            </w:pPr>
            <w:r w:rsidRPr="005C3B55">
              <w:rPr>
                <w:szCs w:val="24"/>
              </w:rPr>
              <w:t>In the case of investments basically intended for the generation of electricity from biomass, a portion of the co-generated heat energy must be utilised on an agricultural holding.</w:t>
            </w:r>
            <w:r w:rsidRPr="005C3B55">
              <w:rPr>
                <w:noProof/>
                <w:szCs w:val="24"/>
              </w:rPr>
              <w:t xml:space="preserve"> </w:t>
            </w:r>
            <w:r w:rsidRPr="005C3B55">
              <w:rPr>
                <w:szCs w:val="24"/>
              </w:rPr>
              <w:t>The percentage of utilised heat energy must amount to at least 60% annually of the total heat energy generated from biomass, or at least 50% of the total heat energy generated from biogas.</w:t>
            </w:r>
          </w:p>
          <w:p w:rsidR="00BD3B5F" w:rsidRPr="005C3B55" w:rsidRDefault="00BD3B5F">
            <w:pPr>
              <w:spacing w:before="240" w:after="240"/>
              <w:jc w:val="left"/>
              <w:rPr>
                <w:noProof/>
                <w:szCs w:val="24"/>
              </w:rPr>
            </w:pPr>
            <w:r w:rsidRPr="005C3B55">
              <w:rPr>
                <w:i/>
                <w:szCs w:val="24"/>
                <w:u w:val="single"/>
              </w:rPr>
              <w:t>Thresholds for the maximum proportions of cereals and other starch rich crops, sugars and oil crops used for bio-energy production, including biofuels</w:t>
            </w:r>
            <w:r w:rsidRPr="005C3B55">
              <w:rPr>
                <w:i/>
                <w:noProof/>
                <w:szCs w:val="24"/>
                <w:u w:val="single"/>
              </w:rPr>
              <w:t xml:space="preserve"> </w:t>
            </w:r>
          </w:p>
          <w:p w:rsidR="00BD3B5F" w:rsidRPr="005C3B55" w:rsidRDefault="00BD3B5F">
            <w:pPr>
              <w:spacing w:before="240" w:after="240"/>
              <w:jc w:val="left"/>
              <w:rPr>
                <w:noProof/>
                <w:szCs w:val="24"/>
              </w:rPr>
            </w:pPr>
            <w:r w:rsidRPr="005C3B55">
              <w:rPr>
                <w:szCs w:val="24"/>
              </w:rPr>
              <w:t>In the case of investments in producing heat energy and/or electricity from biomass, the use of cereals and other starch and sugar rich crops and oil crops is not permitted, except in the production of biogas.</w:t>
            </w:r>
            <w:r w:rsidRPr="005C3B55">
              <w:rPr>
                <w:noProof/>
                <w:szCs w:val="24"/>
              </w:rPr>
              <w:t xml:space="preserve"> </w:t>
            </w:r>
            <w:r w:rsidRPr="005C3B55">
              <w:rPr>
                <w:szCs w:val="24"/>
              </w:rPr>
              <w:t>The beneficiary is eligible for support for investments in the production of biogas only if the substrate includes a maximum of 10 volume per cent of the main crop and a maximum of 15 volume per cent of fodder from grassland or intentionally sown catch crops.</w:t>
            </w:r>
            <w:r w:rsidRPr="005C3B55">
              <w:rPr>
                <w:noProof/>
                <w:szCs w:val="24"/>
              </w:rPr>
              <w:t xml:space="preserve"> </w:t>
            </w:r>
            <w:r w:rsidRPr="005C3B55">
              <w:rPr>
                <w:szCs w:val="24"/>
              </w:rPr>
              <w:t>This must be evident from the technical documentation of such project.</w:t>
            </w:r>
            <w:r w:rsidRPr="005C3B55">
              <w:rPr>
                <w:noProof/>
                <w:szCs w:val="24"/>
              </w:rPr>
              <w:t xml:space="preserve"> </w:t>
            </w:r>
            <w:r w:rsidRPr="005C3B55">
              <w:rPr>
                <w:szCs w:val="24"/>
              </w:rPr>
              <w:t>The support for bio-energy projects is limited to bio-energy which meets the current sustainability criteria under EU legislation, including Article 17(2) to (6) of Directive 2009/28/EC of the European Parliament and of the Council.</w:t>
            </w:r>
            <w:r w:rsidRPr="005C3B55">
              <w:rPr>
                <w:noProof/>
                <w:szCs w:val="24"/>
              </w:rPr>
              <w:t xml:space="preserve"> </w:t>
            </w:r>
            <w:r w:rsidRPr="005C3B55">
              <w:rPr>
                <w:szCs w:val="24"/>
              </w:rPr>
              <w:t>With regard to the aforementioned, a general assessment must be included in the Strategic Environmental Assessment of the RDP 2014–2020. Sustainable criteria for motor bio-fuels and other liquid bio-fuels are defined in the Regulation on support for the electricity generated from renewable energy sources (Official Gazette of the Republic of Slovenia, no. 37/09 with all amendments).</w:t>
            </w:r>
          </w:p>
          <w:p w:rsidR="00BD3B5F" w:rsidRPr="005C3B55" w:rsidRDefault="00BD3B5F">
            <w:pPr>
              <w:spacing w:before="240" w:after="240"/>
              <w:jc w:val="left"/>
              <w:rPr>
                <w:noProof/>
                <w:szCs w:val="24"/>
              </w:rPr>
            </w:pPr>
            <w:r w:rsidRPr="005C3B55">
              <w:rPr>
                <w:b/>
                <w:szCs w:val="24"/>
              </w:rPr>
              <w:t>In-kind contribution</w:t>
            </w:r>
          </w:p>
          <w:p w:rsidR="00BD3B5F" w:rsidRPr="005C3B55" w:rsidRDefault="00BD3B5F">
            <w:pPr>
              <w:spacing w:before="240" w:after="240"/>
              <w:jc w:val="left"/>
              <w:rPr>
                <w:noProof/>
                <w:szCs w:val="24"/>
              </w:rPr>
            </w:pPr>
            <w:r w:rsidRPr="005C3B55">
              <w:rPr>
                <w:szCs w:val="24"/>
              </w:rPr>
              <w:t>In-kind contributions are eligible in some operations if the conditions in Article 69 of Regulation (EU) No 1303/2013 are met.</w:t>
            </w:r>
          </w:p>
          <w:p w:rsidR="00BD3B5F" w:rsidRPr="005C3B55" w:rsidRDefault="00BD3B5F">
            <w:pPr>
              <w:spacing w:before="240" w:after="240"/>
              <w:jc w:val="left"/>
              <w:rPr>
                <w:noProof/>
                <w:szCs w:val="24"/>
              </w:rPr>
            </w:pPr>
            <w:r w:rsidRPr="005C3B55">
              <w:rPr>
                <w:b/>
                <w:szCs w:val="24"/>
              </w:rPr>
              <w:t>Forms of support</w:t>
            </w:r>
          </w:p>
          <w:p w:rsidR="00BD3B5F" w:rsidRPr="005C3B55" w:rsidRDefault="00BD3B5F">
            <w:pPr>
              <w:spacing w:before="240" w:after="240"/>
              <w:jc w:val="left"/>
              <w:rPr>
                <w:noProof/>
                <w:szCs w:val="24"/>
              </w:rPr>
            </w:pPr>
            <w:r w:rsidRPr="005C3B55">
              <w:rPr>
                <w:szCs w:val="24"/>
              </w:rPr>
              <w:t>In accordance with Article 66 of Regulation (EU) No 1303/2013, support is provided in the form of grants and financial instruments.</w:t>
            </w:r>
          </w:p>
          <w:p w:rsidR="00BD3B5F" w:rsidRPr="005C3B55" w:rsidRDefault="00BD3B5F">
            <w:pPr>
              <w:spacing w:before="240" w:after="240"/>
              <w:jc w:val="left"/>
              <w:rPr>
                <w:noProof/>
                <w:szCs w:val="24"/>
              </w:rPr>
            </w:pPr>
            <w:r w:rsidRPr="005C3B55">
              <w:rPr>
                <w:szCs w:val="24"/>
              </w:rPr>
              <w:t>In the case of repayable support, the support repaid to the body that provided the support, or to another competent authority of the Member State, is kept in a separate account or separated with accounting codes and reused for the same purpose or in accordance with the objectives of the programme.</w:t>
            </w:r>
          </w:p>
          <w:p w:rsidR="00BD3B5F" w:rsidRPr="005C3B55" w:rsidRDefault="00BD3B5F">
            <w:pPr>
              <w:spacing w:before="240" w:after="240"/>
              <w:jc w:val="left"/>
              <w:rPr>
                <w:noProof/>
                <w:szCs w:val="24"/>
              </w:rPr>
            </w:pPr>
            <w:r w:rsidRPr="005C3B55">
              <w:rPr>
                <w:b/>
                <w:szCs w:val="24"/>
              </w:rPr>
              <w:t>Use of financial instruments</w:t>
            </w:r>
          </w:p>
          <w:p w:rsidR="00BD3B5F" w:rsidRPr="005C3B55" w:rsidRDefault="00BD3B5F">
            <w:pPr>
              <w:spacing w:before="240" w:after="240"/>
              <w:jc w:val="left"/>
              <w:rPr>
                <w:noProof/>
                <w:szCs w:val="24"/>
              </w:rPr>
            </w:pPr>
            <w:r w:rsidRPr="005C3B55">
              <w:rPr>
                <w:szCs w:val="24"/>
              </w:rPr>
              <w:t>The use of financial instruments under Article 37 of Regulation (EU) No 1303/2013 is anticipated in the following sub-measures:</w:t>
            </w:r>
            <w:r w:rsidRPr="005C3B55">
              <w:rPr>
                <w:noProof/>
                <w:szCs w:val="24"/>
              </w:rPr>
              <w:t xml:space="preserve"> M04.2, M06.4 and M08.6.</w:t>
            </w:r>
          </w:p>
          <w:p w:rsidR="00BD3B5F" w:rsidRPr="005C3B55" w:rsidRDefault="00BD3B5F">
            <w:pPr>
              <w:spacing w:before="240" w:after="240"/>
              <w:jc w:val="left"/>
              <w:rPr>
                <w:noProof/>
                <w:szCs w:val="24"/>
              </w:rPr>
            </w:pPr>
            <w:r w:rsidRPr="005C3B55">
              <w:rPr>
                <w:b/>
                <w:szCs w:val="24"/>
              </w:rPr>
              <w:t>Possibility of advance payments</w:t>
            </w:r>
          </w:p>
          <w:p w:rsidR="00BD3B5F" w:rsidRPr="005C3B55" w:rsidRDefault="00BD3B5F">
            <w:pPr>
              <w:spacing w:before="240" w:after="240"/>
              <w:jc w:val="left"/>
              <w:rPr>
                <w:noProof/>
                <w:szCs w:val="24"/>
              </w:rPr>
            </w:pPr>
            <w:r w:rsidRPr="005C3B55">
              <w:rPr>
                <w:szCs w:val="24"/>
              </w:rPr>
              <w:t>The beneficiaries to support in investments may in accordance with point 4 of Article 45 of Regulation (EU) No 1305/2013 request for advance payment at the Paying Agency after the issue of the decision on the entitlement to funds.</w:t>
            </w:r>
            <w:r w:rsidRPr="005C3B55">
              <w:rPr>
                <w:noProof/>
                <w:szCs w:val="24"/>
              </w:rPr>
              <w:t xml:space="preserve"> </w:t>
            </w:r>
            <w:r w:rsidRPr="005C3B55">
              <w:rPr>
                <w:szCs w:val="24"/>
              </w:rPr>
              <w:t>The amount of the request for advance payment may be up to 30% of public support value. Advance payments are possible under sub-measure M03.2 and measures M04 and M16.</w:t>
            </w:r>
          </w:p>
          <w:p w:rsidR="00BD3B5F" w:rsidRPr="005C3B55" w:rsidRDefault="00BD3B5F">
            <w:pPr>
              <w:spacing w:before="240" w:after="240"/>
              <w:jc w:val="left"/>
              <w:rPr>
                <w:noProof/>
                <w:szCs w:val="24"/>
              </w:rPr>
            </w:pPr>
            <w:r w:rsidRPr="005C3B55">
              <w:rPr>
                <w:szCs w:val="24"/>
              </w:rPr>
              <w:t>In accordance with point 2 of Article 42 of Regulation (EU) No 1305/2013, local action groups may also request for advance payments.</w:t>
            </w:r>
          </w:p>
          <w:p w:rsidR="00BD3B5F" w:rsidRPr="005C3B55" w:rsidRDefault="00BD3B5F">
            <w:pPr>
              <w:spacing w:before="240" w:after="240"/>
              <w:jc w:val="left"/>
              <w:rPr>
                <w:noProof/>
                <w:szCs w:val="24"/>
              </w:rPr>
            </w:pPr>
            <w:r w:rsidRPr="005C3B55">
              <w:rPr>
                <w:szCs w:val="24"/>
              </w:rPr>
              <w:t>Advance payment may only be provided if Article 63 of Regulation (EU) No 1305/2013 is observed.</w:t>
            </w:r>
          </w:p>
          <w:p w:rsidR="00BD3B5F" w:rsidRPr="005C3B55" w:rsidRDefault="00BD3B5F">
            <w:pPr>
              <w:spacing w:before="240" w:after="240"/>
              <w:jc w:val="left"/>
              <w:rPr>
                <w:noProof/>
                <w:szCs w:val="24"/>
              </w:rPr>
            </w:pPr>
            <w:r w:rsidRPr="005C3B55">
              <w:rPr>
                <w:b/>
                <w:szCs w:val="24"/>
              </w:rPr>
              <w:t>Selection of operations for support</w:t>
            </w:r>
          </w:p>
          <w:p w:rsidR="00BD3B5F" w:rsidRPr="005C3B55" w:rsidRDefault="00BD3B5F">
            <w:pPr>
              <w:spacing w:before="240" w:after="240"/>
              <w:jc w:val="left"/>
              <w:rPr>
                <w:noProof/>
                <w:szCs w:val="24"/>
              </w:rPr>
            </w:pPr>
            <w:r w:rsidRPr="005C3B55">
              <w:rPr>
                <w:szCs w:val="24"/>
              </w:rPr>
              <w:t>Selected operations the applications of which are complete and suitable in terms of content, and which meet the conditions for granting funds and exceed the threshold number of points determined in the public tender, will be eligible for support.</w:t>
            </w:r>
          </w:p>
          <w:p w:rsidR="00BD3B5F" w:rsidRPr="005C3B55" w:rsidRDefault="00BD3B5F">
            <w:pPr>
              <w:spacing w:before="240" w:after="240"/>
              <w:jc w:val="left"/>
              <w:rPr>
                <w:noProof/>
                <w:szCs w:val="24"/>
              </w:rPr>
            </w:pPr>
            <w:r w:rsidRPr="005C3B55">
              <w:rPr>
                <w:szCs w:val="24"/>
              </w:rPr>
              <w:t>The following principles will be observed in the selection of operations:</w:t>
            </w:r>
          </w:p>
          <w:p w:rsidR="00BD3B5F" w:rsidRPr="005C3B55" w:rsidRDefault="00BD3B5F" w:rsidP="00BD3B5F">
            <w:pPr>
              <w:numPr>
                <w:ilvl w:val="0"/>
                <w:numId w:val="122"/>
              </w:numPr>
              <w:spacing w:before="240" w:after="0"/>
              <w:ind w:hanging="290"/>
              <w:jc w:val="left"/>
              <w:rPr>
                <w:noProof/>
                <w:szCs w:val="24"/>
              </w:rPr>
            </w:pPr>
            <w:r w:rsidRPr="005C3B55">
              <w:rPr>
                <w:szCs w:val="24"/>
              </w:rPr>
              <w:t>the criteria for selecting applications will be determined in a way which enables the selection of applications of the highest quality from among those submitted to the public tender;</w:t>
            </w:r>
          </w:p>
          <w:p w:rsidR="00BD3B5F" w:rsidRPr="005C3B55" w:rsidRDefault="00BD3B5F" w:rsidP="00BD3B5F">
            <w:pPr>
              <w:numPr>
                <w:ilvl w:val="0"/>
                <w:numId w:val="122"/>
              </w:numPr>
              <w:spacing w:before="0" w:after="0"/>
              <w:ind w:hanging="290"/>
              <w:jc w:val="left"/>
              <w:rPr>
                <w:noProof/>
                <w:szCs w:val="24"/>
              </w:rPr>
            </w:pPr>
            <w:r w:rsidRPr="005C3B55">
              <w:rPr>
                <w:szCs w:val="24"/>
              </w:rPr>
              <w:t>each selection criterion will be attract a certain number of points, and the sum of all points of all criteria for the selection will be the maximum number of points that an application can receive in the public tender;</w:t>
            </w:r>
          </w:p>
          <w:p w:rsidR="00BD3B5F" w:rsidRPr="005C3B55" w:rsidRDefault="00BD3B5F" w:rsidP="00BD3B5F">
            <w:pPr>
              <w:numPr>
                <w:ilvl w:val="0"/>
                <w:numId w:val="122"/>
              </w:numPr>
              <w:spacing w:before="0" w:after="240"/>
              <w:ind w:hanging="290"/>
              <w:jc w:val="left"/>
              <w:rPr>
                <w:noProof/>
                <w:szCs w:val="24"/>
              </w:rPr>
            </w:pPr>
            <w:r w:rsidRPr="005C3B55">
              <w:rPr>
                <w:szCs w:val="24"/>
              </w:rPr>
              <w:t>each application will be awarded points, and a minimum threshold of points will be determined which the application must exceed.</w:t>
            </w:r>
          </w:p>
          <w:p w:rsidR="00BD3B5F" w:rsidRPr="005C3B55" w:rsidRDefault="00BD3B5F">
            <w:pPr>
              <w:spacing w:before="240" w:after="240"/>
              <w:jc w:val="left"/>
              <w:rPr>
                <w:noProof/>
                <w:szCs w:val="24"/>
              </w:rPr>
            </w:pPr>
            <w:r w:rsidRPr="005C3B55">
              <w:rPr>
                <w:szCs w:val="24"/>
              </w:rPr>
              <w:t>In accordance with Article 49(1) of Regulation (EU) 1305/2013, the selection criteria will be defined by the MA after consulting the Monitoring Committee.</w:t>
            </w:r>
            <w:r w:rsidRPr="005C3B55">
              <w:rPr>
                <w:noProof/>
                <w:szCs w:val="24"/>
              </w:rPr>
              <w:t xml:space="preserve"> </w:t>
            </w:r>
            <w:r w:rsidRPr="005C3B55">
              <w:rPr>
                <w:szCs w:val="24"/>
              </w:rPr>
              <w:t>Selection criteria based on principles as determined by each measure, sub-measure or operation will be determined in more detail in a national regulation.</w:t>
            </w:r>
          </w:p>
          <w:p w:rsidR="00BD3B5F" w:rsidRPr="005C3B55" w:rsidRDefault="00BD3B5F">
            <w:pPr>
              <w:spacing w:before="240" w:after="240"/>
              <w:jc w:val="left"/>
              <w:rPr>
                <w:noProof/>
                <w:szCs w:val="24"/>
              </w:rPr>
            </w:pPr>
            <w:r w:rsidRPr="005C3B55">
              <w:rPr>
                <w:szCs w:val="24"/>
              </w:rPr>
              <w:t>In accordance with Article 49(2) of Regulation (EU) No 1305/2013, the application of criteria for the selection of projects is not anticipated under measures M10, M11, M13 and M14.</w:t>
            </w:r>
          </w:p>
          <w:p w:rsidR="00BD3B5F" w:rsidRPr="005C3B55" w:rsidRDefault="00BD3B5F">
            <w:pPr>
              <w:spacing w:before="240" w:after="240"/>
              <w:jc w:val="left"/>
              <w:rPr>
                <w:noProof/>
                <w:szCs w:val="24"/>
              </w:rPr>
            </w:pPr>
            <w:r w:rsidRPr="005C3B55">
              <w:rPr>
                <w:szCs w:val="24"/>
              </w:rPr>
              <w:t>The MA will implement public tenders as per the legislation governing public procurement and select the most suitable contractor for the implementation of measures M01 and M02.</w:t>
            </w:r>
          </w:p>
          <w:p w:rsidR="00BD3B5F" w:rsidRPr="005C3B55" w:rsidRDefault="00BD3B5F">
            <w:pPr>
              <w:spacing w:before="240" w:after="240"/>
              <w:jc w:val="left"/>
              <w:rPr>
                <w:noProof/>
                <w:szCs w:val="24"/>
              </w:rPr>
            </w:pPr>
            <w:r w:rsidRPr="005C3B55">
              <w:rPr>
                <w:b/>
                <w:szCs w:val="24"/>
              </w:rPr>
              <w:t>Obtaining relevant permits and consents and an assessment of environmental impacts regarding interventions in the environment</w:t>
            </w:r>
          </w:p>
          <w:p w:rsidR="00BD3B5F" w:rsidRPr="005C3B55" w:rsidRDefault="00BD3B5F">
            <w:pPr>
              <w:spacing w:before="240" w:after="240"/>
              <w:jc w:val="left"/>
              <w:rPr>
                <w:noProof/>
                <w:szCs w:val="24"/>
              </w:rPr>
            </w:pPr>
            <w:r w:rsidRPr="005C3B55">
              <w:rPr>
                <w:szCs w:val="24"/>
              </w:rPr>
              <w:t>When interventions in the environment are planned, all relevant consents and permits must be obtained in advance, as required under the regulations on environmental protection, the conservation of nature, waters and forests, and construction, preservation of cultural heritage and other relevant legislation.</w:t>
            </w:r>
            <w:r w:rsidRPr="005C3B55">
              <w:rPr>
                <w:noProof/>
                <w:szCs w:val="24"/>
              </w:rPr>
              <w:t xml:space="preserve"> </w:t>
            </w:r>
            <w:r w:rsidRPr="005C3B55">
              <w:rPr>
                <w:szCs w:val="24"/>
              </w:rPr>
              <w:t>With regard to interventions in the environment, the provisions of the Decree on environmental encroachments that require environmental impact assessments (Official Gazette of the Republic of Slovenia, no. 51/2014, with all amendments) must be observed.</w:t>
            </w:r>
          </w:p>
          <w:p w:rsidR="00BD3B5F" w:rsidRPr="005C3B55" w:rsidRDefault="00BD3B5F">
            <w:pPr>
              <w:spacing w:before="240" w:after="240"/>
              <w:jc w:val="left"/>
              <w:rPr>
                <w:noProof/>
                <w:szCs w:val="24"/>
              </w:rPr>
            </w:pPr>
            <w:r w:rsidRPr="005C3B55">
              <w:rPr>
                <w:b/>
                <w:szCs w:val="24"/>
              </w:rPr>
              <w:t>Durability of operations</w:t>
            </w:r>
          </w:p>
          <w:p w:rsidR="00BD3B5F" w:rsidRPr="005C3B55" w:rsidRDefault="00BD3B5F">
            <w:pPr>
              <w:spacing w:before="240" w:after="240"/>
              <w:jc w:val="left"/>
              <w:rPr>
                <w:noProof/>
                <w:szCs w:val="24"/>
              </w:rPr>
            </w:pPr>
            <w:r w:rsidRPr="005C3B55">
              <w:rPr>
                <w:szCs w:val="24"/>
              </w:rPr>
              <w:t>In accordance with Article 71 of Regulation (EU) No 1303/2013:</w:t>
            </w:r>
          </w:p>
          <w:p w:rsidR="00BD3B5F" w:rsidRPr="005C3B55" w:rsidRDefault="00BD3B5F">
            <w:pPr>
              <w:spacing w:before="240" w:after="240"/>
              <w:jc w:val="left"/>
              <w:rPr>
                <w:noProof/>
                <w:szCs w:val="24"/>
              </w:rPr>
            </w:pPr>
            <w:r w:rsidRPr="005C3B55">
              <w:rPr>
                <w:szCs w:val="24"/>
              </w:rPr>
              <w:t>A beneficiary for operation comprising investment in infrastructure or productive investment must repay the contribution from the EAFRD fund if within five years of the final payment to the beneficiary or within the period set out in the rules on state aid, where applicable, they are subject to any of the following:</w:t>
            </w:r>
          </w:p>
          <w:p w:rsidR="00BD3B5F" w:rsidRPr="005C3B55" w:rsidRDefault="00BD3B5F" w:rsidP="00BD3B5F">
            <w:pPr>
              <w:numPr>
                <w:ilvl w:val="0"/>
                <w:numId w:val="123"/>
              </w:numPr>
              <w:spacing w:before="240" w:after="0"/>
              <w:ind w:hanging="290"/>
              <w:jc w:val="left"/>
              <w:rPr>
                <w:noProof/>
                <w:szCs w:val="24"/>
              </w:rPr>
            </w:pPr>
            <w:r w:rsidRPr="005C3B55">
              <w:rPr>
                <w:szCs w:val="24"/>
              </w:rPr>
              <w:t>a cessation or relocation of the productive activity outside the programme area;</w:t>
            </w:r>
          </w:p>
          <w:p w:rsidR="00BD3B5F" w:rsidRPr="005C3B55" w:rsidRDefault="00BD3B5F" w:rsidP="00BD3B5F">
            <w:pPr>
              <w:numPr>
                <w:ilvl w:val="0"/>
                <w:numId w:val="123"/>
              </w:numPr>
              <w:spacing w:before="0" w:after="0"/>
              <w:ind w:hanging="290"/>
              <w:jc w:val="left"/>
              <w:rPr>
                <w:noProof/>
                <w:szCs w:val="24"/>
              </w:rPr>
            </w:pPr>
            <w:r w:rsidRPr="005C3B55">
              <w:rPr>
                <w:szCs w:val="24"/>
              </w:rPr>
              <w:t>a change in ownership of an item of infrastructure which gives a company or a public body an undue advantage, or</w:t>
            </w:r>
          </w:p>
          <w:p w:rsidR="00BD3B5F" w:rsidRPr="005C3B55" w:rsidRDefault="00BD3B5F" w:rsidP="00BD3B5F">
            <w:pPr>
              <w:numPr>
                <w:ilvl w:val="0"/>
                <w:numId w:val="123"/>
              </w:numPr>
              <w:spacing w:before="0" w:after="0"/>
              <w:ind w:hanging="290"/>
              <w:jc w:val="left"/>
              <w:rPr>
                <w:noProof/>
                <w:szCs w:val="24"/>
              </w:rPr>
            </w:pPr>
            <w:r w:rsidRPr="005C3B55">
              <w:rPr>
                <w:szCs w:val="24"/>
              </w:rPr>
              <w:t>a substantial change affecting its nature, objectives or implementation conditions which would result in undermining its original objectives.</w:t>
            </w:r>
          </w:p>
          <w:p w:rsidR="00BD3B5F" w:rsidRPr="005C3B55" w:rsidRDefault="00BD3B5F">
            <w:pPr>
              <w:spacing w:before="240" w:after="240"/>
              <w:jc w:val="left"/>
              <w:rPr>
                <w:noProof/>
                <w:szCs w:val="24"/>
              </w:rPr>
            </w:pPr>
            <w:r w:rsidRPr="005C3B55">
              <w:rPr>
                <w:szCs w:val="24"/>
              </w:rPr>
              <w:t>Sums unduly paid in respect of the operation shall be recovered by the Paying Agency in proportion to the period for which the requirements are not fulfilled.</w:t>
            </w:r>
            <w:r w:rsidRPr="005C3B55">
              <w:rPr>
                <w:noProof/>
                <w:szCs w:val="24"/>
              </w:rPr>
              <w:t xml:space="preserve"> </w:t>
            </w:r>
            <w:r w:rsidRPr="005C3B55">
              <w:rPr>
                <w:szCs w:val="24"/>
              </w:rPr>
              <w:t>Sanctions will be determined in more detail in a national regulation and will be in proportion to the severity of the violation.</w:t>
            </w:r>
          </w:p>
          <w:p w:rsidR="00BD3B5F" w:rsidRPr="005C3B55" w:rsidRDefault="00BD3B5F">
            <w:pPr>
              <w:spacing w:before="240" w:after="240"/>
              <w:jc w:val="left"/>
              <w:rPr>
                <w:noProof/>
                <w:szCs w:val="24"/>
              </w:rPr>
            </w:pPr>
            <w:r w:rsidRPr="005C3B55">
              <w:rPr>
                <w:szCs w:val="24"/>
              </w:rPr>
              <w:t>Operations that are not investments in infrastructure or productive investments must repay the contribution from the Fund only where they are subject to an obligation for the maintenance of investment under the applicable rules on state aid and if they entail a cessation or relocation of a productive activity within the period laid down in the rules.</w:t>
            </w:r>
          </w:p>
          <w:p w:rsidR="00BD3B5F" w:rsidRPr="005C3B55" w:rsidRDefault="00BD3B5F">
            <w:pPr>
              <w:spacing w:before="240" w:after="240"/>
              <w:jc w:val="left"/>
              <w:rPr>
                <w:noProof/>
                <w:szCs w:val="24"/>
              </w:rPr>
            </w:pPr>
            <w:r w:rsidRPr="005C3B55">
              <w:rPr>
                <w:b/>
                <w:szCs w:val="24"/>
              </w:rPr>
              <w:t>Claiming force majeure</w:t>
            </w:r>
          </w:p>
          <w:p w:rsidR="00BD3B5F" w:rsidRPr="005C3B55" w:rsidRDefault="00BD3B5F">
            <w:pPr>
              <w:spacing w:before="240" w:after="240"/>
              <w:jc w:val="left"/>
              <w:rPr>
                <w:noProof/>
                <w:szCs w:val="24"/>
              </w:rPr>
            </w:pPr>
            <w:r w:rsidRPr="005C3B55">
              <w:rPr>
                <w:szCs w:val="24"/>
              </w:rPr>
              <w:t>In accordance with Article 2(2) of Regulation (EU) No 1306/2013, ‘force majeure’ or ‘exceptional circumstances’ may be recognised in particular in the following events:</w:t>
            </w:r>
          </w:p>
          <w:p w:rsidR="00BD3B5F" w:rsidRPr="005C3B55" w:rsidRDefault="00BD3B5F" w:rsidP="00BD3B5F">
            <w:pPr>
              <w:numPr>
                <w:ilvl w:val="0"/>
                <w:numId w:val="124"/>
              </w:numPr>
              <w:spacing w:before="240" w:after="0"/>
              <w:ind w:hanging="290"/>
              <w:jc w:val="left"/>
              <w:rPr>
                <w:noProof/>
                <w:szCs w:val="24"/>
              </w:rPr>
            </w:pPr>
            <w:r w:rsidRPr="005C3B55">
              <w:rPr>
                <w:szCs w:val="24"/>
              </w:rPr>
              <w:t>the death of the beneficiary;</w:t>
            </w:r>
          </w:p>
          <w:p w:rsidR="00BD3B5F" w:rsidRPr="005C3B55" w:rsidRDefault="00BD3B5F" w:rsidP="00BD3B5F">
            <w:pPr>
              <w:numPr>
                <w:ilvl w:val="0"/>
                <w:numId w:val="124"/>
              </w:numPr>
              <w:spacing w:before="0" w:after="0"/>
              <w:ind w:hanging="290"/>
              <w:jc w:val="left"/>
              <w:rPr>
                <w:noProof/>
                <w:szCs w:val="24"/>
              </w:rPr>
            </w:pPr>
            <w:r w:rsidRPr="005C3B55">
              <w:rPr>
                <w:szCs w:val="24"/>
              </w:rPr>
              <w:t>long-term professional incapacity of beneficiary;</w:t>
            </w:r>
          </w:p>
          <w:p w:rsidR="00BD3B5F" w:rsidRPr="005C3B55" w:rsidRDefault="00BD3B5F" w:rsidP="00BD3B5F">
            <w:pPr>
              <w:numPr>
                <w:ilvl w:val="0"/>
                <w:numId w:val="124"/>
              </w:numPr>
              <w:spacing w:before="0" w:after="0"/>
              <w:ind w:hanging="290"/>
              <w:jc w:val="left"/>
              <w:rPr>
                <w:noProof/>
                <w:szCs w:val="24"/>
              </w:rPr>
            </w:pPr>
            <w:r w:rsidRPr="005C3B55">
              <w:rPr>
                <w:szCs w:val="24"/>
              </w:rPr>
              <w:t>a severe natural disaster gravely affecting the holding;</w:t>
            </w:r>
          </w:p>
          <w:p w:rsidR="00BD3B5F" w:rsidRPr="005C3B55" w:rsidRDefault="00BD3B5F" w:rsidP="00BD3B5F">
            <w:pPr>
              <w:numPr>
                <w:ilvl w:val="0"/>
                <w:numId w:val="124"/>
              </w:numPr>
              <w:spacing w:before="0" w:after="0"/>
              <w:ind w:hanging="290"/>
              <w:jc w:val="left"/>
              <w:rPr>
                <w:noProof/>
                <w:szCs w:val="24"/>
              </w:rPr>
            </w:pPr>
            <w:r w:rsidRPr="005C3B55">
              <w:rPr>
                <w:szCs w:val="24"/>
              </w:rPr>
              <w:t>the accidental destruction of livestock buildings on the holding;</w:t>
            </w:r>
          </w:p>
          <w:p w:rsidR="00BD3B5F" w:rsidRPr="005C3B55" w:rsidRDefault="00BD3B5F" w:rsidP="00BD3B5F">
            <w:pPr>
              <w:numPr>
                <w:ilvl w:val="0"/>
                <w:numId w:val="124"/>
              </w:numPr>
              <w:spacing w:before="0" w:after="0"/>
              <w:ind w:hanging="290"/>
              <w:jc w:val="left"/>
              <w:rPr>
                <w:noProof/>
                <w:szCs w:val="24"/>
              </w:rPr>
            </w:pPr>
            <w:r w:rsidRPr="005C3B55">
              <w:rPr>
                <w:szCs w:val="24"/>
              </w:rPr>
              <w:t>an epizootic or a plant disease affecting part or all of the beneficiary’s livestock or crops respectively;</w:t>
            </w:r>
          </w:p>
          <w:p w:rsidR="00BD3B5F" w:rsidRPr="005C3B55" w:rsidRDefault="00BD3B5F" w:rsidP="00BD3B5F">
            <w:pPr>
              <w:numPr>
                <w:ilvl w:val="0"/>
                <w:numId w:val="124"/>
              </w:numPr>
              <w:spacing w:before="0" w:after="0"/>
              <w:ind w:hanging="290"/>
              <w:jc w:val="left"/>
              <w:rPr>
                <w:noProof/>
                <w:szCs w:val="24"/>
              </w:rPr>
            </w:pPr>
            <w:r w:rsidRPr="005C3B55">
              <w:rPr>
                <w:szCs w:val="24"/>
              </w:rPr>
              <w:t>expropriation of all or a large part of the holding if the expropriation could not have been anticipated on the day the application was lodged;</w:t>
            </w:r>
          </w:p>
          <w:p w:rsidR="00BD3B5F" w:rsidRPr="005C3B55" w:rsidRDefault="00BD3B5F" w:rsidP="00BD3B5F">
            <w:pPr>
              <w:numPr>
                <w:ilvl w:val="0"/>
                <w:numId w:val="124"/>
              </w:numPr>
              <w:spacing w:before="0" w:after="0"/>
              <w:ind w:hanging="290"/>
              <w:jc w:val="left"/>
              <w:rPr>
                <w:noProof/>
                <w:szCs w:val="24"/>
              </w:rPr>
            </w:pPr>
            <w:r w:rsidRPr="005C3B55">
              <w:rPr>
                <w:szCs w:val="24"/>
              </w:rPr>
              <w:t>contagious disease afflicting the entire livestock of the beneficiary or part of it;</w:t>
            </w:r>
          </w:p>
          <w:p w:rsidR="00BD3B5F" w:rsidRPr="005C3B55" w:rsidRDefault="00BD3B5F" w:rsidP="00BD3B5F">
            <w:pPr>
              <w:numPr>
                <w:ilvl w:val="0"/>
                <w:numId w:val="124"/>
              </w:numPr>
              <w:spacing w:before="0" w:after="0"/>
              <w:ind w:hanging="290"/>
              <w:jc w:val="left"/>
              <w:rPr>
                <w:noProof/>
                <w:szCs w:val="24"/>
              </w:rPr>
            </w:pPr>
            <w:r w:rsidRPr="005C3B55">
              <w:rPr>
                <w:szCs w:val="24"/>
              </w:rPr>
              <w:t>loss or death of livestock due to an attack by wild animals despite the implementation of all prescribed measures;</w:t>
            </w:r>
          </w:p>
          <w:p w:rsidR="00BD3B5F" w:rsidRPr="005C3B55" w:rsidRDefault="00BD3B5F" w:rsidP="00BD3B5F">
            <w:pPr>
              <w:numPr>
                <w:ilvl w:val="0"/>
                <w:numId w:val="124"/>
              </w:numPr>
              <w:spacing w:before="0" w:after="0"/>
              <w:ind w:hanging="290"/>
              <w:jc w:val="left"/>
              <w:rPr>
                <w:noProof/>
                <w:szCs w:val="24"/>
              </w:rPr>
            </w:pPr>
            <w:r w:rsidRPr="005C3B55">
              <w:rPr>
                <w:szCs w:val="24"/>
              </w:rPr>
              <w:t>destruction of permanent plant plantations and produce caused by wild animals;</w:t>
            </w:r>
          </w:p>
          <w:p w:rsidR="00BD3B5F" w:rsidRPr="005C3B55" w:rsidRDefault="00BD3B5F" w:rsidP="00BD3B5F">
            <w:pPr>
              <w:numPr>
                <w:ilvl w:val="0"/>
                <w:numId w:val="124"/>
              </w:numPr>
              <w:spacing w:before="0" w:after="0"/>
              <w:ind w:hanging="290"/>
              <w:jc w:val="left"/>
              <w:rPr>
                <w:noProof/>
                <w:szCs w:val="24"/>
              </w:rPr>
            </w:pPr>
            <w:r w:rsidRPr="005C3B55">
              <w:rPr>
                <w:szCs w:val="24"/>
              </w:rPr>
              <w:t>outbreak of a disease or pests affecting the permanent plantation, due to which the permanent plantation must be destroyed;</w:t>
            </w:r>
          </w:p>
          <w:p w:rsidR="00BD3B5F" w:rsidRPr="005C3B55" w:rsidRDefault="00BD3B5F" w:rsidP="00BD3B5F">
            <w:pPr>
              <w:numPr>
                <w:ilvl w:val="0"/>
                <w:numId w:val="124"/>
              </w:numPr>
              <w:spacing w:before="0" w:after="240"/>
              <w:ind w:hanging="290"/>
              <w:jc w:val="left"/>
              <w:rPr>
                <w:noProof/>
                <w:szCs w:val="24"/>
              </w:rPr>
            </w:pPr>
            <w:r w:rsidRPr="005C3B55">
              <w:rPr>
                <w:szCs w:val="24"/>
              </w:rPr>
              <w:t>outbreak of a disease or pests affecting a beehive due to which the bees must be destroyed or replaced with a new bee colony.</w:t>
            </w:r>
          </w:p>
          <w:p w:rsidR="00BD3B5F" w:rsidRPr="005C3B55" w:rsidRDefault="00BD3B5F">
            <w:pPr>
              <w:spacing w:before="240" w:after="240"/>
              <w:jc w:val="left"/>
              <w:rPr>
                <w:noProof/>
                <w:szCs w:val="24"/>
              </w:rPr>
            </w:pPr>
            <w:r w:rsidRPr="005C3B55">
              <w:rPr>
                <w:noProof/>
                <w:szCs w:val="24"/>
              </w:rPr>
              <w:t> </w:t>
            </w:r>
          </w:p>
          <w:p w:rsidR="00BD3B5F" w:rsidRPr="005C3B55" w:rsidRDefault="00BD3B5F">
            <w:pPr>
              <w:spacing w:before="240" w:after="240"/>
              <w:jc w:val="left"/>
              <w:rPr>
                <w:noProof/>
                <w:szCs w:val="24"/>
              </w:rPr>
            </w:pPr>
            <w:r w:rsidRPr="005C3B55">
              <w:rPr>
                <w:b/>
                <w:szCs w:val="24"/>
              </w:rPr>
              <w:t>Rules on area-related payment and/or animal-related payment which apply to measures M10, M11, M13 and M14</w:t>
            </w:r>
          </w:p>
          <w:p w:rsidR="00BD3B5F" w:rsidRPr="005C3B55" w:rsidRDefault="00BD3B5F">
            <w:pPr>
              <w:spacing w:before="240" w:after="240"/>
              <w:jc w:val="left"/>
              <w:rPr>
                <w:noProof/>
                <w:szCs w:val="24"/>
              </w:rPr>
            </w:pPr>
            <w:r w:rsidRPr="005C3B55">
              <w:rPr>
                <w:i/>
                <w:szCs w:val="24"/>
              </w:rPr>
              <w:t>Duration of commitment</w:t>
            </w:r>
          </w:p>
          <w:p w:rsidR="00BD3B5F" w:rsidRPr="005C3B55" w:rsidRDefault="00BD3B5F">
            <w:pPr>
              <w:spacing w:before="240" w:after="240"/>
              <w:jc w:val="left"/>
              <w:rPr>
                <w:noProof/>
                <w:szCs w:val="24"/>
              </w:rPr>
            </w:pPr>
            <w:r w:rsidRPr="005C3B55">
              <w:rPr>
                <w:szCs w:val="24"/>
              </w:rPr>
              <w:t>By entering the M10 and M11 measures, the beneficiary undertakes to implement the assumed commitment on the holding for at least five years.</w:t>
            </w:r>
            <w:r w:rsidRPr="005C3B55">
              <w:rPr>
                <w:noProof/>
                <w:szCs w:val="24"/>
              </w:rPr>
              <w:t xml:space="preserve"> </w:t>
            </w:r>
            <w:r w:rsidRPr="005C3B55">
              <w:rPr>
                <w:szCs w:val="24"/>
              </w:rPr>
              <w:t>Deviations from this commitment are permitted only in the following cases:</w:t>
            </w:r>
          </w:p>
          <w:p w:rsidR="00BD3B5F" w:rsidRPr="005C3B55" w:rsidRDefault="00BD3B5F" w:rsidP="00BD3B5F">
            <w:pPr>
              <w:numPr>
                <w:ilvl w:val="0"/>
                <w:numId w:val="125"/>
              </w:numPr>
              <w:spacing w:before="240" w:after="0"/>
              <w:ind w:hanging="290"/>
              <w:jc w:val="left"/>
              <w:rPr>
                <w:noProof/>
                <w:szCs w:val="24"/>
              </w:rPr>
            </w:pPr>
            <w:r w:rsidRPr="005C3B55">
              <w:rPr>
                <w:szCs w:val="24"/>
              </w:rPr>
              <w:t>the assumed commitment may be terminated in accordance with Article 47(2) of Regulation (EU) 1305/2013;</w:t>
            </w:r>
          </w:p>
          <w:p w:rsidR="00BD3B5F" w:rsidRPr="005C3B55" w:rsidRDefault="00BD3B5F" w:rsidP="00BD3B5F">
            <w:pPr>
              <w:numPr>
                <w:ilvl w:val="0"/>
                <w:numId w:val="125"/>
              </w:numPr>
              <w:spacing w:before="0" w:after="240"/>
              <w:ind w:hanging="290"/>
              <w:jc w:val="left"/>
              <w:rPr>
                <w:noProof/>
                <w:szCs w:val="24"/>
              </w:rPr>
            </w:pPr>
            <w:r w:rsidRPr="005C3B55">
              <w:rPr>
                <w:szCs w:val="24"/>
              </w:rPr>
              <w:t>in the case of force majeure or exceptional circumstances as determined by Article 2(2) of Regulation (EU) No 1306/2013.</w:t>
            </w:r>
          </w:p>
          <w:p w:rsidR="00BD3B5F" w:rsidRPr="005C3B55" w:rsidRDefault="00BD3B5F">
            <w:pPr>
              <w:spacing w:before="240" w:after="240"/>
              <w:jc w:val="left"/>
              <w:rPr>
                <w:noProof/>
                <w:szCs w:val="24"/>
              </w:rPr>
            </w:pPr>
            <w:r w:rsidRPr="005C3B55">
              <w:rPr>
                <w:szCs w:val="24"/>
              </w:rPr>
              <w:t>After the termination of the initial commitment, the commitment may be prolonged annually as stipulated in Articles 28 and 29 of Regulation (EU) No 1305/2013.</w:t>
            </w:r>
          </w:p>
          <w:p w:rsidR="00BD3B5F" w:rsidRPr="005C3B55" w:rsidRDefault="00BD3B5F">
            <w:pPr>
              <w:spacing w:before="240" w:after="240"/>
              <w:jc w:val="left"/>
              <w:rPr>
                <w:noProof/>
                <w:szCs w:val="24"/>
              </w:rPr>
            </w:pPr>
            <w:r w:rsidRPr="005C3B55">
              <w:rPr>
                <w:i/>
                <w:szCs w:val="24"/>
              </w:rPr>
              <w:t>Cases of force majeure or exceptional circumstances</w:t>
            </w:r>
          </w:p>
          <w:p w:rsidR="00BD3B5F" w:rsidRPr="005C3B55" w:rsidRDefault="00BD3B5F">
            <w:pPr>
              <w:spacing w:before="240" w:after="240"/>
              <w:jc w:val="left"/>
              <w:rPr>
                <w:noProof/>
                <w:szCs w:val="24"/>
              </w:rPr>
            </w:pPr>
            <w:r w:rsidRPr="005C3B55">
              <w:rPr>
                <w:szCs w:val="24"/>
              </w:rPr>
              <w:t>The following cases of force majeure or exceptional circumstance may be recognised, preceded by a case-by-case analysis, on the basis of relevant evidence and with the application of the concept of force majeure in the light of European Union legislation on agriculture, including the case law of the Court of Justice of the European Union.</w:t>
            </w:r>
          </w:p>
          <w:p w:rsidR="00BD3B5F" w:rsidRPr="005C3B55" w:rsidRDefault="00BD3B5F">
            <w:pPr>
              <w:spacing w:before="240" w:after="240"/>
              <w:jc w:val="left"/>
              <w:rPr>
                <w:noProof/>
                <w:szCs w:val="24"/>
              </w:rPr>
            </w:pPr>
            <w:r w:rsidRPr="005C3B55">
              <w:rPr>
                <w:szCs w:val="24"/>
              </w:rPr>
              <w:t>a) the death of the beneficiary;</w:t>
            </w:r>
          </w:p>
          <w:p w:rsidR="00BD3B5F" w:rsidRPr="005C3B55" w:rsidRDefault="00BD3B5F">
            <w:pPr>
              <w:spacing w:before="240" w:after="240"/>
              <w:jc w:val="left"/>
              <w:rPr>
                <w:noProof/>
                <w:szCs w:val="24"/>
              </w:rPr>
            </w:pPr>
            <w:r w:rsidRPr="005C3B55">
              <w:rPr>
                <w:szCs w:val="24"/>
              </w:rPr>
              <w:t>b) long-term professional incapacity of the beneficiary;</w:t>
            </w:r>
          </w:p>
          <w:p w:rsidR="00BD3B5F" w:rsidRPr="005C3B55" w:rsidRDefault="00BD3B5F">
            <w:pPr>
              <w:spacing w:before="240" w:after="240"/>
              <w:jc w:val="left"/>
              <w:rPr>
                <w:noProof/>
                <w:szCs w:val="24"/>
              </w:rPr>
            </w:pPr>
            <w:r w:rsidRPr="005C3B55">
              <w:rPr>
                <w:szCs w:val="24"/>
              </w:rPr>
              <w:t>c) the death of a farm member;</w:t>
            </w:r>
          </w:p>
          <w:p w:rsidR="00BD3B5F" w:rsidRPr="005C3B55" w:rsidRDefault="00BD3B5F">
            <w:pPr>
              <w:spacing w:before="240" w:after="240"/>
              <w:jc w:val="left"/>
              <w:rPr>
                <w:noProof/>
                <w:szCs w:val="24"/>
              </w:rPr>
            </w:pPr>
            <w:r w:rsidRPr="005C3B55">
              <w:rPr>
                <w:szCs w:val="24"/>
              </w:rPr>
              <w:t>d) long-term professional incapacity of a farm member;</w:t>
            </w:r>
          </w:p>
          <w:p w:rsidR="00BD3B5F" w:rsidRPr="005C3B55" w:rsidRDefault="00BD3B5F">
            <w:pPr>
              <w:spacing w:before="240" w:after="240"/>
              <w:jc w:val="left"/>
              <w:rPr>
                <w:noProof/>
                <w:szCs w:val="24"/>
              </w:rPr>
            </w:pPr>
            <w:r w:rsidRPr="005C3B55">
              <w:rPr>
                <w:szCs w:val="24"/>
              </w:rPr>
              <w:t>e) expropriation of a large part of the agricultural holding if this was impossible to foresee on the day the commitment was made;</w:t>
            </w:r>
          </w:p>
          <w:p w:rsidR="00BD3B5F" w:rsidRPr="005C3B55" w:rsidRDefault="00BD3B5F">
            <w:pPr>
              <w:spacing w:before="240" w:after="240"/>
              <w:jc w:val="left"/>
              <w:rPr>
                <w:noProof/>
                <w:szCs w:val="24"/>
              </w:rPr>
            </w:pPr>
            <w:r w:rsidRPr="005C3B55">
              <w:rPr>
                <w:szCs w:val="24"/>
              </w:rPr>
              <w:t>f) a severe natural disaster gravely affecting the holding;</w:t>
            </w:r>
          </w:p>
          <w:p w:rsidR="00BD3B5F" w:rsidRPr="005C3B55" w:rsidRDefault="00BD3B5F">
            <w:pPr>
              <w:spacing w:before="240" w:after="240"/>
              <w:jc w:val="left"/>
              <w:rPr>
                <w:noProof/>
                <w:szCs w:val="24"/>
              </w:rPr>
            </w:pPr>
            <w:r w:rsidRPr="005C3B55">
              <w:rPr>
                <w:szCs w:val="24"/>
              </w:rPr>
              <w:t>g) destruction of buildings and agricultural machinery at the agricultural holding due to an accident;</w:t>
            </w:r>
          </w:p>
          <w:p w:rsidR="00BD3B5F" w:rsidRPr="005C3B55" w:rsidRDefault="00BD3B5F">
            <w:pPr>
              <w:spacing w:before="240" w:after="240"/>
              <w:jc w:val="left"/>
              <w:rPr>
                <w:noProof/>
                <w:szCs w:val="24"/>
              </w:rPr>
            </w:pPr>
            <w:r w:rsidRPr="005C3B55">
              <w:rPr>
                <w:szCs w:val="24"/>
              </w:rPr>
              <w:t>h) a contagious disease which affects all the livestock of the beneficiary or part of it;</w:t>
            </w:r>
          </w:p>
          <w:p w:rsidR="00BD3B5F" w:rsidRPr="005C3B55" w:rsidRDefault="00BD3B5F">
            <w:pPr>
              <w:spacing w:before="240" w:after="240"/>
              <w:jc w:val="left"/>
              <w:rPr>
                <w:noProof/>
                <w:szCs w:val="24"/>
              </w:rPr>
            </w:pPr>
            <w:r w:rsidRPr="005C3B55">
              <w:rPr>
                <w:szCs w:val="24"/>
              </w:rPr>
              <w:t>i) loss or death of domestic animals due to an attack by wild animals despite the implementation of all prescribed measures;</w:t>
            </w:r>
          </w:p>
          <w:p w:rsidR="00BD3B5F" w:rsidRPr="005C3B55" w:rsidRDefault="00BD3B5F">
            <w:pPr>
              <w:spacing w:before="240" w:after="240"/>
              <w:jc w:val="left"/>
              <w:rPr>
                <w:noProof/>
                <w:szCs w:val="24"/>
              </w:rPr>
            </w:pPr>
            <w:r w:rsidRPr="005C3B55">
              <w:rPr>
                <w:szCs w:val="24"/>
              </w:rPr>
              <w:t>j) the death of domestic animals in an accident (fire, lightning strike, electric shock, falls etc.);</w:t>
            </w:r>
          </w:p>
          <w:p w:rsidR="00BD3B5F" w:rsidRPr="005C3B55" w:rsidRDefault="00BD3B5F">
            <w:pPr>
              <w:spacing w:before="0" w:after="0"/>
              <w:jc w:val="left"/>
              <w:rPr>
                <w:noProof/>
                <w:szCs w:val="24"/>
              </w:rPr>
            </w:pPr>
            <w:r w:rsidRPr="005C3B55">
              <w:rPr>
                <w:szCs w:val="24"/>
              </w:rPr>
              <w:t>k) damage to land caused by wild animals;</w:t>
            </w:r>
          </w:p>
          <w:p w:rsidR="00BD3B5F" w:rsidRPr="005C3B55" w:rsidRDefault="00BD3B5F">
            <w:pPr>
              <w:spacing w:before="240" w:after="240"/>
              <w:jc w:val="left"/>
              <w:rPr>
                <w:noProof/>
                <w:szCs w:val="24"/>
              </w:rPr>
            </w:pPr>
            <w:r w:rsidRPr="005C3B55">
              <w:rPr>
                <w:szCs w:val="24"/>
              </w:rPr>
              <w:t>l) an outbreak of a disease or pests affecting a permanent crop due to which the permanent crop must be destroyed;</w:t>
            </w:r>
          </w:p>
          <w:p w:rsidR="00BD3B5F" w:rsidRPr="005C3B55" w:rsidRDefault="00BD3B5F">
            <w:pPr>
              <w:spacing w:before="240" w:after="240"/>
              <w:jc w:val="left"/>
              <w:rPr>
                <w:noProof/>
                <w:szCs w:val="24"/>
              </w:rPr>
            </w:pPr>
            <w:r w:rsidRPr="005C3B55">
              <w:rPr>
                <w:szCs w:val="24"/>
              </w:rPr>
              <w:t>m) an outbreak of a disease or pests affecting a beehive, due to which the bees must be destroyed or replaced with a new bee colony;</w:t>
            </w:r>
          </w:p>
          <w:p w:rsidR="00BD3B5F" w:rsidRPr="005C3B55" w:rsidRDefault="00BD3B5F">
            <w:pPr>
              <w:spacing w:before="240" w:after="240"/>
              <w:jc w:val="left"/>
              <w:rPr>
                <w:noProof/>
                <w:szCs w:val="24"/>
              </w:rPr>
            </w:pPr>
            <w:r w:rsidRPr="005C3B55">
              <w:rPr>
                <w:szCs w:val="24"/>
              </w:rPr>
              <w:t>n) a change in the size of agricultural land forming part of the agricultural holding, a change in the type of actual use or farming practices not implemented by the beneficiary.</w:t>
            </w:r>
          </w:p>
          <w:p w:rsidR="00BD3B5F" w:rsidRPr="005C3B55" w:rsidRDefault="00BD3B5F">
            <w:pPr>
              <w:spacing w:before="240" w:after="240"/>
              <w:jc w:val="left"/>
              <w:rPr>
                <w:noProof/>
                <w:szCs w:val="24"/>
              </w:rPr>
            </w:pPr>
            <w:r w:rsidRPr="005C3B55">
              <w:rPr>
                <w:szCs w:val="24"/>
              </w:rPr>
              <w:t>The examples of force majeure or exceptional circumstances under points a) to n) apply to measures M10, M11 and M13.</w:t>
            </w:r>
            <w:r w:rsidRPr="005C3B55">
              <w:rPr>
                <w:noProof/>
                <w:szCs w:val="24"/>
              </w:rPr>
              <w:t xml:space="preserve"> </w:t>
            </w:r>
            <w:r w:rsidRPr="005C3B55">
              <w:rPr>
                <w:szCs w:val="24"/>
              </w:rPr>
              <w:t>Only the examples of force majeure or exceptional circumstances under points a), b), e), f), g), h) and j) apply to measure M14.</w:t>
            </w:r>
          </w:p>
          <w:p w:rsidR="00BD3B5F" w:rsidRPr="005C3B55" w:rsidRDefault="00BD3B5F">
            <w:pPr>
              <w:spacing w:before="240" w:after="240"/>
              <w:jc w:val="left"/>
              <w:rPr>
                <w:noProof/>
                <w:szCs w:val="24"/>
              </w:rPr>
            </w:pPr>
            <w:r w:rsidRPr="005C3B55">
              <w:rPr>
                <w:szCs w:val="24"/>
              </w:rPr>
              <w:t>More detailed provisions regarding force majeure will be defined in national regulations taking into account the provisions of Article 4 of Regulation (EU) No 640/2014.</w:t>
            </w:r>
          </w:p>
          <w:p w:rsidR="00BD3B5F" w:rsidRPr="005C3B55" w:rsidRDefault="00BD3B5F">
            <w:pPr>
              <w:spacing w:before="240" w:after="240"/>
              <w:jc w:val="left"/>
              <w:rPr>
                <w:noProof/>
                <w:szCs w:val="24"/>
              </w:rPr>
            </w:pPr>
            <w:r w:rsidRPr="005C3B55">
              <w:rPr>
                <w:i/>
                <w:szCs w:val="24"/>
              </w:rPr>
              <w:t>Cases in which repayment is not mandatory</w:t>
            </w:r>
          </w:p>
          <w:p w:rsidR="00BD3B5F" w:rsidRPr="005C3B55" w:rsidRDefault="00BD3B5F">
            <w:pPr>
              <w:spacing w:before="240" w:after="240"/>
              <w:jc w:val="left"/>
              <w:rPr>
                <w:noProof/>
                <w:szCs w:val="24"/>
              </w:rPr>
            </w:pPr>
            <w:r w:rsidRPr="005C3B55">
              <w:rPr>
                <w:szCs w:val="24"/>
              </w:rPr>
              <w:t>In accordance with Article 15 of Regulation (EU) No 807/2014, if the area of agricultural land on the holding increases during the period to which a commitment under M10 and M11 measures applies, the commitment may be extended so as to cover the additional area for the remainder of the period of the commitment, or the original commitment may be replaced by a new one.</w:t>
            </w:r>
            <w:r w:rsidRPr="005C3B55">
              <w:rPr>
                <w:noProof/>
                <w:szCs w:val="24"/>
              </w:rPr>
              <w:t xml:space="preserve"> </w:t>
            </w:r>
            <w:r w:rsidRPr="005C3B55">
              <w:rPr>
                <w:szCs w:val="24"/>
              </w:rPr>
              <w:t>If the existing commitment is extended, it must be ensured that this contributes to the commitment’s environmental objective, is justifiable regarding its environmental impact, type of commitment, the duration of the remaining period and the scope of additional areas, and must not affect the efficiency of supervising the implementation of the measure.</w:t>
            </w:r>
          </w:p>
          <w:p w:rsidR="00BD3B5F" w:rsidRPr="005C3B55" w:rsidRDefault="00BD3B5F">
            <w:pPr>
              <w:spacing w:before="240" w:after="240"/>
              <w:jc w:val="left"/>
              <w:rPr>
                <w:noProof/>
                <w:szCs w:val="24"/>
              </w:rPr>
            </w:pPr>
            <w:r w:rsidRPr="005C3B55">
              <w:rPr>
                <w:szCs w:val="24"/>
              </w:rPr>
              <w:t>The initial duration of the commitment applies when extending the existing commitment.</w:t>
            </w:r>
            <w:r w:rsidRPr="005C3B55">
              <w:rPr>
                <w:noProof/>
                <w:szCs w:val="24"/>
              </w:rPr>
              <w:t xml:space="preserve"> </w:t>
            </w:r>
            <w:r w:rsidRPr="005C3B55">
              <w:rPr>
                <w:szCs w:val="24"/>
              </w:rPr>
              <w:t>If the existing commitment is replaced with a new commitment due to an increase in area, its terms may not be less demanding than those of the original commitment.</w:t>
            </w:r>
            <w:r w:rsidRPr="005C3B55">
              <w:rPr>
                <w:noProof/>
                <w:szCs w:val="24"/>
              </w:rPr>
              <w:t xml:space="preserve"> </w:t>
            </w:r>
            <w:r w:rsidRPr="005C3B55">
              <w:rPr>
                <w:szCs w:val="24"/>
              </w:rPr>
              <w:t>A new commitment which includes additional areas must apply at least five years.</w:t>
            </w:r>
          </w:p>
          <w:p w:rsidR="00BD3B5F" w:rsidRPr="005C3B55" w:rsidRDefault="00BD3B5F">
            <w:pPr>
              <w:spacing w:before="240" w:after="240"/>
              <w:jc w:val="left"/>
              <w:rPr>
                <w:noProof/>
                <w:szCs w:val="24"/>
              </w:rPr>
            </w:pPr>
            <w:r w:rsidRPr="005C3B55">
              <w:rPr>
                <w:i/>
                <w:szCs w:val="24"/>
              </w:rPr>
              <w:t>Cross-compliance</w:t>
            </w:r>
          </w:p>
          <w:p w:rsidR="00BD3B5F" w:rsidRPr="005C3B55" w:rsidRDefault="00BD3B5F">
            <w:pPr>
              <w:spacing w:before="240" w:after="240"/>
              <w:jc w:val="left"/>
              <w:rPr>
                <w:noProof/>
                <w:szCs w:val="24"/>
              </w:rPr>
            </w:pPr>
            <w:r w:rsidRPr="005C3B55">
              <w:rPr>
                <w:szCs w:val="24"/>
              </w:rPr>
              <w:t>The beneficiaries for payments for measures M10, M11, M13 and M14 must meet all the requirements of cross-compliance in accordance with Title VI of Regulation (EU) No 1306/2013.</w:t>
            </w:r>
          </w:p>
          <w:p w:rsidR="00BD3B5F" w:rsidRPr="005C3B55" w:rsidRDefault="00BD3B5F">
            <w:pPr>
              <w:spacing w:before="240" w:after="240"/>
              <w:jc w:val="left"/>
              <w:rPr>
                <w:noProof/>
                <w:szCs w:val="24"/>
              </w:rPr>
            </w:pPr>
            <w:r w:rsidRPr="005C3B55">
              <w:rPr>
                <w:i/>
                <w:szCs w:val="24"/>
              </w:rPr>
              <w:t>Revision clause</w:t>
            </w:r>
          </w:p>
          <w:p w:rsidR="00BD3B5F" w:rsidRPr="005C3B55" w:rsidRDefault="00BD3B5F">
            <w:pPr>
              <w:spacing w:before="240" w:after="240"/>
              <w:jc w:val="left"/>
              <w:rPr>
                <w:noProof/>
                <w:szCs w:val="24"/>
              </w:rPr>
            </w:pPr>
            <w:r w:rsidRPr="005C3B55">
              <w:rPr>
                <w:szCs w:val="24"/>
              </w:rPr>
              <w:t>The revision clause is applied to measures M10, M11 and M13 in accordance with Article 48 of Regulation (EU) 1305/2013 in order to ensure the adjustment of commitments in the case of amendments to relevant mandatory standards, requirements or commitments referred to in the aforementioned articles, which the commitments under these measures must exceed.</w:t>
            </w:r>
            <w:r w:rsidRPr="005C3B55">
              <w:rPr>
                <w:noProof/>
                <w:szCs w:val="24"/>
              </w:rPr>
              <w:t xml:space="preserve"> </w:t>
            </w:r>
            <w:r w:rsidRPr="005C3B55">
              <w:rPr>
                <w:szCs w:val="24"/>
              </w:rPr>
              <w:t>The revision clause also includes the adjustments needed to prevent double financing of practices under Article 43 of Regulation (EU) 1307/2013 in the case of an amendment to such practices.</w:t>
            </w:r>
          </w:p>
          <w:p w:rsidR="00BD3B5F" w:rsidRPr="005C3B55" w:rsidRDefault="00BD3B5F">
            <w:pPr>
              <w:spacing w:before="240" w:after="240"/>
              <w:jc w:val="left"/>
              <w:rPr>
                <w:noProof/>
                <w:szCs w:val="24"/>
              </w:rPr>
            </w:pPr>
            <w:r w:rsidRPr="005C3B55">
              <w:rPr>
                <w:szCs w:val="24"/>
              </w:rPr>
              <w:t>The revision clause should also be applied to commitments under measure M10 and M11, which continue after the expiry of the 2014-2020 programming period, in order to enable their adjustment to the legal framework of the following programming period.</w:t>
            </w:r>
          </w:p>
          <w:p w:rsidR="00BD3B5F" w:rsidRPr="005C3B55" w:rsidRDefault="00BD3B5F">
            <w:pPr>
              <w:spacing w:before="240" w:after="240"/>
              <w:jc w:val="left"/>
              <w:rPr>
                <w:noProof/>
                <w:szCs w:val="24"/>
              </w:rPr>
            </w:pPr>
            <w:r w:rsidRPr="005C3B55">
              <w:rPr>
                <w:noProof/>
                <w:szCs w:val="24"/>
              </w:rPr>
              <w:t> </w:t>
            </w:r>
          </w:p>
          <w:p w:rsidR="00BD3B5F" w:rsidRPr="005C3B55" w:rsidRDefault="00BD3B5F">
            <w:pPr>
              <w:pStyle w:val="Telobesedila"/>
              <w:rPr>
                <w:szCs w:val="24"/>
              </w:rPr>
            </w:pPr>
          </w:p>
        </w:tc>
      </w:tr>
    </w:tbl>
    <w:p w:rsidR="00BD3B5F" w:rsidRPr="005C3B55" w:rsidRDefault="00BD3B5F">
      <w:pPr>
        <w:pStyle w:val="Naslov2"/>
        <w:tabs>
          <w:tab w:val="clear" w:pos="765"/>
        </w:tabs>
        <w:ind w:left="0" w:firstLine="0"/>
        <w:rPr>
          <w:szCs w:val="24"/>
          <w:lang w:val="en-GB"/>
        </w:rPr>
      </w:pPr>
      <w:bookmarkStart w:id="114" w:name="_Toc416192572"/>
      <w:r w:rsidRPr="005C3B55">
        <w:rPr>
          <w:szCs w:val="24"/>
          <w:lang w:val="en-GB"/>
        </w:rPr>
        <w:t>Description by measures</w:t>
      </w:r>
      <w:bookmarkEnd w:id="114"/>
    </w:p>
    <w:p w:rsidR="00BD3B5F" w:rsidRPr="005C3B55" w:rsidRDefault="00BD3B5F">
      <w:pPr>
        <w:pStyle w:val="Naslov3"/>
        <w:tabs>
          <w:tab w:val="clear" w:pos="765"/>
        </w:tabs>
        <w:ind w:left="0" w:firstLine="0"/>
        <w:jc w:val="left"/>
        <w:rPr>
          <w:szCs w:val="24"/>
          <w:lang w:val="en-GB"/>
        </w:rPr>
      </w:pPr>
      <w:bookmarkStart w:id="115" w:name="_Toc416192573"/>
      <w:r w:rsidRPr="005C3B55">
        <w:rPr>
          <w:szCs w:val="24"/>
          <w:lang w:val="en-GB"/>
        </w:rPr>
        <w:t>M01 – Knowledge transfer and information actions (Article 14)</w:t>
      </w:r>
      <w:bookmarkEnd w:id="115"/>
    </w:p>
    <w:p w:rsidR="00BD3B5F" w:rsidRPr="005C3B55" w:rsidRDefault="00BD3B5F">
      <w:pPr>
        <w:pStyle w:val="Naslov4"/>
        <w:tabs>
          <w:tab w:val="clear" w:pos="765"/>
        </w:tabs>
        <w:ind w:left="0" w:firstLine="0"/>
        <w:jc w:val="left"/>
        <w:rPr>
          <w:szCs w:val="24"/>
          <w:lang w:val="en-GB"/>
        </w:rPr>
      </w:pPr>
      <w:r w:rsidRPr="005C3B55">
        <w:rPr>
          <w:szCs w:val="24"/>
          <w:lang w:val="en-GB"/>
        </w:rPr>
        <w:t>Legal basis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Measure M01 is implemented pursuant to Article 14 of Regulation (EU) No 1305/2013.</w:t>
            </w:r>
          </w:p>
          <w:p w:rsidR="00BD3B5F" w:rsidRPr="005C3B55" w:rsidRDefault="00BD3B5F">
            <w:pPr>
              <w:pStyle w:val="Telobesedila"/>
              <w:rPr>
                <w:szCs w:val="24"/>
              </w:rPr>
            </w:pPr>
          </w:p>
        </w:tc>
      </w:tr>
    </w:tbl>
    <w:p w:rsidR="00BD3B5F" w:rsidRPr="005C3B55" w:rsidRDefault="00BD3B5F">
      <w:pPr>
        <w:pStyle w:val="Naslov4"/>
        <w:tabs>
          <w:tab w:val="clear" w:pos="765"/>
        </w:tabs>
        <w:ind w:left="0" w:firstLine="0"/>
        <w:jc w:val="left"/>
        <w:rPr>
          <w:szCs w:val="24"/>
          <w:lang w:val="en-GB"/>
        </w:rPr>
      </w:pPr>
      <w:r w:rsidRPr="005C3B55">
        <w:rPr>
          <w:szCs w:val="24"/>
          <w:lang w:val="en-GB"/>
        </w:rPr>
        <w:t>A general description of the measure, including its intervention logic and contribution to priority areas and horizontal goals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Development and specialisation in agriculture, forestry and the food processing industry require a suitable level of qualifications in the technological, economic, environmental and numerous other fields, and an increasing ability to acquire and exchange knowledge and information.</w:t>
            </w:r>
            <w:r w:rsidRPr="005C3B55">
              <w:rPr>
                <w:noProof/>
                <w:szCs w:val="24"/>
              </w:rPr>
              <w:t xml:space="preserve"> </w:t>
            </w:r>
            <w:r w:rsidRPr="005C3B55">
              <w:rPr>
                <w:szCs w:val="24"/>
              </w:rPr>
              <w:t>The method of transferring knowledge and information is no longer a one-way linear process, since it is now being implemented in close interaction between various actors who traditionally create and manage knowledge transfer and end users of knowledge.</w:t>
            </w:r>
            <w:r w:rsidRPr="005C3B55">
              <w:rPr>
                <w:noProof/>
                <w:szCs w:val="24"/>
              </w:rPr>
              <w:t xml:space="preserve"> </w:t>
            </w:r>
            <w:r w:rsidRPr="005C3B55">
              <w:rPr>
                <w:szCs w:val="24"/>
              </w:rPr>
              <w:t>The tendency in knowledge transfer is to encourage mutual integration, learning and creativity among farmers and other target groups in rural areas.</w:t>
            </w:r>
            <w:r w:rsidRPr="005C3B55">
              <w:rPr>
                <w:noProof/>
                <w:szCs w:val="24"/>
              </w:rPr>
              <w:t xml:space="preserve"> </w:t>
            </w:r>
            <w:r w:rsidRPr="005C3B55">
              <w:rPr>
                <w:szCs w:val="24"/>
              </w:rPr>
              <w:t>Practical knowledge and the transfer of best practices are particularly important.</w:t>
            </w:r>
            <w:r w:rsidRPr="005C3B55">
              <w:rPr>
                <w:noProof/>
                <w:szCs w:val="24"/>
              </w:rPr>
              <w:t xml:space="preserve"> </w:t>
            </w:r>
            <w:r w:rsidRPr="005C3B55">
              <w:rPr>
                <w:szCs w:val="24"/>
              </w:rPr>
              <w:t>One possible way to transfer such knowledge and information is through demonstration projects and other similar forms of knowledge transfer.</w:t>
            </w:r>
          </w:p>
          <w:p w:rsidR="00BD3B5F" w:rsidRPr="005C3B55" w:rsidRDefault="00BD3B5F">
            <w:pPr>
              <w:spacing w:before="240" w:after="240"/>
              <w:jc w:val="left"/>
              <w:rPr>
                <w:noProof/>
                <w:szCs w:val="24"/>
              </w:rPr>
            </w:pPr>
            <w:r w:rsidRPr="005C3B55">
              <w:rPr>
                <w:szCs w:val="24"/>
              </w:rPr>
              <w:t>The purpose of the measure is to increase the level of competence of target groups through different forms of knowledge transfer.</w:t>
            </w:r>
            <w:r w:rsidRPr="005C3B55">
              <w:rPr>
                <w:noProof/>
                <w:szCs w:val="24"/>
              </w:rPr>
              <w:t xml:space="preserve"> </w:t>
            </w:r>
            <w:r w:rsidRPr="005C3B55">
              <w:rPr>
                <w:szCs w:val="24"/>
              </w:rPr>
              <w:t>With improved competence, the target groups will be able to enhance their competitiveness, use resources more efficiently, improve environmental efficiency and contribute to sustainable development in rural areas.</w:t>
            </w:r>
          </w:p>
          <w:p w:rsidR="00BD3B5F" w:rsidRPr="005C3B55" w:rsidRDefault="00BD3B5F">
            <w:pPr>
              <w:spacing w:before="240" w:after="240"/>
              <w:jc w:val="left"/>
              <w:rPr>
                <w:noProof/>
                <w:szCs w:val="24"/>
              </w:rPr>
            </w:pPr>
            <w:r w:rsidRPr="005C3B55">
              <w:rPr>
                <w:szCs w:val="24"/>
              </w:rPr>
              <w:t>To reduce the negative impacts of agriculture on biodiversity and the condition of water, special emphasis will be put on training for agricultural holdings located in:</w:t>
            </w:r>
          </w:p>
          <w:p w:rsidR="00BD3B5F" w:rsidRPr="005C3B55" w:rsidRDefault="00BD3B5F" w:rsidP="00BD3B5F">
            <w:pPr>
              <w:numPr>
                <w:ilvl w:val="0"/>
                <w:numId w:val="126"/>
              </w:numPr>
              <w:spacing w:before="240" w:after="0"/>
              <w:ind w:hanging="290"/>
              <w:jc w:val="left"/>
              <w:rPr>
                <w:noProof/>
                <w:szCs w:val="24"/>
              </w:rPr>
            </w:pPr>
            <w:r w:rsidRPr="005C3B55">
              <w:rPr>
                <w:szCs w:val="24"/>
              </w:rPr>
              <w:t>important ecological areas of special grassland habitats, grassland habitats of butterflies and litter-raking forests, central areas of the occurrence of birds of humid extensive meadows, most vulnerable areas within Natura 2000 sites, which include grassland rich in species with a poor conservation status;</w:t>
            </w:r>
          </w:p>
          <w:p w:rsidR="00BD3B5F" w:rsidRPr="005C3B55" w:rsidRDefault="00BD3B5F" w:rsidP="00BD3B5F">
            <w:pPr>
              <w:numPr>
                <w:ilvl w:val="0"/>
                <w:numId w:val="126"/>
              </w:numPr>
              <w:spacing w:before="0" w:after="240"/>
              <w:ind w:hanging="290"/>
              <w:jc w:val="left"/>
              <w:rPr>
                <w:noProof/>
                <w:szCs w:val="24"/>
              </w:rPr>
            </w:pPr>
            <w:r w:rsidRPr="005C3B55">
              <w:rPr>
                <w:szCs w:val="24"/>
              </w:rPr>
              <w:t>catchment areas of surface waters and groundwater referred to in the Water Management Plan, where objectives in the Water Framework Directive will not be attained.</w:t>
            </w:r>
          </w:p>
          <w:p w:rsidR="00BD3B5F" w:rsidRPr="005C3B55" w:rsidRDefault="00BD3B5F">
            <w:pPr>
              <w:spacing w:before="240" w:after="240"/>
              <w:jc w:val="left"/>
              <w:rPr>
                <w:noProof/>
                <w:szCs w:val="24"/>
              </w:rPr>
            </w:pPr>
            <w:r w:rsidRPr="005C3B55">
              <w:rPr>
                <w:szCs w:val="24"/>
              </w:rPr>
              <w:t>Due to the large share of Natura 2000 areas which include forests, the emphasis will be on educating forest owners and contractors of forest works on the importance and sustainable forest management.</w:t>
            </w:r>
          </w:p>
          <w:p w:rsidR="00BD3B5F" w:rsidRPr="005C3B55" w:rsidRDefault="00BD3B5F">
            <w:pPr>
              <w:spacing w:before="240" w:after="240"/>
              <w:jc w:val="left"/>
              <w:rPr>
                <w:noProof/>
                <w:szCs w:val="24"/>
              </w:rPr>
            </w:pPr>
            <w:r w:rsidRPr="005C3B55">
              <w:rPr>
                <w:szCs w:val="24"/>
              </w:rPr>
              <w:t>With regard to the different knowledge requirements and heterogeneity of target groups, this measure will address beneficiaries who are applying, or who wish to apply, for certain other measures of the RDP 2014-2020, for which additional target-orientated training (training mandatory from the viewpoint of implementing other measures and which is required upon the application of a measure or during the implementation of commitments) is required, as well as others who in certain fields detect a lack of knowledge and wish to upgrade their knowledge by participating in the training.</w:t>
            </w:r>
            <w:r w:rsidRPr="005C3B55">
              <w:rPr>
                <w:noProof/>
                <w:szCs w:val="24"/>
              </w:rPr>
              <w:t xml:space="preserve"> </w:t>
            </w:r>
            <w:r w:rsidRPr="005C3B55">
              <w:rPr>
                <w:szCs w:val="24"/>
              </w:rPr>
              <w:t>Knowledge requirements will be identified according to the bottom-up approach.</w:t>
            </w:r>
            <w:r w:rsidRPr="005C3B55">
              <w:rPr>
                <w:noProof/>
                <w:szCs w:val="24"/>
              </w:rPr>
              <w:t xml:space="preserve"> </w:t>
            </w:r>
            <w:r w:rsidRPr="005C3B55">
              <w:rPr>
                <w:szCs w:val="24"/>
              </w:rPr>
              <w:t>The requirements will be structured according to whether these are horizontal needs which are not sector-specific or vertical i.e. sector-specific needs.</w:t>
            </w:r>
            <w:r w:rsidRPr="005C3B55">
              <w:rPr>
                <w:noProof/>
                <w:szCs w:val="24"/>
              </w:rPr>
              <w:t xml:space="preserve"> </w:t>
            </w:r>
            <w:r w:rsidRPr="005C3B55">
              <w:rPr>
                <w:szCs w:val="24"/>
              </w:rPr>
              <w:t>Young farmers constitute a special target group of the measure.</w:t>
            </w:r>
          </w:p>
          <w:p w:rsidR="00BD3B5F" w:rsidRPr="005C3B55" w:rsidRDefault="00BD3B5F">
            <w:pPr>
              <w:spacing w:before="240" w:after="240"/>
              <w:jc w:val="left"/>
              <w:rPr>
                <w:noProof/>
                <w:szCs w:val="24"/>
              </w:rPr>
            </w:pPr>
            <w:r w:rsidRPr="005C3B55">
              <w:rPr>
                <w:szCs w:val="24"/>
              </w:rPr>
              <w:t>The measure M01 support is focused on the sixth thematic area of action from the RDP 2014–2020, and is as follows,</w:t>
            </w:r>
            <w:r w:rsidRPr="005C3B55">
              <w:rPr>
                <w:noProof/>
                <w:szCs w:val="24"/>
              </w:rPr>
              <w:t xml:space="preserve"> </w:t>
            </w:r>
            <w:r w:rsidRPr="005C3B55">
              <w:rPr>
                <w:szCs w:val="24"/>
              </w:rPr>
              <w:t>‘Transfer of knowledge and innovation, environmental care and climate change’ as determined in Chapter 5.1 of the RDP 2014–2020.</w:t>
            </w:r>
          </w:p>
          <w:p w:rsidR="00BD3B5F" w:rsidRPr="005C3B55" w:rsidRDefault="00BD3B5F">
            <w:pPr>
              <w:spacing w:before="240" w:after="240"/>
              <w:jc w:val="left"/>
              <w:rPr>
                <w:noProof/>
                <w:szCs w:val="24"/>
              </w:rPr>
            </w:pPr>
            <w:r w:rsidRPr="005C3B55">
              <w:rPr>
                <w:szCs w:val="24"/>
              </w:rPr>
              <w:t>The analysis of needs demonstrates that raising qualifications in agriculture, forestry and food-processing industry is a key need that was detected, since training and demonstration projects enable the improvement of competitiveness and productivity and faster response to requirements in the field of the environment and climate protection.</w:t>
            </w:r>
          </w:p>
          <w:p w:rsidR="00BD3B5F" w:rsidRPr="005C3B55" w:rsidRDefault="00BD3B5F">
            <w:pPr>
              <w:spacing w:before="240" w:after="240"/>
              <w:jc w:val="left"/>
              <w:rPr>
                <w:noProof/>
                <w:szCs w:val="24"/>
              </w:rPr>
            </w:pPr>
            <w:r w:rsidRPr="005C3B55">
              <w:rPr>
                <w:szCs w:val="24"/>
              </w:rPr>
              <w:t>The measure will be implemented through two sub-measures:</w:t>
            </w:r>
          </w:p>
          <w:p w:rsidR="00BD3B5F" w:rsidRPr="005C3B55" w:rsidRDefault="00BD3B5F" w:rsidP="00BD3B5F">
            <w:pPr>
              <w:numPr>
                <w:ilvl w:val="0"/>
                <w:numId w:val="127"/>
              </w:numPr>
              <w:spacing w:before="240" w:after="0"/>
              <w:ind w:hanging="290"/>
              <w:jc w:val="left"/>
              <w:rPr>
                <w:noProof/>
                <w:szCs w:val="24"/>
              </w:rPr>
            </w:pPr>
            <w:r w:rsidRPr="005C3B55">
              <w:rPr>
                <w:szCs w:val="24"/>
              </w:rPr>
              <w:t>Support for vocational training and skills acquisition actions (sub-measure M01.1);</w:t>
            </w:r>
          </w:p>
          <w:p w:rsidR="00BD3B5F" w:rsidRPr="005C3B55" w:rsidRDefault="00BD3B5F" w:rsidP="00BD3B5F">
            <w:pPr>
              <w:numPr>
                <w:ilvl w:val="0"/>
                <w:numId w:val="127"/>
              </w:numPr>
              <w:spacing w:before="0" w:after="240"/>
              <w:ind w:hanging="290"/>
              <w:jc w:val="left"/>
              <w:rPr>
                <w:noProof/>
                <w:szCs w:val="24"/>
              </w:rPr>
            </w:pPr>
            <w:r w:rsidRPr="005C3B55">
              <w:rPr>
                <w:szCs w:val="24"/>
              </w:rPr>
              <w:t>Support for demonstration activities and information actions (sub-measure M01.2.).</w:t>
            </w:r>
          </w:p>
          <w:p w:rsidR="00BD3B5F" w:rsidRPr="005C3B55" w:rsidRDefault="00BD3B5F">
            <w:pPr>
              <w:spacing w:before="240" w:after="240"/>
              <w:jc w:val="left"/>
              <w:rPr>
                <w:noProof/>
                <w:szCs w:val="24"/>
              </w:rPr>
            </w:pPr>
            <w:r w:rsidRPr="005C3B55">
              <w:rPr>
                <w:szCs w:val="24"/>
              </w:rPr>
              <w:t>In selecting the contents of training, priority will be given to programmes which include the selected topics of animal welfare, agri-environment-climate contents, organic farming, forestry, digital skills, processing, marketing, managing, etc.</w:t>
            </w:r>
            <w:r w:rsidRPr="005C3B55">
              <w:rPr>
                <w:noProof/>
                <w:szCs w:val="24"/>
              </w:rPr>
              <w:t xml:space="preserve"> </w:t>
            </w:r>
            <w:r w:rsidRPr="005C3B55">
              <w:rPr>
                <w:szCs w:val="24"/>
              </w:rPr>
              <w:t>In selecting demonstration projects, programmes which include contents which contribute to improving knowledge especially in the technological, economic and environmental fields will be given priority.</w:t>
            </w:r>
          </w:p>
          <w:p w:rsidR="00BD3B5F" w:rsidRPr="005C3B55" w:rsidRDefault="00BD3B5F">
            <w:pPr>
              <w:spacing w:before="240" w:after="240"/>
              <w:jc w:val="left"/>
              <w:rPr>
                <w:noProof/>
                <w:szCs w:val="24"/>
              </w:rPr>
            </w:pPr>
            <w:r w:rsidRPr="005C3B55">
              <w:rPr>
                <w:szCs w:val="24"/>
              </w:rPr>
              <w:t>The MA will prepare a selection of training courses which will form the basis for implementing this measure.</w:t>
            </w:r>
          </w:p>
          <w:p w:rsidR="00BD3B5F" w:rsidRPr="005C3B55" w:rsidRDefault="00BD3B5F">
            <w:pPr>
              <w:spacing w:before="240" w:after="240"/>
              <w:jc w:val="left"/>
              <w:rPr>
                <w:noProof/>
                <w:szCs w:val="24"/>
              </w:rPr>
            </w:pPr>
            <w:r w:rsidRPr="005C3B55">
              <w:rPr>
                <w:szCs w:val="24"/>
              </w:rPr>
              <w:t>The selection of providers of training will be implemented on the basis of regulations governing public procurements.</w:t>
            </w:r>
          </w:p>
          <w:p w:rsidR="00BD3B5F" w:rsidRPr="005C3B55" w:rsidRDefault="00BD3B5F">
            <w:pPr>
              <w:spacing w:before="240" w:after="240"/>
              <w:jc w:val="left"/>
              <w:rPr>
                <w:noProof/>
                <w:szCs w:val="24"/>
              </w:rPr>
            </w:pPr>
            <w:r w:rsidRPr="005C3B55">
              <w:rPr>
                <w:szCs w:val="24"/>
              </w:rPr>
              <w:t>Support under this measure does not include training and demonstration projects which are part of regular education programmes or systems at secondary or higher levels.</w:t>
            </w:r>
          </w:p>
          <w:p w:rsidR="00BD3B5F" w:rsidRPr="005C3B55" w:rsidRDefault="00BD3B5F">
            <w:pPr>
              <w:spacing w:before="240" w:after="240"/>
              <w:jc w:val="left"/>
              <w:rPr>
                <w:noProof/>
                <w:szCs w:val="24"/>
              </w:rPr>
            </w:pPr>
            <w:r w:rsidRPr="005C3B55">
              <w:rPr>
                <w:szCs w:val="24"/>
              </w:rPr>
              <w:t>Participation in training and demonstration projects will be free of charge for participants.</w:t>
            </w:r>
          </w:p>
          <w:p w:rsidR="00BD3B5F" w:rsidRPr="005C3B55" w:rsidRDefault="00BD3B5F">
            <w:pPr>
              <w:spacing w:before="240" w:after="240"/>
              <w:jc w:val="left"/>
              <w:rPr>
                <w:noProof/>
                <w:szCs w:val="24"/>
              </w:rPr>
            </w:pPr>
            <w:r w:rsidRPr="005C3B55">
              <w:rPr>
                <w:b/>
                <w:szCs w:val="24"/>
              </w:rPr>
              <w:t>Contribution to focus areas</w:t>
            </w:r>
          </w:p>
          <w:p w:rsidR="00BD3B5F" w:rsidRPr="005C3B55" w:rsidRDefault="00BD3B5F">
            <w:pPr>
              <w:spacing w:before="240" w:after="240"/>
              <w:jc w:val="left"/>
              <w:rPr>
                <w:noProof/>
                <w:szCs w:val="24"/>
              </w:rPr>
            </w:pPr>
            <w:r w:rsidRPr="005C3B55">
              <w:rPr>
                <w:b/>
                <w:i/>
                <w:szCs w:val="24"/>
              </w:rPr>
              <w:t>Focus area 1A:</w:t>
            </w:r>
            <w:r w:rsidRPr="005C3B55">
              <w:rPr>
                <w:b/>
                <w:i/>
                <w:noProof/>
                <w:szCs w:val="24"/>
              </w:rPr>
              <w:t xml:space="preserve"> </w:t>
            </w:r>
            <w:r w:rsidRPr="005C3B55">
              <w:rPr>
                <w:b/>
                <w:i/>
                <w:szCs w:val="24"/>
              </w:rPr>
              <w:t>Promoting innovation, cooperation and the development of knowledge bases in rural areas</w:t>
            </w:r>
          </w:p>
          <w:p w:rsidR="00BD3B5F" w:rsidRPr="005C3B55" w:rsidRDefault="00BD3B5F">
            <w:pPr>
              <w:spacing w:before="240" w:after="240"/>
              <w:jc w:val="left"/>
              <w:rPr>
                <w:noProof/>
                <w:szCs w:val="24"/>
              </w:rPr>
            </w:pPr>
            <w:r w:rsidRPr="005C3B55">
              <w:rPr>
                <w:szCs w:val="24"/>
              </w:rPr>
              <w:t>The measure will contribute to extending the knowledge and innovation base in the countryside.</w:t>
            </w:r>
          </w:p>
          <w:p w:rsidR="00BD3B5F" w:rsidRPr="005C3B55" w:rsidRDefault="00BD3B5F">
            <w:pPr>
              <w:spacing w:before="0" w:after="0"/>
              <w:jc w:val="left"/>
              <w:rPr>
                <w:noProof/>
                <w:szCs w:val="24"/>
              </w:rPr>
            </w:pPr>
            <w:r w:rsidRPr="005C3B55">
              <w:rPr>
                <w:b/>
                <w:i/>
                <w:szCs w:val="24"/>
              </w:rPr>
              <w:t>Focus area 1C:</w:t>
            </w:r>
            <w:r w:rsidRPr="005C3B55">
              <w:rPr>
                <w:b/>
                <w:i/>
                <w:noProof/>
                <w:szCs w:val="24"/>
              </w:rPr>
              <w:t xml:space="preserve"> </w:t>
            </w:r>
            <w:r w:rsidRPr="005C3B55">
              <w:rPr>
                <w:b/>
                <w:i/>
                <w:szCs w:val="24"/>
              </w:rPr>
              <w:t>Enhancement of life-long learning and professional training in the agricultural and forestry sectors</w:t>
            </w:r>
          </w:p>
          <w:p w:rsidR="00BD3B5F" w:rsidRPr="005C3B55" w:rsidRDefault="00BD3B5F">
            <w:pPr>
              <w:spacing w:before="240" w:after="240"/>
              <w:jc w:val="left"/>
              <w:rPr>
                <w:noProof/>
                <w:szCs w:val="24"/>
              </w:rPr>
            </w:pPr>
            <w:r w:rsidRPr="005C3B55">
              <w:rPr>
                <w:szCs w:val="24"/>
              </w:rPr>
              <w:t>The measure will increase competence in agriculture, the food industry and forestry.</w:t>
            </w:r>
          </w:p>
          <w:p w:rsidR="00BD3B5F" w:rsidRPr="005C3B55" w:rsidRDefault="00BD3B5F">
            <w:pPr>
              <w:spacing w:before="240" w:after="240"/>
              <w:jc w:val="left"/>
              <w:rPr>
                <w:noProof/>
                <w:szCs w:val="24"/>
              </w:rPr>
            </w:pPr>
            <w:r w:rsidRPr="005C3B55">
              <w:rPr>
                <w:b/>
                <w:i/>
                <w:szCs w:val="24"/>
              </w:rPr>
              <w:t>Focus area 2A:</w:t>
            </w:r>
            <w:r w:rsidRPr="005C3B55">
              <w:rPr>
                <w:b/>
                <w:i/>
                <w:noProof/>
                <w:szCs w:val="24"/>
              </w:rPr>
              <w:t xml:space="preserve"> </w:t>
            </w:r>
            <w:r w:rsidRPr="005C3B55">
              <w:rPr>
                <w:b/>
                <w:i/>
                <w:szCs w:val="24"/>
              </w:rPr>
              <w:t>Improving the economic performance of all agricultural holdings, and facilitating the restructuring and modernisation of agricultural holdings in order to increase their market participation, market-orientation and agricultural diversification</w:t>
            </w:r>
            <w:r w:rsidRPr="005C3B55">
              <w:rPr>
                <w:b/>
                <w:i/>
                <w:noProof/>
                <w:szCs w:val="24"/>
              </w:rPr>
              <w:t xml:space="preserve"> </w:t>
            </w:r>
          </w:p>
          <w:p w:rsidR="00BD3B5F" w:rsidRPr="005C3B55" w:rsidRDefault="00BD3B5F">
            <w:pPr>
              <w:spacing w:before="240" w:after="240"/>
              <w:jc w:val="left"/>
              <w:rPr>
                <w:noProof/>
                <w:szCs w:val="24"/>
              </w:rPr>
            </w:pPr>
            <w:r w:rsidRPr="005C3B55">
              <w:rPr>
                <w:szCs w:val="24"/>
              </w:rPr>
              <w:t>Knowledge transfer will be primarily intended for structural adjustments the objective of which is the more optimal use of production factors to achieve higher productivity, more efficient and sustainable use of resources, mitigating, and adapting to, climate change, more successful adjustment to the market situation, better market-orientation and specialisation, and sustainable forest management and safe work in forests.</w:t>
            </w:r>
            <w:r w:rsidRPr="005C3B55">
              <w:rPr>
                <w:noProof/>
                <w:szCs w:val="24"/>
              </w:rPr>
              <w:t xml:space="preserve"> </w:t>
            </w:r>
            <w:r w:rsidRPr="005C3B55">
              <w:rPr>
                <w:szCs w:val="24"/>
              </w:rPr>
              <w:t>Training will also improve digital skills and the transition to a low-carbon society.</w:t>
            </w:r>
          </w:p>
          <w:p w:rsidR="00BD3B5F" w:rsidRPr="005C3B55" w:rsidRDefault="00BD3B5F">
            <w:pPr>
              <w:spacing w:before="240" w:after="240"/>
              <w:jc w:val="left"/>
              <w:rPr>
                <w:noProof/>
                <w:szCs w:val="24"/>
              </w:rPr>
            </w:pPr>
            <w:r w:rsidRPr="005C3B55">
              <w:rPr>
                <w:b/>
                <w:i/>
                <w:szCs w:val="24"/>
              </w:rPr>
              <w:t>Focus area 2B:</w:t>
            </w:r>
            <w:r w:rsidRPr="005C3B55">
              <w:rPr>
                <w:b/>
                <w:i/>
                <w:noProof/>
                <w:szCs w:val="24"/>
              </w:rPr>
              <w:t xml:space="preserve"> </w:t>
            </w:r>
            <w:r w:rsidRPr="005C3B55">
              <w:rPr>
                <w:b/>
                <w:i/>
                <w:szCs w:val="24"/>
              </w:rPr>
              <w:t>Facilitating the entry of farmers with suitable education to the agricultural sector and, in particular, generational renewal</w:t>
            </w:r>
          </w:p>
          <w:p w:rsidR="00BD3B5F" w:rsidRPr="005C3B55" w:rsidRDefault="00BD3B5F">
            <w:pPr>
              <w:spacing w:before="240" w:after="240"/>
              <w:jc w:val="left"/>
              <w:rPr>
                <w:noProof/>
                <w:szCs w:val="24"/>
              </w:rPr>
            </w:pPr>
            <w:r w:rsidRPr="005C3B55">
              <w:rPr>
                <w:szCs w:val="24"/>
              </w:rPr>
              <w:t>Young farmers constitute an important target group of the measure.</w:t>
            </w:r>
            <w:r w:rsidRPr="005C3B55">
              <w:rPr>
                <w:noProof/>
                <w:szCs w:val="24"/>
              </w:rPr>
              <w:t xml:space="preserve"> </w:t>
            </w:r>
            <w:r w:rsidRPr="005C3B55">
              <w:rPr>
                <w:szCs w:val="24"/>
              </w:rPr>
              <w:t>The development of, and increase in, farm productivity require increasingly specialised knowledge on the introduction of new technologies, and the management and marketing of products and services.</w:t>
            </w:r>
          </w:p>
          <w:p w:rsidR="00BD3B5F" w:rsidRPr="005C3B55" w:rsidRDefault="00BD3B5F">
            <w:pPr>
              <w:spacing w:before="240" w:after="240"/>
              <w:jc w:val="left"/>
              <w:rPr>
                <w:noProof/>
                <w:szCs w:val="24"/>
              </w:rPr>
            </w:pPr>
            <w:r w:rsidRPr="005C3B55">
              <w:rPr>
                <w:b/>
                <w:i/>
                <w:szCs w:val="24"/>
              </w:rPr>
              <w:t>Focus area 3A:</w:t>
            </w:r>
            <w:r w:rsidRPr="005C3B55">
              <w:rPr>
                <w:b/>
                <w:i/>
                <w:noProof/>
                <w:szCs w:val="24"/>
              </w:rPr>
              <w:t xml:space="preserve"> </w:t>
            </w:r>
            <w:r w:rsidRPr="005C3B55">
              <w:rPr>
                <w:b/>
                <w:i/>
                <w:szCs w:val="24"/>
              </w:rPr>
              <w:t>Enhancing the inclusion of primary producers in the food chain through quality schemes, promotion in local markets, short supply chains, producer groups and inter-branch organisations and the promotion of animal welfare</w:t>
            </w:r>
          </w:p>
          <w:p w:rsidR="00BD3B5F" w:rsidRPr="005C3B55" w:rsidRDefault="00BD3B5F">
            <w:pPr>
              <w:spacing w:before="240" w:after="240"/>
              <w:jc w:val="left"/>
              <w:rPr>
                <w:noProof/>
                <w:szCs w:val="24"/>
              </w:rPr>
            </w:pPr>
            <w:r w:rsidRPr="005C3B55">
              <w:rPr>
                <w:szCs w:val="24"/>
              </w:rPr>
              <w:t>Knowledge transfer will focus on primary producers included in measure M14.</w:t>
            </w:r>
            <w:r w:rsidRPr="005C3B55">
              <w:rPr>
                <w:noProof/>
                <w:szCs w:val="24"/>
              </w:rPr>
              <w:t xml:space="preserve"> </w:t>
            </w:r>
            <w:r w:rsidRPr="005C3B55">
              <w:rPr>
                <w:szCs w:val="24"/>
              </w:rPr>
              <w:t>Knowledge transfer will be based on contents related to short supply chains and local markets, and connecting producers and the food processing industry.</w:t>
            </w:r>
          </w:p>
          <w:p w:rsidR="00BD3B5F" w:rsidRPr="005C3B55" w:rsidRDefault="00BD3B5F">
            <w:pPr>
              <w:spacing w:before="240" w:after="240"/>
              <w:jc w:val="left"/>
              <w:rPr>
                <w:noProof/>
                <w:szCs w:val="24"/>
              </w:rPr>
            </w:pPr>
            <w:r w:rsidRPr="005C3B55">
              <w:rPr>
                <w:b/>
                <w:i/>
                <w:szCs w:val="24"/>
              </w:rPr>
              <w:t>Focus area 4A:</w:t>
            </w:r>
            <w:r w:rsidRPr="005C3B55">
              <w:rPr>
                <w:b/>
                <w:i/>
                <w:noProof/>
                <w:szCs w:val="24"/>
              </w:rPr>
              <w:t xml:space="preserve"> </w:t>
            </w:r>
            <w:r w:rsidRPr="005C3B55">
              <w:rPr>
                <w:b/>
                <w:i/>
                <w:szCs w:val="24"/>
              </w:rPr>
              <w:t>Restoring, preserving and enhancing biodiversity, including within Natura 2000 sites, and in areas facing natural or other specific constraints, and high nature value farming, as well as the state of European landscapes</w:t>
            </w:r>
          </w:p>
          <w:p w:rsidR="00BD3B5F" w:rsidRPr="005C3B55" w:rsidRDefault="00BD3B5F">
            <w:pPr>
              <w:spacing w:before="240" w:after="240"/>
              <w:jc w:val="left"/>
              <w:rPr>
                <w:noProof/>
                <w:szCs w:val="24"/>
              </w:rPr>
            </w:pPr>
            <w:r w:rsidRPr="005C3B55">
              <w:rPr>
                <w:szCs w:val="24"/>
              </w:rPr>
              <w:t>The training will focus particularly on farmers who wish to be, or already are, included in measures M10 and M11.</w:t>
            </w:r>
            <w:r w:rsidRPr="005C3B55">
              <w:rPr>
                <w:noProof/>
                <w:szCs w:val="24"/>
              </w:rPr>
              <w:t xml:space="preserve"> </w:t>
            </w:r>
            <w:r w:rsidRPr="005C3B55">
              <w:rPr>
                <w:szCs w:val="24"/>
              </w:rPr>
              <w:t>The farmers will become acquainted with the purpose and objectives of agri-environment-climate payments and organic farming, and the commitments they have to adhere to and reasons for them.</w:t>
            </w:r>
            <w:r w:rsidRPr="005C3B55">
              <w:rPr>
                <w:noProof/>
                <w:szCs w:val="24"/>
              </w:rPr>
              <w:t xml:space="preserve"> </w:t>
            </w:r>
            <w:r w:rsidRPr="005C3B55">
              <w:rPr>
                <w:szCs w:val="24"/>
              </w:rPr>
              <w:t>One of the significant objectives of the training is to reduce the error rate, i.e. violations and sanctions, which in the 2007–2013 programming period resulted in the reimbursement of funds.</w:t>
            </w:r>
          </w:p>
          <w:p w:rsidR="00BD3B5F" w:rsidRPr="005C3B55" w:rsidRDefault="00BD3B5F">
            <w:pPr>
              <w:spacing w:before="240" w:after="240"/>
              <w:jc w:val="left"/>
              <w:rPr>
                <w:noProof/>
                <w:szCs w:val="24"/>
              </w:rPr>
            </w:pPr>
            <w:r w:rsidRPr="005C3B55">
              <w:rPr>
                <w:szCs w:val="24"/>
              </w:rPr>
              <w:t>A special emphasis will be put on training in the field of biodiversity conservation in grassland rich in species and forest areas within Natura 2000 sites.</w:t>
            </w:r>
          </w:p>
          <w:p w:rsidR="00BD3B5F" w:rsidRPr="005C3B55" w:rsidRDefault="00BD3B5F">
            <w:pPr>
              <w:spacing w:before="240" w:after="240"/>
              <w:jc w:val="left"/>
              <w:rPr>
                <w:noProof/>
                <w:szCs w:val="24"/>
              </w:rPr>
            </w:pPr>
            <w:r w:rsidRPr="005C3B55">
              <w:rPr>
                <w:b/>
                <w:i/>
                <w:szCs w:val="24"/>
              </w:rPr>
              <w:t>Focus area 4B:</w:t>
            </w:r>
            <w:r w:rsidRPr="005C3B55">
              <w:rPr>
                <w:b/>
                <w:i/>
                <w:noProof/>
                <w:szCs w:val="24"/>
              </w:rPr>
              <w:t xml:space="preserve"> </w:t>
            </w:r>
            <w:r w:rsidRPr="005C3B55">
              <w:rPr>
                <w:b/>
                <w:i/>
                <w:szCs w:val="24"/>
              </w:rPr>
              <w:t>Improving water management, including the management of fertilisers and pesticides</w:t>
            </w:r>
          </w:p>
          <w:p w:rsidR="00BD3B5F" w:rsidRPr="005C3B55" w:rsidRDefault="00BD3B5F">
            <w:pPr>
              <w:spacing w:before="240" w:after="240"/>
              <w:jc w:val="left"/>
              <w:rPr>
                <w:noProof/>
                <w:szCs w:val="24"/>
              </w:rPr>
            </w:pPr>
            <w:r w:rsidRPr="005C3B55">
              <w:rPr>
                <w:szCs w:val="24"/>
              </w:rPr>
              <w:t>The implemented activities will contribute to increasing competence and awareness of the impact of agricultural and forestry activities on the quality of water and land.</w:t>
            </w:r>
            <w:r w:rsidRPr="005C3B55">
              <w:rPr>
                <w:noProof/>
                <w:szCs w:val="24"/>
              </w:rPr>
              <w:t xml:space="preserve"> </w:t>
            </w:r>
            <w:r w:rsidRPr="005C3B55">
              <w:rPr>
                <w:szCs w:val="24"/>
              </w:rPr>
              <w:t>Within this measure, special emphasis will be put on training which contributes to reducing dispersed pollution of agricultural origin in areas referred to in the Water Management Plan, where objectives in the Water Framework Directive will not be attained due to these impacts.</w:t>
            </w:r>
          </w:p>
          <w:p w:rsidR="00BD3B5F" w:rsidRPr="005C3B55" w:rsidRDefault="00BD3B5F">
            <w:pPr>
              <w:spacing w:before="240" w:after="240"/>
              <w:jc w:val="left"/>
              <w:rPr>
                <w:noProof/>
                <w:szCs w:val="24"/>
              </w:rPr>
            </w:pPr>
            <w:r w:rsidRPr="005C3B55">
              <w:rPr>
                <w:b/>
                <w:i/>
                <w:szCs w:val="24"/>
              </w:rPr>
              <w:t>Focus area 4C:</w:t>
            </w:r>
            <w:r w:rsidRPr="005C3B55">
              <w:rPr>
                <w:b/>
                <w:i/>
                <w:noProof/>
                <w:szCs w:val="24"/>
              </w:rPr>
              <w:t xml:space="preserve"> </w:t>
            </w:r>
            <w:r w:rsidRPr="005C3B55">
              <w:rPr>
                <w:b/>
                <w:i/>
                <w:szCs w:val="24"/>
              </w:rPr>
              <w:t>Prevention of soil erosion and improvement of soil management</w:t>
            </w:r>
          </w:p>
          <w:p w:rsidR="00BD3B5F" w:rsidRPr="005C3B55" w:rsidRDefault="00BD3B5F">
            <w:pPr>
              <w:spacing w:before="240" w:after="240"/>
              <w:jc w:val="left"/>
              <w:rPr>
                <w:noProof/>
                <w:szCs w:val="24"/>
              </w:rPr>
            </w:pPr>
            <w:r w:rsidRPr="005C3B55">
              <w:rPr>
                <w:szCs w:val="24"/>
              </w:rPr>
              <w:t>The emphasis during training will be on presenting production technologies which contribute to the sustainable and rational use of land, and prevent erosion and negative changes in the properties of soil.</w:t>
            </w:r>
            <w:r w:rsidRPr="005C3B55">
              <w:rPr>
                <w:noProof/>
                <w:szCs w:val="24"/>
              </w:rPr>
              <w:t xml:space="preserve"> </w:t>
            </w:r>
            <w:r w:rsidRPr="005C3B55">
              <w:rPr>
                <w:szCs w:val="24"/>
              </w:rPr>
              <w:t>Information and knowledge acquired during training will enable farmers to improve their current soil management methods.</w:t>
            </w:r>
            <w:r w:rsidRPr="005C3B55">
              <w:rPr>
                <w:noProof/>
                <w:szCs w:val="24"/>
              </w:rPr>
              <w:t xml:space="preserve"> </w:t>
            </w:r>
            <w:r w:rsidRPr="005C3B55">
              <w:rPr>
                <w:szCs w:val="24"/>
              </w:rPr>
              <w:t>The training of forest owners and contractors of forest works will contribute to the enhancement of awareness and better forest management in torrential areas in forests and to improving the efficiency of biotechnical measures in the hinterland of torrents.</w:t>
            </w:r>
            <w:r w:rsidRPr="005C3B55">
              <w:rPr>
                <w:noProof/>
                <w:szCs w:val="24"/>
              </w:rPr>
              <w:t xml:space="preserve">      </w:t>
            </w:r>
          </w:p>
          <w:p w:rsidR="00BD3B5F" w:rsidRPr="005C3B55" w:rsidRDefault="00BD3B5F">
            <w:pPr>
              <w:spacing w:before="240" w:after="240"/>
              <w:jc w:val="left"/>
              <w:rPr>
                <w:noProof/>
                <w:szCs w:val="24"/>
              </w:rPr>
            </w:pPr>
            <w:r w:rsidRPr="005C3B55">
              <w:rPr>
                <w:b/>
                <w:szCs w:val="24"/>
              </w:rPr>
              <w:t>Contribution to horizontal objectives</w:t>
            </w:r>
          </w:p>
          <w:p w:rsidR="00BD3B5F" w:rsidRPr="005C3B55" w:rsidRDefault="00BD3B5F">
            <w:pPr>
              <w:spacing w:before="240" w:after="240"/>
              <w:jc w:val="left"/>
              <w:rPr>
                <w:noProof/>
                <w:szCs w:val="24"/>
              </w:rPr>
            </w:pPr>
            <w:r w:rsidRPr="005C3B55">
              <w:rPr>
                <w:b/>
                <w:i/>
                <w:szCs w:val="24"/>
              </w:rPr>
              <w:t>Mitigating, and adapting to, climate change:</w:t>
            </w:r>
            <w:r w:rsidRPr="005C3B55">
              <w:rPr>
                <w:b/>
                <w:noProof/>
                <w:szCs w:val="24"/>
              </w:rPr>
              <w:t xml:space="preserve"> </w:t>
            </w:r>
            <w:r w:rsidRPr="005C3B55">
              <w:rPr>
                <w:szCs w:val="24"/>
              </w:rPr>
              <w:t>Activities will promote knowledge transfer and provide information on methods for mitigating, and adapting to, climate change.</w:t>
            </w:r>
          </w:p>
          <w:p w:rsidR="00BD3B5F" w:rsidRPr="005C3B55" w:rsidRDefault="00BD3B5F">
            <w:pPr>
              <w:spacing w:before="240" w:after="240"/>
              <w:jc w:val="left"/>
              <w:rPr>
                <w:noProof/>
                <w:szCs w:val="24"/>
              </w:rPr>
            </w:pPr>
            <w:r w:rsidRPr="005C3B55">
              <w:rPr>
                <w:b/>
                <w:i/>
                <w:szCs w:val="24"/>
              </w:rPr>
              <w:t>Environment:</w:t>
            </w:r>
            <w:r w:rsidRPr="005C3B55">
              <w:rPr>
                <w:noProof/>
                <w:szCs w:val="24"/>
              </w:rPr>
              <w:t xml:space="preserve"> </w:t>
            </w:r>
            <w:r w:rsidRPr="005C3B55">
              <w:rPr>
                <w:szCs w:val="24"/>
              </w:rPr>
              <w:t>Training, workshops and other forms of knowledge transfer will contribute to raising awareness on the inseparable connections between agriculture, forestry and the food processing industry and the preservation of natural resources and biodiversity, and also on the possible positive and negative impacts on the environment.</w:t>
            </w:r>
            <w:r w:rsidRPr="005C3B55">
              <w:rPr>
                <w:noProof/>
                <w:szCs w:val="24"/>
              </w:rPr>
              <w:t xml:space="preserve"> </w:t>
            </w:r>
            <w:r w:rsidRPr="005C3B55">
              <w:rPr>
                <w:szCs w:val="24"/>
              </w:rPr>
              <w:t>A special emphasis will be put on biodiversity, and the quality of surface water and groundwater.</w:t>
            </w:r>
          </w:p>
          <w:p w:rsidR="00BD3B5F" w:rsidRPr="005C3B55" w:rsidRDefault="00BD3B5F">
            <w:pPr>
              <w:spacing w:before="240" w:after="240"/>
              <w:jc w:val="left"/>
              <w:rPr>
                <w:noProof/>
                <w:szCs w:val="24"/>
              </w:rPr>
            </w:pPr>
            <w:r w:rsidRPr="005C3B55">
              <w:rPr>
                <w:b/>
                <w:i/>
                <w:szCs w:val="24"/>
              </w:rPr>
              <w:t>Innovation:</w:t>
            </w:r>
            <w:r w:rsidRPr="005C3B55">
              <w:rPr>
                <w:noProof/>
                <w:szCs w:val="24"/>
              </w:rPr>
              <w:t xml:space="preserve"> </w:t>
            </w:r>
            <w:r w:rsidRPr="005C3B55">
              <w:rPr>
                <w:szCs w:val="24"/>
              </w:rPr>
              <w:t>A more efficient transfer of knowledge and information is a key prerequisite for enhancing the knowledge base and thus accelerating innovation in rural areas.</w:t>
            </w:r>
          </w:p>
          <w:p w:rsidR="00BD3B5F" w:rsidRPr="005C3B55" w:rsidRDefault="00BD3B5F">
            <w:pPr>
              <w:pStyle w:val="Telobesedila"/>
              <w:rPr>
                <w:szCs w:val="24"/>
              </w:rPr>
            </w:pPr>
          </w:p>
        </w:tc>
      </w:tr>
    </w:tbl>
    <w:p w:rsidR="00BD3B5F" w:rsidRPr="005C3B55" w:rsidRDefault="00BD3B5F">
      <w:pPr>
        <w:pStyle w:val="Naslov4"/>
        <w:tabs>
          <w:tab w:val="clear" w:pos="765"/>
        </w:tabs>
        <w:ind w:left="0" w:firstLine="0"/>
        <w:jc w:val="left"/>
        <w:rPr>
          <w:szCs w:val="24"/>
          <w:lang w:val="en-GB"/>
        </w:rPr>
      </w:pPr>
      <w:r w:rsidRPr="005C3B55">
        <w:rPr>
          <w:szCs w:val="24"/>
          <w:lang w:val="en-GB"/>
        </w:rPr>
        <w:t>Scope and rate of support and beneficiaries, and, where relevant, the methodology for calculating the amount or level of support, if necessary broken down by sub-measures and/or the type of operation. Determine eligible costs, conditions for eligibility, valid amounts and rates of support and principles regarding the definition of the selection criteria for each type of operation</w:t>
      </w:r>
    </w:p>
    <w:p w:rsidR="00BD3B5F" w:rsidRPr="005C3B55" w:rsidRDefault="00BD3B5F">
      <w:pPr>
        <w:pStyle w:val="Naslov5"/>
        <w:tabs>
          <w:tab w:val="clear" w:pos="765"/>
        </w:tabs>
        <w:ind w:left="0" w:firstLine="0"/>
        <w:rPr>
          <w:b w:val="0"/>
          <w:szCs w:val="24"/>
          <w:lang w:val="en-GB"/>
        </w:rPr>
      </w:pPr>
      <w:r w:rsidRPr="005C3B55">
        <w:rPr>
          <w:b w:val="0"/>
          <w:szCs w:val="24"/>
          <w:lang w:val="en-GB"/>
        </w:rPr>
        <w:t xml:space="preserve">1. </w:t>
      </w:r>
      <w:r w:rsidRPr="005C3B55">
        <w:rPr>
          <w:b w:val="0"/>
          <w:noProof w:val="0"/>
          <w:szCs w:val="24"/>
          <w:lang w:val="en-GB"/>
        </w:rPr>
        <w:t>Support for vocational training and skills acquisition actions</w:t>
      </w:r>
    </w:p>
    <w:p w:rsidR="00BD3B5F" w:rsidRPr="005C3B55" w:rsidRDefault="00BD3B5F">
      <w:pPr>
        <w:rPr>
          <w:szCs w:val="24"/>
        </w:rPr>
      </w:pPr>
      <w:r w:rsidRPr="005C3B55">
        <w:rPr>
          <w:szCs w:val="24"/>
        </w:rPr>
        <w:t xml:space="preserve">Sub-measure: </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rsidP="00BD3B5F">
            <w:pPr>
              <w:numPr>
                <w:ilvl w:val="0"/>
                <w:numId w:val="128"/>
              </w:numPr>
              <w:rPr>
                <w:szCs w:val="24"/>
              </w:rPr>
            </w:pPr>
            <w:r w:rsidRPr="005C3B55">
              <w:rPr>
                <w:szCs w:val="24"/>
              </w:rPr>
              <w:t>1.1 – Support for vocational training and skills acquisition actions</w:t>
            </w:r>
          </w:p>
        </w:tc>
      </w:tr>
    </w:tbl>
    <w:p w:rsidR="00BD3B5F" w:rsidRPr="005C3B55" w:rsidRDefault="00BD3B5F">
      <w:pPr>
        <w:pStyle w:val="Naslov6"/>
        <w:tabs>
          <w:tab w:val="clear" w:pos="765"/>
        </w:tabs>
        <w:ind w:left="0" w:firstLine="0"/>
        <w:rPr>
          <w:szCs w:val="24"/>
          <w:lang w:val="en-GB"/>
        </w:rPr>
      </w:pPr>
      <w:r w:rsidRPr="005C3B55">
        <w:rPr>
          <w:noProof w:val="0"/>
          <w:szCs w:val="24"/>
          <w:lang w:val="en-GB"/>
        </w:rPr>
        <w:t>Description of type of operation</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The purpose of the sub-measure is to improve qualifications in the agricultural, forestry and food industry sectors.</w:t>
            </w:r>
            <w:r w:rsidRPr="005C3B55">
              <w:rPr>
                <w:noProof/>
                <w:szCs w:val="24"/>
              </w:rPr>
              <w:t xml:space="preserve"> </w:t>
            </w:r>
            <w:r w:rsidRPr="005C3B55">
              <w:rPr>
                <w:szCs w:val="24"/>
              </w:rPr>
              <w:t>The support is intended for activities of knowledge transfer, which include various forms of training.</w:t>
            </w:r>
          </w:p>
          <w:p w:rsidR="00BD3B5F" w:rsidRPr="005C3B55" w:rsidRDefault="00BD3B5F">
            <w:pPr>
              <w:spacing w:before="240" w:after="240"/>
              <w:jc w:val="left"/>
              <w:rPr>
                <w:noProof/>
                <w:szCs w:val="24"/>
              </w:rPr>
            </w:pPr>
            <w:r w:rsidRPr="005C3B55">
              <w:rPr>
                <w:szCs w:val="24"/>
              </w:rPr>
              <w:t>Training may be implemented in the form of courses, workshops, lectures, etc.</w:t>
            </w:r>
            <w:r w:rsidRPr="005C3B55">
              <w:rPr>
                <w:noProof/>
                <w:szCs w:val="24"/>
              </w:rPr>
              <w:t xml:space="preserve"> </w:t>
            </w:r>
            <w:r w:rsidRPr="005C3B55">
              <w:rPr>
                <w:szCs w:val="24"/>
              </w:rPr>
              <w:t>They may comprise theoretical and practical sections.</w:t>
            </w:r>
            <w:r w:rsidRPr="005C3B55">
              <w:rPr>
                <w:noProof/>
                <w:szCs w:val="24"/>
              </w:rPr>
              <w:t xml:space="preserve"> </w:t>
            </w:r>
            <w:r w:rsidRPr="005C3B55">
              <w:rPr>
                <w:szCs w:val="24"/>
              </w:rPr>
              <w:t>The minimum duration of training, minimum number of participants and other conditions will be adjusted according to the specific content.</w:t>
            </w:r>
            <w:r w:rsidRPr="005C3B55">
              <w:rPr>
                <w:noProof/>
                <w:szCs w:val="24"/>
              </w:rPr>
              <w:t xml:space="preserve"> </w:t>
            </w:r>
            <w:r w:rsidRPr="005C3B55">
              <w:rPr>
                <w:szCs w:val="24"/>
              </w:rPr>
              <w:t>Training providers must provide information on training implementation, and publish the programme and timetable of training on the website prior to the commencement of training.</w:t>
            </w:r>
          </w:p>
          <w:p w:rsidR="00BD3B5F" w:rsidRPr="005C3B55" w:rsidRDefault="00BD3B5F">
            <w:pPr>
              <w:spacing w:before="240" w:after="240"/>
              <w:jc w:val="left"/>
              <w:rPr>
                <w:noProof/>
                <w:szCs w:val="24"/>
              </w:rPr>
            </w:pPr>
            <w:r w:rsidRPr="005C3B55">
              <w:rPr>
                <w:szCs w:val="24"/>
              </w:rPr>
              <w:t>Following successfully completed training, participants may receive a certificate of completed training.</w:t>
            </w:r>
          </w:p>
          <w:p w:rsidR="00BD3B5F" w:rsidRPr="005C3B55" w:rsidRDefault="00BD3B5F">
            <w:pPr>
              <w:pStyle w:val="Telobesedila"/>
              <w:rPr>
                <w:szCs w:val="24"/>
              </w:rPr>
            </w:pPr>
          </w:p>
        </w:tc>
      </w:tr>
    </w:tbl>
    <w:p w:rsidR="00BD3B5F" w:rsidRPr="005C3B55" w:rsidRDefault="00BD3B5F">
      <w:pPr>
        <w:pStyle w:val="Naslov6"/>
        <w:tabs>
          <w:tab w:val="clear" w:pos="765"/>
        </w:tabs>
        <w:ind w:left="0" w:firstLine="0"/>
        <w:rPr>
          <w:szCs w:val="24"/>
          <w:lang w:val="en-GB"/>
        </w:rPr>
      </w:pPr>
      <w:r w:rsidRPr="005C3B55">
        <w:rPr>
          <w:noProof w:val="0"/>
          <w:szCs w:val="24"/>
          <w:lang w:val="en-GB"/>
        </w:rPr>
        <w:t>Type of support</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Support is granted in the form of non-refundable financial aid.</w:t>
            </w:r>
          </w:p>
          <w:p w:rsidR="00BD3B5F" w:rsidRPr="005C3B55" w:rsidRDefault="00BD3B5F">
            <w:pPr>
              <w:pStyle w:val="Telobesedila"/>
              <w:rPr>
                <w:szCs w:val="24"/>
              </w:rPr>
            </w:pPr>
          </w:p>
        </w:tc>
      </w:tr>
    </w:tbl>
    <w:p w:rsidR="00BD3B5F" w:rsidRPr="005C3B55" w:rsidRDefault="00BD3B5F">
      <w:pPr>
        <w:pStyle w:val="Naslov6"/>
        <w:tabs>
          <w:tab w:val="clear" w:pos="765"/>
        </w:tabs>
        <w:ind w:left="0" w:firstLine="0"/>
        <w:rPr>
          <w:szCs w:val="24"/>
          <w:lang w:val="en-GB"/>
        </w:rPr>
      </w:pPr>
      <w:r w:rsidRPr="005C3B55">
        <w:rPr>
          <w:noProof w:val="0"/>
          <w:szCs w:val="24"/>
          <w:lang w:val="en-GB"/>
        </w:rPr>
        <w:t>Connection with other legislation</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rsidP="00BD3B5F">
            <w:pPr>
              <w:numPr>
                <w:ilvl w:val="0"/>
                <w:numId w:val="129"/>
              </w:numPr>
              <w:spacing w:before="0" w:after="0"/>
              <w:ind w:hanging="290"/>
              <w:jc w:val="left"/>
              <w:rPr>
                <w:noProof/>
                <w:szCs w:val="24"/>
              </w:rPr>
            </w:pPr>
            <w:r w:rsidRPr="005C3B55">
              <w:rPr>
                <w:szCs w:val="24"/>
              </w:rPr>
              <w:t>Agriculture Act (Official Gazette of the Republic of Slovenia, no. 45/2008 with all amendments);</w:t>
            </w:r>
          </w:p>
          <w:p w:rsidR="00BD3B5F" w:rsidRPr="005C3B55" w:rsidRDefault="00BD3B5F" w:rsidP="00BD3B5F">
            <w:pPr>
              <w:numPr>
                <w:ilvl w:val="0"/>
                <w:numId w:val="129"/>
              </w:numPr>
              <w:spacing w:before="0" w:after="0"/>
              <w:ind w:hanging="290"/>
              <w:jc w:val="left"/>
              <w:rPr>
                <w:noProof/>
                <w:szCs w:val="24"/>
              </w:rPr>
            </w:pPr>
            <w:r w:rsidRPr="005C3B55">
              <w:rPr>
                <w:szCs w:val="24"/>
              </w:rPr>
              <w:t>Public Procurement Act, ZJN-2 (Official Gazette of the Republic of Slovenia, no. 12/13-UPB5 with all amendments);</w:t>
            </w:r>
          </w:p>
          <w:p w:rsidR="00BD3B5F" w:rsidRPr="005C3B55" w:rsidRDefault="00BD3B5F" w:rsidP="00BD3B5F">
            <w:pPr>
              <w:numPr>
                <w:ilvl w:val="0"/>
                <w:numId w:val="129"/>
              </w:numPr>
              <w:spacing w:before="0" w:after="0"/>
              <w:ind w:hanging="290"/>
              <w:jc w:val="left"/>
              <w:rPr>
                <w:noProof/>
                <w:szCs w:val="24"/>
              </w:rPr>
            </w:pPr>
            <w:r w:rsidRPr="005C3B55">
              <w:rPr>
                <w:szCs w:val="24"/>
              </w:rPr>
              <w:t>national regulation regulating the implementation of the sub-measure in the 2014-2020 programming period and</w:t>
            </w:r>
          </w:p>
          <w:p w:rsidR="00BD3B5F" w:rsidRPr="005C3B55" w:rsidRDefault="00BD3B5F" w:rsidP="00BD3B5F">
            <w:pPr>
              <w:numPr>
                <w:ilvl w:val="0"/>
                <w:numId w:val="129"/>
              </w:numPr>
              <w:spacing w:before="0" w:after="240"/>
              <w:ind w:hanging="290"/>
              <w:jc w:val="left"/>
              <w:rPr>
                <w:noProof/>
                <w:szCs w:val="24"/>
              </w:rPr>
            </w:pPr>
            <w:r w:rsidRPr="005C3B55">
              <w:rPr>
                <w:szCs w:val="24"/>
              </w:rPr>
              <w:t>other EU and national legislation which regulates the implementation of this operation.</w:t>
            </w:r>
          </w:p>
          <w:p w:rsidR="00BD3B5F" w:rsidRPr="005C3B55" w:rsidRDefault="00BD3B5F">
            <w:pPr>
              <w:pStyle w:val="Telobesedila"/>
              <w:rPr>
                <w:szCs w:val="24"/>
              </w:rPr>
            </w:pPr>
          </w:p>
        </w:tc>
      </w:tr>
    </w:tbl>
    <w:p w:rsidR="00BD3B5F" w:rsidRPr="005C3B55" w:rsidRDefault="00BD3B5F">
      <w:pPr>
        <w:pStyle w:val="Naslov6"/>
        <w:tabs>
          <w:tab w:val="clear" w:pos="765"/>
        </w:tabs>
        <w:ind w:left="0" w:firstLine="0"/>
        <w:rPr>
          <w:szCs w:val="24"/>
          <w:lang w:val="en-GB"/>
        </w:rPr>
      </w:pPr>
      <w:r w:rsidRPr="005C3B55">
        <w:rPr>
          <w:noProof w:val="0"/>
          <w:szCs w:val="24"/>
          <w:lang w:val="en-GB"/>
        </w:rPr>
        <w:t>Beneficiaries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The beneficiaries eligible for support are bodies that provide training or implement other activities of knowledge transfer and are trained accordingly.</w:t>
            </w:r>
          </w:p>
          <w:p w:rsidR="00BD3B5F" w:rsidRPr="005C3B55" w:rsidRDefault="00BD3B5F">
            <w:pPr>
              <w:spacing w:before="240" w:after="240"/>
              <w:jc w:val="left"/>
              <w:rPr>
                <w:noProof/>
                <w:szCs w:val="24"/>
              </w:rPr>
            </w:pPr>
            <w:r w:rsidRPr="005C3B55">
              <w:rPr>
                <w:szCs w:val="24"/>
              </w:rPr>
              <w:t>The target groups are entities active in the agricultural, food industry and forestry sectors.</w:t>
            </w:r>
          </w:p>
          <w:p w:rsidR="00BD3B5F" w:rsidRPr="005C3B55" w:rsidRDefault="00BD3B5F">
            <w:pPr>
              <w:pStyle w:val="Telobesedila"/>
              <w:rPr>
                <w:szCs w:val="24"/>
              </w:rPr>
            </w:pPr>
          </w:p>
        </w:tc>
      </w:tr>
    </w:tbl>
    <w:p w:rsidR="00BD3B5F" w:rsidRPr="005C3B55" w:rsidRDefault="00BD3B5F">
      <w:pPr>
        <w:pStyle w:val="Naslov6"/>
        <w:tabs>
          <w:tab w:val="clear" w:pos="765"/>
        </w:tabs>
        <w:ind w:left="0" w:firstLine="0"/>
        <w:rPr>
          <w:szCs w:val="24"/>
          <w:lang w:val="en-GB"/>
        </w:rPr>
      </w:pPr>
      <w:r w:rsidRPr="005C3B55">
        <w:rPr>
          <w:noProof w:val="0"/>
          <w:szCs w:val="24"/>
          <w:lang w:val="en-GB"/>
        </w:rPr>
        <w:t>Eligible costs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Eligible costs are the costs of organising and implementing training.</w:t>
            </w:r>
            <w:r w:rsidRPr="005C3B55">
              <w:rPr>
                <w:noProof/>
                <w:szCs w:val="24"/>
              </w:rPr>
              <w:t xml:space="preserve"> </w:t>
            </w:r>
            <w:r w:rsidRPr="005C3B55">
              <w:rPr>
                <w:szCs w:val="24"/>
              </w:rPr>
              <w:t>Eligible costs include labour (e.g. wages of staff, external lecturers’ fees, travel expenses and similar), material (material for participants etc.) and service (costs of hiring premises and equipment, design of promotional material, advertising etc.) costs which arose from the date of signing the contract up to the submission of the (last) request for the payment of funds.</w:t>
            </w:r>
          </w:p>
          <w:p w:rsidR="00BD3B5F" w:rsidRPr="005C3B55" w:rsidRDefault="00BD3B5F">
            <w:pPr>
              <w:pStyle w:val="Telobesedila"/>
              <w:rPr>
                <w:szCs w:val="24"/>
              </w:rPr>
            </w:pPr>
          </w:p>
        </w:tc>
      </w:tr>
    </w:tbl>
    <w:p w:rsidR="00BD3B5F" w:rsidRPr="005C3B55" w:rsidRDefault="00BD3B5F">
      <w:pPr>
        <w:pStyle w:val="Naslov6"/>
        <w:tabs>
          <w:tab w:val="clear" w:pos="765"/>
        </w:tabs>
        <w:ind w:left="0" w:firstLine="0"/>
        <w:rPr>
          <w:szCs w:val="24"/>
          <w:lang w:val="en-GB"/>
        </w:rPr>
      </w:pPr>
      <w:r w:rsidRPr="005C3B55">
        <w:rPr>
          <w:noProof w:val="0"/>
          <w:szCs w:val="24"/>
          <w:lang w:val="en-GB"/>
        </w:rPr>
        <w:t>Conditions for eligibility</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In their public procurement application and during the implementation of public procurement, the potential beneficiaries must:</w:t>
            </w:r>
          </w:p>
          <w:p w:rsidR="00BD3B5F" w:rsidRPr="005C3B55" w:rsidRDefault="00BD3B5F" w:rsidP="00BD3B5F">
            <w:pPr>
              <w:numPr>
                <w:ilvl w:val="0"/>
                <w:numId w:val="130"/>
              </w:numPr>
              <w:spacing w:before="240" w:after="0"/>
              <w:ind w:hanging="290"/>
              <w:jc w:val="left"/>
              <w:rPr>
                <w:noProof/>
                <w:szCs w:val="24"/>
              </w:rPr>
            </w:pPr>
            <w:r w:rsidRPr="005C3B55">
              <w:rPr>
                <w:szCs w:val="24"/>
              </w:rPr>
              <w:t>prove and ensure suitable education, qualifications and/or references of the staff implementing knowledge transfer and information actions;</w:t>
            </w:r>
          </w:p>
          <w:p w:rsidR="00BD3B5F" w:rsidRPr="005C3B55" w:rsidRDefault="00BD3B5F" w:rsidP="00BD3B5F">
            <w:pPr>
              <w:numPr>
                <w:ilvl w:val="0"/>
                <w:numId w:val="130"/>
              </w:numPr>
              <w:spacing w:before="0" w:after="0"/>
              <w:ind w:hanging="290"/>
              <w:jc w:val="left"/>
              <w:rPr>
                <w:noProof/>
                <w:szCs w:val="24"/>
              </w:rPr>
            </w:pPr>
            <w:r w:rsidRPr="005C3B55">
              <w:rPr>
                <w:szCs w:val="24"/>
              </w:rPr>
              <w:t>regularly provide a sufficient number of staff providing the service of knowledge transfer who are regularly trained to implement the activity;</w:t>
            </w:r>
          </w:p>
          <w:p w:rsidR="00BD3B5F" w:rsidRPr="005C3B55" w:rsidRDefault="00BD3B5F" w:rsidP="00BD3B5F">
            <w:pPr>
              <w:numPr>
                <w:ilvl w:val="0"/>
                <w:numId w:val="130"/>
              </w:numPr>
              <w:spacing w:before="0" w:after="240"/>
              <w:ind w:hanging="290"/>
              <w:jc w:val="left"/>
              <w:rPr>
                <w:noProof/>
                <w:szCs w:val="24"/>
              </w:rPr>
            </w:pPr>
            <w:r w:rsidRPr="005C3B55">
              <w:rPr>
                <w:szCs w:val="24"/>
              </w:rPr>
              <w:t>prepare a training programme.</w:t>
            </w:r>
          </w:p>
          <w:p w:rsidR="00BD3B5F" w:rsidRPr="005C3B55" w:rsidRDefault="00BD3B5F">
            <w:pPr>
              <w:spacing w:before="240" w:after="240"/>
              <w:jc w:val="left"/>
              <w:rPr>
                <w:noProof/>
                <w:szCs w:val="24"/>
              </w:rPr>
            </w:pPr>
            <w:r w:rsidRPr="005C3B55">
              <w:rPr>
                <w:szCs w:val="24"/>
              </w:rPr>
              <w:t>The qualifications and/or references and the sufficient number of staff will be defined on a case-to-case basis with regard to the content of the subject of the public procurement.</w:t>
            </w:r>
          </w:p>
          <w:p w:rsidR="00BD3B5F" w:rsidRPr="005C3B55" w:rsidRDefault="00BD3B5F">
            <w:pPr>
              <w:pStyle w:val="Telobesedila"/>
              <w:rPr>
                <w:szCs w:val="24"/>
              </w:rPr>
            </w:pPr>
          </w:p>
        </w:tc>
      </w:tr>
    </w:tbl>
    <w:p w:rsidR="00BD3B5F" w:rsidRPr="005C3B55" w:rsidRDefault="00BD3B5F" w:rsidP="004311A3">
      <w:pPr>
        <w:pStyle w:val="Naslov6"/>
        <w:tabs>
          <w:tab w:val="clear" w:pos="765"/>
        </w:tabs>
        <w:ind w:left="0" w:firstLine="0"/>
        <w:rPr>
          <w:szCs w:val="24"/>
          <w:lang w:val="en-GB"/>
        </w:rPr>
      </w:pPr>
      <w:r w:rsidRPr="005C3B55">
        <w:rPr>
          <w:noProof w:val="0"/>
          <w:szCs w:val="24"/>
          <w:lang w:val="en-GB"/>
        </w:rPr>
        <w:t>Principles regarding the determination of selection criteria</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For the purpose of implementing training, the beneficiaries of this measure are selected on the basis of a selection procedure conducted in accordance with the legislation on public procurement, which is open to public and private entities.</w:t>
            </w:r>
            <w:r w:rsidRPr="005C3B55">
              <w:rPr>
                <w:noProof/>
                <w:szCs w:val="24"/>
              </w:rPr>
              <w:t xml:space="preserve"> </w:t>
            </w:r>
            <w:r w:rsidRPr="005C3B55">
              <w:rPr>
                <w:szCs w:val="24"/>
              </w:rPr>
              <w:t>The selection procedure must be transparent and objective, and must ensure the elimination of providers if a conflict of interest arises.</w:t>
            </w:r>
          </w:p>
          <w:p w:rsidR="00BD3B5F" w:rsidRPr="005C3B55" w:rsidRDefault="00BD3B5F">
            <w:pPr>
              <w:pStyle w:val="Telobesedila"/>
              <w:rPr>
                <w:szCs w:val="24"/>
              </w:rPr>
            </w:pPr>
          </w:p>
        </w:tc>
      </w:tr>
    </w:tbl>
    <w:p w:rsidR="00BD3B5F" w:rsidRPr="005C3B55" w:rsidRDefault="00BD3B5F">
      <w:pPr>
        <w:pStyle w:val="Naslov6"/>
        <w:tabs>
          <w:tab w:val="clear" w:pos="765"/>
        </w:tabs>
        <w:ind w:left="0" w:firstLine="0"/>
        <w:rPr>
          <w:szCs w:val="24"/>
          <w:lang w:val="en-GB"/>
        </w:rPr>
      </w:pPr>
      <w:r w:rsidRPr="005C3B55">
        <w:rPr>
          <w:noProof w:val="0"/>
          <w:szCs w:val="24"/>
          <w:lang w:val="en-GB"/>
        </w:rPr>
        <w:t>(Valid) amounts and support rates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The public support rate amounts to 100% of eligible costs.</w:t>
            </w:r>
          </w:p>
          <w:p w:rsidR="00BD3B5F" w:rsidRPr="005C3B55" w:rsidRDefault="00BD3B5F">
            <w:pPr>
              <w:spacing w:before="240" w:after="240"/>
              <w:jc w:val="left"/>
              <w:rPr>
                <w:noProof/>
                <w:szCs w:val="24"/>
              </w:rPr>
            </w:pPr>
            <w:r w:rsidRPr="005C3B55">
              <w:rPr>
                <w:szCs w:val="24"/>
              </w:rPr>
              <w:t>The rules on state aid are observed when determining the support rate.</w:t>
            </w:r>
          </w:p>
          <w:p w:rsidR="00BD3B5F" w:rsidRPr="005C3B55" w:rsidRDefault="00BD3B5F">
            <w:pPr>
              <w:pStyle w:val="Telobesedila"/>
              <w:rPr>
                <w:szCs w:val="24"/>
              </w:rPr>
            </w:pPr>
          </w:p>
        </w:tc>
      </w:tr>
    </w:tbl>
    <w:p w:rsidR="00BD3B5F" w:rsidRPr="005C3B55" w:rsidRDefault="00BD3B5F">
      <w:pPr>
        <w:pStyle w:val="Naslov6"/>
        <w:tabs>
          <w:tab w:val="clear" w:pos="765"/>
        </w:tabs>
        <w:ind w:left="0" w:firstLine="0"/>
        <w:rPr>
          <w:szCs w:val="24"/>
          <w:lang w:val="en-GB"/>
        </w:rPr>
      </w:pPr>
      <w:r w:rsidRPr="005C3B55">
        <w:rPr>
          <w:noProof w:val="0"/>
          <w:szCs w:val="24"/>
          <w:lang w:val="en-GB"/>
        </w:rPr>
        <w:t>Verifiability and possibility of control of measures and/or type of operations</w:t>
      </w:r>
    </w:p>
    <w:p w:rsidR="00BD3B5F" w:rsidRPr="005C3B55" w:rsidRDefault="00BD3B5F">
      <w:pPr>
        <w:pStyle w:val="Naslov7"/>
        <w:tabs>
          <w:tab w:val="clear" w:pos="765"/>
        </w:tabs>
        <w:ind w:left="0" w:firstLine="0"/>
        <w:rPr>
          <w:szCs w:val="24"/>
          <w:lang w:val="en-GB"/>
        </w:rPr>
      </w:pPr>
      <w:r w:rsidRPr="005C3B55">
        <w:rPr>
          <w:noProof w:val="0"/>
          <w:szCs w:val="24"/>
          <w:lang w:val="en-GB"/>
        </w:rPr>
        <w:t>Risks in the implementation of the measure</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b/>
                <w:noProof/>
                <w:szCs w:val="24"/>
              </w:rPr>
              <w:t xml:space="preserve">R4: </w:t>
            </w:r>
            <w:r w:rsidRPr="005C3B55">
              <w:rPr>
                <w:b/>
                <w:szCs w:val="24"/>
              </w:rPr>
              <w:t>Public procurement</w:t>
            </w:r>
          </w:p>
          <w:p w:rsidR="00BD3B5F" w:rsidRPr="005C3B55" w:rsidRDefault="00BD3B5F">
            <w:pPr>
              <w:spacing w:before="240" w:after="240"/>
              <w:jc w:val="left"/>
              <w:rPr>
                <w:noProof/>
                <w:szCs w:val="24"/>
              </w:rPr>
            </w:pPr>
            <w:r w:rsidRPr="005C3B55">
              <w:rPr>
                <w:szCs w:val="24"/>
              </w:rPr>
              <w:t>The risks in the implementation of the measure are, in particular, the long period needed to implement the public procurement procedure, complaints and review procedures, and possible agreements between providers.</w:t>
            </w:r>
          </w:p>
          <w:p w:rsidR="00BD3B5F" w:rsidRPr="005C3B55" w:rsidRDefault="00BD3B5F">
            <w:pPr>
              <w:spacing w:before="240" w:after="240"/>
              <w:jc w:val="left"/>
              <w:rPr>
                <w:noProof/>
                <w:szCs w:val="24"/>
              </w:rPr>
            </w:pPr>
            <w:r w:rsidRPr="005C3B55">
              <w:rPr>
                <w:b/>
                <w:noProof/>
                <w:szCs w:val="24"/>
              </w:rPr>
              <w:t xml:space="preserve">R7: </w:t>
            </w:r>
            <w:r w:rsidRPr="005C3B55">
              <w:rPr>
                <w:b/>
                <w:szCs w:val="24"/>
              </w:rPr>
              <w:t>Selection of beneficiaries</w:t>
            </w:r>
          </w:p>
          <w:p w:rsidR="00BD3B5F" w:rsidRPr="005C3B55" w:rsidRDefault="00BD3B5F">
            <w:pPr>
              <w:spacing w:before="240" w:after="240"/>
              <w:jc w:val="left"/>
              <w:rPr>
                <w:noProof/>
                <w:szCs w:val="24"/>
              </w:rPr>
            </w:pPr>
            <w:r w:rsidRPr="005C3B55">
              <w:rPr>
                <w:szCs w:val="24"/>
              </w:rPr>
              <w:t>Risks relate primarily to the selection of conditions and suitable criteria for selecting providers.</w:t>
            </w:r>
          </w:p>
          <w:p w:rsidR="00BD3B5F" w:rsidRPr="005C3B55" w:rsidRDefault="00BD3B5F">
            <w:pPr>
              <w:spacing w:before="240" w:after="240"/>
              <w:jc w:val="left"/>
              <w:rPr>
                <w:noProof/>
                <w:szCs w:val="24"/>
              </w:rPr>
            </w:pPr>
            <w:r w:rsidRPr="005C3B55">
              <w:rPr>
                <w:b/>
                <w:noProof/>
                <w:szCs w:val="24"/>
              </w:rPr>
              <w:t xml:space="preserve">R8: </w:t>
            </w:r>
            <w:r w:rsidRPr="005C3B55">
              <w:rPr>
                <w:b/>
                <w:szCs w:val="24"/>
              </w:rPr>
              <w:t>IT systems</w:t>
            </w:r>
          </w:p>
          <w:p w:rsidR="00BD3B5F" w:rsidRPr="005C3B55" w:rsidRDefault="00BD3B5F">
            <w:pPr>
              <w:spacing w:before="240" w:after="240"/>
              <w:jc w:val="left"/>
              <w:rPr>
                <w:noProof/>
                <w:szCs w:val="24"/>
              </w:rPr>
            </w:pPr>
            <w:r w:rsidRPr="005C3B55">
              <w:rPr>
                <w:szCs w:val="24"/>
              </w:rPr>
              <w:t>The first risk relates to the delayed computerisation of the public procurement procedure.</w:t>
            </w:r>
            <w:r w:rsidRPr="005C3B55">
              <w:rPr>
                <w:noProof/>
                <w:szCs w:val="24"/>
              </w:rPr>
              <w:t xml:space="preserve"> </w:t>
            </w:r>
            <w:r w:rsidRPr="005C3B55">
              <w:rPr>
                <w:szCs w:val="24"/>
              </w:rPr>
              <w:t>Additional risks may be requirements to upgrade the application support, which may lead to additional costs and delays in implementing the public procurement procedure.</w:t>
            </w:r>
          </w:p>
          <w:p w:rsidR="00BD3B5F" w:rsidRPr="005C3B55" w:rsidRDefault="00BD3B5F">
            <w:pPr>
              <w:spacing w:before="240" w:after="240"/>
              <w:jc w:val="left"/>
              <w:rPr>
                <w:noProof/>
                <w:szCs w:val="24"/>
              </w:rPr>
            </w:pPr>
            <w:r w:rsidRPr="005C3B55">
              <w:rPr>
                <w:b/>
                <w:noProof/>
                <w:szCs w:val="24"/>
              </w:rPr>
              <w:t xml:space="preserve">R9: </w:t>
            </w:r>
            <w:r w:rsidRPr="005C3B55">
              <w:rPr>
                <w:b/>
                <w:szCs w:val="24"/>
              </w:rPr>
              <w:t>Requests for payment</w:t>
            </w:r>
          </w:p>
          <w:p w:rsidR="00BD3B5F" w:rsidRPr="005C3B55" w:rsidRDefault="00BD3B5F">
            <w:pPr>
              <w:spacing w:before="240" w:after="240"/>
              <w:jc w:val="left"/>
              <w:rPr>
                <w:noProof/>
                <w:szCs w:val="24"/>
              </w:rPr>
            </w:pPr>
            <w:r w:rsidRPr="005C3B55">
              <w:rPr>
                <w:szCs w:val="24"/>
              </w:rPr>
              <w:t>Risks relating to payment requests are particularly linked to the administrative control of the subject of public procurement.</w:t>
            </w:r>
            <w:r w:rsidRPr="005C3B55">
              <w:rPr>
                <w:noProof/>
                <w:szCs w:val="24"/>
              </w:rPr>
              <w:t xml:space="preserve"> </w:t>
            </w:r>
            <w:r w:rsidRPr="005C3B55">
              <w:rPr>
                <w:szCs w:val="24"/>
              </w:rPr>
              <w:t>Certain additional risks may arise in connection with the non-fulfilment of contractual obligations by any of the contracting parties.</w:t>
            </w:r>
          </w:p>
          <w:p w:rsidR="00BD3B5F" w:rsidRPr="005C3B55" w:rsidRDefault="00BD3B5F">
            <w:pPr>
              <w:pStyle w:val="Telobesedila"/>
              <w:rPr>
                <w:szCs w:val="24"/>
              </w:rPr>
            </w:pPr>
          </w:p>
        </w:tc>
      </w:tr>
    </w:tbl>
    <w:p w:rsidR="00BD3B5F" w:rsidRPr="005C3B55" w:rsidRDefault="00BD3B5F">
      <w:pPr>
        <w:pStyle w:val="Naslov7"/>
        <w:tabs>
          <w:tab w:val="clear" w:pos="765"/>
        </w:tabs>
        <w:ind w:left="0" w:firstLine="0"/>
        <w:rPr>
          <w:szCs w:val="24"/>
          <w:lang w:val="en-GB"/>
        </w:rPr>
      </w:pPr>
      <w:r w:rsidRPr="005C3B55">
        <w:rPr>
          <w:noProof w:val="0"/>
          <w:szCs w:val="24"/>
          <w:lang w:val="en-GB"/>
        </w:rPr>
        <w:t>Mitigation measures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b/>
                <w:noProof/>
                <w:szCs w:val="24"/>
              </w:rPr>
              <w:t xml:space="preserve">R4: </w:t>
            </w:r>
            <w:r w:rsidRPr="005C3B55">
              <w:rPr>
                <w:b/>
                <w:szCs w:val="24"/>
              </w:rPr>
              <w:t>Public procurement</w:t>
            </w:r>
          </w:p>
          <w:p w:rsidR="00BD3B5F" w:rsidRPr="005C3B55" w:rsidRDefault="00BD3B5F">
            <w:pPr>
              <w:spacing w:before="240" w:after="240"/>
              <w:jc w:val="left"/>
              <w:rPr>
                <w:noProof/>
                <w:szCs w:val="24"/>
              </w:rPr>
            </w:pPr>
            <w:r w:rsidRPr="005C3B55">
              <w:rPr>
                <w:szCs w:val="24"/>
              </w:rPr>
              <w:t>Mitigation measures include timely public procurements for the selection of contractors, well-prepared public procurement and tender documentation with regard to content and procedures, and good market analysis before the beginning of the public procurement.</w:t>
            </w:r>
          </w:p>
          <w:p w:rsidR="00BD3B5F" w:rsidRPr="005C3B55" w:rsidRDefault="00BD3B5F">
            <w:pPr>
              <w:spacing w:before="240" w:after="240"/>
              <w:jc w:val="left"/>
              <w:rPr>
                <w:noProof/>
                <w:szCs w:val="24"/>
              </w:rPr>
            </w:pPr>
            <w:r w:rsidRPr="005C3B55">
              <w:rPr>
                <w:b/>
                <w:noProof/>
                <w:szCs w:val="24"/>
              </w:rPr>
              <w:t xml:space="preserve">R7: </w:t>
            </w:r>
            <w:r w:rsidRPr="005C3B55">
              <w:rPr>
                <w:b/>
                <w:szCs w:val="24"/>
              </w:rPr>
              <w:t>Selection of beneficiaries</w:t>
            </w:r>
          </w:p>
          <w:p w:rsidR="00BD3B5F" w:rsidRPr="005C3B55" w:rsidRDefault="00BD3B5F">
            <w:pPr>
              <w:spacing w:before="240" w:after="240"/>
              <w:jc w:val="left"/>
              <w:rPr>
                <w:noProof/>
                <w:szCs w:val="24"/>
              </w:rPr>
            </w:pPr>
            <w:r w:rsidRPr="005C3B55">
              <w:rPr>
                <w:szCs w:val="24"/>
              </w:rPr>
              <w:t>Mitigation measures are suitably determined conditions, and appropriately selected and defined criteria for the selection of providers.</w:t>
            </w:r>
          </w:p>
          <w:p w:rsidR="00BD3B5F" w:rsidRPr="005C3B55" w:rsidRDefault="00BD3B5F">
            <w:pPr>
              <w:spacing w:before="240" w:after="240"/>
              <w:jc w:val="left"/>
              <w:rPr>
                <w:noProof/>
                <w:szCs w:val="24"/>
              </w:rPr>
            </w:pPr>
            <w:r w:rsidRPr="005C3B55">
              <w:rPr>
                <w:b/>
                <w:noProof/>
                <w:szCs w:val="24"/>
              </w:rPr>
              <w:t xml:space="preserve">R8: </w:t>
            </w:r>
            <w:r w:rsidRPr="005C3B55">
              <w:rPr>
                <w:b/>
                <w:szCs w:val="24"/>
              </w:rPr>
              <w:t>IT systems</w:t>
            </w:r>
          </w:p>
          <w:p w:rsidR="00BD3B5F" w:rsidRPr="005C3B55" w:rsidRDefault="00BD3B5F">
            <w:pPr>
              <w:spacing w:before="240" w:after="240"/>
              <w:jc w:val="left"/>
              <w:rPr>
                <w:noProof/>
                <w:szCs w:val="24"/>
              </w:rPr>
            </w:pPr>
            <w:r w:rsidRPr="005C3B55">
              <w:rPr>
                <w:szCs w:val="24"/>
              </w:rPr>
              <w:t>Risks may be mitigated by the preparation of a suitable timetable and detailed specification of needs within the information system construction.</w:t>
            </w:r>
          </w:p>
          <w:p w:rsidR="00BD3B5F" w:rsidRPr="005C3B55" w:rsidRDefault="00BD3B5F">
            <w:pPr>
              <w:spacing w:before="240" w:after="240"/>
              <w:jc w:val="left"/>
              <w:rPr>
                <w:noProof/>
                <w:szCs w:val="24"/>
              </w:rPr>
            </w:pPr>
            <w:r w:rsidRPr="005C3B55">
              <w:rPr>
                <w:b/>
                <w:noProof/>
                <w:szCs w:val="24"/>
              </w:rPr>
              <w:t xml:space="preserve">R9: </w:t>
            </w:r>
            <w:r w:rsidRPr="005C3B55">
              <w:rPr>
                <w:b/>
                <w:szCs w:val="24"/>
              </w:rPr>
              <w:t>Requests for payment</w:t>
            </w:r>
          </w:p>
          <w:p w:rsidR="00BD3B5F" w:rsidRPr="005C3B55" w:rsidRDefault="00BD3B5F">
            <w:pPr>
              <w:spacing w:before="240" w:after="240"/>
              <w:jc w:val="left"/>
              <w:rPr>
                <w:noProof/>
                <w:szCs w:val="24"/>
              </w:rPr>
            </w:pPr>
            <w:r w:rsidRPr="005C3B55">
              <w:rPr>
                <w:szCs w:val="24"/>
              </w:rPr>
              <w:t>Risks relating to the payment of requests may be mitigated by the detailed preparation of the project task of the public procurement, which clearly defines the subject of the public procurement.</w:t>
            </w:r>
            <w:r w:rsidRPr="005C3B55">
              <w:rPr>
                <w:noProof/>
                <w:szCs w:val="24"/>
              </w:rPr>
              <w:t xml:space="preserve"> </w:t>
            </w:r>
            <w:r w:rsidRPr="005C3B55">
              <w:rPr>
                <w:szCs w:val="24"/>
              </w:rPr>
              <w:t>They can also be mitigated by the preparation of suitable checklists enabling appropriate administrative control.</w:t>
            </w:r>
            <w:r w:rsidRPr="005C3B55">
              <w:rPr>
                <w:noProof/>
                <w:szCs w:val="24"/>
              </w:rPr>
              <w:t xml:space="preserve"> </w:t>
            </w:r>
            <w:r w:rsidRPr="005C3B55">
              <w:rPr>
                <w:szCs w:val="24"/>
              </w:rPr>
              <w:t>Risks relating to the non-fulfilment of contractual obligations may be mitigated by a detailed definition of contractual obligations, a definition of an efficient dispute resolution process and a sanctions system.</w:t>
            </w:r>
          </w:p>
          <w:p w:rsidR="00BD3B5F" w:rsidRPr="005C3B55" w:rsidRDefault="00BD3B5F">
            <w:pPr>
              <w:pStyle w:val="Telobesedila"/>
              <w:rPr>
                <w:szCs w:val="24"/>
              </w:rPr>
            </w:pPr>
          </w:p>
        </w:tc>
      </w:tr>
    </w:tbl>
    <w:p w:rsidR="00BD3B5F" w:rsidRPr="005C3B55" w:rsidRDefault="00BD3B5F">
      <w:pPr>
        <w:pStyle w:val="Naslov7"/>
        <w:tabs>
          <w:tab w:val="clear" w:pos="765"/>
        </w:tabs>
        <w:ind w:left="0" w:firstLine="0"/>
        <w:rPr>
          <w:szCs w:val="24"/>
          <w:lang w:val="en-GB"/>
        </w:rPr>
      </w:pPr>
      <w:r w:rsidRPr="005C3B55">
        <w:rPr>
          <w:noProof w:val="0"/>
          <w:szCs w:val="24"/>
          <w:lang w:val="en-GB"/>
        </w:rPr>
        <w:t>General assessment of the measure</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The possible risks that were recognised may be minimised by observing mitigation measures.</w:t>
            </w:r>
            <w:r w:rsidRPr="005C3B55">
              <w:rPr>
                <w:noProof/>
                <w:szCs w:val="24"/>
              </w:rPr>
              <w:t xml:space="preserve"> </w:t>
            </w:r>
            <w:r w:rsidRPr="005C3B55">
              <w:rPr>
                <w:szCs w:val="24"/>
              </w:rPr>
              <w:t>The implementation of the sub-measure may be verified, and control of the sub-measure may be carried out.</w:t>
            </w:r>
          </w:p>
          <w:p w:rsidR="00BD3B5F" w:rsidRPr="005C3B55" w:rsidRDefault="00BD3B5F">
            <w:pPr>
              <w:pStyle w:val="Telobesedila"/>
              <w:rPr>
                <w:szCs w:val="24"/>
              </w:rPr>
            </w:pPr>
          </w:p>
        </w:tc>
      </w:tr>
    </w:tbl>
    <w:p w:rsidR="00BD3B5F" w:rsidRPr="005C3B55" w:rsidRDefault="00BD3B5F">
      <w:pPr>
        <w:pStyle w:val="Naslov6"/>
        <w:tabs>
          <w:tab w:val="clear" w:pos="765"/>
        </w:tabs>
        <w:ind w:left="0" w:firstLine="0"/>
        <w:rPr>
          <w:szCs w:val="24"/>
          <w:lang w:val="en-GB"/>
        </w:rPr>
      </w:pPr>
      <w:r w:rsidRPr="005C3B55">
        <w:rPr>
          <w:noProof w:val="0"/>
          <w:szCs w:val="24"/>
          <w:lang w:val="en-GB"/>
        </w:rPr>
        <w:t>Methodology for calculating support amount, where relevant</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Not relevant.</w:t>
            </w:r>
          </w:p>
          <w:p w:rsidR="00BD3B5F" w:rsidRPr="005C3B55" w:rsidRDefault="00BD3B5F">
            <w:pPr>
              <w:pStyle w:val="Telobesedila"/>
              <w:rPr>
                <w:szCs w:val="24"/>
              </w:rPr>
            </w:pPr>
          </w:p>
        </w:tc>
      </w:tr>
    </w:tbl>
    <w:p w:rsidR="00BD3B5F" w:rsidRPr="005C3B55" w:rsidRDefault="00BD3B5F">
      <w:pPr>
        <w:pStyle w:val="Naslov6"/>
        <w:tabs>
          <w:tab w:val="clear" w:pos="765"/>
        </w:tabs>
        <w:ind w:left="0" w:firstLine="0"/>
        <w:rPr>
          <w:szCs w:val="24"/>
          <w:lang w:val="en-GB"/>
        </w:rPr>
      </w:pPr>
      <w:r w:rsidRPr="005C3B55">
        <w:rPr>
          <w:noProof w:val="0"/>
          <w:szCs w:val="24"/>
          <w:lang w:val="en-GB"/>
        </w:rPr>
        <w:t>Information that relates specifically to the operation</w:t>
      </w:r>
    </w:p>
    <w:p w:rsidR="00BD3B5F" w:rsidRPr="005C3B55" w:rsidRDefault="00BD3B5F">
      <w:pPr>
        <w:rPr>
          <w:szCs w:val="24"/>
        </w:rPr>
      </w:pPr>
      <w:r w:rsidRPr="005C3B55">
        <w:rPr>
          <w:szCs w:val="24"/>
        </w:rPr>
        <w:t>Definition of appropriate capacities of bodies providing knowledge transfer services to carry out their tasks in the form of staff qualifications and regular training</w:t>
      </w:r>
    </w:p>
    <w:p w:rsidR="00BD3B5F" w:rsidRPr="005C3B55" w:rsidRDefault="00BD3B5F">
      <w:pPr>
        <w:spacing w:before="0" w:after="0"/>
        <w:rPr>
          <w:szCs w:val="24"/>
        </w:rPr>
      </w:pP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The description is provided at the level of the measure.</w:t>
            </w:r>
          </w:p>
          <w:p w:rsidR="00BD3B5F" w:rsidRPr="005C3B55" w:rsidRDefault="00BD3B5F">
            <w:pPr>
              <w:pStyle w:val="Telobesedila"/>
              <w:rPr>
                <w:szCs w:val="24"/>
              </w:rPr>
            </w:pPr>
          </w:p>
        </w:tc>
      </w:tr>
    </w:tbl>
    <w:p w:rsidR="00BD3B5F" w:rsidRPr="005C3B55" w:rsidRDefault="00BD3B5F">
      <w:pPr>
        <w:rPr>
          <w:szCs w:val="24"/>
        </w:rPr>
      </w:pPr>
      <w:r w:rsidRPr="005C3B55">
        <w:rPr>
          <w:szCs w:val="24"/>
        </w:rPr>
        <w:t>Definition of the duration and content of farm and forest exchange schemes and farm and forest visits referred to in Article 3 of Commission Delegated Regulation (EU) No 807/2014</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Not relevant.</w:t>
            </w:r>
          </w:p>
          <w:p w:rsidR="00BD3B5F" w:rsidRPr="005C3B55" w:rsidRDefault="00BD3B5F">
            <w:pPr>
              <w:pStyle w:val="Telobesedila"/>
              <w:rPr>
                <w:szCs w:val="24"/>
              </w:rPr>
            </w:pPr>
          </w:p>
        </w:tc>
      </w:tr>
    </w:tbl>
    <w:p w:rsidR="00BD3B5F" w:rsidRPr="005C3B55" w:rsidRDefault="00BD3B5F">
      <w:pPr>
        <w:pStyle w:val="Naslov5"/>
        <w:tabs>
          <w:tab w:val="clear" w:pos="765"/>
        </w:tabs>
        <w:ind w:left="0" w:firstLine="0"/>
        <w:rPr>
          <w:b w:val="0"/>
          <w:szCs w:val="24"/>
          <w:lang w:val="en-GB"/>
        </w:rPr>
      </w:pPr>
      <w:r w:rsidRPr="005C3B55">
        <w:rPr>
          <w:b w:val="0"/>
          <w:szCs w:val="24"/>
          <w:lang w:val="en-GB"/>
        </w:rPr>
        <w:br w:type="page"/>
        <w:t xml:space="preserve">2. </w:t>
      </w:r>
      <w:r w:rsidRPr="005C3B55">
        <w:rPr>
          <w:b w:val="0"/>
          <w:noProof w:val="0"/>
          <w:szCs w:val="24"/>
          <w:lang w:val="en-GB"/>
        </w:rPr>
        <w:t>Support for demonstration activities and information actions</w:t>
      </w:r>
    </w:p>
    <w:p w:rsidR="00BD3B5F" w:rsidRPr="005C3B55" w:rsidRDefault="00BD3B5F">
      <w:pPr>
        <w:rPr>
          <w:szCs w:val="24"/>
        </w:rPr>
      </w:pPr>
      <w:r w:rsidRPr="005C3B55">
        <w:rPr>
          <w:szCs w:val="24"/>
        </w:rPr>
        <w:t xml:space="preserve">Sub-measure: </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rsidP="00BD3B5F">
            <w:pPr>
              <w:numPr>
                <w:ilvl w:val="0"/>
                <w:numId w:val="131"/>
              </w:numPr>
              <w:rPr>
                <w:szCs w:val="24"/>
              </w:rPr>
            </w:pPr>
            <w:r w:rsidRPr="005C3B55">
              <w:rPr>
                <w:szCs w:val="24"/>
              </w:rPr>
              <w:t>1.2 – Support for demonstration activities and information actions</w:t>
            </w:r>
          </w:p>
        </w:tc>
      </w:tr>
    </w:tbl>
    <w:p w:rsidR="00BD3B5F" w:rsidRPr="005C3B55" w:rsidRDefault="00BD3B5F">
      <w:pPr>
        <w:pStyle w:val="Naslov6"/>
        <w:tabs>
          <w:tab w:val="clear" w:pos="765"/>
        </w:tabs>
        <w:ind w:left="0" w:firstLine="0"/>
        <w:rPr>
          <w:szCs w:val="24"/>
          <w:lang w:val="en-GB"/>
        </w:rPr>
      </w:pPr>
      <w:r w:rsidRPr="005C3B55">
        <w:rPr>
          <w:noProof w:val="0"/>
          <w:szCs w:val="24"/>
          <w:lang w:val="en-GB"/>
        </w:rPr>
        <w:t>Description of type of operation</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Demonstration projects intended for the practical display of the use of machinery, procedures, technologies, devices, practices and similar, and those which contribute to preserving and improving the status of the environment, are eligible for support.</w:t>
            </w:r>
            <w:r w:rsidRPr="005C3B55">
              <w:rPr>
                <w:noProof/>
                <w:szCs w:val="24"/>
              </w:rPr>
              <w:t xml:space="preserve"> </w:t>
            </w:r>
            <w:r w:rsidRPr="005C3B55">
              <w:rPr>
                <w:szCs w:val="24"/>
              </w:rPr>
              <w:t>Activities may be implemented on agricultural holdings co-financed under measure M16 of the RDP 2014–2020 referred to in Article 35 of Regulation (EU) No 1305/2013 within the public infrastructure, such as testing centres, agricultural and forestry land, or within educational, and scientific and research institutions.</w:t>
            </w:r>
          </w:p>
          <w:p w:rsidR="00BD3B5F" w:rsidRPr="005C3B55" w:rsidRDefault="00BD3B5F">
            <w:pPr>
              <w:spacing w:before="240" w:after="240"/>
              <w:jc w:val="left"/>
              <w:rPr>
                <w:noProof/>
                <w:szCs w:val="24"/>
              </w:rPr>
            </w:pPr>
            <w:r w:rsidRPr="005C3B55">
              <w:rPr>
                <w:szCs w:val="24"/>
              </w:rPr>
              <w:t>The activities include practical sections.</w:t>
            </w:r>
            <w:r w:rsidRPr="005C3B55">
              <w:rPr>
                <w:noProof/>
                <w:szCs w:val="24"/>
              </w:rPr>
              <w:t xml:space="preserve"> </w:t>
            </w:r>
            <w:r w:rsidRPr="005C3B55">
              <w:rPr>
                <w:szCs w:val="24"/>
              </w:rPr>
              <w:t>The minimum duration of demonstration projects, minimum number of participants and other conditions will be adjusted according to the specific content of the demonstration projects.</w:t>
            </w:r>
          </w:p>
          <w:p w:rsidR="00BD3B5F" w:rsidRPr="005C3B55" w:rsidRDefault="00BD3B5F">
            <w:pPr>
              <w:spacing w:before="240" w:after="240"/>
              <w:jc w:val="left"/>
              <w:rPr>
                <w:noProof/>
                <w:szCs w:val="24"/>
              </w:rPr>
            </w:pPr>
            <w:r w:rsidRPr="005C3B55">
              <w:rPr>
                <w:szCs w:val="24"/>
              </w:rPr>
              <w:t>Providers of demonstration projects must provide information on training implementation, and publish the programme and timetable of activities on the website prior to the commencement of demonstration projects.</w:t>
            </w:r>
          </w:p>
          <w:p w:rsidR="00BD3B5F" w:rsidRPr="005C3B55" w:rsidRDefault="00BD3B5F">
            <w:pPr>
              <w:spacing w:before="240" w:after="240"/>
              <w:jc w:val="left"/>
              <w:rPr>
                <w:noProof/>
                <w:szCs w:val="24"/>
              </w:rPr>
            </w:pPr>
            <w:r w:rsidRPr="005C3B55">
              <w:rPr>
                <w:szCs w:val="24"/>
              </w:rPr>
              <w:t>Following successfully completed training, participants may receive a certificate of completed training.</w:t>
            </w:r>
          </w:p>
          <w:p w:rsidR="00BD3B5F" w:rsidRPr="005C3B55" w:rsidRDefault="00BD3B5F">
            <w:pPr>
              <w:pStyle w:val="Telobesedila"/>
              <w:rPr>
                <w:szCs w:val="24"/>
              </w:rPr>
            </w:pPr>
          </w:p>
        </w:tc>
      </w:tr>
    </w:tbl>
    <w:p w:rsidR="00BD3B5F" w:rsidRPr="005C3B55" w:rsidRDefault="00BD3B5F">
      <w:pPr>
        <w:pStyle w:val="Naslov6"/>
        <w:tabs>
          <w:tab w:val="clear" w:pos="765"/>
        </w:tabs>
        <w:ind w:left="0" w:firstLine="0"/>
        <w:rPr>
          <w:szCs w:val="24"/>
          <w:lang w:val="en-GB"/>
        </w:rPr>
      </w:pPr>
      <w:r w:rsidRPr="005C3B55">
        <w:rPr>
          <w:noProof w:val="0"/>
          <w:szCs w:val="24"/>
          <w:lang w:val="en-GB"/>
        </w:rPr>
        <w:t>Type of support</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Support is granted in the form of non-refundable financial aid.</w:t>
            </w:r>
          </w:p>
          <w:p w:rsidR="00BD3B5F" w:rsidRPr="005C3B55" w:rsidRDefault="00BD3B5F">
            <w:pPr>
              <w:pStyle w:val="Telobesedila"/>
              <w:rPr>
                <w:szCs w:val="24"/>
              </w:rPr>
            </w:pPr>
          </w:p>
        </w:tc>
      </w:tr>
    </w:tbl>
    <w:p w:rsidR="00BD3B5F" w:rsidRPr="005C3B55" w:rsidRDefault="00BD3B5F">
      <w:pPr>
        <w:pStyle w:val="Naslov6"/>
        <w:tabs>
          <w:tab w:val="clear" w:pos="765"/>
        </w:tabs>
        <w:ind w:left="0" w:firstLine="0"/>
        <w:rPr>
          <w:szCs w:val="24"/>
          <w:lang w:val="en-GB"/>
        </w:rPr>
      </w:pPr>
      <w:r w:rsidRPr="005C3B55">
        <w:rPr>
          <w:noProof w:val="0"/>
          <w:szCs w:val="24"/>
          <w:lang w:val="en-GB"/>
        </w:rPr>
        <w:t>Connection with other legislation</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rsidP="00BD3B5F">
            <w:pPr>
              <w:numPr>
                <w:ilvl w:val="0"/>
                <w:numId w:val="132"/>
              </w:numPr>
              <w:spacing w:before="0" w:after="0"/>
              <w:ind w:hanging="290"/>
              <w:jc w:val="left"/>
              <w:rPr>
                <w:noProof/>
                <w:szCs w:val="24"/>
              </w:rPr>
            </w:pPr>
            <w:r w:rsidRPr="005C3B55">
              <w:rPr>
                <w:szCs w:val="24"/>
              </w:rPr>
              <w:t>Agriculture Act (Official Gazette of the Republic of Slovenia, no. 45/2008 with all amendments);</w:t>
            </w:r>
          </w:p>
          <w:p w:rsidR="00BD3B5F" w:rsidRPr="005C3B55" w:rsidRDefault="00BD3B5F" w:rsidP="00BD3B5F">
            <w:pPr>
              <w:numPr>
                <w:ilvl w:val="0"/>
                <w:numId w:val="132"/>
              </w:numPr>
              <w:spacing w:before="0" w:after="0"/>
              <w:ind w:hanging="290"/>
              <w:jc w:val="left"/>
              <w:rPr>
                <w:noProof/>
                <w:szCs w:val="24"/>
              </w:rPr>
            </w:pPr>
            <w:r w:rsidRPr="005C3B55">
              <w:rPr>
                <w:szCs w:val="24"/>
              </w:rPr>
              <w:t>Public Procurement Act, ZJN-2 (Official Gazette of the Republic of Slovenia, no. 12/13-UPB5 with all amendments);</w:t>
            </w:r>
          </w:p>
          <w:p w:rsidR="00BD3B5F" w:rsidRPr="005C3B55" w:rsidRDefault="00BD3B5F" w:rsidP="00BD3B5F">
            <w:pPr>
              <w:numPr>
                <w:ilvl w:val="0"/>
                <w:numId w:val="132"/>
              </w:numPr>
              <w:spacing w:before="0" w:after="0"/>
              <w:ind w:hanging="290"/>
              <w:jc w:val="left"/>
              <w:rPr>
                <w:noProof/>
                <w:szCs w:val="24"/>
              </w:rPr>
            </w:pPr>
            <w:r w:rsidRPr="005C3B55">
              <w:rPr>
                <w:szCs w:val="24"/>
              </w:rPr>
              <w:t>national regulation regulating the implementation of the sub-measure in the 2014–2020 programming period and</w:t>
            </w:r>
          </w:p>
          <w:p w:rsidR="00BD3B5F" w:rsidRPr="005C3B55" w:rsidRDefault="00BD3B5F" w:rsidP="00BD3B5F">
            <w:pPr>
              <w:numPr>
                <w:ilvl w:val="0"/>
                <w:numId w:val="132"/>
              </w:numPr>
              <w:spacing w:before="0" w:after="240"/>
              <w:ind w:hanging="290"/>
              <w:jc w:val="left"/>
              <w:rPr>
                <w:noProof/>
                <w:szCs w:val="24"/>
              </w:rPr>
            </w:pPr>
            <w:r w:rsidRPr="005C3B55">
              <w:rPr>
                <w:szCs w:val="24"/>
              </w:rPr>
              <w:t>other EU and national legislation which regulates the implementation of this operation.</w:t>
            </w:r>
          </w:p>
          <w:p w:rsidR="00BD3B5F" w:rsidRPr="005C3B55" w:rsidRDefault="00BD3B5F">
            <w:pPr>
              <w:pStyle w:val="Telobesedila"/>
              <w:rPr>
                <w:szCs w:val="24"/>
              </w:rPr>
            </w:pPr>
          </w:p>
        </w:tc>
      </w:tr>
    </w:tbl>
    <w:p w:rsidR="00BD3B5F" w:rsidRPr="005C3B55" w:rsidRDefault="00BD3B5F">
      <w:pPr>
        <w:pStyle w:val="Naslov6"/>
        <w:tabs>
          <w:tab w:val="clear" w:pos="765"/>
        </w:tabs>
        <w:ind w:left="0" w:firstLine="0"/>
        <w:rPr>
          <w:szCs w:val="24"/>
          <w:lang w:val="en-GB"/>
        </w:rPr>
      </w:pPr>
      <w:r w:rsidRPr="005C3B55">
        <w:rPr>
          <w:noProof w:val="0"/>
          <w:szCs w:val="24"/>
          <w:lang w:val="en-GB"/>
        </w:rPr>
        <w:t>Beneficiaries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The beneficiaries eligible for support are entities implementing demonstration projects.</w:t>
            </w:r>
          </w:p>
          <w:p w:rsidR="00BD3B5F" w:rsidRPr="005C3B55" w:rsidRDefault="00BD3B5F">
            <w:pPr>
              <w:spacing w:before="240" w:after="240"/>
              <w:jc w:val="left"/>
              <w:rPr>
                <w:noProof/>
                <w:szCs w:val="24"/>
              </w:rPr>
            </w:pPr>
            <w:r w:rsidRPr="005C3B55">
              <w:rPr>
                <w:szCs w:val="24"/>
              </w:rPr>
              <w:t>The target group are entities active in the agricultural, food industry and forestry sectors.</w:t>
            </w:r>
          </w:p>
          <w:p w:rsidR="00BD3B5F" w:rsidRPr="005C3B55" w:rsidRDefault="00BD3B5F">
            <w:pPr>
              <w:pStyle w:val="Telobesedila"/>
              <w:rPr>
                <w:szCs w:val="24"/>
              </w:rPr>
            </w:pPr>
          </w:p>
        </w:tc>
      </w:tr>
    </w:tbl>
    <w:p w:rsidR="00BD3B5F" w:rsidRPr="005C3B55" w:rsidRDefault="00BD3B5F">
      <w:pPr>
        <w:pStyle w:val="Naslov6"/>
        <w:tabs>
          <w:tab w:val="clear" w:pos="765"/>
        </w:tabs>
        <w:ind w:left="0" w:firstLine="0"/>
        <w:rPr>
          <w:szCs w:val="24"/>
          <w:lang w:val="en-GB"/>
        </w:rPr>
      </w:pPr>
      <w:r w:rsidRPr="005C3B55">
        <w:rPr>
          <w:noProof w:val="0"/>
          <w:szCs w:val="24"/>
          <w:lang w:val="en-GB"/>
        </w:rPr>
        <w:t>Eligible costs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Eligible costs are the costs of organising and implementing training.</w:t>
            </w:r>
            <w:r w:rsidRPr="005C3B55">
              <w:rPr>
                <w:noProof/>
                <w:szCs w:val="24"/>
              </w:rPr>
              <w:t xml:space="preserve"> </w:t>
            </w:r>
            <w:r w:rsidRPr="005C3B55">
              <w:rPr>
                <w:szCs w:val="24"/>
              </w:rPr>
              <w:t>Eligible costs include labour (e.g. wages of staff, external lecturers’ fees, travel expenses and similar), material (material for participants etc.) and service (costs of hiring premises and equipment, design of promotional material, advertising etc.) costs which arose from the date of signing the contract up to the submission of the (last) request for the payment of funds.</w:t>
            </w:r>
          </w:p>
          <w:p w:rsidR="00BD3B5F" w:rsidRPr="005C3B55" w:rsidRDefault="00BD3B5F">
            <w:pPr>
              <w:pStyle w:val="Telobesedila"/>
              <w:rPr>
                <w:szCs w:val="24"/>
              </w:rPr>
            </w:pPr>
          </w:p>
        </w:tc>
      </w:tr>
    </w:tbl>
    <w:p w:rsidR="00BD3B5F" w:rsidRPr="005C3B55" w:rsidRDefault="00BD3B5F">
      <w:pPr>
        <w:pStyle w:val="Naslov6"/>
        <w:tabs>
          <w:tab w:val="clear" w:pos="765"/>
        </w:tabs>
        <w:ind w:left="0" w:firstLine="0"/>
        <w:rPr>
          <w:szCs w:val="24"/>
          <w:lang w:val="en-GB"/>
        </w:rPr>
      </w:pPr>
      <w:r w:rsidRPr="005C3B55">
        <w:rPr>
          <w:noProof w:val="0"/>
          <w:szCs w:val="24"/>
          <w:lang w:val="en-GB"/>
        </w:rPr>
        <w:t>Conditions for eligibility</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In their public procurement application and during the implementation of public procurement, the potential beneficiaries must:</w:t>
            </w:r>
          </w:p>
          <w:p w:rsidR="00BD3B5F" w:rsidRPr="005C3B55" w:rsidRDefault="00BD3B5F" w:rsidP="00BD3B5F">
            <w:pPr>
              <w:numPr>
                <w:ilvl w:val="0"/>
                <w:numId w:val="133"/>
              </w:numPr>
              <w:spacing w:before="240" w:after="0"/>
              <w:ind w:hanging="290"/>
              <w:jc w:val="left"/>
              <w:rPr>
                <w:noProof/>
                <w:szCs w:val="24"/>
              </w:rPr>
            </w:pPr>
            <w:r w:rsidRPr="005C3B55">
              <w:rPr>
                <w:szCs w:val="24"/>
              </w:rPr>
              <w:t>prove and ensure suitable education, qualifications and/or references of staff implementing demonstration projects;</w:t>
            </w:r>
          </w:p>
          <w:p w:rsidR="00BD3B5F" w:rsidRPr="005C3B55" w:rsidRDefault="00BD3B5F" w:rsidP="00BD3B5F">
            <w:pPr>
              <w:numPr>
                <w:ilvl w:val="0"/>
                <w:numId w:val="133"/>
              </w:numPr>
              <w:spacing w:before="0" w:after="0"/>
              <w:ind w:hanging="290"/>
              <w:jc w:val="left"/>
              <w:rPr>
                <w:noProof/>
                <w:szCs w:val="24"/>
              </w:rPr>
            </w:pPr>
            <w:r w:rsidRPr="005C3B55">
              <w:rPr>
                <w:szCs w:val="24"/>
              </w:rPr>
              <w:t>regularly provide a sufficient number of staff implementing demonstration projects who are regularly trained for the implementation of the activity;</w:t>
            </w:r>
          </w:p>
          <w:p w:rsidR="00BD3B5F" w:rsidRPr="005C3B55" w:rsidRDefault="00BD3B5F" w:rsidP="00BD3B5F">
            <w:pPr>
              <w:numPr>
                <w:ilvl w:val="0"/>
                <w:numId w:val="133"/>
              </w:numPr>
              <w:spacing w:before="0" w:after="0"/>
              <w:ind w:hanging="290"/>
              <w:jc w:val="left"/>
              <w:rPr>
                <w:noProof/>
                <w:szCs w:val="24"/>
              </w:rPr>
            </w:pPr>
            <w:r w:rsidRPr="005C3B55">
              <w:rPr>
                <w:szCs w:val="24"/>
              </w:rPr>
              <w:t>ensure suitable conditions for the implementation of demonstration projects;</w:t>
            </w:r>
          </w:p>
          <w:p w:rsidR="00BD3B5F" w:rsidRPr="005C3B55" w:rsidRDefault="00BD3B5F" w:rsidP="00BD3B5F">
            <w:pPr>
              <w:numPr>
                <w:ilvl w:val="0"/>
                <w:numId w:val="133"/>
              </w:numPr>
              <w:spacing w:before="0" w:after="240"/>
              <w:ind w:hanging="290"/>
              <w:jc w:val="left"/>
              <w:rPr>
                <w:noProof/>
                <w:szCs w:val="24"/>
              </w:rPr>
            </w:pPr>
            <w:r w:rsidRPr="005C3B55">
              <w:rPr>
                <w:szCs w:val="24"/>
              </w:rPr>
              <w:t>prepare a programme for the implementation of demonstration projects.</w:t>
            </w:r>
          </w:p>
          <w:p w:rsidR="00BD3B5F" w:rsidRPr="005C3B55" w:rsidRDefault="00BD3B5F">
            <w:pPr>
              <w:spacing w:before="240" w:after="240"/>
              <w:jc w:val="left"/>
              <w:rPr>
                <w:noProof/>
                <w:szCs w:val="24"/>
              </w:rPr>
            </w:pPr>
            <w:r w:rsidRPr="005C3B55">
              <w:rPr>
                <w:szCs w:val="24"/>
              </w:rPr>
              <w:t>The qualifications and/or references and the sufficient number of staff will be defined on a case-to-case basis with regard to the content of the subject of the public procurement.</w:t>
            </w:r>
          </w:p>
          <w:p w:rsidR="00BD3B5F" w:rsidRPr="005C3B55" w:rsidRDefault="00BD3B5F">
            <w:pPr>
              <w:pStyle w:val="Telobesedila"/>
              <w:rPr>
                <w:szCs w:val="24"/>
              </w:rPr>
            </w:pPr>
          </w:p>
        </w:tc>
      </w:tr>
    </w:tbl>
    <w:p w:rsidR="00BD3B5F" w:rsidRPr="005C3B55" w:rsidRDefault="00BD3B5F" w:rsidP="004311A3">
      <w:pPr>
        <w:pStyle w:val="Naslov6"/>
        <w:tabs>
          <w:tab w:val="clear" w:pos="765"/>
        </w:tabs>
        <w:ind w:left="0" w:firstLine="0"/>
        <w:rPr>
          <w:szCs w:val="24"/>
          <w:lang w:val="en-GB"/>
        </w:rPr>
      </w:pPr>
      <w:r w:rsidRPr="005C3B55">
        <w:rPr>
          <w:noProof w:val="0"/>
          <w:szCs w:val="24"/>
          <w:lang w:val="en-GB"/>
        </w:rPr>
        <w:t>Principles regarding the determination of selection criteria</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For the purpose of implementing demonstration projects, the beneficiaries of this measure are selected on the basis of a selection procedure implemented in accordance with the legislation on public procurement, which is open to public and private entities.</w:t>
            </w:r>
            <w:r w:rsidRPr="005C3B55">
              <w:rPr>
                <w:noProof/>
                <w:szCs w:val="24"/>
              </w:rPr>
              <w:t xml:space="preserve"> </w:t>
            </w:r>
            <w:r w:rsidRPr="005C3B55">
              <w:rPr>
                <w:szCs w:val="24"/>
              </w:rPr>
              <w:t>The selection procedure must be transparent and objective, and must ensure the elimination of providers if a conflict of interest arises.</w:t>
            </w:r>
          </w:p>
          <w:p w:rsidR="00BD3B5F" w:rsidRPr="005C3B55" w:rsidRDefault="00BD3B5F">
            <w:pPr>
              <w:pStyle w:val="Telobesedila"/>
              <w:rPr>
                <w:szCs w:val="24"/>
              </w:rPr>
            </w:pPr>
          </w:p>
        </w:tc>
      </w:tr>
    </w:tbl>
    <w:p w:rsidR="00BD3B5F" w:rsidRPr="005C3B55" w:rsidRDefault="00BD3B5F">
      <w:pPr>
        <w:pStyle w:val="Naslov6"/>
        <w:tabs>
          <w:tab w:val="clear" w:pos="765"/>
        </w:tabs>
        <w:ind w:left="0" w:firstLine="0"/>
        <w:rPr>
          <w:szCs w:val="24"/>
          <w:lang w:val="en-GB"/>
        </w:rPr>
      </w:pPr>
      <w:r w:rsidRPr="005C3B55">
        <w:rPr>
          <w:noProof w:val="0"/>
          <w:szCs w:val="24"/>
          <w:lang w:val="en-GB"/>
        </w:rPr>
        <w:t>(Valid) amounts and support rates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The support rate amounts to 100% of eligible costs.</w:t>
            </w:r>
          </w:p>
          <w:p w:rsidR="00BD3B5F" w:rsidRPr="005C3B55" w:rsidRDefault="00BD3B5F">
            <w:pPr>
              <w:spacing w:before="240" w:after="240"/>
              <w:jc w:val="left"/>
              <w:rPr>
                <w:noProof/>
                <w:szCs w:val="24"/>
              </w:rPr>
            </w:pPr>
            <w:r w:rsidRPr="005C3B55">
              <w:rPr>
                <w:szCs w:val="24"/>
              </w:rPr>
              <w:t>The rules on state aid are observed when determining the support rate.</w:t>
            </w:r>
          </w:p>
          <w:p w:rsidR="00BD3B5F" w:rsidRPr="005C3B55" w:rsidRDefault="00BD3B5F">
            <w:pPr>
              <w:pStyle w:val="Telobesedila"/>
              <w:rPr>
                <w:szCs w:val="24"/>
              </w:rPr>
            </w:pPr>
          </w:p>
        </w:tc>
      </w:tr>
    </w:tbl>
    <w:p w:rsidR="00BD3B5F" w:rsidRPr="005C3B55" w:rsidRDefault="00BD3B5F">
      <w:pPr>
        <w:pStyle w:val="Naslov6"/>
        <w:tabs>
          <w:tab w:val="clear" w:pos="765"/>
        </w:tabs>
        <w:ind w:left="0" w:firstLine="0"/>
        <w:rPr>
          <w:szCs w:val="24"/>
          <w:lang w:val="en-GB"/>
        </w:rPr>
      </w:pPr>
      <w:r w:rsidRPr="005C3B55">
        <w:rPr>
          <w:noProof w:val="0"/>
          <w:szCs w:val="24"/>
          <w:lang w:val="en-GB"/>
        </w:rPr>
        <w:t>Verifiability and possibility of control of measures and/or type of operations</w:t>
      </w:r>
    </w:p>
    <w:p w:rsidR="00BD3B5F" w:rsidRPr="005C3B55" w:rsidRDefault="00BD3B5F">
      <w:pPr>
        <w:pStyle w:val="Naslov7"/>
        <w:tabs>
          <w:tab w:val="clear" w:pos="765"/>
        </w:tabs>
        <w:ind w:left="0" w:firstLine="0"/>
        <w:rPr>
          <w:szCs w:val="24"/>
          <w:lang w:val="en-GB"/>
        </w:rPr>
      </w:pPr>
      <w:r w:rsidRPr="005C3B55">
        <w:rPr>
          <w:noProof w:val="0"/>
          <w:szCs w:val="24"/>
          <w:lang w:val="en-GB"/>
        </w:rPr>
        <w:t>Risks in the implementation of the measure</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b/>
                <w:noProof/>
                <w:szCs w:val="24"/>
              </w:rPr>
              <w:t xml:space="preserve">R4: </w:t>
            </w:r>
            <w:r w:rsidRPr="005C3B55">
              <w:rPr>
                <w:b/>
                <w:szCs w:val="24"/>
              </w:rPr>
              <w:t>Public procurement</w:t>
            </w:r>
          </w:p>
          <w:p w:rsidR="00BD3B5F" w:rsidRPr="005C3B55" w:rsidRDefault="00BD3B5F">
            <w:pPr>
              <w:spacing w:before="240" w:after="240"/>
              <w:jc w:val="left"/>
              <w:rPr>
                <w:noProof/>
                <w:szCs w:val="24"/>
              </w:rPr>
            </w:pPr>
            <w:r w:rsidRPr="005C3B55">
              <w:rPr>
                <w:szCs w:val="24"/>
              </w:rPr>
              <w:t>The risks in the implementation of the measure are, in particular, the long period needed to implement the public procurement procedure, complaints and review procedures, and possible agreements between providers.</w:t>
            </w:r>
          </w:p>
          <w:p w:rsidR="00BD3B5F" w:rsidRPr="005C3B55" w:rsidRDefault="00BD3B5F">
            <w:pPr>
              <w:spacing w:before="240" w:after="240"/>
              <w:jc w:val="left"/>
              <w:rPr>
                <w:noProof/>
                <w:szCs w:val="24"/>
              </w:rPr>
            </w:pPr>
            <w:r w:rsidRPr="005C3B55">
              <w:rPr>
                <w:b/>
                <w:noProof/>
                <w:szCs w:val="24"/>
              </w:rPr>
              <w:t xml:space="preserve">R7: </w:t>
            </w:r>
            <w:r w:rsidRPr="005C3B55">
              <w:rPr>
                <w:b/>
                <w:szCs w:val="24"/>
              </w:rPr>
              <w:t>Selection of beneficiaries</w:t>
            </w:r>
          </w:p>
          <w:p w:rsidR="00BD3B5F" w:rsidRPr="005C3B55" w:rsidRDefault="00BD3B5F">
            <w:pPr>
              <w:spacing w:before="240" w:after="240"/>
              <w:jc w:val="left"/>
              <w:rPr>
                <w:noProof/>
                <w:szCs w:val="24"/>
              </w:rPr>
            </w:pPr>
            <w:r w:rsidRPr="005C3B55">
              <w:rPr>
                <w:szCs w:val="24"/>
              </w:rPr>
              <w:t>Risks relate primarily to the selection of conditions and suitable criteria for selecting providers.</w:t>
            </w:r>
          </w:p>
          <w:p w:rsidR="00BD3B5F" w:rsidRPr="005C3B55" w:rsidRDefault="00BD3B5F">
            <w:pPr>
              <w:spacing w:before="240" w:after="240"/>
              <w:jc w:val="left"/>
              <w:rPr>
                <w:noProof/>
                <w:szCs w:val="24"/>
              </w:rPr>
            </w:pPr>
            <w:r w:rsidRPr="005C3B55">
              <w:rPr>
                <w:b/>
                <w:noProof/>
                <w:szCs w:val="24"/>
              </w:rPr>
              <w:t xml:space="preserve">R8: </w:t>
            </w:r>
            <w:r w:rsidRPr="005C3B55">
              <w:rPr>
                <w:b/>
                <w:szCs w:val="24"/>
              </w:rPr>
              <w:t>IT systems</w:t>
            </w:r>
          </w:p>
          <w:p w:rsidR="00BD3B5F" w:rsidRPr="005C3B55" w:rsidRDefault="00BD3B5F">
            <w:pPr>
              <w:spacing w:before="240" w:after="240"/>
              <w:jc w:val="left"/>
              <w:rPr>
                <w:noProof/>
                <w:szCs w:val="24"/>
              </w:rPr>
            </w:pPr>
            <w:r w:rsidRPr="005C3B55">
              <w:rPr>
                <w:szCs w:val="24"/>
              </w:rPr>
              <w:t>The first risk relates to the delayed computerisation of the public procurement procedure.</w:t>
            </w:r>
            <w:r w:rsidRPr="005C3B55">
              <w:rPr>
                <w:noProof/>
                <w:szCs w:val="24"/>
              </w:rPr>
              <w:t xml:space="preserve"> </w:t>
            </w:r>
            <w:r w:rsidRPr="005C3B55">
              <w:rPr>
                <w:szCs w:val="24"/>
              </w:rPr>
              <w:t>Additional risks may be requirements to upgrade the application support, which may lead to additional costs and delays in implementing the public procurement procedure.</w:t>
            </w:r>
          </w:p>
          <w:p w:rsidR="00BD3B5F" w:rsidRPr="005C3B55" w:rsidRDefault="00BD3B5F">
            <w:pPr>
              <w:spacing w:before="240" w:after="240"/>
              <w:jc w:val="left"/>
              <w:rPr>
                <w:noProof/>
                <w:szCs w:val="24"/>
              </w:rPr>
            </w:pPr>
            <w:r w:rsidRPr="005C3B55">
              <w:rPr>
                <w:b/>
                <w:noProof/>
                <w:szCs w:val="24"/>
              </w:rPr>
              <w:t xml:space="preserve">R9: </w:t>
            </w:r>
            <w:r w:rsidRPr="005C3B55">
              <w:rPr>
                <w:b/>
                <w:szCs w:val="24"/>
              </w:rPr>
              <w:t>Requests for payment</w:t>
            </w:r>
          </w:p>
          <w:p w:rsidR="00BD3B5F" w:rsidRPr="005C3B55" w:rsidRDefault="00BD3B5F">
            <w:pPr>
              <w:spacing w:before="240" w:after="240"/>
              <w:jc w:val="left"/>
              <w:rPr>
                <w:noProof/>
                <w:szCs w:val="24"/>
              </w:rPr>
            </w:pPr>
            <w:r w:rsidRPr="005C3B55">
              <w:rPr>
                <w:szCs w:val="24"/>
              </w:rPr>
              <w:t>Risks relating to payment requests are particularly linked to the administrative control of the subject of public procurement.</w:t>
            </w:r>
            <w:r w:rsidRPr="005C3B55">
              <w:rPr>
                <w:noProof/>
                <w:szCs w:val="24"/>
              </w:rPr>
              <w:t xml:space="preserve"> </w:t>
            </w:r>
            <w:r w:rsidRPr="005C3B55">
              <w:rPr>
                <w:szCs w:val="24"/>
              </w:rPr>
              <w:t>Certain additional risks may arise in connection with the non-fulfilment of contractual obligations by any of the contracting parties.</w:t>
            </w:r>
          </w:p>
          <w:p w:rsidR="00BD3B5F" w:rsidRPr="005C3B55" w:rsidRDefault="00BD3B5F">
            <w:pPr>
              <w:pStyle w:val="Telobesedila"/>
              <w:rPr>
                <w:szCs w:val="24"/>
              </w:rPr>
            </w:pPr>
          </w:p>
        </w:tc>
      </w:tr>
    </w:tbl>
    <w:p w:rsidR="00BD3B5F" w:rsidRPr="005C3B55" w:rsidRDefault="00BD3B5F">
      <w:pPr>
        <w:pStyle w:val="Naslov7"/>
        <w:tabs>
          <w:tab w:val="clear" w:pos="765"/>
        </w:tabs>
        <w:ind w:left="0" w:firstLine="0"/>
        <w:rPr>
          <w:szCs w:val="24"/>
          <w:lang w:val="en-GB"/>
        </w:rPr>
      </w:pPr>
      <w:r w:rsidRPr="005C3B55">
        <w:rPr>
          <w:noProof w:val="0"/>
          <w:szCs w:val="24"/>
          <w:lang w:val="en-GB"/>
        </w:rPr>
        <w:t>Mitigation measures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b/>
                <w:noProof/>
                <w:szCs w:val="24"/>
              </w:rPr>
              <w:t xml:space="preserve">R4: </w:t>
            </w:r>
            <w:r w:rsidRPr="005C3B55">
              <w:rPr>
                <w:b/>
                <w:szCs w:val="24"/>
              </w:rPr>
              <w:t>Public procurement</w:t>
            </w:r>
          </w:p>
          <w:p w:rsidR="00BD3B5F" w:rsidRPr="005C3B55" w:rsidRDefault="00BD3B5F">
            <w:pPr>
              <w:spacing w:before="240" w:after="240"/>
              <w:jc w:val="left"/>
              <w:rPr>
                <w:noProof/>
                <w:szCs w:val="24"/>
              </w:rPr>
            </w:pPr>
            <w:r w:rsidRPr="005C3B55">
              <w:rPr>
                <w:szCs w:val="24"/>
              </w:rPr>
              <w:t>Mitigation measures include timely public procurements for the selection of contractors, well-prepared public procurement and tender documentation with regard to content and procedures, and good market analysis before the beginning of the public procurement.</w:t>
            </w:r>
          </w:p>
          <w:p w:rsidR="00BD3B5F" w:rsidRPr="005C3B55" w:rsidRDefault="00BD3B5F">
            <w:pPr>
              <w:spacing w:before="240" w:after="240"/>
              <w:jc w:val="left"/>
              <w:rPr>
                <w:noProof/>
                <w:szCs w:val="24"/>
              </w:rPr>
            </w:pPr>
            <w:r w:rsidRPr="005C3B55">
              <w:rPr>
                <w:b/>
                <w:noProof/>
                <w:szCs w:val="24"/>
              </w:rPr>
              <w:t xml:space="preserve">R7: </w:t>
            </w:r>
            <w:r w:rsidRPr="005C3B55">
              <w:rPr>
                <w:b/>
                <w:szCs w:val="24"/>
              </w:rPr>
              <w:t>Selection of beneficiaries</w:t>
            </w:r>
          </w:p>
          <w:p w:rsidR="00BD3B5F" w:rsidRPr="005C3B55" w:rsidRDefault="00BD3B5F">
            <w:pPr>
              <w:spacing w:before="0" w:after="0"/>
              <w:jc w:val="left"/>
              <w:rPr>
                <w:noProof/>
                <w:szCs w:val="24"/>
              </w:rPr>
            </w:pPr>
            <w:r w:rsidRPr="005C3B55">
              <w:rPr>
                <w:szCs w:val="24"/>
              </w:rPr>
              <w:t>Mitigation measures are suitably determined conditions, and appropriately selected and defined criteria for the selection of providers.</w:t>
            </w:r>
          </w:p>
          <w:p w:rsidR="00BD3B5F" w:rsidRPr="005C3B55" w:rsidRDefault="00BD3B5F">
            <w:pPr>
              <w:spacing w:before="240" w:after="240"/>
              <w:jc w:val="left"/>
              <w:rPr>
                <w:noProof/>
                <w:szCs w:val="24"/>
              </w:rPr>
            </w:pPr>
            <w:r w:rsidRPr="005C3B55">
              <w:rPr>
                <w:b/>
                <w:noProof/>
                <w:szCs w:val="24"/>
              </w:rPr>
              <w:t xml:space="preserve">R8: </w:t>
            </w:r>
            <w:r w:rsidRPr="005C3B55">
              <w:rPr>
                <w:b/>
                <w:szCs w:val="24"/>
              </w:rPr>
              <w:t>IT systems</w:t>
            </w:r>
          </w:p>
          <w:p w:rsidR="00BD3B5F" w:rsidRPr="005C3B55" w:rsidRDefault="00BD3B5F">
            <w:pPr>
              <w:spacing w:before="240" w:after="240"/>
              <w:jc w:val="left"/>
              <w:rPr>
                <w:noProof/>
                <w:szCs w:val="24"/>
              </w:rPr>
            </w:pPr>
            <w:r w:rsidRPr="005C3B55">
              <w:rPr>
                <w:szCs w:val="24"/>
              </w:rPr>
              <w:t>Risks may be mitigated by the preparation of a suitable timetable and detailed specification of needs within the information system construction.</w:t>
            </w:r>
          </w:p>
          <w:p w:rsidR="00BD3B5F" w:rsidRPr="005C3B55" w:rsidRDefault="00BD3B5F">
            <w:pPr>
              <w:spacing w:before="240" w:after="240"/>
              <w:jc w:val="left"/>
              <w:rPr>
                <w:noProof/>
                <w:szCs w:val="24"/>
              </w:rPr>
            </w:pPr>
            <w:r w:rsidRPr="005C3B55">
              <w:rPr>
                <w:b/>
                <w:noProof/>
                <w:szCs w:val="24"/>
              </w:rPr>
              <w:t xml:space="preserve">R9: </w:t>
            </w:r>
            <w:r w:rsidRPr="005C3B55">
              <w:rPr>
                <w:b/>
                <w:szCs w:val="24"/>
              </w:rPr>
              <w:t>Requests for payment</w:t>
            </w:r>
          </w:p>
          <w:p w:rsidR="00BD3B5F" w:rsidRPr="005C3B55" w:rsidRDefault="00BD3B5F">
            <w:pPr>
              <w:spacing w:before="240" w:after="240"/>
              <w:jc w:val="left"/>
              <w:rPr>
                <w:noProof/>
                <w:szCs w:val="24"/>
              </w:rPr>
            </w:pPr>
            <w:r w:rsidRPr="005C3B55">
              <w:rPr>
                <w:szCs w:val="24"/>
              </w:rPr>
              <w:t>Risks relating to the payment of requests may be mitigated by the detailed preparation of the project task of the public procurement, which clearly defines the subject of the public procurement.</w:t>
            </w:r>
            <w:r w:rsidRPr="005C3B55">
              <w:rPr>
                <w:noProof/>
                <w:szCs w:val="24"/>
              </w:rPr>
              <w:t xml:space="preserve"> </w:t>
            </w:r>
            <w:r w:rsidRPr="005C3B55">
              <w:rPr>
                <w:szCs w:val="24"/>
              </w:rPr>
              <w:t>They can also be mitigated by the preparation of suitable checklists enabling appropriate administrative control.</w:t>
            </w:r>
            <w:r w:rsidRPr="005C3B55">
              <w:rPr>
                <w:noProof/>
                <w:szCs w:val="24"/>
              </w:rPr>
              <w:t xml:space="preserve"> </w:t>
            </w:r>
            <w:r w:rsidRPr="005C3B55">
              <w:rPr>
                <w:szCs w:val="24"/>
              </w:rPr>
              <w:t>Risks relating to the non-fulfilment of contractual obligations may be mitigated by a detailed definition of contractual obligations, a definition of an efficient dispute resolution process and a sanctions system.</w:t>
            </w:r>
          </w:p>
          <w:p w:rsidR="00BD3B5F" w:rsidRPr="005C3B55" w:rsidRDefault="00BD3B5F">
            <w:pPr>
              <w:pStyle w:val="Telobesedila"/>
              <w:rPr>
                <w:szCs w:val="24"/>
              </w:rPr>
            </w:pPr>
          </w:p>
        </w:tc>
      </w:tr>
    </w:tbl>
    <w:p w:rsidR="00BD3B5F" w:rsidRPr="005C3B55" w:rsidRDefault="00BD3B5F">
      <w:pPr>
        <w:pStyle w:val="Naslov7"/>
        <w:tabs>
          <w:tab w:val="clear" w:pos="765"/>
        </w:tabs>
        <w:ind w:left="0" w:firstLine="0"/>
        <w:rPr>
          <w:szCs w:val="24"/>
          <w:lang w:val="en-GB"/>
        </w:rPr>
      </w:pPr>
      <w:r w:rsidRPr="005C3B55">
        <w:rPr>
          <w:noProof w:val="0"/>
          <w:szCs w:val="24"/>
          <w:lang w:val="en-GB"/>
        </w:rPr>
        <w:t>General assessment of the measure</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The possible risks that were recognised may be minimised by observing mitigation measures.</w:t>
            </w:r>
            <w:r w:rsidRPr="005C3B55">
              <w:rPr>
                <w:noProof/>
                <w:szCs w:val="24"/>
              </w:rPr>
              <w:t xml:space="preserve"> </w:t>
            </w:r>
            <w:r w:rsidRPr="005C3B55">
              <w:rPr>
                <w:szCs w:val="24"/>
              </w:rPr>
              <w:t>The implementation of the sub-measure may be verified, and control of the sub-measure may be carried out.</w:t>
            </w:r>
          </w:p>
          <w:p w:rsidR="00BD3B5F" w:rsidRPr="005C3B55" w:rsidRDefault="00BD3B5F">
            <w:pPr>
              <w:pStyle w:val="Telobesedila"/>
              <w:rPr>
                <w:szCs w:val="24"/>
              </w:rPr>
            </w:pPr>
          </w:p>
        </w:tc>
      </w:tr>
    </w:tbl>
    <w:p w:rsidR="00BD3B5F" w:rsidRPr="005C3B55" w:rsidRDefault="00BD3B5F">
      <w:pPr>
        <w:pStyle w:val="Naslov6"/>
        <w:tabs>
          <w:tab w:val="clear" w:pos="765"/>
        </w:tabs>
        <w:ind w:left="0" w:firstLine="0"/>
        <w:rPr>
          <w:szCs w:val="24"/>
          <w:lang w:val="en-GB"/>
        </w:rPr>
      </w:pPr>
      <w:r w:rsidRPr="005C3B55">
        <w:rPr>
          <w:noProof w:val="0"/>
          <w:szCs w:val="24"/>
          <w:lang w:val="en-GB"/>
        </w:rPr>
        <w:t>Methodology for calculating support amount, where relevant</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Not relevant.</w:t>
            </w:r>
          </w:p>
          <w:p w:rsidR="00BD3B5F" w:rsidRPr="005C3B55" w:rsidRDefault="00BD3B5F">
            <w:pPr>
              <w:pStyle w:val="Telobesedila"/>
              <w:rPr>
                <w:szCs w:val="24"/>
              </w:rPr>
            </w:pPr>
          </w:p>
        </w:tc>
      </w:tr>
    </w:tbl>
    <w:p w:rsidR="00BD3B5F" w:rsidRPr="005C3B55" w:rsidRDefault="00BD3B5F">
      <w:pPr>
        <w:pStyle w:val="Naslov6"/>
        <w:tabs>
          <w:tab w:val="clear" w:pos="765"/>
        </w:tabs>
        <w:ind w:left="0" w:firstLine="0"/>
        <w:rPr>
          <w:szCs w:val="24"/>
          <w:lang w:val="en-GB"/>
        </w:rPr>
      </w:pPr>
      <w:r w:rsidRPr="005C3B55">
        <w:rPr>
          <w:noProof w:val="0"/>
          <w:szCs w:val="24"/>
          <w:lang w:val="en-GB"/>
        </w:rPr>
        <w:t>Information that relates specifically to the operation</w:t>
      </w:r>
    </w:p>
    <w:p w:rsidR="00BD3B5F" w:rsidRPr="005C3B55" w:rsidRDefault="00BD3B5F">
      <w:pPr>
        <w:rPr>
          <w:szCs w:val="24"/>
        </w:rPr>
      </w:pPr>
      <w:r w:rsidRPr="005C3B55">
        <w:rPr>
          <w:szCs w:val="24"/>
        </w:rPr>
        <w:t>Definition of appropriate capacities of bodies providing knowledge transfer services to carry out their tasks in the form of staff qualifications and regular training</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The description is provided at the level of the measure.</w:t>
            </w:r>
          </w:p>
          <w:p w:rsidR="00BD3B5F" w:rsidRPr="005C3B55" w:rsidRDefault="00BD3B5F">
            <w:pPr>
              <w:pStyle w:val="Telobesedila"/>
              <w:rPr>
                <w:szCs w:val="24"/>
              </w:rPr>
            </w:pPr>
          </w:p>
        </w:tc>
      </w:tr>
    </w:tbl>
    <w:p w:rsidR="00BD3B5F" w:rsidRPr="005C3B55" w:rsidRDefault="00BD3B5F">
      <w:pPr>
        <w:rPr>
          <w:szCs w:val="24"/>
        </w:rPr>
      </w:pPr>
      <w:r w:rsidRPr="005C3B55">
        <w:rPr>
          <w:szCs w:val="24"/>
        </w:rPr>
        <w:t>Definition of the duration and content of farm and forest exchange schemes and farm and forest visits referred to in Article 3 of Commission Delegated Regulation (EU) No 807/2014</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Not relevant.</w:t>
            </w:r>
          </w:p>
          <w:p w:rsidR="00BD3B5F" w:rsidRPr="005C3B55" w:rsidRDefault="00BD3B5F">
            <w:pPr>
              <w:pStyle w:val="Telobesedila"/>
              <w:rPr>
                <w:szCs w:val="24"/>
              </w:rPr>
            </w:pPr>
          </w:p>
        </w:tc>
      </w:tr>
    </w:tbl>
    <w:p w:rsidR="00BD3B5F" w:rsidRPr="005C3B55" w:rsidRDefault="00BD3B5F">
      <w:pPr>
        <w:pStyle w:val="Naslov4"/>
        <w:tabs>
          <w:tab w:val="clear" w:pos="765"/>
        </w:tabs>
        <w:ind w:left="0" w:firstLine="0"/>
        <w:jc w:val="left"/>
        <w:rPr>
          <w:szCs w:val="24"/>
          <w:lang w:val="en-GB"/>
        </w:rPr>
      </w:pPr>
      <w:r w:rsidRPr="005C3B55">
        <w:rPr>
          <w:szCs w:val="24"/>
          <w:lang w:val="en-GB"/>
        </w:rPr>
        <w:t>Verifiability and possibility of control of measures and/or type of operations</w:t>
      </w:r>
    </w:p>
    <w:p w:rsidR="00BD3B5F" w:rsidRPr="005C3B55" w:rsidRDefault="00BD3B5F">
      <w:pPr>
        <w:pStyle w:val="Naslov5"/>
        <w:tabs>
          <w:tab w:val="clear" w:pos="765"/>
        </w:tabs>
        <w:ind w:left="0" w:firstLine="0"/>
        <w:rPr>
          <w:b w:val="0"/>
          <w:szCs w:val="24"/>
          <w:lang w:val="en-GB"/>
        </w:rPr>
      </w:pPr>
      <w:r w:rsidRPr="005C3B55">
        <w:rPr>
          <w:b w:val="0"/>
          <w:noProof w:val="0"/>
          <w:szCs w:val="24"/>
          <w:lang w:val="en-GB"/>
        </w:rPr>
        <w:t>Risks in the implementation of the measure</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Risks are determined within individual sub-measures.</w:t>
            </w:r>
          </w:p>
          <w:p w:rsidR="00BD3B5F" w:rsidRPr="005C3B55" w:rsidRDefault="00BD3B5F">
            <w:pPr>
              <w:pStyle w:val="Telobesedila"/>
              <w:rPr>
                <w:szCs w:val="24"/>
              </w:rPr>
            </w:pPr>
          </w:p>
        </w:tc>
      </w:tr>
    </w:tbl>
    <w:p w:rsidR="00BD3B5F" w:rsidRPr="005C3B55" w:rsidRDefault="00BD3B5F">
      <w:pPr>
        <w:pStyle w:val="Naslov5"/>
        <w:tabs>
          <w:tab w:val="clear" w:pos="765"/>
        </w:tabs>
        <w:ind w:left="0" w:firstLine="0"/>
        <w:rPr>
          <w:b w:val="0"/>
          <w:szCs w:val="24"/>
          <w:lang w:val="en-GB"/>
        </w:rPr>
      </w:pPr>
      <w:r w:rsidRPr="005C3B55">
        <w:rPr>
          <w:b w:val="0"/>
          <w:noProof w:val="0"/>
          <w:szCs w:val="24"/>
          <w:lang w:val="en-GB"/>
        </w:rPr>
        <w:t>Mitigation measures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Mitigation measures are determined within individual sub-measures.</w:t>
            </w:r>
          </w:p>
          <w:p w:rsidR="00BD3B5F" w:rsidRPr="005C3B55" w:rsidRDefault="00BD3B5F">
            <w:pPr>
              <w:pStyle w:val="Telobesedila"/>
              <w:rPr>
                <w:szCs w:val="24"/>
              </w:rPr>
            </w:pPr>
          </w:p>
        </w:tc>
      </w:tr>
    </w:tbl>
    <w:p w:rsidR="00BD3B5F" w:rsidRPr="005C3B55" w:rsidRDefault="00BD3B5F">
      <w:pPr>
        <w:pStyle w:val="Naslov5"/>
        <w:tabs>
          <w:tab w:val="clear" w:pos="765"/>
        </w:tabs>
        <w:ind w:left="0" w:firstLine="0"/>
        <w:rPr>
          <w:b w:val="0"/>
          <w:szCs w:val="24"/>
          <w:lang w:val="en-GB"/>
        </w:rPr>
      </w:pPr>
      <w:r w:rsidRPr="005C3B55">
        <w:rPr>
          <w:b w:val="0"/>
          <w:noProof w:val="0"/>
          <w:szCs w:val="24"/>
          <w:lang w:val="en-GB"/>
        </w:rPr>
        <w:t>General assessment of the measure</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Described within an individual sub-measure.</w:t>
            </w:r>
          </w:p>
          <w:p w:rsidR="00BD3B5F" w:rsidRPr="005C3B55" w:rsidRDefault="00BD3B5F">
            <w:pPr>
              <w:pStyle w:val="Telobesedila"/>
              <w:rPr>
                <w:szCs w:val="24"/>
              </w:rPr>
            </w:pPr>
          </w:p>
        </w:tc>
      </w:tr>
    </w:tbl>
    <w:p w:rsidR="00BD3B5F" w:rsidRPr="005C3B55" w:rsidRDefault="00BD3B5F">
      <w:pPr>
        <w:pStyle w:val="Naslov4"/>
        <w:tabs>
          <w:tab w:val="clear" w:pos="765"/>
        </w:tabs>
        <w:ind w:left="0" w:firstLine="0"/>
        <w:jc w:val="left"/>
        <w:rPr>
          <w:szCs w:val="24"/>
          <w:lang w:val="en-GB"/>
        </w:rPr>
      </w:pPr>
      <w:r w:rsidRPr="005C3B55">
        <w:rPr>
          <w:szCs w:val="24"/>
          <w:lang w:val="en-GB"/>
        </w:rPr>
        <w:t>Methodology for calculating support amount, where relevant</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Not relevant.</w:t>
            </w:r>
          </w:p>
          <w:p w:rsidR="00BD3B5F" w:rsidRPr="005C3B55" w:rsidRDefault="00BD3B5F">
            <w:pPr>
              <w:pStyle w:val="Telobesedila"/>
              <w:rPr>
                <w:szCs w:val="24"/>
              </w:rPr>
            </w:pPr>
          </w:p>
        </w:tc>
      </w:tr>
    </w:tbl>
    <w:p w:rsidR="00BD3B5F" w:rsidRPr="005C3B55" w:rsidRDefault="00BD3B5F">
      <w:pPr>
        <w:pStyle w:val="Naslov4"/>
        <w:tabs>
          <w:tab w:val="clear" w:pos="765"/>
        </w:tabs>
        <w:ind w:left="0" w:firstLine="0"/>
        <w:jc w:val="left"/>
        <w:rPr>
          <w:szCs w:val="24"/>
          <w:lang w:val="en-GB"/>
        </w:rPr>
      </w:pPr>
      <w:r w:rsidRPr="005C3B55">
        <w:rPr>
          <w:szCs w:val="24"/>
          <w:lang w:val="en-GB"/>
        </w:rPr>
        <w:t>Additional information specific to the measure</w:t>
      </w:r>
    </w:p>
    <w:p w:rsidR="00BD3B5F" w:rsidRPr="005C3B55" w:rsidRDefault="00BD3B5F">
      <w:pPr>
        <w:rPr>
          <w:szCs w:val="24"/>
        </w:rPr>
      </w:pPr>
      <w:r w:rsidRPr="005C3B55">
        <w:rPr>
          <w:szCs w:val="24"/>
        </w:rPr>
        <w:t>Definition of appropriate capacities of bodies providing knowledge transfer services to carry out their tasks in the form of staff qualifications and regular training</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The provider must ensure a sufficient number of staff to implement knowledge transfer with regard to the content of knowledge transfer and the number of participants in training.</w:t>
            </w:r>
          </w:p>
          <w:p w:rsidR="00BD3B5F" w:rsidRPr="005C3B55" w:rsidRDefault="00BD3B5F">
            <w:pPr>
              <w:spacing w:before="240" w:after="240"/>
              <w:jc w:val="left"/>
              <w:rPr>
                <w:noProof/>
                <w:szCs w:val="24"/>
              </w:rPr>
            </w:pPr>
            <w:r w:rsidRPr="005C3B55">
              <w:rPr>
                <w:szCs w:val="24"/>
              </w:rPr>
              <w:t>The provider must ensure a sufficient number of staff to implement knowledge transfer who are regularly trained to implement the activity:</w:t>
            </w:r>
          </w:p>
          <w:p w:rsidR="00BD3B5F" w:rsidRPr="005C3B55" w:rsidRDefault="00BD3B5F" w:rsidP="00BD3B5F">
            <w:pPr>
              <w:numPr>
                <w:ilvl w:val="0"/>
                <w:numId w:val="134"/>
              </w:numPr>
              <w:spacing w:before="240" w:after="0"/>
              <w:ind w:hanging="290"/>
              <w:jc w:val="left"/>
              <w:rPr>
                <w:noProof/>
                <w:szCs w:val="24"/>
              </w:rPr>
            </w:pPr>
            <w:r w:rsidRPr="005C3B55">
              <w:rPr>
                <w:szCs w:val="24"/>
              </w:rPr>
              <w:t>level and field of education are determined in the public procurement according to the content of training;</w:t>
            </w:r>
          </w:p>
          <w:p w:rsidR="00BD3B5F" w:rsidRPr="005C3B55" w:rsidRDefault="00BD3B5F" w:rsidP="00BD3B5F">
            <w:pPr>
              <w:numPr>
                <w:ilvl w:val="0"/>
                <w:numId w:val="134"/>
              </w:numPr>
              <w:spacing w:before="0" w:after="0"/>
              <w:ind w:hanging="290"/>
              <w:jc w:val="left"/>
              <w:rPr>
                <w:noProof/>
                <w:szCs w:val="24"/>
              </w:rPr>
            </w:pPr>
            <w:r w:rsidRPr="005C3B55">
              <w:rPr>
                <w:szCs w:val="24"/>
              </w:rPr>
              <w:t>at least three years of work experience in the field of training;</w:t>
            </w:r>
          </w:p>
          <w:p w:rsidR="00BD3B5F" w:rsidRPr="005C3B55" w:rsidRDefault="00BD3B5F" w:rsidP="00BD3B5F">
            <w:pPr>
              <w:numPr>
                <w:ilvl w:val="0"/>
                <w:numId w:val="134"/>
              </w:numPr>
              <w:spacing w:before="0" w:after="240"/>
              <w:ind w:hanging="290"/>
              <w:jc w:val="left"/>
              <w:rPr>
                <w:noProof/>
                <w:szCs w:val="24"/>
              </w:rPr>
            </w:pPr>
            <w:r w:rsidRPr="005C3B55">
              <w:rPr>
                <w:szCs w:val="24"/>
              </w:rPr>
              <w:t>at least one training in the last three years in the field of training.</w:t>
            </w:r>
          </w:p>
          <w:p w:rsidR="00BD3B5F" w:rsidRPr="005C3B55" w:rsidRDefault="00BD3B5F">
            <w:pPr>
              <w:pStyle w:val="Telobesedila"/>
              <w:rPr>
                <w:szCs w:val="24"/>
              </w:rPr>
            </w:pPr>
          </w:p>
        </w:tc>
      </w:tr>
    </w:tbl>
    <w:p w:rsidR="00BD3B5F" w:rsidRPr="005C3B55" w:rsidRDefault="00BD3B5F">
      <w:pPr>
        <w:spacing w:after="100"/>
        <w:rPr>
          <w:szCs w:val="24"/>
        </w:rPr>
      </w:pPr>
      <w:r w:rsidRPr="005C3B55">
        <w:rPr>
          <w:szCs w:val="24"/>
        </w:rPr>
        <w:t>Definition of the duration and content of farm and forest exchange schemes and farm and forest visits referred to in Article 3 of Commission Delegated Regulation (EU) No 807/2014</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Not relevant.</w:t>
            </w:r>
          </w:p>
          <w:p w:rsidR="00BD3B5F" w:rsidRPr="005C3B55" w:rsidRDefault="00BD3B5F">
            <w:pPr>
              <w:pStyle w:val="Telobesedila"/>
              <w:spacing w:after="100"/>
              <w:rPr>
                <w:szCs w:val="24"/>
              </w:rPr>
            </w:pPr>
          </w:p>
        </w:tc>
      </w:tr>
    </w:tbl>
    <w:p w:rsidR="00BD3B5F" w:rsidRPr="005C3B55" w:rsidRDefault="00BD3B5F">
      <w:pPr>
        <w:pStyle w:val="Naslov4"/>
        <w:tabs>
          <w:tab w:val="clear" w:pos="765"/>
        </w:tabs>
        <w:spacing w:after="100"/>
        <w:ind w:left="0" w:firstLine="0"/>
        <w:jc w:val="left"/>
        <w:rPr>
          <w:szCs w:val="24"/>
          <w:lang w:val="en-GB"/>
        </w:rPr>
      </w:pPr>
      <w:r w:rsidRPr="005C3B55">
        <w:rPr>
          <w:szCs w:val="24"/>
          <w:lang w:val="en-GB"/>
        </w:rPr>
        <w:t>Other important remarks relevant to understanding and implementing the measure</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Not relevant.</w:t>
            </w:r>
          </w:p>
          <w:p w:rsidR="00BD3B5F" w:rsidRPr="005C3B55" w:rsidRDefault="00BD3B5F">
            <w:pPr>
              <w:pStyle w:val="Telobesedila"/>
              <w:rPr>
                <w:szCs w:val="24"/>
              </w:rPr>
            </w:pPr>
          </w:p>
        </w:tc>
      </w:tr>
    </w:tbl>
    <w:p w:rsidR="00BD3B5F" w:rsidRPr="005C3B55" w:rsidRDefault="00BD3B5F">
      <w:pPr>
        <w:pStyle w:val="Naslov3"/>
        <w:tabs>
          <w:tab w:val="clear" w:pos="765"/>
        </w:tabs>
        <w:ind w:left="0" w:firstLine="0"/>
        <w:jc w:val="left"/>
        <w:rPr>
          <w:szCs w:val="24"/>
          <w:lang w:val="en-GB"/>
        </w:rPr>
      </w:pPr>
      <w:r w:rsidRPr="005C3B55">
        <w:rPr>
          <w:szCs w:val="24"/>
          <w:lang w:val="en-GB"/>
        </w:rPr>
        <w:br w:type="page"/>
      </w:r>
      <w:bookmarkStart w:id="116" w:name="_Toc416192574"/>
      <w:r w:rsidRPr="005C3B55">
        <w:rPr>
          <w:szCs w:val="24"/>
          <w:lang w:val="en-GB"/>
        </w:rPr>
        <w:t>M02 – Advisory services, farm management and farm relief services (Article 15)</w:t>
      </w:r>
      <w:bookmarkEnd w:id="116"/>
    </w:p>
    <w:p w:rsidR="00BD3B5F" w:rsidRPr="005C3B55" w:rsidRDefault="00BD3B5F">
      <w:pPr>
        <w:pStyle w:val="Naslov4"/>
        <w:tabs>
          <w:tab w:val="clear" w:pos="765"/>
        </w:tabs>
        <w:ind w:left="0" w:firstLine="0"/>
        <w:jc w:val="left"/>
        <w:rPr>
          <w:szCs w:val="24"/>
          <w:lang w:val="en-GB"/>
        </w:rPr>
      </w:pPr>
      <w:r w:rsidRPr="005C3B55">
        <w:rPr>
          <w:szCs w:val="24"/>
          <w:lang w:val="en-GB"/>
        </w:rPr>
        <w:t>Legal basis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Measure M02 is implemented pursuant to Article 15 of Regulation (EU) No 1305/2013.</w:t>
            </w:r>
          </w:p>
          <w:p w:rsidR="00BD3B5F" w:rsidRPr="005C3B55" w:rsidRDefault="00BD3B5F">
            <w:pPr>
              <w:pStyle w:val="Telobesedila"/>
              <w:rPr>
                <w:szCs w:val="24"/>
              </w:rPr>
            </w:pPr>
          </w:p>
        </w:tc>
      </w:tr>
    </w:tbl>
    <w:p w:rsidR="00BD3B5F" w:rsidRPr="005C3B55" w:rsidRDefault="00BD3B5F">
      <w:pPr>
        <w:pStyle w:val="Naslov4"/>
        <w:tabs>
          <w:tab w:val="clear" w:pos="765"/>
        </w:tabs>
        <w:ind w:left="0" w:firstLine="0"/>
        <w:jc w:val="left"/>
        <w:rPr>
          <w:szCs w:val="24"/>
          <w:lang w:val="en-GB"/>
        </w:rPr>
      </w:pPr>
      <w:r w:rsidRPr="005C3B55">
        <w:rPr>
          <w:szCs w:val="24"/>
          <w:lang w:val="en-GB"/>
        </w:rPr>
        <w:t>A general description of the measure, including its intervention logic and contribution to priority areas and horizontal goals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Access to high-quality advisory services makes an important contribution to accelerating the transfer of knowledge and innovation in agriculture, forestry and rural areas, and facilitate the enhancement of the knowledge base.</w:t>
            </w:r>
            <w:r w:rsidRPr="005C3B55">
              <w:rPr>
                <w:noProof/>
                <w:szCs w:val="24"/>
              </w:rPr>
              <w:t xml:space="preserve"> </w:t>
            </w:r>
            <w:r w:rsidRPr="005C3B55">
              <w:rPr>
                <w:szCs w:val="24"/>
              </w:rPr>
              <w:t>The enhancement of human potential is particularly important in the current aggravated social and economic conditions, which among other things requires rapid adjustments to the changing economic conditions in the market, and a focus on achieving higher productivity and added value, which also includes the adoption of modern technologies, practices and approaches, while at the same time responsibly managing the environment and natural resources and mitigating, and adjusting to, climate change.</w:t>
            </w:r>
          </w:p>
          <w:p w:rsidR="00BD3B5F" w:rsidRPr="005C3B55" w:rsidRDefault="00BD3B5F">
            <w:pPr>
              <w:spacing w:before="240" w:after="240"/>
              <w:jc w:val="left"/>
              <w:rPr>
                <w:noProof/>
                <w:szCs w:val="24"/>
              </w:rPr>
            </w:pPr>
            <w:r w:rsidRPr="005C3B55">
              <w:rPr>
                <w:szCs w:val="24"/>
              </w:rPr>
              <w:t>The significance of high-quality and specialised advisory services, and particularly their access, is becoming a key and recognised factor for future development in the agriculture, food and forestry sectors, and companies in rural areas.</w:t>
            </w:r>
            <w:r w:rsidRPr="005C3B55">
              <w:rPr>
                <w:noProof/>
                <w:szCs w:val="24"/>
              </w:rPr>
              <w:t xml:space="preserve"> </w:t>
            </w:r>
            <w:r w:rsidRPr="005C3B55">
              <w:rPr>
                <w:szCs w:val="24"/>
              </w:rPr>
              <w:t>This measure is thus intended to support qualified public and private organisations that offer advisory services with the objective of improving knowledge in the fields of animal welfare and agricultural practices implemented within the measure of agri-environment-climate payments and organic farming.</w:t>
            </w:r>
          </w:p>
          <w:p w:rsidR="00BD3B5F" w:rsidRPr="005C3B55" w:rsidRDefault="00BD3B5F">
            <w:pPr>
              <w:spacing w:before="240" w:after="240"/>
              <w:jc w:val="left"/>
              <w:rPr>
                <w:noProof/>
                <w:szCs w:val="24"/>
              </w:rPr>
            </w:pPr>
            <w:r w:rsidRPr="005C3B55">
              <w:rPr>
                <w:szCs w:val="24"/>
              </w:rPr>
              <w:t>Within this measure, special emphasis will be put on advisory services regarding biodiversity, and reducing the impacts of agriculture on the quality of surface water and groundwater.</w:t>
            </w:r>
            <w:r w:rsidRPr="005C3B55">
              <w:rPr>
                <w:noProof/>
                <w:szCs w:val="24"/>
              </w:rPr>
              <w:t xml:space="preserve"> </w:t>
            </w:r>
            <w:r w:rsidRPr="005C3B55">
              <w:rPr>
                <w:szCs w:val="24"/>
              </w:rPr>
              <w:t>These advisory services will mainly focus on agricultural holdings with land located in:</w:t>
            </w:r>
          </w:p>
          <w:p w:rsidR="00BD3B5F" w:rsidRPr="005C3B55" w:rsidRDefault="00BD3B5F" w:rsidP="00BD3B5F">
            <w:pPr>
              <w:numPr>
                <w:ilvl w:val="0"/>
                <w:numId w:val="135"/>
              </w:numPr>
              <w:spacing w:before="240" w:after="0"/>
              <w:ind w:hanging="290"/>
              <w:jc w:val="left"/>
              <w:rPr>
                <w:noProof/>
                <w:szCs w:val="24"/>
              </w:rPr>
            </w:pPr>
            <w:r w:rsidRPr="005C3B55">
              <w:rPr>
                <w:szCs w:val="24"/>
              </w:rPr>
              <w:t>special areas within the Natura 2000 network (important ecological areas of special grassland habitats, grassland habitats of butterflies and litter-raking forests, main areas of the presence of birds of humid extensive meadows, most vulnerable areas within the Natura 2000 network, which include grasslands rich in species, but in poor conservation condition), or;</w:t>
            </w:r>
          </w:p>
          <w:p w:rsidR="00BD3B5F" w:rsidRPr="005C3B55" w:rsidRDefault="00BD3B5F" w:rsidP="00BD3B5F">
            <w:pPr>
              <w:numPr>
                <w:ilvl w:val="0"/>
                <w:numId w:val="135"/>
              </w:numPr>
              <w:spacing w:before="0" w:after="240"/>
              <w:ind w:hanging="290"/>
              <w:jc w:val="left"/>
              <w:rPr>
                <w:noProof/>
                <w:szCs w:val="24"/>
              </w:rPr>
            </w:pPr>
            <w:r w:rsidRPr="005C3B55">
              <w:rPr>
                <w:szCs w:val="24"/>
              </w:rPr>
              <w:t>catchment areas of surface waters and groundwater referred to in the Water Management Plan, where objectives in the Water Framework Directive will not be attained.</w:t>
            </w:r>
          </w:p>
          <w:p w:rsidR="00BD3B5F" w:rsidRPr="005C3B55" w:rsidRDefault="00BD3B5F">
            <w:pPr>
              <w:spacing w:before="240" w:after="240"/>
              <w:jc w:val="left"/>
              <w:rPr>
                <w:noProof/>
                <w:szCs w:val="24"/>
              </w:rPr>
            </w:pPr>
            <w:r w:rsidRPr="005C3B55">
              <w:rPr>
                <w:szCs w:val="24"/>
              </w:rPr>
              <w:t>Support under measure M02 focuses on the fourth and sixth action areas referred to in the RDP 2014–2020 determined in Chapter 5.1 of the RDP 2014–2020.</w:t>
            </w:r>
          </w:p>
          <w:p w:rsidR="00BD3B5F" w:rsidRPr="005C3B55" w:rsidRDefault="00BD3B5F">
            <w:pPr>
              <w:spacing w:before="240" w:after="240"/>
              <w:jc w:val="left"/>
              <w:rPr>
                <w:noProof/>
                <w:szCs w:val="24"/>
              </w:rPr>
            </w:pPr>
            <w:r w:rsidRPr="005C3B55">
              <w:rPr>
                <w:szCs w:val="24"/>
              </w:rPr>
              <w:t>The analysis of needs suggests that there is a need to provide specialised advisory services in the agricultural sector.</w:t>
            </w:r>
          </w:p>
          <w:p w:rsidR="00BD3B5F" w:rsidRPr="005C3B55" w:rsidRDefault="00BD3B5F">
            <w:pPr>
              <w:spacing w:before="240" w:after="240"/>
              <w:jc w:val="left"/>
              <w:rPr>
                <w:noProof/>
                <w:szCs w:val="24"/>
              </w:rPr>
            </w:pPr>
            <w:r w:rsidRPr="005C3B55">
              <w:rPr>
                <w:b/>
                <w:szCs w:val="24"/>
              </w:rPr>
              <w:t>Contribution to focus areas</w:t>
            </w:r>
          </w:p>
          <w:p w:rsidR="00BD3B5F" w:rsidRPr="005C3B55" w:rsidRDefault="00BD3B5F">
            <w:pPr>
              <w:spacing w:before="240" w:after="240"/>
              <w:jc w:val="left"/>
              <w:rPr>
                <w:noProof/>
                <w:szCs w:val="24"/>
              </w:rPr>
            </w:pPr>
            <w:r w:rsidRPr="005C3B55">
              <w:rPr>
                <w:b/>
                <w:i/>
                <w:szCs w:val="24"/>
              </w:rPr>
              <w:t>Focus area 1A:</w:t>
            </w:r>
            <w:r w:rsidRPr="005C3B55">
              <w:rPr>
                <w:b/>
                <w:i/>
                <w:noProof/>
                <w:szCs w:val="24"/>
              </w:rPr>
              <w:t xml:space="preserve"> </w:t>
            </w:r>
            <w:r w:rsidRPr="005C3B55">
              <w:rPr>
                <w:b/>
                <w:i/>
                <w:szCs w:val="24"/>
              </w:rPr>
              <w:t>Promoting innovation, cooperation and the development of knowledge bases in rural areas</w:t>
            </w:r>
          </w:p>
          <w:p w:rsidR="00BD3B5F" w:rsidRPr="005C3B55" w:rsidRDefault="00BD3B5F">
            <w:pPr>
              <w:spacing w:before="240" w:after="240"/>
              <w:jc w:val="left"/>
              <w:rPr>
                <w:noProof/>
                <w:szCs w:val="24"/>
              </w:rPr>
            </w:pPr>
            <w:r w:rsidRPr="005C3B55">
              <w:rPr>
                <w:szCs w:val="24"/>
              </w:rPr>
              <w:t>With improved access to specialised advisory services, the measure will contribute to the development of knowledge bases in rural areas, i.e. in areas involved in organic farming, above-standard agricultural practices which have a positive effect on the environment (natural resources, biodiversity), and above-standard animal husbandry.</w:t>
            </w:r>
          </w:p>
          <w:p w:rsidR="00BD3B5F" w:rsidRPr="005C3B55" w:rsidRDefault="00BD3B5F">
            <w:pPr>
              <w:spacing w:before="240" w:after="240"/>
              <w:jc w:val="left"/>
              <w:rPr>
                <w:noProof/>
                <w:szCs w:val="24"/>
              </w:rPr>
            </w:pPr>
            <w:r w:rsidRPr="005C3B55">
              <w:rPr>
                <w:b/>
                <w:i/>
                <w:szCs w:val="24"/>
              </w:rPr>
              <w:t>Focus area 3A:</w:t>
            </w:r>
            <w:r w:rsidRPr="005C3B55">
              <w:rPr>
                <w:b/>
                <w:i/>
                <w:noProof/>
                <w:szCs w:val="24"/>
              </w:rPr>
              <w:t xml:space="preserve"> </w:t>
            </w:r>
            <w:r w:rsidRPr="005C3B55">
              <w:rPr>
                <w:b/>
                <w:i/>
                <w:szCs w:val="24"/>
              </w:rPr>
              <w:t>Improving the competitiveness of primary producers with their enhanced inclusion in the agro-food chain through quality schemes, adding value to agricultural products and promoting them in local markets, and in short supply chains, producer groups and organisations and inter-branch organisations</w:t>
            </w:r>
          </w:p>
          <w:p w:rsidR="00BD3B5F" w:rsidRPr="005C3B55" w:rsidRDefault="00BD3B5F">
            <w:pPr>
              <w:spacing w:before="240" w:after="240"/>
              <w:jc w:val="left"/>
              <w:rPr>
                <w:noProof/>
                <w:szCs w:val="24"/>
              </w:rPr>
            </w:pPr>
            <w:r w:rsidRPr="005C3B55">
              <w:rPr>
                <w:szCs w:val="24"/>
              </w:rPr>
              <w:t>Assistance when using advisory services will contribute to a more successful transition to above-standard forms of production and breeding, which is important not only in terms of ensuring animal welfare, but also improving the quality of products on the market.</w:t>
            </w:r>
          </w:p>
          <w:p w:rsidR="00BD3B5F" w:rsidRPr="005C3B55" w:rsidRDefault="00BD3B5F">
            <w:pPr>
              <w:spacing w:before="240" w:after="240"/>
              <w:jc w:val="left"/>
              <w:rPr>
                <w:noProof/>
                <w:szCs w:val="24"/>
              </w:rPr>
            </w:pPr>
            <w:r w:rsidRPr="005C3B55">
              <w:rPr>
                <w:b/>
                <w:i/>
                <w:szCs w:val="24"/>
              </w:rPr>
              <w:t>Focus area 4A:</w:t>
            </w:r>
            <w:r w:rsidRPr="005C3B55">
              <w:rPr>
                <w:b/>
                <w:i/>
                <w:noProof/>
                <w:szCs w:val="24"/>
              </w:rPr>
              <w:t xml:space="preserve"> </w:t>
            </w:r>
            <w:r w:rsidRPr="005C3B55">
              <w:rPr>
                <w:b/>
                <w:i/>
                <w:szCs w:val="24"/>
              </w:rPr>
              <w:t>Restoring, preserving and enhancing biodiversity, including within Natura 2000 sites, and in areas facing natural or other specific constraints, and high nature value farming, as well as the state of European landscapes</w:t>
            </w:r>
            <w:r w:rsidRPr="005C3B55">
              <w:rPr>
                <w:b/>
                <w:i/>
                <w:noProof/>
                <w:szCs w:val="24"/>
              </w:rPr>
              <w:t xml:space="preserve"> </w:t>
            </w:r>
          </w:p>
          <w:p w:rsidR="00BD3B5F" w:rsidRPr="005C3B55" w:rsidRDefault="00BD3B5F">
            <w:pPr>
              <w:spacing w:before="240" w:after="240"/>
              <w:jc w:val="left"/>
              <w:rPr>
                <w:noProof/>
                <w:szCs w:val="24"/>
              </w:rPr>
            </w:pPr>
            <w:r w:rsidRPr="005C3B55">
              <w:rPr>
                <w:szCs w:val="24"/>
              </w:rPr>
              <w:t>The availability of advisory services in this field will contribute to better knowledge transfer regarding the significance and methods of the sustainable use of natural resources, and the restoration, maintenance and enhancement of biodiversity on agricultural land, particularly those within Natura 2000, sites where a deterioration of habitats and qualification species has been detected.</w:t>
            </w:r>
            <w:r w:rsidRPr="005C3B55">
              <w:rPr>
                <w:noProof/>
                <w:szCs w:val="24"/>
              </w:rPr>
              <w:t xml:space="preserve"> </w:t>
            </w:r>
            <w:r w:rsidRPr="005C3B55">
              <w:rPr>
                <w:szCs w:val="24"/>
              </w:rPr>
              <w:t>A special emphasis will be put on the availability of advisory services for those farmers who are, or wish to be, included in the measures of payments for agri-environment-climate commitments and organic farming.</w:t>
            </w:r>
          </w:p>
          <w:p w:rsidR="00BD3B5F" w:rsidRPr="005C3B55" w:rsidRDefault="00BD3B5F">
            <w:pPr>
              <w:spacing w:before="240" w:after="240"/>
              <w:jc w:val="left"/>
              <w:rPr>
                <w:noProof/>
                <w:szCs w:val="24"/>
              </w:rPr>
            </w:pPr>
            <w:r w:rsidRPr="005C3B55">
              <w:rPr>
                <w:szCs w:val="24"/>
              </w:rPr>
              <w:t>A special emphasis will be put on advisory services in the field of biodiversity conservation in grasslands rich in species within special Natura 2000 sites.</w:t>
            </w:r>
          </w:p>
          <w:p w:rsidR="00BD3B5F" w:rsidRPr="005C3B55" w:rsidRDefault="00BD3B5F">
            <w:pPr>
              <w:spacing w:before="240" w:after="240"/>
              <w:jc w:val="left"/>
              <w:rPr>
                <w:noProof/>
                <w:szCs w:val="24"/>
              </w:rPr>
            </w:pPr>
            <w:r w:rsidRPr="005C3B55">
              <w:rPr>
                <w:b/>
                <w:i/>
                <w:szCs w:val="24"/>
              </w:rPr>
              <w:t>Focus area 4B:</w:t>
            </w:r>
            <w:r w:rsidRPr="005C3B55">
              <w:rPr>
                <w:b/>
                <w:i/>
                <w:noProof/>
                <w:szCs w:val="24"/>
              </w:rPr>
              <w:t xml:space="preserve"> </w:t>
            </w:r>
            <w:r w:rsidRPr="005C3B55">
              <w:rPr>
                <w:b/>
                <w:i/>
                <w:szCs w:val="24"/>
              </w:rPr>
              <w:t>Improving water management, including the management of fertilisers and pesticides</w:t>
            </w:r>
          </w:p>
          <w:p w:rsidR="00BD3B5F" w:rsidRPr="005C3B55" w:rsidRDefault="00BD3B5F">
            <w:pPr>
              <w:spacing w:before="240" w:after="240"/>
              <w:jc w:val="left"/>
              <w:rPr>
                <w:noProof/>
                <w:szCs w:val="24"/>
              </w:rPr>
            </w:pPr>
            <w:r w:rsidRPr="005C3B55">
              <w:rPr>
                <w:szCs w:val="24"/>
              </w:rPr>
              <w:t>The measure will contribute to the objectives of this focus area by enabling access to advisory services relating to environmentally-friendly farming methods that may contribute to better water and land management.</w:t>
            </w:r>
            <w:r w:rsidRPr="005C3B55">
              <w:rPr>
                <w:noProof/>
                <w:szCs w:val="24"/>
              </w:rPr>
              <w:t xml:space="preserve"> </w:t>
            </w:r>
            <w:r w:rsidRPr="005C3B55">
              <w:rPr>
                <w:szCs w:val="24"/>
              </w:rPr>
              <w:t>Synergies are also possible, particularly in the connection with the measures of agri-environment-climate payments and organic farming.</w:t>
            </w:r>
          </w:p>
          <w:p w:rsidR="00BD3B5F" w:rsidRPr="005C3B55" w:rsidRDefault="00BD3B5F">
            <w:pPr>
              <w:spacing w:before="240" w:after="240"/>
              <w:jc w:val="left"/>
              <w:rPr>
                <w:noProof/>
                <w:szCs w:val="24"/>
              </w:rPr>
            </w:pPr>
            <w:r w:rsidRPr="005C3B55">
              <w:rPr>
                <w:szCs w:val="24"/>
              </w:rPr>
              <w:t>Within this measure, special emphasis will be put on advisory services aimed at increasing the sustainability of agriculture in areas which are problematic due to dispersed pollution of agricultural origin.</w:t>
            </w:r>
            <w:r w:rsidRPr="005C3B55">
              <w:rPr>
                <w:noProof/>
                <w:szCs w:val="24"/>
              </w:rPr>
              <w:t xml:space="preserve"> </w:t>
            </w:r>
            <w:r w:rsidRPr="005C3B55">
              <w:rPr>
                <w:szCs w:val="24"/>
              </w:rPr>
              <w:t>These include catchment areas of surface waters and groundwater referred to in the Water Management Plan where objectives under the Water Framework Directive will not be attained.</w:t>
            </w:r>
          </w:p>
          <w:p w:rsidR="00BD3B5F" w:rsidRPr="005C3B55" w:rsidRDefault="00BD3B5F">
            <w:pPr>
              <w:spacing w:before="240" w:after="240"/>
              <w:jc w:val="left"/>
              <w:rPr>
                <w:noProof/>
                <w:szCs w:val="24"/>
              </w:rPr>
            </w:pPr>
            <w:r w:rsidRPr="005C3B55">
              <w:rPr>
                <w:b/>
                <w:i/>
                <w:szCs w:val="24"/>
              </w:rPr>
              <w:t>Focus area 4C:</w:t>
            </w:r>
            <w:r w:rsidRPr="005C3B55">
              <w:rPr>
                <w:b/>
                <w:i/>
                <w:noProof/>
                <w:szCs w:val="24"/>
              </w:rPr>
              <w:t xml:space="preserve"> </w:t>
            </w:r>
            <w:r w:rsidRPr="005C3B55">
              <w:rPr>
                <w:b/>
                <w:i/>
                <w:szCs w:val="24"/>
              </w:rPr>
              <w:t>Prevention of soil erosion and improvement of soil management</w:t>
            </w:r>
          </w:p>
          <w:p w:rsidR="00BD3B5F" w:rsidRPr="005C3B55" w:rsidRDefault="00BD3B5F">
            <w:pPr>
              <w:spacing w:before="240" w:after="240"/>
              <w:jc w:val="left"/>
              <w:rPr>
                <w:noProof/>
                <w:szCs w:val="24"/>
              </w:rPr>
            </w:pPr>
            <w:r w:rsidRPr="005C3B55">
              <w:rPr>
                <w:szCs w:val="24"/>
              </w:rPr>
              <w:t>Within this measure, special emphasis will be put on the aspect of climate change, especially in the context of the suitable use of soil and tillage, reducing the use of plant protection products and fertilisers, and other agricultural practices which contribute to reducing erosion and improving soil management, which will be supported within measures M10 and M11.</w:t>
            </w:r>
          </w:p>
          <w:p w:rsidR="00BD3B5F" w:rsidRPr="005C3B55" w:rsidRDefault="00BD3B5F">
            <w:pPr>
              <w:spacing w:before="240" w:after="240"/>
              <w:jc w:val="left"/>
              <w:rPr>
                <w:noProof/>
                <w:szCs w:val="24"/>
              </w:rPr>
            </w:pPr>
            <w:r w:rsidRPr="005C3B55">
              <w:rPr>
                <w:b/>
                <w:szCs w:val="24"/>
              </w:rPr>
              <w:t>Contribution to horizontal objectives</w:t>
            </w:r>
          </w:p>
          <w:p w:rsidR="00BD3B5F" w:rsidRPr="005C3B55" w:rsidRDefault="00BD3B5F">
            <w:pPr>
              <w:spacing w:before="240" w:after="240"/>
              <w:jc w:val="left"/>
              <w:rPr>
                <w:noProof/>
                <w:szCs w:val="24"/>
              </w:rPr>
            </w:pPr>
            <w:r w:rsidRPr="005C3B55">
              <w:rPr>
                <w:b/>
                <w:i/>
                <w:szCs w:val="24"/>
              </w:rPr>
              <w:t>Mitigating, and adapting to, climate change:</w:t>
            </w:r>
            <w:r w:rsidRPr="005C3B55">
              <w:rPr>
                <w:b/>
                <w:i/>
                <w:noProof/>
                <w:szCs w:val="24"/>
              </w:rPr>
              <w:t xml:space="preserve"> </w:t>
            </w:r>
            <w:r w:rsidRPr="005C3B55">
              <w:rPr>
                <w:szCs w:val="24"/>
              </w:rPr>
              <w:t>Agricultural activity depends on the weather and is conditional on climate change through air and soil temperature, solar radiation, air humidity, quantity and distribution of precipitation, frequency and intensity of meteorological disasters.</w:t>
            </w:r>
            <w:r w:rsidRPr="005C3B55">
              <w:rPr>
                <w:noProof/>
                <w:szCs w:val="24"/>
              </w:rPr>
              <w:t xml:space="preserve"> </w:t>
            </w:r>
            <w:r w:rsidRPr="005C3B55">
              <w:rPr>
                <w:szCs w:val="24"/>
              </w:rPr>
              <w:t>Since climate change is becoming increasingly pronounced, agricultural holdings will have to accelerate their adjustment to it.</w:t>
            </w:r>
            <w:r w:rsidRPr="005C3B55">
              <w:rPr>
                <w:noProof/>
                <w:szCs w:val="24"/>
              </w:rPr>
              <w:t xml:space="preserve"> </w:t>
            </w:r>
            <w:r w:rsidRPr="005C3B55">
              <w:rPr>
                <w:szCs w:val="24"/>
              </w:rPr>
              <w:t>As part of this measure, individual advisory services will focus on agri-technical agricultural practices which may be used by agricultural holdings to adjust to the aforementioned change more successfully.</w:t>
            </w:r>
            <w:r w:rsidRPr="005C3B55">
              <w:rPr>
                <w:noProof/>
                <w:szCs w:val="24"/>
              </w:rPr>
              <w:t xml:space="preserve"> </w:t>
            </w:r>
            <w:r w:rsidRPr="005C3B55">
              <w:rPr>
                <w:szCs w:val="24"/>
              </w:rPr>
              <w:t>The measure is related to measures M10 and M11, since access to advisory services will be facilitated for agricultural holdings which intend to be, or are, included in these two measures.</w:t>
            </w:r>
          </w:p>
          <w:p w:rsidR="00BD3B5F" w:rsidRPr="005C3B55" w:rsidRDefault="00BD3B5F">
            <w:pPr>
              <w:spacing w:before="240" w:after="240"/>
              <w:jc w:val="left"/>
              <w:rPr>
                <w:noProof/>
                <w:szCs w:val="24"/>
              </w:rPr>
            </w:pPr>
            <w:r w:rsidRPr="005C3B55">
              <w:rPr>
                <w:b/>
                <w:i/>
                <w:szCs w:val="24"/>
              </w:rPr>
              <w:t>Environment:</w:t>
            </w:r>
            <w:r w:rsidRPr="005C3B55">
              <w:rPr>
                <w:b/>
                <w:i/>
                <w:noProof/>
                <w:szCs w:val="24"/>
              </w:rPr>
              <w:t xml:space="preserve"> </w:t>
            </w:r>
            <w:r w:rsidRPr="005C3B55">
              <w:rPr>
                <w:szCs w:val="24"/>
              </w:rPr>
              <w:t>Environmental care is one of the most important areas addressed by the advisory services.</w:t>
            </w:r>
            <w:r w:rsidRPr="005C3B55">
              <w:rPr>
                <w:noProof/>
                <w:szCs w:val="24"/>
              </w:rPr>
              <w:t xml:space="preserve"> </w:t>
            </w:r>
            <w:r w:rsidRPr="005C3B55">
              <w:rPr>
                <w:szCs w:val="24"/>
              </w:rPr>
              <w:t>The emphasis will be on the integration of this measure with the implementation of measures M10 and M11.</w:t>
            </w:r>
            <w:r w:rsidRPr="005C3B55">
              <w:rPr>
                <w:noProof/>
                <w:szCs w:val="24"/>
              </w:rPr>
              <w:t xml:space="preserve"> </w:t>
            </w:r>
            <w:r w:rsidRPr="005C3B55">
              <w:rPr>
                <w:szCs w:val="24"/>
              </w:rPr>
              <w:t>A special emphasis will be put on biodiversity, and the quality of surface water and groundwater.</w:t>
            </w:r>
          </w:p>
          <w:p w:rsidR="00BD3B5F" w:rsidRPr="005C3B55" w:rsidRDefault="00BD3B5F">
            <w:pPr>
              <w:pStyle w:val="Telobesedila"/>
              <w:rPr>
                <w:szCs w:val="24"/>
              </w:rPr>
            </w:pPr>
          </w:p>
        </w:tc>
      </w:tr>
    </w:tbl>
    <w:p w:rsidR="00BD3B5F" w:rsidRPr="005C3B55" w:rsidRDefault="00BD3B5F">
      <w:pPr>
        <w:pStyle w:val="Naslov4"/>
        <w:tabs>
          <w:tab w:val="clear" w:pos="765"/>
        </w:tabs>
        <w:ind w:left="0" w:firstLine="0"/>
        <w:jc w:val="left"/>
        <w:rPr>
          <w:szCs w:val="24"/>
          <w:lang w:val="en-GB"/>
        </w:rPr>
      </w:pPr>
      <w:r w:rsidRPr="005C3B55">
        <w:rPr>
          <w:szCs w:val="24"/>
          <w:lang w:val="en-GB"/>
        </w:rPr>
        <w:t>Scope and rate of support and beneficiaries, and, where relevant, the methodology for calculating the amount or level of support, if necessary broken down by sub-measures and/or the type of operation. Determine eligible costs, conditions for eligibility, valid amounts and rates of support and principles regarding the definition of the selection criteria for each type of operation</w:t>
      </w:r>
    </w:p>
    <w:p w:rsidR="00BD3B5F" w:rsidRPr="005C3B55" w:rsidRDefault="00BD3B5F">
      <w:pPr>
        <w:pStyle w:val="Naslov5"/>
        <w:tabs>
          <w:tab w:val="clear" w:pos="765"/>
        </w:tabs>
        <w:ind w:left="0" w:firstLine="0"/>
        <w:rPr>
          <w:b w:val="0"/>
          <w:szCs w:val="24"/>
          <w:lang w:val="en-GB"/>
        </w:rPr>
      </w:pPr>
      <w:r w:rsidRPr="005C3B55">
        <w:rPr>
          <w:b w:val="0"/>
          <w:noProof w:val="0"/>
          <w:szCs w:val="24"/>
          <w:lang w:val="en-GB"/>
        </w:rPr>
        <w:t>Support for assistance in the use of advisory services</w:t>
      </w:r>
    </w:p>
    <w:p w:rsidR="00BD3B5F" w:rsidRPr="005C3B55" w:rsidRDefault="00BD3B5F">
      <w:pPr>
        <w:rPr>
          <w:szCs w:val="24"/>
        </w:rPr>
      </w:pPr>
      <w:r w:rsidRPr="005C3B55">
        <w:rPr>
          <w:szCs w:val="24"/>
        </w:rPr>
        <w:t xml:space="preserve">Sub-measure: </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rsidP="00BD3B5F">
            <w:pPr>
              <w:numPr>
                <w:ilvl w:val="0"/>
                <w:numId w:val="136"/>
              </w:numPr>
              <w:rPr>
                <w:szCs w:val="24"/>
              </w:rPr>
            </w:pPr>
            <w:r w:rsidRPr="005C3B55">
              <w:rPr>
                <w:szCs w:val="24"/>
              </w:rPr>
              <w:t>2.1 – Support for assistance in the use of advisory services</w:t>
            </w:r>
          </w:p>
        </w:tc>
      </w:tr>
    </w:tbl>
    <w:p w:rsidR="00BD3B5F" w:rsidRPr="005C3B55" w:rsidRDefault="00BD3B5F">
      <w:pPr>
        <w:pStyle w:val="Naslov6"/>
        <w:tabs>
          <w:tab w:val="clear" w:pos="765"/>
        </w:tabs>
        <w:ind w:left="0" w:firstLine="0"/>
        <w:rPr>
          <w:szCs w:val="24"/>
          <w:lang w:val="en-GB"/>
        </w:rPr>
      </w:pPr>
      <w:r w:rsidRPr="005C3B55">
        <w:rPr>
          <w:noProof w:val="0"/>
          <w:szCs w:val="24"/>
          <w:lang w:val="en-GB"/>
        </w:rPr>
        <w:t>Description of type of operation</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Advisory services are provided individually.</w:t>
            </w:r>
            <w:r w:rsidRPr="005C3B55">
              <w:rPr>
                <w:noProof/>
                <w:szCs w:val="24"/>
              </w:rPr>
              <w:t xml:space="preserve"> </w:t>
            </w:r>
            <w:r w:rsidRPr="005C3B55">
              <w:rPr>
                <w:szCs w:val="24"/>
              </w:rPr>
              <w:t>The result of an advisory service must be tangible and verifiable (e.g. a drafted programme, report).</w:t>
            </w:r>
          </w:p>
          <w:p w:rsidR="00BD3B5F" w:rsidRPr="005C3B55" w:rsidRDefault="00BD3B5F">
            <w:pPr>
              <w:spacing w:before="240" w:after="240"/>
              <w:jc w:val="left"/>
              <w:rPr>
                <w:noProof/>
                <w:szCs w:val="24"/>
              </w:rPr>
            </w:pPr>
            <w:r w:rsidRPr="005C3B55">
              <w:rPr>
                <w:szCs w:val="24"/>
              </w:rPr>
              <w:t>Advisory services for content representing a condition or requirement for other measures will be supported within this measure.</w:t>
            </w:r>
            <w:r w:rsidRPr="005C3B55">
              <w:rPr>
                <w:noProof/>
                <w:szCs w:val="24"/>
              </w:rPr>
              <w:t xml:space="preserve"> </w:t>
            </w:r>
            <w:r w:rsidRPr="005C3B55">
              <w:rPr>
                <w:szCs w:val="24"/>
              </w:rPr>
              <w:t>Thus individual advisory services for the following purposes will be supported within this measure:</w:t>
            </w:r>
          </w:p>
          <w:p w:rsidR="00BD3B5F" w:rsidRPr="005C3B55" w:rsidRDefault="00BD3B5F" w:rsidP="00BD3B5F">
            <w:pPr>
              <w:numPr>
                <w:ilvl w:val="0"/>
                <w:numId w:val="137"/>
              </w:numPr>
              <w:spacing w:before="240" w:after="0"/>
              <w:ind w:hanging="290"/>
              <w:jc w:val="left"/>
              <w:rPr>
                <w:noProof/>
                <w:szCs w:val="24"/>
              </w:rPr>
            </w:pPr>
            <w:r w:rsidRPr="005C3B55">
              <w:rPr>
                <w:szCs w:val="24"/>
              </w:rPr>
              <w:t>drafting an animal welfare programme, which is a condition for entering the measure referred to in Article 33 of Regulation (EU) No 1305/2013;</w:t>
            </w:r>
          </w:p>
          <w:p w:rsidR="00BD3B5F" w:rsidRPr="005C3B55" w:rsidRDefault="00BD3B5F" w:rsidP="00BD3B5F">
            <w:pPr>
              <w:numPr>
                <w:ilvl w:val="0"/>
                <w:numId w:val="137"/>
              </w:numPr>
              <w:spacing w:before="0" w:after="0"/>
              <w:ind w:hanging="290"/>
              <w:jc w:val="left"/>
              <w:rPr>
                <w:noProof/>
                <w:szCs w:val="24"/>
              </w:rPr>
            </w:pPr>
            <w:r w:rsidRPr="005C3B55">
              <w:rPr>
                <w:szCs w:val="24"/>
              </w:rPr>
              <w:t>drafting a programme of activities, which is one of the conditions necessary for entering the measure referred to in Articles 28 and 29 of Regulation (EU) No 1305/2013;</w:t>
            </w:r>
          </w:p>
          <w:p w:rsidR="00BD3B5F" w:rsidRPr="005C3B55" w:rsidRDefault="00BD3B5F" w:rsidP="00BD3B5F">
            <w:pPr>
              <w:numPr>
                <w:ilvl w:val="0"/>
                <w:numId w:val="137"/>
              </w:numPr>
              <w:spacing w:before="0" w:after="0"/>
              <w:ind w:hanging="290"/>
              <w:jc w:val="left"/>
              <w:rPr>
                <w:noProof/>
                <w:szCs w:val="24"/>
              </w:rPr>
            </w:pPr>
            <w:r w:rsidRPr="005C3B55">
              <w:rPr>
                <w:szCs w:val="24"/>
              </w:rPr>
              <w:t>drafting an individual plan for conversion of agricultural holdings from conventional to organic production, which is a commitment for agricultural holdings undertaking the measure referred to in Article 29 of Regulation (EU) No 1305/2013 anew;</w:t>
            </w:r>
          </w:p>
          <w:p w:rsidR="00BD3B5F" w:rsidRPr="005C3B55" w:rsidRDefault="00BD3B5F" w:rsidP="00BD3B5F">
            <w:pPr>
              <w:numPr>
                <w:ilvl w:val="0"/>
                <w:numId w:val="137"/>
              </w:numPr>
              <w:spacing w:before="0" w:after="240"/>
              <w:ind w:hanging="290"/>
              <w:jc w:val="left"/>
              <w:rPr>
                <w:noProof/>
                <w:szCs w:val="24"/>
              </w:rPr>
            </w:pPr>
            <w:r w:rsidRPr="005C3B55">
              <w:rPr>
                <w:szCs w:val="24"/>
              </w:rPr>
              <w:t>implementing mandatory individual advisory services for beneficiaries included in measures referred to in Articles 28 and 29 of Regulation (EU) No 1305/2013 at least once during the commitment.</w:t>
            </w:r>
          </w:p>
          <w:p w:rsidR="00BD3B5F" w:rsidRPr="005C3B55" w:rsidRDefault="00BD3B5F">
            <w:pPr>
              <w:pStyle w:val="Telobesedila"/>
              <w:rPr>
                <w:szCs w:val="24"/>
              </w:rPr>
            </w:pPr>
          </w:p>
        </w:tc>
      </w:tr>
    </w:tbl>
    <w:p w:rsidR="00BD3B5F" w:rsidRPr="005C3B55" w:rsidRDefault="00BD3B5F">
      <w:pPr>
        <w:pStyle w:val="Naslov6"/>
        <w:tabs>
          <w:tab w:val="clear" w:pos="765"/>
        </w:tabs>
        <w:ind w:left="0" w:firstLine="0"/>
        <w:rPr>
          <w:szCs w:val="24"/>
          <w:lang w:val="en-GB"/>
        </w:rPr>
      </w:pPr>
      <w:r w:rsidRPr="005C3B55">
        <w:rPr>
          <w:noProof w:val="0"/>
          <w:szCs w:val="24"/>
          <w:lang w:val="en-GB"/>
        </w:rPr>
        <w:t>Type of support</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Support is granted in the form of non-refundable financial aid.</w:t>
            </w:r>
          </w:p>
          <w:p w:rsidR="00BD3B5F" w:rsidRPr="005C3B55" w:rsidRDefault="00BD3B5F">
            <w:pPr>
              <w:pStyle w:val="Telobesedila"/>
              <w:rPr>
                <w:szCs w:val="24"/>
              </w:rPr>
            </w:pPr>
          </w:p>
        </w:tc>
      </w:tr>
    </w:tbl>
    <w:p w:rsidR="00BD3B5F" w:rsidRPr="005C3B55" w:rsidRDefault="00BD3B5F">
      <w:pPr>
        <w:pStyle w:val="Naslov6"/>
        <w:tabs>
          <w:tab w:val="clear" w:pos="765"/>
        </w:tabs>
        <w:ind w:left="0" w:firstLine="0"/>
        <w:rPr>
          <w:szCs w:val="24"/>
          <w:lang w:val="en-GB"/>
        </w:rPr>
      </w:pPr>
      <w:r w:rsidRPr="005C3B55">
        <w:rPr>
          <w:noProof w:val="0"/>
          <w:szCs w:val="24"/>
          <w:lang w:val="en-GB"/>
        </w:rPr>
        <w:t>Connection with other legislation</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rsidP="00BD3B5F">
            <w:pPr>
              <w:numPr>
                <w:ilvl w:val="0"/>
                <w:numId w:val="138"/>
              </w:numPr>
              <w:spacing w:before="0" w:after="0"/>
              <w:ind w:hanging="290"/>
              <w:jc w:val="left"/>
              <w:rPr>
                <w:noProof/>
                <w:szCs w:val="24"/>
              </w:rPr>
            </w:pPr>
            <w:r w:rsidRPr="005C3B55">
              <w:rPr>
                <w:szCs w:val="24"/>
              </w:rPr>
              <w:t>Agriculture Act (Official Gazette of the Republic of Slovenia, no. 45/2008 with all amendments);</w:t>
            </w:r>
          </w:p>
          <w:p w:rsidR="00BD3B5F" w:rsidRPr="005C3B55" w:rsidRDefault="00BD3B5F" w:rsidP="00BD3B5F">
            <w:pPr>
              <w:numPr>
                <w:ilvl w:val="0"/>
                <w:numId w:val="138"/>
              </w:numPr>
              <w:spacing w:before="0" w:after="0"/>
              <w:ind w:hanging="290"/>
              <w:jc w:val="left"/>
              <w:rPr>
                <w:noProof/>
                <w:szCs w:val="24"/>
              </w:rPr>
            </w:pPr>
            <w:r w:rsidRPr="005C3B55">
              <w:rPr>
                <w:szCs w:val="24"/>
              </w:rPr>
              <w:t>Public Procurement Act, ZJN-2 (Official Gazette of the Republic of Slovenia, no. 12/13-UPB5 with all amendments);</w:t>
            </w:r>
          </w:p>
          <w:p w:rsidR="00BD3B5F" w:rsidRPr="005C3B55" w:rsidRDefault="00BD3B5F" w:rsidP="00BD3B5F">
            <w:pPr>
              <w:numPr>
                <w:ilvl w:val="0"/>
                <w:numId w:val="138"/>
              </w:numPr>
              <w:spacing w:before="0" w:after="0"/>
              <w:ind w:hanging="290"/>
              <w:jc w:val="left"/>
              <w:rPr>
                <w:noProof/>
                <w:szCs w:val="24"/>
              </w:rPr>
            </w:pPr>
            <w:r w:rsidRPr="005C3B55">
              <w:rPr>
                <w:szCs w:val="24"/>
              </w:rPr>
              <w:t>national regulation regulating the implementation of the sub-measure in the 2014–2020 programming period and</w:t>
            </w:r>
          </w:p>
          <w:p w:rsidR="00BD3B5F" w:rsidRPr="005C3B55" w:rsidRDefault="00BD3B5F" w:rsidP="00BD3B5F">
            <w:pPr>
              <w:numPr>
                <w:ilvl w:val="0"/>
                <w:numId w:val="138"/>
              </w:numPr>
              <w:spacing w:before="0" w:after="240"/>
              <w:ind w:hanging="290"/>
              <w:jc w:val="left"/>
              <w:rPr>
                <w:noProof/>
                <w:szCs w:val="24"/>
              </w:rPr>
            </w:pPr>
            <w:r w:rsidRPr="005C3B55">
              <w:rPr>
                <w:szCs w:val="24"/>
              </w:rPr>
              <w:t>other EU and national legislation which regulates the implementation of this operation.</w:t>
            </w:r>
          </w:p>
          <w:p w:rsidR="00BD3B5F" w:rsidRPr="005C3B55" w:rsidRDefault="00BD3B5F">
            <w:pPr>
              <w:pStyle w:val="Telobesedila"/>
              <w:rPr>
                <w:szCs w:val="24"/>
              </w:rPr>
            </w:pPr>
          </w:p>
        </w:tc>
      </w:tr>
    </w:tbl>
    <w:p w:rsidR="00BD3B5F" w:rsidRPr="005C3B55" w:rsidRDefault="00BD3B5F">
      <w:pPr>
        <w:pStyle w:val="Naslov6"/>
        <w:tabs>
          <w:tab w:val="clear" w:pos="765"/>
        </w:tabs>
        <w:ind w:left="0" w:firstLine="0"/>
        <w:rPr>
          <w:szCs w:val="24"/>
          <w:lang w:val="en-GB"/>
        </w:rPr>
      </w:pPr>
      <w:r w:rsidRPr="005C3B55">
        <w:rPr>
          <w:noProof w:val="0"/>
          <w:szCs w:val="24"/>
          <w:lang w:val="en-GB"/>
        </w:rPr>
        <w:t>Beneficiaries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Beneficiaries of non-refundable support within the framework of this measure are public and private bodies offering advisory services to agricultural holdings.</w:t>
            </w:r>
          </w:p>
          <w:p w:rsidR="00BD3B5F" w:rsidRPr="005C3B55" w:rsidRDefault="00BD3B5F">
            <w:pPr>
              <w:pStyle w:val="Telobesedila"/>
              <w:rPr>
                <w:szCs w:val="24"/>
              </w:rPr>
            </w:pPr>
          </w:p>
        </w:tc>
      </w:tr>
    </w:tbl>
    <w:p w:rsidR="00BD3B5F" w:rsidRPr="005C3B55" w:rsidRDefault="00BD3B5F">
      <w:pPr>
        <w:pStyle w:val="Naslov6"/>
        <w:tabs>
          <w:tab w:val="clear" w:pos="765"/>
        </w:tabs>
        <w:ind w:left="0" w:firstLine="0"/>
        <w:rPr>
          <w:szCs w:val="24"/>
          <w:lang w:val="en-GB"/>
        </w:rPr>
      </w:pPr>
      <w:r w:rsidRPr="005C3B55">
        <w:rPr>
          <w:noProof w:val="0"/>
          <w:szCs w:val="24"/>
          <w:lang w:val="en-GB"/>
        </w:rPr>
        <w:t>Eligible costs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Eligible costs are costs of the organisation and provision of advisory services and are acknowledged in the form of labour, material and travel costs etc. incurred from the date of signing the contract to the submission of the (last) request for the payment of funds.</w:t>
            </w:r>
          </w:p>
          <w:p w:rsidR="00BD3B5F" w:rsidRPr="005C3B55" w:rsidRDefault="00BD3B5F">
            <w:pPr>
              <w:spacing w:before="240" w:after="240"/>
              <w:jc w:val="left"/>
              <w:rPr>
                <w:noProof/>
                <w:szCs w:val="24"/>
              </w:rPr>
            </w:pPr>
            <w:r w:rsidRPr="005C3B55">
              <w:rPr>
                <w:szCs w:val="24"/>
              </w:rPr>
              <w:t>The provisions of Article 69 of Regulation (EU) No 1303/2013 are observed for the eligibility of costs.</w:t>
            </w:r>
          </w:p>
          <w:p w:rsidR="00BD3B5F" w:rsidRPr="005C3B55" w:rsidRDefault="00BD3B5F">
            <w:pPr>
              <w:pStyle w:val="Telobesedila"/>
              <w:rPr>
                <w:szCs w:val="24"/>
              </w:rPr>
            </w:pPr>
          </w:p>
        </w:tc>
      </w:tr>
    </w:tbl>
    <w:p w:rsidR="00BD3B5F" w:rsidRPr="005C3B55" w:rsidRDefault="00BD3B5F">
      <w:pPr>
        <w:pStyle w:val="Naslov6"/>
        <w:tabs>
          <w:tab w:val="clear" w:pos="765"/>
        </w:tabs>
        <w:ind w:left="0" w:firstLine="0"/>
        <w:rPr>
          <w:szCs w:val="24"/>
          <w:lang w:val="en-GB"/>
        </w:rPr>
      </w:pPr>
      <w:r w:rsidRPr="005C3B55">
        <w:rPr>
          <w:noProof w:val="0"/>
          <w:szCs w:val="24"/>
          <w:lang w:val="en-GB"/>
        </w:rPr>
        <w:t>Conditions for eligibility</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In their public procurement application and during the implementation of public procurement, potential beneficiaries must:</w:t>
            </w:r>
          </w:p>
          <w:p w:rsidR="00BD3B5F" w:rsidRPr="005C3B55" w:rsidRDefault="00BD3B5F" w:rsidP="00BD3B5F">
            <w:pPr>
              <w:numPr>
                <w:ilvl w:val="0"/>
                <w:numId w:val="139"/>
              </w:numPr>
              <w:spacing w:before="240" w:after="0"/>
              <w:ind w:hanging="290"/>
              <w:jc w:val="left"/>
              <w:rPr>
                <w:noProof/>
                <w:szCs w:val="24"/>
              </w:rPr>
            </w:pPr>
            <w:r w:rsidRPr="005C3B55">
              <w:rPr>
                <w:szCs w:val="24"/>
              </w:rPr>
              <w:t>prove and maintain a suitable level of education, work experience and qualifications/references of staff implementing advisory services;</w:t>
            </w:r>
          </w:p>
          <w:p w:rsidR="00BD3B5F" w:rsidRPr="005C3B55" w:rsidRDefault="00BD3B5F" w:rsidP="00BD3B5F">
            <w:pPr>
              <w:numPr>
                <w:ilvl w:val="0"/>
                <w:numId w:val="139"/>
              </w:numPr>
              <w:spacing w:before="0" w:after="240"/>
              <w:ind w:hanging="290"/>
              <w:jc w:val="left"/>
              <w:rPr>
                <w:noProof/>
                <w:szCs w:val="24"/>
              </w:rPr>
            </w:pPr>
            <w:r w:rsidRPr="005C3B55">
              <w:rPr>
                <w:szCs w:val="24"/>
              </w:rPr>
              <w:t>always operate with a sufficient number of staff who provide advisory services and are regularly trained to implement these activities.</w:t>
            </w:r>
          </w:p>
          <w:p w:rsidR="00BD3B5F" w:rsidRPr="005C3B55" w:rsidRDefault="00BD3B5F">
            <w:pPr>
              <w:spacing w:before="240" w:after="240"/>
              <w:jc w:val="left"/>
              <w:rPr>
                <w:noProof/>
                <w:szCs w:val="24"/>
              </w:rPr>
            </w:pPr>
            <w:r w:rsidRPr="005C3B55">
              <w:rPr>
                <w:szCs w:val="24"/>
              </w:rPr>
              <w:t>The qualifications and sufficient number of staff will be defined on a case-by-case basis with regard to the subject of the public procurement.</w:t>
            </w:r>
          </w:p>
          <w:p w:rsidR="00BD3B5F" w:rsidRPr="005C3B55" w:rsidRDefault="00BD3B5F">
            <w:pPr>
              <w:pStyle w:val="Telobesedila"/>
              <w:rPr>
                <w:szCs w:val="24"/>
              </w:rPr>
            </w:pPr>
          </w:p>
        </w:tc>
      </w:tr>
    </w:tbl>
    <w:p w:rsidR="00BD3B5F" w:rsidRPr="005C3B55" w:rsidRDefault="00BD3B5F">
      <w:pPr>
        <w:pStyle w:val="Naslov6"/>
        <w:tabs>
          <w:tab w:val="clear" w:pos="765"/>
        </w:tabs>
        <w:ind w:left="0" w:firstLine="0"/>
        <w:rPr>
          <w:szCs w:val="24"/>
          <w:lang w:val="en-GB"/>
        </w:rPr>
      </w:pPr>
      <w:r w:rsidRPr="005C3B55">
        <w:rPr>
          <w:noProof w:val="0"/>
          <w:szCs w:val="24"/>
          <w:lang w:val="en-GB"/>
        </w:rPr>
        <w:t>Principles regarding the determination of selection criteria</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For the purpose of implementing advisory services for advisory content determined in advance, the beneficiaries of this measure are selected on the basis of a selection procedure implemented in accordance with the legislation on public procurement, which is open to public and private entities.</w:t>
            </w:r>
            <w:r w:rsidRPr="005C3B55">
              <w:rPr>
                <w:noProof/>
                <w:szCs w:val="24"/>
              </w:rPr>
              <w:t xml:space="preserve"> </w:t>
            </w:r>
            <w:r w:rsidRPr="005C3B55">
              <w:rPr>
                <w:szCs w:val="24"/>
              </w:rPr>
              <w:t>The selection procedure must be transparent and objective, and must ensure the elimination of providers if a conflict of interest arises.</w:t>
            </w:r>
          </w:p>
          <w:p w:rsidR="00BD3B5F" w:rsidRPr="005C3B55" w:rsidRDefault="00BD3B5F">
            <w:pPr>
              <w:pStyle w:val="Telobesedila"/>
              <w:rPr>
                <w:szCs w:val="24"/>
              </w:rPr>
            </w:pPr>
          </w:p>
        </w:tc>
      </w:tr>
    </w:tbl>
    <w:p w:rsidR="00BD3B5F" w:rsidRPr="005C3B55" w:rsidRDefault="00BD3B5F">
      <w:pPr>
        <w:pStyle w:val="Naslov6"/>
        <w:tabs>
          <w:tab w:val="clear" w:pos="765"/>
        </w:tabs>
        <w:ind w:left="0" w:firstLine="0"/>
        <w:rPr>
          <w:szCs w:val="24"/>
          <w:lang w:val="en-GB"/>
        </w:rPr>
      </w:pPr>
      <w:r w:rsidRPr="005C3B55">
        <w:rPr>
          <w:noProof w:val="0"/>
          <w:szCs w:val="24"/>
          <w:lang w:val="en-GB"/>
        </w:rPr>
        <w:t>(Valid) amounts and support rates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The highest amount of public support is EUR 1,500 per individual advisory service.</w:t>
            </w:r>
          </w:p>
          <w:p w:rsidR="00BD3B5F" w:rsidRPr="005C3B55" w:rsidRDefault="00BD3B5F">
            <w:pPr>
              <w:spacing w:before="240" w:after="240"/>
              <w:jc w:val="left"/>
              <w:rPr>
                <w:noProof/>
                <w:szCs w:val="24"/>
              </w:rPr>
            </w:pPr>
            <w:r w:rsidRPr="005C3B55">
              <w:rPr>
                <w:szCs w:val="24"/>
              </w:rPr>
              <w:t>The support per individual advisory service may be reduced accordingly with regard to the complexity of the service and on the basis of the implemented public procurement procedure, which also considers the price aspect of the service when selecting the provider.</w:t>
            </w:r>
          </w:p>
          <w:p w:rsidR="00BD3B5F" w:rsidRPr="005C3B55" w:rsidRDefault="00BD3B5F">
            <w:pPr>
              <w:spacing w:before="240" w:after="240"/>
              <w:jc w:val="left"/>
              <w:rPr>
                <w:noProof/>
                <w:szCs w:val="24"/>
              </w:rPr>
            </w:pPr>
            <w:r w:rsidRPr="005C3B55">
              <w:rPr>
                <w:szCs w:val="24"/>
              </w:rPr>
              <w:t>The public support rate is 100%.</w:t>
            </w:r>
          </w:p>
          <w:p w:rsidR="00BD3B5F" w:rsidRPr="005C3B55" w:rsidRDefault="00BD3B5F">
            <w:pPr>
              <w:pStyle w:val="Telobesedila"/>
              <w:rPr>
                <w:szCs w:val="24"/>
              </w:rPr>
            </w:pPr>
          </w:p>
        </w:tc>
      </w:tr>
    </w:tbl>
    <w:p w:rsidR="00BD3B5F" w:rsidRPr="005C3B55" w:rsidRDefault="00BD3B5F">
      <w:pPr>
        <w:pStyle w:val="Naslov6"/>
        <w:tabs>
          <w:tab w:val="clear" w:pos="765"/>
        </w:tabs>
        <w:ind w:left="0" w:firstLine="0"/>
        <w:rPr>
          <w:szCs w:val="24"/>
          <w:lang w:val="en-GB"/>
        </w:rPr>
      </w:pPr>
      <w:r w:rsidRPr="005C3B55">
        <w:rPr>
          <w:noProof w:val="0"/>
          <w:szCs w:val="24"/>
          <w:lang w:val="en-GB"/>
        </w:rPr>
        <w:t>Verifiability and possibility of control of measures and/or type of operations</w:t>
      </w:r>
    </w:p>
    <w:p w:rsidR="00BD3B5F" w:rsidRPr="005C3B55" w:rsidRDefault="00BD3B5F">
      <w:pPr>
        <w:pStyle w:val="Naslov7"/>
        <w:tabs>
          <w:tab w:val="clear" w:pos="765"/>
        </w:tabs>
        <w:ind w:left="0" w:firstLine="0"/>
        <w:rPr>
          <w:szCs w:val="24"/>
          <w:lang w:val="en-GB"/>
        </w:rPr>
      </w:pPr>
      <w:r w:rsidRPr="005C3B55">
        <w:rPr>
          <w:noProof w:val="0"/>
          <w:szCs w:val="24"/>
          <w:lang w:val="en-GB"/>
        </w:rPr>
        <w:t>Risks in the implementation of the measure</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b/>
                <w:noProof/>
                <w:szCs w:val="24"/>
              </w:rPr>
              <w:t xml:space="preserve">R4: </w:t>
            </w:r>
            <w:r w:rsidRPr="005C3B55">
              <w:rPr>
                <w:b/>
                <w:szCs w:val="24"/>
              </w:rPr>
              <w:t>Public procurement</w:t>
            </w:r>
          </w:p>
          <w:p w:rsidR="00BD3B5F" w:rsidRPr="005C3B55" w:rsidRDefault="00BD3B5F">
            <w:pPr>
              <w:spacing w:before="240" w:after="240"/>
              <w:jc w:val="left"/>
              <w:rPr>
                <w:noProof/>
                <w:szCs w:val="24"/>
              </w:rPr>
            </w:pPr>
            <w:r w:rsidRPr="005C3B55">
              <w:rPr>
                <w:szCs w:val="24"/>
              </w:rPr>
              <w:t>The risks in the implementation of the measure are, in particular, the long period needed to implement the public procurement procedure, complaints and review procedures, and possible agreements between providers.</w:t>
            </w:r>
          </w:p>
          <w:p w:rsidR="00BD3B5F" w:rsidRPr="005C3B55" w:rsidRDefault="00BD3B5F">
            <w:pPr>
              <w:spacing w:before="240" w:after="240"/>
              <w:jc w:val="left"/>
              <w:rPr>
                <w:noProof/>
                <w:szCs w:val="24"/>
              </w:rPr>
            </w:pPr>
            <w:r w:rsidRPr="005C3B55">
              <w:rPr>
                <w:b/>
                <w:noProof/>
                <w:szCs w:val="24"/>
              </w:rPr>
              <w:t xml:space="preserve">R7: </w:t>
            </w:r>
            <w:r w:rsidRPr="005C3B55">
              <w:rPr>
                <w:b/>
                <w:szCs w:val="24"/>
              </w:rPr>
              <w:t>Selection of beneficiaries</w:t>
            </w:r>
          </w:p>
          <w:p w:rsidR="00BD3B5F" w:rsidRPr="005C3B55" w:rsidRDefault="00BD3B5F">
            <w:pPr>
              <w:spacing w:before="240" w:after="240"/>
              <w:jc w:val="left"/>
              <w:rPr>
                <w:noProof/>
                <w:szCs w:val="24"/>
              </w:rPr>
            </w:pPr>
            <w:r w:rsidRPr="005C3B55">
              <w:rPr>
                <w:szCs w:val="24"/>
              </w:rPr>
              <w:t>Risks are related also to the selection of conditions and suitable criteria for the selection of providers.</w:t>
            </w:r>
          </w:p>
          <w:p w:rsidR="00BD3B5F" w:rsidRPr="005C3B55" w:rsidRDefault="00BD3B5F">
            <w:pPr>
              <w:spacing w:before="240" w:after="240"/>
              <w:jc w:val="left"/>
              <w:rPr>
                <w:noProof/>
                <w:szCs w:val="24"/>
              </w:rPr>
            </w:pPr>
            <w:r w:rsidRPr="005C3B55">
              <w:rPr>
                <w:b/>
                <w:noProof/>
                <w:szCs w:val="24"/>
              </w:rPr>
              <w:t xml:space="preserve">R8: </w:t>
            </w:r>
            <w:r w:rsidRPr="005C3B55">
              <w:rPr>
                <w:b/>
                <w:szCs w:val="24"/>
              </w:rPr>
              <w:t>IT systems</w:t>
            </w:r>
          </w:p>
          <w:p w:rsidR="00BD3B5F" w:rsidRPr="005C3B55" w:rsidRDefault="00BD3B5F">
            <w:pPr>
              <w:spacing w:before="240" w:after="240"/>
              <w:jc w:val="left"/>
              <w:rPr>
                <w:noProof/>
                <w:szCs w:val="24"/>
              </w:rPr>
            </w:pPr>
            <w:r w:rsidRPr="005C3B55">
              <w:rPr>
                <w:szCs w:val="24"/>
              </w:rPr>
              <w:t>There is a risk of untimely computerisation of the public procurement procedure.</w:t>
            </w:r>
            <w:r w:rsidRPr="005C3B55">
              <w:rPr>
                <w:noProof/>
                <w:szCs w:val="24"/>
              </w:rPr>
              <w:t xml:space="preserve"> </w:t>
            </w:r>
            <w:r w:rsidRPr="005C3B55">
              <w:rPr>
                <w:szCs w:val="24"/>
              </w:rPr>
              <w:t>Additional risks may be requirements to upgrade the application support, which may lead to additional costs and delays in implementing the public procurement procedure.</w:t>
            </w:r>
          </w:p>
          <w:p w:rsidR="00BD3B5F" w:rsidRPr="005C3B55" w:rsidRDefault="00BD3B5F">
            <w:pPr>
              <w:spacing w:before="240" w:after="240"/>
              <w:jc w:val="left"/>
              <w:rPr>
                <w:noProof/>
                <w:szCs w:val="24"/>
              </w:rPr>
            </w:pPr>
            <w:r w:rsidRPr="005C3B55">
              <w:rPr>
                <w:b/>
                <w:noProof/>
                <w:szCs w:val="24"/>
              </w:rPr>
              <w:t xml:space="preserve">R9: </w:t>
            </w:r>
            <w:r w:rsidRPr="005C3B55">
              <w:rPr>
                <w:b/>
                <w:szCs w:val="24"/>
              </w:rPr>
              <w:t>Requests for payment</w:t>
            </w:r>
          </w:p>
          <w:p w:rsidR="00BD3B5F" w:rsidRPr="005C3B55" w:rsidRDefault="00BD3B5F">
            <w:pPr>
              <w:spacing w:before="240" w:after="240"/>
              <w:jc w:val="left"/>
              <w:rPr>
                <w:noProof/>
                <w:szCs w:val="24"/>
              </w:rPr>
            </w:pPr>
            <w:r w:rsidRPr="005C3B55">
              <w:rPr>
                <w:szCs w:val="24"/>
              </w:rPr>
              <w:t>Risks relating to payment requests are particularly linked to the administrative control of the subject of public procurement.</w:t>
            </w:r>
            <w:r w:rsidRPr="005C3B55">
              <w:rPr>
                <w:noProof/>
                <w:szCs w:val="24"/>
              </w:rPr>
              <w:t xml:space="preserve"> </w:t>
            </w:r>
            <w:r w:rsidRPr="005C3B55">
              <w:rPr>
                <w:szCs w:val="24"/>
              </w:rPr>
              <w:t>Certain additional risks may arise in connection with the non-fulfilment of contractual obligations by any of the contracting parties.</w:t>
            </w:r>
          </w:p>
          <w:p w:rsidR="00BD3B5F" w:rsidRPr="005C3B55" w:rsidRDefault="00BD3B5F">
            <w:pPr>
              <w:pStyle w:val="Telobesedila"/>
              <w:rPr>
                <w:szCs w:val="24"/>
              </w:rPr>
            </w:pPr>
          </w:p>
        </w:tc>
      </w:tr>
    </w:tbl>
    <w:p w:rsidR="00BD3B5F" w:rsidRPr="005C3B55" w:rsidRDefault="00BD3B5F">
      <w:pPr>
        <w:pStyle w:val="Naslov7"/>
        <w:tabs>
          <w:tab w:val="clear" w:pos="765"/>
        </w:tabs>
        <w:ind w:left="0" w:firstLine="0"/>
        <w:rPr>
          <w:szCs w:val="24"/>
          <w:lang w:val="en-GB"/>
        </w:rPr>
      </w:pPr>
      <w:r w:rsidRPr="005C3B55">
        <w:rPr>
          <w:noProof w:val="0"/>
          <w:szCs w:val="24"/>
          <w:lang w:val="en-GB"/>
        </w:rPr>
        <w:t>Mitigation measures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b/>
                <w:noProof/>
                <w:szCs w:val="24"/>
              </w:rPr>
              <w:t xml:space="preserve">R4: </w:t>
            </w:r>
            <w:r w:rsidRPr="005C3B55">
              <w:rPr>
                <w:b/>
                <w:szCs w:val="24"/>
              </w:rPr>
              <w:t>Public procurement</w:t>
            </w:r>
          </w:p>
          <w:p w:rsidR="00BD3B5F" w:rsidRPr="005C3B55" w:rsidRDefault="00BD3B5F">
            <w:pPr>
              <w:spacing w:before="240" w:after="240"/>
              <w:jc w:val="left"/>
              <w:rPr>
                <w:noProof/>
                <w:szCs w:val="24"/>
              </w:rPr>
            </w:pPr>
            <w:r w:rsidRPr="005C3B55">
              <w:rPr>
                <w:szCs w:val="24"/>
              </w:rPr>
              <w:t>Risks may be mitigated by commencing procedures on time, with a market analysis prior to the public procurement, a detailed definition of the public procurement content and the transparency of the procedure.</w:t>
            </w:r>
          </w:p>
          <w:p w:rsidR="00BD3B5F" w:rsidRPr="005C3B55" w:rsidRDefault="00BD3B5F">
            <w:pPr>
              <w:spacing w:before="240" w:after="240"/>
              <w:jc w:val="left"/>
              <w:rPr>
                <w:noProof/>
                <w:szCs w:val="24"/>
              </w:rPr>
            </w:pPr>
            <w:r w:rsidRPr="005C3B55">
              <w:rPr>
                <w:b/>
                <w:noProof/>
                <w:szCs w:val="24"/>
              </w:rPr>
              <w:t xml:space="preserve">R7: </w:t>
            </w:r>
            <w:r w:rsidRPr="005C3B55">
              <w:rPr>
                <w:b/>
                <w:szCs w:val="24"/>
              </w:rPr>
              <w:t>Selection of beneficiaries</w:t>
            </w:r>
          </w:p>
          <w:p w:rsidR="00BD3B5F" w:rsidRPr="005C3B55" w:rsidRDefault="00BD3B5F">
            <w:pPr>
              <w:spacing w:before="240" w:after="240"/>
              <w:jc w:val="left"/>
              <w:rPr>
                <w:noProof/>
                <w:szCs w:val="24"/>
              </w:rPr>
            </w:pPr>
            <w:r w:rsidRPr="005C3B55">
              <w:rPr>
                <w:szCs w:val="24"/>
              </w:rPr>
              <w:t>Mitigation measures are suitably determined conditions, and appropriately selected and defined criteria for the selection of providers.</w:t>
            </w:r>
          </w:p>
          <w:p w:rsidR="00BD3B5F" w:rsidRPr="005C3B55" w:rsidRDefault="00BD3B5F">
            <w:pPr>
              <w:spacing w:before="240" w:after="240"/>
              <w:jc w:val="left"/>
              <w:rPr>
                <w:noProof/>
                <w:szCs w:val="24"/>
              </w:rPr>
            </w:pPr>
            <w:r w:rsidRPr="005C3B55">
              <w:rPr>
                <w:b/>
                <w:noProof/>
                <w:szCs w:val="24"/>
              </w:rPr>
              <w:t xml:space="preserve">R8: </w:t>
            </w:r>
            <w:r w:rsidRPr="005C3B55">
              <w:rPr>
                <w:b/>
                <w:szCs w:val="24"/>
              </w:rPr>
              <w:t>IT systems</w:t>
            </w:r>
          </w:p>
          <w:p w:rsidR="00BD3B5F" w:rsidRPr="005C3B55" w:rsidRDefault="00BD3B5F">
            <w:pPr>
              <w:spacing w:before="240" w:after="240"/>
              <w:jc w:val="left"/>
              <w:rPr>
                <w:noProof/>
                <w:szCs w:val="24"/>
              </w:rPr>
            </w:pPr>
            <w:r w:rsidRPr="005C3B55">
              <w:rPr>
                <w:szCs w:val="24"/>
              </w:rPr>
              <w:t>Risks relating to the computerisation of procedure may be mitigated by preparing a suitable timetable and detailed specifications of needs when constructing the information system.</w:t>
            </w:r>
          </w:p>
          <w:p w:rsidR="00BD3B5F" w:rsidRPr="005C3B55" w:rsidRDefault="00BD3B5F">
            <w:pPr>
              <w:spacing w:before="240" w:after="240"/>
              <w:jc w:val="left"/>
              <w:rPr>
                <w:noProof/>
                <w:szCs w:val="24"/>
              </w:rPr>
            </w:pPr>
            <w:r w:rsidRPr="005C3B55">
              <w:rPr>
                <w:b/>
                <w:noProof/>
                <w:szCs w:val="24"/>
              </w:rPr>
              <w:t xml:space="preserve">R9: </w:t>
            </w:r>
            <w:r w:rsidRPr="005C3B55">
              <w:rPr>
                <w:b/>
                <w:szCs w:val="24"/>
              </w:rPr>
              <w:t>Requests for payment</w:t>
            </w:r>
          </w:p>
          <w:p w:rsidR="00BD3B5F" w:rsidRPr="005C3B55" w:rsidRDefault="00BD3B5F">
            <w:pPr>
              <w:spacing w:before="240" w:after="240"/>
              <w:jc w:val="left"/>
              <w:rPr>
                <w:noProof/>
                <w:szCs w:val="24"/>
              </w:rPr>
            </w:pPr>
            <w:r w:rsidRPr="005C3B55">
              <w:rPr>
                <w:szCs w:val="24"/>
              </w:rPr>
              <w:t>Risks relating to the payment of requests may be mitigated by the detailed preparation of the project task of the public procurement, which clearly defines the subject of the public procurement.</w:t>
            </w:r>
            <w:r w:rsidRPr="005C3B55">
              <w:rPr>
                <w:noProof/>
                <w:szCs w:val="24"/>
              </w:rPr>
              <w:t xml:space="preserve"> </w:t>
            </w:r>
            <w:r w:rsidRPr="005C3B55">
              <w:rPr>
                <w:szCs w:val="24"/>
              </w:rPr>
              <w:t>They can also be mitigated by the preparation of suitable checklists enabling appropriate administrative control.</w:t>
            </w:r>
            <w:r w:rsidRPr="005C3B55">
              <w:rPr>
                <w:noProof/>
                <w:szCs w:val="24"/>
              </w:rPr>
              <w:t xml:space="preserve"> </w:t>
            </w:r>
            <w:r w:rsidRPr="005C3B55">
              <w:rPr>
                <w:szCs w:val="24"/>
              </w:rPr>
              <w:t>Risks relating to the non-fulfilment of contractual obligations may be mitigated by a detailed definition of contractual obligations, a definition of an efficient dispute resolution process and a sanctions system.</w:t>
            </w:r>
          </w:p>
          <w:p w:rsidR="00BD3B5F" w:rsidRPr="005C3B55" w:rsidRDefault="00BD3B5F">
            <w:pPr>
              <w:pStyle w:val="Telobesedila"/>
              <w:rPr>
                <w:szCs w:val="24"/>
              </w:rPr>
            </w:pPr>
          </w:p>
        </w:tc>
      </w:tr>
    </w:tbl>
    <w:p w:rsidR="00BD3B5F" w:rsidRPr="005C3B55" w:rsidRDefault="00BD3B5F">
      <w:pPr>
        <w:pStyle w:val="Naslov7"/>
        <w:tabs>
          <w:tab w:val="clear" w:pos="765"/>
        </w:tabs>
        <w:ind w:left="0" w:firstLine="0"/>
        <w:rPr>
          <w:szCs w:val="24"/>
          <w:lang w:val="en-GB"/>
        </w:rPr>
      </w:pPr>
      <w:r w:rsidRPr="005C3B55">
        <w:rPr>
          <w:noProof w:val="0"/>
          <w:szCs w:val="24"/>
          <w:lang w:val="en-GB"/>
        </w:rPr>
        <w:t>General assessment of the measure</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The possible risks that were recognised may be minimised by observing mitigation measures.</w:t>
            </w:r>
            <w:r w:rsidRPr="005C3B55">
              <w:rPr>
                <w:noProof/>
                <w:szCs w:val="24"/>
              </w:rPr>
              <w:t xml:space="preserve"> </w:t>
            </w:r>
            <w:r w:rsidRPr="005C3B55">
              <w:rPr>
                <w:szCs w:val="24"/>
              </w:rPr>
              <w:t>The implementation of the sub-measure may be verified, and control of the sub-measure may be carried out.</w:t>
            </w:r>
          </w:p>
          <w:p w:rsidR="00BD3B5F" w:rsidRPr="005C3B55" w:rsidRDefault="00BD3B5F">
            <w:pPr>
              <w:pStyle w:val="Telobesedila"/>
              <w:rPr>
                <w:szCs w:val="24"/>
              </w:rPr>
            </w:pPr>
          </w:p>
        </w:tc>
      </w:tr>
    </w:tbl>
    <w:p w:rsidR="00BD3B5F" w:rsidRPr="005C3B55" w:rsidRDefault="00BD3B5F">
      <w:pPr>
        <w:pStyle w:val="Naslov6"/>
        <w:tabs>
          <w:tab w:val="clear" w:pos="765"/>
        </w:tabs>
        <w:ind w:left="0" w:firstLine="0"/>
        <w:rPr>
          <w:szCs w:val="24"/>
          <w:lang w:val="en-GB"/>
        </w:rPr>
      </w:pPr>
      <w:r w:rsidRPr="005C3B55">
        <w:rPr>
          <w:noProof w:val="0"/>
          <w:szCs w:val="24"/>
          <w:lang w:val="en-GB"/>
        </w:rPr>
        <w:t>Methodology for calculating support amount, where relevant</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Not relevant.</w:t>
            </w:r>
          </w:p>
          <w:p w:rsidR="00BD3B5F" w:rsidRPr="005C3B55" w:rsidRDefault="00BD3B5F">
            <w:pPr>
              <w:pStyle w:val="Telobesedila"/>
              <w:rPr>
                <w:szCs w:val="24"/>
              </w:rPr>
            </w:pPr>
          </w:p>
        </w:tc>
      </w:tr>
    </w:tbl>
    <w:p w:rsidR="00BD3B5F" w:rsidRPr="005C3B55" w:rsidRDefault="00BD3B5F">
      <w:pPr>
        <w:pStyle w:val="Naslov6"/>
        <w:tabs>
          <w:tab w:val="clear" w:pos="765"/>
        </w:tabs>
        <w:ind w:left="0" w:firstLine="0"/>
        <w:rPr>
          <w:szCs w:val="24"/>
          <w:lang w:val="en-GB"/>
        </w:rPr>
      </w:pPr>
      <w:r w:rsidRPr="005C3B55">
        <w:rPr>
          <w:noProof w:val="0"/>
          <w:szCs w:val="24"/>
          <w:lang w:val="en-GB"/>
        </w:rPr>
        <w:t>Information that relates specifically to the operation</w:t>
      </w:r>
    </w:p>
    <w:p w:rsidR="00BD3B5F" w:rsidRPr="005C3B55" w:rsidRDefault="00BD3B5F">
      <w:pPr>
        <w:rPr>
          <w:szCs w:val="24"/>
        </w:rPr>
      </w:pPr>
      <w:r w:rsidRPr="005C3B55">
        <w:rPr>
          <w:szCs w:val="24"/>
        </w:rPr>
        <w:t>General principles for ensuring adequate resources in the form of staff who are undergoing regular training and are qualified, experience in advisory services and reliability in the fields for which advisory services are being provided. Defining the elements to be covered by the advisory service</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To ensure suitable resources, an individual public procurement states in detail the conditions regarding education (the level and field of education is determined in the public procurement with regard to the content of advisory services), work experience (at least three years of work experience in the field of advisory services) and qualifications of staff implementing advisory services (at least one or two training courses in the field of advisory services in the last three years).</w:t>
            </w:r>
          </w:p>
          <w:p w:rsidR="00BD3B5F" w:rsidRPr="005C3B55" w:rsidRDefault="00BD3B5F">
            <w:pPr>
              <w:pStyle w:val="Telobesedila"/>
              <w:rPr>
                <w:szCs w:val="24"/>
              </w:rPr>
            </w:pPr>
          </w:p>
        </w:tc>
      </w:tr>
    </w:tbl>
    <w:p w:rsidR="00BD3B5F" w:rsidRPr="005C3B55" w:rsidRDefault="00BD3B5F">
      <w:pPr>
        <w:pStyle w:val="Naslov4"/>
        <w:tabs>
          <w:tab w:val="clear" w:pos="765"/>
        </w:tabs>
        <w:ind w:left="0" w:firstLine="0"/>
        <w:jc w:val="left"/>
        <w:rPr>
          <w:szCs w:val="24"/>
          <w:lang w:val="en-GB"/>
        </w:rPr>
      </w:pPr>
      <w:r w:rsidRPr="005C3B55">
        <w:rPr>
          <w:szCs w:val="24"/>
          <w:lang w:val="en-GB"/>
        </w:rPr>
        <w:t>Verifiability and possibility of control of measures and/or type of operations</w:t>
      </w:r>
    </w:p>
    <w:p w:rsidR="00BD3B5F" w:rsidRPr="005C3B55" w:rsidRDefault="00BD3B5F">
      <w:pPr>
        <w:pStyle w:val="Naslov5"/>
        <w:tabs>
          <w:tab w:val="clear" w:pos="765"/>
        </w:tabs>
        <w:ind w:left="0" w:firstLine="0"/>
        <w:rPr>
          <w:b w:val="0"/>
          <w:szCs w:val="24"/>
          <w:lang w:val="en-GB"/>
        </w:rPr>
      </w:pPr>
      <w:r w:rsidRPr="005C3B55">
        <w:rPr>
          <w:b w:val="0"/>
          <w:noProof w:val="0"/>
          <w:szCs w:val="24"/>
          <w:lang w:val="en-GB"/>
        </w:rPr>
        <w:t>Risks in the implementation of the measure</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Risks are determined within the sub-measure.</w:t>
            </w:r>
          </w:p>
          <w:p w:rsidR="00BD3B5F" w:rsidRPr="005C3B55" w:rsidRDefault="00BD3B5F">
            <w:pPr>
              <w:pStyle w:val="Telobesedila"/>
              <w:rPr>
                <w:szCs w:val="24"/>
              </w:rPr>
            </w:pPr>
          </w:p>
        </w:tc>
      </w:tr>
    </w:tbl>
    <w:p w:rsidR="00BD3B5F" w:rsidRPr="005C3B55" w:rsidRDefault="00BD3B5F">
      <w:pPr>
        <w:pStyle w:val="Naslov5"/>
        <w:tabs>
          <w:tab w:val="clear" w:pos="765"/>
        </w:tabs>
        <w:ind w:left="0" w:firstLine="0"/>
        <w:rPr>
          <w:b w:val="0"/>
          <w:szCs w:val="24"/>
          <w:lang w:val="en-GB"/>
        </w:rPr>
      </w:pPr>
      <w:r w:rsidRPr="005C3B55">
        <w:rPr>
          <w:b w:val="0"/>
          <w:noProof w:val="0"/>
          <w:szCs w:val="24"/>
          <w:lang w:val="en-GB"/>
        </w:rPr>
        <w:t>Mitigation measures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Mitigation measures are determined within the sub-measure.</w:t>
            </w:r>
          </w:p>
          <w:p w:rsidR="00BD3B5F" w:rsidRPr="005C3B55" w:rsidRDefault="00BD3B5F">
            <w:pPr>
              <w:pStyle w:val="Telobesedila"/>
              <w:rPr>
                <w:szCs w:val="24"/>
              </w:rPr>
            </w:pPr>
          </w:p>
        </w:tc>
      </w:tr>
    </w:tbl>
    <w:p w:rsidR="00BD3B5F" w:rsidRPr="005C3B55" w:rsidRDefault="00BD3B5F">
      <w:pPr>
        <w:pStyle w:val="Naslov5"/>
        <w:tabs>
          <w:tab w:val="clear" w:pos="765"/>
        </w:tabs>
        <w:ind w:left="0" w:firstLine="0"/>
        <w:rPr>
          <w:b w:val="0"/>
          <w:szCs w:val="24"/>
          <w:lang w:val="en-GB"/>
        </w:rPr>
      </w:pPr>
      <w:r w:rsidRPr="005C3B55">
        <w:rPr>
          <w:b w:val="0"/>
          <w:noProof w:val="0"/>
          <w:szCs w:val="24"/>
          <w:lang w:val="en-GB"/>
        </w:rPr>
        <w:t>General assessment of the measure</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Described within the sub-measure.</w:t>
            </w:r>
          </w:p>
          <w:p w:rsidR="00BD3B5F" w:rsidRPr="005C3B55" w:rsidRDefault="00BD3B5F">
            <w:pPr>
              <w:pStyle w:val="Telobesedila"/>
              <w:rPr>
                <w:szCs w:val="24"/>
              </w:rPr>
            </w:pPr>
          </w:p>
        </w:tc>
      </w:tr>
    </w:tbl>
    <w:p w:rsidR="00BD3B5F" w:rsidRPr="005C3B55" w:rsidRDefault="00BD3B5F">
      <w:pPr>
        <w:pStyle w:val="Naslov4"/>
        <w:tabs>
          <w:tab w:val="clear" w:pos="765"/>
        </w:tabs>
        <w:ind w:left="0" w:firstLine="0"/>
        <w:jc w:val="left"/>
        <w:rPr>
          <w:szCs w:val="24"/>
          <w:lang w:val="en-GB"/>
        </w:rPr>
      </w:pPr>
      <w:r w:rsidRPr="005C3B55">
        <w:rPr>
          <w:szCs w:val="24"/>
          <w:lang w:val="en-GB"/>
        </w:rPr>
        <w:t>Methodology for calculating support amount, where relevant</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Not relevant.</w:t>
            </w:r>
          </w:p>
          <w:p w:rsidR="00BD3B5F" w:rsidRPr="005C3B55" w:rsidRDefault="00BD3B5F">
            <w:pPr>
              <w:pStyle w:val="Telobesedila"/>
              <w:rPr>
                <w:szCs w:val="24"/>
              </w:rPr>
            </w:pPr>
          </w:p>
        </w:tc>
      </w:tr>
    </w:tbl>
    <w:p w:rsidR="00BD3B5F" w:rsidRPr="005C3B55" w:rsidRDefault="00BD3B5F">
      <w:pPr>
        <w:pStyle w:val="Naslov4"/>
        <w:tabs>
          <w:tab w:val="clear" w:pos="765"/>
        </w:tabs>
        <w:ind w:left="0" w:firstLine="0"/>
        <w:jc w:val="left"/>
        <w:rPr>
          <w:szCs w:val="24"/>
          <w:lang w:val="en-GB"/>
        </w:rPr>
      </w:pPr>
      <w:r w:rsidRPr="005C3B55">
        <w:rPr>
          <w:szCs w:val="24"/>
          <w:lang w:val="en-GB"/>
        </w:rPr>
        <w:t>Additional information specific to the measure</w:t>
      </w:r>
    </w:p>
    <w:p w:rsidR="00BD3B5F" w:rsidRPr="005C3B55" w:rsidRDefault="00BD3B5F">
      <w:pPr>
        <w:rPr>
          <w:szCs w:val="24"/>
        </w:rPr>
      </w:pPr>
      <w:r w:rsidRPr="005C3B55">
        <w:rPr>
          <w:szCs w:val="24"/>
        </w:rPr>
        <w:t>General principles for ensuring adequate resources in the form of staff who are undergoing regular training and are qualified, experience in advisory services and reliability in the fields for which advisory services are being provided. Defining the elements to be covered by the advisory service</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The description is provided at the level of the sub-measure.</w:t>
            </w:r>
          </w:p>
          <w:p w:rsidR="00BD3B5F" w:rsidRPr="005C3B55" w:rsidRDefault="00BD3B5F">
            <w:pPr>
              <w:pStyle w:val="Telobesedila"/>
              <w:rPr>
                <w:szCs w:val="24"/>
              </w:rPr>
            </w:pPr>
          </w:p>
        </w:tc>
      </w:tr>
    </w:tbl>
    <w:p w:rsidR="00BD3B5F" w:rsidRPr="005C3B55" w:rsidRDefault="00BD3B5F">
      <w:pPr>
        <w:pStyle w:val="Naslov4"/>
        <w:tabs>
          <w:tab w:val="clear" w:pos="765"/>
        </w:tabs>
        <w:spacing w:after="100"/>
        <w:ind w:left="0" w:firstLine="0"/>
        <w:jc w:val="left"/>
        <w:rPr>
          <w:szCs w:val="24"/>
          <w:lang w:val="en-GB"/>
        </w:rPr>
      </w:pPr>
      <w:r w:rsidRPr="005C3B55">
        <w:rPr>
          <w:szCs w:val="24"/>
          <w:lang w:val="en-GB"/>
        </w:rPr>
        <w:t>Other important remarks relevant to understanding and implementing the measure</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Not relevant.</w:t>
            </w:r>
          </w:p>
          <w:p w:rsidR="00BD3B5F" w:rsidRPr="005C3B55" w:rsidRDefault="00BD3B5F">
            <w:pPr>
              <w:pStyle w:val="Telobesedila"/>
              <w:rPr>
                <w:szCs w:val="24"/>
              </w:rPr>
            </w:pPr>
          </w:p>
        </w:tc>
      </w:tr>
    </w:tbl>
    <w:p w:rsidR="00BD3B5F" w:rsidRPr="005C3B55" w:rsidRDefault="00BD3B5F">
      <w:pPr>
        <w:pStyle w:val="Naslov3"/>
        <w:tabs>
          <w:tab w:val="clear" w:pos="765"/>
        </w:tabs>
        <w:ind w:left="0" w:firstLine="0"/>
        <w:jc w:val="left"/>
        <w:rPr>
          <w:szCs w:val="24"/>
          <w:lang w:val="en-GB"/>
        </w:rPr>
      </w:pPr>
      <w:r w:rsidRPr="005C3B55">
        <w:rPr>
          <w:szCs w:val="24"/>
          <w:lang w:val="en-GB"/>
        </w:rPr>
        <w:br w:type="page"/>
      </w:r>
      <w:bookmarkStart w:id="117" w:name="_Toc416192575"/>
      <w:r w:rsidRPr="005C3B55">
        <w:rPr>
          <w:szCs w:val="24"/>
          <w:lang w:val="en-GB"/>
        </w:rPr>
        <w:t>M03 – Quality schemes for agricultural products and foodstuffs (Article 16)</w:t>
      </w:r>
      <w:bookmarkEnd w:id="117"/>
    </w:p>
    <w:p w:rsidR="00BD3B5F" w:rsidRPr="005C3B55" w:rsidRDefault="00BD3B5F">
      <w:pPr>
        <w:pStyle w:val="Naslov4"/>
        <w:tabs>
          <w:tab w:val="clear" w:pos="765"/>
        </w:tabs>
        <w:ind w:left="0" w:firstLine="0"/>
        <w:jc w:val="left"/>
        <w:rPr>
          <w:szCs w:val="24"/>
          <w:lang w:val="en-GB"/>
        </w:rPr>
      </w:pPr>
      <w:r w:rsidRPr="005C3B55">
        <w:rPr>
          <w:szCs w:val="24"/>
          <w:lang w:val="en-GB"/>
        </w:rPr>
        <w:t>Legal basis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Measure M03 is implemented pursuant to Article 16 of Regulation (EU) No 1305/2013.</w:t>
            </w:r>
          </w:p>
          <w:p w:rsidR="00BD3B5F" w:rsidRPr="005C3B55" w:rsidRDefault="00BD3B5F">
            <w:pPr>
              <w:pStyle w:val="Telobesedila"/>
              <w:rPr>
                <w:szCs w:val="24"/>
              </w:rPr>
            </w:pPr>
          </w:p>
        </w:tc>
      </w:tr>
    </w:tbl>
    <w:p w:rsidR="00BD3B5F" w:rsidRPr="005C3B55" w:rsidRDefault="00BD3B5F">
      <w:pPr>
        <w:pStyle w:val="Naslov4"/>
        <w:tabs>
          <w:tab w:val="clear" w:pos="765"/>
        </w:tabs>
        <w:ind w:left="0" w:firstLine="0"/>
        <w:jc w:val="left"/>
        <w:rPr>
          <w:szCs w:val="24"/>
          <w:lang w:val="en-GB"/>
        </w:rPr>
      </w:pPr>
      <w:r w:rsidRPr="005C3B55">
        <w:rPr>
          <w:szCs w:val="24"/>
          <w:lang w:val="en-GB"/>
        </w:rPr>
        <w:t>A general description of the measure, including its intervention logic and contribution to priority areas and horizontal goals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The analysis of needs shows that the recognition of agricultural products and foodstuffs from quality schemes is poor and that the interest of producers to be included in quality schemes is low.</w:t>
            </w:r>
          </w:p>
          <w:p w:rsidR="00BD3B5F" w:rsidRPr="005C3B55" w:rsidRDefault="00BD3B5F">
            <w:pPr>
              <w:spacing w:before="240" w:after="240"/>
              <w:jc w:val="left"/>
              <w:rPr>
                <w:noProof/>
                <w:szCs w:val="24"/>
              </w:rPr>
            </w:pPr>
            <w:r w:rsidRPr="005C3B55">
              <w:rPr>
                <w:szCs w:val="24"/>
              </w:rPr>
              <w:t>The purpose of the measure is to facilitate easier transition of agricultural holdings or groups of agricultural holdings from conventional farming to the method of farming required for quality schemes, and to enhance the promotion and information on products from quality schemes.</w:t>
            </w:r>
          </w:p>
          <w:p w:rsidR="00BD3B5F" w:rsidRPr="005C3B55" w:rsidRDefault="00BD3B5F">
            <w:pPr>
              <w:spacing w:before="240" w:after="240"/>
              <w:jc w:val="left"/>
              <w:rPr>
                <w:noProof/>
                <w:szCs w:val="24"/>
              </w:rPr>
            </w:pPr>
            <w:r w:rsidRPr="005C3B55">
              <w:rPr>
                <w:szCs w:val="24"/>
              </w:rPr>
              <w:t>Participation in quality schemes is connected to additional costs and commitments which are not usually fully refunded by the market in the initial phase of introducing a product; this is frequently an obstacle to the faster inclusion of more producers in quality schemes.</w:t>
            </w:r>
            <w:r w:rsidRPr="005C3B55">
              <w:rPr>
                <w:noProof/>
                <w:szCs w:val="24"/>
              </w:rPr>
              <w:t xml:space="preserve"> </w:t>
            </w:r>
            <w:r w:rsidRPr="005C3B55">
              <w:rPr>
                <w:szCs w:val="24"/>
              </w:rPr>
              <w:t>The implementation of the measure is aimed at covering the additional costs that farmers and their groups incur by entering quality schemes and facilitating their adjustment to market requirements.</w:t>
            </w:r>
          </w:p>
          <w:p w:rsidR="00BD3B5F" w:rsidRPr="005C3B55" w:rsidRDefault="00BD3B5F">
            <w:pPr>
              <w:spacing w:before="240" w:after="240"/>
              <w:jc w:val="left"/>
              <w:rPr>
                <w:noProof/>
                <w:szCs w:val="24"/>
              </w:rPr>
            </w:pPr>
            <w:r w:rsidRPr="005C3B55">
              <w:rPr>
                <w:szCs w:val="24"/>
              </w:rPr>
              <w:t>The labelling of agricultural products and foodstuffs included in the quality schemes and protected according to the European and/or national legislation is in force in Slovenia but there is little awareness among consumers.</w:t>
            </w:r>
            <w:r w:rsidRPr="005C3B55">
              <w:rPr>
                <w:noProof/>
                <w:szCs w:val="24"/>
              </w:rPr>
              <w:t xml:space="preserve"> </w:t>
            </w:r>
            <w:r w:rsidRPr="005C3B55">
              <w:rPr>
                <w:szCs w:val="24"/>
              </w:rPr>
              <w:t>Based on surveys, it was established that barely three per cent of consumers recognise the quality mark. This highlighted the requirement to raise consumers’ awareness on the existence of products from quality schemes which are subject to strict supervision by the certification body, and on their special characteristics and advantages.</w:t>
            </w:r>
            <w:r w:rsidRPr="005C3B55">
              <w:rPr>
                <w:noProof/>
                <w:szCs w:val="24"/>
              </w:rPr>
              <w:t xml:space="preserve"> </w:t>
            </w:r>
            <w:r w:rsidRPr="005C3B55">
              <w:rPr>
                <w:szCs w:val="24"/>
              </w:rPr>
              <w:t>On the other hand, the task of producers, the holders of these marks, is to enhance their promotional activities and contribute more to the recognisability of products in quality schemes.</w:t>
            </w:r>
            <w:r w:rsidRPr="005C3B55">
              <w:rPr>
                <w:noProof/>
                <w:szCs w:val="24"/>
              </w:rPr>
              <w:t xml:space="preserve"> </w:t>
            </w:r>
            <w:r w:rsidRPr="005C3B55">
              <w:rPr>
                <w:szCs w:val="24"/>
              </w:rPr>
              <w:t>Producers of agricultural products and foodstuffs from quality schemes associate for each product individually in Slovenia.</w:t>
            </w:r>
            <w:r w:rsidRPr="005C3B55">
              <w:rPr>
                <w:noProof/>
                <w:szCs w:val="24"/>
              </w:rPr>
              <w:t xml:space="preserve"> </w:t>
            </w:r>
            <w:r w:rsidRPr="005C3B55">
              <w:rPr>
                <w:szCs w:val="24"/>
              </w:rPr>
              <w:t>It has been noted in recent years that existing producer groups have been decidedly inactive, which is evident in the insufficient planning and poor concentration of offers and joint marketing of products by members of producer groups.</w:t>
            </w:r>
            <w:r w:rsidRPr="005C3B55">
              <w:rPr>
                <w:noProof/>
                <w:szCs w:val="24"/>
              </w:rPr>
              <w:t xml:space="preserve"> </w:t>
            </w:r>
            <w:r w:rsidRPr="005C3B55">
              <w:rPr>
                <w:szCs w:val="24"/>
              </w:rPr>
              <w:t>Consumers’ improved knowledge of products with special designations and more organised and active marketing by producers facilitates the harmonisation of supply and demand and opens new market possibilities for producers, which results in the growth of added value in agriculture and thus the competitiveness of the agri-food sector.</w:t>
            </w:r>
          </w:p>
          <w:p w:rsidR="00BD3B5F" w:rsidRPr="005C3B55" w:rsidRDefault="00BD3B5F">
            <w:pPr>
              <w:spacing w:before="240" w:after="240"/>
              <w:jc w:val="left"/>
              <w:rPr>
                <w:noProof/>
                <w:szCs w:val="24"/>
              </w:rPr>
            </w:pPr>
            <w:r w:rsidRPr="005C3B55">
              <w:rPr>
                <w:szCs w:val="24"/>
              </w:rPr>
              <w:t>The measure is divided into two sub-measures:</w:t>
            </w:r>
          </w:p>
          <w:p w:rsidR="00BD3B5F" w:rsidRPr="005C3B55" w:rsidRDefault="00BD3B5F" w:rsidP="00BD3B5F">
            <w:pPr>
              <w:numPr>
                <w:ilvl w:val="0"/>
                <w:numId w:val="140"/>
              </w:numPr>
              <w:spacing w:before="240" w:after="0"/>
              <w:ind w:hanging="290"/>
              <w:jc w:val="left"/>
              <w:rPr>
                <w:noProof/>
                <w:szCs w:val="24"/>
              </w:rPr>
            </w:pPr>
            <w:r w:rsidRPr="005C3B55">
              <w:rPr>
                <w:szCs w:val="24"/>
              </w:rPr>
              <w:t>Support for new participation in quality schemes (Sub-measure M03.1), and</w:t>
            </w:r>
          </w:p>
          <w:p w:rsidR="00BD3B5F" w:rsidRPr="005C3B55" w:rsidRDefault="00BD3B5F" w:rsidP="00BD3B5F">
            <w:pPr>
              <w:numPr>
                <w:ilvl w:val="0"/>
                <w:numId w:val="140"/>
              </w:numPr>
              <w:spacing w:before="0" w:after="240"/>
              <w:ind w:hanging="290"/>
              <w:jc w:val="left"/>
              <w:rPr>
                <w:noProof/>
                <w:szCs w:val="24"/>
              </w:rPr>
            </w:pPr>
            <w:r w:rsidRPr="005C3B55">
              <w:rPr>
                <w:szCs w:val="24"/>
              </w:rPr>
              <w:t>Support for marketing activities carried out by producer groups in the internal market (Sub-measure M03.2).</w:t>
            </w:r>
          </w:p>
          <w:p w:rsidR="00BD3B5F" w:rsidRPr="005C3B55" w:rsidRDefault="00BD3B5F">
            <w:pPr>
              <w:spacing w:before="240" w:after="240"/>
              <w:jc w:val="left"/>
              <w:rPr>
                <w:noProof/>
                <w:szCs w:val="24"/>
              </w:rPr>
            </w:pPr>
            <w:r w:rsidRPr="005C3B55">
              <w:rPr>
                <w:szCs w:val="24"/>
              </w:rPr>
              <w:t>Quality schemes and optional references to quality established on the basis of European legislation, and quality schemes established in accordance with national legislation are eligible for support under this measure.</w:t>
            </w:r>
          </w:p>
          <w:p w:rsidR="00BD3B5F" w:rsidRPr="005C3B55" w:rsidRDefault="00BD3B5F">
            <w:pPr>
              <w:spacing w:before="240" w:after="240"/>
              <w:jc w:val="left"/>
              <w:rPr>
                <w:noProof/>
                <w:szCs w:val="24"/>
              </w:rPr>
            </w:pPr>
            <w:r w:rsidRPr="005C3B55">
              <w:rPr>
                <w:szCs w:val="24"/>
              </w:rPr>
              <w:t>Support under the ‘Quality schemes for agricultural products and foodstuffs’ measure focuses on the second action area referred to in the RDP 2014–2020 and determined in Chapter 5.1 of the RDP 2014–2020.</w:t>
            </w:r>
          </w:p>
          <w:p w:rsidR="00BD3B5F" w:rsidRPr="005C3B55" w:rsidRDefault="00BD3B5F">
            <w:pPr>
              <w:spacing w:before="240" w:after="240"/>
              <w:jc w:val="left"/>
              <w:rPr>
                <w:noProof/>
                <w:szCs w:val="24"/>
              </w:rPr>
            </w:pPr>
            <w:r w:rsidRPr="005C3B55">
              <w:rPr>
                <w:b/>
                <w:szCs w:val="24"/>
              </w:rPr>
              <w:t>Contribution to focus areas</w:t>
            </w:r>
          </w:p>
          <w:p w:rsidR="00BD3B5F" w:rsidRPr="005C3B55" w:rsidRDefault="00BD3B5F">
            <w:pPr>
              <w:spacing w:before="240" w:after="240"/>
              <w:jc w:val="left"/>
              <w:rPr>
                <w:noProof/>
                <w:szCs w:val="24"/>
              </w:rPr>
            </w:pPr>
            <w:r w:rsidRPr="005C3B55">
              <w:rPr>
                <w:b/>
                <w:i/>
                <w:szCs w:val="24"/>
              </w:rPr>
              <w:t>Focus area 3A:</w:t>
            </w:r>
            <w:r w:rsidRPr="005C3B55">
              <w:rPr>
                <w:b/>
                <w:i/>
                <w:noProof/>
                <w:szCs w:val="24"/>
              </w:rPr>
              <w:t xml:space="preserve"> </w:t>
            </w:r>
            <w:r w:rsidRPr="005C3B55">
              <w:rPr>
                <w:b/>
                <w:i/>
                <w:szCs w:val="24"/>
              </w:rPr>
              <w:t>Enhancing the inclusion of primary producers in the food chain through quality schemes, promotion in local markets, short supply chains, producer groups and inter-branch organisations and promotion of animal welfare</w:t>
            </w:r>
          </w:p>
          <w:p w:rsidR="00BD3B5F" w:rsidRPr="005C3B55" w:rsidRDefault="00BD3B5F">
            <w:pPr>
              <w:spacing w:before="240" w:after="240"/>
              <w:jc w:val="left"/>
              <w:rPr>
                <w:noProof/>
                <w:szCs w:val="24"/>
              </w:rPr>
            </w:pPr>
            <w:r w:rsidRPr="005C3B55">
              <w:rPr>
                <w:szCs w:val="24"/>
              </w:rPr>
              <w:t>Participation in quality schemes will contribute to converting to above-standard forms of production and breeding, more successful connection and performance in local markets, and greater recognisability and quality of local products.</w:t>
            </w:r>
          </w:p>
          <w:p w:rsidR="00BD3B5F" w:rsidRPr="005C3B55" w:rsidRDefault="00BD3B5F">
            <w:pPr>
              <w:spacing w:before="240" w:after="240"/>
              <w:jc w:val="left"/>
              <w:rPr>
                <w:noProof/>
                <w:szCs w:val="24"/>
              </w:rPr>
            </w:pPr>
            <w:r w:rsidRPr="005C3B55">
              <w:rPr>
                <w:b/>
                <w:szCs w:val="24"/>
              </w:rPr>
              <w:t>Contribution to horizontal objectives</w:t>
            </w:r>
          </w:p>
          <w:p w:rsidR="00BD3B5F" w:rsidRPr="005C3B55" w:rsidRDefault="00BD3B5F">
            <w:pPr>
              <w:spacing w:before="240" w:after="240"/>
              <w:jc w:val="left"/>
              <w:rPr>
                <w:noProof/>
                <w:szCs w:val="24"/>
              </w:rPr>
            </w:pPr>
            <w:r w:rsidRPr="005C3B55">
              <w:rPr>
                <w:b/>
                <w:i/>
                <w:szCs w:val="24"/>
              </w:rPr>
              <w:t>Mitigating, and adapting to, climate change:</w:t>
            </w:r>
            <w:r w:rsidRPr="005C3B55">
              <w:rPr>
                <w:b/>
                <w:noProof/>
                <w:szCs w:val="24"/>
              </w:rPr>
              <w:t xml:space="preserve"> </w:t>
            </w:r>
            <w:r w:rsidRPr="005C3B55">
              <w:rPr>
                <w:szCs w:val="24"/>
              </w:rPr>
              <w:t>Activities supported under this measure will promote mitigation and adaptation to climate change in the form of adjusted production and breeding of domestic animals.</w:t>
            </w:r>
            <w:r w:rsidRPr="005C3B55">
              <w:rPr>
                <w:noProof/>
                <w:szCs w:val="24"/>
              </w:rPr>
              <w:t xml:space="preserve"> </w:t>
            </w:r>
            <w:r w:rsidRPr="005C3B55">
              <w:rPr>
                <w:szCs w:val="24"/>
              </w:rPr>
              <w:t>By encouraging the participation of agricultural holdings in quality schemes, we support the adding of value to agricultural products, the development of short supply chains and, consequently, the development of local markets which may result in shortened transport routes, reduced warehousing and logistics costs and also reduced carbon footprint.</w:t>
            </w:r>
          </w:p>
          <w:p w:rsidR="00BD3B5F" w:rsidRPr="005C3B55" w:rsidRDefault="00BD3B5F">
            <w:pPr>
              <w:spacing w:before="240" w:after="240"/>
              <w:jc w:val="left"/>
              <w:rPr>
                <w:noProof/>
                <w:szCs w:val="24"/>
              </w:rPr>
            </w:pPr>
            <w:r w:rsidRPr="005C3B55">
              <w:rPr>
                <w:b/>
                <w:i/>
                <w:szCs w:val="24"/>
              </w:rPr>
              <w:t>Environment:</w:t>
            </w:r>
            <w:r w:rsidRPr="005C3B55">
              <w:rPr>
                <w:b/>
                <w:i/>
                <w:noProof/>
                <w:szCs w:val="24"/>
              </w:rPr>
              <w:t xml:space="preserve"> </w:t>
            </w:r>
            <w:r w:rsidRPr="005C3B55">
              <w:rPr>
                <w:szCs w:val="24"/>
              </w:rPr>
              <w:t>Care for the environment is one of the most important areas addressed by this measure.</w:t>
            </w:r>
            <w:r w:rsidRPr="005C3B55">
              <w:rPr>
                <w:noProof/>
                <w:szCs w:val="24"/>
              </w:rPr>
              <w:t xml:space="preserve"> </w:t>
            </w:r>
            <w:r w:rsidRPr="005C3B55">
              <w:rPr>
                <w:szCs w:val="24"/>
              </w:rPr>
              <w:t>In their production rules, quality schemes have higher standards regarding environmental protection and have direct and indirect effects on the higher level of awareness of the importance of environmental protection.</w:t>
            </w:r>
            <w:r w:rsidRPr="005C3B55">
              <w:rPr>
                <w:noProof/>
                <w:szCs w:val="24"/>
              </w:rPr>
              <w:t xml:space="preserve"> </w:t>
            </w:r>
            <w:r w:rsidRPr="005C3B55">
              <w:rPr>
                <w:szCs w:val="24"/>
              </w:rPr>
              <w:t>Special emphasis will be put on organic farming which has numerous positive effects on biodiversity conservation, and the quality of soil and water.</w:t>
            </w:r>
          </w:p>
          <w:p w:rsidR="00BD3B5F" w:rsidRPr="005C3B55" w:rsidRDefault="00BD3B5F">
            <w:pPr>
              <w:spacing w:before="240" w:after="240"/>
              <w:jc w:val="left"/>
              <w:rPr>
                <w:noProof/>
                <w:szCs w:val="24"/>
              </w:rPr>
            </w:pPr>
            <w:r w:rsidRPr="005C3B55">
              <w:rPr>
                <w:b/>
                <w:i/>
                <w:szCs w:val="24"/>
              </w:rPr>
              <w:t>Innovation:</w:t>
            </w:r>
            <w:r w:rsidRPr="005C3B55">
              <w:rPr>
                <w:noProof/>
                <w:szCs w:val="24"/>
              </w:rPr>
              <w:t xml:space="preserve"> </w:t>
            </w:r>
            <w:r w:rsidRPr="005C3B55">
              <w:rPr>
                <w:szCs w:val="24"/>
              </w:rPr>
              <w:t>This measure encourages the development of innovation in the field of high-quality local products, and their production and marketing.</w:t>
            </w:r>
          </w:p>
          <w:p w:rsidR="00BD3B5F" w:rsidRPr="005C3B55" w:rsidRDefault="00BD3B5F">
            <w:pPr>
              <w:pStyle w:val="Telobesedila"/>
              <w:rPr>
                <w:szCs w:val="24"/>
              </w:rPr>
            </w:pPr>
          </w:p>
        </w:tc>
      </w:tr>
    </w:tbl>
    <w:p w:rsidR="00BD3B5F" w:rsidRPr="005C3B55" w:rsidRDefault="00BD3B5F">
      <w:pPr>
        <w:pStyle w:val="Naslov4"/>
        <w:tabs>
          <w:tab w:val="clear" w:pos="765"/>
        </w:tabs>
        <w:ind w:left="0" w:firstLine="0"/>
        <w:jc w:val="left"/>
        <w:rPr>
          <w:szCs w:val="24"/>
          <w:lang w:val="en-GB"/>
        </w:rPr>
      </w:pPr>
      <w:r w:rsidRPr="005C3B55">
        <w:rPr>
          <w:szCs w:val="24"/>
          <w:lang w:val="en-GB"/>
        </w:rPr>
        <w:t>Scope and rate of support and beneficiaries, and, where relevant, the methodology for calculating the amount or level of support, if necessary broken down by sub-measures and/or the type of operation. Determine eligible costs, conditions for eligibility, valid amounts and rates of support and principles regarding the definition of the selection criteria for each type of operation</w:t>
      </w:r>
    </w:p>
    <w:p w:rsidR="00BD3B5F" w:rsidRPr="005C3B55" w:rsidRDefault="00BD3B5F">
      <w:pPr>
        <w:pStyle w:val="Naslov5"/>
        <w:tabs>
          <w:tab w:val="clear" w:pos="765"/>
        </w:tabs>
        <w:ind w:left="0" w:firstLine="0"/>
        <w:rPr>
          <w:b w:val="0"/>
          <w:szCs w:val="24"/>
          <w:lang w:val="en-GB"/>
        </w:rPr>
      </w:pPr>
      <w:r w:rsidRPr="005C3B55">
        <w:rPr>
          <w:b w:val="0"/>
          <w:szCs w:val="24"/>
          <w:lang w:val="en-GB"/>
        </w:rPr>
        <w:t xml:space="preserve">1. </w:t>
      </w:r>
      <w:r w:rsidRPr="005C3B55">
        <w:rPr>
          <w:b w:val="0"/>
          <w:noProof w:val="0"/>
          <w:szCs w:val="24"/>
          <w:lang w:val="en-GB"/>
        </w:rPr>
        <w:t>Support for activities of informing and promoting implemented by producer groups in the internal market</w:t>
      </w:r>
    </w:p>
    <w:p w:rsidR="00BD3B5F" w:rsidRPr="005C3B55" w:rsidRDefault="00BD3B5F">
      <w:pPr>
        <w:rPr>
          <w:szCs w:val="24"/>
        </w:rPr>
      </w:pPr>
      <w:r w:rsidRPr="005C3B55">
        <w:rPr>
          <w:szCs w:val="24"/>
        </w:rPr>
        <w:t xml:space="preserve">Sub-measure: </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rsidP="00BD3B5F">
            <w:pPr>
              <w:numPr>
                <w:ilvl w:val="0"/>
                <w:numId w:val="141"/>
              </w:numPr>
              <w:rPr>
                <w:szCs w:val="24"/>
              </w:rPr>
            </w:pPr>
            <w:r w:rsidRPr="005C3B55">
              <w:rPr>
                <w:szCs w:val="24"/>
              </w:rPr>
              <w:t>3.2 – Support for activities of informing and promoting implemented by producer groups in the internal market</w:t>
            </w:r>
          </w:p>
        </w:tc>
      </w:tr>
    </w:tbl>
    <w:p w:rsidR="00BD3B5F" w:rsidRPr="005C3B55" w:rsidRDefault="00BD3B5F">
      <w:pPr>
        <w:pStyle w:val="Naslov6"/>
        <w:tabs>
          <w:tab w:val="clear" w:pos="765"/>
        </w:tabs>
        <w:ind w:left="0" w:firstLine="0"/>
        <w:rPr>
          <w:szCs w:val="24"/>
          <w:lang w:val="en-GB"/>
        </w:rPr>
      </w:pPr>
      <w:r w:rsidRPr="005C3B55">
        <w:rPr>
          <w:noProof w:val="0"/>
          <w:szCs w:val="24"/>
          <w:lang w:val="en-GB"/>
        </w:rPr>
        <w:t>Description of type of operation</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The purpose of the sub-measure is to inform consumers and promote the sales of products included in quality schemes in order to increase the scope of production and the marketing of products from quality schemes.</w:t>
            </w:r>
            <w:r w:rsidRPr="005C3B55">
              <w:rPr>
                <w:noProof/>
                <w:szCs w:val="24"/>
              </w:rPr>
              <w:t xml:space="preserve"> </w:t>
            </w:r>
            <w:r w:rsidRPr="005C3B55">
              <w:rPr>
                <w:szCs w:val="24"/>
              </w:rPr>
              <w:t>In addition, the objective is better inclusion in agro-food chains through quality schemes and by adding value to agricultural products.</w:t>
            </w:r>
            <w:r w:rsidRPr="005C3B55">
              <w:rPr>
                <w:noProof/>
                <w:szCs w:val="24"/>
              </w:rPr>
              <w:t xml:space="preserve"> </w:t>
            </w:r>
            <w:r w:rsidRPr="005C3B55">
              <w:rPr>
                <w:szCs w:val="24"/>
              </w:rPr>
              <w:t>Activities informing consumers that products from quality schemes have specific characteristics particularly from the aspect of quality, specific characteristics of production methods, or influence of the geographical area on the quality of the product will be supported within this framework.</w:t>
            </w:r>
          </w:p>
          <w:p w:rsidR="00BD3B5F" w:rsidRPr="005C3B55" w:rsidRDefault="00BD3B5F">
            <w:pPr>
              <w:spacing w:before="240" w:after="240"/>
              <w:jc w:val="left"/>
              <w:rPr>
                <w:noProof/>
                <w:szCs w:val="24"/>
              </w:rPr>
            </w:pPr>
            <w:r w:rsidRPr="005C3B55">
              <w:rPr>
                <w:szCs w:val="24"/>
              </w:rPr>
              <w:t>Support is intended to cover the costs incurred in relation to promotional and information activities for consumers on agricultural products and foodstuffs included in eligible quality schemes.</w:t>
            </w:r>
          </w:p>
          <w:p w:rsidR="00BD3B5F" w:rsidRPr="005C3B55" w:rsidRDefault="00BD3B5F">
            <w:pPr>
              <w:spacing w:before="240" w:after="240"/>
              <w:jc w:val="left"/>
              <w:rPr>
                <w:noProof/>
                <w:szCs w:val="24"/>
              </w:rPr>
            </w:pPr>
            <w:r w:rsidRPr="005C3B55">
              <w:rPr>
                <w:szCs w:val="24"/>
              </w:rPr>
              <w:t>The following quality schemes are eligible for support within this measure:</w:t>
            </w:r>
          </w:p>
          <w:p w:rsidR="00BD3B5F" w:rsidRPr="005C3B55" w:rsidRDefault="00BD3B5F">
            <w:pPr>
              <w:spacing w:before="240" w:after="240"/>
              <w:jc w:val="left"/>
              <w:rPr>
                <w:noProof/>
                <w:szCs w:val="24"/>
              </w:rPr>
            </w:pPr>
            <w:r w:rsidRPr="005C3B55">
              <w:rPr>
                <w:noProof/>
                <w:szCs w:val="24"/>
              </w:rPr>
              <w:t xml:space="preserve">1. </w:t>
            </w:r>
            <w:r w:rsidRPr="005C3B55">
              <w:rPr>
                <w:szCs w:val="24"/>
              </w:rPr>
              <w:t>quality schemes and optional references to quality established on the basis of European legislation:</w:t>
            </w:r>
          </w:p>
          <w:p w:rsidR="00BD3B5F" w:rsidRPr="005C3B55" w:rsidRDefault="00BD3B5F" w:rsidP="00BD3B5F">
            <w:pPr>
              <w:numPr>
                <w:ilvl w:val="0"/>
                <w:numId w:val="142"/>
              </w:numPr>
              <w:spacing w:before="240" w:after="0"/>
              <w:ind w:hanging="290"/>
              <w:jc w:val="left"/>
              <w:rPr>
                <w:noProof/>
                <w:szCs w:val="24"/>
              </w:rPr>
            </w:pPr>
            <w:r w:rsidRPr="005C3B55">
              <w:rPr>
                <w:szCs w:val="24"/>
              </w:rPr>
              <w:t>protected geographical indication (PGI);</w:t>
            </w:r>
          </w:p>
          <w:p w:rsidR="00BD3B5F" w:rsidRPr="005C3B55" w:rsidRDefault="00BD3B5F" w:rsidP="00BD3B5F">
            <w:pPr>
              <w:numPr>
                <w:ilvl w:val="0"/>
                <w:numId w:val="142"/>
              </w:numPr>
              <w:spacing w:before="0" w:after="0"/>
              <w:ind w:hanging="290"/>
              <w:jc w:val="left"/>
              <w:rPr>
                <w:noProof/>
                <w:szCs w:val="24"/>
              </w:rPr>
            </w:pPr>
            <w:r w:rsidRPr="005C3B55">
              <w:rPr>
                <w:szCs w:val="24"/>
              </w:rPr>
              <w:t>protected designation of origin (PDO);</w:t>
            </w:r>
          </w:p>
          <w:p w:rsidR="00BD3B5F" w:rsidRPr="005C3B55" w:rsidRDefault="00BD3B5F" w:rsidP="00BD3B5F">
            <w:pPr>
              <w:numPr>
                <w:ilvl w:val="0"/>
                <w:numId w:val="142"/>
              </w:numPr>
              <w:spacing w:before="0" w:after="0"/>
              <w:ind w:hanging="290"/>
              <w:jc w:val="left"/>
              <w:rPr>
                <w:noProof/>
                <w:szCs w:val="24"/>
              </w:rPr>
            </w:pPr>
            <w:r w:rsidRPr="005C3B55">
              <w:rPr>
                <w:szCs w:val="24"/>
              </w:rPr>
              <w:t>traditional speciality guaranteed (GTS);</w:t>
            </w:r>
          </w:p>
          <w:p w:rsidR="00BD3B5F" w:rsidRPr="005C3B55" w:rsidRDefault="00BD3B5F" w:rsidP="00BD3B5F">
            <w:pPr>
              <w:numPr>
                <w:ilvl w:val="0"/>
                <w:numId w:val="142"/>
              </w:numPr>
              <w:spacing w:before="0" w:after="0"/>
              <w:ind w:hanging="290"/>
              <w:jc w:val="left"/>
              <w:rPr>
                <w:noProof/>
                <w:szCs w:val="24"/>
              </w:rPr>
            </w:pPr>
            <w:r w:rsidRPr="005C3B55">
              <w:rPr>
                <w:szCs w:val="24"/>
              </w:rPr>
              <w:t>organic production and processing, and</w:t>
            </w:r>
          </w:p>
          <w:p w:rsidR="00BD3B5F" w:rsidRPr="005C3B55" w:rsidRDefault="00BD3B5F" w:rsidP="00BD3B5F">
            <w:pPr>
              <w:numPr>
                <w:ilvl w:val="0"/>
                <w:numId w:val="142"/>
              </w:numPr>
              <w:spacing w:before="0" w:after="240"/>
              <w:ind w:hanging="290"/>
              <w:jc w:val="left"/>
              <w:rPr>
                <w:noProof/>
                <w:szCs w:val="24"/>
              </w:rPr>
            </w:pPr>
            <w:r w:rsidRPr="005C3B55">
              <w:rPr>
                <w:szCs w:val="24"/>
              </w:rPr>
              <w:t>optional references to quality.</w:t>
            </w:r>
          </w:p>
          <w:p w:rsidR="00BD3B5F" w:rsidRPr="005C3B55" w:rsidRDefault="00BD3B5F">
            <w:pPr>
              <w:spacing w:before="240" w:after="240"/>
              <w:jc w:val="left"/>
              <w:rPr>
                <w:noProof/>
                <w:szCs w:val="24"/>
              </w:rPr>
            </w:pPr>
            <w:r w:rsidRPr="005C3B55">
              <w:rPr>
                <w:noProof/>
                <w:szCs w:val="24"/>
              </w:rPr>
              <w:t xml:space="preserve">2. </w:t>
            </w:r>
            <w:r w:rsidRPr="005C3B55">
              <w:rPr>
                <w:szCs w:val="24"/>
              </w:rPr>
              <w:t>quality schemes established on the basis of national legislation:</w:t>
            </w:r>
          </w:p>
          <w:p w:rsidR="00BD3B5F" w:rsidRPr="005C3B55" w:rsidRDefault="00BD3B5F" w:rsidP="00BD3B5F">
            <w:pPr>
              <w:numPr>
                <w:ilvl w:val="0"/>
                <w:numId w:val="143"/>
              </w:numPr>
              <w:spacing w:before="240" w:after="0"/>
              <w:ind w:hanging="290"/>
              <w:jc w:val="left"/>
              <w:rPr>
                <w:noProof/>
                <w:szCs w:val="24"/>
              </w:rPr>
            </w:pPr>
            <w:r w:rsidRPr="005C3B55">
              <w:rPr>
                <w:szCs w:val="24"/>
              </w:rPr>
              <w:t>higher quality;</w:t>
            </w:r>
          </w:p>
          <w:p w:rsidR="00BD3B5F" w:rsidRPr="005C3B55" w:rsidRDefault="00BD3B5F" w:rsidP="00BD3B5F">
            <w:pPr>
              <w:numPr>
                <w:ilvl w:val="0"/>
                <w:numId w:val="143"/>
              </w:numPr>
              <w:spacing w:before="0" w:after="0"/>
              <w:ind w:hanging="290"/>
              <w:jc w:val="left"/>
              <w:rPr>
                <w:noProof/>
                <w:szCs w:val="24"/>
              </w:rPr>
            </w:pPr>
            <w:r w:rsidRPr="005C3B55">
              <w:rPr>
                <w:szCs w:val="24"/>
              </w:rPr>
              <w:t>treats from our farms; and</w:t>
            </w:r>
          </w:p>
          <w:p w:rsidR="00BD3B5F" w:rsidRPr="005C3B55" w:rsidRDefault="00BD3B5F" w:rsidP="00BD3B5F">
            <w:pPr>
              <w:numPr>
                <w:ilvl w:val="0"/>
                <w:numId w:val="143"/>
              </w:numPr>
              <w:spacing w:before="0" w:after="240"/>
              <w:ind w:hanging="290"/>
              <w:jc w:val="left"/>
              <w:rPr>
                <w:noProof/>
                <w:szCs w:val="24"/>
              </w:rPr>
            </w:pPr>
            <w:r w:rsidRPr="005C3B55">
              <w:rPr>
                <w:szCs w:val="24"/>
              </w:rPr>
              <w:t>integrated production.</w:t>
            </w:r>
          </w:p>
          <w:p w:rsidR="00BD3B5F" w:rsidRPr="005C3B55" w:rsidRDefault="00BD3B5F">
            <w:pPr>
              <w:pStyle w:val="Telobesedila"/>
              <w:rPr>
                <w:szCs w:val="24"/>
              </w:rPr>
            </w:pPr>
          </w:p>
        </w:tc>
      </w:tr>
    </w:tbl>
    <w:p w:rsidR="00BD3B5F" w:rsidRPr="005C3B55" w:rsidRDefault="00BD3B5F">
      <w:pPr>
        <w:pStyle w:val="Naslov6"/>
        <w:tabs>
          <w:tab w:val="clear" w:pos="765"/>
        </w:tabs>
        <w:ind w:left="0" w:firstLine="0"/>
        <w:rPr>
          <w:szCs w:val="24"/>
          <w:lang w:val="en-GB"/>
        </w:rPr>
      </w:pPr>
      <w:r w:rsidRPr="005C3B55">
        <w:rPr>
          <w:noProof w:val="0"/>
          <w:szCs w:val="24"/>
          <w:lang w:val="en-GB"/>
        </w:rPr>
        <w:t>Type of support</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Support is granted in the form of non-refundable financial aid.</w:t>
            </w:r>
          </w:p>
          <w:p w:rsidR="00BD3B5F" w:rsidRPr="005C3B55" w:rsidRDefault="00BD3B5F">
            <w:pPr>
              <w:pStyle w:val="Telobesedila"/>
              <w:rPr>
                <w:szCs w:val="24"/>
              </w:rPr>
            </w:pPr>
          </w:p>
        </w:tc>
      </w:tr>
    </w:tbl>
    <w:p w:rsidR="00BD3B5F" w:rsidRPr="005C3B55" w:rsidRDefault="00BD3B5F">
      <w:pPr>
        <w:pStyle w:val="Naslov6"/>
        <w:tabs>
          <w:tab w:val="clear" w:pos="765"/>
        </w:tabs>
        <w:ind w:left="0" w:firstLine="0"/>
        <w:rPr>
          <w:szCs w:val="24"/>
          <w:lang w:val="en-GB"/>
        </w:rPr>
      </w:pPr>
      <w:r w:rsidRPr="005C3B55">
        <w:rPr>
          <w:noProof w:val="0"/>
          <w:szCs w:val="24"/>
          <w:lang w:val="en-GB"/>
        </w:rPr>
        <w:t>Connection with other legislation</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rsidP="00BD3B5F">
            <w:pPr>
              <w:numPr>
                <w:ilvl w:val="0"/>
                <w:numId w:val="144"/>
              </w:numPr>
              <w:spacing w:before="0" w:after="0"/>
              <w:ind w:hanging="290"/>
              <w:jc w:val="left"/>
              <w:rPr>
                <w:noProof/>
                <w:szCs w:val="24"/>
              </w:rPr>
            </w:pPr>
            <w:r w:rsidRPr="005C3B55">
              <w:rPr>
                <w:szCs w:val="24"/>
              </w:rPr>
              <w:t>Agriculture Act (Official Gazette of the Republic of Slovenia, no. 45/2008 with all amendments);</w:t>
            </w:r>
          </w:p>
          <w:p w:rsidR="00BD3B5F" w:rsidRPr="005C3B55" w:rsidRDefault="00BD3B5F" w:rsidP="00BD3B5F">
            <w:pPr>
              <w:numPr>
                <w:ilvl w:val="0"/>
                <w:numId w:val="144"/>
              </w:numPr>
              <w:spacing w:before="0" w:after="0"/>
              <w:ind w:hanging="290"/>
              <w:jc w:val="left"/>
              <w:rPr>
                <w:noProof/>
                <w:szCs w:val="24"/>
              </w:rPr>
            </w:pPr>
            <w:r w:rsidRPr="005C3B55">
              <w:rPr>
                <w:szCs w:val="24"/>
              </w:rPr>
              <w:t>Council Regulation (EC) No 3/2008 of 17 December 2007 on information provision and promotion measures for agricultural products on the internal market and in third countries;</w:t>
            </w:r>
          </w:p>
          <w:p w:rsidR="00BD3B5F" w:rsidRPr="005C3B55" w:rsidRDefault="00BD3B5F" w:rsidP="00BD3B5F">
            <w:pPr>
              <w:numPr>
                <w:ilvl w:val="0"/>
                <w:numId w:val="144"/>
              </w:numPr>
              <w:spacing w:before="0" w:after="0"/>
              <w:ind w:hanging="290"/>
              <w:jc w:val="left"/>
              <w:rPr>
                <w:noProof/>
                <w:szCs w:val="24"/>
              </w:rPr>
            </w:pPr>
            <w:r w:rsidRPr="005C3B55">
              <w:rPr>
                <w:szCs w:val="24"/>
              </w:rPr>
              <w:t>Regulation (EU) No 1151/2012 of the European Parliament and of the Council of 21 November 2012 on quality schemes for agricultural products and foodstuffs;</w:t>
            </w:r>
          </w:p>
          <w:p w:rsidR="00BD3B5F" w:rsidRPr="005C3B55" w:rsidRDefault="00BD3B5F" w:rsidP="00BD3B5F">
            <w:pPr>
              <w:numPr>
                <w:ilvl w:val="0"/>
                <w:numId w:val="144"/>
              </w:numPr>
              <w:spacing w:before="0" w:after="0"/>
              <w:ind w:hanging="290"/>
              <w:jc w:val="left"/>
              <w:rPr>
                <w:noProof/>
                <w:szCs w:val="24"/>
              </w:rPr>
            </w:pPr>
            <w:r w:rsidRPr="005C3B55">
              <w:rPr>
                <w:szCs w:val="24"/>
              </w:rPr>
              <w:t>national regulation on the implementation of this sub-measure; and</w:t>
            </w:r>
          </w:p>
          <w:p w:rsidR="00BD3B5F" w:rsidRPr="005C3B55" w:rsidRDefault="00BD3B5F" w:rsidP="00BD3B5F">
            <w:pPr>
              <w:numPr>
                <w:ilvl w:val="0"/>
                <w:numId w:val="144"/>
              </w:numPr>
              <w:spacing w:before="0" w:after="240"/>
              <w:ind w:hanging="290"/>
              <w:jc w:val="left"/>
              <w:rPr>
                <w:noProof/>
                <w:szCs w:val="24"/>
              </w:rPr>
            </w:pPr>
            <w:r w:rsidRPr="005C3B55">
              <w:rPr>
                <w:szCs w:val="24"/>
              </w:rPr>
              <w:t>other EU and national legislation which regulates the implementation of this operation.</w:t>
            </w:r>
          </w:p>
          <w:p w:rsidR="00BD3B5F" w:rsidRPr="005C3B55" w:rsidRDefault="00BD3B5F">
            <w:pPr>
              <w:spacing w:before="240" w:after="240"/>
              <w:jc w:val="left"/>
              <w:rPr>
                <w:noProof/>
                <w:szCs w:val="24"/>
              </w:rPr>
            </w:pPr>
            <w:r w:rsidRPr="005C3B55">
              <w:rPr>
                <w:noProof/>
                <w:szCs w:val="24"/>
              </w:rPr>
              <w:t> </w:t>
            </w:r>
          </w:p>
          <w:p w:rsidR="00BD3B5F" w:rsidRPr="005C3B55" w:rsidRDefault="00BD3B5F">
            <w:pPr>
              <w:pStyle w:val="Telobesedila"/>
              <w:rPr>
                <w:szCs w:val="24"/>
              </w:rPr>
            </w:pPr>
          </w:p>
        </w:tc>
      </w:tr>
    </w:tbl>
    <w:p w:rsidR="00BD3B5F" w:rsidRPr="005C3B55" w:rsidRDefault="00BD3B5F">
      <w:pPr>
        <w:pStyle w:val="Naslov6"/>
        <w:tabs>
          <w:tab w:val="clear" w:pos="765"/>
        </w:tabs>
        <w:ind w:left="0" w:firstLine="0"/>
        <w:rPr>
          <w:szCs w:val="24"/>
          <w:lang w:val="en-GB"/>
        </w:rPr>
      </w:pPr>
      <w:r w:rsidRPr="005C3B55">
        <w:rPr>
          <w:noProof w:val="0"/>
          <w:szCs w:val="24"/>
          <w:lang w:val="en-GB"/>
        </w:rPr>
        <w:t>Beneficiaries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Beneficiaries for support are producer groups which are legal entities included in a quality scheme and</w:t>
            </w:r>
          </w:p>
          <w:p w:rsidR="00BD3B5F" w:rsidRPr="005C3B55" w:rsidRDefault="00BD3B5F" w:rsidP="00BD3B5F">
            <w:pPr>
              <w:numPr>
                <w:ilvl w:val="0"/>
                <w:numId w:val="145"/>
              </w:numPr>
              <w:spacing w:before="240" w:after="0"/>
              <w:ind w:hanging="290"/>
              <w:jc w:val="left"/>
              <w:rPr>
                <w:noProof/>
                <w:szCs w:val="24"/>
              </w:rPr>
            </w:pPr>
            <w:r w:rsidRPr="005C3B55">
              <w:rPr>
                <w:szCs w:val="24"/>
              </w:rPr>
              <w:t>produce products registered at the EU level (PDO, PGI, GTS),</w:t>
            </w:r>
          </w:p>
          <w:p w:rsidR="00BD3B5F" w:rsidRPr="005C3B55" w:rsidRDefault="00BD3B5F" w:rsidP="00BD3B5F">
            <w:pPr>
              <w:numPr>
                <w:ilvl w:val="0"/>
                <w:numId w:val="145"/>
              </w:numPr>
              <w:spacing w:before="0" w:after="0"/>
              <w:ind w:hanging="290"/>
              <w:jc w:val="left"/>
              <w:rPr>
                <w:noProof/>
                <w:szCs w:val="24"/>
              </w:rPr>
            </w:pPr>
            <w:r w:rsidRPr="005C3B55">
              <w:rPr>
                <w:szCs w:val="24"/>
              </w:rPr>
              <w:t>produce products from national quality schemes, except the ‘Selected quality’ scheme;</w:t>
            </w:r>
          </w:p>
          <w:p w:rsidR="00BD3B5F" w:rsidRPr="005C3B55" w:rsidRDefault="00BD3B5F" w:rsidP="00BD3B5F">
            <w:pPr>
              <w:numPr>
                <w:ilvl w:val="0"/>
                <w:numId w:val="145"/>
              </w:numPr>
              <w:spacing w:before="0" w:after="0"/>
              <w:ind w:hanging="290"/>
              <w:jc w:val="left"/>
              <w:rPr>
                <w:noProof/>
                <w:szCs w:val="24"/>
              </w:rPr>
            </w:pPr>
            <w:r w:rsidRPr="005C3B55">
              <w:rPr>
                <w:szCs w:val="24"/>
              </w:rPr>
              <w:t>produce organically produced and processed agricultural products and foodstuffs;</w:t>
            </w:r>
          </w:p>
          <w:p w:rsidR="00BD3B5F" w:rsidRPr="005C3B55" w:rsidRDefault="00BD3B5F" w:rsidP="00BD3B5F">
            <w:pPr>
              <w:numPr>
                <w:ilvl w:val="0"/>
                <w:numId w:val="145"/>
              </w:numPr>
              <w:spacing w:before="0" w:after="0"/>
              <w:ind w:hanging="290"/>
              <w:jc w:val="left"/>
              <w:rPr>
                <w:noProof/>
                <w:szCs w:val="24"/>
              </w:rPr>
            </w:pPr>
            <w:r w:rsidRPr="005C3B55">
              <w:rPr>
                <w:szCs w:val="24"/>
              </w:rPr>
              <w:t>produce wine with a designation of origin (quality wine PDO, wine of superior quality PDO and wine RTD); or</w:t>
            </w:r>
          </w:p>
          <w:p w:rsidR="00BD3B5F" w:rsidRPr="005C3B55" w:rsidRDefault="00BD3B5F" w:rsidP="00BD3B5F">
            <w:pPr>
              <w:numPr>
                <w:ilvl w:val="0"/>
                <w:numId w:val="145"/>
              </w:numPr>
              <w:spacing w:before="0" w:after="240"/>
              <w:ind w:hanging="290"/>
              <w:jc w:val="left"/>
              <w:rPr>
                <w:noProof/>
                <w:szCs w:val="24"/>
              </w:rPr>
            </w:pPr>
            <w:r w:rsidRPr="005C3B55">
              <w:rPr>
                <w:szCs w:val="24"/>
              </w:rPr>
              <w:t>produce products with optional reference to quality.</w:t>
            </w:r>
          </w:p>
          <w:p w:rsidR="00BD3B5F" w:rsidRPr="005C3B55" w:rsidRDefault="00BD3B5F">
            <w:pPr>
              <w:spacing w:before="240" w:after="240"/>
              <w:jc w:val="left"/>
              <w:rPr>
                <w:noProof/>
                <w:szCs w:val="24"/>
              </w:rPr>
            </w:pPr>
            <w:r w:rsidRPr="005C3B55">
              <w:rPr>
                <w:szCs w:val="24"/>
              </w:rPr>
              <w:t>At least one member newly included in a quality scheme must participate in a producer group.</w:t>
            </w:r>
          </w:p>
          <w:p w:rsidR="00BD3B5F" w:rsidRPr="005C3B55" w:rsidRDefault="00BD3B5F">
            <w:pPr>
              <w:pStyle w:val="Telobesedila"/>
              <w:rPr>
                <w:szCs w:val="24"/>
              </w:rPr>
            </w:pPr>
          </w:p>
        </w:tc>
      </w:tr>
    </w:tbl>
    <w:p w:rsidR="00BD3B5F" w:rsidRPr="005C3B55" w:rsidRDefault="00BD3B5F">
      <w:pPr>
        <w:pStyle w:val="Naslov6"/>
        <w:tabs>
          <w:tab w:val="clear" w:pos="765"/>
        </w:tabs>
        <w:ind w:left="0" w:firstLine="0"/>
        <w:rPr>
          <w:szCs w:val="24"/>
          <w:lang w:val="en-GB"/>
        </w:rPr>
      </w:pPr>
      <w:r w:rsidRPr="005C3B55">
        <w:rPr>
          <w:noProof w:val="0"/>
          <w:szCs w:val="24"/>
          <w:lang w:val="en-GB"/>
        </w:rPr>
        <w:t>Eligible costs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Public support is earmarked to cover eligible costs incurred due to the implementation of information and sales promotion activities of products included in quality schemes.</w:t>
            </w:r>
          </w:p>
          <w:p w:rsidR="00BD3B5F" w:rsidRPr="005C3B55" w:rsidRDefault="00BD3B5F">
            <w:pPr>
              <w:spacing w:before="240" w:after="240"/>
              <w:jc w:val="left"/>
              <w:rPr>
                <w:noProof/>
                <w:szCs w:val="24"/>
              </w:rPr>
            </w:pPr>
            <w:r w:rsidRPr="005C3B55">
              <w:rPr>
                <w:szCs w:val="24"/>
              </w:rPr>
              <w:t>Eligible costs are as follows:</w:t>
            </w:r>
          </w:p>
          <w:p w:rsidR="00BD3B5F" w:rsidRPr="005C3B55" w:rsidRDefault="00BD3B5F" w:rsidP="00BD3B5F">
            <w:pPr>
              <w:numPr>
                <w:ilvl w:val="0"/>
                <w:numId w:val="146"/>
              </w:numPr>
              <w:spacing w:before="240" w:after="0"/>
              <w:ind w:hanging="290"/>
              <w:jc w:val="left"/>
              <w:rPr>
                <w:noProof/>
                <w:szCs w:val="24"/>
              </w:rPr>
            </w:pPr>
            <w:r w:rsidRPr="005C3B55">
              <w:rPr>
                <w:szCs w:val="24"/>
              </w:rPr>
              <w:t>costs of organisation, preparation and participation at public appearances, fairs, markets, exhibitions, broadcasts, workshops and other forms of public appearance or events,</w:t>
            </w:r>
          </w:p>
          <w:p w:rsidR="00BD3B5F" w:rsidRPr="005C3B55" w:rsidRDefault="00BD3B5F" w:rsidP="00BD3B5F">
            <w:pPr>
              <w:numPr>
                <w:ilvl w:val="0"/>
                <w:numId w:val="146"/>
              </w:numPr>
              <w:spacing w:before="0" w:after="0"/>
              <w:ind w:hanging="290"/>
              <w:jc w:val="left"/>
              <w:rPr>
                <w:noProof/>
                <w:szCs w:val="24"/>
              </w:rPr>
            </w:pPr>
            <w:r w:rsidRPr="005C3B55">
              <w:rPr>
                <w:szCs w:val="24"/>
              </w:rPr>
              <w:t>costs of advertising and informing at sales points and other communication channels,</w:t>
            </w:r>
          </w:p>
          <w:p w:rsidR="00BD3B5F" w:rsidRPr="005C3B55" w:rsidRDefault="00BD3B5F" w:rsidP="00BD3B5F">
            <w:pPr>
              <w:numPr>
                <w:ilvl w:val="0"/>
                <w:numId w:val="146"/>
              </w:numPr>
              <w:spacing w:before="0" w:after="0"/>
              <w:ind w:hanging="290"/>
              <w:jc w:val="left"/>
              <w:rPr>
                <w:noProof/>
                <w:szCs w:val="24"/>
              </w:rPr>
            </w:pPr>
            <w:r w:rsidRPr="005C3B55">
              <w:rPr>
                <w:szCs w:val="24"/>
              </w:rPr>
              <w:t>costs of preparation, issuing and distribution of information and promotional materials, and</w:t>
            </w:r>
          </w:p>
          <w:p w:rsidR="00BD3B5F" w:rsidRPr="005C3B55" w:rsidRDefault="00BD3B5F" w:rsidP="00BD3B5F">
            <w:pPr>
              <w:numPr>
                <w:ilvl w:val="0"/>
                <w:numId w:val="146"/>
              </w:numPr>
              <w:spacing w:before="0" w:after="240"/>
              <w:ind w:hanging="290"/>
              <w:jc w:val="left"/>
              <w:rPr>
                <w:noProof/>
                <w:szCs w:val="24"/>
              </w:rPr>
            </w:pPr>
            <w:r w:rsidRPr="005C3B55">
              <w:rPr>
                <w:szCs w:val="24"/>
              </w:rPr>
              <w:t>costs of organising and implementing other suitable forms of advertising.</w:t>
            </w:r>
          </w:p>
          <w:p w:rsidR="00BD3B5F" w:rsidRPr="005C3B55" w:rsidRDefault="00BD3B5F">
            <w:pPr>
              <w:spacing w:before="240" w:after="240"/>
              <w:jc w:val="left"/>
              <w:rPr>
                <w:noProof/>
                <w:szCs w:val="24"/>
              </w:rPr>
            </w:pPr>
            <w:r w:rsidRPr="005C3B55">
              <w:rPr>
                <w:szCs w:val="24"/>
              </w:rPr>
              <w:t>Three bids must be attached to the application by the beneficiary to define the amount of eligible costs.</w:t>
            </w:r>
          </w:p>
          <w:p w:rsidR="00BD3B5F" w:rsidRPr="005C3B55" w:rsidRDefault="00BD3B5F">
            <w:pPr>
              <w:spacing w:before="240" w:after="240"/>
              <w:jc w:val="left"/>
              <w:rPr>
                <w:noProof/>
                <w:szCs w:val="24"/>
              </w:rPr>
            </w:pPr>
            <w:r w:rsidRPr="005C3B55">
              <w:rPr>
                <w:szCs w:val="24"/>
              </w:rPr>
              <w:t>The following costs are not entitled to support:</w:t>
            </w:r>
          </w:p>
          <w:p w:rsidR="00BD3B5F" w:rsidRPr="005C3B55" w:rsidRDefault="00BD3B5F" w:rsidP="00BD3B5F">
            <w:pPr>
              <w:numPr>
                <w:ilvl w:val="0"/>
                <w:numId w:val="147"/>
              </w:numPr>
              <w:spacing w:before="240" w:after="0"/>
              <w:ind w:hanging="290"/>
              <w:jc w:val="left"/>
              <w:rPr>
                <w:noProof/>
                <w:szCs w:val="24"/>
              </w:rPr>
            </w:pPr>
            <w:r w:rsidRPr="005C3B55">
              <w:rPr>
                <w:szCs w:val="24"/>
              </w:rPr>
              <w:t>interest on debts,</w:t>
            </w:r>
          </w:p>
          <w:p w:rsidR="00BD3B5F" w:rsidRPr="005C3B55" w:rsidRDefault="00BD3B5F" w:rsidP="00BD3B5F">
            <w:pPr>
              <w:numPr>
                <w:ilvl w:val="0"/>
                <w:numId w:val="147"/>
              </w:numPr>
              <w:spacing w:before="0" w:after="0"/>
              <w:ind w:hanging="290"/>
              <w:jc w:val="left"/>
              <w:rPr>
                <w:noProof/>
                <w:szCs w:val="24"/>
              </w:rPr>
            </w:pPr>
            <w:r w:rsidRPr="005C3B55">
              <w:rPr>
                <w:szCs w:val="24"/>
              </w:rPr>
              <w:t>value added tax (VAT), unless it is recoverable on the basis of the national legislation on VAT,</w:t>
            </w:r>
          </w:p>
          <w:p w:rsidR="00BD3B5F" w:rsidRPr="005C3B55" w:rsidRDefault="00BD3B5F" w:rsidP="00BD3B5F">
            <w:pPr>
              <w:numPr>
                <w:ilvl w:val="0"/>
                <w:numId w:val="147"/>
              </w:numPr>
              <w:spacing w:before="0" w:after="0"/>
              <w:ind w:hanging="290"/>
              <w:jc w:val="left"/>
              <w:rPr>
                <w:noProof/>
                <w:szCs w:val="24"/>
              </w:rPr>
            </w:pPr>
            <w:r w:rsidRPr="005C3B55">
              <w:rPr>
                <w:szCs w:val="24"/>
              </w:rPr>
              <w:t>cost of preparing the application for the public procurement and request for payment,</w:t>
            </w:r>
          </w:p>
          <w:p w:rsidR="00BD3B5F" w:rsidRPr="005C3B55" w:rsidRDefault="00BD3B5F" w:rsidP="00BD3B5F">
            <w:pPr>
              <w:numPr>
                <w:ilvl w:val="0"/>
                <w:numId w:val="147"/>
              </w:numPr>
              <w:spacing w:before="0" w:after="0"/>
              <w:ind w:hanging="290"/>
              <w:jc w:val="left"/>
              <w:rPr>
                <w:noProof/>
                <w:szCs w:val="24"/>
              </w:rPr>
            </w:pPr>
            <w:r w:rsidRPr="005C3B55">
              <w:rPr>
                <w:szCs w:val="24"/>
              </w:rPr>
              <w:t>in-kind contribution of the beneficiary, and</w:t>
            </w:r>
          </w:p>
          <w:p w:rsidR="00BD3B5F" w:rsidRPr="005C3B55" w:rsidRDefault="00BD3B5F" w:rsidP="00BD3B5F">
            <w:pPr>
              <w:numPr>
                <w:ilvl w:val="0"/>
                <w:numId w:val="147"/>
              </w:numPr>
              <w:spacing w:before="0" w:after="240"/>
              <w:ind w:hanging="290"/>
              <w:jc w:val="left"/>
              <w:rPr>
                <w:noProof/>
                <w:szCs w:val="24"/>
              </w:rPr>
            </w:pPr>
            <w:r w:rsidRPr="005C3B55">
              <w:rPr>
                <w:szCs w:val="24"/>
              </w:rPr>
              <w:t>investment costs.</w:t>
            </w:r>
          </w:p>
          <w:p w:rsidR="00BD3B5F" w:rsidRPr="005C3B55" w:rsidRDefault="00BD3B5F">
            <w:pPr>
              <w:spacing w:before="240" w:after="240"/>
              <w:jc w:val="left"/>
              <w:rPr>
                <w:noProof/>
                <w:szCs w:val="24"/>
              </w:rPr>
            </w:pPr>
            <w:r w:rsidRPr="005C3B55">
              <w:rPr>
                <w:szCs w:val="24"/>
              </w:rPr>
              <w:t>In the implementation of this sub-measure, certain specific requirements from the aspect of eligibility of costs, which will be defined in accordance with national regulations, will be taken into account.</w:t>
            </w:r>
          </w:p>
          <w:p w:rsidR="00BD3B5F" w:rsidRPr="005C3B55" w:rsidRDefault="00BD3B5F">
            <w:pPr>
              <w:pStyle w:val="Telobesedila"/>
              <w:rPr>
                <w:szCs w:val="24"/>
              </w:rPr>
            </w:pPr>
          </w:p>
        </w:tc>
      </w:tr>
    </w:tbl>
    <w:p w:rsidR="00BD3B5F" w:rsidRPr="005C3B55" w:rsidRDefault="00BD3B5F">
      <w:pPr>
        <w:pStyle w:val="Naslov6"/>
        <w:tabs>
          <w:tab w:val="clear" w:pos="765"/>
        </w:tabs>
        <w:ind w:left="0" w:firstLine="0"/>
        <w:rPr>
          <w:szCs w:val="24"/>
          <w:lang w:val="en-GB"/>
        </w:rPr>
      </w:pPr>
      <w:r w:rsidRPr="005C3B55">
        <w:rPr>
          <w:noProof w:val="0"/>
          <w:szCs w:val="24"/>
          <w:lang w:val="en-GB"/>
        </w:rPr>
        <w:t>Conditions for eligibility</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rsidP="00BD3B5F">
            <w:pPr>
              <w:numPr>
                <w:ilvl w:val="0"/>
                <w:numId w:val="148"/>
              </w:numPr>
              <w:spacing w:before="0" w:after="0"/>
              <w:ind w:hanging="290"/>
              <w:jc w:val="left"/>
              <w:rPr>
                <w:noProof/>
                <w:szCs w:val="24"/>
              </w:rPr>
            </w:pPr>
            <w:r w:rsidRPr="005C3B55">
              <w:rPr>
                <w:szCs w:val="24"/>
              </w:rPr>
              <w:t>Submission of a marketing business plan by a producer group included in quality schemes, with a vision of advertising and informing in a period of five years, which includes an accurately broken down plan of information and promotional activities with expected results of the submitted project;</w:t>
            </w:r>
          </w:p>
          <w:p w:rsidR="00BD3B5F" w:rsidRPr="005C3B55" w:rsidRDefault="00BD3B5F" w:rsidP="00BD3B5F">
            <w:pPr>
              <w:numPr>
                <w:ilvl w:val="0"/>
                <w:numId w:val="148"/>
              </w:numPr>
              <w:spacing w:before="0" w:after="0"/>
              <w:ind w:hanging="290"/>
              <w:jc w:val="left"/>
              <w:rPr>
                <w:noProof/>
                <w:szCs w:val="24"/>
              </w:rPr>
            </w:pPr>
            <w:r w:rsidRPr="005C3B55">
              <w:rPr>
                <w:szCs w:val="24"/>
              </w:rPr>
              <w:t>Agricultural products or foodstuffs from quality schemes must be sold by producer groups as products from quality schemes;</w:t>
            </w:r>
          </w:p>
          <w:p w:rsidR="00BD3B5F" w:rsidRPr="005C3B55" w:rsidRDefault="00BD3B5F" w:rsidP="00BD3B5F">
            <w:pPr>
              <w:numPr>
                <w:ilvl w:val="0"/>
                <w:numId w:val="148"/>
              </w:numPr>
              <w:spacing w:before="0" w:after="0"/>
              <w:ind w:hanging="290"/>
              <w:jc w:val="left"/>
              <w:rPr>
                <w:noProof/>
                <w:szCs w:val="24"/>
              </w:rPr>
            </w:pPr>
            <w:r w:rsidRPr="005C3B55">
              <w:rPr>
                <w:szCs w:val="24"/>
              </w:rPr>
              <w:t>When selling end products, the national  quality scheme trademark or the related European quality scheme trademark must be used;</w:t>
            </w:r>
          </w:p>
          <w:p w:rsidR="00BD3B5F" w:rsidRPr="005C3B55" w:rsidRDefault="00BD3B5F" w:rsidP="00BD3B5F">
            <w:pPr>
              <w:numPr>
                <w:ilvl w:val="0"/>
                <w:numId w:val="148"/>
              </w:numPr>
              <w:spacing w:before="0" w:after="240"/>
              <w:ind w:hanging="290"/>
              <w:jc w:val="left"/>
              <w:rPr>
                <w:noProof/>
                <w:szCs w:val="24"/>
              </w:rPr>
            </w:pPr>
            <w:r w:rsidRPr="005C3B55">
              <w:rPr>
                <w:szCs w:val="24"/>
              </w:rPr>
              <w:t>promotional and information activities in the internal EU market are eligible for support.</w:t>
            </w:r>
          </w:p>
          <w:p w:rsidR="00BD3B5F" w:rsidRPr="005C3B55" w:rsidRDefault="00BD3B5F">
            <w:pPr>
              <w:pStyle w:val="Telobesedila"/>
              <w:rPr>
                <w:szCs w:val="24"/>
              </w:rPr>
            </w:pPr>
          </w:p>
        </w:tc>
      </w:tr>
    </w:tbl>
    <w:p w:rsidR="00BD3B5F" w:rsidRPr="005C3B55" w:rsidRDefault="00BD3B5F">
      <w:pPr>
        <w:pStyle w:val="Naslov6"/>
        <w:tabs>
          <w:tab w:val="clear" w:pos="765"/>
        </w:tabs>
        <w:ind w:left="0" w:firstLine="0"/>
        <w:rPr>
          <w:szCs w:val="24"/>
          <w:lang w:val="en-GB"/>
        </w:rPr>
      </w:pPr>
      <w:r w:rsidRPr="005C3B55">
        <w:rPr>
          <w:noProof w:val="0"/>
          <w:szCs w:val="24"/>
          <w:lang w:val="en-GB"/>
        </w:rPr>
        <w:t>Principles regarding the determination of selection criteria</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The sub-measure will be implemented as a closed public tender.</w:t>
            </w:r>
          </w:p>
          <w:p w:rsidR="00BD3B5F" w:rsidRPr="005C3B55" w:rsidRDefault="00BD3B5F">
            <w:pPr>
              <w:spacing w:before="240" w:after="240"/>
              <w:jc w:val="left"/>
              <w:rPr>
                <w:noProof/>
                <w:szCs w:val="24"/>
              </w:rPr>
            </w:pPr>
            <w:r w:rsidRPr="005C3B55">
              <w:rPr>
                <w:szCs w:val="24"/>
              </w:rPr>
              <w:t>Selected projects whose applications are complete and adequate in terms of content and which meet the conditions for receiving funds and exceed the threshold number of points determined in the public tender will be eligible for support.</w:t>
            </w:r>
            <w:r w:rsidRPr="005C3B55">
              <w:rPr>
                <w:noProof/>
                <w:szCs w:val="24"/>
              </w:rPr>
              <w:t xml:space="preserve"> </w:t>
            </w:r>
            <w:r w:rsidRPr="005C3B55">
              <w:rPr>
                <w:szCs w:val="24"/>
              </w:rPr>
              <w:t>Applications which score a higher number of points will be selected from among applications that exceed the threshold number of points until the funds available in the public tender are distributed.</w:t>
            </w:r>
          </w:p>
          <w:p w:rsidR="00BD3B5F" w:rsidRPr="005C3B55" w:rsidRDefault="00BD3B5F">
            <w:pPr>
              <w:spacing w:before="240" w:after="240"/>
              <w:jc w:val="left"/>
              <w:rPr>
                <w:noProof/>
                <w:szCs w:val="24"/>
              </w:rPr>
            </w:pPr>
            <w:r w:rsidRPr="005C3B55">
              <w:rPr>
                <w:szCs w:val="24"/>
              </w:rPr>
              <w:t>As part of the selection criteria, the greatest emphasis will be on the type of quality scheme and its contribution to horizontal objectives.</w:t>
            </w:r>
          </w:p>
          <w:p w:rsidR="00BD3B5F" w:rsidRPr="005C3B55" w:rsidRDefault="00BD3B5F">
            <w:pPr>
              <w:pStyle w:val="Telobesedila"/>
              <w:rPr>
                <w:szCs w:val="24"/>
              </w:rPr>
            </w:pPr>
          </w:p>
        </w:tc>
      </w:tr>
    </w:tbl>
    <w:p w:rsidR="00BD3B5F" w:rsidRPr="005C3B55" w:rsidRDefault="00BD3B5F">
      <w:pPr>
        <w:pStyle w:val="Naslov6"/>
        <w:tabs>
          <w:tab w:val="clear" w:pos="765"/>
        </w:tabs>
        <w:ind w:left="0" w:firstLine="0"/>
        <w:rPr>
          <w:szCs w:val="24"/>
          <w:lang w:val="en-GB"/>
        </w:rPr>
      </w:pPr>
      <w:r w:rsidRPr="005C3B55">
        <w:rPr>
          <w:noProof w:val="0"/>
          <w:szCs w:val="24"/>
          <w:lang w:val="en-GB"/>
        </w:rPr>
        <w:t>(Valid) amounts and support rates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The public support rate amounts to 70 per cent of eligible costs.</w:t>
            </w:r>
          </w:p>
          <w:p w:rsidR="00BD3B5F" w:rsidRPr="005C3B55" w:rsidRDefault="00BD3B5F">
            <w:pPr>
              <w:spacing w:before="240" w:after="240"/>
              <w:jc w:val="left"/>
              <w:rPr>
                <w:noProof/>
                <w:szCs w:val="24"/>
              </w:rPr>
            </w:pPr>
            <w:r w:rsidRPr="005C3B55">
              <w:rPr>
                <w:szCs w:val="24"/>
              </w:rPr>
              <w:t>The highest amount of public support per project is EUR 100,000.</w:t>
            </w:r>
          </w:p>
          <w:p w:rsidR="00BD3B5F" w:rsidRPr="005C3B55" w:rsidRDefault="00BD3B5F">
            <w:pPr>
              <w:spacing w:before="240" w:after="240"/>
              <w:jc w:val="left"/>
              <w:rPr>
                <w:noProof/>
                <w:szCs w:val="24"/>
              </w:rPr>
            </w:pPr>
            <w:r w:rsidRPr="005C3B55">
              <w:rPr>
                <w:szCs w:val="24"/>
              </w:rPr>
              <w:t>The rules on state aid are observed when determining the support rate.</w:t>
            </w:r>
          </w:p>
          <w:p w:rsidR="00BD3B5F" w:rsidRPr="005C3B55" w:rsidRDefault="00BD3B5F">
            <w:pPr>
              <w:spacing w:before="240" w:after="240"/>
              <w:jc w:val="left"/>
              <w:rPr>
                <w:noProof/>
                <w:szCs w:val="24"/>
              </w:rPr>
            </w:pPr>
            <w:r w:rsidRPr="005C3B55">
              <w:rPr>
                <w:szCs w:val="24"/>
              </w:rPr>
              <w:t>The beneficiaries to support in investments may in accordance with point 4 of Article 45 of Regulation (EU) No 1305/2013 request for advance payment at the Paying Agency after the issue of the decision on the entitlement to funds in the amount of 30% of the public support.</w:t>
            </w:r>
          </w:p>
          <w:p w:rsidR="00BD3B5F" w:rsidRPr="005C3B55" w:rsidRDefault="00BD3B5F">
            <w:pPr>
              <w:pStyle w:val="Telobesedila"/>
              <w:rPr>
                <w:szCs w:val="24"/>
              </w:rPr>
            </w:pPr>
          </w:p>
        </w:tc>
      </w:tr>
    </w:tbl>
    <w:p w:rsidR="00BD3B5F" w:rsidRPr="005C3B55" w:rsidRDefault="00BD3B5F">
      <w:pPr>
        <w:pStyle w:val="Naslov6"/>
        <w:tabs>
          <w:tab w:val="clear" w:pos="765"/>
        </w:tabs>
        <w:ind w:left="0" w:firstLine="0"/>
        <w:rPr>
          <w:szCs w:val="24"/>
          <w:lang w:val="en-GB"/>
        </w:rPr>
      </w:pPr>
      <w:r w:rsidRPr="005C3B55">
        <w:rPr>
          <w:noProof w:val="0"/>
          <w:szCs w:val="24"/>
          <w:lang w:val="en-GB"/>
        </w:rPr>
        <w:t>Verifiability and possibility of control of measures and/or type of operations</w:t>
      </w:r>
    </w:p>
    <w:p w:rsidR="00BD3B5F" w:rsidRPr="005C3B55" w:rsidRDefault="00BD3B5F">
      <w:pPr>
        <w:pStyle w:val="Naslov7"/>
        <w:tabs>
          <w:tab w:val="clear" w:pos="765"/>
        </w:tabs>
        <w:ind w:left="0" w:firstLine="0"/>
        <w:rPr>
          <w:szCs w:val="24"/>
          <w:lang w:val="en-GB"/>
        </w:rPr>
      </w:pPr>
      <w:r w:rsidRPr="005C3B55">
        <w:rPr>
          <w:noProof w:val="0"/>
          <w:szCs w:val="24"/>
          <w:lang w:val="en-GB"/>
        </w:rPr>
        <w:t>Risks in the implementation of the measure</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b/>
                <w:noProof/>
                <w:szCs w:val="24"/>
              </w:rPr>
              <w:t xml:space="preserve">R7: </w:t>
            </w:r>
            <w:r w:rsidRPr="005C3B55">
              <w:rPr>
                <w:b/>
                <w:szCs w:val="24"/>
              </w:rPr>
              <w:t>Selection of beneficiaries</w:t>
            </w:r>
          </w:p>
          <w:p w:rsidR="00BD3B5F" w:rsidRPr="005C3B55" w:rsidRDefault="00BD3B5F">
            <w:pPr>
              <w:spacing w:before="240" w:after="240"/>
              <w:jc w:val="left"/>
              <w:rPr>
                <w:noProof/>
                <w:szCs w:val="24"/>
              </w:rPr>
            </w:pPr>
            <w:r w:rsidRPr="005C3B55">
              <w:rPr>
                <w:szCs w:val="24"/>
              </w:rPr>
              <w:t>There is a risk that the public tender will fail to capture the target group, as defined in the objectives, which requires aid the most.</w:t>
            </w:r>
          </w:p>
          <w:p w:rsidR="00BD3B5F" w:rsidRPr="005C3B55" w:rsidRDefault="00BD3B5F">
            <w:pPr>
              <w:spacing w:before="240" w:after="240"/>
              <w:jc w:val="left"/>
              <w:rPr>
                <w:noProof/>
                <w:szCs w:val="24"/>
              </w:rPr>
            </w:pPr>
            <w:r w:rsidRPr="005C3B55">
              <w:rPr>
                <w:b/>
                <w:noProof/>
                <w:szCs w:val="24"/>
              </w:rPr>
              <w:t xml:space="preserve">R8: </w:t>
            </w:r>
            <w:r w:rsidRPr="005C3B55">
              <w:rPr>
                <w:b/>
                <w:szCs w:val="24"/>
              </w:rPr>
              <w:t>IT systems</w:t>
            </w:r>
          </w:p>
          <w:p w:rsidR="00BD3B5F" w:rsidRPr="005C3B55" w:rsidRDefault="00BD3B5F">
            <w:pPr>
              <w:spacing w:before="240" w:after="240"/>
              <w:jc w:val="left"/>
              <w:rPr>
                <w:noProof/>
                <w:szCs w:val="24"/>
              </w:rPr>
            </w:pPr>
            <w:r w:rsidRPr="005C3B55">
              <w:rPr>
                <w:szCs w:val="24"/>
              </w:rPr>
              <w:t>Risks have been detected particularly in the correct functioning of IT systems or in providing suitable capacities for processing all information.</w:t>
            </w:r>
            <w:r w:rsidRPr="005C3B55">
              <w:rPr>
                <w:noProof/>
                <w:szCs w:val="24"/>
              </w:rPr>
              <w:t xml:space="preserve"> </w:t>
            </w:r>
            <w:r w:rsidRPr="005C3B55">
              <w:rPr>
                <w:szCs w:val="24"/>
              </w:rPr>
              <w:t>Risks may also be posed by disorderly or outdated registers which are the result of incompatible databases.</w:t>
            </w:r>
          </w:p>
          <w:p w:rsidR="00BD3B5F" w:rsidRPr="005C3B55" w:rsidRDefault="00BD3B5F">
            <w:pPr>
              <w:spacing w:before="240" w:after="240"/>
              <w:jc w:val="left"/>
              <w:rPr>
                <w:noProof/>
                <w:szCs w:val="24"/>
              </w:rPr>
            </w:pPr>
            <w:r w:rsidRPr="005C3B55">
              <w:rPr>
                <w:b/>
                <w:noProof/>
                <w:szCs w:val="24"/>
              </w:rPr>
              <w:t xml:space="preserve">R9: </w:t>
            </w:r>
            <w:r w:rsidRPr="005C3B55">
              <w:rPr>
                <w:b/>
                <w:szCs w:val="24"/>
              </w:rPr>
              <w:t>Requests for payment</w:t>
            </w:r>
          </w:p>
          <w:p w:rsidR="00BD3B5F" w:rsidRPr="005C3B55" w:rsidRDefault="00BD3B5F">
            <w:pPr>
              <w:spacing w:before="240" w:after="240"/>
              <w:jc w:val="left"/>
              <w:rPr>
                <w:noProof/>
                <w:szCs w:val="24"/>
              </w:rPr>
            </w:pPr>
            <w:r w:rsidRPr="005C3B55">
              <w:rPr>
                <w:szCs w:val="24"/>
              </w:rPr>
              <w:t>The greatest risk arises in the processing of requests for payment.</w:t>
            </w:r>
            <w:r w:rsidRPr="005C3B55">
              <w:rPr>
                <w:noProof/>
                <w:szCs w:val="24"/>
              </w:rPr>
              <w:t xml:space="preserve"> </w:t>
            </w:r>
            <w:r w:rsidRPr="005C3B55">
              <w:rPr>
                <w:szCs w:val="24"/>
              </w:rPr>
              <w:t>Due to unprofessional preparation, the procedure for processing may take several months.</w:t>
            </w:r>
            <w:r w:rsidRPr="005C3B55">
              <w:rPr>
                <w:noProof/>
                <w:szCs w:val="24"/>
              </w:rPr>
              <w:t xml:space="preserve"> </w:t>
            </w:r>
            <w:r w:rsidRPr="005C3B55">
              <w:rPr>
                <w:szCs w:val="24"/>
              </w:rPr>
              <w:t>The main reason is the lack of information for beneficiaries and individuals preparing applications.</w:t>
            </w:r>
          </w:p>
          <w:p w:rsidR="00BD3B5F" w:rsidRPr="005C3B55" w:rsidRDefault="00BD3B5F">
            <w:pPr>
              <w:pStyle w:val="Telobesedila"/>
              <w:rPr>
                <w:szCs w:val="24"/>
              </w:rPr>
            </w:pPr>
          </w:p>
        </w:tc>
      </w:tr>
    </w:tbl>
    <w:p w:rsidR="00BD3B5F" w:rsidRPr="005C3B55" w:rsidRDefault="00BD3B5F">
      <w:pPr>
        <w:pStyle w:val="Naslov7"/>
        <w:tabs>
          <w:tab w:val="clear" w:pos="765"/>
        </w:tabs>
        <w:ind w:left="0" w:firstLine="0"/>
        <w:rPr>
          <w:szCs w:val="24"/>
          <w:lang w:val="en-GB"/>
        </w:rPr>
      </w:pPr>
      <w:r w:rsidRPr="005C3B55">
        <w:rPr>
          <w:noProof w:val="0"/>
          <w:szCs w:val="24"/>
          <w:lang w:val="en-GB"/>
        </w:rPr>
        <w:t>Mitigation measures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b/>
                <w:noProof/>
                <w:szCs w:val="24"/>
              </w:rPr>
              <w:t xml:space="preserve">R7: </w:t>
            </w:r>
            <w:r w:rsidRPr="005C3B55">
              <w:rPr>
                <w:b/>
                <w:szCs w:val="24"/>
              </w:rPr>
              <w:t>Selection of beneficiaries</w:t>
            </w:r>
          </w:p>
          <w:p w:rsidR="00BD3B5F" w:rsidRPr="005C3B55" w:rsidRDefault="00BD3B5F">
            <w:pPr>
              <w:spacing w:before="240" w:after="240"/>
              <w:jc w:val="left"/>
              <w:rPr>
                <w:noProof/>
                <w:szCs w:val="24"/>
              </w:rPr>
            </w:pPr>
            <w:r w:rsidRPr="005C3B55">
              <w:rPr>
                <w:szCs w:val="24"/>
              </w:rPr>
              <w:t>The selection of beneficiaries will be carried out objectively and transparently on the basis of the entry conditions and criteria for selection, which will be known in advance to all potential beneficiaries.</w:t>
            </w:r>
            <w:r w:rsidRPr="005C3B55">
              <w:rPr>
                <w:noProof/>
                <w:szCs w:val="24"/>
              </w:rPr>
              <w:t xml:space="preserve">  </w:t>
            </w:r>
          </w:p>
          <w:p w:rsidR="00BD3B5F" w:rsidRPr="005C3B55" w:rsidRDefault="00BD3B5F">
            <w:pPr>
              <w:spacing w:before="240" w:after="240"/>
              <w:jc w:val="left"/>
              <w:rPr>
                <w:noProof/>
                <w:szCs w:val="24"/>
              </w:rPr>
            </w:pPr>
            <w:r w:rsidRPr="005C3B55">
              <w:rPr>
                <w:b/>
                <w:noProof/>
                <w:szCs w:val="24"/>
              </w:rPr>
              <w:t xml:space="preserve">R8: </w:t>
            </w:r>
            <w:r w:rsidRPr="005C3B55">
              <w:rPr>
                <w:b/>
                <w:szCs w:val="24"/>
              </w:rPr>
              <w:t>IT systems</w:t>
            </w:r>
          </w:p>
          <w:p w:rsidR="00BD3B5F" w:rsidRPr="005C3B55" w:rsidRDefault="00BD3B5F">
            <w:pPr>
              <w:spacing w:before="240" w:after="240"/>
              <w:jc w:val="left"/>
              <w:rPr>
                <w:noProof/>
                <w:szCs w:val="24"/>
              </w:rPr>
            </w:pPr>
            <w:r w:rsidRPr="005C3B55">
              <w:rPr>
                <w:szCs w:val="24"/>
              </w:rPr>
              <w:t>An IT system will be set up at the Paying Agency to facilitate the electronic processing of applications and requests for payment.</w:t>
            </w:r>
            <w:r w:rsidRPr="005C3B55">
              <w:rPr>
                <w:noProof/>
                <w:szCs w:val="24"/>
              </w:rPr>
              <w:t xml:space="preserve"> </w:t>
            </w:r>
            <w:r w:rsidRPr="005C3B55">
              <w:rPr>
                <w:szCs w:val="24"/>
              </w:rPr>
              <w:t>The acquisition of data will be electronic to the greatest extent possible by means of connectivity between different databases.</w:t>
            </w:r>
            <w:r w:rsidRPr="005C3B55">
              <w:rPr>
                <w:noProof/>
                <w:szCs w:val="24"/>
              </w:rPr>
              <w:t xml:space="preserve"> </w:t>
            </w:r>
            <w:r w:rsidRPr="005C3B55">
              <w:rPr>
                <w:szCs w:val="24"/>
              </w:rPr>
              <w:t>If databases are not mutually compatible so that they can be automatically verified within the IT system, verification will be carried out by exchanging data between database media.</w:t>
            </w:r>
          </w:p>
          <w:p w:rsidR="00BD3B5F" w:rsidRPr="005C3B55" w:rsidRDefault="00BD3B5F">
            <w:pPr>
              <w:spacing w:before="240" w:after="240"/>
              <w:jc w:val="left"/>
              <w:rPr>
                <w:noProof/>
                <w:szCs w:val="24"/>
              </w:rPr>
            </w:pPr>
            <w:r w:rsidRPr="005C3B55">
              <w:rPr>
                <w:b/>
                <w:noProof/>
                <w:szCs w:val="24"/>
              </w:rPr>
              <w:t xml:space="preserve">R9: </w:t>
            </w:r>
            <w:r w:rsidRPr="005C3B55">
              <w:rPr>
                <w:b/>
                <w:szCs w:val="24"/>
              </w:rPr>
              <w:t>Requests for payment</w:t>
            </w:r>
          </w:p>
          <w:p w:rsidR="00BD3B5F" w:rsidRPr="005C3B55" w:rsidRDefault="00BD3B5F">
            <w:pPr>
              <w:spacing w:before="240" w:after="240"/>
              <w:jc w:val="left"/>
              <w:rPr>
                <w:noProof/>
                <w:szCs w:val="24"/>
              </w:rPr>
            </w:pPr>
            <w:r w:rsidRPr="005C3B55">
              <w:rPr>
                <w:szCs w:val="24"/>
              </w:rPr>
              <w:t>Training on preparing requests for payment will be organised for beneficiaries and individuals preparing applications.</w:t>
            </w:r>
            <w:r w:rsidRPr="005C3B55">
              <w:rPr>
                <w:noProof/>
                <w:szCs w:val="24"/>
              </w:rPr>
              <w:t xml:space="preserve"> </w:t>
            </w:r>
            <w:r w:rsidRPr="005C3B55">
              <w:rPr>
                <w:szCs w:val="24"/>
              </w:rPr>
              <w:t>Instructions on preparing requests for payment will be prepared to ensure that requests are well prepared.</w:t>
            </w:r>
          </w:p>
          <w:p w:rsidR="00BD3B5F" w:rsidRPr="005C3B55" w:rsidRDefault="00BD3B5F">
            <w:pPr>
              <w:pStyle w:val="Telobesedila"/>
              <w:rPr>
                <w:szCs w:val="24"/>
              </w:rPr>
            </w:pPr>
          </w:p>
        </w:tc>
      </w:tr>
    </w:tbl>
    <w:p w:rsidR="00BD3B5F" w:rsidRPr="005C3B55" w:rsidRDefault="00BD3B5F">
      <w:pPr>
        <w:pStyle w:val="Naslov7"/>
        <w:tabs>
          <w:tab w:val="clear" w:pos="765"/>
        </w:tabs>
        <w:ind w:left="0" w:firstLine="0"/>
        <w:rPr>
          <w:szCs w:val="24"/>
          <w:lang w:val="en-GB"/>
        </w:rPr>
      </w:pPr>
      <w:r w:rsidRPr="005C3B55">
        <w:rPr>
          <w:noProof w:val="0"/>
          <w:szCs w:val="24"/>
          <w:lang w:val="en-GB"/>
        </w:rPr>
        <w:t>General assessment of the measure</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If mitigation measures are considered, the sub-measure is verifiable and controllable.</w:t>
            </w:r>
            <w:r w:rsidRPr="005C3B55">
              <w:rPr>
                <w:noProof/>
                <w:szCs w:val="24"/>
              </w:rPr>
              <w:t xml:space="preserve"> </w:t>
            </w:r>
            <w:r w:rsidRPr="005C3B55">
              <w:rPr>
                <w:szCs w:val="24"/>
              </w:rPr>
              <w:t>The sub-measure will be used to attain the expected results and objectives of the RDP 2014–2020, and will contribute to realising all three horizontal objectives.</w:t>
            </w:r>
            <w:r w:rsidRPr="005C3B55">
              <w:rPr>
                <w:noProof/>
                <w:szCs w:val="24"/>
              </w:rPr>
              <w:t xml:space="preserve"> </w:t>
            </w:r>
            <w:r w:rsidRPr="005C3B55">
              <w:rPr>
                <w:szCs w:val="24"/>
              </w:rPr>
              <w:t>The implementation of this sub-measure is essential to improve inclusion in agro-food chains through quality schemes and by adding value to agricultural products.</w:t>
            </w:r>
          </w:p>
          <w:p w:rsidR="00BD3B5F" w:rsidRPr="005C3B55" w:rsidRDefault="00BD3B5F">
            <w:pPr>
              <w:pStyle w:val="Telobesedila"/>
              <w:rPr>
                <w:szCs w:val="24"/>
              </w:rPr>
            </w:pPr>
          </w:p>
        </w:tc>
      </w:tr>
    </w:tbl>
    <w:p w:rsidR="00BD3B5F" w:rsidRPr="005C3B55" w:rsidRDefault="00BD3B5F">
      <w:pPr>
        <w:pStyle w:val="Naslov6"/>
        <w:tabs>
          <w:tab w:val="clear" w:pos="765"/>
        </w:tabs>
        <w:ind w:left="0" w:firstLine="0"/>
        <w:rPr>
          <w:szCs w:val="24"/>
          <w:lang w:val="en-GB"/>
        </w:rPr>
      </w:pPr>
      <w:r w:rsidRPr="005C3B55">
        <w:rPr>
          <w:noProof w:val="0"/>
          <w:szCs w:val="24"/>
          <w:lang w:val="en-GB"/>
        </w:rPr>
        <w:t>Methodology for calculating support amount, where relevant</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Not relevant.</w:t>
            </w:r>
          </w:p>
          <w:p w:rsidR="00BD3B5F" w:rsidRPr="005C3B55" w:rsidRDefault="00BD3B5F">
            <w:pPr>
              <w:pStyle w:val="Telobesedila"/>
              <w:rPr>
                <w:szCs w:val="24"/>
              </w:rPr>
            </w:pPr>
          </w:p>
        </w:tc>
      </w:tr>
    </w:tbl>
    <w:p w:rsidR="00BD3B5F" w:rsidRPr="005C3B55" w:rsidRDefault="00BD3B5F">
      <w:pPr>
        <w:pStyle w:val="Naslov6"/>
        <w:tabs>
          <w:tab w:val="clear" w:pos="765"/>
        </w:tabs>
        <w:ind w:left="0" w:firstLine="0"/>
        <w:rPr>
          <w:szCs w:val="24"/>
          <w:lang w:val="en-GB"/>
        </w:rPr>
      </w:pPr>
      <w:r w:rsidRPr="005C3B55">
        <w:rPr>
          <w:noProof w:val="0"/>
          <w:szCs w:val="24"/>
          <w:lang w:val="en-GB"/>
        </w:rPr>
        <w:t>Information that relates specifically to the operation</w:t>
      </w:r>
    </w:p>
    <w:p w:rsidR="00BD3B5F" w:rsidRPr="005C3B55" w:rsidRDefault="00BD3B5F">
      <w:pPr>
        <w:rPr>
          <w:szCs w:val="24"/>
        </w:rPr>
      </w:pPr>
      <w:r w:rsidRPr="005C3B55">
        <w:rPr>
          <w:szCs w:val="24"/>
        </w:rPr>
        <w:t>Indication of eligible quality schemes, including agricultural holding certification schemes, for agricultural products, cotton or foodstuffs recognised at the national level, and confirmation that these quality schemes meet four special criteria referred to in Article 16(1)(b) of Regulation (EU) No 1305/2013</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Eligible quality schemes are:</w:t>
            </w:r>
          </w:p>
          <w:p w:rsidR="00BD3B5F" w:rsidRPr="005C3B55" w:rsidRDefault="00BD3B5F">
            <w:pPr>
              <w:spacing w:before="240" w:after="240"/>
              <w:jc w:val="left"/>
              <w:rPr>
                <w:noProof/>
                <w:szCs w:val="24"/>
              </w:rPr>
            </w:pPr>
            <w:r w:rsidRPr="005C3B55">
              <w:rPr>
                <w:noProof/>
                <w:szCs w:val="24"/>
              </w:rPr>
              <w:t xml:space="preserve">1. </w:t>
            </w:r>
            <w:r w:rsidRPr="005C3B55">
              <w:rPr>
                <w:szCs w:val="24"/>
              </w:rPr>
              <w:t>quality schemes and optional references to quality established on the basis of European legislation:</w:t>
            </w:r>
          </w:p>
          <w:p w:rsidR="00BD3B5F" w:rsidRPr="005C3B55" w:rsidRDefault="00BD3B5F" w:rsidP="00BD3B5F">
            <w:pPr>
              <w:numPr>
                <w:ilvl w:val="0"/>
                <w:numId w:val="149"/>
              </w:numPr>
              <w:spacing w:before="240" w:after="0"/>
              <w:ind w:hanging="290"/>
              <w:jc w:val="left"/>
              <w:rPr>
                <w:noProof/>
                <w:szCs w:val="24"/>
              </w:rPr>
            </w:pPr>
            <w:r w:rsidRPr="005C3B55">
              <w:rPr>
                <w:szCs w:val="24"/>
              </w:rPr>
              <w:t>protected geographical indication (PGI);</w:t>
            </w:r>
          </w:p>
          <w:p w:rsidR="00BD3B5F" w:rsidRPr="005C3B55" w:rsidRDefault="00BD3B5F" w:rsidP="00BD3B5F">
            <w:pPr>
              <w:numPr>
                <w:ilvl w:val="0"/>
                <w:numId w:val="149"/>
              </w:numPr>
              <w:spacing w:before="0" w:after="0"/>
              <w:ind w:hanging="290"/>
              <w:jc w:val="left"/>
              <w:rPr>
                <w:noProof/>
                <w:szCs w:val="24"/>
              </w:rPr>
            </w:pPr>
            <w:r w:rsidRPr="005C3B55">
              <w:rPr>
                <w:szCs w:val="24"/>
              </w:rPr>
              <w:t>protected designation of origin (PDO);</w:t>
            </w:r>
          </w:p>
          <w:p w:rsidR="00BD3B5F" w:rsidRPr="005C3B55" w:rsidRDefault="00BD3B5F" w:rsidP="00BD3B5F">
            <w:pPr>
              <w:numPr>
                <w:ilvl w:val="0"/>
                <w:numId w:val="149"/>
              </w:numPr>
              <w:spacing w:before="0" w:after="0"/>
              <w:ind w:hanging="290"/>
              <w:jc w:val="left"/>
              <w:rPr>
                <w:noProof/>
                <w:szCs w:val="24"/>
              </w:rPr>
            </w:pPr>
            <w:r w:rsidRPr="005C3B55">
              <w:rPr>
                <w:szCs w:val="24"/>
              </w:rPr>
              <w:t>traditional speciality guaranteed (GTS);</w:t>
            </w:r>
          </w:p>
          <w:p w:rsidR="00BD3B5F" w:rsidRPr="005C3B55" w:rsidRDefault="00BD3B5F" w:rsidP="00BD3B5F">
            <w:pPr>
              <w:numPr>
                <w:ilvl w:val="0"/>
                <w:numId w:val="149"/>
              </w:numPr>
              <w:spacing w:before="0" w:after="0"/>
              <w:ind w:hanging="290"/>
              <w:jc w:val="left"/>
              <w:rPr>
                <w:noProof/>
                <w:szCs w:val="24"/>
              </w:rPr>
            </w:pPr>
            <w:r w:rsidRPr="005C3B55">
              <w:rPr>
                <w:szCs w:val="24"/>
              </w:rPr>
              <w:t>organic production and processing, and</w:t>
            </w:r>
          </w:p>
          <w:p w:rsidR="00BD3B5F" w:rsidRPr="005C3B55" w:rsidRDefault="00BD3B5F" w:rsidP="00BD3B5F">
            <w:pPr>
              <w:numPr>
                <w:ilvl w:val="0"/>
                <w:numId w:val="149"/>
              </w:numPr>
              <w:spacing w:before="0" w:after="240"/>
              <w:ind w:hanging="290"/>
              <w:jc w:val="left"/>
              <w:rPr>
                <w:noProof/>
                <w:szCs w:val="24"/>
              </w:rPr>
            </w:pPr>
            <w:r w:rsidRPr="005C3B55">
              <w:rPr>
                <w:szCs w:val="24"/>
              </w:rPr>
              <w:t>optional references to quality.</w:t>
            </w:r>
          </w:p>
          <w:p w:rsidR="00BD3B5F" w:rsidRPr="005C3B55" w:rsidRDefault="00BD3B5F">
            <w:pPr>
              <w:spacing w:before="240" w:after="240"/>
              <w:jc w:val="left"/>
              <w:rPr>
                <w:noProof/>
                <w:szCs w:val="24"/>
              </w:rPr>
            </w:pPr>
            <w:r w:rsidRPr="005C3B55">
              <w:rPr>
                <w:noProof/>
                <w:szCs w:val="24"/>
              </w:rPr>
              <w:t xml:space="preserve">2. </w:t>
            </w:r>
            <w:r w:rsidRPr="005C3B55">
              <w:rPr>
                <w:szCs w:val="24"/>
              </w:rPr>
              <w:t>quality schemes established on the basis of national legislation:</w:t>
            </w:r>
          </w:p>
          <w:p w:rsidR="00BD3B5F" w:rsidRPr="005C3B55" w:rsidRDefault="00BD3B5F" w:rsidP="00BD3B5F">
            <w:pPr>
              <w:numPr>
                <w:ilvl w:val="0"/>
                <w:numId w:val="150"/>
              </w:numPr>
              <w:spacing w:before="240" w:after="0"/>
              <w:ind w:hanging="290"/>
              <w:jc w:val="left"/>
              <w:rPr>
                <w:noProof/>
                <w:szCs w:val="24"/>
              </w:rPr>
            </w:pPr>
            <w:r w:rsidRPr="005C3B55">
              <w:rPr>
                <w:szCs w:val="24"/>
              </w:rPr>
              <w:t>higher quality;</w:t>
            </w:r>
          </w:p>
          <w:p w:rsidR="00BD3B5F" w:rsidRPr="005C3B55" w:rsidRDefault="00BD3B5F" w:rsidP="00BD3B5F">
            <w:pPr>
              <w:numPr>
                <w:ilvl w:val="0"/>
                <w:numId w:val="150"/>
              </w:numPr>
              <w:spacing w:before="0" w:after="0"/>
              <w:ind w:hanging="290"/>
              <w:jc w:val="left"/>
              <w:rPr>
                <w:noProof/>
                <w:szCs w:val="24"/>
              </w:rPr>
            </w:pPr>
            <w:r w:rsidRPr="005C3B55">
              <w:rPr>
                <w:szCs w:val="24"/>
              </w:rPr>
              <w:t>treats from our farms; and</w:t>
            </w:r>
          </w:p>
          <w:p w:rsidR="00BD3B5F" w:rsidRPr="005C3B55" w:rsidRDefault="00BD3B5F" w:rsidP="00BD3B5F">
            <w:pPr>
              <w:numPr>
                <w:ilvl w:val="0"/>
                <w:numId w:val="150"/>
              </w:numPr>
              <w:spacing w:before="0" w:after="240"/>
              <w:ind w:hanging="290"/>
              <w:jc w:val="left"/>
              <w:rPr>
                <w:noProof/>
                <w:szCs w:val="24"/>
              </w:rPr>
            </w:pPr>
            <w:r w:rsidRPr="005C3B55">
              <w:rPr>
                <w:szCs w:val="24"/>
              </w:rPr>
              <w:t>integrated production.</w:t>
            </w:r>
          </w:p>
          <w:p w:rsidR="00BD3B5F" w:rsidRPr="005C3B55" w:rsidRDefault="00BD3B5F">
            <w:pPr>
              <w:spacing w:before="240" w:after="240"/>
              <w:jc w:val="left"/>
              <w:rPr>
                <w:noProof/>
                <w:szCs w:val="24"/>
              </w:rPr>
            </w:pPr>
            <w:r w:rsidRPr="005C3B55">
              <w:rPr>
                <w:szCs w:val="24"/>
              </w:rPr>
              <w:t>In accordance with the provisions defined in national regulations, the aforementioned quality schemes meet four special criteria pursuant to point 1.b of Article 16 of Regulation (EU) No 1305/2013.</w:t>
            </w:r>
          </w:p>
          <w:p w:rsidR="00BD3B5F" w:rsidRPr="005C3B55" w:rsidRDefault="00BD3B5F">
            <w:pPr>
              <w:pStyle w:val="Telobesedila"/>
              <w:rPr>
                <w:szCs w:val="24"/>
              </w:rPr>
            </w:pPr>
          </w:p>
        </w:tc>
      </w:tr>
    </w:tbl>
    <w:p w:rsidR="00BD3B5F" w:rsidRPr="005C3B55" w:rsidRDefault="00BD3B5F">
      <w:pPr>
        <w:rPr>
          <w:szCs w:val="24"/>
        </w:rPr>
      </w:pPr>
      <w:r w:rsidRPr="005C3B55">
        <w:rPr>
          <w:szCs w:val="24"/>
        </w:rPr>
        <w:t>Indication of eligible voluntary agricultural product certification schemes recognised by a Member State as meeting the Union’s best practice guidelines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Voluntary certification schemes pursuant to point 1.c of Article 16 of Regulation (EU) No 1305/2013 are not eligible for support under this sub-measure.</w:t>
            </w:r>
          </w:p>
          <w:p w:rsidR="00BD3B5F" w:rsidRPr="005C3B55" w:rsidRDefault="00BD3B5F">
            <w:pPr>
              <w:pStyle w:val="Telobesedila"/>
              <w:rPr>
                <w:szCs w:val="24"/>
              </w:rPr>
            </w:pPr>
          </w:p>
        </w:tc>
      </w:tr>
    </w:tbl>
    <w:p w:rsidR="00BD3B5F" w:rsidRPr="005C3B55" w:rsidRDefault="00BD3B5F">
      <w:pPr>
        <w:pStyle w:val="Naslov5"/>
        <w:tabs>
          <w:tab w:val="clear" w:pos="765"/>
        </w:tabs>
        <w:ind w:left="0" w:firstLine="0"/>
        <w:rPr>
          <w:b w:val="0"/>
          <w:szCs w:val="24"/>
          <w:lang w:val="en-GB"/>
        </w:rPr>
      </w:pPr>
      <w:r w:rsidRPr="005C3B55">
        <w:rPr>
          <w:b w:val="0"/>
          <w:szCs w:val="24"/>
          <w:lang w:val="en-GB"/>
        </w:rPr>
        <w:br w:type="page"/>
        <w:t xml:space="preserve">2. </w:t>
      </w:r>
      <w:r w:rsidRPr="005C3B55">
        <w:rPr>
          <w:b w:val="0"/>
          <w:noProof w:val="0"/>
          <w:szCs w:val="24"/>
          <w:lang w:val="en-GB"/>
        </w:rPr>
        <w:t>Support for new participation in quality schemes</w:t>
      </w:r>
    </w:p>
    <w:p w:rsidR="00BD3B5F" w:rsidRPr="005C3B55" w:rsidRDefault="00BD3B5F">
      <w:pPr>
        <w:rPr>
          <w:szCs w:val="24"/>
        </w:rPr>
      </w:pPr>
      <w:r w:rsidRPr="005C3B55">
        <w:rPr>
          <w:szCs w:val="24"/>
        </w:rPr>
        <w:t xml:space="preserve">Sub-measure: </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rsidP="00BD3B5F">
            <w:pPr>
              <w:numPr>
                <w:ilvl w:val="0"/>
                <w:numId w:val="151"/>
              </w:numPr>
              <w:rPr>
                <w:szCs w:val="24"/>
              </w:rPr>
            </w:pPr>
            <w:r w:rsidRPr="005C3B55">
              <w:rPr>
                <w:szCs w:val="24"/>
              </w:rPr>
              <w:t>3.1 – Support for new participation in quality schemes</w:t>
            </w:r>
          </w:p>
        </w:tc>
      </w:tr>
    </w:tbl>
    <w:p w:rsidR="00BD3B5F" w:rsidRPr="005C3B55" w:rsidRDefault="00BD3B5F">
      <w:pPr>
        <w:pStyle w:val="Naslov6"/>
        <w:tabs>
          <w:tab w:val="clear" w:pos="765"/>
        </w:tabs>
        <w:ind w:left="0" w:firstLine="0"/>
        <w:rPr>
          <w:szCs w:val="24"/>
          <w:lang w:val="en-GB"/>
        </w:rPr>
      </w:pPr>
      <w:r w:rsidRPr="005C3B55">
        <w:rPr>
          <w:noProof w:val="0"/>
          <w:szCs w:val="24"/>
          <w:lang w:val="en-GB"/>
        </w:rPr>
        <w:t>Description of type of operation</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The purpose of this sub-measure is to promote new participation by agricultural holdings and groups of agricultural holdings in quality schemes in order to increase the scope of production and marketing of products from quality schemes.</w:t>
            </w:r>
            <w:r w:rsidRPr="005C3B55">
              <w:rPr>
                <w:noProof/>
                <w:szCs w:val="24"/>
              </w:rPr>
              <w:t xml:space="preserve"> </w:t>
            </w:r>
            <w:r w:rsidRPr="005C3B55">
              <w:rPr>
                <w:szCs w:val="24"/>
              </w:rPr>
              <w:t>In addition, the objective is better inclusion in agro-food chains through quality schemes and by adding value to agricultural products.</w:t>
            </w:r>
            <w:r w:rsidRPr="005C3B55">
              <w:rPr>
                <w:noProof/>
                <w:szCs w:val="24"/>
              </w:rPr>
              <w:t xml:space="preserve"> </w:t>
            </w:r>
            <w:r w:rsidRPr="005C3B55">
              <w:rPr>
                <w:szCs w:val="24"/>
              </w:rPr>
              <w:t>Within the scope of this sub-measure, reimbursed costs to producers will emerge due to inclusion in the supported quality scheme, annual cooperation contribution and reviews necessary to assess conformity with the scheme specifications.</w:t>
            </w:r>
          </w:p>
          <w:p w:rsidR="00BD3B5F" w:rsidRPr="005C3B55" w:rsidRDefault="00BD3B5F">
            <w:pPr>
              <w:spacing w:before="240" w:after="240"/>
              <w:jc w:val="left"/>
              <w:rPr>
                <w:noProof/>
                <w:szCs w:val="24"/>
              </w:rPr>
            </w:pPr>
            <w:r w:rsidRPr="005C3B55">
              <w:rPr>
                <w:szCs w:val="24"/>
              </w:rPr>
              <w:t>Support is granted in the form of an annual incentive payment for a maximum of five consecutive years from joining a quality scheme.</w:t>
            </w:r>
          </w:p>
          <w:p w:rsidR="00BD3B5F" w:rsidRPr="005C3B55" w:rsidRDefault="00BD3B5F">
            <w:pPr>
              <w:spacing w:before="240" w:after="240"/>
              <w:jc w:val="left"/>
              <w:rPr>
                <w:noProof/>
                <w:szCs w:val="24"/>
              </w:rPr>
            </w:pPr>
            <w:r w:rsidRPr="005C3B55">
              <w:rPr>
                <w:szCs w:val="24"/>
              </w:rPr>
              <w:t>The following quality schemes are eligible for support within this measure:</w:t>
            </w:r>
          </w:p>
          <w:p w:rsidR="00BD3B5F" w:rsidRPr="005C3B55" w:rsidRDefault="00BD3B5F">
            <w:pPr>
              <w:spacing w:before="240" w:after="240"/>
              <w:jc w:val="left"/>
              <w:rPr>
                <w:noProof/>
                <w:szCs w:val="24"/>
              </w:rPr>
            </w:pPr>
            <w:r w:rsidRPr="005C3B55">
              <w:rPr>
                <w:noProof/>
                <w:szCs w:val="24"/>
              </w:rPr>
              <w:t xml:space="preserve">1. </w:t>
            </w:r>
            <w:r w:rsidRPr="005C3B55">
              <w:rPr>
                <w:szCs w:val="24"/>
              </w:rPr>
              <w:t>quality schemes and optional references to quality established on the basis of European legislation:</w:t>
            </w:r>
          </w:p>
          <w:p w:rsidR="00BD3B5F" w:rsidRPr="005C3B55" w:rsidRDefault="00BD3B5F" w:rsidP="00BD3B5F">
            <w:pPr>
              <w:numPr>
                <w:ilvl w:val="0"/>
                <w:numId w:val="152"/>
              </w:numPr>
              <w:spacing w:before="240" w:after="0"/>
              <w:ind w:hanging="290"/>
              <w:jc w:val="left"/>
              <w:rPr>
                <w:noProof/>
                <w:szCs w:val="24"/>
              </w:rPr>
            </w:pPr>
            <w:r w:rsidRPr="005C3B55">
              <w:rPr>
                <w:szCs w:val="24"/>
              </w:rPr>
              <w:t>protected geographical indication (PGI);</w:t>
            </w:r>
          </w:p>
          <w:p w:rsidR="00BD3B5F" w:rsidRPr="005C3B55" w:rsidRDefault="00BD3B5F" w:rsidP="00BD3B5F">
            <w:pPr>
              <w:numPr>
                <w:ilvl w:val="0"/>
                <w:numId w:val="152"/>
              </w:numPr>
              <w:spacing w:before="0" w:after="0"/>
              <w:ind w:hanging="290"/>
              <w:jc w:val="left"/>
              <w:rPr>
                <w:noProof/>
                <w:szCs w:val="24"/>
              </w:rPr>
            </w:pPr>
            <w:r w:rsidRPr="005C3B55">
              <w:rPr>
                <w:szCs w:val="24"/>
              </w:rPr>
              <w:t>protected designation of origin (PDO);</w:t>
            </w:r>
          </w:p>
          <w:p w:rsidR="00BD3B5F" w:rsidRPr="005C3B55" w:rsidRDefault="00BD3B5F" w:rsidP="00BD3B5F">
            <w:pPr>
              <w:numPr>
                <w:ilvl w:val="0"/>
                <w:numId w:val="152"/>
              </w:numPr>
              <w:spacing w:before="0" w:after="0"/>
              <w:ind w:hanging="290"/>
              <w:jc w:val="left"/>
              <w:rPr>
                <w:noProof/>
                <w:szCs w:val="24"/>
              </w:rPr>
            </w:pPr>
            <w:r w:rsidRPr="005C3B55">
              <w:rPr>
                <w:szCs w:val="24"/>
              </w:rPr>
              <w:t>traditional speciality guaranteed (GTS);</w:t>
            </w:r>
          </w:p>
          <w:p w:rsidR="00BD3B5F" w:rsidRPr="005C3B55" w:rsidRDefault="00BD3B5F" w:rsidP="00BD3B5F">
            <w:pPr>
              <w:numPr>
                <w:ilvl w:val="0"/>
                <w:numId w:val="152"/>
              </w:numPr>
              <w:spacing w:before="0" w:after="0"/>
              <w:ind w:hanging="290"/>
              <w:jc w:val="left"/>
              <w:rPr>
                <w:noProof/>
                <w:szCs w:val="24"/>
              </w:rPr>
            </w:pPr>
            <w:r w:rsidRPr="005C3B55">
              <w:rPr>
                <w:szCs w:val="24"/>
              </w:rPr>
              <w:t>organic production and processing, and</w:t>
            </w:r>
          </w:p>
          <w:p w:rsidR="00BD3B5F" w:rsidRPr="005C3B55" w:rsidRDefault="00BD3B5F" w:rsidP="00BD3B5F">
            <w:pPr>
              <w:numPr>
                <w:ilvl w:val="0"/>
                <w:numId w:val="152"/>
              </w:numPr>
              <w:spacing w:before="0" w:after="240"/>
              <w:ind w:hanging="290"/>
              <w:jc w:val="left"/>
              <w:rPr>
                <w:noProof/>
                <w:szCs w:val="24"/>
              </w:rPr>
            </w:pPr>
            <w:r w:rsidRPr="005C3B55">
              <w:rPr>
                <w:szCs w:val="24"/>
              </w:rPr>
              <w:t>optional references to quality.</w:t>
            </w:r>
          </w:p>
          <w:p w:rsidR="00BD3B5F" w:rsidRPr="005C3B55" w:rsidRDefault="00BD3B5F">
            <w:pPr>
              <w:spacing w:before="240" w:after="240"/>
              <w:jc w:val="left"/>
              <w:rPr>
                <w:noProof/>
                <w:szCs w:val="24"/>
              </w:rPr>
            </w:pPr>
            <w:r w:rsidRPr="005C3B55">
              <w:rPr>
                <w:noProof/>
                <w:szCs w:val="24"/>
              </w:rPr>
              <w:t xml:space="preserve">2. </w:t>
            </w:r>
            <w:r w:rsidRPr="005C3B55">
              <w:rPr>
                <w:szCs w:val="24"/>
              </w:rPr>
              <w:t>quality schemes established on the basis of national legislation:</w:t>
            </w:r>
          </w:p>
          <w:p w:rsidR="00BD3B5F" w:rsidRPr="005C3B55" w:rsidRDefault="00BD3B5F" w:rsidP="00BD3B5F">
            <w:pPr>
              <w:numPr>
                <w:ilvl w:val="0"/>
                <w:numId w:val="153"/>
              </w:numPr>
              <w:spacing w:before="240" w:after="0"/>
              <w:ind w:hanging="290"/>
              <w:jc w:val="left"/>
              <w:rPr>
                <w:noProof/>
                <w:szCs w:val="24"/>
              </w:rPr>
            </w:pPr>
            <w:r w:rsidRPr="005C3B55">
              <w:rPr>
                <w:szCs w:val="24"/>
              </w:rPr>
              <w:t>higher quality;</w:t>
            </w:r>
          </w:p>
          <w:p w:rsidR="00BD3B5F" w:rsidRPr="005C3B55" w:rsidRDefault="00BD3B5F" w:rsidP="00BD3B5F">
            <w:pPr>
              <w:numPr>
                <w:ilvl w:val="0"/>
                <w:numId w:val="153"/>
              </w:numPr>
              <w:spacing w:before="0" w:after="0"/>
              <w:ind w:hanging="290"/>
              <w:jc w:val="left"/>
              <w:rPr>
                <w:noProof/>
                <w:szCs w:val="24"/>
              </w:rPr>
            </w:pPr>
            <w:r w:rsidRPr="005C3B55">
              <w:rPr>
                <w:szCs w:val="24"/>
              </w:rPr>
              <w:t>selected quality;</w:t>
            </w:r>
          </w:p>
          <w:p w:rsidR="00BD3B5F" w:rsidRPr="005C3B55" w:rsidRDefault="00BD3B5F" w:rsidP="00BD3B5F">
            <w:pPr>
              <w:numPr>
                <w:ilvl w:val="0"/>
                <w:numId w:val="153"/>
              </w:numPr>
              <w:spacing w:before="0" w:after="0"/>
              <w:ind w:hanging="290"/>
              <w:jc w:val="left"/>
              <w:rPr>
                <w:noProof/>
                <w:szCs w:val="24"/>
              </w:rPr>
            </w:pPr>
            <w:r w:rsidRPr="005C3B55">
              <w:rPr>
                <w:szCs w:val="24"/>
              </w:rPr>
              <w:t>treats from our farms; and</w:t>
            </w:r>
          </w:p>
          <w:p w:rsidR="00BD3B5F" w:rsidRPr="005C3B55" w:rsidRDefault="00BD3B5F" w:rsidP="00BD3B5F">
            <w:pPr>
              <w:numPr>
                <w:ilvl w:val="0"/>
                <w:numId w:val="153"/>
              </w:numPr>
              <w:spacing w:before="0" w:after="240"/>
              <w:ind w:hanging="290"/>
              <w:jc w:val="left"/>
              <w:rPr>
                <w:noProof/>
                <w:szCs w:val="24"/>
              </w:rPr>
            </w:pPr>
            <w:r w:rsidRPr="005C3B55">
              <w:rPr>
                <w:szCs w:val="24"/>
              </w:rPr>
              <w:t>integrated production.</w:t>
            </w:r>
          </w:p>
          <w:p w:rsidR="00BD3B5F" w:rsidRPr="005C3B55" w:rsidRDefault="00BD3B5F">
            <w:pPr>
              <w:pStyle w:val="Telobesedila"/>
              <w:rPr>
                <w:szCs w:val="24"/>
              </w:rPr>
            </w:pPr>
          </w:p>
        </w:tc>
      </w:tr>
    </w:tbl>
    <w:p w:rsidR="00BD3B5F" w:rsidRPr="005C3B55" w:rsidRDefault="00BD3B5F" w:rsidP="004311A3">
      <w:pPr>
        <w:pStyle w:val="Naslov6"/>
        <w:tabs>
          <w:tab w:val="clear" w:pos="765"/>
        </w:tabs>
        <w:ind w:left="0" w:firstLine="0"/>
        <w:rPr>
          <w:szCs w:val="24"/>
          <w:lang w:val="en-GB"/>
        </w:rPr>
      </w:pPr>
      <w:r w:rsidRPr="005C3B55">
        <w:rPr>
          <w:noProof w:val="0"/>
          <w:szCs w:val="24"/>
          <w:lang w:val="en-GB"/>
        </w:rPr>
        <w:t>Type of support</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Support is granted in the form of non-refundable financial aid.</w:t>
            </w:r>
          </w:p>
          <w:p w:rsidR="00BD3B5F" w:rsidRPr="005C3B55" w:rsidRDefault="00BD3B5F">
            <w:pPr>
              <w:pStyle w:val="Telobesedila"/>
              <w:rPr>
                <w:szCs w:val="24"/>
              </w:rPr>
            </w:pPr>
          </w:p>
        </w:tc>
      </w:tr>
    </w:tbl>
    <w:p w:rsidR="00BD3B5F" w:rsidRPr="005C3B55" w:rsidRDefault="00BD3B5F">
      <w:pPr>
        <w:pStyle w:val="Naslov6"/>
        <w:tabs>
          <w:tab w:val="clear" w:pos="765"/>
        </w:tabs>
        <w:ind w:left="0" w:firstLine="0"/>
        <w:rPr>
          <w:szCs w:val="24"/>
          <w:lang w:val="en-GB"/>
        </w:rPr>
      </w:pPr>
      <w:r w:rsidRPr="005C3B55">
        <w:rPr>
          <w:noProof w:val="0"/>
          <w:szCs w:val="24"/>
          <w:lang w:val="en-GB"/>
        </w:rPr>
        <w:t>Connection with other legislation</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rsidP="00BD3B5F">
            <w:pPr>
              <w:numPr>
                <w:ilvl w:val="0"/>
                <w:numId w:val="154"/>
              </w:numPr>
              <w:spacing w:before="0" w:after="0"/>
              <w:ind w:hanging="290"/>
              <w:jc w:val="left"/>
              <w:rPr>
                <w:noProof/>
                <w:szCs w:val="24"/>
              </w:rPr>
            </w:pPr>
            <w:r w:rsidRPr="005C3B55">
              <w:rPr>
                <w:szCs w:val="24"/>
              </w:rPr>
              <w:t>Agriculture Act (Official Gazette of the Republic of Slovenia, no. 45/2008 with all amendments);</w:t>
            </w:r>
          </w:p>
          <w:p w:rsidR="00BD3B5F" w:rsidRPr="005C3B55" w:rsidRDefault="00BD3B5F" w:rsidP="00BD3B5F">
            <w:pPr>
              <w:numPr>
                <w:ilvl w:val="0"/>
                <w:numId w:val="154"/>
              </w:numPr>
              <w:spacing w:before="0" w:after="0"/>
              <w:ind w:hanging="290"/>
              <w:jc w:val="left"/>
              <w:rPr>
                <w:noProof/>
                <w:szCs w:val="24"/>
              </w:rPr>
            </w:pPr>
            <w:r w:rsidRPr="005C3B55">
              <w:rPr>
                <w:szCs w:val="24"/>
              </w:rPr>
              <w:t>Regulation (EU) No 1307/2013 of the European Parliament and of the Council of 17 December 2013 establishing rules for direct payments to farmers under support schemes within the framework of the common agricultural policy and repealing Council Regulation (EC) No 637/2008 and Council Regulation (EC) No 73/2009; OJ L 347 of 20 December 2013, p. 608;</w:t>
            </w:r>
          </w:p>
          <w:p w:rsidR="00BD3B5F" w:rsidRPr="005C3B55" w:rsidRDefault="00BD3B5F" w:rsidP="00BD3B5F">
            <w:pPr>
              <w:numPr>
                <w:ilvl w:val="0"/>
                <w:numId w:val="154"/>
              </w:numPr>
              <w:spacing w:before="0" w:after="0"/>
              <w:ind w:hanging="290"/>
              <w:jc w:val="left"/>
              <w:rPr>
                <w:noProof/>
                <w:szCs w:val="24"/>
              </w:rPr>
            </w:pPr>
            <w:r w:rsidRPr="005C3B55">
              <w:rPr>
                <w:szCs w:val="24"/>
              </w:rPr>
              <w:t>Council Regulation (EC) No 1151/2012 of 21 November 2012 on quality schemes for agricultural products and foodstuffs; OJ L 343 of 14 December 2012, p. 1;</w:t>
            </w:r>
            <w:r w:rsidRPr="005C3B55">
              <w:rPr>
                <w:noProof/>
                <w:szCs w:val="24"/>
              </w:rPr>
              <w:t> </w:t>
            </w:r>
          </w:p>
          <w:p w:rsidR="00BD3B5F" w:rsidRPr="005C3B55" w:rsidRDefault="00BD3B5F" w:rsidP="00BD3B5F">
            <w:pPr>
              <w:numPr>
                <w:ilvl w:val="0"/>
                <w:numId w:val="154"/>
              </w:numPr>
              <w:spacing w:before="0" w:after="0"/>
              <w:ind w:hanging="290"/>
              <w:jc w:val="left"/>
              <w:rPr>
                <w:noProof/>
                <w:szCs w:val="24"/>
              </w:rPr>
            </w:pPr>
            <w:r w:rsidRPr="005C3B55">
              <w:rPr>
                <w:szCs w:val="24"/>
              </w:rPr>
              <w:t>Council Regulation (EC) No 834/2007 of 28 June 2007 on organic production and labelling of organic products and repealing Regulation (EEC) No 2092/91; OJ L 189 of 20 July 2014, p. 1;</w:t>
            </w:r>
          </w:p>
          <w:p w:rsidR="00BD3B5F" w:rsidRPr="005C3B55" w:rsidRDefault="00BD3B5F" w:rsidP="00BD3B5F">
            <w:pPr>
              <w:numPr>
                <w:ilvl w:val="0"/>
                <w:numId w:val="154"/>
              </w:numPr>
              <w:spacing w:before="0" w:after="0"/>
              <w:ind w:hanging="290"/>
              <w:jc w:val="left"/>
              <w:rPr>
                <w:noProof/>
                <w:szCs w:val="24"/>
              </w:rPr>
            </w:pPr>
            <w:r w:rsidRPr="005C3B55">
              <w:rPr>
                <w:szCs w:val="24"/>
              </w:rPr>
              <w:t>Council Regulation (EU) No 1308/2013 of 17 December 2013 establishing a common organisation of the markets in agricultural products and repealing Council Regulations (EEC) No 922/72, (EEC) No 234/79, (EC) No 1037/2001 and (EC) No 1234/2007; OJ L 347, of 20 December 2013, p. 671;</w:t>
            </w:r>
          </w:p>
          <w:p w:rsidR="00BD3B5F" w:rsidRPr="005C3B55" w:rsidRDefault="00BD3B5F" w:rsidP="00BD3B5F">
            <w:pPr>
              <w:numPr>
                <w:ilvl w:val="0"/>
                <w:numId w:val="154"/>
              </w:numPr>
              <w:spacing w:before="0" w:after="0"/>
              <w:ind w:hanging="290"/>
              <w:jc w:val="left"/>
              <w:rPr>
                <w:noProof/>
                <w:szCs w:val="24"/>
              </w:rPr>
            </w:pPr>
            <w:r w:rsidRPr="005C3B55">
              <w:rPr>
                <w:szCs w:val="24"/>
              </w:rPr>
              <w:t>Regulation (EU) No 251/2014 of the European Parliament and of the Council of 26 February 2014 on the definition, description, presentation, labelling and the protection of geographical indications of aromatised wine products and repealing Council Regulation (EEC) No 1601/91); OJ L 84 of 20 March 2014, p. 14;</w:t>
            </w:r>
          </w:p>
          <w:p w:rsidR="00BD3B5F" w:rsidRPr="005C3B55" w:rsidRDefault="00BD3B5F" w:rsidP="00BD3B5F">
            <w:pPr>
              <w:numPr>
                <w:ilvl w:val="0"/>
                <w:numId w:val="154"/>
              </w:numPr>
              <w:spacing w:before="0" w:after="0"/>
              <w:ind w:hanging="290"/>
              <w:jc w:val="left"/>
              <w:rPr>
                <w:noProof/>
                <w:szCs w:val="24"/>
              </w:rPr>
            </w:pPr>
            <w:r w:rsidRPr="005C3B55">
              <w:rPr>
                <w:szCs w:val="24"/>
              </w:rPr>
              <w:t>national regulation on the implementation of this sub-measure; and</w:t>
            </w:r>
          </w:p>
          <w:p w:rsidR="00BD3B5F" w:rsidRPr="005C3B55" w:rsidRDefault="00BD3B5F" w:rsidP="00BD3B5F">
            <w:pPr>
              <w:numPr>
                <w:ilvl w:val="0"/>
                <w:numId w:val="154"/>
              </w:numPr>
              <w:spacing w:before="0" w:after="240"/>
              <w:ind w:hanging="290"/>
              <w:jc w:val="left"/>
              <w:rPr>
                <w:noProof/>
                <w:szCs w:val="24"/>
              </w:rPr>
            </w:pPr>
            <w:r w:rsidRPr="005C3B55">
              <w:rPr>
                <w:szCs w:val="24"/>
              </w:rPr>
              <w:t>other EU and national legislation which regulates the implementation of this operation.</w:t>
            </w:r>
          </w:p>
          <w:p w:rsidR="00BD3B5F" w:rsidRPr="005C3B55" w:rsidRDefault="00BD3B5F">
            <w:pPr>
              <w:pStyle w:val="Telobesedila"/>
              <w:rPr>
                <w:szCs w:val="24"/>
              </w:rPr>
            </w:pPr>
          </w:p>
        </w:tc>
      </w:tr>
    </w:tbl>
    <w:p w:rsidR="00BD3B5F" w:rsidRPr="005C3B55" w:rsidRDefault="00BD3B5F">
      <w:pPr>
        <w:pStyle w:val="Naslov6"/>
        <w:tabs>
          <w:tab w:val="clear" w:pos="765"/>
        </w:tabs>
        <w:ind w:left="0" w:firstLine="0"/>
        <w:rPr>
          <w:szCs w:val="24"/>
          <w:lang w:val="en-GB"/>
        </w:rPr>
      </w:pPr>
      <w:r w:rsidRPr="005C3B55">
        <w:rPr>
          <w:noProof w:val="0"/>
          <w:szCs w:val="24"/>
          <w:lang w:val="en-GB"/>
        </w:rPr>
        <w:t>Beneficiaries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The beneficiaries of public support are:</w:t>
            </w:r>
          </w:p>
          <w:p w:rsidR="00BD3B5F" w:rsidRPr="005C3B55" w:rsidRDefault="00BD3B5F" w:rsidP="00BD3B5F">
            <w:pPr>
              <w:numPr>
                <w:ilvl w:val="0"/>
                <w:numId w:val="155"/>
              </w:numPr>
              <w:spacing w:before="240" w:after="0"/>
              <w:ind w:hanging="290"/>
              <w:jc w:val="left"/>
              <w:rPr>
                <w:noProof/>
                <w:szCs w:val="24"/>
              </w:rPr>
            </w:pPr>
            <w:r w:rsidRPr="005C3B55">
              <w:rPr>
                <w:szCs w:val="24"/>
              </w:rPr>
              <w:t>agricultural holdings that carry out agricultural activity in the Republic of Slovenia and are newly included in an EU quality scheme or the national scheme; and</w:t>
            </w:r>
          </w:p>
          <w:p w:rsidR="00BD3B5F" w:rsidRPr="005C3B55" w:rsidRDefault="00BD3B5F" w:rsidP="00BD3B5F">
            <w:pPr>
              <w:numPr>
                <w:ilvl w:val="0"/>
                <w:numId w:val="155"/>
              </w:numPr>
              <w:spacing w:before="0" w:after="240"/>
              <w:ind w:hanging="290"/>
              <w:jc w:val="left"/>
              <w:rPr>
                <w:noProof/>
                <w:szCs w:val="24"/>
              </w:rPr>
            </w:pPr>
            <w:r w:rsidRPr="005C3B55">
              <w:rPr>
                <w:szCs w:val="24"/>
              </w:rPr>
              <w:t>groups of agricultural holdings which as a group are subject to joint conformity assessment control for the eligible quality scheme, are legal entities and are newly included in an EU quality scheme or a national scheme.</w:t>
            </w:r>
          </w:p>
          <w:p w:rsidR="00BD3B5F" w:rsidRPr="005C3B55" w:rsidRDefault="00BD3B5F">
            <w:pPr>
              <w:spacing w:before="240" w:after="240"/>
              <w:jc w:val="left"/>
              <w:rPr>
                <w:noProof/>
                <w:szCs w:val="24"/>
              </w:rPr>
            </w:pPr>
            <w:r w:rsidRPr="005C3B55">
              <w:rPr>
                <w:szCs w:val="24"/>
              </w:rPr>
              <w:t>Eligible for support are agricultural holdings or groups of agricultural holdings which produce:</w:t>
            </w:r>
          </w:p>
          <w:p w:rsidR="00BD3B5F" w:rsidRPr="005C3B55" w:rsidRDefault="00BD3B5F" w:rsidP="00BD3B5F">
            <w:pPr>
              <w:numPr>
                <w:ilvl w:val="0"/>
                <w:numId w:val="156"/>
              </w:numPr>
              <w:spacing w:before="240" w:after="0"/>
              <w:ind w:hanging="290"/>
              <w:jc w:val="left"/>
              <w:rPr>
                <w:noProof/>
                <w:szCs w:val="24"/>
              </w:rPr>
            </w:pPr>
            <w:r w:rsidRPr="005C3B55">
              <w:rPr>
                <w:szCs w:val="24"/>
              </w:rPr>
              <w:t>products registered at the EU level (PDO, PGI, GTS),</w:t>
            </w:r>
          </w:p>
          <w:p w:rsidR="00BD3B5F" w:rsidRPr="005C3B55" w:rsidRDefault="00BD3B5F" w:rsidP="00BD3B5F">
            <w:pPr>
              <w:numPr>
                <w:ilvl w:val="0"/>
                <w:numId w:val="156"/>
              </w:numPr>
              <w:spacing w:before="0" w:after="0"/>
              <w:ind w:hanging="290"/>
              <w:jc w:val="left"/>
              <w:rPr>
                <w:noProof/>
                <w:szCs w:val="24"/>
              </w:rPr>
            </w:pPr>
            <w:r w:rsidRPr="005C3B55">
              <w:rPr>
                <w:szCs w:val="24"/>
              </w:rPr>
              <w:t>products from national quality schemes (Higher quality, Selected quality, Treats from our farms, Integrated production),</w:t>
            </w:r>
          </w:p>
          <w:p w:rsidR="00BD3B5F" w:rsidRPr="005C3B55" w:rsidRDefault="00BD3B5F" w:rsidP="00BD3B5F">
            <w:pPr>
              <w:numPr>
                <w:ilvl w:val="0"/>
                <w:numId w:val="156"/>
              </w:numPr>
              <w:spacing w:before="0" w:after="0"/>
              <w:ind w:hanging="290"/>
              <w:jc w:val="left"/>
              <w:rPr>
                <w:noProof/>
                <w:szCs w:val="24"/>
              </w:rPr>
            </w:pPr>
            <w:r w:rsidRPr="005C3B55">
              <w:rPr>
                <w:szCs w:val="24"/>
              </w:rPr>
              <w:t>organically produced and processed agricultural products and foodstuffs;</w:t>
            </w:r>
          </w:p>
          <w:p w:rsidR="00BD3B5F" w:rsidRPr="005C3B55" w:rsidRDefault="00BD3B5F" w:rsidP="00BD3B5F">
            <w:pPr>
              <w:numPr>
                <w:ilvl w:val="0"/>
                <w:numId w:val="156"/>
              </w:numPr>
              <w:spacing w:before="0" w:after="0"/>
              <w:ind w:hanging="290"/>
              <w:jc w:val="left"/>
              <w:rPr>
                <w:noProof/>
                <w:szCs w:val="24"/>
              </w:rPr>
            </w:pPr>
            <w:r w:rsidRPr="005C3B55">
              <w:rPr>
                <w:szCs w:val="24"/>
              </w:rPr>
              <w:t>wine registered in EU quality schemes’ registers (quality wine PDO, wine of superior quality PDO and wine RTD),</w:t>
            </w:r>
          </w:p>
          <w:p w:rsidR="00BD3B5F" w:rsidRPr="005C3B55" w:rsidRDefault="00BD3B5F" w:rsidP="00BD3B5F">
            <w:pPr>
              <w:numPr>
                <w:ilvl w:val="0"/>
                <w:numId w:val="156"/>
              </w:numPr>
              <w:spacing w:before="0" w:after="0"/>
              <w:ind w:hanging="290"/>
              <w:jc w:val="left"/>
              <w:rPr>
                <w:noProof/>
                <w:szCs w:val="24"/>
              </w:rPr>
            </w:pPr>
            <w:r w:rsidRPr="005C3B55">
              <w:rPr>
                <w:szCs w:val="24"/>
              </w:rPr>
              <w:t>aromatised wines, aromatised beverages on a wine basis and aromatised mixed drinks from wine products which are registered in the EU quality schemes registers, or</w:t>
            </w:r>
          </w:p>
          <w:p w:rsidR="00BD3B5F" w:rsidRPr="005C3B55" w:rsidRDefault="00BD3B5F" w:rsidP="00BD3B5F">
            <w:pPr>
              <w:numPr>
                <w:ilvl w:val="0"/>
                <w:numId w:val="156"/>
              </w:numPr>
              <w:spacing w:before="0" w:after="240"/>
              <w:ind w:hanging="290"/>
              <w:jc w:val="left"/>
              <w:rPr>
                <w:noProof/>
                <w:szCs w:val="24"/>
              </w:rPr>
            </w:pPr>
            <w:r w:rsidRPr="005C3B55">
              <w:rPr>
                <w:szCs w:val="24"/>
              </w:rPr>
              <w:t>products for which it is not mandatory to indicate quality.</w:t>
            </w:r>
          </w:p>
          <w:p w:rsidR="00BD3B5F" w:rsidRPr="005C3B55" w:rsidRDefault="00BD3B5F">
            <w:pPr>
              <w:spacing w:before="240" w:after="240"/>
              <w:jc w:val="left"/>
              <w:rPr>
                <w:noProof/>
                <w:szCs w:val="24"/>
              </w:rPr>
            </w:pPr>
            <w:r w:rsidRPr="005C3B55">
              <w:rPr>
                <w:szCs w:val="24"/>
              </w:rPr>
              <w:t>Producers, included in the ‘Organic production quality’ scheme are eligible for support from this sub-measure also in the period of conversion if they do not also claim the same costs in the measure under Article 29 of Regulation (EU) No 1305/2013/EU, ‘Organic farming’.</w:t>
            </w:r>
            <w:r w:rsidRPr="005C3B55">
              <w:rPr>
                <w:noProof/>
                <w:szCs w:val="24"/>
              </w:rPr>
              <w:t xml:space="preserve"> </w:t>
            </w:r>
            <w:r w:rsidRPr="005C3B55">
              <w:rPr>
                <w:szCs w:val="24"/>
              </w:rPr>
              <w:t>The period of conversion is considered in the total five-year period from the date of inclusion in the quality scheme.</w:t>
            </w:r>
          </w:p>
          <w:p w:rsidR="00BD3B5F" w:rsidRPr="005C3B55" w:rsidRDefault="00BD3B5F">
            <w:pPr>
              <w:spacing w:before="240" w:after="240"/>
              <w:jc w:val="left"/>
              <w:rPr>
                <w:noProof/>
                <w:szCs w:val="24"/>
              </w:rPr>
            </w:pPr>
            <w:r w:rsidRPr="005C3B55">
              <w:rPr>
                <w:szCs w:val="24"/>
              </w:rPr>
              <w:t>Only producers who market agricultural products intended for human consumption are eligible for support.</w:t>
            </w:r>
          </w:p>
          <w:p w:rsidR="00BD3B5F" w:rsidRPr="005C3B55" w:rsidRDefault="00BD3B5F">
            <w:pPr>
              <w:pStyle w:val="Telobesedila"/>
              <w:rPr>
                <w:szCs w:val="24"/>
              </w:rPr>
            </w:pPr>
          </w:p>
        </w:tc>
      </w:tr>
    </w:tbl>
    <w:p w:rsidR="00BD3B5F" w:rsidRPr="005C3B55" w:rsidRDefault="00BD3B5F">
      <w:pPr>
        <w:pStyle w:val="Naslov6"/>
        <w:tabs>
          <w:tab w:val="clear" w:pos="765"/>
        </w:tabs>
        <w:ind w:left="0" w:firstLine="0"/>
        <w:rPr>
          <w:szCs w:val="24"/>
          <w:lang w:val="en-GB"/>
        </w:rPr>
      </w:pPr>
      <w:r w:rsidRPr="005C3B55">
        <w:rPr>
          <w:noProof w:val="0"/>
          <w:szCs w:val="24"/>
          <w:lang w:val="en-GB"/>
        </w:rPr>
        <w:t>Eligible costs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Eligible costs are fixed costs incurred due to inclusion in a quality scheme and annual contributions for participation in the scheme.</w:t>
            </w:r>
          </w:p>
          <w:p w:rsidR="00BD3B5F" w:rsidRPr="005C3B55" w:rsidRDefault="00BD3B5F">
            <w:pPr>
              <w:spacing w:before="240" w:after="240"/>
              <w:jc w:val="left"/>
              <w:rPr>
                <w:noProof/>
                <w:szCs w:val="24"/>
              </w:rPr>
            </w:pPr>
            <w:r w:rsidRPr="005C3B55">
              <w:rPr>
                <w:szCs w:val="24"/>
              </w:rPr>
              <w:t>The following are deemed fixed costs:</w:t>
            </w:r>
          </w:p>
          <w:p w:rsidR="00BD3B5F" w:rsidRPr="005C3B55" w:rsidRDefault="00BD3B5F" w:rsidP="00BD3B5F">
            <w:pPr>
              <w:numPr>
                <w:ilvl w:val="0"/>
                <w:numId w:val="157"/>
              </w:numPr>
              <w:spacing w:before="240" w:after="0"/>
              <w:ind w:hanging="290"/>
              <w:jc w:val="left"/>
              <w:rPr>
                <w:noProof/>
                <w:szCs w:val="24"/>
              </w:rPr>
            </w:pPr>
            <w:r w:rsidRPr="005C3B55">
              <w:rPr>
                <w:szCs w:val="24"/>
              </w:rPr>
              <w:t>costs of inclusion in the supported quality scheme and annual contribution for participation;</w:t>
            </w:r>
          </w:p>
          <w:p w:rsidR="00BD3B5F" w:rsidRPr="005C3B55" w:rsidRDefault="00BD3B5F" w:rsidP="00BD3B5F">
            <w:pPr>
              <w:numPr>
                <w:ilvl w:val="0"/>
                <w:numId w:val="157"/>
              </w:numPr>
              <w:spacing w:before="0" w:after="0"/>
              <w:ind w:hanging="290"/>
              <w:jc w:val="left"/>
              <w:rPr>
                <w:noProof/>
                <w:szCs w:val="24"/>
              </w:rPr>
            </w:pPr>
            <w:r w:rsidRPr="005C3B55">
              <w:rPr>
                <w:szCs w:val="24"/>
              </w:rPr>
              <w:t>costs of assessments ensuring conformity with requirements originating from regulations, rules and scheme specifications;</w:t>
            </w:r>
          </w:p>
          <w:p w:rsidR="00BD3B5F" w:rsidRPr="005C3B55" w:rsidRDefault="00BD3B5F" w:rsidP="00BD3B5F">
            <w:pPr>
              <w:numPr>
                <w:ilvl w:val="0"/>
                <w:numId w:val="157"/>
              </w:numPr>
              <w:spacing w:before="0" w:after="0"/>
              <w:ind w:hanging="290"/>
              <w:jc w:val="left"/>
              <w:rPr>
                <w:noProof/>
                <w:szCs w:val="24"/>
              </w:rPr>
            </w:pPr>
            <w:r w:rsidRPr="005C3B55">
              <w:rPr>
                <w:szCs w:val="24"/>
              </w:rPr>
              <w:t>costs of analyses (e.g. physical and chemical analyses, microbiological analyses) and</w:t>
            </w:r>
          </w:p>
          <w:p w:rsidR="00BD3B5F" w:rsidRPr="005C3B55" w:rsidRDefault="00BD3B5F" w:rsidP="00BD3B5F">
            <w:pPr>
              <w:numPr>
                <w:ilvl w:val="0"/>
                <w:numId w:val="157"/>
              </w:numPr>
              <w:spacing w:before="0" w:after="240"/>
              <w:ind w:hanging="290"/>
              <w:jc w:val="left"/>
              <w:rPr>
                <w:noProof/>
                <w:szCs w:val="24"/>
              </w:rPr>
            </w:pPr>
            <w:r w:rsidRPr="005C3B55">
              <w:rPr>
                <w:szCs w:val="24"/>
              </w:rPr>
              <w:t>administrative costs (e.g. keeping records on the quality scheme, labelling products with quality symbols).</w:t>
            </w:r>
          </w:p>
          <w:p w:rsidR="00BD3B5F" w:rsidRPr="005C3B55" w:rsidRDefault="00BD3B5F">
            <w:pPr>
              <w:pStyle w:val="Telobesedila"/>
              <w:rPr>
                <w:szCs w:val="24"/>
              </w:rPr>
            </w:pPr>
          </w:p>
        </w:tc>
      </w:tr>
    </w:tbl>
    <w:p w:rsidR="00BD3B5F" w:rsidRPr="005C3B55" w:rsidRDefault="00BD3B5F">
      <w:pPr>
        <w:pStyle w:val="Naslov6"/>
        <w:tabs>
          <w:tab w:val="clear" w:pos="765"/>
        </w:tabs>
        <w:ind w:left="0" w:firstLine="0"/>
        <w:rPr>
          <w:szCs w:val="24"/>
          <w:lang w:val="en-GB"/>
        </w:rPr>
      </w:pPr>
      <w:r w:rsidRPr="005C3B55">
        <w:rPr>
          <w:noProof w:val="0"/>
          <w:szCs w:val="24"/>
          <w:lang w:val="en-GB"/>
        </w:rPr>
        <w:t>Conditions for eligibility</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rsidP="00BD3B5F">
            <w:pPr>
              <w:numPr>
                <w:ilvl w:val="0"/>
                <w:numId w:val="158"/>
              </w:numPr>
              <w:spacing w:before="0" w:after="0"/>
              <w:ind w:hanging="290"/>
              <w:jc w:val="left"/>
              <w:rPr>
                <w:noProof/>
                <w:szCs w:val="24"/>
              </w:rPr>
            </w:pPr>
            <w:r w:rsidRPr="005C3B55">
              <w:rPr>
                <w:szCs w:val="24"/>
              </w:rPr>
              <w:t>The agricultural holding meets the condition of an active farmer as per Article 9 of Regulation (EU) No 1307/2013.</w:t>
            </w:r>
          </w:p>
          <w:p w:rsidR="00BD3B5F" w:rsidRPr="005C3B55" w:rsidRDefault="00BD3B5F" w:rsidP="00BD3B5F">
            <w:pPr>
              <w:numPr>
                <w:ilvl w:val="0"/>
                <w:numId w:val="158"/>
              </w:numPr>
              <w:spacing w:before="0" w:after="0"/>
              <w:ind w:hanging="290"/>
              <w:jc w:val="left"/>
              <w:rPr>
                <w:noProof/>
                <w:szCs w:val="24"/>
              </w:rPr>
            </w:pPr>
            <w:r w:rsidRPr="005C3B55">
              <w:rPr>
                <w:szCs w:val="24"/>
              </w:rPr>
              <w:t>The agricultural holding must be registered in the register of agricultural holdings.</w:t>
            </w:r>
          </w:p>
          <w:p w:rsidR="00BD3B5F" w:rsidRPr="005C3B55" w:rsidRDefault="00BD3B5F" w:rsidP="00BD3B5F">
            <w:pPr>
              <w:numPr>
                <w:ilvl w:val="0"/>
                <w:numId w:val="158"/>
              </w:numPr>
              <w:spacing w:before="0" w:after="0"/>
              <w:ind w:hanging="290"/>
              <w:jc w:val="left"/>
              <w:rPr>
                <w:noProof/>
                <w:szCs w:val="24"/>
              </w:rPr>
            </w:pPr>
            <w:r w:rsidRPr="005C3B55">
              <w:rPr>
                <w:szCs w:val="24"/>
              </w:rPr>
              <w:t>The agricultural holding or group of agricultural holdings must have certification or a certificate on a completed control which proves its inclusion in a certain quality scheme.</w:t>
            </w:r>
          </w:p>
          <w:p w:rsidR="00BD3B5F" w:rsidRPr="005C3B55" w:rsidRDefault="00BD3B5F" w:rsidP="00BD3B5F">
            <w:pPr>
              <w:numPr>
                <w:ilvl w:val="0"/>
                <w:numId w:val="158"/>
              </w:numPr>
              <w:spacing w:before="0" w:after="0"/>
              <w:ind w:hanging="290"/>
              <w:jc w:val="left"/>
              <w:rPr>
                <w:noProof/>
                <w:szCs w:val="24"/>
              </w:rPr>
            </w:pPr>
            <w:r w:rsidRPr="005C3B55">
              <w:rPr>
                <w:szCs w:val="24"/>
              </w:rPr>
              <w:t>Agricultural products or foodstuffs included in quality schemes must be sold by the agricultural holding as products from quality schemes.</w:t>
            </w:r>
          </w:p>
          <w:p w:rsidR="00BD3B5F" w:rsidRPr="005C3B55" w:rsidRDefault="00BD3B5F" w:rsidP="00BD3B5F">
            <w:pPr>
              <w:numPr>
                <w:ilvl w:val="0"/>
                <w:numId w:val="158"/>
              </w:numPr>
              <w:spacing w:before="0" w:after="240"/>
              <w:ind w:hanging="290"/>
              <w:jc w:val="left"/>
              <w:rPr>
                <w:noProof/>
                <w:szCs w:val="24"/>
              </w:rPr>
            </w:pPr>
            <w:r w:rsidRPr="005C3B55">
              <w:rPr>
                <w:szCs w:val="24"/>
              </w:rPr>
              <w:t>When selling end products, the national quality scheme trademark or related European quality scheme trademark must be used.</w:t>
            </w:r>
          </w:p>
          <w:p w:rsidR="00BD3B5F" w:rsidRPr="005C3B55" w:rsidRDefault="00BD3B5F">
            <w:pPr>
              <w:pStyle w:val="Telobesedila"/>
              <w:rPr>
                <w:szCs w:val="24"/>
              </w:rPr>
            </w:pPr>
          </w:p>
        </w:tc>
      </w:tr>
    </w:tbl>
    <w:p w:rsidR="00BD3B5F" w:rsidRPr="005C3B55" w:rsidRDefault="00BD3B5F">
      <w:pPr>
        <w:pStyle w:val="Naslov6"/>
        <w:tabs>
          <w:tab w:val="clear" w:pos="765"/>
        </w:tabs>
        <w:ind w:left="0" w:firstLine="0"/>
        <w:rPr>
          <w:szCs w:val="24"/>
          <w:lang w:val="en-GB"/>
        </w:rPr>
      </w:pPr>
      <w:r w:rsidRPr="005C3B55">
        <w:rPr>
          <w:noProof w:val="0"/>
          <w:szCs w:val="24"/>
          <w:lang w:val="en-GB"/>
        </w:rPr>
        <w:t>Principles regarding the determination of selection criteria</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The sub-measure will be implemented as an open public tender.</w:t>
            </w:r>
          </w:p>
          <w:p w:rsidR="00BD3B5F" w:rsidRPr="005C3B55" w:rsidRDefault="00BD3B5F">
            <w:pPr>
              <w:spacing w:before="240" w:after="240"/>
              <w:jc w:val="left"/>
              <w:rPr>
                <w:noProof/>
                <w:szCs w:val="24"/>
              </w:rPr>
            </w:pPr>
            <w:r w:rsidRPr="005C3B55">
              <w:rPr>
                <w:szCs w:val="24"/>
              </w:rPr>
              <w:t>Selected projects whose applications are complete and adequate in terms of content and which meet the conditions for receiving funds and exceed the threshold number of points determined in the public tender will be eligible for support.</w:t>
            </w:r>
            <w:r w:rsidRPr="005C3B55">
              <w:rPr>
                <w:noProof/>
                <w:szCs w:val="24"/>
              </w:rPr>
              <w:t xml:space="preserve"> </w:t>
            </w:r>
            <w:r w:rsidRPr="005C3B55">
              <w:rPr>
                <w:szCs w:val="24"/>
              </w:rPr>
              <w:t>An administrative procedure for the selection will be established which will enable ongoing applications and the selection of operations three to four times a year, which will be enabled by the ongoing application system.</w:t>
            </w:r>
          </w:p>
          <w:p w:rsidR="00BD3B5F" w:rsidRPr="005C3B55" w:rsidRDefault="00BD3B5F">
            <w:pPr>
              <w:spacing w:before="240" w:after="240"/>
              <w:jc w:val="left"/>
              <w:rPr>
                <w:noProof/>
                <w:szCs w:val="24"/>
              </w:rPr>
            </w:pPr>
            <w:r w:rsidRPr="005C3B55">
              <w:rPr>
                <w:szCs w:val="24"/>
              </w:rPr>
              <w:t>As part of the selection criteria, the greatest emphasis will be on the type of quality scheme and its contribution to horizontal objectives.</w:t>
            </w:r>
          </w:p>
          <w:p w:rsidR="00BD3B5F" w:rsidRPr="005C3B55" w:rsidRDefault="00BD3B5F">
            <w:pPr>
              <w:pStyle w:val="Telobesedila"/>
              <w:rPr>
                <w:szCs w:val="24"/>
              </w:rPr>
            </w:pPr>
          </w:p>
        </w:tc>
      </w:tr>
    </w:tbl>
    <w:p w:rsidR="00BD3B5F" w:rsidRPr="005C3B55" w:rsidRDefault="00BD3B5F">
      <w:pPr>
        <w:pStyle w:val="Naslov6"/>
        <w:tabs>
          <w:tab w:val="clear" w:pos="765"/>
        </w:tabs>
        <w:ind w:left="0" w:firstLine="0"/>
        <w:rPr>
          <w:szCs w:val="24"/>
          <w:lang w:val="en-GB"/>
        </w:rPr>
      </w:pPr>
      <w:r w:rsidRPr="005C3B55">
        <w:rPr>
          <w:noProof w:val="0"/>
          <w:szCs w:val="24"/>
          <w:lang w:val="en-GB"/>
        </w:rPr>
        <w:t>(Valid) amounts and support rates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Public support is granted in the form of an annual incentive payment for a period of maximum five consecutive years from joining a quality scheme.</w:t>
            </w:r>
          </w:p>
          <w:p w:rsidR="00BD3B5F" w:rsidRPr="005C3B55" w:rsidRDefault="00BD3B5F">
            <w:pPr>
              <w:spacing w:before="240" w:after="240"/>
              <w:jc w:val="left"/>
              <w:rPr>
                <w:noProof/>
                <w:szCs w:val="24"/>
              </w:rPr>
            </w:pPr>
            <w:r w:rsidRPr="005C3B55">
              <w:rPr>
                <w:szCs w:val="24"/>
              </w:rPr>
              <w:t>The public support rate amounts to 100% of eligible costs.</w:t>
            </w:r>
          </w:p>
          <w:p w:rsidR="00BD3B5F" w:rsidRPr="005C3B55" w:rsidRDefault="00BD3B5F">
            <w:pPr>
              <w:spacing w:before="240" w:after="240"/>
              <w:jc w:val="left"/>
              <w:rPr>
                <w:noProof/>
                <w:szCs w:val="24"/>
              </w:rPr>
            </w:pPr>
            <w:r w:rsidRPr="005C3B55">
              <w:rPr>
                <w:szCs w:val="24"/>
              </w:rPr>
              <w:t>The highest amount of public support is EUR 3,000 per individual quality scheme.</w:t>
            </w:r>
          </w:p>
          <w:p w:rsidR="00BD3B5F" w:rsidRPr="005C3B55" w:rsidRDefault="00BD3B5F">
            <w:pPr>
              <w:spacing w:before="240" w:after="240"/>
              <w:jc w:val="left"/>
              <w:rPr>
                <w:noProof/>
                <w:szCs w:val="24"/>
              </w:rPr>
            </w:pPr>
            <w:r w:rsidRPr="005C3B55">
              <w:rPr>
                <w:szCs w:val="24"/>
              </w:rPr>
              <w:t>The rules on state aid are observed when determining the public support rate.</w:t>
            </w:r>
          </w:p>
          <w:p w:rsidR="00BD3B5F" w:rsidRPr="005C3B55" w:rsidRDefault="00BD3B5F">
            <w:pPr>
              <w:pStyle w:val="Telobesedila"/>
              <w:rPr>
                <w:szCs w:val="24"/>
              </w:rPr>
            </w:pPr>
          </w:p>
        </w:tc>
      </w:tr>
    </w:tbl>
    <w:p w:rsidR="00BD3B5F" w:rsidRPr="005C3B55" w:rsidRDefault="00BD3B5F">
      <w:pPr>
        <w:pStyle w:val="Naslov6"/>
        <w:tabs>
          <w:tab w:val="clear" w:pos="765"/>
        </w:tabs>
        <w:ind w:left="0" w:firstLine="0"/>
        <w:rPr>
          <w:szCs w:val="24"/>
          <w:lang w:val="en-GB"/>
        </w:rPr>
      </w:pPr>
      <w:r w:rsidRPr="005C3B55">
        <w:rPr>
          <w:noProof w:val="0"/>
          <w:szCs w:val="24"/>
          <w:lang w:val="en-GB"/>
        </w:rPr>
        <w:t>Verifiability and possibility of control of measures and/or type of operations</w:t>
      </w:r>
    </w:p>
    <w:p w:rsidR="00BD3B5F" w:rsidRPr="005C3B55" w:rsidRDefault="00BD3B5F">
      <w:pPr>
        <w:pStyle w:val="Naslov7"/>
        <w:tabs>
          <w:tab w:val="clear" w:pos="765"/>
        </w:tabs>
        <w:ind w:left="0" w:firstLine="0"/>
        <w:rPr>
          <w:szCs w:val="24"/>
          <w:lang w:val="en-GB"/>
        </w:rPr>
      </w:pPr>
      <w:r w:rsidRPr="005C3B55">
        <w:rPr>
          <w:noProof w:val="0"/>
          <w:szCs w:val="24"/>
          <w:lang w:val="en-GB"/>
        </w:rPr>
        <w:t>Risks in the implementation of the measure</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b/>
                <w:noProof/>
                <w:szCs w:val="24"/>
              </w:rPr>
              <w:t xml:space="preserve">R7: </w:t>
            </w:r>
            <w:r w:rsidRPr="005C3B55">
              <w:rPr>
                <w:b/>
                <w:szCs w:val="24"/>
              </w:rPr>
              <w:t>Selection of beneficiaries</w:t>
            </w:r>
          </w:p>
          <w:p w:rsidR="00BD3B5F" w:rsidRPr="005C3B55" w:rsidRDefault="00BD3B5F">
            <w:pPr>
              <w:spacing w:before="240" w:after="240"/>
              <w:jc w:val="left"/>
              <w:rPr>
                <w:noProof/>
                <w:szCs w:val="24"/>
              </w:rPr>
            </w:pPr>
            <w:r w:rsidRPr="005C3B55">
              <w:rPr>
                <w:szCs w:val="24"/>
              </w:rPr>
              <w:t>There is a risk that the public tender will fail to capture the target group, as defined in the objectives, which requires aid the most.</w:t>
            </w:r>
          </w:p>
          <w:p w:rsidR="00BD3B5F" w:rsidRPr="005C3B55" w:rsidRDefault="00BD3B5F">
            <w:pPr>
              <w:spacing w:before="240" w:after="240"/>
              <w:jc w:val="left"/>
              <w:rPr>
                <w:noProof/>
                <w:szCs w:val="24"/>
              </w:rPr>
            </w:pPr>
            <w:r w:rsidRPr="005C3B55">
              <w:rPr>
                <w:b/>
                <w:noProof/>
                <w:szCs w:val="24"/>
              </w:rPr>
              <w:t xml:space="preserve">R8: </w:t>
            </w:r>
            <w:r w:rsidRPr="005C3B55">
              <w:rPr>
                <w:b/>
                <w:szCs w:val="24"/>
              </w:rPr>
              <w:t>IT systems</w:t>
            </w:r>
          </w:p>
          <w:p w:rsidR="00BD3B5F" w:rsidRPr="005C3B55" w:rsidRDefault="00BD3B5F">
            <w:pPr>
              <w:spacing w:before="240" w:after="240"/>
              <w:jc w:val="left"/>
              <w:rPr>
                <w:noProof/>
                <w:szCs w:val="24"/>
              </w:rPr>
            </w:pPr>
            <w:r w:rsidRPr="005C3B55">
              <w:rPr>
                <w:szCs w:val="24"/>
              </w:rPr>
              <w:t>Risks have been detected particularly in the correct functioning of IT systems or in providing suitable capacities for processing all information.</w:t>
            </w:r>
            <w:r w:rsidRPr="005C3B55">
              <w:rPr>
                <w:noProof/>
                <w:szCs w:val="24"/>
              </w:rPr>
              <w:t xml:space="preserve"> </w:t>
            </w:r>
            <w:r w:rsidRPr="005C3B55">
              <w:rPr>
                <w:szCs w:val="24"/>
              </w:rPr>
              <w:t>Risks may also be posed by disorderly or outdated registers which are the result of incompatible databases.</w:t>
            </w:r>
          </w:p>
          <w:p w:rsidR="00BD3B5F" w:rsidRPr="005C3B55" w:rsidRDefault="00BD3B5F">
            <w:pPr>
              <w:spacing w:before="240" w:after="240"/>
              <w:jc w:val="left"/>
              <w:rPr>
                <w:noProof/>
                <w:szCs w:val="24"/>
              </w:rPr>
            </w:pPr>
            <w:r w:rsidRPr="005C3B55">
              <w:rPr>
                <w:b/>
                <w:noProof/>
                <w:szCs w:val="24"/>
              </w:rPr>
              <w:t xml:space="preserve">R9: </w:t>
            </w:r>
            <w:r w:rsidRPr="005C3B55">
              <w:rPr>
                <w:b/>
                <w:szCs w:val="24"/>
              </w:rPr>
              <w:t>Requests for payment</w:t>
            </w:r>
          </w:p>
          <w:p w:rsidR="00BD3B5F" w:rsidRPr="005C3B55" w:rsidRDefault="00BD3B5F">
            <w:pPr>
              <w:spacing w:before="240" w:after="240"/>
              <w:jc w:val="left"/>
              <w:rPr>
                <w:noProof/>
                <w:szCs w:val="24"/>
              </w:rPr>
            </w:pPr>
            <w:r w:rsidRPr="005C3B55">
              <w:rPr>
                <w:szCs w:val="24"/>
              </w:rPr>
              <w:t>The greatest risk arises in the processing of requests for payment.</w:t>
            </w:r>
            <w:r w:rsidRPr="005C3B55">
              <w:rPr>
                <w:noProof/>
                <w:szCs w:val="24"/>
              </w:rPr>
              <w:t xml:space="preserve"> </w:t>
            </w:r>
            <w:r w:rsidRPr="005C3B55">
              <w:rPr>
                <w:szCs w:val="24"/>
              </w:rPr>
              <w:t>Due to unprofessional preparation, the procedure for processing may take several months.</w:t>
            </w:r>
            <w:r w:rsidRPr="005C3B55">
              <w:rPr>
                <w:noProof/>
                <w:szCs w:val="24"/>
              </w:rPr>
              <w:t xml:space="preserve"> </w:t>
            </w:r>
            <w:r w:rsidRPr="005C3B55">
              <w:rPr>
                <w:szCs w:val="24"/>
              </w:rPr>
              <w:t>The main reason is the lack of information for beneficiaries and individuals preparing applications.</w:t>
            </w:r>
          </w:p>
          <w:p w:rsidR="00BD3B5F" w:rsidRPr="005C3B55" w:rsidRDefault="00BD3B5F">
            <w:pPr>
              <w:pStyle w:val="Telobesedila"/>
              <w:rPr>
                <w:szCs w:val="24"/>
              </w:rPr>
            </w:pPr>
          </w:p>
        </w:tc>
      </w:tr>
    </w:tbl>
    <w:p w:rsidR="00BD3B5F" w:rsidRPr="005C3B55" w:rsidRDefault="00BD3B5F">
      <w:pPr>
        <w:pStyle w:val="Naslov7"/>
        <w:tabs>
          <w:tab w:val="clear" w:pos="765"/>
        </w:tabs>
        <w:ind w:left="0" w:firstLine="0"/>
        <w:rPr>
          <w:szCs w:val="24"/>
          <w:lang w:val="en-GB"/>
        </w:rPr>
      </w:pPr>
      <w:r w:rsidRPr="005C3B55">
        <w:rPr>
          <w:noProof w:val="0"/>
          <w:szCs w:val="24"/>
          <w:lang w:val="en-GB"/>
        </w:rPr>
        <w:t>Mitigation measures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b/>
                <w:noProof/>
                <w:szCs w:val="24"/>
              </w:rPr>
              <w:t xml:space="preserve">R7: </w:t>
            </w:r>
            <w:r w:rsidRPr="005C3B55">
              <w:rPr>
                <w:b/>
                <w:szCs w:val="24"/>
              </w:rPr>
              <w:t>Selection of beneficiaries</w:t>
            </w:r>
          </w:p>
          <w:p w:rsidR="00BD3B5F" w:rsidRPr="005C3B55" w:rsidRDefault="00BD3B5F">
            <w:pPr>
              <w:spacing w:before="240" w:after="240"/>
              <w:jc w:val="left"/>
              <w:rPr>
                <w:noProof/>
                <w:szCs w:val="24"/>
              </w:rPr>
            </w:pPr>
            <w:r w:rsidRPr="005C3B55">
              <w:rPr>
                <w:szCs w:val="24"/>
              </w:rPr>
              <w:t>The selection of beneficiaries will be carried out objectively and transparently on the basis of the entry conditions and criteria for selection, which will be known in advance to all potential beneficiaries.</w:t>
            </w:r>
            <w:r w:rsidRPr="005C3B55">
              <w:rPr>
                <w:noProof/>
                <w:szCs w:val="24"/>
              </w:rPr>
              <w:t xml:space="preserve">  </w:t>
            </w:r>
          </w:p>
          <w:p w:rsidR="00BD3B5F" w:rsidRPr="005C3B55" w:rsidRDefault="00BD3B5F">
            <w:pPr>
              <w:spacing w:before="240" w:after="240"/>
              <w:jc w:val="left"/>
              <w:rPr>
                <w:noProof/>
                <w:szCs w:val="24"/>
              </w:rPr>
            </w:pPr>
            <w:r w:rsidRPr="005C3B55">
              <w:rPr>
                <w:b/>
                <w:noProof/>
                <w:szCs w:val="24"/>
              </w:rPr>
              <w:t xml:space="preserve">R8: </w:t>
            </w:r>
            <w:r w:rsidRPr="005C3B55">
              <w:rPr>
                <w:b/>
                <w:szCs w:val="24"/>
              </w:rPr>
              <w:t>IT systems</w:t>
            </w:r>
          </w:p>
          <w:p w:rsidR="00BD3B5F" w:rsidRPr="005C3B55" w:rsidRDefault="00BD3B5F">
            <w:pPr>
              <w:spacing w:before="240" w:after="240"/>
              <w:jc w:val="left"/>
              <w:rPr>
                <w:noProof/>
                <w:szCs w:val="24"/>
              </w:rPr>
            </w:pPr>
            <w:r w:rsidRPr="005C3B55">
              <w:rPr>
                <w:szCs w:val="24"/>
              </w:rPr>
              <w:t>An IT system will be set up at the Paying Agency to facilitate the electronic processing of applications and requests for payment.</w:t>
            </w:r>
            <w:r w:rsidRPr="005C3B55">
              <w:rPr>
                <w:noProof/>
                <w:szCs w:val="24"/>
              </w:rPr>
              <w:t xml:space="preserve"> </w:t>
            </w:r>
            <w:r w:rsidRPr="005C3B55">
              <w:rPr>
                <w:szCs w:val="24"/>
              </w:rPr>
              <w:t>The acquisition of data will be electronic to the greatest extent possible by means of connectivity between different databases.</w:t>
            </w:r>
            <w:r w:rsidRPr="005C3B55">
              <w:rPr>
                <w:noProof/>
                <w:szCs w:val="24"/>
              </w:rPr>
              <w:t xml:space="preserve"> </w:t>
            </w:r>
            <w:r w:rsidRPr="005C3B55">
              <w:rPr>
                <w:szCs w:val="24"/>
              </w:rPr>
              <w:t>If databases are not mutually compatible so that they can be automatically verified within the IT system, verification will be carried out by exchanging data between database media.</w:t>
            </w:r>
          </w:p>
          <w:p w:rsidR="00BD3B5F" w:rsidRPr="005C3B55" w:rsidRDefault="00BD3B5F">
            <w:pPr>
              <w:spacing w:before="240" w:after="240"/>
              <w:jc w:val="left"/>
              <w:rPr>
                <w:noProof/>
                <w:szCs w:val="24"/>
              </w:rPr>
            </w:pPr>
            <w:r w:rsidRPr="005C3B55">
              <w:rPr>
                <w:b/>
                <w:noProof/>
                <w:szCs w:val="24"/>
              </w:rPr>
              <w:t xml:space="preserve">R9: </w:t>
            </w:r>
            <w:r w:rsidRPr="005C3B55">
              <w:rPr>
                <w:b/>
                <w:szCs w:val="24"/>
              </w:rPr>
              <w:t>Requests for payment</w:t>
            </w:r>
          </w:p>
          <w:p w:rsidR="00BD3B5F" w:rsidRPr="005C3B55" w:rsidRDefault="00BD3B5F">
            <w:pPr>
              <w:spacing w:before="240" w:after="240"/>
              <w:jc w:val="left"/>
              <w:rPr>
                <w:noProof/>
                <w:szCs w:val="24"/>
              </w:rPr>
            </w:pPr>
            <w:r w:rsidRPr="005C3B55">
              <w:rPr>
                <w:szCs w:val="24"/>
              </w:rPr>
              <w:t>Training on preparing requests for payment will be organised for beneficiaries and individuals preparing applications.</w:t>
            </w:r>
            <w:r w:rsidRPr="005C3B55">
              <w:rPr>
                <w:noProof/>
                <w:szCs w:val="24"/>
              </w:rPr>
              <w:t xml:space="preserve"> </w:t>
            </w:r>
            <w:r w:rsidRPr="005C3B55">
              <w:rPr>
                <w:szCs w:val="24"/>
              </w:rPr>
              <w:t>Instructions on preparing requests for payment will be prepared to ensure that requests are well prepared.</w:t>
            </w:r>
          </w:p>
          <w:p w:rsidR="00BD3B5F" w:rsidRPr="005C3B55" w:rsidRDefault="00BD3B5F">
            <w:pPr>
              <w:pStyle w:val="Telobesedila"/>
              <w:rPr>
                <w:szCs w:val="24"/>
              </w:rPr>
            </w:pPr>
          </w:p>
        </w:tc>
      </w:tr>
    </w:tbl>
    <w:p w:rsidR="00BD3B5F" w:rsidRPr="005C3B55" w:rsidRDefault="00BD3B5F">
      <w:pPr>
        <w:pStyle w:val="Naslov7"/>
        <w:tabs>
          <w:tab w:val="clear" w:pos="765"/>
        </w:tabs>
        <w:ind w:left="0" w:firstLine="0"/>
        <w:rPr>
          <w:szCs w:val="24"/>
          <w:lang w:val="en-GB"/>
        </w:rPr>
      </w:pPr>
      <w:r w:rsidRPr="005C3B55">
        <w:rPr>
          <w:noProof w:val="0"/>
          <w:szCs w:val="24"/>
          <w:lang w:val="en-GB"/>
        </w:rPr>
        <w:t>General assessment of the measure</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If mitigation measures are considered, the sub-measure is verifiable and controllable.</w:t>
            </w:r>
            <w:r w:rsidRPr="005C3B55">
              <w:rPr>
                <w:noProof/>
                <w:szCs w:val="24"/>
              </w:rPr>
              <w:t xml:space="preserve"> </w:t>
            </w:r>
            <w:r w:rsidRPr="005C3B55">
              <w:rPr>
                <w:szCs w:val="24"/>
              </w:rPr>
              <w:t>The sub-measure will be used to attain the expected results and objectives of the RDP 2014–2020, and will contribute to realising all three horizontal objectives.</w:t>
            </w:r>
            <w:r w:rsidRPr="005C3B55">
              <w:rPr>
                <w:noProof/>
                <w:szCs w:val="24"/>
              </w:rPr>
              <w:t xml:space="preserve"> </w:t>
            </w:r>
            <w:r w:rsidRPr="005C3B55">
              <w:rPr>
                <w:szCs w:val="24"/>
              </w:rPr>
              <w:t>The implementation of this sub-measure is essential to improve inclusion in agro-food chains through quality schemes and by adding value to agricultural products.</w:t>
            </w:r>
          </w:p>
          <w:p w:rsidR="00BD3B5F" w:rsidRPr="005C3B55" w:rsidRDefault="00BD3B5F">
            <w:pPr>
              <w:pStyle w:val="Telobesedila"/>
              <w:rPr>
                <w:szCs w:val="24"/>
              </w:rPr>
            </w:pPr>
          </w:p>
        </w:tc>
      </w:tr>
    </w:tbl>
    <w:p w:rsidR="00BD3B5F" w:rsidRPr="005C3B55" w:rsidRDefault="00BD3B5F">
      <w:pPr>
        <w:pStyle w:val="Naslov6"/>
        <w:tabs>
          <w:tab w:val="clear" w:pos="765"/>
        </w:tabs>
        <w:ind w:left="0" w:firstLine="0"/>
        <w:rPr>
          <w:szCs w:val="24"/>
          <w:lang w:val="en-GB"/>
        </w:rPr>
      </w:pPr>
      <w:r w:rsidRPr="005C3B55">
        <w:rPr>
          <w:noProof w:val="0"/>
          <w:szCs w:val="24"/>
          <w:lang w:val="en-GB"/>
        </w:rPr>
        <w:t>Methodology for calculating support amount, where relevant</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Not relevant.</w:t>
            </w:r>
          </w:p>
          <w:p w:rsidR="00BD3B5F" w:rsidRPr="005C3B55" w:rsidRDefault="00BD3B5F">
            <w:pPr>
              <w:pStyle w:val="Telobesedila"/>
              <w:rPr>
                <w:szCs w:val="24"/>
              </w:rPr>
            </w:pPr>
          </w:p>
        </w:tc>
      </w:tr>
    </w:tbl>
    <w:p w:rsidR="00BD3B5F" w:rsidRPr="005C3B55" w:rsidRDefault="00BD3B5F">
      <w:pPr>
        <w:pStyle w:val="Naslov6"/>
        <w:tabs>
          <w:tab w:val="clear" w:pos="765"/>
        </w:tabs>
        <w:ind w:left="0" w:firstLine="0"/>
        <w:rPr>
          <w:szCs w:val="24"/>
          <w:lang w:val="en-GB"/>
        </w:rPr>
      </w:pPr>
      <w:r w:rsidRPr="005C3B55">
        <w:rPr>
          <w:noProof w:val="0"/>
          <w:szCs w:val="24"/>
          <w:lang w:val="en-GB"/>
        </w:rPr>
        <w:t>Information that relates specifically to the operation</w:t>
      </w:r>
    </w:p>
    <w:p w:rsidR="00BD3B5F" w:rsidRPr="005C3B55" w:rsidRDefault="00BD3B5F">
      <w:pPr>
        <w:rPr>
          <w:szCs w:val="24"/>
        </w:rPr>
      </w:pPr>
      <w:r w:rsidRPr="005C3B55">
        <w:rPr>
          <w:szCs w:val="24"/>
        </w:rPr>
        <w:t>Indication of eligible quality schemes, including agricultural holding certification schemes, for agricultural products, cotton or foodstuffs recognised at the national level, and confirmation that these quality schemes meet four special criteria referred to in Article 16(1)(b) of Regulation (EU) No 1305/2013</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Eligible quality schemes are:</w:t>
            </w:r>
          </w:p>
          <w:p w:rsidR="00BD3B5F" w:rsidRPr="005C3B55" w:rsidRDefault="00BD3B5F">
            <w:pPr>
              <w:spacing w:before="240" w:after="240"/>
              <w:jc w:val="left"/>
              <w:rPr>
                <w:noProof/>
                <w:szCs w:val="24"/>
              </w:rPr>
            </w:pPr>
            <w:r w:rsidRPr="005C3B55">
              <w:rPr>
                <w:noProof/>
                <w:szCs w:val="24"/>
              </w:rPr>
              <w:t xml:space="preserve">1. </w:t>
            </w:r>
            <w:r w:rsidRPr="005C3B55">
              <w:rPr>
                <w:szCs w:val="24"/>
              </w:rPr>
              <w:t>quality schemes and optional references to quality established on the basis of European legislation:</w:t>
            </w:r>
          </w:p>
          <w:p w:rsidR="00BD3B5F" w:rsidRPr="005C3B55" w:rsidRDefault="00BD3B5F" w:rsidP="00BD3B5F">
            <w:pPr>
              <w:numPr>
                <w:ilvl w:val="0"/>
                <w:numId w:val="159"/>
              </w:numPr>
              <w:spacing w:before="240" w:after="0"/>
              <w:ind w:hanging="290"/>
              <w:jc w:val="left"/>
              <w:rPr>
                <w:noProof/>
                <w:szCs w:val="24"/>
              </w:rPr>
            </w:pPr>
            <w:r w:rsidRPr="005C3B55">
              <w:rPr>
                <w:szCs w:val="24"/>
              </w:rPr>
              <w:t>protected geographical indication (PGI);</w:t>
            </w:r>
          </w:p>
          <w:p w:rsidR="00BD3B5F" w:rsidRPr="005C3B55" w:rsidRDefault="00BD3B5F" w:rsidP="00BD3B5F">
            <w:pPr>
              <w:numPr>
                <w:ilvl w:val="0"/>
                <w:numId w:val="159"/>
              </w:numPr>
              <w:spacing w:before="0" w:after="0"/>
              <w:ind w:hanging="290"/>
              <w:jc w:val="left"/>
              <w:rPr>
                <w:noProof/>
                <w:szCs w:val="24"/>
              </w:rPr>
            </w:pPr>
            <w:r w:rsidRPr="005C3B55">
              <w:rPr>
                <w:szCs w:val="24"/>
              </w:rPr>
              <w:t>protected designation of origin (PDO);</w:t>
            </w:r>
          </w:p>
          <w:p w:rsidR="00BD3B5F" w:rsidRPr="005C3B55" w:rsidRDefault="00BD3B5F" w:rsidP="00BD3B5F">
            <w:pPr>
              <w:numPr>
                <w:ilvl w:val="0"/>
                <w:numId w:val="159"/>
              </w:numPr>
              <w:spacing w:before="0" w:after="0"/>
              <w:ind w:hanging="290"/>
              <w:jc w:val="left"/>
              <w:rPr>
                <w:noProof/>
                <w:szCs w:val="24"/>
              </w:rPr>
            </w:pPr>
            <w:r w:rsidRPr="005C3B55">
              <w:rPr>
                <w:szCs w:val="24"/>
              </w:rPr>
              <w:t>traditional speciality guaranteed (GTS);</w:t>
            </w:r>
          </w:p>
          <w:p w:rsidR="00BD3B5F" w:rsidRPr="005C3B55" w:rsidRDefault="00BD3B5F" w:rsidP="00BD3B5F">
            <w:pPr>
              <w:numPr>
                <w:ilvl w:val="0"/>
                <w:numId w:val="159"/>
              </w:numPr>
              <w:spacing w:before="0" w:after="0"/>
              <w:ind w:hanging="290"/>
              <w:jc w:val="left"/>
              <w:rPr>
                <w:noProof/>
                <w:szCs w:val="24"/>
              </w:rPr>
            </w:pPr>
            <w:r w:rsidRPr="005C3B55">
              <w:rPr>
                <w:szCs w:val="24"/>
              </w:rPr>
              <w:t>organic production and processing, and</w:t>
            </w:r>
          </w:p>
          <w:p w:rsidR="00BD3B5F" w:rsidRPr="005C3B55" w:rsidRDefault="00BD3B5F" w:rsidP="00BD3B5F">
            <w:pPr>
              <w:numPr>
                <w:ilvl w:val="0"/>
                <w:numId w:val="159"/>
              </w:numPr>
              <w:spacing w:before="0" w:after="240"/>
              <w:ind w:hanging="290"/>
              <w:jc w:val="left"/>
              <w:rPr>
                <w:noProof/>
                <w:szCs w:val="24"/>
              </w:rPr>
            </w:pPr>
            <w:r w:rsidRPr="005C3B55">
              <w:rPr>
                <w:szCs w:val="24"/>
              </w:rPr>
              <w:t>optional references to quality.</w:t>
            </w:r>
          </w:p>
          <w:p w:rsidR="00BD3B5F" w:rsidRPr="005C3B55" w:rsidRDefault="00BD3B5F">
            <w:pPr>
              <w:spacing w:before="240" w:after="240"/>
              <w:jc w:val="left"/>
              <w:rPr>
                <w:noProof/>
                <w:szCs w:val="24"/>
              </w:rPr>
            </w:pPr>
            <w:r w:rsidRPr="005C3B55">
              <w:rPr>
                <w:noProof/>
                <w:szCs w:val="24"/>
              </w:rPr>
              <w:t xml:space="preserve">2. </w:t>
            </w:r>
            <w:r w:rsidRPr="005C3B55">
              <w:rPr>
                <w:szCs w:val="24"/>
              </w:rPr>
              <w:t>quality schemes established on the basis of national legislation:</w:t>
            </w:r>
          </w:p>
          <w:p w:rsidR="00BD3B5F" w:rsidRPr="005C3B55" w:rsidRDefault="00BD3B5F" w:rsidP="00BD3B5F">
            <w:pPr>
              <w:numPr>
                <w:ilvl w:val="0"/>
                <w:numId w:val="160"/>
              </w:numPr>
              <w:spacing w:before="240" w:after="0"/>
              <w:ind w:hanging="290"/>
              <w:jc w:val="left"/>
              <w:rPr>
                <w:noProof/>
                <w:szCs w:val="24"/>
              </w:rPr>
            </w:pPr>
            <w:r w:rsidRPr="005C3B55">
              <w:rPr>
                <w:szCs w:val="24"/>
              </w:rPr>
              <w:t>higher quality;</w:t>
            </w:r>
          </w:p>
          <w:p w:rsidR="00BD3B5F" w:rsidRPr="005C3B55" w:rsidRDefault="00BD3B5F" w:rsidP="00BD3B5F">
            <w:pPr>
              <w:numPr>
                <w:ilvl w:val="0"/>
                <w:numId w:val="160"/>
              </w:numPr>
              <w:spacing w:before="0" w:after="0"/>
              <w:ind w:hanging="290"/>
              <w:jc w:val="left"/>
              <w:rPr>
                <w:noProof/>
                <w:szCs w:val="24"/>
              </w:rPr>
            </w:pPr>
            <w:r w:rsidRPr="005C3B55">
              <w:rPr>
                <w:szCs w:val="24"/>
              </w:rPr>
              <w:t>selected quality;</w:t>
            </w:r>
          </w:p>
          <w:p w:rsidR="00BD3B5F" w:rsidRPr="005C3B55" w:rsidRDefault="00BD3B5F" w:rsidP="00BD3B5F">
            <w:pPr>
              <w:numPr>
                <w:ilvl w:val="0"/>
                <w:numId w:val="160"/>
              </w:numPr>
              <w:spacing w:before="0" w:after="0"/>
              <w:ind w:hanging="290"/>
              <w:jc w:val="left"/>
              <w:rPr>
                <w:noProof/>
                <w:szCs w:val="24"/>
              </w:rPr>
            </w:pPr>
            <w:r w:rsidRPr="005C3B55">
              <w:rPr>
                <w:szCs w:val="24"/>
              </w:rPr>
              <w:t>treats from our farms; and</w:t>
            </w:r>
          </w:p>
          <w:p w:rsidR="00BD3B5F" w:rsidRPr="005C3B55" w:rsidRDefault="00BD3B5F" w:rsidP="00BD3B5F">
            <w:pPr>
              <w:numPr>
                <w:ilvl w:val="0"/>
                <w:numId w:val="160"/>
              </w:numPr>
              <w:spacing w:before="0" w:after="240"/>
              <w:ind w:hanging="290"/>
              <w:jc w:val="left"/>
              <w:rPr>
                <w:noProof/>
                <w:szCs w:val="24"/>
              </w:rPr>
            </w:pPr>
            <w:r w:rsidRPr="005C3B55">
              <w:rPr>
                <w:szCs w:val="24"/>
              </w:rPr>
              <w:t>integrated production.</w:t>
            </w:r>
          </w:p>
          <w:p w:rsidR="00BD3B5F" w:rsidRPr="005C3B55" w:rsidRDefault="00BD3B5F">
            <w:pPr>
              <w:spacing w:before="240" w:after="240"/>
              <w:jc w:val="left"/>
              <w:rPr>
                <w:noProof/>
                <w:szCs w:val="24"/>
              </w:rPr>
            </w:pPr>
            <w:r w:rsidRPr="005C3B55">
              <w:rPr>
                <w:szCs w:val="24"/>
              </w:rPr>
              <w:t>In accordance with the provisions defined in national regulations, the aforementioned quality schemes meet four special criteria pursuant to point 1.b of Article 16 of Regulation (EU) No 1305/2013.</w:t>
            </w:r>
          </w:p>
          <w:p w:rsidR="00BD3B5F" w:rsidRPr="005C3B55" w:rsidRDefault="00BD3B5F">
            <w:pPr>
              <w:pStyle w:val="Telobesedila"/>
              <w:rPr>
                <w:szCs w:val="24"/>
              </w:rPr>
            </w:pPr>
          </w:p>
        </w:tc>
      </w:tr>
    </w:tbl>
    <w:p w:rsidR="00BD3B5F" w:rsidRPr="005C3B55" w:rsidRDefault="00BD3B5F">
      <w:pPr>
        <w:rPr>
          <w:szCs w:val="24"/>
        </w:rPr>
      </w:pPr>
      <w:r w:rsidRPr="005C3B55">
        <w:rPr>
          <w:szCs w:val="24"/>
        </w:rPr>
        <w:t>Indication of eligible voluntary agricultural product certification schemes recognised by a Member State as meeting the Union’s best practice guidelines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Voluntary certification schemes pursuant to point 1.c of Article 16 of Regulation (EU) No 1305/2013 are not eligible for support under this sub-measure.</w:t>
            </w:r>
          </w:p>
          <w:p w:rsidR="00BD3B5F" w:rsidRPr="005C3B55" w:rsidRDefault="00BD3B5F">
            <w:pPr>
              <w:pStyle w:val="Telobesedila"/>
              <w:rPr>
                <w:szCs w:val="24"/>
              </w:rPr>
            </w:pPr>
          </w:p>
        </w:tc>
      </w:tr>
    </w:tbl>
    <w:p w:rsidR="00BD3B5F" w:rsidRPr="005C3B55" w:rsidRDefault="00BD3B5F">
      <w:pPr>
        <w:pStyle w:val="Naslov4"/>
        <w:tabs>
          <w:tab w:val="clear" w:pos="765"/>
        </w:tabs>
        <w:ind w:left="0" w:firstLine="0"/>
        <w:jc w:val="left"/>
        <w:rPr>
          <w:szCs w:val="24"/>
          <w:lang w:val="en-GB"/>
        </w:rPr>
      </w:pPr>
      <w:r w:rsidRPr="005C3B55">
        <w:rPr>
          <w:szCs w:val="24"/>
          <w:lang w:val="en-GB"/>
        </w:rPr>
        <w:t>Verifiability and possibility of control of measures and/or type of operations</w:t>
      </w:r>
    </w:p>
    <w:p w:rsidR="00BD3B5F" w:rsidRPr="005C3B55" w:rsidRDefault="00BD3B5F">
      <w:pPr>
        <w:pStyle w:val="Naslov5"/>
        <w:tabs>
          <w:tab w:val="clear" w:pos="765"/>
        </w:tabs>
        <w:ind w:left="0" w:firstLine="0"/>
        <w:rPr>
          <w:b w:val="0"/>
          <w:szCs w:val="24"/>
          <w:lang w:val="en-GB"/>
        </w:rPr>
      </w:pPr>
      <w:r w:rsidRPr="005C3B55">
        <w:rPr>
          <w:b w:val="0"/>
          <w:noProof w:val="0"/>
          <w:szCs w:val="24"/>
          <w:lang w:val="en-GB"/>
        </w:rPr>
        <w:t>Risks in the implementation of the measure</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Risks are determined within individual sub-measures.</w:t>
            </w:r>
          </w:p>
          <w:p w:rsidR="00BD3B5F" w:rsidRPr="005C3B55" w:rsidRDefault="00BD3B5F">
            <w:pPr>
              <w:pStyle w:val="Telobesedila"/>
              <w:rPr>
                <w:szCs w:val="24"/>
              </w:rPr>
            </w:pPr>
          </w:p>
        </w:tc>
      </w:tr>
    </w:tbl>
    <w:p w:rsidR="00BD3B5F" w:rsidRPr="005C3B55" w:rsidRDefault="00BD3B5F" w:rsidP="004311A3">
      <w:pPr>
        <w:pStyle w:val="Naslov5"/>
        <w:tabs>
          <w:tab w:val="clear" w:pos="765"/>
        </w:tabs>
        <w:ind w:left="0" w:firstLine="0"/>
        <w:rPr>
          <w:b w:val="0"/>
          <w:szCs w:val="24"/>
          <w:lang w:val="en-GB"/>
        </w:rPr>
      </w:pPr>
      <w:r w:rsidRPr="005C3B55">
        <w:rPr>
          <w:b w:val="0"/>
          <w:noProof w:val="0"/>
          <w:szCs w:val="24"/>
          <w:lang w:val="en-GB"/>
        </w:rPr>
        <w:t>Mitigation measures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Mitigation measures are determined within individual sub-measures.</w:t>
            </w:r>
          </w:p>
          <w:p w:rsidR="00BD3B5F" w:rsidRPr="005C3B55" w:rsidRDefault="00BD3B5F">
            <w:pPr>
              <w:pStyle w:val="Telobesedila"/>
              <w:rPr>
                <w:szCs w:val="24"/>
              </w:rPr>
            </w:pPr>
          </w:p>
        </w:tc>
      </w:tr>
    </w:tbl>
    <w:p w:rsidR="00BD3B5F" w:rsidRPr="005C3B55" w:rsidRDefault="00BD3B5F">
      <w:pPr>
        <w:pStyle w:val="Naslov5"/>
        <w:tabs>
          <w:tab w:val="clear" w:pos="765"/>
        </w:tabs>
        <w:ind w:left="0" w:firstLine="0"/>
        <w:rPr>
          <w:b w:val="0"/>
          <w:szCs w:val="24"/>
          <w:lang w:val="en-GB"/>
        </w:rPr>
      </w:pPr>
      <w:r w:rsidRPr="005C3B55">
        <w:rPr>
          <w:b w:val="0"/>
          <w:noProof w:val="0"/>
          <w:szCs w:val="24"/>
          <w:lang w:val="en-GB"/>
        </w:rPr>
        <w:t>General assessment of the measure</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0"/>
              <w:jc w:val="left"/>
              <w:rPr>
                <w:noProof/>
                <w:szCs w:val="24"/>
              </w:rPr>
            </w:pPr>
            <w:r w:rsidRPr="005C3B55">
              <w:rPr>
                <w:szCs w:val="24"/>
              </w:rPr>
              <w:t>Described within an individual sub-measure.</w:t>
            </w:r>
          </w:p>
          <w:p w:rsidR="00BD3B5F" w:rsidRPr="005C3B55" w:rsidRDefault="00BD3B5F">
            <w:pPr>
              <w:pStyle w:val="Telobesedila"/>
              <w:rPr>
                <w:szCs w:val="24"/>
              </w:rPr>
            </w:pPr>
          </w:p>
        </w:tc>
      </w:tr>
    </w:tbl>
    <w:p w:rsidR="00BD3B5F" w:rsidRPr="005C3B55" w:rsidRDefault="00BD3B5F">
      <w:pPr>
        <w:pStyle w:val="Naslov4"/>
        <w:tabs>
          <w:tab w:val="clear" w:pos="765"/>
        </w:tabs>
        <w:ind w:left="0" w:firstLine="0"/>
        <w:jc w:val="left"/>
        <w:rPr>
          <w:szCs w:val="24"/>
          <w:lang w:val="en-GB"/>
        </w:rPr>
      </w:pPr>
      <w:r w:rsidRPr="005C3B55">
        <w:rPr>
          <w:szCs w:val="24"/>
          <w:lang w:val="en-GB"/>
        </w:rPr>
        <w:t>Methodology for calculating support amount, where relevant</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Not relevant.</w:t>
            </w:r>
          </w:p>
          <w:p w:rsidR="00BD3B5F" w:rsidRPr="005C3B55" w:rsidRDefault="00BD3B5F">
            <w:pPr>
              <w:pStyle w:val="Telobesedila"/>
              <w:rPr>
                <w:szCs w:val="24"/>
              </w:rPr>
            </w:pPr>
          </w:p>
        </w:tc>
      </w:tr>
    </w:tbl>
    <w:p w:rsidR="00BD3B5F" w:rsidRPr="005C3B55" w:rsidRDefault="00BD3B5F">
      <w:pPr>
        <w:pStyle w:val="Naslov4"/>
        <w:tabs>
          <w:tab w:val="clear" w:pos="765"/>
        </w:tabs>
        <w:ind w:left="0" w:firstLine="0"/>
        <w:jc w:val="left"/>
        <w:rPr>
          <w:szCs w:val="24"/>
          <w:lang w:val="en-GB"/>
        </w:rPr>
      </w:pPr>
      <w:r w:rsidRPr="005C3B55">
        <w:rPr>
          <w:szCs w:val="24"/>
          <w:lang w:val="en-GB"/>
        </w:rPr>
        <w:t>Additional information specific to the measure</w:t>
      </w:r>
    </w:p>
    <w:p w:rsidR="00BD3B5F" w:rsidRPr="005C3B55" w:rsidRDefault="00BD3B5F">
      <w:pPr>
        <w:rPr>
          <w:szCs w:val="24"/>
        </w:rPr>
      </w:pPr>
      <w:r w:rsidRPr="005C3B55">
        <w:rPr>
          <w:szCs w:val="24"/>
        </w:rPr>
        <w:t>Indication of eligible quality schemes, including agricultural holding certification schemes, for agricultural products, cotton or foodstuffs recognised at the national level, and confirmation that these quality schemes meet four special criteria referred to in Article 16(1)(b) of Regulation (EU) No 1305/2013</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Provisions regarding the quality and labelling of agricultural products and foodstuffs, protection of consumers’ interest and quality schemes are included in the Agriculture Act (Official Gazette of the Republic of Slovenia, no. 45/2008 with all amendments).</w:t>
            </w:r>
            <w:r w:rsidRPr="005C3B55">
              <w:rPr>
                <w:noProof/>
                <w:szCs w:val="24"/>
              </w:rPr>
              <w:t xml:space="preserve"> </w:t>
            </w:r>
            <w:r w:rsidRPr="005C3B55">
              <w:rPr>
                <w:szCs w:val="24"/>
              </w:rPr>
              <w:t>Pursuant to this act, the following national quality schemes have been established: ‘treats from our farms’, ‘selected quality’, ‘integrated production’ and ‘higher quality’.</w:t>
            </w:r>
            <w:r w:rsidRPr="005C3B55">
              <w:rPr>
                <w:noProof/>
                <w:szCs w:val="24"/>
              </w:rPr>
              <w:t xml:space="preserve"> </w:t>
            </w:r>
            <w:r w:rsidRPr="005C3B55">
              <w:rPr>
                <w:szCs w:val="24"/>
              </w:rPr>
              <w:t>The fulfilment of the conditions of quality schemes is verified by an organisation for control and certification.</w:t>
            </w:r>
          </w:p>
          <w:p w:rsidR="00BD3B5F" w:rsidRPr="005C3B55" w:rsidRDefault="00BD3B5F">
            <w:pPr>
              <w:spacing w:before="240" w:after="240"/>
              <w:jc w:val="left"/>
              <w:rPr>
                <w:noProof/>
                <w:szCs w:val="24"/>
              </w:rPr>
            </w:pPr>
            <w:r w:rsidRPr="005C3B55">
              <w:rPr>
                <w:szCs w:val="24"/>
              </w:rPr>
              <w:t>The aforementioned schemes meet all the criteria referred to in Item 1.b or Article 16 of Regulation (EU) No 1305/2013.</w:t>
            </w:r>
            <w:r w:rsidRPr="005C3B55">
              <w:rPr>
                <w:noProof/>
                <w:szCs w:val="24"/>
              </w:rPr>
              <w:t xml:space="preserve"> </w:t>
            </w:r>
            <w:r w:rsidRPr="005C3B55">
              <w:rPr>
                <w:szCs w:val="24"/>
              </w:rPr>
              <w:t>The basic characteristics of these schemes are stipulated by the aforementioned act, while more detailed conditions regarding the quality of agricultural products and foodstuffs are prescribed by the minister through implementing regulations.</w:t>
            </w:r>
            <w:r w:rsidRPr="005C3B55">
              <w:rPr>
                <w:noProof/>
                <w:szCs w:val="24"/>
              </w:rPr>
              <w:t xml:space="preserve"> </w:t>
            </w:r>
            <w:r w:rsidRPr="005C3B55">
              <w:rPr>
                <w:szCs w:val="24"/>
              </w:rPr>
              <w:t>The products from the aforementioned quality schemes refer to the characteristics, procedures of production or processing of agricultural products or foodstuffs which exceed the prescribed quality, or conditions regarding the protection of health of people, animals or plants, animal welfare or environmental protection.</w:t>
            </w:r>
            <w:r w:rsidRPr="005C3B55">
              <w:rPr>
                <w:noProof/>
                <w:szCs w:val="24"/>
              </w:rPr>
              <w:t xml:space="preserve"> </w:t>
            </w:r>
            <w:r w:rsidRPr="005C3B55">
              <w:rPr>
                <w:szCs w:val="24"/>
              </w:rPr>
              <w:t>The schemes are available for all producers, are transparent and ensure complete traceability of products.</w:t>
            </w:r>
          </w:p>
          <w:p w:rsidR="00BD3B5F" w:rsidRPr="005C3B55" w:rsidRDefault="00BD3B5F">
            <w:pPr>
              <w:pStyle w:val="Telobesedila"/>
              <w:rPr>
                <w:szCs w:val="24"/>
              </w:rPr>
            </w:pPr>
          </w:p>
        </w:tc>
      </w:tr>
    </w:tbl>
    <w:p w:rsidR="00BD3B5F" w:rsidRPr="005C3B55" w:rsidRDefault="00BD3B5F">
      <w:pPr>
        <w:spacing w:after="100"/>
        <w:rPr>
          <w:szCs w:val="24"/>
        </w:rPr>
      </w:pPr>
      <w:r w:rsidRPr="005C3B55">
        <w:rPr>
          <w:szCs w:val="24"/>
        </w:rPr>
        <w:t>Indication of eligible voluntary agricultural product certification schemes recognised by a Member State as meeting the Union’s best practice guidelines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Voluntary certification schemes pursuant to point 1.c of Article 16 of Regulation (EU) No 1305/2013 are not eligible for support under this sub-measure.</w:t>
            </w:r>
          </w:p>
          <w:p w:rsidR="00BD3B5F" w:rsidRPr="005C3B55" w:rsidRDefault="00BD3B5F">
            <w:pPr>
              <w:pStyle w:val="Telobesedila"/>
              <w:spacing w:after="100"/>
              <w:rPr>
                <w:szCs w:val="24"/>
              </w:rPr>
            </w:pPr>
          </w:p>
        </w:tc>
      </w:tr>
    </w:tbl>
    <w:p w:rsidR="00BD3B5F" w:rsidRPr="005C3B55" w:rsidRDefault="00BD3B5F">
      <w:pPr>
        <w:pStyle w:val="Naslov4"/>
        <w:tabs>
          <w:tab w:val="clear" w:pos="765"/>
        </w:tabs>
        <w:spacing w:after="100"/>
        <w:ind w:left="0" w:firstLine="0"/>
        <w:jc w:val="left"/>
        <w:rPr>
          <w:szCs w:val="24"/>
          <w:lang w:val="en-GB"/>
        </w:rPr>
      </w:pPr>
      <w:r w:rsidRPr="005C3B55">
        <w:rPr>
          <w:szCs w:val="24"/>
          <w:lang w:val="en-GB"/>
        </w:rPr>
        <w:t>Other important remarks relevant to understanding and implementing the measure</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Not relevant.</w:t>
            </w:r>
          </w:p>
          <w:p w:rsidR="00BD3B5F" w:rsidRPr="005C3B55" w:rsidRDefault="00BD3B5F">
            <w:pPr>
              <w:pStyle w:val="Telobesedila"/>
              <w:rPr>
                <w:szCs w:val="24"/>
              </w:rPr>
            </w:pPr>
          </w:p>
        </w:tc>
      </w:tr>
    </w:tbl>
    <w:p w:rsidR="00BD3B5F" w:rsidRPr="005C3B55" w:rsidRDefault="00BD3B5F">
      <w:pPr>
        <w:pStyle w:val="Naslov3"/>
        <w:tabs>
          <w:tab w:val="clear" w:pos="765"/>
        </w:tabs>
        <w:ind w:left="0" w:firstLine="0"/>
        <w:jc w:val="left"/>
        <w:rPr>
          <w:szCs w:val="24"/>
          <w:lang w:val="en-GB"/>
        </w:rPr>
      </w:pPr>
      <w:r w:rsidRPr="005C3B55">
        <w:rPr>
          <w:szCs w:val="24"/>
          <w:lang w:val="en-GB"/>
        </w:rPr>
        <w:br w:type="page"/>
      </w:r>
      <w:bookmarkStart w:id="118" w:name="_Toc416192576"/>
      <w:r w:rsidRPr="005C3B55">
        <w:rPr>
          <w:szCs w:val="24"/>
          <w:lang w:val="en-GB"/>
        </w:rPr>
        <w:t>M04 - Investments in physical assets (Article 17)</w:t>
      </w:r>
      <w:bookmarkEnd w:id="118"/>
    </w:p>
    <w:p w:rsidR="00BD3B5F" w:rsidRPr="005C3B55" w:rsidRDefault="00BD3B5F">
      <w:pPr>
        <w:pStyle w:val="Naslov4"/>
        <w:tabs>
          <w:tab w:val="clear" w:pos="765"/>
        </w:tabs>
        <w:ind w:left="0" w:firstLine="0"/>
        <w:jc w:val="left"/>
        <w:rPr>
          <w:szCs w:val="24"/>
          <w:lang w:val="en-GB"/>
        </w:rPr>
      </w:pPr>
      <w:r w:rsidRPr="005C3B55">
        <w:rPr>
          <w:szCs w:val="24"/>
          <w:lang w:val="en-GB"/>
        </w:rPr>
        <w:t>Legal basis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Measure M03 is implemented pursuant to Article 17 of Regulation (EU) No 1305/2013.</w:t>
            </w:r>
          </w:p>
          <w:p w:rsidR="00BD3B5F" w:rsidRPr="005C3B55" w:rsidRDefault="00BD3B5F">
            <w:pPr>
              <w:pStyle w:val="Telobesedila"/>
              <w:rPr>
                <w:szCs w:val="24"/>
              </w:rPr>
            </w:pPr>
          </w:p>
        </w:tc>
      </w:tr>
    </w:tbl>
    <w:p w:rsidR="00BD3B5F" w:rsidRPr="005C3B55" w:rsidRDefault="00BD3B5F">
      <w:pPr>
        <w:pStyle w:val="Naslov4"/>
        <w:tabs>
          <w:tab w:val="clear" w:pos="765"/>
        </w:tabs>
        <w:ind w:left="0" w:firstLine="0"/>
        <w:jc w:val="left"/>
        <w:rPr>
          <w:szCs w:val="24"/>
          <w:lang w:val="en-GB"/>
        </w:rPr>
      </w:pPr>
      <w:r w:rsidRPr="005C3B55">
        <w:rPr>
          <w:szCs w:val="24"/>
          <w:lang w:val="en-GB"/>
        </w:rPr>
        <w:t>A general description of the measure, including its intervention logic and contribution to priority areas and horizontal goals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The measure is intended for the development of agriculture, the processing or marketing of agricultural products and foodstuffs, and agricultural and forest infrastructure.</w:t>
            </w:r>
            <w:r w:rsidRPr="005C3B55">
              <w:rPr>
                <w:noProof/>
                <w:szCs w:val="24"/>
              </w:rPr>
              <w:t xml:space="preserve"> </w:t>
            </w:r>
            <w:r w:rsidRPr="005C3B55">
              <w:rPr>
                <w:szCs w:val="24"/>
              </w:rPr>
              <w:t>It promotes investments in physical assets, which will contribute to greater productivity, economic and environmental efficiency, and better resistance or adaptation to climate change.</w:t>
            </w:r>
            <w:r w:rsidRPr="005C3B55">
              <w:rPr>
                <w:noProof/>
                <w:szCs w:val="24"/>
              </w:rPr>
              <w:t xml:space="preserve"> </w:t>
            </w:r>
            <w:r w:rsidRPr="005C3B55">
              <w:rPr>
                <w:szCs w:val="24"/>
              </w:rPr>
              <w:t>This framework also includes investments in agricultural and forest infrastructure.</w:t>
            </w:r>
            <w:r w:rsidRPr="005C3B55">
              <w:rPr>
                <w:noProof/>
                <w:szCs w:val="24"/>
              </w:rPr>
              <w:t xml:space="preserve"> </w:t>
            </w:r>
            <w:r w:rsidRPr="005C3B55">
              <w:rPr>
                <w:szCs w:val="24"/>
              </w:rPr>
              <w:t>Through supported investments, the measure also contributes to increasing the added value of agricultural products and their more successful marketing in the agro-food chain.</w:t>
            </w:r>
            <w:r w:rsidRPr="005C3B55">
              <w:rPr>
                <w:noProof/>
                <w:szCs w:val="24"/>
              </w:rPr>
              <w:t xml:space="preserve"> </w:t>
            </w:r>
            <w:r w:rsidRPr="005C3B55">
              <w:rPr>
                <w:szCs w:val="24"/>
              </w:rPr>
              <w:t>The investments in physical assets will directly support the continuation of restructuring processes in the direction of a sustainability-oriented development model in agriculture, the agro-industrial sector and forestry.</w:t>
            </w:r>
          </w:p>
          <w:p w:rsidR="00BD3B5F" w:rsidRPr="005C3B55" w:rsidRDefault="00BD3B5F">
            <w:pPr>
              <w:spacing w:before="240" w:after="240"/>
              <w:jc w:val="left"/>
              <w:rPr>
                <w:noProof/>
                <w:szCs w:val="24"/>
              </w:rPr>
            </w:pPr>
            <w:r w:rsidRPr="005C3B55">
              <w:rPr>
                <w:szCs w:val="24"/>
              </w:rPr>
              <w:t>Investments in physical assets are especially required in areas with limitations on farming due to natural features and statutory protection regimes.</w:t>
            </w:r>
            <w:r w:rsidRPr="005C3B55">
              <w:rPr>
                <w:noProof/>
                <w:szCs w:val="24"/>
              </w:rPr>
              <w:t xml:space="preserve"> </w:t>
            </w:r>
            <w:r w:rsidRPr="005C3B55">
              <w:rPr>
                <w:szCs w:val="24"/>
              </w:rPr>
              <w:t>In these areas, productivity is usually lower, the selection of agricultural guidelines is limited and production costs are higher.</w:t>
            </w:r>
          </w:p>
          <w:p w:rsidR="00BD3B5F" w:rsidRPr="005C3B55" w:rsidRDefault="00BD3B5F">
            <w:pPr>
              <w:spacing w:before="240" w:after="240"/>
              <w:jc w:val="left"/>
              <w:rPr>
                <w:noProof/>
                <w:szCs w:val="24"/>
              </w:rPr>
            </w:pPr>
            <w:r w:rsidRPr="005C3B55">
              <w:rPr>
                <w:szCs w:val="24"/>
              </w:rPr>
              <w:t>Support under measure M04 focuses on the first and second action areas referred to in the RDP 2014–2020 determined in Chapter 5.1 of the RDP 2014–2020.</w:t>
            </w:r>
          </w:p>
          <w:p w:rsidR="00BD3B5F" w:rsidRPr="005C3B55" w:rsidRDefault="00BD3B5F">
            <w:pPr>
              <w:spacing w:before="240" w:after="240"/>
              <w:jc w:val="left"/>
              <w:rPr>
                <w:noProof/>
                <w:szCs w:val="24"/>
              </w:rPr>
            </w:pPr>
            <w:r w:rsidRPr="005C3B55">
              <w:rPr>
                <w:szCs w:val="24"/>
              </w:rPr>
              <w:t>The analysis of needs demonstrates that productivity in agriculture is lagging behind the European average and that investments are needed in marketing and processing agricultural products and that the fragmentation of holdings is hindering processing and increases costs.</w:t>
            </w:r>
            <w:r w:rsidRPr="005C3B55">
              <w:rPr>
                <w:noProof/>
                <w:szCs w:val="24"/>
              </w:rPr>
              <w:t xml:space="preserve"> </w:t>
            </w:r>
            <w:r w:rsidRPr="005C3B55">
              <w:rPr>
                <w:szCs w:val="24"/>
              </w:rPr>
              <w:t>Environmentally-friendly agricultural practices and processing methods have to be introduced.</w:t>
            </w:r>
            <w:r w:rsidRPr="005C3B55">
              <w:rPr>
                <w:noProof/>
                <w:szCs w:val="24"/>
              </w:rPr>
              <w:t xml:space="preserve"> </w:t>
            </w:r>
            <w:r w:rsidRPr="005C3B55">
              <w:rPr>
                <w:szCs w:val="24"/>
              </w:rPr>
              <w:t>The lack of openness of forests increases the costs of acquiring wood and reduces income from forestry.</w:t>
            </w:r>
            <w:r w:rsidRPr="005C3B55">
              <w:rPr>
                <w:noProof/>
                <w:szCs w:val="24"/>
              </w:rPr>
              <w:t xml:space="preserve"> </w:t>
            </w:r>
            <w:r w:rsidRPr="005C3B55">
              <w:rPr>
                <w:szCs w:val="24"/>
              </w:rPr>
              <w:t>Agricultural production and processing have to be adjusted to the impact of climate changes by optimising water consumption, reducing greenhouse gas and ammonia emissions and increasing the use of RES.</w:t>
            </w:r>
          </w:p>
          <w:p w:rsidR="00BD3B5F" w:rsidRPr="005C3B55" w:rsidRDefault="00BD3B5F">
            <w:pPr>
              <w:spacing w:before="240" w:after="240"/>
              <w:jc w:val="left"/>
              <w:rPr>
                <w:noProof/>
                <w:szCs w:val="24"/>
              </w:rPr>
            </w:pPr>
            <w:r w:rsidRPr="005C3B55">
              <w:rPr>
                <w:szCs w:val="24"/>
              </w:rPr>
              <w:t>The measure is divided into three sub-measures:</w:t>
            </w:r>
          </w:p>
          <w:p w:rsidR="00BD3B5F" w:rsidRPr="005C3B55" w:rsidRDefault="00BD3B5F" w:rsidP="00BD3B5F">
            <w:pPr>
              <w:numPr>
                <w:ilvl w:val="0"/>
                <w:numId w:val="161"/>
              </w:numPr>
              <w:spacing w:before="240" w:after="0"/>
              <w:ind w:hanging="290"/>
              <w:jc w:val="left"/>
              <w:rPr>
                <w:noProof/>
                <w:szCs w:val="24"/>
              </w:rPr>
            </w:pPr>
            <w:r w:rsidRPr="005C3B55">
              <w:rPr>
                <w:szCs w:val="24"/>
              </w:rPr>
              <w:t>Support in investments in agricultural holdings (sub-measure M04.1);</w:t>
            </w:r>
          </w:p>
          <w:p w:rsidR="00BD3B5F" w:rsidRPr="005C3B55" w:rsidRDefault="00BD3B5F" w:rsidP="00BD3B5F">
            <w:pPr>
              <w:numPr>
                <w:ilvl w:val="0"/>
                <w:numId w:val="161"/>
              </w:numPr>
              <w:spacing w:before="0" w:after="0"/>
              <w:ind w:hanging="290"/>
              <w:jc w:val="left"/>
              <w:rPr>
                <w:noProof/>
                <w:szCs w:val="24"/>
              </w:rPr>
            </w:pPr>
            <w:r w:rsidRPr="005C3B55">
              <w:rPr>
                <w:szCs w:val="24"/>
              </w:rPr>
              <w:t>Support for investments in the processing, marketing and/or development of agricultural products (sub-measure M04.2);</w:t>
            </w:r>
          </w:p>
          <w:p w:rsidR="00BD3B5F" w:rsidRPr="005C3B55" w:rsidRDefault="00BD3B5F" w:rsidP="00BD3B5F">
            <w:pPr>
              <w:numPr>
                <w:ilvl w:val="0"/>
                <w:numId w:val="161"/>
              </w:numPr>
              <w:spacing w:before="0" w:after="240"/>
              <w:ind w:hanging="290"/>
              <w:jc w:val="left"/>
              <w:rPr>
                <w:noProof/>
                <w:szCs w:val="24"/>
              </w:rPr>
            </w:pPr>
            <w:r w:rsidRPr="005C3B55">
              <w:rPr>
                <w:szCs w:val="24"/>
              </w:rPr>
              <w:t>Support for investments in infrastructure related to the development, modernisation or adaptation of agriculture and forestry (sub-measure M04.3).</w:t>
            </w:r>
          </w:p>
          <w:p w:rsidR="00BD3B5F" w:rsidRPr="005C3B55" w:rsidRDefault="00BD3B5F">
            <w:pPr>
              <w:spacing w:before="240" w:after="240"/>
              <w:jc w:val="left"/>
              <w:rPr>
                <w:noProof/>
                <w:szCs w:val="24"/>
              </w:rPr>
            </w:pPr>
            <w:r w:rsidRPr="005C3B55">
              <w:rPr>
                <w:szCs w:val="24"/>
              </w:rPr>
              <w:t>Within sub-measure M04.1, investments will pursue two general objectives, i.e. restructuring in agriculture, and increasing productivity, and thus improving the competitive position of agriculture.</w:t>
            </w:r>
            <w:r w:rsidRPr="005C3B55">
              <w:rPr>
                <w:noProof/>
                <w:szCs w:val="24"/>
              </w:rPr>
              <w:t xml:space="preserve"> </w:t>
            </w:r>
            <w:r w:rsidRPr="005C3B55">
              <w:rPr>
                <w:szCs w:val="24"/>
              </w:rPr>
              <w:t>Investments in restructuring will comply with the analysis of the situation and the SWOT analysis focused on agricultural holdings, where investments will primarily pursue the objective of greater sustainability of agriculture by enhancing the environmental and energy efficiency of agricultural holdings, and mitigating, and adapting to, climate change.</w:t>
            </w:r>
            <w:r w:rsidRPr="005C3B55">
              <w:rPr>
                <w:noProof/>
                <w:szCs w:val="24"/>
              </w:rPr>
              <w:t xml:space="preserve"> </w:t>
            </w:r>
            <w:r w:rsidRPr="005C3B55">
              <w:rPr>
                <w:szCs w:val="24"/>
              </w:rPr>
              <w:t>Investments in improving competitiveness will primarily pursue the objective of greater productivity in agriculture, cost efficiency, and added value and the quality of products.</w:t>
            </w:r>
          </w:p>
          <w:p w:rsidR="00BD3B5F" w:rsidRPr="005C3B55" w:rsidRDefault="00BD3B5F">
            <w:pPr>
              <w:spacing w:before="240" w:after="240"/>
              <w:jc w:val="left"/>
              <w:rPr>
                <w:noProof/>
                <w:szCs w:val="24"/>
              </w:rPr>
            </w:pPr>
            <w:r w:rsidRPr="005C3B55">
              <w:rPr>
                <w:szCs w:val="24"/>
              </w:rPr>
              <w:t>Within sub-measure M04.2, investments will be intended to improve the competitiveness of the agro-industry, raise the added value of agricultural products (including the processing of agricultural products from quality schemes), introduce new products which are a significant technological novelty in the market, tighter horizontal and vertical connections, and greater environmental efficiency of food processing plants.</w:t>
            </w:r>
          </w:p>
          <w:p w:rsidR="00BD3B5F" w:rsidRPr="005C3B55" w:rsidRDefault="00BD3B5F">
            <w:pPr>
              <w:spacing w:before="240" w:after="240"/>
              <w:jc w:val="left"/>
              <w:rPr>
                <w:noProof/>
                <w:szCs w:val="24"/>
              </w:rPr>
            </w:pPr>
            <w:r w:rsidRPr="005C3B55">
              <w:rPr>
                <w:szCs w:val="24"/>
              </w:rPr>
              <w:t>Within sub-measure M04.3, investments will be intended to develop agricultural and forest infrastructure in order to manage agricultural and forest land better.</w:t>
            </w:r>
            <w:r w:rsidRPr="005C3B55">
              <w:rPr>
                <w:noProof/>
                <w:szCs w:val="24"/>
              </w:rPr>
              <w:t xml:space="preserve"> </w:t>
            </w:r>
            <w:r w:rsidRPr="005C3B55">
              <w:rPr>
                <w:szCs w:val="24"/>
              </w:rPr>
              <w:t>The following operations will be implemented within this sub-measure:</w:t>
            </w:r>
          </w:p>
          <w:p w:rsidR="00BD3B5F" w:rsidRPr="005C3B55" w:rsidRDefault="00BD3B5F" w:rsidP="00BD3B5F">
            <w:pPr>
              <w:numPr>
                <w:ilvl w:val="0"/>
                <w:numId w:val="162"/>
              </w:numPr>
              <w:spacing w:before="240" w:after="0"/>
              <w:ind w:hanging="290"/>
              <w:jc w:val="left"/>
              <w:rPr>
                <w:noProof/>
                <w:szCs w:val="24"/>
              </w:rPr>
            </w:pPr>
            <w:r w:rsidRPr="005C3B55">
              <w:rPr>
                <w:szCs w:val="24"/>
              </w:rPr>
              <w:t>Implementation of agro-meliorations in land consolidation areas;</w:t>
            </w:r>
          </w:p>
          <w:p w:rsidR="00BD3B5F" w:rsidRPr="005C3B55" w:rsidRDefault="00BD3B5F" w:rsidP="00BD3B5F">
            <w:pPr>
              <w:numPr>
                <w:ilvl w:val="0"/>
                <w:numId w:val="162"/>
              </w:numPr>
              <w:spacing w:before="0" w:after="0"/>
              <w:ind w:hanging="290"/>
              <w:jc w:val="left"/>
              <w:rPr>
                <w:noProof/>
                <w:szCs w:val="24"/>
              </w:rPr>
            </w:pPr>
            <w:r w:rsidRPr="005C3B55">
              <w:rPr>
                <w:szCs w:val="24"/>
              </w:rPr>
              <w:t>Construction of large irrigation systems;</w:t>
            </w:r>
          </w:p>
          <w:p w:rsidR="00BD3B5F" w:rsidRPr="005C3B55" w:rsidRDefault="00BD3B5F" w:rsidP="00BD3B5F">
            <w:pPr>
              <w:numPr>
                <w:ilvl w:val="0"/>
                <w:numId w:val="162"/>
              </w:numPr>
              <w:spacing w:before="0" w:after="0"/>
              <w:ind w:hanging="290"/>
              <w:jc w:val="left"/>
              <w:rPr>
                <w:noProof/>
                <w:szCs w:val="24"/>
              </w:rPr>
            </w:pPr>
            <w:r w:rsidRPr="005C3B55">
              <w:rPr>
                <w:szCs w:val="24"/>
              </w:rPr>
              <w:t>Technological upgrading of large irrigation systems, and</w:t>
            </w:r>
          </w:p>
          <w:p w:rsidR="00BD3B5F" w:rsidRPr="005C3B55" w:rsidRDefault="00BD3B5F" w:rsidP="00BD3B5F">
            <w:pPr>
              <w:numPr>
                <w:ilvl w:val="0"/>
                <w:numId w:val="162"/>
              </w:numPr>
              <w:spacing w:before="0" w:after="240"/>
              <w:ind w:hanging="290"/>
              <w:jc w:val="left"/>
              <w:rPr>
                <w:noProof/>
                <w:szCs w:val="24"/>
              </w:rPr>
            </w:pPr>
            <w:r w:rsidRPr="005C3B55">
              <w:rPr>
                <w:szCs w:val="24"/>
              </w:rPr>
              <w:t>Arrangement of forest infrastructure.</w:t>
            </w:r>
          </w:p>
          <w:p w:rsidR="00BD3B5F" w:rsidRPr="005C3B55" w:rsidRDefault="00BD3B5F">
            <w:pPr>
              <w:spacing w:before="240" w:after="240"/>
              <w:jc w:val="left"/>
              <w:rPr>
                <w:noProof/>
                <w:szCs w:val="24"/>
              </w:rPr>
            </w:pPr>
            <w:r w:rsidRPr="005C3B55">
              <w:rPr>
                <w:b/>
                <w:szCs w:val="24"/>
              </w:rPr>
              <w:t>Contribution to focus areas</w:t>
            </w:r>
          </w:p>
          <w:p w:rsidR="00BD3B5F" w:rsidRPr="005C3B55" w:rsidRDefault="00BD3B5F">
            <w:pPr>
              <w:spacing w:before="240" w:after="240"/>
              <w:jc w:val="left"/>
              <w:rPr>
                <w:noProof/>
                <w:szCs w:val="24"/>
              </w:rPr>
            </w:pPr>
            <w:r w:rsidRPr="005C3B55">
              <w:rPr>
                <w:b/>
                <w:i/>
                <w:szCs w:val="24"/>
              </w:rPr>
              <w:t>Focus area 2A:</w:t>
            </w:r>
            <w:r w:rsidRPr="005C3B55">
              <w:rPr>
                <w:b/>
                <w:i/>
                <w:noProof/>
                <w:szCs w:val="24"/>
              </w:rPr>
              <w:t xml:space="preserve"> </w:t>
            </w:r>
            <w:r w:rsidRPr="005C3B55">
              <w:rPr>
                <w:szCs w:val="24"/>
              </w:rPr>
              <w:t>The measure contributes to encouraging the restructuring of agricultural holdings and increasing their productive capacities.</w:t>
            </w:r>
            <w:r w:rsidRPr="005C3B55">
              <w:rPr>
                <w:noProof/>
                <w:szCs w:val="24"/>
              </w:rPr>
              <w:t xml:space="preserve"> </w:t>
            </w:r>
            <w:r w:rsidRPr="005C3B55">
              <w:rPr>
                <w:szCs w:val="24"/>
              </w:rPr>
              <w:t>The improvement of economic performance must be sustainable and is thus also related to improving environmental efficiency and the adjustment or mitigation of the impacts of climate change.</w:t>
            </w:r>
            <w:r w:rsidRPr="005C3B55">
              <w:rPr>
                <w:noProof/>
                <w:szCs w:val="24"/>
              </w:rPr>
              <w:t xml:space="preserve"> </w:t>
            </w:r>
            <w:r w:rsidRPr="005C3B55">
              <w:rPr>
                <w:szCs w:val="24"/>
              </w:rPr>
              <w:t>The incentives will also be intended for investments in the construction of forest traffic routes, which will increase the openness of forests and reduce the costs of wood transportation.</w:t>
            </w:r>
          </w:p>
          <w:p w:rsidR="00BD3B5F" w:rsidRPr="005C3B55" w:rsidRDefault="00BD3B5F">
            <w:pPr>
              <w:spacing w:before="240" w:after="240"/>
              <w:jc w:val="left"/>
              <w:rPr>
                <w:noProof/>
                <w:szCs w:val="24"/>
              </w:rPr>
            </w:pPr>
            <w:r w:rsidRPr="005C3B55">
              <w:rPr>
                <w:b/>
                <w:i/>
                <w:szCs w:val="24"/>
              </w:rPr>
              <w:t>Focus area 3A:</w:t>
            </w:r>
            <w:r w:rsidRPr="005C3B55">
              <w:rPr>
                <w:noProof/>
                <w:szCs w:val="24"/>
              </w:rPr>
              <w:t xml:space="preserve"> </w:t>
            </w:r>
            <w:r w:rsidRPr="005C3B55">
              <w:rPr>
                <w:szCs w:val="24"/>
              </w:rPr>
              <w:t>The measure will be intended for investments in processing and marketing agricultural products.</w:t>
            </w:r>
            <w:r w:rsidRPr="005C3B55">
              <w:rPr>
                <w:noProof/>
                <w:szCs w:val="24"/>
              </w:rPr>
              <w:t xml:space="preserve"> </w:t>
            </w:r>
            <w:r w:rsidRPr="005C3B55">
              <w:rPr>
                <w:szCs w:val="24"/>
              </w:rPr>
              <w:t>These investments, primarily intended to improve the competitiveness of the agro-industrial sector, will have to pursue objectives of enhanced environmental efficiency.</w:t>
            </w:r>
            <w:r w:rsidRPr="005C3B55">
              <w:rPr>
                <w:noProof/>
                <w:szCs w:val="24"/>
              </w:rPr>
              <w:t xml:space="preserve"> </w:t>
            </w:r>
            <w:r w:rsidRPr="005C3B55">
              <w:rPr>
                <w:szCs w:val="24"/>
              </w:rPr>
              <w:t>The activities of the measure will promote inclusion in the EIP in the field of agricultural productivity and sustainability.</w:t>
            </w:r>
          </w:p>
          <w:p w:rsidR="00BD3B5F" w:rsidRPr="005C3B55" w:rsidRDefault="00BD3B5F">
            <w:pPr>
              <w:spacing w:before="240" w:after="240"/>
              <w:jc w:val="left"/>
              <w:rPr>
                <w:noProof/>
                <w:szCs w:val="24"/>
              </w:rPr>
            </w:pPr>
            <w:r w:rsidRPr="005C3B55">
              <w:rPr>
                <w:b/>
                <w:szCs w:val="24"/>
              </w:rPr>
              <w:t>Contribution to horizontal objectives</w:t>
            </w:r>
          </w:p>
          <w:p w:rsidR="00BD3B5F" w:rsidRPr="005C3B55" w:rsidRDefault="00BD3B5F">
            <w:pPr>
              <w:spacing w:before="240" w:after="240"/>
              <w:jc w:val="left"/>
              <w:rPr>
                <w:noProof/>
                <w:szCs w:val="24"/>
              </w:rPr>
            </w:pPr>
            <w:r w:rsidRPr="005C3B55">
              <w:rPr>
                <w:b/>
                <w:i/>
                <w:szCs w:val="24"/>
              </w:rPr>
              <w:t>Mitigating, and adapting to, climate change:</w:t>
            </w:r>
            <w:r w:rsidRPr="005C3B55">
              <w:rPr>
                <w:b/>
                <w:i/>
                <w:noProof/>
                <w:szCs w:val="24"/>
              </w:rPr>
              <w:t xml:space="preserve"> </w:t>
            </w:r>
          </w:p>
          <w:p w:rsidR="00BD3B5F" w:rsidRPr="005C3B55" w:rsidRDefault="00BD3B5F" w:rsidP="00BD3B5F">
            <w:pPr>
              <w:numPr>
                <w:ilvl w:val="0"/>
                <w:numId w:val="163"/>
              </w:numPr>
              <w:spacing w:before="240" w:after="0"/>
              <w:ind w:hanging="290"/>
              <w:jc w:val="left"/>
              <w:rPr>
                <w:noProof/>
                <w:szCs w:val="24"/>
              </w:rPr>
            </w:pPr>
            <w:r w:rsidRPr="005C3B55">
              <w:rPr>
                <w:szCs w:val="24"/>
              </w:rPr>
              <w:t>increasing the energy efficiency of buildings and the introduction of renewable energy sources for the needs of the economy (sub-measures M04.1 and M04.2) or for sale (sub-measure M04.2);</w:t>
            </w:r>
          </w:p>
          <w:p w:rsidR="00BD3B5F" w:rsidRPr="005C3B55" w:rsidRDefault="00BD3B5F" w:rsidP="00BD3B5F">
            <w:pPr>
              <w:numPr>
                <w:ilvl w:val="0"/>
                <w:numId w:val="163"/>
              </w:numPr>
              <w:spacing w:before="0" w:after="0"/>
              <w:ind w:hanging="290"/>
              <w:jc w:val="left"/>
              <w:rPr>
                <w:noProof/>
                <w:szCs w:val="24"/>
              </w:rPr>
            </w:pPr>
            <w:r w:rsidRPr="005C3B55">
              <w:rPr>
                <w:szCs w:val="24"/>
              </w:rPr>
              <w:t>efficient use of nitrogenous fertilisers by purchasing special machinery, arranging storage capacities for livestock manure (sub-measure M04.1) and constructing biogas devices (sub-measures M04.1 and M04.2);</w:t>
            </w:r>
          </w:p>
          <w:p w:rsidR="00BD3B5F" w:rsidRPr="005C3B55" w:rsidRDefault="00BD3B5F" w:rsidP="00BD3B5F">
            <w:pPr>
              <w:numPr>
                <w:ilvl w:val="0"/>
                <w:numId w:val="163"/>
              </w:numPr>
              <w:spacing w:before="0" w:after="0"/>
              <w:ind w:hanging="290"/>
              <w:jc w:val="left"/>
              <w:rPr>
                <w:noProof/>
                <w:szCs w:val="24"/>
              </w:rPr>
            </w:pPr>
            <w:r w:rsidRPr="005C3B55">
              <w:rPr>
                <w:szCs w:val="24"/>
              </w:rPr>
              <w:t>technological modernisation of agricultural buildings in order to reduce heat stress (sub-measure M04.1) and increase the share of wood in the construction of buildings and devices on agricultural land (sub-measures M04.1 and M04.2);</w:t>
            </w:r>
          </w:p>
          <w:p w:rsidR="00BD3B5F" w:rsidRPr="005C3B55" w:rsidRDefault="00BD3B5F" w:rsidP="00BD3B5F">
            <w:pPr>
              <w:numPr>
                <w:ilvl w:val="0"/>
                <w:numId w:val="163"/>
              </w:numPr>
              <w:spacing w:before="0" w:after="0"/>
              <w:ind w:hanging="290"/>
              <w:jc w:val="left"/>
              <w:rPr>
                <w:noProof/>
                <w:szCs w:val="24"/>
              </w:rPr>
            </w:pPr>
            <w:r w:rsidRPr="005C3B55">
              <w:rPr>
                <w:szCs w:val="24"/>
              </w:rPr>
              <w:t>anti-hail protection and arranging nurseries (sub-measure M04.1);</w:t>
            </w:r>
          </w:p>
          <w:p w:rsidR="00BD3B5F" w:rsidRPr="005C3B55" w:rsidRDefault="00BD3B5F" w:rsidP="00BD3B5F">
            <w:pPr>
              <w:numPr>
                <w:ilvl w:val="0"/>
                <w:numId w:val="163"/>
              </w:numPr>
              <w:spacing w:before="0" w:after="0"/>
              <w:ind w:hanging="290"/>
              <w:jc w:val="left"/>
              <w:rPr>
                <w:noProof/>
                <w:szCs w:val="24"/>
              </w:rPr>
            </w:pPr>
            <w:r w:rsidRPr="005C3B55">
              <w:rPr>
                <w:szCs w:val="24"/>
              </w:rPr>
              <w:t>agro-meliorations in land consolidation areas will have a positive effect particularly in terms of lower energy consumption in machine processing and transport (sub-measure M04.3), and</w:t>
            </w:r>
          </w:p>
          <w:p w:rsidR="00BD3B5F" w:rsidRPr="005C3B55" w:rsidRDefault="00BD3B5F" w:rsidP="00BD3B5F">
            <w:pPr>
              <w:numPr>
                <w:ilvl w:val="0"/>
                <w:numId w:val="163"/>
              </w:numPr>
              <w:spacing w:before="0" w:after="240"/>
              <w:ind w:hanging="290"/>
              <w:jc w:val="left"/>
              <w:rPr>
                <w:noProof/>
                <w:szCs w:val="24"/>
              </w:rPr>
            </w:pPr>
            <w:r w:rsidRPr="005C3B55">
              <w:rPr>
                <w:szCs w:val="24"/>
              </w:rPr>
              <w:t>technological modernisation of irrigation systems, arranging reservoirs, etc. in order to use water more rationally (especially sub-measures M04.1, M04.3, partly M04.2).</w:t>
            </w:r>
          </w:p>
          <w:p w:rsidR="00BD3B5F" w:rsidRPr="005C3B55" w:rsidRDefault="00BD3B5F">
            <w:pPr>
              <w:spacing w:before="240" w:after="240"/>
              <w:jc w:val="left"/>
              <w:rPr>
                <w:noProof/>
                <w:szCs w:val="24"/>
              </w:rPr>
            </w:pPr>
            <w:r w:rsidRPr="005C3B55">
              <w:rPr>
                <w:b/>
                <w:i/>
                <w:szCs w:val="24"/>
              </w:rPr>
              <w:t>Environment:</w:t>
            </w:r>
          </w:p>
          <w:p w:rsidR="00BD3B5F" w:rsidRPr="005C3B55" w:rsidRDefault="00BD3B5F" w:rsidP="00BD3B5F">
            <w:pPr>
              <w:numPr>
                <w:ilvl w:val="0"/>
                <w:numId w:val="164"/>
              </w:numPr>
              <w:spacing w:before="240" w:after="0"/>
              <w:ind w:hanging="290"/>
              <w:jc w:val="left"/>
              <w:rPr>
                <w:noProof/>
                <w:szCs w:val="24"/>
              </w:rPr>
            </w:pPr>
            <w:r w:rsidRPr="005C3B55">
              <w:rPr>
                <w:szCs w:val="24"/>
              </w:rPr>
              <w:t>lower use of PPP (special machinery, arranging plantations of perennial plants, such as permanent plantations, queen cells, tree nurseries, etc. which are resistant to diseases), purification and savings techniques on agricultural holdings (rainwater, waste, etc.), adjusting to the special requirements of farming in environmentally vulnerable areas (WPA, Nitrates Directive, etc.), arranging permanent plantations and pastures (meadow orchards, extensive pastures, etc.), and organic food production (sub-measure M04.1);</w:t>
            </w:r>
          </w:p>
          <w:p w:rsidR="00BD3B5F" w:rsidRPr="005C3B55" w:rsidRDefault="00BD3B5F" w:rsidP="00BD3B5F">
            <w:pPr>
              <w:numPr>
                <w:ilvl w:val="0"/>
                <w:numId w:val="164"/>
              </w:numPr>
              <w:spacing w:before="0" w:after="240"/>
              <w:ind w:hanging="290"/>
              <w:jc w:val="left"/>
              <w:rPr>
                <w:noProof/>
                <w:szCs w:val="24"/>
              </w:rPr>
            </w:pPr>
            <w:r w:rsidRPr="005C3B55">
              <w:rPr>
                <w:szCs w:val="24"/>
              </w:rPr>
              <w:t>arranging waste-water treatment plants, reducing emissions and saving water, arranging reservoirs for the collection of rainwater, and increasing the share of wood in building construction (sub-measure M04.2).</w:t>
            </w:r>
          </w:p>
          <w:p w:rsidR="00BD3B5F" w:rsidRPr="005C3B55" w:rsidRDefault="00BD3B5F">
            <w:pPr>
              <w:spacing w:before="240" w:after="240"/>
              <w:jc w:val="left"/>
              <w:rPr>
                <w:noProof/>
                <w:szCs w:val="24"/>
              </w:rPr>
            </w:pPr>
            <w:r w:rsidRPr="005C3B55">
              <w:rPr>
                <w:b/>
                <w:i/>
                <w:szCs w:val="24"/>
              </w:rPr>
              <w:t>Innovation:</w:t>
            </w:r>
          </w:p>
          <w:p w:rsidR="00BD3B5F" w:rsidRPr="005C3B55" w:rsidRDefault="00BD3B5F" w:rsidP="00BD3B5F">
            <w:pPr>
              <w:numPr>
                <w:ilvl w:val="0"/>
                <w:numId w:val="165"/>
              </w:numPr>
              <w:spacing w:before="240" w:after="240"/>
              <w:ind w:hanging="290"/>
              <w:jc w:val="left"/>
              <w:rPr>
                <w:noProof/>
                <w:szCs w:val="24"/>
              </w:rPr>
            </w:pPr>
            <w:r w:rsidRPr="005C3B55">
              <w:rPr>
                <w:szCs w:val="24"/>
              </w:rPr>
              <w:t>innovation, knowledge transfer into practice and the development of new products are of key significance for the development activities and for raising added value in the agricultural and food industry sectors.</w:t>
            </w:r>
            <w:r w:rsidRPr="005C3B55">
              <w:rPr>
                <w:noProof/>
                <w:szCs w:val="24"/>
              </w:rPr>
              <w:t xml:space="preserve"> </w:t>
            </w:r>
            <w:r w:rsidRPr="005C3B55">
              <w:rPr>
                <w:szCs w:val="24"/>
              </w:rPr>
              <w:t>Assistance within this measure will be earmarked for agricultural holdings or food processing plants motivated to acquire new knowledge and introduce innovative approaches in the production, processing and marketing of agricultural products and foodstuffs, which reduce production costs or participate in EIP’s operative groups (sub-measures M04.1 and M04.2).</w:t>
            </w:r>
          </w:p>
          <w:p w:rsidR="00BD3B5F" w:rsidRPr="005C3B55" w:rsidRDefault="00BD3B5F">
            <w:pPr>
              <w:pStyle w:val="Telobesedila"/>
              <w:rPr>
                <w:szCs w:val="24"/>
              </w:rPr>
            </w:pPr>
          </w:p>
        </w:tc>
      </w:tr>
    </w:tbl>
    <w:p w:rsidR="00BD3B5F" w:rsidRPr="005C3B55" w:rsidRDefault="00BD3B5F">
      <w:pPr>
        <w:pStyle w:val="Naslov4"/>
        <w:tabs>
          <w:tab w:val="clear" w:pos="765"/>
        </w:tabs>
        <w:ind w:left="0" w:firstLine="0"/>
        <w:jc w:val="left"/>
        <w:rPr>
          <w:szCs w:val="24"/>
          <w:lang w:val="en-GB"/>
        </w:rPr>
      </w:pPr>
      <w:r w:rsidRPr="005C3B55">
        <w:rPr>
          <w:szCs w:val="24"/>
          <w:lang w:val="en-GB"/>
        </w:rPr>
        <w:t>Scope and rate of support and beneficiaries, and, where relevant, the methodology for calculating the amount or level of support, if necessary broken down by sub-measures and/or the type of operation. Determine eligible costs, conditions for eligibility, valid amounts and rates of support and principles regarding the definition of the selection criteria for each type of operation</w:t>
      </w:r>
    </w:p>
    <w:p w:rsidR="00BD3B5F" w:rsidRPr="005C3B55" w:rsidRDefault="00BD3B5F">
      <w:pPr>
        <w:pStyle w:val="Naslov5"/>
        <w:tabs>
          <w:tab w:val="clear" w:pos="765"/>
        </w:tabs>
        <w:ind w:left="0" w:firstLine="0"/>
        <w:rPr>
          <w:b w:val="0"/>
          <w:szCs w:val="24"/>
          <w:lang w:val="en-GB"/>
        </w:rPr>
      </w:pPr>
      <w:r w:rsidRPr="005C3B55">
        <w:rPr>
          <w:b w:val="0"/>
          <w:szCs w:val="24"/>
          <w:lang w:val="en-GB"/>
        </w:rPr>
        <w:t xml:space="preserve">1. </w:t>
      </w:r>
      <w:r w:rsidRPr="005C3B55">
        <w:rPr>
          <w:b w:val="0"/>
          <w:noProof w:val="0"/>
          <w:szCs w:val="24"/>
          <w:lang w:val="en-GB"/>
        </w:rPr>
        <w:t>Investments in improving the general efficiency and sustainability of agricultural holdings</w:t>
      </w:r>
    </w:p>
    <w:p w:rsidR="00BD3B5F" w:rsidRPr="005C3B55" w:rsidRDefault="00BD3B5F">
      <w:pPr>
        <w:rPr>
          <w:szCs w:val="24"/>
        </w:rPr>
      </w:pPr>
      <w:r w:rsidRPr="005C3B55">
        <w:rPr>
          <w:szCs w:val="24"/>
        </w:rPr>
        <w:t xml:space="preserve">Sub-measure: </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rsidP="00BD3B5F">
            <w:pPr>
              <w:numPr>
                <w:ilvl w:val="0"/>
                <w:numId w:val="166"/>
              </w:numPr>
              <w:rPr>
                <w:szCs w:val="24"/>
              </w:rPr>
            </w:pPr>
            <w:r w:rsidRPr="005C3B55">
              <w:rPr>
                <w:szCs w:val="24"/>
              </w:rPr>
              <w:t>4.1 – Support in investments in agricultural holdings</w:t>
            </w:r>
          </w:p>
        </w:tc>
      </w:tr>
    </w:tbl>
    <w:p w:rsidR="00BD3B5F" w:rsidRPr="005C3B55" w:rsidRDefault="00BD3B5F">
      <w:pPr>
        <w:pStyle w:val="Naslov6"/>
        <w:tabs>
          <w:tab w:val="clear" w:pos="765"/>
        </w:tabs>
        <w:ind w:left="0" w:firstLine="0"/>
        <w:rPr>
          <w:szCs w:val="24"/>
          <w:lang w:val="en-GB"/>
        </w:rPr>
      </w:pPr>
      <w:r w:rsidRPr="005C3B55">
        <w:rPr>
          <w:noProof w:val="0"/>
          <w:szCs w:val="24"/>
          <w:lang w:val="en-GB"/>
        </w:rPr>
        <w:t>Description of type of operation</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The subjects of support are individual and collective investments of agricultural holdings in own primary production of agricultural products referred to in Annex I to the Treaty.</w:t>
            </w:r>
            <w:r w:rsidRPr="005C3B55">
              <w:rPr>
                <w:noProof/>
                <w:szCs w:val="24"/>
              </w:rPr>
              <w:t xml:space="preserve"> </w:t>
            </w:r>
            <w:r w:rsidRPr="005C3B55">
              <w:rPr>
                <w:szCs w:val="24"/>
              </w:rPr>
              <w:t>On the basis of a SWOT analysis, support is granted for the following investments:</w:t>
            </w:r>
          </w:p>
          <w:p w:rsidR="00BD3B5F" w:rsidRPr="005C3B55" w:rsidRDefault="00BD3B5F" w:rsidP="00BD3B5F">
            <w:pPr>
              <w:numPr>
                <w:ilvl w:val="0"/>
                <w:numId w:val="167"/>
              </w:numPr>
              <w:spacing w:before="240" w:after="0"/>
              <w:ind w:hanging="290"/>
              <w:jc w:val="left"/>
              <w:rPr>
                <w:noProof/>
                <w:szCs w:val="24"/>
              </w:rPr>
            </w:pPr>
            <w:r w:rsidRPr="005C3B55">
              <w:rPr>
                <w:szCs w:val="24"/>
              </w:rPr>
              <w:t>investments intended for technological improvements in the field of hygiene, environmental protection and safety at work, and to reduce production costs (e.g. technological modernisation of agricultural buildings, arranging septic tanks and wastewater treatment plants, purchasing equipment and devices which improve safety at work, purchasing special agricultural machinery which facilitates reduced use of PPP, arrangement of permanent plantations, technological upgrading of small irrigation systems (hereinafter: SIS), and purchase of irrigation equipment);</w:t>
            </w:r>
          </w:p>
          <w:p w:rsidR="00BD3B5F" w:rsidRPr="005C3B55" w:rsidRDefault="00BD3B5F" w:rsidP="00BD3B5F">
            <w:pPr>
              <w:numPr>
                <w:ilvl w:val="0"/>
                <w:numId w:val="167"/>
              </w:numPr>
              <w:spacing w:before="0" w:after="0"/>
              <w:ind w:hanging="290"/>
              <w:jc w:val="left"/>
              <w:rPr>
                <w:noProof/>
                <w:szCs w:val="24"/>
              </w:rPr>
            </w:pPr>
            <w:r w:rsidRPr="005C3B55">
              <w:rPr>
                <w:szCs w:val="24"/>
              </w:rPr>
              <w:t>investments intended for producing organic products and other products from quality schemes (e.g. technological modernisation of stables and other agricultural buildings, arranging releases from accommodations for animals and free range, purchasing special agricultural machinery and mechanical equipment, arranging permanent orchards, arrangement of SIS and the purchase of irrigation equipment);</w:t>
            </w:r>
          </w:p>
          <w:p w:rsidR="00BD3B5F" w:rsidRPr="005C3B55" w:rsidRDefault="00BD3B5F" w:rsidP="00BD3B5F">
            <w:pPr>
              <w:numPr>
                <w:ilvl w:val="0"/>
                <w:numId w:val="167"/>
              </w:numPr>
              <w:spacing w:before="0" w:after="0"/>
              <w:ind w:hanging="290"/>
              <w:jc w:val="left"/>
              <w:rPr>
                <w:noProof/>
                <w:szCs w:val="24"/>
              </w:rPr>
            </w:pPr>
            <w:r w:rsidRPr="005C3B55">
              <w:rPr>
                <w:szCs w:val="24"/>
              </w:rPr>
              <w:t>adjusting agricultural holdings to the requirements of farming in hill and mountain areas (e.g. purchasing special agricultural machinery for farming on steep terrain, arranging pastures and pens for breeding domestic animals or farmed game, implementation of agro-meliorations, technological modernisation of stables and protecting agricultural land against wildlife and beehives against bears, arrangement of permanent orchards and road, water, water supply and energy connections to public infrastructure, arrangement of SIS and the purchase of irrigation equipment);</w:t>
            </w:r>
          </w:p>
          <w:p w:rsidR="00BD3B5F" w:rsidRPr="005C3B55" w:rsidRDefault="00BD3B5F" w:rsidP="00BD3B5F">
            <w:pPr>
              <w:numPr>
                <w:ilvl w:val="0"/>
                <w:numId w:val="167"/>
              </w:numPr>
              <w:spacing w:before="0" w:after="0"/>
              <w:ind w:hanging="290"/>
              <w:jc w:val="left"/>
              <w:rPr>
                <w:noProof/>
                <w:szCs w:val="24"/>
              </w:rPr>
            </w:pPr>
            <w:r w:rsidRPr="005C3B55">
              <w:rPr>
                <w:szCs w:val="24"/>
              </w:rPr>
              <w:t>adjusting agricultural holdings to climate change (e.g. purchasing and setting up anti-hail nets, purchasing and setting up nurseries and pertaining equipment, arranging permanent orchards, which are more resistant to diseases, frost and drought, technological upgrading of SIS and purchase of irrigation equipment);</w:t>
            </w:r>
          </w:p>
          <w:p w:rsidR="00BD3B5F" w:rsidRPr="005C3B55" w:rsidRDefault="00BD3B5F" w:rsidP="00BD3B5F">
            <w:pPr>
              <w:numPr>
                <w:ilvl w:val="0"/>
                <w:numId w:val="167"/>
              </w:numPr>
              <w:spacing w:before="0" w:after="0"/>
              <w:ind w:hanging="290"/>
              <w:jc w:val="left"/>
              <w:rPr>
                <w:noProof/>
                <w:szCs w:val="24"/>
              </w:rPr>
            </w:pPr>
            <w:r w:rsidRPr="005C3B55">
              <w:rPr>
                <w:szCs w:val="24"/>
              </w:rPr>
              <w:t>investments in adjusting agricultural holdings to the implementation of above-standard requirements from the aspect of protecting farmed animals (e.g. technological modernisation of stables and purchasing pertaining equipment);</w:t>
            </w:r>
          </w:p>
          <w:p w:rsidR="00BD3B5F" w:rsidRPr="005C3B55" w:rsidRDefault="00BD3B5F" w:rsidP="00BD3B5F">
            <w:pPr>
              <w:numPr>
                <w:ilvl w:val="0"/>
                <w:numId w:val="167"/>
              </w:numPr>
              <w:spacing w:before="0" w:after="0"/>
              <w:ind w:hanging="290"/>
              <w:jc w:val="left"/>
              <w:rPr>
                <w:noProof/>
                <w:szCs w:val="24"/>
              </w:rPr>
            </w:pPr>
            <w:r w:rsidRPr="005C3B55">
              <w:rPr>
                <w:szCs w:val="24"/>
              </w:rPr>
              <w:t>investments in increasing efficient energy use, and encouraging the provision and use of renewable energy sources (RES) (e.g. investments in energy-efficient heating systems, investments in reducing heat loss when constructing buildings by using materials with better thermal conductivity, purchasing energy-efficient equipment, investments in the production of electricity and thermal energy, investments in the production of biogas by using organic waste);</w:t>
            </w:r>
          </w:p>
          <w:p w:rsidR="00BD3B5F" w:rsidRPr="005C3B55" w:rsidRDefault="00BD3B5F" w:rsidP="00BD3B5F">
            <w:pPr>
              <w:numPr>
                <w:ilvl w:val="0"/>
                <w:numId w:val="167"/>
              </w:numPr>
              <w:spacing w:before="0" w:after="240"/>
              <w:ind w:hanging="290"/>
              <w:jc w:val="left"/>
              <w:rPr>
                <w:noProof/>
                <w:szCs w:val="24"/>
              </w:rPr>
            </w:pPr>
            <w:r w:rsidRPr="005C3B55">
              <w:rPr>
                <w:szCs w:val="24"/>
              </w:rPr>
              <w:t>investments in improving the efficient use of manure and thus reducing greenhouse gas and ammonia emissions (e.g. constructing facilities for above-standard storing manure and purchasing and setting up mobile facilities and purchasing pertaining equipment, sealing of open lagoons for livestock manure storage, purchasing special agricultural machinery for the rational use of nitrogen, building compost facilities, technological modernisation of stables and purchasing equipment for animal faeces) and adjusting agricultural holdings to agricultural requirements at water protection areas as per the requirements of regulations governing water protection areas.</w:t>
            </w:r>
            <w:r w:rsidRPr="005C3B55">
              <w:rPr>
                <w:noProof/>
                <w:szCs w:val="24"/>
              </w:rPr>
              <w:t xml:space="preserve"> </w:t>
            </w:r>
            <w:r w:rsidRPr="005C3B55">
              <w:rPr>
                <w:szCs w:val="24"/>
              </w:rPr>
              <w:t>The construction of facilities for livestock manure storage is an eligible cost only to an extent which exceeds the minimum requirements relating to storage capacities as defined by the regulation governing water protection against pollution from agricultural sources.</w:t>
            </w:r>
            <w:r w:rsidRPr="005C3B55">
              <w:rPr>
                <w:noProof/>
                <w:szCs w:val="24"/>
              </w:rPr>
              <w:t xml:space="preserve"> </w:t>
            </w:r>
            <w:r w:rsidRPr="005C3B55">
              <w:rPr>
                <w:szCs w:val="24"/>
              </w:rPr>
              <w:t>The exception may be granted only for the investments of young farmers under Point 3 of the second paragraph of this Chapter.</w:t>
            </w:r>
          </w:p>
          <w:p w:rsidR="00BD3B5F" w:rsidRPr="005C3B55" w:rsidRDefault="00BD3B5F">
            <w:pPr>
              <w:spacing w:before="240" w:after="240"/>
              <w:jc w:val="left"/>
              <w:rPr>
                <w:noProof/>
                <w:szCs w:val="24"/>
              </w:rPr>
            </w:pPr>
            <w:r w:rsidRPr="005C3B55">
              <w:rPr>
                <w:szCs w:val="24"/>
              </w:rPr>
              <w:t>Considering the type of investment, support is granted for:</w:t>
            </w:r>
          </w:p>
          <w:p w:rsidR="00BD3B5F" w:rsidRPr="005C3B55" w:rsidRDefault="00BD3B5F">
            <w:pPr>
              <w:spacing w:before="240" w:after="240"/>
              <w:jc w:val="left"/>
              <w:rPr>
                <w:noProof/>
                <w:szCs w:val="24"/>
              </w:rPr>
            </w:pPr>
            <w:r w:rsidRPr="005C3B55">
              <w:rPr>
                <w:noProof/>
                <w:szCs w:val="24"/>
              </w:rPr>
              <w:t xml:space="preserve">1. </w:t>
            </w:r>
            <w:r w:rsidRPr="005C3B55">
              <w:rPr>
                <w:szCs w:val="24"/>
              </w:rPr>
              <w:t>investments in the restructuring of agricultural holdings in order to pursue the objective of improving the sustainability of agricultural holdings.</w:t>
            </w:r>
            <w:r w:rsidRPr="005C3B55">
              <w:rPr>
                <w:noProof/>
                <w:szCs w:val="24"/>
              </w:rPr>
              <w:t xml:space="preserve"> </w:t>
            </w:r>
            <w:r w:rsidRPr="005C3B55">
              <w:rPr>
                <w:szCs w:val="24"/>
              </w:rPr>
              <w:t>These are investments aimed at adjusting agricultural holdings to horizontal objectives related to innovation, the environment, and mitigating and adapting to climate change, particularly:</w:t>
            </w:r>
          </w:p>
          <w:p w:rsidR="00BD3B5F" w:rsidRPr="005C3B55" w:rsidRDefault="00BD3B5F" w:rsidP="00BD3B5F">
            <w:pPr>
              <w:numPr>
                <w:ilvl w:val="0"/>
                <w:numId w:val="168"/>
              </w:numPr>
              <w:spacing w:before="240" w:after="0"/>
              <w:ind w:hanging="290"/>
              <w:jc w:val="left"/>
              <w:rPr>
                <w:noProof/>
                <w:szCs w:val="24"/>
              </w:rPr>
            </w:pPr>
            <w:r w:rsidRPr="005C3B55">
              <w:rPr>
                <w:szCs w:val="24"/>
              </w:rPr>
              <w:t>reducing greenhouse gases and ammonia from agricultural production, especially animal husbandry;</w:t>
            </w:r>
          </w:p>
          <w:p w:rsidR="00BD3B5F" w:rsidRPr="005C3B55" w:rsidRDefault="00BD3B5F" w:rsidP="00BD3B5F">
            <w:pPr>
              <w:numPr>
                <w:ilvl w:val="0"/>
                <w:numId w:val="168"/>
              </w:numPr>
              <w:spacing w:before="0" w:after="0"/>
              <w:ind w:hanging="290"/>
              <w:jc w:val="left"/>
              <w:rPr>
                <w:noProof/>
                <w:szCs w:val="24"/>
              </w:rPr>
            </w:pPr>
            <w:r w:rsidRPr="005C3B55">
              <w:rPr>
                <w:szCs w:val="24"/>
              </w:rPr>
              <w:t>adapting agricultural holdings to climate change;</w:t>
            </w:r>
          </w:p>
          <w:p w:rsidR="00BD3B5F" w:rsidRPr="005C3B55" w:rsidRDefault="00BD3B5F" w:rsidP="00BD3B5F">
            <w:pPr>
              <w:numPr>
                <w:ilvl w:val="0"/>
                <w:numId w:val="168"/>
              </w:numPr>
              <w:spacing w:before="0" w:after="0"/>
              <w:ind w:hanging="290"/>
              <w:jc w:val="left"/>
              <w:rPr>
                <w:noProof/>
                <w:szCs w:val="24"/>
              </w:rPr>
            </w:pPr>
            <w:r w:rsidRPr="005C3B55">
              <w:rPr>
                <w:szCs w:val="24"/>
              </w:rPr>
              <w:t>increasing energy efficiency, including greater utilisation of wood;</w:t>
            </w:r>
          </w:p>
          <w:p w:rsidR="00BD3B5F" w:rsidRPr="005C3B55" w:rsidRDefault="00BD3B5F" w:rsidP="00BD3B5F">
            <w:pPr>
              <w:numPr>
                <w:ilvl w:val="0"/>
                <w:numId w:val="168"/>
              </w:numPr>
              <w:spacing w:before="0" w:after="0"/>
              <w:ind w:hanging="290"/>
              <w:jc w:val="left"/>
              <w:rPr>
                <w:noProof/>
                <w:szCs w:val="24"/>
              </w:rPr>
            </w:pPr>
            <w:r w:rsidRPr="005C3B55">
              <w:rPr>
                <w:szCs w:val="24"/>
              </w:rPr>
              <w:t>introducing renewable energy sources (RES);</w:t>
            </w:r>
          </w:p>
          <w:p w:rsidR="00BD3B5F" w:rsidRPr="005C3B55" w:rsidRDefault="00BD3B5F" w:rsidP="00BD3B5F">
            <w:pPr>
              <w:numPr>
                <w:ilvl w:val="0"/>
                <w:numId w:val="168"/>
              </w:numPr>
              <w:spacing w:before="0" w:after="0"/>
              <w:ind w:hanging="290"/>
              <w:jc w:val="left"/>
              <w:rPr>
                <w:noProof/>
                <w:szCs w:val="24"/>
              </w:rPr>
            </w:pPr>
            <w:r w:rsidRPr="005C3B55">
              <w:rPr>
                <w:szCs w:val="24"/>
              </w:rPr>
              <w:t>reducing or more efficient use of plant protection products and fertilisers (e.g. devices for PPP application with reduced spreading and seed dressing and devices for mechanical pest control);</w:t>
            </w:r>
          </w:p>
          <w:p w:rsidR="00BD3B5F" w:rsidRPr="005C3B55" w:rsidRDefault="00BD3B5F" w:rsidP="00BD3B5F">
            <w:pPr>
              <w:numPr>
                <w:ilvl w:val="0"/>
                <w:numId w:val="168"/>
              </w:numPr>
              <w:spacing w:before="0" w:after="0"/>
              <w:ind w:hanging="290"/>
              <w:jc w:val="left"/>
              <w:rPr>
                <w:noProof/>
                <w:szCs w:val="24"/>
              </w:rPr>
            </w:pPr>
            <w:r w:rsidRPr="005C3B55">
              <w:rPr>
                <w:szCs w:val="24"/>
              </w:rPr>
              <w:t>rational use of water and other raw material and arrangement of treatment and saving technologies (e.g. collection of rainwater, replacement of irrigation equipment and reducing the use of water in technological upgrading of existing SIS) in agricultural holdings;</w:t>
            </w:r>
          </w:p>
          <w:p w:rsidR="00BD3B5F" w:rsidRPr="005C3B55" w:rsidRDefault="00BD3B5F" w:rsidP="00BD3B5F">
            <w:pPr>
              <w:numPr>
                <w:ilvl w:val="0"/>
                <w:numId w:val="168"/>
              </w:numPr>
              <w:spacing w:before="0" w:after="0"/>
              <w:ind w:hanging="290"/>
              <w:jc w:val="left"/>
              <w:rPr>
                <w:noProof/>
                <w:szCs w:val="24"/>
              </w:rPr>
            </w:pPr>
            <w:r w:rsidRPr="005C3B55">
              <w:rPr>
                <w:szCs w:val="24"/>
              </w:rPr>
              <w:t>adjusting farming in environmentally sensitive areas important for protecting natural resources (especially water, soil and biodiversity);</w:t>
            </w:r>
          </w:p>
          <w:p w:rsidR="00BD3B5F" w:rsidRPr="005C3B55" w:rsidRDefault="00BD3B5F" w:rsidP="00BD3B5F">
            <w:pPr>
              <w:numPr>
                <w:ilvl w:val="0"/>
                <w:numId w:val="168"/>
              </w:numPr>
              <w:spacing w:before="0" w:after="0"/>
              <w:ind w:hanging="290"/>
              <w:jc w:val="left"/>
              <w:rPr>
                <w:noProof/>
                <w:szCs w:val="24"/>
              </w:rPr>
            </w:pPr>
            <w:r w:rsidRPr="005C3B55">
              <w:rPr>
                <w:szCs w:val="24"/>
              </w:rPr>
              <w:t>arranging plantations of perennial plants which are resistant to diseases, frost and drought;</w:t>
            </w:r>
          </w:p>
          <w:p w:rsidR="00BD3B5F" w:rsidRPr="005C3B55" w:rsidRDefault="00BD3B5F" w:rsidP="00BD3B5F">
            <w:pPr>
              <w:numPr>
                <w:ilvl w:val="0"/>
                <w:numId w:val="168"/>
              </w:numPr>
              <w:spacing w:before="0" w:after="240"/>
              <w:ind w:hanging="290"/>
              <w:jc w:val="left"/>
              <w:rPr>
                <w:noProof/>
                <w:szCs w:val="24"/>
              </w:rPr>
            </w:pPr>
            <w:r w:rsidRPr="005C3B55">
              <w:rPr>
                <w:szCs w:val="24"/>
              </w:rPr>
              <w:t>organic food production.</w:t>
            </w:r>
          </w:p>
          <w:p w:rsidR="00BD3B5F" w:rsidRPr="005C3B55" w:rsidRDefault="00BD3B5F">
            <w:pPr>
              <w:spacing w:before="240" w:after="240"/>
              <w:jc w:val="left"/>
              <w:rPr>
                <w:noProof/>
                <w:szCs w:val="24"/>
              </w:rPr>
            </w:pPr>
            <w:r w:rsidRPr="005C3B55">
              <w:rPr>
                <w:noProof/>
                <w:szCs w:val="24"/>
              </w:rPr>
              <w:t xml:space="preserve">2. </w:t>
            </w:r>
            <w:r w:rsidRPr="005C3B55">
              <w:rPr>
                <w:szCs w:val="24"/>
              </w:rPr>
              <w:t>investments in increasing the competitiveness of supported agricultural holdings, especially:</w:t>
            </w:r>
          </w:p>
          <w:p w:rsidR="00BD3B5F" w:rsidRPr="005C3B55" w:rsidRDefault="00BD3B5F" w:rsidP="00BD3B5F">
            <w:pPr>
              <w:numPr>
                <w:ilvl w:val="0"/>
                <w:numId w:val="169"/>
              </w:numPr>
              <w:spacing w:before="240" w:after="0"/>
              <w:ind w:hanging="290"/>
              <w:jc w:val="left"/>
              <w:rPr>
                <w:noProof/>
                <w:szCs w:val="24"/>
              </w:rPr>
            </w:pPr>
            <w:r w:rsidRPr="005C3B55">
              <w:rPr>
                <w:szCs w:val="24"/>
              </w:rPr>
              <w:t>raising productivity, especially labour productivity;</w:t>
            </w:r>
          </w:p>
          <w:p w:rsidR="00BD3B5F" w:rsidRPr="005C3B55" w:rsidRDefault="00BD3B5F" w:rsidP="00BD3B5F">
            <w:pPr>
              <w:numPr>
                <w:ilvl w:val="0"/>
                <w:numId w:val="169"/>
              </w:numPr>
              <w:spacing w:before="0" w:after="0"/>
              <w:ind w:hanging="290"/>
              <w:jc w:val="left"/>
              <w:rPr>
                <w:noProof/>
                <w:szCs w:val="24"/>
              </w:rPr>
            </w:pPr>
            <w:r w:rsidRPr="005C3B55">
              <w:rPr>
                <w:szCs w:val="24"/>
              </w:rPr>
              <w:t>improving cost efficiency;</w:t>
            </w:r>
          </w:p>
          <w:p w:rsidR="00BD3B5F" w:rsidRPr="005C3B55" w:rsidRDefault="00BD3B5F" w:rsidP="00BD3B5F">
            <w:pPr>
              <w:numPr>
                <w:ilvl w:val="0"/>
                <w:numId w:val="169"/>
              </w:numPr>
              <w:spacing w:before="0" w:after="0"/>
              <w:ind w:hanging="290"/>
              <w:jc w:val="left"/>
              <w:rPr>
                <w:noProof/>
                <w:szCs w:val="24"/>
              </w:rPr>
            </w:pPr>
            <w:r w:rsidRPr="005C3B55">
              <w:rPr>
                <w:szCs w:val="24"/>
              </w:rPr>
              <w:t>improving hygiene and quality, and increasing the added value of agricultural products;</w:t>
            </w:r>
          </w:p>
          <w:p w:rsidR="00BD3B5F" w:rsidRPr="005C3B55" w:rsidRDefault="00BD3B5F" w:rsidP="00BD3B5F">
            <w:pPr>
              <w:numPr>
                <w:ilvl w:val="0"/>
                <w:numId w:val="169"/>
              </w:numPr>
              <w:spacing w:before="0" w:after="240"/>
              <w:ind w:hanging="290"/>
              <w:jc w:val="left"/>
              <w:rPr>
                <w:noProof/>
                <w:szCs w:val="24"/>
              </w:rPr>
            </w:pPr>
            <w:r w:rsidRPr="005C3B55">
              <w:rPr>
                <w:szCs w:val="24"/>
              </w:rPr>
              <w:t>adjusting agricultural holdings to above-standard requirements of animal welfare.</w:t>
            </w:r>
          </w:p>
          <w:p w:rsidR="00BD3B5F" w:rsidRPr="005C3B55" w:rsidRDefault="00BD3B5F">
            <w:pPr>
              <w:spacing w:before="240" w:after="240"/>
              <w:jc w:val="left"/>
              <w:rPr>
                <w:noProof/>
                <w:szCs w:val="24"/>
              </w:rPr>
            </w:pPr>
            <w:r w:rsidRPr="005C3B55">
              <w:rPr>
                <w:szCs w:val="24"/>
              </w:rPr>
              <w:t>Within this sub-measure, purchasing agricultural machinery as an individual investment is supported only if the purchase includes special agricultural machinery with an expressly environmental effect, if it contributes to the reduction of greenhouse gases, and is intended for organic production and farming in hill and mountain areas.</w:t>
            </w:r>
            <w:r w:rsidRPr="005C3B55">
              <w:rPr>
                <w:noProof/>
                <w:szCs w:val="24"/>
              </w:rPr>
              <w:t xml:space="preserve"> </w:t>
            </w:r>
            <w:r w:rsidRPr="005C3B55">
              <w:rPr>
                <w:szCs w:val="24"/>
              </w:rPr>
              <w:t>Other agricultural machinery is eligible for support only in the case of collective investments and in the case of activities that receive support within the EIP in the field of agricultural productivity and sustainability if its rational use is proven.</w:t>
            </w:r>
          </w:p>
          <w:p w:rsidR="00BD3B5F" w:rsidRPr="005C3B55" w:rsidRDefault="00BD3B5F">
            <w:pPr>
              <w:spacing w:before="240" w:after="240"/>
              <w:jc w:val="left"/>
              <w:rPr>
                <w:noProof/>
                <w:szCs w:val="24"/>
              </w:rPr>
            </w:pPr>
            <w:r w:rsidRPr="005C3B55">
              <w:rPr>
                <w:noProof/>
                <w:szCs w:val="24"/>
              </w:rPr>
              <w:t xml:space="preserve">3. </w:t>
            </w:r>
            <w:r w:rsidRPr="005C3B55">
              <w:rPr>
                <w:szCs w:val="24"/>
              </w:rPr>
              <w:t>Investments for harmonisation with EU standards</w:t>
            </w:r>
          </w:p>
          <w:p w:rsidR="00BD3B5F" w:rsidRPr="005C3B55" w:rsidRDefault="00BD3B5F">
            <w:pPr>
              <w:spacing w:before="240" w:after="240"/>
              <w:jc w:val="left"/>
              <w:rPr>
                <w:noProof/>
                <w:szCs w:val="24"/>
              </w:rPr>
            </w:pPr>
            <w:r w:rsidRPr="005C3B55">
              <w:rPr>
                <w:szCs w:val="24"/>
              </w:rPr>
              <w:t>Young farmers taking over agricultural holdings as the holders of agricultural holdings for the first time are also eligible for support with investments for harmonisation with EU standards applicable to agricultural production with regard to safety at work.</w:t>
            </w:r>
            <w:r w:rsidRPr="005C3B55">
              <w:rPr>
                <w:noProof/>
                <w:szCs w:val="24"/>
              </w:rPr>
              <w:t xml:space="preserve"> </w:t>
            </w:r>
            <w:r w:rsidRPr="005C3B55">
              <w:rPr>
                <w:szCs w:val="24"/>
              </w:rPr>
              <w:t>Beneficiaries must conclude their investments within 24 months from the date of setting up a farm. Otherwise, they are not eligible for support for investments for harmonisation with EU standards.</w:t>
            </w:r>
          </w:p>
          <w:p w:rsidR="00BD3B5F" w:rsidRPr="005C3B55" w:rsidRDefault="00BD3B5F">
            <w:pPr>
              <w:spacing w:before="240" w:after="240"/>
              <w:jc w:val="left"/>
              <w:rPr>
                <w:noProof/>
                <w:szCs w:val="24"/>
              </w:rPr>
            </w:pPr>
            <w:r w:rsidRPr="005C3B55">
              <w:rPr>
                <w:noProof/>
                <w:szCs w:val="24"/>
              </w:rPr>
              <w:t xml:space="preserve">4. </w:t>
            </w:r>
            <w:r w:rsidRPr="005C3B55">
              <w:rPr>
                <w:szCs w:val="24"/>
              </w:rPr>
              <w:t>Intensification of agriculture and impact on the environment</w:t>
            </w:r>
          </w:p>
          <w:p w:rsidR="00BD3B5F" w:rsidRPr="005C3B55" w:rsidRDefault="00BD3B5F">
            <w:pPr>
              <w:spacing w:before="240" w:after="240"/>
              <w:jc w:val="left"/>
              <w:rPr>
                <w:noProof/>
                <w:szCs w:val="24"/>
              </w:rPr>
            </w:pPr>
            <w:r w:rsidRPr="005C3B55">
              <w:rPr>
                <w:szCs w:val="24"/>
              </w:rPr>
              <w:t>The promotion of competition may lead to an excessive concentration of production, which may result in reduced biodiversity and increased environmental burden.</w:t>
            </w:r>
            <w:r w:rsidRPr="005C3B55">
              <w:rPr>
                <w:noProof/>
                <w:szCs w:val="24"/>
              </w:rPr>
              <w:t xml:space="preserve"> </w:t>
            </w:r>
            <w:r w:rsidRPr="005C3B55">
              <w:rPr>
                <w:szCs w:val="24"/>
              </w:rPr>
              <w:t>To maintain the environment in a good condition, several activities will be supported:</w:t>
            </w:r>
          </w:p>
          <w:p w:rsidR="00BD3B5F" w:rsidRPr="005C3B55" w:rsidRDefault="00BD3B5F" w:rsidP="00BD3B5F">
            <w:pPr>
              <w:numPr>
                <w:ilvl w:val="0"/>
                <w:numId w:val="170"/>
              </w:numPr>
              <w:spacing w:before="240" w:after="0"/>
              <w:ind w:hanging="290"/>
              <w:jc w:val="left"/>
              <w:rPr>
                <w:noProof/>
                <w:szCs w:val="24"/>
              </w:rPr>
            </w:pPr>
            <w:r w:rsidRPr="005C3B55">
              <w:rPr>
                <w:szCs w:val="24"/>
              </w:rPr>
              <w:t>all interventions in space implemented in areas with high natural value have to be implemented as per the regulations governing environmental protection;</w:t>
            </w:r>
          </w:p>
          <w:p w:rsidR="00BD3B5F" w:rsidRPr="005C3B55" w:rsidRDefault="00BD3B5F" w:rsidP="00BD3B5F">
            <w:pPr>
              <w:numPr>
                <w:ilvl w:val="0"/>
                <w:numId w:val="170"/>
              </w:numPr>
              <w:spacing w:before="0" w:after="0"/>
              <w:ind w:hanging="290"/>
              <w:jc w:val="left"/>
              <w:rPr>
                <w:noProof/>
                <w:szCs w:val="24"/>
              </w:rPr>
            </w:pPr>
            <w:r w:rsidRPr="005C3B55">
              <w:rPr>
                <w:szCs w:val="24"/>
              </w:rPr>
              <w:t>the irrigation of agricultural land will be implemented in areas of water bodies with a poor water status in order to efficiently reduce water consumption;</w:t>
            </w:r>
          </w:p>
          <w:p w:rsidR="00BD3B5F" w:rsidRPr="005C3B55" w:rsidRDefault="00BD3B5F" w:rsidP="00BD3B5F">
            <w:pPr>
              <w:numPr>
                <w:ilvl w:val="0"/>
                <w:numId w:val="170"/>
              </w:numPr>
              <w:spacing w:before="0" w:after="0"/>
              <w:ind w:hanging="290"/>
              <w:jc w:val="left"/>
              <w:rPr>
                <w:noProof/>
                <w:szCs w:val="24"/>
              </w:rPr>
            </w:pPr>
            <w:r w:rsidRPr="005C3B55">
              <w:rPr>
                <w:szCs w:val="24"/>
              </w:rPr>
              <w:t>comprehensive planning of development of agricultural holdings will have to be observed when preparing business plans in the direction of sustainable agriculture;</w:t>
            </w:r>
          </w:p>
          <w:p w:rsidR="00BD3B5F" w:rsidRPr="005C3B55" w:rsidRDefault="00BD3B5F" w:rsidP="00BD3B5F">
            <w:pPr>
              <w:numPr>
                <w:ilvl w:val="0"/>
                <w:numId w:val="170"/>
              </w:numPr>
              <w:spacing w:before="0" w:after="0"/>
              <w:ind w:hanging="290"/>
              <w:jc w:val="left"/>
              <w:rPr>
                <w:noProof/>
                <w:szCs w:val="24"/>
              </w:rPr>
            </w:pPr>
            <w:r w:rsidRPr="005C3B55">
              <w:rPr>
                <w:szCs w:val="24"/>
              </w:rPr>
              <w:t>special attention will be paid to the renovation of agricultural buildings which are subject to cultural heritage protection, and</w:t>
            </w:r>
          </w:p>
          <w:p w:rsidR="00BD3B5F" w:rsidRPr="005C3B55" w:rsidRDefault="00BD3B5F" w:rsidP="00BD3B5F">
            <w:pPr>
              <w:numPr>
                <w:ilvl w:val="0"/>
                <w:numId w:val="170"/>
              </w:numPr>
              <w:spacing w:before="0" w:after="240"/>
              <w:ind w:hanging="290"/>
              <w:jc w:val="left"/>
              <w:rPr>
                <w:noProof/>
                <w:szCs w:val="24"/>
              </w:rPr>
            </w:pPr>
            <w:r w:rsidRPr="005C3B55">
              <w:rPr>
                <w:szCs w:val="24"/>
              </w:rPr>
              <w:t>promotion of investments in adjustment to the implementation of above-standard requirements relating to animal welfare and livestock manure storage.</w:t>
            </w:r>
          </w:p>
          <w:p w:rsidR="00BD3B5F" w:rsidRPr="005C3B55" w:rsidRDefault="00BD3B5F">
            <w:pPr>
              <w:spacing w:before="240" w:after="240"/>
              <w:jc w:val="left"/>
              <w:rPr>
                <w:noProof/>
                <w:szCs w:val="24"/>
              </w:rPr>
            </w:pPr>
            <w:r w:rsidRPr="005C3B55">
              <w:rPr>
                <w:noProof/>
                <w:szCs w:val="24"/>
              </w:rPr>
              <w:t xml:space="preserve">5. </w:t>
            </w:r>
            <w:r w:rsidRPr="005C3B55">
              <w:rPr>
                <w:szCs w:val="24"/>
              </w:rPr>
              <w:t>Requirements regarding emissions into the atmosphere from small and medium combustion plants</w:t>
            </w:r>
          </w:p>
          <w:p w:rsidR="00BD3B5F" w:rsidRPr="005C3B55" w:rsidRDefault="00BD3B5F">
            <w:pPr>
              <w:spacing w:before="240" w:after="240"/>
              <w:jc w:val="left"/>
              <w:rPr>
                <w:noProof/>
                <w:szCs w:val="24"/>
              </w:rPr>
            </w:pPr>
            <w:r w:rsidRPr="005C3B55">
              <w:rPr>
                <w:szCs w:val="24"/>
              </w:rPr>
              <w:t>Combustion plants must be highly efficient (low emissions into the atmosphere) when investing in power and thermal energy production.</w:t>
            </w:r>
            <w:r w:rsidRPr="005C3B55">
              <w:rPr>
                <w:noProof/>
                <w:szCs w:val="24"/>
              </w:rPr>
              <w:t xml:space="preserve"> </w:t>
            </w:r>
            <w:r w:rsidRPr="005C3B55">
              <w:rPr>
                <w:szCs w:val="24"/>
              </w:rPr>
              <w:t>In medium-size combustion plants of power between 1 to 50 MW, the requirements regarding the emissions into the atmosphere as per the national legislation will be observed.</w:t>
            </w:r>
          </w:p>
          <w:p w:rsidR="00BD3B5F" w:rsidRPr="005C3B55" w:rsidRDefault="00BD3B5F">
            <w:pPr>
              <w:pStyle w:val="Telobesedila"/>
              <w:rPr>
                <w:szCs w:val="24"/>
              </w:rPr>
            </w:pPr>
          </w:p>
        </w:tc>
      </w:tr>
    </w:tbl>
    <w:p w:rsidR="00BD3B5F" w:rsidRPr="005C3B55" w:rsidRDefault="00BD3B5F">
      <w:pPr>
        <w:pStyle w:val="Naslov6"/>
        <w:tabs>
          <w:tab w:val="clear" w:pos="765"/>
        </w:tabs>
        <w:ind w:left="0" w:firstLine="0"/>
        <w:rPr>
          <w:szCs w:val="24"/>
          <w:lang w:val="en-GB"/>
        </w:rPr>
      </w:pPr>
      <w:r w:rsidRPr="005C3B55">
        <w:rPr>
          <w:noProof w:val="0"/>
          <w:szCs w:val="24"/>
          <w:lang w:val="en-GB"/>
        </w:rPr>
        <w:t>Type of support</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Support is granted in the form of non-refundable financial aid.</w:t>
            </w:r>
          </w:p>
          <w:p w:rsidR="00BD3B5F" w:rsidRPr="005C3B55" w:rsidRDefault="00BD3B5F">
            <w:pPr>
              <w:pStyle w:val="Telobesedila"/>
              <w:rPr>
                <w:szCs w:val="24"/>
              </w:rPr>
            </w:pPr>
          </w:p>
        </w:tc>
      </w:tr>
    </w:tbl>
    <w:p w:rsidR="00BD3B5F" w:rsidRPr="005C3B55" w:rsidRDefault="00BD3B5F">
      <w:pPr>
        <w:pStyle w:val="Naslov6"/>
        <w:tabs>
          <w:tab w:val="clear" w:pos="765"/>
        </w:tabs>
        <w:ind w:left="0" w:firstLine="0"/>
        <w:rPr>
          <w:szCs w:val="24"/>
          <w:lang w:val="en-GB"/>
        </w:rPr>
      </w:pPr>
      <w:r w:rsidRPr="005C3B55">
        <w:rPr>
          <w:noProof w:val="0"/>
          <w:szCs w:val="24"/>
          <w:lang w:val="en-GB"/>
        </w:rPr>
        <w:t>Connection with other legislation</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rsidP="00BD3B5F">
            <w:pPr>
              <w:numPr>
                <w:ilvl w:val="0"/>
                <w:numId w:val="171"/>
              </w:numPr>
              <w:spacing w:before="0" w:after="0"/>
              <w:ind w:hanging="290"/>
              <w:jc w:val="left"/>
              <w:rPr>
                <w:noProof/>
                <w:szCs w:val="24"/>
              </w:rPr>
            </w:pPr>
            <w:r w:rsidRPr="005C3B55">
              <w:rPr>
                <w:szCs w:val="24"/>
              </w:rPr>
              <w:t>Agriculture Act (Official Gazette of the Republic of Slovenia, no. 45/2008 with all amendments);</w:t>
            </w:r>
          </w:p>
          <w:p w:rsidR="00BD3B5F" w:rsidRPr="005C3B55" w:rsidRDefault="00BD3B5F" w:rsidP="00BD3B5F">
            <w:pPr>
              <w:numPr>
                <w:ilvl w:val="0"/>
                <w:numId w:val="171"/>
              </w:numPr>
              <w:spacing w:before="0" w:after="0"/>
              <w:ind w:hanging="290"/>
              <w:jc w:val="left"/>
              <w:rPr>
                <w:noProof/>
                <w:szCs w:val="24"/>
              </w:rPr>
            </w:pPr>
            <w:r w:rsidRPr="005C3B55">
              <w:rPr>
                <w:szCs w:val="24"/>
              </w:rPr>
              <w:t>Agricultural Land Act (Official Gazette of the Republic of Slovenia, no. 71/2011 with all amendments);</w:t>
            </w:r>
          </w:p>
          <w:p w:rsidR="00BD3B5F" w:rsidRPr="005C3B55" w:rsidRDefault="00BD3B5F" w:rsidP="00BD3B5F">
            <w:pPr>
              <w:numPr>
                <w:ilvl w:val="0"/>
                <w:numId w:val="171"/>
              </w:numPr>
              <w:spacing w:before="0" w:after="0"/>
              <w:ind w:hanging="290"/>
              <w:jc w:val="left"/>
              <w:rPr>
                <w:noProof/>
                <w:szCs w:val="24"/>
              </w:rPr>
            </w:pPr>
            <w:r w:rsidRPr="005C3B55">
              <w:rPr>
                <w:szCs w:val="24"/>
              </w:rPr>
              <w:t>national regulation which regulates the implementation of this sub-measure;</w:t>
            </w:r>
          </w:p>
          <w:p w:rsidR="00BD3B5F" w:rsidRPr="005C3B55" w:rsidRDefault="00BD3B5F" w:rsidP="00BD3B5F">
            <w:pPr>
              <w:numPr>
                <w:ilvl w:val="0"/>
                <w:numId w:val="171"/>
              </w:numPr>
              <w:spacing w:before="0" w:after="0"/>
              <w:ind w:hanging="290"/>
              <w:jc w:val="left"/>
              <w:rPr>
                <w:noProof/>
                <w:szCs w:val="24"/>
              </w:rPr>
            </w:pPr>
            <w:r w:rsidRPr="005C3B55">
              <w:rPr>
                <w:szCs w:val="24"/>
              </w:rPr>
              <w:t>Nature Conservation Act (Official Gazette of the Republic of Slovenia, no. 96/04 – official consolidated text with all amendments);</w:t>
            </w:r>
          </w:p>
          <w:p w:rsidR="00BD3B5F" w:rsidRPr="005C3B55" w:rsidRDefault="00BD3B5F" w:rsidP="00BD3B5F">
            <w:pPr>
              <w:numPr>
                <w:ilvl w:val="0"/>
                <w:numId w:val="171"/>
              </w:numPr>
              <w:spacing w:before="0" w:after="0"/>
              <w:ind w:hanging="290"/>
              <w:jc w:val="left"/>
              <w:rPr>
                <w:noProof/>
                <w:szCs w:val="24"/>
              </w:rPr>
            </w:pPr>
            <w:r w:rsidRPr="005C3B55">
              <w:rPr>
                <w:szCs w:val="24"/>
              </w:rPr>
              <w:t>Environmental Protection Act (Official Gazette of the Republic of Slovenia, no. 39/06 – official consolidated text with all amendments);</w:t>
            </w:r>
          </w:p>
          <w:p w:rsidR="00BD3B5F" w:rsidRPr="005C3B55" w:rsidRDefault="00BD3B5F" w:rsidP="00BD3B5F">
            <w:pPr>
              <w:numPr>
                <w:ilvl w:val="0"/>
                <w:numId w:val="171"/>
              </w:numPr>
              <w:spacing w:before="0" w:after="0"/>
              <w:ind w:hanging="290"/>
              <w:jc w:val="left"/>
              <w:rPr>
                <w:noProof/>
                <w:szCs w:val="24"/>
              </w:rPr>
            </w:pPr>
            <w:r w:rsidRPr="005C3B55">
              <w:rPr>
                <w:szCs w:val="24"/>
              </w:rPr>
              <w:t>Decree on the categories of activities for which an environmental impact assessment is mandatory (Official Gazette of the Republic of Slovenia, no. 51/14 with all amendments);</w:t>
            </w:r>
          </w:p>
          <w:p w:rsidR="00BD3B5F" w:rsidRPr="005C3B55" w:rsidRDefault="00BD3B5F" w:rsidP="00BD3B5F">
            <w:pPr>
              <w:numPr>
                <w:ilvl w:val="0"/>
                <w:numId w:val="171"/>
              </w:numPr>
              <w:spacing w:before="0" w:after="0"/>
              <w:ind w:hanging="290"/>
              <w:jc w:val="left"/>
              <w:rPr>
                <w:noProof/>
                <w:szCs w:val="24"/>
              </w:rPr>
            </w:pPr>
            <w:r w:rsidRPr="005C3B55">
              <w:rPr>
                <w:noProof/>
                <w:szCs w:val="24"/>
              </w:rPr>
              <w:t xml:space="preserve"> </w:t>
            </w:r>
            <w:r w:rsidRPr="005C3B55">
              <w:rPr>
                <w:szCs w:val="24"/>
              </w:rPr>
              <w:t>Articles 65 and 69 of Regulation (EU) No 1303/2013;</w:t>
            </w:r>
          </w:p>
          <w:p w:rsidR="00BD3B5F" w:rsidRPr="005C3B55" w:rsidRDefault="00BD3B5F" w:rsidP="00BD3B5F">
            <w:pPr>
              <w:numPr>
                <w:ilvl w:val="0"/>
                <w:numId w:val="171"/>
              </w:numPr>
              <w:spacing w:before="0" w:after="0"/>
              <w:ind w:hanging="290"/>
              <w:jc w:val="left"/>
              <w:rPr>
                <w:noProof/>
                <w:szCs w:val="24"/>
              </w:rPr>
            </w:pPr>
            <w:r w:rsidRPr="005C3B55">
              <w:rPr>
                <w:noProof/>
                <w:szCs w:val="24"/>
              </w:rPr>
              <w:t xml:space="preserve"> </w:t>
            </w:r>
            <w:r w:rsidRPr="005C3B55">
              <w:rPr>
                <w:szCs w:val="24"/>
              </w:rPr>
              <w:t>Article 13 of Regulation (EU) No 807/2014, and</w:t>
            </w:r>
          </w:p>
          <w:p w:rsidR="00BD3B5F" w:rsidRPr="005C3B55" w:rsidRDefault="00BD3B5F" w:rsidP="00BD3B5F">
            <w:pPr>
              <w:numPr>
                <w:ilvl w:val="0"/>
                <w:numId w:val="171"/>
              </w:numPr>
              <w:spacing w:before="0" w:after="240"/>
              <w:ind w:hanging="290"/>
              <w:jc w:val="left"/>
              <w:rPr>
                <w:noProof/>
                <w:szCs w:val="24"/>
              </w:rPr>
            </w:pPr>
            <w:r w:rsidRPr="005C3B55">
              <w:rPr>
                <w:szCs w:val="24"/>
              </w:rPr>
              <w:t>other EU and national legislation which regulates the implementation of this operation.</w:t>
            </w:r>
          </w:p>
          <w:p w:rsidR="00BD3B5F" w:rsidRPr="005C3B55" w:rsidRDefault="00BD3B5F">
            <w:pPr>
              <w:pStyle w:val="Telobesedila"/>
              <w:rPr>
                <w:szCs w:val="24"/>
              </w:rPr>
            </w:pPr>
          </w:p>
        </w:tc>
      </w:tr>
    </w:tbl>
    <w:p w:rsidR="00BD3B5F" w:rsidRPr="005C3B55" w:rsidRDefault="00BD3B5F" w:rsidP="004311A3">
      <w:pPr>
        <w:pStyle w:val="Naslov6"/>
        <w:tabs>
          <w:tab w:val="clear" w:pos="765"/>
        </w:tabs>
        <w:ind w:left="0" w:firstLine="0"/>
        <w:rPr>
          <w:szCs w:val="24"/>
          <w:lang w:val="en-GB"/>
        </w:rPr>
      </w:pPr>
      <w:r w:rsidRPr="005C3B55">
        <w:rPr>
          <w:noProof w:val="0"/>
          <w:szCs w:val="24"/>
          <w:lang w:val="en-GB"/>
        </w:rPr>
        <w:t>Beneficiaries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The beneficiary is a holder of the agricultural holding entered in the registry of agricultural holdings who performs agricultural activities in the territory of the Republic of Slovenia.</w:t>
            </w:r>
          </w:p>
          <w:p w:rsidR="00BD3B5F" w:rsidRPr="005C3B55" w:rsidRDefault="00BD3B5F">
            <w:pPr>
              <w:spacing w:before="240" w:after="240"/>
              <w:jc w:val="left"/>
              <w:rPr>
                <w:noProof/>
                <w:szCs w:val="24"/>
              </w:rPr>
            </w:pPr>
            <w:r w:rsidRPr="005C3B55">
              <w:rPr>
                <w:szCs w:val="24"/>
              </w:rPr>
              <w:t>For the needs of the measure, a young farmer is deemed to be any natural person who at the time of the submission of application:</w:t>
            </w:r>
          </w:p>
          <w:p w:rsidR="00BD3B5F" w:rsidRPr="005C3B55" w:rsidRDefault="00BD3B5F" w:rsidP="00BD3B5F">
            <w:pPr>
              <w:numPr>
                <w:ilvl w:val="0"/>
                <w:numId w:val="172"/>
              </w:numPr>
              <w:spacing w:before="240" w:after="0"/>
              <w:ind w:hanging="290"/>
              <w:jc w:val="left"/>
              <w:rPr>
                <w:noProof/>
                <w:szCs w:val="24"/>
              </w:rPr>
            </w:pPr>
            <w:r w:rsidRPr="005C3B55">
              <w:rPr>
                <w:szCs w:val="24"/>
              </w:rPr>
              <w:t>is 18 to 40 years old,</w:t>
            </w:r>
          </w:p>
          <w:p w:rsidR="00BD3B5F" w:rsidRPr="005C3B55" w:rsidRDefault="00BD3B5F" w:rsidP="00BD3B5F">
            <w:pPr>
              <w:numPr>
                <w:ilvl w:val="0"/>
                <w:numId w:val="172"/>
              </w:numPr>
              <w:spacing w:before="0" w:after="0"/>
              <w:ind w:hanging="290"/>
              <w:jc w:val="left"/>
              <w:rPr>
                <w:noProof/>
                <w:szCs w:val="24"/>
              </w:rPr>
            </w:pPr>
            <w:r w:rsidRPr="005C3B55">
              <w:rPr>
                <w:szCs w:val="24"/>
              </w:rPr>
              <w:t>has suitable vocational knowledge and skills as defined in the eligibility conditions under measure M06.1 Business start-up aid for young farmers, and</w:t>
            </w:r>
          </w:p>
          <w:p w:rsidR="00BD3B5F" w:rsidRPr="005C3B55" w:rsidRDefault="00BD3B5F" w:rsidP="00BD3B5F">
            <w:pPr>
              <w:numPr>
                <w:ilvl w:val="0"/>
                <w:numId w:val="172"/>
              </w:numPr>
              <w:spacing w:before="0" w:after="240"/>
              <w:ind w:hanging="290"/>
              <w:jc w:val="left"/>
              <w:rPr>
                <w:noProof/>
                <w:szCs w:val="24"/>
              </w:rPr>
            </w:pPr>
            <w:r w:rsidRPr="005C3B55">
              <w:rPr>
                <w:szCs w:val="24"/>
              </w:rPr>
              <w:t>has taken over an agricultural holding for the first time five years before the submission of the application to the public procurement.</w:t>
            </w:r>
          </w:p>
          <w:p w:rsidR="00BD3B5F" w:rsidRPr="005C3B55" w:rsidRDefault="00BD3B5F">
            <w:pPr>
              <w:spacing w:before="240" w:after="240"/>
              <w:jc w:val="left"/>
              <w:rPr>
                <w:noProof/>
                <w:szCs w:val="24"/>
              </w:rPr>
            </w:pPr>
            <w:r w:rsidRPr="005C3B55">
              <w:rPr>
                <w:szCs w:val="24"/>
              </w:rPr>
              <w:t>The beneficiaries are also social enterprises which are agricultural holdings and are recognised as holders of social market innovations in the field of self-sufficiency, locally produced food, employment of vulnerable groups and creating of green jobs.</w:t>
            </w:r>
            <w:r w:rsidRPr="005C3B55">
              <w:rPr>
                <w:noProof/>
                <w:szCs w:val="24"/>
              </w:rPr>
              <w:t xml:space="preserve"> </w:t>
            </w:r>
            <w:r w:rsidRPr="005C3B55">
              <w:rPr>
                <w:szCs w:val="24"/>
              </w:rPr>
              <w:t>Since the nature of social enterprises is such that they also observe social aspects in addition to market functions, and their operations are not profit-oriented, they thus dispose of less own means for investment funding and will therefore receive higher support rates.</w:t>
            </w:r>
          </w:p>
          <w:p w:rsidR="00BD3B5F" w:rsidRPr="005C3B55" w:rsidRDefault="00BD3B5F">
            <w:pPr>
              <w:pStyle w:val="Telobesedila"/>
              <w:rPr>
                <w:szCs w:val="24"/>
              </w:rPr>
            </w:pPr>
          </w:p>
        </w:tc>
      </w:tr>
    </w:tbl>
    <w:p w:rsidR="00BD3B5F" w:rsidRPr="005C3B55" w:rsidRDefault="00BD3B5F">
      <w:pPr>
        <w:pStyle w:val="Naslov6"/>
        <w:tabs>
          <w:tab w:val="clear" w:pos="765"/>
        </w:tabs>
        <w:ind w:left="0" w:firstLine="0"/>
        <w:rPr>
          <w:szCs w:val="24"/>
          <w:lang w:val="en-GB"/>
        </w:rPr>
      </w:pPr>
      <w:r w:rsidRPr="005C3B55">
        <w:rPr>
          <w:noProof w:val="0"/>
          <w:szCs w:val="24"/>
          <w:lang w:val="en-GB"/>
        </w:rPr>
        <w:t>Eligible costs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Eligible costs are as follows:</w:t>
            </w:r>
          </w:p>
          <w:p w:rsidR="00BD3B5F" w:rsidRPr="005C3B55" w:rsidRDefault="00BD3B5F" w:rsidP="00BD3B5F">
            <w:pPr>
              <w:numPr>
                <w:ilvl w:val="0"/>
                <w:numId w:val="173"/>
              </w:numPr>
              <w:spacing w:before="240" w:after="0"/>
              <w:ind w:hanging="290"/>
              <w:jc w:val="left"/>
              <w:rPr>
                <w:noProof/>
                <w:szCs w:val="24"/>
              </w:rPr>
            </w:pPr>
            <w:r w:rsidRPr="005C3B55">
              <w:rPr>
                <w:szCs w:val="24"/>
              </w:rPr>
              <w:t>costs of new construction or reconstruction of real property, the purchase of pertaining equipment for agricultural production, the purchase of pertaining information communication technology (ICT) and mechanical equipment.</w:t>
            </w:r>
            <w:r w:rsidRPr="005C3B55">
              <w:rPr>
                <w:noProof/>
                <w:szCs w:val="24"/>
              </w:rPr>
              <w:t xml:space="preserve"> </w:t>
            </w:r>
            <w:r w:rsidRPr="005C3B55">
              <w:rPr>
                <w:szCs w:val="24"/>
              </w:rPr>
              <w:t>The costs of supply of complete elements, transport, their installation and costs of works implemented on site (costs of material, transport and implemented works) are recognised for certain construction and craft works;</w:t>
            </w:r>
          </w:p>
          <w:p w:rsidR="00BD3B5F" w:rsidRPr="005C3B55" w:rsidRDefault="00BD3B5F" w:rsidP="00BD3B5F">
            <w:pPr>
              <w:numPr>
                <w:ilvl w:val="0"/>
                <w:numId w:val="173"/>
              </w:numPr>
              <w:spacing w:before="0" w:after="0"/>
              <w:ind w:hanging="290"/>
              <w:jc w:val="left"/>
              <w:rPr>
                <w:noProof/>
                <w:szCs w:val="24"/>
              </w:rPr>
            </w:pPr>
            <w:r w:rsidRPr="005C3B55">
              <w:rPr>
                <w:szCs w:val="24"/>
              </w:rPr>
              <w:t>the purchase of agricultural machinery, and mechanical and transport equipment;</w:t>
            </w:r>
          </w:p>
          <w:p w:rsidR="00BD3B5F" w:rsidRPr="005C3B55" w:rsidRDefault="00BD3B5F" w:rsidP="00BD3B5F">
            <w:pPr>
              <w:numPr>
                <w:ilvl w:val="0"/>
                <w:numId w:val="173"/>
              </w:numPr>
              <w:spacing w:before="0" w:after="0"/>
              <w:ind w:hanging="290"/>
              <w:jc w:val="left"/>
              <w:rPr>
                <w:noProof/>
                <w:szCs w:val="24"/>
              </w:rPr>
            </w:pPr>
            <w:r w:rsidRPr="005C3B55">
              <w:rPr>
                <w:szCs w:val="24"/>
              </w:rPr>
              <w:t>purchase of agricultural land of up to 10% of total eligible expenditure of the investment as per Article 69 of Regulation (EU) No 1303/2013;</w:t>
            </w:r>
          </w:p>
          <w:p w:rsidR="00BD3B5F" w:rsidRPr="005C3B55" w:rsidRDefault="00BD3B5F" w:rsidP="00BD3B5F">
            <w:pPr>
              <w:numPr>
                <w:ilvl w:val="0"/>
                <w:numId w:val="173"/>
              </w:numPr>
              <w:spacing w:before="0" w:after="0"/>
              <w:ind w:hanging="290"/>
              <w:jc w:val="left"/>
              <w:rPr>
                <w:noProof/>
                <w:szCs w:val="24"/>
              </w:rPr>
            </w:pPr>
            <w:r w:rsidRPr="005C3B55">
              <w:rPr>
                <w:szCs w:val="24"/>
              </w:rPr>
              <w:t>costs of setting up or restoring orchards, olive groves and hop plantations;</w:t>
            </w:r>
          </w:p>
          <w:p w:rsidR="00BD3B5F" w:rsidRPr="005C3B55" w:rsidRDefault="00BD3B5F" w:rsidP="00BD3B5F">
            <w:pPr>
              <w:numPr>
                <w:ilvl w:val="0"/>
                <w:numId w:val="173"/>
              </w:numPr>
              <w:spacing w:before="0" w:after="0"/>
              <w:ind w:hanging="290"/>
              <w:jc w:val="left"/>
              <w:rPr>
                <w:noProof/>
                <w:szCs w:val="24"/>
              </w:rPr>
            </w:pPr>
            <w:r w:rsidRPr="005C3B55">
              <w:rPr>
                <w:szCs w:val="24"/>
              </w:rPr>
              <w:t>costs of setting up plantations of perennial plants on arable land;</w:t>
            </w:r>
          </w:p>
          <w:p w:rsidR="00BD3B5F" w:rsidRPr="005C3B55" w:rsidRDefault="00BD3B5F" w:rsidP="00BD3B5F">
            <w:pPr>
              <w:numPr>
                <w:ilvl w:val="0"/>
                <w:numId w:val="173"/>
              </w:numPr>
              <w:spacing w:before="0" w:after="0"/>
              <w:ind w:hanging="290"/>
              <w:jc w:val="left"/>
              <w:rPr>
                <w:noProof/>
                <w:szCs w:val="24"/>
              </w:rPr>
            </w:pPr>
            <w:r w:rsidRPr="005C3B55">
              <w:rPr>
                <w:szCs w:val="24"/>
              </w:rPr>
              <w:t>the purchase and setting up nurseries and pertaining equipment;</w:t>
            </w:r>
          </w:p>
          <w:p w:rsidR="00BD3B5F" w:rsidRPr="005C3B55" w:rsidRDefault="00BD3B5F" w:rsidP="00BD3B5F">
            <w:pPr>
              <w:numPr>
                <w:ilvl w:val="0"/>
                <w:numId w:val="173"/>
              </w:numPr>
              <w:spacing w:before="0" w:after="0"/>
              <w:ind w:hanging="290"/>
              <w:jc w:val="left"/>
              <w:rPr>
                <w:noProof/>
                <w:szCs w:val="24"/>
              </w:rPr>
            </w:pPr>
            <w:r w:rsidRPr="005C3B55">
              <w:rPr>
                <w:szCs w:val="24"/>
              </w:rPr>
              <w:t>the purchase and setting up of anti-hail nets, protective foil against cracking and blighting of fruit, and protective netting against birds;</w:t>
            </w:r>
          </w:p>
          <w:p w:rsidR="00BD3B5F" w:rsidRPr="005C3B55" w:rsidRDefault="00BD3B5F" w:rsidP="00BD3B5F">
            <w:pPr>
              <w:numPr>
                <w:ilvl w:val="0"/>
                <w:numId w:val="173"/>
              </w:numPr>
              <w:spacing w:before="0" w:after="0"/>
              <w:ind w:hanging="290"/>
              <w:jc w:val="left"/>
              <w:rPr>
                <w:noProof/>
                <w:szCs w:val="24"/>
              </w:rPr>
            </w:pPr>
            <w:r w:rsidRPr="005C3B55">
              <w:rPr>
                <w:szCs w:val="24"/>
              </w:rPr>
              <w:t>costs of setting up pastures and pens, and the purchase of pertaining equipment for supervised pasturing of domestic animals or breeding of farmed game;</w:t>
            </w:r>
          </w:p>
          <w:p w:rsidR="00BD3B5F" w:rsidRPr="005C3B55" w:rsidRDefault="00BD3B5F" w:rsidP="00BD3B5F">
            <w:pPr>
              <w:numPr>
                <w:ilvl w:val="0"/>
                <w:numId w:val="173"/>
              </w:numPr>
              <w:spacing w:before="0" w:after="0"/>
              <w:ind w:hanging="290"/>
              <w:jc w:val="left"/>
              <w:rPr>
                <w:noProof/>
                <w:szCs w:val="24"/>
              </w:rPr>
            </w:pPr>
            <w:r w:rsidRPr="005C3B55">
              <w:rPr>
                <w:szCs w:val="24"/>
              </w:rPr>
              <w:t>costs of arranging the protection of beehives against bears;</w:t>
            </w:r>
          </w:p>
          <w:p w:rsidR="00BD3B5F" w:rsidRPr="005C3B55" w:rsidRDefault="00BD3B5F" w:rsidP="00BD3B5F">
            <w:pPr>
              <w:numPr>
                <w:ilvl w:val="0"/>
                <w:numId w:val="173"/>
              </w:numPr>
              <w:spacing w:before="0" w:after="0"/>
              <w:ind w:hanging="290"/>
              <w:jc w:val="left"/>
              <w:rPr>
                <w:noProof/>
                <w:szCs w:val="24"/>
              </w:rPr>
            </w:pPr>
            <w:r w:rsidRPr="005C3B55">
              <w:rPr>
                <w:szCs w:val="24"/>
              </w:rPr>
              <w:t>costs of investments in the field of honey production, other bee products and breeding of queen bees;</w:t>
            </w:r>
          </w:p>
          <w:p w:rsidR="00BD3B5F" w:rsidRPr="005C3B55" w:rsidRDefault="00BD3B5F" w:rsidP="00BD3B5F">
            <w:pPr>
              <w:numPr>
                <w:ilvl w:val="0"/>
                <w:numId w:val="173"/>
              </w:numPr>
              <w:spacing w:before="0" w:after="0"/>
              <w:ind w:hanging="290"/>
              <w:jc w:val="left"/>
              <w:rPr>
                <w:noProof/>
                <w:szCs w:val="24"/>
              </w:rPr>
            </w:pPr>
            <w:r w:rsidRPr="005C3B55">
              <w:rPr>
                <w:szCs w:val="24"/>
              </w:rPr>
              <w:t>costs of investments intended for the efficient use of energy;</w:t>
            </w:r>
          </w:p>
          <w:p w:rsidR="00BD3B5F" w:rsidRPr="005C3B55" w:rsidRDefault="00BD3B5F" w:rsidP="00BD3B5F">
            <w:pPr>
              <w:numPr>
                <w:ilvl w:val="0"/>
                <w:numId w:val="173"/>
              </w:numPr>
              <w:spacing w:before="0" w:after="0"/>
              <w:ind w:hanging="290"/>
              <w:jc w:val="left"/>
              <w:rPr>
                <w:noProof/>
                <w:szCs w:val="24"/>
              </w:rPr>
            </w:pPr>
            <w:r w:rsidRPr="005C3B55">
              <w:rPr>
                <w:szCs w:val="24"/>
              </w:rPr>
              <w:t>costs of obtaining energy from renewable energy sources on agricultural holdings if energy is intended for the production of products as per Annex I to the Treaty (own use) which has to be evident from the detailed report on the building engineering physics.</w:t>
            </w:r>
            <w:r w:rsidRPr="005C3B55">
              <w:rPr>
                <w:noProof/>
                <w:szCs w:val="24"/>
              </w:rPr>
              <w:t xml:space="preserve"> </w:t>
            </w:r>
            <w:r w:rsidRPr="005C3B55">
              <w:rPr>
                <w:szCs w:val="24"/>
              </w:rPr>
              <w:t>When thermal energy is being produced from biomass, the raw material for energy production has to be a product as per Annex I of the Treaty;</w:t>
            </w:r>
          </w:p>
          <w:p w:rsidR="00BD3B5F" w:rsidRPr="005C3B55" w:rsidRDefault="00BD3B5F" w:rsidP="00BD3B5F">
            <w:pPr>
              <w:numPr>
                <w:ilvl w:val="0"/>
                <w:numId w:val="173"/>
              </w:numPr>
              <w:spacing w:before="0" w:after="0"/>
              <w:ind w:hanging="290"/>
              <w:jc w:val="left"/>
              <w:rPr>
                <w:noProof/>
                <w:szCs w:val="24"/>
              </w:rPr>
            </w:pPr>
            <w:r w:rsidRPr="005C3B55">
              <w:rPr>
                <w:szCs w:val="24"/>
              </w:rPr>
              <w:t>costs of arranging road, water, water and energy supply connections of agricultural holdings to public infrastructure;</w:t>
            </w:r>
          </w:p>
          <w:p w:rsidR="00BD3B5F" w:rsidRPr="005C3B55" w:rsidRDefault="00BD3B5F" w:rsidP="00BD3B5F">
            <w:pPr>
              <w:numPr>
                <w:ilvl w:val="0"/>
                <w:numId w:val="173"/>
              </w:numPr>
              <w:spacing w:before="0" w:after="0"/>
              <w:ind w:hanging="290"/>
              <w:jc w:val="left"/>
              <w:rPr>
                <w:noProof/>
                <w:szCs w:val="24"/>
              </w:rPr>
            </w:pPr>
            <w:r w:rsidRPr="005C3B55">
              <w:rPr>
                <w:szCs w:val="24"/>
              </w:rPr>
              <w:t>costs of arranging agro-melioration works on agricultural holdings, which particularly include preparatory works, earthworks, construction works, craft works, concrete works and finishing works;</w:t>
            </w:r>
          </w:p>
          <w:p w:rsidR="00BD3B5F" w:rsidRPr="005C3B55" w:rsidRDefault="00BD3B5F" w:rsidP="00BD3B5F">
            <w:pPr>
              <w:numPr>
                <w:ilvl w:val="0"/>
                <w:numId w:val="173"/>
              </w:numPr>
              <w:spacing w:before="0" w:after="0"/>
              <w:ind w:hanging="290"/>
              <w:jc w:val="left"/>
              <w:rPr>
                <w:noProof/>
                <w:szCs w:val="24"/>
              </w:rPr>
            </w:pPr>
            <w:r w:rsidRPr="005C3B55">
              <w:rPr>
                <w:szCs w:val="24"/>
              </w:rPr>
              <w:t>costs of arranging SIS, their technological upgrades, and the construction of appertaining water sources and the purchase and setting up of irrigation equipment;</w:t>
            </w:r>
          </w:p>
          <w:p w:rsidR="00BD3B5F" w:rsidRPr="005C3B55" w:rsidRDefault="00BD3B5F" w:rsidP="00BD3B5F">
            <w:pPr>
              <w:numPr>
                <w:ilvl w:val="0"/>
                <w:numId w:val="173"/>
              </w:numPr>
              <w:spacing w:before="0" w:after="0"/>
              <w:ind w:hanging="290"/>
              <w:jc w:val="left"/>
              <w:rPr>
                <w:noProof/>
                <w:szCs w:val="24"/>
              </w:rPr>
            </w:pPr>
            <w:r w:rsidRPr="005C3B55">
              <w:rPr>
                <w:szCs w:val="24"/>
              </w:rPr>
              <w:t>in-kind contribution in the form of own work and material to the beneficiary as per Article 69 of Regulation (EU) No 1303/2013;</w:t>
            </w:r>
          </w:p>
          <w:p w:rsidR="00BD3B5F" w:rsidRPr="005C3B55" w:rsidRDefault="00BD3B5F" w:rsidP="00BD3B5F">
            <w:pPr>
              <w:numPr>
                <w:ilvl w:val="0"/>
                <w:numId w:val="173"/>
              </w:numPr>
              <w:spacing w:before="0" w:after="0"/>
              <w:ind w:hanging="290"/>
              <w:jc w:val="left"/>
              <w:rPr>
                <w:noProof/>
                <w:szCs w:val="24"/>
              </w:rPr>
            </w:pPr>
            <w:r w:rsidRPr="005C3B55">
              <w:rPr>
                <w:szCs w:val="24"/>
              </w:rPr>
              <w:t>general costs directly connected to the preparation and implementation of the investment, particularly payments for architects, engineers and advisers, costs of obtaining construction, project and technical documentation, payments relating to acquiring the environmental impact assessment and costs of supervision of the implementation of construction and craft works;</w:t>
            </w:r>
          </w:p>
          <w:p w:rsidR="00BD3B5F" w:rsidRPr="005C3B55" w:rsidRDefault="00BD3B5F" w:rsidP="00BD3B5F">
            <w:pPr>
              <w:numPr>
                <w:ilvl w:val="0"/>
                <w:numId w:val="173"/>
              </w:numPr>
              <w:spacing w:before="0" w:after="240"/>
              <w:ind w:hanging="290"/>
              <w:jc w:val="left"/>
              <w:rPr>
                <w:noProof/>
                <w:szCs w:val="24"/>
              </w:rPr>
            </w:pPr>
            <w:r w:rsidRPr="005C3B55">
              <w:rPr>
                <w:szCs w:val="24"/>
              </w:rPr>
              <w:t>costs of investments for harmonisation with EU standards as per point 5 of Article 17 of Regulation (EU) No 1305/2013.</w:t>
            </w:r>
          </w:p>
          <w:p w:rsidR="00BD3B5F" w:rsidRPr="005C3B55" w:rsidRDefault="00BD3B5F">
            <w:pPr>
              <w:spacing w:before="240" w:after="240"/>
              <w:ind w:left="142"/>
              <w:jc w:val="left"/>
              <w:rPr>
                <w:noProof/>
                <w:szCs w:val="24"/>
              </w:rPr>
            </w:pPr>
            <w:r w:rsidRPr="005C3B55">
              <w:rPr>
                <w:szCs w:val="24"/>
              </w:rPr>
              <w:t>Irrespective of the fact that national legislation also allows the implementation of minor drainage, stock fertilisation and liming within agro-meliorations, this is not an eligible cost of this operation.</w:t>
            </w:r>
          </w:p>
          <w:p w:rsidR="00BD3B5F" w:rsidRPr="005C3B55" w:rsidRDefault="00BD3B5F">
            <w:pPr>
              <w:spacing w:before="240" w:after="240"/>
              <w:jc w:val="left"/>
              <w:rPr>
                <w:noProof/>
                <w:szCs w:val="24"/>
              </w:rPr>
            </w:pPr>
            <w:r w:rsidRPr="005C3B55">
              <w:rPr>
                <w:szCs w:val="24"/>
              </w:rPr>
              <w:t>The purchase of agriculture production rights, payment rights, animals, annual plants and their planting are not eligible for support.</w:t>
            </w:r>
          </w:p>
          <w:p w:rsidR="00BD3B5F" w:rsidRPr="005C3B55" w:rsidRDefault="00BD3B5F">
            <w:pPr>
              <w:spacing w:before="240" w:after="240"/>
              <w:jc w:val="left"/>
              <w:rPr>
                <w:noProof/>
                <w:szCs w:val="24"/>
              </w:rPr>
            </w:pPr>
            <w:r w:rsidRPr="005C3B55">
              <w:rPr>
                <w:szCs w:val="24"/>
              </w:rPr>
              <w:t>When the in-kind contribution in the form of own work and material to the beneficiary is observed, the following conditions have to be met:</w:t>
            </w:r>
          </w:p>
          <w:p w:rsidR="00BD3B5F" w:rsidRPr="005C3B55" w:rsidRDefault="00BD3B5F" w:rsidP="00BD3B5F">
            <w:pPr>
              <w:numPr>
                <w:ilvl w:val="0"/>
                <w:numId w:val="174"/>
              </w:numPr>
              <w:spacing w:before="240" w:after="0"/>
              <w:ind w:hanging="290"/>
              <w:jc w:val="left"/>
              <w:rPr>
                <w:noProof/>
                <w:szCs w:val="24"/>
              </w:rPr>
            </w:pPr>
            <w:r w:rsidRPr="005C3B55">
              <w:rPr>
                <w:szCs w:val="24"/>
              </w:rPr>
              <w:t>public support paid for the operation which includes in-kind contributions does not exceed total eligible expenditure without in-kind contributions at the end of the operation;</w:t>
            </w:r>
          </w:p>
          <w:p w:rsidR="00BD3B5F" w:rsidRPr="005C3B55" w:rsidRDefault="00BD3B5F" w:rsidP="00BD3B5F">
            <w:pPr>
              <w:numPr>
                <w:ilvl w:val="0"/>
                <w:numId w:val="174"/>
              </w:numPr>
              <w:spacing w:before="0" w:after="0"/>
              <w:ind w:hanging="290"/>
              <w:jc w:val="left"/>
              <w:rPr>
                <w:noProof/>
                <w:szCs w:val="24"/>
              </w:rPr>
            </w:pPr>
            <w:r w:rsidRPr="005C3B55">
              <w:rPr>
                <w:szCs w:val="24"/>
              </w:rPr>
              <w:t>value attributed to in-kind contributions does not exceed generally recognised values thereof in the relevant market;</w:t>
            </w:r>
          </w:p>
          <w:p w:rsidR="00BD3B5F" w:rsidRPr="005C3B55" w:rsidRDefault="00BD3B5F" w:rsidP="00BD3B5F">
            <w:pPr>
              <w:numPr>
                <w:ilvl w:val="0"/>
                <w:numId w:val="174"/>
              </w:numPr>
              <w:spacing w:before="0" w:after="0"/>
              <w:ind w:hanging="290"/>
              <w:jc w:val="left"/>
              <w:rPr>
                <w:noProof/>
                <w:szCs w:val="24"/>
              </w:rPr>
            </w:pPr>
            <w:r w:rsidRPr="005C3B55">
              <w:rPr>
                <w:szCs w:val="24"/>
              </w:rPr>
              <w:t>the value of the contribution and its allocation may be assessed and verified independently;</w:t>
            </w:r>
          </w:p>
          <w:p w:rsidR="00BD3B5F" w:rsidRPr="005C3B55" w:rsidRDefault="00BD3B5F" w:rsidP="00BD3B5F">
            <w:pPr>
              <w:numPr>
                <w:ilvl w:val="0"/>
                <w:numId w:val="174"/>
              </w:numPr>
              <w:spacing w:before="0" w:after="240"/>
              <w:ind w:hanging="290"/>
              <w:jc w:val="left"/>
              <w:rPr>
                <w:noProof/>
                <w:szCs w:val="24"/>
              </w:rPr>
            </w:pPr>
            <w:r w:rsidRPr="005C3B55">
              <w:rPr>
                <w:szCs w:val="24"/>
              </w:rPr>
              <w:t>the value of unpaid work is determined while considering the time used and the level of compensation for work of equal value.</w:t>
            </w:r>
          </w:p>
          <w:p w:rsidR="00BD3B5F" w:rsidRPr="005C3B55" w:rsidRDefault="00BD3B5F">
            <w:pPr>
              <w:spacing w:before="240" w:after="240"/>
              <w:jc w:val="left"/>
              <w:rPr>
                <w:noProof/>
                <w:szCs w:val="24"/>
              </w:rPr>
            </w:pPr>
            <w:r w:rsidRPr="005C3B55">
              <w:rPr>
                <w:szCs w:val="24"/>
              </w:rPr>
              <w:t>The determination of the amount of eligible costs will take into account the upper limits of individual eligible costs, which will be determined in the Catalogue of the highest values of costs.</w:t>
            </w:r>
            <w:r w:rsidRPr="005C3B55">
              <w:rPr>
                <w:noProof/>
                <w:szCs w:val="24"/>
              </w:rPr>
              <w:t xml:space="preserve"> </w:t>
            </w:r>
            <w:r w:rsidRPr="005C3B55">
              <w:rPr>
                <w:szCs w:val="24"/>
              </w:rPr>
              <w:t>Regardless of this, the beneficiary will have to enclose one bid with the application.</w:t>
            </w:r>
            <w:r w:rsidRPr="005C3B55">
              <w:rPr>
                <w:noProof/>
                <w:szCs w:val="24"/>
              </w:rPr>
              <w:t xml:space="preserve"> </w:t>
            </w:r>
            <w:r w:rsidRPr="005C3B55">
              <w:rPr>
                <w:szCs w:val="24"/>
              </w:rPr>
              <w:t>In the case of values not determined in the Catalogue of the highest values of costs, the beneficiary must enclose three bids.</w:t>
            </w:r>
          </w:p>
          <w:p w:rsidR="00BD3B5F" w:rsidRPr="005C3B55" w:rsidRDefault="00BD3B5F">
            <w:pPr>
              <w:spacing w:before="240" w:after="240"/>
              <w:jc w:val="left"/>
              <w:rPr>
                <w:noProof/>
                <w:szCs w:val="24"/>
              </w:rPr>
            </w:pPr>
            <w:r w:rsidRPr="005C3B55">
              <w:rPr>
                <w:szCs w:val="24"/>
              </w:rPr>
              <w:t>The following costs are not entitled to support:</w:t>
            </w:r>
          </w:p>
          <w:p w:rsidR="00BD3B5F" w:rsidRPr="005C3B55" w:rsidRDefault="00BD3B5F" w:rsidP="00BD3B5F">
            <w:pPr>
              <w:numPr>
                <w:ilvl w:val="0"/>
                <w:numId w:val="175"/>
              </w:numPr>
              <w:spacing w:before="240" w:after="0"/>
              <w:ind w:hanging="290"/>
              <w:jc w:val="left"/>
              <w:rPr>
                <w:noProof/>
                <w:szCs w:val="24"/>
              </w:rPr>
            </w:pPr>
            <w:r w:rsidRPr="005C3B55">
              <w:rPr>
                <w:szCs w:val="24"/>
              </w:rPr>
              <w:t>lease of real estate,</w:t>
            </w:r>
          </w:p>
          <w:p w:rsidR="00BD3B5F" w:rsidRPr="005C3B55" w:rsidRDefault="00BD3B5F" w:rsidP="00BD3B5F">
            <w:pPr>
              <w:numPr>
                <w:ilvl w:val="0"/>
                <w:numId w:val="175"/>
              </w:numPr>
              <w:spacing w:before="0" w:after="0"/>
              <w:ind w:hanging="290"/>
              <w:jc w:val="left"/>
              <w:rPr>
                <w:noProof/>
                <w:szCs w:val="24"/>
              </w:rPr>
            </w:pPr>
            <w:r w:rsidRPr="005C3B55">
              <w:rPr>
                <w:szCs w:val="24"/>
              </w:rPr>
              <w:t>interest on debts,</w:t>
            </w:r>
          </w:p>
          <w:p w:rsidR="00BD3B5F" w:rsidRPr="005C3B55" w:rsidRDefault="00BD3B5F" w:rsidP="00BD3B5F">
            <w:pPr>
              <w:numPr>
                <w:ilvl w:val="0"/>
                <w:numId w:val="175"/>
              </w:numPr>
              <w:spacing w:before="0" w:after="0"/>
              <w:ind w:hanging="290"/>
              <w:jc w:val="left"/>
              <w:rPr>
                <w:noProof/>
                <w:szCs w:val="24"/>
              </w:rPr>
            </w:pPr>
            <w:r w:rsidRPr="005C3B55">
              <w:rPr>
                <w:szCs w:val="24"/>
              </w:rPr>
              <w:t>purchase of used equipment and machinery,</w:t>
            </w:r>
          </w:p>
          <w:p w:rsidR="00BD3B5F" w:rsidRPr="005C3B55" w:rsidRDefault="00BD3B5F" w:rsidP="00BD3B5F">
            <w:pPr>
              <w:numPr>
                <w:ilvl w:val="0"/>
                <w:numId w:val="175"/>
              </w:numPr>
              <w:spacing w:before="0" w:after="0"/>
              <w:ind w:hanging="290"/>
              <w:jc w:val="left"/>
              <w:rPr>
                <w:noProof/>
                <w:szCs w:val="24"/>
              </w:rPr>
            </w:pPr>
            <w:r w:rsidRPr="005C3B55">
              <w:rPr>
                <w:szCs w:val="24"/>
              </w:rPr>
              <w:t>value added tax (VAT), unless it is recoverable on the basis of the national legislation on VAT,</w:t>
            </w:r>
          </w:p>
          <w:p w:rsidR="00BD3B5F" w:rsidRPr="005C3B55" w:rsidRDefault="00BD3B5F" w:rsidP="00BD3B5F">
            <w:pPr>
              <w:numPr>
                <w:ilvl w:val="0"/>
                <w:numId w:val="175"/>
              </w:numPr>
              <w:spacing w:before="0" w:after="0"/>
              <w:ind w:hanging="290"/>
              <w:jc w:val="left"/>
              <w:rPr>
                <w:noProof/>
                <w:szCs w:val="24"/>
              </w:rPr>
            </w:pPr>
            <w:r w:rsidRPr="005C3B55">
              <w:rPr>
                <w:szCs w:val="24"/>
              </w:rPr>
              <w:t>cost of preparing the application for the public procurement and requests for payment of funds, and</w:t>
            </w:r>
          </w:p>
          <w:p w:rsidR="00BD3B5F" w:rsidRPr="005C3B55" w:rsidRDefault="00BD3B5F" w:rsidP="00BD3B5F">
            <w:pPr>
              <w:numPr>
                <w:ilvl w:val="0"/>
                <w:numId w:val="175"/>
              </w:numPr>
              <w:spacing w:before="0" w:after="240"/>
              <w:ind w:hanging="290"/>
              <w:jc w:val="left"/>
              <w:rPr>
                <w:noProof/>
                <w:szCs w:val="24"/>
              </w:rPr>
            </w:pPr>
            <w:r w:rsidRPr="005C3B55">
              <w:rPr>
                <w:szCs w:val="24"/>
              </w:rPr>
              <w:t>costs of archaeological works and archaeological supervision.</w:t>
            </w:r>
          </w:p>
          <w:p w:rsidR="00BD3B5F" w:rsidRPr="005C3B55" w:rsidRDefault="00BD3B5F">
            <w:pPr>
              <w:spacing w:before="240" w:after="240"/>
              <w:jc w:val="left"/>
              <w:rPr>
                <w:noProof/>
                <w:szCs w:val="24"/>
              </w:rPr>
            </w:pPr>
            <w:r w:rsidRPr="005C3B55">
              <w:rPr>
                <w:szCs w:val="24"/>
              </w:rPr>
              <w:t>The implementation of this activity will observe certain specific requirements relating to individual branches or individual types of investment or eligible costs, which will be determined with implementing regulations at the national level.</w:t>
            </w:r>
          </w:p>
          <w:p w:rsidR="00BD3B5F" w:rsidRPr="005C3B55" w:rsidRDefault="00BD3B5F">
            <w:pPr>
              <w:pStyle w:val="Telobesedila"/>
              <w:rPr>
                <w:szCs w:val="24"/>
              </w:rPr>
            </w:pPr>
          </w:p>
        </w:tc>
      </w:tr>
    </w:tbl>
    <w:p w:rsidR="00BD3B5F" w:rsidRPr="005C3B55" w:rsidRDefault="00BD3B5F">
      <w:pPr>
        <w:pStyle w:val="Naslov6"/>
        <w:tabs>
          <w:tab w:val="clear" w:pos="765"/>
        </w:tabs>
        <w:ind w:left="0" w:firstLine="0"/>
        <w:rPr>
          <w:szCs w:val="24"/>
          <w:lang w:val="en-GB"/>
        </w:rPr>
      </w:pPr>
      <w:r w:rsidRPr="005C3B55">
        <w:rPr>
          <w:noProof w:val="0"/>
          <w:szCs w:val="24"/>
          <w:lang w:val="en-GB"/>
        </w:rPr>
        <w:t>Conditions for eligibility</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Eligibility conditions are:</w:t>
            </w:r>
          </w:p>
          <w:p w:rsidR="00BD3B5F" w:rsidRPr="005C3B55" w:rsidRDefault="00BD3B5F">
            <w:pPr>
              <w:spacing w:before="240" w:after="240"/>
              <w:jc w:val="left"/>
              <w:rPr>
                <w:noProof/>
                <w:szCs w:val="24"/>
              </w:rPr>
            </w:pPr>
            <w:r w:rsidRPr="005C3B55">
              <w:rPr>
                <w:szCs w:val="24"/>
              </w:rPr>
              <w:t>a) For all investments:</w:t>
            </w:r>
          </w:p>
          <w:p w:rsidR="00BD3B5F" w:rsidRPr="005C3B55" w:rsidRDefault="00BD3B5F" w:rsidP="00BD3B5F">
            <w:pPr>
              <w:numPr>
                <w:ilvl w:val="0"/>
                <w:numId w:val="176"/>
              </w:numPr>
              <w:spacing w:before="240" w:after="0"/>
              <w:jc w:val="left"/>
              <w:rPr>
                <w:noProof/>
                <w:szCs w:val="24"/>
              </w:rPr>
            </w:pPr>
            <w:r w:rsidRPr="005C3B55">
              <w:rPr>
                <w:szCs w:val="24"/>
              </w:rPr>
              <w:t>The beneficiary must submit a business plan which must show the economic viability of the investment.</w:t>
            </w:r>
            <w:r w:rsidRPr="005C3B55">
              <w:rPr>
                <w:noProof/>
                <w:szCs w:val="24"/>
              </w:rPr>
              <w:t xml:space="preserve"> </w:t>
            </w:r>
            <w:r w:rsidRPr="005C3B55">
              <w:rPr>
                <w:szCs w:val="24"/>
              </w:rPr>
              <w:t>Considering the type of investment, the business plan must also show the environmental contribution of the investment and a contribution to other horizontal objectives.</w:t>
            </w:r>
            <w:r w:rsidRPr="005C3B55">
              <w:rPr>
                <w:noProof/>
                <w:szCs w:val="24"/>
              </w:rPr>
              <w:t xml:space="preserve"> </w:t>
            </w:r>
            <w:r w:rsidRPr="005C3B55">
              <w:rPr>
                <w:szCs w:val="24"/>
              </w:rPr>
              <w:t>In the case of investments intended to restructure agricultural holdings, i.e. aimed at adjusting agricultural holdings to horizontal objectives related to innovation, the environment, and mitigation of, and adaptation to, climate change, the business plans must be adjusted to the primary pursuit of the environmental efficiency of the investment.</w:t>
            </w:r>
            <w:r w:rsidRPr="005C3B55">
              <w:rPr>
                <w:noProof/>
                <w:szCs w:val="24"/>
              </w:rPr>
              <w:t xml:space="preserve"> </w:t>
            </w:r>
            <w:r w:rsidRPr="005C3B55">
              <w:rPr>
                <w:szCs w:val="24"/>
              </w:rPr>
              <w:t>In cases of investments over EUR 50,000 of total recognised value, the business plan has to be based on actual accounting data;</w:t>
            </w:r>
          </w:p>
          <w:p w:rsidR="00BD3B5F" w:rsidRPr="005C3B55" w:rsidRDefault="00BD3B5F" w:rsidP="00BD3B5F">
            <w:pPr>
              <w:numPr>
                <w:ilvl w:val="0"/>
                <w:numId w:val="176"/>
              </w:numPr>
              <w:spacing w:before="0" w:after="0"/>
              <w:jc w:val="left"/>
              <w:rPr>
                <w:noProof/>
                <w:szCs w:val="24"/>
              </w:rPr>
            </w:pPr>
            <w:r w:rsidRPr="005C3B55">
              <w:rPr>
                <w:szCs w:val="24"/>
              </w:rPr>
              <w:t>In the calendar year prior to the submission of the application to the public procurement, the agricultural holding had to produce a sufficient income to enable its long-term viability.</w:t>
            </w:r>
            <w:r w:rsidRPr="005C3B55">
              <w:rPr>
                <w:noProof/>
                <w:szCs w:val="24"/>
              </w:rPr>
              <w:t xml:space="preserve"> </w:t>
            </w:r>
            <w:r w:rsidRPr="005C3B55">
              <w:rPr>
                <w:szCs w:val="24"/>
              </w:rPr>
              <w:t>A sufficient income is income in the amount of one gross minimum salary per employee in the Republic of Slovenia in the year prior to the year of publishing the public procurement per unit of input.</w:t>
            </w:r>
            <w:r w:rsidRPr="005C3B55">
              <w:rPr>
                <w:noProof/>
                <w:szCs w:val="24"/>
              </w:rPr>
              <w:t xml:space="preserve"> </w:t>
            </w:r>
            <w:r w:rsidRPr="005C3B55">
              <w:rPr>
                <w:szCs w:val="24"/>
              </w:rPr>
              <w:t>A unit of input is the amount of work carried out by a person in full-time fixed-term or permanent employment in one year or one annual work unit, which is 1,800 hours per year (hereinafter referred to as ‘annual work unit’);</w:t>
            </w:r>
          </w:p>
          <w:p w:rsidR="00BD3B5F" w:rsidRPr="005C3B55" w:rsidRDefault="00BD3B5F" w:rsidP="00BD3B5F">
            <w:pPr>
              <w:numPr>
                <w:ilvl w:val="0"/>
                <w:numId w:val="176"/>
              </w:numPr>
              <w:spacing w:before="0" w:after="240"/>
              <w:jc w:val="left"/>
              <w:rPr>
                <w:noProof/>
                <w:szCs w:val="24"/>
              </w:rPr>
            </w:pPr>
            <w:r w:rsidRPr="005C3B55">
              <w:rPr>
                <w:szCs w:val="24"/>
              </w:rPr>
              <w:t>An environmental impact assessment or a preliminary procedure must be made for every intervention in the environment in accordance with the regulation on interventions in the environment that require an environmental impact assessment.</w:t>
            </w:r>
            <w:r w:rsidRPr="005C3B55">
              <w:rPr>
                <w:noProof/>
                <w:szCs w:val="24"/>
              </w:rPr>
              <w:t xml:space="preserve"> </w:t>
            </w:r>
            <w:r w:rsidRPr="005C3B55">
              <w:rPr>
                <w:szCs w:val="24"/>
              </w:rPr>
              <w:t>A preliminary procedure for an environmental impact assessment must be implemented before an application for support is submitted.</w:t>
            </w:r>
            <w:r w:rsidRPr="005C3B55">
              <w:rPr>
                <w:noProof/>
                <w:szCs w:val="24"/>
              </w:rPr>
              <w:t xml:space="preserve"> </w:t>
            </w:r>
            <w:r w:rsidRPr="005C3B55">
              <w:rPr>
                <w:szCs w:val="24"/>
              </w:rPr>
              <w:t>If it is established in the preliminary procedure that the intervention could have a significant environmental impact, it is necessary to acquire an environmental impact assessment for the intervention, which includes an impact assessment on Natura 2000 sites, which is concluded with the issuing of an environmental protection consent.</w:t>
            </w:r>
            <w:r w:rsidRPr="005C3B55">
              <w:rPr>
                <w:noProof/>
                <w:szCs w:val="24"/>
              </w:rPr>
              <w:t xml:space="preserve"> </w:t>
            </w:r>
            <w:r w:rsidRPr="005C3B55">
              <w:rPr>
                <w:szCs w:val="24"/>
              </w:rPr>
              <w:t>The requirements referred to in Article 6 of Directive 92/43/EEC are also implemented in this process.</w:t>
            </w:r>
          </w:p>
          <w:p w:rsidR="00BD3B5F" w:rsidRPr="005C3B55" w:rsidRDefault="00BD3B5F">
            <w:pPr>
              <w:spacing w:before="240" w:after="240"/>
              <w:jc w:val="left"/>
              <w:rPr>
                <w:noProof/>
                <w:szCs w:val="24"/>
              </w:rPr>
            </w:pPr>
            <w:r w:rsidRPr="005C3B55">
              <w:rPr>
                <w:szCs w:val="24"/>
              </w:rPr>
              <w:t>b) Additional conditions for agro-meliorations:</w:t>
            </w:r>
          </w:p>
          <w:p w:rsidR="00BD3B5F" w:rsidRPr="005C3B55" w:rsidRDefault="00BD3B5F" w:rsidP="00BD3B5F">
            <w:pPr>
              <w:numPr>
                <w:ilvl w:val="0"/>
                <w:numId w:val="177"/>
              </w:numPr>
              <w:spacing w:before="240" w:after="0"/>
              <w:jc w:val="left"/>
              <w:rPr>
                <w:noProof/>
                <w:szCs w:val="24"/>
              </w:rPr>
            </w:pPr>
            <w:r w:rsidRPr="005C3B55">
              <w:rPr>
                <w:szCs w:val="24"/>
              </w:rPr>
              <w:t>a final decision by the Ministry of Agriculture, Forestry and Food on the implementation of agro-melioration if the agro-melioration is demanding;</w:t>
            </w:r>
          </w:p>
          <w:p w:rsidR="00BD3B5F" w:rsidRPr="005C3B55" w:rsidRDefault="00BD3B5F" w:rsidP="00BD3B5F">
            <w:pPr>
              <w:numPr>
                <w:ilvl w:val="0"/>
                <w:numId w:val="177"/>
              </w:numPr>
              <w:spacing w:before="0" w:after="240"/>
              <w:jc w:val="left"/>
              <w:rPr>
                <w:noProof/>
                <w:szCs w:val="24"/>
              </w:rPr>
            </w:pPr>
            <w:r w:rsidRPr="005C3B55">
              <w:rPr>
                <w:szCs w:val="24"/>
              </w:rPr>
              <w:t>suitable permits and consents to implement the agro-melioration if the agro-melioration is undemanding.</w:t>
            </w:r>
          </w:p>
          <w:p w:rsidR="00BD3B5F" w:rsidRPr="005C3B55" w:rsidRDefault="00BD3B5F">
            <w:pPr>
              <w:spacing w:before="240" w:after="240"/>
              <w:jc w:val="left"/>
              <w:rPr>
                <w:noProof/>
                <w:szCs w:val="24"/>
              </w:rPr>
            </w:pPr>
            <w:r w:rsidRPr="005C3B55">
              <w:rPr>
                <w:szCs w:val="24"/>
              </w:rPr>
              <w:t>c) Additional conditions for new and existing irrigation systems.</w:t>
            </w:r>
            <w:r w:rsidRPr="005C3B55">
              <w:rPr>
                <w:noProof/>
                <w:szCs w:val="24"/>
              </w:rPr>
              <w:t xml:space="preserve"> </w:t>
            </w:r>
            <w:r w:rsidRPr="005C3B55">
              <w:rPr>
                <w:szCs w:val="24"/>
              </w:rPr>
              <w:t>Investments in irrigation of new and existing irrigation systems are eligible for support only if, in addition to conditions under the fourth, fifth and sixth paragraphs of Article 46 of Regulation (EU) No 1305/2013, the following conditions are also met:</w:t>
            </w:r>
          </w:p>
          <w:p w:rsidR="00BD3B5F" w:rsidRPr="005C3B55" w:rsidRDefault="00BD3B5F" w:rsidP="00BD3B5F">
            <w:pPr>
              <w:numPr>
                <w:ilvl w:val="0"/>
                <w:numId w:val="178"/>
              </w:numPr>
              <w:spacing w:before="240" w:after="0"/>
              <w:jc w:val="left"/>
              <w:rPr>
                <w:noProof/>
                <w:szCs w:val="24"/>
              </w:rPr>
            </w:pPr>
            <w:r w:rsidRPr="005C3B55">
              <w:rPr>
                <w:szCs w:val="24"/>
              </w:rPr>
              <w:t>A final decision has been made on the implementation of irrigation pursuant to regulations regulating agricultural land;</w:t>
            </w:r>
          </w:p>
          <w:p w:rsidR="00BD3B5F" w:rsidRPr="005C3B55" w:rsidRDefault="00BD3B5F" w:rsidP="00BD3B5F">
            <w:pPr>
              <w:numPr>
                <w:ilvl w:val="0"/>
                <w:numId w:val="178"/>
              </w:numPr>
              <w:spacing w:before="0" w:after="0"/>
              <w:jc w:val="left"/>
              <w:rPr>
                <w:noProof/>
                <w:szCs w:val="24"/>
              </w:rPr>
            </w:pPr>
            <w:r w:rsidRPr="005C3B55">
              <w:rPr>
                <w:szCs w:val="24"/>
              </w:rPr>
              <w:t>A water permit pursuant to regulations regulating water.</w:t>
            </w:r>
            <w:r w:rsidRPr="005C3B55">
              <w:rPr>
                <w:noProof/>
                <w:szCs w:val="24"/>
              </w:rPr>
              <w:t xml:space="preserve"> </w:t>
            </w:r>
            <w:r w:rsidRPr="005C3B55">
              <w:rPr>
                <w:szCs w:val="24"/>
              </w:rPr>
              <w:t>If water from surface watercourses and water sources is used for irrigation, a water permit must define the environmentally acceptable discharge under the regulation on the criteria for determining and the manner of monitoring and reporting on environmentally acceptable discharges;</w:t>
            </w:r>
          </w:p>
          <w:p w:rsidR="00BD3B5F" w:rsidRPr="005C3B55" w:rsidRDefault="00BD3B5F" w:rsidP="00BD3B5F">
            <w:pPr>
              <w:numPr>
                <w:ilvl w:val="0"/>
                <w:numId w:val="178"/>
              </w:numPr>
              <w:spacing w:before="0" w:after="0"/>
              <w:jc w:val="left"/>
              <w:rPr>
                <w:noProof/>
                <w:szCs w:val="24"/>
              </w:rPr>
            </w:pPr>
            <w:r w:rsidRPr="005C3B55">
              <w:rPr>
                <w:szCs w:val="24"/>
              </w:rPr>
              <w:t>Irrigation systems must be equipped with water meters at the latest by the completion of the investment;</w:t>
            </w:r>
          </w:p>
          <w:p w:rsidR="00BD3B5F" w:rsidRPr="005C3B55" w:rsidRDefault="00BD3B5F" w:rsidP="00BD3B5F">
            <w:pPr>
              <w:numPr>
                <w:ilvl w:val="0"/>
                <w:numId w:val="178"/>
              </w:numPr>
              <w:spacing w:before="0" w:after="240"/>
              <w:jc w:val="left"/>
              <w:rPr>
                <w:noProof/>
                <w:szCs w:val="24"/>
              </w:rPr>
            </w:pPr>
            <w:r w:rsidRPr="005C3B55">
              <w:rPr>
                <w:szCs w:val="24"/>
              </w:rPr>
              <w:t>Investments in the technological modernisation of irrigation systems must, under the preliminary assessment, enable at least a 15% potential saving of water with respect to the technical parameters of the existing irrigation system and appertaining irrigation equipment.</w:t>
            </w:r>
          </w:p>
          <w:p w:rsidR="00BD3B5F" w:rsidRPr="005C3B55" w:rsidRDefault="00BD3B5F">
            <w:pPr>
              <w:spacing w:before="240" w:after="240"/>
              <w:jc w:val="left"/>
              <w:rPr>
                <w:noProof/>
                <w:szCs w:val="24"/>
              </w:rPr>
            </w:pPr>
            <w:r w:rsidRPr="005C3B55">
              <w:rPr>
                <w:szCs w:val="24"/>
              </w:rPr>
              <w:t>d) Additional conditions relating to obtaining renewable energy sources and energy efficiency are defined in the chapter determining ‘Other important notes that contribute to understanding and implementing the measure’.</w:t>
            </w:r>
          </w:p>
          <w:p w:rsidR="00BD3B5F" w:rsidRPr="005C3B55" w:rsidRDefault="00BD3B5F">
            <w:pPr>
              <w:pStyle w:val="Telobesedila"/>
              <w:rPr>
                <w:szCs w:val="24"/>
              </w:rPr>
            </w:pPr>
          </w:p>
        </w:tc>
      </w:tr>
    </w:tbl>
    <w:p w:rsidR="00BD3B5F" w:rsidRPr="005C3B55" w:rsidRDefault="00BD3B5F">
      <w:pPr>
        <w:pStyle w:val="Naslov6"/>
        <w:tabs>
          <w:tab w:val="clear" w:pos="765"/>
        </w:tabs>
        <w:ind w:left="0" w:firstLine="0"/>
        <w:rPr>
          <w:szCs w:val="24"/>
          <w:lang w:val="en-GB"/>
        </w:rPr>
      </w:pPr>
      <w:r w:rsidRPr="005C3B55">
        <w:rPr>
          <w:noProof w:val="0"/>
          <w:szCs w:val="24"/>
          <w:lang w:val="en-GB"/>
        </w:rPr>
        <w:t>Principles regarding the determination of selection criteria</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The sub-measure will be implemented as a closed public tender.</w:t>
            </w:r>
            <w:r w:rsidRPr="005C3B55">
              <w:rPr>
                <w:noProof/>
                <w:szCs w:val="24"/>
              </w:rPr>
              <w:t xml:space="preserve"> </w:t>
            </w:r>
            <w:r w:rsidRPr="005C3B55">
              <w:rPr>
                <w:szCs w:val="24"/>
              </w:rPr>
              <w:t>Selected projects whose applications are complete and adequate in terms of content and which meet the conditions for receiving funds and exceed the threshold number of points determined in the public tender will be eligible for support.</w:t>
            </w:r>
            <w:r w:rsidRPr="005C3B55">
              <w:rPr>
                <w:noProof/>
                <w:szCs w:val="24"/>
              </w:rPr>
              <w:t xml:space="preserve"> </w:t>
            </w:r>
            <w:r w:rsidRPr="005C3B55">
              <w:rPr>
                <w:szCs w:val="24"/>
              </w:rPr>
              <w:t>Applications which score a higher number of points will be selected from among applications that exceed the threshold number of points until the funds available in the public tender are distributed.</w:t>
            </w:r>
            <w:r w:rsidRPr="005C3B55">
              <w:rPr>
                <w:noProof/>
                <w:szCs w:val="24"/>
              </w:rPr>
              <w:t xml:space="preserve"> </w:t>
            </w:r>
            <w:r w:rsidRPr="005C3B55">
              <w:rPr>
                <w:szCs w:val="24"/>
              </w:rPr>
              <w:t>Within the selection criteria, the greatest emphasis will be on the economic aspect of the investment (for example, internal rate of return), the contribution to the horizontal objectives and the inclusion of investments in the EIP’s operational groups.</w:t>
            </w:r>
          </w:p>
          <w:p w:rsidR="00BD3B5F" w:rsidRPr="005C3B55" w:rsidRDefault="00BD3B5F">
            <w:pPr>
              <w:spacing w:before="240" w:after="240"/>
              <w:jc w:val="left"/>
              <w:rPr>
                <w:noProof/>
                <w:szCs w:val="24"/>
              </w:rPr>
            </w:pPr>
            <w:r w:rsidRPr="005C3B55">
              <w:rPr>
                <w:szCs w:val="24"/>
              </w:rPr>
              <w:t>Most emphasis in the restructuring of agricultural holdings will be on promoting market-oriented agricultural holdings, organic production, investments intended to improve the efficiency of use of livestock manure and adjustment of agricultural holdings to the requirements of agriculture in water protection areas.</w:t>
            </w:r>
          </w:p>
          <w:p w:rsidR="00BD3B5F" w:rsidRPr="005C3B55" w:rsidRDefault="00BD3B5F">
            <w:pPr>
              <w:pStyle w:val="Telobesedila"/>
              <w:rPr>
                <w:szCs w:val="24"/>
              </w:rPr>
            </w:pPr>
          </w:p>
        </w:tc>
      </w:tr>
    </w:tbl>
    <w:p w:rsidR="00BD3B5F" w:rsidRPr="005C3B55" w:rsidRDefault="00BD3B5F" w:rsidP="004311A3">
      <w:pPr>
        <w:pStyle w:val="Naslov6"/>
        <w:tabs>
          <w:tab w:val="clear" w:pos="765"/>
        </w:tabs>
        <w:ind w:left="0" w:firstLine="0"/>
        <w:rPr>
          <w:szCs w:val="24"/>
          <w:lang w:val="en-GB"/>
        </w:rPr>
      </w:pPr>
      <w:r w:rsidRPr="005C3B55">
        <w:rPr>
          <w:noProof w:val="0"/>
          <w:szCs w:val="24"/>
          <w:lang w:val="en-GB"/>
        </w:rPr>
        <w:t>(Valid) amounts and support rates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noProof/>
                <w:szCs w:val="24"/>
              </w:rPr>
              <w:t xml:space="preserve">1. </w:t>
            </w:r>
            <w:r w:rsidRPr="005C3B55">
              <w:rPr>
                <w:szCs w:val="24"/>
              </w:rPr>
              <w:t>The public support rate is 30% of the value of the eligible costs of investment and is increased by:</w:t>
            </w:r>
          </w:p>
          <w:p w:rsidR="00BD3B5F" w:rsidRPr="005C3B55" w:rsidRDefault="00BD3B5F" w:rsidP="00BD3B5F">
            <w:pPr>
              <w:numPr>
                <w:ilvl w:val="0"/>
                <w:numId w:val="179"/>
              </w:numPr>
              <w:spacing w:before="240" w:after="0"/>
              <w:ind w:hanging="290"/>
              <w:jc w:val="left"/>
              <w:rPr>
                <w:noProof/>
                <w:szCs w:val="24"/>
              </w:rPr>
            </w:pPr>
            <w:r w:rsidRPr="005C3B55">
              <w:rPr>
                <w:szCs w:val="24"/>
              </w:rPr>
              <w:t>5 percentage points for investments in areas with natural and other special restrictions referred to in Article 33 of Regulation (EU) No 1305/2013 if the beneficiary has at least 50% of agricultural land in use in these areas;</w:t>
            </w:r>
          </w:p>
          <w:p w:rsidR="00BD3B5F" w:rsidRPr="005C3B55" w:rsidRDefault="00BD3B5F" w:rsidP="00BD3B5F">
            <w:pPr>
              <w:numPr>
                <w:ilvl w:val="0"/>
                <w:numId w:val="179"/>
              </w:numPr>
              <w:spacing w:before="0" w:after="0"/>
              <w:ind w:hanging="290"/>
              <w:jc w:val="left"/>
              <w:rPr>
                <w:noProof/>
                <w:szCs w:val="24"/>
              </w:rPr>
            </w:pPr>
            <w:r w:rsidRPr="005C3B55">
              <w:rPr>
                <w:szCs w:val="24"/>
              </w:rPr>
              <w:t>5 percentage points for investments related to activities under Article 29 and/or 30 of Regulation (EU) No 1305/2013 if the beneficiary has at least 50% of agricultural land in use included in these two measures;</w:t>
            </w:r>
          </w:p>
          <w:p w:rsidR="00BD3B5F" w:rsidRPr="005C3B55" w:rsidRDefault="00BD3B5F" w:rsidP="00BD3B5F">
            <w:pPr>
              <w:numPr>
                <w:ilvl w:val="0"/>
                <w:numId w:val="179"/>
              </w:numPr>
              <w:spacing w:before="0" w:after="0"/>
              <w:ind w:hanging="290"/>
              <w:jc w:val="left"/>
              <w:rPr>
                <w:noProof/>
                <w:szCs w:val="24"/>
              </w:rPr>
            </w:pPr>
            <w:r w:rsidRPr="005C3B55">
              <w:rPr>
                <w:szCs w:val="24"/>
              </w:rPr>
              <w:t>10 percentage points for investments of social enterprises;</w:t>
            </w:r>
          </w:p>
          <w:p w:rsidR="00BD3B5F" w:rsidRPr="005C3B55" w:rsidRDefault="00BD3B5F" w:rsidP="00BD3B5F">
            <w:pPr>
              <w:numPr>
                <w:ilvl w:val="0"/>
                <w:numId w:val="179"/>
              </w:numPr>
              <w:spacing w:before="0" w:after="0"/>
              <w:ind w:hanging="290"/>
              <w:jc w:val="left"/>
              <w:rPr>
                <w:noProof/>
                <w:szCs w:val="24"/>
              </w:rPr>
            </w:pPr>
            <w:r w:rsidRPr="005C3B55">
              <w:rPr>
                <w:szCs w:val="24"/>
              </w:rPr>
              <w:t>15 percentage points for activities receiving support within the EIP in the field of agricultural productivity and sustainability;</w:t>
            </w:r>
          </w:p>
          <w:p w:rsidR="00BD3B5F" w:rsidRPr="005C3B55" w:rsidRDefault="00BD3B5F" w:rsidP="00BD3B5F">
            <w:pPr>
              <w:numPr>
                <w:ilvl w:val="0"/>
                <w:numId w:val="179"/>
              </w:numPr>
              <w:spacing w:before="0" w:after="0"/>
              <w:ind w:hanging="290"/>
              <w:jc w:val="left"/>
              <w:rPr>
                <w:noProof/>
                <w:szCs w:val="24"/>
              </w:rPr>
            </w:pPr>
            <w:r w:rsidRPr="005C3B55">
              <w:rPr>
                <w:szCs w:val="24"/>
              </w:rPr>
              <w:t>15 percentage points for collective investments, and</w:t>
            </w:r>
          </w:p>
          <w:p w:rsidR="00BD3B5F" w:rsidRPr="005C3B55" w:rsidRDefault="00BD3B5F" w:rsidP="00BD3B5F">
            <w:pPr>
              <w:numPr>
                <w:ilvl w:val="0"/>
                <w:numId w:val="179"/>
              </w:numPr>
              <w:spacing w:before="0" w:after="240"/>
              <w:ind w:hanging="290"/>
              <w:jc w:val="left"/>
              <w:rPr>
                <w:noProof/>
                <w:szCs w:val="24"/>
              </w:rPr>
            </w:pPr>
            <w:r w:rsidRPr="005C3B55">
              <w:rPr>
                <w:szCs w:val="24"/>
              </w:rPr>
              <w:t>20 percentage points for investments of young farmers.</w:t>
            </w:r>
          </w:p>
          <w:p w:rsidR="00BD3B5F" w:rsidRPr="005C3B55" w:rsidRDefault="00BD3B5F">
            <w:pPr>
              <w:spacing w:before="240" w:after="240"/>
              <w:jc w:val="left"/>
              <w:rPr>
                <w:noProof/>
                <w:szCs w:val="24"/>
              </w:rPr>
            </w:pPr>
            <w:r w:rsidRPr="005C3B55">
              <w:rPr>
                <w:noProof/>
                <w:szCs w:val="24"/>
              </w:rPr>
              <w:t xml:space="preserve">2. </w:t>
            </w:r>
            <w:r w:rsidRPr="005C3B55">
              <w:rPr>
                <w:szCs w:val="24"/>
              </w:rPr>
              <w:t>The support rates referred to in the previous point may be added together, but may not exceed 50% of eligible costs of the investment.</w:t>
            </w:r>
          </w:p>
          <w:p w:rsidR="00BD3B5F" w:rsidRPr="005C3B55" w:rsidRDefault="00BD3B5F">
            <w:pPr>
              <w:spacing w:before="240" w:after="240"/>
              <w:jc w:val="left"/>
              <w:rPr>
                <w:noProof/>
                <w:szCs w:val="24"/>
              </w:rPr>
            </w:pPr>
            <w:r w:rsidRPr="005C3B55">
              <w:rPr>
                <w:noProof/>
                <w:szCs w:val="24"/>
              </w:rPr>
              <w:t xml:space="preserve">3. </w:t>
            </w:r>
            <w:r w:rsidRPr="005C3B55">
              <w:rPr>
                <w:szCs w:val="24"/>
              </w:rPr>
              <w:t>The lowest amount of the public support is EUR 1,000 per application for investments intended for the protection of beehives against bear, and EUR 2,000 per application for other types of investments.</w:t>
            </w:r>
            <w:r w:rsidRPr="005C3B55">
              <w:rPr>
                <w:noProof/>
                <w:szCs w:val="24"/>
              </w:rPr>
              <w:t xml:space="preserve"> </w:t>
            </w:r>
            <w:r w:rsidRPr="005C3B55">
              <w:rPr>
                <w:szCs w:val="24"/>
              </w:rPr>
              <w:t>In the entire 2014–2020 programming period, beneficiaries which are agricultural holdings and micro-enterprises may acquire up to EUR 500,000 of public support under this sub-measure.</w:t>
            </w:r>
            <w:r w:rsidRPr="005C3B55">
              <w:rPr>
                <w:noProof/>
                <w:szCs w:val="24"/>
              </w:rPr>
              <w:t xml:space="preserve"> </w:t>
            </w:r>
            <w:r w:rsidRPr="005C3B55">
              <w:rPr>
                <w:szCs w:val="24"/>
              </w:rPr>
              <w:t>In the entire 2014–2020 programming period, beneficiaries which are small, medium-sized or large enterprises may acquire up to EUR 3,000,000 of public support under this sub-measure.</w:t>
            </w:r>
          </w:p>
          <w:p w:rsidR="00BD3B5F" w:rsidRPr="005C3B55" w:rsidRDefault="00BD3B5F">
            <w:pPr>
              <w:spacing w:before="240" w:after="240"/>
              <w:jc w:val="left"/>
              <w:rPr>
                <w:noProof/>
                <w:szCs w:val="24"/>
              </w:rPr>
            </w:pPr>
            <w:r w:rsidRPr="005C3B55">
              <w:rPr>
                <w:szCs w:val="24"/>
              </w:rPr>
              <w:t>4. The beneficiaries to support in investments may in accordance with point 4 of Article 45 of Regulation (EU) No 1305/2013 request for advance payment at the Paying Agency after the issue of the decision on the entitlement to funds in the amount of 30% of the public support.</w:t>
            </w:r>
          </w:p>
          <w:p w:rsidR="00BD3B5F" w:rsidRPr="005C3B55" w:rsidRDefault="00BD3B5F">
            <w:pPr>
              <w:pStyle w:val="Telobesedila"/>
              <w:rPr>
                <w:szCs w:val="24"/>
              </w:rPr>
            </w:pPr>
          </w:p>
        </w:tc>
      </w:tr>
    </w:tbl>
    <w:p w:rsidR="00BD3B5F" w:rsidRPr="005C3B55" w:rsidRDefault="00BD3B5F">
      <w:pPr>
        <w:pStyle w:val="Naslov6"/>
        <w:tabs>
          <w:tab w:val="clear" w:pos="765"/>
        </w:tabs>
        <w:ind w:left="0" w:firstLine="0"/>
        <w:rPr>
          <w:szCs w:val="24"/>
          <w:lang w:val="en-GB"/>
        </w:rPr>
      </w:pPr>
      <w:r w:rsidRPr="005C3B55">
        <w:rPr>
          <w:noProof w:val="0"/>
          <w:szCs w:val="24"/>
          <w:lang w:val="en-GB"/>
        </w:rPr>
        <w:t>Verifiability and possibility of control of measures and/or type of operations</w:t>
      </w:r>
    </w:p>
    <w:p w:rsidR="00BD3B5F" w:rsidRPr="005C3B55" w:rsidRDefault="00BD3B5F">
      <w:pPr>
        <w:pStyle w:val="Naslov7"/>
        <w:tabs>
          <w:tab w:val="clear" w:pos="765"/>
        </w:tabs>
        <w:ind w:left="0" w:firstLine="0"/>
        <w:rPr>
          <w:szCs w:val="24"/>
          <w:lang w:val="en-GB"/>
        </w:rPr>
      </w:pPr>
      <w:r w:rsidRPr="005C3B55">
        <w:rPr>
          <w:noProof w:val="0"/>
          <w:szCs w:val="24"/>
          <w:lang w:val="en-GB"/>
        </w:rPr>
        <w:t>Risks in the implementation of the measure</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b/>
                <w:noProof/>
                <w:szCs w:val="24"/>
              </w:rPr>
              <w:t xml:space="preserve">R1: </w:t>
            </w:r>
            <w:r w:rsidRPr="005C3B55">
              <w:rPr>
                <w:b/>
                <w:szCs w:val="24"/>
              </w:rPr>
              <w:t>Application conditions for private beneficiaries</w:t>
            </w:r>
          </w:p>
          <w:p w:rsidR="00BD3B5F" w:rsidRPr="005C3B55" w:rsidRDefault="00BD3B5F">
            <w:pPr>
              <w:spacing w:before="240" w:after="240"/>
              <w:jc w:val="left"/>
              <w:rPr>
                <w:noProof/>
                <w:szCs w:val="24"/>
              </w:rPr>
            </w:pPr>
            <w:r w:rsidRPr="005C3B55">
              <w:rPr>
                <w:szCs w:val="24"/>
              </w:rPr>
              <w:t>The implementation procedure is based on regulations regulating general administrative procedures.</w:t>
            </w:r>
            <w:r w:rsidRPr="005C3B55">
              <w:rPr>
                <w:noProof/>
                <w:szCs w:val="24"/>
              </w:rPr>
              <w:t xml:space="preserve"> </w:t>
            </w:r>
            <w:r w:rsidRPr="005C3B55">
              <w:rPr>
                <w:szCs w:val="24"/>
              </w:rPr>
              <w:t>Selection procedures may be lengthy (they may take more than six months) due to the statutory deadlines.</w:t>
            </w:r>
            <w:r w:rsidRPr="005C3B55">
              <w:rPr>
                <w:noProof/>
                <w:szCs w:val="24"/>
              </w:rPr>
              <w:t xml:space="preserve"> </w:t>
            </w:r>
            <w:r w:rsidRPr="005C3B55">
              <w:rPr>
                <w:szCs w:val="24"/>
              </w:rPr>
              <w:t>During this period, conditions in the market may change significantly, which raises doubts regarding the implementation of already approved projects.</w:t>
            </w:r>
          </w:p>
          <w:p w:rsidR="00BD3B5F" w:rsidRPr="005C3B55" w:rsidRDefault="00BD3B5F">
            <w:pPr>
              <w:spacing w:before="240" w:after="240"/>
              <w:jc w:val="left"/>
              <w:rPr>
                <w:noProof/>
                <w:szCs w:val="24"/>
              </w:rPr>
            </w:pPr>
            <w:r w:rsidRPr="005C3B55">
              <w:rPr>
                <w:b/>
                <w:noProof/>
                <w:szCs w:val="24"/>
              </w:rPr>
              <w:t xml:space="preserve">R2: </w:t>
            </w:r>
            <w:r w:rsidRPr="005C3B55">
              <w:rPr>
                <w:b/>
                <w:szCs w:val="24"/>
              </w:rPr>
              <w:t>Reasonableness of costs</w:t>
            </w:r>
          </w:p>
          <w:p w:rsidR="00BD3B5F" w:rsidRPr="005C3B55" w:rsidRDefault="00BD3B5F">
            <w:pPr>
              <w:spacing w:before="240" w:after="240"/>
              <w:jc w:val="left"/>
              <w:rPr>
                <w:noProof/>
                <w:szCs w:val="24"/>
              </w:rPr>
            </w:pPr>
            <w:r w:rsidRPr="005C3B55">
              <w:rPr>
                <w:szCs w:val="24"/>
              </w:rPr>
              <w:t>In the implementation of investments, significant price fluctuations for the same or similar costs occur in the market,</w:t>
            </w:r>
            <w:r w:rsidRPr="005C3B55">
              <w:rPr>
                <w:noProof/>
                <w:szCs w:val="24"/>
              </w:rPr>
              <w:t xml:space="preserve"> </w:t>
            </w:r>
            <w:r w:rsidRPr="005C3B55">
              <w:rPr>
                <w:szCs w:val="24"/>
              </w:rPr>
              <w:t>this is most obviously manifested when purchasing agricultural machinery and mechanical equipment, where differences in prices are noted for the same type of machinery on the common European market.</w:t>
            </w:r>
            <w:r w:rsidRPr="005C3B55">
              <w:rPr>
                <w:noProof/>
                <w:szCs w:val="24"/>
              </w:rPr>
              <w:t xml:space="preserve"> </w:t>
            </w:r>
            <w:r w:rsidRPr="005C3B55">
              <w:rPr>
                <w:szCs w:val="24"/>
              </w:rPr>
              <w:t>There are not many providers of technologically demanding equipment.</w:t>
            </w:r>
          </w:p>
          <w:p w:rsidR="00BD3B5F" w:rsidRPr="005C3B55" w:rsidRDefault="00BD3B5F">
            <w:pPr>
              <w:spacing w:before="240" w:after="240"/>
              <w:jc w:val="left"/>
              <w:rPr>
                <w:noProof/>
                <w:szCs w:val="24"/>
              </w:rPr>
            </w:pPr>
            <w:r w:rsidRPr="005C3B55">
              <w:rPr>
                <w:b/>
                <w:noProof/>
                <w:szCs w:val="24"/>
              </w:rPr>
              <w:t xml:space="preserve">R3: </w:t>
            </w:r>
            <w:r w:rsidRPr="005C3B55">
              <w:rPr>
                <w:b/>
                <w:szCs w:val="24"/>
              </w:rPr>
              <w:t>Suitable overview and control system</w:t>
            </w:r>
          </w:p>
          <w:p w:rsidR="00BD3B5F" w:rsidRPr="005C3B55" w:rsidRDefault="00BD3B5F">
            <w:pPr>
              <w:spacing w:before="240" w:after="240"/>
              <w:jc w:val="left"/>
              <w:rPr>
                <w:noProof/>
                <w:szCs w:val="24"/>
              </w:rPr>
            </w:pPr>
            <w:r w:rsidRPr="005C3B55">
              <w:rPr>
                <w:szCs w:val="24"/>
              </w:rPr>
              <w:t>The greatest problem is the inadequate connection between databases in the public administration.</w:t>
            </w:r>
            <w:r w:rsidRPr="005C3B55">
              <w:rPr>
                <w:noProof/>
                <w:szCs w:val="24"/>
              </w:rPr>
              <w:t xml:space="preserve"> </w:t>
            </w:r>
            <w:r w:rsidRPr="005C3B55">
              <w:rPr>
                <w:szCs w:val="24"/>
              </w:rPr>
              <w:t>This can result in an increased risk of dual co-funding of the same eligible costs.</w:t>
            </w:r>
          </w:p>
          <w:p w:rsidR="00BD3B5F" w:rsidRPr="005C3B55" w:rsidRDefault="00BD3B5F">
            <w:pPr>
              <w:spacing w:before="240" w:after="240"/>
              <w:jc w:val="left"/>
              <w:rPr>
                <w:noProof/>
                <w:szCs w:val="24"/>
              </w:rPr>
            </w:pPr>
            <w:r w:rsidRPr="005C3B55">
              <w:rPr>
                <w:b/>
                <w:noProof/>
                <w:szCs w:val="24"/>
              </w:rPr>
              <w:t xml:space="preserve">R7: </w:t>
            </w:r>
            <w:r w:rsidRPr="005C3B55">
              <w:rPr>
                <w:b/>
                <w:szCs w:val="24"/>
              </w:rPr>
              <w:t>Selection of beneficiaries</w:t>
            </w:r>
          </w:p>
          <w:p w:rsidR="00BD3B5F" w:rsidRPr="005C3B55" w:rsidRDefault="00BD3B5F">
            <w:pPr>
              <w:spacing w:before="240" w:after="240"/>
              <w:jc w:val="left"/>
              <w:rPr>
                <w:noProof/>
                <w:szCs w:val="24"/>
              </w:rPr>
            </w:pPr>
            <w:r w:rsidRPr="005C3B55">
              <w:rPr>
                <w:szCs w:val="24"/>
              </w:rPr>
              <w:t>There is a risk that the public tender will fail to capture the target group, as defined in the objectives, which requires aid the most.</w:t>
            </w:r>
            <w:r w:rsidRPr="005C3B55">
              <w:rPr>
                <w:noProof/>
                <w:szCs w:val="24"/>
              </w:rPr>
              <w:t xml:space="preserve"> </w:t>
            </w:r>
            <w:r w:rsidRPr="005C3B55">
              <w:rPr>
                <w:szCs w:val="24"/>
              </w:rPr>
              <w:t>There were several occurrences in the preceding programming period when the funds requested exceeded by several times the funds available. There is also risk that, in spite of the large share of approved applications, the allocated funds will not be used.</w:t>
            </w:r>
            <w:r w:rsidRPr="005C3B55">
              <w:rPr>
                <w:noProof/>
                <w:szCs w:val="24"/>
              </w:rPr>
              <w:t xml:space="preserve"> </w:t>
            </w:r>
            <w:r w:rsidRPr="005C3B55">
              <w:rPr>
                <w:szCs w:val="24"/>
              </w:rPr>
              <w:t>If the economic aspect is over-emphasised, discrimination of beneficiaries may occur, because vulnerable groups do not generate enough profit or the business environment is not very favourable for them.</w:t>
            </w:r>
          </w:p>
          <w:p w:rsidR="00BD3B5F" w:rsidRPr="005C3B55" w:rsidRDefault="00BD3B5F">
            <w:pPr>
              <w:spacing w:before="240" w:after="240"/>
              <w:jc w:val="left"/>
              <w:rPr>
                <w:noProof/>
                <w:szCs w:val="24"/>
              </w:rPr>
            </w:pPr>
            <w:r w:rsidRPr="005C3B55">
              <w:rPr>
                <w:b/>
                <w:noProof/>
                <w:szCs w:val="24"/>
              </w:rPr>
              <w:t xml:space="preserve">R8: </w:t>
            </w:r>
            <w:r w:rsidRPr="005C3B55">
              <w:rPr>
                <w:b/>
                <w:szCs w:val="24"/>
              </w:rPr>
              <w:t>IT systems</w:t>
            </w:r>
          </w:p>
          <w:p w:rsidR="00BD3B5F" w:rsidRPr="005C3B55" w:rsidRDefault="00BD3B5F">
            <w:pPr>
              <w:spacing w:before="240" w:after="240"/>
              <w:jc w:val="left"/>
              <w:rPr>
                <w:noProof/>
                <w:szCs w:val="24"/>
              </w:rPr>
            </w:pPr>
            <w:r w:rsidRPr="005C3B55">
              <w:rPr>
                <w:szCs w:val="24"/>
              </w:rPr>
              <w:t>There is a risk of an IT system that is inadequate for the submission of applications to the public procurement and requests for payment, and which is not advanced and does not provide sufficient support.</w:t>
            </w:r>
            <w:r w:rsidRPr="005C3B55">
              <w:rPr>
                <w:noProof/>
                <w:szCs w:val="24"/>
              </w:rPr>
              <w:t xml:space="preserve"> </w:t>
            </w:r>
            <w:r w:rsidRPr="005C3B55">
              <w:rPr>
                <w:szCs w:val="24"/>
              </w:rPr>
              <w:t>There is also a risk that potential beneficiaries will not be skilled at using this system and that the system will not function optimally.</w:t>
            </w:r>
          </w:p>
          <w:p w:rsidR="00BD3B5F" w:rsidRPr="005C3B55" w:rsidRDefault="00BD3B5F">
            <w:pPr>
              <w:spacing w:before="240" w:after="240"/>
              <w:jc w:val="left"/>
              <w:rPr>
                <w:noProof/>
                <w:szCs w:val="24"/>
              </w:rPr>
            </w:pPr>
            <w:r w:rsidRPr="005C3B55">
              <w:rPr>
                <w:b/>
                <w:noProof/>
                <w:szCs w:val="24"/>
              </w:rPr>
              <w:t xml:space="preserve">R9: </w:t>
            </w:r>
            <w:r w:rsidRPr="005C3B55">
              <w:rPr>
                <w:b/>
                <w:szCs w:val="24"/>
              </w:rPr>
              <w:t>Requests for payment</w:t>
            </w:r>
          </w:p>
          <w:p w:rsidR="00BD3B5F" w:rsidRPr="005C3B55" w:rsidRDefault="00BD3B5F">
            <w:pPr>
              <w:spacing w:before="240" w:after="240"/>
              <w:jc w:val="left"/>
              <w:rPr>
                <w:noProof/>
                <w:szCs w:val="24"/>
              </w:rPr>
            </w:pPr>
            <w:r w:rsidRPr="005C3B55">
              <w:rPr>
                <w:szCs w:val="24"/>
              </w:rPr>
              <w:t>A request for the payment of funds is honoured within 30 days following the submission of a complete request for payment.</w:t>
            </w:r>
            <w:r w:rsidRPr="005C3B55">
              <w:rPr>
                <w:noProof/>
                <w:szCs w:val="24"/>
              </w:rPr>
              <w:t xml:space="preserve"> </w:t>
            </w:r>
            <w:r w:rsidRPr="005C3B55">
              <w:rPr>
                <w:szCs w:val="24"/>
              </w:rPr>
              <w:t>There are no delays in this part.</w:t>
            </w:r>
            <w:r w:rsidRPr="005C3B55">
              <w:rPr>
                <w:noProof/>
                <w:szCs w:val="24"/>
              </w:rPr>
              <w:t xml:space="preserve"> </w:t>
            </w:r>
            <w:r w:rsidRPr="005C3B55">
              <w:rPr>
                <w:szCs w:val="24"/>
              </w:rPr>
              <w:t>The greatest risk arises in the processing of requests for payment.</w:t>
            </w:r>
            <w:r w:rsidRPr="005C3B55">
              <w:rPr>
                <w:noProof/>
                <w:szCs w:val="24"/>
              </w:rPr>
              <w:t xml:space="preserve"> </w:t>
            </w:r>
            <w:r w:rsidRPr="005C3B55">
              <w:rPr>
                <w:szCs w:val="24"/>
              </w:rPr>
              <w:t>Due to unprofessional preparation, the procedure for processing may take several months.</w:t>
            </w:r>
            <w:r w:rsidRPr="005C3B55">
              <w:rPr>
                <w:noProof/>
                <w:szCs w:val="24"/>
              </w:rPr>
              <w:t xml:space="preserve"> </w:t>
            </w:r>
            <w:r w:rsidRPr="005C3B55">
              <w:rPr>
                <w:szCs w:val="24"/>
              </w:rPr>
              <w:t>The main reason is the lack of information for beneficiaries and individuals preparing applications.</w:t>
            </w:r>
          </w:p>
          <w:p w:rsidR="00BD3B5F" w:rsidRPr="005C3B55" w:rsidRDefault="00BD3B5F">
            <w:pPr>
              <w:pStyle w:val="Telobesedila"/>
              <w:rPr>
                <w:szCs w:val="24"/>
              </w:rPr>
            </w:pPr>
          </w:p>
        </w:tc>
      </w:tr>
    </w:tbl>
    <w:p w:rsidR="00BD3B5F" w:rsidRPr="005C3B55" w:rsidRDefault="00BD3B5F">
      <w:pPr>
        <w:pStyle w:val="Naslov7"/>
        <w:tabs>
          <w:tab w:val="clear" w:pos="765"/>
        </w:tabs>
        <w:ind w:left="0" w:firstLine="0"/>
        <w:rPr>
          <w:szCs w:val="24"/>
          <w:lang w:val="en-GB"/>
        </w:rPr>
      </w:pPr>
      <w:r w:rsidRPr="005C3B55">
        <w:rPr>
          <w:noProof w:val="0"/>
          <w:szCs w:val="24"/>
          <w:lang w:val="en-GB"/>
        </w:rPr>
        <w:t>Mitigation measures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b/>
                <w:noProof/>
                <w:szCs w:val="24"/>
              </w:rPr>
              <w:t xml:space="preserve">R1: </w:t>
            </w:r>
            <w:r w:rsidRPr="005C3B55">
              <w:rPr>
                <w:b/>
                <w:szCs w:val="24"/>
              </w:rPr>
              <w:t>Application conditions for private beneficiaries</w:t>
            </w:r>
          </w:p>
          <w:p w:rsidR="00BD3B5F" w:rsidRPr="005C3B55" w:rsidRDefault="00BD3B5F">
            <w:pPr>
              <w:spacing w:before="240" w:after="240"/>
              <w:jc w:val="left"/>
              <w:rPr>
                <w:noProof/>
                <w:szCs w:val="24"/>
              </w:rPr>
            </w:pPr>
            <w:r w:rsidRPr="005C3B55">
              <w:rPr>
                <w:szCs w:val="24"/>
              </w:rPr>
              <w:t>The duration of administrative procedures cannot be influenced.</w:t>
            </w:r>
            <w:r w:rsidRPr="005C3B55">
              <w:rPr>
                <w:noProof/>
                <w:szCs w:val="24"/>
              </w:rPr>
              <w:t xml:space="preserve"> </w:t>
            </w:r>
            <w:r w:rsidRPr="005C3B55">
              <w:rPr>
                <w:szCs w:val="24"/>
              </w:rPr>
              <w:t>However, the dissemination of information to potential beneficiaries on the measures and selection procedures of beneficiaries will be improved.</w:t>
            </w:r>
            <w:r w:rsidRPr="005C3B55">
              <w:rPr>
                <w:noProof/>
                <w:szCs w:val="24"/>
              </w:rPr>
              <w:t xml:space="preserve"> </w:t>
            </w:r>
            <w:r w:rsidRPr="005C3B55">
              <w:rPr>
                <w:szCs w:val="24"/>
              </w:rPr>
              <w:t>Applications are submitted electronically, which shortens the time of application processing.</w:t>
            </w:r>
            <w:r w:rsidRPr="005C3B55">
              <w:rPr>
                <w:noProof/>
                <w:szCs w:val="24"/>
              </w:rPr>
              <w:t xml:space="preserve"> </w:t>
            </w:r>
            <w:r w:rsidRPr="005C3B55">
              <w:rPr>
                <w:szCs w:val="24"/>
              </w:rPr>
              <w:t>Efforts to improve the unification of public procurements and the clarity of conditions are set to continue, which will contribute to making applications more complete.</w:t>
            </w:r>
            <w:r w:rsidRPr="005C3B55">
              <w:rPr>
                <w:noProof/>
                <w:szCs w:val="24"/>
              </w:rPr>
              <w:t xml:space="preserve"> </w:t>
            </w:r>
            <w:r w:rsidRPr="005C3B55">
              <w:rPr>
                <w:szCs w:val="24"/>
              </w:rPr>
              <w:t>This will somewhat reduce the risk.</w:t>
            </w:r>
            <w:r w:rsidRPr="005C3B55">
              <w:rPr>
                <w:noProof/>
                <w:szCs w:val="24"/>
              </w:rPr>
              <w:t xml:space="preserve"> </w:t>
            </w:r>
            <w:r w:rsidRPr="005C3B55">
              <w:rPr>
                <w:szCs w:val="24"/>
              </w:rPr>
              <w:t>The amendment to the Agriculture Act (Official Gazette of the Republic of Slovenia, no. 45/2008 with all amendments) implemented in 2014 amended the provision of the administrative procedure in order to make the procedure more rational and accelerate processing.</w:t>
            </w:r>
          </w:p>
          <w:p w:rsidR="00BD3B5F" w:rsidRPr="005C3B55" w:rsidRDefault="00BD3B5F">
            <w:pPr>
              <w:spacing w:before="240" w:after="240"/>
              <w:jc w:val="left"/>
              <w:rPr>
                <w:noProof/>
                <w:szCs w:val="24"/>
              </w:rPr>
            </w:pPr>
            <w:r w:rsidRPr="005C3B55">
              <w:rPr>
                <w:b/>
                <w:noProof/>
                <w:szCs w:val="24"/>
              </w:rPr>
              <w:t xml:space="preserve">R2: </w:t>
            </w:r>
            <w:r w:rsidRPr="005C3B55">
              <w:rPr>
                <w:b/>
                <w:szCs w:val="24"/>
              </w:rPr>
              <w:t>Reasonableness of costs</w:t>
            </w:r>
          </w:p>
          <w:p w:rsidR="00BD3B5F" w:rsidRPr="005C3B55" w:rsidRDefault="00BD3B5F">
            <w:pPr>
              <w:spacing w:before="240" w:after="240"/>
              <w:jc w:val="left"/>
              <w:rPr>
                <w:noProof/>
                <w:szCs w:val="24"/>
              </w:rPr>
            </w:pPr>
            <w:r w:rsidRPr="005C3B55">
              <w:rPr>
                <w:szCs w:val="24"/>
              </w:rPr>
              <w:t>A uniform catalogue of costs for all measures which include investments will be set up.</w:t>
            </w:r>
            <w:r w:rsidRPr="005C3B55">
              <w:rPr>
                <w:noProof/>
                <w:szCs w:val="24"/>
              </w:rPr>
              <w:t xml:space="preserve"> </w:t>
            </w:r>
            <w:r w:rsidRPr="005C3B55">
              <w:rPr>
                <w:szCs w:val="24"/>
              </w:rPr>
              <w:t>The catalogue will be prepared by an independent external contractor, and will determine the highest recognised amounts of individual costs, which will be revised if necessary (for example, changed market conditions).</w:t>
            </w:r>
          </w:p>
          <w:p w:rsidR="00BD3B5F" w:rsidRPr="005C3B55" w:rsidRDefault="00BD3B5F">
            <w:pPr>
              <w:spacing w:before="240" w:after="240"/>
              <w:jc w:val="left"/>
              <w:rPr>
                <w:noProof/>
                <w:szCs w:val="24"/>
              </w:rPr>
            </w:pPr>
            <w:r w:rsidRPr="005C3B55">
              <w:rPr>
                <w:b/>
                <w:noProof/>
                <w:szCs w:val="24"/>
              </w:rPr>
              <w:t xml:space="preserve">R3: </w:t>
            </w:r>
            <w:r w:rsidRPr="005C3B55">
              <w:rPr>
                <w:b/>
                <w:szCs w:val="24"/>
              </w:rPr>
              <w:t>Suitable overview and control system</w:t>
            </w:r>
          </w:p>
          <w:p w:rsidR="00BD3B5F" w:rsidRPr="005C3B55" w:rsidRDefault="00BD3B5F">
            <w:pPr>
              <w:spacing w:before="240" w:after="240"/>
              <w:jc w:val="left"/>
              <w:rPr>
                <w:noProof/>
                <w:szCs w:val="24"/>
              </w:rPr>
            </w:pPr>
            <w:r w:rsidRPr="005C3B55">
              <w:rPr>
                <w:szCs w:val="24"/>
              </w:rPr>
              <w:t>The connectivity of databases within the public administration will be improved.</w:t>
            </w:r>
            <w:r w:rsidRPr="005C3B55">
              <w:rPr>
                <w:noProof/>
                <w:szCs w:val="24"/>
              </w:rPr>
              <w:t xml:space="preserve"> </w:t>
            </w:r>
            <w:r w:rsidRPr="005C3B55">
              <w:rPr>
                <w:szCs w:val="24"/>
              </w:rPr>
              <w:t>The demarcation of the contents of eligible costs in relation to other funds will be more precisely defined.</w:t>
            </w:r>
          </w:p>
          <w:p w:rsidR="00BD3B5F" w:rsidRPr="005C3B55" w:rsidRDefault="00BD3B5F">
            <w:pPr>
              <w:spacing w:before="240" w:after="240"/>
              <w:jc w:val="left"/>
              <w:rPr>
                <w:noProof/>
                <w:szCs w:val="24"/>
              </w:rPr>
            </w:pPr>
            <w:r w:rsidRPr="005C3B55">
              <w:rPr>
                <w:b/>
                <w:noProof/>
                <w:szCs w:val="24"/>
              </w:rPr>
              <w:t xml:space="preserve">R7: </w:t>
            </w:r>
            <w:r w:rsidRPr="005C3B55">
              <w:rPr>
                <w:b/>
                <w:szCs w:val="24"/>
              </w:rPr>
              <w:t>Selection of beneficiaries</w:t>
            </w:r>
          </w:p>
          <w:p w:rsidR="00BD3B5F" w:rsidRPr="005C3B55" w:rsidRDefault="00BD3B5F">
            <w:pPr>
              <w:spacing w:before="240" w:after="240"/>
              <w:jc w:val="left"/>
              <w:rPr>
                <w:noProof/>
                <w:szCs w:val="24"/>
              </w:rPr>
            </w:pPr>
            <w:r w:rsidRPr="005C3B55">
              <w:rPr>
                <w:szCs w:val="24"/>
              </w:rPr>
              <w:t>With the permanent implementation of the promotion of the measure, organisation of public presentations and other activities (updated website of the Ministry of Agriculture, Forestry and Food, activities of the National Rural Network, information desks of the Chamber of Agriculture, and similar), we will promptly inform potential beneficiaries on the content of the supported activity.</w:t>
            </w:r>
            <w:r w:rsidRPr="005C3B55">
              <w:rPr>
                <w:noProof/>
                <w:szCs w:val="24"/>
              </w:rPr>
              <w:t xml:space="preserve"> </w:t>
            </w:r>
            <w:r w:rsidRPr="005C3B55">
              <w:rPr>
                <w:szCs w:val="24"/>
              </w:rPr>
              <w:t>Public procurements will be significantly more target-oriented than they are now.</w:t>
            </w:r>
          </w:p>
          <w:p w:rsidR="00BD3B5F" w:rsidRPr="005C3B55" w:rsidRDefault="00BD3B5F">
            <w:pPr>
              <w:spacing w:before="240" w:after="240"/>
              <w:jc w:val="left"/>
              <w:rPr>
                <w:noProof/>
                <w:szCs w:val="24"/>
              </w:rPr>
            </w:pPr>
            <w:r w:rsidRPr="005C3B55">
              <w:rPr>
                <w:szCs w:val="24"/>
              </w:rPr>
              <w:t>Several factors impact the conclusion of investments.</w:t>
            </w:r>
            <w:r w:rsidRPr="005C3B55">
              <w:rPr>
                <w:noProof/>
                <w:szCs w:val="24"/>
              </w:rPr>
              <w:t xml:space="preserve"> </w:t>
            </w:r>
            <w:r w:rsidRPr="005C3B55">
              <w:rPr>
                <w:szCs w:val="24"/>
              </w:rPr>
              <w:t>Sufficient financial means are the most significant elements.</w:t>
            </w:r>
            <w:r w:rsidRPr="005C3B55">
              <w:rPr>
                <w:noProof/>
                <w:szCs w:val="24"/>
              </w:rPr>
              <w:t xml:space="preserve"> </w:t>
            </w:r>
            <w:r w:rsidRPr="005C3B55">
              <w:rPr>
                <w:szCs w:val="24"/>
              </w:rPr>
              <w:t>Consistent observation of requirements relating to the closure of the financial construction and possibility of using advance payments is a sufficient warranty that the funds approved will also be paid.</w:t>
            </w:r>
            <w:r w:rsidRPr="005C3B55">
              <w:rPr>
                <w:noProof/>
                <w:szCs w:val="24"/>
              </w:rPr>
              <w:t xml:space="preserve"> </w:t>
            </w:r>
            <w:r w:rsidRPr="005C3B55">
              <w:rPr>
                <w:szCs w:val="24"/>
              </w:rPr>
              <w:t>If other financial means (banks) are not sufficiently ensured for companies, a combination with the implementation of financial instruments will be introduced for this activity.</w:t>
            </w:r>
          </w:p>
          <w:p w:rsidR="00BD3B5F" w:rsidRPr="005C3B55" w:rsidRDefault="00BD3B5F">
            <w:pPr>
              <w:spacing w:before="240" w:after="240"/>
              <w:jc w:val="left"/>
              <w:rPr>
                <w:noProof/>
                <w:szCs w:val="24"/>
              </w:rPr>
            </w:pPr>
            <w:r w:rsidRPr="005C3B55">
              <w:rPr>
                <w:szCs w:val="24"/>
              </w:rPr>
              <w:t>The social aspect of the investment will be promoted directly through the higher share of support for social enterprises and indirectly through the selection criteria for applications.</w:t>
            </w:r>
          </w:p>
          <w:p w:rsidR="00BD3B5F" w:rsidRPr="005C3B55" w:rsidRDefault="00BD3B5F">
            <w:pPr>
              <w:spacing w:before="240" w:after="240"/>
              <w:jc w:val="left"/>
              <w:rPr>
                <w:noProof/>
                <w:szCs w:val="24"/>
              </w:rPr>
            </w:pPr>
            <w:r w:rsidRPr="005C3B55">
              <w:rPr>
                <w:b/>
                <w:noProof/>
                <w:szCs w:val="24"/>
              </w:rPr>
              <w:t xml:space="preserve">R8: </w:t>
            </w:r>
            <w:r w:rsidRPr="005C3B55">
              <w:rPr>
                <w:b/>
                <w:szCs w:val="24"/>
              </w:rPr>
              <w:t>IT systems</w:t>
            </w:r>
          </w:p>
          <w:p w:rsidR="00BD3B5F" w:rsidRPr="005C3B55" w:rsidRDefault="00BD3B5F">
            <w:pPr>
              <w:spacing w:before="240" w:after="240"/>
              <w:jc w:val="left"/>
              <w:rPr>
                <w:noProof/>
                <w:szCs w:val="24"/>
              </w:rPr>
            </w:pPr>
            <w:r w:rsidRPr="005C3B55">
              <w:rPr>
                <w:szCs w:val="24"/>
              </w:rPr>
              <w:t>An IT system will be set up which will facilitate electronic submission of applications and requests for payment,</w:t>
            </w:r>
            <w:r w:rsidRPr="005C3B55">
              <w:rPr>
                <w:noProof/>
                <w:szCs w:val="24"/>
              </w:rPr>
              <w:t xml:space="preserve"> </w:t>
            </w:r>
            <w:r w:rsidRPr="005C3B55">
              <w:rPr>
                <w:szCs w:val="24"/>
              </w:rPr>
              <w:t>thus simplifying the verification of double funding, business operations of associated parties, and separation between the funding of individual costs on the sub-measure level and other measures of the RDP 2014–2020. The system will incorporate different databases, which will enable faster and more precise data verification.</w:t>
            </w:r>
            <w:r w:rsidRPr="005C3B55">
              <w:rPr>
                <w:noProof/>
                <w:szCs w:val="24"/>
              </w:rPr>
              <w:t xml:space="preserve"> </w:t>
            </w:r>
            <w:r w:rsidRPr="005C3B55">
              <w:rPr>
                <w:szCs w:val="24"/>
              </w:rPr>
              <w:t>The system will also enable monitoring of the implementation of the sub-measure.</w:t>
            </w:r>
            <w:r w:rsidRPr="005C3B55">
              <w:rPr>
                <w:noProof/>
                <w:szCs w:val="24"/>
              </w:rPr>
              <w:t xml:space="preserve"> </w:t>
            </w:r>
            <w:r w:rsidRPr="005C3B55">
              <w:rPr>
                <w:szCs w:val="24"/>
              </w:rPr>
              <w:t>Training in the use of the IT system will be organised for the drafters of applications and requests.</w:t>
            </w:r>
          </w:p>
          <w:p w:rsidR="00BD3B5F" w:rsidRPr="005C3B55" w:rsidRDefault="00BD3B5F">
            <w:pPr>
              <w:spacing w:before="240" w:after="240"/>
              <w:jc w:val="left"/>
              <w:rPr>
                <w:noProof/>
                <w:szCs w:val="24"/>
              </w:rPr>
            </w:pPr>
            <w:r w:rsidRPr="005C3B55">
              <w:rPr>
                <w:b/>
                <w:noProof/>
                <w:szCs w:val="24"/>
              </w:rPr>
              <w:t xml:space="preserve">R9: </w:t>
            </w:r>
            <w:r w:rsidRPr="005C3B55">
              <w:rPr>
                <w:b/>
                <w:szCs w:val="24"/>
              </w:rPr>
              <w:t>Requests for payment</w:t>
            </w:r>
          </w:p>
          <w:p w:rsidR="00BD3B5F" w:rsidRPr="005C3B55" w:rsidRDefault="00BD3B5F">
            <w:pPr>
              <w:spacing w:before="240" w:after="240"/>
              <w:jc w:val="left"/>
              <w:rPr>
                <w:noProof/>
                <w:szCs w:val="24"/>
              </w:rPr>
            </w:pPr>
            <w:r w:rsidRPr="005C3B55">
              <w:rPr>
                <w:szCs w:val="24"/>
              </w:rPr>
              <w:t>The dissemination of information to beneficiaries and persons preparing applications regarding the preparation of requests for the payment of funds will be improved.</w:t>
            </w:r>
          </w:p>
          <w:p w:rsidR="00BD3B5F" w:rsidRPr="005C3B55" w:rsidRDefault="00BD3B5F">
            <w:pPr>
              <w:pStyle w:val="Telobesedila"/>
              <w:rPr>
                <w:szCs w:val="24"/>
              </w:rPr>
            </w:pPr>
          </w:p>
        </w:tc>
      </w:tr>
    </w:tbl>
    <w:p w:rsidR="00BD3B5F" w:rsidRPr="005C3B55" w:rsidRDefault="00BD3B5F">
      <w:pPr>
        <w:pStyle w:val="Naslov7"/>
        <w:tabs>
          <w:tab w:val="clear" w:pos="765"/>
        </w:tabs>
        <w:ind w:left="0" w:firstLine="0"/>
        <w:rPr>
          <w:szCs w:val="24"/>
          <w:lang w:val="en-GB"/>
        </w:rPr>
      </w:pPr>
      <w:r w:rsidRPr="005C3B55">
        <w:rPr>
          <w:noProof w:val="0"/>
          <w:szCs w:val="24"/>
          <w:lang w:val="en-GB"/>
        </w:rPr>
        <w:t>General assessment of the measure</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The sub-measure in the anticipated form is fully feasible and controllable and will have the expected results and contribute to achieving the set objectives of the RDP 2014-202. The sub-measure will greatly contribute to the realisation of horizontal objectives.</w:t>
            </w:r>
            <w:r w:rsidRPr="005C3B55">
              <w:rPr>
                <w:noProof/>
                <w:szCs w:val="24"/>
              </w:rPr>
              <w:t xml:space="preserve"> </w:t>
            </w:r>
            <w:r w:rsidRPr="005C3B55">
              <w:rPr>
                <w:szCs w:val="24"/>
              </w:rPr>
              <w:t>The implementation of this sub-measure is necessary in order to increase the economic performance of agricultural holdings, facilitate restructuring of agricultural holdings, increase their participation in the market and improve market orientation.</w:t>
            </w:r>
          </w:p>
          <w:p w:rsidR="00BD3B5F" w:rsidRPr="005C3B55" w:rsidRDefault="00BD3B5F">
            <w:pPr>
              <w:pStyle w:val="Telobesedila"/>
              <w:rPr>
                <w:szCs w:val="24"/>
              </w:rPr>
            </w:pPr>
          </w:p>
        </w:tc>
      </w:tr>
    </w:tbl>
    <w:p w:rsidR="00BD3B5F" w:rsidRPr="005C3B55" w:rsidRDefault="00BD3B5F">
      <w:pPr>
        <w:pStyle w:val="Naslov6"/>
        <w:tabs>
          <w:tab w:val="clear" w:pos="765"/>
        </w:tabs>
        <w:ind w:left="0" w:firstLine="0"/>
        <w:rPr>
          <w:szCs w:val="24"/>
          <w:lang w:val="en-GB"/>
        </w:rPr>
      </w:pPr>
      <w:r w:rsidRPr="005C3B55">
        <w:rPr>
          <w:noProof w:val="0"/>
          <w:szCs w:val="24"/>
          <w:lang w:val="en-GB"/>
        </w:rPr>
        <w:t>Methodology for calculating support amount, where relevant</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Not relevant.</w:t>
            </w:r>
          </w:p>
          <w:p w:rsidR="00BD3B5F" w:rsidRPr="005C3B55" w:rsidRDefault="00BD3B5F">
            <w:pPr>
              <w:pStyle w:val="Telobesedila"/>
              <w:rPr>
                <w:szCs w:val="24"/>
              </w:rPr>
            </w:pPr>
          </w:p>
        </w:tc>
      </w:tr>
    </w:tbl>
    <w:p w:rsidR="00BD3B5F" w:rsidRPr="005C3B55" w:rsidRDefault="00BD3B5F">
      <w:pPr>
        <w:pStyle w:val="Naslov6"/>
        <w:tabs>
          <w:tab w:val="clear" w:pos="765"/>
        </w:tabs>
        <w:ind w:left="0" w:firstLine="0"/>
        <w:rPr>
          <w:szCs w:val="24"/>
          <w:lang w:val="en-GB"/>
        </w:rPr>
      </w:pPr>
      <w:r w:rsidRPr="005C3B55">
        <w:rPr>
          <w:noProof w:val="0"/>
          <w:szCs w:val="24"/>
          <w:lang w:val="en-GB"/>
        </w:rPr>
        <w:t>Information that relates specifically to the operation</w:t>
      </w:r>
    </w:p>
    <w:p w:rsidR="00BD3B5F" w:rsidRPr="005C3B55" w:rsidRDefault="00BD3B5F">
      <w:pPr>
        <w:rPr>
          <w:szCs w:val="24"/>
        </w:rPr>
      </w:pPr>
      <w:r w:rsidRPr="005C3B55">
        <w:rPr>
          <w:szCs w:val="24"/>
        </w:rPr>
        <w:t>Definition of non-production investments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Non-production investments are not being implemented.</w:t>
            </w:r>
          </w:p>
          <w:p w:rsidR="00BD3B5F" w:rsidRPr="005C3B55" w:rsidRDefault="00BD3B5F">
            <w:pPr>
              <w:pStyle w:val="Telobesedila"/>
              <w:rPr>
                <w:szCs w:val="24"/>
              </w:rPr>
            </w:pPr>
          </w:p>
        </w:tc>
      </w:tr>
    </w:tbl>
    <w:p w:rsidR="00BD3B5F" w:rsidRPr="005C3B55" w:rsidRDefault="00BD3B5F">
      <w:pPr>
        <w:rPr>
          <w:szCs w:val="24"/>
        </w:rPr>
      </w:pPr>
      <w:r w:rsidRPr="005C3B55">
        <w:rPr>
          <w:szCs w:val="24"/>
        </w:rPr>
        <w:t>Definition of collective investments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rsidP="00BD3B5F">
            <w:pPr>
              <w:numPr>
                <w:ilvl w:val="0"/>
                <w:numId w:val="180"/>
              </w:numPr>
              <w:spacing w:before="0" w:after="0"/>
              <w:jc w:val="left"/>
              <w:rPr>
                <w:noProof/>
                <w:szCs w:val="24"/>
              </w:rPr>
            </w:pPr>
            <w:r w:rsidRPr="005C3B55">
              <w:rPr>
                <w:szCs w:val="24"/>
              </w:rPr>
              <w:t>Collective investments are investments undertaken by producer groups or organisations in the field of agriculture.</w:t>
            </w:r>
          </w:p>
          <w:p w:rsidR="00BD3B5F" w:rsidRPr="005C3B55" w:rsidRDefault="00BD3B5F" w:rsidP="00BD3B5F">
            <w:pPr>
              <w:numPr>
                <w:ilvl w:val="0"/>
                <w:numId w:val="180"/>
              </w:numPr>
              <w:spacing w:before="0" w:after="0"/>
              <w:jc w:val="left"/>
              <w:rPr>
                <w:noProof/>
                <w:szCs w:val="24"/>
              </w:rPr>
            </w:pPr>
            <w:r w:rsidRPr="005C3B55">
              <w:rPr>
                <w:szCs w:val="24"/>
              </w:rPr>
              <w:t>When a collective investment is implemented by an individual group of farmers, then the needs of its members have to be observed.</w:t>
            </w:r>
          </w:p>
          <w:p w:rsidR="00BD3B5F" w:rsidRPr="005C3B55" w:rsidRDefault="00BD3B5F" w:rsidP="00BD3B5F">
            <w:pPr>
              <w:numPr>
                <w:ilvl w:val="0"/>
                <w:numId w:val="180"/>
              </w:numPr>
              <w:spacing w:before="0" w:after="0"/>
              <w:jc w:val="left"/>
              <w:rPr>
                <w:noProof/>
                <w:szCs w:val="24"/>
              </w:rPr>
            </w:pPr>
            <w:r w:rsidRPr="005C3B55">
              <w:rPr>
                <w:szCs w:val="24"/>
              </w:rPr>
              <w:t>When a collective investment is made by two or more individual farmers or several groups of farmers, then the investment should always be in collective use.</w:t>
            </w:r>
          </w:p>
          <w:p w:rsidR="00BD3B5F" w:rsidRPr="005C3B55" w:rsidRDefault="00BD3B5F" w:rsidP="00BD3B5F">
            <w:pPr>
              <w:numPr>
                <w:ilvl w:val="0"/>
                <w:numId w:val="180"/>
              </w:numPr>
              <w:spacing w:before="0" w:after="240"/>
              <w:jc w:val="left"/>
              <w:rPr>
                <w:noProof/>
                <w:szCs w:val="24"/>
              </w:rPr>
            </w:pPr>
            <w:r w:rsidRPr="005C3B55">
              <w:rPr>
                <w:szCs w:val="24"/>
              </w:rPr>
              <w:t>More detailed provisions regarding the eligibility conditions from the previous indents are determined in the national regulations.</w:t>
            </w:r>
          </w:p>
          <w:p w:rsidR="00BD3B5F" w:rsidRPr="005C3B55" w:rsidRDefault="00BD3B5F">
            <w:pPr>
              <w:pStyle w:val="Telobesedila"/>
              <w:rPr>
                <w:szCs w:val="24"/>
              </w:rPr>
            </w:pPr>
          </w:p>
        </w:tc>
      </w:tr>
    </w:tbl>
    <w:p w:rsidR="00BD3B5F" w:rsidRPr="005C3B55" w:rsidRDefault="00BD3B5F">
      <w:pPr>
        <w:rPr>
          <w:szCs w:val="24"/>
        </w:rPr>
      </w:pPr>
      <w:r w:rsidRPr="005C3B55">
        <w:rPr>
          <w:szCs w:val="24"/>
        </w:rPr>
        <w:t>Definition of integrated projects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Will not be implemented.</w:t>
            </w:r>
          </w:p>
          <w:p w:rsidR="00BD3B5F" w:rsidRPr="005C3B55" w:rsidRDefault="00BD3B5F">
            <w:pPr>
              <w:pStyle w:val="Telobesedila"/>
              <w:rPr>
                <w:szCs w:val="24"/>
              </w:rPr>
            </w:pPr>
          </w:p>
        </w:tc>
      </w:tr>
    </w:tbl>
    <w:p w:rsidR="00BD3B5F" w:rsidRPr="005C3B55" w:rsidRDefault="00BD3B5F">
      <w:pPr>
        <w:rPr>
          <w:szCs w:val="24"/>
        </w:rPr>
      </w:pPr>
      <w:r w:rsidRPr="005C3B55">
        <w:rPr>
          <w:szCs w:val="24"/>
        </w:rPr>
        <w:t>Defining and determining the eligible areas of the Natura 2000 network and other eligible areas of high natural value</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In accordance with suitable consents and permits, the projects will also be implemented in these areas.</w:t>
            </w:r>
          </w:p>
          <w:p w:rsidR="00BD3B5F" w:rsidRPr="005C3B55" w:rsidRDefault="00BD3B5F">
            <w:pPr>
              <w:pStyle w:val="Telobesedila"/>
              <w:rPr>
                <w:szCs w:val="24"/>
              </w:rPr>
            </w:pPr>
          </w:p>
        </w:tc>
      </w:tr>
    </w:tbl>
    <w:p w:rsidR="00BD3B5F" w:rsidRPr="005C3B55" w:rsidRDefault="00BD3B5F">
      <w:pPr>
        <w:rPr>
          <w:szCs w:val="24"/>
        </w:rPr>
      </w:pPr>
      <w:r w:rsidRPr="005C3B55">
        <w:rPr>
          <w:szCs w:val="24"/>
        </w:rPr>
        <w:t>A description of the management of support for farms in accordance with a SWOT analysis implemented in relation to the priority task referred to in Article 5(2) of Regulation (EU) No 1305/2013</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Restructuring means the adjustment of agricultural holdings to horizontal objectives related to innovation, the environment, and the mitigation of, and adaptation to, climate change.</w:t>
            </w:r>
            <w:r w:rsidRPr="005C3B55">
              <w:rPr>
                <w:noProof/>
                <w:szCs w:val="24"/>
              </w:rPr>
              <w:t xml:space="preserve"> </w:t>
            </w:r>
            <w:r w:rsidRPr="005C3B55">
              <w:rPr>
                <w:szCs w:val="24"/>
              </w:rPr>
              <w:t>Restructuring will not be implemented in the honey sector.</w:t>
            </w:r>
            <w:r w:rsidRPr="005C3B55">
              <w:rPr>
                <w:noProof/>
                <w:szCs w:val="24"/>
              </w:rPr>
              <w:br/>
            </w:r>
            <w:r w:rsidRPr="005C3B55">
              <w:rPr>
                <w:szCs w:val="24"/>
              </w:rPr>
              <w:t>The target group of restructuring are:</w:t>
            </w:r>
            <w:r w:rsidRPr="005C3B55">
              <w:rPr>
                <w:noProof/>
                <w:szCs w:val="24"/>
              </w:rPr>
              <w:br/>
              <w:t xml:space="preserve">1. </w:t>
            </w:r>
            <w:r w:rsidRPr="005C3B55">
              <w:rPr>
                <w:szCs w:val="24"/>
              </w:rPr>
              <w:t>agricultural holdings which are expressly market-oriented with an output which ensures that at least one person is employed on the farm (not applicable to points 3 and 4), i.e.:</w:t>
            </w:r>
          </w:p>
          <w:p w:rsidR="00BD3B5F" w:rsidRPr="005C3B55" w:rsidRDefault="00BD3B5F" w:rsidP="00BD3B5F">
            <w:pPr>
              <w:numPr>
                <w:ilvl w:val="0"/>
                <w:numId w:val="181"/>
              </w:numPr>
              <w:spacing w:before="240" w:after="0"/>
              <w:ind w:hanging="290"/>
              <w:jc w:val="left"/>
              <w:rPr>
                <w:noProof/>
                <w:szCs w:val="24"/>
              </w:rPr>
            </w:pPr>
            <w:r w:rsidRPr="005C3B55">
              <w:rPr>
                <w:szCs w:val="24"/>
              </w:rPr>
              <w:t>which utilise at least 3 ha of permanent orchards, vineyards and hop plantations, or other permanent plantations, or</w:t>
            </w:r>
          </w:p>
          <w:p w:rsidR="00BD3B5F" w:rsidRPr="005C3B55" w:rsidRDefault="00BD3B5F" w:rsidP="00BD3B5F">
            <w:pPr>
              <w:numPr>
                <w:ilvl w:val="0"/>
                <w:numId w:val="181"/>
              </w:numPr>
              <w:spacing w:before="0" w:after="0"/>
              <w:ind w:hanging="290"/>
              <w:jc w:val="left"/>
              <w:rPr>
                <w:noProof/>
                <w:szCs w:val="24"/>
              </w:rPr>
            </w:pPr>
            <w:r w:rsidRPr="005C3B55">
              <w:rPr>
                <w:szCs w:val="24"/>
              </w:rPr>
              <w:t>which utilise at least 1 ha of olive groves, or</w:t>
            </w:r>
          </w:p>
          <w:p w:rsidR="00BD3B5F" w:rsidRPr="005C3B55" w:rsidRDefault="00BD3B5F" w:rsidP="00BD3B5F">
            <w:pPr>
              <w:numPr>
                <w:ilvl w:val="0"/>
                <w:numId w:val="181"/>
              </w:numPr>
              <w:spacing w:before="0" w:after="0"/>
              <w:ind w:hanging="290"/>
              <w:jc w:val="left"/>
              <w:rPr>
                <w:noProof/>
                <w:szCs w:val="24"/>
              </w:rPr>
            </w:pPr>
            <w:r w:rsidRPr="005C3B55">
              <w:rPr>
                <w:szCs w:val="24"/>
              </w:rPr>
              <w:t>which utilise at least 1 ha for vegetables, including nurseries, strawberry production and permanent plant plantations on arable land, or</w:t>
            </w:r>
          </w:p>
          <w:p w:rsidR="00BD3B5F" w:rsidRPr="005C3B55" w:rsidRDefault="00BD3B5F" w:rsidP="00BD3B5F">
            <w:pPr>
              <w:numPr>
                <w:ilvl w:val="0"/>
                <w:numId w:val="181"/>
              </w:numPr>
              <w:spacing w:before="0" w:after="0"/>
              <w:ind w:hanging="290"/>
              <w:jc w:val="left"/>
              <w:rPr>
                <w:noProof/>
                <w:szCs w:val="24"/>
              </w:rPr>
            </w:pPr>
            <w:r w:rsidRPr="005C3B55">
              <w:rPr>
                <w:szCs w:val="24"/>
              </w:rPr>
              <w:t>which utilise at least 20 ha for fields, or</w:t>
            </w:r>
          </w:p>
          <w:p w:rsidR="00BD3B5F" w:rsidRPr="005C3B55" w:rsidRDefault="00BD3B5F" w:rsidP="00BD3B5F">
            <w:pPr>
              <w:numPr>
                <w:ilvl w:val="0"/>
                <w:numId w:val="181"/>
              </w:numPr>
              <w:spacing w:before="0" w:after="240"/>
              <w:ind w:hanging="290"/>
              <w:jc w:val="left"/>
              <w:rPr>
                <w:noProof/>
                <w:szCs w:val="24"/>
              </w:rPr>
            </w:pPr>
            <w:r w:rsidRPr="005C3B55">
              <w:rPr>
                <w:szCs w:val="24"/>
              </w:rPr>
              <w:t>which breed at least 10 dairy cows or at least 10 LU worth of poultry or at least 20 LU worth of other farm animals.</w:t>
            </w:r>
          </w:p>
          <w:p w:rsidR="00BD3B5F" w:rsidRPr="005C3B55" w:rsidRDefault="00BD3B5F">
            <w:pPr>
              <w:spacing w:before="240" w:after="240"/>
              <w:jc w:val="left"/>
              <w:rPr>
                <w:noProof/>
                <w:szCs w:val="24"/>
              </w:rPr>
            </w:pPr>
            <w:r w:rsidRPr="005C3B55">
              <w:rPr>
                <w:noProof/>
                <w:szCs w:val="24"/>
              </w:rPr>
              <w:t xml:space="preserve">2. </w:t>
            </w:r>
            <w:r w:rsidRPr="005C3B55">
              <w:rPr>
                <w:szCs w:val="24"/>
              </w:rPr>
              <w:t>Notwithstanding the provision of the first point, agricultural holdings which utilise at least 1 ha of orchards, vineyards or other permanent plantations, or at least 0.5 ha for vegetables, including strawberry production and permanent plant plantations on arable land (e.g. asparagus), are the target group in the case of purchasing and setting up anti-hail nets.</w:t>
            </w:r>
            <w:r w:rsidRPr="005C3B55">
              <w:rPr>
                <w:noProof/>
                <w:szCs w:val="24"/>
              </w:rPr>
              <w:br/>
              <w:t xml:space="preserve">3. </w:t>
            </w:r>
            <w:r w:rsidRPr="005C3B55">
              <w:rPr>
                <w:szCs w:val="24"/>
              </w:rPr>
              <w:t>The target group of restructuring or implementing organic production are all agricultural holdings which have a certificate to implement organic food production when submitting the application.</w:t>
            </w:r>
            <w:r w:rsidRPr="005C3B55">
              <w:rPr>
                <w:noProof/>
                <w:szCs w:val="24"/>
              </w:rPr>
              <w:br/>
              <w:t xml:space="preserve">4. </w:t>
            </w:r>
            <w:r w:rsidRPr="005C3B55">
              <w:rPr>
                <w:szCs w:val="24"/>
              </w:rPr>
              <w:t>The target group of restructuring agricultural holdings in the direction of constructing facilities for above-standard livestock manure storage, purchasing and setting up of mobile facilities and purchasing pertaining equipment, sealing of open lagoons for livestock manure storage, purchasing special agricultural machinery for the rational use of nitrogen, building compost facilities, technological modernisation of accommodations for animals and purchasing equipment for animal faeces are agricultural holdings located in hilly and mountainous or water protection areas.</w:t>
            </w:r>
            <w:r w:rsidRPr="005C3B55">
              <w:rPr>
                <w:noProof/>
                <w:szCs w:val="24"/>
              </w:rPr>
              <w:t xml:space="preserve"> </w:t>
            </w:r>
            <w:r w:rsidRPr="005C3B55">
              <w:rPr>
                <w:szCs w:val="24"/>
              </w:rPr>
              <w:t>When adjusting to the implementation of agriculture in water protection areas, all requirements determined in regulations governing water protection areas have to be observed.</w:t>
            </w:r>
            <w:r w:rsidRPr="005C3B55">
              <w:rPr>
                <w:noProof/>
                <w:szCs w:val="24"/>
              </w:rPr>
              <w:t xml:space="preserve"> </w:t>
            </w:r>
            <w:r w:rsidRPr="005C3B55">
              <w:rPr>
                <w:szCs w:val="24"/>
              </w:rPr>
              <w:t>The construction of facilities for livestock manure storage is an eligible cost only to an extent which exceeds the minimum requirements relating to storage capacities as defined by the regulation governing water protection against pollution from agricultural sources.</w:t>
            </w:r>
            <w:r w:rsidRPr="005C3B55">
              <w:rPr>
                <w:noProof/>
                <w:szCs w:val="24"/>
              </w:rPr>
              <w:t xml:space="preserve"> </w:t>
            </w:r>
            <w:r w:rsidRPr="005C3B55">
              <w:rPr>
                <w:szCs w:val="24"/>
              </w:rPr>
              <w:t>An exception may be permitted only for the investments of young farmers as per point 5 of Article 17 of Regulation (EU) No 1305/2013.</w:t>
            </w:r>
          </w:p>
          <w:p w:rsidR="00BD3B5F" w:rsidRPr="005C3B55" w:rsidRDefault="00BD3B5F">
            <w:pPr>
              <w:pStyle w:val="Telobesedila"/>
              <w:rPr>
                <w:szCs w:val="24"/>
              </w:rPr>
            </w:pPr>
          </w:p>
        </w:tc>
      </w:tr>
    </w:tbl>
    <w:p w:rsidR="00BD3B5F" w:rsidRPr="005C3B55" w:rsidRDefault="00BD3B5F">
      <w:pPr>
        <w:rPr>
          <w:szCs w:val="24"/>
        </w:rPr>
      </w:pPr>
      <w:r w:rsidRPr="005C3B55">
        <w:rPr>
          <w:szCs w:val="24"/>
        </w:rPr>
        <w:t>List of new requirements imposed by Union legislation to ensure compliance for which support may be granted in accordance with Article 17(6) Regulation (EU) No 1305/2013</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Not relevant.</w:t>
            </w:r>
          </w:p>
          <w:p w:rsidR="00BD3B5F" w:rsidRPr="005C3B55" w:rsidRDefault="00BD3B5F">
            <w:pPr>
              <w:pStyle w:val="Telobesedila"/>
              <w:rPr>
                <w:szCs w:val="24"/>
              </w:rPr>
            </w:pPr>
          </w:p>
        </w:tc>
      </w:tr>
    </w:tbl>
    <w:p w:rsidR="00BD3B5F" w:rsidRPr="005C3B55" w:rsidRDefault="00BD3B5F">
      <w:pPr>
        <w:rPr>
          <w:szCs w:val="24"/>
        </w:rPr>
      </w:pPr>
      <w:r w:rsidRPr="005C3B55">
        <w:rPr>
          <w:szCs w:val="24"/>
        </w:rPr>
        <w:t>If relevant, minimum standards for energy efficiency under Article 13(c) of Delegated Regulation (EU) No 807/2014</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The description is included in the entire M04 measure.</w:t>
            </w:r>
          </w:p>
          <w:p w:rsidR="00BD3B5F" w:rsidRPr="005C3B55" w:rsidRDefault="00BD3B5F">
            <w:pPr>
              <w:pStyle w:val="Telobesedila"/>
              <w:rPr>
                <w:szCs w:val="24"/>
              </w:rPr>
            </w:pPr>
          </w:p>
        </w:tc>
      </w:tr>
    </w:tbl>
    <w:p w:rsidR="00BD3B5F" w:rsidRPr="005C3B55" w:rsidRDefault="00BD3B5F">
      <w:pPr>
        <w:rPr>
          <w:szCs w:val="24"/>
        </w:rPr>
      </w:pPr>
      <w:r w:rsidRPr="005C3B55">
        <w:rPr>
          <w:szCs w:val="24"/>
        </w:rPr>
        <w:t>If relevant, establishing thresholds under Article 13(e) of Delegated Regulation (EU) No 807/2014</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The description is included in the entire M04 measure.</w:t>
            </w:r>
          </w:p>
          <w:p w:rsidR="00BD3B5F" w:rsidRPr="005C3B55" w:rsidRDefault="00BD3B5F">
            <w:pPr>
              <w:pStyle w:val="Telobesedila"/>
              <w:rPr>
                <w:szCs w:val="24"/>
              </w:rPr>
            </w:pPr>
          </w:p>
        </w:tc>
      </w:tr>
    </w:tbl>
    <w:p w:rsidR="00BD3B5F" w:rsidRPr="005C3B55" w:rsidRDefault="00BD3B5F">
      <w:pPr>
        <w:pStyle w:val="Naslov5"/>
        <w:tabs>
          <w:tab w:val="clear" w:pos="765"/>
        </w:tabs>
        <w:ind w:left="0" w:firstLine="0"/>
        <w:rPr>
          <w:b w:val="0"/>
          <w:szCs w:val="24"/>
          <w:lang w:val="en-GB"/>
        </w:rPr>
      </w:pPr>
      <w:r w:rsidRPr="005C3B55">
        <w:rPr>
          <w:b w:val="0"/>
          <w:szCs w:val="24"/>
          <w:lang w:val="en-GB"/>
        </w:rPr>
        <w:br w:type="page"/>
        <w:t xml:space="preserve">2. </w:t>
      </w:r>
      <w:r w:rsidRPr="005C3B55">
        <w:rPr>
          <w:b w:val="0"/>
          <w:noProof w:val="0"/>
          <w:szCs w:val="24"/>
          <w:lang w:val="en-GB"/>
        </w:rPr>
        <w:t>Investments in the processing or marketing of agricultural products from Annex I to the Treaty</w:t>
      </w:r>
    </w:p>
    <w:p w:rsidR="00BD3B5F" w:rsidRPr="005C3B55" w:rsidRDefault="00BD3B5F">
      <w:pPr>
        <w:rPr>
          <w:szCs w:val="24"/>
        </w:rPr>
      </w:pPr>
      <w:r w:rsidRPr="005C3B55">
        <w:rPr>
          <w:szCs w:val="24"/>
        </w:rPr>
        <w:t xml:space="preserve">Sub-measure: </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rsidP="00BD3B5F">
            <w:pPr>
              <w:numPr>
                <w:ilvl w:val="0"/>
                <w:numId w:val="182"/>
              </w:numPr>
              <w:rPr>
                <w:szCs w:val="24"/>
              </w:rPr>
            </w:pPr>
            <w:r w:rsidRPr="005C3B55">
              <w:rPr>
                <w:szCs w:val="24"/>
              </w:rPr>
              <w:t>4.2 – Support for investments in the processing, marketing and/or development of agricultural products</w:t>
            </w:r>
          </w:p>
        </w:tc>
      </w:tr>
    </w:tbl>
    <w:p w:rsidR="00BD3B5F" w:rsidRPr="005C3B55" w:rsidRDefault="00BD3B5F">
      <w:pPr>
        <w:pStyle w:val="Naslov6"/>
        <w:tabs>
          <w:tab w:val="clear" w:pos="765"/>
        </w:tabs>
        <w:ind w:left="0" w:firstLine="0"/>
        <w:rPr>
          <w:szCs w:val="24"/>
          <w:lang w:val="en-GB"/>
        </w:rPr>
      </w:pPr>
      <w:r w:rsidRPr="005C3B55">
        <w:rPr>
          <w:noProof w:val="0"/>
          <w:szCs w:val="24"/>
          <w:lang w:val="en-GB"/>
        </w:rPr>
        <w:t>Description of type of operation</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0"/>
              <w:jc w:val="left"/>
              <w:rPr>
                <w:noProof/>
                <w:szCs w:val="24"/>
              </w:rPr>
            </w:pPr>
            <w:r w:rsidRPr="005C3B55">
              <w:rPr>
                <w:szCs w:val="24"/>
              </w:rPr>
              <w:t>Support will facilitate an increase in added value and the promotion of agricultural product marketing, with the implementation of investments in the processing or marketing of agricultural products from Annex I to the Treaty; the result of the production process may be a product not covered by the above-mentioned Annex.</w:t>
            </w:r>
          </w:p>
          <w:p w:rsidR="00BD3B5F" w:rsidRPr="005C3B55" w:rsidRDefault="00BD3B5F">
            <w:pPr>
              <w:spacing w:before="240" w:after="240"/>
              <w:jc w:val="left"/>
              <w:rPr>
                <w:noProof/>
                <w:szCs w:val="24"/>
              </w:rPr>
            </w:pPr>
            <w:r w:rsidRPr="005C3B55">
              <w:rPr>
                <w:szCs w:val="24"/>
              </w:rPr>
              <w:t>The subject of support are investments in:</w:t>
            </w:r>
          </w:p>
          <w:p w:rsidR="00BD3B5F" w:rsidRPr="005C3B55" w:rsidRDefault="00BD3B5F" w:rsidP="00BD3B5F">
            <w:pPr>
              <w:numPr>
                <w:ilvl w:val="0"/>
                <w:numId w:val="183"/>
              </w:numPr>
              <w:spacing w:before="240" w:after="0"/>
              <w:ind w:hanging="290"/>
              <w:jc w:val="left"/>
              <w:rPr>
                <w:noProof/>
                <w:szCs w:val="24"/>
              </w:rPr>
            </w:pPr>
            <w:r w:rsidRPr="005C3B55">
              <w:rPr>
                <w:szCs w:val="24"/>
              </w:rPr>
              <w:t>processing of agricultural products covered by Annex I to the Treaty, except for fishery products the production process of which results in products listed in Annex I, as well as products not covered by Annex I to the Treaty;</w:t>
            </w:r>
          </w:p>
          <w:p w:rsidR="00BD3B5F" w:rsidRPr="005C3B55" w:rsidRDefault="00BD3B5F" w:rsidP="00BD3B5F">
            <w:pPr>
              <w:numPr>
                <w:ilvl w:val="0"/>
                <w:numId w:val="183"/>
              </w:numPr>
              <w:spacing w:before="0" w:after="240"/>
              <w:ind w:hanging="290"/>
              <w:jc w:val="left"/>
              <w:rPr>
                <w:noProof/>
                <w:szCs w:val="24"/>
              </w:rPr>
            </w:pPr>
            <w:r w:rsidRPr="005C3B55">
              <w:rPr>
                <w:szCs w:val="24"/>
              </w:rPr>
              <w:t>marketing of agricultural products covered by Annex I to the Treaty, except for fishery products.</w:t>
            </w:r>
          </w:p>
          <w:p w:rsidR="00BD3B5F" w:rsidRPr="005C3B55" w:rsidRDefault="00BD3B5F">
            <w:pPr>
              <w:spacing w:before="240" w:after="240"/>
              <w:jc w:val="left"/>
              <w:rPr>
                <w:noProof/>
                <w:szCs w:val="24"/>
              </w:rPr>
            </w:pPr>
            <w:r w:rsidRPr="005C3B55">
              <w:rPr>
                <w:szCs w:val="24"/>
              </w:rPr>
              <w:t>On the basis of a SWOT analysis, support is granted for investments in:</w:t>
            </w:r>
          </w:p>
          <w:p w:rsidR="00BD3B5F" w:rsidRPr="005C3B55" w:rsidRDefault="00BD3B5F" w:rsidP="00BD3B5F">
            <w:pPr>
              <w:numPr>
                <w:ilvl w:val="0"/>
                <w:numId w:val="184"/>
              </w:numPr>
              <w:spacing w:before="240" w:after="0"/>
              <w:ind w:hanging="290"/>
              <w:jc w:val="left"/>
              <w:rPr>
                <w:noProof/>
                <w:szCs w:val="24"/>
              </w:rPr>
            </w:pPr>
            <w:r w:rsidRPr="005C3B55">
              <w:rPr>
                <w:szCs w:val="24"/>
              </w:rPr>
              <w:t>the construction of buildings, purchase of pertaining equipment, arrangement of storage capacities, technological modernisation of food processing plants and equipment;</w:t>
            </w:r>
          </w:p>
          <w:p w:rsidR="00BD3B5F" w:rsidRPr="005C3B55" w:rsidRDefault="00BD3B5F" w:rsidP="00BD3B5F">
            <w:pPr>
              <w:numPr>
                <w:ilvl w:val="0"/>
                <w:numId w:val="184"/>
              </w:numPr>
              <w:spacing w:before="0" w:after="0"/>
              <w:ind w:hanging="290"/>
              <w:jc w:val="left"/>
              <w:rPr>
                <w:noProof/>
                <w:szCs w:val="24"/>
              </w:rPr>
            </w:pPr>
            <w:r w:rsidRPr="005C3B55">
              <w:rPr>
                <w:szCs w:val="24"/>
              </w:rPr>
              <w:t>mobile processing facilities;</w:t>
            </w:r>
          </w:p>
          <w:p w:rsidR="00BD3B5F" w:rsidRPr="005C3B55" w:rsidRDefault="00BD3B5F" w:rsidP="00BD3B5F">
            <w:pPr>
              <w:numPr>
                <w:ilvl w:val="0"/>
                <w:numId w:val="184"/>
              </w:numPr>
              <w:spacing w:before="0" w:after="0"/>
              <w:ind w:hanging="290"/>
              <w:jc w:val="left"/>
              <w:rPr>
                <w:noProof/>
                <w:szCs w:val="24"/>
              </w:rPr>
            </w:pPr>
            <w:r w:rsidRPr="005C3B55">
              <w:rPr>
                <w:szCs w:val="24"/>
              </w:rPr>
              <w:t>the arrangement of sales areas, the purchase of equipment, tasting facilities and mobile shops for marketing agricultural products;</w:t>
            </w:r>
          </w:p>
          <w:p w:rsidR="00BD3B5F" w:rsidRPr="005C3B55" w:rsidRDefault="00BD3B5F" w:rsidP="00BD3B5F">
            <w:pPr>
              <w:numPr>
                <w:ilvl w:val="0"/>
                <w:numId w:val="184"/>
              </w:numPr>
              <w:spacing w:before="0" w:after="0"/>
              <w:ind w:hanging="290"/>
              <w:jc w:val="left"/>
              <w:rPr>
                <w:noProof/>
                <w:szCs w:val="24"/>
              </w:rPr>
            </w:pPr>
            <w:r w:rsidRPr="005C3B55">
              <w:rPr>
                <w:szCs w:val="24"/>
              </w:rPr>
              <w:t>arrangement of water sources and upgrading systems for the rational use of water, water storage, the arrangement of septic tanks and wastewater treatment plants and devices for treating wastewater, the use of by-products, residue and other non-food material;</w:t>
            </w:r>
          </w:p>
          <w:p w:rsidR="00BD3B5F" w:rsidRPr="005C3B55" w:rsidRDefault="00BD3B5F" w:rsidP="00BD3B5F">
            <w:pPr>
              <w:numPr>
                <w:ilvl w:val="0"/>
                <w:numId w:val="184"/>
              </w:numPr>
              <w:spacing w:before="0" w:after="0"/>
              <w:ind w:hanging="290"/>
              <w:jc w:val="left"/>
              <w:rPr>
                <w:noProof/>
                <w:szCs w:val="24"/>
              </w:rPr>
            </w:pPr>
            <w:r w:rsidRPr="005C3B55">
              <w:rPr>
                <w:szCs w:val="24"/>
              </w:rPr>
              <w:t>production of biogas by using organic waste of agricultural sources;</w:t>
            </w:r>
          </w:p>
          <w:p w:rsidR="00BD3B5F" w:rsidRPr="005C3B55" w:rsidRDefault="00BD3B5F" w:rsidP="00BD3B5F">
            <w:pPr>
              <w:numPr>
                <w:ilvl w:val="0"/>
                <w:numId w:val="184"/>
              </w:numPr>
              <w:spacing w:before="0" w:after="0"/>
              <w:ind w:hanging="290"/>
              <w:jc w:val="left"/>
              <w:rPr>
                <w:noProof/>
                <w:szCs w:val="24"/>
              </w:rPr>
            </w:pPr>
            <w:r w:rsidRPr="005C3B55">
              <w:rPr>
                <w:szCs w:val="24"/>
              </w:rPr>
              <w:t>production of electric and thermal energy for own use of the agricultural holding or food processing facility;</w:t>
            </w:r>
          </w:p>
          <w:p w:rsidR="00BD3B5F" w:rsidRPr="005C3B55" w:rsidRDefault="00BD3B5F" w:rsidP="00BD3B5F">
            <w:pPr>
              <w:numPr>
                <w:ilvl w:val="0"/>
                <w:numId w:val="184"/>
              </w:numPr>
              <w:spacing w:before="0" w:after="0"/>
              <w:ind w:hanging="290"/>
              <w:jc w:val="left"/>
              <w:rPr>
                <w:noProof/>
                <w:szCs w:val="24"/>
              </w:rPr>
            </w:pPr>
            <w:r w:rsidRPr="005C3B55">
              <w:rPr>
                <w:szCs w:val="24"/>
              </w:rPr>
              <w:t>sale of electric and thermal energy;</w:t>
            </w:r>
          </w:p>
          <w:p w:rsidR="00BD3B5F" w:rsidRPr="005C3B55" w:rsidRDefault="00BD3B5F" w:rsidP="00BD3B5F">
            <w:pPr>
              <w:numPr>
                <w:ilvl w:val="0"/>
                <w:numId w:val="184"/>
              </w:numPr>
              <w:spacing w:before="0" w:after="0"/>
              <w:ind w:hanging="290"/>
              <w:jc w:val="left"/>
              <w:rPr>
                <w:noProof/>
                <w:szCs w:val="24"/>
              </w:rPr>
            </w:pPr>
            <w:r w:rsidRPr="005C3B55">
              <w:rPr>
                <w:szCs w:val="24"/>
              </w:rPr>
              <w:t>modernisation of energy-efficient heating systems, energy-efficient equipment, the reduction of heat loss by using materials with better thermal conductivity, and</w:t>
            </w:r>
          </w:p>
          <w:p w:rsidR="00BD3B5F" w:rsidRPr="005C3B55" w:rsidRDefault="00BD3B5F" w:rsidP="00BD3B5F">
            <w:pPr>
              <w:numPr>
                <w:ilvl w:val="0"/>
                <w:numId w:val="184"/>
              </w:numPr>
              <w:spacing w:before="0" w:after="240"/>
              <w:ind w:hanging="290"/>
              <w:jc w:val="left"/>
              <w:rPr>
                <w:noProof/>
                <w:szCs w:val="24"/>
              </w:rPr>
            </w:pPr>
            <w:r w:rsidRPr="005C3B55">
              <w:rPr>
                <w:szCs w:val="24"/>
              </w:rPr>
              <w:t>improvements in equipment and devices which improve safety at work, adjustments to new mandatory standards and hygiene.</w:t>
            </w:r>
          </w:p>
          <w:p w:rsidR="00BD3B5F" w:rsidRPr="005C3B55" w:rsidRDefault="00BD3B5F">
            <w:pPr>
              <w:spacing w:before="240" w:after="240"/>
              <w:jc w:val="left"/>
              <w:rPr>
                <w:noProof/>
                <w:szCs w:val="24"/>
              </w:rPr>
            </w:pPr>
            <w:r w:rsidRPr="005C3B55">
              <w:rPr>
                <w:szCs w:val="24"/>
              </w:rPr>
              <w:t>If the regulations regulating the environmental impact assessment prescribe an environmental assessment for an investment, the latter must show that it will have no significant negative impact on the environment.</w:t>
            </w:r>
          </w:p>
          <w:p w:rsidR="00BD3B5F" w:rsidRPr="005C3B55" w:rsidRDefault="00BD3B5F">
            <w:pPr>
              <w:spacing w:before="240" w:after="240"/>
              <w:jc w:val="left"/>
              <w:rPr>
                <w:noProof/>
                <w:szCs w:val="24"/>
              </w:rPr>
            </w:pPr>
            <w:r w:rsidRPr="005C3B55">
              <w:rPr>
                <w:szCs w:val="24"/>
              </w:rPr>
              <w:t>Combustion plants must be highly efficient (low emissions) when investing in power and thermal energy production.</w:t>
            </w:r>
            <w:r w:rsidRPr="005C3B55">
              <w:rPr>
                <w:noProof/>
                <w:szCs w:val="24"/>
              </w:rPr>
              <w:t xml:space="preserve"> </w:t>
            </w:r>
            <w:r w:rsidRPr="005C3B55">
              <w:rPr>
                <w:szCs w:val="24"/>
              </w:rPr>
              <w:t>In medium-size combustion plants with power between 1 to 50 MW, the requirements regarding emissions as per the national legislation will be observed.</w:t>
            </w:r>
          </w:p>
          <w:p w:rsidR="00BD3B5F" w:rsidRPr="005C3B55" w:rsidRDefault="00BD3B5F">
            <w:pPr>
              <w:pStyle w:val="Telobesedila"/>
              <w:rPr>
                <w:szCs w:val="24"/>
              </w:rPr>
            </w:pPr>
          </w:p>
        </w:tc>
      </w:tr>
    </w:tbl>
    <w:p w:rsidR="00BD3B5F" w:rsidRPr="005C3B55" w:rsidRDefault="00BD3B5F">
      <w:pPr>
        <w:pStyle w:val="Naslov6"/>
        <w:tabs>
          <w:tab w:val="clear" w:pos="765"/>
        </w:tabs>
        <w:ind w:left="0" w:firstLine="0"/>
        <w:rPr>
          <w:szCs w:val="24"/>
          <w:lang w:val="en-GB"/>
        </w:rPr>
      </w:pPr>
      <w:r w:rsidRPr="005C3B55">
        <w:rPr>
          <w:noProof w:val="0"/>
          <w:szCs w:val="24"/>
          <w:lang w:val="en-GB"/>
        </w:rPr>
        <w:t>Type of support</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Public support is granted in the form of non-refundable and refundable financial aid and financial instruments.</w:t>
            </w:r>
          </w:p>
          <w:p w:rsidR="00BD3B5F" w:rsidRPr="005C3B55" w:rsidRDefault="00BD3B5F">
            <w:pPr>
              <w:spacing w:before="240" w:after="240"/>
              <w:jc w:val="left"/>
              <w:rPr>
                <w:noProof/>
                <w:szCs w:val="24"/>
              </w:rPr>
            </w:pPr>
            <w:r w:rsidRPr="005C3B55">
              <w:rPr>
                <w:szCs w:val="24"/>
              </w:rPr>
              <w:t>The forms of financial instruments through which funds are allocated within this sub-measure will be defined after the preparation of the ex-ante assessment.</w:t>
            </w:r>
            <w:r w:rsidRPr="005C3B55">
              <w:rPr>
                <w:noProof/>
                <w:szCs w:val="24"/>
              </w:rPr>
              <w:t xml:space="preserve"> </w:t>
            </w:r>
            <w:r w:rsidRPr="005C3B55">
              <w:rPr>
                <w:szCs w:val="24"/>
              </w:rPr>
              <w:t>The amendment to the RDP 2014-2020 will be prepared in accordance with the ex-ante assessment.</w:t>
            </w:r>
          </w:p>
          <w:p w:rsidR="00BD3B5F" w:rsidRPr="005C3B55" w:rsidRDefault="00BD3B5F">
            <w:pPr>
              <w:pStyle w:val="Telobesedila"/>
              <w:rPr>
                <w:szCs w:val="24"/>
              </w:rPr>
            </w:pPr>
          </w:p>
        </w:tc>
      </w:tr>
    </w:tbl>
    <w:p w:rsidR="00BD3B5F" w:rsidRPr="005C3B55" w:rsidRDefault="00BD3B5F">
      <w:pPr>
        <w:pStyle w:val="Naslov6"/>
        <w:tabs>
          <w:tab w:val="clear" w:pos="765"/>
        </w:tabs>
        <w:ind w:left="0" w:firstLine="0"/>
        <w:rPr>
          <w:szCs w:val="24"/>
          <w:lang w:val="en-GB"/>
        </w:rPr>
      </w:pPr>
      <w:r w:rsidRPr="005C3B55">
        <w:rPr>
          <w:noProof w:val="0"/>
          <w:szCs w:val="24"/>
          <w:lang w:val="en-GB"/>
        </w:rPr>
        <w:t>Connection with other legislation</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rsidP="00BD3B5F">
            <w:pPr>
              <w:numPr>
                <w:ilvl w:val="0"/>
                <w:numId w:val="185"/>
              </w:numPr>
              <w:spacing w:before="0" w:after="0"/>
              <w:ind w:hanging="290"/>
              <w:jc w:val="left"/>
              <w:rPr>
                <w:noProof/>
                <w:szCs w:val="24"/>
              </w:rPr>
            </w:pPr>
            <w:r w:rsidRPr="005C3B55">
              <w:rPr>
                <w:szCs w:val="24"/>
              </w:rPr>
              <w:t>Agriculture Act (Official Gazette of the Republic of Slovenia, no. 45/2008 with all amendments);</w:t>
            </w:r>
          </w:p>
          <w:p w:rsidR="00BD3B5F" w:rsidRPr="005C3B55" w:rsidRDefault="00BD3B5F" w:rsidP="00BD3B5F">
            <w:pPr>
              <w:numPr>
                <w:ilvl w:val="0"/>
                <w:numId w:val="185"/>
              </w:numPr>
              <w:spacing w:before="0" w:after="0"/>
              <w:ind w:hanging="290"/>
              <w:jc w:val="left"/>
              <w:rPr>
                <w:noProof/>
                <w:szCs w:val="24"/>
              </w:rPr>
            </w:pPr>
            <w:r w:rsidRPr="005C3B55">
              <w:rPr>
                <w:szCs w:val="24"/>
              </w:rPr>
              <w:t>National regulation governing the implementation of this sub-measure;</w:t>
            </w:r>
          </w:p>
          <w:p w:rsidR="00BD3B5F" w:rsidRPr="005C3B55" w:rsidRDefault="00BD3B5F" w:rsidP="00BD3B5F">
            <w:pPr>
              <w:numPr>
                <w:ilvl w:val="0"/>
                <w:numId w:val="185"/>
              </w:numPr>
              <w:spacing w:before="0" w:after="0"/>
              <w:ind w:hanging="290"/>
              <w:jc w:val="left"/>
              <w:rPr>
                <w:noProof/>
                <w:szCs w:val="24"/>
              </w:rPr>
            </w:pPr>
            <w:r w:rsidRPr="005C3B55">
              <w:rPr>
                <w:szCs w:val="24"/>
              </w:rPr>
              <w:t>Nature Conservation Act (Official Gazette of the Republic of Slovenia, no. 96/04 – official consolidated text with all amendments);</w:t>
            </w:r>
          </w:p>
          <w:p w:rsidR="00BD3B5F" w:rsidRPr="005C3B55" w:rsidRDefault="00BD3B5F" w:rsidP="00BD3B5F">
            <w:pPr>
              <w:numPr>
                <w:ilvl w:val="0"/>
                <w:numId w:val="185"/>
              </w:numPr>
              <w:spacing w:before="0" w:after="0"/>
              <w:ind w:hanging="290"/>
              <w:jc w:val="left"/>
              <w:rPr>
                <w:noProof/>
                <w:szCs w:val="24"/>
              </w:rPr>
            </w:pPr>
            <w:r w:rsidRPr="005C3B55">
              <w:rPr>
                <w:szCs w:val="24"/>
              </w:rPr>
              <w:t>Environmental Protection Act (Official Gazette of the Republic of Slovenia, no. 39/06 – official consolidated text with all amendments);</w:t>
            </w:r>
          </w:p>
          <w:p w:rsidR="00BD3B5F" w:rsidRPr="005C3B55" w:rsidRDefault="00BD3B5F" w:rsidP="00BD3B5F">
            <w:pPr>
              <w:numPr>
                <w:ilvl w:val="0"/>
                <w:numId w:val="185"/>
              </w:numPr>
              <w:spacing w:before="0" w:after="0"/>
              <w:ind w:hanging="290"/>
              <w:jc w:val="left"/>
              <w:rPr>
                <w:noProof/>
                <w:szCs w:val="24"/>
              </w:rPr>
            </w:pPr>
            <w:r w:rsidRPr="005C3B55">
              <w:rPr>
                <w:szCs w:val="24"/>
              </w:rPr>
              <w:t>Decree on the categories of activities for which an environmental impact assessment is mandatory (Official Gazette of the Republic of Slovenia, no. 51/14 with all amendments);</w:t>
            </w:r>
          </w:p>
          <w:p w:rsidR="00BD3B5F" w:rsidRPr="005C3B55" w:rsidRDefault="00BD3B5F" w:rsidP="00BD3B5F">
            <w:pPr>
              <w:numPr>
                <w:ilvl w:val="0"/>
                <w:numId w:val="185"/>
              </w:numPr>
              <w:spacing w:before="0" w:after="0"/>
              <w:ind w:hanging="290"/>
              <w:jc w:val="left"/>
              <w:rPr>
                <w:noProof/>
                <w:szCs w:val="24"/>
              </w:rPr>
            </w:pPr>
            <w:r w:rsidRPr="005C3B55">
              <w:rPr>
                <w:noProof/>
                <w:szCs w:val="24"/>
              </w:rPr>
              <w:t xml:space="preserve"> </w:t>
            </w:r>
            <w:r w:rsidRPr="005C3B55">
              <w:rPr>
                <w:szCs w:val="24"/>
              </w:rPr>
              <w:t>Articles 65 and 69 of Regulation (EU) No 1303/2013;</w:t>
            </w:r>
          </w:p>
          <w:p w:rsidR="00BD3B5F" w:rsidRPr="005C3B55" w:rsidRDefault="00BD3B5F" w:rsidP="00BD3B5F">
            <w:pPr>
              <w:numPr>
                <w:ilvl w:val="0"/>
                <w:numId w:val="185"/>
              </w:numPr>
              <w:spacing w:before="0" w:after="0"/>
              <w:ind w:hanging="290"/>
              <w:jc w:val="left"/>
              <w:rPr>
                <w:noProof/>
                <w:szCs w:val="24"/>
              </w:rPr>
            </w:pPr>
            <w:r w:rsidRPr="005C3B55">
              <w:rPr>
                <w:noProof/>
                <w:szCs w:val="24"/>
              </w:rPr>
              <w:t xml:space="preserve"> </w:t>
            </w:r>
            <w:r w:rsidRPr="005C3B55">
              <w:rPr>
                <w:szCs w:val="24"/>
              </w:rPr>
              <w:t>Article 13 of Regulation (EU) No 807/2014, and</w:t>
            </w:r>
          </w:p>
          <w:p w:rsidR="00BD3B5F" w:rsidRPr="005C3B55" w:rsidRDefault="00BD3B5F" w:rsidP="00BD3B5F">
            <w:pPr>
              <w:numPr>
                <w:ilvl w:val="0"/>
                <w:numId w:val="185"/>
              </w:numPr>
              <w:spacing w:before="0" w:after="240"/>
              <w:ind w:hanging="290"/>
              <w:jc w:val="left"/>
              <w:rPr>
                <w:noProof/>
                <w:szCs w:val="24"/>
              </w:rPr>
            </w:pPr>
            <w:r w:rsidRPr="005C3B55">
              <w:rPr>
                <w:szCs w:val="24"/>
              </w:rPr>
              <w:t>other EU and national legislation which regulates the implementation of this operation.</w:t>
            </w:r>
          </w:p>
          <w:p w:rsidR="00BD3B5F" w:rsidRPr="005C3B55" w:rsidRDefault="00BD3B5F">
            <w:pPr>
              <w:pStyle w:val="Telobesedila"/>
              <w:rPr>
                <w:szCs w:val="24"/>
              </w:rPr>
            </w:pPr>
          </w:p>
        </w:tc>
      </w:tr>
    </w:tbl>
    <w:p w:rsidR="00BD3B5F" w:rsidRPr="005C3B55" w:rsidRDefault="00BD3B5F">
      <w:pPr>
        <w:pStyle w:val="Naslov6"/>
        <w:tabs>
          <w:tab w:val="clear" w:pos="765"/>
        </w:tabs>
        <w:ind w:left="0" w:firstLine="0"/>
        <w:rPr>
          <w:szCs w:val="24"/>
          <w:lang w:val="en-GB"/>
        </w:rPr>
      </w:pPr>
      <w:r w:rsidRPr="005C3B55">
        <w:rPr>
          <w:noProof w:val="0"/>
          <w:szCs w:val="24"/>
          <w:lang w:val="en-GB"/>
        </w:rPr>
        <w:t>Beneficiaries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The beneficiaries eligible for support are legal and natural persons involved in processing or marketing agricultural products as companies, cooperatives or institutes, sole traders, farms involved in producing or processing agricultural products, farms with a subsidiary on-farm activity, agricultural and pastoral communities implementing the processing of milk on mountains and economic interest groupings.</w:t>
            </w:r>
          </w:p>
          <w:p w:rsidR="00BD3B5F" w:rsidRPr="005C3B55" w:rsidRDefault="00BD3B5F">
            <w:pPr>
              <w:spacing w:before="240" w:after="240"/>
              <w:jc w:val="left"/>
              <w:rPr>
                <w:noProof/>
                <w:szCs w:val="24"/>
              </w:rPr>
            </w:pPr>
            <w:r w:rsidRPr="005C3B55">
              <w:rPr>
                <w:szCs w:val="24"/>
              </w:rPr>
              <w:t>Large enterprises that are beneficiaries must employ no more than 750 personnel or generate an annual income under EUR 200 million.</w:t>
            </w:r>
          </w:p>
          <w:p w:rsidR="00BD3B5F" w:rsidRPr="005C3B55" w:rsidRDefault="00BD3B5F">
            <w:pPr>
              <w:spacing w:before="240" w:after="240"/>
              <w:jc w:val="left"/>
              <w:rPr>
                <w:noProof/>
                <w:szCs w:val="24"/>
              </w:rPr>
            </w:pPr>
            <w:r w:rsidRPr="005C3B55">
              <w:rPr>
                <w:szCs w:val="24"/>
              </w:rPr>
              <w:t>Special attention within this sub-measure will be dedicated to:</w:t>
            </w:r>
          </w:p>
          <w:p w:rsidR="00BD3B5F" w:rsidRPr="005C3B55" w:rsidRDefault="00BD3B5F" w:rsidP="00BD3B5F">
            <w:pPr>
              <w:numPr>
                <w:ilvl w:val="0"/>
                <w:numId w:val="186"/>
              </w:numPr>
              <w:spacing w:before="240" w:after="0"/>
              <w:ind w:hanging="290"/>
              <w:jc w:val="left"/>
              <w:rPr>
                <w:noProof/>
                <w:szCs w:val="24"/>
              </w:rPr>
            </w:pPr>
            <w:r w:rsidRPr="005C3B55">
              <w:rPr>
                <w:szCs w:val="24"/>
              </w:rPr>
              <w:t>processing or marketing organic products.</w:t>
            </w:r>
            <w:r w:rsidRPr="005C3B55">
              <w:rPr>
                <w:noProof/>
                <w:szCs w:val="24"/>
              </w:rPr>
              <w:t xml:space="preserve"> </w:t>
            </w:r>
            <w:r w:rsidRPr="005C3B55">
              <w:rPr>
                <w:szCs w:val="24"/>
              </w:rPr>
              <w:t>The SWOT analysis revealed that the supply of products from organic farming does not meet demand.</w:t>
            </w:r>
            <w:r w:rsidRPr="005C3B55">
              <w:rPr>
                <w:noProof/>
                <w:szCs w:val="24"/>
              </w:rPr>
              <w:t xml:space="preserve"> </w:t>
            </w:r>
            <w:r w:rsidRPr="005C3B55">
              <w:rPr>
                <w:szCs w:val="24"/>
              </w:rPr>
              <w:t>The processing of organic products is conducted in small facilities where the processing lines have to be adjusted.</w:t>
            </w:r>
            <w:r w:rsidRPr="005C3B55">
              <w:rPr>
                <w:noProof/>
                <w:szCs w:val="24"/>
              </w:rPr>
              <w:t xml:space="preserve"> </w:t>
            </w:r>
            <w:r w:rsidRPr="005C3B55">
              <w:rPr>
                <w:szCs w:val="24"/>
              </w:rPr>
              <w:t>The greater public support rate will stimulate greater investment in processing and marketing organic products and improve the offer of these products in the market.</w:t>
            </w:r>
          </w:p>
          <w:p w:rsidR="00BD3B5F" w:rsidRPr="005C3B55" w:rsidRDefault="00BD3B5F" w:rsidP="00BD3B5F">
            <w:pPr>
              <w:numPr>
                <w:ilvl w:val="0"/>
                <w:numId w:val="186"/>
              </w:numPr>
              <w:spacing w:before="0" w:after="240"/>
              <w:ind w:hanging="290"/>
              <w:jc w:val="left"/>
              <w:rPr>
                <w:noProof/>
                <w:szCs w:val="24"/>
              </w:rPr>
            </w:pPr>
            <w:r w:rsidRPr="005C3B55">
              <w:rPr>
                <w:szCs w:val="24"/>
              </w:rPr>
              <w:t>improving environmental efficiency.</w:t>
            </w:r>
            <w:r w:rsidRPr="005C3B55">
              <w:rPr>
                <w:noProof/>
                <w:szCs w:val="24"/>
              </w:rPr>
              <w:t xml:space="preserve"> </w:t>
            </w:r>
            <w:r w:rsidRPr="005C3B55">
              <w:rPr>
                <w:szCs w:val="24"/>
              </w:rPr>
              <w:t>The increasing of the support rate will be intended for investments in modernising systems for the rational use of water, water storage, the arrangement of septic tanks and wastewater treatment plants and devices for wastewater treatment, the use of by-products, residue and other non-food material.</w:t>
            </w:r>
          </w:p>
          <w:p w:rsidR="00BD3B5F" w:rsidRPr="005C3B55" w:rsidRDefault="00BD3B5F">
            <w:pPr>
              <w:pStyle w:val="Telobesedila"/>
              <w:rPr>
                <w:szCs w:val="24"/>
              </w:rPr>
            </w:pPr>
          </w:p>
        </w:tc>
      </w:tr>
    </w:tbl>
    <w:p w:rsidR="00BD3B5F" w:rsidRPr="005C3B55" w:rsidRDefault="00BD3B5F">
      <w:pPr>
        <w:pStyle w:val="Naslov6"/>
        <w:tabs>
          <w:tab w:val="clear" w:pos="765"/>
        </w:tabs>
        <w:ind w:left="0" w:firstLine="0"/>
        <w:rPr>
          <w:szCs w:val="24"/>
          <w:lang w:val="en-GB"/>
        </w:rPr>
      </w:pPr>
      <w:r w:rsidRPr="005C3B55">
        <w:rPr>
          <w:noProof w:val="0"/>
          <w:szCs w:val="24"/>
          <w:lang w:val="en-GB"/>
        </w:rPr>
        <w:t>Eligible costs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Eligible costs are as follows:</w:t>
            </w:r>
          </w:p>
          <w:p w:rsidR="00BD3B5F" w:rsidRPr="005C3B55" w:rsidRDefault="00BD3B5F" w:rsidP="00BD3B5F">
            <w:pPr>
              <w:numPr>
                <w:ilvl w:val="0"/>
                <w:numId w:val="187"/>
              </w:numPr>
              <w:spacing w:before="240" w:after="0"/>
              <w:ind w:hanging="290"/>
              <w:jc w:val="left"/>
              <w:rPr>
                <w:noProof/>
                <w:szCs w:val="24"/>
              </w:rPr>
            </w:pPr>
            <w:r w:rsidRPr="005C3B55">
              <w:rPr>
                <w:szCs w:val="24"/>
              </w:rPr>
              <w:t>costs of constructing or reconstructing real property.</w:t>
            </w:r>
            <w:r w:rsidRPr="005C3B55">
              <w:rPr>
                <w:noProof/>
                <w:szCs w:val="24"/>
              </w:rPr>
              <w:t xml:space="preserve"> </w:t>
            </w:r>
            <w:r w:rsidRPr="005C3B55">
              <w:rPr>
                <w:szCs w:val="24"/>
              </w:rPr>
              <w:t>The costs of supply of complete elements, transport, their installation and costs of works implemented on site (costs of material, transport and implemented works) are recognised for certain construction and craft works;</w:t>
            </w:r>
          </w:p>
          <w:p w:rsidR="00BD3B5F" w:rsidRPr="005C3B55" w:rsidRDefault="00BD3B5F" w:rsidP="00BD3B5F">
            <w:pPr>
              <w:numPr>
                <w:ilvl w:val="0"/>
                <w:numId w:val="187"/>
              </w:numPr>
              <w:spacing w:before="0" w:after="0"/>
              <w:ind w:hanging="290"/>
              <w:jc w:val="left"/>
              <w:rPr>
                <w:noProof/>
                <w:szCs w:val="24"/>
              </w:rPr>
            </w:pPr>
            <w:r w:rsidRPr="005C3B55">
              <w:rPr>
                <w:szCs w:val="24"/>
              </w:rPr>
              <w:t>costs of purchase equipment and devices, which also includes the purchase of laboratory and ICT equipment included in the process of marketing or processing;</w:t>
            </w:r>
          </w:p>
          <w:p w:rsidR="00BD3B5F" w:rsidRPr="005C3B55" w:rsidRDefault="00BD3B5F" w:rsidP="00BD3B5F">
            <w:pPr>
              <w:numPr>
                <w:ilvl w:val="0"/>
                <w:numId w:val="187"/>
              </w:numPr>
              <w:spacing w:before="0" w:after="0"/>
              <w:ind w:hanging="290"/>
              <w:jc w:val="left"/>
              <w:rPr>
                <w:noProof/>
                <w:szCs w:val="24"/>
              </w:rPr>
            </w:pPr>
            <w:r w:rsidRPr="005C3B55">
              <w:rPr>
                <w:szCs w:val="24"/>
              </w:rPr>
              <w:t>production costs of biogas by using organic waste of agricultural sources;</w:t>
            </w:r>
          </w:p>
          <w:p w:rsidR="00BD3B5F" w:rsidRPr="005C3B55" w:rsidRDefault="00BD3B5F" w:rsidP="00BD3B5F">
            <w:pPr>
              <w:numPr>
                <w:ilvl w:val="0"/>
                <w:numId w:val="187"/>
              </w:numPr>
              <w:spacing w:before="0" w:after="0"/>
              <w:ind w:hanging="290"/>
              <w:jc w:val="left"/>
              <w:rPr>
                <w:noProof/>
                <w:szCs w:val="24"/>
              </w:rPr>
            </w:pPr>
            <w:r w:rsidRPr="005C3B55">
              <w:rPr>
                <w:szCs w:val="24"/>
              </w:rPr>
              <w:t>costs of efficient energy use;</w:t>
            </w:r>
          </w:p>
          <w:p w:rsidR="00BD3B5F" w:rsidRPr="005C3B55" w:rsidRDefault="00BD3B5F" w:rsidP="00BD3B5F">
            <w:pPr>
              <w:numPr>
                <w:ilvl w:val="0"/>
                <w:numId w:val="187"/>
              </w:numPr>
              <w:spacing w:before="0" w:after="0"/>
              <w:ind w:hanging="290"/>
              <w:jc w:val="left"/>
              <w:rPr>
                <w:noProof/>
                <w:szCs w:val="24"/>
              </w:rPr>
            </w:pPr>
            <w:r w:rsidRPr="005C3B55">
              <w:rPr>
                <w:szCs w:val="24"/>
              </w:rPr>
              <w:t>costs of obtaining energy from renewable energy sources on agricultural holdings and food processing facilities if energy is intended for the processing or marketing of products as per Annex I to the Treaty (own use) which has to be evident from the detailed report on the building engineering physics.</w:t>
            </w:r>
            <w:r w:rsidRPr="005C3B55">
              <w:rPr>
                <w:noProof/>
                <w:szCs w:val="24"/>
              </w:rPr>
              <w:t xml:space="preserve"> </w:t>
            </w:r>
            <w:r w:rsidRPr="005C3B55">
              <w:rPr>
                <w:szCs w:val="24"/>
              </w:rPr>
              <w:t>When thermal energy is being produced from biomass, the raw material for energy production has to be a product as per Annex I of the Treaty;</w:t>
            </w:r>
          </w:p>
          <w:p w:rsidR="00BD3B5F" w:rsidRPr="005C3B55" w:rsidRDefault="00BD3B5F" w:rsidP="00BD3B5F">
            <w:pPr>
              <w:numPr>
                <w:ilvl w:val="0"/>
                <w:numId w:val="187"/>
              </w:numPr>
              <w:spacing w:before="0" w:after="240"/>
              <w:ind w:hanging="290"/>
              <w:jc w:val="left"/>
              <w:rPr>
                <w:noProof/>
                <w:szCs w:val="24"/>
              </w:rPr>
            </w:pPr>
            <w:r w:rsidRPr="005C3B55">
              <w:rPr>
                <w:szCs w:val="24"/>
              </w:rPr>
              <w:t>general costs directly connected to the preparation and implementation of the investment, particularly payments for architects, engineers and advisers, costs of obtaining construction, project and technical documentation, payments relating to the acquisition of the environmental impact assessment and costs of supervision of the implementation of construction and crafts works.</w:t>
            </w:r>
          </w:p>
          <w:p w:rsidR="00BD3B5F" w:rsidRPr="005C3B55" w:rsidRDefault="00BD3B5F">
            <w:pPr>
              <w:spacing w:before="240" w:after="240"/>
              <w:jc w:val="left"/>
              <w:rPr>
                <w:noProof/>
                <w:szCs w:val="24"/>
              </w:rPr>
            </w:pPr>
            <w:r w:rsidRPr="005C3B55">
              <w:rPr>
                <w:szCs w:val="24"/>
              </w:rPr>
              <w:t>The determination of the amount of eligible costs will take into account the upper limits of individual eligible costs, which will be determined in the Catalogue of the highest values of costs.</w:t>
            </w:r>
            <w:r w:rsidRPr="005C3B55">
              <w:rPr>
                <w:noProof/>
                <w:szCs w:val="24"/>
              </w:rPr>
              <w:t xml:space="preserve"> </w:t>
            </w:r>
            <w:r w:rsidRPr="005C3B55">
              <w:rPr>
                <w:szCs w:val="24"/>
              </w:rPr>
              <w:t>Regardless of this, the beneficiary will have to enclose one bid with the application.</w:t>
            </w:r>
            <w:r w:rsidRPr="005C3B55">
              <w:rPr>
                <w:noProof/>
                <w:szCs w:val="24"/>
              </w:rPr>
              <w:t xml:space="preserve"> </w:t>
            </w:r>
            <w:r w:rsidRPr="005C3B55">
              <w:rPr>
                <w:szCs w:val="24"/>
              </w:rPr>
              <w:t>In the case of values not determined in the Catalogue of the highest values of costs, the beneficiary must enclose three bids.</w:t>
            </w:r>
          </w:p>
          <w:p w:rsidR="00BD3B5F" w:rsidRPr="005C3B55" w:rsidRDefault="00BD3B5F">
            <w:pPr>
              <w:spacing w:before="240" w:after="240"/>
              <w:jc w:val="left"/>
              <w:rPr>
                <w:noProof/>
                <w:szCs w:val="24"/>
              </w:rPr>
            </w:pPr>
            <w:r w:rsidRPr="005C3B55">
              <w:rPr>
                <w:szCs w:val="24"/>
              </w:rPr>
              <w:t>The following costs are not entitled to support:</w:t>
            </w:r>
          </w:p>
          <w:p w:rsidR="00BD3B5F" w:rsidRPr="005C3B55" w:rsidRDefault="00BD3B5F" w:rsidP="00BD3B5F">
            <w:pPr>
              <w:numPr>
                <w:ilvl w:val="0"/>
                <w:numId w:val="188"/>
              </w:numPr>
              <w:spacing w:before="240" w:after="0"/>
              <w:ind w:hanging="290"/>
              <w:jc w:val="left"/>
              <w:rPr>
                <w:noProof/>
                <w:szCs w:val="24"/>
              </w:rPr>
            </w:pPr>
            <w:r w:rsidRPr="005C3B55">
              <w:rPr>
                <w:szCs w:val="24"/>
              </w:rPr>
              <w:t>interest on debts,</w:t>
            </w:r>
          </w:p>
          <w:p w:rsidR="00BD3B5F" w:rsidRPr="005C3B55" w:rsidRDefault="00BD3B5F" w:rsidP="00BD3B5F">
            <w:pPr>
              <w:numPr>
                <w:ilvl w:val="0"/>
                <w:numId w:val="188"/>
              </w:numPr>
              <w:spacing w:before="0" w:after="0"/>
              <w:ind w:hanging="290"/>
              <w:jc w:val="left"/>
              <w:rPr>
                <w:noProof/>
                <w:szCs w:val="24"/>
              </w:rPr>
            </w:pPr>
            <w:r w:rsidRPr="005C3B55">
              <w:rPr>
                <w:szCs w:val="24"/>
              </w:rPr>
              <w:t>value added tax (VAT), unless it is recoverable on the basis of the national legislation on VAT,</w:t>
            </w:r>
          </w:p>
          <w:p w:rsidR="00BD3B5F" w:rsidRPr="005C3B55" w:rsidRDefault="00BD3B5F" w:rsidP="00BD3B5F">
            <w:pPr>
              <w:numPr>
                <w:ilvl w:val="0"/>
                <w:numId w:val="188"/>
              </w:numPr>
              <w:spacing w:before="0" w:after="0"/>
              <w:ind w:hanging="290"/>
              <w:jc w:val="left"/>
              <w:rPr>
                <w:noProof/>
                <w:szCs w:val="24"/>
              </w:rPr>
            </w:pPr>
            <w:r w:rsidRPr="005C3B55">
              <w:rPr>
                <w:szCs w:val="24"/>
              </w:rPr>
              <w:t>cost of preparing the application for the public procurement and request for payment,</w:t>
            </w:r>
          </w:p>
          <w:p w:rsidR="00BD3B5F" w:rsidRPr="005C3B55" w:rsidRDefault="00BD3B5F" w:rsidP="00BD3B5F">
            <w:pPr>
              <w:numPr>
                <w:ilvl w:val="0"/>
                <w:numId w:val="188"/>
              </w:numPr>
              <w:spacing w:before="0" w:after="0"/>
              <w:ind w:hanging="290"/>
              <w:jc w:val="left"/>
              <w:rPr>
                <w:noProof/>
                <w:szCs w:val="24"/>
              </w:rPr>
            </w:pPr>
            <w:r w:rsidRPr="005C3B55">
              <w:rPr>
                <w:szCs w:val="24"/>
              </w:rPr>
              <w:t>costs of archaeological works and archaeological supervision,</w:t>
            </w:r>
          </w:p>
          <w:p w:rsidR="00BD3B5F" w:rsidRPr="005C3B55" w:rsidRDefault="00BD3B5F" w:rsidP="00BD3B5F">
            <w:pPr>
              <w:numPr>
                <w:ilvl w:val="0"/>
                <w:numId w:val="188"/>
              </w:numPr>
              <w:spacing w:before="0" w:after="0"/>
              <w:ind w:hanging="290"/>
              <w:jc w:val="left"/>
              <w:rPr>
                <w:noProof/>
                <w:szCs w:val="24"/>
              </w:rPr>
            </w:pPr>
            <w:r w:rsidRPr="005C3B55">
              <w:rPr>
                <w:szCs w:val="24"/>
              </w:rPr>
              <w:t>in-kind contribution of the beneficiary, and</w:t>
            </w:r>
          </w:p>
          <w:p w:rsidR="00BD3B5F" w:rsidRPr="005C3B55" w:rsidRDefault="00BD3B5F" w:rsidP="00BD3B5F">
            <w:pPr>
              <w:numPr>
                <w:ilvl w:val="0"/>
                <w:numId w:val="188"/>
              </w:numPr>
              <w:spacing w:before="0" w:after="240"/>
              <w:ind w:hanging="290"/>
              <w:jc w:val="left"/>
              <w:rPr>
                <w:noProof/>
                <w:szCs w:val="24"/>
              </w:rPr>
            </w:pPr>
            <w:r w:rsidRPr="005C3B55">
              <w:rPr>
                <w:szCs w:val="24"/>
              </w:rPr>
              <w:t>purchase of used equipment.</w:t>
            </w:r>
          </w:p>
          <w:p w:rsidR="00BD3B5F" w:rsidRPr="005C3B55" w:rsidRDefault="00BD3B5F">
            <w:pPr>
              <w:spacing w:before="240" w:after="240"/>
              <w:jc w:val="left"/>
              <w:rPr>
                <w:noProof/>
                <w:szCs w:val="24"/>
              </w:rPr>
            </w:pPr>
            <w:r w:rsidRPr="005C3B55">
              <w:rPr>
                <w:szCs w:val="24"/>
              </w:rPr>
              <w:t>In the implementation of this sub-measure, certain specific requirements from the aspect of eligibility of costs, which will be defined in accordance with national regulations, will be taken into account.</w:t>
            </w:r>
          </w:p>
          <w:p w:rsidR="00BD3B5F" w:rsidRPr="005C3B55" w:rsidRDefault="00BD3B5F">
            <w:pPr>
              <w:pStyle w:val="Telobesedila"/>
              <w:rPr>
                <w:szCs w:val="24"/>
              </w:rPr>
            </w:pPr>
          </w:p>
        </w:tc>
      </w:tr>
    </w:tbl>
    <w:p w:rsidR="00BD3B5F" w:rsidRPr="005C3B55" w:rsidRDefault="00BD3B5F">
      <w:pPr>
        <w:pStyle w:val="Naslov6"/>
        <w:tabs>
          <w:tab w:val="clear" w:pos="765"/>
        </w:tabs>
        <w:ind w:left="0" w:firstLine="0"/>
        <w:rPr>
          <w:szCs w:val="24"/>
          <w:lang w:val="en-GB"/>
        </w:rPr>
      </w:pPr>
      <w:r w:rsidRPr="005C3B55">
        <w:rPr>
          <w:noProof w:val="0"/>
          <w:szCs w:val="24"/>
          <w:lang w:val="en-GB"/>
        </w:rPr>
        <w:t>Conditions for eligibility</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The conditions for granting funds are as follows:</w:t>
            </w:r>
          </w:p>
          <w:p w:rsidR="00BD3B5F" w:rsidRPr="005C3B55" w:rsidRDefault="00BD3B5F">
            <w:pPr>
              <w:spacing w:before="240" w:after="240"/>
              <w:ind w:left="170"/>
              <w:jc w:val="left"/>
              <w:rPr>
                <w:noProof/>
                <w:szCs w:val="24"/>
              </w:rPr>
            </w:pPr>
            <w:r w:rsidRPr="005C3B55">
              <w:rPr>
                <w:noProof/>
                <w:szCs w:val="24"/>
              </w:rPr>
              <w:t xml:space="preserve">1. </w:t>
            </w:r>
            <w:r w:rsidRPr="005C3B55">
              <w:rPr>
                <w:szCs w:val="24"/>
              </w:rPr>
              <w:t>The beneficiary must submit a business plan which must show the economic viability of the investment.</w:t>
            </w:r>
            <w:r w:rsidRPr="005C3B55">
              <w:rPr>
                <w:noProof/>
                <w:szCs w:val="24"/>
              </w:rPr>
              <w:t xml:space="preserve"> </w:t>
            </w:r>
            <w:r w:rsidRPr="005C3B55">
              <w:rPr>
                <w:szCs w:val="24"/>
              </w:rPr>
              <w:t>Considering the type of investment, the business plan must also show the environmental contribution of the investment and a contribution to other horizontal objectives.</w:t>
            </w:r>
            <w:r w:rsidRPr="005C3B55">
              <w:rPr>
                <w:noProof/>
                <w:szCs w:val="24"/>
              </w:rPr>
              <w:t xml:space="preserve"> </w:t>
            </w:r>
            <w:r w:rsidRPr="005C3B55">
              <w:rPr>
                <w:szCs w:val="24"/>
              </w:rPr>
              <w:t>In cases of investments over EUR 50,000 of total recognised value, the business plan has to be based on actual accounting data.</w:t>
            </w:r>
          </w:p>
          <w:p w:rsidR="00BD3B5F" w:rsidRPr="005C3B55" w:rsidRDefault="00BD3B5F">
            <w:pPr>
              <w:spacing w:before="240" w:after="240"/>
              <w:ind w:left="170"/>
              <w:jc w:val="left"/>
              <w:rPr>
                <w:noProof/>
                <w:szCs w:val="24"/>
              </w:rPr>
            </w:pPr>
            <w:r w:rsidRPr="005C3B55">
              <w:rPr>
                <w:noProof/>
                <w:szCs w:val="24"/>
              </w:rPr>
              <w:t xml:space="preserve">2. </w:t>
            </w:r>
            <w:r w:rsidRPr="005C3B55">
              <w:rPr>
                <w:szCs w:val="24"/>
              </w:rPr>
              <w:t>The beneficiary must have a permit to pursue the activity of processing or marketing agricultural products.</w:t>
            </w:r>
          </w:p>
          <w:p w:rsidR="00BD3B5F" w:rsidRPr="005C3B55" w:rsidRDefault="00BD3B5F">
            <w:pPr>
              <w:spacing w:before="240" w:after="240"/>
              <w:ind w:left="170"/>
              <w:jc w:val="left"/>
              <w:rPr>
                <w:noProof/>
                <w:szCs w:val="24"/>
              </w:rPr>
            </w:pPr>
            <w:r w:rsidRPr="005C3B55">
              <w:rPr>
                <w:noProof/>
                <w:szCs w:val="24"/>
              </w:rPr>
              <w:t xml:space="preserve">3. </w:t>
            </w:r>
            <w:r w:rsidRPr="005C3B55">
              <w:rPr>
                <w:szCs w:val="24"/>
              </w:rPr>
              <w:t>If the beneficiary is an agricultural holding, in the calendar year prior to the submission of the application to the public procurement, the agricultural holding must have produced sufficient income to enable its long-term viability.</w:t>
            </w:r>
            <w:r w:rsidRPr="005C3B55">
              <w:rPr>
                <w:noProof/>
                <w:szCs w:val="24"/>
              </w:rPr>
              <w:t xml:space="preserve"> </w:t>
            </w:r>
            <w:r w:rsidRPr="005C3B55">
              <w:rPr>
                <w:szCs w:val="24"/>
              </w:rPr>
              <w:t>A sufficient income is income in the amount of one gross minimum salary per employee in the Republic of Slovenia in the year prior to the year of publishing the public procurement per unit of input.</w:t>
            </w:r>
            <w:r w:rsidRPr="005C3B55">
              <w:rPr>
                <w:noProof/>
                <w:szCs w:val="24"/>
              </w:rPr>
              <w:t xml:space="preserve"> </w:t>
            </w:r>
            <w:r w:rsidRPr="005C3B55">
              <w:rPr>
                <w:szCs w:val="24"/>
              </w:rPr>
              <w:t>A unit of input is the amount of work a person in full-time fixed-term or permanent employment carries out in one year or one annual work unit, which is 1,800 hours per year (annual work unit).</w:t>
            </w:r>
          </w:p>
          <w:p w:rsidR="00BD3B5F" w:rsidRPr="005C3B55" w:rsidRDefault="00BD3B5F">
            <w:pPr>
              <w:spacing w:before="240" w:after="240"/>
              <w:ind w:left="170"/>
              <w:jc w:val="left"/>
              <w:rPr>
                <w:noProof/>
                <w:szCs w:val="24"/>
              </w:rPr>
            </w:pPr>
            <w:r w:rsidRPr="005C3B55">
              <w:rPr>
                <w:noProof/>
                <w:szCs w:val="24"/>
              </w:rPr>
              <w:t xml:space="preserve">4. </w:t>
            </w:r>
            <w:r w:rsidRPr="005C3B55">
              <w:rPr>
                <w:szCs w:val="24"/>
              </w:rPr>
              <w:t>A beneficiary deemed to be a large enterprise must present two calculation models pursuant to the regulations on state aid:</w:t>
            </w:r>
            <w:r w:rsidRPr="005C3B55">
              <w:rPr>
                <w:noProof/>
                <w:szCs w:val="24"/>
              </w:rPr>
              <w:t xml:space="preserve"> </w:t>
            </w:r>
            <w:r w:rsidRPr="005C3B55">
              <w:rPr>
                <w:szCs w:val="24"/>
              </w:rPr>
              <w:t>one which takes into account the aid acquired under this measure, and another which does not take this aid into account.</w:t>
            </w:r>
            <w:r w:rsidRPr="005C3B55">
              <w:rPr>
                <w:noProof/>
                <w:szCs w:val="24"/>
              </w:rPr>
              <w:t xml:space="preserve"> </w:t>
            </w:r>
            <w:r w:rsidRPr="005C3B55">
              <w:rPr>
                <w:szCs w:val="24"/>
              </w:rPr>
              <w:t>A comparison of the two calculations must show that the aid allocated will contribute to:</w:t>
            </w:r>
          </w:p>
          <w:p w:rsidR="00BD3B5F" w:rsidRPr="005C3B55" w:rsidRDefault="00BD3B5F" w:rsidP="00BD3B5F">
            <w:pPr>
              <w:numPr>
                <w:ilvl w:val="0"/>
                <w:numId w:val="189"/>
              </w:numPr>
              <w:spacing w:before="240" w:after="0"/>
              <w:ind w:hanging="290"/>
              <w:jc w:val="left"/>
              <w:rPr>
                <w:noProof/>
                <w:szCs w:val="24"/>
              </w:rPr>
            </w:pPr>
            <w:r w:rsidRPr="005C3B55">
              <w:rPr>
                <w:szCs w:val="24"/>
              </w:rPr>
              <w:t>actually increasing the size or scope of the investment in in-kind or cash form,</w:t>
            </w:r>
          </w:p>
          <w:p w:rsidR="00BD3B5F" w:rsidRPr="005C3B55" w:rsidRDefault="00BD3B5F" w:rsidP="00BD3B5F">
            <w:pPr>
              <w:numPr>
                <w:ilvl w:val="0"/>
                <w:numId w:val="189"/>
              </w:numPr>
              <w:spacing w:before="0" w:after="0"/>
              <w:ind w:hanging="290"/>
              <w:jc w:val="left"/>
              <w:rPr>
                <w:noProof/>
                <w:szCs w:val="24"/>
              </w:rPr>
            </w:pPr>
            <w:r w:rsidRPr="005C3B55">
              <w:rPr>
                <w:szCs w:val="24"/>
              </w:rPr>
              <w:t>shortening the actual time the beneficiary takes to complete the investment, or</w:t>
            </w:r>
          </w:p>
          <w:p w:rsidR="00BD3B5F" w:rsidRPr="005C3B55" w:rsidRDefault="00BD3B5F" w:rsidP="00BD3B5F">
            <w:pPr>
              <w:numPr>
                <w:ilvl w:val="0"/>
                <w:numId w:val="189"/>
              </w:numPr>
              <w:spacing w:before="0" w:after="240"/>
              <w:ind w:hanging="290"/>
              <w:jc w:val="left"/>
              <w:rPr>
                <w:noProof/>
                <w:szCs w:val="24"/>
              </w:rPr>
            </w:pPr>
            <w:r w:rsidRPr="005C3B55">
              <w:rPr>
                <w:szCs w:val="24"/>
              </w:rPr>
              <w:t>feasibility of the investment.</w:t>
            </w:r>
          </w:p>
          <w:p w:rsidR="00BD3B5F" w:rsidRPr="005C3B55" w:rsidRDefault="00BD3B5F">
            <w:pPr>
              <w:spacing w:before="240" w:after="240"/>
              <w:jc w:val="left"/>
              <w:rPr>
                <w:noProof/>
                <w:szCs w:val="24"/>
              </w:rPr>
            </w:pPr>
            <w:r w:rsidRPr="005C3B55">
              <w:rPr>
                <w:noProof/>
                <w:szCs w:val="24"/>
              </w:rPr>
              <w:t xml:space="preserve">5. </w:t>
            </w:r>
            <w:r w:rsidRPr="005C3B55">
              <w:rPr>
                <w:szCs w:val="24"/>
              </w:rPr>
              <w:t>An environmental impact assessment or a preliminary procedure must be made for every intervention in the environment in accordance with the regulation on interventions in the environment that require an environmental impact assessment.</w:t>
            </w:r>
            <w:r w:rsidRPr="005C3B55">
              <w:rPr>
                <w:noProof/>
                <w:szCs w:val="24"/>
              </w:rPr>
              <w:t xml:space="preserve"> </w:t>
            </w:r>
            <w:r w:rsidRPr="005C3B55">
              <w:rPr>
                <w:szCs w:val="24"/>
              </w:rPr>
              <w:t>A preliminary procedure for an environmental impact assessment must be implemented before an application for support is submitted.</w:t>
            </w:r>
            <w:r w:rsidRPr="005C3B55">
              <w:rPr>
                <w:noProof/>
                <w:szCs w:val="24"/>
              </w:rPr>
              <w:t xml:space="preserve"> </w:t>
            </w:r>
            <w:r w:rsidRPr="005C3B55">
              <w:rPr>
                <w:szCs w:val="24"/>
              </w:rPr>
              <w:t>If it is established in the preliminary procedure that the intervention could have a significant environmental impact, it is necessary to acquire an environmental impact assessment for the intervention, which includes an assessment of the acceptability of the impact on Natura 2000 sites, which is concluded with the issuing of an environment protection consent.</w:t>
            </w:r>
            <w:r w:rsidRPr="005C3B55">
              <w:rPr>
                <w:noProof/>
                <w:szCs w:val="24"/>
              </w:rPr>
              <w:t xml:space="preserve"> </w:t>
            </w:r>
            <w:r w:rsidRPr="005C3B55">
              <w:rPr>
                <w:szCs w:val="24"/>
              </w:rPr>
              <w:t>The requirements referred to in Article 6 of Directive 92/43/EEC are also implemented in this process.</w:t>
            </w:r>
          </w:p>
          <w:p w:rsidR="00BD3B5F" w:rsidRPr="005C3B55" w:rsidRDefault="00BD3B5F">
            <w:pPr>
              <w:spacing w:before="240" w:after="240"/>
              <w:jc w:val="left"/>
              <w:rPr>
                <w:noProof/>
                <w:szCs w:val="24"/>
              </w:rPr>
            </w:pPr>
            <w:r w:rsidRPr="005C3B55">
              <w:rPr>
                <w:noProof/>
                <w:szCs w:val="24"/>
              </w:rPr>
              <w:t xml:space="preserve"> 6. </w:t>
            </w:r>
            <w:r w:rsidRPr="005C3B55">
              <w:rPr>
                <w:szCs w:val="24"/>
              </w:rPr>
              <w:t>The conditions relating to obtaining renewable energy sources and energy efficiency are defined in the chapter determining ‘Other important notes that contribute to understanding and implementing the measure’.</w:t>
            </w:r>
          </w:p>
          <w:p w:rsidR="00BD3B5F" w:rsidRPr="005C3B55" w:rsidRDefault="00BD3B5F">
            <w:pPr>
              <w:pStyle w:val="Telobesedila"/>
              <w:rPr>
                <w:szCs w:val="24"/>
              </w:rPr>
            </w:pPr>
          </w:p>
        </w:tc>
      </w:tr>
    </w:tbl>
    <w:p w:rsidR="00BD3B5F" w:rsidRPr="005C3B55" w:rsidRDefault="00BD3B5F">
      <w:pPr>
        <w:pStyle w:val="Naslov6"/>
        <w:tabs>
          <w:tab w:val="clear" w:pos="765"/>
        </w:tabs>
        <w:ind w:left="0" w:firstLine="0"/>
        <w:rPr>
          <w:szCs w:val="24"/>
          <w:lang w:val="en-GB"/>
        </w:rPr>
      </w:pPr>
      <w:r w:rsidRPr="005C3B55">
        <w:rPr>
          <w:noProof w:val="0"/>
          <w:szCs w:val="24"/>
          <w:lang w:val="en-GB"/>
        </w:rPr>
        <w:t>Principles regarding the determination of selection criteria</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The sub-measure will be implemented as a closed public tender.</w:t>
            </w:r>
          </w:p>
          <w:p w:rsidR="00BD3B5F" w:rsidRPr="005C3B55" w:rsidRDefault="00BD3B5F">
            <w:pPr>
              <w:spacing w:before="240" w:after="240"/>
              <w:jc w:val="left"/>
              <w:rPr>
                <w:noProof/>
                <w:szCs w:val="24"/>
              </w:rPr>
            </w:pPr>
            <w:r w:rsidRPr="005C3B55">
              <w:rPr>
                <w:szCs w:val="24"/>
              </w:rPr>
              <w:t>Selected projects whose applications are complete and adequate in terms of content and which meet the conditions for receiving funds and exceed the threshold number of points determined in the public tender will be eligible for support.</w:t>
            </w:r>
            <w:r w:rsidRPr="005C3B55">
              <w:rPr>
                <w:noProof/>
                <w:szCs w:val="24"/>
              </w:rPr>
              <w:t xml:space="preserve"> </w:t>
            </w:r>
            <w:r w:rsidRPr="005C3B55">
              <w:rPr>
                <w:szCs w:val="24"/>
              </w:rPr>
              <w:t>Applications which score a higher number of points will be selected from among applications that exceed the threshold number of points until the funds available in the public tender are distributed.</w:t>
            </w:r>
            <w:r w:rsidRPr="005C3B55">
              <w:rPr>
                <w:noProof/>
                <w:szCs w:val="24"/>
              </w:rPr>
              <w:t xml:space="preserve"> </w:t>
            </w:r>
            <w:r w:rsidRPr="005C3B55">
              <w:rPr>
                <w:szCs w:val="24"/>
              </w:rPr>
              <w:t>As part of the selection criteria, most emphasis will be on the economic aspect of the investment (for example, internal rate of return), the contribution of the investment to the horizontal objectives, the inclusion of investments in the EIP’s operational groups and orientation of investments in certain sectors (fruit, vegetable, cereals, pork).</w:t>
            </w:r>
          </w:p>
          <w:p w:rsidR="00BD3B5F" w:rsidRPr="005C3B55" w:rsidRDefault="00BD3B5F">
            <w:pPr>
              <w:spacing w:before="240" w:after="240"/>
              <w:jc w:val="left"/>
              <w:rPr>
                <w:noProof/>
                <w:szCs w:val="24"/>
              </w:rPr>
            </w:pPr>
            <w:r w:rsidRPr="005C3B55">
              <w:rPr>
                <w:noProof/>
                <w:szCs w:val="24"/>
              </w:rPr>
              <w:t> </w:t>
            </w:r>
          </w:p>
          <w:p w:rsidR="00BD3B5F" w:rsidRPr="005C3B55" w:rsidRDefault="00BD3B5F">
            <w:pPr>
              <w:pStyle w:val="Telobesedila"/>
              <w:rPr>
                <w:szCs w:val="24"/>
              </w:rPr>
            </w:pPr>
          </w:p>
        </w:tc>
      </w:tr>
    </w:tbl>
    <w:p w:rsidR="00BD3B5F" w:rsidRPr="005C3B55" w:rsidRDefault="00BD3B5F">
      <w:pPr>
        <w:pStyle w:val="Naslov6"/>
        <w:tabs>
          <w:tab w:val="clear" w:pos="765"/>
        </w:tabs>
        <w:ind w:left="0" w:firstLine="0"/>
        <w:rPr>
          <w:szCs w:val="24"/>
          <w:lang w:val="en-GB"/>
        </w:rPr>
      </w:pPr>
      <w:r w:rsidRPr="005C3B55">
        <w:rPr>
          <w:noProof w:val="0"/>
          <w:szCs w:val="24"/>
          <w:lang w:val="en-GB"/>
        </w:rPr>
        <w:t>(Valid) amounts and support rates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noProof/>
                <w:szCs w:val="24"/>
              </w:rPr>
              <w:t xml:space="preserve">1. </w:t>
            </w:r>
            <w:r w:rsidRPr="005C3B55">
              <w:rPr>
                <w:szCs w:val="24"/>
              </w:rPr>
              <w:t>Non-refundable aid</w:t>
            </w:r>
          </w:p>
          <w:p w:rsidR="00BD3B5F" w:rsidRPr="005C3B55" w:rsidRDefault="00BD3B5F">
            <w:pPr>
              <w:spacing w:before="240" w:after="240"/>
              <w:jc w:val="left"/>
              <w:rPr>
                <w:noProof/>
                <w:szCs w:val="24"/>
              </w:rPr>
            </w:pPr>
            <w:r w:rsidRPr="005C3B55">
              <w:rPr>
                <w:szCs w:val="24"/>
              </w:rPr>
              <w:t>The public support rate is 30% of the value of eligible costs of the investment and is increased by:</w:t>
            </w:r>
          </w:p>
          <w:p w:rsidR="00BD3B5F" w:rsidRPr="005C3B55" w:rsidRDefault="00BD3B5F" w:rsidP="00BD3B5F">
            <w:pPr>
              <w:numPr>
                <w:ilvl w:val="0"/>
                <w:numId w:val="190"/>
              </w:numPr>
              <w:spacing w:before="240" w:after="0"/>
              <w:ind w:hanging="290"/>
              <w:jc w:val="left"/>
              <w:rPr>
                <w:noProof/>
                <w:szCs w:val="24"/>
              </w:rPr>
            </w:pPr>
            <w:r w:rsidRPr="005C3B55">
              <w:rPr>
                <w:szCs w:val="24"/>
              </w:rPr>
              <w:t>5 percentage points for investments in processing or marketing organically-produced agricultural products;</w:t>
            </w:r>
          </w:p>
          <w:p w:rsidR="00BD3B5F" w:rsidRPr="005C3B55" w:rsidRDefault="00BD3B5F" w:rsidP="00BD3B5F">
            <w:pPr>
              <w:numPr>
                <w:ilvl w:val="0"/>
                <w:numId w:val="190"/>
              </w:numPr>
              <w:spacing w:before="0" w:after="0"/>
              <w:ind w:hanging="290"/>
              <w:jc w:val="left"/>
              <w:rPr>
                <w:noProof/>
                <w:szCs w:val="24"/>
              </w:rPr>
            </w:pPr>
            <w:r w:rsidRPr="005C3B55">
              <w:rPr>
                <w:szCs w:val="24"/>
              </w:rPr>
              <w:t>5 percentage points for investments in enhancing environmental efficiency and</w:t>
            </w:r>
          </w:p>
          <w:p w:rsidR="00BD3B5F" w:rsidRPr="005C3B55" w:rsidRDefault="00BD3B5F" w:rsidP="00BD3B5F">
            <w:pPr>
              <w:numPr>
                <w:ilvl w:val="0"/>
                <w:numId w:val="190"/>
              </w:numPr>
              <w:spacing w:before="0" w:after="240"/>
              <w:ind w:hanging="290"/>
              <w:jc w:val="left"/>
              <w:rPr>
                <w:noProof/>
                <w:szCs w:val="24"/>
              </w:rPr>
            </w:pPr>
            <w:r w:rsidRPr="005C3B55">
              <w:rPr>
                <w:szCs w:val="24"/>
              </w:rPr>
              <w:t>15 percentage points for activities receiving support within the EIP in the field of agricultural productivity and sustainability.</w:t>
            </w:r>
          </w:p>
          <w:p w:rsidR="00BD3B5F" w:rsidRPr="005C3B55" w:rsidRDefault="00BD3B5F">
            <w:pPr>
              <w:spacing w:before="240" w:after="240"/>
              <w:jc w:val="left"/>
              <w:rPr>
                <w:noProof/>
                <w:szCs w:val="24"/>
              </w:rPr>
            </w:pPr>
            <w:r w:rsidRPr="005C3B55">
              <w:rPr>
                <w:szCs w:val="24"/>
              </w:rPr>
              <w:t>The support rates may be added together, but may not exceed 50% of eligible costs of the investment.</w:t>
            </w:r>
          </w:p>
          <w:p w:rsidR="00BD3B5F" w:rsidRPr="005C3B55" w:rsidRDefault="00BD3B5F">
            <w:pPr>
              <w:spacing w:before="240" w:after="240"/>
              <w:jc w:val="left"/>
              <w:rPr>
                <w:noProof/>
                <w:szCs w:val="24"/>
              </w:rPr>
            </w:pPr>
            <w:r w:rsidRPr="005C3B55">
              <w:rPr>
                <w:szCs w:val="24"/>
              </w:rPr>
              <w:t>The rules on state aid are observed when determining the support rate.</w:t>
            </w:r>
          </w:p>
          <w:p w:rsidR="00BD3B5F" w:rsidRPr="005C3B55" w:rsidRDefault="00BD3B5F">
            <w:pPr>
              <w:spacing w:before="0" w:after="0"/>
              <w:jc w:val="left"/>
              <w:rPr>
                <w:noProof/>
                <w:szCs w:val="24"/>
              </w:rPr>
            </w:pPr>
            <w:r w:rsidRPr="005C3B55">
              <w:rPr>
                <w:szCs w:val="24"/>
              </w:rPr>
              <w:t>The lowest amount of public support per application is EUR 5,000.</w:t>
            </w:r>
            <w:r w:rsidRPr="005C3B55">
              <w:rPr>
                <w:noProof/>
                <w:szCs w:val="24"/>
              </w:rPr>
              <w:t xml:space="preserve"> </w:t>
            </w:r>
            <w:r w:rsidRPr="005C3B55">
              <w:rPr>
                <w:szCs w:val="24"/>
              </w:rPr>
              <w:t>In the entire 2014–2020 programming period, beneficiaries which are agricultural holdings and micro-enterprises may acquire up to EUR 1,000,000 of public support under this sub-measure.</w:t>
            </w:r>
            <w:r w:rsidRPr="005C3B55">
              <w:rPr>
                <w:noProof/>
                <w:szCs w:val="24"/>
              </w:rPr>
              <w:t xml:space="preserve"> </w:t>
            </w:r>
            <w:r w:rsidRPr="005C3B55">
              <w:rPr>
                <w:szCs w:val="24"/>
              </w:rPr>
              <w:t>In the entire 2014–2020 programming period, beneficiaries which are small, medium-sized or large enterprises may acquire up to EUR 3,000,000 of public support under this sub-measure.</w:t>
            </w:r>
          </w:p>
          <w:p w:rsidR="00BD3B5F" w:rsidRPr="005C3B55" w:rsidRDefault="00BD3B5F">
            <w:pPr>
              <w:spacing w:before="240" w:after="240"/>
              <w:jc w:val="left"/>
              <w:rPr>
                <w:noProof/>
                <w:szCs w:val="24"/>
              </w:rPr>
            </w:pPr>
            <w:r w:rsidRPr="005C3B55">
              <w:rPr>
                <w:noProof/>
                <w:szCs w:val="24"/>
              </w:rPr>
              <w:t xml:space="preserve">2. </w:t>
            </w:r>
            <w:r w:rsidRPr="005C3B55">
              <w:rPr>
                <w:szCs w:val="24"/>
              </w:rPr>
              <w:t>Refundable aid in the form of financial instruments</w:t>
            </w:r>
          </w:p>
          <w:p w:rsidR="00BD3B5F" w:rsidRPr="005C3B55" w:rsidRDefault="00BD3B5F">
            <w:pPr>
              <w:spacing w:before="240" w:after="240"/>
              <w:jc w:val="left"/>
              <w:rPr>
                <w:noProof/>
                <w:szCs w:val="24"/>
              </w:rPr>
            </w:pPr>
            <w:r w:rsidRPr="005C3B55">
              <w:rPr>
                <w:szCs w:val="24"/>
              </w:rPr>
              <w:t>The forms of financial instruments through which funds are allocated within this sub-measure will be defined after the preparation of the ex-ante assessment.</w:t>
            </w:r>
            <w:r w:rsidRPr="005C3B55">
              <w:rPr>
                <w:noProof/>
                <w:szCs w:val="24"/>
              </w:rPr>
              <w:t xml:space="preserve"> </w:t>
            </w:r>
            <w:r w:rsidRPr="005C3B55">
              <w:rPr>
                <w:szCs w:val="24"/>
              </w:rPr>
              <w:t>The amendment to the RDP 2014-2020 will be prepared in accordance with the ex-ante assessment.</w:t>
            </w:r>
          </w:p>
          <w:p w:rsidR="00BD3B5F" w:rsidRPr="005C3B55" w:rsidRDefault="00BD3B5F">
            <w:pPr>
              <w:spacing w:before="240" w:after="240"/>
              <w:jc w:val="left"/>
              <w:rPr>
                <w:noProof/>
                <w:szCs w:val="24"/>
              </w:rPr>
            </w:pPr>
            <w:r w:rsidRPr="005C3B55">
              <w:rPr>
                <w:szCs w:val="24"/>
              </w:rPr>
              <w:t>The rules on state aid are observed when determining the support rate.</w:t>
            </w:r>
          </w:p>
          <w:p w:rsidR="00BD3B5F" w:rsidRPr="005C3B55" w:rsidRDefault="00BD3B5F">
            <w:pPr>
              <w:spacing w:before="240" w:after="240"/>
              <w:jc w:val="left"/>
              <w:rPr>
                <w:noProof/>
                <w:szCs w:val="24"/>
              </w:rPr>
            </w:pPr>
            <w:r w:rsidRPr="005C3B55">
              <w:rPr>
                <w:szCs w:val="24"/>
              </w:rPr>
              <w:t>More detailed provisions will be determined in the national regulation.</w:t>
            </w:r>
          </w:p>
          <w:p w:rsidR="00BD3B5F" w:rsidRPr="005C3B55" w:rsidRDefault="00BD3B5F">
            <w:pPr>
              <w:spacing w:before="240" w:after="240"/>
              <w:jc w:val="left"/>
              <w:rPr>
                <w:noProof/>
                <w:szCs w:val="24"/>
              </w:rPr>
            </w:pPr>
            <w:r w:rsidRPr="005C3B55">
              <w:rPr>
                <w:szCs w:val="24"/>
              </w:rPr>
              <w:t>3. The beneficiaries to support in investments may in accordance with point 4 of Article 45 of Regulation (EU) No 1305/2013 request for advance payment at the Paying Agency after the issue of the decision on the entitlement to funds in the amount of 30% of the public support.</w:t>
            </w:r>
          </w:p>
          <w:p w:rsidR="00BD3B5F" w:rsidRPr="005C3B55" w:rsidRDefault="00BD3B5F">
            <w:pPr>
              <w:pStyle w:val="Telobesedila"/>
              <w:rPr>
                <w:szCs w:val="24"/>
              </w:rPr>
            </w:pPr>
          </w:p>
        </w:tc>
      </w:tr>
    </w:tbl>
    <w:p w:rsidR="00BD3B5F" w:rsidRPr="005C3B55" w:rsidRDefault="00BD3B5F">
      <w:pPr>
        <w:pStyle w:val="Naslov6"/>
        <w:tabs>
          <w:tab w:val="clear" w:pos="765"/>
        </w:tabs>
        <w:ind w:left="0" w:firstLine="0"/>
        <w:rPr>
          <w:szCs w:val="24"/>
          <w:lang w:val="en-GB"/>
        </w:rPr>
      </w:pPr>
      <w:r w:rsidRPr="005C3B55">
        <w:rPr>
          <w:noProof w:val="0"/>
          <w:szCs w:val="24"/>
          <w:lang w:val="en-GB"/>
        </w:rPr>
        <w:t>Verifiability and possibility of control of measures and/or type of operations</w:t>
      </w:r>
    </w:p>
    <w:p w:rsidR="00BD3B5F" w:rsidRPr="005C3B55" w:rsidRDefault="00BD3B5F">
      <w:pPr>
        <w:pStyle w:val="Naslov7"/>
        <w:tabs>
          <w:tab w:val="clear" w:pos="765"/>
        </w:tabs>
        <w:ind w:left="0" w:firstLine="0"/>
        <w:rPr>
          <w:szCs w:val="24"/>
          <w:lang w:val="en-GB"/>
        </w:rPr>
      </w:pPr>
      <w:r w:rsidRPr="005C3B55">
        <w:rPr>
          <w:noProof w:val="0"/>
          <w:szCs w:val="24"/>
          <w:lang w:val="en-GB"/>
        </w:rPr>
        <w:t>Risks in the implementation of the measure</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b/>
                <w:noProof/>
                <w:szCs w:val="24"/>
              </w:rPr>
              <w:t xml:space="preserve">R1: </w:t>
            </w:r>
            <w:r w:rsidRPr="005C3B55">
              <w:rPr>
                <w:b/>
                <w:szCs w:val="24"/>
              </w:rPr>
              <w:t>Application conditions for private beneficiaries</w:t>
            </w:r>
          </w:p>
          <w:p w:rsidR="00BD3B5F" w:rsidRPr="005C3B55" w:rsidRDefault="00BD3B5F">
            <w:pPr>
              <w:spacing w:before="240" w:after="240"/>
              <w:jc w:val="left"/>
              <w:rPr>
                <w:noProof/>
                <w:szCs w:val="24"/>
              </w:rPr>
            </w:pPr>
            <w:r w:rsidRPr="005C3B55">
              <w:rPr>
                <w:szCs w:val="24"/>
              </w:rPr>
              <w:t>The implementation procedure is based on regulations regulating general administrative procedures.</w:t>
            </w:r>
            <w:r w:rsidRPr="005C3B55">
              <w:rPr>
                <w:noProof/>
                <w:szCs w:val="24"/>
              </w:rPr>
              <w:t xml:space="preserve"> </w:t>
            </w:r>
            <w:r w:rsidRPr="005C3B55">
              <w:rPr>
                <w:szCs w:val="24"/>
              </w:rPr>
              <w:t>Selection procedures may be lengthy (they may take more than six months) due to the statutory deadlines.</w:t>
            </w:r>
            <w:r w:rsidRPr="005C3B55">
              <w:rPr>
                <w:noProof/>
                <w:szCs w:val="24"/>
              </w:rPr>
              <w:t xml:space="preserve"> </w:t>
            </w:r>
            <w:r w:rsidRPr="005C3B55">
              <w:rPr>
                <w:szCs w:val="24"/>
              </w:rPr>
              <w:t>During this period, conditions in the market may change significantly, which raises doubts regarding the implementation of already approved projects.</w:t>
            </w:r>
          </w:p>
          <w:p w:rsidR="00BD3B5F" w:rsidRPr="005C3B55" w:rsidRDefault="00BD3B5F">
            <w:pPr>
              <w:spacing w:before="240" w:after="240"/>
              <w:jc w:val="left"/>
              <w:rPr>
                <w:noProof/>
                <w:szCs w:val="24"/>
              </w:rPr>
            </w:pPr>
            <w:r w:rsidRPr="005C3B55">
              <w:rPr>
                <w:b/>
                <w:noProof/>
                <w:szCs w:val="24"/>
              </w:rPr>
              <w:t xml:space="preserve">R2: </w:t>
            </w:r>
            <w:r w:rsidRPr="005C3B55">
              <w:rPr>
                <w:b/>
                <w:szCs w:val="24"/>
              </w:rPr>
              <w:t>Reasonableness of costs</w:t>
            </w:r>
          </w:p>
          <w:p w:rsidR="00BD3B5F" w:rsidRPr="005C3B55" w:rsidRDefault="00BD3B5F">
            <w:pPr>
              <w:spacing w:before="240" w:after="240"/>
              <w:jc w:val="left"/>
              <w:rPr>
                <w:noProof/>
                <w:szCs w:val="24"/>
              </w:rPr>
            </w:pPr>
            <w:r w:rsidRPr="005C3B55">
              <w:rPr>
                <w:szCs w:val="24"/>
              </w:rPr>
              <w:t>In the implementation of investments, significant price fluctuations for the same or similar costs occur in the market,</w:t>
            </w:r>
            <w:r w:rsidRPr="005C3B55">
              <w:rPr>
                <w:noProof/>
                <w:szCs w:val="24"/>
              </w:rPr>
              <w:t xml:space="preserve"> </w:t>
            </w:r>
            <w:r w:rsidRPr="005C3B55">
              <w:rPr>
                <w:szCs w:val="24"/>
              </w:rPr>
              <w:t>There are not many providers of technologically demanding equipment.</w:t>
            </w:r>
          </w:p>
          <w:p w:rsidR="00BD3B5F" w:rsidRPr="005C3B55" w:rsidRDefault="00BD3B5F">
            <w:pPr>
              <w:spacing w:before="240" w:after="240"/>
              <w:jc w:val="left"/>
              <w:rPr>
                <w:noProof/>
                <w:szCs w:val="24"/>
              </w:rPr>
            </w:pPr>
            <w:r w:rsidRPr="005C3B55">
              <w:rPr>
                <w:b/>
                <w:noProof/>
                <w:szCs w:val="24"/>
              </w:rPr>
              <w:t xml:space="preserve">R3: </w:t>
            </w:r>
            <w:r w:rsidRPr="005C3B55">
              <w:rPr>
                <w:b/>
                <w:szCs w:val="24"/>
              </w:rPr>
              <w:t>Suitable overview and control system</w:t>
            </w:r>
          </w:p>
          <w:p w:rsidR="00BD3B5F" w:rsidRPr="005C3B55" w:rsidRDefault="00BD3B5F">
            <w:pPr>
              <w:spacing w:before="240" w:after="240"/>
              <w:jc w:val="left"/>
              <w:rPr>
                <w:noProof/>
                <w:szCs w:val="24"/>
              </w:rPr>
            </w:pPr>
            <w:r w:rsidRPr="005C3B55">
              <w:rPr>
                <w:szCs w:val="24"/>
              </w:rPr>
              <w:t>The greatest problem is the inadequate connection between databases in the public administration.</w:t>
            </w:r>
            <w:r w:rsidRPr="005C3B55">
              <w:rPr>
                <w:noProof/>
                <w:szCs w:val="24"/>
              </w:rPr>
              <w:t xml:space="preserve"> </w:t>
            </w:r>
            <w:r w:rsidRPr="005C3B55">
              <w:rPr>
                <w:szCs w:val="24"/>
              </w:rPr>
              <w:t>This can result in an increased risk of dual co-funding of the same eligible costs.</w:t>
            </w:r>
          </w:p>
          <w:p w:rsidR="00BD3B5F" w:rsidRPr="005C3B55" w:rsidRDefault="00BD3B5F">
            <w:pPr>
              <w:spacing w:before="240" w:after="240"/>
              <w:jc w:val="left"/>
              <w:rPr>
                <w:noProof/>
                <w:szCs w:val="24"/>
              </w:rPr>
            </w:pPr>
            <w:r w:rsidRPr="005C3B55">
              <w:rPr>
                <w:b/>
                <w:noProof/>
                <w:szCs w:val="24"/>
              </w:rPr>
              <w:t xml:space="preserve">R7: </w:t>
            </w:r>
            <w:r w:rsidRPr="005C3B55">
              <w:rPr>
                <w:b/>
                <w:szCs w:val="24"/>
              </w:rPr>
              <w:t>Selection of beneficiaries</w:t>
            </w:r>
          </w:p>
          <w:p w:rsidR="00BD3B5F" w:rsidRPr="005C3B55" w:rsidRDefault="00BD3B5F">
            <w:pPr>
              <w:spacing w:before="240" w:after="240"/>
              <w:jc w:val="left"/>
              <w:rPr>
                <w:noProof/>
                <w:szCs w:val="24"/>
              </w:rPr>
            </w:pPr>
            <w:r w:rsidRPr="005C3B55">
              <w:rPr>
                <w:szCs w:val="24"/>
              </w:rPr>
              <w:t>There is a risk that the public tender will fail to capture the target group, as defined in the objectives, which requires aid the most.</w:t>
            </w:r>
            <w:r w:rsidRPr="005C3B55">
              <w:rPr>
                <w:noProof/>
                <w:szCs w:val="24"/>
              </w:rPr>
              <w:t xml:space="preserve"> </w:t>
            </w:r>
            <w:r w:rsidRPr="005C3B55">
              <w:rPr>
                <w:szCs w:val="24"/>
              </w:rPr>
              <w:t>There were several occurrences in the preceding programming period when the funds requested exceeded by several times the funds available.</w:t>
            </w:r>
            <w:r w:rsidRPr="005C3B55">
              <w:rPr>
                <w:noProof/>
                <w:szCs w:val="24"/>
              </w:rPr>
              <w:t xml:space="preserve"> </w:t>
            </w:r>
            <w:r w:rsidRPr="005C3B55">
              <w:rPr>
                <w:szCs w:val="24"/>
              </w:rPr>
              <w:t>There is also a risk that, in spite of the large share of approved applications, the allocated funds will not be used.</w:t>
            </w:r>
            <w:r w:rsidRPr="005C3B55">
              <w:rPr>
                <w:noProof/>
                <w:szCs w:val="24"/>
              </w:rPr>
              <w:t xml:space="preserve"> </w:t>
            </w:r>
            <w:r w:rsidRPr="005C3B55">
              <w:rPr>
                <w:szCs w:val="24"/>
              </w:rPr>
              <w:t>If the economic aspect is over-emphasised, discrimination of beneficiaries may occur, because vulnerable groups do not generate enough profit or the business environment is not very favourable for them.</w:t>
            </w:r>
          </w:p>
          <w:p w:rsidR="00BD3B5F" w:rsidRPr="005C3B55" w:rsidRDefault="00BD3B5F">
            <w:pPr>
              <w:spacing w:before="240" w:after="240"/>
              <w:jc w:val="left"/>
              <w:rPr>
                <w:noProof/>
                <w:szCs w:val="24"/>
              </w:rPr>
            </w:pPr>
            <w:r w:rsidRPr="005C3B55">
              <w:rPr>
                <w:b/>
                <w:noProof/>
                <w:szCs w:val="24"/>
              </w:rPr>
              <w:t xml:space="preserve">R8: </w:t>
            </w:r>
            <w:r w:rsidRPr="005C3B55">
              <w:rPr>
                <w:b/>
                <w:szCs w:val="24"/>
              </w:rPr>
              <w:t>IT systems</w:t>
            </w:r>
          </w:p>
          <w:p w:rsidR="00BD3B5F" w:rsidRPr="005C3B55" w:rsidRDefault="00BD3B5F">
            <w:pPr>
              <w:spacing w:before="240" w:after="240"/>
              <w:jc w:val="left"/>
              <w:rPr>
                <w:noProof/>
                <w:szCs w:val="24"/>
              </w:rPr>
            </w:pPr>
            <w:r w:rsidRPr="005C3B55">
              <w:rPr>
                <w:szCs w:val="24"/>
              </w:rPr>
              <w:t>There is a risk of an IT system that is inadequate for the submission of applications to the public procurement and requests for payment, and which is not advanced and does not provide sufficient support.</w:t>
            </w:r>
            <w:r w:rsidRPr="005C3B55">
              <w:rPr>
                <w:noProof/>
                <w:szCs w:val="24"/>
              </w:rPr>
              <w:t xml:space="preserve"> </w:t>
            </w:r>
            <w:r w:rsidRPr="005C3B55">
              <w:rPr>
                <w:szCs w:val="24"/>
              </w:rPr>
              <w:t>There is also a risk that potential beneficiaries will not be skilled at using this system and that the system will not function optimally.</w:t>
            </w:r>
          </w:p>
          <w:p w:rsidR="00BD3B5F" w:rsidRPr="005C3B55" w:rsidRDefault="00BD3B5F">
            <w:pPr>
              <w:spacing w:before="240" w:after="240"/>
              <w:jc w:val="left"/>
              <w:rPr>
                <w:noProof/>
                <w:szCs w:val="24"/>
              </w:rPr>
            </w:pPr>
            <w:r w:rsidRPr="005C3B55">
              <w:rPr>
                <w:b/>
                <w:noProof/>
                <w:szCs w:val="24"/>
              </w:rPr>
              <w:t xml:space="preserve">R9: </w:t>
            </w:r>
            <w:r w:rsidRPr="005C3B55">
              <w:rPr>
                <w:b/>
                <w:szCs w:val="24"/>
              </w:rPr>
              <w:t>Requests for payment</w:t>
            </w:r>
          </w:p>
          <w:p w:rsidR="00BD3B5F" w:rsidRPr="005C3B55" w:rsidRDefault="00BD3B5F">
            <w:pPr>
              <w:spacing w:before="240" w:after="240"/>
              <w:jc w:val="left"/>
              <w:rPr>
                <w:noProof/>
                <w:szCs w:val="24"/>
              </w:rPr>
            </w:pPr>
            <w:r w:rsidRPr="005C3B55">
              <w:rPr>
                <w:szCs w:val="24"/>
              </w:rPr>
              <w:t>A request for the payment of funds is honoured within 30 days following the submission of a complete request for payment.</w:t>
            </w:r>
            <w:r w:rsidRPr="005C3B55">
              <w:rPr>
                <w:noProof/>
                <w:szCs w:val="24"/>
              </w:rPr>
              <w:t xml:space="preserve"> </w:t>
            </w:r>
            <w:r w:rsidRPr="005C3B55">
              <w:rPr>
                <w:szCs w:val="24"/>
              </w:rPr>
              <w:t>There are no delays in this part.</w:t>
            </w:r>
            <w:r w:rsidRPr="005C3B55">
              <w:rPr>
                <w:noProof/>
                <w:szCs w:val="24"/>
              </w:rPr>
              <w:t xml:space="preserve"> </w:t>
            </w:r>
            <w:r w:rsidRPr="005C3B55">
              <w:rPr>
                <w:szCs w:val="24"/>
              </w:rPr>
              <w:t>The greatest risk arises in the processing of requests for payment.</w:t>
            </w:r>
            <w:r w:rsidRPr="005C3B55">
              <w:rPr>
                <w:noProof/>
                <w:szCs w:val="24"/>
              </w:rPr>
              <w:t xml:space="preserve"> </w:t>
            </w:r>
            <w:r w:rsidRPr="005C3B55">
              <w:rPr>
                <w:szCs w:val="24"/>
              </w:rPr>
              <w:t>Due to unprofessional preparation, the procedure for processing may take several months.</w:t>
            </w:r>
            <w:r w:rsidRPr="005C3B55">
              <w:rPr>
                <w:noProof/>
                <w:szCs w:val="24"/>
              </w:rPr>
              <w:t xml:space="preserve"> </w:t>
            </w:r>
            <w:r w:rsidRPr="005C3B55">
              <w:rPr>
                <w:szCs w:val="24"/>
              </w:rPr>
              <w:t>The main reason is the lack of information for beneficiaries and individuals preparing applications.</w:t>
            </w:r>
          </w:p>
          <w:p w:rsidR="00BD3B5F" w:rsidRPr="005C3B55" w:rsidRDefault="00BD3B5F">
            <w:pPr>
              <w:pStyle w:val="Telobesedila"/>
              <w:rPr>
                <w:szCs w:val="24"/>
              </w:rPr>
            </w:pPr>
          </w:p>
        </w:tc>
      </w:tr>
    </w:tbl>
    <w:p w:rsidR="00BD3B5F" w:rsidRPr="005C3B55" w:rsidRDefault="00BD3B5F">
      <w:pPr>
        <w:pStyle w:val="Naslov7"/>
        <w:tabs>
          <w:tab w:val="clear" w:pos="765"/>
        </w:tabs>
        <w:ind w:left="0" w:firstLine="0"/>
        <w:rPr>
          <w:szCs w:val="24"/>
          <w:lang w:val="en-GB"/>
        </w:rPr>
      </w:pPr>
      <w:r w:rsidRPr="005C3B55">
        <w:rPr>
          <w:noProof w:val="0"/>
          <w:szCs w:val="24"/>
          <w:lang w:val="en-GB"/>
        </w:rPr>
        <w:t>Mitigation measures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Considering the risks recorded, the following are measures for their mitigation:</w:t>
            </w:r>
          </w:p>
          <w:p w:rsidR="00BD3B5F" w:rsidRPr="005C3B55" w:rsidRDefault="00BD3B5F">
            <w:pPr>
              <w:spacing w:before="240" w:after="240"/>
              <w:jc w:val="left"/>
              <w:rPr>
                <w:noProof/>
                <w:szCs w:val="24"/>
              </w:rPr>
            </w:pPr>
            <w:r w:rsidRPr="005C3B55">
              <w:rPr>
                <w:b/>
                <w:noProof/>
                <w:szCs w:val="24"/>
              </w:rPr>
              <w:t xml:space="preserve">R1: </w:t>
            </w:r>
            <w:r w:rsidRPr="005C3B55">
              <w:rPr>
                <w:b/>
                <w:szCs w:val="24"/>
              </w:rPr>
              <w:t>Application conditions for private beneficiaries</w:t>
            </w:r>
          </w:p>
          <w:p w:rsidR="00BD3B5F" w:rsidRPr="005C3B55" w:rsidRDefault="00BD3B5F">
            <w:pPr>
              <w:spacing w:before="240" w:after="240"/>
              <w:jc w:val="left"/>
              <w:rPr>
                <w:noProof/>
                <w:szCs w:val="24"/>
              </w:rPr>
            </w:pPr>
            <w:r w:rsidRPr="005C3B55">
              <w:rPr>
                <w:szCs w:val="24"/>
              </w:rPr>
              <w:t>The duration of administrative procedures cannot be influenced.</w:t>
            </w:r>
            <w:r w:rsidRPr="005C3B55">
              <w:rPr>
                <w:noProof/>
                <w:szCs w:val="24"/>
              </w:rPr>
              <w:t xml:space="preserve"> </w:t>
            </w:r>
            <w:r w:rsidRPr="005C3B55">
              <w:rPr>
                <w:szCs w:val="24"/>
              </w:rPr>
              <w:t>However, the dissemination of information to potential beneficiaries on the measures and selection procedures of beneficiaries will be improved.</w:t>
            </w:r>
            <w:r w:rsidRPr="005C3B55">
              <w:rPr>
                <w:noProof/>
                <w:szCs w:val="24"/>
              </w:rPr>
              <w:t xml:space="preserve"> </w:t>
            </w:r>
            <w:r w:rsidRPr="005C3B55">
              <w:rPr>
                <w:szCs w:val="24"/>
              </w:rPr>
              <w:t>Applications are submitted electronically, which shortens the time of application processing.</w:t>
            </w:r>
            <w:r w:rsidRPr="005C3B55">
              <w:rPr>
                <w:noProof/>
                <w:szCs w:val="24"/>
              </w:rPr>
              <w:t xml:space="preserve"> </w:t>
            </w:r>
            <w:r w:rsidRPr="005C3B55">
              <w:rPr>
                <w:szCs w:val="24"/>
              </w:rPr>
              <w:t>Efforts to improve the unification of public procurements and the clarity of conditions are set to continue, which will contribute to making applications more complete.</w:t>
            </w:r>
            <w:r w:rsidRPr="005C3B55">
              <w:rPr>
                <w:noProof/>
                <w:szCs w:val="24"/>
              </w:rPr>
              <w:t xml:space="preserve"> </w:t>
            </w:r>
            <w:r w:rsidRPr="005C3B55">
              <w:rPr>
                <w:szCs w:val="24"/>
              </w:rPr>
              <w:t>This will somewhat reduce the risk.</w:t>
            </w:r>
            <w:r w:rsidRPr="005C3B55">
              <w:rPr>
                <w:noProof/>
                <w:szCs w:val="24"/>
              </w:rPr>
              <w:t xml:space="preserve"> </w:t>
            </w:r>
            <w:r w:rsidRPr="005C3B55">
              <w:rPr>
                <w:szCs w:val="24"/>
              </w:rPr>
              <w:t>The amendment to the Agriculture Act (Official Gazette of the Republic of Slovenia, no. 45/2008 with all amendments) implemented in 2014 amended the provision of the administrative procedure in order to make the procedure more rational and accelerate processing.</w:t>
            </w:r>
          </w:p>
          <w:p w:rsidR="00BD3B5F" w:rsidRPr="005C3B55" w:rsidRDefault="00BD3B5F">
            <w:pPr>
              <w:spacing w:before="240" w:after="240"/>
              <w:jc w:val="left"/>
              <w:rPr>
                <w:noProof/>
                <w:szCs w:val="24"/>
              </w:rPr>
            </w:pPr>
            <w:r w:rsidRPr="005C3B55">
              <w:rPr>
                <w:b/>
                <w:noProof/>
                <w:szCs w:val="24"/>
              </w:rPr>
              <w:t xml:space="preserve">R2: </w:t>
            </w:r>
            <w:r w:rsidRPr="005C3B55">
              <w:rPr>
                <w:b/>
                <w:szCs w:val="24"/>
              </w:rPr>
              <w:t>Reasonableness of costs</w:t>
            </w:r>
          </w:p>
          <w:p w:rsidR="00BD3B5F" w:rsidRPr="005C3B55" w:rsidRDefault="00BD3B5F">
            <w:pPr>
              <w:spacing w:before="240" w:after="240"/>
              <w:jc w:val="left"/>
              <w:rPr>
                <w:noProof/>
                <w:szCs w:val="24"/>
              </w:rPr>
            </w:pPr>
            <w:r w:rsidRPr="005C3B55">
              <w:rPr>
                <w:szCs w:val="24"/>
              </w:rPr>
              <w:t>A uniform catalogue of costs for all measures which include investments will be set up.</w:t>
            </w:r>
            <w:r w:rsidRPr="005C3B55">
              <w:rPr>
                <w:noProof/>
                <w:szCs w:val="24"/>
              </w:rPr>
              <w:t xml:space="preserve"> </w:t>
            </w:r>
            <w:r w:rsidRPr="005C3B55">
              <w:rPr>
                <w:szCs w:val="24"/>
              </w:rPr>
              <w:t>This catalogue will be prepared by an independent external contractor, and will determine the highest recognised amounts of individual costs, which will be revised if necessary (for example, changed market conditions).</w:t>
            </w:r>
          </w:p>
          <w:p w:rsidR="00BD3B5F" w:rsidRPr="005C3B55" w:rsidRDefault="00BD3B5F">
            <w:pPr>
              <w:spacing w:before="240" w:after="240"/>
              <w:jc w:val="left"/>
              <w:rPr>
                <w:noProof/>
                <w:szCs w:val="24"/>
              </w:rPr>
            </w:pPr>
            <w:r w:rsidRPr="005C3B55">
              <w:rPr>
                <w:b/>
                <w:noProof/>
                <w:szCs w:val="24"/>
              </w:rPr>
              <w:t xml:space="preserve">R3: </w:t>
            </w:r>
            <w:r w:rsidRPr="005C3B55">
              <w:rPr>
                <w:b/>
                <w:szCs w:val="24"/>
              </w:rPr>
              <w:t>Suitable overview and control system</w:t>
            </w:r>
          </w:p>
          <w:p w:rsidR="00BD3B5F" w:rsidRPr="005C3B55" w:rsidRDefault="00BD3B5F">
            <w:pPr>
              <w:spacing w:before="240" w:after="240"/>
              <w:jc w:val="left"/>
              <w:rPr>
                <w:noProof/>
                <w:szCs w:val="24"/>
              </w:rPr>
            </w:pPr>
            <w:r w:rsidRPr="005C3B55">
              <w:rPr>
                <w:szCs w:val="24"/>
              </w:rPr>
              <w:t>The connectivity of databases within the public administration will be improved.</w:t>
            </w:r>
            <w:r w:rsidRPr="005C3B55">
              <w:rPr>
                <w:noProof/>
                <w:szCs w:val="24"/>
              </w:rPr>
              <w:t xml:space="preserve"> </w:t>
            </w:r>
            <w:r w:rsidRPr="005C3B55">
              <w:rPr>
                <w:szCs w:val="24"/>
              </w:rPr>
              <w:t>The demarcation of the contents of eligible costs in relation to other funds will be more precisely defined.</w:t>
            </w:r>
          </w:p>
          <w:p w:rsidR="00BD3B5F" w:rsidRPr="005C3B55" w:rsidRDefault="00BD3B5F">
            <w:pPr>
              <w:spacing w:before="240" w:after="240"/>
              <w:jc w:val="left"/>
              <w:rPr>
                <w:noProof/>
                <w:szCs w:val="24"/>
              </w:rPr>
            </w:pPr>
            <w:r w:rsidRPr="005C3B55">
              <w:rPr>
                <w:b/>
                <w:noProof/>
                <w:szCs w:val="24"/>
              </w:rPr>
              <w:t xml:space="preserve">R7: </w:t>
            </w:r>
            <w:r w:rsidRPr="005C3B55">
              <w:rPr>
                <w:b/>
                <w:szCs w:val="24"/>
              </w:rPr>
              <w:t>Selection of beneficiaries</w:t>
            </w:r>
          </w:p>
          <w:p w:rsidR="00BD3B5F" w:rsidRPr="005C3B55" w:rsidRDefault="00BD3B5F">
            <w:pPr>
              <w:spacing w:before="240" w:after="240"/>
              <w:jc w:val="left"/>
              <w:rPr>
                <w:noProof/>
                <w:szCs w:val="24"/>
              </w:rPr>
            </w:pPr>
            <w:r w:rsidRPr="005C3B55">
              <w:rPr>
                <w:szCs w:val="24"/>
              </w:rPr>
              <w:t>With the permanent implementation of the promotion of the measure, organisation of public presentations and other activities (updated website of the Ministry of Agriculture, Forestry and Food, activities of the National Rural Network, information desks of the Chamber of Agriculture, the Chamber of Commerce and Industry and similar), we will promptly inform potential beneficiaries on the content of the supported activity.</w:t>
            </w:r>
            <w:r w:rsidRPr="005C3B55">
              <w:rPr>
                <w:noProof/>
                <w:szCs w:val="24"/>
              </w:rPr>
              <w:t xml:space="preserve"> </w:t>
            </w:r>
            <w:r w:rsidRPr="005C3B55">
              <w:rPr>
                <w:szCs w:val="24"/>
              </w:rPr>
              <w:t>Public procurements will be significantly more target-oriented than they are now.</w:t>
            </w:r>
          </w:p>
          <w:p w:rsidR="00BD3B5F" w:rsidRPr="005C3B55" w:rsidRDefault="00BD3B5F">
            <w:pPr>
              <w:spacing w:before="240" w:after="240"/>
              <w:jc w:val="left"/>
              <w:rPr>
                <w:noProof/>
                <w:szCs w:val="24"/>
              </w:rPr>
            </w:pPr>
            <w:r w:rsidRPr="005C3B55">
              <w:rPr>
                <w:szCs w:val="24"/>
              </w:rPr>
              <w:t>Several factors impact the conclusion of investments.</w:t>
            </w:r>
            <w:r w:rsidRPr="005C3B55">
              <w:rPr>
                <w:noProof/>
                <w:szCs w:val="24"/>
              </w:rPr>
              <w:t xml:space="preserve"> </w:t>
            </w:r>
            <w:r w:rsidRPr="005C3B55">
              <w:rPr>
                <w:szCs w:val="24"/>
              </w:rPr>
              <w:t>Sufficient financial means are the most significant elements. The consistent observation of requirements relating to the closure of the financial construction and possibility of using advance payments is a sufficient warranty that approved funds will also be paid.</w:t>
            </w:r>
            <w:r w:rsidRPr="005C3B55">
              <w:rPr>
                <w:noProof/>
                <w:szCs w:val="24"/>
              </w:rPr>
              <w:t xml:space="preserve"> </w:t>
            </w:r>
            <w:r w:rsidRPr="005C3B55">
              <w:rPr>
                <w:szCs w:val="24"/>
              </w:rPr>
              <w:t>There is the possibility of combining financial instruments.</w:t>
            </w:r>
          </w:p>
          <w:p w:rsidR="00BD3B5F" w:rsidRPr="005C3B55" w:rsidRDefault="00BD3B5F">
            <w:pPr>
              <w:spacing w:before="240" w:after="240"/>
              <w:jc w:val="left"/>
              <w:rPr>
                <w:noProof/>
                <w:szCs w:val="24"/>
              </w:rPr>
            </w:pPr>
            <w:r w:rsidRPr="005C3B55">
              <w:rPr>
                <w:szCs w:val="24"/>
              </w:rPr>
              <w:t>The social aspect of the investment will be promoted indirectly through the selection criteria for applications.</w:t>
            </w:r>
          </w:p>
          <w:p w:rsidR="00BD3B5F" w:rsidRPr="005C3B55" w:rsidRDefault="00BD3B5F">
            <w:pPr>
              <w:spacing w:before="0" w:after="0"/>
              <w:jc w:val="left"/>
              <w:rPr>
                <w:noProof/>
                <w:szCs w:val="24"/>
              </w:rPr>
            </w:pPr>
            <w:r w:rsidRPr="005C3B55">
              <w:rPr>
                <w:b/>
                <w:noProof/>
                <w:szCs w:val="24"/>
              </w:rPr>
              <w:t xml:space="preserve">R8: </w:t>
            </w:r>
            <w:r w:rsidRPr="005C3B55">
              <w:rPr>
                <w:b/>
                <w:szCs w:val="24"/>
              </w:rPr>
              <w:t>IT systems</w:t>
            </w:r>
          </w:p>
          <w:p w:rsidR="00BD3B5F" w:rsidRPr="005C3B55" w:rsidRDefault="00BD3B5F">
            <w:pPr>
              <w:spacing w:before="240" w:after="240"/>
              <w:jc w:val="left"/>
              <w:rPr>
                <w:noProof/>
                <w:szCs w:val="24"/>
              </w:rPr>
            </w:pPr>
            <w:r w:rsidRPr="005C3B55">
              <w:rPr>
                <w:szCs w:val="24"/>
              </w:rPr>
              <w:t>An IT system will be set up which will facilitate electronic submission of applications and requests for payment,</w:t>
            </w:r>
            <w:r w:rsidRPr="005C3B55">
              <w:rPr>
                <w:noProof/>
                <w:szCs w:val="24"/>
              </w:rPr>
              <w:t xml:space="preserve"> </w:t>
            </w:r>
            <w:r w:rsidRPr="005C3B55">
              <w:rPr>
                <w:szCs w:val="24"/>
              </w:rPr>
              <w:t>thus simplifying the verification of double funding, business operations of associated parties, and separation between the funding of individual costs on the sub-measure level and other measures of the RDP 2014–2020. The system will incorporate different databases, which will enable faster and more precise data verification.</w:t>
            </w:r>
            <w:r w:rsidRPr="005C3B55">
              <w:rPr>
                <w:noProof/>
                <w:szCs w:val="24"/>
              </w:rPr>
              <w:t xml:space="preserve"> </w:t>
            </w:r>
            <w:r w:rsidRPr="005C3B55">
              <w:rPr>
                <w:szCs w:val="24"/>
              </w:rPr>
              <w:t>The system will also enable monitoring of the implementation of the sub-measure.</w:t>
            </w:r>
            <w:r w:rsidRPr="005C3B55">
              <w:rPr>
                <w:noProof/>
                <w:szCs w:val="24"/>
              </w:rPr>
              <w:t xml:space="preserve"> </w:t>
            </w:r>
            <w:r w:rsidRPr="005C3B55">
              <w:rPr>
                <w:szCs w:val="24"/>
              </w:rPr>
              <w:t>Training in the use of the IT system will be organised for the drafters of applications and requests.</w:t>
            </w:r>
          </w:p>
          <w:p w:rsidR="00BD3B5F" w:rsidRPr="005C3B55" w:rsidRDefault="00BD3B5F">
            <w:pPr>
              <w:spacing w:before="240" w:after="240"/>
              <w:jc w:val="left"/>
              <w:rPr>
                <w:noProof/>
                <w:szCs w:val="24"/>
              </w:rPr>
            </w:pPr>
            <w:r w:rsidRPr="005C3B55">
              <w:rPr>
                <w:b/>
                <w:noProof/>
                <w:szCs w:val="24"/>
              </w:rPr>
              <w:t xml:space="preserve">R9: </w:t>
            </w:r>
            <w:r w:rsidRPr="005C3B55">
              <w:rPr>
                <w:b/>
                <w:szCs w:val="24"/>
              </w:rPr>
              <w:t>Requests for payment</w:t>
            </w:r>
          </w:p>
          <w:p w:rsidR="00BD3B5F" w:rsidRPr="005C3B55" w:rsidRDefault="00BD3B5F">
            <w:pPr>
              <w:spacing w:before="240" w:after="240"/>
              <w:jc w:val="left"/>
              <w:rPr>
                <w:noProof/>
                <w:szCs w:val="24"/>
              </w:rPr>
            </w:pPr>
            <w:r w:rsidRPr="005C3B55">
              <w:rPr>
                <w:szCs w:val="24"/>
              </w:rPr>
              <w:t>The dissemination of information to beneficiaries and persons preparing applications regarding the preparation of requests for the payment of funds will be improved.</w:t>
            </w:r>
          </w:p>
          <w:p w:rsidR="00BD3B5F" w:rsidRPr="005C3B55" w:rsidRDefault="00BD3B5F">
            <w:pPr>
              <w:pStyle w:val="Telobesedila"/>
              <w:rPr>
                <w:szCs w:val="24"/>
              </w:rPr>
            </w:pPr>
          </w:p>
        </w:tc>
      </w:tr>
    </w:tbl>
    <w:p w:rsidR="00BD3B5F" w:rsidRPr="005C3B55" w:rsidRDefault="00BD3B5F">
      <w:pPr>
        <w:pStyle w:val="Naslov7"/>
        <w:tabs>
          <w:tab w:val="clear" w:pos="765"/>
        </w:tabs>
        <w:ind w:left="0" w:firstLine="0"/>
        <w:rPr>
          <w:szCs w:val="24"/>
          <w:lang w:val="en-GB"/>
        </w:rPr>
      </w:pPr>
      <w:r w:rsidRPr="005C3B55">
        <w:rPr>
          <w:noProof w:val="0"/>
          <w:szCs w:val="24"/>
          <w:lang w:val="en-GB"/>
        </w:rPr>
        <w:t>General assessment of the measure</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The sub-measure in the anticipated form is fully feasible and controllable and will have the expected results and contribute to achieving the set objectives of the RDP 2014-202. The sub-measure will greatly contribute to the realisation of horizontal objectives.</w:t>
            </w:r>
            <w:r w:rsidRPr="005C3B55">
              <w:rPr>
                <w:noProof/>
                <w:szCs w:val="24"/>
              </w:rPr>
              <w:t xml:space="preserve"> </w:t>
            </w:r>
            <w:r w:rsidRPr="005C3B55">
              <w:rPr>
                <w:szCs w:val="24"/>
              </w:rPr>
              <w:t>The implementation of this sub-measure is necessary in order to add value to agricultural products, improve competitiveness, increase income and improve market orientation.</w:t>
            </w:r>
          </w:p>
          <w:p w:rsidR="00BD3B5F" w:rsidRPr="005C3B55" w:rsidRDefault="00BD3B5F">
            <w:pPr>
              <w:pStyle w:val="Telobesedila"/>
              <w:rPr>
                <w:szCs w:val="24"/>
              </w:rPr>
            </w:pPr>
          </w:p>
        </w:tc>
      </w:tr>
    </w:tbl>
    <w:p w:rsidR="00BD3B5F" w:rsidRPr="005C3B55" w:rsidRDefault="00BD3B5F">
      <w:pPr>
        <w:pStyle w:val="Naslov6"/>
        <w:tabs>
          <w:tab w:val="clear" w:pos="765"/>
        </w:tabs>
        <w:ind w:left="0" w:firstLine="0"/>
        <w:rPr>
          <w:szCs w:val="24"/>
          <w:lang w:val="en-GB"/>
        </w:rPr>
      </w:pPr>
      <w:r w:rsidRPr="005C3B55">
        <w:rPr>
          <w:noProof w:val="0"/>
          <w:szCs w:val="24"/>
          <w:lang w:val="en-GB"/>
        </w:rPr>
        <w:t>Methodology for calculating support amount, where relevant</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Not relevant.</w:t>
            </w:r>
          </w:p>
          <w:p w:rsidR="00BD3B5F" w:rsidRPr="005C3B55" w:rsidRDefault="00BD3B5F">
            <w:pPr>
              <w:pStyle w:val="Telobesedila"/>
              <w:rPr>
                <w:szCs w:val="24"/>
              </w:rPr>
            </w:pPr>
          </w:p>
        </w:tc>
      </w:tr>
    </w:tbl>
    <w:p w:rsidR="00BD3B5F" w:rsidRPr="005C3B55" w:rsidRDefault="00BD3B5F">
      <w:pPr>
        <w:pStyle w:val="Naslov6"/>
        <w:tabs>
          <w:tab w:val="clear" w:pos="765"/>
        </w:tabs>
        <w:ind w:left="0" w:firstLine="0"/>
        <w:rPr>
          <w:szCs w:val="24"/>
          <w:lang w:val="en-GB"/>
        </w:rPr>
      </w:pPr>
      <w:r w:rsidRPr="005C3B55">
        <w:rPr>
          <w:noProof w:val="0"/>
          <w:szCs w:val="24"/>
          <w:lang w:val="en-GB"/>
        </w:rPr>
        <w:t>Information that relates specifically to the operation</w:t>
      </w:r>
    </w:p>
    <w:p w:rsidR="00BD3B5F" w:rsidRPr="005C3B55" w:rsidRDefault="00BD3B5F">
      <w:pPr>
        <w:rPr>
          <w:szCs w:val="24"/>
        </w:rPr>
      </w:pPr>
      <w:r w:rsidRPr="005C3B55">
        <w:rPr>
          <w:szCs w:val="24"/>
        </w:rPr>
        <w:t>Definition of non-production investments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Not relevant.</w:t>
            </w:r>
          </w:p>
          <w:p w:rsidR="00BD3B5F" w:rsidRPr="005C3B55" w:rsidRDefault="00BD3B5F">
            <w:pPr>
              <w:pStyle w:val="Telobesedila"/>
              <w:rPr>
                <w:szCs w:val="24"/>
              </w:rPr>
            </w:pPr>
          </w:p>
        </w:tc>
      </w:tr>
    </w:tbl>
    <w:p w:rsidR="00BD3B5F" w:rsidRPr="005C3B55" w:rsidRDefault="00BD3B5F">
      <w:pPr>
        <w:rPr>
          <w:szCs w:val="24"/>
        </w:rPr>
      </w:pPr>
      <w:r w:rsidRPr="005C3B55">
        <w:rPr>
          <w:szCs w:val="24"/>
        </w:rPr>
        <w:t>Definition of collective investments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Not relevant.</w:t>
            </w:r>
          </w:p>
          <w:p w:rsidR="00BD3B5F" w:rsidRPr="005C3B55" w:rsidRDefault="00BD3B5F">
            <w:pPr>
              <w:pStyle w:val="Telobesedila"/>
              <w:rPr>
                <w:szCs w:val="24"/>
              </w:rPr>
            </w:pPr>
          </w:p>
        </w:tc>
      </w:tr>
    </w:tbl>
    <w:p w:rsidR="00BD3B5F" w:rsidRPr="005C3B55" w:rsidRDefault="00BD3B5F">
      <w:pPr>
        <w:rPr>
          <w:szCs w:val="24"/>
        </w:rPr>
      </w:pPr>
      <w:r w:rsidRPr="005C3B55">
        <w:rPr>
          <w:szCs w:val="24"/>
        </w:rPr>
        <w:t>Definition of integrated projects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Not relevant.</w:t>
            </w:r>
          </w:p>
          <w:p w:rsidR="00BD3B5F" w:rsidRPr="005C3B55" w:rsidRDefault="00BD3B5F">
            <w:pPr>
              <w:pStyle w:val="Telobesedila"/>
              <w:rPr>
                <w:szCs w:val="24"/>
              </w:rPr>
            </w:pPr>
          </w:p>
        </w:tc>
      </w:tr>
    </w:tbl>
    <w:p w:rsidR="00BD3B5F" w:rsidRPr="005C3B55" w:rsidRDefault="00BD3B5F">
      <w:pPr>
        <w:rPr>
          <w:szCs w:val="24"/>
        </w:rPr>
      </w:pPr>
      <w:r w:rsidRPr="005C3B55">
        <w:rPr>
          <w:szCs w:val="24"/>
        </w:rPr>
        <w:t>Defining and determining the eligible areas of the Natura 2000 network and other eligible areas of high natural value</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In accordance with suitable consents and permits, the projects will also be implemented in these areas.</w:t>
            </w:r>
          </w:p>
          <w:p w:rsidR="00BD3B5F" w:rsidRPr="005C3B55" w:rsidRDefault="00BD3B5F">
            <w:pPr>
              <w:pStyle w:val="Telobesedila"/>
              <w:rPr>
                <w:szCs w:val="24"/>
              </w:rPr>
            </w:pPr>
          </w:p>
        </w:tc>
      </w:tr>
    </w:tbl>
    <w:p w:rsidR="00BD3B5F" w:rsidRPr="005C3B55" w:rsidRDefault="00BD3B5F">
      <w:pPr>
        <w:rPr>
          <w:szCs w:val="24"/>
        </w:rPr>
      </w:pPr>
      <w:r w:rsidRPr="005C3B55">
        <w:rPr>
          <w:szCs w:val="24"/>
        </w:rPr>
        <w:t>A description of the management of support for farms in accordance with a SWOT analysis implemented in relation to the priority task referred to in Article 5(2) of Regulation (EU) No 1305/2013</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Not relevant.</w:t>
            </w:r>
          </w:p>
          <w:p w:rsidR="00BD3B5F" w:rsidRPr="005C3B55" w:rsidRDefault="00BD3B5F">
            <w:pPr>
              <w:pStyle w:val="Telobesedila"/>
              <w:rPr>
                <w:szCs w:val="24"/>
              </w:rPr>
            </w:pPr>
          </w:p>
        </w:tc>
      </w:tr>
    </w:tbl>
    <w:p w:rsidR="00BD3B5F" w:rsidRPr="005C3B55" w:rsidRDefault="00BD3B5F">
      <w:pPr>
        <w:rPr>
          <w:szCs w:val="24"/>
        </w:rPr>
      </w:pPr>
      <w:r w:rsidRPr="005C3B55">
        <w:rPr>
          <w:szCs w:val="24"/>
        </w:rPr>
        <w:t>List of new requirements imposed by Union’s legislation to ensure compliance for which support may be granted in accordance with Article 17(6) Regulation (EU) No 1305/2013</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Not relevant.</w:t>
            </w:r>
          </w:p>
          <w:p w:rsidR="00BD3B5F" w:rsidRPr="005C3B55" w:rsidRDefault="00BD3B5F">
            <w:pPr>
              <w:pStyle w:val="Telobesedila"/>
              <w:rPr>
                <w:szCs w:val="24"/>
              </w:rPr>
            </w:pPr>
          </w:p>
        </w:tc>
      </w:tr>
    </w:tbl>
    <w:p w:rsidR="00BD3B5F" w:rsidRPr="005C3B55" w:rsidRDefault="00BD3B5F">
      <w:pPr>
        <w:rPr>
          <w:szCs w:val="24"/>
        </w:rPr>
      </w:pPr>
      <w:r w:rsidRPr="005C3B55">
        <w:rPr>
          <w:szCs w:val="24"/>
        </w:rPr>
        <w:t>If relevant, minimum standards for energy efficiency under Article 13(c) of Delegated Regulation (EU) No 807/2014</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The description is included in the entire M04 measure.</w:t>
            </w:r>
          </w:p>
          <w:p w:rsidR="00BD3B5F" w:rsidRPr="005C3B55" w:rsidRDefault="00BD3B5F">
            <w:pPr>
              <w:pStyle w:val="Telobesedila"/>
              <w:rPr>
                <w:szCs w:val="24"/>
              </w:rPr>
            </w:pPr>
          </w:p>
        </w:tc>
      </w:tr>
    </w:tbl>
    <w:p w:rsidR="00BD3B5F" w:rsidRPr="005C3B55" w:rsidRDefault="00BD3B5F">
      <w:pPr>
        <w:rPr>
          <w:szCs w:val="24"/>
        </w:rPr>
      </w:pPr>
      <w:r w:rsidRPr="005C3B55">
        <w:rPr>
          <w:szCs w:val="24"/>
        </w:rPr>
        <w:t>If relevant, establishing thresholds under Article 13(e) of Delegated Regulation (EU) No 807/2014</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The description is included in the entire M04 measure.</w:t>
            </w:r>
          </w:p>
          <w:p w:rsidR="00BD3B5F" w:rsidRPr="005C3B55" w:rsidRDefault="00BD3B5F">
            <w:pPr>
              <w:pStyle w:val="Telobesedila"/>
              <w:rPr>
                <w:szCs w:val="24"/>
              </w:rPr>
            </w:pPr>
          </w:p>
        </w:tc>
      </w:tr>
    </w:tbl>
    <w:p w:rsidR="00BD3B5F" w:rsidRPr="005C3B55" w:rsidRDefault="00BD3B5F">
      <w:pPr>
        <w:pStyle w:val="Naslov5"/>
        <w:tabs>
          <w:tab w:val="clear" w:pos="765"/>
        </w:tabs>
        <w:ind w:left="0" w:firstLine="0"/>
        <w:rPr>
          <w:b w:val="0"/>
          <w:szCs w:val="24"/>
          <w:lang w:val="en-GB"/>
        </w:rPr>
      </w:pPr>
      <w:r w:rsidRPr="005C3B55">
        <w:rPr>
          <w:b w:val="0"/>
          <w:szCs w:val="24"/>
          <w:lang w:val="en-GB"/>
        </w:rPr>
        <w:br w:type="page"/>
        <w:t xml:space="preserve">3. </w:t>
      </w:r>
      <w:r w:rsidRPr="005C3B55">
        <w:rPr>
          <w:b w:val="0"/>
          <w:noProof w:val="0"/>
          <w:szCs w:val="24"/>
          <w:lang w:val="en-GB"/>
        </w:rPr>
        <w:t>Implementation of agro-meliorations in land consolidation areas</w:t>
      </w:r>
    </w:p>
    <w:p w:rsidR="00BD3B5F" w:rsidRPr="005C3B55" w:rsidRDefault="00BD3B5F">
      <w:pPr>
        <w:rPr>
          <w:szCs w:val="24"/>
        </w:rPr>
      </w:pPr>
      <w:r w:rsidRPr="005C3B55">
        <w:rPr>
          <w:szCs w:val="24"/>
        </w:rPr>
        <w:t xml:space="preserve">Sub-measure: </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rsidP="00BD3B5F">
            <w:pPr>
              <w:numPr>
                <w:ilvl w:val="0"/>
                <w:numId w:val="191"/>
              </w:numPr>
              <w:rPr>
                <w:szCs w:val="24"/>
              </w:rPr>
            </w:pPr>
            <w:r w:rsidRPr="005C3B55">
              <w:rPr>
                <w:szCs w:val="24"/>
              </w:rPr>
              <w:t>4.3 – Support for investments in infrastructure related to the development, modernisation or adaptation of agriculture and forestry</w:t>
            </w:r>
          </w:p>
        </w:tc>
      </w:tr>
    </w:tbl>
    <w:p w:rsidR="00BD3B5F" w:rsidRPr="005C3B55" w:rsidRDefault="00BD3B5F">
      <w:pPr>
        <w:pStyle w:val="Naslov6"/>
        <w:tabs>
          <w:tab w:val="clear" w:pos="765"/>
        </w:tabs>
        <w:ind w:left="0" w:firstLine="0"/>
        <w:rPr>
          <w:szCs w:val="24"/>
          <w:lang w:val="en-GB"/>
        </w:rPr>
      </w:pPr>
      <w:r w:rsidRPr="005C3B55">
        <w:rPr>
          <w:noProof w:val="0"/>
          <w:szCs w:val="24"/>
          <w:lang w:val="en-GB"/>
        </w:rPr>
        <w:t>Description of type of operation</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The subject of the support is the implementation of agro-meliorations in land consolidation areas which are implemented as per the regulations governing agricultural land.</w:t>
            </w:r>
            <w:r w:rsidRPr="005C3B55">
              <w:rPr>
                <w:noProof/>
                <w:szCs w:val="24"/>
              </w:rPr>
              <w:t xml:space="preserve"> </w:t>
            </w:r>
            <w:r w:rsidRPr="005C3B55">
              <w:rPr>
                <w:szCs w:val="24"/>
              </w:rPr>
              <w:t>Demanding and undemanding agro-meliorations are supported.</w:t>
            </w:r>
            <w:r w:rsidRPr="005C3B55">
              <w:rPr>
                <w:noProof/>
                <w:szCs w:val="24"/>
              </w:rPr>
              <w:t xml:space="preserve"> </w:t>
            </w:r>
            <w:r w:rsidRPr="005C3B55">
              <w:rPr>
                <w:szCs w:val="24"/>
              </w:rPr>
              <w:t>By implementing agro-melioration works, cultivation conditions are improved with physical measures.</w:t>
            </w:r>
            <w:r w:rsidRPr="005C3B55">
              <w:rPr>
                <w:noProof/>
                <w:szCs w:val="24"/>
              </w:rPr>
              <w:t xml:space="preserve"> </w:t>
            </w:r>
            <w:r w:rsidRPr="005C3B55">
              <w:rPr>
                <w:szCs w:val="24"/>
              </w:rPr>
              <w:t>The objective is the implementation of agro-meliorations on 9,000 ha of land consolidation areas.</w:t>
            </w:r>
          </w:p>
          <w:p w:rsidR="00BD3B5F" w:rsidRPr="005C3B55" w:rsidRDefault="00BD3B5F">
            <w:pPr>
              <w:spacing w:before="240" w:after="240"/>
              <w:jc w:val="left"/>
              <w:rPr>
                <w:noProof/>
                <w:szCs w:val="24"/>
              </w:rPr>
            </w:pPr>
            <w:r w:rsidRPr="005C3B55">
              <w:rPr>
                <w:szCs w:val="24"/>
              </w:rPr>
              <w:t>Drainage of agricultural land is not permitted.</w:t>
            </w:r>
          </w:p>
          <w:p w:rsidR="00BD3B5F" w:rsidRPr="005C3B55" w:rsidRDefault="00BD3B5F">
            <w:pPr>
              <w:spacing w:before="240" w:after="240"/>
              <w:jc w:val="left"/>
              <w:rPr>
                <w:noProof/>
                <w:szCs w:val="24"/>
              </w:rPr>
            </w:pPr>
            <w:r w:rsidRPr="005C3B55">
              <w:rPr>
                <w:szCs w:val="24"/>
              </w:rPr>
              <w:t>Irrespective of the fact that the national legislation also allows the implementation of minor drainage, stock fertilisation and liming within agro-meliorations, this is not subject to support under this operation.</w:t>
            </w:r>
          </w:p>
          <w:p w:rsidR="00BD3B5F" w:rsidRPr="005C3B55" w:rsidRDefault="00BD3B5F">
            <w:pPr>
              <w:spacing w:before="240" w:after="240"/>
              <w:jc w:val="left"/>
              <w:rPr>
                <w:noProof/>
                <w:szCs w:val="24"/>
              </w:rPr>
            </w:pPr>
            <w:r w:rsidRPr="005C3B55">
              <w:rPr>
                <w:szCs w:val="24"/>
              </w:rPr>
              <w:t>For the implementation of a demanding agro-melioration, it is necessary to obtain a decision from the Ministry of Agriculture, Forestry and Food on the introduction of a demanding agro-melioration, which is issued if all relevant permits for the implementation of agro-melioration (nature protection consent, water protection consent, environmental permit, etc.) have been issued.</w:t>
            </w:r>
          </w:p>
          <w:p w:rsidR="00BD3B5F" w:rsidRPr="005C3B55" w:rsidRDefault="00BD3B5F">
            <w:pPr>
              <w:spacing w:before="240" w:after="240"/>
              <w:jc w:val="left"/>
              <w:rPr>
                <w:noProof/>
                <w:szCs w:val="24"/>
              </w:rPr>
            </w:pPr>
            <w:r w:rsidRPr="005C3B55">
              <w:rPr>
                <w:szCs w:val="24"/>
              </w:rPr>
              <w:t>Activities of land consolidation are implemented within the implemented agro-meliorations which enlarge the plots of individual agricultural land owners in land consolidation areas.</w:t>
            </w:r>
            <w:r w:rsidRPr="005C3B55">
              <w:rPr>
                <w:noProof/>
                <w:szCs w:val="24"/>
              </w:rPr>
              <w:t xml:space="preserve"> </w:t>
            </w:r>
            <w:r w:rsidRPr="005C3B55">
              <w:rPr>
                <w:szCs w:val="24"/>
              </w:rPr>
              <w:t>The administrative procedure of land consolidation merges individual arable plots, which contributes to improved competitiveness of individual agricultural holdings.</w:t>
            </w:r>
          </w:p>
          <w:p w:rsidR="00BD3B5F" w:rsidRPr="005C3B55" w:rsidRDefault="00BD3B5F">
            <w:pPr>
              <w:spacing w:before="240" w:after="240"/>
              <w:jc w:val="left"/>
              <w:rPr>
                <w:noProof/>
                <w:szCs w:val="24"/>
              </w:rPr>
            </w:pPr>
            <w:r w:rsidRPr="005C3B55">
              <w:rPr>
                <w:szCs w:val="24"/>
              </w:rPr>
              <w:t>All participants in land consolidation (owners of land in land consolidation areas and other participants displaying a legal interest) are informed on protection areas and limitations as per special regulations (e.g. Natura 2000, EPO) when the studies are exhibited in the procedure of land consolidation.</w:t>
            </w:r>
            <w:r w:rsidRPr="005C3B55">
              <w:rPr>
                <w:noProof/>
                <w:szCs w:val="24"/>
              </w:rPr>
              <w:t xml:space="preserve"> </w:t>
            </w:r>
            <w:r w:rsidRPr="005C3B55">
              <w:rPr>
                <w:szCs w:val="24"/>
              </w:rPr>
              <w:t>The implementation of the procedure of land consolidation will not change the existing method of farming in Natura 2000 sites.</w:t>
            </w:r>
          </w:p>
          <w:p w:rsidR="00BD3B5F" w:rsidRPr="005C3B55" w:rsidRDefault="00BD3B5F">
            <w:pPr>
              <w:spacing w:before="240" w:after="240"/>
              <w:jc w:val="left"/>
              <w:rPr>
                <w:noProof/>
                <w:szCs w:val="24"/>
              </w:rPr>
            </w:pPr>
            <w:r w:rsidRPr="005C3B55">
              <w:rPr>
                <w:szCs w:val="24"/>
              </w:rPr>
              <w:t>In addition to agricultural land, other land is included in land consolidation (e.g. un-built land, building land, forest, water land etc.) since land consolidation comprehensively arranges rural space, rationalises utilisation and places landscape elements in space.</w:t>
            </w:r>
          </w:p>
          <w:p w:rsidR="00BD3B5F" w:rsidRPr="005C3B55" w:rsidRDefault="00BD3B5F">
            <w:pPr>
              <w:spacing w:before="240" w:after="240"/>
              <w:jc w:val="left"/>
              <w:rPr>
                <w:noProof/>
                <w:szCs w:val="24"/>
              </w:rPr>
            </w:pPr>
            <w:r w:rsidRPr="005C3B55">
              <w:rPr>
                <w:szCs w:val="24"/>
              </w:rPr>
              <w:t>Suitable consents from the Institute of the Republic of Slovenia for Nature Conservation and other consent authorities have to be obtained for the implementation of agro-meliorations as per the Agricultural Land Act (Official Gazette of the Republic of Slovenia, no. 71/2011 – official consolidated text 2, with all amendments).</w:t>
            </w:r>
          </w:p>
          <w:p w:rsidR="00BD3B5F" w:rsidRPr="005C3B55" w:rsidRDefault="00BD3B5F">
            <w:pPr>
              <w:spacing w:before="240" w:after="240"/>
              <w:jc w:val="left"/>
              <w:rPr>
                <w:noProof/>
                <w:szCs w:val="24"/>
              </w:rPr>
            </w:pPr>
            <w:r w:rsidRPr="005C3B55">
              <w:rPr>
                <w:szCs w:val="24"/>
              </w:rPr>
              <w:t>All land consolidation projects have to obtain a decision on the implementation of the land consolidation procedure, which is issued by a relevant administrative unit.</w:t>
            </w:r>
          </w:p>
          <w:p w:rsidR="00BD3B5F" w:rsidRPr="005C3B55" w:rsidRDefault="00BD3B5F">
            <w:pPr>
              <w:spacing w:before="240" w:after="240"/>
              <w:jc w:val="left"/>
              <w:rPr>
                <w:noProof/>
                <w:szCs w:val="24"/>
              </w:rPr>
            </w:pPr>
            <w:r w:rsidRPr="005C3B55">
              <w:rPr>
                <w:szCs w:val="24"/>
              </w:rPr>
              <w:t>A preliminary assessment procedure must be carried out for all agro-melioration and land consolidation projects which apply to tenders of the European Agricultural Funds for Rural Development (EAFRD) on the basis of the Decree on the categories of activities for which an environmental impact assessment is mandatory (Official Gazette of the Republic of Slovenia, no. 51/14, with all amendments) before the submission of the application to the public procurement.</w:t>
            </w:r>
            <w:r w:rsidRPr="005C3B55">
              <w:rPr>
                <w:noProof/>
                <w:szCs w:val="24"/>
              </w:rPr>
              <w:t xml:space="preserve"> </w:t>
            </w:r>
            <w:r w:rsidRPr="005C3B55">
              <w:rPr>
                <w:szCs w:val="24"/>
              </w:rPr>
              <w:t>If a significant environmental impact is established, it is necessary to conduct an environmental impact assessment, which includes an assessment of the acceptability of the impact on Natura 2000 sites. The environmental impact assessment ends with the issuing of an environment protection consent.</w:t>
            </w:r>
            <w:r w:rsidRPr="005C3B55">
              <w:rPr>
                <w:noProof/>
                <w:szCs w:val="24"/>
              </w:rPr>
              <w:t xml:space="preserve"> </w:t>
            </w:r>
            <w:r w:rsidRPr="005C3B55">
              <w:rPr>
                <w:szCs w:val="24"/>
              </w:rPr>
              <w:t>The requirements referred to in Article 6 of Directive 92/43/EEC are also implemented in this process.</w:t>
            </w:r>
          </w:p>
          <w:p w:rsidR="00BD3B5F" w:rsidRPr="005C3B55" w:rsidRDefault="00BD3B5F">
            <w:pPr>
              <w:spacing w:before="240" w:after="240"/>
              <w:jc w:val="left"/>
              <w:rPr>
                <w:noProof/>
                <w:szCs w:val="24"/>
              </w:rPr>
            </w:pPr>
            <w:r w:rsidRPr="005C3B55">
              <w:rPr>
                <w:noProof/>
                <w:szCs w:val="24"/>
              </w:rPr>
              <w:t> </w:t>
            </w:r>
          </w:p>
          <w:p w:rsidR="00BD3B5F" w:rsidRPr="005C3B55" w:rsidRDefault="00BD3B5F">
            <w:pPr>
              <w:pStyle w:val="Telobesedila"/>
              <w:rPr>
                <w:szCs w:val="24"/>
              </w:rPr>
            </w:pPr>
          </w:p>
        </w:tc>
      </w:tr>
    </w:tbl>
    <w:p w:rsidR="00BD3B5F" w:rsidRPr="005C3B55" w:rsidRDefault="00BD3B5F">
      <w:pPr>
        <w:pStyle w:val="Naslov6"/>
        <w:tabs>
          <w:tab w:val="clear" w:pos="765"/>
        </w:tabs>
        <w:ind w:left="0" w:firstLine="0"/>
        <w:rPr>
          <w:szCs w:val="24"/>
          <w:lang w:val="en-GB"/>
        </w:rPr>
      </w:pPr>
      <w:r w:rsidRPr="005C3B55">
        <w:rPr>
          <w:noProof w:val="0"/>
          <w:szCs w:val="24"/>
          <w:lang w:val="en-GB"/>
        </w:rPr>
        <w:t>Type of support</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Support is granted in the form of non-refundable financial aid.</w:t>
            </w:r>
          </w:p>
          <w:p w:rsidR="00BD3B5F" w:rsidRPr="005C3B55" w:rsidRDefault="00BD3B5F">
            <w:pPr>
              <w:pStyle w:val="Telobesedila"/>
              <w:rPr>
                <w:szCs w:val="24"/>
              </w:rPr>
            </w:pPr>
          </w:p>
        </w:tc>
      </w:tr>
    </w:tbl>
    <w:p w:rsidR="00BD3B5F" w:rsidRPr="005C3B55" w:rsidRDefault="00BD3B5F">
      <w:pPr>
        <w:pStyle w:val="Naslov6"/>
        <w:tabs>
          <w:tab w:val="clear" w:pos="765"/>
        </w:tabs>
        <w:ind w:left="0" w:firstLine="0"/>
        <w:rPr>
          <w:szCs w:val="24"/>
          <w:lang w:val="en-GB"/>
        </w:rPr>
      </w:pPr>
      <w:r w:rsidRPr="005C3B55">
        <w:rPr>
          <w:noProof w:val="0"/>
          <w:szCs w:val="24"/>
          <w:lang w:val="en-GB"/>
        </w:rPr>
        <w:t>Connection with other legislation</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rsidP="00BD3B5F">
            <w:pPr>
              <w:numPr>
                <w:ilvl w:val="0"/>
                <w:numId w:val="192"/>
              </w:numPr>
              <w:spacing w:before="0" w:after="0"/>
              <w:ind w:hanging="290"/>
              <w:jc w:val="left"/>
              <w:rPr>
                <w:noProof/>
                <w:szCs w:val="24"/>
              </w:rPr>
            </w:pPr>
            <w:r w:rsidRPr="005C3B55">
              <w:rPr>
                <w:szCs w:val="24"/>
              </w:rPr>
              <w:t>Agriculture Act (Official Gazette of the Republic of Slovenia, no. 45/2008 with all amendments);</w:t>
            </w:r>
          </w:p>
          <w:p w:rsidR="00BD3B5F" w:rsidRPr="005C3B55" w:rsidRDefault="00BD3B5F" w:rsidP="00BD3B5F">
            <w:pPr>
              <w:numPr>
                <w:ilvl w:val="0"/>
                <w:numId w:val="192"/>
              </w:numPr>
              <w:spacing w:before="0" w:after="0"/>
              <w:ind w:hanging="290"/>
              <w:jc w:val="left"/>
              <w:rPr>
                <w:noProof/>
                <w:szCs w:val="24"/>
              </w:rPr>
            </w:pPr>
            <w:r w:rsidRPr="005C3B55">
              <w:rPr>
                <w:szCs w:val="24"/>
              </w:rPr>
              <w:t>Agricultural Land Act (Official Gazette of the Republic of Slovenia, no. 71/2011 – official consolidated text 2 with all amendments);</w:t>
            </w:r>
          </w:p>
          <w:p w:rsidR="00BD3B5F" w:rsidRPr="005C3B55" w:rsidRDefault="00BD3B5F" w:rsidP="00BD3B5F">
            <w:pPr>
              <w:numPr>
                <w:ilvl w:val="0"/>
                <w:numId w:val="192"/>
              </w:numPr>
              <w:spacing w:before="0" w:after="0"/>
              <w:ind w:hanging="290"/>
              <w:jc w:val="left"/>
              <w:rPr>
                <w:noProof/>
                <w:szCs w:val="24"/>
              </w:rPr>
            </w:pPr>
            <w:r w:rsidRPr="005C3B55">
              <w:rPr>
                <w:szCs w:val="24"/>
              </w:rPr>
              <w:t>Nature Conservation Act (Official Gazette of the Republic of Slovenia, no. 96/04 – official consolidated text with all amendments);</w:t>
            </w:r>
          </w:p>
          <w:p w:rsidR="00BD3B5F" w:rsidRPr="005C3B55" w:rsidRDefault="00BD3B5F" w:rsidP="00BD3B5F">
            <w:pPr>
              <w:numPr>
                <w:ilvl w:val="0"/>
                <w:numId w:val="192"/>
              </w:numPr>
              <w:spacing w:before="0" w:after="0"/>
              <w:ind w:hanging="290"/>
              <w:jc w:val="left"/>
              <w:rPr>
                <w:noProof/>
                <w:szCs w:val="24"/>
              </w:rPr>
            </w:pPr>
            <w:r w:rsidRPr="005C3B55">
              <w:rPr>
                <w:szCs w:val="24"/>
              </w:rPr>
              <w:t>Environmental Protection Act (Official Gazette of the Republic of Slovenia, no. 39/06 – official consolidated text with all amendments);</w:t>
            </w:r>
          </w:p>
          <w:p w:rsidR="00BD3B5F" w:rsidRPr="005C3B55" w:rsidRDefault="00BD3B5F" w:rsidP="00BD3B5F">
            <w:pPr>
              <w:numPr>
                <w:ilvl w:val="0"/>
                <w:numId w:val="192"/>
              </w:numPr>
              <w:spacing w:before="0" w:after="0"/>
              <w:ind w:hanging="290"/>
              <w:jc w:val="left"/>
              <w:rPr>
                <w:noProof/>
                <w:szCs w:val="24"/>
              </w:rPr>
            </w:pPr>
            <w:r w:rsidRPr="005C3B55">
              <w:rPr>
                <w:szCs w:val="24"/>
              </w:rPr>
              <w:t>Decree on the categories of activities for which an environmental impact assessment is mandatory (Official Gazette of the Republic of Slovenia, no. 51/14 with all amendments);</w:t>
            </w:r>
          </w:p>
          <w:p w:rsidR="00BD3B5F" w:rsidRPr="005C3B55" w:rsidRDefault="00BD3B5F" w:rsidP="00BD3B5F">
            <w:pPr>
              <w:numPr>
                <w:ilvl w:val="0"/>
                <w:numId w:val="192"/>
              </w:numPr>
              <w:spacing w:before="0" w:after="0"/>
              <w:ind w:hanging="290"/>
              <w:jc w:val="left"/>
              <w:rPr>
                <w:noProof/>
                <w:szCs w:val="24"/>
              </w:rPr>
            </w:pPr>
            <w:r w:rsidRPr="005C3B55">
              <w:rPr>
                <w:szCs w:val="24"/>
              </w:rPr>
              <w:t>national regulation which regulates the implementation of this sub-measure;</w:t>
            </w:r>
          </w:p>
          <w:p w:rsidR="00BD3B5F" w:rsidRPr="005C3B55" w:rsidRDefault="00BD3B5F" w:rsidP="00BD3B5F">
            <w:pPr>
              <w:numPr>
                <w:ilvl w:val="0"/>
                <w:numId w:val="192"/>
              </w:numPr>
              <w:spacing w:before="0" w:after="0"/>
              <w:ind w:hanging="290"/>
              <w:jc w:val="left"/>
              <w:rPr>
                <w:noProof/>
                <w:szCs w:val="24"/>
              </w:rPr>
            </w:pPr>
            <w:r w:rsidRPr="005C3B55">
              <w:rPr>
                <w:noProof/>
                <w:szCs w:val="24"/>
              </w:rPr>
              <w:t xml:space="preserve"> </w:t>
            </w:r>
            <w:r w:rsidRPr="005C3B55">
              <w:rPr>
                <w:szCs w:val="24"/>
              </w:rPr>
              <w:t>Articles 65 and 69 of Regulation (EU) No 1303/2013;</w:t>
            </w:r>
          </w:p>
          <w:p w:rsidR="00BD3B5F" w:rsidRPr="005C3B55" w:rsidRDefault="00BD3B5F" w:rsidP="00BD3B5F">
            <w:pPr>
              <w:numPr>
                <w:ilvl w:val="0"/>
                <w:numId w:val="192"/>
              </w:numPr>
              <w:spacing w:before="0" w:after="0"/>
              <w:ind w:hanging="290"/>
              <w:jc w:val="left"/>
              <w:rPr>
                <w:noProof/>
                <w:szCs w:val="24"/>
              </w:rPr>
            </w:pPr>
            <w:r w:rsidRPr="005C3B55">
              <w:rPr>
                <w:noProof/>
                <w:szCs w:val="24"/>
              </w:rPr>
              <w:t xml:space="preserve"> </w:t>
            </w:r>
            <w:r w:rsidRPr="005C3B55">
              <w:rPr>
                <w:szCs w:val="24"/>
              </w:rPr>
              <w:t>Article 13 of Regulation (EU) No 807/2014, and</w:t>
            </w:r>
          </w:p>
          <w:p w:rsidR="00BD3B5F" w:rsidRPr="005C3B55" w:rsidRDefault="00BD3B5F" w:rsidP="00BD3B5F">
            <w:pPr>
              <w:numPr>
                <w:ilvl w:val="0"/>
                <w:numId w:val="192"/>
              </w:numPr>
              <w:spacing w:before="0" w:after="240"/>
              <w:ind w:hanging="290"/>
              <w:jc w:val="left"/>
              <w:rPr>
                <w:noProof/>
                <w:szCs w:val="24"/>
              </w:rPr>
            </w:pPr>
            <w:r w:rsidRPr="005C3B55">
              <w:rPr>
                <w:szCs w:val="24"/>
              </w:rPr>
              <w:t>other EU and national legislation which regulates the implementation of this operation.</w:t>
            </w:r>
          </w:p>
          <w:p w:rsidR="00BD3B5F" w:rsidRPr="005C3B55" w:rsidRDefault="00BD3B5F">
            <w:pPr>
              <w:pStyle w:val="Telobesedila"/>
              <w:rPr>
                <w:szCs w:val="24"/>
              </w:rPr>
            </w:pPr>
          </w:p>
        </w:tc>
      </w:tr>
    </w:tbl>
    <w:p w:rsidR="00BD3B5F" w:rsidRPr="005C3B55" w:rsidRDefault="00BD3B5F">
      <w:pPr>
        <w:pStyle w:val="Naslov6"/>
        <w:tabs>
          <w:tab w:val="clear" w:pos="765"/>
        </w:tabs>
        <w:ind w:left="0" w:firstLine="0"/>
        <w:rPr>
          <w:szCs w:val="24"/>
          <w:lang w:val="en-GB"/>
        </w:rPr>
      </w:pPr>
      <w:r w:rsidRPr="005C3B55">
        <w:rPr>
          <w:noProof w:val="0"/>
          <w:szCs w:val="24"/>
          <w:lang w:val="en-GB"/>
        </w:rPr>
        <w:t>Beneficiaries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The beneficiaries eligible for support are owners of agricultural holdings and other natural and legal persons authorised by owners of agricultural land to implement investments.</w:t>
            </w:r>
          </w:p>
          <w:p w:rsidR="00BD3B5F" w:rsidRPr="005C3B55" w:rsidRDefault="00BD3B5F">
            <w:pPr>
              <w:pStyle w:val="Telobesedila"/>
              <w:rPr>
                <w:szCs w:val="24"/>
              </w:rPr>
            </w:pPr>
          </w:p>
        </w:tc>
      </w:tr>
    </w:tbl>
    <w:p w:rsidR="00BD3B5F" w:rsidRPr="005C3B55" w:rsidRDefault="00BD3B5F">
      <w:pPr>
        <w:pStyle w:val="Naslov6"/>
        <w:tabs>
          <w:tab w:val="clear" w:pos="765"/>
        </w:tabs>
        <w:ind w:left="0" w:firstLine="0"/>
        <w:rPr>
          <w:szCs w:val="24"/>
          <w:lang w:val="en-GB"/>
        </w:rPr>
      </w:pPr>
      <w:r w:rsidRPr="005C3B55">
        <w:rPr>
          <w:noProof w:val="0"/>
          <w:szCs w:val="24"/>
          <w:lang w:val="en-GB"/>
        </w:rPr>
        <w:t>Eligible costs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Eligible costs are as follows:</w:t>
            </w:r>
          </w:p>
          <w:p w:rsidR="00BD3B5F" w:rsidRPr="005C3B55" w:rsidRDefault="00BD3B5F">
            <w:pPr>
              <w:spacing w:before="240" w:after="240"/>
              <w:jc w:val="left"/>
              <w:rPr>
                <w:noProof/>
                <w:szCs w:val="24"/>
              </w:rPr>
            </w:pPr>
            <w:r w:rsidRPr="005C3B55">
              <w:rPr>
                <w:noProof/>
                <w:szCs w:val="24"/>
              </w:rPr>
              <w:t xml:space="preserve">1. </w:t>
            </w:r>
            <w:r w:rsidRPr="005C3B55">
              <w:rPr>
                <w:szCs w:val="24"/>
              </w:rPr>
              <w:t>Costs of implementing agro-melioration:</w:t>
            </w:r>
            <w:r w:rsidRPr="005C3B55">
              <w:rPr>
                <w:noProof/>
                <w:szCs w:val="24"/>
              </w:rPr>
              <w:t xml:space="preserve"> </w:t>
            </w:r>
            <w:r w:rsidRPr="005C3B55">
              <w:rPr>
                <w:szCs w:val="24"/>
              </w:rPr>
              <w:t>preparatory works, earthworks, construction works, craft works, concrete works and finishing works;</w:t>
            </w:r>
          </w:p>
          <w:p w:rsidR="00BD3B5F" w:rsidRPr="005C3B55" w:rsidRDefault="00BD3B5F">
            <w:pPr>
              <w:spacing w:before="240" w:after="240"/>
              <w:jc w:val="left"/>
              <w:rPr>
                <w:noProof/>
                <w:szCs w:val="24"/>
              </w:rPr>
            </w:pPr>
            <w:r w:rsidRPr="005C3B55">
              <w:rPr>
                <w:noProof/>
                <w:szCs w:val="24"/>
              </w:rPr>
              <w:t xml:space="preserve">2. </w:t>
            </w:r>
            <w:r w:rsidRPr="005C3B55">
              <w:rPr>
                <w:szCs w:val="24"/>
              </w:rPr>
              <w:t>Costs of supplying finished elements and their installation, or costs of implementing work at the location, and</w:t>
            </w:r>
          </w:p>
          <w:p w:rsidR="00BD3B5F" w:rsidRPr="005C3B55" w:rsidRDefault="00BD3B5F">
            <w:pPr>
              <w:spacing w:before="240" w:after="240"/>
              <w:jc w:val="left"/>
              <w:rPr>
                <w:noProof/>
                <w:szCs w:val="24"/>
              </w:rPr>
            </w:pPr>
            <w:r w:rsidRPr="005C3B55">
              <w:rPr>
                <w:noProof/>
                <w:szCs w:val="24"/>
              </w:rPr>
              <w:t xml:space="preserve">3. </w:t>
            </w:r>
            <w:r w:rsidRPr="005C3B55">
              <w:rPr>
                <w:szCs w:val="24"/>
              </w:rPr>
              <w:t>General costs directly related to preparing and implementing the investment, such as fees for architect, engineer and consultation services, fees relating to advisory services on environmental and economic sustainability, including costs of feasibility studies</w:t>
            </w:r>
            <w:r w:rsidRPr="005C3B55">
              <w:rPr>
                <w:rStyle w:val="DeltaViewInsertion"/>
                <w:b w:val="0"/>
                <w:i w:val="0"/>
                <w:szCs w:val="24"/>
              </w:rPr>
              <w:t>.</w:t>
            </w:r>
            <w:r w:rsidRPr="005C3B55">
              <w:rPr>
                <w:noProof/>
                <w:szCs w:val="24"/>
              </w:rPr>
              <w:t xml:space="preserve"> </w:t>
            </w:r>
            <w:r w:rsidRPr="005C3B55">
              <w:rPr>
                <w:szCs w:val="24"/>
              </w:rPr>
              <w:t>The costs of feasibility studies remain eligible costs, even if, based on their results, no expenditure under the first or second points is made.</w:t>
            </w:r>
          </w:p>
          <w:p w:rsidR="00BD3B5F" w:rsidRPr="005C3B55" w:rsidRDefault="00BD3B5F">
            <w:pPr>
              <w:spacing w:before="240" w:after="240"/>
              <w:jc w:val="left"/>
              <w:rPr>
                <w:noProof/>
                <w:szCs w:val="24"/>
              </w:rPr>
            </w:pPr>
            <w:r w:rsidRPr="005C3B55">
              <w:rPr>
                <w:szCs w:val="24"/>
              </w:rPr>
              <w:t>The determination of the amount of eligible costs will take into account the upper limits of individual eligible costs, which will be determined in the Catalogue of the highest values of costs.</w:t>
            </w:r>
            <w:r w:rsidRPr="005C3B55">
              <w:rPr>
                <w:noProof/>
                <w:szCs w:val="24"/>
              </w:rPr>
              <w:t xml:space="preserve"> </w:t>
            </w:r>
            <w:r w:rsidRPr="005C3B55">
              <w:rPr>
                <w:szCs w:val="24"/>
              </w:rPr>
              <w:t>Regardless of this, the beneficiary will have to enclose one bid with the application.</w:t>
            </w:r>
            <w:r w:rsidRPr="005C3B55">
              <w:rPr>
                <w:noProof/>
                <w:szCs w:val="24"/>
              </w:rPr>
              <w:t xml:space="preserve"> </w:t>
            </w:r>
            <w:r w:rsidRPr="005C3B55">
              <w:rPr>
                <w:szCs w:val="24"/>
              </w:rPr>
              <w:t>In the case of values not determined in the Catalogue of the highest values of costs, the beneficiary must enclose three bids.</w:t>
            </w:r>
          </w:p>
          <w:p w:rsidR="00BD3B5F" w:rsidRPr="005C3B55" w:rsidRDefault="00BD3B5F">
            <w:pPr>
              <w:spacing w:before="240" w:after="240"/>
              <w:jc w:val="left"/>
              <w:rPr>
                <w:noProof/>
                <w:szCs w:val="24"/>
              </w:rPr>
            </w:pPr>
            <w:r w:rsidRPr="005C3B55">
              <w:rPr>
                <w:szCs w:val="24"/>
              </w:rPr>
              <w:t>The following costs are not entitled to support:</w:t>
            </w:r>
          </w:p>
          <w:p w:rsidR="00BD3B5F" w:rsidRPr="005C3B55" w:rsidRDefault="00BD3B5F" w:rsidP="00BD3B5F">
            <w:pPr>
              <w:numPr>
                <w:ilvl w:val="0"/>
                <w:numId w:val="193"/>
              </w:numPr>
              <w:spacing w:before="240" w:after="0"/>
              <w:ind w:hanging="290"/>
              <w:jc w:val="left"/>
              <w:rPr>
                <w:noProof/>
                <w:szCs w:val="24"/>
              </w:rPr>
            </w:pPr>
            <w:r w:rsidRPr="005C3B55">
              <w:rPr>
                <w:szCs w:val="24"/>
              </w:rPr>
              <w:t>value added tax (VAT), unless it is recoverable on the basis of the national legislation on VAT,</w:t>
            </w:r>
          </w:p>
          <w:p w:rsidR="00BD3B5F" w:rsidRPr="005C3B55" w:rsidRDefault="00BD3B5F" w:rsidP="00BD3B5F">
            <w:pPr>
              <w:numPr>
                <w:ilvl w:val="0"/>
                <w:numId w:val="193"/>
              </w:numPr>
              <w:spacing w:before="0" w:after="0"/>
              <w:ind w:hanging="290"/>
              <w:jc w:val="left"/>
              <w:rPr>
                <w:noProof/>
                <w:szCs w:val="24"/>
              </w:rPr>
            </w:pPr>
            <w:r w:rsidRPr="005C3B55">
              <w:rPr>
                <w:szCs w:val="24"/>
              </w:rPr>
              <w:t>cost of preparing the application for the public procurement and request for payment,</w:t>
            </w:r>
          </w:p>
          <w:p w:rsidR="00BD3B5F" w:rsidRPr="005C3B55" w:rsidRDefault="00BD3B5F" w:rsidP="00BD3B5F">
            <w:pPr>
              <w:numPr>
                <w:ilvl w:val="0"/>
                <w:numId w:val="193"/>
              </w:numPr>
              <w:spacing w:before="0" w:after="0"/>
              <w:ind w:hanging="290"/>
              <w:jc w:val="left"/>
              <w:rPr>
                <w:noProof/>
                <w:szCs w:val="24"/>
              </w:rPr>
            </w:pPr>
            <w:r w:rsidRPr="005C3B55">
              <w:rPr>
                <w:szCs w:val="24"/>
              </w:rPr>
              <w:t>costs of archaeological works and archaeological supervision,</w:t>
            </w:r>
          </w:p>
          <w:p w:rsidR="00BD3B5F" w:rsidRPr="005C3B55" w:rsidRDefault="00BD3B5F" w:rsidP="00BD3B5F">
            <w:pPr>
              <w:numPr>
                <w:ilvl w:val="0"/>
                <w:numId w:val="193"/>
              </w:numPr>
              <w:spacing w:before="0" w:after="0"/>
              <w:ind w:hanging="290"/>
              <w:jc w:val="left"/>
              <w:rPr>
                <w:noProof/>
                <w:szCs w:val="24"/>
              </w:rPr>
            </w:pPr>
            <w:r w:rsidRPr="005C3B55">
              <w:rPr>
                <w:szCs w:val="24"/>
              </w:rPr>
              <w:t>purchase of used equipment, and</w:t>
            </w:r>
          </w:p>
          <w:p w:rsidR="00BD3B5F" w:rsidRPr="005C3B55" w:rsidRDefault="00BD3B5F" w:rsidP="00BD3B5F">
            <w:pPr>
              <w:numPr>
                <w:ilvl w:val="0"/>
                <w:numId w:val="193"/>
              </w:numPr>
              <w:spacing w:before="0" w:after="240"/>
              <w:ind w:hanging="290"/>
              <w:jc w:val="left"/>
              <w:rPr>
                <w:noProof/>
                <w:szCs w:val="24"/>
              </w:rPr>
            </w:pPr>
            <w:r w:rsidRPr="005C3B55">
              <w:rPr>
                <w:szCs w:val="24"/>
              </w:rPr>
              <w:t>in-kind contribution.</w:t>
            </w:r>
          </w:p>
          <w:p w:rsidR="00BD3B5F" w:rsidRPr="005C3B55" w:rsidRDefault="00BD3B5F">
            <w:pPr>
              <w:spacing w:before="240" w:after="240"/>
              <w:jc w:val="left"/>
              <w:rPr>
                <w:noProof/>
                <w:szCs w:val="24"/>
              </w:rPr>
            </w:pPr>
            <w:r w:rsidRPr="005C3B55">
              <w:rPr>
                <w:szCs w:val="24"/>
              </w:rPr>
              <w:t>In the implementation of this operation, certain specific requirements from the aspect of eligibility of costs as per national regulations will be taken into account.</w:t>
            </w:r>
          </w:p>
          <w:p w:rsidR="00BD3B5F" w:rsidRPr="005C3B55" w:rsidRDefault="00BD3B5F">
            <w:pPr>
              <w:pStyle w:val="Telobesedila"/>
              <w:rPr>
                <w:szCs w:val="24"/>
              </w:rPr>
            </w:pPr>
          </w:p>
        </w:tc>
      </w:tr>
    </w:tbl>
    <w:p w:rsidR="00BD3B5F" w:rsidRPr="005C3B55" w:rsidRDefault="00BD3B5F">
      <w:pPr>
        <w:pStyle w:val="Naslov6"/>
        <w:tabs>
          <w:tab w:val="clear" w:pos="765"/>
        </w:tabs>
        <w:ind w:left="0" w:firstLine="0"/>
        <w:rPr>
          <w:szCs w:val="24"/>
          <w:lang w:val="en-GB"/>
        </w:rPr>
      </w:pPr>
      <w:r w:rsidRPr="005C3B55">
        <w:rPr>
          <w:noProof w:val="0"/>
          <w:szCs w:val="24"/>
          <w:lang w:val="en-GB"/>
        </w:rPr>
        <w:t>Conditions for eligibility</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Joint eligibility conditions for agro-meliorations include:</w:t>
            </w:r>
          </w:p>
          <w:p w:rsidR="00BD3B5F" w:rsidRPr="005C3B55" w:rsidRDefault="00BD3B5F" w:rsidP="00BD3B5F">
            <w:pPr>
              <w:numPr>
                <w:ilvl w:val="0"/>
                <w:numId w:val="194"/>
              </w:numPr>
              <w:spacing w:before="240" w:after="0"/>
              <w:ind w:hanging="290"/>
              <w:jc w:val="left"/>
              <w:rPr>
                <w:noProof/>
                <w:szCs w:val="24"/>
              </w:rPr>
            </w:pPr>
            <w:r w:rsidRPr="005C3B55">
              <w:rPr>
                <w:szCs w:val="24"/>
              </w:rPr>
              <w:t>a final decision by the Ministry of Agriculture, Forestry and Food on the implementation of agro-melioration if the agro-melioration is demanding;</w:t>
            </w:r>
          </w:p>
          <w:p w:rsidR="00BD3B5F" w:rsidRPr="005C3B55" w:rsidRDefault="00BD3B5F" w:rsidP="00BD3B5F">
            <w:pPr>
              <w:numPr>
                <w:ilvl w:val="0"/>
                <w:numId w:val="194"/>
              </w:numPr>
              <w:spacing w:before="0" w:after="0"/>
              <w:ind w:hanging="290"/>
              <w:jc w:val="left"/>
              <w:rPr>
                <w:noProof/>
                <w:szCs w:val="24"/>
              </w:rPr>
            </w:pPr>
            <w:r w:rsidRPr="005C3B55">
              <w:rPr>
                <w:szCs w:val="24"/>
              </w:rPr>
              <w:t>permits and consents to implement the agro-melioration if the agro-melioration is undemanding;</w:t>
            </w:r>
          </w:p>
          <w:p w:rsidR="00BD3B5F" w:rsidRPr="005C3B55" w:rsidRDefault="00BD3B5F" w:rsidP="00BD3B5F">
            <w:pPr>
              <w:numPr>
                <w:ilvl w:val="0"/>
                <w:numId w:val="194"/>
              </w:numPr>
              <w:spacing w:before="0" w:after="0"/>
              <w:ind w:hanging="290"/>
              <w:jc w:val="left"/>
              <w:rPr>
                <w:noProof/>
                <w:szCs w:val="24"/>
              </w:rPr>
            </w:pPr>
            <w:r w:rsidRPr="005C3B55">
              <w:rPr>
                <w:szCs w:val="24"/>
              </w:rPr>
              <w:t>a preliminary assessment procedure must be carried out for all agro-melioration and land consolidation projects which apply to tenders of the European Agricultural Funds for Rural Development (EAFRD) on the basis of the Decree on the categories of activities for which an environmental impact assessment is mandatory (Official Gazette of the Republic of Slovenia, no. 51/14, with all amendments) before the submission of the application to the public procurement.</w:t>
            </w:r>
            <w:r w:rsidRPr="005C3B55">
              <w:rPr>
                <w:noProof/>
                <w:szCs w:val="24"/>
              </w:rPr>
              <w:t xml:space="preserve"> </w:t>
            </w:r>
            <w:r w:rsidRPr="005C3B55">
              <w:rPr>
                <w:szCs w:val="24"/>
              </w:rPr>
              <w:t>If a significant environmental impact is established, it is necessary to conduct an environmental impact assessment, which includes an assessment of the acceptability of the impact on Natura 2000 sites. The environmental impact assessment ends with the issuing of an environment protection consent.</w:t>
            </w:r>
            <w:r w:rsidRPr="005C3B55">
              <w:rPr>
                <w:noProof/>
                <w:szCs w:val="24"/>
              </w:rPr>
              <w:t xml:space="preserve"> </w:t>
            </w:r>
            <w:r w:rsidRPr="005C3B55">
              <w:rPr>
                <w:szCs w:val="24"/>
              </w:rPr>
              <w:t>The requirements referred to in Article 6 of Directive 92/43/EEC are also implemented in this process, and</w:t>
            </w:r>
          </w:p>
          <w:p w:rsidR="00BD3B5F" w:rsidRPr="005C3B55" w:rsidRDefault="00BD3B5F" w:rsidP="00BD3B5F">
            <w:pPr>
              <w:numPr>
                <w:ilvl w:val="0"/>
                <w:numId w:val="194"/>
              </w:numPr>
              <w:spacing w:before="0" w:after="240"/>
              <w:ind w:hanging="290"/>
              <w:jc w:val="left"/>
              <w:rPr>
                <w:noProof/>
                <w:szCs w:val="24"/>
              </w:rPr>
            </w:pPr>
            <w:r w:rsidRPr="005C3B55">
              <w:rPr>
                <w:szCs w:val="24"/>
              </w:rPr>
              <w:t>a final decision on the implementation of land consolidation or a decision on a new division of land in the land consolidation fund.</w:t>
            </w:r>
          </w:p>
          <w:p w:rsidR="00BD3B5F" w:rsidRPr="005C3B55" w:rsidRDefault="00BD3B5F">
            <w:pPr>
              <w:spacing w:before="240" w:after="240"/>
              <w:jc w:val="left"/>
              <w:rPr>
                <w:noProof/>
                <w:szCs w:val="24"/>
              </w:rPr>
            </w:pPr>
            <w:r w:rsidRPr="005C3B55">
              <w:rPr>
                <w:szCs w:val="24"/>
              </w:rPr>
              <w:t>Specific conditions in the case of enforcing costs of land consolidation:</w:t>
            </w:r>
          </w:p>
          <w:p w:rsidR="00BD3B5F" w:rsidRPr="005C3B55" w:rsidRDefault="00BD3B5F" w:rsidP="00BD3B5F">
            <w:pPr>
              <w:numPr>
                <w:ilvl w:val="0"/>
                <w:numId w:val="195"/>
              </w:numPr>
              <w:spacing w:before="240" w:after="0"/>
              <w:ind w:hanging="290"/>
              <w:jc w:val="left"/>
              <w:rPr>
                <w:noProof/>
                <w:szCs w:val="24"/>
              </w:rPr>
            </w:pPr>
            <w:r w:rsidRPr="005C3B55">
              <w:rPr>
                <w:szCs w:val="24"/>
              </w:rPr>
              <w:t>according to municipal spatial acts, the area of land consolidation must not include more than 30% non-agricultural land,</w:t>
            </w:r>
          </w:p>
          <w:p w:rsidR="00BD3B5F" w:rsidRPr="005C3B55" w:rsidRDefault="00BD3B5F" w:rsidP="00BD3B5F">
            <w:pPr>
              <w:numPr>
                <w:ilvl w:val="0"/>
                <w:numId w:val="195"/>
              </w:numPr>
              <w:spacing w:before="0" w:after="0"/>
              <w:ind w:hanging="290"/>
              <w:jc w:val="left"/>
              <w:rPr>
                <w:noProof/>
                <w:szCs w:val="24"/>
              </w:rPr>
            </w:pPr>
            <w:r w:rsidRPr="005C3B55">
              <w:rPr>
                <w:szCs w:val="24"/>
              </w:rPr>
              <w:t>only those areas of land consolidation on which the average number of land plots per hectare exceeds two land plots per hectare are entitled to support for the implementation of land consolidation,</w:t>
            </w:r>
          </w:p>
          <w:p w:rsidR="00BD3B5F" w:rsidRPr="005C3B55" w:rsidRDefault="00BD3B5F" w:rsidP="00BD3B5F">
            <w:pPr>
              <w:numPr>
                <w:ilvl w:val="0"/>
                <w:numId w:val="195"/>
              </w:numPr>
              <w:spacing w:before="0" w:after="0"/>
              <w:ind w:hanging="290"/>
              <w:jc w:val="left"/>
              <w:rPr>
                <w:noProof/>
                <w:szCs w:val="24"/>
              </w:rPr>
            </w:pPr>
            <w:r w:rsidRPr="005C3B55">
              <w:rPr>
                <w:szCs w:val="24"/>
              </w:rPr>
              <w:t>a final decision of the relevant administrative unit of the introduction of land consolidation, and</w:t>
            </w:r>
          </w:p>
          <w:p w:rsidR="00BD3B5F" w:rsidRPr="005C3B55" w:rsidRDefault="00BD3B5F" w:rsidP="00BD3B5F">
            <w:pPr>
              <w:numPr>
                <w:ilvl w:val="0"/>
                <w:numId w:val="195"/>
              </w:numPr>
              <w:spacing w:before="0" w:after="240"/>
              <w:ind w:hanging="290"/>
              <w:jc w:val="left"/>
              <w:rPr>
                <w:noProof/>
                <w:szCs w:val="24"/>
              </w:rPr>
            </w:pPr>
            <w:r w:rsidRPr="005C3B55">
              <w:rPr>
                <w:szCs w:val="24"/>
              </w:rPr>
              <w:t>all other permits and consents for the implementation of land consolidation.</w:t>
            </w:r>
          </w:p>
          <w:p w:rsidR="00BD3B5F" w:rsidRPr="005C3B55" w:rsidRDefault="00BD3B5F">
            <w:pPr>
              <w:pStyle w:val="Telobesedila"/>
              <w:rPr>
                <w:szCs w:val="24"/>
              </w:rPr>
            </w:pPr>
          </w:p>
        </w:tc>
      </w:tr>
    </w:tbl>
    <w:p w:rsidR="00BD3B5F" w:rsidRPr="005C3B55" w:rsidRDefault="00BD3B5F">
      <w:pPr>
        <w:pStyle w:val="Naslov6"/>
        <w:tabs>
          <w:tab w:val="clear" w:pos="765"/>
        </w:tabs>
        <w:ind w:left="0" w:firstLine="0"/>
        <w:rPr>
          <w:szCs w:val="24"/>
          <w:lang w:val="en-GB"/>
        </w:rPr>
      </w:pPr>
      <w:r w:rsidRPr="005C3B55">
        <w:rPr>
          <w:noProof w:val="0"/>
          <w:szCs w:val="24"/>
          <w:lang w:val="en-GB"/>
        </w:rPr>
        <w:t>Principles regarding the determination of selection criteria</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The operation will be implemented as a closed public tender.</w:t>
            </w:r>
          </w:p>
          <w:p w:rsidR="00BD3B5F" w:rsidRPr="005C3B55" w:rsidRDefault="00BD3B5F">
            <w:pPr>
              <w:spacing w:before="240" w:after="240"/>
              <w:jc w:val="left"/>
              <w:rPr>
                <w:noProof/>
                <w:szCs w:val="24"/>
              </w:rPr>
            </w:pPr>
            <w:r w:rsidRPr="005C3B55">
              <w:rPr>
                <w:szCs w:val="24"/>
              </w:rPr>
              <w:t>Selected projects whose applications are complete and adequate in terms of content and which meet the conditions for receiving funds and exceed the threshold number of points determined in the public tender will be eligible for support.</w:t>
            </w:r>
            <w:r w:rsidRPr="005C3B55">
              <w:rPr>
                <w:noProof/>
                <w:szCs w:val="24"/>
              </w:rPr>
              <w:t xml:space="preserve"> </w:t>
            </w:r>
            <w:r w:rsidRPr="005C3B55">
              <w:rPr>
                <w:szCs w:val="24"/>
              </w:rPr>
              <w:t>Applications which score a higher number of points will be selected from among applications that exceed the threshold number of points until the funds available in the public tender are distributed.</w:t>
            </w:r>
            <w:r w:rsidRPr="005C3B55">
              <w:rPr>
                <w:noProof/>
                <w:szCs w:val="24"/>
              </w:rPr>
              <w:t xml:space="preserve"> </w:t>
            </w:r>
            <w:r w:rsidRPr="005C3B55">
              <w:rPr>
                <w:szCs w:val="24"/>
              </w:rPr>
              <w:t>As part of the selection criteria, the greatest emphasis will be on the economic aspect of the investment (for example, internal rate of return), contribution to horizontal objectives and the regional aspect of the investment (for example, location of the investment in terms of the level of development risk of regions).</w:t>
            </w:r>
          </w:p>
          <w:p w:rsidR="00BD3B5F" w:rsidRPr="005C3B55" w:rsidRDefault="00BD3B5F">
            <w:pPr>
              <w:spacing w:before="240" w:after="240"/>
              <w:jc w:val="left"/>
              <w:rPr>
                <w:noProof/>
                <w:szCs w:val="24"/>
              </w:rPr>
            </w:pPr>
            <w:r w:rsidRPr="005C3B55">
              <w:rPr>
                <w:noProof/>
                <w:szCs w:val="24"/>
              </w:rPr>
              <w:t> </w:t>
            </w:r>
          </w:p>
          <w:p w:rsidR="00BD3B5F" w:rsidRPr="005C3B55" w:rsidRDefault="00BD3B5F">
            <w:pPr>
              <w:pStyle w:val="Telobesedila"/>
              <w:rPr>
                <w:szCs w:val="24"/>
              </w:rPr>
            </w:pPr>
          </w:p>
        </w:tc>
      </w:tr>
    </w:tbl>
    <w:p w:rsidR="00BD3B5F" w:rsidRPr="005C3B55" w:rsidRDefault="00BD3B5F">
      <w:pPr>
        <w:pStyle w:val="Naslov6"/>
        <w:tabs>
          <w:tab w:val="clear" w:pos="765"/>
        </w:tabs>
        <w:ind w:left="0" w:firstLine="0"/>
        <w:rPr>
          <w:szCs w:val="24"/>
          <w:lang w:val="en-GB"/>
        </w:rPr>
      </w:pPr>
      <w:r w:rsidRPr="005C3B55">
        <w:rPr>
          <w:noProof w:val="0"/>
          <w:szCs w:val="24"/>
          <w:lang w:val="en-GB"/>
        </w:rPr>
        <w:t>(Valid) amounts and support rates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The public support rate amounts to 100% of eligible costs.</w:t>
            </w:r>
          </w:p>
          <w:p w:rsidR="00BD3B5F" w:rsidRPr="005C3B55" w:rsidRDefault="00BD3B5F">
            <w:pPr>
              <w:spacing w:before="240" w:after="240"/>
              <w:jc w:val="left"/>
              <w:rPr>
                <w:noProof/>
                <w:szCs w:val="24"/>
              </w:rPr>
            </w:pPr>
            <w:r w:rsidRPr="005C3B55">
              <w:rPr>
                <w:szCs w:val="24"/>
              </w:rPr>
              <w:t>The lowest amount of public support per application is EUR 2,000.</w:t>
            </w:r>
          </w:p>
          <w:p w:rsidR="00BD3B5F" w:rsidRPr="005C3B55" w:rsidRDefault="00BD3B5F">
            <w:pPr>
              <w:spacing w:before="240" w:after="240"/>
              <w:jc w:val="left"/>
              <w:rPr>
                <w:noProof/>
                <w:szCs w:val="24"/>
              </w:rPr>
            </w:pPr>
            <w:r w:rsidRPr="005C3B55">
              <w:rPr>
                <w:szCs w:val="24"/>
              </w:rPr>
              <w:t>The beneficiaries to support in investments may in accordance with point 4 of Article 45 of Regulation (EU) No 1305/2013 request for advance payment at the Paying Agency after the issue of the decision on the entitlement to funds in the amount of 30% of the public support.</w:t>
            </w:r>
          </w:p>
          <w:p w:rsidR="00BD3B5F" w:rsidRPr="005C3B55" w:rsidRDefault="00BD3B5F">
            <w:pPr>
              <w:pStyle w:val="Telobesedila"/>
              <w:rPr>
                <w:szCs w:val="24"/>
              </w:rPr>
            </w:pPr>
          </w:p>
        </w:tc>
      </w:tr>
    </w:tbl>
    <w:p w:rsidR="00BD3B5F" w:rsidRPr="005C3B55" w:rsidRDefault="00BD3B5F">
      <w:pPr>
        <w:pStyle w:val="Naslov6"/>
        <w:tabs>
          <w:tab w:val="clear" w:pos="765"/>
        </w:tabs>
        <w:ind w:left="0" w:firstLine="0"/>
        <w:rPr>
          <w:szCs w:val="24"/>
          <w:lang w:val="en-GB"/>
        </w:rPr>
      </w:pPr>
      <w:r w:rsidRPr="005C3B55">
        <w:rPr>
          <w:noProof w:val="0"/>
          <w:szCs w:val="24"/>
          <w:lang w:val="en-GB"/>
        </w:rPr>
        <w:t>Verifiability and possibility of control of measures and/or type of operations</w:t>
      </w:r>
    </w:p>
    <w:p w:rsidR="00BD3B5F" w:rsidRPr="005C3B55" w:rsidRDefault="00BD3B5F">
      <w:pPr>
        <w:pStyle w:val="Naslov7"/>
        <w:tabs>
          <w:tab w:val="clear" w:pos="765"/>
        </w:tabs>
        <w:ind w:left="0" w:firstLine="0"/>
        <w:rPr>
          <w:szCs w:val="24"/>
          <w:lang w:val="en-GB"/>
        </w:rPr>
      </w:pPr>
      <w:r w:rsidRPr="005C3B55">
        <w:rPr>
          <w:noProof w:val="0"/>
          <w:szCs w:val="24"/>
          <w:lang w:val="en-GB"/>
        </w:rPr>
        <w:t>Risks in the implementation of the measure</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b/>
                <w:noProof/>
                <w:szCs w:val="24"/>
              </w:rPr>
              <w:t xml:space="preserve">R1: </w:t>
            </w:r>
            <w:r w:rsidRPr="005C3B55">
              <w:rPr>
                <w:b/>
                <w:szCs w:val="24"/>
              </w:rPr>
              <w:t>Application conditions for private beneficiaries</w:t>
            </w:r>
          </w:p>
          <w:p w:rsidR="00BD3B5F" w:rsidRPr="005C3B55" w:rsidRDefault="00BD3B5F">
            <w:pPr>
              <w:spacing w:before="240" w:after="240"/>
              <w:jc w:val="left"/>
              <w:rPr>
                <w:noProof/>
                <w:szCs w:val="24"/>
              </w:rPr>
            </w:pPr>
            <w:r w:rsidRPr="005C3B55">
              <w:rPr>
                <w:szCs w:val="24"/>
              </w:rPr>
              <w:t>The implementation procedure is based on regulations regulating general administrative procedures.</w:t>
            </w:r>
            <w:r w:rsidRPr="005C3B55">
              <w:rPr>
                <w:noProof/>
                <w:szCs w:val="24"/>
              </w:rPr>
              <w:t xml:space="preserve"> </w:t>
            </w:r>
            <w:r w:rsidRPr="005C3B55">
              <w:rPr>
                <w:szCs w:val="24"/>
              </w:rPr>
              <w:t>Selection procedures may be lengthy (they may take more than six months) due to the statutory deadlines.</w:t>
            </w:r>
            <w:r w:rsidRPr="005C3B55">
              <w:rPr>
                <w:noProof/>
                <w:szCs w:val="24"/>
              </w:rPr>
              <w:t xml:space="preserve"> </w:t>
            </w:r>
            <w:r w:rsidRPr="005C3B55">
              <w:rPr>
                <w:szCs w:val="24"/>
              </w:rPr>
              <w:t>During this period, conditions in the market may change significantly, which raises doubts regarding the implementation of already approved projects.</w:t>
            </w:r>
          </w:p>
          <w:p w:rsidR="00BD3B5F" w:rsidRPr="005C3B55" w:rsidRDefault="00BD3B5F">
            <w:pPr>
              <w:spacing w:before="240" w:after="240"/>
              <w:jc w:val="left"/>
              <w:rPr>
                <w:noProof/>
                <w:szCs w:val="24"/>
              </w:rPr>
            </w:pPr>
            <w:r w:rsidRPr="005C3B55">
              <w:rPr>
                <w:b/>
                <w:noProof/>
                <w:szCs w:val="24"/>
              </w:rPr>
              <w:t xml:space="preserve">R4: </w:t>
            </w:r>
            <w:r w:rsidRPr="005C3B55">
              <w:rPr>
                <w:b/>
                <w:szCs w:val="24"/>
              </w:rPr>
              <w:t>Public procurement</w:t>
            </w:r>
          </w:p>
          <w:p w:rsidR="00BD3B5F" w:rsidRPr="005C3B55" w:rsidRDefault="00BD3B5F">
            <w:pPr>
              <w:spacing w:before="240" w:after="240"/>
              <w:jc w:val="left"/>
              <w:rPr>
                <w:noProof/>
                <w:szCs w:val="24"/>
              </w:rPr>
            </w:pPr>
            <w:r w:rsidRPr="005C3B55">
              <w:rPr>
                <w:szCs w:val="24"/>
              </w:rPr>
              <w:t>The risks in the implementation of the measure are, in particular, the long period needed to implement the public procurement procedure, complaints and review procedures, and possible agreements between providers.</w:t>
            </w:r>
          </w:p>
          <w:p w:rsidR="00BD3B5F" w:rsidRPr="005C3B55" w:rsidRDefault="00BD3B5F">
            <w:pPr>
              <w:spacing w:before="240" w:after="240"/>
              <w:jc w:val="left"/>
              <w:rPr>
                <w:noProof/>
                <w:szCs w:val="24"/>
              </w:rPr>
            </w:pPr>
            <w:r w:rsidRPr="005C3B55">
              <w:rPr>
                <w:b/>
                <w:noProof/>
                <w:szCs w:val="24"/>
              </w:rPr>
              <w:t xml:space="preserve">R3: </w:t>
            </w:r>
            <w:r w:rsidRPr="005C3B55">
              <w:rPr>
                <w:b/>
                <w:szCs w:val="24"/>
              </w:rPr>
              <w:t>Suitable overview and control system</w:t>
            </w:r>
          </w:p>
          <w:p w:rsidR="00BD3B5F" w:rsidRPr="005C3B55" w:rsidRDefault="00BD3B5F">
            <w:pPr>
              <w:spacing w:before="240" w:after="240"/>
              <w:jc w:val="left"/>
              <w:rPr>
                <w:noProof/>
                <w:szCs w:val="24"/>
              </w:rPr>
            </w:pPr>
            <w:r w:rsidRPr="005C3B55">
              <w:rPr>
                <w:szCs w:val="24"/>
              </w:rPr>
              <w:t>The greatest problem is the inadequate connection between databases in the public administration.</w:t>
            </w:r>
            <w:r w:rsidRPr="005C3B55">
              <w:rPr>
                <w:noProof/>
                <w:szCs w:val="24"/>
              </w:rPr>
              <w:t xml:space="preserve"> </w:t>
            </w:r>
            <w:r w:rsidRPr="005C3B55">
              <w:rPr>
                <w:szCs w:val="24"/>
              </w:rPr>
              <w:t>This can result in an increased risk of dual co-funding of the same eligible costs.</w:t>
            </w:r>
          </w:p>
          <w:p w:rsidR="00BD3B5F" w:rsidRPr="005C3B55" w:rsidRDefault="00BD3B5F">
            <w:pPr>
              <w:spacing w:before="240" w:after="240"/>
              <w:jc w:val="left"/>
              <w:rPr>
                <w:noProof/>
                <w:szCs w:val="24"/>
              </w:rPr>
            </w:pPr>
            <w:r w:rsidRPr="005C3B55">
              <w:rPr>
                <w:b/>
                <w:noProof/>
                <w:szCs w:val="24"/>
              </w:rPr>
              <w:t xml:space="preserve">R7: </w:t>
            </w:r>
            <w:r w:rsidRPr="005C3B55">
              <w:rPr>
                <w:b/>
                <w:szCs w:val="24"/>
              </w:rPr>
              <w:t>Selection of beneficiaries</w:t>
            </w:r>
          </w:p>
          <w:p w:rsidR="00BD3B5F" w:rsidRPr="005C3B55" w:rsidRDefault="00BD3B5F">
            <w:pPr>
              <w:spacing w:before="240" w:after="240"/>
              <w:jc w:val="left"/>
              <w:rPr>
                <w:noProof/>
                <w:szCs w:val="24"/>
              </w:rPr>
            </w:pPr>
            <w:r w:rsidRPr="005C3B55">
              <w:rPr>
                <w:szCs w:val="24"/>
              </w:rPr>
              <w:t>There is the possibility of risk due to the lack of information for beneficiaries and persons responsible for the preparation of application and a lack of understanding of the requirements from the regulations.</w:t>
            </w:r>
          </w:p>
          <w:p w:rsidR="00BD3B5F" w:rsidRPr="005C3B55" w:rsidRDefault="00BD3B5F">
            <w:pPr>
              <w:spacing w:before="240" w:after="240"/>
              <w:jc w:val="left"/>
              <w:rPr>
                <w:noProof/>
                <w:szCs w:val="24"/>
              </w:rPr>
            </w:pPr>
            <w:r w:rsidRPr="005C3B55">
              <w:rPr>
                <w:b/>
                <w:noProof/>
                <w:szCs w:val="24"/>
              </w:rPr>
              <w:t xml:space="preserve">R8: </w:t>
            </w:r>
            <w:r w:rsidRPr="005C3B55">
              <w:rPr>
                <w:b/>
                <w:szCs w:val="24"/>
              </w:rPr>
              <w:t>IT systems</w:t>
            </w:r>
          </w:p>
          <w:p w:rsidR="00BD3B5F" w:rsidRPr="005C3B55" w:rsidRDefault="00BD3B5F">
            <w:pPr>
              <w:spacing w:before="240" w:after="240"/>
              <w:jc w:val="left"/>
              <w:rPr>
                <w:noProof/>
                <w:szCs w:val="24"/>
              </w:rPr>
            </w:pPr>
            <w:r w:rsidRPr="005C3B55">
              <w:rPr>
                <w:szCs w:val="24"/>
              </w:rPr>
              <w:t>There is a risk of an IT system that is inadequate for the submission of applications to the public procurement and requests for payment, and which is not advanced and does not provide sufficient support.</w:t>
            </w:r>
            <w:r w:rsidRPr="005C3B55">
              <w:rPr>
                <w:noProof/>
                <w:szCs w:val="24"/>
              </w:rPr>
              <w:t xml:space="preserve"> </w:t>
            </w:r>
            <w:r w:rsidRPr="005C3B55">
              <w:rPr>
                <w:szCs w:val="24"/>
              </w:rPr>
              <w:t>There is also a risk that potential beneficiaries will not be skilled at using this system and that the system will not function optimally.</w:t>
            </w:r>
          </w:p>
          <w:p w:rsidR="00BD3B5F" w:rsidRPr="005C3B55" w:rsidRDefault="00BD3B5F">
            <w:pPr>
              <w:spacing w:before="240" w:after="240"/>
              <w:jc w:val="left"/>
              <w:rPr>
                <w:noProof/>
                <w:szCs w:val="24"/>
              </w:rPr>
            </w:pPr>
            <w:r w:rsidRPr="005C3B55">
              <w:rPr>
                <w:b/>
                <w:noProof/>
                <w:szCs w:val="24"/>
              </w:rPr>
              <w:t xml:space="preserve">R9: </w:t>
            </w:r>
            <w:r w:rsidRPr="005C3B55">
              <w:rPr>
                <w:b/>
                <w:szCs w:val="24"/>
              </w:rPr>
              <w:t>Requests for payment</w:t>
            </w:r>
          </w:p>
          <w:p w:rsidR="00BD3B5F" w:rsidRPr="005C3B55" w:rsidRDefault="00BD3B5F">
            <w:pPr>
              <w:spacing w:before="240" w:after="240"/>
              <w:jc w:val="left"/>
              <w:rPr>
                <w:noProof/>
                <w:szCs w:val="24"/>
              </w:rPr>
            </w:pPr>
            <w:r w:rsidRPr="005C3B55">
              <w:rPr>
                <w:szCs w:val="24"/>
              </w:rPr>
              <w:t>A request for the payment is honoured within 30 days following the submission of a complete request for payment.</w:t>
            </w:r>
            <w:r w:rsidRPr="005C3B55">
              <w:rPr>
                <w:noProof/>
                <w:szCs w:val="24"/>
              </w:rPr>
              <w:t xml:space="preserve"> </w:t>
            </w:r>
            <w:r w:rsidRPr="005C3B55">
              <w:rPr>
                <w:szCs w:val="24"/>
              </w:rPr>
              <w:t>There are no delays in this part.</w:t>
            </w:r>
            <w:r w:rsidRPr="005C3B55">
              <w:rPr>
                <w:noProof/>
                <w:szCs w:val="24"/>
              </w:rPr>
              <w:t xml:space="preserve"> </w:t>
            </w:r>
            <w:r w:rsidRPr="005C3B55">
              <w:rPr>
                <w:szCs w:val="24"/>
              </w:rPr>
              <w:t>The greatest risk arises in reviewing and verifying the eligibility of requests for payment.</w:t>
            </w:r>
            <w:r w:rsidRPr="005C3B55">
              <w:rPr>
                <w:noProof/>
                <w:szCs w:val="24"/>
              </w:rPr>
              <w:t xml:space="preserve"> </w:t>
            </w:r>
            <w:r w:rsidRPr="005C3B55">
              <w:rPr>
                <w:szCs w:val="24"/>
              </w:rPr>
              <w:t>The procedure of processing them may be delayed by several months due to their incompleteness and insufficiently prepared requests for payment.</w:t>
            </w:r>
          </w:p>
          <w:p w:rsidR="00BD3B5F" w:rsidRPr="005C3B55" w:rsidRDefault="00BD3B5F">
            <w:pPr>
              <w:spacing w:before="240" w:after="240"/>
              <w:jc w:val="left"/>
              <w:rPr>
                <w:noProof/>
                <w:szCs w:val="24"/>
              </w:rPr>
            </w:pPr>
            <w:r w:rsidRPr="005C3B55">
              <w:rPr>
                <w:b/>
                <w:szCs w:val="24"/>
              </w:rPr>
              <w:t>Impact on the environment</w:t>
            </w:r>
          </w:p>
          <w:p w:rsidR="00BD3B5F" w:rsidRPr="005C3B55" w:rsidRDefault="00BD3B5F">
            <w:pPr>
              <w:spacing w:before="240" w:after="240"/>
              <w:jc w:val="left"/>
              <w:rPr>
                <w:noProof/>
                <w:szCs w:val="24"/>
              </w:rPr>
            </w:pPr>
            <w:r w:rsidRPr="005C3B55">
              <w:rPr>
                <w:szCs w:val="24"/>
              </w:rPr>
              <w:t>The promotion of competitiveness may lead to an excessive concentration of production, which may result in reduced biodiversity and an increased environmental risk.</w:t>
            </w:r>
          </w:p>
          <w:p w:rsidR="00BD3B5F" w:rsidRPr="005C3B55" w:rsidRDefault="00BD3B5F">
            <w:pPr>
              <w:pStyle w:val="Telobesedila"/>
              <w:rPr>
                <w:szCs w:val="24"/>
              </w:rPr>
            </w:pPr>
          </w:p>
        </w:tc>
      </w:tr>
    </w:tbl>
    <w:p w:rsidR="00BD3B5F" w:rsidRPr="005C3B55" w:rsidRDefault="00BD3B5F">
      <w:pPr>
        <w:pStyle w:val="Naslov7"/>
        <w:tabs>
          <w:tab w:val="clear" w:pos="765"/>
        </w:tabs>
        <w:ind w:left="0" w:firstLine="0"/>
        <w:rPr>
          <w:szCs w:val="24"/>
          <w:lang w:val="en-GB"/>
        </w:rPr>
      </w:pPr>
      <w:r w:rsidRPr="005C3B55">
        <w:rPr>
          <w:noProof w:val="0"/>
          <w:szCs w:val="24"/>
          <w:lang w:val="en-GB"/>
        </w:rPr>
        <w:t>Mitigation measures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b/>
                <w:noProof/>
                <w:szCs w:val="24"/>
              </w:rPr>
              <w:t xml:space="preserve">R1: </w:t>
            </w:r>
            <w:r w:rsidRPr="005C3B55">
              <w:rPr>
                <w:b/>
                <w:szCs w:val="24"/>
              </w:rPr>
              <w:t>Application conditions for private beneficiaries</w:t>
            </w:r>
          </w:p>
          <w:p w:rsidR="00BD3B5F" w:rsidRPr="005C3B55" w:rsidRDefault="00BD3B5F">
            <w:pPr>
              <w:spacing w:before="240" w:after="240"/>
              <w:jc w:val="left"/>
              <w:rPr>
                <w:noProof/>
                <w:szCs w:val="24"/>
              </w:rPr>
            </w:pPr>
            <w:r w:rsidRPr="005C3B55">
              <w:rPr>
                <w:szCs w:val="24"/>
              </w:rPr>
              <w:t>The duration of administrative procedures cannot be influenced.</w:t>
            </w:r>
            <w:r w:rsidRPr="005C3B55">
              <w:rPr>
                <w:noProof/>
                <w:szCs w:val="24"/>
              </w:rPr>
              <w:t xml:space="preserve"> </w:t>
            </w:r>
            <w:r w:rsidRPr="005C3B55">
              <w:rPr>
                <w:szCs w:val="24"/>
              </w:rPr>
              <w:t>However, the dissemination of information to potential beneficiaries on the measures and selection procedures of beneficiaries will be improved.</w:t>
            </w:r>
            <w:r w:rsidRPr="005C3B55">
              <w:rPr>
                <w:noProof/>
                <w:szCs w:val="24"/>
              </w:rPr>
              <w:t xml:space="preserve"> </w:t>
            </w:r>
            <w:r w:rsidRPr="005C3B55">
              <w:rPr>
                <w:szCs w:val="24"/>
              </w:rPr>
              <w:t>Applications are submitted electronically, which shortens the time of application processing.</w:t>
            </w:r>
            <w:r w:rsidRPr="005C3B55">
              <w:rPr>
                <w:noProof/>
                <w:szCs w:val="24"/>
              </w:rPr>
              <w:t xml:space="preserve"> </w:t>
            </w:r>
            <w:r w:rsidRPr="005C3B55">
              <w:rPr>
                <w:szCs w:val="24"/>
              </w:rPr>
              <w:t>Efforts to improve the unification of public procurements and the clarity of conditions are set to continue, which will contribute to making applications more complete.</w:t>
            </w:r>
            <w:r w:rsidRPr="005C3B55">
              <w:rPr>
                <w:noProof/>
                <w:szCs w:val="24"/>
              </w:rPr>
              <w:t xml:space="preserve"> </w:t>
            </w:r>
            <w:r w:rsidRPr="005C3B55">
              <w:rPr>
                <w:szCs w:val="24"/>
              </w:rPr>
              <w:t>This will somewhat reduce the risk.</w:t>
            </w:r>
            <w:r w:rsidRPr="005C3B55">
              <w:rPr>
                <w:noProof/>
                <w:szCs w:val="24"/>
              </w:rPr>
              <w:t xml:space="preserve"> </w:t>
            </w:r>
            <w:r w:rsidRPr="005C3B55">
              <w:rPr>
                <w:szCs w:val="24"/>
              </w:rPr>
              <w:t>With changes to the Agriculture Act (Official Gazette of the Republic of Slovenia, no. 45/2008 with all amendments) introduced in 2014, the provisions of the administrative procedure were changed in order to make the procedure more economical and to accelerate application processing.</w:t>
            </w:r>
          </w:p>
          <w:p w:rsidR="00BD3B5F" w:rsidRPr="005C3B55" w:rsidRDefault="00BD3B5F">
            <w:pPr>
              <w:spacing w:before="240" w:after="240"/>
              <w:jc w:val="left"/>
              <w:rPr>
                <w:noProof/>
                <w:szCs w:val="24"/>
              </w:rPr>
            </w:pPr>
            <w:r w:rsidRPr="005C3B55">
              <w:rPr>
                <w:b/>
                <w:noProof/>
                <w:szCs w:val="24"/>
              </w:rPr>
              <w:t xml:space="preserve">R4: </w:t>
            </w:r>
            <w:r w:rsidRPr="005C3B55">
              <w:rPr>
                <w:b/>
                <w:szCs w:val="24"/>
              </w:rPr>
              <w:t>Public procurement</w:t>
            </w:r>
          </w:p>
          <w:p w:rsidR="00BD3B5F" w:rsidRPr="005C3B55" w:rsidRDefault="00BD3B5F">
            <w:pPr>
              <w:spacing w:before="240" w:after="240"/>
              <w:jc w:val="left"/>
              <w:rPr>
                <w:noProof/>
                <w:szCs w:val="24"/>
              </w:rPr>
            </w:pPr>
            <w:r w:rsidRPr="005C3B55">
              <w:rPr>
                <w:szCs w:val="24"/>
              </w:rPr>
              <w:t>The mitigation measures are timely commenced public procurement procedures for the selection of contractors, well-prepared public procurement and tender documentation.</w:t>
            </w:r>
          </w:p>
          <w:p w:rsidR="00BD3B5F" w:rsidRPr="005C3B55" w:rsidRDefault="00BD3B5F">
            <w:pPr>
              <w:spacing w:before="240" w:after="240"/>
              <w:jc w:val="left"/>
              <w:rPr>
                <w:noProof/>
                <w:szCs w:val="24"/>
              </w:rPr>
            </w:pPr>
            <w:r w:rsidRPr="005C3B55">
              <w:rPr>
                <w:b/>
                <w:noProof/>
                <w:szCs w:val="24"/>
              </w:rPr>
              <w:t xml:space="preserve">R3: </w:t>
            </w:r>
            <w:r w:rsidRPr="005C3B55">
              <w:rPr>
                <w:b/>
                <w:szCs w:val="24"/>
              </w:rPr>
              <w:t>Suitable overview and control system</w:t>
            </w:r>
          </w:p>
          <w:p w:rsidR="00BD3B5F" w:rsidRPr="005C3B55" w:rsidRDefault="00BD3B5F">
            <w:pPr>
              <w:spacing w:before="240" w:after="240"/>
              <w:jc w:val="left"/>
              <w:rPr>
                <w:noProof/>
                <w:szCs w:val="24"/>
              </w:rPr>
            </w:pPr>
            <w:r w:rsidRPr="005C3B55">
              <w:rPr>
                <w:szCs w:val="24"/>
              </w:rPr>
              <w:t>The connectivity of databases within the public administration will be improved.</w:t>
            </w:r>
            <w:r w:rsidRPr="005C3B55">
              <w:rPr>
                <w:noProof/>
                <w:szCs w:val="24"/>
              </w:rPr>
              <w:t xml:space="preserve"> </w:t>
            </w:r>
            <w:r w:rsidRPr="005C3B55">
              <w:rPr>
                <w:szCs w:val="24"/>
              </w:rPr>
              <w:t>The demarcation of the contents of eligible costs in relation to other funds will be more precisely defined.</w:t>
            </w:r>
          </w:p>
          <w:p w:rsidR="00BD3B5F" w:rsidRPr="005C3B55" w:rsidRDefault="00BD3B5F">
            <w:pPr>
              <w:spacing w:before="240" w:after="240"/>
              <w:jc w:val="left"/>
              <w:rPr>
                <w:noProof/>
                <w:szCs w:val="24"/>
              </w:rPr>
            </w:pPr>
            <w:r w:rsidRPr="005C3B55">
              <w:rPr>
                <w:b/>
                <w:noProof/>
                <w:szCs w:val="24"/>
              </w:rPr>
              <w:t xml:space="preserve">R7: </w:t>
            </w:r>
            <w:r w:rsidRPr="005C3B55">
              <w:rPr>
                <w:b/>
                <w:szCs w:val="24"/>
              </w:rPr>
              <w:t>Selection of beneficiaries</w:t>
            </w:r>
          </w:p>
          <w:p w:rsidR="00BD3B5F" w:rsidRPr="005C3B55" w:rsidRDefault="00BD3B5F">
            <w:pPr>
              <w:spacing w:before="240" w:after="240"/>
              <w:jc w:val="left"/>
              <w:rPr>
                <w:noProof/>
                <w:szCs w:val="24"/>
              </w:rPr>
            </w:pPr>
            <w:r w:rsidRPr="005C3B55">
              <w:rPr>
                <w:szCs w:val="24"/>
              </w:rPr>
              <w:t>With the permanent implementation of the promotion of the measure, organisation of public presentations and other activities (updated website of the Ministry of Agriculture, Forestry and Food, activities of the National Rural Network), we will promptly inform potential beneficiaries on the content of the supported operation.</w:t>
            </w:r>
          </w:p>
          <w:p w:rsidR="00BD3B5F" w:rsidRPr="005C3B55" w:rsidRDefault="00BD3B5F">
            <w:pPr>
              <w:spacing w:before="240" w:after="240"/>
              <w:jc w:val="left"/>
              <w:rPr>
                <w:noProof/>
                <w:szCs w:val="24"/>
              </w:rPr>
            </w:pPr>
            <w:r w:rsidRPr="005C3B55">
              <w:rPr>
                <w:b/>
                <w:noProof/>
                <w:szCs w:val="24"/>
              </w:rPr>
              <w:t xml:space="preserve">R8: </w:t>
            </w:r>
            <w:r w:rsidRPr="005C3B55">
              <w:rPr>
                <w:b/>
                <w:szCs w:val="24"/>
              </w:rPr>
              <w:t>IT systems</w:t>
            </w:r>
          </w:p>
          <w:p w:rsidR="00BD3B5F" w:rsidRPr="005C3B55" w:rsidRDefault="00BD3B5F">
            <w:pPr>
              <w:spacing w:before="240" w:after="240"/>
              <w:jc w:val="left"/>
              <w:rPr>
                <w:noProof/>
                <w:szCs w:val="24"/>
              </w:rPr>
            </w:pPr>
            <w:r w:rsidRPr="005C3B55">
              <w:rPr>
                <w:szCs w:val="24"/>
              </w:rPr>
              <w:t>An IT system will be set up which will facilitate electronic submission of applications and requests for payment,</w:t>
            </w:r>
            <w:r w:rsidRPr="005C3B55">
              <w:rPr>
                <w:noProof/>
                <w:szCs w:val="24"/>
              </w:rPr>
              <w:t xml:space="preserve"> </w:t>
            </w:r>
            <w:r w:rsidRPr="005C3B55">
              <w:rPr>
                <w:szCs w:val="24"/>
              </w:rPr>
              <w:t>thus simplifying the verification of double funding, business operations of associated parties, and separation between the funding of individual costs on the sub-measure level and other measures of the RDP 2014–2020. The system will incorporate different databases, which will enable faster and more precise data verification.</w:t>
            </w:r>
            <w:r w:rsidRPr="005C3B55">
              <w:rPr>
                <w:noProof/>
                <w:szCs w:val="24"/>
              </w:rPr>
              <w:t xml:space="preserve"> </w:t>
            </w:r>
            <w:r w:rsidRPr="005C3B55">
              <w:rPr>
                <w:szCs w:val="24"/>
              </w:rPr>
              <w:t>The system will also enable monitoring of the implementation of the sub-measure.</w:t>
            </w:r>
            <w:r w:rsidRPr="005C3B55">
              <w:rPr>
                <w:noProof/>
                <w:szCs w:val="24"/>
              </w:rPr>
              <w:t xml:space="preserve"> </w:t>
            </w:r>
            <w:r w:rsidRPr="005C3B55">
              <w:rPr>
                <w:szCs w:val="24"/>
              </w:rPr>
              <w:t>Training in the use of the IT system will be organised for the drafters of applications and requests.</w:t>
            </w:r>
          </w:p>
          <w:p w:rsidR="00BD3B5F" w:rsidRPr="005C3B55" w:rsidRDefault="00BD3B5F">
            <w:pPr>
              <w:spacing w:before="240" w:after="240"/>
              <w:jc w:val="left"/>
              <w:rPr>
                <w:noProof/>
                <w:szCs w:val="24"/>
              </w:rPr>
            </w:pPr>
            <w:r w:rsidRPr="005C3B55">
              <w:rPr>
                <w:b/>
                <w:noProof/>
                <w:szCs w:val="24"/>
              </w:rPr>
              <w:t xml:space="preserve">R9: </w:t>
            </w:r>
            <w:r w:rsidRPr="005C3B55">
              <w:rPr>
                <w:b/>
                <w:szCs w:val="24"/>
              </w:rPr>
              <w:t>Requests for payment</w:t>
            </w:r>
          </w:p>
          <w:p w:rsidR="00BD3B5F" w:rsidRPr="005C3B55" w:rsidRDefault="00BD3B5F">
            <w:pPr>
              <w:spacing w:before="240" w:after="240"/>
              <w:jc w:val="left"/>
              <w:rPr>
                <w:noProof/>
                <w:szCs w:val="24"/>
              </w:rPr>
            </w:pPr>
            <w:r w:rsidRPr="005C3B55">
              <w:rPr>
                <w:szCs w:val="24"/>
              </w:rPr>
              <w:t>The dissemination of information to beneficiaries and persons preparing applications regarding the preparation of requests for the payment of funds will be improved.</w:t>
            </w:r>
          </w:p>
          <w:p w:rsidR="00BD3B5F" w:rsidRPr="005C3B55" w:rsidRDefault="00BD3B5F">
            <w:pPr>
              <w:spacing w:before="240" w:after="240"/>
              <w:jc w:val="left"/>
              <w:rPr>
                <w:noProof/>
                <w:szCs w:val="24"/>
              </w:rPr>
            </w:pPr>
            <w:r w:rsidRPr="005C3B55">
              <w:rPr>
                <w:b/>
                <w:szCs w:val="24"/>
              </w:rPr>
              <w:t>Impact on the environment</w:t>
            </w:r>
          </w:p>
          <w:p w:rsidR="00BD3B5F" w:rsidRPr="005C3B55" w:rsidRDefault="00BD3B5F">
            <w:pPr>
              <w:spacing w:before="240" w:after="240"/>
              <w:jc w:val="left"/>
              <w:rPr>
                <w:noProof/>
                <w:szCs w:val="24"/>
              </w:rPr>
            </w:pPr>
            <w:r w:rsidRPr="005C3B55">
              <w:rPr>
                <w:szCs w:val="24"/>
              </w:rPr>
              <w:t>A  preliminary assessment procedure must be carried out for all agro-melioration and land consolidation projects which apply to tenders of the European Agricultural Funds for Rural Development (EAFRD) on the basis of the Decree on the categories of activities for which an environmental impact assessment is mandatory (Official Gazette of the Republic of Slovenia, no. 51/14, with all amendments) before the submission of the application to the public procurement.</w:t>
            </w:r>
            <w:r w:rsidRPr="005C3B55">
              <w:rPr>
                <w:noProof/>
                <w:szCs w:val="24"/>
              </w:rPr>
              <w:t xml:space="preserve"> </w:t>
            </w:r>
            <w:r w:rsidRPr="005C3B55">
              <w:rPr>
                <w:szCs w:val="24"/>
              </w:rPr>
              <w:t>If a significant environmental impact is established, it is necessary to make an environmental impact assessment, which includes an assessment of the acceptability of the impact on Natura 2000 sites, which is concluded with the issuing of an environmental approval.</w:t>
            </w:r>
            <w:r w:rsidRPr="005C3B55">
              <w:rPr>
                <w:noProof/>
                <w:szCs w:val="24"/>
              </w:rPr>
              <w:t xml:space="preserve"> </w:t>
            </w:r>
            <w:r w:rsidRPr="005C3B55">
              <w:rPr>
                <w:szCs w:val="24"/>
              </w:rPr>
              <w:t>The requirements referred to in Article 6 of Directive 92/43/EEC are also implemented in this process.</w:t>
            </w:r>
          </w:p>
          <w:p w:rsidR="00BD3B5F" w:rsidRPr="005C3B55" w:rsidRDefault="00BD3B5F">
            <w:pPr>
              <w:spacing w:before="240" w:after="240"/>
              <w:jc w:val="left"/>
              <w:rPr>
                <w:noProof/>
                <w:szCs w:val="24"/>
              </w:rPr>
            </w:pPr>
            <w:r w:rsidRPr="005C3B55">
              <w:rPr>
                <w:noProof/>
                <w:szCs w:val="24"/>
              </w:rPr>
              <w:t> </w:t>
            </w:r>
          </w:p>
          <w:p w:rsidR="00BD3B5F" w:rsidRPr="005C3B55" w:rsidRDefault="00BD3B5F">
            <w:pPr>
              <w:pStyle w:val="Telobesedila"/>
              <w:rPr>
                <w:szCs w:val="24"/>
              </w:rPr>
            </w:pPr>
          </w:p>
        </w:tc>
      </w:tr>
    </w:tbl>
    <w:p w:rsidR="00BD3B5F" w:rsidRPr="005C3B55" w:rsidRDefault="00BD3B5F">
      <w:pPr>
        <w:pStyle w:val="Naslov7"/>
        <w:tabs>
          <w:tab w:val="clear" w:pos="765"/>
        </w:tabs>
        <w:ind w:left="0" w:firstLine="0"/>
        <w:rPr>
          <w:szCs w:val="24"/>
          <w:lang w:val="en-GB"/>
        </w:rPr>
      </w:pPr>
      <w:r w:rsidRPr="005C3B55">
        <w:rPr>
          <w:noProof w:val="0"/>
          <w:szCs w:val="24"/>
          <w:lang w:val="en-GB"/>
        </w:rPr>
        <w:t>General assessment of the measure</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The operation in the anticipated form is fully feasible and verifiable and will have the expected results and contribute to achieving the objectives of the RDP 2014-2020. The operation will also make an important contribution to realising horizontal objectives.</w:t>
            </w:r>
            <w:r w:rsidRPr="005C3B55">
              <w:rPr>
                <w:noProof/>
                <w:szCs w:val="24"/>
              </w:rPr>
              <w:t xml:space="preserve"> </w:t>
            </w:r>
            <w:r w:rsidRPr="005C3B55">
              <w:rPr>
                <w:szCs w:val="24"/>
              </w:rPr>
              <w:t>The implementation of this operation is necessary in order to improve the economic performance of agricultural holdings, facilitate the restructuring of agricultural holdings, increase their participation in the market and improve their market orientation.</w:t>
            </w:r>
          </w:p>
          <w:p w:rsidR="00BD3B5F" w:rsidRPr="005C3B55" w:rsidRDefault="00BD3B5F">
            <w:pPr>
              <w:pStyle w:val="Telobesedila"/>
              <w:rPr>
                <w:szCs w:val="24"/>
              </w:rPr>
            </w:pPr>
          </w:p>
        </w:tc>
      </w:tr>
    </w:tbl>
    <w:p w:rsidR="00BD3B5F" w:rsidRPr="005C3B55" w:rsidRDefault="00BD3B5F">
      <w:pPr>
        <w:pStyle w:val="Naslov6"/>
        <w:tabs>
          <w:tab w:val="clear" w:pos="765"/>
        </w:tabs>
        <w:ind w:left="0" w:firstLine="0"/>
        <w:rPr>
          <w:szCs w:val="24"/>
          <w:lang w:val="en-GB"/>
        </w:rPr>
      </w:pPr>
      <w:r w:rsidRPr="005C3B55">
        <w:rPr>
          <w:noProof w:val="0"/>
          <w:szCs w:val="24"/>
          <w:lang w:val="en-GB"/>
        </w:rPr>
        <w:t>Methodology for calculating support amount, where relevant</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Not relevant.</w:t>
            </w:r>
          </w:p>
          <w:p w:rsidR="00BD3B5F" w:rsidRPr="005C3B55" w:rsidRDefault="00BD3B5F">
            <w:pPr>
              <w:pStyle w:val="Telobesedila"/>
              <w:rPr>
                <w:szCs w:val="24"/>
              </w:rPr>
            </w:pPr>
          </w:p>
        </w:tc>
      </w:tr>
    </w:tbl>
    <w:p w:rsidR="00BD3B5F" w:rsidRPr="005C3B55" w:rsidRDefault="00BD3B5F">
      <w:pPr>
        <w:pStyle w:val="Naslov6"/>
        <w:tabs>
          <w:tab w:val="clear" w:pos="765"/>
        </w:tabs>
        <w:ind w:left="0" w:firstLine="0"/>
        <w:rPr>
          <w:szCs w:val="24"/>
          <w:lang w:val="en-GB"/>
        </w:rPr>
      </w:pPr>
      <w:r w:rsidRPr="005C3B55">
        <w:rPr>
          <w:noProof w:val="0"/>
          <w:szCs w:val="24"/>
          <w:lang w:val="en-GB"/>
        </w:rPr>
        <w:t>Information that relates specifically to the operation</w:t>
      </w:r>
    </w:p>
    <w:p w:rsidR="00BD3B5F" w:rsidRPr="005C3B55" w:rsidRDefault="00BD3B5F">
      <w:pPr>
        <w:rPr>
          <w:szCs w:val="24"/>
        </w:rPr>
      </w:pPr>
      <w:r w:rsidRPr="005C3B55">
        <w:rPr>
          <w:szCs w:val="24"/>
        </w:rPr>
        <w:t>Definition of non-production investments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Not relevant.</w:t>
            </w:r>
          </w:p>
          <w:p w:rsidR="00BD3B5F" w:rsidRPr="005C3B55" w:rsidRDefault="00BD3B5F">
            <w:pPr>
              <w:pStyle w:val="Telobesedila"/>
              <w:rPr>
                <w:szCs w:val="24"/>
              </w:rPr>
            </w:pPr>
          </w:p>
        </w:tc>
      </w:tr>
    </w:tbl>
    <w:p w:rsidR="00BD3B5F" w:rsidRPr="005C3B55" w:rsidRDefault="00BD3B5F">
      <w:pPr>
        <w:rPr>
          <w:szCs w:val="24"/>
        </w:rPr>
      </w:pPr>
      <w:r w:rsidRPr="005C3B55">
        <w:rPr>
          <w:szCs w:val="24"/>
        </w:rPr>
        <w:t>Definition of collective investments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Not relevant.</w:t>
            </w:r>
          </w:p>
          <w:p w:rsidR="00BD3B5F" w:rsidRPr="005C3B55" w:rsidRDefault="00BD3B5F">
            <w:pPr>
              <w:pStyle w:val="Telobesedila"/>
              <w:rPr>
                <w:szCs w:val="24"/>
              </w:rPr>
            </w:pPr>
          </w:p>
        </w:tc>
      </w:tr>
    </w:tbl>
    <w:p w:rsidR="00BD3B5F" w:rsidRPr="005C3B55" w:rsidRDefault="00BD3B5F">
      <w:pPr>
        <w:rPr>
          <w:szCs w:val="24"/>
        </w:rPr>
      </w:pPr>
      <w:r w:rsidRPr="005C3B55">
        <w:rPr>
          <w:szCs w:val="24"/>
        </w:rPr>
        <w:t>Definition of integrated projects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Not relevant.</w:t>
            </w:r>
          </w:p>
          <w:p w:rsidR="00BD3B5F" w:rsidRPr="005C3B55" w:rsidRDefault="00BD3B5F">
            <w:pPr>
              <w:pStyle w:val="Telobesedila"/>
              <w:rPr>
                <w:szCs w:val="24"/>
              </w:rPr>
            </w:pPr>
          </w:p>
        </w:tc>
      </w:tr>
    </w:tbl>
    <w:p w:rsidR="00BD3B5F" w:rsidRPr="005C3B55" w:rsidRDefault="00BD3B5F">
      <w:pPr>
        <w:spacing w:before="0" w:after="0"/>
        <w:rPr>
          <w:szCs w:val="24"/>
        </w:rPr>
      </w:pPr>
      <w:r w:rsidRPr="005C3B55">
        <w:rPr>
          <w:szCs w:val="24"/>
        </w:rPr>
        <w:t>Defining and determining the eligible areas of the Natura 2000 network and other eligible areas of high natural value</w:t>
      </w:r>
    </w:p>
    <w:p w:rsidR="00BD3B5F" w:rsidRPr="005C3B55" w:rsidRDefault="00BD3B5F">
      <w:pPr>
        <w:spacing w:before="0" w:after="0"/>
        <w:rPr>
          <w:szCs w:val="24"/>
        </w:rPr>
      </w:pP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In accordance with suitable consents and permits, the projects will also be implemented in these areas.</w:t>
            </w:r>
          </w:p>
          <w:p w:rsidR="00BD3B5F" w:rsidRPr="005C3B55" w:rsidRDefault="00BD3B5F">
            <w:pPr>
              <w:pStyle w:val="Telobesedila"/>
              <w:rPr>
                <w:szCs w:val="24"/>
              </w:rPr>
            </w:pPr>
          </w:p>
        </w:tc>
      </w:tr>
    </w:tbl>
    <w:p w:rsidR="00BD3B5F" w:rsidRPr="005C3B55" w:rsidRDefault="00BD3B5F">
      <w:pPr>
        <w:rPr>
          <w:szCs w:val="24"/>
        </w:rPr>
      </w:pPr>
      <w:r w:rsidRPr="005C3B55">
        <w:rPr>
          <w:szCs w:val="24"/>
        </w:rPr>
        <w:t>A description of the management of support for farms in accordance with a SWOT analysis implemented in relation to the priority task referred to in Article 5(2) of Regulation (EU) No 1305/2013</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Not relevant.</w:t>
            </w:r>
          </w:p>
          <w:p w:rsidR="00BD3B5F" w:rsidRPr="005C3B55" w:rsidRDefault="00BD3B5F">
            <w:pPr>
              <w:pStyle w:val="Telobesedila"/>
              <w:rPr>
                <w:szCs w:val="24"/>
              </w:rPr>
            </w:pPr>
          </w:p>
        </w:tc>
      </w:tr>
    </w:tbl>
    <w:p w:rsidR="00BD3B5F" w:rsidRPr="005C3B55" w:rsidRDefault="00BD3B5F">
      <w:pPr>
        <w:rPr>
          <w:szCs w:val="24"/>
        </w:rPr>
      </w:pPr>
      <w:r w:rsidRPr="005C3B55">
        <w:rPr>
          <w:szCs w:val="24"/>
        </w:rPr>
        <w:t>List of new requirements imposed by Union’s legislation to ensure compliance for which support may be granted in accordance with Article 17(6) Regulation (EU) No 1305/2013</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Not relevant.</w:t>
            </w:r>
          </w:p>
          <w:p w:rsidR="00BD3B5F" w:rsidRPr="005C3B55" w:rsidRDefault="00BD3B5F">
            <w:pPr>
              <w:pStyle w:val="Telobesedila"/>
              <w:rPr>
                <w:szCs w:val="24"/>
              </w:rPr>
            </w:pPr>
          </w:p>
        </w:tc>
      </w:tr>
    </w:tbl>
    <w:p w:rsidR="00BD3B5F" w:rsidRPr="005C3B55" w:rsidRDefault="00BD3B5F">
      <w:pPr>
        <w:rPr>
          <w:szCs w:val="24"/>
        </w:rPr>
      </w:pPr>
      <w:r w:rsidRPr="005C3B55">
        <w:rPr>
          <w:szCs w:val="24"/>
        </w:rPr>
        <w:t>If relevant, minimum standards for energy efficiency under Article 13(c) of Delegated Regulation (EU) No 807/2014</w:t>
      </w:r>
    </w:p>
    <w:p w:rsidR="00BD3B5F" w:rsidRPr="005C3B55" w:rsidRDefault="00BD3B5F">
      <w:pPr>
        <w:spacing w:before="0" w:after="0"/>
        <w:rPr>
          <w:szCs w:val="24"/>
        </w:rPr>
      </w:pP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Not relevant.</w:t>
            </w:r>
          </w:p>
          <w:p w:rsidR="00BD3B5F" w:rsidRPr="005C3B55" w:rsidRDefault="00BD3B5F">
            <w:pPr>
              <w:pStyle w:val="Telobesedila"/>
              <w:rPr>
                <w:szCs w:val="24"/>
              </w:rPr>
            </w:pPr>
          </w:p>
        </w:tc>
      </w:tr>
    </w:tbl>
    <w:p w:rsidR="00BD3B5F" w:rsidRPr="005C3B55" w:rsidRDefault="00BD3B5F">
      <w:pPr>
        <w:rPr>
          <w:szCs w:val="24"/>
        </w:rPr>
      </w:pPr>
      <w:r w:rsidRPr="005C3B55">
        <w:rPr>
          <w:szCs w:val="24"/>
        </w:rPr>
        <w:t>If relevant, establishing thresholds under Article 13(e) of Delegated Regulation (EU) No 807/2014</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Not relevant.</w:t>
            </w:r>
          </w:p>
          <w:p w:rsidR="00BD3B5F" w:rsidRPr="005C3B55" w:rsidRDefault="00BD3B5F">
            <w:pPr>
              <w:pStyle w:val="Telobesedila"/>
              <w:rPr>
                <w:szCs w:val="24"/>
              </w:rPr>
            </w:pPr>
          </w:p>
        </w:tc>
      </w:tr>
    </w:tbl>
    <w:p w:rsidR="00BD3B5F" w:rsidRPr="005C3B55" w:rsidRDefault="00BD3B5F">
      <w:pPr>
        <w:pStyle w:val="Naslov5"/>
        <w:tabs>
          <w:tab w:val="clear" w:pos="765"/>
        </w:tabs>
        <w:ind w:left="0" w:firstLine="0"/>
        <w:rPr>
          <w:b w:val="0"/>
          <w:szCs w:val="24"/>
          <w:lang w:val="en-GB"/>
        </w:rPr>
      </w:pPr>
      <w:r w:rsidRPr="005C3B55">
        <w:rPr>
          <w:b w:val="0"/>
          <w:szCs w:val="24"/>
          <w:lang w:val="en-GB"/>
        </w:rPr>
        <w:br w:type="page"/>
        <w:t xml:space="preserve">4. </w:t>
      </w:r>
      <w:r w:rsidRPr="005C3B55">
        <w:rPr>
          <w:b w:val="0"/>
          <w:noProof w:val="0"/>
          <w:szCs w:val="24"/>
          <w:lang w:val="en-GB"/>
        </w:rPr>
        <w:t>Construction of large irrigation systems</w:t>
      </w:r>
      <w:r w:rsidRPr="005C3B55">
        <w:rPr>
          <w:b w:val="0"/>
          <w:szCs w:val="24"/>
          <w:lang w:val="en-GB"/>
        </w:rPr>
        <w:t xml:space="preserve"> </w:t>
      </w:r>
    </w:p>
    <w:p w:rsidR="00BD3B5F" w:rsidRPr="005C3B55" w:rsidRDefault="00BD3B5F">
      <w:pPr>
        <w:rPr>
          <w:szCs w:val="24"/>
        </w:rPr>
      </w:pPr>
      <w:r w:rsidRPr="005C3B55">
        <w:rPr>
          <w:szCs w:val="24"/>
        </w:rPr>
        <w:t xml:space="preserve">Sub-measure: </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rsidP="00BD3B5F">
            <w:pPr>
              <w:numPr>
                <w:ilvl w:val="0"/>
                <w:numId w:val="196"/>
              </w:numPr>
              <w:rPr>
                <w:szCs w:val="24"/>
              </w:rPr>
            </w:pPr>
            <w:r w:rsidRPr="005C3B55">
              <w:rPr>
                <w:szCs w:val="24"/>
              </w:rPr>
              <w:t>4.3 – Support for investments in infrastructure related to the development, modernisation or adaptation of agriculture and forestry</w:t>
            </w:r>
          </w:p>
        </w:tc>
      </w:tr>
    </w:tbl>
    <w:p w:rsidR="00BD3B5F" w:rsidRPr="005C3B55" w:rsidRDefault="00BD3B5F">
      <w:pPr>
        <w:pStyle w:val="Naslov6"/>
        <w:tabs>
          <w:tab w:val="clear" w:pos="765"/>
        </w:tabs>
        <w:ind w:left="0" w:firstLine="0"/>
        <w:rPr>
          <w:szCs w:val="24"/>
          <w:lang w:val="en-GB"/>
        </w:rPr>
      </w:pPr>
      <w:r w:rsidRPr="005C3B55">
        <w:rPr>
          <w:noProof w:val="0"/>
          <w:szCs w:val="24"/>
          <w:lang w:val="en-GB"/>
        </w:rPr>
        <w:t>Description of type of operation</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The subject of support is the construction of large irrigation systems for which water for irrigation is conveyed from a water source to the user in accordance with the regulations governing agricultural land and regulations governing water.</w:t>
            </w:r>
            <w:r w:rsidRPr="005C3B55">
              <w:rPr>
                <w:noProof/>
                <w:szCs w:val="24"/>
              </w:rPr>
              <w:t xml:space="preserve"> </w:t>
            </w:r>
            <w:r w:rsidRPr="005C3B55">
              <w:rPr>
                <w:szCs w:val="24"/>
              </w:rPr>
              <w:t>A water permit issued by the Slovenian Environment Agency, which is a condition for the construction of a large irrigation system, takes into account all the guidelines of the Water Management Plan (WMP).</w:t>
            </w:r>
            <w:r w:rsidRPr="005C3B55">
              <w:rPr>
                <w:noProof/>
                <w:szCs w:val="24"/>
              </w:rPr>
              <w:t xml:space="preserve"> </w:t>
            </w:r>
            <w:r w:rsidRPr="005C3B55">
              <w:rPr>
                <w:szCs w:val="24"/>
              </w:rPr>
              <w:t>The requirements referred to in Article 46 of Regulation (EU) 1305/2013 are also taken into account.</w:t>
            </w:r>
          </w:p>
          <w:p w:rsidR="00BD3B5F" w:rsidRPr="005C3B55" w:rsidRDefault="00BD3B5F">
            <w:pPr>
              <w:spacing w:before="240" w:after="240"/>
              <w:jc w:val="left"/>
              <w:rPr>
                <w:noProof/>
                <w:szCs w:val="24"/>
              </w:rPr>
            </w:pPr>
            <w:r w:rsidRPr="005C3B55">
              <w:rPr>
                <w:szCs w:val="24"/>
              </w:rPr>
              <w:t>A large irrigation system is intended for a large number of users for joint use according to an irrigation schedule, and consists of an extraction facility and primary and secondary irrigation canals.</w:t>
            </w:r>
            <w:r w:rsidRPr="005C3B55">
              <w:rPr>
                <w:noProof/>
                <w:szCs w:val="24"/>
              </w:rPr>
              <w:t xml:space="preserve"> </w:t>
            </w:r>
            <w:r w:rsidRPr="005C3B55">
              <w:rPr>
                <w:szCs w:val="24"/>
              </w:rPr>
              <w:t>Irrigation equipment is not a part of a large irrigation system.</w:t>
            </w:r>
          </w:p>
          <w:p w:rsidR="00BD3B5F" w:rsidRPr="005C3B55" w:rsidRDefault="00BD3B5F">
            <w:pPr>
              <w:spacing w:before="240" w:after="240"/>
              <w:jc w:val="left"/>
              <w:rPr>
                <w:noProof/>
                <w:szCs w:val="24"/>
              </w:rPr>
            </w:pPr>
            <w:r w:rsidRPr="005C3B55">
              <w:rPr>
                <w:szCs w:val="24"/>
              </w:rPr>
              <w:t>Some 6,500 ha of agricultural land are equipped with large irrigation systems, which is about 1.5% of agricultural land in use.</w:t>
            </w:r>
            <w:r w:rsidRPr="005C3B55">
              <w:rPr>
                <w:noProof/>
                <w:szCs w:val="24"/>
              </w:rPr>
              <w:t xml:space="preserve"> </w:t>
            </w:r>
            <w:r w:rsidRPr="005C3B55">
              <w:rPr>
                <w:szCs w:val="24"/>
              </w:rPr>
              <w:t>With regard to climate change and production technology, we want to construct new irrigation systems that cover up to 2,400 ha of agricultural land.</w:t>
            </w:r>
          </w:p>
          <w:p w:rsidR="00BD3B5F" w:rsidRPr="005C3B55" w:rsidRDefault="00BD3B5F">
            <w:pPr>
              <w:spacing w:before="240" w:after="240"/>
              <w:jc w:val="left"/>
              <w:rPr>
                <w:noProof/>
                <w:szCs w:val="24"/>
              </w:rPr>
            </w:pPr>
            <w:r w:rsidRPr="005C3B55">
              <w:rPr>
                <w:szCs w:val="24"/>
              </w:rPr>
              <w:t>New irrigation systems can only be constructed with water permits.</w:t>
            </w:r>
            <w:r w:rsidRPr="005C3B55">
              <w:rPr>
                <w:noProof/>
                <w:szCs w:val="24"/>
              </w:rPr>
              <w:t xml:space="preserve"> </w:t>
            </w:r>
            <w:r w:rsidRPr="005C3B55">
              <w:rPr>
                <w:szCs w:val="24"/>
              </w:rPr>
              <w:t>A water permit is issued if the use of water is in accordance with the Water Management Plan (which defines the state of waters in terms of quantity and quality and environmentally acceptable discharge), and if this use does not decrease, limit or prevent the implementation of existing water rights.</w:t>
            </w:r>
          </w:p>
          <w:p w:rsidR="00BD3B5F" w:rsidRPr="005C3B55" w:rsidRDefault="00BD3B5F">
            <w:pPr>
              <w:spacing w:before="240" w:after="240"/>
              <w:jc w:val="left"/>
              <w:rPr>
                <w:noProof/>
                <w:szCs w:val="24"/>
              </w:rPr>
            </w:pPr>
            <w:r w:rsidRPr="005C3B55">
              <w:rPr>
                <w:szCs w:val="24"/>
              </w:rPr>
              <w:t>It is necessary to obtain a decision from the Ministry of Agriculture, Forestry and Food on the introduction of irrigation, which is issued if all relevant consents and permits for the construction of the irrigation system have been issued (nature protection consent, water protection consent, environmental permit, water permit).</w:t>
            </w:r>
          </w:p>
          <w:p w:rsidR="00BD3B5F" w:rsidRPr="005C3B55" w:rsidRDefault="00BD3B5F">
            <w:pPr>
              <w:spacing w:before="240" w:after="240"/>
              <w:jc w:val="left"/>
              <w:rPr>
                <w:noProof/>
                <w:szCs w:val="24"/>
              </w:rPr>
            </w:pPr>
            <w:r w:rsidRPr="005C3B55">
              <w:rPr>
                <w:szCs w:val="24"/>
              </w:rPr>
              <w:t>A preliminary assessment procedure must be carried out for all construction projects of large irrigation systems which apply to tenders of the European Agricultural Funds for Rural Development (EAFRD) on the basis of the Decree on the categories of activities for which an environmental impact assessment is mandatory (Official Gazette of the Republic of Slovenia, no. 51/14, with all amendments) before the submission of the application to the public procurement.</w:t>
            </w:r>
            <w:r w:rsidRPr="005C3B55">
              <w:rPr>
                <w:noProof/>
                <w:szCs w:val="24"/>
              </w:rPr>
              <w:t xml:space="preserve"> </w:t>
            </w:r>
            <w:r w:rsidRPr="005C3B55">
              <w:rPr>
                <w:szCs w:val="24"/>
              </w:rPr>
              <w:t>If a significant environmental impact is established, it is necessary to conduct an environmental impact assessment, which includes an assessment of the acceptability of the impact on Natura 2000 sites. The environmental impact assessment ends with the issuing of an environment protection consent.</w:t>
            </w:r>
            <w:r w:rsidRPr="005C3B55">
              <w:rPr>
                <w:noProof/>
                <w:szCs w:val="24"/>
              </w:rPr>
              <w:t xml:space="preserve"> </w:t>
            </w:r>
            <w:r w:rsidRPr="005C3B55">
              <w:rPr>
                <w:szCs w:val="24"/>
              </w:rPr>
              <w:t>The requirements referred to in Article 6 of Directive 92/43/EEC are also implemented in this process.</w:t>
            </w:r>
          </w:p>
          <w:p w:rsidR="00BD3B5F" w:rsidRPr="005C3B55" w:rsidRDefault="00BD3B5F">
            <w:pPr>
              <w:spacing w:before="240" w:after="240"/>
              <w:jc w:val="left"/>
              <w:rPr>
                <w:noProof/>
                <w:szCs w:val="24"/>
              </w:rPr>
            </w:pPr>
            <w:r w:rsidRPr="005C3B55">
              <w:rPr>
                <w:noProof/>
                <w:szCs w:val="24"/>
              </w:rPr>
              <w:t> </w:t>
            </w:r>
          </w:p>
          <w:p w:rsidR="00BD3B5F" w:rsidRPr="005C3B55" w:rsidRDefault="00BD3B5F">
            <w:pPr>
              <w:pStyle w:val="Telobesedila"/>
              <w:rPr>
                <w:szCs w:val="24"/>
              </w:rPr>
            </w:pPr>
          </w:p>
        </w:tc>
      </w:tr>
    </w:tbl>
    <w:p w:rsidR="00BD3B5F" w:rsidRPr="005C3B55" w:rsidRDefault="00BD3B5F">
      <w:pPr>
        <w:pStyle w:val="Naslov6"/>
        <w:tabs>
          <w:tab w:val="clear" w:pos="765"/>
        </w:tabs>
        <w:ind w:left="0" w:firstLine="0"/>
        <w:rPr>
          <w:szCs w:val="24"/>
          <w:lang w:val="en-GB"/>
        </w:rPr>
      </w:pPr>
      <w:r w:rsidRPr="005C3B55">
        <w:rPr>
          <w:noProof w:val="0"/>
          <w:szCs w:val="24"/>
          <w:lang w:val="en-GB"/>
        </w:rPr>
        <w:t>Type of support</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Support is granted in the form of non-refundable financial aid.</w:t>
            </w:r>
          </w:p>
          <w:p w:rsidR="00BD3B5F" w:rsidRPr="005C3B55" w:rsidRDefault="00BD3B5F">
            <w:pPr>
              <w:pStyle w:val="Telobesedila"/>
              <w:rPr>
                <w:szCs w:val="24"/>
              </w:rPr>
            </w:pPr>
          </w:p>
        </w:tc>
      </w:tr>
    </w:tbl>
    <w:p w:rsidR="00BD3B5F" w:rsidRPr="005C3B55" w:rsidRDefault="00BD3B5F">
      <w:pPr>
        <w:pStyle w:val="Naslov6"/>
        <w:tabs>
          <w:tab w:val="clear" w:pos="765"/>
        </w:tabs>
        <w:ind w:left="0" w:firstLine="0"/>
        <w:rPr>
          <w:szCs w:val="24"/>
          <w:lang w:val="en-GB"/>
        </w:rPr>
      </w:pPr>
      <w:r w:rsidRPr="005C3B55">
        <w:rPr>
          <w:noProof w:val="0"/>
          <w:szCs w:val="24"/>
          <w:lang w:val="en-GB"/>
        </w:rPr>
        <w:t>Connection with other legislation</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rsidP="00BD3B5F">
            <w:pPr>
              <w:numPr>
                <w:ilvl w:val="0"/>
                <w:numId w:val="197"/>
              </w:numPr>
              <w:spacing w:before="0" w:after="0"/>
              <w:ind w:hanging="290"/>
              <w:jc w:val="left"/>
              <w:rPr>
                <w:noProof/>
                <w:szCs w:val="24"/>
              </w:rPr>
            </w:pPr>
            <w:r w:rsidRPr="005C3B55">
              <w:rPr>
                <w:szCs w:val="24"/>
              </w:rPr>
              <w:t>Agriculture Act (Official Gazette of the Republic of Slovenia, no. 45/2008 with all amendments);</w:t>
            </w:r>
          </w:p>
          <w:p w:rsidR="00BD3B5F" w:rsidRPr="005C3B55" w:rsidRDefault="00BD3B5F" w:rsidP="00BD3B5F">
            <w:pPr>
              <w:numPr>
                <w:ilvl w:val="0"/>
                <w:numId w:val="197"/>
              </w:numPr>
              <w:spacing w:before="0" w:after="0"/>
              <w:ind w:hanging="290"/>
              <w:jc w:val="left"/>
              <w:rPr>
                <w:noProof/>
                <w:szCs w:val="24"/>
              </w:rPr>
            </w:pPr>
            <w:r w:rsidRPr="005C3B55">
              <w:rPr>
                <w:szCs w:val="24"/>
              </w:rPr>
              <w:t>Agricultural Land Act (Official Gazette of the Republic of Slovenia, no. 71/2011 – official consolidated text 2 with all amendments);</w:t>
            </w:r>
          </w:p>
          <w:p w:rsidR="00BD3B5F" w:rsidRPr="005C3B55" w:rsidRDefault="00BD3B5F" w:rsidP="00BD3B5F">
            <w:pPr>
              <w:numPr>
                <w:ilvl w:val="0"/>
                <w:numId w:val="197"/>
              </w:numPr>
              <w:spacing w:before="0" w:after="0"/>
              <w:ind w:hanging="290"/>
              <w:jc w:val="left"/>
              <w:rPr>
                <w:noProof/>
                <w:szCs w:val="24"/>
              </w:rPr>
            </w:pPr>
            <w:r w:rsidRPr="005C3B55">
              <w:rPr>
                <w:szCs w:val="24"/>
              </w:rPr>
              <w:t>Nature Conservation Act (Official Gazette of the Republic of Slovenia, no. 96/04 – official consolidated text with all amendments);</w:t>
            </w:r>
          </w:p>
          <w:p w:rsidR="00BD3B5F" w:rsidRPr="005C3B55" w:rsidRDefault="00BD3B5F" w:rsidP="00BD3B5F">
            <w:pPr>
              <w:numPr>
                <w:ilvl w:val="0"/>
                <w:numId w:val="197"/>
              </w:numPr>
              <w:spacing w:before="0" w:after="0"/>
              <w:ind w:hanging="290"/>
              <w:jc w:val="left"/>
              <w:rPr>
                <w:noProof/>
                <w:szCs w:val="24"/>
              </w:rPr>
            </w:pPr>
            <w:r w:rsidRPr="005C3B55">
              <w:rPr>
                <w:szCs w:val="24"/>
              </w:rPr>
              <w:t>Environmental Protection Act (Official Gazette of the Republic of Slovenia, no. 39/06 – official consolidated text with all amendments);</w:t>
            </w:r>
          </w:p>
          <w:p w:rsidR="00BD3B5F" w:rsidRPr="005C3B55" w:rsidRDefault="00BD3B5F" w:rsidP="00BD3B5F">
            <w:pPr>
              <w:numPr>
                <w:ilvl w:val="0"/>
                <w:numId w:val="197"/>
              </w:numPr>
              <w:spacing w:before="0" w:after="0"/>
              <w:ind w:hanging="290"/>
              <w:jc w:val="left"/>
              <w:rPr>
                <w:noProof/>
                <w:szCs w:val="24"/>
              </w:rPr>
            </w:pPr>
            <w:r w:rsidRPr="005C3B55">
              <w:rPr>
                <w:szCs w:val="24"/>
              </w:rPr>
              <w:t>Waters Act (Official Gazette of the Republic of Slovenia, no. 67/02, with all amendments);</w:t>
            </w:r>
          </w:p>
          <w:p w:rsidR="00BD3B5F" w:rsidRPr="005C3B55" w:rsidRDefault="00BD3B5F" w:rsidP="00BD3B5F">
            <w:pPr>
              <w:numPr>
                <w:ilvl w:val="0"/>
                <w:numId w:val="197"/>
              </w:numPr>
              <w:spacing w:before="0" w:after="0"/>
              <w:ind w:hanging="290"/>
              <w:jc w:val="left"/>
              <w:rPr>
                <w:noProof/>
                <w:szCs w:val="24"/>
              </w:rPr>
            </w:pPr>
            <w:r w:rsidRPr="005C3B55">
              <w:rPr>
                <w:szCs w:val="24"/>
              </w:rPr>
              <w:t>Decree on the categories of activities for which an environmental impact assessment is mandatory (Official Gazette of the Republic of Slovenia, no. 51/14 with all amendments);</w:t>
            </w:r>
          </w:p>
          <w:p w:rsidR="00BD3B5F" w:rsidRPr="005C3B55" w:rsidRDefault="00BD3B5F" w:rsidP="00BD3B5F">
            <w:pPr>
              <w:numPr>
                <w:ilvl w:val="0"/>
                <w:numId w:val="197"/>
              </w:numPr>
              <w:spacing w:before="0" w:after="0"/>
              <w:ind w:hanging="290"/>
              <w:jc w:val="left"/>
              <w:rPr>
                <w:noProof/>
                <w:szCs w:val="24"/>
              </w:rPr>
            </w:pPr>
            <w:r w:rsidRPr="005C3B55">
              <w:rPr>
                <w:szCs w:val="24"/>
              </w:rPr>
              <w:t>national regulation which regulates the implementation of this sub-measure;</w:t>
            </w:r>
          </w:p>
          <w:p w:rsidR="00BD3B5F" w:rsidRPr="005C3B55" w:rsidRDefault="00BD3B5F" w:rsidP="00BD3B5F">
            <w:pPr>
              <w:numPr>
                <w:ilvl w:val="0"/>
                <w:numId w:val="197"/>
              </w:numPr>
              <w:spacing w:before="0" w:after="0"/>
              <w:ind w:hanging="290"/>
              <w:jc w:val="left"/>
              <w:rPr>
                <w:noProof/>
                <w:szCs w:val="24"/>
              </w:rPr>
            </w:pPr>
            <w:r w:rsidRPr="005C3B55">
              <w:rPr>
                <w:noProof/>
                <w:szCs w:val="24"/>
              </w:rPr>
              <w:t xml:space="preserve"> </w:t>
            </w:r>
            <w:r w:rsidRPr="005C3B55">
              <w:rPr>
                <w:szCs w:val="24"/>
              </w:rPr>
              <w:t>Articles 65 and 69 of Regulation (EU) No 1303/2013;</w:t>
            </w:r>
          </w:p>
          <w:p w:rsidR="00BD3B5F" w:rsidRPr="005C3B55" w:rsidRDefault="00BD3B5F" w:rsidP="00BD3B5F">
            <w:pPr>
              <w:numPr>
                <w:ilvl w:val="0"/>
                <w:numId w:val="197"/>
              </w:numPr>
              <w:spacing w:before="0" w:after="0"/>
              <w:ind w:hanging="290"/>
              <w:jc w:val="left"/>
              <w:rPr>
                <w:noProof/>
                <w:szCs w:val="24"/>
              </w:rPr>
            </w:pPr>
            <w:r w:rsidRPr="005C3B55">
              <w:rPr>
                <w:noProof/>
                <w:szCs w:val="24"/>
              </w:rPr>
              <w:t xml:space="preserve"> </w:t>
            </w:r>
            <w:r w:rsidRPr="005C3B55">
              <w:rPr>
                <w:szCs w:val="24"/>
              </w:rPr>
              <w:t>Article 13 of Regulation (EU) No 807/2014, and</w:t>
            </w:r>
          </w:p>
          <w:p w:rsidR="00BD3B5F" w:rsidRPr="005C3B55" w:rsidRDefault="00BD3B5F" w:rsidP="00BD3B5F">
            <w:pPr>
              <w:numPr>
                <w:ilvl w:val="0"/>
                <w:numId w:val="197"/>
              </w:numPr>
              <w:spacing w:before="0" w:after="240"/>
              <w:ind w:hanging="290"/>
              <w:jc w:val="left"/>
              <w:rPr>
                <w:noProof/>
                <w:szCs w:val="24"/>
              </w:rPr>
            </w:pPr>
            <w:r w:rsidRPr="005C3B55">
              <w:rPr>
                <w:szCs w:val="24"/>
              </w:rPr>
              <w:t>other EU and national legislation which regulates the implementation of this operation.</w:t>
            </w:r>
          </w:p>
          <w:p w:rsidR="00BD3B5F" w:rsidRPr="005C3B55" w:rsidRDefault="00BD3B5F">
            <w:pPr>
              <w:pStyle w:val="Telobesedila"/>
              <w:rPr>
                <w:szCs w:val="24"/>
              </w:rPr>
            </w:pPr>
          </w:p>
        </w:tc>
      </w:tr>
    </w:tbl>
    <w:p w:rsidR="00BD3B5F" w:rsidRPr="005C3B55" w:rsidRDefault="00BD3B5F">
      <w:pPr>
        <w:pStyle w:val="Naslov6"/>
        <w:tabs>
          <w:tab w:val="clear" w:pos="765"/>
        </w:tabs>
        <w:ind w:left="0" w:firstLine="0"/>
        <w:rPr>
          <w:szCs w:val="24"/>
          <w:lang w:val="en-GB"/>
        </w:rPr>
      </w:pPr>
      <w:r w:rsidRPr="005C3B55">
        <w:rPr>
          <w:noProof w:val="0"/>
          <w:szCs w:val="24"/>
          <w:lang w:val="en-GB"/>
        </w:rPr>
        <w:t>Beneficiaries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0"/>
              <w:jc w:val="left"/>
              <w:rPr>
                <w:noProof/>
                <w:szCs w:val="24"/>
              </w:rPr>
            </w:pPr>
            <w:r w:rsidRPr="005C3B55">
              <w:rPr>
                <w:szCs w:val="24"/>
              </w:rPr>
              <w:t>The beneficiaries eligible for support are owners of agricultural holdings and natural and legal persons authorised by owners of agricultural land to implement investments.</w:t>
            </w:r>
          </w:p>
          <w:p w:rsidR="00BD3B5F" w:rsidRPr="005C3B55" w:rsidRDefault="00BD3B5F">
            <w:pPr>
              <w:pStyle w:val="Telobesedila"/>
              <w:rPr>
                <w:szCs w:val="24"/>
              </w:rPr>
            </w:pPr>
          </w:p>
        </w:tc>
      </w:tr>
    </w:tbl>
    <w:p w:rsidR="00BD3B5F" w:rsidRPr="005C3B55" w:rsidRDefault="00BD3B5F">
      <w:pPr>
        <w:pStyle w:val="Naslov6"/>
        <w:tabs>
          <w:tab w:val="clear" w:pos="765"/>
        </w:tabs>
        <w:ind w:left="0" w:firstLine="0"/>
        <w:rPr>
          <w:szCs w:val="24"/>
          <w:lang w:val="en-GB"/>
        </w:rPr>
      </w:pPr>
      <w:r w:rsidRPr="005C3B55">
        <w:rPr>
          <w:noProof w:val="0"/>
          <w:szCs w:val="24"/>
          <w:lang w:val="en-GB"/>
        </w:rPr>
        <w:t>Eligible costs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The following costs are entitled to support:</w:t>
            </w:r>
          </w:p>
          <w:p w:rsidR="00BD3B5F" w:rsidRPr="005C3B55" w:rsidRDefault="00BD3B5F" w:rsidP="00BD3B5F">
            <w:pPr>
              <w:numPr>
                <w:ilvl w:val="0"/>
                <w:numId w:val="198"/>
              </w:numPr>
              <w:spacing w:before="240" w:after="0"/>
              <w:jc w:val="left"/>
              <w:rPr>
                <w:noProof/>
                <w:szCs w:val="24"/>
              </w:rPr>
            </w:pPr>
            <w:r w:rsidRPr="005C3B55">
              <w:rPr>
                <w:szCs w:val="24"/>
              </w:rPr>
              <w:t>costs of material and works required to prepare and construct a large irrigation system;</w:t>
            </w:r>
          </w:p>
          <w:p w:rsidR="00BD3B5F" w:rsidRPr="005C3B55" w:rsidRDefault="00BD3B5F" w:rsidP="00BD3B5F">
            <w:pPr>
              <w:numPr>
                <w:ilvl w:val="0"/>
                <w:numId w:val="198"/>
              </w:numPr>
              <w:spacing w:before="0" w:after="0"/>
              <w:jc w:val="left"/>
              <w:rPr>
                <w:noProof/>
                <w:szCs w:val="24"/>
              </w:rPr>
            </w:pPr>
            <w:r w:rsidRPr="005C3B55">
              <w:rPr>
                <w:szCs w:val="24"/>
              </w:rPr>
              <w:t>costs of purchasing land up to and including 10% of eligible costs.</w:t>
            </w:r>
            <w:r w:rsidRPr="005C3B55">
              <w:rPr>
                <w:noProof/>
                <w:szCs w:val="24"/>
              </w:rPr>
              <w:t xml:space="preserve"> </w:t>
            </w:r>
            <w:r w:rsidRPr="005C3B55">
              <w:rPr>
                <w:szCs w:val="24"/>
              </w:rPr>
              <w:t>The purchase of land is deemed an eligible cost only up to the value estimated as per data from the Surveying and Mapping Authority of the Republic of Slovenia (GURS) during the evaluation of real property.</w:t>
            </w:r>
            <w:r w:rsidRPr="005C3B55">
              <w:rPr>
                <w:noProof/>
                <w:szCs w:val="24"/>
              </w:rPr>
              <w:t xml:space="preserve"> </w:t>
            </w:r>
            <w:r w:rsidRPr="005C3B55">
              <w:rPr>
                <w:szCs w:val="24"/>
              </w:rPr>
              <w:t>The beneficiary acquires a decision from an administrative unit confirming the legal transaction of the purchase of agricultural land;</w:t>
            </w:r>
          </w:p>
          <w:p w:rsidR="00BD3B5F" w:rsidRPr="005C3B55" w:rsidRDefault="00BD3B5F" w:rsidP="00BD3B5F">
            <w:pPr>
              <w:numPr>
                <w:ilvl w:val="0"/>
                <w:numId w:val="198"/>
              </w:numPr>
              <w:spacing w:before="0" w:after="0"/>
              <w:jc w:val="left"/>
              <w:rPr>
                <w:noProof/>
                <w:szCs w:val="24"/>
              </w:rPr>
            </w:pPr>
            <w:r w:rsidRPr="005C3B55">
              <w:rPr>
                <w:szCs w:val="24"/>
              </w:rPr>
              <w:t>costs of pumping station equipment and transformer stations, and</w:t>
            </w:r>
          </w:p>
          <w:p w:rsidR="00BD3B5F" w:rsidRPr="005C3B55" w:rsidRDefault="00BD3B5F" w:rsidP="00BD3B5F">
            <w:pPr>
              <w:numPr>
                <w:ilvl w:val="0"/>
                <w:numId w:val="198"/>
              </w:numPr>
              <w:spacing w:before="0" w:after="240"/>
              <w:jc w:val="left"/>
              <w:rPr>
                <w:noProof/>
                <w:szCs w:val="24"/>
              </w:rPr>
            </w:pPr>
            <w:r w:rsidRPr="005C3B55">
              <w:rPr>
                <w:szCs w:val="24"/>
              </w:rPr>
              <w:t>general costs directly related to preparing and implementing the investment, such as fees for architect, engineer and consultation services, fees relating to advisory services on environmental and economic sustainability, including costs of feasibility studies</w:t>
            </w:r>
            <w:r w:rsidRPr="005C3B55">
              <w:rPr>
                <w:rStyle w:val="DeltaViewInsertion"/>
                <w:b w:val="0"/>
                <w:i w:val="0"/>
                <w:szCs w:val="24"/>
              </w:rPr>
              <w:t>.</w:t>
            </w:r>
            <w:r w:rsidRPr="005C3B55">
              <w:rPr>
                <w:noProof/>
                <w:szCs w:val="24"/>
              </w:rPr>
              <w:t xml:space="preserve"> </w:t>
            </w:r>
            <w:r w:rsidRPr="005C3B55">
              <w:rPr>
                <w:szCs w:val="24"/>
              </w:rPr>
              <w:t>The costs of feasibility studies remain eligible costs even if, based on their results, no expenditure under the first, second or third points is made.</w:t>
            </w:r>
          </w:p>
          <w:p w:rsidR="00BD3B5F" w:rsidRPr="005C3B55" w:rsidRDefault="00BD3B5F">
            <w:pPr>
              <w:spacing w:before="240" w:after="240"/>
              <w:jc w:val="left"/>
              <w:rPr>
                <w:noProof/>
                <w:szCs w:val="24"/>
              </w:rPr>
            </w:pPr>
            <w:r w:rsidRPr="005C3B55">
              <w:rPr>
                <w:szCs w:val="24"/>
              </w:rPr>
              <w:t>The determination of the amount of eligible costs will take into account the upper limits of individual eligible costs, which will be determined in the Catalogue of the highest values of costs.</w:t>
            </w:r>
            <w:r w:rsidRPr="005C3B55">
              <w:rPr>
                <w:noProof/>
                <w:szCs w:val="24"/>
              </w:rPr>
              <w:t xml:space="preserve"> </w:t>
            </w:r>
            <w:r w:rsidRPr="005C3B55">
              <w:rPr>
                <w:szCs w:val="24"/>
              </w:rPr>
              <w:t>Regardless of this, the beneficiary will have to enclose one bid with the application.</w:t>
            </w:r>
            <w:r w:rsidRPr="005C3B55">
              <w:rPr>
                <w:noProof/>
                <w:szCs w:val="24"/>
              </w:rPr>
              <w:t xml:space="preserve"> </w:t>
            </w:r>
            <w:r w:rsidRPr="005C3B55">
              <w:rPr>
                <w:szCs w:val="24"/>
              </w:rPr>
              <w:t>In the case of values not determined in the Catalogue of the highest values of costs, the beneficiary must enclose three bids.</w:t>
            </w:r>
          </w:p>
          <w:p w:rsidR="00BD3B5F" w:rsidRPr="005C3B55" w:rsidRDefault="00BD3B5F">
            <w:pPr>
              <w:spacing w:before="240" w:after="240"/>
              <w:jc w:val="left"/>
              <w:rPr>
                <w:noProof/>
                <w:szCs w:val="24"/>
              </w:rPr>
            </w:pPr>
            <w:r w:rsidRPr="005C3B55">
              <w:rPr>
                <w:szCs w:val="24"/>
              </w:rPr>
              <w:t>The following costs are not entitled to support:</w:t>
            </w:r>
          </w:p>
          <w:p w:rsidR="00BD3B5F" w:rsidRPr="005C3B55" w:rsidRDefault="00BD3B5F" w:rsidP="00BD3B5F">
            <w:pPr>
              <w:numPr>
                <w:ilvl w:val="0"/>
                <w:numId w:val="199"/>
              </w:numPr>
              <w:spacing w:before="240" w:after="0"/>
              <w:ind w:hanging="290"/>
              <w:jc w:val="left"/>
              <w:rPr>
                <w:noProof/>
                <w:szCs w:val="24"/>
              </w:rPr>
            </w:pPr>
            <w:r w:rsidRPr="005C3B55">
              <w:rPr>
                <w:szCs w:val="24"/>
              </w:rPr>
              <w:t>interest on debts,</w:t>
            </w:r>
          </w:p>
          <w:p w:rsidR="00BD3B5F" w:rsidRPr="005C3B55" w:rsidRDefault="00BD3B5F" w:rsidP="00BD3B5F">
            <w:pPr>
              <w:numPr>
                <w:ilvl w:val="0"/>
                <w:numId w:val="199"/>
              </w:numPr>
              <w:spacing w:before="0" w:after="0"/>
              <w:ind w:hanging="290"/>
              <w:jc w:val="left"/>
              <w:rPr>
                <w:noProof/>
                <w:szCs w:val="24"/>
              </w:rPr>
            </w:pPr>
            <w:r w:rsidRPr="005C3B55">
              <w:rPr>
                <w:szCs w:val="24"/>
              </w:rPr>
              <w:t>value added tax (VAT), unless it is recoverable on the basis of the national legislation on VAT,</w:t>
            </w:r>
          </w:p>
          <w:p w:rsidR="00BD3B5F" w:rsidRPr="005C3B55" w:rsidRDefault="00BD3B5F" w:rsidP="00BD3B5F">
            <w:pPr>
              <w:numPr>
                <w:ilvl w:val="0"/>
                <w:numId w:val="199"/>
              </w:numPr>
              <w:spacing w:before="0" w:after="0"/>
              <w:ind w:hanging="290"/>
              <w:jc w:val="left"/>
              <w:rPr>
                <w:noProof/>
                <w:szCs w:val="24"/>
              </w:rPr>
            </w:pPr>
            <w:r w:rsidRPr="005C3B55">
              <w:rPr>
                <w:szCs w:val="24"/>
              </w:rPr>
              <w:t>cost of preparing the application for the public procurement and request for payment,</w:t>
            </w:r>
          </w:p>
          <w:p w:rsidR="00BD3B5F" w:rsidRPr="005C3B55" w:rsidRDefault="00BD3B5F" w:rsidP="00BD3B5F">
            <w:pPr>
              <w:numPr>
                <w:ilvl w:val="0"/>
                <w:numId w:val="199"/>
              </w:numPr>
              <w:spacing w:before="0" w:after="0"/>
              <w:ind w:hanging="290"/>
              <w:jc w:val="left"/>
              <w:rPr>
                <w:noProof/>
                <w:szCs w:val="24"/>
              </w:rPr>
            </w:pPr>
            <w:r w:rsidRPr="005C3B55">
              <w:rPr>
                <w:szCs w:val="24"/>
              </w:rPr>
              <w:t>costs of archaeological works and archaeological supervision,</w:t>
            </w:r>
          </w:p>
          <w:p w:rsidR="00BD3B5F" w:rsidRPr="005C3B55" w:rsidRDefault="00BD3B5F" w:rsidP="00BD3B5F">
            <w:pPr>
              <w:numPr>
                <w:ilvl w:val="0"/>
                <w:numId w:val="199"/>
              </w:numPr>
              <w:spacing w:before="0" w:after="0"/>
              <w:ind w:hanging="290"/>
              <w:jc w:val="left"/>
              <w:rPr>
                <w:noProof/>
                <w:szCs w:val="24"/>
              </w:rPr>
            </w:pPr>
            <w:r w:rsidRPr="005C3B55">
              <w:rPr>
                <w:szCs w:val="24"/>
              </w:rPr>
              <w:t>purchase of used equipment, and</w:t>
            </w:r>
          </w:p>
          <w:p w:rsidR="00BD3B5F" w:rsidRPr="005C3B55" w:rsidRDefault="00BD3B5F" w:rsidP="00BD3B5F">
            <w:pPr>
              <w:numPr>
                <w:ilvl w:val="0"/>
                <w:numId w:val="199"/>
              </w:numPr>
              <w:spacing w:before="0" w:after="240"/>
              <w:ind w:hanging="290"/>
              <w:jc w:val="left"/>
              <w:rPr>
                <w:noProof/>
                <w:szCs w:val="24"/>
              </w:rPr>
            </w:pPr>
            <w:r w:rsidRPr="005C3B55">
              <w:rPr>
                <w:szCs w:val="24"/>
              </w:rPr>
              <w:t>in-kind contribution.</w:t>
            </w:r>
          </w:p>
          <w:p w:rsidR="00BD3B5F" w:rsidRPr="005C3B55" w:rsidRDefault="00BD3B5F">
            <w:pPr>
              <w:spacing w:before="240" w:after="240"/>
              <w:jc w:val="left"/>
              <w:rPr>
                <w:noProof/>
                <w:szCs w:val="24"/>
              </w:rPr>
            </w:pPr>
            <w:r w:rsidRPr="005C3B55">
              <w:rPr>
                <w:szCs w:val="24"/>
              </w:rPr>
              <w:t>In the implementation of this operation, certain specific requirements from the aspect of eligibility of costs as per national regulations will be taken into account.</w:t>
            </w:r>
          </w:p>
          <w:p w:rsidR="00BD3B5F" w:rsidRPr="005C3B55" w:rsidRDefault="00BD3B5F">
            <w:pPr>
              <w:spacing w:before="240" w:after="240"/>
              <w:jc w:val="left"/>
              <w:rPr>
                <w:noProof/>
                <w:szCs w:val="24"/>
              </w:rPr>
            </w:pPr>
            <w:r w:rsidRPr="005C3B55">
              <w:rPr>
                <w:noProof/>
                <w:szCs w:val="24"/>
              </w:rPr>
              <w:t> </w:t>
            </w:r>
          </w:p>
          <w:p w:rsidR="00BD3B5F" w:rsidRPr="005C3B55" w:rsidRDefault="00BD3B5F">
            <w:pPr>
              <w:spacing w:before="240" w:after="240"/>
              <w:jc w:val="left"/>
              <w:rPr>
                <w:noProof/>
                <w:szCs w:val="24"/>
              </w:rPr>
            </w:pPr>
            <w:r w:rsidRPr="005C3B55">
              <w:rPr>
                <w:noProof/>
                <w:szCs w:val="24"/>
              </w:rPr>
              <w:t> </w:t>
            </w:r>
          </w:p>
          <w:p w:rsidR="00BD3B5F" w:rsidRPr="005C3B55" w:rsidRDefault="00BD3B5F">
            <w:pPr>
              <w:spacing w:before="240" w:after="240"/>
              <w:jc w:val="left"/>
              <w:rPr>
                <w:noProof/>
                <w:szCs w:val="24"/>
              </w:rPr>
            </w:pPr>
            <w:r w:rsidRPr="005C3B55">
              <w:rPr>
                <w:noProof/>
                <w:szCs w:val="24"/>
              </w:rPr>
              <w:t> </w:t>
            </w:r>
          </w:p>
          <w:p w:rsidR="00BD3B5F" w:rsidRPr="005C3B55" w:rsidRDefault="00BD3B5F">
            <w:pPr>
              <w:spacing w:before="240" w:after="240"/>
              <w:jc w:val="left"/>
              <w:rPr>
                <w:noProof/>
                <w:szCs w:val="24"/>
              </w:rPr>
            </w:pPr>
            <w:r w:rsidRPr="005C3B55">
              <w:rPr>
                <w:noProof/>
                <w:szCs w:val="24"/>
              </w:rPr>
              <w:t> </w:t>
            </w:r>
          </w:p>
          <w:p w:rsidR="00BD3B5F" w:rsidRPr="005C3B55" w:rsidRDefault="00BD3B5F">
            <w:pPr>
              <w:spacing w:before="240" w:after="240"/>
              <w:jc w:val="left"/>
              <w:rPr>
                <w:noProof/>
                <w:szCs w:val="24"/>
              </w:rPr>
            </w:pPr>
            <w:r w:rsidRPr="005C3B55">
              <w:rPr>
                <w:noProof/>
                <w:szCs w:val="24"/>
              </w:rPr>
              <w:t> </w:t>
            </w:r>
          </w:p>
          <w:p w:rsidR="00BD3B5F" w:rsidRPr="005C3B55" w:rsidRDefault="00BD3B5F">
            <w:pPr>
              <w:pStyle w:val="Telobesedila"/>
              <w:rPr>
                <w:szCs w:val="24"/>
              </w:rPr>
            </w:pPr>
          </w:p>
        </w:tc>
      </w:tr>
    </w:tbl>
    <w:p w:rsidR="00BD3B5F" w:rsidRPr="005C3B55" w:rsidRDefault="00BD3B5F">
      <w:pPr>
        <w:pStyle w:val="Naslov6"/>
        <w:tabs>
          <w:tab w:val="clear" w:pos="765"/>
        </w:tabs>
        <w:ind w:left="0" w:firstLine="0"/>
        <w:rPr>
          <w:szCs w:val="24"/>
          <w:lang w:val="en-GB"/>
        </w:rPr>
      </w:pPr>
      <w:r w:rsidRPr="005C3B55">
        <w:rPr>
          <w:noProof w:val="0"/>
          <w:szCs w:val="24"/>
          <w:lang w:val="en-GB"/>
        </w:rPr>
        <w:t>Conditions for eligibility</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rsidP="00BD3B5F">
            <w:pPr>
              <w:numPr>
                <w:ilvl w:val="0"/>
                <w:numId w:val="200"/>
              </w:numPr>
              <w:spacing w:before="0" w:after="0"/>
              <w:jc w:val="left"/>
              <w:rPr>
                <w:noProof/>
                <w:szCs w:val="24"/>
              </w:rPr>
            </w:pPr>
            <w:r w:rsidRPr="005C3B55">
              <w:rPr>
                <w:szCs w:val="24"/>
              </w:rPr>
              <w:t>A final decision on the implementation of irrigation pursuant to regulations regulating agricultural land (defined in the Description of the type of operation).</w:t>
            </w:r>
          </w:p>
          <w:p w:rsidR="00BD3B5F" w:rsidRPr="005C3B55" w:rsidRDefault="00BD3B5F" w:rsidP="00BD3B5F">
            <w:pPr>
              <w:numPr>
                <w:ilvl w:val="0"/>
                <w:numId w:val="200"/>
              </w:numPr>
              <w:spacing w:before="0" w:after="0"/>
              <w:jc w:val="left"/>
              <w:rPr>
                <w:noProof/>
                <w:szCs w:val="24"/>
              </w:rPr>
            </w:pPr>
            <w:r w:rsidRPr="005C3B55">
              <w:rPr>
                <w:szCs w:val="24"/>
              </w:rPr>
              <w:t>A water permit pursuant to regulations governing water.</w:t>
            </w:r>
            <w:r w:rsidRPr="005C3B55">
              <w:rPr>
                <w:noProof/>
                <w:szCs w:val="24"/>
              </w:rPr>
              <w:t xml:space="preserve"> </w:t>
            </w:r>
            <w:r w:rsidRPr="005C3B55">
              <w:rPr>
                <w:szCs w:val="24"/>
              </w:rPr>
              <w:t>If water from surface watercourses and water sources is used for irrigation, a water permit must define the environmentally acceptable discharge under the regulation on the criteria for determining, and the manner of monitoring and reporting on, environmentally acceptable discharges (defined in the Description of the type of operation).</w:t>
            </w:r>
          </w:p>
          <w:p w:rsidR="00BD3B5F" w:rsidRPr="005C3B55" w:rsidRDefault="00BD3B5F" w:rsidP="00BD3B5F">
            <w:pPr>
              <w:numPr>
                <w:ilvl w:val="0"/>
                <w:numId w:val="200"/>
              </w:numPr>
              <w:spacing w:before="0" w:after="0"/>
              <w:jc w:val="left"/>
              <w:rPr>
                <w:noProof/>
                <w:szCs w:val="24"/>
              </w:rPr>
            </w:pPr>
            <w:r w:rsidRPr="005C3B55">
              <w:rPr>
                <w:szCs w:val="24"/>
              </w:rPr>
              <w:t>Irrigation systems must be equipped with water meters at the latest by the completion of the investment.</w:t>
            </w:r>
          </w:p>
          <w:p w:rsidR="00BD3B5F" w:rsidRPr="005C3B55" w:rsidRDefault="00BD3B5F" w:rsidP="00BD3B5F">
            <w:pPr>
              <w:numPr>
                <w:ilvl w:val="0"/>
                <w:numId w:val="200"/>
              </w:numPr>
              <w:spacing w:before="0" w:after="0"/>
              <w:jc w:val="left"/>
              <w:rPr>
                <w:noProof/>
                <w:szCs w:val="24"/>
              </w:rPr>
            </w:pPr>
            <w:r w:rsidRPr="005C3B55">
              <w:rPr>
                <w:szCs w:val="24"/>
              </w:rPr>
              <w:t>If the investment has an impact on bodies of ground and surface waters whose quantitative state has been assessed as less than good in the relevant catchment area management plan, the investment should ensure that a reduction in the total consumption of water of at least 50% of potential savings of water that is possible at the level of investment is made.</w:t>
            </w:r>
          </w:p>
          <w:p w:rsidR="00BD3B5F" w:rsidRPr="005C3B55" w:rsidRDefault="00BD3B5F" w:rsidP="00BD3B5F">
            <w:pPr>
              <w:numPr>
                <w:ilvl w:val="0"/>
                <w:numId w:val="200"/>
              </w:numPr>
              <w:spacing w:before="0" w:after="0"/>
              <w:jc w:val="left"/>
              <w:rPr>
                <w:noProof/>
                <w:szCs w:val="24"/>
              </w:rPr>
            </w:pPr>
            <w:r w:rsidRPr="005C3B55">
              <w:rPr>
                <w:szCs w:val="24"/>
              </w:rPr>
              <w:t>An investment which results in a net increase in an irrigated area that impacts a certain body of ground and surface water is eligible for support only if the quantitative state of the body of water in the relevant catchment area management plan has not been assessed as less than good and if it is clear from an environmental analysis that the investment will have no significant negative impact on the environment.</w:t>
            </w:r>
          </w:p>
          <w:p w:rsidR="00BD3B5F" w:rsidRPr="005C3B55" w:rsidRDefault="00BD3B5F" w:rsidP="00BD3B5F">
            <w:pPr>
              <w:numPr>
                <w:ilvl w:val="0"/>
                <w:numId w:val="200"/>
              </w:numPr>
              <w:spacing w:before="0" w:after="0"/>
              <w:jc w:val="left"/>
              <w:rPr>
                <w:noProof/>
                <w:szCs w:val="24"/>
              </w:rPr>
            </w:pPr>
            <w:r w:rsidRPr="005C3B55">
              <w:rPr>
                <w:szCs w:val="24"/>
              </w:rPr>
              <w:t>Notwithstanding the provisions of point 5, an investment which results in a net increase of irrigated area where the quantitative state of the body of water in the relevant catchment area management plan has been assessed as less than good is eligible for support if:</w:t>
            </w:r>
            <w:r w:rsidRPr="005C3B55">
              <w:rPr>
                <w:noProof/>
                <w:szCs w:val="24"/>
              </w:rPr>
              <w:t xml:space="preserve"> </w:t>
            </w:r>
          </w:p>
          <w:p w:rsidR="00BD3B5F" w:rsidRPr="005C3B55" w:rsidRDefault="00BD3B5F" w:rsidP="00BD3B5F">
            <w:pPr>
              <w:numPr>
                <w:ilvl w:val="1"/>
                <w:numId w:val="200"/>
              </w:numPr>
              <w:spacing w:before="0" w:after="0"/>
              <w:ind w:hanging="324"/>
              <w:jc w:val="left"/>
              <w:rPr>
                <w:noProof/>
                <w:szCs w:val="24"/>
              </w:rPr>
            </w:pPr>
            <w:r w:rsidRPr="005C3B55">
              <w:rPr>
                <w:szCs w:val="24"/>
              </w:rPr>
              <w:t>it is implemented in connection with investment in an existing irrigation system for which a preliminary assessment has shown that it enables at least a 15% potential saving of water relative to the technical parameters of the existing irrigation system, and</w:t>
            </w:r>
          </w:p>
          <w:p w:rsidR="00BD3B5F" w:rsidRPr="005C3B55" w:rsidRDefault="00BD3B5F" w:rsidP="00BD3B5F">
            <w:pPr>
              <w:numPr>
                <w:ilvl w:val="1"/>
                <w:numId w:val="200"/>
              </w:numPr>
              <w:spacing w:before="0" w:after="0"/>
              <w:ind w:hanging="324"/>
              <w:jc w:val="left"/>
              <w:rPr>
                <w:noProof/>
                <w:szCs w:val="24"/>
              </w:rPr>
            </w:pPr>
            <w:r w:rsidRPr="005C3B55">
              <w:rPr>
                <w:szCs w:val="24"/>
              </w:rPr>
              <w:t>the investment ensures an effective reduction in water consumption at the level of investment as a whole by at least 50% of the potential savings of water enabled by the investment in the existing irrigation system.</w:t>
            </w:r>
          </w:p>
          <w:p w:rsidR="00BD3B5F" w:rsidRPr="005C3B55" w:rsidRDefault="00BD3B5F" w:rsidP="00BD3B5F">
            <w:pPr>
              <w:numPr>
                <w:ilvl w:val="0"/>
                <w:numId w:val="200"/>
              </w:numPr>
              <w:spacing w:before="0" w:after="0"/>
              <w:jc w:val="left"/>
              <w:rPr>
                <w:noProof/>
                <w:szCs w:val="24"/>
              </w:rPr>
            </w:pPr>
            <w:r w:rsidRPr="005C3B55">
              <w:rPr>
                <w:szCs w:val="24"/>
              </w:rPr>
              <w:t>Notwithstanding the provisions of point 5, an investment which results in a net increase of irrigated area where the quantitative state of the body of water in the relevant catchment area management plan has been assessed as less than good is eligible for support if the system will be supplied with water from an existing reservoir that was approved by the competent authority before 31 October 2013 if the following conditions are fulfilled:</w:t>
            </w:r>
            <w:r w:rsidRPr="005C3B55">
              <w:rPr>
                <w:noProof/>
                <w:szCs w:val="24"/>
              </w:rPr>
              <w:t xml:space="preserve"> </w:t>
            </w:r>
          </w:p>
          <w:p w:rsidR="00BD3B5F" w:rsidRPr="005C3B55" w:rsidRDefault="00BD3B5F" w:rsidP="00BD3B5F">
            <w:pPr>
              <w:numPr>
                <w:ilvl w:val="1"/>
                <w:numId w:val="201"/>
              </w:numPr>
              <w:spacing w:before="0" w:after="0"/>
              <w:ind w:hanging="324"/>
              <w:jc w:val="left"/>
              <w:rPr>
                <w:noProof/>
                <w:szCs w:val="24"/>
              </w:rPr>
            </w:pPr>
            <w:r w:rsidRPr="005C3B55">
              <w:rPr>
                <w:szCs w:val="24"/>
              </w:rPr>
              <w:t>the reservoir in question is defined in a relevant catchment area management plan and the supervision requirements referred to in Article 11 (3) (e) of the Water Framework Directive apply to it,</w:t>
            </w:r>
          </w:p>
          <w:p w:rsidR="00BD3B5F" w:rsidRPr="005C3B55" w:rsidRDefault="00BD3B5F" w:rsidP="00BD3B5F">
            <w:pPr>
              <w:numPr>
                <w:ilvl w:val="1"/>
                <w:numId w:val="201"/>
              </w:numPr>
              <w:spacing w:before="0" w:after="0"/>
              <w:ind w:hanging="324"/>
              <w:jc w:val="left"/>
              <w:rPr>
                <w:noProof/>
                <w:szCs w:val="24"/>
              </w:rPr>
            </w:pPr>
            <w:r w:rsidRPr="005C3B55">
              <w:rPr>
                <w:noProof/>
                <w:szCs w:val="24"/>
              </w:rPr>
              <w:t xml:space="preserve"> </w:t>
            </w:r>
            <w:r w:rsidRPr="005C3B55">
              <w:rPr>
                <w:szCs w:val="24"/>
              </w:rPr>
              <w:t>the upper limit on total abstraction of water from the reservoir or the required minimum level of discharge in the water bodies supplying the reservoir was in force on 31 October 2013,</w:t>
            </w:r>
          </w:p>
          <w:p w:rsidR="00BD3B5F" w:rsidRPr="005C3B55" w:rsidRDefault="00BD3B5F" w:rsidP="00BD3B5F">
            <w:pPr>
              <w:numPr>
                <w:ilvl w:val="1"/>
                <w:numId w:val="201"/>
              </w:numPr>
              <w:spacing w:before="0" w:after="0"/>
              <w:ind w:hanging="324"/>
              <w:jc w:val="left"/>
              <w:rPr>
                <w:noProof/>
                <w:szCs w:val="24"/>
              </w:rPr>
            </w:pPr>
            <w:r w:rsidRPr="005C3B55">
              <w:rPr>
                <w:szCs w:val="24"/>
              </w:rPr>
              <w:t>the abovementioned upper limit or the required minimum level of discharge meets the conditions referred to in Article 4 of the Water Framework Directive, and</w:t>
            </w:r>
          </w:p>
          <w:p w:rsidR="00BD3B5F" w:rsidRPr="005C3B55" w:rsidRDefault="00BD3B5F" w:rsidP="00BD3B5F">
            <w:pPr>
              <w:numPr>
                <w:ilvl w:val="1"/>
                <w:numId w:val="201"/>
              </w:numPr>
              <w:spacing w:before="0" w:after="0"/>
              <w:ind w:hanging="324"/>
              <w:jc w:val="left"/>
              <w:rPr>
                <w:noProof/>
                <w:szCs w:val="24"/>
              </w:rPr>
            </w:pPr>
            <w:r w:rsidRPr="005C3B55">
              <w:rPr>
                <w:szCs w:val="24"/>
              </w:rPr>
              <w:t>the investment in question does not cause the abstraction of water to exceed the upper limit that was in force on 31 October 2013, or if the level of discharge of water bodies supplying the reservoir does not drop below the required minimum level that was in force on 31 October 2013. If an environmental assessment is prescribed for the investment in accordance with the regulations on environmental assessment, this assessment must show that the investment will have no significant impact on the environment.</w:t>
            </w:r>
          </w:p>
          <w:p w:rsidR="00BD3B5F" w:rsidRPr="005C3B55" w:rsidRDefault="00BD3B5F" w:rsidP="00BD3B5F">
            <w:pPr>
              <w:numPr>
                <w:ilvl w:val="0"/>
                <w:numId w:val="200"/>
              </w:numPr>
              <w:spacing w:before="0" w:after="240"/>
              <w:jc w:val="left"/>
              <w:rPr>
                <w:noProof/>
                <w:szCs w:val="24"/>
              </w:rPr>
            </w:pPr>
            <w:r w:rsidRPr="005C3B55">
              <w:rPr>
                <w:szCs w:val="24"/>
              </w:rPr>
              <w:t>A preliminary assessment procedure must be carried out for all construction projects of large irrigation systems which apply to tenders of the European Agricultural Funds for Rural Development (EAFRD) on the basis of the Decree on the categories of activities for which an environmental impact assessment is mandatory (Official Gazette of the Republic of Slovenia, no. 51/14, with all amendments) before the submission of the application to the public procurement.</w:t>
            </w:r>
            <w:r w:rsidRPr="005C3B55">
              <w:rPr>
                <w:noProof/>
                <w:szCs w:val="24"/>
              </w:rPr>
              <w:t xml:space="preserve"> </w:t>
            </w:r>
            <w:r w:rsidRPr="005C3B55">
              <w:rPr>
                <w:szCs w:val="24"/>
              </w:rPr>
              <w:t>If a significant environmental impact is established, it is necessary to conduct an environmental impact assessment, which includes an assessment of the acceptability of the impact on Natura 2000 sites. The environmental impact assessment ends with the issuing of an environment protection consent.</w:t>
            </w:r>
            <w:r w:rsidRPr="005C3B55">
              <w:rPr>
                <w:noProof/>
                <w:szCs w:val="24"/>
              </w:rPr>
              <w:t xml:space="preserve"> </w:t>
            </w:r>
            <w:r w:rsidRPr="005C3B55">
              <w:rPr>
                <w:szCs w:val="24"/>
              </w:rPr>
              <w:t>The requirements referred to in Article 6 of Directive 92/43/EEC are also implemented in this process.</w:t>
            </w:r>
          </w:p>
          <w:p w:rsidR="00BD3B5F" w:rsidRPr="005C3B55" w:rsidRDefault="00BD3B5F">
            <w:pPr>
              <w:spacing w:before="240" w:after="240"/>
              <w:jc w:val="left"/>
              <w:rPr>
                <w:noProof/>
                <w:szCs w:val="24"/>
              </w:rPr>
            </w:pPr>
            <w:r w:rsidRPr="005C3B55">
              <w:rPr>
                <w:noProof/>
                <w:szCs w:val="24"/>
              </w:rPr>
              <w:t> </w:t>
            </w:r>
          </w:p>
          <w:p w:rsidR="00BD3B5F" w:rsidRPr="005C3B55" w:rsidRDefault="00BD3B5F">
            <w:pPr>
              <w:spacing w:before="240" w:after="240"/>
              <w:jc w:val="left"/>
              <w:rPr>
                <w:noProof/>
                <w:szCs w:val="24"/>
              </w:rPr>
            </w:pPr>
            <w:r w:rsidRPr="005C3B55">
              <w:rPr>
                <w:noProof/>
                <w:szCs w:val="24"/>
              </w:rPr>
              <w:t> </w:t>
            </w:r>
          </w:p>
          <w:p w:rsidR="00BD3B5F" w:rsidRPr="005C3B55" w:rsidRDefault="00BD3B5F">
            <w:pPr>
              <w:pStyle w:val="Telobesedila"/>
              <w:rPr>
                <w:szCs w:val="24"/>
              </w:rPr>
            </w:pPr>
          </w:p>
        </w:tc>
      </w:tr>
    </w:tbl>
    <w:p w:rsidR="00BD3B5F" w:rsidRPr="005C3B55" w:rsidRDefault="00BD3B5F">
      <w:pPr>
        <w:pStyle w:val="Naslov6"/>
        <w:tabs>
          <w:tab w:val="clear" w:pos="765"/>
        </w:tabs>
        <w:ind w:left="0" w:firstLine="0"/>
        <w:rPr>
          <w:szCs w:val="24"/>
          <w:lang w:val="en-GB"/>
        </w:rPr>
      </w:pPr>
      <w:r w:rsidRPr="005C3B55">
        <w:rPr>
          <w:noProof w:val="0"/>
          <w:szCs w:val="24"/>
          <w:lang w:val="en-GB"/>
        </w:rPr>
        <w:t>Principles regarding the determination of selection criteria</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The operation will be implemented as a closed public tender.</w:t>
            </w:r>
          </w:p>
          <w:p w:rsidR="00BD3B5F" w:rsidRPr="005C3B55" w:rsidRDefault="00BD3B5F">
            <w:pPr>
              <w:spacing w:before="240" w:after="240"/>
              <w:jc w:val="left"/>
              <w:rPr>
                <w:noProof/>
                <w:szCs w:val="24"/>
              </w:rPr>
            </w:pPr>
            <w:r w:rsidRPr="005C3B55">
              <w:rPr>
                <w:szCs w:val="24"/>
              </w:rPr>
              <w:t>Selected projects whose applications are complete and adequate in terms of content and which meet the conditions for receiving funds and exceed the threshold number of points determined in the public tender will be eligible for support.</w:t>
            </w:r>
            <w:r w:rsidRPr="005C3B55">
              <w:rPr>
                <w:noProof/>
                <w:szCs w:val="24"/>
              </w:rPr>
              <w:t xml:space="preserve"> </w:t>
            </w:r>
            <w:r w:rsidRPr="005C3B55">
              <w:rPr>
                <w:szCs w:val="24"/>
              </w:rPr>
              <w:t>Applications which score a higher number of points will be selected from among applications that exceed the threshold number of points until the funds available in the public tender are distributed.</w:t>
            </w:r>
            <w:r w:rsidRPr="005C3B55">
              <w:rPr>
                <w:noProof/>
                <w:szCs w:val="24"/>
              </w:rPr>
              <w:t xml:space="preserve"> </w:t>
            </w:r>
            <w:r w:rsidRPr="005C3B55">
              <w:rPr>
                <w:szCs w:val="24"/>
              </w:rPr>
              <w:t>As part of the selection criteria, the greatest emphasis will be on the economic aspect of the investment (for example, internal rate of return), contribution to horizontal objectives and the regional aspect of the investment (for example, location of the investment in terms of the level of development risk of regions).</w:t>
            </w:r>
          </w:p>
          <w:p w:rsidR="00BD3B5F" w:rsidRPr="005C3B55" w:rsidRDefault="00BD3B5F">
            <w:pPr>
              <w:pStyle w:val="Telobesedila"/>
              <w:rPr>
                <w:szCs w:val="24"/>
              </w:rPr>
            </w:pPr>
          </w:p>
        </w:tc>
      </w:tr>
    </w:tbl>
    <w:p w:rsidR="00BD3B5F" w:rsidRPr="005C3B55" w:rsidRDefault="00BD3B5F">
      <w:pPr>
        <w:pStyle w:val="Naslov6"/>
        <w:tabs>
          <w:tab w:val="clear" w:pos="765"/>
        </w:tabs>
        <w:ind w:left="0" w:firstLine="0"/>
        <w:rPr>
          <w:szCs w:val="24"/>
          <w:lang w:val="en-GB"/>
        </w:rPr>
      </w:pPr>
      <w:r w:rsidRPr="005C3B55">
        <w:rPr>
          <w:noProof w:val="0"/>
          <w:szCs w:val="24"/>
          <w:lang w:val="en-GB"/>
        </w:rPr>
        <w:t>(Valid) amounts and support rates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The public support rate amounts to 100% of eligible costs.</w:t>
            </w:r>
          </w:p>
          <w:p w:rsidR="00BD3B5F" w:rsidRPr="005C3B55" w:rsidRDefault="00BD3B5F">
            <w:pPr>
              <w:spacing w:before="240" w:after="240"/>
              <w:jc w:val="left"/>
              <w:rPr>
                <w:noProof/>
                <w:szCs w:val="24"/>
              </w:rPr>
            </w:pPr>
            <w:r w:rsidRPr="005C3B55">
              <w:rPr>
                <w:szCs w:val="24"/>
              </w:rPr>
              <w:t>The lowest amount of public support per application is EUR 5,000.</w:t>
            </w:r>
          </w:p>
          <w:p w:rsidR="00BD3B5F" w:rsidRPr="005C3B55" w:rsidRDefault="00BD3B5F">
            <w:pPr>
              <w:spacing w:before="240" w:after="240"/>
              <w:jc w:val="left"/>
              <w:rPr>
                <w:noProof/>
                <w:szCs w:val="24"/>
              </w:rPr>
            </w:pPr>
            <w:r w:rsidRPr="005C3B55">
              <w:rPr>
                <w:szCs w:val="24"/>
              </w:rPr>
              <w:t>The beneficiaries to support in investments may in accordance with point 4 of Article 45 of Regulation (EU) No 1305/2013 request for advance payment at the Paying Agency after the issue of the decision on the entitlement to funds in the amount of 30% of the public support.</w:t>
            </w:r>
          </w:p>
          <w:p w:rsidR="00BD3B5F" w:rsidRPr="005C3B55" w:rsidRDefault="00BD3B5F">
            <w:pPr>
              <w:pStyle w:val="Telobesedila"/>
              <w:rPr>
                <w:szCs w:val="24"/>
              </w:rPr>
            </w:pPr>
          </w:p>
        </w:tc>
      </w:tr>
    </w:tbl>
    <w:p w:rsidR="00BD3B5F" w:rsidRPr="005C3B55" w:rsidRDefault="00BD3B5F">
      <w:pPr>
        <w:pStyle w:val="Naslov6"/>
        <w:tabs>
          <w:tab w:val="clear" w:pos="765"/>
        </w:tabs>
        <w:ind w:left="0" w:firstLine="0"/>
        <w:rPr>
          <w:szCs w:val="24"/>
          <w:lang w:val="en-GB"/>
        </w:rPr>
      </w:pPr>
      <w:r w:rsidRPr="005C3B55">
        <w:rPr>
          <w:noProof w:val="0"/>
          <w:szCs w:val="24"/>
          <w:lang w:val="en-GB"/>
        </w:rPr>
        <w:t>Verifiability and possibility of control of measures and/or type of operations</w:t>
      </w:r>
    </w:p>
    <w:p w:rsidR="00BD3B5F" w:rsidRPr="005C3B55" w:rsidRDefault="00BD3B5F">
      <w:pPr>
        <w:pStyle w:val="Naslov7"/>
        <w:tabs>
          <w:tab w:val="clear" w:pos="765"/>
        </w:tabs>
        <w:ind w:left="0" w:firstLine="0"/>
        <w:rPr>
          <w:szCs w:val="24"/>
          <w:lang w:val="en-GB"/>
        </w:rPr>
      </w:pPr>
      <w:r w:rsidRPr="005C3B55">
        <w:rPr>
          <w:noProof w:val="0"/>
          <w:szCs w:val="24"/>
          <w:lang w:val="en-GB"/>
        </w:rPr>
        <w:t>Risks in the implementation of the measure</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b/>
                <w:noProof/>
                <w:szCs w:val="24"/>
              </w:rPr>
              <w:t xml:space="preserve">R1: </w:t>
            </w:r>
            <w:r w:rsidRPr="005C3B55">
              <w:rPr>
                <w:b/>
                <w:szCs w:val="24"/>
              </w:rPr>
              <w:t>Application conditions for private beneficiaries</w:t>
            </w:r>
          </w:p>
          <w:p w:rsidR="00BD3B5F" w:rsidRPr="005C3B55" w:rsidRDefault="00BD3B5F">
            <w:pPr>
              <w:spacing w:before="240" w:after="240"/>
              <w:jc w:val="left"/>
              <w:rPr>
                <w:noProof/>
                <w:szCs w:val="24"/>
              </w:rPr>
            </w:pPr>
            <w:r w:rsidRPr="005C3B55">
              <w:rPr>
                <w:szCs w:val="24"/>
              </w:rPr>
              <w:t>The implementation procedure is based on regulations regulating general administrative procedures.</w:t>
            </w:r>
            <w:r w:rsidRPr="005C3B55">
              <w:rPr>
                <w:noProof/>
                <w:szCs w:val="24"/>
              </w:rPr>
              <w:t xml:space="preserve"> </w:t>
            </w:r>
            <w:r w:rsidRPr="005C3B55">
              <w:rPr>
                <w:szCs w:val="24"/>
              </w:rPr>
              <w:t>Selection procedures may be lengthy (they may take more than six months) due to the statutory deadlines.</w:t>
            </w:r>
            <w:r w:rsidRPr="005C3B55">
              <w:rPr>
                <w:noProof/>
                <w:szCs w:val="24"/>
              </w:rPr>
              <w:t xml:space="preserve"> </w:t>
            </w:r>
            <w:r w:rsidRPr="005C3B55">
              <w:rPr>
                <w:szCs w:val="24"/>
              </w:rPr>
              <w:t>The situation in the market may change considerably during this time.</w:t>
            </w:r>
          </w:p>
          <w:p w:rsidR="00BD3B5F" w:rsidRPr="005C3B55" w:rsidRDefault="00BD3B5F">
            <w:pPr>
              <w:spacing w:before="240" w:after="240"/>
              <w:jc w:val="left"/>
              <w:rPr>
                <w:noProof/>
                <w:szCs w:val="24"/>
              </w:rPr>
            </w:pPr>
            <w:r w:rsidRPr="005C3B55">
              <w:rPr>
                <w:b/>
                <w:noProof/>
                <w:szCs w:val="24"/>
              </w:rPr>
              <w:t xml:space="preserve">R4: </w:t>
            </w:r>
            <w:r w:rsidRPr="005C3B55">
              <w:rPr>
                <w:b/>
                <w:szCs w:val="24"/>
              </w:rPr>
              <w:t>Public procurement</w:t>
            </w:r>
          </w:p>
          <w:p w:rsidR="00BD3B5F" w:rsidRPr="005C3B55" w:rsidRDefault="00BD3B5F">
            <w:pPr>
              <w:spacing w:before="240" w:after="240"/>
              <w:jc w:val="left"/>
              <w:rPr>
                <w:noProof/>
                <w:szCs w:val="24"/>
              </w:rPr>
            </w:pPr>
            <w:r w:rsidRPr="005C3B55">
              <w:rPr>
                <w:szCs w:val="24"/>
              </w:rPr>
              <w:t>The risks in the implementation of the measure are, in particular, the long period needed to implement the public procurement procedure, complaints and review procedures, and possible agreements between providers.</w:t>
            </w:r>
          </w:p>
          <w:p w:rsidR="00BD3B5F" w:rsidRPr="005C3B55" w:rsidRDefault="00BD3B5F">
            <w:pPr>
              <w:spacing w:before="240" w:after="240"/>
              <w:jc w:val="left"/>
              <w:rPr>
                <w:noProof/>
                <w:szCs w:val="24"/>
              </w:rPr>
            </w:pPr>
            <w:r w:rsidRPr="005C3B55">
              <w:rPr>
                <w:b/>
                <w:noProof/>
                <w:szCs w:val="24"/>
              </w:rPr>
              <w:t xml:space="preserve">R2: </w:t>
            </w:r>
            <w:r w:rsidRPr="005C3B55">
              <w:rPr>
                <w:b/>
                <w:szCs w:val="24"/>
              </w:rPr>
              <w:t>Reasonableness of costs</w:t>
            </w:r>
          </w:p>
          <w:p w:rsidR="00BD3B5F" w:rsidRPr="005C3B55" w:rsidRDefault="00BD3B5F">
            <w:pPr>
              <w:spacing w:before="240" w:after="240"/>
              <w:jc w:val="left"/>
              <w:rPr>
                <w:noProof/>
                <w:szCs w:val="24"/>
              </w:rPr>
            </w:pPr>
            <w:r w:rsidRPr="005C3B55">
              <w:rPr>
                <w:szCs w:val="24"/>
              </w:rPr>
              <w:t>In the implementation of investments, significant price fluctuations for the same or similar costs occur in the market,</w:t>
            </w:r>
            <w:r w:rsidRPr="005C3B55">
              <w:rPr>
                <w:noProof/>
                <w:szCs w:val="24"/>
              </w:rPr>
              <w:t xml:space="preserve"> </w:t>
            </w:r>
            <w:r w:rsidRPr="005C3B55">
              <w:rPr>
                <w:szCs w:val="24"/>
              </w:rPr>
              <w:t>this is most obviously manifested when purchasing agricultural machinery and mechanical equipment, where differences in prices are noted for the same type of machinery on the common European market.</w:t>
            </w:r>
            <w:r w:rsidRPr="005C3B55">
              <w:rPr>
                <w:noProof/>
                <w:szCs w:val="24"/>
              </w:rPr>
              <w:t xml:space="preserve"> </w:t>
            </w:r>
            <w:r w:rsidRPr="005C3B55">
              <w:rPr>
                <w:szCs w:val="24"/>
              </w:rPr>
              <w:t>There are not many providers of technologically demanding equipment.</w:t>
            </w:r>
          </w:p>
          <w:p w:rsidR="00BD3B5F" w:rsidRPr="005C3B55" w:rsidRDefault="00BD3B5F">
            <w:pPr>
              <w:spacing w:before="240" w:after="240"/>
              <w:jc w:val="left"/>
              <w:rPr>
                <w:noProof/>
                <w:szCs w:val="24"/>
              </w:rPr>
            </w:pPr>
            <w:r w:rsidRPr="005C3B55">
              <w:rPr>
                <w:b/>
                <w:noProof/>
                <w:szCs w:val="24"/>
              </w:rPr>
              <w:t xml:space="preserve">R3: </w:t>
            </w:r>
            <w:r w:rsidRPr="005C3B55">
              <w:rPr>
                <w:b/>
                <w:szCs w:val="24"/>
              </w:rPr>
              <w:t>Suitable overview and control system</w:t>
            </w:r>
          </w:p>
          <w:p w:rsidR="00BD3B5F" w:rsidRPr="005C3B55" w:rsidRDefault="00BD3B5F">
            <w:pPr>
              <w:spacing w:before="240" w:after="240"/>
              <w:jc w:val="left"/>
              <w:rPr>
                <w:noProof/>
                <w:szCs w:val="24"/>
              </w:rPr>
            </w:pPr>
            <w:r w:rsidRPr="005C3B55">
              <w:rPr>
                <w:szCs w:val="24"/>
              </w:rPr>
              <w:t>The greatest problem is the inadequate connection between databases in the public administration.</w:t>
            </w:r>
            <w:r w:rsidRPr="005C3B55">
              <w:rPr>
                <w:noProof/>
                <w:szCs w:val="24"/>
              </w:rPr>
              <w:t xml:space="preserve"> </w:t>
            </w:r>
            <w:r w:rsidRPr="005C3B55">
              <w:rPr>
                <w:szCs w:val="24"/>
              </w:rPr>
              <w:t>This can result in an increased risk of dual co-funding of the same eligible costs.</w:t>
            </w:r>
          </w:p>
          <w:p w:rsidR="00BD3B5F" w:rsidRPr="005C3B55" w:rsidRDefault="00BD3B5F">
            <w:pPr>
              <w:spacing w:before="240" w:after="240"/>
              <w:jc w:val="left"/>
              <w:rPr>
                <w:noProof/>
                <w:szCs w:val="24"/>
              </w:rPr>
            </w:pPr>
            <w:r w:rsidRPr="005C3B55">
              <w:rPr>
                <w:b/>
                <w:noProof/>
                <w:szCs w:val="24"/>
              </w:rPr>
              <w:t xml:space="preserve">R7: </w:t>
            </w:r>
            <w:r w:rsidRPr="005C3B55">
              <w:rPr>
                <w:b/>
                <w:szCs w:val="24"/>
              </w:rPr>
              <w:t>Selection of beneficiaries</w:t>
            </w:r>
          </w:p>
          <w:p w:rsidR="00BD3B5F" w:rsidRPr="005C3B55" w:rsidRDefault="00BD3B5F">
            <w:pPr>
              <w:spacing w:before="240" w:after="240"/>
              <w:jc w:val="left"/>
              <w:rPr>
                <w:noProof/>
                <w:szCs w:val="24"/>
              </w:rPr>
            </w:pPr>
            <w:r w:rsidRPr="005C3B55">
              <w:rPr>
                <w:szCs w:val="24"/>
              </w:rPr>
              <w:t>There is the possibility of risk due to the lack of information for beneficiaries and persons responsible for the preparation of application and a lack of understanding of the requirements from the regulations.</w:t>
            </w:r>
          </w:p>
          <w:p w:rsidR="00BD3B5F" w:rsidRPr="005C3B55" w:rsidRDefault="00BD3B5F">
            <w:pPr>
              <w:spacing w:before="240" w:after="240"/>
              <w:jc w:val="left"/>
              <w:rPr>
                <w:noProof/>
                <w:szCs w:val="24"/>
              </w:rPr>
            </w:pPr>
            <w:r w:rsidRPr="005C3B55">
              <w:rPr>
                <w:b/>
                <w:noProof/>
                <w:szCs w:val="24"/>
              </w:rPr>
              <w:t xml:space="preserve">R8: </w:t>
            </w:r>
            <w:r w:rsidRPr="005C3B55">
              <w:rPr>
                <w:b/>
                <w:szCs w:val="24"/>
              </w:rPr>
              <w:t>IT systems</w:t>
            </w:r>
          </w:p>
          <w:p w:rsidR="00BD3B5F" w:rsidRPr="005C3B55" w:rsidRDefault="00BD3B5F">
            <w:pPr>
              <w:spacing w:before="240" w:after="240"/>
              <w:jc w:val="left"/>
              <w:rPr>
                <w:noProof/>
                <w:szCs w:val="24"/>
              </w:rPr>
            </w:pPr>
            <w:r w:rsidRPr="005C3B55">
              <w:rPr>
                <w:szCs w:val="24"/>
              </w:rPr>
              <w:t>There is a risk of an IT system that is inadequate for the submission of applications to the public procurement and requests for payment, and which is not advanced and does not provide sufficient support.</w:t>
            </w:r>
            <w:r w:rsidRPr="005C3B55">
              <w:rPr>
                <w:noProof/>
                <w:szCs w:val="24"/>
              </w:rPr>
              <w:t xml:space="preserve"> </w:t>
            </w:r>
            <w:r w:rsidRPr="005C3B55">
              <w:rPr>
                <w:szCs w:val="24"/>
              </w:rPr>
              <w:t>There is also a risk that potential beneficiaries will not be skilled at using this system and that the system will not function optimally.</w:t>
            </w:r>
          </w:p>
          <w:p w:rsidR="00BD3B5F" w:rsidRPr="005C3B55" w:rsidRDefault="00BD3B5F">
            <w:pPr>
              <w:spacing w:before="240" w:after="240"/>
              <w:jc w:val="left"/>
              <w:rPr>
                <w:noProof/>
                <w:szCs w:val="24"/>
              </w:rPr>
            </w:pPr>
            <w:r w:rsidRPr="005C3B55">
              <w:rPr>
                <w:b/>
                <w:noProof/>
                <w:szCs w:val="24"/>
              </w:rPr>
              <w:t xml:space="preserve">R9: </w:t>
            </w:r>
            <w:r w:rsidRPr="005C3B55">
              <w:rPr>
                <w:b/>
                <w:szCs w:val="24"/>
              </w:rPr>
              <w:t>Requests for payment</w:t>
            </w:r>
          </w:p>
          <w:p w:rsidR="00BD3B5F" w:rsidRPr="005C3B55" w:rsidRDefault="00BD3B5F">
            <w:pPr>
              <w:spacing w:before="240" w:after="240"/>
              <w:jc w:val="left"/>
              <w:rPr>
                <w:noProof/>
                <w:szCs w:val="24"/>
              </w:rPr>
            </w:pPr>
            <w:r w:rsidRPr="005C3B55">
              <w:rPr>
                <w:szCs w:val="24"/>
              </w:rPr>
              <w:t>A request for the payment of funds is honoured within 30 days following the submission of a complete request for payment.</w:t>
            </w:r>
            <w:r w:rsidRPr="005C3B55">
              <w:rPr>
                <w:noProof/>
                <w:szCs w:val="24"/>
              </w:rPr>
              <w:t xml:space="preserve"> </w:t>
            </w:r>
            <w:r w:rsidRPr="005C3B55">
              <w:rPr>
                <w:szCs w:val="24"/>
              </w:rPr>
              <w:t>There are no delays in this part.</w:t>
            </w:r>
            <w:r w:rsidRPr="005C3B55">
              <w:rPr>
                <w:noProof/>
                <w:szCs w:val="24"/>
              </w:rPr>
              <w:t xml:space="preserve"> </w:t>
            </w:r>
            <w:r w:rsidRPr="005C3B55">
              <w:rPr>
                <w:szCs w:val="24"/>
              </w:rPr>
              <w:t>The greatest risk arises in the processing of requests for payment.</w:t>
            </w:r>
            <w:r w:rsidRPr="005C3B55">
              <w:rPr>
                <w:noProof/>
                <w:szCs w:val="24"/>
              </w:rPr>
              <w:t xml:space="preserve"> </w:t>
            </w:r>
            <w:r w:rsidRPr="005C3B55">
              <w:rPr>
                <w:szCs w:val="24"/>
              </w:rPr>
              <w:t>Due to unprofessional preparation, the procedure for processing may take several months.</w:t>
            </w:r>
            <w:r w:rsidRPr="005C3B55">
              <w:rPr>
                <w:noProof/>
                <w:szCs w:val="24"/>
              </w:rPr>
              <w:t xml:space="preserve"> </w:t>
            </w:r>
            <w:r w:rsidRPr="005C3B55">
              <w:rPr>
                <w:szCs w:val="24"/>
              </w:rPr>
              <w:t>The main reason is the lack of knowledge among beneficiaries and persons preparing applications.</w:t>
            </w:r>
          </w:p>
          <w:p w:rsidR="00BD3B5F" w:rsidRPr="005C3B55" w:rsidRDefault="00BD3B5F">
            <w:pPr>
              <w:spacing w:before="240" w:after="240"/>
              <w:jc w:val="left"/>
              <w:rPr>
                <w:noProof/>
                <w:szCs w:val="24"/>
              </w:rPr>
            </w:pPr>
            <w:r w:rsidRPr="005C3B55">
              <w:rPr>
                <w:b/>
                <w:szCs w:val="24"/>
              </w:rPr>
              <w:t>Impact on the environment</w:t>
            </w:r>
          </w:p>
          <w:p w:rsidR="00BD3B5F" w:rsidRPr="005C3B55" w:rsidRDefault="00BD3B5F">
            <w:pPr>
              <w:spacing w:before="240" w:after="240"/>
              <w:jc w:val="left"/>
              <w:rPr>
                <w:noProof/>
                <w:szCs w:val="24"/>
              </w:rPr>
            </w:pPr>
            <w:r w:rsidRPr="005C3B55">
              <w:rPr>
                <w:szCs w:val="24"/>
              </w:rPr>
              <w:t>The promotion of competitiveness may lead to an excessive concentration of production, which may result in reduced biodiversity and an increased environmental risk.</w:t>
            </w:r>
          </w:p>
          <w:p w:rsidR="00BD3B5F" w:rsidRPr="005C3B55" w:rsidRDefault="00BD3B5F">
            <w:pPr>
              <w:pStyle w:val="Telobesedila"/>
              <w:rPr>
                <w:szCs w:val="24"/>
              </w:rPr>
            </w:pPr>
          </w:p>
        </w:tc>
      </w:tr>
    </w:tbl>
    <w:p w:rsidR="00BD3B5F" w:rsidRPr="005C3B55" w:rsidRDefault="00BD3B5F">
      <w:pPr>
        <w:pStyle w:val="Naslov7"/>
        <w:tabs>
          <w:tab w:val="clear" w:pos="765"/>
        </w:tabs>
        <w:ind w:left="0" w:firstLine="0"/>
        <w:rPr>
          <w:szCs w:val="24"/>
          <w:lang w:val="en-GB"/>
        </w:rPr>
      </w:pPr>
      <w:r w:rsidRPr="005C3B55">
        <w:rPr>
          <w:noProof w:val="0"/>
          <w:szCs w:val="24"/>
          <w:lang w:val="en-GB"/>
        </w:rPr>
        <w:t>Mitigation measures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b/>
                <w:noProof/>
                <w:szCs w:val="24"/>
              </w:rPr>
              <w:t xml:space="preserve">R1: </w:t>
            </w:r>
            <w:r w:rsidRPr="005C3B55">
              <w:rPr>
                <w:b/>
                <w:szCs w:val="24"/>
              </w:rPr>
              <w:t>Application conditions for private beneficiaries</w:t>
            </w:r>
          </w:p>
          <w:p w:rsidR="00BD3B5F" w:rsidRPr="005C3B55" w:rsidRDefault="00BD3B5F">
            <w:pPr>
              <w:spacing w:before="240" w:after="240"/>
              <w:jc w:val="left"/>
              <w:rPr>
                <w:noProof/>
                <w:szCs w:val="24"/>
              </w:rPr>
            </w:pPr>
            <w:r w:rsidRPr="005C3B55">
              <w:rPr>
                <w:szCs w:val="24"/>
              </w:rPr>
              <w:t>The duration of administrative procedures cannot be influenced.</w:t>
            </w:r>
            <w:r w:rsidRPr="005C3B55">
              <w:rPr>
                <w:noProof/>
                <w:szCs w:val="24"/>
              </w:rPr>
              <w:t xml:space="preserve"> </w:t>
            </w:r>
            <w:r w:rsidRPr="005C3B55">
              <w:rPr>
                <w:szCs w:val="24"/>
              </w:rPr>
              <w:t>However, the dissemination of information to potential beneficiaries on the measures and selection procedures of beneficiaries will be improved.</w:t>
            </w:r>
            <w:r w:rsidRPr="005C3B55">
              <w:rPr>
                <w:noProof/>
                <w:szCs w:val="24"/>
              </w:rPr>
              <w:t xml:space="preserve"> </w:t>
            </w:r>
            <w:r w:rsidRPr="005C3B55">
              <w:rPr>
                <w:szCs w:val="24"/>
              </w:rPr>
              <w:t>Applications are submitted electronically, which shortens the time of application processing.</w:t>
            </w:r>
            <w:r w:rsidRPr="005C3B55">
              <w:rPr>
                <w:noProof/>
                <w:szCs w:val="24"/>
              </w:rPr>
              <w:t xml:space="preserve"> </w:t>
            </w:r>
            <w:r w:rsidRPr="005C3B55">
              <w:rPr>
                <w:szCs w:val="24"/>
              </w:rPr>
              <w:t>Efforts to improve the unification of public procurements and the clarity of conditions are set to continue, which will contribute to making applications more complete.</w:t>
            </w:r>
            <w:r w:rsidRPr="005C3B55">
              <w:rPr>
                <w:noProof/>
                <w:szCs w:val="24"/>
              </w:rPr>
              <w:t xml:space="preserve"> </w:t>
            </w:r>
            <w:r w:rsidRPr="005C3B55">
              <w:rPr>
                <w:szCs w:val="24"/>
              </w:rPr>
              <w:t>This will somewhat reduce the risk.</w:t>
            </w:r>
            <w:r w:rsidRPr="005C3B55">
              <w:rPr>
                <w:noProof/>
                <w:szCs w:val="24"/>
              </w:rPr>
              <w:t xml:space="preserve"> </w:t>
            </w:r>
            <w:r w:rsidRPr="005C3B55">
              <w:rPr>
                <w:szCs w:val="24"/>
              </w:rPr>
              <w:t>With changes to the Agriculture Act (Official Gazette of the Republic of Slovenia, no. 45/2008 with all amendments) introduced in 2014, the provisions of the administrative procedure were changed in order to make the procedure more economical and to accelerate application processing.</w:t>
            </w:r>
          </w:p>
          <w:p w:rsidR="00BD3B5F" w:rsidRPr="005C3B55" w:rsidRDefault="00BD3B5F">
            <w:pPr>
              <w:spacing w:before="240" w:after="240"/>
              <w:jc w:val="left"/>
              <w:rPr>
                <w:noProof/>
                <w:szCs w:val="24"/>
              </w:rPr>
            </w:pPr>
            <w:r w:rsidRPr="005C3B55">
              <w:rPr>
                <w:b/>
                <w:noProof/>
                <w:szCs w:val="24"/>
              </w:rPr>
              <w:t xml:space="preserve">R4: </w:t>
            </w:r>
            <w:r w:rsidRPr="005C3B55">
              <w:rPr>
                <w:b/>
                <w:szCs w:val="24"/>
              </w:rPr>
              <w:t>Public procurement</w:t>
            </w:r>
          </w:p>
          <w:p w:rsidR="00BD3B5F" w:rsidRPr="005C3B55" w:rsidRDefault="00BD3B5F">
            <w:pPr>
              <w:spacing w:before="240" w:after="240"/>
              <w:jc w:val="left"/>
              <w:rPr>
                <w:noProof/>
                <w:szCs w:val="24"/>
              </w:rPr>
            </w:pPr>
            <w:r w:rsidRPr="005C3B55">
              <w:rPr>
                <w:szCs w:val="24"/>
              </w:rPr>
              <w:t>The mitigation measures are timely commenced public procurement procedures for the selection of contractors, well-prepared public procurement and tender documentation.</w:t>
            </w:r>
          </w:p>
          <w:p w:rsidR="00BD3B5F" w:rsidRPr="005C3B55" w:rsidRDefault="00BD3B5F">
            <w:pPr>
              <w:spacing w:before="240" w:after="240"/>
              <w:jc w:val="left"/>
              <w:rPr>
                <w:noProof/>
                <w:szCs w:val="24"/>
              </w:rPr>
            </w:pPr>
            <w:r w:rsidRPr="005C3B55">
              <w:rPr>
                <w:b/>
                <w:noProof/>
                <w:szCs w:val="24"/>
              </w:rPr>
              <w:t xml:space="preserve">R2: </w:t>
            </w:r>
            <w:r w:rsidRPr="005C3B55">
              <w:rPr>
                <w:b/>
                <w:szCs w:val="24"/>
              </w:rPr>
              <w:t>Reasonableness of costs</w:t>
            </w:r>
          </w:p>
          <w:p w:rsidR="00BD3B5F" w:rsidRPr="005C3B55" w:rsidRDefault="00BD3B5F">
            <w:pPr>
              <w:spacing w:before="240" w:after="240"/>
              <w:jc w:val="left"/>
              <w:rPr>
                <w:noProof/>
                <w:szCs w:val="24"/>
              </w:rPr>
            </w:pPr>
            <w:r w:rsidRPr="005C3B55">
              <w:rPr>
                <w:szCs w:val="24"/>
              </w:rPr>
              <w:t>A uniform catalogue of costs for all measures which include investments will be set up.</w:t>
            </w:r>
            <w:r w:rsidRPr="005C3B55">
              <w:rPr>
                <w:noProof/>
                <w:szCs w:val="24"/>
              </w:rPr>
              <w:t xml:space="preserve"> </w:t>
            </w:r>
            <w:r w:rsidRPr="005C3B55">
              <w:rPr>
                <w:szCs w:val="24"/>
              </w:rPr>
              <w:t>The catalogue will be prepared by an independent external contractor, and will determine the highest recognised amounts of individual costs, which will be revised if necessary (for example, changed market conditions).</w:t>
            </w:r>
          </w:p>
          <w:p w:rsidR="00BD3B5F" w:rsidRPr="005C3B55" w:rsidRDefault="00BD3B5F">
            <w:pPr>
              <w:spacing w:before="240" w:after="240"/>
              <w:jc w:val="left"/>
              <w:rPr>
                <w:noProof/>
                <w:szCs w:val="24"/>
              </w:rPr>
            </w:pPr>
            <w:r w:rsidRPr="005C3B55">
              <w:rPr>
                <w:b/>
                <w:noProof/>
                <w:szCs w:val="24"/>
              </w:rPr>
              <w:t xml:space="preserve">R3: </w:t>
            </w:r>
            <w:r w:rsidRPr="005C3B55">
              <w:rPr>
                <w:b/>
                <w:szCs w:val="24"/>
              </w:rPr>
              <w:t>Suitable overview and control system</w:t>
            </w:r>
          </w:p>
          <w:p w:rsidR="00BD3B5F" w:rsidRPr="005C3B55" w:rsidRDefault="00BD3B5F">
            <w:pPr>
              <w:spacing w:before="240" w:after="240"/>
              <w:jc w:val="left"/>
              <w:rPr>
                <w:noProof/>
                <w:szCs w:val="24"/>
              </w:rPr>
            </w:pPr>
            <w:r w:rsidRPr="005C3B55">
              <w:rPr>
                <w:szCs w:val="24"/>
              </w:rPr>
              <w:t>The connectivity of databases within the public administration will be improved.</w:t>
            </w:r>
            <w:r w:rsidRPr="005C3B55">
              <w:rPr>
                <w:noProof/>
                <w:szCs w:val="24"/>
              </w:rPr>
              <w:t xml:space="preserve"> </w:t>
            </w:r>
            <w:r w:rsidRPr="005C3B55">
              <w:rPr>
                <w:szCs w:val="24"/>
              </w:rPr>
              <w:t>The demarcation of the contents of eligible costs in relation to other funds will be more precisely defined.</w:t>
            </w:r>
          </w:p>
          <w:p w:rsidR="00BD3B5F" w:rsidRPr="005C3B55" w:rsidRDefault="00BD3B5F">
            <w:pPr>
              <w:spacing w:before="240" w:after="240"/>
              <w:jc w:val="left"/>
              <w:rPr>
                <w:noProof/>
                <w:szCs w:val="24"/>
              </w:rPr>
            </w:pPr>
            <w:r w:rsidRPr="005C3B55">
              <w:rPr>
                <w:b/>
                <w:noProof/>
                <w:szCs w:val="24"/>
              </w:rPr>
              <w:t xml:space="preserve">R7: </w:t>
            </w:r>
            <w:r w:rsidRPr="005C3B55">
              <w:rPr>
                <w:b/>
                <w:szCs w:val="24"/>
              </w:rPr>
              <w:t>Selection of beneficiaries</w:t>
            </w:r>
          </w:p>
          <w:p w:rsidR="00BD3B5F" w:rsidRPr="005C3B55" w:rsidRDefault="00BD3B5F">
            <w:pPr>
              <w:spacing w:before="240" w:after="240"/>
              <w:jc w:val="left"/>
              <w:rPr>
                <w:noProof/>
                <w:szCs w:val="24"/>
              </w:rPr>
            </w:pPr>
            <w:r w:rsidRPr="005C3B55">
              <w:rPr>
                <w:szCs w:val="24"/>
              </w:rPr>
              <w:t>With the permanent implementation of the promotion of the measure, organisation of public presentations and other activities (updated website of the Ministry of Agriculture, Forestry and Food, activities of the National Rural Network), we will promptly inform potential beneficiaries on the content of the supported operation.</w:t>
            </w:r>
          </w:p>
          <w:p w:rsidR="00BD3B5F" w:rsidRPr="005C3B55" w:rsidRDefault="00BD3B5F">
            <w:pPr>
              <w:spacing w:before="240" w:after="240"/>
              <w:jc w:val="left"/>
              <w:rPr>
                <w:noProof/>
                <w:szCs w:val="24"/>
              </w:rPr>
            </w:pPr>
            <w:r w:rsidRPr="005C3B55">
              <w:rPr>
                <w:b/>
                <w:noProof/>
                <w:szCs w:val="24"/>
              </w:rPr>
              <w:t xml:space="preserve">R8: </w:t>
            </w:r>
            <w:r w:rsidRPr="005C3B55">
              <w:rPr>
                <w:b/>
                <w:szCs w:val="24"/>
              </w:rPr>
              <w:t>IT systems</w:t>
            </w:r>
          </w:p>
          <w:p w:rsidR="00BD3B5F" w:rsidRPr="005C3B55" w:rsidRDefault="00BD3B5F">
            <w:pPr>
              <w:spacing w:before="240" w:after="240"/>
              <w:jc w:val="left"/>
              <w:rPr>
                <w:noProof/>
                <w:szCs w:val="24"/>
              </w:rPr>
            </w:pPr>
            <w:r w:rsidRPr="005C3B55">
              <w:rPr>
                <w:szCs w:val="24"/>
              </w:rPr>
              <w:t>An IT system will be set up which will facilitate electronic submission of applications and requests for payment,</w:t>
            </w:r>
            <w:r w:rsidRPr="005C3B55">
              <w:rPr>
                <w:noProof/>
                <w:szCs w:val="24"/>
              </w:rPr>
              <w:t xml:space="preserve"> </w:t>
            </w:r>
            <w:r w:rsidRPr="005C3B55">
              <w:rPr>
                <w:szCs w:val="24"/>
              </w:rPr>
              <w:t>thus simplifying the verification of double funding, business operations of associated parties, and separation between the funding of individual costs on the sub-measure level and other measures of the RDP 2014–2020. The system will incorporate different databases, which will enable faster and more precise data verification.</w:t>
            </w:r>
            <w:r w:rsidRPr="005C3B55">
              <w:rPr>
                <w:noProof/>
                <w:szCs w:val="24"/>
              </w:rPr>
              <w:t xml:space="preserve"> </w:t>
            </w:r>
            <w:r w:rsidRPr="005C3B55">
              <w:rPr>
                <w:szCs w:val="24"/>
              </w:rPr>
              <w:t>The system will also enable monitoring of the implementation of the sub-measure.</w:t>
            </w:r>
            <w:r w:rsidRPr="005C3B55">
              <w:rPr>
                <w:noProof/>
                <w:szCs w:val="24"/>
              </w:rPr>
              <w:t xml:space="preserve"> </w:t>
            </w:r>
            <w:r w:rsidRPr="005C3B55">
              <w:rPr>
                <w:szCs w:val="24"/>
              </w:rPr>
              <w:t>Training in the use of the IT system will be organised for the drafters of applications and requests.</w:t>
            </w:r>
          </w:p>
          <w:p w:rsidR="00BD3B5F" w:rsidRPr="005C3B55" w:rsidRDefault="00BD3B5F">
            <w:pPr>
              <w:spacing w:before="240" w:after="240"/>
              <w:jc w:val="left"/>
              <w:rPr>
                <w:noProof/>
                <w:szCs w:val="24"/>
              </w:rPr>
            </w:pPr>
            <w:r w:rsidRPr="005C3B55">
              <w:rPr>
                <w:b/>
                <w:noProof/>
                <w:szCs w:val="24"/>
              </w:rPr>
              <w:t xml:space="preserve">R9: </w:t>
            </w:r>
            <w:r w:rsidRPr="005C3B55">
              <w:rPr>
                <w:b/>
                <w:szCs w:val="24"/>
              </w:rPr>
              <w:t>Requests for payment</w:t>
            </w:r>
          </w:p>
          <w:p w:rsidR="00BD3B5F" w:rsidRPr="005C3B55" w:rsidRDefault="00BD3B5F">
            <w:pPr>
              <w:spacing w:before="240" w:after="240"/>
              <w:jc w:val="left"/>
              <w:rPr>
                <w:noProof/>
                <w:szCs w:val="24"/>
              </w:rPr>
            </w:pPr>
            <w:r w:rsidRPr="005C3B55">
              <w:rPr>
                <w:szCs w:val="24"/>
              </w:rPr>
              <w:t>The dissemination of information to beneficiaries and persons preparing applications regarding the preparation of requests for the payment of funds will be improved.</w:t>
            </w:r>
            <w:r w:rsidRPr="005C3B55">
              <w:rPr>
                <w:noProof/>
                <w:szCs w:val="24"/>
              </w:rPr>
              <w:t xml:space="preserve"> </w:t>
            </w:r>
            <w:r w:rsidRPr="005C3B55">
              <w:rPr>
                <w:szCs w:val="24"/>
              </w:rPr>
              <w:t>In this period, the application for processing electronic applications and requests will be upgraded.</w:t>
            </w:r>
          </w:p>
          <w:p w:rsidR="00BD3B5F" w:rsidRPr="005C3B55" w:rsidRDefault="00BD3B5F">
            <w:pPr>
              <w:spacing w:before="240" w:after="240"/>
              <w:jc w:val="left"/>
              <w:rPr>
                <w:noProof/>
                <w:szCs w:val="24"/>
              </w:rPr>
            </w:pPr>
            <w:r w:rsidRPr="005C3B55">
              <w:rPr>
                <w:b/>
                <w:szCs w:val="24"/>
              </w:rPr>
              <w:t>Impact on the environment</w:t>
            </w:r>
          </w:p>
          <w:p w:rsidR="00BD3B5F" w:rsidRPr="005C3B55" w:rsidRDefault="00BD3B5F">
            <w:pPr>
              <w:spacing w:before="240" w:after="240"/>
              <w:jc w:val="left"/>
              <w:rPr>
                <w:noProof/>
                <w:szCs w:val="24"/>
              </w:rPr>
            </w:pPr>
            <w:r w:rsidRPr="005C3B55">
              <w:rPr>
                <w:szCs w:val="24"/>
              </w:rPr>
              <w:t>To maintain the environment in a good condition, several activities will be supported:</w:t>
            </w:r>
          </w:p>
          <w:p w:rsidR="00BD3B5F" w:rsidRPr="005C3B55" w:rsidRDefault="00BD3B5F" w:rsidP="00BD3B5F">
            <w:pPr>
              <w:numPr>
                <w:ilvl w:val="0"/>
                <w:numId w:val="202"/>
              </w:numPr>
              <w:spacing w:before="240" w:after="0"/>
              <w:ind w:hanging="290"/>
              <w:jc w:val="left"/>
              <w:rPr>
                <w:noProof/>
                <w:szCs w:val="24"/>
              </w:rPr>
            </w:pPr>
            <w:r w:rsidRPr="005C3B55">
              <w:rPr>
                <w:szCs w:val="24"/>
              </w:rPr>
              <w:t>A preliminary assessment procedure must be carried out for all construction projects of large irrigation systems which apply to tenders of the European Agricultural Funds for Rural Development (EAFRD) on the basis of the Decree on the categories of activities for which an environmental impact assessment is mandatory (Official Gazette of the Republic of Slovenia, no. 51/14, with all amendments) before the submission of the application to the public procurement.</w:t>
            </w:r>
            <w:r w:rsidRPr="005C3B55">
              <w:rPr>
                <w:noProof/>
                <w:szCs w:val="24"/>
              </w:rPr>
              <w:t xml:space="preserve"> </w:t>
            </w:r>
            <w:r w:rsidRPr="005C3B55">
              <w:rPr>
                <w:szCs w:val="24"/>
              </w:rPr>
              <w:t>If a significant environmental impact is established, it is necessary to make an environmental impact assessment, which includes an assessment of the acceptability of the impact on Natura 2000 sites, which is concluded with the issuing of an environmental approval.</w:t>
            </w:r>
            <w:r w:rsidRPr="005C3B55">
              <w:rPr>
                <w:noProof/>
                <w:szCs w:val="24"/>
              </w:rPr>
              <w:t xml:space="preserve"> </w:t>
            </w:r>
            <w:r w:rsidRPr="005C3B55">
              <w:rPr>
                <w:szCs w:val="24"/>
              </w:rPr>
              <w:t>The requirements referred to in Article 6 of Directive 92/43/EEC are also implemented in this process.</w:t>
            </w:r>
          </w:p>
          <w:p w:rsidR="00BD3B5F" w:rsidRPr="005C3B55" w:rsidRDefault="00BD3B5F" w:rsidP="00BD3B5F">
            <w:pPr>
              <w:numPr>
                <w:ilvl w:val="0"/>
                <w:numId w:val="202"/>
              </w:numPr>
              <w:spacing w:before="0" w:after="240"/>
              <w:ind w:hanging="290"/>
              <w:jc w:val="left"/>
              <w:rPr>
                <w:noProof/>
                <w:szCs w:val="24"/>
              </w:rPr>
            </w:pPr>
            <w:r w:rsidRPr="005C3B55">
              <w:rPr>
                <w:szCs w:val="24"/>
              </w:rPr>
              <w:t>In areas of water bodies with a poor quantitative state, highly selective measures in terms of the irrigation of agricultural land, in combination with suitable criteria for the selection of applications, will be implemented.</w:t>
            </w:r>
          </w:p>
          <w:p w:rsidR="00BD3B5F" w:rsidRPr="005C3B55" w:rsidRDefault="00BD3B5F">
            <w:pPr>
              <w:pStyle w:val="Telobesedila"/>
              <w:rPr>
                <w:szCs w:val="24"/>
              </w:rPr>
            </w:pPr>
          </w:p>
        </w:tc>
      </w:tr>
    </w:tbl>
    <w:p w:rsidR="00BD3B5F" w:rsidRPr="005C3B55" w:rsidRDefault="00BD3B5F">
      <w:pPr>
        <w:pStyle w:val="Naslov7"/>
        <w:tabs>
          <w:tab w:val="clear" w:pos="765"/>
        </w:tabs>
        <w:ind w:left="0" w:firstLine="0"/>
        <w:rPr>
          <w:szCs w:val="24"/>
          <w:lang w:val="en-GB"/>
        </w:rPr>
      </w:pPr>
      <w:r w:rsidRPr="005C3B55">
        <w:rPr>
          <w:noProof w:val="0"/>
          <w:szCs w:val="24"/>
          <w:lang w:val="en-GB"/>
        </w:rPr>
        <w:t>General assessment of the measure</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The operation in the anticipated form is fully feasible and verifiable and will have the expected results and contribute to achieving the objectives of the RDP 2014-2020. The operation will also make an important contribution to realising horizontal objectives.</w:t>
            </w:r>
            <w:r w:rsidRPr="005C3B55">
              <w:rPr>
                <w:noProof/>
                <w:szCs w:val="24"/>
              </w:rPr>
              <w:t xml:space="preserve"> </w:t>
            </w:r>
            <w:r w:rsidRPr="005C3B55">
              <w:rPr>
                <w:szCs w:val="24"/>
              </w:rPr>
              <w:t>The implementation of this operation is necessary in order to improve the economic performance of agricultural holdings, facilitate the restructuring of agricultural holdings, increase their participation in the market and improve their market orientation.</w:t>
            </w:r>
          </w:p>
          <w:p w:rsidR="00BD3B5F" w:rsidRPr="005C3B55" w:rsidRDefault="00BD3B5F">
            <w:pPr>
              <w:pStyle w:val="Telobesedila"/>
              <w:rPr>
                <w:szCs w:val="24"/>
              </w:rPr>
            </w:pPr>
          </w:p>
        </w:tc>
      </w:tr>
    </w:tbl>
    <w:p w:rsidR="00BD3B5F" w:rsidRPr="005C3B55" w:rsidRDefault="00BD3B5F">
      <w:pPr>
        <w:pStyle w:val="Naslov6"/>
        <w:tabs>
          <w:tab w:val="clear" w:pos="765"/>
        </w:tabs>
        <w:ind w:left="0" w:firstLine="0"/>
        <w:rPr>
          <w:szCs w:val="24"/>
          <w:lang w:val="en-GB"/>
        </w:rPr>
      </w:pPr>
      <w:r w:rsidRPr="005C3B55">
        <w:rPr>
          <w:noProof w:val="0"/>
          <w:szCs w:val="24"/>
          <w:lang w:val="en-GB"/>
        </w:rPr>
        <w:t>Methodology for calculating support amount, where relevant</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Not relevant.</w:t>
            </w:r>
          </w:p>
          <w:p w:rsidR="00BD3B5F" w:rsidRPr="005C3B55" w:rsidRDefault="00BD3B5F">
            <w:pPr>
              <w:pStyle w:val="Telobesedila"/>
              <w:rPr>
                <w:szCs w:val="24"/>
              </w:rPr>
            </w:pPr>
          </w:p>
        </w:tc>
      </w:tr>
    </w:tbl>
    <w:p w:rsidR="00BD3B5F" w:rsidRPr="005C3B55" w:rsidRDefault="00BD3B5F">
      <w:pPr>
        <w:pStyle w:val="Naslov6"/>
        <w:tabs>
          <w:tab w:val="clear" w:pos="765"/>
        </w:tabs>
        <w:ind w:left="0" w:firstLine="0"/>
        <w:rPr>
          <w:szCs w:val="24"/>
          <w:lang w:val="en-GB"/>
        </w:rPr>
      </w:pPr>
      <w:r w:rsidRPr="005C3B55">
        <w:rPr>
          <w:noProof w:val="0"/>
          <w:szCs w:val="24"/>
          <w:lang w:val="en-GB"/>
        </w:rPr>
        <w:t>Information that relates specifically to the operation</w:t>
      </w:r>
    </w:p>
    <w:p w:rsidR="00BD3B5F" w:rsidRPr="005C3B55" w:rsidRDefault="00BD3B5F">
      <w:pPr>
        <w:rPr>
          <w:szCs w:val="24"/>
        </w:rPr>
      </w:pPr>
      <w:r w:rsidRPr="005C3B55">
        <w:rPr>
          <w:szCs w:val="24"/>
        </w:rPr>
        <w:t>Definition of non-production investments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Not relevant.</w:t>
            </w:r>
          </w:p>
          <w:p w:rsidR="00BD3B5F" w:rsidRPr="005C3B55" w:rsidRDefault="00BD3B5F">
            <w:pPr>
              <w:pStyle w:val="Telobesedila"/>
              <w:rPr>
                <w:szCs w:val="24"/>
              </w:rPr>
            </w:pPr>
          </w:p>
        </w:tc>
      </w:tr>
    </w:tbl>
    <w:p w:rsidR="00BD3B5F" w:rsidRPr="005C3B55" w:rsidRDefault="00BD3B5F">
      <w:pPr>
        <w:rPr>
          <w:szCs w:val="24"/>
        </w:rPr>
      </w:pPr>
      <w:r w:rsidRPr="005C3B55">
        <w:rPr>
          <w:szCs w:val="24"/>
        </w:rPr>
        <w:t>Definition of collective investments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Not relevant.</w:t>
            </w:r>
          </w:p>
          <w:p w:rsidR="00BD3B5F" w:rsidRPr="005C3B55" w:rsidRDefault="00BD3B5F">
            <w:pPr>
              <w:pStyle w:val="Telobesedila"/>
              <w:rPr>
                <w:szCs w:val="24"/>
              </w:rPr>
            </w:pPr>
          </w:p>
        </w:tc>
      </w:tr>
    </w:tbl>
    <w:p w:rsidR="00BD3B5F" w:rsidRPr="005C3B55" w:rsidRDefault="00BD3B5F">
      <w:pPr>
        <w:rPr>
          <w:szCs w:val="24"/>
        </w:rPr>
      </w:pPr>
      <w:r w:rsidRPr="005C3B55">
        <w:rPr>
          <w:szCs w:val="24"/>
        </w:rPr>
        <w:t>Definition of integrated projects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Not relevant.</w:t>
            </w:r>
          </w:p>
          <w:p w:rsidR="00BD3B5F" w:rsidRPr="005C3B55" w:rsidRDefault="00BD3B5F">
            <w:pPr>
              <w:pStyle w:val="Telobesedila"/>
              <w:rPr>
                <w:szCs w:val="24"/>
              </w:rPr>
            </w:pPr>
          </w:p>
        </w:tc>
      </w:tr>
    </w:tbl>
    <w:p w:rsidR="00BD3B5F" w:rsidRPr="005C3B55" w:rsidRDefault="00BD3B5F">
      <w:pPr>
        <w:rPr>
          <w:szCs w:val="24"/>
        </w:rPr>
      </w:pPr>
      <w:r w:rsidRPr="005C3B55">
        <w:rPr>
          <w:szCs w:val="24"/>
        </w:rPr>
        <w:t>Defining and determining the eligible areas of the Natura 2000 network and other eligible areas of high natural value</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In accordance with suitable consents and permits, the projects will also be implemented in these areas.</w:t>
            </w:r>
          </w:p>
          <w:p w:rsidR="00BD3B5F" w:rsidRPr="005C3B55" w:rsidRDefault="00BD3B5F">
            <w:pPr>
              <w:pStyle w:val="Telobesedila"/>
              <w:rPr>
                <w:szCs w:val="24"/>
              </w:rPr>
            </w:pPr>
          </w:p>
        </w:tc>
      </w:tr>
    </w:tbl>
    <w:p w:rsidR="00BD3B5F" w:rsidRPr="005C3B55" w:rsidRDefault="00BD3B5F">
      <w:pPr>
        <w:rPr>
          <w:szCs w:val="24"/>
        </w:rPr>
      </w:pPr>
      <w:r w:rsidRPr="005C3B55">
        <w:rPr>
          <w:szCs w:val="24"/>
        </w:rPr>
        <w:t>A description of the management of support for farms in accordance with a SWOT analysis implemented in relation to the priority task referred to in Article 5(2) of Regulation (EU) No 1305/2013</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Not relevant.</w:t>
            </w:r>
          </w:p>
          <w:p w:rsidR="00BD3B5F" w:rsidRPr="005C3B55" w:rsidRDefault="00BD3B5F">
            <w:pPr>
              <w:pStyle w:val="Telobesedila"/>
              <w:rPr>
                <w:szCs w:val="24"/>
              </w:rPr>
            </w:pPr>
          </w:p>
        </w:tc>
      </w:tr>
    </w:tbl>
    <w:p w:rsidR="00BD3B5F" w:rsidRPr="005C3B55" w:rsidRDefault="00BD3B5F">
      <w:pPr>
        <w:rPr>
          <w:szCs w:val="24"/>
        </w:rPr>
      </w:pPr>
      <w:r w:rsidRPr="005C3B55">
        <w:rPr>
          <w:szCs w:val="24"/>
        </w:rPr>
        <w:t>List of new requirements imposed by Union’s legislation to ensure compliance for which support may be granted in accordance with Article 17(6) Regulation (EU) No 1305/2013</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Not relevant.</w:t>
            </w:r>
          </w:p>
          <w:p w:rsidR="00BD3B5F" w:rsidRPr="005C3B55" w:rsidRDefault="00BD3B5F">
            <w:pPr>
              <w:pStyle w:val="Telobesedila"/>
              <w:rPr>
                <w:szCs w:val="24"/>
              </w:rPr>
            </w:pPr>
          </w:p>
        </w:tc>
      </w:tr>
    </w:tbl>
    <w:p w:rsidR="00BD3B5F" w:rsidRPr="005C3B55" w:rsidRDefault="00BD3B5F">
      <w:pPr>
        <w:rPr>
          <w:szCs w:val="24"/>
        </w:rPr>
      </w:pPr>
      <w:r w:rsidRPr="005C3B55">
        <w:rPr>
          <w:szCs w:val="24"/>
        </w:rPr>
        <w:t>If relevant, minimum standards for energy efficiency under Article 13(c) of Delegated Regulation (EU) No 807/2014</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The description is included in the entire M04 measure.</w:t>
            </w:r>
          </w:p>
          <w:p w:rsidR="00BD3B5F" w:rsidRPr="005C3B55" w:rsidRDefault="00BD3B5F">
            <w:pPr>
              <w:pStyle w:val="Telobesedila"/>
              <w:rPr>
                <w:szCs w:val="24"/>
              </w:rPr>
            </w:pPr>
          </w:p>
        </w:tc>
      </w:tr>
    </w:tbl>
    <w:p w:rsidR="00BD3B5F" w:rsidRPr="005C3B55" w:rsidRDefault="00BD3B5F">
      <w:pPr>
        <w:rPr>
          <w:szCs w:val="24"/>
        </w:rPr>
      </w:pPr>
      <w:r w:rsidRPr="005C3B55">
        <w:rPr>
          <w:szCs w:val="24"/>
        </w:rPr>
        <w:t>If relevant, establishing thresholds under Article 13(e) of Delegated Regulation (EU) No 807/2014</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Not relevant.</w:t>
            </w:r>
          </w:p>
          <w:p w:rsidR="00BD3B5F" w:rsidRPr="005C3B55" w:rsidRDefault="00BD3B5F">
            <w:pPr>
              <w:pStyle w:val="Telobesedila"/>
              <w:rPr>
                <w:szCs w:val="24"/>
              </w:rPr>
            </w:pPr>
          </w:p>
        </w:tc>
      </w:tr>
    </w:tbl>
    <w:p w:rsidR="00BD3B5F" w:rsidRPr="005C3B55" w:rsidRDefault="00BD3B5F">
      <w:pPr>
        <w:pStyle w:val="Naslov5"/>
        <w:tabs>
          <w:tab w:val="clear" w:pos="765"/>
        </w:tabs>
        <w:ind w:left="0" w:firstLine="0"/>
        <w:rPr>
          <w:b w:val="0"/>
          <w:szCs w:val="24"/>
          <w:lang w:val="en-GB"/>
        </w:rPr>
      </w:pPr>
      <w:r w:rsidRPr="005C3B55">
        <w:rPr>
          <w:b w:val="0"/>
          <w:szCs w:val="24"/>
          <w:lang w:val="en-GB"/>
        </w:rPr>
        <w:br w:type="page"/>
        <w:t xml:space="preserve">5. </w:t>
      </w:r>
      <w:r w:rsidRPr="005C3B55">
        <w:rPr>
          <w:b w:val="0"/>
          <w:noProof w:val="0"/>
          <w:szCs w:val="24"/>
          <w:lang w:val="en-GB"/>
        </w:rPr>
        <w:t>Technological modernisation of large irrigation systems</w:t>
      </w:r>
    </w:p>
    <w:p w:rsidR="00BD3B5F" w:rsidRPr="005C3B55" w:rsidRDefault="00BD3B5F">
      <w:pPr>
        <w:rPr>
          <w:szCs w:val="24"/>
        </w:rPr>
      </w:pPr>
      <w:r w:rsidRPr="005C3B55">
        <w:rPr>
          <w:szCs w:val="24"/>
        </w:rPr>
        <w:t xml:space="preserve">Sub-measure: </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rsidP="00BD3B5F">
            <w:pPr>
              <w:numPr>
                <w:ilvl w:val="0"/>
                <w:numId w:val="203"/>
              </w:numPr>
              <w:rPr>
                <w:szCs w:val="24"/>
              </w:rPr>
            </w:pPr>
            <w:r w:rsidRPr="005C3B55">
              <w:rPr>
                <w:szCs w:val="24"/>
              </w:rPr>
              <w:t>4.3 – Support for investments in infrastructure related to the development, modernisation or adaptation of agriculture and forestry</w:t>
            </w:r>
          </w:p>
        </w:tc>
      </w:tr>
    </w:tbl>
    <w:p w:rsidR="00BD3B5F" w:rsidRPr="005C3B55" w:rsidRDefault="00BD3B5F">
      <w:pPr>
        <w:pStyle w:val="Naslov6"/>
        <w:tabs>
          <w:tab w:val="clear" w:pos="765"/>
        </w:tabs>
        <w:ind w:left="0" w:firstLine="0"/>
        <w:rPr>
          <w:szCs w:val="24"/>
          <w:lang w:val="en-GB"/>
        </w:rPr>
      </w:pPr>
      <w:r w:rsidRPr="005C3B55">
        <w:rPr>
          <w:noProof w:val="0"/>
          <w:szCs w:val="24"/>
          <w:lang w:val="en-GB"/>
        </w:rPr>
        <w:t>Description of type of operation</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The subject of support is the technological modernisation of large irrigation systems, which facilitate a reduced use of water and more rational management of water resources.</w:t>
            </w:r>
            <w:r w:rsidRPr="005C3B55">
              <w:rPr>
                <w:noProof/>
                <w:szCs w:val="24"/>
              </w:rPr>
              <w:t xml:space="preserve"> </w:t>
            </w:r>
            <w:r w:rsidRPr="005C3B55">
              <w:rPr>
                <w:szCs w:val="24"/>
              </w:rPr>
              <w:t>Technological improvements are used to update existing large irrigation systems, and adjust them to climate and economic conditions.</w:t>
            </w:r>
          </w:p>
          <w:p w:rsidR="00BD3B5F" w:rsidRPr="005C3B55" w:rsidRDefault="00BD3B5F">
            <w:pPr>
              <w:spacing w:before="240" w:after="240"/>
              <w:jc w:val="left"/>
              <w:rPr>
                <w:noProof/>
                <w:szCs w:val="24"/>
              </w:rPr>
            </w:pPr>
            <w:r w:rsidRPr="005C3B55">
              <w:rPr>
                <w:szCs w:val="24"/>
              </w:rPr>
              <w:t>A large irrigation system is intended for a large number of users for joint use according to an irrigation schedule, and consists of an extraction facility and primary and secondary irrigation canals.</w:t>
            </w:r>
            <w:r w:rsidRPr="005C3B55">
              <w:rPr>
                <w:noProof/>
                <w:szCs w:val="24"/>
              </w:rPr>
              <w:t xml:space="preserve"> </w:t>
            </w:r>
            <w:r w:rsidRPr="005C3B55">
              <w:rPr>
                <w:szCs w:val="24"/>
              </w:rPr>
              <w:t>Irrigation equipment is not a part of a large irrigation system.</w:t>
            </w:r>
          </w:p>
          <w:p w:rsidR="00BD3B5F" w:rsidRPr="005C3B55" w:rsidRDefault="00BD3B5F">
            <w:pPr>
              <w:spacing w:before="240" w:after="240"/>
              <w:jc w:val="left"/>
              <w:rPr>
                <w:noProof/>
                <w:szCs w:val="24"/>
              </w:rPr>
            </w:pPr>
            <w:r w:rsidRPr="005C3B55">
              <w:rPr>
                <w:szCs w:val="24"/>
              </w:rPr>
              <w:t>Technological modernisation includes investments in modernising the extraction facility and primary and secondary irrigation canals without irrigation equipment.</w:t>
            </w:r>
            <w:r w:rsidRPr="005C3B55">
              <w:rPr>
                <w:noProof/>
                <w:szCs w:val="24"/>
              </w:rPr>
              <w:t xml:space="preserve"> </w:t>
            </w:r>
            <w:r w:rsidRPr="005C3B55">
              <w:rPr>
                <w:szCs w:val="24"/>
              </w:rPr>
              <w:t>Technological modernisation has to ensure at least a 15% potential reduction in water consumption.</w:t>
            </w:r>
          </w:p>
          <w:p w:rsidR="00BD3B5F" w:rsidRPr="005C3B55" w:rsidRDefault="00BD3B5F">
            <w:pPr>
              <w:spacing w:before="240" w:after="240"/>
              <w:jc w:val="left"/>
              <w:rPr>
                <w:noProof/>
                <w:szCs w:val="24"/>
              </w:rPr>
            </w:pPr>
            <w:r w:rsidRPr="005C3B55">
              <w:rPr>
                <w:szCs w:val="24"/>
              </w:rPr>
              <w:t>The existing large irrigation systems are outdated in terms of technology and cause significant losses of water from irrigation canals.</w:t>
            </w:r>
            <w:r w:rsidRPr="005C3B55">
              <w:rPr>
                <w:noProof/>
                <w:szCs w:val="24"/>
              </w:rPr>
              <w:t xml:space="preserve"> </w:t>
            </w:r>
            <w:r w:rsidRPr="005C3B55">
              <w:rPr>
                <w:szCs w:val="24"/>
              </w:rPr>
              <w:t>The modernisation of the extraction facility also enables a change in irrigation technology (irrigation equipment), which provides additional potential savings of water in the irrigation process.</w:t>
            </w:r>
            <w:r w:rsidRPr="005C3B55">
              <w:rPr>
                <w:noProof/>
                <w:szCs w:val="24"/>
              </w:rPr>
              <w:t xml:space="preserve"> </w:t>
            </w:r>
            <w:r w:rsidRPr="005C3B55">
              <w:rPr>
                <w:szCs w:val="24"/>
              </w:rPr>
              <w:t>In Slovenia, a total of 6,500 ha of agricultural land are currently equipped with large irrigation systems.</w:t>
            </w:r>
            <w:r w:rsidRPr="005C3B55">
              <w:rPr>
                <w:noProof/>
                <w:szCs w:val="24"/>
              </w:rPr>
              <w:t xml:space="preserve"> </w:t>
            </w:r>
            <w:r w:rsidRPr="005C3B55">
              <w:rPr>
                <w:szCs w:val="24"/>
              </w:rPr>
              <w:t>Most of these systems are outdated in terms of technology as well as economically and environmentally.</w:t>
            </w:r>
            <w:r w:rsidRPr="005C3B55">
              <w:rPr>
                <w:noProof/>
                <w:szCs w:val="24"/>
              </w:rPr>
              <w:t xml:space="preserve"> </w:t>
            </w:r>
            <w:r w:rsidRPr="005C3B55">
              <w:rPr>
                <w:szCs w:val="24"/>
              </w:rPr>
              <w:t>The objective is the technological modernisation of 700 ha of large irrigation systems which are need of efficient renovation.</w:t>
            </w:r>
          </w:p>
          <w:p w:rsidR="00BD3B5F" w:rsidRPr="005C3B55" w:rsidRDefault="00BD3B5F">
            <w:pPr>
              <w:spacing w:before="240" w:after="240"/>
              <w:jc w:val="left"/>
              <w:rPr>
                <w:noProof/>
                <w:szCs w:val="24"/>
              </w:rPr>
            </w:pPr>
            <w:r w:rsidRPr="005C3B55">
              <w:rPr>
                <w:szCs w:val="24"/>
              </w:rPr>
              <w:t>A preliminary assessment procedure must be carried out for all technological modernisation projects of irrigation systems which apply to tenders of the European Agricultural Funds for Rural Development (EAFRD) on the basis of the Decree on the categories of activities for which an environmental impact assessment is mandatory (Official Gazette of the Republic of Slovenia, no. 51/14, with all amendments) before the submission of the application to the public procurement.</w:t>
            </w:r>
            <w:r w:rsidRPr="005C3B55">
              <w:rPr>
                <w:noProof/>
                <w:szCs w:val="24"/>
              </w:rPr>
              <w:t xml:space="preserve"> </w:t>
            </w:r>
            <w:r w:rsidRPr="005C3B55">
              <w:rPr>
                <w:szCs w:val="24"/>
              </w:rPr>
              <w:t>If a significant environmental impact is established, it is necessary to conduct an environmental impact assessment, which includes an assessment of the acceptability of the impact on Natura 2000 sites. The environmental impact assessment ends with the issuing of an environment protection consent.</w:t>
            </w:r>
            <w:r w:rsidRPr="005C3B55">
              <w:rPr>
                <w:noProof/>
                <w:szCs w:val="24"/>
              </w:rPr>
              <w:t xml:space="preserve"> </w:t>
            </w:r>
            <w:r w:rsidRPr="005C3B55">
              <w:rPr>
                <w:szCs w:val="24"/>
              </w:rPr>
              <w:t>The requirements referred to in Article 6 of Directive 92/43/EEC are also implemented in this process.</w:t>
            </w:r>
          </w:p>
          <w:p w:rsidR="00BD3B5F" w:rsidRPr="005C3B55" w:rsidRDefault="00BD3B5F">
            <w:pPr>
              <w:spacing w:before="240" w:after="240"/>
              <w:jc w:val="left"/>
              <w:rPr>
                <w:noProof/>
                <w:szCs w:val="24"/>
              </w:rPr>
            </w:pPr>
            <w:r w:rsidRPr="005C3B55">
              <w:rPr>
                <w:szCs w:val="24"/>
              </w:rPr>
              <w:t>Water permits need to be submitted for the technological modernisation of large irrigation systems.</w:t>
            </w:r>
            <w:r w:rsidRPr="005C3B55">
              <w:rPr>
                <w:noProof/>
                <w:szCs w:val="24"/>
              </w:rPr>
              <w:t xml:space="preserve"> </w:t>
            </w:r>
            <w:r w:rsidRPr="005C3B55">
              <w:rPr>
                <w:szCs w:val="24"/>
              </w:rPr>
              <w:t>A water permit is issued if the use of water is in accordance with the Water Management Plan (which defines the state of waters in terms of quantity and quality and environmentally acceptable discharge), and if this use does not decrease, limit or prevent the implementation of existing water rights.</w:t>
            </w:r>
          </w:p>
          <w:p w:rsidR="00BD3B5F" w:rsidRPr="005C3B55" w:rsidRDefault="00BD3B5F">
            <w:pPr>
              <w:spacing w:before="240" w:after="240"/>
              <w:jc w:val="left"/>
              <w:rPr>
                <w:noProof/>
                <w:szCs w:val="24"/>
              </w:rPr>
            </w:pPr>
            <w:r w:rsidRPr="005C3B55">
              <w:rPr>
                <w:szCs w:val="24"/>
              </w:rPr>
              <w:t>A decision or another relevant act on the introduction of irrigation must be submitted for the technological modernisation of irrigation systems.</w:t>
            </w:r>
          </w:p>
          <w:p w:rsidR="00BD3B5F" w:rsidRPr="005C3B55" w:rsidRDefault="00BD3B5F">
            <w:pPr>
              <w:spacing w:before="240" w:after="240"/>
              <w:jc w:val="left"/>
              <w:rPr>
                <w:noProof/>
                <w:szCs w:val="24"/>
              </w:rPr>
            </w:pPr>
            <w:r w:rsidRPr="005C3B55">
              <w:rPr>
                <w:noProof/>
                <w:szCs w:val="24"/>
              </w:rPr>
              <w:t> </w:t>
            </w:r>
          </w:p>
          <w:p w:rsidR="00BD3B5F" w:rsidRPr="005C3B55" w:rsidRDefault="00BD3B5F">
            <w:pPr>
              <w:spacing w:before="240" w:after="240"/>
              <w:ind w:left="720"/>
              <w:jc w:val="left"/>
              <w:rPr>
                <w:noProof/>
                <w:szCs w:val="24"/>
              </w:rPr>
            </w:pPr>
            <w:r w:rsidRPr="005C3B55">
              <w:rPr>
                <w:noProof/>
                <w:szCs w:val="24"/>
              </w:rPr>
              <w:t> </w:t>
            </w:r>
          </w:p>
          <w:p w:rsidR="00BD3B5F" w:rsidRPr="005C3B55" w:rsidRDefault="00BD3B5F">
            <w:pPr>
              <w:spacing w:before="240" w:after="240"/>
              <w:jc w:val="left"/>
              <w:rPr>
                <w:noProof/>
                <w:szCs w:val="24"/>
              </w:rPr>
            </w:pPr>
            <w:r w:rsidRPr="005C3B55">
              <w:rPr>
                <w:noProof/>
                <w:szCs w:val="24"/>
              </w:rPr>
              <w:t> </w:t>
            </w:r>
          </w:p>
          <w:p w:rsidR="00BD3B5F" w:rsidRPr="005C3B55" w:rsidRDefault="00BD3B5F">
            <w:pPr>
              <w:pStyle w:val="Telobesedila"/>
              <w:rPr>
                <w:szCs w:val="24"/>
              </w:rPr>
            </w:pPr>
          </w:p>
        </w:tc>
      </w:tr>
    </w:tbl>
    <w:p w:rsidR="00BD3B5F" w:rsidRPr="005C3B55" w:rsidRDefault="00BD3B5F">
      <w:pPr>
        <w:pStyle w:val="Naslov6"/>
        <w:tabs>
          <w:tab w:val="clear" w:pos="765"/>
        </w:tabs>
        <w:ind w:left="0" w:firstLine="0"/>
        <w:rPr>
          <w:szCs w:val="24"/>
          <w:lang w:val="en-GB"/>
        </w:rPr>
      </w:pPr>
      <w:r w:rsidRPr="005C3B55">
        <w:rPr>
          <w:noProof w:val="0"/>
          <w:szCs w:val="24"/>
          <w:lang w:val="en-GB"/>
        </w:rPr>
        <w:t>Type of support</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Support is granted in the form of non-refundable financial aid.</w:t>
            </w:r>
          </w:p>
          <w:p w:rsidR="00BD3B5F" w:rsidRPr="005C3B55" w:rsidRDefault="00BD3B5F">
            <w:pPr>
              <w:spacing w:before="240" w:after="240"/>
              <w:jc w:val="left"/>
              <w:rPr>
                <w:noProof/>
                <w:szCs w:val="24"/>
              </w:rPr>
            </w:pPr>
            <w:r w:rsidRPr="005C3B55">
              <w:rPr>
                <w:noProof/>
                <w:szCs w:val="24"/>
              </w:rPr>
              <w:t> </w:t>
            </w:r>
          </w:p>
          <w:p w:rsidR="00BD3B5F" w:rsidRPr="005C3B55" w:rsidRDefault="00BD3B5F">
            <w:pPr>
              <w:pStyle w:val="Telobesedila"/>
              <w:rPr>
                <w:szCs w:val="24"/>
              </w:rPr>
            </w:pPr>
          </w:p>
        </w:tc>
      </w:tr>
    </w:tbl>
    <w:p w:rsidR="00BD3B5F" w:rsidRPr="005C3B55" w:rsidRDefault="00BD3B5F">
      <w:pPr>
        <w:pStyle w:val="Naslov6"/>
        <w:tabs>
          <w:tab w:val="clear" w:pos="765"/>
        </w:tabs>
        <w:ind w:left="0" w:firstLine="0"/>
        <w:rPr>
          <w:szCs w:val="24"/>
          <w:lang w:val="en-GB"/>
        </w:rPr>
      </w:pPr>
      <w:r w:rsidRPr="005C3B55">
        <w:rPr>
          <w:noProof w:val="0"/>
          <w:szCs w:val="24"/>
          <w:lang w:val="en-GB"/>
        </w:rPr>
        <w:t>Connection with other legislation</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rsidP="00BD3B5F">
            <w:pPr>
              <w:numPr>
                <w:ilvl w:val="0"/>
                <w:numId w:val="204"/>
              </w:numPr>
              <w:spacing w:before="0" w:after="0"/>
              <w:ind w:hanging="290"/>
              <w:jc w:val="left"/>
              <w:rPr>
                <w:noProof/>
                <w:szCs w:val="24"/>
              </w:rPr>
            </w:pPr>
            <w:r w:rsidRPr="005C3B55">
              <w:rPr>
                <w:szCs w:val="24"/>
              </w:rPr>
              <w:t>Agriculture Act (Official Gazette of the Republic of Slovenia, no. 45/2008 with all amendments);</w:t>
            </w:r>
          </w:p>
          <w:p w:rsidR="00BD3B5F" w:rsidRPr="005C3B55" w:rsidRDefault="00BD3B5F" w:rsidP="00BD3B5F">
            <w:pPr>
              <w:numPr>
                <w:ilvl w:val="0"/>
                <w:numId w:val="204"/>
              </w:numPr>
              <w:spacing w:before="0" w:after="0"/>
              <w:ind w:hanging="290"/>
              <w:jc w:val="left"/>
              <w:rPr>
                <w:noProof/>
                <w:szCs w:val="24"/>
              </w:rPr>
            </w:pPr>
            <w:r w:rsidRPr="005C3B55">
              <w:rPr>
                <w:szCs w:val="24"/>
              </w:rPr>
              <w:t>Agricultural Land Act (Official Gazette of the Republic of Slovenia, no. 71/2011 – official consolidated text 2 with all amendments);</w:t>
            </w:r>
          </w:p>
          <w:p w:rsidR="00BD3B5F" w:rsidRPr="005C3B55" w:rsidRDefault="00BD3B5F" w:rsidP="00BD3B5F">
            <w:pPr>
              <w:numPr>
                <w:ilvl w:val="0"/>
                <w:numId w:val="204"/>
              </w:numPr>
              <w:spacing w:before="0" w:after="0"/>
              <w:ind w:hanging="290"/>
              <w:jc w:val="left"/>
              <w:rPr>
                <w:noProof/>
                <w:szCs w:val="24"/>
              </w:rPr>
            </w:pPr>
            <w:r w:rsidRPr="005C3B55">
              <w:rPr>
                <w:szCs w:val="24"/>
              </w:rPr>
              <w:t>Nature Conservation Act (Official Gazette of the Republic of Slovenia, no. 96/04 – official consolidated text with all amendments);</w:t>
            </w:r>
          </w:p>
          <w:p w:rsidR="00BD3B5F" w:rsidRPr="005C3B55" w:rsidRDefault="00BD3B5F" w:rsidP="00BD3B5F">
            <w:pPr>
              <w:numPr>
                <w:ilvl w:val="0"/>
                <w:numId w:val="204"/>
              </w:numPr>
              <w:spacing w:before="0" w:after="0"/>
              <w:ind w:hanging="290"/>
              <w:jc w:val="left"/>
              <w:rPr>
                <w:noProof/>
                <w:szCs w:val="24"/>
              </w:rPr>
            </w:pPr>
            <w:r w:rsidRPr="005C3B55">
              <w:rPr>
                <w:szCs w:val="24"/>
              </w:rPr>
              <w:t>Environmental Protection Act (Official Gazette of the Republic of Slovenia, no. 39/06 – official consolidated text with all amendments);</w:t>
            </w:r>
          </w:p>
          <w:p w:rsidR="00BD3B5F" w:rsidRPr="005C3B55" w:rsidRDefault="00BD3B5F" w:rsidP="00BD3B5F">
            <w:pPr>
              <w:numPr>
                <w:ilvl w:val="0"/>
                <w:numId w:val="204"/>
              </w:numPr>
              <w:spacing w:before="0" w:after="0"/>
              <w:ind w:hanging="290"/>
              <w:jc w:val="left"/>
              <w:rPr>
                <w:noProof/>
                <w:szCs w:val="24"/>
              </w:rPr>
            </w:pPr>
            <w:r w:rsidRPr="005C3B55">
              <w:rPr>
                <w:szCs w:val="24"/>
              </w:rPr>
              <w:t>Waters Act (Official Gazette of the Republic of Slovenia, no. 67/02, with all amendments);</w:t>
            </w:r>
          </w:p>
          <w:p w:rsidR="00BD3B5F" w:rsidRPr="005C3B55" w:rsidRDefault="00BD3B5F" w:rsidP="00BD3B5F">
            <w:pPr>
              <w:numPr>
                <w:ilvl w:val="0"/>
                <w:numId w:val="204"/>
              </w:numPr>
              <w:spacing w:before="0" w:after="0"/>
              <w:ind w:hanging="290"/>
              <w:jc w:val="left"/>
              <w:rPr>
                <w:noProof/>
                <w:szCs w:val="24"/>
              </w:rPr>
            </w:pPr>
            <w:r w:rsidRPr="005C3B55">
              <w:rPr>
                <w:szCs w:val="24"/>
              </w:rPr>
              <w:t>Decree on the categories of activities for which an environmental impact assessment is mandatory (Official Gazette of the Republic of Slovenia, no. 51/14 with all amendments);</w:t>
            </w:r>
          </w:p>
          <w:p w:rsidR="00BD3B5F" w:rsidRPr="005C3B55" w:rsidRDefault="00BD3B5F" w:rsidP="00BD3B5F">
            <w:pPr>
              <w:numPr>
                <w:ilvl w:val="0"/>
                <w:numId w:val="204"/>
              </w:numPr>
              <w:spacing w:before="0" w:after="0"/>
              <w:ind w:hanging="290"/>
              <w:jc w:val="left"/>
              <w:rPr>
                <w:noProof/>
                <w:szCs w:val="24"/>
              </w:rPr>
            </w:pPr>
            <w:r w:rsidRPr="005C3B55">
              <w:rPr>
                <w:szCs w:val="24"/>
              </w:rPr>
              <w:t>national regulation which regulates the implementation of this sub-measure;</w:t>
            </w:r>
          </w:p>
          <w:p w:rsidR="00BD3B5F" w:rsidRPr="005C3B55" w:rsidRDefault="00BD3B5F" w:rsidP="00BD3B5F">
            <w:pPr>
              <w:numPr>
                <w:ilvl w:val="0"/>
                <w:numId w:val="204"/>
              </w:numPr>
              <w:spacing w:before="0" w:after="0"/>
              <w:ind w:hanging="290"/>
              <w:jc w:val="left"/>
              <w:rPr>
                <w:noProof/>
                <w:szCs w:val="24"/>
              </w:rPr>
            </w:pPr>
            <w:r w:rsidRPr="005C3B55">
              <w:rPr>
                <w:noProof/>
                <w:szCs w:val="24"/>
              </w:rPr>
              <w:t xml:space="preserve"> </w:t>
            </w:r>
            <w:r w:rsidRPr="005C3B55">
              <w:rPr>
                <w:szCs w:val="24"/>
              </w:rPr>
              <w:t>Articles 65 and 69 of Regulation (EU) No 1303/2013;</w:t>
            </w:r>
          </w:p>
          <w:p w:rsidR="00BD3B5F" w:rsidRPr="005C3B55" w:rsidRDefault="00BD3B5F" w:rsidP="00BD3B5F">
            <w:pPr>
              <w:numPr>
                <w:ilvl w:val="0"/>
                <w:numId w:val="204"/>
              </w:numPr>
              <w:spacing w:before="0" w:after="0"/>
              <w:ind w:hanging="290"/>
              <w:jc w:val="left"/>
              <w:rPr>
                <w:noProof/>
                <w:szCs w:val="24"/>
              </w:rPr>
            </w:pPr>
            <w:r w:rsidRPr="005C3B55">
              <w:rPr>
                <w:noProof/>
                <w:szCs w:val="24"/>
              </w:rPr>
              <w:t xml:space="preserve"> </w:t>
            </w:r>
            <w:r w:rsidRPr="005C3B55">
              <w:rPr>
                <w:szCs w:val="24"/>
              </w:rPr>
              <w:t>Article 13 of Regulation (EU) No 807/2014, and</w:t>
            </w:r>
          </w:p>
          <w:p w:rsidR="00BD3B5F" w:rsidRPr="005C3B55" w:rsidRDefault="00BD3B5F" w:rsidP="00BD3B5F">
            <w:pPr>
              <w:numPr>
                <w:ilvl w:val="0"/>
                <w:numId w:val="204"/>
              </w:numPr>
              <w:spacing w:before="0" w:after="240"/>
              <w:ind w:hanging="290"/>
              <w:jc w:val="left"/>
              <w:rPr>
                <w:noProof/>
                <w:szCs w:val="24"/>
              </w:rPr>
            </w:pPr>
            <w:r w:rsidRPr="005C3B55">
              <w:rPr>
                <w:szCs w:val="24"/>
              </w:rPr>
              <w:t>other EU and national legislation which regulates the implementation of this operation.</w:t>
            </w:r>
          </w:p>
          <w:p w:rsidR="00BD3B5F" w:rsidRPr="005C3B55" w:rsidRDefault="00BD3B5F">
            <w:pPr>
              <w:pStyle w:val="Telobesedila"/>
              <w:rPr>
                <w:szCs w:val="24"/>
              </w:rPr>
            </w:pPr>
          </w:p>
        </w:tc>
      </w:tr>
    </w:tbl>
    <w:p w:rsidR="00BD3B5F" w:rsidRPr="005C3B55" w:rsidRDefault="00BD3B5F">
      <w:pPr>
        <w:pStyle w:val="Naslov6"/>
        <w:tabs>
          <w:tab w:val="clear" w:pos="765"/>
        </w:tabs>
        <w:ind w:left="0" w:firstLine="0"/>
        <w:rPr>
          <w:szCs w:val="24"/>
          <w:lang w:val="en-GB"/>
        </w:rPr>
      </w:pPr>
      <w:r w:rsidRPr="005C3B55">
        <w:rPr>
          <w:noProof w:val="0"/>
          <w:szCs w:val="24"/>
          <w:lang w:val="en-GB"/>
        </w:rPr>
        <w:t>Beneficiaries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The beneficiaries eligible for support are owners of agricultural holdings and natural and legal persons authorised by owners of agricultural land to implement investments.</w:t>
            </w:r>
          </w:p>
          <w:p w:rsidR="00BD3B5F" w:rsidRPr="005C3B55" w:rsidRDefault="00BD3B5F">
            <w:pPr>
              <w:pStyle w:val="Telobesedila"/>
              <w:rPr>
                <w:szCs w:val="24"/>
              </w:rPr>
            </w:pPr>
          </w:p>
        </w:tc>
      </w:tr>
    </w:tbl>
    <w:p w:rsidR="00BD3B5F" w:rsidRPr="005C3B55" w:rsidRDefault="00BD3B5F">
      <w:pPr>
        <w:pStyle w:val="Naslov6"/>
        <w:tabs>
          <w:tab w:val="clear" w:pos="765"/>
        </w:tabs>
        <w:ind w:left="0" w:firstLine="0"/>
        <w:rPr>
          <w:szCs w:val="24"/>
          <w:lang w:val="en-GB"/>
        </w:rPr>
      </w:pPr>
      <w:r w:rsidRPr="005C3B55">
        <w:rPr>
          <w:noProof w:val="0"/>
          <w:szCs w:val="24"/>
          <w:lang w:val="en-GB"/>
        </w:rPr>
        <w:t>Eligible costs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The following costs are entitled to support:</w:t>
            </w:r>
          </w:p>
          <w:p w:rsidR="00BD3B5F" w:rsidRPr="005C3B55" w:rsidRDefault="00BD3B5F" w:rsidP="00BD3B5F">
            <w:pPr>
              <w:numPr>
                <w:ilvl w:val="0"/>
                <w:numId w:val="205"/>
              </w:numPr>
              <w:spacing w:before="240" w:after="0"/>
              <w:jc w:val="left"/>
              <w:rPr>
                <w:noProof/>
                <w:szCs w:val="24"/>
              </w:rPr>
            </w:pPr>
            <w:r w:rsidRPr="005C3B55">
              <w:rPr>
                <w:szCs w:val="24"/>
              </w:rPr>
              <w:t>costs of material and works for the implementation of investment in technological modernisation of irrigation systems and investments in irrigation canals, including costs of supply and installation;</w:t>
            </w:r>
          </w:p>
          <w:p w:rsidR="00BD3B5F" w:rsidRPr="005C3B55" w:rsidRDefault="00BD3B5F" w:rsidP="00BD3B5F">
            <w:pPr>
              <w:numPr>
                <w:ilvl w:val="0"/>
                <w:numId w:val="205"/>
              </w:numPr>
              <w:spacing w:before="0" w:after="0"/>
              <w:jc w:val="left"/>
              <w:rPr>
                <w:noProof/>
                <w:szCs w:val="24"/>
              </w:rPr>
            </w:pPr>
            <w:r w:rsidRPr="005C3B55">
              <w:rPr>
                <w:szCs w:val="24"/>
              </w:rPr>
              <w:t>costs of pumping station equipment and transformer stations, and</w:t>
            </w:r>
          </w:p>
          <w:p w:rsidR="00BD3B5F" w:rsidRPr="005C3B55" w:rsidRDefault="00BD3B5F" w:rsidP="00BD3B5F">
            <w:pPr>
              <w:numPr>
                <w:ilvl w:val="0"/>
                <w:numId w:val="205"/>
              </w:numPr>
              <w:spacing w:before="0" w:after="240"/>
              <w:jc w:val="left"/>
              <w:rPr>
                <w:noProof/>
                <w:szCs w:val="24"/>
              </w:rPr>
            </w:pPr>
            <w:r w:rsidRPr="005C3B55">
              <w:rPr>
                <w:szCs w:val="24"/>
              </w:rPr>
              <w:t>general costs directly related to preparing and implementing the investment, such as fees for architect, engineer and consultation services, fees relating to advisory services on environmental and economic sustainability, including costs of feasibility studies</w:t>
            </w:r>
            <w:r w:rsidRPr="005C3B55">
              <w:rPr>
                <w:rStyle w:val="DeltaViewInsertion"/>
                <w:b w:val="0"/>
                <w:i w:val="0"/>
                <w:szCs w:val="24"/>
              </w:rPr>
              <w:t>.</w:t>
            </w:r>
            <w:r w:rsidRPr="005C3B55">
              <w:rPr>
                <w:noProof/>
                <w:szCs w:val="24"/>
              </w:rPr>
              <w:t xml:space="preserve"> </w:t>
            </w:r>
            <w:r w:rsidRPr="005C3B55">
              <w:rPr>
                <w:szCs w:val="24"/>
              </w:rPr>
              <w:t>The costs of feasibility studies remain eligible costs, even if, based on their results, no expenditure under the first or second points is made.</w:t>
            </w:r>
          </w:p>
          <w:p w:rsidR="00BD3B5F" w:rsidRPr="005C3B55" w:rsidRDefault="00BD3B5F">
            <w:pPr>
              <w:spacing w:before="240" w:after="240"/>
              <w:jc w:val="left"/>
              <w:rPr>
                <w:noProof/>
                <w:szCs w:val="24"/>
              </w:rPr>
            </w:pPr>
            <w:r w:rsidRPr="005C3B55">
              <w:rPr>
                <w:szCs w:val="24"/>
              </w:rPr>
              <w:t>The determination of the amount of eligible costs will take into account the upper limits of individual eligible costs, which will be determined in the Catalogue of the highest values of costs.</w:t>
            </w:r>
            <w:r w:rsidRPr="005C3B55">
              <w:rPr>
                <w:noProof/>
                <w:szCs w:val="24"/>
              </w:rPr>
              <w:t xml:space="preserve"> </w:t>
            </w:r>
            <w:r w:rsidRPr="005C3B55">
              <w:rPr>
                <w:szCs w:val="24"/>
              </w:rPr>
              <w:t>Regardless of this, the beneficiary will have to enclose one bid with the application.</w:t>
            </w:r>
            <w:r w:rsidRPr="005C3B55">
              <w:rPr>
                <w:noProof/>
                <w:szCs w:val="24"/>
              </w:rPr>
              <w:t xml:space="preserve"> </w:t>
            </w:r>
            <w:r w:rsidRPr="005C3B55">
              <w:rPr>
                <w:szCs w:val="24"/>
              </w:rPr>
              <w:t>In the case of values not determined in the Catalogue of the highest values of costs, the beneficiary must enclose three bids.</w:t>
            </w:r>
          </w:p>
          <w:p w:rsidR="00BD3B5F" w:rsidRPr="005C3B55" w:rsidRDefault="00BD3B5F">
            <w:pPr>
              <w:spacing w:before="240" w:after="240"/>
              <w:jc w:val="left"/>
              <w:rPr>
                <w:noProof/>
                <w:szCs w:val="24"/>
              </w:rPr>
            </w:pPr>
            <w:r w:rsidRPr="005C3B55">
              <w:rPr>
                <w:szCs w:val="24"/>
              </w:rPr>
              <w:t>The following costs are not entitled to support:</w:t>
            </w:r>
          </w:p>
          <w:p w:rsidR="00BD3B5F" w:rsidRPr="005C3B55" w:rsidRDefault="00BD3B5F" w:rsidP="00BD3B5F">
            <w:pPr>
              <w:numPr>
                <w:ilvl w:val="0"/>
                <w:numId w:val="206"/>
              </w:numPr>
              <w:spacing w:before="240" w:after="0"/>
              <w:ind w:hanging="290"/>
              <w:jc w:val="left"/>
              <w:rPr>
                <w:noProof/>
                <w:szCs w:val="24"/>
              </w:rPr>
            </w:pPr>
            <w:r w:rsidRPr="005C3B55">
              <w:rPr>
                <w:szCs w:val="24"/>
              </w:rPr>
              <w:t>interest on debts,</w:t>
            </w:r>
          </w:p>
          <w:p w:rsidR="00BD3B5F" w:rsidRPr="005C3B55" w:rsidRDefault="00BD3B5F" w:rsidP="00BD3B5F">
            <w:pPr>
              <w:numPr>
                <w:ilvl w:val="0"/>
                <w:numId w:val="206"/>
              </w:numPr>
              <w:spacing w:before="0" w:after="0"/>
              <w:ind w:hanging="290"/>
              <w:jc w:val="left"/>
              <w:rPr>
                <w:noProof/>
                <w:szCs w:val="24"/>
              </w:rPr>
            </w:pPr>
            <w:r w:rsidRPr="005C3B55">
              <w:rPr>
                <w:szCs w:val="24"/>
              </w:rPr>
              <w:t>value added tax (VAT), unless it is recoverable on the basis of the national legislation on VAT,</w:t>
            </w:r>
          </w:p>
          <w:p w:rsidR="00BD3B5F" w:rsidRPr="005C3B55" w:rsidRDefault="00BD3B5F" w:rsidP="00BD3B5F">
            <w:pPr>
              <w:numPr>
                <w:ilvl w:val="0"/>
                <w:numId w:val="206"/>
              </w:numPr>
              <w:spacing w:before="0" w:after="0"/>
              <w:ind w:hanging="290"/>
              <w:jc w:val="left"/>
              <w:rPr>
                <w:noProof/>
                <w:szCs w:val="24"/>
              </w:rPr>
            </w:pPr>
            <w:r w:rsidRPr="005C3B55">
              <w:rPr>
                <w:szCs w:val="24"/>
              </w:rPr>
              <w:t>cost of preparing the application for the public procurement and request for payment,</w:t>
            </w:r>
          </w:p>
          <w:p w:rsidR="00BD3B5F" w:rsidRPr="005C3B55" w:rsidRDefault="00BD3B5F" w:rsidP="00BD3B5F">
            <w:pPr>
              <w:numPr>
                <w:ilvl w:val="0"/>
                <w:numId w:val="206"/>
              </w:numPr>
              <w:spacing w:before="0" w:after="0"/>
              <w:ind w:hanging="290"/>
              <w:jc w:val="left"/>
              <w:rPr>
                <w:noProof/>
                <w:szCs w:val="24"/>
              </w:rPr>
            </w:pPr>
            <w:r w:rsidRPr="005C3B55">
              <w:rPr>
                <w:szCs w:val="24"/>
              </w:rPr>
              <w:t>costs of archaeological works and archaeological supervision,</w:t>
            </w:r>
          </w:p>
          <w:p w:rsidR="00BD3B5F" w:rsidRPr="005C3B55" w:rsidRDefault="00BD3B5F" w:rsidP="00BD3B5F">
            <w:pPr>
              <w:numPr>
                <w:ilvl w:val="0"/>
                <w:numId w:val="206"/>
              </w:numPr>
              <w:spacing w:before="0" w:after="0"/>
              <w:ind w:hanging="290"/>
              <w:jc w:val="left"/>
              <w:rPr>
                <w:noProof/>
                <w:szCs w:val="24"/>
              </w:rPr>
            </w:pPr>
            <w:r w:rsidRPr="005C3B55">
              <w:rPr>
                <w:szCs w:val="24"/>
              </w:rPr>
              <w:t>purchase of land,</w:t>
            </w:r>
          </w:p>
          <w:p w:rsidR="00BD3B5F" w:rsidRPr="005C3B55" w:rsidRDefault="00BD3B5F" w:rsidP="00BD3B5F">
            <w:pPr>
              <w:numPr>
                <w:ilvl w:val="0"/>
                <w:numId w:val="206"/>
              </w:numPr>
              <w:spacing w:before="0" w:after="0"/>
              <w:ind w:hanging="290"/>
              <w:jc w:val="left"/>
              <w:rPr>
                <w:noProof/>
                <w:szCs w:val="24"/>
              </w:rPr>
            </w:pPr>
            <w:r w:rsidRPr="005C3B55">
              <w:rPr>
                <w:szCs w:val="24"/>
              </w:rPr>
              <w:t>purchase of used equipment, and</w:t>
            </w:r>
          </w:p>
          <w:p w:rsidR="00BD3B5F" w:rsidRPr="005C3B55" w:rsidRDefault="00BD3B5F" w:rsidP="00BD3B5F">
            <w:pPr>
              <w:numPr>
                <w:ilvl w:val="0"/>
                <w:numId w:val="206"/>
              </w:numPr>
              <w:spacing w:before="0" w:after="240"/>
              <w:ind w:hanging="290"/>
              <w:jc w:val="left"/>
              <w:rPr>
                <w:noProof/>
                <w:szCs w:val="24"/>
              </w:rPr>
            </w:pPr>
            <w:r w:rsidRPr="005C3B55">
              <w:rPr>
                <w:szCs w:val="24"/>
              </w:rPr>
              <w:t>in-kind contribution.</w:t>
            </w:r>
          </w:p>
          <w:p w:rsidR="00BD3B5F" w:rsidRPr="005C3B55" w:rsidRDefault="00BD3B5F">
            <w:pPr>
              <w:spacing w:before="240" w:after="240"/>
              <w:jc w:val="left"/>
              <w:rPr>
                <w:noProof/>
                <w:szCs w:val="24"/>
              </w:rPr>
            </w:pPr>
            <w:r w:rsidRPr="005C3B55">
              <w:rPr>
                <w:szCs w:val="24"/>
              </w:rPr>
              <w:t>In the implementation of this operation, certain specific requirements from the aspect of eligibility of costs as per national regulations will be taken into account.</w:t>
            </w:r>
          </w:p>
          <w:p w:rsidR="00BD3B5F" w:rsidRPr="005C3B55" w:rsidRDefault="00BD3B5F">
            <w:pPr>
              <w:pStyle w:val="Telobesedila"/>
              <w:rPr>
                <w:szCs w:val="24"/>
              </w:rPr>
            </w:pPr>
          </w:p>
        </w:tc>
      </w:tr>
    </w:tbl>
    <w:p w:rsidR="00BD3B5F" w:rsidRPr="005C3B55" w:rsidRDefault="00BD3B5F">
      <w:pPr>
        <w:pStyle w:val="Naslov6"/>
        <w:tabs>
          <w:tab w:val="clear" w:pos="765"/>
        </w:tabs>
        <w:ind w:left="0" w:firstLine="0"/>
        <w:rPr>
          <w:szCs w:val="24"/>
          <w:lang w:val="en-GB"/>
        </w:rPr>
      </w:pPr>
      <w:r w:rsidRPr="005C3B55">
        <w:rPr>
          <w:noProof w:val="0"/>
          <w:szCs w:val="24"/>
          <w:lang w:val="en-GB"/>
        </w:rPr>
        <w:t>Conditions for eligibility</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rsidP="00BD3B5F">
            <w:pPr>
              <w:numPr>
                <w:ilvl w:val="0"/>
                <w:numId w:val="207"/>
              </w:numPr>
              <w:spacing w:before="0" w:after="0"/>
              <w:jc w:val="left"/>
              <w:rPr>
                <w:noProof/>
                <w:szCs w:val="24"/>
              </w:rPr>
            </w:pPr>
            <w:r w:rsidRPr="005C3B55">
              <w:rPr>
                <w:szCs w:val="24"/>
              </w:rPr>
              <w:t>A final decision or other decision on the implementation of irrigation.</w:t>
            </w:r>
          </w:p>
          <w:p w:rsidR="00BD3B5F" w:rsidRPr="005C3B55" w:rsidRDefault="00BD3B5F" w:rsidP="00BD3B5F">
            <w:pPr>
              <w:numPr>
                <w:ilvl w:val="0"/>
                <w:numId w:val="207"/>
              </w:numPr>
              <w:spacing w:before="0" w:after="0"/>
              <w:jc w:val="left"/>
              <w:rPr>
                <w:noProof/>
                <w:szCs w:val="24"/>
              </w:rPr>
            </w:pPr>
            <w:r w:rsidRPr="005C3B55">
              <w:rPr>
                <w:szCs w:val="24"/>
              </w:rPr>
              <w:t>A water permit pursuant to regulations governing water.</w:t>
            </w:r>
            <w:r w:rsidRPr="005C3B55">
              <w:rPr>
                <w:noProof/>
                <w:szCs w:val="24"/>
              </w:rPr>
              <w:t xml:space="preserve"> </w:t>
            </w:r>
            <w:r w:rsidRPr="005C3B55">
              <w:rPr>
                <w:szCs w:val="24"/>
              </w:rPr>
              <w:t>If water from surface watercourses and water sources is used for irrigation, a water permit must define the environmentally acceptable discharge under the regulation on the criteria for determining, and the manner of monitoring and reporting on, environmentally acceptable discharge.</w:t>
            </w:r>
          </w:p>
          <w:p w:rsidR="00BD3B5F" w:rsidRPr="005C3B55" w:rsidRDefault="00BD3B5F" w:rsidP="00BD3B5F">
            <w:pPr>
              <w:numPr>
                <w:ilvl w:val="0"/>
                <w:numId w:val="207"/>
              </w:numPr>
              <w:spacing w:before="0" w:after="0"/>
              <w:jc w:val="left"/>
              <w:rPr>
                <w:noProof/>
                <w:szCs w:val="24"/>
              </w:rPr>
            </w:pPr>
            <w:r w:rsidRPr="005C3B55">
              <w:rPr>
                <w:szCs w:val="24"/>
              </w:rPr>
              <w:t>Irrigation systems must be equipped with water meters at the latest by the completion of the investment.</w:t>
            </w:r>
          </w:p>
          <w:p w:rsidR="00BD3B5F" w:rsidRPr="005C3B55" w:rsidRDefault="00BD3B5F" w:rsidP="00BD3B5F">
            <w:pPr>
              <w:numPr>
                <w:ilvl w:val="0"/>
                <w:numId w:val="207"/>
              </w:numPr>
              <w:spacing w:before="0" w:after="0"/>
              <w:jc w:val="left"/>
              <w:rPr>
                <w:noProof/>
                <w:szCs w:val="24"/>
              </w:rPr>
            </w:pPr>
            <w:r w:rsidRPr="005C3B55">
              <w:rPr>
                <w:szCs w:val="24"/>
              </w:rPr>
              <w:t>Investments in the technological modernisation of irrigation systems must, under the preliminary assessment, enable at least a 15% potential saving of water with respect to the technical parameters of the existing irrigation system.</w:t>
            </w:r>
          </w:p>
          <w:p w:rsidR="00BD3B5F" w:rsidRPr="005C3B55" w:rsidRDefault="00BD3B5F" w:rsidP="00BD3B5F">
            <w:pPr>
              <w:numPr>
                <w:ilvl w:val="0"/>
                <w:numId w:val="207"/>
              </w:numPr>
              <w:spacing w:before="0" w:after="0"/>
              <w:jc w:val="left"/>
              <w:rPr>
                <w:noProof/>
                <w:szCs w:val="24"/>
              </w:rPr>
            </w:pPr>
            <w:r w:rsidRPr="005C3B55">
              <w:rPr>
                <w:szCs w:val="24"/>
              </w:rPr>
              <w:t>If the investment has an impact on bodies of ground and surface waters whose quantitative state has been assessed as less than good in the relevant catchment area management plan, the investment should ensure that a reduction in the total consumption of water of at least 50% of potential savings of water that is possible at the level of investment is made.</w:t>
            </w:r>
          </w:p>
          <w:p w:rsidR="00BD3B5F" w:rsidRPr="005C3B55" w:rsidRDefault="00BD3B5F" w:rsidP="00BD3B5F">
            <w:pPr>
              <w:numPr>
                <w:ilvl w:val="0"/>
                <w:numId w:val="207"/>
              </w:numPr>
              <w:spacing w:before="0" w:after="0"/>
              <w:jc w:val="left"/>
              <w:rPr>
                <w:noProof/>
                <w:szCs w:val="24"/>
              </w:rPr>
            </w:pPr>
            <w:r w:rsidRPr="005C3B55">
              <w:rPr>
                <w:szCs w:val="24"/>
              </w:rPr>
              <w:t>The eligibility conditions referred to in points 4 and 5 of this paragraph are not applied to investments in existing facilities or associated irrigation equipment that influence only energy efficiency, investments in the construction of water reservoirs or investments in the use of recycled water that have no influence on the bodies of ground or surface waters.</w:t>
            </w:r>
          </w:p>
          <w:p w:rsidR="00BD3B5F" w:rsidRPr="005C3B55" w:rsidRDefault="00BD3B5F" w:rsidP="00BD3B5F">
            <w:pPr>
              <w:numPr>
                <w:ilvl w:val="0"/>
                <w:numId w:val="207"/>
              </w:numPr>
              <w:spacing w:before="0" w:after="240"/>
              <w:jc w:val="left"/>
              <w:rPr>
                <w:noProof/>
                <w:szCs w:val="24"/>
              </w:rPr>
            </w:pPr>
            <w:r w:rsidRPr="005C3B55">
              <w:rPr>
                <w:szCs w:val="24"/>
              </w:rPr>
              <w:t>A preliminary assessment procedure must be carried out for all technological modernisation projects of large irrigation systems which apply to tenders of the European Agricultural Funds for Rural Development (EAFRD) on the basis of the Decree on the categories of activities for which an environmental impact assessment is mandatory (Official Gazette of the Republic of Slovenia, no. 51/14, with all amendments) before the submission of the application to the public procurement.</w:t>
            </w:r>
            <w:r w:rsidRPr="005C3B55">
              <w:rPr>
                <w:noProof/>
                <w:szCs w:val="24"/>
              </w:rPr>
              <w:t xml:space="preserve"> </w:t>
            </w:r>
            <w:r w:rsidRPr="005C3B55">
              <w:rPr>
                <w:szCs w:val="24"/>
              </w:rPr>
              <w:t>If a significant environmental impact is established, it is necessary to conduct an environmental impact assessment, which includes an assessment of the acceptability of the impact on Natura 2000 sites. The environmental impact assessment ends with the issuing of an environment protection consent.</w:t>
            </w:r>
            <w:r w:rsidRPr="005C3B55">
              <w:rPr>
                <w:noProof/>
                <w:szCs w:val="24"/>
              </w:rPr>
              <w:t xml:space="preserve"> </w:t>
            </w:r>
            <w:r w:rsidRPr="005C3B55">
              <w:rPr>
                <w:szCs w:val="24"/>
              </w:rPr>
              <w:t>The requirements referred to in Article 6 of Directive 92/43/EEC are also implemented in this process.</w:t>
            </w:r>
          </w:p>
          <w:p w:rsidR="00BD3B5F" w:rsidRPr="005C3B55" w:rsidRDefault="00BD3B5F">
            <w:pPr>
              <w:pStyle w:val="Telobesedila"/>
              <w:rPr>
                <w:szCs w:val="24"/>
              </w:rPr>
            </w:pPr>
          </w:p>
        </w:tc>
      </w:tr>
    </w:tbl>
    <w:p w:rsidR="00BD3B5F" w:rsidRPr="005C3B55" w:rsidRDefault="00BD3B5F">
      <w:pPr>
        <w:pStyle w:val="Naslov6"/>
        <w:tabs>
          <w:tab w:val="clear" w:pos="765"/>
        </w:tabs>
        <w:ind w:left="0" w:firstLine="0"/>
        <w:rPr>
          <w:szCs w:val="24"/>
          <w:lang w:val="en-GB"/>
        </w:rPr>
      </w:pPr>
      <w:r w:rsidRPr="005C3B55">
        <w:rPr>
          <w:noProof w:val="0"/>
          <w:szCs w:val="24"/>
          <w:lang w:val="en-GB"/>
        </w:rPr>
        <w:t>Principles regarding the determination of selection criteria</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The operation will be implemented as a closed public tender.</w:t>
            </w:r>
          </w:p>
          <w:p w:rsidR="00BD3B5F" w:rsidRPr="005C3B55" w:rsidRDefault="00BD3B5F">
            <w:pPr>
              <w:spacing w:before="240" w:after="240"/>
              <w:jc w:val="left"/>
              <w:rPr>
                <w:noProof/>
                <w:szCs w:val="24"/>
              </w:rPr>
            </w:pPr>
            <w:r w:rsidRPr="005C3B55">
              <w:rPr>
                <w:szCs w:val="24"/>
              </w:rPr>
              <w:t>Selected projects whose applications are complete and adequate in terms of content and which meet the conditions for receiving funds and exceed the threshold number of points determined in the public tender will be eligible for support.</w:t>
            </w:r>
            <w:r w:rsidRPr="005C3B55">
              <w:rPr>
                <w:noProof/>
                <w:szCs w:val="24"/>
              </w:rPr>
              <w:t xml:space="preserve"> </w:t>
            </w:r>
            <w:r w:rsidRPr="005C3B55">
              <w:rPr>
                <w:szCs w:val="24"/>
              </w:rPr>
              <w:t>Applications which score a higher number of points will be selected from among applications that exceed the threshold number of points until the funds available in the public tender are distributed.</w:t>
            </w:r>
            <w:r w:rsidRPr="005C3B55">
              <w:rPr>
                <w:noProof/>
                <w:szCs w:val="24"/>
              </w:rPr>
              <w:t xml:space="preserve"> </w:t>
            </w:r>
            <w:r w:rsidRPr="005C3B55">
              <w:rPr>
                <w:szCs w:val="24"/>
              </w:rPr>
              <w:t>As part of the selection criteria, the greatest emphasis will be on the economic aspect of the investment (for example, internal rate of return), contribution to horizontal objectives and the regional aspect of the investment (for example, location of the investment in terms of the level of development risk of regions).</w:t>
            </w:r>
          </w:p>
          <w:p w:rsidR="00BD3B5F" w:rsidRPr="005C3B55" w:rsidRDefault="00BD3B5F">
            <w:pPr>
              <w:spacing w:before="240" w:after="240"/>
              <w:jc w:val="left"/>
              <w:rPr>
                <w:noProof/>
                <w:szCs w:val="24"/>
              </w:rPr>
            </w:pPr>
            <w:r w:rsidRPr="005C3B55">
              <w:rPr>
                <w:noProof/>
                <w:szCs w:val="24"/>
              </w:rPr>
              <w:t> </w:t>
            </w:r>
          </w:p>
          <w:p w:rsidR="00BD3B5F" w:rsidRPr="005C3B55" w:rsidRDefault="00BD3B5F">
            <w:pPr>
              <w:spacing w:before="240" w:after="240"/>
              <w:jc w:val="left"/>
              <w:rPr>
                <w:noProof/>
                <w:szCs w:val="24"/>
              </w:rPr>
            </w:pPr>
            <w:r w:rsidRPr="005C3B55">
              <w:rPr>
                <w:noProof/>
                <w:szCs w:val="24"/>
              </w:rPr>
              <w:t> </w:t>
            </w:r>
          </w:p>
          <w:p w:rsidR="00BD3B5F" w:rsidRPr="005C3B55" w:rsidRDefault="00BD3B5F">
            <w:pPr>
              <w:pStyle w:val="Telobesedila"/>
              <w:rPr>
                <w:szCs w:val="24"/>
              </w:rPr>
            </w:pPr>
          </w:p>
        </w:tc>
      </w:tr>
    </w:tbl>
    <w:p w:rsidR="00BD3B5F" w:rsidRPr="005C3B55" w:rsidRDefault="00BD3B5F">
      <w:pPr>
        <w:pStyle w:val="Naslov6"/>
        <w:tabs>
          <w:tab w:val="clear" w:pos="765"/>
        </w:tabs>
        <w:ind w:left="0" w:firstLine="0"/>
        <w:rPr>
          <w:szCs w:val="24"/>
          <w:lang w:val="en-GB"/>
        </w:rPr>
      </w:pPr>
      <w:r w:rsidRPr="005C3B55">
        <w:rPr>
          <w:noProof w:val="0"/>
          <w:szCs w:val="24"/>
          <w:lang w:val="en-GB"/>
        </w:rPr>
        <w:t>(Valid) amounts and support rates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The public support rate amounts to 100% of eligible costs.</w:t>
            </w:r>
          </w:p>
          <w:p w:rsidR="00BD3B5F" w:rsidRPr="005C3B55" w:rsidRDefault="00BD3B5F">
            <w:pPr>
              <w:spacing w:before="240" w:after="240"/>
              <w:jc w:val="left"/>
              <w:rPr>
                <w:noProof/>
                <w:szCs w:val="24"/>
              </w:rPr>
            </w:pPr>
            <w:r w:rsidRPr="005C3B55">
              <w:rPr>
                <w:szCs w:val="24"/>
              </w:rPr>
              <w:t>The lowest amount of public support per application is EUR 5,000.</w:t>
            </w:r>
          </w:p>
          <w:p w:rsidR="00BD3B5F" w:rsidRPr="005C3B55" w:rsidRDefault="00BD3B5F">
            <w:pPr>
              <w:spacing w:before="240" w:after="240"/>
              <w:jc w:val="left"/>
              <w:rPr>
                <w:noProof/>
                <w:szCs w:val="24"/>
              </w:rPr>
            </w:pPr>
            <w:r w:rsidRPr="005C3B55">
              <w:rPr>
                <w:szCs w:val="24"/>
              </w:rPr>
              <w:t>The beneficiaries to support in investments may in accordance with point 4 of Article 45 of Regulation (EU) No 1305/2013 request for advance payment at the Paying Agency after the issue of the decision on the entitlement to funds in the amount of 30% of the public support.</w:t>
            </w:r>
          </w:p>
          <w:p w:rsidR="00BD3B5F" w:rsidRPr="005C3B55" w:rsidRDefault="00BD3B5F">
            <w:pPr>
              <w:pStyle w:val="Telobesedila"/>
              <w:rPr>
                <w:szCs w:val="24"/>
              </w:rPr>
            </w:pPr>
          </w:p>
        </w:tc>
      </w:tr>
    </w:tbl>
    <w:p w:rsidR="00BD3B5F" w:rsidRPr="005C3B55" w:rsidRDefault="00BD3B5F">
      <w:pPr>
        <w:pStyle w:val="Naslov6"/>
        <w:tabs>
          <w:tab w:val="clear" w:pos="765"/>
        </w:tabs>
        <w:ind w:left="0" w:firstLine="0"/>
        <w:rPr>
          <w:szCs w:val="24"/>
          <w:lang w:val="en-GB"/>
        </w:rPr>
      </w:pPr>
      <w:r w:rsidRPr="005C3B55">
        <w:rPr>
          <w:noProof w:val="0"/>
          <w:szCs w:val="24"/>
          <w:lang w:val="en-GB"/>
        </w:rPr>
        <w:t>Verifiability and possibility of control of measures and/or type of operations</w:t>
      </w:r>
    </w:p>
    <w:p w:rsidR="00BD3B5F" w:rsidRPr="005C3B55" w:rsidRDefault="00BD3B5F">
      <w:pPr>
        <w:pStyle w:val="Naslov7"/>
        <w:tabs>
          <w:tab w:val="clear" w:pos="765"/>
        </w:tabs>
        <w:ind w:left="0" w:firstLine="0"/>
        <w:rPr>
          <w:szCs w:val="24"/>
          <w:lang w:val="en-GB"/>
        </w:rPr>
      </w:pPr>
      <w:r w:rsidRPr="005C3B55">
        <w:rPr>
          <w:noProof w:val="0"/>
          <w:szCs w:val="24"/>
          <w:lang w:val="en-GB"/>
        </w:rPr>
        <w:t>Risks in the implementation of the measure</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b/>
                <w:noProof/>
                <w:szCs w:val="24"/>
              </w:rPr>
              <w:t xml:space="preserve">R1: </w:t>
            </w:r>
            <w:r w:rsidRPr="005C3B55">
              <w:rPr>
                <w:b/>
                <w:szCs w:val="24"/>
              </w:rPr>
              <w:t>Application conditions for private beneficiaries</w:t>
            </w:r>
          </w:p>
          <w:p w:rsidR="00BD3B5F" w:rsidRPr="005C3B55" w:rsidRDefault="00BD3B5F">
            <w:pPr>
              <w:spacing w:before="240" w:after="240"/>
              <w:jc w:val="left"/>
              <w:rPr>
                <w:noProof/>
                <w:szCs w:val="24"/>
              </w:rPr>
            </w:pPr>
            <w:r w:rsidRPr="005C3B55">
              <w:rPr>
                <w:szCs w:val="24"/>
              </w:rPr>
              <w:t>The implementation procedure is based on regulations regulating general administrative procedures.</w:t>
            </w:r>
            <w:r w:rsidRPr="005C3B55">
              <w:rPr>
                <w:noProof/>
                <w:szCs w:val="24"/>
              </w:rPr>
              <w:t xml:space="preserve"> </w:t>
            </w:r>
            <w:r w:rsidRPr="005C3B55">
              <w:rPr>
                <w:szCs w:val="24"/>
              </w:rPr>
              <w:t>Selection procedures may be lengthy (they may take more than six months) due to the statutory deadlines.</w:t>
            </w:r>
            <w:r w:rsidRPr="005C3B55">
              <w:rPr>
                <w:noProof/>
                <w:szCs w:val="24"/>
              </w:rPr>
              <w:t xml:space="preserve"> </w:t>
            </w:r>
            <w:r w:rsidRPr="005C3B55">
              <w:rPr>
                <w:szCs w:val="24"/>
              </w:rPr>
              <w:t>The situation in the market may change considerably during this time.</w:t>
            </w:r>
          </w:p>
          <w:p w:rsidR="00BD3B5F" w:rsidRPr="005C3B55" w:rsidRDefault="00BD3B5F">
            <w:pPr>
              <w:spacing w:before="240" w:after="240"/>
              <w:jc w:val="left"/>
              <w:rPr>
                <w:noProof/>
                <w:szCs w:val="24"/>
              </w:rPr>
            </w:pPr>
            <w:r w:rsidRPr="005C3B55">
              <w:rPr>
                <w:b/>
                <w:noProof/>
                <w:szCs w:val="24"/>
              </w:rPr>
              <w:t xml:space="preserve">R3: </w:t>
            </w:r>
            <w:r w:rsidRPr="005C3B55">
              <w:rPr>
                <w:b/>
                <w:szCs w:val="24"/>
              </w:rPr>
              <w:t>Suitable overview and control system</w:t>
            </w:r>
          </w:p>
          <w:p w:rsidR="00BD3B5F" w:rsidRPr="005C3B55" w:rsidRDefault="00BD3B5F">
            <w:pPr>
              <w:spacing w:before="240" w:after="240"/>
              <w:jc w:val="left"/>
              <w:rPr>
                <w:noProof/>
                <w:szCs w:val="24"/>
              </w:rPr>
            </w:pPr>
            <w:r w:rsidRPr="005C3B55">
              <w:rPr>
                <w:szCs w:val="24"/>
              </w:rPr>
              <w:t>The greatest problem is the inadequate connection between databases in the public administration.</w:t>
            </w:r>
            <w:r w:rsidRPr="005C3B55">
              <w:rPr>
                <w:noProof/>
                <w:szCs w:val="24"/>
              </w:rPr>
              <w:t xml:space="preserve"> </w:t>
            </w:r>
            <w:r w:rsidRPr="005C3B55">
              <w:rPr>
                <w:szCs w:val="24"/>
              </w:rPr>
              <w:t>This can result in an increased risk of dual co-funding of the same eligible costs.</w:t>
            </w:r>
          </w:p>
          <w:p w:rsidR="00BD3B5F" w:rsidRPr="005C3B55" w:rsidRDefault="00BD3B5F">
            <w:pPr>
              <w:spacing w:before="240" w:after="240"/>
              <w:jc w:val="left"/>
              <w:rPr>
                <w:noProof/>
                <w:szCs w:val="24"/>
              </w:rPr>
            </w:pPr>
            <w:r w:rsidRPr="005C3B55">
              <w:rPr>
                <w:b/>
                <w:noProof/>
                <w:szCs w:val="24"/>
              </w:rPr>
              <w:t xml:space="preserve">R4: </w:t>
            </w:r>
            <w:r w:rsidRPr="005C3B55">
              <w:rPr>
                <w:b/>
                <w:szCs w:val="24"/>
              </w:rPr>
              <w:t>Public procurement</w:t>
            </w:r>
          </w:p>
          <w:p w:rsidR="00BD3B5F" w:rsidRPr="005C3B55" w:rsidRDefault="00BD3B5F">
            <w:pPr>
              <w:spacing w:before="240" w:after="240"/>
              <w:jc w:val="left"/>
              <w:rPr>
                <w:noProof/>
                <w:szCs w:val="24"/>
              </w:rPr>
            </w:pPr>
            <w:r w:rsidRPr="005C3B55">
              <w:rPr>
                <w:szCs w:val="24"/>
              </w:rPr>
              <w:t>The risks in the implementation of the measure are, in particular, the long period needed to implement the public procurement procedure, complaints and review procedures, and possible agreements between providers.</w:t>
            </w:r>
          </w:p>
          <w:p w:rsidR="00BD3B5F" w:rsidRPr="005C3B55" w:rsidRDefault="00BD3B5F">
            <w:pPr>
              <w:spacing w:before="240" w:after="240"/>
              <w:jc w:val="left"/>
              <w:rPr>
                <w:noProof/>
                <w:szCs w:val="24"/>
              </w:rPr>
            </w:pPr>
            <w:r w:rsidRPr="005C3B55">
              <w:rPr>
                <w:b/>
                <w:noProof/>
                <w:szCs w:val="24"/>
              </w:rPr>
              <w:t xml:space="preserve">R7: </w:t>
            </w:r>
            <w:r w:rsidRPr="005C3B55">
              <w:rPr>
                <w:b/>
                <w:szCs w:val="24"/>
              </w:rPr>
              <w:t>Selection of beneficiaries</w:t>
            </w:r>
          </w:p>
          <w:p w:rsidR="00BD3B5F" w:rsidRPr="005C3B55" w:rsidRDefault="00BD3B5F">
            <w:pPr>
              <w:spacing w:before="240" w:after="240"/>
              <w:jc w:val="left"/>
              <w:rPr>
                <w:noProof/>
                <w:szCs w:val="24"/>
              </w:rPr>
            </w:pPr>
            <w:r w:rsidRPr="005C3B55">
              <w:rPr>
                <w:szCs w:val="24"/>
              </w:rPr>
              <w:t>There is the possibility of risk due to the lack of information for beneficiaries and persons responsible for the preparation of application and a lack of understanding of the requirements from the regulations.</w:t>
            </w:r>
          </w:p>
          <w:p w:rsidR="00BD3B5F" w:rsidRPr="005C3B55" w:rsidRDefault="00BD3B5F">
            <w:pPr>
              <w:spacing w:before="240" w:after="240"/>
              <w:jc w:val="left"/>
              <w:rPr>
                <w:noProof/>
                <w:szCs w:val="24"/>
              </w:rPr>
            </w:pPr>
            <w:r w:rsidRPr="005C3B55">
              <w:rPr>
                <w:b/>
                <w:noProof/>
                <w:szCs w:val="24"/>
              </w:rPr>
              <w:t xml:space="preserve">R8: </w:t>
            </w:r>
            <w:r w:rsidRPr="005C3B55">
              <w:rPr>
                <w:b/>
                <w:szCs w:val="24"/>
              </w:rPr>
              <w:t>IT systems</w:t>
            </w:r>
          </w:p>
          <w:p w:rsidR="00BD3B5F" w:rsidRPr="005C3B55" w:rsidRDefault="00BD3B5F">
            <w:pPr>
              <w:spacing w:before="240" w:after="240"/>
              <w:jc w:val="left"/>
              <w:rPr>
                <w:noProof/>
                <w:szCs w:val="24"/>
              </w:rPr>
            </w:pPr>
            <w:r w:rsidRPr="005C3B55">
              <w:rPr>
                <w:szCs w:val="24"/>
              </w:rPr>
              <w:t>There is a risk of an IT system that is inadequate for the submission of applications to the public procurement and requests for payment, and which is not advanced and does not provide sufficient support.</w:t>
            </w:r>
            <w:r w:rsidRPr="005C3B55">
              <w:rPr>
                <w:noProof/>
                <w:szCs w:val="24"/>
              </w:rPr>
              <w:t xml:space="preserve"> </w:t>
            </w:r>
            <w:r w:rsidRPr="005C3B55">
              <w:rPr>
                <w:szCs w:val="24"/>
              </w:rPr>
              <w:t>There is also a risk that potential beneficiaries will not be skilled at using this system and that the system will not function optimally.</w:t>
            </w:r>
          </w:p>
          <w:p w:rsidR="00BD3B5F" w:rsidRPr="005C3B55" w:rsidRDefault="00BD3B5F">
            <w:pPr>
              <w:spacing w:before="240" w:after="240"/>
              <w:jc w:val="left"/>
              <w:rPr>
                <w:noProof/>
                <w:szCs w:val="24"/>
              </w:rPr>
            </w:pPr>
            <w:r w:rsidRPr="005C3B55">
              <w:rPr>
                <w:b/>
                <w:noProof/>
                <w:szCs w:val="24"/>
              </w:rPr>
              <w:t xml:space="preserve">R9: </w:t>
            </w:r>
            <w:r w:rsidRPr="005C3B55">
              <w:rPr>
                <w:b/>
                <w:szCs w:val="24"/>
              </w:rPr>
              <w:t>Requests for payment</w:t>
            </w:r>
          </w:p>
          <w:p w:rsidR="00BD3B5F" w:rsidRPr="005C3B55" w:rsidRDefault="00BD3B5F">
            <w:pPr>
              <w:spacing w:before="240" w:after="240"/>
              <w:jc w:val="left"/>
              <w:rPr>
                <w:noProof/>
                <w:szCs w:val="24"/>
              </w:rPr>
            </w:pPr>
            <w:r w:rsidRPr="005C3B55">
              <w:rPr>
                <w:szCs w:val="24"/>
              </w:rPr>
              <w:t>A request for the payment of funds is honoured within 30 days following the submission of a complete request for payment.</w:t>
            </w:r>
            <w:r w:rsidRPr="005C3B55">
              <w:rPr>
                <w:noProof/>
                <w:szCs w:val="24"/>
              </w:rPr>
              <w:t xml:space="preserve"> </w:t>
            </w:r>
            <w:r w:rsidRPr="005C3B55">
              <w:rPr>
                <w:szCs w:val="24"/>
              </w:rPr>
              <w:t>There are no delays in this part.</w:t>
            </w:r>
            <w:r w:rsidRPr="005C3B55">
              <w:rPr>
                <w:noProof/>
                <w:szCs w:val="24"/>
              </w:rPr>
              <w:t xml:space="preserve"> </w:t>
            </w:r>
            <w:r w:rsidRPr="005C3B55">
              <w:rPr>
                <w:szCs w:val="24"/>
              </w:rPr>
              <w:t>The greatest risk arises in the processing of requests for payment.</w:t>
            </w:r>
            <w:r w:rsidRPr="005C3B55">
              <w:rPr>
                <w:noProof/>
                <w:szCs w:val="24"/>
              </w:rPr>
              <w:t xml:space="preserve"> </w:t>
            </w:r>
            <w:r w:rsidRPr="005C3B55">
              <w:rPr>
                <w:szCs w:val="24"/>
              </w:rPr>
              <w:t>Due to unprofessional preparation, the procedure for processing may take several months.</w:t>
            </w:r>
            <w:r w:rsidRPr="005C3B55">
              <w:rPr>
                <w:noProof/>
                <w:szCs w:val="24"/>
              </w:rPr>
              <w:t xml:space="preserve"> </w:t>
            </w:r>
            <w:r w:rsidRPr="005C3B55">
              <w:rPr>
                <w:szCs w:val="24"/>
              </w:rPr>
              <w:t>The main reason is the lack of knowledge among beneficiaries and persons preparing applications.</w:t>
            </w:r>
          </w:p>
          <w:p w:rsidR="00BD3B5F" w:rsidRPr="005C3B55" w:rsidRDefault="00BD3B5F">
            <w:pPr>
              <w:spacing w:before="240" w:after="240"/>
              <w:jc w:val="left"/>
              <w:rPr>
                <w:noProof/>
                <w:szCs w:val="24"/>
              </w:rPr>
            </w:pPr>
            <w:r w:rsidRPr="005C3B55">
              <w:rPr>
                <w:b/>
                <w:szCs w:val="24"/>
              </w:rPr>
              <w:t>Impact on the environment</w:t>
            </w:r>
          </w:p>
          <w:p w:rsidR="00BD3B5F" w:rsidRPr="005C3B55" w:rsidRDefault="00BD3B5F">
            <w:pPr>
              <w:spacing w:before="240" w:after="240"/>
              <w:jc w:val="left"/>
              <w:rPr>
                <w:noProof/>
                <w:szCs w:val="24"/>
              </w:rPr>
            </w:pPr>
            <w:r w:rsidRPr="005C3B55">
              <w:rPr>
                <w:szCs w:val="24"/>
              </w:rPr>
              <w:t>The promotion of competitiveness may lead to an excessive concentration of production, which may result in reduced biodiversity and an increased environmental risk.</w:t>
            </w:r>
          </w:p>
          <w:p w:rsidR="00BD3B5F" w:rsidRPr="005C3B55" w:rsidRDefault="00BD3B5F">
            <w:pPr>
              <w:spacing w:before="240" w:after="240"/>
              <w:jc w:val="left"/>
              <w:rPr>
                <w:noProof/>
                <w:szCs w:val="24"/>
              </w:rPr>
            </w:pPr>
            <w:r w:rsidRPr="005C3B55">
              <w:rPr>
                <w:noProof/>
                <w:szCs w:val="24"/>
              </w:rPr>
              <w:t> </w:t>
            </w:r>
          </w:p>
          <w:p w:rsidR="00BD3B5F" w:rsidRPr="005C3B55" w:rsidRDefault="00BD3B5F">
            <w:pPr>
              <w:pStyle w:val="Telobesedila"/>
              <w:rPr>
                <w:szCs w:val="24"/>
              </w:rPr>
            </w:pPr>
          </w:p>
        </w:tc>
      </w:tr>
    </w:tbl>
    <w:p w:rsidR="00BD3B5F" w:rsidRPr="005C3B55" w:rsidRDefault="00BD3B5F">
      <w:pPr>
        <w:pStyle w:val="Naslov7"/>
        <w:tabs>
          <w:tab w:val="clear" w:pos="765"/>
        </w:tabs>
        <w:ind w:left="0" w:firstLine="0"/>
        <w:rPr>
          <w:szCs w:val="24"/>
          <w:lang w:val="en-GB"/>
        </w:rPr>
      </w:pPr>
      <w:r w:rsidRPr="005C3B55">
        <w:rPr>
          <w:noProof w:val="0"/>
          <w:szCs w:val="24"/>
          <w:lang w:val="en-GB"/>
        </w:rPr>
        <w:t>Mitigation measures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b/>
                <w:noProof/>
                <w:szCs w:val="24"/>
              </w:rPr>
              <w:t xml:space="preserve">R1: </w:t>
            </w:r>
            <w:r w:rsidRPr="005C3B55">
              <w:rPr>
                <w:b/>
                <w:szCs w:val="24"/>
              </w:rPr>
              <w:t>Application conditions for private beneficiaries</w:t>
            </w:r>
          </w:p>
          <w:p w:rsidR="00BD3B5F" w:rsidRPr="005C3B55" w:rsidRDefault="00BD3B5F">
            <w:pPr>
              <w:spacing w:before="240" w:after="240"/>
              <w:jc w:val="left"/>
              <w:rPr>
                <w:noProof/>
                <w:szCs w:val="24"/>
              </w:rPr>
            </w:pPr>
            <w:r w:rsidRPr="005C3B55">
              <w:rPr>
                <w:szCs w:val="24"/>
              </w:rPr>
              <w:t>The duration of administrative procedures cannot be influenced.</w:t>
            </w:r>
            <w:r w:rsidRPr="005C3B55">
              <w:rPr>
                <w:noProof/>
                <w:szCs w:val="24"/>
              </w:rPr>
              <w:t xml:space="preserve"> </w:t>
            </w:r>
            <w:r w:rsidRPr="005C3B55">
              <w:rPr>
                <w:szCs w:val="24"/>
              </w:rPr>
              <w:t>However, the dissemination of information to potential beneficiaries on the measures and selection procedures of beneficiaries will be improved.</w:t>
            </w:r>
            <w:r w:rsidRPr="005C3B55">
              <w:rPr>
                <w:noProof/>
                <w:szCs w:val="24"/>
              </w:rPr>
              <w:t xml:space="preserve"> </w:t>
            </w:r>
            <w:r w:rsidRPr="005C3B55">
              <w:rPr>
                <w:szCs w:val="24"/>
              </w:rPr>
              <w:t>Applications are submitted electronically, which shortens the time of application processing.</w:t>
            </w:r>
            <w:r w:rsidRPr="005C3B55">
              <w:rPr>
                <w:noProof/>
                <w:szCs w:val="24"/>
              </w:rPr>
              <w:t xml:space="preserve"> </w:t>
            </w:r>
            <w:r w:rsidRPr="005C3B55">
              <w:rPr>
                <w:szCs w:val="24"/>
              </w:rPr>
              <w:t>Efforts to improve the unification of public procurements and the clarity of conditions are set to continue, which will contribute to making applications more complete.</w:t>
            </w:r>
            <w:r w:rsidRPr="005C3B55">
              <w:rPr>
                <w:noProof/>
                <w:szCs w:val="24"/>
              </w:rPr>
              <w:t xml:space="preserve"> </w:t>
            </w:r>
            <w:r w:rsidRPr="005C3B55">
              <w:rPr>
                <w:szCs w:val="24"/>
              </w:rPr>
              <w:t>This will somewhat reduce the risk.</w:t>
            </w:r>
            <w:r w:rsidRPr="005C3B55">
              <w:rPr>
                <w:noProof/>
                <w:szCs w:val="24"/>
              </w:rPr>
              <w:t xml:space="preserve"> </w:t>
            </w:r>
            <w:r w:rsidRPr="005C3B55">
              <w:rPr>
                <w:szCs w:val="24"/>
              </w:rPr>
              <w:t>With changes to the Agriculture Act (Official Gazette of the Republic of Slovenia, no. 45/2008 with all amendments) introduced in 2014, the provisions of the administrative procedure were changed in order to make the procedure more economical and to accelerate application processing.</w:t>
            </w:r>
          </w:p>
          <w:p w:rsidR="00BD3B5F" w:rsidRPr="005C3B55" w:rsidRDefault="00BD3B5F">
            <w:pPr>
              <w:spacing w:before="240" w:after="240"/>
              <w:jc w:val="left"/>
              <w:rPr>
                <w:noProof/>
                <w:szCs w:val="24"/>
              </w:rPr>
            </w:pPr>
            <w:r w:rsidRPr="005C3B55">
              <w:rPr>
                <w:b/>
                <w:noProof/>
                <w:szCs w:val="24"/>
              </w:rPr>
              <w:t xml:space="preserve">R2: </w:t>
            </w:r>
            <w:r w:rsidRPr="005C3B55">
              <w:rPr>
                <w:b/>
                <w:szCs w:val="24"/>
              </w:rPr>
              <w:t>Reasonableness of costs</w:t>
            </w:r>
          </w:p>
          <w:p w:rsidR="00BD3B5F" w:rsidRPr="005C3B55" w:rsidRDefault="00BD3B5F">
            <w:pPr>
              <w:spacing w:before="240" w:after="240"/>
              <w:jc w:val="left"/>
              <w:rPr>
                <w:noProof/>
                <w:szCs w:val="24"/>
              </w:rPr>
            </w:pPr>
            <w:r w:rsidRPr="005C3B55">
              <w:rPr>
                <w:szCs w:val="24"/>
              </w:rPr>
              <w:t>A uniform catalogue of costs for all measures which include investments will be set up.</w:t>
            </w:r>
            <w:r w:rsidRPr="005C3B55">
              <w:rPr>
                <w:noProof/>
                <w:szCs w:val="24"/>
              </w:rPr>
              <w:t xml:space="preserve"> </w:t>
            </w:r>
            <w:r w:rsidRPr="005C3B55">
              <w:rPr>
                <w:szCs w:val="24"/>
              </w:rPr>
              <w:t>The catalogue will be prepared by an independent external contractor, and will determine the highest recognised amounts of individual costs, which will be revised if necessary (for example, changed market conditions).</w:t>
            </w:r>
          </w:p>
          <w:p w:rsidR="00BD3B5F" w:rsidRPr="005C3B55" w:rsidRDefault="00BD3B5F">
            <w:pPr>
              <w:spacing w:before="240" w:after="240"/>
              <w:jc w:val="left"/>
              <w:rPr>
                <w:noProof/>
                <w:szCs w:val="24"/>
              </w:rPr>
            </w:pPr>
            <w:r w:rsidRPr="005C3B55">
              <w:rPr>
                <w:b/>
                <w:noProof/>
                <w:szCs w:val="24"/>
              </w:rPr>
              <w:t xml:space="preserve">R3: </w:t>
            </w:r>
            <w:r w:rsidRPr="005C3B55">
              <w:rPr>
                <w:b/>
                <w:szCs w:val="24"/>
              </w:rPr>
              <w:t>Suitable overview and control system</w:t>
            </w:r>
          </w:p>
          <w:p w:rsidR="00BD3B5F" w:rsidRPr="005C3B55" w:rsidRDefault="00BD3B5F">
            <w:pPr>
              <w:spacing w:before="240" w:after="240"/>
              <w:jc w:val="left"/>
              <w:rPr>
                <w:noProof/>
                <w:szCs w:val="24"/>
              </w:rPr>
            </w:pPr>
            <w:r w:rsidRPr="005C3B55">
              <w:rPr>
                <w:szCs w:val="24"/>
              </w:rPr>
              <w:t>The connectivity of databases within the public administration will be improved.</w:t>
            </w:r>
            <w:r w:rsidRPr="005C3B55">
              <w:rPr>
                <w:noProof/>
                <w:szCs w:val="24"/>
              </w:rPr>
              <w:t xml:space="preserve"> </w:t>
            </w:r>
            <w:r w:rsidRPr="005C3B55">
              <w:rPr>
                <w:szCs w:val="24"/>
              </w:rPr>
              <w:t>The demarcation of the contents of eligible costs in relation to other funds will be more precisely defined.</w:t>
            </w:r>
          </w:p>
          <w:p w:rsidR="00BD3B5F" w:rsidRPr="005C3B55" w:rsidRDefault="00BD3B5F">
            <w:pPr>
              <w:spacing w:before="240" w:after="240"/>
              <w:jc w:val="left"/>
              <w:rPr>
                <w:noProof/>
                <w:szCs w:val="24"/>
              </w:rPr>
            </w:pPr>
            <w:r w:rsidRPr="005C3B55">
              <w:rPr>
                <w:b/>
                <w:noProof/>
                <w:szCs w:val="24"/>
              </w:rPr>
              <w:t xml:space="preserve">R4: </w:t>
            </w:r>
            <w:r w:rsidRPr="005C3B55">
              <w:rPr>
                <w:b/>
                <w:szCs w:val="24"/>
              </w:rPr>
              <w:t>Public procurement</w:t>
            </w:r>
          </w:p>
          <w:p w:rsidR="00BD3B5F" w:rsidRPr="005C3B55" w:rsidRDefault="00BD3B5F">
            <w:pPr>
              <w:spacing w:before="240" w:after="240"/>
              <w:jc w:val="left"/>
              <w:rPr>
                <w:noProof/>
                <w:szCs w:val="24"/>
              </w:rPr>
            </w:pPr>
            <w:r w:rsidRPr="005C3B55">
              <w:rPr>
                <w:szCs w:val="24"/>
              </w:rPr>
              <w:t>The mitigation measures are timely commenced public procurement procedures for the selection of contractors, well-prepared public procurement and tender documentation.</w:t>
            </w:r>
          </w:p>
          <w:p w:rsidR="00BD3B5F" w:rsidRPr="005C3B55" w:rsidRDefault="00BD3B5F">
            <w:pPr>
              <w:spacing w:before="240" w:after="240"/>
              <w:jc w:val="left"/>
              <w:rPr>
                <w:noProof/>
                <w:szCs w:val="24"/>
              </w:rPr>
            </w:pPr>
            <w:r w:rsidRPr="005C3B55">
              <w:rPr>
                <w:b/>
                <w:noProof/>
                <w:szCs w:val="24"/>
              </w:rPr>
              <w:t xml:space="preserve">R7: </w:t>
            </w:r>
            <w:r w:rsidRPr="005C3B55">
              <w:rPr>
                <w:b/>
                <w:szCs w:val="24"/>
              </w:rPr>
              <w:t>Selection of beneficiaries</w:t>
            </w:r>
          </w:p>
          <w:p w:rsidR="00BD3B5F" w:rsidRPr="005C3B55" w:rsidRDefault="00BD3B5F">
            <w:pPr>
              <w:spacing w:before="240" w:after="240"/>
              <w:jc w:val="left"/>
              <w:rPr>
                <w:noProof/>
                <w:szCs w:val="24"/>
              </w:rPr>
            </w:pPr>
            <w:r w:rsidRPr="005C3B55">
              <w:rPr>
                <w:szCs w:val="24"/>
              </w:rPr>
              <w:t>With the permanent implementation of the promotion of the measure, organisation of public presentations and other activities (updated website of the Ministry of Agriculture, Forestry and Food, activities of the National Rural Network), we will promptly inform potential beneficiaries on the content of the supported operation.</w:t>
            </w:r>
          </w:p>
          <w:p w:rsidR="00BD3B5F" w:rsidRPr="005C3B55" w:rsidRDefault="00BD3B5F">
            <w:pPr>
              <w:spacing w:before="240" w:after="240"/>
              <w:jc w:val="left"/>
              <w:rPr>
                <w:noProof/>
                <w:szCs w:val="24"/>
              </w:rPr>
            </w:pPr>
            <w:r w:rsidRPr="005C3B55">
              <w:rPr>
                <w:b/>
                <w:noProof/>
                <w:szCs w:val="24"/>
              </w:rPr>
              <w:t xml:space="preserve">R8: </w:t>
            </w:r>
            <w:r w:rsidRPr="005C3B55">
              <w:rPr>
                <w:b/>
                <w:szCs w:val="24"/>
              </w:rPr>
              <w:t>IT systems</w:t>
            </w:r>
          </w:p>
          <w:p w:rsidR="00BD3B5F" w:rsidRPr="005C3B55" w:rsidRDefault="00BD3B5F">
            <w:pPr>
              <w:spacing w:before="240" w:after="240"/>
              <w:jc w:val="left"/>
              <w:rPr>
                <w:noProof/>
                <w:szCs w:val="24"/>
              </w:rPr>
            </w:pPr>
            <w:r w:rsidRPr="005C3B55">
              <w:rPr>
                <w:szCs w:val="24"/>
              </w:rPr>
              <w:t>An IT system will be set up which will facilitate electronic submission of applications and requests for payment,</w:t>
            </w:r>
            <w:r w:rsidRPr="005C3B55">
              <w:rPr>
                <w:noProof/>
                <w:szCs w:val="24"/>
              </w:rPr>
              <w:t xml:space="preserve"> </w:t>
            </w:r>
            <w:r w:rsidRPr="005C3B55">
              <w:rPr>
                <w:szCs w:val="24"/>
              </w:rPr>
              <w:t>thus simplifying the verification of double funding, business operations of associated parties, and separation between the funding of individual costs on the sub-measure level and other measures of the RDP 2014–2020. The system will incorporate different databases, which will enable faster and more precise data verification.</w:t>
            </w:r>
            <w:r w:rsidRPr="005C3B55">
              <w:rPr>
                <w:noProof/>
                <w:szCs w:val="24"/>
              </w:rPr>
              <w:t xml:space="preserve"> </w:t>
            </w:r>
            <w:r w:rsidRPr="005C3B55">
              <w:rPr>
                <w:szCs w:val="24"/>
              </w:rPr>
              <w:t>The system will also enable monitoring of the implementation of the sub-measure.</w:t>
            </w:r>
            <w:r w:rsidRPr="005C3B55">
              <w:rPr>
                <w:noProof/>
                <w:szCs w:val="24"/>
              </w:rPr>
              <w:t xml:space="preserve"> </w:t>
            </w:r>
            <w:r w:rsidRPr="005C3B55">
              <w:rPr>
                <w:szCs w:val="24"/>
              </w:rPr>
              <w:t>Training in the use of the IT system will be organised for the drafters of applications and requests.</w:t>
            </w:r>
          </w:p>
          <w:p w:rsidR="00BD3B5F" w:rsidRPr="005C3B55" w:rsidRDefault="00BD3B5F">
            <w:pPr>
              <w:spacing w:before="240" w:after="240"/>
              <w:jc w:val="left"/>
              <w:rPr>
                <w:noProof/>
                <w:szCs w:val="24"/>
              </w:rPr>
            </w:pPr>
            <w:r w:rsidRPr="005C3B55">
              <w:rPr>
                <w:b/>
                <w:noProof/>
                <w:szCs w:val="24"/>
              </w:rPr>
              <w:t xml:space="preserve">R9: </w:t>
            </w:r>
            <w:r w:rsidRPr="005C3B55">
              <w:rPr>
                <w:b/>
                <w:szCs w:val="24"/>
              </w:rPr>
              <w:t>Requests for payment</w:t>
            </w:r>
          </w:p>
          <w:p w:rsidR="00BD3B5F" w:rsidRPr="005C3B55" w:rsidRDefault="00BD3B5F">
            <w:pPr>
              <w:spacing w:before="240" w:after="240"/>
              <w:jc w:val="left"/>
              <w:rPr>
                <w:noProof/>
                <w:szCs w:val="24"/>
              </w:rPr>
            </w:pPr>
            <w:r w:rsidRPr="005C3B55">
              <w:rPr>
                <w:szCs w:val="24"/>
              </w:rPr>
              <w:t>The dissemination of information to beneficiaries and persons preparing applications regarding the preparation of requests for the payment of funds will be improved.</w:t>
            </w:r>
            <w:r w:rsidRPr="005C3B55">
              <w:rPr>
                <w:noProof/>
                <w:szCs w:val="24"/>
              </w:rPr>
              <w:t xml:space="preserve"> </w:t>
            </w:r>
            <w:r w:rsidRPr="005C3B55">
              <w:rPr>
                <w:szCs w:val="24"/>
              </w:rPr>
              <w:t>In this period, the application for processing electronic applications and requests will be upgraded.</w:t>
            </w:r>
          </w:p>
          <w:p w:rsidR="00BD3B5F" w:rsidRPr="005C3B55" w:rsidRDefault="00BD3B5F">
            <w:pPr>
              <w:spacing w:before="240" w:after="240"/>
              <w:jc w:val="left"/>
              <w:rPr>
                <w:noProof/>
                <w:szCs w:val="24"/>
              </w:rPr>
            </w:pPr>
            <w:r w:rsidRPr="005C3B55">
              <w:rPr>
                <w:b/>
                <w:szCs w:val="24"/>
              </w:rPr>
              <w:t>Impact on the environment</w:t>
            </w:r>
          </w:p>
          <w:p w:rsidR="00BD3B5F" w:rsidRPr="005C3B55" w:rsidRDefault="00BD3B5F">
            <w:pPr>
              <w:spacing w:before="240" w:after="240"/>
              <w:jc w:val="left"/>
              <w:rPr>
                <w:noProof/>
                <w:szCs w:val="24"/>
              </w:rPr>
            </w:pPr>
            <w:r w:rsidRPr="005C3B55">
              <w:rPr>
                <w:szCs w:val="24"/>
              </w:rPr>
              <w:t>To maintain the environment in a good condition, several activities will be supported:</w:t>
            </w:r>
          </w:p>
          <w:p w:rsidR="00BD3B5F" w:rsidRPr="005C3B55" w:rsidRDefault="00BD3B5F" w:rsidP="00BD3B5F">
            <w:pPr>
              <w:numPr>
                <w:ilvl w:val="0"/>
                <w:numId w:val="208"/>
              </w:numPr>
              <w:spacing w:before="240" w:after="0"/>
              <w:ind w:hanging="290"/>
              <w:jc w:val="left"/>
              <w:rPr>
                <w:noProof/>
                <w:szCs w:val="24"/>
              </w:rPr>
            </w:pPr>
            <w:r w:rsidRPr="005C3B55">
              <w:rPr>
                <w:szCs w:val="24"/>
              </w:rPr>
              <w:t>A preliminary assessment procedure must be carried out for all technological modernisation projects of irrigation systems which apply to tenders of the European Agricultural Funds for Rural Development (EAFRD) on the basis of the Decree on the categories of activities for which an environmental impact assessment is mandatory (Official Gazette of the Republic of Slovenia, no. 51/14, with all amendments) before the submission of the application to the public procurement.</w:t>
            </w:r>
            <w:r w:rsidRPr="005C3B55">
              <w:rPr>
                <w:noProof/>
                <w:szCs w:val="24"/>
              </w:rPr>
              <w:t xml:space="preserve"> </w:t>
            </w:r>
            <w:r w:rsidRPr="005C3B55">
              <w:rPr>
                <w:szCs w:val="24"/>
              </w:rPr>
              <w:t>If a significant environmental impact is established, it is necessary to make an environmental impact assessment, which includes an assessment of the acceptability of the impact on Natura 2000 sites, which is concluded with the issuing of an environmental approval.</w:t>
            </w:r>
            <w:r w:rsidRPr="005C3B55">
              <w:rPr>
                <w:noProof/>
                <w:szCs w:val="24"/>
              </w:rPr>
              <w:t xml:space="preserve"> </w:t>
            </w:r>
            <w:r w:rsidRPr="005C3B55">
              <w:rPr>
                <w:szCs w:val="24"/>
              </w:rPr>
              <w:t>The requirements referred to in Article 6 of Directive 92/43/EEC are also implemented as part of this.</w:t>
            </w:r>
          </w:p>
          <w:p w:rsidR="00BD3B5F" w:rsidRPr="005C3B55" w:rsidRDefault="00BD3B5F" w:rsidP="00BD3B5F">
            <w:pPr>
              <w:numPr>
                <w:ilvl w:val="0"/>
                <w:numId w:val="208"/>
              </w:numPr>
              <w:spacing w:before="0" w:after="240"/>
              <w:ind w:hanging="290"/>
              <w:jc w:val="left"/>
              <w:rPr>
                <w:noProof/>
                <w:szCs w:val="24"/>
              </w:rPr>
            </w:pPr>
            <w:r w:rsidRPr="005C3B55">
              <w:rPr>
                <w:szCs w:val="24"/>
              </w:rPr>
              <w:t>In areas of water bodies with a poor quantitative state, highly selective measures in terms of the irrigation of agricultural land, in combination with suitable criteria for the selection of applications, will be implemented.</w:t>
            </w:r>
          </w:p>
          <w:p w:rsidR="00BD3B5F" w:rsidRPr="005C3B55" w:rsidRDefault="00BD3B5F">
            <w:pPr>
              <w:pStyle w:val="Telobesedila"/>
              <w:rPr>
                <w:szCs w:val="24"/>
              </w:rPr>
            </w:pPr>
          </w:p>
        </w:tc>
      </w:tr>
    </w:tbl>
    <w:p w:rsidR="00BD3B5F" w:rsidRPr="005C3B55" w:rsidRDefault="00BD3B5F">
      <w:pPr>
        <w:pStyle w:val="Naslov7"/>
        <w:tabs>
          <w:tab w:val="clear" w:pos="765"/>
        </w:tabs>
        <w:ind w:left="0" w:firstLine="0"/>
        <w:rPr>
          <w:szCs w:val="24"/>
          <w:lang w:val="en-GB"/>
        </w:rPr>
      </w:pPr>
      <w:r w:rsidRPr="005C3B55">
        <w:rPr>
          <w:noProof w:val="0"/>
          <w:szCs w:val="24"/>
          <w:lang w:val="en-GB"/>
        </w:rPr>
        <w:t>General assessment of the measure</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The operation in the anticipated form is fully feasible and verifiable and will have the expected results and contribute to achieving the objectives of the RDP 2014-2020. The operation will also make an important contribution to realising horizontal objectives.</w:t>
            </w:r>
            <w:r w:rsidRPr="005C3B55">
              <w:rPr>
                <w:noProof/>
                <w:szCs w:val="24"/>
              </w:rPr>
              <w:t xml:space="preserve"> </w:t>
            </w:r>
            <w:r w:rsidRPr="005C3B55">
              <w:rPr>
                <w:szCs w:val="24"/>
              </w:rPr>
              <w:t>The implementation of this operation is necessary in order to improve the economic performance of agricultural holdings, facilitate the restructuring of agricultural holdings, increase their participation in the market and improve their market orientation.</w:t>
            </w:r>
          </w:p>
          <w:p w:rsidR="00BD3B5F" w:rsidRPr="005C3B55" w:rsidRDefault="00BD3B5F">
            <w:pPr>
              <w:pStyle w:val="Telobesedila"/>
              <w:rPr>
                <w:szCs w:val="24"/>
              </w:rPr>
            </w:pPr>
          </w:p>
        </w:tc>
      </w:tr>
    </w:tbl>
    <w:p w:rsidR="00BD3B5F" w:rsidRPr="005C3B55" w:rsidRDefault="00BD3B5F">
      <w:pPr>
        <w:pStyle w:val="Naslov6"/>
        <w:tabs>
          <w:tab w:val="clear" w:pos="765"/>
        </w:tabs>
        <w:ind w:left="0" w:firstLine="0"/>
        <w:rPr>
          <w:szCs w:val="24"/>
          <w:lang w:val="en-GB"/>
        </w:rPr>
      </w:pPr>
      <w:r w:rsidRPr="005C3B55">
        <w:rPr>
          <w:noProof w:val="0"/>
          <w:szCs w:val="24"/>
          <w:lang w:val="en-GB"/>
        </w:rPr>
        <w:t>Methodology for calculating support amount, where relevant</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Not relevant.</w:t>
            </w:r>
          </w:p>
          <w:p w:rsidR="00BD3B5F" w:rsidRPr="005C3B55" w:rsidRDefault="00BD3B5F">
            <w:pPr>
              <w:pStyle w:val="Telobesedila"/>
              <w:rPr>
                <w:szCs w:val="24"/>
              </w:rPr>
            </w:pPr>
          </w:p>
        </w:tc>
      </w:tr>
    </w:tbl>
    <w:p w:rsidR="00BD3B5F" w:rsidRPr="005C3B55" w:rsidRDefault="00BD3B5F">
      <w:pPr>
        <w:pStyle w:val="Naslov6"/>
        <w:tabs>
          <w:tab w:val="clear" w:pos="765"/>
        </w:tabs>
        <w:ind w:left="0" w:firstLine="0"/>
        <w:rPr>
          <w:szCs w:val="24"/>
          <w:lang w:val="en-GB"/>
        </w:rPr>
      </w:pPr>
      <w:r w:rsidRPr="005C3B55">
        <w:rPr>
          <w:noProof w:val="0"/>
          <w:szCs w:val="24"/>
          <w:lang w:val="en-GB"/>
        </w:rPr>
        <w:t>Information that relates specifically to the operation</w:t>
      </w:r>
    </w:p>
    <w:p w:rsidR="00BD3B5F" w:rsidRPr="005C3B55" w:rsidRDefault="00BD3B5F">
      <w:pPr>
        <w:rPr>
          <w:szCs w:val="24"/>
        </w:rPr>
      </w:pPr>
      <w:r w:rsidRPr="005C3B55">
        <w:rPr>
          <w:szCs w:val="24"/>
        </w:rPr>
        <w:t>Definition of non-production investments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Not relevant.</w:t>
            </w:r>
          </w:p>
          <w:p w:rsidR="00BD3B5F" w:rsidRPr="005C3B55" w:rsidRDefault="00BD3B5F">
            <w:pPr>
              <w:pStyle w:val="Telobesedila"/>
              <w:rPr>
                <w:szCs w:val="24"/>
              </w:rPr>
            </w:pPr>
          </w:p>
        </w:tc>
      </w:tr>
    </w:tbl>
    <w:p w:rsidR="00BD3B5F" w:rsidRPr="005C3B55" w:rsidRDefault="00BD3B5F">
      <w:pPr>
        <w:rPr>
          <w:szCs w:val="24"/>
        </w:rPr>
      </w:pPr>
      <w:r w:rsidRPr="005C3B55">
        <w:rPr>
          <w:szCs w:val="24"/>
        </w:rPr>
        <w:t>Definition of collective investments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Not relevant.</w:t>
            </w:r>
          </w:p>
          <w:p w:rsidR="00BD3B5F" w:rsidRPr="005C3B55" w:rsidRDefault="00BD3B5F">
            <w:pPr>
              <w:pStyle w:val="Telobesedila"/>
              <w:rPr>
                <w:szCs w:val="24"/>
              </w:rPr>
            </w:pPr>
          </w:p>
        </w:tc>
      </w:tr>
    </w:tbl>
    <w:p w:rsidR="00BD3B5F" w:rsidRPr="005C3B55" w:rsidRDefault="00BD3B5F">
      <w:pPr>
        <w:rPr>
          <w:szCs w:val="24"/>
        </w:rPr>
      </w:pPr>
      <w:r w:rsidRPr="005C3B55">
        <w:rPr>
          <w:szCs w:val="24"/>
        </w:rPr>
        <w:t>Definition of integrated projects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Not relevant.</w:t>
            </w:r>
          </w:p>
          <w:p w:rsidR="00BD3B5F" w:rsidRPr="005C3B55" w:rsidRDefault="00BD3B5F">
            <w:pPr>
              <w:pStyle w:val="Telobesedila"/>
              <w:rPr>
                <w:szCs w:val="24"/>
              </w:rPr>
            </w:pPr>
          </w:p>
        </w:tc>
      </w:tr>
    </w:tbl>
    <w:p w:rsidR="00BD3B5F" w:rsidRPr="005C3B55" w:rsidRDefault="00BD3B5F">
      <w:pPr>
        <w:rPr>
          <w:szCs w:val="24"/>
        </w:rPr>
      </w:pPr>
      <w:r w:rsidRPr="005C3B55">
        <w:rPr>
          <w:szCs w:val="24"/>
        </w:rPr>
        <w:t>Defining and determining the eligible areas of the Natura 2000 network and other eligible areas of high natural value</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In accordance with suitable consents and permits, the projects will also be implemented in these areas.</w:t>
            </w:r>
          </w:p>
          <w:p w:rsidR="00BD3B5F" w:rsidRPr="005C3B55" w:rsidRDefault="00BD3B5F">
            <w:pPr>
              <w:pStyle w:val="Telobesedila"/>
              <w:rPr>
                <w:szCs w:val="24"/>
              </w:rPr>
            </w:pPr>
          </w:p>
        </w:tc>
      </w:tr>
    </w:tbl>
    <w:p w:rsidR="00BD3B5F" w:rsidRPr="005C3B55" w:rsidRDefault="00BD3B5F">
      <w:pPr>
        <w:rPr>
          <w:szCs w:val="24"/>
        </w:rPr>
      </w:pPr>
      <w:r w:rsidRPr="005C3B55">
        <w:rPr>
          <w:szCs w:val="24"/>
        </w:rPr>
        <w:t>A description of the management of support for farms in accordance with a SWOT analysis implemented in relation to the priority task referred to in Article 5(2) of Regulation (EU) No 1305/2013</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Not relevant.</w:t>
            </w:r>
          </w:p>
          <w:p w:rsidR="00BD3B5F" w:rsidRPr="005C3B55" w:rsidRDefault="00BD3B5F">
            <w:pPr>
              <w:pStyle w:val="Telobesedila"/>
              <w:rPr>
                <w:szCs w:val="24"/>
              </w:rPr>
            </w:pPr>
          </w:p>
        </w:tc>
      </w:tr>
    </w:tbl>
    <w:p w:rsidR="00BD3B5F" w:rsidRPr="005C3B55" w:rsidRDefault="00BD3B5F">
      <w:pPr>
        <w:rPr>
          <w:szCs w:val="24"/>
        </w:rPr>
      </w:pPr>
      <w:r w:rsidRPr="005C3B55">
        <w:rPr>
          <w:szCs w:val="24"/>
        </w:rPr>
        <w:t>List of new requirements imposed by Union’s legislation to ensure compliance for which support may be granted in accordance with Article 17(6) Regulation (EU) No 1305/2013</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Not relevant.</w:t>
            </w:r>
          </w:p>
          <w:p w:rsidR="00BD3B5F" w:rsidRPr="005C3B55" w:rsidRDefault="00BD3B5F">
            <w:pPr>
              <w:pStyle w:val="Telobesedila"/>
              <w:rPr>
                <w:szCs w:val="24"/>
              </w:rPr>
            </w:pPr>
          </w:p>
        </w:tc>
      </w:tr>
    </w:tbl>
    <w:p w:rsidR="00BD3B5F" w:rsidRPr="005C3B55" w:rsidRDefault="00BD3B5F">
      <w:pPr>
        <w:rPr>
          <w:szCs w:val="24"/>
        </w:rPr>
      </w:pPr>
      <w:r w:rsidRPr="005C3B55">
        <w:rPr>
          <w:szCs w:val="24"/>
        </w:rPr>
        <w:t>If relevant, minimum standards for energy efficiency under Article 13(c) of Delegated Regulation (EU) No 807/2014</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The description is included in the entire M04 measure.</w:t>
            </w:r>
          </w:p>
          <w:p w:rsidR="00BD3B5F" w:rsidRPr="005C3B55" w:rsidRDefault="00BD3B5F">
            <w:pPr>
              <w:pStyle w:val="Telobesedila"/>
              <w:rPr>
                <w:szCs w:val="24"/>
              </w:rPr>
            </w:pPr>
          </w:p>
        </w:tc>
      </w:tr>
    </w:tbl>
    <w:p w:rsidR="00BD3B5F" w:rsidRPr="005C3B55" w:rsidRDefault="00BD3B5F">
      <w:pPr>
        <w:rPr>
          <w:szCs w:val="24"/>
        </w:rPr>
      </w:pPr>
      <w:r w:rsidRPr="005C3B55">
        <w:rPr>
          <w:szCs w:val="24"/>
        </w:rPr>
        <w:t>If relevant, establishing thresholds under Article 13(e) of Delegated Regulation (EU) No 807/2014</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Not relevant.</w:t>
            </w:r>
          </w:p>
          <w:p w:rsidR="00BD3B5F" w:rsidRPr="005C3B55" w:rsidRDefault="00BD3B5F">
            <w:pPr>
              <w:pStyle w:val="Telobesedila"/>
              <w:rPr>
                <w:szCs w:val="24"/>
              </w:rPr>
            </w:pPr>
          </w:p>
        </w:tc>
      </w:tr>
    </w:tbl>
    <w:p w:rsidR="00BD3B5F" w:rsidRPr="005C3B55" w:rsidRDefault="00BD3B5F">
      <w:pPr>
        <w:pStyle w:val="Naslov5"/>
        <w:tabs>
          <w:tab w:val="clear" w:pos="765"/>
        </w:tabs>
        <w:ind w:left="0" w:firstLine="0"/>
        <w:rPr>
          <w:b w:val="0"/>
          <w:szCs w:val="24"/>
          <w:lang w:val="en-GB"/>
        </w:rPr>
      </w:pPr>
      <w:r w:rsidRPr="005C3B55">
        <w:rPr>
          <w:b w:val="0"/>
          <w:szCs w:val="24"/>
          <w:lang w:val="en-GB"/>
        </w:rPr>
        <w:br w:type="page"/>
        <w:t xml:space="preserve">6. </w:t>
      </w:r>
      <w:r w:rsidRPr="005C3B55">
        <w:rPr>
          <w:b w:val="0"/>
          <w:noProof w:val="0"/>
          <w:szCs w:val="24"/>
          <w:lang w:val="en-GB"/>
        </w:rPr>
        <w:t>Arrangement of forest infrastructure</w:t>
      </w:r>
    </w:p>
    <w:p w:rsidR="00BD3B5F" w:rsidRPr="005C3B55" w:rsidRDefault="00BD3B5F">
      <w:pPr>
        <w:rPr>
          <w:szCs w:val="24"/>
        </w:rPr>
      </w:pPr>
      <w:r w:rsidRPr="005C3B55">
        <w:rPr>
          <w:szCs w:val="24"/>
        </w:rPr>
        <w:t xml:space="preserve">Sub-measure: </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rsidP="00BD3B5F">
            <w:pPr>
              <w:numPr>
                <w:ilvl w:val="0"/>
                <w:numId w:val="209"/>
              </w:numPr>
              <w:rPr>
                <w:szCs w:val="24"/>
              </w:rPr>
            </w:pPr>
            <w:r w:rsidRPr="005C3B55">
              <w:rPr>
                <w:szCs w:val="24"/>
              </w:rPr>
              <w:t>4.3 – Support for investments in infrastructure related to the development, modernisation or adaptation of agriculture and forestry</w:t>
            </w:r>
          </w:p>
        </w:tc>
      </w:tr>
    </w:tbl>
    <w:p w:rsidR="00BD3B5F" w:rsidRPr="005C3B55" w:rsidRDefault="00BD3B5F">
      <w:pPr>
        <w:pStyle w:val="Naslov6"/>
        <w:tabs>
          <w:tab w:val="clear" w:pos="765"/>
        </w:tabs>
        <w:ind w:left="0" w:firstLine="0"/>
        <w:rPr>
          <w:szCs w:val="24"/>
          <w:lang w:val="en-GB"/>
        </w:rPr>
      </w:pPr>
      <w:r w:rsidRPr="005C3B55">
        <w:rPr>
          <w:noProof w:val="0"/>
          <w:szCs w:val="24"/>
          <w:lang w:val="en-GB"/>
        </w:rPr>
        <w:t>Description of type of operation</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The subject of support is investment in the construction and reconstruction of forest roads, and the construction, reconstruction and preparation of skid trails.</w:t>
            </w:r>
          </w:p>
          <w:p w:rsidR="00BD3B5F" w:rsidRPr="005C3B55" w:rsidRDefault="00BD3B5F">
            <w:pPr>
              <w:spacing w:before="240" w:after="240"/>
              <w:jc w:val="left"/>
              <w:rPr>
                <w:noProof/>
                <w:szCs w:val="24"/>
              </w:rPr>
            </w:pPr>
            <w:r w:rsidRPr="005C3B55">
              <w:rPr>
                <w:szCs w:val="24"/>
              </w:rPr>
              <w:t>Forest routes include forest roads and skid trails.</w:t>
            </w:r>
            <w:r w:rsidRPr="005C3B55">
              <w:rPr>
                <w:noProof/>
                <w:szCs w:val="24"/>
              </w:rPr>
              <w:t xml:space="preserve"> </w:t>
            </w:r>
            <w:r w:rsidRPr="005C3B55">
              <w:rPr>
                <w:szCs w:val="24"/>
              </w:rPr>
              <w:t>On the basis of Article 38 of the Forest Act (Official Gazette of the Republic of Slovenia, no. 30/93 with all amendments), forest roads are forest routes intended particularly for forest management and are a composite part of a forest or other land through which they run and enable the rational transport of forest wood ranges. These roads are not categorised according to regulations governing public roads and are of a public character.</w:t>
            </w:r>
            <w:r w:rsidRPr="005C3B55">
              <w:rPr>
                <w:noProof/>
                <w:szCs w:val="24"/>
              </w:rPr>
              <w:t xml:space="preserve"> </w:t>
            </w:r>
            <w:r w:rsidRPr="005C3B55">
              <w:rPr>
                <w:szCs w:val="24"/>
              </w:rPr>
              <w:t>Skid trails are unconsolidated forest routes with a maximum of 3.5 m in width and are exclusively intended for skidding with skidding equipment.</w:t>
            </w:r>
            <w:r w:rsidRPr="005C3B55">
              <w:rPr>
                <w:noProof/>
                <w:szCs w:val="24"/>
              </w:rPr>
              <w:t xml:space="preserve"> </w:t>
            </w:r>
            <w:r w:rsidRPr="005C3B55">
              <w:rPr>
                <w:szCs w:val="24"/>
              </w:rPr>
              <w:t>Forest routes are not a constituent part of public roads.</w:t>
            </w:r>
          </w:p>
          <w:p w:rsidR="00BD3B5F" w:rsidRPr="005C3B55" w:rsidRDefault="00BD3B5F">
            <w:pPr>
              <w:spacing w:before="240" w:after="240"/>
              <w:jc w:val="left"/>
              <w:rPr>
                <w:noProof/>
                <w:szCs w:val="24"/>
              </w:rPr>
            </w:pPr>
            <w:r w:rsidRPr="005C3B55">
              <w:rPr>
                <w:szCs w:val="24"/>
              </w:rPr>
              <w:t>The optimal openness of forests with forest roads is determined with the National Forest Programme and amounts to 27.6 m/ha.</w:t>
            </w:r>
            <w:r w:rsidRPr="005C3B55">
              <w:rPr>
                <w:noProof/>
                <w:szCs w:val="24"/>
              </w:rPr>
              <w:t xml:space="preserve"> </w:t>
            </w:r>
            <w:r w:rsidRPr="005C3B55">
              <w:rPr>
                <w:szCs w:val="24"/>
              </w:rPr>
              <w:t>The actual openness of forests with forest roads, which amounts to 10.5 m/ha, was established with forest management plans adopted by the Government of the Republic of Slovenia in 2011 and in force for the 2011-2020 period.</w:t>
            </w:r>
            <w:r w:rsidRPr="005C3B55">
              <w:rPr>
                <w:noProof/>
                <w:szCs w:val="24"/>
              </w:rPr>
              <w:t xml:space="preserve"> </w:t>
            </w:r>
            <w:r w:rsidRPr="005C3B55">
              <w:rPr>
                <w:szCs w:val="24"/>
              </w:rPr>
              <w:t>No individual area has yet reached the optimal openness determined for Slovenia.</w:t>
            </w:r>
          </w:p>
          <w:p w:rsidR="00BD3B5F" w:rsidRPr="005C3B55" w:rsidRDefault="00BD3B5F">
            <w:pPr>
              <w:spacing w:before="240" w:after="240"/>
              <w:jc w:val="left"/>
              <w:rPr>
                <w:noProof/>
                <w:szCs w:val="24"/>
              </w:rPr>
            </w:pPr>
            <w:r w:rsidRPr="005C3B55">
              <w:rPr>
                <w:szCs w:val="24"/>
              </w:rPr>
              <w:t>It is determined in forest management plans that 2.750 km of forest roads need to be constructed in order to achieve the long-term management objectives.</w:t>
            </w:r>
            <w:r w:rsidRPr="005C3B55">
              <w:rPr>
                <w:noProof/>
                <w:szCs w:val="24"/>
              </w:rPr>
              <w:t xml:space="preserve"> </w:t>
            </w:r>
            <w:r w:rsidRPr="005C3B55">
              <w:rPr>
                <w:szCs w:val="24"/>
              </w:rPr>
              <w:t>In order to implement the forest management measures on the basis of the forest management plans that are in force for the 2011-2020 period, a total of 760 km of forest roads need to be constructed.</w:t>
            </w:r>
            <w:r w:rsidRPr="005C3B55">
              <w:rPr>
                <w:noProof/>
                <w:szCs w:val="24"/>
              </w:rPr>
              <w:t xml:space="preserve"> </w:t>
            </w:r>
            <w:r w:rsidRPr="005C3B55">
              <w:rPr>
                <w:szCs w:val="24"/>
              </w:rPr>
              <w:t>It has been estimated that up to 190 km of forest roads could be constructed on the basis of the envisaged funds, which is more than a quarter of the necessary amount.</w:t>
            </w:r>
            <w:r w:rsidRPr="005C3B55">
              <w:rPr>
                <w:noProof/>
                <w:szCs w:val="24"/>
              </w:rPr>
              <w:t xml:space="preserve"> </w:t>
            </w:r>
            <w:r w:rsidRPr="005C3B55">
              <w:rPr>
                <w:szCs w:val="24"/>
              </w:rPr>
              <w:t>The construction will be implemented only in forests in private ownership.</w:t>
            </w:r>
          </w:p>
          <w:p w:rsidR="00BD3B5F" w:rsidRPr="005C3B55" w:rsidRDefault="00BD3B5F">
            <w:pPr>
              <w:spacing w:before="240" w:after="240"/>
              <w:jc w:val="left"/>
              <w:rPr>
                <w:noProof/>
                <w:szCs w:val="24"/>
              </w:rPr>
            </w:pPr>
            <w:r w:rsidRPr="005C3B55">
              <w:rPr>
                <w:szCs w:val="24"/>
              </w:rPr>
              <w:t>According to estimates from the Forest Service, there are currently 110,000 km of skid trails in Slovenia, which is a density of 93 m/ha.</w:t>
            </w:r>
            <w:r w:rsidRPr="005C3B55">
              <w:rPr>
                <w:noProof/>
                <w:szCs w:val="24"/>
              </w:rPr>
              <w:t xml:space="preserve"> </w:t>
            </w:r>
            <w:r w:rsidRPr="005C3B55">
              <w:rPr>
                <w:szCs w:val="24"/>
              </w:rPr>
              <w:t>Scientific bases for optimal density have been defined in the Rules on forest traffic routes, which define the following optimal densities of skid trails for different types of terrain - 180 m/ha for karst, 150 m/ha for hilly terrain and 130 m/ha for the Alpine region.</w:t>
            </w:r>
            <w:r w:rsidRPr="005C3B55">
              <w:rPr>
                <w:noProof/>
                <w:szCs w:val="24"/>
              </w:rPr>
              <w:t xml:space="preserve"> </w:t>
            </w:r>
            <w:r w:rsidRPr="005C3B55">
              <w:rPr>
                <w:szCs w:val="24"/>
              </w:rPr>
              <w:t>On the basis of this input, the average target optimal density for Slovenia has been set at 154 m/ha.</w:t>
            </w:r>
          </w:p>
          <w:p w:rsidR="00BD3B5F" w:rsidRPr="005C3B55" w:rsidRDefault="00BD3B5F">
            <w:pPr>
              <w:spacing w:before="240" w:after="240"/>
              <w:jc w:val="left"/>
              <w:rPr>
                <w:noProof/>
                <w:szCs w:val="24"/>
              </w:rPr>
            </w:pPr>
            <w:r w:rsidRPr="005C3B55">
              <w:rPr>
                <w:szCs w:val="24"/>
              </w:rPr>
              <w:t>Forest management plans envisage the construction of 3,700 km of skid trails, which would increase the average density by 3.1 m/ha to 96 m/ha, which is still well below the target optimal density.</w:t>
            </w:r>
            <w:r w:rsidRPr="005C3B55">
              <w:rPr>
                <w:noProof/>
                <w:szCs w:val="24"/>
              </w:rPr>
              <w:t xml:space="preserve"> </w:t>
            </w:r>
            <w:r w:rsidRPr="005C3B55">
              <w:rPr>
                <w:szCs w:val="24"/>
              </w:rPr>
              <w:t>It has been estimated that it will be possible to construct a maximum of 880 km of skid trails on the basis of the envisaged funds, which is 24% of total quantity planned in the forest management plans.</w:t>
            </w:r>
          </w:p>
          <w:p w:rsidR="00BD3B5F" w:rsidRPr="005C3B55" w:rsidRDefault="00BD3B5F">
            <w:pPr>
              <w:pStyle w:val="Telobesedila"/>
              <w:rPr>
                <w:szCs w:val="24"/>
              </w:rPr>
            </w:pPr>
          </w:p>
        </w:tc>
      </w:tr>
    </w:tbl>
    <w:p w:rsidR="00BD3B5F" w:rsidRPr="005C3B55" w:rsidRDefault="00BD3B5F">
      <w:pPr>
        <w:pStyle w:val="Naslov6"/>
        <w:tabs>
          <w:tab w:val="clear" w:pos="765"/>
        </w:tabs>
        <w:ind w:left="0" w:firstLine="0"/>
        <w:rPr>
          <w:szCs w:val="24"/>
          <w:lang w:val="en-GB"/>
        </w:rPr>
      </w:pPr>
      <w:r w:rsidRPr="005C3B55">
        <w:rPr>
          <w:noProof w:val="0"/>
          <w:szCs w:val="24"/>
          <w:lang w:val="en-GB"/>
        </w:rPr>
        <w:t>Type of support</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Support is granted in the form of non-refundable financial aid.</w:t>
            </w:r>
          </w:p>
          <w:p w:rsidR="00BD3B5F" w:rsidRPr="005C3B55" w:rsidRDefault="00BD3B5F">
            <w:pPr>
              <w:spacing w:before="240" w:after="240"/>
              <w:jc w:val="left"/>
              <w:rPr>
                <w:noProof/>
                <w:szCs w:val="24"/>
              </w:rPr>
            </w:pPr>
            <w:r w:rsidRPr="005C3B55">
              <w:rPr>
                <w:noProof/>
                <w:szCs w:val="24"/>
              </w:rPr>
              <w:t> </w:t>
            </w:r>
          </w:p>
          <w:p w:rsidR="00BD3B5F" w:rsidRPr="005C3B55" w:rsidRDefault="00BD3B5F">
            <w:pPr>
              <w:pStyle w:val="Telobesedila"/>
              <w:rPr>
                <w:szCs w:val="24"/>
              </w:rPr>
            </w:pPr>
          </w:p>
        </w:tc>
      </w:tr>
    </w:tbl>
    <w:p w:rsidR="00BD3B5F" w:rsidRPr="005C3B55" w:rsidRDefault="00BD3B5F">
      <w:pPr>
        <w:pStyle w:val="Naslov6"/>
        <w:tabs>
          <w:tab w:val="clear" w:pos="765"/>
        </w:tabs>
        <w:ind w:left="0" w:firstLine="0"/>
        <w:rPr>
          <w:szCs w:val="24"/>
          <w:lang w:val="en-GB"/>
        </w:rPr>
      </w:pPr>
      <w:r w:rsidRPr="005C3B55">
        <w:rPr>
          <w:noProof w:val="0"/>
          <w:szCs w:val="24"/>
          <w:lang w:val="en-GB"/>
        </w:rPr>
        <w:t>Connection with other legislation</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rsidP="00BD3B5F">
            <w:pPr>
              <w:numPr>
                <w:ilvl w:val="0"/>
                <w:numId w:val="210"/>
              </w:numPr>
              <w:spacing w:before="0" w:after="0"/>
              <w:ind w:hanging="290"/>
              <w:jc w:val="left"/>
              <w:rPr>
                <w:noProof/>
                <w:szCs w:val="24"/>
              </w:rPr>
            </w:pPr>
            <w:r w:rsidRPr="005C3B55">
              <w:rPr>
                <w:szCs w:val="24"/>
              </w:rPr>
              <w:t>Agriculture Act (Official Gazette of the Republic of Slovenia, no. 45/2008 with all amendments);</w:t>
            </w:r>
          </w:p>
          <w:p w:rsidR="00BD3B5F" w:rsidRPr="005C3B55" w:rsidRDefault="00BD3B5F" w:rsidP="00BD3B5F">
            <w:pPr>
              <w:numPr>
                <w:ilvl w:val="0"/>
                <w:numId w:val="210"/>
              </w:numPr>
              <w:spacing w:before="0" w:after="0"/>
              <w:ind w:hanging="290"/>
              <w:jc w:val="left"/>
              <w:rPr>
                <w:noProof/>
                <w:szCs w:val="24"/>
              </w:rPr>
            </w:pPr>
            <w:r w:rsidRPr="005C3B55">
              <w:rPr>
                <w:szCs w:val="24"/>
              </w:rPr>
              <w:t>Forest Act (Official Gazette of the Republic of Slovenia, no. 30/93 with all amendments);</w:t>
            </w:r>
          </w:p>
          <w:p w:rsidR="00BD3B5F" w:rsidRPr="005C3B55" w:rsidRDefault="00BD3B5F" w:rsidP="00BD3B5F">
            <w:pPr>
              <w:numPr>
                <w:ilvl w:val="0"/>
                <w:numId w:val="210"/>
              </w:numPr>
              <w:spacing w:before="0" w:after="0"/>
              <w:ind w:hanging="290"/>
              <w:jc w:val="left"/>
              <w:rPr>
                <w:noProof/>
                <w:szCs w:val="24"/>
              </w:rPr>
            </w:pPr>
            <w:r w:rsidRPr="005C3B55">
              <w:rPr>
                <w:szCs w:val="24"/>
              </w:rPr>
              <w:t>Nature Conservation Act (Official Gazette of the Republic of Slovenia, no. 96/04 – official consolidated text with all amendments);</w:t>
            </w:r>
          </w:p>
          <w:p w:rsidR="00BD3B5F" w:rsidRPr="005C3B55" w:rsidRDefault="00BD3B5F" w:rsidP="00BD3B5F">
            <w:pPr>
              <w:numPr>
                <w:ilvl w:val="0"/>
                <w:numId w:val="210"/>
              </w:numPr>
              <w:spacing w:before="0" w:after="0"/>
              <w:ind w:hanging="290"/>
              <w:jc w:val="left"/>
              <w:rPr>
                <w:noProof/>
                <w:szCs w:val="24"/>
              </w:rPr>
            </w:pPr>
            <w:r w:rsidRPr="005C3B55">
              <w:rPr>
                <w:szCs w:val="24"/>
              </w:rPr>
              <w:t>national regulation which regulates the implementation of this sub-measure;</w:t>
            </w:r>
          </w:p>
          <w:p w:rsidR="00BD3B5F" w:rsidRPr="005C3B55" w:rsidRDefault="00BD3B5F" w:rsidP="00BD3B5F">
            <w:pPr>
              <w:numPr>
                <w:ilvl w:val="0"/>
                <w:numId w:val="210"/>
              </w:numPr>
              <w:spacing w:before="0" w:after="0"/>
              <w:ind w:hanging="290"/>
              <w:jc w:val="left"/>
              <w:rPr>
                <w:noProof/>
                <w:szCs w:val="24"/>
              </w:rPr>
            </w:pPr>
            <w:r w:rsidRPr="005C3B55">
              <w:rPr>
                <w:szCs w:val="24"/>
              </w:rPr>
              <w:t>Rules on forest traffic routes (Official Gazette of the Republic of Slovenia, no. 4/09);</w:t>
            </w:r>
          </w:p>
          <w:p w:rsidR="00BD3B5F" w:rsidRPr="005C3B55" w:rsidRDefault="00BD3B5F" w:rsidP="00BD3B5F">
            <w:pPr>
              <w:numPr>
                <w:ilvl w:val="0"/>
                <w:numId w:val="210"/>
              </w:numPr>
              <w:spacing w:before="0" w:after="0"/>
              <w:ind w:hanging="290"/>
              <w:jc w:val="left"/>
              <w:rPr>
                <w:noProof/>
                <w:szCs w:val="24"/>
              </w:rPr>
            </w:pPr>
            <w:r w:rsidRPr="005C3B55">
              <w:rPr>
                <w:noProof/>
                <w:szCs w:val="24"/>
              </w:rPr>
              <w:t xml:space="preserve"> </w:t>
            </w:r>
            <w:r w:rsidRPr="005C3B55">
              <w:rPr>
                <w:szCs w:val="24"/>
              </w:rPr>
              <w:t>Articles 65 and 69 of Regulation (EU) No 1303/2013, and</w:t>
            </w:r>
          </w:p>
          <w:p w:rsidR="00BD3B5F" w:rsidRPr="005C3B55" w:rsidRDefault="00BD3B5F" w:rsidP="00BD3B5F">
            <w:pPr>
              <w:numPr>
                <w:ilvl w:val="0"/>
                <w:numId w:val="210"/>
              </w:numPr>
              <w:spacing w:before="0" w:after="240"/>
              <w:ind w:hanging="290"/>
              <w:jc w:val="left"/>
              <w:rPr>
                <w:noProof/>
                <w:szCs w:val="24"/>
              </w:rPr>
            </w:pPr>
            <w:r w:rsidRPr="005C3B55">
              <w:rPr>
                <w:szCs w:val="24"/>
              </w:rPr>
              <w:t>other EU and national legislation which regulates the implementation of this operation.</w:t>
            </w:r>
          </w:p>
          <w:p w:rsidR="00BD3B5F" w:rsidRPr="005C3B55" w:rsidRDefault="00BD3B5F">
            <w:pPr>
              <w:pStyle w:val="Telobesedila"/>
              <w:rPr>
                <w:szCs w:val="24"/>
              </w:rPr>
            </w:pPr>
          </w:p>
        </w:tc>
      </w:tr>
    </w:tbl>
    <w:p w:rsidR="00BD3B5F" w:rsidRPr="005C3B55" w:rsidRDefault="00BD3B5F">
      <w:pPr>
        <w:pStyle w:val="Naslov6"/>
        <w:tabs>
          <w:tab w:val="clear" w:pos="765"/>
        </w:tabs>
        <w:ind w:left="0" w:firstLine="0"/>
        <w:rPr>
          <w:szCs w:val="24"/>
          <w:lang w:val="en-GB"/>
        </w:rPr>
      </w:pPr>
      <w:r w:rsidRPr="005C3B55">
        <w:rPr>
          <w:noProof w:val="0"/>
          <w:szCs w:val="24"/>
          <w:lang w:val="en-GB"/>
        </w:rPr>
        <w:t>Beneficiaries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The beneficiaries eligible for support are owners, co-owners of private forests and their associations, agricultural and pasture communities, and other natural and legal persons authorised to implement investments.</w:t>
            </w:r>
          </w:p>
          <w:p w:rsidR="00BD3B5F" w:rsidRPr="005C3B55" w:rsidRDefault="00BD3B5F">
            <w:pPr>
              <w:pStyle w:val="Telobesedila"/>
              <w:rPr>
                <w:szCs w:val="24"/>
              </w:rPr>
            </w:pPr>
          </w:p>
        </w:tc>
      </w:tr>
    </w:tbl>
    <w:p w:rsidR="00BD3B5F" w:rsidRPr="005C3B55" w:rsidRDefault="00BD3B5F">
      <w:pPr>
        <w:pStyle w:val="Naslov6"/>
        <w:tabs>
          <w:tab w:val="clear" w:pos="765"/>
        </w:tabs>
        <w:ind w:left="0" w:firstLine="0"/>
        <w:rPr>
          <w:szCs w:val="24"/>
          <w:lang w:val="en-GB"/>
        </w:rPr>
      </w:pPr>
      <w:r w:rsidRPr="005C3B55">
        <w:rPr>
          <w:noProof w:val="0"/>
          <w:szCs w:val="24"/>
          <w:lang w:val="en-GB"/>
        </w:rPr>
        <w:t>Eligible costs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Eligible costs are as follows:</w:t>
            </w:r>
          </w:p>
          <w:p w:rsidR="00BD3B5F" w:rsidRPr="005C3B55" w:rsidRDefault="00BD3B5F">
            <w:pPr>
              <w:spacing w:before="240" w:after="240"/>
              <w:jc w:val="left"/>
              <w:rPr>
                <w:noProof/>
                <w:szCs w:val="24"/>
              </w:rPr>
            </w:pPr>
            <w:r w:rsidRPr="005C3B55">
              <w:rPr>
                <w:noProof/>
                <w:szCs w:val="24"/>
              </w:rPr>
              <w:t xml:space="preserve">1. </w:t>
            </w:r>
            <w:r w:rsidRPr="005C3B55">
              <w:rPr>
                <w:szCs w:val="24"/>
              </w:rPr>
              <w:t>costs of constructing or reconstructing forest roads, purchasing pertaining equipment;</w:t>
            </w:r>
          </w:p>
          <w:p w:rsidR="00BD3B5F" w:rsidRPr="005C3B55" w:rsidRDefault="00BD3B5F">
            <w:pPr>
              <w:spacing w:before="240" w:after="240"/>
              <w:jc w:val="left"/>
              <w:rPr>
                <w:noProof/>
                <w:szCs w:val="24"/>
              </w:rPr>
            </w:pPr>
            <w:r w:rsidRPr="005C3B55">
              <w:rPr>
                <w:noProof/>
                <w:szCs w:val="24"/>
              </w:rPr>
              <w:t xml:space="preserve">2. </w:t>
            </w:r>
            <w:r w:rsidRPr="005C3B55">
              <w:rPr>
                <w:szCs w:val="24"/>
              </w:rPr>
              <w:t>costs of constructing, reconstructing or preparing skid trails and pertaining equipment;</w:t>
            </w:r>
          </w:p>
          <w:p w:rsidR="00BD3B5F" w:rsidRPr="005C3B55" w:rsidRDefault="00BD3B5F">
            <w:pPr>
              <w:spacing w:before="240" w:after="240"/>
              <w:jc w:val="left"/>
              <w:rPr>
                <w:noProof/>
                <w:szCs w:val="24"/>
              </w:rPr>
            </w:pPr>
            <w:r w:rsidRPr="005C3B55">
              <w:rPr>
                <w:noProof/>
                <w:szCs w:val="24"/>
              </w:rPr>
              <w:t xml:space="preserve">3. </w:t>
            </w:r>
            <w:r w:rsidRPr="005C3B55">
              <w:rPr>
                <w:szCs w:val="24"/>
              </w:rPr>
              <w:t>in-kind contribution by the beneficiary pursuant to Article 69 of Regulation (EU) No 1303/2013 as the beneficiary’s own work independently assessed by the Slovenia Forest Service;</w:t>
            </w:r>
          </w:p>
          <w:p w:rsidR="00BD3B5F" w:rsidRPr="005C3B55" w:rsidRDefault="00BD3B5F">
            <w:pPr>
              <w:spacing w:before="240" w:after="240"/>
              <w:jc w:val="left"/>
              <w:rPr>
                <w:noProof/>
                <w:szCs w:val="24"/>
              </w:rPr>
            </w:pPr>
            <w:r w:rsidRPr="005C3B55">
              <w:rPr>
                <w:noProof/>
                <w:szCs w:val="24"/>
              </w:rPr>
              <w:t xml:space="preserve">4. </w:t>
            </w:r>
            <w:r w:rsidRPr="005C3B55">
              <w:rPr>
                <w:szCs w:val="24"/>
              </w:rPr>
              <w:t>general costs related to the expenses referred to in the preceding paragraphs which are not directly related to the preparation or implementation of the investment, particularly payments for architect, engineer and adviser services, costs of obtaining construction, project and technical documentation, payments relating to the acquisition of the environmental impact assessment and costs of supervising the implementation of construction works.</w:t>
            </w:r>
          </w:p>
          <w:p w:rsidR="00BD3B5F" w:rsidRPr="005C3B55" w:rsidRDefault="00BD3B5F">
            <w:pPr>
              <w:spacing w:before="240" w:after="240"/>
              <w:jc w:val="left"/>
              <w:rPr>
                <w:noProof/>
                <w:szCs w:val="24"/>
              </w:rPr>
            </w:pPr>
            <w:r w:rsidRPr="005C3B55">
              <w:rPr>
                <w:szCs w:val="24"/>
              </w:rPr>
              <w:t>Cost eligibility is defined in more detail in the provisions of Article 45 of Regulation (EU) No 1305/2013 and Article 69 of Regulation (EU) No 1303/2013.</w:t>
            </w:r>
          </w:p>
          <w:p w:rsidR="00BD3B5F" w:rsidRPr="005C3B55" w:rsidRDefault="00BD3B5F">
            <w:pPr>
              <w:spacing w:before="240" w:after="240"/>
              <w:jc w:val="left"/>
              <w:rPr>
                <w:noProof/>
                <w:szCs w:val="24"/>
              </w:rPr>
            </w:pPr>
            <w:r w:rsidRPr="005C3B55">
              <w:rPr>
                <w:szCs w:val="24"/>
              </w:rPr>
              <w:t>When the in-kind contribution in the form of own work and material of the beneficiary is observed, the following conditions have to be met:</w:t>
            </w:r>
          </w:p>
          <w:p w:rsidR="00BD3B5F" w:rsidRPr="005C3B55" w:rsidRDefault="00BD3B5F" w:rsidP="00BD3B5F">
            <w:pPr>
              <w:numPr>
                <w:ilvl w:val="0"/>
                <w:numId w:val="211"/>
              </w:numPr>
              <w:spacing w:before="240" w:after="0"/>
              <w:ind w:hanging="290"/>
              <w:jc w:val="left"/>
              <w:rPr>
                <w:noProof/>
                <w:szCs w:val="24"/>
              </w:rPr>
            </w:pPr>
            <w:r w:rsidRPr="005C3B55">
              <w:rPr>
                <w:szCs w:val="24"/>
              </w:rPr>
              <w:t>public support paid for the operation which includes in-kind contributions does not exceed total eligible expenditure without in-kind contributions at the end of the operation;</w:t>
            </w:r>
          </w:p>
          <w:p w:rsidR="00BD3B5F" w:rsidRPr="005C3B55" w:rsidRDefault="00BD3B5F" w:rsidP="00BD3B5F">
            <w:pPr>
              <w:numPr>
                <w:ilvl w:val="0"/>
                <w:numId w:val="211"/>
              </w:numPr>
              <w:spacing w:before="0" w:after="0"/>
              <w:ind w:hanging="290"/>
              <w:jc w:val="left"/>
              <w:rPr>
                <w:noProof/>
                <w:szCs w:val="24"/>
              </w:rPr>
            </w:pPr>
            <w:r w:rsidRPr="005C3B55">
              <w:rPr>
                <w:szCs w:val="24"/>
              </w:rPr>
              <w:t>value attributed to in-kind contributions does not exceed generally recognised values thereof in the relevant market;</w:t>
            </w:r>
          </w:p>
          <w:p w:rsidR="00BD3B5F" w:rsidRPr="005C3B55" w:rsidRDefault="00BD3B5F" w:rsidP="00BD3B5F">
            <w:pPr>
              <w:numPr>
                <w:ilvl w:val="0"/>
                <w:numId w:val="211"/>
              </w:numPr>
              <w:spacing w:before="0" w:after="0"/>
              <w:ind w:hanging="290"/>
              <w:jc w:val="left"/>
              <w:rPr>
                <w:noProof/>
                <w:szCs w:val="24"/>
              </w:rPr>
            </w:pPr>
            <w:r w:rsidRPr="005C3B55">
              <w:rPr>
                <w:szCs w:val="24"/>
              </w:rPr>
              <w:t>the value of the contribution and its allocation may be assessed and verified independently;</w:t>
            </w:r>
          </w:p>
          <w:p w:rsidR="00BD3B5F" w:rsidRPr="005C3B55" w:rsidRDefault="00BD3B5F" w:rsidP="00BD3B5F">
            <w:pPr>
              <w:numPr>
                <w:ilvl w:val="0"/>
                <w:numId w:val="211"/>
              </w:numPr>
              <w:spacing w:before="0" w:after="240"/>
              <w:ind w:hanging="290"/>
              <w:jc w:val="left"/>
              <w:rPr>
                <w:noProof/>
                <w:szCs w:val="24"/>
              </w:rPr>
            </w:pPr>
            <w:r w:rsidRPr="005C3B55">
              <w:rPr>
                <w:szCs w:val="24"/>
              </w:rPr>
              <w:t>the value of unpaid work is determined while considering the time used and the level of compensation for work of equal value.</w:t>
            </w:r>
          </w:p>
          <w:p w:rsidR="00BD3B5F" w:rsidRPr="005C3B55" w:rsidRDefault="00BD3B5F">
            <w:pPr>
              <w:spacing w:before="240" w:after="240"/>
              <w:jc w:val="left"/>
              <w:rPr>
                <w:noProof/>
                <w:szCs w:val="24"/>
              </w:rPr>
            </w:pPr>
            <w:r w:rsidRPr="005C3B55">
              <w:rPr>
                <w:szCs w:val="24"/>
              </w:rPr>
              <w:t>The determination of the amount of eligible costs will take into account the upper limits of individual eligible costs, which will be determined in the Catalogue of the highest values of costs.</w:t>
            </w:r>
            <w:r w:rsidRPr="005C3B55">
              <w:rPr>
                <w:noProof/>
                <w:szCs w:val="24"/>
              </w:rPr>
              <w:t xml:space="preserve"> </w:t>
            </w:r>
            <w:r w:rsidRPr="005C3B55">
              <w:rPr>
                <w:szCs w:val="24"/>
              </w:rPr>
              <w:t>Regardless of this, the beneficiary will have to enclose one bid with the application.</w:t>
            </w:r>
            <w:r w:rsidRPr="005C3B55">
              <w:rPr>
                <w:noProof/>
                <w:szCs w:val="24"/>
              </w:rPr>
              <w:t xml:space="preserve"> </w:t>
            </w:r>
            <w:r w:rsidRPr="005C3B55">
              <w:rPr>
                <w:szCs w:val="24"/>
              </w:rPr>
              <w:t>In the case of values not determined in the Catalogue of the highest values of costs, the beneficiary must enclose three bids.</w:t>
            </w:r>
          </w:p>
          <w:p w:rsidR="00BD3B5F" w:rsidRPr="005C3B55" w:rsidRDefault="00BD3B5F">
            <w:pPr>
              <w:spacing w:before="240" w:after="240"/>
              <w:jc w:val="left"/>
              <w:rPr>
                <w:noProof/>
                <w:szCs w:val="24"/>
              </w:rPr>
            </w:pPr>
            <w:r w:rsidRPr="005C3B55">
              <w:rPr>
                <w:szCs w:val="24"/>
              </w:rPr>
              <w:t>The following costs are not entitled to support:</w:t>
            </w:r>
          </w:p>
          <w:p w:rsidR="00BD3B5F" w:rsidRPr="005C3B55" w:rsidRDefault="00BD3B5F" w:rsidP="00BD3B5F">
            <w:pPr>
              <w:numPr>
                <w:ilvl w:val="0"/>
                <w:numId w:val="212"/>
              </w:numPr>
              <w:spacing w:before="240" w:after="0"/>
              <w:ind w:hanging="290"/>
              <w:jc w:val="left"/>
              <w:rPr>
                <w:noProof/>
                <w:szCs w:val="24"/>
              </w:rPr>
            </w:pPr>
            <w:r w:rsidRPr="005C3B55">
              <w:rPr>
                <w:szCs w:val="24"/>
              </w:rPr>
              <w:t>interest on debts,</w:t>
            </w:r>
          </w:p>
          <w:p w:rsidR="00BD3B5F" w:rsidRPr="005C3B55" w:rsidRDefault="00BD3B5F" w:rsidP="00BD3B5F">
            <w:pPr>
              <w:numPr>
                <w:ilvl w:val="0"/>
                <w:numId w:val="212"/>
              </w:numPr>
              <w:spacing w:before="0" w:after="0"/>
              <w:ind w:hanging="290"/>
              <w:jc w:val="left"/>
              <w:rPr>
                <w:noProof/>
                <w:szCs w:val="24"/>
              </w:rPr>
            </w:pPr>
            <w:r w:rsidRPr="005C3B55">
              <w:rPr>
                <w:szCs w:val="24"/>
              </w:rPr>
              <w:t>value added tax (VAT), unless it is recoverable on the basis of the national legislation on VAT,</w:t>
            </w:r>
          </w:p>
          <w:p w:rsidR="00BD3B5F" w:rsidRPr="005C3B55" w:rsidRDefault="00BD3B5F" w:rsidP="00BD3B5F">
            <w:pPr>
              <w:numPr>
                <w:ilvl w:val="0"/>
                <w:numId w:val="212"/>
              </w:numPr>
              <w:spacing w:before="0" w:after="0"/>
              <w:ind w:hanging="290"/>
              <w:jc w:val="left"/>
              <w:rPr>
                <w:noProof/>
                <w:szCs w:val="24"/>
              </w:rPr>
            </w:pPr>
            <w:r w:rsidRPr="005C3B55">
              <w:rPr>
                <w:szCs w:val="24"/>
              </w:rPr>
              <w:t>cost of preparing the application for the public procurement and request for payment,</w:t>
            </w:r>
          </w:p>
          <w:p w:rsidR="00BD3B5F" w:rsidRPr="005C3B55" w:rsidRDefault="00BD3B5F" w:rsidP="00BD3B5F">
            <w:pPr>
              <w:numPr>
                <w:ilvl w:val="0"/>
                <w:numId w:val="212"/>
              </w:numPr>
              <w:spacing w:before="0" w:after="0"/>
              <w:ind w:hanging="290"/>
              <w:jc w:val="left"/>
              <w:rPr>
                <w:noProof/>
                <w:szCs w:val="24"/>
              </w:rPr>
            </w:pPr>
            <w:r w:rsidRPr="005C3B55">
              <w:rPr>
                <w:szCs w:val="24"/>
              </w:rPr>
              <w:t>costs of archaeological works and archaeological supervision,</w:t>
            </w:r>
          </w:p>
          <w:p w:rsidR="00BD3B5F" w:rsidRPr="005C3B55" w:rsidRDefault="00BD3B5F" w:rsidP="00BD3B5F">
            <w:pPr>
              <w:numPr>
                <w:ilvl w:val="0"/>
                <w:numId w:val="212"/>
              </w:numPr>
              <w:spacing w:before="0" w:after="0"/>
              <w:ind w:hanging="290"/>
              <w:jc w:val="left"/>
              <w:rPr>
                <w:noProof/>
                <w:szCs w:val="24"/>
              </w:rPr>
            </w:pPr>
            <w:r w:rsidRPr="005C3B55">
              <w:rPr>
                <w:szCs w:val="24"/>
              </w:rPr>
              <w:t>purchase of land, and</w:t>
            </w:r>
          </w:p>
          <w:p w:rsidR="00BD3B5F" w:rsidRPr="005C3B55" w:rsidRDefault="00BD3B5F" w:rsidP="00BD3B5F">
            <w:pPr>
              <w:numPr>
                <w:ilvl w:val="0"/>
                <w:numId w:val="212"/>
              </w:numPr>
              <w:spacing w:before="0" w:after="240"/>
              <w:ind w:hanging="290"/>
              <w:jc w:val="left"/>
              <w:rPr>
                <w:noProof/>
                <w:szCs w:val="24"/>
              </w:rPr>
            </w:pPr>
            <w:r w:rsidRPr="005C3B55">
              <w:rPr>
                <w:szCs w:val="24"/>
              </w:rPr>
              <w:t>purchase of used equipment.</w:t>
            </w:r>
          </w:p>
          <w:p w:rsidR="00BD3B5F" w:rsidRPr="005C3B55" w:rsidRDefault="00BD3B5F">
            <w:pPr>
              <w:spacing w:before="240" w:after="240"/>
              <w:jc w:val="left"/>
              <w:rPr>
                <w:noProof/>
                <w:szCs w:val="24"/>
              </w:rPr>
            </w:pPr>
            <w:r w:rsidRPr="005C3B55">
              <w:rPr>
                <w:szCs w:val="24"/>
              </w:rPr>
              <w:t>In the implementation of this operation, certain specific requirements from the aspect of eligibility of costs as per national regulations will be taken into account.</w:t>
            </w:r>
          </w:p>
          <w:p w:rsidR="00BD3B5F" w:rsidRPr="005C3B55" w:rsidRDefault="00BD3B5F">
            <w:pPr>
              <w:pStyle w:val="Telobesedila"/>
              <w:rPr>
                <w:szCs w:val="24"/>
              </w:rPr>
            </w:pPr>
          </w:p>
        </w:tc>
      </w:tr>
    </w:tbl>
    <w:p w:rsidR="00BD3B5F" w:rsidRPr="005C3B55" w:rsidRDefault="00BD3B5F">
      <w:pPr>
        <w:pStyle w:val="Naslov6"/>
        <w:tabs>
          <w:tab w:val="clear" w:pos="765"/>
        </w:tabs>
        <w:ind w:left="0" w:firstLine="0"/>
        <w:rPr>
          <w:szCs w:val="24"/>
          <w:lang w:val="en-GB"/>
        </w:rPr>
      </w:pPr>
      <w:r w:rsidRPr="005C3B55">
        <w:rPr>
          <w:noProof w:val="0"/>
          <w:szCs w:val="24"/>
          <w:lang w:val="en-GB"/>
        </w:rPr>
        <w:t>Conditions for eligibility</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rsidP="00BD3B5F">
            <w:pPr>
              <w:numPr>
                <w:ilvl w:val="0"/>
                <w:numId w:val="213"/>
              </w:numPr>
              <w:spacing w:before="0" w:after="0"/>
              <w:jc w:val="left"/>
              <w:rPr>
                <w:noProof/>
                <w:szCs w:val="24"/>
              </w:rPr>
            </w:pPr>
            <w:r w:rsidRPr="005C3B55">
              <w:rPr>
                <w:szCs w:val="24"/>
              </w:rPr>
              <w:t>The operation must be implemented at a forest holding situated in the area of the Republic of Slovenia.</w:t>
            </w:r>
          </w:p>
          <w:p w:rsidR="00BD3B5F" w:rsidRPr="005C3B55" w:rsidRDefault="00BD3B5F" w:rsidP="00BD3B5F">
            <w:pPr>
              <w:numPr>
                <w:ilvl w:val="0"/>
                <w:numId w:val="213"/>
              </w:numPr>
              <w:spacing w:before="0" w:after="0"/>
              <w:jc w:val="left"/>
              <w:rPr>
                <w:noProof/>
                <w:szCs w:val="24"/>
              </w:rPr>
            </w:pPr>
            <w:r w:rsidRPr="005C3B55">
              <w:rPr>
                <w:szCs w:val="24"/>
              </w:rPr>
              <w:t>The operation may only be implemented in areas where openness of forest routes after the implemented investment will not exceed the optimum openness.</w:t>
            </w:r>
          </w:p>
          <w:p w:rsidR="00BD3B5F" w:rsidRPr="005C3B55" w:rsidRDefault="00BD3B5F" w:rsidP="00BD3B5F">
            <w:pPr>
              <w:numPr>
                <w:ilvl w:val="0"/>
                <w:numId w:val="213"/>
              </w:numPr>
              <w:spacing w:before="0" w:after="0"/>
              <w:jc w:val="left"/>
              <w:rPr>
                <w:noProof/>
                <w:szCs w:val="24"/>
              </w:rPr>
            </w:pPr>
            <w:r w:rsidRPr="005C3B55">
              <w:rPr>
                <w:szCs w:val="24"/>
              </w:rPr>
              <w:t>The possibility of construction or reconstruction of a forest road must comply with the restrictions and conditions from the forest management plan, and the possibility of construction, reconstruction or preparation of skid trails from the silvicultural plan.</w:t>
            </w:r>
          </w:p>
          <w:p w:rsidR="00BD3B5F" w:rsidRPr="005C3B55" w:rsidRDefault="00BD3B5F" w:rsidP="00BD3B5F">
            <w:pPr>
              <w:numPr>
                <w:ilvl w:val="0"/>
                <w:numId w:val="213"/>
              </w:numPr>
              <w:spacing w:before="0" w:after="0"/>
              <w:jc w:val="left"/>
              <w:rPr>
                <w:noProof/>
                <w:szCs w:val="24"/>
              </w:rPr>
            </w:pPr>
            <w:r w:rsidRPr="005C3B55">
              <w:rPr>
                <w:szCs w:val="24"/>
              </w:rPr>
              <w:t>A calculation must be drafted by the Slovenia Forest Service in which the cost reduction in forest management is evident.</w:t>
            </w:r>
          </w:p>
          <w:p w:rsidR="00BD3B5F" w:rsidRPr="005C3B55" w:rsidRDefault="00BD3B5F" w:rsidP="00BD3B5F">
            <w:pPr>
              <w:numPr>
                <w:ilvl w:val="0"/>
                <w:numId w:val="213"/>
              </w:numPr>
              <w:spacing w:before="0" w:after="0"/>
              <w:jc w:val="left"/>
              <w:rPr>
                <w:noProof/>
                <w:szCs w:val="24"/>
              </w:rPr>
            </w:pPr>
            <w:r w:rsidRPr="005C3B55">
              <w:rPr>
                <w:szCs w:val="24"/>
              </w:rPr>
              <w:t>Administrative permits need to be obtained in accordance with the regulations on the construction of buildings, construction of forest roads, spatial planning, protection if cultural heritage and environmental protection.</w:t>
            </w:r>
            <w:r w:rsidRPr="005C3B55">
              <w:rPr>
                <w:noProof/>
                <w:szCs w:val="24"/>
              </w:rPr>
              <w:t xml:space="preserve"> </w:t>
            </w:r>
            <w:r w:rsidRPr="005C3B55">
              <w:rPr>
                <w:szCs w:val="24"/>
              </w:rPr>
              <w:t>For Natura 2000 sites, it is necessary to obtain nature conservation approval for all roads in accordance with the Nature Conservation Act (Official Gazette of the Republic of Slovenia, no. 96/04 with all amendments).</w:t>
            </w:r>
            <w:r w:rsidRPr="005C3B55">
              <w:rPr>
                <w:noProof/>
                <w:szCs w:val="24"/>
              </w:rPr>
              <w:t xml:space="preserve"> </w:t>
            </w:r>
            <w:r w:rsidRPr="005C3B55">
              <w:rPr>
                <w:szCs w:val="24"/>
              </w:rPr>
              <w:t>If the necessary permits have not been obtained, the Slovenia Forest Service will suspend the procedure of preparation and construction of a forest road.</w:t>
            </w:r>
          </w:p>
          <w:p w:rsidR="00BD3B5F" w:rsidRPr="005C3B55" w:rsidRDefault="00BD3B5F" w:rsidP="00BD3B5F">
            <w:pPr>
              <w:numPr>
                <w:ilvl w:val="0"/>
                <w:numId w:val="213"/>
              </w:numPr>
              <w:spacing w:before="0" w:after="240"/>
              <w:jc w:val="left"/>
              <w:rPr>
                <w:noProof/>
                <w:szCs w:val="24"/>
              </w:rPr>
            </w:pPr>
            <w:r w:rsidRPr="005C3B55">
              <w:rPr>
                <w:szCs w:val="24"/>
              </w:rPr>
              <w:t>Documentation has to be compiled for the construction or reconstruction of forest roads or skid trails and preparation of skid trails being constructed, reconstructed or prepared in accordance with the Rules on forest traffic routes (Official Gazette of the Republic of Slovenia, no. 4/09 with all amendments).</w:t>
            </w:r>
          </w:p>
          <w:p w:rsidR="00BD3B5F" w:rsidRPr="005C3B55" w:rsidRDefault="00BD3B5F">
            <w:pPr>
              <w:pStyle w:val="Telobesedila"/>
              <w:rPr>
                <w:szCs w:val="24"/>
              </w:rPr>
            </w:pPr>
          </w:p>
        </w:tc>
      </w:tr>
    </w:tbl>
    <w:p w:rsidR="00BD3B5F" w:rsidRPr="005C3B55" w:rsidRDefault="00BD3B5F">
      <w:pPr>
        <w:pStyle w:val="Naslov6"/>
        <w:tabs>
          <w:tab w:val="clear" w:pos="765"/>
        </w:tabs>
        <w:ind w:left="0" w:firstLine="0"/>
        <w:rPr>
          <w:szCs w:val="24"/>
          <w:lang w:val="en-GB"/>
        </w:rPr>
      </w:pPr>
      <w:r w:rsidRPr="005C3B55">
        <w:rPr>
          <w:noProof w:val="0"/>
          <w:szCs w:val="24"/>
          <w:lang w:val="en-GB"/>
        </w:rPr>
        <w:t>Principles regarding the determination of selection criteria</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The operation will be implemented as a closed public tender.</w:t>
            </w:r>
          </w:p>
          <w:p w:rsidR="00BD3B5F" w:rsidRPr="005C3B55" w:rsidRDefault="00BD3B5F">
            <w:pPr>
              <w:spacing w:before="240" w:after="240"/>
              <w:jc w:val="left"/>
              <w:rPr>
                <w:noProof/>
                <w:szCs w:val="24"/>
              </w:rPr>
            </w:pPr>
            <w:r w:rsidRPr="005C3B55">
              <w:rPr>
                <w:szCs w:val="24"/>
              </w:rPr>
              <w:t>Selected projects whose applications are complete and adequate in terms of content and which meet the conditions for receiving funds and exceed the threshold number of points determined in the public tender will be eligible for support.</w:t>
            </w:r>
            <w:r w:rsidRPr="005C3B55">
              <w:rPr>
                <w:noProof/>
                <w:szCs w:val="24"/>
              </w:rPr>
              <w:t xml:space="preserve"> </w:t>
            </w:r>
            <w:r w:rsidRPr="005C3B55">
              <w:rPr>
                <w:szCs w:val="24"/>
              </w:rPr>
              <w:t>Applications which score a higher number of points will be selected from among applications that exceed the threshold number of points until the funds available in the public tender are distributed.</w:t>
            </w:r>
            <w:r w:rsidRPr="005C3B55">
              <w:rPr>
                <w:noProof/>
                <w:szCs w:val="24"/>
              </w:rPr>
              <w:t xml:space="preserve"> </w:t>
            </w:r>
            <w:r w:rsidRPr="005C3B55">
              <w:rPr>
                <w:szCs w:val="24"/>
              </w:rPr>
              <w:t>Among the selection criteria, the greatest emphasis will be on the economic aspect of the investment (for example, reduction of skidding costs) and the contribution to horizontal objectives.</w:t>
            </w:r>
          </w:p>
          <w:p w:rsidR="00BD3B5F" w:rsidRPr="005C3B55" w:rsidRDefault="00BD3B5F">
            <w:pPr>
              <w:pStyle w:val="Telobesedila"/>
              <w:rPr>
                <w:szCs w:val="24"/>
              </w:rPr>
            </w:pPr>
          </w:p>
        </w:tc>
      </w:tr>
    </w:tbl>
    <w:p w:rsidR="00BD3B5F" w:rsidRPr="005C3B55" w:rsidRDefault="00BD3B5F">
      <w:pPr>
        <w:pStyle w:val="Naslov6"/>
        <w:tabs>
          <w:tab w:val="clear" w:pos="765"/>
        </w:tabs>
        <w:ind w:left="0" w:firstLine="0"/>
        <w:rPr>
          <w:szCs w:val="24"/>
          <w:lang w:val="en-GB"/>
        </w:rPr>
      </w:pPr>
      <w:r w:rsidRPr="005C3B55">
        <w:rPr>
          <w:noProof w:val="0"/>
          <w:szCs w:val="24"/>
          <w:lang w:val="en-GB"/>
        </w:rPr>
        <w:t>(Valid) amounts and support rates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The public support rate amounts to 50 per cent of eligible costs.</w:t>
            </w:r>
          </w:p>
          <w:p w:rsidR="00BD3B5F" w:rsidRPr="005C3B55" w:rsidRDefault="00BD3B5F">
            <w:pPr>
              <w:spacing w:before="240" w:after="240"/>
              <w:jc w:val="left"/>
              <w:rPr>
                <w:noProof/>
                <w:szCs w:val="24"/>
              </w:rPr>
            </w:pPr>
            <w:r w:rsidRPr="005C3B55">
              <w:rPr>
                <w:szCs w:val="24"/>
              </w:rPr>
              <w:t>The lowest amount of public support is EUR 500.</w:t>
            </w:r>
          </w:p>
          <w:p w:rsidR="00BD3B5F" w:rsidRPr="005C3B55" w:rsidRDefault="00BD3B5F">
            <w:pPr>
              <w:spacing w:before="240" w:after="240"/>
              <w:jc w:val="left"/>
              <w:rPr>
                <w:noProof/>
                <w:szCs w:val="24"/>
              </w:rPr>
            </w:pPr>
            <w:r w:rsidRPr="005C3B55">
              <w:rPr>
                <w:szCs w:val="24"/>
              </w:rPr>
              <w:t>In the entire programming period 2014-2020, a beneficiary may obtain up to EUR 500,000 of public support from this operation.</w:t>
            </w:r>
          </w:p>
          <w:p w:rsidR="00BD3B5F" w:rsidRPr="005C3B55" w:rsidRDefault="00BD3B5F">
            <w:pPr>
              <w:spacing w:before="240" w:after="240"/>
              <w:jc w:val="left"/>
              <w:rPr>
                <w:noProof/>
                <w:szCs w:val="24"/>
              </w:rPr>
            </w:pPr>
            <w:r w:rsidRPr="005C3B55">
              <w:rPr>
                <w:szCs w:val="24"/>
              </w:rPr>
              <w:t>The beneficiaries to support in investments may in accordance with point 4 of Article 45 of Regulation (EU) No 1305/2013 request for advance payment at the Paying Agency after the issue of the decision on the entitlement to funds in the amount of 30% of the public support.</w:t>
            </w:r>
          </w:p>
          <w:p w:rsidR="00BD3B5F" w:rsidRPr="005C3B55" w:rsidRDefault="00BD3B5F">
            <w:pPr>
              <w:pStyle w:val="Telobesedila"/>
              <w:rPr>
                <w:szCs w:val="24"/>
              </w:rPr>
            </w:pPr>
          </w:p>
        </w:tc>
      </w:tr>
    </w:tbl>
    <w:p w:rsidR="00BD3B5F" w:rsidRPr="005C3B55" w:rsidRDefault="00BD3B5F">
      <w:pPr>
        <w:pStyle w:val="Naslov6"/>
        <w:tabs>
          <w:tab w:val="clear" w:pos="765"/>
        </w:tabs>
        <w:ind w:left="0" w:firstLine="0"/>
        <w:rPr>
          <w:szCs w:val="24"/>
          <w:lang w:val="en-GB"/>
        </w:rPr>
      </w:pPr>
      <w:r w:rsidRPr="005C3B55">
        <w:rPr>
          <w:noProof w:val="0"/>
          <w:szCs w:val="24"/>
          <w:lang w:val="en-GB"/>
        </w:rPr>
        <w:t>Verifiability and possibility of control of measures and/or type of operations</w:t>
      </w:r>
    </w:p>
    <w:p w:rsidR="00BD3B5F" w:rsidRPr="005C3B55" w:rsidRDefault="00BD3B5F">
      <w:pPr>
        <w:pStyle w:val="Naslov7"/>
        <w:tabs>
          <w:tab w:val="clear" w:pos="765"/>
        </w:tabs>
        <w:ind w:left="0" w:firstLine="0"/>
        <w:rPr>
          <w:szCs w:val="24"/>
          <w:lang w:val="en-GB"/>
        </w:rPr>
      </w:pPr>
      <w:r w:rsidRPr="005C3B55">
        <w:rPr>
          <w:noProof w:val="0"/>
          <w:szCs w:val="24"/>
          <w:lang w:val="en-GB"/>
        </w:rPr>
        <w:t>Risks in the implementation of the measure</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b/>
                <w:noProof/>
                <w:szCs w:val="24"/>
              </w:rPr>
              <w:t xml:space="preserve">R1: </w:t>
            </w:r>
            <w:r w:rsidRPr="005C3B55">
              <w:rPr>
                <w:b/>
                <w:szCs w:val="24"/>
              </w:rPr>
              <w:t>Application conditions for private beneficiaries</w:t>
            </w:r>
          </w:p>
          <w:p w:rsidR="00BD3B5F" w:rsidRPr="005C3B55" w:rsidRDefault="00BD3B5F">
            <w:pPr>
              <w:spacing w:before="240" w:after="240"/>
              <w:jc w:val="left"/>
              <w:rPr>
                <w:noProof/>
                <w:szCs w:val="24"/>
              </w:rPr>
            </w:pPr>
            <w:r w:rsidRPr="005C3B55">
              <w:rPr>
                <w:szCs w:val="24"/>
              </w:rPr>
              <w:t>The implementation procedure is based on regulations regulating general administrative procedures.</w:t>
            </w:r>
            <w:r w:rsidRPr="005C3B55">
              <w:rPr>
                <w:noProof/>
                <w:szCs w:val="24"/>
              </w:rPr>
              <w:t xml:space="preserve"> </w:t>
            </w:r>
            <w:r w:rsidRPr="005C3B55">
              <w:rPr>
                <w:szCs w:val="24"/>
              </w:rPr>
              <w:t>Selection procedures may be lengthy (they may take more than six months) due to the statutory deadlines.</w:t>
            </w:r>
            <w:r w:rsidRPr="005C3B55">
              <w:rPr>
                <w:noProof/>
                <w:szCs w:val="24"/>
              </w:rPr>
              <w:t xml:space="preserve"> </w:t>
            </w:r>
            <w:r w:rsidRPr="005C3B55">
              <w:rPr>
                <w:szCs w:val="24"/>
              </w:rPr>
              <w:t>The situation in the market may change considerably during this time.</w:t>
            </w:r>
          </w:p>
          <w:p w:rsidR="00BD3B5F" w:rsidRPr="005C3B55" w:rsidRDefault="00BD3B5F">
            <w:pPr>
              <w:spacing w:before="240" w:after="240"/>
              <w:jc w:val="left"/>
              <w:rPr>
                <w:noProof/>
                <w:szCs w:val="24"/>
              </w:rPr>
            </w:pPr>
            <w:r w:rsidRPr="005C3B55">
              <w:rPr>
                <w:b/>
                <w:noProof/>
                <w:szCs w:val="24"/>
              </w:rPr>
              <w:t xml:space="preserve">R2: </w:t>
            </w:r>
            <w:r w:rsidRPr="005C3B55">
              <w:rPr>
                <w:b/>
                <w:szCs w:val="24"/>
              </w:rPr>
              <w:t>Reasonableness of costs</w:t>
            </w:r>
          </w:p>
          <w:p w:rsidR="00BD3B5F" w:rsidRPr="005C3B55" w:rsidRDefault="00BD3B5F">
            <w:pPr>
              <w:spacing w:before="240" w:after="240"/>
              <w:jc w:val="left"/>
              <w:rPr>
                <w:noProof/>
                <w:szCs w:val="24"/>
              </w:rPr>
            </w:pPr>
            <w:r w:rsidRPr="005C3B55">
              <w:rPr>
                <w:szCs w:val="24"/>
              </w:rPr>
              <w:t>In the implementation of investments, significant price fluctuations for the same or similar costs occur in the market,</w:t>
            </w:r>
            <w:r w:rsidRPr="005C3B55">
              <w:rPr>
                <w:noProof/>
                <w:szCs w:val="24"/>
              </w:rPr>
              <w:t xml:space="preserve"> </w:t>
            </w:r>
            <w:r w:rsidRPr="005C3B55">
              <w:rPr>
                <w:szCs w:val="24"/>
              </w:rPr>
              <w:t>this is most obviously manifested when purchasing equipment, where differences in prices are noted for the same type of machinery on the common European market.</w:t>
            </w:r>
          </w:p>
          <w:p w:rsidR="00BD3B5F" w:rsidRPr="005C3B55" w:rsidRDefault="00BD3B5F">
            <w:pPr>
              <w:spacing w:before="240" w:after="240"/>
              <w:jc w:val="left"/>
              <w:rPr>
                <w:noProof/>
                <w:szCs w:val="24"/>
              </w:rPr>
            </w:pPr>
            <w:r w:rsidRPr="005C3B55">
              <w:rPr>
                <w:b/>
                <w:noProof/>
                <w:szCs w:val="24"/>
              </w:rPr>
              <w:t xml:space="preserve">R3: </w:t>
            </w:r>
            <w:r w:rsidRPr="005C3B55">
              <w:rPr>
                <w:b/>
                <w:szCs w:val="24"/>
              </w:rPr>
              <w:t>Suitable overview and control system</w:t>
            </w:r>
          </w:p>
          <w:p w:rsidR="00BD3B5F" w:rsidRPr="005C3B55" w:rsidRDefault="00BD3B5F">
            <w:pPr>
              <w:spacing w:before="240" w:after="240"/>
              <w:jc w:val="left"/>
              <w:rPr>
                <w:noProof/>
                <w:szCs w:val="24"/>
              </w:rPr>
            </w:pPr>
            <w:r w:rsidRPr="005C3B55">
              <w:rPr>
                <w:szCs w:val="24"/>
              </w:rPr>
              <w:t>The greatest problem is the inadequate connection between databases in the public administration.</w:t>
            </w:r>
            <w:r w:rsidRPr="005C3B55">
              <w:rPr>
                <w:noProof/>
                <w:szCs w:val="24"/>
              </w:rPr>
              <w:t xml:space="preserve"> </w:t>
            </w:r>
            <w:r w:rsidRPr="005C3B55">
              <w:rPr>
                <w:szCs w:val="24"/>
              </w:rPr>
              <w:t>This can result in an increased risk of dual co-funding of the same eligible costs.</w:t>
            </w:r>
          </w:p>
          <w:p w:rsidR="00BD3B5F" w:rsidRPr="005C3B55" w:rsidRDefault="00BD3B5F">
            <w:pPr>
              <w:spacing w:before="240" w:after="240"/>
              <w:jc w:val="left"/>
              <w:rPr>
                <w:noProof/>
                <w:szCs w:val="24"/>
              </w:rPr>
            </w:pPr>
            <w:r w:rsidRPr="005C3B55">
              <w:rPr>
                <w:b/>
                <w:noProof/>
                <w:szCs w:val="24"/>
              </w:rPr>
              <w:t xml:space="preserve">R4: </w:t>
            </w:r>
            <w:r w:rsidRPr="005C3B55">
              <w:rPr>
                <w:b/>
                <w:szCs w:val="24"/>
              </w:rPr>
              <w:t>Public procurement</w:t>
            </w:r>
          </w:p>
          <w:p w:rsidR="00BD3B5F" w:rsidRPr="005C3B55" w:rsidRDefault="00BD3B5F">
            <w:pPr>
              <w:spacing w:before="240" w:after="240"/>
              <w:jc w:val="left"/>
              <w:rPr>
                <w:noProof/>
                <w:szCs w:val="24"/>
              </w:rPr>
            </w:pPr>
            <w:r w:rsidRPr="005C3B55">
              <w:rPr>
                <w:szCs w:val="24"/>
              </w:rPr>
              <w:t>The risks in the implementation of the measure are, in particular, the long period needed to implement the public procurement procedure, complaints and review procedures, and possible agreements between providers.</w:t>
            </w:r>
          </w:p>
          <w:p w:rsidR="00BD3B5F" w:rsidRPr="005C3B55" w:rsidRDefault="00BD3B5F">
            <w:pPr>
              <w:spacing w:before="240" w:after="240"/>
              <w:jc w:val="left"/>
              <w:rPr>
                <w:noProof/>
                <w:szCs w:val="24"/>
              </w:rPr>
            </w:pPr>
            <w:r w:rsidRPr="005C3B55">
              <w:rPr>
                <w:b/>
                <w:noProof/>
                <w:szCs w:val="24"/>
              </w:rPr>
              <w:t xml:space="preserve">R7: </w:t>
            </w:r>
            <w:r w:rsidRPr="005C3B55">
              <w:rPr>
                <w:b/>
                <w:szCs w:val="24"/>
              </w:rPr>
              <w:t>Selection of beneficiaries</w:t>
            </w:r>
          </w:p>
          <w:p w:rsidR="00BD3B5F" w:rsidRPr="005C3B55" w:rsidRDefault="00BD3B5F">
            <w:pPr>
              <w:spacing w:before="240" w:after="240"/>
              <w:jc w:val="left"/>
              <w:rPr>
                <w:noProof/>
                <w:szCs w:val="24"/>
              </w:rPr>
            </w:pPr>
            <w:r w:rsidRPr="005C3B55">
              <w:rPr>
                <w:szCs w:val="24"/>
              </w:rPr>
              <w:t>There is the possibility of risk due to the lack of information for beneficiaries and persons responsible for the preparation of application and a lack of understanding of the requirements from the regulations.</w:t>
            </w:r>
          </w:p>
          <w:p w:rsidR="00BD3B5F" w:rsidRPr="005C3B55" w:rsidRDefault="00BD3B5F">
            <w:pPr>
              <w:spacing w:before="240" w:after="240"/>
              <w:jc w:val="left"/>
              <w:rPr>
                <w:noProof/>
                <w:szCs w:val="24"/>
              </w:rPr>
            </w:pPr>
            <w:r w:rsidRPr="005C3B55">
              <w:rPr>
                <w:b/>
                <w:noProof/>
                <w:szCs w:val="24"/>
              </w:rPr>
              <w:t xml:space="preserve">R8: </w:t>
            </w:r>
            <w:r w:rsidRPr="005C3B55">
              <w:rPr>
                <w:b/>
                <w:szCs w:val="24"/>
              </w:rPr>
              <w:t>IT systems</w:t>
            </w:r>
          </w:p>
          <w:p w:rsidR="00BD3B5F" w:rsidRPr="005C3B55" w:rsidRDefault="00BD3B5F">
            <w:pPr>
              <w:spacing w:before="240" w:after="240"/>
              <w:jc w:val="left"/>
              <w:rPr>
                <w:noProof/>
                <w:szCs w:val="24"/>
              </w:rPr>
            </w:pPr>
            <w:r w:rsidRPr="005C3B55">
              <w:rPr>
                <w:szCs w:val="24"/>
              </w:rPr>
              <w:t>There is a risk of an IT system that is inadequate for the submission of applications to the public procurement and requests for payment, and which is not advanced and does not provide sufficient support.</w:t>
            </w:r>
            <w:r w:rsidRPr="005C3B55">
              <w:rPr>
                <w:noProof/>
                <w:szCs w:val="24"/>
              </w:rPr>
              <w:t xml:space="preserve"> </w:t>
            </w:r>
            <w:r w:rsidRPr="005C3B55">
              <w:rPr>
                <w:szCs w:val="24"/>
              </w:rPr>
              <w:t>There is also a risk that potential beneficiaries will not be skilled at using this system and that the system will not function optimally.</w:t>
            </w:r>
          </w:p>
          <w:p w:rsidR="00BD3B5F" w:rsidRPr="005C3B55" w:rsidRDefault="00BD3B5F">
            <w:pPr>
              <w:spacing w:before="240" w:after="240"/>
              <w:jc w:val="left"/>
              <w:rPr>
                <w:noProof/>
                <w:szCs w:val="24"/>
              </w:rPr>
            </w:pPr>
            <w:r w:rsidRPr="005C3B55">
              <w:rPr>
                <w:b/>
                <w:noProof/>
                <w:szCs w:val="24"/>
              </w:rPr>
              <w:t xml:space="preserve">R9: </w:t>
            </w:r>
            <w:r w:rsidRPr="005C3B55">
              <w:rPr>
                <w:b/>
                <w:szCs w:val="24"/>
              </w:rPr>
              <w:t>Requests for payment</w:t>
            </w:r>
          </w:p>
          <w:p w:rsidR="00BD3B5F" w:rsidRPr="005C3B55" w:rsidRDefault="00BD3B5F">
            <w:pPr>
              <w:spacing w:before="240" w:after="240"/>
              <w:jc w:val="left"/>
              <w:rPr>
                <w:noProof/>
                <w:szCs w:val="24"/>
              </w:rPr>
            </w:pPr>
            <w:r w:rsidRPr="005C3B55">
              <w:rPr>
                <w:szCs w:val="24"/>
              </w:rPr>
              <w:t>A request for the payment of funds is honoured within 30 days following the submission of a complete request for payment.</w:t>
            </w:r>
            <w:r w:rsidRPr="005C3B55">
              <w:rPr>
                <w:noProof/>
                <w:szCs w:val="24"/>
              </w:rPr>
              <w:t xml:space="preserve"> </w:t>
            </w:r>
            <w:r w:rsidRPr="005C3B55">
              <w:rPr>
                <w:szCs w:val="24"/>
              </w:rPr>
              <w:t>There are no delays in this part.</w:t>
            </w:r>
            <w:r w:rsidRPr="005C3B55">
              <w:rPr>
                <w:noProof/>
                <w:szCs w:val="24"/>
              </w:rPr>
              <w:t xml:space="preserve"> </w:t>
            </w:r>
            <w:r w:rsidRPr="005C3B55">
              <w:rPr>
                <w:szCs w:val="24"/>
              </w:rPr>
              <w:t>The greatest risk arises in the processing of requests for payment.</w:t>
            </w:r>
            <w:r w:rsidRPr="005C3B55">
              <w:rPr>
                <w:noProof/>
                <w:szCs w:val="24"/>
              </w:rPr>
              <w:t xml:space="preserve"> </w:t>
            </w:r>
            <w:r w:rsidRPr="005C3B55">
              <w:rPr>
                <w:szCs w:val="24"/>
              </w:rPr>
              <w:t>Due to unprofessional preparation, the procedure for processing may take several months.</w:t>
            </w:r>
            <w:r w:rsidRPr="005C3B55">
              <w:rPr>
                <w:noProof/>
                <w:szCs w:val="24"/>
              </w:rPr>
              <w:t xml:space="preserve"> </w:t>
            </w:r>
            <w:r w:rsidRPr="005C3B55">
              <w:rPr>
                <w:szCs w:val="24"/>
              </w:rPr>
              <w:t>The main reason is the lack of knowledge among beneficiaries and persons preparing applications.</w:t>
            </w:r>
          </w:p>
          <w:p w:rsidR="00BD3B5F" w:rsidRPr="005C3B55" w:rsidRDefault="00BD3B5F">
            <w:pPr>
              <w:spacing w:before="240" w:after="240"/>
              <w:jc w:val="left"/>
              <w:rPr>
                <w:noProof/>
                <w:szCs w:val="24"/>
              </w:rPr>
            </w:pPr>
            <w:r w:rsidRPr="005C3B55">
              <w:rPr>
                <w:b/>
                <w:szCs w:val="24"/>
              </w:rPr>
              <w:t>Impact on the environment</w:t>
            </w:r>
          </w:p>
          <w:p w:rsidR="00BD3B5F" w:rsidRPr="005C3B55" w:rsidRDefault="00BD3B5F">
            <w:pPr>
              <w:spacing w:before="240" w:after="240"/>
              <w:jc w:val="left"/>
              <w:rPr>
                <w:noProof/>
                <w:szCs w:val="24"/>
              </w:rPr>
            </w:pPr>
            <w:r w:rsidRPr="005C3B55">
              <w:rPr>
                <w:szCs w:val="24"/>
              </w:rPr>
              <w:t>The construction of forest roads may have a negative impact on important habitats of certain qualifying bird species dependent on old forests rich in dead biomass (e.g. capercaillie, hazel grouse, white-backed woodpecker, three-toed woodpecker) and other qualifying animal species, such as saproxylic beetles which depend on such habitats.</w:t>
            </w:r>
            <w:r w:rsidRPr="005C3B55">
              <w:rPr>
                <w:noProof/>
                <w:szCs w:val="24"/>
              </w:rPr>
              <w:t xml:space="preserve"> </w:t>
            </w:r>
            <w:r w:rsidRPr="005C3B55">
              <w:rPr>
                <w:szCs w:val="24"/>
              </w:rPr>
              <w:t>This may result in a reduction in biodiversity and increased environmental risk.</w:t>
            </w:r>
          </w:p>
          <w:p w:rsidR="00BD3B5F" w:rsidRPr="005C3B55" w:rsidRDefault="00BD3B5F">
            <w:pPr>
              <w:spacing w:before="240" w:after="240"/>
              <w:jc w:val="left"/>
              <w:rPr>
                <w:noProof/>
                <w:szCs w:val="24"/>
              </w:rPr>
            </w:pPr>
            <w:r w:rsidRPr="005C3B55">
              <w:rPr>
                <w:noProof/>
                <w:szCs w:val="24"/>
              </w:rPr>
              <w:t> </w:t>
            </w:r>
          </w:p>
          <w:p w:rsidR="00BD3B5F" w:rsidRPr="005C3B55" w:rsidRDefault="00BD3B5F">
            <w:pPr>
              <w:spacing w:before="240" w:after="240"/>
              <w:jc w:val="left"/>
              <w:rPr>
                <w:noProof/>
                <w:szCs w:val="24"/>
              </w:rPr>
            </w:pPr>
            <w:r w:rsidRPr="005C3B55">
              <w:rPr>
                <w:noProof/>
                <w:szCs w:val="24"/>
              </w:rPr>
              <w:t> </w:t>
            </w:r>
          </w:p>
          <w:p w:rsidR="00BD3B5F" w:rsidRPr="005C3B55" w:rsidRDefault="00BD3B5F">
            <w:pPr>
              <w:spacing w:before="240" w:after="240"/>
              <w:jc w:val="left"/>
              <w:rPr>
                <w:noProof/>
                <w:szCs w:val="24"/>
              </w:rPr>
            </w:pPr>
            <w:r w:rsidRPr="005C3B55">
              <w:rPr>
                <w:noProof/>
                <w:szCs w:val="24"/>
              </w:rPr>
              <w:t> </w:t>
            </w:r>
          </w:p>
          <w:p w:rsidR="00BD3B5F" w:rsidRPr="005C3B55" w:rsidRDefault="00BD3B5F">
            <w:pPr>
              <w:pStyle w:val="Telobesedila"/>
              <w:rPr>
                <w:szCs w:val="24"/>
              </w:rPr>
            </w:pPr>
          </w:p>
        </w:tc>
      </w:tr>
    </w:tbl>
    <w:p w:rsidR="00BD3B5F" w:rsidRPr="005C3B55" w:rsidRDefault="00BD3B5F">
      <w:pPr>
        <w:pStyle w:val="Naslov7"/>
        <w:tabs>
          <w:tab w:val="clear" w:pos="765"/>
        </w:tabs>
        <w:ind w:left="0" w:firstLine="0"/>
        <w:rPr>
          <w:szCs w:val="24"/>
          <w:lang w:val="en-GB"/>
        </w:rPr>
      </w:pPr>
      <w:r w:rsidRPr="005C3B55">
        <w:rPr>
          <w:noProof w:val="0"/>
          <w:szCs w:val="24"/>
          <w:lang w:val="en-GB"/>
        </w:rPr>
        <w:t>Mitigation measures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b/>
                <w:noProof/>
                <w:szCs w:val="24"/>
              </w:rPr>
              <w:t xml:space="preserve">R1: </w:t>
            </w:r>
            <w:r w:rsidRPr="005C3B55">
              <w:rPr>
                <w:b/>
                <w:szCs w:val="24"/>
              </w:rPr>
              <w:t>Application conditions for private beneficiaries</w:t>
            </w:r>
          </w:p>
          <w:p w:rsidR="00BD3B5F" w:rsidRPr="005C3B55" w:rsidRDefault="00BD3B5F">
            <w:pPr>
              <w:spacing w:before="240" w:after="240"/>
              <w:jc w:val="left"/>
              <w:rPr>
                <w:noProof/>
                <w:szCs w:val="24"/>
              </w:rPr>
            </w:pPr>
            <w:r w:rsidRPr="005C3B55">
              <w:rPr>
                <w:szCs w:val="24"/>
              </w:rPr>
              <w:t>The duration of administrative procedures cannot be influenced.</w:t>
            </w:r>
            <w:r w:rsidRPr="005C3B55">
              <w:rPr>
                <w:noProof/>
                <w:szCs w:val="24"/>
              </w:rPr>
              <w:t xml:space="preserve"> </w:t>
            </w:r>
            <w:r w:rsidRPr="005C3B55">
              <w:rPr>
                <w:szCs w:val="24"/>
              </w:rPr>
              <w:t>However, the dissemination of information to potential beneficiaries on the measures and selection procedures of beneficiaries will be improved.</w:t>
            </w:r>
            <w:r w:rsidRPr="005C3B55">
              <w:rPr>
                <w:noProof/>
                <w:szCs w:val="24"/>
              </w:rPr>
              <w:t xml:space="preserve"> </w:t>
            </w:r>
            <w:r w:rsidRPr="005C3B55">
              <w:rPr>
                <w:szCs w:val="24"/>
              </w:rPr>
              <w:t>Applications are submitted electronically, which shortens the time of application processing.</w:t>
            </w:r>
            <w:r w:rsidRPr="005C3B55">
              <w:rPr>
                <w:noProof/>
                <w:szCs w:val="24"/>
              </w:rPr>
              <w:t xml:space="preserve"> </w:t>
            </w:r>
            <w:r w:rsidRPr="005C3B55">
              <w:rPr>
                <w:szCs w:val="24"/>
              </w:rPr>
              <w:t>Efforts to improve the unification of public procurements and the clarity of conditions are set to continue, which will contribute to making applications more complete.</w:t>
            </w:r>
            <w:r w:rsidRPr="005C3B55">
              <w:rPr>
                <w:noProof/>
                <w:szCs w:val="24"/>
              </w:rPr>
              <w:t xml:space="preserve"> </w:t>
            </w:r>
            <w:r w:rsidRPr="005C3B55">
              <w:rPr>
                <w:szCs w:val="24"/>
              </w:rPr>
              <w:t>This will somewhat reduce the risk.</w:t>
            </w:r>
            <w:r w:rsidRPr="005C3B55">
              <w:rPr>
                <w:noProof/>
                <w:szCs w:val="24"/>
              </w:rPr>
              <w:t xml:space="preserve"> </w:t>
            </w:r>
            <w:r w:rsidRPr="005C3B55">
              <w:rPr>
                <w:szCs w:val="24"/>
              </w:rPr>
              <w:t>With changes to the Agriculture Act (Official Gazette of the Republic of Slovenia, no. 45/2008 with all amendments) introduced in 2014, the provisions of the administrative procedure were changed in order to make the procedure more economical and to accelerate application processing.</w:t>
            </w:r>
          </w:p>
          <w:p w:rsidR="00BD3B5F" w:rsidRPr="005C3B55" w:rsidRDefault="00BD3B5F">
            <w:pPr>
              <w:spacing w:before="240" w:after="240"/>
              <w:jc w:val="left"/>
              <w:rPr>
                <w:noProof/>
                <w:szCs w:val="24"/>
              </w:rPr>
            </w:pPr>
            <w:r w:rsidRPr="005C3B55">
              <w:rPr>
                <w:b/>
                <w:noProof/>
                <w:szCs w:val="24"/>
              </w:rPr>
              <w:t xml:space="preserve">R2: </w:t>
            </w:r>
            <w:r w:rsidRPr="005C3B55">
              <w:rPr>
                <w:b/>
                <w:szCs w:val="24"/>
              </w:rPr>
              <w:t>Reasonableness of costs</w:t>
            </w:r>
          </w:p>
          <w:p w:rsidR="00BD3B5F" w:rsidRPr="005C3B55" w:rsidRDefault="00BD3B5F">
            <w:pPr>
              <w:spacing w:before="240" w:after="240"/>
              <w:jc w:val="left"/>
              <w:rPr>
                <w:noProof/>
                <w:szCs w:val="24"/>
              </w:rPr>
            </w:pPr>
            <w:r w:rsidRPr="005C3B55">
              <w:rPr>
                <w:szCs w:val="24"/>
              </w:rPr>
              <w:t>A uniform catalogue of costs for all measures which include investments will be set up.</w:t>
            </w:r>
            <w:r w:rsidRPr="005C3B55">
              <w:rPr>
                <w:noProof/>
                <w:szCs w:val="24"/>
              </w:rPr>
              <w:t xml:space="preserve"> </w:t>
            </w:r>
            <w:r w:rsidRPr="005C3B55">
              <w:rPr>
                <w:szCs w:val="24"/>
              </w:rPr>
              <w:t>The catalogue will be prepared by an independent external contractor, and will determine the highest recognised amounts of individual costs, which will be revised if necessary (for example, changed market conditions).</w:t>
            </w:r>
          </w:p>
          <w:p w:rsidR="00BD3B5F" w:rsidRPr="005C3B55" w:rsidRDefault="00BD3B5F">
            <w:pPr>
              <w:spacing w:before="240" w:after="240"/>
              <w:jc w:val="left"/>
              <w:rPr>
                <w:noProof/>
                <w:szCs w:val="24"/>
              </w:rPr>
            </w:pPr>
            <w:r w:rsidRPr="005C3B55">
              <w:rPr>
                <w:b/>
                <w:noProof/>
                <w:szCs w:val="24"/>
              </w:rPr>
              <w:t xml:space="preserve">R3: </w:t>
            </w:r>
            <w:r w:rsidRPr="005C3B55">
              <w:rPr>
                <w:b/>
                <w:szCs w:val="24"/>
              </w:rPr>
              <w:t>Suitable overview and control system</w:t>
            </w:r>
          </w:p>
          <w:p w:rsidR="00BD3B5F" w:rsidRPr="005C3B55" w:rsidRDefault="00BD3B5F">
            <w:pPr>
              <w:spacing w:before="240" w:after="240"/>
              <w:jc w:val="left"/>
              <w:rPr>
                <w:noProof/>
                <w:szCs w:val="24"/>
              </w:rPr>
            </w:pPr>
            <w:r w:rsidRPr="005C3B55">
              <w:rPr>
                <w:szCs w:val="24"/>
              </w:rPr>
              <w:t>The connectivity of databases within the public administration will be improved.</w:t>
            </w:r>
            <w:r w:rsidRPr="005C3B55">
              <w:rPr>
                <w:noProof/>
                <w:szCs w:val="24"/>
              </w:rPr>
              <w:t xml:space="preserve"> </w:t>
            </w:r>
            <w:r w:rsidRPr="005C3B55">
              <w:rPr>
                <w:szCs w:val="24"/>
              </w:rPr>
              <w:t>The demarcation of the contents of eligible costs in relation to other funds will be more precisely defined.</w:t>
            </w:r>
          </w:p>
          <w:p w:rsidR="00BD3B5F" w:rsidRPr="005C3B55" w:rsidRDefault="00BD3B5F">
            <w:pPr>
              <w:spacing w:before="0" w:after="0"/>
              <w:jc w:val="left"/>
              <w:rPr>
                <w:noProof/>
                <w:szCs w:val="24"/>
              </w:rPr>
            </w:pPr>
            <w:r w:rsidRPr="005C3B55">
              <w:rPr>
                <w:b/>
                <w:noProof/>
                <w:szCs w:val="24"/>
              </w:rPr>
              <w:t xml:space="preserve">R4: </w:t>
            </w:r>
            <w:r w:rsidRPr="005C3B55">
              <w:rPr>
                <w:b/>
                <w:szCs w:val="24"/>
              </w:rPr>
              <w:t>Public procurement</w:t>
            </w:r>
          </w:p>
          <w:p w:rsidR="00BD3B5F" w:rsidRPr="005C3B55" w:rsidRDefault="00BD3B5F">
            <w:pPr>
              <w:spacing w:before="240" w:after="240"/>
              <w:jc w:val="left"/>
              <w:rPr>
                <w:noProof/>
                <w:szCs w:val="24"/>
              </w:rPr>
            </w:pPr>
            <w:r w:rsidRPr="005C3B55">
              <w:rPr>
                <w:szCs w:val="24"/>
              </w:rPr>
              <w:t>The mitigation measures are timely commenced public procurement procedures for the selection of contractors, well-prepared public procurement and tender documentation.</w:t>
            </w:r>
          </w:p>
          <w:p w:rsidR="00BD3B5F" w:rsidRPr="005C3B55" w:rsidRDefault="00BD3B5F">
            <w:pPr>
              <w:spacing w:before="240" w:after="240"/>
              <w:jc w:val="left"/>
              <w:rPr>
                <w:noProof/>
                <w:szCs w:val="24"/>
              </w:rPr>
            </w:pPr>
            <w:r w:rsidRPr="005C3B55">
              <w:rPr>
                <w:b/>
                <w:noProof/>
                <w:szCs w:val="24"/>
              </w:rPr>
              <w:t xml:space="preserve">R7: </w:t>
            </w:r>
            <w:r w:rsidRPr="005C3B55">
              <w:rPr>
                <w:b/>
                <w:szCs w:val="24"/>
              </w:rPr>
              <w:t>Selection of beneficiaries</w:t>
            </w:r>
          </w:p>
          <w:p w:rsidR="00BD3B5F" w:rsidRPr="005C3B55" w:rsidRDefault="00BD3B5F">
            <w:pPr>
              <w:spacing w:before="240" w:after="240"/>
              <w:jc w:val="left"/>
              <w:rPr>
                <w:noProof/>
                <w:szCs w:val="24"/>
              </w:rPr>
            </w:pPr>
            <w:r w:rsidRPr="005C3B55">
              <w:rPr>
                <w:szCs w:val="24"/>
              </w:rPr>
              <w:t>With the permanent implementation of the promotion of the measure, organisation of public presentations and other activities (updated website of the Ministry of Agriculture, Forestry and Food, activities of the National Rural Network), we will promptly inform potential beneficiaries on the content of the supported operation.</w:t>
            </w:r>
          </w:p>
          <w:p w:rsidR="00BD3B5F" w:rsidRPr="005C3B55" w:rsidRDefault="00BD3B5F">
            <w:pPr>
              <w:spacing w:before="240" w:after="240"/>
              <w:jc w:val="left"/>
              <w:rPr>
                <w:noProof/>
                <w:szCs w:val="24"/>
              </w:rPr>
            </w:pPr>
            <w:r w:rsidRPr="005C3B55">
              <w:rPr>
                <w:b/>
                <w:noProof/>
                <w:szCs w:val="24"/>
              </w:rPr>
              <w:t xml:space="preserve">R8: </w:t>
            </w:r>
            <w:r w:rsidRPr="005C3B55">
              <w:rPr>
                <w:b/>
                <w:szCs w:val="24"/>
              </w:rPr>
              <w:t>IT systems</w:t>
            </w:r>
          </w:p>
          <w:p w:rsidR="00BD3B5F" w:rsidRPr="005C3B55" w:rsidRDefault="00BD3B5F">
            <w:pPr>
              <w:spacing w:before="240" w:after="240"/>
              <w:jc w:val="left"/>
              <w:rPr>
                <w:noProof/>
                <w:szCs w:val="24"/>
              </w:rPr>
            </w:pPr>
            <w:r w:rsidRPr="005C3B55">
              <w:rPr>
                <w:szCs w:val="24"/>
              </w:rPr>
              <w:t>An IT system will be set up which will facilitate electronic submission of applications and requests for payment,</w:t>
            </w:r>
            <w:r w:rsidRPr="005C3B55">
              <w:rPr>
                <w:noProof/>
                <w:szCs w:val="24"/>
              </w:rPr>
              <w:t xml:space="preserve"> </w:t>
            </w:r>
            <w:r w:rsidRPr="005C3B55">
              <w:rPr>
                <w:szCs w:val="24"/>
              </w:rPr>
              <w:t>thus simplifying the verification of double funding, business operations of associated parties, and separation between the funding of individual costs on the sub-measure level and other measures of the RDP 2014–2020. The system will incorporate different databases, which will enable faster and more precise data verification.</w:t>
            </w:r>
            <w:r w:rsidRPr="005C3B55">
              <w:rPr>
                <w:noProof/>
                <w:szCs w:val="24"/>
              </w:rPr>
              <w:t xml:space="preserve"> </w:t>
            </w:r>
            <w:r w:rsidRPr="005C3B55">
              <w:rPr>
                <w:szCs w:val="24"/>
              </w:rPr>
              <w:t>The system will also enable monitoring of the implementation of the sub-measure.</w:t>
            </w:r>
            <w:r w:rsidRPr="005C3B55">
              <w:rPr>
                <w:noProof/>
                <w:szCs w:val="24"/>
              </w:rPr>
              <w:t xml:space="preserve"> </w:t>
            </w:r>
            <w:r w:rsidRPr="005C3B55">
              <w:rPr>
                <w:szCs w:val="24"/>
              </w:rPr>
              <w:t>Training in the use of the IT system will be organised for the drafters of applications and requests.</w:t>
            </w:r>
          </w:p>
          <w:p w:rsidR="00BD3B5F" w:rsidRPr="005C3B55" w:rsidRDefault="00BD3B5F">
            <w:pPr>
              <w:spacing w:before="240" w:after="240"/>
              <w:jc w:val="left"/>
              <w:rPr>
                <w:noProof/>
                <w:szCs w:val="24"/>
              </w:rPr>
            </w:pPr>
            <w:r w:rsidRPr="005C3B55">
              <w:rPr>
                <w:b/>
                <w:noProof/>
                <w:szCs w:val="24"/>
              </w:rPr>
              <w:t xml:space="preserve">R9: </w:t>
            </w:r>
            <w:r w:rsidRPr="005C3B55">
              <w:rPr>
                <w:b/>
                <w:szCs w:val="24"/>
              </w:rPr>
              <w:t>Requests for payment</w:t>
            </w:r>
          </w:p>
          <w:p w:rsidR="00BD3B5F" w:rsidRPr="005C3B55" w:rsidRDefault="00BD3B5F">
            <w:pPr>
              <w:spacing w:before="240" w:after="240"/>
              <w:jc w:val="left"/>
              <w:rPr>
                <w:noProof/>
                <w:szCs w:val="24"/>
              </w:rPr>
            </w:pPr>
            <w:r w:rsidRPr="005C3B55">
              <w:rPr>
                <w:szCs w:val="24"/>
              </w:rPr>
              <w:t>The dissemination of information to beneficiaries and persons preparing applications regarding the preparation of requests for the payment of funds will be improved.</w:t>
            </w:r>
            <w:r w:rsidRPr="005C3B55">
              <w:rPr>
                <w:noProof/>
                <w:szCs w:val="24"/>
              </w:rPr>
              <w:t xml:space="preserve"> </w:t>
            </w:r>
            <w:r w:rsidRPr="005C3B55">
              <w:rPr>
                <w:szCs w:val="24"/>
              </w:rPr>
              <w:t>In this period, the application for processing electronic applications and requests will be upgraded.</w:t>
            </w:r>
          </w:p>
          <w:p w:rsidR="00BD3B5F" w:rsidRPr="005C3B55" w:rsidRDefault="00BD3B5F">
            <w:pPr>
              <w:spacing w:before="240" w:after="240"/>
              <w:jc w:val="left"/>
              <w:rPr>
                <w:noProof/>
                <w:szCs w:val="24"/>
              </w:rPr>
            </w:pPr>
            <w:r w:rsidRPr="005C3B55">
              <w:rPr>
                <w:b/>
                <w:szCs w:val="24"/>
              </w:rPr>
              <w:t>Impact on the environment</w:t>
            </w:r>
          </w:p>
          <w:p w:rsidR="00BD3B5F" w:rsidRPr="005C3B55" w:rsidRDefault="00BD3B5F">
            <w:pPr>
              <w:spacing w:before="240" w:after="240"/>
              <w:jc w:val="left"/>
              <w:rPr>
                <w:noProof/>
                <w:szCs w:val="24"/>
              </w:rPr>
            </w:pPr>
            <w:r w:rsidRPr="005C3B55">
              <w:rPr>
                <w:szCs w:val="24"/>
              </w:rPr>
              <w:t>For each route in Natura 2000 sites, it is necessary to obtain nature conservation approval in accordance with the Nature Conservation Act (Official Gazette of the Republic of Slovenia, no. 96/04 with all amendments).</w:t>
            </w:r>
            <w:r w:rsidRPr="005C3B55">
              <w:rPr>
                <w:noProof/>
                <w:szCs w:val="24"/>
              </w:rPr>
              <w:t xml:space="preserve"> </w:t>
            </w:r>
            <w:r w:rsidRPr="005C3B55">
              <w:rPr>
                <w:szCs w:val="24"/>
              </w:rPr>
              <w:t>The requirements referred to in Article 6 of Directive 92/43/EEC are also implemented in this process.</w:t>
            </w:r>
          </w:p>
          <w:p w:rsidR="00BD3B5F" w:rsidRPr="005C3B55" w:rsidRDefault="00BD3B5F">
            <w:pPr>
              <w:pStyle w:val="Telobesedila"/>
              <w:rPr>
                <w:szCs w:val="24"/>
              </w:rPr>
            </w:pPr>
          </w:p>
        </w:tc>
      </w:tr>
    </w:tbl>
    <w:p w:rsidR="00BD3B5F" w:rsidRPr="005C3B55" w:rsidRDefault="00BD3B5F">
      <w:pPr>
        <w:pStyle w:val="Naslov7"/>
        <w:tabs>
          <w:tab w:val="clear" w:pos="765"/>
        </w:tabs>
        <w:ind w:left="0" w:firstLine="0"/>
        <w:rPr>
          <w:szCs w:val="24"/>
          <w:lang w:val="en-GB"/>
        </w:rPr>
      </w:pPr>
      <w:r w:rsidRPr="005C3B55">
        <w:rPr>
          <w:noProof w:val="0"/>
          <w:szCs w:val="24"/>
          <w:lang w:val="en-GB"/>
        </w:rPr>
        <w:t>General assessment of the measure</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The operation in the anticipated form is fully feasible and verifiable and will have the expected results and contribute to achieving the objectives of the RDP 2014-2020. The operation will also make an important contribution to realising horizontal objectives.</w:t>
            </w:r>
          </w:p>
          <w:p w:rsidR="00BD3B5F" w:rsidRPr="005C3B55" w:rsidRDefault="00BD3B5F">
            <w:pPr>
              <w:pStyle w:val="Telobesedila"/>
              <w:rPr>
                <w:szCs w:val="24"/>
              </w:rPr>
            </w:pPr>
          </w:p>
        </w:tc>
      </w:tr>
    </w:tbl>
    <w:p w:rsidR="00BD3B5F" w:rsidRPr="005C3B55" w:rsidRDefault="00BD3B5F">
      <w:pPr>
        <w:pStyle w:val="Naslov6"/>
        <w:tabs>
          <w:tab w:val="clear" w:pos="765"/>
        </w:tabs>
        <w:ind w:left="0" w:firstLine="0"/>
        <w:rPr>
          <w:szCs w:val="24"/>
          <w:lang w:val="en-GB"/>
        </w:rPr>
      </w:pPr>
      <w:r w:rsidRPr="005C3B55">
        <w:rPr>
          <w:noProof w:val="0"/>
          <w:szCs w:val="24"/>
          <w:lang w:val="en-GB"/>
        </w:rPr>
        <w:t>Methodology for calculating support amount, where relevant</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Not relevant.</w:t>
            </w:r>
          </w:p>
          <w:p w:rsidR="00BD3B5F" w:rsidRPr="005C3B55" w:rsidRDefault="00BD3B5F">
            <w:pPr>
              <w:pStyle w:val="Telobesedila"/>
              <w:rPr>
                <w:szCs w:val="24"/>
              </w:rPr>
            </w:pPr>
          </w:p>
        </w:tc>
      </w:tr>
    </w:tbl>
    <w:p w:rsidR="00BD3B5F" w:rsidRPr="005C3B55" w:rsidRDefault="00BD3B5F">
      <w:pPr>
        <w:pStyle w:val="Naslov6"/>
        <w:tabs>
          <w:tab w:val="clear" w:pos="765"/>
        </w:tabs>
        <w:ind w:left="0" w:firstLine="0"/>
        <w:rPr>
          <w:szCs w:val="24"/>
          <w:lang w:val="en-GB"/>
        </w:rPr>
      </w:pPr>
      <w:r w:rsidRPr="005C3B55">
        <w:rPr>
          <w:noProof w:val="0"/>
          <w:szCs w:val="24"/>
          <w:lang w:val="en-GB"/>
        </w:rPr>
        <w:t>Information that relates specifically to the operation</w:t>
      </w:r>
    </w:p>
    <w:p w:rsidR="00BD3B5F" w:rsidRPr="005C3B55" w:rsidRDefault="00BD3B5F">
      <w:pPr>
        <w:rPr>
          <w:szCs w:val="24"/>
        </w:rPr>
      </w:pPr>
      <w:r w:rsidRPr="005C3B55">
        <w:rPr>
          <w:szCs w:val="24"/>
        </w:rPr>
        <w:t>Definition of non-production investments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Not relevant.</w:t>
            </w:r>
          </w:p>
          <w:p w:rsidR="00BD3B5F" w:rsidRPr="005C3B55" w:rsidRDefault="00BD3B5F">
            <w:pPr>
              <w:pStyle w:val="Telobesedila"/>
              <w:rPr>
                <w:szCs w:val="24"/>
              </w:rPr>
            </w:pPr>
          </w:p>
        </w:tc>
      </w:tr>
    </w:tbl>
    <w:p w:rsidR="00BD3B5F" w:rsidRPr="005C3B55" w:rsidRDefault="00BD3B5F">
      <w:pPr>
        <w:rPr>
          <w:szCs w:val="24"/>
        </w:rPr>
      </w:pPr>
      <w:r w:rsidRPr="005C3B55">
        <w:rPr>
          <w:szCs w:val="24"/>
        </w:rPr>
        <w:t>Definition of collective investments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Not relevant.</w:t>
            </w:r>
          </w:p>
          <w:p w:rsidR="00BD3B5F" w:rsidRPr="005C3B55" w:rsidRDefault="00BD3B5F">
            <w:pPr>
              <w:pStyle w:val="Telobesedila"/>
              <w:rPr>
                <w:szCs w:val="24"/>
              </w:rPr>
            </w:pPr>
          </w:p>
        </w:tc>
      </w:tr>
    </w:tbl>
    <w:p w:rsidR="00BD3B5F" w:rsidRPr="005C3B55" w:rsidRDefault="00BD3B5F">
      <w:pPr>
        <w:rPr>
          <w:szCs w:val="24"/>
        </w:rPr>
      </w:pPr>
      <w:r w:rsidRPr="005C3B55">
        <w:rPr>
          <w:szCs w:val="24"/>
        </w:rPr>
        <w:t>Definition of integrated projects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Not relevant.</w:t>
            </w:r>
          </w:p>
          <w:p w:rsidR="00BD3B5F" w:rsidRPr="005C3B55" w:rsidRDefault="00BD3B5F">
            <w:pPr>
              <w:pStyle w:val="Telobesedila"/>
              <w:rPr>
                <w:szCs w:val="24"/>
              </w:rPr>
            </w:pPr>
          </w:p>
        </w:tc>
      </w:tr>
    </w:tbl>
    <w:p w:rsidR="00BD3B5F" w:rsidRPr="005C3B55" w:rsidRDefault="00BD3B5F">
      <w:pPr>
        <w:rPr>
          <w:szCs w:val="24"/>
        </w:rPr>
      </w:pPr>
      <w:r w:rsidRPr="005C3B55">
        <w:rPr>
          <w:szCs w:val="24"/>
        </w:rPr>
        <w:t>Defining and determining the eligible areas of the Natura 2000 network and other eligible areas of high natural value</w:t>
      </w:r>
    </w:p>
    <w:p w:rsidR="00BD3B5F" w:rsidRPr="005C3B55" w:rsidRDefault="00BD3B5F">
      <w:pPr>
        <w:spacing w:before="0" w:after="0"/>
        <w:rPr>
          <w:szCs w:val="24"/>
        </w:rPr>
      </w:pP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In accordance with suitable consents and permits, the projects will also be implemented in these areas.</w:t>
            </w:r>
          </w:p>
          <w:p w:rsidR="00BD3B5F" w:rsidRPr="005C3B55" w:rsidRDefault="00BD3B5F">
            <w:pPr>
              <w:pStyle w:val="Telobesedila"/>
              <w:rPr>
                <w:szCs w:val="24"/>
              </w:rPr>
            </w:pPr>
          </w:p>
        </w:tc>
      </w:tr>
    </w:tbl>
    <w:p w:rsidR="00BD3B5F" w:rsidRPr="005C3B55" w:rsidRDefault="00BD3B5F">
      <w:pPr>
        <w:rPr>
          <w:szCs w:val="24"/>
        </w:rPr>
      </w:pPr>
      <w:r w:rsidRPr="005C3B55">
        <w:rPr>
          <w:szCs w:val="24"/>
        </w:rPr>
        <w:t>A description of the management of support for farms in accordance with a SWOT analysis implemented in relation to the priority task referred to in Article 5(2) of Regulation (EU) No 1305/2013</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Not relevant.</w:t>
            </w:r>
          </w:p>
          <w:p w:rsidR="00BD3B5F" w:rsidRPr="005C3B55" w:rsidRDefault="00BD3B5F">
            <w:pPr>
              <w:pStyle w:val="Telobesedila"/>
              <w:rPr>
                <w:szCs w:val="24"/>
              </w:rPr>
            </w:pPr>
          </w:p>
        </w:tc>
      </w:tr>
    </w:tbl>
    <w:p w:rsidR="00BD3B5F" w:rsidRPr="005C3B55" w:rsidRDefault="00BD3B5F">
      <w:pPr>
        <w:rPr>
          <w:szCs w:val="24"/>
        </w:rPr>
      </w:pPr>
      <w:r w:rsidRPr="005C3B55">
        <w:rPr>
          <w:szCs w:val="24"/>
        </w:rPr>
        <w:t>List of new requirements imposed by Union’s legislation to ensure compliance for which support may be granted in accordance with Article 17(6) Regulation (EU) No 1305/2013</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Not relevant.</w:t>
            </w:r>
          </w:p>
          <w:p w:rsidR="00BD3B5F" w:rsidRPr="005C3B55" w:rsidRDefault="00BD3B5F">
            <w:pPr>
              <w:pStyle w:val="Telobesedila"/>
              <w:rPr>
                <w:szCs w:val="24"/>
              </w:rPr>
            </w:pPr>
          </w:p>
        </w:tc>
      </w:tr>
    </w:tbl>
    <w:p w:rsidR="00BD3B5F" w:rsidRPr="005C3B55" w:rsidRDefault="00BD3B5F">
      <w:pPr>
        <w:rPr>
          <w:szCs w:val="24"/>
        </w:rPr>
      </w:pPr>
      <w:r w:rsidRPr="005C3B55">
        <w:rPr>
          <w:szCs w:val="24"/>
        </w:rPr>
        <w:t>If relevant, minimum standards for energy efficiency under Article 13(c) of Delegated Regulation (EU) No 807/2014</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Not relevant.</w:t>
            </w:r>
          </w:p>
          <w:p w:rsidR="00BD3B5F" w:rsidRPr="005C3B55" w:rsidRDefault="00BD3B5F">
            <w:pPr>
              <w:pStyle w:val="Telobesedila"/>
              <w:rPr>
                <w:szCs w:val="24"/>
              </w:rPr>
            </w:pPr>
          </w:p>
        </w:tc>
      </w:tr>
    </w:tbl>
    <w:p w:rsidR="00BD3B5F" w:rsidRPr="005C3B55" w:rsidRDefault="00BD3B5F">
      <w:pPr>
        <w:rPr>
          <w:szCs w:val="24"/>
        </w:rPr>
      </w:pPr>
      <w:r w:rsidRPr="005C3B55">
        <w:rPr>
          <w:szCs w:val="24"/>
        </w:rPr>
        <w:t>If relevant, establishing thresholds under Article 13(e) of Delegated Regulation (EU) No 807/2014</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Not relevant.</w:t>
            </w:r>
          </w:p>
          <w:p w:rsidR="00BD3B5F" w:rsidRPr="005C3B55" w:rsidRDefault="00BD3B5F">
            <w:pPr>
              <w:pStyle w:val="Telobesedila"/>
              <w:rPr>
                <w:szCs w:val="24"/>
              </w:rPr>
            </w:pPr>
          </w:p>
        </w:tc>
      </w:tr>
    </w:tbl>
    <w:p w:rsidR="00BD3B5F" w:rsidRPr="005C3B55" w:rsidRDefault="00BD3B5F">
      <w:pPr>
        <w:pStyle w:val="Naslov4"/>
        <w:tabs>
          <w:tab w:val="clear" w:pos="765"/>
        </w:tabs>
        <w:ind w:left="0" w:firstLine="0"/>
        <w:jc w:val="left"/>
        <w:rPr>
          <w:szCs w:val="24"/>
          <w:lang w:val="en-GB"/>
        </w:rPr>
      </w:pPr>
      <w:r w:rsidRPr="005C3B55">
        <w:rPr>
          <w:szCs w:val="24"/>
          <w:lang w:val="en-GB"/>
        </w:rPr>
        <w:t>Verifiability and possibility of control of measures and/or type of operations</w:t>
      </w:r>
    </w:p>
    <w:p w:rsidR="00BD3B5F" w:rsidRPr="005C3B55" w:rsidRDefault="00BD3B5F">
      <w:pPr>
        <w:pStyle w:val="Naslov5"/>
        <w:tabs>
          <w:tab w:val="clear" w:pos="765"/>
        </w:tabs>
        <w:ind w:left="0" w:firstLine="0"/>
        <w:rPr>
          <w:b w:val="0"/>
          <w:szCs w:val="24"/>
          <w:lang w:val="en-GB"/>
        </w:rPr>
      </w:pPr>
      <w:r w:rsidRPr="005C3B55">
        <w:rPr>
          <w:b w:val="0"/>
          <w:noProof w:val="0"/>
          <w:szCs w:val="24"/>
          <w:lang w:val="en-GB"/>
        </w:rPr>
        <w:t>Risks in the implementation of the measure</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Risks are determined within individual sub-measures or operations.</w:t>
            </w:r>
          </w:p>
          <w:p w:rsidR="00BD3B5F" w:rsidRPr="005C3B55" w:rsidRDefault="00BD3B5F">
            <w:pPr>
              <w:pStyle w:val="Telobesedila"/>
              <w:rPr>
                <w:szCs w:val="24"/>
              </w:rPr>
            </w:pPr>
          </w:p>
        </w:tc>
      </w:tr>
    </w:tbl>
    <w:p w:rsidR="00BD3B5F" w:rsidRPr="005C3B55" w:rsidRDefault="00BD3B5F">
      <w:pPr>
        <w:pStyle w:val="Naslov5"/>
        <w:tabs>
          <w:tab w:val="clear" w:pos="765"/>
        </w:tabs>
        <w:ind w:left="0" w:firstLine="0"/>
        <w:rPr>
          <w:b w:val="0"/>
          <w:szCs w:val="24"/>
          <w:lang w:val="en-GB"/>
        </w:rPr>
      </w:pPr>
      <w:r w:rsidRPr="005C3B55">
        <w:rPr>
          <w:b w:val="0"/>
          <w:noProof w:val="0"/>
          <w:szCs w:val="24"/>
          <w:lang w:val="en-GB"/>
        </w:rPr>
        <w:t>Mitigation measures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Mitigation actions are determined within individual sub-measures or operations.</w:t>
            </w:r>
          </w:p>
          <w:p w:rsidR="00BD3B5F" w:rsidRPr="005C3B55" w:rsidRDefault="00BD3B5F">
            <w:pPr>
              <w:pStyle w:val="Telobesedila"/>
              <w:rPr>
                <w:szCs w:val="24"/>
              </w:rPr>
            </w:pPr>
          </w:p>
        </w:tc>
      </w:tr>
    </w:tbl>
    <w:p w:rsidR="00BD3B5F" w:rsidRPr="005C3B55" w:rsidRDefault="00BD3B5F">
      <w:pPr>
        <w:pStyle w:val="Naslov5"/>
        <w:tabs>
          <w:tab w:val="clear" w:pos="765"/>
        </w:tabs>
        <w:ind w:left="0" w:firstLine="0"/>
        <w:rPr>
          <w:b w:val="0"/>
          <w:szCs w:val="24"/>
          <w:lang w:val="en-GB"/>
        </w:rPr>
      </w:pPr>
      <w:r w:rsidRPr="005C3B55">
        <w:rPr>
          <w:b w:val="0"/>
          <w:noProof w:val="0"/>
          <w:szCs w:val="24"/>
          <w:lang w:val="en-GB"/>
        </w:rPr>
        <w:t>General assessment of the measure</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Described within individual sub-measures or operations.</w:t>
            </w:r>
          </w:p>
          <w:p w:rsidR="00BD3B5F" w:rsidRPr="005C3B55" w:rsidRDefault="00BD3B5F">
            <w:pPr>
              <w:pStyle w:val="Telobesedila"/>
              <w:rPr>
                <w:szCs w:val="24"/>
              </w:rPr>
            </w:pPr>
          </w:p>
        </w:tc>
      </w:tr>
    </w:tbl>
    <w:p w:rsidR="00BD3B5F" w:rsidRPr="005C3B55" w:rsidRDefault="00BD3B5F">
      <w:pPr>
        <w:pStyle w:val="Naslov4"/>
        <w:tabs>
          <w:tab w:val="clear" w:pos="765"/>
        </w:tabs>
        <w:ind w:left="0" w:firstLine="0"/>
        <w:jc w:val="left"/>
        <w:rPr>
          <w:szCs w:val="24"/>
          <w:lang w:val="en-GB"/>
        </w:rPr>
      </w:pPr>
      <w:r w:rsidRPr="005C3B55">
        <w:rPr>
          <w:szCs w:val="24"/>
          <w:lang w:val="en-GB"/>
        </w:rPr>
        <w:t>Methodology for calculating support amount, where relevant</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Not relevant.</w:t>
            </w:r>
          </w:p>
          <w:p w:rsidR="00BD3B5F" w:rsidRPr="005C3B55" w:rsidRDefault="00BD3B5F">
            <w:pPr>
              <w:pStyle w:val="Telobesedila"/>
              <w:rPr>
                <w:szCs w:val="24"/>
              </w:rPr>
            </w:pPr>
          </w:p>
        </w:tc>
      </w:tr>
    </w:tbl>
    <w:p w:rsidR="00BD3B5F" w:rsidRPr="005C3B55" w:rsidRDefault="00BD3B5F">
      <w:pPr>
        <w:pStyle w:val="Naslov4"/>
        <w:tabs>
          <w:tab w:val="clear" w:pos="765"/>
        </w:tabs>
        <w:ind w:left="0" w:firstLine="0"/>
        <w:jc w:val="left"/>
        <w:rPr>
          <w:szCs w:val="24"/>
          <w:lang w:val="en-GB"/>
        </w:rPr>
      </w:pPr>
      <w:r w:rsidRPr="005C3B55">
        <w:rPr>
          <w:szCs w:val="24"/>
          <w:lang w:val="en-GB"/>
        </w:rPr>
        <w:t>Additional information specific to the measure</w:t>
      </w:r>
    </w:p>
    <w:p w:rsidR="00BD3B5F" w:rsidRPr="005C3B55" w:rsidRDefault="00BD3B5F">
      <w:pPr>
        <w:rPr>
          <w:szCs w:val="24"/>
        </w:rPr>
      </w:pPr>
      <w:r w:rsidRPr="005C3B55">
        <w:rPr>
          <w:szCs w:val="24"/>
        </w:rPr>
        <w:t>Definition of non-production investments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Not relevant.</w:t>
            </w:r>
          </w:p>
          <w:p w:rsidR="00BD3B5F" w:rsidRPr="005C3B55" w:rsidRDefault="00BD3B5F">
            <w:pPr>
              <w:pStyle w:val="Telobesedila"/>
              <w:rPr>
                <w:szCs w:val="24"/>
              </w:rPr>
            </w:pPr>
          </w:p>
        </w:tc>
      </w:tr>
    </w:tbl>
    <w:p w:rsidR="00BD3B5F" w:rsidRPr="005C3B55" w:rsidRDefault="00BD3B5F">
      <w:pPr>
        <w:spacing w:after="100"/>
        <w:rPr>
          <w:szCs w:val="24"/>
        </w:rPr>
      </w:pPr>
      <w:r w:rsidRPr="005C3B55">
        <w:rPr>
          <w:szCs w:val="24"/>
        </w:rPr>
        <w:t>Definition of collective investments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Not relevant for the entire measure.</w:t>
            </w:r>
            <w:r w:rsidRPr="005C3B55">
              <w:rPr>
                <w:noProof/>
                <w:szCs w:val="24"/>
              </w:rPr>
              <w:t xml:space="preserve"> </w:t>
            </w:r>
            <w:r w:rsidRPr="005C3B55">
              <w:rPr>
                <w:szCs w:val="24"/>
              </w:rPr>
              <w:t>Description is under sub-measure M04.1.</w:t>
            </w:r>
          </w:p>
          <w:p w:rsidR="00BD3B5F" w:rsidRPr="005C3B55" w:rsidRDefault="00BD3B5F">
            <w:pPr>
              <w:pStyle w:val="Telobesedila"/>
              <w:spacing w:after="100"/>
              <w:rPr>
                <w:szCs w:val="24"/>
              </w:rPr>
            </w:pPr>
          </w:p>
        </w:tc>
      </w:tr>
    </w:tbl>
    <w:p w:rsidR="00BD3B5F" w:rsidRPr="005C3B55" w:rsidRDefault="00BD3B5F">
      <w:pPr>
        <w:spacing w:after="100"/>
        <w:rPr>
          <w:szCs w:val="24"/>
        </w:rPr>
      </w:pPr>
      <w:r w:rsidRPr="005C3B55">
        <w:rPr>
          <w:szCs w:val="24"/>
        </w:rPr>
        <w:t>Definition of integrated projects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Integrated projects will not be implemented.</w:t>
            </w:r>
          </w:p>
          <w:p w:rsidR="00BD3B5F" w:rsidRPr="005C3B55" w:rsidRDefault="00BD3B5F">
            <w:pPr>
              <w:pStyle w:val="Telobesedila"/>
              <w:spacing w:after="100"/>
              <w:rPr>
                <w:szCs w:val="24"/>
              </w:rPr>
            </w:pPr>
          </w:p>
        </w:tc>
      </w:tr>
    </w:tbl>
    <w:p w:rsidR="00BD3B5F" w:rsidRPr="005C3B55" w:rsidRDefault="00BD3B5F">
      <w:pPr>
        <w:spacing w:after="100"/>
        <w:rPr>
          <w:szCs w:val="24"/>
        </w:rPr>
      </w:pPr>
      <w:r w:rsidRPr="005C3B55">
        <w:rPr>
          <w:szCs w:val="24"/>
        </w:rPr>
        <w:t>Defining and determining the eligible areas of the Natura 2000 network and other eligible areas of high natural value</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Not relevant.</w:t>
            </w:r>
          </w:p>
          <w:p w:rsidR="00BD3B5F" w:rsidRPr="005C3B55" w:rsidRDefault="00BD3B5F">
            <w:pPr>
              <w:pStyle w:val="Telobesedila"/>
              <w:spacing w:after="100"/>
              <w:rPr>
                <w:szCs w:val="24"/>
              </w:rPr>
            </w:pPr>
          </w:p>
        </w:tc>
      </w:tr>
    </w:tbl>
    <w:p w:rsidR="00BD3B5F" w:rsidRPr="005C3B55" w:rsidRDefault="00BD3B5F">
      <w:pPr>
        <w:spacing w:after="100"/>
        <w:rPr>
          <w:szCs w:val="24"/>
        </w:rPr>
      </w:pPr>
      <w:r w:rsidRPr="005C3B55">
        <w:rPr>
          <w:szCs w:val="24"/>
        </w:rPr>
        <w:t>A description of the management of support for farms in accordance with a SWOT analysis implemented in relation to the priority task referred to in Article 5(2) of Regulation (EU) No 1305/2013</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Not relevant for the entire measure.</w:t>
            </w:r>
            <w:r w:rsidRPr="005C3B55">
              <w:rPr>
                <w:noProof/>
                <w:szCs w:val="24"/>
              </w:rPr>
              <w:t xml:space="preserve"> </w:t>
            </w:r>
            <w:r w:rsidRPr="005C3B55">
              <w:rPr>
                <w:szCs w:val="24"/>
              </w:rPr>
              <w:t>Description is under sub-measure M04.1.</w:t>
            </w:r>
          </w:p>
          <w:p w:rsidR="00BD3B5F" w:rsidRPr="005C3B55" w:rsidRDefault="00BD3B5F">
            <w:pPr>
              <w:pStyle w:val="Telobesedila"/>
              <w:spacing w:after="100"/>
              <w:rPr>
                <w:szCs w:val="24"/>
              </w:rPr>
            </w:pPr>
          </w:p>
        </w:tc>
      </w:tr>
    </w:tbl>
    <w:p w:rsidR="00BD3B5F" w:rsidRPr="005C3B55" w:rsidRDefault="00BD3B5F">
      <w:pPr>
        <w:spacing w:after="100"/>
        <w:rPr>
          <w:szCs w:val="24"/>
        </w:rPr>
      </w:pPr>
      <w:r w:rsidRPr="005C3B55">
        <w:rPr>
          <w:szCs w:val="24"/>
        </w:rPr>
        <w:t>List of new requirements imposed by Union’s legislation to ensure compliance for which support may be granted in accordance with Article 17(6) Regulation (EU) No 1305/2013</w:t>
      </w:r>
    </w:p>
    <w:p w:rsidR="00BD3B5F" w:rsidRPr="005C3B55" w:rsidRDefault="00BD3B5F">
      <w:pPr>
        <w:spacing w:before="0" w:after="0"/>
        <w:rPr>
          <w:szCs w:val="24"/>
        </w:rPr>
      </w:pP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Not relevant.</w:t>
            </w:r>
          </w:p>
          <w:p w:rsidR="00BD3B5F" w:rsidRPr="005C3B55" w:rsidRDefault="00BD3B5F">
            <w:pPr>
              <w:pStyle w:val="Telobesedila"/>
              <w:spacing w:after="100"/>
              <w:rPr>
                <w:szCs w:val="24"/>
              </w:rPr>
            </w:pPr>
          </w:p>
        </w:tc>
      </w:tr>
    </w:tbl>
    <w:p w:rsidR="00BD3B5F" w:rsidRPr="005C3B55" w:rsidRDefault="00BD3B5F">
      <w:pPr>
        <w:spacing w:after="100"/>
        <w:rPr>
          <w:szCs w:val="24"/>
        </w:rPr>
      </w:pPr>
      <w:r w:rsidRPr="005C3B55">
        <w:rPr>
          <w:szCs w:val="24"/>
        </w:rPr>
        <w:t>If relevant, minimum standards for energy efficiency under Article 13(c) of Delegated Regulation (EU) No 807/2014</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Description is in the chapter ‘Other important remarks relevant to understanding and implementing the measure’.</w:t>
            </w:r>
          </w:p>
          <w:p w:rsidR="00BD3B5F" w:rsidRPr="005C3B55" w:rsidRDefault="00BD3B5F">
            <w:pPr>
              <w:pStyle w:val="Telobesedila"/>
              <w:spacing w:after="100"/>
              <w:rPr>
                <w:szCs w:val="24"/>
              </w:rPr>
            </w:pPr>
          </w:p>
        </w:tc>
      </w:tr>
    </w:tbl>
    <w:p w:rsidR="00BD3B5F" w:rsidRPr="005C3B55" w:rsidRDefault="00BD3B5F">
      <w:pPr>
        <w:spacing w:after="100"/>
        <w:rPr>
          <w:szCs w:val="24"/>
        </w:rPr>
      </w:pPr>
      <w:r w:rsidRPr="005C3B55">
        <w:rPr>
          <w:szCs w:val="24"/>
        </w:rPr>
        <w:t>If relevant, establishing thresholds under Article 13(c) of Delegated Regulation (EU) No 807/2014</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Description is in the chapter ‘Other important remarks relevant to understanding and implementing the measure’.</w:t>
            </w:r>
          </w:p>
          <w:p w:rsidR="00BD3B5F" w:rsidRPr="005C3B55" w:rsidRDefault="00BD3B5F">
            <w:pPr>
              <w:pStyle w:val="Telobesedila"/>
              <w:spacing w:after="100"/>
              <w:rPr>
                <w:szCs w:val="24"/>
              </w:rPr>
            </w:pPr>
          </w:p>
        </w:tc>
      </w:tr>
    </w:tbl>
    <w:p w:rsidR="00BD3B5F" w:rsidRPr="005C3B55" w:rsidRDefault="00BD3B5F">
      <w:pPr>
        <w:pStyle w:val="Naslov4"/>
        <w:tabs>
          <w:tab w:val="clear" w:pos="765"/>
        </w:tabs>
        <w:spacing w:after="100"/>
        <w:ind w:left="0" w:firstLine="0"/>
        <w:jc w:val="left"/>
        <w:rPr>
          <w:szCs w:val="24"/>
          <w:lang w:val="en-GB"/>
        </w:rPr>
      </w:pPr>
      <w:r w:rsidRPr="005C3B55">
        <w:rPr>
          <w:szCs w:val="24"/>
          <w:lang w:val="en-GB"/>
        </w:rPr>
        <w:t>Other important remarks relevant to understanding and implementing the measure</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Requirements relating to energy efficiency and energy production from RES:</w:t>
            </w:r>
          </w:p>
          <w:p w:rsidR="00BD3B5F" w:rsidRPr="005C3B55" w:rsidRDefault="00BD3B5F" w:rsidP="00BD3B5F">
            <w:pPr>
              <w:numPr>
                <w:ilvl w:val="0"/>
                <w:numId w:val="214"/>
              </w:numPr>
              <w:spacing w:before="240" w:after="0"/>
              <w:ind w:hanging="290"/>
              <w:jc w:val="left"/>
              <w:rPr>
                <w:noProof/>
                <w:szCs w:val="24"/>
              </w:rPr>
            </w:pPr>
            <w:r w:rsidRPr="005C3B55">
              <w:rPr>
                <w:szCs w:val="24"/>
              </w:rPr>
              <w:t>Minimum energy efficiency standards have to be observed in supported investments which use or generate electricity and are provided in the Energy Act – EZ-1 (Official Gazette of the Republic of Slovenia, no. 17/14) and regulations adopted on its basis (Regulation on support for electricity generated from renewable energy sources (Official Gazette of the Republic of Slovenia, no. 37/09 with amendments), Decree on energy infrastructure (Official Gazette of the Republic of Slovenia, no. 62/03 with amendments), Regulation on supports for electricity generated in cogeneration with high efficiency (Official Gazette of the Republic of Slovenia, no. 37/09 with amendments), Regulation on the determination of the amount of electricity from the cogeneration of heat and electricity generated with high efficiency and determination of efficiency of transformation of energy from biomass (Official Gazette of the Republic of Slovenia, no. 37/09 with amendments), Decree on the emission of substances into the atmosphere from small and medium combustion plants (Official Gazette of the Republic of Slovenia, no. 24/13)) or after the enforcement of new executive acts issued on the basis of the EZ-1; these and all other decrees and regulations which determine minimum energy efficiency standards.</w:t>
            </w:r>
          </w:p>
          <w:p w:rsidR="00BD3B5F" w:rsidRPr="005C3B55" w:rsidRDefault="00BD3B5F" w:rsidP="00BD3B5F">
            <w:pPr>
              <w:numPr>
                <w:ilvl w:val="0"/>
                <w:numId w:val="214"/>
              </w:numPr>
              <w:spacing w:before="0" w:after="0"/>
              <w:ind w:hanging="290"/>
              <w:jc w:val="left"/>
              <w:rPr>
                <w:noProof/>
                <w:szCs w:val="24"/>
              </w:rPr>
            </w:pPr>
            <w:r w:rsidRPr="005C3B55">
              <w:rPr>
                <w:szCs w:val="24"/>
              </w:rPr>
              <w:t>The support for generating energy from renewable energy sources is supported under this measure exclusively for implementation of primary generation, processing or marketing of products as per Annex I of the Treaty on an agricultural holding or food processing facility (own use or sale).</w:t>
            </w:r>
            <w:r w:rsidRPr="005C3B55">
              <w:rPr>
                <w:noProof/>
                <w:szCs w:val="24"/>
              </w:rPr>
              <w:t xml:space="preserve"> </w:t>
            </w:r>
            <w:r w:rsidRPr="005C3B55">
              <w:rPr>
                <w:szCs w:val="24"/>
              </w:rPr>
              <w:t>When generating energy from renewable energy sources, the sale of electric energy in the network is permitted as own use if the total annual quantity of sold energy from renewable energy sources on an agricultural holding does not exceed the average annual needs for electric energy of the agricultural holding or a food processing facility.</w:t>
            </w:r>
          </w:p>
          <w:p w:rsidR="00BD3B5F" w:rsidRPr="005C3B55" w:rsidRDefault="00BD3B5F" w:rsidP="00BD3B5F">
            <w:pPr>
              <w:numPr>
                <w:ilvl w:val="0"/>
                <w:numId w:val="214"/>
              </w:numPr>
              <w:spacing w:before="0" w:after="0"/>
              <w:ind w:hanging="290"/>
              <w:jc w:val="left"/>
              <w:rPr>
                <w:noProof/>
                <w:szCs w:val="24"/>
              </w:rPr>
            </w:pPr>
            <w:r w:rsidRPr="005C3B55">
              <w:rPr>
                <w:szCs w:val="24"/>
              </w:rPr>
              <w:t>When thermal energy is produced from biomass, the raw material for energy production has to be a product as per Annex I of the Treaty.</w:t>
            </w:r>
          </w:p>
          <w:p w:rsidR="00BD3B5F" w:rsidRPr="005C3B55" w:rsidRDefault="00BD3B5F" w:rsidP="00BD3B5F">
            <w:pPr>
              <w:numPr>
                <w:ilvl w:val="0"/>
                <w:numId w:val="214"/>
              </w:numPr>
              <w:spacing w:before="0" w:after="0"/>
              <w:ind w:hanging="290"/>
              <w:jc w:val="left"/>
              <w:rPr>
                <w:noProof/>
                <w:szCs w:val="24"/>
              </w:rPr>
            </w:pPr>
            <w:r w:rsidRPr="005C3B55">
              <w:rPr>
                <w:szCs w:val="24"/>
              </w:rPr>
              <w:t>In the case of investments whose basic objective is to generate electricity from biomass, a part of the cogenerated thermal energy must be utilised at an agricultural holding or a food processing facility.</w:t>
            </w:r>
            <w:r w:rsidRPr="005C3B55">
              <w:rPr>
                <w:noProof/>
                <w:szCs w:val="24"/>
              </w:rPr>
              <w:t xml:space="preserve"> </w:t>
            </w:r>
            <w:r w:rsidRPr="005C3B55">
              <w:rPr>
                <w:szCs w:val="24"/>
              </w:rPr>
              <w:t>The percentage of utilised heat energy must amount to at least 60% annually of the total heat energy generated from biomass, or at least 50% of the total heat energy generated from biogas.</w:t>
            </w:r>
          </w:p>
          <w:p w:rsidR="00BD3B5F" w:rsidRPr="005C3B55" w:rsidRDefault="00BD3B5F" w:rsidP="00BD3B5F">
            <w:pPr>
              <w:numPr>
                <w:ilvl w:val="0"/>
                <w:numId w:val="214"/>
              </w:numPr>
              <w:spacing w:before="0" w:after="0"/>
              <w:ind w:hanging="290"/>
              <w:jc w:val="left"/>
              <w:rPr>
                <w:noProof/>
                <w:szCs w:val="24"/>
              </w:rPr>
            </w:pPr>
            <w:r w:rsidRPr="005C3B55">
              <w:rPr>
                <w:szCs w:val="24"/>
              </w:rPr>
              <w:t>In the case of investments in producing heat energy and/or electricity from biomass, the use of cereals and other starch and sugar rich crops and oil crops is not permitted, except in the production of biogas.</w:t>
            </w:r>
          </w:p>
          <w:p w:rsidR="00BD3B5F" w:rsidRPr="005C3B55" w:rsidRDefault="00BD3B5F" w:rsidP="00BD3B5F">
            <w:pPr>
              <w:numPr>
                <w:ilvl w:val="0"/>
                <w:numId w:val="214"/>
              </w:numPr>
              <w:spacing w:before="0" w:after="0"/>
              <w:ind w:hanging="290"/>
              <w:jc w:val="left"/>
              <w:rPr>
                <w:noProof/>
                <w:szCs w:val="24"/>
              </w:rPr>
            </w:pPr>
            <w:r w:rsidRPr="005C3B55">
              <w:rPr>
                <w:szCs w:val="24"/>
              </w:rPr>
              <w:t>The beneficiary is eligible for support for investments in the production of biogas under this measure only if the substrate includes a maximum of 10 volume per cent of the main crop and a maximum of 15 volume per cent of fodder from grassland or intentionally sown catch crops.</w:t>
            </w:r>
            <w:r w:rsidRPr="005C3B55">
              <w:rPr>
                <w:noProof/>
                <w:szCs w:val="24"/>
              </w:rPr>
              <w:t xml:space="preserve"> </w:t>
            </w:r>
            <w:r w:rsidRPr="005C3B55">
              <w:rPr>
                <w:szCs w:val="24"/>
              </w:rPr>
              <w:t>This must be evident from the technical documentation of such project.</w:t>
            </w:r>
          </w:p>
          <w:p w:rsidR="00BD3B5F" w:rsidRPr="005C3B55" w:rsidRDefault="00BD3B5F" w:rsidP="00BD3B5F">
            <w:pPr>
              <w:numPr>
                <w:ilvl w:val="0"/>
                <w:numId w:val="214"/>
              </w:numPr>
              <w:spacing w:before="0" w:after="240"/>
              <w:ind w:hanging="290"/>
              <w:jc w:val="left"/>
              <w:rPr>
                <w:noProof/>
                <w:szCs w:val="24"/>
              </w:rPr>
            </w:pPr>
            <w:r w:rsidRPr="005C3B55">
              <w:rPr>
                <w:szCs w:val="24"/>
              </w:rPr>
              <w:t>The support is limited to bio-energy which meets the current sustainability criteria in EU legislation, including Article 17(2) to (6) of Directive 2009/28/EC of the European Parliament and of the Council.</w:t>
            </w:r>
            <w:r w:rsidRPr="005C3B55">
              <w:rPr>
                <w:noProof/>
                <w:szCs w:val="24"/>
              </w:rPr>
              <w:t xml:space="preserve"> </w:t>
            </w:r>
            <w:r w:rsidRPr="005C3B55">
              <w:rPr>
                <w:szCs w:val="24"/>
              </w:rPr>
              <w:t>The production of biogas will be supported within sub-measures M04.1 and M04.2; the production of other bio fuels will not be supported under this measure.</w:t>
            </w:r>
          </w:p>
          <w:p w:rsidR="00BD3B5F" w:rsidRPr="005C3B55" w:rsidRDefault="00BD3B5F">
            <w:pPr>
              <w:spacing w:before="240" w:after="240"/>
              <w:jc w:val="left"/>
              <w:rPr>
                <w:noProof/>
                <w:szCs w:val="24"/>
              </w:rPr>
            </w:pPr>
            <w:r w:rsidRPr="005C3B55">
              <w:rPr>
                <w:szCs w:val="24"/>
              </w:rPr>
              <w:t>Requirements relating to reduced water consumption when irrigating:</w:t>
            </w:r>
          </w:p>
          <w:p w:rsidR="00BD3B5F" w:rsidRPr="005C3B55" w:rsidRDefault="00BD3B5F" w:rsidP="00BD3B5F">
            <w:pPr>
              <w:numPr>
                <w:ilvl w:val="0"/>
                <w:numId w:val="215"/>
              </w:numPr>
              <w:spacing w:before="240" w:after="240"/>
              <w:ind w:hanging="290"/>
              <w:jc w:val="left"/>
              <w:rPr>
                <w:noProof/>
                <w:szCs w:val="24"/>
              </w:rPr>
            </w:pPr>
            <w:r w:rsidRPr="005C3B55">
              <w:rPr>
                <w:szCs w:val="24"/>
              </w:rPr>
              <w:t>Considering the state of the existing irrigation systems, it is possible to attain a 15% potential reduction of water consumption, as the existing irrigation systems in Slovenia are outdated and cause major losses of water from irrigation canals.</w:t>
            </w:r>
            <w:r w:rsidRPr="005C3B55">
              <w:rPr>
                <w:noProof/>
                <w:szCs w:val="24"/>
              </w:rPr>
              <w:t xml:space="preserve">  </w:t>
            </w:r>
            <w:r w:rsidRPr="005C3B55">
              <w:rPr>
                <w:szCs w:val="24"/>
              </w:rPr>
              <w:t>Article 46 of Regulation (EU) No 1305/2013 envisaged potential savings of water of at lest 5 to 25%.</w:t>
            </w:r>
            <w:r w:rsidRPr="005C3B55">
              <w:rPr>
                <w:noProof/>
                <w:szCs w:val="24"/>
              </w:rPr>
              <w:t xml:space="preserve"> </w:t>
            </w:r>
            <w:r w:rsidRPr="005C3B55">
              <w:rPr>
                <w:szCs w:val="24"/>
              </w:rPr>
              <w:t>It has been assessed that in Slovenia, a 5% potential reduction of water consumption does not economically justify the investment, while it is difficult to attain a 25% potential reduction of water consumption considering the existing state of irrigation systems in Slovenia.</w:t>
            </w:r>
            <w:r w:rsidRPr="005C3B55">
              <w:rPr>
                <w:noProof/>
                <w:szCs w:val="24"/>
              </w:rPr>
              <w:t xml:space="preserve"> </w:t>
            </w:r>
            <w:r w:rsidRPr="005C3B55">
              <w:rPr>
                <w:szCs w:val="24"/>
              </w:rPr>
              <w:t>Pipe irrigation systems are used in Slovenia, which is why no such major losses of water are expected.</w:t>
            </w:r>
          </w:p>
          <w:p w:rsidR="00BD3B5F" w:rsidRPr="005C3B55" w:rsidRDefault="00BD3B5F">
            <w:pPr>
              <w:spacing w:before="240" w:after="240"/>
              <w:jc w:val="left"/>
              <w:rPr>
                <w:noProof/>
                <w:szCs w:val="24"/>
              </w:rPr>
            </w:pPr>
            <w:r w:rsidRPr="005C3B55">
              <w:rPr>
                <w:noProof/>
                <w:szCs w:val="24"/>
              </w:rPr>
              <w:t> </w:t>
            </w:r>
          </w:p>
          <w:p w:rsidR="00BD3B5F" w:rsidRPr="005C3B55" w:rsidRDefault="00BD3B5F">
            <w:pPr>
              <w:spacing w:before="240" w:after="240"/>
              <w:jc w:val="left"/>
              <w:rPr>
                <w:noProof/>
                <w:szCs w:val="24"/>
              </w:rPr>
            </w:pPr>
            <w:r w:rsidRPr="005C3B55">
              <w:rPr>
                <w:szCs w:val="24"/>
              </w:rPr>
              <w:t>Demarcation with sub-measure M06.4 ‘Investments in the establishment and development of non-agricultural activities’ measure:</w:t>
            </w:r>
          </w:p>
          <w:p w:rsidR="00BD3B5F" w:rsidRPr="005C3B55" w:rsidRDefault="00BD3B5F">
            <w:pPr>
              <w:spacing w:before="240" w:after="240"/>
              <w:jc w:val="left"/>
              <w:rPr>
                <w:noProof/>
                <w:szCs w:val="24"/>
              </w:rPr>
            </w:pPr>
            <w:r w:rsidRPr="005C3B55">
              <w:rPr>
                <w:szCs w:val="24"/>
              </w:rPr>
              <w:t>Measure M04 ‘Investments in physical assets’ supports the acquisition of RES for use in primary agricultural production, processing or marketing of products from Annex I to the Treaty (own use) or the acquisition of RES from biogas for sale if it is intended for processing or marketing products from Annex 1 to the Treaty at an agricultural holding or food processing facility.</w:t>
            </w:r>
            <w:r w:rsidRPr="005C3B55">
              <w:rPr>
                <w:noProof/>
                <w:szCs w:val="24"/>
              </w:rPr>
              <w:t xml:space="preserve"> </w:t>
            </w:r>
            <w:r w:rsidRPr="005C3B55">
              <w:rPr>
                <w:szCs w:val="24"/>
              </w:rPr>
              <w:t>While the measure intended for the development of non-agricultural activities supports the acquisition of RES for sale, the private use of farmers and combined use, which does not include the acquisition of RES from biogas.</w:t>
            </w:r>
          </w:p>
          <w:p w:rsidR="00BD3B5F" w:rsidRPr="005C3B55" w:rsidRDefault="00BD3B5F">
            <w:pPr>
              <w:pStyle w:val="Telobesedila"/>
              <w:rPr>
                <w:szCs w:val="24"/>
              </w:rPr>
            </w:pPr>
          </w:p>
        </w:tc>
      </w:tr>
    </w:tbl>
    <w:p w:rsidR="00BD3B5F" w:rsidRPr="005C3B55" w:rsidRDefault="00BD3B5F">
      <w:pPr>
        <w:pStyle w:val="Naslov3"/>
        <w:tabs>
          <w:tab w:val="clear" w:pos="765"/>
        </w:tabs>
        <w:ind w:left="0" w:firstLine="0"/>
        <w:jc w:val="left"/>
        <w:rPr>
          <w:szCs w:val="24"/>
          <w:lang w:val="en-GB"/>
        </w:rPr>
      </w:pPr>
      <w:r w:rsidRPr="005C3B55">
        <w:rPr>
          <w:szCs w:val="24"/>
          <w:lang w:val="en-GB"/>
        </w:rPr>
        <w:br w:type="page"/>
      </w:r>
      <w:bookmarkStart w:id="119" w:name="_Toc416192577"/>
      <w:r w:rsidRPr="005C3B55">
        <w:rPr>
          <w:szCs w:val="24"/>
          <w:lang w:val="en-GB"/>
        </w:rPr>
        <w:t>M06 – Farm and business development (Article 19)</w:t>
      </w:r>
      <w:bookmarkEnd w:id="119"/>
    </w:p>
    <w:p w:rsidR="00BD3B5F" w:rsidRPr="005C3B55" w:rsidRDefault="00BD3B5F">
      <w:pPr>
        <w:pStyle w:val="Naslov4"/>
        <w:tabs>
          <w:tab w:val="clear" w:pos="765"/>
        </w:tabs>
        <w:ind w:left="0" w:firstLine="0"/>
        <w:jc w:val="left"/>
        <w:rPr>
          <w:szCs w:val="24"/>
          <w:lang w:val="en-GB"/>
        </w:rPr>
      </w:pPr>
      <w:r w:rsidRPr="005C3B55">
        <w:rPr>
          <w:szCs w:val="24"/>
          <w:lang w:val="en-GB"/>
        </w:rPr>
        <w:t>Legal basis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Measure M06 is implemented pursuant to Article 19 of Regulation (EU) No 1305/2013.</w:t>
            </w:r>
          </w:p>
          <w:p w:rsidR="00BD3B5F" w:rsidRPr="005C3B55" w:rsidRDefault="00BD3B5F">
            <w:pPr>
              <w:pStyle w:val="Telobesedila"/>
              <w:rPr>
                <w:szCs w:val="24"/>
              </w:rPr>
            </w:pPr>
          </w:p>
        </w:tc>
      </w:tr>
    </w:tbl>
    <w:p w:rsidR="00BD3B5F" w:rsidRPr="005C3B55" w:rsidRDefault="00BD3B5F">
      <w:pPr>
        <w:pStyle w:val="Naslov4"/>
        <w:tabs>
          <w:tab w:val="clear" w:pos="765"/>
        </w:tabs>
        <w:ind w:left="0" w:firstLine="0"/>
        <w:jc w:val="left"/>
        <w:rPr>
          <w:szCs w:val="24"/>
          <w:lang w:val="en-GB"/>
        </w:rPr>
      </w:pPr>
      <w:r w:rsidRPr="005C3B55">
        <w:rPr>
          <w:szCs w:val="24"/>
          <w:lang w:val="en-GB"/>
        </w:rPr>
        <w:t>A general description of the measure, including its intervention logic and contribution to priority areas and horizontal goals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0"/>
              <w:jc w:val="left"/>
              <w:rPr>
                <w:noProof/>
                <w:szCs w:val="24"/>
              </w:rPr>
            </w:pPr>
            <w:r w:rsidRPr="005C3B55">
              <w:rPr>
                <w:szCs w:val="24"/>
              </w:rPr>
              <w:t>The purpose of the measure is to establish and develop farms and non-agricultural activities in rural areas.</w:t>
            </w:r>
            <w:r w:rsidRPr="005C3B55">
              <w:rPr>
                <w:noProof/>
                <w:szCs w:val="24"/>
              </w:rPr>
              <w:t xml:space="preserve"> </w:t>
            </w:r>
            <w:r w:rsidRPr="005C3B55">
              <w:rPr>
                <w:szCs w:val="24"/>
              </w:rPr>
              <w:t>Incentives are intended to contribute to the activation of endogenous potential in the local environment which will result in strengthening the rural economy, create new jobs and raise added value.</w:t>
            </w:r>
            <w:r w:rsidRPr="005C3B55">
              <w:rPr>
                <w:noProof/>
                <w:szCs w:val="24"/>
              </w:rPr>
              <w:t xml:space="preserve"> </w:t>
            </w:r>
            <w:r w:rsidRPr="005C3B55">
              <w:rPr>
                <w:szCs w:val="24"/>
              </w:rPr>
              <w:t>The measure will be implemented through two sub-measures:</w:t>
            </w:r>
          </w:p>
          <w:p w:rsidR="00BD3B5F" w:rsidRPr="005C3B55" w:rsidRDefault="00BD3B5F" w:rsidP="00BD3B5F">
            <w:pPr>
              <w:numPr>
                <w:ilvl w:val="0"/>
                <w:numId w:val="216"/>
              </w:numPr>
              <w:spacing w:before="240" w:after="0"/>
              <w:ind w:hanging="290"/>
              <w:jc w:val="left"/>
              <w:rPr>
                <w:noProof/>
                <w:szCs w:val="24"/>
              </w:rPr>
            </w:pPr>
            <w:r w:rsidRPr="005C3B55">
              <w:rPr>
                <w:szCs w:val="24"/>
              </w:rPr>
              <w:t>Business start-up aid for young farmers (sub-measure M06.1),</w:t>
            </w:r>
          </w:p>
          <w:p w:rsidR="00BD3B5F" w:rsidRPr="005C3B55" w:rsidRDefault="00BD3B5F" w:rsidP="00BD3B5F">
            <w:pPr>
              <w:numPr>
                <w:ilvl w:val="0"/>
                <w:numId w:val="216"/>
              </w:numPr>
              <w:spacing w:before="0" w:after="240"/>
              <w:ind w:hanging="290"/>
              <w:jc w:val="left"/>
              <w:rPr>
                <w:noProof/>
                <w:szCs w:val="24"/>
              </w:rPr>
            </w:pPr>
            <w:r w:rsidRPr="005C3B55">
              <w:rPr>
                <w:szCs w:val="24"/>
              </w:rPr>
              <w:t>Support for investments in the establishment and development of non-agricultural activities (sub-measure M06.4).</w:t>
            </w:r>
          </w:p>
          <w:p w:rsidR="00BD3B5F" w:rsidRPr="005C3B55" w:rsidRDefault="00BD3B5F">
            <w:pPr>
              <w:spacing w:before="240" w:after="240"/>
              <w:jc w:val="left"/>
              <w:rPr>
                <w:noProof/>
                <w:szCs w:val="24"/>
              </w:rPr>
            </w:pPr>
            <w:r w:rsidRPr="005C3B55">
              <w:rPr>
                <w:szCs w:val="24"/>
              </w:rPr>
              <w:t>Support under measure M06 focuses on the first and fifth action areas referred to in the RDP 2014–2020 determined in Chapter 5.1 of the RDP 2014–2020.</w:t>
            </w:r>
          </w:p>
          <w:p w:rsidR="00BD3B5F" w:rsidRPr="005C3B55" w:rsidRDefault="00BD3B5F">
            <w:pPr>
              <w:spacing w:before="240" w:after="240"/>
              <w:jc w:val="left"/>
              <w:rPr>
                <w:noProof/>
                <w:szCs w:val="24"/>
              </w:rPr>
            </w:pPr>
            <w:r w:rsidRPr="005C3B55">
              <w:rPr>
                <w:szCs w:val="24"/>
              </w:rPr>
              <w:t>The needs assessment shows that the age structure of owners of agricultural holdings is unfavourable, since their average age is 56 years.</w:t>
            </w:r>
          </w:p>
          <w:p w:rsidR="00BD3B5F" w:rsidRPr="005C3B55" w:rsidRDefault="00BD3B5F">
            <w:pPr>
              <w:spacing w:before="240" w:after="240"/>
              <w:jc w:val="left"/>
              <w:rPr>
                <w:noProof/>
                <w:szCs w:val="24"/>
              </w:rPr>
            </w:pPr>
            <w:r w:rsidRPr="005C3B55">
              <w:rPr>
                <w:szCs w:val="24"/>
              </w:rPr>
              <w:t>Generational renewal is a key precondition for quicker restructuring and increasing the competitiveness of Slovenian agriculture.</w:t>
            </w:r>
            <w:r w:rsidRPr="005C3B55">
              <w:rPr>
                <w:noProof/>
                <w:szCs w:val="24"/>
              </w:rPr>
              <w:t xml:space="preserve"> </w:t>
            </w:r>
            <w:r w:rsidRPr="005C3B55">
              <w:rPr>
                <w:szCs w:val="24"/>
              </w:rPr>
              <w:t>Younger owners of agricultural holdings are more educated and qualified to work in agriculture.</w:t>
            </w:r>
            <w:r w:rsidRPr="005C3B55">
              <w:rPr>
                <w:noProof/>
                <w:szCs w:val="24"/>
              </w:rPr>
              <w:t xml:space="preserve"> </w:t>
            </w:r>
            <w:r w:rsidRPr="005C3B55">
              <w:rPr>
                <w:szCs w:val="24"/>
              </w:rPr>
              <w:t>The objective of this measure is to stimulate the young to start farms and create full-time jobs for themselves on the farms.</w:t>
            </w:r>
            <w:r w:rsidRPr="005C3B55">
              <w:rPr>
                <w:noProof/>
                <w:szCs w:val="24"/>
              </w:rPr>
              <w:t xml:space="preserve"> </w:t>
            </w:r>
            <w:r w:rsidRPr="005C3B55">
              <w:rPr>
                <w:szCs w:val="24"/>
              </w:rPr>
              <w:t>The education structure of younger farmers is better, and as a result, they are more qualified to work on farms.</w:t>
            </w:r>
            <w:r w:rsidRPr="005C3B55">
              <w:rPr>
                <w:noProof/>
                <w:szCs w:val="24"/>
              </w:rPr>
              <w:t xml:space="preserve"> </w:t>
            </w:r>
            <w:r w:rsidRPr="005C3B55">
              <w:rPr>
                <w:szCs w:val="24"/>
              </w:rPr>
              <w:t>Young farmers are more business-oriented and motivated to introduce technological, production and organisations, as well as marketing changes and innovations.</w:t>
            </w:r>
            <w:r w:rsidRPr="005C3B55">
              <w:rPr>
                <w:noProof/>
                <w:szCs w:val="24"/>
              </w:rPr>
              <w:t xml:space="preserve"> </w:t>
            </w:r>
            <w:r w:rsidRPr="005C3B55">
              <w:rPr>
                <w:szCs w:val="24"/>
              </w:rPr>
              <w:t>Due to their lack of capital, they have greater difficulties accessing the financial sources which they need in the earliest stages of start-up.</w:t>
            </w:r>
          </w:p>
          <w:p w:rsidR="00BD3B5F" w:rsidRPr="005C3B55" w:rsidRDefault="00BD3B5F">
            <w:pPr>
              <w:spacing w:before="240" w:after="240"/>
              <w:jc w:val="left"/>
              <w:rPr>
                <w:noProof/>
                <w:szCs w:val="24"/>
              </w:rPr>
            </w:pPr>
            <w:r w:rsidRPr="005C3B55">
              <w:rPr>
                <w:szCs w:val="24"/>
              </w:rPr>
              <w:t>The needs assessment shows that the aggravated economic and social situations are also strongly reflected in the countryside.</w:t>
            </w:r>
            <w:r w:rsidRPr="005C3B55">
              <w:rPr>
                <w:noProof/>
                <w:szCs w:val="24"/>
              </w:rPr>
              <w:t xml:space="preserve"> </w:t>
            </w:r>
            <w:r w:rsidRPr="005C3B55">
              <w:rPr>
                <w:szCs w:val="24"/>
              </w:rPr>
              <w:t>The increase in unemployment, especially among youth with a large number of highly educated people, is quite worrying.</w:t>
            </w:r>
            <w:r w:rsidRPr="005C3B55">
              <w:rPr>
                <w:noProof/>
                <w:szCs w:val="24"/>
              </w:rPr>
              <w:t xml:space="preserve"> </w:t>
            </w:r>
            <w:r w:rsidRPr="005C3B55">
              <w:rPr>
                <w:szCs w:val="24"/>
              </w:rPr>
              <w:t>The increase in unemployment greatly increases the risk of poverty and social exclusion.</w:t>
            </w:r>
          </w:p>
          <w:p w:rsidR="00BD3B5F" w:rsidRPr="005C3B55" w:rsidRDefault="00BD3B5F">
            <w:pPr>
              <w:spacing w:before="240" w:after="240"/>
              <w:jc w:val="left"/>
              <w:rPr>
                <w:noProof/>
                <w:szCs w:val="24"/>
              </w:rPr>
            </w:pPr>
            <w:r w:rsidRPr="005C3B55">
              <w:rPr>
                <w:szCs w:val="24"/>
              </w:rPr>
              <w:t>The objective of this measures is to stimulate the development of non-agricultural activities for the greater use of endogenous potential and to create additional source of income in the countryside, to preserve existing jobs and to create new, especially green, jobs.</w:t>
            </w:r>
            <w:r w:rsidRPr="005C3B55">
              <w:rPr>
                <w:noProof/>
                <w:szCs w:val="24"/>
              </w:rPr>
              <w:t xml:space="preserve"> </w:t>
            </w:r>
            <w:r w:rsidRPr="005C3B55">
              <w:rPr>
                <w:szCs w:val="24"/>
              </w:rPr>
              <w:t>This is especially important for smaller farms and farms with a low level of market orientation, as well as farms in economically and developmentally weaker areas, which may create additional sources of income by developing non-agricultural activities, and thus ensure their economic and social stability.</w:t>
            </w:r>
            <w:r w:rsidRPr="005C3B55">
              <w:rPr>
                <w:noProof/>
                <w:szCs w:val="24"/>
              </w:rPr>
              <w:t xml:space="preserve"> </w:t>
            </w:r>
            <w:r w:rsidRPr="005C3B55">
              <w:rPr>
                <w:szCs w:val="24"/>
              </w:rPr>
              <w:t>Developing non-agricultural activities may facilitate further development and enable new business opportunities, such as through inclusion in food, forest-wood and other non-food chains, and the wider local economy.</w:t>
            </w:r>
            <w:r w:rsidRPr="005C3B55">
              <w:rPr>
                <w:noProof/>
                <w:szCs w:val="24"/>
              </w:rPr>
              <w:t xml:space="preserve"> </w:t>
            </w:r>
            <w:r w:rsidRPr="005C3B55">
              <w:rPr>
                <w:szCs w:val="24"/>
              </w:rPr>
              <w:t>Considering the different levels of development and the ability to activate the local potential of individual rural areas in Slovenia, it is sensible to stimulate target-oriented diversification into non-agricultural activities, i.e. to provide support particularly to areas with lower economic and development effectiveness, high unemployment rates and low employment potential.</w:t>
            </w:r>
          </w:p>
          <w:p w:rsidR="00BD3B5F" w:rsidRPr="005C3B55" w:rsidRDefault="00BD3B5F">
            <w:pPr>
              <w:spacing w:before="240" w:after="240"/>
              <w:jc w:val="left"/>
              <w:rPr>
                <w:noProof/>
                <w:szCs w:val="24"/>
              </w:rPr>
            </w:pPr>
            <w:r w:rsidRPr="005C3B55">
              <w:rPr>
                <w:szCs w:val="24"/>
              </w:rPr>
              <w:t>Due to structural problems in the banking sector, businesses have difficulties accessing appropriate financial sources, which has a negative impact on investment activity.</w:t>
            </w:r>
            <w:r w:rsidRPr="005C3B55">
              <w:rPr>
                <w:noProof/>
                <w:szCs w:val="24"/>
              </w:rPr>
              <w:t xml:space="preserve"> </w:t>
            </w:r>
            <w:r w:rsidRPr="005C3B55">
              <w:rPr>
                <w:szCs w:val="24"/>
              </w:rPr>
              <w:t>By stimulating the use of financial instruments within the scope of the sub-measure ‘Investments in the establishment and development of non-agricultural activities’, access to various forms of financial instruments will be simplified, thus positively affecting the investment capacities of businesses and agricultural holdings in the countryside.</w:t>
            </w:r>
          </w:p>
          <w:p w:rsidR="00BD3B5F" w:rsidRPr="005C3B55" w:rsidRDefault="00BD3B5F">
            <w:pPr>
              <w:spacing w:before="240" w:after="240"/>
              <w:jc w:val="left"/>
              <w:rPr>
                <w:noProof/>
                <w:szCs w:val="24"/>
              </w:rPr>
            </w:pPr>
            <w:r w:rsidRPr="005C3B55">
              <w:rPr>
                <w:b/>
                <w:szCs w:val="24"/>
              </w:rPr>
              <w:t>Contribution to focus areas:</w:t>
            </w:r>
          </w:p>
          <w:p w:rsidR="00BD3B5F" w:rsidRPr="005C3B55" w:rsidRDefault="00BD3B5F">
            <w:pPr>
              <w:spacing w:before="240" w:after="240"/>
              <w:jc w:val="left"/>
              <w:rPr>
                <w:noProof/>
                <w:szCs w:val="24"/>
              </w:rPr>
            </w:pPr>
            <w:r w:rsidRPr="005C3B55">
              <w:rPr>
                <w:b/>
                <w:i/>
                <w:szCs w:val="24"/>
              </w:rPr>
              <w:t>Focus area 2B:</w:t>
            </w:r>
            <w:r w:rsidRPr="005C3B55">
              <w:rPr>
                <w:b/>
                <w:i/>
                <w:noProof/>
                <w:szCs w:val="24"/>
              </w:rPr>
              <w:t xml:space="preserve"> </w:t>
            </w:r>
            <w:r w:rsidRPr="005C3B55">
              <w:rPr>
                <w:b/>
                <w:i/>
                <w:szCs w:val="24"/>
              </w:rPr>
              <w:t>Facilitating the entry of farmers to the agricultural sector and, in particular, generational renewal</w:t>
            </w:r>
          </w:p>
          <w:p w:rsidR="00BD3B5F" w:rsidRPr="005C3B55" w:rsidRDefault="00BD3B5F">
            <w:pPr>
              <w:spacing w:before="240" w:after="240"/>
              <w:jc w:val="left"/>
              <w:rPr>
                <w:noProof/>
                <w:szCs w:val="24"/>
              </w:rPr>
            </w:pPr>
            <w:r w:rsidRPr="005C3B55">
              <w:rPr>
                <w:szCs w:val="24"/>
              </w:rPr>
              <w:t>By supporting the activities of young farmers, this measure will stimulate the easier commencement of agricultural activities and, consequently, generational renewal in the agricultural sector, which is crucial to quick restructuring and increasing the competitiveness of Slovenian agriculture.</w:t>
            </w:r>
          </w:p>
          <w:p w:rsidR="00BD3B5F" w:rsidRPr="005C3B55" w:rsidRDefault="00BD3B5F">
            <w:pPr>
              <w:spacing w:before="240" w:after="240"/>
              <w:jc w:val="left"/>
              <w:rPr>
                <w:noProof/>
                <w:szCs w:val="24"/>
              </w:rPr>
            </w:pPr>
            <w:r w:rsidRPr="005C3B55">
              <w:rPr>
                <w:b/>
                <w:i/>
                <w:szCs w:val="24"/>
              </w:rPr>
              <w:t>Focus area 6A:</w:t>
            </w:r>
            <w:r w:rsidRPr="005C3B55">
              <w:rPr>
                <w:b/>
                <w:i/>
                <w:noProof/>
                <w:szCs w:val="24"/>
              </w:rPr>
              <w:t xml:space="preserve"> </w:t>
            </w:r>
            <w:r w:rsidRPr="005C3B55">
              <w:rPr>
                <w:b/>
                <w:i/>
                <w:szCs w:val="24"/>
              </w:rPr>
              <w:t>Facilitating the diversification, creation and development of small enterprises and job creation</w:t>
            </w:r>
          </w:p>
          <w:p w:rsidR="00BD3B5F" w:rsidRPr="005C3B55" w:rsidRDefault="00BD3B5F">
            <w:pPr>
              <w:spacing w:before="240" w:after="240"/>
              <w:jc w:val="left"/>
              <w:rPr>
                <w:noProof/>
                <w:szCs w:val="24"/>
              </w:rPr>
            </w:pPr>
            <w:r w:rsidRPr="005C3B55">
              <w:rPr>
                <w:szCs w:val="24"/>
              </w:rPr>
              <w:t>The measure will facilitate the development of non-agricultural activities and the implementation of investments in non-agricultural activities, thus creating conditions for the emergence of new jobs and the maintenance of existing ones, and strengthening entrepreneurship in rural areas, as well as for opportunities to acquire additional sources of income on farms, which will contribute to improving social and economic conditions in rural areas.</w:t>
            </w:r>
          </w:p>
          <w:p w:rsidR="00BD3B5F" w:rsidRPr="005C3B55" w:rsidRDefault="00BD3B5F">
            <w:pPr>
              <w:spacing w:before="240" w:after="240"/>
              <w:jc w:val="left"/>
              <w:rPr>
                <w:noProof/>
                <w:szCs w:val="24"/>
              </w:rPr>
            </w:pPr>
            <w:r w:rsidRPr="005C3B55">
              <w:rPr>
                <w:b/>
                <w:szCs w:val="24"/>
              </w:rPr>
              <w:t>Contribution to horizontal objectives:</w:t>
            </w:r>
          </w:p>
          <w:p w:rsidR="00BD3B5F" w:rsidRPr="005C3B55" w:rsidRDefault="00BD3B5F">
            <w:pPr>
              <w:spacing w:before="0" w:after="0"/>
              <w:jc w:val="left"/>
              <w:rPr>
                <w:noProof/>
                <w:szCs w:val="24"/>
              </w:rPr>
            </w:pPr>
            <w:r w:rsidRPr="005C3B55">
              <w:rPr>
                <w:b/>
                <w:i/>
                <w:szCs w:val="24"/>
              </w:rPr>
              <w:t>Environment:</w:t>
            </w:r>
            <w:r w:rsidRPr="005C3B55">
              <w:rPr>
                <w:noProof/>
                <w:szCs w:val="24"/>
              </w:rPr>
              <w:t xml:space="preserve"> </w:t>
            </w:r>
            <w:r w:rsidRPr="005C3B55">
              <w:rPr>
                <w:szCs w:val="24"/>
              </w:rPr>
              <w:t>Within the scope of sub-measure M06.1, priority will be given to those young farmers whose business plans show their contribution to care for the environment, e.g. conversion to organic farming, activities that contribute to developing the farm in the sense of sustainable farming.</w:t>
            </w:r>
            <w:r w:rsidRPr="005C3B55">
              <w:rPr>
                <w:noProof/>
                <w:szCs w:val="24"/>
              </w:rPr>
              <w:t xml:space="preserve"> </w:t>
            </w:r>
            <w:r w:rsidRPr="005C3B55">
              <w:rPr>
                <w:szCs w:val="24"/>
              </w:rPr>
              <w:t>Under submeasure M06.4, support will be primarily provided for the development and strengthening of those economic activities in the local environment which will contribute to the creation of green jobs.</w:t>
            </w:r>
            <w:r w:rsidRPr="005C3B55">
              <w:rPr>
                <w:noProof/>
                <w:szCs w:val="24"/>
              </w:rPr>
              <w:t xml:space="preserve"> </w:t>
            </w:r>
            <w:r w:rsidRPr="005C3B55">
              <w:rPr>
                <w:szCs w:val="24"/>
              </w:rPr>
              <w:t>This will support the transition to the green economy, the inherent principle of which is to pursue sustainable growth.</w:t>
            </w:r>
            <w:r w:rsidRPr="005C3B55">
              <w:rPr>
                <w:noProof/>
                <w:szCs w:val="24"/>
              </w:rPr>
              <w:t xml:space="preserve"> </w:t>
            </w:r>
            <w:r w:rsidRPr="005C3B55">
              <w:rPr>
                <w:szCs w:val="24"/>
              </w:rPr>
              <w:t>Within this sub-measure, investments related to increasing energy efficiency and renewable energy sources will be supported, which will have a positive affect on reducing greenhouse gas emissions and environmental pollution.</w:t>
            </w:r>
          </w:p>
          <w:p w:rsidR="00BD3B5F" w:rsidRPr="005C3B55" w:rsidRDefault="00BD3B5F">
            <w:pPr>
              <w:spacing w:before="240" w:after="240"/>
              <w:jc w:val="left"/>
              <w:rPr>
                <w:noProof/>
                <w:szCs w:val="24"/>
              </w:rPr>
            </w:pPr>
            <w:r w:rsidRPr="005C3B55">
              <w:rPr>
                <w:b/>
                <w:i/>
                <w:szCs w:val="24"/>
              </w:rPr>
              <w:t>Mitigating, and adapting to, climate change:</w:t>
            </w:r>
            <w:r w:rsidRPr="005C3B55">
              <w:rPr>
                <w:b/>
                <w:i/>
                <w:noProof/>
                <w:szCs w:val="24"/>
              </w:rPr>
              <w:t xml:space="preserve"> </w:t>
            </w:r>
            <w:r w:rsidRPr="005C3B55">
              <w:rPr>
                <w:szCs w:val="24"/>
              </w:rPr>
              <w:t>Within sub-measure M06.1, young farmers will be supported whose business plan shows a contribution to the mitigation of, and adaptation to, climate change, e.g. the introduction of technologies which reduce environmental pollution and improve animal welfare, and prevent damage due to climate change.</w:t>
            </w:r>
          </w:p>
          <w:p w:rsidR="00BD3B5F" w:rsidRPr="005C3B55" w:rsidRDefault="00BD3B5F">
            <w:pPr>
              <w:spacing w:before="240" w:after="240"/>
              <w:jc w:val="left"/>
              <w:rPr>
                <w:noProof/>
                <w:szCs w:val="24"/>
              </w:rPr>
            </w:pPr>
            <w:r w:rsidRPr="005C3B55">
              <w:rPr>
                <w:szCs w:val="24"/>
              </w:rPr>
              <w:t>Within sub-measure M06.4, support will be intended for activities which comprise the use of the endogenous potential of rural areas and thus create the foundations for the establishment of green jobs.</w:t>
            </w:r>
            <w:r w:rsidRPr="005C3B55">
              <w:rPr>
                <w:noProof/>
                <w:szCs w:val="24"/>
              </w:rPr>
              <w:t xml:space="preserve"> </w:t>
            </w:r>
            <w:r w:rsidRPr="005C3B55">
              <w:rPr>
                <w:szCs w:val="24"/>
              </w:rPr>
              <w:t>These activities are connected with adding value to wood, local self-sufficiency, and shortening transport routes, renewable energy sources, and contributing to reducing carbon footprint.</w:t>
            </w:r>
          </w:p>
          <w:p w:rsidR="00BD3B5F" w:rsidRPr="005C3B55" w:rsidRDefault="00BD3B5F">
            <w:pPr>
              <w:spacing w:before="240" w:after="240"/>
              <w:jc w:val="left"/>
              <w:rPr>
                <w:noProof/>
                <w:szCs w:val="24"/>
              </w:rPr>
            </w:pPr>
            <w:r w:rsidRPr="005C3B55">
              <w:rPr>
                <w:szCs w:val="24"/>
              </w:rPr>
              <w:t>When implementing investments, beneficiaries will have to observe the already adopted national decrees on reducing national air emissions and national decrees on reducing national air emissions adopted on the basis of Directives of the European Parliament and of the Council according to the Clean Air for Europe Programme.</w:t>
            </w:r>
          </w:p>
          <w:p w:rsidR="00BD3B5F" w:rsidRPr="005C3B55" w:rsidRDefault="00BD3B5F">
            <w:pPr>
              <w:spacing w:before="240" w:after="240"/>
              <w:jc w:val="left"/>
              <w:rPr>
                <w:noProof/>
                <w:szCs w:val="24"/>
              </w:rPr>
            </w:pPr>
            <w:r w:rsidRPr="005C3B55">
              <w:rPr>
                <w:b/>
                <w:i/>
                <w:szCs w:val="24"/>
              </w:rPr>
              <w:t>Innovation:</w:t>
            </w:r>
            <w:r w:rsidRPr="005C3B55">
              <w:rPr>
                <w:noProof/>
                <w:szCs w:val="24"/>
              </w:rPr>
              <w:t xml:space="preserve"> </w:t>
            </w:r>
            <w:r w:rsidRPr="005C3B55">
              <w:rPr>
                <w:szCs w:val="24"/>
              </w:rPr>
              <w:t>Business start-up aid for young farmers will encourage generational renewal in the agricultural sector and thus enhance the development capability of agricultural holdings, which is important in terms of opportunities for a quicker transfer, and the introduction of new knowledge and innovations.</w:t>
            </w:r>
          </w:p>
          <w:p w:rsidR="00BD3B5F" w:rsidRPr="005C3B55" w:rsidRDefault="00BD3B5F">
            <w:pPr>
              <w:spacing w:before="240" w:after="240"/>
              <w:jc w:val="left"/>
              <w:rPr>
                <w:noProof/>
                <w:szCs w:val="24"/>
              </w:rPr>
            </w:pPr>
            <w:r w:rsidRPr="005C3B55">
              <w:rPr>
                <w:szCs w:val="24"/>
              </w:rPr>
              <w:t>Innovation is the driving force in the development of successful and competitive companies.</w:t>
            </w:r>
            <w:r w:rsidRPr="005C3B55">
              <w:rPr>
                <w:noProof/>
                <w:szCs w:val="24"/>
              </w:rPr>
              <w:t xml:space="preserve"> </w:t>
            </w:r>
            <w:r w:rsidRPr="005C3B55">
              <w:rPr>
                <w:szCs w:val="24"/>
              </w:rPr>
              <w:t>Support provided for the development of non-agricultural activities will stimulate those businesses whose development visions indicate the introduction of innovations.</w:t>
            </w:r>
          </w:p>
          <w:p w:rsidR="00BD3B5F" w:rsidRPr="005C3B55" w:rsidRDefault="00BD3B5F">
            <w:pPr>
              <w:pStyle w:val="Telobesedila"/>
              <w:rPr>
                <w:szCs w:val="24"/>
              </w:rPr>
            </w:pPr>
          </w:p>
        </w:tc>
      </w:tr>
    </w:tbl>
    <w:p w:rsidR="00BD3B5F" w:rsidRPr="005C3B55" w:rsidRDefault="00BD3B5F">
      <w:pPr>
        <w:pStyle w:val="Naslov4"/>
        <w:tabs>
          <w:tab w:val="clear" w:pos="765"/>
        </w:tabs>
        <w:ind w:left="0" w:firstLine="0"/>
        <w:jc w:val="left"/>
        <w:rPr>
          <w:szCs w:val="24"/>
          <w:lang w:val="en-GB"/>
        </w:rPr>
      </w:pPr>
      <w:r w:rsidRPr="005C3B55">
        <w:rPr>
          <w:szCs w:val="24"/>
          <w:lang w:val="en-GB"/>
        </w:rPr>
        <w:t>Scope and rate of support and beneficiaries, and, where relevant, the methodology for calculating the amount or level of support, if necessary broken down by sub-measures and/or the type of operation. Determine eligible costs, conditions for eligibility, valid amounts and rates of support and principles regarding the definition of the selection criteria for each type of operation</w:t>
      </w:r>
    </w:p>
    <w:p w:rsidR="00BD3B5F" w:rsidRPr="005C3B55" w:rsidRDefault="00BD3B5F">
      <w:pPr>
        <w:pStyle w:val="Naslov5"/>
        <w:tabs>
          <w:tab w:val="clear" w:pos="765"/>
        </w:tabs>
        <w:ind w:left="0" w:firstLine="0"/>
        <w:rPr>
          <w:b w:val="0"/>
          <w:szCs w:val="24"/>
          <w:lang w:val="en-GB"/>
        </w:rPr>
      </w:pPr>
      <w:r w:rsidRPr="005C3B55">
        <w:rPr>
          <w:b w:val="0"/>
          <w:szCs w:val="24"/>
          <w:lang w:val="en-GB"/>
        </w:rPr>
        <w:t xml:space="preserve">1. </w:t>
      </w:r>
      <w:r w:rsidRPr="005C3B55">
        <w:rPr>
          <w:b w:val="0"/>
          <w:noProof w:val="0"/>
          <w:szCs w:val="24"/>
          <w:lang w:val="en-GB"/>
        </w:rPr>
        <w:t>Business start-up aid for young farmers</w:t>
      </w:r>
    </w:p>
    <w:p w:rsidR="00BD3B5F" w:rsidRPr="005C3B55" w:rsidRDefault="00BD3B5F">
      <w:pPr>
        <w:rPr>
          <w:szCs w:val="24"/>
        </w:rPr>
      </w:pPr>
      <w:r w:rsidRPr="005C3B55">
        <w:rPr>
          <w:szCs w:val="24"/>
        </w:rPr>
        <w:t xml:space="preserve">Sub-measure: </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rsidP="00BD3B5F">
            <w:pPr>
              <w:numPr>
                <w:ilvl w:val="0"/>
                <w:numId w:val="217"/>
              </w:numPr>
              <w:rPr>
                <w:szCs w:val="24"/>
              </w:rPr>
            </w:pPr>
            <w:r w:rsidRPr="005C3B55">
              <w:rPr>
                <w:szCs w:val="24"/>
              </w:rPr>
              <w:t>6.1 – Business start-up aid for young farmers</w:t>
            </w:r>
          </w:p>
        </w:tc>
      </w:tr>
    </w:tbl>
    <w:p w:rsidR="00BD3B5F" w:rsidRPr="005C3B55" w:rsidRDefault="00BD3B5F" w:rsidP="004311A3">
      <w:pPr>
        <w:pStyle w:val="Naslov6"/>
        <w:tabs>
          <w:tab w:val="clear" w:pos="765"/>
        </w:tabs>
        <w:ind w:left="0" w:firstLine="0"/>
        <w:rPr>
          <w:szCs w:val="24"/>
          <w:lang w:val="en-GB"/>
        </w:rPr>
      </w:pPr>
      <w:r w:rsidRPr="005C3B55">
        <w:rPr>
          <w:noProof w:val="0"/>
          <w:szCs w:val="24"/>
          <w:lang w:val="en-GB"/>
        </w:rPr>
        <w:t>Description of type of operation</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Support under this sub-measure is intended for young farmers to establish farms and agricultural activities.</w:t>
            </w:r>
          </w:p>
          <w:p w:rsidR="00BD3B5F" w:rsidRPr="005C3B55" w:rsidRDefault="00BD3B5F">
            <w:pPr>
              <w:spacing w:before="240" w:after="240"/>
              <w:jc w:val="left"/>
              <w:rPr>
                <w:noProof/>
                <w:szCs w:val="24"/>
              </w:rPr>
            </w:pPr>
            <w:r w:rsidRPr="005C3B55">
              <w:rPr>
                <w:szCs w:val="24"/>
              </w:rPr>
              <w:t>The objective of the measure is to contribute to improving the age structure of farmers and thus to a speedier restructuring of this sector, and at the same time, to the creation of new jobs and thus to an increase in employment in the agricultural sector.</w:t>
            </w:r>
          </w:p>
          <w:p w:rsidR="00BD3B5F" w:rsidRPr="005C3B55" w:rsidRDefault="00BD3B5F">
            <w:pPr>
              <w:spacing w:before="240" w:after="240"/>
              <w:jc w:val="left"/>
              <w:rPr>
                <w:noProof/>
                <w:szCs w:val="24"/>
              </w:rPr>
            </w:pPr>
            <w:r w:rsidRPr="005C3B55">
              <w:rPr>
                <w:szCs w:val="24"/>
              </w:rPr>
              <w:t>This is why start-up aid for young farmers is an important factor in improving the effectiveness of restructuring Slovenian agricultural holdings.</w:t>
            </w:r>
          </w:p>
          <w:p w:rsidR="00BD3B5F" w:rsidRPr="005C3B55" w:rsidRDefault="00BD3B5F">
            <w:pPr>
              <w:pStyle w:val="Telobesedila"/>
              <w:rPr>
                <w:szCs w:val="24"/>
              </w:rPr>
            </w:pPr>
          </w:p>
        </w:tc>
      </w:tr>
    </w:tbl>
    <w:p w:rsidR="00BD3B5F" w:rsidRPr="005C3B55" w:rsidRDefault="00BD3B5F">
      <w:pPr>
        <w:pStyle w:val="Naslov6"/>
        <w:tabs>
          <w:tab w:val="clear" w:pos="765"/>
        </w:tabs>
        <w:ind w:left="0" w:firstLine="0"/>
        <w:rPr>
          <w:szCs w:val="24"/>
          <w:lang w:val="en-GB"/>
        </w:rPr>
      </w:pPr>
      <w:r w:rsidRPr="005C3B55">
        <w:rPr>
          <w:noProof w:val="0"/>
          <w:szCs w:val="24"/>
          <w:lang w:val="en-GB"/>
        </w:rPr>
        <w:t>Type of support</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Support is granted in the form of non-refundable financial aid.</w:t>
            </w:r>
          </w:p>
          <w:p w:rsidR="00BD3B5F" w:rsidRPr="005C3B55" w:rsidRDefault="00BD3B5F">
            <w:pPr>
              <w:spacing w:before="240" w:after="240"/>
              <w:jc w:val="left"/>
              <w:rPr>
                <w:noProof/>
                <w:szCs w:val="24"/>
              </w:rPr>
            </w:pPr>
            <w:r w:rsidRPr="005C3B55">
              <w:rPr>
                <w:szCs w:val="24"/>
              </w:rPr>
              <w:t>It is paid in two instalments; the final payment is conditional on the appropriate implementation of the business plan.</w:t>
            </w:r>
          </w:p>
          <w:p w:rsidR="00BD3B5F" w:rsidRPr="005C3B55" w:rsidRDefault="00BD3B5F">
            <w:pPr>
              <w:pStyle w:val="Telobesedila"/>
              <w:rPr>
                <w:szCs w:val="24"/>
              </w:rPr>
            </w:pPr>
          </w:p>
        </w:tc>
      </w:tr>
    </w:tbl>
    <w:p w:rsidR="00BD3B5F" w:rsidRPr="005C3B55" w:rsidRDefault="00BD3B5F">
      <w:pPr>
        <w:pStyle w:val="Naslov6"/>
        <w:tabs>
          <w:tab w:val="clear" w:pos="765"/>
        </w:tabs>
        <w:ind w:left="0" w:firstLine="0"/>
        <w:rPr>
          <w:szCs w:val="24"/>
          <w:lang w:val="en-GB"/>
        </w:rPr>
      </w:pPr>
      <w:r w:rsidRPr="005C3B55">
        <w:rPr>
          <w:noProof w:val="0"/>
          <w:szCs w:val="24"/>
          <w:lang w:val="en-GB"/>
        </w:rPr>
        <w:t>Connection with other legislation</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rsidP="00BD3B5F">
            <w:pPr>
              <w:numPr>
                <w:ilvl w:val="0"/>
                <w:numId w:val="218"/>
              </w:numPr>
              <w:spacing w:before="0" w:after="0"/>
              <w:ind w:hanging="290"/>
              <w:jc w:val="left"/>
              <w:rPr>
                <w:noProof/>
                <w:szCs w:val="24"/>
              </w:rPr>
            </w:pPr>
            <w:r w:rsidRPr="005C3B55">
              <w:rPr>
                <w:szCs w:val="24"/>
              </w:rPr>
              <w:t>Agriculture Act (Official Gazette of the Republic of Slovenia, no. 45/2008 with all amendments);</w:t>
            </w:r>
          </w:p>
          <w:p w:rsidR="00BD3B5F" w:rsidRPr="005C3B55" w:rsidRDefault="00BD3B5F" w:rsidP="00BD3B5F">
            <w:pPr>
              <w:numPr>
                <w:ilvl w:val="0"/>
                <w:numId w:val="218"/>
              </w:numPr>
              <w:spacing w:before="0" w:after="0"/>
              <w:ind w:hanging="290"/>
              <w:jc w:val="left"/>
              <w:rPr>
                <w:noProof/>
                <w:szCs w:val="24"/>
              </w:rPr>
            </w:pPr>
            <w:r w:rsidRPr="005C3B55">
              <w:rPr>
                <w:szCs w:val="24"/>
              </w:rPr>
              <w:t>national regulation which regulates the implementation of this sub-measure;</w:t>
            </w:r>
          </w:p>
          <w:p w:rsidR="00BD3B5F" w:rsidRPr="005C3B55" w:rsidRDefault="00BD3B5F" w:rsidP="00BD3B5F">
            <w:pPr>
              <w:numPr>
                <w:ilvl w:val="0"/>
                <w:numId w:val="218"/>
              </w:numPr>
              <w:spacing w:before="0" w:after="0"/>
              <w:ind w:hanging="290"/>
              <w:jc w:val="left"/>
              <w:rPr>
                <w:noProof/>
                <w:szCs w:val="24"/>
              </w:rPr>
            </w:pPr>
            <w:r w:rsidRPr="005C3B55">
              <w:rPr>
                <w:noProof/>
                <w:szCs w:val="24"/>
              </w:rPr>
              <w:t xml:space="preserve"> </w:t>
            </w:r>
            <w:r w:rsidRPr="005C3B55">
              <w:rPr>
                <w:szCs w:val="24"/>
              </w:rPr>
              <w:t>Article 65 of Regulation (EU) No 1303/2013;</w:t>
            </w:r>
          </w:p>
          <w:p w:rsidR="00BD3B5F" w:rsidRPr="005C3B55" w:rsidRDefault="00BD3B5F" w:rsidP="00BD3B5F">
            <w:pPr>
              <w:numPr>
                <w:ilvl w:val="0"/>
                <w:numId w:val="218"/>
              </w:numPr>
              <w:spacing w:before="0" w:after="0"/>
              <w:ind w:hanging="290"/>
              <w:jc w:val="left"/>
              <w:rPr>
                <w:noProof/>
                <w:szCs w:val="24"/>
              </w:rPr>
            </w:pPr>
            <w:r w:rsidRPr="005C3B55">
              <w:rPr>
                <w:noProof/>
                <w:szCs w:val="24"/>
              </w:rPr>
              <w:t xml:space="preserve"> </w:t>
            </w:r>
            <w:r w:rsidRPr="005C3B55">
              <w:rPr>
                <w:szCs w:val="24"/>
              </w:rPr>
              <w:t>Article 9 of Regulation (EU) No 1307/2013;</w:t>
            </w:r>
          </w:p>
          <w:p w:rsidR="00BD3B5F" w:rsidRPr="005C3B55" w:rsidRDefault="00BD3B5F" w:rsidP="00BD3B5F">
            <w:pPr>
              <w:numPr>
                <w:ilvl w:val="0"/>
                <w:numId w:val="218"/>
              </w:numPr>
              <w:spacing w:before="0" w:after="0"/>
              <w:ind w:hanging="290"/>
              <w:jc w:val="left"/>
              <w:rPr>
                <w:noProof/>
                <w:szCs w:val="24"/>
              </w:rPr>
            </w:pPr>
            <w:r w:rsidRPr="005C3B55">
              <w:rPr>
                <w:noProof/>
                <w:szCs w:val="24"/>
              </w:rPr>
              <w:t xml:space="preserve"> </w:t>
            </w:r>
            <w:r w:rsidRPr="005C3B55">
              <w:rPr>
                <w:szCs w:val="24"/>
              </w:rPr>
              <w:t>Articles 2 and 5 of Regulation (EU) No 807/2014, and</w:t>
            </w:r>
          </w:p>
          <w:p w:rsidR="00BD3B5F" w:rsidRPr="005C3B55" w:rsidRDefault="00BD3B5F" w:rsidP="00BD3B5F">
            <w:pPr>
              <w:numPr>
                <w:ilvl w:val="0"/>
                <w:numId w:val="218"/>
              </w:numPr>
              <w:spacing w:before="0" w:after="240"/>
              <w:ind w:hanging="290"/>
              <w:jc w:val="left"/>
              <w:rPr>
                <w:noProof/>
                <w:szCs w:val="24"/>
              </w:rPr>
            </w:pPr>
            <w:r w:rsidRPr="005C3B55">
              <w:rPr>
                <w:szCs w:val="24"/>
              </w:rPr>
              <w:t>other EU and national legislation which regulates the implementation of this sub-measure.</w:t>
            </w:r>
          </w:p>
          <w:p w:rsidR="00BD3B5F" w:rsidRPr="005C3B55" w:rsidRDefault="00BD3B5F">
            <w:pPr>
              <w:pStyle w:val="Telobesedila"/>
              <w:rPr>
                <w:szCs w:val="24"/>
              </w:rPr>
            </w:pPr>
          </w:p>
        </w:tc>
      </w:tr>
    </w:tbl>
    <w:p w:rsidR="00BD3B5F" w:rsidRPr="005C3B55" w:rsidRDefault="00BD3B5F">
      <w:pPr>
        <w:pStyle w:val="Naslov6"/>
        <w:tabs>
          <w:tab w:val="clear" w:pos="765"/>
        </w:tabs>
        <w:ind w:left="0" w:firstLine="0"/>
        <w:rPr>
          <w:szCs w:val="24"/>
          <w:lang w:val="en-GB"/>
        </w:rPr>
      </w:pPr>
      <w:r w:rsidRPr="005C3B55">
        <w:rPr>
          <w:noProof w:val="0"/>
          <w:szCs w:val="24"/>
          <w:lang w:val="en-GB"/>
        </w:rPr>
        <w:t>Beneficiaries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Beneficiaries are young farmers who were between 18 and including 40 years of age on the date of submission of application and who are appropriately educated and qualified, and who are establishing an agricultural holding for the first time.</w:t>
            </w:r>
          </w:p>
          <w:p w:rsidR="00BD3B5F" w:rsidRPr="005C3B55" w:rsidRDefault="00BD3B5F">
            <w:pPr>
              <w:spacing w:before="240" w:after="240"/>
              <w:jc w:val="left"/>
              <w:rPr>
                <w:noProof/>
                <w:szCs w:val="24"/>
              </w:rPr>
            </w:pPr>
            <w:r w:rsidRPr="005C3B55">
              <w:rPr>
                <w:szCs w:val="24"/>
              </w:rPr>
              <w:t>Young farmers are natural entities who are the sole owners of an agricultural holding on a farm.</w:t>
            </w:r>
          </w:p>
          <w:p w:rsidR="00BD3B5F" w:rsidRPr="005C3B55" w:rsidRDefault="00BD3B5F">
            <w:pPr>
              <w:spacing w:before="240" w:after="240"/>
              <w:jc w:val="left"/>
              <w:rPr>
                <w:noProof/>
                <w:szCs w:val="24"/>
              </w:rPr>
            </w:pPr>
            <w:r w:rsidRPr="005C3B55">
              <w:rPr>
                <w:b/>
                <w:szCs w:val="24"/>
              </w:rPr>
              <w:t>Establishment of an agricultural holding:</w:t>
            </w:r>
          </w:p>
          <w:p w:rsidR="00BD3B5F" w:rsidRPr="005C3B55" w:rsidRDefault="00BD3B5F">
            <w:pPr>
              <w:spacing w:before="240" w:after="240"/>
              <w:jc w:val="left"/>
              <w:rPr>
                <w:noProof/>
                <w:szCs w:val="24"/>
              </w:rPr>
            </w:pPr>
            <w:r w:rsidRPr="005C3B55">
              <w:rPr>
                <w:szCs w:val="24"/>
              </w:rPr>
              <w:t>A farm is established by taking over ownership of the farm, entry of the owner in the register of agricultural holdings and the fulfilment of the milestone in the business plan connected with the mandatory introduction of bookkeeping for primary agricultural production.</w:t>
            </w:r>
            <w:r w:rsidRPr="005C3B55">
              <w:rPr>
                <w:noProof/>
                <w:szCs w:val="24"/>
              </w:rPr>
              <w:t xml:space="preserve"> </w:t>
            </w:r>
            <w:r w:rsidRPr="005C3B55">
              <w:rPr>
                <w:szCs w:val="24"/>
              </w:rPr>
              <w:t>The beneficiary became a farm owner no longer than 18 months prior to submitting the application to a public tender.</w:t>
            </w:r>
            <w:r w:rsidRPr="005C3B55">
              <w:rPr>
                <w:noProof/>
                <w:szCs w:val="24"/>
              </w:rPr>
              <w:t xml:space="preserve"> </w:t>
            </w:r>
            <w:r w:rsidRPr="005C3B55">
              <w:rPr>
                <w:szCs w:val="24"/>
              </w:rPr>
              <w:t>The establishment of the farm may not be completed upon the submission of the application to a public tender.</w:t>
            </w:r>
          </w:p>
          <w:p w:rsidR="00BD3B5F" w:rsidRPr="005C3B55" w:rsidRDefault="00BD3B5F">
            <w:pPr>
              <w:spacing w:before="240" w:after="240"/>
              <w:jc w:val="left"/>
              <w:rPr>
                <w:noProof/>
                <w:szCs w:val="24"/>
              </w:rPr>
            </w:pPr>
            <w:r w:rsidRPr="005C3B55">
              <w:rPr>
                <w:szCs w:val="24"/>
              </w:rPr>
              <w:t>The establishment is final when the beneficiary:</w:t>
            </w:r>
          </w:p>
          <w:p w:rsidR="00BD3B5F" w:rsidRPr="005C3B55" w:rsidRDefault="00BD3B5F" w:rsidP="00BD3B5F">
            <w:pPr>
              <w:numPr>
                <w:ilvl w:val="0"/>
                <w:numId w:val="219"/>
              </w:numPr>
              <w:spacing w:before="240" w:after="0"/>
              <w:ind w:hanging="290"/>
              <w:jc w:val="left"/>
              <w:rPr>
                <w:noProof/>
                <w:szCs w:val="24"/>
              </w:rPr>
            </w:pPr>
            <w:r w:rsidRPr="005C3B55">
              <w:rPr>
                <w:szCs w:val="24"/>
              </w:rPr>
              <w:t>becomes the land registry owner of the farm based on the decision issued on entry in the Land Register;</w:t>
            </w:r>
          </w:p>
          <w:p w:rsidR="00BD3B5F" w:rsidRPr="005C3B55" w:rsidRDefault="00BD3B5F" w:rsidP="00BD3B5F">
            <w:pPr>
              <w:numPr>
                <w:ilvl w:val="0"/>
                <w:numId w:val="219"/>
              </w:numPr>
              <w:spacing w:before="0" w:after="0"/>
              <w:ind w:hanging="290"/>
              <w:jc w:val="left"/>
              <w:rPr>
                <w:noProof/>
                <w:szCs w:val="24"/>
              </w:rPr>
            </w:pPr>
            <w:r w:rsidRPr="005C3B55">
              <w:rPr>
                <w:szCs w:val="24"/>
              </w:rPr>
              <w:t>is entered in the agricultural holdings register as the owner of the agricultural holding on the farm, and</w:t>
            </w:r>
          </w:p>
          <w:p w:rsidR="00BD3B5F" w:rsidRPr="005C3B55" w:rsidRDefault="00BD3B5F" w:rsidP="00BD3B5F">
            <w:pPr>
              <w:numPr>
                <w:ilvl w:val="0"/>
                <w:numId w:val="219"/>
              </w:numPr>
              <w:spacing w:before="0" w:after="240"/>
              <w:ind w:hanging="290"/>
              <w:jc w:val="left"/>
              <w:rPr>
                <w:noProof/>
                <w:szCs w:val="24"/>
              </w:rPr>
            </w:pPr>
            <w:r w:rsidRPr="005C3B55">
              <w:rPr>
                <w:szCs w:val="24"/>
              </w:rPr>
              <w:t>has introduced bookkeeping for primary agricultural production.</w:t>
            </w:r>
          </w:p>
          <w:p w:rsidR="00BD3B5F" w:rsidRPr="005C3B55" w:rsidRDefault="00BD3B5F">
            <w:pPr>
              <w:pStyle w:val="Telobesedila"/>
              <w:rPr>
                <w:szCs w:val="24"/>
              </w:rPr>
            </w:pPr>
          </w:p>
        </w:tc>
      </w:tr>
    </w:tbl>
    <w:p w:rsidR="00BD3B5F" w:rsidRPr="005C3B55" w:rsidRDefault="00BD3B5F">
      <w:pPr>
        <w:pStyle w:val="Naslov6"/>
        <w:tabs>
          <w:tab w:val="clear" w:pos="765"/>
        </w:tabs>
        <w:ind w:left="0" w:firstLine="0"/>
        <w:rPr>
          <w:szCs w:val="24"/>
          <w:lang w:val="en-GB"/>
        </w:rPr>
      </w:pPr>
      <w:r w:rsidRPr="005C3B55">
        <w:rPr>
          <w:noProof w:val="0"/>
          <w:szCs w:val="24"/>
          <w:lang w:val="en-GB"/>
        </w:rPr>
        <w:t>Eligible costs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Eligible costs are not defined under this sub-measure.</w:t>
            </w:r>
          </w:p>
          <w:p w:rsidR="00BD3B5F" w:rsidRPr="005C3B55" w:rsidRDefault="00BD3B5F">
            <w:pPr>
              <w:pStyle w:val="Telobesedila"/>
              <w:rPr>
                <w:szCs w:val="24"/>
              </w:rPr>
            </w:pPr>
          </w:p>
        </w:tc>
      </w:tr>
    </w:tbl>
    <w:p w:rsidR="00BD3B5F" w:rsidRPr="005C3B55" w:rsidRDefault="00BD3B5F" w:rsidP="004311A3">
      <w:pPr>
        <w:pStyle w:val="Naslov6"/>
        <w:tabs>
          <w:tab w:val="clear" w:pos="765"/>
        </w:tabs>
        <w:ind w:left="0" w:firstLine="0"/>
        <w:rPr>
          <w:szCs w:val="24"/>
          <w:lang w:val="en-GB"/>
        </w:rPr>
      </w:pPr>
      <w:r w:rsidRPr="005C3B55">
        <w:rPr>
          <w:noProof w:val="0"/>
          <w:szCs w:val="24"/>
          <w:lang w:val="en-GB"/>
        </w:rPr>
        <w:t>Conditions for eligibility</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rsidP="00BD3B5F">
            <w:pPr>
              <w:numPr>
                <w:ilvl w:val="0"/>
                <w:numId w:val="220"/>
              </w:numPr>
              <w:spacing w:before="0" w:after="0"/>
              <w:ind w:hanging="290"/>
              <w:jc w:val="left"/>
              <w:rPr>
                <w:noProof/>
                <w:szCs w:val="24"/>
              </w:rPr>
            </w:pPr>
            <w:r w:rsidRPr="005C3B55">
              <w:rPr>
                <w:szCs w:val="24"/>
              </w:rPr>
              <w:t>The beneficiary must have suitable professional knowledge and qualifications to pursue agricultural and agriculture-related activities.</w:t>
            </w:r>
            <w:r w:rsidRPr="005C3B55">
              <w:rPr>
                <w:noProof/>
                <w:szCs w:val="24"/>
              </w:rPr>
              <w:t xml:space="preserve"> </w:t>
            </w:r>
            <w:r w:rsidRPr="005C3B55">
              <w:rPr>
                <w:szCs w:val="24"/>
              </w:rPr>
              <w:t>Agriculture-related activities are</w:t>
            </w:r>
            <w:r w:rsidRPr="005C3B55">
              <w:rPr>
                <w:noProof/>
                <w:szCs w:val="24"/>
              </w:rPr>
              <w:t xml:space="preserve"> </w:t>
            </w:r>
            <w:r w:rsidRPr="005C3B55">
              <w:rPr>
                <w:szCs w:val="24"/>
              </w:rPr>
              <w:t>food processing, wood processing, veterinary, nature protection and forestry activities.</w:t>
            </w:r>
            <w:r w:rsidRPr="005C3B55">
              <w:rPr>
                <w:noProof/>
                <w:szCs w:val="24"/>
              </w:rPr>
              <w:t xml:space="preserve"> </w:t>
            </w:r>
            <w:r w:rsidRPr="005C3B55">
              <w:rPr>
                <w:szCs w:val="24"/>
              </w:rPr>
              <w:t>The minimum condition referring to the acquired occupational knowledge is a lower vocational qualification in the field of agriculture or agriculture-related activities and three years of work experience on a farm, or a lower vocational qualification of a non-agricultural programme, acquired national vocational qualification certificate at level 4 in the field of agriculture or agriculture-related activities and three years of work experience on a farm. Qualifications and skills are considered acquired if the beneficiaries prove that they have been obtaining such experience in agriculture or agriculture-related activities for at least three years before submitting the application to the public tender.</w:t>
            </w:r>
          </w:p>
          <w:p w:rsidR="00BD3B5F" w:rsidRPr="005C3B55" w:rsidRDefault="00BD3B5F" w:rsidP="00BD3B5F">
            <w:pPr>
              <w:numPr>
                <w:ilvl w:val="0"/>
                <w:numId w:val="220"/>
              </w:numPr>
              <w:spacing w:before="0" w:after="0"/>
              <w:ind w:hanging="290"/>
              <w:jc w:val="left"/>
              <w:rPr>
                <w:noProof/>
                <w:szCs w:val="24"/>
              </w:rPr>
            </w:pPr>
            <w:r w:rsidRPr="005C3B55">
              <w:rPr>
                <w:szCs w:val="24"/>
              </w:rPr>
              <w:t>The beneficiary establishes a farm when at least 6 ha of appropriate agricultural land (AAL) and maximum 80 ha of AAL is managed, whereby the beneficiary takes over physical assets for agricultural activity.</w:t>
            </w:r>
            <w:r w:rsidRPr="005C3B55">
              <w:rPr>
                <w:noProof/>
                <w:szCs w:val="24"/>
              </w:rPr>
              <w:t xml:space="preserve"> </w:t>
            </w:r>
            <w:r w:rsidRPr="005C3B55">
              <w:rPr>
                <w:szCs w:val="24"/>
              </w:rPr>
              <w:t>The beneficiary establishing a farm and managing less than 6 ha of AAL must permanently breed at least 15 LU and a maximum 160 LU of the same animals for breeding or at least 60 and a maximum of 200 bee colonies.</w:t>
            </w:r>
          </w:p>
          <w:p w:rsidR="00BD3B5F" w:rsidRPr="005C3B55" w:rsidRDefault="00BD3B5F" w:rsidP="00BD3B5F">
            <w:pPr>
              <w:numPr>
                <w:ilvl w:val="0"/>
                <w:numId w:val="220"/>
              </w:numPr>
              <w:spacing w:before="0" w:after="0"/>
              <w:ind w:hanging="290"/>
              <w:jc w:val="left"/>
              <w:rPr>
                <w:noProof/>
                <w:szCs w:val="24"/>
              </w:rPr>
            </w:pPr>
            <w:r w:rsidRPr="005C3B55">
              <w:rPr>
                <w:szCs w:val="24"/>
              </w:rPr>
              <w:t>The beneficiary must submit the business plan for a period of three years together with the application to a public tender in which the economic development and contribution to horizontal objectives of the farm must be presented.</w:t>
            </w:r>
            <w:r w:rsidRPr="005C3B55">
              <w:rPr>
                <w:noProof/>
                <w:szCs w:val="24"/>
              </w:rPr>
              <w:t xml:space="preserve"> </w:t>
            </w:r>
            <w:r w:rsidRPr="005C3B55">
              <w:rPr>
                <w:szCs w:val="24"/>
              </w:rPr>
              <w:t>The main elements of the business plan are:</w:t>
            </w:r>
            <w:r w:rsidRPr="005C3B55">
              <w:rPr>
                <w:noProof/>
                <w:szCs w:val="24"/>
              </w:rPr>
              <w:t xml:space="preserve"> </w:t>
            </w:r>
            <w:r w:rsidRPr="005C3B55">
              <w:rPr>
                <w:szCs w:val="24"/>
              </w:rPr>
              <w:t>the initial condition of the farm; milestones and objectives of agricultural activity development; details of activities, including those related to environmental sustainability and resource efficiency which are required for agricultural activity development, such as investments, training, advisory services or other activities.</w:t>
            </w:r>
            <w:r w:rsidRPr="005C3B55">
              <w:rPr>
                <w:noProof/>
                <w:szCs w:val="24"/>
              </w:rPr>
              <w:t xml:space="preserve"> </w:t>
            </w:r>
            <w:r w:rsidRPr="005C3B55">
              <w:rPr>
                <w:szCs w:val="24"/>
              </w:rPr>
              <w:t>The beneficiary must initiate the implementation of the business plan within 9 months from the date of the decision on the right to funds and be employed on the farm if this is planned and presented in the plan as a milestone.</w:t>
            </w:r>
            <w:r w:rsidRPr="005C3B55">
              <w:rPr>
                <w:noProof/>
                <w:szCs w:val="24"/>
              </w:rPr>
              <w:t xml:space="preserve"> </w:t>
            </w:r>
            <w:r w:rsidRPr="005C3B55">
              <w:rPr>
                <w:szCs w:val="24"/>
              </w:rPr>
              <w:t>The beneficiary must introduce bookkeeping for primary agricultural activity at the start of the new calendar year after receiving the decision on the right to funds.</w:t>
            </w:r>
            <w:r w:rsidRPr="005C3B55">
              <w:rPr>
                <w:noProof/>
                <w:szCs w:val="24"/>
              </w:rPr>
              <w:t xml:space="preserve"> </w:t>
            </w:r>
            <w:r w:rsidRPr="005C3B55">
              <w:rPr>
                <w:szCs w:val="24"/>
              </w:rPr>
              <w:t>The beneficiary must prove compliance with the definition of an active farmer referred to in Article 9 of Regulation (EU) No 1307/2013 within 18 months of the date of establishing the farm.</w:t>
            </w:r>
          </w:p>
          <w:p w:rsidR="00BD3B5F" w:rsidRPr="005C3B55" w:rsidRDefault="00BD3B5F" w:rsidP="00BD3B5F">
            <w:pPr>
              <w:numPr>
                <w:ilvl w:val="0"/>
                <w:numId w:val="220"/>
              </w:numPr>
              <w:spacing w:before="0" w:after="0"/>
              <w:ind w:hanging="290"/>
              <w:jc w:val="left"/>
              <w:rPr>
                <w:noProof/>
                <w:szCs w:val="24"/>
              </w:rPr>
            </w:pPr>
            <w:r w:rsidRPr="005C3B55">
              <w:rPr>
                <w:szCs w:val="24"/>
              </w:rPr>
              <w:t>Support is limited to farms which meet the conditions of micro or small enterprises.</w:t>
            </w:r>
            <w:r w:rsidRPr="005C3B55">
              <w:rPr>
                <w:noProof/>
                <w:szCs w:val="24"/>
              </w:rPr>
              <w:t xml:space="preserve"> </w:t>
            </w:r>
            <w:r w:rsidRPr="005C3B55">
              <w:rPr>
                <w:szCs w:val="24"/>
              </w:rPr>
              <w:t>As per Annex I to Commission Regulation (EU) No 651/2014, micro-enterprises are defined as enterprises employing fewer than 10 people, and the annual turnover or annual total assets of which do not exceed EUR 2 million. Small enterprises are companies employing fewer than 50 people, with an annual turnover or annual total assets not exceeding EUR 10 million.</w:t>
            </w:r>
          </w:p>
          <w:p w:rsidR="00BD3B5F" w:rsidRPr="005C3B55" w:rsidRDefault="00BD3B5F" w:rsidP="00BD3B5F">
            <w:pPr>
              <w:numPr>
                <w:ilvl w:val="0"/>
                <w:numId w:val="220"/>
              </w:numPr>
              <w:spacing w:before="0" w:after="0"/>
              <w:ind w:hanging="290"/>
              <w:jc w:val="left"/>
              <w:rPr>
                <w:noProof/>
                <w:szCs w:val="24"/>
              </w:rPr>
            </w:pPr>
            <w:r w:rsidRPr="005C3B55">
              <w:rPr>
                <w:szCs w:val="24"/>
              </w:rPr>
              <w:t>Payment is made in two instalments.</w:t>
            </w:r>
          </w:p>
          <w:p w:rsidR="00BD3B5F" w:rsidRPr="005C3B55" w:rsidRDefault="00BD3B5F" w:rsidP="00BD3B5F">
            <w:pPr>
              <w:numPr>
                <w:ilvl w:val="0"/>
                <w:numId w:val="220"/>
              </w:numPr>
              <w:spacing w:before="0" w:after="240"/>
              <w:ind w:hanging="290"/>
              <w:jc w:val="left"/>
              <w:rPr>
                <w:noProof/>
                <w:szCs w:val="24"/>
              </w:rPr>
            </w:pPr>
            <w:r w:rsidRPr="005C3B55">
              <w:rPr>
                <w:szCs w:val="24"/>
              </w:rPr>
              <w:t>When the beneficiary is employed on a farm or choose not be employed on the farm, the first instalment is paid after the receipt of the decision on the right to funds.</w:t>
            </w:r>
            <w:r w:rsidRPr="005C3B55">
              <w:rPr>
                <w:noProof/>
                <w:szCs w:val="24"/>
              </w:rPr>
              <w:t xml:space="preserve"> </w:t>
            </w:r>
            <w:r w:rsidRPr="005C3B55">
              <w:rPr>
                <w:szCs w:val="24"/>
              </w:rPr>
              <w:t>When the beneficiary decides to take up employment, the first instalment is paid after starting work on the farm.</w:t>
            </w:r>
            <w:r w:rsidRPr="005C3B55">
              <w:rPr>
                <w:noProof/>
                <w:szCs w:val="24"/>
              </w:rPr>
              <w:t xml:space="preserve"> </w:t>
            </w:r>
            <w:r w:rsidRPr="005C3B55">
              <w:rPr>
                <w:szCs w:val="24"/>
              </w:rPr>
              <w:t>The payment of the second instalment is conditional on the appropriate implementation of the business plan.</w:t>
            </w:r>
          </w:p>
          <w:p w:rsidR="00BD3B5F" w:rsidRPr="005C3B55" w:rsidRDefault="00BD3B5F">
            <w:pPr>
              <w:pStyle w:val="Telobesedila"/>
              <w:rPr>
                <w:szCs w:val="24"/>
              </w:rPr>
            </w:pPr>
          </w:p>
        </w:tc>
      </w:tr>
    </w:tbl>
    <w:p w:rsidR="00BD3B5F" w:rsidRPr="005C3B55" w:rsidRDefault="00BD3B5F" w:rsidP="004311A3">
      <w:pPr>
        <w:pStyle w:val="Naslov6"/>
        <w:tabs>
          <w:tab w:val="clear" w:pos="765"/>
        </w:tabs>
        <w:ind w:left="0" w:firstLine="0"/>
        <w:rPr>
          <w:szCs w:val="24"/>
          <w:lang w:val="en-GB"/>
        </w:rPr>
      </w:pPr>
      <w:r w:rsidRPr="005C3B55">
        <w:rPr>
          <w:noProof w:val="0"/>
          <w:szCs w:val="24"/>
          <w:lang w:val="en-GB"/>
        </w:rPr>
        <w:t>Principles regarding the determination of selection criteria</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The sub-measure will be implemented as a closed public tender.</w:t>
            </w:r>
            <w:r w:rsidRPr="005C3B55">
              <w:rPr>
                <w:noProof/>
                <w:szCs w:val="24"/>
              </w:rPr>
              <w:t xml:space="preserve"> </w:t>
            </w:r>
            <w:r w:rsidRPr="005C3B55">
              <w:rPr>
                <w:szCs w:val="24"/>
              </w:rPr>
              <w:t>Received applications will be scored on the basis of selection criteria, explained in greater detail in the national regulation.</w:t>
            </w:r>
            <w:r w:rsidRPr="005C3B55">
              <w:rPr>
                <w:noProof/>
                <w:szCs w:val="24"/>
              </w:rPr>
              <w:t xml:space="preserve"> </w:t>
            </w:r>
            <w:r w:rsidRPr="005C3B55">
              <w:rPr>
                <w:szCs w:val="24"/>
              </w:rPr>
              <w:t>The applications with the highest numbers of points and which exceed the entry threshold will be selected.</w:t>
            </w:r>
          </w:p>
          <w:p w:rsidR="00BD3B5F" w:rsidRPr="005C3B55" w:rsidRDefault="00BD3B5F">
            <w:pPr>
              <w:spacing w:before="240" w:after="240"/>
              <w:jc w:val="left"/>
              <w:rPr>
                <w:noProof/>
                <w:szCs w:val="24"/>
              </w:rPr>
            </w:pPr>
            <w:r w:rsidRPr="005C3B55">
              <w:rPr>
                <w:szCs w:val="24"/>
              </w:rPr>
              <w:t>The selection of operations for support will also consider the following principles:</w:t>
            </w:r>
          </w:p>
          <w:p w:rsidR="00BD3B5F" w:rsidRPr="005C3B55" w:rsidRDefault="00BD3B5F" w:rsidP="00BD3B5F">
            <w:pPr>
              <w:numPr>
                <w:ilvl w:val="0"/>
                <w:numId w:val="221"/>
              </w:numPr>
              <w:spacing w:before="240" w:after="0"/>
              <w:ind w:hanging="290"/>
              <w:jc w:val="left"/>
              <w:rPr>
                <w:noProof/>
                <w:szCs w:val="24"/>
              </w:rPr>
            </w:pPr>
            <w:r w:rsidRPr="005C3B55">
              <w:rPr>
                <w:szCs w:val="24"/>
              </w:rPr>
              <w:t>socio-economic aspect (e.g. unemployment level in the region),</w:t>
            </w:r>
          </w:p>
          <w:p w:rsidR="00BD3B5F" w:rsidRPr="005C3B55" w:rsidRDefault="00BD3B5F" w:rsidP="00BD3B5F">
            <w:pPr>
              <w:numPr>
                <w:ilvl w:val="0"/>
                <w:numId w:val="221"/>
              </w:numPr>
              <w:spacing w:before="0" w:after="240"/>
              <w:ind w:hanging="290"/>
              <w:jc w:val="left"/>
              <w:rPr>
                <w:noProof/>
                <w:szCs w:val="24"/>
              </w:rPr>
            </w:pPr>
            <w:r w:rsidRPr="005C3B55">
              <w:rPr>
                <w:szCs w:val="24"/>
              </w:rPr>
              <w:t>contribution to horizontal objectives.</w:t>
            </w:r>
          </w:p>
          <w:p w:rsidR="00BD3B5F" w:rsidRPr="005C3B55" w:rsidRDefault="00BD3B5F">
            <w:pPr>
              <w:pStyle w:val="Telobesedila"/>
              <w:rPr>
                <w:szCs w:val="24"/>
              </w:rPr>
            </w:pPr>
          </w:p>
        </w:tc>
      </w:tr>
    </w:tbl>
    <w:p w:rsidR="00BD3B5F" w:rsidRPr="005C3B55" w:rsidRDefault="00BD3B5F">
      <w:pPr>
        <w:pStyle w:val="Naslov6"/>
        <w:tabs>
          <w:tab w:val="clear" w:pos="765"/>
        </w:tabs>
        <w:spacing w:before="0" w:after="0"/>
        <w:ind w:left="0" w:firstLine="0"/>
        <w:rPr>
          <w:szCs w:val="24"/>
          <w:lang w:val="en-GB"/>
        </w:rPr>
      </w:pPr>
      <w:r w:rsidRPr="005C3B55">
        <w:rPr>
          <w:noProof w:val="0"/>
          <w:szCs w:val="24"/>
          <w:lang w:val="en-GB"/>
        </w:rPr>
        <w:t>(Valid) amounts and support rates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The amount of public support is determined as a lump sum amount to cover the costs of funding employment for the three-year business plan implementation period and costs intended for fulfilling the business plan.</w:t>
            </w:r>
            <w:r w:rsidRPr="005C3B55">
              <w:rPr>
                <w:noProof/>
                <w:szCs w:val="24"/>
              </w:rPr>
              <w:t xml:space="preserve"> </w:t>
            </w:r>
            <w:r w:rsidRPr="005C3B55">
              <w:rPr>
                <w:szCs w:val="24"/>
              </w:rPr>
              <w:t>The costs of financing employment are calculated in accordance with the difference between the average salary in the Republic in Slovenia and the average factor income on the farm for the period of eligibility.</w:t>
            </w:r>
            <w:r w:rsidRPr="005C3B55">
              <w:rPr>
                <w:noProof/>
                <w:szCs w:val="24"/>
              </w:rPr>
              <w:t xml:space="preserve"> </w:t>
            </w:r>
            <w:r w:rsidRPr="005C3B55">
              <w:rPr>
                <w:szCs w:val="24"/>
              </w:rPr>
              <w:t>The amount intended to implement the business plan is determined on the basis of anticipated objectives for sustainable economic development.</w:t>
            </w:r>
            <w:r w:rsidRPr="005C3B55">
              <w:rPr>
                <w:noProof/>
                <w:szCs w:val="24"/>
              </w:rPr>
              <w:t xml:space="preserve"> </w:t>
            </w:r>
            <w:r w:rsidRPr="005C3B55">
              <w:rPr>
                <w:szCs w:val="24"/>
              </w:rPr>
              <w:t>The amount of public support amounts to EUR 45,000 per beneficiary employed on the farm.</w:t>
            </w:r>
            <w:r w:rsidRPr="005C3B55">
              <w:rPr>
                <w:noProof/>
                <w:szCs w:val="24"/>
              </w:rPr>
              <w:t xml:space="preserve"> </w:t>
            </w:r>
            <w:r w:rsidRPr="005C3B55">
              <w:rPr>
                <w:szCs w:val="24"/>
              </w:rPr>
              <w:t>Employment on the farm means that the young farmer has pension and disability as well as health insurance for agricultural activity.</w:t>
            </w:r>
            <w:r w:rsidRPr="005C3B55">
              <w:rPr>
                <w:noProof/>
                <w:szCs w:val="24"/>
              </w:rPr>
              <w:t xml:space="preserve"> </w:t>
            </w:r>
            <w:r w:rsidRPr="005C3B55">
              <w:rPr>
                <w:szCs w:val="24"/>
              </w:rPr>
              <w:t>The employment of a young farmer means that he is employed at the time of submitting the application to the public procurement or, when submitting the application, he undertakes to become employed within 9 months of the date of the decision on the allocation of funds.</w:t>
            </w:r>
            <w:r w:rsidRPr="005C3B55">
              <w:rPr>
                <w:noProof/>
                <w:szCs w:val="24"/>
              </w:rPr>
              <w:t xml:space="preserve"> </w:t>
            </w:r>
            <w:r w:rsidRPr="005C3B55">
              <w:rPr>
                <w:szCs w:val="24"/>
              </w:rPr>
              <w:t>The first instalment is paid to the beneficiary after the verification of employment.</w:t>
            </w:r>
          </w:p>
          <w:p w:rsidR="00BD3B5F" w:rsidRPr="005C3B55" w:rsidRDefault="00BD3B5F">
            <w:pPr>
              <w:spacing w:before="240" w:after="240"/>
              <w:jc w:val="left"/>
              <w:rPr>
                <w:noProof/>
                <w:szCs w:val="24"/>
              </w:rPr>
            </w:pPr>
            <w:r w:rsidRPr="005C3B55">
              <w:rPr>
                <w:szCs w:val="24"/>
              </w:rPr>
              <w:t>The amount of support for other beneficiaries is EUR 18,600.</w:t>
            </w:r>
            <w:r w:rsidRPr="005C3B55">
              <w:rPr>
                <w:noProof/>
                <w:szCs w:val="24"/>
              </w:rPr>
              <w:t xml:space="preserve"> </w:t>
            </w:r>
            <w:r w:rsidRPr="005C3B55">
              <w:rPr>
                <w:szCs w:val="24"/>
              </w:rPr>
              <w:t>The amount of funds for these beneficiaries is calculated to a one-year average factor income and the costs of fulfilling the three-year business plan.</w:t>
            </w:r>
          </w:p>
          <w:p w:rsidR="00BD3B5F" w:rsidRPr="005C3B55" w:rsidRDefault="00BD3B5F">
            <w:pPr>
              <w:spacing w:before="240" w:after="240"/>
              <w:jc w:val="left"/>
              <w:rPr>
                <w:noProof/>
                <w:szCs w:val="24"/>
              </w:rPr>
            </w:pPr>
            <w:r w:rsidRPr="005C3B55">
              <w:rPr>
                <w:szCs w:val="24"/>
              </w:rPr>
              <w:t>Public support is paid in the following manner:</w:t>
            </w:r>
          </w:p>
          <w:p w:rsidR="00BD3B5F" w:rsidRPr="005C3B55" w:rsidRDefault="00BD3B5F" w:rsidP="00BD3B5F">
            <w:pPr>
              <w:numPr>
                <w:ilvl w:val="0"/>
                <w:numId w:val="222"/>
              </w:numPr>
              <w:spacing w:before="240" w:after="0"/>
              <w:ind w:hanging="290"/>
              <w:jc w:val="left"/>
              <w:rPr>
                <w:noProof/>
                <w:szCs w:val="24"/>
              </w:rPr>
            </w:pPr>
            <w:r w:rsidRPr="005C3B55">
              <w:rPr>
                <w:szCs w:val="24"/>
              </w:rPr>
              <w:t>the first instalment of 70% of allocated funds is paid upon the issue of the decision on the allocation of funds or employment for young farmers who plan employment,</w:t>
            </w:r>
          </w:p>
          <w:p w:rsidR="00BD3B5F" w:rsidRPr="005C3B55" w:rsidRDefault="00BD3B5F" w:rsidP="00BD3B5F">
            <w:pPr>
              <w:numPr>
                <w:ilvl w:val="0"/>
                <w:numId w:val="222"/>
              </w:numPr>
              <w:spacing w:before="0" w:after="240"/>
              <w:ind w:hanging="290"/>
              <w:jc w:val="left"/>
              <w:rPr>
                <w:noProof/>
                <w:szCs w:val="24"/>
              </w:rPr>
            </w:pPr>
            <w:r w:rsidRPr="005C3B55">
              <w:rPr>
                <w:szCs w:val="24"/>
              </w:rPr>
              <w:t>the second instalment of up to 30% of the allocated funds is paid upon the correct implementation of the business plan.</w:t>
            </w:r>
          </w:p>
          <w:p w:rsidR="00BD3B5F" w:rsidRPr="005C3B55" w:rsidRDefault="00BD3B5F">
            <w:pPr>
              <w:pStyle w:val="Telobesedila"/>
              <w:rPr>
                <w:szCs w:val="24"/>
              </w:rPr>
            </w:pPr>
          </w:p>
        </w:tc>
      </w:tr>
    </w:tbl>
    <w:p w:rsidR="00BD3B5F" w:rsidRPr="005C3B55" w:rsidRDefault="00BD3B5F">
      <w:pPr>
        <w:pStyle w:val="Naslov6"/>
        <w:tabs>
          <w:tab w:val="clear" w:pos="765"/>
        </w:tabs>
        <w:ind w:left="0" w:firstLine="0"/>
        <w:rPr>
          <w:szCs w:val="24"/>
          <w:lang w:val="en-GB"/>
        </w:rPr>
      </w:pPr>
      <w:r w:rsidRPr="005C3B55">
        <w:rPr>
          <w:noProof w:val="0"/>
          <w:szCs w:val="24"/>
          <w:lang w:val="en-GB"/>
        </w:rPr>
        <w:t>Verifiability and possibility of control of measures and/or type of operations</w:t>
      </w:r>
    </w:p>
    <w:p w:rsidR="00BD3B5F" w:rsidRPr="005C3B55" w:rsidRDefault="00BD3B5F" w:rsidP="004311A3">
      <w:pPr>
        <w:pStyle w:val="Naslov7"/>
        <w:tabs>
          <w:tab w:val="clear" w:pos="765"/>
        </w:tabs>
        <w:ind w:left="0" w:firstLine="0"/>
        <w:rPr>
          <w:szCs w:val="24"/>
          <w:lang w:val="en-GB"/>
        </w:rPr>
      </w:pPr>
      <w:r w:rsidRPr="005C3B55">
        <w:rPr>
          <w:noProof w:val="0"/>
          <w:szCs w:val="24"/>
          <w:lang w:val="en-GB"/>
        </w:rPr>
        <w:t>Risks in the implementation of the measure</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b/>
                <w:noProof/>
                <w:szCs w:val="24"/>
              </w:rPr>
              <w:t xml:space="preserve">R1: </w:t>
            </w:r>
            <w:r w:rsidRPr="005C3B55">
              <w:rPr>
                <w:b/>
                <w:szCs w:val="24"/>
              </w:rPr>
              <w:t>Application conditions for private beneficiaries</w:t>
            </w:r>
          </w:p>
          <w:p w:rsidR="00BD3B5F" w:rsidRPr="005C3B55" w:rsidRDefault="00BD3B5F">
            <w:pPr>
              <w:spacing w:before="240" w:after="240"/>
              <w:jc w:val="left"/>
              <w:rPr>
                <w:noProof/>
                <w:szCs w:val="24"/>
              </w:rPr>
            </w:pPr>
            <w:r w:rsidRPr="005C3B55">
              <w:rPr>
                <w:szCs w:val="24"/>
              </w:rPr>
              <w:t>There is a risk that the beneficiaries will not prepare applications in accordance with the public tender requirements, so the review of applications from their arrival to the decision on the granting of funds will be lengthy.</w:t>
            </w:r>
          </w:p>
          <w:p w:rsidR="00BD3B5F" w:rsidRPr="005C3B55" w:rsidRDefault="00BD3B5F">
            <w:pPr>
              <w:spacing w:before="240" w:after="240"/>
              <w:jc w:val="left"/>
              <w:rPr>
                <w:noProof/>
                <w:szCs w:val="24"/>
              </w:rPr>
            </w:pPr>
            <w:r w:rsidRPr="005C3B55">
              <w:rPr>
                <w:b/>
                <w:noProof/>
                <w:szCs w:val="24"/>
              </w:rPr>
              <w:t xml:space="preserve">R3: </w:t>
            </w:r>
            <w:r w:rsidRPr="005C3B55">
              <w:rPr>
                <w:b/>
                <w:szCs w:val="24"/>
              </w:rPr>
              <w:t>Suitable overview and control system</w:t>
            </w:r>
          </w:p>
          <w:p w:rsidR="00BD3B5F" w:rsidRPr="005C3B55" w:rsidRDefault="00BD3B5F">
            <w:pPr>
              <w:spacing w:before="240" w:after="240"/>
              <w:jc w:val="left"/>
              <w:rPr>
                <w:noProof/>
                <w:szCs w:val="24"/>
              </w:rPr>
            </w:pPr>
            <w:r w:rsidRPr="005C3B55">
              <w:rPr>
                <w:szCs w:val="24"/>
              </w:rPr>
              <w:t>There is a risk that beneficiaries will not fulfil their obligations and achieve the objectives in the business plan.</w:t>
            </w:r>
          </w:p>
          <w:p w:rsidR="00BD3B5F" w:rsidRPr="005C3B55" w:rsidRDefault="00BD3B5F">
            <w:pPr>
              <w:spacing w:before="240" w:after="240"/>
              <w:jc w:val="left"/>
              <w:rPr>
                <w:noProof/>
                <w:szCs w:val="24"/>
              </w:rPr>
            </w:pPr>
            <w:r w:rsidRPr="005C3B55">
              <w:rPr>
                <w:b/>
                <w:noProof/>
                <w:szCs w:val="24"/>
              </w:rPr>
              <w:t xml:space="preserve">R7: </w:t>
            </w:r>
            <w:r w:rsidRPr="005C3B55">
              <w:rPr>
                <w:b/>
                <w:szCs w:val="24"/>
              </w:rPr>
              <w:t>Selection of beneficiaries</w:t>
            </w:r>
          </w:p>
          <w:p w:rsidR="00BD3B5F" w:rsidRPr="005C3B55" w:rsidRDefault="00BD3B5F">
            <w:pPr>
              <w:spacing w:before="240" w:after="240"/>
              <w:jc w:val="left"/>
              <w:rPr>
                <w:noProof/>
                <w:szCs w:val="24"/>
              </w:rPr>
            </w:pPr>
            <w:r w:rsidRPr="005C3B55">
              <w:rPr>
                <w:szCs w:val="24"/>
              </w:rPr>
              <w:t>There is a risk that beneficiaries will not prepare complete and suitable applications, which will prolong selection procedures and the confirmation of operations.</w:t>
            </w:r>
          </w:p>
          <w:p w:rsidR="00BD3B5F" w:rsidRPr="005C3B55" w:rsidRDefault="00BD3B5F">
            <w:pPr>
              <w:spacing w:before="240" w:after="240"/>
              <w:jc w:val="left"/>
              <w:rPr>
                <w:noProof/>
                <w:szCs w:val="24"/>
              </w:rPr>
            </w:pPr>
            <w:r w:rsidRPr="005C3B55">
              <w:rPr>
                <w:b/>
                <w:noProof/>
                <w:szCs w:val="24"/>
              </w:rPr>
              <w:t xml:space="preserve">R8: </w:t>
            </w:r>
            <w:r w:rsidRPr="005C3B55">
              <w:rPr>
                <w:b/>
                <w:szCs w:val="24"/>
              </w:rPr>
              <w:t>IT systems</w:t>
            </w:r>
          </w:p>
          <w:p w:rsidR="00BD3B5F" w:rsidRPr="005C3B55" w:rsidRDefault="00BD3B5F">
            <w:pPr>
              <w:spacing w:before="240" w:after="240"/>
              <w:jc w:val="left"/>
              <w:rPr>
                <w:noProof/>
                <w:szCs w:val="24"/>
              </w:rPr>
            </w:pPr>
            <w:r w:rsidRPr="005C3B55">
              <w:rPr>
                <w:szCs w:val="24"/>
              </w:rPr>
              <w:t>Regarding information systems, a risk related to the connectivity of the database within public administration and their adequate operation was detected.</w:t>
            </w:r>
          </w:p>
          <w:p w:rsidR="00BD3B5F" w:rsidRPr="005C3B55" w:rsidRDefault="00BD3B5F">
            <w:pPr>
              <w:spacing w:before="240" w:after="240"/>
              <w:jc w:val="left"/>
              <w:rPr>
                <w:noProof/>
                <w:szCs w:val="24"/>
              </w:rPr>
            </w:pPr>
            <w:r w:rsidRPr="005C3B55">
              <w:rPr>
                <w:b/>
                <w:noProof/>
                <w:szCs w:val="24"/>
              </w:rPr>
              <w:t xml:space="preserve">R9: </w:t>
            </w:r>
            <w:r w:rsidRPr="005C3B55">
              <w:rPr>
                <w:b/>
                <w:szCs w:val="24"/>
              </w:rPr>
              <w:t>Requests for payment</w:t>
            </w:r>
          </w:p>
          <w:p w:rsidR="00BD3B5F" w:rsidRPr="005C3B55" w:rsidRDefault="00BD3B5F">
            <w:pPr>
              <w:spacing w:before="240" w:after="240"/>
              <w:jc w:val="left"/>
              <w:rPr>
                <w:noProof/>
                <w:szCs w:val="24"/>
              </w:rPr>
            </w:pPr>
            <w:r w:rsidRPr="005C3B55">
              <w:rPr>
                <w:szCs w:val="24"/>
              </w:rPr>
              <w:t>There is a risk of lengthy processing of requests for payment.</w:t>
            </w:r>
            <w:r w:rsidRPr="005C3B55">
              <w:rPr>
                <w:noProof/>
                <w:szCs w:val="24"/>
              </w:rPr>
              <w:t xml:space="preserve"> </w:t>
            </w:r>
            <w:r w:rsidRPr="005C3B55">
              <w:rPr>
                <w:szCs w:val="24"/>
              </w:rPr>
              <w:t>Requests for payment have frequently been prepared insufficiently and beneficiaries had to be called upon to supplement them. As a result, several months passed from the submission of a request for payment to the actual payment.</w:t>
            </w:r>
          </w:p>
          <w:p w:rsidR="00BD3B5F" w:rsidRPr="005C3B55" w:rsidRDefault="00BD3B5F">
            <w:pPr>
              <w:pStyle w:val="Telobesedila"/>
              <w:rPr>
                <w:szCs w:val="24"/>
              </w:rPr>
            </w:pPr>
          </w:p>
        </w:tc>
      </w:tr>
    </w:tbl>
    <w:p w:rsidR="00BD3B5F" w:rsidRPr="005C3B55" w:rsidRDefault="00BD3B5F">
      <w:pPr>
        <w:pStyle w:val="Naslov7"/>
        <w:tabs>
          <w:tab w:val="clear" w:pos="765"/>
        </w:tabs>
        <w:ind w:left="0" w:firstLine="0"/>
        <w:rPr>
          <w:szCs w:val="24"/>
          <w:lang w:val="en-GB"/>
        </w:rPr>
      </w:pPr>
      <w:r w:rsidRPr="005C3B55">
        <w:rPr>
          <w:noProof w:val="0"/>
          <w:szCs w:val="24"/>
          <w:lang w:val="en-GB"/>
        </w:rPr>
        <w:t>Mitigation measures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b/>
                <w:noProof/>
                <w:szCs w:val="24"/>
              </w:rPr>
              <w:t xml:space="preserve">R1: </w:t>
            </w:r>
            <w:r w:rsidRPr="005C3B55">
              <w:rPr>
                <w:b/>
                <w:szCs w:val="24"/>
              </w:rPr>
              <w:t>Application conditions for private beneficiaries</w:t>
            </w:r>
          </w:p>
          <w:p w:rsidR="00BD3B5F" w:rsidRPr="005C3B55" w:rsidRDefault="00BD3B5F">
            <w:pPr>
              <w:spacing w:before="240" w:after="240"/>
              <w:jc w:val="left"/>
              <w:rPr>
                <w:noProof/>
                <w:szCs w:val="24"/>
              </w:rPr>
            </w:pPr>
            <w:r w:rsidRPr="005C3B55">
              <w:rPr>
                <w:szCs w:val="24"/>
              </w:rPr>
              <w:t>Entry conditions and criteria for selecting beneficiaries will be determined so that they are fully verifiable on the basis of reliable evidence, and their credibility can be reducing the time required for decisions on granting funds to be reached.</w:t>
            </w:r>
            <w:r w:rsidRPr="005C3B55">
              <w:rPr>
                <w:noProof/>
                <w:szCs w:val="24"/>
              </w:rPr>
              <w:t xml:space="preserve"> </w:t>
            </w:r>
            <w:r w:rsidRPr="005C3B55">
              <w:rPr>
                <w:szCs w:val="24"/>
              </w:rPr>
              <w:t>This will contribute to shortening the time required for the decision on the granting of funds.</w:t>
            </w:r>
            <w:r w:rsidRPr="005C3B55">
              <w:rPr>
                <w:noProof/>
                <w:szCs w:val="24"/>
              </w:rPr>
              <w:t xml:space="preserve"> </w:t>
            </w:r>
            <w:r w:rsidRPr="005C3B55">
              <w:rPr>
                <w:szCs w:val="24"/>
              </w:rPr>
              <w:t>The MA will organise workshops and training aimed at explaining application conditions in detail and thus ensuring a clear understanding of application conditions, as well as the submission of complete and appropriately prepared applications.</w:t>
            </w:r>
          </w:p>
          <w:p w:rsidR="00BD3B5F" w:rsidRPr="005C3B55" w:rsidRDefault="00BD3B5F">
            <w:pPr>
              <w:spacing w:before="240" w:after="240"/>
              <w:jc w:val="left"/>
              <w:rPr>
                <w:noProof/>
                <w:szCs w:val="24"/>
              </w:rPr>
            </w:pPr>
            <w:r w:rsidRPr="005C3B55">
              <w:rPr>
                <w:b/>
                <w:noProof/>
                <w:szCs w:val="24"/>
              </w:rPr>
              <w:t xml:space="preserve">R3: </w:t>
            </w:r>
            <w:r w:rsidRPr="005C3B55">
              <w:rPr>
                <w:b/>
                <w:szCs w:val="24"/>
              </w:rPr>
              <w:t>Suitable overview and control system</w:t>
            </w:r>
          </w:p>
          <w:p w:rsidR="00BD3B5F" w:rsidRPr="005C3B55" w:rsidRDefault="00BD3B5F">
            <w:pPr>
              <w:spacing w:before="240" w:after="240"/>
              <w:jc w:val="left"/>
              <w:rPr>
                <w:noProof/>
                <w:szCs w:val="24"/>
              </w:rPr>
            </w:pPr>
            <w:r w:rsidRPr="005C3B55">
              <w:rPr>
                <w:szCs w:val="24"/>
              </w:rPr>
              <w:t>A regular control system will be implemented to control the objectives determined in the business plan.</w:t>
            </w:r>
            <w:r w:rsidRPr="005C3B55">
              <w:rPr>
                <w:noProof/>
                <w:szCs w:val="24"/>
              </w:rPr>
              <w:t xml:space="preserve"> </w:t>
            </w:r>
            <w:r w:rsidRPr="005C3B55">
              <w:rPr>
                <w:szCs w:val="24"/>
              </w:rPr>
              <w:t>All applications and requests for payment will be administratively reviewed.</w:t>
            </w:r>
            <w:r w:rsidRPr="005C3B55">
              <w:rPr>
                <w:noProof/>
                <w:szCs w:val="24"/>
              </w:rPr>
              <w:t xml:space="preserve"> </w:t>
            </w:r>
            <w:r w:rsidRPr="005C3B55">
              <w:rPr>
                <w:szCs w:val="24"/>
              </w:rPr>
              <w:t>If necessary, so-called in-situ and on-site controls will be performed.</w:t>
            </w:r>
          </w:p>
          <w:p w:rsidR="00BD3B5F" w:rsidRPr="005C3B55" w:rsidRDefault="00BD3B5F">
            <w:pPr>
              <w:spacing w:before="240" w:after="240"/>
              <w:jc w:val="left"/>
              <w:rPr>
                <w:noProof/>
                <w:szCs w:val="24"/>
              </w:rPr>
            </w:pPr>
            <w:r w:rsidRPr="005C3B55">
              <w:rPr>
                <w:b/>
                <w:noProof/>
                <w:szCs w:val="24"/>
              </w:rPr>
              <w:t xml:space="preserve">R7: </w:t>
            </w:r>
            <w:r w:rsidRPr="005C3B55">
              <w:rPr>
                <w:b/>
                <w:szCs w:val="24"/>
              </w:rPr>
              <w:t>Selection of beneficiaries</w:t>
            </w:r>
          </w:p>
          <w:p w:rsidR="00BD3B5F" w:rsidRPr="005C3B55" w:rsidRDefault="00BD3B5F">
            <w:pPr>
              <w:spacing w:before="240" w:after="240"/>
              <w:jc w:val="left"/>
              <w:rPr>
                <w:noProof/>
                <w:szCs w:val="24"/>
              </w:rPr>
            </w:pPr>
            <w:r w:rsidRPr="005C3B55">
              <w:rPr>
                <w:szCs w:val="24"/>
              </w:rPr>
              <w:t>The selection of beneficiaries will be carried out objectively on the basis of the entry conditions and criteria for selection, which will be known to all potential beneficiaries.</w:t>
            </w:r>
            <w:r w:rsidRPr="005C3B55">
              <w:rPr>
                <w:noProof/>
                <w:szCs w:val="24"/>
              </w:rPr>
              <w:t xml:space="preserve"> </w:t>
            </w:r>
            <w:r w:rsidRPr="005C3B55">
              <w:rPr>
                <w:szCs w:val="24"/>
              </w:rPr>
              <w:t>The conditions will be published in a public tender.</w:t>
            </w:r>
            <w:r w:rsidRPr="005C3B55">
              <w:rPr>
                <w:noProof/>
                <w:szCs w:val="24"/>
              </w:rPr>
              <w:t xml:space="preserve"> </w:t>
            </w:r>
            <w:r w:rsidRPr="005C3B55">
              <w:rPr>
                <w:szCs w:val="24"/>
              </w:rPr>
              <w:t>They will be determined in a manner that allows for the verification of their fulfilment through public records and other evidence that beneficiaries attach to their public tender applications.</w:t>
            </w:r>
          </w:p>
          <w:p w:rsidR="00BD3B5F" w:rsidRPr="005C3B55" w:rsidRDefault="00BD3B5F">
            <w:pPr>
              <w:spacing w:before="240" w:after="240"/>
              <w:jc w:val="left"/>
              <w:rPr>
                <w:noProof/>
                <w:szCs w:val="24"/>
              </w:rPr>
            </w:pPr>
            <w:r w:rsidRPr="005C3B55">
              <w:rPr>
                <w:b/>
                <w:noProof/>
                <w:szCs w:val="24"/>
              </w:rPr>
              <w:t xml:space="preserve">R8: </w:t>
            </w:r>
            <w:r w:rsidRPr="005C3B55">
              <w:rPr>
                <w:b/>
                <w:szCs w:val="24"/>
              </w:rPr>
              <w:t>IT systems</w:t>
            </w:r>
          </w:p>
          <w:p w:rsidR="00BD3B5F" w:rsidRPr="005C3B55" w:rsidRDefault="00BD3B5F">
            <w:pPr>
              <w:spacing w:before="240" w:after="240"/>
              <w:jc w:val="left"/>
              <w:rPr>
                <w:noProof/>
                <w:szCs w:val="24"/>
              </w:rPr>
            </w:pPr>
            <w:r w:rsidRPr="005C3B55">
              <w:rPr>
                <w:szCs w:val="24"/>
              </w:rPr>
              <w:t>IT support will be established, enabling access to data required for decision making in the case of eligibility to enter the measure and eligibility for entry to the sub-measure and eligibility for the payment of funds.</w:t>
            </w:r>
            <w:r w:rsidRPr="005C3B55">
              <w:rPr>
                <w:noProof/>
                <w:szCs w:val="24"/>
              </w:rPr>
              <w:t xml:space="preserve"> </w:t>
            </w:r>
            <w:r w:rsidRPr="005C3B55">
              <w:rPr>
                <w:szCs w:val="24"/>
              </w:rPr>
              <w:t>Beneficiaries will have to submit their applications to the electronic system in electronic form, which will ensure simpler verification of the data in applications.</w:t>
            </w:r>
            <w:r w:rsidRPr="005C3B55">
              <w:rPr>
                <w:noProof/>
                <w:szCs w:val="24"/>
              </w:rPr>
              <w:t xml:space="preserve">  </w:t>
            </w:r>
          </w:p>
          <w:p w:rsidR="00BD3B5F" w:rsidRPr="005C3B55" w:rsidRDefault="00BD3B5F">
            <w:pPr>
              <w:spacing w:before="240" w:after="240"/>
              <w:jc w:val="left"/>
              <w:rPr>
                <w:noProof/>
                <w:szCs w:val="24"/>
              </w:rPr>
            </w:pPr>
            <w:r w:rsidRPr="005C3B55">
              <w:rPr>
                <w:b/>
                <w:noProof/>
                <w:szCs w:val="24"/>
              </w:rPr>
              <w:t xml:space="preserve">R9: </w:t>
            </w:r>
            <w:r w:rsidRPr="005C3B55">
              <w:rPr>
                <w:b/>
                <w:szCs w:val="24"/>
              </w:rPr>
              <w:t>Requests for payment</w:t>
            </w:r>
          </w:p>
          <w:p w:rsidR="00BD3B5F" w:rsidRPr="005C3B55" w:rsidRDefault="00BD3B5F">
            <w:pPr>
              <w:spacing w:before="240" w:after="240"/>
              <w:jc w:val="left"/>
              <w:rPr>
                <w:noProof/>
                <w:szCs w:val="24"/>
              </w:rPr>
            </w:pPr>
            <w:r w:rsidRPr="005C3B55">
              <w:rPr>
                <w:szCs w:val="24"/>
              </w:rPr>
              <w:t>Beneficiaries will submit their requests for payment in electronic form, which means that all invoice specifications will have to be entered in the application.</w:t>
            </w:r>
            <w:r w:rsidRPr="005C3B55">
              <w:rPr>
                <w:noProof/>
                <w:szCs w:val="24"/>
              </w:rPr>
              <w:t xml:space="preserve"> </w:t>
            </w:r>
            <w:r w:rsidRPr="005C3B55">
              <w:rPr>
                <w:szCs w:val="24"/>
              </w:rPr>
              <w:t>This will facilitate simpler control.</w:t>
            </w:r>
            <w:r w:rsidRPr="005C3B55">
              <w:rPr>
                <w:noProof/>
                <w:szCs w:val="24"/>
              </w:rPr>
              <w:t xml:space="preserve"> </w:t>
            </w:r>
            <w:r w:rsidRPr="005C3B55">
              <w:rPr>
                <w:szCs w:val="24"/>
              </w:rPr>
              <w:t>Controls of requests for payment will be implemented on the basis of 100% administrative controls of reports on achieving the objectives in the business plan.</w:t>
            </w:r>
            <w:r w:rsidRPr="005C3B55">
              <w:rPr>
                <w:noProof/>
                <w:szCs w:val="24"/>
              </w:rPr>
              <w:t xml:space="preserve"> </w:t>
            </w:r>
            <w:r w:rsidRPr="005C3B55">
              <w:rPr>
                <w:szCs w:val="24"/>
              </w:rPr>
              <w:t>On-site controls will be carried out in a determined share.</w:t>
            </w:r>
          </w:p>
          <w:p w:rsidR="00BD3B5F" w:rsidRPr="005C3B55" w:rsidRDefault="00BD3B5F">
            <w:pPr>
              <w:pStyle w:val="Telobesedila"/>
              <w:rPr>
                <w:szCs w:val="24"/>
              </w:rPr>
            </w:pPr>
          </w:p>
        </w:tc>
      </w:tr>
    </w:tbl>
    <w:p w:rsidR="00BD3B5F" w:rsidRPr="005C3B55" w:rsidRDefault="00BD3B5F">
      <w:pPr>
        <w:pStyle w:val="Naslov7"/>
        <w:tabs>
          <w:tab w:val="clear" w:pos="765"/>
        </w:tabs>
        <w:ind w:left="0" w:firstLine="0"/>
        <w:rPr>
          <w:szCs w:val="24"/>
          <w:lang w:val="en-GB"/>
        </w:rPr>
      </w:pPr>
      <w:r w:rsidRPr="005C3B55">
        <w:rPr>
          <w:noProof w:val="0"/>
          <w:szCs w:val="24"/>
          <w:lang w:val="en-GB"/>
        </w:rPr>
        <w:t>General assessment of the measure</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According to the determined mitigation measures we assess that the sub-measure is feasible and verifiable.</w:t>
            </w:r>
          </w:p>
          <w:p w:rsidR="00BD3B5F" w:rsidRPr="005C3B55" w:rsidRDefault="00BD3B5F">
            <w:pPr>
              <w:pStyle w:val="Telobesedila"/>
              <w:rPr>
                <w:szCs w:val="24"/>
              </w:rPr>
            </w:pPr>
          </w:p>
        </w:tc>
      </w:tr>
    </w:tbl>
    <w:p w:rsidR="00BD3B5F" w:rsidRPr="005C3B55" w:rsidRDefault="00BD3B5F">
      <w:pPr>
        <w:pStyle w:val="Naslov6"/>
        <w:tabs>
          <w:tab w:val="clear" w:pos="765"/>
        </w:tabs>
        <w:ind w:left="0" w:firstLine="0"/>
        <w:rPr>
          <w:szCs w:val="24"/>
          <w:lang w:val="en-GB"/>
        </w:rPr>
      </w:pPr>
      <w:r w:rsidRPr="005C3B55">
        <w:rPr>
          <w:noProof w:val="0"/>
          <w:szCs w:val="24"/>
          <w:lang w:val="en-GB"/>
        </w:rPr>
        <w:t>Methodology for calculating support amount, where relevant</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Description is under chapter ‘(Valid) amounts and support rates’.</w:t>
            </w:r>
          </w:p>
          <w:p w:rsidR="00BD3B5F" w:rsidRPr="005C3B55" w:rsidRDefault="00BD3B5F">
            <w:pPr>
              <w:pStyle w:val="Telobesedila"/>
              <w:rPr>
                <w:szCs w:val="24"/>
              </w:rPr>
            </w:pPr>
          </w:p>
        </w:tc>
      </w:tr>
    </w:tbl>
    <w:p w:rsidR="00BD3B5F" w:rsidRPr="005C3B55" w:rsidRDefault="00BD3B5F">
      <w:pPr>
        <w:pStyle w:val="Naslov6"/>
        <w:tabs>
          <w:tab w:val="clear" w:pos="765"/>
        </w:tabs>
        <w:ind w:left="0" w:firstLine="0"/>
        <w:rPr>
          <w:szCs w:val="24"/>
          <w:lang w:val="en-GB"/>
        </w:rPr>
      </w:pPr>
      <w:r w:rsidRPr="005C3B55">
        <w:rPr>
          <w:noProof w:val="0"/>
          <w:szCs w:val="24"/>
          <w:lang w:val="en-GB"/>
        </w:rPr>
        <w:t>Information that relates specifically to the operation</w:t>
      </w:r>
    </w:p>
    <w:p w:rsidR="00BD3B5F" w:rsidRPr="005C3B55" w:rsidRDefault="00BD3B5F">
      <w:pPr>
        <w:rPr>
          <w:szCs w:val="24"/>
        </w:rPr>
      </w:pPr>
      <w:r w:rsidRPr="005C3B55">
        <w:rPr>
          <w:szCs w:val="24"/>
        </w:rPr>
        <w:t>Determination of a small farm under Article 19(1)(a)(iii) of Regulation (EU) No 1305/2013</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Not relevant for this sub-measure.</w:t>
            </w:r>
          </w:p>
          <w:p w:rsidR="00BD3B5F" w:rsidRPr="005C3B55" w:rsidRDefault="00BD3B5F">
            <w:pPr>
              <w:pStyle w:val="Telobesedila"/>
              <w:rPr>
                <w:szCs w:val="24"/>
              </w:rPr>
            </w:pPr>
          </w:p>
        </w:tc>
      </w:tr>
    </w:tbl>
    <w:p w:rsidR="00BD3B5F" w:rsidRPr="005C3B55" w:rsidRDefault="00BD3B5F">
      <w:pPr>
        <w:rPr>
          <w:szCs w:val="24"/>
        </w:rPr>
      </w:pPr>
      <w:r w:rsidRPr="005C3B55">
        <w:rPr>
          <w:szCs w:val="24"/>
        </w:rPr>
        <w:t>Determination of the maximum and minimum threshold under the third subparagraph of Article 19(4) of Regulation (EU) No 1305/2013</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No standard revenue is used to determine the maximum and minimum thresholds for this sub-measure, since standard revenue in Slovenia is calculated for statistical purposes based on structural research and determines the economic value of an agricultural holding, which is expressed as standard revenue (SR) calculated according to the unit of the observed product (ha, livestock unit of observed category).</w:t>
            </w:r>
            <w:r w:rsidRPr="005C3B55">
              <w:rPr>
                <w:noProof/>
                <w:szCs w:val="24"/>
              </w:rPr>
              <w:t xml:space="preserve"> </w:t>
            </w:r>
            <w:r w:rsidRPr="005C3B55">
              <w:rPr>
                <w:szCs w:val="24"/>
              </w:rPr>
              <w:t>This means that it is not used for individual farms.</w:t>
            </w:r>
            <w:r w:rsidRPr="005C3B55">
              <w:rPr>
                <w:noProof/>
                <w:szCs w:val="24"/>
              </w:rPr>
              <w:t xml:space="preserve"> </w:t>
            </w:r>
            <w:r w:rsidRPr="005C3B55">
              <w:rPr>
                <w:szCs w:val="24"/>
              </w:rPr>
              <w:t>In order to calculate SR for an individual farm, the latter should have introduced bookkeeping according to the FADN methodology.</w:t>
            </w:r>
          </w:p>
          <w:p w:rsidR="00BD3B5F" w:rsidRPr="005C3B55" w:rsidRDefault="00BD3B5F">
            <w:pPr>
              <w:spacing w:before="240" w:after="240"/>
              <w:jc w:val="left"/>
              <w:rPr>
                <w:noProof/>
                <w:szCs w:val="24"/>
              </w:rPr>
            </w:pPr>
            <w:r w:rsidRPr="005C3B55">
              <w:rPr>
                <w:szCs w:val="24"/>
              </w:rPr>
              <w:t>Based on data from the Catalogue of calculations for farm management planning in Slovenia, calculations were made that are considered the equivalent to SR and which determine that the minimum entry threshold enables an income in the amount of one gross minimum salary in the Republic of Slovenia, calculated for the previous calendar year.</w:t>
            </w:r>
            <w:r w:rsidRPr="005C3B55">
              <w:rPr>
                <w:noProof/>
                <w:szCs w:val="24"/>
              </w:rPr>
              <w:t xml:space="preserve"> </w:t>
            </w:r>
            <w:r w:rsidRPr="005C3B55">
              <w:rPr>
                <w:szCs w:val="24"/>
              </w:rPr>
              <w:t>The equivalent for the maximum threshold was also determined on the basis of the same calculations.</w:t>
            </w:r>
            <w:r w:rsidRPr="005C3B55">
              <w:rPr>
                <w:noProof/>
                <w:szCs w:val="24"/>
              </w:rPr>
              <w:t xml:space="preserve"> </w:t>
            </w:r>
            <w:r w:rsidRPr="005C3B55">
              <w:rPr>
                <w:szCs w:val="24"/>
              </w:rPr>
              <w:t>The following thresholds were determined in accordance with these calculations:</w:t>
            </w:r>
          </w:p>
          <w:p w:rsidR="00BD3B5F" w:rsidRPr="005C3B55" w:rsidRDefault="00BD3B5F">
            <w:pPr>
              <w:spacing w:before="240" w:after="240"/>
              <w:jc w:val="left"/>
              <w:rPr>
                <w:noProof/>
                <w:szCs w:val="24"/>
              </w:rPr>
            </w:pPr>
            <w:r w:rsidRPr="005C3B55">
              <w:rPr>
                <w:szCs w:val="24"/>
              </w:rPr>
              <w:t>The minimum threshold is 6 ha of comparable agricultural land or 15 LU or 60 bee colonies.</w:t>
            </w:r>
            <w:r w:rsidRPr="005C3B55">
              <w:rPr>
                <w:noProof/>
                <w:szCs w:val="24"/>
              </w:rPr>
              <w:t xml:space="preserve"> </w:t>
            </w:r>
            <w:r w:rsidRPr="005C3B55">
              <w:rPr>
                <w:szCs w:val="24"/>
              </w:rPr>
              <w:t>The maximum threshold is 80 ha of comparable agricultural land or 160 LU or 200 bee colonies.</w:t>
            </w:r>
          </w:p>
          <w:p w:rsidR="00BD3B5F" w:rsidRPr="005C3B55" w:rsidRDefault="00BD3B5F">
            <w:pPr>
              <w:pStyle w:val="Telobesedila"/>
              <w:rPr>
                <w:szCs w:val="24"/>
              </w:rPr>
            </w:pPr>
          </w:p>
        </w:tc>
      </w:tr>
    </w:tbl>
    <w:p w:rsidR="00BD3B5F" w:rsidRPr="005C3B55" w:rsidRDefault="00BD3B5F">
      <w:pPr>
        <w:rPr>
          <w:szCs w:val="24"/>
        </w:rPr>
      </w:pPr>
      <w:r w:rsidRPr="005C3B55">
        <w:rPr>
          <w:szCs w:val="24"/>
        </w:rPr>
        <w:t>Special conditions for support to young farmers who do not establish agricultural holding as the sole owner under Article 2(1) and (2) of Delegated Regulation (EU) No 807/2014</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The sub-measure aims to support young farmers who establish farms as sole owners, because joint ownership is not possible according to the national regulation on the register of agricultural holdings.</w:t>
            </w:r>
          </w:p>
          <w:p w:rsidR="00BD3B5F" w:rsidRPr="005C3B55" w:rsidRDefault="00BD3B5F">
            <w:pPr>
              <w:spacing w:before="240" w:after="240"/>
              <w:jc w:val="left"/>
              <w:rPr>
                <w:noProof/>
                <w:szCs w:val="24"/>
              </w:rPr>
            </w:pPr>
            <w:r w:rsidRPr="005C3B55">
              <w:rPr>
                <w:szCs w:val="24"/>
              </w:rPr>
              <w:t>Natural entities will be the sole beneficiaries of public support, with the objective of improving the age structure of owners of agricultural holdings on farms.</w:t>
            </w:r>
          </w:p>
          <w:p w:rsidR="00BD3B5F" w:rsidRPr="005C3B55" w:rsidRDefault="00BD3B5F">
            <w:pPr>
              <w:pStyle w:val="Telobesedila"/>
              <w:rPr>
                <w:szCs w:val="24"/>
              </w:rPr>
            </w:pPr>
          </w:p>
        </w:tc>
      </w:tr>
    </w:tbl>
    <w:p w:rsidR="00BD3B5F" w:rsidRPr="005C3B55" w:rsidRDefault="00BD3B5F">
      <w:pPr>
        <w:rPr>
          <w:szCs w:val="24"/>
        </w:rPr>
      </w:pPr>
      <w:r w:rsidRPr="005C3B55">
        <w:rPr>
          <w:szCs w:val="24"/>
        </w:rPr>
        <w:t>Information on the application of the transitional period under Article 2(3) of Delegated Regulation (EU) No 807/2014</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Upon the submission of the application to the public tender, the beneficiary must prove they have the requisite professional knowledge in order to avoid the risk that beneficiaries do not acquire the demanded professional knowledge in the determined time period.</w:t>
            </w:r>
          </w:p>
          <w:p w:rsidR="00BD3B5F" w:rsidRPr="005C3B55" w:rsidRDefault="00BD3B5F">
            <w:pPr>
              <w:pStyle w:val="Telobesedila"/>
              <w:rPr>
                <w:szCs w:val="24"/>
              </w:rPr>
            </w:pPr>
          </w:p>
        </w:tc>
      </w:tr>
    </w:tbl>
    <w:p w:rsidR="00BD3B5F" w:rsidRPr="005C3B55" w:rsidRDefault="00BD3B5F">
      <w:pPr>
        <w:rPr>
          <w:szCs w:val="24"/>
        </w:rPr>
      </w:pPr>
      <w:r w:rsidRPr="005C3B55">
        <w:rPr>
          <w:szCs w:val="24"/>
        </w:rPr>
        <w:t>Summary of requirements from the business plan</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For sub-measure ‘Business start-up aid for young farmers’, the beneficiary must submit a business plan for a period of three years together with the application to a public tender in which the economic development and contribution to the horizontal objectives of the farm must be presented.</w:t>
            </w:r>
          </w:p>
          <w:p w:rsidR="00BD3B5F" w:rsidRPr="005C3B55" w:rsidRDefault="00BD3B5F">
            <w:pPr>
              <w:spacing w:before="240" w:after="240"/>
              <w:jc w:val="left"/>
              <w:rPr>
                <w:noProof/>
                <w:szCs w:val="24"/>
              </w:rPr>
            </w:pPr>
            <w:r w:rsidRPr="005C3B55">
              <w:rPr>
                <w:szCs w:val="24"/>
              </w:rPr>
              <w:t>The main elements of the business plan are: the initial condition of the agricultural holding; key milestones and objectives of activity development at the agricultural holding; details of activities, including those related to environmental sustainability and resource efficiency which are required for the development of the agricultural holding, such as investments, training, advisory services or any other activity.</w:t>
            </w:r>
            <w:r w:rsidRPr="005C3B55">
              <w:rPr>
                <w:noProof/>
                <w:szCs w:val="24"/>
              </w:rPr>
              <w:t xml:space="preserve"> </w:t>
            </w:r>
            <w:r w:rsidRPr="005C3B55">
              <w:rPr>
                <w:szCs w:val="24"/>
              </w:rPr>
              <w:t>The beneficiary must initiate the implementation of the business plan within 9 months from the date of the decision on the right to funds and be employed on the farm if this is planned and presented in the business plan as a milestone.</w:t>
            </w:r>
            <w:r w:rsidRPr="005C3B55">
              <w:rPr>
                <w:noProof/>
                <w:szCs w:val="24"/>
              </w:rPr>
              <w:t xml:space="preserve"> </w:t>
            </w:r>
            <w:r w:rsidRPr="005C3B55">
              <w:rPr>
                <w:szCs w:val="24"/>
              </w:rPr>
              <w:t>The beneficiary must introduce bookkeeping for primary agricultural activity at the start of the new calendar year after receiving the decision on the right to funds.</w:t>
            </w:r>
            <w:r w:rsidRPr="005C3B55">
              <w:rPr>
                <w:noProof/>
                <w:szCs w:val="24"/>
              </w:rPr>
              <w:t xml:space="preserve"> </w:t>
            </w:r>
            <w:r w:rsidRPr="005C3B55">
              <w:rPr>
                <w:szCs w:val="24"/>
              </w:rPr>
              <w:t>The beneficiary must prove compliance with the definition of an active farmer referred to in Article 9 of Regulation (EU) No 1307/2013 within 18 months of the date of establishing the farm.</w:t>
            </w:r>
          </w:p>
          <w:p w:rsidR="00BD3B5F" w:rsidRPr="005C3B55" w:rsidRDefault="00BD3B5F">
            <w:pPr>
              <w:pStyle w:val="Telobesedila"/>
              <w:rPr>
                <w:szCs w:val="24"/>
              </w:rPr>
            </w:pPr>
          </w:p>
        </w:tc>
      </w:tr>
    </w:tbl>
    <w:p w:rsidR="00BD3B5F" w:rsidRPr="005C3B55" w:rsidRDefault="00BD3B5F">
      <w:pPr>
        <w:rPr>
          <w:szCs w:val="24"/>
        </w:rPr>
      </w:pPr>
      <w:r w:rsidRPr="005C3B55">
        <w:rPr>
          <w:szCs w:val="24"/>
        </w:rPr>
        <w:t>Utilisation of options for merging different measures with the business plan and enabling access of young farmers to these measures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The merging of different measures is not anticipated.</w:t>
            </w:r>
          </w:p>
          <w:p w:rsidR="00BD3B5F" w:rsidRPr="005C3B55" w:rsidRDefault="00BD3B5F">
            <w:pPr>
              <w:pStyle w:val="Telobesedila"/>
              <w:rPr>
                <w:szCs w:val="24"/>
              </w:rPr>
            </w:pPr>
          </w:p>
        </w:tc>
      </w:tr>
    </w:tbl>
    <w:p w:rsidR="00BD3B5F" w:rsidRPr="005C3B55" w:rsidRDefault="00BD3B5F">
      <w:pPr>
        <w:rPr>
          <w:szCs w:val="24"/>
        </w:rPr>
      </w:pPr>
      <w:r w:rsidRPr="005C3B55">
        <w:rPr>
          <w:szCs w:val="24"/>
        </w:rPr>
        <w:t>The domains of integrated diversification</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Not relevant.</w:t>
            </w:r>
          </w:p>
          <w:p w:rsidR="00BD3B5F" w:rsidRPr="005C3B55" w:rsidRDefault="00BD3B5F">
            <w:pPr>
              <w:pStyle w:val="Telobesedila"/>
              <w:rPr>
                <w:szCs w:val="24"/>
              </w:rPr>
            </w:pPr>
          </w:p>
        </w:tc>
      </w:tr>
    </w:tbl>
    <w:p w:rsidR="00BD3B5F" w:rsidRPr="005C3B55" w:rsidRDefault="00BD3B5F">
      <w:pPr>
        <w:pStyle w:val="Naslov5"/>
        <w:tabs>
          <w:tab w:val="clear" w:pos="765"/>
        </w:tabs>
        <w:ind w:left="0" w:firstLine="0"/>
        <w:rPr>
          <w:b w:val="0"/>
          <w:szCs w:val="24"/>
          <w:lang w:val="en-GB"/>
        </w:rPr>
      </w:pPr>
      <w:r w:rsidRPr="005C3B55">
        <w:rPr>
          <w:b w:val="0"/>
          <w:szCs w:val="24"/>
          <w:lang w:val="en-GB"/>
        </w:rPr>
        <w:br w:type="page"/>
        <w:t xml:space="preserve">2. </w:t>
      </w:r>
      <w:r w:rsidRPr="005C3B55">
        <w:rPr>
          <w:b w:val="0"/>
          <w:noProof w:val="0"/>
          <w:szCs w:val="24"/>
          <w:lang w:val="en-GB"/>
        </w:rPr>
        <w:t>Support for investments in the implementation and development non-agricultural activities</w:t>
      </w:r>
    </w:p>
    <w:p w:rsidR="00BD3B5F" w:rsidRPr="005C3B55" w:rsidRDefault="00BD3B5F">
      <w:pPr>
        <w:rPr>
          <w:szCs w:val="24"/>
        </w:rPr>
      </w:pPr>
      <w:r w:rsidRPr="005C3B55">
        <w:rPr>
          <w:szCs w:val="24"/>
        </w:rPr>
        <w:t xml:space="preserve">Sub-measure: </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rsidP="00BD3B5F">
            <w:pPr>
              <w:numPr>
                <w:ilvl w:val="0"/>
                <w:numId w:val="223"/>
              </w:numPr>
              <w:rPr>
                <w:szCs w:val="24"/>
              </w:rPr>
            </w:pPr>
            <w:r w:rsidRPr="005C3B55">
              <w:rPr>
                <w:szCs w:val="24"/>
              </w:rPr>
              <w:t>6.4 – Support for investments in the implementation and development non-agricultural activities</w:t>
            </w:r>
          </w:p>
        </w:tc>
      </w:tr>
    </w:tbl>
    <w:p w:rsidR="00BD3B5F" w:rsidRPr="005C3B55" w:rsidRDefault="00BD3B5F">
      <w:pPr>
        <w:pStyle w:val="Naslov6"/>
        <w:tabs>
          <w:tab w:val="clear" w:pos="765"/>
        </w:tabs>
        <w:ind w:left="0" w:firstLine="0"/>
        <w:rPr>
          <w:szCs w:val="24"/>
          <w:lang w:val="en-GB"/>
        </w:rPr>
      </w:pPr>
      <w:r w:rsidRPr="005C3B55">
        <w:rPr>
          <w:noProof w:val="0"/>
          <w:szCs w:val="24"/>
          <w:lang w:val="en-GB"/>
        </w:rPr>
        <w:t>Description of type of operation</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4A0" w:firstRow="1" w:lastRow="0" w:firstColumn="1" w:lastColumn="0" w:noHBand="0" w:noVBand="1"/>
      </w:tblPr>
      <w:tblGrid>
        <w:gridCol w:w="10656"/>
      </w:tblGrid>
      <w:tr w:rsidR="00BD3B5F" w:rsidRPr="005C3B55">
        <w:tc>
          <w:tcPr>
            <w:tcW w:w="5000" w:type="pct"/>
            <w:tcMar>
              <w:top w:w="20" w:type="dxa"/>
              <w:bottom w:w="20" w:type="dxa"/>
            </w:tcMar>
            <w:vAlign w:val="center"/>
          </w:tcPr>
          <w:p w:rsidR="00BD3B5F" w:rsidRPr="005C3B55" w:rsidRDefault="00BD3B5F">
            <w:pPr>
              <w:spacing w:before="0" w:after="240"/>
              <w:jc w:val="left"/>
              <w:rPr>
                <w:noProof/>
                <w:szCs w:val="24"/>
              </w:rPr>
            </w:pPr>
            <w:r w:rsidRPr="005C3B55">
              <w:rPr>
                <w:szCs w:val="24"/>
              </w:rPr>
              <w:t>The purpose of the sub-measure is to ensure support for investments in establishing and developing non-agricultural activities in the countryside.</w:t>
            </w:r>
            <w:r w:rsidRPr="005C3B55">
              <w:rPr>
                <w:noProof/>
                <w:szCs w:val="24"/>
              </w:rPr>
              <w:t xml:space="preserve"> </w:t>
            </w:r>
            <w:r w:rsidRPr="005C3B55">
              <w:rPr>
                <w:szCs w:val="24"/>
              </w:rPr>
              <w:t>The sub-measure introduces financial instruments or refundable forms of financing which will enable beneficiaries to access funds more easily under the conditions of the non-functioning of the banking market and thus stimulate faster economic development in the countryside.</w:t>
            </w:r>
          </w:p>
          <w:p w:rsidR="00BD3B5F" w:rsidRPr="005C3B55" w:rsidRDefault="00BD3B5F">
            <w:pPr>
              <w:spacing w:before="240" w:after="240"/>
              <w:jc w:val="left"/>
              <w:rPr>
                <w:noProof/>
                <w:szCs w:val="24"/>
              </w:rPr>
            </w:pPr>
            <w:r w:rsidRPr="005C3B55">
              <w:rPr>
                <w:szCs w:val="24"/>
              </w:rPr>
              <w:t>Priority will be given to non-agricultural activities related to:</w:t>
            </w:r>
          </w:p>
          <w:p w:rsidR="00BD3B5F" w:rsidRPr="005C3B55" w:rsidRDefault="00BD3B5F" w:rsidP="00BD3B5F">
            <w:pPr>
              <w:numPr>
                <w:ilvl w:val="0"/>
                <w:numId w:val="224"/>
              </w:numPr>
              <w:spacing w:before="240" w:after="0"/>
              <w:ind w:hanging="290"/>
              <w:jc w:val="left"/>
              <w:rPr>
                <w:noProof/>
                <w:szCs w:val="24"/>
              </w:rPr>
            </w:pPr>
            <w:r w:rsidRPr="005C3B55">
              <w:rPr>
                <w:szCs w:val="24"/>
              </w:rPr>
              <w:t>adding value to wood,</w:t>
            </w:r>
          </w:p>
          <w:p w:rsidR="00BD3B5F" w:rsidRPr="005C3B55" w:rsidRDefault="00BD3B5F" w:rsidP="00BD3B5F">
            <w:pPr>
              <w:numPr>
                <w:ilvl w:val="0"/>
                <w:numId w:val="224"/>
              </w:numPr>
              <w:spacing w:before="0" w:after="0"/>
              <w:ind w:hanging="290"/>
              <w:jc w:val="left"/>
              <w:rPr>
                <w:noProof/>
                <w:szCs w:val="24"/>
              </w:rPr>
            </w:pPr>
            <w:r w:rsidRPr="005C3B55">
              <w:rPr>
                <w:szCs w:val="24"/>
              </w:rPr>
              <w:t>local self-sufficiency,</w:t>
            </w:r>
          </w:p>
          <w:p w:rsidR="00BD3B5F" w:rsidRPr="005C3B55" w:rsidRDefault="00BD3B5F" w:rsidP="00BD3B5F">
            <w:pPr>
              <w:numPr>
                <w:ilvl w:val="0"/>
                <w:numId w:val="224"/>
              </w:numPr>
              <w:spacing w:before="0" w:after="0"/>
              <w:ind w:hanging="290"/>
              <w:jc w:val="left"/>
              <w:rPr>
                <w:noProof/>
                <w:szCs w:val="24"/>
              </w:rPr>
            </w:pPr>
            <w:r w:rsidRPr="005C3B55">
              <w:rPr>
                <w:szCs w:val="24"/>
              </w:rPr>
              <w:t>green tourism,</w:t>
            </w:r>
          </w:p>
          <w:p w:rsidR="00BD3B5F" w:rsidRPr="005C3B55" w:rsidRDefault="00BD3B5F" w:rsidP="00BD3B5F">
            <w:pPr>
              <w:numPr>
                <w:ilvl w:val="0"/>
                <w:numId w:val="224"/>
              </w:numPr>
              <w:spacing w:before="0" w:after="0"/>
              <w:ind w:hanging="290"/>
              <w:jc w:val="left"/>
              <w:rPr>
                <w:noProof/>
                <w:szCs w:val="24"/>
              </w:rPr>
            </w:pPr>
            <w:r w:rsidRPr="005C3B55">
              <w:rPr>
                <w:szCs w:val="24"/>
              </w:rPr>
              <w:t>natural and cultural heritage, and traditional knowledge,</w:t>
            </w:r>
          </w:p>
          <w:p w:rsidR="00BD3B5F" w:rsidRPr="005C3B55" w:rsidRDefault="00BD3B5F" w:rsidP="00BD3B5F">
            <w:pPr>
              <w:numPr>
                <w:ilvl w:val="0"/>
                <w:numId w:val="224"/>
              </w:numPr>
              <w:spacing w:before="0" w:after="0"/>
              <w:ind w:hanging="290"/>
              <w:jc w:val="left"/>
              <w:rPr>
                <w:noProof/>
                <w:szCs w:val="24"/>
              </w:rPr>
            </w:pPr>
            <w:r w:rsidRPr="005C3B55">
              <w:rPr>
                <w:szCs w:val="24"/>
              </w:rPr>
              <w:t>social entrepreneurship,</w:t>
            </w:r>
          </w:p>
          <w:p w:rsidR="00BD3B5F" w:rsidRPr="005C3B55" w:rsidRDefault="00BD3B5F" w:rsidP="00BD3B5F">
            <w:pPr>
              <w:numPr>
                <w:ilvl w:val="0"/>
                <w:numId w:val="224"/>
              </w:numPr>
              <w:spacing w:before="0" w:after="0"/>
              <w:ind w:hanging="290"/>
              <w:jc w:val="left"/>
              <w:rPr>
                <w:noProof/>
                <w:szCs w:val="24"/>
              </w:rPr>
            </w:pPr>
            <w:r w:rsidRPr="005C3B55">
              <w:rPr>
                <w:szCs w:val="24"/>
              </w:rPr>
              <w:t>social protection services,</w:t>
            </w:r>
          </w:p>
          <w:p w:rsidR="00BD3B5F" w:rsidRPr="005C3B55" w:rsidRDefault="00BD3B5F" w:rsidP="00BD3B5F">
            <w:pPr>
              <w:numPr>
                <w:ilvl w:val="0"/>
                <w:numId w:val="224"/>
              </w:numPr>
              <w:spacing w:before="0" w:after="0"/>
              <w:ind w:hanging="290"/>
              <w:jc w:val="left"/>
              <w:rPr>
                <w:noProof/>
                <w:szCs w:val="24"/>
              </w:rPr>
            </w:pPr>
            <w:r w:rsidRPr="005C3B55">
              <w:rPr>
                <w:szCs w:val="24"/>
              </w:rPr>
              <w:t>organic waste management,</w:t>
            </w:r>
          </w:p>
          <w:p w:rsidR="00BD3B5F" w:rsidRPr="005C3B55" w:rsidRDefault="00BD3B5F" w:rsidP="00BD3B5F">
            <w:pPr>
              <w:numPr>
                <w:ilvl w:val="0"/>
                <w:numId w:val="224"/>
              </w:numPr>
              <w:spacing w:before="0" w:after="240"/>
              <w:ind w:hanging="290"/>
              <w:jc w:val="left"/>
              <w:rPr>
                <w:noProof/>
                <w:szCs w:val="24"/>
              </w:rPr>
            </w:pPr>
            <w:r w:rsidRPr="005C3B55">
              <w:rPr>
                <w:szCs w:val="24"/>
              </w:rPr>
              <w:t>the production of electricity and thermal energy from renewable energy sources such as wood, biomass, manure and liquefied manure, sun, wind,</w:t>
            </w:r>
          </w:p>
          <w:p w:rsidR="00BD3B5F" w:rsidRPr="005C3B55" w:rsidRDefault="00BD3B5F">
            <w:pPr>
              <w:spacing w:before="240" w:after="240"/>
              <w:jc w:val="left"/>
              <w:rPr>
                <w:noProof/>
                <w:szCs w:val="24"/>
              </w:rPr>
            </w:pPr>
            <w:r w:rsidRPr="005C3B55">
              <w:rPr>
                <w:szCs w:val="24"/>
              </w:rPr>
              <w:t>which will create the conditions for establishing green jobs and additional sources of income in the countryside.</w:t>
            </w:r>
          </w:p>
          <w:p w:rsidR="00BD3B5F" w:rsidRPr="005C3B55" w:rsidRDefault="00BD3B5F">
            <w:pPr>
              <w:spacing w:before="240" w:after="240"/>
              <w:jc w:val="left"/>
              <w:rPr>
                <w:noProof/>
                <w:szCs w:val="24"/>
              </w:rPr>
            </w:pPr>
            <w:r w:rsidRPr="005C3B55">
              <w:rPr>
                <w:szCs w:val="24"/>
              </w:rPr>
              <w:t>Only those non-agricultural activities and those activities whose result is not a product referred to in Annex 1 to the Treaty are eligible for support.</w:t>
            </w:r>
            <w:r w:rsidRPr="005C3B55">
              <w:rPr>
                <w:noProof/>
                <w:szCs w:val="24"/>
              </w:rPr>
              <w:t xml:space="preserve">  </w:t>
            </w:r>
          </w:p>
          <w:p w:rsidR="00BD3B5F" w:rsidRPr="005C3B55" w:rsidRDefault="00BD3B5F">
            <w:pPr>
              <w:spacing w:before="240" w:after="240"/>
              <w:jc w:val="left"/>
              <w:rPr>
                <w:noProof/>
                <w:szCs w:val="24"/>
              </w:rPr>
            </w:pPr>
            <w:r w:rsidRPr="005C3B55">
              <w:rPr>
                <w:szCs w:val="24"/>
              </w:rPr>
              <w:t>In the case of investments in renewable energy sources, the sale of electrical and thermal energy from renewable sources of energy is supported within the scope of this sub-measure; within the scope of the ‘Investments in physical assets’ measure the production of electrical and thermal energy from renewable energy sources is supported for own needs or for the sale in case of processing or marketing agricultural products.</w:t>
            </w:r>
            <w:r w:rsidRPr="005C3B55">
              <w:rPr>
                <w:noProof/>
                <w:szCs w:val="24"/>
              </w:rPr>
              <w:t xml:space="preserve"> </w:t>
            </w:r>
            <w:r w:rsidRPr="005C3B55">
              <w:rPr>
                <w:szCs w:val="24"/>
              </w:rPr>
              <w:t>In the case of investments in renewable energy sources within the scope of this sub-measure, the production and sale of biogas and bio fuels is not eligible for support.</w:t>
            </w:r>
          </w:p>
          <w:p w:rsidR="00BD3B5F" w:rsidRPr="005C3B55" w:rsidRDefault="00BD3B5F">
            <w:pPr>
              <w:spacing w:before="240" w:after="240"/>
              <w:jc w:val="left"/>
              <w:rPr>
                <w:noProof/>
                <w:szCs w:val="24"/>
              </w:rPr>
            </w:pPr>
            <w:r w:rsidRPr="005C3B55">
              <w:rPr>
                <w:szCs w:val="24"/>
              </w:rPr>
              <w:t>The use of wood biomass for the production of electrical and thermal energy will strengthen the exploitation of forests, whereby forest owners are obliged to manage their forests in accordance with forest management plans, based on appropriate consents and permits; thereby, forest felling will be controlled and not present a risk of uncontrolled felling.</w:t>
            </w:r>
            <w:r w:rsidRPr="005C3B55">
              <w:rPr>
                <w:noProof/>
                <w:szCs w:val="24"/>
              </w:rPr>
              <w:t xml:space="preserve"> </w:t>
            </w:r>
            <w:r w:rsidRPr="005C3B55">
              <w:rPr>
                <w:szCs w:val="24"/>
              </w:rPr>
              <w:t>Under this sub-measure, the use of wood as an important natural source for processing and as a renewable energy source will contribute to the implementation of some activities to eliminate damage to forests due to glaze ice in February 2014, since this will contribute to the use of damaged biomass and indirectly to restoration following the natural disaster in which forests were damaged.</w:t>
            </w:r>
          </w:p>
          <w:p w:rsidR="00BD3B5F" w:rsidRPr="005C3B55" w:rsidRDefault="00BD3B5F">
            <w:pPr>
              <w:spacing w:before="240" w:after="240"/>
              <w:jc w:val="left"/>
              <w:rPr>
                <w:noProof/>
                <w:szCs w:val="24"/>
              </w:rPr>
            </w:pPr>
            <w:r w:rsidRPr="005C3B55">
              <w:rPr>
                <w:szCs w:val="24"/>
              </w:rPr>
              <w:t>Only those non-agricultural on farm activities and micro-enterprises as well as small enterprises will be supported (for investments in adding value to wood which are not supported within the scope of the sub-measure M08.6 ‘Investments in forestry technologies and in processing and mobilising of wood’), and these enterprises must be located and operate in settlements with less than 5,000 inhabitants.</w:t>
            </w:r>
          </w:p>
          <w:p w:rsidR="00BD3B5F" w:rsidRPr="005C3B55" w:rsidRDefault="00BD3B5F">
            <w:pPr>
              <w:spacing w:before="240" w:after="240"/>
              <w:jc w:val="left"/>
              <w:rPr>
                <w:noProof/>
                <w:szCs w:val="24"/>
              </w:rPr>
            </w:pPr>
            <w:r w:rsidRPr="005C3B55">
              <w:rPr>
                <w:szCs w:val="24"/>
              </w:rPr>
              <w:t>Investments in fisheries and fishing services will not be supported.</w:t>
            </w:r>
          </w:p>
          <w:p w:rsidR="00BD3B5F" w:rsidRPr="005C3B55" w:rsidRDefault="00BD3B5F">
            <w:pPr>
              <w:spacing w:before="240" w:after="240"/>
              <w:jc w:val="left"/>
              <w:rPr>
                <w:noProof/>
                <w:szCs w:val="24"/>
              </w:rPr>
            </w:pPr>
            <w:r w:rsidRPr="005C3B55">
              <w:rPr>
                <w:szCs w:val="24"/>
              </w:rPr>
              <w:t>The promotion of competition may lead to an excessive concentration of production, which may result in reduced biodiversity and increased environmental burden.</w:t>
            </w:r>
            <w:r w:rsidRPr="005C3B55">
              <w:rPr>
                <w:noProof/>
                <w:szCs w:val="24"/>
              </w:rPr>
              <w:t xml:space="preserve"> </w:t>
            </w:r>
            <w:r w:rsidRPr="005C3B55">
              <w:rPr>
                <w:szCs w:val="24"/>
              </w:rPr>
              <w:t>To maintain the environment in a good condition, several activities will be supported:</w:t>
            </w:r>
          </w:p>
          <w:p w:rsidR="00BD3B5F" w:rsidRPr="005C3B55" w:rsidRDefault="00BD3B5F" w:rsidP="00BD3B5F">
            <w:pPr>
              <w:numPr>
                <w:ilvl w:val="0"/>
                <w:numId w:val="225"/>
              </w:numPr>
              <w:spacing w:before="240" w:after="0"/>
              <w:ind w:hanging="290"/>
              <w:jc w:val="left"/>
              <w:rPr>
                <w:noProof/>
                <w:szCs w:val="24"/>
              </w:rPr>
            </w:pPr>
            <w:r w:rsidRPr="005C3B55">
              <w:rPr>
                <w:szCs w:val="24"/>
              </w:rPr>
              <w:t>Those non-agricultural activities will be supported which strengthen the capacity of farms and thus help preserve agriculture, especially on small farms, including rural landscape ecosystems;</w:t>
            </w:r>
          </w:p>
          <w:p w:rsidR="00BD3B5F" w:rsidRPr="005C3B55" w:rsidRDefault="00BD3B5F" w:rsidP="00BD3B5F">
            <w:pPr>
              <w:numPr>
                <w:ilvl w:val="0"/>
                <w:numId w:val="225"/>
              </w:numPr>
              <w:spacing w:before="0" w:after="0"/>
              <w:ind w:hanging="290"/>
              <w:jc w:val="left"/>
              <w:rPr>
                <w:noProof/>
                <w:szCs w:val="24"/>
              </w:rPr>
            </w:pPr>
            <w:r w:rsidRPr="005C3B55">
              <w:rPr>
                <w:szCs w:val="24"/>
              </w:rPr>
              <w:t>Non-agricultural activities that can contribute to awareness on biodiversity and protected areas, their preservation, expansion of best practices as well as sustainable agriculture and indirectly to the preservation of rural landscape ecosystems will be supported;</w:t>
            </w:r>
          </w:p>
          <w:p w:rsidR="00BD3B5F" w:rsidRPr="005C3B55" w:rsidRDefault="00BD3B5F" w:rsidP="00BD3B5F">
            <w:pPr>
              <w:numPr>
                <w:ilvl w:val="0"/>
                <w:numId w:val="225"/>
              </w:numPr>
              <w:spacing w:before="0" w:after="0"/>
              <w:ind w:hanging="290"/>
              <w:jc w:val="left"/>
              <w:rPr>
                <w:noProof/>
                <w:szCs w:val="24"/>
              </w:rPr>
            </w:pPr>
            <w:r w:rsidRPr="005C3B55">
              <w:rPr>
                <w:szCs w:val="24"/>
              </w:rPr>
              <w:t>Some supported non-agricultural activities connected to adding value to wood and renewable energy sources can indirectly strengthen the exploitation of forests, but only in accordance with the limitations of forest management plans;</w:t>
            </w:r>
          </w:p>
          <w:p w:rsidR="00BD3B5F" w:rsidRPr="005C3B55" w:rsidRDefault="00BD3B5F" w:rsidP="00BD3B5F">
            <w:pPr>
              <w:numPr>
                <w:ilvl w:val="0"/>
                <w:numId w:val="225"/>
              </w:numPr>
              <w:spacing w:before="0" w:after="240"/>
              <w:ind w:hanging="290"/>
              <w:jc w:val="left"/>
              <w:rPr>
                <w:noProof/>
                <w:szCs w:val="24"/>
              </w:rPr>
            </w:pPr>
            <w:r w:rsidRPr="005C3B55">
              <w:rPr>
                <w:szCs w:val="24"/>
              </w:rPr>
              <w:t>Special attention will be paid to the renovation of agricultural buildings subject to cultural heritage protection (higher eligible costs etc.).</w:t>
            </w:r>
          </w:p>
          <w:p w:rsidR="00BD3B5F" w:rsidRPr="005C3B55" w:rsidRDefault="00BD3B5F">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Type of support</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Public support will be granted in the form of financial instruments.</w:t>
            </w:r>
          </w:p>
          <w:p w:rsidR="00F555D6" w:rsidRPr="005C3B55" w:rsidRDefault="00F555D6" w:rsidP="00F555D6">
            <w:pPr>
              <w:spacing w:before="240" w:after="240" w:line="280" w:lineRule="auto"/>
              <w:rPr>
                <w:szCs w:val="24"/>
              </w:rPr>
            </w:pPr>
            <w:r w:rsidRPr="005C3B55">
              <w:rPr>
                <w:szCs w:val="24"/>
              </w:rPr>
              <w:t>The forms of financial instruments through which funds are allocated within this sub-measure will be defined after the preparation of the ex-ante assessment. The amendment to the RDP 2014-2020 will be prepared in accordance with the ex-ante assessment.</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Connection with other legislation</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226"/>
              </w:numPr>
              <w:spacing w:before="0" w:after="0"/>
              <w:ind w:hanging="290"/>
              <w:jc w:val="left"/>
              <w:rPr>
                <w:szCs w:val="24"/>
              </w:rPr>
            </w:pPr>
            <w:r w:rsidRPr="005C3B55">
              <w:rPr>
                <w:szCs w:val="24"/>
              </w:rPr>
              <w:t>Agriculture Act (Official Gazette of the Republic of Slovenia, no. 45/2008 with all amendments);</w:t>
            </w:r>
          </w:p>
          <w:p w:rsidR="00F555D6" w:rsidRPr="005C3B55" w:rsidRDefault="00F555D6" w:rsidP="00F555D6">
            <w:pPr>
              <w:numPr>
                <w:ilvl w:val="0"/>
                <w:numId w:val="226"/>
              </w:numPr>
              <w:spacing w:before="0" w:after="0"/>
              <w:ind w:hanging="290"/>
              <w:jc w:val="left"/>
              <w:rPr>
                <w:szCs w:val="24"/>
              </w:rPr>
            </w:pPr>
            <w:r w:rsidRPr="005C3B55">
              <w:rPr>
                <w:szCs w:val="24"/>
              </w:rPr>
              <w:t>Article 5 of Regulation (EU) No 807/2014;</w:t>
            </w:r>
          </w:p>
          <w:p w:rsidR="00F555D6" w:rsidRPr="005C3B55" w:rsidRDefault="00F555D6" w:rsidP="00F555D6">
            <w:pPr>
              <w:numPr>
                <w:ilvl w:val="0"/>
                <w:numId w:val="226"/>
              </w:numPr>
              <w:spacing w:before="0" w:after="0"/>
              <w:ind w:hanging="290"/>
              <w:jc w:val="left"/>
              <w:rPr>
                <w:szCs w:val="24"/>
              </w:rPr>
            </w:pPr>
            <w:r w:rsidRPr="005C3B55">
              <w:rPr>
                <w:szCs w:val="24"/>
              </w:rPr>
              <w:t>Construction Act (Official Gazette of RS, no. 102/2004 with all amendments);</w:t>
            </w:r>
          </w:p>
          <w:p w:rsidR="00F555D6" w:rsidRPr="005C3B55" w:rsidRDefault="00F555D6" w:rsidP="00F555D6">
            <w:pPr>
              <w:numPr>
                <w:ilvl w:val="0"/>
                <w:numId w:val="226"/>
              </w:numPr>
              <w:spacing w:before="0" w:after="0"/>
              <w:ind w:hanging="290"/>
              <w:jc w:val="left"/>
              <w:rPr>
                <w:szCs w:val="24"/>
              </w:rPr>
            </w:pPr>
            <w:r w:rsidRPr="005C3B55">
              <w:rPr>
                <w:szCs w:val="24"/>
              </w:rPr>
              <w:t>national regulation which regulates the implementation of this sub-measure; and</w:t>
            </w:r>
          </w:p>
          <w:p w:rsidR="00F555D6" w:rsidRPr="005C3B55" w:rsidRDefault="00F555D6" w:rsidP="00F555D6">
            <w:pPr>
              <w:numPr>
                <w:ilvl w:val="0"/>
                <w:numId w:val="226"/>
              </w:numPr>
              <w:spacing w:before="0" w:after="240"/>
              <w:ind w:hanging="290"/>
              <w:jc w:val="left"/>
              <w:rPr>
                <w:szCs w:val="24"/>
              </w:rPr>
            </w:pPr>
            <w:r w:rsidRPr="005C3B55">
              <w:rPr>
                <w:szCs w:val="24"/>
              </w:rPr>
              <w:t>other EU and national legislation which regulates the implementation of this sub-measure.</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Beneficiaries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The beneficiaries are natural persons with a registered subsidiary on-farm activity and micro-enterprises in rural areas.</w:t>
            </w:r>
          </w:p>
          <w:p w:rsidR="00F555D6" w:rsidRPr="005C3B55" w:rsidRDefault="00F555D6" w:rsidP="00F555D6">
            <w:pPr>
              <w:spacing w:before="240" w:after="240" w:line="280" w:lineRule="auto"/>
              <w:rPr>
                <w:szCs w:val="24"/>
              </w:rPr>
            </w:pPr>
            <w:r w:rsidRPr="005C3B55">
              <w:rPr>
                <w:szCs w:val="24"/>
              </w:rPr>
              <w:t>Small enterprises can be beneficiaries of investments of adding value to wood which are not supported under the M08.6. 'Investments in forestry technologies and in processing and mobilisation of wood' sub-measure.</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Eligible costs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Eligible costs are:</w:t>
            </w:r>
          </w:p>
          <w:p w:rsidR="00F555D6" w:rsidRPr="005C3B55" w:rsidRDefault="00F555D6" w:rsidP="00F555D6">
            <w:pPr>
              <w:numPr>
                <w:ilvl w:val="0"/>
                <w:numId w:val="227"/>
              </w:numPr>
              <w:spacing w:before="240" w:after="0"/>
              <w:ind w:hanging="290"/>
              <w:jc w:val="left"/>
              <w:rPr>
                <w:szCs w:val="24"/>
              </w:rPr>
            </w:pPr>
            <w:r w:rsidRPr="005C3B55">
              <w:rPr>
                <w:szCs w:val="24"/>
              </w:rPr>
              <w:t>costs of construction and craft works related to the construction and reconstruction of facilities;</w:t>
            </w:r>
          </w:p>
          <w:p w:rsidR="00F555D6" w:rsidRPr="005C3B55" w:rsidRDefault="00F555D6" w:rsidP="00F555D6">
            <w:pPr>
              <w:numPr>
                <w:ilvl w:val="0"/>
                <w:numId w:val="227"/>
              </w:numPr>
              <w:spacing w:before="0" w:after="0"/>
              <w:ind w:hanging="290"/>
              <w:jc w:val="left"/>
              <w:rPr>
                <w:szCs w:val="24"/>
              </w:rPr>
            </w:pPr>
            <w:r w:rsidRPr="005C3B55">
              <w:rPr>
                <w:szCs w:val="24"/>
              </w:rPr>
              <w:t>costs of construction and craft works related to arranging premises where the activity will be pursued,</w:t>
            </w:r>
          </w:p>
          <w:p w:rsidR="00F555D6" w:rsidRPr="005C3B55" w:rsidRDefault="00F555D6" w:rsidP="00F555D6">
            <w:pPr>
              <w:numPr>
                <w:ilvl w:val="0"/>
                <w:numId w:val="227"/>
              </w:numPr>
              <w:spacing w:before="0" w:after="0"/>
              <w:ind w:hanging="290"/>
              <w:jc w:val="left"/>
              <w:rPr>
                <w:szCs w:val="24"/>
              </w:rPr>
            </w:pPr>
            <w:r w:rsidRPr="005C3B55">
              <w:rPr>
                <w:szCs w:val="24"/>
              </w:rPr>
              <w:t>the purchase of new machinery and equipment including computer software, and</w:t>
            </w:r>
          </w:p>
          <w:p w:rsidR="00F555D6" w:rsidRPr="005C3B55" w:rsidRDefault="00F555D6" w:rsidP="00F555D6">
            <w:pPr>
              <w:numPr>
                <w:ilvl w:val="0"/>
                <w:numId w:val="227"/>
              </w:numPr>
              <w:spacing w:before="0" w:after="240"/>
              <w:ind w:hanging="290"/>
              <w:jc w:val="left"/>
              <w:rPr>
                <w:szCs w:val="24"/>
              </w:rPr>
            </w:pPr>
            <w:r w:rsidRPr="005C3B55">
              <w:rPr>
                <w:szCs w:val="24"/>
              </w:rPr>
              <w:t>general costs, such as architect, engineer and consultation fees.</w:t>
            </w:r>
          </w:p>
          <w:p w:rsidR="00F555D6" w:rsidRPr="005C3B55" w:rsidRDefault="00F555D6" w:rsidP="00F555D6">
            <w:pPr>
              <w:spacing w:before="240" w:after="240" w:line="280" w:lineRule="auto"/>
              <w:rPr>
                <w:szCs w:val="24"/>
              </w:rPr>
            </w:pPr>
            <w:r w:rsidRPr="005C3B55">
              <w:rPr>
                <w:szCs w:val="24"/>
              </w:rPr>
              <w:t>General costs may represent up to 10 per cent of the entire value of the project.</w:t>
            </w:r>
          </w:p>
          <w:p w:rsidR="00F555D6" w:rsidRPr="005C3B55" w:rsidRDefault="00F555D6" w:rsidP="00F555D6">
            <w:pPr>
              <w:spacing w:before="240" w:after="240" w:line="280" w:lineRule="auto"/>
              <w:rPr>
                <w:szCs w:val="24"/>
              </w:rPr>
            </w:pPr>
            <w:r w:rsidRPr="005C3B55">
              <w:rPr>
                <w:szCs w:val="24"/>
              </w:rPr>
              <w:t>An in-kind contribution and used equipment are not deemed eligible.</w:t>
            </w:r>
          </w:p>
          <w:p w:rsidR="00F555D6" w:rsidRPr="005C3B55" w:rsidRDefault="00F555D6" w:rsidP="00F555D6">
            <w:pPr>
              <w:spacing w:before="240" w:after="240" w:line="280" w:lineRule="auto"/>
              <w:rPr>
                <w:szCs w:val="24"/>
              </w:rPr>
            </w:pPr>
            <w:r w:rsidRPr="005C3B55">
              <w:rPr>
                <w:szCs w:val="24"/>
              </w:rPr>
              <w:t>The determination of the amount of eligible costs will take into account the upper limits of individual eligible costs, which will be determined in the catalogue of the highest values of costs. Regardless of this, the beneficiary will have to enclose one bid with the application. In the case of values not determined in the Catalogue of the highest values of costs, the beneficiary will have to enclose three bids.</w:t>
            </w:r>
          </w:p>
          <w:p w:rsidR="00F555D6" w:rsidRPr="005C3B55" w:rsidRDefault="00F555D6" w:rsidP="00F555D6">
            <w:pPr>
              <w:spacing w:before="240" w:after="240" w:line="280" w:lineRule="auto"/>
              <w:rPr>
                <w:szCs w:val="24"/>
              </w:rPr>
            </w:pPr>
            <w:r w:rsidRPr="005C3B55">
              <w:rPr>
                <w:szCs w:val="24"/>
              </w:rPr>
              <w:t>Higher costs are recognised in the case of activities in buildings with cultural heritage status. These costs will be adapted to the greater level of difficulty and greater investment costs.</w:t>
            </w:r>
          </w:p>
          <w:p w:rsidR="00F555D6" w:rsidRPr="005C3B55" w:rsidRDefault="00F555D6" w:rsidP="00F555D6">
            <w:pPr>
              <w:spacing w:before="240" w:after="240" w:line="280" w:lineRule="auto"/>
              <w:rPr>
                <w:szCs w:val="24"/>
              </w:rPr>
            </w:pPr>
            <w:r w:rsidRPr="005C3B55">
              <w:rPr>
                <w:szCs w:val="24"/>
              </w:rPr>
              <w:t>Further detailed provisions without departures from the main provisions as contained in the programme in terms of the eligibility of costs will be defined in implementing regulations at the national level for the sub-measure in question.</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Conditions for eligibility</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228"/>
              </w:numPr>
              <w:spacing w:before="0" w:after="0"/>
              <w:ind w:hanging="290"/>
              <w:jc w:val="left"/>
              <w:rPr>
                <w:szCs w:val="24"/>
              </w:rPr>
            </w:pPr>
            <w:r w:rsidRPr="005C3B55">
              <w:rPr>
                <w:szCs w:val="24"/>
              </w:rPr>
              <w:t>Only those non-agricultural activities whose result is not a product referred to in Annex 1 to the Treaty are eligible for support.</w:t>
            </w:r>
          </w:p>
          <w:p w:rsidR="00F555D6" w:rsidRPr="005C3B55" w:rsidRDefault="00F555D6" w:rsidP="00F555D6">
            <w:pPr>
              <w:numPr>
                <w:ilvl w:val="0"/>
                <w:numId w:val="228"/>
              </w:numPr>
              <w:spacing w:before="0" w:after="0"/>
              <w:ind w:hanging="290"/>
              <w:jc w:val="left"/>
              <w:rPr>
                <w:szCs w:val="24"/>
              </w:rPr>
            </w:pPr>
            <w:r w:rsidRPr="005C3B55">
              <w:rPr>
                <w:szCs w:val="24"/>
              </w:rPr>
              <w:t>The place of establishment must be located in settlements with less than 5,000 inhabitants.</w:t>
            </w:r>
          </w:p>
          <w:p w:rsidR="00F555D6" w:rsidRPr="005C3B55" w:rsidRDefault="00F555D6" w:rsidP="00F555D6">
            <w:pPr>
              <w:numPr>
                <w:ilvl w:val="0"/>
                <w:numId w:val="228"/>
              </w:numPr>
              <w:spacing w:before="0" w:after="0"/>
              <w:ind w:hanging="290"/>
              <w:jc w:val="left"/>
              <w:rPr>
                <w:szCs w:val="24"/>
              </w:rPr>
            </w:pPr>
            <w:r w:rsidRPr="005C3B55">
              <w:rPr>
                <w:szCs w:val="24"/>
              </w:rPr>
              <w:t>Submission of a business plan;</w:t>
            </w:r>
          </w:p>
          <w:p w:rsidR="00F555D6" w:rsidRPr="005C3B55" w:rsidRDefault="00F555D6" w:rsidP="00F555D6">
            <w:pPr>
              <w:numPr>
                <w:ilvl w:val="0"/>
                <w:numId w:val="228"/>
              </w:numPr>
              <w:spacing w:before="0" w:after="0"/>
              <w:ind w:hanging="290"/>
              <w:jc w:val="left"/>
              <w:rPr>
                <w:szCs w:val="24"/>
              </w:rPr>
            </w:pPr>
            <w:r w:rsidRPr="005C3B55">
              <w:rPr>
                <w:szCs w:val="24"/>
              </w:rPr>
              <w:t>An enterprise is not in difficulty according to the Community guidelines on State aid for rescuing and restructuring firms in difficulty.</w:t>
            </w:r>
          </w:p>
          <w:p w:rsidR="00F555D6" w:rsidRPr="005C3B55" w:rsidRDefault="00F555D6" w:rsidP="00F555D6">
            <w:pPr>
              <w:numPr>
                <w:ilvl w:val="0"/>
                <w:numId w:val="228"/>
              </w:numPr>
              <w:spacing w:before="0" w:after="0"/>
              <w:ind w:hanging="290"/>
              <w:jc w:val="left"/>
              <w:rPr>
                <w:szCs w:val="24"/>
              </w:rPr>
            </w:pPr>
            <w:r w:rsidRPr="005C3B55">
              <w:rPr>
                <w:szCs w:val="24"/>
              </w:rPr>
              <w:t>Investment activities must be completed within a period of two years of receiving aid.</w:t>
            </w:r>
          </w:p>
          <w:p w:rsidR="00F555D6" w:rsidRPr="005C3B55" w:rsidRDefault="00F555D6" w:rsidP="00F555D6">
            <w:pPr>
              <w:numPr>
                <w:ilvl w:val="0"/>
                <w:numId w:val="228"/>
              </w:numPr>
              <w:spacing w:before="0" w:after="0"/>
              <w:ind w:hanging="290"/>
              <w:jc w:val="left"/>
              <w:rPr>
                <w:szCs w:val="24"/>
              </w:rPr>
            </w:pPr>
            <w:r w:rsidRPr="005C3B55">
              <w:rPr>
                <w:szCs w:val="24"/>
              </w:rPr>
              <w:t>Comprehensive planning of the development of agricultural holdings will have to be observed when preparing business plans aimed at achieving sustainable agriculture.</w:t>
            </w:r>
          </w:p>
          <w:p w:rsidR="00F555D6" w:rsidRPr="005C3B55" w:rsidRDefault="00F555D6" w:rsidP="00F555D6">
            <w:pPr>
              <w:numPr>
                <w:ilvl w:val="0"/>
                <w:numId w:val="228"/>
              </w:numPr>
              <w:spacing w:before="0" w:after="240"/>
              <w:ind w:hanging="290"/>
              <w:jc w:val="left"/>
              <w:rPr>
                <w:szCs w:val="24"/>
              </w:rPr>
            </w:pPr>
            <w:r w:rsidRPr="005C3B55">
              <w:rPr>
                <w:szCs w:val="24"/>
              </w:rPr>
              <w:t>The intervention has to be in accordance with the regulations on nature protection in investments concerning an intervention in the environment. When no building permit is required for the intervention, the applicant has to acquire location information indicating that the investment is not contrary to the regulations on nature protection.</w:t>
            </w:r>
          </w:p>
          <w:p w:rsidR="00F555D6" w:rsidRPr="005C3B55" w:rsidRDefault="00F555D6" w:rsidP="00F555D6">
            <w:pPr>
              <w:spacing w:before="240" w:after="240" w:line="280" w:lineRule="auto"/>
              <w:rPr>
                <w:szCs w:val="24"/>
              </w:rPr>
            </w:pPr>
            <w:r w:rsidRPr="005C3B55">
              <w:rPr>
                <w:b/>
                <w:i/>
                <w:szCs w:val="24"/>
              </w:rPr>
              <w:t>Additional provisions for investments in adding value to wood:</w:t>
            </w:r>
          </w:p>
          <w:p w:rsidR="00F555D6" w:rsidRPr="005C3B55" w:rsidRDefault="00F555D6" w:rsidP="00F555D6">
            <w:pPr>
              <w:numPr>
                <w:ilvl w:val="0"/>
                <w:numId w:val="229"/>
              </w:numPr>
              <w:spacing w:before="240" w:after="0"/>
              <w:ind w:hanging="290"/>
              <w:jc w:val="left"/>
              <w:rPr>
                <w:szCs w:val="24"/>
              </w:rPr>
            </w:pPr>
            <w:r w:rsidRPr="005C3B55">
              <w:rPr>
                <w:szCs w:val="24"/>
              </w:rPr>
              <w:t>Eligibility is granted to investments that are not supported under the M08.6 'Investments in forestry technologies and in processing and mobilisation of wood' sub-measure.</w:t>
            </w:r>
          </w:p>
          <w:p w:rsidR="00F555D6" w:rsidRPr="005C3B55" w:rsidRDefault="00F555D6" w:rsidP="00F555D6">
            <w:pPr>
              <w:numPr>
                <w:ilvl w:val="0"/>
                <w:numId w:val="229"/>
              </w:numPr>
              <w:spacing w:before="0" w:after="0"/>
              <w:ind w:hanging="290"/>
              <w:jc w:val="left"/>
              <w:rPr>
                <w:szCs w:val="24"/>
              </w:rPr>
            </w:pPr>
            <w:r w:rsidRPr="005C3B55">
              <w:rPr>
                <w:szCs w:val="24"/>
              </w:rPr>
              <w:t>The beneficiary must provide suitable project documentation in accordance with regulations on construction.</w:t>
            </w:r>
          </w:p>
          <w:p w:rsidR="00F555D6" w:rsidRPr="005C3B55" w:rsidRDefault="00F555D6" w:rsidP="00F555D6">
            <w:pPr>
              <w:numPr>
                <w:ilvl w:val="0"/>
                <w:numId w:val="229"/>
              </w:numPr>
              <w:spacing w:before="0" w:after="0"/>
              <w:ind w:hanging="290"/>
              <w:jc w:val="left"/>
              <w:rPr>
                <w:szCs w:val="24"/>
              </w:rPr>
            </w:pPr>
            <w:r w:rsidRPr="005C3B55">
              <w:rPr>
                <w:szCs w:val="24"/>
              </w:rPr>
              <w:t>The beneficiary must be the owner, co-owner or long-term lessee of the immovable property which is the subject of support.</w:t>
            </w:r>
          </w:p>
          <w:p w:rsidR="00F555D6" w:rsidRPr="005C3B55" w:rsidRDefault="00F555D6" w:rsidP="00F555D6">
            <w:pPr>
              <w:numPr>
                <w:ilvl w:val="0"/>
                <w:numId w:val="229"/>
              </w:numPr>
              <w:spacing w:before="0" w:after="240"/>
              <w:ind w:hanging="290"/>
              <w:jc w:val="left"/>
              <w:rPr>
                <w:szCs w:val="24"/>
              </w:rPr>
            </w:pPr>
            <w:r w:rsidRPr="005C3B55">
              <w:rPr>
                <w:szCs w:val="24"/>
              </w:rPr>
              <w:t>The beneficiary must be registered for pursuing wood processing.</w:t>
            </w:r>
          </w:p>
          <w:p w:rsidR="00F555D6" w:rsidRPr="005C3B55" w:rsidRDefault="00F555D6" w:rsidP="00F555D6">
            <w:pPr>
              <w:spacing w:before="240" w:after="240" w:line="280" w:lineRule="auto"/>
              <w:rPr>
                <w:szCs w:val="24"/>
              </w:rPr>
            </w:pPr>
            <w:r w:rsidRPr="005C3B55">
              <w:rPr>
                <w:b/>
                <w:i/>
                <w:szCs w:val="24"/>
              </w:rPr>
              <w:t>Additional provisions for investments in the production of electrical and thermal energy from renewable energy sources:</w:t>
            </w:r>
          </w:p>
          <w:p w:rsidR="00F555D6" w:rsidRPr="005C3B55" w:rsidRDefault="00F555D6" w:rsidP="00F555D6">
            <w:pPr>
              <w:numPr>
                <w:ilvl w:val="0"/>
                <w:numId w:val="230"/>
              </w:numPr>
              <w:spacing w:before="240" w:after="0"/>
              <w:ind w:hanging="290"/>
              <w:jc w:val="left"/>
              <w:rPr>
                <w:szCs w:val="24"/>
              </w:rPr>
            </w:pPr>
            <w:r w:rsidRPr="005C3B55">
              <w:rPr>
                <w:szCs w:val="24"/>
              </w:rPr>
              <w:t>Electricity produced within the scope of investments in renewable energy sources is intended for sale.</w:t>
            </w:r>
          </w:p>
          <w:p w:rsidR="00F555D6" w:rsidRPr="005C3B55" w:rsidRDefault="00F555D6" w:rsidP="00F555D6">
            <w:pPr>
              <w:numPr>
                <w:ilvl w:val="0"/>
                <w:numId w:val="230"/>
              </w:numPr>
              <w:spacing w:before="0" w:after="0"/>
              <w:ind w:hanging="290"/>
              <w:jc w:val="left"/>
              <w:rPr>
                <w:szCs w:val="24"/>
              </w:rPr>
            </w:pPr>
            <w:r w:rsidRPr="005C3B55">
              <w:rPr>
                <w:szCs w:val="24"/>
              </w:rPr>
              <w:t>The investment is harmonised with the minimum standards for energy efficiency, mentioned in the Energy Act (Official Gazette of the Republic of Slovenia, no. 17/2014 with all amendments) and its adopted regulations (Regulation on support for the electricity generated from renewable energy sources (Official Gazette of the Republic of Slovenia, no. 37/03 with all amendments), Regulation on supports for the electricity generated in cogeneration of heat and electricity with high efficiency (Official Gazette of the Republic of Slovenia, no. 37/09 with all amendments), Regulation on determination of the amount of electricity from cogeneration of heat and electricity with high efficiency and determination of efficiency of transformation of energy from biomass (Official Gazette of the Republic of Slovenia, no. 37/09 with all amendments) or after the enforcement of new executive acts issued on the basis of the Energy Act (Official Gazette of the Republic of Slovenia, no.17/2014 with all amendments); these and all other decrees and regulations which determine minimum energy efficiency standards.</w:t>
            </w:r>
          </w:p>
          <w:p w:rsidR="00F555D6" w:rsidRPr="005C3B55" w:rsidRDefault="00F555D6" w:rsidP="00F555D6">
            <w:pPr>
              <w:numPr>
                <w:ilvl w:val="0"/>
                <w:numId w:val="230"/>
              </w:numPr>
              <w:spacing w:before="0" w:after="0"/>
              <w:ind w:hanging="290"/>
              <w:jc w:val="left"/>
              <w:rPr>
                <w:szCs w:val="24"/>
              </w:rPr>
            </w:pPr>
            <w:r w:rsidRPr="005C3B55">
              <w:rPr>
                <w:szCs w:val="24"/>
              </w:rPr>
              <w:t>In the case of investments in producing thermal energy and/or electricity from biomass, the use of cereals and other crops rich in starch and sugar, and oilseeds is not permitted.</w:t>
            </w:r>
          </w:p>
          <w:p w:rsidR="00F555D6" w:rsidRPr="005C3B55" w:rsidRDefault="00F555D6" w:rsidP="00F555D6">
            <w:pPr>
              <w:numPr>
                <w:ilvl w:val="0"/>
                <w:numId w:val="230"/>
              </w:numPr>
              <w:spacing w:before="0" w:after="0"/>
              <w:ind w:hanging="290"/>
              <w:jc w:val="left"/>
              <w:rPr>
                <w:szCs w:val="24"/>
              </w:rPr>
            </w:pPr>
            <w:r w:rsidRPr="005C3B55">
              <w:rPr>
                <w:szCs w:val="24"/>
              </w:rPr>
              <w:t>Investments in facilities which aim to produce and sell electricity from biomass are eligible for support when the share of thermal energy used and sold annually amounts to at least 60 per cent of the entire thermal energy produced from biomass.</w:t>
            </w:r>
          </w:p>
          <w:p w:rsidR="00F555D6" w:rsidRPr="005C3B55" w:rsidRDefault="00F555D6" w:rsidP="00F555D6">
            <w:pPr>
              <w:numPr>
                <w:ilvl w:val="0"/>
                <w:numId w:val="230"/>
              </w:numPr>
              <w:spacing w:before="0" w:after="0"/>
              <w:ind w:hanging="290"/>
              <w:jc w:val="left"/>
              <w:rPr>
                <w:szCs w:val="24"/>
              </w:rPr>
            </w:pPr>
            <w:r w:rsidRPr="005C3B55">
              <w:rPr>
                <w:szCs w:val="24"/>
              </w:rPr>
              <w:t>The support is limited to bio-energy which meets the current sustainability criteria in EU legislation, including Article 17(2) to (6) of Directive 2009/28/EC of the European Parliament and the Council.</w:t>
            </w:r>
          </w:p>
          <w:p w:rsidR="00F555D6" w:rsidRPr="005C3B55" w:rsidRDefault="00F555D6" w:rsidP="00F555D6">
            <w:pPr>
              <w:numPr>
                <w:ilvl w:val="0"/>
                <w:numId w:val="230"/>
              </w:numPr>
              <w:spacing w:before="0" w:after="240"/>
              <w:ind w:hanging="290"/>
              <w:jc w:val="left"/>
              <w:rPr>
                <w:szCs w:val="24"/>
              </w:rPr>
            </w:pPr>
            <w:r w:rsidRPr="005C3B55">
              <w:rPr>
                <w:szCs w:val="24"/>
              </w:rPr>
              <w:t>With regard to air emissions, consideration must be made of the limit values of emission of substances in accordance with the regulation Decree on the emission of substances into the atmosphere from small and medium combustion plants (Official Gazette of the Republic of Slovenia, No. 24/2013 with all amendments) or upon the adoption of the Clean Air for Europe Programme and its implementation into the legislation of the Republic of Slovenia, the limit values from the latter must be considered.</w:t>
            </w:r>
          </w:p>
          <w:p w:rsidR="00F555D6" w:rsidRPr="005C3B55" w:rsidRDefault="00F555D6" w:rsidP="00F555D6">
            <w:pPr>
              <w:spacing w:before="240" w:after="240" w:line="280" w:lineRule="auto"/>
              <w:rPr>
                <w:szCs w:val="24"/>
              </w:rPr>
            </w:pPr>
            <w:r w:rsidRPr="005C3B55">
              <w:rPr>
                <w:b/>
                <w:i/>
                <w:szCs w:val="24"/>
              </w:rPr>
              <w:t>Additional provisions for final aid recipients who are natural persons with registered subsidiary on-farm activity in accordance with national legislation:</w:t>
            </w:r>
          </w:p>
          <w:p w:rsidR="00F555D6" w:rsidRPr="005C3B55" w:rsidRDefault="00F555D6" w:rsidP="00F555D6">
            <w:pPr>
              <w:numPr>
                <w:ilvl w:val="0"/>
                <w:numId w:val="231"/>
              </w:numPr>
              <w:spacing w:before="240" w:after="240"/>
              <w:ind w:hanging="290"/>
              <w:jc w:val="left"/>
              <w:rPr>
                <w:szCs w:val="24"/>
              </w:rPr>
            </w:pPr>
            <w:r w:rsidRPr="005C3B55">
              <w:rPr>
                <w:szCs w:val="24"/>
              </w:rPr>
              <w:t>The preservation of job(s) on the farm if the farm has employees for a minimum 24-month period from the conclusion of the investment.</w:t>
            </w:r>
          </w:p>
          <w:p w:rsidR="00F555D6" w:rsidRPr="005C3B55" w:rsidRDefault="00F555D6" w:rsidP="00F555D6">
            <w:pPr>
              <w:spacing w:before="240" w:after="240" w:line="280" w:lineRule="auto"/>
              <w:rPr>
                <w:szCs w:val="24"/>
              </w:rPr>
            </w:pPr>
            <w:r w:rsidRPr="005C3B55">
              <w:rPr>
                <w:b/>
                <w:i/>
                <w:szCs w:val="24"/>
              </w:rPr>
              <w:t>Additional provisions for final recipients who are micro or small enterprises in the countryside:</w:t>
            </w:r>
          </w:p>
          <w:p w:rsidR="00F555D6" w:rsidRPr="005C3B55" w:rsidRDefault="00F555D6" w:rsidP="00F555D6">
            <w:pPr>
              <w:numPr>
                <w:ilvl w:val="0"/>
                <w:numId w:val="232"/>
              </w:numPr>
              <w:spacing w:before="240" w:after="240"/>
              <w:ind w:hanging="290"/>
              <w:jc w:val="left"/>
              <w:rPr>
                <w:szCs w:val="24"/>
              </w:rPr>
            </w:pPr>
            <w:r w:rsidRPr="005C3B55">
              <w:rPr>
                <w:szCs w:val="24"/>
              </w:rPr>
              <w:t>Establishment of a new job within 12 months from the conclusion of the investment for a minimum 24-month period.</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Principles regarding the determination of selection criteria</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Selected projects whose applications are complete and adequate in terms of content and which meet the conditions for receiving funds and exceed the threshold number of points determined in the public tender will be eligible for support. The following aspects will be considered:</w:t>
            </w:r>
          </w:p>
          <w:p w:rsidR="00F555D6" w:rsidRPr="005C3B55" w:rsidRDefault="00F555D6" w:rsidP="00F555D6">
            <w:pPr>
              <w:numPr>
                <w:ilvl w:val="0"/>
                <w:numId w:val="233"/>
              </w:numPr>
              <w:spacing w:before="240" w:after="0"/>
              <w:ind w:hanging="290"/>
              <w:jc w:val="left"/>
              <w:rPr>
                <w:szCs w:val="24"/>
              </w:rPr>
            </w:pPr>
            <w:r w:rsidRPr="005C3B55">
              <w:rPr>
                <w:szCs w:val="24"/>
              </w:rPr>
              <w:t>economic efficiency (e.g. developmentally endangered rural areas, areas with above-average unemployment rate),</w:t>
            </w:r>
          </w:p>
          <w:p w:rsidR="00F555D6" w:rsidRPr="005C3B55" w:rsidRDefault="00F555D6" w:rsidP="00F555D6">
            <w:pPr>
              <w:numPr>
                <w:ilvl w:val="0"/>
                <w:numId w:val="233"/>
              </w:numPr>
              <w:spacing w:before="0" w:after="0"/>
              <w:ind w:hanging="290"/>
              <w:jc w:val="left"/>
              <w:rPr>
                <w:szCs w:val="24"/>
              </w:rPr>
            </w:pPr>
            <w:r w:rsidRPr="005C3B55">
              <w:rPr>
                <w:szCs w:val="24"/>
              </w:rPr>
              <w:t>development potential (e.g. market orientation and potential markets, higher added value),</w:t>
            </w:r>
          </w:p>
          <w:p w:rsidR="00F555D6" w:rsidRPr="005C3B55" w:rsidRDefault="00F555D6" w:rsidP="00F555D6">
            <w:pPr>
              <w:numPr>
                <w:ilvl w:val="0"/>
                <w:numId w:val="233"/>
              </w:numPr>
              <w:spacing w:before="0" w:after="240"/>
              <w:ind w:hanging="290"/>
              <w:jc w:val="left"/>
              <w:rPr>
                <w:szCs w:val="24"/>
              </w:rPr>
            </w:pPr>
            <w:r w:rsidRPr="005C3B55">
              <w:rPr>
                <w:szCs w:val="24"/>
              </w:rPr>
              <w:t>stimulating social inclusion in rural areas (e.g. establishment of a social enterprise, employing more than 1 person – young, long-term unemployed person, woman).</w:t>
            </w:r>
          </w:p>
          <w:p w:rsidR="00F555D6" w:rsidRPr="005C3B55" w:rsidRDefault="00F555D6" w:rsidP="00F555D6">
            <w:pPr>
              <w:spacing w:before="240" w:after="240" w:line="280" w:lineRule="auto"/>
              <w:rPr>
                <w:szCs w:val="24"/>
              </w:rPr>
            </w:pPr>
            <w:r w:rsidRPr="005C3B55">
              <w:rPr>
                <w:szCs w:val="24"/>
              </w:rPr>
              <w:t xml:space="preserve">Support will be granted in the form of </w:t>
            </w:r>
            <w:r w:rsidRPr="005C3B55">
              <w:rPr>
                <w:b/>
                <w:szCs w:val="24"/>
              </w:rPr>
              <w:t>financial instruments</w:t>
            </w:r>
            <w:r w:rsidRPr="005C3B55">
              <w:rPr>
                <w:szCs w:val="24"/>
              </w:rPr>
              <w:t>. The forms of financial instrument which will be used to allocate funds within the scope of this sub-measure will be determined after the ex-ante assessment is made, and on the basis of the ex-ante assessment, the principles regarding the selection criteria will be determined in the published public tenders for the sub-measure.</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(Valid) amounts and support rates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 xml:space="preserve">The total amount of aid allocated to the same beneficiary on the basis of the </w:t>
            </w:r>
            <w:r w:rsidRPr="005C3B55">
              <w:rPr>
                <w:i/>
                <w:szCs w:val="24"/>
              </w:rPr>
              <w:t>de minimis</w:t>
            </w:r>
            <w:r w:rsidRPr="005C3B55">
              <w:rPr>
                <w:szCs w:val="24"/>
              </w:rPr>
              <w:t xml:space="preserve"> rule must not exceed EUR 200,000 over a period of three years of the latest receipt of such aid, regardless of the form or purpose of aid.</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Verifiability and possibility of control of measures and/or type of operations</w:t>
      </w:r>
    </w:p>
    <w:p w:rsidR="00F555D6" w:rsidRPr="005C3B55" w:rsidRDefault="00F555D6" w:rsidP="00F555D6">
      <w:pPr>
        <w:pStyle w:val="Naslov7"/>
        <w:tabs>
          <w:tab w:val="clear" w:pos="765"/>
        </w:tabs>
        <w:ind w:left="0" w:firstLine="0"/>
        <w:rPr>
          <w:szCs w:val="24"/>
          <w:lang w:val="en-GB"/>
        </w:rPr>
      </w:pPr>
      <w:r w:rsidRPr="005C3B55">
        <w:rPr>
          <w:noProof w:val="0"/>
          <w:szCs w:val="24"/>
          <w:lang w:val="en-GB"/>
        </w:rPr>
        <w:t>Risks in the implementation of the measure</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b/>
                <w:szCs w:val="24"/>
              </w:rPr>
              <w:t>R1: Application conditions for private beneficiaries</w:t>
            </w:r>
          </w:p>
          <w:p w:rsidR="00F555D6" w:rsidRPr="005C3B55" w:rsidRDefault="00F555D6" w:rsidP="00F555D6">
            <w:pPr>
              <w:spacing w:before="240" w:after="240" w:line="280" w:lineRule="auto"/>
              <w:rPr>
                <w:szCs w:val="24"/>
              </w:rPr>
            </w:pPr>
            <w:r w:rsidRPr="005C3B55">
              <w:rPr>
                <w:szCs w:val="24"/>
              </w:rPr>
              <w:t>There is a risk that the review of applications submitted for the public procurement from their arrival to the decision on the granting of funds will be lengthy.</w:t>
            </w:r>
          </w:p>
          <w:p w:rsidR="00F555D6" w:rsidRPr="005C3B55" w:rsidRDefault="00F555D6" w:rsidP="00F555D6">
            <w:pPr>
              <w:spacing w:before="240" w:after="240" w:line="280" w:lineRule="auto"/>
              <w:rPr>
                <w:szCs w:val="24"/>
              </w:rPr>
            </w:pPr>
            <w:r w:rsidRPr="005C3B55">
              <w:rPr>
                <w:b/>
                <w:szCs w:val="24"/>
              </w:rPr>
              <w:t>R2: Reasonableness of costs</w:t>
            </w:r>
          </w:p>
          <w:p w:rsidR="00F555D6" w:rsidRPr="005C3B55" w:rsidRDefault="00F555D6" w:rsidP="00F555D6">
            <w:pPr>
              <w:spacing w:before="240" w:after="240" w:line="280" w:lineRule="auto"/>
              <w:rPr>
                <w:szCs w:val="24"/>
              </w:rPr>
            </w:pPr>
            <w:r w:rsidRPr="005C3B55">
              <w:rPr>
                <w:szCs w:val="24"/>
              </w:rPr>
              <w:t>The market faces considerable price fluctuations in the same types of costs, especially the purchase of machinery and equipment. There is a risk that a beneficiary will pay for the same cost several times more than another beneficiary.</w:t>
            </w:r>
          </w:p>
          <w:p w:rsidR="00F555D6" w:rsidRPr="005C3B55" w:rsidRDefault="00F555D6" w:rsidP="00F555D6">
            <w:pPr>
              <w:spacing w:before="240" w:after="240" w:line="280" w:lineRule="auto"/>
              <w:rPr>
                <w:szCs w:val="24"/>
              </w:rPr>
            </w:pPr>
            <w:r w:rsidRPr="005C3B55">
              <w:rPr>
                <w:b/>
                <w:szCs w:val="24"/>
              </w:rPr>
              <w:t>R3: Suitable overview and control system</w:t>
            </w:r>
          </w:p>
          <w:p w:rsidR="00F555D6" w:rsidRPr="005C3B55" w:rsidRDefault="00F555D6" w:rsidP="00F555D6">
            <w:pPr>
              <w:spacing w:before="240" w:after="240" w:line="280" w:lineRule="auto"/>
              <w:rPr>
                <w:szCs w:val="24"/>
              </w:rPr>
            </w:pPr>
            <w:r w:rsidRPr="005C3B55">
              <w:rPr>
                <w:szCs w:val="24"/>
              </w:rPr>
              <w:t>There is a risk of double financing of the same eligible costs.</w:t>
            </w:r>
          </w:p>
          <w:p w:rsidR="00F555D6" w:rsidRPr="005C3B55" w:rsidRDefault="00F555D6" w:rsidP="00F555D6">
            <w:pPr>
              <w:spacing w:before="240" w:after="240" w:line="280" w:lineRule="auto"/>
              <w:rPr>
                <w:szCs w:val="24"/>
              </w:rPr>
            </w:pPr>
            <w:r w:rsidRPr="005C3B55">
              <w:rPr>
                <w:b/>
                <w:szCs w:val="24"/>
              </w:rPr>
              <w:t>R7: Selection of beneficiaries</w:t>
            </w:r>
          </w:p>
          <w:p w:rsidR="00F555D6" w:rsidRPr="005C3B55" w:rsidRDefault="00F555D6" w:rsidP="00F555D6">
            <w:pPr>
              <w:spacing w:before="240" w:after="240" w:line="280" w:lineRule="auto"/>
              <w:rPr>
                <w:szCs w:val="24"/>
              </w:rPr>
            </w:pPr>
            <w:r w:rsidRPr="005C3B55">
              <w:rPr>
                <w:szCs w:val="24"/>
              </w:rPr>
              <w:t>No major risks may be detected at the level of beneficiary selection.</w:t>
            </w:r>
          </w:p>
          <w:p w:rsidR="00F555D6" w:rsidRPr="005C3B55" w:rsidRDefault="00F555D6" w:rsidP="00F555D6">
            <w:pPr>
              <w:spacing w:before="240" w:after="240" w:line="280" w:lineRule="auto"/>
              <w:rPr>
                <w:szCs w:val="24"/>
              </w:rPr>
            </w:pPr>
            <w:r w:rsidRPr="005C3B55">
              <w:rPr>
                <w:b/>
                <w:szCs w:val="24"/>
              </w:rPr>
              <w:t>R8: IT systems</w:t>
            </w:r>
          </w:p>
          <w:p w:rsidR="00F555D6" w:rsidRPr="005C3B55" w:rsidRDefault="00F555D6" w:rsidP="00F555D6">
            <w:pPr>
              <w:spacing w:before="240" w:after="240" w:line="280" w:lineRule="auto"/>
              <w:rPr>
                <w:szCs w:val="24"/>
              </w:rPr>
            </w:pPr>
            <w:r w:rsidRPr="005C3B55">
              <w:rPr>
                <w:szCs w:val="24"/>
              </w:rPr>
              <w:t>Regarding information systems, a risk related to the connectivity of the database within public administration and their adequate operation was detected.</w:t>
            </w:r>
          </w:p>
          <w:p w:rsidR="00F555D6" w:rsidRPr="005C3B55" w:rsidRDefault="00F555D6" w:rsidP="00F555D6">
            <w:pPr>
              <w:spacing w:before="240" w:after="240" w:line="280" w:lineRule="auto"/>
              <w:rPr>
                <w:szCs w:val="24"/>
              </w:rPr>
            </w:pPr>
            <w:r w:rsidRPr="005C3B55">
              <w:rPr>
                <w:szCs w:val="24"/>
              </w:rPr>
              <w:t xml:space="preserve">Support will be granted in the form of </w:t>
            </w:r>
            <w:r w:rsidRPr="005C3B55">
              <w:rPr>
                <w:b/>
                <w:szCs w:val="24"/>
              </w:rPr>
              <w:t>financial instruments</w:t>
            </w:r>
            <w:r w:rsidRPr="005C3B55">
              <w:rPr>
                <w:szCs w:val="24"/>
              </w:rPr>
              <w:t>. A preliminary assessment will be made, based on which other potential risks will be determined for the implementation of the measure due to the use of financial instruments. If the ex-ante assessment is not concluded until the preparation of the final version of the programme submitted to the Commission, the manners of implementation will be determined in the next amendment to the programme after the ex-ante assessment has been conducted.</w:t>
            </w:r>
          </w:p>
          <w:p w:rsidR="00F555D6" w:rsidRPr="005C3B55" w:rsidRDefault="00F555D6" w:rsidP="00F555D6">
            <w:pPr>
              <w:pStyle w:val="Telobesedila"/>
              <w:rPr>
                <w:szCs w:val="24"/>
              </w:rPr>
            </w:pPr>
          </w:p>
        </w:tc>
      </w:tr>
    </w:tbl>
    <w:p w:rsidR="00F555D6" w:rsidRPr="005C3B55" w:rsidRDefault="00F555D6" w:rsidP="00F555D6">
      <w:pPr>
        <w:pStyle w:val="Naslov7"/>
        <w:tabs>
          <w:tab w:val="clear" w:pos="765"/>
        </w:tabs>
        <w:ind w:left="0" w:firstLine="0"/>
        <w:rPr>
          <w:szCs w:val="24"/>
          <w:lang w:val="en-GB"/>
        </w:rPr>
      </w:pPr>
      <w:r w:rsidRPr="005C3B55">
        <w:rPr>
          <w:noProof w:val="0"/>
          <w:szCs w:val="24"/>
          <w:lang w:val="en-GB"/>
        </w:rPr>
        <w:t>Mitigation measures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b/>
                <w:szCs w:val="24"/>
              </w:rPr>
              <w:t>R1: Application conditions for private beneficiaries</w:t>
            </w:r>
          </w:p>
          <w:p w:rsidR="00F555D6" w:rsidRPr="005C3B55" w:rsidRDefault="00F555D6" w:rsidP="00F555D6">
            <w:pPr>
              <w:spacing w:before="240" w:after="240" w:line="280" w:lineRule="auto"/>
              <w:rPr>
                <w:szCs w:val="24"/>
              </w:rPr>
            </w:pPr>
            <w:r w:rsidRPr="005C3B55">
              <w:rPr>
                <w:szCs w:val="24"/>
              </w:rPr>
              <w:t>Entry conditions and criteria for selecting beneficiaries will be determined so that they are fully verifiable on the basis of reliable evidence, and their credibility can be verified based on data from public records and on site. This will contribute to shortening the time required for the decision on the granting of funds.</w:t>
            </w:r>
          </w:p>
          <w:p w:rsidR="00F555D6" w:rsidRPr="005C3B55" w:rsidRDefault="00F555D6" w:rsidP="00F555D6">
            <w:pPr>
              <w:spacing w:before="240" w:after="240" w:line="280" w:lineRule="auto"/>
              <w:rPr>
                <w:szCs w:val="24"/>
              </w:rPr>
            </w:pPr>
            <w:r w:rsidRPr="005C3B55">
              <w:rPr>
                <w:b/>
                <w:szCs w:val="24"/>
              </w:rPr>
              <w:t>R2: Reasonableness of costs</w:t>
            </w:r>
          </w:p>
          <w:p w:rsidR="00F555D6" w:rsidRPr="005C3B55" w:rsidRDefault="00F555D6" w:rsidP="00F555D6">
            <w:pPr>
              <w:spacing w:before="240" w:after="240" w:line="280" w:lineRule="auto"/>
              <w:rPr>
                <w:szCs w:val="24"/>
              </w:rPr>
            </w:pPr>
            <w:r w:rsidRPr="005C3B55">
              <w:rPr>
                <w:szCs w:val="24"/>
              </w:rPr>
              <w:t>Eligible costs will be clearly defined. It will be known in advance which costs are not eligible for co-financing.</w:t>
            </w:r>
          </w:p>
          <w:p w:rsidR="00F555D6" w:rsidRPr="005C3B55" w:rsidRDefault="00F555D6" w:rsidP="00F555D6">
            <w:pPr>
              <w:spacing w:before="240" w:after="240" w:line="280" w:lineRule="auto"/>
              <w:rPr>
                <w:szCs w:val="24"/>
              </w:rPr>
            </w:pPr>
            <w:r w:rsidRPr="005C3B55">
              <w:rPr>
                <w:szCs w:val="24"/>
              </w:rPr>
              <w:t>The beneficiary can draw funds only according with indicated purpose and in accordance with the permitted eligible costs during the period when eligible costs emerge. The public tender will determine the precise conditions for drawing funds, including the obligations of the beneficiary to enable the verification and demonstrability of the intended use of funds.</w:t>
            </w:r>
          </w:p>
          <w:p w:rsidR="00F555D6" w:rsidRPr="005C3B55" w:rsidRDefault="00F555D6" w:rsidP="00F555D6">
            <w:pPr>
              <w:spacing w:before="240" w:after="240" w:line="280" w:lineRule="auto"/>
              <w:rPr>
                <w:szCs w:val="24"/>
              </w:rPr>
            </w:pPr>
            <w:r w:rsidRPr="005C3B55">
              <w:rPr>
                <w:b/>
                <w:szCs w:val="24"/>
              </w:rPr>
              <w:t>R3: Suitable overview and control system</w:t>
            </w:r>
          </w:p>
          <w:p w:rsidR="00F555D6" w:rsidRPr="005C3B55" w:rsidRDefault="00F555D6" w:rsidP="00F555D6">
            <w:pPr>
              <w:spacing w:before="240" w:after="240" w:line="280" w:lineRule="auto"/>
              <w:rPr>
                <w:szCs w:val="24"/>
              </w:rPr>
            </w:pPr>
            <w:r w:rsidRPr="005C3B55">
              <w:rPr>
                <w:szCs w:val="24"/>
              </w:rPr>
              <w:t>The verification of public tender applications will be implemented on the basis of public records and evidence attached to public tender applications. All applications will be examined administratively.  A checklist with structured questions will be prepared, which the controller will have to complete for each individual application; this will ensure the equality of beneficiaries in processing applications.</w:t>
            </w:r>
          </w:p>
          <w:p w:rsidR="00F555D6" w:rsidRPr="005C3B55" w:rsidRDefault="00F555D6" w:rsidP="00F555D6">
            <w:pPr>
              <w:spacing w:before="240" w:after="240" w:line="280" w:lineRule="auto"/>
              <w:rPr>
                <w:szCs w:val="24"/>
              </w:rPr>
            </w:pPr>
            <w:r w:rsidRPr="005C3B55">
              <w:rPr>
                <w:b/>
                <w:szCs w:val="24"/>
              </w:rPr>
              <w:t>R7: Selection of beneficiaries</w:t>
            </w:r>
          </w:p>
          <w:p w:rsidR="00F555D6" w:rsidRPr="005C3B55" w:rsidRDefault="00F555D6" w:rsidP="00F555D6">
            <w:pPr>
              <w:spacing w:before="240" w:after="240" w:line="280" w:lineRule="auto"/>
              <w:rPr>
                <w:szCs w:val="24"/>
              </w:rPr>
            </w:pPr>
            <w:r w:rsidRPr="005C3B55">
              <w:rPr>
                <w:szCs w:val="24"/>
              </w:rPr>
              <w:t>The selection of beneficiaries will be carried out objectively on the basis of the entry conditions and criteria for selection, which will be known in advance to all potential aid recipients. The conditions will be published in a public tender and determined in a manner that will allow the verification of their fulfilment through public records and other evidence beneficiaries will attach to their public tender applications.</w:t>
            </w:r>
          </w:p>
          <w:p w:rsidR="00F555D6" w:rsidRPr="005C3B55" w:rsidRDefault="00F555D6" w:rsidP="00F555D6">
            <w:pPr>
              <w:spacing w:before="240" w:after="240" w:line="280" w:lineRule="auto"/>
              <w:rPr>
                <w:szCs w:val="24"/>
              </w:rPr>
            </w:pPr>
            <w:r w:rsidRPr="005C3B55">
              <w:rPr>
                <w:b/>
                <w:szCs w:val="24"/>
              </w:rPr>
              <w:t>R8: IT systems</w:t>
            </w:r>
          </w:p>
          <w:p w:rsidR="00F555D6" w:rsidRPr="005C3B55" w:rsidRDefault="00F555D6" w:rsidP="00F555D6">
            <w:pPr>
              <w:spacing w:before="240" w:after="240" w:line="280" w:lineRule="auto"/>
              <w:rPr>
                <w:szCs w:val="24"/>
              </w:rPr>
            </w:pPr>
            <w:r w:rsidRPr="005C3B55">
              <w:rPr>
                <w:szCs w:val="24"/>
              </w:rPr>
              <w:t>IT systems allow for access to data required for decision making in the case of eligibility to enter the measure and eligibility for the payment of funds on the basis of requests for the payment of funds. Beneficiaries will have to submit their applications to the electronic system in electronic form, which will ensure simpler verification of the data in applications.  </w:t>
            </w:r>
          </w:p>
          <w:p w:rsidR="00F555D6" w:rsidRPr="005C3B55" w:rsidRDefault="00F555D6" w:rsidP="00F555D6">
            <w:pPr>
              <w:spacing w:before="240" w:after="240" w:line="280" w:lineRule="auto"/>
              <w:rPr>
                <w:szCs w:val="24"/>
              </w:rPr>
            </w:pPr>
            <w:r w:rsidRPr="005C3B55">
              <w:rPr>
                <w:szCs w:val="24"/>
              </w:rPr>
              <w:t>Support will be granted in the form of financial instruments. A preliminary assessment will be made on the basis of which other potential risks will be determined for the implementation of the measure due to the use of financial instruments. If the ex-ante assessment is not concluded before the preparation of the final version of the programme is submitted to the Commission, the manners of implementation will be determined in the next amendment to the programme after the ex-ante assessment has been conducted.</w:t>
            </w:r>
          </w:p>
          <w:p w:rsidR="00F555D6" w:rsidRPr="005C3B55" w:rsidRDefault="00F555D6" w:rsidP="00F555D6">
            <w:pPr>
              <w:pStyle w:val="Telobesedila"/>
              <w:rPr>
                <w:szCs w:val="24"/>
              </w:rPr>
            </w:pPr>
          </w:p>
        </w:tc>
      </w:tr>
    </w:tbl>
    <w:p w:rsidR="00F555D6" w:rsidRPr="005C3B55" w:rsidRDefault="00F555D6" w:rsidP="00F555D6">
      <w:pPr>
        <w:pStyle w:val="Naslov7"/>
        <w:tabs>
          <w:tab w:val="clear" w:pos="765"/>
        </w:tabs>
        <w:ind w:left="0" w:firstLine="0"/>
        <w:rPr>
          <w:szCs w:val="24"/>
          <w:lang w:val="en-GB"/>
        </w:rPr>
      </w:pPr>
      <w:r w:rsidRPr="005C3B55">
        <w:rPr>
          <w:noProof w:val="0"/>
          <w:szCs w:val="24"/>
          <w:lang w:val="en-GB"/>
        </w:rPr>
        <w:t>General assessment of the measure</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We assess that the measures is feasible and verifiable if the mitigation measures are taken.</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Methodology for calculating support amount, where relevant</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Not relevant.</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Information that relates specifically to the operation</w:t>
      </w:r>
    </w:p>
    <w:p w:rsidR="00F555D6" w:rsidRPr="005C3B55" w:rsidRDefault="00F555D6" w:rsidP="00F555D6">
      <w:pPr>
        <w:spacing w:line="280" w:lineRule="auto"/>
        <w:rPr>
          <w:szCs w:val="24"/>
        </w:rPr>
      </w:pPr>
      <w:r w:rsidRPr="005C3B55">
        <w:rPr>
          <w:szCs w:val="24"/>
        </w:rPr>
        <w:t>Determination of a small farm under Article 19(1)(a)(iii) of Regulation (EU) No 1305/2013</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Not relevant.</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Determination of the maximum and minimum threshold under the third subparagraph of Article 19(4) of Regulation (EU) No 1305/2013</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Not relevant.</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Special conditions for support to young farmers who do not establish agricultural holding as the sole owner under Article 2(1) and (2) of Delegated Regulation No 807/2014</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Not relevant.</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Information on the application of the transitional period under Article 2(3) of Delegated Regulation No 807/2014</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Not relevant.</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Summary of requirements from the business plan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A business plan must contain at least:</w:t>
            </w:r>
          </w:p>
          <w:p w:rsidR="00F555D6" w:rsidRPr="005C3B55" w:rsidRDefault="00F555D6" w:rsidP="00F555D6">
            <w:pPr>
              <w:numPr>
                <w:ilvl w:val="0"/>
                <w:numId w:val="234"/>
              </w:numPr>
              <w:spacing w:before="240" w:after="0"/>
              <w:ind w:hanging="290"/>
              <w:jc w:val="left"/>
              <w:rPr>
                <w:szCs w:val="24"/>
              </w:rPr>
            </w:pPr>
            <w:r w:rsidRPr="005C3B55">
              <w:rPr>
                <w:szCs w:val="24"/>
              </w:rPr>
              <w:t>the initial financial and economic position of the farm or micro enterprise or small enterprise which is requesting aid;</w:t>
            </w:r>
          </w:p>
          <w:p w:rsidR="00F555D6" w:rsidRPr="005C3B55" w:rsidRDefault="00F555D6" w:rsidP="00F555D6">
            <w:pPr>
              <w:numPr>
                <w:ilvl w:val="0"/>
                <w:numId w:val="234"/>
              </w:numPr>
              <w:spacing w:before="0" w:after="0"/>
              <w:ind w:hanging="290"/>
              <w:jc w:val="left"/>
              <w:rPr>
                <w:szCs w:val="24"/>
              </w:rPr>
            </w:pPr>
            <w:r w:rsidRPr="005C3B55">
              <w:rPr>
                <w:szCs w:val="24"/>
              </w:rPr>
              <w:t>the financial structure for the period of activity financing and liquidity;</w:t>
            </w:r>
          </w:p>
          <w:p w:rsidR="00F555D6" w:rsidRPr="005C3B55" w:rsidRDefault="00F555D6" w:rsidP="00F555D6">
            <w:pPr>
              <w:numPr>
                <w:ilvl w:val="0"/>
                <w:numId w:val="234"/>
              </w:numPr>
              <w:spacing w:before="0" w:after="0"/>
              <w:ind w:hanging="290"/>
              <w:jc w:val="left"/>
              <w:rPr>
                <w:szCs w:val="24"/>
              </w:rPr>
            </w:pPr>
            <w:r w:rsidRPr="005C3B55">
              <w:rPr>
                <w:szCs w:val="24"/>
              </w:rPr>
              <w:t>milestones and objectives required for the activity to develop;</w:t>
            </w:r>
          </w:p>
          <w:p w:rsidR="00F555D6" w:rsidRPr="005C3B55" w:rsidRDefault="00F555D6" w:rsidP="00F555D6">
            <w:pPr>
              <w:numPr>
                <w:ilvl w:val="0"/>
                <w:numId w:val="234"/>
              </w:numPr>
              <w:spacing w:before="0" w:after="240"/>
              <w:ind w:hanging="290"/>
              <w:jc w:val="left"/>
              <w:rPr>
                <w:szCs w:val="24"/>
              </w:rPr>
            </w:pPr>
            <w:r w:rsidRPr="005C3B55">
              <w:rPr>
                <w:szCs w:val="24"/>
              </w:rPr>
              <w:t>a description of activities for the development of the activity, such as the need for investments, training and other activities required for the development of the activity.</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Utilisation of options for merging different measures with the business plan and enabling access of young farmers to these measures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Not relevant.</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The domains of integrated diversification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The type of activity will not be restricted, but priority will be given to non-agricultural activities related to:</w:t>
            </w:r>
          </w:p>
          <w:p w:rsidR="00F555D6" w:rsidRPr="005C3B55" w:rsidRDefault="00F555D6" w:rsidP="00F555D6">
            <w:pPr>
              <w:numPr>
                <w:ilvl w:val="0"/>
                <w:numId w:val="235"/>
              </w:numPr>
              <w:spacing w:before="240" w:after="0"/>
              <w:ind w:hanging="290"/>
              <w:jc w:val="left"/>
              <w:rPr>
                <w:szCs w:val="24"/>
              </w:rPr>
            </w:pPr>
            <w:r w:rsidRPr="005C3B55">
              <w:rPr>
                <w:szCs w:val="24"/>
              </w:rPr>
              <w:t>adding value to wood,</w:t>
            </w:r>
          </w:p>
          <w:p w:rsidR="00F555D6" w:rsidRPr="005C3B55" w:rsidRDefault="00F555D6" w:rsidP="00F555D6">
            <w:pPr>
              <w:numPr>
                <w:ilvl w:val="0"/>
                <w:numId w:val="235"/>
              </w:numPr>
              <w:spacing w:before="0" w:after="0"/>
              <w:ind w:hanging="290"/>
              <w:jc w:val="left"/>
              <w:rPr>
                <w:szCs w:val="24"/>
              </w:rPr>
            </w:pPr>
            <w:r w:rsidRPr="005C3B55">
              <w:rPr>
                <w:szCs w:val="24"/>
              </w:rPr>
              <w:t>local self-sufficiency,</w:t>
            </w:r>
          </w:p>
          <w:p w:rsidR="00F555D6" w:rsidRPr="005C3B55" w:rsidRDefault="00F555D6" w:rsidP="00F555D6">
            <w:pPr>
              <w:numPr>
                <w:ilvl w:val="0"/>
                <w:numId w:val="235"/>
              </w:numPr>
              <w:spacing w:before="0" w:after="0"/>
              <w:ind w:hanging="290"/>
              <w:jc w:val="left"/>
              <w:rPr>
                <w:szCs w:val="24"/>
              </w:rPr>
            </w:pPr>
            <w:r w:rsidRPr="005C3B55">
              <w:rPr>
                <w:szCs w:val="24"/>
              </w:rPr>
              <w:t>green tourism,</w:t>
            </w:r>
          </w:p>
          <w:p w:rsidR="00F555D6" w:rsidRPr="005C3B55" w:rsidRDefault="00F555D6" w:rsidP="00F555D6">
            <w:pPr>
              <w:numPr>
                <w:ilvl w:val="0"/>
                <w:numId w:val="235"/>
              </w:numPr>
              <w:spacing w:before="0" w:after="0"/>
              <w:ind w:hanging="290"/>
              <w:jc w:val="left"/>
              <w:rPr>
                <w:szCs w:val="24"/>
              </w:rPr>
            </w:pPr>
            <w:r w:rsidRPr="005C3B55">
              <w:rPr>
                <w:szCs w:val="24"/>
              </w:rPr>
              <w:t>natural and cultural heritage, and traditional knowledge,</w:t>
            </w:r>
          </w:p>
          <w:p w:rsidR="00F555D6" w:rsidRPr="005C3B55" w:rsidRDefault="00F555D6" w:rsidP="00F555D6">
            <w:pPr>
              <w:numPr>
                <w:ilvl w:val="0"/>
                <w:numId w:val="235"/>
              </w:numPr>
              <w:spacing w:before="0" w:after="0"/>
              <w:ind w:hanging="290"/>
              <w:jc w:val="left"/>
              <w:rPr>
                <w:szCs w:val="24"/>
              </w:rPr>
            </w:pPr>
            <w:r w:rsidRPr="005C3B55">
              <w:rPr>
                <w:szCs w:val="24"/>
              </w:rPr>
              <w:t>social entrepreneurship,</w:t>
            </w:r>
          </w:p>
          <w:p w:rsidR="00F555D6" w:rsidRPr="005C3B55" w:rsidRDefault="00F555D6" w:rsidP="00F555D6">
            <w:pPr>
              <w:numPr>
                <w:ilvl w:val="0"/>
                <w:numId w:val="235"/>
              </w:numPr>
              <w:spacing w:before="0" w:after="0"/>
              <w:ind w:hanging="290"/>
              <w:jc w:val="left"/>
              <w:rPr>
                <w:szCs w:val="24"/>
              </w:rPr>
            </w:pPr>
            <w:r w:rsidRPr="005C3B55">
              <w:rPr>
                <w:szCs w:val="24"/>
              </w:rPr>
              <w:t>social protection services,</w:t>
            </w:r>
          </w:p>
          <w:p w:rsidR="00F555D6" w:rsidRPr="005C3B55" w:rsidRDefault="00F555D6" w:rsidP="00F555D6">
            <w:pPr>
              <w:numPr>
                <w:ilvl w:val="0"/>
                <w:numId w:val="235"/>
              </w:numPr>
              <w:spacing w:before="0" w:after="0"/>
              <w:ind w:hanging="290"/>
              <w:jc w:val="left"/>
              <w:rPr>
                <w:szCs w:val="24"/>
              </w:rPr>
            </w:pPr>
            <w:r w:rsidRPr="005C3B55">
              <w:rPr>
                <w:szCs w:val="24"/>
              </w:rPr>
              <w:t>organic waste management,</w:t>
            </w:r>
          </w:p>
          <w:p w:rsidR="00F555D6" w:rsidRPr="005C3B55" w:rsidRDefault="00F555D6" w:rsidP="00F555D6">
            <w:pPr>
              <w:numPr>
                <w:ilvl w:val="0"/>
                <w:numId w:val="235"/>
              </w:numPr>
              <w:spacing w:before="0" w:after="240"/>
              <w:ind w:hanging="290"/>
              <w:jc w:val="left"/>
              <w:rPr>
                <w:szCs w:val="24"/>
              </w:rPr>
            </w:pPr>
            <w:r w:rsidRPr="005C3B55">
              <w:rPr>
                <w:szCs w:val="24"/>
              </w:rPr>
              <w:t>renewable energy sources,</w:t>
            </w:r>
          </w:p>
          <w:p w:rsidR="00F555D6" w:rsidRPr="005C3B55" w:rsidRDefault="00F555D6" w:rsidP="00F555D6">
            <w:pPr>
              <w:spacing w:before="240" w:after="240" w:line="280" w:lineRule="auto"/>
              <w:rPr>
                <w:szCs w:val="24"/>
              </w:rPr>
            </w:pPr>
            <w:r w:rsidRPr="005C3B55">
              <w:rPr>
                <w:szCs w:val="24"/>
              </w:rPr>
              <w:t>which will create the conditions for establishing green jobs and additional sources of income in the countryside.</w:t>
            </w:r>
          </w:p>
          <w:p w:rsidR="00F555D6" w:rsidRPr="005C3B55" w:rsidRDefault="00F555D6" w:rsidP="00F555D6">
            <w:pPr>
              <w:pStyle w:val="Telobesedila"/>
              <w:rPr>
                <w:szCs w:val="24"/>
              </w:rPr>
            </w:pPr>
          </w:p>
        </w:tc>
      </w:tr>
    </w:tbl>
    <w:p w:rsidR="00F555D6" w:rsidRPr="005C3B55" w:rsidRDefault="00F555D6" w:rsidP="00F555D6">
      <w:pPr>
        <w:pStyle w:val="Naslov4"/>
        <w:tabs>
          <w:tab w:val="clear" w:pos="765"/>
        </w:tabs>
        <w:ind w:left="0" w:firstLine="0"/>
        <w:jc w:val="left"/>
        <w:rPr>
          <w:szCs w:val="24"/>
          <w:lang w:val="en-GB"/>
        </w:rPr>
      </w:pPr>
      <w:r w:rsidRPr="005C3B55">
        <w:rPr>
          <w:szCs w:val="24"/>
          <w:lang w:val="en-GB"/>
        </w:rPr>
        <w:t>Verifiability and possibility of control of measures and/or type of operations</w:t>
      </w:r>
    </w:p>
    <w:p w:rsidR="00F555D6" w:rsidRPr="005C3B55" w:rsidRDefault="00F555D6" w:rsidP="00F555D6">
      <w:pPr>
        <w:pStyle w:val="Naslov5"/>
        <w:tabs>
          <w:tab w:val="clear" w:pos="765"/>
        </w:tabs>
        <w:ind w:left="0" w:firstLine="0"/>
        <w:rPr>
          <w:b w:val="0"/>
          <w:szCs w:val="24"/>
          <w:lang w:val="en-GB"/>
        </w:rPr>
      </w:pPr>
      <w:r w:rsidRPr="005C3B55">
        <w:rPr>
          <w:b w:val="0"/>
          <w:noProof w:val="0"/>
          <w:szCs w:val="24"/>
          <w:lang w:val="en-GB"/>
        </w:rPr>
        <w:t>Risks in the implementation of the measure</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Risks are determined within individual sub-measures.</w:t>
            </w:r>
          </w:p>
          <w:p w:rsidR="00F555D6" w:rsidRPr="005C3B55" w:rsidRDefault="00F555D6" w:rsidP="00F555D6">
            <w:pPr>
              <w:pStyle w:val="Telobesedila"/>
              <w:rPr>
                <w:szCs w:val="24"/>
              </w:rPr>
            </w:pPr>
          </w:p>
        </w:tc>
      </w:tr>
    </w:tbl>
    <w:p w:rsidR="00F555D6" w:rsidRPr="005C3B55" w:rsidRDefault="00F555D6" w:rsidP="00F555D6">
      <w:pPr>
        <w:pStyle w:val="Naslov5"/>
        <w:tabs>
          <w:tab w:val="clear" w:pos="765"/>
        </w:tabs>
        <w:ind w:left="0" w:firstLine="0"/>
        <w:rPr>
          <w:b w:val="0"/>
          <w:szCs w:val="24"/>
          <w:lang w:val="en-GB"/>
        </w:rPr>
      </w:pPr>
      <w:r w:rsidRPr="005C3B55">
        <w:rPr>
          <w:b w:val="0"/>
          <w:noProof w:val="0"/>
          <w:szCs w:val="24"/>
          <w:lang w:val="en-GB"/>
        </w:rPr>
        <w:t>Mitigation measures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Mitigating actions are determined within individual sub-measures.</w:t>
            </w:r>
          </w:p>
          <w:p w:rsidR="00F555D6" w:rsidRPr="005C3B55" w:rsidRDefault="00F555D6" w:rsidP="00F555D6">
            <w:pPr>
              <w:pStyle w:val="Telobesedila"/>
              <w:rPr>
                <w:szCs w:val="24"/>
              </w:rPr>
            </w:pPr>
          </w:p>
        </w:tc>
      </w:tr>
    </w:tbl>
    <w:p w:rsidR="00F555D6" w:rsidRPr="005C3B55" w:rsidRDefault="00F555D6" w:rsidP="00F555D6">
      <w:pPr>
        <w:pStyle w:val="Naslov5"/>
        <w:tabs>
          <w:tab w:val="clear" w:pos="765"/>
        </w:tabs>
        <w:ind w:left="0" w:firstLine="0"/>
        <w:rPr>
          <w:b w:val="0"/>
          <w:szCs w:val="24"/>
          <w:lang w:val="en-GB"/>
        </w:rPr>
      </w:pPr>
      <w:r w:rsidRPr="005C3B55">
        <w:rPr>
          <w:b w:val="0"/>
          <w:noProof w:val="0"/>
          <w:szCs w:val="24"/>
          <w:lang w:val="en-GB"/>
        </w:rPr>
        <w:t>General assessment of the measure</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Described within individual sub-measures.</w:t>
            </w:r>
          </w:p>
          <w:p w:rsidR="00F555D6" w:rsidRPr="005C3B55" w:rsidRDefault="00F555D6" w:rsidP="00F555D6">
            <w:pPr>
              <w:pStyle w:val="Telobesedila"/>
              <w:rPr>
                <w:szCs w:val="24"/>
              </w:rPr>
            </w:pPr>
          </w:p>
        </w:tc>
      </w:tr>
    </w:tbl>
    <w:p w:rsidR="00F555D6" w:rsidRPr="005C3B55" w:rsidRDefault="00F555D6" w:rsidP="00F555D6">
      <w:pPr>
        <w:pStyle w:val="Naslov4"/>
        <w:tabs>
          <w:tab w:val="clear" w:pos="765"/>
        </w:tabs>
        <w:ind w:left="0" w:firstLine="0"/>
        <w:jc w:val="left"/>
        <w:rPr>
          <w:szCs w:val="24"/>
          <w:lang w:val="en-GB"/>
        </w:rPr>
      </w:pPr>
      <w:r w:rsidRPr="005C3B55">
        <w:rPr>
          <w:szCs w:val="24"/>
          <w:lang w:val="en-GB"/>
        </w:rPr>
        <w:t>Methodology for calculating support amount, where relevant</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Description is included in an individual sub-measure.</w:t>
            </w:r>
          </w:p>
          <w:p w:rsidR="00F555D6" w:rsidRPr="005C3B55" w:rsidRDefault="00F555D6" w:rsidP="00F555D6">
            <w:pPr>
              <w:pStyle w:val="Telobesedila"/>
              <w:rPr>
                <w:szCs w:val="24"/>
              </w:rPr>
            </w:pPr>
          </w:p>
        </w:tc>
      </w:tr>
    </w:tbl>
    <w:p w:rsidR="00F555D6" w:rsidRPr="005C3B55" w:rsidRDefault="00F555D6" w:rsidP="00F555D6">
      <w:pPr>
        <w:pStyle w:val="Naslov4"/>
        <w:tabs>
          <w:tab w:val="clear" w:pos="765"/>
        </w:tabs>
        <w:ind w:left="0" w:firstLine="0"/>
        <w:jc w:val="left"/>
        <w:rPr>
          <w:szCs w:val="24"/>
          <w:lang w:val="en-GB"/>
        </w:rPr>
      </w:pPr>
      <w:r w:rsidRPr="005C3B55">
        <w:rPr>
          <w:szCs w:val="24"/>
          <w:lang w:val="en-GB"/>
        </w:rPr>
        <w:t>Additional information specific to the measure</w:t>
      </w:r>
    </w:p>
    <w:p w:rsidR="00F555D6" w:rsidRPr="005C3B55" w:rsidRDefault="00F555D6" w:rsidP="00F555D6">
      <w:pPr>
        <w:spacing w:line="280" w:lineRule="auto"/>
        <w:rPr>
          <w:szCs w:val="24"/>
        </w:rPr>
      </w:pPr>
      <w:r w:rsidRPr="005C3B55">
        <w:rPr>
          <w:szCs w:val="24"/>
        </w:rPr>
        <w:t>Determination of a small farm under Article 19(1)(a)(iii) of Regulation (EU) No 1305/2013</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Not relevant.</w:t>
            </w:r>
          </w:p>
          <w:p w:rsidR="00F555D6" w:rsidRPr="005C3B55" w:rsidRDefault="00F555D6" w:rsidP="00F555D6">
            <w:pPr>
              <w:pStyle w:val="Telobesedila"/>
              <w:rPr>
                <w:szCs w:val="24"/>
              </w:rPr>
            </w:pPr>
          </w:p>
        </w:tc>
      </w:tr>
    </w:tbl>
    <w:p w:rsidR="00F555D6" w:rsidRPr="005C3B55" w:rsidRDefault="00F555D6" w:rsidP="00F555D6">
      <w:pPr>
        <w:spacing w:after="100" w:line="280" w:lineRule="auto"/>
        <w:rPr>
          <w:szCs w:val="24"/>
        </w:rPr>
      </w:pPr>
      <w:r w:rsidRPr="005C3B55">
        <w:rPr>
          <w:szCs w:val="24"/>
        </w:rPr>
        <w:t>Determination of the maximum and minimum threshold under the third subparagraph of Article 19(4) of Regulation (EU) No 1305/2013</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Described under sub-measure M06.1 Business start-up aid for young farmers.</w:t>
            </w:r>
          </w:p>
          <w:p w:rsidR="00F555D6" w:rsidRPr="005C3B55" w:rsidRDefault="00F555D6" w:rsidP="00F555D6">
            <w:pPr>
              <w:pStyle w:val="Telobesedila"/>
              <w:spacing w:after="100"/>
              <w:rPr>
                <w:szCs w:val="24"/>
              </w:rPr>
            </w:pPr>
          </w:p>
        </w:tc>
      </w:tr>
    </w:tbl>
    <w:p w:rsidR="00F555D6" w:rsidRPr="005C3B55" w:rsidRDefault="00F555D6" w:rsidP="00F555D6">
      <w:pPr>
        <w:spacing w:after="100" w:line="280" w:lineRule="auto"/>
        <w:rPr>
          <w:szCs w:val="24"/>
        </w:rPr>
      </w:pPr>
      <w:r w:rsidRPr="005C3B55">
        <w:rPr>
          <w:szCs w:val="24"/>
        </w:rPr>
        <w:t>Special conditions for support to young farmers who do not establish agricultural holding as the sole owner under Article 2(1) and (2) of Delegated Regulation No 807/2014</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Described under sub-measure M06.1 Business start-up aid for young farmers.</w:t>
            </w:r>
          </w:p>
          <w:p w:rsidR="00F555D6" w:rsidRPr="005C3B55" w:rsidRDefault="00F555D6" w:rsidP="00F555D6">
            <w:pPr>
              <w:pStyle w:val="Telobesedila"/>
              <w:spacing w:after="100"/>
              <w:rPr>
                <w:szCs w:val="24"/>
              </w:rPr>
            </w:pPr>
          </w:p>
        </w:tc>
      </w:tr>
    </w:tbl>
    <w:p w:rsidR="00F555D6" w:rsidRPr="005C3B55" w:rsidRDefault="00F555D6" w:rsidP="00F555D6">
      <w:pPr>
        <w:spacing w:after="100" w:line="280" w:lineRule="auto"/>
        <w:rPr>
          <w:szCs w:val="24"/>
        </w:rPr>
      </w:pPr>
      <w:r w:rsidRPr="005C3B55">
        <w:rPr>
          <w:szCs w:val="24"/>
        </w:rPr>
        <w:t>Information on the application of the transitional period under Article 2(3) of Delegated Regulation No 807/2014</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Not relevant.</w:t>
            </w:r>
          </w:p>
          <w:p w:rsidR="00F555D6" w:rsidRPr="005C3B55" w:rsidRDefault="00F555D6" w:rsidP="00F555D6">
            <w:pPr>
              <w:pStyle w:val="Telobesedila"/>
              <w:spacing w:after="100"/>
              <w:rPr>
                <w:szCs w:val="24"/>
              </w:rPr>
            </w:pPr>
          </w:p>
        </w:tc>
      </w:tr>
    </w:tbl>
    <w:p w:rsidR="00F555D6" w:rsidRPr="005C3B55" w:rsidRDefault="00F555D6" w:rsidP="00F555D6">
      <w:pPr>
        <w:spacing w:after="100" w:line="280" w:lineRule="auto"/>
        <w:rPr>
          <w:szCs w:val="24"/>
        </w:rPr>
      </w:pPr>
      <w:r w:rsidRPr="005C3B55">
        <w:rPr>
          <w:szCs w:val="24"/>
        </w:rPr>
        <w:t>Summary of requirements from the business plan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Described for each individual sub-measure.</w:t>
            </w:r>
          </w:p>
          <w:p w:rsidR="00F555D6" w:rsidRPr="005C3B55" w:rsidRDefault="00F555D6" w:rsidP="00F555D6">
            <w:pPr>
              <w:pStyle w:val="Telobesedila"/>
              <w:spacing w:after="100"/>
              <w:rPr>
                <w:szCs w:val="24"/>
              </w:rPr>
            </w:pPr>
          </w:p>
        </w:tc>
      </w:tr>
    </w:tbl>
    <w:p w:rsidR="00F555D6" w:rsidRPr="005C3B55" w:rsidRDefault="00F555D6" w:rsidP="00F555D6">
      <w:pPr>
        <w:spacing w:after="100" w:line="280" w:lineRule="auto"/>
        <w:rPr>
          <w:szCs w:val="24"/>
        </w:rPr>
      </w:pPr>
      <w:r w:rsidRPr="005C3B55">
        <w:rPr>
          <w:szCs w:val="24"/>
        </w:rPr>
        <w:t>Utilisation of options for merging different measures with the business plan and enabling access of young farmers to these measures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Described under sub-measure M06.1 Business start-up aid for young farmers.</w:t>
            </w:r>
          </w:p>
          <w:p w:rsidR="00F555D6" w:rsidRPr="005C3B55" w:rsidRDefault="00F555D6" w:rsidP="00F555D6">
            <w:pPr>
              <w:pStyle w:val="Telobesedila"/>
              <w:spacing w:after="100"/>
              <w:rPr>
                <w:szCs w:val="24"/>
              </w:rPr>
            </w:pPr>
          </w:p>
        </w:tc>
      </w:tr>
    </w:tbl>
    <w:p w:rsidR="00F555D6" w:rsidRPr="005C3B55" w:rsidRDefault="00F555D6" w:rsidP="00F555D6">
      <w:pPr>
        <w:spacing w:after="100" w:line="280" w:lineRule="auto"/>
        <w:rPr>
          <w:szCs w:val="24"/>
        </w:rPr>
      </w:pPr>
      <w:r w:rsidRPr="005C3B55">
        <w:rPr>
          <w:szCs w:val="24"/>
        </w:rPr>
        <w:t>The domains of integrated diversification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Described under sub-measure M06.4. Investments in the establishment and development of non-agricultural activities.</w:t>
            </w:r>
          </w:p>
          <w:p w:rsidR="00F555D6" w:rsidRPr="005C3B55" w:rsidRDefault="00F555D6" w:rsidP="00F555D6">
            <w:pPr>
              <w:pStyle w:val="Telobesedila"/>
              <w:spacing w:after="100"/>
              <w:rPr>
                <w:szCs w:val="24"/>
              </w:rPr>
            </w:pPr>
          </w:p>
        </w:tc>
      </w:tr>
    </w:tbl>
    <w:p w:rsidR="00F555D6" w:rsidRPr="005C3B55" w:rsidRDefault="00F555D6" w:rsidP="00F555D6">
      <w:pPr>
        <w:pStyle w:val="Naslov4"/>
        <w:tabs>
          <w:tab w:val="clear" w:pos="765"/>
        </w:tabs>
        <w:spacing w:after="100"/>
        <w:ind w:left="0" w:firstLine="0"/>
        <w:jc w:val="left"/>
        <w:rPr>
          <w:szCs w:val="24"/>
          <w:lang w:val="en-GB"/>
        </w:rPr>
      </w:pPr>
      <w:r w:rsidRPr="005C3B55">
        <w:rPr>
          <w:szCs w:val="24"/>
          <w:lang w:val="en-GB"/>
        </w:rPr>
        <w:t>Other important remarks relevant to understanding and implementing the measure</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b/>
                <w:szCs w:val="24"/>
              </w:rPr>
              <w:t>Sub-measure M06.1 Business start-up aid for young farmers</w:t>
            </w:r>
          </w:p>
          <w:p w:rsidR="00F555D6" w:rsidRPr="005C3B55" w:rsidRDefault="00F555D6" w:rsidP="00F555D6">
            <w:pPr>
              <w:spacing w:before="240" w:after="240" w:line="280" w:lineRule="auto"/>
              <w:rPr>
                <w:szCs w:val="24"/>
              </w:rPr>
            </w:pPr>
            <w:r w:rsidRPr="005C3B55">
              <w:rPr>
                <w:szCs w:val="24"/>
              </w:rPr>
              <w:t>The beneficiary may conclude the first step of establishing a farm no longer than 18 months prior to submitting the application to a public tender. The first two steps are not necessarily in the same order, which means that the young farmer may first be entered in the register of agricultural holdings as the owner, or the farmer first became the owner of a farm, which the farmer proves with the decision on entry in the Land Register. Due to the fragmentation of the holding structure, procedures for the entry of ownership in the Land Register and acquisition of the decision on entry may be lengthy, which was proven in the implementation of measure 112 Setting up of young farmers within the RDP 2007–2013.</w:t>
            </w:r>
          </w:p>
          <w:p w:rsidR="00F555D6" w:rsidRPr="005C3B55" w:rsidRDefault="00F555D6" w:rsidP="00F555D6">
            <w:pPr>
              <w:spacing w:before="240" w:after="240" w:line="280" w:lineRule="auto"/>
              <w:rPr>
                <w:szCs w:val="24"/>
              </w:rPr>
            </w:pPr>
            <w:r w:rsidRPr="005C3B55">
              <w:rPr>
                <w:b/>
                <w:szCs w:val="24"/>
              </w:rPr>
              <w:t>Sub-measure M06.4. Investments in the establishment and development of non-agricultural activities</w:t>
            </w:r>
          </w:p>
          <w:p w:rsidR="00F555D6" w:rsidRPr="005C3B55" w:rsidRDefault="00F555D6" w:rsidP="00F555D6">
            <w:pPr>
              <w:spacing w:before="240" w:after="240" w:line="280" w:lineRule="auto"/>
              <w:rPr>
                <w:szCs w:val="24"/>
              </w:rPr>
            </w:pPr>
            <w:r w:rsidRPr="005C3B55">
              <w:rPr>
                <w:b/>
                <w:i/>
                <w:szCs w:val="24"/>
              </w:rPr>
              <w:t>Investments in adding value to wood:</w:t>
            </w:r>
            <w:r w:rsidRPr="005C3B55">
              <w:rPr>
                <w:szCs w:val="24"/>
              </w:rPr>
              <w:t xml:space="preserve"> Within sub-measure M06.4, investments in activities and the production of products not on the list of activities in, and products of, wood processing within sub-measure M08.6 ‘Investments in forestry technologies and in processing and mobilising of wood’ will be supported.</w:t>
            </w:r>
          </w:p>
          <w:p w:rsidR="00F555D6" w:rsidRPr="005C3B55" w:rsidRDefault="00F555D6" w:rsidP="00F555D6">
            <w:pPr>
              <w:spacing w:before="240" w:after="240" w:line="280" w:lineRule="auto"/>
              <w:rPr>
                <w:szCs w:val="24"/>
              </w:rPr>
            </w:pPr>
            <w:r w:rsidRPr="005C3B55">
              <w:rPr>
                <w:b/>
                <w:i/>
                <w:szCs w:val="24"/>
              </w:rPr>
              <w:t xml:space="preserve">Renewable energy sources: </w:t>
            </w:r>
            <w:r w:rsidRPr="005C3B55">
              <w:rPr>
                <w:szCs w:val="24"/>
              </w:rPr>
              <w:t>Energy acquired within investments within submeasure M06.4 will be intended to be sold, while energy acquired within investments from measure M04 will be intended to be used for pursuing agricultural or food processing activity.</w:t>
            </w:r>
          </w:p>
          <w:p w:rsidR="00F555D6" w:rsidRPr="005C3B55" w:rsidRDefault="00F555D6" w:rsidP="00F555D6">
            <w:pPr>
              <w:spacing w:before="240" w:after="240" w:line="280" w:lineRule="auto"/>
              <w:rPr>
                <w:szCs w:val="24"/>
              </w:rPr>
            </w:pPr>
            <w:r w:rsidRPr="005C3B55">
              <w:rPr>
                <w:szCs w:val="24"/>
              </w:rPr>
              <w:t>The arrangement of sales premises for the sale of mixed goods or products not included in Annex I to the Treaty or whose material are not agricultural products will be supported within sub-measure M06.4. The marketing of products which are the result of processing certain agricultural products’ included in Annex I to the Treaty, except fisheries products, and products which are the result of food processing and are not included in Annex I to the Treaty and whose material are agricultural products, will be supported within sub-measure M04.2. Only those subsidiary on-farm activities and micro-enterprises as well as small enterprises will be supported (for investments in adding value to wood, which are not supported within the scope of the sub-measure M08.6 ‘Investments in forestry technologies and in processing and mobilising of wood’), and these enterprises must be located and operate in settlements with less than 5,000 inhabitants. Investments in fisheries and fishing services will not be supported.</w:t>
            </w:r>
          </w:p>
          <w:p w:rsidR="00F555D6" w:rsidRPr="005C3B55" w:rsidRDefault="00F555D6" w:rsidP="00F555D6">
            <w:pPr>
              <w:pStyle w:val="Telobesedila"/>
              <w:rPr>
                <w:szCs w:val="24"/>
              </w:rPr>
            </w:pPr>
          </w:p>
        </w:tc>
      </w:tr>
    </w:tbl>
    <w:p w:rsidR="00F555D6" w:rsidRPr="005C3B55" w:rsidRDefault="00F555D6" w:rsidP="00F555D6">
      <w:pPr>
        <w:pStyle w:val="Naslov3"/>
        <w:tabs>
          <w:tab w:val="clear" w:pos="765"/>
        </w:tabs>
        <w:ind w:left="0" w:firstLine="0"/>
        <w:jc w:val="left"/>
        <w:rPr>
          <w:szCs w:val="24"/>
          <w:lang w:val="en-GB"/>
        </w:rPr>
      </w:pPr>
      <w:r w:rsidRPr="005C3B55">
        <w:rPr>
          <w:szCs w:val="24"/>
          <w:lang w:val="en-GB"/>
        </w:rPr>
        <w:br w:type="page"/>
      </w:r>
      <w:bookmarkStart w:id="120" w:name="_Toc416192578"/>
      <w:r w:rsidRPr="005C3B55">
        <w:rPr>
          <w:szCs w:val="24"/>
          <w:lang w:val="en-GB"/>
        </w:rPr>
        <w:t>M07 – Basic services and village renewal in rural areas (Article 20)</w:t>
      </w:r>
      <w:bookmarkEnd w:id="120"/>
    </w:p>
    <w:p w:rsidR="00F555D6" w:rsidRPr="005C3B55" w:rsidRDefault="00F555D6" w:rsidP="00F555D6">
      <w:pPr>
        <w:pStyle w:val="Naslov4"/>
        <w:tabs>
          <w:tab w:val="clear" w:pos="765"/>
        </w:tabs>
        <w:ind w:left="0" w:firstLine="0"/>
        <w:jc w:val="left"/>
        <w:rPr>
          <w:szCs w:val="24"/>
          <w:lang w:val="en-GB"/>
        </w:rPr>
      </w:pPr>
      <w:r w:rsidRPr="005C3B55">
        <w:rPr>
          <w:szCs w:val="24"/>
          <w:lang w:val="en-GB"/>
        </w:rPr>
        <w:t>Legal basis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Measure M07 is implemented pursuant to Article 20 of Regulation (EU) No 1305/2013.</w:t>
            </w:r>
          </w:p>
          <w:p w:rsidR="00F555D6" w:rsidRPr="005C3B55" w:rsidRDefault="00F555D6" w:rsidP="00F555D6">
            <w:pPr>
              <w:pStyle w:val="Telobesedila"/>
              <w:rPr>
                <w:szCs w:val="24"/>
              </w:rPr>
            </w:pPr>
          </w:p>
        </w:tc>
      </w:tr>
    </w:tbl>
    <w:p w:rsidR="00F555D6" w:rsidRPr="005C3B55" w:rsidRDefault="00F555D6" w:rsidP="00F555D6">
      <w:pPr>
        <w:pStyle w:val="Naslov4"/>
        <w:tabs>
          <w:tab w:val="clear" w:pos="765"/>
        </w:tabs>
        <w:ind w:left="0" w:firstLine="0"/>
        <w:jc w:val="left"/>
        <w:rPr>
          <w:szCs w:val="24"/>
          <w:lang w:val="en-GB"/>
        </w:rPr>
      </w:pPr>
      <w:r w:rsidRPr="005C3B55">
        <w:rPr>
          <w:szCs w:val="24"/>
          <w:lang w:val="en-GB"/>
        </w:rPr>
        <w:t>A general description of the measure, including its intervention logic and contribution to focus areas and horizontal goals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According to the analysis of needs, coverage with broadband networks in Slovenia is among the lowest in the EU, which reduces economic and investment activity and introduction of innovation, impedes the creation of new jobs and worsens the demographic structure in rural areas.</w:t>
            </w:r>
          </w:p>
          <w:p w:rsidR="00F555D6" w:rsidRPr="005C3B55" w:rsidRDefault="00F555D6" w:rsidP="00F555D6">
            <w:pPr>
              <w:spacing w:before="240" w:after="240" w:line="280" w:lineRule="auto"/>
              <w:rPr>
                <w:szCs w:val="24"/>
              </w:rPr>
            </w:pPr>
            <w:r w:rsidRPr="005C3B55">
              <w:rPr>
                <w:szCs w:val="24"/>
              </w:rPr>
              <w:t>The purpose of the measures is to construct broadband networks in settlements with fewer than 5,000 residents. The areas where broadband infrastructure will be constructed for the needs of this measure are defined as areas where such broadband connections are not available at the time of the submission of the application for the public tender and where there is no commercial interest in its construction, or as areas where new interested customers do not have the opportunity to acquire a broadband connection.</w:t>
            </w:r>
          </w:p>
          <w:p w:rsidR="00F555D6" w:rsidRPr="005C3B55" w:rsidRDefault="00F555D6" w:rsidP="00F555D6">
            <w:pPr>
              <w:spacing w:before="240" w:after="240" w:line="280" w:lineRule="auto"/>
              <w:rPr>
                <w:szCs w:val="24"/>
              </w:rPr>
            </w:pPr>
            <w:r w:rsidRPr="005C3B55">
              <w:rPr>
                <w:szCs w:val="24"/>
              </w:rPr>
              <w:t>The development of local infrastructure and local basic services in rural areas is a key element among efforts to realise the growth potential and encourage the sustainability of rural areas.</w:t>
            </w:r>
          </w:p>
          <w:p w:rsidR="00F555D6" w:rsidRPr="005C3B55" w:rsidRDefault="00F555D6" w:rsidP="00F555D6">
            <w:pPr>
              <w:spacing w:before="240" w:after="240" w:line="280" w:lineRule="auto"/>
              <w:rPr>
                <w:szCs w:val="24"/>
              </w:rPr>
            </w:pPr>
            <w:r w:rsidRPr="005C3B55">
              <w:rPr>
                <w:szCs w:val="24"/>
              </w:rPr>
              <w:t>The differences between the urban and rural way of life are being reducing, although the key features of one and the other remain clearly recognisable. In comparison with urban areas, rural areas have specific developmental needs, problems and opportunities which require a different developmental approach.  The development and availability of infrastructure for people and companies in the countryside are very important. In comparison with towns, the countryside is neglected in terms of infrastructure development and thus more exposed to the risk of abandonment. The reduced rate of settlement in the countryside may result in the socially undesirable depopulation of areas and loss of the value of the cultural landscape.</w:t>
            </w:r>
          </w:p>
          <w:p w:rsidR="00F555D6" w:rsidRPr="005C3B55" w:rsidRDefault="00F555D6" w:rsidP="00F555D6">
            <w:pPr>
              <w:spacing w:before="240" w:after="240" w:line="280" w:lineRule="auto"/>
              <w:rPr>
                <w:szCs w:val="24"/>
              </w:rPr>
            </w:pPr>
            <w:r w:rsidRPr="005C3B55">
              <w:rPr>
                <w:szCs w:val="24"/>
              </w:rPr>
              <w:t>The development of modern technology additionally increases the distinction between urban and rural areas. This is especially noticeable in the broadband electronic communications network. All households in larger settlements have access to this network, while smaller settlements and villages are deprived of this facility. Due to this, many people, companies and agricultural holdings are denied a fast flow of information and the arrangement of matters via online applications. Available broadband infrastructure increases the inclusion of all individuals in contemporary social events. Studies also show a close correlation between growth in broadband connections and economic growth, as well as a positive effect on employment and productivity, which consequently has a positive effect on social and economic development, and reduces the depopulation of rural areas. Access to a broadband network is important for all generations, both for young people attending schools and the generation aged over 65. Despite the fact that settlements are very dispersed, access to a broadband network must be ensured for every household and everyone living in rural areas as soon as possible, and thus facilitate suitable living conditions, as well as conditions for developing various economic activities.</w:t>
            </w:r>
          </w:p>
          <w:p w:rsidR="00F555D6" w:rsidRPr="005C3B55" w:rsidRDefault="00F555D6" w:rsidP="00F555D6">
            <w:pPr>
              <w:spacing w:before="240" w:after="240" w:line="280" w:lineRule="auto"/>
              <w:rPr>
                <w:szCs w:val="24"/>
              </w:rPr>
            </w:pPr>
            <w:r w:rsidRPr="005C3B55">
              <w:rPr>
                <w:szCs w:val="24"/>
              </w:rPr>
              <w:t>On the basis of the Strategy for broadband network development in the Republic of Slovenia, certain activities for their development are being implemented; however, some areas are still not covered by a broadband network. As part of this measure, funds will be intended for the construction of open broadband networks that enable connections with a broadband speed of 100 MB/s.</w:t>
            </w:r>
          </w:p>
          <w:p w:rsidR="00F555D6" w:rsidRPr="005C3B55" w:rsidRDefault="00F555D6" w:rsidP="00F555D6">
            <w:pPr>
              <w:spacing w:before="240" w:after="240" w:line="280" w:lineRule="auto"/>
              <w:rPr>
                <w:szCs w:val="24"/>
              </w:rPr>
            </w:pPr>
            <w:r w:rsidRPr="005C3B55">
              <w:rPr>
                <w:szCs w:val="24"/>
              </w:rPr>
              <w:t>Support under measure M07 focuses on the fifth thematic area of action referred to in the RDP 2014–2020 determined in Chapter 5.1 of the RDP 2014–2020.</w:t>
            </w:r>
          </w:p>
          <w:p w:rsidR="00F555D6" w:rsidRPr="005C3B55" w:rsidRDefault="00F555D6" w:rsidP="00F555D6">
            <w:pPr>
              <w:spacing w:before="240" w:after="240" w:line="280" w:lineRule="auto"/>
              <w:rPr>
                <w:szCs w:val="24"/>
              </w:rPr>
            </w:pPr>
            <w:r w:rsidRPr="005C3B55">
              <w:rPr>
                <w:b/>
                <w:szCs w:val="24"/>
              </w:rPr>
              <w:t>Contribution to focus area</w:t>
            </w:r>
          </w:p>
          <w:p w:rsidR="00F555D6" w:rsidRPr="005C3B55" w:rsidRDefault="00F555D6" w:rsidP="00F555D6">
            <w:pPr>
              <w:spacing w:before="240" w:after="240" w:line="280" w:lineRule="auto"/>
              <w:rPr>
                <w:szCs w:val="24"/>
              </w:rPr>
            </w:pPr>
            <w:r w:rsidRPr="005C3B55">
              <w:rPr>
                <w:b/>
                <w:i/>
                <w:szCs w:val="24"/>
              </w:rPr>
              <w:t>Focus area 6C: Promoting access to information and communication technology (ICT) in rural areas and their use and quality.</w:t>
            </w:r>
          </w:p>
          <w:p w:rsidR="00F555D6" w:rsidRPr="005C3B55" w:rsidRDefault="00F555D6" w:rsidP="00F555D6">
            <w:pPr>
              <w:spacing w:before="240" w:after="240" w:line="280" w:lineRule="auto"/>
              <w:rPr>
                <w:szCs w:val="24"/>
              </w:rPr>
            </w:pPr>
            <w:r w:rsidRPr="005C3B55">
              <w:rPr>
                <w:szCs w:val="24"/>
              </w:rPr>
              <w:t>Within this focus area, the measure will improve the access of the rural population and economy to broadband connections, which will also have the expected positive effect on the social and economic development of rural areas.</w:t>
            </w:r>
          </w:p>
          <w:p w:rsidR="00F555D6" w:rsidRPr="005C3B55" w:rsidRDefault="00F555D6" w:rsidP="00F555D6">
            <w:pPr>
              <w:spacing w:before="240" w:after="240" w:line="280" w:lineRule="auto"/>
              <w:rPr>
                <w:szCs w:val="24"/>
              </w:rPr>
            </w:pPr>
            <w:r w:rsidRPr="005C3B55">
              <w:rPr>
                <w:b/>
                <w:szCs w:val="24"/>
              </w:rPr>
              <w:t>Contribution to horizontal objectives</w:t>
            </w:r>
          </w:p>
          <w:p w:rsidR="00F555D6" w:rsidRPr="005C3B55" w:rsidRDefault="00F555D6" w:rsidP="00F555D6">
            <w:pPr>
              <w:spacing w:before="240" w:after="240" w:line="280" w:lineRule="auto"/>
              <w:rPr>
                <w:szCs w:val="24"/>
              </w:rPr>
            </w:pPr>
            <w:r w:rsidRPr="005C3B55">
              <w:rPr>
                <w:b/>
                <w:i/>
                <w:szCs w:val="24"/>
              </w:rPr>
              <w:t>Innovation:</w:t>
            </w:r>
            <w:r w:rsidRPr="005C3B55">
              <w:rPr>
                <w:szCs w:val="24"/>
              </w:rPr>
              <w:t xml:space="preserve"> Improving access to broadband networks in rural areas will not only increase employment and productivity, but also produce a more innovative working environment and increase the use of advanced e-skills. New innovative skills are expected to be more intensively used in service industries.</w:t>
            </w:r>
          </w:p>
          <w:p w:rsidR="00F555D6" w:rsidRPr="005C3B55" w:rsidRDefault="00F555D6" w:rsidP="00F555D6">
            <w:pPr>
              <w:spacing w:before="240" w:after="240" w:line="280" w:lineRule="auto"/>
              <w:rPr>
                <w:szCs w:val="24"/>
              </w:rPr>
            </w:pPr>
            <w:r w:rsidRPr="005C3B55">
              <w:rPr>
                <w:szCs w:val="24"/>
              </w:rPr>
              <w:t> </w:t>
            </w:r>
          </w:p>
          <w:p w:rsidR="00F555D6" w:rsidRPr="005C3B55" w:rsidRDefault="00F555D6" w:rsidP="00F555D6">
            <w:pPr>
              <w:pStyle w:val="Telobesedila"/>
              <w:rPr>
                <w:szCs w:val="24"/>
              </w:rPr>
            </w:pPr>
          </w:p>
        </w:tc>
      </w:tr>
    </w:tbl>
    <w:p w:rsidR="00F555D6" w:rsidRPr="005C3B55" w:rsidRDefault="00F555D6" w:rsidP="00F555D6">
      <w:pPr>
        <w:pStyle w:val="Naslov4"/>
        <w:tabs>
          <w:tab w:val="clear" w:pos="765"/>
        </w:tabs>
        <w:ind w:left="0" w:firstLine="0"/>
        <w:jc w:val="left"/>
        <w:rPr>
          <w:szCs w:val="24"/>
          <w:lang w:val="en-GB"/>
        </w:rPr>
      </w:pPr>
      <w:r w:rsidRPr="005C3B55">
        <w:rPr>
          <w:szCs w:val="24"/>
          <w:lang w:val="en-GB"/>
        </w:rPr>
        <w:t>Scope and rate of support and beneficiaries, and, where relevant, the methodology for calculating the amount or level of support, if necessary broken down by sub-measures and/or the type of operation. Determine eligible costs, conditions for eligibility, valid amounts and rates of support and principles regarding the definition of the selection criteria for each type of operation</w:t>
      </w:r>
    </w:p>
    <w:p w:rsidR="00F555D6" w:rsidRPr="005C3B55" w:rsidRDefault="00F555D6" w:rsidP="00F555D6">
      <w:pPr>
        <w:pStyle w:val="Naslov5"/>
        <w:tabs>
          <w:tab w:val="clear" w:pos="765"/>
        </w:tabs>
        <w:ind w:left="0" w:firstLine="0"/>
        <w:rPr>
          <w:b w:val="0"/>
          <w:szCs w:val="24"/>
          <w:lang w:val="en-GB"/>
        </w:rPr>
      </w:pPr>
      <w:r w:rsidRPr="005C3B55">
        <w:rPr>
          <w:b w:val="0"/>
          <w:noProof w:val="0"/>
          <w:szCs w:val="24"/>
          <w:lang w:val="en-GB"/>
        </w:rPr>
        <w:t>Support for broadband infrastructure</w:t>
      </w:r>
    </w:p>
    <w:p w:rsidR="00F555D6" w:rsidRPr="005C3B55" w:rsidRDefault="00F555D6" w:rsidP="00F555D6">
      <w:pPr>
        <w:spacing w:line="280" w:lineRule="auto"/>
        <w:rPr>
          <w:szCs w:val="24"/>
        </w:rPr>
      </w:pPr>
      <w:r w:rsidRPr="005C3B55">
        <w:rPr>
          <w:szCs w:val="24"/>
        </w:rPr>
        <w:t xml:space="preserve">Sub-measure: </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236"/>
              </w:numPr>
              <w:rPr>
                <w:szCs w:val="24"/>
              </w:rPr>
            </w:pPr>
            <w:r w:rsidRPr="005C3B55">
              <w:rPr>
                <w:szCs w:val="24"/>
              </w:rPr>
              <w:t xml:space="preserve">7.3 – Support for broadband infrastructure, including its establishment, improvement and expansion, passive broadband infrastructure and the provision of access to broadband internet and solutions related to e-administration </w:t>
            </w: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Description of type of operation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The objective of the measure is to support investment in the broadband electronic communication network and thus enable rural populations and economies access to the information and services provided by this network. This is particularly important in areas where a broadband infrastructure has not been constructed yet or areas where new interested customers cannot access a broadband network because operators have shown no commercial interest in constructing it. The dispersed population density of the Slovenian countryside is a key barrier to potential private investors – electronic communication operators – forming sustainable business models in these areas. The lack of commercial interest is present in areas where electronic communication operators do not plan to construct a broadband network which would enable end users to connect to speeds of at least 100 MB/s. A business model analysis shows that such a network cannot be constructed, managed and maintained without making an operating loss. Access to data on areas where a broadband infrastructure has not been constructed and where there is no commercial interest in its construction will be enabled through the website of the ministry responsible for electronic communications.</w:t>
            </w:r>
          </w:p>
          <w:p w:rsidR="00F555D6" w:rsidRPr="005C3B55" w:rsidRDefault="00F555D6" w:rsidP="00F555D6">
            <w:pPr>
              <w:spacing w:before="240" w:after="240" w:line="280" w:lineRule="auto"/>
              <w:rPr>
                <w:szCs w:val="24"/>
              </w:rPr>
            </w:pPr>
            <w:r w:rsidRPr="005C3B55">
              <w:rPr>
                <w:szCs w:val="24"/>
              </w:rPr>
              <w:t>A network must be built on the basis of a project and by a co-investor selected transparently by the local community on the basis of procedures and in accordance with the applicable legislation on public procurement and public-private partnerships. On the basis of the Electronic Communications Act (Official Gazette of the RS, no. 109/12 with all amendments), the construction of an open broadband network is in the public interest.</w:t>
            </w:r>
          </w:p>
          <w:p w:rsidR="00F555D6" w:rsidRPr="005C3B55" w:rsidRDefault="00F555D6" w:rsidP="00F555D6">
            <w:pPr>
              <w:spacing w:before="240" w:after="240" w:line="280" w:lineRule="auto"/>
              <w:rPr>
                <w:szCs w:val="24"/>
              </w:rPr>
            </w:pPr>
            <w:r w:rsidRPr="005C3B55">
              <w:rPr>
                <w:szCs w:val="24"/>
              </w:rPr>
              <w:t>The construction of an open broadband infrastructure which ensures access to broadband electronic communications will be eligible for support within this measure. Backbone and open access broadband networks which enable access to electronic communications services to all interested end users will be constructed within this measure. In future, these networks will additionally facilitate the further expansion and growth of networks and, consequently, attract additional investments from private investors.</w:t>
            </w:r>
          </w:p>
          <w:p w:rsidR="00F555D6" w:rsidRPr="005C3B55" w:rsidRDefault="00F555D6" w:rsidP="00F555D6">
            <w:pPr>
              <w:spacing w:before="240" w:after="240" w:line="280" w:lineRule="auto"/>
              <w:rPr>
                <w:szCs w:val="24"/>
              </w:rPr>
            </w:pPr>
            <w:r w:rsidRPr="005C3B55">
              <w:rPr>
                <w:szCs w:val="24"/>
              </w:rPr>
              <w:t>To utilise the funds earmarked for this purpose as efficiently as possible, support will be provided only to projects in areas which have included the construction of broadband connections in their local development programmes, either at the level of one or more municipalities, and projects which have enabled the construction of a broadband network in synergy with the construction of other small infrastructure in the countryside, which will make the use of the funds available for this measure more economical.</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Type of support</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Support is granted in the form of non-refundable financial aid.</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Connection with other legislation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237"/>
              </w:numPr>
              <w:spacing w:before="0" w:after="0"/>
              <w:ind w:hanging="290"/>
              <w:jc w:val="left"/>
              <w:rPr>
                <w:szCs w:val="24"/>
              </w:rPr>
            </w:pPr>
            <w:r w:rsidRPr="005C3B55">
              <w:rPr>
                <w:szCs w:val="24"/>
              </w:rPr>
              <w:t>Agriculture Act (Official Gazette of the Republic of Slovenia, no. 45/2008 with all amendments);</w:t>
            </w:r>
          </w:p>
          <w:p w:rsidR="00F555D6" w:rsidRPr="005C3B55" w:rsidRDefault="00F555D6" w:rsidP="00F555D6">
            <w:pPr>
              <w:numPr>
                <w:ilvl w:val="0"/>
                <w:numId w:val="237"/>
              </w:numPr>
              <w:spacing w:before="0" w:after="0"/>
              <w:ind w:hanging="290"/>
              <w:jc w:val="left"/>
              <w:rPr>
                <w:szCs w:val="24"/>
              </w:rPr>
            </w:pPr>
            <w:r w:rsidRPr="005C3B55">
              <w:rPr>
                <w:szCs w:val="24"/>
              </w:rPr>
              <w:t>Electronic Communications Act (Official Gazette of the Republic of Slovenia, no. 109/12 with all amendments);</w:t>
            </w:r>
          </w:p>
          <w:p w:rsidR="00F555D6" w:rsidRPr="005C3B55" w:rsidRDefault="00F555D6" w:rsidP="00F555D6">
            <w:pPr>
              <w:numPr>
                <w:ilvl w:val="0"/>
                <w:numId w:val="237"/>
              </w:numPr>
              <w:spacing w:before="0" w:after="0"/>
              <w:ind w:hanging="290"/>
              <w:jc w:val="left"/>
              <w:rPr>
                <w:szCs w:val="24"/>
              </w:rPr>
            </w:pPr>
            <w:r w:rsidRPr="005C3B55">
              <w:rPr>
                <w:szCs w:val="24"/>
              </w:rPr>
              <w:t>national regulation which regulates the implementation of this sub-measure;</w:t>
            </w:r>
          </w:p>
          <w:p w:rsidR="00F555D6" w:rsidRPr="005C3B55" w:rsidRDefault="00F555D6" w:rsidP="00F555D6">
            <w:pPr>
              <w:numPr>
                <w:ilvl w:val="0"/>
                <w:numId w:val="237"/>
              </w:numPr>
              <w:spacing w:before="0" w:after="0"/>
              <w:ind w:hanging="290"/>
              <w:jc w:val="left"/>
              <w:rPr>
                <w:szCs w:val="24"/>
              </w:rPr>
            </w:pPr>
            <w:r w:rsidRPr="005C3B55">
              <w:rPr>
                <w:szCs w:val="24"/>
              </w:rPr>
              <w:t>Public Procurement Act, ZJN-2 (Official Gazette of the Republic of Slovenia, no. 12/13-UPB5 with all amendments);</w:t>
            </w:r>
          </w:p>
          <w:p w:rsidR="00F555D6" w:rsidRPr="005C3B55" w:rsidRDefault="00F555D6" w:rsidP="00F555D6">
            <w:pPr>
              <w:numPr>
                <w:ilvl w:val="0"/>
                <w:numId w:val="237"/>
              </w:numPr>
              <w:spacing w:before="0" w:after="0"/>
              <w:ind w:hanging="290"/>
              <w:jc w:val="left"/>
              <w:rPr>
                <w:szCs w:val="24"/>
              </w:rPr>
            </w:pPr>
            <w:r w:rsidRPr="005C3B55">
              <w:rPr>
                <w:szCs w:val="24"/>
              </w:rPr>
              <w:t>Public-Private Partnership Act (Official Gazette of the Republic of Slovenia, no.127/06 with all amendments);</w:t>
            </w:r>
          </w:p>
          <w:p w:rsidR="00F555D6" w:rsidRPr="005C3B55" w:rsidRDefault="00F555D6" w:rsidP="00F555D6">
            <w:pPr>
              <w:numPr>
                <w:ilvl w:val="0"/>
                <w:numId w:val="237"/>
              </w:numPr>
              <w:spacing w:before="0" w:after="0"/>
              <w:ind w:hanging="290"/>
              <w:jc w:val="left"/>
              <w:rPr>
                <w:szCs w:val="24"/>
              </w:rPr>
            </w:pPr>
            <w:r w:rsidRPr="005C3B55">
              <w:rPr>
                <w:szCs w:val="24"/>
              </w:rPr>
              <w:t>Regulation (EU) No 1303/2013 of the European Parliament and of the Council of 17 December 2013 laying down common provisions on the European Regional Development Fund, the European Social Fund, the Cohesion Fund, the European Agricultural Fund for Rural Development and the European Maritime and Fisheries Fund and laying down general provisions on the European Regional Development Fund, the European Social Fund, the Cohesion Fund and the European Maritime and Fisheries Fund and repealing Council Regulation (EC) No 1083/2006 and</w:t>
            </w:r>
          </w:p>
          <w:p w:rsidR="00F555D6" w:rsidRPr="005C3B55" w:rsidRDefault="00F555D6" w:rsidP="00F555D6">
            <w:pPr>
              <w:numPr>
                <w:ilvl w:val="0"/>
                <w:numId w:val="237"/>
              </w:numPr>
              <w:spacing w:before="0" w:after="240"/>
              <w:ind w:hanging="290"/>
              <w:jc w:val="left"/>
              <w:rPr>
                <w:szCs w:val="24"/>
              </w:rPr>
            </w:pPr>
            <w:r w:rsidRPr="005C3B55">
              <w:rPr>
                <w:szCs w:val="24"/>
              </w:rPr>
              <w:t>other EU and national legislation which regulates the implementation of this operation.</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Beneficiaries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A beneficiary of support is one or more municipalities or a consortium of municipalities.</w:t>
            </w:r>
          </w:p>
          <w:p w:rsidR="00F555D6" w:rsidRPr="005C3B55" w:rsidRDefault="00F555D6" w:rsidP="00F555D6">
            <w:pPr>
              <w:spacing w:before="240" w:after="240" w:line="280" w:lineRule="auto"/>
              <w:rPr>
                <w:szCs w:val="24"/>
              </w:rPr>
            </w:pPr>
            <w:r w:rsidRPr="005C3B55">
              <w:rPr>
                <w:szCs w:val="24"/>
              </w:rPr>
              <w:t>A municipality or a consortium of municipalities selects a co-inventor in accordance with the regulations regulating public procurement and public-private partnership.</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Eligible costs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Eligible costs for the construction of broadband networks are:</w:t>
            </w:r>
          </w:p>
          <w:p w:rsidR="00F555D6" w:rsidRPr="005C3B55" w:rsidRDefault="00F555D6" w:rsidP="00F555D6">
            <w:pPr>
              <w:numPr>
                <w:ilvl w:val="0"/>
                <w:numId w:val="238"/>
              </w:numPr>
              <w:spacing w:before="240" w:after="0"/>
              <w:ind w:hanging="290"/>
              <w:jc w:val="left"/>
              <w:rPr>
                <w:szCs w:val="24"/>
              </w:rPr>
            </w:pPr>
            <w:r w:rsidRPr="005C3B55">
              <w:rPr>
                <w:szCs w:val="24"/>
              </w:rPr>
              <w:t>costs of the implementation of construction and craft works; costs of supply of complete elements, transport, their installation and costs of works implemented on site (costs of material, transport and implemented works) are recognised for certain construction and craft works;</w:t>
            </w:r>
          </w:p>
          <w:p w:rsidR="00F555D6" w:rsidRPr="005C3B55" w:rsidRDefault="00F555D6" w:rsidP="00F555D6">
            <w:pPr>
              <w:numPr>
                <w:ilvl w:val="0"/>
                <w:numId w:val="238"/>
              </w:numPr>
              <w:spacing w:before="0" w:after="0"/>
              <w:ind w:hanging="290"/>
              <w:jc w:val="left"/>
              <w:rPr>
                <w:szCs w:val="24"/>
              </w:rPr>
            </w:pPr>
            <w:r w:rsidRPr="005C3B55">
              <w:rPr>
                <w:szCs w:val="24"/>
              </w:rPr>
              <w:t>costs of equipping or purchasing premises for the joint use of existing network facilities only to the extent necessary for the investment to be implemented;</w:t>
            </w:r>
          </w:p>
          <w:p w:rsidR="00F555D6" w:rsidRPr="005C3B55" w:rsidRDefault="00F555D6" w:rsidP="00F555D6">
            <w:pPr>
              <w:numPr>
                <w:ilvl w:val="0"/>
                <w:numId w:val="238"/>
              </w:numPr>
              <w:spacing w:before="0" w:after="0"/>
              <w:ind w:hanging="290"/>
              <w:jc w:val="left"/>
              <w:rPr>
                <w:szCs w:val="24"/>
              </w:rPr>
            </w:pPr>
            <w:r w:rsidRPr="005C3B55">
              <w:rPr>
                <w:szCs w:val="24"/>
              </w:rPr>
              <w:t>costs of construction of the passive section of electronic communication network to end users;</w:t>
            </w:r>
          </w:p>
          <w:p w:rsidR="00F555D6" w:rsidRPr="005C3B55" w:rsidRDefault="00F555D6" w:rsidP="00F555D6">
            <w:pPr>
              <w:numPr>
                <w:ilvl w:val="0"/>
                <w:numId w:val="238"/>
              </w:numPr>
              <w:spacing w:before="0" w:after="0"/>
              <w:ind w:hanging="290"/>
              <w:jc w:val="left"/>
              <w:rPr>
                <w:szCs w:val="24"/>
              </w:rPr>
            </w:pPr>
            <w:r w:rsidRPr="005C3B55">
              <w:rPr>
                <w:szCs w:val="24"/>
              </w:rPr>
              <w:t>costs of equipment and material necessary for the investment implementation relating to the specific requirements;</w:t>
            </w:r>
          </w:p>
          <w:p w:rsidR="00F555D6" w:rsidRPr="005C3B55" w:rsidRDefault="00F555D6" w:rsidP="00F555D6">
            <w:pPr>
              <w:numPr>
                <w:ilvl w:val="0"/>
                <w:numId w:val="238"/>
              </w:numPr>
              <w:spacing w:before="0" w:after="0"/>
              <w:ind w:hanging="290"/>
              <w:jc w:val="left"/>
              <w:rPr>
                <w:szCs w:val="24"/>
              </w:rPr>
            </w:pPr>
            <w:r w:rsidRPr="005C3B55">
              <w:rPr>
                <w:szCs w:val="24"/>
              </w:rPr>
              <w:t>costs of active equipment (active equipment is defined as equipment needed to connect different, separated parts of the network, for connecting to the backbone network or operators, and which needs an electricity supply to operate);</w:t>
            </w:r>
          </w:p>
          <w:p w:rsidR="00F555D6" w:rsidRPr="005C3B55" w:rsidRDefault="00F555D6" w:rsidP="00F555D6">
            <w:pPr>
              <w:numPr>
                <w:ilvl w:val="0"/>
                <w:numId w:val="238"/>
              </w:numPr>
              <w:spacing w:before="0" w:after="240"/>
              <w:ind w:hanging="290"/>
              <w:jc w:val="left"/>
              <w:rPr>
                <w:szCs w:val="24"/>
              </w:rPr>
            </w:pPr>
            <w:r w:rsidRPr="005C3B55">
              <w:rPr>
                <w:szCs w:val="24"/>
              </w:rPr>
              <w:t>general costs directly connected to the implementation of the investment which are incurred after the submission of the application for public tender (for example, supervision of construction, geodetic works, costs of entering the infrastructure in the land register of utility facilities, acquisition of necessary permits and approvals).</w:t>
            </w:r>
          </w:p>
          <w:p w:rsidR="00F555D6" w:rsidRPr="005C3B55" w:rsidRDefault="00F555D6" w:rsidP="00F555D6">
            <w:pPr>
              <w:spacing w:before="240" w:after="240" w:line="280" w:lineRule="auto"/>
              <w:rPr>
                <w:szCs w:val="24"/>
              </w:rPr>
            </w:pPr>
            <w:r w:rsidRPr="005C3B55">
              <w:rPr>
                <w:szCs w:val="24"/>
              </w:rPr>
              <w:t>If projects include earthworks, the provisions of the Electronic Communications Act (Official Gazette of the RS, No 109/12 with all amendments) and Directive 2014/61/EU of the European Parliament and the Council on measures to reduce the cost of deploying high-speed electronic communications networks on joint construction have to be observed already when planning other infrastructural projects.</w:t>
            </w:r>
          </w:p>
          <w:p w:rsidR="00F555D6" w:rsidRPr="005C3B55" w:rsidRDefault="00F555D6" w:rsidP="00F555D6">
            <w:pPr>
              <w:spacing w:before="240" w:after="240" w:line="280" w:lineRule="auto"/>
              <w:rPr>
                <w:szCs w:val="24"/>
              </w:rPr>
            </w:pPr>
            <w:r w:rsidRPr="005C3B55">
              <w:rPr>
                <w:szCs w:val="24"/>
              </w:rPr>
              <w:t>All individual items of eligible costs have to be clearly stated in the project documentation.</w:t>
            </w:r>
          </w:p>
          <w:p w:rsidR="00F555D6" w:rsidRPr="005C3B55" w:rsidRDefault="00F555D6" w:rsidP="00F555D6">
            <w:pPr>
              <w:spacing w:before="240" w:after="240" w:line="280" w:lineRule="auto"/>
              <w:rPr>
                <w:szCs w:val="24"/>
              </w:rPr>
            </w:pPr>
            <w:r w:rsidRPr="005C3B55">
              <w:rPr>
                <w:szCs w:val="24"/>
              </w:rPr>
              <w:t>The implementation of the active section of the network is an eligible cost. Terminal equipment and other active equipment installed at end users of the network are not eligible costs and not considered in the share of the private investor. Cost of overhaul of active equipment and all other equipment with the depreciation period shorter than 5 years must be financed with private funds or with rent or concession fee, when this equipment is owned by the local community.</w:t>
            </w:r>
          </w:p>
          <w:p w:rsidR="00F555D6" w:rsidRPr="005C3B55" w:rsidRDefault="00F555D6" w:rsidP="00F555D6">
            <w:pPr>
              <w:spacing w:before="240" w:after="240" w:line="280" w:lineRule="auto"/>
              <w:rPr>
                <w:szCs w:val="24"/>
              </w:rPr>
            </w:pPr>
            <w:r w:rsidRPr="005C3B55">
              <w:rPr>
                <w:szCs w:val="24"/>
              </w:rPr>
              <w:t>The following costs are not entitled to support:</w:t>
            </w:r>
          </w:p>
          <w:p w:rsidR="00F555D6" w:rsidRPr="005C3B55" w:rsidRDefault="00F555D6" w:rsidP="00F555D6">
            <w:pPr>
              <w:numPr>
                <w:ilvl w:val="0"/>
                <w:numId w:val="239"/>
              </w:numPr>
              <w:spacing w:before="240" w:after="0"/>
              <w:ind w:hanging="290"/>
              <w:jc w:val="left"/>
              <w:rPr>
                <w:szCs w:val="24"/>
              </w:rPr>
            </w:pPr>
            <w:r w:rsidRPr="005C3B55">
              <w:rPr>
                <w:szCs w:val="24"/>
              </w:rPr>
              <w:t>lease of real estate,</w:t>
            </w:r>
          </w:p>
          <w:p w:rsidR="00F555D6" w:rsidRPr="005C3B55" w:rsidRDefault="00F555D6" w:rsidP="00F555D6">
            <w:pPr>
              <w:numPr>
                <w:ilvl w:val="0"/>
                <w:numId w:val="239"/>
              </w:numPr>
              <w:spacing w:before="0" w:after="0"/>
              <w:ind w:hanging="290"/>
              <w:jc w:val="left"/>
              <w:rPr>
                <w:szCs w:val="24"/>
              </w:rPr>
            </w:pPr>
            <w:r w:rsidRPr="005C3B55">
              <w:rPr>
                <w:szCs w:val="24"/>
              </w:rPr>
              <w:t>interest on debts,</w:t>
            </w:r>
          </w:p>
          <w:p w:rsidR="00F555D6" w:rsidRPr="005C3B55" w:rsidRDefault="00F555D6" w:rsidP="00F555D6">
            <w:pPr>
              <w:numPr>
                <w:ilvl w:val="0"/>
                <w:numId w:val="239"/>
              </w:numPr>
              <w:spacing w:before="0" w:after="0"/>
              <w:ind w:hanging="290"/>
              <w:jc w:val="left"/>
              <w:rPr>
                <w:szCs w:val="24"/>
              </w:rPr>
            </w:pPr>
            <w:r w:rsidRPr="005C3B55">
              <w:rPr>
                <w:szCs w:val="24"/>
              </w:rPr>
              <w:t>purchase of used equipment,</w:t>
            </w:r>
          </w:p>
          <w:p w:rsidR="00F555D6" w:rsidRPr="005C3B55" w:rsidRDefault="00F555D6" w:rsidP="00F555D6">
            <w:pPr>
              <w:numPr>
                <w:ilvl w:val="0"/>
                <w:numId w:val="239"/>
              </w:numPr>
              <w:spacing w:before="0" w:after="0"/>
              <w:ind w:hanging="290"/>
              <w:jc w:val="left"/>
              <w:rPr>
                <w:szCs w:val="24"/>
              </w:rPr>
            </w:pPr>
            <w:r w:rsidRPr="005C3B55">
              <w:rPr>
                <w:szCs w:val="24"/>
              </w:rPr>
              <w:t>value added tax (VAT), unless it is recoverable on the basis of the national legislation on VAT,</w:t>
            </w:r>
          </w:p>
          <w:p w:rsidR="00F555D6" w:rsidRPr="005C3B55" w:rsidRDefault="00F555D6" w:rsidP="00F555D6">
            <w:pPr>
              <w:numPr>
                <w:ilvl w:val="0"/>
                <w:numId w:val="239"/>
              </w:numPr>
              <w:spacing w:before="0" w:after="0"/>
              <w:ind w:hanging="290"/>
              <w:jc w:val="left"/>
              <w:rPr>
                <w:szCs w:val="24"/>
              </w:rPr>
            </w:pPr>
            <w:r w:rsidRPr="005C3B55">
              <w:rPr>
                <w:szCs w:val="24"/>
              </w:rPr>
              <w:t>cost of preparing the application for the public procurement and request for payment,</w:t>
            </w:r>
          </w:p>
          <w:p w:rsidR="00F555D6" w:rsidRPr="005C3B55" w:rsidRDefault="00F555D6" w:rsidP="00F555D6">
            <w:pPr>
              <w:numPr>
                <w:ilvl w:val="0"/>
                <w:numId w:val="239"/>
              </w:numPr>
              <w:spacing w:before="0" w:after="0"/>
              <w:ind w:hanging="290"/>
              <w:jc w:val="left"/>
              <w:rPr>
                <w:szCs w:val="24"/>
              </w:rPr>
            </w:pPr>
            <w:r w:rsidRPr="005C3B55">
              <w:rPr>
                <w:szCs w:val="24"/>
              </w:rPr>
              <w:t>costs of archaeological works and archaeological supervision and</w:t>
            </w:r>
          </w:p>
          <w:p w:rsidR="00F555D6" w:rsidRPr="005C3B55" w:rsidRDefault="00F555D6" w:rsidP="00F555D6">
            <w:pPr>
              <w:numPr>
                <w:ilvl w:val="0"/>
                <w:numId w:val="239"/>
              </w:numPr>
              <w:spacing w:before="0" w:after="240"/>
              <w:ind w:hanging="290"/>
              <w:jc w:val="left"/>
              <w:rPr>
                <w:szCs w:val="24"/>
              </w:rPr>
            </w:pPr>
            <w:r w:rsidRPr="005C3B55">
              <w:rPr>
                <w:szCs w:val="24"/>
              </w:rPr>
              <w:t>operating costs (incurred in the period after the network is built, such as maintenance costs, management costs, operating costs, electricity costs, fuel costs, general and administrative costs such as insurance, security, etc, costs of replacing active equipment, labour costs, etc).</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Conditions for eligibility</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In order to acquire funds within this sub-measure, the following conditions have to be met:</w:t>
            </w:r>
          </w:p>
          <w:p w:rsidR="00F555D6" w:rsidRPr="005C3B55" w:rsidRDefault="00F555D6" w:rsidP="00F555D6">
            <w:pPr>
              <w:numPr>
                <w:ilvl w:val="0"/>
                <w:numId w:val="240"/>
              </w:numPr>
              <w:spacing w:before="240" w:after="0"/>
              <w:ind w:hanging="290"/>
              <w:jc w:val="left"/>
              <w:rPr>
                <w:szCs w:val="24"/>
              </w:rPr>
            </w:pPr>
            <w:r w:rsidRPr="005C3B55">
              <w:rPr>
                <w:szCs w:val="24"/>
              </w:rPr>
              <w:t>the investment must be implemented only in an area where a broadband infrastructure has not yet been constructed and where there is no commercial interest in its construction;</w:t>
            </w:r>
          </w:p>
          <w:p w:rsidR="00F555D6" w:rsidRPr="005C3B55" w:rsidRDefault="00F555D6" w:rsidP="00F555D6">
            <w:pPr>
              <w:numPr>
                <w:ilvl w:val="0"/>
                <w:numId w:val="240"/>
              </w:numPr>
              <w:spacing w:before="0" w:after="0"/>
              <w:ind w:hanging="290"/>
              <w:jc w:val="left"/>
              <w:rPr>
                <w:szCs w:val="24"/>
              </w:rPr>
            </w:pPr>
            <w:r w:rsidRPr="005C3B55">
              <w:rPr>
                <w:szCs w:val="24"/>
              </w:rPr>
              <w:t>the investment must be located in settlements with fewer than 5,000 inhabitants;</w:t>
            </w:r>
          </w:p>
          <w:p w:rsidR="00F555D6" w:rsidRPr="005C3B55" w:rsidRDefault="00F555D6" w:rsidP="00F555D6">
            <w:pPr>
              <w:numPr>
                <w:ilvl w:val="0"/>
                <w:numId w:val="240"/>
              </w:numPr>
              <w:spacing w:before="0" w:after="0"/>
              <w:ind w:hanging="290"/>
              <w:jc w:val="left"/>
              <w:rPr>
                <w:szCs w:val="24"/>
              </w:rPr>
            </w:pPr>
            <w:r w:rsidRPr="005C3B55">
              <w:rPr>
                <w:szCs w:val="24"/>
              </w:rPr>
              <w:t>the implementation and financial plans of the project have to be submitted (the project must include a schedule of operational project implementation);</w:t>
            </w:r>
          </w:p>
          <w:p w:rsidR="00F555D6" w:rsidRPr="005C3B55" w:rsidRDefault="00F555D6" w:rsidP="00F555D6">
            <w:pPr>
              <w:numPr>
                <w:ilvl w:val="0"/>
                <w:numId w:val="240"/>
              </w:numPr>
              <w:spacing w:before="0" w:after="0"/>
              <w:ind w:hanging="290"/>
              <w:jc w:val="left"/>
              <w:rPr>
                <w:szCs w:val="24"/>
              </w:rPr>
            </w:pPr>
            <w:r w:rsidRPr="005C3B55">
              <w:rPr>
                <w:szCs w:val="24"/>
              </w:rPr>
              <w:t>data on the number of households for the entire municipality and for each section of the network has to be stated clearly in the documentation; the number of households includes only households which in fact do not have access to broadband connections in the settlement;</w:t>
            </w:r>
          </w:p>
          <w:p w:rsidR="00F555D6" w:rsidRPr="005C3B55" w:rsidRDefault="00F555D6" w:rsidP="00F555D6">
            <w:pPr>
              <w:numPr>
                <w:ilvl w:val="0"/>
                <w:numId w:val="240"/>
              </w:numPr>
              <w:spacing w:before="0" w:after="0"/>
              <w:ind w:hanging="290"/>
              <w:jc w:val="left"/>
              <w:rPr>
                <w:szCs w:val="24"/>
              </w:rPr>
            </w:pPr>
            <w:r w:rsidRPr="005C3B55">
              <w:rPr>
                <w:szCs w:val="24"/>
              </w:rPr>
              <w:t>expert supervision of the construction of the network has to be ensured, and has to be stated clearly in the submitted documentation;</w:t>
            </w:r>
          </w:p>
          <w:p w:rsidR="00F555D6" w:rsidRPr="005C3B55" w:rsidRDefault="00F555D6" w:rsidP="00F555D6">
            <w:pPr>
              <w:numPr>
                <w:ilvl w:val="0"/>
                <w:numId w:val="240"/>
              </w:numPr>
              <w:spacing w:before="0" w:after="0"/>
              <w:ind w:hanging="290"/>
              <w:jc w:val="left"/>
              <w:rPr>
                <w:szCs w:val="24"/>
              </w:rPr>
            </w:pPr>
            <w:r w:rsidRPr="005C3B55">
              <w:rPr>
                <w:szCs w:val="24"/>
              </w:rPr>
              <w:t>the investment is eligible for support in areas where the construction of broadband connections is included in local development programmes, either at the level of one individual municipality or more municipalities,</w:t>
            </w:r>
          </w:p>
          <w:p w:rsidR="00F555D6" w:rsidRPr="005C3B55" w:rsidRDefault="00F555D6" w:rsidP="00F555D6">
            <w:pPr>
              <w:numPr>
                <w:ilvl w:val="0"/>
                <w:numId w:val="240"/>
              </w:numPr>
              <w:spacing w:before="0" w:after="240"/>
              <w:ind w:hanging="290"/>
              <w:jc w:val="left"/>
              <w:rPr>
                <w:szCs w:val="24"/>
              </w:rPr>
            </w:pPr>
            <w:r w:rsidRPr="005C3B55">
              <w:rPr>
                <w:szCs w:val="24"/>
              </w:rPr>
              <w:t>the investment is eligible for support if the construction of the broadband network is in synergy with the construction of other small infrastructure in the countryside.</w:t>
            </w:r>
          </w:p>
          <w:p w:rsidR="00F555D6" w:rsidRPr="005C3B55" w:rsidRDefault="00F555D6" w:rsidP="00F555D6">
            <w:pPr>
              <w:spacing w:before="240" w:after="240" w:line="280" w:lineRule="auto"/>
              <w:rPr>
                <w:szCs w:val="24"/>
              </w:rPr>
            </w:pPr>
            <w:r w:rsidRPr="005C3B55">
              <w:rPr>
                <w:szCs w:val="24"/>
              </w:rPr>
              <w:t>In the implementation of this sub-measure, more detailed conditions may be defined in accordance with the national regulations.</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Principles regarding the determination of selection criteria</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The sub-measure will be implemented as a closed public tender.</w:t>
            </w:r>
          </w:p>
          <w:p w:rsidR="00F555D6" w:rsidRPr="005C3B55" w:rsidRDefault="00F555D6" w:rsidP="00F555D6">
            <w:pPr>
              <w:spacing w:before="240" w:after="240" w:line="280" w:lineRule="auto"/>
              <w:rPr>
                <w:szCs w:val="24"/>
              </w:rPr>
            </w:pPr>
            <w:r w:rsidRPr="005C3B55">
              <w:rPr>
                <w:szCs w:val="24"/>
              </w:rPr>
              <w:t>A municipality or a consortium of municipalities selects a co-inventor in accordance with the regulations regulating public procurement and public-private partnership, and signs a contract with the co-investor after it has been issued a decision granting the right to funds.</w:t>
            </w:r>
          </w:p>
          <w:p w:rsidR="00F555D6" w:rsidRPr="005C3B55" w:rsidRDefault="00F555D6" w:rsidP="00F555D6">
            <w:pPr>
              <w:spacing w:before="240" w:after="240" w:line="280" w:lineRule="auto"/>
              <w:rPr>
                <w:szCs w:val="24"/>
              </w:rPr>
            </w:pPr>
            <w:r w:rsidRPr="005C3B55">
              <w:rPr>
                <w:szCs w:val="24"/>
              </w:rPr>
              <w:t>Selected projects whose applications are complete and adequate in terms of content and which meet the conditions for receiving funds and exceed the threshold number of points determined in the public tender will be eligible for support. Applications which score a higher number of points will be selected from among applications that exceed the threshold number of points until the funds available in the public tender are distributed.</w:t>
            </w:r>
          </w:p>
          <w:p w:rsidR="00F555D6" w:rsidRPr="005C3B55" w:rsidRDefault="00F555D6" w:rsidP="00F555D6">
            <w:pPr>
              <w:spacing w:before="240" w:after="240" w:line="280" w:lineRule="auto"/>
              <w:rPr>
                <w:szCs w:val="24"/>
              </w:rPr>
            </w:pPr>
            <w:r w:rsidRPr="005C3B55">
              <w:rPr>
                <w:szCs w:val="24"/>
              </w:rPr>
              <w:t>In addition to horizontal objectives, to be considered in the selection of projects will be, among others, the principles that:</w:t>
            </w:r>
          </w:p>
          <w:p w:rsidR="00F555D6" w:rsidRPr="005C3B55" w:rsidRDefault="00F555D6" w:rsidP="00F555D6">
            <w:pPr>
              <w:numPr>
                <w:ilvl w:val="0"/>
                <w:numId w:val="241"/>
              </w:numPr>
              <w:spacing w:before="240" w:after="0"/>
              <w:ind w:hanging="290"/>
              <w:jc w:val="left"/>
              <w:rPr>
                <w:szCs w:val="24"/>
              </w:rPr>
            </w:pPr>
            <w:r w:rsidRPr="005C3B55">
              <w:rPr>
                <w:szCs w:val="24"/>
              </w:rPr>
              <w:t>will be based on models with the highest share of private investments;</w:t>
            </w:r>
          </w:p>
          <w:p w:rsidR="00F555D6" w:rsidRPr="005C3B55" w:rsidRDefault="00F555D6" w:rsidP="00F555D6">
            <w:pPr>
              <w:numPr>
                <w:ilvl w:val="0"/>
                <w:numId w:val="241"/>
              </w:numPr>
              <w:spacing w:before="0" w:after="240"/>
              <w:ind w:hanging="290"/>
              <w:jc w:val="left"/>
              <w:rPr>
                <w:szCs w:val="24"/>
              </w:rPr>
            </w:pPr>
            <w:r w:rsidRPr="005C3B55">
              <w:rPr>
                <w:szCs w:val="24"/>
              </w:rPr>
              <w:t>will achieve the highest share of coverage of households in eligible areas within an administrative unit (municipality, local community or a consortium of municipalities) per unit of invested funds.</w:t>
            </w:r>
          </w:p>
          <w:p w:rsidR="00F555D6" w:rsidRPr="005C3B55" w:rsidRDefault="00F555D6" w:rsidP="00F555D6">
            <w:pPr>
              <w:spacing w:before="240" w:after="240" w:line="280" w:lineRule="auto"/>
              <w:rPr>
                <w:szCs w:val="24"/>
              </w:rPr>
            </w:pPr>
            <w:r w:rsidRPr="005C3B55">
              <w:rPr>
                <w:szCs w:val="24"/>
              </w:rPr>
              <w:t> </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(Valid) amounts and support rates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rPr>
          <w:trHeight w:val="2342"/>
        </w:trPr>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The public support rate amounts to 100 per cent of eligible costs.</w:t>
            </w:r>
          </w:p>
          <w:p w:rsidR="00F555D6" w:rsidRPr="005C3B55" w:rsidRDefault="00F555D6" w:rsidP="00F555D6">
            <w:pPr>
              <w:spacing w:before="240" w:after="240" w:line="280" w:lineRule="auto"/>
              <w:rPr>
                <w:szCs w:val="24"/>
              </w:rPr>
            </w:pPr>
            <w:r w:rsidRPr="005C3B55">
              <w:rPr>
                <w:szCs w:val="24"/>
              </w:rPr>
              <w:t>If operations generate net income after their conclusion, the rate of support will be reduced accordingly, in accordance with the provisions of Article 61 of Regulation 1303/2013/EU.</w:t>
            </w:r>
          </w:p>
          <w:p w:rsidR="00F555D6" w:rsidRPr="005C3B55" w:rsidRDefault="00F555D6" w:rsidP="00F555D6">
            <w:pPr>
              <w:spacing w:before="240" w:after="240" w:line="280" w:lineRule="auto"/>
              <w:rPr>
                <w:szCs w:val="24"/>
              </w:rPr>
            </w:pPr>
            <w:r w:rsidRPr="005C3B55">
              <w:rPr>
                <w:szCs w:val="24"/>
              </w:rPr>
              <w:t>The maximum support amount per individual connection may amount to EUR 1,200.</w:t>
            </w: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Verifiability and possibility of control of measures and/or type of operations</w:t>
      </w:r>
    </w:p>
    <w:p w:rsidR="00F555D6" w:rsidRPr="005C3B55" w:rsidRDefault="00F555D6" w:rsidP="00F555D6">
      <w:pPr>
        <w:pStyle w:val="Naslov7"/>
        <w:tabs>
          <w:tab w:val="clear" w:pos="765"/>
        </w:tabs>
        <w:ind w:left="0" w:firstLine="0"/>
        <w:rPr>
          <w:szCs w:val="24"/>
          <w:lang w:val="en-GB"/>
        </w:rPr>
      </w:pPr>
      <w:r w:rsidRPr="005C3B55">
        <w:rPr>
          <w:noProof w:val="0"/>
          <w:szCs w:val="24"/>
          <w:lang w:val="en-GB"/>
        </w:rPr>
        <w:t>Risks in the implementation of the measure</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b/>
                <w:szCs w:val="24"/>
              </w:rPr>
              <w:t>R4: Public procurement</w:t>
            </w:r>
          </w:p>
          <w:p w:rsidR="00F555D6" w:rsidRPr="005C3B55" w:rsidRDefault="00F555D6" w:rsidP="00F555D6">
            <w:pPr>
              <w:spacing w:before="240" w:after="240" w:line="280" w:lineRule="auto"/>
              <w:rPr>
                <w:szCs w:val="24"/>
              </w:rPr>
            </w:pPr>
            <w:r w:rsidRPr="005C3B55">
              <w:rPr>
                <w:szCs w:val="24"/>
              </w:rPr>
              <w:t>The beneficiaries of support within this measure are municipalities which may proceed with the process of selecting a contractor only after they have received a positive decision on the right to funds. The risk of implementing this measure is thus particularly the long period for works to actually commence. The municipality must select a contractor on the basis of a public procurement procedure, which may be followed by complaints and reviews. Within the implementation of this procedure, funds may be used uneconomically in the case of possible cartel agreements between providers.</w:t>
            </w:r>
          </w:p>
          <w:p w:rsidR="00F555D6" w:rsidRPr="005C3B55" w:rsidRDefault="00F555D6" w:rsidP="00F555D6">
            <w:pPr>
              <w:spacing w:before="240" w:after="240" w:line="280" w:lineRule="auto"/>
              <w:rPr>
                <w:szCs w:val="24"/>
              </w:rPr>
            </w:pPr>
            <w:r w:rsidRPr="005C3B55">
              <w:rPr>
                <w:b/>
                <w:szCs w:val="24"/>
              </w:rPr>
              <w:t>R7: Selection of beneficiaries</w:t>
            </w:r>
          </w:p>
          <w:p w:rsidR="00F555D6" w:rsidRPr="005C3B55" w:rsidRDefault="00F555D6" w:rsidP="00F555D6">
            <w:pPr>
              <w:spacing w:before="240" w:after="240" w:line="280" w:lineRule="auto"/>
              <w:rPr>
                <w:szCs w:val="24"/>
              </w:rPr>
            </w:pPr>
            <w:r w:rsidRPr="005C3B55">
              <w:rPr>
                <w:szCs w:val="24"/>
              </w:rPr>
              <w:t>The selection of conditions and suitable criteria for the selection of beneficiaries also carries risks.</w:t>
            </w:r>
          </w:p>
          <w:p w:rsidR="00F555D6" w:rsidRPr="005C3B55" w:rsidRDefault="00F555D6" w:rsidP="00F555D6">
            <w:pPr>
              <w:spacing w:before="240" w:after="240" w:line="280" w:lineRule="auto"/>
              <w:rPr>
                <w:szCs w:val="24"/>
              </w:rPr>
            </w:pPr>
            <w:r w:rsidRPr="005C3B55">
              <w:rPr>
                <w:b/>
                <w:szCs w:val="24"/>
              </w:rPr>
              <w:t>R8: IT systems</w:t>
            </w:r>
          </w:p>
          <w:p w:rsidR="00F555D6" w:rsidRPr="005C3B55" w:rsidRDefault="00F555D6" w:rsidP="00F555D6">
            <w:pPr>
              <w:spacing w:before="240" w:after="240" w:line="280" w:lineRule="auto"/>
              <w:rPr>
                <w:szCs w:val="24"/>
              </w:rPr>
            </w:pPr>
            <w:r w:rsidRPr="005C3B55">
              <w:rPr>
                <w:szCs w:val="24"/>
              </w:rPr>
              <w:t>There is a risk of untimely computerisation of the public procurement procedure. Additional risks may be requirements to upgrade the application support, which may lead to additional costs and delays in implementing the public procurement procedure.</w:t>
            </w:r>
          </w:p>
          <w:p w:rsidR="00F555D6" w:rsidRPr="005C3B55" w:rsidRDefault="00F555D6" w:rsidP="00F555D6">
            <w:pPr>
              <w:spacing w:before="240" w:after="240" w:line="280" w:lineRule="auto"/>
              <w:rPr>
                <w:szCs w:val="24"/>
              </w:rPr>
            </w:pPr>
            <w:r w:rsidRPr="005C3B55">
              <w:rPr>
                <w:b/>
                <w:szCs w:val="24"/>
              </w:rPr>
              <w:t>R9: Requests for payment</w:t>
            </w:r>
          </w:p>
          <w:p w:rsidR="00F555D6" w:rsidRPr="005C3B55" w:rsidRDefault="00F555D6" w:rsidP="00F555D6">
            <w:pPr>
              <w:spacing w:before="240" w:after="240" w:line="280" w:lineRule="auto"/>
              <w:rPr>
                <w:szCs w:val="24"/>
              </w:rPr>
            </w:pPr>
            <w:r w:rsidRPr="005C3B55">
              <w:rPr>
                <w:szCs w:val="24"/>
              </w:rPr>
              <w:t>Risks relating to payment requests are particularly linked to administrative quality control and the extent of the subject of public procurement. Considering the experience from the 2007-2013 programme period when implementing measures where beneficiaries were municipalities, the problem may occur with poorly prepared requests for the payment of funds, which may result in longer claim processing and thus deadlines for payment. Another problem noted in the aforementioned programme period was the lower number of requests for the payment of funds with regard to the funds approved, This may mean that municipalities successfully conducted the public procurement procedure and negotiated a lower price than anticipated. On the other hand, this causes problems in managing the funds of the measure.</w:t>
            </w:r>
          </w:p>
          <w:p w:rsidR="00F555D6" w:rsidRPr="005C3B55" w:rsidRDefault="00F555D6" w:rsidP="00F555D6">
            <w:pPr>
              <w:pStyle w:val="Telobesedila"/>
              <w:rPr>
                <w:szCs w:val="24"/>
              </w:rPr>
            </w:pPr>
          </w:p>
        </w:tc>
      </w:tr>
    </w:tbl>
    <w:p w:rsidR="00F555D6" w:rsidRPr="005C3B55" w:rsidRDefault="00F555D6" w:rsidP="00F555D6">
      <w:pPr>
        <w:pStyle w:val="Naslov7"/>
        <w:tabs>
          <w:tab w:val="clear" w:pos="765"/>
        </w:tabs>
        <w:ind w:left="0" w:firstLine="0"/>
        <w:rPr>
          <w:szCs w:val="24"/>
          <w:lang w:val="en-GB"/>
        </w:rPr>
      </w:pPr>
      <w:r w:rsidRPr="005C3B55">
        <w:rPr>
          <w:noProof w:val="0"/>
          <w:szCs w:val="24"/>
          <w:lang w:val="en-GB"/>
        </w:rPr>
        <w:t>Mitigation measures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b/>
                <w:szCs w:val="24"/>
              </w:rPr>
              <w:t>R4: Public procurement</w:t>
            </w:r>
          </w:p>
          <w:p w:rsidR="00F555D6" w:rsidRPr="005C3B55" w:rsidRDefault="00F555D6" w:rsidP="00F555D6">
            <w:pPr>
              <w:spacing w:before="240" w:after="240" w:line="280" w:lineRule="auto"/>
              <w:rPr>
                <w:szCs w:val="24"/>
              </w:rPr>
            </w:pPr>
            <w:r w:rsidRPr="005C3B55">
              <w:rPr>
                <w:szCs w:val="24"/>
              </w:rPr>
              <w:t>Municipalities may mitigate the risks with timely public procurements, market analysis before beginning the public procurement, a detailed definition of the public procurement content and transparency of the procedure.</w:t>
            </w:r>
          </w:p>
          <w:p w:rsidR="00F555D6" w:rsidRPr="005C3B55" w:rsidRDefault="00F555D6" w:rsidP="00F555D6">
            <w:pPr>
              <w:spacing w:before="240" w:after="240" w:line="280" w:lineRule="auto"/>
              <w:rPr>
                <w:szCs w:val="24"/>
              </w:rPr>
            </w:pPr>
            <w:r w:rsidRPr="005C3B55">
              <w:rPr>
                <w:b/>
                <w:szCs w:val="24"/>
              </w:rPr>
              <w:t>R7: Selection of beneficiaries</w:t>
            </w:r>
          </w:p>
          <w:p w:rsidR="00F555D6" w:rsidRPr="005C3B55" w:rsidRDefault="00F555D6" w:rsidP="00F555D6">
            <w:pPr>
              <w:spacing w:before="240" w:after="240" w:line="280" w:lineRule="auto"/>
              <w:rPr>
                <w:szCs w:val="24"/>
              </w:rPr>
            </w:pPr>
            <w:r w:rsidRPr="005C3B55">
              <w:rPr>
                <w:szCs w:val="24"/>
              </w:rPr>
              <w:t>Mitigation measures are suitably determined conditions and appropriately selected and defined criteria for the selection of beneficiaries.</w:t>
            </w:r>
          </w:p>
          <w:p w:rsidR="00F555D6" w:rsidRPr="005C3B55" w:rsidRDefault="00F555D6" w:rsidP="00F555D6">
            <w:pPr>
              <w:spacing w:before="240" w:after="240" w:line="280" w:lineRule="auto"/>
              <w:rPr>
                <w:szCs w:val="24"/>
              </w:rPr>
            </w:pPr>
            <w:r w:rsidRPr="005C3B55">
              <w:rPr>
                <w:b/>
                <w:szCs w:val="24"/>
              </w:rPr>
              <w:t>R8: IT systems</w:t>
            </w:r>
          </w:p>
          <w:p w:rsidR="00F555D6" w:rsidRPr="005C3B55" w:rsidRDefault="00F555D6" w:rsidP="00F555D6">
            <w:pPr>
              <w:spacing w:before="240" w:after="240" w:line="280" w:lineRule="auto"/>
              <w:rPr>
                <w:szCs w:val="24"/>
              </w:rPr>
            </w:pPr>
            <w:r w:rsidRPr="005C3B55">
              <w:rPr>
                <w:szCs w:val="24"/>
              </w:rPr>
              <w:t>Risks relating to the computerisation of procedure may be mitigated by preparing a suitable timetable and detailed specifications of needs when constructing the information system.</w:t>
            </w:r>
          </w:p>
          <w:p w:rsidR="00F555D6" w:rsidRPr="005C3B55" w:rsidRDefault="00F555D6" w:rsidP="00F555D6">
            <w:pPr>
              <w:spacing w:before="240" w:after="240" w:line="280" w:lineRule="auto"/>
              <w:rPr>
                <w:szCs w:val="24"/>
              </w:rPr>
            </w:pPr>
            <w:r w:rsidRPr="005C3B55">
              <w:rPr>
                <w:b/>
                <w:szCs w:val="24"/>
              </w:rPr>
              <w:t>R9: Requests for payment</w:t>
            </w:r>
          </w:p>
          <w:p w:rsidR="00F555D6" w:rsidRPr="005C3B55" w:rsidRDefault="00F555D6" w:rsidP="00F555D6">
            <w:pPr>
              <w:spacing w:before="240" w:after="240" w:line="280" w:lineRule="auto"/>
              <w:rPr>
                <w:szCs w:val="24"/>
              </w:rPr>
            </w:pPr>
            <w:r w:rsidRPr="005C3B55">
              <w:rPr>
                <w:szCs w:val="24"/>
              </w:rPr>
              <w:t>Risks relating to the payment of requests may be mitigated by detailed preparation of the project task of the public procurement, which clearly defines the qualitative and quantitative aspects of the subject of the procurement. They can also be mitigated by the preparation of suitable checklists enabling appropriate administrative control. Risks relating to the non-fulfilment of contractual obligations may be mitigated by a detailed definition of contractual obligations, a definition of an efficient dispute resolution process and a sanctions system.</w:t>
            </w:r>
          </w:p>
          <w:p w:rsidR="00F555D6" w:rsidRPr="005C3B55" w:rsidRDefault="00F555D6" w:rsidP="00F555D6">
            <w:pPr>
              <w:pStyle w:val="Telobesedila"/>
              <w:rPr>
                <w:szCs w:val="24"/>
              </w:rPr>
            </w:pPr>
          </w:p>
        </w:tc>
      </w:tr>
    </w:tbl>
    <w:p w:rsidR="00F555D6" w:rsidRPr="005C3B55" w:rsidRDefault="00F555D6" w:rsidP="00F555D6">
      <w:pPr>
        <w:pStyle w:val="Naslov7"/>
        <w:tabs>
          <w:tab w:val="clear" w:pos="765"/>
        </w:tabs>
        <w:ind w:left="0" w:firstLine="0"/>
        <w:rPr>
          <w:szCs w:val="24"/>
          <w:lang w:val="en-GB"/>
        </w:rPr>
      </w:pPr>
      <w:r w:rsidRPr="005C3B55">
        <w:rPr>
          <w:noProof w:val="0"/>
          <w:szCs w:val="24"/>
          <w:lang w:val="en-GB"/>
        </w:rPr>
        <w:t>General assessment of the measure</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The sub-measure in the anticipated form is fully feasible and controllable and will have the expected results and contribute to achieving the set objectives of the RDP 2014-202. The sub-measure will greatly contribute to the realisation of horizontal objectives. The implementation of this sub-measure is necessary to promote access to information and communication technology (ICT) in rural areas and their use and quality.</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Methodology for calculating support amount, where relevant</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Not relevant.</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Information that relates specifically to the operation</w:t>
      </w:r>
    </w:p>
    <w:p w:rsidR="00F555D6" w:rsidRPr="005C3B55" w:rsidRDefault="00F555D6" w:rsidP="00F555D6">
      <w:pPr>
        <w:spacing w:line="280" w:lineRule="auto"/>
        <w:rPr>
          <w:szCs w:val="24"/>
        </w:rPr>
      </w:pPr>
      <w:r w:rsidRPr="005C3B55">
        <w:rPr>
          <w:szCs w:val="24"/>
        </w:rPr>
        <w:t>Determination of small infrastructure, including small tourist infrastructure, under Article 20(1)(a)(iii) of Regulation (EU) No 1305/2013</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Investments in small infrastructure are not implemented.</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If appropriate, special exceptions for investments in broadband connections and energy from renewable sources, so that infrastructure of a larger scale could be supported</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Not relevant.</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Information on the application of the transitional period under Article 2(3) of Delegated Regulation No 807/2014</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Not relevant.</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Definition of limit values referred to in Article 13(e) [Delegated Regulation for Rural Development DA RD – C(2014) 1460]</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Not relevant.</w:t>
            </w:r>
          </w:p>
          <w:p w:rsidR="00F555D6" w:rsidRPr="005C3B55" w:rsidRDefault="00F555D6" w:rsidP="00F555D6">
            <w:pPr>
              <w:spacing w:before="240" w:after="240" w:line="280" w:lineRule="auto"/>
              <w:rPr>
                <w:szCs w:val="24"/>
              </w:rPr>
            </w:pPr>
            <w:r w:rsidRPr="005C3B55">
              <w:rPr>
                <w:szCs w:val="24"/>
              </w:rPr>
              <w:t> </w:t>
            </w:r>
          </w:p>
          <w:p w:rsidR="00F555D6" w:rsidRPr="005C3B55" w:rsidRDefault="00F555D6" w:rsidP="00F555D6">
            <w:pPr>
              <w:pStyle w:val="Telobesedila"/>
              <w:rPr>
                <w:szCs w:val="24"/>
              </w:rPr>
            </w:pPr>
          </w:p>
        </w:tc>
      </w:tr>
    </w:tbl>
    <w:p w:rsidR="00F555D6" w:rsidRPr="005C3B55" w:rsidRDefault="00F555D6" w:rsidP="00F555D6">
      <w:pPr>
        <w:pStyle w:val="Naslov4"/>
        <w:tabs>
          <w:tab w:val="clear" w:pos="765"/>
        </w:tabs>
        <w:ind w:left="0" w:firstLine="0"/>
        <w:jc w:val="left"/>
        <w:rPr>
          <w:szCs w:val="24"/>
          <w:lang w:val="en-GB"/>
        </w:rPr>
      </w:pPr>
      <w:r w:rsidRPr="005C3B55">
        <w:rPr>
          <w:szCs w:val="24"/>
          <w:lang w:val="en-GB"/>
        </w:rPr>
        <w:t>Verifiability and possibility of control of measures and/or type of operations</w:t>
      </w:r>
    </w:p>
    <w:p w:rsidR="00F555D6" w:rsidRPr="005C3B55" w:rsidRDefault="00F555D6" w:rsidP="00F555D6">
      <w:pPr>
        <w:pStyle w:val="Naslov5"/>
        <w:tabs>
          <w:tab w:val="clear" w:pos="765"/>
        </w:tabs>
        <w:ind w:left="0" w:firstLine="0"/>
        <w:rPr>
          <w:b w:val="0"/>
          <w:szCs w:val="24"/>
          <w:lang w:val="en-GB"/>
        </w:rPr>
      </w:pPr>
      <w:r w:rsidRPr="005C3B55">
        <w:rPr>
          <w:b w:val="0"/>
          <w:noProof w:val="0"/>
          <w:szCs w:val="24"/>
          <w:lang w:val="en-GB"/>
        </w:rPr>
        <w:t>Risks in the implementation of the measure</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Risks are determined within the sub-measure.</w:t>
            </w:r>
          </w:p>
          <w:p w:rsidR="00F555D6" w:rsidRPr="005C3B55" w:rsidRDefault="00F555D6" w:rsidP="00F555D6">
            <w:pPr>
              <w:pStyle w:val="Telobesedila"/>
              <w:rPr>
                <w:szCs w:val="24"/>
              </w:rPr>
            </w:pPr>
          </w:p>
        </w:tc>
      </w:tr>
    </w:tbl>
    <w:p w:rsidR="00F555D6" w:rsidRPr="005C3B55" w:rsidRDefault="00F555D6" w:rsidP="00F555D6">
      <w:pPr>
        <w:pStyle w:val="Naslov5"/>
        <w:tabs>
          <w:tab w:val="clear" w:pos="765"/>
        </w:tabs>
        <w:ind w:left="0" w:firstLine="0"/>
        <w:rPr>
          <w:b w:val="0"/>
          <w:szCs w:val="24"/>
          <w:lang w:val="en-GB"/>
        </w:rPr>
      </w:pPr>
      <w:r w:rsidRPr="005C3B55">
        <w:rPr>
          <w:b w:val="0"/>
          <w:noProof w:val="0"/>
          <w:szCs w:val="24"/>
          <w:lang w:val="en-GB"/>
        </w:rPr>
        <w:t>Mitigation measures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Mitigation measures are determined within the sub-measure.</w:t>
            </w:r>
          </w:p>
          <w:p w:rsidR="00F555D6" w:rsidRPr="005C3B55" w:rsidRDefault="00F555D6" w:rsidP="00F555D6">
            <w:pPr>
              <w:pStyle w:val="Telobesedila"/>
              <w:rPr>
                <w:szCs w:val="24"/>
              </w:rPr>
            </w:pPr>
          </w:p>
        </w:tc>
      </w:tr>
    </w:tbl>
    <w:p w:rsidR="00F555D6" w:rsidRPr="005C3B55" w:rsidRDefault="00F555D6" w:rsidP="00F555D6">
      <w:pPr>
        <w:pStyle w:val="Naslov5"/>
        <w:tabs>
          <w:tab w:val="clear" w:pos="765"/>
        </w:tabs>
        <w:ind w:left="0" w:firstLine="0"/>
        <w:rPr>
          <w:b w:val="0"/>
          <w:szCs w:val="24"/>
          <w:lang w:val="en-GB"/>
        </w:rPr>
      </w:pPr>
      <w:r w:rsidRPr="005C3B55">
        <w:rPr>
          <w:b w:val="0"/>
          <w:noProof w:val="0"/>
          <w:szCs w:val="24"/>
          <w:lang w:val="en-GB"/>
        </w:rPr>
        <w:t>General assessment of the measure</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Described within an individual sub-measure.</w:t>
            </w:r>
          </w:p>
          <w:p w:rsidR="00F555D6" w:rsidRPr="005C3B55" w:rsidRDefault="00F555D6" w:rsidP="00F555D6">
            <w:pPr>
              <w:pStyle w:val="Telobesedila"/>
              <w:rPr>
                <w:szCs w:val="24"/>
              </w:rPr>
            </w:pPr>
          </w:p>
        </w:tc>
      </w:tr>
    </w:tbl>
    <w:p w:rsidR="00F555D6" w:rsidRPr="005C3B55" w:rsidRDefault="00F555D6" w:rsidP="00F555D6">
      <w:pPr>
        <w:pStyle w:val="Naslov4"/>
        <w:tabs>
          <w:tab w:val="clear" w:pos="765"/>
        </w:tabs>
        <w:ind w:left="0" w:firstLine="0"/>
        <w:jc w:val="left"/>
        <w:rPr>
          <w:szCs w:val="24"/>
          <w:lang w:val="en-GB"/>
        </w:rPr>
      </w:pPr>
      <w:r w:rsidRPr="005C3B55">
        <w:rPr>
          <w:szCs w:val="24"/>
          <w:lang w:val="en-GB"/>
        </w:rPr>
        <w:t>Methodology for calculating support amount, where relevant</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Not relevant.</w:t>
            </w:r>
          </w:p>
          <w:p w:rsidR="00F555D6" w:rsidRPr="005C3B55" w:rsidRDefault="00F555D6" w:rsidP="00F555D6">
            <w:pPr>
              <w:pStyle w:val="Telobesedila"/>
              <w:rPr>
                <w:szCs w:val="24"/>
              </w:rPr>
            </w:pPr>
          </w:p>
        </w:tc>
      </w:tr>
    </w:tbl>
    <w:p w:rsidR="00F555D6" w:rsidRPr="005C3B55" w:rsidRDefault="00F555D6" w:rsidP="00F555D6">
      <w:pPr>
        <w:pStyle w:val="Naslov4"/>
        <w:tabs>
          <w:tab w:val="clear" w:pos="765"/>
        </w:tabs>
        <w:ind w:left="0" w:firstLine="0"/>
        <w:jc w:val="left"/>
        <w:rPr>
          <w:szCs w:val="24"/>
          <w:lang w:val="en-GB"/>
        </w:rPr>
      </w:pPr>
      <w:r w:rsidRPr="005C3B55">
        <w:rPr>
          <w:szCs w:val="24"/>
          <w:lang w:val="en-GB"/>
        </w:rPr>
        <w:t>Additional information specific to the measure</w:t>
      </w:r>
    </w:p>
    <w:p w:rsidR="00F555D6" w:rsidRPr="005C3B55" w:rsidRDefault="00F555D6" w:rsidP="00F555D6">
      <w:pPr>
        <w:spacing w:line="280" w:lineRule="auto"/>
        <w:rPr>
          <w:szCs w:val="24"/>
        </w:rPr>
      </w:pPr>
      <w:r w:rsidRPr="005C3B55">
        <w:rPr>
          <w:szCs w:val="24"/>
        </w:rPr>
        <w:t>Determination of small infrastructure, including small tourist infrastructure, under Article 20(1)(a)(iii) of Regulation (EU) No 1305/2013</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Investments in small infrastructure are not implemented.</w:t>
            </w:r>
          </w:p>
          <w:p w:rsidR="00F555D6" w:rsidRPr="005C3B55" w:rsidRDefault="00F555D6" w:rsidP="00F555D6">
            <w:pPr>
              <w:pStyle w:val="Telobesedila"/>
              <w:rPr>
                <w:szCs w:val="24"/>
              </w:rPr>
            </w:pPr>
          </w:p>
        </w:tc>
      </w:tr>
    </w:tbl>
    <w:p w:rsidR="00F555D6" w:rsidRPr="005C3B55" w:rsidRDefault="00F555D6" w:rsidP="00F555D6">
      <w:pPr>
        <w:spacing w:after="100" w:line="280" w:lineRule="auto"/>
        <w:rPr>
          <w:szCs w:val="24"/>
        </w:rPr>
      </w:pPr>
      <w:r w:rsidRPr="005C3B55">
        <w:rPr>
          <w:szCs w:val="24"/>
        </w:rPr>
        <w:t>If appropriate, special exceptions for investments in broadband connections and energy from renewable sources, so that infrastructure of a larger scale could be supported</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Not relevant.</w:t>
            </w:r>
          </w:p>
          <w:p w:rsidR="00F555D6" w:rsidRPr="005C3B55" w:rsidRDefault="00F555D6" w:rsidP="00F555D6">
            <w:pPr>
              <w:pStyle w:val="Telobesedila"/>
              <w:spacing w:after="100"/>
              <w:rPr>
                <w:szCs w:val="24"/>
              </w:rPr>
            </w:pPr>
          </w:p>
        </w:tc>
      </w:tr>
    </w:tbl>
    <w:p w:rsidR="00F555D6" w:rsidRPr="005C3B55" w:rsidRDefault="00F555D6" w:rsidP="00F555D6">
      <w:pPr>
        <w:spacing w:after="100" w:line="280" w:lineRule="auto"/>
        <w:rPr>
          <w:szCs w:val="24"/>
        </w:rPr>
      </w:pPr>
      <w:r w:rsidRPr="005C3B55">
        <w:rPr>
          <w:szCs w:val="24"/>
        </w:rPr>
        <w:t>Information on the application of the transitional period under Article 2(3) of Delegated Regulation No 807/2014</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Not relevant.</w:t>
            </w:r>
          </w:p>
          <w:p w:rsidR="00F555D6" w:rsidRPr="005C3B55" w:rsidRDefault="00F555D6" w:rsidP="00F555D6">
            <w:pPr>
              <w:pStyle w:val="Telobesedila"/>
              <w:spacing w:after="100"/>
              <w:rPr>
                <w:szCs w:val="24"/>
              </w:rPr>
            </w:pPr>
          </w:p>
        </w:tc>
      </w:tr>
    </w:tbl>
    <w:p w:rsidR="00F555D6" w:rsidRPr="005C3B55" w:rsidRDefault="00F555D6" w:rsidP="00F555D6">
      <w:pPr>
        <w:spacing w:after="100" w:line="280" w:lineRule="auto"/>
        <w:rPr>
          <w:szCs w:val="24"/>
        </w:rPr>
      </w:pPr>
      <w:r w:rsidRPr="005C3B55">
        <w:rPr>
          <w:szCs w:val="24"/>
        </w:rPr>
        <w:t>Definition of limit values referred to in Article 13(e) [Delegated Regulation for Rural Development DA RD – C(2014) 1460]</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Not relevant.</w:t>
            </w:r>
          </w:p>
          <w:p w:rsidR="00F555D6" w:rsidRPr="005C3B55" w:rsidRDefault="00F555D6" w:rsidP="00F555D6">
            <w:pPr>
              <w:pStyle w:val="Telobesedila"/>
              <w:spacing w:after="100"/>
              <w:rPr>
                <w:szCs w:val="24"/>
              </w:rPr>
            </w:pPr>
          </w:p>
        </w:tc>
      </w:tr>
    </w:tbl>
    <w:p w:rsidR="00F555D6" w:rsidRPr="005C3B55" w:rsidRDefault="00F555D6" w:rsidP="00F555D6">
      <w:pPr>
        <w:pStyle w:val="Naslov4"/>
        <w:tabs>
          <w:tab w:val="clear" w:pos="765"/>
        </w:tabs>
        <w:spacing w:after="100"/>
        <w:ind w:left="0" w:firstLine="0"/>
        <w:jc w:val="left"/>
        <w:rPr>
          <w:szCs w:val="24"/>
          <w:lang w:val="en-GB"/>
        </w:rPr>
      </w:pPr>
      <w:r w:rsidRPr="005C3B55">
        <w:rPr>
          <w:szCs w:val="24"/>
          <w:lang w:val="en-GB"/>
        </w:rPr>
        <w:t>Other important remarks relevant to understanding and implementing the measure</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Not relevant.</w:t>
            </w:r>
          </w:p>
          <w:p w:rsidR="00F555D6" w:rsidRPr="005C3B55" w:rsidRDefault="00F555D6" w:rsidP="00F555D6">
            <w:pPr>
              <w:pStyle w:val="Telobesedila"/>
              <w:rPr>
                <w:szCs w:val="24"/>
              </w:rPr>
            </w:pPr>
          </w:p>
        </w:tc>
      </w:tr>
    </w:tbl>
    <w:p w:rsidR="00F555D6" w:rsidRPr="005C3B55" w:rsidRDefault="00F555D6" w:rsidP="00F555D6">
      <w:pPr>
        <w:pStyle w:val="Naslov3"/>
        <w:tabs>
          <w:tab w:val="clear" w:pos="765"/>
        </w:tabs>
        <w:ind w:left="0" w:firstLine="0"/>
        <w:jc w:val="left"/>
        <w:rPr>
          <w:szCs w:val="24"/>
          <w:lang w:val="en-GB"/>
        </w:rPr>
      </w:pPr>
      <w:r w:rsidRPr="005C3B55">
        <w:rPr>
          <w:szCs w:val="24"/>
          <w:lang w:val="en-GB"/>
        </w:rPr>
        <w:br w:type="page"/>
      </w:r>
      <w:bookmarkStart w:id="121" w:name="_Toc416192579"/>
      <w:r w:rsidRPr="005C3B55">
        <w:rPr>
          <w:szCs w:val="24"/>
          <w:lang w:val="en-GB"/>
        </w:rPr>
        <w:t>M08 – Investments in forest area development and improvement of the viability of forests (Articles 21-26)</w:t>
      </w:r>
      <w:bookmarkEnd w:id="121"/>
    </w:p>
    <w:p w:rsidR="00F555D6" w:rsidRPr="005C3B55" w:rsidRDefault="00F555D6" w:rsidP="00F555D6">
      <w:pPr>
        <w:pStyle w:val="Naslov4"/>
        <w:tabs>
          <w:tab w:val="clear" w:pos="765"/>
        </w:tabs>
        <w:ind w:left="0" w:firstLine="0"/>
        <w:jc w:val="left"/>
        <w:rPr>
          <w:szCs w:val="24"/>
          <w:lang w:val="en-GB"/>
        </w:rPr>
      </w:pPr>
      <w:r w:rsidRPr="005C3B55">
        <w:rPr>
          <w:szCs w:val="24"/>
          <w:lang w:val="en-GB"/>
        </w:rPr>
        <w:t>Legal basis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Measure M08 is implemented pursuant to Articles 21, 24 and 26 of Regulation (EU) No 1305/2013.</w:t>
            </w:r>
          </w:p>
          <w:p w:rsidR="00F555D6" w:rsidRPr="005C3B55" w:rsidRDefault="00F555D6" w:rsidP="00F555D6">
            <w:pPr>
              <w:pStyle w:val="Telobesedila"/>
              <w:rPr>
                <w:szCs w:val="24"/>
              </w:rPr>
            </w:pPr>
          </w:p>
        </w:tc>
      </w:tr>
    </w:tbl>
    <w:p w:rsidR="00F555D6" w:rsidRPr="005C3B55" w:rsidRDefault="00F555D6" w:rsidP="00F555D6">
      <w:pPr>
        <w:pStyle w:val="Naslov4"/>
        <w:tabs>
          <w:tab w:val="clear" w:pos="765"/>
        </w:tabs>
        <w:ind w:left="0" w:firstLine="0"/>
        <w:jc w:val="left"/>
        <w:rPr>
          <w:szCs w:val="24"/>
          <w:lang w:val="en-GB"/>
        </w:rPr>
      </w:pPr>
      <w:r w:rsidRPr="005C3B55">
        <w:rPr>
          <w:szCs w:val="24"/>
          <w:lang w:val="en-GB"/>
        </w:rPr>
        <w:t>A general description of the measure, including its intervention logic and contribution to focus areas and horizontal goals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The situation analysis shows that Slovenia is very rich in forests, with the highest proportion of forested land of countries in the EU. But nevertheless, the felling potential in Slovenia has not been fully utilised. On average, forest owners have poor technical equipment; they are economically inefficient and lack professional qualifications.  The number of employees in the forest-wood chain decreased significantly over the last 20 years.</w:t>
            </w:r>
          </w:p>
          <w:p w:rsidR="00F555D6" w:rsidRPr="005C3B55" w:rsidRDefault="00F555D6" w:rsidP="00F555D6">
            <w:pPr>
              <w:spacing w:before="240" w:after="240" w:line="280" w:lineRule="auto"/>
              <w:rPr>
                <w:szCs w:val="24"/>
              </w:rPr>
            </w:pPr>
            <w:r w:rsidRPr="005C3B55">
              <w:rPr>
                <w:szCs w:val="24"/>
              </w:rPr>
              <w:t>This measure will stimulate investments in the development of forest areas and the improvement of forest viability, which includes the area of regeneration of forest after the natural disaster (glaze ice) and investments in forest technologies and processing and mobilisation of wood.</w:t>
            </w:r>
          </w:p>
          <w:p w:rsidR="00F555D6" w:rsidRPr="005C3B55" w:rsidRDefault="00F555D6" w:rsidP="00F555D6">
            <w:pPr>
              <w:spacing w:before="240" w:after="240" w:line="280" w:lineRule="auto"/>
              <w:rPr>
                <w:szCs w:val="24"/>
              </w:rPr>
            </w:pPr>
            <w:r w:rsidRPr="005C3B55">
              <w:rPr>
                <w:szCs w:val="24"/>
              </w:rPr>
              <w:t>Forest management in the Republic of Slovenia is directed by forest management plans which ensure the sustainable and multi-purpose management of forests. When managing forests, the Republic of Slovenia complies with the principles of the EU Forest Strategy adopted in 2013.</w:t>
            </w:r>
          </w:p>
          <w:p w:rsidR="00F555D6" w:rsidRPr="005C3B55" w:rsidRDefault="00F555D6" w:rsidP="00F555D6">
            <w:pPr>
              <w:spacing w:before="240" w:after="240" w:line="280" w:lineRule="auto"/>
              <w:rPr>
                <w:szCs w:val="24"/>
              </w:rPr>
            </w:pPr>
            <w:r w:rsidRPr="005C3B55">
              <w:rPr>
                <w:szCs w:val="24"/>
              </w:rPr>
              <w:t>The measure will be implemented within two sub-measures:</w:t>
            </w:r>
          </w:p>
          <w:p w:rsidR="00F555D6" w:rsidRPr="005C3B55" w:rsidRDefault="00F555D6" w:rsidP="00F555D6">
            <w:pPr>
              <w:numPr>
                <w:ilvl w:val="0"/>
                <w:numId w:val="242"/>
              </w:numPr>
              <w:spacing w:before="240" w:after="0"/>
              <w:ind w:hanging="290"/>
              <w:jc w:val="left"/>
              <w:rPr>
                <w:szCs w:val="24"/>
              </w:rPr>
            </w:pPr>
            <w:r w:rsidRPr="005C3B55">
              <w:rPr>
                <w:szCs w:val="24"/>
              </w:rPr>
              <w:t>Support for eliminating damage to forests due to forest fires and natural disasters as well as catastrophic events (sub-measure M08.4) and</w:t>
            </w:r>
          </w:p>
          <w:p w:rsidR="00F555D6" w:rsidRPr="005C3B55" w:rsidRDefault="00F555D6" w:rsidP="00F555D6">
            <w:pPr>
              <w:numPr>
                <w:ilvl w:val="0"/>
                <w:numId w:val="242"/>
              </w:numPr>
              <w:spacing w:before="0" w:after="240"/>
              <w:ind w:hanging="290"/>
              <w:jc w:val="left"/>
              <w:rPr>
                <w:szCs w:val="24"/>
              </w:rPr>
            </w:pPr>
            <w:r w:rsidRPr="005C3B55">
              <w:rPr>
                <w:szCs w:val="24"/>
              </w:rPr>
              <w:t>Support for i</w:t>
            </w:r>
            <w:r w:rsidRPr="005C3B55">
              <w:rPr>
                <w:color w:val="000000"/>
                <w:szCs w:val="24"/>
              </w:rPr>
              <w:t>nvestments in forestry technologies and in processing, mobilisation and marketing of forest products (</w:t>
            </w:r>
            <w:r w:rsidRPr="005C3B55">
              <w:rPr>
                <w:szCs w:val="24"/>
              </w:rPr>
              <w:t>sub-measure M08.6).</w:t>
            </w:r>
          </w:p>
          <w:p w:rsidR="00F555D6" w:rsidRPr="005C3B55" w:rsidRDefault="00F555D6" w:rsidP="00F555D6">
            <w:pPr>
              <w:spacing w:before="240" w:after="240" w:line="280" w:lineRule="auto"/>
              <w:rPr>
                <w:szCs w:val="24"/>
              </w:rPr>
            </w:pPr>
            <w:r w:rsidRPr="005C3B55">
              <w:rPr>
                <w:szCs w:val="24"/>
              </w:rPr>
              <w:t>Two operations will be implemented under sub-measure M08.4, i.e.:</w:t>
            </w:r>
          </w:p>
          <w:p w:rsidR="00F555D6" w:rsidRPr="005C3B55" w:rsidRDefault="00F555D6" w:rsidP="00F555D6">
            <w:pPr>
              <w:numPr>
                <w:ilvl w:val="0"/>
                <w:numId w:val="243"/>
              </w:numPr>
              <w:spacing w:before="240" w:after="0"/>
              <w:ind w:hanging="290"/>
              <w:jc w:val="left"/>
              <w:rPr>
                <w:szCs w:val="24"/>
              </w:rPr>
            </w:pPr>
            <w:r w:rsidRPr="005C3B55">
              <w:rPr>
                <w:szCs w:val="24"/>
              </w:rPr>
              <w:t>elimination of damage and restoration of forests after a natural disaster, and</w:t>
            </w:r>
          </w:p>
          <w:p w:rsidR="00F555D6" w:rsidRPr="005C3B55" w:rsidRDefault="00F555D6" w:rsidP="00F555D6">
            <w:pPr>
              <w:numPr>
                <w:ilvl w:val="0"/>
                <w:numId w:val="243"/>
              </w:numPr>
              <w:spacing w:before="0" w:after="240"/>
              <w:ind w:hanging="290"/>
              <w:jc w:val="left"/>
              <w:rPr>
                <w:szCs w:val="24"/>
              </w:rPr>
            </w:pPr>
            <w:r w:rsidRPr="005C3B55">
              <w:rPr>
                <w:szCs w:val="24"/>
              </w:rPr>
              <w:t>arrangement of skid trails required for forest restoration.</w:t>
            </w:r>
          </w:p>
          <w:p w:rsidR="00F555D6" w:rsidRPr="005C3B55" w:rsidRDefault="00F555D6" w:rsidP="00F555D6">
            <w:pPr>
              <w:spacing w:before="240" w:after="240" w:line="280" w:lineRule="auto"/>
              <w:rPr>
                <w:szCs w:val="24"/>
              </w:rPr>
            </w:pPr>
            <w:r w:rsidRPr="005C3B55">
              <w:rPr>
                <w:szCs w:val="24"/>
              </w:rPr>
              <w:t>Sub-measure M08.4 is intended to enhance ecological functions of the forest while regenerating forests damaged in the natural disaster. As part of their ecological function, forests protect habitats and their surroundings from the consequences of all types of erosion processes; they clean water mechanically and biologically which runs or trickles from forest surfaces; balance water regimes by retaining fast running off of rainwater from the surface; provide habitat for plant and animal species; preserve biodiversity; ensure natural balance; reduce the speed and changing of directions of wind; impact temperature, humidity of air and ratios of gases in the atmosphere. The sub-measure is implemented on the basis of the adopted forest restoration plans after a natural disaster prepared by the Slovenia Forest Service pursuant to the Forest Act (Official Gazette of the Republic of Slovenia, no. 30/93 with all amendments).</w:t>
            </w:r>
          </w:p>
          <w:p w:rsidR="00F555D6" w:rsidRPr="005C3B55" w:rsidRDefault="00F555D6" w:rsidP="00F555D6">
            <w:pPr>
              <w:spacing w:before="240" w:after="240" w:line="280" w:lineRule="auto"/>
              <w:rPr>
                <w:szCs w:val="24"/>
              </w:rPr>
            </w:pPr>
            <w:r w:rsidRPr="005C3B55">
              <w:rPr>
                <w:szCs w:val="24"/>
              </w:rPr>
              <w:t>Two operations will be implemented under sub-measure M08.6, i.e.:</w:t>
            </w:r>
          </w:p>
          <w:p w:rsidR="00F555D6" w:rsidRPr="005C3B55" w:rsidRDefault="00F555D6" w:rsidP="00F555D6">
            <w:pPr>
              <w:numPr>
                <w:ilvl w:val="0"/>
                <w:numId w:val="244"/>
              </w:numPr>
              <w:spacing w:before="240" w:after="0"/>
              <w:ind w:hanging="290"/>
              <w:jc w:val="left"/>
              <w:rPr>
                <w:szCs w:val="24"/>
              </w:rPr>
            </w:pPr>
            <w:r w:rsidRPr="005C3B55">
              <w:rPr>
                <w:szCs w:val="24"/>
              </w:rPr>
              <w:t>investments in the purchase of new machinery and equipment for timber harvesting, and</w:t>
            </w:r>
          </w:p>
          <w:p w:rsidR="00F555D6" w:rsidRPr="005C3B55" w:rsidRDefault="00F555D6" w:rsidP="00F555D6">
            <w:pPr>
              <w:numPr>
                <w:ilvl w:val="0"/>
                <w:numId w:val="244"/>
              </w:numPr>
              <w:spacing w:before="0" w:after="240"/>
              <w:ind w:hanging="290"/>
              <w:jc w:val="left"/>
              <w:rPr>
                <w:szCs w:val="24"/>
              </w:rPr>
            </w:pPr>
            <w:r w:rsidRPr="005C3B55">
              <w:rPr>
                <w:szCs w:val="24"/>
              </w:rPr>
              <w:t>investments in pre-industrial wood processing.</w:t>
            </w:r>
          </w:p>
          <w:p w:rsidR="00F555D6" w:rsidRPr="005C3B55" w:rsidRDefault="00F555D6" w:rsidP="00F555D6">
            <w:pPr>
              <w:spacing w:before="240" w:after="240" w:line="280" w:lineRule="auto"/>
              <w:rPr>
                <w:szCs w:val="24"/>
              </w:rPr>
            </w:pPr>
            <w:r w:rsidRPr="005C3B55">
              <w:rPr>
                <w:szCs w:val="24"/>
              </w:rPr>
              <w:t>Sub-measure M08.6 is intended for sustainable development of forestry as an economic branch by promoting investments in forest technologies, mobilisation and pre-industrial wood processing. These investments are of key importance for sustainable forest management, enhancement of forest-wood chains, increasing the added value of wood, improved professionalism, safety of working in forests and potential creation of new jobs. The operation Investments in pre-industrial wood processing is also implemented through financial instruments and refundable forms of financing in order to provide potential beneficiaries who pursue pre-industrial wood processing with easier access to funds and thus encourage quicker economic development in rural areas.</w:t>
            </w:r>
          </w:p>
          <w:p w:rsidR="00F555D6" w:rsidRPr="005C3B55" w:rsidRDefault="00F555D6" w:rsidP="00F555D6">
            <w:pPr>
              <w:spacing w:before="240" w:after="240" w:line="280" w:lineRule="auto"/>
              <w:rPr>
                <w:szCs w:val="24"/>
              </w:rPr>
            </w:pPr>
            <w:r w:rsidRPr="005C3B55">
              <w:rPr>
                <w:szCs w:val="24"/>
              </w:rPr>
              <w:t>The definition of forests applicable for the implementation of this measure is taken from Article 2 of the Forest Act (Official Gazette of the Republic of Slovenia, no 30/93 with all amendments).</w:t>
            </w:r>
          </w:p>
          <w:p w:rsidR="00F555D6" w:rsidRPr="005C3B55" w:rsidRDefault="00F555D6" w:rsidP="00F555D6">
            <w:pPr>
              <w:spacing w:before="240" w:after="240" w:line="280" w:lineRule="auto"/>
              <w:rPr>
                <w:szCs w:val="24"/>
              </w:rPr>
            </w:pPr>
            <w:r w:rsidRPr="005C3B55">
              <w:rPr>
                <w:szCs w:val="24"/>
              </w:rPr>
              <w:t>A forest is:</w:t>
            </w:r>
          </w:p>
          <w:p w:rsidR="00F555D6" w:rsidRPr="005C3B55" w:rsidRDefault="00F555D6" w:rsidP="00F555D6">
            <w:pPr>
              <w:numPr>
                <w:ilvl w:val="0"/>
                <w:numId w:val="245"/>
              </w:numPr>
              <w:spacing w:before="240" w:after="0"/>
              <w:ind w:hanging="290"/>
              <w:jc w:val="left"/>
              <w:rPr>
                <w:szCs w:val="24"/>
              </w:rPr>
            </w:pPr>
            <w:r w:rsidRPr="005C3B55">
              <w:rPr>
                <w:szCs w:val="24"/>
              </w:rPr>
              <w:t>land covered with forest trees in the form of a stand which may reach a height of at least five metres and has a surface of at least 0.25 hectares;</w:t>
            </w:r>
          </w:p>
          <w:p w:rsidR="00F555D6" w:rsidRPr="005C3B55" w:rsidRDefault="00F555D6" w:rsidP="00F555D6">
            <w:pPr>
              <w:numPr>
                <w:ilvl w:val="0"/>
                <w:numId w:val="245"/>
              </w:numPr>
              <w:spacing w:before="0" w:after="0"/>
              <w:ind w:hanging="290"/>
              <w:jc w:val="left"/>
              <w:rPr>
                <w:szCs w:val="24"/>
              </w:rPr>
            </w:pPr>
            <w:r w:rsidRPr="005C3B55">
              <w:rPr>
                <w:szCs w:val="24"/>
              </w:rPr>
              <w:t>overgrown land with a surface of 0.25 hectares which has not been used for agricultural purposes for the past 20 years and where forest trees may reach a height of at least five metres and where coverage of forest trees has reached 75 per cent;</w:t>
            </w:r>
          </w:p>
          <w:p w:rsidR="00F555D6" w:rsidRPr="005C3B55" w:rsidRDefault="00F555D6" w:rsidP="00F555D6">
            <w:pPr>
              <w:numPr>
                <w:ilvl w:val="0"/>
                <w:numId w:val="245"/>
              </w:numPr>
              <w:spacing w:before="0" w:after="240"/>
              <w:ind w:hanging="290"/>
              <w:jc w:val="left"/>
              <w:rPr>
                <w:szCs w:val="24"/>
              </w:rPr>
            </w:pPr>
            <w:r w:rsidRPr="005C3B55">
              <w:rPr>
                <w:szCs w:val="24"/>
              </w:rPr>
              <w:t>riparian strips and windbreaks wider than one width of an adult tree on a surface of at least 0.25 hectares.</w:t>
            </w:r>
          </w:p>
          <w:p w:rsidR="00F555D6" w:rsidRPr="005C3B55" w:rsidRDefault="00F555D6" w:rsidP="00F555D6">
            <w:pPr>
              <w:spacing w:before="240" w:after="240" w:line="280" w:lineRule="auto"/>
              <w:rPr>
                <w:szCs w:val="24"/>
              </w:rPr>
            </w:pPr>
            <w:r w:rsidRPr="005C3B55">
              <w:rPr>
                <w:szCs w:val="24"/>
              </w:rPr>
              <w:t>Other forest land is land covered with forest trees or other forest vegetation on a surface of at least 0.25 hectares which is not forest and has not been used for agricultural purposes for the last 20 years. Other forest land includes enclosures in forests for breeding wild game and land under power lines in a forest on a surface of at least 0.25 hectares.</w:t>
            </w:r>
          </w:p>
          <w:p w:rsidR="00F555D6" w:rsidRPr="005C3B55" w:rsidRDefault="00F555D6" w:rsidP="00F555D6">
            <w:pPr>
              <w:spacing w:before="240" w:after="240" w:line="280" w:lineRule="auto"/>
              <w:rPr>
                <w:szCs w:val="24"/>
              </w:rPr>
            </w:pPr>
            <w:r w:rsidRPr="005C3B55">
              <w:rPr>
                <w:szCs w:val="24"/>
              </w:rPr>
              <w:t>Forest infrastructure that is not apportioned to an individual plot is part of the forest.</w:t>
            </w:r>
          </w:p>
          <w:p w:rsidR="00F555D6" w:rsidRPr="005C3B55" w:rsidRDefault="00F555D6" w:rsidP="00F555D6">
            <w:pPr>
              <w:spacing w:before="240" w:after="240" w:line="280" w:lineRule="auto"/>
              <w:rPr>
                <w:szCs w:val="24"/>
              </w:rPr>
            </w:pPr>
            <w:r w:rsidRPr="005C3B55">
              <w:rPr>
                <w:szCs w:val="24"/>
              </w:rPr>
              <w:t>According to this Act, forest and other forest land are not individual forest trees, groups of forest trees on a surface of up to 0.25 hectares, tree-lined lanes, parks and plantations of forest trees.</w:t>
            </w:r>
          </w:p>
          <w:p w:rsidR="00F555D6" w:rsidRPr="005C3B55" w:rsidRDefault="00F555D6" w:rsidP="00F555D6">
            <w:pPr>
              <w:spacing w:before="240" w:after="240" w:line="280" w:lineRule="auto"/>
              <w:rPr>
                <w:szCs w:val="24"/>
              </w:rPr>
            </w:pPr>
            <w:r w:rsidRPr="005C3B55">
              <w:rPr>
                <w:szCs w:val="24"/>
              </w:rPr>
              <w:t>The provisions of this Act are also applicable to individual forest trees and groups of forest trees that grow outside forests when specifically stipulated by this Act.</w:t>
            </w:r>
          </w:p>
          <w:p w:rsidR="00F555D6" w:rsidRPr="005C3B55" w:rsidRDefault="00F555D6" w:rsidP="00F555D6">
            <w:pPr>
              <w:spacing w:before="240" w:after="240" w:line="280" w:lineRule="auto"/>
              <w:rPr>
                <w:szCs w:val="24"/>
              </w:rPr>
            </w:pPr>
            <w:r w:rsidRPr="005C3B55">
              <w:rPr>
                <w:szCs w:val="24"/>
              </w:rPr>
              <w:t>The support for the ‘Investments in forest area development and improvement of the viability of forests’ measure focuses on the third thematic area of action under the RDP 2014–2020 determined in Chapter 5.1 of the RDP 2014–2020.</w:t>
            </w:r>
          </w:p>
          <w:p w:rsidR="00F555D6" w:rsidRPr="005C3B55" w:rsidRDefault="00F555D6" w:rsidP="00F555D6">
            <w:pPr>
              <w:spacing w:before="240" w:after="240" w:line="280" w:lineRule="auto"/>
              <w:rPr>
                <w:szCs w:val="24"/>
              </w:rPr>
            </w:pPr>
            <w:r w:rsidRPr="005C3B55">
              <w:rPr>
                <w:b/>
                <w:szCs w:val="24"/>
              </w:rPr>
              <w:t>Contribution to focus areas</w:t>
            </w:r>
          </w:p>
          <w:p w:rsidR="00F555D6" w:rsidRPr="005C3B55" w:rsidRDefault="00F555D6" w:rsidP="00F555D6">
            <w:pPr>
              <w:spacing w:before="240" w:after="240" w:line="280" w:lineRule="auto"/>
              <w:rPr>
                <w:szCs w:val="24"/>
              </w:rPr>
            </w:pPr>
            <w:r w:rsidRPr="005C3B55">
              <w:rPr>
                <w:b/>
                <w:i/>
                <w:szCs w:val="24"/>
              </w:rPr>
              <w:t>Focus area 4: Restoration, preservation and enhancement of ecosystems related to agriculture and forestry</w:t>
            </w:r>
          </w:p>
          <w:p w:rsidR="00F555D6" w:rsidRPr="005C3B55" w:rsidRDefault="00F555D6" w:rsidP="00F555D6">
            <w:pPr>
              <w:spacing w:before="240" w:after="240" w:line="280" w:lineRule="auto"/>
              <w:rPr>
                <w:szCs w:val="24"/>
              </w:rPr>
            </w:pPr>
            <w:r w:rsidRPr="005C3B55">
              <w:rPr>
                <w:szCs w:val="24"/>
              </w:rPr>
              <w:t>The measure will contribute to the restoration of forests damaged in the natural disaster (ice damage). Damaged trees will be removed and surfaces prepared for natural restoration. On surfaces where natural restoration is not successful, the planting of trees species suitable for the habitat will be implemented. Skid trails required for the restoration of damaged forest will also be constructed, reconstructed or prepared.</w:t>
            </w:r>
          </w:p>
          <w:p w:rsidR="00F555D6" w:rsidRPr="005C3B55" w:rsidRDefault="00F555D6" w:rsidP="00F555D6">
            <w:pPr>
              <w:spacing w:before="240" w:after="240" w:line="280" w:lineRule="auto"/>
              <w:rPr>
                <w:szCs w:val="24"/>
              </w:rPr>
            </w:pPr>
            <w:r w:rsidRPr="005C3B55">
              <w:rPr>
                <w:b/>
                <w:i/>
                <w:szCs w:val="24"/>
              </w:rPr>
              <w:t>Focus area 6A: Facilitating diversification, creation and development of small enterprises and job creation</w:t>
            </w:r>
          </w:p>
          <w:p w:rsidR="00F555D6" w:rsidRPr="005C3B55" w:rsidRDefault="00F555D6" w:rsidP="00F555D6">
            <w:pPr>
              <w:spacing w:before="240" w:after="240" w:line="280" w:lineRule="auto"/>
              <w:rPr>
                <w:szCs w:val="24"/>
              </w:rPr>
            </w:pPr>
            <w:r w:rsidRPr="005C3B55">
              <w:rPr>
                <w:szCs w:val="24"/>
              </w:rPr>
              <w:t>The measure will stimulate the creation of additional sources of income on farms, the establishment and development of micro and small enterprises in rural areas, and the maintenance and creation of new jobs in the field of acquisition and pre-industrial wood processing.</w:t>
            </w:r>
          </w:p>
          <w:p w:rsidR="00F555D6" w:rsidRPr="005C3B55" w:rsidRDefault="00F555D6" w:rsidP="00F555D6">
            <w:pPr>
              <w:spacing w:before="240" w:after="240" w:line="280" w:lineRule="auto"/>
              <w:rPr>
                <w:szCs w:val="24"/>
              </w:rPr>
            </w:pPr>
            <w:r w:rsidRPr="005C3B55">
              <w:rPr>
                <w:b/>
                <w:szCs w:val="24"/>
              </w:rPr>
              <w:t>Contribution to horizontal objectives</w:t>
            </w:r>
          </w:p>
          <w:p w:rsidR="00F555D6" w:rsidRPr="005C3B55" w:rsidRDefault="00F555D6" w:rsidP="00F555D6">
            <w:pPr>
              <w:spacing w:before="240" w:after="240" w:line="280" w:lineRule="auto"/>
              <w:rPr>
                <w:szCs w:val="24"/>
              </w:rPr>
            </w:pPr>
            <w:r w:rsidRPr="005C3B55">
              <w:rPr>
                <w:b/>
                <w:i/>
                <w:szCs w:val="24"/>
              </w:rPr>
              <w:t xml:space="preserve">Mitigating, and adapting to, climate change: </w:t>
            </w:r>
            <w:r w:rsidRPr="005C3B55">
              <w:rPr>
                <w:szCs w:val="24"/>
              </w:rPr>
              <w:t>The purpose of this measure is to use support to increase added value of forest products, stimulate the development of forest-wood chains and thus of local markets, which will contribute to shorter distances and thus to the reduction of carbon footprint. A forest restored after a natural disaster is a carbon sink which significantly contributes to the mitigation of climate change.</w:t>
            </w:r>
          </w:p>
          <w:p w:rsidR="00F555D6" w:rsidRPr="005C3B55" w:rsidRDefault="00F555D6" w:rsidP="00F555D6">
            <w:pPr>
              <w:spacing w:before="240" w:after="240" w:line="280" w:lineRule="auto"/>
              <w:rPr>
                <w:szCs w:val="24"/>
              </w:rPr>
            </w:pPr>
            <w:r w:rsidRPr="005C3B55">
              <w:rPr>
                <w:b/>
                <w:i/>
                <w:szCs w:val="24"/>
              </w:rPr>
              <w:t xml:space="preserve">Environment: </w:t>
            </w:r>
            <w:r w:rsidRPr="005C3B55">
              <w:rPr>
                <w:szCs w:val="24"/>
              </w:rPr>
              <w:t>Sub-measure M08.4 has a long-term positive effect, as the storm-ravaged forest is restored to a natural state that will facilitate long-term stability. The restoration of a damaged forest takes into account the significance of dead wood as an important factor in the preservation of numerous species. According to the Rules on forest protection (Official Gazette of the Republic of Slovenia, no. 114/09 with all amendments), at least three per cent of dead wood in relation to the wood stock of the undamaged forest is also left in forests intended for regeneration. The restoration of forests damaged or destroyed in natural disasters is directed with measures of preparing forest stands and soil for forest regeneration. Deadwood must be distributed as equally as possible and include all lumber thickness classes, particularly the thickest. After restoration felling in forests damaged by glaze ice, the prescribed threshold of deadwood is expected to be generally exceeded, which will contribute to the enhancement of biodiversity. With the restoration of forests, the ecological function of forests is being re-established and enhanced.</w:t>
            </w:r>
          </w:p>
          <w:p w:rsidR="00F555D6" w:rsidRPr="005C3B55" w:rsidRDefault="00F555D6" w:rsidP="00F555D6">
            <w:pPr>
              <w:pStyle w:val="Telobesedila"/>
              <w:rPr>
                <w:szCs w:val="24"/>
              </w:rPr>
            </w:pPr>
          </w:p>
        </w:tc>
      </w:tr>
    </w:tbl>
    <w:p w:rsidR="00F555D6" w:rsidRPr="005C3B55" w:rsidRDefault="00F555D6" w:rsidP="00F555D6">
      <w:pPr>
        <w:pStyle w:val="Naslov4"/>
        <w:tabs>
          <w:tab w:val="clear" w:pos="765"/>
        </w:tabs>
        <w:ind w:left="0" w:firstLine="0"/>
        <w:jc w:val="left"/>
        <w:rPr>
          <w:szCs w:val="24"/>
          <w:lang w:val="en-GB"/>
        </w:rPr>
      </w:pPr>
      <w:r w:rsidRPr="005C3B55">
        <w:rPr>
          <w:szCs w:val="24"/>
          <w:lang w:val="en-GB"/>
        </w:rPr>
        <w:t>Scope and rate of support and beneficiaries, and, where relevant, the methodology for calculating the amount or level of support, if necessary broken down by sub-measures and/or the type of operation. Determine eligible costs, conditions for eligibility, valid amounts and rates of support and principles regarding the definition of the selection criteria for each type of operation</w:t>
      </w:r>
    </w:p>
    <w:p w:rsidR="00F555D6" w:rsidRPr="005C3B55" w:rsidRDefault="00F555D6" w:rsidP="00F555D6">
      <w:pPr>
        <w:pStyle w:val="Naslov5"/>
        <w:tabs>
          <w:tab w:val="clear" w:pos="765"/>
        </w:tabs>
        <w:ind w:left="0" w:firstLine="0"/>
        <w:rPr>
          <w:b w:val="0"/>
          <w:szCs w:val="24"/>
          <w:lang w:val="en-GB"/>
        </w:rPr>
      </w:pPr>
      <w:r w:rsidRPr="005C3B55">
        <w:rPr>
          <w:b w:val="0"/>
          <w:noProof w:val="0"/>
          <w:szCs w:val="24"/>
          <w:lang w:val="en-GB"/>
        </w:rPr>
        <w:t>Investments in the purchase of new machinery and equipment for felling and transport of wood</w:t>
      </w:r>
      <w:r w:rsidRPr="005C3B55">
        <w:rPr>
          <w:b w:val="0"/>
          <w:szCs w:val="24"/>
          <w:lang w:val="en-GB"/>
        </w:rPr>
        <w:t xml:space="preserve"> </w:t>
      </w:r>
    </w:p>
    <w:p w:rsidR="00F555D6" w:rsidRPr="005C3B55" w:rsidRDefault="00F555D6" w:rsidP="00F555D6">
      <w:pPr>
        <w:spacing w:line="280" w:lineRule="auto"/>
        <w:rPr>
          <w:szCs w:val="24"/>
        </w:rPr>
      </w:pPr>
      <w:r w:rsidRPr="005C3B55">
        <w:rPr>
          <w:szCs w:val="24"/>
        </w:rPr>
        <w:t xml:space="preserve">Sub-measure: </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246"/>
              </w:numPr>
              <w:rPr>
                <w:szCs w:val="24"/>
              </w:rPr>
            </w:pPr>
            <w:r w:rsidRPr="005C3B55">
              <w:rPr>
                <w:szCs w:val="24"/>
              </w:rPr>
              <w:t>8.6 – Support for i</w:t>
            </w:r>
            <w:r w:rsidRPr="005C3B55">
              <w:rPr>
                <w:color w:val="000000"/>
                <w:szCs w:val="24"/>
              </w:rPr>
              <w:t>nvestments in forestry technologies and in processing, mobilisation and marketing of forest products</w:t>
            </w: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Description of type of operation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The subject of support are investments in the purchase of new machinery and equipment for harvesting timber.</w:t>
            </w:r>
          </w:p>
          <w:p w:rsidR="00F555D6" w:rsidRPr="005C3B55" w:rsidRDefault="00F555D6" w:rsidP="00F555D6">
            <w:pPr>
              <w:spacing w:before="240" w:after="240" w:line="280" w:lineRule="auto"/>
              <w:rPr>
                <w:szCs w:val="24"/>
              </w:rPr>
            </w:pPr>
            <w:r w:rsidRPr="005C3B55">
              <w:rPr>
                <w:szCs w:val="24"/>
              </w:rPr>
              <w:t>The purpose of these investments is particularly more intensive forest management, particularly the increase of felling in private forests, professionalisation of work in forests and reduction in the number of accidents when working in forests, and the implementation of efficient and environmentally acceptable technology for felling and skidding.</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Type of support</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Support is granted in the form of non-refundable financial aid.</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Connection with other legislation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247"/>
              </w:numPr>
              <w:spacing w:before="0" w:after="0"/>
              <w:ind w:hanging="290"/>
              <w:jc w:val="left"/>
              <w:rPr>
                <w:szCs w:val="24"/>
              </w:rPr>
            </w:pPr>
            <w:r w:rsidRPr="005C3B55">
              <w:rPr>
                <w:szCs w:val="24"/>
              </w:rPr>
              <w:t>Agriculture Act (Official Gazette of the Republic of Slovenia, no. 45/2008 with all amendments);</w:t>
            </w:r>
          </w:p>
          <w:p w:rsidR="00F555D6" w:rsidRPr="005C3B55" w:rsidRDefault="00F555D6" w:rsidP="00F555D6">
            <w:pPr>
              <w:numPr>
                <w:ilvl w:val="0"/>
                <w:numId w:val="247"/>
              </w:numPr>
              <w:spacing w:before="0" w:after="0"/>
              <w:ind w:hanging="290"/>
              <w:jc w:val="left"/>
              <w:rPr>
                <w:szCs w:val="24"/>
              </w:rPr>
            </w:pPr>
            <w:r w:rsidRPr="005C3B55">
              <w:rPr>
                <w:szCs w:val="24"/>
              </w:rPr>
              <w:t>Forest Act (Official Gazette of the Republic of Slovenia, no. 30/93 with all amendments);</w:t>
            </w:r>
          </w:p>
          <w:p w:rsidR="00F555D6" w:rsidRPr="005C3B55" w:rsidRDefault="00F555D6" w:rsidP="00F555D6">
            <w:pPr>
              <w:numPr>
                <w:ilvl w:val="0"/>
                <w:numId w:val="247"/>
              </w:numPr>
              <w:spacing w:before="0" w:after="0"/>
              <w:ind w:hanging="290"/>
              <w:jc w:val="left"/>
              <w:rPr>
                <w:szCs w:val="24"/>
              </w:rPr>
            </w:pPr>
            <w:r w:rsidRPr="005C3B55">
              <w:rPr>
                <w:szCs w:val="24"/>
              </w:rPr>
              <w:t>65. Articles 65 and 69 of Regulation (EU) No 1303/2013;</w:t>
            </w:r>
          </w:p>
          <w:p w:rsidR="00F555D6" w:rsidRPr="005C3B55" w:rsidRDefault="00F555D6" w:rsidP="00F555D6">
            <w:pPr>
              <w:numPr>
                <w:ilvl w:val="0"/>
                <w:numId w:val="247"/>
              </w:numPr>
              <w:spacing w:before="0" w:after="0"/>
              <w:ind w:hanging="290"/>
              <w:jc w:val="left"/>
              <w:rPr>
                <w:szCs w:val="24"/>
              </w:rPr>
            </w:pPr>
            <w:r w:rsidRPr="005C3B55">
              <w:rPr>
                <w:szCs w:val="24"/>
              </w:rPr>
              <w:t>national regulation which regulates the implementation of this operation; and</w:t>
            </w:r>
          </w:p>
          <w:p w:rsidR="00F555D6" w:rsidRPr="005C3B55" w:rsidRDefault="00F555D6" w:rsidP="00F555D6">
            <w:pPr>
              <w:numPr>
                <w:ilvl w:val="0"/>
                <w:numId w:val="247"/>
              </w:numPr>
              <w:spacing w:before="0" w:after="240"/>
              <w:ind w:hanging="290"/>
              <w:jc w:val="left"/>
              <w:rPr>
                <w:szCs w:val="24"/>
              </w:rPr>
            </w:pPr>
            <w:r w:rsidRPr="005C3B55">
              <w:rPr>
                <w:szCs w:val="24"/>
              </w:rPr>
              <w:t>other EU and national legislation which regulates the implementation of this operation.</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Beneficiaries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The beneficiaries are legal entities and natural persons, their associations, agricultural and pasture communities, which are private owners, co-owners and lessees of forests, and companies meeting the conditions for micro, small and medium-sized companies.</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Eligible costs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The costs of purchasing and supplying new machinery and equipment for timber harvesting are eligible for support.</w:t>
            </w:r>
          </w:p>
          <w:p w:rsidR="00F555D6" w:rsidRPr="005C3B55" w:rsidRDefault="00F555D6" w:rsidP="00F555D6">
            <w:pPr>
              <w:spacing w:before="240" w:after="240" w:line="280" w:lineRule="auto"/>
              <w:rPr>
                <w:szCs w:val="24"/>
              </w:rPr>
            </w:pPr>
            <w:r w:rsidRPr="005C3B55">
              <w:rPr>
                <w:szCs w:val="24"/>
              </w:rPr>
              <w:t>Cost eligibility is defined in more detail in the provisions of Article 45 of Regulation (EU) No 1305/2013 and Article 69 of Regulation (EU) No 1303/2013.</w:t>
            </w:r>
          </w:p>
          <w:p w:rsidR="00F555D6" w:rsidRPr="005C3B55" w:rsidRDefault="00F555D6" w:rsidP="00F555D6">
            <w:pPr>
              <w:spacing w:before="240" w:after="240" w:line="280" w:lineRule="auto"/>
              <w:rPr>
                <w:szCs w:val="24"/>
              </w:rPr>
            </w:pPr>
            <w:r w:rsidRPr="005C3B55">
              <w:rPr>
                <w:szCs w:val="24"/>
              </w:rPr>
              <w:t>The determination of the amount of eligible costs will take into account the upper limits of individual eligible costs, which will be determined in the Catalogue of the highest values of costs. Regardless of this, the beneficiary will have to enclose one bid with the application. In the case of values not determined in the Catalogue of the highest values of costs, the beneficiary must enclose three bids.</w:t>
            </w:r>
          </w:p>
          <w:p w:rsidR="00F555D6" w:rsidRPr="005C3B55" w:rsidRDefault="00F555D6" w:rsidP="00F555D6">
            <w:pPr>
              <w:spacing w:before="240" w:after="240" w:line="280" w:lineRule="auto"/>
              <w:rPr>
                <w:szCs w:val="24"/>
              </w:rPr>
            </w:pPr>
            <w:r w:rsidRPr="005C3B55">
              <w:rPr>
                <w:szCs w:val="24"/>
              </w:rPr>
              <w:t>The following costs are not entitled to support:</w:t>
            </w:r>
          </w:p>
          <w:p w:rsidR="00F555D6" w:rsidRPr="005C3B55" w:rsidRDefault="00F555D6" w:rsidP="00F555D6">
            <w:pPr>
              <w:numPr>
                <w:ilvl w:val="0"/>
                <w:numId w:val="248"/>
              </w:numPr>
              <w:spacing w:before="240" w:after="0"/>
              <w:ind w:hanging="290"/>
              <w:jc w:val="left"/>
              <w:rPr>
                <w:szCs w:val="24"/>
              </w:rPr>
            </w:pPr>
            <w:r w:rsidRPr="005C3B55">
              <w:rPr>
                <w:szCs w:val="24"/>
              </w:rPr>
              <w:t>interest on debts,</w:t>
            </w:r>
          </w:p>
          <w:p w:rsidR="00F555D6" w:rsidRPr="005C3B55" w:rsidRDefault="00F555D6" w:rsidP="00F555D6">
            <w:pPr>
              <w:numPr>
                <w:ilvl w:val="0"/>
                <w:numId w:val="248"/>
              </w:numPr>
              <w:spacing w:before="0" w:after="0"/>
              <w:ind w:hanging="290"/>
              <w:jc w:val="left"/>
              <w:rPr>
                <w:szCs w:val="24"/>
              </w:rPr>
            </w:pPr>
            <w:r w:rsidRPr="005C3B55">
              <w:rPr>
                <w:szCs w:val="24"/>
              </w:rPr>
              <w:t>value added tax (VAT), unless it is recoverable on the basis of the national legislation on VAT,</w:t>
            </w:r>
          </w:p>
          <w:p w:rsidR="00F555D6" w:rsidRPr="005C3B55" w:rsidRDefault="00F555D6" w:rsidP="00F555D6">
            <w:pPr>
              <w:numPr>
                <w:ilvl w:val="0"/>
                <w:numId w:val="248"/>
              </w:numPr>
              <w:spacing w:before="0" w:after="0"/>
              <w:ind w:hanging="290"/>
              <w:jc w:val="left"/>
              <w:rPr>
                <w:szCs w:val="24"/>
              </w:rPr>
            </w:pPr>
            <w:r w:rsidRPr="005C3B55">
              <w:rPr>
                <w:szCs w:val="24"/>
              </w:rPr>
              <w:t>cost of preparing the application for the public procurement and request for payment,</w:t>
            </w:r>
          </w:p>
          <w:p w:rsidR="00F555D6" w:rsidRPr="005C3B55" w:rsidRDefault="00F555D6" w:rsidP="00F555D6">
            <w:pPr>
              <w:numPr>
                <w:ilvl w:val="0"/>
                <w:numId w:val="248"/>
              </w:numPr>
              <w:spacing w:before="0" w:after="0"/>
              <w:ind w:hanging="290"/>
              <w:jc w:val="left"/>
              <w:rPr>
                <w:szCs w:val="24"/>
              </w:rPr>
            </w:pPr>
            <w:r w:rsidRPr="005C3B55">
              <w:rPr>
                <w:szCs w:val="24"/>
              </w:rPr>
              <w:t>in-kind contribution, and</w:t>
            </w:r>
          </w:p>
          <w:p w:rsidR="00F555D6" w:rsidRPr="005C3B55" w:rsidRDefault="00F555D6" w:rsidP="00F555D6">
            <w:pPr>
              <w:numPr>
                <w:ilvl w:val="0"/>
                <w:numId w:val="248"/>
              </w:numPr>
              <w:spacing w:before="0" w:after="240"/>
              <w:ind w:hanging="290"/>
              <w:jc w:val="left"/>
              <w:rPr>
                <w:szCs w:val="24"/>
              </w:rPr>
            </w:pPr>
            <w:r w:rsidRPr="005C3B55">
              <w:rPr>
                <w:szCs w:val="24"/>
              </w:rPr>
              <w:t>purchase of used machinery and equipment.</w:t>
            </w:r>
          </w:p>
          <w:p w:rsidR="00F555D6" w:rsidRPr="005C3B55" w:rsidRDefault="00F555D6" w:rsidP="00F555D6">
            <w:pPr>
              <w:spacing w:before="240" w:after="240" w:line="280" w:lineRule="auto"/>
              <w:rPr>
                <w:szCs w:val="24"/>
              </w:rPr>
            </w:pPr>
            <w:r w:rsidRPr="005C3B55">
              <w:rPr>
                <w:szCs w:val="24"/>
              </w:rPr>
              <w:t>In the implementation of the operation, certain specific requirements from the aspect of eligibility of costs as per national regulations will be taken into account.</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Conditions for eligibility</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249"/>
              </w:numPr>
              <w:spacing w:before="0" w:after="0"/>
              <w:ind w:hanging="290"/>
              <w:jc w:val="left"/>
              <w:rPr>
                <w:szCs w:val="24"/>
              </w:rPr>
            </w:pPr>
            <w:r w:rsidRPr="005C3B55">
              <w:rPr>
                <w:szCs w:val="24"/>
              </w:rPr>
              <w:t>If the beneficiary is a natural person, except a sole trader, the forest land they own, co-own or lease must not be smaller than 10 hectares upon the submission of the application to a public tender.</w:t>
            </w:r>
          </w:p>
          <w:p w:rsidR="00F555D6" w:rsidRPr="005C3B55" w:rsidRDefault="00F555D6" w:rsidP="00F555D6">
            <w:pPr>
              <w:numPr>
                <w:ilvl w:val="0"/>
                <w:numId w:val="249"/>
              </w:numPr>
              <w:spacing w:before="0" w:after="0"/>
              <w:ind w:hanging="290"/>
              <w:jc w:val="left"/>
              <w:rPr>
                <w:szCs w:val="24"/>
              </w:rPr>
            </w:pPr>
            <w:r w:rsidRPr="005C3B55">
              <w:rPr>
                <w:szCs w:val="24"/>
              </w:rPr>
              <w:t>If the beneficiary is a sole trader or a legal entity, they must have at least EUR 18,000 income from harvesting in the calendar year prior to the publication of a public tender.</w:t>
            </w:r>
          </w:p>
          <w:p w:rsidR="00F555D6" w:rsidRPr="005C3B55" w:rsidRDefault="00F555D6" w:rsidP="00F555D6">
            <w:pPr>
              <w:numPr>
                <w:ilvl w:val="0"/>
                <w:numId w:val="249"/>
              </w:numPr>
              <w:spacing w:before="0" w:after="240"/>
              <w:ind w:hanging="290"/>
              <w:jc w:val="left"/>
              <w:rPr>
                <w:szCs w:val="24"/>
              </w:rPr>
            </w:pPr>
            <w:r w:rsidRPr="005C3B55">
              <w:rPr>
                <w:szCs w:val="24"/>
              </w:rPr>
              <w:t>Supported investments must be used exclusively on forest land, and in accordance with the guidelines and measures determined in forest management plans.</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Principles regarding the determination of selection criteria</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The operation will be implemented as a closed public tender.</w:t>
            </w:r>
          </w:p>
          <w:p w:rsidR="00F555D6" w:rsidRPr="005C3B55" w:rsidRDefault="00F555D6" w:rsidP="00F555D6">
            <w:pPr>
              <w:spacing w:before="240" w:after="240" w:line="280" w:lineRule="auto"/>
              <w:rPr>
                <w:szCs w:val="24"/>
              </w:rPr>
            </w:pPr>
            <w:r w:rsidRPr="005C3B55">
              <w:rPr>
                <w:szCs w:val="24"/>
              </w:rPr>
              <w:t>Selected projects whose applications are complete and adequate in terms of content and which meet the conditions for receiving funds and exceed the threshold number of points determined in the public tender will be eligible for support. Applications which score a higher number of points will be selected from among applications that exceed the threshold number of points until the funds available in the public tender are distributed. Among the selection criteria, the greatest emphasis will be on the economic aspect of the investment (for example, the size of the beneficiary’s forest land, the size of the company according to the number of employees) and the contribution to horizontal objectives.</w:t>
            </w:r>
          </w:p>
          <w:p w:rsidR="00F555D6" w:rsidRPr="005C3B55" w:rsidRDefault="00F555D6" w:rsidP="00F555D6">
            <w:pPr>
              <w:spacing w:before="240" w:after="240" w:line="280" w:lineRule="auto"/>
              <w:rPr>
                <w:szCs w:val="24"/>
              </w:rPr>
            </w:pPr>
            <w:r w:rsidRPr="005C3B55">
              <w:rPr>
                <w:szCs w:val="24"/>
              </w:rPr>
              <w:t> </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(Valid) amounts and support rates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The public support rate amounts to 40 per cent of eli-gible costs.</w:t>
            </w:r>
          </w:p>
          <w:p w:rsidR="00F555D6" w:rsidRPr="005C3B55" w:rsidRDefault="00F555D6" w:rsidP="00F555D6">
            <w:pPr>
              <w:spacing w:before="240" w:after="240" w:line="280" w:lineRule="auto"/>
              <w:rPr>
                <w:szCs w:val="24"/>
              </w:rPr>
            </w:pPr>
            <w:r w:rsidRPr="005C3B55">
              <w:rPr>
                <w:szCs w:val="24"/>
              </w:rPr>
              <w:t>The lowest amount of public support is EUR 1,000.</w:t>
            </w:r>
          </w:p>
          <w:p w:rsidR="00F555D6" w:rsidRPr="005C3B55" w:rsidRDefault="00F555D6" w:rsidP="00F555D6">
            <w:pPr>
              <w:spacing w:before="240" w:after="240" w:line="280" w:lineRule="auto"/>
              <w:rPr>
                <w:szCs w:val="24"/>
              </w:rPr>
            </w:pPr>
            <w:r w:rsidRPr="005C3B55">
              <w:rPr>
                <w:szCs w:val="24"/>
              </w:rPr>
              <w:t>In the entire programming period 2014–2020, a beneficiary may obtain up to EUR 500,000 of public support from this operation.</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Verifiability and possibility of control of measures and/or type of operations</w:t>
      </w:r>
    </w:p>
    <w:p w:rsidR="00F555D6" w:rsidRPr="005C3B55" w:rsidRDefault="00F555D6" w:rsidP="00F555D6">
      <w:pPr>
        <w:pStyle w:val="Naslov7"/>
        <w:tabs>
          <w:tab w:val="clear" w:pos="765"/>
        </w:tabs>
        <w:ind w:left="0" w:firstLine="0"/>
        <w:rPr>
          <w:szCs w:val="24"/>
          <w:lang w:val="en-GB"/>
        </w:rPr>
      </w:pPr>
      <w:r w:rsidRPr="005C3B55">
        <w:rPr>
          <w:noProof w:val="0"/>
          <w:szCs w:val="24"/>
          <w:lang w:val="en-GB"/>
        </w:rPr>
        <w:t>Risks in the implementation of the measure</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b/>
                <w:szCs w:val="24"/>
              </w:rPr>
              <w:t>R1: Application conditions for private beneficiaries</w:t>
            </w:r>
          </w:p>
          <w:p w:rsidR="00F555D6" w:rsidRPr="005C3B55" w:rsidRDefault="00F555D6" w:rsidP="00F555D6">
            <w:pPr>
              <w:spacing w:before="240" w:after="240" w:line="280" w:lineRule="auto"/>
              <w:rPr>
                <w:szCs w:val="24"/>
              </w:rPr>
            </w:pPr>
            <w:r w:rsidRPr="005C3B55">
              <w:rPr>
                <w:szCs w:val="24"/>
              </w:rPr>
              <w:t>The implementation procedure is based on regulations regulating general administrative procedures. Selection procedures may be lengthy (they may take more than six months) due to the statutory deadlines. The situation on the market may change considerably during this time.</w:t>
            </w:r>
          </w:p>
          <w:p w:rsidR="00F555D6" w:rsidRPr="005C3B55" w:rsidRDefault="00F555D6" w:rsidP="00F555D6">
            <w:pPr>
              <w:spacing w:before="240" w:after="240" w:line="280" w:lineRule="auto"/>
              <w:rPr>
                <w:szCs w:val="24"/>
              </w:rPr>
            </w:pPr>
            <w:r w:rsidRPr="005C3B55">
              <w:rPr>
                <w:b/>
                <w:szCs w:val="24"/>
              </w:rPr>
              <w:t>R2: Reasonableness of costs</w:t>
            </w:r>
          </w:p>
          <w:p w:rsidR="00F555D6" w:rsidRPr="005C3B55" w:rsidRDefault="00F555D6" w:rsidP="00F555D6">
            <w:pPr>
              <w:spacing w:before="240" w:after="240" w:line="280" w:lineRule="auto"/>
              <w:rPr>
                <w:szCs w:val="24"/>
              </w:rPr>
            </w:pPr>
            <w:r w:rsidRPr="005C3B55">
              <w:rPr>
                <w:szCs w:val="24"/>
              </w:rPr>
              <w:t>In the implementation of investments, significant price fluctuations for the same or similar costs occur in the market, this is most obviously manifested when purchasing forestry machinery and equipment, where great differences in prices are noted for the same type of machinery and equipment on the common European market. There are not many providers of technologically demanding equipment.</w:t>
            </w:r>
          </w:p>
          <w:p w:rsidR="00F555D6" w:rsidRPr="005C3B55" w:rsidRDefault="00F555D6" w:rsidP="00F555D6">
            <w:pPr>
              <w:spacing w:before="240" w:after="240" w:line="280" w:lineRule="auto"/>
              <w:rPr>
                <w:szCs w:val="24"/>
              </w:rPr>
            </w:pPr>
            <w:r w:rsidRPr="005C3B55">
              <w:rPr>
                <w:b/>
                <w:szCs w:val="24"/>
              </w:rPr>
              <w:t>R3: Suitable overview and control system</w:t>
            </w:r>
          </w:p>
          <w:p w:rsidR="00F555D6" w:rsidRPr="005C3B55" w:rsidRDefault="00F555D6" w:rsidP="00F555D6">
            <w:pPr>
              <w:spacing w:before="240" w:after="240" w:line="280" w:lineRule="auto"/>
              <w:rPr>
                <w:szCs w:val="24"/>
              </w:rPr>
            </w:pPr>
            <w:r w:rsidRPr="005C3B55">
              <w:rPr>
                <w:szCs w:val="24"/>
              </w:rPr>
              <w:t>The greatest problem is the inadequate connection between databases in the public administration. This can result in an increased risk of dual co-funding of the same eligible costs.</w:t>
            </w:r>
          </w:p>
          <w:p w:rsidR="00F555D6" w:rsidRPr="005C3B55" w:rsidRDefault="00F555D6" w:rsidP="00F555D6">
            <w:pPr>
              <w:spacing w:before="240" w:after="240" w:line="280" w:lineRule="auto"/>
              <w:rPr>
                <w:szCs w:val="24"/>
              </w:rPr>
            </w:pPr>
            <w:r w:rsidRPr="005C3B55">
              <w:rPr>
                <w:b/>
                <w:szCs w:val="24"/>
              </w:rPr>
              <w:t>R7: Selection of beneficiaries</w:t>
            </w:r>
          </w:p>
          <w:p w:rsidR="00F555D6" w:rsidRPr="005C3B55" w:rsidRDefault="00F555D6" w:rsidP="00F555D6">
            <w:pPr>
              <w:spacing w:before="240" w:after="240" w:line="280" w:lineRule="auto"/>
              <w:rPr>
                <w:szCs w:val="24"/>
              </w:rPr>
            </w:pPr>
            <w:r w:rsidRPr="005C3B55">
              <w:rPr>
                <w:szCs w:val="24"/>
              </w:rPr>
              <w:t>There is the possibility of risk due to the lack of information for beneficiaries and persons responsible for the preparation of application and a lack of understanding of the requirements from the regulations.</w:t>
            </w:r>
          </w:p>
          <w:p w:rsidR="00F555D6" w:rsidRPr="005C3B55" w:rsidRDefault="00F555D6" w:rsidP="00F555D6">
            <w:pPr>
              <w:spacing w:before="240" w:after="240" w:line="280" w:lineRule="auto"/>
              <w:rPr>
                <w:szCs w:val="24"/>
              </w:rPr>
            </w:pPr>
            <w:r w:rsidRPr="005C3B55">
              <w:rPr>
                <w:b/>
                <w:szCs w:val="24"/>
              </w:rPr>
              <w:t>R8: IT systems</w:t>
            </w:r>
          </w:p>
          <w:p w:rsidR="00F555D6" w:rsidRPr="005C3B55" w:rsidRDefault="00F555D6" w:rsidP="00F555D6">
            <w:pPr>
              <w:spacing w:before="240" w:after="240" w:line="280" w:lineRule="auto"/>
              <w:rPr>
                <w:szCs w:val="24"/>
              </w:rPr>
            </w:pPr>
            <w:r w:rsidRPr="005C3B55">
              <w:rPr>
                <w:szCs w:val="24"/>
              </w:rPr>
              <w:t>There is a risk of an IT system that is inadequate for the submission of applications to the public procurement and requests for payment, and which is not advanced and does provide sufficient support. There is also a risk that potential beneficiaries will not be skilled at using this system and that the system will not function optimally.</w:t>
            </w:r>
          </w:p>
          <w:p w:rsidR="00F555D6" w:rsidRPr="005C3B55" w:rsidRDefault="00F555D6" w:rsidP="00F555D6">
            <w:pPr>
              <w:spacing w:before="240" w:after="240" w:line="280" w:lineRule="auto"/>
              <w:rPr>
                <w:szCs w:val="24"/>
              </w:rPr>
            </w:pPr>
            <w:r w:rsidRPr="005C3B55">
              <w:rPr>
                <w:b/>
                <w:szCs w:val="24"/>
              </w:rPr>
              <w:t>R9: Requests for payment</w:t>
            </w:r>
          </w:p>
          <w:p w:rsidR="00F555D6" w:rsidRPr="005C3B55" w:rsidRDefault="00F555D6" w:rsidP="00F555D6">
            <w:pPr>
              <w:spacing w:before="240" w:after="240" w:line="280" w:lineRule="auto"/>
              <w:rPr>
                <w:szCs w:val="24"/>
              </w:rPr>
            </w:pPr>
            <w:r w:rsidRPr="005C3B55">
              <w:rPr>
                <w:szCs w:val="24"/>
              </w:rPr>
              <w:t>A request for the payment of funds is honoured within 30 days following the submission of a complete request for payment. There are no delays in this part. The greatest risk arises in the processing of requests for payment. Due to unprofessional preparation, the procedure for processing may take several months. The main reason is the lack of knowledge among beneficiaries and persons preparing applications.</w:t>
            </w:r>
          </w:p>
          <w:p w:rsidR="00F555D6" w:rsidRPr="005C3B55" w:rsidRDefault="00F555D6" w:rsidP="00F555D6">
            <w:pPr>
              <w:pStyle w:val="Telobesedila"/>
              <w:rPr>
                <w:szCs w:val="24"/>
              </w:rPr>
            </w:pPr>
          </w:p>
        </w:tc>
      </w:tr>
    </w:tbl>
    <w:p w:rsidR="00F555D6" w:rsidRPr="005C3B55" w:rsidRDefault="00F555D6" w:rsidP="00F555D6">
      <w:pPr>
        <w:pStyle w:val="Naslov7"/>
        <w:tabs>
          <w:tab w:val="clear" w:pos="765"/>
        </w:tabs>
        <w:ind w:left="0" w:firstLine="0"/>
        <w:rPr>
          <w:szCs w:val="24"/>
          <w:lang w:val="en-GB"/>
        </w:rPr>
      </w:pPr>
      <w:r w:rsidRPr="005C3B55">
        <w:rPr>
          <w:noProof w:val="0"/>
          <w:szCs w:val="24"/>
          <w:lang w:val="en-GB"/>
        </w:rPr>
        <w:t>Mitigation measures</w:t>
      </w:r>
    </w:p>
    <w:p w:rsidR="00F555D6" w:rsidRPr="005C3B55" w:rsidRDefault="00F555D6" w:rsidP="00F555D6">
      <w:pPr>
        <w:pStyle w:val="Naslov7"/>
        <w:tabs>
          <w:tab w:val="clear" w:pos="765"/>
        </w:tabs>
        <w:spacing w:before="0" w:after="0"/>
        <w:ind w:left="0" w:firstLine="0"/>
        <w:rPr>
          <w:szCs w:val="24"/>
          <w:lang w:val="en-GB"/>
        </w:rPr>
      </w:pP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b/>
                <w:szCs w:val="24"/>
              </w:rPr>
              <w:t>R1: Application conditions for private beneficiaries</w:t>
            </w:r>
          </w:p>
          <w:p w:rsidR="00F555D6" w:rsidRPr="005C3B55" w:rsidRDefault="00F555D6" w:rsidP="00F555D6">
            <w:pPr>
              <w:spacing w:before="240" w:after="240" w:line="280" w:lineRule="auto"/>
              <w:rPr>
                <w:szCs w:val="24"/>
              </w:rPr>
            </w:pPr>
            <w:r w:rsidRPr="005C3B55">
              <w:rPr>
                <w:szCs w:val="24"/>
              </w:rPr>
              <w:t>The duration of administrative procedures cannot be influenced. However, the dissemination of information to potential beneficiaries on the measures and selection procedures of beneficiaries will be improved. Applications are submitted electronically, which shortens the time of application processing. Efforts to improve the unification of public procurements and the clarity of conditions are set to continue, which will contribute to making applications more complete. This will somewhat reduce the risk. The changes to the Agriculture Act (Official Gazette of the RS, No 26/2014), introduced in 2014, the provisions of the administrative procedure were changed in order to make the procedure more economical and to accelerate application processing.</w:t>
            </w:r>
          </w:p>
          <w:p w:rsidR="00F555D6" w:rsidRPr="005C3B55" w:rsidRDefault="00F555D6" w:rsidP="00F555D6">
            <w:pPr>
              <w:spacing w:before="240" w:after="240" w:line="280" w:lineRule="auto"/>
              <w:rPr>
                <w:szCs w:val="24"/>
              </w:rPr>
            </w:pPr>
            <w:r w:rsidRPr="005C3B55">
              <w:rPr>
                <w:b/>
                <w:szCs w:val="24"/>
              </w:rPr>
              <w:t>R2: Reasonableness of costs</w:t>
            </w:r>
          </w:p>
          <w:p w:rsidR="00F555D6" w:rsidRPr="005C3B55" w:rsidRDefault="00F555D6" w:rsidP="00F555D6">
            <w:pPr>
              <w:spacing w:before="240" w:after="240" w:line="280" w:lineRule="auto"/>
              <w:rPr>
                <w:szCs w:val="24"/>
              </w:rPr>
            </w:pPr>
            <w:r w:rsidRPr="005C3B55">
              <w:rPr>
                <w:szCs w:val="24"/>
              </w:rPr>
              <w:t>A uniform catalogue of costs for all measures which include investments will be set up. The catalogue will be prepared by an independent external contractor, and it will determine the highest recognised amounts of individual costs, which will be revised if necessary (for example, changed market conditions).</w:t>
            </w:r>
          </w:p>
          <w:p w:rsidR="00F555D6" w:rsidRPr="005C3B55" w:rsidRDefault="00F555D6" w:rsidP="00F555D6">
            <w:pPr>
              <w:spacing w:before="240" w:after="240" w:line="280" w:lineRule="auto"/>
              <w:rPr>
                <w:szCs w:val="24"/>
              </w:rPr>
            </w:pPr>
            <w:r w:rsidRPr="005C3B55">
              <w:rPr>
                <w:b/>
                <w:szCs w:val="24"/>
              </w:rPr>
              <w:t>R3: Suitable overview and control system</w:t>
            </w:r>
          </w:p>
          <w:p w:rsidR="00F555D6" w:rsidRPr="005C3B55" w:rsidRDefault="00F555D6" w:rsidP="00F555D6">
            <w:pPr>
              <w:spacing w:before="240" w:after="240" w:line="280" w:lineRule="auto"/>
              <w:rPr>
                <w:szCs w:val="24"/>
              </w:rPr>
            </w:pPr>
            <w:r w:rsidRPr="005C3B55">
              <w:rPr>
                <w:szCs w:val="24"/>
              </w:rPr>
              <w:t>The connectivity of databases within the public administration will be improved. The demarcation of the contents of eligible costs in relation to other funds will be more precisely defined.</w:t>
            </w:r>
          </w:p>
          <w:p w:rsidR="00F555D6" w:rsidRPr="005C3B55" w:rsidRDefault="00F555D6" w:rsidP="00F555D6">
            <w:pPr>
              <w:spacing w:before="240" w:after="240" w:line="280" w:lineRule="auto"/>
              <w:rPr>
                <w:szCs w:val="24"/>
              </w:rPr>
            </w:pPr>
            <w:r w:rsidRPr="005C3B55">
              <w:rPr>
                <w:b/>
                <w:szCs w:val="24"/>
              </w:rPr>
              <w:t>R7: Selection of beneficiaries</w:t>
            </w:r>
          </w:p>
          <w:p w:rsidR="00F555D6" w:rsidRPr="005C3B55" w:rsidRDefault="00F555D6" w:rsidP="00F555D6">
            <w:pPr>
              <w:spacing w:before="240" w:after="240" w:line="280" w:lineRule="auto"/>
              <w:rPr>
                <w:szCs w:val="24"/>
              </w:rPr>
            </w:pPr>
            <w:r w:rsidRPr="005C3B55">
              <w:rPr>
                <w:szCs w:val="24"/>
              </w:rPr>
              <w:t>With the permanent implementation of the promotion of the measure, organisation of public presentations and other activities (updated website of the Ministry of Agriculture, Forestry and Food, activities of the National Rural Network), we will promptly inform potential beneficiaries on the content of the supported operation.</w:t>
            </w:r>
          </w:p>
          <w:p w:rsidR="00F555D6" w:rsidRPr="005C3B55" w:rsidRDefault="00F555D6" w:rsidP="00F555D6">
            <w:pPr>
              <w:spacing w:before="240" w:after="240" w:line="280" w:lineRule="auto"/>
              <w:rPr>
                <w:szCs w:val="24"/>
              </w:rPr>
            </w:pPr>
            <w:r w:rsidRPr="005C3B55">
              <w:rPr>
                <w:b/>
                <w:szCs w:val="24"/>
              </w:rPr>
              <w:t>R8: IT systems</w:t>
            </w:r>
          </w:p>
          <w:p w:rsidR="00F555D6" w:rsidRPr="005C3B55" w:rsidRDefault="00F555D6" w:rsidP="00F555D6">
            <w:pPr>
              <w:spacing w:before="240" w:after="240" w:line="280" w:lineRule="auto"/>
              <w:rPr>
                <w:szCs w:val="24"/>
              </w:rPr>
            </w:pPr>
            <w:r w:rsidRPr="005C3B55">
              <w:rPr>
                <w:szCs w:val="24"/>
              </w:rPr>
              <w:t>An IT system will be set up which will facilitate electronic submission of applications and requests for payment, thus simplifying the verification of double funding, business operations of associated parties, and separation between the funding of individual costs on the sub-measure level and other measures of the RDP 2014–2020. The system will incorporate different databases, which will enable faster and more precise data verification. The system will also enable monitoring of the implementation of the sub-measure. Training in the use of the IT system will be organised for the drafters of applications and requests.</w:t>
            </w:r>
          </w:p>
          <w:p w:rsidR="00F555D6" w:rsidRPr="005C3B55" w:rsidRDefault="00F555D6" w:rsidP="00F555D6">
            <w:pPr>
              <w:spacing w:before="240" w:after="240" w:line="280" w:lineRule="auto"/>
              <w:rPr>
                <w:szCs w:val="24"/>
              </w:rPr>
            </w:pPr>
            <w:r w:rsidRPr="005C3B55">
              <w:rPr>
                <w:b/>
                <w:szCs w:val="24"/>
              </w:rPr>
              <w:t>R9: Requests for payment</w:t>
            </w:r>
          </w:p>
          <w:p w:rsidR="00F555D6" w:rsidRPr="005C3B55" w:rsidRDefault="00F555D6" w:rsidP="00F555D6">
            <w:pPr>
              <w:spacing w:before="240" w:after="240" w:line="280" w:lineRule="auto"/>
              <w:rPr>
                <w:szCs w:val="24"/>
              </w:rPr>
            </w:pPr>
            <w:r w:rsidRPr="005C3B55">
              <w:rPr>
                <w:szCs w:val="24"/>
              </w:rPr>
              <w:t>The dissemination of information to beneficiaries and persons preparing applications regarding the preparation of requests for the payment will be improved. In this period, the application for processing electronic applications and requests will be upgraded.</w:t>
            </w:r>
          </w:p>
          <w:p w:rsidR="00F555D6" w:rsidRPr="005C3B55" w:rsidRDefault="00F555D6" w:rsidP="00F555D6">
            <w:pPr>
              <w:pStyle w:val="Telobesedila"/>
              <w:rPr>
                <w:szCs w:val="24"/>
              </w:rPr>
            </w:pPr>
          </w:p>
        </w:tc>
      </w:tr>
    </w:tbl>
    <w:p w:rsidR="00F555D6" w:rsidRPr="005C3B55" w:rsidRDefault="00F555D6" w:rsidP="00F555D6">
      <w:pPr>
        <w:pStyle w:val="Naslov7"/>
        <w:tabs>
          <w:tab w:val="clear" w:pos="765"/>
        </w:tabs>
        <w:ind w:left="0" w:firstLine="0"/>
        <w:rPr>
          <w:szCs w:val="24"/>
          <w:lang w:val="en-GB"/>
        </w:rPr>
      </w:pPr>
      <w:r w:rsidRPr="005C3B55">
        <w:rPr>
          <w:noProof w:val="0"/>
          <w:szCs w:val="24"/>
          <w:lang w:val="en-GB"/>
        </w:rPr>
        <w:t>General assessment of the measure</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The operation in the anticipated form is fully feasible and verifiable, and will produce the expected results and contribute to the promotion of diversification, the establishment and development of small enterprises, and the creation of new jobs in rural areas.  It will contribute to the realisation of development needs and the objectives of the RDP 2014–2020. The operation will also greatly contribute to realising horizontal objectives.</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Methodology for calculating support amount, where relevant</w:t>
      </w:r>
    </w:p>
    <w:p w:rsidR="00F555D6" w:rsidRPr="005C3B55" w:rsidRDefault="00F555D6" w:rsidP="00F555D6">
      <w:pPr>
        <w:pStyle w:val="Naslov6"/>
        <w:tabs>
          <w:tab w:val="clear" w:pos="765"/>
        </w:tabs>
        <w:spacing w:before="0" w:after="0"/>
        <w:ind w:left="0" w:firstLine="0"/>
        <w:rPr>
          <w:szCs w:val="24"/>
          <w:lang w:val="en-GB"/>
        </w:rPr>
      </w:pP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Not relevant.</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Information that relates specifically to the operation</w:t>
      </w:r>
    </w:p>
    <w:p w:rsidR="00F555D6" w:rsidRPr="005C3B55" w:rsidRDefault="00F555D6" w:rsidP="00F555D6">
      <w:pPr>
        <w:spacing w:line="280" w:lineRule="auto"/>
        <w:rPr>
          <w:szCs w:val="24"/>
        </w:rPr>
      </w:pPr>
      <w:r w:rsidRPr="005C3B55">
        <w:rPr>
          <w:szCs w:val="24"/>
        </w:rPr>
        <w:t>Definition and justification of the size of agricultural holdings whose support will depend on the submission of forest management plans or of an equivalent instrument</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On the basis of the Act on Forests (Official Gazette of the Republic of Slovenia, no. 30/93 with all amendments), plans for forest management are prepared for all forests in the Republic of Slovenia irrespective of their ownership and size of the forest holding. These plans determine conditions for the harmonious use of forests and intervention in forests and forest space, the required extent of forest cultivation and protection, the highest possible level of their exploitation and game management. Within this operation, the condition for support is to submit suitable information included in forest management plans.</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Definition of an “equivalent instrument”</w:t>
      </w:r>
    </w:p>
    <w:p w:rsidR="00F555D6" w:rsidRPr="005C3B55" w:rsidRDefault="00F555D6" w:rsidP="00F555D6">
      <w:pPr>
        <w:spacing w:after="0"/>
        <w:rPr>
          <w:szCs w:val="24"/>
        </w:rPr>
      </w:pP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Not relevant.</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[Reforestation and creation of woodland] Definition of types, areas and manners used to prevent inappropriate reforestation as stated in Article 6(a) of Delegated Regulation No 807/2014, including a description of environmental and climate conditions in areas where reforestation is anticipated as stated in Article 6(b) of the aforementioned regulation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Not relevant.</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[Reforestation and creation of woodland] Definition of minimum environmental requirements referred to in Article 6 of Delegated Regulation No 807/2014</w:t>
      </w:r>
    </w:p>
    <w:p w:rsidR="00F555D6" w:rsidRPr="005C3B55" w:rsidRDefault="00F555D6" w:rsidP="00F555D6">
      <w:pPr>
        <w:spacing w:after="0"/>
        <w:rPr>
          <w:szCs w:val="24"/>
        </w:rPr>
      </w:pP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Not relevant.</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[Establishment of agricultural-forestry systems] Definition of the lowest and the highest number of trees that may be planted and preserved after they grow per hectare, and of forest species that may be used, pursuant to the second paragraph of Article 23 of Regulation (EU) No 1305/2013</w:t>
      </w:r>
    </w:p>
    <w:p w:rsidR="00F555D6" w:rsidRPr="005C3B55" w:rsidRDefault="00F555D6" w:rsidP="00F555D6">
      <w:pPr>
        <w:spacing w:after="0"/>
        <w:rPr>
          <w:szCs w:val="24"/>
        </w:rPr>
      </w:pP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Not relevant.</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[Establishment of agricultural-forestry systems] Indication of environmental benefits of the supported systems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Not relevant.</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[Prevention and elimination of damage in forests due to forest fires and natural disasters as well as catastrophic events] If appropriate, a list of pests harmful to plants which may cause the phenomena in question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Not relevant.</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[Prevention and elimination of damage in forests due to forest fires and natural disasters as well as catastrophic events] Definition of forest areas which are classified as areas with medium or high fire hazard in accordance with the relevant forest protection plan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Not relevant.</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[Prevention and elimination of damage in forests due to forest fires and natural disasters as well as catastrophic events] In the case of preventive measures regarding pests and diseases, a description of the relevant phenomena supported by scientific evidence, and, if necessary, including recommendations from scientific organisations on pest and disease management</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Not relevant.</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 xml:space="preserve">[Investments to improve resilience and environmental value of forest ecosystems] Definition of types of justified investments and their expected impact on the environment and/or public applications </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Not relevant.</w:t>
            </w:r>
          </w:p>
          <w:p w:rsidR="00F555D6" w:rsidRPr="005C3B55" w:rsidRDefault="00F555D6" w:rsidP="00F555D6">
            <w:pPr>
              <w:pStyle w:val="Telobesedila"/>
              <w:rPr>
                <w:szCs w:val="24"/>
              </w:rPr>
            </w:pPr>
          </w:p>
        </w:tc>
      </w:tr>
    </w:tbl>
    <w:p w:rsidR="00F555D6" w:rsidRPr="005C3B55" w:rsidRDefault="00F555D6" w:rsidP="00F555D6">
      <w:pPr>
        <w:pStyle w:val="Naslov5"/>
        <w:tabs>
          <w:tab w:val="clear" w:pos="765"/>
        </w:tabs>
        <w:ind w:left="0" w:firstLine="0"/>
        <w:rPr>
          <w:b w:val="0"/>
          <w:szCs w:val="24"/>
          <w:lang w:val="en-GB"/>
        </w:rPr>
      </w:pPr>
      <w:r w:rsidRPr="005C3B55">
        <w:rPr>
          <w:b w:val="0"/>
          <w:szCs w:val="24"/>
          <w:lang w:val="en-GB"/>
        </w:rPr>
        <w:br w:type="page"/>
      </w:r>
      <w:r w:rsidRPr="005C3B55">
        <w:rPr>
          <w:b w:val="0"/>
          <w:noProof w:val="0"/>
          <w:szCs w:val="24"/>
          <w:lang w:val="en-GB"/>
        </w:rPr>
        <w:t>Investments in pre-industrial wood processing</w:t>
      </w:r>
    </w:p>
    <w:p w:rsidR="00F555D6" w:rsidRPr="005C3B55" w:rsidRDefault="00F555D6" w:rsidP="00F555D6">
      <w:pPr>
        <w:spacing w:line="280" w:lineRule="auto"/>
        <w:rPr>
          <w:szCs w:val="24"/>
        </w:rPr>
      </w:pPr>
      <w:r w:rsidRPr="005C3B55">
        <w:rPr>
          <w:szCs w:val="24"/>
        </w:rPr>
        <w:t xml:space="preserve">Sub-measure: </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250"/>
              </w:numPr>
              <w:rPr>
                <w:szCs w:val="24"/>
              </w:rPr>
            </w:pPr>
            <w:r w:rsidRPr="005C3B55">
              <w:rPr>
                <w:szCs w:val="24"/>
              </w:rPr>
              <w:t>8.6 – Support for i</w:t>
            </w:r>
            <w:r w:rsidRPr="005C3B55">
              <w:rPr>
                <w:color w:val="000000"/>
                <w:szCs w:val="24"/>
              </w:rPr>
              <w:t>nvestments in forestry technologies and in processing, mobilisation and marketing of forest products</w:t>
            </w: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Description of type of operation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Support is granted to investments in activities of roundwood processing before industrial wood processing and activities of the first small-scale wood processing, which diversifies the beneficiaries’ production.</w:t>
            </w:r>
          </w:p>
          <w:p w:rsidR="00F555D6" w:rsidRPr="005C3B55" w:rsidRDefault="00F555D6" w:rsidP="00F555D6">
            <w:pPr>
              <w:spacing w:after="0" w:line="280" w:lineRule="auto"/>
              <w:rPr>
                <w:szCs w:val="24"/>
              </w:rPr>
            </w:pPr>
            <w:r w:rsidRPr="005C3B55">
              <w:rPr>
                <w:szCs w:val="24"/>
              </w:rPr>
              <w:t>Roundwood processing before industrial wood processing and the first small-scale wood processing include: sawing of wood, planing of wood and other mechanical processing of roundwood; profiling, particle board production, production of wooden railway sleepers, wooden poles, posts,  wood chips and splinters; drying of wood, impregnation or treatment of wood with biocides or other materials, modification of wood, production of wood chips, and production of wood pellets, briquettes or firewood for energy-efficient use, which are limited to a small scale:</w:t>
            </w:r>
          </w:p>
          <w:p w:rsidR="00F555D6" w:rsidRPr="005C3B55" w:rsidRDefault="00F555D6" w:rsidP="00F555D6">
            <w:pPr>
              <w:numPr>
                <w:ilvl w:val="0"/>
                <w:numId w:val="251"/>
              </w:numPr>
              <w:spacing w:before="240" w:after="0"/>
              <w:ind w:hanging="290"/>
              <w:jc w:val="left"/>
              <w:rPr>
                <w:szCs w:val="24"/>
              </w:rPr>
            </w:pPr>
            <w:r w:rsidRPr="005C3B55">
              <w:rPr>
                <w:szCs w:val="24"/>
              </w:rPr>
              <w:t>in sawmills with a capacity up to 10,000 m</w:t>
            </w:r>
            <w:r w:rsidRPr="005C3B55">
              <w:rPr>
                <w:szCs w:val="24"/>
                <w:vertAlign w:val="superscript"/>
              </w:rPr>
              <w:t>3</w:t>
            </w:r>
            <w:r w:rsidRPr="005C3B55">
              <w:rPr>
                <w:szCs w:val="24"/>
              </w:rPr>
              <w:t xml:space="preserve"> of input for the production of sawn wood or non-impregnated sleepers annually;</w:t>
            </w:r>
          </w:p>
          <w:p w:rsidR="00F555D6" w:rsidRPr="005C3B55" w:rsidRDefault="00F555D6" w:rsidP="00F555D6">
            <w:pPr>
              <w:numPr>
                <w:ilvl w:val="0"/>
                <w:numId w:val="251"/>
              </w:numPr>
              <w:spacing w:before="0" w:after="0"/>
              <w:ind w:hanging="290"/>
              <w:jc w:val="left"/>
              <w:rPr>
                <w:szCs w:val="24"/>
              </w:rPr>
            </w:pPr>
            <w:r w:rsidRPr="005C3B55">
              <w:rPr>
                <w:szCs w:val="24"/>
              </w:rPr>
              <w:t>for the production of pellets as an additional activity in sawmills, up to 5,000 tonnes of pellets annually;</w:t>
            </w:r>
          </w:p>
          <w:p w:rsidR="00F555D6" w:rsidRPr="005C3B55" w:rsidRDefault="00F555D6" w:rsidP="00F555D6">
            <w:pPr>
              <w:numPr>
                <w:ilvl w:val="0"/>
                <w:numId w:val="251"/>
              </w:numPr>
              <w:spacing w:before="0" w:after="0"/>
              <w:ind w:hanging="290"/>
              <w:jc w:val="left"/>
              <w:rPr>
                <w:szCs w:val="24"/>
              </w:rPr>
            </w:pPr>
            <w:r w:rsidRPr="005C3B55">
              <w:rPr>
                <w:szCs w:val="24"/>
              </w:rPr>
              <w:t>for the production of wood chips as an additional activity in sawmills, up to 15,000 m</w:t>
            </w:r>
            <w:r w:rsidRPr="005C3B55">
              <w:rPr>
                <w:szCs w:val="24"/>
                <w:vertAlign w:val="superscript"/>
              </w:rPr>
              <w:t>3</w:t>
            </w:r>
            <w:r w:rsidRPr="005C3B55">
              <w:rPr>
                <w:szCs w:val="24"/>
              </w:rPr>
              <w:t xml:space="preserve"> in bulk (equivalent to the production of 5,000 m</w:t>
            </w:r>
            <w:r w:rsidRPr="005C3B55">
              <w:rPr>
                <w:szCs w:val="24"/>
                <w:vertAlign w:val="superscript"/>
              </w:rPr>
              <w:t>3</w:t>
            </w:r>
            <w:r w:rsidRPr="005C3B55">
              <w:rPr>
                <w:szCs w:val="24"/>
              </w:rPr>
              <w:t xml:space="preserve"> of roundwood) annually;</w:t>
            </w:r>
          </w:p>
          <w:p w:rsidR="00F555D6" w:rsidRPr="005C3B55" w:rsidRDefault="00F555D6" w:rsidP="00F555D6">
            <w:pPr>
              <w:numPr>
                <w:ilvl w:val="0"/>
                <w:numId w:val="251"/>
              </w:numPr>
              <w:spacing w:before="0" w:after="0"/>
              <w:ind w:hanging="290"/>
              <w:jc w:val="left"/>
              <w:rPr>
                <w:szCs w:val="24"/>
              </w:rPr>
            </w:pPr>
            <w:r w:rsidRPr="005C3B55">
              <w:rPr>
                <w:szCs w:val="24"/>
              </w:rPr>
              <w:t>for the production of wood chips in the forest, up to 35,000 m</w:t>
            </w:r>
            <w:r w:rsidRPr="005C3B55">
              <w:rPr>
                <w:szCs w:val="24"/>
                <w:vertAlign w:val="superscript"/>
              </w:rPr>
              <w:t>3</w:t>
            </w:r>
            <w:r w:rsidRPr="005C3B55">
              <w:rPr>
                <w:szCs w:val="24"/>
              </w:rPr>
              <w:t xml:space="preserve"> in bulk (equivalent to the processing of 7,500 m</w:t>
            </w:r>
            <w:r w:rsidRPr="005C3B55">
              <w:rPr>
                <w:szCs w:val="24"/>
                <w:vertAlign w:val="superscript"/>
              </w:rPr>
              <w:t>3</w:t>
            </w:r>
            <w:r w:rsidRPr="005C3B55">
              <w:rPr>
                <w:szCs w:val="24"/>
              </w:rPr>
              <w:t xml:space="preserve"> of roundwood) annually; and</w:t>
            </w:r>
          </w:p>
          <w:p w:rsidR="00F555D6" w:rsidRPr="005C3B55" w:rsidRDefault="00F555D6" w:rsidP="00F555D6">
            <w:pPr>
              <w:numPr>
                <w:ilvl w:val="0"/>
                <w:numId w:val="251"/>
              </w:numPr>
              <w:spacing w:before="0" w:after="240"/>
              <w:ind w:hanging="290"/>
              <w:jc w:val="left"/>
              <w:rPr>
                <w:szCs w:val="24"/>
              </w:rPr>
            </w:pPr>
            <w:r w:rsidRPr="005C3B55">
              <w:rPr>
                <w:szCs w:val="24"/>
              </w:rPr>
              <w:t>in firewood production facilities, up to 10,000 metres of logs in bulk (equivalent to 5,000 m</w:t>
            </w:r>
            <w:r w:rsidRPr="005C3B55">
              <w:rPr>
                <w:szCs w:val="24"/>
                <w:vertAlign w:val="superscript"/>
              </w:rPr>
              <w:t>3</w:t>
            </w:r>
            <w:r w:rsidRPr="005C3B55">
              <w:rPr>
                <w:szCs w:val="24"/>
              </w:rPr>
              <w:t xml:space="preserve"> of roundwood) annually.</w:t>
            </w:r>
          </w:p>
          <w:p w:rsidR="00F555D6" w:rsidRPr="005C3B55" w:rsidRDefault="00F555D6" w:rsidP="00F555D6">
            <w:pPr>
              <w:spacing w:after="240" w:line="280" w:lineRule="auto"/>
              <w:rPr>
                <w:szCs w:val="24"/>
              </w:rPr>
            </w:pPr>
            <w:r w:rsidRPr="005C3B55">
              <w:rPr>
                <w:szCs w:val="24"/>
              </w:rPr>
              <w:t>The purpose of these investments is to establish suitably-sized facilities for pre-industrial wood processing, which, in addition to sawing or other activity, will also perform activities such as the drying and impregnation of wood, and processing of waste wood produced in the facility in wood-fuels (pellets, wood chips), the modernisation of the mechanical equipment of existing sawing facilities and the creation of new jobs in the forest-wood chain.</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Type of support</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Public support is granted in the form of non-refundable and refundable financial aid and financial instruments.</w:t>
            </w:r>
          </w:p>
          <w:p w:rsidR="00F555D6" w:rsidRPr="005C3B55" w:rsidRDefault="00F555D6" w:rsidP="00F555D6">
            <w:pPr>
              <w:spacing w:before="240" w:after="240" w:line="280" w:lineRule="auto"/>
              <w:rPr>
                <w:szCs w:val="24"/>
              </w:rPr>
            </w:pPr>
            <w:r w:rsidRPr="005C3B55">
              <w:rPr>
                <w:szCs w:val="24"/>
              </w:rPr>
              <w:t>The forms of financial instruments through which funds are allocated within this sub-measure will be defined after the preparation of the ex-ante assessment. The amendment to the RDP 2014-2020 will be prepared in accordance with the ex-ante assessment.</w:t>
            </w: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Connection with other legislation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252"/>
              </w:numPr>
              <w:spacing w:before="0" w:after="0"/>
              <w:ind w:hanging="290"/>
              <w:jc w:val="left"/>
              <w:rPr>
                <w:szCs w:val="24"/>
              </w:rPr>
            </w:pPr>
            <w:r w:rsidRPr="005C3B55">
              <w:rPr>
                <w:szCs w:val="24"/>
              </w:rPr>
              <w:t>Agriculture Act (Official Gazette of the Republic of Slovenia, no. 45/2008 with all amendments);</w:t>
            </w:r>
          </w:p>
          <w:p w:rsidR="00F555D6" w:rsidRPr="005C3B55" w:rsidRDefault="00F555D6" w:rsidP="00F555D6">
            <w:pPr>
              <w:numPr>
                <w:ilvl w:val="0"/>
                <w:numId w:val="252"/>
              </w:numPr>
              <w:spacing w:before="0" w:after="0"/>
              <w:ind w:hanging="290"/>
              <w:jc w:val="left"/>
              <w:rPr>
                <w:szCs w:val="24"/>
              </w:rPr>
            </w:pPr>
            <w:r w:rsidRPr="005C3B55">
              <w:rPr>
                <w:szCs w:val="24"/>
              </w:rPr>
              <w:t xml:space="preserve"> Articles 65 and 69 of Regulation (EU) No 1303/2013;</w:t>
            </w:r>
          </w:p>
          <w:p w:rsidR="00F555D6" w:rsidRPr="005C3B55" w:rsidRDefault="00F555D6" w:rsidP="00F555D6">
            <w:pPr>
              <w:numPr>
                <w:ilvl w:val="0"/>
                <w:numId w:val="252"/>
              </w:numPr>
              <w:spacing w:before="0" w:after="0"/>
              <w:ind w:hanging="290"/>
              <w:jc w:val="left"/>
              <w:rPr>
                <w:szCs w:val="24"/>
              </w:rPr>
            </w:pPr>
            <w:r w:rsidRPr="005C3B55">
              <w:rPr>
                <w:szCs w:val="24"/>
              </w:rPr>
              <w:t>national regulation which regulates the implementation of this operation; and</w:t>
            </w:r>
          </w:p>
          <w:p w:rsidR="00F555D6" w:rsidRPr="005C3B55" w:rsidRDefault="00F555D6" w:rsidP="00F555D6">
            <w:pPr>
              <w:numPr>
                <w:ilvl w:val="0"/>
                <w:numId w:val="252"/>
              </w:numPr>
              <w:spacing w:before="0" w:after="240"/>
              <w:ind w:hanging="290"/>
              <w:jc w:val="left"/>
              <w:rPr>
                <w:szCs w:val="24"/>
              </w:rPr>
            </w:pPr>
            <w:r w:rsidRPr="005C3B55">
              <w:rPr>
                <w:szCs w:val="24"/>
              </w:rPr>
              <w:t>other EU and national legislation which regulates the implementation of this operation.</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Beneficiaries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Beneficiaries of support are companies, cooperatives, sole traders and farms with registered supplementary activity defined as micro or small enterprises.</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Eligible costs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Eligible for support are costs for the purchase of new machinery and equipment of small-scale, pre-industrial and first wood processing facilities.</w:t>
            </w:r>
          </w:p>
          <w:p w:rsidR="00F555D6" w:rsidRPr="005C3B55" w:rsidRDefault="00F555D6" w:rsidP="00F555D6">
            <w:pPr>
              <w:spacing w:before="240" w:after="240" w:line="280" w:lineRule="auto"/>
              <w:rPr>
                <w:szCs w:val="24"/>
              </w:rPr>
            </w:pPr>
            <w:r w:rsidRPr="005C3B55">
              <w:rPr>
                <w:szCs w:val="24"/>
              </w:rPr>
              <w:t>Cost eligibility is defined in more detail in the provisions of Article 45 of Regulation (EU) No 1305/2013 and Article 69 of Regulation (EU) No 1303/2013.</w:t>
            </w:r>
          </w:p>
          <w:p w:rsidR="00F555D6" w:rsidRPr="005C3B55" w:rsidRDefault="00F555D6" w:rsidP="00F555D6">
            <w:pPr>
              <w:spacing w:before="240" w:after="240" w:line="280" w:lineRule="auto"/>
              <w:rPr>
                <w:szCs w:val="24"/>
              </w:rPr>
            </w:pPr>
            <w:r w:rsidRPr="005C3B55">
              <w:rPr>
                <w:szCs w:val="24"/>
              </w:rPr>
              <w:t>The determination of the amount of eligible costs will take into account the upper limits of individual eligible costs, which will be determined in the Catalogue of the highest values of costs. Regardless of this, the beneficiary will have to enclose one bid with the application. In the case of values not determined in the Catalogue of the highest values of costs, the beneficiary must enclose three bids.</w:t>
            </w:r>
          </w:p>
          <w:p w:rsidR="00F555D6" w:rsidRPr="005C3B55" w:rsidRDefault="00F555D6" w:rsidP="00F555D6">
            <w:pPr>
              <w:spacing w:before="240" w:after="240" w:line="280" w:lineRule="auto"/>
              <w:rPr>
                <w:szCs w:val="24"/>
              </w:rPr>
            </w:pPr>
            <w:r w:rsidRPr="005C3B55">
              <w:rPr>
                <w:szCs w:val="24"/>
              </w:rPr>
              <w:t>The following costs are not entitled to support:</w:t>
            </w:r>
          </w:p>
          <w:p w:rsidR="00F555D6" w:rsidRPr="005C3B55" w:rsidRDefault="00F555D6" w:rsidP="00F555D6">
            <w:pPr>
              <w:numPr>
                <w:ilvl w:val="0"/>
                <w:numId w:val="253"/>
              </w:numPr>
              <w:spacing w:before="240" w:after="0"/>
              <w:ind w:hanging="290"/>
              <w:jc w:val="left"/>
              <w:rPr>
                <w:szCs w:val="24"/>
              </w:rPr>
            </w:pPr>
            <w:r w:rsidRPr="005C3B55">
              <w:rPr>
                <w:szCs w:val="24"/>
              </w:rPr>
              <w:t>interest on debts,</w:t>
            </w:r>
          </w:p>
          <w:p w:rsidR="00F555D6" w:rsidRPr="005C3B55" w:rsidRDefault="00F555D6" w:rsidP="00F555D6">
            <w:pPr>
              <w:numPr>
                <w:ilvl w:val="0"/>
                <w:numId w:val="253"/>
              </w:numPr>
              <w:spacing w:before="0" w:after="0"/>
              <w:ind w:hanging="290"/>
              <w:jc w:val="left"/>
              <w:rPr>
                <w:szCs w:val="24"/>
              </w:rPr>
            </w:pPr>
            <w:r w:rsidRPr="005C3B55">
              <w:rPr>
                <w:szCs w:val="24"/>
              </w:rPr>
              <w:t>value added tax (VAT), unless it is recoverable on the basis of the national legislation on VAT,</w:t>
            </w:r>
          </w:p>
          <w:p w:rsidR="00F555D6" w:rsidRPr="005C3B55" w:rsidRDefault="00F555D6" w:rsidP="00F555D6">
            <w:pPr>
              <w:numPr>
                <w:ilvl w:val="0"/>
                <w:numId w:val="253"/>
              </w:numPr>
              <w:spacing w:before="0" w:after="0"/>
              <w:ind w:hanging="290"/>
              <w:jc w:val="left"/>
              <w:rPr>
                <w:szCs w:val="24"/>
              </w:rPr>
            </w:pPr>
            <w:r w:rsidRPr="005C3B55">
              <w:rPr>
                <w:szCs w:val="24"/>
              </w:rPr>
              <w:t>purchase of undeveloped and developed land,</w:t>
            </w:r>
          </w:p>
          <w:p w:rsidR="00F555D6" w:rsidRPr="005C3B55" w:rsidRDefault="00F555D6" w:rsidP="00F555D6">
            <w:pPr>
              <w:numPr>
                <w:ilvl w:val="0"/>
                <w:numId w:val="253"/>
              </w:numPr>
              <w:spacing w:before="0" w:after="0"/>
              <w:ind w:hanging="290"/>
              <w:jc w:val="left"/>
              <w:rPr>
                <w:szCs w:val="24"/>
              </w:rPr>
            </w:pPr>
            <w:r w:rsidRPr="005C3B55">
              <w:rPr>
                <w:szCs w:val="24"/>
              </w:rPr>
              <w:t>cost of preparing the application for the public procurement and requests for payment of funds, and</w:t>
            </w:r>
          </w:p>
          <w:p w:rsidR="00F555D6" w:rsidRPr="005C3B55" w:rsidRDefault="00F555D6" w:rsidP="00F555D6">
            <w:pPr>
              <w:numPr>
                <w:ilvl w:val="0"/>
                <w:numId w:val="253"/>
              </w:numPr>
              <w:spacing w:before="0" w:after="240"/>
              <w:ind w:hanging="290"/>
              <w:jc w:val="left"/>
              <w:rPr>
                <w:szCs w:val="24"/>
              </w:rPr>
            </w:pPr>
            <w:r w:rsidRPr="005C3B55">
              <w:rPr>
                <w:szCs w:val="24"/>
              </w:rPr>
              <w:t>purchase of used equipment.</w:t>
            </w:r>
          </w:p>
          <w:p w:rsidR="00F555D6" w:rsidRPr="005C3B55" w:rsidRDefault="00F555D6" w:rsidP="00F555D6">
            <w:pPr>
              <w:spacing w:before="240" w:after="240" w:line="280" w:lineRule="auto"/>
              <w:rPr>
                <w:szCs w:val="24"/>
              </w:rPr>
            </w:pPr>
            <w:r w:rsidRPr="005C3B55">
              <w:rPr>
                <w:szCs w:val="24"/>
              </w:rPr>
              <w:t>In the implementation of this operation, certain specific requirements from the aspect of eligibility of costs as per national regulations will be taken into account.</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Conditions for eligibility</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254"/>
              </w:numPr>
              <w:spacing w:before="0" w:after="0"/>
              <w:ind w:hanging="290"/>
              <w:jc w:val="left"/>
              <w:rPr>
                <w:szCs w:val="24"/>
              </w:rPr>
            </w:pPr>
            <w:r w:rsidRPr="005C3B55">
              <w:rPr>
                <w:szCs w:val="24"/>
              </w:rPr>
              <w:t>The beneficiary must be registered for wood processing on the list of activities and products for sub-measure M08.6.</w:t>
            </w:r>
          </w:p>
          <w:p w:rsidR="00F555D6" w:rsidRPr="005C3B55" w:rsidRDefault="00F555D6" w:rsidP="00F555D6">
            <w:pPr>
              <w:numPr>
                <w:ilvl w:val="0"/>
                <w:numId w:val="254"/>
              </w:numPr>
              <w:spacing w:before="240" w:after="240"/>
              <w:jc w:val="left"/>
              <w:rPr>
                <w:szCs w:val="24"/>
              </w:rPr>
            </w:pPr>
            <w:r w:rsidRPr="005C3B55">
              <w:rPr>
                <w:szCs w:val="24"/>
              </w:rPr>
              <w:t>The beneficiary may have a maximum of 50 employees.</w:t>
            </w:r>
          </w:p>
          <w:p w:rsidR="00F555D6" w:rsidRPr="005C3B55" w:rsidRDefault="00F555D6" w:rsidP="00F555D6">
            <w:pPr>
              <w:numPr>
                <w:ilvl w:val="0"/>
                <w:numId w:val="254"/>
              </w:numPr>
              <w:spacing w:before="240" w:after="240"/>
              <w:jc w:val="left"/>
              <w:rPr>
                <w:szCs w:val="24"/>
              </w:rPr>
            </w:pPr>
            <w:r w:rsidRPr="005C3B55">
              <w:rPr>
                <w:szCs w:val="24"/>
              </w:rPr>
              <w:t>The nominal capacity (200 working days, 8 hours) of an activity may amount to:</w:t>
            </w:r>
          </w:p>
          <w:p w:rsidR="00F555D6" w:rsidRPr="005C3B55" w:rsidRDefault="00F555D6" w:rsidP="00F555D6">
            <w:pPr>
              <w:numPr>
                <w:ilvl w:val="1"/>
                <w:numId w:val="254"/>
              </w:numPr>
              <w:spacing w:before="240" w:after="240"/>
              <w:jc w:val="left"/>
              <w:rPr>
                <w:szCs w:val="24"/>
              </w:rPr>
            </w:pPr>
            <w:r w:rsidRPr="005C3B55">
              <w:rPr>
                <w:szCs w:val="24"/>
              </w:rPr>
              <w:t>in sawmills up to 10,000 m</w:t>
            </w:r>
            <w:r w:rsidRPr="005C3B55">
              <w:rPr>
                <w:szCs w:val="24"/>
                <w:vertAlign w:val="superscript"/>
              </w:rPr>
              <w:t>3</w:t>
            </w:r>
            <w:r w:rsidRPr="005C3B55">
              <w:rPr>
                <w:szCs w:val="24"/>
              </w:rPr>
              <w:t xml:space="preserve"> of input for production annually;</w:t>
            </w:r>
          </w:p>
          <w:p w:rsidR="00F555D6" w:rsidRPr="005C3B55" w:rsidRDefault="00F555D6" w:rsidP="00F555D6">
            <w:pPr>
              <w:numPr>
                <w:ilvl w:val="1"/>
                <w:numId w:val="254"/>
              </w:numPr>
              <w:spacing w:before="240" w:after="240"/>
              <w:jc w:val="left"/>
              <w:rPr>
                <w:szCs w:val="24"/>
              </w:rPr>
            </w:pPr>
            <w:r w:rsidRPr="005C3B55">
              <w:rPr>
                <w:szCs w:val="24"/>
              </w:rPr>
              <w:t>for the production of pellets as an additional activity in sawmills with up to 5,000 tonnes produces pellets annually;</w:t>
            </w:r>
          </w:p>
          <w:p w:rsidR="00F555D6" w:rsidRPr="005C3B55" w:rsidRDefault="00F555D6" w:rsidP="00F555D6">
            <w:pPr>
              <w:numPr>
                <w:ilvl w:val="1"/>
                <w:numId w:val="254"/>
              </w:numPr>
              <w:spacing w:before="240" w:after="240"/>
              <w:jc w:val="left"/>
              <w:rPr>
                <w:szCs w:val="24"/>
              </w:rPr>
            </w:pPr>
            <w:r w:rsidRPr="005C3B55">
              <w:rPr>
                <w:szCs w:val="24"/>
              </w:rPr>
              <w:t>for the production of wood chips as an additional activity in sawmills with up to 15,000 m</w:t>
            </w:r>
            <w:r w:rsidRPr="005C3B55">
              <w:rPr>
                <w:szCs w:val="24"/>
                <w:vertAlign w:val="superscript"/>
              </w:rPr>
              <w:t>3</w:t>
            </w:r>
            <w:r w:rsidRPr="005C3B55">
              <w:rPr>
                <w:szCs w:val="24"/>
              </w:rPr>
              <w:t xml:space="preserve"> in bulk (equivalent to the production of 5,000 m</w:t>
            </w:r>
            <w:r w:rsidRPr="005C3B55">
              <w:rPr>
                <w:szCs w:val="24"/>
                <w:vertAlign w:val="superscript"/>
              </w:rPr>
              <w:t>3</w:t>
            </w:r>
            <w:r w:rsidRPr="005C3B55">
              <w:rPr>
                <w:szCs w:val="24"/>
              </w:rPr>
              <w:t xml:space="preserve"> of roundwood) annually;</w:t>
            </w:r>
          </w:p>
          <w:p w:rsidR="00F555D6" w:rsidRPr="005C3B55" w:rsidRDefault="00F555D6" w:rsidP="00F555D6">
            <w:pPr>
              <w:numPr>
                <w:ilvl w:val="1"/>
                <w:numId w:val="254"/>
              </w:numPr>
              <w:spacing w:before="240" w:after="240"/>
              <w:jc w:val="left"/>
              <w:rPr>
                <w:szCs w:val="24"/>
              </w:rPr>
            </w:pPr>
            <w:r w:rsidRPr="005C3B55">
              <w:rPr>
                <w:szCs w:val="24"/>
              </w:rPr>
              <w:t>for the production of wood chips in the forest up to 35,000 m</w:t>
            </w:r>
            <w:r w:rsidRPr="005C3B55">
              <w:rPr>
                <w:szCs w:val="24"/>
                <w:vertAlign w:val="superscript"/>
              </w:rPr>
              <w:t>3</w:t>
            </w:r>
            <w:r w:rsidRPr="005C3B55">
              <w:rPr>
                <w:szCs w:val="24"/>
              </w:rPr>
              <w:t xml:space="preserve"> in bulk (equivalent to the processing of 7,500 m</w:t>
            </w:r>
            <w:r w:rsidRPr="005C3B55">
              <w:rPr>
                <w:szCs w:val="24"/>
                <w:vertAlign w:val="superscript"/>
              </w:rPr>
              <w:t>3</w:t>
            </w:r>
            <w:r w:rsidRPr="005C3B55">
              <w:rPr>
                <w:szCs w:val="24"/>
              </w:rPr>
              <w:t xml:space="preserve"> of roundwood) annually; and</w:t>
            </w:r>
          </w:p>
          <w:p w:rsidR="00F555D6" w:rsidRPr="005C3B55" w:rsidRDefault="00F555D6" w:rsidP="00F555D6">
            <w:pPr>
              <w:numPr>
                <w:ilvl w:val="1"/>
                <w:numId w:val="254"/>
              </w:numPr>
              <w:spacing w:before="240" w:after="240"/>
              <w:jc w:val="left"/>
              <w:rPr>
                <w:szCs w:val="24"/>
              </w:rPr>
            </w:pPr>
            <w:r w:rsidRPr="005C3B55">
              <w:rPr>
                <w:szCs w:val="24"/>
              </w:rPr>
              <w:t>in firewood production facilities up to 10,000 metres of logs in bulk (equivalent to 5,000 m</w:t>
            </w:r>
            <w:r w:rsidRPr="005C3B55">
              <w:rPr>
                <w:szCs w:val="24"/>
                <w:vertAlign w:val="superscript"/>
              </w:rPr>
              <w:t>3</w:t>
            </w:r>
            <w:r w:rsidRPr="005C3B55">
              <w:rPr>
                <w:szCs w:val="24"/>
              </w:rPr>
              <w:t xml:space="preserve"> of roundwood) annually.</w:t>
            </w:r>
          </w:p>
          <w:p w:rsidR="00F555D6" w:rsidRPr="005C3B55" w:rsidRDefault="00F555D6" w:rsidP="00F555D6">
            <w:pPr>
              <w:numPr>
                <w:ilvl w:val="0"/>
                <w:numId w:val="254"/>
              </w:numPr>
              <w:spacing w:before="0" w:after="240"/>
              <w:ind w:hanging="290"/>
              <w:jc w:val="left"/>
              <w:rPr>
                <w:szCs w:val="24"/>
              </w:rPr>
            </w:pPr>
            <w:r w:rsidRPr="005C3B55">
              <w:rPr>
                <w:szCs w:val="24"/>
              </w:rPr>
              <w:t>If the total value of the investment at the submission to the public procurement exceeds EUR 100,000 (excluding VAT), the beneficiary has to submit a business plan which clearly states the economic viability of the investment.</w:t>
            </w:r>
          </w:p>
          <w:p w:rsidR="00F555D6" w:rsidRPr="005C3B55" w:rsidRDefault="00F555D6" w:rsidP="00F555D6">
            <w:pPr>
              <w:spacing w:before="240" w:after="240"/>
              <w:rPr>
                <w:szCs w:val="24"/>
              </w:rPr>
            </w:pPr>
          </w:p>
          <w:p w:rsidR="00F555D6" w:rsidRPr="005C3B55" w:rsidRDefault="0012246E" w:rsidP="00F555D6">
            <w:pPr>
              <w:pStyle w:val="Telobesedila3"/>
              <w:jc w:val="left"/>
              <w:rPr>
                <w:szCs w:val="24"/>
              </w:rPr>
            </w:pPr>
            <w:r w:rsidRPr="005C3B55">
              <w:rPr>
                <w:noProof/>
                <w:szCs w:val="24"/>
                <w:lang w:val="sl-SI"/>
              </w:rPr>
              <w:drawing>
                <wp:inline distT="0" distB="0" distL="0" distR="0">
                  <wp:extent cx="6629400" cy="4638675"/>
                  <wp:effectExtent l="0" t="0" r="0" b="9525"/>
                  <wp:docPr id="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629400" cy="4638675"/>
                          </a:xfrm>
                          <a:prstGeom prst="rect">
                            <a:avLst/>
                          </a:prstGeom>
                          <a:noFill/>
                          <a:ln>
                            <a:noFill/>
                          </a:ln>
                        </pic:spPr>
                      </pic:pic>
                    </a:graphicData>
                  </a:graphic>
                </wp:inline>
              </w:drawing>
            </w:r>
          </w:p>
          <w:p w:rsidR="00F555D6" w:rsidRPr="005C3B55" w:rsidRDefault="00F555D6" w:rsidP="00F555D6">
            <w:pPr>
              <w:pStyle w:val="Noga"/>
              <w:jc w:val="center"/>
              <w:rPr>
                <w:szCs w:val="24"/>
              </w:rPr>
            </w:pPr>
            <w:r w:rsidRPr="005C3B55">
              <w:rPr>
                <w:szCs w:val="24"/>
              </w:rPr>
              <w:t>List of activities and products</w:t>
            </w:r>
          </w:p>
          <w:p w:rsidR="00F555D6" w:rsidRPr="005C3B55" w:rsidRDefault="00F555D6" w:rsidP="00F555D6">
            <w:pPr>
              <w:pStyle w:val="Noga"/>
              <w:jc w:val="center"/>
              <w:rPr>
                <w:szCs w:val="24"/>
              </w:rPr>
            </w:pPr>
          </w:p>
        </w:tc>
      </w:tr>
    </w:tbl>
    <w:p w:rsidR="00F555D6" w:rsidRPr="005C3B55" w:rsidRDefault="00F555D6" w:rsidP="00F555D6">
      <w:pPr>
        <w:pStyle w:val="Naslov6"/>
        <w:numPr>
          <w:ilvl w:val="0"/>
          <w:numId w:val="0"/>
        </w:numPr>
        <w:rPr>
          <w:szCs w:val="24"/>
          <w:lang w:val="en-GB"/>
        </w:rPr>
      </w:pPr>
    </w:p>
    <w:p w:rsidR="00F555D6" w:rsidRPr="005C3B55" w:rsidRDefault="00F555D6" w:rsidP="00F555D6">
      <w:r w:rsidRPr="005C3B55">
        <w:t>List of activities and products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00"/>
        <w:gridCol w:w="1563"/>
        <w:gridCol w:w="2910"/>
        <w:gridCol w:w="3315"/>
      </w:tblGrid>
      <w:tr w:rsidR="00F555D6" w:rsidRPr="005C3B55">
        <w:tc>
          <w:tcPr>
            <w:tcW w:w="1500"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rPr>
                <w:b/>
                <w:szCs w:val="24"/>
              </w:rPr>
            </w:pPr>
            <w:r w:rsidRPr="005C3B55">
              <w:rPr>
                <w:b/>
                <w:szCs w:val="24"/>
              </w:rPr>
              <w:t>Category code SKD 2008</w:t>
            </w:r>
          </w:p>
        </w:tc>
        <w:tc>
          <w:tcPr>
            <w:tcW w:w="1563"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rPr>
                <w:b/>
                <w:szCs w:val="24"/>
              </w:rPr>
            </w:pPr>
            <w:r w:rsidRPr="005C3B55">
              <w:rPr>
                <w:b/>
                <w:szCs w:val="24"/>
              </w:rPr>
              <w:t>Title</w:t>
            </w:r>
          </w:p>
        </w:tc>
        <w:tc>
          <w:tcPr>
            <w:tcW w:w="2910"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rPr>
                <w:b/>
                <w:szCs w:val="24"/>
              </w:rPr>
            </w:pPr>
            <w:r w:rsidRPr="005C3B55">
              <w:rPr>
                <w:b/>
                <w:szCs w:val="24"/>
              </w:rPr>
              <w:t>Supported activities</w:t>
            </w:r>
          </w:p>
        </w:tc>
        <w:tc>
          <w:tcPr>
            <w:tcW w:w="3315"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rPr>
                <w:b/>
                <w:szCs w:val="24"/>
              </w:rPr>
            </w:pPr>
            <w:r w:rsidRPr="005C3B55">
              <w:rPr>
                <w:b/>
                <w:szCs w:val="24"/>
              </w:rPr>
              <w:t>Products according to KN 2012</w:t>
            </w:r>
          </w:p>
        </w:tc>
      </w:tr>
      <w:tr w:rsidR="00F555D6" w:rsidRPr="005C3B55">
        <w:tc>
          <w:tcPr>
            <w:tcW w:w="1500"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rPr>
                <w:b/>
                <w:szCs w:val="24"/>
              </w:rPr>
            </w:pPr>
            <w:r w:rsidRPr="005C3B55">
              <w:rPr>
                <w:b/>
                <w:szCs w:val="24"/>
              </w:rPr>
              <w:t>02.200</w:t>
            </w:r>
          </w:p>
        </w:tc>
        <w:tc>
          <w:tcPr>
            <w:tcW w:w="1563"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rPr>
                <w:b/>
                <w:szCs w:val="24"/>
              </w:rPr>
            </w:pPr>
            <w:r w:rsidRPr="005C3B55">
              <w:rPr>
                <w:b/>
                <w:szCs w:val="24"/>
              </w:rPr>
              <w:t>Logging</w:t>
            </w:r>
          </w:p>
        </w:tc>
        <w:tc>
          <w:tcPr>
            <w:tcW w:w="2910"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pStyle w:val="ListParagraph"/>
              <w:numPr>
                <w:ilvl w:val="0"/>
                <w:numId w:val="254"/>
              </w:numPr>
              <w:spacing w:before="0" w:after="0"/>
              <w:ind w:left="356" w:hanging="284"/>
              <w:jc w:val="left"/>
              <w:rPr>
                <w:szCs w:val="24"/>
              </w:rPr>
            </w:pPr>
            <w:r w:rsidRPr="005C3B55">
              <w:rPr>
                <w:szCs w:val="24"/>
              </w:rPr>
              <w:t>production of wood chips in the forest</w:t>
            </w:r>
          </w:p>
        </w:tc>
        <w:tc>
          <w:tcPr>
            <w:tcW w:w="3315"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rPr>
                <w:b/>
                <w:szCs w:val="24"/>
              </w:rPr>
            </w:pPr>
            <w:r w:rsidRPr="005C3B55">
              <w:rPr>
                <w:b/>
                <w:szCs w:val="24"/>
              </w:rPr>
              <w:t xml:space="preserve">4401 21 </w:t>
            </w:r>
            <w:r w:rsidRPr="005C3B55">
              <w:rPr>
                <w:b/>
                <w:szCs w:val="24"/>
                <w:shd w:val="clear" w:color="auto" w:fill="FFFEEF"/>
              </w:rPr>
              <w:t>Wo</w:t>
            </w:r>
            <w:r w:rsidRPr="005C3B55">
              <w:rPr>
                <w:b/>
                <w:szCs w:val="24"/>
                <w:shd w:val="clear" w:color="auto" w:fill="FFFCCF"/>
              </w:rPr>
              <w:t>od in ch</w:t>
            </w:r>
            <w:r w:rsidRPr="005C3B55">
              <w:rPr>
                <w:b/>
                <w:szCs w:val="24"/>
                <w:shd w:val="clear" w:color="auto" w:fill="FFFEEF"/>
              </w:rPr>
              <w:t>ips or particles</w:t>
            </w:r>
            <w:r w:rsidRPr="005C3B55">
              <w:rPr>
                <w:b/>
                <w:szCs w:val="24"/>
              </w:rPr>
              <w:t>, conifers</w:t>
            </w:r>
          </w:p>
          <w:p w:rsidR="00F555D6" w:rsidRPr="005C3B55" w:rsidRDefault="00F555D6" w:rsidP="00F555D6">
            <w:pPr>
              <w:spacing w:after="0"/>
              <w:rPr>
                <w:b/>
                <w:szCs w:val="24"/>
              </w:rPr>
            </w:pPr>
            <w:r w:rsidRPr="005C3B55">
              <w:rPr>
                <w:b/>
                <w:szCs w:val="24"/>
              </w:rPr>
              <w:t xml:space="preserve">4401 21 </w:t>
            </w:r>
            <w:r w:rsidRPr="005C3B55">
              <w:rPr>
                <w:b/>
                <w:szCs w:val="24"/>
                <w:shd w:val="clear" w:color="auto" w:fill="FFFEEF"/>
              </w:rPr>
              <w:t>Wo</w:t>
            </w:r>
            <w:r w:rsidRPr="005C3B55">
              <w:rPr>
                <w:b/>
                <w:szCs w:val="24"/>
                <w:shd w:val="clear" w:color="auto" w:fill="FFFCCF"/>
              </w:rPr>
              <w:t>od in ch</w:t>
            </w:r>
            <w:r w:rsidRPr="005C3B55">
              <w:rPr>
                <w:b/>
                <w:szCs w:val="24"/>
                <w:shd w:val="clear" w:color="auto" w:fill="FFFEEF"/>
              </w:rPr>
              <w:t>ips or particles</w:t>
            </w:r>
            <w:r w:rsidRPr="005C3B55">
              <w:rPr>
                <w:b/>
                <w:szCs w:val="24"/>
              </w:rPr>
              <w:t>, non-conifers</w:t>
            </w:r>
          </w:p>
        </w:tc>
      </w:tr>
      <w:tr w:rsidR="00F555D6" w:rsidRPr="005C3B55">
        <w:tc>
          <w:tcPr>
            <w:tcW w:w="1500"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rPr>
                <w:b/>
                <w:szCs w:val="24"/>
              </w:rPr>
            </w:pPr>
            <w:r w:rsidRPr="005C3B55">
              <w:rPr>
                <w:b/>
                <w:szCs w:val="24"/>
              </w:rPr>
              <w:t>C16.100</w:t>
            </w:r>
          </w:p>
        </w:tc>
        <w:tc>
          <w:tcPr>
            <w:tcW w:w="1563"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rPr>
                <w:b/>
                <w:szCs w:val="24"/>
              </w:rPr>
            </w:pPr>
            <w:r w:rsidRPr="005C3B55">
              <w:rPr>
                <w:b/>
                <w:szCs w:val="24"/>
              </w:rPr>
              <w:t>Sawmilling and planing of wood</w:t>
            </w:r>
          </w:p>
        </w:tc>
        <w:tc>
          <w:tcPr>
            <w:tcW w:w="2910"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pStyle w:val="ListParagraph"/>
              <w:numPr>
                <w:ilvl w:val="0"/>
                <w:numId w:val="254"/>
              </w:numPr>
              <w:spacing w:before="0" w:after="0"/>
              <w:ind w:left="412" w:hanging="284"/>
              <w:jc w:val="left"/>
              <w:rPr>
                <w:szCs w:val="24"/>
              </w:rPr>
            </w:pPr>
            <w:r w:rsidRPr="005C3B55">
              <w:rPr>
                <w:szCs w:val="24"/>
              </w:rPr>
              <w:t>sawing of wood, planing of wood and other machine processing of roundwood</w:t>
            </w:r>
          </w:p>
          <w:p w:rsidR="00F555D6" w:rsidRPr="005C3B55" w:rsidRDefault="00F555D6" w:rsidP="00F555D6">
            <w:pPr>
              <w:pStyle w:val="ListParagraph"/>
              <w:numPr>
                <w:ilvl w:val="0"/>
                <w:numId w:val="254"/>
              </w:numPr>
              <w:spacing w:before="0" w:after="0"/>
              <w:ind w:left="412" w:hanging="284"/>
              <w:jc w:val="left"/>
              <w:rPr>
                <w:szCs w:val="24"/>
              </w:rPr>
            </w:pPr>
            <w:r w:rsidRPr="005C3B55">
              <w:rPr>
                <w:szCs w:val="24"/>
              </w:rPr>
              <w:t>profiling, particle board making, chipping and cutting of roundwood</w:t>
            </w:r>
          </w:p>
          <w:p w:rsidR="00F555D6" w:rsidRPr="005C3B55" w:rsidRDefault="00F555D6" w:rsidP="00F555D6">
            <w:pPr>
              <w:pStyle w:val="ListParagraph"/>
              <w:numPr>
                <w:ilvl w:val="0"/>
                <w:numId w:val="254"/>
              </w:numPr>
              <w:spacing w:before="0" w:after="0"/>
              <w:ind w:left="412" w:hanging="284"/>
              <w:jc w:val="left"/>
              <w:rPr>
                <w:szCs w:val="24"/>
              </w:rPr>
            </w:pPr>
            <w:r w:rsidRPr="005C3B55">
              <w:rPr>
                <w:szCs w:val="24"/>
              </w:rPr>
              <w:t>production of wooden railway sleepers</w:t>
            </w:r>
          </w:p>
          <w:p w:rsidR="00F555D6" w:rsidRPr="005C3B55" w:rsidRDefault="00F555D6" w:rsidP="00F555D6">
            <w:pPr>
              <w:pStyle w:val="ListParagraph"/>
              <w:numPr>
                <w:ilvl w:val="0"/>
                <w:numId w:val="254"/>
              </w:numPr>
              <w:spacing w:before="0" w:after="0"/>
              <w:ind w:left="412" w:hanging="284"/>
              <w:jc w:val="left"/>
              <w:rPr>
                <w:szCs w:val="24"/>
              </w:rPr>
            </w:pPr>
            <w:r w:rsidRPr="005C3B55">
              <w:rPr>
                <w:szCs w:val="24"/>
              </w:rPr>
              <w:t>production of wooden poles, posts, etc.</w:t>
            </w:r>
          </w:p>
          <w:p w:rsidR="00F555D6" w:rsidRPr="005C3B55" w:rsidRDefault="00F555D6" w:rsidP="00F555D6">
            <w:pPr>
              <w:pStyle w:val="ListParagraph"/>
              <w:numPr>
                <w:ilvl w:val="0"/>
                <w:numId w:val="254"/>
              </w:numPr>
              <w:spacing w:before="0" w:after="0"/>
              <w:ind w:left="412" w:hanging="284"/>
              <w:jc w:val="left"/>
              <w:rPr>
                <w:szCs w:val="24"/>
              </w:rPr>
            </w:pPr>
            <w:r w:rsidRPr="005C3B55">
              <w:rPr>
                <w:szCs w:val="24"/>
              </w:rPr>
              <w:t>production of wood wool, wood flour, wood chips and splinters</w:t>
            </w:r>
          </w:p>
          <w:p w:rsidR="00F555D6" w:rsidRPr="005C3B55" w:rsidRDefault="00F555D6" w:rsidP="00F555D6">
            <w:pPr>
              <w:pStyle w:val="ListParagraph"/>
              <w:numPr>
                <w:ilvl w:val="0"/>
                <w:numId w:val="254"/>
              </w:numPr>
              <w:spacing w:before="0" w:after="0"/>
              <w:ind w:left="412" w:hanging="284"/>
              <w:jc w:val="left"/>
              <w:rPr>
                <w:szCs w:val="24"/>
              </w:rPr>
            </w:pPr>
            <w:r w:rsidRPr="005C3B55">
              <w:rPr>
                <w:szCs w:val="24"/>
              </w:rPr>
              <w:t>drying of wood</w:t>
            </w:r>
          </w:p>
          <w:p w:rsidR="00F555D6" w:rsidRPr="005C3B55" w:rsidRDefault="00F555D6" w:rsidP="00F555D6">
            <w:pPr>
              <w:pStyle w:val="ListParagraph"/>
              <w:numPr>
                <w:ilvl w:val="0"/>
                <w:numId w:val="254"/>
              </w:numPr>
              <w:spacing w:before="0" w:after="0"/>
              <w:ind w:left="412" w:hanging="284"/>
              <w:jc w:val="left"/>
              <w:rPr>
                <w:szCs w:val="24"/>
              </w:rPr>
            </w:pPr>
            <w:r w:rsidRPr="005C3B55">
              <w:rPr>
                <w:szCs w:val="24"/>
              </w:rPr>
              <w:t>impregnation or chemical treatment of wood with protective products or other materials</w:t>
            </w:r>
          </w:p>
        </w:tc>
        <w:tc>
          <w:tcPr>
            <w:tcW w:w="3315"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pStyle w:val="ListParagraph"/>
              <w:numPr>
                <w:ilvl w:val="0"/>
                <w:numId w:val="254"/>
              </w:numPr>
              <w:spacing w:before="0" w:after="0"/>
              <w:ind w:left="412" w:hanging="283"/>
              <w:jc w:val="left"/>
              <w:rPr>
                <w:szCs w:val="24"/>
              </w:rPr>
            </w:pPr>
            <w:r w:rsidRPr="005C3B55">
              <w:rPr>
                <w:szCs w:val="24"/>
              </w:rPr>
              <w:t>4401 21 Splinters, wood chips and similar, of coniferous trees</w:t>
            </w:r>
          </w:p>
          <w:p w:rsidR="00F555D6" w:rsidRPr="005C3B55" w:rsidRDefault="00F555D6" w:rsidP="00F555D6">
            <w:pPr>
              <w:pStyle w:val="ListParagraph"/>
              <w:numPr>
                <w:ilvl w:val="0"/>
                <w:numId w:val="254"/>
              </w:numPr>
              <w:spacing w:before="0" w:after="0"/>
              <w:ind w:left="412" w:hanging="283"/>
              <w:jc w:val="left"/>
              <w:rPr>
                <w:szCs w:val="24"/>
              </w:rPr>
            </w:pPr>
            <w:r w:rsidRPr="005C3B55">
              <w:rPr>
                <w:szCs w:val="24"/>
              </w:rPr>
              <w:t>4401 21 Splinters, wood chips and similar, of non-coniferous trees</w:t>
            </w:r>
          </w:p>
          <w:p w:rsidR="00F555D6" w:rsidRPr="005C3B55" w:rsidRDefault="00F555D6" w:rsidP="00F555D6">
            <w:pPr>
              <w:pStyle w:val="ListParagraph"/>
              <w:numPr>
                <w:ilvl w:val="0"/>
                <w:numId w:val="254"/>
              </w:numPr>
              <w:spacing w:before="0" w:after="0"/>
              <w:ind w:left="412" w:hanging="283"/>
              <w:jc w:val="left"/>
              <w:rPr>
                <w:i/>
                <w:szCs w:val="24"/>
              </w:rPr>
            </w:pPr>
            <w:r w:rsidRPr="005C3B55">
              <w:rPr>
                <w:i/>
                <w:szCs w:val="24"/>
              </w:rPr>
              <w:t>4403 Wood in the</w:t>
            </w:r>
            <w:r w:rsidRPr="005C3B55">
              <w:rPr>
                <w:i/>
                <w:szCs w:val="24"/>
                <w:shd w:val="clear" w:color="auto" w:fill="FFFCCF"/>
              </w:rPr>
              <w:t xml:space="preserve"> </w:t>
            </w:r>
            <w:r w:rsidRPr="005C3B55">
              <w:rPr>
                <w:i/>
                <w:szCs w:val="24"/>
                <w:shd w:val="clear" w:color="auto" w:fill="FFFEEF"/>
              </w:rPr>
              <w:t xml:space="preserve">rough, </w:t>
            </w:r>
            <w:r w:rsidRPr="005C3B55">
              <w:rPr>
                <w:i/>
                <w:szCs w:val="24"/>
              </w:rPr>
              <w:t>whether or not str</w:t>
            </w:r>
            <w:r w:rsidRPr="005C3B55">
              <w:rPr>
                <w:i/>
                <w:szCs w:val="24"/>
                <w:shd w:val="clear" w:color="auto" w:fill="FFFEEF"/>
              </w:rPr>
              <w:t xml:space="preserve">ipped of </w:t>
            </w:r>
            <w:r w:rsidRPr="005C3B55">
              <w:rPr>
                <w:i/>
                <w:szCs w:val="24"/>
                <w:shd w:val="clear" w:color="auto" w:fill="FFFCCF"/>
              </w:rPr>
              <w:t>bark</w:t>
            </w:r>
            <w:r w:rsidRPr="005C3B55">
              <w:rPr>
                <w:i/>
                <w:szCs w:val="24"/>
                <w:shd w:val="clear" w:color="auto" w:fill="FFFEEF"/>
              </w:rPr>
              <w:t xml:space="preserve"> or sap</w:t>
            </w:r>
            <w:r w:rsidRPr="005C3B55">
              <w:rPr>
                <w:i/>
                <w:szCs w:val="24"/>
              </w:rPr>
              <w:t>wood, or roughly squared</w:t>
            </w:r>
          </w:p>
          <w:p w:rsidR="00F555D6" w:rsidRPr="005C3B55" w:rsidRDefault="00F555D6" w:rsidP="00F555D6">
            <w:pPr>
              <w:pStyle w:val="ListParagraph"/>
              <w:numPr>
                <w:ilvl w:val="0"/>
                <w:numId w:val="254"/>
              </w:numPr>
              <w:spacing w:before="0" w:after="0"/>
              <w:ind w:left="412" w:hanging="283"/>
              <w:jc w:val="left"/>
              <w:rPr>
                <w:b/>
                <w:szCs w:val="24"/>
              </w:rPr>
            </w:pPr>
            <w:r w:rsidRPr="005C3B55">
              <w:rPr>
                <w:b/>
                <w:szCs w:val="24"/>
              </w:rPr>
              <w:t>4404 Hoopwood; split poles; piles, pickets an</w:t>
            </w:r>
            <w:r w:rsidRPr="005C3B55">
              <w:rPr>
                <w:b/>
                <w:szCs w:val="24"/>
                <w:shd w:val="clear" w:color="auto" w:fill="FFFEEF"/>
              </w:rPr>
              <w:t>d stake</w:t>
            </w:r>
            <w:r w:rsidRPr="005C3B55">
              <w:rPr>
                <w:b/>
                <w:szCs w:val="24"/>
                <w:shd w:val="clear" w:color="auto" w:fill="FFFCCF"/>
              </w:rPr>
              <w:t>s of wood, poi</w:t>
            </w:r>
            <w:r w:rsidRPr="005C3B55">
              <w:rPr>
                <w:b/>
                <w:szCs w:val="24"/>
                <w:shd w:val="clear" w:color="auto" w:fill="FFFEEF"/>
              </w:rPr>
              <w:t>nted bu</w:t>
            </w:r>
            <w:r w:rsidRPr="005C3B55">
              <w:rPr>
                <w:b/>
                <w:szCs w:val="24"/>
              </w:rPr>
              <w:t>t not sawn lengthwise; wooden sticks, roughly trimmed but not turned, bent or otherwise worked, suitable for the manufacture of walking sticks, umbrellas, tool handles etc.; chipwood and the like</w:t>
            </w:r>
          </w:p>
          <w:p w:rsidR="00F555D6" w:rsidRPr="005C3B55" w:rsidRDefault="00F555D6" w:rsidP="00F555D6">
            <w:pPr>
              <w:pStyle w:val="ListParagraph"/>
              <w:numPr>
                <w:ilvl w:val="0"/>
                <w:numId w:val="254"/>
              </w:numPr>
              <w:spacing w:before="0" w:after="0"/>
              <w:ind w:left="412" w:hanging="283"/>
              <w:jc w:val="left"/>
              <w:rPr>
                <w:b/>
                <w:szCs w:val="24"/>
              </w:rPr>
            </w:pPr>
            <w:r w:rsidRPr="005C3B55">
              <w:rPr>
                <w:b/>
                <w:szCs w:val="24"/>
              </w:rPr>
              <w:t xml:space="preserve">4406 Railway </w:t>
            </w:r>
            <w:r w:rsidRPr="005C3B55">
              <w:rPr>
                <w:b/>
                <w:szCs w:val="24"/>
                <w:shd w:val="clear" w:color="auto" w:fill="FFFCCF"/>
              </w:rPr>
              <w:t>or tra</w:t>
            </w:r>
            <w:r w:rsidRPr="005C3B55">
              <w:rPr>
                <w:b/>
                <w:szCs w:val="24"/>
                <w:shd w:val="clear" w:color="auto" w:fill="FFFEEF"/>
              </w:rPr>
              <w:t>mway s</w:t>
            </w:r>
            <w:r w:rsidRPr="005C3B55">
              <w:rPr>
                <w:b/>
                <w:szCs w:val="24"/>
              </w:rPr>
              <w:t>leepers (c</w:t>
            </w:r>
            <w:r w:rsidRPr="005C3B55">
              <w:rPr>
                <w:b/>
                <w:szCs w:val="24"/>
                <w:shd w:val="clear" w:color="auto" w:fill="FFFEEF"/>
              </w:rPr>
              <w:t>ross-ti</w:t>
            </w:r>
            <w:r w:rsidRPr="005C3B55">
              <w:rPr>
                <w:b/>
                <w:szCs w:val="24"/>
                <w:shd w:val="clear" w:color="auto" w:fill="FFFCCF"/>
              </w:rPr>
              <w:t>es) of wood</w:t>
            </w:r>
          </w:p>
          <w:p w:rsidR="00F555D6" w:rsidRPr="005C3B55" w:rsidRDefault="00F555D6" w:rsidP="00F555D6">
            <w:pPr>
              <w:pStyle w:val="ListParagraph"/>
              <w:numPr>
                <w:ilvl w:val="0"/>
                <w:numId w:val="254"/>
              </w:numPr>
              <w:spacing w:before="0" w:after="0"/>
              <w:ind w:left="412" w:hanging="283"/>
              <w:jc w:val="left"/>
              <w:rPr>
                <w:b/>
                <w:szCs w:val="24"/>
              </w:rPr>
            </w:pPr>
            <w:r w:rsidRPr="005C3B55">
              <w:rPr>
                <w:b/>
                <w:szCs w:val="24"/>
              </w:rPr>
              <w:t>4407 Wood sawn</w:t>
            </w:r>
            <w:r w:rsidRPr="005C3B55">
              <w:rPr>
                <w:b/>
                <w:szCs w:val="24"/>
                <w:shd w:val="clear" w:color="auto" w:fill="FFFCCF"/>
              </w:rPr>
              <w:t xml:space="preserve"> or </w:t>
            </w:r>
            <w:r w:rsidRPr="005C3B55">
              <w:rPr>
                <w:b/>
                <w:szCs w:val="24"/>
                <w:shd w:val="clear" w:color="auto" w:fill="FFFEEF"/>
              </w:rPr>
              <w:t xml:space="preserve">chipped </w:t>
            </w:r>
            <w:r w:rsidRPr="005C3B55">
              <w:rPr>
                <w:b/>
                <w:szCs w:val="24"/>
                <w:shd w:val="clear" w:color="auto" w:fill="FFFCCF"/>
              </w:rPr>
              <w:t>lengthwise</w:t>
            </w:r>
            <w:r w:rsidRPr="005C3B55">
              <w:rPr>
                <w:b/>
                <w:szCs w:val="24"/>
                <w:shd w:val="clear" w:color="auto" w:fill="FFFEEF"/>
              </w:rPr>
              <w:t>, sliced o</w:t>
            </w:r>
            <w:r w:rsidRPr="005C3B55">
              <w:rPr>
                <w:b/>
                <w:szCs w:val="24"/>
              </w:rPr>
              <w:t>r peeled, whether or not planed</w:t>
            </w:r>
            <w:r w:rsidRPr="005C3B55">
              <w:rPr>
                <w:b/>
                <w:szCs w:val="24"/>
                <w:shd w:val="clear" w:color="auto" w:fill="FFFEEF"/>
              </w:rPr>
              <w:t>, sanded o</w:t>
            </w:r>
            <w:r w:rsidRPr="005C3B55">
              <w:rPr>
                <w:b/>
                <w:szCs w:val="24"/>
              </w:rPr>
              <w:t xml:space="preserve">r finger-jointed, of a thickness exceeding 6 mm. </w:t>
            </w:r>
          </w:p>
          <w:p w:rsidR="00F555D6" w:rsidRPr="005C3B55" w:rsidRDefault="00F555D6" w:rsidP="00F555D6">
            <w:pPr>
              <w:pStyle w:val="ListParagraph"/>
              <w:numPr>
                <w:ilvl w:val="0"/>
                <w:numId w:val="254"/>
              </w:numPr>
              <w:spacing w:before="0" w:after="0"/>
              <w:ind w:left="412" w:hanging="283"/>
              <w:jc w:val="left"/>
              <w:rPr>
                <w:szCs w:val="24"/>
              </w:rPr>
            </w:pPr>
          </w:p>
        </w:tc>
      </w:tr>
      <w:tr w:rsidR="00F555D6" w:rsidRPr="005C3B55">
        <w:tc>
          <w:tcPr>
            <w:tcW w:w="1500"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rPr>
                <w:b/>
                <w:szCs w:val="24"/>
              </w:rPr>
            </w:pPr>
            <w:r w:rsidRPr="005C3B55">
              <w:rPr>
                <w:b/>
                <w:szCs w:val="24"/>
              </w:rPr>
              <w:t>C16.290</w:t>
            </w:r>
          </w:p>
        </w:tc>
        <w:tc>
          <w:tcPr>
            <w:tcW w:w="1563"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rPr>
                <w:b/>
                <w:szCs w:val="24"/>
              </w:rPr>
            </w:pPr>
            <w:r w:rsidRPr="005C3B55">
              <w:rPr>
                <w:b/>
                <w:szCs w:val="24"/>
                <w:shd w:val="clear" w:color="auto" w:fill="FFFEEF"/>
              </w:rPr>
              <w:t>Manufa</w:t>
            </w:r>
            <w:r w:rsidRPr="005C3B55">
              <w:rPr>
                <w:b/>
                <w:szCs w:val="24"/>
                <w:shd w:val="clear" w:color="auto" w:fill="FFFCCF"/>
              </w:rPr>
              <w:t>cture of other products of wood; ma</w:t>
            </w:r>
            <w:r w:rsidRPr="005C3B55">
              <w:rPr>
                <w:b/>
                <w:szCs w:val="24"/>
                <w:shd w:val="clear" w:color="auto" w:fill="FFFEEF"/>
              </w:rPr>
              <w:t>nufactu</w:t>
            </w:r>
            <w:r w:rsidRPr="005C3B55">
              <w:rPr>
                <w:b/>
                <w:szCs w:val="24"/>
              </w:rPr>
              <w:t>r</w:t>
            </w:r>
            <w:r w:rsidRPr="005C3B55">
              <w:rPr>
                <w:b/>
                <w:szCs w:val="24"/>
                <w:shd w:val="clear" w:color="auto" w:fill="FFFEEF"/>
              </w:rPr>
              <w:t>e of a</w:t>
            </w:r>
            <w:r w:rsidRPr="005C3B55">
              <w:rPr>
                <w:b/>
                <w:szCs w:val="24"/>
              </w:rPr>
              <w:t>rticles of cork, straw and plaiting materials</w:t>
            </w:r>
          </w:p>
        </w:tc>
        <w:tc>
          <w:tcPr>
            <w:tcW w:w="2910"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pStyle w:val="ListParagraph"/>
              <w:numPr>
                <w:ilvl w:val="0"/>
                <w:numId w:val="881"/>
              </w:numPr>
              <w:spacing w:before="0" w:after="0"/>
              <w:ind w:left="412" w:hanging="284"/>
              <w:jc w:val="left"/>
              <w:rPr>
                <w:szCs w:val="24"/>
              </w:rPr>
            </w:pPr>
            <w:r w:rsidRPr="005C3B55">
              <w:rPr>
                <w:szCs w:val="24"/>
              </w:rPr>
              <w:t>production of wood pellets or briquettes for energy use</w:t>
            </w:r>
          </w:p>
        </w:tc>
        <w:tc>
          <w:tcPr>
            <w:tcW w:w="3315"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pStyle w:val="ListParagraph"/>
              <w:numPr>
                <w:ilvl w:val="0"/>
                <w:numId w:val="881"/>
              </w:numPr>
              <w:spacing w:before="0" w:after="0"/>
              <w:ind w:left="412" w:hanging="283"/>
              <w:jc w:val="left"/>
              <w:rPr>
                <w:i/>
                <w:szCs w:val="24"/>
              </w:rPr>
            </w:pPr>
            <w:r w:rsidRPr="005C3B55">
              <w:rPr>
                <w:i/>
                <w:szCs w:val="24"/>
                <w:shd w:val="clear" w:color="auto" w:fill="FFFBB8"/>
              </w:rPr>
              <w:t xml:space="preserve">4401 Fuel wood, in logs, </w:t>
            </w:r>
            <w:r w:rsidRPr="005C3B55">
              <w:rPr>
                <w:i/>
                <w:szCs w:val="24"/>
                <w:shd w:val="clear" w:color="auto" w:fill="FFFCCF"/>
              </w:rPr>
              <w:t>in b</w:t>
            </w:r>
            <w:r w:rsidRPr="005C3B55">
              <w:rPr>
                <w:i/>
                <w:szCs w:val="24"/>
                <w:shd w:val="clear" w:color="auto" w:fill="FFFEEF"/>
              </w:rPr>
              <w:t>illets, in twi</w:t>
            </w:r>
            <w:r w:rsidRPr="005C3B55">
              <w:rPr>
                <w:i/>
                <w:szCs w:val="24"/>
              </w:rPr>
              <w:t>g</w:t>
            </w:r>
            <w:r w:rsidRPr="005C3B55">
              <w:rPr>
                <w:i/>
                <w:szCs w:val="24"/>
                <w:shd w:val="clear" w:color="auto" w:fill="FFFEEF"/>
              </w:rPr>
              <w:t>s, in fa</w:t>
            </w:r>
            <w:r w:rsidRPr="005C3B55">
              <w:rPr>
                <w:i/>
                <w:szCs w:val="24"/>
              </w:rPr>
              <w:t>ggots or in similar forms; wood in chips or particles; sawdust and wood waste and scrap, whether or not agglomerated in logs, briquettes, pellets or similar forms</w:t>
            </w:r>
          </w:p>
          <w:p w:rsidR="00F555D6" w:rsidRPr="005C3B55" w:rsidRDefault="00F555D6" w:rsidP="00F555D6">
            <w:pPr>
              <w:pStyle w:val="ListParagraph"/>
              <w:numPr>
                <w:ilvl w:val="0"/>
                <w:numId w:val="881"/>
              </w:numPr>
              <w:spacing w:before="0" w:after="0"/>
              <w:ind w:left="412" w:hanging="283"/>
              <w:jc w:val="left"/>
              <w:rPr>
                <w:b/>
                <w:szCs w:val="24"/>
              </w:rPr>
            </w:pPr>
            <w:r w:rsidRPr="005C3B55">
              <w:rPr>
                <w:b/>
                <w:szCs w:val="24"/>
              </w:rPr>
              <w:t>44013100 Wood pellets</w:t>
            </w:r>
          </w:p>
          <w:p w:rsidR="00F555D6" w:rsidRPr="005C3B55" w:rsidRDefault="00F555D6" w:rsidP="00F555D6">
            <w:pPr>
              <w:pStyle w:val="ListParagraph"/>
              <w:numPr>
                <w:ilvl w:val="0"/>
                <w:numId w:val="881"/>
              </w:numPr>
              <w:spacing w:before="0" w:after="0"/>
              <w:ind w:left="412" w:hanging="283"/>
              <w:jc w:val="left"/>
              <w:rPr>
                <w:szCs w:val="24"/>
              </w:rPr>
            </w:pPr>
            <w:r w:rsidRPr="005C3B55">
              <w:rPr>
                <w:b/>
                <w:szCs w:val="24"/>
              </w:rPr>
              <w:t xml:space="preserve">44013920 </w:t>
            </w:r>
            <w:r w:rsidRPr="005C3B55">
              <w:rPr>
                <w:b/>
                <w:szCs w:val="24"/>
                <w:shd w:val="clear" w:color="auto" w:fill="FFFBB8"/>
              </w:rPr>
              <w:t>Sawdust and</w:t>
            </w:r>
            <w:r w:rsidRPr="005C3B55">
              <w:rPr>
                <w:b/>
                <w:szCs w:val="24"/>
                <w:shd w:val="clear" w:color="auto" w:fill="FFFCCF"/>
              </w:rPr>
              <w:t xml:space="preserve"> wo</w:t>
            </w:r>
            <w:r w:rsidRPr="005C3B55">
              <w:rPr>
                <w:b/>
                <w:szCs w:val="24"/>
                <w:shd w:val="clear" w:color="auto" w:fill="FFFBB8"/>
              </w:rPr>
              <w:t>od waste and</w:t>
            </w:r>
            <w:r w:rsidRPr="005C3B55">
              <w:rPr>
                <w:b/>
                <w:szCs w:val="24"/>
                <w:shd w:val="clear" w:color="auto" w:fill="FFFCCF"/>
              </w:rPr>
              <w:t xml:space="preserve"> scrap</w:t>
            </w:r>
            <w:r w:rsidRPr="005C3B55">
              <w:rPr>
                <w:b/>
                <w:szCs w:val="24"/>
                <w:shd w:val="clear" w:color="auto" w:fill="FFFEEF"/>
              </w:rPr>
              <w:t>, wheth</w:t>
            </w:r>
            <w:r w:rsidRPr="005C3B55">
              <w:rPr>
                <w:b/>
                <w:szCs w:val="24"/>
              </w:rPr>
              <w:t>er or not agglomerated (e.g. briquettes)</w:t>
            </w:r>
          </w:p>
        </w:tc>
      </w:tr>
    </w:tbl>
    <w:p w:rsidR="00F555D6" w:rsidRPr="005C3B55" w:rsidRDefault="00F555D6" w:rsidP="00F555D6">
      <w:pPr>
        <w:rPr>
          <w:b/>
        </w:rPr>
      </w:pPr>
      <w:r w:rsidRPr="005C3B55">
        <w:rPr>
          <w:b/>
        </w:rPr>
        <w:t>List of activities of wood processing SKD 2008</w:t>
      </w:r>
    </w:p>
    <w:p w:rsidR="00F555D6" w:rsidRPr="005C3B55" w:rsidRDefault="00F555D6" w:rsidP="00F555D6">
      <w:pPr>
        <w:rPr>
          <w:b/>
        </w:rPr>
      </w:pPr>
      <w:r w:rsidRPr="005C3B55">
        <w:rPr>
          <w:b/>
        </w:rPr>
        <w:t>List of products KN 2012</w:t>
      </w:r>
    </w:p>
    <w:p w:rsidR="00F555D6" w:rsidRPr="005C3B55" w:rsidRDefault="00F555D6" w:rsidP="00F555D6"/>
    <w:p w:rsidR="00F555D6" w:rsidRPr="005C3B55" w:rsidRDefault="00F555D6" w:rsidP="00F555D6">
      <w:pPr>
        <w:pStyle w:val="Naslov6"/>
        <w:tabs>
          <w:tab w:val="clear" w:pos="765"/>
        </w:tabs>
        <w:ind w:left="0" w:firstLine="0"/>
        <w:rPr>
          <w:szCs w:val="24"/>
          <w:lang w:val="en-GB"/>
        </w:rPr>
      </w:pPr>
      <w:r w:rsidRPr="005C3B55">
        <w:rPr>
          <w:noProof w:val="0"/>
          <w:szCs w:val="24"/>
          <w:lang w:val="en-GB"/>
        </w:rPr>
        <w:t>Principles regarding the determination of selection criteria</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The operation will be implemented as a closed public tender.</w:t>
            </w:r>
          </w:p>
          <w:p w:rsidR="00F555D6" w:rsidRPr="005C3B55" w:rsidRDefault="00F555D6" w:rsidP="00F555D6">
            <w:pPr>
              <w:spacing w:before="240" w:after="240" w:line="280" w:lineRule="auto"/>
              <w:rPr>
                <w:szCs w:val="24"/>
              </w:rPr>
            </w:pPr>
            <w:r w:rsidRPr="005C3B55">
              <w:rPr>
                <w:szCs w:val="24"/>
              </w:rPr>
              <w:t>Selected projects whose applications are complete and adequate in terms of content and which meet the conditions for receiving funds and exceed the threshold number of points determined in the public tender will be eligible for support. Applications which score a higher number of points will be selected from among applications that exceed the threshold number of points until the funds available in the public tender are distributed. Among the selection criteria, the greatest emphasis will be on the economic aspect of the investment (for example, the internal rate of return) and the contribution to horizontal objectives.</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(Valid) amounts and support rates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The public support rate amounts to 40 per cent of eligible costs.</w:t>
            </w:r>
          </w:p>
          <w:p w:rsidR="00F555D6" w:rsidRPr="005C3B55" w:rsidRDefault="00F555D6" w:rsidP="00F555D6">
            <w:pPr>
              <w:spacing w:before="240" w:after="240" w:line="280" w:lineRule="auto"/>
              <w:rPr>
                <w:szCs w:val="24"/>
              </w:rPr>
            </w:pPr>
            <w:r w:rsidRPr="005C3B55">
              <w:rPr>
                <w:szCs w:val="24"/>
              </w:rPr>
              <w:t>The lowest amount of public support is EUR 3,500.</w:t>
            </w:r>
          </w:p>
          <w:p w:rsidR="00F555D6" w:rsidRPr="005C3B55" w:rsidRDefault="00F555D6" w:rsidP="00F555D6">
            <w:pPr>
              <w:spacing w:before="240" w:after="240" w:line="280" w:lineRule="auto"/>
              <w:rPr>
                <w:szCs w:val="24"/>
              </w:rPr>
            </w:pPr>
            <w:r w:rsidRPr="005C3B55">
              <w:rPr>
                <w:szCs w:val="24"/>
              </w:rPr>
              <w:t>In the entire programming period 2014-2020, a beneficiary may obtain up to EUR 7,000,000 of public support from this operation.</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Verifiability and possibility of control of measures and/or type of operations</w:t>
      </w:r>
    </w:p>
    <w:p w:rsidR="00F555D6" w:rsidRPr="005C3B55" w:rsidRDefault="00F555D6" w:rsidP="00F555D6">
      <w:pPr>
        <w:pStyle w:val="Naslov7"/>
        <w:tabs>
          <w:tab w:val="clear" w:pos="765"/>
        </w:tabs>
        <w:ind w:left="0" w:firstLine="0"/>
        <w:rPr>
          <w:szCs w:val="24"/>
          <w:lang w:val="en-GB"/>
        </w:rPr>
      </w:pPr>
      <w:r w:rsidRPr="005C3B55">
        <w:rPr>
          <w:noProof w:val="0"/>
          <w:szCs w:val="24"/>
          <w:lang w:val="en-GB"/>
        </w:rPr>
        <w:t>Risks in the implementation of the measure</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b/>
                <w:szCs w:val="24"/>
              </w:rPr>
              <w:t>R1: Application conditions for private beneficiaries</w:t>
            </w:r>
          </w:p>
          <w:p w:rsidR="00F555D6" w:rsidRPr="005C3B55" w:rsidRDefault="00F555D6" w:rsidP="00F555D6">
            <w:pPr>
              <w:spacing w:before="240" w:after="240" w:line="280" w:lineRule="auto"/>
              <w:rPr>
                <w:szCs w:val="24"/>
              </w:rPr>
            </w:pPr>
            <w:r w:rsidRPr="005C3B55">
              <w:rPr>
                <w:szCs w:val="24"/>
              </w:rPr>
              <w:t>The implementation procedure is based on regulations regulating general administrative procedures. Selection procedures may be lengthy (they may take more than six months) due to the statutory deadlines. The situation on the market may change considerably during this time.</w:t>
            </w:r>
          </w:p>
          <w:p w:rsidR="00F555D6" w:rsidRPr="005C3B55" w:rsidRDefault="00F555D6" w:rsidP="00F555D6">
            <w:pPr>
              <w:spacing w:before="240" w:after="240" w:line="280" w:lineRule="auto"/>
              <w:rPr>
                <w:szCs w:val="24"/>
              </w:rPr>
            </w:pPr>
            <w:r w:rsidRPr="005C3B55">
              <w:rPr>
                <w:b/>
                <w:szCs w:val="24"/>
              </w:rPr>
              <w:t>R2: Reasonableness of costs</w:t>
            </w:r>
          </w:p>
          <w:p w:rsidR="00F555D6" w:rsidRPr="005C3B55" w:rsidRDefault="00F555D6" w:rsidP="00F555D6">
            <w:pPr>
              <w:spacing w:before="240" w:after="240" w:line="280" w:lineRule="auto"/>
              <w:rPr>
                <w:szCs w:val="24"/>
              </w:rPr>
            </w:pPr>
            <w:r w:rsidRPr="005C3B55">
              <w:rPr>
                <w:szCs w:val="24"/>
              </w:rPr>
              <w:t>In the implementation of investments, significant price fluctuations for the same or similar costs occur in the market, this is most obviously manifested when purchasing mechanical equipment, where great differences in prices are noted for the same type of machinery on the common European market. There are not many providers of technologically demanding equipment.</w:t>
            </w:r>
          </w:p>
          <w:p w:rsidR="00F555D6" w:rsidRPr="005C3B55" w:rsidRDefault="00F555D6" w:rsidP="00F555D6">
            <w:pPr>
              <w:spacing w:before="240" w:after="240" w:line="280" w:lineRule="auto"/>
              <w:rPr>
                <w:szCs w:val="24"/>
              </w:rPr>
            </w:pPr>
            <w:r w:rsidRPr="005C3B55">
              <w:rPr>
                <w:b/>
                <w:szCs w:val="24"/>
              </w:rPr>
              <w:t>R3: Suitable overview and control system</w:t>
            </w:r>
          </w:p>
          <w:p w:rsidR="00F555D6" w:rsidRPr="005C3B55" w:rsidRDefault="00F555D6" w:rsidP="00F555D6">
            <w:pPr>
              <w:spacing w:before="240" w:after="240" w:line="280" w:lineRule="auto"/>
              <w:rPr>
                <w:szCs w:val="24"/>
              </w:rPr>
            </w:pPr>
            <w:r w:rsidRPr="005C3B55">
              <w:rPr>
                <w:szCs w:val="24"/>
              </w:rPr>
              <w:t>The greatest problem is the inadequate connection between databases in the public administration. This can result in an increased risk of dual co-funding of the same eligible costs.</w:t>
            </w:r>
          </w:p>
          <w:p w:rsidR="00F555D6" w:rsidRPr="005C3B55" w:rsidRDefault="00F555D6" w:rsidP="00F555D6">
            <w:pPr>
              <w:spacing w:before="240" w:after="240" w:line="280" w:lineRule="auto"/>
              <w:rPr>
                <w:szCs w:val="24"/>
              </w:rPr>
            </w:pPr>
            <w:r w:rsidRPr="005C3B55">
              <w:rPr>
                <w:b/>
                <w:szCs w:val="24"/>
              </w:rPr>
              <w:t>R7: Selection of beneficiaries</w:t>
            </w:r>
          </w:p>
          <w:p w:rsidR="00F555D6" w:rsidRPr="005C3B55" w:rsidRDefault="00F555D6" w:rsidP="00F555D6">
            <w:pPr>
              <w:spacing w:before="240" w:after="240" w:line="280" w:lineRule="auto"/>
              <w:rPr>
                <w:szCs w:val="24"/>
              </w:rPr>
            </w:pPr>
            <w:r w:rsidRPr="005C3B55">
              <w:rPr>
                <w:szCs w:val="24"/>
              </w:rPr>
              <w:t>There is the possibility of risk due to the lack of information for beneficiaries and persons responsible for the preparation of application and a lack of understanding of the requirements from the regulations.</w:t>
            </w:r>
          </w:p>
          <w:p w:rsidR="00F555D6" w:rsidRPr="005C3B55" w:rsidRDefault="00F555D6" w:rsidP="00F555D6">
            <w:pPr>
              <w:spacing w:before="240" w:after="240" w:line="280" w:lineRule="auto"/>
              <w:rPr>
                <w:szCs w:val="24"/>
              </w:rPr>
            </w:pPr>
            <w:r w:rsidRPr="005C3B55">
              <w:rPr>
                <w:b/>
                <w:szCs w:val="24"/>
              </w:rPr>
              <w:t>R8: IT systems</w:t>
            </w:r>
          </w:p>
          <w:p w:rsidR="00F555D6" w:rsidRPr="005C3B55" w:rsidRDefault="00F555D6" w:rsidP="00F555D6">
            <w:pPr>
              <w:spacing w:before="240" w:after="240" w:line="280" w:lineRule="auto"/>
              <w:rPr>
                <w:szCs w:val="24"/>
              </w:rPr>
            </w:pPr>
            <w:r w:rsidRPr="005C3B55">
              <w:rPr>
                <w:szCs w:val="24"/>
              </w:rPr>
              <w:t>There is a risk of an IT system that is inadequate for the submission of applications to the public procurement and requests for payment, and which is not advanced and does provide sufficient support. There is also a risk that potential beneficiaries will not be skilled at using this system and that the system will not function optimally.</w:t>
            </w:r>
          </w:p>
          <w:p w:rsidR="00F555D6" w:rsidRPr="005C3B55" w:rsidRDefault="00F555D6" w:rsidP="00F555D6">
            <w:pPr>
              <w:spacing w:before="240" w:after="240" w:line="280" w:lineRule="auto"/>
              <w:rPr>
                <w:szCs w:val="24"/>
              </w:rPr>
            </w:pPr>
            <w:r w:rsidRPr="005C3B55">
              <w:rPr>
                <w:b/>
                <w:szCs w:val="24"/>
              </w:rPr>
              <w:t>R9: Requests for payment</w:t>
            </w:r>
          </w:p>
          <w:p w:rsidR="00F555D6" w:rsidRPr="005C3B55" w:rsidRDefault="00F555D6" w:rsidP="00F555D6">
            <w:pPr>
              <w:spacing w:before="240" w:after="240" w:line="280" w:lineRule="auto"/>
              <w:rPr>
                <w:szCs w:val="24"/>
              </w:rPr>
            </w:pPr>
            <w:r w:rsidRPr="005C3B55">
              <w:rPr>
                <w:szCs w:val="24"/>
              </w:rPr>
              <w:t>A request for the payment of funds is honoured within 30 days following the submission of a complete request for payment. There are no delays in this part. The greatest risk arises in the processing of requests for payment. Due to unprofessional preparation, the procedure for processing may take several months. The main reason is the lack of knowledge among beneficiaries and persons preparing applications.</w:t>
            </w:r>
          </w:p>
          <w:p w:rsidR="00F555D6" w:rsidRPr="005C3B55" w:rsidRDefault="00F555D6" w:rsidP="00F555D6">
            <w:pPr>
              <w:pStyle w:val="Telobesedila"/>
              <w:rPr>
                <w:szCs w:val="24"/>
              </w:rPr>
            </w:pPr>
          </w:p>
        </w:tc>
      </w:tr>
    </w:tbl>
    <w:p w:rsidR="00F555D6" w:rsidRPr="005C3B55" w:rsidRDefault="00F555D6" w:rsidP="00F555D6">
      <w:pPr>
        <w:pStyle w:val="Naslov7"/>
        <w:tabs>
          <w:tab w:val="clear" w:pos="765"/>
        </w:tabs>
        <w:ind w:left="0" w:firstLine="0"/>
        <w:rPr>
          <w:szCs w:val="24"/>
          <w:lang w:val="en-GB"/>
        </w:rPr>
      </w:pPr>
      <w:r w:rsidRPr="005C3B55">
        <w:rPr>
          <w:noProof w:val="0"/>
          <w:szCs w:val="24"/>
          <w:lang w:val="en-GB"/>
        </w:rPr>
        <w:t>Mitigation measures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b/>
                <w:szCs w:val="24"/>
              </w:rPr>
              <w:t>R1: Application conditions for private beneficiaries</w:t>
            </w:r>
          </w:p>
          <w:p w:rsidR="00F555D6" w:rsidRPr="005C3B55" w:rsidRDefault="00F555D6" w:rsidP="00F555D6">
            <w:pPr>
              <w:spacing w:before="240" w:after="240" w:line="280" w:lineRule="auto"/>
              <w:rPr>
                <w:szCs w:val="24"/>
              </w:rPr>
            </w:pPr>
            <w:r w:rsidRPr="005C3B55">
              <w:rPr>
                <w:szCs w:val="24"/>
              </w:rPr>
              <w:t>The duration of administrative procedures cannot be influenced. However, the dissemination of information to potential beneficiaries on the measures and selection procedures of beneficiaries will be improved. Applications are submitted electronically, which shortens the time of application processing. Efforts to improve the unification of public procurements and the clarity of conditions are set to continue, which will contribute to making applications more complete. This will somewhat reduce the risk. The changes to the Agriculture Act (Official Gazette of the RS, No 26/14), introduced in 2014, the provisions of the administrative procedure were changed in order to make the procedure more economical and to accelerate application processing.</w:t>
            </w:r>
          </w:p>
          <w:p w:rsidR="00F555D6" w:rsidRPr="005C3B55" w:rsidRDefault="00F555D6" w:rsidP="00F555D6">
            <w:pPr>
              <w:spacing w:before="240" w:after="240" w:line="280" w:lineRule="auto"/>
              <w:rPr>
                <w:szCs w:val="24"/>
              </w:rPr>
            </w:pPr>
            <w:r w:rsidRPr="005C3B55">
              <w:rPr>
                <w:b/>
                <w:szCs w:val="24"/>
              </w:rPr>
              <w:t>R2: Reasonableness of costs</w:t>
            </w:r>
          </w:p>
          <w:p w:rsidR="00F555D6" w:rsidRPr="005C3B55" w:rsidRDefault="00F555D6" w:rsidP="00F555D6">
            <w:pPr>
              <w:spacing w:before="240" w:after="240" w:line="280" w:lineRule="auto"/>
              <w:rPr>
                <w:szCs w:val="24"/>
              </w:rPr>
            </w:pPr>
            <w:r w:rsidRPr="005C3B55">
              <w:rPr>
                <w:szCs w:val="24"/>
              </w:rPr>
              <w:t>A uniform catalogue of costs for all measures which include investments will be set up. The catalogue will be prepared by an independent external contractor, and it will determine the highest recognised amounts of individual costs, which will be revised if necessary (for example, changed market conditions).</w:t>
            </w:r>
          </w:p>
          <w:p w:rsidR="00F555D6" w:rsidRPr="005C3B55" w:rsidRDefault="00F555D6" w:rsidP="00F555D6">
            <w:pPr>
              <w:spacing w:before="240" w:after="240" w:line="280" w:lineRule="auto"/>
              <w:rPr>
                <w:szCs w:val="24"/>
              </w:rPr>
            </w:pPr>
            <w:r w:rsidRPr="005C3B55">
              <w:rPr>
                <w:b/>
                <w:szCs w:val="24"/>
              </w:rPr>
              <w:t>R3: Suitable overview and control system</w:t>
            </w:r>
          </w:p>
          <w:p w:rsidR="00F555D6" w:rsidRPr="005C3B55" w:rsidRDefault="00F555D6" w:rsidP="00F555D6">
            <w:pPr>
              <w:spacing w:before="240" w:after="240" w:line="280" w:lineRule="auto"/>
              <w:rPr>
                <w:szCs w:val="24"/>
              </w:rPr>
            </w:pPr>
            <w:r w:rsidRPr="005C3B55">
              <w:rPr>
                <w:szCs w:val="24"/>
              </w:rPr>
              <w:t>The connectivity of databases within the public administration will be improved. The demarcation of the contents of eligible costs in relation to other funds will be more precisely defined.</w:t>
            </w:r>
          </w:p>
          <w:p w:rsidR="00F555D6" w:rsidRPr="005C3B55" w:rsidRDefault="00F555D6" w:rsidP="00F555D6">
            <w:pPr>
              <w:spacing w:before="240" w:after="240" w:line="280" w:lineRule="auto"/>
              <w:rPr>
                <w:szCs w:val="24"/>
              </w:rPr>
            </w:pPr>
            <w:r w:rsidRPr="005C3B55">
              <w:rPr>
                <w:b/>
                <w:szCs w:val="24"/>
              </w:rPr>
              <w:t>R7: Selection of beneficiaries</w:t>
            </w:r>
          </w:p>
          <w:p w:rsidR="00F555D6" w:rsidRPr="005C3B55" w:rsidRDefault="00F555D6" w:rsidP="00F555D6">
            <w:pPr>
              <w:spacing w:before="240" w:after="240" w:line="280" w:lineRule="auto"/>
              <w:rPr>
                <w:szCs w:val="24"/>
              </w:rPr>
            </w:pPr>
            <w:r w:rsidRPr="005C3B55">
              <w:rPr>
                <w:szCs w:val="24"/>
              </w:rPr>
              <w:t>With the permanent implementation of the promotion of the measure, organisation of public presentations and other activities (updated website of the Ministry of Agriculture, Forestry and Food, activities of the National Rural Network), we will promptly inform potential beneficiaries on the content of the supported operation.</w:t>
            </w:r>
          </w:p>
          <w:p w:rsidR="00F555D6" w:rsidRPr="005C3B55" w:rsidRDefault="00F555D6" w:rsidP="00F555D6">
            <w:pPr>
              <w:spacing w:before="240" w:after="240" w:line="280" w:lineRule="auto"/>
              <w:rPr>
                <w:szCs w:val="24"/>
              </w:rPr>
            </w:pPr>
            <w:r w:rsidRPr="005C3B55">
              <w:rPr>
                <w:b/>
                <w:szCs w:val="24"/>
              </w:rPr>
              <w:t>R8: IT systems</w:t>
            </w:r>
          </w:p>
          <w:p w:rsidR="00F555D6" w:rsidRPr="005C3B55" w:rsidRDefault="00F555D6" w:rsidP="00F555D6">
            <w:pPr>
              <w:spacing w:before="240" w:after="240" w:line="280" w:lineRule="auto"/>
              <w:rPr>
                <w:szCs w:val="24"/>
              </w:rPr>
            </w:pPr>
            <w:r w:rsidRPr="005C3B55">
              <w:rPr>
                <w:szCs w:val="24"/>
              </w:rPr>
              <w:t>An IT system will be set up which will facilitate electronic submission of applications and requests for payment, thus simplifying the verification of double funding, business operations of associated parties, and separation between the funding of individual costs on the sub-measure level and other measures of the RDP 2014–2020. The system will incorporate different databases, which will enable faster and more precise data verification. The system will also enable monitoring of the implementation of the sub-measure. Training in the use of the IT system will be organised for the drafters of applications and requests.</w:t>
            </w:r>
          </w:p>
          <w:p w:rsidR="00F555D6" w:rsidRPr="005C3B55" w:rsidRDefault="00F555D6" w:rsidP="00F555D6">
            <w:pPr>
              <w:spacing w:before="240" w:after="240" w:line="280" w:lineRule="auto"/>
              <w:rPr>
                <w:szCs w:val="24"/>
              </w:rPr>
            </w:pPr>
            <w:r w:rsidRPr="005C3B55">
              <w:rPr>
                <w:b/>
                <w:szCs w:val="24"/>
              </w:rPr>
              <w:t>R9: Requests for payment</w:t>
            </w:r>
          </w:p>
          <w:p w:rsidR="00F555D6" w:rsidRPr="005C3B55" w:rsidRDefault="00F555D6" w:rsidP="00F555D6">
            <w:pPr>
              <w:spacing w:before="240" w:after="240" w:line="280" w:lineRule="auto"/>
              <w:rPr>
                <w:szCs w:val="24"/>
              </w:rPr>
            </w:pPr>
            <w:r w:rsidRPr="005C3B55">
              <w:rPr>
                <w:szCs w:val="24"/>
              </w:rPr>
              <w:t>The dissemination of information to beneficiaries and persons preparing applications regarding the preparation of requests for the payment of funds will be improved. In this period, the application for processing electronic applications and requests will be upgraded.</w:t>
            </w:r>
          </w:p>
          <w:p w:rsidR="00F555D6" w:rsidRPr="005C3B55" w:rsidRDefault="00F555D6" w:rsidP="00F555D6">
            <w:pPr>
              <w:pStyle w:val="Telobesedila"/>
              <w:rPr>
                <w:szCs w:val="24"/>
              </w:rPr>
            </w:pPr>
          </w:p>
        </w:tc>
      </w:tr>
    </w:tbl>
    <w:p w:rsidR="00F555D6" w:rsidRPr="005C3B55" w:rsidRDefault="00F555D6" w:rsidP="00F555D6">
      <w:pPr>
        <w:pStyle w:val="Naslov7"/>
        <w:tabs>
          <w:tab w:val="clear" w:pos="765"/>
        </w:tabs>
        <w:ind w:left="0" w:firstLine="0"/>
        <w:rPr>
          <w:szCs w:val="24"/>
          <w:lang w:val="en-GB"/>
        </w:rPr>
      </w:pPr>
      <w:r w:rsidRPr="005C3B55">
        <w:rPr>
          <w:noProof w:val="0"/>
          <w:szCs w:val="24"/>
          <w:lang w:val="en-GB"/>
        </w:rPr>
        <w:t>General assessment of the measure</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The operation in the anticipated form is fully feasible and verifiable, and will produce the expected results and contribute to the promotion of diversification, the establishment and development of small enterprises, and the creation of new jobs in rural areas.  It will contribute to the realisation of development needs and the objectives of the RDP 2014–2020. The operation will also greatly contribute to realising horizontal objectives.</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Methodology for calculating support amount, where relevant</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Not relevant.</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Information that relates specifically to the operation</w:t>
      </w:r>
    </w:p>
    <w:p w:rsidR="00F555D6" w:rsidRPr="005C3B55" w:rsidRDefault="00F555D6" w:rsidP="00F555D6">
      <w:pPr>
        <w:spacing w:line="280" w:lineRule="auto"/>
        <w:rPr>
          <w:szCs w:val="24"/>
        </w:rPr>
      </w:pPr>
      <w:r w:rsidRPr="005C3B55">
        <w:rPr>
          <w:szCs w:val="24"/>
        </w:rPr>
        <w:t>Definition and justification of the size of agricultural holdings whose support will depend on the submission of forest management plans or of an equivalent instrument</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Not relevant.</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Definition of an “equivalent instrument”</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Not relevant.</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[Reforestation and creation of woodland] Definition of types, areas and manners used to prevent inappropriate reforestation as stated in Article 6(a) of Delegated Regulation No 807/2014, including a description of environmental and climate conditions in areas where reforestation is anticipated as stated in Article 6(b) of the aforementioned regulation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Not relevant.</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[Reforestation and creation of woodland] Definition of minimum environmental requirements referred to in Article 6 of Delegated Regulation No 807/2014</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Not relevant.</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[Establishment of agricultural-forestry systems] Definition of the lowest and the highest number of trees that may be planted and preserved after they grow per hectare, and of forest species that may be used, pursuant to the second paragraph of Article 23 of Regulation (EU) No 1305/2013</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Not relevant.</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[Establishment of agricultural-forestry systems] Indication of environmental benefits of the supported systems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Not relevant.</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[Prevention and elimination of damage in forests due to forest fires and natural disasters as well as catastrophic events] If appropriate, a list of pests harmful for plants, which may cause the phenomena in question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Not relevant.</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[Prevention and elimination of damage in forests due to forest fires and natural disasters as well as catastrophic events] Definition of forest areas which are classified as areas with medium or high fire hazard in accordance with the relevant forest protection plan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Not relevant.</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[Prevention and elimination of damage in forests due to forest fires and natural disasters as well as catastrophic events] In the case of preventive measures regarding pests and diseases, a description of the relevant phenomena supported by scientific evidence, and, if necessary, including recommendations from scientific organisations on pest and disease management</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Not relevant.</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 xml:space="preserve">[Investments to improve resilience and environmental value of forest ecosystems] Definition of types of justified investments and their expected impact on the environment and/or public applications </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Not relevant.</w:t>
            </w:r>
          </w:p>
          <w:p w:rsidR="00F555D6" w:rsidRPr="005C3B55" w:rsidRDefault="00F555D6" w:rsidP="00F555D6">
            <w:pPr>
              <w:pStyle w:val="Telobesedila"/>
              <w:rPr>
                <w:szCs w:val="24"/>
              </w:rPr>
            </w:pPr>
          </w:p>
        </w:tc>
      </w:tr>
    </w:tbl>
    <w:p w:rsidR="00F555D6" w:rsidRPr="005C3B55" w:rsidRDefault="00F555D6" w:rsidP="00F555D6">
      <w:pPr>
        <w:pStyle w:val="Naslov5"/>
        <w:tabs>
          <w:tab w:val="clear" w:pos="765"/>
        </w:tabs>
        <w:ind w:left="0" w:firstLine="0"/>
        <w:rPr>
          <w:b w:val="0"/>
          <w:szCs w:val="24"/>
          <w:lang w:val="en-GB"/>
        </w:rPr>
      </w:pPr>
      <w:r w:rsidRPr="005C3B55">
        <w:rPr>
          <w:b w:val="0"/>
          <w:szCs w:val="24"/>
          <w:lang w:val="en-GB"/>
        </w:rPr>
        <w:br w:type="page"/>
      </w:r>
      <w:r w:rsidRPr="005C3B55">
        <w:rPr>
          <w:b w:val="0"/>
          <w:noProof w:val="0"/>
          <w:szCs w:val="24"/>
          <w:lang w:val="en-GB"/>
        </w:rPr>
        <w:t>Elimination of damage and restoration of forests after a natural disaster</w:t>
      </w:r>
    </w:p>
    <w:p w:rsidR="00F555D6" w:rsidRPr="005C3B55" w:rsidRDefault="00F555D6" w:rsidP="00F555D6">
      <w:pPr>
        <w:spacing w:line="280" w:lineRule="auto"/>
        <w:rPr>
          <w:szCs w:val="24"/>
        </w:rPr>
      </w:pPr>
      <w:r w:rsidRPr="005C3B55">
        <w:rPr>
          <w:szCs w:val="24"/>
        </w:rPr>
        <w:t xml:space="preserve">Sub-measure: </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255"/>
              </w:numPr>
              <w:rPr>
                <w:szCs w:val="24"/>
              </w:rPr>
            </w:pPr>
            <w:r w:rsidRPr="005C3B55">
              <w:rPr>
                <w:szCs w:val="24"/>
              </w:rPr>
              <w:t>8.4  – Support to eliminate damage to forests due to forest fires and natural disasters as well as catastrophic events</w:t>
            </w: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Description of type of operation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Ice damage in the beginning of 2014 in Slovenian forests was severe. Works will be carried out to eliminate the damage and restore the forest damaged by a natural disaster.</w:t>
            </w:r>
          </w:p>
          <w:p w:rsidR="00F555D6" w:rsidRPr="005C3B55" w:rsidRDefault="00F555D6" w:rsidP="00F555D6">
            <w:pPr>
              <w:spacing w:after="240" w:line="280" w:lineRule="auto"/>
              <w:rPr>
                <w:szCs w:val="24"/>
              </w:rPr>
            </w:pPr>
            <w:r w:rsidRPr="005C3B55">
              <w:rPr>
                <w:szCs w:val="24"/>
              </w:rPr>
              <w:t>These works are set out in the forest restoration plan prepared by the Slovenia Forest Service on the basis of the Forest Act (Official Gazette of the Republic of Slovenia, no. 30/93 with all amendments) and implementing regulations.</w:t>
            </w:r>
          </w:p>
          <w:p w:rsidR="00F555D6" w:rsidRPr="005C3B55" w:rsidRDefault="00F555D6" w:rsidP="00F555D6">
            <w:pPr>
              <w:spacing w:before="240" w:after="240" w:line="280" w:lineRule="auto"/>
              <w:rPr>
                <w:szCs w:val="24"/>
              </w:rPr>
            </w:pPr>
            <w:r w:rsidRPr="005C3B55">
              <w:rPr>
                <w:szCs w:val="24"/>
              </w:rPr>
              <w:t xml:space="preserve">In the area of the forest damaged by glaze ice, the natural restoration of forest will continue over the next decade or even longer. Stand potentials and diversity of species is preserved in this area to a degree that the forest can regenerate in a natural way. The composition of vegetation and thus biotic diversity will even improve, while the natural structure and functions of forest ecosystems will be also established in forests where the tree structure of forest was changed.  </w:t>
            </w:r>
          </w:p>
          <w:p w:rsidR="00F555D6" w:rsidRPr="005C3B55" w:rsidRDefault="00F555D6" w:rsidP="00F555D6">
            <w:pPr>
              <w:spacing w:before="240" w:after="240" w:line="280" w:lineRule="auto"/>
              <w:rPr>
                <w:szCs w:val="24"/>
              </w:rPr>
            </w:pPr>
            <w:r w:rsidRPr="005C3B55">
              <w:rPr>
                <w:szCs w:val="24"/>
              </w:rPr>
              <w:t>Planting of appropriate seedlings as per species compositions and provenance origin in completely destroyed forests will stimulate the successive development of forest, which will strengthen biodiversity and forest stability. The planting of proper tree species for the stand and preparation of the soil for the restoration of forest will also stimulate the growth of other indigenous tree species (e.g. fruit-bearing tree species), shrubs and other ground plants.</w:t>
            </w:r>
          </w:p>
          <w:p w:rsidR="00F555D6" w:rsidRPr="005C3B55" w:rsidRDefault="00F555D6" w:rsidP="00F555D6">
            <w:pPr>
              <w:spacing w:before="240" w:after="240" w:line="280" w:lineRule="auto"/>
              <w:rPr>
                <w:szCs w:val="24"/>
              </w:rPr>
            </w:pPr>
            <w:r w:rsidRPr="005C3B55">
              <w:rPr>
                <w:b/>
                <w:szCs w:val="24"/>
              </w:rPr>
              <w:t>Forest potential destruction</w:t>
            </w:r>
          </w:p>
          <w:p w:rsidR="00F555D6" w:rsidRPr="005C3B55" w:rsidRDefault="00F555D6" w:rsidP="00F555D6">
            <w:pPr>
              <w:spacing w:before="240" w:after="240" w:line="280" w:lineRule="auto"/>
              <w:rPr>
                <w:szCs w:val="24"/>
              </w:rPr>
            </w:pPr>
            <w:r w:rsidRPr="005C3B55">
              <w:rPr>
                <w:szCs w:val="24"/>
              </w:rPr>
              <w:t>The measures for the regeneration of forests damaged by glaze ice, which will be co-financed on the basis of the RDP 2014-2020, will only include measures implemented in forests whose incremental potential was reduced by more than 20% due to damage caused by glaze ice.</w:t>
            </w:r>
          </w:p>
          <w:p w:rsidR="00F555D6" w:rsidRPr="005C3B55" w:rsidRDefault="00F555D6" w:rsidP="00F555D6">
            <w:pPr>
              <w:spacing w:before="240" w:after="240" w:line="280" w:lineRule="auto"/>
              <w:rPr>
                <w:szCs w:val="24"/>
              </w:rPr>
            </w:pPr>
            <w:r w:rsidRPr="005C3B55">
              <w:rPr>
                <w:szCs w:val="24"/>
              </w:rPr>
              <w:t>When preparing a restoration plan for damaged forests, the Slovenian Forest Service determined the amount of wood which will have to be cut down and removed from forests. This amount of wood is expressed in the percentage of growing stock of damaged forests. The data were obtained on the basis of an on-site survey implemented by the public forestry service.</w:t>
            </w:r>
          </w:p>
          <w:p w:rsidR="00F555D6" w:rsidRPr="005C3B55" w:rsidRDefault="00F555D6" w:rsidP="00F555D6">
            <w:pPr>
              <w:spacing w:before="240" w:after="240" w:line="280" w:lineRule="auto"/>
              <w:rPr>
                <w:szCs w:val="24"/>
              </w:rPr>
            </w:pPr>
            <w:r w:rsidRPr="005C3B55">
              <w:rPr>
                <w:szCs w:val="24"/>
              </w:rPr>
              <w:t>Due to the great extent of damaged forest (damage was established on more than half the area of Slovenian forests), it was anticipated that only heavily damaged trees would be felled: conifers with more than one-third of broken canopies and deciduous trees with over 60% reduction in canopies and over 80% reduction in canopies in the most damaged stands.</w:t>
            </w:r>
          </w:p>
          <w:p w:rsidR="00F555D6" w:rsidRPr="005C3B55" w:rsidRDefault="00F555D6" w:rsidP="00F555D6">
            <w:pPr>
              <w:spacing w:before="240" w:after="240" w:line="280" w:lineRule="auto"/>
              <w:rPr>
                <w:szCs w:val="24"/>
              </w:rPr>
            </w:pPr>
            <w:r w:rsidRPr="005C3B55">
              <w:rPr>
                <w:szCs w:val="24"/>
              </w:rPr>
              <w:t>The incremental potential of trees and forest stands depends on the size of their assimilation apparatus (the size of the canopy). On the basis of the survey of damage, it was evident that the incremental potential of damaged forests decreased by a significantly larger share than the share of wood that had to be cut down relating to the growing stock of forests. On the basis of an expert assessment, it was determined that the incremental potential decreased by more than 20% in all forests in which more than 5% of wood volume had to be removed.</w:t>
            </w:r>
          </w:p>
          <w:p w:rsidR="00F555D6" w:rsidRPr="005C3B55" w:rsidRDefault="00F555D6" w:rsidP="00F555D6">
            <w:pPr>
              <w:spacing w:before="240" w:after="240" w:line="280" w:lineRule="auto"/>
              <w:rPr>
                <w:szCs w:val="24"/>
              </w:rPr>
            </w:pPr>
            <w:r w:rsidRPr="005C3B55">
              <w:rPr>
                <w:szCs w:val="24"/>
              </w:rPr>
              <w:t>The data were collected at the level of individual stands. All forest stands are digitalised and thus no problems occur with their identification. We also have data on growing stock for all stands before the occurrence of the natural disaster.</w:t>
            </w:r>
          </w:p>
          <w:p w:rsidR="00F555D6" w:rsidRPr="005C3B55" w:rsidRDefault="00F555D6" w:rsidP="00F555D6">
            <w:pPr>
              <w:spacing w:before="240" w:after="240"/>
              <w:rPr>
                <w:szCs w:val="24"/>
              </w:rPr>
            </w:pPr>
            <w:r w:rsidRPr="005C3B55">
              <w:rPr>
                <w:szCs w:val="24"/>
              </w:rPr>
              <w:t> </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Type of support</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Support is granted in the form of non-refundable financial aid.</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Connection with other legislation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256"/>
              </w:numPr>
              <w:spacing w:before="0" w:after="0"/>
              <w:ind w:hanging="290"/>
              <w:jc w:val="left"/>
              <w:rPr>
                <w:szCs w:val="24"/>
              </w:rPr>
            </w:pPr>
            <w:r w:rsidRPr="005C3B55">
              <w:rPr>
                <w:szCs w:val="24"/>
              </w:rPr>
              <w:t>Agriculture Act (Official Gazette of the Republic of Slovenia, no. 45/2008 with all amendments);</w:t>
            </w:r>
          </w:p>
          <w:p w:rsidR="00F555D6" w:rsidRPr="005C3B55" w:rsidRDefault="00F555D6" w:rsidP="00F555D6">
            <w:pPr>
              <w:numPr>
                <w:ilvl w:val="0"/>
                <w:numId w:val="256"/>
              </w:numPr>
              <w:spacing w:before="0" w:after="0"/>
              <w:ind w:hanging="290"/>
              <w:jc w:val="left"/>
              <w:rPr>
                <w:szCs w:val="24"/>
              </w:rPr>
            </w:pPr>
            <w:r w:rsidRPr="005C3B55">
              <w:rPr>
                <w:szCs w:val="24"/>
              </w:rPr>
              <w:t>Forest Act (Official Gazette of the Republic of Slovenia, no. 30/93 with all amendments);</w:t>
            </w:r>
          </w:p>
          <w:p w:rsidR="00F555D6" w:rsidRPr="005C3B55" w:rsidRDefault="00F555D6" w:rsidP="00F555D6">
            <w:pPr>
              <w:numPr>
                <w:ilvl w:val="0"/>
                <w:numId w:val="256"/>
              </w:numPr>
              <w:spacing w:before="0" w:after="0"/>
              <w:ind w:hanging="290"/>
              <w:jc w:val="left"/>
              <w:rPr>
                <w:szCs w:val="24"/>
              </w:rPr>
            </w:pPr>
            <w:r w:rsidRPr="005C3B55">
              <w:rPr>
                <w:szCs w:val="24"/>
              </w:rPr>
              <w:t>Act Regulating Measures for the Recovery from Ice Damage which affected the Republic of Slovenia between January 30 and February 10 2014 (Official Gazette of the Republic of Slovenia, no. 17/14 with all amendments);</w:t>
            </w:r>
          </w:p>
          <w:p w:rsidR="00F555D6" w:rsidRPr="005C3B55" w:rsidRDefault="00F555D6" w:rsidP="00F555D6">
            <w:pPr>
              <w:numPr>
                <w:ilvl w:val="0"/>
                <w:numId w:val="256"/>
              </w:numPr>
              <w:spacing w:before="0" w:after="0"/>
              <w:ind w:hanging="290"/>
              <w:jc w:val="left"/>
              <w:rPr>
                <w:szCs w:val="24"/>
              </w:rPr>
            </w:pPr>
            <w:r w:rsidRPr="005C3B55">
              <w:rPr>
                <w:szCs w:val="24"/>
              </w:rPr>
              <w:t>Forest Reproductive Material Act (Official Gazette of the Republic of Slovenia, no. 58/02 with amendments);</w:t>
            </w:r>
          </w:p>
          <w:p w:rsidR="00F555D6" w:rsidRPr="005C3B55" w:rsidRDefault="00F555D6" w:rsidP="00F555D6">
            <w:pPr>
              <w:numPr>
                <w:ilvl w:val="0"/>
                <w:numId w:val="256"/>
              </w:numPr>
              <w:spacing w:before="0" w:after="0"/>
              <w:ind w:hanging="290"/>
              <w:jc w:val="left"/>
              <w:rPr>
                <w:szCs w:val="24"/>
              </w:rPr>
            </w:pPr>
            <w:r w:rsidRPr="005C3B55">
              <w:rPr>
                <w:szCs w:val="24"/>
              </w:rPr>
              <w:t>Rules on the protection of forests (Official Gazette of the Republic of Slovenia, no. 114/2008 with all amendments);</w:t>
            </w:r>
          </w:p>
          <w:p w:rsidR="00F555D6" w:rsidRPr="005C3B55" w:rsidRDefault="00F555D6" w:rsidP="00F555D6">
            <w:pPr>
              <w:numPr>
                <w:ilvl w:val="0"/>
                <w:numId w:val="256"/>
              </w:numPr>
              <w:spacing w:before="0" w:after="0"/>
              <w:ind w:hanging="290"/>
              <w:jc w:val="left"/>
              <w:rPr>
                <w:szCs w:val="24"/>
              </w:rPr>
            </w:pPr>
            <w:r w:rsidRPr="005C3B55">
              <w:rPr>
                <w:szCs w:val="24"/>
              </w:rPr>
              <w:t xml:space="preserve"> Articles 65, 67 and 69 of Regulation (EU) No 1303/2013;</w:t>
            </w:r>
          </w:p>
          <w:p w:rsidR="00F555D6" w:rsidRPr="005C3B55" w:rsidRDefault="00F555D6" w:rsidP="00F555D6">
            <w:pPr>
              <w:numPr>
                <w:ilvl w:val="0"/>
                <w:numId w:val="256"/>
              </w:numPr>
              <w:spacing w:before="0" w:after="0"/>
              <w:ind w:hanging="290"/>
              <w:jc w:val="left"/>
              <w:rPr>
                <w:szCs w:val="24"/>
              </w:rPr>
            </w:pPr>
            <w:r w:rsidRPr="005C3B55">
              <w:rPr>
                <w:szCs w:val="24"/>
              </w:rPr>
              <w:t>national regulation which regulates the implementation of this operation; and</w:t>
            </w:r>
          </w:p>
          <w:p w:rsidR="00F555D6" w:rsidRPr="005C3B55" w:rsidRDefault="00F555D6" w:rsidP="00F555D6">
            <w:pPr>
              <w:numPr>
                <w:ilvl w:val="0"/>
                <w:numId w:val="256"/>
              </w:numPr>
              <w:spacing w:before="0" w:after="240"/>
              <w:ind w:hanging="290"/>
              <w:jc w:val="left"/>
              <w:rPr>
                <w:szCs w:val="24"/>
              </w:rPr>
            </w:pPr>
            <w:r w:rsidRPr="005C3B55">
              <w:rPr>
                <w:szCs w:val="24"/>
              </w:rPr>
              <w:t>other EU and national legislation which regulates the implementation of this operation.</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Beneficiaries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The beneficiary of support for the purchase of planting material and material for the protection of seedlings is the Slovenia Forest Service.</w:t>
            </w:r>
          </w:p>
          <w:p w:rsidR="00F555D6" w:rsidRPr="005C3B55" w:rsidRDefault="00F555D6" w:rsidP="00F555D6">
            <w:pPr>
              <w:spacing w:before="240" w:after="240" w:line="280" w:lineRule="auto"/>
              <w:rPr>
                <w:szCs w:val="24"/>
              </w:rPr>
            </w:pPr>
            <w:r w:rsidRPr="005C3B55">
              <w:rPr>
                <w:szCs w:val="24"/>
              </w:rPr>
              <w:t>The beneficiaries of support for eliminating damage and restoring forest are private and public owners or co-owners of forests (including agricultural communities). These beneficiaries may be represented by the Slovenia Forest Service.</w:t>
            </w:r>
          </w:p>
          <w:p w:rsidR="00F555D6" w:rsidRPr="005C3B55" w:rsidRDefault="00F555D6" w:rsidP="00F555D6">
            <w:pPr>
              <w:spacing w:before="240" w:after="240"/>
              <w:rPr>
                <w:szCs w:val="24"/>
              </w:rPr>
            </w:pPr>
            <w:r w:rsidRPr="005C3B55">
              <w:rPr>
                <w:szCs w:val="24"/>
              </w:rPr>
              <w:t> </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Eligible costs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Eligible costs are costs of labour to eliminate damage and restore forests, such as the removal of fallen trees from protective forests, preparation of surfaces for restoration, planting of seedlings, protection of young plants on restored surfaces, care for damaged young plants and thinner poles, forest hygiene and care for restored surfaces, and the costs of material, such as seedlings, cases, poles and fences.</w:t>
            </w:r>
          </w:p>
          <w:p w:rsidR="00F555D6" w:rsidRPr="005C3B55" w:rsidRDefault="00F555D6" w:rsidP="00F555D6">
            <w:pPr>
              <w:spacing w:before="240" w:after="240" w:line="280" w:lineRule="auto"/>
              <w:rPr>
                <w:szCs w:val="24"/>
              </w:rPr>
            </w:pPr>
            <w:r w:rsidRPr="005C3B55">
              <w:rPr>
                <w:szCs w:val="24"/>
              </w:rPr>
              <w:t>The costs are eligible from the date of the occurrence of the natural disaster, i.e. 30 January 2014.</w:t>
            </w:r>
          </w:p>
          <w:p w:rsidR="00F555D6" w:rsidRPr="005C3B55" w:rsidRDefault="00F555D6" w:rsidP="00F555D6">
            <w:pPr>
              <w:spacing w:before="240" w:after="240" w:line="280" w:lineRule="auto"/>
              <w:rPr>
                <w:szCs w:val="24"/>
              </w:rPr>
            </w:pPr>
            <w:r w:rsidRPr="005C3B55">
              <w:rPr>
                <w:szCs w:val="24"/>
              </w:rPr>
              <w:t>The following costs are not entitled to support:</w:t>
            </w:r>
          </w:p>
          <w:p w:rsidR="00F555D6" w:rsidRPr="005C3B55" w:rsidRDefault="00F555D6" w:rsidP="00F555D6">
            <w:pPr>
              <w:numPr>
                <w:ilvl w:val="0"/>
                <w:numId w:val="257"/>
              </w:numPr>
              <w:spacing w:before="240" w:after="0"/>
              <w:ind w:hanging="290"/>
              <w:jc w:val="left"/>
              <w:rPr>
                <w:szCs w:val="24"/>
              </w:rPr>
            </w:pPr>
            <w:r w:rsidRPr="005C3B55">
              <w:rPr>
                <w:szCs w:val="24"/>
              </w:rPr>
              <w:t>interest on debts,</w:t>
            </w:r>
          </w:p>
          <w:p w:rsidR="00F555D6" w:rsidRPr="005C3B55" w:rsidRDefault="00F555D6" w:rsidP="00F555D6">
            <w:pPr>
              <w:numPr>
                <w:ilvl w:val="0"/>
                <w:numId w:val="257"/>
              </w:numPr>
              <w:spacing w:before="0" w:after="0"/>
              <w:ind w:hanging="290"/>
              <w:jc w:val="left"/>
              <w:rPr>
                <w:szCs w:val="24"/>
              </w:rPr>
            </w:pPr>
            <w:r w:rsidRPr="005C3B55">
              <w:rPr>
                <w:szCs w:val="24"/>
              </w:rPr>
              <w:t>value added tax (VAT), unless it is recoverable on the basis of the national legislation on VAT,</w:t>
            </w:r>
          </w:p>
          <w:p w:rsidR="00F555D6" w:rsidRPr="005C3B55" w:rsidRDefault="00F555D6" w:rsidP="00F555D6">
            <w:pPr>
              <w:numPr>
                <w:ilvl w:val="0"/>
                <w:numId w:val="257"/>
              </w:numPr>
              <w:spacing w:before="0" w:after="0"/>
              <w:ind w:hanging="290"/>
              <w:jc w:val="left"/>
              <w:rPr>
                <w:szCs w:val="24"/>
              </w:rPr>
            </w:pPr>
            <w:r w:rsidRPr="005C3B55">
              <w:rPr>
                <w:szCs w:val="24"/>
              </w:rPr>
              <w:t>cost of preparing the application for the public procurement and requests for payment of funds, and</w:t>
            </w:r>
          </w:p>
          <w:p w:rsidR="00F555D6" w:rsidRPr="005C3B55" w:rsidRDefault="00F555D6" w:rsidP="00F555D6">
            <w:pPr>
              <w:numPr>
                <w:ilvl w:val="0"/>
                <w:numId w:val="257"/>
              </w:numPr>
              <w:spacing w:before="0" w:after="240"/>
              <w:ind w:hanging="290"/>
              <w:jc w:val="left"/>
              <w:rPr>
                <w:szCs w:val="24"/>
              </w:rPr>
            </w:pPr>
            <w:r w:rsidRPr="005C3B55">
              <w:rPr>
                <w:szCs w:val="24"/>
              </w:rPr>
              <w:t>purchase of used material.</w:t>
            </w:r>
          </w:p>
          <w:p w:rsidR="00F555D6" w:rsidRPr="005C3B55" w:rsidRDefault="00F555D6" w:rsidP="00F555D6">
            <w:pPr>
              <w:spacing w:before="240" w:after="240" w:line="280" w:lineRule="auto"/>
              <w:rPr>
                <w:szCs w:val="24"/>
              </w:rPr>
            </w:pPr>
            <w:r w:rsidRPr="005C3B55">
              <w:rPr>
                <w:szCs w:val="24"/>
              </w:rPr>
              <w:t>In the implementation of this operation, certain specific requirements from the aspect of eligibility of costs as per national regulations will be taken into account.</w:t>
            </w: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Conditions for eligibility</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The eligibility conditions are as follows:</w:t>
            </w:r>
          </w:p>
          <w:p w:rsidR="00F555D6" w:rsidRPr="005C3B55" w:rsidRDefault="00F555D6" w:rsidP="00F555D6">
            <w:pPr>
              <w:numPr>
                <w:ilvl w:val="0"/>
                <w:numId w:val="258"/>
              </w:numPr>
              <w:spacing w:before="240" w:after="0"/>
              <w:jc w:val="left"/>
              <w:rPr>
                <w:szCs w:val="24"/>
              </w:rPr>
            </w:pPr>
            <w:r w:rsidRPr="005C3B55">
              <w:rPr>
                <w:szCs w:val="24"/>
              </w:rPr>
              <w:t>Works are carried out in accordance with the forest restoration plan in the area defined in this plan and in the forest investment programme pursuant to the Forest Act (Official Gazette of the Republic of Slovenia, no. 30/93 with all amendments).</w:t>
            </w:r>
          </w:p>
          <w:p w:rsidR="00F555D6" w:rsidRPr="005C3B55" w:rsidRDefault="00F555D6" w:rsidP="00F555D6">
            <w:pPr>
              <w:numPr>
                <w:ilvl w:val="0"/>
                <w:numId w:val="258"/>
              </w:numPr>
              <w:spacing w:before="0" w:after="0"/>
              <w:jc w:val="left"/>
              <w:rPr>
                <w:szCs w:val="24"/>
              </w:rPr>
            </w:pPr>
            <w:r w:rsidRPr="005C3B55">
              <w:rPr>
                <w:szCs w:val="24"/>
              </w:rPr>
              <w:t>All works, except forest hygiene and the removal of fallen trees from protected forests, are defined in silviculture plans updated on the basis of the restoration plan.</w:t>
            </w:r>
          </w:p>
          <w:p w:rsidR="00F555D6" w:rsidRPr="005C3B55" w:rsidRDefault="00F555D6" w:rsidP="00F555D6">
            <w:pPr>
              <w:numPr>
                <w:ilvl w:val="0"/>
                <w:numId w:val="258"/>
              </w:numPr>
              <w:spacing w:before="0" w:after="0"/>
              <w:jc w:val="left"/>
              <w:rPr>
                <w:szCs w:val="24"/>
              </w:rPr>
            </w:pPr>
            <w:r w:rsidRPr="005C3B55">
              <w:rPr>
                <w:szCs w:val="24"/>
              </w:rPr>
              <w:t>For these works, the beneficiaries were issued a decision by the Slovenia Forest Service pursuant to the Forest Act (Official Gazette of the Republic of Slovenia, no. 30/93 with all amendments) and the Act Regulating Measures for the Recovery from Ice Damage which affected the Republic of Slovenia between January 30 and February 10 2014 (Official Gazette of the Republic of Slovenia, no. 17/14 with all amendments).</w:t>
            </w:r>
          </w:p>
          <w:p w:rsidR="00F555D6" w:rsidRPr="005C3B55" w:rsidRDefault="00F555D6" w:rsidP="00F555D6">
            <w:pPr>
              <w:numPr>
                <w:ilvl w:val="0"/>
                <w:numId w:val="258"/>
              </w:numPr>
              <w:spacing w:before="0" w:after="240"/>
              <w:jc w:val="left"/>
              <w:rPr>
                <w:szCs w:val="24"/>
              </w:rPr>
            </w:pPr>
            <w:r w:rsidRPr="005C3B55">
              <w:rPr>
                <w:szCs w:val="24"/>
              </w:rPr>
              <w:t>Following completed work, the Slovenia Forest Service took over the works performed as stipulated by the Forest Act (Official Gazette of the Republic of Slovenia, no. 30/93 with all amendments).</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Principles regarding the determination of selection criteria</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The Slovenia Forest Service is the selected beneficiary of support for the purchase of planting material and material for the protection of seedlings.</w:t>
            </w:r>
          </w:p>
          <w:p w:rsidR="00F555D6" w:rsidRPr="005C3B55" w:rsidRDefault="00F555D6" w:rsidP="00F555D6">
            <w:pPr>
              <w:spacing w:before="240" w:after="240" w:line="280" w:lineRule="auto"/>
              <w:rPr>
                <w:szCs w:val="24"/>
              </w:rPr>
            </w:pPr>
            <w:r w:rsidRPr="005C3B55">
              <w:rPr>
                <w:szCs w:val="24"/>
              </w:rPr>
              <w:t>The criterion for the classification of other beneficiaries of support to eliminate damage and restore forest is the inclusion of the beneficiaries’ forest plots in the restoration plan.</w:t>
            </w: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(Valid) amounts and support rates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The rate of public support for the purchase of planting material and material for the protection of seedlings is 100 per cent of eligible costs.</w:t>
            </w:r>
          </w:p>
          <w:p w:rsidR="00F555D6" w:rsidRPr="005C3B55" w:rsidRDefault="00F555D6" w:rsidP="00F555D6">
            <w:pPr>
              <w:spacing w:before="240" w:after="240" w:line="280" w:lineRule="auto"/>
              <w:rPr>
                <w:szCs w:val="24"/>
              </w:rPr>
            </w:pPr>
            <w:r w:rsidRPr="005C3B55">
              <w:rPr>
                <w:szCs w:val="24"/>
              </w:rPr>
              <w:t>Support rates for individual works to eliminate damage and restore forests depend on the levels of importance of the ecological and social functions of the forest, and are shown in the table of support rates for works to eliminate damage and restore forests. The levels of importance of the ecological and social functions of the forest are defined in forest management plans.</w:t>
            </w:r>
          </w:p>
          <w:p w:rsidR="00F555D6" w:rsidRPr="005C3B55" w:rsidRDefault="00F555D6" w:rsidP="00F555D6">
            <w:pPr>
              <w:spacing w:before="240" w:after="240" w:line="280" w:lineRule="auto"/>
              <w:rPr>
                <w:szCs w:val="24"/>
              </w:rPr>
            </w:pPr>
            <w:r w:rsidRPr="005C3B55">
              <w:rPr>
                <w:szCs w:val="24"/>
              </w:rPr>
              <w:t>Recognised values per unit for individual works and materials are defined in accordance with the national regulation.</w:t>
            </w:r>
          </w:p>
          <w:p w:rsidR="00F555D6" w:rsidRPr="005C3B55" w:rsidRDefault="0012246E" w:rsidP="00F555D6">
            <w:pPr>
              <w:pStyle w:val="Telobesedila3"/>
              <w:jc w:val="center"/>
              <w:rPr>
                <w:szCs w:val="24"/>
              </w:rPr>
            </w:pPr>
            <w:r w:rsidRPr="005C3B55">
              <w:rPr>
                <w:noProof/>
                <w:szCs w:val="24"/>
                <w:lang w:val="sl-SI"/>
              </w:rPr>
              <w:drawing>
                <wp:inline distT="0" distB="0" distL="0" distR="0">
                  <wp:extent cx="5819775" cy="5591175"/>
                  <wp:effectExtent l="0" t="0" r="9525" b="9525"/>
                  <wp:docPr id="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819775" cy="5591175"/>
                          </a:xfrm>
                          <a:prstGeom prst="rect">
                            <a:avLst/>
                          </a:prstGeom>
                          <a:noFill/>
                          <a:ln>
                            <a:noFill/>
                          </a:ln>
                        </pic:spPr>
                      </pic:pic>
                    </a:graphicData>
                  </a:graphic>
                </wp:inline>
              </w:drawing>
            </w:r>
          </w:p>
          <w:p w:rsidR="00F555D6" w:rsidRPr="005C3B55" w:rsidRDefault="00F555D6" w:rsidP="00F555D6">
            <w:pPr>
              <w:pStyle w:val="Noga"/>
              <w:jc w:val="center"/>
              <w:rPr>
                <w:szCs w:val="24"/>
              </w:rPr>
            </w:pPr>
            <w:r w:rsidRPr="005C3B55">
              <w:rPr>
                <w:szCs w:val="24"/>
              </w:rPr>
              <w:t>Table of support rates for works to eliminate damage and restore forests</w:t>
            </w:r>
          </w:p>
          <w:p w:rsidR="00F555D6" w:rsidRPr="005C3B55" w:rsidRDefault="00F555D6" w:rsidP="00F555D6">
            <w:pPr>
              <w:pStyle w:val="Noga"/>
              <w:jc w:val="center"/>
              <w:rPr>
                <w:szCs w:val="24"/>
              </w:rPr>
            </w:pPr>
          </w:p>
        </w:tc>
      </w:tr>
    </w:tbl>
    <w:p w:rsidR="00F555D6" w:rsidRPr="005C3B55" w:rsidRDefault="00F555D6" w:rsidP="00F555D6">
      <w:pPr>
        <w:rPr>
          <w:b/>
        </w:rPr>
      </w:pPr>
    </w:p>
    <w:p w:rsidR="00F555D6" w:rsidRPr="005C3B55" w:rsidRDefault="00F555D6" w:rsidP="00F555D6">
      <w:pPr>
        <w:rPr>
          <w:b/>
        </w:rPr>
      </w:pPr>
      <w:r w:rsidRPr="005C3B55">
        <w:rPr>
          <w:b/>
        </w:rPr>
        <w:t>Table of support rates for works to eliminate damage and restore forests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518"/>
        <w:gridCol w:w="2088"/>
        <w:gridCol w:w="2303"/>
        <w:gridCol w:w="2303"/>
      </w:tblGrid>
      <w:tr w:rsidR="00F555D6" w:rsidRPr="005C3B55">
        <w:tc>
          <w:tcPr>
            <w:tcW w:w="4606" w:type="dxa"/>
            <w:gridSpan w:val="2"/>
            <w:tcBorders>
              <w:top w:val="nil"/>
              <w:left w:val="nil"/>
              <w:bottom w:val="single" w:sz="4" w:space="0" w:color="auto"/>
              <w:right w:val="single" w:sz="4" w:space="0" w:color="auto"/>
            </w:tcBorders>
          </w:tcPr>
          <w:p w:rsidR="00F555D6" w:rsidRPr="005C3B55" w:rsidRDefault="00F555D6" w:rsidP="00F555D6">
            <w:pPr>
              <w:spacing w:after="0"/>
              <w:rPr>
                <w:b/>
              </w:rPr>
            </w:pPr>
          </w:p>
        </w:tc>
        <w:tc>
          <w:tcPr>
            <w:tcW w:w="4606" w:type="dxa"/>
            <w:gridSpan w:val="2"/>
            <w:tcBorders>
              <w:top w:val="single" w:sz="4" w:space="0" w:color="auto"/>
              <w:left w:val="single" w:sz="4" w:space="0" w:color="auto"/>
              <w:bottom w:val="single" w:sz="4" w:space="0" w:color="auto"/>
              <w:right w:val="single" w:sz="4" w:space="0" w:color="auto"/>
            </w:tcBorders>
            <w:shd w:val="clear" w:color="auto" w:fill="EEECE1"/>
          </w:tcPr>
          <w:p w:rsidR="00F555D6" w:rsidRPr="005C3B55" w:rsidRDefault="00F555D6" w:rsidP="00F555D6">
            <w:pPr>
              <w:spacing w:after="0"/>
              <w:jc w:val="center"/>
              <w:rPr>
                <w:b/>
              </w:rPr>
            </w:pPr>
            <w:r w:rsidRPr="005C3B55">
              <w:rPr>
                <w:b/>
              </w:rPr>
              <w:t>SUPPORT RATES</w:t>
            </w:r>
          </w:p>
        </w:tc>
      </w:tr>
      <w:tr w:rsidR="00F555D6" w:rsidRPr="005C3B55">
        <w:tc>
          <w:tcPr>
            <w:tcW w:w="9212" w:type="dxa"/>
            <w:gridSpan w:val="4"/>
            <w:tcBorders>
              <w:top w:val="single" w:sz="4" w:space="0" w:color="auto"/>
              <w:left w:val="single" w:sz="4" w:space="0" w:color="auto"/>
              <w:bottom w:val="single" w:sz="4" w:space="0" w:color="auto"/>
              <w:right w:val="single" w:sz="4" w:space="0" w:color="auto"/>
            </w:tcBorders>
            <w:shd w:val="clear" w:color="auto" w:fill="EEECE1"/>
          </w:tcPr>
          <w:p w:rsidR="00F555D6" w:rsidRPr="005C3B55" w:rsidRDefault="00F555D6" w:rsidP="00F555D6">
            <w:pPr>
              <w:spacing w:after="0"/>
              <w:jc w:val="center"/>
              <w:rPr>
                <w:b/>
              </w:rPr>
            </w:pPr>
            <w:r w:rsidRPr="005C3B55">
              <w:rPr>
                <w:b/>
              </w:rPr>
              <w:t>Importance of functions</w:t>
            </w:r>
          </w:p>
        </w:tc>
      </w:tr>
      <w:tr w:rsidR="00F555D6" w:rsidRPr="005C3B55">
        <w:tc>
          <w:tcPr>
            <w:tcW w:w="2518" w:type="dxa"/>
            <w:tcBorders>
              <w:top w:val="single" w:sz="4" w:space="0" w:color="auto"/>
              <w:left w:val="single" w:sz="4" w:space="0" w:color="auto"/>
              <w:bottom w:val="single" w:sz="4" w:space="0" w:color="auto"/>
              <w:right w:val="single" w:sz="4" w:space="0" w:color="auto"/>
            </w:tcBorders>
            <w:shd w:val="clear" w:color="auto" w:fill="EEECE1"/>
          </w:tcPr>
          <w:p w:rsidR="00F555D6" w:rsidRPr="005C3B55" w:rsidRDefault="00F555D6" w:rsidP="00F555D6">
            <w:pPr>
              <w:spacing w:after="0"/>
              <w:rPr>
                <w:b/>
              </w:rPr>
            </w:pPr>
            <w:r w:rsidRPr="005C3B55">
              <w:rPr>
                <w:b/>
              </w:rPr>
              <w:t>Type of work–activity</w:t>
            </w:r>
          </w:p>
        </w:tc>
        <w:tc>
          <w:tcPr>
            <w:tcW w:w="2088" w:type="dxa"/>
            <w:tcBorders>
              <w:top w:val="single" w:sz="4" w:space="0" w:color="auto"/>
              <w:left w:val="single" w:sz="4" w:space="0" w:color="auto"/>
              <w:bottom w:val="single" w:sz="4" w:space="0" w:color="auto"/>
              <w:right w:val="single" w:sz="4" w:space="0" w:color="auto"/>
            </w:tcBorders>
            <w:shd w:val="clear" w:color="auto" w:fill="EEECE1"/>
          </w:tcPr>
          <w:p w:rsidR="00F555D6" w:rsidRPr="005C3B55" w:rsidRDefault="00F555D6" w:rsidP="00F555D6">
            <w:pPr>
              <w:spacing w:after="0"/>
              <w:rPr>
                <w:b/>
              </w:rPr>
            </w:pPr>
            <w:r w:rsidRPr="005C3B55">
              <w:rPr>
                <w:b/>
              </w:rPr>
              <w:t>Level 1</w:t>
            </w:r>
          </w:p>
        </w:tc>
        <w:tc>
          <w:tcPr>
            <w:tcW w:w="2303" w:type="dxa"/>
            <w:tcBorders>
              <w:top w:val="single" w:sz="4" w:space="0" w:color="auto"/>
              <w:left w:val="single" w:sz="4" w:space="0" w:color="auto"/>
              <w:bottom w:val="single" w:sz="4" w:space="0" w:color="auto"/>
              <w:right w:val="single" w:sz="4" w:space="0" w:color="auto"/>
            </w:tcBorders>
            <w:shd w:val="clear" w:color="auto" w:fill="EEECE1"/>
          </w:tcPr>
          <w:p w:rsidR="00F555D6" w:rsidRPr="005C3B55" w:rsidRDefault="00F555D6" w:rsidP="00F555D6">
            <w:pPr>
              <w:spacing w:after="0"/>
              <w:rPr>
                <w:b/>
              </w:rPr>
            </w:pPr>
            <w:r w:rsidRPr="005C3B55">
              <w:rPr>
                <w:b/>
              </w:rPr>
              <w:t>Level 2</w:t>
            </w:r>
          </w:p>
        </w:tc>
        <w:tc>
          <w:tcPr>
            <w:tcW w:w="2303" w:type="dxa"/>
            <w:tcBorders>
              <w:top w:val="single" w:sz="4" w:space="0" w:color="auto"/>
              <w:left w:val="single" w:sz="4" w:space="0" w:color="auto"/>
              <w:bottom w:val="single" w:sz="4" w:space="0" w:color="auto"/>
              <w:right w:val="single" w:sz="4" w:space="0" w:color="auto"/>
            </w:tcBorders>
            <w:shd w:val="clear" w:color="auto" w:fill="EEECE1"/>
          </w:tcPr>
          <w:p w:rsidR="00F555D6" w:rsidRPr="005C3B55" w:rsidRDefault="00F555D6" w:rsidP="00F555D6">
            <w:pPr>
              <w:spacing w:after="0"/>
              <w:rPr>
                <w:b/>
              </w:rPr>
            </w:pPr>
            <w:r w:rsidRPr="005C3B55">
              <w:rPr>
                <w:b/>
              </w:rPr>
              <w:t>Level 3</w:t>
            </w:r>
          </w:p>
        </w:tc>
      </w:tr>
      <w:tr w:rsidR="00F555D6" w:rsidRPr="005C3B55">
        <w:tc>
          <w:tcPr>
            <w:tcW w:w="2518"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rPr>
                <w:b/>
              </w:rPr>
            </w:pPr>
            <w:r w:rsidRPr="005C3B55">
              <w:t>Care for restored surfaces</w:t>
            </w:r>
          </w:p>
        </w:tc>
        <w:tc>
          <w:tcPr>
            <w:tcW w:w="2088"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jc w:val="center"/>
              <w:rPr>
                <w:b/>
              </w:rPr>
            </w:pPr>
            <w:r w:rsidRPr="005C3B55">
              <w:rPr>
                <w:b/>
              </w:rPr>
              <w:t>50%</w:t>
            </w:r>
          </w:p>
        </w:tc>
        <w:tc>
          <w:tcPr>
            <w:tcW w:w="2303"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jc w:val="center"/>
              <w:rPr>
                <w:b/>
              </w:rPr>
            </w:pPr>
            <w:r w:rsidRPr="005C3B55">
              <w:rPr>
                <w:b/>
              </w:rPr>
              <w:t>40%</w:t>
            </w:r>
          </w:p>
        </w:tc>
        <w:tc>
          <w:tcPr>
            <w:tcW w:w="2303"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jc w:val="center"/>
              <w:rPr>
                <w:b/>
              </w:rPr>
            </w:pPr>
            <w:r w:rsidRPr="005C3B55">
              <w:rPr>
                <w:b/>
              </w:rPr>
              <w:t>30%</w:t>
            </w:r>
          </w:p>
        </w:tc>
      </w:tr>
      <w:tr w:rsidR="00F555D6" w:rsidRPr="005C3B55">
        <w:tc>
          <w:tcPr>
            <w:tcW w:w="2518"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rPr>
                <w:b/>
              </w:rPr>
            </w:pPr>
            <w:r w:rsidRPr="005C3B55">
              <w:t>Care for damaged young plants and thinner poles</w:t>
            </w:r>
          </w:p>
        </w:tc>
        <w:tc>
          <w:tcPr>
            <w:tcW w:w="2088"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jc w:val="center"/>
              <w:rPr>
                <w:b/>
              </w:rPr>
            </w:pPr>
            <w:r w:rsidRPr="005C3B55">
              <w:rPr>
                <w:b/>
              </w:rPr>
              <w:t>50%</w:t>
            </w:r>
          </w:p>
        </w:tc>
        <w:tc>
          <w:tcPr>
            <w:tcW w:w="2303"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jc w:val="center"/>
              <w:rPr>
                <w:b/>
              </w:rPr>
            </w:pPr>
            <w:r w:rsidRPr="005C3B55">
              <w:rPr>
                <w:b/>
              </w:rPr>
              <w:t>40%</w:t>
            </w:r>
          </w:p>
        </w:tc>
        <w:tc>
          <w:tcPr>
            <w:tcW w:w="2303"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jc w:val="center"/>
              <w:rPr>
                <w:b/>
              </w:rPr>
            </w:pPr>
            <w:r w:rsidRPr="005C3B55">
              <w:rPr>
                <w:b/>
              </w:rPr>
              <w:t>30%</w:t>
            </w:r>
          </w:p>
        </w:tc>
      </w:tr>
      <w:tr w:rsidR="00F555D6" w:rsidRPr="005C3B55">
        <w:tc>
          <w:tcPr>
            <w:tcW w:w="2518"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rPr>
                <w:b/>
              </w:rPr>
            </w:pPr>
            <w:r w:rsidRPr="005C3B55">
              <w:t>Restoration with planting</w:t>
            </w:r>
          </w:p>
        </w:tc>
        <w:tc>
          <w:tcPr>
            <w:tcW w:w="2088"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jc w:val="center"/>
              <w:rPr>
                <w:b/>
              </w:rPr>
            </w:pPr>
            <w:r w:rsidRPr="005C3B55">
              <w:rPr>
                <w:b/>
              </w:rPr>
              <w:t>60%</w:t>
            </w:r>
          </w:p>
        </w:tc>
        <w:tc>
          <w:tcPr>
            <w:tcW w:w="2303"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jc w:val="center"/>
              <w:rPr>
                <w:b/>
              </w:rPr>
            </w:pPr>
            <w:r w:rsidRPr="005C3B55">
              <w:rPr>
                <w:b/>
              </w:rPr>
              <w:t>50%</w:t>
            </w:r>
          </w:p>
        </w:tc>
        <w:tc>
          <w:tcPr>
            <w:tcW w:w="2303"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jc w:val="center"/>
              <w:rPr>
                <w:b/>
              </w:rPr>
            </w:pPr>
            <w:r w:rsidRPr="005C3B55">
              <w:rPr>
                <w:b/>
              </w:rPr>
              <w:t>40%</w:t>
            </w:r>
          </w:p>
        </w:tc>
      </w:tr>
      <w:tr w:rsidR="00F555D6" w:rsidRPr="005C3B55">
        <w:tc>
          <w:tcPr>
            <w:tcW w:w="2518"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rPr>
                <w:b/>
              </w:rPr>
            </w:pPr>
            <w:r w:rsidRPr="005C3B55">
              <w:t>Protection of young plants on restored surfaces</w:t>
            </w:r>
          </w:p>
        </w:tc>
        <w:tc>
          <w:tcPr>
            <w:tcW w:w="2088"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jc w:val="center"/>
              <w:rPr>
                <w:b/>
              </w:rPr>
            </w:pPr>
            <w:r w:rsidRPr="005C3B55">
              <w:rPr>
                <w:b/>
              </w:rPr>
              <w:t>90%</w:t>
            </w:r>
          </w:p>
        </w:tc>
        <w:tc>
          <w:tcPr>
            <w:tcW w:w="2303"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jc w:val="center"/>
              <w:rPr>
                <w:b/>
              </w:rPr>
            </w:pPr>
            <w:r w:rsidRPr="005C3B55">
              <w:rPr>
                <w:b/>
              </w:rPr>
              <w:t>80%</w:t>
            </w:r>
          </w:p>
        </w:tc>
        <w:tc>
          <w:tcPr>
            <w:tcW w:w="2303"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jc w:val="center"/>
              <w:rPr>
                <w:b/>
              </w:rPr>
            </w:pPr>
            <w:r w:rsidRPr="005C3B55">
              <w:rPr>
                <w:b/>
              </w:rPr>
              <w:t>70%</w:t>
            </w:r>
          </w:p>
        </w:tc>
      </w:tr>
      <w:tr w:rsidR="00F555D6" w:rsidRPr="005C3B55">
        <w:tc>
          <w:tcPr>
            <w:tcW w:w="2518"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rPr>
                <w:b/>
              </w:rPr>
            </w:pPr>
            <w:r w:rsidRPr="005C3B55">
              <w:t>Preparation of surfaces for restoration</w:t>
            </w:r>
          </w:p>
        </w:tc>
        <w:tc>
          <w:tcPr>
            <w:tcW w:w="6694" w:type="dxa"/>
            <w:gridSpan w:val="3"/>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jc w:val="center"/>
              <w:rPr>
                <w:b/>
              </w:rPr>
            </w:pPr>
            <w:r w:rsidRPr="005C3B55">
              <w:rPr>
                <w:b/>
              </w:rPr>
              <w:t>100%</w:t>
            </w:r>
          </w:p>
        </w:tc>
      </w:tr>
      <w:tr w:rsidR="00F555D6" w:rsidRPr="005C3B55">
        <w:tc>
          <w:tcPr>
            <w:tcW w:w="2518"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rPr>
                <w:b/>
              </w:rPr>
            </w:pPr>
            <w:r w:rsidRPr="005C3B55">
              <w:t>Removal of fallen trees from protective forests</w:t>
            </w:r>
          </w:p>
        </w:tc>
        <w:tc>
          <w:tcPr>
            <w:tcW w:w="6694" w:type="dxa"/>
            <w:gridSpan w:val="3"/>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jc w:val="center"/>
              <w:rPr>
                <w:b/>
              </w:rPr>
            </w:pPr>
            <w:r w:rsidRPr="005C3B55">
              <w:rPr>
                <w:b/>
              </w:rPr>
              <w:t>100%</w:t>
            </w:r>
          </w:p>
        </w:tc>
      </w:tr>
      <w:tr w:rsidR="00F555D6" w:rsidRPr="005C3B55">
        <w:tc>
          <w:tcPr>
            <w:tcW w:w="2518"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Establishment of forest hygiene</w:t>
            </w:r>
          </w:p>
        </w:tc>
        <w:tc>
          <w:tcPr>
            <w:tcW w:w="6694" w:type="dxa"/>
            <w:gridSpan w:val="3"/>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jc w:val="center"/>
              <w:rPr>
                <w:b/>
              </w:rPr>
            </w:pPr>
            <w:r w:rsidRPr="005C3B55">
              <w:rPr>
                <w:b/>
              </w:rPr>
              <w:t>100%</w:t>
            </w:r>
          </w:p>
        </w:tc>
      </w:tr>
    </w:tbl>
    <w:p w:rsidR="00F555D6" w:rsidRPr="005C3B55" w:rsidRDefault="00F555D6" w:rsidP="00F555D6">
      <w:pPr>
        <w:pStyle w:val="Naslov6"/>
        <w:numPr>
          <w:ilvl w:val="0"/>
          <w:numId w:val="0"/>
        </w:numPr>
        <w:rPr>
          <w:szCs w:val="24"/>
          <w:lang w:val="en-GB"/>
        </w:rPr>
      </w:pPr>
    </w:p>
    <w:p w:rsidR="00F555D6" w:rsidRPr="005C3B55" w:rsidRDefault="00F555D6" w:rsidP="00F555D6">
      <w:pPr>
        <w:pStyle w:val="Naslov6"/>
        <w:tabs>
          <w:tab w:val="clear" w:pos="765"/>
        </w:tabs>
        <w:ind w:left="0" w:firstLine="0"/>
        <w:rPr>
          <w:szCs w:val="24"/>
          <w:lang w:val="en-GB"/>
        </w:rPr>
      </w:pPr>
      <w:r w:rsidRPr="005C3B55">
        <w:rPr>
          <w:noProof w:val="0"/>
          <w:szCs w:val="24"/>
          <w:lang w:val="en-GB"/>
        </w:rPr>
        <w:t>Verifiability and possibility of control of measures and/or type of operations</w:t>
      </w:r>
    </w:p>
    <w:p w:rsidR="00F555D6" w:rsidRPr="005C3B55" w:rsidRDefault="00F555D6" w:rsidP="00F555D6">
      <w:pPr>
        <w:pStyle w:val="Naslov7"/>
        <w:tabs>
          <w:tab w:val="clear" w:pos="765"/>
        </w:tabs>
        <w:ind w:left="0" w:firstLine="0"/>
        <w:rPr>
          <w:szCs w:val="24"/>
          <w:lang w:val="en-GB"/>
        </w:rPr>
      </w:pPr>
      <w:r w:rsidRPr="005C3B55">
        <w:rPr>
          <w:noProof w:val="0"/>
          <w:szCs w:val="24"/>
          <w:lang w:val="en-GB"/>
        </w:rPr>
        <w:t>Risks in the implementation of the measure</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b/>
                <w:szCs w:val="24"/>
              </w:rPr>
              <w:t>R4: Public procurement</w:t>
            </w:r>
          </w:p>
          <w:p w:rsidR="00F555D6" w:rsidRPr="005C3B55" w:rsidRDefault="00F555D6" w:rsidP="00F555D6">
            <w:pPr>
              <w:spacing w:before="240" w:after="240" w:line="280" w:lineRule="auto"/>
              <w:rPr>
                <w:szCs w:val="24"/>
              </w:rPr>
            </w:pPr>
            <w:r w:rsidRPr="005C3B55">
              <w:rPr>
                <w:szCs w:val="24"/>
              </w:rPr>
              <w:t>The risks in the implementation of the measure are, in particular, the long period needed to implement the public procurement procedure, complaints and review procedures, and possible agreements between providers.</w:t>
            </w:r>
          </w:p>
          <w:p w:rsidR="00F555D6" w:rsidRPr="005C3B55" w:rsidRDefault="00F555D6" w:rsidP="00F555D6">
            <w:pPr>
              <w:spacing w:before="240" w:after="240" w:line="280" w:lineRule="auto"/>
              <w:rPr>
                <w:szCs w:val="24"/>
              </w:rPr>
            </w:pPr>
            <w:r w:rsidRPr="005C3B55">
              <w:rPr>
                <w:b/>
                <w:szCs w:val="24"/>
              </w:rPr>
              <w:t>R7: Selection of beneficiaries</w:t>
            </w:r>
          </w:p>
          <w:p w:rsidR="00F555D6" w:rsidRPr="005C3B55" w:rsidRDefault="00F555D6" w:rsidP="00F555D6">
            <w:pPr>
              <w:spacing w:before="240" w:after="240" w:line="280" w:lineRule="auto"/>
              <w:rPr>
                <w:szCs w:val="24"/>
              </w:rPr>
            </w:pPr>
            <w:r w:rsidRPr="005C3B55">
              <w:rPr>
                <w:szCs w:val="24"/>
              </w:rPr>
              <w:t>There is the possibility of risk due to the lack of information for beneficiaries and persons responsible for the preparation of application and a lack of understanding of the requirements from the regulations.</w:t>
            </w:r>
          </w:p>
          <w:p w:rsidR="00F555D6" w:rsidRPr="005C3B55" w:rsidRDefault="00F555D6" w:rsidP="00F555D6">
            <w:pPr>
              <w:spacing w:before="240" w:after="240" w:line="280" w:lineRule="auto"/>
              <w:rPr>
                <w:szCs w:val="24"/>
              </w:rPr>
            </w:pPr>
            <w:r w:rsidRPr="005C3B55">
              <w:rPr>
                <w:b/>
                <w:szCs w:val="24"/>
              </w:rPr>
              <w:t>R8: IT systems</w:t>
            </w:r>
          </w:p>
          <w:p w:rsidR="00F555D6" w:rsidRPr="005C3B55" w:rsidRDefault="00F555D6" w:rsidP="00F555D6">
            <w:pPr>
              <w:spacing w:before="240" w:after="240" w:line="280" w:lineRule="auto"/>
              <w:rPr>
                <w:szCs w:val="24"/>
              </w:rPr>
            </w:pPr>
            <w:r w:rsidRPr="005C3B55">
              <w:rPr>
                <w:szCs w:val="24"/>
              </w:rPr>
              <w:t>There is a risk of an inadequate IT system that is not advanced and does provide sufficient support. There is also a risk that the system will not function optimally.</w:t>
            </w:r>
          </w:p>
          <w:p w:rsidR="00F555D6" w:rsidRPr="005C3B55" w:rsidRDefault="00F555D6" w:rsidP="00F555D6">
            <w:pPr>
              <w:spacing w:before="240" w:after="240" w:line="280" w:lineRule="auto"/>
              <w:rPr>
                <w:szCs w:val="24"/>
              </w:rPr>
            </w:pPr>
            <w:r w:rsidRPr="005C3B55">
              <w:rPr>
                <w:b/>
                <w:szCs w:val="24"/>
              </w:rPr>
              <w:t>R9: Requests for payment</w:t>
            </w:r>
          </w:p>
          <w:p w:rsidR="00F555D6" w:rsidRPr="005C3B55" w:rsidRDefault="00F555D6" w:rsidP="00F555D6">
            <w:pPr>
              <w:spacing w:before="240" w:after="240" w:line="280" w:lineRule="auto"/>
              <w:rPr>
                <w:szCs w:val="24"/>
              </w:rPr>
            </w:pPr>
            <w:r w:rsidRPr="005C3B55">
              <w:rPr>
                <w:szCs w:val="24"/>
              </w:rPr>
              <w:t>A request for the payment of funds is honoured within 30 days following the submission of a complete request for payment. There are no delays in this part. The greatest risk arises in the processing of requests for payment. Due to unprofessional preparation, the procedure for processing may take several months. The main reason is the lack of knowledge among beneficiaries and persons preparing applications.</w:t>
            </w:r>
          </w:p>
          <w:p w:rsidR="00F555D6" w:rsidRPr="005C3B55" w:rsidRDefault="00F555D6" w:rsidP="00F555D6">
            <w:pPr>
              <w:pStyle w:val="Telobesedila"/>
              <w:rPr>
                <w:szCs w:val="24"/>
              </w:rPr>
            </w:pPr>
          </w:p>
        </w:tc>
      </w:tr>
    </w:tbl>
    <w:p w:rsidR="00F555D6" w:rsidRPr="005C3B55" w:rsidRDefault="00F555D6" w:rsidP="00F555D6">
      <w:pPr>
        <w:pStyle w:val="Naslov7"/>
        <w:tabs>
          <w:tab w:val="clear" w:pos="765"/>
        </w:tabs>
        <w:ind w:left="0" w:firstLine="0"/>
        <w:rPr>
          <w:szCs w:val="24"/>
          <w:lang w:val="en-GB"/>
        </w:rPr>
      </w:pPr>
      <w:r w:rsidRPr="005C3B55">
        <w:rPr>
          <w:noProof w:val="0"/>
          <w:szCs w:val="24"/>
          <w:lang w:val="en-GB"/>
        </w:rPr>
        <w:t>Mitigation measures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b/>
                <w:szCs w:val="24"/>
              </w:rPr>
              <w:t>R4: Public procurement</w:t>
            </w:r>
          </w:p>
          <w:p w:rsidR="00F555D6" w:rsidRPr="005C3B55" w:rsidRDefault="00F555D6" w:rsidP="00F555D6">
            <w:pPr>
              <w:spacing w:before="240" w:after="240" w:line="280" w:lineRule="auto"/>
              <w:rPr>
                <w:szCs w:val="24"/>
              </w:rPr>
            </w:pPr>
            <w:r w:rsidRPr="005C3B55">
              <w:rPr>
                <w:szCs w:val="24"/>
              </w:rPr>
              <w:t>The mitigation measures are timely commenced public procurement procedures for the selection of contractors and well-prepared public procurement.</w:t>
            </w:r>
          </w:p>
          <w:p w:rsidR="00F555D6" w:rsidRPr="005C3B55" w:rsidRDefault="00F555D6" w:rsidP="00F555D6">
            <w:pPr>
              <w:spacing w:before="240" w:after="240" w:line="280" w:lineRule="auto"/>
              <w:rPr>
                <w:szCs w:val="24"/>
              </w:rPr>
            </w:pPr>
            <w:r w:rsidRPr="005C3B55">
              <w:rPr>
                <w:b/>
                <w:szCs w:val="24"/>
              </w:rPr>
              <w:t>R7: Selection of beneficiaries</w:t>
            </w:r>
          </w:p>
          <w:p w:rsidR="00F555D6" w:rsidRPr="005C3B55" w:rsidRDefault="00F555D6" w:rsidP="00F555D6">
            <w:pPr>
              <w:spacing w:before="240" w:after="240" w:line="280" w:lineRule="auto"/>
              <w:rPr>
                <w:szCs w:val="24"/>
              </w:rPr>
            </w:pPr>
            <w:r w:rsidRPr="005C3B55">
              <w:rPr>
                <w:szCs w:val="24"/>
              </w:rPr>
              <w:t>With the permanent implementation of the promotion of the measure, organisation of public presentations and other activities (updated website of the Ministry of Agriculture, Forestry and Food, activities of the National Rural Network), we will promptly inform potential beneficiaries on the content of the supported operation.</w:t>
            </w:r>
          </w:p>
          <w:p w:rsidR="00F555D6" w:rsidRPr="005C3B55" w:rsidRDefault="00F555D6" w:rsidP="00F555D6">
            <w:pPr>
              <w:spacing w:before="240" w:after="240" w:line="280" w:lineRule="auto"/>
              <w:rPr>
                <w:szCs w:val="24"/>
              </w:rPr>
            </w:pPr>
            <w:r w:rsidRPr="005C3B55">
              <w:rPr>
                <w:b/>
                <w:szCs w:val="24"/>
              </w:rPr>
              <w:t>R8: IT systems</w:t>
            </w:r>
          </w:p>
          <w:p w:rsidR="00F555D6" w:rsidRPr="005C3B55" w:rsidRDefault="00F555D6" w:rsidP="00F555D6">
            <w:pPr>
              <w:spacing w:before="240" w:after="240" w:line="280" w:lineRule="auto"/>
              <w:rPr>
                <w:szCs w:val="24"/>
              </w:rPr>
            </w:pPr>
            <w:r w:rsidRPr="005C3B55">
              <w:rPr>
                <w:szCs w:val="24"/>
              </w:rPr>
              <w:t>An IT system will be set up which will facilitate electronic submission of applications, thus simplifying the verification of double funding, business operations of associated parties, and separation between the funding of individual costs on the sub-measure level and other measures of the RDP 2014–2020. The system will incorporate different databases, which will enable faster and more precise data verification. The system will also enable monitoring of the implementation of the sub-measure.</w:t>
            </w:r>
          </w:p>
          <w:p w:rsidR="00F555D6" w:rsidRPr="005C3B55" w:rsidRDefault="00F555D6" w:rsidP="00F555D6">
            <w:pPr>
              <w:spacing w:before="240" w:after="240" w:line="280" w:lineRule="auto"/>
              <w:rPr>
                <w:szCs w:val="24"/>
              </w:rPr>
            </w:pPr>
            <w:r w:rsidRPr="005C3B55">
              <w:rPr>
                <w:b/>
                <w:szCs w:val="24"/>
              </w:rPr>
              <w:t>R9: Requests for payment</w:t>
            </w:r>
          </w:p>
          <w:p w:rsidR="00F555D6" w:rsidRPr="005C3B55" w:rsidRDefault="00F555D6" w:rsidP="00F555D6">
            <w:pPr>
              <w:spacing w:before="240" w:after="240" w:line="280" w:lineRule="auto"/>
              <w:rPr>
                <w:szCs w:val="24"/>
              </w:rPr>
            </w:pPr>
            <w:r w:rsidRPr="005C3B55">
              <w:rPr>
                <w:szCs w:val="24"/>
              </w:rPr>
              <w:t>The dissemination of information to beneficiaries and persons preparing applications regarding the preparation of requests for the payment of funds will be improved.</w:t>
            </w:r>
          </w:p>
          <w:p w:rsidR="00F555D6" w:rsidRPr="005C3B55" w:rsidRDefault="00F555D6" w:rsidP="00F555D6">
            <w:pPr>
              <w:pStyle w:val="Telobesedila"/>
              <w:rPr>
                <w:szCs w:val="24"/>
              </w:rPr>
            </w:pPr>
          </w:p>
        </w:tc>
      </w:tr>
    </w:tbl>
    <w:p w:rsidR="00F555D6" w:rsidRPr="005C3B55" w:rsidRDefault="00F555D6" w:rsidP="00F555D6">
      <w:pPr>
        <w:pStyle w:val="Naslov7"/>
        <w:tabs>
          <w:tab w:val="clear" w:pos="765"/>
        </w:tabs>
        <w:ind w:left="0" w:firstLine="0"/>
        <w:rPr>
          <w:szCs w:val="24"/>
          <w:lang w:val="en-GB"/>
        </w:rPr>
      </w:pPr>
      <w:r w:rsidRPr="005C3B55">
        <w:rPr>
          <w:noProof w:val="0"/>
          <w:szCs w:val="24"/>
          <w:lang w:val="en-GB"/>
        </w:rPr>
        <w:t>General assessment of the measure</w:t>
      </w:r>
    </w:p>
    <w:p w:rsidR="00F555D6" w:rsidRPr="005C3B55" w:rsidRDefault="00F555D6" w:rsidP="00F555D6">
      <w:pPr>
        <w:pStyle w:val="Naslov7"/>
        <w:tabs>
          <w:tab w:val="clear" w:pos="765"/>
        </w:tabs>
        <w:spacing w:before="0" w:after="0"/>
        <w:ind w:left="0" w:firstLine="0"/>
        <w:rPr>
          <w:szCs w:val="24"/>
          <w:lang w:val="en-GB"/>
        </w:rPr>
      </w:pP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The operation in the anticipated form is fully feasible and controllable, and will produce the expected results and contribute to the restoration, preservation and enhancement of biodiversity in forests, and to the attainment of other objectives of the RDP 2014–2020. The operation will also greatly contribute to realising horizontal objectives.</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Methodology for calculating support amount, where relevant</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Non-refundable funds within this operation are allocated in the form of a standard scale of costs per unit in compliance with the first paragraph of Article 67 of Regulation (EU) No 1303/2013. These costs are summarised from the Rules on financing and co-financing of forest investments (Official Gazette of the Republic of Slovenia, no. 71/04 with all amendments).</w:t>
            </w:r>
          </w:p>
          <w:p w:rsidR="00F555D6" w:rsidRPr="005C3B55" w:rsidRDefault="00F555D6" w:rsidP="00F555D6">
            <w:pPr>
              <w:spacing w:before="240" w:after="240" w:line="280" w:lineRule="auto"/>
              <w:rPr>
                <w:szCs w:val="24"/>
              </w:rPr>
            </w:pPr>
            <w:r w:rsidRPr="005C3B55">
              <w:rPr>
                <w:szCs w:val="24"/>
              </w:rPr>
              <w:t>A standard is set for the implementation of each work being co-financed. A cost per unit is the product of the standard and the value of the working hour. The payment to the beneficiaries depends on the level of importance of the function of the forest where the work was implemented. A level of co-financing of work performed is determined for each level of the function of the forest. The method was verified by the Slovenian Forestry Institute, which also prepared the standard scale of costs per unit for individual works.</w:t>
            </w:r>
          </w:p>
          <w:p w:rsidR="00F555D6" w:rsidRPr="005C3B55" w:rsidRDefault="00F555D6" w:rsidP="00F555D6">
            <w:pPr>
              <w:spacing w:before="240" w:after="240" w:line="280" w:lineRule="auto"/>
              <w:rPr>
                <w:szCs w:val="24"/>
              </w:rPr>
            </w:pPr>
            <w:r w:rsidRPr="005C3B55">
              <w:rPr>
                <w:szCs w:val="24"/>
              </w:rPr>
              <w:t>The purchase of seedlings of forest trees and the material required to protect seedlings from wild game, and the required protection works are implemented by the Slovenia Forest Service in accordance with the public procurement procedure, whereby the price is determined by the market.</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Information that relates specifically to the operation</w:t>
      </w:r>
    </w:p>
    <w:p w:rsidR="00F555D6" w:rsidRPr="005C3B55" w:rsidRDefault="00F555D6" w:rsidP="00F555D6">
      <w:pPr>
        <w:spacing w:line="280" w:lineRule="auto"/>
        <w:rPr>
          <w:szCs w:val="24"/>
        </w:rPr>
      </w:pPr>
      <w:r w:rsidRPr="005C3B55">
        <w:rPr>
          <w:szCs w:val="24"/>
        </w:rPr>
        <w:t>Definition and justification of the size of agricultural holdings whose support will depend on the submission of forest management plans or of an equivalent instrument</w:t>
      </w:r>
    </w:p>
    <w:p w:rsidR="00F555D6" w:rsidRPr="005C3B55" w:rsidRDefault="00F555D6" w:rsidP="00F555D6">
      <w:pPr>
        <w:spacing w:after="0"/>
        <w:rPr>
          <w:szCs w:val="24"/>
        </w:rPr>
      </w:pP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On the basis of the Act on Forests (Official Gazette of the Republic of Slovenia, no. 30/93 with all amendments), plans for forest management are prepared for all forests in the Republic of Slovenia irrespective of their ownership and size of the forest holding. These plans determine conditions for the harmonious use of forests and intervention in forests and forest space, the required extent of forest cultivation and protection, the highest possible level of their exploitation and game management. Within this operation, the condition for support is to submit suitable information included in forest management plans.</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Definition of an “equivalent instrument”</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Not relevant.</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[Reforestation and creation of woodland] Definition of types, areas and manners used to prevent inappropriate reforestation as stated in Article 6(a) of Delegated Regulation No 807/2014, including a description of environmental and climate conditions in areas where reforestation is anticipated as stated in Article 6(b) of the aforementioned regulation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Not relevant.</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[Reforestation and creation of woodland] Definition of minimum environmental requirements referred to in Article 6 of Delegated Regulation No 807/2014</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Not relevant.</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[Establishment of agricultural-forestry systems] Definition of the lowest and the highest number of trees that may be planted and preserved after they grow per hectare, and of forest species that may be used, pursuant to the second paragraph of Article 23 of Regulation (EU) No 1305/2013</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Not relevant.</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[Establishment of agricultural-forestry systems] Indication of environmental benefits of the supported systems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Not relevant.</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[Prevention and elimination of damage in forests due to forest fires and natural disasters as well as catastrophic events] If appropriate, a list of pests harmful for plants, which may cause the phenomena in question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Not relevant.</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[Prevention and elimination of damage in forests due to forest fires and natural disasters as well as catastrophic events] Definition of forest areas which are classified as areas with medium or high fire hazard in accordance with the relevant forest protection plan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Not relevant.</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[Prevention and elimination of damage in forests due to forest fires and natural disasters as well as catastrophic events] In the case of preventive measures regarding pests and diseases, a description of the relevant phenomena supported by scientific evidence, and, if necessary, including recommendations from scientific organisations on pest and disease management</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Not relevant.</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 xml:space="preserve">[Investments to improve resilience and environmental value of forest ecosystems] Definition of types of justified investments and their expected impact on the environment and/or public applications </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Not relevant.</w:t>
            </w:r>
          </w:p>
          <w:p w:rsidR="00F555D6" w:rsidRPr="005C3B55" w:rsidRDefault="00F555D6" w:rsidP="00F555D6">
            <w:pPr>
              <w:pStyle w:val="Telobesedila"/>
              <w:rPr>
                <w:szCs w:val="24"/>
              </w:rPr>
            </w:pPr>
          </w:p>
        </w:tc>
      </w:tr>
    </w:tbl>
    <w:p w:rsidR="00F555D6" w:rsidRPr="005C3B55" w:rsidRDefault="00F555D6" w:rsidP="00F555D6">
      <w:pPr>
        <w:pStyle w:val="Naslov5"/>
        <w:tabs>
          <w:tab w:val="clear" w:pos="765"/>
        </w:tabs>
        <w:ind w:left="0" w:firstLine="0"/>
        <w:rPr>
          <w:b w:val="0"/>
          <w:szCs w:val="24"/>
          <w:lang w:val="en-GB"/>
        </w:rPr>
      </w:pPr>
      <w:r w:rsidRPr="005C3B55">
        <w:rPr>
          <w:b w:val="0"/>
          <w:szCs w:val="24"/>
          <w:lang w:val="en-GB"/>
        </w:rPr>
        <w:br w:type="page"/>
      </w:r>
      <w:r w:rsidRPr="005C3B55">
        <w:rPr>
          <w:b w:val="0"/>
          <w:noProof w:val="0"/>
          <w:szCs w:val="24"/>
          <w:lang w:val="en-GB"/>
        </w:rPr>
        <w:t>Arrangement of skid trails required for forest restoration</w:t>
      </w:r>
    </w:p>
    <w:p w:rsidR="00F555D6" w:rsidRPr="005C3B55" w:rsidRDefault="00F555D6" w:rsidP="00F555D6">
      <w:pPr>
        <w:spacing w:line="280" w:lineRule="auto"/>
        <w:rPr>
          <w:szCs w:val="24"/>
        </w:rPr>
      </w:pPr>
      <w:r w:rsidRPr="005C3B55">
        <w:rPr>
          <w:szCs w:val="24"/>
        </w:rPr>
        <w:t xml:space="preserve">Sub-measure: </w:t>
      </w:r>
    </w:p>
    <w:p w:rsidR="00F555D6" w:rsidRPr="005C3B55" w:rsidRDefault="00F555D6" w:rsidP="00F555D6">
      <w:pPr>
        <w:spacing w:after="0"/>
        <w:rPr>
          <w:szCs w:val="24"/>
        </w:rPr>
      </w:pP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259"/>
              </w:numPr>
              <w:rPr>
                <w:szCs w:val="24"/>
              </w:rPr>
            </w:pPr>
            <w:r w:rsidRPr="005C3B55">
              <w:rPr>
                <w:szCs w:val="24"/>
              </w:rPr>
              <w:t>8.4  – Support to eliminate damage to forests due to forest fires and natural disasters as well as catastrophic events</w:t>
            </w: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Description of type of operation</w:t>
      </w:r>
    </w:p>
    <w:p w:rsidR="00F555D6" w:rsidRPr="005C3B55" w:rsidRDefault="00F555D6" w:rsidP="00F555D6">
      <w:pPr>
        <w:pStyle w:val="Naslov6"/>
        <w:tabs>
          <w:tab w:val="clear" w:pos="765"/>
        </w:tabs>
        <w:spacing w:before="0" w:after="0"/>
        <w:ind w:left="0" w:firstLine="0"/>
        <w:rPr>
          <w:szCs w:val="24"/>
          <w:lang w:val="en-GB"/>
        </w:rPr>
      </w:pP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Ice damage at the beginning of 2014 in Slovenian forests was severe; therefore, investments in the construction, reconstruction and preparation of skid trails are required, as they are crucial for the restoration of the damaged forest.</w:t>
            </w:r>
          </w:p>
          <w:p w:rsidR="00F555D6" w:rsidRPr="005C3B55" w:rsidRDefault="00F555D6" w:rsidP="00F555D6">
            <w:pPr>
              <w:spacing w:before="240" w:after="240" w:line="280" w:lineRule="auto"/>
              <w:rPr>
                <w:szCs w:val="24"/>
              </w:rPr>
            </w:pPr>
            <w:r w:rsidRPr="005C3B55">
              <w:rPr>
                <w:szCs w:val="24"/>
              </w:rPr>
              <w:t>The quantity and dynamics of the construction of forest routes is related to the objectives of the restoration of damaged forests, to natural and artificial restoration measures, and the needs for forest protection, especially to prevent secondary damage expected in the following years. It is estimated that approximately 600 km of skid trails will have to be constructed, and slightly over 720 km of skid trails will have to be prepared and reconstructed in order to restore forest following ice damage.</w:t>
            </w:r>
          </w:p>
          <w:p w:rsidR="00F555D6" w:rsidRPr="005C3B55" w:rsidRDefault="00F555D6" w:rsidP="00F555D6">
            <w:pPr>
              <w:spacing w:before="240" w:after="240" w:line="280" w:lineRule="auto"/>
              <w:rPr>
                <w:szCs w:val="24"/>
              </w:rPr>
            </w:pPr>
            <w:r w:rsidRPr="005C3B55">
              <w:rPr>
                <w:szCs w:val="24"/>
              </w:rPr>
              <w:t>The operation includes only skid trails intended exclusively for forest restoration. Within this operation, this is the most urgent supplementation of the existing system of skid trails. These trails are crucial for the implementation of the most urgent restoration measures to harvest damaged wood and especially to prevent further damage due to the spread of pests and diseases from damaged trees to other forest stands. The arrangement of trails is necessary if further damage to unaffected forest stands is to be prevented.  </w:t>
            </w:r>
          </w:p>
          <w:p w:rsidR="00F555D6" w:rsidRPr="005C3B55" w:rsidRDefault="00F555D6" w:rsidP="00F555D6">
            <w:pPr>
              <w:spacing w:before="240" w:after="240" w:line="280" w:lineRule="auto"/>
              <w:rPr>
                <w:szCs w:val="24"/>
              </w:rPr>
            </w:pPr>
            <w:r w:rsidRPr="005C3B55">
              <w:rPr>
                <w:szCs w:val="24"/>
              </w:rPr>
              <w:t>These trails are defined in the forest restoration plan prepared by the Slovenia Forest Service on the basis of the Forest Act (Official Gazette of the Republic of Slovenia, no. 30/93 with all amendments) and the Rules on forest protection (Official Gazette of the Republic of Slovenia, no. 114/09 with all amendments).</w:t>
            </w:r>
          </w:p>
          <w:p w:rsidR="00F555D6" w:rsidRPr="005C3B55" w:rsidRDefault="00F555D6" w:rsidP="00F555D6">
            <w:pPr>
              <w:pStyle w:val="Telobesedila"/>
              <w:rPr>
                <w:szCs w:val="24"/>
              </w:rPr>
            </w:pPr>
          </w:p>
        </w:tc>
      </w:tr>
      <w:tr w:rsidR="00F555D6" w:rsidRPr="005C3B55">
        <w:tc>
          <w:tcPr>
            <w:tcW w:w="5000" w:type="pct"/>
            <w:tcMar>
              <w:top w:w="20" w:type="dxa"/>
              <w:bottom w:w="20" w:type="dxa"/>
            </w:tcMar>
            <w:vAlign w:val="center"/>
          </w:tcPr>
          <w:p w:rsidR="00F555D6" w:rsidRPr="005C3B55" w:rsidRDefault="00F555D6" w:rsidP="00F555D6">
            <w:pPr>
              <w:spacing w:after="240" w:line="280" w:lineRule="auto"/>
              <w:rPr>
                <w:rStyle w:val="tw4winMark"/>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Type of support</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Support is granted in the form of non-refundable financial aid.</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Connection with other legislation</w:t>
      </w:r>
    </w:p>
    <w:p w:rsidR="00F555D6" w:rsidRPr="005C3B55" w:rsidRDefault="00F555D6" w:rsidP="00F555D6">
      <w:pPr>
        <w:pStyle w:val="Naslov6"/>
        <w:tabs>
          <w:tab w:val="clear" w:pos="765"/>
        </w:tabs>
        <w:spacing w:before="0" w:after="0"/>
        <w:ind w:left="0" w:firstLine="0"/>
        <w:rPr>
          <w:szCs w:val="24"/>
          <w:lang w:val="en-GB"/>
        </w:rPr>
      </w:pP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260"/>
              </w:numPr>
              <w:spacing w:before="0" w:after="0"/>
              <w:ind w:hanging="290"/>
              <w:jc w:val="left"/>
              <w:rPr>
                <w:szCs w:val="24"/>
              </w:rPr>
            </w:pPr>
            <w:r w:rsidRPr="005C3B55">
              <w:rPr>
                <w:szCs w:val="24"/>
              </w:rPr>
              <w:t>Agriculture Act (Official Gazette of the Republic of Slovenia, no. 45/2008 with all amendments);</w:t>
            </w:r>
          </w:p>
          <w:p w:rsidR="00F555D6" w:rsidRPr="005C3B55" w:rsidRDefault="00F555D6" w:rsidP="00F555D6">
            <w:pPr>
              <w:numPr>
                <w:ilvl w:val="0"/>
                <w:numId w:val="260"/>
              </w:numPr>
              <w:spacing w:before="0" w:after="0"/>
              <w:ind w:hanging="290"/>
              <w:jc w:val="left"/>
              <w:rPr>
                <w:szCs w:val="24"/>
              </w:rPr>
            </w:pPr>
            <w:r w:rsidRPr="005C3B55">
              <w:rPr>
                <w:szCs w:val="24"/>
              </w:rPr>
              <w:t>Forest Act (Official Gazette of the Republic of Slovenia, no. 30/93 with all amendments);</w:t>
            </w:r>
          </w:p>
          <w:p w:rsidR="00F555D6" w:rsidRPr="005C3B55" w:rsidRDefault="00F555D6" w:rsidP="00F555D6">
            <w:pPr>
              <w:numPr>
                <w:ilvl w:val="0"/>
                <w:numId w:val="260"/>
              </w:numPr>
              <w:spacing w:before="0" w:after="0"/>
              <w:ind w:hanging="290"/>
              <w:jc w:val="left"/>
              <w:rPr>
                <w:szCs w:val="24"/>
              </w:rPr>
            </w:pPr>
            <w:r w:rsidRPr="005C3B55">
              <w:rPr>
                <w:szCs w:val="24"/>
              </w:rPr>
              <w:t>Act Regulating Measures for the Recovery from Ice Damage which affected the Republic of Slovenia between January 30 and February 10 2014 (Official Gazette of the Republic of Slovenia, no. 17/14 with all amendments);</w:t>
            </w:r>
          </w:p>
          <w:p w:rsidR="00F555D6" w:rsidRPr="005C3B55" w:rsidRDefault="00F555D6" w:rsidP="00F555D6">
            <w:pPr>
              <w:numPr>
                <w:ilvl w:val="0"/>
                <w:numId w:val="260"/>
              </w:numPr>
              <w:spacing w:before="0" w:after="0"/>
              <w:ind w:hanging="290"/>
              <w:jc w:val="left"/>
              <w:rPr>
                <w:szCs w:val="24"/>
              </w:rPr>
            </w:pPr>
            <w:r w:rsidRPr="005C3B55">
              <w:rPr>
                <w:szCs w:val="24"/>
              </w:rPr>
              <w:t>Rules on forest traffic routes (Official Gazette of the Republic of Slovenia, no. 4/09 with all amendments);</w:t>
            </w:r>
          </w:p>
          <w:p w:rsidR="00F555D6" w:rsidRPr="005C3B55" w:rsidRDefault="00F555D6" w:rsidP="00F555D6">
            <w:pPr>
              <w:numPr>
                <w:ilvl w:val="0"/>
                <w:numId w:val="260"/>
              </w:numPr>
              <w:spacing w:before="0" w:after="0"/>
              <w:ind w:hanging="290"/>
              <w:jc w:val="left"/>
              <w:rPr>
                <w:szCs w:val="24"/>
              </w:rPr>
            </w:pPr>
            <w:r w:rsidRPr="005C3B55">
              <w:rPr>
                <w:szCs w:val="24"/>
              </w:rPr>
              <w:t>Rules on the protection of forests (Official Gazette of the Republic of Slovenia, no. 114/09 with all amendments);</w:t>
            </w:r>
          </w:p>
          <w:p w:rsidR="00F555D6" w:rsidRPr="005C3B55" w:rsidRDefault="00F555D6" w:rsidP="00F555D6">
            <w:pPr>
              <w:numPr>
                <w:ilvl w:val="0"/>
                <w:numId w:val="260"/>
              </w:numPr>
              <w:spacing w:before="0" w:after="0"/>
              <w:ind w:hanging="290"/>
              <w:jc w:val="left"/>
              <w:rPr>
                <w:szCs w:val="24"/>
              </w:rPr>
            </w:pPr>
            <w:r w:rsidRPr="005C3B55">
              <w:rPr>
                <w:szCs w:val="24"/>
              </w:rPr>
              <w:t xml:space="preserve"> Articles 65 and 69 of Regulation (EU) No 1303/2013;</w:t>
            </w:r>
          </w:p>
          <w:p w:rsidR="00F555D6" w:rsidRPr="005C3B55" w:rsidRDefault="00F555D6" w:rsidP="00F555D6">
            <w:pPr>
              <w:numPr>
                <w:ilvl w:val="0"/>
                <w:numId w:val="260"/>
              </w:numPr>
              <w:spacing w:before="0" w:after="0"/>
              <w:ind w:hanging="290"/>
              <w:jc w:val="left"/>
              <w:rPr>
                <w:szCs w:val="24"/>
              </w:rPr>
            </w:pPr>
            <w:r w:rsidRPr="005C3B55">
              <w:rPr>
                <w:szCs w:val="24"/>
              </w:rPr>
              <w:t>national regulation which regulates the implementation of this operation; and</w:t>
            </w:r>
          </w:p>
          <w:p w:rsidR="00F555D6" w:rsidRPr="005C3B55" w:rsidRDefault="00F555D6" w:rsidP="00F555D6">
            <w:pPr>
              <w:numPr>
                <w:ilvl w:val="0"/>
                <w:numId w:val="260"/>
              </w:numPr>
              <w:spacing w:before="0" w:after="240"/>
              <w:ind w:hanging="290"/>
              <w:jc w:val="left"/>
              <w:rPr>
                <w:szCs w:val="24"/>
              </w:rPr>
            </w:pPr>
            <w:r w:rsidRPr="005C3B55">
              <w:rPr>
                <w:szCs w:val="24"/>
              </w:rPr>
              <w:t>other EU and national legislation which regulates the implementation of this operation.</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Beneficiaries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The beneficiaries of support are private and public owners or co-owners of forests (including agricultural communities).</w:t>
            </w:r>
          </w:p>
          <w:p w:rsidR="00F555D6" w:rsidRPr="005C3B55" w:rsidRDefault="00F555D6" w:rsidP="00F555D6">
            <w:pPr>
              <w:spacing w:before="240" w:after="240" w:line="280" w:lineRule="auto"/>
              <w:rPr>
                <w:szCs w:val="24"/>
              </w:rPr>
            </w:pPr>
            <w:r w:rsidRPr="005C3B55">
              <w:rPr>
                <w:szCs w:val="24"/>
              </w:rPr>
              <w:t>The beneficiaries are also other natural persons and legal entities authorised to implement the investment.</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Eligible costs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Eligible costs are as follows:</w:t>
            </w:r>
          </w:p>
          <w:p w:rsidR="00F555D6" w:rsidRPr="005C3B55" w:rsidRDefault="00F555D6" w:rsidP="00F555D6">
            <w:pPr>
              <w:spacing w:before="240" w:after="240" w:line="280" w:lineRule="auto"/>
              <w:rPr>
                <w:szCs w:val="24"/>
              </w:rPr>
            </w:pPr>
            <w:r w:rsidRPr="005C3B55">
              <w:rPr>
                <w:szCs w:val="24"/>
              </w:rPr>
              <w:t>1. costs of constructing, reconstructing or preparing skid trails and pertaining equipment;</w:t>
            </w:r>
          </w:p>
          <w:p w:rsidR="00F555D6" w:rsidRPr="005C3B55" w:rsidRDefault="00F555D6" w:rsidP="00F555D6">
            <w:pPr>
              <w:spacing w:before="240" w:after="240" w:line="280" w:lineRule="auto"/>
              <w:rPr>
                <w:szCs w:val="24"/>
              </w:rPr>
            </w:pPr>
            <w:r w:rsidRPr="005C3B55">
              <w:rPr>
                <w:szCs w:val="24"/>
              </w:rPr>
              <w:t>2. in-kind contribution pursuant to Article 69 of Regulation (EU) 1303/2013 as the beneficiary’s own work independently assessed by the Slovenia Forest Service;</w:t>
            </w:r>
          </w:p>
          <w:p w:rsidR="00F555D6" w:rsidRPr="005C3B55" w:rsidRDefault="00F555D6" w:rsidP="00F555D6">
            <w:pPr>
              <w:spacing w:before="240" w:after="240" w:line="280" w:lineRule="auto"/>
              <w:rPr>
                <w:szCs w:val="24"/>
              </w:rPr>
            </w:pPr>
            <w:r w:rsidRPr="005C3B55">
              <w:rPr>
                <w:szCs w:val="24"/>
              </w:rPr>
              <w:t>3. general costs related to the expenses referred to in the preceding items of this paragraphs which are not directly related to the preparation or implementation of the investment, particularly payments for architect, engineer and adviser services, costs of obtaining construction, project and technical documentation, and payments relating to the acquisition of the environmental impact assessment.</w:t>
            </w:r>
          </w:p>
          <w:p w:rsidR="00F555D6" w:rsidRPr="005C3B55" w:rsidRDefault="00F555D6" w:rsidP="00F555D6">
            <w:pPr>
              <w:spacing w:before="240" w:after="240" w:line="280" w:lineRule="auto"/>
              <w:rPr>
                <w:szCs w:val="24"/>
              </w:rPr>
            </w:pPr>
            <w:r w:rsidRPr="005C3B55">
              <w:rPr>
                <w:szCs w:val="24"/>
              </w:rPr>
              <w:t>Cost eligibility is defined in more detail in the provisions of Article 45 of Regulation (EU) No 1305/2013 and Article 69 of Regulation (EU) No 1303/2013.</w:t>
            </w:r>
          </w:p>
          <w:p w:rsidR="00F555D6" w:rsidRPr="005C3B55" w:rsidRDefault="00F555D6" w:rsidP="00F555D6">
            <w:pPr>
              <w:spacing w:before="240" w:after="240" w:line="280" w:lineRule="auto"/>
              <w:rPr>
                <w:szCs w:val="24"/>
              </w:rPr>
            </w:pPr>
            <w:r w:rsidRPr="005C3B55">
              <w:rPr>
                <w:szCs w:val="24"/>
              </w:rPr>
              <w:t>When the in-kind contribution in the form of own work and material to the beneficiary is observed, the following conditions have to be met:</w:t>
            </w:r>
          </w:p>
          <w:p w:rsidR="00F555D6" w:rsidRPr="005C3B55" w:rsidRDefault="00F555D6" w:rsidP="00F555D6">
            <w:pPr>
              <w:numPr>
                <w:ilvl w:val="0"/>
                <w:numId w:val="261"/>
              </w:numPr>
              <w:spacing w:before="240" w:after="0"/>
              <w:ind w:hanging="290"/>
              <w:jc w:val="left"/>
              <w:rPr>
                <w:szCs w:val="24"/>
              </w:rPr>
            </w:pPr>
            <w:r w:rsidRPr="005C3B55">
              <w:rPr>
                <w:szCs w:val="24"/>
              </w:rPr>
              <w:t>public support paid for the operation which includes in-kind contributions does not exceed total eligible expenditure without in-kind contributions at the end of the operation;</w:t>
            </w:r>
          </w:p>
          <w:p w:rsidR="00F555D6" w:rsidRPr="005C3B55" w:rsidRDefault="00F555D6" w:rsidP="00F555D6">
            <w:pPr>
              <w:numPr>
                <w:ilvl w:val="0"/>
                <w:numId w:val="261"/>
              </w:numPr>
              <w:spacing w:before="0" w:after="0"/>
              <w:ind w:hanging="290"/>
              <w:jc w:val="left"/>
              <w:rPr>
                <w:szCs w:val="24"/>
              </w:rPr>
            </w:pPr>
            <w:r w:rsidRPr="005C3B55">
              <w:rPr>
                <w:szCs w:val="24"/>
              </w:rPr>
              <w:t>value attributed to in-kind contributions does not exceed generally recognised values thereof in the relevant market;</w:t>
            </w:r>
          </w:p>
          <w:p w:rsidR="00F555D6" w:rsidRPr="005C3B55" w:rsidRDefault="00F555D6" w:rsidP="00F555D6">
            <w:pPr>
              <w:numPr>
                <w:ilvl w:val="0"/>
                <w:numId w:val="261"/>
              </w:numPr>
              <w:spacing w:before="0" w:after="0"/>
              <w:ind w:hanging="290"/>
              <w:jc w:val="left"/>
              <w:rPr>
                <w:szCs w:val="24"/>
              </w:rPr>
            </w:pPr>
            <w:r w:rsidRPr="005C3B55">
              <w:rPr>
                <w:szCs w:val="24"/>
              </w:rPr>
              <w:t>the value of the contribution and its allocation may be assessed and verified independently;</w:t>
            </w:r>
          </w:p>
          <w:p w:rsidR="00F555D6" w:rsidRPr="005C3B55" w:rsidRDefault="00F555D6" w:rsidP="00F555D6">
            <w:pPr>
              <w:numPr>
                <w:ilvl w:val="0"/>
                <w:numId w:val="261"/>
              </w:numPr>
              <w:spacing w:before="0" w:after="240"/>
              <w:ind w:hanging="290"/>
              <w:jc w:val="left"/>
              <w:rPr>
                <w:szCs w:val="24"/>
              </w:rPr>
            </w:pPr>
            <w:r w:rsidRPr="005C3B55">
              <w:rPr>
                <w:szCs w:val="24"/>
              </w:rPr>
              <w:t>the value of unpaid work is determined while considering the time used and the level of compensation for work of equal value.</w:t>
            </w:r>
          </w:p>
          <w:p w:rsidR="00F555D6" w:rsidRPr="005C3B55" w:rsidRDefault="00F555D6" w:rsidP="00F555D6">
            <w:pPr>
              <w:spacing w:before="240" w:after="240" w:line="280" w:lineRule="auto"/>
              <w:rPr>
                <w:szCs w:val="24"/>
              </w:rPr>
            </w:pPr>
            <w:r w:rsidRPr="005C3B55">
              <w:rPr>
                <w:szCs w:val="24"/>
              </w:rPr>
              <w:t>The costs are eligible from the date of the occurrence of the natural disaster, i.e. 30 January 2014.</w:t>
            </w:r>
          </w:p>
          <w:p w:rsidR="00F555D6" w:rsidRPr="005C3B55" w:rsidRDefault="00F555D6" w:rsidP="00F555D6">
            <w:pPr>
              <w:spacing w:before="240" w:after="240" w:line="280" w:lineRule="auto"/>
              <w:rPr>
                <w:szCs w:val="24"/>
              </w:rPr>
            </w:pPr>
            <w:r w:rsidRPr="005C3B55">
              <w:rPr>
                <w:szCs w:val="24"/>
              </w:rPr>
              <w:t>The determination of the amount of eligible costs will take into account the upper limits of individual eligible costs, which will be determined in the Catalogue of the highest values of costs.</w:t>
            </w:r>
          </w:p>
          <w:p w:rsidR="00F555D6" w:rsidRPr="005C3B55" w:rsidRDefault="00F555D6" w:rsidP="00F555D6">
            <w:pPr>
              <w:spacing w:before="240" w:after="240" w:line="280" w:lineRule="auto"/>
              <w:rPr>
                <w:szCs w:val="24"/>
              </w:rPr>
            </w:pPr>
            <w:r w:rsidRPr="005C3B55">
              <w:rPr>
                <w:szCs w:val="24"/>
              </w:rPr>
              <w:t>The following costs are not entitled to support:</w:t>
            </w:r>
          </w:p>
          <w:p w:rsidR="00F555D6" w:rsidRPr="005C3B55" w:rsidRDefault="00F555D6" w:rsidP="00F555D6">
            <w:pPr>
              <w:numPr>
                <w:ilvl w:val="0"/>
                <w:numId w:val="262"/>
              </w:numPr>
              <w:spacing w:before="240" w:after="0"/>
              <w:ind w:hanging="290"/>
              <w:jc w:val="left"/>
              <w:rPr>
                <w:szCs w:val="24"/>
              </w:rPr>
            </w:pPr>
            <w:r w:rsidRPr="005C3B55">
              <w:rPr>
                <w:szCs w:val="24"/>
              </w:rPr>
              <w:t>interest on debts,</w:t>
            </w:r>
          </w:p>
          <w:p w:rsidR="00F555D6" w:rsidRPr="005C3B55" w:rsidRDefault="00F555D6" w:rsidP="00F555D6">
            <w:pPr>
              <w:numPr>
                <w:ilvl w:val="0"/>
                <w:numId w:val="262"/>
              </w:numPr>
              <w:spacing w:before="0" w:after="0"/>
              <w:ind w:hanging="290"/>
              <w:jc w:val="left"/>
              <w:rPr>
                <w:szCs w:val="24"/>
              </w:rPr>
            </w:pPr>
            <w:r w:rsidRPr="005C3B55">
              <w:rPr>
                <w:szCs w:val="24"/>
              </w:rPr>
              <w:t>value added tax (VAT), unless it is recoverable on the basis of the national legislation on VAT,</w:t>
            </w:r>
          </w:p>
          <w:p w:rsidR="00F555D6" w:rsidRPr="005C3B55" w:rsidRDefault="00F555D6" w:rsidP="00F555D6">
            <w:pPr>
              <w:numPr>
                <w:ilvl w:val="0"/>
                <w:numId w:val="262"/>
              </w:numPr>
              <w:spacing w:before="0" w:after="0"/>
              <w:ind w:hanging="290"/>
              <w:jc w:val="left"/>
              <w:rPr>
                <w:szCs w:val="24"/>
              </w:rPr>
            </w:pPr>
            <w:r w:rsidRPr="005C3B55">
              <w:rPr>
                <w:szCs w:val="24"/>
              </w:rPr>
              <w:t>cost of preparing the application for the public procurement and request for payment,</w:t>
            </w:r>
          </w:p>
          <w:p w:rsidR="00F555D6" w:rsidRPr="005C3B55" w:rsidRDefault="00F555D6" w:rsidP="00F555D6">
            <w:pPr>
              <w:numPr>
                <w:ilvl w:val="0"/>
                <w:numId w:val="262"/>
              </w:numPr>
              <w:spacing w:before="0" w:after="0"/>
              <w:ind w:hanging="290"/>
              <w:jc w:val="left"/>
              <w:rPr>
                <w:szCs w:val="24"/>
              </w:rPr>
            </w:pPr>
            <w:r w:rsidRPr="005C3B55">
              <w:rPr>
                <w:szCs w:val="24"/>
              </w:rPr>
              <w:t>costs of archaeological works and archaeological supervision,</w:t>
            </w:r>
          </w:p>
          <w:p w:rsidR="00F555D6" w:rsidRPr="005C3B55" w:rsidRDefault="00F555D6" w:rsidP="00F555D6">
            <w:pPr>
              <w:numPr>
                <w:ilvl w:val="0"/>
                <w:numId w:val="262"/>
              </w:numPr>
              <w:spacing w:before="0" w:after="0"/>
              <w:ind w:hanging="290"/>
              <w:jc w:val="left"/>
              <w:rPr>
                <w:szCs w:val="24"/>
              </w:rPr>
            </w:pPr>
            <w:r w:rsidRPr="005C3B55">
              <w:rPr>
                <w:szCs w:val="24"/>
              </w:rPr>
              <w:t>purchase of land, and</w:t>
            </w:r>
          </w:p>
          <w:p w:rsidR="00F555D6" w:rsidRPr="005C3B55" w:rsidRDefault="00F555D6" w:rsidP="00F555D6">
            <w:pPr>
              <w:numPr>
                <w:ilvl w:val="0"/>
                <w:numId w:val="262"/>
              </w:numPr>
              <w:spacing w:before="0" w:after="240"/>
              <w:ind w:hanging="290"/>
              <w:jc w:val="left"/>
              <w:rPr>
                <w:szCs w:val="24"/>
              </w:rPr>
            </w:pPr>
            <w:r w:rsidRPr="005C3B55">
              <w:rPr>
                <w:szCs w:val="24"/>
              </w:rPr>
              <w:t>purchase of used equipment.</w:t>
            </w:r>
          </w:p>
          <w:p w:rsidR="00F555D6" w:rsidRPr="005C3B55" w:rsidRDefault="00F555D6" w:rsidP="00F555D6">
            <w:pPr>
              <w:spacing w:before="240" w:after="240" w:line="280" w:lineRule="auto"/>
              <w:rPr>
                <w:szCs w:val="24"/>
              </w:rPr>
            </w:pPr>
            <w:r w:rsidRPr="005C3B55">
              <w:rPr>
                <w:szCs w:val="24"/>
              </w:rPr>
              <w:t>In the implementation of this operation, certain specific requirements from the aspect of eligibility of costs as per national regulations will be taken into account.</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Conditions for eligibility</w:t>
      </w:r>
    </w:p>
    <w:p w:rsidR="00F555D6" w:rsidRPr="005C3B55" w:rsidRDefault="00F555D6" w:rsidP="00F555D6">
      <w:pPr>
        <w:pStyle w:val="Naslov6"/>
        <w:tabs>
          <w:tab w:val="clear" w:pos="765"/>
        </w:tabs>
        <w:spacing w:before="0" w:after="0"/>
        <w:ind w:left="0" w:firstLine="0"/>
        <w:rPr>
          <w:szCs w:val="24"/>
          <w:lang w:val="en-GB"/>
        </w:rPr>
      </w:pP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263"/>
              </w:numPr>
              <w:spacing w:before="0" w:after="0"/>
              <w:ind w:hanging="290"/>
              <w:jc w:val="left"/>
              <w:rPr>
                <w:szCs w:val="24"/>
              </w:rPr>
            </w:pPr>
            <w:r w:rsidRPr="005C3B55">
              <w:rPr>
                <w:szCs w:val="24"/>
              </w:rPr>
              <w:t>Skid trails are implemented in accordance with the forest restoration plan of the region, which is defined in the aforementioned plan.</w:t>
            </w:r>
          </w:p>
          <w:p w:rsidR="00F555D6" w:rsidRPr="005C3B55" w:rsidRDefault="00F555D6" w:rsidP="00F555D6">
            <w:pPr>
              <w:numPr>
                <w:ilvl w:val="0"/>
                <w:numId w:val="263"/>
              </w:numPr>
              <w:spacing w:before="0" w:after="0"/>
              <w:ind w:hanging="290"/>
              <w:jc w:val="left"/>
              <w:rPr>
                <w:szCs w:val="24"/>
              </w:rPr>
            </w:pPr>
            <w:r w:rsidRPr="005C3B55">
              <w:rPr>
                <w:szCs w:val="24"/>
              </w:rPr>
              <w:t>Skid trails are defined in the silviculture plan updated on the basis of the restoration plan.</w:t>
            </w:r>
          </w:p>
          <w:p w:rsidR="00F555D6" w:rsidRPr="005C3B55" w:rsidRDefault="00F555D6" w:rsidP="00F555D6">
            <w:pPr>
              <w:numPr>
                <w:ilvl w:val="0"/>
                <w:numId w:val="263"/>
              </w:numPr>
              <w:spacing w:before="0" w:after="0"/>
              <w:ind w:hanging="290"/>
              <w:jc w:val="left"/>
              <w:rPr>
                <w:szCs w:val="24"/>
              </w:rPr>
            </w:pPr>
            <w:r w:rsidRPr="005C3B55">
              <w:rPr>
                <w:szCs w:val="24"/>
              </w:rPr>
              <w:t>Administrative consents must be acquired in accordance with the regulations on the construction of forest routes in extraordinary conditions.</w:t>
            </w:r>
          </w:p>
          <w:p w:rsidR="00F555D6" w:rsidRPr="005C3B55" w:rsidRDefault="00F555D6" w:rsidP="00F555D6">
            <w:pPr>
              <w:numPr>
                <w:ilvl w:val="0"/>
                <w:numId w:val="263"/>
              </w:numPr>
              <w:spacing w:before="0" w:after="0"/>
              <w:ind w:hanging="290"/>
              <w:jc w:val="left"/>
              <w:rPr>
                <w:szCs w:val="24"/>
              </w:rPr>
            </w:pPr>
            <w:r w:rsidRPr="005C3B55">
              <w:rPr>
                <w:szCs w:val="24"/>
              </w:rPr>
              <w:t>A decision by the Slovenia Forest Service must be attached for works to eliminate damage and restore forest, which was issued to the beneficiaries pursuant to the Forest Act (Official Gazette of the Republic of Slovenia, no. 30/93 with all amendments) and the Act Regulating Measures for the Recovery from Ice Damage which affected the Republic of Slovenia between January 30 and February 10 2014 (Official Gazette of the Republic of Slovenia, no. 17/14 with all amendments).</w:t>
            </w:r>
          </w:p>
          <w:p w:rsidR="00F555D6" w:rsidRPr="005C3B55" w:rsidRDefault="00F555D6" w:rsidP="00F555D6">
            <w:pPr>
              <w:numPr>
                <w:ilvl w:val="0"/>
                <w:numId w:val="263"/>
              </w:numPr>
              <w:spacing w:before="0" w:after="240"/>
              <w:ind w:hanging="290"/>
              <w:jc w:val="left"/>
              <w:rPr>
                <w:szCs w:val="24"/>
              </w:rPr>
            </w:pPr>
            <w:r w:rsidRPr="005C3B55">
              <w:rPr>
                <w:szCs w:val="24"/>
              </w:rPr>
              <w:t>Documentation for the construction, reconstruction and preparation of skid trails must be drafted pursuant to the Act Regulating Measures for the Recovery from Ice Damage which affected the Republic of Slovenia between January 30 and February 10 2014 (Official Gazette of the Republic of Slovenia, no. 17/14 with all amendments) and the Rules on forest traffic routes (Official Gazette of the Republic of Slovenia, no. 4/09 with all amendments).</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Principles regarding the determination of selection criteria</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The operation will be implemented as an open public tender.</w:t>
            </w:r>
          </w:p>
          <w:p w:rsidR="00F555D6" w:rsidRPr="005C3B55" w:rsidRDefault="00F555D6" w:rsidP="00F555D6">
            <w:pPr>
              <w:spacing w:before="240" w:after="240" w:line="280" w:lineRule="auto"/>
              <w:rPr>
                <w:szCs w:val="24"/>
              </w:rPr>
            </w:pPr>
            <w:r w:rsidRPr="005C3B55">
              <w:rPr>
                <w:szCs w:val="24"/>
              </w:rPr>
              <w:t>The criterion for application assessment is the inclusion of skid trains in the restoration plan.</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(Valid) amounts and support rates</w:t>
      </w:r>
    </w:p>
    <w:p w:rsidR="00F555D6" w:rsidRPr="005C3B55" w:rsidRDefault="00F555D6" w:rsidP="00F555D6">
      <w:pPr>
        <w:pStyle w:val="Naslov6"/>
        <w:tabs>
          <w:tab w:val="clear" w:pos="765"/>
        </w:tabs>
        <w:spacing w:before="0" w:after="0"/>
        <w:ind w:left="0" w:firstLine="0"/>
        <w:rPr>
          <w:szCs w:val="24"/>
          <w:lang w:val="en-GB"/>
        </w:rPr>
      </w:pP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The public support rate amounts to 50 per cent of eligible costs.</w:t>
            </w:r>
          </w:p>
          <w:p w:rsidR="00F555D6" w:rsidRPr="005C3B55" w:rsidRDefault="00F555D6" w:rsidP="00F555D6">
            <w:pPr>
              <w:spacing w:before="240" w:after="240" w:line="280" w:lineRule="auto"/>
              <w:rPr>
                <w:szCs w:val="24"/>
              </w:rPr>
            </w:pPr>
            <w:r w:rsidRPr="005C3B55">
              <w:rPr>
                <w:szCs w:val="24"/>
              </w:rPr>
              <w:t>The lowest amount of public support is EUR 500.</w:t>
            </w:r>
          </w:p>
          <w:p w:rsidR="00F555D6" w:rsidRPr="005C3B55" w:rsidRDefault="00F555D6" w:rsidP="00F555D6">
            <w:pPr>
              <w:spacing w:before="240" w:after="240" w:line="280" w:lineRule="auto"/>
              <w:rPr>
                <w:szCs w:val="24"/>
              </w:rPr>
            </w:pPr>
            <w:r w:rsidRPr="005C3B55">
              <w:rPr>
                <w:szCs w:val="24"/>
              </w:rPr>
              <w:t>Recognised values per unit for individual works are defined in accordance with the national regulation.</w:t>
            </w:r>
          </w:p>
          <w:p w:rsidR="00F555D6" w:rsidRPr="005C3B55" w:rsidRDefault="00F555D6" w:rsidP="00F555D6">
            <w:pPr>
              <w:spacing w:before="240" w:after="240" w:line="280" w:lineRule="auto"/>
              <w:rPr>
                <w:szCs w:val="24"/>
              </w:rPr>
            </w:pPr>
            <w:r w:rsidRPr="005C3B55">
              <w:rPr>
                <w:szCs w:val="24"/>
              </w:rPr>
              <w:t>In the entire programming period 2014-2020, a beneficiary may obtain up to EUR 500,000 of public support from this operation.</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Verifiability and possibility of control of measures and/or type of operations</w:t>
      </w:r>
    </w:p>
    <w:p w:rsidR="00F555D6" w:rsidRPr="005C3B55" w:rsidRDefault="00F555D6" w:rsidP="00F555D6">
      <w:pPr>
        <w:pStyle w:val="Naslov7"/>
        <w:tabs>
          <w:tab w:val="clear" w:pos="765"/>
        </w:tabs>
        <w:ind w:left="0" w:firstLine="0"/>
        <w:rPr>
          <w:szCs w:val="24"/>
          <w:lang w:val="en-GB"/>
        </w:rPr>
      </w:pPr>
      <w:r w:rsidRPr="005C3B55">
        <w:rPr>
          <w:noProof w:val="0"/>
          <w:szCs w:val="24"/>
          <w:lang w:val="en-GB"/>
        </w:rPr>
        <w:t>Risks in the implementation of the measure</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b/>
                <w:szCs w:val="24"/>
              </w:rPr>
              <w:t>R1: Application conditions for private beneficiaries</w:t>
            </w:r>
          </w:p>
          <w:p w:rsidR="00F555D6" w:rsidRPr="005C3B55" w:rsidRDefault="00F555D6" w:rsidP="00F555D6">
            <w:pPr>
              <w:spacing w:before="240" w:after="240" w:line="280" w:lineRule="auto"/>
              <w:rPr>
                <w:szCs w:val="24"/>
              </w:rPr>
            </w:pPr>
            <w:r w:rsidRPr="005C3B55">
              <w:rPr>
                <w:szCs w:val="24"/>
              </w:rPr>
              <w:t>The implementation procedure is based on regulations regulating general administrative procedures. Selection procedures may be lengthy (they may take more than six months) due to the statutory deadlines. The situation on the market may change considerably during this time.</w:t>
            </w:r>
          </w:p>
          <w:p w:rsidR="00F555D6" w:rsidRPr="005C3B55" w:rsidRDefault="00F555D6" w:rsidP="00F555D6">
            <w:pPr>
              <w:spacing w:before="240" w:after="240" w:line="280" w:lineRule="auto"/>
              <w:rPr>
                <w:szCs w:val="24"/>
              </w:rPr>
            </w:pPr>
            <w:r w:rsidRPr="005C3B55">
              <w:rPr>
                <w:b/>
                <w:szCs w:val="24"/>
              </w:rPr>
              <w:t>R2: Reasonableness of costs</w:t>
            </w:r>
          </w:p>
          <w:p w:rsidR="00F555D6" w:rsidRPr="005C3B55" w:rsidRDefault="00F555D6" w:rsidP="00F555D6">
            <w:pPr>
              <w:spacing w:before="240" w:after="240" w:line="280" w:lineRule="auto"/>
              <w:rPr>
                <w:szCs w:val="24"/>
              </w:rPr>
            </w:pPr>
            <w:r w:rsidRPr="005C3B55">
              <w:rPr>
                <w:szCs w:val="24"/>
              </w:rPr>
              <w:t>In the implementation of investments, significant price fluctuations for the same or similar costs occur in the market, this is most obviously manifested when purchasing equipment, where differences in prices are noted for the same type of machinery on the common European market. There are not many providers of technologically demanding equipment.</w:t>
            </w:r>
          </w:p>
          <w:p w:rsidR="00F555D6" w:rsidRPr="005C3B55" w:rsidRDefault="00F555D6" w:rsidP="00F555D6">
            <w:pPr>
              <w:spacing w:before="240" w:after="240" w:line="280" w:lineRule="auto"/>
              <w:rPr>
                <w:szCs w:val="24"/>
              </w:rPr>
            </w:pPr>
            <w:r w:rsidRPr="005C3B55">
              <w:rPr>
                <w:b/>
                <w:szCs w:val="24"/>
              </w:rPr>
              <w:t>R3: Suitable overview and control system</w:t>
            </w:r>
          </w:p>
          <w:p w:rsidR="00F555D6" w:rsidRPr="005C3B55" w:rsidRDefault="00F555D6" w:rsidP="00F555D6">
            <w:pPr>
              <w:spacing w:before="240" w:after="240" w:line="280" w:lineRule="auto"/>
              <w:rPr>
                <w:szCs w:val="24"/>
              </w:rPr>
            </w:pPr>
            <w:r w:rsidRPr="005C3B55">
              <w:rPr>
                <w:szCs w:val="24"/>
              </w:rPr>
              <w:t>The greatest problem is the inadequate connection between databases in the public administration. This can result in an increased risk of dual co-funding of the same eligible costs.</w:t>
            </w:r>
          </w:p>
          <w:p w:rsidR="00F555D6" w:rsidRPr="005C3B55" w:rsidRDefault="00F555D6" w:rsidP="00F555D6">
            <w:pPr>
              <w:spacing w:before="240" w:after="240" w:line="280" w:lineRule="auto"/>
              <w:rPr>
                <w:szCs w:val="24"/>
              </w:rPr>
            </w:pPr>
            <w:r w:rsidRPr="005C3B55">
              <w:rPr>
                <w:b/>
                <w:szCs w:val="24"/>
              </w:rPr>
              <w:t>R4: Public procurement</w:t>
            </w:r>
          </w:p>
          <w:p w:rsidR="00F555D6" w:rsidRPr="005C3B55" w:rsidRDefault="00F555D6" w:rsidP="00F555D6">
            <w:pPr>
              <w:spacing w:before="240" w:after="240" w:line="280" w:lineRule="auto"/>
              <w:rPr>
                <w:szCs w:val="24"/>
              </w:rPr>
            </w:pPr>
            <w:r w:rsidRPr="005C3B55">
              <w:rPr>
                <w:szCs w:val="24"/>
              </w:rPr>
              <w:t>The risks in the implementation of the measure are, in particular, the long period needed to implement the public procurement procedure, complaints and review procedures, and possible agreements between providers.</w:t>
            </w:r>
          </w:p>
          <w:p w:rsidR="00F555D6" w:rsidRPr="005C3B55" w:rsidRDefault="00F555D6" w:rsidP="00F555D6">
            <w:pPr>
              <w:spacing w:before="240" w:after="240" w:line="280" w:lineRule="auto"/>
              <w:rPr>
                <w:szCs w:val="24"/>
              </w:rPr>
            </w:pPr>
            <w:r w:rsidRPr="005C3B55">
              <w:rPr>
                <w:b/>
                <w:szCs w:val="24"/>
              </w:rPr>
              <w:t>R7: Selection of beneficiaries</w:t>
            </w:r>
          </w:p>
          <w:p w:rsidR="00F555D6" w:rsidRPr="005C3B55" w:rsidRDefault="00F555D6" w:rsidP="00F555D6">
            <w:pPr>
              <w:spacing w:before="240" w:after="240" w:line="280" w:lineRule="auto"/>
              <w:rPr>
                <w:szCs w:val="24"/>
              </w:rPr>
            </w:pPr>
            <w:r w:rsidRPr="005C3B55">
              <w:rPr>
                <w:szCs w:val="24"/>
              </w:rPr>
              <w:t>There is the possibility of risk due to the lack of information for beneficiaries and persons responsible for the preparation of application and a lack of understanding of the requirements from the regulations.</w:t>
            </w:r>
          </w:p>
          <w:p w:rsidR="00F555D6" w:rsidRPr="005C3B55" w:rsidRDefault="00F555D6" w:rsidP="00F555D6">
            <w:pPr>
              <w:spacing w:before="240" w:after="240" w:line="280" w:lineRule="auto"/>
              <w:rPr>
                <w:szCs w:val="24"/>
              </w:rPr>
            </w:pPr>
            <w:r w:rsidRPr="005C3B55">
              <w:rPr>
                <w:b/>
                <w:szCs w:val="24"/>
              </w:rPr>
              <w:t>R8: IT systems</w:t>
            </w:r>
          </w:p>
          <w:p w:rsidR="00F555D6" w:rsidRPr="005C3B55" w:rsidRDefault="00F555D6" w:rsidP="00F555D6">
            <w:pPr>
              <w:spacing w:before="240" w:after="240" w:line="280" w:lineRule="auto"/>
              <w:rPr>
                <w:szCs w:val="24"/>
              </w:rPr>
            </w:pPr>
            <w:r w:rsidRPr="005C3B55">
              <w:rPr>
                <w:szCs w:val="24"/>
              </w:rPr>
              <w:t>There is a risk of an IT system that is inadequate for the submission of applications to the public procurement and requests for payment, and which is not advanced and does provide sufficient support. There is also a risk that potential beneficiaries will not be skilled at using this system and that the system will not function optimally.</w:t>
            </w:r>
          </w:p>
          <w:p w:rsidR="00F555D6" w:rsidRPr="005C3B55" w:rsidRDefault="00F555D6" w:rsidP="00F555D6">
            <w:pPr>
              <w:spacing w:before="240" w:after="240" w:line="280" w:lineRule="auto"/>
              <w:rPr>
                <w:szCs w:val="24"/>
              </w:rPr>
            </w:pPr>
            <w:r w:rsidRPr="005C3B55">
              <w:rPr>
                <w:b/>
                <w:szCs w:val="24"/>
              </w:rPr>
              <w:t>R9: Requests for payment</w:t>
            </w:r>
          </w:p>
          <w:p w:rsidR="00F555D6" w:rsidRPr="005C3B55" w:rsidRDefault="00F555D6" w:rsidP="00F555D6">
            <w:pPr>
              <w:spacing w:before="240" w:after="240" w:line="280" w:lineRule="auto"/>
              <w:rPr>
                <w:szCs w:val="24"/>
              </w:rPr>
            </w:pPr>
            <w:r w:rsidRPr="005C3B55">
              <w:rPr>
                <w:szCs w:val="24"/>
              </w:rPr>
              <w:t>A request for the payment of funds is honoured within 30 days following the submission of a complete request for payment. There are no delays in this part. The greatest risk arises in the processing of requests for payment. Due to unprofessional preparation, the procedure for processing may take several months. The main reason is the lack of knowledge among beneficiaries and persons preparing applications.</w:t>
            </w:r>
          </w:p>
          <w:p w:rsidR="00F555D6" w:rsidRPr="005C3B55" w:rsidRDefault="00F555D6" w:rsidP="00F555D6">
            <w:pPr>
              <w:pStyle w:val="Telobesedila"/>
              <w:rPr>
                <w:szCs w:val="24"/>
              </w:rPr>
            </w:pPr>
          </w:p>
        </w:tc>
      </w:tr>
    </w:tbl>
    <w:p w:rsidR="00F555D6" w:rsidRPr="005C3B55" w:rsidRDefault="00F555D6" w:rsidP="00F555D6">
      <w:pPr>
        <w:pStyle w:val="Naslov7"/>
        <w:tabs>
          <w:tab w:val="clear" w:pos="765"/>
        </w:tabs>
        <w:ind w:left="0" w:firstLine="0"/>
        <w:rPr>
          <w:szCs w:val="24"/>
          <w:lang w:val="en-GB"/>
        </w:rPr>
      </w:pPr>
      <w:r w:rsidRPr="005C3B55">
        <w:rPr>
          <w:noProof w:val="0"/>
          <w:szCs w:val="24"/>
          <w:lang w:val="en-GB"/>
        </w:rPr>
        <w:t>Mitigation measures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b/>
                <w:szCs w:val="24"/>
              </w:rPr>
              <w:t>R1: Application conditions for private beneficiaries</w:t>
            </w:r>
          </w:p>
          <w:p w:rsidR="00F555D6" w:rsidRPr="005C3B55" w:rsidRDefault="00F555D6" w:rsidP="00F555D6">
            <w:pPr>
              <w:spacing w:before="240" w:after="240" w:line="280" w:lineRule="auto"/>
              <w:rPr>
                <w:szCs w:val="24"/>
              </w:rPr>
            </w:pPr>
            <w:r w:rsidRPr="005C3B55">
              <w:rPr>
                <w:szCs w:val="24"/>
              </w:rPr>
              <w:t>The duration of administrative procedures cannot be influenced. However, the dissemination of information to potential beneficiaries on the measures and selection procedures of beneficiaries will be improved. Applications are submitted electronically, which shortens the time of application processing. Efforts to improve the unification of public procurements and the clarity of conditions are set to continue, which will contribute to making applications more complete. This will somewhat reduce the risk. With changes to the Agriculture Act (Official Gazette of the Republic of Slovenia, no. 45/2008 with all amendments) introduced in 2014, the provisions of the administrative procedure were changed in order to make the procedure more economical and to accelerate application processing.</w:t>
            </w:r>
          </w:p>
          <w:p w:rsidR="00F555D6" w:rsidRPr="005C3B55" w:rsidRDefault="00F555D6" w:rsidP="00F555D6">
            <w:pPr>
              <w:spacing w:before="240" w:after="240" w:line="280" w:lineRule="auto"/>
              <w:rPr>
                <w:szCs w:val="24"/>
              </w:rPr>
            </w:pPr>
            <w:r w:rsidRPr="005C3B55">
              <w:rPr>
                <w:b/>
                <w:szCs w:val="24"/>
              </w:rPr>
              <w:t>R2: Reasonableness of costs</w:t>
            </w:r>
          </w:p>
          <w:p w:rsidR="00F555D6" w:rsidRPr="005C3B55" w:rsidRDefault="00F555D6" w:rsidP="00F555D6">
            <w:pPr>
              <w:spacing w:before="240" w:after="240" w:line="280" w:lineRule="auto"/>
              <w:rPr>
                <w:szCs w:val="24"/>
              </w:rPr>
            </w:pPr>
            <w:r w:rsidRPr="005C3B55">
              <w:rPr>
                <w:szCs w:val="24"/>
              </w:rPr>
              <w:t>A uniform catalogue of costs for all measures which include investments will be set up. The catalogue will be prepared by an independent external contractor, and it will determine the highest recognised amounts of individual costs, which will be revised if necessary (for example, changed market conditions).</w:t>
            </w:r>
          </w:p>
          <w:p w:rsidR="00F555D6" w:rsidRPr="005C3B55" w:rsidRDefault="00F555D6" w:rsidP="00F555D6">
            <w:pPr>
              <w:spacing w:before="240" w:after="240" w:line="280" w:lineRule="auto"/>
              <w:rPr>
                <w:szCs w:val="24"/>
              </w:rPr>
            </w:pPr>
            <w:r w:rsidRPr="005C3B55">
              <w:rPr>
                <w:b/>
                <w:szCs w:val="24"/>
              </w:rPr>
              <w:t>R3: Suitable overview and control system</w:t>
            </w:r>
          </w:p>
          <w:p w:rsidR="00F555D6" w:rsidRPr="005C3B55" w:rsidRDefault="00F555D6" w:rsidP="00F555D6">
            <w:pPr>
              <w:spacing w:before="240" w:after="240" w:line="280" w:lineRule="auto"/>
              <w:rPr>
                <w:szCs w:val="24"/>
              </w:rPr>
            </w:pPr>
            <w:r w:rsidRPr="005C3B55">
              <w:rPr>
                <w:szCs w:val="24"/>
              </w:rPr>
              <w:t>The connectivity of databases within the public administration will be improved. The demarcation of the contents of eligible costs in relation to other funds will be more precisely defined.</w:t>
            </w:r>
          </w:p>
          <w:p w:rsidR="00F555D6" w:rsidRPr="005C3B55" w:rsidRDefault="00F555D6" w:rsidP="00F555D6">
            <w:pPr>
              <w:spacing w:before="240" w:after="240" w:line="280" w:lineRule="auto"/>
              <w:rPr>
                <w:szCs w:val="24"/>
              </w:rPr>
            </w:pPr>
            <w:r w:rsidRPr="005C3B55">
              <w:rPr>
                <w:b/>
                <w:szCs w:val="24"/>
              </w:rPr>
              <w:t>R4: Public procurement</w:t>
            </w:r>
          </w:p>
          <w:p w:rsidR="00F555D6" w:rsidRPr="005C3B55" w:rsidRDefault="00F555D6" w:rsidP="00F555D6">
            <w:pPr>
              <w:spacing w:before="240" w:after="240" w:line="280" w:lineRule="auto"/>
              <w:rPr>
                <w:szCs w:val="24"/>
              </w:rPr>
            </w:pPr>
            <w:r w:rsidRPr="005C3B55">
              <w:rPr>
                <w:szCs w:val="24"/>
              </w:rPr>
              <w:t>The mitigation measures are timely commenced public procurement procedures for the selection of contractors, well-prepared public procurement and tender documentation.</w:t>
            </w:r>
          </w:p>
          <w:p w:rsidR="00F555D6" w:rsidRPr="005C3B55" w:rsidRDefault="00F555D6" w:rsidP="00F555D6">
            <w:pPr>
              <w:spacing w:before="240" w:after="240" w:line="280" w:lineRule="auto"/>
              <w:rPr>
                <w:szCs w:val="24"/>
              </w:rPr>
            </w:pPr>
            <w:r w:rsidRPr="005C3B55">
              <w:rPr>
                <w:b/>
                <w:szCs w:val="24"/>
              </w:rPr>
              <w:t>R7: Selection of beneficiaries</w:t>
            </w:r>
          </w:p>
          <w:p w:rsidR="00F555D6" w:rsidRPr="005C3B55" w:rsidRDefault="00F555D6" w:rsidP="00F555D6">
            <w:pPr>
              <w:spacing w:before="240" w:after="240" w:line="280" w:lineRule="auto"/>
              <w:rPr>
                <w:szCs w:val="24"/>
              </w:rPr>
            </w:pPr>
            <w:r w:rsidRPr="005C3B55">
              <w:rPr>
                <w:szCs w:val="24"/>
              </w:rPr>
              <w:t>With the permanent implementation of the promotion of the measure, organisation of public presentations and other activities (updated website of the Ministry of Agriculture, Forestry and Food, activities of the National Rural Network), we will promptly inform potential beneficiaries on the content of the supported operation.</w:t>
            </w:r>
          </w:p>
          <w:p w:rsidR="00F555D6" w:rsidRPr="005C3B55" w:rsidRDefault="00F555D6" w:rsidP="00F555D6">
            <w:pPr>
              <w:spacing w:before="240" w:after="240" w:line="280" w:lineRule="auto"/>
              <w:rPr>
                <w:szCs w:val="24"/>
              </w:rPr>
            </w:pPr>
            <w:r w:rsidRPr="005C3B55">
              <w:rPr>
                <w:b/>
                <w:szCs w:val="24"/>
              </w:rPr>
              <w:t>R8: IT systems</w:t>
            </w:r>
          </w:p>
          <w:p w:rsidR="00F555D6" w:rsidRPr="005C3B55" w:rsidRDefault="00F555D6" w:rsidP="00F555D6">
            <w:pPr>
              <w:spacing w:before="240" w:after="240" w:line="280" w:lineRule="auto"/>
              <w:rPr>
                <w:szCs w:val="24"/>
              </w:rPr>
            </w:pPr>
            <w:r w:rsidRPr="005C3B55">
              <w:rPr>
                <w:szCs w:val="24"/>
              </w:rPr>
              <w:t>An IT system will be set up which will facilitate electronic submission of applications and requests for payment, thus simplifying the verification of double funding, business operations of associated parties, and separation between the funding of individual costs on the sub-measure level and other measures of the RDP 2014–2020. The system will incorporate different databases, which will enable faster and more precise data verification. The system will also enable monitoring of the implementation of the sub-measure. Training in the use of the IT system will be organised for the drafters of applications and requests.</w:t>
            </w:r>
          </w:p>
          <w:p w:rsidR="00F555D6" w:rsidRPr="005C3B55" w:rsidRDefault="00F555D6" w:rsidP="00F555D6">
            <w:pPr>
              <w:spacing w:before="240" w:after="240" w:line="280" w:lineRule="auto"/>
              <w:rPr>
                <w:szCs w:val="24"/>
              </w:rPr>
            </w:pPr>
            <w:r w:rsidRPr="005C3B55">
              <w:rPr>
                <w:b/>
                <w:szCs w:val="24"/>
              </w:rPr>
              <w:t>R9: Requests for payment</w:t>
            </w:r>
          </w:p>
          <w:p w:rsidR="00F555D6" w:rsidRPr="005C3B55" w:rsidRDefault="00F555D6" w:rsidP="00F555D6">
            <w:pPr>
              <w:spacing w:before="240" w:after="240" w:line="280" w:lineRule="auto"/>
              <w:rPr>
                <w:szCs w:val="24"/>
              </w:rPr>
            </w:pPr>
            <w:r w:rsidRPr="005C3B55">
              <w:rPr>
                <w:szCs w:val="24"/>
              </w:rPr>
              <w:t>The dissemination of information to beneficiaries and persons preparing applications regarding the preparation of requests for the payment of funds will be improved. In this period, the application for processing electronic applications and requests will be upgraded.</w:t>
            </w:r>
          </w:p>
          <w:p w:rsidR="00F555D6" w:rsidRPr="005C3B55" w:rsidRDefault="00F555D6" w:rsidP="00F555D6">
            <w:pPr>
              <w:pStyle w:val="Telobesedila"/>
              <w:rPr>
                <w:szCs w:val="24"/>
              </w:rPr>
            </w:pPr>
          </w:p>
        </w:tc>
      </w:tr>
    </w:tbl>
    <w:p w:rsidR="00F555D6" w:rsidRPr="005C3B55" w:rsidRDefault="00F555D6" w:rsidP="00F555D6">
      <w:pPr>
        <w:pStyle w:val="Naslov7"/>
        <w:tabs>
          <w:tab w:val="clear" w:pos="765"/>
        </w:tabs>
        <w:ind w:left="0" w:firstLine="0"/>
        <w:rPr>
          <w:szCs w:val="24"/>
          <w:lang w:val="en-GB"/>
        </w:rPr>
      </w:pPr>
      <w:r w:rsidRPr="005C3B55">
        <w:rPr>
          <w:noProof w:val="0"/>
          <w:szCs w:val="24"/>
          <w:lang w:val="en-GB"/>
        </w:rPr>
        <w:t>General assessment of the measure</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The operation in the anticipated form is fully feasible and controllable, and will produce the expected results and contribute to the restoration, preservation and enhancement of ecosystems in forests, and to the attainment of other objectives of the RDP 2014–2020. The operation will also greatly contribute to realising horizontal objectives.</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Methodology for calculating support amount, where relevant</w:t>
      </w:r>
    </w:p>
    <w:p w:rsidR="00F555D6" w:rsidRPr="005C3B55" w:rsidRDefault="00F555D6" w:rsidP="00F555D6">
      <w:pPr>
        <w:pStyle w:val="Naslov6"/>
        <w:tabs>
          <w:tab w:val="clear" w:pos="765"/>
        </w:tabs>
        <w:spacing w:before="0" w:after="0"/>
        <w:ind w:left="0" w:firstLine="0"/>
        <w:rPr>
          <w:szCs w:val="24"/>
          <w:lang w:val="en-GB"/>
        </w:rPr>
      </w:pP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Not relevant.</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Information that relates specifically to the operation</w:t>
      </w:r>
    </w:p>
    <w:p w:rsidR="00F555D6" w:rsidRPr="005C3B55" w:rsidRDefault="00F555D6" w:rsidP="00F555D6">
      <w:pPr>
        <w:spacing w:line="280" w:lineRule="auto"/>
        <w:rPr>
          <w:szCs w:val="24"/>
        </w:rPr>
      </w:pPr>
      <w:r w:rsidRPr="005C3B55">
        <w:rPr>
          <w:szCs w:val="24"/>
        </w:rPr>
        <w:t>Definition and justification of the size of agricultural holdings whose support will depend on the submission of forest management plans or of an equivalent instrument</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On the basis of the Act on Forests (Official Gazette of the Republic of Slovenia, no. 30/93 with all amendments), plans for forest management are prepared for all forests in the Republic of Slovenia irrespective of their ownership and size of the forest holding. These plans determine conditions for the harmonious use of forests and intervention in forests and forest space, the required extent of forest cultivation and protection, the highest possible level of their exploitation and game management. Within this operation, the condition for support is to submit suitable information included in forest management plans.</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Definition of an “equivalent instrument”</w:t>
      </w:r>
    </w:p>
    <w:p w:rsidR="00F555D6" w:rsidRPr="005C3B55" w:rsidRDefault="00F555D6" w:rsidP="00F555D6">
      <w:pPr>
        <w:spacing w:after="0"/>
        <w:rPr>
          <w:szCs w:val="24"/>
        </w:rPr>
      </w:pP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Not relevant.</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[Reforestation and creation of woodland] Definition of types, areas and manners used to prevent inappropriate reforestation as stated in Article 6(a) of Delegated Regulation No 807/2014, including a description of environmental and climate conditions in areas where reforestation is anticipated as stated in Article 6(b) of the aforementioned regulation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Not relevant.</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[Reforestation and creation of woodland] Definition of minimum environmental requirements referred to in Article 6 of Delegated Regulation No 807/2014</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Not relevant.</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[Establishment of agricultural-forestry systems] Definition of the lowest and the highest number of trees that may be planted and preserved after they grow per hectare, and of forest species that may be used, pursuant to the second paragraph of Article 23 of Regulation (EU) No 1305/2013</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Not relevant.</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[Establishment of agricultural-forestry systems] Indication of environmental benefits of the supported systems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Not relevant.</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[Prevention and elimination of damage in forests due to forest fires and natural disasters as well as catastrophic events] If appropriate, a list of pests harmful for plants, which may cause the phenomena in question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Not relevant.</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[Prevention and elimination of damage in forests due to forest fires and natural disasters as well as catastrophic events] Definition of forest areas which are classified as areas with medium or high fire hazard in accordance with the relevant forest protection plan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Not relevant.</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[Prevention and elimination of damage in forests due to forest fires and natural disasters as well as catastrophic events] In the case of preventive measures regarding pests and diseases, a description of the relevant phenomena supported by scientific evidence, and, if necessary, including recommendations from scientific organisations on pest and disease management</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Not relevant.</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 xml:space="preserve">[Investments to improve resilience and environmental value of forest ecosystems] Definition of types of justified investments and their expected impact on the environment and/or public applications </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Not relevant.</w:t>
            </w:r>
          </w:p>
          <w:p w:rsidR="00F555D6" w:rsidRPr="005C3B55" w:rsidRDefault="00F555D6" w:rsidP="00F555D6">
            <w:pPr>
              <w:pStyle w:val="Telobesedila"/>
              <w:rPr>
                <w:szCs w:val="24"/>
              </w:rPr>
            </w:pPr>
          </w:p>
        </w:tc>
      </w:tr>
    </w:tbl>
    <w:p w:rsidR="00F555D6" w:rsidRPr="005C3B55" w:rsidRDefault="00F555D6" w:rsidP="00F555D6">
      <w:pPr>
        <w:pStyle w:val="Naslov4"/>
        <w:tabs>
          <w:tab w:val="clear" w:pos="765"/>
        </w:tabs>
        <w:ind w:left="0" w:firstLine="0"/>
        <w:jc w:val="left"/>
        <w:rPr>
          <w:szCs w:val="24"/>
          <w:lang w:val="en-GB"/>
        </w:rPr>
      </w:pPr>
      <w:r w:rsidRPr="005C3B55">
        <w:rPr>
          <w:szCs w:val="24"/>
          <w:lang w:val="en-GB"/>
        </w:rPr>
        <w:t>Verifiability and possibility of control of measures and/or type of operations</w:t>
      </w:r>
    </w:p>
    <w:p w:rsidR="00F555D6" w:rsidRPr="005C3B55" w:rsidRDefault="00F555D6" w:rsidP="00F555D6">
      <w:pPr>
        <w:pStyle w:val="Naslov5"/>
        <w:tabs>
          <w:tab w:val="clear" w:pos="765"/>
        </w:tabs>
        <w:ind w:left="0" w:firstLine="0"/>
        <w:rPr>
          <w:b w:val="0"/>
          <w:szCs w:val="24"/>
          <w:lang w:val="en-GB"/>
        </w:rPr>
      </w:pPr>
      <w:r w:rsidRPr="005C3B55">
        <w:rPr>
          <w:b w:val="0"/>
          <w:noProof w:val="0"/>
          <w:szCs w:val="24"/>
          <w:lang w:val="en-GB"/>
        </w:rPr>
        <w:t>Risks in the implementation of the measure</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Risks are determined within individual sub-measures or operations.</w:t>
            </w:r>
          </w:p>
          <w:p w:rsidR="00F555D6" w:rsidRPr="005C3B55" w:rsidRDefault="00F555D6" w:rsidP="00F555D6">
            <w:pPr>
              <w:spacing w:before="240" w:after="240" w:line="280" w:lineRule="auto"/>
              <w:rPr>
                <w:szCs w:val="24"/>
              </w:rPr>
            </w:pPr>
            <w:r w:rsidRPr="005C3B55">
              <w:rPr>
                <w:szCs w:val="24"/>
              </w:rPr>
              <w:t> </w:t>
            </w:r>
          </w:p>
          <w:p w:rsidR="00F555D6" w:rsidRPr="005C3B55" w:rsidRDefault="00F555D6" w:rsidP="00F555D6">
            <w:pPr>
              <w:pStyle w:val="Telobesedila"/>
              <w:rPr>
                <w:szCs w:val="24"/>
              </w:rPr>
            </w:pPr>
          </w:p>
        </w:tc>
      </w:tr>
    </w:tbl>
    <w:p w:rsidR="00F555D6" w:rsidRPr="005C3B55" w:rsidRDefault="00F555D6" w:rsidP="00F555D6">
      <w:pPr>
        <w:pStyle w:val="Naslov5"/>
        <w:tabs>
          <w:tab w:val="clear" w:pos="765"/>
        </w:tabs>
        <w:ind w:left="0" w:firstLine="0"/>
        <w:rPr>
          <w:b w:val="0"/>
          <w:szCs w:val="24"/>
          <w:lang w:val="en-GB"/>
        </w:rPr>
      </w:pPr>
      <w:r w:rsidRPr="005C3B55">
        <w:rPr>
          <w:b w:val="0"/>
          <w:noProof w:val="0"/>
          <w:szCs w:val="24"/>
          <w:lang w:val="en-GB"/>
        </w:rPr>
        <w:t>Mitigation measures</w:t>
      </w:r>
    </w:p>
    <w:p w:rsidR="00F555D6" w:rsidRPr="005C3B55" w:rsidRDefault="00F555D6" w:rsidP="00F555D6">
      <w:pPr>
        <w:pStyle w:val="Naslov5"/>
        <w:tabs>
          <w:tab w:val="clear" w:pos="765"/>
        </w:tabs>
        <w:spacing w:before="0" w:after="0"/>
        <w:ind w:left="0" w:firstLine="0"/>
        <w:rPr>
          <w:b w:val="0"/>
          <w:szCs w:val="24"/>
          <w:lang w:val="en-GB"/>
        </w:rPr>
      </w:pP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Mitigation measures are determined within individual sub-measures or operations.</w:t>
            </w:r>
          </w:p>
          <w:p w:rsidR="00F555D6" w:rsidRPr="005C3B55" w:rsidRDefault="00F555D6" w:rsidP="00F555D6">
            <w:pPr>
              <w:spacing w:before="240" w:after="240" w:line="280" w:lineRule="auto"/>
              <w:rPr>
                <w:szCs w:val="24"/>
              </w:rPr>
            </w:pPr>
            <w:r w:rsidRPr="005C3B55">
              <w:rPr>
                <w:szCs w:val="24"/>
              </w:rPr>
              <w:t> </w:t>
            </w:r>
          </w:p>
          <w:p w:rsidR="00F555D6" w:rsidRPr="005C3B55" w:rsidRDefault="00F555D6" w:rsidP="00F555D6">
            <w:pPr>
              <w:pStyle w:val="Telobesedila"/>
              <w:rPr>
                <w:szCs w:val="24"/>
              </w:rPr>
            </w:pPr>
          </w:p>
        </w:tc>
      </w:tr>
    </w:tbl>
    <w:p w:rsidR="00F555D6" w:rsidRPr="005C3B55" w:rsidRDefault="00F555D6" w:rsidP="00F555D6">
      <w:pPr>
        <w:pStyle w:val="Naslov5"/>
        <w:tabs>
          <w:tab w:val="clear" w:pos="765"/>
        </w:tabs>
        <w:ind w:left="0" w:firstLine="0"/>
        <w:rPr>
          <w:b w:val="0"/>
          <w:szCs w:val="24"/>
          <w:lang w:val="en-GB"/>
        </w:rPr>
      </w:pPr>
      <w:r w:rsidRPr="005C3B55">
        <w:rPr>
          <w:b w:val="0"/>
          <w:noProof w:val="0"/>
          <w:szCs w:val="24"/>
          <w:lang w:val="en-GB"/>
        </w:rPr>
        <w:t>General assessment of the measure</w:t>
      </w:r>
    </w:p>
    <w:p w:rsidR="00F555D6" w:rsidRPr="005C3B55" w:rsidRDefault="00F555D6" w:rsidP="00F555D6">
      <w:pPr>
        <w:pStyle w:val="Naslov5"/>
        <w:tabs>
          <w:tab w:val="clear" w:pos="765"/>
        </w:tabs>
        <w:spacing w:before="0" w:after="0"/>
        <w:ind w:left="0" w:firstLine="0"/>
        <w:rPr>
          <w:b w:val="0"/>
          <w:szCs w:val="24"/>
          <w:lang w:val="en-GB"/>
        </w:rPr>
      </w:pP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Described within individual sub-measures or operations.</w:t>
            </w:r>
          </w:p>
          <w:p w:rsidR="00F555D6" w:rsidRPr="005C3B55" w:rsidRDefault="00F555D6" w:rsidP="00F555D6">
            <w:pPr>
              <w:pStyle w:val="Telobesedila"/>
              <w:rPr>
                <w:szCs w:val="24"/>
              </w:rPr>
            </w:pPr>
          </w:p>
        </w:tc>
      </w:tr>
    </w:tbl>
    <w:p w:rsidR="00F555D6" w:rsidRPr="005C3B55" w:rsidRDefault="00F555D6" w:rsidP="00F555D6">
      <w:pPr>
        <w:pStyle w:val="Naslov4"/>
        <w:tabs>
          <w:tab w:val="clear" w:pos="765"/>
        </w:tabs>
        <w:ind w:left="0" w:firstLine="0"/>
        <w:jc w:val="left"/>
        <w:rPr>
          <w:szCs w:val="24"/>
          <w:lang w:val="en-GB"/>
        </w:rPr>
      </w:pPr>
      <w:r w:rsidRPr="005C3B55">
        <w:rPr>
          <w:szCs w:val="24"/>
          <w:lang w:val="en-GB"/>
        </w:rPr>
        <w:t>Methodology for calculating support amount, where relevant</w:t>
      </w:r>
    </w:p>
    <w:p w:rsidR="00F555D6" w:rsidRPr="005C3B55" w:rsidRDefault="00F555D6" w:rsidP="00F555D6">
      <w:pPr>
        <w:pStyle w:val="Naslov4"/>
        <w:tabs>
          <w:tab w:val="clear" w:pos="765"/>
        </w:tabs>
        <w:spacing w:before="0" w:after="0"/>
        <w:ind w:left="0" w:firstLine="0"/>
        <w:jc w:val="left"/>
        <w:rPr>
          <w:szCs w:val="24"/>
          <w:lang w:val="en-GB"/>
        </w:rPr>
      </w:pP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The methodology is described within individual operations.</w:t>
            </w:r>
          </w:p>
          <w:p w:rsidR="00F555D6" w:rsidRPr="005C3B55" w:rsidRDefault="00F555D6" w:rsidP="00F555D6">
            <w:pPr>
              <w:pStyle w:val="Telobesedila"/>
              <w:rPr>
                <w:szCs w:val="24"/>
              </w:rPr>
            </w:pPr>
          </w:p>
        </w:tc>
      </w:tr>
    </w:tbl>
    <w:p w:rsidR="00F555D6" w:rsidRPr="005C3B55" w:rsidRDefault="00F555D6" w:rsidP="00F555D6">
      <w:pPr>
        <w:pStyle w:val="Naslov4"/>
        <w:tabs>
          <w:tab w:val="clear" w:pos="765"/>
        </w:tabs>
        <w:ind w:left="0" w:firstLine="0"/>
        <w:jc w:val="left"/>
        <w:rPr>
          <w:szCs w:val="24"/>
          <w:lang w:val="en-GB"/>
        </w:rPr>
      </w:pPr>
      <w:r w:rsidRPr="005C3B55">
        <w:rPr>
          <w:szCs w:val="24"/>
          <w:lang w:val="en-GB"/>
        </w:rPr>
        <w:t>Additional information specific to the measure</w:t>
      </w:r>
    </w:p>
    <w:p w:rsidR="00F555D6" w:rsidRPr="005C3B55" w:rsidRDefault="00F555D6" w:rsidP="00F555D6">
      <w:pPr>
        <w:spacing w:line="280" w:lineRule="auto"/>
        <w:rPr>
          <w:szCs w:val="24"/>
        </w:rPr>
      </w:pPr>
      <w:r w:rsidRPr="005C3B55">
        <w:rPr>
          <w:szCs w:val="24"/>
        </w:rPr>
        <w:t>Definition and justification of the size of agricultural holdings whose support will depend on the submission of forest management plans or of an equivalent instrument</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Description is included in an individual operation.</w:t>
            </w:r>
          </w:p>
          <w:p w:rsidR="00F555D6" w:rsidRPr="005C3B55" w:rsidRDefault="00F555D6" w:rsidP="00F555D6">
            <w:pPr>
              <w:pStyle w:val="Telobesedila"/>
              <w:rPr>
                <w:szCs w:val="24"/>
              </w:rPr>
            </w:pPr>
          </w:p>
        </w:tc>
      </w:tr>
    </w:tbl>
    <w:p w:rsidR="00F555D6" w:rsidRPr="005C3B55" w:rsidRDefault="00F555D6" w:rsidP="00F555D6">
      <w:pPr>
        <w:spacing w:after="100" w:line="280" w:lineRule="auto"/>
        <w:rPr>
          <w:szCs w:val="24"/>
        </w:rPr>
      </w:pPr>
      <w:r w:rsidRPr="005C3B55">
        <w:rPr>
          <w:szCs w:val="24"/>
        </w:rPr>
        <w:t>Definition of an “equivalent instrument”</w:t>
      </w:r>
    </w:p>
    <w:p w:rsidR="00F555D6" w:rsidRPr="005C3B55" w:rsidRDefault="00F555D6" w:rsidP="00F555D6">
      <w:pPr>
        <w:spacing w:after="0"/>
        <w:rPr>
          <w:szCs w:val="24"/>
        </w:rPr>
      </w:pP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Not relevant.</w:t>
            </w:r>
          </w:p>
          <w:p w:rsidR="00F555D6" w:rsidRPr="005C3B55" w:rsidRDefault="00F555D6" w:rsidP="00F555D6">
            <w:pPr>
              <w:pStyle w:val="Telobesedila"/>
              <w:spacing w:after="100"/>
              <w:rPr>
                <w:szCs w:val="24"/>
              </w:rPr>
            </w:pPr>
          </w:p>
        </w:tc>
      </w:tr>
    </w:tbl>
    <w:p w:rsidR="00F555D6" w:rsidRPr="005C3B55" w:rsidRDefault="00F555D6" w:rsidP="00F555D6">
      <w:pPr>
        <w:spacing w:after="100" w:line="280" w:lineRule="auto"/>
        <w:rPr>
          <w:szCs w:val="24"/>
        </w:rPr>
      </w:pPr>
      <w:r w:rsidRPr="005C3B55">
        <w:rPr>
          <w:szCs w:val="24"/>
        </w:rPr>
        <w:t>[Reforestation and creation of woodland] Definition of types, areas and manners used to prevent inappropriate reforestation as stated in Article 6(a) of Delegated Regulation No 807/2014, including a description of environmental and climate conditions in areas where reforestation is anticipated as stated in Article 6(b) of the aforementioned regulation</w:t>
      </w:r>
    </w:p>
    <w:p w:rsidR="00F555D6" w:rsidRPr="005C3B55" w:rsidRDefault="00F555D6" w:rsidP="00F555D6">
      <w:pPr>
        <w:spacing w:after="0"/>
        <w:rPr>
          <w:szCs w:val="24"/>
        </w:rPr>
      </w:pP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Not relevant.</w:t>
            </w:r>
          </w:p>
          <w:p w:rsidR="00F555D6" w:rsidRPr="005C3B55" w:rsidRDefault="00F555D6" w:rsidP="00F555D6">
            <w:pPr>
              <w:pStyle w:val="Telobesedila"/>
              <w:spacing w:after="100"/>
              <w:rPr>
                <w:szCs w:val="24"/>
              </w:rPr>
            </w:pPr>
          </w:p>
        </w:tc>
      </w:tr>
    </w:tbl>
    <w:p w:rsidR="00F555D6" w:rsidRPr="005C3B55" w:rsidRDefault="00F555D6" w:rsidP="00F555D6">
      <w:pPr>
        <w:spacing w:after="100" w:line="280" w:lineRule="auto"/>
        <w:rPr>
          <w:szCs w:val="24"/>
        </w:rPr>
      </w:pPr>
      <w:r w:rsidRPr="005C3B55">
        <w:rPr>
          <w:szCs w:val="24"/>
        </w:rPr>
        <w:t>[Reforestation and creation of woodland] Definition of minimum environmental requirements referred to in Article 6 of Delegated Regulation No 807/2014</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Not relevant.</w:t>
            </w:r>
          </w:p>
          <w:p w:rsidR="00F555D6" w:rsidRPr="005C3B55" w:rsidRDefault="00F555D6" w:rsidP="00F555D6">
            <w:pPr>
              <w:pStyle w:val="Telobesedila"/>
              <w:spacing w:after="100"/>
              <w:rPr>
                <w:szCs w:val="24"/>
              </w:rPr>
            </w:pPr>
          </w:p>
        </w:tc>
      </w:tr>
    </w:tbl>
    <w:p w:rsidR="00F555D6" w:rsidRPr="005C3B55" w:rsidRDefault="00F555D6" w:rsidP="00F555D6">
      <w:pPr>
        <w:spacing w:after="100" w:line="280" w:lineRule="auto"/>
        <w:rPr>
          <w:szCs w:val="24"/>
        </w:rPr>
      </w:pPr>
      <w:r w:rsidRPr="005C3B55">
        <w:rPr>
          <w:szCs w:val="24"/>
        </w:rPr>
        <w:t>[Establishment of agricultural-forestry systems] Definition of the lowest and the highest number of trees that may be planted and preserved after they grow per hectare, and of forest species that may be used, pursuant to the second paragraph of Article 23 of Regulation (EU) No 1305/2013</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Not relevant.</w:t>
            </w:r>
          </w:p>
          <w:p w:rsidR="00F555D6" w:rsidRPr="005C3B55" w:rsidRDefault="00F555D6" w:rsidP="00F555D6">
            <w:pPr>
              <w:pStyle w:val="Telobesedila"/>
              <w:spacing w:after="100"/>
              <w:rPr>
                <w:szCs w:val="24"/>
              </w:rPr>
            </w:pPr>
          </w:p>
        </w:tc>
      </w:tr>
    </w:tbl>
    <w:p w:rsidR="00F555D6" w:rsidRPr="005C3B55" w:rsidRDefault="00F555D6" w:rsidP="00F555D6">
      <w:pPr>
        <w:spacing w:after="100" w:line="280" w:lineRule="auto"/>
        <w:rPr>
          <w:szCs w:val="24"/>
        </w:rPr>
      </w:pPr>
      <w:r w:rsidRPr="005C3B55">
        <w:rPr>
          <w:szCs w:val="24"/>
        </w:rPr>
        <w:t>[Establishment of agricultural-forestry systems] Indication of environmental benefits of the supported systems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Not relevant.</w:t>
            </w:r>
          </w:p>
          <w:p w:rsidR="00F555D6" w:rsidRPr="005C3B55" w:rsidRDefault="00F555D6" w:rsidP="00F555D6">
            <w:pPr>
              <w:pStyle w:val="Telobesedila"/>
              <w:spacing w:after="100"/>
              <w:rPr>
                <w:szCs w:val="24"/>
              </w:rPr>
            </w:pPr>
          </w:p>
        </w:tc>
      </w:tr>
    </w:tbl>
    <w:p w:rsidR="00F555D6" w:rsidRPr="005C3B55" w:rsidRDefault="00F555D6" w:rsidP="00F555D6">
      <w:pPr>
        <w:spacing w:after="100" w:line="280" w:lineRule="auto"/>
        <w:rPr>
          <w:szCs w:val="24"/>
        </w:rPr>
      </w:pPr>
      <w:r w:rsidRPr="005C3B55">
        <w:rPr>
          <w:szCs w:val="24"/>
        </w:rPr>
        <w:t>[Prevention and elimination of damage in forests due to forest fires and natural disasters as well as catastrophic events] If appropriate, a list of pests harmful for plants, which may cause the phenomena in question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Not relevant.</w:t>
            </w:r>
          </w:p>
          <w:p w:rsidR="00F555D6" w:rsidRPr="005C3B55" w:rsidRDefault="00F555D6" w:rsidP="00F555D6">
            <w:pPr>
              <w:pStyle w:val="Telobesedila"/>
              <w:spacing w:after="100"/>
              <w:rPr>
                <w:szCs w:val="24"/>
              </w:rPr>
            </w:pPr>
          </w:p>
        </w:tc>
      </w:tr>
    </w:tbl>
    <w:p w:rsidR="00F555D6" w:rsidRPr="005C3B55" w:rsidRDefault="00F555D6" w:rsidP="00F555D6">
      <w:pPr>
        <w:spacing w:after="100" w:line="280" w:lineRule="auto"/>
        <w:rPr>
          <w:szCs w:val="24"/>
        </w:rPr>
      </w:pPr>
      <w:r w:rsidRPr="005C3B55">
        <w:rPr>
          <w:szCs w:val="24"/>
        </w:rPr>
        <w:t>[Prevention and elimination of damage in forests due to forest fires and natural disasters as well as catastrophic events] Definition of forest areas which are classified as areas with medium or high fire hazard in accordance with the relevant forest protection plan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Not relevant.</w:t>
            </w:r>
          </w:p>
          <w:p w:rsidR="00F555D6" w:rsidRPr="005C3B55" w:rsidRDefault="00F555D6" w:rsidP="00F555D6">
            <w:pPr>
              <w:pStyle w:val="Telobesedila"/>
              <w:spacing w:after="100"/>
              <w:rPr>
                <w:szCs w:val="24"/>
              </w:rPr>
            </w:pPr>
          </w:p>
        </w:tc>
      </w:tr>
    </w:tbl>
    <w:p w:rsidR="00F555D6" w:rsidRPr="005C3B55" w:rsidRDefault="00F555D6" w:rsidP="00F555D6">
      <w:pPr>
        <w:spacing w:after="100" w:line="280" w:lineRule="auto"/>
        <w:rPr>
          <w:szCs w:val="24"/>
        </w:rPr>
      </w:pPr>
      <w:r w:rsidRPr="005C3B55">
        <w:rPr>
          <w:szCs w:val="24"/>
        </w:rPr>
        <w:t>[Prevention and elimination of damage in forests due to forest fires and natural disasters as well as catastrophic events] In the case of preventive measures regarding pests and diseases, a description of the relevant phenomena supported by scientific evidence, and, if necessary, including recommendations from scientific organisations on pest and disease management</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Not relevant.</w:t>
            </w:r>
          </w:p>
          <w:p w:rsidR="00F555D6" w:rsidRPr="005C3B55" w:rsidRDefault="00F555D6" w:rsidP="00F555D6">
            <w:pPr>
              <w:pStyle w:val="Telobesedila"/>
              <w:spacing w:after="100"/>
              <w:rPr>
                <w:szCs w:val="24"/>
              </w:rPr>
            </w:pPr>
          </w:p>
        </w:tc>
      </w:tr>
    </w:tbl>
    <w:p w:rsidR="00F555D6" w:rsidRPr="005C3B55" w:rsidRDefault="00F555D6" w:rsidP="00F555D6">
      <w:pPr>
        <w:spacing w:after="100" w:line="280" w:lineRule="auto"/>
        <w:rPr>
          <w:szCs w:val="24"/>
        </w:rPr>
      </w:pPr>
      <w:r w:rsidRPr="005C3B55">
        <w:rPr>
          <w:szCs w:val="24"/>
        </w:rPr>
        <w:t xml:space="preserve">[Investments to improve resilience and environmental value of forest ecosystems] Definition of types of justified investments and their expected impact on the environment and/or public applications </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Not relevant.</w:t>
            </w:r>
          </w:p>
          <w:p w:rsidR="00F555D6" w:rsidRPr="005C3B55" w:rsidRDefault="00F555D6" w:rsidP="00F555D6">
            <w:pPr>
              <w:pStyle w:val="Telobesedila"/>
              <w:spacing w:after="100"/>
              <w:rPr>
                <w:szCs w:val="24"/>
              </w:rPr>
            </w:pPr>
          </w:p>
        </w:tc>
      </w:tr>
    </w:tbl>
    <w:p w:rsidR="00F555D6" w:rsidRPr="005C3B55" w:rsidRDefault="00F555D6" w:rsidP="00F555D6">
      <w:pPr>
        <w:pStyle w:val="Naslov4"/>
        <w:tabs>
          <w:tab w:val="clear" w:pos="765"/>
        </w:tabs>
        <w:spacing w:after="100"/>
        <w:ind w:left="0" w:firstLine="0"/>
        <w:jc w:val="left"/>
        <w:rPr>
          <w:szCs w:val="24"/>
          <w:lang w:val="en-GB"/>
        </w:rPr>
      </w:pPr>
      <w:r w:rsidRPr="005C3B55">
        <w:rPr>
          <w:szCs w:val="24"/>
          <w:lang w:val="en-GB"/>
        </w:rPr>
        <w:t>Other important remarks relevant to understanding and implementing the measure</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b/>
                <w:szCs w:val="24"/>
              </w:rPr>
              <w:t>Demarcation with the operation Regulation of forest infrastructure within sub-measure M04.3:</w:t>
            </w:r>
          </w:p>
          <w:p w:rsidR="00F555D6" w:rsidRPr="005C3B55" w:rsidRDefault="00F555D6" w:rsidP="00F555D6">
            <w:pPr>
              <w:spacing w:before="240" w:after="240" w:line="280" w:lineRule="auto"/>
              <w:rPr>
                <w:szCs w:val="24"/>
              </w:rPr>
            </w:pPr>
            <w:r w:rsidRPr="005C3B55">
              <w:rPr>
                <w:szCs w:val="24"/>
              </w:rPr>
              <w:t>Skid trails necessary for the implementation of restoration are defined in the restoration plan of forests damaged from glaze ice between 30 January and 10 February. Their construction, reconstruction and preparation in supported within sub-measure M08.4. Other forest roads not relevant for the restoration but important for forest management are supported within the operation Regulation of forest infrastructure within sub-measure M04.3.</w:t>
            </w:r>
          </w:p>
          <w:p w:rsidR="00F555D6" w:rsidRPr="005C3B55" w:rsidRDefault="00F555D6" w:rsidP="00F555D6">
            <w:pPr>
              <w:spacing w:before="240" w:after="240" w:line="280" w:lineRule="auto"/>
              <w:rPr>
                <w:szCs w:val="24"/>
              </w:rPr>
            </w:pPr>
            <w:r w:rsidRPr="005C3B55">
              <w:rPr>
                <w:b/>
                <w:szCs w:val="24"/>
              </w:rPr>
              <w:t xml:space="preserve">Delimitation and synergies with sub-measure M06.4. Investments in the establishment and development of non-agricultural activities: </w:t>
            </w:r>
          </w:p>
          <w:p w:rsidR="00F555D6" w:rsidRPr="005C3B55" w:rsidRDefault="00F555D6" w:rsidP="00F555D6">
            <w:pPr>
              <w:spacing w:before="240" w:after="240" w:line="280" w:lineRule="auto"/>
              <w:rPr>
                <w:szCs w:val="24"/>
              </w:rPr>
            </w:pPr>
            <w:r w:rsidRPr="005C3B55">
              <w:rPr>
                <w:szCs w:val="24"/>
              </w:rPr>
              <w:t>Within sub-measure M08.6 Investments in forestry technologies and in processing and mobilising of wood, support for investments in small-scale pre-industrial wood processing will be limited to activities and the production of products from the list of activities in, and products of, wood processing which defines first wood processing. Within sub-measure M06.4 Investments in the establishment and development of non-agricultural activities, investments in pre-industrial wood processing larger than small scale and other wood processing will be supported. Beneficiaries will be able to receive funds from both sub-measures for the implementation of the entire forest-wood chain, from the forest to the end product.</w:t>
            </w:r>
          </w:p>
          <w:p w:rsidR="00F555D6" w:rsidRPr="005C3B55" w:rsidRDefault="00F555D6" w:rsidP="00F555D6">
            <w:pPr>
              <w:pStyle w:val="Telobesedila"/>
              <w:rPr>
                <w:szCs w:val="24"/>
              </w:rPr>
            </w:pPr>
          </w:p>
        </w:tc>
      </w:tr>
    </w:tbl>
    <w:p w:rsidR="00F555D6" w:rsidRPr="005C3B55" w:rsidRDefault="00F555D6" w:rsidP="00F555D6">
      <w:pPr>
        <w:pStyle w:val="Naslov3"/>
        <w:tabs>
          <w:tab w:val="clear" w:pos="765"/>
        </w:tabs>
        <w:ind w:left="0" w:firstLine="0"/>
        <w:jc w:val="left"/>
        <w:rPr>
          <w:szCs w:val="24"/>
          <w:lang w:val="en-GB"/>
        </w:rPr>
      </w:pPr>
      <w:r w:rsidRPr="005C3B55">
        <w:rPr>
          <w:szCs w:val="24"/>
          <w:lang w:val="en-GB"/>
        </w:rPr>
        <w:br w:type="page"/>
      </w:r>
      <w:bookmarkStart w:id="122" w:name="_Toc416192580"/>
      <w:r w:rsidRPr="005C3B55">
        <w:rPr>
          <w:szCs w:val="24"/>
          <w:lang w:val="en-GB"/>
        </w:rPr>
        <w:t>M09 – Setting-up of producer groups and organisations (Article 27)</w:t>
      </w:r>
      <w:bookmarkEnd w:id="122"/>
    </w:p>
    <w:p w:rsidR="00F555D6" w:rsidRPr="005C3B55" w:rsidRDefault="00F555D6" w:rsidP="00F555D6">
      <w:pPr>
        <w:pStyle w:val="Naslov4"/>
        <w:tabs>
          <w:tab w:val="clear" w:pos="765"/>
        </w:tabs>
        <w:ind w:left="0" w:firstLine="0"/>
        <w:jc w:val="left"/>
        <w:rPr>
          <w:szCs w:val="24"/>
          <w:lang w:val="en-GB"/>
        </w:rPr>
      </w:pPr>
      <w:r w:rsidRPr="005C3B55">
        <w:rPr>
          <w:szCs w:val="24"/>
          <w:lang w:val="en-GB"/>
        </w:rPr>
        <w:t>Legal basis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Measure M09 is implemented pursuant to Article 27 of Regulation (EU) No. 1305/2013.</w:t>
            </w:r>
          </w:p>
          <w:p w:rsidR="00F555D6" w:rsidRPr="005C3B55" w:rsidRDefault="00F555D6" w:rsidP="00F555D6">
            <w:pPr>
              <w:pStyle w:val="Telobesedila"/>
              <w:rPr>
                <w:szCs w:val="24"/>
              </w:rPr>
            </w:pPr>
          </w:p>
        </w:tc>
      </w:tr>
    </w:tbl>
    <w:p w:rsidR="00F555D6" w:rsidRPr="005C3B55" w:rsidRDefault="00F555D6" w:rsidP="00F555D6">
      <w:pPr>
        <w:pStyle w:val="Naslov4"/>
        <w:tabs>
          <w:tab w:val="clear" w:pos="765"/>
        </w:tabs>
        <w:ind w:left="0" w:firstLine="0"/>
        <w:jc w:val="left"/>
        <w:rPr>
          <w:szCs w:val="24"/>
          <w:lang w:val="en-GB"/>
        </w:rPr>
      </w:pPr>
      <w:r w:rsidRPr="005C3B55">
        <w:rPr>
          <w:szCs w:val="24"/>
          <w:lang w:val="en-GB"/>
        </w:rPr>
        <w:t>A general description of the measure, including its intervention logic and contribution to focus areas and horizontal goals</w:t>
      </w:r>
    </w:p>
    <w:p w:rsidR="00F555D6" w:rsidRPr="005C3B55" w:rsidRDefault="00F555D6" w:rsidP="00F555D6">
      <w:pPr>
        <w:pStyle w:val="Naslov4"/>
        <w:tabs>
          <w:tab w:val="clear" w:pos="765"/>
        </w:tabs>
        <w:spacing w:before="0" w:after="0"/>
        <w:ind w:left="0" w:firstLine="0"/>
        <w:jc w:val="left"/>
        <w:rPr>
          <w:szCs w:val="24"/>
          <w:lang w:val="en-GB"/>
        </w:rPr>
      </w:pP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The need analysis shows that producers are insufficiently interconnected and market oriented. The majority of production policies within agriculture and forestry lack production integration, organised sales and joint appearance on the market; integration is particularly poor for products from quality schemes, fruit and vegetables, cereals for bread, pig meat and seeds. Market integration is also weak in the field of forest-wood products.</w:t>
            </w:r>
          </w:p>
          <w:p w:rsidR="00F555D6" w:rsidRPr="005C3B55" w:rsidRDefault="00F555D6" w:rsidP="00F555D6">
            <w:pPr>
              <w:spacing w:before="240" w:after="240" w:line="280" w:lineRule="auto"/>
              <w:rPr>
                <w:szCs w:val="24"/>
              </w:rPr>
            </w:pPr>
            <w:r w:rsidRPr="005C3B55">
              <w:rPr>
                <w:szCs w:val="24"/>
              </w:rPr>
              <w:t>The purpose of the measure is to enable easier setting up and operation of producer groups and organisations by means of awarding support for covering the costs of setting up and initial operation of producer groups and organisations.</w:t>
            </w:r>
          </w:p>
          <w:p w:rsidR="00F555D6" w:rsidRPr="005C3B55" w:rsidRDefault="00F555D6" w:rsidP="00F555D6">
            <w:pPr>
              <w:spacing w:before="240" w:after="240" w:line="280" w:lineRule="auto"/>
              <w:rPr>
                <w:szCs w:val="24"/>
              </w:rPr>
            </w:pPr>
            <w:r w:rsidRPr="005C3B55">
              <w:rPr>
                <w:szCs w:val="24"/>
              </w:rPr>
              <w:t>Lack of production connection creates difficulties primarily from the aspect of the growing demand from consumers, especially for products from quality schemes (organic products), as well as the needs of the food processing industry, which has to import raw materials. This is why it is important to improve the efficiency of the market in the agriculture and forestry sectors by promoting the setting up of producer groups and organisations. To facilitate the setting up of these groups and organisations, additional incentives have to be available to them in the first five years after their recognition.</w:t>
            </w:r>
          </w:p>
          <w:p w:rsidR="00F555D6" w:rsidRPr="005C3B55" w:rsidRDefault="00F555D6" w:rsidP="00F555D6">
            <w:pPr>
              <w:spacing w:before="240" w:after="240" w:line="280" w:lineRule="auto"/>
              <w:rPr>
                <w:szCs w:val="24"/>
              </w:rPr>
            </w:pPr>
            <w:r w:rsidRPr="005C3B55">
              <w:rPr>
                <w:szCs w:val="24"/>
              </w:rPr>
              <w:t>Associating producers in producer groups and organisations brings numerous advantages, such as: better transparency of operation, qualitative keeping of documents, recognisability when entering a market, better planning of production and development mainly by means of planning and realisation of objectives within the operating plan (including with planning of individual measures/activities for attaining individual objectives), more democracy in decision-making and possibilities for better cooperation of producers in decision-making, a higher concentration of supply and adaptation to the market situation and the reduction of production costs.</w:t>
            </w:r>
          </w:p>
          <w:p w:rsidR="00F555D6" w:rsidRPr="005C3B55" w:rsidRDefault="00F555D6" w:rsidP="00F555D6">
            <w:pPr>
              <w:spacing w:before="240" w:after="240" w:line="280" w:lineRule="auto"/>
              <w:rPr>
                <w:szCs w:val="24"/>
              </w:rPr>
            </w:pPr>
            <w:r w:rsidRPr="005C3B55">
              <w:rPr>
                <w:szCs w:val="24"/>
              </w:rPr>
              <w:t>Support under measure M09 focuses on the second action area referred to in the RDP 2014–2020 determined in Chapter 5.1 of the RDP 2014–2020.</w:t>
            </w:r>
          </w:p>
          <w:p w:rsidR="00F555D6" w:rsidRPr="005C3B55" w:rsidRDefault="00F555D6" w:rsidP="00F555D6">
            <w:pPr>
              <w:spacing w:before="240" w:after="240" w:line="280" w:lineRule="auto"/>
              <w:rPr>
                <w:szCs w:val="24"/>
              </w:rPr>
            </w:pPr>
            <w:r w:rsidRPr="005C3B55">
              <w:rPr>
                <w:b/>
                <w:szCs w:val="24"/>
              </w:rPr>
              <w:t>Contribution to focus areas</w:t>
            </w:r>
          </w:p>
          <w:p w:rsidR="00F555D6" w:rsidRPr="005C3B55" w:rsidRDefault="00F555D6" w:rsidP="00F555D6">
            <w:pPr>
              <w:spacing w:before="240" w:after="240" w:line="280" w:lineRule="auto"/>
              <w:rPr>
                <w:szCs w:val="24"/>
              </w:rPr>
            </w:pPr>
            <w:r w:rsidRPr="005C3B55">
              <w:rPr>
                <w:b/>
                <w:i/>
                <w:szCs w:val="24"/>
              </w:rPr>
              <w:t>Focus area 3A: Enhancing the inclusion of primary producers in the food chain through quality schemes, promotion in local markets, short supply chains, producer groups and inter-branch organisations and promotion of animal welfare</w:t>
            </w:r>
          </w:p>
          <w:p w:rsidR="00F555D6" w:rsidRPr="005C3B55" w:rsidRDefault="00F555D6" w:rsidP="00F555D6">
            <w:pPr>
              <w:spacing w:before="240" w:after="240" w:line="280" w:lineRule="auto"/>
              <w:rPr>
                <w:szCs w:val="24"/>
              </w:rPr>
            </w:pPr>
            <w:r w:rsidRPr="005C3B55">
              <w:rPr>
                <w:szCs w:val="24"/>
              </w:rPr>
              <w:t>The measure will promote the establishment of producer groups and organisations in the field of agriculture and forestry for joint marketing of products. The setting up of producer groups and organisations will encourage a more efficient organisation of producers in the field of agriculture and forestry. Joining the producer groups and organisations will be producers of agricultural and forestry products with the purpose of professionalisation of supply, increasing the production of local products and development of local economies.</w:t>
            </w:r>
          </w:p>
          <w:p w:rsidR="00F555D6" w:rsidRPr="005C3B55" w:rsidRDefault="00F555D6" w:rsidP="00F555D6">
            <w:pPr>
              <w:spacing w:before="240" w:after="240" w:line="280" w:lineRule="auto"/>
              <w:rPr>
                <w:szCs w:val="24"/>
              </w:rPr>
            </w:pPr>
            <w:r w:rsidRPr="005C3B55">
              <w:rPr>
                <w:b/>
                <w:szCs w:val="24"/>
              </w:rPr>
              <w:t>Contribution to horizontal objectives</w:t>
            </w:r>
          </w:p>
          <w:p w:rsidR="00F555D6" w:rsidRPr="005C3B55" w:rsidRDefault="00F555D6" w:rsidP="00F555D6">
            <w:pPr>
              <w:spacing w:before="240" w:after="240" w:line="280" w:lineRule="auto"/>
              <w:rPr>
                <w:szCs w:val="24"/>
              </w:rPr>
            </w:pPr>
            <w:r w:rsidRPr="005C3B55">
              <w:rPr>
                <w:b/>
                <w:i/>
                <w:szCs w:val="24"/>
              </w:rPr>
              <w:t xml:space="preserve">Mitigating, and adapting to, climate change: </w:t>
            </w:r>
            <w:r w:rsidRPr="005C3B55">
              <w:rPr>
                <w:szCs w:val="24"/>
              </w:rPr>
              <w:t>By promoting the setting up of producer groups and organisations, we are supporting organisation and centralisation of supply, development of short supply chains and, consequently, development of local markets which results in the shortening of transport routes, warehousing and logistics costs and, consequently, a reduction of the carbon footprint.</w:t>
            </w:r>
          </w:p>
          <w:p w:rsidR="00F555D6" w:rsidRPr="005C3B55" w:rsidRDefault="00F555D6" w:rsidP="00F555D6">
            <w:pPr>
              <w:spacing w:before="240" w:after="240" w:line="280" w:lineRule="auto"/>
              <w:rPr>
                <w:szCs w:val="24"/>
              </w:rPr>
            </w:pPr>
            <w:r w:rsidRPr="005C3B55">
              <w:rPr>
                <w:b/>
                <w:i/>
                <w:szCs w:val="24"/>
              </w:rPr>
              <w:t>Environment:</w:t>
            </w:r>
            <w:r w:rsidRPr="005C3B55">
              <w:rPr>
                <w:szCs w:val="24"/>
              </w:rPr>
              <w:t xml:space="preserve"> Incentives will also be intended for the setting-up of groups and organisations of producers of local products and products from the quality schemes, particularly organic products. Local production and production of organic products from the quality schemes takes into account local production capacities of a specific local area which directly and indirectly increases the level of awareness about the importance of environmental protection, which contributes to the added support of organic farming.</w:t>
            </w:r>
          </w:p>
          <w:p w:rsidR="00F555D6" w:rsidRPr="005C3B55" w:rsidRDefault="00F555D6" w:rsidP="00F555D6">
            <w:pPr>
              <w:spacing w:before="240" w:after="240" w:line="280" w:lineRule="auto"/>
              <w:rPr>
                <w:szCs w:val="24"/>
              </w:rPr>
            </w:pPr>
            <w:r w:rsidRPr="005C3B55">
              <w:rPr>
                <w:b/>
                <w:i/>
                <w:szCs w:val="24"/>
              </w:rPr>
              <w:t>Innovation:</w:t>
            </w:r>
            <w:r w:rsidRPr="005C3B55">
              <w:rPr>
                <w:szCs w:val="24"/>
              </w:rPr>
              <w:t xml:space="preserve"> The setting up of producer groups and organisations will create an environment which will enable the development of innovations in the field of quality local products, their production, marketing and consumption. Professionalisation and market organisation of producers offer a wide range of innovative approaches for the development of local markets.</w:t>
            </w:r>
          </w:p>
          <w:p w:rsidR="00F555D6" w:rsidRPr="005C3B55" w:rsidRDefault="00F555D6" w:rsidP="00F555D6">
            <w:pPr>
              <w:pStyle w:val="Telobesedila"/>
              <w:rPr>
                <w:szCs w:val="24"/>
              </w:rPr>
            </w:pPr>
          </w:p>
        </w:tc>
      </w:tr>
    </w:tbl>
    <w:p w:rsidR="00F555D6" w:rsidRPr="005C3B55" w:rsidRDefault="00F555D6" w:rsidP="00F555D6">
      <w:pPr>
        <w:pStyle w:val="Naslov4"/>
        <w:tabs>
          <w:tab w:val="clear" w:pos="765"/>
        </w:tabs>
        <w:ind w:left="0" w:firstLine="0"/>
        <w:jc w:val="left"/>
        <w:rPr>
          <w:szCs w:val="24"/>
          <w:lang w:val="en-GB"/>
        </w:rPr>
      </w:pPr>
      <w:r w:rsidRPr="005C3B55">
        <w:rPr>
          <w:szCs w:val="24"/>
          <w:lang w:val="en-GB"/>
        </w:rPr>
        <w:t>Scope and rate of support and beneficiaries, and, where relevant, the methodology for calculating the amount or level of support, if necessary broken down by sub-measures and/or the type of operation. Determine eligible costs, conditions for eligibility, valid amounts and rates of support and principles regarding the definition of the selection criteria for each type of operation</w:t>
      </w:r>
    </w:p>
    <w:p w:rsidR="00F555D6" w:rsidRPr="005C3B55" w:rsidRDefault="00F555D6" w:rsidP="00F555D6">
      <w:pPr>
        <w:pStyle w:val="Naslov5"/>
        <w:tabs>
          <w:tab w:val="clear" w:pos="765"/>
        </w:tabs>
        <w:ind w:left="0" w:firstLine="0"/>
        <w:rPr>
          <w:b w:val="0"/>
          <w:szCs w:val="24"/>
          <w:lang w:val="en-GB"/>
        </w:rPr>
      </w:pPr>
      <w:r w:rsidRPr="005C3B55">
        <w:rPr>
          <w:b w:val="0"/>
          <w:noProof w:val="0"/>
          <w:szCs w:val="24"/>
          <w:lang w:val="en-GB"/>
        </w:rPr>
        <w:t>Support for setting up of producer groups and organisations in the fields of agriculture and forestry</w:t>
      </w:r>
    </w:p>
    <w:p w:rsidR="00F555D6" w:rsidRPr="005C3B55" w:rsidRDefault="00F555D6" w:rsidP="00F555D6">
      <w:pPr>
        <w:spacing w:line="280" w:lineRule="auto"/>
        <w:rPr>
          <w:szCs w:val="24"/>
        </w:rPr>
      </w:pPr>
      <w:r w:rsidRPr="005C3B55">
        <w:rPr>
          <w:szCs w:val="24"/>
        </w:rPr>
        <w:t xml:space="preserve">Sub-measure: </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264"/>
              </w:numPr>
              <w:rPr>
                <w:szCs w:val="24"/>
              </w:rPr>
            </w:pPr>
            <w:r w:rsidRPr="005C3B55">
              <w:rPr>
                <w:szCs w:val="24"/>
              </w:rPr>
              <w:t>9.1 – Setting up of producer groups and organisations in the agricultural and forestry sectors</w:t>
            </w: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Description of type of operation</w:t>
      </w:r>
    </w:p>
    <w:p w:rsidR="00F555D6" w:rsidRPr="005C3B55" w:rsidRDefault="00F555D6" w:rsidP="00F555D6">
      <w:pPr>
        <w:pStyle w:val="Naslov6"/>
        <w:tabs>
          <w:tab w:val="clear" w:pos="765"/>
        </w:tabs>
        <w:spacing w:before="0" w:after="0"/>
        <w:ind w:left="0" w:firstLine="0"/>
        <w:rPr>
          <w:szCs w:val="24"/>
          <w:lang w:val="en-GB"/>
        </w:rPr>
      </w:pP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 xml:space="preserve">This measure will promote the setting up of producer groups and organisations in the fields of agriculture and forestry with the purpose of adapting the production and output of production by producers, the members of these groups, to the requirements of the market. Integration and joint appearance in the market will contribute to: </w:t>
            </w:r>
          </w:p>
          <w:p w:rsidR="00F555D6" w:rsidRPr="005C3B55" w:rsidRDefault="00F555D6" w:rsidP="00F555D6">
            <w:pPr>
              <w:numPr>
                <w:ilvl w:val="0"/>
                <w:numId w:val="265"/>
              </w:numPr>
              <w:spacing w:before="240" w:after="0"/>
              <w:ind w:hanging="290"/>
              <w:jc w:val="left"/>
              <w:rPr>
                <w:szCs w:val="24"/>
              </w:rPr>
            </w:pPr>
            <w:r w:rsidRPr="005C3B55">
              <w:rPr>
                <w:szCs w:val="24"/>
              </w:rPr>
              <w:t>joint placement of goods on the market;</w:t>
            </w:r>
          </w:p>
          <w:p w:rsidR="00F555D6" w:rsidRPr="005C3B55" w:rsidRDefault="00F555D6" w:rsidP="00F555D6">
            <w:pPr>
              <w:numPr>
                <w:ilvl w:val="0"/>
                <w:numId w:val="265"/>
              </w:numPr>
              <w:spacing w:before="0" w:after="0"/>
              <w:ind w:hanging="290"/>
              <w:jc w:val="left"/>
              <w:rPr>
                <w:szCs w:val="24"/>
              </w:rPr>
            </w:pPr>
            <w:r w:rsidRPr="005C3B55">
              <w:rPr>
                <w:szCs w:val="24"/>
              </w:rPr>
              <w:t>adjustment of the production and output of members of producer groups and organisations’ output to market requirements;</w:t>
            </w:r>
          </w:p>
          <w:p w:rsidR="00F555D6" w:rsidRPr="005C3B55" w:rsidRDefault="00F555D6" w:rsidP="00F555D6">
            <w:pPr>
              <w:numPr>
                <w:ilvl w:val="0"/>
                <w:numId w:val="265"/>
              </w:numPr>
              <w:spacing w:before="0" w:after="0"/>
              <w:ind w:hanging="290"/>
              <w:jc w:val="left"/>
              <w:rPr>
                <w:szCs w:val="24"/>
              </w:rPr>
            </w:pPr>
            <w:r w:rsidRPr="005C3B55">
              <w:rPr>
                <w:szCs w:val="24"/>
              </w:rPr>
              <w:t>centralisation of sales, and supply to wholesalers and retailers;</w:t>
            </w:r>
          </w:p>
          <w:p w:rsidR="00F555D6" w:rsidRPr="005C3B55" w:rsidRDefault="00F555D6" w:rsidP="00F555D6">
            <w:pPr>
              <w:numPr>
                <w:ilvl w:val="0"/>
                <w:numId w:val="265"/>
              </w:numPr>
              <w:spacing w:before="0" w:after="0"/>
              <w:ind w:hanging="290"/>
              <w:jc w:val="left"/>
              <w:rPr>
                <w:szCs w:val="24"/>
              </w:rPr>
            </w:pPr>
            <w:r w:rsidRPr="005C3B55">
              <w:rPr>
                <w:szCs w:val="24"/>
              </w:rPr>
              <w:t>establishment of common rules on production information, with particular regard to harvesting and availability; and</w:t>
            </w:r>
          </w:p>
          <w:p w:rsidR="00F555D6" w:rsidRPr="005C3B55" w:rsidRDefault="00F555D6" w:rsidP="00F555D6">
            <w:pPr>
              <w:numPr>
                <w:ilvl w:val="0"/>
                <w:numId w:val="265"/>
              </w:numPr>
              <w:spacing w:before="0" w:after="240"/>
              <w:ind w:hanging="290"/>
              <w:jc w:val="left"/>
              <w:rPr>
                <w:szCs w:val="24"/>
              </w:rPr>
            </w:pPr>
            <w:r w:rsidRPr="005C3B55">
              <w:rPr>
                <w:szCs w:val="24"/>
              </w:rPr>
              <w:t>other activities that may be carried out by producer groups (acquiring skills and experience in business and marketing and organisation and facilitation of innovation processes).</w:t>
            </w:r>
          </w:p>
          <w:p w:rsidR="00F555D6" w:rsidRPr="005C3B55" w:rsidRDefault="00F555D6" w:rsidP="00F555D6">
            <w:pPr>
              <w:spacing w:before="240" w:after="240"/>
              <w:rPr>
                <w:szCs w:val="24"/>
              </w:rPr>
            </w:pPr>
            <w:r w:rsidRPr="005C3B55">
              <w:rPr>
                <w:szCs w:val="24"/>
              </w:rPr>
              <w:t> </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Type of support</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Support is granted in the form of non-refundable financial aid to producer groups and organisations in the form of a flat rate payment in annual instalments for the first five consecutive years from the date on which the producer group or organisation was recognised on the basis of its business plan.</w:t>
            </w:r>
          </w:p>
          <w:p w:rsidR="00F555D6" w:rsidRPr="005C3B55" w:rsidRDefault="00F555D6" w:rsidP="00F555D6">
            <w:pPr>
              <w:spacing w:before="240" w:after="240" w:line="280" w:lineRule="auto"/>
              <w:rPr>
                <w:szCs w:val="24"/>
              </w:rPr>
            </w:pPr>
            <w:r w:rsidRPr="005C3B55">
              <w:rPr>
                <w:szCs w:val="24"/>
              </w:rPr>
              <w:t>Flat rate aid is calculated on the basis of annual sales revenue generated by the group and/or organisation in the previous year. The data required to calculate the flat rate sum will be acquired from official records.</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Connection with other legislation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266"/>
              </w:numPr>
              <w:spacing w:before="0" w:after="0"/>
              <w:ind w:hanging="290"/>
              <w:jc w:val="left"/>
              <w:rPr>
                <w:szCs w:val="24"/>
              </w:rPr>
            </w:pPr>
            <w:r w:rsidRPr="005C3B55">
              <w:rPr>
                <w:szCs w:val="24"/>
              </w:rPr>
              <w:t>Agriculture Act (Official Gazette of the Republic of Slovenia, no. 45/2008 with all amendments);</w:t>
            </w:r>
          </w:p>
          <w:p w:rsidR="00F555D6" w:rsidRPr="005C3B55" w:rsidRDefault="00F555D6" w:rsidP="00F555D6">
            <w:pPr>
              <w:numPr>
                <w:ilvl w:val="0"/>
                <w:numId w:val="266"/>
              </w:numPr>
              <w:spacing w:before="0" w:after="0"/>
              <w:ind w:hanging="290"/>
              <w:jc w:val="left"/>
              <w:rPr>
                <w:szCs w:val="24"/>
              </w:rPr>
            </w:pPr>
            <w:r w:rsidRPr="005C3B55">
              <w:rPr>
                <w:szCs w:val="24"/>
              </w:rPr>
              <w:t>Regulation (EU) No 1308/2013;</w:t>
            </w:r>
          </w:p>
          <w:p w:rsidR="00F555D6" w:rsidRPr="005C3B55" w:rsidRDefault="00F555D6" w:rsidP="00F555D6">
            <w:pPr>
              <w:numPr>
                <w:ilvl w:val="0"/>
                <w:numId w:val="266"/>
              </w:numPr>
              <w:spacing w:before="0" w:after="0"/>
              <w:ind w:hanging="290"/>
              <w:jc w:val="left"/>
              <w:rPr>
                <w:szCs w:val="24"/>
              </w:rPr>
            </w:pPr>
            <w:r w:rsidRPr="005C3B55">
              <w:rPr>
                <w:szCs w:val="24"/>
              </w:rPr>
              <w:t>Regulation (EU) No 1310/2013;</w:t>
            </w:r>
          </w:p>
          <w:p w:rsidR="00F555D6" w:rsidRPr="005C3B55" w:rsidRDefault="00F555D6" w:rsidP="00F555D6">
            <w:pPr>
              <w:numPr>
                <w:ilvl w:val="0"/>
                <w:numId w:val="266"/>
              </w:numPr>
              <w:spacing w:before="0" w:after="0"/>
              <w:ind w:hanging="290"/>
              <w:jc w:val="left"/>
              <w:rPr>
                <w:szCs w:val="24"/>
              </w:rPr>
            </w:pPr>
            <w:r w:rsidRPr="005C3B55">
              <w:rPr>
                <w:szCs w:val="24"/>
              </w:rPr>
              <w:t>national regulation which regulates the implementation of this sub-measure; and</w:t>
            </w:r>
          </w:p>
          <w:p w:rsidR="00F555D6" w:rsidRPr="005C3B55" w:rsidRDefault="00F555D6" w:rsidP="00F555D6">
            <w:pPr>
              <w:numPr>
                <w:ilvl w:val="0"/>
                <w:numId w:val="266"/>
              </w:numPr>
              <w:spacing w:before="0" w:after="240"/>
              <w:ind w:hanging="290"/>
              <w:jc w:val="left"/>
              <w:rPr>
                <w:szCs w:val="24"/>
              </w:rPr>
            </w:pPr>
            <w:r w:rsidRPr="005C3B55">
              <w:rPr>
                <w:szCs w:val="24"/>
              </w:rPr>
              <w:t>other EU and national legislation which regulates the implementation of this operation.</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Beneficiaries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The beneficiaries under this measure are newly-established producer groups and organisations, which are legal entities and fulfil the conditions for micro, small and medium-sized enterprises. They must be set up in the field of agriculture or forestry, and officially recognised by the Ministry of Agriculture, Forestry and Food in accordance the Agriculture Act (Official Gazette of the Republic of Slovenia, no. 45/2008 with al amendments) on the basis of a business plan.</w:t>
            </w:r>
          </w:p>
          <w:p w:rsidR="00F555D6" w:rsidRPr="005C3B55" w:rsidRDefault="00F555D6" w:rsidP="00F555D6">
            <w:pPr>
              <w:spacing w:before="240" w:after="240" w:line="280" w:lineRule="auto"/>
              <w:rPr>
                <w:szCs w:val="24"/>
              </w:rPr>
            </w:pPr>
            <w:r w:rsidRPr="005C3B55">
              <w:rPr>
                <w:szCs w:val="24"/>
              </w:rPr>
              <w:t> </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Eligible costs</w:t>
      </w:r>
    </w:p>
    <w:p w:rsidR="00F555D6" w:rsidRPr="005C3B55" w:rsidRDefault="00F555D6" w:rsidP="00F555D6">
      <w:pPr>
        <w:pStyle w:val="Naslov6"/>
        <w:tabs>
          <w:tab w:val="clear" w:pos="765"/>
        </w:tabs>
        <w:spacing w:before="0" w:after="0"/>
        <w:ind w:left="0" w:firstLine="0"/>
        <w:rPr>
          <w:szCs w:val="24"/>
          <w:lang w:val="en-GB"/>
        </w:rPr>
      </w:pP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All activities provided in the business plan and related to the establishment and operation of a producer group or organisation are eligible for support.</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Conditions for eligibility</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1. A producer group or organisation must be officially recognised by the Ministry of Agriculture, Forestry and Food.</w:t>
            </w:r>
          </w:p>
          <w:p w:rsidR="00F555D6" w:rsidRPr="005C3B55" w:rsidRDefault="00F555D6" w:rsidP="00F555D6">
            <w:pPr>
              <w:spacing w:before="240" w:after="240" w:line="280" w:lineRule="auto"/>
              <w:rPr>
                <w:szCs w:val="24"/>
              </w:rPr>
            </w:pPr>
            <w:r w:rsidRPr="005C3B55">
              <w:rPr>
                <w:szCs w:val="24"/>
              </w:rPr>
              <w:t>2. It must include producers for  the joint placement of goods on the market:</w:t>
            </w:r>
          </w:p>
          <w:p w:rsidR="00F555D6" w:rsidRPr="005C3B55" w:rsidRDefault="00F555D6" w:rsidP="00F555D6">
            <w:pPr>
              <w:numPr>
                <w:ilvl w:val="0"/>
                <w:numId w:val="267"/>
              </w:numPr>
              <w:spacing w:before="240" w:after="0"/>
              <w:ind w:hanging="290"/>
              <w:jc w:val="left"/>
              <w:rPr>
                <w:szCs w:val="24"/>
              </w:rPr>
            </w:pPr>
            <w:r w:rsidRPr="005C3B55">
              <w:rPr>
                <w:szCs w:val="24"/>
              </w:rPr>
              <w:t>a certain sector,</w:t>
            </w:r>
          </w:p>
          <w:p w:rsidR="00F555D6" w:rsidRPr="005C3B55" w:rsidRDefault="00F555D6" w:rsidP="00F555D6">
            <w:pPr>
              <w:numPr>
                <w:ilvl w:val="0"/>
                <w:numId w:val="267"/>
              </w:numPr>
              <w:spacing w:before="0" w:after="0"/>
              <w:ind w:hanging="290"/>
              <w:jc w:val="left"/>
              <w:rPr>
                <w:szCs w:val="24"/>
              </w:rPr>
            </w:pPr>
            <w:r w:rsidRPr="005C3B55">
              <w:rPr>
                <w:szCs w:val="24"/>
              </w:rPr>
              <w:t>a certain region or local environment,</w:t>
            </w:r>
          </w:p>
          <w:p w:rsidR="00F555D6" w:rsidRPr="005C3B55" w:rsidRDefault="00F555D6" w:rsidP="00F555D6">
            <w:pPr>
              <w:numPr>
                <w:ilvl w:val="0"/>
                <w:numId w:val="267"/>
              </w:numPr>
              <w:spacing w:before="0" w:after="0"/>
              <w:ind w:hanging="290"/>
              <w:jc w:val="left"/>
              <w:rPr>
                <w:szCs w:val="24"/>
              </w:rPr>
            </w:pPr>
            <w:r w:rsidRPr="005C3B55">
              <w:rPr>
                <w:szCs w:val="24"/>
              </w:rPr>
              <w:t>an agricultural or forestry product, or</w:t>
            </w:r>
          </w:p>
          <w:p w:rsidR="00F555D6" w:rsidRPr="005C3B55" w:rsidRDefault="00F555D6" w:rsidP="00F555D6">
            <w:pPr>
              <w:numPr>
                <w:ilvl w:val="0"/>
                <w:numId w:val="267"/>
              </w:numPr>
              <w:spacing w:before="0" w:after="240"/>
              <w:ind w:hanging="290"/>
              <w:jc w:val="left"/>
              <w:rPr>
                <w:szCs w:val="24"/>
              </w:rPr>
            </w:pPr>
            <w:r w:rsidRPr="005C3B55">
              <w:rPr>
                <w:szCs w:val="24"/>
              </w:rPr>
              <w:t>products from quality schemes.</w:t>
            </w:r>
          </w:p>
          <w:p w:rsidR="00F555D6" w:rsidRPr="005C3B55" w:rsidRDefault="00F555D6" w:rsidP="00F555D6">
            <w:pPr>
              <w:spacing w:before="240" w:after="240" w:line="280" w:lineRule="auto"/>
              <w:rPr>
                <w:szCs w:val="24"/>
              </w:rPr>
            </w:pPr>
            <w:r w:rsidRPr="005C3B55">
              <w:rPr>
                <w:szCs w:val="24"/>
              </w:rPr>
              <w:t>3. Producer groups and organisations are obliged to submit a business plan for the period of five years, which defines:</w:t>
            </w:r>
          </w:p>
          <w:p w:rsidR="00F555D6" w:rsidRPr="005C3B55" w:rsidRDefault="00F555D6" w:rsidP="00F555D6">
            <w:pPr>
              <w:numPr>
                <w:ilvl w:val="0"/>
                <w:numId w:val="268"/>
              </w:numPr>
              <w:spacing w:before="240" w:after="0"/>
              <w:ind w:hanging="290"/>
              <w:jc w:val="left"/>
              <w:rPr>
                <w:szCs w:val="24"/>
              </w:rPr>
            </w:pPr>
            <w:r w:rsidRPr="005C3B55">
              <w:rPr>
                <w:szCs w:val="24"/>
              </w:rPr>
              <w:t>adapting the production and output of producers who are members of such groups or organisations to market requirements;</w:t>
            </w:r>
          </w:p>
          <w:p w:rsidR="00F555D6" w:rsidRPr="005C3B55" w:rsidRDefault="00F555D6" w:rsidP="00F555D6">
            <w:pPr>
              <w:numPr>
                <w:ilvl w:val="0"/>
                <w:numId w:val="268"/>
              </w:numPr>
              <w:spacing w:before="0" w:after="0"/>
              <w:ind w:hanging="290"/>
              <w:jc w:val="left"/>
              <w:rPr>
                <w:szCs w:val="24"/>
              </w:rPr>
            </w:pPr>
            <w:r w:rsidRPr="005C3B55">
              <w:rPr>
                <w:szCs w:val="24"/>
              </w:rPr>
              <w:t>jointly placing goods on the market, including preparation for sale, centralisation of sales and supply to wholesalers;</w:t>
            </w:r>
          </w:p>
          <w:p w:rsidR="00F555D6" w:rsidRPr="005C3B55" w:rsidRDefault="00F555D6" w:rsidP="00F555D6">
            <w:pPr>
              <w:numPr>
                <w:ilvl w:val="0"/>
                <w:numId w:val="268"/>
              </w:numPr>
              <w:spacing w:before="0" w:after="0"/>
              <w:ind w:hanging="290"/>
              <w:jc w:val="left"/>
              <w:rPr>
                <w:szCs w:val="24"/>
              </w:rPr>
            </w:pPr>
            <w:r w:rsidRPr="005C3B55">
              <w:rPr>
                <w:szCs w:val="24"/>
              </w:rPr>
              <w:t>establishment of common rules on production information, with particular regard to harvesting and availability; and</w:t>
            </w:r>
          </w:p>
          <w:p w:rsidR="00F555D6" w:rsidRPr="005C3B55" w:rsidRDefault="00F555D6" w:rsidP="00F555D6">
            <w:pPr>
              <w:numPr>
                <w:ilvl w:val="0"/>
                <w:numId w:val="268"/>
              </w:numPr>
              <w:spacing w:before="0" w:after="240"/>
              <w:ind w:hanging="290"/>
              <w:jc w:val="left"/>
              <w:rPr>
                <w:szCs w:val="24"/>
              </w:rPr>
            </w:pPr>
            <w:r w:rsidRPr="005C3B55">
              <w:rPr>
                <w:szCs w:val="24"/>
              </w:rPr>
              <w:t>other activities that may be pursued by producer groups and organisations, such as developing business and marketing skills, and organising and accelerating innovation processes.</w:t>
            </w:r>
          </w:p>
          <w:p w:rsidR="00F555D6" w:rsidRPr="005C3B55" w:rsidRDefault="00F555D6" w:rsidP="00F555D6">
            <w:pPr>
              <w:spacing w:before="240" w:after="240" w:line="280" w:lineRule="auto"/>
              <w:rPr>
                <w:szCs w:val="24"/>
              </w:rPr>
            </w:pPr>
            <w:r w:rsidRPr="005C3B55">
              <w:rPr>
                <w:szCs w:val="24"/>
              </w:rPr>
              <w:t>4. A producer group or organisation must attain the objectives from the business plan within five years of the recognition.</w:t>
            </w:r>
          </w:p>
          <w:p w:rsidR="00F555D6" w:rsidRPr="005C3B55" w:rsidRDefault="00F555D6" w:rsidP="00F555D6">
            <w:pPr>
              <w:spacing w:before="240" w:after="240" w:line="280" w:lineRule="auto"/>
              <w:rPr>
                <w:szCs w:val="24"/>
              </w:rPr>
            </w:pPr>
            <w:r w:rsidRPr="005C3B55">
              <w:rPr>
                <w:szCs w:val="24"/>
              </w:rPr>
              <w:t>5. Producer groups and organisations which include members who were members of other producer groups and organisations which received public support for the establishment and operation of producer groups and organisations for the same product are not eligible for support.</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Principles regarding the determination of selection criteria</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The sub-measure will be implemented as an open public tender.</w:t>
            </w:r>
          </w:p>
          <w:p w:rsidR="00F555D6" w:rsidRPr="005C3B55" w:rsidRDefault="00F555D6" w:rsidP="00F555D6">
            <w:pPr>
              <w:spacing w:before="240" w:after="240" w:line="280" w:lineRule="auto"/>
              <w:rPr>
                <w:szCs w:val="24"/>
              </w:rPr>
            </w:pPr>
            <w:r w:rsidRPr="005C3B55">
              <w:rPr>
                <w:szCs w:val="24"/>
              </w:rPr>
              <w:t>Selected projects whose applications are complete and adequate in terms of content and which meet the conditions for receiving funds and exceed the threshold number of points determined in the public tender will be eligible for support. An administrative procedure for the selection will be established which will enable ongoing applications and the selection of operations three to four times a year, which will be enabled by the ongoing application system.</w:t>
            </w:r>
          </w:p>
          <w:p w:rsidR="00F555D6" w:rsidRPr="005C3B55" w:rsidRDefault="00F555D6" w:rsidP="00F555D6">
            <w:pPr>
              <w:spacing w:before="240" w:after="240" w:line="280" w:lineRule="auto"/>
              <w:rPr>
                <w:szCs w:val="24"/>
              </w:rPr>
            </w:pPr>
            <w:r w:rsidRPr="005C3B55">
              <w:rPr>
                <w:szCs w:val="24"/>
              </w:rPr>
              <w:t>Within selection criteria, the greatest emphasis will be on the sectoral aspect (e.g. producer groups and organisations which unite producers of products from sectors where a higher degree of market organisation is required have an advantage), the economic aspect (e.g. number of members), and contribution to horizontal objectives.</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(Valid) amounts and support rates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Support is granted to producer groups and organisations in the form of a flat rate payment in annual instalments for the first five consecutive years from the date on which the producer group or organisation was recognised on the basis of its business plan.</w:t>
            </w:r>
          </w:p>
          <w:p w:rsidR="00F555D6" w:rsidRPr="005C3B55" w:rsidRDefault="00F555D6" w:rsidP="00F555D6">
            <w:pPr>
              <w:spacing w:before="240" w:after="240" w:line="280" w:lineRule="auto"/>
              <w:rPr>
                <w:szCs w:val="24"/>
              </w:rPr>
            </w:pPr>
            <w:r w:rsidRPr="005C3B55">
              <w:rPr>
                <w:szCs w:val="24"/>
              </w:rPr>
              <w:t>The highest rate of support is 10 per cent and is gradually lowered, i.e.:</w:t>
            </w:r>
          </w:p>
          <w:p w:rsidR="00F555D6" w:rsidRPr="005C3B55" w:rsidRDefault="00F555D6" w:rsidP="00F555D6">
            <w:pPr>
              <w:numPr>
                <w:ilvl w:val="0"/>
                <w:numId w:val="269"/>
              </w:numPr>
              <w:spacing w:before="240" w:after="0"/>
              <w:ind w:hanging="290"/>
              <w:jc w:val="left"/>
              <w:rPr>
                <w:szCs w:val="24"/>
              </w:rPr>
            </w:pPr>
            <w:r w:rsidRPr="005C3B55">
              <w:rPr>
                <w:szCs w:val="24"/>
              </w:rPr>
              <w:t>10 per cent of the share of marketed production for the first and second year of support,</w:t>
            </w:r>
          </w:p>
          <w:p w:rsidR="00F555D6" w:rsidRPr="005C3B55" w:rsidRDefault="00F555D6" w:rsidP="00F555D6">
            <w:pPr>
              <w:numPr>
                <w:ilvl w:val="0"/>
                <w:numId w:val="269"/>
              </w:numPr>
              <w:spacing w:before="0" w:after="0"/>
              <w:ind w:hanging="290"/>
              <w:jc w:val="left"/>
              <w:rPr>
                <w:szCs w:val="24"/>
              </w:rPr>
            </w:pPr>
            <w:r w:rsidRPr="005C3B55">
              <w:rPr>
                <w:szCs w:val="24"/>
              </w:rPr>
              <w:t>9 per cent of the share of marketed production for the third year of support,</w:t>
            </w:r>
          </w:p>
          <w:p w:rsidR="00F555D6" w:rsidRPr="005C3B55" w:rsidRDefault="00F555D6" w:rsidP="00F555D6">
            <w:pPr>
              <w:numPr>
                <w:ilvl w:val="0"/>
                <w:numId w:val="269"/>
              </w:numPr>
              <w:spacing w:before="0" w:after="0"/>
              <w:ind w:hanging="290"/>
              <w:jc w:val="left"/>
              <w:rPr>
                <w:szCs w:val="24"/>
              </w:rPr>
            </w:pPr>
            <w:r w:rsidRPr="005C3B55">
              <w:rPr>
                <w:szCs w:val="24"/>
              </w:rPr>
              <w:t>8 per cent of the share of marketed production for the fourth year of support, and</w:t>
            </w:r>
          </w:p>
          <w:p w:rsidR="00F555D6" w:rsidRPr="005C3B55" w:rsidRDefault="00F555D6" w:rsidP="00F555D6">
            <w:pPr>
              <w:numPr>
                <w:ilvl w:val="0"/>
                <w:numId w:val="269"/>
              </w:numPr>
              <w:spacing w:before="0" w:after="240"/>
              <w:ind w:hanging="290"/>
              <w:jc w:val="left"/>
              <w:rPr>
                <w:szCs w:val="24"/>
              </w:rPr>
            </w:pPr>
            <w:r w:rsidRPr="005C3B55">
              <w:rPr>
                <w:szCs w:val="24"/>
              </w:rPr>
              <w:t>7 per cent of the share of marketed production for the fifth year of support.</w:t>
            </w:r>
          </w:p>
          <w:p w:rsidR="00F555D6" w:rsidRPr="005C3B55" w:rsidRDefault="00F555D6" w:rsidP="00F555D6">
            <w:pPr>
              <w:spacing w:before="240" w:after="240" w:line="280" w:lineRule="auto"/>
              <w:rPr>
                <w:szCs w:val="24"/>
              </w:rPr>
            </w:pPr>
            <w:r w:rsidRPr="005C3B55">
              <w:rPr>
                <w:szCs w:val="24"/>
              </w:rPr>
              <w:t>The calculation of the support amount is determined annually on the basis of data from official records on the annual sales revenue of the producer group or organisation.</w:t>
            </w:r>
          </w:p>
          <w:p w:rsidR="00F555D6" w:rsidRPr="005C3B55" w:rsidRDefault="00F555D6" w:rsidP="00F555D6">
            <w:pPr>
              <w:spacing w:before="240" w:after="240" w:line="280" w:lineRule="auto"/>
              <w:rPr>
                <w:szCs w:val="24"/>
              </w:rPr>
            </w:pPr>
            <w:r w:rsidRPr="005C3B55">
              <w:rPr>
                <w:szCs w:val="24"/>
              </w:rPr>
              <w:t>The highest amount of public support is EUR 100,000 annually.</w:t>
            </w:r>
          </w:p>
          <w:p w:rsidR="00F555D6" w:rsidRPr="005C3B55" w:rsidRDefault="00F555D6" w:rsidP="00F555D6">
            <w:pPr>
              <w:spacing w:before="240" w:after="240" w:line="280" w:lineRule="auto"/>
              <w:rPr>
                <w:szCs w:val="24"/>
              </w:rPr>
            </w:pPr>
            <w:r w:rsidRPr="005C3B55">
              <w:rPr>
                <w:szCs w:val="24"/>
              </w:rPr>
              <w:t>The last instalment is paid after the correct implementation of the business plan has been verified.</w:t>
            </w:r>
          </w:p>
          <w:p w:rsidR="00F555D6" w:rsidRPr="005C3B55" w:rsidRDefault="00F555D6" w:rsidP="00F555D6">
            <w:pPr>
              <w:spacing w:before="240" w:after="240" w:line="280" w:lineRule="auto"/>
              <w:rPr>
                <w:szCs w:val="24"/>
              </w:rPr>
            </w:pPr>
            <w:r w:rsidRPr="005C3B55">
              <w:rPr>
                <w:szCs w:val="24"/>
              </w:rPr>
              <w:t>The rules on state aid are observed when determining the support rate.</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Verifiability and possibility of control of measures and/or type of operations</w:t>
      </w:r>
    </w:p>
    <w:p w:rsidR="00F555D6" w:rsidRPr="005C3B55" w:rsidRDefault="00F555D6" w:rsidP="00F555D6">
      <w:pPr>
        <w:pStyle w:val="Naslov7"/>
        <w:tabs>
          <w:tab w:val="clear" w:pos="765"/>
        </w:tabs>
        <w:ind w:left="0" w:firstLine="0"/>
        <w:rPr>
          <w:szCs w:val="24"/>
          <w:lang w:val="en-GB"/>
        </w:rPr>
      </w:pPr>
      <w:r w:rsidRPr="005C3B55">
        <w:rPr>
          <w:noProof w:val="0"/>
          <w:szCs w:val="24"/>
          <w:lang w:val="en-GB"/>
        </w:rPr>
        <w:t>Risks in the implementation of the measure</w:t>
      </w:r>
    </w:p>
    <w:p w:rsidR="00F555D6" w:rsidRPr="005C3B55" w:rsidRDefault="00F555D6" w:rsidP="00F555D6">
      <w:pPr>
        <w:pStyle w:val="Naslov7"/>
        <w:tabs>
          <w:tab w:val="clear" w:pos="765"/>
        </w:tabs>
        <w:spacing w:before="0" w:after="0"/>
        <w:ind w:left="0" w:firstLine="0"/>
        <w:rPr>
          <w:szCs w:val="24"/>
          <w:lang w:val="en-GB"/>
        </w:rPr>
      </w:pP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b/>
                <w:szCs w:val="24"/>
              </w:rPr>
              <w:t>R7: Selection of beneficiaries</w:t>
            </w:r>
          </w:p>
          <w:p w:rsidR="00F555D6" w:rsidRPr="005C3B55" w:rsidRDefault="00F555D6" w:rsidP="00F555D6">
            <w:pPr>
              <w:spacing w:before="240" w:after="240" w:line="280" w:lineRule="auto"/>
              <w:rPr>
                <w:szCs w:val="24"/>
              </w:rPr>
            </w:pPr>
            <w:r w:rsidRPr="005C3B55">
              <w:rPr>
                <w:szCs w:val="24"/>
              </w:rPr>
              <w:t>The key risk which has been detected is associated particularly with preventing the possibility of the transfer of members from one producer group/organisation to another, which has the same purpose and objective in order to utilise support under this measure several times. The risk of transforming producer group/organisations with the same purpose and intending to utilise support several times also occurs. To this end, a beneficiary has to be obliged to regularly update membership records. Another risk is that supported producer groups or organisations cease to exist immediately after the end of the five-year period of receiving aid.   </w:t>
            </w:r>
          </w:p>
          <w:p w:rsidR="00F555D6" w:rsidRPr="005C3B55" w:rsidRDefault="00F555D6" w:rsidP="00F555D6">
            <w:pPr>
              <w:spacing w:before="240" w:after="240" w:line="280" w:lineRule="auto"/>
              <w:rPr>
                <w:szCs w:val="24"/>
              </w:rPr>
            </w:pPr>
            <w:r w:rsidRPr="005C3B55">
              <w:rPr>
                <w:b/>
                <w:szCs w:val="24"/>
              </w:rPr>
              <w:t>R8: IT systems</w:t>
            </w:r>
          </w:p>
          <w:p w:rsidR="00F555D6" w:rsidRPr="005C3B55" w:rsidRDefault="00F555D6" w:rsidP="00F555D6">
            <w:pPr>
              <w:spacing w:before="240" w:after="240" w:line="280" w:lineRule="auto"/>
              <w:rPr>
                <w:szCs w:val="24"/>
              </w:rPr>
            </w:pPr>
            <w:r w:rsidRPr="005C3B55">
              <w:rPr>
                <w:szCs w:val="24"/>
              </w:rPr>
              <w:t>Risks have been detected particularly in the correct functioning of IT systems or in providing suitable capacities for processing all information. Risks may also be posed by disorderly or outdated registers which are the result of incompatible databases.</w:t>
            </w:r>
          </w:p>
          <w:p w:rsidR="00F555D6" w:rsidRPr="005C3B55" w:rsidRDefault="00F555D6" w:rsidP="00F555D6">
            <w:pPr>
              <w:spacing w:before="240" w:after="240" w:line="280" w:lineRule="auto"/>
              <w:rPr>
                <w:szCs w:val="24"/>
              </w:rPr>
            </w:pPr>
            <w:r w:rsidRPr="005C3B55">
              <w:rPr>
                <w:b/>
                <w:szCs w:val="24"/>
              </w:rPr>
              <w:t>R9: Requests for payment</w:t>
            </w:r>
          </w:p>
          <w:p w:rsidR="00F555D6" w:rsidRPr="005C3B55" w:rsidRDefault="00F555D6" w:rsidP="00F555D6">
            <w:pPr>
              <w:spacing w:before="240" w:after="240" w:line="280" w:lineRule="auto"/>
              <w:rPr>
                <w:szCs w:val="24"/>
              </w:rPr>
            </w:pPr>
            <w:r w:rsidRPr="005C3B55">
              <w:rPr>
                <w:szCs w:val="24"/>
              </w:rPr>
              <w:t>The greatest risk arises in the processing of requests for payment. Due to unprofessional preparation, the procedure for processing may take several months. The main reason is the lack of information for beneficiaries and individuals preparing applications.</w:t>
            </w:r>
          </w:p>
          <w:p w:rsidR="00F555D6" w:rsidRPr="005C3B55" w:rsidRDefault="00F555D6" w:rsidP="00F555D6">
            <w:pPr>
              <w:pStyle w:val="Telobesedila"/>
              <w:rPr>
                <w:szCs w:val="24"/>
              </w:rPr>
            </w:pPr>
          </w:p>
        </w:tc>
      </w:tr>
    </w:tbl>
    <w:p w:rsidR="00F555D6" w:rsidRPr="005C3B55" w:rsidRDefault="00F555D6" w:rsidP="00F555D6">
      <w:pPr>
        <w:pStyle w:val="Naslov7"/>
        <w:tabs>
          <w:tab w:val="clear" w:pos="765"/>
        </w:tabs>
        <w:ind w:left="0" w:firstLine="0"/>
        <w:rPr>
          <w:szCs w:val="24"/>
          <w:lang w:val="en-GB"/>
        </w:rPr>
      </w:pPr>
      <w:r w:rsidRPr="005C3B55">
        <w:rPr>
          <w:noProof w:val="0"/>
          <w:szCs w:val="24"/>
          <w:lang w:val="en-GB"/>
        </w:rPr>
        <w:t>Mitigation measures</w:t>
      </w:r>
    </w:p>
    <w:p w:rsidR="00F555D6" w:rsidRPr="005C3B55" w:rsidRDefault="00F555D6" w:rsidP="00F555D6">
      <w:pPr>
        <w:pStyle w:val="Naslov7"/>
        <w:tabs>
          <w:tab w:val="clear" w:pos="765"/>
        </w:tabs>
        <w:spacing w:before="0" w:after="0"/>
        <w:ind w:left="0" w:firstLine="0"/>
        <w:rPr>
          <w:szCs w:val="24"/>
          <w:lang w:val="en-GB"/>
        </w:rPr>
      </w:pP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b/>
                <w:szCs w:val="24"/>
              </w:rPr>
              <w:t>R7: Selection of beneficiaries</w:t>
            </w:r>
          </w:p>
          <w:p w:rsidR="00F555D6" w:rsidRPr="005C3B55" w:rsidRDefault="00F555D6" w:rsidP="00F555D6">
            <w:pPr>
              <w:spacing w:before="240" w:after="240" w:line="280" w:lineRule="auto"/>
              <w:rPr>
                <w:szCs w:val="24"/>
              </w:rPr>
            </w:pPr>
            <w:r w:rsidRPr="005C3B55">
              <w:rPr>
                <w:szCs w:val="24"/>
              </w:rPr>
              <w:t>Suitable national legal bases arranging the recognition of groups and organisations are being amended or prepared that will enable the verification and traceability of memberships in groups or organisations. Legal bases also include the upgrading of records of producer groups or organisations and the establishment of membership records in both. Regarding the requirement for further existence of supported producer groups or organisations, greater emphasis will be put on temporary dissemination of information to potential beneficiaries on the conditions and all commitments which arise from the acquisition of aid. A great deal of attention will be paid to regular monitoring of the realisation of business plans and thus monitoring of the performance of these groups and organisations.</w:t>
            </w:r>
          </w:p>
          <w:p w:rsidR="00F555D6" w:rsidRPr="005C3B55" w:rsidRDefault="00F555D6" w:rsidP="00F555D6">
            <w:pPr>
              <w:spacing w:before="240" w:after="240" w:line="280" w:lineRule="auto"/>
              <w:rPr>
                <w:szCs w:val="24"/>
              </w:rPr>
            </w:pPr>
            <w:r w:rsidRPr="005C3B55">
              <w:rPr>
                <w:b/>
                <w:szCs w:val="24"/>
              </w:rPr>
              <w:t>R8: IT systems</w:t>
            </w:r>
          </w:p>
          <w:p w:rsidR="00F555D6" w:rsidRPr="005C3B55" w:rsidRDefault="00F555D6" w:rsidP="00F555D6">
            <w:pPr>
              <w:spacing w:before="240" w:after="240" w:line="280" w:lineRule="auto"/>
              <w:rPr>
                <w:szCs w:val="24"/>
              </w:rPr>
            </w:pPr>
            <w:r w:rsidRPr="005C3B55">
              <w:rPr>
                <w:szCs w:val="24"/>
              </w:rPr>
              <w:t>An IT system will be set up at the Paying Agency to facilitate the electronic processing of applications and requests for payment. The acquisition of data will be electronic to the greatest extent possible by means of connectivity between different databases. If databases are not mutually compatible so that they can be automatically verified within the IT system, verification will be carried out by exchanging data between database media.</w:t>
            </w:r>
          </w:p>
          <w:p w:rsidR="00F555D6" w:rsidRPr="005C3B55" w:rsidRDefault="00F555D6" w:rsidP="00F555D6">
            <w:pPr>
              <w:spacing w:before="240" w:after="240" w:line="280" w:lineRule="auto"/>
              <w:rPr>
                <w:szCs w:val="24"/>
              </w:rPr>
            </w:pPr>
            <w:r w:rsidRPr="005C3B55">
              <w:rPr>
                <w:b/>
                <w:szCs w:val="24"/>
              </w:rPr>
              <w:t>R9: Requests for payment</w:t>
            </w:r>
          </w:p>
          <w:p w:rsidR="00F555D6" w:rsidRPr="005C3B55" w:rsidRDefault="00F555D6" w:rsidP="00F555D6">
            <w:pPr>
              <w:spacing w:before="240" w:after="240" w:line="280" w:lineRule="auto"/>
              <w:rPr>
                <w:szCs w:val="24"/>
              </w:rPr>
            </w:pPr>
            <w:r w:rsidRPr="005C3B55">
              <w:rPr>
                <w:szCs w:val="24"/>
              </w:rPr>
              <w:t>Training on preparing requests for payment will be organised for beneficiaries and individuals preparing applications. Instruction for the preparation of requests for payment will be prepared in order for these requests to be prepared in a quality manner.</w:t>
            </w:r>
          </w:p>
          <w:p w:rsidR="00F555D6" w:rsidRPr="005C3B55" w:rsidRDefault="00F555D6" w:rsidP="00F555D6">
            <w:pPr>
              <w:pStyle w:val="Telobesedila"/>
              <w:rPr>
                <w:szCs w:val="24"/>
              </w:rPr>
            </w:pPr>
          </w:p>
        </w:tc>
      </w:tr>
    </w:tbl>
    <w:p w:rsidR="00F555D6" w:rsidRPr="005C3B55" w:rsidRDefault="00F555D6" w:rsidP="00F555D6">
      <w:pPr>
        <w:pStyle w:val="Naslov7"/>
        <w:tabs>
          <w:tab w:val="clear" w:pos="765"/>
        </w:tabs>
        <w:ind w:left="0" w:firstLine="0"/>
        <w:rPr>
          <w:szCs w:val="24"/>
          <w:lang w:val="en-GB"/>
        </w:rPr>
      </w:pPr>
      <w:r w:rsidRPr="005C3B55">
        <w:rPr>
          <w:noProof w:val="0"/>
          <w:szCs w:val="24"/>
          <w:lang w:val="en-GB"/>
        </w:rPr>
        <w:t>General assessment of the measure</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If considering mitigation measures, the measure is verifiable and controllable. It will be used to attain the expected results and objectives of the RDP 2014–2020, and will contribute to the realisation of all three horizontal objectives. The implementation of this measure is urgent in order to enhance the competitiveness of producers and integration of groups or organisations in agro-food chains.</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Methodology for calculating support amount, where relevant</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The methodology is defined in the chapter ‘Valid amounts and support rates’.</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Information that relates specifically to the operation</w:t>
      </w:r>
    </w:p>
    <w:p w:rsidR="00F555D6" w:rsidRPr="005C3B55" w:rsidRDefault="00F555D6" w:rsidP="00F555D6">
      <w:pPr>
        <w:spacing w:line="280" w:lineRule="auto"/>
        <w:rPr>
          <w:szCs w:val="24"/>
        </w:rPr>
      </w:pPr>
      <w:r w:rsidRPr="005C3B55">
        <w:rPr>
          <w:szCs w:val="24"/>
        </w:rPr>
        <w:t>Description of the official procedure for the recognition of groups and organisations</w:t>
      </w:r>
    </w:p>
    <w:p w:rsidR="00F555D6" w:rsidRPr="005C3B55" w:rsidRDefault="00F555D6" w:rsidP="00F555D6">
      <w:pPr>
        <w:spacing w:after="0"/>
        <w:rPr>
          <w:szCs w:val="24"/>
        </w:rPr>
      </w:pP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The procedure implemented on the basis of the rules on recognition of producer groups and organisations is anticipated for the recognition of producer groups and organisations.</w:t>
            </w:r>
          </w:p>
          <w:p w:rsidR="00F555D6" w:rsidRPr="005C3B55" w:rsidRDefault="00F555D6" w:rsidP="00F555D6">
            <w:pPr>
              <w:spacing w:before="240" w:after="240" w:line="280" w:lineRule="auto"/>
              <w:rPr>
                <w:szCs w:val="24"/>
              </w:rPr>
            </w:pPr>
            <w:r w:rsidRPr="005C3B55">
              <w:rPr>
                <w:szCs w:val="24"/>
              </w:rPr>
              <w:t>The producer group submits the application for recognition to the Ministry of Agriculture, Forestry and Food in the prescribed form and with all required evidence. The minister responsible for agriculture decides on the application for recognition within one month of the submission of a complete application. A mandatory condition for the recognition of a producer group is a submitted business plan.</w:t>
            </w:r>
          </w:p>
          <w:p w:rsidR="00F555D6" w:rsidRPr="005C3B55" w:rsidRDefault="00F555D6" w:rsidP="00F555D6">
            <w:pPr>
              <w:spacing w:before="240" w:after="240" w:line="280" w:lineRule="auto"/>
              <w:rPr>
                <w:szCs w:val="24"/>
              </w:rPr>
            </w:pPr>
            <w:r w:rsidRPr="005C3B55">
              <w:rPr>
                <w:szCs w:val="24"/>
              </w:rPr>
              <w:t>The process of recognising producer organisations includes the rules which derive from the provisions of Regulation (EU) No 1308/2013 and for producer organisations producing fruit and vegetables also Regulation (EU) No 543/2011. The producer organisation addresses the application to the Ministry of Agriculture, Forestry and Food and submits the following evidence:</w:t>
            </w:r>
          </w:p>
          <w:p w:rsidR="00F555D6" w:rsidRPr="005C3B55" w:rsidRDefault="00F555D6" w:rsidP="00F555D6">
            <w:pPr>
              <w:numPr>
                <w:ilvl w:val="0"/>
                <w:numId w:val="270"/>
              </w:numPr>
              <w:spacing w:before="240" w:after="0"/>
              <w:ind w:hanging="290"/>
              <w:jc w:val="left"/>
              <w:rPr>
                <w:szCs w:val="24"/>
              </w:rPr>
            </w:pPr>
            <w:r w:rsidRPr="005C3B55">
              <w:rPr>
                <w:szCs w:val="24"/>
              </w:rPr>
              <w:t>on the minimum number of members and minimum surface in hectares on which members produce products for which they are submitting the application for the recognition expressed; the surface must comply with the data from the collective application or with the data from the register of agricultural holdings;</w:t>
            </w:r>
          </w:p>
          <w:p w:rsidR="00F555D6" w:rsidRPr="005C3B55" w:rsidRDefault="00F555D6" w:rsidP="00F555D6">
            <w:pPr>
              <w:numPr>
                <w:ilvl w:val="0"/>
                <w:numId w:val="270"/>
              </w:numPr>
              <w:spacing w:before="0" w:after="0"/>
              <w:ind w:hanging="290"/>
              <w:jc w:val="left"/>
              <w:rPr>
                <w:szCs w:val="24"/>
              </w:rPr>
            </w:pPr>
            <w:r w:rsidRPr="005C3B55">
              <w:rPr>
                <w:szCs w:val="24"/>
              </w:rPr>
              <w:t>the Articles of Association of the producer organisation as per Article 153 of Regulation (EU) No 1308/2013 and a description of voting within the producer organisation, which proves that decision making is democratic; and</w:t>
            </w:r>
          </w:p>
          <w:p w:rsidR="00F555D6" w:rsidRPr="005C3B55" w:rsidRDefault="00F555D6" w:rsidP="00F555D6">
            <w:pPr>
              <w:numPr>
                <w:ilvl w:val="0"/>
                <w:numId w:val="270"/>
              </w:numPr>
              <w:spacing w:before="0" w:after="240"/>
              <w:ind w:hanging="290"/>
              <w:jc w:val="left"/>
              <w:rPr>
                <w:szCs w:val="24"/>
              </w:rPr>
            </w:pPr>
            <w:r w:rsidRPr="005C3B55">
              <w:rPr>
                <w:szCs w:val="24"/>
              </w:rPr>
              <w:t>description of the structure and activities of the applicant which shows that the applicant meets the conditions as per Article 152 of Regulation (EU) No 1308/2013 relating to the supply, demand or concentration of supply or optimisation and ensured technical means for members, business management, management, centralised bookkeeping and a joint account.</w:t>
            </w:r>
          </w:p>
          <w:p w:rsidR="00F555D6" w:rsidRPr="005C3B55" w:rsidRDefault="00F555D6" w:rsidP="00F555D6">
            <w:pPr>
              <w:spacing w:before="240" w:after="240" w:line="280" w:lineRule="auto"/>
              <w:rPr>
                <w:szCs w:val="24"/>
              </w:rPr>
            </w:pPr>
            <w:r w:rsidRPr="005C3B55">
              <w:rPr>
                <w:szCs w:val="24"/>
              </w:rPr>
              <w:t>By issuing a decision within four months after the receipt of the complete application for the recognition of the producer organisation, the minister responsible for agriculture recognises the producer organisation if the organisation meets the prescribed criteria.</w:t>
            </w:r>
          </w:p>
          <w:p w:rsidR="00F555D6" w:rsidRPr="005C3B55" w:rsidRDefault="00F555D6" w:rsidP="00F555D6">
            <w:pPr>
              <w:pStyle w:val="Telobesedila"/>
              <w:rPr>
                <w:szCs w:val="24"/>
              </w:rPr>
            </w:pPr>
          </w:p>
        </w:tc>
      </w:tr>
    </w:tbl>
    <w:p w:rsidR="00F555D6" w:rsidRPr="005C3B55" w:rsidRDefault="00F555D6" w:rsidP="00F555D6">
      <w:pPr>
        <w:pStyle w:val="Naslov4"/>
        <w:tabs>
          <w:tab w:val="clear" w:pos="765"/>
        </w:tabs>
        <w:ind w:left="0" w:firstLine="0"/>
        <w:jc w:val="left"/>
        <w:rPr>
          <w:szCs w:val="24"/>
          <w:lang w:val="en-GB"/>
        </w:rPr>
      </w:pPr>
      <w:r w:rsidRPr="005C3B55">
        <w:rPr>
          <w:szCs w:val="24"/>
          <w:lang w:val="en-GB"/>
        </w:rPr>
        <w:t>Verifiability and possibility of control of measures and/or type of operations</w:t>
      </w:r>
    </w:p>
    <w:p w:rsidR="00F555D6" w:rsidRPr="005C3B55" w:rsidRDefault="00F555D6" w:rsidP="00F555D6">
      <w:pPr>
        <w:pStyle w:val="Naslov5"/>
        <w:tabs>
          <w:tab w:val="clear" w:pos="765"/>
        </w:tabs>
        <w:ind w:left="0" w:firstLine="0"/>
        <w:rPr>
          <w:b w:val="0"/>
          <w:szCs w:val="24"/>
          <w:lang w:val="en-GB"/>
        </w:rPr>
      </w:pPr>
      <w:r w:rsidRPr="005C3B55">
        <w:rPr>
          <w:b w:val="0"/>
          <w:noProof w:val="0"/>
          <w:szCs w:val="24"/>
          <w:lang w:val="en-GB"/>
        </w:rPr>
        <w:t>Risks in the implementation of the measure</w:t>
      </w:r>
    </w:p>
    <w:p w:rsidR="00F555D6" w:rsidRPr="005C3B55" w:rsidRDefault="00F555D6" w:rsidP="00F555D6">
      <w:pPr>
        <w:pStyle w:val="Naslov5"/>
        <w:tabs>
          <w:tab w:val="clear" w:pos="765"/>
        </w:tabs>
        <w:spacing w:before="0" w:after="0"/>
        <w:ind w:left="0" w:firstLine="0"/>
        <w:rPr>
          <w:b w:val="0"/>
          <w:szCs w:val="24"/>
          <w:lang w:val="en-GB"/>
        </w:rPr>
      </w:pP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Risks are determined within the sub-measure.</w:t>
            </w:r>
          </w:p>
          <w:p w:rsidR="00F555D6" w:rsidRPr="005C3B55" w:rsidRDefault="00F555D6" w:rsidP="00F555D6">
            <w:pPr>
              <w:pStyle w:val="Telobesedila"/>
              <w:rPr>
                <w:szCs w:val="24"/>
              </w:rPr>
            </w:pPr>
          </w:p>
        </w:tc>
      </w:tr>
    </w:tbl>
    <w:p w:rsidR="00F555D6" w:rsidRPr="005C3B55" w:rsidRDefault="00F555D6" w:rsidP="00F555D6">
      <w:pPr>
        <w:pStyle w:val="Naslov5"/>
        <w:tabs>
          <w:tab w:val="clear" w:pos="765"/>
        </w:tabs>
        <w:ind w:left="0" w:firstLine="0"/>
        <w:rPr>
          <w:b w:val="0"/>
          <w:szCs w:val="24"/>
          <w:lang w:val="en-GB"/>
        </w:rPr>
      </w:pPr>
      <w:r w:rsidRPr="005C3B55">
        <w:rPr>
          <w:b w:val="0"/>
          <w:noProof w:val="0"/>
          <w:szCs w:val="24"/>
          <w:lang w:val="en-GB"/>
        </w:rPr>
        <w:t>Mitigation measures</w:t>
      </w:r>
    </w:p>
    <w:p w:rsidR="00F555D6" w:rsidRPr="005C3B55" w:rsidRDefault="00F555D6" w:rsidP="00F555D6">
      <w:pPr>
        <w:pStyle w:val="Naslov5"/>
        <w:tabs>
          <w:tab w:val="clear" w:pos="765"/>
        </w:tabs>
        <w:spacing w:before="0" w:after="0"/>
        <w:ind w:left="0" w:firstLine="0"/>
        <w:rPr>
          <w:b w:val="0"/>
          <w:szCs w:val="24"/>
          <w:lang w:val="en-GB"/>
        </w:rPr>
      </w:pP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Mitigation measures are determined within the sub-measure.</w:t>
            </w:r>
          </w:p>
          <w:p w:rsidR="00F555D6" w:rsidRPr="005C3B55" w:rsidRDefault="00F555D6" w:rsidP="00F555D6">
            <w:pPr>
              <w:pStyle w:val="Telobesedila"/>
              <w:rPr>
                <w:szCs w:val="24"/>
              </w:rPr>
            </w:pPr>
          </w:p>
        </w:tc>
      </w:tr>
    </w:tbl>
    <w:p w:rsidR="00F555D6" w:rsidRPr="005C3B55" w:rsidRDefault="00F555D6" w:rsidP="00F555D6">
      <w:pPr>
        <w:pStyle w:val="Naslov5"/>
        <w:tabs>
          <w:tab w:val="clear" w:pos="765"/>
        </w:tabs>
        <w:ind w:left="0" w:firstLine="0"/>
        <w:rPr>
          <w:b w:val="0"/>
          <w:szCs w:val="24"/>
          <w:lang w:val="en-GB"/>
        </w:rPr>
      </w:pPr>
      <w:r w:rsidRPr="005C3B55">
        <w:rPr>
          <w:b w:val="0"/>
          <w:noProof w:val="0"/>
          <w:szCs w:val="24"/>
          <w:lang w:val="en-GB"/>
        </w:rPr>
        <w:t>General assessment of the measure</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Described within the sub-measure.</w:t>
            </w:r>
          </w:p>
          <w:p w:rsidR="00F555D6" w:rsidRPr="005C3B55" w:rsidRDefault="00F555D6" w:rsidP="00F555D6">
            <w:pPr>
              <w:pStyle w:val="Telobesedila"/>
              <w:rPr>
                <w:szCs w:val="24"/>
              </w:rPr>
            </w:pPr>
          </w:p>
        </w:tc>
      </w:tr>
    </w:tbl>
    <w:p w:rsidR="00F555D6" w:rsidRPr="005C3B55" w:rsidRDefault="00F555D6" w:rsidP="00F555D6">
      <w:pPr>
        <w:pStyle w:val="Naslov4"/>
        <w:tabs>
          <w:tab w:val="clear" w:pos="765"/>
        </w:tabs>
        <w:ind w:left="0" w:firstLine="0"/>
        <w:jc w:val="left"/>
        <w:rPr>
          <w:szCs w:val="24"/>
          <w:lang w:val="en-GB"/>
        </w:rPr>
      </w:pPr>
      <w:r w:rsidRPr="005C3B55">
        <w:rPr>
          <w:szCs w:val="24"/>
          <w:lang w:val="en-GB"/>
        </w:rPr>
        <w:t>Methodology for calculating support amount, where relevant</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Defined within the description of the measure.</w:t>
            </w:r>
          </w:p>
          <w:p w:rsidR="00F555D6" w:rsidRPr="005C3B55" w:rsidRDefault="00F555D6" w:rsidP="00F555D6">
            <w:pPr>
              <w:pStyle w:val="Telobesedila"/>
              <w:rPr>
                <w:szCs w:val="24"/>
              </w:rPr>
            </w:pPr>
          </w:p>
        </w:tc>
      </w:tr>
    </w:tbl>
    <w:p w:rsidR="00F555D6" w:rsidRPr="005C3B55" w:rsidRDefault="00F555D6" w:rsidP="00F555D6">
      <w:pPr>
        <w:pStyle w:val="Naslov4"/>
        <w:tabs>
          <w:tab w:val="clear" w:pos="765"/>
        </w:tabs>
        <w:ind w:left="0" w:firstLine="0"/>
        <w:jc w:val="left"/>
        <w:rPr>
          <w:szCs w:val="24"/>
          <w:lang w:val="en-GB"/>
        </w:rPr>
      </w:pPr>
      <w:r w:rsidRPr="005C3B55">
        <w:rPr>
          <w:szCs w:val="24"/>
          <w:lang w:val="en-GB"/>
        </w:rPr>
        <w:t>Additional information specific to the measure</w:t>
      </w:r>
    </w:p>
    <w:p w:rsidR="00F555D6" w:rsidRPr="005C3B55" w:rsidRDefault="00F555D6" w:rsidP="00F555D6">
      <w:pPr>
        <w:spacing w:line="280" w:lineRule="auto"/>
        <w:rPr>
          <w:szCs w:val="24"/>
        </w:rPr>
      </w:pPr>
      <w:r w:rsidRPr="005C3B55">
        <w:rPr>
          <w:szCs w:val="24"/>
        </w:rPr>
        <w:t>Description of the official procedure for the recognition of groups and organisations</w:t>
      </w:r>
    </w:p>
    <w:p w:rsidR="00F555D6" w:rsidRPr="005C3B55" w:rsidRDefault="00F555D6" w:rsidP="00F555D6">
      <w:pPr>
        <w:spacing w:after="0"/>
        <w:rPr>
          <w:szCs w:val="24"/>
        </w:rPr>
      </w:pP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Defined within the description of the measure.</w:t>
            </w:r>
          </w:p>
          <w:p w:rsidR="00F555D6" w:rsidRPr="005C3B55" w:rsidRDefault="00F555D6" w:rsidP="00F555D6">
            <w:pPr>
              <w:pStyle w:val="Telobesedila"/>
              <w:rPr>
                <w:szCs w:val="24"/>
              </w:rPr>
            </w:pPr>
          </w:p>
        </w:tc>
      </w:tr>
    </w:tbl>
    <w:p w:rsidR="00F555D6" w:rsidRPr="005C3B55" w:rsidRDefault="00F555D6" w:rsidP="00F555D6">
      <w:pPr>
        <w:pStyle w:val="Naslov4"/>
        <w:tabs>
          <w:tab w:val="clear" w:pos="765"/>
        </w:tabs>
        <w:spacing w:after="100"/>
        <w:ind w:left="0" w:firstLine="0"/>
        <w:jc w:val="left"/>
        <w:rPr>
          <w:szCs w:val="24"/>
          <w:lang w:val="en-GB"/>
        </w:rPr>
      </w:pPr>
      <w:r w:rsidRPr="005C3B55">
        <w:rPr>
          <w:szCs w:val="24"/>
          <w:lang w:val="en-GB"/>
        </w:rPr>
        <w:t>Other important remarks relevant to understanding and implementing the measure</w:t>
      </w:r>
    </w:p>
    <w:p w:rsidR="00F555D6" w:rsidRPr="005C3B55" w:rsidRDefault="00F555D6" w:rsidP="00F555D6">
      <w:pPr>
        <w:pStyle w:val="Naslov4"/>
        <w:tabs>
          <w:tab w:val="clear" w:pos="765"/>
        </w:tabs>
        <w:spacing w:before="0" w:after="0"/>
        <w:ind w:left="0" w:firstLine="0"/>
        <w:jc w:val="left"/>
        <w:rPr>
          <w:szCs w:val="24"/>
          <w:lang w:val="en-GB"/>
        </w:rPr>
      </w:pP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b/>
                <w:szCs w:val="24"/>
              </w:rPr>
              <w:t>Measures to prevent shifting from one producer group/organisation to another producer group/organisation in order to benefit twice from the same type of support</w:t>
            </w:r>
          </w:p>
          <w:p w:rsidR="00F555D6" w:rsidRPr="005C3B55" w:rsidRDefault="00F555D6" w:rsidP="00F555D6">
            <w:pPr>
              <w:spacing w:before="240" w:after="240" w:line="280" w:lineRule="auto"/>
              <w:rPr>
                <w:szCs w:val="24"/>
              </w:rPr>
            </w:pPr>
            <w:r w:rsidRPr="005C3B55">
              <w:rPr>
                <w:szCs w:val="24"/>
              </w:rPr>
              <w:t>Upon the submission of an application for recognition, producer groups will submit lists of members, who will be verified and compared separately for each year of support with the reports of the operation of producer groups, while producer groups will regularly inform the Ministry of Agriculture, Forestry and Food about the withdrawal of individual members. The transfer of members between producer organisations is regulated in Regulation (EU) No 1308/2013. All acquired data will be recorded in the register of producer groups and organisations established pursuant to point a of Article 152 of the Agriculture Act (Official Gazette of the Republic of Slovenia, no. 45/08 with all amendments). The national regulation which will be the basis for the implementation of the measure will define in detail that groups whose members were already in other producer groups or organisations, and already received funds from the RDP cannot apply for RDP funds. This will ensure full supervision of entries and withdrawals of members and transfers of members between producer groups or organisations, and prevent doubling benefits for the same purpose.</w:t>
            </w:r>
          </w:p>
          <w:p w:rsidR="00F555D6" w:rsidRPr="005C3B55" w:rsidRDefault="00F555D6" w:rsidP="00F555D6">
            <w:pPr>
              <w:pStyle w:val="Telobesedila"/>
              <w:rPr>
                <w:szCs w:val="24"/>
              </w:rPr>
            </w:pPr>
          </w:p>
        </w:tc>
      </w:tr>
    </w:tbl>
    <w:p w:rsidR="00F555D6" w:rsidRPr="005C3B55" w:rsidRDefault="00F555D6" w:rsidP="00F555D6">
      <w:pPr>
        <w:pStyle w:val="Naslov3"/>
        <w:tabs>
          <w:tab w:val="clear" w:pos="765"/>
        </w:tabs>
        <w:ind w:left="0" w:firstLine="0"/>
        <w:jc w:val="left"/>
        <w:rPr>
          <w:szCs w:val="24"/>
          <w:lang w:val="en-GB"/>
        </w:rPr>
      </w:pPr>
      <w:r w:rsidRPr="005C3B55">
        <w:rPr>
          <w:szCs w:val="24"/>
          <w:lang w:val="en-GB"/>
        </w:rPr>
        <w:br w:type="page"/>
      </w:r>
      <w:bookmarkStart w:id="123" w:name="_Toc416192581"/>
      <w:r w:rsidRPr="005C3B55">
        <w:rPr>
          <w:szCs w:val="24"/>
          <w:lang w:val="en-GB"/>
        </w:rPr>
        <w:t xml:space="preserve">M10 – </w:t>
      </w:r>
      <w:r w:rsidRPr="005C3B55">
        <w:rPr>
          <w:rStyle w:val="atn"/>
          <w:szCs w:val="24"/>
          <w:lang w:val="en-GB"/>
        </w:rPr>
        <w:t>Agri-environment-climate payments</w:t>
      </w:r>
      <w:r w:rsidRPr="005C3B55">
        <w:rPr>
          <w:szCs w:val="24"/>
          <w:lang w:val="en-GB"/>
        </w:rPr>
        <w:t xml:space="preserve"> </w:t>
      </w:r>
      <w:r w:rsidRPr="005C3B55">
        <w:rPr>
          <w:rStyle w:val="hps"/>
          <w:szCs w:val="24"/>
          <w:lang w:val="en-GB"/>
        </w:rPr>
        <w:t xml:space="preserve">(Article </w:t>
      </w:r>
      <w:r w:rsidRPr="005C3B55">
        <w:rPr>
          <w:szCs w:val="24"/>
          <w:lang w:val="en-GB"/>
        </w:rPr>
        <w:t>28)</w:t>
      </w:r>
      <w:bookmarkEnd w:id="123"/>
    </w:p>
    <w:p w:rsidR="00F555D6" w:rsidRPr="005C3B55" w:rsidRDefault="00F555D6" w:rsidP="00F555D6">
      <w:pPr>
        <w:pStyle w:val="Naslov4"/>
        <w:tabs>
          <w:tab w:val="clear" w:pos="765"/>
        </w:tabs>
        <w:ind w:left="0" w:firstLine="0"/>
        <w:jc w:val="left"/>
        <w:rPr>
          <w:szCs w:val="24"/>
          <w:lang w:val="en-GB"/>
        </w:rPr>
      </w:pPr>
      <w:r w:rsidRPr="005C3B55">
        <w:rPr>
          <w:szCs w:val="24"/>
          <w:lang w:val="en-GB"/>
        </w:rPr>
        <w:t>Legal basis</w:t>
      </w:r>
    </w:p>
    <w:p w:rsidR="00F555D6" w:rsidRPr="005C3B55" w:rsidRDefault="00F555D6" w:rsidP="00F555D6">
      <w:pPr>
        <w:pStyle w:val="Naslov4"/>
        <w:tabs>
          <w:tab w:val="clear" w:pos="765"/>
        </w:tabs>
        <w:spacing w:before="0" w:after="0"/>
        <w:ind w:left="0" w:firstLine="0"/>
        <w:jc w:val="left"/>
        <w:rPr>
          <w:szCs w:val="24"/>
          <w:lang w:val="en-GB"/>
        </w:rPr>
      </w:pP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The M10 measure is implemented as per the first to eighth paragraphs of Article 28 of Regulation (EU) No 1305/2013.</w:t>
            </w:r>
          </w:p>
          <w:p w:rsidR="00F555D6" w:rsidRPr="005C3B55" w:rsidRDefault="00F555D6" w:rsidP="00F555D6">
            <w:pPr>
              <w:pStyle w:val="Telobesedila"/>
              <w:rPr>
                <w:szCs w:val="24"/>
              </w:rPr>
            </w:pPr>
          </w:p>
        </w:tc>
      </w:tr>
    </w:tbl>
    <w:p w:rsidR="00F555D6" w:rsidRPr="005C3B55" w:rsidRDefault="00F555D6" w:rsidP="00F555D6">
      <w:pPr>
        <w:pStyle w:val="Naslov4"/>
        <w:tabs>
          <w:tab w:val="clear" w:pos="765"/>
        </w:tabs>
        <w:ind w:left="0" w:firstLine="0"/>
        <w:jc w:val="left"/>
        <w:rPr>
          <w:szCs w:val="24"/>
          <w:lang w:val="en-GB"/>
        </w:rPr>
      </w:pPr>
      <w:r w:rsidRPr="005C3B55">
        <w:rPr>
          <w:szCs w:val="24"/>
          <w:lang w:val="en-GB"/>
        </w:rPr>
        <w:t>A general description of the measure, including its intervention logic and contribution to focus areas and horizontal goals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b/>
                <w:szCs w:val="24"/>
              </w:rPr>
              <w:t>GENERAL DESCRIPTION</w:t>
            </w:r>
          </w:p>
          <w:p w:rsidR="00F555D6" w:rsidRPr="005C3B55" w:rsidRDefault="00F555D6" w:rsidP="00F555D6">
            <w:pPr>
              <w:spacing w:before="240" w:after="240" w:line="280" w:lineRule="auto"/>
              <w:rPr>
                <w:szCs w:val="24"/>
              </w:rPr>
            </w:pPr>
            <w:r w:rsidRPr="005C3B55">
              <w:rPr>
                <w:b/>
                <w:i/>
                <w:szCs w:val="24"/>
              </w:rPr>
              <w:t>Purpose of the measure</w:t>
            </w:r>
          </w:p>
          <w:p w:rsidR="00F555D6" w:rsidRPr="005C3B55" w:rsidRDefault="00F555D6" w:rsidP="00F555D6">
            <w:pPr>
              <w:spacing w:before="240" w:after="240" w:line="280" w:lineRule="auto"/>
              <w:rPr>
                <w:szCs w:val="24"/>
              </w:rPr>
            </w:pPr>
            <w:r w:rsidRPr="005C3B55">
              <w:rPr>
                <w:szCs w:val="24"/>
              </w:rPr>
              <w:t>The situation analysis shows that it is necessary to establish a balance between the need to produce food and environmental protection, and to encourage agricultural holdings to manage agricultural land in a way which reduces the impact of farming on the environment, contributes to the mitigation and agricultural adjustments needed as a result of climate change, and ensure the implementation of socially important services and intangible public assets.</w:t>
            </w:r>
          </w:p>
          <w:p w:rsidR="00F555D6" w:rsidRPr="005C3B55" w:rsidRDefault="00F555D6" w:rsidP="00F555D6">
            <w:pPr>
              <w:spacing w:before="240" w:after="240" w:line="280" w:lineRule="auto"/>
              <w:rPr>
                <w:szCs w:val="24"/>
              </w:rPr>
            </w:pPr>
            <w:r w:rsidRPr="005C3B55">
              <w:rPr>
                <w:szCs w:val="24"/>
              </w:rPr>
              <w:t>The M10 measure supports agriculture in its environmental function and is intended to encourage above-standard sustainable agricultural practices which are aimed at the following focus areas of measures:</w:t>
            </w:r>
          </w:p>
          <w:p w:rsidR="00F555D6" w:rsidRPr="005C3B55" w:rsidRDefault="00F555D6" w:rsidP="00F555D6">
            <w:pPr>
              <w:numPr>
                <w:ilvl w:val="0"/>
                <w:numId w:val="271"/>
              </w:numPr>
              <w:spacing w:before="240" w:after="0"/>
              <w:ind w:hanging="290"/>
              <w:jc w:val="left"/>
              <w:rPr>
                <w:szCs w:val="24"/>
              </w:rPr>
            </w:pPr>
            <w:r w:rsidRPr="005C3B55">
              <w:rPr>
                <w:szCs w:val="24"/>
              </w:rPr>
              <w:t>preserving biodiversity and landscape;</w:t>
            </w:r>
          </w:p>
          <w:p w:rsidR="00F555D6" w:rsidRPr="005C3B55" w:rsidRDefault="00F555D6" w:rsidP="00F555D6">
            <w:pPr>
              <w:numPr>
                <w:ilvl w:val="0"/>
                <w:numId w:val="271"/>
              </w:numPr>
              <w:spacing w:before="0" w:after="0"/>
              <w:ind w:hanging="290"/>
              <w:jc w:val="left"/>
              <w:rPr>
                <w:szCs w:val="24"/>
              </w:rPr>
            </w:pPr>
            <w:r w:rsidRPr="005C3B55">
              <w:rPr>
                <w:szCs w:val="24"/>
              </w:rPr>
              <w:t>appropriate water and soil management;</w:t>
            </w:r>
          </w:p>
          <w:p w:rsidR="00F555D6" w:rsidRPr="005C3B55" w:rsidRDefault="00F555D6" w:rsidP="00F555D6">
            <w:pPr>
              <w:numPr>
                <w:ilvl w:val="0"/>
                <w:numId w:val="271"/>
              </w:numPr>
              <w:spacing w:before="0" w:after="240"/>
              <w:ind w:hanging="290"/>
              <w:jc w:val="left"/>
              <w:rPr>
                <w:szCs w:val="24"/>
              </w:rPr>
            </w:pPr>
            <w:r w:rsidRPr="005C3B55">
              <w:rPr>
                <w:szCs w:val="24"/>
              </w:rPr>
              <w:t>mitigating and adapting farming to climate change.</w:t>
            </w:r>
          </w:p>
          <w:p w:rsidR="00F555D6" w:rsidRPr="005C3B55" w:rsidRDefault="00F555D6" w:rsidP="00F555D6">
            <w:pPr>
              <w:spacing w:before="240" w:after="240" w:line="280" w:lineRule="auto"/>
              <w:rPr>
                <w:szCs w:val="24"/>
              </w:rPr>
            </w:pPr>
            <w:r w:rsidRPr="005C3B55">
              <w:rPr>
                <w:szCs w:val="24"/>
              </w:rPr>
              <w:t>Payments are intended for the implementation of agricultural practices which exceed the mandatory standards determined in accordance with Chapter I, Title VI of Regulation (EU) No 1306/2013, and relevant criteria determined in the second indent of item c) of the first paragraph of Article 4 of Regulation (EU) No 1307/2013, suitable minimum requirements for the use of fertilisers and plant protection products and other relevant mandatory requirements from national regulations, or for the implementation of agricultural practices which derogate from the usual agricultural practice in Slovenia.</w:t>
            </w:r>
          </w:p>
          <w:p w:rsidR="00F555D6" w:rsidRPr="005C3B55" w:rsidRDefault="00F555D6" w:rsidP="00F555D6">
            <w:pPr>
              <w:spacing w:before="240" w:after="240" w:line="280" w:lineRule="auto"/>
              <w:rPr>
                <w:szCs w:val="24"/>
              </w:rPr>
            </w:pPr>
            <w:r w:rsidRPr="005C3B55">
              <w:rPr>
                <w:szCs w:val="24"/>
              </w:rPr>
              <w:t>Agricultural holdings which meet the eligibility conditions, general conditions and requirements within the selected operations will receive support.</w:t>
            </w:r>
          </w:p>
          <w:p w:rsidR="00F555D6" w:rsidRPr="005C3B55" w:rsidRDefault="00F555D6" w:rsidP="00F555D6">
            <w:pPr>
              <w:spacing w:before="240" w:after="240" w:line="280" w:lineRule="auto"/>
              <w:rPr>
                <w:szCs w:val="24"/>
              </w:rPr>
            </w:pPr>
            <w:r w:rsidRPr="005C3B55">
              <w:rPr>
                <w:b/>
                <w:i/>
                <w:szCs w:val="24"/>
              </w:rPr>
              <w:t>Eligibility conditions</w:t>
            </w:r>
          </w:p>
          <w:p w:rsidR="00F555D6" w:rsidRPr="005C3B55" w:rsidRDefault="00F555D6" w:rsidP="00F555D6">
            <w:pPr>
              <w:spacing w:before="240" w:after="240" w:line="280" w:lineRule="auto"/>
              <w:rPr>
                <w:szCs w:val="24"/>
              </w:rPr>
            </w:pPr>
            <w:r w:rsidRPr="005C3B55">
              <w:rPr>
                <w:szCs w:val="24"/>
              </w:rPr>
              <w:t>When entering the M10 measure, an agricultural holding must:</w:t>
            </w:r>
          </w:p>
          <w:p w:rsidR="00F555D6" w:rsidRPr="005C3B55" w:rsidRDefault="00F555D6" w:rsidP="00F555D6">
            <w:pPr>
              <w:numPr>
                <w:ilvl w:val="0"/>
                <w:numId w:val="272"/>
              </w:numPr>
              <w:spacing w:before="240" w:after="0"/>
              <w:ind w:hanging="290"/>
              <w:jc w:val="left"/>
              <w:rPr>
                <w:szCs w:val="24"/>
              </w:rPr>
            </w:pPr>
            <w:r w:rsidRPr="005C3B55">
              <w:rPr>
                <w:szCs w:val="24"/>
              </w:rPr>
              <w:t>have at least 1 ha of agricultural land in use as per Article 4 of Regulation (EU) No 1307/2013;</w:t>
            </w:r>
          </w:p>
          <w:p w:rsidR="00F555D6" w:rsidRPr="005C3B55" w:rsidRDefault="00F555D6" w:rsidP="00F555D6">
            <w:pPr>
              <w:numPr>
                <w:ilvl w:val="0"/>
                <w:numId w:val="272"/>
              </w:numPr>
              <w:spacing w:before="0" w:after="0"/>
              <w:ind w:hanging="290"/>
              <w:jc w:val="left"/>
              <w:rPr>
                <w:szCs w:val="24"/>
              </w:rPr>
            </w:pPr>
            <w:r w:rsidRPr="005C3B55">
              <w:rPr>
                <w:szCs w:val="24"/>
              </w:rPr>
              <w:t>be entered in the register of agricultural holdings in accordance with the regulation on the register of agricultural holdings;</w:t>
            </w:r>
          </w:p>
          <w:p w:rsidR="00F555D6" w:rsidRPr="005C3B55" w:rsidRDefault="00F555D6" w:rsidP="00F555D6">
            <w:pPr>
              <w:numPr>
                <w:ilvl w:val="0"/>
                <w:numId w:val="272"/>
              </w:numPr>
              <w:spacing w:before="0" w:after="0"/>
              <w:ind w:hanging="290"/>
              <w:jc w:val="left"/>
              <w:rPr>
                <w:szCs w:val="24"/>
              </w:rPr>
            </w:pPr>
            <w:r w:rsidRPr="005C3B55">
              <w:rPr>
                <w:szCs w:val="24"/>
              </w:rPr>
              <w:t>undergo a six-hour training programme on agri-environment-climate content;</w:t>
            </w:r>
          </w:p>
          <w:p w:rsidR="00F555D6" w:rsidRPr="005C3B55" w:rsidRDefault="00F555D6" w:rsidP="00F555D6">
            <w:pPr>
              <w:numPr>
                <w:ilvl w:val="0"/>
                <w:numId w:val="272"/>
              </w:numPr>
              <w:spacing w:before="0" w:after="240"/>
              <w:ind w:hanging="290"/>
              <w:jc w:val="left"/>
              <w:rPr>
                <w:szCs w:val="24"/>
              </w:rPr>
            </w:pPr>
            <w:r w:rsidRPr="005C3B55">
              <w:rPr>
                <w:szCs w:val="24"/>
              </w:rPr>
              <w:t>prepare an activities programme of the agricultural holding which is an electronic document prepared as a result of advisory services.</w:t>
            </w:r>
          </w:p>
          <w:p w:rsidR="00F555D6" w:rsidRPr="005C3B55" w:rsidRDefault="00F555D6" w:rsidP="00F555D6">
            <w:pPr>
              <w:spacing w:before="240" w:after="240" w:line="280" w:lineRule="auto"/>
              <w:rPr>
                <w:szCs w:val="24"/>
              </w:rPr>
            </w:pPr>
            <w:r w:rsidRPr="005C3B55">
              <w:rPr>
                <w:b/>
                <w:i/>
                <w:szCs w:val="24"/>
              </w:rPr>
              <w:t>General conditions</w:t>
            </w:r>
          </w:p>
          <w:p w:rsidR="00F555D6" w:rsidRPr="005C3B55" w:rsidRDefault="00F555D6" w:rsidP="00F555D6">
            <w:pPr>
              <w:spacing w:before="240" w:after="240" w:line="280" w:lineRule="auto"/>
              <w:rPr>
                <w:szCs w:val="24"/>
              </w:rPr>
            </w:pPr>
            <w:r w:rsidRPr="005C3B55">
              <w:rPr>
                <w:szCs w:val="24"/>
              </w:rPr>
              <w:t>A beneficiary must:</w:t>
            </w:r>
          </w:p>
          <w:p w:rsidR="00F555D6" w:rsidRPr="005C3B55" w:rsidRDefault="00F555D6" w:rsidP="00F555D6">
            <w:pPr>
              <w:numPr>
                <w:ilvl w:val="0"/>
                <w:numId w:val="273"/>
              </w:numPr>
              <w:spacing w:before="240" w:after="0"/>
              <w:ind w:hanging="290"/>
              <w:jc w:val="left"/>
              <w:rPr>
                <w:szCs w:val="24"/>
              </w:rPr>
            </w:pPr>
            <w:r w:rsidRPr="005C3B55">
              <w:rPr>
                <w:szCs w:val="24"/>
              </w:rPr>
              <w:t>undergo a training programme relating to agri-environment-climate contents of at least four hours annually;</w:t>
            </w:r>
          </w:p>
          <w:p w:rsidR="00F555D6" w:rsidRPr="005C3B55" w:rsidRDefault="00F555D6" w:rsidP="00F555D6">
            <w:pPr>
              <w:numPr>
                <w:ilvl w:val="0"/>
                <w:numId w:val="273"/>
              </w:numPr>
              <w:spacing w:before="0" w:after="0"/>
              <w:ind w:hanging="290"/>
              <w:jc w:val="left"/>
              <w:rPr>
                <w:szCs w:val="24"/>
              </w:rPr>
            </w:pPr>
            <w:r w:rsidRPr="005C3B55">
              <w:rPr>
                <w:szCs w:val="24"/>
              </w:rPr>
              <w:t>use advisory services at least once during the first three years of the commitment, in the framework of which the beneficiary is advised on the conditions, requirements and correct implementation of the assumed agri-environment-climate commitments;</w:t>
            </w:r>
          </w:p>
          <w:p w:rsidR="00F555D6" w:rsidRPr="005C3B55" w:rsidRDefault="00F555D6" w:rsidP="00F555D6">
            <w:pPr>
              <w:numPr>
                <w:ilvl w:val="0"/>
                <w:numId w:val="273"/>
              </w:numPr>
              <w:spacing w:before="0" w:after="0"/>
              <w:ind w:hanging="290"/>
              <w:jc w:val="left"/>
              <w:rPr>
                <w:szCs w:val="24"/>
              </w:rPr>
            </w:pPr>
            <w:r w:rsidRPr="005C3B55">
              <w:rPr>
                <w:szCs w:val="24"/>
              </w:rPr>
              <w:t>keep a record of all work tasks which are implemented as part of the M10 measure for the entire duration of the commitment;</w:t>
            </w:r>
          </w:p>
          <w:p w:rsidR="00F555D6" w:rsidRPr="005C3B55" w:rsidRDefault="00F555D6" w:rsidP="00F555D6">
            <w:pPr>
              <w:numPr>
                <w:ilvl w:val="0"/>
                <w:numId w:val="273"/>
              </w:numPr>
              <w:spacing w:before="0" w:after="240"/>
              <w:ind w:hanging="290"/>
              <w:jc w:val="left"/>
              <w:rPr>
                <w:szCs w:val="24"/>
              </w:rPr>
            </w:pPr>
            <w:r w:rsidRPr="005C3B55">
              <w:rPr>
                <w:szCs w:val="24"/>
              </w:rPr>
              <w:t>take into account the ban on the use of sludge from wastewater treatment plants.</w:t>
            </w:r>
          </w:p>
          <w:p w:rsidR="00F555D6" w:rsidRPr="005C3B55" w:rsidRDefault="00F555D6" w:rsidP="00F555D6">
            <w:pPr>
              <w:spacing w:before="240" w:after="240" w:line="280" w:lineRule="auto"/>
              <w:rPr>
                <w:szCs w:val="24"/>
              </w:rPr>
            </w:pPr>
            <w:r w:rsidRPr="005C3B55">
              <w:rPr>
                <w:b/>
                <w:i/>
                <w:szCs w:val="24"/>
              </w:rPr>
              <w:t>Operations</w:t>
            </w:r>
          </w:p>
          <w:p w:rsidR="00F555D6" w:rsidRPr="005C3B55" w:rsidRDefault="00F555D6" w:rsidP="00F555D6">
            <w:pPr>
              <w:spacing w:before="240" w:after="240" w:line="280" w:lineRule="auto"/>
              <w:rPr>
                <w:szCs w:val="24"/>
              </w:rPr>
            </w:pPr>
            <w:r w:rsidRPr="005C3B55">
              <w:rPr>
                <w:szCs w:val="24"/>
              </w:rPr>
              <w:t>The M10 measure includes above-standard agricultural practices and is implemented through the following operations:</w:t>
            </w:r>
          </w:p>
          <w:p w:rsidR="00F555D6" w:rsidRPr="005C3B55" w:rsidRDefault="00F555D6" w:rsidP="00F555D6">
            <w:pPr>
              <w:numPr>
                <w:ilvl w:val="0"/>
                <w:numId w:val="274"/>
              </w:numPr>
              <w:spacing w:before="240" w:after="0"/>
              <w:jc w:val="left"/>
              <w:rPr>
                <w:szCs w:val="24"/>
              </w:rPr>
            </w:pPr>
            <w:r w:rsidRPr="005C3B55">
              <w:rPr>
                <w:szCs w:val="24"/>
              </w:rPr>
              <w:t>Arable farming and vegetable cultivation;</w:t>
            </w:r>
          </w:p>
          <w:p w:rsidR="00F555D6" w:rsidRPr="005C3B55" w:rsidRDefault="00F555D6" w:rsidP="00F555D6">
            <w:pPr>
              <w:numPr>
                <w:ilvl w:val="0"/>
                <w:numId w:val="274"/>
              </w:numPr>
              <w:spacing w:before="0" w:after="0"/>
              <w:jc w:val="left"/>
              <w:rPr>
                <w:szCs w:val="24"/>
              </w:rPr>
            </w:pPr>
            <w:r w:rsidRPr="005C3B55">
              <w:rPr>
                <w:szCs w:val="24"/>
              </w:rPr>
              <w:t>Hop growing;</w:t>
            </w:r>
          </w:p>
          <w:p w:rsidR="00F555D6" w:rsidRPr="005C3B55" w:rsidRDefault="00F555D6" w:rsidP="00F555D6">
            <w:pPr>
              <w:numPr>
                <w:ilvl w:val="0"/>
                <w:numId w:val="274"/>
              </w:numPr>
              <w:spacing w:before="0" w:after="0"/>
              <w:jc w:val="left"/>
              <w:rPr>
                <w:szCs w:val="24"/>
              </w:rPr>
            </w:pPr>
            <w:r w:rsidRPr="005C3B55">
              <w:rPr>
                <w:szCs w:val="24"/>
              </w:rPr>
              <w:t>Fruit growing;</w:t>
            </w:r>
          </w:p>
          <w:p w:rsidR="00F555D6" w:rsidRPr="005C3B55" w:rsidRDefault="00F555D6" w:rsidP="00F555D6">
            <w:pPr>
              <w:numPr>
                <w:ilvl w:val="0"/>
                <w:numId w:val="274"/>
              </w:numPr>
              <w:spacing w:before="0" w:after="0"/>
              <w:jc w:val="left"/>
              <w:rPr>
                <w:szCs w:val="24"/>
              </w:rPr>
            </w:pPr>
            <w:r w:rsidRPr="005C3B55">
              <w:rPr>
                <w:szCs w:val="24"/>
              </w:rPr>
              <w:t>Wine growing;</w:t>
            </w:r>
          </w:p>
          <w:p w:rsidR="00F555D6" w:rsidRPr="005C3B55" w:rsidRDefault="00F555D6" w:rsidP="00F555D6">
            <w:pPr>
              <w:numPr>
                <w:ilvl w:val="0"/>
                <w:numId w:val="274"/>
              </w:numPr>
              <w:spacing w:before="0" w:after="0"/>
              <w:jc w:val="left"/>
              <w:rPr>
                <w:szCs w:val="24"/>
              </w:rPr>
            </w:pPr>
            <w:r w:rsidRPr="005C3B55">
              <w:rPr>
                <w:szCs w:val="24"/>
              </w:rPr>
              <w:t>Permanent grassland I;</w:t>
            </w:r>
          </w:p>
          <w:p w:rsidR="00F555D6" w:rsidRPr="005C3B55" w:rsidRDefault="00F555D6" w:rsidP="00F555D6">
            <w:pPr>
              <w:numPr>
                <w:ilvl w:val="0"/>
                <w:numId w:val="274"/>
              </w:numPr>
              <w:spacing w:before="0" w:after="0"/>
              <w:jc w:val="left"/>
              <w:rPr>
                <w:szCs w:val="24"/>
              </w:rPr>
            </w:pPr>
            <w:r w:rsidRPr="005C3B55">
              <w:rPr>
                <w:szCs w:val="24"/>
              </w:rPr>
              <w:t>Permanent grassland II;</w:t>
            </w:r>
          </w:p>
          <w:p w:rsidR="00F555D6" w:rsidRPr="005C3B55" w:rsidRDefault="00F555D6" w:rsidP="00F555D6">
            <w:pPr>
              <w:numPr>
                <w:ilvl w:val="0"/>
                <w:numId w:val="274"/>
              </w:numPr>
              <w:spacing w:before="0" w:after="0"/>
              <w:jc w:val="left"/>
              <w:rPr>
                <w:szCs w:val="24"/>
              </w:rPr>
            </w:pPr>
            <w:r w:rsidRPr="005C3B55">
              <w:rPr>
                <w:szCs w:val="24"/>
              </w:rPr>
              <w:t>Special grassland habitats;</w:t>
            </w:r>
          </w:p>
          <w:p w:rsidR="00F555D6" w:rsidRPr="005C3B55" w:rsidRDefault="00F555D6" w:rsidP="00F555D6">
            <w:pPr>
              <w:numPr>
                <w:ilvl w:val="0"/>
                <w:numId w:val="274"/>
              </w:numPr>
              <w:spacing w:before="0" w:after="0"/>
              <w:jc w:val="left"/>
              <w:rPr>
                <w:szCs w:val="24"/>
              </w:rPr>
            </w:pPr>
            <w:r w:rsidRPr="005C3B55">
              <w:rPr>
                <w:szCs w:val="24"/>
              </w:rPr>
              <w:t>Grassland habitats of butterflies;</w:t>
            </w:r>
          </w:p>
          <w:p w:rsidR="00F555D6" w:rsidRPr="005C3B55" w:rsidRDefault="00F555D6" w:rsidP="00F555D6">
            <w:pPr>
              <w:numPr>
                <w:ilvl w:val="0"/>
                <w:numId w:val="274"/>
              </w:numPr>
              <w:spacing w:before="0" w:after="0"/>
              <w:jc w:val="left"/>
              <w:rPr>
                <w:szCs w:val="24"/>
              </w:rPr>
            </w:pPr>
            <w:r w:rsidRPr="005C3B55">
              <w:rPr>
                <w:szCs w:val="24"/>
              </w:rPr>
              <w:t>Habitats of birds of humid extensive meadows;</w:t>
            </w:r>
          </w:p>
          <w:p w:rsidR="00F555D6" w:rsidRPr="005C3B55" w:rsidRDefault="00F555D6" w:rsidP="00F555D6">
            <w:pPr>
              <w:numPr>
                <w:ilvl w:val="0"/>
                <w:numId w:val="274"/>
              </w:numPr>
              <w:spacing w:before="0" w:after="0"/>
              <w:ind w:hanging="480"/>
              <w:jc w:val="left"/>
              <w:rPr>
                <w:szCs w:val="24"/>
              </w:rPr>
            </w:pPr>
            <w:r w:rsidRPr="005C3B55">
              <w:rPr>
                <w:szCs w:val="24"/>
              </w:rPr>
              <w:t>Litter meadows;</w:t>
            </w:r>
          </w:p>
          <w:p w:rsidR="00F555D6" w:rsidRPr="005C3B55" w:rsidRDefault="00F555D6" w:rsidP="00F555D6">
            <w:pPr>
              <w:numPr>
                <w:ilvl w:val="0"/>
                <w:numId w:val="274"/>
              </w:numPr>
              <w:spacing w:before="0" w:after="0"/>
              <w:ind w:hanging="480"/>
              <w:jc w:val="left"/>
              <w:rPr>
                <w:szCs w:val="24"/>
              </w:rPr>
            </w:pPr>
            <w:r w:rsidRPr="005C3B55">
              <w:rPr>
                <w:szCs w:val="24"/>
              </w:rPr>
              <w:t>Water sources;</w:t>
            </w:r>
          </w:p>
          <w:p w:rsidR="00F555D6" w:rsidRPr="005C3B55" w:rsidRDefault="00F555D6" w:rsidP="00F555D6">
            <w:pPr>
              <w:numPr>
                <w:ilvl w:val="0"/>
                <w:numId w:val="274"/>
              </w:numPr>
              <w:spacing w:before="0" w:after="0"/>
              <w:ind w:hanging="480"/>
              <w:jc w:val="left"/>
              <w:rPr>
                <w:szCs w:val="24"/>
              </w:rPr>
            </w:pPr>
            <w:r w:rsidRPr="005C3B55">
              <w:rPr>
                <w:szCs w:val="24"/>
              </w:rPr>
              <w:t>Conservation of steep meadow habitats;</w:t>
            </w:r>
          </w:p>
          <w:p w:rsidR="00F555D6" w:rsidRPr="005C3B55" w:rsidRDefault="00F555D6" w:rsidP="00F555D6">
            <w:pPr>
              <w:numPr>
                <w:ilvl w:val="0"/>
                <w:numId w:val="274"/>
              </w:numPr>
              <w:spacing w:before="0" w:after="0"/>
              <w:ind w:hanging="480"/>
              <w:jc w:val="left"/>
              <w:rPr>
                <w:szCs w:val="24"/>
              </w:rPr>
            </w:pPr>
            <w:r w:rsidRPr="005C3B55">
              <w:rPr>
                <w:szCs w:val="24"/>
              </w:rPr>
              <w:t>Hummocky meadows;</w:t>
            </w:r>
          </w:p>
          <w:p w:rsidR="00F555D6" w:rsidRPr="005C3B55" w:rsidRDefault="00F555D6" w:rsidP="00F555D6">
            <w:pPr>
              <w:numPr>
                <w:ilvl w:val="0"/>
                <w:numId w:val="274"/>
              </w:numPr>
              <w:spacing w:before="0" w:after="0"/>
              <w:ind w:hanging="480"/>
              <w:jc w:val="left"/>
              <w:rPr>
                <w:szCs w:val="24"/>
              </w:rPr>
            </w:pPr>
            <w:r w:rsidRPr="005C3B55">
              <w:rPr>
                <w:szCs w:val="24"/>
              </w:rPr>
              <w:t>Livestock rearing in area of the occurrence of large carnivores;</w:t>
            </w:r>
          </w:p>
          <w:p w:rsidR="00F555D6" w:rsidRPr="005C3B55" w:rsidRDefault="00F555D6" w:rsidP="00F555D6">
            <w:pPr>
              <w:numPr>
                <w:ilvl w:val="0"/>
                <w:numId w:val="274"/>
              </w:numPr>
              <w:spacing w:before="0" w:after="0"/>
              <w:ind w:hanging="480"/>
              <w:jc w:val="left"/>
              <w:rPr>
                <w:szCs w:val="24"/>
              </w:rPr>
            </w:pPr>
            <w:r w:rsidRPr="005C3B55">
              <w:rPr>
                <w:szCs w:val="24"/>
              </w:rPr>
              <w:t>Mountain pasture;</w:t>
            </w:r>
          </w:p>
          <w:p w:rsidR="00F555D6" w:rsidRPr="005C3B55" w:rsidRDefault="00F555D6" w:rsidP="00F555D6">
            <w:pPr>
              <w:numPr>
                <w:ilvl w:val="0"/>
                <w:numId w:val="274"/>
              </w:numPr>
              <w:spacing w:before="0" w:after="0"/>
              <w:ind w:hanging="480"/>
              <w:jc w:val="left"/>
              <w:rPr>
                <w:szCs w:val="24"/>
              </w:rPr>
            </w:pPr>
            <w:r w:rsidRPr="005C3B55">
              <w:rPr>
                <w:szCs w:val="24"/>
              </w:rPr>
              <w:t>High-trunk meadow orchards;</w:t>
            </w:r>
          </w:p>
          <w:p w:rsidR="00F555D6" w:rsidRPr="005C3B55" w:rsidRDefault="00F555D6" w:rsidP="00F555D6">
            <w:pPr>
              <w:numPr>
                <w:ilvl w:val="0"/>
                <w:numId w:val="274"/>
              </w:numPr>
              <w:spacing w:before="0" w:after="0"/>
              <w:ind w:hanging="480"/>
              <w:jc w:val="left"/>
              <w:rPr>
                <w:szCs w:val="24"/>
              </w:rPr>
            </w:pPr>
            <w:r w:rsidRPr="005C3B55">
              <w:rPr>
                <w:szCs w:val="24"/>
              </w:rPr>
              <w:t>Preservation of hedgerows;</w:t>
            </w:r>
          </w:p>
          <w:p w:rsidR="00F555D6" w:rsidRPr="005C3B55" w:rsidRDefault="00F555D6" w:rsidP="00F555D6">
            <w:pPr>
              <w:numPr>
                <w:ilvl w:val="0"/>
                <w:numId w:val="274"/>
              </w:numPr>
              <w:spacing w:before="0" w:after="0"/>
              <w:ind w:hanging="480"/>
              <w:jc w:val="left"/>
              <w:rPr>
                <w:szCs w:val="24"/>
              </w:rPr>
            </w:pPr>
            <w:r w:rsidRPr="005C3B55">
              <w:rPr>
                <w:szCs w:val="24"/>
              </w:rPr>
              <w:t>Breeding of local breeds in danger of being lost to farming;</w:t>
            </w:r>
          </w:p>
          <w:p w:rsidR="00F555D6" w:rsidRPr="005C3B55" w:rsidRDefault="00F555D6" w:rsidP="00F555D6">
            <w:pPr>
              <w:numPr>
                <w:ilvl w:val="0"/>
                <w:numId w:val="274"/>
              </w:numPr>
              <w:spacing w:before="0" w:after="240"/>
              <w:ind w:hanging="480"/>
              <w:jc w:val="left"/>
              <w:rPr>
                <w:szCs w:val="24"/>
              </w:rPr>
            </w:pPr>
            <w:r w:rsidRPr="005C3B55">
              <w:rPr>
                <w:szCs w:val="24"/>
              </w:rPr>
              <w:t>Preserving plant genetic resources under threat of genetic erosion.</w:t>
            </w:r>
          </w:p>
          <w:p w:rsidR="00F555D6" w:rsidRPr="005C3B55" w:rsidRDefault="00F555D6" w:rsidP="00F555D6">
            <w:pPr>
              <w:spacing w:before="240" w:after="240" w:line="280" w:lineRule="auto"/>
              <w:rPr>
                <w:szCs w:val="24"/>
              </w:rPr>
            </w:pPr>
            <w:r w:rsidRPr="005C3B55">
              <w:rPr>
                <w:szCs w:val="24"/>
              </w:rPr>
              <w:t>These operations reflect the impacts of farming on the aforementioned focus areas of measures.</w:t>
            </w:r>
          </w:p>
          <w:p w:rsidR="00F555D6" w:rsidRPr="005C3B55" w:rsidRDefault="00F555D6" w:rsidP="00F555D6">
            <w:pPr>
              <w:spacing w:before="240" w:after="240" w:line="280" w:lineRule="auto"/>
              <w:rPr>
                <w:szCs w:val="24"/>
              </w:rPr>
            </w:pPr>
            <w:r w:rsidRPr="005C3B55">
              <w:rPr>
                <w:szCs w:val="24"/>
              </w:rPr>
              <w:t>Operations 1 to 11 include mandatory and optional requirements. As part of these operations, in addition to the general requirements, the beneficiary must meet all mandatory requirements, while it can select one or more optional requirements as part of an individual operation. The beneficiary may select multiple operations.</w:t>
            </w:r>
          </w:p>
          <w:p w:rsidR="00F555D6" w:rsidRPr="005C3B55" w:rsidRDefault="00F555D6" w:rsidP="00F555D6">
            <w:pPr>
              <w:spacing w:before="240" w:after="240" w:line="280" w:lineRule="auto"/>
              <w:rPr>
                <w:szCs w:val="24"/>
              </w:rPr>
            </w:pPr>
            <w:r w:rsidRPr="005C3B55">
              <w:rPr>
                <w:szCs w:val="24"/>
              </w:rPr>
              <w:t>Operations 12 to 13 and 16 to 19 are independent requirements. If the beneficiary decides to implement these operations, it can select one or more such operations (requirements), and it must also meet all general requirements.</w:t>
            </w:r>
          </w:p>
          <w:p w:rsidR="00F555D6" w:rsidRPr="005C3B55" w:rsidRDefault="00F555D6" w:rsidP="00F555D6">
            <w:pPr>
              <w:spacing w:before="240" w:after="240" w:line="280" w:lineRule="auto"/>
              <w:rPr>
                <w:szCs w:val="24"/>
              </w:rPr>
            </w:pPr>
            <w:r w:rsidRPr="005C3B55">
              <w:rPr>
                <w:szCs w:val="24"/>
              </w:rPr>
              <w:t>Operation 14 comprises three requirements. If the beneficiary decides to implement this operation, it can select one or more of these requirements within the operation, and must also meet all general requirements.</w:t>
            </w:r>
          </w:p>
          <w:p w:rsidR="00F555D6" w:rsidRPr="005C3B55" w:rsidRDefault="00F555D6" w:rsidP="00F555D6">
            <w:pPr>
              <w:spacing w:before="240" w:after="240" w:line="280" w:lineRule="auto"/>
              <w:rPr>
                <w:szCs w:val="24"/>
              </w:rPr>
            </w:pPr>
            <w:r w:rsidRPr="005C3B55">
              <w:rPr>
                <w:szCs w:val="24"/>
              </w:rPr>
              <w:t>Certain operations can be implemented throughout Slovenia and contribute to environmental protection in general, while certain operations can be implemented in limited areas which are problematic from the aspect of pollution of agricultural origin (the catchment areas of surface waters and groundwater referred to in the Water Management Plan) and areas which are important for the preservation of biodiversity (ecologically important areas of special grassland habitats, grassland habitats of butterflies and litter meadows, areas of the occurrence of birds of humid extensive meadows, and areas of the occurrence of bear and wolf).</w:t>
            </w:r>
          </w:p>
          <w:p w:rsidR="00F555D6" w:rsidRPr="005C3B55" w:rsidRDefault="00F555D6" w:rsidP="00F555D6">
            <w:pPr>
              <w:spacing w:before="240" w:after="240" w:line="280" w:lineRule="auto"/>
              <w:rPr>
                <w:szCs w:val="24"/>
              </w:rPr>
            </w:pPr>
            <w:r w:rsidRPr="005C3B55">
              <w:rPr>
                <w:szCs w:val="24"/>
              </w:rPr>
              <w:t>Beneficiaries whose surfaces are located in ecologically important areas of special grassland habitats, grassland habitats of butterflies and litter meadows, as well as in areas of the occurrence of birds of humid extensive meadows may participate in the operations ‘Permanent grassland I’ and ‘Permanent grassland II’ if they also participate in the implementation of at least one operation important for the conservation of biodiversity (7 or 8 or 9 or 10) with at least 20 per cent of permanent grassland located within the aforementioned ecologically important areas. If the operation 'Permanent grassland I' and 'Permanent grassland II' is implemented by the beneficiaries in these areas, the average annual livestock density must be 0.2 to 1.5 LU/ha of grazing animals in the case of ecologically important areas of special grassland habitats, and 0 to 1.5 LU/ha of grazing animals in the case of ecologically important areas of grassland habitats of butterflies and litter meadows, and areas of the occurrence of birds of humid extensive meadows.</w:t>
            </w:r>
          </w:p>
          <w:p w:rsidR="00F555D6" w:rsidRPr="005C3B55" w:rsidRDefault="00F555D6" w:rsidP="00F555D6">
            <w:pPr>
              <w:spacing w:before="240" w:after="240" w:line="280" w:lineRule="auto"/>
              <w:rPr>
                <w:szCs w:val="24"/>
              </w:rPr>
            </w:pPr>
            <w:r w:rsidRPr="005C3B55">
              <w:rPr>
                <w:szCs w:val="24"/>
              </w:rPr>
              <w:t>If the beneficiaries participate in the implementation of operations 7 or 8 or 9 or 10, they have to implement the mandatory and optional requirements of these operations on at least 20 % of permanent grassland located within the ecologically important areas of special grass habitats (operation 7), grass habitats of butterflies (operation 8), litter meadows (operation 10) and areas of the occurrence of birds of humid extensive meadows (operation 9).</w:t>
            </w:r>
          </w:p>
          <w:p w:rsidR="00F555D6" w:rsidRPr="005C3B55" w:rsidRDefault="00F555D6" w:rsidP="00F555D6">
            <w:pPr>
              <w:spacing w:before="240" w:after="240" w:line="280" w:lineRule="auto"/>
              <w:rPr>
                <w:szCs w:val="24"/>
              </w:rPr>
            </w:pPr>
            <w:r w:rsidRPr="005C3B55">
              <w:rPr>
                <w:szCs w:val="24"/>
              </w:rPr>
              <w:t>Beneficiaries whose surfaces are located in catchment areas of surface waters and groundwater referred to in the Water Management Plan can participate in the implementation of the operation ‘Arable farming and vegetable cultivation’ (operation 1) only if they simultaneously participate in the implementation of the operation ‘Water sources’ (operation 11) with at least 30% of arable land in the area of the Drava River Basin and with at least 20 % of arable land in other areas under the Water Management Plan.</w:t>
            </w:r>
          </w:p>
          <w:p w:rsidR="00F555D6" w:rsidRPr="005C3B55" w:rsidRDefault="00F555D6" w:rsidP="00F555D6">
            <w:pPr>
              <w:spacing w:before="240" w:after="240" w:line="280" w:lineRule="auto"/>
              <w:rPr>
                <w:szCs w:val="24"/>
              </w:rPr>
            </w:pPr>
            <w:r w:rsidRPr="005C3B55">
              <w:rPr>
                <w:szCs w:val="24"/>
              </w:rPr>
              <w:t>Even if beneficiaries participate only in the implementation of the operation ‘Water sources’ (operation 11), they must implement this operation in the region of the Drava River Basin in the Water Management Plan on at least 30 % of arable land, and on other areas in the Water Management Plan on at least 20 % of arable land.</w:t>
            </w:r>
          </w:p>
          <w:p w:rsidR="00F555D6" w:rsidRPr="005C3B55" w:rsidRDefault="00F555D6" w:rsidP="00F555D6">
            <w:pPr>
              <w:spacing w:before="240" w:after="240" w:line="280" w:lineRule="auto"/>
              <w:rPr>
                <w:szCs w:val="24"/>
              </w:rPr>
            </w:pPr>
            <w:r w:rsidRPr="005C3B55">
              <w:rPr>
                <w:b/>
                <w:i/>
                <w:szCs w:val="24"/>
              </w:rPr>
              <w:t>Duration of commitment</w:t>
            </w:r>
          </w:p>
          <w:p w:rsidR="00F555D6" w:rsidRPr="005C3B55" w:rsidRDefault="00F555D6" w:rsidP="00F555D6">
            <w:pPr>
              <w:spacing w:before="240" w:after="240" w:line="280" w:lineRule="auto"/>
              <w:rPr>
                <w:szCs w:val="24"/>
              </w:rPr>
            </w:pPr>
            <w:r w:rsidRPr="005C3B55">
              <w:rPr>
                <w:szCs w:val="24"/>
              </w:rPr>
              <w:t>By participating in the M10 measure, the beneficiary undertakes to implement this measure at the agricultural holding for the entire duration of the commitment (at least five years). Deviations from this commitment are permitted only in the following cases:</w:t>
            </w:r>
          </w:p>
          <w:p w:rsidR="00F555D6" w:rsidRPr="005C3B55" w:rsidRDefault="00F555D6" w:rsidP="00F555D6">
            <w:pPr>
              <w:numPr>
                <w:ilvl w:val="0"/>
                <w:numId w:val="275"/>
              </w:numPr>
              <w:spacing w:before="240" w:after="0"/>
              <w:ind w:hanging="290"/>
              <w:jc w:val="left"/>
              <w:rPr>
                <w:szCs w:val="24"/>
              </w:rPr>
            </w:pPr>
            <w:r w:rsidRPr="005C3B55">
              <w:rPr>
                <w:szCs w:val="24"/>
              </w:rPr>
              <w:t>the assumed commitment can be terminated in accordance with the second paragraph of Article 47 of Regulation (EU) No 1305/2013;</w:t>
            </w:r>
          </w:p>
          <w:p w:rsidR="00F555D6" w:rsidRPr="005C3B55" w:rsidRDefault="00F555D6" w:rsidP="00F555D6">
            <w:pPr>
              <w:numPr>
                <w:ilvl w:val="0"/>
                <w:numId w:val="275"/>
              </w:numPr>
              <w:spacing w:before="0" w:after="240"/>
              <w:ind w:hanging="290"/>
              <w:jc w:val="left"/>
              <w:rPr>
                <w:szCs w:val="24"/>
              </w:rPr>
            </w:pPr>
            <w:r w:rsidRPr="005C3B55">
              <w:rPr>
                <w:szCs w:val="24"/>
              </w:rPr>
              <w:t>force majeure or extraordinary circumstances as defined in Article 2 of Regulation (EU) No 1306/2013 and as determined in Chapter 8.1.</w:t>
            </w:r>
          </w:p>
          <w:p w:rsidR="00F555D6" w:rsidRPr="005C3B55" w:rsidRDefault="00F555D6" w:rsidP="00F555D6">
            <w:pPr>
              <w:spacing w:before="240" w:after="240" w:line="280" w:lineRule="auto"/>
              <w:rPr>
                <w:szCs w:val="24"/>
              </w:rPr>
            </w:pPr>
            <w:r w:rsidRPr="005C3B55">
              <w:rPr>
                <w:szCs w:val="24"/>
              </w:rPr>
              <w:t>The commitment may be extended annually following the end of the five-year commitment.</w:t>
            </w:r>
          </w:p>
          <w:p w:rsidR="00F555D6" w:rsidRPr="005C3B55" w:rsidRDefault="00F555D6" w:rsidP="00F555D6">
            <w:pPr>
              <w:spacing w:before="240" w:after="240" w:line="280" w:lineRule="auto"/>
              <w:rPr>
                <w:szCs w:val="24"/>
              </w:rPr>
            </w:pPr>
            <w:r w:rsidRPr="005C3B55">
              <w:rPr>
                <w:szCs w:val="24"/>
              </w:rPr>
              <w:t>It is possible to enter the M10 measure during the entire programme period, except in the following operations: Arable farming and vegetable cultivation, Hop growing, Fruit growing, Wine growing, Permanent grassland I, Permanent grassland II, Breeding of local breeds in danger of being lost to farming and Growing of crops in danger of genetic erosion, the entry to which is possible only in 2015 and 2016. Entry during the entire programme period is enabled for those operations that contribute to the protection of nature, water sources and landscape.</w:t>
            </w:r>
          </w:p>
          <w:p w:rsidR="00F555D6" w:rsidRPr="005C3B55" w:rsidRDefault="00F555D6" w:rsidP="00F555D6">
            <w:pPr>
              <w:spacing w:after="0"/>
              <w:rPr>
                <w:szCs w:val="24"/>
              </w:rPr>
            </w:pPr>
            <w:r w:rsidRPr="005C3B55">
              <w:rPr>
                <w:szCs w:val="24"/>
              </w:rPr>
              <w:t>The commitment to implement the M10 measure is for a full calendar year. Exceptions regarding the calendar year are possible in the implementation of the following: Greening of arable land requirement within the operations Arable farming and vegetable cultivation and Water sources; Greening of surfaces with managed fallow in row spacing within the operations Fruit growing and Wine growing; Greening of surfaces in vineyards over the winter where row spacing is not covered with managed fallow within the operation Wine growing and ‘In geographical agricultural units larger than 1ha, the unmown surface of a meadow to be mown in the following year amounts to between 5 and 10 per cent of the surface of the meadow’ within the operations Permanent grassland I, Permanent grassland II, Special grassland habitats, Grassland habitats of butterflies, Habitats of birds of humid extensive meadows and Litter meadows.</w:t>
            </w:r>
          </w:p>
          <w:p w:rsidR="00F555D6" w:rsidRPr="005C3B55" w:rsidRDefault="00F555D6" w:rsidP="00F555D6">
            <w:pPr>
              <w:spacing w:before="240" w:after="240" w:line="280" w:lineRule="auto"/>
              <w:rPr>
                <w:szCs w:val="24"/>
              </w:rPr>
            </w:pPr>
            <w:r w:rsidRPr="005C3B55">
              <w:rPr>
                <w:b/>
                <w:i/>
                <w:szCs w:val="24"/>
              </w:rPr>
              <w:t>Surface area</w:t>
            </w:r>
          </w:p>
          <w:p w:rsidR="00F555D6" w:rsidRPr="005C3B55" w:rsidRDefault="00F555D6" w:rsidP="00F555D6">
            <w:pPr>
              <w:spacing w:before="240" w:after="240" w:line="280" w:lineRule="auto"/>
              <w:rPr>
                <w:szCs w:val="24"/>
              </w:rPr>
            </w:pPr>
            <w:r w:rsidRPr="005C3B55">
              <w:rPr>
                <w:szCs w:val="24"/>
              </w:rPr>
              <w:t>The minimum continuous surface area of agricultural land of the same actual use for implementation and individual requirement is 0.1 ha. At least 0.3 ha of surface area has to be included in an individual requirement per agricultural holding, unless determined otherwise under an individual operation.</w:t>
            </w:r>
          </w:p>
          <w:p w:rsidR="00F555D6" w:rsidRPr="005C3B55" w:rsidRDefault="00F555D6" w:rsidP="00F555D6">
            <w:pPr>
              <w:spacing w:before="240" w:after="240" w:line="280" w:lineRule="auto"/>
              <w:rPr>
                <w:szCs w:val="24"/>
              </w:rPr>
            </w:pPr>
            <w:r w:rsidRPr="005C3B55">
              <w:rPr>
                <w:b/>
                <w:i/>
                <w:szCs w:val="24"/>
              </w:rPr>
              <w:t xml:space="preserve">Change in the area of surface included in the commitment </w:t>
            </w:r>
          </w:p>
          <w:p w:rsidR="00F555D6" w:rsidRPr="005C3B55" w:rsidRDefault="00F555D6" w:rsidP="00F555D6">
            <w:pPr>
              <w:spacing w:before="240" w:after="240" w:line="280" w:lineRule="auto"/>
              <w:rPr>
                <w:szCs w:val="24"/>
              </w:rPr>
            </w:pPr>
            <w:r w:rsidRPr="005C3B55">
              <w:rPr>
                <w:szCs w:val="24"/>
              </w:rPr>
              <w:t>As per the first paragraph of Article 47 of Regulation (EU) No 1305/2013, the area of the surface included in the commitment may change by no more than 10 per cent over the years as per the first year of the commitment (entry year).</w:t>
            </w:r>
          </w:p>
          <w:p w:rsidR="00F555D6" w:rsidRPr="005C3B55" w:rsidRDefault="00F555D6" w:rsidP="00F555D6">
            <w:pPr>
              <w:spacing w:before="240" w:after="240" w:line="280" w:lineRule="auto"/>
              <w:rPr>
                <w:szCs w:val="24"/>
              </w:rPr>
            </w:pPr>
            <w:r w:rsidRPr="005C3B55">
              <w:rPr>
                <w:b/>
                <w:i/>
                <w:szCs w:val="24"/>
              </w:rPr>
              <w:t>Increasing the surface areas of agricultural holdings</w:t>
            </w:r>
          </w:p>
          <w:p w:rsidR="00F555D6" w:rsidRPr="005C3B55" w:rsidRDefault="00F555D6" w:rsidP="00F555D6">
            <w:pPr>
              <w:spacing w:before="240" w:after="240" w:line="280" w:lineRule="auto"/>
              <w:rPr>
                <w:szCs w:val="24"/>
              </w:rPr>
            </w:pPr>
            <w:r w:rsidRPr="005C3B55">
              <w:rPr>
                <w:szCs w:val="24"/>
              </w:rPr>
              <w:t>As  per Article 15 of the Commission Delegated Regulation (EU) No 807/2014, the surface area of the agricultural holding may be increased during the commitment. Due to the increase of surface area of the agricultural holding, the existing commitment may expand, whereby the duration of the existing commitment has to be observed, or the existing commitment may be replaced with a new five-year commitment.</w:t>
            </w:r>
          </w:p>
          <w:p w:rsidR="00F555D6" w:rsidRPr="005C3B55" w:rsidRDefault="00F555D6" w:rsidP="00F555D6">
            <w:pPr>
              <w:spacing w:before="240" w:after="240" w:line="280" w:lineRule="auto"/>
              <w:rPr>
                <w:szCs w:val="24"/>
              </w:rPr>
            </w:pPr>
            <w:r w:rsidRPr="005C3B55">
              <w:rPr>
                <w:b/>
                <w:i/>
                <w:szCs w:val="24"/>
              </w:rPr>
              <w:t>Combinations</w:t>
            </w:r>
          </w:p>
          <w:p w:rsidR="00F555D6" w:rsidRPr="005C3B55" w:rsidRDefault="00F555D6" w:rsidP="00F555D6">
            <w:pPr>
              <w:spacing w:before="240" w:after="240" w:line="280" w:lineRule="auto"/>
              <w:rPr>
                <w:szCs w:val="24"/>
              </w:rPr>
            </w:pPr>
            <w:r w:rsidRPr="005C3B55">
              <w:rPr>
                <w:szCs w:val="24"/>
              </w:rPr>
              <w:t>Several operations or requirements of the M10 measure may be implemented on the same surface. In the case of permitted combinations of individual operations or requirements, overcompensation will not occur, because this will be prevented already in the model calculations. If the same types of costs occur in the permitted combinations, these will be observed only once in the model calculations. Combinations are displayed in the attachment ‘Combinations of the M10 measure’.</w:t>
            </w:r>
          </w:p>
          <w:p w:rsidR="00F555D6" w:rsidRPr="005C3B55" w:rsidRDefault="00F555D6" w:rsidP="00F555D6">
            <w:pPr>
              <w:spacing w:before="240" w:after="240" w:line="280" w:lineRule="auto"/>
              <w:rPr>
                <w:szCs w:val="24"/>
              </w:rPr>
            </w:pPr>
            <w:r w:rsidRPr="005C3B55">
              <w:rPr>
                <w:szCs w:val="24"/>
              </w:rPr>
              <w:t>The payments for permitted combinations will observe the highest amounts of payments of Annex II to Regulation (EU) No 1305/2013.</w:t>
            </w:r>
          </w:p>
          <w:p w:rsidR="00F555D6" w:rsidRPr="005C3B55" w:rsidRDefault="00F555D6" w:rsidP="00F555D6">
            <w:pPr>
              <w:spacing w:before="240" w:after="240" w:line="280" w:lineRule="auto"/>
              <w:rPr>
                <w:szCs w:val="24"/>
              </w:rPr>
            </w:pPr>
            <w:r w:rsidRPr="005C3B55">
              <w:rPr>
                <w:b/>
                <w:i/>
                <w:szCs w:val="24"/>
              </w:rPr>
              <w:t>Administrative procedures, checks and penalties</w:t>
            </w:r>
          </w:p>
          <w:p w:rsidR="00F555D6" w:rsidRPr="005C3B55" w:rsidRDefault="00F555D6" w:rsidP="00F555D6">
            <w:pPr>
              <w:spacing w:before="240" w:after="240" w:line="280" w:lineRule="auto"/>
              <w:rPr>
                <w:szCs w:val="24"/>
              </w:rPr>
            </w:pPr>
            <w:r w:rsidRPr="005C3B55">
              <w:rPr>
                <w:szCs w:val="24"/>
              </w:rPr>
              <w:t>Administrative procedures for the allocation of funds for the M10 measure are implemented by the AAMRD with the application of IACS in accordance with relevant EU and national regulations.</w:t>
            </w:r>
          </w:p>
          <w:p w:rsidR="00F555D6" w:rsidRPr="005C3B55" w:rsidRDefault="00F555D6" w:rsidP="00F555D6">
            <w:pPr>
              <w:spacing w:before="240" w:after="240" w:line="280" w:lineRule="auto"/>
              <w:rPr>
                <w:szCs w:val="24"/>
              </w:rPr>
            </w:pPr>
            <w:r w:rsidRPr="005C3B55">
              <w:rPr>
                <w:szCs w:val="24"/>
              </w:rPr>
              <w:t>Control of the implementation of the M10 measure (administrative and on site) is implemented by the AAMRD, taking into consideration IACS and relevant EU and national regulations.</w:t>
            </w:r>
          </w:p>
          <w:p w:rsidR="00F555D6" w:rsidRPr="005C3B55" w:rsidRDefault="00F555D6" w:rsidP="00F555D6">
            <w:pPr>
              <w:spacing w:before="240" w:after="240" w:line="280" w:lineRule="auto"/>
              <w:rPr>
                <w:szCs w:val="24"/>
              </w:rPr>
            </w:pPr>
            <w:r w:rsidRPr="005C3B55">
              <w:rPr>
                <w:szCs w:val="24"/>
              </w:rPr>
              <w:t>The penalty system is established in accordance with Chapter V of Regulation (EU) No 1306/2013 and determined by a national decree regulating payments for the M10 measure.</w:t>
            </w:r>
          </w:p>
          <w:p w:rsidR="00F555D6" w:rsidRPr="005C3B55" w:rsidRDefault="00F555D6" w:rsidP="00F555D6">
            <w:pPr>
              <w:spacing w:before="240" w:after="240" w:line="280" w:lineRule="auto"/>
              <w:rPr>
                <w:szCs w:val="24"/>
              </w:rPr>
            </w:pPr>
            <w:r w:rsidRPr="005C3B55">
              <w:rPr>
                <w:b/>
                <w:i/>
                <w:szCs w:val="24"/>
              </w:rPr>
              <w:t>Adjustment of the commitment</w:t>
            </w:r>
          </w:p>
          <w:p w:rsidR="00F555D6" w:rsidRPr="005C3B55" w:rsidRDefault="00F555D6" w:rsidP="00F555D6">
            <w:pPr>
              <w:spacing w:before="240" w:after="240" w:line="280" w:lineRule="auto"/>
              <w:rPr>
                <w:szCs w:val="24"/>
              </w:rPr>
            </w:pPr>
            <w:r w:rsidRPr="005C3B55">
              <w:rPr>
                <w:szCs w:val="24"/>
              </w:rPr>
              <w:t>Commitments for the implementation of the M10 measure can be adjusted during the implementation if the adaptation of these commitments is adequately justified with regard to the set objectives. These adjustments also relate to the use of new technologies and accessories in the implementation of the M10 measure and extending the duration of the commitment in accordance with Article 14 of Regulation (EU) No 807/2014.</w:t>
            </w:r>
          </w:p>
          <w:p w:rsidR="00F555D6" w:rsidRPr="005C3B55" w:rsidRDefault="00F555D6" w:rsidP="00F555D6">
            <w:pPr>
              <w:spacing w:before="240" w:after="240" w:line="280" w:lineRule="auto"/>
              <w:rPr>
                <w:szCs w:val="24"/>
              </w:rPr>
            </w:pPr>
            <w:r w:rsidRPr="005C3B55">
              <w:rPr>
                <w:b/>
                <w:i/>
                <w:szCs w:val="24"/>
              </w:rPr>
              <w:t>Changes to the national legislation and the Community legislation</w:t>
            </w:r>
          </w:p>
          <w:p w:rsidR="00F555D6" w:rsidRPr="005C3B55" w:rsidRDefault="00F555D6" w:rsidP="00F555D6">
            <w:pPr>
              <w:spacing w:before="240" w:after="240" w:line="280" w:lineRule="auto"/>
              <w:rPr>
                <w:szCs w:val="24"/>
              </w:rPr>
            </w:pPr>
            <w:r w:rsidRPr="005C3B55">
              <w:rPr>
                <w:szCs w:val="24"/>
              </w:rPr>
              <w:t>In the case of amendments to the national legislation and the Community legislation, the existing commitments related to the M10 measure will be harmonised with these amendments.</w:t>
            </w:r>
          </w:p>
          <w:p w:rsidR="00F555D6" w:rsidRPr="005C3B55" w:rsidRDefault="00F555D6" w:rsidP="00F555D6">
            <w:pPr>
              <w:spacing w:before="240" w:after="240" w:line="280" w:lineRule="auto"/>
              <w:rPr>
                <w:szCs w:val="24"/>
              </w:rPr>
            </w:pPr>
            <w:r w:rsidRPr="005C3B55">
              <w:rPr>
                <w:szCs w:val="24"/>
              </w:rPr>
              <w:t>The commitments assumed on the basis of the provisions of the first to the eighth paragraph of Article 28 of Regulation (EU) No 1305/2013 may be adjusted to these amendments in the case of amendments to the relevant mandatory standards determined according to Chapter I, Title VI of Regulation (EU) No 1306/2013 the relevant criteria determined in the second indent of point c) of the first paragraph of Article 4 of Regulation (EU) No 1307/2013, relevant minimum requirements for the use of fertilisers and plant protection products and other relevant mandatory requirements from national regulations. If the beneficiary does not accept such adjustments, its commitment to implement the M10 measure ends, whereby it does not need to return the funds received for the period when the commitment was in force.</w:t>
            </w:r>
          </w:p>
          <w:p w:rsidR="00F555D6" w:rsidRPr="005C3B55" w:rsidRDefault="00F555D6" w:rsidP="00F555D6">
            <w:pPr>
              <w:spacing w:before="240" w:after="240" w:line="280" w:lineRule="auto"/>
              <w:rPr>
                <w:szCs w:val="24"/>
              </w:rPr>
            </w:pPr>
            <w:r w:rsidRPr="005C3B55">
              <w:rPr>
                <w:b/>
                <w:i/>
                <w:szCs w:val="24"/>
              </w:rPr>
              <w:t>Amount of payment</w:t>
            </w:r>
          </w:p>
          <w:p w:rsidR="00F555D6" w:rsidRPr="005C3B55" w:rsidRDefault="00F555D6" w:rsidP="00F555D6">
            <w:pPr>
              <w:spacing w:before="240" w:after="240" w:line="280" w:lineRule="auto"/>
              <w:rPr>
                <w:szCs w:val="24"/>
              </w:rPr>
            </w:pPr>
            <w:r w:rsidRPr="005C3B55">
              <w:rPr>
                <w:szCs w:val="24"/>
              </w:rPr>
              <w:t>Payments for operations 1 to 6 and 18 to 19 cover 60% of additional costs and income lost due to the undertaken commitment, which is a considerable increase in aid compared to the 2007–2013 programming period, when the payments covered 41% of the amount calculated as per model calculations. The 60% aid will provide for a sufficient incentive effect for participation in the M10 measure and thus contribute to achieving the objectives of this measure.</w:t>
            </w:r>
          </w:p>
          <w:p w:rsidR="00F555D6" w:rsidRPr="005C3B55" w:rsidRDefault="00F555D6" w:rsidP="00F555D6">
            <w:pPr>
              <w:spacing w:before="240" w:after="240" w:line="280" w:lineRule="auto"/>
              <w:rPr>
                <w:szCs w:val="24"/>
              </w:rPr>
            </w:pPr>
            <w:r w:rsidRPr="005C3B55">
              <w:rPr>
                <w:szCs w:val="24"/>
              </w:rPr>
              <w:t>Payments for operations 7 to 17 cover 100% of additional costs and lost income due to the assumed commitment.</w:t>
            </w:r>
          </w:p>
          <w:p w:rsidR="00F555D6" w:rsidRPr="005C3B55" w:rsidRDefault="00F555D6" w:rsidP="00F555D6">
            <w:pPr>
              <w:spacing w:before="240" w:after="240" w:line="280" w:lineRule="auto"/>
              <w:rPr>
                <w:szCs w:val="24"/>
              </w:rPr>
            </w:pPr>
            <w:r w:rsidRPr="005C3B55">
              <w:rPr>
                <w:b/>
                <w:i/>
                <w:szCs w:val="24"/>
              </w:rPr>
              <w:t>CONTRIBUTION TO FOCUS AREAS</w:t>
            </w:r>
          </w:p>
          <w:p w:rsidR="00F555D6" w:rsidRPr="005C3B55" w:rsidRDefault="00F555D6" w:rsidP="00F555D6">
            <w:pPr>
              <w:spacing w:before="240" w:after="240" w:line="280" w:lineRule="auto"/>
              <w:rPr>
                <w:szCs w:val="24"/>
              </w:rPr>
            </w:pPr>
            <w:r w:rsidRPr="005C3B55">
              <w:rPr>
                <w:b/>
                <w:i/>
                <w:szCs w:val="24"/>
              </w:rPr>
              <w:t>Focus area 4A: Restoring, preserving and enhancing biodiversity, including within Natura 2000 sites, and in areas facing natural or other specific constraints, and high nature value farming, as well as the state of European landscapes</w:t>
            </w:r>
          </w:p>
          <w:p w:rsidR="00F555D6" w:rsidRPr="005C3B55" w:rsidRDefault="00F555D6" w:rsidP="00F555D6">
            <w:pPr>
              <w:spacing w:before="240" w:after="240" w:line="280" w:lineRule="auto"/>
              <w:rPr>
                <w:szCs w:val="24"/>
              </w:rPr>
            </w:pPr>
            <w:r w:rsidRPr="005C3B55">
              <w:rPr>
                <w:szCs w:val="24"/>
              </w:rPr>
              <w:t>The implementation of requirements which reduce the potentially negative impacts of agriculture on the environment, preserve natural resources, biodiversity and the traditional cultural landscape, and protect protected areas will be encouraged under the M10 measure.</w:t>
            </w:r>
          </w:p>
          <w:p w:rsidR="00F555D6" w:rsidRPr="005C3B55" w:rsidRDefault="00F555D6" w:rsidP="00F555D6">
            <w:pPr>
              <w:spacing w:before="240" w:after="240" w:line="280" w:lineRule="auto"/>
              <w:rPr>
                <w:szCs w:val="24"/>
              </w:rPr>
            </w:pPr>
            <w:r w:rsidRPr="005C3B55">
              <w:rPr>
                <w:szCs w:val="24"/>
              </w:rPr>
              <w:t>The requirements which refer to the use of fertilisers and plant protection products, crop rotation, cultivation and crop care, various manners and dates for mowing or pasturing, mountain pasturing, breeding of local breeds in danger of being lost to farming, preserving plant genetic resources under threat of genetic erosion and cohabitation with carnivores will contribute to the preservation and improvement of biodiversity, and the preservation of agricultural landscape. In order to preserve and improve biodiversity, some of these requirements will apply only in areas where a favourable situation regarding the preservation of habitat types and individual species and varieties of wildlife has not been established.</w:t>
            </w:r>
          </w:p>
          <w:p w:rsidR="00F555D6" w:rsidRPr="005C3B55" w:rsidRDefault="00F555D6" w:rsidP="00F555D6">
            <w:pPr>
              <w:spacing w:before="240" w:after="240" w:line="280" w:lineRule="auto"/>
              <w:rPr>
                <w:szCs w:val="24"/>
              </w:rPr>
            </w:pPr>
            <w:r w:rsidRPr="005C3B55">
              <w:rPr>
                <w:b/>
                <w:i/>
                <w:szCs w:val="24"/>
              </w:rPr>
              <w:t>Focus area 4B: Improving water management, including the management of fertilisers and pesticides</w:t>
            </w:r>
          </w:p>
          <w:p w:rsidR="00F555D6" w:rsidRPr="005C3B55" w:rsidRDefault="00F555D6" w:rsidP="00F555D6">
            <w:pPr>
              <w:spacing w:before="240" w:after="240" w:line="280" w:lineRule="auto"/>
              <w:rPr>
                <w:szCs w:val="24"/>
              </w:rPr>
            </w:pPr>
            <w:r w:rsidRPr="005C3B55">
              <w:rPr>
                <w:szCs w:val="24"/>
              </w:rPr>
              <w:t>With its requirements regarding the scientifically justified use of fertilisers and plant protection products, and by reducing their emissions into the environment or prohibiting their use, the M10 measure will contribute to reducing water and soil pollution, and thus to the preservation of water sources and land. Requirements regarding crop rotation, and suitable cultivation and care of crops will also contribute to attaining the objectives of the Water Framework Directive.</w:t>
            </w:r>
          </w:p>
          <w:p w:rsidR="00F555D6" w:rsidRPr="005C3B55" w:rsidRDefault="00F555D6" w:rsidP="00F555D6">
            <w:pPr>
              <w:spacing w:before="240" w:after="240" w:line="280" w:lineRule="auto"/>
              <w:rPr>
                <w:szCs w:val="24"/>
              </w:rPr>
            </w:pPr>
            <w:r w:rsidRPr="005C3B55">
              <w:rPr>
                <w:szCs w:val="24"/>
              </w:rPr>
              <w:t>The requirements will target the areas where a poor chemical and ecological state of surface water and groundwater has been established. From the national point of view, the implementation of the objectives of the Water Framework Directive will include some 28 per cent of agricultural land in Slovenia; 38% of which will be arable land and 5 per cent grassland. Due to the structure of agricultural production on the aforementioned areas, the requirements of the M10 measure will particularly target arable land production. It has been estimated that the implementation of requirements which relate to the coverage of arable land and overwintering and non-overwintering crops will have the greatest effect on improving the chemical state of surface water and groundwater.</w:t>
            </w:r>
          </w:p>
          <w:p w:rsidR="00F555D6" w:rsidRPr="005C3B55" w:rsidRDefault="00F555D6" w:rsidP="00F555D6">
            <w:pPr>
              <w:spacing w:before="240" w:after="240" w:line="280" w:lineRule="auto"/>
              <w:rPr>
                <w:szCs w:val="24"/>
              </w:rPr>
            </w:pPr>
            <w:r w:rsidRPr="005C3B55">
              <w:rPr>
                <w:b/>
                <w:i/>
                <w:szCs w:val="24"/>
              </w:rPr>
              <w:t>Focus area 4C: Prevention of soil erosion and improvement of soil management</w:t>
            </w:r>
          </w:p>
          <w:p w:rsidR="00F555D6" w:rsidRPr="005C3B55" w:rsidRDefault="00F555D6" w:rsidP="00F555D6">
            <w:pPr>
              <w:spacing w:before="240" w:after="240" w:line="280" w:lineRule="auto"/>
              <w:rPr>
                <w:szCs w:val="24"/>
              </w:rPr>
            </w:pPr>
            <w:r w:rsidRPr="005C3B55">
              <w:rPr>
                <w:szCs w:val="24"/>
              </w:rPr>
              <w:t>Support under the M10 measure will encourage production technologies which contribute to the sustainability and rational use of land, and preserve and improve biological activity, biodiversity, and soil fertility, and are aimed at suitable soil use, preventing erosion and negative changes in soil structure, and reducing leakage of substances into soil which burden it.</w:t>
            </w:r>
          </w:p>
          <w:p w:rsidR="00F555D6" w:rsidRPr="005C3B55" w:rsidRDefault="00F555D6" w:rsidP="00F555D6">
            <w:pPr>
              <w:spacing w:before="240" w:after="240" w:line="280" w:lineRule="auto"/>
              <w:rPr>
                <w:szCs w:val="24"/>
              </w:rPr>
            </w:pPr>
            <w:r w:rsidRPr="005C3B55">
              <w:rPr>
                <w:szCs w:val="24"/>
              </w:rPr>
              <w:t>Requirements under the M10 measure include suitable forms of soil management, which refer to suitable techniques of crop cultivation and care, fertilisation, crop rotation and plant protection. These practices contribute to the reduction of danger of erosion and loss of soil organic matter, and the improvement of physical, chemical and biological properties of soil.</w:t>
            </w:r>
          </w:p>
          <w:p w:rsidR="00F555D6" w:rsidRPr="005C3B55" w:rsidRDefault="00F555D6" w:rsidP="00F555D6">
            <w:pPr>
              <w:spacing w:before="240" w:after="240" w:line="280" w:lineRule="auto"/>
              <w:rPr>
                <w:szCs w:val="24"/>
              </w:rPr>
            </w:pPr>
            <w:r w:rsidRPr="005C3B55">
              <w:rPr>
                <w:b/>
                <w:i/>
                <w:szCs w:val="24"/>
              </w:rPr>
              <w:t>CONTRIBUTION TO HORIZONTAL OBJECTIVES</w:t>
            </w:r>
          </w:p>
          <w:p w:rsidR="00F555D6" w:rsidRPr="005C3B55" w:rsidRDefault="00F555D6" w:rsidP="00F555D6">
            <w:pPr>
              <w:spacing w:before="240" w:after="240" w:line="280" w:lineRule="auto"/>
              <w:rPr>
                <w:szCs w:val="24"/>
              </w:rPr>
            </w:pPr>
            <w:r w:rsidRPr="005C3B55">
              <w:rPr>
                <w:b/>
                <w:i/>
                <w:szCs w:val="24"/>
              </w:rPr>
              <w:t>Climate change and care for the environment</w:t>
            </w:r>
          </w:p>
          <w:p w:rsidR="00F555D6" w:rsidRPr="005C3B55" w:rsidRDefault="00F555D6" w:rsidP="00F555D6">
            <w:pPr>
              <w:spacing w:before="240" w:after="240" w:line="280" w:lineRule="auto"/>
              <w:rPr>
                <w:szCs w:val="24"/>
              </w:rPr>
            </w:pPr>
            <w:r w:rsidRPr="005C3B55">
              <w:rPr>
                <w:szCs w:val="24"/>
              </w:rPr>
              <w:t>The M10 measure contributes to mitigation and adjustment to climate change and environmental protection through:</w:t>
            </w:r>
          </w:p>
          <w:p w:rsidR="00F555D6" w:rsidRPr="005C3B55" w:rsidRDefault="00F555D6" w:rsidP="00F555D6">
            <w:pPr>
              <w:numPr>
                <w:ilvl w:val="0"/>
                <w:numId w:val="276"/>
              </w:numPr>
              <w:spacing w:before="240" w:after="0"/>
              <w:ind w:hanging="290"/>
              <w:jc w:val="left"/>
              <w:rPr>
                <w:szCs w:val="24"/>
              </w:rPr>
            </w:pPr>
            <w:r w:rsidRPr="005C3B55">
              <w:rPr>
                <w:szCs w:val="24"/>
              </w:rPr>
              <w:t>the implementation of above-standard production technologies which reduce emissions of greenhouse gases and ammonia;</w:t>
            </w:r>
          </w:p>
          <w:p w:rsidR="00F555D6" w:rsidRPr="005C3B55" w:rsidRDefault="00F555D6" w:rsidP="00F555D6">
            <w:pPr>
              <w:numPr>
                <w:ilvl w:val="0"/>
                <w:numId w:val="276"/>
              </w:numPr>
              <w:spacing w:before="0" w:after="0"/>
              <w:ind w:hanging="290"/>
              <w:jc w:val="left"/>
              <w:rPr>
                <w:szCs w:val="24"/>
              </w:rPr>
            </w:pPr>
            <w:r w:rsidRPr="005C3B55">
              <w:rPr>
                <w:szCs w:val="24"/>
              </w:rPr>
              <w:t>more demanding crop rotation and the selection of agricultural plant varieties;</w:t>
            </w:r>
          </w:p>
          <w:p w:rsidR="00F555D6" w:rsidRPr="005C3B55" w:rsidRDefault="00F555D6" w:rsidP="00F555D6">
            <w:pPr>
              <w:numPr>
                <w:ilvl w:val="0"/>
                <w:numId w:val="276"/>
              </w:numPr>
              <w:spacing w:before="0" w:after="0"/>
              <w:ind w:hanging="290"/>
              <w:jc w:val="left"/>
              <w:rPr>
                <w:szCs w:val="24"/>
              </w:rPr>
            </w:pPr>
            <w:r w:rsidRPr="005C3B55">
              <w:rPr>
                <w:szCs w:val="24"/>
              </w:rPr>
              <w:t>techniques of land treatment and crop care which are primarily aimed at improving water retention in soil and soil fertility, and reducing the loss of carbon from soil;</w:t>
            </w:r>
          </w:p>
          <w:p w:rsidR="00F555D6" w:rsidRPr="005C3B55" w:rsidRDefault="00F555D6" w:rsidP="00F555D6">
            <w:pPr>
              <w:numPr>
                <w:ilvl w:val="0"/>
                <w:numId w:val="276"/>
              </w:numPr>
              <w:spacing w:before="0" w:after="0"/>
              <w:ind w:hanging="290"/>
              <w:jc w:val="left"/>
              <w:rPr>
                <w:szCs w:val="24"/>
              </w:rPr>
            </w:pPr>
            <w:r w:rsidRPr="005C3B55">
              <w:rPr>
                <w:szCs w:val="24"/>
              </w:rPr>
              <w:t>breeding of local breeds in danger of being lost to farming and the growing of crops in danger of genetic erosion;</w:t>
            </w:r>
          </w:p>
          <w:p w:rsidR="00F555D6" w:rsidRPr="005C3B55" w:rsidRDefault="00F555D6" w:rsidP="00F555D6">
            <w:pPr>
              <w:numPr>
                <w:ilvl w:val="0"/>
                <w:numId w:val="276"/>
              </w:numPr>
              <w:spacing w:before="0" w:after="0"/>
              <w:ind w:hanging="290"/>
              <w:jc w:val="left"/>
              <w:rPr>
                <w:szCs w:val="24"/>
              </w:rPr>
            </w:pPr>
            <w:r w:rsidRPr="005C3B55">
              <w:rPr>
                <w:szCs w:val="24"/>
              </w:rPr>
              <w:t>controlled use of fertiliser and plant protection products;</w:t>
            </w:r>
          </w:p>
          <w:p w:rsidR="00F555D6" w:rsidRPr="005C3B55" w:rsidRDefault="00F555D6" w:rsidP="00F555D6">
            <w:pPr>
              <w:numPr>
                <w:ilvl w:val="0"/>
                <w:numId w:val="276"/>
              </w:numPr>
              <w:spacing w:before="0" w:after="240"/>
              <w:ind w:hanging="290"/>
              <w:jc w:val="left"/>
              <w:rPr>
                <w:szCs w:val="24"/>
              </w:rPr>
            </w:pPr>
            <w:r w:rsidRPr="005C3B55">
              <w:rPr>
                <w:szCs w:val="24"/>
              </w:rPr>
              <w:t>fertilisation of crops with nitrogen in order to improve the efficiency of nitrogen circulation on agricultural holdings, and by doing so reduce the need to administer nitrogen from mineral fertilisers and, consequently, nitrous oxide emissions.</w:t>
            </w:r>
          </w:p>
          <w:p w:rsidR="00F555D6" w:rsidRPr="005C3B55" w:rsidRDefault="00F555D6" w:rsidP="00F555D6">
            <w:pPr>
              <w:pStyle w:val="Telobesedila"/>
              <w:rPr>
                <w:szCs w:val="24"/>
              </w:rPr>
            </w:pPr>
          </w:p>
        </w:tc>
      </w:tr>
    </w:tbl>
    <w:p w:rsidR="00F555D6" w:rsidRPr="005C3B55" w:rsidRDefault="00F555D6" w:rsidP="00F555D6">
      <w:pPr>
        <w:pStyle w:val="Naslov4"/>
        <w:tabs>
          <w:tab w:val="clear" w:pos="765"/>
        </w:tabs>
        <w:ind w:left="0" w:firstLine="0"/>
        <w:jc w:val="left"/>
        <w:rPr>
          <w:szCs w:val="24"/>
          <w:lang w:val="en-GB"/>
        </w:rPr>
      </w:pPr>
      <w:r w:rsidRPr="005C3B55">
        <w:rPr>
          <w:szCs w:val="24"/>
          <w:lang w:val="en-GB"/>
        </w:rPr>
        <w:t>Scope and rate of support and beneficiaries, and, where relevant, the methodology for calculating the amount or level of support, if necessary broken down by sub-measures and/or the type of operation. Determine eligible costs, conditions for eligibility, valid amounts and rates of support and principles regarding the definition of the selection criteria for each type of operation</w:t>
      </w:r>
    </w:p>
    <w:p w:rsidR="00F555D6" w:rsidRPr="005C3B55" w:rsidRDefault="00F555D6" w:rsidP="00F555D6">
      <w:pPr>
        <w:pStyle w:val="Naslov5"/>
        <w:tabs>
          <w:tab w:val="clear" w:pos="765"/>
        </w:tabs>
        <w:ind w:left="0" w:firstLine="0"/>
        <w:rPr>
          <w:b w:val="0"/>
          <w:szCs w:val="24"/>
          <w:lang w:val="en-GB"/>
        </w:rPr>
      </w:pPr>
      <w:r w:rsidRPr="005C3B55">
        <w:rPr>
          <w:b w:val="0"/>
          <w:szCs w:val="24"/>
          <w:lang w:val="en-GB"/>
        </w:rPr>
        <w:t xml:space="preserve">01. </w:t>
      </w:r>
      <w:r w:rsidRPr="005C3B55">
        <w:rPr>
          <w:b w:val="0"/>
          <w:noProof w:val="0"/>
          <w:szCs w:val="24"/>
          <w:lang w:val="en-GB"/>
        </w:rPr>
        <w:t>Arable farming and vegetable cultivation</w:t>
      </w:r>
    </w:p>
    <w:p w:rsidR="00F555D6" w:rsidRPr="005C3B55" w:rsidRDefault="00F555D6" w:rsidP="00F555D6">
      <w:pPr>
        <w:spacing w:line="280" w:lineRule="auto"/>
        <w:rPr>
          <w:szCs w:val="24"/>
        </w:rPr>
      </w:pPr>
      <w:r w:rsidRPr="005C3B55">
        <w:rPr>
          <w:szCs w:val="24"/>
        </w:rPr>
        <w:t xml:space="preserve">Sub-measure: </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277"/>
              </w:numPr>
              <w:rPr>
                <w:szCs w:val="24"/>
              </w:rPr>
            </w:pPr>
            <w:r w:rsidRPr="005C3B55">
              <w:rPr>
                <w:szCs w:val="24"/>
              </w:rPr>
              <w:t>10.1 – Payment of agri-environment-climate commitments</w:t>
            </w: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Description of type of operation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The operation Arable farming and vegetable cultivation contributes to the improvement of soil and water conditions by:</w:t>
            </w:r>
          </w:p>
          <w:p w:rsidR="00F555D6" w:rsidRPr="005C3B55" w:rsidRDefault="00F555D6" w:rsidP="00F555D6">
            <w:pPr>
              <w:numPr>
                <w:ilvl w:val="0"/>
                <w:numId w:val="278"/>
              </w:numPr>
              <w:spacing w:before="240" w:after="0"/>
              <w:ind w:hanging="290"/>
              <w:jc w:val="left"/>
              <w:rPr>
                <w:szCs w:val="24"/>
              </w:rPr>
            </w:pPr>
            <w:r w:rsidRPr="005C3B55">
              <w:rPr>
                <w:szCs w:val="24"/>
              </w:rPr>
              <w:t>improving soil fertility and structure;</w:t>
            </w:r>
          </w:p>
          <w:p w:rsidR="00F555D6" w:rsidRPr="005C3B55" w:rsidRDefault="00F555D6" w:rsidP="00F555D6">
            <w:pPr>
              <w:numPr>
                <w:ilvl w:val="0"/>
                <w:numId w:val="278"/>
              </w:numPr>
              <w:spacing w:before="0" w:after="0"/>
              <w:ind w:hanging="290"/>
              <w:jc w:val="left"/>
              <w:rPr>
                <w:szCs w:val="24"/>
              </w:rPr>
            </w:pPr>
            <w:r w:rsidRPr="005C3B55">
              <w:rPr>
                <w:szCs w:val="24"/>
              </w:rPr>
              <w:t>increasing microbiological activity of soil;</w:t>
            </w:r>
          </w:p>
          <w:p w:rsidR="00F555D6" w:rsidRPr="005C3B55" w:rsidRDefault="00F555D6" w:rsidP="00F555D6">
            <w:pPr>
              <w:numPr>
                <w:ilvl w:val="0"/>
                <w:numId w:val="278"/>
              </w:numPr>
              <w:spacing w:before="0" w:after="0"/>
              <w:ind w:hanging="290"/>
              <w:jc w:val="left"/>
              <w:rPr>
                <w:szCs w:val="24"/>
              </w:rPr>
            </w:pPr>
            <w:r w:rsidRPr="005C3B55">
              <w:rPr>
                <w:szCs w:val="24"/>
              </w:rPr>
              <w:t>protecting soil from harmful weather effects (soil crusting, loss of moisture, erosion);</w:t>
            </w:r>
          </w:p>
          <w:p w:rsidR="00F555D6" w:rsidRPr="005C3B55" w:rsidRDefault="00F555D6" w:rsidP="00F555D6">
            <w:pPr>
              <w:numPr>
                <w:ilvl w:val="0"/>
                <w:numId w:val="278"/>
              </w:numPr>
              <w:spacing w:before="0" w:after="0"/>
              <w:ind w:hanging="290"/>
              <w:jc w:val="left"/>
              <w:rPr>
                <w:szCs w:val="24"/>
              </w:rPr>
            </w:pPr>
            <w:r w:rsidRPr="005C3B55">
              <w:rPr>
                <w:szCs w:val="24"/>
              </w:rPr>
              <w:t>plant health effects, such as fewer weeds, pests and pathogens;</w:t>
            </w:r>
          </w:p>
          <w:p w:rsidR="00F555D6" w:rsidRPr="005C3B55" w:rsidRDefault="00F555D6" w:rsidP="00F555D6">
            <w:pPr>
              <w:numPr>
                <w:ilvl w:val="0"/>
                <w:numId w:val="278"/>
              </w:numPr>
              <w:spacing w:before="0" w:after="240"/>
              <w:ind w:hanging="290"/>
              <w:jc w:val="left"/>
              <w:rPr>
                <w:szCs w:val="24"/>
              </w:rPr>
            </w:pPr>
            <w:r w:rsidRPr="005C3B55">
              <w:rPr>
                <w:szCs w:val="24"/>
              </w:rPr>
              <w:t>preventing leaching of nutrients into subsoil.</w:t>
            </w:r>
          </w:p>
          <w:p w:rsidR="00F555D6" w:rsidRPr="005C3B55" w:rsidRDefault="00F555D6" w:rsidP="00F555D6">
            <w:pPr>
              <w:spacing w:before="240" w:after="240" w:line="280" w:lineRule="auto"/>
              <w:rPr>
                <w:szCs w:val="24"/>
              </w:rPr>
            </w:pPr>
            <w:r w:rsidRPr="005C3B55">
              <w:rPr>
                <w:szCs w:val="24"/>
              </w:rPr>
              <w:t>The operation includes mandatory and optional requirements. The beneficiary must implement the mandatory requirements and may also select one or more optional requirements under this operation.</w:t>
            </w:r>
          </w:p>
          <w:p w:rsidR="00F555D6" w:rsidRPr="005C3B55" w:rsidRDefault="00F555D6" w:rsidP="00F555D6">
            <w:pPr>
              <w:spacing w:before="240" w:after="240" w:line="280" w:lineRule="auto"/>
              <w:rPr>
                <w:szCs w:val="24"/>
              </w:rPr>
            </w:pPr>
            <w:r w:rsidRPr="005C3B55">
              <w:rPr>
                <w:szCs w:val="24"/>
              </w:rPr>
              <w:t>The implementation of requirements within the operation Arable farming and vegetable cultivation denotes a change in the existing agricultural practice.</w:t>
            </w:r>
          </w:p>
          <w:p w:rsidR="00F555D6" w:rsidRPr="005C3B55" w:rsidRDefault="00F555D6" w:rsidP="00F555D6">
            <w:pPr>
              <w:spacing w:before="240" w:after="240" w:line="280" w:lineRule="auto"/>
              <w:rPr>
                <w:szCs w:val="24"/>
              </w:rPr>
            </w:pPr>
            <w:r w:rsidRPr="005C3B55">
              <w:rPr>
                <w:szCs w:val="24"/>
              </w:rPr>
              <w:t> </w:t>
            </w:r>
          </w:p>
          <w:p w:rsidR="00F555D6" w:rsidRPr="005C3B55" w:rsidRDefault="00F555D6" w:rsidP="00F555D6">
            <w:pPr>
              <w:spacing w:before="240" w:after="240" w:line="280" w:lineRule="auto"/>
              <w:rPr>
                <w:szCs w:val="24"/>
              </w:rPr>
            </w:pPr>
            <w:r w:rsidRPr="005C3B55">
              <w:rPr>
                <w:szCs w:val="24"/>
              </w:rPr>
              <w:t> </w:t>
            </w:r>
          </w:p>
          <w:p w:rsidR="00F555D6" w:rsidRPr="005C3B55" w:rsidRDefault="00F555D6" w:rsidP="00F555D6">
            <w:pPr>
              <w:pStyle w:val="Telobesedila"/>
              <w:rPr>
                <w:szCs w:val="24"/>
              </w:rPr>
            </w:pPr>
          </w:p>
          <w:p w:rsidR="00F555D6" w:rsidRPr="005C3B55" w:rsidRDefault="0012246E" w:rsidP="00F555D6">
            <w:pPr>
              <w:pStyle w:val="Telobesedila3"/>
              <w:jc w:val="left"/>
              <w:rPr>
                <w:szCs w:val="24"/>
              </w:rPr>
            </w:pPr>
            <w:r w:rsidRPr="005C3B55">
              <w:rPr>
                <w:noProof/>
                <w:szCs w:val="24"/>
                <w:lang w:val="sl-SI"/>
              </w:rPr>
              <w:drawing>
                <wp:inline distT="0" distB="0" distL="0" distR="0">
                  <wp:extent cx="6562725" cy="4105275"/>
                  <wp:effectExtent l="0" t="0" r="9525" b="9525"/>
                  <wp:docPr id="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562725" cy="4105275"/>
                          </a:xfrm>
                          <a:prstGeom prst="rect">
                            <a:avLst/>
                          </a:prstGeom>
                          <a:noFill/>
                          <a:ln>
                            <a:noFill/>
                          </a:ln>
                        </pic:spPr>
                      </pic:pic>
                    </a:graphicData>
                  </a:graphic>
                </wp:inline>
              </w:drawing>
            </w:r>
          </w:p>
          <w:p w:rsidR="00F555D6" w:rsidRPr="005C3B55" w:rsidRDefault="00F555D6" w:rsidP="00F555D6">
            <w:pPr>
              <w:pStyle w:val="Noga"/>
              <w:jc w:val="center"/>
              <w:rPr>
                <w:szCs w:val="24"/>
              </w:rPr>
            </w:pPr>
            <w:r w:rsidRPr="005C3B55">
              <w:rPr>
                <w:szCs w:val="24"/>
              </w:rPr>
              <w:t>Arable farming and vegetable cultivation description of requirements (1)</w:t>
            </w:r>
          </w:p>
          <w:p w:rsidR="00F555D6" w:rsidRPr="005C3B55" w:rsidRDefault="0012246E" w:rsidP="00F555D6">
            <w:pPr>
              <w:pStyle w:val="Noga"/>
              <w:rPr>
                <w:szCs w:val="24"/>
              </w:rPr>
            </w:pPr>
            <w:r w:rsidRPr="005C3B55">
              <w:rPr>
                <w:noProof/>
                <w:szCs w:val="24"/>
                <w:lang w:val="sl-SI"/>
              </w:rPr>
              <w:drawing>
                <wp:inline distT="0" distB="0" distL="0" distR="0">
                  <wp:extent cx="6562725" cy="4105275"/>
                  <wp:effectExtent l="0" t="0" r="9525" b="9525"/>
                  <wp:docPr id="4"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562725" cy="4105275"/>
                          </a:xfrm>
                          <a:prstGeom prst="rect">
                            <a:avLst/>
                          </a:prstGeom>
                          <a:noFill/>
                          <a:ln>
                            <a:noFill/>
                          </a:ln>
                        </pic:spPr>
                      </pic:pic>
                    </a:graphicData>
                  </a:graphic>
                </wp:inline>
              </w:drawing>
            </w:r>
          </w:p>
          <w:p w:rsidR="00F555D6" w:rsidRPr="005C3B55" w:rsidRDefault="00F555D6" w:rsidP="00F555D6">
            <w:pPr>
              <w:pStyle w:val="Noga"/>
              <w:jc w:val="center"/>
              <w:rPr>
                <w:szCs w:val="24"/>
              </w:rPr>
            </w:pPr>
            <w:r w:rsidRPr="005C3B55">
              <w:rPr>
                <w:szCs w:val="24"/>
              </w:rPr>
              <w:t>Arable farming and vegetable cultivation description of requirements (2)</w:t>
            </w:r>
          </w:p>
          <w:p w:rsidR="00F555D6" w:rsidRPr="005C3B55" w:rsidRDefault="0012246E" w:rsidP="00F555D6">
            <w:pPr>
              <w:pStyle w:val="Noga"/>
              <w:rPr>
                <w:szCs w:val="24"/>
              </w:rPr>
            </w:pPr>
            <w:r w:rsidRPr="005C3B55">
              <w:rPr>
                <w:noProof/>
                <w:szCs w:val="24"/>
                <w:lang w:val="sl-SI"/>
              </w:rPr>
              <w:drawing>
                <wp:inline distT="0" distB="0" distL="0" distR="0">
                  <wp:extent cx="6562725" cy="4105275"/>
                  <wp:effectExtent l="0" t="0" r="9525" b="9525"/>
                  <wp:docPr id="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562725" cy="4105275"/>
                          </a:xfrm>
                          <a:prstGeom prst="rect">
                            <a:avLst/>
                          </a:prstGeom>
                          <a:noFill/>
                          <a:ln>
                            <a:noFill/>
                          </a:ln>
                        </pic:spPr>
                      </pic:pic>
                    </a:graphicData>
                  </a:graphic>
                </wp:inline>
              </w:drawing>
            </w:r>
          </w:p>
          <w:p w:rsidR="00F555D6" w:rsidRPr="005C3B55" w:rsidRDefault="00F555D6" w:rsidP="00F555D6">
            <w:pPr>
              <w:pStyle w:val="Noga"/>
              <w:jc w:val="center"/>
              <w:rPr>
                <w:szCs w:val="24"/>
              </w:rPr>
            </w:pPr>
            <w:r w:rsidRPr="005C3B55">
              <w:rPr>
                <w:szCs w:val="24"/>
              </w:rPr>
              <w:t>Arable farming and vegetable cultivation description of requirements (3)</w:t>
            </w:r>
          </w:p>
          <w:p w:rsidR="00F555D6" w:rsidRPr="005C3B55" w:rsidRDefault="0012246E" w:rsidP="00F555D6">
            <w:pPr>
              <w:pStyle w:val="Noga"/>
              <w:rPr>
                <w:szCs w:val="24"/>
              </w:rPr>
            </w:pPr>
            <w:r w:rsidRPr="005C3B55">
              <w:rPr>
                <w:noProof/>
                <w:szCs w:val="24"/>
                <w:lang w:val="sl-SI"/>
              </w:rPr>
              <w:drawing>
                <wp:inline distT="0" distB="0" distL="0" distR="0">
                  <wp:extent cx="6562725" cy="4105275"/>
                  <wp:effectExtent l="0" t="0" r="9525" b="9525"/>
                  <wp:docPr id="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562725" cy="4105275"/>
                          </a:xfrm>
                          <a:prstGeom prst="rect">
                            <a:avLst/>
                          </a:prstGeom>
                          <a:noFill/>
                          <a:ln>
                            <a:noFill/>
                          </a:ln>
                        </pic:spPr>
                      </pic:pic>
                    </a:graphicData>
                  </a:graphic>
                </wp:inline>
              </w:drawing>
            </w:r>
          </w:p>
          <w:p w:rsidR="00F555D6" w:rsidRPr="005C3B55" w:rsidRDefault="00F555D6" w:rsidP="00F555D6">
            <w:pPr>
              <w:pStyle w:val="Noga"/>
              <w:jc w:val="center"/>
              <w:rPr>
                <w:szCs w:val="24"/>
              </w:rPr>
            </w:pPr>
            <w:r w:rsidRPr="005C3B55">
              <w:rPr>
                <w:szCs w:val="24"/>
              </w:rPr>
              <w:t>Arable farming and vegetable cultivation description of requirements (4)</w:t>
            </w:r>
          </w:p>
          <w:p w:rsidR="00F555D6" w:rsidRPr="005C3B55" w:rsidRDefault="0012246E" w:rsidP="00F555D6">
            <w:pPr>
              <w:pStyle w:val="Noga"/>
              <w:rPr>
                <w:szCs w:val="24"/>
              </w:rPr>
            </w:pPr>
            <w:r w:rsidRPr="005C3B55">
              <w:rPr>
                <w:noProof/>
                <w:szCs w:val="24"/>
                <w:lang w:val="sl-SI"/>
              </w:rPr>
              <w:drawing>
                <wp:inline distT="0" distB="0" distL="0" distR="0">
                  <wp:extent cx="6562725" cy="4105275"/>
                  <wp:effectExtent l="0" t="0" r="9525" b="9525"/>
                  <wp:docPr id="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562725" cy="4105275"/>
                          </a:xfrm>
                          <a:prstGeom prst="rect">
                            <a:avLst/>
                          </a:prstGeom>
                          <a:noFill/>
                          <a:ln>
                            <a:noFill/>
                          </a:ln>
                        </pic:spPr>
                      </pic:pic>
                    </a:graphicData>
                  </a:graphic>
                </wp:inline>
              </w:drawing>
            </w:r>
          </w:p>
          <w:p w:rsidR="00F555D6" w:rsidRPr="005C3B55" w:rsidRDefault="00F555D6" w:rsidP="00F555D6">
            <w:pPr>
              <w:pStyle w:val="Noga"/>
              <w:jc w:val="center"/>
              <w:rPr>
                <w:szCs w:val="24"/>
              </w:rPr>
            </w:pPr>
            <w:r w:rsidRPr="005C3B55">
              <w:rPr>
                <w:szCs w:val="24"/>
              </w:rPr>
              <w:t>Arable farming and vegetable cultivation description of requirements (5)</w:t>
            </w:r>
          </w:p>
          <w:p w:rsidR="00F555D6" w:rsidRPr="005C3B55" w:rsidRDefault="0012246E" w:rsidP="00F555D6">
            <w:pPr>
              <w:pStyle w:val="Noga"/>
              <w:rPr>
                <w:szCs w:val="24"/>
              </w:rPr>
            </w:pPr>
            <w:r w:rsidRPr="005C3B55">
              <w:rPr>
                <w:noProof/>
                <w:szCs w:val="24"/>
                <w:lang w:val="sl-SI"/>
              </w:rPr>
              <w:drawing>
                <wp:inline distT="0" distB="0" distL="0" distR="0">
                  <wp:extent cx="5876925" cy="3676650"/>
                  <wp:effectExtent l="0" t="0" r="9525" b="0"/>
                  <wp:docPr id="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76925" cy="3676650"/>
                          </a:xfrm>
                          <a:prstGeom prst="rect">
                            <a:avLst/>
                          </a:prstGeom>
                          <a:noFill/>
                          <a:ln>
                            <a:noFill/>
                          </a:ln>
                        </pic:spPr>
                      </pic:pic>
                    </a:graphicData>
                  </a:graphic>
                </wp:inline>
              </w:drawing>
            </w:r>
          </w:p>
          <w:p w:rsidR="00F555D6" w:rsidRPr="005C3B55" w:rsidRDefault="00F555D6" w:rsidP="00F555D6">
            <w:pPr>
              <w:pStyle w:val="Noga"/>
              <w:jc w:val="center"/>
              <w:rPr>
                <w:szCs w:val="24"/>
              </w:rPr>
            </w:pPr>
            <w:r w:rsidRPr="005C3B55">
              <w:rPr>
                <w:szCs w:val="24"/>
              </w:rPr>
              <w:t>Arable farming and vegetable cultivation description of requirements (6)</w:t>
            </w:r>
          </w:p>
          <w:p w:rsidR="00F555D6" w:rsidRPr="005C3B55" w:rsidRDefault="00F555D6" w:rsidP="00F555D6">
            <w:pPr>
              <w:pStyle w:val="Noga"/>
              <w:jc w:val="center"/>
              <w:rPr>
                <w:szCs w:val="24"/>
              </w:rPr>
            </w:pPr>
          </w:p>
        </w:tc>
      </w:tr>
    </w:tbl>
    <w:p w:rsidR="00F555D6" w:rsidRPr="005C3B55" w:rsidRDefault="00F555D6" w:rsidP="00F555D6">
      <w:pPr>
        <w:rPr>
          <w:b/>
          <w:noProof/>
        </w:rPr>
      </w:pPr>
      <w:r w:rsidRPr="005C3B55">
        <w:rPr>
          <w:b/>
          <w:noProof/>
        </w:rPr>
        <w:t>A. Mandatory requirements</w:t>
      </w:r>
    </w:p>
    <w:p w:rsidR="00F555D6" w:rsidRPr="005C3B55" w:rsidRDefault="00F555D6" w:rsidP="00F555D6">
      <w:pPr>
        <w:rPr>
          <w:b/>
          <w:noProof/>
        </w:rPr>
      </w:pPr>
      <w:r w:rsidRPr="005C3B55">
        <w:rPr>
          <w:b/>
          <w:noProof/>
        </w:rPr>
        <w:t>POZ_KOL: Five-year crop rotation</w:t>
      </w:r>
    </w:p>
    <w:p w:rsidR="00F555D6" w:rsidRPr="005C3B55" w:rsidRDefault="00F555D6" w:rsidP="00F555D6">
      <w:pPr>
        <w:rPr>
          <w:noProof/>
        </w:rPr>
      </w:pPr>
      <w:r w:rsidRPr="005C3B55">
        <w:rPr>
          <w:noProof/>
        </w:rPr>
        <w:t>A five-year crop rotation must include at least three different types of crop as the main crop, and:</w:t>
      </w:r>
    </w:p>
    <w:p w:rsidR="00F555D6" w:rsidRPr="005C3B55" w:rsidRDefault="00F555D6" w:rsidP="00F555D6">
      <w:pPr>
        <w:pStyle w:val="ListParagraph"/>
        <w:numPr>
          <w:ilvl w:val="0"/>
          <w:numId w:val="882"/>
        </w:numPr>
        <w:spacing w:before="0" w:after="200" w:line="276" w:lineRule="auto"/>
        <w:jc w:val="left"/>
        <w:rPr>
          <w:noProof/>
        </w:rPr>
      </w:pPr>
      <w:r w:rsidRPr="005C3B55">
        <w:rPr>
          <w:noProof/>
        </w:rPr>
        <w:t>cereals may be included in crop rotation three times at the most;</w:t>
      </w:r>
    </w:p>
    <w:p w:rsidR="00F555D6" w:rsidRPr="005C3B55" w:rsidRDefault="00F555D6" w:rsidP="00F555D6">
      <w:pPr>
        <w:pStyle w:val="ListParagraph"/>
        <w:numPr>
          <w:ilvl w:val="0"/>
          <w:numId w:val="882"/>
        </w:numPr>
        <w:spacing w:before="0" w:after="200" w:line="276" w:lineRule="auto"/>
        <w:jc w:val="left"/>
        <w:rPr>
          <w:noProof/>
        </w:rPr>
      </w:pPr>
      <w:r w:rsidRPr="005C3B55">
        <w:rPr>
          <w:noProof/>
        </w:rPr>
        <w:t>maize may be included in crop rotation only three times, but not consecutively;</w:t>
      </w:r>
    </w:p>
    <w:p w:rsidR="00F555D6" w:rsidRPr="005C3B55" w:rsidRDefault="00F555D6" w:rsidP="00F555D6">
      <w:pPr>
        <w:pStyle w:val="ListParagraph"/>
        <w:numPr>
          <w:ilvl w:val="0"/>
          <w:numId w:val="882"/>
        </w:numPr>
        <w:spacing w:before="0" w:after="200" w:line="276" w:lineRule="auto"/>
        <w:jc w:val="left"/>
        <w:rPr>
          <w:noProof/>
        </w:rPr>
      </w:pPr>
      <w:r w:rsidRPr="005C3B55">
        <w:rPr>
          <w:noProof/>
        </w:rPr>
        <w:t>catch crops are not considered one of the three various types of crops which must be included in the five-year crop rotation;</w:t>
      </w:r>
    </w:p>
    <w:p w:rsidR="00F555D6" w:rsidRPr="005C3B55" w:rsidRDefault="00F555D6" w:rsidP="00F555D6">
      <w:pPr>
        <w:pStyle w:val="ListParagraph"/>
        <w:numPr>
          <w:ilvl w:val="0"/>
          <w:numId w:val="882"/>
        </w:numPr>
        <w:spacing w:before="0" w:after="200" w:line="276" w:lineRule="auto"/>
        <w:jc w:val="left"/>
        <w:rPr>
          <w:noProof/>
        </w:rPr>
      </w:pPr>
      <w:r w:rsidRPr="005C3B55">
        <w:rPr>
          <w:noProof/>
        </w:rPr>
        <w:t>a possible change of crops in the crop rotation must not worsen the crop rotation or have a negative impact on the environment or reduce the efficiency of implementing the requirement.</w:t>
      </w:r>
    </w:p>
    <w:p w:rsidR="00F555D6" w:rsidRPr="005C3B55" w:rsidRDefault="00F555D6" w:rsidP="00F555D6">
      <w:pPr>
        <w:rPr>
          <w:noProof/>
        </w:rPr>
      </w:pPr>
    </w:p>
    <w:p w:rsidR="00F555D6" w:rsidRPr="005C3B55" w:rsidRDefault="00F555D6" w:rsidP="00F555D6">
      <w:pPr>
        <w:pStyle w:val="ListParagraph"/>
        <w:numPr>
          <w:ilvl w:val="0"/>
          <w:numId w:val="883"/>
        </w:numPr>
        <w:spacing w:before="0" w:after="200" w:line="276" w:lineRule="auto"/>
        <w:jc w:val="left"/>
        <w:rPr>
          <w:noProof/>
        </w:rPr>
      </w:pPr>
      <w:r w:rsidRPr="005C3B55">
        <w:rPr>
          <w:noProof/>
        </w:rPr>
        <w:t>Livestock density: not relevant.</w:t>
      </w:r>
    </w:p>
    <w:p w:rsidR="00F555D6" w:rsidRPr="005C3B55" w:rsidRDefault="00F555D6" w:rsidP="00F555D6">
      <w:pPr>
        <w:pStyle w:val="ListParagraph"/>
        <w:numPr>
          <w:ilvl w:val="0"/>
          <w:numId w:val="883"/>
        </w:numPr>
        <w:spacing w:before="0" w:after="200" w:line="276" w:lineRule="auto"/>
        <w:jc w:val="left"/>
        <w:rPr>
          <w:noProof/>
        </w:rPr>
      </w:pPr>
      <w:r w:rsidRPr="005C3B55">
        <w:rPr>
          <w:noProof/>
        </w:rPr>
        <w:t>Use: fields.</w:t>
      </w:r>
    </w:p>
    <w:p w:rsidR="00F555D6" w:rsidRPr="005C3B55" w:rsidRDefault="00F555D6" w:rsidP="00F555D6">
      <w:pPr>
        <w:pStyle w:val="ListParagraph"/>
        <w:numPr>
          <w:ilvl w:val="0"/>
          <w:numId w:val="883"/>
        </w:numPr>
        <w:spacing w:before="0" w:after="200" w:line="276" w:lineRule="auto"/>
        <w:jc w:val="left"/>
        <w:rPr>
          <w:noProof/>
        </w:rPr>
      </w:pPr>
      <w:r w:rsidRPr="005C3B55">
        <w:rPr>
          <w:noProof/>
        </w:rPr>
        <w:t>Coverage: all field surfaces whose area is equal to, or larger than, 0.1 ha.</w:t>
      </w:r>
    </w:p>
    <w:p w:rsidR="00F555D6" w:rsidRPr="005C3B55" w:rsidRDefault="00F555D6" w:rsidP="00F555D6">
      <w:pPr>
        <w:pStyle w:val="ListParagraph"/>
        <w:numPr>
          <w:ilvl w:val="0"/>
          <w:numId w:val="883"/>
        </w:numPr>
        <w:spacing w:before="0" w:after="200" w:line="276" w:lineRule="auto"/>
        <w:jc w:val="left"/>
        <w:rPr>
          <w:noProof/>
        </w:rPr>
      </w:pPr>
      <w:r w:rsidRPr="005C3B55">
        <w:rPr>
          <w:noProof/>
        </w:rPr>
        <w:t>Location: the same throughout the commitment.</w:t>
      </w:r>
    </w:p>
    <w:p w:rsidR="00F555D6" w:rsidRPr="005C3B55" w:rsidRDefault="00F555D6" w:rsidP="00F555D6">
      <w:pPr>
        <w:pStyle w:val="ListParagraph"/>
        <w:numPr>
          <w:ilvl w:val="0"/>
          <w:numId w:val="883"/>
        </w:numPr>
        <w:spacing w:before="0" w:after="200" w:line="276" w:lineRule="auto"/>
        <w:jc w:val="left"/>
        <w:rPr>
          <w:noProof/>
        </w:rPr>
      </w:pPr>
      <w:r w:rsidRPr="005C3B55">
        <w:rPr>
          <w:noProof/>
        </w:rPr>
        <w:t>Implementation area: throughout Slovenia, except the narrowest water protection areas (WPA I).</w:t>
      </w:r>
    </w:p>
    <w:p w:rsidR="00F555D6" w:rsidRPr="005C3B55" w:rsidRDefault="00F555D6" w:rsidP="00F555D6">
      <w:pPr>
        <w:rPr>
          <w:noProof/>
        </w:rPr>
      </w:pPr>
      <w:r w:rsidRPr="005C3B55">
        <w:rPr>
          <w:noProof/>
        </w:rPr>
        <w:t>Effects:</w:t>
      </w:r>
    </w:p>
    <w:p w:rsidR="00F555D6" w:rsidRPr="005C3B55" w:rsidRDefault="00F555D6" w:rsidP="00F555D6">
      <w:pPr>
        <w:pStyle w:val="ListParagraph"/>
        <w:numPr>
          <w:ilvl w:val="0"/>
          <w:numId w:val="884"/>
        </w:numPr>
        <w:spacing w:before="0" w:after="200" w:line="276" w:lineRule="auto"/>
        <w:jc w:val="left"/>
        <w:rPr>
          <w:noProof/>
        </w:rPr>
      </w:pPr>
      <w:r w:rsidRPr="005C3B55">
        <w:rPr>
          <w:noProof/>
        </w:rPr>
        <w:t>preserving soil fertility;</w:t>
      </w:r>
    </w:p>
    <w:p w:rsidR="00F555D6" w:rsidRPr="005C3B55" w:rsidRDefault="00F555D6" w:rsidP="00F555D6">
      <w:pPr>
        <w:pStyle w:val="ListParagraph"/>
        <w:numPr>
          <w:ilvl w:val="0"/>
          <w:numId w:val="884"/>
        </w:numPr>
        <w:spacing w:before="0" w:after="200" w:line="276" w:lineRule="auto"/>
        <w:jc w:val="left"/>
        <w:rPr>
          <w:noProof/>
        </w:rPr>
      </w:pPr>
      <w:r w:rsidRPr="005C3B55">
        <w:rPr>
          <w:noProof/>
        </w:rPr>
        <w:t>improving soil quality;</w:t>
      </w:r>
    </w:p>
    <w:p w:rsidR="00F555D6" w:rsidRPr="005C3B55" w:rsidRDefault="00F555D6" w:rsidP="00F555D6">
      <w:pPr>
        <w:pStyle w:val="ListParagraph"/>
        <w:numPr>
          <w:ilvl w:val="0"/>
          <w:numId w:val="884"/>
        </w:numPr>
        <w:spacing w:before="0" w:after="200" w:line="276" w:lineRule="auto"/>
        <w:jc w:val="left"/>
        <w:rPr>
          <w:noProof/>
        </w:rPr>
      </w:pPr>
      <w:r w:rsidRPr="005C3B55">
        <w:rPr>
          <w:noProof/>
        </w:rPr>
        <w:t>phytosanitary effects include fewer weeds, pests and pathogens;</w:t>
      </w:r>
    </w:p>
    <w:p w:rsidR="00F555D6" w:rsidRPr="005C3B55" w:rsidRDefault="00F555D6" w:rsidP="00F555D6">
      <w:pPr>
        <w:pStyle w:val="ListParagraph"/>
        <w:numPr>
          <w:ilvl w:val="0"/>
          <w:numId w:val="884"/>
        </w:numPr>
        <w:spacing w:before="0" w:after="200" w:line="276" w:lineRule="auto"/>
        <w:jc w:val="left"/>
        <w:rPr>
          <w:noProof/>
        </w:rPr>
      </w:pPr>
      <w:r w:rsidRPr="005C3B55">
        <w:rPr>
          <w:noProof/>
        </w:rPr>
        <w:t>improving biodiversity;</w:t>
      </w:r>
    </w:p>
    <w:p w:rsidR="00F555D6" w:rsidRPr="005C3B55" w:rsidRDefault="00F555D6" w:rsidP="00F555D6">
      <w:pPr>
        <w:pStyle w:val="ListParagraph"/>
        <w:numPr>
          <w:ilvl w:val="0"/>
          <w:numId w:val="884"/>
        </w:numPr>
        <w:spacing w:before="0" w:after="200" w:line="276" w:lineRule="auto"/>
        <w:jc w:val="left"/>
        <w:rPr>
          <w:noProof/>
        </w:rPr>
      </w:pPr>
      <w:r w:rsidRPr="005C3B55">
        <w:rPr>
          <w:noProof/>
        </w:rPr>
        <w:t>protection of waters.</w:t>
      </w:r>
    </w:p>
    <w:p w:rsidR="00F555D6" w:rsidRPr="005C3B55" w:rsidRDefault="00F555D6" w:rsidP="00F555D6">
      <w:pPr>
        <w:spacing w:line="280" w:lineRule="auto"/>
        <w:rPr>
          <w:b/>
          <w:szCs w:val="24"/>
        </w:rPr>
      </w:pPr>
      <w:r w:rsidRPr="005C3B55">
        <w:rPr>
          <w:b/>
          <w:szCs w:val="24"/>
        </w:rPr>
        <w:t>POZ_NMIN: Nmin analysis</w:t>
      </w:r>
    </w:p>
    <w:p w:rsidR="00F555D6" w:rsidRPr="005C3B55" w:rsidRDefault="00F555D6" w:rsidP="00F555D6">
      <w:pPr>
        <w:spacing w:line="280" w:lineRule="auto"/>
        <w:rPr>
          <w:szCs w:val="24"/>
        </w:rPr>
      </w:pPr>
      <w:r w:rsidRPr="005C3B55">
        <w:rPr>
          <w:szCs w:val="24"/>
        </w:rPr>
        <w:t>The Nmin analysis requirement means the implementation of quick soil tests for mineralised nitrogen in soil directly prior to fertilisation, since it is sufficiently accurate in practice to determine nitrogen levels. Based on the Nmin analysis, the optimum dose of nitrogen in view of the actual state of mineralised nitrogen supply in soil is determined in a certain agricultural plant development phase.</w:t>
      </w:r>
    </w:p>
    <w:p w:rsidR="00F555D6" w:rsidRPr="005C3B55" w:rsidRDefault="00F555D6" w:rsidP="00F555D6">
      <w:pPr>
        <w:spacing w:line="280" w:lineRule="auto"/>
        <w:rPr>
          <w:szCs w:val="24"/>
        </w:rPr>
      </w:pPr>
      <w:r w:rsidRPr="005C3B55">
        <w:rPr>
          <w:szCs w:val="24"/>
        </w:rPr>
        <w:t>Quick soil tests prevent the overuse of nitrogen fertilisers and thus reduce dangers of leaching and polluting groundwater with nitrates.</w:t>
      </w:r>
    </w:p>
    <w:p w:rsidR="00F555D6" w:rsidRPr="005C3B55" w:rsidRDefault="00F555D6" w:rsidP="00F555D6">
      <w:pPr>
        <w:spacing w:line="280" w:lineRule="auto"/>
        <w:rPr>
          <w:szCs w:val="24"/>
        </w:rPr>
      </w:pPr>
      <w:r w:rsidRPr="005C3B55">
        <w:rPr>
          <w:szCs w:val="24"/>
        </w:rPr>
        <w:t>Livestock density: not relevant.</w:t>
      </w:r>
    </w:p>
    <w:p w:rsidR="00F555D6" w:rsidRPr="005C3B55" w:rsidRDefault="00F555D6" w:rsidP="00F555D6">
      <w:pPr>
        <w:spacing w:line="280" w:lineRule="auto"/>
        <w:rPr>
          <w:szCs w:val="24"/>
        </w:rPr>
      </w:pPr>
      <w:r w:rsidRPr="005C3B55">
        <w:rPr>
          <w:szCs w:val="24"/>
        </w:rPr>
        <w:t>Use: fields.</w:t>
      </w:r>
    </w:p>
    <w:p w:rsidR="00F555D6" w:rsidRPr="005C3B55" w:rsidRDefault="00F555D6" w:rsidP="00F555D6">
      <w:pPr>
        <w:spacing w:line="280" w:lineRule="auto"/>
        <w:rPr>
          <w:szCs w:val="24"/>
        </w:rPr>
      </w:pPr>
      <w:r w:rsidRPr="005C3B55">
        <w:rPr>
          <w:szCs w:val="24"/>
        </w:rPr>
        <w:t>Coverage: all field surfaces whose area is equal to, or larger than, 0.1 ha.</w:t>
      </w:r>
    </w:p>
    <w:p w:rsidR="00F555D6" w:rsidRPr="005C3B55" w:rsidRDefault="00F555D6" w:rsidP="00F555D6">
      <w:pPr>
        <w:spacing w:line="280" w:lineRule="auto"/>
        <w:rPr>
          <w:szCs w:val="24"/>
        </w:rPr>
      </w:pPr>
      <w:r w:rsidRPr="005C3B55">
        <w:rPr>
          <w:szCs w:val="24"/>
        </w:rPr>
        <w:t>Location: the same throughout the commitment.</w:t>
      </w:r>
    </w:p>
    <w:p w:rsidR="00F555D6" w:rsidRPr="005C3B55" w:rsidRDefault="00F555D6" w:rsidP="00F555D6">
      <w:pPr>
        <w:spacing w:line="280" w:lineRule="auto"/>
        <w:rPr>
          <w:szCs w:val="24"/>
        </w:rPr>
      </w:pPr>
      <w:r w:rsidRPr="005C3B55">
        <w:rPr>
          <w:szCs w:val="24"/>
        </w:rPr>
        <w:t xml:space="preserve">Implementation area: throughout Slovenia, </w:t>
      </w:r>
      <w:r w:rsidRPr="005C3B55">
        <w:rPr>
          <w:noProof/>
        </w:rPr>
        <w:t>except the narrowest water protection areas (WPA I).</w:t>
      </w:r>
    </w:p>
    <w:p w:rsidR="00F555D6" w:rsidRPr="005C3B55" w:rsidRDefault="00F555D6" w:rsidP="00F555D6">
      <w:pPr>
        <w:rPr>
          <w:szCs w:val="24"/>
        </w:rPr>
      </w:pPr>
      <w:r w:rsidRPr="005C3B55">
        <w:rPr>
          <w:szCs w:val="24"/>
        </w:rPr>
        <w:t>Within the green component defined in the Decree on the direct payments scheme for the 2015–2020 period, equivalent practices will not be carried out.</w:t>
      </w:r>
    </w:p>
    <w:p w:rsidR="00F555D6" w:rsidRPr="005C3B55" w:rsidRDefault="00F555D6" w:rsidP="00F555D6">
      <w:pPr>
        <w:spacing w:line="280" w:lineRule="auto"/>
        <w:rPr>
          <w:szCs w:val="24"/>
        </w:rPr>
      </w:pPr>
      <w:r w:rsidRPr="005C3B55">
        <w:rPr>
          <w:szCs w:val="24"/>
        </w:rPr>
        <w:t>Effects:</w:t>
      </w:r>
    </w:p>
    <w:p w:rsidR="00F555D6" w:rsidRPr="005C3B55" w:rsidRDefault="00F555D6" w:rsidP="00F555D6">
      <w:pPr>
        <w:pStyle w:val="ListParagraph"/>
        <w:numPr>
          <w:ilvl w:val="1"/>
          <w:numId w:val="885"/>
        </w:numPr>
        <w:spacing w:before="0" w:after="200" w:line="280" w:lineRule="auto"/>
        <w:ind w:left="709" w:hanging="283"/>
        <w:jc w:val="left"/>
        <w:rPr>
          <w:szCs w:val="24"/>
        </w:rPr>
      </w:pPr>
      <w:r w:rsidRPr="005C3B55">
        <w:rPr>
          <w:szCs w:val="24"/>
        </w:rPr>
        <w:t>reducing nitrates in water.</w:t>
      </w:r>
    </w:p>
    <w:p w:rsidR="00F555D6" w:rsidRPr="005C3B55" w:rsidRDefault="00F555D6" w:rsidP="00F555D6">
      <w:pPr>
        <w:rPr>
          <w:szCs w:val="24"/>
        </w:rPr>
      </w:pPr>
    </w:p>
    <w:p w:rsidR="00F555D6" w:rsidRPr="005C3B55" w:rsidRDefault="00F555D6" w:rsidP="00F555D6">
      <w:pPr>
        <w:spacing w:line="280" w:lineRule="auto"/>
        <w:rPr>
          <w:szCs w:val="24"/>
        </w:rPr>
      </w:pPr>
      <w:r w:rsidRPr="005C3B55">
        <w:rPr>
          <w:b/>
          <w:szCs w:val="24"/>
        </w:rPr>
        <w:t>B. Optional requirements</w:t>
      </w:r>
    </w:p>
    <w:p w:rsidR="00F555D6" w:rsidRPr="005C3B55" w:rsidRDefault="00F555D6" w:rsidP="00F555D6">
      <w:pPr>
        <w:spacing w:line="280" w:lineRule="auto"/>
        <w:rPr>
          <w:b/>
          <w:szCs w:val="24"/>
        </w:rPr>
      </w:pPr>
      <w:r w:rsidRPr="005C3B55">
        <w:rPr>
          <w:b/>
          <w:szCs w:val="24"/>
        </w:rPr>
        <w:t>POZ_NIZI: Fertilisation with organic fertilisers with low emissions into air</w:t>
      </w:r>
    </w:p>
    <w:p w:rsidR="00F555D6" w:rsidRPr="005C3B55" w:rsidRDefault="00F555D6" w:rsidP="00F555D6">
      <w:pPr>
        <w:spacing w:line="280" w:lineRule="auto"/>
        <w:rPr>
          <w:szCs w:val="24"/>
        </w:rPr>
      </w:pPr>
      <w:r w:rsidRPr="005C3B55">
        <w:rPr>
          <w:szCs w:val="24"/>
        </w:rPr>
        <w:t xml:space="preserve">The requirement means the application of liquid organic fertilisation with a tanker to be directly entered or laid on soil directly before sowing, and immediate incorporation. </w:t>
      </w:r>
    </w:p>
    <w:p w:rsidR="00F555D6" w:rsidRPr="005C3B55" w:rsidRDefault="00F555D6" w:rsidP="00F555D6">
      <w:pPr>
        <w:spacing w:line="280" w:lineRule="auto"/>
        <w:rPr>
          <w:szCs w:val="24"/>
        </w:rPr>
      </w:pPr>
      <w:r w:rsidRPr="005C3B55">
        <w:rPr>
          <w:szCs w:val="24"/>
        </w:rPr>
        <w:t>Laying on soil means the distribution of liquid organic fertilisers through a trailing hose or sleigh dragged over the surface and from splash plates directed at the ground. Fertilisation directly before sowing means that no more than seven calendar days may pass between incorporation and sowing. Immediate incorporation means incorporation within 24 hours.</w:t>
      </w:r>
    </w:p>
    <w:p w:rsidR="00F555D6" w:rsidRPr="005C3B55" w:rsidRDefault="00F555D6" w:rsidP="00F555D6">
      <w:pPr>
        <w:spacing w:line="280" w:lineRule="auto"/>
        <w:rPr>
          <w:szCs w:val="24"/>
        </w:rPr>
      </w:pPr>
      <w:r w:rsidRPr="005C3B55">
        <w:rPr>
          <w:szCs w:val="24"/>
        </w:rPr>
        <w:t>The purpose of this requirement is to reduce ammonia emissions and odour when fertilising with manure, and to improve the efficiency of nitrogen circulation in agriculture and thus indirectly impact the reduction of greenhouse nitrous oxide emissions.</w:t>
      </w:r>
    </w:p>
    <w:p w:rsidR="00F555D6" w:rsidRPr="005C3B55" w:rsidRDefault="00F555D6" w:rsidP="00F555D6">
      <w:pPr>
        <w:spacing w:line="280" w:lineRule="auto"/>
        <w:rPr>
          <w:szCs w:val="24"/>
        </w:rPr>
      </w:pPr>
      <w:r w:rsidRPr="005C3B55">
        <w:rPr>
          <w:szCs w:val="24"/>
        </w:rPr>
        <w:t>The requirement must be implemented in the described manner for the duration of the commitment.</w:t>
      </w:r>
    </w:p>
    <w:p w:rsidR="00F555D6" w:rsidRPr="005C3B55" w:rsidRDefault="00F555D6" w:rsidP="00F555D6">
      <w:pPr>
        <w:pStyle w:val="ListParagraph"/>
        <w:numPr>
          <w:ilvl w:val="0"/>
          <w:numId w:val="886"/>
        </w:numPr>
        <w:spacing w:before="0" w:after="200" w:line="276" w:lineRule="auto"/>
        <w:ind w:left="709" w:hanging="283"/>
        <w:jc w:val="left"/>
        <w:rPr>
          <w:szCs w:val="24"/>
        </w:rPr>
      </w:pPr>
      <w:r w:rsidRPr="005C3B55">
        <w:rPr>
          <w:szCs w:val="24"/>
        </w:rPr>
        <w:t>Livestock density: not relevant.</w:t>
      </w:r>
    </w:p>
    <w:p w:rsidR="00F555D6" w:rsidRPr="005C3B55" w:rsidRDefault="00F555D6" w:rsidP="00F555D6">
      <w:pPr>
        <w:pStyle w:val="ListParagraph"/>
        <w:numPr>
          <w:ilvl w:val="0"/>
          <w:numId w:val="886"/>
        </w:numPr>
        <w:spacing w:before="0" w:after="200" w:line="276" w:lineRule="auto"/>
        <w:ind w:left="709" w:hanging="283"/>
        <w:jc w:val="left"/>
        <w:rPr>
          <w:szCs w:val="24"/>
        </w:rPr>
      </w:pPr>
      <w:r w:rsidRPr="005C3B55">
        <w:rPr>
          <w:szCs w:val="24"/>
        </w:rPr>
        <w:t>Use: fields.</w:t>
      </w:r>
    </w:p>
    <w:p w:rsidR="00F555D6" w:rsidRPr="005C3B55" w:rsidRDefault="00F555D6" w:rsidP="00F555D6">
      <w:pPr>
        <w:pStyle w:val="ListParagraph"/>
        <w:numPr>
          <w:ilvl w:val="0"/>
          <w:numId w:val="886"/>
        </w:numPr>
        <w:spacing w:before="0" w:after="200" w:line="276" w:lineRule="auto"/>
        <w:ind w:left="709" w:hanging="283"/>
        <w:jc w:val="left"/>
        <w:rPr>
          <w:szCs w:val="24"/>
        </w:rPr>
      </w:pPr>
      <w:r w:rsidRPr="005C3B55">
        <w:rPr>
          <w:szCs w:val="24"/>
        </w:rPr>
        <w:t>Coverage: part of field surfaces.</w:t>
      </w:r>
    </w:p>
    <w:p w:rsidR="00F555D6" w:rsidRPr="005C3B55" w:rsidRDefault="00F555D6" w:rsidP="00F555D6">
      <w:pPr>
        <w:pStyle w:val="ListParagraph"/>
        <w:numPr>
          <w:ilvl w:val="0"/>
          <w:numId w:val="886"/>
        </w:numPr>
        <w:spacing w:before="0" w:after="200" w:line="276" w:lineRule="auto"/>
        <w:ind w:left="709" w:hanging="283"/>
        <w:jc w:val="left"/>
        <w:rPr>
          <w:szCs w:val="24"/>
        </w:rPr>
      </w:pPr>
      <w:r w:rsidRPr="005C3B55">
        <w:rPr>
          <w:szCs w:val="24"/>
        </w:rPr>
        <w:t>Location: not relevant.</w:t>
      </w:r>
    </w:p>
    <w:p w:rsidR="00F555D6" w:rsidRPr="005C3B55" w:rsidRDefault="00F555D6" w:rsidP="00F555D6">
      <w:pPr>
        <w:pStyle w:val="ListParagraph"/>
        <w:numPr>
          <w:ilvl w:val="0"/>
          <w:numId w:val="886"/>
        </w:numPr>
        <w:spacing w:before="0" w:after="200" w:line="276" w:lineRule="auto"/>
        <w:ind w:left="709" w:hanging="283"/>
        <w:jc w:val="left"/>
        <w:rPr>
          <w:szCs w:val="24"/>
        </w:rPr>
      </w:pPr>
      <w:r w:rsidRPr="005C3B55">
        <w:rPr>
          <w:szCs w:val="24"/>
        </w:rPr>
        <w:t>Implementation area: throughout Slovenia.</w:t>
      </w:r>
    </w:p>
    <w:p w:rsidR="00F555D6" w:rsidRPr="005C3B55" w:rsidRDefault="00F555D6" w:rsidP="00F555D6">
      <w:pPr>
        <w:spacing w:line="280" w:lineRule="auto"/>
        <w:rPr>
          <w:szCs w:val="24"/>
        </w:rPr>
      </w:pPr>
      <w:r w:rsidRPr="005C3B55">
        <w:rPr>
          <w:szCs w:val="24"/>
        </w:rPr>
        <w:t>Effects:</w:t>
      </w:r>
    </w:p>
    <w:p w:rsidR="00F555D6" w:rsidRPr="005C3B55" w:rsidRDefault="00F555D6" w:rsidP="00F555D6">
      <w:pPr>
        <w:pStyle w:val="ListParagraph"/>
        <w:numPr>
          <w:ilvl w:val="0"/>
          <w:numId w:val="886"/>
        </w:numPr>
        <w:spacing w:before="0" w:after="200" w:line="276" w:lineRule="auto"/>
        <w:ind w:left="709" w:hanging="283"/>
        <w:jc w:val="left"/>
        <w:rPr>
          <w:szCs w:val="24"/>
        </w:rPr>
      </w:pPr>
      <w:r w:rsidRPr="005C3B55">
        <w:rPr>
          <w:szCs w:val="24"/>
        </w:rPr>
        <w:t>reducing ammonia losses and, as a result, reducing the eutrophication of the natural environment;</w:t>
      </w:r>
    </w:p>
    <w:p w:rsidR="00F555D6" w:rsidRPr="005C3B55" w:rsidRDefault="00F555D6" w:rsidP="00F555D6">
      <w:pPr>
        <w:pStyle w:val="ListParagraph"/>
        <w:numPr>
          <w:ilvl w:val="0"/>
          <w:numId w:val="886"/>
        </w:numPr>
        <w:spacing w:before="0" w:after="200" w:line="276" w:lineRule="auto"/>
        <w:ind w:left="709" w:hanging="283"/>
        <w:jc w:val="left"/>
        <w:rPr>
          <w:szCs w:val="24"/>
        </w:rPr>
      </w:pPr>
      <w:r w:rsidRPr="005C3B55">
        <w:rPr>
          <w:szCs w:val="24"/>
        </w:rPr>
        <w:t>reducing odour emissions into the environment;</w:t>
      </w:r>
    </w:p>
    <w:p w:rsidR="00F555D6" w:rsidRPr="005C3B55" w:rsidRDefault="00F555D6" w:rsidP="00F555D6">
      <w:pPr>
        <w:pStyle w:val="ListParagraph"/>
        <w:numPr>
          <w:ilvl w:val="0"/>
          <w:numId w:val="886"/>
        </w:numPr>
        <w:spacing w:before="0" w:after="200" w:line="276" w:lineRule="auto"/>
        <w:ind w:left="709" w:hanging="283"/>
        <w:jc w:val="left"/>
        <w:rPr>
          <w:szCs w:val="24"/>
        </w:rPr>
      </w:pPr>
      <w:r w:rsidRPr="005C3B55">
        <w:rPr>
          <w:szCs w:val="24"/>
        </w:rPr>
        <w:t>more efficient nitrogen circulation and thus reducing greenhouse gas emissions (nitrous oxide);</w:t>
      </w:r>
    </w:p>
    <w:p w:rsidR="00F555D6" w:rsidRPr="005C3B55" w:rsidRDefault="00F555D6" w:rsidP="00F555D6">
      <w:pPr>
        <w:pStyle w:val="ListParagraph"/>
        <w:numPr>
          <w:ilvl w:val="0"/>
          <w:numId w:val="886"/>
        </w:numPr>
        <w:spacing w:before="0" w:after="200" w:line="276" w:lineRule="auto"/>
        <w:ind w:left="709" w:hanging="283"/>
        <w:jc w:val="left"/>
        <w:rPr>
          <w:szCs w:val="24"/>
        </w:rPr>
      </w:pPr>
      <w:r w:rsidRPr="005C3B55">
        <w:rPr>
          <w:szCs w:val="24"/>
        </w:rPr>
        <w:t>stimulating microbial activity and improving soil structure.</w:t>
      </w:r>
    </w:p>
    <w:p w:rsidR="00F555D6" w:rsidRPr="005C3B55" w:rsidRDefault="00F555D6" w:rsidP="00F555D6">
      <w:pPr>
        <w:spacing w:line="280" w:lineRule="auto"/>
        <w:rPr>
          <w:b/>
          <w:szCs w:val="24"/>
        </w:rPr>
      </w:pPr>
      <w:r w:rsidRPr="005C3B55">
        <w:rPr>
          <w:b/>
          <w:szCs w:val="24"/>
        </w:rPr>
        <w:t>POZ_POD: Sowing plants for green manure</w:t>
      </w:r>
    </w:p>
    <w:p w:rsidR="00F555D6" w:rsidRPr="005C3B55" w:rsidRDefault="00F555D6" w:rsidP="00F555D6">
      <w:pPr>
        <w:spacing w:line="280" w:lineRule="auto"/>
        <w:rPr>
          <w:szCs w:val="24"/>
        </w:rPr>
      </w:pPr>
      <w:r w:rsidRPr="005C3B55">
        <w:rPr>
          <w:szCs w:val="24"/>
        </w:rPr>
        <w:t>This requirement anticipates the sowing of plants after the harvest of the main crop in order to protect soil from erosion and leaching, which improves soil structure, increases organic matter in soil, the air–water regime in soil and reduces weeds. Before sowing the next crop, the standing crop is ploughed under.</w:t>
      </w:r>
    </w:p>
    <w:p w:rsidR="00F555D6" w:rsidRPr="005C3B55" w:rsidRDefault="00F555D6" w:rsidP="00F555D6">
      <w:pPr>
        <w:pStyle w:val="ListParagraph"/>
        <w:numPr>
          <w:ilvl w:val="0"/>
          <w:numId w:val="886"/>
        </w:numPr>
        <w:spacing w:before="0" w:after="200" w:line="276" w:lineRule="auto"/>
        <w:ind w:left="709" w:hanging="283"/>
        <w:jc w:val="left"/>
        <w:rPr>
          <w:szCs w:val="24"/>
        </w:rPr>
      </w:pPr>
      <w:r w:rsidRPr="005C3B55">
        <w:rPr>
          <w:szCs w:val="24"/>
        </w:rPr>
        <w:t>Livestock density: not relevant.</w:t>
      </w:r>
    </w:p>
    <w:p w:rsidR="00F555D6" w:rsidRPr="005C3B55" w:rsidRDefault="00F555D6" w:rsidP="00F555D6">
      <w:pPr>
        <w:pStyle w:val="ListParagraph"/>
        <w:numPr>
          <w:ilvl w:val="0"/>
          <w:numId w:val="886"/>
        </w:numPr>
        <w:spacing w:before="0" w:after="200" w:line="276" w:lineRule="auto"/>
        <w:ind w:left="709" w:hanging="283"/>
        <w:jc w:val="left"/>
        <w:rPr>
          <w:szCs w:val="24"/>
        </w:rPr>
      </w:pPr>
      <w:r w:rsidRPr="005C3B55">
        <w:rPr>
          <w:szCs w:val="24"/>
        </w:rPr>
        <w:t>Use: fields.</w:t>
      </w:r>
    </w:p>
    <w:p w:rsidR="00F555D6" w:rsidRPr="005C3B55" w:rsidRDefault="00F555D6" w:rsidP="00F555D6">
      <w:pPr>
        <w:pStyle w:val="ListParagraph"/>
        <w:numPr>
          <w:ilvl w:val="0"/>
          <w:numId w:val="886"/>
        </w:numPr>
        <w:spacing w:before="0" w:after="200" w:line="276" w:lineRule="auto"/>
        <w:ind w:left="709" w:hanging="283"/>
        <w:jc w:val="left"/>
        <w:rPr>
          <w:szCs w:val="24"/>
        </w:rPr>
      </w:pPr>
      <w:r w:rsidRPr="005C3B55">
        <w:rPr>
          <w:szCs w:val="24"/>
        </w:rPr>
        <w:t>Coverage: part of field surfaces.</w:t>
      </w:r>
    </w:p>
    <w:p w:rsidR="00F555D6" w:rsidRPr="005C3B55" w:rsidRDefault="00F555D6" w:rsidP="00F555D6">
      <w:pPr>
        <w:pStyle w:val="ListParagraph"/>
        <w:numPr>
          <w:ilvl w:val="0"/>
          <w:numId w:val="886"/>
        </w:numPr>
        <w:spacing w:before="0" w:after="200" w:line="276" w:lineRule="auto"/>
        <w:ind w:left="709" w:hanging="283"/>
        <w:jc w:val="left"/>
        <w:rPr>
          <w:szCs w:val="24"/>
        </w:rPr>
      </w:pPr>
      <w:r w:rsidRPr="005C3B55">
        <w:rPr>
          <w:szCs w:val="24"/>
        </w:rPr>
        <w:t>Location: not relevant.</w:t>
      </w:r>
    </w:p>
    <w:p w:rsidR="00F555D6" w:rsidRPr="005C3B55" w:rsidRDefault="00F555D6" w:rsidP="00F555D6">
      <w:pPr>
        <w:pStyle w:val="ListParagraph"/>
        <w:numPr>
          <w:ilvl w:val="0"/>
          <w:numId w:val="886"/>
        </w:numPr>
        <w:spacing w:before="0" w:after="200" w:line="276" w:lineRule="auto"/>
        <w:ind w:left="709" w:hanging="283"/>
        <w:jc w:val="left"/>
        <w:rPr>
          <w:szCs w:val="24"/>
        </w:rPr>
      </w:pPr>
      <w:r w:rsidRPr="005C3B55">
        <w:rPr>
          <w:szCs w:val="24"/>
        </w:rPr>
        <w:t>Implementation area: throughout Slovenia.</w:t>
      </w:r>
    </w:p>
    <w:p w:rsidR="00F555D6" w:rsidRPr="005C3B55" w:rsidRDefault="00F555D6" w:rsidP="00F555D6">
      <w:pPr>
        <w:spacing w:line="280" w:lineRule="auto"/>
        <w:rPr>
          <w:szCs w:val="24"/>
        </w:rPr>
      </w:pPr>
      <w:r w:rsidRPr="005C3B55">
        <w:rPr>
          <w:szCs w:val="24"/>
        </w:rPr>
        <w:t>Effects:</w:t>
      </w:r>
    </w:p>
    <w:p w:rsidR="00F555D6" w:rsidRPr="005C3B55" w:rsidRDefault="00F555D6" w:rsidP="00F555D6">
      <w:pPr>
        <w:pStyle w:val="ListParagraph"/>
        <w:numPr>
          <w:ilvl w:val="0"/>
          <w:numId w:val="886"/>
        </w:numPr>
        <w:spacing w:before="0" w:after="200" w:line="276" w:lineRule="auto"/>
        <w:ind w:left="709" w:hanging="283"/>
        <w:jc w:val="left"/>
        <w:rPr>
          <w:szCs w:val="24"/>
        </w:rPr>
      </w:pPr>
      <w:r w:rsidRPr="005C3B55">
        <w:rPr>
          <w:szCs w:val="24"/>
        </w:rPr>
        <w:t>improved soil structure;</w:t>
      </w:r>
    </w:p>
    <w:p w:rsidR="00F555D6" w:rsidRPr="005C3B55" w:rsidRDefault="00F555D6" w:rsidP="00F555D6">
      <w:pPr>
        <w:pStyle w:val="ListParagraph"/>
        <w:numPr>
          <w:ilvl w:val="0"/>
          <w:numId w:val="886"/>
        </w:numPr>
        <w:spacing w:before="0" w:after="200" w:line="276" w:lineRule="auto"/>
        <w:ind w:left="709" w:hanging="283"/>
        <w:jc w:val="left"/>
        <w:rPr>
          <w:szCs w:val="24"/>
        </w:rPr>
      </w:pPr>
      <w:r w:rsidRPr="005C3B55">
        <w:rPr>
          <w:szCs w:val="24"/>
        </w:rPr>
        <w:t>less weed;</w:t>
      </w:r>
    </w:p>
    <w:p w:rsidR="00F555D6" w:rsidRPr="005C3B55" w:rsidRDefault="00F555D6" w:rsidP="00F555D6">
      <w:pPr>
        <w:pStyle w:val="ListParagraph"/>
        <w:numPr>
          <w:ilvl w:val="0"/>
          <w:numId w:val="886"/>
        </w:numPr>
        <w:spacing w:before="0" w:after="200" w:line="276" w:lineRule="auto"/>
        <w:ind w:left="709" w:hanging="283"/>
        <w:jc w:val="left"/>
        <w:rPr>
          <w:szCs w:val="24"/>
        </w:rPr>
      </w:pPr>
      <w:r w:rsidRPr="005C3B55">
        <w:rPr>
          <w:szCs w:val="24"/>
        </w:rPr>
        <w:t>enriching soil with organic matter and nutrients;</w:t>
      </w:r>
    </w:p>
    <w:p w:rsidR="00F555D6" w:rsidRPr="005C3B55" w:rsidRDefault="00F555D6" w:rsidP="00F555D6">
      <w:pPr>
        <w:pStyle w:val="ListParagraph"/>
        <w:numPr>
          <w:ilvl w:val="0"/>
          <w:numId w:val="886"/>
        </w:numPr>
        <w:spacing w:before="0" w:after="200" w:line="276" w:lineRule="auto"/>
        <w:ind w:left="709" w:hanging="283"/>
        <w:jc w:val="left"/>
        <w:rPr>
          <w:szCs w:val="24"/>
        </w:rPr>
      </w:pPr>
      <w:r w:rsidRPr="005C3B55">
        <w:rPr>
          <w:szCs w:val="24"/>
        </w:rPr>
        <w:t>increasing the amount of humus in soil;</w:t>
      </w:r>
    </w:p>
    <w:p w:rsidR="00F555D6" w:rsidRPr="005C3B55" w:rsidRDefault="00F555D6" w:rsidP="00F555D6">
      <w:pPr>
        <w:pStyle w:val="ListParagraph"/>
        <w:numPr>
          <w:ilvl w:val="0"/>
          <w:numId w:val="886"/>
        </w:numPr>
        <w:spacing w:before="0" w:after="200" w:line="276" w:lineRule="auto"/>
        <w:ind w:left="709" w:hanging="283"/>
        <w:jc w:val="left"/>
        <w:rPr>
          <w:szCs w:val="24"/>
        </w:rPr>
      </w:pPr>
      <w:r w:rsidRPr="005C3B55">
        <w:rPr>
          <w:szCs w:val="24"/>
        </w:rPr>
        <w:t>improving the air–water regime in soil;</w:t>
      </w:r>
    </w:p>
    <w:p w:rsidR="00F555D6" w:rsidRPr="005C3B55" w:rsidRDefault="00F555D6" w:rsidP="00F555D6">
      <w:pPr>
        <w:pStyle w:val="ListParagraph"/>
        <w:numPr>
          <w:ilvl w:val="0"/>
          <w:numId w:val="886"/>
        </w:numPr>
        <w:spacing w:before="0" w:after="200" w:line="276" w:lineRule="auto"/>
        <w:ind w:left="709" w:hanging="283"/>
        <w:jc w:val="left"/>
        <w:rPr>
          <w:szCs w:val="24"/>
        </w:rPr>
      </w:pPr>
      <w:r w:rsidRPr="005C3B55">
        <w:rPr>
          <w:szCs w:val="24"/>
        </w:rPr>
        <w:t>reduced use of fertilisers.</w:t>
      </w:r>
    </w:p>
    <w:p w:rsidR="00F555D6" w:rsidRPr="005C3B55" w:rsidRDefault="00F555D6" w:rsidP="00F555D6">
      <w:pPr>
        <w:spacing w:line="280" w:lineRule="auto"/>
        <w:rPr>
          <w:b/>
          <w:szCs w:val="24"/>
        </w:rPr>
      </w:pPr>
      <w:r w:rsidRPr="005C3B55">
        <w:rPr>
          <w:b/>
          <w:szCs w:val="24"/>
        </w:rPr>
        <w:t>POZ_FFSM: Use of anti-insect nets</w:t>
      </w:r>
    </w:p>
    <w:p w:rsidR="00F555D6" w:rsidRPr="005C3B55" w:rsidRDefault="00F555D6" w:rsidP="00F555D6">
      <w:pPr>
        <w:spacing w:line="280" w:lineRule="auto"/>
        <w:rPr>
          <w:szCs w:val="24"/>
        </w:rPr>
      </w:pPr>
      <w:r w:rsidRPr="005C3B55">
        <w:rPr>
          <w:szCs w:val="24"/>
        </w:rPr>
        <w:t>The requirement means covering produce or surfaces with nets to protect produce from insects. The use of insecticides is not permitted. This also prevents the spread of micro-organisms and viruses.</w:t>
      </w:r>
    </w:p>
    <w:p w:rsidR="00F555D6" w:rsidRPr="005C3B55" w:rsidRDefault="00F555D6" w:rsidP="00F555D6">
      <w:pPr>
        <w:spacing w:line="280" w:lineRule="auto"/>
        <w:rPr>
          <w:szCs w:val="24"/>
        </w:rPr>
      </w:pPr>
      <w:r w:rsidRPr="005C3B55">
        <w:rPr>
          <w:szCs w:val="24"/>
        </w:rPr>
        <w:t>Since the use of insecticides is not permitted, the implementation of the requirement reduces the total use of plant protection products.</w:t>
      </w:r>
    </w:p>
    <w:p w:rsidR="00F555D6" w:rsidRPr="005C3B55" w:rsidRDefault="00F555D6" w:rsidP="00F555D6">
      <w:pPr>
        <w:pStyle w:val="ListParagraph"/>
        <w:numPr>
          <w:ilvl w:val="0"/>
          <w:numId w:val="886"/>
        </w:numPr>
        <w:spacing w:before="0" w:after="200" w:line="276" w:lineRule="auto"/>
        <w:ind w:left="709" w:hanging="283"/>
        <w:jc w:val="left"/>
        <w:rPr>
          <w:szCs w:val="24"/>
        </w:rPr>
      </w:pPr>
      <w:r w:rsidRPr="005C3B55">
        <w:rPr>
          <w:szCs w:val="24"/>
        </w:rPr>
        <w:t>Livestock density: not relevant.</w:t>
      </w:r>
    </w:p>
    <w:p w:rsidR="00F555D6" w:rsidRPr="005C3B55" w:rsidRDefault="00F555D6" w:rsidP="00F555D6">
      <w:pPr>
        <w:pStyle w:val="ListParagraph"/>
        <w:numPr>
          <w:ilvl w:val="0"/>
          <w:numId w:val="886"/>
        </w:numPr>
        <w:spacing w:before="0" w:after="200" w:line="276" w:lineRule="auto"/>
        <w:ind w:left="709" w:hanging="283"/>
        <w:jc w:val="left"/>
        <w:rPr>
          <w:szCs w:val="24"/>
        </w:rPr>
      </w:pPr>
      <w:r w:rsidRPr="005C3B55">
        <w:rPr>
          <w:szCs w:val="24"/>
        </w:rPr>
        <w:t>Use: fields.</w:t>
      </w:r>
    </w:p>
    <w:p w:rsidR="00F555D6" w:rsidRPr="005C3B55" w:rsidRDefault="00F555D6" w:rsidP="00F555D6">
      <w:pPr>
        <w:pStyle w:val="ListParagraph"/>
        <w:numPr>
          <w:ilvl w:val="0"/>
          <w:numId w:val="886"/>
        </w:numPr>
        <w:spacing w:before="0" w:after="200" w:line="276" w:lineRule="auto"/>
        <w:ind w:left="709" w:hanging="283"/>
        <w:jc w:val="left"/>
        <w:rPr>
          <w:szCs w:val="24"/>
        </w:rPr>
      </w:pPr>
      <w:r w:rsidRPr="005C3B55">
        <w:rPr>
          <w:szCs w:val="24"/>
        </w:rPr>
        <w:t>Coverage: part of field surfaces (at least 20 per cent).</w:t>
      </w:r>
    </w:p>
    <w:p w:rsidR="00F555D6" w:rsidRPr="005C3B55" w:rsidRDefault="00F555D6" w:rsidP="00F555D6">
      <w:pPr>
        <w:pStyle w:val="ListParagraph"/>
        <w:numPr>
          <w:ilvl w:val="0"/>
          <w:numId w:val="886"/>
        </w:numPr>
        <w:spacing w:before="0" w:after="200" w:line="276" w:lineRule="auto"/>
        <w:ind w:left="709" w:hanging="283"/>
        <w:jc w:val="left"/>
        <w:rPr>
          <w:szCs w:val="24"/>
        </w:rPr>
      </w:pPr>
      <w:r w:rsidRPr="005C3B55">
        <w:rPr>
          <w:szCs w:val="24"/>
        </w:rPr>
        <w:t>Location: not relevant.</w:t>
      </w:r>
    </w:p>
    <w:p w:rsidR="00F555D6" w:rsidRPr="005C3B55" w:rsidRDefault="00F555D6" w:rsidP="00F555D6">
      <w:pPr>
        <w:pStyle w:val="ListParagraph"/>
        <w:numPr>
          <w:ilvl w:val="0"/>
          <w:numId w:val="886"/>
        </w:numPr>
        <w:spacing w:before="0" w:after="200" w:line="276" w:lineRule="auto"/>
        <w:ind w:left="709" w:hanging="283"/>
        <w:jc w:val="left"/>
        <w:rPr>
          <w:szCs w:val="24"/>
        </w:rPr>
      </w:pPr>
      <w:r w:rsidRPr="005C3B55">
        <w:rPr>
          <w:szCs w:val="24"/>
        </w:rPr>
        <w:t>Implementation area: throughout Slovenia.</w:t>
      </w:r>
    </w:p>
    <w:p w:rsidR="00F555D6" w:rsidRPr="005C3B55" w:rsidRDefault="00F555D6" w:rsidP="00F555D6">
      <w:pPr>
        <w:spacing w:line="280" w:lineRule="auto"/>
        <w:rPr>
          <w:szCs w:val="24"/>
        </w:rPr>
      </w:pPr>
      <w:r w:rsidRPr="005C3B55">
        <w:rPr>
          <w:szCs w:val="24"/>
        </w:rPr>
        <w:t>Effects:</w:t>
      </w:r>
    </w:p>
    <w:p w:rsidR="00F555D6" w:rsidRPr="005C3B55" w:rsidRDefault="00F555D6" w:rsidP="00F555D6">
      <w:pPr>
        <w:pStyle w:val="ListParagraph"/>
        <w:numPr>
          <w:ilvl w:val="0"/>
          <w:numId w:val="886"/>
        </w:numPr>
        <w:spacing w:before="0" w:after="200" w:line="276" w:lineRule="auto"/>
        <w:ind w:left="709" w:hanging="283"/>
        <w:jc w:val="left"/>
        <w:rPr>
          <w:szCs w:val="24"/>
        </w:rPr>
      </w:pPr>
      <w:r w:rsidRPr="005C3B55">
        <w:rPr>
          <w:szCs w:val="24"/>
        </w:rPr>
        <w:t>reduced use of insecticides;</w:t>
      </w:r>
    </w:p>
    <w:p w:rsidR="00F555D6" w:rsidRPr="005C3B55" w:rsidRDefault="00F555D6" w:rsidP="00F555D6">
      <w:pPr>
        <w:pStyle w:val="ListParagraph"/>
        <w:numPr>
          <w:ilvl w:val="0"/>
          <w:numId w:val="886"/>
        </w:numPr>
        <w:spacing w:before="0" w:after="200" w:line="276" w:lineRule="auto"/>
        <w:ind w:left="709" w:hanging="283"/>
        <w:jc w:val="left"/>
        <w:rPr>
          <w:szCs w:val="24"/>
        </w:rPr>
      </w:pPr>
      <w:r w:rsidRPr="005C3B55">
        <w:rPr>
          <w:szCs w:val="24"/>
        </w:rPr>
        <w:t>improving biodiversity;</w:t>
      </w:r>
    </w:p>
    <w:p w:rsidR="00F555D6" w:rsidRPr="005C3B55" w:rsidRDefault="00F555D6" w:rsidP="00F555D6">
      <w:pPr>
        <w:pStyle w:val="ListParagraph"/>
        <w:numPr>
          <w:ilvl w:val="0"/>
          <w:numId w:val="886"/>
        </w:numPr>
        <w:spacing w:before="0" w:after="200" w:line="276" w:lineRule="auto"/>
        <w:ind w:left="709" w:hanging="283"/>
        <w:jc w:val="left"/>
        <w:rPr>
          <w:szCs w:val="24"/>
        </w:rPr>
      </w:pPr>
      <w:r w:rsidRPr="005C3B55">
        <w:rPr>
          <w:szCs w:val="24"/>
        </w:rPr>
        <w:t>reduced use of fossil fuels and lower air emissions.</w:t>
      </w:r>
    </w:p>
    <w:p w:rsidR="00F555D6" w:rsidRPr="005C3B55" w:rsidRDefault="00F555D6" w:rsidP="00F555D6">
      <w:r w:rsidRPr="005C3B55">
        <w:rPr>
          <w:b/>
          <w:szCs w:val="24"/>
        </w:rPr>
        <w:t xml:space="preserve">POZ_FFSV: </w:t>
      </w:r>
      <w:r w:rsidRPr="005C3B55">
        <w:rPr>
          <w:b/>
        </w:rPr>
        <w:t>Use of only plant protection products which were approved for the narrowest water protection areas</w:t>
      </w:r>
    </w:p>
    <w:p w:rsidR="00F555D6" w:rsidRPr="005C3B55" w:rsidRDefault="00F555D6" w:rsidP="00F555D6">
      <w:pPr>
        <w:rPr>
          <w:szCs w:val="24"/>
        </w:rPr>
      </w:pPr>
      <w:r w:rsidRPr="005C3B55">
        <w:t>Only the specific plant protection products (active substances) may be used within this requirement which were approved for the narrowest water protection areas as per the regulations governing the water protection areas of aquifers. The purpose of the requirement is to protect water sources, whereby only specific plant protection products (active substances) may be used which were approved for the narrowest water protection areas as per the regulations which govern the water protection areas of aquifers (national regulations). The active substances which are prohibited in the narrowest water protection areas area as follows: bentazone, s-metalochlor, terbuthylazine, metamitron, isoproturon, mccp, mccp-p, mcpa, dimethenamid, chloridazone, tritosulfuron, nicosulfuron, rimsulfuron, flurochchloridone, petoksamid, clopylarid, dicloprop-p, metalaxl-m, metazachlor, dicamba, metribuzin, flufanacet, dimetachlor, chlorothalonil,  chlorotranilipol, triasulfuron. The list of the aforementioned active substances may change on the basis of amendments to national regulations. The applicable list is available on the websites of the Ministry and the AAMRD.</w:t>
      </w:r>
    </w:p>
    <w:p w:rsidR="00F555D6" w:rsidRPr="005C3B55" w:rsidRDefault="00F555D6" w:rsidP="00F555D6">
      <w:pPr>
        <w:pStyle w:val="ListParagraph"/>
        <w:numPr>
          <w:ilvl w:val="0"/>
          <w:numId w:val="886"/>
        </w:numPr>
        <w:spacing w:before="0" w:after="200" w:line="276" w:lineRule="auto"/>
        <w:ind w:left="709" w:hanging="283"/>
        <w:jc w:val="left"/>
        <w:rPr>
          <w:szCs w:val="24"/>
        </w:rPr>
      </w:pPr>
      <w:r w:rsidRPr="005C3B55">
        <w:rPr>
          <w:szCs w:val="24"/>
        </w:rPr>
        <w:t>Livestock density: not relevant.</w:t>
      </w:r>
    </w:p>
    <w:p w:rsidR="00F555D6" w:rsidRPr="005C3B55" w:rsidRDefault="00F555D6" w:rsidP="00F555D6">
      <w:pPr>
        <w:pStyle w:val="ListParagraph"/>
        <w:numPr>
          <w:ilvl w:val="0"/>
          <w:numId w:val="886"/>
        </w:numPr>
        <w:spacing w:before="0" w:after="200" w:line="276" w:lineRule="auto"/>
        <w:ind w:left="709" w:hanging="283"/>
        <w:jc w:val="left"/>
        <w:rPr>
          <w:szCs w:val="24"/>
        </w:rPr>
      </w:pPr>
      <w:r w:rsidRPr="005C3B55">
        <w:rPr>
          <w:szCs w:val="24"/>
        </w:rPr>
        <w:t>Use: fields.</w:t>
      </w:r>
    </w:p>
    <w:p w:rsidR="00F555D6" w:rsidRPr="005C3B55" w:rsidRDefault="00F555D6" w:rsidP="00F555D6">
      <w:pPr>
        <w:pStyle w:val="ListParagraph"/>
        <w:numPr>
          <w:ilvl w:val="0"/>
          <w:numId w:val="886"/>
        </w:numPr>
        <w:spacing w:before="0" w:after="200" w:line="276" w:lineRule="auto"/>
        <w:ind w:left="709" w:hanging="283"/>
        <w:jc w:val="left"/>
        <w:rPr>
          <w:szCs w:val="24"/>
        </w:rPr>
      </w:pPr>
      <w:r w:rsidRPr="005C3B55">
        <w:rPr>
          <w:szCs w:val="24"/>
        </w:rPr>
        <w:t>Coverage: all field surfaces.</w:t>
      </w:r>
    </w:p>
    <w:p w:rsidR="00F555D6" w:rsidRPr="005C3B55" w:rsidRDefault="00F555D6" w:rsidP="00F555D6">
      <w:pPr>
        <w:pStyle w:val="ListParagraph"/>
        <w:numPr>
          <w:ilvl w:val="0"/>
          <w:numId w:val="886"/>
        </w:numPr>
        <w:spacing w:before="0" w:after="200" w:line="276" w:lineRule="auto"/>
        <w:ind w:left="709" w:hanging="283"/>
        <w:jc w:val="left"/>
        <w:rPr>
          <w:szCs w:val="24"/>
        </w:rPr>
      </w:pPr>
      <w:r w:rsidRPr="005C3B55">
        <w:rPr>
          <w:szCs w:val="24"/>
        </w:rPr>
        <w:t>Location: not relevant.</w:t>
      </w:r>
    </w:p>
    <w:p w:rsidR="00F555D6" w:rsidRPr="005C3B55" w:rsidRDefault="00F555D6" w:rsidP="00F555D6">
      <w:pPr>
        <w:pStyle w:val="ListParagraph"/>
        <w:numPr>
          <w:ilvl w:val="0"/>
          <w:numId w:val="886"/>
        </w:numPr>
        <w:spacing w:before="0" w:after="200" w:line="276" w:lineRule="auto"/>
        <w:ind w:left="709" w:hanging="283"/>
        <w:jc w:val="left"/>
        <w:rPr>
          <w:szCs w:val="24"/>
        </w:rPr>
      </w:pPr>
      <w:r w:rsidRPr="005C3B55">
        <w:rPr>
          <w:szCs w:val="24"/>
        </w:rPr>
        <w:t>Implementation area: throughout Slovenia.</w:t>
      </w:r>
    </w:p>
    <w:p w:rsidR="00F555D6" w:rsidRPr="005C3B55" w:rsidRDefault="00F555D6" w:rsidP="00F555D6">
      <w:pPr>
        <w:spacing w:line="280" w:lineRule="auto"/>
        <w:rPr>
          <w:szCs w:val="24"/>
        </w:rPr>
      </w:pPr>
      <w:r w:rsidRPr="005C3B55">
        <w:rPr>
          <w:szCs w:val="24"/>
        </w:rPr>
        <w:t>Effects:</w:t>
      </w:r>
    </w:p>
    <w:p w:rsidR="00F555D6" w:rsidRPr="005C3B55" w:rsidRDefault="00F555D6" w:rsidP="00F555D6">
      <w:pPr>
        <w:pStyle w:val="ListParagraph"/>
        <w:numPr>
          <w:ilvl w:val="0"/>
          <w:numId w:val="886"/>
        </w:numPr>
        <w:spacing w:before="0" w:after="200" w:line="276" w:lineRule="auto"/>
        <w:ind w:left="709" w:hanging="283"/>
        <w:jc w:val="left"/>
        <w:rPr>
          <w:szCs w:val="24"/>
        </w:rPr>
      </w:pPr>
      <w:r w:rsidRPr="005C3B55">
        <w:t>disburdening the environment</w:t>
      </w:r>
      <w:r w:rsidRPr="005C3B55">
        <w:rPr>
          <w:szCs w:val="24"/>
        </w:rPr>
        <w:t>;</w:t>
      </w:r>
    </w:p>
    <w:p w:rsidR="00F555D6" w:rsidRPr="005C3B55" w:rsidRDefault="00F555D6" w:rsidP="00F555D6">
      <w:pPr>
        <w:pStyle w:val="ListParagraph"/>
        <w:numPr>
          <w:ilvl w:val="0"/>
          <w:numId w:val="886"/>
        </w:numPr>
        <w:spacing w:before="0" w:after="200" w:line="276" w:lineRule="auto"/>
        <w:ind w:left="709" w:hanging="283"/>
        <w:jc w:val="left"/>
        <w:rPr>
          <w:szCs w:val="24"/>
        </w:rPr>
      </w:pPr>
      <w:r w:rsidRPr="005C3B55">
        <w:t>use of environment-friendly substances</w:t>
      </w:r>
      <w:r w:rsidRPr="005C3B55">
        <w:rPr>
          <w:szCs w:val="24"/>
        </w:rPr>
        <w:t>;</w:t>
      </w:r>
    </w:p>
    <w:p w:rsidR="00F555D6" w:rsidRPr="005C3B55" w:rsidRDefault="00F555D6" w:rsidP="00F555D6">
      <w:pPr>
        <w:pStyle w:val="ListParagraph"/>
        <w:numPr>
          <w:ilvl w:val="0"/>
          <w:numId w:val="886"/>
        </w:numPr>
        <w:spacing w:before="0" w:after="200" w:line="276" w:lineRule="auto"/>
        <w:ind w:left="709" w:hanging="283"/>
        <w:jc w:val="left"/>
        <w:rPr>
          <w:szCs w:val="24"/>
        </w:rPr>
      </w:pPr>
      <w:r w:rsidRPr="005C3B55">
        <w:t>improvement of soil and water conditions;</w:t>
      </w:r>
    </w:p>
    <w:p w:rsidR="00F555D6" w:rsidRPr="005C3B55" w:rsidRDefault="00F555D6" w:rsidP="00F555D6">
      <w:pPr>
        <w:pStyle w:val="ListParagraph"/>
        <w:numPr>
          <w:ilvl w:val="0"/>
          <w:numId w:val="886"/>
        </w:numPr>
        <w:spacing w:before="0" w:after="200" w:line="276" w:lineRule="auto"/>
        <w:ind w:left="709" w:hanging="283"/>
        <w:jc w:val="left"/>
        <w:rPr>
          <w:szCs w:val="24"/>
        </w:rPr>
      </w:pPr>
      <w:r w:rsidRPr="005C3B55">
        <w:t>preventing leaching of active substances of plant protection products into groundwater.</w:t>
      </w:r>
    </w:p>
    <w:p w:rsidR="00F555D6" w:rsidRPr="005C3B55" w:rsidRDefault="00F555D6" w:rsidP="00F555D6">
      <w:pPr>
        <w:spacing w:line="280" w:lineRule="auto"/>
        <w:rPr>
          <w:b/>
          <w:szCs w:val="24"/>
        </w:rPr>
      </w:pPr>
      <w:r w:rsidRPr="005C3B55">
        <w:rPr>
          <w:b/>
          <w:szCs w:val="24"/>
        </w:rPr>
        <w:t>POZ_MEHZ: Use of mulches or mechanical weeding</w:t>
      </w:r>
    </w:p>
    <w:p w:rsidR="00F555D6" w:rsidRPr="005C3B55" w:rsidRDefault="00F555D6" w:rsidP="00F555D6">
      <w:pPr>
        <w:spacing w:line="280" w:lineRule="auto"/>
        <w:rPr>
          <w:szCs w:val="24"/>
        </w:rPr>
      </w:pPr>
      <w:r w:rsidRPr="005C3B55">
        <w:rPr>
          <w:szCs w:val="24"/>
        </w:rPr>
        <w:t>The requirement includes:</w:t>
      </w:r>
    </w:p>
    <w:p w:rsidR="00F555D6" w:rsidRPr="005C3B55" w:rsidRDefault="00F555D6" w:rsidP="00F555D6">
      <w:pPr>
        <w:pStyle w:val="ListParagraph"/>
        <w:numPr>
          <w:ilvl w:val="0"/>
          <w:numId w:val="886"/>
        </w:numPr>
        <w:spacing w:before="0" w:after="200" w:line="276" w:lineRule="auto"/>
        <w:ind w:left="709" w:hanging="283"/>
        <w:jc w:val="left"/>
        <w:rPr>
          <w:szCs w:val="24"/>
        </w:rPr>
      </w:pPr>
      <w:r w:rsidRPr="005C3B55">
        <w:rPr>
          <w:szCs w:val="24"/>
        </w:rPr>
        <w:t>covering of soil between crops with mulches to prevent weed growth and reduce transpiration;</w:t>
      </w:r>
    </w:p>
    <w:p w:rsidR="00F555D6" w:rsidRPr="005C3B55" w:rsidRDefault="00F555D6" w:rsidP="00F555D6">
      <w:pPr>
        <w:pStyle w:val="ListParagraph"/>
        <w:numPr>
          <w:ilvl w:val="0"/>
          <w:numId w:val="886"/>
        </w:numPr>
        <w:spacing w:before="0" w:after="200" w:line="276" w:lineRule="auto"/>
        <w:ind w:left="709" w:hanging="283"/>
        <w:jc w:val="left"/>
        <w:rPr>
          <w:szCs w:val="24"/>
        </w:rPr>
      </w:pPr>
      <w:r w:rsidRPr="005C3B55">
        <w:rPr>
          <w:szCs w:val="24"/>
        </w:rPr>
        <w:t>mechanical weeding; stale seed bed is also considered mechanical weeding (weeds are destroyed before soil is prepared for sowing);</w:t>
      </w:r>
    </w:p>
    <w:p w:rsidR="00F555D6" w:rsidRPr="005C3B55" w:rsidRDefault="00F555D6" w:rsidP="00F555D6">
      <w:pPr>
        <w:pStyle w:val="ListParagraph"/>
        <w:numPr>
          <w:ilvl w:val="0"/>
          <w:numId w:val="886"/>
        </w:numPr>
        <w:spacing w:before="0" w:after="200" w:line="276" w:lineRule="auto"/>
        <w:ind w:left="709" w:hanging="283"/>
        <w:jc w:val="left"/>
        <w:rPr>
          <w:szCs w:val="24"/>
        </w:rPr>
      </w:pPr>
      <w:r w:rsidRPr="005C3B55">
        <w:rPr>
          <w:szCs w:val="24"/>
        </w:rPr>
        <w:t>the use of herbicides is not permitted.</w:t>
      </w:r>
    </w:p>
    <w:p w:rsidR="00F555D6" w:rsidRPr="005C3B55" w:rsidRDefault="00F555D6" w:rsidP="00F555D6">
      <w:pPr>
        <w:spacing w:line="280" w:lineRule="auto"/>
        <w:rPr>
          <w:szCs w:val="24"/>
        </w:rPr>
      </w:pPr>
      <w:r w:rsidRPr="005C3B55">
        <w:rPr>
          <w:szCs w:val="24"/>
        </w:rPr>
        <w:t>The purpose of the requirement is to deter pests and stimulate favourable organisms in soil. The requirement also contributes to the retention of moisture in soil and the protection of plants from extreme temperatures.</w:t>
      </w:r>
    </w:p>
    <w:p w:rsidR="00F555D6" w:rsidRPr="005C3B55" w:rsidRDefault="00F555D6" w:rsidP="00F555D6">
      <w:pPr>
        <w:rPr>
          <w:szCs w:val="24"/>
        </w:rPr>
      </w:pPr>
      <w:r w:rsidRPr="005C3B55">
        <w:rPr>
          <w:szCs w:val="24"/>
        </w:rPr>
        <w:t xml:space="preserve">Since the use of herbicides is not permitted, the implementation of the requirement reduces the total use of plant protection products. </w:t>
      </w:r>
    </w:p>
    <w:p w:rsidR="00F555D6" w:rsidRPr="005C3B55" w:rsidRDefault="00F555D6" w:rsidP="00F555D6">
      <w:pPr>
        <w:pStyle w:val="ListParagraph"/>
        <w:numPr>
          <w:ilvl w:val="0"/>
          <w:numId w:val="886"/>
        </w:numPr>
        <w:spacing w:before="0" w:after="200" w:line="276" w:lineRule="auto"/>
        <w:ind w:left="709" w:hanging="283"/>
        <w:jc w:val="left"/>
        <w:rPr>
          <w:szCs w:val="24"/>
        </w:rPr>
      </w:pPr>
      <w:r w:rsidRPr="005C3B55">
        <w:rPr>
          <w:szCs w:val="24"/>
        </w:rPr>
        <w:t>Livestock density: not relevant.</w:t>
      </w:r>
    </w:p>
    <w:p w:rsidR="00F555D6" w:rsidRPr="005C3B55" w:rsidRDefault="00F555D6" w:rsidP="00F555D6">
      <w:pPr>
        <w:pStyle w:val="ListParagraph"/>
        <w:numPr>
          <w:ilvl w:val="0"/>
          <w:numId w:val="886"/>
        </w:numPr>
        <w:spacing w:before="0" w:after="200" w:line="276" w:lineRule="auto"/>
        <w:ind w:left="709" w:hanging="283"/>
        <w:jc w:val="left"/>
        <w:rPr>
          <w:szCs w:val="24"/>
        </w:rPr>
      </w:pPr>
      <w:r w:rsidRPr="005C3B55">
        <w:rPr>
          <w:szCs w:val="24"/>
        </w:rPr>
        <w:t>Use: fields.</w:t>
      </w:r>
    </w:p>
    <w:p w:rsidR="00F555D6" w:rsidRPr="005C3B55" w:rsidRDefault="00F555D6" w:rsidP="00F555D6">
      <w:pPr>
        <w:pStyle w:val="ListParagraph"/>
        <w:numPr>
          <w:ilvl w:val="0"/>
          <w:numId w:val="886"/>
        </w:numPr>
        <w:spacing w:before="0" w:after="200" w:line="276" w:lineRule="auto"/>
        <w:ind w:left="709" w:hanging="283"/>
        <w:jc w:val="left"/>
        <w:rPr>
          <w:szCs w:val="24"/>
        </w:rPr>
      </w:pPr>
      <w:r w:rsidRPr="005C3B55">
        <w:rPr>
          <w:szCs w:val="24"/>
        </w:rPr>
        <w:t>Coverage: part of field surfaces.</w:t>
      </w:r>
    </w:p>
    <w:p w:rsidR="00F555D6" w:rsidRPr="005C3B55" w:rsidRDefault="00F555D6" w:rsidP="00F555D6">
      <w:pPr>
        <w:pStyle w:val="ListParagraph"/>
        <w:numPr>
          <w:ilvl w:val="0"/>
          <w:numId w:val="886"/>
        </w:numPr>
        <w:spacing w:before="0" w:after="200" w:line="276" w:lineRule="auto"/>
        <w:ind w:left="709" w:hanging="283"/>
        <w:jc w:val="left"/>
        <w:rPr>
          <w:szCs w:val="24"/>
        </w:rPr>
      </w:pPr>
      <w:r w:rsidRPr="005C3B55">
        <w:rPr>
          <w:szCs w:val="24"/>
        </w:rPr>
        <w:t>Location: not relevant.</w:t>
      </w:r>
    </w:p>
    <w:p w:rsidR="00F555D6" w:rsidRPr="005C3B55" w:rsidRDefault="00F555D6" w:rsidP="00F555D6">
      <w:pPr>
        <w:pStyle w:val="ListParagraph"/>
        <w:numPr>
          <w:ilvl w:val="0"/>
          <w:numId w:val="886"/>
        </w:numPr>
        <w:spacing w:before="0" w:after="200" w:line="276" w:lineRule="auto"/>
        <w:ind w:left="709" w:hanging="283"/>
        <w:jc w:val="left"/>
        <w:rPr>
          <w:szCs w:val="24"/>
        </w:rPr>
      </w:pPr>
      <w:r w:rsidRPr="005C3B55">
        <w:rPr>
          <w:szCs w:val="24"/>
        </w:rPr>
        <w:t>Implementation area: throughout Slovenia.</w:t>
      </w:r>
    </w:p>
    <w:p w:rsidR="00F555D6" w:rsidRPr="005C3B55" w:rsidRDefault="00F555D6" w:rsidP="00F555D6">
      <w:pPr>
        <w:spacing w:line="280" w:lineRule="auto"/>
        <w:rPr>
          <w:szCs w:val="24"/>
        </w:rPr>
      </w:pPr>
      <w:r w:rsidRPr="005C3B55">
        <w:rPr>
          <w:szCs w:val="24"/>
        </w:rPr>
        <w:t>Effects:</w:t>
      </w:r>
    </w:p>
    <w:p w:rsidR="00F555D6" w:rsidRPr="005C3B55" w:rsidRDefault="00F555D6" w:rsidP="00F555D6">
      <w:pPr>
        <w:pStyle w:val="ListParagraph"/>
        <w:numPr>
          <w:ilvl w:val="0"/>
          <w:numId w:val="886"/>
        </w:numPr>
        <w:spacing w:before="0" w:after="200" w:line="276" w:lineRule="auto"/>
        <w:ind w:left="709" w:hanging="283"/>
        <w:jc w:val="left"/>
        <w:rPr>
          <w:szCs w:val="24"/>
        </w:rPr>
      </w:pPr>
      <w:r w:rsidRPr="005C3B55">
        <w:rPr>
          <w:szCs w:val="24"/>
        </w:rPr>
        <w:t>weeding without the use of herbicides;</w:t>
      </w:r>
    </w:p>
    <w:p w:rsidR="00F555D6" w:rsidRPr="005C3B55" w:rsidRDefault="00F555D6" w:rsidP="00F555D6">
      <w:pPr>
        <w:pStyle w:val="ListParagraph"/>
        <w:numPr>
          <w:ilvl w:val="0"/>
          <w:numId w:val="886"/>
        </w:numPr>
        <w:spacing w:before="0" w:after="200" w:line="276" w:lineRule="auto"/>
        <w:ind w:left="709" w:hanging="283"/>
        <w:jc w:val="left"/>
        <w:rPr>
          <w:szCs w:val="24"/>
        </w:rPr>
      </w:pPr>
      <w:r w:rsidRPr="005C3B55">
        <w:rPr>
          <w:szCs w:val="24"/>
        </w:rPr>
        <w:t>deterring certain pests;</w:t>
      </w:r>
    </w:p>
    <w:p w:rsidR="00F555D6" w:rsidRPr="005C3B55" w:rsidRDefault="00F555D6" w:rsidP="00F555D6">
      <w:pPr>
        <w:pStyle w:val="ListParagraph"/>
        <w:numPr>
          <w:ilvl w:val="0"/>
          <w:numId w:val="886"/>
        </w:numPr>
        <w:spacing w:before="0" w:after="200" w:line="276" w:lineRule="auto"/>
        <w:ind w:left="709" w:hanging="283"/>
        <w:jc w:val="left"/>
        <w:rPr>
          <w:szCs w:val="24"/>
        </w:rPr>
      </w:pPr>
      <w:r w:rsidRPr="005C3B55">
        <w:rPr>
          <w:szCs w:val="24"/>
        </w:rPr>
        <w:t>stimulating favourable organisms in soil;</w:t>
      </w:r>
    </w:p>
    <w:p w:rsidR="00F555D6" w:rsidRPr="005C3B55" w:rsidRDefault="00F555D6" w:rsidP="00F555D6">
      <w:pPr>
        <w:pStyle w:val="ListParagraph"/>
        <w:numPr>
          <w:ilvl w:val="0"/>
          <w:numId w:val="886"/>
        </w:numPr>
        <w:spacing w:before="0" w:after="200" w:line="276" w:lineRule="auto"/>
        <w:ind w:left="709" w:hanging="283"/>
        <w:jc w:val="left"/>
        <w:rPr>
          <w:szCs w:val="24"/>
        </w:rPr>
      </w:pPr>
      <w:r w:rsidRPr="005C3B55">
        <w:rPr>
          <w:szCs w:val="24"/>
        </w:rPr>
        <w:t>retaining moisture in soil;</w:t>
      </w:r>
    </w:p>
    <w:p w:rsidR="00F555D6" w:rsidRPr="005C3B55" w:rsidRDefault="00F555D6" w:rsidP="00F555D6">
      <w:pPr>
        <w:pStyle w:val="ListParagraph"/>
        <w:numPr>
          <w:ilvl w:val="0"/>
          <w:numId w:val="886"/>
        </w:numPr>
        <w:spacing w:before="0" w:after="200" w:line="276" w:lineRule="auto"/>
        <w:ind w:left="709" w:hanging="283"/>
        <w:jc w:val="left"/>
        <w:rPr>
          <w:szCs w:val="24"/>
        </w:rPr>
      </w:pPr>
      <w:r w:rsidRPr="005C3B55">
        <w:rPr>
          <w:szCs w:val="24"/>
        </w:rPr>
        <w:t>protecting plants from extreme temperatures;</w:t>
      </w:r>
    </w:p>
    <w:p w:rsidR="00F555D6" w:rsidRPr="005C3B55" w:rsidRDefault="00F555D6" w:rsidP="00F555D6">
      <w:pPr>
        <w:pStyle w:val="ListParagraph"/>
        <w:numPr>
          <w:ilvl w:val="0"/>
          <w:numId w:val="886"/>
        </w:numPr>
        <w:spacing w:before="0" w:after="200" w:line="276" w:lineRule="auto"/>
        <w:ind w:left="709" w:hanging="283"/>
        <w:jc w:val="left"/>
        <w:rPr>
          <w:szCs w:val="24"/>
        </w:rPr>
      </w:pPr>
      <w:r w:rsidRPr="005C3B55">
        <w:rPr>
          <w:szCs w:val="24"/>
        </w:rPr>
        <w:t>improving soil texture and structure;</w:t>
      </w:r>
    </w:p>
    <w:p w:rsidR="00F555D6" w:rsidRPr="005C3B55" w:rsidRDefault="00F555D6" w:rsidP="00F555D6">
      <w:pPr>
        <w:pStyle w:val="ListParagraph"/>
        <w:numPr>
          <w:ilvl w:val="0"/>
          <w:numId w:val="886"/>
        </w:numPr>
        <w:spacing w:before="0" w:after="200" w:line="276" w:lineRule="auto"/>
        <w:ind w:left="709" w:hanging="283"/>
        <w:jc w:val="left"/>
        <w:rPr>
          <w:szCs w:val="24"/>
        </w:rPr>
      </w:pPr>
      <w:r w:rsidRPr="005C3B55">
        <w:rPr>
          <w:szCs w:val="24"/>
        </w:rPr>
        <w:t>creating a suitable microclimate with mulches which enable the life of favourable organisms</w:t>
      </w:r>
    </w:p>
    <w:p w:rsidR="00F555D6" w:rsidRPr="005C3B55" w:rsidRDefault="00F555D6" w:rsidP="00F555D6">
      <w:pPr>
        <w:spacing w:line="280" w:lineRule="auto"/>
        <w:rPr>
          <w:b/>
          <w:szCs w:val="24"/>
        </w:rPr>
      </w:pPr>
      <w:r w:rsidRPr="005C3B55">
        <w:rPr>
          <w:b/>
          <w:szCs w:val="24"/>
        </w:rPr>
        <w:t>POZ_KONZ: Conservation tillage</w:t>
      </w:r>
    </w:p>
    <w:p w:rsidR="00F555D6" w:rsidRPr="005C3B55" w:rsidRDefault="00F555D6" w:rsidP="00F555D6">
      <w:pPr>
        <w:spacing w:line="280" w:lineRule="auto"/>
        <w:rPr>
          <w:szCs w:val="24"/>
        </w:rPr>
      </w:pPr>
      <w:r w:rsidRPr="005C3B55">
        <w:rPr>
          <w:szCs w:val="24"/>
        </w:rPr>
        <w:t>The requirement refers to minimum tillage with harrows (gruber) and stubble cultivators. The purpose of the requirement is to conserve soil structure, preserve moisture and nutrients, increase microbiological activity in soil and reduce erosion. Conservation tillage reduces the number of working operations and thus direct CO</w:t>
      </w:r>
      <w:r w:rsidRPr="005C3B55">
        <w:rPr>
          <w:szCs w:val="24"/>
          <w:vertAlign w:val="subscript"/>
        </w:rPr>
        <w:t>2</w:t>
      </w:r>
      <w:r w:rsidRPr="005C3B55">
        <w:rPr>
          <w:szCs w:val="24"/>
        </w:rPr>
        <w:t xml:space="preserve"> emissions into air. Furthermore, a greater share of humus in soil, which is the result of such tillage, has a multiple positive effect, as it provides a greater share of water and nutrients in soil, which directly affects soil fertility. </w:t>
      </w:r>
      <w:r w:rsidRPr="005C3B55">
        <w:t>Ploughing is not permitted.</w:t>
      </w:r>
    </w:p>
    <w:p w:rsidR="00F555D6" w:rsidRPr="005C3B55" w:rsidRDefault="00F555D6" w:rsidP="00F555D6">
      <w:pPr>
        <w:spacing w:line="280" w:lineRule="auto"/>
        <w:rPr>
          <w:szCs w:val="24"/>
        </w:rPr>
      </w:pPr>
      <w:r w:rsidRPr="005C3B55">
        <w:rPr>
          <w:szCs w:val="24"/>
        </w:rPr>
        <w:t>The beneficiary must implement the requirement on at least 20 per cent of field surfaces each year.</w:t>
      </w:r>
    </w:p>
    <w:p w:rsidR="00F555D6" w:rsidRPr="005C3B55" w:rsidRDefault="00F555D6" w:rsidP="00F555D6">
      <w:pPr>
        <w:pStyle w:val="ListParagraph"/>
        <w:numPr>
          <w:ilvl w:val="0"/>
          <w:numId w:val="886"/>
        </w:numPr>
        <w:spacing w:before="0" w:after="200" w:line="276" w:lineRule="auto"/>
        <w:ind w:left="709" w:hanging="283"/>
        <w:jc w:val="left"/>
        <w:rPr>
          <w:szCs w:val="24"/>
        </w:rPr>
      </w:pPr>
      <w:r w:rsidRPr="005C3B55">
        <w:rPr>
          <w:szCs w:val="24"/>
        </w:rPr>
        <w:t>Livestock density: not relevant.</w:t>
      </w:r>
    </w:p>
    <w:p w:rsidR="00F555D6" w:rsidRPr="005C3B55" w:rsidRDefault="00F555D6" w:rsidP="00F555D6">
      <w:pPr>
        <w:pStyle w:val="ListParagraph"/>
        <w:numPr>
          <w:ilvl w:val="0"/>
          <w:numId w:val="886"/>
        </w:numPr>
        <w:spacing w:before="0" w:after="200" w:line="276" w:lineRule="auto"/>
        <w:ind w:left="709" w:hanging="283"/>
        <w:jc w:val="left"/>
        <w:rPr>
          <w:szCs w:val="24"/>
        </w:rPr>
      </w:pPr>
      <w:r w:rsidRPr="005C3B55">
        <w:rPr>
          <w:szCs w:val="24"/>
        </w:rPr>
        <w:t>Use: fields.</w:t>
      </w:r>
    </w:p>
    <w:p w:rsidR="00F555D6" w:rsidRPr="005C3B55" w:rsidRDefault="00F555D6" w:rsidP="00F555D6">
      <w:pPr>
        <w:pStyle w:val="ListParagraph"/>
        <w:numPr>
          <w:ilvl w:val="0"/>
          <w:numId w:val="886"/>
        </w:numPr>
        <w:spacing w:before="0" w:after="200" w:line="276" w:lineRule="auto"/>
        <w:ind w:left="709" w:hanging="283"/>
        <w:jc w:val="left"/>
        <w:rPr>
          <w:szCs w:val="24"/>
        </w:rPr>
      </w:pPr>
      <w:r w:rsidRPr="005C3B55">
        <w:rPr>
          <w:szCs w:val="24"/>
        </w:rPr>
        <w:t>Coverage: part of field surfaces (at least 20 per cent).</w:t>
      </w:r>
    </w:p>
    <w:p w:rsidR="00F555D6" w:rsidRPr="005C3B55" w:rsidRDefault="00F555D6" w:rsidP="00F555D6">
      <w:pPr>
        <w:pStyle w:val="ListParagraph"/>
        <w:numPr>
          <w:ilvl w:val="0"/>
          <w:numId w:val="886"/>
        </w:numPr>
        <w:spacing w:before="0" w:after="200" w:line="276" w:lineRule="auto"/>
        <w:ind w:left="709" w:hanging="283"/>
        <w:jc w:val="left"/>
        <w:rPr>
          <w:szCs w:val="24"/>
        </w:rPr>
      </w:pPr>
      <w:r w:rsidRPr="005C3B55">
        <w:rPr>
          <w:szCs w:val="24"/>
        </w:rPr>
        <w:t>Location: not relevant.</w:t>
      </w:r>
    </w:p>
    <w:p w:rsidR="00F555D6" w:rsidRPr="005C3B55" w:rsidRDefault="00F555D6" w:rsidP="00F555D6">
      <w:pPr>
        <w:pStyle w:val="ListParagraph"/>
        <w:numPr>
          <w:ilvl w:val="0"/>
          <w:numId w:val="886"/>
        </w:numPr>
        <w:spacing w:before="0" w:after="200" w:line="276" w:lineRule="auto"/>
        <w:ind w:left="709" w:hanging="283"/>
        <w:jc w:val="left"/>
        <w:rPr>
          <w:szCs w:val="24"/>
        </w:rPr>
      </w:pPr>
      <w:r w:rsidRPr="005C3B55">
        <w:rPr>
          <w:szCs w:val="24"/>
        </w:rPr>
        <w:t>Implementation area: throughout Slovenia.</w:t>
      </w:r>
    </w:p>
    <w:p w:rsidR="00F555D6" w:rsidRPr="005C3B55" w:rsidRDefault="00F555D6" w:rsidP="00F555D6">
      <w:pPr>
        <w:spacing w:line="280" w:lineRule="auto"/>
        <w:rPr>
          <w:szCs w:val="24"/>
        </w:rPr>
      </w:pPr>
      <w:r w:rsidRPr="005C3B55">
        <w:rPr>
          <w:szCs w:val="24"/>
        </w:rPr>
        <w:t>Effects:</w:t>
      </w:r>
    </w:p>
    <w:p w:rsidR="00F555D6" w:rsidRPr="005C3B55" w:rsidRDefault="00F555D6" w:rsidP="00F555D6">
      <w:pPr>
        <w:pStyle w:val="ListParagraph"/>
        <w:numPr>
          <w:ilvl w:val="0"/>
          <w:numId w:val="886"/>
        </w:numPr>
        <w:spacing w:before="0" w:after="200" w:line="276" w:lineRule="auto"/>
        <w:ind w:left="709" w:hanging="283"/>
        <w:jc w:val="left"/>
        <w:rPr>
          <w:szCs w:val="24"/>
        </w:rPr>
      </w:pPr>
      <w:r w:rsidRPr="005C3B55">
        <w:rPr>
          <w:szCs w:val="24"/>
        </w:rPr>
        <w:t>conserving soil structure;</w:t>
      </w:r>
    </w:p>
    <w:p w:rsidR="00F555D6" w:rsidRPr="005C3B55" w:rsidRDefault="00F555D6" w:rsidP="00F555D6">
      <w:pPr>
        <w:pStyle w:val="ListParagraph"/>
        <w:numPr>
          <w:ilvl w:val="0"/>
          <w:numId w:val="886"/>
        </w:numPr>
        <w:spacing w:before="0" w:after="200" w:line="276" w:lineRule="auto"/>
        <w:ind w:left="709" w:hanging="283"/>
        <w:jc w:val="left"/>
        <w:rPr>
          <w:szCs w:val="24"/>
        </w:rPr>
      </w:pPr>
      <w:r w:rsidRPr="005C3B55">
        <w:rPr>
          <w:szCs w:val="24"/>
        </w:rPr>
        <w:t>preserving moisture and nutrients in soil;</w:t>
      </w:r>
    </w:p>
    <w:p w:rsidR="00F555D6" w:rsidRPr="005C3B55" w:rsidRDefault="00F555D6" w:rsidP="00F555D6">
      <w:pPr>
        <w:pStyle w:val="ListParagraph"/>
        <w:numPr>
          <w:ilvl w:val="0"/>
          <w:numId w:val="886"/>
        </w:numPr>
        <w:spacing w:before="0" w:after="200" w:line="276" w:lineRule="auto"/>
        <w:ind w:left="709" w:hanging="283"/>
        <w:jc w:val="left"/>
        <w:rPr>
          <w:szCs w:val="24"/>
        </w:rPr>
      </w:pPr>
      <w:r w:rsidRPr="005C3B55">
        <w:rPr>
          <w:szCs w:val="24"/>
        </w:rPr>
        <w:t>increasing microbiological activity in soil;</w:t>
      </w:r>
    </w:p>
    <w:p w:rsidR="00F555D6" w:rsidRPr="005C3B55" w:rsidRDefault="00F555D6" w:rsidP="00F555D6">
      <w:pPr>
        <w:pStyle w:val="ListParagraph"/>
        <w:numPr>
          <w:ilvl w:val="0"/>
          <w:numId w:val="886"/>
        </w:numPr>
        <w:spacing w:before="0" w:after="200" w:line="276" w:lineRule="auto"/>
        <w:ind w:left="709" w:hanging="283"/>
        <w:jc w:val="left"/>
        <w:rPr>
          <w:szCs w:val="24"/>
        </w:rPr>
      </w:pPr>
      <w:r w:rsidRPr="005C3B55">
        <w:rPr>
          <w:szCs w:val="24"/>
        </w:rPr>
        <w:t>reducing erosion;</w:t>
      </w:r>
    </w:p>
    <w:p w:rsidR="00F555D6" w:rsidRPr="005C3B55" w:rsidRDefault="00F555D6" w:rsidP="00F555D6">
      <w:pPr>
        <w:pStyle w:val="ListParagraph"/>
        <w:numPr>
          <w:ilvl w:val="0"/>
          <w:numId w:val="886"/>
        </w:numPr>
        <w:spacing w:before="0" w:after="200" w:line="276" w:lineRule="auto"/>
        <w:ind w:left="709" w:hanging="283"/>
        <w:jc w:val="left"/>
        <w:rPr>
          <w:szCs w:val="24"/>
        </w:rPr>
      </w:pPr>
      <w:r w:rsidRPr="005C3B55">
        <w:rPr>
          <w:szCs w:val="24"/>
        </w:rPr>
        <w:t>reducing direct CO</w:t>
      </w:r>
      <w:r w:rsidRPr="005C3B55">
        <w:rPr>
          <w:szCs w:val="24"/>
          <w:vertAlign w:val="subscript"/>
        </w:rPr>
        <w:t>2</w:t>
      </w:r>
      <w:r w:rsidRPr="005C3B55">
        <w:rPr>
          <w:szCs w:val="24"/>
        </w:rPr>
        <w:t xml:space="preserve"> emissions into air.</w:t>
      </w:r>
    </w:p>
    <w:p w:rsidR="00F555D6" w:rsidRPr="005C3B55" w:rsidRDefault="00F555D6" w:rsidP="00F555D6">
      <w:pPr>
        <w:spacing w:line="280" w:lineRule="auto"/>
        <w:rPr>
          <w:b/>
          <w:szCs w:val="24"/>
        </w:rPr>
      </w:pPr>
      <w:r w:rsidRPr="005C3B55">
        <w:rPr>
          <w:b/>
          <w:szCs w:val="24"/>
        </w:rPr>
        <w:t>POZ_ZEL: Greening of arable land</w:t>
      </w:r>
    </w:p>
    <w:p w:rsidR="00F555D6" w:rsidRPr="005C3B55" w:rsidRDefault="00F555D6" w:rsidP="00F555D6">
      <w:pPr>
        <w:spacing w:line="280" w:lineRule="auto"/>
        <w:rPr>
          <w:szCs w:val="24"/>
        </w:rPr>
      </w:pPr>
      <w:r w:rsidRPr="005C3B55">
        <w:rPr>
          <w:szCs w:val="24"/>
        </w:rPr>
        <w:t>The purpose of the requirement is to prevent the leaching of nutrients, reduce groundwater pollution, reduce erosion and improve soil fertility.</w:t>
      </w:r>
    </w:p>
    <w:p w:rsidR="00F555D6" w:rsidRPr="005C3B55" w:rsidRDefault="00F555D6" w:rsidP="00F555D6">
      <w:pPr>
        <w:spacing w:line="280" w:lineRule="auto"/>
        <w:rPr>
          <w:szCs w:val="24"/>
        </w:rPr>
      </w:pPr>
      <w:r w:rsidRPr="005C3B55">
        <w:rPr>
          <w:szCs w:val="24"/>
        </w:rPr>
        <w:t>The sowing of overwintering crops (e.g. winter wheat, swede rape and similar) must be implemented by 25 October of the current year. Soil must be covered from 15 November of the current year to at least 15 February of the following year. Tillage of green field surfaces is possible after 15 February of the following year, whereby the use of herbicides is not permitted.</w:t>
      </w:r>
    </w:p>
    <w:p w:rsidR="00F555D6" w:rsidRPr="005C3B55" w:rsidRDefault="00F555D6" w:rsidP="00F555D6">
      <w:pPr>
        <w:spacing w:line="280" w:lineRule="auto"/>
        <w:rPr>
          <w:szCs w:val="24"/>
        </w:rPr>
      </w:pPr>
      <w:r w:rsidRPr="005C3B55">
        <w:rPr>
          <w:szCs w:val="24"/>
        </w:rPr>
        <w:t xml:space="preserve">The requirement is implemented only on field surfaces with an average gradient below 20 per cent. </w:t>
      </w:r>
    </w:p>
    <w:p w:rsidR="00F555D6" w:rsidRPr="005C3B55" w:rsidRDefault="00F555D6" w:rsidP="00F555D6">
      <w:pPr>
        <w:rPr>
          <w:szCs w:val="24"/>
        </w:rPr>
      </w:pPr>
      <w:r w:rsidRPr="005C3B55">
        <w:rPr>
          <w:szCs w:val="24"/>
        </w:rPr>
        <w:t xml:space="preserve">Since the use of herbicides is not permitted, the implementation of the requirement reduces the total use of plant protection products. </w:t>
      </w:r>
    </w:p>
    <w:p w:rsidR="00F555D6" w:rsidRPr="005C3B55" w:rsidRDefault="00F555D6" w:rsidP="00F555D6">
      <w:pPr>
        <w:pStyle w:val="ListParagraph"/>
        <w:numPr>
          <w:ilvl w:val="0"/>
          <w:numId w:val="886"/>
        </w:numPr>
        <w:spacing w:before="0" w:after="200" w:line="276" w:lineRule="auto"/>
        <w:ind w:left="709" w:hanging="283"/>
        <w:jc w:val="left"/>
        <w:rPr>
          <w:szCs w:val="24"/>
        </w:rPr>
      </w:pPr>
      <w:r w:rsidRPr="005C3B55">
        <w:rPr>
          <w:szCs w:val="24"/>
        </w:rPr>
        <w:t>Livestock density: not relevant.</w:t>
      </w:r>
    </w:p>
    <w:p w:rsidR="00F555D6" w:rsidRPr="005C3B55" w:rsidRDefault="00F555D6" w:rsidP="00F555D6">
      <w:pPr>
        <w:pStyle w:val="ListParagraph"/>
        <w:numPr>
          <w:ilvl w:val="0"/>
          <w:numId w:val="886"/>
        </w:numPr>
        <w:spacing w:before="0" w:after="200" w:line="276" w:lineRule="auto"/>
        <w:ind w:left="709" w:hanging="283"/>
        <w:jc w:val="left"/>
        <w:rPr>
          <w:szCs w:val="24"/>
        </w:rPr>
      </w:pPr>
      <w:r w:rsidRPr="005C3B55">
        <w:rPr>
          <w:szCs w:val="24"/>
        </w:rPr>
        <w:t>Use: fields.</w:t>
      </w:r>
    </w:p>
    <w:p w:rsidR="00F555D6" w:rsidRPr="005C3B55" w:rsidRDefault="00F555D6" w:rsidP="00F555D6">
      <w:pPr>
        <w:pStyle w:val="ListParagraph"/>
        <w:numPr>
          <w:ilvl w:val="0"/>
          <w:numId w:val="886"/>
        </w:numPr>
        <w:spacing w:before="0" w:after="200" w:line="276" w:lineRule="auto"/>
        <w:ind w:left="709" w:hanging="283"/>
        <w:jc w:val="left"/>
        <w:rPr>
          <w:szCs w:val="24"/>
        </w:rPr>
      </w:pPr>
      <w:r w:rsidRPr="005C3B55">
        <w:rPr>
          <w:szCs w:val="24"/>
        </w:rPr>
        <w:t>Coverage: part of field surfaces (at least 20 per cent).</w:t>
      </w:r>
    </w:p>
    <w:p w:rsidR="00F555D6" w:rsidRPr="005C3B55" w:rsidRDefault="00F555D6" w:rsidP="00F555D6">
      <w:pPr>
        <w:pStyle w:val="ListParagraph"/>
        <w:numPr>
          <w:ilvl w:val="0"/>
          <w:numId w:val="886"/>
        </w:numPr>
        <w:spacing w:before="0" w:after="200" w:line="276" w:lineRule="auto"/>
        <w:ind w:left="709" w:hanging="283"/>
        <w:jc w:val="left"/>
        <w:rPr>
          <w:szCs w:val="24"/>
        </w:rPr>
      </w:pPr>
      <w:r w:rsidRPr="005C3B55">
        <w:rPr>
          <w:szCs w:val="24"/>
        </w:rPr>
        <w:t>Location: not relevant.</w:t>
      </w:r>
    </w:p>
    <w:p w:rsidR="00F555D6" w:rsidRPr="005C3B55" w:rsidRDefault="00F555D6" w:rsidP="00F555D6">
      <w:pPr>
        <w:pStyle w:val="ListParagraph"/>
        <w:numPr>
          <w:ilvl w:val="0"/>
          <w:numId w:val="886"/>
        </w:numPr>
        <w:spacing w:before="0" w:after="200" w:line="276" w:lineRule="auto"/>
        <w:ind w:left="709" w:hanging="283"/>
        <w:jc w:val="left"/>
        <w:rPr>
          <w:szCs w:val="24"/>
        </w:rPr>
      </w:pPr>
      <w:r w:rsidRPr="005C3B55">
        <w:rPr>
          <w:szCs w:val="24"/>
        </w:rPr>
        <w:t>Implementation area: throughout Slovenia, except the narrowest water protection areas (WPA I)</w:t>
      </w:r>
    </w:p>
    <w:p w:rsidR="00F555D6" w:rsidRPr="005C3B55" w:rsidRDefault="00F555D6" w:rsidP="00F555D6">
      <w:pPr>
        <w:spacing w:line="280" w:lineRule="auto"/>
        <w:rPr>
          <w:szCs w:val="24"/>
        </w:rPr>
      </w:pPr>
      <w:r w:rsidRPr="005C3B55">
        <w:rPr>
          <w:szCs w:val="24"/>
        </w:rPr>
        <w:t>Effects:</w:t>
      </w:r>
    </w:p>
    <w:p w:rsidR="00F555D6" w:rsidRPr="005C3B55" w:rsidRDefault="00F555D6" w:rsidP="00F555D6">
      <w:pPr>
        <w:pStyle w:val="ListParagraph"/>
        <w:numPr>
          <w:ilvl w:val="0"/>
          <w:numId w:val="886"/>
        </w:numPr>
        <w:spacing w:before="0" w:after="200" w:line="276" w:lineRule="auto"/>
        <w:ind w:left="709" w:hanging="283"/>
        <w:jc w:val="left"/>
        <w:rPr>
          <w:szCs w:val="24"/>
        </w:rPr>
      </w:pPr>
      <w:r w:rsidRPr="005C3B55">
        <w:rPr>
          <w:szCs w:val="24"/>
        </w:rPr>
        <w:t>improving soil and water conditions;</w:t>
      </w:r>
    </w:p>
    <w:p w:rsidR="00F555D6" w:rsidRPr="005C3B55" w:rsidRDefault="00F555D6" w:rsidP="00F555D6">
      <w:pPr>
        <w:pStyle w:val="ListParagraph"/>
        <w:numPr>
          <w:ilvl w:val="0"/>
          <w:numId w:val="886"/>
        </w:numPr>
        <w:spacing w:before="0" w:after="200" w:line="276" w:lineRule="auto"/>
        <w:ind w:left="709" w:hanging="283"/>
        <w:jc w:val="left"/>
        <w:rPr>
          <w:szCs w:val="24"/>
        </w:rPr>
      </w:pPr>
      <w:r w:rsidRPr="005C3B55">
        <w:rPr>
          <w:szCs w:val="24"/>
        </w:rPr>
        <w:t>improving soil fertility and structure;</w:t>
      </w:r>
    </w:p>
    <w:p w:rsidR="00F555D6" w:rsidRPr="005C3B55" w:rsidRDefault="00F555D6" w:rsidP="00F555D6">
      <w:pPr>
        <w:pStyle w:val="ListParagraph"/>
        <w:numPr>
          <w:ilvl w:val="0"/>
          <w:numId w:val="886"/>
        </w:numPr>
        <w:spacing w:before="0" w:after="200" w:line="276" w:lineRule="auto"/>
        <w:ind w:left="709" w:hanging="283"/>
        <w:jc w:val="left"/>
        <w:rPr>
          <w:szCs w:val="24"/>
        </w:rPr>
      </w:pPr>
      <w:r w:rsidRPr="005C3B55">
        <w:rPr>
          <w:szCs w:val="24"/>
        </w:rPr>
        <w:t>increasing microbiological activity in soil;</w:t>
      </w:r>
    </w:p>
    <w:p w:rsidR="00F555D6" w:rsidRPr="005C3B55" w:rsidRDefault="00F555D6" w:rsidP="00F555D6">
      <w:pPr>
        <w:pStyle w:val="ListParagraph"/>
        <w:numPr>
          <w:ilvl w:val="0"/>
          <w:numId w:val="886"/>
        </w:numPr>
        <w:spacing w:before="0" w:after="200" w:line="276" w:lineRule="auto"/>
        <w:ind w:left="709" w:hanging="283"/>
        <w:jc w:val="left"/>
        <w:rPr>
          <w:szCs w:val="24"/>
        </w:rPr>
      </w:pPr>
      <w:r w:rsidRPr="005C3B55">
        <w:rPr>
          <w:szCs w:val="24"/>
        </w:rPr>
        <w:t>preventing leaching of nutrients into the subsoil;</w:t>
      </w:r>
    </w:p>
    <w:p w:rsidR="00F555D6" w:rsidRPr="005C3B55" w:rsidRDefault="00F555D6" w:rsidP="00F555D6">
      <w:pPr>
        <w:pStyle w:val="ListParagraph"/>
        <w:numPr>
          <w:ilvl w:val="0"/>
          <w:numId w:val="886"/>
        </w:numPr>
        <w:spacing w:before="0" w:after="200" w:line="276" w:lineRule="auto"/>
        <w:ind w:left="709" w:hanging="283"/>
        <w:jc w:val="left"/>
        <w:rPr>
          <w:szCs w:val="24"/>
        </w:rPr>
      </w:pPr>
      <w:r w:rsidRPr="005C3B55">
        <w:rPr>
          <w:szCs w:val="24"/>
        </w:rPr>
        <w:t>protecting soil from harmful weather impact (soil crusting, loss of moisture, erosion);</w:t>
      </w:r>
    </w:p>
    <w:p w:rsidR="00F555D6" w:rsidRPr="005C3B55" w:rsidRDefault="00F555D6" w:rsidP="00F555D6">
      <w:pPr>
        <w:pStyle w:val="ListParagraph"/>
        <w:numPr>
          <w:ilvl w:val="0"/>
          <w:numId w:val="886"/>
        </w:numPr>
        <w:spacing w:before="0" w:after="200" w:line="276" w:lineRule="auto"/>
        <w:ind w:left="709" w:hanging="283"/>
        <w:jc w:val="left"/>
        <w:rPr>
          <w:szCs w:val="24"/>
        </w:rPr>
      </w:pPr>
      <w:r w:rsidRPr="005C3B55">
        <w:rPr>
          <w:szCs w:val="24"/>
        </w:rPr>
        <w:t>reducing weeds.</w:t>
      </w:r>
    </w:p>
    <w:p w:rsidR="00F555D6" w:rsidRPr="005C3B55" w:rsidRDefault="00F555D6" w:rsidP="00F555D6">
      <w:pPr>
        <w:spacing w:line="280" w:lineRule="auto"/>
        <w:rPr>
          <w:b/>
          <w:szCs w:val="24"/>
        </w:rPr>
      </w:pPr>
      <w:r w:rsidRPr="005C3B55">
        <w:rPr>
          <w:b/>
          <w:szCs w:val="24"/>
        </w:rPr>
        <w:t>POZ_NEP: Non-overwintering crops</w:t>
      </w:r>
    </w:p>
    <w:p w:rsidR="00F555D6" w:rsidRPr="005C3B55" w:rsidRDefault="00F555D6" w:rsidP="00F555D6">
      <w:pPr>
        <w:rPr>
          <w:szCs w:val="24"/>
        </w:rPr>
      </w:pPr>
      <w:r w:rsidRPr="005C3B55">
        <w:rPr>
          <w:szCs w:val="24"/>
        </w:rPr>
        <w:t>The purpose of the requirement is to prevent the leaching of nutrients, reduce groundwater pollution and erosion, improve soil fertility and extend the pasturing season for bees into late autumn, and reduce the need to feed bees with sugar, increase resilience and improve the wintering of bee colonies.</w:t>
      </w:r>
    </w:p>
    <w:p w:rsidR="00F555D6" w:rsidRPr="005C3B55" w:rsidRDefault="00F555D6" w:rsidP="00F555D6">
      <w:pPr>
        <w:spacing w:line="280" w:lineRule="auto"/>
        <w:rPr>
          <w:szCs w:val="24"/>
        </w:rPr>
      </w:pPr>
      <w:r w:rsidRPr="005C3B55">
        <w:rPr>
          <w:szCs w:val="24"/>
        </w:rPr>
        <w:t>The sowing of non-overwintering crops must be implemented at least by 1 September of the current year; ground cover from 15 August of the current year and at least by 16 October of the current year; land treatment is possible after 16 October of the current year, whereby the use of herbicides is not permitted. During the implementation of the requirement, the use of herbicides is not permitted. During the implementation of the requirement, the use of mineral nitrogen fertilisers is not permitted.</w:t>
      </w:r>
    </w:p>
    <w:p w:rsidR="00F555D6" w:rsidRPr="005C3B55" w:rsidRDefault="00F555D6" w:rsidP="00F555D6">
      <w:pPr>
        <w:spacing w:line="280" w:lineRule="auto"/>
        <w:rPr>
          <w:szCs w:val="24"/>
        </w:rPr>
      </w:pPr>
      <w:r w:rsidRPr="005C3B55">
        <w:rPr>
          <w:szCs w:val="24"/>
        </w:rPr>
        <w:t>The main task of crops sown after the harvesting of the main crops is to utilise the remainder of the vegetation period and habitats as much as possible. Due to this, their development must be quick and plants must be able to endure unfavourable vegetation conditions (drought and high temperatures) well.</w:t>
      </w:r>
    </w:p>
    <w:p w:rsidR="00F555D6" w:rsidRPr="005C3B55" w:rsidRDefault="00F555D6" w:rsidP="00F555D6">
      <w:pPr>
        <w:spacing w:line="280" w:lineRule="auto"/>
        <w:rPr>
          <w:szCs w:val="24"/>
        </w:rPr>
      </w:pPr>
      <w:r w:rsidRPr="005C3B55">
        <w:rPr>
          <w:szCs w:val="24"/>
        </w:rPr>
        <w:t>The sowing of non-overwintering flowering honey crops after the harvesting of cereals, oilseed rape and other crops contributes to the conservation of bee colonies and to the reduction of the population of soil pests.</w:t>
      </w:r>
    </w:p>
    <w:p w:rsidR="00F555D6" w:rsidRPr="005C3B55" w:rsidRDefault="00F555D6" w:rsidP="00F555D6">
      <w:pPr>
        <w:spacing w:line="280" w:lineRule="auto"/>
        <w:rPr>
          <w:szCs w:val="24"/>
        </w:rPr>
      </w:pPr>
      <w:r w:rsidRPr="005C3B55">
        <w:rPr>
          <w:szCs w:val="24"/>
        </w:rPr>
        <w:t>The sowing of non-overwintering crops in Slovenian soil and climate conditions is necessary from the environmental aspect (prevention of erosion and leaching of nutrients) to preserve soil fertility (organic matter, structure, soil and weather) landscape and biodiversity (mosaic structure of the landscape, diversity of species, bee pasture).</w:t>
      </w:r>
    </w:p>
    <w:p w:rsidR="00F555D6" w:rsidRPr="005C3B55" w:rsidRDefault="00F555D6" w:rsidP="00F555D6">
      <w:pPr>
        <w:pStyle w:val="ListParagraph"/>
        <w:numPr>
          <w:ilvl w:val="0"/>
          <w:numId w:val="886"/>
        </w:numPr>
        <w:spacing w:before="0" w:after="200" w:line="276" w:lineRule="auto"/>
        <w:ind w:left="709" w:hanging="283"/>
        <w:jc w:val="left"/>
        <w:rPr>
          <w:szCs w:val="24"/>
        </w:rPr>
      </w:pPr>
      <w:r w:rsidRPr="005C3B55">
        <w:rPr>
          <w:szCs w:val="24"/>
        </w:rPr>
        <w:t>Livestock density: not relevant.</w:t>
      </w:r>
    </w:p>
    <w:p w:rsidR="00F555D6" w:rsidRPr="005C3B55" w:rsidRDefault="00F555D6" w:rsidP="00F555D6">
      <w:pPr>
        <w:pStyle w:val="ListParagraph"/>
        <w:numPr>
          <w:ilvl w:val="0"/>
          <w:numId w:val="886"/>
        </w:numPr>
        <w:spacing w:before="0" w:after="200" w:line="276" w:lineRule="auto"/>
        <w:ind w:left="709" w:hanging="283"/>
        <w:jc w:val="left"/>
        <w:rPr>
          <w:szCs w:val="24"/>
        </w:rPr>
      </w:pPr>
      <w:r w:rsidRPr="005C3B55">
        <w:rPr>
          <w:szCs w:val="24"/>
        </w:rPr>
        <w:t>Use: fields.</w:t>
      </w:r>
    </w:p>
    <w:p w:rsidR="00F555D6" w:rsidRPr="005C3B55" w:rsidRDefault="00F555D6" w:rsidP="00F555D6">
      <w:pPr>
        <w:pStyle w:val="ListParagraph"/>
        <w:numPr>
          <w:ilvl w:val="0"/>
          <w:numId w:val="886"/>
        </w:numPr>
        <w:spacing w:before="0" w:after="200" w:line="276" w:lineRule="auto"/>
        <w:ind w:left="709" w:hanging="283"/>
        <w:jc w:val="left"/>
        <w:rPr>
          <w:szCs w:val="24"/>
        </w:rPr>
      </w:pPr>
      <w:r w:rsidRPr="005C3B55">
        <w:rPr>
          <w:szCs w:val="24"/>
        </w:rPr>
        <w:t>Coverage: part of field surfaces (at least 20 per cent).</w:t>
      </w:r>
    </w:p>
    <w:p w:rsidR="00F555D6" w:rsidRPr="005C3B55" w:rsidRDefault="00F555D6" w:rsidP="00F555D6">
      <w:pPr>
        <w:pStyle w:val="ListParagraph"/>
        <w:numPr>
          <w:ilvl w:val="0"/>
          <w:numId w:val="886"/>
        </w:numPr>
        <w:spacing w:before="0" w:after="200" w:line="276" w:lineRule="auto"/>
        <w:ind w:left="709" w:hanging="283"/>
        <w:jc w:val="left"/>
        <w:rPr>
          <w:szCs w:val="24"/>
        </w:rPr>
      </w:pPr>
      <w:r w:rsidRPr="005C3B55">
        <w:rPr>
          <w:szCs w:val="24"/>
        </w:rPr>
        <w:t>Location: not relevant.</w:t>
      </w:r>
    </w:p>
    <w:p w:rsidR="00F555D6" w:rsidRPr="005C3B55" w:rsidRDefault="00F555D6" w:rsidP="00F555D6">
      <w:pPr>
        <w:pStyle w:val="ListParagraph"/>
        <w:numPr>
          <w:ilvl w:val="0"/>
          <w:numId w:val="886"/>
        </w:numPr>
        <w:spacing w:before="0" w:after="200" w:line="276" w:lineRule="auto"/>
        <w:ind w:left="709" w:hanging="283"/>
        <w:jc w:val="left"/>
        <w:rPr>
          <w:szCs w:val="24"/>
        </w:rPr>
      </w:pPr>
      <w:r w:rsidRPr="005C3B55">
        <w:rPr>
          <w:szCs w:val="24"/>
        </w:rPr>
        <w:t>Implementation area: throughout Slovenia, except the narrowest water protection areas (WPA I)</w:t>
      </w:r>
    </w:p>
    <w:p w:rsidR="00F555D6" w:rsidRPr="005C3B55" w:rsidRDefault="00F555D6" w:rsidP="00F555D6">
      <w:pPr>
        <w:spacing w:line="280" w:lineRule="auto"/>
        <w:rPr>
          <w:szCs w:val="24"/>
        </w:rPr>
      </w:pPr>
      <w:r w:rsidRPr="005C3B55">
        <w:rPr>
          <w:szCs w:val="24"/>
        </w:rPr>
        <w:t>Effects:</w:t>
      </w:r>
    </w:p>
    <w:p w:rsidR="00F555D6" w:rsidRPr="005C3B55" w:rsidRDefault="00F555D6" w:rsidP="00F555D6">
      <w:pPr>
        <w:pStyle w:val="ListParagraph"/>
        <w:numPr>
          <w:ilvl w:val="0"/>
          <w:numId w:val="886"/>
        </w:numPr>
        <w:spacing w:before="0" w:after="200" w:line="276" w:lineRule="auto"/>
        <w:ind w:left="709" w:hanging="283"/>
        <w:jc w:val="left"/>
        <w:rPr>
          <w:szCs w:val="24"/>
        </w:rPr>
      </w:pPr>
      <w:r w:rsidRPr="005C3B55">
        <w:rPr>
          <w:szCs w:val="24"/>
        </w:rPr>
        <w:t>improving soil and water conditions;</w:t>
      </w:r>
    </w:p>
    <w:p w:rsidR="00F555D6" w:rsidRPr="005C3B55" w:rsidRDefault="00F555D6" w:rsidP="00F555D6">
      <w:pPr>
        <w:pStyle w:val="ListParagraph"/>
        <w:numPr>
          <w:ilvl w:val="0"/>
          <w:numId w:val="886"/>
        </w:numPr>
        <w:spacing w:before="0" w:after="200" w:line="276" w:lineRule="auto"/>
        <w:ind w:left="709" w:hanging="283"/>
        <w:jc w:val="left"/>
        <w:rPr>
          <w:szCs w:val="24"/>
        </w:rPr>
      </w:pPr>
      <w:r w:rsidRPr="005C3B55">
        <w:rPr>
          <w:szCs w:val="24"/>
        </w:rPr>
        <w:t>preventing leaching of nutrients into the subsoil;</w:t>
      </w:r>
    </w:p>
    <w:p w:rsidR="00F555D6" w:rsidRPr="005C3B55" w:rsidRDefault="00F555D6" w:rsidP="00F555D6">
      <w:pPr>
        <w:pStyle w:val="ListParagraph"/>
        <w:numPr>
          <w:ilvl w:val="0"/>
          <w:numId w:val="886"/>
        </w:numPr>
        <w:spacing w:before="0" w:after="200" w:line="276" w:lineRule="auto"/>
        <w:ind w:left="709" w:hanging="283"/>
        <w:jc w:val="left"/>
        <w:rPr>
          <w:szCs w:val="24"/>
        </w:rPr>
      </w:pPr>
      <w:r w:rsidRPr="005C3B55">
        <w:rPr>
          <w:szCs w:val="24"/>
        </w:rPr>
        <w:t>improving soil fertility and structure;</w:t>
      </w:r>
    </w:p>
    <w:p w:rsidR="00F555D6" w:rsidRPr="005C3B55" w:rsidRDefault="00F555D6" w:rsidP="00F555D6">
      <w:pPr>
        <w:pStyle w:val="ListParagraph"/>
        <w:numPr>
          <w:ilvl w:val="0"/>
          <w:numId w:val="886"/>
        </w:numPr>
        <w:spacing w:before="0" w:after="200" w:line="276" w:lineRule="auto"/>
        <w:ind w:left="709" w:hanging="283"/>
        <w:jc w:val="left"/>
        <w:rPr>
          <w:szCs w:val="24"/>
        </w:rPr>
      </w:pPr>
      <w:r w:rsidRPr="005C3B55">
        <w:rPr>
          <w:szCs w:val="24"/>
        </w:rPr>
        <w:t>ensuring natural pasture for bees;</w:t>
      </w:r>
    </w:p>
    <w:p w:rsidR="00F555D6" w:rsidRPr="005C3B55" w:rsidRDefault="00F555D6" w:rsidP="00F555D6">
      <w:pPr>
        <w:pStyle w:val="ListParagraph"/>
        <w:numPr>
          <w:ilvl w:val="0"/>
          <w:numId w:val="886"/>
        </w:numPr>
        <w:spacing w:before="0" w:after="200" w:line="276" w:lineRule="auto"/>
        <w:ind w:left="709" w:hanging="283"/>
        <w:jc w:val="left"/>
        <w:rPr>
          <w:szCs w:val="24"/>
        </w:rPr>
      </w:pPr>
      <w:r w:rsidRPr="005C3B55">
        <w:rPr>
          <w:szCs w:val="24"/>
        </w:rPr>
        <w:t>increasing the amount of humus in soil;</w:t>
      </w:r>
    </w:p>
    <w:p w:rsidR="00F555D6" w:rsidRPr="005C3B55" w:rsidRDefault="00F555D6" w:rsidP="00F555D6">
      <w:pPr>
        <w:pStyle w:val="ListParagraph"/>
        <w:numPr>
          <w:ilvl w:val="0"/>
          <w:numId w:val="886"/>
        </w:numPr>
        <w:spacing w:before="0" w:after="200" w:line="276" w:lineRule="auto"/>
        <w:ind w:left="709" w:hanging="283"/>
        <w:jc w:val="left"/>
        <w:rPr>
          <w:szCs w:val="24"/>
        </w:rPr>
      </w:pPr>
      <w:r w:rsidRPr="005C3B55">
        <w:rPr>
          <w:szCs w:val="24"/>
        </w:rPr>
        <w:t>increasing microbiological activity in soil;</w:t>
      </w:r>
    </w:p>
    <w:p w:rsidR="00F555D6" w:rsidRPr="005C3B55" w:rsidRDefault="00F555D6" w:rsidP="00F555D6">
      <w:pPr>
        <w:pStyle w:val="ListParagraph"/>
        <w:numPr>
          <w:ilvl w:val="0"/>
          <w:numId w:val="886"/>
        </w:numPr>
        <w:spacing w:before="0" w:after="200" w:line="276" w:lineRule="auto"/>
        <w:ind w:left="709" w:hanging="283"/>
        <w:jc w:val="left"/>
        <w:rPr>
          <w:szCs w:val="24"/>
        </w:rPr>
      </w:pPr>
      <w:r w:rsidRPr="005C3B55">
        <w:rPr>
          <w:szCs w:val="24"/>
        </w:rPr>
        <w:t>reducing soil erosion;</w:t>
      </w:r>
    </w:p>
    <w:p w:rsidR="00F555D6" w:rsidRPr="005C3B55" w:rsidRDefault="00F555D6" w:rsidP="00F555D6">
      <w:pPr>
        <w:pStyle w:val="ListParagraph"/>
        <w:numPr>
          <w:ilvl w:val="0"/>
          <w:numId w:val="886"/>
        </w:numPr>
        <w:spacing w:before="0" w:after="200" w:line="276" w:lineRule="auto"/>
        <w:ind w:left="709" w:hanging="283"/>
        <w:jc w:val="left"/>
        <w:rPr>
          <w:szCs w:val="24"/>
        </w:rPr>
      </w:pPr>
      <w:r w:rsidRPr="005C3B55">
        <w:rPr>
          <w:szCs w:val="24"/>
        </w:rPr>
        <w:t>reducing diseases, pests and weeds;</w:t>
      </w:r>
    </w:p>
    <w:p w:rsidR="00F555D6" w:rsidRPr="005C3B55" w:rsidRDefault="00F555D6" w:rsidP="00F555D6">
      <w:pPr>
        <w:pStyle w:val="ListParagraph"/>
        <w:numPr>
          <w:ilvl w:val="0"/>
          <w:numId w:val="886"/>
        </w:numPr>
        <w:spacing w:before="0" w:after="200" w:line="276" w:lineRule="auto"/>
        <w:ind w:left="709" w:hanging="283"/>
        <w:jc w:val="left"/>
        <w:rPr>
          <w:szCs w:val="24"/>
        </w:rPr>
      </w:pPr>
      <w:r w:rsidRPr="005C3B55">
        <w:rPr>
          <w:szCs w:val="24"/>
        </w:rPr>
        <w:t>increasing biodiversity.</w:t>
      </w:r>
    </w:p>
    <w:p w:rsidR="00F555D6" w:rsidRPr="005C3B55" w:rsidRDefault="00F555D6" w:rsidP="00F555D6">
      <w:pPr>
        <w:pStyle w:val="Naslov6"/>
        <w:numPr>
          <w:ilvl w:val="0"/>
          <w:numId w:val="0"/>
        </w:numPr>
        <w:rPr>
          <w:rFonts w:ascii="Times New Roman" w:hAnsi="Times New Roman"/>
          <w:sz w:val="24"/>
          <w:szCs w:val="24"/>
          <w:lang w:val="en-GB"/>
        </w:rPr>
      </w:pPr>
      <w:r w:rsidRPr="005C3B55">
        <w:rPr>
          <w:rFonts w:ascii="Times New Roman" w:hAnsi="Times New Roman"/>
          <w:sz w:val="24"/>
          <w:szCs w:val="24"/>
          <w:lang w:val="en-GB"/>
        </w:rPr>
        <w:t>Honey crops suitable for non-overwintering greening are: buckwheat, Egyptian clover, white mustard, phacelia, birdsfoot, flax, common vetch, rape, oilseed rape, Persian clover, Indian mustard, sunflower.</w:t>
      </w:r>
    </w:p>
    <w:p w:rsidR="00F555D6" w:rsidRPr="005C3B55" w:rsidRDefault="00F555D6" w:rsidP="00F555D6"/>
    <w:p w:rsidR="00F555D6" w:rsidRPr="005C3B55" w:rsidRDefault="00F555D6" w:rsidP="00F555D6">
      <w:pPr>
        <w:pStyle w:val="Naslov6"/>
        <w:tabs>
          <w:tab w:val="clear" w:pos="765"/>
        </w:tabs>
        <w:ind w:left="0" w:firstLine="0"/>
        <w:rPr>
          <w:szCs w:val="24"/>
          <w:lang w:val="en-GB"/>
        </w:rPr>
      </w:pPr>
      <w:r w:rsidRPr="005C3B55">
        <w:rPr>
          <w:noProof w:val="0"/>
          <w:szCs w:val="24"/>
          <w:lang w:val="en-GB"/>
        </w:rPr>
        <w:t>Type of support</w:t>
      </w:r>
    </w:p>
    <w:p w:rsidR="00F555D6" w:rsidRPr="005C3B55" w:rsidRDefault="00F555D6" w:rsidP="00F555D6">
      <w:pPr>
        <w:pStyle w:val="Naslov6"/>
        <w:tabs>
          <w:tab w:val="clear" w:pos="765"/>
        </w:tabs>
        <w:spacing w:before="0" w:after="0"/>
        <w:ind w:left="0" w:firstLine="0"/>
        <w:rPr>
          <w:szCs w:val="24"/>
          <w:lang w:val="en-GB"/>
        </w:rPr>
      </w:pP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Support for the implementation of the operation Arable farming and vegetable cultivation includes:</w:t>
            </w:r>
          </w:p>
          <w:p w:rsidR="00F555D6" w:rsidRPr="005C3B55" w:rsidRDefault="00F555D6" w:rsidP="00F555D6">
            <w:pPr>
              <w:numPr>
                <w:ilvl w:val="0"/>
                <w:numId w:val="279"/>
              </w:numPr>
              <w:spacing w:before="240" w:after="240"/>
              <w:ind w:hanging="290"/>
              <w:jc w:val="left"/>
              <w:rPr>
                <w:szCs w:val="24"/>
              </w:rPr>
            </w:pPr>
            <w:r w:rsidRPr="005C3B55">
              <w:rPr>
                <w:szCs w:val="24"/>
              </w:rPr>
              <w:t>payments per hectare for the implementation of mandatory requirements and/or at least one optional requirement of the beneficiary’s own choice.</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Connection with other legislation</w:t>
      </w:r>
    </w:p>
    <w:p w:rsidR="00F555D6" w:rsidRPr="005C3B55" w:rsidRDefault="00F555D6" w:rsidP="00F555D6">
      <w:pPr>
        <w:pStyle w:val="Naslov6"/>
        <w:tabs>
          <w:tab w:val="clear" w:pos="765"/>
        </w:tabs>
        <w:spacing w:before="0" w:after="0"/>
        <w:ind w:left="0" w:firstLine="0"/>
        <w:rPr>
          <w:szCs w:val="24"/>
          <w:lang w:val="en-GB"/>
        </w:rPr>
      </w:pP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The operation Arable farming and vegetable cultivation is connected with national and EU regulations in the field of measures of agricultural policy, agriculture, the environment, nature protection and rural development.</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Beneficiaries</w:t>
      </w:r>
    </w:p>
    <w:p w:rsidR="00F555D6" w:rsidRPr="005C3B55" w:rsidRDefault="00F555D6" w:rsidP="00F555D6">
      <w:pPr>
        <w:pStyle w:val="Naslov6"/>
        <w:tabs>
          <w:tab w:val="clear" w:pos="765"/>
        </w:tabs>
        <w:spacing w:before="0" w:after="0"/>
        <w:ind w:left="0" w:firstLine="0"/>
        <w:rPr>
          <w:szCs w:val="24"/>
          <w:lang w:val="en-GB"/>
        </w:rPr>
      </w:pP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Beneficiaries for payments are agricultural holdings which participate voluntarily in the implementation of the operation Arable farming and vegetable cultivation and meet the prescribed conditions and requirements.</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Eligible costs</w:t>
      </w:r>
    </w:p>
    <w:p w:rsidR="00F555D6" w:rsidRPr="005C3B55" w:rsidRDefault="00F555D6" w:rsidP="00F555D6">
      <w:pPr>
        <w:pStyle w:val="Naslov6"/>
        <w:tabs>
          <w:tab w:val="clear" w:pos="765"/>
        </w:tabs>
        <w:spacing w:before="0" w:after="0"/>
        <w:ind w:left="0" w:firstLine="0"/>
        <w:rPr>
          <w:szCs w:val="24"/>
          <w:lang w:val="en-GB"/>
        </w:rPr>
      </w:pP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Payments are only intended for those commitments within the operation Arable farming and vegetable cultivation which exceed suitable mandatory standards determined in accordance with Chapter I, Title VI of Regulation (EU) No 1306/2013, suitable criteria determined in the second indent of item c) of the first paragraph of Article 4 of Regulation (EU) No 1307/2013, and other suitable mandatory requirements from national regulations.</w:t>
            </w:r>
          </w:p>
          <w:p w:rsidR="00F555D6" w:rsidRPr="005C3B55" w:rsidRDefault="00F555D6" w:rsidP="00F555D6">
            <w:pPr>
              <w:spacing w:before="240" w:after="240" w:line="280" w:lineRule="auto"/>
              <w:rPr>
                <w:szCs w:val="24"/>
              </w:rPr>
            </w:pPr>
            <w:r w:rsidRPr="005C3B55">
              <w:rPr>
                <w:szCs w:val="24"/>
              </w:rPr>
              <w:t>The calculation for the requirement ‘POZ_NMIN: Nmin analysis’ observes transaction costs in the amount of 10 % of the actual costs of material, services and work.  Transaction costs include the costs of small equipment, post, keeping of special records and work involved in the submission of a sample.</w:t>
            </w:r>
          </w:p>
          <w:p w:rsidR="00F555D6" w:rsidRPr="005C3B55" w:rsidRDefault="00F555D6" w:rsidP="00F555D6">
            <w:pPr>
              <w:spacing w:before="240" w:after="240" w:line="280" w:lineRule="auto"/>
              <w:rPr>
                <w:szCs w:val="24"/>
              </w:rPr>
            </w:pPr>
            <w:r w:rsidRPr="005C3B55">
              <w:rPr>
                <w:szCs w:val="24"/>
              </w:rPr>
              <w:t>Payments cover 60 per cent of the additional costs and the loss of revenue due to the assumed commitment.</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Conditions for eligibility</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When entering the M10 measure, an agricultural holding must:</w:t>
            </w:r>
          </w:p>
          <w:p w:rsidR="00F555D6" w:rsidRPr="005C3B55" w:rsidRDefault="00F555D6" w:rsidP="00F555D6">
            <w:pPr>
              <w:numPr>
                <w:ilvl w:val="0"/>
                <w:numId w:val="280"/>
              </w:numPr>
              <w:spacing w:before="240" w:after="0"/>
              <w:ind w:hanging="290"/>
              <w:jc w:val="left"/>
              <w:rPr>
                <w:szCs w:val="24"/>
              </w:rPr>
            </w:pPr>
            <w:r w:rsidRPr="005C3B55">
              <w:rPr>
                <w:szCs w:val="24"/>
              </w:rPr>
              <w:t>have at least 1 ha of agricultural land in use as per Article 4 of Regulation (EU) No 1307/2013;</w:t>
            </w:r>
          </w:p>
          <w:p w:rsidR="00F555D6" w:rsidRPr="005C3B55" w:rsidRDefault="00F555D6" w:rsidP="00F555D6">
            <w:pPr>
              <w:numPr>
                <w:ilvl w:val="0"/>
                <w:numId w:val="280"/>
              </w:numPr>
              <w:spacing w:before="0" w:after="0"/>
              <w:ind w:hanging="290"/>
              <w:jc w:val="left"/>
              <w:rPr>
                <w:szCs w:val="24"/>
              </w:rPr>
            </w:pPr>
            <w:r w:rsidRPr="005C3B55">
              <w:rPr>
                <w:szCs w:val="24"/>
              </w:rPr>
              <w:t>be entered in the register of agricultural holdings in accordance with the regulation on the register of agricultural holdings;</w:t>
            </w:r>
          </w:p>
          <w:p w:rsidR="00F555D6" w:rsidRPr="005C3B55" w:rsidRDefault="00F555D6" w:rsidP="00F555D6">
            <w:pPr>
              <w:numPr>
                <w:ilvl w:val="0"/>
                <w:numId w:val="280"/>
              </w:numPr>
              <w:spacing w:before="0" w:after="0"/>
              <w:ind w:hanging="290"/>
              <w:jc w:val="left"/>
              <w:rPr>
                <w:szCs w:val="24"/>
              </w:rPr>
            </w:pPr>
            <w:r w:rsidRPr="005C3B55">
              <w:rPr>
                <w:szCs w:val="24"/>
              </w:rPr>
              <w:t>undergo a six-hour training programme on agri-environment-climate content;</w:t>
            </w:r>
          </w:p>
          <w:p w:rsidR="00F555D6" w:rsidRPr="005C3B55" w:rsidRDefault="00F555D6" w:rsidP="00F555D6">
            <w:pPr>
              <w:numPr>
                <w:ilvl w:val="0"/>
                <w:numId w:val="280"/>
              </w:numPr>
              <w:spacing w:before="0" w:after="240"/>
              <w:ind w:hanging="290"/>
              <w:jc w:val="left"/>
              <w:rPr>
                <w:szCs w:val="24"/>
              </w:rPr>
            </w:pPr>
            <w:r w:rsidRPr="005C3B55">
              <w:rPr>
                <w:szCs w:val="24"/>
              </w:rPr>
              <w:t>prepare an activities programme of the agricultural holding which is an electronic document prepared as a result of advisory services.</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Principles regarding the determination of selection criteria</w:t>
      </w:r>
    </w:p>
    <w:p w:rsidR="00F555D6" w:rsidRPr="005C3B55" w:rsidRDefault="00F555D6" w:rsidP="00F555D6">
      <w:pPr>
        <w:pStyle w:val="Naslov6"/>
        <w:tabs>
          <w:tab w:val="clear" w:pos="765"/>
        </w:tabs>
        <w:spacing w:before="0" w:after="0"/>
        <w:ind w:left="0" w:firstLine="0"/>
        <w:rPr>
          <w:szCs w:val="24"/>
          <w:lang w:val="en-GB"/>
        </w:rPr>
      </w:pP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The selection criteria are not relevant.</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(Valid) amounts and support rates</w:t>
      </w:r>
    </w:p>
    <w:p w:rsidR="00F555D6" w:rsidRPr="005C3B55" w:rsidRDefault="00F555D6" w:rsidP="00F555D6">
      <w:pPr>
        <w:pStyle w:val="Naslov6"/>
        <w:tabs>
          <w:tab w:val="clear" w:pos="765"/>
        </w:tabs>
        <w:spacing w:before="0" w:after="0"/>
        <w:ind w:left="0" w:firstLine="0"/>
        <w:rPr>
          <w:szCs w:val="24"/>
          <w:lang w:val="en-GB"/>
        </w:rPr>
      </w:pP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The amount of payments for requirements within the operation Arable farming and vegetable cultivation amounts to 60 per cent of the amount of payments calculated as per the model calculation.</w:t>
            </w:r>
          </w:p>
          <w:p w:rsidR="00F555D6" w:rsidRPr="005C3B55" w:rsidRDefault="00F555D6" w:rsidP="00F555D6">
            <w:pPr>
              <w:pStyle w:val="Telobesedila"/>
              <w:rPr>
                <w:szCs w:val="24"/>
              </w:rPr>
            </w:pPr>
          </w:p>
          <w:p w:rsidR="00F555D6" w:rsidRPr="005C3B55" w:rsidRDefault="0012246E" w:rsidP="00F555D6">
            <w:pPr>
              <w:pStyle w:val="Telobesedila3"/>
              <w:jc w:val="left"/>
              <w:rPr>
                <w:szCs w:val="24"/>
              </w:rPr>
            </w:pPr>
            <w:r w:rsidRPr="005C3B55">
              <w:rPr>
                <w:noProof/>
                <w:szCs w:val="24"/>
                <w:lang w:val="sl-SI"/>
              </w:rPr>
              <w:drawing>
                <wp:inline distT="0" distB="0" distL="0" distR="0">
                  <wp:extent cx="6562725" cy="4105275"/>
                  <wp:effectExtent l="0" t="0" r="9525" b="9525"/>
                  <wp:docPr id="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562725" cy="4105275"/>
                          </a:xfrm>
                          <a:prstGeom prst="rect">
                            <a:avLst/>
                          </a:prstGeom>
                          <a:noFill/>
                          <a:ln>
                            <a:noFill/>
                          </a:ln>
                        </pic:spPr>
                      </pic:pic>
                    </a:graphicData>
                  </a:graphic>
                </wp:inline>
              </w:drawing>
            </w:r>
          </w:p>
          <w:p w:rsidR="00F555D6" w:rsidRPr="005C3B55" w:rsidRDefault="00F555D6" w:rsidP="00F555D6">
            <w:pPr>
              <w:pStyle w:val="Noga"/>
              <w:jc w:val="center"/>
              <w:rPr>
                <w:szCs w:val="24"/>
              </w:rPr>
            </w:pPr>
            <w:r w:rsidRPr="005C3B55">
              <w:rPr>
                <w:szCs w:val="24"/>
              </w:rPr>
              <w:t>Arable farming and vegetable cultivation: amount of payments for individual requirements</w:t>
            </w:r>
          </w:p>
          <w:p w:rsidR="00F555D6" w:rsidRPr="005C3B55" w:rsidRDefault="00F555D6" w:rsidP="00F555D6">
            <w:pPr>
              <w:pStyle w:val="Noga"/>
              <w:jc w:val="center"/>
              <w:rPr>
                <w:szCs w:val="24"/>
              </w:rPr>
            </w:pPr>
          </w:p>
        </w:tc>
      </w:tr>
    </w:tbl>
    <w:p w:rsidR="00F555D6" w:rsidRPr="005C3B55" w:rsidRDefault="00F555D6" w:rsidP="00F555D6">
      <w:r w:rsidRPr="005C3B55">
        <w:t>Amount of payments (EUR/ha annually) for the requirements within the operation ‘Arable farming and vegetable cultivation’</w:t>
      </w:r>
    </w:p>
    <w:tbl>
      <w:tblPr>
        <w:tblW w:w="5000" w:type="pct"/>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2132"/>
        <w:gridCol w:w="2131"/>
        <w:gridCol w:w="2329"/>
        <w:gridCol w:w="1933"/>
        <w:gridCol w:w="2131"/>
      </w:tblGrid>
      <w:tr w:rsidR="00F555D6" w:rsidRPr="005C3B55">
        <w:tc>
          <w:tcPr>
            <w:tcW w:w="1000" w:type="pct"/>
            <w:tcBorders>
              <w:top w:val="single" w:sz="18" w:space="0" w:color="auto"/>
              <w:left w:val="single" w:sz="18" w:space="0" w:color="auto"/>
              <w:bottom w:val="single" w:sz="18" w:space="0" w:color="auto"/>
              <w:right w:val="single" w:sz="18" w:space="0" w:color="auto"/>
            </w:tcBorders>
            <w:shd w:val="clear" w:color="auto" w:fill="D9D9D9"/>
            <w:vAlign w:val="center"/>
          </w:tcPr>
          <w:p w:rsidR="00F555D6" w:rsidRPr="005C3B55" w:rsidRDefault="00F555D6" w:rsidP="00F555D6">
            <w:r w:rsidRPr="005C3B55">
              <w:rPr>
                <w:b/>
                <w:sz w:val="20"/>
              </w:rPr>
              <w:t>Requirement</w:t>
            </w:r>
          </w:p>
        </w:tc>
        <w:tc>
          <w:tcPr>
            <w:tcW w:w="1000" w:type="pct"/>
            <w:tcBorders>
              <w:top w:val="single" w:sz="18" w:space="0" w:color="auto"/>
              <w:left w:val="single" w:sz="18" w:space="0" w:color="auto"/>
              <w:bottom w:val="single" w:sz="18" w:space="0" w:color="auto"/>
              <w:right w:val="single" w:sz="18" w:space="0" w:color="auto"/>
            </w:tcBorders>
            <w:shd w:val="clear" w:color="auto" w:fill="D9D9D9"/>
            <w:vAlign w:val="center"/>
          </w:tcPr>
          <w:p w:rsidR="00F555D6" w:rsidRPr="005C3B55" w:rsidRDefault="00F555D6" w:rsidP="00F555D6">
            <w:pPr>
              <w:autoSpaceDE w:val="0"/>
              <w:autoSpaceDN w:val="0"/>
              <w:adjustRightInd w:val="0"/>
              <w:jc w:val="right"/>
            </w:pPr>
            <w:r w:rsidRPr="005C3B55">
              <w:rPr>
                <w:b/>
                <w:sz w:val="20"/>
              </w:rPr>
              <w:t>Calculated payment amount as per model calculation</w:t>
            </w:r>
          </w:p>
        </w:tc>
        <w:tc>
          <w:tcPr>
            <w:tcW w:w="1093" w:type="pct"/>
            <w:tcBorders>
              <w:top w:val="single" w:sz="18" w:space="0" w:color="auto"/>
              <w:left w:val="single" w:sz="18" w:space="0" w:color="auto"/>
              <w:bottom w:val="single" w:sz="18" w:space="0" w:color="auto"/>
              <w:right w:val="single" w:sz="18" w:space="0" w:color="auto"/>
            </w:tcBorders>
            <w:shd w:val="clear" w:color="auto" w:fill="D9D9D9"/>
            <w:vAlign w:val="center"/>
          </w:tcPr>
          <w:p w:rsidR="00F555D6" w:rsidRPr="005C3B55" w:rsidRDefault="00F555D6" w:rsidP="00F555D6">
            <w:pPr>
              <w:autoSpaceDE w:val="0"/>
              <w:autoSpaceDN w:val="0"/>
              <w:adjustRightInd w:val="0"/>
              <w:jc w:val="right"/>
            </w:pPr>
            <w:r w:rsidRPr="005C3B55">
              <w:rPr>
                <w:b/>
                <w:sz w:val="20"/>
              </w:rPr>
              <w:t>Highest possible payment as per Annex II to Regulation (EU) No 1305/2013</w:t>
            </w:r>
          </w:p>
        </w:tc>
        <w:tc>
          <w:tcPr>
            <w:tcW w:w="907" w:type="pct"/>
            <w:tcBorders>
              <w:top w:val="single" w:sz="18" w:space="0" w:color="auto"/>
              <w:left w:val="single" w:sz="18" w:space="0" w:color="auto"/>
              <w:bottom w:val="single" w:sz="18" w:space="0" w:color="auto"/>
              <w:right w:val="single" w:sz="18" w:space="0" w:color="auto"/>
            </w:tcBorders>
            <w:shd w:val="clear" w:color="auto" w:fill="D9D9D9"/>
            <w:vAlign w:val="center"/>
          </w:tcPr>
          <w:p w:rsidR="00F555D6" w:rsidRPr="005C3B55" w:rsidRDefault="00F555D6" w:rsidP="00F555D6">
            <w:pPr>
              <w:autoSpaceDE w:val="0"/>
              <w:autoSpaceDN w:val="0"/>
              <w:adjustRightInd w:val="0"/>
              <w:jc w:val="right"/>
            </w:pPr>
            <w:r w:rsidRPr="005C3B55">
              <w:rPr>
                <w:b/>
                <w:sz w:val="20"/>
              </w:rPr>
              <w:t>Highest possible amount</w:t>
            </w:r>
          </w:p>
        </w:tc>
        <w:tc>
          <w:tcPr>
            <w:tcW w:w="1000" w:type="pct"/>
            <w:tcBorders>
              <w:top w:val="single" w:sz="18" w:space="0" w:color="auto"/>
              <w:left w:val="single" w:sz="18" w:space="0" w:color="auto"/>
              <w:bottom w:val="single" w:sz="18" w:space="0" w:color="auto"/>
              <w:right w:val="single" w:sz="18" w:space="0" w:color="auto"/>
            </w:tcBorders>
            <w:shd w:val="clear" w:color="auto" w:fill="D9D9D9"/>
            <w:vAlign w:val="center"/>
          </w:tcPr>
          <w:p w:rsidR="00F555D6" w:rsidRPr="005C3B55" w:rsidRDefault="00F555D6" w:rsidP="00F555D6">
            <w:pPr>
              <w:jc w:val="right"/>
            </w:pPr>
            <w:r w:rsidRPr="005C3B55">
              <w:rPr>
                <w:b/>
                <w:sz w:val="20"/>
              </w:rPr>
              <w:t>Payment (60% of payment amount calculated as per model calculation)</w:t>
            </w:r>
          </w:p>
        </w:tc>
      </w:tr>
      <w:tr w:rsidR="00F555D6" w:rsidRPr="005C3B55">
        <w:tc>
          <w:tcPr>
            <w:tcW w:w="5000" w:type="pct"/>
            <w:gridSpan w:val="5"/>
            <w:tcBorders>
              <w:top w:val="single" w:sz="18" w:space="0" w:color="auto"/>
              <w:left w:val="single" w:sz="18" w:space="0" w:color="auto"/>
              <w:bottom w:val="single" w:sz="18" w:space="0" w:color="auto"/>
              <w:right w:val="single" w:sz="18" w:space="0" w:color="auto"/>
            </w:tcBorders>
            <w:shd w:val="clear" w:color="auto" w:fill="E0E0E0"/>
            <w:vAlign w:val="center"/>
          </w:tcPr>
          <w:p w:rsidR="00F555D6" w:rsidRPr="005C3B55" w:rsidRDefault="00F555D6" w:rsidP="00F555D6">
            <w:r w:rsidRPr="005C3B55">
              <w:rPr>
                <w:b/>
                <w:noProof/>
                <w:sz w:val="20"/>
              </w:rPr>
              <w:t>A.</w:t>
            </w:r>
            <w:r w:rsidRPr="005C3B55">
              <w:rPr>
                <w:b/>
                <w:sz w:val="20"/>
              </w:rPr>
              <w:t xml:space="preserve"> Mandatory requirements</w:t>
            </w:r>
          </w:p>
        </w:tc>
      </w:tr>
      <w:tr w:rsidR="00F555D6" w:rsidRPr="005C3B55">
        <w:tc>
          <w:tcPr>
            <w:tcW w:w="1000"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rPr>
                <w:sz w:val="20"/>
              </w:rPr>
            </w:pPr>
            <w:r w:rsidRPr="005C3B55">
              <w:rPr>
                <w:noProof/>
                <w:sz w:val="20"/>
              </w:rPr>
              <w:t>POZ_KOL</w:t>
            </w:r>
          </w:p>
        </w:tc>
        <w:tc>
          <w:tcPr>
            <w:tcW w:w="1000"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191.30</w:t>
            </w:r>
          </w:p>
        </w:tc>
        <w:tc>
          <w:tcPr>
            <w:tcW w:w="1093"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600</w:t>
            </w:r>
          </w:p>
        </w:tc>
        <w:tc>
          <w:tcPr>
            <w:tcW w:w="907"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191.30</w:t>
            </w:r>
          </w:p>
        </w:tc>
        <w:tc>
          <w:tcPr>
            <w:tcW w:w="1000"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114.78</w:t>
            </w:r>
          </w:p>
        </w:tc>
      </w:tr>
      <w:tr w:rsidR="00F555D6" w:rsidRPr="005C3B55">
        <w:tc>
          <w:tcPr>
            <w:tcW w:w="1000"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rPr>
                <w:sz w:val="20"/>
              </w:rPr>
            </w:pPr>
            <w:r w:rsidRPr="005C3B55">
              <w:rPr>
                <w:noProof/>
                <w:sz w:val="20"/>
              </w:rPr>
              <w:t>POZ_nmin</w:t>
            </w:r>
          </w:p>
        </w:tc>
        <w:tc>
          <w:tcPr>
            <w:tcW w:w="1000"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37.70</w:t>
            </w:r>
          </w:p>
        </w:tc>
        <w:tc>
          <w:tcPr>
            <w:tcW w:w="1093"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600</w:t>
            </w:r>
          </w:p>
        </w:tc>
        <w:tc>
          <w:tcPr>
            <w:tcW w:w="907"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37.70</w:t>
            </w:r>
          </w:p>
        </w:tc>
        <w:tc>
          <w:tcPr>
            <w:tcW w:w="1000"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22.62</w:t>
            </w:r>
          </w:p>
        </w:tc>
      </w:tr>
      <w:tr w:rsidR="00F555D6" w:rsidRPr="005C3B55">
        <w:tc>
          <w:tcPr>
            <w:tcW w:w="5000" w:type="pct"/>
            <w:gridSpan w:val="5"/>
            <w:tcBorders>
              <w:top w:val="single" w:sz="18" w:space="0" w:color="auto"/>
              <w:left w:val="single" w:sz="18" w:space="0" w:color="auto"/>
              <w:bottom w:val="single" w:sz="18" w:space="0" w:color="auto"/>
              <w:right w:val="single" w:sz="18" w:space="0" w:color="auto"/>
            </w:tcBorders>
            <w:shd w:val="clear" w:color="auto" w:fill="E0E0E0"/>
            <w:vAlign w:val="center"/>
          </w:tcPr>
          <w:p w:rsidR="00F555D6" w:rsidRPr="005C3B55" w:rsidRDefault="00F555D6" w:rsidP="00F555D6"/>
        </w:tc>
      </w:tr>
      <w:tr w:rsidR="00F555D6" w:rsidRPr="005C3B55">
        <w:tc>
          <w:tcPr>
            <w:tcW w:w="1000"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rPr>
                <w:sz w:val="20"/>
              </w:rPr>
            </w:pPr>
            <w:r w:rsidRPr="005C3B55">
              <w:rPr>
                <w:noProof/>
                <w:sz w:val="20"/>
              </w:rPr>
              <w:t>POZ_NIZI</w:t>
            </w:r>
          </w:p>
        </w:tc>
        <w:tc>
          <w:tcPr>
            <w:tcW w:w="1000"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158.80</w:t>
            </w:r>
          </w:p>
        </w:tc>
        <w:tc>
          <w:tcPr>
            <w:tcW w:w="1093"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600</w:t>
            </w:r>
          </w:p>
        </w:tc>
        <w:tc>
          <w:tcPr>
            <w:tcW w:w="907"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158.80</w:t>
            </w:r>
          </w:p>
        </w:tc>
        <w:tc>
          <w:tcPr>
            <w:tcW w:w="1000"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95.28</w:t>
            </w:r>
          </w:p>
        </w:tc>
      </w:tr>
      <w:tr w:rsidR="00F555D6" w:rsidRPr="005C3B55">
        <w:tc>
          <w:tcPr>
            <w:tcW w:w="1000"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rPr>
                <w:sz w:val="20"/>
              </w:rPr>
            </w:pPr>
            <w:r w:rsidRPr="005C3B55">
              <w:rPr>
                <w:noProof/>
                <w:sz w:val="20"/>
              </w:rPr>
              <w:t>POZ_POD</w:t>
            </w:r>
          </w:p>
        </w:tc>
        <w:tc>
          <w:tcPr>
            <w:tcW w:w="1000"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210.00</w:t>
            </w:r>
          </w:p>
        </w:tc>
        <w:tc>
          <w:tcPr>
            <w:tcW w:w="1093"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600</w:t>
            </w:r>
          </w:p>
        </w:tc>
        <w:tc>
          <w:tcPr>
            <w:tcW w:w="907"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210.00</w:t>
            </w:r>
          </w:p>
        </w:tc>
        <w:tc>
          <w:tcPr>
            <w:tcW w:w="1000"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126.00</w:t>
            </w:r>
          </w:p>
        </w:tc>
      </w:tr>
      <w:tr w:rsidR="00F555D6" w:rsidRPr="005C3B55">
        <w:tc>
          <w:tcPr>
            <w:tcW w:w="1000"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rPr>
                <w:sz w:val="20"/>
              </w:rPr>
            </w:pPr>
            <w:r w:rsidRPr="005C3B55">
              <w:rPr>
                <w:noProof/>
                <w:sz w:val="20"/>
              </w:rPr>
              <w:t>POZ_FFSM</w:t>
            </w:r>
          </w:p>
        </w:tc>
        <w:tc>
          <w:tcPr>
            <w:tcW w:w="1000"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358.90</w:t>
            </w:r>
          </w:p>
        </w:tc>
        <w:tc>
          <w:tcPr>
            <w:tcW w:w="1093"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600</w:t>
            </w:r>
          </w:p>
        </w:tc>
        <w:tc>
          <w:tcPr>
            <w:tcW w:w="907"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358.90</w:t>
            </w:r>
          </w:p>
        </w:tc>
        <w:tc>
          <w:tcPr>
            <w:tcW w:w="1000"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215.34</w:t>
            </w:r>
          </w:p>
        </w:tc>
      </w:tr>
      <w:tr w:rsidR="00F555D6" w:rsidRPr="005C3B55">
        <w:tc>
          <w:tcPr>
            <w:tcW w:w="1000"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rPr>
                <w:noProof/>
                <w:sz w:val="20"/>
              </w:rPr>
            </w:pPr>
            <w:r w:rsidRPr="005C3B55">
              <w:rPr>
                <w:noProof/>
                <w:sz w:val="20"/>
              </w:rPr>
              <w:t>POZ_FFSV</w:t>
            </w:r>
          </w:p>
        </w:tc>
        <w:tc>
          <w:tcPr>
            <w:tcW w:w="1000"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44.20</w:t>
            </w:r>
          </w:p>
        </w:tc>
        <w:tc>
          <w:tcPr>
            <w:tcW w:w="1093"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600</w:t>
            </w:r>
          </w:p>
        </w:tc>
        <w:tc>
          <w:tcPr>
            <w:tcW w:w="907"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44.20</w:t>
            </w:r>
          </w:p>
        </w:tc>
        <w:tc>
          <w:tcPr>
            <w:tcW w:w="1000"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26.52</w:t>
            </w:r>
          </w:p>
        </w:tc>
      </w:tr>
      <w:tr w:rsidR="00F555D6" w:rsidRPr="005C3B55">
        <w:tc>
          <w:tcPr>
            <w:tcW w:w="1000"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rPr>
                <w:noProof/>
                <w:sz w:val="20"/>
              </w:rPr>
            </w:pPr>
            <w:r w:rsidRPr="005C3B55">
              <w:rPr>
                <w:noProof/>
                <w:sz w:val="20"/>
              </w:rPr>
              <w:t>POZ_MEHZ</w:t>
            </w:r>
          </w:p>
        </w:tc>
        <w:tc>
          <w:tcPr>
            <w:tcW w:w="1000"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149.10</w:t>
            </w:r>
          </w:p>
        </w:tc>
        <w:tc>
          <w:tcPr>
            <w:tcW w:w="1093"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600</w:t>
            </w:r>
          </w:p>
        </w:tc>
        <w:tc>
          <w:tcPr>
            <w:tcW w:w="907"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149.10</w:t>
            </w:r>
          </w:p>
        </w:tc>
        <w:tc>
          <w:tcPr>
            <w:tcW w:w="1000"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89.46</w:t>
            </w:r>
          </w:p>
        </w:tc>
      </w:tr>
      <w:tr w:rsidR="00F555D6" w:rsidRPr="005C3B55">
        <w:tc>
          <w:tcPr>
            <w:tcW w:w="1000"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rPr>
                <w:noProof/>
                <w:sz w:val="20"/>
              </w:rPr>
            </w:pPr>
            <w:r w:rsidRPr="005C3B55">
              <w:rPr>
                <w:noProof/>
                <w:sz w:val="20"/>
              </w:rPr>
              <w:t>POZ_KONZ</w:t>
            </w:r>
          </w:p>
        </w:tc>
        <w:tc>
          <w:tcPr>
            <w:tcW w:w="1000"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67.80</w:t>
            </w:r>
          </w:p>
        </w:tc>
        <w:tc>
          <w:tcPr>
            <w:tcW w:w="1093"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600</w:t>
            </w:r>
          </w:p>
        </w:tc>
        <w:tc>
          <w:tcPr>
            <w:tcW w:w="907"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67.80</w:t>
            </w:r>
          </w:p>
        </w:tc>
        <w:tc>
          <w:tcPr>
            <w:tcW w:w="1000"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40.68</w:t>
            </w:r>
          </w:p>
        </w:tc>
      </w:tr>
      <w:tr w:rsidR="00F555D6" w:rsidRPr="005C3B55">
        <w:tc>
          <w:tcPr>
            <w:tcW w:w="1000"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rPr>
                <w:noProof/>
                <w:sz w:val="20"/>
              </w:rPr>
            </w:pPr>
            <w:r w:rsidRPr="005C3B55">
              <w:rPr>
                <w:noProof/>
                <w:sz w:val="20"/>
              </w:rPr>
              <w:t>POZ_ZEL</w:t>
            </w:r>
          </w:p>
        </w:tc>
        <w:tc>
          <w:tcPr>
            <w:tcW w:w="1000"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189.80</w:t>
            </w:r>
          </w:p>
        </w:tc>
        <w:tc>
          <w:tcPr>
            <w:tcW w:w="1093"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600</w:t>
            </w:r>
          </w:p>
        </w:tc>
        <w:tc>
          <w:tcPr>
            <w:tcW w:w="907"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189.80</w:t>
            </w:r>
          </w:p>
        </w:tc>
        <w:tc>
          <w:tcPr>
            <w:tcW w:w="1000"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113.88</w:t>
            </w:r>
          </w:p>
        </w:tc>
      </w:tr>
      <w:tr w:rsidR="00F555D6" w:rsidRPr="005C3B55">
        <w:tc>
          <w:tcPr>
            <w:tcW w:w="1000"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rPr>
                <w:noProof/>
                <w:sz w:val="20"/>
              </w:rPr>
            </w:pPr>
            <w:r w:rsidRPr="005C3B55">
              <w:rPr>
                <w:noProof/>
                <w:sz w:val="20"/>
              </w:rPr>
              <w:t>POZ_NEP</w:t>
            </w:r>
          </w:p>
        </w:tc>
        <w:tc>
          <w:tcPr>
            <w:tcW w:w="1000"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156.00</w:t>
            </w:r>
          </w:p>
        </w:tc>
        <w:tc>
          <w:tcPr>
            <w:tcW w:w="1093"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600</w:t>
            </w:r>
          </w:p>
        </w:tc>
        <w:tc>
          <w:tcPr>
            <w:tcW w:w="907"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156.00</w:t>
            </w:r>
          </w:p>
        </w:tc>
        <w:tc>
          <w:tcPr>
            <w:tcW w:w="1000"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93.60</w:t>
            </w:r>
          </w:p>
        </w:tc>
      </w:tr>
    </w:tbl>
    <w:p w:rsidR="00F555D6" w:rsidRPr="005C3B55" w:rsidRDefault="00F555D6" w:rsidP="00F555D6">
      <w:pPr>
        <w:pStyle w:val="Naslov6"/>
        <w:numPr>
          <w:ilvl w:val="0"/>
          <w:numId w:val="0"/>
        </w:numPr>
        <w:rPr>
          <w:szCs w:val="24"/>
          <w:lang w:val="en-GB"/>
        </w:rPr>
      </w:pPr>
    </w:p>
    <w:p w:rsidR="00F555D6" w:rsidRPr="005C3B55" w:rsidRDefault="00F555D6" w:rsidP="00F555D6">
      <w:pPr>
        <w:pStyle w:val="Naslov6"/>
        <w:tabs>
          <w:tab w:val="clear" w:pos="765"/>
        </w:tabs>
        <w:ind w:left="0" w:firstLine="0"/>
        <w:rPr>
          <w:szCs w:val="24"/>
          <w:lang w:val="en-GB"/>
        </w:rPr>
      </w:pPr>
    </w:p>
    <w:p w:rsidR="00F555D6" w:rsidRPr="005C3B55" w:rsidRDefault="00F555D6" w:rsidP="00F555D6">
      <w:pPr>
        <w:pStyle w:val="Naslov6"/>
        <w:tabs>
          <w:tab w:val="clear" w:pos="765"/>
        </w:tabs>
        <w:ind w:left="0" w:firstLine="0"/>
        <w:rPr>
          <w:szCs w:val="24"/>
          <w:lang w:val="en-GB"/>
        </w:rPr>
      </w:pPr>
      <w:r w:rsidRPr="005C3B55">
        <w:rPr>
          <w:noProof w:val="0"/>
          <w:szCs w:val="24"/>
          <w:lang w:val="en-GB"/>
        </w:rPr>
        <w:t>Verifiability and possibility of control of measures and/or type of operations</w:t>
      </w:r>
    </w:p>
    <w:p w:rsidR="00F555D6" w:rsidRPr="005C3B55" w:rsidRDefault="00F555D6" w:rsidP="00F555D6">
      <w:pPr>
        <w:pStyle w:val="Naslov7"/>
        <w:tabs>
          <w:tab w:val="clear" w:pos="765"/>
        </w:tabs>
        <w:ind w:left="0" w:firstLine="0"/>
        <w:rPr>
          <w:szCs w:val="24"/>
          <w:lang w:val="en-GB"/>
        </w:rPr>
      </w:pPr>
      <w:r w:rsidRPr="005C3B55">
        <w:rPr>
          <w:noProof w:val="0"/>
          <w:szCs w:val="24"/>
          <w:lang w:val="en-GB"/>
        </w:rPr>
        <w:t>Risks in the implementation of the measure</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b/>
                <w:szCs w:val="24"/>
              </w:rPr>
              <w:t>R5: Requirements which are difficult to verify and/or control</w:t>
            </w:r>
          </w:p>
          <w:p w:rsidR="00F555D6" w:rsidRPr="005C3B55" w:rsidRDefault="00F555D6" w:rsidP="00F555D6">
            <w:pPr>
              <w:spacing w:before="240" w:after="240" w:line="280" w:lineRule="auto"/>
              <w:rPr>
                <w:szCs w:val="24"/>
              </w:rPr>
            </w:pPr>
            <w:r w:rsidRPr="005C3B55">
              <w:rPr>
                <w:szCs w:val="24"/>
              </w:rPr>
              <w:t>Some requirements cannot be verified administratively, while the implementation of certain requirements is difficult to verify also with on-the-spot checks. These requirements include fertilisation with organic fertilisers with low emissions into air (incorporation into soil), use of anti-insect nets, conservation tillage and mechanical weed control.</w:t>
            </w:r>
          </w:p>
          <w:p w:rsidR="00F555D6" w:rsidRPr="005C3B55" w:rsidRDefault="00F555D6" w:rsidP="00F555D6">
            <w:pPr>
              <w:spacing w:before="240" w:after="240" w:line="280" w:lineRule="auto"/>
              <w:rPr>
                <w:szCs w:val="24"/>
              </w:rPr>
            </w:pPr>
            <w:r w:rsidRPr="005C3B55">
              <w:rPr>
                <w:b/>
                <w:szCs w:val="24"/>
              </w:rPr>
              <w:t>R6: General conditions for implementation</w:t>
            </w:r>
          </w:p>
          <w:p w:rsidR="00F555D6" w:rsidRPr="005C3B55" w:rsidRDefault="00F555D6" w:rsidP="00F555D6">
            <w:pPr>
              <w:spacing w:before="240" w:after="240" w:line="280" w:lineRule="auto"/>
              <w:rPr>
                <w:szCs w:val="24"/>
              </w:rPr>
            </w:pPr>
            <w:r w:rsidRPr="005C3B55">
              <w:rPr>
                <w:szCs w:val="24"/>
              </w:rPr>
              <w:t>Ill-timed adoption of regulations which regulate payments for the M10 measure and which enable beneficiaries to be informed about the eligibility conditions for implementing this operation, and insufficient knowledge of the conditions of individual operations present a risk for the implementation of the M10 measure.</w:t>
            </w:r>
          </w:p>
          <w:p w:rsidR="00F555D6" w:rsidRPr="005C3B55" w:rsidRDefault="00F555D6" w:rsidP="00F555D6">
            <w:pPr>
              <w:spacing w:before="240" w:after="240" w:line="280" w:lineRule="auto"/>
              <w:rPr>
                <w:szCs w:val="24"/>
              </w:rPr>
            </w:pPr>
            <w:r w:rsidRPr="005C3B55">
              <w:rPr>
                <w:b/>
                <w:szCs w:val="24"/>
              </w:rPr>
              <w:t>R8: IT systems</w:t>
            </w:r>
          </w:p>
          <w:p w:rsidR="00F555D6" w:rsidRPr="005C3B55" w:rsidRDefault="00F555D6" w:rsidP="00F555D6">
            <w:pPr>
              <w:spacing w:before="240" w:after="240" w:line="280" w:lineRule="auto"/>
              <w:rPr>
                <w:szCs w:val="24"/>
              </w:rPr>
            </w:pPr>
            <w:r w:rsidRPr="005C3B55">
              <w:rPr>
                <w:szCs w:val="24"/>
              </w:rPr>
              <w:t>Unsuitable arrangement of certain databases when entering the verification system, resulting in insufficient administrative controls when entering the operation Arable farming and vegetable cultivation.</w:t>
            </w:r>
          </w:p>
          <w:p w:rsidR="00F555D6" w:rsidRPr="005C3B55" w:rsidRDefault="00F555D6" w:rsidP="00F555D6">
            <w:pPr>
              <w:spacing w:before="240" w:after="240" w:line="280" w:lineRule="auto"/>
              <w:rPr>
                <w:szCs w:val="24"/>
              </w:rPr>
            </w:pPr>
            <w:r w:rsidRPr="005C3B55">
              <w:rPr>
                <w:b/>
                <w:szCs w:val="24"/>
              </w:rPr>
              <w:t>R9: Requests for payment</w:t>
            </w:r>
          </w:p>
          <w:p w:rsidR="00F555D6" w:rsidRPr="005C3B55" w:rsidRDefault="00F555D6" w:rsidP="00F555D6">
            <w:pPr>
              <w:spacing w:before="240" w:after="240" w:line="280" w:lineRule="auto"/>
              <w:rPr>
                <w:szCs w:val="24"/>
              </w:rPr>
            </w:pPr>
            <w:r w:rsidRPr="005C3B55">
              <w:rPr>
                <w:szCs w:val="24"/>
              </w:rPr>
              <w:t>Lack of, and delayed, information and insufficient knowledge of the requirements of the operation Arable farming and vegetable cultivation, poor familiarisation with the procedure for submitting the application and the beneficiary’s incorrect reporting about the size of surfaces.</w:t>
            </w:r>
          </w:p>
          <w:p w:rsidR="00F555D6" w:rsidRPr="005C3B55" w:rsidRDefault="00F555D6" w:rsidP="00F555D6">
            <w:pPr>
              <w:pStyle w:val="Telobesedila"/>
              <w:rPr>
                <w:szCs w:val="24"/>
              </w:rPr>
            </w:pPr>
          </w:p>
        </w:tc>
      </w:tr>
    </w:tbl>
    <w:p w:rsidR="00F555D6" w:rsidRPr="005C3B55" w:rsidRDefault="00F555D6" w:rsidP="00F555D6">
      <w:pPr>
        <w:pStyle w:val="Naslov7"/>
        <w:tabs>
          <w:tab w:val="clear" w:pos="765"/>
        </w:tabs>
        <w:ind w:left="0" w:firstLine="0"/>
        <w:rPr>
          <w:szCs w:val="24"/>
          <w:lang w:val="en-GB"/>
        </w:rPr>
      </w:pPr>
      <w:r w:rsidRPr="005C3B55">
        <w:rPr>
          <w:noProof w:val="0"/>
          <w:szCs w:val="24"/>
          <w:lang w:val="en-GB"/>
        </w:rPr>
        <w:t>Mitigation measures</w:t>
      </w:r>
    </w:p>
    <w:p w:rsidR="00F555D6" w:rsidRPr="005C3B55" w:rsidRDefault="00F555D6" w:rsidP="00F555D6">
      <w:pPr>
        <w:pStyle w:val="Naslov7"/>
        <w:tabs>
          <w:tab w:val="clear" w:pos="765"/>
        </w:tabs>
        <w:spacing w:before="0" w:after="0"/>
        <w:ind w:left="0" w:firstLine="0"/>
        <w:rPr>
          <w:szCs w:val="24"/>
          <w:lang w:val="en-GB"/>
        </w:rPr>
      </w:pP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b/>
                <w:szCs w:val="24"/>
              </w:rPr>
              <w:t>R5: Requirements which are difficult to verify and/or control</w:t>
            </w:r>
          </w:p>
          <w:p w:rsidR="00F555D6" w:rsidRPr="005C3B55" w:rsidRDefault="00F555D6" w:rsidP="00F555D6">
            <w:pPr>
              <w:spacing w:before="240" w:after="240" w:line="280" w:lineRule="auto"/>
              <w:rPr>
                <w:szCs w:val="24"/>
              </w:rPr>
            </w:pPr>
            <w:r w:rsidRPr="005C3B55">
              <w:rPr>
                <w:szCs w:val="24"/>
              </w:rPr>
              <w:t>Administrative control will be upgraded accordingly for certain requirements (crop rotation plan, annual monitoring of crop rotation, education on taking soil samples, suitability of plants for individual requirements).</w:t>
            </w:r>
          </w:p>
          <w:p w:rsidR="00F555D6" w:rsidRPr="005C3B55" w:rsidRDefault="00F555D6" w:rsidP="00F555D6">
            <w:pPr>
              <w:spacing w:before="240" w:after="240" w:line="280" w:lineRule="auto"/>
              <w:rPr>
                <w:szCs w:val="24"/>
              </w:rPr>
            </w:pPr>
            <w:r w:rsidRPr="005C3B55">
              <w:rPr>
                <w:szCs w:val="24"/>
              </w:rPr>
              <w:t>Requirements for implementing the M10 measure which cannot be verified administratively will be verified or controlled on the spot, which will observe the temporal component when implementing verification.</w:t>
            </w:r>
          </w:p>
          <w:p w:rsidR="00F555D6" w:rsidRPr="005C3B55" w:rsidRDefault="00F555D6" w:rsidP="00F555D6">
            <w:pPr>
              <w:spacing w:before="240" w:after="240" w:line="280" w:lineRule="auto"/>
              <w:rPr>
                <w:szCs w:val="24"/>
              </w:rPr>
            </w:pPr>
            <w:r w:rsidRPr="005C3B55">
              <w:rPr>
                <w:b/>
                <w:szCs w:val="24"/>
              </w:rPr>
              <w:t>R6: General conditions for implementation</w:t>
            </w:r>
          </w:p>
          <w:p w:rsidR="00F555D6" w:rsidRPr="005C3B55" w:rsidRDefault="00F555D6" w:rsidP="00F555D6">
            <w:pPr>
              <w:spacing w:before="240" w:after="240" w:line="280" w:lineRule="auto"/>
              <w:rPr>
                <w:szCs w:val="24"/>
              </w:rPr>
            </w:pPr>
            <w:r w:rsidRPr="005C3B55">
              <w:rPr>
                <w:szCs w:val="24"/>
              </w:rPr>
              <w:t>Prior to entering the operation Arable farming and vegetable cultivation, a beneficiary will have to undergo mandatory six-hour training, which is one of the eligibility conditions. At the training, the beneficiary will become acquainted with the eligibility conditions for entering in the operation and the conditions of individual requirements for implementing the operation, including the Rural Development Programme 2014–2020 and the national regulation regulating payments for the M10 measure.</w:t>
            </w:r>
          </w:p>
          <w:p w:rsidR="00F555D6" w:rsidRPr="005C3B55" w:rsidRDefault="00F555D6" w:rsidP="00F555D6">
            <w:pPr>
              <w:spacing w:before="240" w:after="240" w:line="280" w:lineRule="auto"/>
              <w:rPr>
                <w:szCs w:val="24"/>
              </w:rPr>
            </w:pPr>
            <w:r w:rsidRPr="005C3B55">
              <w:rPr>
                <w:szCs w:val="24"/>
              </w:rPr>
              <w:t>After training, the beneficiary will be able to prepare a programme of activities of the agricultural holding, which is one of the eligibility conditions, and in which it will determine which operation and requirements to implement within the M10 measure.</w:t>
            </w:r>
          </w:p>
          <w:p w:rsidR="00F555D6" w:rsidRPr="005C3B55" w:rsidRDefault="00F555D6" w:rsidP="00F555D6">
            <w:pPr>
              <w:spacing w:before="240" w:after="240" w:line="280" w:lineRule="auto"/>
              <w:rPr>
                <w:szCs w:val="24"/>
              </w:rPr>
            </w:pPr>
            <w:r w:rsidRPr="005C3B55">
              <w:rPr>
                <w:b/>
                <w:szCs w:val="24"/>
              </w:rPr>
              <w:t>R8: IT systems</w:t>
            </w:r>
          </w:p>
          <w:p w:rsidR="00F555D6" w:rsidRPr="005C3B55" w:rsidRDefault="00F555D6" w:rsidP="00F555D6">
            <w:pPr>
              <w:spacing w:before="240" w:after="240" w:line="280" w:lineRule="auto"/>
              <w:rPr>
                <w:szCs w:val="24"/>
              </w:rPr>
            </w:pPr>
            <w:r w:rsidRPr="005C3B55">
              <w:rPr>
                <w:szCs w:val="24"/>
              </w:rPr>
              <w:t>Suitable connections will be established and databases arranged (registers, records, codes, levels of individual areas and combinations of requirements within or between operations).</w:t>
            </w:r>
          </w:p>
          <w:p w:rsidR="00F555D6" w:rsidRPr="005C3B55" w:rsidRDefault="00F555D6" w:rsidP="00F555D6">
            <w:pPr>
              <w:spacing w:before="240" w:after="240" w:line="280" w:lineRule="auto"/>
              <w:rPr>
                <w:szCs w:val="24"/>
              </w:rPr>
            </w:pPr>
            <w:r w:rsidRPr="005C3B55">
              <w:rPr>
                <w:szCs w:val="24"/>
              </w:rPr>
              <w:t>An application enabling cross-checking of data from different databases will be established.</w:t>
            </w:r>
          </w:p>
          <w:p w:rsidR="00F555D6" w:rsidRPr="005C3B55" w:rsidRDefault="00F555D6" w:rsidP="00F555D6">
            <w:pPr>
              <w:spacing w:before="240" w:after="240" w:line="280" w:lineRule="auto"/>
              <w:rPr>
                <w:szCs w:val="24"/>
              </w:rPr>
            </w:pPr>
            <w:r w:rsidRPr="005C3B55">
              <w:rPr>
                <w:b/>
                <w:szCs w:val="24"/>
              </w:rPr>
              <w:t>R9: Requests for payment</w:t>
            </w:r>
          </w:p>
          <w:p w:rsidR="00F555D6" w:rsidRPr="005C3B55" w:rsidRDefault="00F555D6" w:rsidP="00F555D6">
            <w:pPr>
              <w:spacing w:before="240" w:after="240" w:line="280" w:lineRule="auto"/>
              <w:rPr>
                <w:szCs w:val="24"/>
              </w:rPr>
            </w:pPr>
            <w:r w:rsidRPr="005C3B55">
              <w:rPr>
                <w:szCs w:val="24"/>
              </w:rPr>
              <w:t>Mandatory annual four-hour training and mandatory use of advisory services at least once in the first three years of the commitment are introduced in order for beneficiaries to be suitably informed about all conditions and requirements for the implementation of the M10 measure. Regular annual informing of beneficiaries about their commitments related to the implementation of the M10 measure as part of the annual campaign for implementing requests for agricultural policy measures during the year and also within the scope of specific and purpose-oriented informing of beneficiaries is envisaged</w:t>
            </w:r>
            <w:r w:rsidRPr="005C3B55">
              <w:rPr>
                <w:rFonts w:ascii="TimesNewRoman" w:hAnsi="TimesNewRoman"/>
                <w:szCs w:val="24"/>
              </w:rPr>
              <w:t>.</w:t>
            </w:r>
          </w:p>
          <w:p w:rsidR="00F555D6" w:rsidRPr="005C3B55" w:rsidRDefault="00F555D6" w:rsidP="00F555D6">
            <w:pPr>
              <w:spacing w:before="240" w:after="240" w:line="280" w:lineRule="auto"/>
              <w:rPr>
                <w:szCs w:val="24"/>
              </w:rPr>
            </w:pPr>
            <w:r w:rsidRPr="005C3B55">
              <w:rPr>
                <w:szCs w:val="24"/>
              </w:rPr>
              <w:t>On the basis of the programme of activities, the request for payment will be submitted electronically on prescribed forms, by means of which a beneficiary will define for which requirements within individual operations of the M10 measure it will request payment.</w:t>
            </w:r>
          </w:p>
          <w:p w:rsidR="00F555D6" w:rsidRPr="005C3B55" w:rsidRDefault="00F555D6" w:rsidP="00F555D6">
            <w:pPr>
              <w:spacing w:before="240" w:after="240" w:line="280" w:lineRule="auto"/>
              <w:rPr>
                <w:szCs w:val="24"/>
              </w:rPr>
            </w:pPr>
            <w:r w:rsidRPr="005C3B55">
              <w:rPr>
                <w:szCs w:val="24"/>
              </w:rPr>
              <w:t>The upgrading of the IT system for administrative control will be implemented, which will allow certain verifications and controls already upon the submission of the request for payment (size of surface, suitability of areas, suitability of combinations of requests and operations, suitability of agricultural plant and suitability of use as per individual register).</w:t>
            </w:r>
          </w:p>
          <w:p w:rsidR="00F555D6" w:rsidRPr="005C3B55" w:rsidRDefault="00F555D6" w:rsidP="00F555D6">
            <w:pPr>
              <w:spacing w:before="240" w:after="240" w:line="280" w:lineRule="auto"/>
              <w:rPr>
                <w:szCs w:val="24"/>
              </w:rPr>
            </w:pPr>
            <w:r w:rsidRPr="005C3B55">
              <w:rPr>
                <w:szCs w:val="24"/>
              </w:rPr>
              <w:t>If a beneficiary fails to meet the eligibility conditions for entering the M10 measure, they will be alerted to the shortcomings which they will be able to eliminate by the prescribed deadline; otherwise, it will not be possible to submit a request for the payment of the M10 measure.</w:t>
            </w:r>
          </w:p>
          <w:p w:rsidR="00F555D6" w:rsidRPr="005C3B55" w:rsidRDefault="00F555D6" w:rsidP="00F555D6">
            <w:pPr>
              <w:spacing w:before="240" w:after="240" w:line="280" w:lineRule="auto"/>
              <w:rPr>
                <w:szCs w:val="24"/>
              </w:rPr>
            </w:pPr>
            <w:r w:rsidRPr="005C3B55">
              <w:rPr>
                <w:szCs w:val="24"/>
              </w:rPr>
              <w:t>Unauthorised combinations of individual requirements within the operation Arable farming and vegetable cultivation and unauthorised combinations of requirements of this operation with requirements within other operations of the M10 measure will be disabled.</w:t>
            </w:r>
          </w:p>
          <w:p w:rsidR="00F555D6" w:rsidRPr="005C3B55" w:rsidRDefault="00F555D6" w:rsidP="00F555D6">
            <w:pPr>
              <w:spacing w:before="240" w:after="240" w:line="280" w:lineRule="auto"/>
              <w:rPr>
                <w:szCs w:val="24"/>
              </w:rPr>
            </w:pPr>
            <w:r w:rsidRPr="005C3B55">
              <w:rPr>
                <w:szCs w:val="24"/>
              </w:rPr>
              <w:t>A beneficiary who will also be included in the implementation of the M11 measure will not have the opportunity to submit the request for unauthorised combinations of this measure with the M10 measure.</w:t>
            </w:r>
          </w:p>
          <w:p w:rsidR="00F555D6" w:rsidRPr="005C3B55" w:rsidRDefault="00F555D6" w:rsidP="00F555D6">
            <w:pPr>
              <w:pStyle w:val="Telobesedila"/>
              <w:rPr>
                <w:szCs w:val="24"/>
              </w:rPr>
            </w:pPr>
          </w:p>
        </w:tc>
      </w:tr>
    </w:tbl>
    <w:p w:rsidR="00F555D6" w:rsidRPr="005C3B55" w:rsidRDefault="00F555D6" w:rsidP="00F555D6">
      <w:pPr>
        <w:pStyle w:val="Naslov7"/>
        <w:tabs>
          <w:tab w:val="clear" w:pos="765"/>
        </w:tabs>
        <w:ind w:left="0" w:firstLine="0"/>
        <w:rPr>
          <w:szCs w:val="24"/>
          <w:lang w:val="en-GB"/>
        </w:rPr>
      </w:pPr>
      <w:r w:rsidRPr="005C3B55">
        <w:rPr>
          <w:noProof w:val="0"/>
          <w:szCs w:val="24"/>
          <w:lang w:val="en-GB"/>
        </w:rPr>
        <w:t>General assessment of the measure</w:t>
      </w:r>
    </w:p>
    <w:p w:rsidR="00F555D6" w:rsidRPr="005C3B55" w:rsidRDefault="00F555D6" w:rsidP="00F555D6">
      <w:pPr>
        <w:pStyle w:val="Naslov7"/>
        <w:tabs>
          <w:tab w:val="clear" w:pos="765"/>
        </w:tabs>
        <w:spacing w:before="0" w:after="0"/>
        <w:ind w:left="0" w:firstLine="0"/>
        <w:rPr>
          <w:szCs w:val="24"/>
          <w:lang w:val="en-GB"/>
        </w:rPr>
      </w:pP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 xml:space="preserve">Described in Chapter 8.2.9.4.3 </w:t>
            </w:r>
            <w:r w:rsidRPr="005C3B55">
              <w:rPr>
                <w:i/>
                <w:szCs w:val="24"/>
              </w:rPr>
              <w:t>General assessment of the measure</w:t>
            </w:r>
            <w:r w:rsidRPr="005C3B55">
              <w:rPr>
                <w:szCs w:val="24"/>
              </w:rPr>
              <w:t>.</w:t>
            </w:r>
          </w:p>
          <w:p w:rsidR="00F555D6" w:rsidRPr="005C3B55" w:rsidRDefault="00F555D6" w:rsidP="00F555D6">
            <w:pPr>
              <w:spacing w:before="240" w:after="240" w:line="280" w:lineRule="auto"/>
              <w:rPr>
                <w:szCs w:val="24"/>
              </w:rPr>
            </w:pPr>
            <w:r w:rsidRPr="005C3B55">
              <w:rPr>
                <w:szCs w:val="24"/>
              </w:rPr>
              <w:t> </w:t>
            </w:r>
          </w:p>
          <w:p w:rsidR="00F555D6" w:rsidRPr="005C3B55" w:rsidRDefault="00F555D6" w:rsidP="00F555D6">
            <w:pPr>
              <w:pStyle w:val="Telobesedila"/>
              <w:rPr>
                <w:szCs w:val="24"/>
              </w:rPr>
            </w:pPr>
          </w:p>
        </w:tc>
      </w:tr>
    </w:tbl>
    <w:p w:rsidR="00F555D6" w:rsidRPr="005C3B55" w:rsidRDefault="00F555D6" w:rsidP="00F555D6">
      <w:pPr>
        <w:pStyle w:val="Naslov7"/>
        <w:tabs>
          <w:tab w:val="clear" w:pos="765"/>
        </w:tabs>
        <w:ind w:left="0" w:firstLine="0"/>
        <w:rPr>
          <w:szCs w:val="24"/>
          <w:lang w:val="en-GB"/>
        </w:rPr>
      </w:pPr>
      <w:r w:rsidRPr="005C3B55">
        <w:rPr>
          <w:noProof w:val="0"/>
          <w:szCs w:val="24"/>
          <w:lang w:val="en-GB"/>
        </w:rPr>
        <w:t>Agri-environment-climate measure</w:t>
      </w:r>
    </w:p>
    <w:p w:rsidR="00F555D6" w:rsidRPr="005C3B55" w:rsidRDefault="00F555D6" w:rsidP="00F555D6">
      <w:pPr>
        <w:pStyle w:val="Naslov8"/>
        <w:tabs>
          <w:tab w:val="clear" w:pos="765"/>
        </w:tabs>
        <w:ind w:left="0" w:firstLine="0"/>
        <w:rPr>
          <w:b w:val="0"/>
          <w:szCs w:val="24"/>
          <w:lang w:val="en-GB"/>
        </w:rPr>
      </w:pPr>
      <w:r w:rsidRPr="005C3B55">
        <w:rPr>
          <w:b w:val="0"/>
          <w:noProof w:val="0"/>
          <w:szCs w:val="24"/>
          <w:lang w:val="en-GB"/>
        </w:rPr>
        <w:t>POZ_FFSM:</w:t>
      </w:r>
      <w:r w:rsidRPr="005C3B55">
        <w:rPr>
          <w:b w:val="0"/>
          <w:szCs w:val="24"/>
          <w:lang w:val="en-GB"/>
        </w:rPr>
        <w:t xml:space="preserve"> </w:t>
      </w:r>
      <w:r w:rsidRPr="005C3B55">
        <w:rPr>
          <w:b w:val="0"/>
          <w:noProof w:val="0"/>
          <w:szCs w:val="24"/>
          <w:lang w:val="en-GB"/>
        </w:rPr>
        <w:t>Use of anti-insect nets</w:t>
      </w:r>
    </w:p>
    <w:p w:rsidR="00F555D6" w:rsidRPr="005C3B55" w:rsidRDefault="00F555D6" w:rsidP="00F555D6">
      <w:pPr>
        <w:pStyle w:val="Naslov9"/>
        <w:tabs>
          <w:tab w:val="clear" w:pos="765"/>
        </w:tabs>
        <w:ind w:left="0" w:firstLine="0"/>
        <w:rPr>
          <w:szCs w:val="24"/>
          <w:lang w:val="en-GB"/>
        </w:rPr>
      </w:pPr>
      <w:r w:rsidRPr="005C3B55">
        <w:rPr>
          <w:noProof w:val="0"/>
          <w:szCs w:val="24"/>
          <w:lang w:val="en-GB"/>
        </w:rPr>
        <w:t>Methods of commitment verification</w:t>
      </w:r>
    </w:p>
    <w:p w:rsidR="00F555D6" w:rsidRPr="005C3B55" w:rsidRDefault="00F555D6" w:rsidP="00F555D6">
      <w:pPr>
        <w:pStyle w:val="Naslov9"/>
        <w:tabs>
          <w:tab w:val="clear" w:pos="765"/>
        </w:tabs>
        <w:spacing w:before="0" w:after="0"/>
        <w:ind w:left="0" w:firstLine="0"/>
        <w:rPr>
          <w:szCs w:val="24"/>
          <w:lang w:val="en-GB"/>
        </w:rPr>
      </w:pP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Administrative control:</w:t>
            </w:r>
          </w:p>
          <w:p w:rsidR="00F555D6" w:rsidRPr="005C3B55" w:rsidRDefault="00F555D6" w:rsidP="00F555D6">
            <w:pPr>
              <w:numPr>
                <w:ilvl w:val="0"/>
                <w:numId w:val="281"/>
              </w:numPr>
              <w:spacing w:before="240" w:after="240"/>
              <w:ind w:hanging="290"/>
              <w:jc w:val="left"/>
              <w:rPr>
                <w:szCs w:val="24"/>
              </w:rPr>
            </w:pPr>
            <w:r w:rsidRPr="005C3B55">
              <w:rPr>
                <w:szCs w:val="24"/>
              </w:rPr>
              <w:t>suitability of the agricultural plant through collective application.</w:t>
            </w:r>
          </w:p>
          <w:p w:rsidR="00F555D6" w:rsidRPr="005C3B55" w:rsidRDefault="00F555D6" w:rsidP="00F555D6">
            <w:pPr>
              <w:spacing w:before="240" w:after="240" w:line="280" w:lineRule="auto"/>
              <w:rPr>
                <w:szCs w:val="24"/>
              </w:rPr>
            </w:pPr>
            <w:r w:rsidRPr="005C3B55">
              <w:rPr>
                <w:szCs w:val="24"/>
              </w:rPr>
              <w:t>Registers/records:</w:t>
            </w:r>
          </w:p>
          <w:p w:rsidR="00F555D6" w:rsidRPr="005C3B55" w:rsidRDefault="00F555D6" w:rsidP="00F555D6">
            <w:pPr>
              <w:numPr>
                <w:ilvl w:val="0"/>
                <w:numId w:val="282"/>
              </w:numPr>
              <w:spacing w:before="240" w:after="0"/>
              <w:ind w:hanging="290"/>
              <w:jc w:val="left"/>
              <w:rPr>
                <w:szCs w:val="24"/>
              </w:rPr>
            </w:pPr>
            <w:r w:rsidRPr="005C3B55">
              <w:rPr>
                <w:szCs w:val="24"/>
              </w:rPr>
              <w:t>register of agricultural holdings;</w:t>
            </w:r>
          </w:p>
          <w:p w:rsidR="00F555D6" w:rsidRPr="005C3B55" w:rsidRDefault="00F555D6" w:rsidP="00F555D6">
            <w:pPr>
              <w:numPr>
                <w:ilvl w:val="0"/>
                <w:numId w:val="282"/>
              </w:numPr>
              <w:spacing w:before="0" w:after="240"/>
              <w:ind w:hanging="290"/>
              <w:jc w:val="left"/>
              <w:rPr>
                <w:szCs w:val="24"/>
              </w:rPr>
            </w:pPr>
            <w:r w:rsidRPr="005C3B55">
              <w:rPr>
                <w:szCs w:val="24"/>
              </w:rPr>
              <w:t>graphical agricultural unit of agricultural holding (GERK).</w:t>
            </w:r>
          </w:p>
          <w:p w:rsidR="00F555D6" w:rsidRPr="005C3B55" w:rsidRDefault="00F555D6" w:rsidP="00F555D6">
            <w:pPr>
              <w:spacing w:before="240" w:after="240" w:line="280" w:lineRule="auto"/>
              <w:rPr>
                <w:szCs w:val="24"/>
              </w:rPr>
            </w:pPr>
            <w:r w:rsidRPr="005C3B55">
              <w:rPr>
                <w:szCs w:val="24"/>
              </w:rPr>
              <w:t>On-site control:</w:t>
            </w:r>
          </w:p>
          <w:p w:rsidR="00F555D6" w:rsidRPr="005C3B55" w:rsidRDefault="00F555D6" w:rsidP="00F555D6">
            <w:pPr>
              <w:numPr>
                <w:ilvl w:val="0"/>
                <w:numId w:val="283"/>
              </w:numPr>
              <w:spacing w:before="240" w:after="0"/>
              <w:ind w:hanging="290"/>
              <w:jc w:val="left"/>
              <w:rPr>
                <w:szCs w:val="24"/>
              </w:rPr>
            </w:pPr>
            <w:r w:rsidRPr="005C3B55">
              <w:rPr>
                <w:szCs w:val="24"/>
              </w:rPr>
              <w:t>records on works;</w:t>
            </w:r>
          </w:p>
          <w:p w:rsidR="00F555D6" w:rsidRPr="005C3B55" w:rsidRDefault="00F555D6" w:rsidP="00F555D6">
            <w:pPr>
              <w:numPr>
                <w:ilvl w:val="0"/>
                <w:numId w:val="283"/>
              </w:numPr>
              <w:spacing w:before="0" w:after="0"/>
              <w:ind w:hanging="290"/>
              <w:jc w:val="left"/>
              <w:rPr>
                <w:szCs w:val="24"/>
              </w:rPr>
            </w:pPr>
            <w:r w:rsidRPr="005C3B55">
              <w:rPr>
                <w:szCs w:val="24"/>
              </w:rPr>
              <w:t>invoice on the purchase of anti-insect nets;</w:t>
            </w:r>
          </w:p>
          <w:p w:rsidR="00F555D6" w:rsidRPr="005C3B55" w:rsidRDefault="00F555D6" w:rsidP="00F555D6">
            <w:pPr>
              <w:numPr>
                <w:ilvl w:val="0"/>
                <w:numId w:val="283"/>
              </w:numPr>
              <w:spacing w:before="0" w:after="240"/>
              <w:ind w:hanging="290"/>
              <w:jc w:val="left"/>
              <w:rPr>
                <w:szCs w:val="24"/>
              </w:rPr>
            </w:pPr>
            <w:r w:rsidRPr="005C3B55">
              <w:rPr>
                <w:szCs w:val="24"/>
              </w:rPr>
              <w:t>review of the agricultural holding.</w:t>
            </w:r>
          </w:p>
          <w:p w:rsidR="00F555D6" w:rsidRPr="005C3B55" w:rsidRDefault="00F555D6" w:rsidP="00F555D6">
            <w:pPr>
              <w:pStyle w:val="Telobesedila"/>
              <w:rPr>
                <w:szCs w:val="24"/>
              </w:rPr>
            </w:pPr>
          </w:p>
        </w:tc>
      </w:tr>
    </w:tbl>
    <w:p w:rsidR="00F555D6" w:rsidRPr="005C3B55" w:rsidRDefault="00F555D6" w:rsidP="00F555D6">
      <w:pPr>
        <w:pStyle w:val="Naslov8"/>
        <w:tabs>
          <w:tab w:val="clear" w:pos="765"/>
        </w:tabs>
        <w:ind w:left="0" w:firstLine="0"/>
        <w:rPr>
          <w:b w:val="0"/>
          <w:szCs w:val="24"/>
          <w:lang w:val="en-GB"/>
        </w:rPr>
      </w:pPr>
      <w:r w:rsidRPr="005C3B55">
        <w:rPr>
          <w:b w:val="0"/>
          <w:noProof w:val="0"/>
          <w:szCs w:val="24"/>
          <w:lang w:val="en-GB"/>
        </w:rPr>
        <w:t>POZ_FFSV:</w:t>
      </w:r>
      <w:r w:rsidRPr="005C3B55">
        <w:rPr>
          <w:b w:val="0"/>
          <w:szCs w:val="24"/>
          <w:lang w:val="en-GB"/>
        </w:rPr>
        <w:t xml:space="preserve"> </w:t>
      </w:r>
      <w:r w:rsidRPr="005C3B55">
        <w:rPr>
          <w:b w:val="0"/>
          <w:noProof w:val="0"/>
          <w:szCs w:val="24"/>
          <w:lang w:val="en-GB"/>
        </w:rPr>
        <w:t>Use of only plant protection products which were approved for the narrowest water protection areas</w:t>
      </w:r>
    </w:p>
    <w:p w:rsidR="00F555D6" w:rsidRPr="005C3B55" w:rsidRDefault="00F555D6" w:rsidP="00F555D6">
      <w:pPr>
        <w:pStyle w:val="Naslov9"/>
        <w:tabs>
          <w:tab w:val="clear" w:pos="765"/>
        </w:tabs>
        <w:ind w:left="0" w:firstLine="0"/>
        <w:rPr>
          <w:szCs w:val="24"/>
          <w:lang w:val="en-GB"/>
        </w:rPr>
      </w:pPr>
      <w:r w:rsidRPr="005C3B55">
        <w:rPr>
          <w:noProof w:val="0"/>
          <w:szCs w:val="24"/>
          <w:lang w:val="en-GB"/>
        </w:rPr>
        <w:t>Methods of commitment verification</w:t>
      </w:r>
    </w:p>
    <w:p w:rsidR="00F555D6" w:rsidRPr="005C3B55" w:rsidRDefault="00F555D6" w:rsidP="00F555D6">
      <w:pPr>
        <w:pStyle w:val="Naslov9"/>
        <w:tabs>
          <w:tab w:val="clear" w:pos="765"/>
        </w:tabs>
        <w:spacing w:before="0" w:after="0"/>
        <w:ind w:left="0" w:firstLine="0"/>
        <w:rPr>
          <w:szCs w:val="24"/>
          <w:lang w:val="en-GB"/>
        </w:rPr>
      </w:pP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Administrative control:</w:t>
            </w:r>
          </w:p>
          <w:p w:rsidR="00F555D6" w:rsidRPr="005C3B55" w:rsidRDefault="00F555D6" w:rsidP="00F555D6">
            <w:pPr>
              <w:numPr>
                <w:ilvl w:val="0"/>
                <w:numId w:val="284"/>
              </w:numPr>
              <w:spacing w:before="240" w:after="240"/>
              <w:ind w:hanging="290"/>
              <w:jc w:val="left"/>
              <w:rPr>
                <w:szCs w:val="24"/>
              </w:rPr>
            </w:pPr>
            <w:r w:rsidRPr="005C3B55">
              <w:rPr>
                <w:szCs w:val="24"/>
              </w:rPr>
              <w:t>suitability of the area through the register of agricultural holdings;</w:t>
            </w:r>
          </w:p>
          <w:p w:rsidR="00F555D6" w:rsidRPr="005C3B55" w:rsidRDefault="00F555D6" w:rsidP="00F555D6">
            <w:pPr>
              <w:spacing w:before="240" w:after="240" w:line="280" w:lineRule="auto"/>
              <w:rPr>
                <w:szCs w:val="24"/>
              </w:rPr>
            </w:pPr>
            <w:r w:rsidRPr="005C3B55">
              <w:rPr>
                <w:szCs w:val="24"/>
              </w:rPr>
              <w:t>Registers/records:</w:t>
            </w:r>
          </w:p>
          <w:p w:rsidR="00F555D6" w:rsidRPr="005C3B55" w:rsidRDefault="00F555D6" w:rsidP="00F555D6">
            <w:pPr>
              <w:numPr>
                <w:ilvl w:val="0"/>
                <w:numId w:val="285"/>
              </w:numPr>
              <w:spacing w:before="240" w:after="0"/>
              <w:ind w:hanging="290"/>
              <w:jc w:val="left"/>
              <w:rPr>
                <w:szCs w:val="24"/>
              </w:rPr>
            </w:pPr>
            <w:r w:rsidRPr="005C3B55">
              <w:rPr>
                <w:szCs w:val="24"/>
              </w:rPr>
              <w:t>register of agricultural holdings;</w:t>
            </w:r>
          </w:p>
          <w:p w:rsidR="00F555D6" w:rsidRPr="005C3B55" w:rsidRDefault="00F555D6" w:rsidP="00F555D6">
            <w:pPr>
              <w:numPr>
                <w:ilvl w:val="0"/>
                <w:numId w:val="285"/>
              </w:numPr>
              <w:spacing w:before="0" w:after="0"/>
              <w:ind w:hanging="290"/>
              <w:jc w:val="left"/>
              <w:rPr>
                <w:szCs w:val="24"/>
              </w:rPr>
            </w:pPr>
            <w:r w:rsidRPr="005C3B55">
              <w:rPr>
                <w:szCs w:val="24"/>
              </w:rPr>
              <w:t>graphical agricultural unit of agricultural holding (GERK);</w:t>
            </w:r>
          </w:p>
          <w:p w:rsidR="00F555D6" w:rsidRPr="005C3B55" w:rsidRDefault="00F555D6" w:rsidP="00F555D6">
            <w:pPr>
              <w:numPr>
                <w:ilvl w:val="0"/>
                <w:numId w:val="285"/>
              </w:numPr>
              <w:spacing w:before="0" w:after="240"/>
              <w:ind w:hanging="290"/>
              <w:jc w:val="left"/>
              <w:rPr>
                <w:szCs w:val="24"/>
              </w:rPr>
            </w:pPr>
            <w:r w:rsidRPr="005C3B55">
              <w:rPr>
                <w:szCs w:val="24"/>
              </w:rPr>
              <w:t>graphic layer of the narrowest water protection areas (WPA I).</w:t>
            </w:r>
          </w:p>
          <w:p w:rsidR="00F555D6" w:rsidRPr="005C3B55" w:rsidRDefault="00F555D6" w:rsidP="00F555D6">
            <w:pPr>
              <w:spacing w:before="240" w:after="240" w:line="280" w:lineRule="auto"/>
              <w:rPr>
                <w:szCs w:val="24"/>
              </w:rPr>
            </w:pPr>
            <w:r w:rsidRPr="005C3B55">
              <w:rPr>
                <w:szCs w:val="24"/>
              </w:rPr>
              <w:t>On-site control:</w:t>
            </w:r>
          </w:p>
          <w:p w:rsidR="00F555D6" w:rsidRPr="005C3B55" w:rsidRDefault="00F555D6" w:rsidP="00F555D6">
            <w:pPr>
              <w:numPr>
                <w:ilvl w:val="0"/>
                <w:numId w:val="286"/>
              </w:numPr>
              <w:spacing w:before="240" w:after="0"/>
              <w:ind w:hanging="290"/>
              <w:jc w:val="left"/>
              <w:rPr>
                <w:szCs w:val="24"/>
              </w:rPr>
            </w:pPr>
            <w:r w:rsidRPr="005C3B55">
              <w:rPr>
                <w:szCs w:val="24"/>
              </w:rPr>
              <w:t>records on works;</w:t>
            </w:r>
          </w:p>
          <w:p w:rsidR="00F555D6" w:rsidRPr="005C3B55" w:rsidRDefault="00F555D6" w:rsidP="00F555D6">
            <w:pPr>
              <w:numPr>
                <w:ilvl w:val="0"/>
                <w:numId w:val="286"/>
              </w:numPr>
              <w:spacing w:before="0" w:after="0"/>
              <w:ind w:hanging="290"/>
              <w:jc w:val="left"/>
              <w:rPr>
                <w:szCs w:val="24"/>
              </w:rPr>
            </w:pPr>
            <w:r w:rsidRPr="005C3B55">
              <w:rPr>
                <w:szCs w:val="24"/>
              </w:rPr>
              <w:t>list of permitted plant protection products;</w:t>
            </w:r>
          </w:p>
          <w:p w:rsidR="00F555D6" w:rsidRPr="005C3B55" w:rsidRDefault="00F555D6" w:rsidP="00F555D6">
            <w:pPr>
              <w:numPr>
                <w:ilvl w:val="0"/>
                <w:numId w:val="286"/>
              </w:numPr>
              <w:spacing w:before="0" w:after="0"/>
              <w:ind w:hanging="290"/>
              <w:jc w:val="left"/>
              <w:rPr>
                <w:szCs w:val="24"/>
              </w:rPr>
            </w:pPr>
            <w:r w:rsidRPr="005C3B55">
              <w:rPr>
                <w:szCs w:val="24"/>
              </w:rPr>
              <w:t>invoice on the purchase of plant protection products;</w:t>
            </w:r>
          </w:p>
          <w:p w:rsidR="00F555D6" w:rsidRPr="005C3B55" w:rsidRDefault="00F555D6" w:rsidP="00F555D6">
            <w:pPr>
              <w:numPr>
                <w:ilvl w:val="0"/>
                <w:numId w:val="286"/>
              </w:numPr>
              <w:spacing w:before="0" w:after="240"/>
              <w:ind w:hanging="290"/>
              <w:jc w:val="left"/>
              <w:rPr>
                <w:szCs w:val="24"/>
              </w:rPr>
            </w:pPr>
            <w:r w:rsidRPr="005C3B55">
              <w:rPr>
                <w:szCs w:val="24"/>
              </w:rPr>
              <w:t>review of the agricultural holding.</w:t>
            </w:r>
          </w:p>
          <w:p w:rsidR="00F555D6" w:rsidRPr="005C3B55" w:rsidRDefault="00F555D6" w:rsidP="00F555D6">
            <w:pPr>
              <w:pStyle w:val="Telobesedila"/>
              <w:rPr>
                <w:szCs w:val="24"/>
              </w:rPr>
            </w:pPr>
          </w:p>
        </w:tc>
      </w:tr>
    </w:tbl>
    <w:p w:rsidR="00F555D6" w:rsidRPr="005C3B55" w:rsidRDefault="00F555D6" w:rsidP="00F555D6">
      <w:pPr>
        <w:pStyle w:val="Naslov8"/>
        <w:tabs>
          <w:tab w:val="clear" w:pos="765"/>
        </w:tabs>
        <w:ind w:left="0" w:firstLine="0"/>
        <w:rPr>
          <w:b w:val="0"/>
          <w:szCs w:val="24"/>
          <w:lang w:val="en-GB"/>
        </w:rPr>
      </w:pPr>
      <w:r w:rsidRPr="005C3B55">
        <w:rPr>
          <w:b w:val="0"/>
          <w:noProof w:val="0"/>
          <w:szCs w:val="24"/>
          <w:lang w:val="en-GB"/>
        </w:rPr>
        <w:t>POZ_KOL:</w:t>
      </w:r>
      <w:r w:rsidRPr="005C3B55">
        <w:rPr>
          <w:b w:val="0"/>
          <w:szCs w:val="24"/>
          <w:lang w:val="en-GB"/>
        </w:rPr>
        <w:t xml:space="preserve"> </w:t>
      </w:r>
      <w:r w:rsidRPr="005C3B55">
        <w:rPr>
          <w:b w:val="0"/>
          <w:noProof w:val="0"/>
          <w:szCs w:val="24"/>
          <w:lang w:val="en-GB"/>
        </w:rPr>
        <w:t>Five-year crop rotation</w:t>
      </w:r>
    </w:p>
    <w:p w:rsidR="00F555D6" w:rsidRPr="005C3B55" w:rsidRDefault="00F555D6" w:rsidP="00F555D6">
      <w:pPr>
        <w:pStyle w:val="Naslov9"/>
        <w:tabs>
          <w:tab w:val="clear" w:pos="765"/>
        </w:tabs>
        <w:ind w:left="0" w:firstLine="0"/>
        <w:rPr>
          <w:szCs w:val="24"/>
          <w:lang w:val="en-GB"/>
        </w:rPr>
      </w:pPr>
      <w:r w:rsidRPr="005C3B55">
        <w:rPr>
          <w:noProof w:val="0"/>
          <w:szCs w:val="24"/>
          <w:lang w:val="en-GB"/>
        </w:rPr>
        <w:t>Methods of commitment verification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Administrative control:</w:t>
            </w:r>
          </w:p>
          <w:p w:rsidR="00F555D6" w:rsidRPr="005C3B55" w:rsidRDefault="00F555D6" w:rsidP="00F555D6">
            <w:pPr>
              <w:numPr>
                <w:ilvl w:val="0"/>
                <w:numId w:val="287"/>
              </w:numPr>
              <w:spacing w:before="240" w:after="0"/>
              <w:ind w:hanging="290"/>
              <w:jc w:val="left"/>
              <w:rPr>
                <w:szCs w:val="24"/>
              </w:rPr>
            </w:pPr>
            <w:r w:rsidRPr="005C3B55">
              <w:rPr>
                <w:szCs w:val="24"/>
              </w:rPr>
              <w:t>design of crop rotation (for each crop) through the programme of activities;</w:t>
            </w:r>
          </w:p>
          <w:p w:rsidR="00F555D6" w:rsidRPr="005C3B55" w:rsidRDefault="00F555D6" w:rsidP="00F555D6">
            <w:pPr>
              <w:numPr>
                <w:ilvl w:val="0"/>
                <w:numId w:val="287"/>
              </w:numPr>
              <w:spacing w:before="0" w:after="0"/>
              <w:ind w:hanging="290"/>
              <w:jc w:val="left"/>
              <w:rPr>
                <w:szCs w:val="24"/>
              </w:rPr>
            </w:pPr>
            <w:r w:rsidRPr="005C3B55">
              <w:rPr>
                <w:szCs w:val="24"/>
              </w:rPr>
              <w:t>suitability of the group of plants through collective application;</w:t>
            </w:r>
          </w:p>
          <w:p w:rsidR="00F555D6" w:rsidRPr="005C3B55" w:rsidRDefault="00F555D6" w:rsidP="00F555D6">
            <w:pPr>
              <w:numPr>
                <w:ilvl w:val="0"/>
                <w:numId w:val="287"/>
              </w:numPr>
              <w:spacing w:before="0" w:after="0"/>
              <w:ind w:hanging="290"/>
              <w:jc w:val="left"/>
              <w:rPr>
                <w:szCs w:val="24"/>
              </w:rPr>
            </w:pPr>
            <w:r w:rsidRPr="005C3B55">
              <w:rPr>
                <w:szCs w:val="24"/>
              </w:rPr>
              <w:t>annual monitoring of maize alternation;</w:t>
            </w:r>
          </w:p>
          <w:p w:rsidR="00F555D6" w:rsidRPr="005C3B55" w:rsidRDefault="00F555D6" w:rsidP="00F555D6">
            <w:pPr>
              <w:numPr>
                <w:ilvl w:val="0"/>
                <w:numId w:val="287"/>
              </w:numPr>
              <w:spacing w:before="0" w:after="240"/>
              <w:ind w:hanging="290"/>
              <w:jc w:val="left"/>
              <w:rPr>
                <w:szCs w:val="24"/>
              </w:rPr>
            </w:pPr>
            <w:r w:rsidRPr="005C3B55">
              <w:rPr>
                <w:szCs w:val="24"/>
              </w:rPr>
              <w:t>control of crop rotation suitability after five years.</w:t>
            </w:r>
          </w:p>
          <w:p w:rsidR="00F555D6" w:rsidRPr="005C3B55" w:rsidRDefault="00F555D6" w:rsidP="00F555D6">
            <w:pPr>
              <w:spacing w:before="240" w:after="240" w:line="280" w:lineRule="auto"/>
              <w:rPr>
                <w:szCs w:val="24"/>
              </w:rPr>
            </w:pPr>
            <w:r w:rsidRPr="005C3B55">
              <w:rPr>
                <w:szCs w:val="24"/>
              </w:rPr>
              <w:t>Registers/records:</w:t>
            </w:r>
          </w:p>
          <w:p w:rsidR="00F555D6" w:rsidRPr="005C3B55" w:rsidRDefault="00F555D6" w:rsidP="00F555D6">
            <w:pPr>
              <w:numPr>
                <w:ilvl w:val="0"/>
                <w:numId w:val="288"/>
              </w:numPr>
              <w:spacing w:before="240" w:after="0"/>
              <w:ind w:hanging="290"/>
              <w:jc w:val="left"/>
              <w:rPr>
                <w:szCs w:val="24"/>
              </w:rPr>
            </w:pPr>
            <w:r w:rsidRPr="005C3B55">
              <w:rPr>
                <w:szCs w:val="24"/>
              </w:rPr>
              <w:t>register of agricultural holdings;</w:t>
            </w:r>
          </w:p>
          <w:p w:rsidR="00F555D6" w:rsidRPr="005C3B55" w:rsidRDefault="00F555D6" w:rsidP="00F555D6">
            <w:pPr>
              <w:numPr>
                <w:ilvl w:val="0"/>
                <w:numId w:val="288"/>
              </w:numPr>
              <w:spacing w:before="0" w:after="240"/>
              <w:ind w:hanging="290"/>
              <w:jc w:val="left"/>
              <w:rPr>
                <w:szCs w:val="24"/>
              </w:rPr>
            </w:pPr>
            <w:r w:rsidRPr="005C3B55">
              <w:rPr>
                <w:szCs w:val="24"/>
              </w:rPr>
              <w:t>graphical agricultural unit of agricultural holding (GERK).</w:t>
            </w:r>
          </w:p>
          <w:p w:rsidR="00F555D6" w:rsidRPr="005C3B55" w:rsidRDefault="00F555D6" w:rsidP="00F555D6">
            <w:pPr>
              <w:spacing w:before="240" w:after="240" w:line="280" w:lineRule="auto"/>
              <w:rPr>
                <w:szCs w:val="24"/>
              </w:rPr>
            </w:pPr>
            <w:r w:rsidRPr="005C3B55">
              <w:rPr>
                <w:szCs w:val="24"/>
              </w:rPr>
              <w:t>On-site control:</w:t>
            </w:r>
          </w:p>
          <w:p w:rsidR="00F555D6" w:rsidRPr="005C3B55" w:rsidRDefault="00F555D6" w:rsidP="00F555D6">
            <w:pPr>
              <w:numPr>
                <w:ilvl w:val="0"/>
                <w:numId w:val="289"/>
              </w:numPr>
              <w:spacing w:before="240" w:after="0"/>
              <w:ind w:hanging="290"/>
              <w:jc w:val="left"/>
              <w:rPr>
                <w:szCs w:val="24"/>
              </w:rPr>
            </w:pPr>
            <w:r w:rsidRPr="005C3B55">
              <w:rPr>
                <w:szCs w:val="24"/>
              </w:rPr>
              <w:t>records on works;</w:t>
            </w:r>
          </w:p>
          <w:p w:rsidR="00F555D6" w:rsidRPr="005C3B55" w:rsidRDefault="00F555D6" w:rsidP="00F555D6">
            <w:pPr>
              <w:numPr>
                <w:ilvl w:val="0"/>
                <w:numId w:val="289"/>
              </w:numPr>
              <w:spacing w:before="0" w:after="0"/>
              <w:ind w:hanging="290"/>
              <w:jc w:val="left"/>
              <w:rPr>
                <w:szCs w:val="24"/>
              </w:rPr>
            </w:pPr>
            <w:r w:rsidRPr="005C3B55">
              <w:rPr>
                <w:szCs w:val="24"/>
              </w:rPr>
              <w:t>compliance of the design of the crop rotation with the situation in nature;</w:t>
            </w:r>
          </w:p>
          <w:p w:rsidR="00F555D6" w:rsidRPr="005C3B55" w:rsidRDefault="00F555D6" w:rsidP="00F555D6">
            <w:pPr>
              <w:numPr>
                <w:ilvl w:val="0"/>
                <w:numId w:val="289"/>
              </w:numPr>
              <w:spacing w:before="0" w:after="0"/>
              <w:ind w:hanging="290"/>
              <w:jc w:val="left"/>
              <w:rPr>
                <w:szCs w:val="24"/>
              </w:rPr>
            </w:pPr>
            <w:r w:rsidRPr="005C3B55">
              <w:rPr>
                <w:szCs w:val="24"/>
              </w:rPr>
              <w:t>compliance of the applied agricultural plant with the situation in nature;</w:t>
            </w:r>
          </w:p>
          <w:p w:rsidR="00F555D6" w:rsidRPr="005C3B55" w:rsidRDefault="00F555D6" w:rsidP="00F555D6">
            <w:pPr>
              <w:numPr>
                <w:ilvl w:val="0"/>
                <w:numId w:val="289"/>
              </w:numPr>
              <w:spacing w:before="0" w:after="240"/>
              <w:ind w:hanging="290"/>
              <w:jc w:val="left"/>
              <w:rPr>
                <w:szCs w:val="24"/>
              </w:rPr>
            </w:pPr>
            <w:r w:rsidRPr="005C3B55">
              <w:rPr>
                <w:szCs w:val="24"/>
              </w:rPr>
              <w:t>review of the agricultural holding.</w:t>
            </w:r>
          </w:p>
          <w:p w:rsidR="00F555D6" w:rsidRPr="005C3B55" w:rsidRDefault="00F555D6" w:rsidP="00F555D6">
            <w:pPr>
              <w:pStyle w:val="Telobesedila"/>
              <w:rPr>
                <w:szCs w:val="24"/>
              </w:rPr>
            </w:pPr>
          </w:p>
        </w:tc>
      </w:tr>
    </w:tbl>
    <w:p w:rsidR="00F555D6" w:rsidRPr="005C3B55" w:rsidRDefault="00F555D6" w:rsidP="00F555D6">
      <w:pPr>
        <w:pStyle w:val="Naslov8"/>
        <w:tabs>
          <w:tab w:val="clear" w:pos="765"/>
        </w:tabs>
        <w:ind w:left="0" w:firstLine="0"/>
        <w:rPr>
          <w:b w:val="0"/>
          <w:szCs w:val="24"/>
          <w:lang w:val="en-GB"/>
        </w:rPr>
      </w:pPr>
      <w:r w:rsidRPr="005C3B55">
        <w:rPr>
          <w:b w:val="0"/>
          <w:noProof w:val="0"/>
          <w:szCs w:val="24"/>
          <w:lang w:val="en-GB"/>
        </w:rPr>
        <w:t>POZ_KONZ:</w:t>
      </w:r>
      <w:r w:rsidRPr="005C3B55">
        <w:rPr>
          <w:b w:val="0"/>
          <w:szCs w:val="24"/>
          <w:lang w:val="en-GB"/>
        </w:rPr>
        <w:t xml:space="preserve"> </w:t>
      </w:r>
      <w:r w:rsidRPr="005C3B55">
        <w:rPr>
          <w:b w:val="0"/>
          <w:noProof w:val="0"/>
          <w:szCs w:val="24"/>
          <w:lang w:val="en-GB"/>
        </w:rPr>
        <w:t>Conservation tillage</w:t>
      </w:r>
    </w:p>
    <w:p w:rsidR="00F555D6" w:rsidRPr="005C3B55" w:rsidRDefault="00F555D6" w:rsidP="00F555D6">
      <w:pPr>
        <w:pStyle w:val="Naslov9"/>
        <w:tabs>
          <w:tab w:val="clear" w:pos="765"/>
        </w:tabs>
        <w:ind w:left="0" w:firstLine="0"/>
        <w:rPr>
          <w:szCs w:val="24"/>
          <w:lang w:val="en-GB"/>
        </w:rPr>
      </w:pPr>
      <w:r w:rsidRPr="005C3B55">
        <w:rPr>
          <w:noProof w:val="0"/>
          <w:szCs w:val="24"/>
          <w:lang w:val="en-GB"/>
        </w:rPr>
        <w:t>Methods of commitment verification</w:t>
      </w:r>
    </w:p>
    <w:p w:rsidR="00F555D6" w:rsidRPr="005C3B55" w:rsidRDefault="00F555D6" w:rsidP="00F555D6">
      <w:pPr>
        <w:pStyle w:val="Naslov9"/>
        <w:tabs>
          <w:tab w:val="clear" w:pos="765"/>
        </w:tabs>
        <w:spacing w:before="0" w:after="0"/>
        <w:ind w:left="0" w:firstLine="0"/>
        <w:rPr>
          <w:szCs w:val="24"/>
          <w:lang w:val="en-GB"/>
        </w:rPr>
      </w:pP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Administrative control:</w:t>
            </w:r>
          </w:p>
          <w:p w:rsidR="00F555D6" w:rsidRPr="005C3B55" w:rsidRDefault="00F555D6" w:rsidP="00F555D6">
            <w:pPr>
              <w:numPr>
                <w:ilvl w:val="0"/>
                <w:numId w:val="290"/>
              </w:numPr>
              <w:spacing w:before="240" w:after="240"/>
              <w:ind w:hanging="290"/>
              <w:jc w:val="left"/>
              <w:rPr>
                <w:szCs w:val="24"/>
              </w:rPr>
            </w:pPr>
            <w:r w:rsidRPr="005C3B55">
              <w:rPr>
                <w:szCs w:val="24"/>
              </w:rPr>
              <w:t>suitability of the agricultural plant through collective application.</w:t>
            </w:r>
          </w:p>
          <w:p w:rsidR="00F555D6" w:rsidRPr="005C3B55" w:rsidRDefault="00F555D6" w:rsidP="00F555D6">
            <w:pPr>
              <w:spacing w:before="240" w:after="240" w:line="280" w:lineRule="auto"/>
              <w:rPr>
                <w:szCs w:val="24"/>
              </w:rPr>
            </w:pPr>
            <w:r w:rsidRPr="005C3B55">
              <w:rPr>
                <w:szCs w:val="24"/>
              </w:rPr>
              <w:t>Registers/records:</w:t>
            </w:r>
          </w:p>
          <w:p w:rsidR="00F555D6" w:rsidRPr="005C3B55" w:rsidRDefault="00F555D6" w:rsidP="00F555D6">
            <w:pPr>
              <w:numPr>
                <w:ilvl w:val="0"/>
                <w:numId w:val="291"/>
              </w:numPr>
              <w:spacing w:before="240" w:after="0"/>
              <w:ind w:hanging="290"/>
              <w:jc w:val="left"/>
              <w:rPr>
                <w:szCs w:val="24"/>
              </w:rPr>
            </w:pPr>
            <w:r w:rsidRPr="005C3B55">
              <w:rPr>
                <w:szCs w:val="24"/>
              </w:rPr>
              <w:t>register of agricultural holdings;</w:t>
            </w:r>
          </w:p>
          <w:p w:rsidR="00F555D6" w:rsidRPr="005C3B55" w:rsidRDefault="00F555D6" w:rsidP="00F555D6">
            <w:pPr>
              <w:numPr>
                <w:ilvl w:val="0"/>
                <w:numId w:val="291"/>
              </w:numPr>
              <w:spacing w:before="0" w:after="240"/>
              <w:ind w:hanging="290"/>
              <w:jc w:val="left"/>
              <w:rPr>
                <w:szCs w:val="24"/>
              </w:rPr>
            </w:pPr>
            <w:r w:rsidRPr="005C3B55">
              <w:rPr>
                <w:szCs w:val="24"/>
              </w:rPr>
              <w:t>graphical agricultural unit of agricultural holding (GERK).</w:t>
            </w:r>
          </w:p>
          <w:p w:rsidR="00F555D6" w:rsidRPr="005C3B55" w:rsidRDefault="00F555D6" w:rsidP="00F555D6">
            <w:pPr>
              <w:spacing w:before="240" w:after="240" w:line="280" w:lineRule="auto"/>
              <w:rPr>
                <w:szCs w:val="24"/>
              </w:rPr>
            </w:pPr>
            <w:r w:rsidRPr="005C3B55">
              <w:rPr>
                <w:szCs w:val="24"/>
              </w:rPr>
              <w:t>On-site control:</w:t>
            </w:r>
          </w:p>
          <w:p w:rsidR="00F555D6" w:rsidRPr="005C3B55" w:rsidRDefault="00F555D6" w:rsidP="00F555D6">
            <w:pPr>
              <w:numPr>
                <w:ilvl w:val="0"/>
                <w:numId w:val="292"/>
              </w:numPr>
              <w:spacing w:before="240" w:after="0"/>
              <w:ind w:hanging="290"/>
              <w:jc w:val="left"/>
              <w:rPr>
                <w:szCs w:val="24"/>
              </w:rPr>
            </w:pPr>
            <w:r w:rsidRPr="005C3B55">
              <w:rPr>
                <w:szCs w:val="24"/>
              </w:rPr>
              <w:t>records on works;</w:t>
            </w:r>
          </w:p>
          <w:p w:rsidR="00F555D6" w:rsidRPr="005C3B55" w:rsidRDefault="00F555D6" w:rsidP="00F555D6">
            <w:pPr>
              <w:numPr>
                <w:ilvl w:val="0"/>
                <w:numId w:val="292"/>
              </w:numPr>
              <w:spacing w:before="0" w:after="240"/>
              <w:ind w:hanging="290"/>
              <w:jc w:val="left"/>
              <w:rPr>
                <w:szCs w:val="24"/>
              </w:rPr>
            </w:pPr>
            <w:r w:rsidRPr="005C3B55">
              <w:rPr>
                <w:szCs w:val="24"/>
              </w:rPr>
              <w:t>review of the agricultural holding.</w:t>
            </w:r>
          </w:p>
          <w:p w:rsidR="00F555D6" w:rsidRPr="005C3B55" w:rsidRDefault="00F555D6" w:rsidP="00F555D6">
            <w:pPr>
              <w:pStyle w:val="Telobesedila"/>
              <w:rPr>
                <w:szCs w:val="24"/>
              </w:rPr>
            </w:pPr>
          </w:p>
        </w:tc>
      </w:tr>
    </w:tbl>
    <w:p w:rsidR="00F555D6" w:rsidRPr="005C3B55" w:rsidRDefault="00F555D6" w:rsidP="00F555D6">
      <w:pPr>
        <w:pStyle w:val="Naslov8"/>
        <w:tabs>
          <w:tab w:val="clear" w:pos="765"/>
        </w:tabs>
        <w:ind w:left="0" w:firstLine="0"/>
        <w:rPr>
          <w:b w:val="0"/>
          <w:szCs w:val="24"/>
          <w:lang w:val="en-GB"/>
        </w:rPr>
      </w:pPr>
      <w:r w:rsidRPr="005C3B55">
        <w:rPr>
          <w:b w:val="0"/>
          <w:noProof w:val="0"/>
          <w:szCs w:val="24"/>
          <w:lang w:val="en-GB"/>
        </w:rPr>
        <w:t>POZ_MEHZ:</w:t>
      </w:r>
      <w:r w:rsidRPr="005C3B55">
        <w:rPr>
          <w:b w:val="0"/>
          <w:szCs w:val="24"/>
          <w:lang w:val="en-GB"/>
        </w:rPr>
        <w:t xml:space="preserve"> </w:t>
      </w:r>
      <w:r w:rsidRPr="005C3B55">
        <w:rPr>
          <w:b w:val="0"/>
          <w:noProof w:val="0"/>
          <w:szCs w:val="24"/>
          <w:lang w:val="en-GB"/>
        </w:rPr>
        <w:t>Use of mulches or mechanical weeding</w:t>
      </w:r>
    </w:p>
    <w:p w:rsidR="00F555D6" w:rsidRPr="005C3B55" w:rsidRDefault="00F555D6" w:rsidP="00F555D6">
      <w:pPr>
        <w:pStyle w:val="Naslov9"/>
        <w:tabs>
          <w:tab w:val="clear" w:pos="765"/>
        </w:tabs>
        <w:ind w:left="0" w:firstLine="0"/>
        <w:rPr>
          <w:szCs w:val="24"/>
          <w:lang w:val="en-GB"/>
        </w:rPr>
      </w:pPr>
      <w:r w:rsidRPr="005C3B55">
        <w:rPr>
          <w:noProof w:val="0"/>
          <w:szCs w:val="24"/>
          <w:lang w:val="en-GB"/>
        </w:rPr>
        <w:t>Methods of commitment verification</w:t>
      </w:r>
    </w:p>
    <w:p w:rsidR="00F555D6" w:rsidRPr="005C3B55" w:rsidRDefault="00F555D6" w:rsidP="00F555D6">
      <w:pPr>
        <w:pStyle w:val="Naslov9"/>
        <w:tabs>
          <w:tab w:val="clear" w:pos="765"/>
        </w:tabs>
        <w:spacing w:before="0" w:after="0"/>
        <w:ind w:left="0" w:firstLine="0"/>
        <w:rPr>
          <w:szCs w:val="24"/>
          <w:lang w:val="en-GB"/>
        </w:rPr>
      </w:pP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Administrative control:</w:t>
            </w:r>
          </w:p>
          <w:p w:rsidR="00F555D6" w:rsidRPr="005C3B55" w:rsidRDefault="00F555D6" w:rsidP="00F555D6">
            <w:pPr>
              <w:numPr>
                <w:ilvl w:val="0"/>
                <w:numId w:val="293"/>
              </w:numPr>
              <w:spacing w:before="240" w:after="240"/>
              <w:ind w:hanging="290"/>
              <w:jc w:val="left"/>
              <w:rPr>
                <w:szCs w:val="24"/>
              </w:rPr>
            </w:pPr>
            <w:r w:rsidRPr="005C3B55">
              <w:rPr>
                <w:szCs w:val="24"/>
              </w:rPr>
              <w:t>suitability of the agricultural plant is verified through collective application.</w:t>
            </w:r>
          </w:p>
          <w:p w:rsidR="00F555D6" w:rsidRPr="005C3B55" w:rsidRDefault="00F555D6" w:rsidP="00F555D6">
            <w:pPr>
              <w:spacing w:before="240" w:after="240" w:line="280" w:lineRule="auto"/>
              <w:rPr>
                <w:szCs w:val="24"/>
              </w:rPr>
            </w:pPr>
            <w:r w:rsidRPr="005C3B55">
              <w:rPr>
                <w:szCs w:val="24"/>
              </w:rPr>
              <w:t>Registers/records:</w:t>
            </w:r>
          </w:p>
          <w:p w:rsidR="00F555D6" w:rsidRPr="005C3B55" w:rsidRDefault="00F555D6" w:rsidP="00F555D6">
            <w:pPr>
              <w:numPr>
                <w:ilvl w:val="0"/>
                <w:numId w:val="294"/>
              </w:numPr>
              <w:spacing w:before="240" w:after="0"/>
              <w:ind w:hanging="290"/>
              <w:jc w:val="left"/>
              <w:rPr>
                <w:szCs w:val="24"/>
              </w:rPr>
            </w:pPr>
            <w:r w:rsidRPr="005C3B55">
              <w:rPr>
                <w:szCs w:val="24"/>
              </w:rPr>
              <w:t>register of agricultural holdings;</w:t>
            </w:r>
          </w:p>
          <w:p w:rsidR="00F555D6" w:rsidRPr="005C3B55" w:rsidRDefault="00F555D6" w:rsidP="00F555D6">
            <w:pPr>
              <w:numPr>
                <w:ilvl w:val="0"/>
                <w:numId w:val="294"/>
              </w:numPr>
              <w:spacing w:before="0" w:after="240"/>
              <w:ind w:hanging="290"/>
              <w:jc w:val="left"/>
              <w:rPr>
                <w:szCs w:val="24"/>
              </w:rPr>
            </w:pPr>
            <w:r w:rsidRPr="005C3B55">
              <w:rPr>
                <w:szCs w:val="24"/>
              </w:rPr>
              <w:t>graphical agricultural unit of agricultural holding (GERK).</w:t>
            </w:r>
          </w:p>
          <w:p w:rsidR="00F555D6" w:rsidRPr="005C3B55" w:rsidRDefault="00F555D6" w:rsidP="00F555D6">
            <w:pPr>
              <w:spacing w:before="240" w:after="240" w:line="280" w:lineRule="auto"/>
              <w:rPr>
                <w:szCs w:val="24"/>
              </w:rPr>
            </w:pPr>
            <w:r w:rsidRPr="005C3B55">
              <w:rPr>
                <w:szCs w:val="24"/>
              </w:rPr>
              <w:t>On-site control:</w:t>
            </w:r>
          </w:p>
          <w:p w:rsidR="00F555D6" w:rsidRPr="005C3B55" w:rsidRDefault="00F555D6" w:rsidP="00F555D6">
            <w:pPr>
              <w:numPr>
                <w:ilvl w:val="0"/>
                <w:numId w:val="295"/>
              </w:numPr>
              <w:spacing w:before="240" w:after="0"/>
              <w:ind w:hanging="290"/>
              <w:jc w:val="left"/>
              <w:rPr>
                <w:szCs w:val="24"/>
              </w:rPr>
            </w:pPr>
            <w:r w:rsidRPr="005C3B55">
              <w:rPr>
                <w:szCs w:val="24"/>
              </w:rPr>
              <w:t>records on works;</w:t>
            </w:r>
          </w:p>
          <w:p w:rsidR="00F555D6" w:rsidRPr="005C3B55" w:rsidRDefault="00F555D6" w:rsidP="00F555D6">
            <w:pPr>
              <w:numPr>
                <w:ilvl w:val="0"/>
                <w:numId w:val="295"/>
              </w:numPr>
              <w:spacing w:before="0" w:after="0"/>
              <w:ind w:hanging="290"/>
              <w:jc w:val="left"/>
              <w:rPr>
                <w:szCs w:val="24"/>
              </w:rPr>
            </w:pPr>
            <w:r w:rsidRPr="005C3B55">
              <w:rPr>
                <w:szCs w:val="24"/>
              </w:rPr>
              <w:t>invoice on the purchase;</w:t>
            </w:r>
          </w:p>
          <w:p w:rsidR="00F555D6" w:rsidRPr="005C3B55" w:rsidRDefault="00F555D6" w:rsidP="00F555D6">
            <w:pPr>
              <w:numPr>
                <w:ilvl w:val="0"/>
                <w:numId w:val="295"/>
              </w:numPr>
              <w:spacing w:before="0" w:after="0"/>
              <w:ind w:hanging="290"/>
              <w:jc w:val="left"/>
              <w:rPr>
                <w:szCs w:val="24"/>
              </w:rPr>
            </w:pPr>
            <w:r w:rsidRPr="005C3B55">
              <w:rPr>
                <w:szCs w:val="24"/>
              </w:rPr>
              <w:t>presence of suitable machinery on agricultural holdings;</w:t>
            </w:r>
          </w:p>
          <w:p w:rsidR="00F555D6" w:rsidRPr="005C3B55" w:rsidRDefault="00F555D6" w:rsidP="00F555D6">
            <w:pPr>
              <w:numPr>
                <w:ilvl w:val="0"/>
                <w:numId w:val="295"/>
              </w:numPr>
              <w:spacing w:before="0" w:after="0"/>
              <w:ind w:hanging="290"/>
              <w:jc w:val="left"/>
              <w:rPr>
                <w:szCs w:val="24"/>
              </w:rPr>
            </w:pPr>
            <w:r w:rsidRPr="005C3B55">
              <w:rPr>
                <w:szCs w:val="24"/>
              </w:rPr>
              <w:t>agreement between the contractor and the user of mechanical services;</w:t>
            </w:r>
          </w:p>
          <w:p w:rsidR="00F555D6" w:rsidRPr="005C3B55" w:rsidRDefault="00F555D6" w:rsidP="00F555D6">
            <w:pPr>
              <w:numPr>
                <w:ilvl w:val="0"/>
                <w:numId w:val="295"/>
              </w:numPr>
              <w:spacing w:before="0" w:after="0"/>
              <w:ind w:hanging="290"/>
              <w:jc w:val="left"/>
              <w:rPr>
                <w:szCs w:val="24"/>
              </w:rPr>
            </w:pPr>
            <w:r w:rsidRPr="005C3B55">
              <w:rPr>
                <w:szCs w:val="24"/>
              </w:rPr>
              <w:t>invoice for the service implemented by the machinery hire syndicate;</w:t>
            </w:r>
          </w:p>
          <w:p w:rsidR="00F555D6" w:rsidRPr="005C3B55" w:rsidRDefault="00F555D6" w:rsidP="00F555D6">
            <w:pPr>
              <w:numPr>
                <w:ilvl w:val="0"/>
                <w:numId w:val="295"/>
              </w:numPr>
              <w:spacing w:before="0" w:after="240"/>
              <w:ind w:hanging="290"/>
              <w:jc w:val="left"/>
              <w:rPr>
                <w:szCs w:val="24"/>
              </w:rPr>
            </w:pPr>
            <w:r w:rsidRPr="005C3B55">
              <w:rPr>
                <w:szCs w:val="24"/>
              </w:rPr>
              <w:t>review of the agricultural holding.</w:t>
            </w:r>
          </w:p>
          <w:p w:rsidR="00F555D6" w:rsidRPr="005C3B55" w:rsidRDefault="00F555D6" w:rsidP="00F555D6">
            <w:pPr>
              <w:pStyle w:val="Telobesedila"/>
              <w:rPr>
                <w:szCs w:val="24"/>
              </w:rPr>
            </w:pPr>
          </w:p>
        </w:tc>
      </w:tr>
    </w:tbl>
    <w:p w:rsidR="00F555D6" w:rsidRPr="005C3B55" w:rsidRDefault="00F555D6" w:rsidP="00F555D6">
      <w:pPr>
        <w:pStyle w:val="Naslov8"/>
        <w:tabs>
          <w:tab w:val="clear" w:pos="765"/>
        </w:tabs>
        <w:ind w:left="0" w:firstLine="0"/>
        <w:rPr>
          <w:b w:val="0"/>
          <w:szCs w:val="24"/>
          <w:lang w:val="en-GB"/>
        </w:rPr>
      </w:pPr>
      <w:r w:rsidRPr="005C3B55">
        <w:rPr>
          <w:b w:val="0"/>
          <w:noProof w:val="0"/>
          <w:szCs w:val="24"/>
          <w:lang w:val="en-GB"/>
        </w:rPr>
        <w:t>POZ_NEP:</w:t>
      </w:r>
      <w:r w:rsidRPr="005C3B55">
        <w:rPr>
          <w:b w:val="0"/>
          <w:szCs w:val="24"/>
          <w:lang w:val="en-GB"/>
        </w:rPr>
        <w:t xml:space="preserve"> </w:t>
      </w:r>
      <w:r w:rsidRPr="005C3B55">
        <w:rPr>
          <w:b w:val="0"/>
          <w:noProof w:val="0"/>
          <w:szCs w:val="24"/>
          <w:lang w:val="en-GB"/>
        </w:rPr>
        <w:t>Non-overwintering honey crops</w:t>
      </w:r>
    </w:p>
    <w:p w:rsidR="00F555D6" w:rsidRPr="005C3B55" w:rsidRDefault="00F555D6" w:rsidP="00F555D6">
      <w:pPr>
        <w:pStyle w:val="Naslov9"/>
        <w:tabs>
          <w:tab w:val="clear" w:pos="765"/>
        </w:tabs>
        <w:ind w:left="0" w:firstLine="0"/>
        <w:rPr>
          <w:szCs w:val="24"/>
          <w:lang w:val="en-GB"/>
        </w:rPr>
      </w:pPr>
      <w:r w:rsidRPr="005C3B55">
        <w:rPr>
          <w:noProof w:val="0"/>
          <w:szCs w:val="24"/>
          <w:lang w:val="en-GB"/>
        </w:rPr>
        <w:t>Methods of commitment verification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Administrative control:</w:t>
            </w:r>
          </w:p>
          <w:p w:rsidR="00F555D6" w:rsidRPr="005C3B55" w:rsidRDefault="00F555D6" w:rsidP="00F555D6">
            <w:pPr>
              <w:numPr>
                <w:ilvl w:val="0"/>
                <w:numId w:val="296"/>
              </w:numPr>
              <w:spacing w:before="240" w:after="0"/>
              <w:ind w:hanging="290"/>
              <w:jc w:val="left"/>
              <w:rPr>
                <w:szCs w:val="24"/>
              </w:rPr>
            </w:pPr>
            <w:r w:rsidRPr="005C3B55">
              <w:rPr>
                <w:szCs w:val="24"/>
              </w:rPr>
              <w:t>suitability of the area through the register of agricultural holdings;</w:t>
            </w:r>
          </w:p>
          <w:p w:rsidR="00F555D6" w:rsidRPr="005C3B55" w:rsidRDefault="00F555D6" w:rsidP="00F555D6">
            <w:pPr>
              <w:numPr>
                <w:ilvl w:val="0"/>
                <w:numId w:val="296"/>
              </w:numPr>
              <w:spacing w:before="0" w:after="0"/>
              <w:ind w:hanging="290"/>
              <w:jc w:val="left"/>
              <w:rPr>
                <w:szCs w:val="24"/>
              </w:rPr>
            </w:pPr>
            <w:r w:rsidRPr="005C3B55">
              <w:rPr>
                <w:szCs w:val="24"/>
              </w:rPr>
              <w:t>verification of inclusion of the same agricultural plant in several requirements;</w:t>
            </w:r>
          </w:p>
          <w:p w:rsidR="00F555D6" w:rsidRPr="005C3B55" w:rsidRDefault="00F555D6" w:rsidP="00F555D6">
            <w:pPr>
              <w:numPr>
                <w:ilvl w:val="0"/>
                <w:numId w:val="296"/>
              </w:numPr>
              <w:spacing w:before="0" w:after="240"/>
              <w:ind w:hanging="290"/>
              <w:jc w:val="left"/>
              <w:rPr>
                <w:szCs w:val="24"/>
              </w:rPr>
            </w:pPr>
            <w:r w:rsidRPr="005C3B55">
              <w:rPr>
                <w:szCs w:val="24"/>
              </w:rPr>
              <w:t>suitability of the agricultural plant through collective application.</w:t>
            </w:r>
          </w:p>
          <w:p w:rsidR="00F555D6" w:rsidRPr="005C3B55" w:rsidRDefault="00F555D6" w:rsidP="00F555D6">
            <w:pPr>
              <w:spacing w:before="240" w:after="240" w:line="280" w:lineRule="auto"/>
              <w:rPr>
                <w:szCs w:val="24"/>
              </w:rPr>
            </w:pPr>
            <w:r w:rsidRPr="005C3B55">
              <w:rPr>
                <w:szCs w:val="24"/>
              </w:rPr>
              <w:t>Registers/records:</w:t>
            </w:r>
          </w:p>
          <w:p w:rsidR="00F555D6" w:rsidRPr="005C3B55" w:rsidRDefault="00F555D6" w:rsidP="00F555D6">
            <w:pPr>
              <w:numPr>
                <w:ilvl w:val="0"/>
                <w:numId w:val="297"/>
              </w:numPr>
              <w:spacing w:before="240" w:after="0"/>
              <w:ind w:hanging="290"/>
              <w:jc w:val="left"/>
              <w:rPr>
                <w:szCs w:val="24"/>
              </w:rPr>
            </w:pPr>
            <w:r w:rsidRPr="005C3B55">
              <w:rPr>
                <w:szCs w:val="24"/>
              </w:rPr>
              <w:t>register of agricultural holdings;</w:t>
            </w:r>
          </w:p>
          <w:p w:rsidR="00F555D6" w:rsidRPr="005C3B55" w:rsidRDefault="00F555D6" w:rsidP="00F555D6">
            <w:pPr>
              <w:numPr>
                <w:ilvl w:val="0"/>
                <w:numId w:val="297"/>
              </w:numPr>
              <w:spacing w:before="0" w:after="0"/>
              <w:ind w:hanging="290"/>
              <w:jc w:val="left"/>
              <w:rPr>
                <w:szCs w:val="24"/>
              </w:rPr>
            </w:pPr>
            <w:r w:rsidRPr="005C3B55">
              <w:rPr>
                <w:szCs w:val="24"/>
              </w:rPr>
              <w:t>graphical agricultural unit of agricultural holding (GERK);</w:t>
            </w:r>
          </w:p>
          <w:p w:rsidR="00F555D6" w:rsidRPr="005C3B55" w:rsidRDefault="00F555D6" w:rsidP="00F555D6">
            <w:pPr>
              <w:numPr>
                <w:ilvl w:val="0"/>
                <w:numId w:val="297"/>
              </w:numPr>
              <w:spacing w:before="0" w:after="240"/>
              <w:ind w:hanging="290"/>
              <w:jc w:val="left"/>
              <w:rPr>
                <w:szCs w:val="24"/>
              </w:rPr>
            </w:pPr>
            <w:r w:rsidRPr="005C3B55">
              <w:rPr>
                <w:szCs w:val="24"/>
              </w:rPr>
              <w:t>graphic layer of the narrowest water protection areas (WPA I).</w:t>
            </w:r>
          </w:p>
          <w:p w:rsidR="00F555D6" w:rsidRPr="005C3B55" w:rsidRDefault="00F555D6" w:rsidP="00F555D6">
            <w:pPr>
              <w:spacing w:before="240" w:after="240" w:line="280" w:lineRule="auto"/>
              <w:rPr>
                <w:szCs w:val="24"/>
              </w:rPr>
            </w:pPr>
            <w:r w:rsidRPr="005C3B55">
              <w:rPr>
                <w:szCs w:val="24"/>
              </w:rPr>
              <w:t>On-site control:</w:t>
            </w:r>
          </w:p>
          <w:p w:rsidR="00F555D6" w:rsidRPr="005C3B55" w:rsidRDefault="00F555D6" w:rsidP="00F555D6">
            <w:pPr>
              <w:numPr>
                <w:ilvl w:val="0"/>
                <w:numId w:val="298"/>
              </w:numPr>
              <w:spacing w:before="240" w:after="0"/>
              <w:ind w:hanging="290"/>
              <w:jc w:val="left"/>
              <w:rPr>
                <w:szCs w:val="24"/>
              </w:rPr>
            </w:pPr>
            <w:r w:rsidRPr="005C3B55">
              <w:rPr>
                <w:szCs w:val="24"/>
              </w:rPr>
              <w:t>records on works;</w:t>
            </w:r>
          </w:p>
          <w:p w:rsidR="00F555D6" w:rsidRPr="005C3B55" w:rsidRDefault="00F555D6" w:rsidP="00F555D6">
            <w:pPr>
              <w:numPr>
                <w:ilvl w:val="0"/>
                <w:numId w:val="298"/>
              </w:numPr>
              <w:spacing w:before="0" w:after="0"/>
              <w:ind w:hanging="290"/>
              <w:jc w:val="left"/>
              <w:rPr>
                <w:szCs w:val="24"/>
              </w:rPr>
            </w:pPr>
            <w:r w:rsidRPr="005C3B55">
              <w:rPr>
                <w:szCs w:val="24"/>
              </w:rPr>
              <w:t>compliance with the situation in nature;</w:t>
            </w:r>
          </w:p>
          <w:p w:rsidR="00F555D6" w:rsidRPr="005C3B55" w:rsidRDefault="00F555D6" w:rsidP="00F555D6">
            <w:pPr>
              <w:numPr>
                <w:ilvl w:val="0"/>
                <w:numId w:val="298"/>
              </w:numPr>
              <w:spacing w:before="0" w:after="240"/>
              <w:ind w:hanging="290"/>
              <w:jc w:val="left"/>
              <w:rPr>
                <w:szCs w:val="24"/>
              </w:rPr>
            </w:pPr>
            <w:r w:rsidRPr="005C3B55">
              <w:rPr>
                <w:szCs w:val="24"/>
              </w:rPr>
              <w:t>review of the agricultural holding.</w:t>
            </w:r>
          </w:p>
          <w:p w:rsidR="00F555D6" w:rsidRPr="005C3B55" w:rsidRDefault="00F555D6" w:rsidP="00F555D6">
            <w:pPr>
              <w:pStyle w:val="Telobesedila"/>
              <w:rPr>
                <w:szCs w:val="24"/>
              </w:rPr>
            </w:pPr>
          </w:p>
        </w:tc>
      </w:tr>
    </w:tbl>
    <w:p w:rsidR="00F555D6" w:rsidRPr="005C3B55" w:rsidRDefault="00F555D6" w:rsidP="00F555D6">
      <w:pPr>
        <w:pStyle w:val="Naslov8"/>
        <w:tabs>
          <w:tab w:val="clear" w:pos="765"/>
        </w:tabs>
        <w:ind w:left="0" w:firstLine="0"/>
        <w:rPr>
          <w:b w:val="0"/>
          <w:szCs w:val="24"/>
          <w:lang w:val="en-GB"/>
        </w:rPr>
      </w:pPr>
      <w:r w:rsidRPr="005C3B55">
        <w:rPr>
          <w:b w:val="0"/>
          <w:noProof w:val="0"/>
          <w:szCs w:val="24"/>
          <w:lang w:val="en-GB"/>
        </w:rPr>
        <w:t>POZ_NIZI:</w:t>
      </w:r>
      <w:r w:rsidRPr="005C3B55">
        <w:rPr>
          <w:b w:val="0"/>
          <w:szCs w:val="24"/>
          <w:lang w:val="en-GB"/>
        </w:rPr>
        <w:t xml:space="preserve"> </w:t>
      </w:r>
      <w:r w:rsidRPr="005C3B55">
        <w:rPr>
          <w:b w:val="0"/>
          <w:noProof w:val="0"/>
          <w:szCs w:val="24"/>
          <w:lang w:val="en-GB"/>
        </w:rPr>
        <w:t>Fertilisation with organic fertilisers with low emissions into air</w:t>
      </w:r>
    </w:p>
    <w:p w:rsidR="00F555D6" w:rsidRPr="005C3B55" w:rsidRDefault="00F555D6" w:rsidP="00F555D6">
      <w:pPr>
        <w:pStyle w:val="Naslov9"/>
        <w:tabs>
          <w:tab w:val="clear" w:pos="765"/>
        </w:tabs>
        <w:ind w:left="0" w:firstLine="0"/>
        <w:rPr>
          <w:szCs w:val="24"/>
          <w:lang w:val="en-GB"/>
        </w:rPr>
      </w:pPr>
      <w:r w:rsidRPr="005C3B55">
        <w:rPr>
          <w:noProof w:val="0"/>
          <w:szCs w:val="24"/>
          <w:lang w:val="en-GB"/>
        </w:rPr>
        <w:t>Methods of commitment verification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Administrative control:</w:t>
            </w:r>
          </w:p>
          <w:p w:rsidR="00F555D6" w:rsidRPr="005C3B55" w:rsidRDefault="00F555D6" w:rsidP="00F555D6">
            <w:pPr>
              <w:numPr>
                <w:ilvl w:val="0"/>
                <w:numId w:val="299"/>
              </w:numPr>
              <w:spacing w:before="240" w:after="240"/>
              <w:ind w:hanging="290"/>
              <w:jc w:val="left"/>
              <w:rPr>
                <w:szCs w:val="24"/>
              </w:rPr>
            </w:pPr>
            <w:r w:rsidRPr="005C3B55">
              <w:rPr>
                <w:szCs w:val="24"/>
              </w:rPr>
              <w:t>suitability of the agricultural plant is verified through collective application.</w:t>
            </w:r>
          </w:p>
          <w:p w:rsidR="00F555D6" w:rsidRPr="005C3B55" w:rsidRDefault="00F555D6" w:rsidP="00F555D6">
            <w:pPr>
              <w:spacing w:before="240" w:after="240" w:line="280" w:lineRule="auto"/>
              <w:rPr>
                <w:szCs w:val="24"/>
              </w:rPr>
            </w:pPr>
            <w:r w:rsidRPr="005C3B55">
              <w:rPr>
                <w:szCs w:val="24"/>
              </w:rPr>
              <w:t>Registers/records:</w:t>
            </w:r>
          </w:p>
          <w:p w:rsidR="00F555D6" w:rsidRPr="005C3B55" w:rsidRDefault="00F555D6" w:rsidP="00F555D6">
            <w:pPr>
              <w:numPr>
                <w:ilvl w:val="0"/>
                <w:numId w:val="300"/>
              </w:numPr>
              <w:spacing w:before="240" w:after="0"/>
              <w:ind w:hanging="290"/>
              <w:jc w:val="left"/>
              <w:rPr>
                <w:szCs w:val="24"/>
              </w:rPr>
            </w:pPr>
            <w:r w:rsidRPr="005C3B55">
              <w:rPr>
                <w:szCs w:val="24"/>
              </w:rPr>
              <w:t>register of agricultural holdings;</w:t>
            </w:r>
          </w:p>
          <w:p w:rsidR="00F555D6" w:rsidRPr="005C3B55" w:rsidRDefault="00F555D6" w:rsidP="00F555D6">
            <w:pPr>
              <w:numPr>
                <w:ilvl w:val="0"/>
                <w:numId w:val="300"/>
              </w:numPr>
              <w:spacing w:before="0" w:after="240"/>
              <w:ind w:hanging="290"/>
              <w:jc w:val="left"/>
              <w:rPr>
                <w:szCs w:val="24"/>
              </w:rPr>
            </w:pPr>
            <w:r w:rsidRPr="005C3B55">
              <w:rPr>
                <w:szCs w:val="24"/>
              </w:rPr>
              <w:t>graphical agricultural unit of agricultural holding (GERK).</w:t>
            </w:r>
          </w:p>
          <w:p w:rsidR="00F555D6" w:rsidRPr="005C3B55" w:rsidRDefault="00F555D6" w:rsidP="00F555D6">
            <w:pPr>
              <w:spacing w:before="240" w:after="240" w:line="280" w:lineRule="auto"/>
              <w:rPr>
                <w:szCs w:val="24"/>
              </w:rPr>
            </w:pPr>
            <w:r w:rsidRPr="005C3B55">
              <w:rPr>
                <w:szCs w:val="24"/>
              </w:rPr>
              <w:t>On-site control:</w:t>
            </w:r>
          </w:p>
          <w:p w:rsidR="00F555D6" w:rsidRPr="005C3B55" w:rsidRDefault="00F555D6" w:rsidP="00F555D6">
            <w:pPr>
              <w:numPr>
                <w:ilvl w:val="0"/>
                <w:numId w:val="301"/>
              </w:numPr>
              <w:spacing w:before="240" w:after="0"/>
              <w:ind w:hanging="290"/>
              <w:jc w:val="left"/>
              <w:rPr>
                <w:szCs w:val="24"/>
              </w:rPr>
            </w:pPr>
            <w:r w:rsidRPr="005C3B55">
              <w:rPr>
                <w:szCs w:val="24"/>
              </w:rPr>
              <w:t>records on works;</w:t>
            </w:r>
          </w:p>
          <w:p w:rsidR="00F555D6" w:rsidRPr="005C3B55" w:rsidRDefault="00F555D6" w:rsidP="00F555D6">
            <w:pPr>
              <w:numPr>
                <w:ilvl w:val="0"/>
                <w:numId w:val="301"/>
              </w:numPr>
              <w:spacing w:before="0" w:after="0"/>
              <w:ind w:hanging="290"/>
              <w:jc w:val="left"/>
              <w:rPr>
                <w:szCs w:val="24"/>
              </w:rPr>
            </w:pPr>
            <w:r w:rsidRPr="005C3B55">
              <w:rPr>
                <w:szCs w:val="24"/>
              </w:rPr>
              <w:t>presence of suitable machinery on agricultural holdings;</w:t>
            </w:r>
          </w:p>
          <w:p w:rsidR="00F555D6" w:rsidRPr="005C3B55" w:rsidRDefault="00F555D6" w:rsidP="00F555D6">
            <w:pPr>
              <w:numPr>
                <w:ilvl w:val="0"/>
                <w:numId w:val="301"/>
              </w:numPr>
              <w:spacing w:before="0" w:after="0"/>
              <w:ind w:hanging="290"/>
              <w:jc w:val="left"/>
              <w:rPr>
                <w:szCs w:val="24"/>
              </w:rPr>
            </w:pPr>
            <w:r w:rsidRPr="005C3B55">
              <w:rPr>
                <w:szCs w:val="24"/>
              </w:rPr>
              <w:t>agreement between the contractor and the user of mechanical services;</w:t>
            </w:r>
          </w:p>
          <w:p w:rsidR="00F555D6" w:rsidRPr="005C3B55" w:rsidRDefault="00F555D6" w:rsidP="00F555D6">
            <w:pPr>
              <w:numPr>
                <w:ilvl w:val="0"/>
                <w:numId w:val="301"/>
              </w:numPr>
              <w:spacing w:before="0" w:after="0"/>
              <w:ind w:hanging="290"/>
              <w:jc w:val="left"/>
              <w:rPr>
                <w:szCs w:val="24"/>
              </w:rPr>
            </w:pPr>
            <w:r w:rsidRPr="005C3B55">
              <w:rPr>
                <w:szCs w:val="24"/>
              </w:rPr>
              <w:t>invoice for the service implemented by the machinery hire syndicate;</w:t>
            </w:r>
          </w:p>
          <w:p w:rsidR="00F555D6" w:rsidRPr="005C3B55" w:rsidRDefault="00F555D6" w:rsidP="00F555D6">
            <w:pPr>
              <w:numPr>
                <w:ilvl w:val="0"/>
                <w:numId w:val="301"/>
              </w:numPr>
              <w:spacing w:before="0" w:after="240"/>
              <w:ind w:hanging="290"/>
              <w:jc w:val="left"/>
              <w:rPr>
                <w:szCs w:val="24"/>
              </w:rPr>
            </w:pPr>
            <w:r w:rsidRPr="005C3B55">
              <w:rPr>
                <w:szCs w:val="24"/>
              </w:rPr>
              <w:t>review of the agricultural holding.</w:t>
            </w:r>
          </w:p>
          <w:p w:rsidR="00F555D6" w:rsidRPr="005C3B55" w:rsidRDefault="00F555D6" w:rsidP="00F555D6">
            <w:pPr>
              <w:pStyle w:val="Telobesedila"/>
              <w:rPr>
                <w:szCs w:val="24"/>
              </w:rPr>
            </w:pPr>
          </w:p>
        </w:tc>
      </w:tr>
    </w:tbl>
    <w:p w:rsidR="00F555D6" w:rsidRPr="005C3B55" w:rsidRDefault="00F555D6" w:rsidP="00F555D6">
      <w:pPr>
        <w:pStyle w:val="Naslov8"/>
        <w:tabs>
          <w:tab w:val="clear" w:pos="765"/>
        </w:tabs>
        <w:ind w:left="0" w:firstLine="0"/>
        <w:rPr>
          <w:b w:val="0"/>
          <w:szCs w:val="24"/>
          <w:lang w:val="en-GB"/>
        </w:rPr>
      </w:pPr>
      <w:r w:rsidRPr="005C3B55">
        <w:rPr>
          <w:b w:val="0"/>
          <w:noProof w:val="0"/>
          <w:szCs w:val="24"/>
          <w:lang w:val="en-GB"/>
        </w:rPr>
        <w:t>POZ_NMIN:</w:t>
      </w:r>
      <w:r w:rsidRPr="005C3B55">
        <w:rPr>
          <w:b w:val="0"/>
          <w:szCs w:val="24"/>
          <w:lang w:val="en-GB"/>
        </w:rPr>
        <w:t xml:space="preserve"> </w:t>
      </w:r>
      <w:r w:rsidRPr="005C3B55">
        <w:rPr>
          <w:b w:val="0"/>
          <w:noProof w:val="0"/>
          <w:szCs w:val="24"/>
          <w:lang w:val="en-GB"/>
        </w:rPr>
        <w:t>Nmin analysis</w:t>
      </w:r>
    </w:p>
    <w:p w:rsidR="00F555D6" w:rsidRPr="005C3B55" w:rsidRDefault="00F555D6" w:rsidP="00F555D6">
      <w:pPr>
        <w:pStyle w:val="Naslov9"/>
        <w:tabs>
          <w:tab w:val="clear" w:pos="765"/>
        </w:tabs>
        <w:ind w:left="0" w:firstLine="0"/>
        <w:rPr>
          <w:szCs w:val="24"/>
          <w:lang w:val="en-GB"/>
        </w:rPr>
      </w:pPr>
      <w:r w:rsidRPr="005C3B55">
        <w:rPr>
          <w:noProof w:val="0"/>
          <w:szCs w:val="24"/>
          <w:lang w:val="en-GB"/>
        </w:rPr>
        <w:t>Methods of commitment verification</w:t>
      </w:r>
    </w:p>
    <w:p w:rsidR="00F555D6" w:rsidRPr="005C3B55" w:rsidRDefault="00F555D6" w:rsidP="00F555D6">
      <w:pPr>
        <w:pStyle w:val="Naslov9"/>
        <w:tabs>
          <w:tab w:val="clear" w:pos="765"/>
        </w:tabs>
        <w:spacing w:before="0" w:after="0"/>
        <w:ind w:left="0" w:firstLine="0"/>
        <w:rPr>
          <w:szCs w:val="24"/>
          <w:lang w:val="en-GB"/>
        </w:rPr>
      </w:pP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Administrative control:</w:t>
            </w:r>
          </w:p>
          <w:p w:rsidR="00F555D6" w:rsidRPr="005C3B55" w:rsidRDefault="00F555D6" w:rsidP="00F555D6">
            <w:pPr>
              <w:numPr>
                <w:ilvl w:val="0"/>
                <w:numId w:val="302"/>
              </w:numPr>
              <w:spacing w:before="240" w:after="0"/>
              <w:ind w:hanging="290"/>
              <w:jc w:val="left"/>
              <w:rPr>
                <w:szCs w:val="24"/>
              </w:rPr>
            </w:pPr>
            <w:r w:rsidRPr="005C3B55">
              <w:rPr>
                <w:szCs w:val="24"/>
              </w:rPr>
              <w:t>suitability of the area through the register of agricultural holdings;</w:t>
            </w:r>
          </w:p>
          <w:p w:rsidR="00F555D6" w:rsidRPr="005C3B55" w:rsidRDefault="00F555D6" w:rsidP="00F555D6">
            <w:pPr>
              <w:numPr>
                <w:ilvl w:val="0"/>
                <w:numId w:val="302"/>
              </w:numPr>
              <w:spacing w:before="0" w:after="0"/>
              <w:ind w:hanging="290"/>
              <w:jc w:val="left"/>
              <w:rPr>
                <w:szCs w:val="24"/>
              </w:rPr>
            </w:pPr>
            <w:r w:rsidRPr="005C3B55">
              <w:rPr>
                <w:szCs w:val="24"/>
              </w:rPr>
              <w:t>suitability of the agricultural plant through collective application;</w:t>
            </w:r>
          </w:p>
          <w:p w:rsidR="00F555D6" w:rsidRPr="005C3B55" w:rsidRDefault="00F555D6" w:rsidP="00F555D6">
            <w:pPr>
              <w:numPr>
                <w:ilvl w:val="0"/>
                <w:numId w:val="302"/>
              </w:numPr>
              <w:spacing w:before="0" w:after="240"/>
              <w:ind w:hanging="290"/>
              <w:jc w:val="left"/>
              <w:rPr>
                <w:szCs w:val="24"/>
              </w:rPr>
            </w:pPr>
            <w:r w:rsidRPr="005C3B55">
              <w:rPr>
                <w:szCs w:val="24"/>
              </w:rPr>
              <w:t>data on the participation of the beneficiary at the training for taking samples for analysis.</w:t>
            </w:r>
          </w:p>
          <w:p w:rsidR="00F555D6" w:rsidRPr="005C3B55" w:rsidRDefault="00F555D6" w:rsidP="00F555D6">
            <w:pPr>
              <w:spacing w:before="240" w:after="240" w:line="280" w:lineRule="auto"/>
              <w:rPr>
                <w:szCs w:val="24"/>
              </w:rPr>
            </w:pPr>
            <w:r w:rsidRPr="005C3B55">
              <w:rPr>
                <w:szCs w:val="24"/>
              </w:rPr>
              <w:t>Registers/records:</w:t>
            </w:r>
          </w:p>
          <w:p w:rsidR="00F555D6" w:rsidRPr="005C3B55" w:rsidRDefault="00F555D6" w:rsidP="00F555D6">
            <w:pPr>
              <w:numPr>
                <w:ilvl w:val="0"/>
                <w:numId w:val="303"/>
              </w:numPr>
              <w:spacing w:before="240" w:after="0"/>
              <w:ind w:hanging="290"/>
              <w:jc w:val="left"/>
              <w:rPr>
                <w:szCs w:val="24"/>
              </w:rPr>
            </w:pPr>
            <w:r w:rsidRPr="005C3B55">
              <w:rPr>
                <w:szCs w:val="24"/>
              </w:rPr>
              <w:t>register of agricultural holdings;</w:t>
            </w:r>
          </w:p>
          <w:p w:rsidR="00F555D6" w:rsidRPr="005C3B55" w:rsidRDefault="00F555D6" w:rsidP="00F555D6">
            <w:pPr>
              <w:numPr>
                <w:ilvl w:val="0"/>
                <w:numId w:val="303"/>
              </w:numPr>
              <w:spacing w:before="0" w:after="0"/>
              <w:ind w:hanging="290"/>
              <w:jc w:val="left"/>
              <w:rPr>
                <w:szCs w:val="24"/>
              </w:rPr>
            </w:pPr>
            <w:r w:rsidRPr="005C3B55">
              <w:rPr>
                <w:szCs w:val="24"/>
              </w:rPr>
              <w:t>graphical agricultural units of agricultural holding (GERKs);</w:t>
            </w:r>
          </w:p>
          <w:p w:rsidR="00F555D6" w:rsidRPr="005C3B55" w:rsidRDefault="00F555D6" w:rsidP="00F555D6">
            <w:pPr>
              <w:numPr>
                <w:ilvl w:val="0"/>
                <w:numId w:val="303"/>
              </w:numPr>
              <w:spacing w:before="0" w:after="0"/>
              <w:ind w:hanging="290"/>
              <w:jc w:val="left"/>
              <w:rPr>
                <w:szCs w:val="24"/>
              </w:rPr>
            </w:pPr>
            <w:r w:rsidRPr="005C3B55">
              <w:rPr>
                <w:szCs w:val="24"/>
              </w:rPr>
              <w:t>layer of the narrowest water protection areas (WPA I);</w:t>
            </w:r>
          </w:p>
          <w:p w:rsidR="00F555D6" w:rsidRPr="005C3B55" w:rsidRDefault="00F555D6" w:rsidP="00F555D6">
            <w:pPr>
              <w:numPr>
                <w:ilvl w:val="0"/>
                <w:numId w:val="303"/>
              </w:numPr>
              <w:spacing w:before="0" w:after="240"/>
              <w:ind w:hanging="290"/>
              <w:jc w:val="left"/>
              <w:rPr>
                <w:szCs w:val="24"/>
              </w:rPr>
            </w:pPr>
            <w:r w:rsidRPr="005C3B55">
              <w:rPr>
                <w:szCs w:val="24"/>
              </w:rPr>
              <w:t>record on education of agricultural holdings.</w:t>
            </w:r>
          </w:p>
          <w:p w:rsidR="00F555D6" w:rsidRPr="005C3B55" w:rsidRDefault="00F555D6" w:rsidP="00F555D6">
            <w:pPr>
              <w:spacing w:before="240" w:after="240" w:line="280" w:lineRule="auto"/>
              <w:rPr>
                <w:szCs w:val="24"/>
              </w:rPr>
            </w:pPr>
            <w:r w:rsidRPr="005C3B55">
              <w:rPr>
                <w:szCs w:val="24"/>
              </w:rPr>
              <w:t>On-site control:</w:t>
            </w:r>
          </w:p>
          <w:p w:rsidR="00F555D6" w:rsidRPr="005C3B55" w:rsidRDefault="00F555D6" w:rsidP="00F555D6">
            <w:pPr>
              <w:numPr>
                <w:ilvl w:val="0"/>
                <w:numId w:val="304"/>
              </w:numPr>
              <w:spacing w:before="240" w:after="0"/>
              <w:ind w:hanging="290"/>
              <w:jc w:val="left"/>
              <w:rPr>
                <w:szCs w:val="24"/>
              </w:rPr>
            </w:pPr>
            <w:r w:rsidRPr="005C3B55">
              <w:rPr>
                <w:szCs w:val="24"/>
              </w:rPr>
              <w:t>records on works;</w:t>
            </w:r>
          </w:p>
          <w:p w:rsidR="00F555D6" w:rsidRPr="005C3B55" w:rsidRDefault="00F555D6" w:rsidP="00F555D6">
            <w:pPr>
              <w:numPr>
                <w:ilvl w:val="0"/>
                <w:numId w:val="304"/>
              </w:numPr>
              <w:spacing w:before="0" w:after="240"/>
              <w:ind w:hanging="290"/>
              <w:jc w:val="left"/>
              <w:rPr>
                <w:szCs w:val="24"/>
              </w:rPr>
            </w:pPr>
            <w:r w:rsidRPr="005C3B55">
              <w:rPr>
                <w:szCs w:val="24"/>
              </w:rPr>
              <w:t>does an agricultural holding have laboratory results of the analysis. The results of the analysis kept by the beneficiary on the agricultural holding must include at least the following information: date of the analysis, the number of the geographical agricultural units (GERK_PID) to which the analysis refers, the species of the agricultural plant for which the analysis was carried out and fertilisation advice.</w:t>
            </w:r>
          </w:p>
          <w:p w:rsidR="00F555D6" w:rsidRPr="005C3B55" w:rsidRDefault="00F555D6" w:rsidP="00F555D6">
            <w:pPr>
              <w:pStyle w:val="Telobesedila"/>
              <w:rPr>
                <w:szCs w:val="24"/>
              </w:rPr>
            </w:pPr>
          </w:p>
        </w:tc>
      </w:tr>
    </w:tbl>
    <w:p w:rsidR="00F555D6" w:rsidRPr="005C3B55" w:rsidRDefault="00F555D6" w:rsidP="00F555D6">
      <w:pPr>
        <w:pStyle w:val="Naslov8"/>
        <w:tabs>
          <w:tab w:val="clear" w:pos="765"/>
        </w:tabs>
        <w:ind w:left="0" w:firstLine="0"/>
        <w:rPr>
          <w:b w:val="0"/>
          <w:szCs w:val="24"/>
          <w:lang w:val="en-GB"/>
        </w:rPr>
      </w:pPr>
      <w:r w:rsidRPr="005C3B55">
        <w:rPr>
          <w:b w:val="0"/>
          <w:noProof w:val="0"/>
          <w:szCs w:val="24"/>
          <w:lang w:val="en-GB"/>
        </w:rPr>
        <w:t>POZ_POD:</w:t>
      </w:r>
      <w:r w:rsidRPr="005C3B55">
        <w:rPr>
          <w:b w:val="0"/>
          <w:szCs w:val="24"/>
          <w:lang w:val="en-GB"/>
        </w:rPr>
        <w:t xml:space="preserve"> </w:t>
      </w:r>
      <w:r w:rsidRPr="005C3B55">
        <w:rPr>
          <w:b w:val="0"/>
          <w:noProof w:val="0"/>
          <w:szCs w:val="24"/>
          <w:lang w:val="en-GB"/>
        </w:rPr>
        <w:t>Sowing plants for green manure</w:t>
      </w:r>
    </w:p>
    <w:p w:rsidR="00F555D6" w:rsidRPr="005C3B55" w:rsidRDefault="00F555D6" w:rsidP="00F555D6">
      <w:pPr>
        <w:pStyle w:val="Naslov9"/>
        <w:tabs>
          <w:tab w:val="clear" w:pos="765"/>
        </w:tabs>
        <w:ind w:left="0" w:firstLine="0"/>
        <w:rPr>
          <w:szCs w:val="24"/>
          <w:lang w:val="en-GB"/>
        </w:rPr>
      </w:pPr>
      <w:r w:rsidRPr="005C3B55">
        <w:rPr>
          <w:noProof w:val="0"/>
          <w:szCs w:val="24"/>
          <w:lang w:val="en-GB"/>
        </w:rPr>
        <w:t>Methods of commitment verification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Administrative control:</w:t>
            </w:r>
          </w:p>
          <w:p w:rsidR="00F555D6" w:rsidRPr="005C3B55" w:rsidRDefault="00F555D6" w:rsidP="00F555D6">
            <w:pPr>
              <w:numPr>
                <w:ilvl w:val="0"/>
                <w:numId w:val="305"/>
              </w:numPr>
              <w:spacing w:before="240" w:after="0"/>
              <w:ind w:hanging="290"/>
              <w:jc w:val="left"/>
              <w:rPr>
                <w:szCs w:val="24"/>
              </w:rPr>
            </w:pPr>
            <w:r w:rsidRPr="005C3B55">
              <w:rPr>
                <w:szCs w:val="24"/>
              </w:rPr>
              <w:t>suitability of the agricultural plant through collective application;</w:t>
            </w:r>
          </w:p>
          <w:p w:rsidR="00F555D6" w:rsidRPr="005C3B55" w:rsidRDefault="00F555D6" w:rsidP="00F555D6">
            <w:pPr>
              <w:numPr>
                <w:ilvl w:val="0"/>
                <w:numId w:val="305"/>
              </w:numPr>
              <w:spacing w:before="0" w:after="240"/>
              <w:ind w:hanging="290"/>
              <w:jc w:val="left"/>
              <w:rPr>
                <w:szCs w:val="24"/>
              </w:rPr>
            </w:pPr>
            <w:r w:rsidRPr="005C3B55">
              <w:rPr>
                <w:szCs w:val="24"/>
              </w:rPr>
              <w:t>verification of inclusion of the same agricultural plant in several requirements.</w:t>
            </w:r>
          </w:p>
          <w:p w:rsidR="00F555D6" w:rsidRPr="005C3B55" w:rsidRDefault="00F555D6" w:rsidP="00F555D6">
            <w:pPr>
              <w:spacing w:before="240" w:after="240" w:line="280" w:lineRule="auto"/>
              <w:rPr>
                <w:szCs w:val="24"/>
              </w:rPr>
            </w:pPr>
            <w:r w:rsidRPr="005C3B55">
              <w:rPr>
                <w:szCs w:val="24"/>
              </w:rPr>
              <w:t>Registers/records:</w:t>
            </w:r>
          </w:p>
          <w:p w:rsidR="00F555D6" w:rsidRPr="005C3B55" w:rsidRDefault="00F555D6" w:rsidP="00F555D6">
            <w:pPr>
              <w:numPr>
                <w:ilvl w:val="0"/>
                <w:numId w:val="306"/>
              </w:numPr>
              <w:spacing w:before="240" w:after="0"/>
              <w:ind w:hanging="290"/>
              <w:jc w:val="left"/>
              <w:rPr>
                <w:szCs w:val="24"/>
              </w:rPr>
            </w:pPr>
            <w:r w:rsidRPr="005C3B55">
              <w:rPr>
                <w:szCs w:val="24"/>
              </w:rPr>
              <w:t>register of agricultural holdings;</w:t>
            </w:r>
          </w:p>
          <w:p w:rsidR="00F555D6" w:rsidRPr="005C3B55" w:rsidRDefault="00F555D6" w:rsidP="00F555D6">
            <w:pPr>
              <w:numPr>
                <w:ilvl w:val="0"/>
                <w:numId w:val="306"/>
              </w:numPr>
              <w:spacing w:before="0" w:after="240"/>
              <w:ind w:hanging="290"/>
              <w:jc w:val="left"/>
              <w:rPr>
                <w:szCs w:val="24"/>
              </w:rPr>
            </w:pPr>
            <w:r w:rsidRPr="005C3B55">
              <w:rPr>
                <w:szCs w:val="24"/>
              </w:rPr>
              <w:t>graphical agricultural unit of agricultural holding (GERK).</w:t>
            </w:r>
          </w:p>
          <w:p w:rsidR="00F555D6" w:rsidRPr="005C3B55" w:rsidRDefault="00F555D6" w:rsidP="00F555D6">
            <w:pPr>
              <w:spacing w:before="240" w:after="240" w:line="280" w:lineRule="auto"/>
              <w:rPr>
                <w:szCs w:val="24"/>
              </w:rPr>
            </w:pPr>
            <w:r w:rsidRPr="005C3B55">
              <w:rPr>
                <w:szCs w:val="24"/>
              </w:rPr>
              <w:t>On-site control:</w:t>
            </w:r>
          </w:p>
          <w:p w:rsidR="00F555D6" w:rsidRPr="005C3B55" w:rsidRDefault="00F555D6" w:rsidP="00F555D6">
            <w:pPr>
              <w:numPr>
                <w:ilvl w:val="0"/>
                <w:numId w:val="307"/>
              </w:numPr>
              <w:spacing w:before="240" w:after="0"/>
              <w:ind w:hanging="290"/>
              <w:jc w:val="left"/>
              <w:rPr>
                <w:szCs w:val="24"/>
              </w:rPr>
            </w:pPr>
            <w:r w:rsidRPr="005C3B55">
              <w:rPr>
                <w:szCs w:val="24"/>
              </w:rPr>
              <w:t>records on works;</w:t>
            </w:r>
          </w:p>
          <w:p w:rsidR="00F555D6" w:rsidRPr="005C3B55" w:rsidRDefault="00F555D6" w:rsidP="00F555D6">
            <w:pPr>
              <w:numPr>
                <w:ilvl w:val="0"/>
                <w:numId w:val="307"/>
              </w:numPr>
              <w:spacing w:before="0" w:after="0"/>
              <w:ind w:hanging="290"/>
              <w:jc w:val="left"/>
              <w:rPr>
                <w:szCs w:val="24"/>
              </w:rPr>
            </w:pPr>
            <w:r w:rsidRPr="005C3B55">
              <w:rPr>
                <w:szCs w:val="24"/>
              </w:rPr>
              <w:t>compliance with the situation in nature;</w:t>
            </w:r>
          </w:p>
          <w:p w:rsidR="00F555D6" w:rsidRPr="005C3B55" w:rsidRDefault="00F555D6" w:rsidP="00F555D6">
            <w:pPr>
              <w:numPr>
                <w:ilvl w:val="0"/>
                <w:numId w:val="307"/>
              </w:numPr>
              <w:spacing w:before="0" w:after="240"/>
              <w:ind w:hanging="290"/>
              <w:jc w:val="left"/>
              <w:rPr>
                <w:szCs w:val="24"/>
              </w:rPr>
            </w:pPr>
            <w:r w:rsidRPr="005C3B55">
              <w:rPr>
                <w:szCs w:val="24"/>
              </w:rPr>
              <w:t>review of the agricultural holding.</w:t>
            </w:r>
          </w:p>
          <w:p w:rsidR="00F555D6" w:rsidRPr="005C3B55" w:rsidRDefault="00F555D6" w:rsidP="00F555D6">
            <w:pPr>
              <w:pStyle w:val="Telobesedila"/>
              <w:rPr>
                <w:szCs w:val="24"/>
              </w:rPr>
            </w:pPr>
          </w:p>
        </w:tc>
      </w:tr>
    </w:tbl>
    <w:p w:rsidR="00F555D6" w:rsidRPr="005C3B55" w:rsidRDefault="00F555D6" w:rsidP="00F555D6">
      <w:pPr>
        <w:pStyle w:val="Naslov8"/>
        <w:tabs>
          <w:tab w:val="clear" w:pos="765"/>
        </w:tabs>
        <w:ind w:left="0" w:firstLine="0"/>
        <w:rPr>
          <w:b w:val="0"/>
          <w:szCs w:val="24"/>
          <w:lang w:val="en-GB"/>
        </w:rPr>
      </w:pPr>
      <w:r w:rsidRPr="005C3B55">
        <w:rPr>
          <w:b w:val="0"/>
          <w:noProof w:val="0"/>
          <w:szCs w:val="24"/>
          <w:lang w:val="en-GB"/>
        </w:rPr>
        <w:t>POZ_ZEL:</w:t>
      </w:r>
      <w:r w:rsidRPr="005C3B55">
        <w:rPr>
          <w:b w:val="0"/>
          <w:szCs w:val="24"/>
          <w:lang w:val="en-GB"/>
        </w:rPr>
        <w:t xml:space="preserve"> </w:t>
      </w:r>
      <w:r w:rsidRPr="005C3B55">
        <w:rPr>
          <w:b w:val="0"/>
          <w:noProof w:val="0"/>
          <w:szCs w:val="24"/>
          <w:lang w:val="en-GB"/>
        </w:rPr>
        <w:t>Greening of arable land</w:t>
      </w:r>
    </w:p>
    <w:p w:rsidR="00F555D6" w:rsidRPr="005C3B55" w:rsidRDefault="00F555D6" w:rsidP="00F555D6">
      <w:pPr>
        <w:pStyle w:val="Naslov9"/>
        <w:tabs>
          <w:tab w:val="clear" w:pos="765"/>
        </w:tabs>
        <w:ind w:left="0" w:firstLine="0"/>
        <w:rPr>
          <w:szCs w:val="24"/>
          <w:lang w:val="en-GB"/>
        </w:rPr>
      </w:pPr>
      <w:r w:rsidRPr="005C3B55">
        <w:rPr>
          <w:noProof w:val="0"/>
          <w:szCs w:val="24"/>
          <w:lang w:val="en-GB"/>
        </w:rPr>
        <w:t>Methods of commitment verification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Administrative control:</w:t>
            </w:r>
          </w:p>
          <w:p w:rsidR="00F555D6" w:rsidRPr="005C3B55" w:rsidRDefault="00F555D6" w:rsidP="00F555D6">
            <w:pPr>
              <w:numPr>
                <w:ilvl w:val="0"/>
                <w:numId w:val="308"/>
              </w:numPr>
              <w:spacing w:before="240" w:after="0"/>
              <w:ind w:hanging="290"/>
              <w:jc w:val="left"/>
              <w:rPr>
                <w:szCs w:val="24"/>
              </w:rPr>
            </w:pPr>
            <w:r w:rsidRPr="005C3B55">
              <w:rPr>
                <w:szCs w:val="24"/>
              </w:rPr>
              <w:t>gradient arable land through the register of agricultural holdings;</w:t>
            </w:r>
          </w:p>
          <w:p w:rsidR="00F555D6" w:rsidRPr="005C3B55" w:rsidRDefault="00F555D6" w:rsidP="00F555D6">
            <w:pPr>
              <w:numPr>
                <w:ilvl w:val="0"/>
                <w:numId w:val="308"/>
              </w:numPr>
              <w:spacing w:before="0" w:after="0"/>
              <w:ind w:hanging="290"/>
              <w:jc w:val="left"/>
              <w:rPr>
                <w:szCs w:val="24"/>
              </w:rPr>
            </w:pPr>
            <w:r w:rsidRPr="005C3B55">
              <w:rPr>
                <w:szCs w:val="24"/>
              </w:rPr>
              <w:t>suitability of the area through the register of agricultural holdings;</w:t>
            </w:r>
          </w:p>
          <w:p w:rsidR="00F555D6" w:rsidRPr="005C3B55" w:rsidRDefault="00F555D6" w:rsidP="00F555D6">
            <w:pPr>
              <w:numPr>
                <w:ilvl w:val="0"/>
                <w:numId w:val="308"/>
              </w:numPr>
              <w:spacing w:before="0" w:after="0"/>
              <w:ind w:hanging="290"/>
              <w:jc w:val="left"/>
              <w:rPr>
                <w:szCs w:val="24"/>
              </w:rPr>
            </w:pPr>
            <w:r w:rsidRPr="005C3B55">
              <w:rPr>
                <w:szCs w:val="24"/>
              </w:rPr>
              <w:t>verification of inclusion of the same agricultural plant in several requirements;</w:t>
            </w:r>
          </w:p>
          <w:p w:rsidR="00F555D6" w:rsidRPr="005C3B55" w:rsidRDefault="00F555D6" w:rsidP="00F555D6">
            <w:pPr>
              <w:numPr>
                <w:ilvl w:val="0"/>
                <w:numId w:val="308"/>
              </w:numPr>
              <w:spacing w:before="0" w:after="240"/>
              <w:ind w:hanging="290"/>
              <w:jc w:val="left"/>
              <w:rPr>
                <w:szCs w:val="24"/>
              </w:rPr>
            </w:pPr>
            <w:r w:rsidRPr="005C3B55">
              <w:rPr>
                <w:szCs w:val="24"/>
              </w:rPr>
              <w:t>suitability of the agricultural plant through collective application.</w:t>
            </w:r>
          </w:p>
          <w:p w:rsidR="00F555D6" w:rsidRPr="005C3B55" w:rsidRDefault="00F555D6" w:rsidP="00F555D6">
            <w:pPr>
              <w:spacing w:before="240" w:after="240" w:line="280" w:lineRule="auto"/>
              <w:rPr>
                <w:szCs w:val="24"/>
              </w:rPr>
            </w:pPr>
            <w:r w:rsidRPr="005C3B55">
              <w:rPr>
                <w:szCs w:val="24"/>
              </w:rPr>
              <w:t>Registers/records:</w:t>
            </w:r>
          </w:p>
          <w:p w:rsidR="00F555D6" w:rsidRPr="005C3B55" w:rsidRDefault="00F555D6" w:rsidP="00F555D6">
            <w:pPr>
              <w:numPr>
                <w:ilvl w:val="0"/>
                <w:numId w:val="309"/>
              </w:numPr>
              <w:spacing w:before="240" w:after="0"/>
              <w:ind w:hanging="290"/>
              <w:jc w:val="left"/>
              <w:rPr>
                <w:szCs w:val="24"/>
              </w:rPr>
            </w:pPr>
            <w:r w:rsidRPr="005C3B55">
              <w:rPr>
                <w:szCs w:val="24"/>
              </w:rPr>
              <w:t>register of agricultural holdings;</w:t>
            </w:r>
          </w:p>
          <w:p w:rsidR="00F555D6" w:rsidRPr="005C3B55" w:rsidRDefault="00F555D6" w:rsidP="00F555D6">
            <w:pPr>
              <w:numPr>
                <w:ilvl w:val="0"/>
                <w:numId w:val="309"/>
              </w:numPr>
              <w:spacing w:before="0" w:after="0"/>
              <w:ind w:hanging="290"/>
              <w:jc w:val="left"/>
              <w:rPr>
                <w:szCs w:val="24"/>
              </w:rPr>
            </w:pPr>
            <w:r w:rsidRPr="005C3B55">
              <w:rPr>
                <w:szCs w:val="24"/>
              </w:rPr>
              <w:t>graphical agricultural unit of agricultural holding (GERK);</w:t>
            </w:r>
          </w:p>
          <w:p w:rsidR="00F555D6" w:rsidRPr="005C3B55" w:rsidRDefault="00F555D6" w:rsidP="00F555D6">
            <w:pPr>
              <w:numPr>
                <w:ilvl w:val="0"/>
                <w:numId w:val="309"/>
              </w:numPr>
              <w:spacing w:before="0" w:after="240"/>
              <w:ind w:hanging="290"/>
              <w:jc w:val="left"/>
              <w:rPr>
                <w:szCs w:val="24"/>
              </w:rPr>
            </w:pPr>
            <w:r w:rsidRPr="005C3B55">
              <w:rPr>
                <w:szCs w:val="24"/>
              </w:rPr>
              <w:t>graphic layer of the narrowest water protection areas (WPA I).</w:t>
            </w:r>
          </w:p>
          <w:p w:rsidR="00F555D6" w:rsidRPr="005C3B55" w:rsidRDefault="00F555D6" w:rsidP="00F555D6">
            <w:pPr>
              <w:spacing w:before="240" w:after="240" w:line="280" w:lineRule="auto"/>
              <w:rPr>
                <w:szCs w:val="24"/>
              </w:rPr>
            </w:pPr>
            <w:r w:rsidRPr="005C3B55">
              <w:rPr>
                <w:szCs w:val="24"/>
              </w:rPr>
              <w:t>On-site control:</w:t>
            </w:r>
          </w:p>
          <w:p w:rsidR="00F555D6" w:rsidRPr="005C3B55" w:rsidRDefault="00F555D6" w:rsidP="00F555D6">
            <w:pPr>
              <w:numPr>
                <w:ilvl w:val="0"/>
                <w:numId w:val="310"/>
              </w:numPr>
              <w:spacing w:before="240" w:after="0"/>
              <w:ind w:hanging="290"/>
              <w:jc w:val="left"/>
              <w:rPr>
                <w:szCs w:val="24"/>
              </w:rPr>
            </w:pPr>
            <w:r w:rsidRPr="005C3B55">
              <w:rPr>
                <w:szCs w:val="24"/>
              </w:rPr>
              <w:t>records on works;</w:t>
            </w:r>
          </w:p>
          <w:p w:rsidR="00F555D6" w:rsidRPr="005C3B55" w:rsidRDefault="00F555D6" w:rsidP="00F555D6">
            <w:pPr>
              <w:numPr>
                <w:ilvl w:val="0"/>
                <w:numId w:val="310"/>
              </w:numPr>
              <w:spacing w:before="0" w:after="0"/>
              <w:ind w:hanging="290"/>
              <w:jc w:val="left"/>
              <w:rPr>
                <w:szCs w:val="24"/>
              </w:rPr>
            </w:pPr>
            <w:r w:rsidRPr="005C3B55">
              <w:rPr>
                <w:szCs w:val="24"/>
              </w:rPr>
              <w:t>compliance with the situation in nature;</w:t>
            </w:r>
          </w:p>
          <w:p w:rsidR="00F555D6" w:rsidRPr="005C3B55" w:rsidRDefault="00F555D6" w:rsidP="00F555D6">
            <w:pPr>
              <w:numPr>
                <w:ilvl w:val="0"/>
                <w:numId w:val="310"/>
              </w:numPr>
              <w:spacing w:before="0" w:after="240"/>
              <w:ind w:hanging="290"/>
              <w:jc w:val="left"/>
              <w:rPr>
                <w:szCs w:val="24"/>
              </w:rPr>
            </w:pPr>
            <w:r w:rsidRPr="005C3B55">
              <w:rPr>
                <w:szCs w:val="24"/>
              </w:rPr>
              <w:t>review of the agricultural holding.</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Information that relates specifically to the operation</w:t>
      </w:r>
    </w:p>
    <w:p w:rsidR="00F555D6" w:rsidRPr="005C3B55" w:rsidRDefault="00F555D6" w:rsidP="00F555D6">
      <w:pPr>
        <w:spacing w:line="280" w:lineRule="auto"/>
        <w:rPr>
          <w:szCs w:val="24"/>
        </w:rPr>
      </w:pPr>
      <w:r w:rsidRPr="005C3B55">
        <w:rPr>
          <w:szCs w:val="24"/>
        </w:rPr>
        <w:t>Definition and identification of the relevant basic elements; this should include the relevant mandatory standards determined in accordance with Chapter I of Title VI of Regulation (EU) No 1306/2013 of the European Parliament and of the Council, relevant criteria and minimum activities determined in accordance with points (c)(ii) and (c)(iii) of the first paragraph of Article 4 of Regulation (EU) No 1307/2013 of the European Parliament and of the Council, relevant minimum requirements for the use of organic fertilisers and plant protection products and relevant mandatory requirements determined by national law</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 xml:space="preserve">Described in the chapter </w:t>
            </w:r>
            <w:r w:rsidRPr="005C3B55">
              <w:rPr>
                <w:i/>
                <w:szCs w:val="24"/>
              </w:rPr>
              <w:t>Agri-environment-climate commitments</w:t>
            </w:r>
            <w:r w:rsidRPr="005C3B55">
              <w:rPr>
                <w:szCs w:val="24"/>
              </w:rPr>
              <w:t>.</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 xml:space="preserve">Minimum requirements for fertilisers must include, inter alia, the Codes of Good Practice introduced under Directive 91/676/EEC for farms outside Nitrate Vulnerable Zones, and requirements concerning phosphorous pollution; minimum requirements for plant protection products use must include, </w:t>
      </w:r>
      <w:r w:rsidRPr="005C3B55">
        <w:rPr>
          <w:i/>
          <w:szCs w:val="24"/>
        </w:rPr>
        <w:t>inter alia</w:t>
      </w:r>
      <w:r w:rsidRPr="005C3B55">
        <w:rPr>
          <w:szCs w:val="24"/>
        </w:rPr>
        <w:t>, general principles for integrated pest management introduced with Directive 2009/128/EC, requirements to have a licence to use the products and meet training obligations, requirements on safe storage, the checking of application machinery and rules on pesticide use close to water and other sensitive sites, as established by national legislation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 xml:space="preserve">Described in the chapter </w:t>
            </w:r>
            <w:r w:rsidRPr="005C3B55">
              <w:rPr>
                <w:i/>
                <w:szCs w:val="24"/>
              </w:rPr>
              <w:t>Agri-environment-climate commitments</w:t>
            </w:r>
            <w:r w:rsidRPr="005C3B55">
              <w:rPr>
                <w:szCs w:val="24"/>
              </w:rPr>
              <w:t>.</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List of local breeds in danger of being lost to farming and for plant genetic resources under threat of genetic erosion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Not relevant.</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The description of the methodology and of the agronomic assumptions and parameters, including the description of the baseline requirements as stated in Article 29(2) of Regulation (EU) No 1305/2013, which are relevant for each particular type of commitment used as reference point for the calculations which justify: additional costs and lost revenue due to the assumed commitment and the amount of transaction costs; where necessary, the methodology takes into account the support granted under Regulation (EU) No 1307/2013, including payments for agricultural practices that favourably affect the climate and environment, in order to prevent the possibility of dual financing; where appropriate, the conversion method used for other units in accordance with Article 9 of this Regulation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The description of calculations for determining the amount of payments for individual requirements within the operation Arable farming and vegetable cultivation includes:</w:t>
            </w:r>
          </w:p>
          <w:p w:rsidR="00F555D6" w:rsidRPr="005C3B55" w:rsidRDefault="00F555D6" w:rsidP="00F555D6">
            <w:pPr>
              <w:pStyle w:val="Telobesedila"/>
              <w:rPr>
                <w:szCs w:val="24"/>
              </w:rPr>
            </w:pPr>
          </w:p>
          <w:p w:rsidR="00F555D6" w:rsidRPr="005C3B55" w:rsidRDefault="0012246E" w:rsidP="00F555D6">
            <w:pPr>
              <w:pStyle w:val="Telobesedila3"/>
              <w:jc w:val="left"/>
              <w:rPr>
                <w:szCs w:val="24"/>
              </w:rPr>
            </w:pPr>
            <w:r w:rsidRPr="005C3B55">
              <w:rPr>
                <w:noProof/>
                <w:szCs w:val="24"/>
                <w:lang w:val="sl-SI"/>
              </w:rPr>
              <w:drawing>
                <wp:inline distT="0" distB="0" distL="0" distR="0">
                  <wp:extent cx="6562725" cy="4391025"/>
                  <wp:effectExtent l="0" t="0" r="9525" b="9525"/>
                  <wp:docPr id="1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562725" cy="4391025"/>
                          </a:xfrm>
                          <a:prstGeom prst="rect">
                            <a:avLst/>
                          </a:prstGeom>
                          <a:noFill/>
                          <a:ln>
                            <a:noFill/>
                          </a:ln>
                        </pic:spPr>
                      </pic:pic>
                    </a:graphicData>
                  </a:graphic>
                </wp:inline>
              </w:drawing>
            </w:r>
          </w:p>
          <w:p w:rsidR="00F555D6" w:rsidRPr="005C3B55" w:rsidRDefault="00F555D6" w:rsidP="00F555D6">
            <w:pPr>
              <w:pStyle w:val="Noga"/>
              <w:jc w:val="center"/>
              <w:rPr>
                <w:szCs w:val="24"/>
              </w:rPr>
            </w:pPr>
            <w:r w:rsidRPr="005C3B55">
              <w:rPr>
                <w:szCs w:val="24"/>
              </w:rPr>
              <w:t>Arable farming and vegetable cultivation: description of model calculations (1)</w:t>
            </w:r>
          </w:p>
          <w:p w:rsidR="00F555D6" w:rsidRPr="005C3B55" w:rsidRDefault="0012246E" w:rsidP="00F555D6">
            <w:pPr>
              <w:pStyle w:val="Noga"/>
              <w:rPr>
                <w:szCs w:val="24"/>
              </w:rPr>
            </w:pPr>
            <w:r w:rsidRPr="005C3B55">
              <w:rPr>
                <w:noProof/>
                <w:szCs w:val="24"/>
                <w:lang w:val="sl-SI"/>
              </w:rPr>
              <w:drawing>
                <wp:inline distT="0" distB="0" distL="0" distR="0">
                  <wp:extent cx="6562725" cy="4105275"/>
                  <wp:effectExtent l="0" t="0" r="9525" b="9525"/>
                  <wp:docPr id="1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562725" cy="4105275"/>
                          </a:xfrm>
                          <a:prstGeom prst="rect">
                            <a:avLst/>
                          </a:prstGeom>
                          <a:noFill/>
                          <a:ln>
                            <a:noFill/>
                          </a:ln>
                        </pic:spPr>
                      </pic:pic>
                    </a:graphicData>
                  </a:graphic>
                </wp:inline>
              </w:drawing>
            </w:r>
          </w:p>
          <w:p w:rsidR="00F555D6" w:rsidRPr="005C3B55" w:rsidRDefault="00F555D6" w:rsidP="00F555D6">
            <w:pPr>
              <w:pStyle w:val="Noga"/>
              <w:jc w:val="center"/>
              <w:rPr>
                <w:szCs w:val="24"/>
              </w:rPr>
            </w:pPr>
            <w:r w:rsidRPr="005C3B55">
              <w:rPr>
                <w:szCs w:val="24"/>
              </w:rPr>
              <w:t>Arable farming and vegetable cultivation: description of model calculations (2)</w:t>
            </w:r>
          </w:p>
          <w:p w:rsidR="00F555D6" w:rsidRPr="005C3B55" w:rsidRDefault="00F555D6" w:rsidP="00F555D6">
            <w:pPr>
              <w:pStyle w:val="Noga"/>
              <w:jc w:val="center"/>
              <w:rPr>
                <w:szCs w:val="24"/>
              </w:rPr>
            </w:pPr>
          </w:p>
        </w:tc>
      </w:tr>
    </w:tbl>
    <w:p w:rsidR="00F555D6" w:rsidRPr="005C3B55" w:rsidRDefault="00F555D6" w:rsidP="00F555D6">
      <w:r w:rsidRPr="005C3B55">
        <w:t>The calculation of the amount of payments for individual requirements within the operation ‘Arable farming and vegetable cultivation’ observes:</w:t>
      </w:r>
    </w:p>
    <w:p w:rsidR="00F555D6" w:rsidRPr="005C3B55" w:rsidRDefault="00F555D6" w:rsidP="00F555D6">
      <w:pPr>
        <w:rPr>
          <w:b/>
        </w:rPr>
      </w:pPr>
      <w:r w:rsidRPr="005C3B55">
        <w:rPr>
          <w:b/>
        </w:rPr>
        <w:t xml:space="preserve">A. Mandatory requirements: </w:t>
      </w:r>
    </w:p>
    <w:p w:rsidR="00F555D6" w:rsidRPr="005C3B55" w:rsidRDefault="00F555D6" w:rsidP="00F555D6">
      <w:r w:rsidRPr="005C3B55">
        <w:t xml:space="preserve">POZ_KOL: The calculation compares the crop rotation which is based on the standard for crop rotation and agricultural practices from the green component (crop rotation – standard agricultural practice) and crop rotation anticipated in the requirement (crop rotation – requirement). </w:t>
      </w:r>
      <w:r w:rsidRPr="005C3B55">
        <w:tab/>
        <w:t>The standard agricultural practice and the implementation of the requirement anticipate production technologies for individual agricultural plants frequent in Slovenia. The model calculation for five-year crop rotation observes the difference in the costs of production and in income when implementing crop rotation/standard agricultural practice and when implementing crop rotation in the AEC requirement. The calculation for the requirement considers a five-year crop rotation with at least three different crops as the main crop; cereals and maize may only be in crop rotation three times in five years, whereby maize may not be in crop rotation consecutively. A smaller share of cereals and maize in crop rotation is substituted with different species of biennial crops of grass-clover mixtures.</w:t>
      </w:r>
    </w:p>
    <w:p w:rsidR="00F555D6" w:rsidRPr="005C3B55" w:rsidRDefault="00F555D6" w:rsidP="00F555D6">
      <w:r w:rsidRPr="005C3B55">
        <w:t xml:space="preserve">POZ_NMIN: </w:t>
      </w:r>
      <w:r w:rsidRPr="005C3B55">
        <w:tab/>
        <w:t>In standard agricultural practice, fertilisation with nitrogen on the basis of analyses is not prescribed. The calculation also takes into account additional fertilisation with nitrogen on the basis of soil nitrate tests and quick plant tests. The costs of analysis, the cost of work by collecting samples, the cost of transport to plots, the cost of transport to laboratory and transaction costs in the amount of 10 per cent of the actual costs of material and services, and work. Transaction costs include the costs of small equipment, mail, keeping of special records and work involved in the submission of a sample.</w:t>
      </w:r>
    </w:p>
    <w:p w:rsidR="00F555D6" w:rsidRPr="005C3B55" w:rsidRDefault="00F555D6" w:rsidP="00F555D6">
      <w:r w:rsidRPr="005C3B55">
        <w:rPr>
          <w:b/>
        </w:rPr>
        <w:t>B. Optional requirements</w:t>
      </w:r>
    </w:p>
    <w:p w:rsidR="00F555D6" w:rsidRPr="005C3B55" w:rsidRDefault="00F555D6" w:rsidP="00F555D6">
      <w:r w:rsidRPr="005C3B55">
        <w:t>POZ_NIZI: Standard agricultural practice in spreading liquid manure is the use of tankers with a spreading plate. Spreading with machinery adjusted for spreading liquid manure is anticipated within this requirement. The use of a slurry tanker with a system for the insertion of liquid manure in soil is anticipated. The calculation is based on the difference between the costs of spreading liquid manure with tankers with a system for inserting liquid manure in soil and the costs of spreading liquid manure with tankers with a spreading plate.</w:t>
      </w:r>
    </w:p>
    <w:p w:rsidR="00F555D6" w:rsidRPr="005C3B55" w:rsidRDefault="00F555D6" w:rsidP="00F555D6">
      <w:r w:rsidRPr="005C3B55">
        <w:t>POZ_POD: In standard agricultural practice, sowing plants for green manure is not widespread. The calculation includes additional costs relating to the sowing of plants for green manure. The costs include the costs of mechanical services, which include the preparation of soil and sowing with a stubble cultivator and seeder, mulching and ploughing, costs of domestic work relating to implementing mechanical services and the costs of seeds of plants envisaged for green manure. The average nutrient value of ploughed-in organic matter which represents fertilisation value for subsequent crops is deducted from the calculation.</w:t>
      </w:r>
    </w:p>
    <w:p w:rsidR="00F555D6" w:rsidRPr="005C3B55" w:rsidRDefault="00F555D6" w:rsidP="00F555D6">
      <w:r w:rsidRPr="005C3B55">
        <w:t>POZ_FFSM: The use of anti-insect nets is not widespread in standard agricultural practice. When implementing the requirement, the use of anti-insect nets is observed in the production of vegetables which enable the covering of crops. The calculation for the requirement is based on the comparison of costs of vegetable production without the use of anti-insect nets (standard agricultural practice) and the costs of vegetable production with the use of anti-insect nets. The standard agricultural practice observes the recommended spraying programme of plant protection against diseases and pests as per the forecasts of the forecasting service. Due to the use of anti-insect nets, the production of vegetables without the use of insecticides is anticipated in the requirement. This requires less manual labour and mechanical work and reduces the use of plant protection products. Beneficiaries’ additional work includes the installation and removal of anti-insect nets. Anti-insect nets do not provide complete protection against pests and thus the calculation includes a 2 per cent reduction in the production of vegetables.</w:t>
      </w:r>
    </w:p>
    <w:p w:rsidR="00F555D6" w:rsidRPr="005C3B55" w:rsidRDefault="00F555D6" w:rsidP="00F555D6">
      <w:r w:rsidRPr="005C3B55">
        <w:t>POZ_FFSV: Standard agricultural practice permits the use of all registered plant protection products in Slovenia in accordance with the regulations governing the use of plant protection products. Plant protection products which contain active substances whose application is prohibited in the narrowest water protection areas may not be used in the requirement of agricultural production. The calculation includes the costs of implementing additional mechanical measures for weeding whose application is extended due to the inability to use plant protection products from the list.</w:t>
      </w:r>
    </w:p>
    <w:p w:rsidR="00F555D6" w:rsidRPr="005C3B55" w:rsidRDefault="00F555D6" w:rsidP="00F555D6">
      <w:r w:rsidRPr="005C3B55">
        <w:t xml:space="preserve">POZ_MEHZ: </w:t>
      </w:r>
      <w:r w:rsidRPr="005C3B55">
        <w:tab/>
        <w:t>In standard agricultural practice, the use of mulches and/or mechanical weeding is not prescribed. The calculation for the use of mulches is based on a comparison of production costs in production without the use of mulches and production costs in production with the use of mulches. Production without the use of mulches (use of herbicides) and production with the use of mulches (without the use of herbicides, additional cost of mulches, additional work when laying and removing mulches) were compared. The calculation for mechanical weeding includes additional costs of mechanical mulching which may vary as per the requirements of individual agricultural plants and also different implements. Production without the use of herbicides is very demanding, since mechanical weeding is not completely efficient; the calculation thus anticipates 5 per cent lower production of maize and 10 per cent lower production of wheat.</w:t>
      </w:r>
    </w:p>
    <w:p w:rsidR="00F555D6" w:rsidRPr="005C3B55" w:rsidRDefault="00F555D6" w:rsidP="00F555D6">
      <w:r w:rsidRPr="005C3B55">
        <w:t>POZ_KONZ: In standard agricultural practice, the use of conservation tillage is not prescribed. The calculation for the requirement is based on a comparison of costs of producing maize by conventional preparation of soil (ploughing and pre-sowing treatment) with the costs of producing maize by conservation tillage. Conservation tillage includes the treatment of soil with a weeder harrow and stubble cultivator. As per data from different studies, the production of maize in conservation tillage is on average less; the calculations thus anticipate 5 per cent lower production of maize.</w:t>
      </w:r>
    </w:p>
    <w:p w:rsidR="00F555D6" w:rsidRPr="005C3B55" w:rsidRDefault="00F555D6" w:rsidP="00F555D6">
      <w:r w:rsidRPr="005C3B55">
        <w:t xml:space="preserve"> POZ_ZEL: The calculation observes additional costs relating to sowing plants for greening and income lost due to 2% lower production of maize as the result of problems preparing soil after greening with overwintering crops in spring (observed 40% share of maize in crop rotation). The costs include the costs of mechanical services, which include sowing with a stubble cultivator and seeder, rolling of crops after sowing, costs of domestic work relating to implementing domestic mechanical services and the costs of seeds of plants envisaged for greening. The mulching of catch crops is also observed for greening, whereby harvesting of catch crops is not anticipated. The value of nutrients of crops which are not harvested and which represent fertilisation value for subsequent crops is deducted.</w:t>
      </w:r>
    </w:p>
    <w:p w:rsidR="00F555D6" w:rsidRPr="005C3B55" w:rsidRDefault="00F555D6" w:rsidP="00F555D6">
      <w:r w:rsidRPr="005C3B55">
        <w:t>POZ_NEP: The calculation includes additional costs relating to the sowing of plants for greening. The costs include the costs of mechanical services which include sowing with a stubble cultivator and seeder, rolling of crop after sowing and mulching, costs of domestic work relating to the implementation of domestic mechanical services and the costs of seeds of plants envisaged for greening. Fertilisation as per the expected use of the main nutrients is taken into account for catch crops whose harvesting is anticipated (e.g. buckwheat, millet, etc.). The value of nutrients of crops which are not harvested and which have fertilisation value for subsequent crops is deducted.</w:t>
      </w:r>
    </w:p>
    <w:p w:rsidR="00F555D6" w:rsidRPr="005C3B55" w:rsidRDefault="00F555D6" w:rsidP="00F555D6">
      <w:pPr>
        <w:pStyle w:val="Naslov7"/>
        <w:tabs>
          <w:tab w:val="clear" w:pos="765"/>
        </w:tabs>
        <w:ind w:left="0" w:firstLine="0"/>
        <w:rPr>
          <w:szCs w:val="24"/>
          <w:lang w:val="en-GB"/>
        </w:rPr>
      </w:pPr>
      <w:r w:rsidRPr="005C3B55">
        <w:rPr>
          <w:noProof w:val="0"/>
          <w:szCs w:val="24"/>
          <w:lang w:val="en-GB"/>
        </w:rPr>
        <w:t>Agri-environment-climate commitments</w:t>
      </w:r>
    </w:p>
    <w:p w:rsidR="00F555D6" w:rsidRPr="005C3B55" w:rsidRDefault="00F555D6" w:rsidP="00F555D6">
      <w:pPr>
        <w:pStyle w:val="Naslov8"/>
        <w:tabs>
          <w:tab w:val="clear" w:pos="765"/>
        </w:tabs>
        <w:ind w:left="0" w:firstLine="0"/>
        <w:rPr>
          <w:b w:val="0"/>
          <w:szCs w:val="24"/>
          <w:lang w:val="en-GB"/>
        </w:rPr>
      </w:pPr>
      <w:r w:rsidRPr="005C3B55">
        <w:rPr>
          <w:b w:val="0"/>
          <w:noProof w:val="0"/>
          <w:szCs w:val="24"/>
          <w:lang w:val="en-GB"/>
        </w:rPr>
        <w:t>POZ_FFSM:</w:t>
      </w:r>
      <w:r w:rsidRPr="005C3B55">
        <w:rPr>
          <w:b w:val="0"/>
          <w:szCs w:val="24"/>
          <w:lang w:val="en-GB"/>
        </w:rPr>
        <w:t xml:space="preserve"> </w:t>
      </w:r>
      <w:r w:rsidRPr="005C3B55">
        <w:rPr>
          <w:b w:val="0"/>
          <w:noProof w:val="0"/>
          <w:szCs w:val="24"/>
          <w:lang w:val="en-GB"/>
        </w:rPr>
        <w:t>Use of anti-insect nets</w:t>
      </w:r>
    </w:p>
    <w:p w:rsidR="00F555D6" w:rsidRPr="005C3B55" w:rsidRDefault="00F555D6" w:rsidP="00F555D6">
      <w:pPr>
        <w:pStyle w:val="Naslov9"/>
        <w:tabs>
          <w:tab w:val="clear" w:pos="765"/>
        </w:tabs>
        <w:ind w:left="0" w:firstLine="0"/>
        <w:rPr>
          <w:szCs w:val="24"/>
          <w:lang w:val="en-GB"/>
        </w:rPr>
      </w:pPr>
      <w:r w:rsidRPr="005C3B55">
        <w:rPr>
          <w:noProof w:val="0"/>
          <w:szCs w:val="24"/>
          <w:lang w:val="en-GB"/>
        </w:rPr>
        <w:t>Starting Point</w:t>
      </w:r>
    </w:p>
    <w:p w:rsidR="00F555D6" w:rsidRPr="005C3B55" w:rsidRDefault="00F555D6" w:rsidP="00F555D6">
      <w:pPr>
        <w:spacing w:line="280" w:lineRule="auto"/>
        <w:rPr>
          <w:szCs w:val="24"/>
        </w:rPr>
      </w:pPr>
      <w:r w:rsidRPr="005C3B55">
        <w:rPr>
          <w:szCs w:val="24"/>
        </w:rPr>
        <w:t>Suitable good agricultural and environmental conditions and/or prescribed management requirements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311"/>
              </w:numPr>
              <w:spacing w:before="0" w:after="240"/>
              <w:ind w:hanging="290"/>
              <w:jc w:val="left"/>
              <w:rPr>
                <w:szCs w:val="24"/>
              </w:rPr>
            </w:pPr>
            <w:r w:rsidRPr="005C3B55">
              <w:rPr>
                <w:szCs w:val="24"/>
              </w:rPr>
              <w:t>The use of anti-insect nets is not prescribed in the Regulation on cross-compliance.</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Minimum requirements for the use of fertilisers and plant protection products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312"/>
              </w:numPr>
              <w:spacing w:before="0" w:after="0"/>
              <w:ind w:hanging="290"/>
              <w:jc w:val="left"/>
              <w:rPr>
                <w:szCs w:val="24"/>
              </w:rPr>
            </w:pPr>
            <w:r w:rsidRPr="005C3B55">
              <w:rPr>
                <w:szCs w:val="24"/>
              </w:rPr>
              <w:t>Minimum requirements for the use of fertilisers refer to the keeping of records on the use of livestock and mineral fertilisers which an agricultural holding has to keep for all agricultural land plots at the agricultural holding, and which has to include at least the quantity and type of livestock manure and mineral fertiliser, time of fertilising and data on the surface where these fertilisers are used.</w:t>
            </w:r>
          </w:p>
          <w:p w:rsidR="00F555D6" w:rsidRPr="005C3B55" w:rsidRDefault="00F555D6" w:rsidP="00F555D6">
            <w:pPr>
              <w:numPr>
                <w:ilvl w:val="0"/>
                <w:numId w:val="312"/>
              </w:numPr>
              <w:spacing w:before="0" w:after="240"/>
              <w:ind w:hanging="290"/>
              <w:jc w:val="left"/>
              <w:rPr>
                <w:szCs w:val="24"/>
              </w:rPr>
            </w:pPr>
            <w:r w:rsidRPr="005C3B55">
              <w:rPr>
                <w:szCs w:val="24"/>
              </w:rPr>
              <w:t>Minimum requirements for the use of plant protection products are not determined, since the requirements relating to the use of these products are standardised and are included in the requirements of cross-compliance.</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Other relevant national/regional requirements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313"/>
              </w:numPr>
              <w:spacing w:before="0" w:after="240"/>
              <w:ind w:hanging="290"/>
              <w:jc w:val="left"/>
              <w:rPr>
                <w:szCs w:val="24"/>
              </w:rPr>
            </w:pPr>
            <w:r w:rsidRPr="005C3B55">
              <w:rPr>
                <w:szCs w:val="24"/>
              </w:rPr>
              <w:t>The Rules on integrated pest management (Official Gazette of the Republic of Slovenia, no. (43/13) do not prohibit the use of insecticides.</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Minimum activities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314"/>
              </w:numPr>
              <w:spacing w:before="0" w:after="240"/>
              <w:ind w:hanging="290"/>
              <w:jc w:val="left"/>
              <w:rPr>
                <w:szCs w:val="24"/>
              </w:rPr>
            </w:pPr>
            <w:r w:rsidRPr="005C3B55">
              <w:rPr>
                <w:szCs w:val="24"/>
              </w:rPr>
              <w:t>Not relevant.</w:t>
            </w:r>
          </w:p>
          <w:p w:rsidR="00F555D6" w:rsidRPr="005C3B55" w:rsidRDefault="00F555D6" w:rsidP="00F555D6">
            <w:pPr>
              <w:pStyle w:val="Telobesedila"/>
              <w:rPr>
                <w:szCs w:val="24"/>
              </w:rPr>
            </w:pPr>
          </w:p>
        </w:tc>
      </w:tr>
    </w:tbl>
    <w:p w:rsidR="00F555D6" w:rsidRPr="005C3B55" w:rsidRDefault="00F555D6" w:rsidP="00F555D6">
      <w:pPr>
        <w:pStyle w:val="Naslov9"/>
        <w:tabs>
          <w:tab w:val="clear" w:pos="765"/>
        </w:tabs>
        <w:ind w:left="0" w:firstLine="0"/>
        <w:rPr>
          <w:szCs w:val="24"/>
          <w:lang w:val="en-GB"/>
        </w:rPr>
      </w:pPr>
      <w:r w:rsidRPr="005C3B55">
        <w:rPr>
          <w:noProof w:val="0"/>
          <w:szCs w:val="24"/>
          <w:lang w:val="en-GB"/>
        </w:rPr>
        <w:t>Relevant standard agricultural practices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In standard agricultural practice, anti-insect nets are not used. Harmful organisms are managed by using registered insecticides.</w:t>
            </w:r>
          </w:p>
          <w:p w:rsidR="00F555D6" w:rsidRPr="005C3B55" w:rsidRDefault="00F555D6" w:rsidP="00F555D6">
            <w:pPr>
              <w:pStyle w:val="Telobesedila"/>
              <w:rPr>
                <w:szCs w:val="24"/>
              </w:rPr>
            </w:pPr>
          </w:p>
        </w:tc>
      </w:tr>
    </w:tbl>
    <w:p w:rsidR="00F555D6" w:rsidRPr="005C3B55" w:rsidRDefault="00F555D6" w:rsidP="00F555D6">
      <w:pPr>
        <w:pStyle w:val="Naslov8"/>
        <w:tabs>
          <w:tab w:val="clear" w:pos="765"/>
        </w:tabs>
        <w:ind w:left="0" w:firstLine="0"/>
        <w:rPr>
          <w:b w:val="0"/>
          <w:szCs w:val="24"/>
          <w:lang w:val="en-GB"/>
        </w:rPr>
      </w:pPr>
      <w:r w:rsidRPr="005C3B55">
        <w:rPr>
          <w:b w:val="0"/>
          <w:noProof w:val="0"/>
          <w:szCs w:val="24"/>
          <w:lang w:val="en-GB"/>
        </w:rPr>
        <w:t>POZ_FFSV:</w:t>
      </w:r>
      <w:r w:rsidRPr="005C3B55">
        <w:rPr>
          <w:b w:val="0"/>
          <w:szCs w:val="24"/>
          <w:lang w:val="en-GB"/>
        </w:rPr>
        <w:t xml:space="preserve"> </w:t>
      </w:r>
      <w:r w:rsidRPr="005C3B55">
        <w:rPr>
          <w:b w:val="0"/>
          <w:noProof w:val="0"/>
          <w:szCs w:val="24"/>
          <w:lang w:val="en-GB"/>
        </w:rPr>
        <w:t>Use of only plant protection products which were approved for the narrowest water protection areas</w:t>
      </w:r>
    </w:p>
    <w:p w:rsidR="00F555D6" w:rsidRPr="005C3B55" w:rsidRDefault="00F555D6" w:rsidP="00F555D6">
      <w:pPr>
        <w:pStyle w:val="Naslov9"/>
        <w:tabs>
          <w:tab w:val="clear" w:pos="765"/>
        </w:tabs>
        <w:ind w:left="0" w:firstLine="0"/>
        <w:rPr>
          <w:szCs w:val="24"/>
          <w:lang w:val="en-GB"/>
        </w:rPr>
      </w:pPr>
      <w:r w:rsidRPr="005C3B55">
        <w:rPr>
          <w:noProof w:val="0"/>
          <w:szCs w:val="24"/>
          <w:lang w:val="en-GB"/>
        </w:rPr>
        <w:t>Starting Point</w:t>
      </w:r>
    </w:p>
    <w:p w:rsidR="00F555D6" w:rsidRPr="005C3B55" w:rsidRDefault="00F555D6" w:rsidP="00F555D6">
      <w:pPr>
        <w:spacing w:line="280" w:lineRule="auto"/>
        <w:rPr>
          <w:szCs w:val="24"/>
        </w:rPr>
      </w:pPr>
      <w:r w:rsidRPr="005C3B55">
        <w:rPr>
          <w:szCs w:val="24"/>
        </w:rPr>
        <w:t>Suitable good agricultural and environmental conditions and/or prescribed management requirements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315"/>
              </w:numPr>
              <w:spacing w:before="0" w:after="240"/>
              <w:ind w:hanging="290"/>
              <w:jc w:val="left"/>
              <w:rPr>
                <w:szCs w:val="24"/>
              </w:rPr>
            </w:pPr>
            <w:r w:rsidRPr="005C3B55">
              <w:rPr>
                <w:szCs w:val="24"/>
              </w:rPr>
              <w:t>Regulation on cross-compliance, Annex 1: Rules on cross-compliance, SMR 10: Proper use of plant protection products: Only registered plant protection products or products for which an exceptional permit, a permit for extended use in the Republic of Slovenia, or a permit for placing on the market identical plant protection products from other EU Member States has been issued may be used. Registered plant protection products must be used correctly in accordance with the instructions stated on the label or with data included in the permission to use the product.</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Minimum requirements for the use of fertilisers and plant protection products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316"/>
              </w:numPr>
              <w:spacing w:before="0" w:after="0"/>
              <w:ind w:hanging="290"/>
              <w:jc w:val="left"/>
              <w:rPr>
                <w:szCs w:val="24"/>
              </w:rPr>
            </w:pPr>
            <w:r w:rsidRPr="005C3B55">
              <w:rPr>
                <w:szCs w:val="24"/>
              </w:rPr>
              <w:t>Minimum requirements for the use of fertilisers refer to the keeping of records on the use of livestock and mineral fertilisers which an agricultural holding has to keep for all agricultural land plots at the agricultural holding, and which has to include at least the quantity and type of livestock manure and mineral fertiliser, time of fertilising and data on the surface where these fertilisers are used.</w:t>
            </w:r>
          </w:p>
          <w:p w:rsidR="00F555D6" w:rsidRPr="005C3B55" w:rsidRDefault="00F555D6" w:rsidP="00F555D6">
            <w:pPr>
              <w:numPr>
                <w:ilvl w:val="0"/>
                <w:numId w:val="316"/>
              </w:numPr>
              <w:spacing w:before="0" w:after="240"/>
              <w:ind w:hanging="290"/>
              <w:jc w:val="left"/>
              <w:rPr>
                <w:szCs w:val="24"/>
              </w:rPr>
            </w:pPr>
            <w:r w:rsidRPr="005C3B55">
              <w:rPr>
                <w:szCs w:val="24"/>
              </w:rPr>
              <w:t>Minimum requirements for the use of plant protection products are not determined, since the requirements relating to the use of these products are standardised and are included in the requirements of cross-compliance.</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Other relevant national/regional requirements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317"/>
              </w:numPr>
              <w:spacing w:before="0" w:after="0"/>
              <w:ind w:hanging="290"/>
              <w:jc w:val="left"/>
              <w:rPr>
                <w:szCs w:val="24"/>
              </w:rPr>
            </w:pPr>
            <w:r w:rsidRPr="005C3B55">
              <w:rPr>
                <w:szCs w:val="24"/>
              </w:rPr>
              <w:t>Decree on the water protection zone for the aquifer of Ljubljansko polje (Official Gazette of the Republic of Slovenia, no. 120/04 with all amendments);</w:t>
            </w:r>
          </w:p>
          <w:p w:rsidR="00F555D6" w:rsidRPr="005C3B55" w:rsidRDefault="00F555D6" w:rsidP="00F555D6">
            <w:pPr>
              <w:numPr>
                <w:ilvl w:val="0"/>
                <w:numId w:val="317"/>
              </w:numPr>
              <w:spacing w:before="0" w:after="0"/>
              <w:ind w:hanging="290"/>
              <w:jc w:val="left"/>
              <w:rPr>
                <w:szCs w:val="24"/>
              </w:rPr>
            </w:pPr>
            <w:r w:rsidRPr="005C3B55">
              <w:rPr>
                <w:szCs w:val="24"/>
              </w:rPr>
              <w:t>Decree on the water protection zone for the aquifer of Selniška dobrava (Official Gazette of the Republic of Slovenia, no. 72/06 with all amendments);</w:t>
            </w:r>
          </w:p>
          <w:p w:rsidR="00F555D6" w:rsidRPr="005C3B55" w:rsidRDefault="00F555D6" w:rsidP="00F555D6">
            <w:pPr>
              <w:numPr>
                <w:ilvl w:val="0"/>
                <w:numId w:val="317"/>
              </w:numPr>
              <w:spacing w:before="0" w:after="0"/>
              <w:ind w:hanging="290"/>
              <w:jc w:val="left"/>
              <w:rPr>
                <w:szCs w:val="24"/>
              </w:rPr>
            </w:pPr>
            <w:r w:rsidRPr="005C3B55">
              <w:rPr>
                <w:szCs w:val="24"/>
              </w:rPr>
              <w:t>Decree on water protection area for the body of water of aquifers Ruše, Vrbanski plato, Limbuška dobrava and Dravsko polje (Official Gazette of the Republic of Slovenia, no. 24/07 with all amendments);</w:t>
            </w:r>
          </w:p>
          <w:p w:rsidR="00F555D6" w:rsidRPr="005C3B55" w:rsidRDefault="00F555D6" w:rsidP="00F555D6">
            <w:pPr>
              <w:numPr>
                <w:ilvl w:val="0"/>
                <w:numId w:val="317"/>
              </w:numPr>
              <w:spacing w:before="0" w:after="0"/>
              <w:ind w:hanging="290"/>
              <w:jc w:val="left"/>
              <w:rPr>
                <w:szCs w:val="24"/>
              </w:rPr>
            </w:pPr>
            <w:r w:rsidRPr="005C3B55">
              <w:rPr>
                <w:szCs w:val="24"/>
              </w:rPr>
              <w:t>Decree on the water protection zone for the aquifer of Dravsko–Ptujsko polje (Official Gazette of the Republic of Slovenia, no. 59/07 with all amendments);</w:t>
            </w:r>
          </w:p>
          <w:p w:rsidR="00F555D6" w:rsidRPr="005C3B55" w:rsidRDefault="00F555D6" w:rsidP="00F555D6">
            <w:pPr>
              <w:numPr>
                <w:ilvl w:val="0"/>
                <w:numId w:val="317"/>
              </w:numPr>
              <w:spacing w:before="0" w:after="0"/>
              <w:ind w:hanging="290"/>
              <w:jc w:val="left"/>
              <w:rPr>
                <w:szCs w:val="24"/>
              </w:rPr>
            </w:pPr>
            <w:r w:rsidRPr="005C3B55">
              <w:rPr>
                <w:szCs w:val="24"/>
              </w:rPr>
              <w:t>Decree on the water protection zone for the aquifer of Apaško polje (Official Gazette of the Republic of Slovenia, no. 59/07 with all amendments);</w:t>
            </w:r>
          </w:p>
          <w:p w:rsidR="00F555D6" w:rsidRPr="005C3B55" w:rsidRDefault="00F555D6" w:rsidP="00F555D6">
            <w:pPr>
              <w:numPr>
                <w:ilvl w:val="0"/>
                <w:numId w:val="317"/>
              </w:numPr>
              <w:spacing w:before="0" w:after="0"/>
              <w:ind w:hanging="290"/>
              <w:jc w:val="left"/>
              <w:rPr>
                <w:szCs w:val="24"/>
              </w:rPr>
            </w:pPr>
            <w:r w:rsidRPr="005C3B55">
              <w:rPr>
                <w:szCs w:val="24"/>
              </w:rPr>
              <w:t>Decree on the water protection zone for the aquifer of Ljubljansko barje and Ljubljana surroundings (Official Gazette of the Republic of Slovenia, no. 115/07 with all amendments);</w:t>
            </w:r>
          </w:p>
          <w:p w:rsidR="00F555D6" w:rsidRPr="005C3B55" w:rsidRDefault="00F555D6" w:rsidP="00F555D6">
            <w:pPr>
              <w:numPr>
                <w:ilvl w:val="0"/>
                <w:numId w:val="317"/>
              </w:numPr>
              <w:spacing w:before="0" w:after="0"/>
              <w:ind w:hanging="290"/>
              <w:jc w:val="left"/>
              <w:rPr>
                <w:szCs w:val="24"/>
              </w:rPr>
            </w:pPr>
            <w:r w:rsidRPr="005C3B55">
              <w:rPr>
                <w:szCs w:val="24"/>
              </w:rPr>
              <w:t>Decree on the water protection area for the aquifers of Rižana (Official Gazette of the Republic of Slovenia, no. 49/08 with all amendments);</w:t>
            </w:r>
          </w:p>
          <w:p w:rsidR="00F555D6" w:rsidRPr="005C3B55" w:rsidRDefault="00F555D6" w:rsidP="00F555D6">
            <w:pPr>
              <w:numPr>
                <w:ilvl w:val="0"/>
                <w:numId w:val="317"/>
              </w:numPr>
              <w:spacing w:before="0" w:after="0"/>
              <w:ind w:hanging="290"/>
              <w:jc w:val="left"/>
              <w:rPr>
                <w:szCs w:val="24"/>
              </w:rPr>
            </w:pPr>
            <w:r w:rsidRPr="005C3B55">
              <w:rPr>
                <w:szCs w:val="24"/>
              </w:rPr>
              <w:t>Decree on the water protection area for aquifers of the municipalities of Šmartno ob Paki, Polzela and Braslovče (Official Gazette of the Republic of Slovenia, no. 98/11 with all amendments);</w:t>
            </w:r>
          </w:p>
          <w:p w:rsidR="00F555D6" w:rsidRPr="005C3B55" w:rsidRDefault="00F555D6" w:rsidP="00F555D6">
            <w:pPr>
              <w:numPr>
                <w:ilvl w:val="0"/>
                <w:numId w:val="317"/>
              </w:numPr>
              <w:spacing w:before="0" w:after="0"/>
              <w:ind w:hanging="290"/>
              <w:jc w:val="left"/>
              <w:rPr>
                <w:szCs w:val="24"/>
              </w:rPr>
            </w:pPr>
            <w:r w:rsidRPr="005C3B55">
              <w:rPr>
                <w:szCs w:val="24"/>
              </w:rPr>
              <w:t>Decree on the water protection area for the aquifers of the Municipality of Jezersko (Official Gazette of the Republic of Slovenia, no. 24/12);</w:t>
            </w:r>
          </w:p>
          <w:p w:rsidR="00F555D6" w:rsidRPr="005C3B55" w:rsidRDefault="00F555D6" w:rsidP="00F555D6">
            <w:pPr>
              <w:numPr>
                <w:ilvl w:val="0"/>
                <w:numId w:val="317"/>
              </w:numPr>
              <w:spacing w:before="0" w:after="240"/>
              <w:ind w:hanging="290"/>
              <w:jc w:val="left"/>
              <w:rPr>
                <w:szCs w:val="24"/>
              </w:rPr>
            </w:pPr>
            <w:r w:rsidRPr="005C3B55">
              <w:rPr>
                <w:szCs w:val="24"/>
              </w:rPr>
              <w:t>Decree on the water protection area for the aquifers of the Municipality of Jesenice (Official Gazette of the Republic of Slovenia, no. 62/13).</w:t>
            </w:r>
          </w:p>
          <w:p w:rsidR="00F555D6" w:rsidRPr="005C3B55" w:rsidRDefault="00F555D6" w:rsidP="00F555D6">
            <w:pPr>
              <w:spacing w:before="240" w:after="240" w:line="280" w:lineRule="auto"/>
              <w:rPr>
                <w:szCs w:val="24"/>
              </w:rPr>
            </w:pPr>
            <w:r w:rsidRPr="005C3B55">
              <w:rPr>
                <w:szCs w:val="24"/>
              </w:rPr>
              <w:t>Only certain plant protection products (active substances) may be used.</w:t>
            </w:r>
          </w:p>
          <w:p w:rsidR="00F555D6" w:rsidRPr="005C3B55" w:rsidRDefault="00F555D6" w:rsidP="00F555D6">
            <w:pPr>
              <w:numPr>
                <w:ilvl w:val="0"/>
                <w:numId w:val="318"/>
              </w:numPr>
              <w:spacing w:before="240" w:after="240"/>
              <w:ind w:hanging="290"/>
              <w:jc w:val="left"/>
              <w:rPr>
                <w:szCs w:val="24"/>
              </w:rPr>
            </w:pPr>
            <w:r w:rsidRPr="005C3B55">
              <w:rPr>
                <w:szCs w:val="24"/>
              </w:rPr>
              <w:t xml:space="preserve">Rules on integrated pest management (Official Gazette of the Republic of Slovenia, no. 43/14): Pursuant to Article 6, the user may use plant protection products for professional application when he estimates that low-risk methods of plant protection may not attain a sufficient effect in controlling harmful organisms. When applying plant protection products for professional use, the rules and code of ethics of the producer need to be observed in terms of the use of plant protection products in order to prevent the development of resistance of harmful organisms or weeds against the plant protection products. Also, all prescribed warnings, particularly warnings on protection areas alongside waters, the protection of bees and other non-target organisms need to be observed, as well as warnings on the limited application stated on the label and instructions for the use of plant protection products and in terms of the application of personal protection equipment during treatments. </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Minimum activities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319"/>
              </w:numPr>
              <w:spacing w:before="0" w:after="240"/>
              <w:ind w:hanging="290"/>
              <w:jc w:val="left"/>
              <w:rPr>
                <w:szCs w:val="24"/>
              </w:rPr>
            </w:pPr>
            <w:r w:rsidRPr="005C3B55">
              <w:rPr>
                <w:szCs w:val="24"/>
              </w:rPr>
              <w:t>Not relevant.</w:t>
            </w:r>
          </w:p>
          <w:p w:rsidR="00F555D6" w:rsidRPr="005C3B55" w:rsidRDefault="00F555D6" w:rsidP="00F555D6">
            <w:pPr>
              <w:pStyle w:val="Telobesedila"/>
              <w:rPr>
                <w:szCs w:val="24"/>
              </w:rPr>
            </w:pPr>
          </w:p>
        </w:tc>
      </w:tr>
    </w:tbl>
    <w:p w:rsidR="00F555D6" w:rsidRPr="005C3B55" w:rsidRDefault="00F555D6" w:rsidP="00F555D6">
      <w:pPr>
        <w:pStyle w:val="Naslov9"/>
        <w:tabs>
          <w:tab w:val="clear" w:pos="765"/>
        </w:tabs>
        <w:ind w:left="0" w:firstLine="0"/>
        <w:rPr>
          <w:szCs w:val="24"/>
          <w:lang w:val="en-GB"/>
        </w:rPr>
      </w:pPr>
      <w:r w:rsidRPr="005C3B55">
        <w:rPr>
          <w:noProof w:val="0"/>
          <w:szCs w:val="24"/>
          <w:lang w:val="en-GB"/>
        </w:rPr>
        <w:t>Relevant standard agricultural practices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Registered plant protection products are used in standard agricultural practice to control harmful organisms.</w:t>
            </w:r>
          </w:p>
          <w:p w:rsidR="00F555D6" w:rsidRPr="005C3B55" w:rsidRDefault="00F555D6" w:rsidP="00F555D6">
            <w:pPr>
              <w:pStyle w:val="Telobesedila"/>
              <w:rPr>
                <w:szCs w:val="24"/>
              </w:rPr>
            </w:pPr>
          </w:p>
        </w:tc>
      </w:tr>
    </w:tbl>
    <w:p w:rsidR="00F555D6" w:rsidRPr="005C3B55" w:rsidRDefault="00F555D6" w:rsidP="00F555D6">
      <w:pPr>
        <w:pStyle w:val="Naslov8"/>
        <w:tabs>
          <w:tab w:val="clear" w:pos="765"/>
        </w:tabs>
        <w:ind w:left="0" w:firstLine="0"/>
        <w:rPr>
          <w:b w:val="0"/>
          <w:szCs w:val="24"/>
          <w:lang w:val="en-GB"/>
        </w:rPr>
      </w:pPr>
      <w:r w:rsidRPr="005C3B55">
        <w:rPr>
          <w:b w:val="0"/>
          <w:noProof w:val="0"/>
          <w:szCs w:val="24"/>
          <w:lang w:val="en-GB"/>
        </w:rPr>
        <w:t>POZ_KOL:</w:t>
      </w:r>
      <w:r w:rsidRPr="005C3B55">
        <w:rPr>
          <w:b w:val="0"/>
          <w:szCs w:val="24"/>
          <w:lang w:val="en-GB"/>
        </w:rPr>
        <w:t xml:space="preserve"> </w:t>
      </w:r>
      <w:r w:rsidRPr="005C3B55">
        <w:rPr>
          <w:b w:val="0"/>
          <w:noProof w:val="0"/>
          <w:szCs w:val="24"/>
          <w:lang w:val="en-GB"/>
        </w:rPr>
        <w:t>Five-year crop rotation</w:t>
      </w:r>
    </w:p>
    <w:p w:rsidR="00F555D6" w:rsidRPr="005C3B55" w:rsidRDefault="00F555D6" w:rsidP="00F555D6">
      <w:pPr>
        <w:pStyle w:val="Naslov9"/>
        <w:tabs>
          <w:tab w:val="clear" w:pos="765"/>
        </w:tabs>
        <w:ind w:left="0" w:firstLine="0"/>
        <w:rPr>
          <w:szCs w:val="24"/>
          <w:lang w:val="en-GB"/>
        </w:rPr>
      </w:pPr>
      <w:r w:rsidRPr="005C3B55">
        <w:rPr>
          <w:noProof w:val="0"/>
          <w:szCs w:val="24"/>
          <w:lang w:val="en-GB"/>
        </w:rPr>
        <w:t>Starting Point</w:t>
      </w:r>
    </w:p>
    <w:p w:rsidR="00F555D6" w:rsidRPr="005C3B55" w:rsidRDefault="00F555D6" w:rsidP="00F555D6">
      <w:pPr>
        <w:spacing w:line="280" w:lineRule="auto"/>
        <w:rPr>
          <w:szCs w:val="24"/>
        </w:rPr>
      </w:pPr>
      <w:r w:rsidRPr="005C3B55">
        <w:rPr>
          <w:szCs w:val="24"/>
        </w:rPr>
        <w:t>Suitable good agricultural and environmental conditions and/or prescribed management requirements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320"/>
              </w:numPr>
              <w:spacing w:before="0" w:after="240"/>
              <w:ind w:hanging="290"/>
              <w:jc w:val="left"/>
              <w:rPr>
                <w:szCs w:val="24"/>
              </w:rPr>
            </w:pPr>
            <w:r w:rsidRPr="005C3B55">
              <w:rPr>
                <w:szCs w:val="24"/>
              </w:rPr>
              <w:t>Regulation on cross-compliance, Annex 1: Rules on cross-compliance, GAEC 6:  Maintenance of soil organic matter level: suitable crop rotation is observed in the three-year period.</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Minimum requirements for the use of fertilisers and plant protection products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321"/>
              </w:numPr>
              <w:spacing w:before="0" w:after="0"/>
              <w:ind w:hanging="290"/>
              <w:jc w:val="left"/>
              <w:rPr>
                <w:szCs w:val="24"/>
              </w:rPr>
            </w:pPr>
            <w:r w:rsidRPr="005C3B55">
              <w:rPr>
                <w:szCs w:val="24"/>
              </w:rPr>
              <w:t>Minimum requirements for the use of fertilisers refer to the keeping of records on the use of livestock and mineral fertilisers which an agricultural holding has to keep for all agricultural land plots at the agricultural holding, and which has to include at least the quantity and type of livestock manure and mineral fertiliser, time of fertilising and data on the surface where these fertilisers are used.</w:t>
            </w:r>
          </w:p>
          <w:p w:rsidR="00F555D6" w:rsidRPr="005C3B55" w:rsidRDefault="00F555D6" w:rsidP="00F555D6">
            <w:pPr>
              <w:numPr>
                <w:ilvl w:val="0"/>
                <w:numId w:val="321"/>
              </w:numPr>
              <w:spacing w:before="0" w:after="240"/>
              <w:ind w:hanging="290"/>
              <w:jc w:val="left"/>
              <w:rPr>
                <w:szCs w:val="24"/>
              </w:rPr>
            </w:pPr>
            <w:r w:rsidRPr="005C3B55">
              <w:rPr>
                <w:szCs w:val="24"/>
              </w:rPr>
              <w:t>Minimum requirements for the use of plant protection products are not determined, since the requirements relating to the use of these products are standardised and are included in the requirements of cross-compliance.</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Other relevant national/regional requirements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322"/>
              </w:numPr>
              <w:spacing w:before="0" w:after="0"/>
              <w:ind w:hanging="290"/>
              <w:jc w:val="left"/>
              <w:rPr>
                <w:szCs w:val="24"/>
              </w:rPr>
            </w:pPr>
            <w:r w:rsidRPr="005C3B55">
              <w:rPr>
                <w:szCs w:val="24"/>
              </w:rPr>
              <w:t xml:space="preserve">Regulation on direct payments schemes for the period 2015–2020: Agricultural practices which have a favourable effect on climate and the environment have to be implemented within the green component, i.e.: </w:t>
            </w:r>
          </w:p>
          <w:p w:rsidR="00F555D6" w:rsidRPr="005C3B55" w:rsidRDefault="00F555D6" w:rsidP="00F555D6">
            <w:pPr>
              <w:numPr>
                <w:ilvl w:val="1"/>
                <w:numId w:val="322"/>
              </w:numPr>
              <w:spacing w:before="0" w:after="0"/>
              <w:ind w:hanging="324"/>
              <w:jc w:val="left"/>
              <w:rPr>
                <w:szCs w:val="24"/>
              </w:rPr>
            </w:pPr>
            <w:r w:rsidRPr="005C3B55">
              <w:rPr>
                <w:szCs w:val="24"/>
              </w:rPr>
              <w:t>Implementation of diversification of agricultural plants is mandatory for agricultural holdings with more than 10 ha of arable land. Agricultural holdings with 10 to 30 ha of arable land must have at least two crops, of which the main one must not exceed 75 per cent of the entire arable land. Agricultural holdings with over 30 ha of arable land must have at least three crops, of which the main one must not exceed 75 per cent, and the two main crops together must not exceed 95 per cent of entire arable land.</w:t>
            </w:r>
          </w:p>
          <w:p w:rsidR="00F555D6" w:rsidRPr="005C3B55" w:rsidRDefault="00F555D6" w:rsidP="00F555D6">
            <w:pPr>
              <w:numPr>
                <w:ilvl w:val="1"/>
                <w:numId w:val="322"/>
              </w:numPr>
              <w:spacing w:before="0" w:after="0"/>
              <w:ind w:hanging="324"/>
              <w:jc w:val="left"/>
              <w:rPr>
                <w:szCs w:val="24"/>
              </w:rPr>
            </w:pPr>
            <w:r w:rsidRPr="005C3B55">
              <w:rPr>
                <w:szCs w:val="24"/>
              </w:rPr>
              <w:t>Agricultural holdings with over 15 ha of arable land have to provide ecological focus areas (EFA) amounting to a minimum 5 per cent of arable surfaces. EFAs are ensured on fallow land and surfaces with agricultural plants fixing nitrogen.  These crops are as follows: field bean, bean, soya bean, common vetch, lupin, birdsfoot, field pea, lucerne or clover. These plants have to be present on the agricultural land from 7 May until their technological ripeness or until 30 September of the current year.</w:t>
            </w:r>
          </w:p>
          <w:p w:rsidR="00F555D6" w:rsidRPr="005C3B55" w:rsidRDefault="00F555D6" w:rsidP="00F555D6">
            <w:pPr>
              <w:numPr>
                <w:ilvl w:val="0"/>
                <w:numId w:val="322"/>
              </w:numPr>
              <w:spacing w:before="0" w:after="240"/>
              <w:ind w:hanging="290"/>
              <w:jc w:val="left"/>
              <w:rPr>
                <w:szCs w:val="24"/>
              </w:rPr>
            </w:pPr>
            <w:r w:rsidRPr="005C3B55">
              <w:rPr>
                <w:szCs w:val="24"/>
              </w:rPr>
              <w:t>Rules on integrated pest management (Official Gazette of the Republic of Slovenia, no. 43/14) on the implementation of Directive 2009/128/EC: Suitable crop rotation in agricultural plant production on arable land has to be implemented on at least 50 per cent of arable land as per Article 4. Each crop rotation compliant with the selected production technology is considered suitable. A two-year crop rotation is considered suitable, and a three-year crop rotation is recommended. Maize may be produced as a monoculture for a maximum of three years on all arable land surfaces of an agricultural holding. Grasses, grass-clover mixtures and clover-grass mixtures on arable land form part of crop rotation, and may remain on the same surface for over three years. Fallow land, secondary crops and catch crops are part of two-year crop rotation.</w:t>
            </w:r>
          </w:p>
          <w:p w:rsidR="00F555D6" w:rsidRPr="005C3B55" w:rsidRDefault="00F555D6" w:rsidP="00F555D6">
            <w:pPr>
              <w:spacing w:before="240" w:after="240" w:line="280" w:lineRule="auto"/>
              <w:rPr>
                <w:szCs w:val="24"/>
              </w:rPr>
            </w:pPr>
            <w:r w:rsidRPr="005C3B55">
              <w:rPr>
                <w:szCs w:val="24"/>
              </w:rPr>
              <w:t> </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Minimum activities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323"/>
              </w:numPr>
              <w:spacing w:before="0" w:after="240"/>
              <w:ind w:hanging="290"/>
              <w:jc w:val="left"/>
              <w:rPr>
                <w:szCs w:val="24"/>
              </w:rPr>
            </w:pPr>
            <w:r w:rsidRPr="005C3B55">
              <w:rPr>
                <w:szCs w:val="24"/>
              </w:rPr>
              <w:t>Mowing at least once annually by 15 October of the current year is determined as a criterion for maintaining agricultural land in a state suitable for pasturing or production without the preparation measures which exceed the use of regular agricultural methods and machinery.</w:t>
            </w:r>
          </w:p>
          <w:p w:rsidR="00F555D6" w:rsidRPr="005C3B55" w:rsidRDefault="00F555D6" w:rsidP="00F555D6">
            <w:pPr>
              <w:pStyle w:val="Telobesedila"/>
              <w:rPr>
                <w:szCs w:val="24"/>
              </w:rPr>
            </w:pPr>
          </w:p>
        </w:tc>
      </w:tr>
    </w:tbl>
    <w:p w:rsidR="00F555D6" w:rsidRPr="005C3B55" w:rsidRDefault="00F555D6" w:rsidP="00F555D6">
      <w:pPr>
        <w:pStyle w:val="Naslov9"/>
        <w:tabs>
          <w:tab w:val="clear" w:pos="765"/>
        </w:tabs>
        <w:ind w:left="0" w:firstLine="0"/>
        <w:rPr>
          <w:szCs w:val="24"/>
          <w:lang w:val="en-GB"/>
        </w:rPr>
      </w:pPr>
      <w:r w:rsidRPr="005C3B55">
        <w:rPr>
          <w:noProof w:val="0"/>
          <w:szCs w:val="24"/>
          <w:lang w:val="en-GB"/>
        </w:rPr>
        <w:t>Relevant standard agricultural practices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Crop rotation has been losing its significance on arable land with the use of plant protection products, monoculture production, mechanisation of production and intensification of agriculture.  Data on crop structure reveal that crop rotation in Slovenia is for the most part not regular practice on agricultural holdings. The production of maize prevails, which is often produced as a monoculture or in a crop rotation with wheat.</w:t>
            </w:r>
          </w:p>
          <w:p w:rsidR="00F555D6" w:rsidRPr="005C3B55" w:rsidRDefault="00F555D6" w:rsidP="00F555D6">
            <w:pPr>
              <w:pStyle w:val="Telobesedila"/>
              <w:rPr>
                <w:szCs w:val="24"/>
              </w:rPr>
            </w:pPr>
          </w:p>
        </w:tc>
      </w:tr>
    </w:tbl>
    <w:p w:rsidR="00F555D6" w:rsidRPr="005C3B55" w:rsidRDefault="00F555D6" w:rsidP="00F555D6">
      <w:pPr>
        <w:pStyle w:val="Naslov8"/>
        <w:tabs>
          <w:tab w:val="clear" w:pos="765"/>
        </w:tabs>
        <w:ind w:left="0" w:firstLine="0"/>
        <w:rPr>
          <w:b w:val="0"/>
          <w:szCs w:val="24"/>
          <w:lang w:val="en-GB"/>
        </w:rPr>
      </w:pPr>
      <w:r w:rsidRPr="005C3B55">
        <w:rPr>
          <w:b w:val="0"/>
          <w:noProof w:val="0"/>
          <w:szCs w:val="24"/>
          <w:lang w:val="en-GB"/>
        </w:rPr>
        <w:t>POZ_KONZ:</w:t>
      </w:r>
      <w:r w:rsidRPr="005C3B55">
        <w:rPr>
          <w:b w:val="0"/>
          <w:szCs w:val="24"/>
          <w:lang w:val="en-GB"/>
        </w:rPr>
        <w:t xml:space="preserve"> </w:t>
      </w:r>
      <w:r w:rsidRPr="005C3B55">
        <w:rPr>
          <w:b w:val="0"/>
          <w:noProof w:val="0"/>
          <w:szCs w:val="24"/>
          <w:lang w:val="en-GB"/>
        </w:rPr>
        <w:t>Conservation tillage</w:t>
      </w:r>
    </w:p>
    <w:p w:rsidR="00F555D6" w:rsidRPr="005C3B55" w:rsidRDefault="00F555D6" w:rsidP="00F555D6">
      <w:pPr>
        <w:pStyle w:val="Naslov9"/>
        <w:tabs>
          <w:tab w:val="clear" w:pos="765"/>
        </w:tabs>
        <w:ind w:left="0" w:firstLine="0"/>
        <w:rPr>
          <w:szCs w:val="24"/>
          <w:lang w:val="en-GB"/>
        </w:rPr>
      </w:pPr>
      <w:r w:rsidRPr="005C3B55">
        <w:rPr>
          <w:noProof w:val="0"/>
          <w:szCs w:val="24"/>
          <w:lang w:val="en-GB"/>
        </w:rPr>
        <w:t>Starting Point</w:t>
      </w:r>
    </w:p>
    <w:p w:rsidR="00F555D6" w:rsidRPr="005C3B55" w:rsidRDefault="00F555D6" w:rsidP="00F555D6">
      <w:pPr>
        <w:spacing w:line="280" w:lineRule="auto"/>
        <w:rPr>
          <w:szCs w:val="24"/>
        </w:rPr>
      </w:pPr>
      <w:r w:rsidRPr="005C3B55">
        <w:rPr>
          <w:szCs w:val="24"/>
        </w:rPr>
        <w:t>Suitable good agricultural and environmental conditions and/or prescribed management requirements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324"/>
              </w:numPr>
              <w:spacing w:before="0" w:after="240"/>
              <w:ind w:hanging="290"/>
              <w:jc w:val="left"/>
              <w:rPr>
                <w:szCs w:val="24"/>
              </w:rPr>
            </w:pPr>
            <w:r w:rsidRPr="005C3B55">
              <w:rPr>
                <w:szCs w:val="24"/>
              </w:rPr>
              <w:t>Regulation on cross-compliance, Annex 1: Rules on cross-compliance, GAEC 5:  Minimum land management which reflects specific conditions to limit erosion: No obvious evidence of unsuitable use of machinery is seen on most plots of agricultural land.</w:t>
            </w:r>
          </w:p>
          <w:p w:rsidR="00F555D6" w:rsidRPr="005C3B55" w:rsidRDefault="00F555D6" w:rsidP="00F555D6">
            <w:pPr>
              <w:spacing w:before="240" w:after="240" w:line="280" w:lineRule="auto"/>
              <w:rPr>
                <w:szCs w:val="24"/>
              </w:rPr>
            </w:pPr>
            <w:r w:rsidRPr="005C3B55">
              <w:rPr>
                <w:szCs w:val="24"/>
              </w:rPr>
              <w:t> </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Minimum requirements for the use of fertilisers and plant protection products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325"/>
              </w:numPr>
              <w:spacing w:before="0" w:after="0"/>
              <w:ind w:hanging="290"/>
              <w:jc w:val="left"/>
              <w:rPr>
                <w:szCs w:val="24"/>
              </w:rPr>
            </w:pPr>
            <w:r w:rsidRPr="005C3B55">
              <w:rPr>
                <w:szCs w:val="24"/>
              </w:rPr>
              <w:t>Minimum requirements for the use of fertilisers refer to the keeping of records on the use of livestock and mineral fertilisers which an agricultural holding has to keep for all agricultural land plots at the agricultural holding, and which has to include at least the quantity and type of livestock manure and mineral fertiliser, time of fertilising and data on the surface where these fertilisers are used.</w:t>
            </w:r>
          </w:p>
          <w:p w:rsidR="00F555D6" w:rsidRPr="005C3B55" w:rsidRDefault="00F555D6" w:rsidP="00F555D6">
            <w:pPr>
              <w:numPr>
                <w:ilvl w:val="0"/>
                <w:numId w:val="325"/>
              </w:numPr>
              <w:spacing w:before="0" w:after="240"/>
              <w:ind w:hanging="290"/>
              <w:jc w:val="left"/>
              <w:rPr>
                <w:szCs w:val="24"/>
              </w:rPr>
            </w:pPr>
            <w:r w:rsidRPr="005C3B55">
              <w:rPr>
                <w:szCs w:val="24"/>
              </w:rPr>
              <w:t>Minimum requirements for the use of plant protection products are not determined, since the requirements relating to the use of these products are standardised and are included in the requirements of cross-compliance.</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Other relevant national/regional requirements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326"/>
              </w:numPr>
              <w:spacing w:before="0" w:after="240"/>
              <w:ind w:hanging="290"/>
              <w:jc w:val="left"/>
              <w:rPr>
                <w:szCs w:val="24"/>
              </w:rPr>
            </w:pPr>
            <w:r w:rsidRPr="005C3B55">
              <w:rPr>
                <w:szCs w:val="24"/>
              </w:rPr>
              <w:t>Other national requirements are not prescribed.</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Minimum activities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327"/>
              </w:numPr>
              <w:spacing w:before="0" w:after="240"/>
              <w:ind w:hanging="290"/>
              <w:jc w:val="left"/>
              <w:rPr>
                <w:szCs w:val="24"/>
              </w:rPr>
            </w:pPr>
            <w:r w:rsidRPr="005C3B55">
              <w:rPr>
                <w:szCs w:val="24"/>
              </w:rPr>
              <w:t>Not relevant.</w:t>
            </w:r>
          </w:p>
          <w:p w:rsidR="00F555D6" w:rsidRPr="005C3B55" w:rsidRDefault="00F555D6" w:rsidP="00F555D6">
            <w:pPr>
              <w:pStyle w:val="Telobesedila"/>
              <w:rPr>
                <w:szCs w:val="24"/>
              </w:rPr>
            </w:pPr>
          </w:p>
        </w:tc>
      </w:tr>
    </w:tbl>
    <w:p w:rsidR="00F555D6" w:rsidRPr="005C3B55" w:rsidRDefault="00F555D6" w:rsidP="00F555D6">
      <w:pPr>
        <w:pStyle w:val="Naslov9"/>
        <w:tabs>
          <w:tab w:val="clear" w:pos="765"/>
        </w:tabs>
        <w:ind w:left="0" w:firstLine="0"/>
        <w:rPr>
          <w:szCs w:val="24"/>
          <w:lang w:val="en-GB"/>
        </w:rPr>
      </w:pPr>
      <w:r w:rsidRPr="005C3B55">
        <w:rPr>
          <w:noProof w:val="0"/>
          <w:szCs w:val="24"/>
          <w:lang w:val="en-GB"/>
        </w:rPr>
        <w:t>Relevant standard agricultural practices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In standard agricultural practice, soil is managed by ploughing, sub-soil ploughing, drainage, harrowing and similar.</w:t>
            </w:r>
          </w:p>
          <w:p w:rsidR="00F555D6" w:rsidRPr="005C3B55" w:rsidRDefault="00F555D6" w:rsidP="00F555D6">
            <w:pPr>
              <w:pStyle w:val="Telobesedila"/>
              <w:rPr>
                <w:szCs w:val="24"/>
              </w:rPr>
            </w:pPr>
          </w:p>
        </w:tc>
      </w:tr>
    </w:tbl>
    <w:p w:rsidR="00F555D6" w:rsidRPr="005C3B55" w:rsidRDefault="00F555D6" w:rsidP="00F555D6">
      <w:pPr>
        <w:pStyle w:val="Naslov8"/>
        <w:tabs>
          <w:tab w:val="clear" w:pos="765"/>
        </w:tabs>
        <w:ind w:left="0" w:firstLine="0"/>
        <w:rPr>
          <w:b w:val="0"/>
          <w:szCs w:val="24"/>
          <w:lang w:val="en-GB"/>
        </w:rPr>
      </w:pPr>
      <w:r w:rsidRPr="005C3B55">
        <w:rPr>
          <w:b w:val="0"/>
          <w:noProof w:val="0"/>
          <w:szCs w:val="24"/>
          <w:lang w:val="en-GB"/>
        </w:rPr>
        <w:t>POZ_MEHZ:</w:t>
      </w:r>
      <w:r w:rsidRPr="005C3B55">
        <w:rPr>
          <w:b w:val="0"/>
          <w:szCs w:val="24"/>
          <w:lang w:val="en-GB"/>
        </w:rPr>
        <w:t xml:space="preserve"> </w:t>
      </w:r>
      <w:r w:rsidRPr="005C3B55">
        <w:rPr>
          <w:b w:val="0"/>
          <w:noProof w:val="0"/>
          <w:szCs w:val="24"/>
          <w:lang w:val="en-GB"/>
        </w:rPr>
        <w:t>Use of mulches or mechanical weeding</w:t>
      </w:r>
    </w:p>
    <w:p w:rsidR="00F555D6" w:rsidRPr="005C3B55" w:rsidRDefault="00F555D6" w:rsidP="00F555D6">
      <w:pPr>
        <w:pStyle w:val="Naslov9"/>
        <w:tabs>
          <w:tab w:val="clear" w:pos="765"/>
        </w:tabs>
        <w:ind w:left="0" w:firstLine="0"/>
        <w:rPr>
          <w:szCs w:val="24"/>
          <w:lang w:val="en-GB"/>
        </w:rPr>
      </w:pPr>
      <w:r w:rsidRPr="005C3B55">
        <w:rPr>
          <w:noProof w:val="0"/>
          <w:szCs w:val="24"/>
          <w:lang w:val="en-GB"/>
        </w:rPr>
        <w:t>Starting Point</w:t>
      </w:r>
    </w:p>
    <w:p w:rsidR="00F555D6" w:rsidRPr="005C3B55" w:rsidRDefault="00F555D6" w:rsidP="00F555D6">
      <w:pPr>
        <w:spacing w:line="280" w:lineRule="auto"/>
        <w:rPr>
          <w:szCs w:val="24"/>
        </w:rPr>
      </w:pPr>
      <w:r w:rsidRPr="005C3B55">
        <w:rPr>
          <w:szCs w:val="24"/>
        </w:rPr>
        <w:t>Suitable good agricultural and environmental conditions and/or prescribed management requirements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328"/>
              </w:numPr>
              <w:spacing w:before="0" w:after="240"/>
              <w:ind w:hanging="290"/>
              <w:jc w:val="left"/>
              <w:rPr>
                <w:szCs w:val="24"/>
              </w:rPr>
            </w:pPr>
            <w:r w:rsidRPr="005C3B55">
              <w:rPr>
                <w:szCs w:val="24"/>
              </w:rPr>
              <w:t>The use of mulches or mechanical weeding is not prescribed in the Regulation on cross-compliance.</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Minimum requirements for the use of fertilisers and plant protection products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329"/>
              </w:numPr>
              <w:spacing w:before="0" w:after="0"/>
              <w:ind w:hanging="290"/>
              <w:jc w:val="left"/>
              <w:rPr>
                <w:szCs w:val="24"/>
              </w:rPr>
            </w:pPr>
            <w:r w:rsidRPr="005C3B55">
              <w:rPr>
                <w:szCs w:val="24"/>
              </w:rPr>
              <w:t>Minimum requirements for the use of fertilisers refer to the keeping of records on the use of livestock and mineral fertilisers which an agricultural holding has to keep for all agricultural land plots at the agricultural holding, and which has to include at least the quantity and type of livestock manure and mineral fertiliser, time of fertilising and data on the surface where these fertilisers are used.</w:t>
            </w:r>
          </w:p>
          <w:p w:rsidR="00F555D6" w:rsidRPr="005C3B55" w:rsidRDefault="00F555D6" w:rsidP="00F555D6">
            <w:pPr>
              <w:numPr>
                <w:ilvl w:val="0"/>
                <w:numId w:val="329"/>
              </w:numPr>
              <w:spacing w:before="0" w:after="240"/>
              <w:ind w:hanging="290"/>
              <w:jc w:val="left"/>
              <w:rPr>
                <w:szCs w:val="24"/>
              </w:rPr>
            </w:pPr>
            <w:r w:rsidRPr="005C3B55">
              <w:rPr>
                <w:szCs w:val="24"/>
              </w:rPr>
              <w:t>Minimum requirements for the use of plant protection products are not determined, since the requirements relating to the use of these products are standardised and are included in the requirements of cross-compliance.</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Other relevant national/regional requirements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330"/>
              </w:numPr>
              <w:spacing w:before="0" w:after="240"/>
              <w:ind w:hanging="290"/>
              <w:jc w:val="left"/>
              <w:rPr>
                <w:szCs w:val="24"/>
              </w:rPr>
            </w:pPr>
            <w:r w:rsidRPr="005C3B55">
              <w:rPr>
                <w:szCs w:val="24"/>
              </w:rPr>
              <w:t>Rules on integrated pest management (Official Gazette of the Republic of Slovenia, no. 43/14): Mechanical or physical weeding (mechanical or manual) may be implemented as per Article 5.</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Minimum activities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331"/>
              </w:numPr>
              <w:spacing w:before="0" w:after="240"/>
              <w:ind w:hanging="290"/>
              <w:jc w:val="left"/>
              <w:rPr>
                <w:szCs w:val="24"/>
              </w:rPr>
            </w:pPr>
            <w:r w:rsidRPr="005C3B55">
              <w:rPr>
                <w:szCs w:val="24"/>
              </w:rPr>
              <w:t>Not relevant.</w:t>
            </w:r>
          </w:p>
          <w:p w:rsidR="00F555D6" w:rsidRPr="005C3B55" w:rsidRDefault="00F555D6" w:rsidP="00F555D6">
            <w:pPr>
              <w:pStyle w:val="Telobesedila"/>
              <w:rPr>
                <w:szCs w:val="24"/>
              </w:rPr>
            </w:pPr>
          </w:p>
        </w:tc>
      </w:tr>
    </w:tbl>
    <w:p w:rsidR="00F555D6" w:rsidRPr="005C3B55" w:rsidRDefault="00F555D6" w:rsidP="00F555D6">
      <w:pPr>
        <w:pStyle w:val="Naslov9"/>
        <w:tabs>
          <w:tab w:val="clear" w:pos="765"/>
        </w:tabs>
        <w:ind w:left="0" w:firstLine="0"/>
        <w:rPr>
          <w:szCs w:val="24"/>
          <w:lang w:val="en-GB"/>
        </w:rPr>
      </w:pPr>
      <w:r w:rsidRPr="005C3B55">
        <w:rPr>
          <w:noProof w:val="0"/>
          <w:szCs w:val="24"/>
          <w:lang w:val="en-GB"/>
        </w:rPr>
        <w:t>Relevant standard agricultural practices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In standard agricultural practice, registered herbicides are used for weeding.</w:t>
            </w:r>
          </w:p>
          <w:p w:rsidR="00F555D6" w:rsidRPr="005C3B55" w:rsidRDefault="00F555D6" w:rsidP="00F555D6">
            <w:pPr>
              <w:pStyle w:val="Telobesedila"/>
              <w:rPr>
                <w:szCs w:val="24"/>
              </w:rPr>
            </w:pPr>
          </w:p>
        </w:tc>
      </w:tr>
    </w:tbl>
    <w:p w:rsidR="00F555D6" w:rsidRPr="005C3B55" w:rsidRDefault="00F555D6" w:rsidP="00F555D6">
      <w:pPr>
        <w:pStyle w:val="Naslov8"/>
        <w:tabs>
          <w:tab w:val="clear" w:pos="765"/>
        </w:tabs>
        <w:ind w:left="0" w:firstLine="0"/>
        <w:rPr>
          <w:b w:val="0"/>
          <w:szCs w:val="24"/>
          <w:lang w:val="en-GB"/>
        </w:rPr>
      </w:pPr>
      <w:r w:rsidRPr="005C3B55">
        <w:rPr>
          <w:b w:val="0"/>
          <w:noProof w:val="0"/>
          <w:szCs w:val="24"/>
          <w:lang w:val="en-GB"/>
        </w:rPr>
        <w:t>POZ_NEP:</w:t>
      </w:r>
      <w:r w:rsidRPr="005C3B55">
        <w:rPr>
          <w:b w:val="0"/>
          <w:szCs w:val="24"/>
          <w:lang w:val="en-GB"/>
        </w:rPr>
        <w:t xml:space="preserve"> </w:t>
      </w:r>
      <w:r w:rsidRPr="005C3B55">
        <w:rPr>
          <w:b w:val="0"/>
          <w:noProof w:val="0"/>
          <w:szCs w:val="24"/>
          <w:lang w:val="en-GB"/>
        </w:rPr>
        <w:t>Non-overwintering honey crops</w:t>
      </w:r>
    </w:p>
    <w:p w:rsidR="00F555D6" w:rsidRPr="005C3B55" w:rsidRDefault="00F555D6" w:rsidP="00F555D6">
      <w:pPr>
        <w:pStyle w:val="Naslov9"/>
        <w:tabs>
          <w:tab w:val="clear" w:pos="765"/>
        </w:tabs>
        <w:ind w:left="0" w:firstLine="0"/>
        <w:rPr>
          <w:szCs w:val="24"/>
          <w:lang w:val="en-GB"/>
        </w:rPr>
      </w:pPr>
      <w:r w:rsidRPr="005C3B55">
        <w:rPr>
          <w:noProof w:val="0"/>
          <w:szCs w:val="24"/>
          <w:lang w:val="en-GB"/>
        </w:rPr>
        <w:t>Starting Point</w:t>
      </w:r>
    </w:p>
    <w:p w:rsidR="00F555D6" w:rsidRPr="005C3B55" w:rsidRDefault="00F555D6" w:rsidP="00F555D6">
      <w:pPr>
        <w:spacing w:line="280" w:lineRule="auto"/>
        <w:rPr>
          <w:szCs w:val="24"/>
        </w:rPr>
      </w:pPr>
      <w:r w:rsidRPr="005C3B55">
        <w:rPr>
          <w:szCs w:val="24"/>
        </w:rPr>
        <w:t>Suitable good agricultural and environmental conditions and/or prescribed management requirements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332"/>
              </w:numPr>
              <w:spacing w:before="0" w:after="240"/>
              <w:ind w:hanging="290"/>
              <w:jc w:val="left"/>
              <w:rPr>
                <w:szCs w:val="24"/>
              </w:rPr>
            </w:pPr>
            <w:r w:rsidRPr="005C3B55">
              <w:rPr>
                <w:szCs w:val="24"/>
              </w:rPr>
              <w:t>Regulation on cross-compliance, Annex 1: Rules on cross-compliance, GAEC 4:  Minimum soil cover: Soil cover on agricultural land is maintained as per standard agricultural methods. Covering soil with plants, stubble or mulches in the vegetation period ensures a sufficent supply of carbon in the soil and prevents erosion.</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Minimum requirements for the use of fertilisers and plant protection products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333"/>
              </w:numPr>
              <w:spacing w:before="0" w:after="0"/>
              <w:ind w:hanging="290"/>
              <w:jc w:val="left"/>
              <w:rPr>
                <w:szCs w:val="24"/>
              </w:rPr>
            </w:pPr>
            <w:r w:rsidRPr="005C3B55">
              <w:rPr>
                <w:szCs w:val="24"/>
              </w:rPr>
              <w:t>Minimum requirements for the use of fertilisers refer to the keeping of records on the use of livestock and mineral fertilisers which an agricultural holding has to keep for all agricultural land plots at the agricultural holding, and which has to include at least the quantity and type of livestock manure and mineral fertiliser, time of fertilising and data on the surface where these fertilisers are used.</w:t>
            </w:r>
          </w:p>
          <w:p w:rsidR="00F555D6" w:rsidRPr="005C3B55" w:rsidRDefault="00F555D6" w:rsidP="00F555D6">
            <w:pPr>
              <w:numPr>
                <w:ilvl w:val="0"/>
                <w:numId w:val="333"/>
              </w:numPr>
              <w:spacing w:before="0" w:after="240"/>
              <w:ind w:hanging="290"/>
              <w:jc w:val="left"/>
              <w:rPr>
                <w:szCs w:val="24"/>
              </w:rPr>
            </w:pPr>
            <w:r w:rsidRPr="005C3B55">
              <w:rPr>
                <w:szCs w:val="24"/>
              </w:rPr>
              <w:t>Minimum requirements for the use of plant protection products are not determined, since the requirements relating to the use of these products are standardised and are included in the requirements of cross-compliance.</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Other relevant national/regional requirements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334"/>
              </w:numPr>
              <w:spacing w:before="0" w:after="0"/>
              <w:ind w:hanging="290"/>
              <w:jc w:val="left"/>
              <w:rPr>
                <w:szCs w:val="24"/>
              </w:rPr>
            </w:pPr>
            <w:r w:rsidRPr="005C3B55">
              <w:rPr>
                <w:szCs w:val="24"/>
              </w:rPr>
              <w:t xml:space="preserve">Regulation on direct payments schemes for the period 2015-2020: Within the green component, agricultural holdings with more than 15 ha of arable land have to provide ecological focus areas (EFA) over a minimum 5% of field surfaces as part of agricultural practices with favourable effects on climate and the environment.  EFAs are provided with surfaces with: </w:t>
            </w:r>
          </w:p>
          <w:p w:rsidR="00F555D6" w:rsidRPr="005C3B55" w:rsidRDefault="00F555D6" w:rsidP="00F555D6">
            <w:pPr>
              <w:numPr>
                <w:ilvl w:val="1"/>
                <w:numId w:val="334"/>
              </w:numPr>
              <w:spacing w:before="0" w:after="0"/>
              <w:ind w:hanging="324"/>
              <w:jc w:val="left"/>
              <w:rPr>
                <w:szCs w:val="24"/>
              </w:rPr>
            </w:pPr>
            <w:r w:rsidRPr="005C3B55">
              <w:rPr>
                <w:szCs w:val="24"/>
              </w:rPr>
              <w:t>successive crops or grass catch crops. The sowing of successive crops or grass catch crops has to be done between 1 June and 1 September of the current year, whereby soil cover has to be ensured from 15 September of the current year to at least 16 October of the current year.</w:t>
            </w:r>
          </w:p>
          <w:p w:rsidR="00F555D6" w:rsidRPr="005C3B55" w:rsidRDefault="00F555D6" w:rsidP="00F555D6">
            <w:pPr>
              <w:numPr>
                <w:ilvl w:val="1"/>
                <w:numId w:val="334"/>
              </w:numPr>
              <w:spacing w:before="0" w:after="240"/>
              <w:ind w:hanging="324"/>
              <w:jc w:val="left"/>
              <w:rPr>
                <w:szCs w:val="24"/>
              </w:rPr>
            </w:pPr>
            <w:r w:rsidRPr="005C3B55">
              <w:rPr>
                <w:szCs w:val="24"/>
              </w:rPr>
              <w:t>agricultural plants fixing nitrogen. These crops are as follows: field bean, bean, soya bean, common vetch, lupin, birdsfoot, field pea, lucerne or clover. These plants have to be present on the agricultural land from 7 May until their technological ripeness or until 30 September of the current year.</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Minimum activities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335"/>
              </w:numPr>
              <w:spacing w:before="0" w:after="240"/>
              <w:ind w:hanging="290"/>
              <w:jc w:val="left"/>
              <w:rPr>
                <w:szCs w:val="24"/>
              </w:rPr>
            </w:pPr>
            <w:r w:rsidRPr="005C3B55">
              <w:rPr>
                <w:szCs w:val="24"/>
              </w:rPr>
              <w:t>Not relevant.</w:t>
            </w:r>
          </w:p>
          <w:p w:rsidR="00F555D6" w:rsidRPr="005C3B55" w:rsidRDefault="00F555D6" w:rsidP="00F555D6">
            <w:pPr>
              <w:pStyle w:val="Telobesedila"/>
              <w:rPr>
                <w:szCs w:val="24"/>
              </w:rPr>
            </w:pPr>
          </w:p>
        </w:tc>
      </w:tr>
    </w:tbl>
    <w:p w:rsidR="00F555D6" w:rsidRPr="005C3B55" w:rsidRDefault="00F555D6" w:rsidP="00F555D6">
      <w:pPr>
        <w:pStyle w:val="Naslov9"/>
        <w:tabs>
          <w:tab w:val="clear" w:pos="765"/>
        </w:tabs>
        <w:ind w:left="0" w:firstLine="0"/>
        <w:rPr>
          <w:szCs w:val="24"/>
          <w:lang w:val="en-GB"/>
        </w:rPr>
      </w:pPr>
      <w:r w:rsidRPr="005C3B55">
        <w:rPr>
          <w:noProof w:val="0"/>
          <w:szCs w:val="24"/>
          <w:lang w:val="en-GB"/>
        </w:rPr>
        <w:t>Relevant standard agricultural practices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After the harvest of the main crop, the surface remains uncultivated until the next sowing and thus exposed to negative weather impacts (increased moisture evaporation) and the spread of weeds.</w:t>
            </w:r>
          </w:p>
          <w:p w:rsidR="00F555D6" w:rsidRPr="005C3B55" w:rsidRDefault="00F555D6" w:rsidP="00F555D6">
            <w:pPr>
              <w:pStyle w:val="Telobesedila"/>
              <w:rPr>
                <w:szCs w:val="24"/>
              </w:rPr>
            </w:pPr>
          </w:p>
        </w:tc>
      </w:tr>
    </w:tbl>
    <w:p w:rsidR="00F555D6" w:rsidRPr="005C3B55" w:rsidRDefault="00F555D6" w:rsidP="00F555D6">
      <w:pPr>
        <w:pStyle w:val="Naslov8"/>
        <w:tabs>
          <w:tab w:val="clear" w:pos="765"/>
        </w:tabs>
        <w:ind w:left="0" w:firstLine="0"/>
        <w:rPr>
          <w:b w:val="0"/>
          <w:szCs w:val="24"/>
          <w:lang w:val="en-GB"/>
        </w:rPr>
      </w:pPr>
      <w:r w:rsidRPr="005C3B55">
        <w:rPr>
          <w:b w:val="0"/>
          <w:noProof w:val="0"/>
          <w:szCs w:val="24"/>
          <w:lang w:val="en-GB"/>
        </w:rPr>
        <w:t>POZ_NIZI:</w:t>
      </w:r>
      <w:r w:rsidRPr="005C3B55">
        <w:rPr>
          <w:b w:val="0"/>
          <w:szCs w:val="24"/>
          <w:lang w:val="en-GB"/>
        </w:rPr>
        <w:t xml:space="preserve"> </w:t>
      </w:r>
      <w:r w:rsidRPr="005C3B55">
        <w:rPr>
          <w:b w:val="0"/>
          <w:noProof w:val="0"/>
          <w:szCs w:val="24"/>
          <w:lang w:val="en-GB"/>
        </w:rPr>
        <w:t>Fertilisation with organic fertilisers with low emissions into air</w:t>
      </w:r>
    </w:p>
    <w:p w:rsidR="00F555D6" w:rsidRPr="005C3B55" w:rsidRDefault="00F555D6" w:rsidP="00F555D6">
      <w:pPr>
        <w:pStyle w:val="Naslov9"/>
        <w:tabs>
          <w:tab w:val="clear" w:pos="765"/>
        </w:tabs>
        <w:ind w:left="0" w:firstLine="0"/>
        <w:rPr>
          <w:szCs w:val="24"/>
          <w:lang w:val="en-GB"/>
        </w:rPr>
      </w:pPr>
      <w:r w:rsidRPr="005C3B55">
        <w:rPr>
          <w:noProof w:val="0"/>
          <w:szCs w:val="24"/>
          <w:lang w:val="en-GB"/>
        </w:rPr>
        <w:t>Starting Point</w:t>
      </w:r>
    </w:p>
    <w:p w:rsidR="00F555D6" w:rsidRPr="005C3B55" w:rsidRDefault="00F555D6" w:rsidP="00F555D6">
      <w:pPr>
        <w:spacing w:line="280" w:lineRule="auto"/>
        <w:rPr>
          <w:szCs w:val="24"/>
        </w:rPr>
      </w:pPr>
      <w:r w:rsidRPr="005C3B55">
        <w:rPr>
          <w:szCs w:val="24"/>
        </w:rPr>
        <w:t>Suitable good agricultural and environmental conditions and/or prescribed management requirements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336"/>
              </w:numPr>
              <w:spacing w:before="0" w:after="240"/>
              <w:ind w:hanging="290"/>
              <w:jc w:val="left"/>
              <w:rPr>
                <w:szCs w:val="24"/>
              </w:rPr>
            </w:pPr>
            <w:r w:rsidRPr="005C3B55">
              <w:rPr>
                <w:szCs w:val="24"/>
              </w:rPr>
              <w:t>Regulation on cross-compliance, Annex 1: Rules on cross-compliance, SMR 1: Water protection against the pollution caused by nitrates from agricultural sources:  mineral and organic fertilisers are evenly distributed on the surface subject to fertilisation. No uncontrolled distribution of fertilisers or fertilisation occurs outside the anticipated area of fertilisation when transporting and fertilising. Slurry tankers with splash plates, tankers with rain guns, tankers for application of liquid fertilisers in strips (trailing hose and sleigh), tankers for shallow entry of liquid fertilisers into soil with injectors or tankers for deep entry of liquid fertilisers into soil may be used for fertilisation with organic fertilisers. In addition to slurry tankers, devices with connectors to hoses for the distribution of liquid organic fertilisers may also be used for fertilisation with liquid organic fertilisers.</w:t>
            </w:r>
          </w:p>
          <w:p w:rsidR="00F555D6" w:rsidRPr="005C3B55" w:rsidRDefault="00F555D6" w:rsidP="00F555D6">
            <w:pPr>
              <w:spacing w:before="240" w:after="240" w:line="280" w:lineRule="auto"/>
              <w:rPr>
                <w:szCs w:val="24"/>
              </w:rPr>
            </w:pPr>
            <w:r w:rsidRPr="005C3B55">
              <w:rPr>
                <w:szCs w:val="24"/>
              </w:rPr>
              <w:t> </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Minimum requirements for the use of fertilisers and plant protection products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337"/>
              </w:numPr>
              <w:spacing w:before="0" w:after="0"/>
              <w:ind w:hanging="290"/>
              <w:jc w:val="left"/>
              <w:rPr>
                <w:szCs w:val="24"/>
              </w:rPr>
            </w:pPr>
            <w:r w:rsidRPr="005C3B55">
              <w:rPr>
                <w:szCs w:val="24"/>
              </w:rPr>
              <w:t>Minimum requirements for the use of fertilisers refer to the keeping of records on the use of livestock and mineral fertilisers which an agricultural holding has to keep for all agricultural land plots at the agricultural holding, and which has to include at least the quantity and type of livestock manure and mineral fertiliser, time of fertilising and data on the surface where these fertilisers are used.</w:t>
            </w:r>
          </w:p>
          <w:p w:rsidR="00F555D6" w:rsidRPr="005C3B55" w:rsidRDefault="00F555D6" w:rsidP="00F555D6">
            <w:pPr>
              <w:numPr>
                <w:ilvl w:val="0"/>
                <w:numId w:val="337"/>
              </w:numPr>
              <w:spacing w:before="0" w:after="240"/>
              <w:ind w:hanging="290"/>
              <w:jc w:val="left"/>
              <w:rPr>
                <w:szCs w:val="24"/>
              </w:rPr>
            </w:pPr>
            <w:r w:rsidRPr="005C3B55">
              <w:rPr>
                <w:szCs w:val="24"/>
              </w:rPr>
              <w:t>Minimum requirements for the use of plant protection products are not determined, since the requirements relating to the use of these products are standardised and are included in the requirements of cross-compliance.</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Other relevant national/regional requirements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338"/>
              </w:numPr>
              <w:spacing w:before="0" w:after="240"/>
              <w:ind w:hanging="290"/>
              <w:jc w:val="left"/>
              <w:rPr>
                <w:szCs w:val="24"/>
              </w:rPr>
            </w:pPr>
            <w:r w:rsidRPr="005C3B55">
              <w:rPr>
                <w:szCs w:val="24"/>
              </w:rPr>
              <w:t>Other national requirements are not prescribed.</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Minimum activities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339"/>
              </w:numPr>
              <w:spacing w:before="0" w:after="240"/>
              <w:ind w:hanging="290"/>
              <w:jc w:val="left"/>
              <w:rPr>
                <w:szCs w:val="24"/>
              </w:rPr>
            </w:pPr>
            <w:r w:rsidRPr="005C3B55">
              <w:rPr>
                <w:szCs w:val="24"/>
              </w:rPr>
              <w:t>Not relevant.</w:t>
            </w:r>
          </w:p>
          <w:p w:rsidR="00F555D6" w:rsidRPr="005C3B55" w:rsidRDefault="00F555D6" w:rsidP="00F555D6">
            <w:pPr>
              <w:pStyle w:val="Telobesedila"/>
              <w:rPr>
                <w:szCs w:val="24"/>
              </w:rPr>
            </w:pPr>
          </w:p>
        </w:tc>
      </w:tr>
    </w:tbl>
    <w:p w:rsidR="00F555D6" w:rsidRPr="005C3B55" w:rsidRDefault="00F555D6" w:rsidP="00F555D6">
      <w:pPr>
        <w:pStyle w:val="Naslov9"/>
        <w:tabs>
          <w:tab w:val="clear" w:pos="765"/>
        </w:tabs>
        <w:ind w:left="0" w:firstLine="0"/>
        <w:rPr>
          <w:szCs w:val="24"/>
          <w:lang w:val="en-GB"/>
        </w:rPr>
      </w:pPr>
      <w:r w:rsidRPr="005C3B55">
        <w:rPr>
          <w:noProof w:val="0"/>
          <w:szCs w:val="24"/>
          <w:lang w:val="en-GB"/>
        </w:rPr>
        <w:t>Relevant standard agricultural practices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In standard agricultural practice, tankers with splash plates or tankers with rain guns are used for fertilisation with liquid organic fertilisers during which fertilisers are applied on soil, while the incorporation into soil is not part of the standard agricultural practice.</w:t>
            </w:r>
          </w:p>
          <w:p w:rsidR="00F555D6" w:rsidRPr="005C3B55" w:rsidRDefault="00F555D6" w:rsidP="00F555D6">
            <w:pPr>
              <w:pStyle w:val="Telobesedila"/>
              <w:rPr>
                <w:szCs w:val="24"/>
              </w:rPr>
            </w:pPr>
          </w:p>
        </w:tc>
      </w:tr>
    </w:tbl>
    <w:p w:rsidR="00F555D6" w:rsidRPr="005C3B55" w:rsidRDefault="00F555D6" w:rsidP="00F555D6">
      <w:pPr>
        <w:pStyle w:val="Naslov8"/>
        <w:tabs>
          <w:tab w:val="clear" w:pos="765"/>
        </w:tabs>
        <w:ind w:left="0" w:firstLine="0"/>
        <w:rPr>
          <w:b w:val="0"/>
          <w:szCs w:val="24"/>
          <w:lang w:val="en-GB"/>
        </w:rPr>
      </w:pPr>
      <w:r w:rsidRPr="005C3B55">
        <w:rPr>
          <w:b w:val="0"/>
          <w:noProof w:val="0"/>
          <w:szCs w:val="24"/>
          <w:lang w:val="en-GB"/>
        </w:rPr>
        <w:t>POZ_NMIN:</w:t>
      </w:r>
      <w:r w:rsidRPr="005C3B55">
        <w:rPr>
          <w:b w:val="0"/>
          <w:szCs w:val="24"/>
          <w:lang w:val="en-GB"/>
        </w:rPr>
        <w:t xml:space="preserve"> </w:t>
      </w:r>
      <w:r w:rsidRPr="005C3B55">
        <w:rPr>
          <w:b w:val="0"/>
          <w:noProof w:val="0"/>
          <w:szCs w:val="24"/>
          <w:lang w:val="en-GB"/>
        </w:rPr>
        <w:t>Nmin analysis</w:t>
      </w:r>
    </w:p>
    <w:p w:rsidR="00F555D6" w:rsidRPr="005C3B55" w:rsidRDefault="00F555D6" w:rsidP="00F555D6">
      <w:pPr>
        <w:pStyle w:val="Naslov9"/>
        <w:tabs>
          <w:tab w:val="clear" w:pos="765"/>
        </w:tabs>
        <w:ind w:left="0" w:firstLine="0"/>
        <w:rPr>
          <w:szCs w:val="24"/>
          <w:lang w:val="en-GB"/>
        </w:rPr>
      </w:pPr>
      <w:r w:rsidRPr="005C3B55">
        <w:rPr>
          <w:noProof w:val="0"/>
          <w:szCs w:val="24"/>
          <w:lang w:val="en-GB"/>
        </w:rPr>
        <w:t>Starting Point</w:t>
      </w:r>
    </w:p>
    <w:p w:rsidR="00F555D6" w:rsidRPr="005C3B55" w:rsidRDefault="00F555D6" w:rsidP="00F555D6">
      <w:pPr>
        <w:spacing w:line="280" w:lineRule="auto"/>
        <w:rPr>
          <w:szCs w:val="24"/>
        </w:rPr>
      </w:pPr>
      <w:r w:rsidRPr="005C3B55">
        <w:rPr>
          <w:szCs w:val="24"/>
        </w:rPr>
        <w:t>Suitable good agricultural and environmental conditions and/or prescribed management requirements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340"/>
              </w:numPr>
              <w:spacing w:before="0" w:after="240"/>
              <w:ind w:hanging="290"/>
              <w:jc w:val="left"/>
              <w:rPr>
                <w:szCs w:val="24"/>
              </w:rPr>
            </w:pPr>
            <w:r w:rsidRPr="005C3B55">
              <w:rPr>
                <w:szCs w:val="24"/>
              </w:rPr>
              <w:t>The Nmin analyses are not prescribed in the Regulation on cross-compliance.</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Minimum requirements for the use of fertilisers and plant protection products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341"/>
              </w:numPr>
              <w:spacing w:before="0" w:after="0"/>
              <w:ind w:hanging="290"/>
              <w:jc w:val="left"/>
              <w:rPr>
                <w:szCs w:val="24"/>
              </w:rPr>
            </w:pPr>
            <w:r w:rsidRPr="005C3B55">
              <w:rPr>
                <w:szCs w:val="24"/>
              </w:rPr>
              <w:t>Minimum requirements for the use of fertilisers refer to the keeping of records on the use of livestock and mineral fertilisers which an agricultural holding has to keep for all agricultural land plots at the agricultural holding, and which has to include at least the quantity and type of livestock manure and mineral fertiliser, time of fertilising and data on the surface where these fertilisers are used.</w:t>
            </w:r>
          </w:p>
          <w:p w:rsidR="00F555D6" w:rsidRPr="005C3B55" w:rsidRDefault="00F555D6" w:rsidP="00F555D6">
            <w:pPr>
              <w:numPr>
                <w:ilvl w:val="0"/>
                <w:numId w:val="341"/>
              </w:numPr>
              <w:spacing w:before="0" w:after="240"/>
              <w:ind w:hanging="290"/>
              <w:jc w:val="left"/>
              <w:rPr>
                <w:szCs w:val="24"/>
              </w:rPr>
            </w:pPr>
            <w:r w:rsidRPr="005C3B55">
              <w:rPr>
                <w:szCs w:val="24"/>
              </w:rPr>
              <w:t>Minimum additional requirements for the use of plant protection products are not determined, since the requirements relating to the use of these products are standardised and are included in the requirements of cross-compliance.</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Other relevant national/regional requirements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342"/>
              </w:numPr>
              <w:spacing w:before="0" w:after="0"/>
              <w:ind w:hanging="290"/>
              <w:jc w:val="left"/>
              <w:rPr>
                <w:szCs w:val="24"/>
              </w:rPr>
            </w:pPr>
            <w:r w:rsidRPr="005C3B55">
              <w:rPr>
                <w:szCs w:val="24"/>
              </w:rPr>
              <w:t>Decree on the water protection zone for the aquifer of Ljubljansko polje (Official Gazette of the Republic of Slovenia, no. 120/04 with all amendments);</w:t>
            </w:r>
          </w:p>
          <w:p w:rsidR="00F555D6" w:rsidRPr="005C3B55" w:rsidRDefault="00F555D6" w:rsidP="00F555D6">
            <w:pPr>
              <w:numPr>
                <w:ilvl w:val="0"/>
                <w:numId w:val="342"/>
              </w:numPr>
              <w:spacing w:before="0" w:after="0"/>
              <w:ind w:hanging="290"/>
              <w:jc w:val="left"/>
              <w:rPr>
                <w:szCs w:val="24"/>
              </w:rPr>
            </w:pPr>
            <w:r w:rsidRPr="005C3B55">
              <w:rPr>
                <w:szCs w:val="24"/>
              </w:rPr>
              <w:t>Decree on the water protection zone for the aquifer of Selniška dobrava (Official Gazette of the Republic of Slovenia, no. 72/06 with all amendments);</w:t>
            </w:r>
          </w:p>
          <w:p w:rsidR="00F555D6" w:rsidRPr="005C3B55" w:rsidRDefault="00F555D6" w:rsidP="00F555D6">
            <w:pPr>
              <w:numPr>
                <w:ilvl w:val="0"/>
                <w:numId w:val="342"/>
              </w:numPr>
              <w:spacing w:before="0" w:after="0"/>
              <w:ind w:hanging="290"/>
              <w:jc w:val="left"/>
              <w:rPr>
                <w:szCs w:val="24"/>
              </w:rPr>
            </w:pPr>
            <w:r w:rsidRPr="005C3B55">
              <w:rPr>
                <w:szCs w:val="24"/>
              </w:rPr>
              <w:t>Decree on water protection area for the body of water of aquifers Ruše, Vrbanski plato, Limbuška dobrava and Dravsko polje (Official Gazette of the Republic of Slovenia, no. 24/07 with all amendments);</w:t>
            </w:r>
          </w:p>
          <w:p w:rsidR="00F555D6" w:rsidRPr="005C3B55" w:rsidRDefault="00F555D6" w:rsidP="00F555D6">
            <w:pPr>
              <w:numPr>
                <w:ilvl w:val="0"/>
                <w:numId w:val="342"/>
              </w:numPr>
              <w:spacing w:before="0" w:after="0"/>
              <w:ind w:hanging="290"/>
              <w:jc w:val="left"/>
              <w:rPr>
                <w:szCs w:val="24"/>
              </w:rPr>
            </w:pPr>
            <w:r w:rsidRPr="005C3B55">
              <w:rPr>
                <w:szCs w:val="24"/>
              </w:rPr>
              <w:t>Decree on the water protection zone for the aquifer of Dravsko–Ptujsko polje (Official Gazette of the Republic of Slovenia, no. 59/07 with all amendments);</w:t>
            </w:r>
          </w:p>
          <w:p w:rsidR="00F555D6" w:rsidRPr="005C3B55" w:rsidRDefault="00F555D6" w:rsidP="00F555D6">
            <w:pPr>
              <w:numPr>
                <w:ilvl w:val="0"/>
                <w:numId w:val="342"/>
              </w:numPr>
              <w:spacing w:before="0" w:after="0"/>
              <w:ind w:hanging="290"/>
              <w:jc w:val="left"/>
              <w:rPr>
                <w:szCs w:val="24"/>
              </w:rPr>
            </w:pPr>
            <w:r w:rsidRPr="005C3B55">
              <w:rPr>
                <w:szCs w:val="24"/>
              </w:rPr>
              <w:t>Decree on the water protection zone for the aquifer of Apaško polje (Official Gazette of the Republic of Slovenia, no. 59/07 with all amendments);</w:t>
            </w:r>
          </w:p>
          <w:p w:rsidR="00F555D6" w:rsidRPr="005C3B55" w:rsidRDefault="00F555D6" w:rsidP="00F555D6">
            <w:pPr>
              <w:numPr>
                <w:ilvl w:val="0"/>
                <w:numId w:val="342"/>
              </w:numPr>
              <w:spacing w:before="0" w:after="0"/>
              <w:ind w:hanging="290"/>
              <w:jc w:val="left"/>
              <w:rPr>
                <w:szCs w:val="24"/>
              </w:rPr>
            </w:pPr>
            <w:r w:rsidRPr="005C3B55">
              <w:rPr>
                <w:szCs w:val="24"/>
              </w:rPr>
              <w:t>Decree on the water protection zone for the aquifer of Ljubljansko barje and Ljubljana surroundings (Official Gazette of the Republic of Slovenia, no. 115/07 with all amendments);</w:t>
            </w:r>
          </w:p>
          <w:p w:rsidR="00F555D6" w:rsidRPr="005C3B55" w:rsidRDefault="00F555D6" w:rsidP="00F555D6">
            <w:pPr>
              <w:numPr>
                <w:ilvl w:val="0"/>
                <w:numId w:val="342"/>
              </w:numPr>
              <w:spacing w:before="0" w:after="0"/>
              <w:ind w:hanging="290"/>
              <w:jc w:val="left"/>
              <w:rPr>
                <w:szCs w:val="24"/>
              </w:rPr>
            </w:pPr>
            <w:r w:rsidRPr="005C3B55">
              <w:rPr>
                <w:szCs w:val="24"/>
              </w:rPr>
              <w:t>Decree on the water protection area for the aquifers of Rižana (Official Gazette of the Republic of Slovenia, no. 49/08 with all amendments);</w:t>
            </w:r>
          </w:p>
          <w:p w:rsidR="00F555D6" w:rsidRPr="005C3B55" w:rsidRDefault="00F555D6" w:rsidP="00F555D6">
            <w:pPr>
              <w:numPr>
                <w:ilvl w:val="0"/>
                <w:numId w:val="342"/>
              </w:numPr>
              <w:spacing w:before="0" w:after="0"/>
              <w:ind w:hanging="290"/>
              <w:jc w:val="left"/>
              <w:rPr>
                <w:szCs w:val="24"/>
              </w:rPr>
            </w:pPr>
            <w:r w:rsidRPr="005C3B55">
              <w:rPr>
                <w:szCs w:val="24"/>
              </w:rPr>
              <w:t>Decree on the water protection area for aquifers of the municipalities of Šmartno ob Paki, Polzela and Braslovče (Official Gazette of the Republic of Slovenia, no. 98/11 with all amendments);</w:t>
            </w:r>
          </w:p>
          <w:p w:rsidR="00F555D6" w:rsidRPr="005C3B55" w:rsidRDefault="00F555D6" w:rsidP="00F555D6">
            <w:pPr>
              <w:numPr>
                <w:ilvl w:val="0"/>
                <w:numId w:val="342"/>
              </w:numPr>
              <w:spacing w:before="0" w:after="0"/>
              <w:ind w:hanging="290"/>
              <w:jc w:val="left"/>
              <w:rPr>
                <w:szCs w:val="24"/>
              </w:rPr>
            </w:pPr>
            <w:r w:rsidRPr="005C3B55">
              <w:rPr>
                <w:szCs w:val="24"/>
              </w:rPr>
              <w:t>Decree on the water protection area for the aquifers of the Municipality of Jezersko (Official Gazette of the Republic of Slovenia, no. 24/12);</w:t>
            </w:r>
          </w:p>
          <w:p w:rsidR="00F555D6" w:rsidRPr="005C3B55" w:rsidRDefault="00F555D6" w:rsidP="00F555D6">
            <w:pPr>
              <w:numPr>
                <w:ilvl w:val="0"/>
                <w:numId w:val="342"/>
              </w:numPr>
              <w:spacing w:before="0" w:after="240"/>
              <w:ind w:hanging="290"/>
              <w:jc w:val="left"/>
              <w:rPr>
                <w:szCs w:val="24"/>
              </w:rPr>
            </w:pPr>
            <w:r w:rsidRPr="005C3B55">
              <w:rPr>
                <w:szCs w:val="24"/>
              </w:rPr>
              <w:t>Decree on the water protection area for the aquifers of the Municipality of Jesenice (Official Gazette of the Republic of Slovenia, no. 62/13).</w:t>
            </w:r>
          </w:p>
          <w:p w:rsidR="00F555D6" w:rsidRPr="005C3B55" w:rsidRDefault="00F555D6" w:rsidP="00F555D6">
            <w:pPr>
              <w:spacing w:before="240" w:after="240" w:line="280" w:lineRule="auto"/>
              <w:rPr>
                <w:szCs w:val="24"/>
              </w:rPr>
            </w:pPr>
            <w:r w:rsidRPr="005C3B55">
              <w:rPr>
                <w:szCs w:val="24"/>
              </w:rPr>
              <w:t>As per the aforementioned regulations, the additional fertilisation of root crops in the narrowest water protection areas (WPA I) is implemented with Nmin analyses.</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Minimum activities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343"/>
              </w:numPr>
              <w:spacing w:before="0" w:after="240"/>
              <w:ind w:hanging="290"/>
              <w:jc w:val="left"/>
              <w:rPr>
                <w:szCs w:val="24"/>
              </w:rPr>
            </w:pPr>
            <w:r w:rsidRPr="005C3B55">
              <w:rPr>
                <w:szCs w:val="24"/>
              </w:rPr>
              <w:t>Not relevant.</w:t>
            </w:r>
          </w:p>
          <w:p w:rsidR="00F555D6" w:rsidRPr="005C3B55" w:rsidRDefault="00F555D6" w:rsidP="00F555D6">
            <w:pPr>
              <w:pStyle w:val="Telobesedila"/>
              <w:rPr>
                <w:szCs w:val="24"/>
              </w:rPr>
            </w:pPr>
          </w:p>
        </w:tc>
      </w:tr>
    </w:tbl>
    <w:p w:rsidR="00F555D6" w:rsidRPr="005C3B55" w:rsidRDefault="00F555D6" w:rsidP="00F555D6">
      <w:pPr>
        <w:pStyle w:val="Naslov9"/>
        <w:tabs>
          <w:tab w:val="clear" w:pos="765"/>
        </w:tabs>
        <w:ind w:left="0" w:firstLine="0"/>
        <w:rPr>
          <w:szCs w:val="24"/>
          <w:lang w:val="en-GB"/>
        </w:rPr>
      </w:pPr>
      <w:r w:rsidRPr="005C3B55">
        <w:rPr>
          <w:noProof w:val="0"/>
          <w:szCs w:val="24"/>
          <w:lang w:val="en-GB"/>
        </w:rPr>
        <w:t>Relevant standard agricultural practices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In standard agricultural practice, the need for fertilisation with nitrogen is not determined on the basis of quick soil tests. Fertilisation is carried out on the basis of experience and general recommendations based on the assessment of nitrogen absorption by a plant with regard to the expected crop.</w:t>
            </w:r>
          </w:p>
          <w:p w:rsidR="00F555D6" w:rsidRPr="005C3B55" w:rsidRDefault="00F555D6" w:rsidP="00F555D6">
            <w:pPr>
              <w:pStyle w:val="Telobesedila"/>
              <w:rPr>
                <w:szCs w:val="24"/>
              </w:rPr>
            </w:pPr>
          </w:p>
        </w:tc>
      </w:tr>
    </w:tbl>
    <w:p w:rsidR="00F555D6" w:rsidRPr="005C3B55" w:rsidRDefault="00F555D6" w:rsidP="00F555D6">
      <w:pPr>
        <w:pStyle w:val="Naslov8"/>
        <w:tabs>
          <w:tab w:val="clear" w:pos="765"/>
        </w:tabs>
        <w:ind w:left="0" w:firstLine="0"/>
        <w:rPr>
          <w:b w:val="0"/>
          <w:szCs w:val="24"/>
          <w:lang w:val="en-GB"/>
        </w:rPr>
      </w:pPr>
      <w:r w:rsidRPr="005C3B55">
        <w:rPr>
          <w:b w:val="0"/>
          <w:noProof w:val="0"/>
          <w:szCs w:val="24"/>
          <w:lang w:val="en-GB"/>
        </w:rPr>
        <w:t>POZ_POD:</w:t>
      </w:r>
      <w:r w:rsidRPr="005C3B55">
        <w:rPr>
          <w:b w:val="0"/>
          <w:szCs w:val="24"/>
          <w:lang w:val="en-GB"/>
        </w:rPr>
        <w:t xml:space="preserve"> </w:t>
      </w:r>
      <w:r w:rsidRPr="005C3B55">
        <w:rPr>
          <w:b w:val="0"/>
          <w:noProof w:val="0"/>
          <w:szCs w:val="24"/>
          <w:lang w:val="en-GB"/>
        </w:rPr>
        <w:t>Sowing plants for green manure</w:t>
      </w:r>
    </w:p>
    <w:p w:rsidR="00F555D6" w:rsidRPr="005C3B55" w:rsidRDefault="00F555D6" w:rsidP="00F555D6">
      <w:pPr>
        <w:pStyle w:val="Naslov9"/>
        <w:tabs>
          <w:tab w:val="clear" w:pos="765"/>
        </w:tabs>
        <w:ind w:left="0" w:firstLine="0"/>
        <w:rPr>
          <w:szCs w:val="24"/>
          <w:lang w:val="en-GB"/>
        </w:rPr>
      </w:pPr>
      <w:r w:rsidRPr="005C3B55">
        <w:rPr>
          <w:noProof w:val="0"/>
          <w:szCs w:val="24"/>
          <w:lang w:val="en-GB"/>
        </w:rPr>
        <w:t>Starting Point</w:t>
      </w:r>
    </w:p>
    <w:p w:rsidR="00F555D6" w:rsidRPr="005C3B55" w:rsidRDefault="00F555D6" w:rsidP="00F555D6">
      <w:pPr>
        <w:spacing w:line="280" w:lineRule="auto"/>
        <w:rPr>
          <w:szCs w:val="24"/>
        </w:rPr>
      </w:pPr>
      <w:r w:rsidRPr="005C3B55">
        <w:rPr>
          <w:szCs w:val="24"/>
        </w:rPr>
        <w:t>Suitable good agricultural and environmental conditions and/or prescribed management requirements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344"/>
              </w:numPr>
              <w:spacing w:before="0" w:after="240"/>
              <w:jc w:val="left"/>
              <w:rPr>
                <w:szCs w:val="24"/>
              </w:rPr>
            </w:pPr>
            <w:r w:rsidRPr="005C3B55">
              <w:rPr>
                <w:szCs w:val="24"/>
              </w:rPr>
              <w:t>Green manure is not prescribed in the Regulation on cross-compliance.</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Minimum requirements for the use of fertilisers and plant protection products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345"/>
              </w:numPr>
              <w:spacing w:before="0" w:after="0"/>
              <w:ind w:hanging="290"/>
              <w:jc w:val="left"/>
              <w:rPr>
                <w:szCs w:val="24"/>
              </w:rPr>
            </w:pPr>
            <w:r w:rsidRPr="005C3B55">
              <w:rPr>
                <w:szCs w:val="24"/>
              </w:rPr>
              <w:t>Minimum requirements for the use of fertilisers refer to the keeping of records on the use of livestock and mineral fertilisers which an agricultural holding has to keep for all agricultural land plots at the agricultural holding, and which has to include at least the quantity and type of livestock manure and mineral fertiliser, time of fertilising and data on the surface where these fertilisers are used.</w:t>
            </w:r>
          </w:p>
          <w:p w:rsidR="00F555D6" w:rsidRPr="005C3B55" w:rsidRDefault="00F555D6" w:rsidP="00F555D6">
            <w:pPr>
              <w:numPr>
                <w:ilvl w:val="0"/>
                <w:numId w:val="345"/>
              </w:numPr>
              <w:spacing w:before="0" w:after="240"/>
              <w:ind w:hanging="290"/>
              <w:jc w:val="left"/>
              <w:rPr>
                <w:szCs w:val="24"/>
              </w:rPr>
            </w:pPr>
            <w:r w:rsidRPr="005C3B55">
              <w:rPr>
                <w:szCs w:val="24"/>
              </w:rPr>
              <w:t>Minimum additional requirements for the use of plant protection products are not determined, since the requirements relating to the use of these products are standardised and are included in the requirements of cross-compliance.</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Other relevant national/regional requirements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346"/>
              </w:numPr>
              <w:spacing w:before="0" w:after="240"/>
              <w:ind w:hanging="290"/>
              <w:jc w:val="left"/>
              <w:rPr>
                <w:szCs w:val="24"/>
              </w:rPr>
            </w:pPr>
            <w:r w:rsidRPr="005C3B55">
              <w:rPr>
                <w:szCs w:val="24"/>
              </w:rPr>
              <w:t>Other national requirements are not prescribed.</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Minimum activities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347"/>
              </w:numPr>
              <w:spacing w:before="0" w:after="240"/>
              <w:ind w:hanging="290"/>
              <w:jc w:val="left"/>
              <w:rPr>
                <w:szCs w:val="24"/>
              </w:rPr>
            </w:pPr>
            <w:r w:rsidRPr="005C3B55">
              <w:rPr>
                <w:szCs w:val="24"/>
              </w:rPr>
              <w:t>Not relevant.</w:t>
            </w:r>
          </w:p>
          <w:p w:rsidR="00F555D6" w:rsidRPr="005C3B55" w:rsidRDefault="00F555D6" w:rsidP="00F555D6">
            <w:pPr>
              <w:pStyle w:val="Telobesedila"/>
              <w:rPr>
                <w:szCs w:val="24"/>
              </w:rPr>
            </w:pPr>
          </w:p>
        </w:tc>
      </w:tr>
    </w:tbl>
    <w:p w:rsidR="00F555D6" w:rsidRPr="005C3B55" w:rsidRDefault="00F555D6" w:rsidP="00F555D6">
      <w:pPr>
        <w:pStyle w:val="Naslov9"/>
        <w:tabs>
          <w:tab w:val="clear" w:pos="765"/>
        </w:tabs>
        <w:ind w:left="0" w:firstLine="0"/>
        <w:rPr>
          <w:szCs w:val="24"/>
          <w:lang w:val="en-GB"/>
        </w:rPr>
      </w:pPr>
      <w:r w:rsidRPr="005C3B55">
        <w:rPr>
          <w:noProof w:val="0"/>
          <w:szCs w:val="24"/>
          <w:lang w:val="en-GB"/>
        </w:rPr>
        <w:t>Relevant standard agricultural practices</w:t>
      </w:r>
    </w:p>
    <w:p w:rsidR="00F555D6" w:rsidRPr="005C3B55" w:rsidRDefault="00F555D6" w:rsidP="00F555D6">
      <w:pPr>
        <w:pStyle w:val="Naslov9"/>
        <w:tabs>
          <w:tab w:val="clear" w:pos="765"/>
        </w:tabs>
        <w:spacing w:before="0" w:after="0"/>
        <w:ind w:left="0" w:firstLine="0"/>
        <w:rPr>
          <w:szCs w:val="24"/>
          <w:lang w:val="en-GB"/>
        </w:rPr>
      </w:pP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Sowing plants for green manure is not standard agricultural practice. Agricultural holdings implement different methods of fertilisation. After the harvest of the main crop, they apply winter fallow.</w:t>
            </w:r>
          </w:p>
          <w:p w:rsidR="00F555D6" w:rsidRPr="005C3B55" w:rsidRDefault="00F555D6" w:rsidP="00F555D6">
            <w:pPr>
              <w:pStyle w:val="Telobesedila"/>
              <w:rPr>
                <w:szCs w:val="24"/>
              </w:rPr>
            </w:pPr>
          </w:p>
        </w:tc>
      </w:tr>
    </w:tbl>
    <w:p w:rsidR="00F555D6" w:rsidRPr="005C3B55" w:rsidRDefault="00F555D6" w:rsidP="00F555D6">
      <w:pPr>
        <w:pStyle w:val="Naslov8"/>
        <w:tabs>
          <w:tab w:val="clear" w:pos="765"/>
        </w:tabs>
        <w:ind w:left="0" w:firstLine="0"/>
        <w:rPr>
          <w:b w:val="0"/>
          <w:szCs w:val="24"/>
          <w:lang w:val="en-GB"/>
        </w:rPr>
      </w:pPr>
      <w:r w:rsidRPr="005C3B55">
        <w:rPr>
          <w:b w:val="0"/>
          <w:noProof w:val="0"/>
          <w:szCs w:val="24"/>
          <w:lang w:val="en-GB"/>
        </w:rPr>
        <w:t>POZ_ZEL:</w:t>
      </w:r>
      <w:r w:rsidRPr="005C3B55">
        <w:rPr>
          <w:b w:val="0"/>
          <w:szCs w:val="24"/>
          <w:lang w:val="en-GB"/>
        </w:rPr>
        <w:t xml:space="preserve"> </w:t>
      </w:r>
      <w:r w:rsidRPr="005C3B55">
        <w:rPr>
          <w:b w:val="0"/>
          <w:noProof w:val="0"/>
          <w:szCs w:val="24"/>
          <w:lang w:val="en-GB"/>
        </w:rPr>
        <w:t>Greening of arable land</w:t>
      </w:r>
    </w:p>
    <w:p w:rsidR="00F555D6" w:rsidRPr="005C3B55" w:rsidRDefault="00F555D6" w:rsidP="00F555D6">
      <w:pPr>
        <w:pStyle w:val="Naslov9"/>
        <w:tabs>
          <w:tab w:val="clear" w:pos="765"/>
        </w:tabs>
        <w:ind w:left="0" w:firstLine="0"/>
        <w:rPr>
          <w:szCs w:val="24"/>
          <w:lang w:val="en-GB"/>
        </w:rPr>
      </w:pPr>
      <w:r w:rsidRPr="005C3B55">
        <w:rPr>
          <w:noProof w:val="0"/>
          <w:szCs w:val="24"/>
          <w:lang w:val="en-GB"/>
        </w:rPr>
        <w:t>Starting Point</w:t>
      </w:r>
    </w:p>
    <w:p w:rsidR="00F555D6" w:rsidRPr="005C3B55" w:rsidRDefault="00F555D6" w:rsidP="00F555D6">
      <w:pPr>
        <w:spacing w:line="280" w:lineRule="auto"/>
        <w:rPr>
          <w:szCs w:val="24"/>
        </w:rPr>
      </w:pPr>
      <w:r w:rsidRPr="005C3B55">
        <w:rPr>
          <w:szCs w:val="24"/>
        </w:rPr>
        <w:t>Suitable good agricultural and environmental conditions and/or prescribed management requirements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348"/>
              </w:numPr>
              <w:spacing w:before="0" w:after="240"/>
              <w:ind w:hanging="290"/>
              <w:jc w:val="left"/>
              <w:rPr>
                <w:szCs w:val="24"/>
              </w:rPr>
            </w:pPr>
            <w:r w:rsidRPr="005C3B55">
              <w:rPr>
                <w:szCs w:val="24"/>
              </w:rPr>
              <w:t>Regulation on cross-compliance, Annex 1: Rules on cross-compliance, GAEC 4:  Minimum soil cover: Soil cover on agricultural land is maintained as per standard agricultural methods. Covering soil with plants, stubble or mulches in the vegetation period ensures a sufficent supply of carbon in the soil and prevents erosion.</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Minimum requirements for the use of fertilisers and plant protection products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349"/>
              </w:numPr>
              <w:spacing w:before="0" w:after="0"/>
              <w:ind w:hanging="290"/>
              <w:jc w:val="left"/>
              <w:rPr>
                <w:szCs w:val="24"/>
              </w:rPr>
            </w:pPr>
            <w:r w:rsidRPr="005C3B55">
              <w:rPr>
                <w:szCs w:val="24"/>
              </w:rPr>
              <w:t>Minimum requirements for the use of fertilisers refer to the keeping of records on the use of livestock and mineral fertilisers which an agricultural holding has to keep for all agricultural land plots at the agricultural holding, and which has to include at least the quantity and type of livestock manure and mineral fertiliser, time of fertilising and data on the surface where these fertilisers are used.</w:t>
            </w:r>
          </w:p>
          <w:p w:rsidR="00F555D6" w:rsidRPr="005C3B55" w:rsidRDefault="00F555D6" w:rsidP="00F555D6">
            <w:pPr>
              <w:numPr>
                <w:ilvl w:val="0"/>
                <w:numId w:val="349"/>
              </w:numPr>
              <w:spacing w:before="0" w:after="240"/>
              <w:ind w:hanging="290"/>
              <w:jc w:val="left"/>
              <w:rPr>
                <w:szCs w:val="24"/>
              </w:rPr>
            </w:pPr>
            <w:r w:rsidRPr="005C3B55">
              <w:rPr>
                <w:szCs w:val="24"/>
              </w:rPr>
              <w:t>Minimum requirements for the use of plant protection products are not determined, since the requirements relating to the use of these products are standardised and are included in the requirements of cross-compliance.</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Other relevant national/regional requirements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350"/>
              </w:numPr>
              <w:spacing w:before="0" w:after="240"/>
              <w:ind w:hanging="290"/>
              <w:jc w:val="left"/>
              <w:rPr>
                <w:szCs w:val="24"/>
              </w:rPr>
            </w:pPr>
            <w:r w:rsidRPr="005C3B55">
              <w:rPr>
                <w:szCs w:val="24"/>
              </w:rPr>
              <w:t>Other national requirements are not prescribed.</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Minimum activities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351"/>
              </w:numPr>
              <w:spacing w:before="0" w:after="240"/>
              <w:ind w:hanging="290"/>
              <w:jc w:val="left"/>
              <w:rPr>
                <w:szCs w:val="24"/>
              </w:rPr>
            </w:pPr>
            <w:r w:rsidRPr="005C3B55">
              <w:rPr>
                <w:szCs w:val="24"/>
              </w:rPr>
              <w:t>Not relevant.</w:t>
            </w:r>
          </w:p>
          <w:p w:rsidR="00F555D6" w:rsidRPr="005C3B55" w:rsidRDefault="00F555D6" w:rsidP="00F555D6">
            <w:pPr>
              <w:pStyle w:val="Telobesedila"/>
              <w:rPr>
                <w:szCs w:val="24"/>
              </w:rPr>
            </w:pPr>
          </w:p>
        </w:tc>
      </w:tr>
    </w:tbl>
    <w:p w:rsidR="00F555D6" w:rsidRPr="005C3B55" w:rsidRDefault="00F555D6" w:rsidP="00F555D6">
      <w:pPr>
        <w:pStyle w:val="Naslov9"/>
        <w:tabs>
          <w:tab w:val="clear" w:pos="765"/>
        </w:tabs>
        <w:ind w:left="0" w:firstLine="0"/>
        <w:rPr>
          <w:szCs w:val="24"/>
          <w:lang w:val="en-GB"/>
        </w:rPr>
      </w:pPr>
      <w:r w:rsidRPr="005C3B55">
        <w:rPr>
          <w:noProof w:val="0"/>
          <w:szCs w:val="24"/>
          <w:lang w:val="en-GB"/>
        </w:rPr>
        <w:t>Relevant standard agricultural practices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Many farmers have abandoned the sowing of overwintering crops in order to focus on monoculture production, and the greening of arable land is thus no longer part of standard agricultural practice. After the harvest of the main crop, winter fallow is implemented on arable land.</w:t>
            </w:r>
          </w:p>
          <w:p w:rsidR="00F555D6" w:rsidRPr="005C3B55" w:rsidRDefault="00F555D6" w:rsidP="00F555D6">
            <w:pPr>
              <w:pStyle w:val="Telobesedila"/>
              <w:rPr>
                <w:szCs w:val="24"/>
              </w:rPr>
            </w:pPr>
          </w:p>
        </w:tc>
      </w:tr>
    </w:tbl>
    <w:p w:rsidR="00F555D6" w:rsidRPr="005C3B55" w:rsidRDefault="00F555D6" w:rsidP="00F555D6">
      <w:pPr>
        <w:pStyle w:val="Naslov5"/>
        <w:tabs>
          <w:tab w:val="clear" w:pos="765"/>
        </w:tabs>
        <w:ind w:left="0" w:firstLine="0"/>
        <w:rPr>
          <w:b w:val="0"/>
          <w:szCs w:val="24"/>
          <w:lang w:val="en-GB"/>
        </w:rPr>
      </w:pPr>
      <w:r w:rsidRPr="005C3B55">
        <w:rPr>
          <w:b w:val="0"/>
          <w:szCs w:val="24"/>
          <w:lang w:val="en-GB"/>
        </w:rPr>
        <w:br w:type="page"/>
        <w:t xml:space="preserve">02. </w:t>
      </w:r>
      <w:r w:rsidRPr="005C3B55">
        <w:rPr>
          <w:b w:val="0"/>
          <w:noProof w:val="0"/>
          <w:szCs w:val="24"/>
          <w:lang w:val="en-GB"/>
        </w:rPr>
        <w:t>Hop growing</w:t>
      </w:r>
    </w:p>
    <w:p w:rsidR="00F555D6" w:rsidRPr="005C3B55" w:rsidRDefault="00F555D6" w:rsidP="00F555D6">
      <w:pPr>
        <w:spacing w:line="280" w:lineRule="auto"/>
        <w:rPr>
          <w:szCs w:val="24"/>
        </w:rPr>
      </w:pPr>
      <w:r w:rsidRPr="005C3B55">
        <w:rPr>
          <w:szCs w:val="24"/>
        </w:rPr>
        <w:t xml:space="preserve">Sub-measure: </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352"/>
              </w:numPr>
              <w:rPr>
                <w:szCs w:val="24"/>
              </w:rPr>
            </w:pPr>
            <w:r w:rsidRPr="005C3B55">
              <w:rPr>
                <w:szCs w:val="24"/>
              </w:rPr>
              <w:t>10.1 – Payment of agri-environment-climate commitments</w:t>
            </w: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Description of type of operation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The requirements within the operation Hop growing denote a change in current agricultural practices. They contribute to improving soil and water conditions by:</w:t>
            </w:r>
          </w:p>
          <w:p w:rsidR="00F555D6" w:rsidRPr="005C3B55" w:rsidRDefault="00F555D6" w:rsidP="00F555D6">
            <w:pPr>
              <w:numPr>
                <w:ilvl w:val="0"/>
                <w:numId w:val="353"/>
              </w:numPr>
              <w:spacing w:before="240" w:after="0"/>
              <w:ind w:hanging="290"/>
              <w:jc w:val="left"/>
              <w:rPr>
                <w:szCs w:val="24"/>
              </w:rPr>
            </w:pPr>
            <w:r w:rsidRPr="005C3B55">
              <w:rPr>
                <w:szCs w:val="24"/>
              </w:rPr>
              <w:t>enriching soil with organic matter and nutrients;</w:t>
            </w:r>
          </w:p>
          <w:p w:rsidR="00F555D6" w:rsidRPr="005C3B55" w:rsidRDefault="00F555D6" w:rsidP="00F555D6">
            <w:pPr>
              <w:numPr>
                <w:ilvl w:val="0"/>
                <w:numId w:val="353"/>
              </w:numPr>
              <w:spacing w:before="0" w:after="0"/>
              <w:ind w:hanging="290"/>
              <w:jc w:val="left"/>
              <w:rPr>
                <w:szCs w:val="24"/>
              </w:rPr>
            </w:pPr>
            <w:r w:rsidRPr="005C3B55">
              <w:rPr>
                <w:szCs w:val="24"/>
              </w:rPr>
              <w:t>increasing the amount of humus in the soil;</w:t>
            </w:r>
          </w:p>
          <w:p w:rsidR="00F555D6" w:rsidRPr="005C3B55" w:rsidRDefault="00F555D6" w:rsidP="00F555D6">
            <w:pPr>
              <w:numPr>
                <w:ilvl w:val="0"/>
                <w:numId w:val="353"/>
              </w:numPr>
              <w:spacing w:before="0" w:after="0"/>
              <w:ind w:hanging="290"/>
              <w:jc w:val="left"/>
              <w:rPr>
                <w:szCs w:val="24"/>
              </w:rPr>
            </w:pPr>
            <w:r w:rsidRPr="005C3B55">
              <w:rPr>
                <w:szCs w:val="24"/>
              </w:rPr>
              <w:t>improving the air and water regime in the soil;</w:t>
            </w:r>
          </w:p>
          <w:p w:rsidR="00F555D6" w:rsidRPr="005C3B55" w:rsidRDefault="00F555D6" w:rsidP="00F555D6">
            <w:pPr>
              <w:numPr>
                <w:ilvl w:val="0"/>
                <w:numId w:val="353"/>
              </w:numPr>
              <w:spacing w:before="0" w:after="0"/>
              <w:ind w:hanging="290"/>
              <w:jc w:val="left"/>
              <w:rPr>
                <w:szCs w:val="24"/>
              </w:rPr>
            </w:pPr>
            <w:r w:rsidRPr="005C3B55">
              <w:rPr>
                <w:szCs w:val="24"/>
              </w:rPr>
              <w:t>preventing propylene residue in the soil;</w:t>
            </w:r>
          </w:p>
          <w:p w:rsidR="00F555D6" w:rsidRPr="005C3B55" w:rsidRDefault="00F555D6" w:rsidP="00F555D6">
            <w:pPr>
              <w:numPr>
                <w:ilvl w:val="0"/>
                <w:numId w:val="353"/>
              </w:numPr>
              <w:spacing w:before="0" w:after="240"/>
              <w:ind w:hanging="290"/>
              <w:jc w:val="left"/>
              <w:rPr>
                <w:szCs w:val="24"/>
              </w:rPr>
            </w:pPr>
            <w:r w:rsidRPr="005C3B55">
              <w:rPr>
                <w:szCs w:val="24"/>
              </w:rPr>
              <w:t>preventing uncontrolled rotting and self-igniting of hops, and thus acquiring high-quality organic matter and reapplying it on agricultural land.</w:t>
            </w:r>
          </w:p>
          <w:p w:rsidR="00F555D6" w:rsidRPr="005C3B55" w:rsidRDefault="00F555D6" w:rsidP="00F555D6">
            <w:pPr>
              <w:spacing w:before="240" w:after="240" w:line="280" w:lineRule="auto"/>
              <w:rPr>
                <w:szCs w:val="24"/>
              </w:rPr>
            </w:pPr>
            <w:r w:rsidRPr="005C3B55">
              <w:rPr>
                <w:szCs w:val="24"/>
              </w:rPr>
              <w:t>The operation includes mandatory and optional requirements. The beneficiary must implement the mandatory requirements and may also select one or more optional requirements under this operation.</w:t>
            </w:r>
          </w:p>
          <w:p w:rsidR="00F555D6" w:rsidRPr="005C3B55" w:rsidRDefault="00F555D6" w:rsidP="00F555D6">
            <w:pPr>
              <w:spacing w:before="240" w:after="240" w:line="280" w:lineRule="auto"/>
              <w:rPr>
                <w:szCs w:val="24"/>
              </w:rPr>
            </w:pPr>
            <w:r w:rsidRPr="005C3B55">
              <w:rPr>
                <w:b/>
                <w:szCs w:val="24"/>
              </w:rPr>
              <w:t>A. Mandatory requirements</w:t>
            </w:r>
          </w:p>
          <w:p w:rsidR="00F555D6" w:rsidRPr="005C3B55" w:rsidRDefault="00F555D6" w:rsidP="00F555D6">
            <w:pPr>
              <w:spacing w:before="240" w:after="240" w:line="280" w:lineRule="auto"/>
              <w:rPr>
                <w:szCs w:val="24"/>
              </w:rPr>
            </w:pPr>
            <w:r w:rsidRPr="005C3B55">
              <w:rPr>
                <w:b/>
                <w:i/>
                <w:szCs w:val="24"/>
              </w:rPr>
              <w:t>HML_POKT: Ground cover in row spacing</w:t>
            </w:r>
          </w:p>
          <w:p w:rsidR="00F555D6" w:rsidRPr="005C3B55" w:rsidRDefault="00F555D6" w:rsidP="00F555D6">
            <w:pPr>
              <w:spacing w:before="240" w:after="240" w:line="280" w:lineRule="auto"/>
              <w:rPr>
                <w:szCs w:val="24"/>
              </w:rPr>
            </w:pPr>
            <w:r w:rsidRPr="005C3B55">
              <w:rPr>
                <w:szCs w:val="24"/>
              </w:rPr>
              <w:t>Soil in row spacing of a hop plantation must be covered for at least three months (from sowing to  ploughing), i.e. from 25 July to at least 25 October of the current year. The implementation of this requirement contributes to the enrichment of soil with organic matter and nutrients, and to the prevention of harmful consequences of tramping by machinery.</w:t>
            </w:r>
          </w:p>
          <w:p w:rsidR="00F555D6" w:rsidRPr="005C3B55" w:rsidRDefault="00F555D6" w:rsidP="00F555D6">
            <w:pPr>
              <w:numPr>
                <w:ilvl w:val="0"/>
                <w:numId w:val="354"/>
              </w:numPr>
              <w:spacing w:before="240" w:after="0"/>
              <w:ind w:hanging="290"/>
              <w:jc w:val="left"/>
              <w:rPr>
                <w:szCs w:val="24"/>
              </w:rPr>
            </w:pPr>
            <w:r w:rsidRPr="005C3B55">
              <w:rPr>
                <w:szCs w:val="24"/>
              </w:rPr>
              <w:t>Livestock density: not relevant.</w:t>
            </w:r>
          </w:p>
          <w:p w:rsidR="00F555D6" w:rsidRPr="005C3B55" w:rsidRDefault="00F555D6" w:rsidP="00F555D6">
            <w:pPr>
              <w:numPr>
                <w:ilvl w:val="0"/>
                <w:numId w:val="354"/>
              </w:numPr>
              <w:spacing w:before="0" w:after="0"/>
              <w:ind w:hanging="290"/>
              <w:jc w:val="left"/>
              <w:rPr>
                <w:szCs w:val="24"/>
              </w:rPr>
            </w:pPr>
            <w:r w:rsidRPr="005C3B55">
              <w:rPr>
                <w:szCs w:val="24"/>
              </w:rPr>
              <w:t>Use: hop gardens.</w:t>
            </w:r>
          </w:p>
          <w:p w:rsidR="00F555D6" w:rsidRPr="005C3B55" w:rsidRDefault="00F555D6" w:rsidP="00F555D6">
            <w:pPr>
              <w:numPr>
                <w:ilvl w:val="0"/>
                <w:numId w:val="354"/>
              </w:numPr>
              <w:spacing w:before="0" w:after="0"/>
              <w:ind w:hanging="290"/>
              <w:jc w:val="left"/>
              <w:rPr>
                <w:szCs w:val="24"/>
              </w:rPr>
            </w:pPr>
            <w:r w:rsidRPr="005C3B55">
              <w:rPr>
                <w:szCs w:val="24"/>
              </w:rPr>
              <w:t>Coverage: part of the area.</w:t>
            </w:r>
          </w:p>
          <w:p w:rsidR="00F555D6" w:rsidRPr="005C3B55" w:rsidRDefault="00F555D6" w:rsidP="00F555D6">
            <w:pPr>
              <w:numPr>
                <w:ilvl w:val="0"/>
                <w:numId w:val="354"/>
              </w:numPr>
              <w:spacing w:before="0" w:after="0"/>
              <w:ind w:hanging="290"/>
              <w:jc w:val="left"/>
              <w:rPr>
                <w:szCs w:val="24"/>
              </w:rPr>
            </w:pPr>
            <w:r w:rsidRPr="005C3B55">
              <w:rPr>
                <w:szCs w:val="24"/>
              </w:rPr>
              <w:t>Location: not relevant.</w:t>
            </w:r>
          </w:p>
          <w:p w:rsidR="00F555D6" w:rsidRPr="005C3B55" w:rsidRDefault="00F555D6" w:rsidP="00F555D6">
            <w:pPr>
              <w:numPr>
                <w:ilvl w:val="0"/>
                <w:numId w:val="354"/>
              </w:numPr>
              <w:spacing w:before="0" w:after="240"/>
              <w:ind w:hanging="290"/>
              <w:jc w:val="left"/>
              <w:rPr>
                <w:szCs w:val="24"/>
              </w:rPr>
            </w:pPr>
            <w:r w:rsidRPr="005C3B55">
              <w:rPr>
                <w:szCs w:val="24"/>
              </w:rPr>
              <w:t>Implementation area: whole Slovenia.</w:t>
            </w:r>
          </w:p>
          <w:p w:rsidR="00F555D6" w:rsidRPr="005C3B55" w:rsidRDefault="00F555D6" w:rsidP="00F555D6">
            <w:pPr>
              <w:spacing w:before="240" w:after="240" w:line="280" w:lineRule="auto"/>
              <w:rPr>
                <w:szCs w:val="24"/>
              </w:rPr>
            </w:pPr>
            <w:r w:rsidRPr="005C3B55">
              <w:rPr>
                <w:szCs w:val="24"/>
              </w:rPr>
              <w:t>Effects:</w:t>
            </w:r>
          </w:p>
          <w:p w:rsidR="00F555D6" w:rsidRPr="005C3B55" w:rsidRDefault="00F555D6" w:rsidP="00F555D6">
            <w:pPr>
              <w:numPr>
                <w:ilvl w:val="0"/>
                <w:numId w:val="355"/>
              </w:numPr>
              <w:spacing w:before="240" w:after="0"/>
              <w:ind w:hanging="290"/>
              <w:jc w:val="left"/>
              <w:rPr>
                <w:szCs w:val="24"/>
              </w:rPr>
            </w:pPr>
            <w:r w:rsidRPr="005C3B55">
              <w:rPr>
                <w:szCs w:val="24"/>
              </w:rPr>
              <w:t>enriching soil with organic matter and nutrients;</w:t>
            </w:r>
          </w:p>
          <w:p w:rsidR="00F555D6" w:rsidRPr="005C3B55" w:rsidRDefault="00F555D6" w:rsidP="00F555D6">
            <w:pPr>
              <w:numPr>
                <w:ilvl w:val="0"/>
                <w:numId w:val="355"/>
              </w:numPr>
              <w:spacing w:before="0" w:after="0"/>
              <w:ind w:hanging="290"/>
              <w:jc w:val="left"/>
              <w:rPr>
                <w:szCs w:val="24"/>
              </w:rPr>
            </w:pPr>
            <w:r w:rsidRPr="005C3B55">
              <w:rPr>
                <w:szCs w:val="24"/>
              </w:rPr>
              <w:t>increase of the amount of humus in soil;</w:t>
            </w:r>
          </w:p>
          <w:p w:rsidR="00F555D6" w:rsidRPr="005C3B55" w:rsidRDefault="00F555D6" w:rsidP="00F555D6">
            <w:pPr>
              <w:numPr>
                <w:ilvl w:val="0"/>
                <w:numId w:val="355"/>
              </w:numPr>
              <w:spacing w:before="0" w:after="0"/>
              <w:ind w:hanging="290"/>
              <w:jc w:val="left"/>
              <w:rPr>
                <w:szCs w:val="24"/>
              </w:rPr>
            </w:pPr>
            <w:r w:rsidRPr="005C3B55">
              <w:rPr>
                <w:szCs w:val="24"/>
              </w:rPr>
              <w:t>reducing nitrogen leaching;</w:t>
            </w:r>
          </w:p>
          <w:p w:rsidR="00F555D6" w:rsidRPr="005C3B55" w:rsidRDefault="00F555D6" w:rsidP="00F555D6">
            <w:pPr>
              <w:numPr>
                <w:ilvl w:val="0"/>
                <w:numId w:val="355"/>
              </w:numPr>
              <w:spacing w:before="0" w:after="0"/>
              <w:ind w:hanging="290"/>
              <w:jc w:val="left"/>
              <w:rPr>
                <w:szCs w:val="24"/>
              </w:rPr>
            </w:pPr>
            <w:r w:rsidRPr="005C3B55">
              <w:rPr>
                <w:szCs w:val="24"/>
              </w:rPr>
              <w:t>preventing soil compaction;</w:t>
            </w:r>
          </w:p>
          <w:p w:rsidR="00F555D6" w:rsidRPr="005C3B55" w:rsidRDefault="00F555D6" w:rsidP="00F555D6">
            <w:pPr>
              <w:numPr>
                <w:ilvl w:val="0"/>
                <w:numId w:val="355"/>
              </w:numPr>
              <w:spacing w:before="0" w:after="0"/>
              <w:ind w:hanging="290"/>
              <w:jc w:val="left"/>
              <w:rPr>
                <w:szCs w:val="24"/>
              </w:rPr>
            </w:pPr>
            <w:r w:rsidRPr="005C3B55">
              <w:rPr>
                <w:szCs w:val="24"/>
              </w:rPr>
              <w:t>reducing weeds;</w:t>
            </w:r>
          </w:p>
          <w:p w:rsidR="00F555D6" w:rsidRPr="005C3B55" w:rsidRDefault="00F555D6" w:rsidP="00F555D6">
            <w:pPr>
              <w:numPr>
                <w:ilvl w:val="0"/>
                <w:numId w:val="355"/>
              </w:numPr>
              <w:spacing w:before="0" w:after="240"/>
              <w:ind w:hanging="290"/>
              <w:jc w:val="left"/>
              <w:rPr>
                <w:szCs w:val="24"/>
              </w:rPr>
            </w:pPr>
            <w:r w:rsidRPr="005C3B55">
              <w:rPr>
                <w:szCs w:val="24"/>
              </w:rPr>
              <w:t>reducing pests in soil.</w:t>
            </w:r>
          </w:p>
          <w:p w:rsidR="00F555D6" w:rsidRPr="005C3B55" w:rsidRDefault="00F555D6" w:rsidP="00F555D6">
            <w:pPr>
              <w:spacing w:before="240" w:after="240" w:line="280" w:lineRule="auto"/>
              <w:rPr>
                <w:szCs w:val="24"/>
              </w:rPr>
            </w:pPr>
            <w:r w:rsidRPr="005C3B55">
              <w:rPr>
                <w:b/>
                <w:i/>
                <w:szCs w:val="24"/>
              </w:rPr>
              <w:t>HML_NMIN: Nmin analysis</w:t>
            </w:r>
          </w:p>
          <w:p w:rsidR="00F555D6" w:rsidRPr="005C3B55" w:rsidRDefault="00F555D6" w:rsidP="00F555D6">
            <w:pPr>
              <w:spacing w:before="240" w:after="240" w:line="280" w:lineRule="auto"/>
              <w:rPr>
                <w:szCs w:val="24"/>
              </w:rPr>
            </w:pPr>
            <w:r w:rsidRPr="005C3B55">
              <w:rPr>
                <w:szCs w:val="24"/>
              </w:rPr>
              <w:t>The Nmin analysis requirement means the implementation of quick soil tests for mineralised nitrogen in soil directly prior to fertilisation, since it is sufficiently accurate in practice to determine nitrogen level. Based on the Nmin analysis, the optimum dose of nitrogen in view of the actual state of mineralised nitrogen supply in soil is determined in a certain hops development phase.</w:t>
            </w:r>
          </w:p>
          <w:p w:rsidR="00F555D6" w:rsidRPr="005C3B55" w:rsidRDefault="00F555D6" w:rsidP="00F555D6">
            <w:pPr>
              <w:spacing w:before="240" w:after="240" w:line="280" w:lineRule="auto"/>
              <w:rPr>
                <w:szCs w:val="24"/>
              </w:rPr>
            </w:pPr>
            <w:r w:rsidRPr="005C3B55">
              <w:rPr>
                <w:szCs w:val="24"/>
              </w:rPr>
              <w:t>Quick soil tests prevent the overuse of nitrogen fertilisers and thus reduce dangers of leaching and polluting groundwater with nitrates.</w:t>
            </w:r>
          </w:p>
          <w:p w:rsidR="00F555D6" w:rsidRPr="005C3B55" w:rsidRDefault="00F555D6" w:rsidP="00F555D6">
            <w:pPr>
              <w:numPr>
                <w:ilvl w:val="0"/>
                <w:numId w:val="356"/>
              </w:numPr>
              <w:spacing w:before="240" w:after="0"/>
              <w:ind w:hanging="290"/>
              <w:jc w:val="left"/>
              <w:rPr>
                <w:szCs w:val="24"/>
              </w:rPr>
            </w:pPr>
            <w:r w:rsidRPr="005C3B55">
              <w:rPr>
                <w:szCs w:val="24"/>
              </w:rPr>
              <w:t>Livestock density: not relevant.</w:t>
            </w:r>
          </w:p>
          <w:p w:rsidR="00F555D6" w:rsidRPr="005C3B55" w:rsidRDefault="00F555D6" w:rsidP="00F555D6">
            <w:pPr>
              <w:numPr>
                <w:ilvl w:val="0"/>
                <w:numId w:val="356"/>
              </w:numPr>
              <w:spacing w:before="0" w:after="0"/>
              <w:ind w:hanging="290"/>
              <w:jc w:val="left"/>
              <w:rPr>
                <w:szCs w:val="24"/>
              </w:rPr>
            </w:pPr>
            <w:r w:rsidRPr="005C3B55">
              <w:rPr>
                <w:szCs w:val="24"/>
              </w:rPr>
              <w:t>Use: hop gardens.</w:t>
            </w:r>
          </w:p>
          <w:p w:rsidR="00F555D6" w:rsidRPr="005C3B55" w:rsidRDefault="00F555D6" w:rsidP="00F555D6">
            <w:pPr>
              <w:numPr>
                <w:ilvl w:val="0"/>
                <w:numId w:val="356"/>
              </w:numPr>
              <w:spacing w:before="0" w:after="0"/>
              <w:ind w:hanging="290"/>
              <w:jc w:val="left"/>
              <w:rPr>
                <w:szCs w:val="24"/>
              </w:rPr>
            </w:pPr>
            <w:r w:rsidRPr="005C3B55">
              <w:rPr>
                <w:szCs w:val="24"/>
              </w:rPr>
              <w:t>Coverage: part of the area.</w:t>
            </w:r>
          </w:p>
          <w:p w:rsidR="00F555D6" w:rsidRPr="005C3B55" w:rsidRDefault="00F555D6" w:rsidP="00F555D6">
            <w:pPr>
              <w:numPr>
                <w:ilvl w:val="0"/>
                <w:numId w:val="356"/>
              </w:numPr>
              <w:spacing w:before="0" w:after="0"/>
              <w:ind w:hanging="290"/>
              <w:jc w:val="left"/>
              <w:rPr>
                <w:szCs w:val="24"/>
              </w:rPr>
            </w:pPr>
            <w:r w:rsidRPr="005C3B55">
              <w:rPr>
                <w:szCs w:val="24"/>
              </w:rPr>
              <w:t>Location: not relevant.</w:t>
            </w:r>
          </w:p>
          <w:p w:rsidR="00F555D6" w:rsidRPr="005C3B55" w:rsidRDefault="00F555D6" w:rsidP="00F555D6">
            <w:pPr>
              <w:numPr>
                <w:ilvl w:val="0"/>
                <w:numId w:val="356"/>
              </w:numPr>
              <w:spacing w:before="0" w:after="240"/>
              <w:ind w:hanging="290"/>
              <w:jc w:val="left"/>
              <w:rPr>
                <w:szCs w:val="24"/>
              </w:rPr>
            </w:pPr>
            <w:r w:rsidRPr="005C3B55">
              <w:rPr>
                <w:szCs w:val="24"/>
              </w:rPr>
              <w:t>Implementation area: whole Slovenia.</w:t>
            </w:r>
          </w:p>
          <w:p w:rsidR="00F555D6" w:rsidRPr="005C3B55" w:rsidRDefault="00F555D6" w:rsidP="00F555D6">
            <w:pPr>
              <w:spacing w:before="240" w:after="240" w:line="280" w:lineRule="auto"/>
              <w:rPr>
                <w:szCs w:val="24"/>
              </w:rPr>
            </w:pPr>
            <w:r w:rsidRPr="005C3B55">
              <w:rPr>
                <w:szCs w:val="24"/>
              </w:rPr>
              <w:t>Effects:</w:t>
            </w:r>
          </w:p>
          <w:p w:rsidR="00F555D6" w:rsidRPr="005C3B55" w:rsidRDefault="00F555D6" w:rsidP="00F555D6">
            <w:pPr>
              <w:numPr>
                <w:ilvl w:val="0"/>
                <w:numId w:val="357"/>
              </w:numPr>
              <w:spacing w:before="240" w:after="0"/>
              <w:ind w:hanging="290"/>
              <w:jc w:val="left"/>
              <w:rPr>
                <w:szCs w:val="24"/>
              </w:rPr>
            </w:pPr>
            <w:r w:rsidRPr="005C3B55">
              <w:rPr>
                <w:szCs w:val="24"/>
              </w:rPr>
              <w:t>reducing nitrates in water;</w:t>
            </w:r>
          </w:p>
          <w:p w:rsidR="00F555D6" w:rsidRPr="005C3B55" w:rsidRDefault="00F555D6" w:rsidP="00F555D6">
            <w:pPr>
              <w:numPr>
                <w:ilvl w:val="0"/>
                <w:numId w:val="357"/>
              </w:numPr>
              <w:spacing w:before="0" w:after="0"/>
              <w:ind w:hanging="290"/>
              <w:jc w:val="left"/>
              <w:rPr>
                <w:szCs w:val="24"/>
              </w:rPr>
            </w:pPr>
            <w:r w:rsidRPr="005C3B55">
              <w:rPr>
                <w:szCs w:val="24"/>
              </w:rPr>
              <w:t>reducing nitrates residue in soil following the harvesting and nitrates in hop produce;</w:t>
            </w:r>
          </w:p>
          <w:p w:rsidR="00F555D6" w:rsidRPr="005C3B55" w:rsidRDefault="00F555D6" w:rsidP="00F555D6">
            <w:pPr>
              <w:numPr>
                <w:ilvl w:val="0"/>
                <w:numId w:val="357"/>
              </w:numPr>
              <w:spacing w:before="0" w:after="240"/>
              <w:ind w:hanging="290"/>
              <w:jc w:val="left"/>
              <w:rPr>
                <w:szCs w:val="24"/>
              </w:rPr>
            </w:pPr>
            <w:r w:rsidRPr="005C3B55">
              <w:rPr>
                <w:szCs w:val="24"/>
              </w:rPr>
              <w:t>controlled input of nitrogen and optimal fertilisation with nitrogen.</w:t>
            </w:r>
          </w:p>
          <w:p w:rsidR="00F555D6" w:rsidRPr="005C3B55" w:rsidRDefault="00F555D6" w:rsidP="00F555D6">
            <w:pPr>
              <w:spacing w:before="240" w:after="240" w:line="280" w:lineRule="auto"/>
              <w:rPr>
                <w:szCs w:val="24"/>
              </w:rPr>
            </w:pPr>
            <w:r w:rsidRPr="005C3B55">
              <w:rPr>
                <w:b/>
                <w:szCs w:val="24"/>
              </w:rPr>
              <w:t>B. Optional requirements</w:t>
            </w:r>
          </w:p>
          <w:p w:rsidR="00F555D6" w:rsidRPr="005C3B55" w:rsidRDefault="00F555D6" w:rsidP="00F555D6">
            <w:pPr>
              <w:spacing w:before="240" w:after="240" w:line="280" w:lineRule="auto"/>
              <w:rPr>
                <w:szCs w:val="24"/>
              </w:rPr>
            </w:pPr>
            <w:r w:rsidRPr="005C3B55">
              <w:rPr>
                <w:b/>
                <w:i/>
                <w:szCs w:val="24"/>
              </w:rPr>
              <w:t>HML_NIZI: Fertilisation with organic fertilisers with low emissions into air</w:t>
            </w:r>
          </w:p>
          <w:p w:rsidR="00F555D6" w:rsidRPr="005C3B55" w:rsidRDefault="00F555D6" w:rsidP="00F555D6">
            <w:pPr>
              <w:spacing w:before="240" w:after="240" w:line="280" w:lineRule="auto"/>
              <w:rPr>
                <w:szCs w:val="24"/>
              </w:rPr>
            </w:pPr>
            <w:r w:rsidRPr="005C3B55">
              <w:rPr>
                <w:szCs w:val="24"/>
              </w:rPr>
              <w:t>This requirement means the insertion of liquid manure and manure in soil. The purpose of this requirement is to reduce ammonia emissions and smell when fertilising with manure, and to improve the efficiency of nitrogen circulation in agriculture and thus to indirectly impact the reduction of greenhouse nitrous oxide emissions.</w:t>
            </w:r>
          </w:p>
          <w:p w:rsidR="00F555D6" w:rsidRPr="005C3B55" w:rsidRDefault="00F555D6" w:rsidP="00F555D6">
            <w:pPr>
              <w:spacing w:before="240" w:after="240" w:line="280" w:lineRule="auto"/>
              <w:rPr>
                <w:szCs w:val="24"/>
              </w:rPr>
            </w:pPr>
            <w:r w:rsidRPr="005C3B55">
              <w:rPr>
                <w:szCs w:val="24"/>
              </w:rPr>
              <w:t>Liquid organic fertilisers are applied with a tanker to be directly entered or applied on soil surface on hop plantations, and immediately incorporated.</w:t>
            </w:r>
          </w:p>
          <w:p w:rsidR="00F555D6" w:rsidRPr="005C3B55" w:rsidRDefault="00F555D6" w:rsidP="00F555D6">
            <w:pPr>
              <w:spacing w:before="240" w:after="240" w:line="280" w:lineRule="auto"/>
              <w:rPr>
                <w:szCs w:val="24"/>
              </w:rPr>
            </w:pPr>
            <w:r w:rsidRPr="005C3B55">
              <w:rPr>
                <w:szCs w:val="24"/>
              </w:rPr>
              <w:t>Laying on soil means the distribution of liquid organic fertilisers through a trailing hose or sleigh dragged over the surface. Immediate incorporation means incorporation within 24 hours.</w:t>
            </w:r>
          </w:p>
          <w:p w:rsidR="00F555D6" w:rsidRPr="005C3B55" w:rsidRDefault="00F555D6" w:rsidP="00F555D6">
            <w:pPr>
              <w:spacing w:before="240" w:after="240" w:line="280" w:lineRule="auto"/>
              <w:rPr>
                <w:szCs w:val="24"/>
              </w:rPr>
            </w:pPr>
            <w:r w:rsidRPr="005C3B55">
              <w:rPr>
                <w:szCs w:val="24"/>
              </w:rPr>
              <w:t>The requirement must be implemented in the described manner for the duration of the commitment.</w:t>
            </w:r>
          </w:p>
          <w:p w:rsidR="00F555D6" w:rsidRPr="005C3B55" w:rsidRDefault="00F555D6" w:rsidP="00F555D6">
            <w:pPr>
              <w:numPr>
                <w:ilvl w:val="0"/>
                <w:numId w:val="358"/>
              </w:numPr>
              <w:spacing w:before="240" w:after="0"/>
              <w:ind w:hanging="290"/>
              <w:jc w:val="left"/>
              <w:rPr>
                <w:szCs w:val="24"/>
              </w:rPr>
            </w:pPr>
            <w:r w:rsidRPr="005C3B55">
              <w:rPr>
                <w:szCs w:val="24"/>
              </w:rPr>
              <w:t>Livestock density: not relevant.</w:t>
            </w:r>
          </w:p>
          <w:p w:rsidR="00F555D6" w:rsidRPr="005C3B55" w:rsidRDefault="00F555D6" w:rsidP="00F555D6">
            <w:pPr>
              <w:numPr>
                <w:ilvl w:val="0"/>
                <w:numId w:val="358"/>
              </w:numPr>
              <w:spacing w:before="0" w:after="0"/>
              <w:ind w:hanging="290"/>
              <w:jc w:val="left"/>
              <w:rPr>
                <w:szCs w:val="24"/>
              </w:rPr>
            </w:pPr>
            <w:r w:rsidRPr="005C3B55">
              <w:rPr>
                <w:szCs w:val="24"/>
              </w:rPr>
              <w:t>Use: hop gardens.</w:t>
            </w:r>
          </w:p>
          <w:p w:rsidR="00F555D6" w:rsidRPr="005C3B55" w:rsidRDefault="00F555D6" w:rsidP="00F555D6">
            <w:pPr>
              <w:numPr>
                <w:ilvl w:val="0"/>
                <w:numId w:val="358"/>
              </w:numPr>
              <w:spacing w:before="0" w:after="0"/>
              <w:ind w:hanging="290"/>
              <w:jc w:val="left"/>
              <w:rPr>
                <w:szCs w:val="24"/>
              </w:rPr>
            </w:pPr>
            <w:r w:rsidRPr="005C3B55">
              <w:rPr>
                <w:szCs w:val="24"/>
              </w:rPr>
              <w:t>Coverage: part of the area.</w:t>
            </w:r>
          </w:p>
          <w:p w:rsidR="00F555D6" w:rsidRPr="005C3B55" w:rsidRDefault="00F555D6" w:rsidP="00F555D6">
            <w:pPr>
              <w:numPr>
                <w:ilvl w:val="0"/>
                <w:numId w:val="358"/>
              </w:numPr>
              <w:spacing w:before="0" w:after="0"/>
              <w:ind w:hanging="290"/>
              <w:jc w:val="left"/>
              <w:rPr>
                <w:szCs w:val="24"/>
              </w:rPr>
            </w:pPr>
            <w:r w:rsidRPr="005C3B55">
              <w:rPr>
                <w:szCs w:val="24"/>
              </w:rPr>
              <w:t>Location: not relevant.</w:t>
            </w:r>
          </w:p>
          <w:p w:rsidR="00F555D6" w:rsidRPr="005C3B55" w:rsidRDefault="00F555D6" w:rsidP="00F555D6">
            <w:pPr>
              <w:numPr>
                <w:ilvl w:val="0"/>
                <w:numId w:val="358"/>
              </w:numPr>
              <w:spacing w:before="0" w:after="240"/>
              <w:ind w:hanging="290"/>
              <w:jc w:val="left"/>
              <w:rPr>
                <w:szCs w:val="24"/>
              </w:rPr>
            </w:pPr>
            <w:r w:rsidRPr="005C3B55">
              <w:rPr>
                <w:szCs w:val="24"/>
              </w:rPr>
              <w:t>Implementation area: whole Slovenia.</w:t>
            </w:r>
          </w:p>
          <w:p w:rsidR="00F555D6" w:rsidRPr="005C3B55" w:rsidRDefault="00F555D6" w:rsidP="00F555D6">
            <w:pPr>
              <w:spacing w:before="240" w:after="240" w:line="280" w:lineRule="auto"/>
              <w:rPr>
                <w:szCs w:val="24"/>
              </w:rPr>
            </w:pPr>
            <w:r w:rsidRPr="005C3B55">
              <w:rPr>
                <w:szCs w:val="24"/>
              </w:rPr>
              <w:t>Effects:</w:t>
            </w:r>
          </w:p>
          <w:p w:rsidR="00F555D6" w:rsidRPr="005C3B55" w:rsidRDefault="00F555D6" w:rsidP="00F555D6">
            <w:pPr>
              <w:numPr>
                <w:ilvl w:val="0"/>
                <w:numId w:val="359"/>
              </w:numPr>
              <w:spacing w:before="240" w:after="0"/>
              <w:ind w:hanging="290"/>
              <w:jc w:val="left"/>
              <w:rPr>
                <w:szCs w:val="24"/>
              </w:rPr>
            </w:pPr>
            <w:r w:rsidRPr="005C3B55">
              <w:rPr>
                <w:szCs w:val="24"/>
              </w:rPr>
              <w:t>reducing ammonia emissions and, as a result, reducing the eutrophication of natural environment;</w:t>
            </w:r>
          </w:p>
          <w:p w:rsidR="00F555D6" w:rsidRPr="005C3B55" w:rsidRDefault="00F555D6" w:rsidP="00F555D6">
            <w:pPr>
              <w:numPr>
                <w:ilvl w:val="0"/>
                <w:numId w:val="359"/>
              </w:numPr>
              <w:spacing w:before="0" w:after="0"/>
              <w:ind w:hanging="290"/>
              <w:jc w:val="left"/>
              <w:rPr>
                <w:szCs w:val="24"/>
              </w:rPr>
            </w:pPr>
            <w:r w:rsidRPr="005C3B55">
              <w:rPr>
                <w:szCs w:val="24"/>
              </w:rPr>
              <w:t>reducing smell emissions into the environment;</w:t>
            </w:r>
          </w:p>
          <w:p w:rsidR="00F555D6" w:rsidRPr="005C3B55" w:rsidRDefault="00F555D6" w:rsidP="00F555D6">
            <w:pPr>
              <w:numPr>
                <w:ilvl w:val="0"/>
                <w:numId w:val="359"/>
              </w:numPr>
              <w:spacing w:before="0" w:after="0"/>
              <w:ind w:hanging="290"/>
              <w:jc w:val="left"/>
              <w:rPr>
                <w:szCs w:val="24"/>
              </w:rPr>
            </w:pPr>
            <w:r w:rsidRPr="005C3B55">
              <w:rPr>
                <w:szCs w:val="24"/>
              </w:rPr>
              <w:t>stimulating microbial activity and improving soil structure;</w:t>
            </w:r>
          </w:p>
          <w:p w:rsidR="00F555D6" w:rsidRPr="005C3B55" w:rsidRDefault="00F555D6" w:rsidP="00F555D6">
            <w:pPr>
              <w:numPr>
                <w:ilvl w:val="0"/>
                <w:numId w:val="359"/>
              </w:numPr>
              <w:spacing w:before="0" w:after="240"/>
              <w:ind w:hanging="290"/>
              <w:jc w:val="left"/>
              <w:rPr>
                <w:szCs w:val="24"/>
              </w:rPr>
            </w:pPr>
            <w:r w:rsidRPr="005C3B55">
              <w:rPr>
                <w:szCs w:val="24"/>
              </w:rPr>
              <w:t>more efficient nitrogen circulation and thus reducing greenhouse gas emissions (nitrous oxide).</w:t>
            </w:r>
          </w:p>
          <w:p w:rsidR="00F555D6" w:rsidRPr="005C3B55" w:rsidRDefault="00F555D6" w:rsidP="00F555D6">
            <w:pPr>
              <w:spacing w:before="240" w:after="240" w:line="280" w:lineRule="auto"/>
              <w:rPr>
                <w:szCs w:val="24"/>
              </w:rPr>
            </w:pPr>
            <w:r w:rsidRPr="005C3B55">
              <w:rPr>
                <w:b/>
                <w:i/>
                <w:szCs w:val="24"/>
              </w:rPr>
              <w:t>HML_KOMP: Composting of plant waste when harvesting hops</w:t>
            </w:r>
          </w:p>
          <w:p w:rsidR="00F555D6" w:rsidRPr="005C3B55" w:rsidRDefault="00F555D6" w:rsidP="00F555D6">
            <w:pPr>
              <w:spacing w:before="240" w:after="240" w:line="280" w:lineRule="auto"/>
              <w:rPr>
                <w:szCs w:val="24"/>
              </w:rPr>
            </w:pPr>
            <w:r w:rsidRPr="005C3B55">
              <w:rPr>
                <w:szCs w:val="24"/>
              </w:rPr>
              <w:t>After the harvesting of hops, a compost pile is made from hop residues. The purpose of the requirement is to prevent uncontrolled rotting and self-igniting of hop residues, and complete the cycle of nutrients by acquiring high-quality organic matter and reapplying it on agricultural land. Uncontrolled decomposition at disposal sites pollutes the environment with drained water, since readily soluble organic matter and nutrients are leached from the pile. Such disposal sites are also a source of smell, as the final product of the decomposition are organic acids (e.g. butyric acid)  Transporting fresh hop residues on fields is not recommended due to potential transfer of diseases and viruses.</w:t>
            </w:r>
          </w:p>
          <w:p w:rsidR="00F555D6" w:rsidRPr="005C3B55" w:rsidRDefault="00F555D6" w:rsidP="00F555D6">
            <w:pPr>
              <w:spacing w:before="240" w:after="240" w:line="280" w:lineRule="auto"/>
              <w:rPr>
                <w:szCs w:val="24"/>
              </w:rPr>
            </w:pPr>
            <w:r w:rsidRPr="005C3B55">
              <w:rPr>
                <w:szCs w:val="24"/>
              </w:rPr>
              <w:t>Surfaces of agricultural holdings where hops are produces are taken into account. A compost pile must not be located on hop gardens or hop gardens in strands.</w:t>
            </w:r>
          </w:p>
          <w:p w:rsidR="00F555D6" w:rsidRPr="005C3B55" w:rsidRDefault="00F555D6" w:rsidP="00F555D6">
            <w:pPr>
              <w:numPr>
                <w:ilvl w:val="0"/>
                <w:numId w:val="360"/>
              </w:numPr>
              <w:spacing w:before="240" w:after="0"/>
              <w:ind w:hanging="290"/>
              <w:jc w:val="left"/>
              <w:rPr>
                <w:szCs w:val="24"/>
              </w:rPr>
            </w:pPr>
            <w:r w:rsidRPr="005C3B55">
              <w:rPr>
                <w:szCs w:val="24"/>
              </w:rPr>
              <w:t>Livestock density: not relevant.</w:t>
            </w:r>
          </w:p>
          <w:p w:rsidR="00F555D6" w:rsidRPr="005C3B55" w:rsidRDefault="00F555D6" w:rsidP="00F555D6">
            <w:pPr>
              <w:numPr>
                <w:ilvl w:val="0"/>
                <w:numId w:val="360"/>
              </w:numPr>
              <w:spacing w:before="0" w:after="0"/>
              <w:ind w:hanging="290"/>
              <w:jc w:val="left"/>
              <w:rPr>
                <w:szCs w:val="24"/>
              </w:rPr>
            </w:pPr>
            <w:r w:rsidRPr="005C3B55">
              <w:rPr>
                <w:szCs w:val="24"/>
              </w:rPr>
              <w:t>Use: hop gardens.</w:t>
            </w:r>
          </w:p>
          <w:p w:rsidR="00F555D6" w:rsidRPr="005C3B55" w:rsidRDefault="00F555D6" w:rsidP="00F555D6">
            <w:pPr>
              <w:numPr>
                <w:ilvl w:val="0"/>
                <w:numId w:val="360"/>
              </w:numPr>
              <w:spacing w:before="0" w:after="0"/>
              <w:ind w:hanging="290"/>
              <w:jc w:val="left"/>
              <w:rPr>
                <w:szCs w:val="24"/>
              </w:rPr>
            </w:pPr>
            <w:r w:rsidRPr="005C3B55">
              <w:rPr>
                <w:szCs w:val="24"/>
              </w:rPr>
              <w:t>Coverage: part of the area.</w:t>
            </w:r>
          </w:p>
          <w:p w:rsidR="00F555D6" w:rsidRPr="005C3B55" w:rsidRDefault="00F555D6" w:rsidP="00F555D6">
            <w:pPr>
              <w:numPr>
                <w:ilvl w:val="0"/>
                <w:numId w:val="360"/>
              </w:numPr>
              <w:spacing w:before="0" w:after="0"/>
              <w:ind w:hanging="290"/>
              <w:jc w:val="left"/>
              <w:rPr>
                <w:szCs w:val="24"/>
              </w:rPr>
            </w:pPr>
            <w:r w:rsidRPr="005C3B55">
              <w:rPr>
                <w:szCs w:val="24"/>
              </w:rPr>
              <w:t>Location: not relevant.</w:t>
            </w:r>
          </w:p>
          <w:p w:rsidR="00F555D6" w:rsidRPr="005C3B55" w:rsidRDefault="00F555D6" w:rsidP="00F555D6">
            <w:pPr>
              <w:numPr>
                <w:ilvl w:val="0"/>
                <w:numId w:val="360"/>
              </w:numPr>
              <w:spacing w:before="0" w:after="240"/>
              <w:ind w:hanging="290"/>
              <w:jc w:val="left"/>
              <w:rPr>
                <w:szCs w:val="24"/>
              </w:rPr>
            </w:pPr>
            <w:r w:rsidRPr="005C3B55">
              <w:rPr>
                <w:szCs w:val="24"/>
              </w:rPr>
              <w:t>Implementation area: whole Slovenia.</w:t>
            </w:r>
          </w:p>
          <w:p w:rsidR="00F555D6" w:rsidRPr="005C3B55" w:rsidRDefault="00F555D6" w:rsidP="00F555D6">
            <w:pPr>
              <w:spacing w:before="240" w:after="240" w:line="280" w:lineRule="auto"/>
              <w:rPr>
                <w:szCs w:val="24"/>
              </w:rPr>
            </w:pPr>
            <w:r w:rsidRPr="005C3B55">
              <w:rPr>
                <w:szCs w:val="24"/>
              </w:rPr>
              <w:t>Effects:</w:t>
            </w:r>
          </w:p>
          <w:p w:rsidR="00F555D6" w:rsidRPr="005C3B55" w:rsidRDefault="00F555D6" w:rsidP="00F555D6">
            <w:pPr>
              <w:numPr>
                <w:ilvl w:val="0"/>
                <w:numId w:val="361"/>
              </w:numPr>
              <w:spacing w:before="240" w:after="0"/>
              <w:ind w:hanging="290"/>
              <w:jc w:val="left"/>
              <w:rPr>
                <w:szCs w:val="24"/>
              </w:rPr>
            </w:pPr>
            <w:r w:rsidRPr="005C3B55">
              <w:rPr>
                <w:szCs w:val="24"/>
              </w:rPr>
              <w:t>preventing uncontrolled rotting and self-igniting of hop residues, and smell;</w:t>
            </w:r>
          </w:p>
          <w:p w:rsidR="00F555D6" w:rsidRPr="005C3B55" w:rsidRDefault="00F555D6" w:rsidP="00F555D6">
            <w:pPr>
              <w:numPr>
                <w:ilvl w:val="0"/>
                <w:numId w:val="361"/>
              </w:numPr>
              <w:spacing w:before="0" w:after="0"/>
              <w:ind w:hanging="290"/>
              <w:jc w:val="left"/>
              <w:rPr>
                <w:szCs w:val="24"/>
              </w:rPr>
            </w:pPr>
            <w:r w:rsidRPr="005C3B55">
              <w:rPr>
                <w:szCs w:val="24"/>
              </w:rPr>
              <w:t>acquiring high-quality organic matter and reapplying it on agricultural land;</w:t>
            </w:r>
          </w:p>
          <w:p w:rsidR="00F555D6" w:rsidRPr="005C3B55" w:rsidRDefault="00F555D6" w:rsidP="00F555D6">
            <w:pPr>
              <w:numPr>
                <w:ilvl w:val="0"/>
                <w:numId w:val="361"/>
              </w:numPr>
              <w:spacing w:before="0" w:after="0"/>
              <w:ind w:hanging="290"/>
              <w:jc w:val="left"/>
              <w:rPr>
                <w:szCs w:val="24"/>
              </w:rPr>
            </w:pPr>
            <w:r w:rsidRPr="005C3B55">
              <w:rPr>
                <w:szCs w:val="24"/>
              </w:rPr>
              <w:t>preventing the spread of harmful organisms;</w:t>
            </w:r>
          </w:p>
          <w:p w:rsidR="00F555D6" w:rsidRPr="005C3B55" w:rsidRDefault="00F555D6" w:rsidP="00F555D6">
            <w:pPr>
              <w:numPr>
                <w:ilvl w:val="0"/>
                <w:numId w:val="361"/>
              </w:numPr>
              <w:spacing w:before="0" w:after="240"/>
              <w:ind w:hanging="290"/>
              <w:jc w:val="left"/>
              <w:rPr>
                <w:szCs w:val="24"/>
              </w:rPr>
            </w:pPr>
            <w:r w:rsidRPr="005C3B55">
              <w:rPr>
                <w:szCs w:val="24"/>
              </w:rPr>
              <w:t>reduced leaching of readily soluble organic acids and nutrients.</w:t>
            </w:r>
          </w:p>
          <w:p w:rsidR="00F555D6" w:rsidRPr="005C3B55" w:rsidRDefault="00F555D6" w:rsidP="00F555D6">
            <w:pPr>
              <w:spacing w:before="240" w:after="240" w:line="280" w:lineRule="auto"/>
              <w:rPr>
                <w:szCs w:val="24"/>
              </w:rPr>
            </w:pPr>
            <w:r w:rsidRPr="005C3B55">
              <w:rPr>
                <w:b/>
                <w:i/>
                <w:szCs w:val="24"/>
              </w:rPr>
              <w:t>HML_BIOV: Use of biodegradable strings</w:t>
            </w:r>
          </w:p>
          <w:p w:rsidR="00F555D6" w:rsidRPr="005C3B55" w:rsidRDefault="00F555D6" w:rsidP="00F555D6">
            <w:pPr>
              <w:spacing w:before="240" w:after="240" w:line="280" w:lineRule="auto"/>
              <w:rPr>
                <w:szCs w:val="24"/>
              </w:rPr>
            </w:pPr>
            <w:r w:rsidRPr="005C3B55">
              <w:rPr>
                <w:szCs w:val="24"/>
              </w:rPr>
              <w:t>The purpose of this requirement is to reduce environmental pollution with polypropylene strings by promoting the use of biodegradable strings. Depending on the density of sowing, up to 8,000 biodegradable strings per a hectare of a hop plantation are required.</w:t>
            </w:r>
          </w:p>
          <w:p w:rsidR="00F555D6" w:rsidRPr="005C3B55" w:rsidRDefault="00F555D6" w:rsidP="00F555D6">
            <w:pPr>
              <w:spacing w:before="240" w:after="240" w:line="280" w:lineRule="auto"/>
              <w:rPr>
                <w:szCs w:val="24"/>
              </w:rPr>
            </w:pPr>
            <w:r w:rsidRPr="005C3B55">
              <w:rPr>
                <w:szCs w:val="24"/>
              </w:rPr>
              <w:t>Using biodegradable strings contributes to environmental protection, as they decompose into ‘clean’ biomass within a few months of hops harvesting, which may be returned to fields as an organic matter and nutrient, which contributes to sustainable agriculture which protects the environment.</w:t>
            </w:r>
          </w:p>
          <w:p w:rsidR="00F555D6" w:rsidRPr="005C3B55" w:rsidRDefault="00F555D6" w:rsidP="00F555D6">
            <w:pPr>
              <w:numPr>
                <w:ilvl w:val="0"/>
                <w:numId w:val="362"/>
              </w:numPr>
              <w:spacing w:before="240" w:after="0"/>
              <w:ind w:hanging="290"/>
              <w:jc w:val="left"/>
              <w:rPr>
                <w:szCs w:val="24"/>
              </w:rPr>
            </w:pPr>
            <w:r w:rsidRPr="005C3B55">
              <w:rPr>
                <w:szCs w:val="24"/>
              </w:rPr>
              <w:t>Livestock density: not relevant.</w:t>
            </w:r>
          </w:p>
          <w:p w:rsidR="00F555D6" w:rsidRPr="005C3B55" w:rsidRDefault="00F555D6" w:rsidP="00F555D6">
            <w:pPr>
              <w:numPr>
                <w:ilvl w:val="0"/>
                <w:numId w:val="362"/>
              </w:numPr>
              <w:spacing w:before="0" w:after="0"/>
              <w:ind w:hanging="290"/>
              <w:jc w:val="left"/>
              <w:rPr>
                <w:szCs w:val="24"/>
              </w:rPr>
            </w:pPr>
            <w:r w:rsidRPr="005C3B55">
              <w:rPr>
                <w:szCs w:val="24"/>
              </w:rPr>
              <w:t>Use: hop gardens.</w:t>
            </w:r>
          </w:p>
          <w:p w:rsidR="00F555D6" w:rsidRPr="005C3B55" w:rsidRDefault="00F555D6" w:rsidP="00F555D6">
            <w:pPr>
              <w:numPr>
                <w:ilvl w:val="0"/>
                <w:numId w:val="362"/>
              </w:numPr>
              <w:spacing w:before="0" w:after="0"/>
              <w:ind w:hanging="290"/>
              <w:jc w:val="left"/>
              <w:rPr>
                <w:szCs w:val="24"/>
              </w:rPr>
            </w:pPr>
            <w:r w:rsidRPr="005C3B55">
              <w:rPr>
                <w:szCs w:val="24"/>
              </w:rPr>
              <w:t>Coverage: part of the area.</w:t>
            </w:r>
          </w:p>
          <w:p w:rsidR="00F555D6" w:rsidRPr="005C3B55" w:rsidRDefault="00F555D6" w:rsidP="00F555D6">
            <w:pPr>
              <w:numPr>
                <w:ilvl w:val="0"/>
                <w:numId w:val="362"/>
              </w:numPr>
              <w:spacing w:before="0" w:after="0"/>
              <w:ind w:hanging="290"/>
              <w:jc w:val="left"/>
              <w:rPr>
                <w:szCs w:val="24"/>
              </w:rPr>
            </w:pPr>
            <w:r w:rsidRPr="005C3B55">
              <w:rPr>
                <w:szCs w:val="24"/>
              </w:rPr>
              <w:t>Location: not relevant.</w:t>
            </w:r>
          </w:p>
          <w:p w:rsidR="00F555D6" w:rsidRPr="005C3B55" w:rsidRDefault="00F555D6" w:rsidP="00F555D6">
            <w:pPr>
              <w:numPr>
                <w:ilvl w:val="0"/>
                <w:numId w:val="362"/>
              </w:numPr>
              <w:spacing w:before="0" w:after="240"/>
              <w:ind w:hanging="290"/>
              <w:jc w:val="left"/>
              <w:rPr>
                <w:szCs w:val="24"/>
              </w:rPr>
            </w:pPr>
            <w:r w:rsidRPr="005C3B55">
              <w:rPr>
                <w:szCs w:val="24"/>
              </w:rPr>
              <w:t>Implementation area: whole Slovenia.</w:t>
            </w:r>
          </w:p>
          <w:p w:rsidR="00F555D6" w:rsidRPr="005C3B55" w:rsidRDefault="00F555D6" w:rsidP="00F555D6">
            <w:pPr>
              <w:spacing w:before="240" w:after="240" w:line="280" w:lineRule="auto"/>
              <w:rPr>
                <w:szCs w:val="24"/>
              </w:rPr>
            </w:pPr>
            <w:r w:rsidRPr="005C3B55">
              <w:rPr>
                <w:szCs w:val="24"/>
              </w:rPr>
              <w:t>Effects:</w:t>
            </w:r>
          </w:p>
          <w:p w:rsidR="00F555D6" w:rsidRPr="005C3B55" w:rsidRDefault="00F555D6" w:rsidP="00F555D6">
            <w:pPr>
              <w:numPr>
                <w:ilvl w:val="0"/>
                <w:numId w:val="363"/>
              </w:numPr>
              <w:spacing w:before="240" w:after="240"/>
              <w:ind w:hanging="290"/>
              <w:jc w:val="left"/>
              <w:rPr>
                <w:szCs w:val="24"/>
              </w:rPr>
            </w:pPr>
            <w:r w:rsidRPr="005C3B55">
              <w:rPr>
                <w:szCs w:val="24"/>
              </w:rPr>
              <w:t>preventing environmental pollution.</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Type of support</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Support for the implementation of the operation Hop growing consists of:</w:t>
            </w:r>
          </w:p>
          <w:p w:rsidR="00F555D6" w:rsidRPr="005C3B55" w:rsidRDefault="00F555D6" w:rsidP="00F555D6">
            <w:pPr>
              <w:numPr>
                <w:ilvl w:val="0"/>
                <w:numId w:val="364"/>
              </w:numPr>
              <w:spacing w:before="240" w:after="240"/>
              <w:ind w:hanging="290"/>
              <w:jc w:val="left"/>
              <w:rPr>
                <w:szCs w:val="24"/>
              </w:rPr>
            </w:pPr>
            <w:r w:rsidRPr="005C3B55">
              <w:rPr>
                <w:szCs w:val="24"/>
              </w:rPr>
              <w:t>payments per hectare for the implementation of mandatory requirements and/or at least one optional requirement of the beneficiary’s own choice.</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Connection with other legislation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The operation Hop growing is connected with national and EU regulations in the field of measures of agricultural policy, agriculture, the environment, nature protection and rural development.</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Beneficiaries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Beneficiaries for payments are agricultural holdings which participate voluntarily in the implementation of the operation Hop growing and meet the prescribed conditions and requirements.</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Eligible costs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Payments are only intended for those commitments within the operation Hop growing which exceed suitable mandatory standards determined in accordance with Chapter I, Title VI of Regulation (EU) No 1306/2013, suitable criteria determined in the second indent of item c) of the first paragraph of Article 4 of Regulation (EU) No 1307/2013, and other suitable mandatory requirements from national regulations.</w:t>
            </w:r>
          </w:p>
          <w:p w:rsidR="00F555D6" w:rsidRPr="005C3B55" w:rsidRDefault="00F555D6" w:rsidP="00F555D6">
            <w:pPr>
              <w:spacing w:before="240" w:after="240" w:line="280" w:lineRule="auto"/>
              <w:rPr>
                <w:szCs w:val="24"/>
              </w:rPr>
            </w:pPr>
            <w:r w:rsidRPr="005C3B55">
              <w:rPr>
                <w:szCs w:val="24"/>
              </w:rPr>
              <w:t>The calculation for the requirement ‘HML_NMIN: Nmin analysis’ observes transaction costs in the amount of 10% of the actual costs of material, services and work.  Transaction costs include the costs of small equipment, post, keeping of special records and work involved in the submission of a sample.</w:t>
            </w:r>
          </w:p>
          <w:p w:rsidR="00F555D6" w:rsidRPr="005C3B55" w:rsidRDefault="00F555D6" w:rsidP="00F555D6">
            <w:pPr>
              <w:spacing w:before="240" w:after="240" w:line="280" w:lineRule="auto"/>
              <w:rPr>
                <w:szCs w:val="24"/>
              </w:rPr>
            </w:pPr>
            <w:r w:rsidRPr="005C3B55">
              <w:rPr>
                <w:szCs w:val="24"/>
              </w:rPr>
              <w:t>Payments cover 60 per cent of the additional costs and the loss of revenue due to the assumed commitment.</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Conditions for eligibility</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When entering the M10 measure, an agricultural holding must:</w:t>
            </w:r>
          </w:p>
          <w:p w:rsidR="00F555D6" w:rsidRPr="005C3B55" w:rsidRDefault="00F555D6" w:rsidP="00F555D6">
            <w:pPr>
              <w:numPr>
                <w:ilvl w:val="0"/>
                <w:numId w:val="365"/>
              </w:numPr>
              <w:spacing w:before="240" w:after="0"/>
              <w:ind w:hanging="290"/>
              <w:jc w:val="left"/>
              <w:rPr>
                <w:szCs w:val="24"/>
              </w:rPr>
            </w:pPr>
            <w:r w:rsidRPr="005C3B55">
              <w:rPr>
                <w:szCs w:val="24"/>
              </w:rPr>
              <w:t>have at least 1 ha of agricultural land in use as per Article 4 of Regulation (EU) No 1307/2013;</w:t>
            </w:r>
          </w:p>
          <w:p w:rsidR="00F555D6" w:rsidRPr="005C3B55" w:rsidRDefault="00F555D6" w:rsidP="00F555D6">
            <w:pPr>
              <w:numPr>
                <w:ilvl w:val="0"/>
                <w:numId w:val="365"/>
              </w:numPr>
              <w:spacing w:before="0" w:after="0"/>
              <w:ind w:hanging="290"/>
              <w:jc w:val="left"/>
              <w:rPr>
                <w:szCs w:val="24"/>
              </w:rPr>
            </w:pPr>
            <w:r w:rsidRPr="005C3B55">
              <w:rPr>
                <w:szCs w:val="24"/>
              </w:rPr>
              <w:t>be entered in the register of agricultural holdings in accordance with the regulation on the register of agricultural holdings;</w:t>
            </w:r>
          </w:p>
          <w:p w:rsidR="00F555D6" w:rsidRPr="005C3B55" w:rsidRDefault="00F555D6" w:rsidP="00F555D6">
            <w:pPr>
              <w:numPr>
                <w:ilvl w:val="0"/>
                <w:numId w:val="365"/>
              </w:numPr>
              <w:spacing w:before="0" w:after="0"/>
              <w:ind w:hanging="290"/>
              <w:jc w:val="left"/>
              <w:rPr>
                <w:szCs w:val="24"/>
              </w:rPr>
            </w:pPr>
            <w:r w:rsidRPr="005C3B55">
              <w:rPr>
                <w:szCs w:val="24"/>
              </w:rPr>
              <w:t>undergo a six-hour training programme on agri-environment-climate content;</w:t>
            </w:r>
          </w:p>
          <w:p w:rsidR="00F555D6" w:rsidRPr="005C3B55" w:rsidRDefault="00F555D6" w:rsidP="00F555D6">
            <w:pPr>
              <w:numPr>
                <w:ilvl w:val="0"/>
                <w:numId w:val="365"/>
              </w:numPr>
              <w:spacing w:before="0" w:after="240"/>
              <w:ind w:hanging="290"/>
              <w:jc w:val="left"/>
              <w:rPr>
                <w:szCs w:val="24"/>
              </w:rPr>
            </w:pPr>
            <w:r w:rsidRPr="005C3B55">
              <w:rPr>
                <w:szCs w:val="24"/>
              </w:rPr>
              <w:t>prepare an activities programme of the agricultural holding which is an electronic document prepared as a result of advisory services.</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Principles regarding the determination of selection criteria</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The selection criteria are not relevant.</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(Valid) amounts and support rates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The amount of payments for requirements within the operation Hop growing amounts to 60% of the amount of payments calculated as per model calculation.</w:t>
            </w:r>
          </w:p>
          <w:p w:rsidR="00F555D6" w:rsidRPr="005C3B55" w:rsidRDefault="00F555D6" w:rsidP="00F555D6">
            <w:pPr>
              <w:pStyle w:val="Telobesedila"/>
              <w:rPr>
                <w:szCs w:val="24"/>
              </w:rPr>
            </w:pPr>
          </w:p>
          <w:p w:rsidR="00F555D6" w:rsidRPr="005C3B55" w:rsidRDefault="0012246E" w:rsidP="00F555D6">
            <w:pPr>
              <w:pStyle w:val="Telobesedila3"/>
              <w:jc w:val="left"/>
              <w:rPr>
                <w:szCs w:val="24"/>
              </w:rPr>
            </w:pPr>
            <w:r w:rsidRPr="005C3B55">
              <w:rPr>
                <w:noProof/>
                <w:szCs w:val="24"/>
                <w:lang w:val="sl-SI"/>
              </w:rPr>
              <w:drawing>
                <wp:inline distT="0" distB="0" distL="0" distR="0">
                  <wp:extent cx="6562725" cy="4105275"/>
                  <wp:effectExtent l="0" t="0" r="9525"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562725" cy="4105275"/>
                          </a:xfrm>
                          <a:prstGeom prst="rect">
                            <a:avLst/>
                          </a:prstGeom>
                          <a:noFill/>
                          <a:ln>
                            <a:noFill/>
                          </a:ln>
                        </pic:spPr>
                      </pic:pic>
                    </a:graphicData>
                  </a:graphic>
                </wp:inline>
              </w:drawing>
            </w:r>
          </w:p>
          <w:p w:rsidR="00F555D6" w:rsidRPr="005C3B55" w:rsidRDefault="00F555D6" w:rsidP="00F555D6">
            <w:pPr>
              <w:pStyle w:val="Noga"/>
              <w:jc w:val="center"/>
              <w:rPr>
                <w:szCs w:val="24"/>
              </w:rPr>
            </w:pPr>
            <w:r w:rsidRPr="005C3B55">
              <w:rPr>
                <w:szCs w:val="24"/>
              </w:rPr>
              <w:t>Operation Hop growing: amount of payments for individual requirements</w:t>
            </w:r>
          </w:p>
          <w:p w:rsidR="00F555D6" w:rsidRPr="005C3B55" w:rsidRDefault="00F555D6" w:rsidP="00F555D6">
            <w:pPr>
              <w:pStyle w:val="Noga"/>
              <w:jc w:val="center"/>
              <w:rPr>
                <w:szCs w:val="24"/>
              </w:rPr>
            </w:pPr>
          </w:p>
        </w:tc>
      </w:tr>
    </w:tbl>
    <w:p w:rsidR="00F555D6" w:rsidRPr="005C3B55" w:rsidRDefault="00F555D6" w:rsidP="00F555D6"/>
    <w:p w:rsidR="00F555D6" w:rsidRPr="005C3B55" w:rsidRDefault="00F555D6" w:rsidP="00F555D6">
      <w:r w:rsidRPr="005C3B55">
        <w:t>Amount of payments (EUR/ha annually) for requirements within the operation ‘Hop growing’</w:t>
      </w:r>
    </w:p>
    <w:tbl>
      <w:tblPr>
        <w:tblW w:w="5000" w:type="pct"/>
        <w:tblInd w:w="108"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2132"/>
        <w:gridCol w:w="2131"/>
        <w:gridCol w:w="2329"/>
        <w:gridCol w:w="1933"/>
        <w:gridCol w:w="2131"/>
      </w:tblGrid>
      <w:tr w:rsidR="00F555D6" w:rsidRPr="005C3B55">
        <w:tc>
          <w:tcPr>
            <w:tcW w:w="1000" w:type="pct"/>
            <w:tcBorders>
              <w:top w:val="single" w:sz="18" w:space="0" w:color="auto"/>
              <w:left w:val="single" w:sz="18" w:space="0" w:color="auto"/>
              <w:bottom w:val="single" w:sz="18" w:space="0" w:color="auto"/>
              <w:right w:val="single" w:sz="18" w:space="0" w:color="auto"/>
            </w:tcBorders>
            <w:shd w:val="clear" w:color="auto" w:fill="D9D9D9"/>
            <w:vAlign w:val="center"/>
          </w:tcPr>
          <w:p w:rsidR="00F555D6" w:rsidRPr="005C3B55" w:rsidRDefault="00F555D6" w:rsidP="00F555D6">
            <w:r w:rsidRPr="005C3B55">
              <w:rPr>
                <w:b/>
                <w:sz w:val="20"/>
              </w:rPr>
              <w:t>Requirement</w:t>
            </w:r>
          </w:p>
        </w:tc>
        <w:tc>
          <w:tcPr>
            <w:tcW w:w="1000" w:type="pct"/>
            <w:tcBorders>
              <w:top w:val="single" w:sz="18" w:space="0" w:color="auto"/>
              <w:left w:val="single" w:sz="18" w:space="0" w:color="auto"/>
              <w:bottom w:val="single" w:sz="18" w:space="0" w:color="auto"/>
              <w:right w:val="single" w:sz="18" w:space="0" w:color="auto"/>
            </w:tcBorders>
            <w:shd w:val="clear" w:color="auto" w:fill="D9D9D9"/>
            <w:vAlign w:val="center"/>
          </w:tcPr>
          <w:p w:rsidR="00F555D6" w:rsidRPr="005C3B55" w:rsidRDefault="00F555D6" w:rsidP="00F555D6">
            <w:pPr>
              <w:autoSpaceDE w:val="0"/>
              <w:autoSpaceDN w:val="0"/>
              <w:adjustRightInd w:val="0"/>
              <w:jc w:val="right"/>
            </w:pPr>
            <w:r w:rsidRPr="005C3B55">
              <w:rPr>
                <w:b/>
                <w:sz w:val="20"/>
              </w:rPr>
              <w:t>Calculated payment amount as per model calculation</w:t>
            </w:r>
          </w:p>
        </w:tc>
        <w:tc>
          <w:tcPr>
            <w:tcW w:w="1093" w:type="pct"/>
            <w:tcBorders>
              <w:top w:val="single" w:sz="18" w:space="0" w:color="auto"/>
              <w:left w:val="single" w:sz="18" w:space="0" w:color="auto"/>
              <w:bottom w:val="single" w:sz="18" w:space="0" w:color="auto"/>
              <w:right w:val="single" w:sz="18" w:space="0" w:color="auto"/>
            </w:tcBorders>
            <w:shd w:val="clear" w:color="auto" w:fill="D9D9D9"/>
            <w:vAlign w:val="center"/>
          </w:tcPr>
          <w:p w:rsidR="00F555D6" w:rsidRPr="005C3B55" w:rsidRDefault="00F555D6" w:rsidP="00F555D6">
            <w:pPr>
              <w:autoSpaceDE w:val="0"/>
              <w:autoSpaceDN w:val="0"/>
              <w:adjustRightInd w:val="0"/>
              <w:jc w:val="right"/>
            </w:pPr>
            <w:r w:rsidRPr="005C3B55">
              <w:rPr>
                <w:b/>
                <w:sz w:val="20"/>
              </w:rPr>
              <w:t>Highest possible payment as per Annex II to Regulation (EU) No 1305/2013</w:t>
            </w:r>
          </w:p>
        </w:tc>
        <w:tc>
          <w:tcPr>
            <w:tcW w:w="907" w:type="pct"/>
            <w:tcBorders>
              <w:top w:val="single" w:sz="18" w:space="0" w:color="auto"/>
              <w:left w:val="single" w:sz="18" w:space="0" w:color="auto"/>
              <w:bottom w:val="single" w:sz="18" w:space="0" w:color="auto"/>
              <w:right w:val="single" w:sz="18" w:space="0" w:color="auto"/>
            </w:tcBorders>
            <w:shd w:val="clear" w:color="auto" w:fill="D9D9D9"/>
            <w:vAlign w:val="center"/>
          </w:tcPr>
          <w:p w:rsidR="00F555D6" w:rsidRPr="005C3B55" w:rsidRDefault="00F555D6" w:rsidP="00F555D6">
            <w:pPr>
              <w:autoSpaceDE w:val="0"/>
              <w:autoSpaceDN w:val="0"/>
              <w:adjustRightInd w:val="0"/>
              <w:jc w:val="right"/>
            </w:pPr>
            <w:r w:rsidRPr="005C3B55">
              <w:rPr>
                <w:b/>
                <w:sz w:val="20"/>
              </w:rPr>
              <w:t>Highest possible amount</w:t>
            </w:r>
          </w:p>
        </w:tc>
        <w:tc>
          <w:tcPr>
            <w:tcW w:w="1000" w:type="pct"/>
            <w:tcBorders>
              <w:top w:val="single" w:sz="18" w:space="0" w:color="auto"/>
              <w:left w:val="single" w:sz="18" w:space="0" w:color="auto"/>
              <w:bottom w:val="single" w:sz="18" w:space="0" w:color="auto"/>
              <w:right w:val="single" w:sz="18" w:space="0" w:color="auto"/>
            </w:tcBorders>
            <w:shd w:val="clear" w:color="auto" w:fill="D9D9D9"/>
            <w:vAlign w:val="center"/>
          </w:tcPr>
          <w:p w:rsidR="00F555D6" w:rsidRPr="005C3B55" w:rsidRDefault="00F555D6" w:rsidP="00F555D6">
            <w:pPr>
              <w:jc w:val="right"/>
            </w:pPr>
            <w:r w:rsidRPr="005C3B55">
              <w:rPr>
                <w:b/>
                <w:sz w:val="20"/>
              </w:rPr>
              <w:t>Payment (60% of payment amount calculated as per model calculation)</w:t>
            </w:r>
          </w:p>
        </w:tc>
      </w:tr>
      <w:tr w:rsidR="00F555D6" w:rsidRPr="005C3B55">
        <w:tc>
          <w:tcPr>
            <w:tcW w:w="5000" w:type="pct"/>
            <w:gridSpan w:val="5"/>
            <w:tcBorders>
              <w:top w:val="single" w:sz="18" w:space="0" w:color="auto"/>
              <w:left w:val="single" w:sz="18" w:space="0" w:color="auto"/>
              <w:bottom w:val="single" w:sz="18" w:space="0" w:color="auto"/>
              <w:right w:val="single" w:sz="18" w:space="0" w:color="auto"/>
            </w:tcBorders>
            <w:shd w:val="clear" w:color="auto" w:fill="E0E0E0"/>
            <w:vAlign w:val="center"/>
          </w:tcPr>
          <w:p w:rsidR="00F555D6" w:rsidRPr="005C3B55" w:rsidRDefault="00F555D6" w:rsidP="00F555D6">
            <w:r w:rsidRPr="005C3B55">
              <w:rPr>
                <w:b/>
                <w:noProof/>
                <w:sz w:val="20"/>
              </w:rPr>
              <w:t>A.</w:t>
            </w:r>
            <w:r w:rsidRPr="005C3B55">
              <w:rPr>
                <w:b/>
                <w:sz w:val="20"/>
              </w:rPr>
              <w:t xml:space="preserve"> Mandatory requirements</w:t>
            </w:r>
          </w:p>
        </w:tc>
      </w:tr>
      <w:tr w:rsidR="00F555D6" w:rsidRPr="005C3B55">
        <w:tc>
          <w:tcPr>
            <w:tcW w:w="1000"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rPr>
                <w:sz w:val="20"/>
              </w:rPr>
            </w:pPr>
            <w:r w:rsidRPr="005C3B55">
              <w:rPr>
                <w:noProof/>
                <w:sz w:val="20"/>
              </w:rPr>
              <w:t>HML_POKT</w:t>
            </w:r>
          </w:p>
        </w:tc>
        <w:tc>
          <w:tcPr>
            <w:tcW w:w="1000"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168.00</w:t>
            </w:r>
          </w:p>
        </w:tc>
        <w:tc>
          <w:tcPr>
            <w:tcW w:w="1093"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900</w:t>
            </w:r>
          </w:p>
        </w:tc>
        <w:tc>
          <w:tcPr>
            <w:tcW w:w="907"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168.00</w:t>
            </w:r>
          </w:p>
        </w:tc>
        <w:tc>
          <w:tcPr>
            <w:tcW w:w="1000"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100.80</w:t>
            </w:r>
          </w:p>
        </w:tc>
      </w:tr>
      <w:tr w:rsidR="00F555D6" w:rsidRPr="005C3B55">
        <w:tc>
          <w:tcPr>
            <w:tcW w:w="1000"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rPr>
                <w:sz w:val="20"/>
              </w:rPr>
            </w:pPr>
            <w:r w:rsidRPr="005C3B55">
              <w:rPr>
                <w:noProof/>
                <w:sz w:val="20"/>
              </w:rPr>
              <w:t>HML_NMIN</w:t>
            </w:r>
          </w:p>
        </w:tc>
        <w:tc>
          <w:tcPr>
            <w:tcW w:w="1000"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38.10</w:t>
            </w:r>
          </w:p>
        </w:tc>
        <w:tc>
          <w:tcPr>
            <w:tcW w:w="1093"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900</w:t>
            </w:r>
          </w:p>
        </w:tc>
        <w:tc>
          <w:tcPr>
            <w:tcW w:w="907"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38.10</w:t>
            </w:r>
          </w:p>
        </w:tc>
        <w:tc>
          <w:tcPr>
            <w:tcW w:w="1000"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22.86</w:t>
            </w:r>
          </w:p>
        </w:tc>
      </w:tr>
      <w:tr w:rsidR="00F555D6" w:rsidRPr="005C3B55">
        <w:tc>
          <w:tcPr>
            <w:tcW w:w="5000" w:type="pct"/>
            <w:gridSpan w:val="5"/>
            <w:tcBorders>
              <w:top w:val="single" w:sz="18" w:space="0" w:color="auto"/>
              <w:left w:val="single" w:sz="18" w:space="0" w:color="auto"/>
              <w:bottom w:val="single" w:sz="18" w:space="0" w:color="auto"/>
              <w:right w:val="single" w:sz="18" w:space="0" w:color="auto"/>
            </w:tcBorders>
            <w:shd w:val="clear" w:color="auto" w:fill="E0E0E0"/>
            <w:vAlign w:val="center"/>
          </w:tcPr>
          <w:p w:rsidR="00F555D6" w:rsidRPr="005C3B55" w:rsidRDefault="00F555D6" w:rsidP="00F555D6">
            <w:r w:rsidRPr="005C3B55">
              <w:rPr>
                <w:b/>
                <w:noProof/>
                <w:sz w:val="20"/>
              </w:rPr>
              <w:t>B.</w:t>
            </w:r>
            <w:r w:rsidRPr="005C3B55">
              <w:rPr>
                <w:b/>
                <w:sz w:val="20"/>
              </w:rPr>
              <w:t xml:space="preserve"> Optional requirements</w:t>
            </w:r>
          </w:p>
        </w:tc>
      </w:tr>
      <w:tr w:rsidR="00F555D6" w:rsidRPr="005C3B55">
        <w:tc>
          <w:tcPr>
            <w:tcW w:w="1000"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rPr>
                <w:sz w:val="20"/>
              </w:rPr>
            </w:pPr>
            <w:r w:rsidRPr="005C3B55">
              <w:rPr>
                <w:noProof/>
                <w:sz w:val="20"/>
              </w:rPr>
              <w:t>HML_NIZI</w:t>
            </w:r>
          </w:p>
        </w:tc>
        <w:tc>
          <w:tcPr>
            <w:tcW w:w="1000"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158.90</w:t>
            </w:r>
          </w:p>
        </w:tc>
        <w:tc>
          <w:tcPr>
            <w:tcW w:w="1093"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900</w:t>
            </w:r>
          </w:p>
        </w:tc>
        <w:tc>
          <w:tcPr>
            <w:tcW w:w="907"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158.90</w:t>
            </w:r>
          </w:p>
        </w:tc>
        <w:tc>
          <w:tcPr>
            <w:tcW w:w="1000"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95.34</w:t>
            </w:r>
          </w:p>
        </w:tc>
      </w:tr>
      <w:tr w:rsidR="00F555D6" w:rsidRPr="005C3B55">
        <w:tc>
          <w:tcPr>
            <w:tcW w:w="1000"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rPr>
                <w:sz w:val="20"/>
              </w:rPr>
            </w:pPr>
            <w:r w:rsidRPr="005C3B55">
              <w:rPr>
                <w:noProof/>
                <w:sz w:val="20"/>
              </w:rPr>
              <w:t>HML_KOMP</w:t>
            </w:r>
          </w:p>
        </w:tc>
        <w:tc>
          <w:tcPr>
            <w:tcW w:w="1000"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46.00</w:t>
            </w:r>
          </w:p>
        </w:tc>
        <w:tc>
          <w:tcPr>
            <w:tcW w:w="1093"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900</w:t>
            </w:r>
          </w:p>
        </w:tc>
        <w:tc>
          <w:tcPr>
            <w:tcW w:w="907"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46.00</w:t>
            </w:r>
          </w:p>
        </w:tc>
        <w:tc>
          <w:tcPr>
            <w:tcW w:w="1000"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27.60</w:t>
            </w:r>
          </w:p>
        </w:tc>
      </w:tr>
      <w:tr w:rsidR="00F555D6" w:rsidRPr="005C3B55">
        <w:tc>
          <w:tcPr>
            <w:tcW w:w="1000"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rPr>
                <w:sz w:val="20"/>
              </w:rPr>
            </w:pPr>
            <w:r w:rsidRPr="005C3B55">
              <w:rPr>
                <w:noProof/>
                <w:sz w:val="20"/>
              </w:rPr>
              <w:t>HML_BIOV</w:t>
            </w:r>
          </w:p>
        </w:tc>
        <w:tc>
          <w:tcPr>
            <w:tcW w:w="1000"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263.50</w:t>
            </w:r>
          </w:p>
        </w:tc>
        <w:tc>
          <w:tcPr>
            <w:tcW w:w="1093"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900</w:t>
            </w:r>
          </w:p>
        </w:tc>
        <w:tc>
          <w:tcPr>
            <w:tcW w:w="907"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263.50</w:t>
            </w:r>
          </w:p>
        </w:tc>
        <w:tc>
          <w:tcPr>
            <w:tcW w:w="1000"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158.10</w:t>
            </w:r>
          </w:p>
        </w:tc>
      </w:tr>
    </w:tbl>
    <w:p w:rsidR="00F555D6" w:rsidRPr="005C3B55" w:rsidRDefault="00F555D6" w:rsidP="00F555D6">
      <w:pPr>
        <w:pStyle w:val="Naslov6"/>
        <w:numPr>
          <w:ilvl w:val="0"/>
          <w:numId w:val="0"/>
        </w:numPr>
        <w:rPr>
          <w:szCs w:val="24"/>
          <w:lang w:val="en-GB"/>
        </w:rPr>
      </w:pPr>
    </w:p>
    <w:p w:rsidR="00F555D6" w:rsidRPr="005C3B55" w:rsidRDefault="00F555D6" w:rsidP="00F555D6">
      <w:pPr>
        <w:pStyle w:val="Naslov6"/>
        <w:tabs>
          <w:tab w:val="clear" w:pos="765"/>
        </w:tabs>
        <w:ind w:left="0" w:firstLine="0"/>
        <w:rPr>
          <w:szCs w:val="24"/>
          <w:lang w:val="en-GB"/>
        </w:rPr>
      </w:pPr>
      <w:r w:rsidRPr="005C3B55">
        <w:rPr>
          <w:noProof w:val="0"/>
          <w:szCs w:val="24"/>
          <w:lang w:val="en-GB"/>
        </w:rPr>
        <w:t>Verifiability and possibility of control of measures and/or type of operations</w:t>
      </w:r>
    </w:p>
    <w:p w:rsidR="00F555D6" w:rsidRPr="005C3B55" w:rsidRDefault="00F555D6" w:rsidP="00F555D6">
      <w:pPr>
        <w:pStyle w:val="Naslov7"/>
        <w:tabs>
          <w:tab w:val="clear" w:pos="765"/>
        </w:tabs>
        <w:ind w:left="0" w:firstLine="0"/>
        <w:rPr>
          <w:szCs w:val="24"/>
          <w:lang w:val="en-GB"/>
        </w:rPr>
      </w:pPr>
      <w:r w:rsidRPr="005C3B55">
        <w:rPr>
          <w:noProof w:val="0"/>
          <w:szCs w:val="24"/>
          <w:lang w:val="en-GB"/>
        </w:rPr>
        <w:t>Risks in the implementation of the measure</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b/>
                <w:szCs w:val="24"/>
              </w:rPr>
              <w:t>R5: Requirements which are difficult to verify and/or control</w:t>
            </w:r>
          </w:p>
          <w:p w:rsidR="00F555D6" w:rsidRPr="005C3B55" w:rsidRDefault="00F555D6" w:rsidP="00F555D6">
            <w:pPr>
              <w:spacing w:before="240" w:after="240" w:line="280" w:lineRule="auto"/>
              <w:rPr>
                <w:szCs w:val="24"/>
              </w:rPr>
            </w:pPr>
            <w:r w:rsidRPr="005C3B55">
              <w:rPr>
                <w:szCs w:val="24"/>
              </w:rPr>
              <w:t>Certain requirements cannot be verified administratively; the requirement which is more difficult to verify by on-the-spot control is fertilisation with low emissions into air (the implementation of incorporation into soil).</w:t>
            </w:r>
          </w:p>
          <w:p w:rsidR="00F555D6" w:rsidRPr="005C3B55" w:rsidRDefault="00F555D6" w:rsidP="00F555D6">
            <w:pPr>
              <w:spacing w:before="240" w:after="240" w:line="280" w:lineRule="auto"/>
              <w:rPr>
                <w:szCs w:val="24"/>
              </w:rPr>
            </w:pPr>
            <w:r w:rsidRPr="005C3B55">
              <w:rPr>
                <w:b/>
                <w:szCs w:val="24"/>
              </w:rPr>
              <w:t>R6: General conditions for implementation</w:t>
            </w:r>
          </w:p>
          <w:p w:rsidR="00F555D6" w:rsidRPr="005C3B55" w:rsidRDefault="00F555D6" w:rsidP="00F555D6">
            <w:pPr>
              <w:spacing w:before="240" w:after="240" w:line="280" w:lineRule="auto"/>
              <w:rPr>
                <w:szCs w:val="24"/>
              </w:rPr>
            </w:pPr>
            <w:r w:rsidRPr="005C3B55">
              <w:rPr>
                <w:szCs w:val="24"/>
              </w:rPr>
              <w:t>Ill-timed adoption of regulations which regulate payments for the M10 measure and which enable beneficiaries to be informed about the eligibility conditions for implementing this operation, and insufficient knowledge of the conditions of the operation Hop growing present a risk for the implementation of the M10 measure.</w:t>
            </w:r>
          </w:p>
          <w:p w:rsidR="00F555D6" w:rsidRPr="005C3B55" w:rsidRDefault="00F555D6" w:rsidP="00F555D6">
            <w:pPr>
              <w:spacing w:before="240" w:after="240" w:line="280" w:lineRule="auto"/>
              <w:rPr>
                <w:szCs w:val="24"/>
              </w:rPr>
            </w:pPr>
            <w:r w:rsidRPr="005C3B55">
              <w:rPr>
                <w:b/>
                <w:szCs w:val="24"/>
              </w:rPr>
              <w:t>R8: IT systems</w:t>
            </w:r>
          </w:p>
          <w:p w:rsidR="00F555D6" w:rsidRPr="005C3B55" w:rsidRDefault="00F555D6" w:rsidP="00F555D6">
            <w:pPr>
              <w:spacing w:before="240" w:after="240" w:line="280" w:lineRule="auto"/>
              <w:rPr>
                <w:szCs w:val="24"/>
              </w:rPr>
            </w:pPr>
            <w:r w:rsidRPr="005C3B55">
              <w:rPr>
                <w:szCs w:val="24"/>
              </w:rPr>
              <w:t>Unsuitable arrangement of certain databases when entering the verification system and insufficient administrative controls when entering the operation Hop growing.</w:t>
            </w:r>
          </w:p>
          <w:p w:rsidR="00F555D6" w:rsidRPr="005C3B55" w:rsidRDefault="00F555D6" w:rsidP="00F555D6">
            <w:pPr>
              <w:spacing w:before="240" w:after="240" w:line="280" w:lineRule="auto"/>
              <w:rPr>
                <w:szCs w:val="24"/>
              </w:rPr>
            </w:pPr>
            <w:r w:rsidRPr="005C3B55">
              <w:rPr>
                <w:b/>
                <w:szCs w:val="24"/>
              </w:rPr>
              <w:t>R9: Requests for payment</w:t>
            </w:r>
          </w:p>
          <w:p w:rsidR="00F555D6" w:rsidRPr="005C3B55" w:rsidRDefault="00F555D6" w:rsidP="00F555D6">
            <w:pPr>
              <w:spacing w:before="240" w:after="240" w:line="280" w:lineRule="auto"/>
              <w:rPr>
                <w:szCs w:val="24"/>
              </w:rPr>
            </w:pPr>
            <w:r w:rsidRPr="005C3B55">
              <w:rPr>
                <w:szCs w:val="24"/>
              </w:rPr>
              <w:t>Lack of, and delayed, information and insufficient knowledge of the requirements of the operation Hop growing, poor familiarisation with the procedure for submitting the application and the beneficiary’s incorrect reporting about the size of surfaces.</w:t>
            </w:r>
          </w:p>
          <w:p w:rsidR="00F555D6" w:rsidRPr="005C3B55" w:rsidRDefault="00F555D6" w:rsidP="00F555D6">
            <w:pPr>
              <w:pStyle w:val="Telobesedila"/>
              <w:rPr>
                <w:szCs w:val="24"/>
              </w:rPr>
            </w:pPr>
          </w:p>
        </w:tc>
      </w:tr>
    </w:tbl>
    <w:p w:rsidR="00F555D6" w:rsidRPr="005C3B55" w:rsidRDefault="00F555D6" w:rsidP="00F555D6">
      <w:pPr>
        <w:pStyle w:val="Naslov7"/>
        <w:tabs>
          <w:tab w:val="clear" w:pos="765"/>
        </w:tabs>
        <w:ind w:left="0" w:firstLine="0"/>
        <w:rPr>
          <w:szCs w:val="24"/>
          <w:lang w:val="en-GB"/>
        </w:rPr>
      </w:pPr>
      <w:r w:rsidRPr="005C3B55">
        <w:rPr>
          <w:noProof w:val="0"/>
          <w:szCs w:val="24"/>
          <w:lang w:val="en-GB"/>
        </w:rPr>
        <w:t>Mitigation measures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b/>
                <w:szCs w:val="24"/>
              </w:rPr>
              <w:t>R5: Requirements which are difficult to verify and/or control</w:t>
            </w:r>
          </w:p>
          <w:p w:rsidR="00F555D6" w:rsidRPr="005C3B55" w:rsidRDefault="00F555D6" w:rsidP="00F555D6">
            <w:pPr>
              <w:spacing w:before="240" w:after="240" w:line="280" w:lineRule="auto"/>
              <w:rPr>
                <w:szCs w:val="24"/>
              </w:rPr>
            </w:pPr>
            <w:r w:rsidRPr="005C3B55">
              <w:rPr>
                <w:szCs w:val="24"/>
              </w:rPr>
              <w:t>Administrative control will be upgraded accordingly for certain requirements (suitability of a plant for an individual requirement when submitting the application, suitability of the state of a hop garden in the register of hop gardens, training in taking soil samples, etc.).</w:t>
            </w:r>
          </w:p>
          <w:p w:rsidR="00F555D6" w:rsidRPr="005C3B55" w:rsidRDefault="00F555D6" w:rsidP="00F555D6">
            <w:pPr>
              <w:spacing w:before="240" w:after="240" w:line="280" w:lineRule="auto"/>
              <w:rPr>
                <w:szCs w:val="24"/>
              </w:rPr>
            </w:pPr>
            <w:r w:rsidRPr="005C3B55">
              <w:rPr>
                <w:szCs w:val="24"/>
              </w:rPr>
              <w:t>Requirements for the implementation of the M10 measure which cannot be verified administratively will be verified or controlled on the spot. On-the-spot control will observe the temporal component when implementing verification and verify all other available evidence and proofs.</w:t>
            </w:r>
          </w:p>
          <w:p w:rsidR="00F555D6" w:rsidRPr="005C3B55" w:rsidRDefault="00F555D6" w:rsidP="00F555D6">
            <w:pPr>
              <w:spacing w:before="240" w:after="240" w:line="280" w:lineRule="auto"/>
              <w:rPr>
                <w:szCs w:val="24"/>
              </w:rPr>
            </w:pPr>
            <w:r w:rsidRPr="005C3B55">
              <w:rPr>
                <w:b/>
                <w:szCs w:val="24"/>
              </w:rPr>
              <w:t>R6: General conditions for implementation</w:t>
            </w:r>
          </w:p>
          <w:p w:rsidR="00F555D6" w:rsidRPr="005C3B55" w:rsidRDefault="00F555D6" w:rsidP="00F555D6">
            <w:pPr>
              <w:spacing w:before="240" w:after="240" w:line="280" w:lineRule="auto"/>
              <w:rPr>
                <w:szCs w:val="24"/>
              </w:rPr>
            </w:pPr>
            <w:r w:rsidRPr="005C3B55">
              <w:rPr>
                <w:szCs w:val="24"/>
              </w:rPr>
              <w:t>Prior to entering in the operation ‘Hop growing’, a beneficiary will have to undergo a mandatory six-hour training which is one of the eligibility conditions. At the training, the beneficiary will become acquainted with the eligibility conditions for entering in the operation and the conditions of individual requirements for implementing the operation, including the Rural Development Programme 2014–2020 and the national regulation regulating payments for the M10 measure.</w:t>
            </w:r>
          </w:p>
          <w:p w:rsidR="00F555D6" w:rsidRPr="005C3B55" w:rsidRDefault="00F555D6" w:rsidP="00F555D6">
            <w:pPr>
              <w:spacing w:before="240" w:after="240" w:line="280" w:lineRule="auto"/>
              <w:rPr>
                <w:szCs w:val="24"/>
              </w:rPr>
            </w:pPr>
            <w:r w:rsidRPr="005C3B55">
              <w:rPr>
                <w:szCs w:val="24"/>
              </w:rPr>
              <w:t>After training, the beneficiary will be able to prepare a programme of activities of the agricultural holding, which is one of the eligibility conditions, and in which it will determine which operation and requirements to implement within the M10 measure.</w:t>
            </w:r>
          </w:p>
          <w:p w:rsidR="00F555D6" w:rsidRPr="005C3B55" w:rsidRDefault="00F555D6" w:rsidP="00F555D6">
            <w:pPr>
              <w:spacing w:before="240" w:after="240" w:line="280" w:lineRule="auto"/>
              <w:rPr>
                <w:szCs w:val="24"/>
              </w:rPr>
            </w:pPr>
            <w:r w:rsidRPr="005C3B55">
              <w:rPr>
                <w:b/>
                <w:szCs w:val="24"/>
              </w:rPr>
              <w:t>R8: IT systems</w:t>
            </w:r>
          </w:p>
          <w:p w:rsidR="00F555D6" w:rsidRPr="005C3B55" w:rsidRDefault="00F555D6" w:rsidP="00F555D6">
            <w:pPr>
              <w:spacing w:before="240" w:after="240" w:line="280" w:lineRule="auto"/>
              <w:rPr>
                <w:szCs w:val="24"/>
              </w:rPr>
            </w:pPr>
            <w:r w:rsidRPr="005C3B55">
              <w:rPr>
                <w:szCs w:val="24"/>
              </w:rPr>
              <w:t>Suitable connections will be established and databases arranged (registers, records, codes and combinations of requirements within or between operations).</w:t>
            </w:r>
          </w:p>
          <w:p w:rsidR="00F555D6" w:rsidRPr="005C3B55" w:rsidRDefault="00F555D6" w:rsidP="00F555D6">
            <w:pPr>
              <w:spacing w:before="240" w:after="240" w:line="280" w:lineRule="auto"/>
              <w:rPr>
                <w:szCs w:val="24"/>
              </w:rPr>
            </w:pPr>
            <w:r w:rsidRPr="005C3B55">
              <w:rPr>
                <w:szCs w:val="24"/>
              </w:rPr>
              <w:t>An application enabling cross-checking of data from different databases will be established.</w:t>
            </w:r>
          </w:p>
          <w:p w:rsidR="00F555D6" w:rsidRPr="005C3B55" w:rsidRDefault="00F555D6" w:rsidP="00F555D6">
            <w:pPr>
              <w:spacing w:before="240" w:after="240" w:line="280" w:lineRule="auto"/>
              <w:rPr>
                <w:szCs w:val="24"/>
              </w:rPr>
            </w:pPr>
            <w:r w:rsidRPr="005C3B55">
              <w:rPr>
                <w:b/>
                <w:szCs w:val="24"/>
              </w:rPr>
              <w:t>R9: Requests for payment</w:t>
            </w:r>
          </w:p>
          <w:p w:rsidR="00F555D6" w:rsidRPr="005C3B55" w:rsidRDefault="00F555D6" w:rsidP="00F555D6">
            <w:pPr>
              <w:spacing w:before="240" w:after="240" w:line="280" w:lineRule="auto"/>
              <w:rPr>
                <w:szCs w:val="24"/>
              </w:rPr>
            </w:pPr>
            <w:r w:rsidRPr="005C3B55">
              <w:rPr>
                <w:szCs w:val="24"/>
              </w:rPr>
              <w:t>Mandatory annual four-hour training and mandatory use of advisory services at least once in the first three years of the commitment are introduced in order for beneficiaries to be suitably informed about all conditions and requirements for the implementation of the M10 measure. Regular annual informing of beneficiaries about their commitments related to the implementation of the M10 measure as part of the annual campaign for implementing requests for agricultural policy measures during the year and also within the scope of specific and purpose-oriented informing of beneficiaries is envisaged</w:t>
            </w:r>
            <w:r w:rsidRPr="005C3B55">
              <w:rPr>
                <w:rFonts w:ascii="TimesNewRoman" w:hAnsi="TimesNewRoman"/>
                <w:szCs w:val="24"/>
              </w:rPr>
              <w:t>.</w:t>
            </w:r>
          </w:p>
          <w:p w:rsidR="00F555D6" w:rsidRPr="005C3B55" w:rsidRDefault="00F555D6" w:rsidP="00F555D6">
            <w:pPr>
              <w:spacing w:before="240" w:after="240" w:line="280" w:lineRule="auto"/>
              <w:rPr>
                <w:szCs w:val="24"/>
              </w:rPr>
            </w:pPr>
            <w:r w:rsidRPr="005C3B55">
              <w:rPr>
                <w:szCs w:val="24"/>
              </w:rPr>
              <w:t>On the basis of the programme of activities, the request for payment will be submitted electronically on prescribed forms, by means of which a beneficiary will define for which requirements within individual operations of the M10 measure it will request payment.</w:t>
            </w:r>
          </w:p>
          <w:p w:rsidR="00F555D6" w:rsidRPr="005C3B55" w:rsidRDefault="00F555D6" w:rsidP="00F555D6">
            <w:pPr>
              <w:spacing w:before="240" w:after="240" w:line="280" w:lineRule="auto"/>
              <w:rPr>
                <w:szCs w:val="24"/>
              </w:rPr>
            </w:pPr>
            <w:r w:rsidRPr="005C3B55">
              <w:rPr>
                <w:szCs w:val="24"/>
              </w:rPr>
              <w:t>The upgrading of the IT system for administrative control will be implemented, which will allow certain verifications and controls already upon the submission of the request for payment (size of surface, suitability of areas, suitability of combinations of requests and operations, suitability of agricultural plant and suitability of use as per individual register).</w:t>
            </w:r>
          </w:p>
          <w:p w:rsidR="00F555D6" w:rsidRPr="005C3B55" w:rsidRDefault="00F555D6" w:rsidP="00F555D6">
            <w:pPr>
              <w:spacing w:before="240" w:after="240" w:line="280" w:lineRule="auto"/>
              <w:rPr>
                <w:szCs w:val="24"/>
              </w:rPr>
            </w:pPr>
            <w:r w:rsidRPr="005C3B55">
              <w:rPr>
                <w:szCs w:val="24"/>
              </w:rPr>
              <w:t>If a beneficiary fails to meet the eligibility conditions for entering the M10 measure, they will be alerted to the shortcomings which they will be able to eliminate by the prescribed deadline; otherwise, it will not be possible to submit a request for the payment of the M10 measure. Unpermitted combinations of individual requirements within the operation Hop growing and unpermitted combinations of requirements of this operation with requirements within other operations of the M10 measure will be disabled.</w:t>
            </w:r>
          </w:p>
          <w:p w:rsidR="00F555D6" w:rsidRPr="005C3B55" w:rsidRDefault="00F555D6" w:rsidP="00F555D6">
            <w:pPr>
              <w:spacing w:before="240" w:after="240" w:line="280" w:lineRule="auto"/>
              <w:rPr>
                <w:szCs w:val="24"/>
              </w:rPr>
            </w:pPr>
            <w:r w:rsidRPr="005C3B55">
              <w:rPr>
                <w:szCs w:val="24"/>
              </w:rPr>
              <w:t>A beneficiary who will also be included in the implementation of the M11 measure will not have the opportunity to submit the request for unauthorised combinations of this measure with the M10 measure.</w:t>
            </w:r>
          </w:p>
          <w:p w:rsidR="00F555D6" w:rsidRPr="005C3B55" w:rsidRDefault="00F555D6" w:rsidP="00F555D6">
            <w:pPr>
              <w:pStyle w:val="Telobesedila"/>
              <w:rPr>
                <w:szCs w:val="24"/>
              </w:rPr>
            </w:pPr>
          </w:p>
        </w:tc>
      </w:tr>
    </w:tbl>
    <w:p w:rsidR="00F555D6" w:rsidRPr="005C3B55" w:rsidRDefault="00F555D6" w:rsidP="00F555D6">
      <w:pPr>
        <w:pStyle w:val="Naslov7"/>
        <w:tabs>
          <w:tab w:val="clear" w:pos="765"/>
        </w:tabs>
        <w:ind w:left="0" w:firstLine="0"/>
        <w:rPr>
          <w:szCs w:val="24"/>
          <w:lang w:val="en-GB"/>
        </w:rPr>
      </w:pPr>
      <w:r w:rsidRPr="005C3B55">
        <w:rPr>
          <w:noProof w:val="0"/>
          <w:szCs w:val="24"/>
          <w:lang w:val="en-GB"/>
        </w:rPr>
        <w:t>General assessment of the measure</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 xml:space="preserve">Described in Chapter </w:t>
            </w:r>
            <w:r w:rsidRPr="005C3B55">
              <w:rPr>
                <w:i/>
                <w:szCs w:val="24"/>
              </w:rPr>
              <w:t>8.2.9.4.3 General assessment of the measure</w:t>
            </w:r>
            <w:r w:rsidRPr="005C3B55">
              <w:rPr>
                <w:szCs w:val="24"/>
              </w:rPr>
              <w:t>.</w:t>
            </w:r>
          </w:p>
          <w:p w:rsidR="00F555D6" w:rsidRPr="005C3B55" w:rsidRDefault="00F555D6" w:rsidP="00F555D6">
            <w:pPr>
              <w:pStyle w:val="Telobesedila"/>
              <w:rPr>
                <w:szCs w:val="24"/>
              </w:rPr>
            </w:pPr>
          </w:p>
        </w:tc>
      </w:tr>
    </w:tbl>
    <w:p w:rsidR="00F555D6" w:rsidRPr="005C3B55" w:rsidRDefault="00F555D6" w:rsidP="00F555D6">
      <w:pPr>
        <w:pStyle w:val="Naslov7"/>
        <w:tabs>
          <w:tab w:val="clear" w:pos="765"/>
        </w:tabs>
        <w:ind w:left="0" w:firstLine="0"/>
        <w:rPr>
          <w:szCs w:val="24"/>
          <w:lang w:val="en-GB"/>
        </w:rPr>
      </w:pPr>
      <w:r w:rsidRPr="005C3B55">
        <w:rPr>
          <w:noProof w:val="0"/>
          <w:szCs w:val="24"/>
          <w:lang w:val="en-GB"/>
        </w:rPr>
        <w:t>Agri-environment-climate commitments</w:t>
      </w:r>
    </w:p>
    <w:p w:rsidR="00F555D6" w:rsidRPr="005C3B55" w:rsidRDefault="00F555D6" w:rsidP="00F555D6">
      <w:pPr>
        <w:pStyle w:val="Naslov8"/>
        <w:tabs>
          <w:tab w:val="clear" w:pos="765"/>
        </w:tabs>
        <w:ind w:left="0" w:firstLine="0"/>
        <w:rPr>
          <w:b w:val="0"/>
          <w:szCs w:val="24"/>
          <w:lang w:val="en-GB"/>
        </w:rPr>
      </w:pPr>
      <w:r w:rsidRPr="005C3B55">
        <w:rPr>
          <w:b w:val="0"/>
          <w:noProof w:val="0"/>
          <w:szCs w:val="24"/>
          <w:lang w:val="en-GB"/>
        </w:rPr>
        <w:t>HML_BIOV:</w:t>
      </w:r>
      <w:r w:rsidRPr="005C3B55">
        <w:rPr>
          <w:b w:val="0"/>
          <w:szCs w:val="24"/>
          <w:lang w:val="en-GB"/>
        </w:rPr>
        <w:t xml:space="preserve"> </w:t>
      </w:r>
      <w:r w:rsidRPr="005C3B55">
        <w:rPr>
          <w:b w:val="0"/>
          <w:noProof w:val="0"/>
          <w:szCs w:val="24"/>
          <w:lang w:val="en-GB"/>
        </w:rPr>
        <w:t>Use of biodegradable strings</w:t>
      </w:r>
    </w:p>
    <w:p w:rsidR="00F555D6" w:rsidRPr="005C3B55" w:rsidRDefault="00F555D6" w:rsidP="00F555D6">
      <w:pPr>
        <w:pStyle w:val="Naslov9"/>
        <w:tabs>
          <w:tab w:val="clear" w:pos="765"/>
        </w:tabs>
        <w:ind w:left="0" w:firstLine="0"/>
        <w:rPr>
          <w:szCs w:val="24"/>
          <w:lang w:val="en-GB"/>
        </w:rPr>
      </w:pPr>
      <w:r w:rsidRPr="005C3B55">
        <w:rPr>
          <w:noProof w:val="0"/>
          <w:szCs w:val="24"/>
          <w:lang w:val="en-GB"/>
        </w:rPr>
        <w:t>Methods of commitment verification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Administrative control:</w:t>
            </w:r>
          </w:p>
          <w:p w:rsidR="00F555D6" w:rsidRPr="005C3B55" w:rsidRDefault="00F555D6" w:rsidP="00F555D6">
            <w:pPr>
              <w:numPr>
                <w:ilvl w:val="0"/>
                <w:numId w:val="366"/>
              </w:numPr>
              <w:spacing w:before="240" w:after="240"/>
              <w:ind w:hanging="290"/>
              <w:jc w:val="left"/>
              <w:rPr>
                <w:szCs w:val="24"/>
              </w:rPr>
            </w:pPr>
            <w:r w:rsidRPr="005C3B55">
              <w:rPr>
                <w:szCs w:val="24"/>
              </w:rPr>
              <w:t>suitability of the agricultural plant through collective application.</w:t>
            </w:r>
          </w:p>
          <w:p w:rsidR="00F555D6" w:rsidRPr="005C3B55" w:rsidRDefault="00F555D6" w:rsidP="00F555D6">
            <w:pPr>
              <w:spacing w:before="240" w:after="240" w:line="280" w:lineRule="auto"/>
              <w:rPr>
                <w:szCs w:val="24"/>
              </w:rPr>
            </w:pPr>
            <w:r w:rsidRPr="005C3B55">
              <w:rPr>
                <w:szCs w:val="24"/>
              </w:rPr>
              <w:t>Registers/records:</w:t>
            </w:r>
          </w:p>
          <w:p w:rsidR="00F555D6" w:rsidRPr="005C3B55" w:rsidRDefault="00F555D6" w:rsidP="00F555D6">
            <w:pPr>
              <w:numPr>
                <w:ilvl w:val="0"/>
                <w:numId w:val="367"/>
              </w:numPr>
              <w:spacing w:before="240" w:after="0"/>
              <w:ind w:hanging="290"/>
              <w:jc w:val="left"/>
              <w:rPr>
                <w:szCs w:val="24"/>
              </w:rPr>
            </w:pPr>
            <w:r w:rsidRPr="005C3B55">
              <w:rPr>
                <w:szCs w:val="24"/>
              </w:rPr>
              <w:t>register of agricultural holdings;</w:t>
            </w:r>
          </w:p>
          <w:p w:rsidR="00F555D6" w:rsidRPr="005C3B55" w:rsidRDefault="00F555D6" w:rsidP="00F555D6">
            <w:pPr>
              <w:numPr>
                <w:ilvl w:val="0"/>
                <w:numId w:val="367"/>
              </w:numPr>
              <w:spacing w:before="0" w:after="240"/>
              <w:ind w:hanging="290"/>
              <w:jc w:val="left"/>
              <w:rPr>
                <w:szCs w:val="24"/>
              </w:rPr>
            </w:pPr>
            <w:r w:rsidRPr="005C3B55">
              <w:rPr>
                <w:szCs w:val="24"/>
              </w:rPr>
              <w:t>graphical agricultural unit of agricultural holding (GERK).</w:t>
            </w:r>
          </w:p>
          <w:p w:rsidR="00F555D6" w:rsidRPr="005C3B55" w:rsidRDefault="00F555D6" w:rsidP="00F555D6">
            <w:pPr>
              <w:spacing w:before="240" w:after="240" w:line="280" w:lineRule="auto"/>
              <w:rPr>
                <w:szCs w:val="24"/>
              </w:rPr>
            </w:pPr>
            <w:r w:rsidRPr="005C3B55">
              <w:rPr>
                <w:szCs w:val="24"/>
              </w:rPr>
              <w:t>On-site control:</w:t>
            </w:r>
          </w:p>
          <w:p w:rsidR="00F555D6" w:rsidRPr="005C3B55" w:rsidRDefault="00F555D6" w:rsidP="00F555D6">
            <w:pPr>
              <w:numPr>
                <w:ilvl w:val="0"/>
                <w:numId w:val="368"/>
              </w:numPr>
              <w:spacing w:before="240" w:after="0"/>
              <w:ind w:hanging="290"/>
              <w:jc w:val="left"/>
              <w:rPr>
                <w:szCs w:val="24"/>
              </w:rPr>
            </w:pPr>
            <w:r w:rsidRPr="005C3B55">
              <w:rPr>
                <w:szCs w:val="24"/>
              </w:rPr>
              <w:t>records on works;</w:t>
            </w:r>
          </w:p>
          <w:p w:rsidR="00F555D6" w:rsidRPr="005C3B55" w:rsidRDefault="00F555D6" w:rsidP="00F555D6">
            <w:pPr>
              <w:numPr>
                <w:ilvl w:val="0"/>
                <w:numId w:val="368"/>
              </w:numPr>
              <w:spacing w:before="0" w:after="0"/>
              <w:ind w:hanging="290"/>
              <w:jc w:val="left"/>
              <w:rPr>
                <w:szCs w:val="24"/>
              </w:rPr>
            </w:pPr>
            <w:r w:rsidRPr="005C3B55">
              <w:rPr>
                <w:szCs w:val="24"/>
              </w:rPr>
              <w:t>invoice on the purchase of biodegradable strings;</w:t>
            </w:r>
          </w:p>
          <w:p w:rsidR="00F555D6" w:rsidRPr="005C3B55" w:rsidRDefault="00F555D6" w:rsidP="00F555D6">
            <w:pPr>
              <w:numPr>
                <w:ilvl w:val="0"/>
                <w:numId w:val="368"/>
              </w:numPr>
              <w:spacing w:before="0" w:after="0"/>
              <w:ind w:hanging="290"/>
              <w:jc w:val="left"/>
              <w:rPr>
                <w:szCs w:val="24"/>
              </w:rPr>
            </w:pPr>
            <w:r w:rsidRPr="005C3B55">
              <w:rPr>
                <w:szCs w:val="24"/>
              </w:rPr>
              <w:t>declaration;</w:t>
            </w:r>
          </w:p>
          <w:p w:rsidR="00F555D6" w:rsidRPr="005C3B55" w:rsidRDefault="00F555D6" w:rsidP="00F555D6">
            <w:pPr>
              <w:numPr>
                <w:ilvl w:val="0"/>
                <w:numId w:val="368"/>
              </w:numPr>
              <w:spacing w:before="0" w:after="0"/>
              <w:ind w:hanging="290"/>
              <w:jc w:val="left"/>
              <w:rPr>
                <w:szCs w:val="24"/>
              </w:rPr>
            </w:pPr>
            <w:r w:rsidRPr="005C3B55">
              <w:rPr>
                <w:szCs w:val="24"/>
              </w:rPr>
              <w:t>presence of biodegradable strings az agricultural holdings (in hop gardens);</w:t>
            </w:r>
          </w:p>
          <w:p w:rsidR="00F555D6" w:rsidRPr="005C3B55" w:rsidRDefault="00F555D6" w:rsidP="00F555D6">
            <w:pPr>
              <w:numPr>
                <w:ilvl w:val="0"/>
                <w:numId w:val="368"/>
              </w:numPr>
              <w:spacing w:before="0" w:after="240"/>
              <w:ind w:hanging="290"/>
              <w:jc w:val="left"/>
              <w:rPr>
                <w:szCs w:val="24"/>
              </w:rPr>
            </w:pPr>
            <w:r w:rsidRPr="005C3B55">
              <w:rPr>
                <w:szCs w:val="24"/>
              </w:rPr>
              <w:t>review of the agricultural holding.</w:t>
            </w:r>
          </w:p>
          <w:p w:rsidR="00F555D6" w:rsidRPr="005C3B55" w:rsidRDefault="00F555D6" w:rsidP="00F555D6">
            <w:pPr>
              <w:pStyle w:val="Telobesedila"/>
              <w:rPr>
                <w:szCs w:val="24"/>
              </w:rPr>
            </w:pPr>
          </w:p>
        </w:tc>
      </w:tr>
    </w:tbl>
    <w:p w:rsidR="00F555D6" w:rsidRPr="005C3B55" w:rsidRDefault="00F555D6" w:rsidP="00F555D6">
      <w:pPr>
        <w:pStyle w:val="Naslov8"/>
        <w:tabs>
          <w:tab w:val="clear" w:pos="765"/>
        </w:tabs>
        <w:ind w:left="0" w:firstLine="0"/>
        <w:rPr>
          <w:b w:val="0"/>
          <w:szCs w:val="24"/>
          <w:lang w:val="en-GB"/>
        </w:rPr>
      </w:pPr>
      <w:r w:rsidRPr="005C3B55">
        <w:rPr>
          <w:b w:val="0"/>
          <w:noProof w:val="0"/>
          <w:szCs w:val="24"/>
          <w:lang w:val="en-GB"/>
        </w:rPr>
        <w:t>HML_KOMP:</w:t>
      </w:r>
      <w:r w:rsidRPr="005C3B55">
        <w:rPr>
          <w:b w:val="0"/>
          <w:szCs w:val="24"/>
          <w:lang w:val="en-GB"/>
        </w:rPr>
        <w:t xml:space="preserve"> </w:t>
      </w:r>
      <w:r w:rsidRPr="005C3B55">
        <w:rPr>
          <w:b w:val="0"/>
          <w:noProof w:val="0"/>
          <w:szCs w:val="24"/>
          <w:lang w:val="en-GB"/>
        </w:rPr>
        <w:t>Composting of plant waste when harvesting hops.</w:t>
      </w:r>
    </w:p>
    <w:p w:rsidR="00F555D6" w:rsidRPr="005C3B55" w:rsidRDefault="00F555D6" w:rsidP="00F555D6">
      <w:pPr>
        <w:pStyle w:val="Naslov9"/>
        <w:tabs>
          <w:tab w:val="clear" w:pos="765"/>
        </w:tabs>
        <w:ind w:left="0" w:firstLine="0"/>
        <w:rPr>
          <w:szCs w:val="24"/>
          <w:lang w:val="en-GB"/>
        </w:rPr>
      </w:pPr>
      <w:r w:rsidRPr="005C3B55">
        <w:rPr>
          <w:noProof w:val="0"/>
          <w:szCs w:val="24"/>
          <w:lang w:val="en-GB"/>
        </w:rPr>
        <w:t>Methods of commitment verification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Administrative control:</w:t>
            </w:r>
          </w:p>
          <w:p w:rsidR="00F555D6" w:rsidRPr="005C3B55" w:rsidRDefault="00F555D6" w:rsidP="00F555D6">
            <w:pPr>
              <w:numPr>
                <w:ilvl w:val="0"/>
                <w:numId w:val="369"/>
              </w:numPr>
              <w:spacing w:before="240" w:after="240"/>
              <w:ind w:hanging="290"/>
              <w:jc w:val="left"/>
              <w:rPr>
                <w:szCs w:val="24"/>
              </w:rPr>
            </w:pPr>
            <w:r w:rsidRPr="005C3B55">
              <w:rPr>
                <w:szCs w:val="24"/>
              </w:rPr>
              <w:t>suitability of the agricultural plant through collective application.</w:t>
            </w:r>
          </w:p>
          <w:p w:rsidR="00F555D6" w:rsidRPr="005C3B55" w:rsidRDefault="00F555D6" w:rsidP="00F555D6">
            <w:pPr>
              <w:spacing w:before="240" w:after="240" w:line="280" w:lineRule="auto"/>
              <w:rPr>
                <w:szCs w:val="24"/>
              </w:rPr>
            </w:pPr>
            <w:r w:rsidRPr="005C3B55">
              <w:rPr>
                <w:szCs w:val="24"/>
              </w:rPr>
              <w:t>Registers/records:</w:t>
            </w:r>
          </w:p>
          <w:p w:rsidR="00F555D6" w:rsidRPr="005C3B55" w:rsidRDefault="00F555D6" w:rsidP="00F555D6">
            <w:pPr>
              <w:numPr>
                <w:ilvl w:val="0"/>
                <w:numId w:val="370"/>
              </w:numPr>
              <w:spacing w:before="240" w:after="0"/>
              <w:ind w:hanging="290"/>
              <w:jc w:val="left"/>
              <w:rPr>
                <w:szCs w:val="24"/>
              </w:rPr>
            </w:pPr>
            <w:r w:rsidRPr="005C3B55">
              <w:rPr>
                <w:szCs w:val="24"/>
              </w:rPr>
              <w:t>register of agricultural holdings;</w:t>
            </w:r>
          </w:p>
          <w:p w:rsidR="00F555D6" w:rsidRPr="005C3B55" w:rsidRDefault="00F555D6" w:rsidP="00F555D6">
            <w:pPr>
              <w:numPr>
                <w:ilvl w:val="0"/>
                <w:numId w:val="370"/>
              </w:numPr>
              <w:spacing w:before="0" w:after="240"/>
              <w:ind w:hanging="290"/>
              <w:jc w:val="left"/>
              <w:rPr>
                <w:szCs w:val="24"/>
              </w:rPr>
            </w:pPr>
            <w:r w:rsidRPr="005C3B55">
              <w:rPr>
                <w:szCs w:val="24"/>
              </w:rPr>
              <w:t>graphical agricultural unit of agricultural holding (GERK).</w:t>
            </w:r>
          </w:p>
          <w:p w:rsidR="00F555D6" w:rsidRPr="005C3B55" w:rsidRDefault="00F555D6" w:rsidP="00F555D6">
            <w:pPr>
              <w:spacing w:before="240" w:after="240" w:line="280" w:lineRule="auto"/>
              <w:rPr>
                <w:szCs w:val="24"/>
              </w:rPr>
            </w:pPr>
            <w:r w:rsidRPr="005C3B55">
              <w:rPr>
                <w:szCs w:val="24"/>
              </w:rPr>
              <w:t>On-site control:</w:t>
            </w:r>
          </w:p>
          <w:p w:rsidR="00F555D6" w:rsidRPr="005C3B55" w:rsidRDefault="00F555D6" w:rsidP="00F555D6">
            <w:pPr>
              <w:numPr>
                <w:ilvl w:val="0"/>
                <w:numId w:val="371"/>
              </w:numPr>
              <w:spacing w:before="240" w:after="0"/>
              <w:ind w:hanging="290"/>
              <w:jc w:val="left"/>
              <w:rPr>
                <w:szCs w:val="24"/>
              </w:rPr>
            </w:pPr>
            <w:r w:rsidRPr="005C3B55">
              <w:rPr>
                <w:szCs w:val="24"/>
              </w:rPr>
              <w:t>records on works;</w:t>
            </w:r>
          </w:p>
          <w:p w:rsidR="00F555D6" w:rsidRPr="005C3B55" w:rsidRDefault="00F555D6" w:rsidP="00F555D6">
            <w:pPr>
              <w:numPr>
                <w:ilvl w:val="0"/>
                <w:numId w:val="371"/>
              </w:numPr>
              <w:spacing w:before="0" w:after="240"/>
              <w:ind w:hanging="290"/>
              <w:jc w:val="left"/>
              <w:rPr>
                <w:szCs w:val="24"/>
              </w:rPr>
            </w:pPr>
            <w:r w:rsidRPr="005C3B55">
              <w:rPr>
                <w:szCs w:val="24"/>
              </w:rPr>
              <w:t>review of the agricultural holding.</w:t>
            </w:r>
          </w:p>
          <w:p w:rsidR="00F555D6" w:rsidRPr="005C3B55" w:rsidRDefault="00F555D6" w:rsidP="00F555D6">
            <w:pPr>
              <w:pStyle w:val="Telobesedila"/>
              <w:rPr>
                <w:szCs w:val="24"/>
              </w:rPr>
            </w:pPr>
          </w:p>
        </w:tc>
      </w:tr>
    </w:tbl>
    <w:p w:rsidR="00F555D6" w:rsidRPr="005C3B55" w:rsidRDefault="00F555D6" w:rsidP="00F555D6">
      <w:pPr>
        <w:pStyle w:val="Naslov8"/>
        <w:tabs>
          <w:tab w:val="clear" w:pos="765"/>
        </w:tabs>
        <w:ind w:left="0" w:firstLine="0"/>
        <w:rPr>
          <w:b w:val="0"/>
          <w:szCs w:val="24"/>
          <w:lang w:val="en-GB"/>
        </w:rPr>
      </w:pPr>
      <w:r w:rsidRPr="005C3B55">
        <w:rPr>
          <w:b w:val="0"/>
          <w:noProof w:val="0"/>
          <w:szCs w:val="24"/>
          <w:lang w:val="en-GB"/>
        </w:rPr>
        <w:t>HML_NIZI:</w:t>
      </w:r>
      <w:r w:rsidRPr="005C3B55">
        <w:rPr>
          <w:b w:val="0"/>
          <w:szCs w:val="24"/>
          <w:lang w:val="en-GB"/>
        </w:rPr>
        <w:t xml:space="preserve"> </w:t>
      </w:r>
      <w:r w:rsidRPr="005C3B55">
        <w:rPr>
          <w:b w:val="0"/>
          <w:noProof w:val="0"/>
          <w:szCs w:val="24"/>
          <w:lang w:val="en-GB"/>
        </w:rPr>
        <w:t>Fertilisation with low emissions into air</w:t>
      </w:r>
    </w:p>
    <w:p w:rsidR="00F555D6" w:rsidRPr="005C3B55" w:rsidRDefault="00F555D6" w:rsidP="00F555D6">
      <w:pPr>
        <w:pStyle w:val="Naslov9"/>
        <w:tabs>
          <w:tab w:val="clear" w:pos="765"/>
        </w:tabs>
        <w:ind w:left="0" w:firstLine="0"/>
        <w:rPr>
          <w:szCs w:val="24"/>
          <w:lang w:val="en-GB"/>
        </w:rPr>
      </w:pPr>
      <w:r w:rsidRPr="005C3B55">
        <w:rPr>
          <w:noProof w:val="0"/>
          <w:szCs w:val="24"/>
          <w:lang w:val="en-GB"/>
        </w:rPr>
        <w:t>Methods of commitment verification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Administrative control:</w:t>
            </w:r>
          </w:p>
          <w:p w:rsidR="00F555D6" w:rsidRPr="005C3B55" w:rsidRDefault="00F555D6" w:rsidP="00F555D6">
            <w:pPr>
              <w:numPr>
                <w:ilvl w:val="0"/>
                <w:numId w:val="372"/>
              </w:numPr>
              <w:spacing w:before="240" w:after="240"/>
              <w:ind w:hanging="290"/>
              <w:jc w:val="left"/>
              <w:rPr>
                <w:szCs w:val="24"/>
              </w:rPr>
            </w:pPr>
            <w:r w:rsidRPr="005C3B55">
              <w:rPr>
                <w:szCs w:val="24"/>
              </w:rPr>
              <w:t>suitability of the agricultural plant through collective application.</w:t>
            </w:r>
          </w:p>
          <w:p w:rsidR="00F555D6" w:rsidRPr="005C3B55" w:rsidRDefault="00F555D6" w:rsidP="00F555D6">
            <w:pPr>
              <w:spacing w:before="240" w:after="240" w:line="280" w:lineRule="auto"/>
              <w:rPr>
                <w:szCs w:val="24"/>
              </w:rPr>
            </w:pPr>
            <w:r w:rsidRPr="005C3B55">
              <w:rPr>
                <w:szCs w:val="24"/>
              </w:rPr>
              <w:t>Registers/records:</w:t>
            </w:r>
          </w:p>
          <w:p w:rsidR="00F555D6" w:rsidRPr="005C3B55" w:rsidRDefault="00F555D6" w:rsidP="00F555D6">
            <w:pPr>
              <w:numPr>
                <w:ilvl w:val="0"/>
                <w:numId w:val="373"/>
              </w:numPr>
              <w:spacing w:before="240" w:after="0"/>
              <w:ind w:hanging="290"/>
              <w:jc w:val="left"/>
              <w:rPr>
                <w:szCs w:val="24"/>
              </w:rPr>
            </w:pPr>
            <w:r w:rsidRPr="005C3B55">
              <w:rPr>
                <w:szCs w:val="24"/>
              </w:rPr>
              <w:t>register of agricultural holdings;</w:t>
            </w:r>
          </w:p>
          <w:p w:rsidR="00F555D6" w:rsidRPr="005C3B55" w:rsidRDefault="00F555D6" w:rsidP="00F555D6">
            <w:pPr>
              <w:numPr>
                <w:ilvl w:val="0"/>
                <w:numId w:val="373"/>
              </w:numPr>
              <w:spacing w:before="0" w:after="240"/>
              <w:ind w:hanging="290"/>
              <w:jc w:val="left"/>
              <w:rPr>
                <w:szCs w:val="24"/>
              </w:rPr>
            </w:pPr>
            <w:r w:rsidRPr="005C3B55">
              <w:rPr>
                <w:szCs w:val="24"/>
              </w:rPr>
              <w:t>graphical agricultural unit of agricultural holding (GERK).</w:t>
            </w:r>
          </w:p>
          <w:p w:rsidR="00F555D6" w:rsidRPr="005C3B55" w:rsidRDefault="00F555D6" w:rsidP="00F555D6">
            <w:pPr>
              <w:spacing w:before="240" w:after="240" w:line="280" w:lineRule="auto"/>
              <w:rPr>
                <w:szCs w:val="24"/>
              </w:rPr>
            </w:pPr>
            <w:r w:rsidRPr="005C3B55">
              <w:rPr>
                <w:szCs w:val="24"/>
              </w:rPr>
              <w:t>On-site control:</w:t>
            </w:r>
          </w:p>
          <w:p w:rsidR="00F555D6" w:rsidRPr="005C3B55" w:rsidRDefault="00F555D6" w:rsidP="00F555D6">
            <w:pPr>
              <w:numPr>
                <w:ilvl w:val="0"/>
                <w:numId w:val="374"/>
              </w:numPr>
              <w:spacing w:before="240" w:after="0"/>
              <w:ind w:hanging="290"/>
              <w:jc w:val="left"/>
              <w:rPr>
                <w:szCs w:val="24"/>
              </w:rPr>
            </w:pPr>
            <w:r w:rsidRPr="005C3B55">
              <w:rPr>
                <w:szCs w:val="24"/>
              </w:rPr>
              <w:t>records on works;</w:t>
            </w:r>
          </w:p>
          <w:p w:rsidR="00F555D6" w:rsidRPr="005C3B55" w:rsidRDefault="00F555D6" w:rsidP="00F555D6">
            <w:pPr>
              <w:numPr>
                <w:ilvl w:val="0"/>
                <w:numId w:val="374"/>
              </w:numPr>
              <w:spacing w:before="0" w:after="0"/>
              <w:ind w:hanging="290"/>
              <w:jc w:val="left"/>
              <w:rPr>
                <w:szCs w:val="24"/>
              </w:rPr>
            </w:pPr>
            <w:r w:rsidRPr="005C3B55">
              <w:rPr>
                <w:szCs w:val="24"/>
              </w:rPr>
              <w:t>presence of suitable machinery on agricultural holdings;</w:t>
            </w:r>
          </w:p>
          <w:p w:rsidR="00F555D6" w:rsidRPr="005C3B55" w:rsidRDefault="00F555D6" w:rsidP="00F555D6">
            <w:pPr>
              <w:numPr>
                <w:ilvl w:val="0"/>
                <w:numId w:val="374"/>
              </w:numPr>
              <w:spacing w:before="0" w:after="0"/>
              <w:ind w:hanging="290"/>
              <w:jc w:val="left"/>
              <w:rPr>
                <w:szCs w:val="24"/>
              </w:rPr>
            </w:pPr>
            <w:r w:rsidRPr="005C3B55">
              <w:rPr>
                <w:szCs w:val="24"/>
              </w:rPr>
              <w:t>agreement between the contractor and the user of the service;</w:t>
            </w:r>
          </w:p>
          <w:p w:rsidR="00F555D6" w:rsidRPr="005C3B55" w:rsidRDefault="00F555D6" w:rsidP="00F555D6">
            <w:pPr>
              <w:numPr>
                <w:ilvl w:val="0"/>
                <w:numId w:val="374"/>
              </w:numPr>
              <w:spacing w:before="0" w:after="0"/>
              <w:ind w:hanging="290"/>
              <w:jc w:val="left"/>
              <w:rPr>
                <w:szCs w:val="24"/>
              </w:rPr>
            </w:pPr>
            <w:r w:rsidRPr="005C3B55">
              <w:rPr>
                <w:szCs w:val="24"/>
              </w:rPr>
              <w:t>invoice for the service implemented by the machinery hire syndicate;</w:t>
            </w:r>
          </w:p>
          <w:p w:rsidR="00F555D6" w:rsidRPr="005C3B55" w:rsidRDefault="00F555D6" w:rsidP="00F555D6">
            <w:pPr>
              <w:numPr>
                <w:ilvl w:val="0"/>
                <w:numId w:val="374"/>
              </w:numPr>
              <w:spacing w:before="0" w:after="240"/>
              <w:ind w:hanging="290"/>
              <w:jc w:val="left"/>
              <w:rPr>
                <w:szCs w:val="24"/>
              </w:rPr>
            </w:pPr>
            <w:r w:rsidRPr="005C3B55">
              <w:rPr>
                <w:szCs w:val="24"/>
              </w:rPr>
              <w:t>review of the agricultural holding.</w:t>
            </w:r>
          </w:p>
          <w:p w:rsidR="00F555D6" w:rsidRPr="005C3B55" w:rsidRDefault="00F555D6" w:rsidP="00F555D6">
            <w:pPr>
              <w:pStyle w:val="Telobesedila"/>
              <w:rPr>
                <w:szCs w:val="24"/>
              </w:rPr>
            </w:pPr>
          </w:p>
        </w:tc>
      </w:tr>
    </w:tbl>
    <w:p w:rsidR="00F555D6" w:rsidRPr="005C3B55" w:rsidRDefault="00F555D6" w:rsidP="00F555D6">
      <w:pPr>
        <w:pStyle w:val="Naslov8"/>
        <w:tabs>
          <w:tab w:val="clear" w:pos="765"/>
        </w:tabs>
        <w:ind w:left="0" w:firstLine="0"/>
        <w:rPr>
          <w:b w:val="0"/>
          <w:szCs w:val="24"/>
          <w:lang w:val="en-GB"/>
        </w:rPr>
      </w:pPr>
      <w:r w:rsidRPr="005C3B55">
        <w:rPr>
          <w:b w:val="0"/>
          <w:noProof w:val="0"/>
          <w:szCs w:val="24"/>
          <w:lang w:val="en-GB"/>
        </w:rPr>
        <w:t>HML_NMIN:</w:t>
      </w:r>
      <w:r w:rsidRPr="005C3B55">
        <w:rPr>
          <w:b w:val="0"/>
          <w:szCs w:val="24"/>
          <w:lang w:val="en-GB"/>
        </w:rPr>
        <w:t xml:space="preserve"> </w:t>
      </w:r>
      <w:r w:rsidRPr="005C3B55">
        <w:rPr>
          <w:b w:val="0"/>
          <w:noProof w:val="0"/>
          <w:szCs w:val="24"/>
          <w:lang w:val="en-GB"/>
        </w:rPr>
        <w:t>Nmin analysis</w:t>
      </w:r>
    </w:p>
    <w:p w:rsidR="00F555D6" w:rsidRPr="005C3B55" w:rsidRDefault="00F555D6" w:rsidP="00F555D6">
      <w:pPr>
        <w:pStyle w:val="Naslov9"/>
        <w:tabs>
          <w:tab w:val="clear" w:pos="765"/>
        </w:tabs>
        <w:ind w:left="0" w:firstLine="0"/>
        <w:rPr>
          <w:szCs w:val="24"/>
          <w:lang w:val="en-GB"/>
        </w:rPr>
      </w:pPr>
      <w:r w:rsidRPr="005C3B55">
        <w:rPr>
          <w:noProof w:val="0"/>
          <w:szCs w:val="24"/>
          <w:lang w:val="en-GB"/>
        </w:rPr>
        <w:t>Methods of commitment verification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Administrative control:</w:t>
            </w:r>
          </w:p>
          <w:p w:rsidR="00F555D6" w:rsidRPr="005C3B55" w:rsidRDefault="00F555D6" w:rsidP="00F555D6">
            <w:pPr>
              <w:numPr>
                <w:ilvl w:val="0"/>
                <w:numId w:val="375"/>
              </w:numPr>
              <w:spacing w:before="240" w:after="0"/>
              <w:ind w:hanging="290"/>
              <w:jc w:val="left"/>
              <w:rPr>
                <w:szCs w:val="24"/>
              </w:rPr>
            </w:pPr>
            <w:r w:rsidRPr="005C3B55">
              <w:rPr>
                <w:szCs w:val="24"/>
              </w:rPr>
              <w:t>suitability of the agricultural plant through collective application;</w:t>
            </w:r>
          </w:p>
          <w:p w:rsidR="00F555D6" w:rsidRPr="005C3B55" w:rsidRDefault="00F555D6" w:rsidP="00F555D6">
            <w:pPr>
              <w:numPr>
                <w:ilvl w:val="0"/>
                <w:numId w:val="375"/>
              </w:numPr>
              <w:spacing w:before="0" w:after="240"/>
              <w:ind w:hanging="290"/>
              <w:jc w:val="left"/>
              <w:rPr>
                <w:szCs w:val="24"/>
              </w:rPr>
            </w:pPr>
            <w:r w:rsidRPr="005C3B55">
              <w:rPr>
                <w:szCs w:val="24"/>
              </w:rPr>
              <w:t>data on the participation of the beneficiary at the training for taking samples for analysis.</w:t>
            </w:r>
          </w:p>
          <w:p w:rsidR="00F555D6" w:rsidRPr="005C3B55" w:rsidRDefault="00F555D6" w:rsidP="00F555D6">
            <w:pPr>
              <w:spacing w:before="240" w:after="240" w:line="280" w:lineRule="auto"/>
              <w:rPr>
                <w:szCs w:val="24"/>
              </w:rPr>
            </w:pPr>
            <w:r w:rsidRPr="005C3B55">
              <w:rPr>
                <w:szCs w:val="24"/>
              </w:rPr>
              <w:t>Registers/records:</w:t>
            </w:r>
          </w:p>
          <w:p w:rsidR="00F555D6" w:rsidRPr="005C3B55" w:rsidRDefault="00F555D6" w:rsidP="00F555D6">
            <w:pPr>
              <w:numPr>
                <w:ilvl w:val="0"/>
                <w:numId w:val="376"/>
              </w:numPr>
              <w:spacing w:before="240" w:after="0"/>
              <w:ind w:hanging="290"/>
              <w:jc w:val="left"/>
              <w:rPr>
                <w:szCs w:val="24"/>
              </w:rPr>
            </w:pPr>
            <w:r w:rsidRPr="005C3B55">
              <w:rPr>
                <w:szCs w:val="24"/>
              </w:rPr>
              <w:t>register of agricultural holdings;</w:t>
            </w:r>
          </w:p>
          <w:p w:rsidR="00F555D6" w:rsidRPr="005C3B55" w:rsidRDefault="00F555D6" w:rsidP="00F555D6">
            <w:pPr>
              <w:numPr>
                <w:ilvl w:val="0"/>
                <w:numId w:val="376"/>
              </w:numPr>
              <w:spacing w:before="0" w:after="0"/>
              <w:ind w:hanging="290"/>
              <w:jc w:val="left"/>
              <w:rPr>
                <w:szCs w:val="24"/>
              </w:rPr>
            </w:pPr>
            <w:r w:rsidRPr="005C3B55">
              <w:rPr>
                <w:szCs w:val="24"/>
              </w:rPr>
              <w:t>graphical agricultural unit of agricultural holding (GERK);</w:t>
            </w:r>
          </w:p>
          <w:p w:rsidR="00F555D6" w:rsidRPr="005C3B55" w:rsidRDefault="00F555D6" w:rsidP="00F555D6">
            <w:pPr>
              <w:numPr>
                <w:ilvl w:val="0"/>
                <w:numId w:val="376"/>
              </w:numPr>
              <w:spacing w:before="0" w:after="240"/>
              <w:ind w:hanging="290"/>
              <w:jc w:val="left"/>
              <w:rPr>
                <w:szCs w:val="24"/>
              </w:rPr>
            </w:pPr>
            <w:r w:rsidRPr="005C3B55">
              <w:rPr>
                <w:szCs w:val="24"/>
              </w:rPr>
              <w:t>record on education of agricultural holdings.</w:t>
            </w:r>
          </w:p>
          <w:p w:rsidR="00F555D6" w:rsidRPr="005C3B55" w:rsidRDefault="00F555D6" w:rsidP="00F555D6">
            <w:pPr>
              <w:spacing w:before="240" w:after="240" w:line="280" w:lineRule="auto"/>
              <w:rPr>
                <w:szCs w:val="24"/>
              </w:rPr>
            </w:pPr>
            <w:r w:rsidRPr="005C3B55">
              <w:rPr>
                <w:szCs w:val="24"/>
              </w:rPr>
              <w:t>On-site control:</w:t>
            </w:r>
          </w:p>
          <w:p w:rsidR="00F555D6" w:rsidRPr="005C3B55" w:rsidRDefault="00F555D6" w:rsidP="00F555D6">
            <w:pPr>
              <w:numPr>
                <w:ilvl w:val="0"/>
                <w:numId w:val="377"/>
              </w:numPr>
              <w:spacing w:before="240" w:after="0"/>
              <w:ind w:hanging="290"/>
              <w:jc w:val="left"/>
              <w:rPr>
                <w:szCs w:val="24"/>
              </w:rPr>
            </w:pPr>
            <w:r w:rsidRPr="005C3B55">
              <w:rPr>
                <w:szCs w:val="24"/>
              </w:rPr>
              <w:t>records on works;</w:t>
            </w:r>
          </w:p>
          <w:p w:rsidR="00F555D6" w:rsidRPr="005C3B55" w:rsidRDefault="00F555D6" w:rsidP="00F555D6">
            <w:pPr>
              <w:numPr>
                <w:ilvl w:val="0"/>
                <w:numId w:val="377"/>
              </w:numPr>
              <w:spacing w:before="0" w:after="0"/>
              <w:ind w:hanging="290"/>
              <w:jc w:val="left"/>
              <w:rPr>
                <w:szCs w:val="24"/>
              </w:rPr>
            </w:pPr>
            <w:r w:rsidRPr="005C3B55">
              <w:rPr>
                <w:szCs w:val="24"/>
              </w:rPr>
              <w:t>does an agricultural holding have laboratory results of the analysis. The result of the analysis kept by the beneficiary on the agricultural holding must include at least the following information: date of the analysis, the number of the geographical agricultural unit (GERK_PID) to which the analysis refers, the species of agricultural plant for which the analysis was carried out and fertilisation advice;</w:t>
            </w:r>
          </w:p>
          <w:p w:rsidR="00F555D6" w:rsidRPr="005C3B55" w:rsidRDefault="00F555D6" w:rsidP="00F555D6">
            <w:pPr>
              <w:numPr>
                <w:ilvl w:val="0"/>
                <w:numId w:val="377"/>
              </w:numPr>
              <w:spacing w:before="0" w:after="240"/>
              <w:ind w:hanging="290"/>
              <w:jc w:val="left"/>
              <w:rPr>
                <w:szCs w:val="24"/>
              </w:rPr>
            </w:pPr>
            <w:r w:rsidRPr="005C3B55">
              <w:rPr>
                <w:szCs w:val="24"/>
              </w:rPr>
              <w:t>review of the agricultural holding.</w:t>
            </w:r>
          </w:p>
          <w:p w:rsidR="00F555D6" w:rsidRPr="005C3B55" w:rsidRDefault="00F555D6" w:rsidP="00F555D6">
            <w:pPr>
              <w:pStyle w:val="Telobesedila"/>
              <w:rPr>
                <w:szCs w:val="24"/>
              </w:rPr>
            </w:pPr>
          </w:p>
        </w:tc>
      </w:tr>
    </w:tbl>
    <w:p w:rsidR="00F555D6" w:rsidRPr="005C3B55" w:rsidRDefault="00F555D6" w:rsidP="00F555D6">
      <w:pPr>
        <w:pStyle w:val="Naslov8"/>
        <w:tabs>
          <w:tab w:val="clear" w:pos="765"/>
        </w:tabs>
        <w:ind w:left="0" w:firstLine="0"/>
        <w:rPr>
          <w:b w:val="0"/>
          <w:szCs w:val="24"/>
          <w:lang w:val="en-GB"/>
        </w:rPr>
      </w:pPr>
      <w:r w:rsidRPr="005C3B55">
        <w:rPr>
          <w:b w:val="0"/>
          <w:noProof w:val="0"/>
          <w:szCs w:val="24"/>
          <w:lang w:val="en-GB"/>
        </w:rPr>
        <w:t>HML_POKT:</w:t>
      </w:r>
      <w:r w:rsidRPr="005C3B55">
        <w:rPr>
          <w:b w:val="0"/>
          <w:szCs w:val="24"/>
          <w:lang w:val="en-GB"/>
        </w:rPr>
        <w:t xml:space="preserve"> </w:t>
      </w:r>
      <w:r w:rsidRPr="005C3B55">
        <w:rPr>
          <w:b w:val="0"/>
          <w:noProof w:val="0"/>
          <w:szCs w:val="24"/>
          <w:lang w:val="en-GB"/>
        </w:rPr>
        <w:t>Ground cover in row spacing</w:t>
      </w:r>
    </w:p>
    <w:p w:rsidR="00F555D6" w:rsidRPr="005C3B55" w:rsidRDefault="00F555D6" w:rsidP="00F555D6">
      <w:pPr>
        <w:pStyle w:val="Naslov9"/>
        <w:tabs>
          <w:tab w:val="clear" w:pos="765"/>
        </w:tabs>
        <w:ind w:left="0" w:firstLine="0"/>
        <w:rPr>
          <w:szCs w:val="24"/>
          <w:lang w:val="en-GB"/>
        </w:rPr>
      </w:pPr>
      <w:r w:rsidRPr="005C3B55">
        <w:rPr>
          <w:noProof w:val="0"/>
          <w:szCs w:val="24"/>
          <w:lang w:val="en-GB"/>
        </w:rPr>
        <w:t>Methods of commitment verification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Administrative control:</w:t>
            </w:r>
          </w:p>
          <w:p w:rsidR="00F555D6" w:rsidRPr="005C3B55" w:rsidRDefault="00F555D6" w:rsidP="00F555D6">
            <w:pPr>
              <w:numPr>
                <w:ilvl w:val="0"/>
                <w:numId w:val="378"/>
              </w:numPr>
              <w:spacing w:before="240" w:after="240"/>
              <w:ind w:hanging="290"/>
              <w:jc w:val="left"/>
              <w:rPr>
                <w:szCs w:val="24"/>
              </w:rPr>
            </w:pPr>
            <w:r w:rsidRPr="005C3B55">
              <w:rPr>
                <w:szCs w:val="24"/>
              </w:rPr>
              <w:t>suitability of agricultural plants through collective application.</w:t>
            </w:r>
          </w:p>
          <w:p w:rsidR="00F555D6" w:rsidRPr="005C3B55" w:rsidRDefault="00F555D6" w:rsidP="00F555D6">
            <w:pPr>
              <w:spacing w:before="240" w:after="240" w:line="280" w:lineRule="auto"/>
              <w:rPr>
                <w:szCs w:val="24"/>
              </w:rPr>
            </w:pPr>
            <w:r w:rsidRPr="005C3B55">
              <w:rPr>
                <w:szCs w:val="24"/>
              </w:rPr>
              <w:t>Registers/records:</w:t>
            </w:r>
          </w:p>
          <w:p w:rsidR="00F555D6" w:rsidRPr="005C3B55" w:rsidRDefault="00F555D6" w:rsidP="00F555D6">
            <w:pPr>
              <w:numPr>
                <w:ilvl w:val="0"/>
                <w:numId w:val="379"/>
              </w:numPr>
              <w:spacing w:before="240" w:after="0"/>
              <w:ind w:hanging="290"/>
              <w:jc w:val="left"/>
              <w:rPr>
                <w:szCs w:val="24"/>
              </w:rPr>
            </w:pPr>
            <w:r w:rsidRPr="005C3B55">
              <w:rPr>
                <w:szCs w:val="24"/>
              </w:rPr>
              <w:t>register of agricultural holdings;</w:t>
            </w:r>
          </w:p>
          <w:p w:rsidR="00F555D6" w:rsidRPr="005C3B55" w:rsidRDefault="00F555D6" w:rsidP="00F555D6">
            <w:pPr>
              <w:numPr>
                <w:ilvl w:val="0"/>
                <w:numId w:val="379"/>
              </w:numPr>
              <w:spacing w:before="0" w:after="240"/>
              <w:ind w:hanging="290"/>
              <w:jc w:val="left"/>
              <w:rPr>
                <w:szCs w:val="24"/>
              </w:rPr>
            </w:pPr>
            <w:r w:rsidRPr="005C3B55">
              <w:rPr>
                <w:szCs w:val="24"/>
              </w:rPr>
              <w:t>graphical agricultural unit of agricultural holding (GERK).</w:t>
            </w:r>
          </w:p>
          <w:p w:rsidR="00F555D6" w:rsidRPr="005C3B55" w:rsidRDefault="00F555D6" w:rsidP="00F555D6">
            <w:pPr>
              <w:spacing w:before="240" w:after="240" w:line="280" w:lineRule="auto"/>
              <w:rPr>
                <w:szCs w:val="24"/>
              </w:rPr>
            </w:pPr>
            <w:r w:rsidRPr="005C3B55">
              <w:rPr>
                <w:szCs w:val="24"/>
              </w:rPr>
              <w:t>On-site control:</w:t>
            </w:r>
          </w:p>
          <w:p w:rsidR="00F555D6" w:rsidRPr="005C3B55" w:rsidRDefault="00F555D6" w:rsidP="00F555D6">
            <w:pPr>
              <w:numPr>
                <w:ilvl w:val="0"/>
                <w:numId w:val="380"/>
              </w:numPr>
              <w:spacing w:before="240" w:after="0"/>
              <w:ind w:hanging="290"/>
              <w:jc w:val="left"/>
              <w:rPr>
                <w:szCs w:val="24"/>
              </w:rPr>
            </w:pPr>
            <w:r w:rsidRPr="005C3B55">
              <w:rPr>
                <w:szCs w:val="24"/>
              </w:rPr>
              <w:t>records on works;</w:t>
            </w:r>
          </w:p>
          <w:p w:rsidR="00F555D6" w:rsidRPr="005C3B55" w:rsidRDefault="00F555D6" w:rsidP="00F555D6">
            <w:pPr>
              <w:numPr>
                <w:ilvl w:val="0"/>
                <w:numId w:val="380"/>
              </w:numPr>
              <w:spacing w:before="0" w:after="0"/>
              <w:ind w:hanging="290"/>
              <w:jc w:val="left"/>
              <w:rPr>
                <w:szCs w:val="24"/>
              </w:rPr>
            </w:pPr>
            <w:r w:rsidRPr="005C3B55">
              <w:rPr>
                <w:szCs w:val="24"/>
              </w:rPr>
              <w:t>compliance with the situation in nature;</w:t>
            </w:r>
          </w:p>
          <w:p w:rsidR="00F555D6" w:rsidRPr="005C3B55" w:rsidRDefault="00F555D6" w:rsidP="00F555D6">
            <w:pPr>
              <w:numPr>
                <w:ilvl w:val="0"/>
                <w:numId w:val="380"/>
              </w:numPr>
              <w:spacing w:before="0" w:after="240"/>
              <w:ind w:hanging="290"/>
              <w:jc w:val="left"/>
              <w:rPr>
                <w:szCs w:val="24"/>
              </w:rPr>
            </w:pPr>
            <w:r w:rsidRPr="005C3B55">
              <w:rPr>
                <w:szCs w:val="24"/>
              </w:rPr>
              <w:t>review of the agricultural holding.</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Information that relates specifically to the operation</w:t>
      </w:r>
    </w:p>
    <w:p w:rsidR="00F555D6" w:rsidRPr="005C3B55" w:rsidRDefault="00F555D6" w:rsidP="00F555D6">
      <w:pPr>
        <w:spacing w:line="280" w:lineRule="auto"/>
        <w:rPr>
          <w:szCs w:val="24"/>
        </w:rPr>
      </w:pPr>
      <w:r w:rsidRPr="005C3B55">
        <w:rPr>
          <w:szCs w:val="24"/>
        </w:rPr>
        <w:t>Definition and identification of the relevant basic elements; this should include the relevant mandatory standards determined in accordance with Chapter I of Title VI of Regulation (EU) No 1306/2013 of the European Parliament and of the Council, relevant criteria and minimum activities determined in accordance with points (c)(ii) and (c)(iii) of the first paragraph of Article 4 of Regulation (EU) No 1307/2013 of the European Parliament and of the Council, relevant minimum requirements for the use of organic fertilisers and plant protection products and relevant mandatory requirements determined by national law</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 xml:space="preserve">Described in the chapter </w:t>
            </w:r>
            <w:r w:rsidRPr="005C3B55">
              <w:rPr>
                <w:i/>
                <w:szCs w:val="24"/>
              </w:rPr>
              <w:t>Agri-environment-climate commitments</w:t>
            </w:r>
            <w:r w:rsidRPr="005C3B55">
              <w:rPr>
                <w:szCs w:val="24"/>
              </w:rPr>
              <w:t>.</w:t>
            </w:r>
          </w:p>
          <w:p w:rsidR="00F555D6" w:rsidRPr="005C3B55" w:rsidRDefault="00F555D6" w:rsidP="00F555D6">
            <w:pPr>
              <w:spacing w:before="240" w:after="240" w:line="280" w:lineRule="auto"/>
              <w:rPr>
                <w:szCs w:val="24"/>
              </w:rPr>
            </w:pPr>
            <w:r w:rsidRPr="005C3B55">
              <w:rPr>
                <w:szCs w:val="24"/>
              </w:rPr>
              <w:t> </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 xml:space="preserve">Minimum requirements for fertilisers must include, inter alia, the Codes of Good Practice introduced under Directive 91/676/EEC for farms outside Nitrate Vulnerable Zones, and requirements concerning phosphorous pollution; minimum requirements for plant protection products use must include, </w:t>
      </w:r>
      <w:r w:rsidRPr="005C3B55">
        <w:rPr>
          <w:i/>
          <w:szCs w:val="24"/>
        </w:rPr>
        <w:t>inter alia</w:t>
      </w:r>
      <w:r w:rsidRPr="005C3B55">
        <w:rPr>
          <w:szCs w:val="24"/>
        </w:rPr>
        <w:t>, general principles for integrated pest management introduced with Directive 2009/128/EC, requirements to have a licence to use the products and meet training obligations, requirements on safe storage, the checking of application machinery and rules on pesticide use close to water and other sensitive sites, as established by national legislation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Provided in the chapter Description of the type of operation.</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List of local breeds in danger of being lost to farming and for plant genetic resources under threat of genetic erosion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Not relevant.</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The description of the methodology and of the agronomic assumptions and parameters, including the description of the baseline requirements as stated in Article 29(2) of Regulation (EU) No 1305/2013, which are relevant for each particular type of commitment used as reference point for the calculations which justify: additional costs and lost revenue due to the assumed commitment and the amount of transaction costs; where necessary, the methodology takes into account the support granted under Regulation (EU) No 1307/2013, including payments for agricultural practices that favourably affect the climate and environment, in order to prevent the possibility of dual financing; where appropriate, the conversion method used for other units in accordance with Article 9 of this Regulation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The calculation of the amount of payments for individual requirements observes:</w:t>
            </w:r>
          </w:p>
          <w:p w:rsidR="00F555D6" w:rsidRPr="005C3B55" w:rsidRDefault="00F555D6" w:rsidP="00F555D6">
            <w:pPr>
              <w:spacing w:before="240" w:after="240" w:line="280" w:lineRule="auto"/>
              <w:rPr>
                <w:szCs w:val="24"/>
              </w:rPr>
            </w:pPr>
            <w:r w:rsidRPr="005C3B55">
              <w:rPr>
                <w:b/>
                <w:szCs w:val="24"/>
              </w:rPr>
              <w:t>A. Mandatory requirements</w:t>
            </w:r>
          </w:p>
          <w:p w:rsidR="00F555D6" w:rsidRPr="005C3B55" w:rsidRDefault="00F555D6" w:rsidP="00F555D6">
            <w:pPr>
              <w:spacing w:before="240" w:after="240" w:line="280" w:lineRule="auto"/>
              <w:rPr>
                <w:szCs w:val="24"/>
              </w:rPr>
            </w:pPr>
            <w:r w:rsidRPr="005C3B55">
              <w:rPr>
                <w:szCs w:val="24"/>
              </w:rPr>
              <w:t>HML_POKT: In standard agricultural practice, sowing plants for green manure is not prescribed. The calculation includes additional costs relating to the sowing of plants for green manure. The costs of mechanical services which include sowing, mulching and ploughing, the costs of domestic work relating to the implementation of mechanical services and the costs of seeds of plants envisaged for green manure. The average nutrient value of ploughed-in organic matter which represent fertilisation value for subsequent crops is deducted from the calculation.</w:t>
            </w:r>
          </w:p>
          <w:p w:rsidR="00F555D6" w:rsidRPr="005C3B55" w:rsidRDefault="00F555D6" w:rsidP="00F555D6">
            <w:pPr>
              <w:spacing w:before="240" w:after="240" w:line="280" w:lineRule="auto"/>
              <w:rPr>
                <w:szCs w:val="24"/>
              </w:rPr>
            </w:pPr>
            <w:r w:rsidRPr="005C3B55">
              <w:rPr>
                <w:szCs w:val="24"/>
              </w:rPr>
              <w:t>HML_NMIN: In standard agricultural practice, fertilisation with nitrogen on the basis of analyses is not prescribed. The calculation also takes into account additional fertilisation with nitrate on the basis of soil nitrate tests. The costs of analysis, the cost of work by collecting samples, the cost of transport to plots, the cost of transport to laboratory and transaction costs in the amount of 10% of the actual costs of material and services, and work. Transaction costs include the costs of small equipment, post, keeping of special records and work involved in the submission of a sample.</w:t>
            </w:r>
          </w:p>
          <w:p w:rsidR="00F555D6" w:rsidRPr="005C3B55" w:rsidRDefault="00F555D6" w:rsidP="00F555D6">
            <w:pPr>
              <w:spacing w:before="240" w:after="240" w:line="280" w:lineRule="auto"/>
              <w:rPr>
                <w:szCs w:val="24"/>
              </w:rPr>
            </w:pPr>
            <w:r w:rsidRPr="005C3B55">
              <w:rPr>
                <w:b/>
                <w:szCs w:val="24"/>
              </w:rPr>
              <w:t>B. Optional requirements:</w:t>
            </w:r>
          </w:p>
          <w:p w:rsidR="00F555D6" w:rsidRPr="005C3B55" w:rsidRDefault="00F555D6" w:rsidP="00F555D6">
            <w:pPr>
              <w:spacing w:before="240" w:after="240" w:line="280" w:lineRule="auto"/>
              <w:rPr>
                <w:szCs w:val="24"/>
              </w:rPr>
            </w:pPr>
            <w:r w:rsidRPr="005C3B55">
              <w:rPr>
                <w:szCs w:val="24"/>
              </w:rPr>
              <w:t>HML_NIZI: Standard agricultural practice in spreading liquid manure is the use of tankers with spreading plates. This requirement anticipates spreading with adjusted machinery for spreading liquid manure, i.e. tankers with a system for inserting liquid manure in soil. The calculation is based on the difference between the costs of spreading liquid manure with tankers with a system for inserting liquid manure in soil and the costs of spreading liquid manure with tankers with a spreading plate.</w:t>
            </w:r>
          </w:p>
          <w:p w:rsidR="00F555D6" w:rsidRPr="005C3B55" w:rsidRDefault="00F555D6" w:rsidP="00F555D6">
            <w:pPr>
              <w:spacing w:before="240" w:after="240" w:line="280" w:lineRule="auto"/>
              <w:rPr>
                <w:szCs w:val="24"/>
              </w:rPr>
            </w:pPr>
            <w:r w:rsidRPr="005C3B55">
              <w:rPr>
                <w:szCs w:val="24"/>
              </w:rPr>
              <w:t>HML_KOMP: In standard agricultural practice, the composting of plant waste when harvesting hops is not prescribed. The calculation takes into account the costs of manual and machine work, and material costs (foil, products for faster and more efficient composting) of the composting of hop residues. The average value of nutrients in the compost produced is subtracted.</w:t>
            </w:r>
          </w:p>
          <w:p w:rsidR="00F555D6" w:rsidRPr="005C3B55" w:rsidRDefault="00F555D6" w:rsidP="00F555D6">
            <w:pPr>
              <w:spacing w:before="240" w:after="240" w:line="280" w:lineRule="auto"/>
              <w:rPr>
                <w:szCs w:val="24"/>
              </w:rPr>
            </w:pPr>
            <w:r w:rsidRPr="005C3B55">
              <w:rPr>
                <w:szCs w:val="24"/>
              </w:rPr>
              <w:t>HML_BIOV: In standard agricultural practice, the use of biodegradable strings is not prescribed. The calculation for the request is based on the comparison of the costs of hop production while using traditional strings and the costs of hop production while using biodegradable strings. Additional costs of manual and machine work while using biodegradable strings, and the difference in price between traditional and biodegradable strings are taken into account. Additional work is brought about by slower fastening of strings to cable lines, and frequent tearing of strings and refastening them to cable lines.</w:t>
            </w:r>
          </w:p>
          <w:p w:rsidR="00F555D6" w:rsidRPr="005C3B55" w:rsidRDefault="00F555D6" w:rsidP="00F555D6">
            <w:pPr>
              <w:pStyle w:val="Telobesedila"/>
              <w:rPr>
                <w:szCs w:val="24"/>
              </w:rPr>
            </w:pPr>
          </w:p>
        </w:tc>
      </w:tr>
    </w:tbl>
    <w:p w:rsidR="00F555D6" w:rsidRPr="005C3B55" w:rsidRDefault="00F555D6" w:rsidP="00F555D6">
      <w:pPr>
        <w:pStyle w:val="Naslov7"/>
        <w:tabs>
          <w:tab w:val="clear" w:pos="765"/>
        </w:tabs>
        <w:spacing w:before="0" w:after="0"/>
        <w:ind w:left="0" w:firstLine="0"/>
        <w:rPr>
          <w:szCs w:val="24"/>
          <w:lang w:val="en-GB"/>
        </w:rPr>
      </w:pPr>
      <w:r w:rsidRPr="005C3B55">
        <w:rPr>
          <w:noProof w:val="0"/>
          <w:szCs w:val="24"/>
          <w:lang w:val="en-GB"/>
        </w:rPr>
        <w:t>Agri-environment-climate commitments</w:t>
      </w:r>
    </w:p>
    <w:p w:rsidR="00F555D6" w:rsidRPr="005C3B55" w:rsidRDefault="00F555D6" w:rsidP="00F555D6">
      <w:pPr>
        <w:pStyle w:val="Naslov8"/>
        <w:tabs>
          <w:tab w:val="clear" w:pos="765"/>
        </w:tabs>
        <w:ind w:left="0" w:firstLine="0"/>
        <w:rPr>
          <w:b w:val="0"/>
          <w:szCs w:val="24"/>
          <w:lang w:val="en-GB"/>
        </w:rPr>
      </w:pPr>
      <w:r w:rsidRPr="005C3B55">
        <w:rPr>
          <w:b w:val="0"/>
          <w:noProof w:val="0"/>
          <w:szCs w:val="24"/>
          <w:lang w:val="en-GB"/>
        </w:rPr>
        <w:t>HML_BIOV:</w:t>
      </w:r>
      <w:r w:rsidRPr="005C3B55">
        <w:rPr>
          <w:b w:val="0"/>
          <w:szCs w:val="24"/>
          <w:lang w:val="en-GB"/>
        </w:rPr>
        <w:t xml:space="preserve"> </w:t>
      </w:r>
      <w:r w:rsidRPr="005C3B55">
        <w:rPr>
          <w:b w:val="0"/>
          <w:noProof w:val="0"/>
          <w:szCs w:val="24"/>
          <w:lang w:val="en-GB"/>
        </w:rPr>
        <w:t>Use of biodegradable strings</w:t>
      </w:r>
    </w:p>
    <w:p w:rsidR="00F555D6" w:rsidRPr="005C3B55" w:rsidRDefault="00F555D6" w:rsidP="00F555D6">
      <w:pPr>
        <w:pStyle w:val="Naslov9"/>
        <w:tabs>
          <w:tab w:val="clear" w:pos="765"/>
        </w:tabs>
        <w:ind w:left="0" w:firstLine="0"/>
        <w:rPr>
          <w:szCs w:val="24"/>
          <w:lang w:val="en-GB"/>
        </w:rPr>
      </w:pPr>
      <w:r w:rsidRPr="005C3B55">
        <w:rPr>
          <w:noProof w:val="0"/>
          <w:szCs w:val="24"/>
          <w:lang w:val="en-GB"/>
        </w:rPr>
        <w:t>Starting Point</w:t>
      </w:r>
    </w:p>
    <w:p w:rsidR="00F555D6" w:rsidRPr="005C3B55" w:rsidRDefault="00F555D6" w:rsidP="00F555D6">
      <w:pPr>
        <w:spacing w:line="280" w:lineRule="auto"/>
        <w:rPr>
          <w:szCs w:val="24"/>
        </w:rPr>
      </w:pPr>
      <w:r w:rsidRPr="005C3B55">
        <w:rPr>
          <w:szCs w:val="24"/>
        </w:rPr>
        <w:t>Suitable good agricultural and environmental conditions and/or prescribed management requirements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381"/>
              </w:numPr>
              <w:spacing w:before="0" w:after="240"/>
              <w:ind w:hanging="290"/>
              <w:jc w:val="left"/>
              <w:rPr>
                <w:szCs w:val="24"/>
              </w:rPr>
            </w:pPr>
            <w:r w:rsidRPr="005C3B55">
              <w:rPr>
                <w:szCs w:val="24"/>
              </w:rPr>
              <w:t>The Regulation on cross-compliance does not prescribe the use of biodegradable strings.</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Minimum requirements for the use of fertilisers and plant protection products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382"/>
              </w:numPr>
              <w:spacing w:before="0" w:after="0"/>
              <w:ind w:hanging="290"/>
              <w:jc w:val="left"/>
              <w:rPr>
                <w:szCs w:val="24"/>
              </w:rPr>
            </w:pPr>
            <w:r w:rsidRPr="005C3B55">
              <w:rPr>
                <w:szCs w:val="24"/>
              </w:rPr>
              <w:t>Minimum requirements for the use of fertilisers refer to the keeping of records on the use of livestock and mineral fertilisers which an agricultural holding has to keep for all agricultural land plots at the agricultural holding, and which has to include at least the quantity and type of livestock manure and mineral fertiliser, time of fertilising and data on the surface where these fertilisers are used.</w:t>
            </w:r>
          </w:p>
          <w:p w:rsidR="00F555D6" w:rsidRPr="005C3B55" w:rsidRDefault="00F555D6" w:rsidP="00F555D6">
            <w:pPr>
              <w:numPr>
                <w:ilvl w:val="0"/>
                <w:numId w:val="382"/>
              </w:numPr>
              <w:spacing w:before="0" w:after="240"/>
              <w:ind w:hanging="290"/>
              <w:jc w:val="left"/>
              <w:rPr>
                <w:szCs w:val="24"/>
              </w:rPr>
            </w:pPr>
            <w:r w:rsidRPr="005C3B55">
              <w:rPr>
                <w:szCs w:val="24"/>
              </w:rPr>
              <w:t>Minimum requirements for the use of plant protection products are not determined, since the requirements relating to the use of these products are standardised and are included in the requirements of cross-compliance.</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Other relevant national/regional requirements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383"/>
              </w:numPr>
              <w:spacing w:before="0" w:after="240"/>
              <w:ind w:hanging="290"/>
              <w:jc w:val="left"/>
              <w:rPr>
                <w:szCs w:val="24"/>
              </w:rPr>
            </w:pPr>
            <w:r w:rsidRPr="005C3B55">
              <w:rPr>
                <w:szCs w:val="24"/>
              </w:rPr>
              <w:t>Other national requirements are not prescribed.</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Minimum activities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384"/>
              </w:numPr>
              <w:spacing w:before="0" w:after="240"/>
              <w:ind w:hanging="290"/>
              <w:jc w:val="left"/>
              <w:rPr>
                <w:szCs w:val="24"/>
              </w:rPr>
            </w:pPr>
            <w:r w:rsidRPr="005C3B55">
              <w:rPr>
                <w:szCs w:val="24"/>
              </w:rPr>
              <w:t>Not relevant.</w:t>
            </w:r>
          </w:p>
          <w:p w:rsidR="00F555D6" w:rsidRPr="005C3B55" w:rsidRDefault="00F555D6" w:rsidP="00F555D6">
            <w:pPr>
              <w:pStyle w:val="Telobesedila"/>
              <w:rPr>
                <w:szCs w:val="24"/>
              </w:rPr>
            </w:pPr>
          </w:p>
        </w:tc>
      </w:tr>
    </w:tbl>
    <w:p w:rsidR="00F555D6" w:rsidRPr="005C3B55" w:rsidRDefault="00F555D6" w:rsidP="00F555D6">
      <w:pPr>
        <w:pStyle w:val="Naslov9"/>
        <w:tabs>
          <w:tab w:val="clear" w:pos="765"/>
        </w:tabs>
        <w:ind w:left="0" w:firstLine="0"/>
        <w:rPr>
          <w:szCs w:val="24"/>
          <w:lang w:val="en-GB"/>
        </w:rPr>
      </w:pPr>
      <w:r w:rsidRPr="005C3B55">
        <w:rPr>
          <w:noProof w:val="0"/>
          <w:szCs w:val="24"/>
          <w:lang w:val="en-GB"/>
        </w:rPr>
        <w:t>Relevant standard agricultural practices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In standard agricultural practice, polypropylene strings have been used on hop plantations for over 40 years as support for hops which replaced poles and wires. A polypropylene string (approximately 50 kg of such a string are used on one hectare) is not biodegradable; its remains gather in soil and hamper tillage and are thus a source of environmental pollution.</w:t>
            </w:r>
          </w:p>
          <w:p w:rsidR="00F555D6" w:rsidRPr="005C3B55" w:rsidRDefault="00F555D6" w:rsidP="00F555D6">
            <w:pPr>
              <w:pStyle w:val="Telobesedila"/>
              <w:rPr>
                <w:szCs w:val="24"/>
              </w:rPr>
            </w:pPr>
          </w:p>
        </w:tc>
      </w:tr>
    </w:tbl>
    <w:p w:rsidR="00F555D6" w:rsidRPr="005C3B55" w:rsidRDefault="00F555D6" w:rsidP="00F555D6">
      <w:pPr>
        <w:pStyle w:val="Naslov8"/>
        <w:tabs>
          <w:tab w:val="clear" w:pos="765"/>
        </w:tabs>
        <w:ind w:left="0" w:firstLine="0"/>
        <w:rPr>
          <w:b w:val="0"/>
          <w:szCs w:val="24"/>
          <w:lang w:val="en-GB"/>
        </w:rPr>
      </w:pPr>
      <w:r w:rsidRPr="005C3B55">
        <w:rPr>
          <w:b w:val="0"/>
          <w:noProof w:val="0"/>
          <w:szCs w:val="24"/>
          <w:lang w:val="en-GB"/>
        </w:rPr>
        <w:t>HML_KOMP:</w:t>
      </w:r>
      <w:r w:rsidRPr="005C3B55">
        <w:rPr>
          <w:b w:val="0"/>
          <w:szCs w:val="24"/>
          <w:lang w:val="en-GB"/>
        </w:rPr>
        <w:t xml:space="preserve"> </w:t>
      </w:r>
      <w:r w:rsidRPr="005C3B55">
        <w:rPr>
          <w:b w:val="0"/>
          <w:noProof w:val="0"/>
          <w:szCs w:val="24"/>
          <w:lang w:val="en-GB"/>
        </w:rPr>
        <w:t>Composting of plant waste when harvesting hops</w:t>
      </w:r>
    </w:p>
    <w:p w:rsidR="00F555D6" w:rsidRPr="005C3B55" w:rsidRDefault="00F555D6" w:rsidP="00F555D6">
      <w:pPr>
        <w:pStyle w:val="Naslov9"/>
        <w:tabs>
          <w:tab w:val="clear" w:pos="765"/>
        </w:tabs>
        <w:ind w:left="0" w:firstLine="0"/>
        <w:rPr>
          <w:szCs w:val="24"/>
          <w:lang w:val="en-GB"/>
        </w:rPr>
      </w:pPr>
      <w:r w:rsidRPr="005C3B55">
        <w:rPr>
          <w:noProof w:val="0"/>
          <w:szCs w:val="24"/>
          <w:lang w:val="en-GB"/>
        </w:rPr>
        <w:t>Starting Point</w:t>
      </w:r>
    </w:p>
    <w:p w:rsidR="00F555D6" w:rsidRPr="005C3B55" w:rsidRDefault="00F555D6" w:rsidP="00F555D6">
      <w:pPr>
        <w:spacing w:line="280" w:lineRule="auto"/>
        <w:rPr>
          <w:szCs w:val="24"/>
        </w:rPr>
      </w:pPr>
      <w:r w:rsidRPr="005C3B55">
        <w:rPr>
          <w:szCs w:val="24"/>
        </w:rPr>
        <w:t>Suitable good agricultural and environmental conditions and/or prescribed management requirements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385"/>
              </w:numPr>
              <w:spacing w:before="0" w:after="240"/>
              <w:ind w:hanging="290"/>
              <w:jc w:val="left"/>
              <w:rPr>
                <w:szCs w:val="24"/>
              </w:rPr>
            </w:pPr>
            <w:r w:rsidRPr="005C3B55">
              <w:rPr>
                <w:szCs w:val="24"/>
              </w:rPr>
              <w:t>The Regulation on cross-compliance does not prescribe composting plant waste when harvesting hops.</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Minimum requirements for the use of fertilisers and plant protection products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386"/>
              </w:numPr>
              <w:spacing w:before="0" w:after="0"/>
              <w:ind w:hanging="290"/>
              <w:jc w:val="left"/>
              <w:rPr>
                <w:szCs w:val="24"/>
              </w:rPr>
            </w:pPr>
            <w:r w:rsidRPr="005C3B55">
              <w:rPr>
                <w:szCs w:val="24"/>
              </w:rPr>
              <w:t>Minimum requirements for the use of fertilisers refer to the keeping of records on the use of livestock and mineral fertilisers which an agricultural holding has to keep for all agricultural land plots at the agricultural holding, and which has to include at least the quantity and type of livestock manure and mineral fertiliser, time of fertilising and data on the surface where these fertilisers are used.</w:t>
            </w:r>
          </w:p>
          <w:p w:rsidR="00F555D6" w:rsidRPr="005C3B55" w:rsidRDefault="00F555D6" w:rsidP="00F555D6">
            <w:pPr>
              <w:numPr>
                <w:ilvl w:val="0"/>
                <w:numId w:val="386"/>
              </w:numPr>
              <w:spacing w:before="0" w:after="240"/>
              <w:ind w:hanging="290"/>
              <w:jc w:val="left"/>
              <w:rPr>
                <w:szCs w:val="24"/>
              </w:rPr>
            </w:pPr>
            <w:r w:rsidRPr="005C3B55">
              <w:rPr>
                <w:szCs w:val="24"/>
              </w:rPr>
              <w:t>Minimum requirements for the use of plant protection products are not determined, since the requirements relating to the use of these products are standardised and are included in the requirements of cross-compliance.</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Other relevant national/regional requirements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387"/>
              </w:numPr>
              <w:spacing w:before="0" w:after="240"/>
              <w:ind w:hanging="290"/>
              <w:jc w:val="left"/>
              <w:rPr>
                <w:szCs w:val="24"/>
              </w:rPr>
            </w:pPr>
            <w:r w:rsidRPr="005C3B55">
              <w:rPr>
                <w:szCs w:val="24"/>
              </w:rPr>
              <w:t>Decree on the treatment of biodegradable waste and the use of compost or digestate (Official Gazette of the Republic of Slovenia, no. 99/13): Only biodegradable waste which are so designated and correspond to the detailed description of biodegradable waste referred to in Annex 1 to this Decree may be composted (waste from crops).</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Minimum activities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388"/>
              </w:numPr>
              <w:spacing w:before="0" w:after="240"/>
              <w:ind w:hanging="290"/>
              <w:jc w:val="left"/>
              <w:rPr>
                <w:szCs w:val="24"/>
              </w:rPr>
            </w:pPr>
            <w:r w:rsidRPr="005C3B55">
              <w:rPr>
                <w:szCs w:val="24"/>
              </w:rPr>
              <w:t>Not relevant.</w:t>
            </w:r>
          </w:p>
          <w:p w:rsidR="00F555D6" w:rsidRPr="005C3B55" w:rsidRDefault="00F555D6" w:rsidP="00F555D6">
            <w:pPr>
              <w:pStyle w:val="Telobesedila"/>
              <w:rPr>
                <w:szCs w:val="24"/>
              </w:rPr>
            </w:pPr>
          </w:p>
        </w:tc>
      </w:tr>
    </w:tbl>
    <w:p w:rsidR="00F555D6" w:rsidRPr="005C3B55" w:rsidRDefault="00F555D6" w:rsidP="00F555D6">
      <w:pPr>
        <w:pStyle w:val="Naslov9"/>
        <w:tabs>
          <w:tab w:val="clear" w:pos="765"/>
        </w:tabs>
        <w:ind w:left="0" w:firstLine="0"/>
        <w:rPr>
          <w:szCs w:val="24"/>
          <w:lang w:val="en-GB"/>
        </w:rPr>
      </w:pPr>
      <w:r w:rsidRPr="005C3B55">
        <w:rPr>
          <w:noProof w:val="0"/>
          <w:szCs w:val="24"/>
          <w:lang w:val="en-GB"/>
        </w:rPr>
        <w:t>Relevant standard agricultural practices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After the harvesting of hops, composting hops residues is not standard agricultural practice. Most hops residues are disposed at various types of disposal sites and hop plantations themselves, which is a potential source of the transfer of harmful organisms.</w:t>
            </w:r>
          </w:p>
          <w:p w:rsidR="00F555D6" w:rsidRPr="005C3B55" w:rsidRDefault="00F555D6" w:rsidP="00F555D6">
            <w:pPr>
              <w:pStyle w:val="Telobesedila"/>
              <w:rPr>
                <w:szCs w:val="24"/>
              </w:rPr>
            </w:pPr>
          </w:p>
        </w:tc>
      </w:tr>
    </w:tbl>
    <w:p w:rsidR="00F555D6" w:rsidRPr="005C3B55" w:rsidRDefault="00F555D6" w:rsidP="00F555D6">
      <w:pPr>
        <w:pStyle w:val="Naslov8"/>
        <w:tabs>
          <w:tab w:val="clear" w:pos="765"/>
        </w:tabs>
        <w:ind w:left="0" w:firstLine="0"/>
        <w:rPr>
          <w:b w:val="0"/>
          <w:szCs w:val="24"/>
          <w:lang w:val="en-GB"/>
        </w:rPr>
      </w:pPr>
      <w:r w:rsidRPr="005C3B55">
        <w:rPr>
          <w:b w:val="0"/>
          <w:noProof w:val="0"/>
          <w:szCs w:val="24"/>
          <w:lang w:val="en-GB"/>
        </w:rPr>
        <w:t>HML_NIZI:</w:t>
      </w:r>
      <w:r w:rsidRPr="005C3B55">
        <w:rPr>
          <w:b w:val="0"/>
          <w:szCs w:val="24"/>
          <w:lang w:val="en-GB"/>
        </w:rPr>
        <w:t xml:space="preserve"> </w:t>
      </w:r>
      <w:r w:rsidRPr="005C3B55">
        <w:rPr>
          <w:b w:val="0"/>
          <w:noProof w:val="0"/>
          <w:szCs w:val="24"/>
          <w:lang w:val="en-GB"/>
        </w:rPr>
        <w:t>Fertilisation with low emissions into air</w:t>
      </w:r>
    </w:p>
    <w:p w:rsidR="00F555D6" w:rsidRPr="005C3B55" w:rsidRDefault="00F555D6" w:rsidP="00F555D6">
      <w:pPr>
        <w:pStyle w:val="Naslov9"/>
        <w:tabs>
          <w:tab w:val="clear" w:pos="765"/>
        </w:tabs>
        <w:ind w:left="0" w:firstLine="0"/>
        <w:rPr>
          <w:szCs w:val="24"/>
          <w:lang w:val="en-GB"/>
        </w:rPr>
      </w:pPr>
      <w:r w:rsidRPr="005C3B55">
        <w:rPr>
          <w:noProof w:val="0"/>
          <w:szCs w:val="24"/>
          <w:lang w:val="en-GB"/>
        </w:rPr>
        <w:t>Starting Point</w:t>
      </w:r>
    </w:p>
    <w:p w:rsidR="00F555D6" w:rsidRPr="005C3B55" w:rsidRDefault="00F555D6" w:rsidP="00F555D6">
      <w:pPr>
        <w:spacing w:line="280" w:lineRule="auto"/>
        <w:rPr>
          <w:szCs w:val="24"/>
        </w:rPr>
      </w:pPr>
      <w:r w:rsidRPr="005C3B55">
        <w:rPr>
          <w:szCs w:val="24"/>
        </w:rPr>
        <w:t>Suitable good agricultural and environmental conditions and/or prescribed management requirements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389"/>
              </w:numPr>
              <w:spacing w:before="0" w:after="240"/>
              <w:ind w:hanging="290"/>
              <w:jc w:val="left"/>
              <w:rPr>
                <w:szCs w:val="24"/>
              </w:rPr>
            </w:pPr>
            <w:r w:rsidRPr="005C3B55">
              <w:rPr>
                <w:szCs w:val="24"/>
              </w:rPr>
              <w:t>Regulation on cross-compliance, Annex 1: Rules on cross-compliance, SMR 1: Water protection against the pollution caused by nitrates from agricultural sources:  mineral and organic fertilisers are evenly distributed on the surface subject to fertilisation. No uncontrolled distribution of fertilisers or fertilisation occurs outside the anticipated area of fertilisation when transporting and fertilising. Slurry tankers with splash plates, tankers with rain guns, tankers for application of liquid fertilisers in strips (trailing hose and sleigh), tankers for shallow entry of liquid fertilisers into soil with injectors or tankers for deep entry of liquid fertilisers into soil may be used for fertilisation with organic fertilisers. In addition to slurry tankers, devices with connectors to hoses for the distribution of liquid organic fertilisers may also be used for fertilisation with liquid organic fertilisers.</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Minimum requirements for the use of fertilisers and plant protection products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390"/>
              </w:numPr>
              <w:spacing w:before="0" w:after="0"/>
              <w:ind w:hanging="290"/>
              <w:jc w:val="left"/>
              <w:rPr>
                <w:szCs w:val="24"/>
              </w:rPr>
            </w:pPr>
            <w:r w:rsidRPr="005C3B55">
              <w:rPr>
                <w:szCs w:val="24"/>
              </w:rPr>
              <w:t>Minimum requirements for the use of fertilisers refer to the keeping of records on the use of livestock and mineral fertilisers which an agricultural holding has to keep for all agricultural land plots at the agricultural holding, and which has to include at least the quantity and type of livestock manure and mineral fertiliser, time of fertilising and data on the surface where these fertilisers are used.</w:t>
            </w:r>
          </w:p>
          <w:p w:rsidR="00F555D6" w:rsidRPr="005C3B55" w:rsidRDefault="00F555D6" w:rsidP="00F555D6">
            <w:pPr>
              <w:numPr>
                <w:ilvl w:val="0"/>
                <w:numId w:val="390"/>
              </w:numPr>
              <w:spacing w:before="0" w:after="240"/>
              <w:ind w:hanging="290"/>
              <w:jc w:val="left"/>
              <w:rPr>
                <w:szCs w:val="24"/>
              </w:rPr>
            </w:pPr>
            <w:r w:rsidRPr="005C3B55">
              <w:rPr>
                <w:szCs w:val="24"/>
              </w:rPr>
              <w:t>Minimum requirements for the use of plant protection products are not determined, since the requirements relating to the use of these products are standardised and are included in the requirements of cross-compliance.</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Other relevant national/regional requirements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391"/>
              </w:numPr>
              <w:spacing w:before="0" w:after="240"/>
              <w:ind w:hanging="290"/>
              <w:jc w:val="left"/>
              <w:rPr>
                <w:szCs w:val="24"/>
              </w:rPr>
            </w:pPr>
            <w:r w:rsidRPr="005C3B55">
              <w:rPr>
                <w:szCs w:val="24"/>
              </w:rPr>
              <w:t>Other national requirements are not prescribed.</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Minimum activities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392"/>
              </w:numPr>
              <w:spacing w:before="0" w:after="240"/>
              <w:ind w:hanging="290"/>
              <w:jc w:val="left"/>
              <w:rPr>
                <w:szCs w:val="24"/>
              </w:rPr>
            </w:pPr>
            <w:r w:rsidRPr="005C3B55">
              <w:rPr>
                <w:szCs w:val="24"/>
              </w:rPr>
              <w:t>Not relevant.</w:t>
            </w:r>
          </w:p>
          <w:p w:rsidR="00F555D6" w:rsidRPr="005C3B55" w:rsidRDefault="00F555D6" w:rsidP="00F555D6">
            <w:pPr>
              <w:pStyle w:val="Telobesedila"/>
              <w:rPr>
                <w:szCs w:val="24"/>
              </w:rPr>
            </w:pPr>
          </w:p>
        </w:tc>
      </w:tr>
    </w:tbl>
    <w:p w:rsidR="00F555D6" w:rsidRPr="005C3B55" w:rsidRDefault="00F555D6" w:rsidP="00F555D6">
      <w:pPr>
        <w:pStyle w:val="Naslov9"/>
        <w:tabs>
          <w:tab w:val="clear" w:pos="765"/>
        </w:tabs>
        <w:ind w:left="0" w:firstLine="0"/>
        <w:rPr>
          <w:szCs w:val="24"/>
          <w:lang w:val="en-GB"/>
        </w:rPr>
      </w:pPr>
      <w:r w:rsidRPr="005C3B55">
        <w:rPr>
          <w:noProof w:val="0"/>
          <w:szCs w:val="24"/>
          <w:lang w:val="en-GB"/>
        </w:rPr>
        <w:t>Relevant standard agricultural practices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In standard agricultural practice, tankers with splash plates or tankers with rain guns are used for fertilisation with liquid organic fertilisers during which fertilisers are applied on soil, while the incorporation into soil is not part of standard practice.</w:t>
            </w:r>
          </w:p>
          <w:p w:rsidR="00F555D6" w:rsidRPr="005C3B55" w:rsidRDefault="00F555D6" w:rsidP="00F555D6">
            <w:pPr>
              <w:pStyle w:val="Telobesedila"/>
              <w:rPr>
                <w:szCs w:val="24"/>
              </w:rPr>
            </w:pPr>
          </w:p>
        </w:tc>
      </w:tr>
    </w:tbl>
    <w:p w:rsidR="00F555D6" w:rsidRPr="005C3B55" w:rsidRDefault="00F555D6" w:rsidP="00F555D6">
      <w:pPr>
        <w:pStyle w:val="Naslov8"/>
        <w:tabs>
          <w:tab w:val="clear" w:pos="765"/>
        </w:tabs>
        <w:ind w:left="0" w:firstLine="0"/>
        <w:rPr>
          <w:b w:val="0"/>
          <w:szCs w:val="24"/>
          <w:lang w:val="en-GB"/>
        </w:rPr>
      </w:pPr>
      <w:r w:rsidRPr="005C3B55">
        <w:rPr>
          <w:b w:val="0"/>
          <w:noProof w:val="0"/>
          <w:szCs w:val="24"/>
          <w:lang w:val="en-GB"/>
        </w:rPr>
        <w:t>HML_NMIN:</w:t>
      </w:r>
      <w:r w:rsidRPr="005C3B55">
        <w:rPr>
          <w:b w:val="0"/>
          <w:szCs w:val="24"/>
          <w:lang w:val="en-GB"/>
        </w:rPr>
        <w:t xml:space="preserve"> </w:t>
      </w:r>
      <w:r w:rsidRPr="005C3B55">
        <w:rPr>
          <w:b w:val="0"/>
          <w:noProof w:val="0"/>
          <w:szCs w:val="24"/>
          <w:lang w:val="en-GB"/>
        </w:rPr>
        <w:t>Nmin analysis</w:t>
      </w:r>
    </w:p>
    <w:p w:rsidR="00F555D6" w:rsidRPr="005C3B55" w:rsidRDefault="00F555D6" w:rsidP="00F555D6">
      <w:pPr>
        <w:pStyle w:val="Naslov9"/>
        <w:tabs>
          <w:tab w:val="clear" w:pos="765"/>
        </w:tabs>
        <w:ind w:left="0" w:firstLine="0"/>
        <w:rPr>
          <w:szCs w:val="24"/>
          <w:lang w:val="en-GB"/>
        </w:rPr>
      </w:pPr>
      <w:r w:rsidRPr="005C3B55">
        <w:rPr>
          <w:noProof w:val="0"/>
          <w:szCs w:val="24"/>
          <w:lang w:val="en-GB"/>
        </w:rPr>
        <w:t>Starting Point</w:t>
      </w:r>
    </w:p>
    <w:p w:rsidR="00F555D6" w:rsidRPr="005C3B55" w:rsidRDefault="00F555D6" w:rsidP="00F555D6">
      <w:pPr>
        <w:spacing w:line="280" w:lineRule="auto"/>
        <w:rPr>
          <w:szCs w:val="24"/>
        </w:rPr>
      </w:pPr>
      <w:r w:rsidRPr="005C3B55">
        <w:rPr>
          <w:szCs w:val="24"/>
        </w:rPr>
        <w:t>Suitable good agricultural and environmental conditions and/or prescribed management requirements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393"/>
              </w:numPr>
              <w:spacing w:before="0" w:after="240"/>
              <w:ind w:hanging="290"/>
              <w:jc w:val="left"/>
              <w:rPr>
                <w:szCs w:val="24"/>
              </w:rPr>
            </w:pPr>
            <w:r w:rsidRPr="005C3B55">
              <w:rPr>
                <w:szCs w:val="24"/>
              </w:rPr>
              <w:t>The Nmin analyses are not prescribed in the Regulation on cross-compliance.</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Minimum requirements for the use of fertilisers and plant protection products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394"/>
              </w:numPr>
              <w:spacing w:before="0" w:after="0"/>
              <w:ind w:hanging="290"/>
              <w:jc w:val="left"/>
              <w:rPr>
                <w:szCs w:val="24"/>
              </w:rPr>
            </w:pPr>
            <w:r w:rsidRPr="005C3B55">
              <w:rPr>
                <w:szCs w:val="24"/>
              </w:rPr>
              <w:t>Minimum requirements for the use of fertilisers refer to the keeping of records on the use of livestock and mineral fertilisers which an agricultural holding has to keep for all agricultural land plots at the agricultural holding, and which has to include at least the quantity and type of livestock manure and mineral fertiliser, time of fertilising and data on the surface where these fertilisers are used.</w:t>
            </w:r>
          </w:p>
          <w:p w:rsidR="00F555D6" w:rsidRPr="005C3B55" w:rsidRDefault="00F555D6" w:rsidP="00F555D6">
            <w:pPr>
              <w:numPr>
                <w:ilvl w:val="0"/>
                <w:numId w:val="394"/>
              </w:numPr>
              <w:spacing w:before="0" w:after="240"/>
              <w:ind w:hanging="290"/>
              <w:jc w:val="left"/>
              <w:rPr>
                <w:szCs w:val="24"/>
              </w:rPr>
            </w:pPr>
            <w:r w:rsidRPr="005C3B55">
              <w:rPr>
                <w:szCs w:val="24"/>
              </w:rPr>
              <w:t>Minimum requirements for the use of plant protection products are not determined, since the requirements relating to the use of these products are standardised and are included in the requirements of cross-compliance.</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Other relevant national/regional requirements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395"/>
              </w:numPr>
              <w:spacing w:before="0" w:after="240"/>
              <w:ind w:hanging="290"/>
              <w:jc w:val="left"/>
              <w:rPr>
                <w:szCs w:val="24"/>
              </w:rPr>
            </w:pPr>
            <w:r w:rsidRPr="005C3B55">
              <w:rPr>
                <w:szCs w:val="24"/>
              </w:rPr>
              <w:t>Other national requirements are not prescribed.</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Minimum activities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396"/>
              </w:numPr>
              <w:spacing w:before="0" w:after="240"/>
              <w:ind w:hanging="290"/>
              <w:jc w:val="left"/>
              <w:rPr>
                <w:szCs w:val="24"/>
              </w:rPr>
            </w:pPr>
            <w:r w:rsidRPr="005C3B55">
              <w:rPr>
                <w:szCs w:val="24"/>
              </w:rPr>
              <w:t>Not relevant.</w:t>
            </w:r>
          </w:p>
          <w:p w:rsidR="00F555D6" w:rsidRPr="005C3B55" w:rsidRDefault="00F555D6" w:rsidP="00F555D6">
            <w:pPr>
              <w:pStyle w:val="Telobesedila"/>
              <w:rPr>
                <w:szCs w:val="24"/>
              </w:rPr>
            </w:pPr>
          </w:p>
        </w:tc>
      </w:tr>
    </w:tbl>
    <w:p w:rsidR="00F555D6" w:rsidRPr="005C3B55" w:rsidRDefault="00F555D6" w:rsidP="00F555D6">
      <w:pPr>
        <w:pStyle w:val="Naslov9"/>
        <w:tabs>
          <w:tab w:val="clear" w:pos="765"/>
        </w:tabs>
        <w:ind w:left="0" w:firstLine="0"/>
        <w:rPr>
          <w:szCs w:val="24"/>
          <w:lang w:val="en-GB"/>
        </w:rPr>
      </w:pPr>
      <w:r w:rsidRPr="005C3B55">
        <w:rPr>
          <w:noProof w:val="0"/>
          <w:szCs w:val="24"/>
          <w:lang w:val="en-GB"/>
        </w:rPr>
        <w:t>Relevant standard agricultural practices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In standard agricultural practice, the need for fertilisation with nitrogen is not determined on the basis of quick soil tests. Fertilisation is carried out on the basis of experience and general recommendations based on the assessment of nitrogen absorption by a plant with regard to the expected crop.</w:t>
            </w:r>
          </w:p>
          <w:p w:rsidR="00F555D6" w:rsidRPr="005C3B55" w:rsidRDefault="00F555D6" w:rsidP="00F555D6">
            <w:pPr>
              <w:pStyle w:val="Telobesedila"/>
              <w:rPr>
                <w:szCs w:val="24"/>
              </w:rPr>
            </w:pPr>
          </w:p>
        </w:tc>
      </w:tr>
    </w:tbl>
    <w:p w:rsidR="00F555D6" w:rsidRPr="005C3B55" w:rsidRDefault="00F555D6" w:rsidP="00F555D6">
      <w:pPr>
        <w:pStyle w:val="Naslov8"/>
        <w:tabs>
          <w:tab w:val="clear" w:pos="765"/>
        </w:tabs>
        <w:ind w:left="0" w:firstLine="0"/>
        <w:rPr>
          <w:b w:val="0"/>
          <w:szCs w:val="24"/>
          <w:lang w:val="en-GB"/>
        </w:rPr>
      </w:pPr>
      <w:r w:rsidRPr="005C3B55">
        <w:rPr>
          <w:b w:val="0"/>
          <w:noProof w:val="0"/>
          <w:szCs w:val="24"/>
          <w:lang w:val="en-GB"/>
        </w:rPr>
        <w:t>HML_POKT:</w:t>
      </w:r>
      <w:r w:rsidRPr="005C3B55">
        <w:rPr>
          <w:b w:val="0"/>
          <w:szCs w:val="24"/>
          <w:lang w:val="en-GB"/>
        </w:rPr>
        <w:t xml:space="preserve"> </w:t>
      </w:r>
      <w:r w:rsidRPr="005C3B55">
        <w:rPr>
          <w:b w:val="0"/>
          <w:noProof w:val="0"/>
          <w:szCs w:val="24"/>
          <w:lang w:val="en-GB"/>
        </w:rPr>
        <w:t>Ground cover in row spacing</w:t>
      </w:r>
    </w:p>
    <w:p w:rsidR="00F555D6" w:rsidRPr="005C3B55" w:rsidRDefault="00F555D6" w:rsidP="00F555D6">
      <w:pPr>
        <w:pStyle w:val="Naslov9"/>
        <w:tabs>
          <w:tab w:val="clear" w:pos="765"/>
        </w:tabs>
        <w:ind w:left="0" w:firstLine="0"/>
        <w:rPr>
          <w:szCs w:val="24"/>
          <w:lang w:val="en-GB"/>
        </w:rPr>
      </w:pPr>
      <w:r w:rsidRPr="005C3B55">
        <w:rPr>
          <w:noProof w:val="0"/>
          <w:szCs w:val="24"/>
          <w:lang w:val="en-GB"/>
        </w:rPr>
        <w:t>Starting Point</w:t>
      </w:r>
    </w:p>
    <w:p w:rsidR="00F555D6" w:rsidRPr="005C3B55" w:rsidRDefault="00F555D6" w:rsidP="00F555D6">
      <w:pPr>
        <w:spacing w:line="280" w:lineRule="auto"/>
        <w:rPr>
          <w:szCs w:val="24"/>
        </w:rPr>
      </w:pPr>
      <w:r w:rsidRPr="005C3B55">
        <w:rPr>
          <w:szCs w:val="24"/>
        </w:rPr>
        <w:t>Suitable good agricultural and environmental conditions and/or prescribed management requirements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397"/>
              </w:numPr>
              <w:spacing w:before="0" w:after="240"/>
              <w:ind w:hanging="290"/>
              <w:jc w:val="left"/>
              <w:rPr>
                <w:szCs w:val="24"/>
              </w:rPr>
            </w:pPr>
            <w:r w:rsidRPr="005C3B55">
              <w:rPr>
                <w:szCs w:val="24"/>
              </w:rPr>
              <w:t>Ground cover in row spacing is not prescribed in the Regulation on cross-compliance.</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Minimum requirements for the use of fertilisers and plant protection products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398"/>
              </w:numPr>
              <w:spacing w:before="0" w:after="0"/>
              <w:ind w:hanging="290"/>
              <w:jc w:val="left"/>
              <w:rPr>
                <w:szCs w:val="24"/>
              </w:rPr>
            </w:pPr>
            <w:r w:rsidRPr="005C3B55">
              <w:rPr>
                <w:szCs w:val="24"/>
              </w:rPr>
              <w:t>Minimum requirements for the use of fertilisers refer to the keeping of records on the use of livestock and mineral fertilisers which an agricultural holding has to keep for all agricultural land plots at the agricultural holding, and which has to include at least the quantity and type of livestock manure and mineral fertiliser, time of fertilising and data on the surface where these fertilisers are used.</w:t>
            </w:r>
          </w:p>
          <w:p w:rsidR="00F555D6" w:rsidRPr="005C3B55" w:rsidRDefault="00F555D6" w:rsidP="00F555D6">
            <w:pPr>
              <w:numPr>
                <w:ilvl w:val="0"/>
                <w:numId w:val="398"/>
              </w:numPr>
              <w:spacing w:before="0" w:after="240"/>
              <w:ind w:hanging="290"/>
              <w:jc w:val="left"/>
              <w:rPr>
                <w:szCs w:val="24"/>
              </w:rPr>
            </w:pPr>
            <w:r w:rsidRPr="005C3B55">
              <w:rPr>
                <w:szCs w:val="24"/>
              </w:rPr>
              <w:t>Minimum requirements for the use of plant protection products are not determined, since the requirements relating to the use of these products are standardised and are included in the requirements of cross-compliance.</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Other relevant national/regional requirements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399"/>
              </w:numPr>
              <w:spacing w:before="0" w:after="240"/>
              <w:ind w:hanging="290"/>
              <w:jc w:val="left"/>
              <w:rPr>
                <w:szCs w:val="24"/>
              </w:rPr>
            </w:pPr>
            <w:r w:rsidRPr="005C3B55">
              <w:rPr>
                <w:szCs w:val="24"/>
              </w:rPr>
              <w:t>Other national requirements are not prescribed.</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Minimum activities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400"/>
              </w:numPr>
              <w:spacing w:before="0" w:after="240"/>
              <w:ind w:hanging="290"/>
              <w:jc w:val="left"/>
              <w:rPr>
                <w:szCs w:val="24"/>
              </w:rPr>
            </w:pPr>
            <w:r w:rsidRPr="005C3B55">
              <w:rPr>
                <w:szCs w:val="24"/>
              </w:rPr>
              <w:t>Not relevant.</w:t>
            </w:r>
          </w:p>
          <w:p w:rsidR="00F555D6" w:rsidRPr="005C3B55" w:rsidRDefault="00F555D6" w:rsidP="00F555D6">
            <w:pPr>
              <w:pStyle w:val="Telobesedila"/>
              <w:rPr>
                <w:szCs w:val="24"/>
              </w:rPr>
            </w:pPr>
          </w:p>
        </w:tc>
      </w:tr>
    </w:tbl>
    <w:p w:rsidR="00F555D6" w:rsidRPr="005C3B55" w:rsidRDefault="00F555D6" w:rsidP="00F555D6">
      <w:pPr>
        <w:pStyle w:val="Naslov9"/>
        <w:tabs>
          <w:tab w:val="clear" w:pos="765"/>
        </w:tabs>
        <w:ind w:left="0" w:firstLine="0"/>
        <w:rPr>
          <w:szCs w:val="24"/>
          <w:lang w:val="en-GB"/>
        </w:rPr>
      </w:pPr>
      <w:r w:rsidRPr="005C3B55">
        <w:rPr>
          <w:noProof w:val="0"/>
          <w:szCs w:val="24"/>
          <w:lang w:val="en-GB"/>
        </w:rPr>
        <w:t>Relevant standard agricultural practices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In standard agricultural practice, soil in row spacing on hop plantations is not covered with plants.</w:t>
            </w:r>
          </w:p>
          <w:p w:rsidR="00F555D6" w:rsidRPr="005C3B55" w:rsidRDefault="00F555D6" w:rsidP="00F555D6">
            <w:pPr>
              <w:pStyle w:val="Telobesedila"/>
              <w:rPr>
                <w:szCs w:val="24"/>
              </w:rPr>
            </w:pPr>
          </w:p>
        </w:tc>
      </w:tr>
    </w:tbl>
    <w:p w:rsidR="00F555D6" w:rsidRPr="005C3B55" w:rsidRDefault="00F555D6" w:rsidP="00F555D6">
      <w:pPr>
        <w:pStyle w:val="Naslov5"/>
        <w:tabs>
          <w:tab w:val="clear" w:pos="765"/>
        </w:tabs>
        <w:ind w:left="0" w:firstLine="0"/>
        <w:rPr>
          <w:b w:val="0"/>
          <w:szCs w:val="24"/>
          <w:lang w:val="en-GB"/>
        </w:rPr>
      </w:pPr>
      <w:r w:rsidRPr="005C3B55">
        <w:rPr>
          <w:b w:val="0"/>
          <w:szCs w:val="24"/>
          <w:lang w:val="en-GB"/>
        </w:rPr>
        <w:br w:type="page"/>
        <w:t xml:space="preserve">03. </w:t>
      </w:r>
      <w:r w:rsidRPr="005C3B55">
        <w:rPr>
          <w:b w:val="0"/>
          <w:noProof w:val="0"/>
          <w:szCs w:val="24"/>
          <w:lang w:val="en-GB"/>
        </w:rPr>
        <w:t>Fruit growing</w:t>
      </w:r>
    </w:p>
    <w:p w:rsidR="00F555D6" w:rsidRPr="005C3B55" w:rsidRDefault="00F555D6" w:rsidP="00F555D6">
      <w:pPr>
        <w:spacing w:line="280" w:lineRule="auto"/>
        <w:rPr>
          <w:szCs w:val="24"/>
        </w:rPr>
      </w:pPr>
      <w:r w:rsidRPr="005C3B55">
        <w:rPr>
          <w:szCs w:val="24"/>
        </w:rPr>
        <w:t xml:space="preserve">Sub-measure: </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401"/>
              </w:numPr>
              <w:rPr>
                <w:szCs w:val="24"/>
              </w:rPr>
            </w:pPr>
            <w:r w:rsidRPr="005C3B55">
              <w:rPr>
                <w:szCs w:val="24"/>
              </w:rPr>
              <w:t>10.1 – Payment of agri-environment-climate commitments</w:t>
            </w: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Description of type of operation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The requirements within the operation Fruit growing are intended for preservation and improvement of characteristics and fertility of soil with the controlled use of fertilisers and plant protection products, reduction of soil erosion and nutrient leaching from soil. The implementation of requirements within the operation ‘Fruit growing’ denotes a change in the current agricultural practices.</w:t>
            </w:r>
          </w:p>
          <w:p w:rsidR="00F555D6" w:rsidRPr="005C3B55" w:rsidRDefault="00F555D6" w:rsidP="00F555D6">
            <w:pPr>
              <w:spacing w:before="240" w:after="240" w:line="280" w:lineRule="auto"/>
              <w:rPr>
                <w:szCs w:val="24"/>
              </w:rPr>
            </w:pPr>
            <w:r w:rsidRPr="005C3B55">
              <w:rPr>
                <w:szCs w:val="24"/>
              </w:rPr>
              <w:t>The operation includes mandatory and optional requirements. The beneficiary must implement the mandatory requirements and may also select one or more optional requirements under this operation.</w:t>
            </w:r>
          </w:p>
          <w:p w:rsidR="00F555D6" w:rsidRPr="005C3B55" w:rsidRDefault="00F555D6" w:rsidP="00F555D6">
            <w:pPr>
              <w:spacing w:before="240" w:after="240" w:line="280" w:lineRule="auto"/>
              <w:rPr>
                <w:szCs w:val="24"/>
              </w:rPr>
            </w:pPr>
            <w:r w:rsidRPr="005C3B55">
              <w:rPr>
                <w:szCs w:val="24"/>
              </w:rPr>
              <w:t>In all requirements within the operation Fruit growing, tree density must amount to: at least 150 trees/ha for olive groves, at least 100 trees/ha for orchards with walnut and chestnut, and at least 200 trees/ha for other fruit species and orchards with mixed fruit species.</w:t>
            </w:r>
          </w:p>
          <w:p w:rsidR="00F555D6" w:rsidRPr="005C3B55" w:rsidRDefault="00F555D6" w:rsidP="00F555D6">
            <w:pPr>
              <w:spacing w:before="240" w:after="240" w:line="280" w:lineRule="auto"/>
              <w:rPr>
                <w:szCs w:val="24"/>
              </w:rPr>
            </w:pPr>
            <w:r w:rsidRPr="005C3B55">
              <w:rPr>
                <w:b/>
                <w:szCs w:val="24"/>
              </w:rPr>
              <w:t>A. Mandatory requirements</w:t>
            </w:r>
          </w:p>
          <w:p w:rsidR="00F555D6" w:rsidRPr="005C3B55" w:rsidRDefault="00F555D6" w:rsidP="00F555D6">
            <w:pPr>
              <w:spacing w:before="240" w:after="240" w:line="280" w:lineRule="auto"/>
              <w:rPr>
                <w:szCs w:val="24"/>
              </w:rPr>
            </w:pPr>
            <w:r w:rsidRPr="005C3B55">
              <w:rPr>
                <w:b/>
                <w:i/>
                <w:szCs w:val="24"/>
              </w:rPr>
              <w:t>SAD_VABE: Use of pheromone and sticky traps for the needs of pest control</w:t>
            </w:r>
          </w:p>
          <w:p w:rsidR="00F555D6" w:rsidRPr="005C3B55" w:rsidRDefault="00F555D6" w:rsidP="00F555D6">
            <w:pPr>
              <w:spacing w:before="240" w:after="240" w:line="280" w:lineRule="auto"/>
              <w:rPr>
                <w:szCs w:val="24"/>
              </w:rPr>
            </w:pPr>
            <w:r w:rsidRPr="005C3B55">
              <w:rPr>
                <w:szCs w:val="24"/>
              </w:rPr>
              <w:t>In intensive orchards and olive plantations, with the purpose of making the use of insecticides more rational, pheromone and/or sticky plates are used in the period between 15 March and 15 August of the current year, depending on the occurrence of an individual type of pests, with which the abundance and time of occurrence of pests are monitored as criteria for the necessary measures of protection of plantations. The number of necessary traps for individual varieties of fruit is determined in the instructions from the producers of pheromone traps and sticky plates.</w:t>
            </w:r>
          </w:p>
          <w:p w:rsidR="00F555D6" w:rsidRPr="005C3B55" w:rsidRDefault="00F555D6" w:rsidP="00F555D6">
            <w:pPr>
              <w:spacing w:before="240" w:after="240" w:line="280" w:lineRule="auto"/>
              <w:rPr>
                <w:szCs w:val="24"/>
              </w:rPr>
            </w:pPr>
            <w:r w:rsidRPr="005C3B55">
              <w:rPr>
                <w:szCs w:val="24"/>
              </w:rPr>
              <w:t>The instructions from expert institutions in the field of plant protection are taken into account when implementing this requirement.</w:t>
            </w:r>
          </w:p>
          <w:p w:rsidR="00F555D6" w:rsidRPr="005C3B55" w:rsidRDefault="00F555D6" w:rsidP="00F555D6">
            <w:pPr>
              <w:spacing w:before="240" w:after="240" w:line="280" w:lineRule="auto"/>
              <w:rPr>
                <w:szCs w:val="24"/>
              </w:rPr>
            </w:pPr>
            <w:r w:rsidRPr="005C3B55">
              <w:rPr>
                <w:szCs w:val="24"/>
              </w:rPr>
              <w:t>The implementation of the requirement reduces the use of insecticides from conventional production in intensive orchards and olive plantations by 30 per cent compared to the instructions from expert institutions in the field of plant protection.</w:t>
            </w:r>
          </w:p>
          <w:p w:rsidR="00F555D6" w:rsidRPr="005C3B55" w:rsidRDefault="00F555D6" w:rsidP="00F555D6">
            <w:pPr>
              <w:numPr>
                <w:ilvl w:val="0"/>
                <w:numId w:val="402"/>
              </w:numPr>
              <w:spacing w:before="240" w:after="0"/>
              <w:ind w:hanging="290"/>
              <w:jc w:val="left"/>
              <w:rPr>
                <w:szCs w:val="24"/>
              </w:rPr>
            </w:pPr>
            <w:r w:rsidRPr="005C3B55">
              <w:rPr>
                <w:szCs w:val="24"/>
              </w:rPr>
              <w:t>Livestock density: not relevant.</w:t>
            </w:r>
          </w:p>
          <w:p w:rsidR="00F555D6" w:rsidRPr="005C3B55" w:rsidRDefault="00F555D6" w:rsidP="00F555D6">
            <w:pPr>
              <w:numPr>
                <w:ilvl w:val="0"/>
                <w:numId w:val="402"/>
              </w:numPr>
              <w:spacing w:before="0" w:after="0"/>
              <w:ind w:hanging="290"/>
              <w:jc w:val="left"/>
              <w:rPr>
                <w:szCs w:val="24"/>
              </w:rPr>
            </w:pPr>
            <w:r w:rsidRPr="005C3B55">
              <w:rPr>
                <w:szCs w:val="24"/>
              </w:rPr>
              <w:t>Use: intensive orchards, olive groves.</w:t>
            </w:r>
          </w:p>
          <w:p w:rsidR="00F555D6" w:rsidRPr="005C3B55" w:rsidRDefault="00F555D6" w:rsidP="00F555D6">
            <w:pPr>
              <w:numPr>
                <w:ilvl w:val="0"/>
                <w:numId w:val="402"/>
              </w:numPr>
              <w:spacing w:before="0" w:after="0"/>
              <w:ind w:hanging="290"/>
              <w:jc w:val="left"/>
              <w:rPr>
                <w:szCs w:val="24"/>
              </w:rPr>
            </w:pPr>
            <w:r w:rsidRPr="005C3B55">
              <w:rPr>
                <w:szCs w:val="24"/>
              </w:rPr>
              <w:t>Coverage: part of the area.</w:t>
            </w:r>
          </w:p>
          <w:p w:rsidR="00F555D6" w:rsidRPr="005C3B55" w:rsidRDefault="00F555D6" w:rsidP="00F555D6">
            <w:pPr>
              <w:numPr>
                <w:ilvl w:val="0"/>
                <w:numId w:val="402"/>
              </w:numPr>
              <w:spacing w:before="0" w:after="0"/>
              <w:ind w:hanging="290"/>
              <w:jc w:val="left"/>
              <w:rPr>
                <w:szCs w:val="24"/>
              </w:rPr>
            </w:pPr>
            <w:r w:rsidRPr="005C3B55">
              <w:rPr>
                <w:szCs w:val="24"/>
              </w:rPr>
              <w:t>Location: not relevant.</w:t>
            </w:r>
          </w:p>
          <w:p w:rsidR="00F555D6" w:rsidRPr="005C3B55" w:rsidRDefault="00F555D6" w:rsidP="00F555D6">
            <w:pPr>
              <w:numPr>
                <w:ilvl w:val="0"/>
                <w:numId w:val="402"/>
              </w:numPr>
              <w:spacing w:before="0" w:after="240"/>
              <w:ind w:hanging="290"/>
              <w:jc w:val="left"/>
              <w:rPr>
                <w:szCs w:val="24"/>
              </w:rPr>
            </w:pPr>
            <w:r w:rsidRPr="005C3B55">
              <w:rPr>
                <w:szCs w:val="24"/>
              </w:rPr>
              <w:t>Implementation area: whole Slovenia.</w:t>
            </w:r>
          </w:p>
          <w:p w:rsidR="00F555D6" w:rsidRPr="005C3B55" w:rsidRDefault="00F555D6" w:rsidP="00F555D6">
            <w:pPr>
              <w:spacing w:before="240" w:after="240" w:line="280" w:lineRule="auto"/>
              <w:rPr>
                <w:szCs w:val="24"/>
              </w:rPr>
            </w:pPr>
            <w:r w:rsidRPr="005C3B55">
              <w:rPr>
                <w:szCs w:val="24"/>
              </w:rPr>
              <w:t>Effects:</w:t>
            </w:r>
          </w:p>
          <w:p w:rsidR="00F555D6" w:rsidRPr="005C3B55" w:rsidRDefault="00F555D6" w:rsidP="00F555D6">
            <w:pPr>
              <w:numPr>
                <w:ilvl w:val="0"/>
                <w:numId w:val="403"/>
              </w:numPr>
              <w:spacing w:before="240" w:after="0"/>
              <w:ind w:hanging="290"/>
              <w:jc w:val="left"/>
              <w:rPr>
                <w:szCs w:val="24"/>
              </w:rPr>
            </w:pPr>
            <w:r w:rsidRPr="005C3B55">
              <w:rPr>
                <w:szCs w:val="24"/>
              </w:rPr>
              <w:t>establishing the abundance and time of occurrence of pests as a criteria for the necessary protection measures;</w:t>
            </w:r>
          </w:p>
          <w:p w:rsidR="00F555D6" w:rsidRPr="005C3B55" w:rsidRDefault="00F555D6" w:rsidP="00F555D6">
            <w:pPr>
              <w:numPr>
                <w:ilvl w:val="0"/>
                <w:numId w:val="403"/>
              </w:numPr>
              <w:spacing w:before="0" w:after="0"/>
              <w:ind w:hanging="290"/>
              <w:jc w:val="left"/>
              <w:rPr>
                <w:szCs w:val="24"/>
              </w:rPr>
            </w:pPr>
            <w:r w:rsidRPr="005C3B55">
              <w:rPr>
                <w:szCs w:val="24"/>
              </w:rPr>
              <w:t>more precise determination of the damage threshold and time of treatment;</w:t>
            </w:r>
          </w:p>
          <w:p w:rsidR="00F555D6" w:rsidRPr="005C3B55" w:rsidRDefault="00F555D6" w:rsidP="00F555D6">
            <w:pPr>
              <w:numPr>
                <w:ilvl w:val="0"/>
                <w:numId w:val="403"/>
              </w:numPr>
              <w:spacing w:before="0" w:after="240"/>
              <w:ind w:hanging="290"/>
              <w:jc w:val="left"/>
              <w:rPr>
                <w:szCs w:val="24"/>
              </w:rPr>
            </w:pPr>
            <w:r w:rsidRPr="005C3B55">
              <w:rPr>
                <w:szCs w:val="24"/>
              </w:rPr>
              <w:t>reduced use of plant protection products – insecticides.</w:t>
            </w:r>
          </w:p>
          <w:p w:rsidR="00F555D6" w:rsidRPr="005C3B55" w:rsidRDefault="00F555D6" w:rsidP="00F555D6">
            <w:pPr>
              <w:spacing w:before="240" w:after="240" w:line="280" w:lineRule="auto"/>
              <w:rPr>
                <w:szCs w:val="24"/>
              </w:rPr>
            </w:pPr>
            <w:r w:rsidRPr="005C3B55">
              <w:rPr>
                <w:b/>
                <w:i/>
                <w:szCs w:val="24"/>
              </w:rPr>
              <w:t>SAD EKGN Only fertilisers permitted in organic production may be used</w:t>
            </w:r>
          </w:p>
          <w:p w:rsidR="00F555D6" w:rsidRPr="005C3B55" w:rsidRDefault="00F555D6" w:rsidP="00F555D6">
            <w:pPr>
              <w:spacing w:before="240" w:after="240" w:line="280" w:lineRule="auto"/>
              <w:rPr>
                <w:szCs w:val="24"/>
              </w:rPr>
            </w:pPr>
            <w:r w:rsidRPr="005C3B55">
              <w:rPr>
                <w:szCs w:val="24"/>
              </w:rPr>
              <w:t>Only fertilisers permitted in organic farming in accordance with Annex I to Regulation (EC) No 889/2008 may be used for soil fertilisation. The implementation of the requirement improves the structure and fertility of soil, increases the resistance of plants to diseases and facilitates the creation of humus in soil.</w:t>
            </w:r>
          </w:p>
          <w:p w:rsidR="00F555D6" w:rsidRPr="005C3B55" w:rsidRDefault="00F555D6" w:rsidP="00F555D6">
            <w:pPr>
              <w:numPr>
                <w:ilvl w:val="0"/>
                <w:numId w:val="404"/>
              </w:numPr>
              <w:spacing w:before="240" w:after="0"/>
              <w:ind w:hanging="290"/>
              <w:jc w:val="left"/>
              <w:rPr>
                <w:szCs w:val="24"/>
              </w:rPr>
            </w:pPr>
            <w:r w:rsidRPr="005C3B55">
              <w:rPr>
                <w:szCs w:val="24"/>
              </w:rPr>
              <w:t>Livestock density: not relevant.</w:t>
            </w:r>
          </w:p>
          <w:p w:rsidR="00F555D6" w:rsidRPr="005C3B55" w:rsidRDefault="00F555D6" w:rsidP="00F555D6">
            <w:pPr>
              <w:numPr>
                <w:ilvl w:val="0"/>
                <w:numId w:val="404"/>
              </w:numPr>
              <w:spacing w:before="0" w:after="0"/>
              <w:ind w:hanging="290"/>
              <w:jc w:val="left"/>
              <w:rPr>
                <w:szCs w:val="24"/>
              </w:rPr>
            </w:pPr>
            <w:r w:rsidRPr="005C3B55">
              <w:rPr>
                <w:szCs w:val="24"/>
              </w:rPr>
              <w:t>Use: intensive orchards, olive groves.</w:t>
            </w:r>
          </w:p>
          <w:p w:rsidR="00F555D6" w:rsidRPr="005C3B55" w:rsidRDefault="00F555D6" w:rsidP="00F555D6">
            <w:pPr>
              <w:numPr>
                <w:ilvl w:val="0"/>
                <w:numId w:val="404"/>
              </w:numPr>
              <w:spacing w:before="0" w:after="0"/>
              <w:ind w:hanging="290"/>
              <w:jc w:val="left"/>
              <w:rPr>
                <w:szCs w:val="24"/>
              </w:rPr>
            </w:pPr>
            <w:r w:rsidRPr="005C3B55">
              <w:rPr>
                <w:szCs w:val="24"/>
              </w:rPr>
              <w:t>Coverage: all surfaces of intensive orchards, olive plantations.</w:t>
            </w:r>
          </w:p>
          <w:p w:rsidR="00F555D6" w:rsidRPr="005C3B55" w:rsidRDefault="00F555D6" w:rsidP="00F555D6">
            <w:pPr>
              <w:numPr>
                <w:ilvl w:val="0"/>
                <w:numId w:val="404"/>
              </w:numPr>
              <w:spacing w:before="0" w:after="0"/>
              <w:ind w:hanging="290"/>
              <w:jc w:val="left"/>
              <w:rPr>
                <w:szCs w:val="24"/>
              </w:rPr>
            </w:pPr>
            <w:r w:rsidRPr="005C3B55">
              <w:rPr>
                <w:szCs w:val="24"/>
              </w:rPr>
              <w:t>Location: the same throughout the commitment.</w:t>
            </w:r>
          </w:p>
          <w:p w:rsidR="00F555D6" w:rsidRPr="005C3B55" w:rsidRDefault="00F555D6" w:rsidP="00F555D6">
            <w:pPr>
              <w:numPr>
                <w:ilvl w:val="0"/>
                <w:numId w:val="404"/>
              </w:numPr>
              <w:spacing w:before="0" w:after="240"/>
              <w:ind w:hanging="290"/>
              <w:jc w:val="left"/>
              <w:rPr>
                <w:szCs w:val="24"/>
              </w:rPr>
            </w:pPr>
            <w:r w:rsidRPr="005C3B55">
              <w:rPr>
                <w:szCs w:val="24"/>
              </w:rPr>
              <w:t>Implementation area: whole Slovenia.</w:t>
            </w:r>
          </w:p>
          <w:p w:rsidR="00F555D6" w:rsidRPr="005C3B55" w:rsidRDefault="00F555D6" w:rsidP="00F555D6">
            <w:pPr>
              <w:spacing w:before="240" w:after="240" w:line="280" w:lineRule="auto"/>
              <w:rPr>
                <w:szCs w:val="24"/>
              </w:rPr>
            </w:pPr>
            <w:r w:rsidRPr="005C3B55">
              <w:rPr>
                <w:szCs w:val="24"/>
              </w:rPr>
              <w:t>Effects:</w:t>
            </w:r>
          </w:p>
          <w:p w:rsidR="00F555D6" w:rsidRPr="005C3B55" w:rsidRDefault="00F555D6" w:rsidP="00F555D6">
            <w:pPr>
              <w:numPr>
                <w:ilvl w:val="0"/>
                <w:numId w:val="405"/>
              </w:numPr>
              <w:spacing w:before="240" w:after="0"/>
              <w:ind w:hanging="290"/>
              <w:jc w:val="left"/>
              <w:rPr>
                <w:szCs w:val="24"/>
              </w:rPr>
            </w:pPr>
            <w:r w:rsidRPr="005C3B55">
              <w:rPr>
                <w:szCs w:val="24"/>
              </w:rPr>
              <w:t>improving structure and fertility of soil;</w:t>
            </w:r>
          </w:p>
          <w:p w:rsidR="00F555D6" w:rsidRPr="005C3B55" w:rsidRDefault="00F555D6" w:rsidP="00F555D6">
            <w:pPr>
              <w:numPr>
                <w:ilvl w:val="0"/>
                <w:numId w:val="405"/>
              </w:numPr>
              <w:spacing w:before="0" w:after="0"/>
              <w:ind w:hanging="290"/>
              <w:jc w:val="left"/>
              <w:rPr>
                <w:szCs w:val="24"/>
              </w:rPr>
            </w:pPr>
            <w:r w:rsidRPr="005C3B55">
              <w:rPr>
                <w:szCs w:val="24"/>
              </w:rPr>
              <w:t>increased resistance of crop to diseases;</w:t>
            </w:r>
          </w:p>
          <w:p w:rsidR="00F555D6" w:rsidRPr="005C3B55" w:rsidRDefault="00F555D6" w:rsidP="00F555D6">
            <w:pPr>
              <w:numPr>
                <w:ilvl w:val="0"/>
                <w:numId w:val="405"/>
              </w:numPr>
              <w:spacing w:before="0" w:after="0"/>
              <w:ind w:hanging="290"/>
              <w:jc w:val="left"/>
              <w:rPr>
                <w:szCs w:val="24"/>
              </w:rPr>
            </w:pPr>
            <w:r w:rsidRPr="005C3B55">
              <w:rPr>
                <w:szCs w:val="24"/>
              </w:rPr>
              <w:t>increasing the amount of organic matter in soil;</w:t>
            </w:r>
          </w:p>
          <w:p w:rsidR="00F555D6" w:rsidRPr="005C3B55" w:rsidRDefault="00F555D6" w:rsidP="00F555D6">
            <w:pPr>
              <w:numPr>
                <w:ilvl w:val="0"/>
                <w:numId w:val="405"/>
              </w:numPr>
              <w:spacing w:before="0" w:after="240"/>
              <w:ind w:hanging="290"/>
              <w:jc w:val="left"/>
              <w:rPr>
                <w:szCs w:val="24"/>
              </w:rPr>
            </w:pPr>
            <w:r w:rsidRPr="005C3B55">
              <w:rPr>
                <w:szCs w:val="24"/>
              </w:rPr>
              <w:t>increasing the microbiological activity of soil.</w:t>
            </w:r>
          </w:p>
          <w:p w:rsidR="00F555D6" w:rsidRPr="005C3B55" w:rsidRDefault="00F555D6" w:rsidP="00F555D6">
            <w:pPr>
              <w:spacing w:before="240" w:after="240" w:line="280" w:lineRule="auto"/>
              <w:rPr>
                <w:szCs w:val="24"/>
              </w:rPr>
            </w:pPr>
            <w:r w:rsidRPr="005C3B55">
              <w:rPr>
                <w:b/>
                <w:szCs w:val="24"/>
              </w:rPr>
              <w:t>B. Optional requirements</w:t>
            </w:r>
          </w:p>
          <w:p w:rsidR="00F555D6" w:rsidRPr="005C3B55" w:rsidRDefault="00F555D6" w:rsidP="00F555D6">
            <w:pPr>
              <w:spacing w:before="240" w:after="240" w:line="280" w:lineRule="auto"/>
              <w:rPr>
                <w:szCs w:val="24"/>
              </w:rPr>
            </w:pPr>
            <w:r w:rsidRPr="005C3B55">
              <w:rPr>
                <w:b/>
                <w:i/>
                <w:szCs w:val="24"/>
              </w:rPr>
              <w:t>SAD_KONF: Use of confusion and disorientation method</w:t>
            </w:r>
          </w:p>
          <w:p w:rsidR="00F555D6" w:rsidRPr="005C3B55" w:rsidRDefault="00F555D6" w:rsidP="00F555D6">
            <w:pPr>
              <w:spacing w:before="240" w:after="240" w:line="280" w:lineRule="auto"/>
              <w:rPr>
                <w:szCs w:val="24"/>
              </w:rPr>
            </w:pPr>
            <w:r w:rsidRPr="005C3B55">
              <w:rPr>
                <w:szCs w:val="24"/>
              </w:rPr>
              <w:t>The requirement represents the use of alternative methods of pest control, which is much more environmentally friendly than using only plant protection products. It is an alternative method of plant protection with pheromone dispensers, which are used before the beginning or at the very beginning of pest infestation. Dispensers are used as a supplementary method against all genera of certain pests, primarily the codling moth and peach moth for apple, pear and peach trees.</w:t>
            </w:r>
          </w:p>
          <w:p w:rsidR="00F555D6" w:rsidRPr="005C3B55" w:rsidRDefault="00F555D6" w:rsidP="00F555D6">
            <w:pPr>
              <w:spacing w:before="240" w:after="240" w:line="280" w:lineRule="auto"/>
              <w:rPr>
                <w:szCs w:val="24"/>
              </w:rPr>
            </w:pPr>
            <w:r w:rsidRPr="005C3B55">
              <w:rPr>
                <w:szCs w:val="24"/>
              </w:rPr>
              <w:t>The confusion and disorientation method is used on the basis of recommendations from expert institutions in the field of plant protection. The number of necessary dispensers is determined in instructions from the producer of dispensers.</w:t>
            </w:r>
          </w:p>
          <w:p w:rsidR="00F555D6" w:rsidRPr="005C3B55" w:rsidRDefault="00F555D6" w:rsidP="00F555D6">
            <w:pPr>
              <w:spacing w:before="240" w:after="240" w:line="280" w:lineRule="auto"/>
              <w:rPr>
                <w:szCs w:val="24"/>
              </w:rPr>
            </w:pPr>
            <w:r w:rsidRPr="005C3B55">
              <w:rPr>
                <w:szCs w:val="24"/>
              </w:rPr>
              <w:t>The confusion method is about using a smaller number of pheromone dispensers with a larger concentration of pheromone, which create so-called pheromone mist, in which males do not detect the weak source of natural pheromone emitted by females. In the disorientation method, a large number of dispensers with a low concentration of pheromone compete with females in attracting males. The combined result of the two methods is a considerable reduction of mating and, consequently, the number of larvae of the next generation of the pest.</w:t>
            </w:r>
          </w:p>
          <w:p w:rsidR="00F555D6" w:rsidRPr="005C3B55" w:rsidRDefault="00F555D6" w:rsidP="00F555D6">
            <w:pPr>
              <w:numPr>
                <w:ilvl w:val="0"/>
                <w:numId w:val="406"/>
              </w:numPr>
              <w:spacing w:before="240" w:after="0"/>
              <w:ind w:hanging="290"/>
              <w:jc w:val="left"/>
              <w:rPr>
                <w:szCs w:val="24"/>
              </w:rPr>
            </w:pPr>
            <w:r w:rsidRPr="005C3B55">
              <w:rPr>
                <w:szCs w:val="24"/>
              </w:rPr>
              <w:t>Livestock density: not relevant.</w:t>
            </w:r>
          </w:p>
          <w:p w:rsidR="00F555D6" w:rsidRPr="005C3B55" w:rsidRDefault="00F555D6" w:rsidP="00F555D6">
            <w:pPr>
              <w:numPr>
                <w:ilvl w:val="0"/>
                <w:numId w:val="406"/>
              </w:numPr>
              <w:spacing w:before="0" w:after="0"/>
              <w:ind w:hanging="290"/>
              <w:jc w:val="left"/>
              <w:rPr>
                <w:szCs w:val="24"/>
              </w:rPr>
            </w:pPr>
            <w:r w:rsidRPr="005C3B55">
              <w:rPr>
                <w:szCs w:val="24"/>
              </w:rPr>
              <w:t>Use: intensive orchards, olive groves.</w:t>
            </w:r>
          </w:p>
          <w:p w:rsidR="00F555D6" w:rsidRPr="005C3B55" w:rsidRDefault="00F555D6" w:rsidP="00F555D6">
            <w:pPr>
              <w:numPr>
                <w:ilvl w:val="0"/>
                <w:numId w:val="406"/>
              </w:numPr>
              <w:spacing w:before="0" w:after="0"/>
              <w:ind w:hanging="290"/>
              <w:jc w:val="left"/>
              <w:rPr>
                <w:szCs w:val="24"/>
              </w:rPr>
            </w:pPr>
            <w:r w:rsidRPr="005C3B55">
              <w:rPr>
                <w:szCs w:val="24"/>
              </w:rPr>
              <w:t>Coverage: part of the area.</w:t>
            </w:r>
          </w:p>
          <w:p w:rsidR="00F555D6" w:rsidRPr="005C3B55" w:rsidRDefault="00F555D6" w:rsidP="00F555D6">
            <w:pPr>
              <w:numPr>
                <w:ilvl w:val="0"/>
                <w:numId w:val="406"/>
              </w:numPr>
              <w:spacing w:before="0" w:after="0"/>
              <w:ind w:hanging="290"/>
              <w:jc w:val="left"/>
              <w:rPr>
                <w:szCs w:val="24"/>
              </w:rPr>
            </w:pPr>
            <w:r w:rsidRPr="005C3B55">
              <w:rPr>
                <w:szCs w:val="24"/>
              </w:rPr>
              <w:t>Location: not relevant.</w:t>
            </w:r>
          </w:p>
          <w:p w:rsidR="00F555D6" w:rsidRPr="005C3B55" w:rsidRDefault="00F555D6" w:rsidP="00F555D6">
            <w:pPr>
              <w:numPr>
                <w:ilvl w:val="0"/>
                <w:numId w:val="406"/>
              </w:numPr>
              <w:spacing w:before="0" w:after="240"/>
              <w:ind w:hanging="290"/>
              <w:jc w:val="left"/>
              <w:rPr>
                <w:szCs w:val="24"/>
              </w:rPr>
            </w:pPr>
            <w:r w:rsidRPr="005C3B55">
              <w:rPr>
                <w:szCs w:val="24"/>
              </w:rPr>
              <w:t>Implementation area: whole Slovenia.</w:t>
            </w:r>
          </w:p>
          <w:p w:rsidR="00F555D6" w:rsidRPr="005C3B55" w:rsidRDefault="00F555D6" w:rsidP="00F555D6">
            <w:pPr>
              <w:spacing w:before="240" w:after="240" w:line="280" w:lineRule="auto"/>
              <w:rPr>
                <w:szCs w:val="24"/>
              </w:rPr>
            </w:pPr>
            <w:r w:rsidRPr="005C3B55">
              <w:rPr>
                <w:szCs w:val="24"/>
              </w:rPr>
              <w:t>Effects:</w:t>
            </w:r>
          </w:p>
          <w:p w:rsidR="00F555D6" w:rsidRPr="005C3B55" w:rsidRDefault="00F555D6" w:rsidP="00F555D6">
            <w:pPr>
              <w:numPr>
                <w:ilvl w:val="0"/>
                <w:numId w:val="407"/>
              </w:numPr>
              <w:spacing w:before="240" w:after="240"/>
              <w:ind w:hanging="290"/>
              <w:jc w:val="left"/>
              <w:rPr>
                <w:szCs w:val="24"/>
              </w:rPr>
            </w:pPr>
            <w:r w:rsidRPr="005C3B55">
              <w:rPr>
                <w:szCs w:val="24"/>
              </w:rPr>
              <w:t>reduced use of  insecticides.</w:t>
            </w:r>
          </w:p>
          <w:p w:rsidR="00F555D6" w:rsidRPr="005C3B55" w:rsidRDefault="00F555D6" w:rsidP="00F555D6">
            <w:pPr>
              <w:spacing w:before="240" w:after="240" w:line="280" w:lineRule="auto"/>
              <w:rPr>
                <w:szCs w:val="24"/>
              </w:rPr>
            </w:pPr>
            <w:r w:rsidRPr="005C3B55">
              <w:rPr>
                <w:b/>
                <w:i/>
                <w:szCs w:val="24"/>
              </w:rPr>
              <w:t>SAD_MEHZ: Mechanical weeding (under trees)</w:t>
            </w:r>
          </w:p>
          <w:p w:rsidR="00F555D6" w:rsidRPr="005C3B55" w:rsidRDefault="00F555D6" w:rsidP="00F555D6">
            <w:pPr>
              <w:spacing w:before="240" w:after="240" w:line="280" w:lineRule="auto"/>
              <w:rPr>
                <w:szCs w:val="24"/>
              </w:rPr>
            </w:pPr>
            <w:r w:rsidRPr="005C3B55">
              <w:rPr>
                <w:szCs w:val="24"/>
              </w:rPr>
              <w:t>The requirement is intended for prohibition of the use of herbicides. It also contributes to retention of moisture in the soil and protection of plants against extreme temperatures.</w:t>
            </w:r>
          </w:p>
          <w:p w:rsidR="00F555D6" w:rsidRPr="005C3B55" w:rsidRDefault="00F555D6" w:rsidP="00F555D6">
            <w:pPr>
              <w:spacing w:before="240" w:after="240" w:line="280" w:lineRule="auto"/>
              <w:rPr>
                <w:szCs w:val="24"/>
              </w:rPr>
            </w:pPr>
            <w:r w:rsidRPr="005C3B55">
              <w:rPr>
                <w:szCs w:val="24"/>
              </w:rPr>
              <w:t>Mechanical weeding is implemented only in the cultivates strip under trees.</w:t>
            </w:r>
          </w:p>
          <w:p w:rsidR="00F555D6" w:rsidRPr="005C3B55" w:rsidRDefault="00F555D6" w:rsidP="00F555D6">
            <w:pPr>
              <w:spacing w:before="240" w:after="240" w:line="280" w:lineRule="auto"/>
              <w:rPr>
                <w:szCs w:val="24"/>
              </w:rPr>
            </w:pPr>
            <w:r w:rsidRPr="005C3B55">
              <w:rPr>
                <w:szCs w:val="24"/>
              </w:rPr>
              <w:t>Since the use of herbicides is not permitted, the implementation of the requirement results in the reduction of the total use of plant protection products.</w:t>
            </w:r>
          </w:p>
          <w:p w:rsidR="00F555D6" w:rsidRPr="005C3B55" w:rsidRDefault="00F555D6" w:rsidP="00F555D6">
            <w:pPr>
              <w:numPr>
                <w:ilvl w:val="0"/>
                <w:numId w:val="408"/>
              </w:numPr>
              <w:spacing w:before="240" w:after="0"/>
              <w:ind w:hanging="290"/>
              <w:jc w:val="left"/>
              <w:rPr>
                <w:szCs w:val="24"/>
              </w:rPr>
            </w:pPr>
            <w:r w:rsidRPr="005C3B55">
              <w:rPr>
                <w:szCs w:val="24"/>
              </w:rPr>
              <w:t>Livestock density: not relevant.</w:t>
            </w:r>
          </w:p>
          <w:p w:rsidR="00F555D6" w:rsidRPr="005C3B55" w:rsidRDefault="00F555D6" w:rsidP="00F555D6">
            <w:pPr>
              <w:numPr>
                <w:ilvl w:val="0"/>
                <w:numId w:val="408"/>
              </w:numPr>
              <w:spacing w:before="0" w:after="0"/>
              <w:ind w:hanging="290"/>
              <w:jc w:val="left"/>
              <w:rPr>
                <w:szCs w:val="24"/>
              </w:rPr>
            </w:pPr>
            <w:r w:rsidRPr="005C3B55">
              <w:rPr>
                <w:szCs w:val="24"/>
              </w:rPr>
              <w:t>Use: intensive orchards, olive groves.</w:t>
            </w:r>
          </w:p>
          <w:p w:rsidR="00F555D6" w:rsidRPr="005C3B55" w:rsidRDefault="00F555D6" w:rsidP="00F555D6">
            <w:pPr>
              <w:numPr>
                <w:ilvl w:val="0"/>
                <w:numId w:val="408"/>
              </w:numPr>
              <w:spacing w:before="0" w:after="0"/>
              <w:ind w:hanging="290"/>
              <w:jc w:val="left"/>
              <w:rPr>
                <w:szCs w:val="24"/>
              </w:rPr>
            </w:pPr>
            <w:r w:rsidRPr="005C3B55">
              <w:rPr>
                <w:szCs w:val="24"/>
              </w:rPr>
              <w:t>Coverage: part of the area.</w:t>
            </w:r>
          </w:p>
          <w:p w:rsidR="00F555D6" w:rsidRPr="005C3B55" w:rsidRDefault="00F555D6" w:rsidP="00F555D6">
            <w:pPr>
              <w:numPr>
                <w:ilvl w:val="0"/>
                <w:numId w:val="408"/>
              </w:numPr>
              <w:spacing w:before="0" w:after="0"/>
              <w:ind w:hanging="290"/>
              <w:jc w:val="left"/>
              <w:rPr>
                <w:szCs w:val="24"/>
              </w:rPr>
            </w:pPr>
            <w:r w:rsidRPr="005C3B55">
              <w:rPr>
                <w:szCs w:val="24"/>
              </w:rPr>
              <w:t>Location: not relevant.</w:t>
            </w:r>
          </w:p>
          <w:p w:rsidR="00F555D6" w:rsidRPr="005C3B55" w:rsidRDefault="00F555D6" w:rsidP="00F555D6">
            <w:pPr>
              <w:numPr>
                <w:ilvl w:val="0"/>
                <w:numId w:val="408"/>
              </w:numPr>
              <w:spacing w:before="0" w:after="240"/>
              <w:ind w:hanging="290"/>
              <w:jc w:val="left"/>
              <w:rPr>
                <w:szCs w:val="24"/>
              </w:rPr>
            </w:pPr>
            <w:r w:rsidRPr="005C3B55">
              <w:rPr>
                <w:szCs w:val="24"/>
              </w:rPr>
              <w:t>Implementation area: whole Slovenia.</w:t>
            </w:r>
          </w:p>
          <w:p w:rsidR="00F555D6" w:rsidRPr="005C3B55" w:rsidRDefault="00F555D6" w:rsidP="00F555D6">
            <w:pPr>
              <w:spacing w:before="240" w:after="240" w:line="280" w:lineRule="auto"/>
              <w:rPr>
                <w:szCs w:val="24"/>
              </w:rPr>
            </w:pPr>
            <w:r w:rsidRPr="005C3B55">
              <w:rPr>
                <w:szCs w:val="24"/>
              </w:rPr>
              <w:t>Effects:</w:t>
            </w:r>
          </w:p>
          <w:p w:rsidR="00F555D6" w:rsidRPr="005C3B55" w:rsidRDefault="00F555D6" w:rsidP="00F555D6">
            <w:pPr>
              <w:numPr>
                <w:ilvl w:val="0"/>
                <w:numId w:val="409"/>
              </w:numPr>
              <w:spacing w:before="240" w:after="0"/>
              <w:ind w:hanging="290"/>
              <w:jc w:val="left"/>
              <w:rPr>
                <w:szCs w:val="24"/>
              </w:rPr>
            </w:pPr>
            <w:r w:rsidRPr="005C3B55">
              <w:rPr>
                <w:szCs w:val="24"/>
              </w:rPr>
              <w:t>weeding without the use of herbicides;</w:t>
            </w:r>
          </w:p>
          <w:p w:rsidR="00F555D6" w:rsidRPr="005C3B55" w:rsidRDefault="00F555D6" w:rsidP="00F555D6">
            <w:pPr>
              <w:numPr>
                <w:ilvl w:val="0"/>
                <w:numId w:val="409"/>
              </w:numPr>
              <w:spacing w:before="0" w:after="0"/>
              <w:ind w:hanging="290"/>
              <w:jc w:val="left"/>
              <w:rPr>
                <w:szCs w:val="24"/>
              </w:rPr>
            </w:pPr>
            <w:r w:rsidRPr="005C3B55">
              <w:rPr>
                <w:szCs w:val="24"/>
              </w:rPr>
              <w:t>stimulating favourable organisms in soil;</w:t>
            </w:r>
          </w:p>
          <w:p w:rsidR="00F555D6" w:rsidRPr="005C3B55" w:rsidRDefault="00F555D6" w:rsidP="00F555D6">
            <w:pPr>
              <w:numPr>
                <w:ilvl w:val="0"/>
                <w:numId w:val="409"/>
              </w:numPr>
              <w:spacing w:before="0" w:after="240"/>
              <w:ind w:hanging="290"/>
              <w:jc w:val="left"/>
              <w:rPr>
                <w:szCs w:val="24"/>
              </w:rPr>
            </w:pPr>
            <w:r w:rsidRPr="005C3B55">
              <w:rPr>
                <w:szCs w:val="24"/>
              </w:rPr>
              <w:t>retaining moisture in soil.</w:t>
            </w:r>
          </w:p>
          <w:p w:rsidR="00F555D6" w:rsidRPr="005C3B55" w:rsidRDefault="00F555D6" w:rsidP="00F555D6">
            <w:pPr>
              <w:spacing w:before="240" w:after="240" w:line="280" w:lineRule="auto"/>
              <w:rPr>
                <w:szCs w:val="24"/>
              </w:rPr>
            </w:pPr>
            <w:r w:rsidRPr="005C3B55">
              <w:rPr>
                <w:b/>
                <w:i/>
                <w:szCs w:val="24"/>
              </w:rPr>
              <w:t>SAD_POKT: Land cover in row spacing with managed fallow</w:t>
            </w:r>
          </w:p>
          <w:p w:rsidR="00F555D6" w:rsidRPr="005C3B55" w:rsidRDefault="00F555D6" w:rsidP="00F555D6">
            <w:pPr>
              <w:spacing w:before="240" w:after="240" w:line="280" w:lineRule="auto"/>
              <w:rPr>
                <w:szCs w:val="24"/>
              </w:rPr>
            </w:pPr>
            <w:r w:rsidRPr="005C3B55">
              <w:rPr>
                <w:szCs w:val="24"/>
              </w:rPr>
              <w:t>The implementation of the requirement contributes to the enrichment of soil with organic matter and nutrients, increasing the amount of humus in soil and improvement of the air-water balance in soil. It is about covering land with useful plants (sowing of one plant type or as mixture).</w:t>
            </w:r>
          </w:p>
          <w:p w:rsidR="00F555D6" w:rsidRPr="005C3B55" w:rsidRDefault="00F555D6" w:rsidP="00F555D6">
            <w:pPr>
              <w:spacing w:before="240" w:after="240" w:line="280" w:lineRule="auto"/>
              <w:rPr>
                <w:szCs w:val="24"/>
              </w:rPr>
            </w:pPr>
            <w:r w:rsidRPr="005C3B55">
              <w:rPr>
                <w:szCs w:val="24"/>
              </w:rPr>
              <w:t>The requirement is implemented in row spacing which is covered by managed fallow. After harvesting, soil in the row spacing is treated with a ripper, which breaks up the ground hardened by machines (wheel tracks). Various types of plants are sown in the tilled ground, which are trimmed when they reach the proper size. This fertilises and enriches soil with organic matter. Roots of selected plants that reach deep into the soil loosen and provide air to the deeper layers of soil.</w:t>
            </w:r>
          </w:p>
          <w:p w:rsidR="00F555D6" w:rsidRPr="005C3B55" w:rsidRDefault="00F555D6" w:rsidP="00F555D6">
            <w:pPr>
              <w:spacing w:before="240" w:after="240" w:line="280" w:lineRule="auto"/>
              <w:rPr>
                <w:szCs w:val="24"/>
              </w:rPr>
            </w:pPr>
            <w:r w:rsidRPr="005C3B55">
              <w:rPr>
                <w:szCs w:val="24"/>
              </w:rPr>
              <w:t>Land cover is implemented in every other row spacing in an individual year.</w:t>
            </w:r>
          </w:p>
          <w:p w:rsidR="00F555D6" w:rsidRPr="005C3B55" w:rsidRDefault="00F555D6" w:rsidP="00F555D6">
            <w:pPr>
              <w:numPr>
                <w:ilvl w:val="0"/>
                <w:numId w:val="410"/>
              </w:numPr>
              <w:spacing w:before="240" w:after="0"/>
              <w:ind w:hanging="290"/>
              <w:jc w:val="left"/>
              <w:rPr>
                <w:szCs w:val="24"/>
              </w:rPr>
            </w:pPr>
            <w:r w:rsidRPr="005C3B55">
              <w:rPr>
                <w:szCs w:val="24"/>
              </w:rPr>
              <w:t>Livestock density: not relevant.</w:t>
            </w:r>
          </w:p>
          <w:p w:rsidR="00F555D6" w:rsidRPr="005C3B55" w:rsidRDefault="00F555D6" w:rsidP="00F555D6">
            <w:pPr>
              <w:numPr>
                <w:ilvl w:val="0"/>
                <w:numId w:val="410"/>
              </w:numPr>
              <w:spacing w:before="0" w:after="0"/>
              <w:ind w:hanging="290"/>
              <w:jc w:val="left"/>
              <w:rPr>
                <w:szCs w:val="24"/>
              </w:rPr>
            </w:pPr>
            <w:r w:rsidRPr="005C3B55">
              <w:rPr>
                <w:szCs w:val="24"/>
              </w:rPr>
              <w:t>Use: intensive orchards, olive groves.</w:t>
            </w:r>
          </w:p>
          <w:p w:rsidR="00F555D6" w:rsidRPr="005C3B55" w:rsidRDefault="00F555D6" w:rsidP="00F555D6">
            <w:pPr>
              <w:numPr>
                <w:ilvl w:val="0"/>
                <w:numId w:val="410"/>
              </w:numPr>
              <w:spacing w:before="0" w:after="0"/>
              <w:ind w:hanging="290"/>
              <w:jc w:val="left"/>
              <w:rPr>
                <w:szCs w:val="24"/>
              </w:rPr>
            </w:pPr>
            <w:r w:rsidRPr="005C3B55">
              <w:rPr>
                <w:szCs w:val="24"/>
              </w:rPr>
              <w:t>Coverage: part of the area.</w:t>
            </w:r>
          </w:p>
          <w:p w:rsidR="00F555D6" w:rsidRPr="005C3B55" w:rsidRDefault="00F555D6" w:rsidP="00F555D6">
            <w:pPr>
              <w:numPr>
                <w:ilvl w:val="0"/>
                <w:numId w:val="410"/>
              </w:numPr>
              <w:spacing w:before="0" w:after="0"/>
              <w:ind w:hanging="290"/>
              <w:jc w:val="left"/>
              <w:rPr>
                <w:szCs w:val="24"/>
              </w:rPr>
            </w:pPr>
            <w:r w:rsidRPr="005C3B55">
              <w:rPr>
                <w:szCs w:val="24"/>
              </w:rPr>
              <w:t>Location: not relevant.</w:t>
            </w:r>
          </w:p>
          <w:p w:rsidR="00F555D6" w:rsidRPr="005C3B55" w:rsidRDefault="00F555D6" w:rsidP="00F555D6">
            <w:pPr>
              <w:numPr>
                <w:ilvl w:val="0"/>
                <w:numId w:val="410"/>
              </w:numPr>
              <w:spacing w:before="0" w:after="240"/>
              <w:ind w:hanging="290"/>
              <w:jc w:val="left"/>
              <w:rPr>
                <w:szCs w:val="24"/>
              </w:rPr>
            </w:pPr>
            <w:r w:rsidRPr="005C3B55">
              <w:rPr>
                <w:szCs w:val="24"/>
              </w:rPr>
              <w:t>Implementation area: whole Slovenia.</w:t>
            </w:r>
          </w:p>
          <w:p w:rsidR="00F555D6" w:rsidRPr="005C3B55" w:rsidRDefault="00F555D6" w:rsidP="00F555D6">
            <w:pPr>
              <w:spacing w:before="240" w:after="240" w:line="280" w:lineRule="auto"/>
              <w:rPr>
                <w:szCs w:val="24"/>
              </w:rPr>
            </w:pPr>
            <w:r w:rsidRPr="005C3B55">
              <w:rPr>
                <w:szCs w:val="24"/>
              </w:rPr>
              <w:t>Effects:</w:t>
            </w:r>
          </w:p>
          <w:p w:rsidR="00F555D6" w:rsidRPr="005C3B55" w:rsidRDefault="00F555D6" w:rsidP="00F555D6">
            <w:pPr>
              <w:numPr>
                <w:ilvl w:val="0"/>
                <w:numId w:val="411"/>
              </w:numPr>
              <w:spacing w:before="240" w:after="0"/>
              <w:ind w:hanging="290"/>
              <w:jc w:val="left"/>
              <w:rPr>
                <w:szCs w:val="24"/>
              </w:rPr>
            </w:pPr>
            <w:r w:rsidRPr="005C3B55">
              <w:rPr>
                <w:szCs w:val="24"/>
              </w:rPr>
              <w:t>development of useful insects, bees and soil organisms;</w:t>
            </w:r>
          </w:p>
          <w:p w:rsidR="00F555D6" w:rsidRPr="005C3B55" w:rsidRDefault="00F555D6" w:rsidP="00F555D6">
            <w:pPr>
              <w:numPr>
                <w:ilvl w:val="0"/>
                <w:numId w:val="411"/>
              </w:numPr>
              <w:spacing w:before="0" w:after="0"/>
              <w:ind w:hanging="290"/>
              <w:jc w:val="left"/>
              <w:rPr>
                <w:szCs w:val="24"/>
              </w:rPr>
            </w:pPr>
            <w:r w:rsidRPr="005C3B55">
              <w:rPr>
                <w:szCs w:val="24"/>
              </w:rPr>
              <w:t>enriching soil with organic matter and nutrients;</w:t>
            </w:r>
          </w:p>
          <w:p w:rsidR="00F555D6" w:rsidRPr="005C3B55" w:rsidRDefault="00F555D6" w:rsidP="00F555D6">
            <w:pPr>
              <w:numPr>
                <w:ilvl w:val="0"/>
                <w:numId w:val="411"/>
              </w:numPr>
              <w:spacing w:before="0" w:after="240"/>
              <w:ind w:hanging="290"/>
              <w:jc w:val="left"/>
              <w:rPr>
                <w:szCs w:val="24"/>
              </w:rPr>
            </w:pPr>
            <w:r w:rsidRPr="005C3B55">
              <w:rPr>
                <w:szCs w:val="24"/>
              </w:rPr>
              <w:t>improving the air and water regime in the soil.</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Type of support</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Support for the implementation of the operation Fruit growing consists of:</w:t>
            </w:r>
          </w:p>
          <w:p w:rsidR="00F555D6" w:rsidRPr="005C3B55" w:rsidRDefault="00F555D6" w:rsidP="00F555D6">
            <w:pPr>
              <w:numPr>
                <w:ilvl w:val="0"/>
                <w:numId w:val="412"/>
              </w:numPr>
              <w:spacing w:before="240" w:after="240"/>
              <w:ind w:hanging="290"/>
              <w:jc w:val="left"/>
              <w:rPr>
                <w:szCs w:val="24"/>
              </w:rPr>
            </w:pPr>
            <w:r w:rsidRPr="005C3B55">
              <w:rPr>
                <w:szCs w:val="24"/>
              </w:rPr>
              <w:t>payments per hectare for the implementation of mandatory requirements and/or at least one optional requirement of the beneficiary’s own choice.</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Connection with other legislation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The operation Fruit growing is connected with national and EU regulations in the field of measures of agricultural policy, agriculture, the environment, nature protection and rural development.</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Beneficiaries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Beneficiaries for payments are agricultural holdings which participate voluntarily in the implementation of the operation ‘Fruit growing’ and meet the prescribed conditions and requirements.</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Eligible costs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Payments are only intended for those commitments within the operation ‘Fruit growing’ which exceed suitable mandatory standards determined in accordance with Chapter I, Title VI of Regulation (EU) No 1306/2013, suitable criteria determined in the second indent of item c) of the first paragraph of Article 4 of Regulation (EU) No 1307/2013, and other suitable mandatory requirements from national regulations.</w:t>
            </w:r>
          </w:p>
          <w:p w:rsidR="00F555D6" w:rsidRPr="005C3B55" w:rsidRDefault="00F555D6" w:rsidP="00F555D6">
            <w:pPr>
              <w:spacing w:before="240" w:after="240" w:line="280" w:lineRule="auto"/>
              <w:rPr>
                <w:szCs w:val="24"/>
              </w:rPr>
            </w:pPr>
            <w:r w:rsidRPr="005C3B55">
              <w:rPr>
                <w:szCs w:val="24"/>
              </w:rPr>
              <w:t>Payments cover 60 per cent of the additional costs and the loss of revenue due to the assumed commitment.</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Conditions for eligibility</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When entering the M10 measure, an agricultural holding must:</w:t>
            </w:r>
          </w:p>
          <w:p w:rsidR="00F555D6" w:rsidRPr="005C3B55" w:rsidRDefault="00F555D6" w:rsidP="00F555D6">
            <w:pPr>
              <w:numPr>
                <w:ilvl w:val="0"/>
                <w:numId w:val="413"/>
              </w:numPr>
              <w:spacing w:before="240" w:after="0"/>
              <w:ind w:hanging="290"/>
              <w:jc w:val="left"/>
              <w:rPr>
                <w:szCs w:val="24"/>
              </w:rPr>
            </w:pPr>
            <w:r w:rsidRPr="005C3B55">
              <w:rPr>
                <w:szCs w:val="24"/>
              </w:rPr>
              <w:t>have at least 1 ha of agricultural land in use as per Article 4 of Regulation (EU) No 1307/2013;</w:t>
            </w:r>
          </w:p>
          <w:p w:rsidR="00F555D6" w:rsidRPr="005C3B55" w:rsidRDefault="00F555D6" w:rsidP="00F555D6">
            <w:pPr>
              <w:numPr>
                <w:ilvl w:val="0"/>
                <w:numId w:val="413"/>
              </w:numPr>
              <w:spacing w:before="0" w:after="0"/>
              <w:ind w:hanging="290"/>
              <w:jc w:val="left"/>
              <w:rPr>
                <w:szCs w:val="24"/>
              </w:rPr>
            </w:pPr>
            <w:r w:rsidRPr="005C3B55">
              <w:rPr>
                <w:szCs w:val="24"/>
              </w:rPr>
              <w:t>be entered in the register of agricultural holdings in accordance with the regulation on the register of agricultural holdings;</w:t>
            </w:r>
          </w:p>
          <w:p w:rsidR="00F555D6" w:rsidRPr="005C3B55" w:rsidRDefault="00F555D6" w:rsidP="00F555D6">
            <w:pPr>
              <w:numPr>
                <w:ilvl w:val="0"/>
                <w:numId w:val="413"/>
              </w:numPr>
              <w:spacing w:before="0" w:after="0"/>
              <w:ind w:hanging="290"/>
              <w:jc w:val="left"/>
              <w:rPr>
                <w:szCs w:val="24"/>
              </w:rPr>
            </w:pPr>
            <w:r w:rsidRPr="005C3B55">
              <w:rPr>
                <w:szCs w:val="24"/>
              </w:rPr>
              <w:t>undergo a six-hour training programme on agri-environment-climate content;</w:t>
            </w:r>
          </w:p>
          <w:p w:rsidR="00F555D6" w:rsidRPr="005C3B55" w:rsidRDefault="00F555D6" w:rsidP="00F555D6">
            <w:pPr>
              <w:numPr>
                <w:ilvl w:val="0"/>
                <w:numId w:val="413"/>
              </w:numPr>
              <w:spacing w:before="0" w:after="240"/>
              <w:ind w:hanging="290"/>
              <w:jc w:val="left"/>
              <w:rPr>
                <w:szCs w:val="24"/>
              </w:rPr>
            </w:pPr>
            <w:r w:rsidRPr="005C3B55">
              <w:rPr>
                <w:szCs w:val="24"/>
              </w:rPr>
              <w:t>prepare an activities programme of the agricultural holding which is an electronic document prepared as a result of advisory services.</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Principles regarding the determination of selection criteria</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The selection criteria are not relevant.</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(Valid) amounts and support rates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The amount of payments for requirements within the operation Fruit growing amounts to 60% of the amount of payments calculated as per model calculation.</w:t>
            </w:r>
          </w:p>
          <w:p w:rsidR="00F555D6" w:rsidRPr="005C3B55" w:rsidRDefault="00F555D6" w:rsidP="00F555D6">
            <w:pPr>
              <w:pStyle w:val="Telobesedila"/>
              <w:rPr>
                <w:szCs w:val="24"/>
              </w:rPr>
            </w:pPr>
          </w:p>
          <w:p w:rsidR="00F555D6" w:rsidRPr="005C3B55" w:rsidRDefault="0012246E" w:rsidP="00F555D6">
            <w:pPr>
              <w:pStyle w:val="Telobesedila3"/>
              <w:jc w:val="left"/>
              <w:rPr>
                <w:szCs w:val="24"/>
              </w:rPr>
            </w:pPr>
            <w:r w:rsidRPr="005C3B55">
              <w:rPr>
                <w:noProof/>
                <w:szCs w:val="24"/>
                <w:lang w:val="sl-SI"/>
              </w:rPr>
              <w:drawing>
                <wp:inline distT="0" distB="0" distL="0" distR="0">
                  <wp:extent cx="6562725" cy="4105275"/>
                  <wp:effectExtent l="0" t="0" r="9525" b="9525"/>
                  <wp:docPr id="1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562725" cy="4105275"/>
                          </a:xfrm>
                          <a:prstGeom prst="rect">
                            <a:avLst/>
                          </a:prstGeom>
                          <a:noFill/>
                          <a:ln>
                            <a:noFill/>
                          </a:ln>
                        </pic:spPr>
                      </pic:pic>
                    </a:graphicData>
                  </a:graphic>
                </wp:inline>
              </w:drawing>
            </w:r>
          </w:p>
          <w:p w:rsidR="00F555D6" w:rsidRPr="005C3B55" w:rsidRDefault="00F555D6" w:rsidP="00F555D6">
            <w:pPr>
              <w:pStyle w:val="Noga"/>
              <w:jc w:val="center"/>
              <w:rPr>
                <w:szCs w:val="24"/>
              </w:rPr>
            </w:pPr>
            <w:r w:rsidRPr="005C3B55">
              <w:rPr>
                <w:szCs w:val="24"/>
              </w:rPr>
              <w:t>Operation Fruit growing: amount of payments for individual requirements</w:t>
            </w:r>
          </w:p>
          <w:p w:rsidR="00F555D6" w:rsidRPr="005C3B55" w:rsidRDefault="00F555D6" w:rsidP="00F555D6">
            <w:pPr>
              <w:pStyle w:val="Noga"/>
              <w:jc w:val="center"/>
              <w:rPr>
                <w:szCs w:val="24"/>
              </w:rPr>
            </w:pPr>
          </w:p>
        </w:tc>
      </w:tr>
    </w:tbl>
    <w:p w:rsidR="00F555D6" w:rsidRPr="005C3B55" w:rsidRDefault="00F555D6" w:rsidP="00F555D6">
      <w:pPr>
        <w:pStyle w:val="Naslov6"/>
        <w:numPr>
          <w:ilvl w:val="0"/>
          <w:numId w:val="0"/>
        </w:numPr>
        <w:rPr>
          <w:szCs w:val="24"/>
          <w:lang w:val="en-GB"/>
        </w:rPr>
      </w:pPr>
    </w:p>
    <w:p w:rsidR="00F555D6" w:rsidRPr="005C3B55" w:rsidRDefault="00F555D6" w:rsidP="00F555D6">
      <w:r w:rsidRPr="005C3B55">
        <w:t>Amount of payments (EUR/ha annually) for requirements within the operation ‘Fruit growing’</w:t>
      </w:r>
    </w:p>
    <w:tbl>
      <w:tblPr>
        <w:tblW w:w="5000" w:type="pct"/>
        <w:tblInd w:w="108"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2132"/>
        <w:gridCol w:w="2131"/>
        <w:gridCol w:w="2329"/>
        <w:gridCol w:w="1933"/>
        <w:gridCol w:w="2131"/>
      </w:tblGrid>
      <w:tr w:rsidR="00F555D6" w:rsidRPr="005C3B55">
        <w:tc>
          <w:tcPr>
            <w:tcW w:w="1000" w:type="pct"/>
            <w:tcBorders>
              <w:top w:val="single" w:sz="18" w:space="0" w:color="auto"/>
              <w:left w:val="single" w:sz="18" w:space="0" w:color="auto"/>
              <w:bottom w:val="single" w:sz="18" w:space="0" w:color="auto"/>
              <w:right w:val="single" w:sz="18" w:space="0" w:color="auto"/>
            </w:tcBorders>
            <w:shd w:val="clear" w:color="auto" w:fill="D9D9D9"/>
            <w:vAlign w:val="center"/>
          </w:tcPr>
          <w:p w:rsidR="00F555D6" w:rsidRPr="005C3B55" w:rsidRDefault="00F555D6" w:rsidP="00F555D6">
            <w:r w:rsidRPr="005C3B55">
              <w:rPr>
                <w:b/>
                <w:sz w:val="20"/>
              </w:rPr>
              <w:t>Requirement</w:t>
            </w:r>
          </w:p>
        </w:tc>
        <w:tc>
          <w:tcPr>
            <w:tcW w:w="1000" w:type="pct"/>
            <w:tcBorders>
              <w:top w:val="single" w:sz="18" w:space="0" w:color="auto"/>
              <w:left w:val="single" w:sz="18" w:space="0" w:color="auto"/>
              <w:bottom w:val="single" w:sz="18" w:space="0" w:color="auto"/>
              <w:right w:val="single" w:sz="18" w:space="0" w:color="auto"/>
            </w:tcBorders>
            <w:shd w:val="clear" w:color="auto" w:fill="D9D9D9"/>
            <w:vAlign w:val="center"/>
          </w:tcPr>
          <w:p w:rsidR="00F555D6" w:rsidRPr="005C3B55" w:rsidRDefault="00F555D6" w:rsidP="00F555D6">
            <w:pPr>
              <w:autoSpaceDE w:val="0"/>
              <w:autoSpaceDN w:val="0"/>
              <w:adjustRightInd w:val="0"/>
              <w:jc w:val="right"/>
            </w:pPr>
            <w:r w:rsidRPr="005C3B55">
              <w:rPr>
                <w:b/>
                <w:sz w:val="20"/>
              </w:rPr>
              <w:t>Calculated payment amount as per model calculation</w:t>
            </w:r>
          </w:p>
        </w:tc>
        <w:tc>
          <w:tcPr>
            <w:tcW w:w="1093" w:type="pct"/>
            <w:tcBorders>
              <w:top w:val="single" w:sz="18" w:space="0" w:color="auto"/>
              <w:left w:val="single" w:sz="18" w:space="0" w:color="auto"/>
              <w:bottom w:val="single" w:sz="18" w:space="0" w:color="auto"/>
              <w:right w:val="single" w:sz="18" w:space="0" w:color="auto"/>
            </w:tcBorders>
            <w:shd w:val="clear" w:color="auto" w:fill="D9D9D9"/>
            <w:vAlign w:val="center"/>
          </w:tcPr>
          <w:p w:rsidR="00F555D6" w:rsidRPr="005C3B55" w:rsidRDefault="00F555D6" w:rsidP="00F555D6">
            <w:pPr>
              <w:autoSpaceDE w:val="0"/>
              <w:autoSpaceDN w:val="0"/>
              <w:adjustRightInd w:val="0"/>
              <w:jc w:val="right"/>
            </w:pPr>
            <w:r w:rsidRPr="005C3B55">
              <w:rPr>
                <w:b/>
                <w:sz w:val="20"/>
              </w:rPr>
              <w:t>Highest possible payment as per Annex II to Regulation (EU) No 1305/2013</w:t>
            </w:r>
          </w:p>
        </w:tc>
        <w:tc>
          <w:tcPr>
            <w:tcW w:w="907" w:type="pct"/>
            <w:tcBorders>
              <w:top w:val="single" w:sz="18" w:space="0" w:color="auto"/>
              <w:left w:val="single" w:sz="18" w:space="0" w:color="auto"/>
              <w:bottom w:val="single" w:sz="18" w:space="0" w:color="auto"/>
              <w:right w:val="single" w:sz="18" w:space="0" w:color="auto"/>
            </w:tcBorders>
            <w:shd w:val="clear" w:color="auto" w:fill="D9D9D9"/>
            <w:vAlign w:val="center"/>
          </w:tcPr>
          <w:p w:rsidR="00F555D6" w:rsidRPr="005C3B55" w:rsidRDefault="00F555D6" w:rsidP="00F555D6">
            <w:pPr>
              <w:autoSpaceDE w:val="0"/>
              <w:autoSpaceDN w:val="0"/>
              <w:adjustRightInd w:val="0"/>
              <w:jc w:val="right"/>
            </w:pPr>
            <w:r w:rsidRPr="005C3B55">
              <w:rPr>
                <w:b/>
                <w:sz w:val="20"/>
              </w:rPr>
              <w:t>Highest possible amount</w:t>
            </w:r>
          </w:p>
        </w:tc>
        <w:tc>
          <w:tcPr>
            <w:tcW w:w="1000" w:type="pct"/>
            <w:tcBorders>
              <w:top w:val="single" w:sz="18" w:space="0" w:color="auto"/>
              <w:left w:val="single" w:sz="18" w:space="0" w:color="auto"/>
              <w:bottom w:val="single" w:sz="18" w:space="0" w:color="auto"/>
              <w:right w:val="single" w:sz="18" w:space="0" w:color="auto"/>
            </w:tcBorders>
            <w:shd w:val="clear" w:color="auto" w:fill="D9D9D9"/>
            <w:vAlign w:val="center"/>
          </w:tcPr>
          <w:p w:rsidR="00F555D6" w:rsidRPr="005C3B55" w:rsidRDefault="00F555D6" w:rsidP="00F555D6">
            <w:pPr>
              <w:jc w:val="right"/>
            </w:pPr>
            <w:r w:rsidRPr="005C3B55">
              <w:rPr>
                <w:b/>
                <w:sz w:val="20"/>
              </w:rPr>
              <w:t>Payment (60% of payment amount calculated as per model calculation)</w:t>
            </w:r>
          </w:p>
        </w:tc>
      </w:tr>
      <w:tr w:rsidR="00F555D6" w:rsidRPr="005C3B55">
        <w:tc>
          <w:tcPr>
            <w:tcW w:w="5000" w:type="pct"/>
            <w:gridSpan w:val="5"/>
            <w:tcBorders>
              <w:top w:val="single" w:sz="18" w:space="0" w:color="auto"/>
              <w:left w:val="single" w:sz="18" w:space="0" w:color="auto"/>
              <w:bottom w:val="single" w:sz="18" w:space="0" w:color="auto"/>
              <w:right w:val="single" w:sz="18" w:space="0" w:color="auto"/>
            </w:tcBorders>
            <w:shd w:val="clear" w:color="auto" w:fill="E0E0E0"/>
            <w:vAlign w:val="center"/>
          </w:tcPr>
          <w:p w:rsidR="00F555D6" w:rsidRPr="005C3B55" w:rsidRDefault="00F555D6" w:rsidP="00F555D6">
            <w:r w:rsidRPr="005C3B55">
              <w:rPr>
                <w:b/>
                <w:noProof/>
                <w:sz w:val="20"/>
              </w:rPr>
              <w:t>A.</w:t>
            </w:r>
            <w:r w:rsidRPr="005C3B55">
              <w:rPr>
                <w:b/>
                <w:sz w:val="20"/>
              </w:rPr>
              <w:t xml:space="preserve"> Mandatory requirements</w:t>
            </w:r>
          </w:p>
        </w:tc>
      </w:tr>
      <w:tr w:rsidR="00F555D6" w:rsidRPr="005C3B55">
        <w:tc>
          <w:tcPr>
            <w:tcW w:w="1000"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rPr>
                <w:sz w:val="20"/>
              </w:rPr>
            </w:pPr>
            <w:r w:rsidRPr="005C3B55">
              <w:rPr>
                <w:noProof/>
                <w:sz w:val="20"/>
              </w:rPr>
              <w:t>SAD_VABE</w:t>
            </w:r>
          </w:p>
        </w:tc>
        <w:tc>
          <w:tcPr>
            <w:tcW w:w="1000"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241.60</w:t>
            </w:r>
          </w:p>
        </w:tc>
        <w:tc>
          <w:tcPr>
            <w:tcW w:w="1093"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900</w:t>
            </w:r>
          </w:p>
        </w:tc>
        <w:tc>
          <w:tcPr>
            <w:tcW w:w="907"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241.60</w:t>
            </w:r>
          </w:p>
        </w:tc>
        <w:tc>
          <w:tcPr>
            <w:tcW w:w="1000"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144.96</w:t>
            </w:r>
          </w:p>
        </w:tc>
      </w:tr>
      <w:tr w:rsidR="00F555D6" w:rsidRPr="005C3B55">
        <w:tc>
          <w:tcPr>
            <w:tcW w:w="1000"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rPr>
                <w:sz w:val="20"/>
              </w:rPr>
            </w:pPr>
            <w:r w:rsidRPr="005C3B55">
              <w:rPr>
                <w:noProof/>
                <w:sz w:val="20"/>
              </w:rPr>
              <w:t>SAD_EKGN</w:t>
            </w:r>
          </w:p>
        </w:tc>
        <w:tc>
          <w:tcPr>
            <w:tcW w:w="1000"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115.40</w:t>
            </w:r>
          </w:p>
        </w:tc>
        <w:tc>
          <w:tcPr>
            <w:tcW w:w="1093"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900</w:t>
            </w:r>
          </w:p>
        </w:tc>
        <w:tc>
          <w:tcPr>
            <w:tcW w:w="907"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115.40</w:t>
            </w:r>
          </w:p>
        </w:tc>
        <w:tc>
          <w:tcPr>
            <w:tcW w:w="1000"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69.24</w:t>
            </w:r>
          </w:p>
        </w:tc>
      </w:tr>
      <w:tr w:rsidR="00F555D6" w:rsidRPr="005C3B55">
        <w:tc>
          <w:tcPr>
            <w:tcW w:w="5000" w:type="pct"/>
            <w:gridSpan w:val="5"/>
            <w:tcBorders>
              <w:top w:val="single" w:sz="18" w:space="0" w:color="auto"/>
              <w:left w:val="single" w:sz="18" w:space="0" w:color="auto"/>
              <w:bottom w:val="single" w:sz="18" w:space="0" w:color="auto"/>
              <w:right w:val="single" w:sz="18" w:space="0" w:color="auto"/>
            </w:tcBorders>
            <w:shd w:val="clear" w:color="auto" w:fill="E0E0E0"/>
            <w:vAlign w:val="center"/>
          </w:tcPr>
          <w:p w:rsidR="00F555D6" w:rsidRPr="005C3B55" w:rsidRDefault="00F555D6" w:rsidP="00F555D6">
            <w:r w:rsidRPr="005C3B55">
              <w:rPr>
                <w:b/>
                <w:noProof/>
                <w:sz w:val="20"/>
              </w:rPr>
              <w:t>B.</w:t>
            </w:r>
            <w:r w:rsidRPr="005C3B55">
              <w:rPr>
                <w:b/>
                <w:sz w:val="20"/>
              </w:rPr>
              <w:t xml:space="preserve"> Optional requirements</w:t>
            </w:r>
          </w:p>
        </w:tc>
      </w:tr>
      <w:tr w:rsidR="00F555D6" w:rsidRPr="005C3B55">
        <w:tc>
          <w:tcPr>
            <w:tcW w:w="1000"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rPr>
                <w:sz w:val="20"/>
              </w:rPr>
            </w:pPr>
            <w:r w:rsidRPr="005C3B55">
              <w:rPr>
                <w:noProof/>
                <w:sz w:val="20"/>
              </w:rPr>
              <w:t>SAD_KONF</w:t>
            </w:r>
          </w:p>
        </w:tc>
        <w:tc>
          <w:tcPr>
            <w:tcW w:w="1000"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300.50</w:t>
            </w:r>
          </w:p>
        </w:tc>
        <w:tc>
          <w:tcPr>
            <w:tcW w:w="1093"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900</w:t>
            </w:r>
          </w:p>
        </w:tc>
        <w:tc>
          <w:tcPr>
            <w:tcW w:w="907"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300.50</w:t>
            </w:r>
          </w:p>
        </w:tc>
        <w:tc>
          <w:tcPr>
            <w:tcW w:w="1000"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180.30</w:t>
            </w:r>
          </w:p>
        </w:tc>
      </w:tr>
      <w:tr w:rsidR="00F555D6" w:rsidRPr="005C3B55">
        <w:tc>
          <w:tcPr>
            <w:tcW w:w="1000"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rPr>
                <w:sz w:val="20"/>
              </w:rPr>
            </w:pPr>
            <w:r w:rsidRPr="005C3B55">
              <w:rPr>
                <w:noProof/>
                <w:sz w:val="20"/>
              </w:rPr>
              <w:t>SAD_POKT</w:t>
            </w:r>
          </w:p>
        </w:tc>
        <w:tc>
          <w:tcPr>
            <w:tcW w:w="1000"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191.60</w:t>
            </w:r>
          </w:p>
        </w:tc>
        <w:tc>
          <w:tcPr>
            <w:tcW w:w="1093"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900</w:t>
            </w:r>
          </w:p>
        </w:tc>
        <w:tc>
          <w:tcPr>
            <w:tcW w:w="907"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191.60</w:t>
            </w:r>
          </w:p>
        </w:tc>
        <w:tc>
          <w:tcPr>
            <w:tcW w:w="1000"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114.96</w:t>
            </w:r>
          </w:p>
        </w:tc>
      </w:tr>
      <w:tr w:rsidR="00F555D6" w:rsidRPr="005C3B55">
        <w:tc>
          <w:tcPr>
            <w:tcW w:w="1000"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rPr>
                <w:sz w:val="20"/>
              </w:rPr>
            </w:pPr>
            <w:r w:rsidRPr="005C3B55">
              <w:rPr>
                <w:noProof/>
                <w:sz w:val="20"/>
              </w:rPr>
              <w:t>SAD_MEHZ</w:t>
            </w:r>
          </w:p>
        </w:tc>
        <w:tc>
          <w:tcPr>
            <w:tcW w:w="1000"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258.50</w:t>
            </w:r>
          </w:p>
        </w:tc>
        <w:tc>
          <w:tcPr>
            <w:tcW w:w="1093"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900</w:t>
            </w:r>
          </w:p>
        </w:tc>
        <w:tc>
          <w:tcPr>
            <w:tcW w:w="907"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258.50</w:t>
            </w:r>
          </w:p>
        </w:tc>
        <w:tc>
          <w:tcPr>
            <w:tcW w:w="1000"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155.10</w:t>
            </w:r>
          </w:p>
        </w:tc>
      </w:tr>
    </w:tbl>
    <w:p w:rsidR="00F555D6" w:rsidRPr="005C3B55" w:rsidRDefault="00F555D6" w:rsidP="00F555D6"/>
    <w:p w:rsidR="00F555D6" w:rsidRPr="005C3B55" w:rsidRDefault="00F555D6" w:rsidP="00F555D6">
      <w:pPr>
        <w:pStyle w:val="Naslov6"/>
        <w:tabs>
          <w:tab w:val="clear" w:pos="765"/>
        </w:tabs>
        <w:ind w:left="0" w:firstLine="0"/>
        <w:rPr>
          <w:szCs w:val="24"/>
          <w:lang w:val="en-GB"/>
        </w:rPr>
      </w:pPr>
      <w:r w:rsidRPr="005C3B55">
        <w:rPr>
          <w:noProof w:val="0"/>
          <w:szCs w:val="24"/>
          <w:lang w:val="en-GB"/>
        </w:rPr>
        <w:t>Verifiability and possibility of control of measures and/or type of operations</w:t>
      </w:r>
    </w:p>
    <w:p w:rsidR="00F555D6" w:rsidRPr="005C3B55" w:rsidRDefault="00F555D6" w:rsidP="00F555D6">
      <w:pPr>
        <w:pStyle w:val="Naslov7"/>
        <w:tabs>
          <w:tab w:val="clear" w:pos="765"/>
        </w:tabs>
        <w:ind w:left="0" w:firstLine="0"/>
        <w:rPr>
          <w:szCs w:val="24"/>
          <w:lang w:val="en-GB"/>
        </w:rPr>
      </w:pPr>
      <w:r w:rsidRPr="005C3B55">
        <w:rPr>
          <w:noProof w:val="0"/>
          <w:szCs w:val="24"/>
          <w:lang w:val="en-GB"/>
        </w:rPr>
        <w:t>Risks in the implementation of the measure</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b/>
                <w:szCs w:val="24"/>
              </w:rPr>
              <w:t>R5: Requirements which are difficult to verify and/or control</w:t>
            </w:r>
          </w:p>
          <w:p w:rsidR="00F555D6" w:rsidRPr="005C3B55" w:rsidRDefault="00F555D6" w:rsidP="00F555D6">
            <w:pPr>
              <w:spacing w:before="240" w:after="240" w:line="280" w:lineRule="auto"/>
              <w:rPr>
                <w:szCs w:val="24"/>
              </w:rPr>
            </w:pPr>
            <w:r w:rsidRPr="005C3B55">
              <w:rPr>
                <w:szCs w:val="24"/>
              </w:rPr>
              <w:t>Some requirements cannot be verified administratively, while the implementation of certain requirements is difficult to verify also with on-the-spot controls. These requirements include use of anti-insect nets, conservation tillage and mechanical weeding.</w:t>
            </w:r>
          </w:p>
          <w:p w:rsidR="00F555D6" w:rsidRPr="005C3B55" w:rsidRDefault="00F555D6" w:rsidP="00F555D6">
            <w:pPr>
              <w:spacing w:before="240" w:after="240" w:line="280" w:lineRule="auto"/>
              <w:rPr>
                <w:szCs w:val="24"/>
              </w:rPr>
            </w:pPr>
            <w:r w:rsidRPr="005C3B55">
              <w:rPr>
                <w:b/>
                <w:szCs w:val="24"/>
              </w:rPr>
              <w:t>R6: General conditions for implementation</w:t>
            </w:r>
          </w:p>
          <w:p w:rsidR="00F555D6" w:rsidRPr="005C3B55" w:rsidRDefault="00F555D6" w:rsidP="00F555D6">
            <w:pPr>
              <w:spacing w:before="240" w:after="240" w:line="280" w:lineRule="auto"/>
              <w:rPr>
                <w:szCs w:val="24"/>
              </w:rPr>
            </w:pPr>
            <w:r w:rsidRPr="005C3B55">
              <w:rPr>
                <w:szCs w:val="24"/>
              </w:rPr>
              <w:t>Ill-timed adoption of regulations which regulate payments for the M10 measure and which enable beneficiaries to be informed about the eligibility conditions for implementing this operation, and insufficient knowledge of the conditions of individual operations present a risk for the implementation of the M10 measure.</w:t>
            </w:r>
          </w:p>
          <w:p w:rsidR="00F555D6" w:rsidRPr="005C3B55" w:rsidRDefault="00F555D6" w:rsidP="00F555D6">
            <w:pPr>
              <w:spacing w:before="240" w:after="240" w:line="280" w:lineRule="auto"/>
              <w:rPr>
                <w:szCs w:val="24"/>
              </w:rPr>
            </w:pPr>
            <w:r w:rsidRPr="005C3B55">
              <w:rPr>
                <w:b/>
                <w:szCs w:val="24"/>
              </w:rPr>
              <w:t>R8: IT systems</w:t>
            </w:r>
          </w:p>
          <w:p w:rsidR="00F555D6" w:rsidRPr="005C3B55" w:rsidRDefault="00F555D6" w:rsidP="00F555D6">
            <w:pPr>
              <w:spacing w:before="240" w:after="240" w:line="280" w:lineRule="auto"/>
              <w:rPr>
                <w:szCs w:val="24"/>
              </w:rPr>
            </w:pPr>
            <w:r w:rsidRPr="005C3B55">
              <w:rPr>
                <w:szCs w:val="24"/>
              </w:rPr>
              <w:t>Unsuitable arrangement of certain databases when entering the verification system and consequently insufficient administrative controls when entering the operation Fruit growing.</w:t>
            </w:r>
          </w:p>
          <w:p w:rsidR="00F555D6" w:rsidRPr="005C3B55" w:rsidRDefault="00F555D6" w:rsidP="00F555D6">
            <w:pPr>
              <w:spacing w:before="240" w:after="240" w:line="280" w:lineRule="auto"/>
              <w:rPr>
                <w:szCs w:val="24"/>
              </w:rPr>
            </w:pPr>
            <w:r w:rsidRPr="005C3B55">
              <w:rPr>
                <w:b/>
                <w:szCs w:val="24"/>
              </w:rPr>
              <w:t>R9: Requests for payment</w:t>
            </w:r>
          </w:p>
          <w:p w:rsidR="00F555D6" w:rsidRPr="005C3B55" w:rsidRDefault="00F555D6" w:rsidP="00F555D6">
            <w:pPr>
              <w:spacing w:before="240" w:after="240" w:line="280" w:lineRule="auto"/>
              <w:rPr>
                <w:szCs w:val="24"/>
              </w:rPr>
            </w:pPr>
            <w:r w:rsidRPr="005C3B55">
              <w:rPr>
                <w:szCs w:val="24"/>
              </w:rPr>
              <w:t>Lack of, and delayed, information and insufficient knowledge of the requirements of the operation Fruit growing, poor familiarisation with the procedure for submitting the application and the beneficiary’s incorrect reporting about the size of surfaces.</w:t>
            </w:r>
          </w:p>
          <w:p w:rsidR="00F555D6" w:rsidRPr="005C3B55" w:rsidRDefault="00F555D6" w:rsidP="00F555D6">
            <w:pPr>
              <w:pStyle w:val="Telobesedila"/>
              <w:rPr>
                <w:szCs w:val="24"/>
              </w:rPr>
            </w:pPr>
          </w:p>
        </w:tc>
      </w:tr>
    </w:tbl>
    <w:p w:rsidR="00F555D6" w:rsidRPr="005C3B55" w:rsidRDefault="00F555D6" w:rsidP="00F555D6">
      <w:pPr>
        <w:pStyle w:val="Naslov7"/>
        <w:tabs>
          <w:tab w:val="clear" w:pos="765"/>
        </w:tabs>
        <w:ind w:left="0" w:firstLine="0"/>
        <w:rPr>
          <w:szCs w:val="24"/>
          <w:lang w:val="en-GB"/>
        </w:rPr>
      </w:pPr>
      <w:r w:rsidRPr="005C3B55">
        <w:rPr>
          <w:noProof w:val="0"/>
          <w:szCs w:val="24"/>
          <w:lang w:val="en-GB"/>
        </w:rPr>
        <w:t>Mitigation measures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b/>
                <w:szCs w:val="24"/>
              </w:rPr>
              <w:t>R5: Requirements which are difficult to verify and/or control</w:t>
            </w:r>
          </w:p>
          <w:p w:rsidR="00F555D6" w:rsidRPr="005C3B55" w:rsidRDefault="00F555D6" w:rsidP="00F555D6">
            <w:pPr>
              <w:spacing w:before="240" w:after="240" w:line="280" w:lineRule="auto"/>
              <w:rPr>
                <w:szCs w:val="24"/>
              </w:rPr>
            </w:pPr>
            <w:r w:rsidRPr="005C3B55">
              <w:rPr>
                <w:szCs w:val="24"/>
              </w:rPr>
              <w:t>Administrative control will be upgraded accordingly for certain requirements (terraces and grassification of intensive orchards and olive groves, suitability of a fruit species for an individual requirement, by determining the period for the implementation of an individual requirement and by taking into account the instructions of producers and expert institutions in the field of plant protection).</w:t>
            </w:r>
          </w:p>
          <w:p w:rsidR="00F555D6" w:rsidRPr="005C3B55" w:rsidRDefault="00F555D6" w:rsidP="00F555D6">
            <w:pPr>
              <w:spacing w:before="240" w:after="240" w:line="280" w:lineRule="auto"/>
              <w:rPr>
                <w:szCs w:val="24"/>
              </w:rPr>
            </w:pPr>
            <w:r w:rsidRPr="005C3B55">
              <w:rPr>
                <w:szCs w:val="24"/>
              </w:rPr>
              <w:t>Requirements for implementing the M10 measure which cannot be verified administratively will be verified or controlled on the spot; the latter will be carried out at a suitable time determined for the implementation of the requirement.</w:t>
            </w:r>
          </w:p>
          <w:p w:rsidR="00F555D6" w:rsidRPr="005C3B55" w:rsidRDefault="00F555D6" w:rsidP="00F555D6">
            <w:pPr>
              <w:spacing w:before="240" w:after="240" w:line="280" w:lineRule="auto"/>
              <w:rPr>
                <w:szCs w:val="24"/>
              </w:rPr>
            </w:pPr>
            <w:r w:rsidRPr="005C3B55">
              <w:rPr>
                <w:b/>
                <w:szCs w:val="24"/>
              </w:rPr>
              <w:t>R6: General conditions for implementation</w:t>
            </w:r>
          </w:p>
          <w:p w:rsidR="00F555D6" w:rsidRPr="005C3B55" w:rsidRDefault="00F555D6" w:rsidP="00F555D6">
            <w:pPr>
              <w:spacing w:before="240" w:after="240" w:line="280" w:lineRule="auto"/>
              <w:rPr>
                <w:szCs w:val="24"/>
              </w:rPr>
            </w:pPr>
            <w:r w:rsidRPr="005C3B55">
              <w:rPr>
                <w:szCs w:val="24"/>
              </w:rPr>
              <w:t>Prior to entering in the operation ‘Fruit growing’, a beneficiary will have to undergo a mandatory six-hour training which is one of the eligibility conditions. At the training, the beneficiary will become acquainted with the eligibility conditions for entering in the operation and the conditions of individual requirements for implementing the operation, including the Rural Development Programme 2014–2020 and the national regulation regulating payments for the M10 measure.</w:t>
            </w:r>
          </w:p>
          <w:p w:rsidR="00F555D6" w:rsidRPr="005C3B55" w:rsidRDefault="00F555D6" w:rsidP="00F555D6">
            <w:pPr>
              <w:spacing w:before="240" w:after="240" w:line="280" w:lineRule="auto"/>
              <w:rPr>
                <w:szCs w:val="24"/>
              </w:rPr>
            </w:pPr>
            <w:r w:rsidRPr="005C3B55">
              <w:rPr>
                <w:szCs w:val="24"/>
              </w:rPr>
              <w:t>After the training, the beneficiary will be able to prepare a programme of activities of the agricultural holding in which it will determine which operation and requirements within the M10 measure it will implement.</w:t>
            </w:r>
          </w:p>
          <w:p w:rsidR="00F555D6" w:rsidRPr="005C3B55" w:rsidRDefault="00F555D6" w:rsidP="00F555D6">
            <w:pPr>
              <w:spacing w:before="240" w:after="240" w:line="280" w:lineRule="auto"/>
              <w:rPr>
                <w:szCs w:val="24"/>
              </w:rPr>
            </w:pPr>
            <w:r w:rsidRPr="005C3B55">
              <w:rPr>
                <w:b/>
                <w:szCs w:val="24"/>
              </w:rPr>
              <w:t xml:space="preserve">R8: </w:t>
            </w:r>
            <w:r w:rsidRPr="005C3B55">
              <w:rPr>
                <w:szCs w:val="24"/>
              </w:rPr>
              <w:t>IT systems</w:t>
            </w:r>
          </w:p>
          <w:p w:rsidR="00F555D6" w:rsidRPr="005C3B55" w:rsidRDefault="00F555D6" w:rsidP="00F555D6">
            <w:pPr>
              <w:spacing w:before="240" w:after="240" w:line="280" w:lineRule="auto"/>
              <w:rPr>
                <w:szCs w:val="24"/>
              </w:rPr>
            </w:pPr>
            <w:r w:rsidRPr="005C3B55">
              <w:rPr>
                <w:szCs w:val="24"/>
              </w:rPr>
              <w:t>Suitable connections will be established and databases arranged (registers, records, codes and combinations of requirements within or between operations).</w:t>
            </w:r>
          </w:p>
          <w:p w:rsidR="00F555D6" w:rsidRPr="005C3B55" w:rsidRDefault="00F555D6" w:rsidP="00F555D6">
            <w:pPr>
              <w:spacing w:before="240" w:after="240" w:line="280" w:lineRule="auto"/>
              <w:rPr>
                <w:szCs w:val="24"/>
              </w:rPr>
            </w:pPr>
            <w:r w:rsidRPr="005C3B55">
              <w:rPr>
                <w:szCs w:val="24"/>
              </w:rPr>
              <w:t>An application enabling cross-checking of data from different databases will also be established.</w:t>
            </w:r>
          </w:p>
          <w:p w:rsidR="00F555D6" w:rsidRPr="005C3B55" w:rsidRDefault="00F555D6" w:rsidP="00F555D6">
            <w:pPr>
              <w:spacing w:before="240" w:after="240" w:line="280" w:lineRule="auto"/>
              <w:rPr>
                <w:szCs w:val="24"/>
              </w:rPr>
            </w:pPr>
            <w:r w:rsidRPr="005C3B55">
              <w:rPr>
                <w:b/>
                <w:szCs w:val="24"/>
              </w:rPr>
              <w:t>R9: Requests for payment</w:t>
            </w:r>
          </w:p>
          <w:p w:rsidR="00F555D6" w:rsidRPr="005C3B55" w:rsidRDefault="00F555D6" w:rsidP="00F555D6">
            <w:pPr>
              <w:spacing w:before="240" w:after="240" w:line="280" w:lineRule="auto"/>
              <w:rPr>
                <w:szCs w:val="24"/>
              </w:rPr>
            </w:pPr>
            <w:r w:rsidRPr="005C3B55">
              <w:rPr>
                <w:szCs w:val="24"/>
              </w:rPr>
              <w:t>Mandatory annual four-hour training and mandatory use of advisory services at least once in the first three years of the commitment are introduced in order for beneficiaries to be suitably informed about all conditions and requirements for the implementation of the M10 measure. Regular annual informing of beneficiaries about their commitments related to the implementation of the M10 measure as part of the annual campaign for implementing requests for agricultural policy measures during the year and also within the scope of specific and purpose-oriented informing of beneficiaries is envisaged</w:t>
            </w:r>
            <w:r w:rsidRPr="005C3B55">
              <w:rPr>
                <w:rFonts w:ascii="TimesNewRoman" w:hAnsi="TimesNewRoman"/>
                <w:szCs w:val="24"/>
              </w:rPr>
              <w:t>.</w:t>
            </w:r>
          </w:p>
          <w:p w:rsidR="00F555D6" w:rsidRPr="005C3B55" w:rsidRDefault="00F555D6" w:rsidP="00F555D6">
            <w:pPr>
              <w:spacing w:before="240" w:after="240" w:line="280" w:lineRule="auto"/>
              <w:rPr>
                <w:szCs w:val="24"/>
              </w:rPr>
            </w:pPr>
            <w:r w:rsidRPr="005C3B55">
              <w:rPr>
                <w:szCs w:val="24"/>
              </w:rPr>
              <w:t>On the basis of the programme of activities, the request for payment will be submitted electronically on prescribed forms, by means of which a beneficiary will define for which requirements within individual the operation Fruit growing it will request payment.</w:t>
            </w:r>
          </w:p>
          <w:p w:rsidR="00F555D6" w:rsidRPr="005C3B55" w:rsidRDefault="00F555D6" w:rsidP="00F555D6">
            <w:pPr>
              <w:spacing w:before="240" w:after="240" w:line="280" w:lineRule="auto"/>
              <w:rPr>
                <w:szCs w:val="24"/>
              </w:rPr>
            </w:pPr>
            <w:r w:rsidRPr="005C3B55">
              <w:rPr>
                <w:szCs w:val="24"/>
              </w:rPr>
              <w:t>The upgrading of the IT system for administrative control will be implemented, which will allow certain verifications and controls already upon the submission of the request for payment (size of surface, suitability of areas, suitability of combinations of requests and operations, suitability of agricultural plant and suitability of use, the number of trees and fruit species as per individual register).</w:t>
            </w:r>
          </w:p>
          <w:p w:rsidR="00F555D6" w:rsidRPr="005C3B55" w:rsidRDefault="00F555D6" w:rsidP="00F555D6">
            <w:pPr>
              <w:spacing w:before="240" w:after="240" w:line="280" w:lineRule="auto"/>
              <w:rPr>
                <w:szCs w:val="24"/>
              </w:rPr>
            </w:pPr>
            <w:r w:rsidRPr="005C3B55">
              <w:rPr>
                <w:szCs w:val="24"/>
              </w:rPr>
              <w:t>If a beneficiary fails to meet the eligibility conditions for entering measure M10, they will be alerted to the shortcomings which they will be able to eliminate by the prescribed deadline; otherwise, it will not be possible to submit a request for the payment of measure M10.</w:t>
            </w:r>
          </w:p>
          <w:p w:rsidR="00F555D6" w:rsidRPr="005C3B55" w:rsidRDefault="00F555D6" w:rsidP="00F555D6">
            <w:pPr>
              <w:spacing w:before="240" w:after="240" w:line="280" w:lineRule="auto"/>
              <w:rPr>
                <w:szCs w:val="24"/>
              </w:rPr>
            </w:pPr>
            <w:r w:rsidRPr="005C3B55">
              <w:rPr>
                <w:szCs w:val="24"/>
              </w:rPr>
              <w:t>Unpermitted combinations of individual requirements within the operation Fruit growing and unpermitted combinations of requirements of this operation with requirements within other operations of the M10 measure will be disabled.</w:t>
            </w:r>
          </w:p>
          <w:p w:rsidR="00F555D6" w:rsidRPr="005C3B55" w:rsidRDefault="00F555D6" w:rsidP="00F555D6">
            <w:pPr>
              <w:spacing w:before="240" w:after="240" w:line="280" w:lineRule="auto"/>
              <w:rPr>
                <w:szCs w:val="24"/>
              </w:rPr>
            </w:pPr>
            <w:r w:rsidRPr="005C3B55">
              <w:rPr>
                <w:szCs w:val="24"/>
              </w:rPr>
              <w:t>A beneficiary who will also be included in the implementation of the M11 measure will not have the opportunity to submit the request for unauthorised combinations of this measure with the M10 measure.</w:t>
            </w:r>
          </w:p>
          <w:p w:rsidR="00F555D6" w:rsidRPr="005C3B55" w:rsidRDefault="00F555D6" w:rsidP="00F555D6">
            <w:pPr>
              <w:pStyle w:val="Telobesedila"/>
              <w:rPr>
                <w:szCs w:val="24"/>
              </w:rPr>
            </w:pPr>
          </w:p>
        </w:tc>
      </w:tr>
    </w:tbl>
    <w:p w:rsidR="00F555D6" w:rsidRPr="005C3B55" w:rsidRDefault="00F555D6" w:rsidP="00F555D6">
      <w:pPr>
        <w:pStyle w:val="Naslov7"/>
        <w:tabs>
          <w:tab w:val="clear" w:pos="765"/>
        </w:tabs>
        <w:ind w:left="0" w:firstLine="0"/>
        <w:rPr>
          <w:szCs w:val="24"/>
          <w:lang w:val="en-GB"/>
        </w:rPr>
      </w:pPr>
      <w:r w:rsidRPr="005C3B55">
        <w:rPr>
          <w:noProof w:val="0"/>
          <w:szCs w:val="24"/>
          <w:lang w:val="en-GB"/>
        </w:rPr>
        <w:t>General assessment of the measure</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 xml:space="preserve">Described in Chapter </w:t>
            </w:r>
            <w:r w:rsidRPr="005C3B55">
              <w:rPr>
                <w:i/>
                <w:szCs w:val="24"/>
              </w:rPr>
              <w:t>8.2.9.4.3 General assessment of the measure</w:t>
            </w:r>
            <w:r w:rsidRPr="005C3B55">
              <w:rPr>
                <w:szCs w:val="24"/>
              </w:rPr>
              <w:t>.</w:t>
            </w:r>
          </w:p>
          <w:p w:rsidR="00F555D6" w:rsidRPr="005C3B55" w:rsidRDefault="00F555D6" w:rsidP="00F555D6">
            <w:pPr>
              <w:pStyle w:val="Telobesedila"/>
              <w:rPr>
                <w:szCs w:val="24"/>
              </w:rPr>
            </w:pPr>
          </w:p>
        </w:tc>
      </w:tr>
    </w:tbl>
    <w:p w:rsidR="00F555D6" w:rsidRPr="005C3B55" w:rsidRDefault="00F555D6" w:rsidP="00F555D6">
      <w:pPr>
        <w:pStyle w:val="Naslov7"/>
        <w:tabs>
          <w:tab w:val="clear" w:pos="765"/>
        </w:tabs>
        <w:ind w:left="0" w:firstLine="0"/>
        <w:rPr>
          <w:szCs w:val="24"/>
          <w:lang w:val="en-GB"/>
        </w:rPr>
      </w:pPr>
      <w:r w:rsidRPr="005C3B55">
        <w:rPr>
          <w:noProof w:val="0"/>
          <w:szCs w:val="24"/>
          <w:lang w:val="en-GB"/>
        </w:rPr>
        <w:t>Agri-environment-climate commitments</w:t>
      </w:r>
    </w:p>
    <w:p w:rsidR="00F555D6" w:rsidRPr="005C3B55" w:rsidRDefault="00F555D6" w:rsidP="00F555D6">
      <w:pPr>
        <w:pStyle w:val="Naslov8"/>
        <w:tabs>
          <w:tab w:val="clear" w:pos="765"/>
        </w:tabs>
        <w:ind w:left="0" w:firstLine="0"/>
        <w:rPr>
          <w:b w:val="0"/>
          <w:szCs w:val="24"/>
          <w:lang w:val="en-GB"/>
        </w:rPr>
      </w:pPr>
      <w:r w:rsidRPr="005C3B55">
        <w:rPr>
          <w:b w:val="0"/>
          <w:noProof w:val="0"/>
          <w:szCs w:val="24"/>
          <w:lang w:val="en-GB"/>
        </w:rPr>
        <w:t>SAD_EKGN:</w:t>
      </w:r>
      <w:r w:rsidRPr="005C3B55">
        <w:rPr>
          <w:b w:val="0"/>
          <w:szCs w:val="24"/>
          <w:lang w:val="en-GB"/>
        </w:rPr>
        <w:t xml:space="preserve"> </w:t>
      </w:r>
      <w:r w:rsidRPr="005C3B55">
        <w:rPr>
          <w:b w:val="0"/>
          <w:noProof w:val="0"/>
          <w:szCs w:val="24"/>
          <w:lang w:val="en-GB"/>
        </w:rPr>
        <w:t>Only fertilisers permitted in organic production may be used</w:t>
      </w:r>
    </w:p>
    <w:p w:rsidR="00F555D6" w:rsidRPr="005C3B55" w:rsidRDefault="00F555D6" w:rsidP="00F555D6">
      <w:pPr>
        <w:pStyle w:val="Naslov9"/>
        <w:tabs>
          <w:tab w:val="clear" w:pos="765"/>
        </w:tabs>
        <w:ind w:left="0" w:firstLine="0"/>
        <w:rPr>
          <w:szCs w:val="24"/>
          <w:lang w:val="en-GB"/>
        </w:rPr>
      </w:pPr>
      <w:r w:rsidRPr="005C3B55">
        <w:rPr>
          <w:noProof w:val="0"/>
          <w:szCs w:val="24"/>
          <w:lang w:val="en-GB"/>
        </w:rPr>
        <w:t>Methods of commitment verification</w:t>
      </w:r>
    </w:p>
    <w:p w:rsidR="00F555D6" w:rsidRPr="005C3B55" w:rsidRDefault="00F555D6" w:rsidP="00F555D6">
      <w:pPr>
        <w:pStyle w:val="Naslov9"/>
        <w:tabs>
          <w:tab w:val="clear" w:pos="765"/>
        </w:tabs>
        <w:spacing w:before="0" w:after="0"/>
        <w:ind w:left="0" w:firstLine="0"/>
        <w:rPr>
          <w:szCs w:val="24"/>
          <w:lang w:val="en-GB"/>
        </w:rPr>
      </w:pP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Administrative control:</w:t>
            </w:r>
          </w:p>
          <w:p w:rsidR="00F555D6" w:rsidRPr="005C3B55" w:rsidRDefault="00F555D6" w:rsidP="00F555D6">
            <w:pPr>
              <w:numPr>
                <w:ilvl w:val="0"/>
                <w:numId w:val="414"/>
              </w:numPr>
              <w:spacing w:before="240" w:after="0"/>
              <w:ind w:hanging="290"/>
              <w:jc w:val="left"/>
              <w:rPr>
                <w:szCs w:val="24"/>
              </w:rPr>
            </w:pPr>
            <w:r w:rsidRPr="005C3B55">
              <w:rPr>
                <w:szCs w:val="24"/>
              </w:rPr>
              <w:t>suitability of the fruit species through collective application;</w:t>
            </w:r>
          </w:p>
          <w:p w:rsidR="00F555D6" w:rsidRPr="005C3B55" w:rsidRDefault="00F555D6" w:rsidP="00F555D6">
            <w:pPr>
              <w:numPr>
                <w:ilvl w:val="0"/>
                <w:numId w:val="414"/>
              </w:numPr>
              <w:spacing w:before="0" w:after="240"/>
              <w:ind w:hanging="290"/>
              <w:jc w:val="left"/>
              <w:rPr>
                <w:szCs w:val="24"/>
              </w:rPr>
            </w:pPr>
            <w:r w:rsidRPr="005C3B55">
              <w:rPr>
                <w:szCs w:val="24"/>
              </w:rPr>
              <w:t>verification of the density of trees through the register of agricultural holdings.</w:t>
            </w:r>
          </w:p>
          <w:p w:rsidR="00F555D6" w:rsidRPr="005C3B55" w:rsidRDefault="00F555D6" w:rsidP="00F555D6">
            <w:pPr>
              <w:spacing w:before="240" w:after="240" w:line="280" w:lineRule="auto"/>
              <w:rPr>
                <w:szCs w:val="24"/>
              </w:rPr>
            </w:pPr>
            <w:r w:rsidRPr="005C3B55">
              <w:rPr>
                <w:szCs w:val="24"/>
              </w:rPr>
              <w:t>Registers/records:</w:t>
            </w:r>
          </w:p>
          <w:p w:rsidR="00F555D6" w:rsidRPr="005C3B55" w:rsidRDefault="00F555D6" w:rsidP="00F555D6">
            <w:pPr>
              <w:numPr>
                <w:ilvl w:val="0"/>
                <w:numId w:val="415"/>
              </w:numPr>
              <w:spacing w:before="240" w:after="0"/>
              <w:ind w:hanging="290"/>
              <w:jc w:val="left"/>
              <w:rPr>
                <w:szCs w:val="24"/>
              </w:rPr>
            </w:pPr>
            <w:r w:rsidRPr="005C3B55">
              <w:rPr>
                <w:szCs w:val="24"/>
              </w:rPr>
              <w:t>register of agricultural holdings;</w:t>
            </w:r>
          </w:p>
          <w:p w:rsidR="00F555D6" w:rsidRPr="005C3B55" w:rsidRDefault="00F555D6" w:rsidP="00F555D6">
            <w:pPr>
              <w:numPr>
                <w:ilvl w:val="0"/>
                <w:numId w:val="415"/>
              </w:numPr>
              <w:spacing w:before="0" w:after="240"/>
              <w:ind w:hanging="290"/>
              <w:jc w:val="left"/>
              <w:rPr>
                <w:szCs w:val="24"/>
              </w:rPr>
            </w:pPr>
            <w:r w:rsidRPr="005C3B55">
              <w:rPr>
                <w:szCs w:val="24"/>
              </w:rPr>
              <w:t>graphical agricultural unit of agricultural holding (GERK).</w:t>
            </w:r>
          </w:p>
          <w:p w:rsidR="00F555D6" w:rsidRPr="005C3B55" w:rsidRDefault="00F555D6" w:rsidP="00F555D6">
            <w:pPr>
              <w:spacing w:before="240" w:after="240" w:line="280" w:lineRule="auto"/>
              <w:rPr>
                <w:szCs w:val="24"/>
              </w:rPr>
            </w:pPr>
            <w:r w:rsidRPr="005C3B55">
              <w:rPr>
                <w:szCs w:val="24"/>
              </w:rPr>
              <w:t>On-site control:</w:t>
            </w:r>
          </w:p>
          <w:p w:rsidR="00F555D6" w:rsidRPr="005C3B55" w:rsidRDefault="00F555D6" w:rsidP="00F555D6">
            <w:pPr>
              <w:numPr>
                <w:ilvl w:val="0"/>
                <w:numId w:val="416"/>
              </w:numPr>
              <w:spacing w:before="240" w:after="0"/>
              <w:ind w:hanging="290"/>
              <w:jc w:val="left"/>
              <w:rPr>
                <w:szCs w:val="24"/>
              </w:rPr>
            </w:pPr>
            <w:r w:rsidRPr="005C3B55">
              <w:rPr>
                <w:szCs w:val="24"/>
              </w:rPr>
              <w:t>records on works;</w:t>
            </w:r>
          </w:p>
          <w:p w:rsidR="00F555D6" w:rsidRPr="005C3B55" w:rsidRDefault="00F555D6" w:rsidP="00F555D6">
            <w:pPr>
              <w:numPr>
                <w:ilvl w:val="0"/>
                <w:numId w:val="416"/>
              </w:numPr>
              <w:spacing w:before="0" w:after="0"/>
              <w:ind w:hanging="290"/>
              <w:jc w:val="left"/>
              <w:rPr>
                <w:szCs w:val="24"/>
              </w:rPr>
            </w:pPr>
            <w:r w:rsidRPr="005C3B55">
              <w:rPr>
                <w:szCs w:val="24"/>
              </w:rPr>
              <w:t>list of permitted organic fertilisers;</w:t>
            </w:r>
          </w:p>
          <w:p w:rsidR="00F555D6" w:rsidRPr="005C3B55" w:rsidRDefault="00F555D6" w:rsidP="00F555D6">
            <w:pPr>
              <w:numPr>
                <w:ilvl w:val="0"/>
                <w:numId w:val="416"/>
              </w:numPr>
              <w:spacing w:before="0" w:after="0"/>
              <w:ind w:hanging="290"/>
              <w:jc w:val="left"/>
              <w:rPr>
                <w:szCs w:val="24"/>
              </w:rPr>
            </w:pPr>
            <w:r w:rsidRPr="005C3B55">
              <w:rPr>
                <w:szCs w:val="24"/>
              </w:rPr>
              <w:t>invoice on the purchase of fertilisers;</w:t>
            </w:r>
          </w:p>
          <w:p w:rsidR="00F555D6" w:rsidRPr="005C3B55" w:rsidRDefault="00F555D6" w:rsidP="00F555D6">
            <w:pPr>
              <w:numPr>
                <w:ilvl w:val="0"/>
                <w:numId w:val="416"/>
              </w:numPr>
              <w:spacing w:before="0" w:after="0"/>
              <w:ind w:hanging="290"/>
              <w:jc w:val="left"/>
              <w:rPr>
                <w:szCs w:val="24"/>
              </w:rPr>
            </w:pPr>
            <w:r w:rsidRPr="005C3B55">
              <w:rPr>
                <w:szCs w:val="24"/>
              </w:rPr>
              <w:t>declarations;</w:t>
            </w:r>
          </w:p>
          <w:p w:rsidR="00F555D6" w:rsidRPr="005C3B55" w:rsidRDefault="00F555D6" w:rsidP="00F555D6">
            <w:pPr>
              <w:numPr>
                <w:ilvl w:val="0"/>
                <w:numId w:val="416"/>
              </w:numPr>
              <w:spacing w:before="0" w:after="240"/>
              <w:ind w:hanging="290"/>
              <w:jc w:val="left"/>
              <w:rPr>
                <w:szCs w:val="24"/>
              </w:rPr>
            </w:pPr>
            <w:r w:rsidRPr="005C3B55">
              <w:rPr>
                <w:szCs w:val="24"/>
              </w:rPr>
              <w:t>review of the agricultural holding.</w:t>
            </w:r>
          </w:p>
          <w:p w:rsidR="00F555D6" w:rsidRPr="005C3B55" w:rsidRDefault="00F555D6" w:rsidP="00F555D6">
            <w:pPr>
              <w:pStyle w:val="Telobesedila"/>
              <w:rPr>
                <w:szCs w:val="24"/>
              </w:rPr>
            </w:pPr>
          </w:p>
        </w:tc>
      </w:tr>
    </w:tbl>
    <w:p w:rsidR="00F555D6" w:rsidRPr="005C3B55" w:rsidRDefault="00F555D6" w:rsidP="00F555D6">
      <w:pPr>
        <w:pStyle w:val="Naslov8"/>
        <w:tabs>
          <w:tab w:val="clear" w:pos="765"/>
        </w:tabs>
        <w:ind w:left="0" w:firstLine="0"/>
        <w:rPr>
          <w:b w:val="0"/>
          <w:szCs w:val="24"/>
          <w:lang w:val="en-GB"/>
        </w:rPr>
      </w:pPr>
      <w:r w:rsidRPr="005C3B55">
        <w:rPr>
          <w:b w:val="0"/>
          <w:noProof w:val="0"/>
          <w:szCs w:val="24"/>
          <w:lang w:val="en-GB"/>
        </w:rPr>
        <w:t>SAD_KONF:</w:t>
      </w:r>
      <w:r w:rsidRPr="005C3B55">
        <w:rPr>
          <w:b w:val="0"/>
          <w:szCs w:val="24"/>
          <w:lang w:val="en-GB"/>
        </w:rPr>
        <w:t xml:space="preserve"> </w:t>
      </w:r>
      <w:r w:rsidRPr="005C3B55">
        <w:rPr>
          <w:b w:val="0"/>
          <w:noProof w:val="0"/>
          <w:szCs w:val="24"/>
          <w:lang w:val="en-GB"/>
        </w:rPr>
        <w:t>Use of confusion and disorientation methods</w:t>
      </w:r>
    </w:p>
    <w:p w:rsidR="00F555D6" w:rsidRPr="005C3B55" w:rsidRDefault="00F555D6" w:rsidP="00F555D6">
      <w:pPr>
        <w:pStyle w:val="Naslov9"/>
        <w:tabs>
          <w:tab w:val="clear" w:pos="765"/>
        </w:tabs>
        <w:ind w:left="0" w:firstLine="0"/>
        <w:rPr>
          <w:szCs w:val="24"/>
          <w:lang w:val="en-GB"/>
        </w:rPr>
      </w:pPr>
      <w:r w:rsidRPr="005C3B55">
        <w:rPr>
          <w:noProof w:val="0"/>
          <w:szCs w:val="24"/>
          <w:lang w:val="en-GB"/>
        </w:rPr>
        <w:t>Methods of commitment verification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Administrative control:</w:t>
            </w:r>
          </w:p>
          <w:p w:rsidR="00F555D6" w:rsidRPr="005C3B55" w:rsidRDefault="00F555D6" w:rsidP="00F555D6">
            <w:pPr>
              <w:numPr>
                <w:ilvl w:val="0"/>
                <w:numId w:val="417"/>
              </w:numPr>
              <w:spacing w:before="240" w:after="0"/>
              <w:ind w:hanging="290"/>
              <w:jc w:val="left"/>
              <w:rPr>
                <w:szCs w:val="24"/>
              </w:rPr>
            </w:pPr>
            <w:r w:rsidRPr="005C3B55">
              <w:rPr>
                <w:szCs w:val="24"/>
              </w:rPr>
              <w:t>verification of the density of trees through the register of agricultural holdings;</w:t>
            </w:r>
          </w:p>
          <w:p w:rsidR="00F555D6" w:rsidRPr="005C3B55" w:rsidRDefault="00F555D6" w:rsidP="00F555D6">
            <w:pPr>
              <w:numPr>
                <w:ilvl w:val="0"/>
                <w:numId w:val="417"/>
              </w:numPr>
              <w:spacing w:before="0" w:after="240"/>
              <w:ind w:hanging="290"/>
              <w:jc w:val="left"/>
              <w:rPr>
                <w:szCs w:val="24"/>
              </w:rPr>
            </w:pPr>
            <w:r w:rsidRPr="005C3B55">
              <w:rPr>
                <w:szCs w:val="24"/>
              </w:rPr>
              <w:t>suitability of the fruit species through collective application.</w:t>
            </w:r>
          </w:p>
          <w:p w:rsidR="00F555D6" w:rsidRPr="005C3B55" w:rsidRDefault="00F555D6" w:rsidP="00F555D6">
            <w:pPr>
              <w:spacing w:before="240" w:after="240" w:line="280" w:lineRule="auto"/>
              <w:rPr>
                <w:szCs w:val="24"/>
              </w:rPr>
            </w:pPr>
            <w:r w:rsidRPr="005C3B55">
              <w:rPr>
                <w:szCs w:val="24"/>
              </w:rPr>
              <w:t>Registers/records:</w:t>
            </w:r>
          </w:p>
          <w:p w:rsidR="00F555D6" w:rsidRPr="005C3B55" w:rsidRDefault="00F555D6" w:rsidP="00F555D6">
            <w:pPr>
              <w:numPr>
                <w:ilvl w:val="0"/>
                <w:numId w:val="418"/>
              </w:numPr>
              <w:spacing w:before="240" w:after="0"/>
              <w:ind w:hanging="290"/>
              <w:jc w:val="left"/>
              <w:rPr>
                <w:szCs w:val="24"/>
              </w:rPr>
            </w:pPr>
            <w:r w:rsidRPr="005C3B55">
              <w:rPr>
                <w:szCs w:val="24"/>
              </w:rPr>
              <w:t>register of agricultural holdings;</w:t>
            </w:r>
          </w:p>
          <w:p w:rsidR="00F555D6" w:rsidRPr="005C3B55" w:rsidRDefault="00F555D6" w:rsidP="00F555D6">
            <w:pPr>
              <w:numPr>
                <w:ilvl w:val="0"/>
                <w:numId w:val="418"/>
              </w:numPr>
              <w:spacing w:before="0" w:after="240"/>
              <w:ind w:hanging="290"/>
              <w:jc w:val="left"/>
              <w:rPr>
                <w:szCs w:val="24"/>
              </w:rPr>
            </w:pPr>
            <w:r w:rsidRPr="005C3B55">
              <w:rPr>
                <w:szCs w:val="24"/>
              </w:rPr>
              <w:t>graphical agricultural unit of agricultural holding (GERK).</w:t>
            </w:r>
          </w:p>
          <w:p w:rsidR="00F555D6" w:rsidRPr="005C3B55" w:rsidRDefault="00F555D6" w:rsidP="00F555D6">
            <w:pPr>
              <w:spacing w:before="240" w:after="240" w:line="280" w:lineRule="auto"/>
              <w:rPr>
                <w:szCs w:val="24"/>
              </w:rPr>
            </w:pPr>
            <w:r w:rsidRPr="005C3B55">
              <w:rPr>
                <w:szCs w:val="24"/>
              </w:rPr>
              <w:t>On-site control:</w:t>
            </w:r>
          </w:p>
          <w:p w:rsidR="00F555D6" w:rsidRPr="005C3B55" w:rsidRDefault="00F555D6" w:rsidP="00F555D6">
            <w:pPr>
              <w:numPr>
                <w:ilvl w:val="0"/>
                <w:numId w:val="419"/>
              </w:numPr>
              <w:spacing w:before="240" w:after="0"/>
              <w:ind w:hanging="290"/>
              <w:jc w:val="left"/>
              <w:rPr>
                <w:szCs w:val="24"/>
              </w:rPr>
            </w:pPr>
            <w:r w:rsidRPr="005C3B55">
              <w:rPr>
                <w:szCs w:val="24"/>
              </w:rPr>
              <w:t>records on works;</w:t>
            </w:r>
          </w:p>
          <w:p w:rsidR="00F555D6" w:rsidRPr="005C3B55" w:rsidRDefault="00F555D6" w:rsidP="00F555D6">
            <w:pPr>
              <w:numPr>
                <w:ilvl w:val="0"/>
                <w:numId w:val="419"/>
              </w:numPr>
              <w:spacing w:before="0" w:after="0"/>
              <w:ind w:hanging="290"/>
              <w:jc w:val="left"/>
              <w:rPr>
                <w:szCs w:val="24"/>
              </w:rPr>
            </w:pPr>
            <w:r w:rsidRPr="005C3B55">
              <w:rPr>
                <w:szCs w:val="24"/>
              </w:rPr>
              <w:t>declaration;</w:t>
            </w:r>
          </w:p>
          <w:p w:rsidR="00F555D6" w:rsidRPr="005C3B55" w:rsidRDefault="00F555D6" w:rsidP="00F555D6">
            <w:pPr>
              <w:numPr>
                <w:ilvl w:val="0"/>
                <w:numId w:val="419"/>
              </w:numPr>
              <w:spacing w:before="0" w:after="0"/>
              <w:ind w:hanging="290"/>
              <w:jc w:val="left"/>
              <w:rPr>
                <w:szCs w:val="24"/>
              </w:rPr>
            </w:pPr>
            <w:r w:rsidRPr="005C3B55">
              <w:rPr>
                <w:szCs w:val="24"/>
              </w:rPr>
              <w:t>producer’s instructions on the use of dispensers;</w:t>
            </w:r>
          </w:p>
          <w:p w:rsidR="00F555D6" w:rsidRPr="005C3B55" w:rsidRDefault="00F555D6" w:rsidP="00F555D6">
            <w:pPr>
              <w:numPr>
                <w:ilvl w:val="0"/>
                <w:numId w:val="419"/>
              </w:numPr>
              <w:spacing w:before="0" w:after="0"/>
              <w:ind w:hanging="290"/>
              <w:jc w:val="left"/>
              <w:rPr>
                <w:szCs w:val="24"/>
              </w:rPr>
            </w:pPr>
            <w:r w:rsidRPr="005C3B55">
              <w:rPr>
                <w:szCs w:val="24"/>
              </w:rPr>
              <w:t>invoice on the purchase;</w:t>
            </w:r>
          </w:p>
          <w:p w:rsidR="00F555D6" w:rsidRPr="005C3B55" w:rsidRDefault="00F555D6" w:rsidP="00F555D6">
            <w:pPr>
              <w:numPr>
                <w:ilvl w:val="0"/>
                <w:numId w:val="419"/>
              </w:numPr>
              <w:spacing w:before="0" w:after="0"/>
              <w:ind w:hanging="290"/>
              <w:jc w:val="left"/>
              <w:rPr>
                <w:szCs w:val="24"/>
              </w:rPr>
            </w:pPr>
            <w:r w:rsidRPr="005C3B55">
              <w:rPr>
                <w:szCs w:val="24"/>
              </w:rPr>
              <w:t>recommendations from expert institutions in the field of plant protection;</w:t>
            </w:r>
          </w:p>
          <w:p w:rsidR="00F555D6" w:rsidRPr="005C3B55" w:rsidRDefault="00F555D6" w:rsidP="00F555D6">
            <w:pPr>
              <w:numPr>
                <w:ilvl w:val="0"/>
                <w:numId w:val="419"/>
              </w:numPr>
              <w:spacing w:before="0" w:after="240"/>
              <w:ind w:hanging="290"/>
              <w:jc w:val="left"/>
              <w:rPr>
                <w:szCs w:val="24"/>
              </w:rPr>
            </w:pPr>
            <w:r w:rsidRPr="005C3B55">
              <w:rPr>
                <w:szCs w:val="24"/>
              </w:rPr>
              <w:t>review of the agricultural holding.</w:t>
            </w:r>
          </w:p>
          <w:p w:rsidR="00F555D6" w:rsidRPr="005C3B55" w:rsidRDefault="00F555D6" w:rsidP="00F555D6">
            <w:pPr>
              <w:pStyle w:val="Telobesedila"/>
              <w:rPr>
                <w:szCs w:val="24"/>
              </w:rPr>
            </w:pPr>
          </w:p>
        </w:tc>
      </w:tr>
    </w:tbl>
    <w:p w:rsidR="00F555D6" w:rsidRPr="005C3B55" w:rsidRDefault="00F555D6" w:rsidP="00F555D6">
      <w:pPr>
        <w:pStyle w:val="Naslov8"/>
        <w:tabs>
          <w:tab w:val="clear" w:pos="765"/>
        </w:tabs>
        <w:ind w:left="0" w:firstLine="0"/>
        <w:rPr>
          <w:b w:val="0"/>
          <w:szCs w:val="24"/>
          <w:lang w:val="en-GB"/>
        </w:rPr>
      </w:pPr>
      <w:r w:rsidRPr="005C3B55">
        <w:rPr>
          <w:b w:val="0"/>
          <w:noProof w:val="0"/>
          <w:szCs w:val="24"/>
          <w:lang w:val="en-GB"/>
        </w:rPr>
        <w:t>SAD_MEHZ:</w:t>
      </w:r>
      <w:r w:rsidRPr="005C3B55">
        <w:rPr>
          <w:b w:val="0"/>
          <w:szCs w:val="24"/>
          <w:lang w:val="en-GB"/>
        </w:rPr>
        <w:t xml:space="preserve"> </w:t>
      </w:r>
      <w:r w:rsidRPr="005C3B55">
        <w:rPr>
          <w:b w:val="0"/>
          <w:noProof w:val="0"/>
          <w:szCs w:val="24"/>
          <w:lang w:val="en-GB"/>
        </w:rPr>
        <w:t>Mechanical weeding (under trees)</w:t>
      </w:r>
    </w:p>
    <w:p w:rsidR="00F555D6" w:rsidRPr="005C3B55" w:rsidRDefault="00F555D6" w:rsidP="00F555D6">
      <w:pPr>
        <w:pStyle w:val="Naslov9"/>
        <w:tabs>
          <w:tab w:val="clear" w:pos="765"/>
        </w:tabs>
        <w:ind w:left="0" w:firstLine="0"/>
        <w:rPr>
          <w:szCs w:val="24"/>
          <w:lang w:val="en-GB"/>
        </w:rPr>
      </w:pPr>
      <w:r w:rsidRPr="005C3B55">
        <w:rPr>
          <w:noProof w:val="0"/>
          <w:szCs w:val="24"/>
          <w:lang w:val="en-GB"/>
        </w:rPr>
        <w:t>Methods of commitment verification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Administrative control:</w:t>
            </w:r>
          </w:p>
          <w:p w:rsidR="00F555D6" w:rsidRPr="005C3B55" w:rsidRDefault="00F555D6" w:rsidP="00F555D6">
            <w:pPr>
              <w:numPr>
                <w:ilvl w:val="0"/>
                <w:numId w:val="420"/>
              </w:numPr>
              <w:spacing w:before="240" w:after="0"/>
              <w:ind w:hanging="290"/>
              <w:jc w:val="left"/>
              <w:rPr>
                <w:szCs w:val="24"/>
              </w:rPr>
            </w:pPr>
            <w:r w:rsidRPr="005C3B55">
              <w:rPr>
                <w:szCs w:val="24"/>
              </w:rPr>
              <w:t>suitability of the fruit species through collective application;</w:t>
            </w:r>
          </w:p>
          <w:p w:rsidR="00F555D6" w:rsidRPr="005C3B55" w:rsidRDefault="00F555D6" w:rsidP="00F555D6">
            <w:pPr>
              <w:numPr>
                <w:ilvl w:val="0"/>
                <w:numId w:val="420"/>
              </w:numPr>
              <w:spacing w:before="0" w:after="240"/>
              <w:ind w:hanging="290"/>
              <w:jc w:val="left"/>
              <w:rPr>
                <w:szCs w:val="24"/>
              </w:rPr>
            </w:pPr>
            <w:r w:rsidRPr="005C3B55">
              <w:rPr>
                <w:szCs w:val="24"/>
              </w:rPr>
              <w:t>verification of the density of trees through the register of agricultural holdings.</w:t>
            </w:r>
          </w:p>
          <w:p w:rsidR="00F555D6" w:rsidRPr="005C3B55" w:rsidRDefault="00F555D6" w:rsidP="00F555D6">
            <w:pPr>
              <w:spacing w:before="240" w:after="240" w:line="280" w:lineRule="auto"/>
              <w:rPr>
                <w:szCs w:val="24"/>
              </w:rPr>
            </w:pPr>
            <w:r w:rsidRPr="005C3B55">
              <w:rPr>
                <w:szCs w:val="24"/>
              </w:rPr>
              <w:t>Registers/records:</w:t>
            </w:r>
          </w:p>
          <w:p w:rsidR="00F555D6" w:rsidRPr="005C3B55" w:rsidRDefault="00F555D6" w:rsidP="00F555D6">
            <w:pPr>
              <w:numPr>
                <w:ilvl w:val="0"/>
                <w:numId w:val="421"/>
              </w:numPr>
              <w:spacing w:before="240" w:after="0"/>
              <w:ind w:hanging="290"/>
              <w:jc w:val="left"/>
              <w:rPr>
                <w:szCs w:val="24"/>
              </w:rPr>
            </w:pPr>
            <w:r w:rsidRPr="005C3B55">
              <w:rPr>
                <w:szCs w:val="24"/>
              </w:rPr>
              <w:t>register of agricultural holdings;</w:t>
            </w:r>
          </w:p>
          <w:p w:rsidR="00F555D6" w:rsidRPr="005C3B55" w:rsidRDefault="00F555D6" w:rsidP="00F555D6">
            <w:pPr>
              <w:numPr>
                <w:ilvl w:val="0"/>
                <w:numId w:val="421"/>
              </w:numPr>
              <w:spacing w:before="0" w:after="240"/>
              <w:ind w:hanging="290"/>
              <w:jc w:val="left"/>
              <w:rPr>
                <w:szCs w:val="24"/>
              </w:rPr>
            </w:pPr>
            <w:r w:rsidRPr="005C3B55">
              <w:rPr>
                <w:szCs w:val="24"/>
              </w:rPr>
              <w:t>graphical agricultural unit of agricultural holding (GERK).</w:t>
            </w:r>
          </w:p>
          <w:p w:rsidR="00F555D6" w:rsidRPr="005C3B55" w:rsidRDefault="00F555D6" w:rsidP="00F555D6">
            <w:pPr>
              <w:spacing w:before="240" w:after="240" w:line="280" w:lineRule="auto"/>
              <w:rPr>
                <w:szCs w:val="24"/>
              </w:rPr>
            </w:pPr>
            <w:r w:rsidRPr="005C3B55">
              <w:rPr>
                <w:szCs w:val="24"/>
              </w:rPr>
              <w:t>On-site control:</w:t>
            </w:r>
          </w:p>
          <w:p w:rsidR="00F555D6" w:rsidRPr="005C3B55" w:rsidRDefault="00F555D6" w:rsidP="00F555D6">
            <w:pPr>
              <w:numPr>
                <w:ilvl w:val="0"/>
                <w:numId w:val="422"/>
              </w:numPr>
              <w:spacing w:before="240" w:after="0"/>
              <w:ind w:hanging="290"/>
              <w:jc w:val="left"/>
              <w:rPr>
                <w:szCs w:val="24"/>
              </w:rPr>
            </w:pPr>
            <w:r w:rsidRPr="005C3B55">
              <w:rPr>
                <w:szCs w:val="24"/>
              </w:rPr>
              <w:t>records on works;</w:t>
            </w:r>
          </w:p>
          <w:p w:rsidR="00F555D6" w:rsidRPr="005C3B55" w:rsidRDefault="00F555D6" w:rsidP="00F555D6">
            <w:pPr>
              <w:numPr>
                <w:ilvl w:val="0"/>
                <w:numId w:val="422"/>
              </w:numPr>
              <w:spacing w:before="0" w:after="0"/>
              <w:ind w:hanging="290"/>
              <w:jc w:val="left"/>
              <w:rPr>
                <w:szCs w:val="24"/>
              </w:rPr>
            </w:pPr>
            <w:r w:rsidRPr="005C3B55">
              <w:rPr>
                <w:szCs w:val="24"/>
              </w:rPr>
              <w:t>presence of suitable machinery on agricultural holdings;</w:t>
            </w:r>
          </w:p>
          <w:p w:rsidR="00F555D6" w:rsidRPr="005C3B55" w:rsidRDefault="00F555D6" w:rsidP="00F555D6">
            <w:pPr>
              <w:numPr>
                <w:ilvl w:val="0"/>
                <w:numId w:val="422"/>
              </w:numPr>
              <w:spacing w:before="0" w:after="0"/>
              <w:ind w:hanging="290"/>
              <w:jc w:val="left"/>
              <w:rPr>
                <w:szCs w:val="24"/>
              </w:rPr>
            </w:pPr>
            <w:r w:rsidRPr="005C3B55">
              <w:rPr>
                <w:szCs w:val="24"/>
              </w:rPr>
              <w:t>agreement between the contractor and the user of mechanical services;</w:t>
            </w:r>
          </w:p>
          <w:p w:rsidR="00F555D6" w:rsidRPr="005C3B55" w:rsidRDefault="00F555D6" w:rsidP="00F555D6">
            <w:pPr>
              <w:numPr>
                <w:ilvl w:val="0"/>
                <w:numId w:val="422"/>
              </w:numPr>
              <w:spacing w:before="0" w:after="0"/>
              <w:ind w:hanging="290"/>
              <w:jc w:val="left"/>
              <w:rPr>
                <w:szCs w:val="24"/>
              </w:rPr>
            </w:pPr>
            <w:r w:rsidRPr="005C3B55">
              <w:rPr>
                <w:szCs w:val="24"/>
              </w:rPr>
              <w:t>invoice for the service implemented by the machinery hire syndicate;</w:t>
            </w:r>
          </w:p>
          <w:p w:rsidR="00F555D6" w:rsidRPr="005C3B55" w:rsidRDefault="00F555D6" w:rsidP="00F555D6">
            <w:pPr>
              <w:numPr>
                <w:ilvl w:val="0"/>
                <w:numId w:val="422"/>
              </w:numPr>
              <w:spacing w:before="0" w:after="240"/>
              <w:ind w:hanging="290"/>
              <w:jc w:val="left"/>
              <w:rPr>
                <w:szCs w:val="24"/>
              </w:rPr>
            </w:pPr>
            <w:r w:rsidRPr="005C3B55">
              <w:rPr>
                <w:szCs w:val="24"/>
              </w:rPr>
              <w:t>review of the agricultural holding.</w:t>
            </w:r>
          </w:p>
          <w:p w:rsidR="00F555D6" w:rsidRPr="005C3B55" w:rsidRDefault="00F555D6" w:rsidP="00F555D6">
            <w:pPr>
              <w:pStyle w:val="Telobesedila"/>
              <w:rPr>
                <w:szCs w:val="24"/>
              </w:rPr>
            </w:pPr>
          </w:p>
        </w:tc>
      </w:tr>
    </w:tbl>
    <w:p w:rsidR="00F555D6" w:rsidRPr="005C3B55" w:rsidRDefault="00F555D6" w:rsidP="00F555D6">
      <w:pPr>
        <w:pStyle w:val="Naslov8"/>
        <w:tabs>
          <w:tab w:val="clear" w:pos="765"/>
        </w:tabs>
        <w:ind w:left="0" w:firstLine="0"/>
        <w:rPr>
          <w:b w:val="0"/>
          <w:szCs w:val="24"/>
          <w:lang w:val="en-GB"/>
        </w:rPr>
      </w:pPr>
      <w:r w:rsidRPr="005C3B55">
        <w:rPr>
          <w:b w:val="0"/>
          <w:noProof w:val="0"/>
          <w:szCs w:val="24"/>
          <w:lang w:val="en-GB"/>
        </w:rPr>
        <w:t>SAD_POKT:</w:t>
      </w:r>
      <w:r w:rsidRPr="005C3B55">
        <w:rPr>
          <w:b w:val="0"/>
          <w:szCs w:val="24"/>
          <w:lang w:val="en-GB"/>
        </w:rPr>
        <w:t xml:space="preserve"> </w:t>
      </w:r>
      <w:r w:rsidRPr="005C3B55">
        <w:rPr>
          <w:b w:val="0"/>
          <w:noProof w:val="0"/>
          <w:szCs w:val="24"/>
          <w:lang w:val="en-GB"/>
        </w:rPr>
        <w:t>Ground cover in row spacing</w:t>
      </w:r>
    </w:p>
    <w:p w:rsidR="00F555D6" w:rsidRPr="005C3B55" w:rsidRDefault="00F555D6" w:rsidP="00F555D6">
      <w:pPr>
        <w:pStyle w:val="Naslov9"/>
        <w:tabs>
          <w:tab w:val="clear" w:pos="765"/>
        </w:tabs>
        <w:ind w:left="0" w:firstLine="0"/>
        <w:rPr>
          <w:szCs w:val="24"/>
          <w:lang w:val="en-GB"/>
        </w:rPr>
      </w:pPr>
      <w:r w:rsidRPr="005C3B55">
        <w:rPr>
          <w:noProof w:val="0"/>
          <w:szCs w:val="24"/>
          <w:lang w:val="en-GB"/>
        </w:rPr>
        <w:t>Methods of commitment verification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Administrative control:</w:t>
            </w:r>
          </w:p>
          <w:p w:rsidR="00F555D6" w:rsidRPr="005C3B55" w:rsidRDefault="00F555D6" w:rsidP="00F555D6">
            <w:pPr>
              <w:numPr>
                <w:ilvl w:val="0"/>
                <w:numId w:val="423"/>
              </w:numPr>
              <w:spacing w:before="240" w:after="0"/>
              <w:ind w:hanging="290"/>
              <w:jc w:val="left"/>
              <w:rPr>
                <w:szCs w:val="24"/>
              </w:rPr>
            </w:pPr>
            <w:r w:rsidRPr="005C3B55">
              <w:rPr>
                <w:szCs w:val="24"/>
              </w:rPr>
              <w:t>verification of the density of trees through the register of agricultural holdings;</w:t>
            </w:r>
          </w:p>
          <w:p w:rsidR="00F555D6" w:rsidRPr="005C3B55" w:rsidRDefault="00F555D6" w:rsidP="00F555D6">
            <w:pPr>
              <w:numPr>
                <w:ilvl w:val="0"/>
                <w:numId w:val="423"/>
              </w:numPr>
              <w:spacing w:before="0" w:after="240"/>
              <w:ind w:hanging="290"/>
              <w:jc w:val="left"/>
              <w:rPr>
                <w:szCs w:val="24"/>
              </w:rPr>
            </w:pPr>
            <w:r w:rsidRPr="005C3B55">
              <w:rPr>
                <w:szCs w:val="24"/>
              </w:rPr>
              <w:t>suitability of agricultural plants through collective application.</w:t>
            </w:r>
          </w:p>
          <w:p w:rsidR="00F555D6" w:rsidRPr="005C3B55" w:rsidRDefault="00F555D6" w:rsidP="00F555D6">
            <w:pPr>
              <w:spacing w:before="240" w:after="240" w:line="280" w:lineRule="auto"/>
              <w:rPr>
                <w:szCs w:val="24"/>
              </w:rPr>
            </w:pPr>
            <w:r w:rsidRPr="005C3B55">
              <w:rPr>
                <w:szCs w:val="24"/>
              </w:rPr>
              <w:t>Registers/records:</w:t>
            </w:r>
          </w:p>
          <w:p w:rsidR="00F555D6" w:rsidRPr="005C3B55" w:rsidRDefault="00F555D6" w:rsidP="00F555D6">
            <w:pPr>
              <w:numPr>
                <w:ilvl w:val="0"/>
                <w:numId w:val="424"/>
              </w:numPr>
              <w:spacing w:before="240" w:after="0"/>
              <w:ind w:hanging="290"/>
              <w:jc w:val="left"/>
              <w:rPr>
                <w:szCs w:val="24"/>
              </w:rPr>
            </w:pPr>
            <w:r w:rsidRPr="005C3B55">
              <w:rPr>
                <w:szCs w:val="24"/>
              </w:rPr>
              <w:t>register of agricultural holdings;</w:t>
            </w:r>
          </w:p>
          <w:p w:rsidR="00F555D6" w:rsidRPr="005C3B55" w:rsidRDefault="00F555D6" w:rsidP="00F555D6">
            <w:pPr>
              <w:numPr>
                <w:ilvl w:val="0"/>
                <w:numId w:val="424"/>
              </w:numPr>
              <w:spacing w:before="0" w:after="240"/>
              <w:ind w:hanging="290"/>
              <w:jc w:val="left"/>
              <w:rPr>
                <w:szCs w:val="24"/>
              </w:rPr>
            </w:pPr>
            <w:r w:rsidRPr="005C3B55">
              <w:rPr>
                <w:szCs w:val="24"/>
              </w:rPr>
              <w:t>graphical agricultural unit of agricultural holding (GERK).</w:t>
            </w:r>
          </w:p>
          <w:p w:rsidR="00F555D6" w:rsidRPr="005C3B55" w:rsidRDefault="00F555D6" w:rsidP="00F555D6">
            <w:pPr>
              <w:spacing w:before="240" w:after="240" w:line="280" w:lineRule="auto"/>
              <w:rPr>
                <w:szCs w:val="24"/>
              </w:rPr>
            </w:pPr>
            <w:r w:rsidRPr="005C3B55">
              <w:rPr>
                <w:szCs w:val="24"/>
              </w:rPr>
              <w:t>On-site control:</w:t>
            </w:r>
          </w:p>
          <w:p w:rsidR="00F555D6" w:rsidRPr="005C3B55" w:rsidRDefault="00F555D6" w:rsidP="00F555D6">
            <w:pPr>
              <w:numPr>
                <w:ilvl w:val="0"/>
                <w:numId w:val="425"/>
              </w:numPr>
              <w:spacing w:before="240" w:after="0"/>
              <w:ind w:hanging="290"/>
              <w:jc w:val="left"/>
              <w:rPr>
                <w:szCs w:val="24"/>
              </w:rPr>
            </w:pPr>
            <w:r w:rsidRPr="005C3B55">
              <w:rPr>
                <w:szCs w:val="24"/>
              </w:rPr>
              <w:t>records on works;</w:t>
            </w:r>
          </w:p>
          <w:p w:rsidR="00F555D6" w:rsidRPr="005C3B55" w:rsidRDefault="00F555D6" w:rsidP="00F555D6">
            <w:pPr>
              <w:numPr>
                <w:ilvl w:val="0"/>
                <w:numId w:val="425"/>
              </w:numPr>
              <w:spacing w:before="0" w:after="0"/>
              <w:ind w:hanging="290"/>
              <w:jc w:val="left"/>
              <w:rPr>
                <w:szCs w:val="24"/>
              </w:rPr>
            </w:pPr>
            <w:r w:rsidRPr="005C3B55">
              <w:rPr>
                <w:szCs w:val="24"/>
              </w:rPr>
              <w:t>compliance with the situation in nature;</w:t>
            </w:r>
          </w:p>
          <w:p w:rsidR="00F555D6" w:rsidRPr="005C3B55" w:rsidRDefault="00F555D6" w:rsidP="00F555D6">
            <w:pPr>
              <w:numPr>
                <w:ilvl w:val="0"/>
                <w:numId w:val="425"/>
              </w:numPr>
              <w:spacing w:before="0" w:after="240"/>
              <w:ind w:hanging="290"/>
              <w:jc w:val="left"/>
              <w:rPr>
                <w:szCs w:val="24"/>
              </w:rPr>
            </w:pPr>
            <w:r w:rsidRPr="005C3B55">
              <w:rPr>
                <w:szCs w:val="24"/>
              </w:rPr>
              <w:t>review of the agricultural holding.</w:t>
            </w:r>
          </w:p>
          <w:p w:rsidR="00F555D6" w:rsidRPr="005C3B55" w:rsidRDefault="00F555D6" w:rsidP="00F555D6">
            <w:pPr>
              <w:pStyle w:val="Telobesedila"/>
              <w:rPr>
                <w:szCs w:val="24"/>
              </w:rPr>
            </w:pPr>
          </w:p>
        </w:tc>
      </w:tr>
    </w:tbl>
    <w:p w:rsidR="00F555D6" w:rsidRPr="005C3B55" w:rsidRDefault="00F555D6" w:rsidP="00F555D6">
      <w:pPr>
        <w:pStyle w:val="Naslov8"/>
        <w:tabs>
          <w:tab w:val="clear" w:pos="765"/>
        </w:tabs>
        <w:ind w:left="0" w:firstLine="0"/>
        <w:rPr>
          <w:b w:val="0"/>
          <w:szCs w:val="24"/>
          <w:lang w:val="en-GB"/>
        </w:rPr>
      </w:pPr>
      <w:r w:rsidRPr="005C3B55">
        <w:rPr>
          <w:b w:val="0"/>
          <w:noProof w:val="0"/>
          <w:szCs w:val="24"/>
          <w:lang w:val="en-GB"/>
        </w:rPr>
        <w:t>SAD_VABE:</w:t>
      </w:r>
      <w:r w:rsidRPr="005C3B55">
        <w:rPr>
          <w:b w:val="0"/>
          <w:szCs w:val="24"/>
          <w:lang w:val="en-GB"/>
        </w:rPr>
        <w:t xml:space="preserve"> </w:t>
      </w:r>
      <w:r w:rsidRPr="005C3B55">
        <w:rPr>
          <w:b w:val="0"/>
          <w:noProof w:val="0"/>
          <w:szCs w:val="24"/>
          <w:lang w:val="en-GB"/>
        </w:rPr>
        <w:t>Use of pheromone and sticky traps for the needs of pest control</w:t>
      </w:r>
    </w:p>
    <w:p w:rsidR="00F555D6" w:rsidRPr="005C3B55" w:rsidRDefault="00F555D6" w:rsidP="00F555D6">
      <w:pPr>
        <w:pStyle w:val="Naslov9"/>
        <w:tabs>
          <w:tab w:val="clear" w:pos="765"/>
        </w:tabs>
        <w:ind w:left="0" w:firstLine="0"/>
        <w:rPr>
          <w:szCs w:val="24"/>
          <w:lang w:val="en-GB"/>
        </w:rPr>
      </w:pPr>
      <w:r w:rsidRPr="005C3B55">
        <w:rPr>
          <w:noProof w:val="0"/>
          <w:szCs w:val="24"/>
          <w:lang w:val="en-GB"/>
        </w:rPr>
        <w:t>Methods of commitment verification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Administrative control:</w:t>
            </w:r>
          </w:p>
          <w:p w:rsidR="00F555D6" w:rsidRPr="005C3B55" w:rsidRDefault="00F555D6" w:rsidP="00F555D6">
            <w:pPr>
              <w:numPr>
                <w:ilvl w:val="0"/>
                <w:numId w:val="426"/>
              </w:numPr>
              <w:spacing w:before="240" w:after="0"/>
              <w:ind w:hanging="290"/>
              <w:jc w:val="left"/>
              <w:rPr>
                <w:szCs w:val="24"/>
              </w:rPr>
            </w:pPr>
            <w:r w:rsidRPr="005C3B55">
              <w:rPr>
                <w:szCs w:val="24"/>
              </w:rPr>
              <w:t>verification of the density of trees through the register of agricultural holdings;</w:t>
            </w:r>
          </w:p>
          <w:p w:rsidR="00F555D6" w:rsidRPr="005C3B55" w:rsidRDefault="00F555D6" w:rsidP="00F555D6">
            <w:pPr>
              <w:numPr>
                <w:ilvl w:val="0"/>
                <w:numId w:val="426"/>
              </w:numPr>
              <w:spacing w:before="0" w:after="240"/>
              <w:ind w:hanging="290"/>
              <w:jc w:val="left"/>
              <w:rPr>
                <w:szCs w:val="24"/>
              </w:rPr>
            </w:pPr>
            <w:r w:rsidRPr="005C3B55">
              <w:rPr>
                <w:szCs w:val="24"/>
              </w:rPr>
              <w:t>suitability of the fruit species through collective application.</w:t>
            </w:r>
          </w:p>
          <w:p w:rsidR="00F555D6" w:rsidRPr="005C3B55" w:rsidRDefault="00F555D6" w:rsidP="00F555D6">
            <w:pPr>
              <w:spacing w:before="240" w:after="240" w:line="280" w:lineRule="auto"/>
              <w:rPr>
                <w:szCs w:val="24"/>
              </w:rPr>
            </w:pPr>
            <w:r w:rsidRPr="005C3B55">
              <w:rPr>
                <w:szCs w:val="24"/>
              </w:rPr>
              <w:t>Registers/records:</w:t>
            </w:r>
          </w:p>
          <w:p w:rsidR="00F555D6" w:rsidRPr="005C3B55" w:rsidRDefault="00F555D6" w:rsidP="00F555D6">
            <w:pPr>
              <w:numPr>
                <w:ilvl w:val="0"/>
                <w:numId w:val="427"/>
              </w:numPr>
              <w:spacing w:before="240" w:after="0"/>
              <w:ind w:hanging="290"/>
              <w:jc w:val="left"/>
              <w:rPr>
                <w:szCs w:val="24"/>
              </w:rPr>
            </w:pPr>
            <w:r w:rsidRPr="005C3B55">
              <w:rPr>
                <w:szCs w:val="24"/>
              </w:rPr>
              <w:t>register of agricultural holdings;</w:t>
            </w:r>
          </w:p>
          <w:p w:rsidR="00F555D6" w:rsidRPr="005C3B55" w:rsidRDefault="00F555D6" w:rsidP="00F555D6">
            <w:pPr>
              <w:numPr>
                <w:ilvl w:val="0"/>
                <w:numId w:val="427"/>
              </w:numPr>
              <w:spacing w:before="0" w:after="240"/>
              <w:ind w:hanging="290"/>
              <w:jc w:val="left"/>
              <w:rPr>
                <w:szCs w:val="24"/>
              </w:rPr>
            </w:pPr>
            <w:r w:rsidRPr="005C3B55">
              <w:rPr>
                <w:szCs w:val="24"/>
              </w:rPr>
              <w:t>graphical agricultural unit of agricultural holding (GERK).</w:t>
            </w:r>
          </w:p>
          <w:p w:rsidR="00F555D6" w:rsidRPr="005C3B55" w:rsidRDefault="00F555D6" w:rsidP="00F555D6">
            <w:pPr>
              <w:spacing w:before="240" w:after="240" w:line="280" w:lineRule="auto"/>
              <w:rPr>
                <w:szCs w:val="24"/>
              </w:rPr>
            </w:pPr>
            <w:r w:rsidRPr="005C3B55">
              <w:rPr>
                <w:szCs w:val="24"/>
              </w:rPr>
              <w:t>On-site control:</w:t>
            </w:r>
          </w:p>
          <w:p w:rsidR="00F555D6" w:rsidRPr="005C3B55" w:rsidRDefault="00F555D6" w:rsidP="00F555D6">
            <w:pPr>
              <w:numPr>
                <w:ilvl w:val="0"/>
                <w:numId w:val="428"/>
              </w:numPr>
              <w:spacing w:before="240" w:after="0"/>
              <w:ind w:hanging="290"/>
              <w:jc w:val="left"/>
              <w:rPr>
                <w:szCs w:val="24"/>
              </w:rPr>
            </w:pPr>
            <w:r w:rsidRPr="005C3B55">
              <w:rPr>
                <w:szCs w:val="24"/>
              </w:rPr>
              <w:t>records on works;</w:t>
            </w:r>
          </w:p>
          <w:p w:rsidR="00F555D6" w:rsidRPr="005C3B55" w:rsidRDefault="00F555D6" w:rsidP="00F555D6">
            <w:pPr>
              <w:numPr>
                <w:ilvl w:val="0"/>
                <w:numId w:val="428"/>
              </w:numPr>
              <w:spacing w:before="0" w:after="0"/>
              <w:ind w:hanging="290"/>
              <w:jc w:val="left"/>
              <w:rPr>
                <w:szCs w:val="24"/>
              </w:rPr>
            </w:pPr>
            <w:r w:rsidRPr="005C3B55">
              <w:rPr>
                <w:szCs w:val="24"/>
              </w:rPr>
              <w:t>declaration;</w:t>
            </w:r>
          </w:p>
          <w:p w:rsidR="00F555D6" w:rsidRPr="005C3B55" w:rsidRDefault="00F555D6" w:rsidP="00F555D6">
            <w:pPr>
              <w:numPr>
                <w:ilvl w:val="0"/>
                <w:numId w:val="428"/>
              </w:numPr>
              <w:spacing w:before="0" w:after="0"/>
              <w:ind w:hanging="290"/>
              <w:jc w:val="left"/>
              <w:rPr>
                <w:szCs w:val="24"/>
              </w:rPr>
            </w:pPr>
            <w:r w:rsidRPr="005C3B55">
              <w:rPr>
                <w:szCs w:val="24"/>
              </w:rPr>
              <w:t>producer’s instructions on the use of traps;</w:t>
            </w:r>
          </w:p>
          <w:p w:rsidR="00F555D6" w:rsidRPr="005C3B55" w:rsidRDefault="00F555D6" w:rsidP="00F555D6">
            <w:pPr>
              <w:numPr>
                <w:ilvl w:val="0"/>
                <w:numId w:val="428"/>
              </w:numPr>
              <w:spacing w:before="0" w:after="0"/>
              <w:ind w:hanging="290"/>
              <w:jc w:val="left"/>
              <w:rPr>
                <w:szCs w:val="24"/>
              </w:rPr>
            </w:pPr>
            <w:r w:rsidRPr="005C3B55">
              <w:rPr>
                <w:szCs w:val="24"/>
              </w:rPr>
              <w:t>invoice on the purchase;</w:t>
            </w:r>
          </w:p>
          <w:p w:rsidR="00F555D6" w:rsidRPr="005C3B55" w:rsidRDefault="00F555D6" w:rsidP="00F555D6">
            <w:pPr>
              <w:numPr>
                <w:ilvl w:val="0"/>
                <w:numId w:val="428"/>
              </w:numPr>
              <w:spacing w:before="0" w:after="0"/>
              <w:ind w:hanging="290"/>
              <w:jc w:val="left"/>
              <w:rPr>
                <w:szCs w:val="24"/>
              </w:rPr>
            </w:pPr>
            <w:r w:rsidRPr="005C3B55">
              <w:rPr>
                <w:szCs w:val="24"/>
              </w:rPr>
              <w:t>whether the agricultural holding keeps used pheromone and/or sticky plates;</w:t>
            </w:r>
          </w:p>
          <w:p w:rsidR="00F555D6" w:rsidRPr="005C3B55" w:rsidRDefault="00F555D6" w:rsidP="00F555D6">
            <w:pPr>
              <w:numPr>
                <w:ilvl w:val="0"/>
                <w:numId w:val="428"/>
              </w:numPr>
              <w:spacing w:before="0" w:after="240"/>
              <w:ind w:hanging="290"/>
              <w:jc w:val="left"/>
              <w:rPr>
                <w:szCs w:val="24"/>
              </w:rPr>
            </w:pPr>
            <w:r w:rsidRPr="005C3B55">
              <w:rPr>
                <w:szCs w:val="24"/>
              </w:rPr>
              <w:t>review of the agricultural holding.</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Information that relates specifically to the operation</w:t>
      </w:r>
    </w:p>
    <w:p w:rsidR="00F555D6" w:rsidRPr="005C3B55" w:rsidRDefault="00F555D6" w:rsidP="00F555D6">
      <w:pPr>
        <w:spacing w:line="280" w:lineRule="auto"/>
        <w:rPr>
          <w:szCs w:val="24"/>
        </w:rPr>
      </w:pPr>
      <w:r w:rsidRPr="005C3B55">
        <w:rPr>
          <w:szCs w:val="24"/>
        </w:rPr>
        <w:t>Definition and identification of the relevant basic elements; this should include the relevant mandatory standards determined in accordance with Chapter I of Title VI of Regulation (EU) No 1306/2013 of the European Parliament and of the Council, relevant criteria and minimum activities determined in accordance with points (c)(ii) and (c)(iii) of the first paragraph of Article 4 of Regulation (EU) No 1307/2013 of the European Parliament and of the Council, relevant minimum requirements for the use of organic fertilisers and plant protection products and relevant mandatory requirements determined by national law</w:t>
      </w:r>
    </w:p>
    <w:p w:rsidR="00F555D6" w:rsidRPr="005C3B55" w:rsidRDefault="00F555D6" w:rsidP="00F555D6">
      <w:pPr>
        <w:spacing w:after="0"/>
        <w:rPr>
          <w:szCs w:val="24"/>
        </w:rPr>
      </w:pP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 xml:space="preserve">Described in the chapter </w:t>
            </w:r>
            <w:r w:rsidRPr="005C3B55">
              <w:rPr>
                <w:i/>
                <w:szCs w:val="24"/>
              </w:rPr>
              <w:t>Agri-environment-climate commitments</w:t>
            </w:r>
            <w:r w:rsidRPr="005C3B55">
              <w:rPr>
                <w:szCs w:val="24"/>
              </w:rPr>
              <w:t>.</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 xml:space="preserve">Minimum requirements for fertilisers must include, inter alia, the Codes of Good Practice introduced under Directive 91/676/EEC for farms outside Nitrate Vulnerable Zones, and requirements concerning phosphorous pollution; minimum requirements for plant protection products use must include, </w:t>
      </w:r>
      <w:r w:rsidRPr="005C3B55">
        <w:rPr>
          <w:i/>
          <w:szCs w:val="24"/>
        </w:rPr>
        <w:t>inter alia</w:t>
      </w:r>
      <w:r w:rsidRPr="005C3B55">
        <w:rPr>
          <w:szCs w:val="24"/>
        </w:rPr>
        <w:t>, general principles for integrated pest management introduced with Directive 2009/128/EC, requirements to have a licence to use the products and meet training obligations, requirements on safe storage, the checking of application machinery and rules on pesticide use close to water and other sensitive sites, as established by national legislation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 xml:space="preserve">Described in the chapter </w:t>
            </w:r>
            <w:r w:rsidRPr="005C3B55">
              <w:rPr>
                <w:i/>
                <w:szCs w:val="24"/>
              </w:rPr>
              <w:t>Agri-environment-climate commitments</w:t>
            </w:r>
            <w:r w:rsidRPr="005C3B55">
              <w:rPr>
                <w:szCs w:val="24"/>
              </w:rPr>
              <w:t>.</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List of local breeds in danger of being lost to farming and for plant genetic resources under threat of genetic erosion</w:t>
      </w:r>
    </w:p>
    <w:p w:rsidR="00F555D6" w:rsidRPr="005C3B55" w:rsidRDefault="00F555D6" w:rsidP="00F555D6">
      <w:pPr>
        <w:spacing w:after="0"/>
        <w:rPr>
          <w:szCs w:val="24"/>
        </w:rPr>
      </w:pP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Not relevant.</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The description of the methodology and of the agronomic assumptions and parameters, including the description of the baseline requirements as stated in Article 29(2) of Regulation (EU) No 1305/2013, which are relevant for each particular type of commitment used as reference point for the calculations which justify: additional costs and lost revenue due to the assumed commitment and the amount of transaction costs; where necessary, the methodology takes into account the support granted under Regulation (EU) No 1307/2013, including payments for agricultural practices that favourably affect the climate and environment, in order to prevent the possibility of dual financing; where appropriate, the conversion method used for other units in accordance with Article 9 of this Regulation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The calculation of the amount of payments for individual requirements observes:</w:t>
            </w:r>
          </w:p>
          <w:p w:rsidR="00F555D6" w:rsidRPr="005C3B55" w:rsidRDefault="00F555D6" w:rsidP="00F555D6">
            <w:pPr>
              <w:spacing w:before="240" w:after="240" w:line="280" w:lineRule="auto"/>
              <w:rPr>
                <w:szCs w:val="24"/>
              </w:rPr>
            </w:pPr>
            <w:r w:rsidRPr="005C3B55">
              <w:rPr>
                <w:b/>
                <w:szCs w:val="24"/>
              </w:rPr>
              <w:t>A. Mandatory requirements</w:t>
            </w:r>
          </w:p>
          <w:p w:rsidR="00F555D6" w:rsidRPr="005C3B55" w:rsidRDefault="00F555D6" w:rsidP="00F555D6">
            <w:pPr>
              <w:spacing w:before="240" w:after="240" w:line="280" w:lineRule="auto"/>
              <w:rPr>
                <w:szCs w:val="24"/>
              </w:rPr>
            </w:pPr>
            <w:r w:rsidRPr="005C3B55">
              <w:rPr>
                <w:szCs w:val="24"/>
              </w:rPr>
              <w:t>SAD_VABE: To use plant protection products more rationally, pheromone and sticky traps are used between 15 March and 15 August with which the abundance and time of occurrence of pests are monitored as a criterion for the necessary protection measures. The number of necessary traps for individual sorts of fruit is determined in the instructions from the producers of pheromone and sticky traps. The calculation takes into account the cost of pheromone and sticky traps, and of work spent on monitoring pests between 15 March and 15 August. For more accurate monitoring of pests and spraying in accordance with their actual occurrence, the use of insecticides is reduces. The calculation thus takes into account the use of insecticides reduced by a third in comparison with standard agricultural practice which does not anticipate the use of pheromone and sticky traps.</w:t>
            </w:r>
          </w:p>
          <w:p w:rsidR="00F555D6" w:rsidRPr="005C3B55" w:rsidRDefault="00F555D6" w:rsidP="00F555D6">
            <w:pPr>
              <w:spacing w:before="240" w:after="240" w:line="280" w:lineRule="auto"/>
              <w:rPr>
                <w:szCs w:val="24"/>
              </w:rPr>
            </w:pPr>
            <w:r w:rsidRPr="005C3B55">
              <w:rPr>
                <w:szCs w:val="24"/>
              </w:rPr>
              <w:t>SAD_EKGN: In standard agricultural practice, mineral and organic fertilisers may be used. The calculation takes into account the difference between the costs of fertilising with mineral fertilisers which are largely used for fertilising orchards, and the costs of fertilising with fertilisers permitted in organic production.</w:t>
            </w:r>
          </w:p>
          <w:p w:rsidR="00F555D6" w:rsidRPr="005C3B55" w:rsidRDefault="00F555D6" w:rsidP="00F555D6">
            <w:pPr>
              <w:spacing w:before="240" w:after="240" w:line="280" w:lineRule="auto"/>
              <w:rPr>
                <w:szCs w:val="24"/>
              </w:rPr>
            </w:pPr>
            <w:r w:rsidRPr="005C3B55">
              <w:rPr>
                <w:b/>
                <w:szCs w:val="24"/>
              </w:rPr>
              <w:t>B. Optional requirements</w:t>
            </w:r>
          </w:p>
          <w:p w:rsidR="00F555D6" w:rsidRPr="005C3B55" w:rsidRDefault="00F555D6" w:rsidP="00F555D6">
            <w:pPr>
              <w:spacing w:before="240" w:after="240" w:line="280" w:lineRule="auto"/>
              <w:rPr>
                <w:szCs w:val="24"/>
              </w:rPr>
            </w:pPr>
            <w:r w:rsidRPr="005C3B55">
              <w:rPr>
                <w:szCs w:val="24"/>
              </w:rPr>
              <w:t>SAD_KONF: Alternative method of plant protection with pheromone dispensers which are used before the beginning or at the very beginning of the flight of butterflies. Dispensers are used as a method of controlling of genera of pests. The calculation takes into account the costs of pheromone dispensers and of dispenser installation.</w:t>
            </w:r>
          </w:p>
          <w:p w:rsidR="00F555D6" w:rsidRPr="005C3B55" w:rsidRDefault="00F555D6" w:rsidP="00F555D6">
            <w:pPr>
              <w:spacing w:before="240" w:after="240" w:line="280" w:lineRule="auto"/>
              <w:rPr>
                <w:szCs w:val="24"/>
              </w:rPr>
            </w:pPr>
            <w:r w:rsidRPr="005C3B55">
              <w:rPr>
                <w:szCs w:val="24"/>
              </w:rPr>
              <w:t>SAD_MEHZ: In standard agricultural practice, mechanical weeding is not prescribed. The calculation takes into account the costs of three-fold mechanical weeding in the cultivation strip under trees. Weeding with herbicides is not permitted.</w:t>
            </w:r>
          </w:p>
          <w:p w:rsidR="00F555D6" w:rsidRPr="005C3B55" w:rsidRDefault="00F555D6" w:rsidP="00F555D6">
            <w:pPr>
              <w:spacing w:before="240" w:after="240" w:line="280" w:lineRule="auto"/>
              <w:rPr>
                <w:szCs w:val="24"/>
              </w:rPr>
            </w:pPr>
            <w:r w:rsidRPr="005C3B55">
              <w:rPr>
                <w:szCs w:val="24"/>
              </w:rPr>
              <w:t>SAD_POKT: The calculation takes into account the costs of mechanical services (tillage with stubble cultivator, sowing and mulching), related costs of domestic work and the costs of seeds for short-term greening of row spacing. Ground cover in row spacing in ensured throughout the growing period in every other row spacing.</w:t>
            </w:r>
          </w:p>
          <w:p w:rsidR="00F555D6" w:rsidRPr="005C3B55" w:rsidRDefault="00F555D6" w:rsidP="00F555D6">
            <w:pPr>
              <w:pStyle w:val="Telobesedila"/>
              <w:rPr>
                <w:szCs w:val="24"/>
              </w:rPr>
            </w:pPr>
          </w:p>
        </w:tc>
      </w:tr>
    </w:tbl>
    <w:p w:rsidR="00F555D6" w:rsidRPr="005C3B55" w:rsidRDefault="00F555D6" w:rsidP="00F555D6">
      <w:pPr>
        <w:pStyle w:val="Naslov7"/>
        <w:tabs>
          <w:tab w:val="clear" w:pos="765"/>
        </w:tabs>
        <w:ind w:left="0" w:firstLine="0"/>
        <w:rPr>
          <w:szCs w:val="24"/>
          <w:lang w:val="en-GB"/>
        </w:rPr>
      </w:pPr>
      <w:r w:rsidRPr="005C3B55">
        <w:rPr>
          <w:noProof w:val="0"/>
          <w:szCs w:val="24"/>
          <w:lang w:val="en-GB"/>
        </w:rPr>
        <w:t>Agri-environment-climate commitments</w:t>
      </w:r>
    </w:p>
    <w:p w:rsidR="00F555D6" w:rsidRPr="005C3B55" w:rsidRDefault="00F555D6" w:rsidP="00F555D6">
      <w:pPr>
        <w:pStyle w:val="Naslov8"/>
        <w:tabs>
          <w:tab w:val="clear" w:pos="765"/>
        </w:tabs>
        <w:ind w:left="0" w:firstLine="0"/>
        <w:rPr>
          <w:b w:val="0"/>
          <w:szCs w:val="24"/>
          <w:lang w:val="en-GB"/>
        </w:rPr>
      </w:pPr>
      <w:r w:rsidRPr="005C3B55">
        <w:rPr>
          <w:b w:val="0"/>
          <w:noProof w:val="0"/>
          <w:szCs w:val="24"/>
          <w:lang w:val="en-GB"/>
        </w:rPr>
        <w:t>SAD_EKGN:</w:t>
      </w:r>
      <w:r w:rsidRPr="005C3B55">
        <w:rPr>
          <w:b w:val="0"/>
          <w:szCs w:val="24"/>
          <w:lang w:val="en-GB"/>
        </w:rPr>
        <w:t xml:space="preserve"> </w:t>
      </w:r>
      <w:r w:rsidRPr="005C3B55">
        <w:rPr>
          <w:b w:val="0"/>
          <w:noProof w:val="0"/>
          <w:szCs w:val="24"/>
          <w:lang w:val="en-GB"/>
        </w:rPr>
        <w:t>Only fertilisers permitted in organic production may be used</w:t>
      </w:r>
    </w:p>
    <w:p w:rsidR="00F555D6" w:rsidRPr="005C3B55" w:rsidRDefault="00F555D6" w:rsidP="00F555D6">
      <w:pPr>
        <w:pStyle w:val="Naslov9"/>
        <w:tabs>
          <w:tab w:val="clear" w:pos="765"/>
        </w:tabs>
        <w:ind w:left="0" w:firstLine="0"/>
        <w:rPr>
          <w:szCs w:val="24"/>
          <w:lang w:val="en-GB"/>
        </w:rPr>
      </w:pPr>
      <w:r w:rsidRPr="005C3B55">
        <w:rPr>
          <w:noProof w:val="0"/>
          <w:szCs w:val="24"/>
          <w:lang w:val="en-GB"/>
        </w:rPr>
        <w:t>Starting Point</w:t>
      </w:r>
    </w:p>
    <w:p w:rsidR="00F555D6" w:rsidRPr="005C3B55" w:rsidRDefault="00F555D6" w:rsidP="00F555D6">
      <w:pPr>
        <w:spacing w:line="280" w:lineRule="auto"/>
        <w:rPr>
          <w:szCs w:val="24"/>
        </w:rPr>
      </w:pPr>
      <w:r w:rsidRPr="005C3B55">
        <w:rPr>
          <w:szCs w:val="24"/>
        </w:rPr>
        <w:t>Suitable good agricultural and environmental conditions and/or prescribed management requirements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429"/>
              </w:numPr>
              <w:spacing w:before="0" w:after="240"/>
              <w:ind w:hanging="290"/>
              <w:jc w:val="left"/>
              <w:rPr>
                <w:szCs w:val="24"/>
              </w:rPr>
            </w:pPr>
            <w:r w:rsidRPr="005C3B55">
              <w:rPr>
                <w:szCs w:val="24"/>
              </w:rPr>
              <w:t>The type of a fertiliser is not prescribed in the Regulation on cross-compliance.</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Minimum requirements for the use of fertilisers and plant protection products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430"/>
              </w:numPr>
              <w:spacing w:before="0" w:after="0"/>
              <w:ind w:hanging="290"/>
              <w:jc w:val="left"/>
              <w:rPr>
                <w:szCs w:val="24"/>
              </w:rPr>
            </w:pPr>
            <w:r w:rsidRPr="005C3B55">
              <w:rPr>
                <w:szCs w:val="24"/>
              </w:rPr>
              <w:t>Minimum requirements for the use of fertilisers refer to the keeping of records on the use of livestock and mineral fertilisers which an agricultural holding has to keep for all agricultural land plots at the agricultural holding, and which has to include at least the quantity and type of livestock manure and mineral fertiliser, time of fertilising and data on the surface where these fertilisers are used.</w:t>
            </w:r>
          </w:p>
          <w:p w:rsidR="00F555D6" w:rsidRPr="005C3B55" w:rsidRDefault="00F555D6" w:rsidP="00F555D6">
            <w:pPr>
              <w:numPr>
                <w:ilvl w:val="0"/>
                <w:numId w:val="430"/>
              </w:numPr>
              <w:spacing w:before="0" w:after="240"/>
              <w:ind w:hanging="290"/>
              <w:jc w:val="left"/>
              <w:rPr>
                <w:szCs w:val="24"/>
              </w:rPr>
            </w:pPr>
            <w:r w:rsidRPr="005C3B55">
              <w:rPr>
                <w:szCs w:val="24"/>
              </w:rPr>
              <w:t>Minimum requirements for the use of plant protection products are not determined, since the requirements relating to the use of these products are standardised and are included in the requirements of cross-compliance.</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Other relevant national/regional requirements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431"/>
              </w:numPr>
              <w:spacing w:before="0" w:after="240"/>
              <w:ind w:hanging="290"/>
              <w:jc w:val="left"/>
              <w:rPr>
                <w:szCs w:val="24"/>
              </w:rPr>
            </w:pPr>
            <w:r w:rsidRPr="005C3B55">
              <w:rPr>
                <w:szCs w:val="24"/>
              </w:rPr>
              <w:t>Rules on integrated pest management (Official Gazette of the Republic of Slovenia, no. 43/14): In accordance with Article 4, the optimal growth of crop is ensured with balanced fertilisation with organic and mineral fertilisers in accordance with the needs of plants and irrigation techniques, where this is possible.</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Minimum activities</w:t>
      </w:r>
    </w:p>
    <w:p w:rsidR="00F555D6" w:rsidRPr="005C3B55" w:rsidRDefault="00F555D6" w:rsidP="00F555D6">
      <w:pPr>
        <w:spacing w:after="0"/>
        <w:rPr>
          <w:szCs w:val="24"/>
        </w:rPr>
      </w:pP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432"/>
              </w:numPr>
              <w:spacing w:before="0" w:after="240"/>
              <w:ind w:hanging="290"/>
              <w:jc w:val="left"/>
              <w:rPr>
                <w:szCs w:val="24"/>
              </w:rPr>
            </w:pPr>
            <w:r w:rsidRPr="005C3B55">
              <w:rPr>
                <w:szCs w:val="24"/>
              </w:rPr>
              <w:t>Not relevant.</w:t>
            </w:r>
          </w:p>
          <w:p w:rsidR="00F555D6" w:rsidRPr="005C3B55" w:rsidRDefault="00F555D6" w:rsidP="00F555D6">
            <w:pPr>
              <w:pStyle w:val="Telobesedila"/>
              <w:rPr>
                <w:szCs w:val="24"/>
              </w:rPr>
            </w:pPr>
          </w:p>
        </w:tc>
      </w:tr>
    </w:tbl>
    <w:p w:rsidR="00F555D6" w:rsidRPr="005C3B55" w:rsidRDefault="00F555D6" w:rsidP="00F555D6">
      <w:pPr>
        <w:pStyle w:val="Naslov9"/>
        <w:tabs>
          <w:tab w:val="clear" w:pos="765"/>
        </w:tabs>
        <w:ind w:left="0" w:firstLine="0"/>
        <w:rPr>
          <w:szCs w:val="24"/>
          <w:lang w:val="en-GB"/>
        </w:rPr>
      </w:pPr>
      <w:r w:rsidRPr="005C3B55">
        <w:rPr>
          <w:noProof w:val="0"/>
          <w:szCs w:val="24"/>
          <w:lang w:val="en-GB"/>
        </w:rPr>
        <w:t>Relevant standard agricultural practices</w:t>
      </w:r>
    </w:p>
    <w:p w:rsidR="00F555D6" w:rsidRPr="005C3B55" w:rsidRDefault="00F555D6" w:rsidP="00F555D6">
      <w:pPr>
        <w:pStyle w:val="Naslov9"/>
        <w:tabs>
          <w:tab w:val="clear" w:pos="765"/>
        </w:tabs>
        <w:spacing w:before="0" w:after="0"/>
        <w:ind w:left="0" w:firstLine="0"/>
        <w:rPr>
          <w:szCs w:val="24"/>
          <w:lang w:val="en-GB"/>
        </w:rPr>
      </w:pP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In standard agricultural practice, mineral and organic fertilisers are used.</w:t>
            </w:r>
          </w:p>
          <w:p w:rsidR="00F555D6" w:rsidRPr="005C3B55" w:rsidRDefault="00F555D6" w:rsidP="00F555D6">
            <w:pPr>
              <w:pStyle w:val="Telobesedila"/>
              <w:rPr>
                <w:szCs w:val="24"/>
              </w:rPr>
            </w:pPr>
          </w:p>
        </w:tc>
      </w:tr>
    </w:tbl>
    <w:p w:rsidR="00F555D6" w:rsidRPr="005C3B55" w:rsidRDefault="00F555D6" w:rsidP="00F555D6">
      <w:pPr>
        <w:pStyle w:val="Naslov8"/>
        <w:tabs>
          <w:tab w:val="clear" w:pos="765"/>
        </w:tabs>
        <w:ind w:left="0" w:firstLine="0"/>
        <w:rPr>
          <w:b w:val="0"/>
          <w:szCs w:val="24"/>
          <w:lang w:val="en-GB"/>
        </w:rPr>
      </w:pPr>
      <w:r w:rsidRPr="005C3B55">
        <w:rPr>
          <w:b w:val="0"/>
          <w:noProof w:val="0"/>
          <w:szCs w:val="24"/>
          <w:lang w:val="en-GB"/>
        </w:rPr>
        <w:t>SAD_KONF:</w:t>
      </w:r>
      <w:r w:rsidRPr="005C3B55">
        <w:rPr>
          <w:b w:val="0"/>
          <w:szCs w:val="24"/>
          <w:lang w:val="en-GB"/>
        </w:rPr>
        <w:t xml:space="preserve"> </w:t>
      </w:r>
      <w:r w:rsidRPr="005C3B55">
        <w:rPr>
          <w:b w:val="0"/>
          <w:noProof w:val="0"/>
          <w:szCs w:val="24"/>
          <w:lang w:val="en-GB"/>
        </w:rPr>
        <w:t>Use of confusion and disorientation methods</w:t>
      </w:r>
    </w:p>
    <w:p w:rsidR="00F555D6" w:rsidRPr="005C3B55" w:rsidRDefault="00F555D6" w:rsidP="00F555D6">
      <w:pPr>
        <w:pStyle w:val="Naslov9"/>
        <w:tabs>
          <w:tab w:val="clear" w:pos="765"/>
        </w:tabs>
        <w:ind w:left="0" w:firstLine="0"/>
        <w:rPr>
          <w:szCs w:val="24"/>
          <w:lang w:val="en-GB"/>
        </w:rPr>
      </w:pPr>
      <w:r w:rsidRPr="005C3B55">
        <w:rPr>
          <w:noProof w:val="0"/>
          <w:szCs w:val="24"/>
          <w:lang w:val="en-GB"/>
        </w:rPr>
        <w:t>Starting Point</w:t>
      </w:r>
    </w:p>
    <w:p w:rsidR="00F555D6" w:rsidRPr="005C3B55" w:rsidRDefault="00F555D6" w:rsidP="00F555D6">
      <w:pPr>
        <w:spacing w:line="280" w:lineRule="auto"/>
        <w:rPr>
          <w:szCs w:val="24"/>
        </w:rPr>
      </w:pPr>
      <w:r w:rsidRPr="005C3B55">
        <w:rPr>
          <w:szCs w:val="24"/>
        </w:rPr>
        <w:t>Suitable good agricultural and environmental conditions and/or prescribed management requirements</w:t>
      </w:r>
    </w:p>
    <w:p w:rsidR="00F555D6" w:rsidRPr="005C3B55" w:rsidRDefault="00F555D6" w:rsidP="00F555D6">
      <w:pPr>
        <w:spacing w:after="0"/>
        <w:rPr>
          <w:szCs w:val="24"/>
        </w:rPr>
      </w:pP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433"/>
              </w:numPr>
              <w:spacing w:before="0" w:after="240"/>
              <w:ind w:hanging="290"/>
              <w:jc w:val="left"/>
              <w:rPr>
                <w:szCs w:val="24"/>
              </w:rPr>
            </w:pPr>
            <w:r w:rsidRPr="005C3B55">
              <w:rPr>
                <w:szCs w:val="24"/>
              </w:rPr>
              <w:t>Regulation on cross-compliance, Annex 1: Rules on cross-compliance, SMR 10: Proper use of plant protection products: Only registered plant protection products or products for which an exceptional permit, a permit for extended use in the Republic of Slovenia, or a permit for placing on the market identical plant protection products from other EU Member States has been issued may be used. Registered plant protection products must be used correctly in accordance with the instructions stated on the label or with data included in the permission to use the product.</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Minimum requirements for the use of fertilisers and plant protection products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434"/>
              </w:numPr>
              <w:spacing w:before="0" w:after="0"/>
              <w:ind w:hanging="290"/>
              <w:jc w:val="left"/>
              <w:rPr>
                <w:szCs w:val="24"/>
              </w:rPr>
            </w:pPr>
            <w:r w:rsidRPr="005C3B55">
              <w:rPr>
                <w:szCs w:val="24"/>
              </w:rPr>
              <w:t>Minimum requirements for the use of fertilisers refer to the keeping of records on the use of livestock and mineral fertilisers which an agricultural holding has to keep for all agricultural land plots at the agricultural holding, and which has to include at least the quantity and type of livestock manure and mineral fertiliser, time of fertilising and data on the surface where these fertilisers are used.</w:t>
            </w:r>
          </w:p>
          <w:p w:rsidR="00F555D6" w:rsidRPr="005C3B55" w:rsidRDefault="00F555D6" w:rsidP="00F555D6">
            <w:pPr>
              <w:numPr>
                <w:ilvl w:val="0"/>
                <w:numId w:val="434"/>
              </w:numPr>
              <w:spacing w:before="0" w:after="240"/>
              <w:ind w:hanging="290"/>
              <w:jc w:val="left"/>
              <w:rPr>
                <w:szCs w:val="24"/>
              </w:rPr>
            </w:pPr>
            <w:r w:rsidRPr="005C3B55">
              <w:rPr>
                <w:szCs w:val="24"/>
              </w:rPr>
              <w:t>Minimum requirements for the use of plant protection products are not determined, since the requirements relating to the use of these products are standardised and are included in the requirements of cross-compliance.</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Other relevant national/regional requirements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435"/>
              </w:numPr>
              <w:spacing w:before="0" w:after="240"/>
              <w:ind w:hanging="290"/>
              <w:jc w:val="left"/>
              <w:rPr>
                <w:szCs w:val="24"/>
              </w:rPr>
            </w:pPr>
            <w:r w:rsidRPr="005C3B55">
              <w:rPr>
                <w:szCs w:val="24"/>
              </w:rPr>
              <w:t>Rules on integrated pest management (Official Gazette of the Republic of Slovenia, no. 43/14): In accordance with Article 5, plant protection products produced on the basis of microorganisms, plant extracts, pheromones and low-risk substances, registered or permitted in accordance with the law regulating plant protection products, can be used in pest control.</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Minimum activities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436"/>
              </w:numPr>
              <w:spacing w:before="0" w:after="240"/>
              <w:ind w:hanging="290"/>
              <w:jc w:val="left"/>
              <w:rPr>
                <w:szCs w:val="24"/>
              </w:rPr>
            </w:pPr>
            <w:r w:rsidRPr="005C3B55">
              <w:rPr>
                <w:szCs w:val="24"/>
              </w:rPr>
              <w:t>Not relevant.</w:t>
            </w:r>
          </w:p>
          <w:p w:rsidR="00F555D6" w:rsidRPr="005C3B55" w:rsidRDefault="00F555D6" w:rsidP="00F555D6">
            <w:pPr>
              <w:pStyle w:val="Telobesedila"/>
              <w:rPr>
                <w:szCs w:val="24"/>
              </w:rPr>
            </w:pPr>
          </w:p>
        </w:tc>
      </w:tr>
    </w:tbl>
    <w:p w:rsidR="00F555D6" w:rsidRPr="005C3B55" w:rsidRDefault="00F555D6" w:rsidP="00F555D6">
      <w:pPr>
        <w:pStyle w:val="Naslov9"/>
        <w:tabs>
          <w:tab w:val="clear" w:pos="765"/>
        </w:tabs>
        <w:ind w:left="0" w:firstLine="0"/>
        <w:rPr>
          <w:szCs w:val="24"/>
          <w:lang w:val="en-GB"/>
        </w:rPr>
      </w:pPr>
      <w:r w:rsidRPr="005C3B55">
        <w:rPr>
          <w:noProof w:val="0"/>
          <w:szCs w:val="24"/>
          <w:lang w:val="en-GB"/>
        </w:rPr>
        <w:t>Relevant standard agricultural practices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In standard agricultural practice, registered plant protection products – insecticides – are used for pest control.</w:t>
            </w:r>
          </w:p>
          <w:p w:rsidR="00F555D6" w:rsidRPr="005C3B55" w:rsidRDefault="00F555D6" w:rsidP="00F555D6">
            <w:pPr>
              <w:pStyle w:val="Telobesedila"/>
              <w:rPr>
                <w:szCs w:val="24"/>
              </w:rPr>
            </w:pPr>
          </w:p>
        </w:tc>
      </w:tr>
    </w:tbl>
    <w:p w:rsidR="00F555D6" w:rsidRPr="005C3B55" w:rsidRDefault="00F555D6" w:rsidP="00F555D6">
      <w:pPr>
        <w:pStyle w:val="Naslov8"/>
        <w:tabs>
          <w:tab w:val="clear" w:pos="765"/>
        </w:tabs>
        <w:ind w:left="0" w:firstLine="0"/>
        <w:rPr>
          <w:b w:val="0"/>
          <w:szCs w:val="24"/>
          <w:lang w:val="en-GB"/>
        </w:rPr>
      </w:pPr>
      <w:r w:rsidRPr="005C3B55">
        <w:rPr>
          <w:b w:val="0"/>
          <w:noProof w:val="0"/>
          <w:szCs w:val="24"/>
          <w:lang w:val="en-GB"/>
        </w:rPr>
        <w:t>SAD_MEHZ:</w:t>
      </w:r>
      <w:r w:rsidRPr="005C3B55">
        <w:rPr>
          <w:b w:val="0"/>
          <w:szCs w:val="24"/>
          <w:lang w:val="en-GB"/>
        </w:rPr>
        <w:t xml:space="preserve"> </w:t>
      </w:r>
      <w:r w:rsidRPr="005C3B55">
        <w:rPr>
          <w:b w:val="0"/>
          <w:noProof w:val="0"/>
          <w:szCs w:val="24"/>
          <w:lang w:val="en-GB"/>
        </w:rPr>
        <w:t>Mechanical weeding (under trees)</w:t>
      </w:r>
    </w:p>
    <w:p w:rsidR="00F555D6" w:rsidRPr="005C3B55" w:rsidRDefault="00F555D6" w:rsidP="00F555D6">
      <w:pPr>
        <w:pStyle w:val="Naslov9"/>
        <w:tabs>
          <w:tab w:val="clear" w:pos="765"/>
        </w:tabs>
        <w:ind w:left="0" w:firstLine="0"/>
        <w:rPr>
          <w:szCs w:val="24"/>
          <w:lang w:val="en-GB"/>
        </w:rPr>
      </w:pPr>
      <w:r w:rsidRPr="005C3B55">
        <w:rPr>
          <w:noProof w:val="0"/>
          <w:szCs w:val="24"/>
          <w:lang w:val="en-GB"/>
        </w:rPr>
        <w:t>Starting Point</w:t>
      </w:r>
    </w:p>
    <w:p w:rsidR="00F555D6" w:rsidRPr="005C3B55" w:rsidRDefault="00F555D6" w:rsidP="00F555D6">
      <w:pPr>
        <w:spacing w:line="280" w:lineRule="auto"/>
        <w:rPr>
          <w:szCs w:val="24"/>
        </w:rPr>
      </w:pPr>
      <w:r w:rsidRPr="005C3B55">
        <w:rPr>
          <w:szCs w:val="24"/>
        </w:rPr>
        <w:t>Suitable good agricultural and environmental conditions and/or prescribed management requirements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437"/>
              </w:numPr>
              <w:spacing w:before="0" w:after="240"/>
              <w:ind w:hanging="290"/>
              <w:jc w:val="left"/>
              <w:rPr>
                <w:szCs w:val="24"/>
              </w:rPr>
            </w:pPr>
            <w:r w:rsidRPr="005C3B55">
              <w:rPr>
                <w:szCs w:val="24"/>
              </w:rPr>
              <w:t>Mechanical weeding is not prescribed in the Regulation on cross-compliance.</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Minimum requirements for the use of fertilisers and plant protection products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438"/>
              </w:numPr>
              <w:spacing w:before="0" w:after="0"/>
              <w:ind w:hanging="290"/>
              <w:jc w:val="left"/>
              <w:rPr>
                <w:szCs w:val="24"/>
              </w:rPr>
            </w:pPr>
            <w:r w:rsidRPr="005C3B55">
              <w:rPr>
                <w:szCs w:val="24"/>
              </w:rPr>
              <w:t>Minimum requirements for the use of fertilisers refer to the keeping of records on the use of livestock and mineral fertilisers which an agricultural holding has to keep for all agricultural land plots at the agricultural holding, and which has to include at least the quantity and type of livestock manure and mineral fertiliser, time of fertilising and data on the surface where these fertilisers are used.</w:t>
            </w:r>
          </w:p>
          <w:p w:rsidR="00F555D6" w:rsidRPr="005C3B55" w:rsidRDefault="00F555D6" w:rsidP="00F555D6">
            <w:pPr>
              <w:numPr>
                <w:ilvl w:val="0"/>
                <w:numId w:val="438"/>
              </w:numPr>
              <w:spacing w:before="0" w:after="240"/>
              <w:ind w:hanging="290"/>
              <w:jc w:val="left"/>
              <w:rPr>
                <w:szCs w:val="24"/>
              </w:rPr>
            </w:pPr>
            <w:r w:rsidRPr="005C3B55">
              <w:rPr>
                <w:szCs w:val="24"/>
              </w:rPr>
              <w:t>Minimum requirements for the use of plant protection products are not determined, since the requirements relating to the use of these products are standardised and are included in the requirements of cross-compliance.</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Other relevant national/regional requirements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439"/>
              </w:numPr>
              <w:spacing w:before="0" w:after="240"/>
              <w:ind w:hanging="290"/>
              <w:jc w:val="left"/>
              <w:rPr>
                <w:szCs w:val="24"/>
              </w:rPr>
            </w:pPr>
            <w:r w:rsidRPr="005C3B55">
              <w:rPr>
                <w:szCs w:val="24"/>
              </w:rPr>
              <w:t>Rules on integrated pest management (Official Gazette of the Republic of Slovenia, no. 43/14): Mechanical or physical weeding (mechanical or manual) may be implemented as per Article 5.</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Minimum activities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440"/>
              </w:numPr>
              <w:spacing w:before="0" w:after="240"/>
              <w:ind w:hanging="290"/>
              <w:jc w:val="left"/>
              <w:rPr>
                <w:szCs w:val="24"/>
              </w:rPr>
            </w:pPr>
            <w:r w:rsidRPr="005C3B55">
              <w:rPr>
                <w:szCs w:val="24"/>
              </w:rPr>
              <w:t>Not relevant.</w:t>
            </w:r>
          </w:p>
          <w:p w:rsidR="00F555D6" w:rsidRPr="005C3B55" w:rsidRDefault="00F555D6" w:rsidP="00F555D6">
            <w:pPr>
              <w:pStyle w:val="Telobesedila"/>
              <w:rPr>
                <w:szCs w:val="24"/>
              </w:rPr>
            </w:pPr>
          </w:p>
        </w:tc>
      </w:tr>
    </w:tbl>
    <w:p w:rsidR="00F555D6" w:rsidRPr="005C3B55" w:rsidRDefault="00F555D6" w:rsidP="00F555D6">
      <w:pPr>
        <w:pStyle w:val="Naslov9"/>
        <w:tabs>
          <w:tab w:val="clear" w:pos="765"/>
        </w:tabs>
        <w:ind w:left="0" w:firstLine="0"/>
        <w:rPr>
          <w:szCs w:val="24"/>
          <w:lang w:val="en-GB"/>
        </w:rPr>
      </w:pPr>
      <w:r w:rsidRPr="005C3B55">
        <w:rPr>
          <w:noProof w:val="0"/>
          <w:szCs w:val="24"/>
          <w:lang w:val="en-GB"/>
        </w:rPr>
        <w:t>Relevant standard agricultural practices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In standard agricultural practice, registered plant protection products – herbicides are used for weeding.</w:t>
            </w:r>
          </w:p>
          <w:p w:rsidR="00F555D6" w:rsidRPr="005C3B55" w:rsidRDefault="00F555D6" w:rsidP="00F555D6">
            <w:pPr>
              <w:pStyle w:val="Telobesedila"/>
              <w:rPr>
                <w:szCs w:val="24"/>
              </w:rPr>
            </w:pPr>
          </w:p>
        </w:tc>
      </w:tr>
    </w:tbl>
    <w:p w:rsidR="00F555D6" w:rsidRPr="005C3B55" w:rsidRDefault="00F555D6" w:rsidP="00F555D6">
      <w:pPr>
        <w:pStyle w:val="Naslov8"/>
        <w:tabs>
          <w:tab w:val="clear" w:pos="765"/>
        </w:tabs>
        <w:ind w:left="0" w:firstLine="0"/>
        <w:rPr>
          <w:b w:val="0"/>
          <w:szCs w:val="24"/>
          <w:lang w:val="en-GB"/>
        </w:rPr>
      </w:pPr>
      <w:r w:rsidRPr="005C3B55">
        <w:rPr>
          <w:b w:val="0"/>
          <w:noProof w:val="0"/>
          <w:szCs w:val="24"/>
          <w:lang w:val="en-GB"/>
        </w:rPr>
        <w:t>SAD_POKT:</w:t>
      </w:r>
      <w:r w:rsidRPr="005C3B55">
        <w:rPr>
          <w:b w:val="0"/>
          <w:szCs w:val="24"/>
          <w:lang w:val="en-GB"/>
        </w:rPr>
        <w:t xml:space="preserve"> </w:t>
      </w:r>
      <w:r w:rsidRPr="005C3B55">
        <w:rPr>
          <w:b w:val="0"/>
          <w:noProof w:val="0"/>
          <w:szCs w:val="24"/>
          <w:lang w:val="en-GB"/>
        </w:rPr>
        <w:t>Ground cover in row spacing</w:t>
      </w:r>
    </w:p>
    <w:p w:rsidR="00F555D6" w:rsidRPr="005C3B55" w:rsidRDefault="00F555D6" w:rsidP="00F555D6">
      <w:pPr>
        <w:pStyle w:val="Naslov9"/>
        <w:tabs>
          <w:tab w:val="clear" w:pos="765"/>
        </w:tabs>
        <w:ind w:left="0" w:firstLine="0"/>
        <w:rPr>
          <w:szCs w:val="24"/>
          <w:lang w:val="en-GB"/>
        </w:rPr>
      </w:pPr>
      <w:r w:rsidRPr="005C3B55">
        <w:rPr>
          <w:noProof w:val="0"/>
          <w:szCs w:val="24"/>
          <w:lang w:val="en-GB"/>
        </w:rPr>
        <w:t>Starting Point</w:t>
      </w:r>
    </w:p>
    <w:p w:rsidR="00F555D6" w:rsidRPr="005C3B55" w:rsidRDefault="00F555D6" w:rsidP="00F555D6">
      <w:pPr>
        <w:spacing w:line="280" w:lineRule="auto"/>
        <w:rPr>
          <w:szCs w:val="24"/>
        </w:rPr>
      </w:pPr>
      <w:r w:rsidRPr="005C3B55">
        <w:rPr>
          <w:szCs w:val="24"/>
        </w:rPr>
        <w:t>Suitable good agricultural and environmental conditions and/or prescribed management requirements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441"/>
              </w:numPr>
              <w:spacing w:before="0" w:after="240"/>
              <w:ind w:hanging="290"/>
              <w:jc w:val="left"/>
              <w:rPr>
                <w:szCs w:val="24"/>
              </w:rPr>
            </w:pPr>
            <w:r w:rsidRPr="005C3B55">
              <w:rPr>
                <w:szCs w:val="24"/>
              </w:rPr>
              <w:t>Ground cover in row spacing is not prescribed in the Regulation on cross-compliance.</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Minimum requirements for the use of fertilisers and plant protection products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442"/>
              </w:numPr>
              <w:spacing w:before="0" w:after="0"/>
              <w:ind w:hanging="290"/>
              <w:jc w:val="left"/>
              <w:rPr>
                <w:szCs w:val="24"/>
              </w:rPr>
            </w:pPr>
            <w:r w:rsidRPr="005C3B55">
              <w:rPr>
                <w:szCs w:val="24"/>
              </w:rPr>
              <w:t>Minimum requirements for the use of fertilisers refer to the keeping of records on the use of livestock and mineral fertilisers which an agricultural holding has to keep for all agricultural land plots at the agricultural holding, and which has to include at least the quantity and type of livestock manure and mineral fertiliser, time of fertilising and data on the surface where these fertilisers are used.</w:t>
            </w:r>
          </w:p>
          <w:p w:rsidR="00F555D6" w:rsidRPr="005C3B55" w:rsidRDefault="00F555D6" w:rsidP="00F555D6">
            <w:pPr>
              <w:numPr>
                <w:ilvl w:val="0"/>
                <w:numId w:val="442"/>
              </w:numPr>
              <w:spacing w:before="0" w:after="240"/>
              <w:ind w:hanging="290"/>
              <w:jc w:val="left"/>
              <w:rPr>
                <w:szCs w:val="24"/>
              </w:rPr>
            </w:pPr>
            <w:r w:rsidRPr="005C3B55">
              <w:rPr>
                <w:szCs w:val="24"/>
              </w:rPr>
              <w:t>Minimum requirements for the use of plant protection products are not determined, since the requirements relating to the use of these products are standardised and are included in the requirements of cross-compliance.</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Other relevant national/regional requirements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443"/>
              </w:numPr>
              <w:spacing w:before="0" w:after="240"/>
              <w:ind w:hanging="290"/>
              <w:jc w:val="left"/>
              <w:rPr>
                <w:szCs w:val="24"/>
              </w:rPr>
            </w:pPr>
            <w:r w:rsidRPr="005C3B55">
              <w:rPr>
                <w:szCs w:val="24"/>
              </w:rPr>
              <w:t>Other national requirements are not prescribed.</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Minimum activities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444"/>
              </w:numPr>
              <w:spacing w:before="0" w:after="240"/>
              <w:ind w:hanging="290"/>
              <w:jc w:val="left"/>
              <w:rPr>
                <w:szCs w:val="24"/>
              </w:rPr>
            </w:pPr>
            <w:r w:rsidRPr="005C3B55">
              <w:rPr>
                <w:szCs w:val="24"/>
              </w:rPr>
              <w:t>Not relevant.</w:t>
            </w:r>
          </w:p>
          <w:p w:rsidR="00F555D6" w:rsidRPr="005C3B55" w:rsidRDefault="00F555D6" w:rsidP="00F555D6">
            <w:pPr>
              <w:pStyle w:val="Telobesedila"/>
              <w:rPr>
                <w:szCs w:val="24"/>
              </w:rPr>
            </w:pPr>
          </w:p>
        </w:tc>
      </w:tr>
    </w:tbl>
    <w:p w:rsidR="00F555D6" w:rsidRPr="005C3B55" w:rsidRDefault="00F555D6" w:rsidP="00F555D6">
      <w:pPr>
        <w:pStyle w:val="Naslov9"/>
        <w:tabs>
          <w:tab w:val="clear" w:pos="765"/>
        </w:tabs>
        <w:ind w:left="0" w:firstLine="0"/>
        <w:rPr>
          <w:szCs w:val="24"/>
          <w:lang w:val="en-GB"/>
        </w:rPr>
      </w:pPr>
      <w:r w:rsidRPr="005C3B55">
        <w:rPr>
          <w:noProof w:val="0"/>
          <w:szCs w:val="24"/>
          <w:lang w:val="en-GB"/>
        </w:rPr>
        <w:t>Relevant standard agricultural practices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In standard agricultural practice land in row spacing are covered with managed fallow.</w:t>
            </w:r>
          </w:p>
          <w:p w:rsidR="00F555D6" w:rsidRPr="005C3B55" w:rsidRDefault="00F555D6" w:rsidP="00F555D6">
            <w:pPr>
              <w:pStyle w:val="Telobesedila"/>
              <w:rPr>
                <w:szCs w:val="24"/>
              </w:rPr>
            </w:pPr>
          </w:p>
        </w:tc>
      </w:tr>
    </w:tbl>
    <w:p w:rsidR="00F555D6" w:rsidRPr="005C3B55" w:rsidRDefault="00F555D6" w:rsidP="00F555D6">
      <w:pPr>
        <w:pStyle w:val="Naslov8"/>
        <w:tabs>
          <w:tab w:val="clear" w:pos="765"/>
        </w:tabs>
        <w:ind w:left="0" w:firstLine="0"/>
        <w:rPr>
          <w:b w:val="0"/>
          <w:szCs w:val="24"/>
          <w:lang w:val="en-GB"/>
        </w:rPr>
      </w:pPr>
      <w:r w:rsidRPr="005C3B55">
        <w:rPr>
          <w:b w:val="0"/>
          <w:noProof w:val="0"/>
          <w:szCs w:val="24"/>
          <w:lang w:val="en-GB"/>
        </w:rPr>
        <w:t>SAD_VABE:</w:t>
      </w:r>
      <w:r w:rsidRPr="005C3B55">
        <w:rPr>
          <w:b w:val="0"/>
          <w:szCs w:val="24"/>
          <w:lang w:val="en-GB"/>
        </w:rPr>
        <w:t xml:space="preserve"> </w:t>
      </w:r>
      <w:r w:rsidRPr="005C3B55">
        <w:rPr>
          <w:b w:val="0"/>
          <w:noProof w:val="0"/>
          <w:szCs w:val="24"/>
          <w:lang w:val="en-GB"/>
        </w:rPr>
        <w:t>Use of pheromone and sticky traps for the needs of pest control</w:t>
      </w:r>
    </w:p>
    <w:p w:rsidR="00F555D6" w:rsidRPr="005C3B55" w:rsidRDefault="00F555D6" w:rsidP="00F555D6">
      <w:pPr>
        <w:pStyle w:val="Naslov9"/>
        <w:tabs>
          <w:tab w:val="clear" w:pos="765"/>
        </w:tabs>
        <w:ind w:left="0" w:firstLine="0"/>
        <w:rPr>
          <w:szCs w:val="24"/>
          <w:lang w:val="en-GB"/>
        </w:rPr>
      </w:pPr>
      <w:r w:rsidRPr="005C3B55">
        <w:rPr>
          <w:noProof w:val="0"/>
          <w:szCs w:val="24"/>
          <w:lang w:val="en-GB"/>
        </w:rPr>
        <w:t>Starting Point</w:t>
      </w:r>
    </w:p>
    <w:p w:rsidR="00F555D6" w:rsidRPr="005C3B55" w:rsidRDefault="00F555D6" w:rsidP="00F555D6">
      <w:pPr>
        <w:spacing w:line="280" w:lineRule="auto"/>
        <w:rPr>
          <w:szCs w:val="24"/>
        </w:rPr>
      </w:pPr>
      <w:r w:rsidRPr="005C3B55">
        <w:rPr>
          <w:szCs w:val="24"/>
        </w:rPr>
        <w:t>Suitable good agricultural and environmental conditions and/or prescribed management requirements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445"/>
              </w:numPr>
              <w:spacing w:before="0" w:after="240"/>
              <w:ind w:hanging="290"/>
              <w:jc w:val="left"/>
              <w:rPr>
                <w:szCs w:val="24"/>
              </w:rPr>
            </w:pPr>
            <w:r w:rsidRPr="005C3B55">
              <w:rPr>
                <w:szCs w:val="24"/>
              </w:rPr>
              <w:t>Regulation on cross-compliance, Annex 1: Rules on cross-compliance, SMR 10: Proper use of plant protection products: Only registered plant protection products or products for which an exceptional permit, a permit for extended use in the Republic of Slovenia, or a permit for placing on the market identical plant protection products from other EU Member States has been issued may be used. Registered plant protection products must be used correctly in accordance with the instructions stated on the label or with data included in the permission to use the product.</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Minimum requirements for the use of fertilisers and plant protection products</w:t>
      </w:r>
    </w:p>
    <w:p w:rsidR="00F555D6" w:rsidRPr="005C3B55" w:rsidRDefault="00F555D6" w:rsidP="00F555D6">
      <w:pPr>
        <w:spacing w:after="0"/>
        <w:rPr>
          <w:szCs w:val="24"/>
        </w:rPr>
      </w:pP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446"/>
              </w:numPr>
              <w:spacing w:before="0" w:after="0"/>
              <w:ind w:hanging="290"/>
              <w:jc w:val="left"/>
              <w:rPr>
                <w:szCs w:val="24"/>
              </w:rPr>
            </w:pPr>
            <w:r w:rsidRPr="005C3B55">
              <w:rPr>
                <w:szCs w:val="24"/>
              </w:rPr>
              <w:t>Minimum requirements for the use of fertilisers refer to the keeping of records on the use of livestock and mineral fertilisers which an agricultural holding has to keep for all agricultural land plots at the agricultural holding, and which has to include at least the quantity and type of livestock manure and mineral fertiliser, time of fertilising and data on the surface where these fertilisers are used.</w:t>
            </w:r>
          </w:p>
          <w:p w:rsidR="00F555D6" w:rsidRPr="005C3B55" w:rsidRDefault="00F555D6" w:rsidP="00F555D6">
            <w:pPr>
              <w:numPr>
                <w:ilvl w:val="0"/>
                <w:numId w:val="446"/>
              </w:numPr>
              <w:spacing w:before="0" w:after="240"/>
              <w:ind w:hanging="290"/>
              <w:jc w:val="left"/>
              <w:rPr>
                <w:szCs w:val="24"/>
              </w:rPr>
            </w:pPr>
            <w:r w:rsidRPr="005C3B55">
              <w:rPr>
                <w:szCs w:val="24"/>
              </w:rPr>
              <w:t>Minimum requirements for the use of plant protection products are not determined, since the requirements relating to the use of these products are standardised and are included in the requirements of cross-compliance.</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Other relevant national/regional requirements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447"/>
              </w:numPr>
              <w:spacing w:before="0" w:after="240"/>
              <w:ind w:hanging="290"/>
              <w:jc w:val="left"/>
              <w:rPr>
                <w:szCs w:val="24"/>
              </w:rPr>
            </w:pPr>
            <w:r w:rsidRPr="005C3B55">
              <w:rPr>
                <w:szCs w:val="24"/>
              </w:rPr>
              <w:t>Rules on integrated pest management (Official Gazette of the Republic of Slovenia, no. 43/14): In accordance with Article 5, plant protection products produced on the basis of microorganisms, plant extracts, pheromones and low-risk substances, registered or permitted in accordance with the law regulating plant protection products, can be used in pest control.</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Minimum activities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448"/>
              </w:numPr>
              <w:spacing w:before="0" w:after="240"/>
              <w:ind w:hanging="290"/>
              <w:jc w:val="left"/>
              <w:rPr>
                <w:szCs w:val="24"/>
              </w:rPr>
            </w:pPr>
            <w:r w:rsidRPr="005C3B55">
              <w:rPr>
                <w:szCs w:val="24"/>
              </w:rPr>
              <w:t>Not relevant.</w:t>
            </w:r>
          </w:p>
          <w:p w:rsidR="00F555D6" w:rsidRPr="005C3B55" w:rsidRDefault="00F555D6" w:rsidP="00F555D6">
            <w:pPr>
              <w:pStyle w:val="Telobesedila"/>
              <w:rPr>
                <w:szCs w:val="24"/>
              </w:rPr>
            </w:pPr>
          </w:p>
        </w:tc>
      </w:tr>
    </w:tbl>
    <w:p w:rsidR="00F555D6" w:rsidRPr="005C3B55" w:rsidRDefault="00F555D6" w:rsidP="00F555D6">
      <w:pPr>
        <w:pStyle w:val="Naslov9"/>
        <w:tabs>
          <w:tab w:val="clear" w:pos="765"/>
        </w:tabs>
        <w:ind w:left="0" w:firstLine="0"/>
        <w:rPr>
          <w:szCs w:val="24"/>
          <w:lang w:val="en-GB"/>
        </w:rPr>
      </w:pPr>
      <w:r w:rsidRPr="005C3B55">
        <w:rPr>
          <w:noProof w:val="0"/>
          <w:szCs w:val="24"/>
          <w:lang w:val="en-GB"/>
        </w:rPr>
        <w:t>Relevant standard agricultural practices</w:t>
      </w:r>
    </w:p>
    <w:p w:rsidR="00F555D6" w:rsidRPr="005C3B55" w:rsidRDefault="00F555D6" w:rsidP="00F555D6">
      <w:pPr>
        <w:pStyle w:val="Naslov9"/>
        <w:tabs>
          <w:tab w:val="clear" w:pos="765"/>
        </w:tabs>
        <w:spacing w:before="0" w:after="0"/>
        <w:ind w:left="0" w:firstLine="0"/>
        <w:rPr>
          <w:szCs w:val="24"/>
          <w:lang w:val="en-GB"/>
        </w:rPr>
      </w:pP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Registered plant protection products are used in standard agricultural practice for pest control. Pheromone and sticky traps are not used in standard agricultural practice for the needs of monitoring of pests.</w:t>
            </w:r>
          </w:p>
          <w:p w:rsidR="00F555D6" w:rsidRPr="005C3B55" w:rsidRDefault="00F555D6" w:rsidP="00F555D6">
            <w:pPr>
              <w:pStyle w:val="Telobesedila"/>
              <w:rPr>
                <w:szCs w:val="24"/>
              </w:rPr>
            </w:pPr>
          </w:p>
        </w:tc>
      </w:tr>
    </w:tbl>
    <w:p w:rsidR="00F555D6" w:rsidRPr="005C3B55" w:rsidRDefault="00F555D6" w:rsidP="00F555D6">
      <w:pPr>
        <w:pStyle w:val="Naslov5"/>
        <w:tabs>
          <w:tab w:val="clear" w:pos="765"/>
        </w:tabs>
        <w:ind w:left="0" w:firstLine="0"/>
        <w:rPr>
          <w:b w:val="0"/>
          <w:szCs w:val="24"/>
          <w:lang w:val="en-GB"/>
        </w:rPr>
      </w:pPr>
      <w:r w:rsidRPr="005C3B55">
        <w:rPr>
          <w:b w:val="0"/>
          <w:szCs w:val="24"/>
          <w:lang w:val="en-GB"/>
        </w:rPr>
        <w:br w:type="page"/>
        <w:t xml:space="preserve">04. </w:t>
      </w:r>
      <w:r w:rsidRPr="005C3B55">
        <w:rPr>
          <w:b w:val="0"/>
          <w:noProof w:val="0"/>
          <w:szCs w:val="24"/>
          <w:lang w:val="en-GB"/>
        </w:rPr>
        <w:t>Wine growing</w:t>
      </w:r>
    </w:p>
    <w:p w:rsidR="00F555D6" w:rsidRPr="005C3B55" w:rsidRDefault="00F555D6" w:rsidP="00F555D6">
      <w:pPr>
        <w:spacing w:line="280" w:lineRule="auto"/>
        <w:rPr>
          <w:szCs w:val="24"/>
        </w:rPr>
      </w:pPr>
      <w:r w:rsidRPr="005C3B55">
        <w:rPr>
          <w:szCs w:val="24"/>
        </w:rPr>
        <w:t xml:space="preserve">Sub-measure: </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449"/>
              </w:numPr>
              <w:rPr>
                <w:szCs w:val="24"/>
              </w:rPr>
            </w:pPr>
            <w:r w:rsidRPr="005C3B55">
              <w:rPr>
                <w:szCs w:val="24"/>
              </w:rPr>
              <w:t>10.1 – Payment of agri-environment-climate commitments</w:t>
            </w: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Description of type of operation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The requirements within the operation Wine growing are intended for preservation and improvement of characteristics and fertility of soil with the controlled use of fertilisers and plant protection products, reduction of soil erosion and nutrient leaching from soil.</w:t>
            </w:r>
          </w:p>
          <w:p w:rsidR="00F555D6" w:rsidRPr="005C3B55" w:rsidRDefault="00F555D6" w:rsidP="00F555D6">
            <w:pPr>
              <w:spacing w:before="240" w:after="240" w:line="280" w:lineRule="auto"/>
              <w:rPr>
                <w:szCs w:val="24"/>
              </w:rPr>
            </w:pPr>
            <w:r w:rsidRPr="005C3B55">
              <w:rPr>
                <w:szCs w:val="24"/>
              </w:rPr>
              <w:t>The requirements within the operation Wine growing denote a change in the current agricultural practices.</w:t>
            </w:r>
          </w:p>
          <w:p w:rsidR="00F555D6" w:rsidRPr="005C3B55" w:rsidRDefault="00F555D6" w:rsidP="00F555D6">
            <w:pPr>
              <w:spacing w:before="240" w:after="240" w:line="280" w:lineRule="auto"/>
              <w:rPr>
                <w:szCs w:val="24"/>
              </w:rPr>
            </w:pPr>
            <w:r w:rsidRPr="005C3B55">
              <w:rPr>
                <w:szCs w:val="24"/>
              </w:rPr>
              <w:t>The operation includes mandatory and optional requirements. The beneficiary must implement the mandatory requirements and may also select one or more optional requirements under this operation.</w:t>
            </w:r>
          </w:p>
          <w:p w:rsidR="00F555D6" w:rsidRPr="005C3B55" w:rsidRDefault="00F555D6" w:rsidP="00F555D6">
            <w:pPr>
              <w:spacing w:before="240" w:after="240" w:line="280" w:lineRule="auto"/>
              <w:rPr>
                <w:szCs w:val="24"/>
              </w:rPr>
            </w:pPr>
            <w:r w:rsidRPr="005C3B55">
              <w:rPr>
                <w:b/>
                <w:szCs w:val="24"/>
              </w:rPr>
              <w:t>A. Mandatory requirements</w:t>
            </w:r>
          </w:p>
          <w:p w:rsidR="00F555D6" w:rsidRPr="005C3B55" w:rsidRDefault="00F555D6" w:rsidP="00F555D6">
            <w:pPr>
              <w:spacing w:before="240" w:after="240" w:line="280" w:lineRule="auto"/>
              <w:rPr>
                <w:szCs w:val="24"/>
              </w:rPr>
            </w:pPr>
            <w:r w:rsidRPr="005C3B55">
              <w:rPr>
                <w:b/>
                <w:i/>
                <w:szCs w:val="24"/>
              </w:rPr>
              <w:t>VIN_VABE: Use of pheromone and sticky traps for the needs of pest control</w:t>
            </w:r>
          </w:p>
          <w:p w:rsidR="00F555D6" w:rsidRPr="005C3B55" w:rsidRDefault="00F555D6" w:rsidP="00F555D6">
            <w:pPr>
              <w:spacing w:before="240" w:after="240" w:line="280" w:lineRule="auto"/>
              <w:rPr>
                <w:szCs w:val="24"/>
              </w:rPr>
            </w:pPr>
            <w:r w:rsidRPr="005C3B55">
              <w:rPr>
                <w:szCs w:val="24"/>
              </w:rPr>
              <w:t>With the purpose making the use of insecticides more rational and targeted, pheromone traps and/or sticky plates are used in the period between 15 March and 15 August of the current year, with which the abundance and time of occurrence of pests is monitored as a criteria for the necessary protection measures. The number of necessary traps is determined in the instructions from the producers of pheromone traps and sticky plates.</w:t>
            </w:r>
          </w:p>
          <w:p w:rsidR="00F555D6" w:rsidRPr="005C3B55" w:rsidRDefault="00F555D6" w:rsidP="00F555D6">
            <w:pPr>
              <w:spacing w:before="240" w:after="240" w:line="280" w:lineRule="auto"/>
              <w:rPr>
                <w:szCs w:val="24"/>
              </w:rPr>
            </w:pPr>
            <w:r w:rsidRPr="005C3B55">
              <w:rPr>
                <w:szCs w:val="24"/>
              </w:rPr>
              <w:t>The instructions from expert institutions in the field of plant protection are taken into account when implementing this requirement.</w:t>
            </w:r>
          </w:p>
          <w:p w:rsidR="00F555D6" w:rsidRPr="005C3B55" w:rsidRDefault="00F555D6" w:rsidP="00F555D6">
            <w:pPr>
              <w:spacing w:before="240" w:after="240" w:line="280" w:lineRule="auto"/>
              <w:rPr>
                <w:szCs w:val="24"/>
              </w:rPr>
            </w:pPr>
            <w:r w:rsidRPr="005C3B55">
              <w:rPr>
                <w:szCs w:val="24"/>
              </w:rPr>
              <w:t>The implementation of the requirement reduces the use of insecticides from conventional production in intensive vineyards by 30 per cent compared to the instructions from expert institutions in the field of plant protection.</w:t>
            </w:r>
          </w:p>
          <w:p w:rsidR="00F555D6" w:rsidRPr="005C3B55" w:rsidRDefault="00F555D6" w:rsidP="00F555D6">
            <w:pPr>
              <w:numPr>
                <w:ilvl w:val="0"/>
                <w:numId w:val="450"/>
              </w:numPr>
              <w:spacing w:before="240" w:after="0"/>
              <w:ind w:hanging="290"/>
              <w:jc w:val="left"/>
              <w:rPr>
                <w:szCs w:val="24"/>
              </w:rPr>
            </w:pPr>
            <w:r w:rsidRPr="005C3B55">
              <w:rPr>
                <w:szCs w:val="24"/>
              </w:rPr>
              <w:t>Livestock density: not relevant.</w:t>
            </w:r>
          </w:p>
          <w:p w:rsidR="00F555D6" w:rsidRPr="005C3B55" w:rsidRDefault="00F555D6" w:rsidP="00F555D6">
            <w:pPr>
              <w:numPr>
                <w:ilvl w:val="0"/>
                <w:numId w:val="450"/>
              </w:numPr>
              <w:spacing w:before="0" w:after="0"/>
              <w:ind w:hanging="290"/>
              <w:jc w:val="left"/>
              <w:rPr>
                <w:szCs w:val="24"/>
              </w:rPr>
            </w:pPr>
            <w:r w:rsidRPr="005C3B55">
              <w:rPr>
                <w:szCs w:val="24"/>
              </w:rPr>
              <w:t>Use: vineyards with an inclination up to 35 per cent and with an inclination above 35 per cent.</w:t>
            </w:r>
          </w:p>
          <w:p w:rsidR="00F555D6" w:rsidRPr="005C3B55" w:rsidRDefault="00F555D6" w:rsidP="00F555D6">
            <w:pPr>
              <w:numPr>
                <w:ilvl w:val="0"/>
                <w:numId w:val="450"/>
              </w:numPr>
              <w:spacing w:before="0" w:after="0"/>
              <w:ind w:hanging="290"/>
              <w:jc w:val="left"/>
              <w:rPr>
                <w:szCs w:val="24"/>
              </w:rPr>
            </w:pPr>
            <w:r w:rsidRPr="005C3B55">
              <w:rPr>
                <w:szCs w:val="24"/>
              </w:rPr>
              <w:t>Coverage: part of the area.</w:t>
            </w:r>
          </w:p>
          <w:p w:rsidR="00F555D6" w:rsidRPr="005C3B55" w:rsidRDefault="00F555D6" w:rsidP="00F555D6">
            <w:pPr>
              <w:numPr>
                <w:ilvl w:val="0"/>
                <w:numId w:val="450"/>
              </w:numPr>
              <w:spacing w:before="0" w:after="0"/>
              <w:ind w:hanging="290"/>
              <w:jc w:val="left"/>
              <w:rPr>
                <w:szCs w:val="24"/>
              </w:rPr>
            </w:pPr>
            <w:r w:rsidRPr="005C3B55">
              <w:rPr>
                <w:szCs w:val="24"/>
              </w:rPr>
              <w:t>Location: not relevant.</w:t>
            </w:r>
          </w:p>
          <w:p w:rsidR="00F555D6" w:rsidRPr="005C3B55" w:rsidRDefault="00F555D6" w:rsidP="00F555D6">
            <w:pPr>
              <w:numPr>
                <w:ilvl w:val="0"/>
                <w:numId w:val="450"/>
              </w:numPr>
              <w:spacing w:before="0" w:after="240"/>
              <w:ind w:hanging="290"/>
              <w:jc w:val="left"/>
              <w:rPr>
                <w:szCs w:val="24"/>
              </w:rPr>
            </w:pPr>
            <w:r w:rsidRPr="005C3B55">
              <w:rPr>
                <w:szCs w:val="24"/>
              </w:rPr>
              <w:t>Implementation area: whole Slovenia.</w:t>
            </w:r>
          </w:p>
          <w:p w:rsidR="00F555D6" w:rsidRPr="005C3B55" w:rsidRDefault="00F555D6" w:rsidP="00F555D6">
            <w:pPr>
              <w:spacing w:before="240" w:after="240" w:line="280" w:lineRule="auto"/>
              <w:rPr>
                <w:szCs w:val="24"/>
              </w:rPr>
            </w:pPr>
            <w:r w:rsidRPr="005C3B55">
              <w:rPr>
                <w:szCs w:val="24"/>
              </w:rPr>
              <w:t>Effects:</w:t>
            </w:r>
          </w:p>
          <w:p w:rsidR="00F555D6" w:rsidRPr="005C3B55" w:rsidRDefault="00F555D6" w:rsidP="00F555D6">
            <w:pPr>
              <w:numPr>
                <w:ilvl w:val="0"/>
                <w:numId w:val="451"/>
              </w:numPr>
              <w:spacing w:before="240" w:after="0"/>
              <w:ind w:hanging="290"/>
              <w:jc w:val="left"/>
              <w:rPr>
                <w:szCs w:val="24"/>
              </w:rPr>
            </w:pPr>
            <w:r w:rsidRPr="005C3B55">
              <w:rPr>
                <w:szCs w:val="24"/>
              </w:rPr>
              <w:t>establishing the abundance and time of occurrence of pests as a criteria for the necessary plant protection measures;</w:t>
            </w:r>
          </w:p>
          <w:p w:rsidR="00F555D6" w:rsidRPr="005C3B55" w:rsidRDefault="00F555D6" w:rsidP="00F555D6">
            <w:pPr>
              <w:numPr>
                <w:ilvl w:val="0"/>
                <w:numId w:val="451"/>
              </w:numPr>
              <w:spacing w:before="0" w:after="0"/>
              <w:ind w:hanging="290"/>
              <w:jc w:val="left"/>
              <w:rPr>
                <w:szCs w:val="24"/>
              </w:rPr>
            </w:pPr>
            <w:r w:rsidRPr="005C3B55">
              <w:rPr>
                <w:szCs w:val="24"/>
              </w:rPr>
              <w:t>more precise determination of the damage threshold and time of treatment;</w:t>
            </w:r>
          </w:p>
          <w:p w:rsidR="00F555D6" w:rsidRPr="005C3B55" w:rsidRDefault="00F555D6" w:rsidP="00F555D6">
            <w:pPr>
              <w:numPr>
                <w:ilvl w:val="0"/>
                <w:numId w:val="451"/>
              </w:numPr>
              <w:spacing w:before="0" w:after="240"/>
              <w:ind w:hanging="290"/>
              <w:jc w:val="left"/>
              <w:rPr>
                <w:szCs w:val="24"/>
              </w:rPr>
            </w:pPr>
            <w:r w:rsidRPr="005C3B55">
              <w:rPr>
                <w:szCs w:val="24"/>
              </w:rPr>
              <w:t>reduced use of plant protection products – insecticides.</w:t>
            </w:r>
          </w:p>
          <w:p w:rsidR="00F555D6" w:rsidRPr="005C3B55" w:rsidRDefault="00F555D6" w:rsidP="00F555D6">
            <w:pPr>
              <w:spacing w:before="240" w:after="240" w:line="280" w:lineRule="auto"/>
              <w:rPr>
                <w:szCs w:val="24"/>
              </w:rPr>
            </w:pPr>
            <w:r w:rsidRPr="005C3B55">
              <w:rPr>
                <w:b/>
                <w:i/>
                <w:szCs w:val="24"/>
              </w:rPr>
              <w:t>VIN_EKGN: Only fertilisers permitted in organic production may be used</w:t>
            </w:r>
          </w:p>
          <w:p w:rsidR="00F555D6" w:rsidRPr="005C3B55" w:rsidRDefault="00F555D6" w:rsidP="00F555D6">
            <w:pPr>
              <w:spacing w:before="240" w:after="240" w:line="280" w:lineRule="auto"/>
              <w:rPr>
                <w:szCs w:val="24"/>
              </w:rPr>
            </w:pPr>
            <w:r w:rsidRPr="005C3B55">
              <w:rPr>
                <w:szCs w:val="24"/>
              </w:rPr>
              <w:t>Only fertilisers permitted in organic farming in accordance with Annex I to Regulation (EC) No 889/2008 may be used for soil fertilisation. The implementation of the requirement improves the structure and fertility of soil, increases the resistance of plants to diseases and facilitates the creation of humus in soil.</w:t>
            </w:r>
          </w:p>
          <w:p w:rsidR="00F555D6" w:rsidRPr="005C3B55" w:rsidRDefault="00F555D6" w:rsidP="00F555D6">
            <w:pPr>
              <w:numPr>
                <w:ilvl w:val="0"/>
                <w:numId w:val="452"/>
              </w:numPr>
              <w:spacing w:before="240" w:after="0"/>
              <w:ind w:hanging="290"/>
              <w:jc w:val="left"/>
              <w:rPr>
                <w:szCs w:val="24"/>
              </w:rPr>
            </w:pPr>
            <w:r w:rsidRPr="005C3B55">
              <w:rPr>
                <w:szCs w:val="24"/>
              </w:rPr>
              <w:t>Livestock density: not relevant.</w:t>
            </w:r>
          </w:p>
          <w:p w:rsidR="00F555D6" w:rsidRPr="005C3B55" w:rsidRDefault="00F555D6" w:rsidP="00F555D6">
            <w:pPr>
              <w:numPr>
                <w:ilvl w:val="0"/>
                <w:numId w:val="452"/>
              </w:numPr>
              <w:spacing w:before="0" w:after="0"/>
              <w:ind w:hanging="290"/>
              <w:jc w:val="left"/>
              <w:rPr>
                <w:szCs w:val="24"/>
              </w:rPr>
            </w:pPr>
            <w:r w:rsidRPr="005C3B55">
              <w:rPr>
                <w:szCs w:val="24"/>
              </w:rPr>
              <w:t>Use: vineyards with an inclination up to 35 per cent and with an inclination above 35 per cent.</w:t>
            </w:r>
          </w:p>
          <w:p w:rsidR="00F555D6" w:rsidRPr="005C3B55" w:rsidRDefault="00F555D6" w:rsidP="00F555D6">
            <w:pPr>
              <w:numPr>
                <w:ilvl w:val="0"/>
                <w:numId w:val="452"/>
              </w:numPr>
              <w:spacing w:before="0" w:after="0"/>
              <w:ind w:hanging="290"/>
              <w:jc w:val="left"/>
              <w:rPr>
                <w:szCs w:val="24"/>
              </w:rPr>
            </w:pPr>
            <w:r w:rsidRPr="005C3B55">
              <w:rPr>
                <w:szCs w:val="24"/>
              </w:rPr>
              <w:t>Coverage: all vineyard surfaces.</w:t>
            </w:r>
          </w:p>
          <w:p w:rsidR="00F555D6" w:rsidRPr="005C3B55" w:rsidRDefault="00F555D6" w:rsidP="00F555D6">
            <w:pPr>
              <w:numPr>
                <w:ilvl w:val="0"/>
                <w:numId w:val="452"/>
              </w:numPr>
              <w:spacing w:before="0" w:after="0"/>
              <w:ind w:hanging="290"/>
              <w:jc w:val="left"/>
              <w:rPr>
                <w:szCs w:val="24"/>
              </w:rPr>
            </w:pPr>
            <w:r w:rsidRPr="005C3B55">
              <w:rPr>
                <w:szCs w:val="24"/>
              </w:rPr>
              <w:t>Location: the same throughout the commitment.</w:t>
            </w:r>
          </w:p>
          <w:p w:rsidR="00F555D6" w:rsidRPr="005C3B55" w:rsidRDefault="00F555D6" w:rsidP="00F555D6">
            <w:pPr>
              <w:numPr>
                <w:ilvl w:val="0"/>
                <w:numId w:val="452"/>
              </w:numPr>
              <w:spacing w:before="0" w:after="240"/>
              <w:ind w:hanging="290"/>
              <w:jc w:val="left"/>
              <w:rPr>
                <w:szCs w:val="24"/>
              </w:rPr>
            </w:pPr>
            <w:r w:rsidRPr="005C3B55">
              <w:rPr>
                <w:szCs w:val="24"/>
              </w:rPr>
              <w:t>Implementation area: whole Slovenia.</w:t>
            </w:r>
          </w:p>
          <w:p w:rsidR="00F555D6" w:rsidRPr="005C3B55" w:rsidRDefault="00F555D6" w:rsidP="00F555D6">
            <w:pPr>
              <w:spacing w:before="240" w:after="240" w:line="280" w:lineRule="auto"/>
              <w:rPr>
                <w:szCs w:val="24"/>
              </w:rPr>
            </w:pPr>
            <w:r w:rsidRPr="005C3B55">
              <w:rPr>
                <w:szCs w:val="24"/>
              </w:rPr>
              <w:t>Effects:</w:t>
            </w:r>
          </w:p>
          <w:p w:rsidR="00F555D6" w:rsidRPr="005C3B55" w:rsidRDefault="00F555D6" w:rsidP="00F555D6">
            <w:pPr>
              <w:numPr>
                <w:ilvl w:val="0"/>
                <w:numId w:val="453"/>
              </w:numPr>
              <w:spacing w:before="240" w:after="0"/>
              <w:ind w:hanging="290"/>
              <w:jc w:val="left"/>
              <w:rPr>
                <w:szCs w:val="24"/>
              </w:rPr>
            </w:pPr>
            <w:r w:rsidRPr="005C3B55">
              <w:rPr>
                <w:szCs w:val="24"/>
              </w:rPr>
              <w:t>improving structure and fertility of soil;</w:t>
            </w:r>
          </w:p>
          <w:p w:rsidR="00F555D6" w:rsidRPr="005C3B55" w:rsidRDefault="00F555D6" w:rsidP="00F555D6">
            <w:pPr>
              <w:numPr>
                <w:ilvl w:val="0"/>
                <w:numId w:val="453"/>
              </w:numPr>
              <w:spacing w:before="0" w:after="0"/>
              <w:ind w:hanging="290"/>
              <w:jc w:val="left"/>
              <w:rPr>
                <w:szCs w:val="24"/>
              </w:rPr>
            </w:pPr>
            <w:r w:rsidRPr="005C3B55">
              <w:rPr>
                <w:szCs w:val="24"/>
              </w:rPr>
              <w:t>increased resistance of crop to diseases;</w:t>
            </w:r>
          </w:p>
          <w:p w:rsidR="00F555D6" w:rsidRPr="005C3B55" w:rsidRDefault="00F555D6" w:rsidP="00F555D6">
            <w:pPr>
              <w:numPr>
                <w:ilvl w:val="0"/>
                <w:numId w:val="453"/>
              </w:numPr>
              <w:spacing w:before="0" w:after="0"/>
              <w:ind w:hanging="290"/>
              <w:jc w:val="left"/>
              <w:rPr>
                <w:szCs w:val="24"/>
              </w:rPr>
            </w:pPr>
            <w:r w:rsidRPr="005C3B55">
              <w:rPr>
                <w:szCs w:val="24"/>
              </w:rPr>
              <w:t>increasing the amount of organic matter in soil;</w:t>
            </w:r>
          </w:p>
          <w:p w:rsidR="00F555D6" w:rsidRPr="005C3B55" w:rsidRDefault="00F555D6" w:rsidP="00F555D6">
            <w:pPr>
              <w:numPr>
                <w:ilvl w:val="0"/>
                <w:numId w:val="453"/>
              </w:numPr>
              <w:spacing w:before="0" w:after="240"/>
              <w:ind w:hanging="290"/>
              <w:jc w:val="left"/>
              <w:rPr>
                <w:szCs w:val="24"/>
              </w:rPr>
            </w:pPr>
            <w:r w:rsidRPr="005C3B55">
              <w:rPr>
                <w:szCs w:val="24"/>
              </w:rPr>
              <w:t>increasing the microbiological activity of soil.</w:t>
            </w:r>
          </w:p>
          <w:p w:rsidR="00F555D6" w:rsidRPr="005C3B55" w:rsidRDefault="00F555D6" w:rsidP="00F555D6">
            <w:pPr>
              <w:spacing w:before="240" w:after="240" w:line="280" w:lineRule="auto"/>
              <w:rPr>
                <w:szCs w:val="24"/>
              </w:rPr>
            </w:pPr>
            <w:r w:rsidRPr="005C3B55">
              <w:rPr>
                <w:b/>
                <w:szCs w:val="24"/>
              </w:rPr>
              <w:t>B. Optional requirements</w:t>
            </w:r>
          </w:p>
          <w:p w:rsidR="00F555D6" w:rsidRPr="005C3B55" w:rsidRDefault="00F555D6" w:rsidP="00F555D6">
            <w:pPr>
              <w:spacing w:before="240" w:after="240" w:line="280" w:lineRule="auto"/>
              <w:rPr>
                <w:szCs w:val="24"/>
              </w:rPr>
            </w:pPr>
            <w:r w:rsidRPr="005C3B55">
              <w:rPr>
                <w:b/>
                <w:i/>
                <w:szCs w:val="24"/>
              </w:rPr>
              <w:t>VIN_KONF: Use of confusion and disorientation methods</w:t>
            </w:r>
          </w:p>
          <w:p w:rsidR="00F555D6" w:rsidRPr="005C3B55" w:rsidRDefault="00F555D6" w:rsidP="00F555D6">
            <w:pPr>
              <w:spacing w:before="240" w:after="240" w:line="280" w:lineRule="auto"/>
              <w:rPr>
                <w:szCs w:val="24"/>
              </w:rPr>
            </w:pPr>
            <w:r w:rsidRPr="005C3B55">
              <w:rPr>
                <w:szCs w:val="24"/>
              </w:rPr>
              <w:t>The requirement represents the use of alternative methods of pest control, which is much more environmentally friendly than using only plant protection products. It is an alternative method of plant protection with pheromone dispensers, which are used before the beginning or at the very beginning of pest infestation. Dispensers are used as a supplementary method against all genera of certain pests, primarily against the vine moth (</w:t>
            </w:r>
            <w:r w:rsidRPr="005C3B55">
              <w:rPr>
                <w:i/>
                <w:szCs w:val="24"/>
              </w:rPr>
              <w:t>Eupoecilia ambiguella</w:t>
            </w:r>
            <w:r w:rsidRPr="005C3B55">
              <w:rPr>
                <w:szCs w:val="24"/>
              </w:rPr>
              <w:t>) and the European grapevine moth (</w:t>
            </w:r>
            <w:r w:rsidRPr="005C3B55">
              <w:rPr>
                <w:i/>
                <w:szCs w:val="24"/>
              </w:rPr>
              <w:t>Lobesia botrana</w:t>
            </w:r>
            <w:r w:rsidRPr="005C3B55">
              <w:rPr>
                <w:szCs w:val="24"/>
              </w:rPr>
              <w:t>).</w:t>
            </w:r>
          </w:p>
          <w:p w:rsidR="00F555D6" w:rsidRPr="005C3B55" w:rsidRDefault="00F555D6" w:rsidP="00F555D6">
            <w:pPr>
              <w:spacing w:before="240" w:after="240" w:line="280" w:lineRule="auto"/>
              <w:rPr>
                <w:szCs w:val="24"/>
              </w:rPr>
            </w:pPr>
            <w:r w:rsidRPr="005C3B55">
              <w:rPr>
                <w:szCs w:val="24"/>
              </w:rPr>
              <w:t>The confusion and disorientation method is used on the basis of recommendations from expert institutions in the field of plant protection. The number of necessary dispensers is determined in instructions from the producer of dispensers.</w:t>
            </w:r>
          </w:p>
          <w:p w:rsidR="00F555D6" w:rsidRPr="005C3B55" w:rsidRDefault="00F555D6" w:rsidP="00F555D6">
            <w:pPr>
              <w:spacing w:before="240" w:after="240" w:line="280" w:lineRule="auto"/>
              <w:rPr>
                <w:szCs w:val="24"/>
              </w:rPr>
            </w:pPr>
            <w:r w:rsidRPr="005C3B55">
              <w:rPr>
                <w:szCs w:val="24"/>
              </w:rPr>
              <w:t>The confusion method is about using a smaller number of pheromone dispensers with a larger concentration of pheromone, which create so-called pheromone mist, in which males do not detect the weak source of natural pheromone emitted by females. In the disorientation method, a large number of dispensers with a low concentration of pheromone compete with females in attracting males. The combined result of the two methods is a considerable reduction of mating and, consequently, the number of larvae of the next generation of the pest.</w:t>
            </w:r>
          </w:p>
          <w:p w:rsidR="00F555D6" w:rsidRPr="005C3B55" w:rsidRDefault="00F555D6" w:rsidP="00F555D6">
            <w:pPr>
              <w:numPr>
                <w:ilvl w:val="0"/>
                <w:numId w:val="454"/>
              </w:numPr>
              <w:spacing w:before="240" w:after="0"/>
              <w:ind w:hanging="290"/>
              <w:jc w:val="left"/>
              <w:rPr>
                <w:szCs w:val="24"/>
              </w:rPr>
            </w:pPr>
            <w:r w:rsidRPr="005C3B55">
              <w:rPr>
                <w:szCs w:val="24"/>
              </w:rPr>
              <w:t>Livestock density: not relevant.</w:t>
            </w:r>
          </w:p>
          <w:p w:rsidR="00F555D6" w:rsidRPr="005C3B55" w:rsidRDefault="00F555D6" w:rsidP="00F555D6">
            <w:pPr>
              <w:numPr>
                <w:ilvl w:val="0"/>
                <w:numId w:val="454"/>
              </w:numPr>
              <w:spacing w:before="0" w:after="0"/>
              <w:ind w:hanging="290"/>
              <w:jc w:val="left"/>
              <w:rPr>
                <w:szCs w:val="24"/>
              </w:rPr>
            </w:pPr>
            <w:r w:rsidRPr="005C3B55">
              <w:rPr>
                <w:szCs w:val="24"/>
              </w:rPr>
              <w:t>Use: vineyards with an inclination up to 35 per cent.</w:t>
            </w:r>
          </w:p>
          <w:p w:rsidR="00F555D6" w:rsidRPr="005C3B55" w:rsidRDefault="00F555D6" w:rsidP="00F555D6">
            <w:pPr>
              <w:numPr>
                <w:ilvl w:val="0"/>
                <w:numId w:val="454"/>
              </w:numPr>
              <w:spacing w:before="0" w:after="0"/>
              <w:ind w:hanging="290"/>
              <w:jc w:val="left"/>
              <w:rPr>
                <w:szCs w:val="24"/>
              </w:rPr>
            </w:pPr>
            <w:r w:rsidRPr="005C3B55">
              <w:rPr>
                <w:szCs w:val="24"/>
              </w:rPr>
              <w:t>Coverage: part of the area.</w:t>
            </w:r>
          </w:p>
          <w:p w:rsidR="00F555D6" w:rsidRPr="005C3B55" w:rsidRDefault="00F555D6" w:rsidP="00F555D6">
            <w:pPr>
              <w:numPr>
                <w:ilvl w:val="0"/>
                <w:numId w:val="454"/>
              </w:numPr>
              <w:spacing w:before="0" w:after="0"/>
              <w:ind w:hanging="290"/>
              <w:jc w:val="left"/>
              <w:rPr>
                <w:szCs w:val="24"/>
              </w:rPr>
            </w:pPr>
            <w:r w:rsidRPr="005C3B55">
              <w:rPr>
                <w:szCs w:val="24"/>
              </w:rPr>
              <w:t>Location: not relevant.</w:t>
            </w:r>
          </w:p>
          <w:p w:rsidR="00F555D6" w:rsidRPr="005C3B55" w:rsidRDefault="00F555D6" w:rsidP="00F555D6">
            <w:pPr>
              <w:numPr>
                <w:ilvl w:val="0"/>
                <w:numId w:val="454"/>
              </w:numPr>
              <w:spacing w:before="0" w:after="240"/>
              <w:ind w:hanging="290"/>
              <w:jc w:val="left"/>
              <w:rPr>
                <w:szCs w:val="24"/>
              </w:rPr>
            </w:pPr>
            <w:r w:rsidRPr="005C3B55">
              <w:rPr>
                <w:szCs w:val="24"/>
              </w:rPr>
              <w:t>Implementation area: whole Slovenia.</w:t>
            </w:r>
          </w:p>
          <w:p w:rsidR="00F555D6" w:rsidRPr="005C3B55" w:rsidRDefault="00F555D6" w:rsidP="00F555D6">
            <w:pPr>
              <w:spacing w:before="240" w:after="240" w:line="280" w:lineRule="auto"/>
              <w:rPr>
                <w:szCs w:val="24"/>
              </w:rPr>
            </w:pPr>
            <w:r w:rsidRPr="005C3B55">
              <w:rPr>
                <w:szCs w:val="24"/>
              </w:rPr>
              <w:t>Effects:</w:t>
            </w:r>
          </w:p>
          <w:p w:rsidR="00F555D6" w:rsidRPr="005C3B55" w:rsidRDefault="00F555D6" w:rsidP="00F555D6">
            <w:pPr>
              <w:numPr>
                <w:ilvl w:val="0"/>
                <w:numId w:val="455"/>
              </w:numPr>
              <w:spacing w:before="240" w:after="240"/>
              <w:ind w:hanging="290"/>
              <w:jc w:val="left"/>
              <w:rPr>
                <w:szCs w:val="24"/>
              </w:rPr>
            </w:pPr>
            <w:r w:rsidRPr="005C3B55">
              <w:rPr>
                <w:szCs w:val="24"/>
              </w:rPr>
              <w:t>reduced use of  insecticides.</w:t>
            </w:r>
          </w:p>
          <w:p w:rsidR="00F555D6" w:rsidRPr="005C3B55" w:rsidRDefault="00F555D6" w:rsidP="00F555D6">
            <w:pPr>
              <w:spacing w:before="240" w:after="240" w:line="280" w:lineRule="auto"/>
              <w:rPr>
                <w:szCs w:val="24"/>
              </w:rPr>
            </w:pPr>
            <w:r w:rsidRPr="005C3B55">
              <w:rPr>
                <w:b/>
                <w:i/>
                <w:szCs w:val="24"/>
              </w:rPr>
              <w:t>VIN_MEHZ: Mechanical weeding (under vines)</w:t>
            </w:r>
          </w:p>
          <w:p w:rsidR="00F555D6" w:rsidRPr="005C3B55" w:rsidRDefault="00F555D6" w:rsidP="00F555D6">
            <w:pPr>
              <w:spacing w:before="240" w:after="240" w:line="280" w:lineRule="auto"/>
              <w:rPr>
                <w:szCs w:val="24"/>
              </w:rPr>
            </w:pPr>
            <w:r w:rsidRPr="005C3B55">
              <w:rPr>
                <w:szCs w:val="24"/>
              </w:rPr>
              <w:t>The requirement is intended for weeding between rows without the use of herbicides. It also contributes to retention of moisture in the soil and protection of plants against extreme temperatures.</w:t>
            </w:r>
          </w:p>
          <w:p w:rsidR="00F555D6" w:rsidRPr="005C3B55" w:rsidRDefault="00F555D6" w:rsidP="00F555D6">
            <w:pPr>
              <w:spacing w:before="240" w:after="240" w:line="280" w:lineRule="auto"/>
              <w:rPr>
                <w:szCs w:val="24"/>
              </w:rPr>
            </w:pPr>
            <w:r w:rsidRPr="005C3B55">
              <w:rPr>
                <w:szCs w:val="24"/>
              </w:rPr>
              <w:t>Since the use of herbicides is not permitted, the implementation of the requirement results in the reduction of the total use of plant protection products.</w:t>
            </w:r>
          </w:p>
          <w:p w:rsidR="00F555D6" w:rsidRPr="005C3B55" w:rsidRDefault="00F555D6" w:rsidP="00F555D6">
            <w:pPr>
              <w:numPr>
                <w:ilvl w:val="0"/>
                <w:numId w:val="456"/>
              </w:numPr>
              <w:spacing w:before="240" w:after="0"/>
              <w:ind w:hanging="290"/>
              <w:jc w:val="left"/>
              <w:rPr>
                <w:szCs w:val="24"/>
              </w:rPr>
            </w:pPr>
            <w:r w:rsidRPr="005C3B55">
              <w:rPr>
                <w:szCs w:val="24"/>
              </w:rPr>
              <w:t>Livestock density: not relevant.</w:t>
            </w:r>
          </w:p>
          <w:p w:rsidR="00F555D6" w:rsidRPr="005C3B55" w:rsidRDefault="00F555D6" w:rsidP="00F555D6">
            <w:pPr>
              <w:numPr>
                <w:ilvl w:val="0"/>
                <w:numId w:val="456"/>
              </w:numPr>
              <w:spacing w:before="0" w:after="0"/>
              <w:ind w:hanging="290"/>
              <w:jc w:val="left"/>
              <w:rPr>
                <w:szCs w:val="24"/>
              </w:rPr>
            </w:pPr>
            <w:r w:rsidRPr="005C3B55">
              <w:rPr>
                <w:szCs w:val="24"/>
              </w:rPr>
              <w:t>Use: vineyards with an inclination up to 35 per cent and with an inclination above 35 per cent.</w:t>
            </w:r>
          </w:p>
          <w:p w:rsidR="00F555D6" w:rsidRPr="005C3B55" w:rsidRDefault="00F555D6" w:rsidP="00F555D6">
            <w:pPr>
              <w:numPr>
                <w:ilvl w:val="0"/>
                <w:numId w:val="456"/>
              </w:numPr>
              <w:spacing w:before="0" w:after="0"/>
              <w:ind w:hanging="290"/>
              <w:jc w:val="left"/>
              <w:rPr>
                <w:szCs w:val="24"/>
              </w:rPr>
            </w:pPr>
            <w:r w:rsidRPr="005C3B55">
              <w:rPr>
                <w:szCs w:val="24"/>
              </w:rPr>
              <w:t>Coverage: part of the area.</w:t>
            </w:r>
          </w:p>
          <w:p w:rsidR="00F555D6" w:rsidRPr="005C3B55" w:rsidRDefault="00F555D6" w:rsidP="00F555D6">
            <w:pPr>
              <w:numPr>
                <w:ilvl w:val="0"/>
                <w:numId w:val="456"/>
              </w:numPr>
              <w:spacing w:before="0" w:after="0"/>
              <w:ind w:hanging="290"/>
              <w:jc w:val="left"/>
              <w:rPr>
                <w:szCs w:val="24"/>
              </w:rPr>
            </w:pPr>
            <w:r w:rsidRPr="005C3B55">
              <w:rPr>
                <w:szCs w:val="24"/>
              </w:rPr>
              <w:t>Location: not relevant.</w:t>
            </w:r>
          </w:p>
          <w:p w:rsidR="00F555D6" w:rsidRPr="005C3B55" w:rsidRDefault="00F555D6" w:rsidP="00F555D6">
            <w:pPr>
              <w:numPr>
                <w:ilvl w:val="0"/>
                <w:numId w:val="456"/>
              </w:numPr>
              <w:spacing w:before="0" w:after="240"/>
              <w:ind w:hanging="290"/>
              <w:jc w:val="left"/>
              <w:rPr>
                <w:szCs w:val="24"/>
              </w:rPr>
            </w:pPr>
            <w:r w:rsidRPr="005C3B55">
              <w:rPr>
                <w:szCs w:val="24"/>
              </w:rPr>
              <w:t>Implementation area: whole Slovenia.</w:t>
            </w:r>
          </w:p>
          <w:p w:rsidR="00F555D6" w:rsidRPr="005C3B55" w:rsidRDefault="00F555D6" w:rsidP="00F555D6">
            <w:pPr>
              <w:spacing w:before="240" w:after="240" w:line="280" w:lineRule="auto"/>
              <w:rPr>
                <w:szCs w:val="24"/>
              </w:rPr>
            </w:pPr>
            <w:r w:rsidRPr="005C3B55">
              <w:rPr>
                <w:szCs w:val="24"/>
              </w:rPr>
              <w:t>Effects:</w:t>
            </w:r>
          </w:p>
          <w:p w:rsidR="00F555D6" w:rsidRPr="005C3B55" w:rsidRDefault="00F555D6" w:rsidP="00F555D6">
            <w:pPr>
              <w:numPr>
                <w:ilvl w:val="0"/>
                <w:numId w:val="457"/>
              </w:numPr>
              <w:spacing w:before="240" w:after="0"/>
              <w:ind w:hanging="290"/>
              <w:jc w:val="left"/>
              <w:rPr>
                <w:szCs w:val="24"/>
              </w:rPr>
            </w:pPr>
            <w:r w:rsidRPr="005C3B55">
              <w:rPr>
                <w:szCs w:val="24"/>
              </w:rPr>
              <w:t>weeding without the use of herbicides;</w:t>
            </w:r>
          </w:p>
          <w:p w:rsidR="00F555D6" w:rsidRPr="005C3B55" w:rsidRDefault="00F555D6" w:rsidP="00F555D6">
            <w:pPr>
              <w:numPr>
                <w:ilvl w:val="0"/>
                <w:numId w:val="457"/>
              </w:numPr>
              <w:spacing w:before="0" w:after="0"/>
              <w:ind w:hanging="290"/>
              <w:jc w:val="left"/>
              <w:rPr>
                <w:szCs w:val="24"/>
              </w:rPr>
            </w:pPr>
            <w:r w:rsidRPr="005C3B55">
              <w:rPr>
                <w:szCs w:val="24"/>
              </w:rPr>
              <w:t>stimulating favourable organisms in soil;</w:t>
            </w:r>
          </w:p>
          <w:p w:rsidR="00F555D6" w:rsidRPr="005C3B55" w:rsidRDefault="00F555D6" w:rsidP="00F555D6">
            <w:pPr>
              <w:numPr>
                <w:ilvl w:val="0"/>
                <w:numId w:val="457"/>
              </w:numPr>
              <w:spacing w:before="0" w:after="240"/>
              <w:ind w:hanging="290"/>
              <w:jc w:val="left"/>
              <w:rPr>
                <w:szCs w:val="24"/>
              </w:rPr>
            </w:pPr>
            <w:r w:rsidRPr="005C3B55">
              <w:rPr>
                <w:szCs w:val="24"/>
              </w:rPr>
              <w:t>retaining moisture in soil.</w:t>
            </w:r>
          </w:p>
          <w:p w:rsidR="00F555D6" w:rsidRPr="005C3B55" w:rsidRDefault="00F555D6" w:rsidP="00F555D6">
            <w:pPr>
              <w:spacing w:before="240" w:after="240" w:line="280" w:lineRule="auto"/>
              <w:rPr>
                <w:szCs w:val="24"/>
              </w:rPr>
            </w:pPr>
            <w:r w:rsidRPr="005C3B55">
              <w:rPr>
                <w:b/>
                <w:i/>
                <w:szCs w:val="24"/>
              </w:rPr>
              <w:t>VIN_POKT: Land cover in vineyards with managed fallow</w:t>
            </w:r>
          </w:p>
          <w:p w:rsidR="00F555D6" w:rsidRPr="005C3B55" w:rsidRDefault="00F555D6" w:rsidP="00F555D6">
            <w:pPr>
              <w:spacing w:before="240" w:after="240" w:line="280" w:lineRule="auto"/>
              <w:rPr>
                <w:szCs w:val="24"/>
              </w:rPr>
            </w:pPr>
            <w:r w:rsidRPr="005C3B55">
              <w:rPr>
                <w:szCs w:val="24"/>
              </w:rPr>
              <w:t>The implementation of the requirement contributes to the enrichment of soil with organic matter and nutrients, increasing the amount of humus in soil and improvement of the air-water balance in soil. It is about covering land with useful plants (sowing of one plant type or as mixture).</w:t>
            </w:r>
          </w:p>
          <w:p w:rsidR="00F555D6" w:rsidRPr="005C3B55" w:rsidRDefault="00F555D6" w:rsidP="00F555D6">
            <w:pPr>
              <w:spacing w:before="240" w:after="240" w:line="280" w:lineRule="auto"/>
              <w:rPr>
                <w:szCs w:val="24"/>
              </w:rPr>
            </w:pPr>
            <w:r w:rsidRPr="005C3B55">
              <w:rPr>
                <w:szCs w:val="24"/>
              </w:rPr>
              <w:t>It is required that after grape harvesting, ground in row spacing covered with managed fallow is treated with a ripper which breaks up the ground hardened by machines (wheel tracks). Various species of plants must sown in the tilled ground, which are mulched when they reach the proper size. This fertilises and enriches soil with organic matter. Roots of selected plants that reach deep into the soil loosen and provide air to the deeper layers of soil.</w:t>
            </w:r>
          </w:p>
          <w:p w:rsidR="00F555D6" w:rsidRPr="005C3B55" w:rsidRDefault="00F555D6" w:rsidP="00F555D6">
            <w:pPr>
              <w:spacing w:before="240" w:after="240" w:line="280" w:lineRule="auto"/>
              <w:rPr>
                <w:szCs w:val="24"/>
              </w:rPr>
            </w:pPr>
            <w:r w:rsidRPr="005C3B55">
              <w:rPr>
                <w:szCs w:val="24"/>
              </w:rPr>
              <w:t>Land cover is implemented in every other row spacing in an individual year.</w:t>
            </w:r>
          </w:p>
          <w:p w:rsidR="00F555D6" w:rsidRPr="005C3B55" w:rsidRDefault="00F555D6" w:rsidP="00F555D6">
            <w:pPr>
              <w:numPr>
                <w:ilvl w:val="0"/>
                <w:numId w:val="458"/>
              </w:numPr>
              <w:spacing w:before="240" w:after="0"/>
              <w:ind w:hanging="290"/>
              <w:jc w:val="left"/>
              <w:rPr>
                <w:szCs w:val="24"/>
              </w:rPr>
            </w:pPr>
            <w:r w:rsidRPr="005C3B55">
              <w:rPr>
                <w:szCs w:val="24"/>
              </w:rPr>
              <w:t>Livestock density: not relevant.</w:t>
            </w:r>
          </w:p>
          <w:p w:rsidR="00F555D6" w:rsidRPr="005C3B55" w:rsidRDefault="00F555D6" w:rsidP="00F555D6">
            <w:pPr>
              <w:numPr>
                <w:ilvl w:val="0"/>
                <w:numId w:val="458"/>
              </w:numPr>
              <w:spacing w:before="0" w:after="0"/>
              <w:ind w:hanging="290"/>
              <w:jc w:val="left"/>
              <w:rPr>
                <w:szCs w:val="24"/>
              </w:rPr>
            </w:pPr>
            <w:r w:rsidRPr="005C3B55">
              <w:rPr>
                <w:szCs w:val="24"/>
              </w:rPr>
              <w:t>Use: vineyards with an inclination up to 35 per cent and vineyards with an inclination above 35 per cent if they are terraced.</w:t>
            </w:r>
          </w:p>
          <w:p w:rsidR="00F555D6" w:rsidRPr="005C3B55" w:rsidRDefault="00F555D6" w:rsidP="00F555D6">
            <w:pPr>
              <w:numPr>
                <w:ilvl w:val="0"/>
                <w:numId w:val="458"/>
              </w:numPr>
              <w:spacing w:before="0" w:after="0"/>
              <w:ind w:hanging="290"/>
              <w:jc w:val="left"/>
              <w:rPr>
                <w:szCs w:val="24"/>
              </w:rPr>
            </w:pPr>
            <w:r w:rsidRPr="005C3B55">
              <w:rPr>
                <w:szCs w:val="24"/>
              </w:rPr>
              <w:t>Coverage: part of the area.</w:t>
            </w:r>
          </w:p>
          <w:p w:rsidR="00F555D6" w:rsidRPr="005C3B55" w:rsidRDefault="00F555D6" w:rsidP="00F555D6">
            <w:pPr>
              <w:numPr>
                <w:ilvl w:val="0"/>
                <w:numId w:val="458"/>
              </w:numPr>
              <w:spacing w:before="0" w:after="0"/>
              <w:ind w:hanging="290"/>
              <w:jc w:val="left"/>
              <w:rPr>
                <w:szCs w:val="24"/>
              </w:rPr>
            </w:pPr>
            <w:r w:rsidRPr="005C3B55">
              <w:rPr>
                <w:szCs w:val="24"/>
              </w:rPr>
              <w:t>Location: not relevant.</w:t>
            </w:r>
          </w:p>
          <w:p w:rsidR="00F555D6" w:rsidRPr="005C3B55" w:rsidRDefault="00F555D6" w:rsidP="00F555D6">
            <w:pPr>
              <w:numPr>
                <w:ilvl w:val="0"/>
                <w:numId w:val="458"/>
              </w:numPr>
              <w:spacing w:before="0" w:after="240"/>
              <w:ind w:hanging="290"/>
              <w:jc w:val="left"/>
              <w:rPr>
                <w:szCs w:val="24"/>
              </w:rPr>
            </w:pPr>
            <w:r w:rsidRPr="005C3B55">
              <w:rPr>
                <w:szCs w:val="24"/>
              </w:rPr>
              <w:t>Implementation area: whole Slovenia.</w:t>
            </w:r>
          </w:p>
          <w:p w:rsidR="00F555D6" w:rsidRPr="005C3B55" w:rsidRDefault="00F555D6" w:rsidP="00F555D6">
            <w:pPr>
              <w:spacing w:before="240" w:after="240" w:line="280" w:lineRule="auto"/>
              <w:rPr>
                <w:szCs w:val="24"/>
              </w:rPr>
            </w:pPr>
            <w:r w:rsidRPr="005C3B55">
              <w:rPr>
                <w:szCs w:val="24"/>
              </w:rPr>
              <w:t>Effects:</w:t>
            </w:r>
          </w:p>
          <w:p w:rsidR="00F555D6" w:rsidRPr="005C3B55" w:rsidRDefault="00F555D6" w:rsidP="00F555D6">
            <w:pPr>
              <w:numPr>
                <w:ilvl w:val="0"/>
                <w:numId w:val="459"/>
              </w:numPr>
              <w:spacing w:before="240" w:after="0"/>
              <w:ind w:hanging="290"/>
              <w:jc w:val="left"/>
              <w:rPr>
                <w:szCs w:val="24"/>
              </w:rPr>
            </w:pPr>
            <w:r w:rsidRPr="005C3B55">
              <w:rPr>
                <w:szCs w:val="24"/>
              </w:rPr>
              <w:t>preventing erosion;</w:t>
            </w:r>
          </w:p>
          <w:p w:rsidR="00F555D6" w:rsidRPr="005C3B55" w:rsidRDefault="00F555D6" w:rsidP="00F555D6">
            <w:pPr>
              <w:numPr>
                <w:ilvl w:val="0"/>
                <w:numId w:val="459"/>
              </w:numPr>
              <w:spacing w:before="0" w:after="0"/>
              <w:ind w:hanging="290"/>
              <w:jc w:val="left"/>
              <w:rPr>
                <w:szCs w:val="24"/>
              </w:rPr>
            </w:pPr>
            <w:r w:rsidRPr="005C3B55">
              <w:rPr>
                <w:szCs w:val="24"/>
              </w:rPr>
              <w:t>development of useful insects, bees and soil organisms;</w:t>
            </w:r>
          </w:p>
          <w:p w:rsidR="00F555D6" w:rsidRPr="005C3B55" w:rsidRDefault="00F555D6" w:rsidP="00F555D6">
            <w:pPr>
              <w:numPr>
                <w:ilvl w:val="0"/>
                <w:numId w:val="459"/>
              </w:numPr>
              <w:spacing w:before="0" w:after="0"/>
              <w:ind w:hanging="290"/>
              <w:jc w:val="left"/>
              <w:rPr>
                <w:szCs w:val="24"/>
              </w:rPr>
            </w:pPr>
            <w:r w:rsidRPr="005C3B55">
              <w:rPr>
                <w:szCs w:val="24"/>
              </w:rPr>
              <w:t>reduction of leaching and surface movement of plant protection products from vineyards;</w:t>
            </w:r>
          </w:p>
          <w:p w:rsidR="00F555D6" w:rsidRPr="005C3B55" w:rsidRDefault="00F555D6" w:rsidP="00F555D6">
            <w:pPr>
              <w:numPr>
                <w:ilvl w:val="0"/>
                <w:numId w:val="459"/>
              </w:numPr>
              <w:spacing w:before="0" w:after="0"/>
              <w:ind w:hanging="290"/>
              <w:jc w:val="left"/>
              <w:rPr>
                <w:szCs w:val="24"/>
              </w:rPr>
            </w:pPr>
            <w:r w:rsidRPr="005C3B55">
              <w:rPr>
                <w:szCs w:val="24"/>
              </w:rPr>
              <w:t>enriching soil with organic matter and nutrients;</w:t>
            </w:r>
          </w:p>
          <w:p w:rsidR="00F555D6" w:rsidRPr="005C3B55" w:rsidRDefault="00F555D6" w:rsidP="00F555D6">
            <w:pPr>
              <w:numPr>
                <w:ilvl w:val="0"/>
                <w:numId w:val="459"/>
              </w:numPr>
              <w:spacing w:before="0" w:after="240"/>
              <w:ind w:hanging="290"/>
              <w:jc w:val="left"/>
              <w:rPr>
                <w:szCs w:val="24"/>
              </w:rPr>
            </w:pPr>
            <w:r w:rsidRPr="005C3B55">
              <w:rPr>
                <w:szCs w:val="24"/>
              </w:rPr>
              <w:t>improving the air and water regime in the soil.</w:t>
            </w:r>
          </w:p>
          <w:p w:rsidR="00F555D6" w:rsidRPr="005C3B55" w:rsidRDefault="00F555D6" w:rsidP="00F555D6">
            <w:pPr>
              <w:spacing w:before="240" w:after="240" w:line="280" w:lineRule="auto"/>
              <w:rPr>
                <w:szCs w:val="24"/>
              </w:rPr>
            </w:pPr>
            <w:r w:rsidRPr="005C3B55">
              <w:rPr>
                <w:b/>
                <w:i/>
                <w:szCs w:val="24"/>
              </w:rPr>
              <w:t>VIN_MEDV: Land cover in vineyards over winter where row spacing is not covered with managed fallow</w:t>
            </w:r>
          </w:p>
          <w:p w:rsidR="00F555D6" w:rsidRPr="005C3B55" w:rsidRDefault="00F555D6" w:rsidP="00F555D6">
            <w:pPr>
              <w:spacing w:before="240" w:after="240" w:line="280" w:lineRule="auto"/>
              <w:rPr>
                <w:szCs w:val="24"/>
              </w:rPr>
            </w:pPr>
            <w:r w:rsidRPr="005C3B55">
              <w:rPr>
                <w:szCs w:val="24"/>
              </w:rPr>
              <w:t>The implementation of the requirement contributes to the enrichment of soil with organic matter and nutrients, increasing the amount of humus in soil and improvement of the air-water balance in soil. It is about covering land with useful plants (sowing of one plant type or as mixture).</w:t>
            </w:r>
          </w:p>
          <w:p w:rsidR="00F555D6" w:rsidRPr="005C3B55" w:rsidRDefault="00F555D6" w:rsidP="00F555D6">
            <w:pPr>
              <w:spacing w:before="240" w:after="240" w:line="280" w:lineRule="auto"/>
              <w:rPr>
                <w:szCs w:val="24"/>
              </w:rPr>
            </w:pPr>
            <w:r w:rsidRPr="005C3B55">
              <w:rPr>
                <w:szCs w:val="24"/>
              </w:rPr>
              <w:t>It is required that after grape harvesting, ground in row spacing not covered with managed fallow is sown with plants for green manure. When the plants reach the proper size, they are mulched which enriches soil with organic matter.</w:t>
            </w:r>
          </w:p>
          <w:p w:rsidR="00F555D6" w:rsidRPr="005C3B55" w:rsidRDefault="00F555D6" w:rsidP="00F555D6">
            <w:pPr>
              <w:spacing w:before="240" w:after="240" w:line="280" w:lineRule="auto"/>
              <w:rPr>
                <w:szCs w:val="24"/>
              </w:rPr>
            </w:pPr>
            <w:r w:rsidRPr="005C3B55">
              <w:rPr>
                <w:szCs w:val="24"/>
              </w:rPr>
              <w:t>Land cover is implemented in every other row spacing in an individual year.</w:t>
            </w:r>
          </w:p>
          <w:p w:rsidR="00F555D6" w:rsidRPr="005C3B55" w:rsidRDefault="00F555D6" w:rsidP="00F555D6">
            <w:pPr>
              <w:numPr>
                <w:ilvl w:val="0"/>
                <w:numId w:val="460"/>
              </w:numPr>
              <w:spacing w:before="240" w:after="0"/>
              <w:ind w:hanging="290"/>
              <w:jc w:val="left"/>
              <w:rPr>
                <w:szCs w:val="24"/>
              </w:rPr>
            </w:pPr>
            <w:r w:rsidRPr="005C3B55">
              <w:rPr>
                <w:szCs w:val="24"/>
              </w:rPr>
              <w:t>Livestock density: not relevant.</w:t>
            </w:r>
          </w:p>
          <w:p w:rsidR="00F555D6" w:rsidRPr="005C3B55" w:rsidRDefault="00F555D6" w:rsidP="00F555D6">
            <w:pPr>
              <w:numPr>
                <w:ilvl w:val="0"/>
                <w:numId w:val="460"/>
              </w:numPr>
              <w:spacing w:before="0" w:after="0"/>
              <w:ind w:hanging="290"/>
              <w:jc w:val="left"/>
              <w:rPr>
                <w:szCs w:val="24"/>
              </w:rPr>
            </w:pPr>
            <w:r w:rsidRPr="005C3B55">
              <w:rPr>
                <w:szCs w:val="24"/>
              </w:rPr>
              <w:t>Use: vineyards with an inclination up to 35 per cent and vineyards with an inclination above 35 per cent if they are terraced.</w:t>
            </w:r>
          </w:p>
          <w:p w:rsidR="00F555D6" w:rsidRPr="005C3B55" w:rsidRDefault="00F555D6" w:rsidP="00F555D6">
            <w:pPr>
              <w:numPr>
                <w:ilvl w:val="0"/>
                <w:numId w:val="460"/>
              </w:numPr>
              <w:spacing w:before="0" w:after="0"/>
              <w:ind w:hanging="290"/>
              <w:jc w:val="left"/>
              <w:rPr>
                <w:szCs w:val="24"/>
              </w:rPr>
            </w:pPr>
            <w:r w:rsidRPr="005C3B55">
              <w:rPr>
                <w:szCs w:val="24"/>
              </w:rPr>
              <w:t>Coverage: part of the area.</w:t>
            </w:r>
          </w:p>
          <w:p w:rsidR="00F555D6" w:rsidRPr="005C3B55" w:rsidRDefault="00F555D6" w:rsidP="00F555D6">
            <w:pPr>
              <w:numPr>
                <w:ilvl w:val="0"/>
                <w:numId w:val="460"/>
              </w:numPr>
              <w:spacing w:before="0" w:after="0"/>
              <w:ind w:hanging="290"/>
              <w:jc w:val="left"/>
              <w:rPr>
                <w:szCs w:val="24"/>
              </w:rPr>
            </w:pPr>
            <w:r w:rsidRPr="005C3B55">
              <w:rPr>
                <w:szCs w:val="24"/>
              </w:rPr>
              <w:t>Location: not relevant.</w:t>
            </w:r>
          </w:p>
          <w:p w:rsidR="00F555D6" w:rsidRPr="005C3B55" w:rsidRDefault="00F555D6" w:rsidP="00F555D6">
            <w:pPr>
              <w:numPr>
                <w:ilvl w:val="0"/>
                <w:numId w:val="460"/>
              </w:numPr>
              <w:spacing w:before="0" w:after="240"/>
              <w:ind w:hanging="290"/>
              <w:jc w:val="left"/>
              <w:rPr>
                <w:szCs w:val="24"/>
              </w:rPr>
            </w:pPr>
            <w:r w:rsidRPr="005C3B55">
              <w:rPr>
                <w:szCs w:val="24"/>
              </w:rPr>
              <w:t>Implementation area: Primorska winemaking region.</w:t>
            </w:r>
          </w:p>
          <w:p w:rsidR="00F555D6" w:rsidRPr="005C3B55" w:rsidRDefault="00F555D6" w:rsidP="00F555D6">
            <w:pPr>
              <w:spacing w:before="240" w:after="240" w:line="280" w:lineRule="auto"/>
              <w:rPr>
                <w:szCs w:val="24"/>
              </w:rPr>
            </w:pPr>
            <w:r w:rsidRPr="005C3B55">
              <w:rPr>
                <w:szCs w:val="24"/>
              </w:rPr>
              <w:t>Effects:</w:t>
            </w:r>
          </w:p>
          <w:p w:rsidR="00F555D6" w:rsidRPr="005C3B55" w:rsidRDefault="00F555D6" w:rsidP="00F555D6">
            <w:pPr>
              <w:numPr>
                <w:ilvl w:val="0"/>
                <w:numId w:val="461"/>
              </w:numPr>
              <w:spacing w:before="240" w:after="0"/>
              <w:ind w:hanging="290"/>
              <w:jc w:val="left"/>
              <w:rPr>
                <w:szCs w:val="24"/>
              </w:rPr>
            </w:pPr>
            <w:r w:rsidRPr="005C3B55">
              <w:rPr>
                <w:szCs w:val="24"/>
              </w:rPr>
              <w:t>enriching soil with organic matter and nutrients;</w:t>
            </w:r>
          </w:p>
          <w:p w:rsidR="00F555D6" w:rsidRPr="005C3B55" w:rsidRDefault="00F555D6" w:rsidP="00F555D6">
            <w:pPr>
              <w:numPr>
                <w:ilvl w:val="0"/>
                <w:numId w:val="461"/>
              </w:numPr>
              <w:spacing w:before="0" w:after="240"/>
              <w:ind w:hanging="290"/>
              <w:jc w:val="left"/>
              <w:rPr>
                <w:szCs w:val="24"/>
              </w:rPr>
            </w:pPr>
            <w:r w:rsidRPr="005C3B55">
              <w:rPr>
                <w:szCs w:val="24"/>
              </w:rPr>
              <w:t>improving the air and water regime in the soil.</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Type of support</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Support for the implementation of the operation Wine growing consists of:</w:t>
            </w:r>
          </w:p>
          <w:p w:rsidR="00F555D6" w:rsidRPr="005C3B55" w:rsidRDefault="00F555D6" w:rsidP="00F555D6">
            <w:pPr>
              <w:numPr>
                <w:ilvl w:val="0"/>
                <w:numId w:val="462"/>
              </w:numPr>
              <w:spacing w:before="240" w:after="240"/>
              <w:ind w:hanging="290"/>
              <w:jc w:val="left"/>
              <w:rPr>
                <w:szCs w:val="24"/>
              </w:rPr>
            </w:pPr>
            <w:r w:rsidRPr="005C3B55">
              <w:rPr>
                <w:szCs w:val="24"/>
              </w:rPr>
              <w:t>payments per hectare for the implementation of mandatory requirements and/or at least one optional requirement of the beneficiary’s own choice.</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Connection with other legislation</w:t>
      </w:r>
    </w:p>
    <w:p w:rsidR="00F555D6" w:rsidRPr="005C3B55" w:rsidRDefault="00F555D6" w:rsidP="00F555D6">
      <w:pPr>
        <w:pStyle w:val="Naslov6"/>
        <w:tabs>
          <w:tab w:val="clear" w:pos="765"/>
        </w:tabs>
        <w:spacing w:before="0" w:after="0"/>
        <w:ind w:left="0" w:firstLine="0"/>
        <w:rPr>
          <w:szCs w:val="24"/>
          <w:lang w:val="en-GB"/>
        </w:rPr>
      </w:pP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The operation Wine growing is connected with national and EU regulations in the field of measures of agricultural policy, agriculture, the environment, nature protection and rural development.</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Beneficiaries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Beneficiaries for payments are agricultural holdings which participate voluntarily in the implementation of the operation Wine growing and meet the prescribed conditions and requirements.</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Eligible costs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Payments are only intended for those commitments within the operation Wine growing which exceed suitable mandatory standards determined in accordance with Chapter I, Title VI of Regulation (EU) No 1306/2013, suitable criteria determined in the second indent of item c) of the first paragraph of Article 4 of Regulation (EU) No 1307/2013, and other suitable mandatory requirements from national regulations.</w:t>
            </w:r>
          </w:p>
          <w:p w:rsidR="00F555D6" w:rsidRPr="005C3B55" w:rsidRDefault="00F555D6" w:rsidP="00F555D6">
            <w:pPr>
              <w:spacing w:before="240" w:after="240" w:line="280" w:lineRule="auto"/>
              <w:rPr>
                <w:szCs w:val="24"/>
              </w:rPr>
            </w:pPr>
            <w:r w:rsidRPr="005C3B55">
              <w:rPr>
                <w:szCs w:val="24"/>
              </w:rPr>
              <w:t>Payments cover 60 per cent of the additional costs and the loss of revenue due to the assumed commitment.</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Conditions for eligibility</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When entering the M10 measure, an agricultural holding must:</w:t>
            </w:r>
          </w:p>
          <w:p w:rsidR="00F555D6" w:rsidRPr="005C3B55" w:rsidRDefault="00F555D6" w:rsidP="00F555D6">
            <w:pPr>
              <w:numPr>
                <w:ilvl w:val="0"/>
                <w:numId w:val="463"/>
              </w:numPr>
              <w:spacing w:before="240" w:after="0"/>
              <w:ind w:hanging="290"/>
              <w:jc w:val="left"/>
              <w:rPr>
                <w:szCs w:val="24"/>
              </w:rPr>
            </w:pPr>
            <w:r w:rsidRPr="005C3B55">
              <w:rPr>
                <w:szCs w:val="24"/>
              </w:rPr>
              <w:t>have at least 1 ha of agricultural land in use as per Article 4 of Regulation (EU) No 1307/2013;</w:t>
            </w:r>
          </w:p>
          <w:p w:rsidR="00F555D6" w:rsidRPr="005C3B55" w:rsidRDefault="00F555D6" w:rsidP="00F555D6">
            <w:pPr>
              <w:numPr>
                <w:ilvl w:val="0"/>
                <w:numId w:val="463"/>
              </w:numPr>
              <w:spacing w:before="0" w:after="0"/>
              <w:ind w:hanging="290"/>
              <w:jc w:val="left"/>
              <w:rPr>
                <w:szCs w:val="24"/>
              </w:rPr>
            </w:pPr>
            <w:r w:rsidRPr="005C3B55">
              <w:rPr>
                <w:szCs w:val="24"/>
              </w:rPr>
              <w:t>be entered in the register of agricultural holdings in accordance with the regulation on the register of agricultural holdings;</w:t>
            </w:r>
          </w:p>
          <w:p w:rsidR="00F555D6" w:rsidRPr="005C3B55" w:rsidRDefault="00F555D6" w:rsidP="00F555D6">
            <w:pPr>
              <w:numPr>
                <w:ilvl w:val="0"/>
                <w:numId w:val="463"/>
              </w:numPr>
              <w:spacing w:before="0" w:after="0"/>
              <w:ind w:hanging="290"/>
              <w:jc w:val="left"/>
              <w:rPr>
                <w:szCs w:val="24"/>
              </w:rPr>
            </w:pPr>
            <w:r w:rsidRPr="005C3B55">
              <w:rPr>
                <w:szCs w:val="24"/>
              </w:rPr>
              <w:t>undergo a six-hour training programme on agri-environment-climate content;</w:t>
            </w:r>
          </w:p>
          <w:p w:rsidR="00F555D6" w:rsidRPr="005C3B55" w:rsidRDefault="00F555D6" w:rsidP="00F555D6">
            <w:pPr>
              <w:numPr>
                <w:ilvl w:val="0"/>
                <w:numId w:val="463"/>
              </w:numPr>
              <w:spacing w:before="0" w:after="240"/>
              <w:ind w:hanging="290"/>
              <w:jc w:val="left"/>
              <w:rPr>
                <w:szCs w:val="24"/>
              </w:rPr>
            </w:pPr>
            <w:r w:rsidRPr="005C3B55">
              <w:rPr>
                <w:szCs w:val="24"/>
              </w:rPr>
              <w:t>prepare an activities programme of the agricultural holding which is an electronic document prepared as a result of advisory services.</w:t>
            </w:r>
          </w:p>
          <w:p w:rsidR="00F555D6" w:rsidRPr="005C3B55" w:rsidRDefault="00F555D6" w:rsidP="00F555D6">
            <w:pPr>
              <w:spacing w:before="240" w:after="240" w:line="280" w:lineRule="auto"/>
              <w:rPr>
                <w:szCs w:val="24"/>
              </w:rPr>
            </w:pPr>
            <w:r w:rsidRPr="005C3B55">
              <w:rPr>
                <w:szCs w:val="24"/>
              </w:rPr>
              <w:t> </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Principles regarding the determination of selection criteria</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The selection criteria are not relevant.</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(Valid) amounts and support rates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The amount of payments for requirements within the operation Wine growing amounts to 60 per cent of the amount of payments calculated as per model calculation.</w:t>
            </w:r>
          </w:p>
          <w:p w:rsidR="00F555D6" w:rsidRPr="005C3B55" w:rsidRDefault="00F555D6" w:rsidP="00F555D6">
            <w:pPr>
              <w:pStyle w:val="Telobesedila"/>
              <w:rPr>
                <w:szCs w:val="24"/>
              </w:rPr>
            </w:pPr>
          </w:p>
          <w:p w:rsidR="00F555D6" w:rsidRPr="005C3B55" w:rsidRDefault="0012246E" w:rsidP="00F555D6">
            <w:pPr>
              <w:pStyle w:val="Telobesedila3"/>
              <w:jc w:val="left"/>
              <w:rPr>
                <w:szCs w:val="24"/>
              </w:rPr>
            </w:pPr>
            <w:r w:rsidRPr="005C3B55">
              <w:rPr>
                <w:noProof/>
                <w:szCs w:val="24"/>
                <w:lang w:val="sl-SI"/>
              </w:rPr>
              <w:drawing>
                <wp:inline distT="0" distB="0" distL="0" distR="0">
                  <wp:extent cx="6562725" cy="4105275"/>
                  <wp:effectExtent l="0" t="0" r="9525" b="9525"/>
                  <wp:docPr id="1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62725" cy="4105275"/>
                          </a:xfrm>
                          <a:prstGeom prst="rect">
                            <a:avLst/>
                          </a:prstGeom>
                          <a:noFill/>
                          <a:ln>
                            <a:noFill/>
                          </a:ln>
                        </pic:spPr>
                      </pic:pic>
                    </a:graphicData>
                  </a:graphic>
                </wp:inline>
              </w:drawing>
            </w:r>
          </w:p>
          <w:p w:rsidR="00F555D6" w:rsidRPr="005C3B55" w:rsidRDefault="00F555D6" w:rsidP="00F555D6">
            <w:pPr>
              <w:pStyle w:val="Noga"/>
              <w:jc w:val="center"/>
              <w:rPr>
                <w:szCs w:val="24"/>
              </w:rPr>
            </w:pPr>
            <w:r w:rsidRPr="005C3B55">
              <w:rPr>
                <w:szCs w:val="24"/>
              </w:rPr>
              <w:t>Operation Wine rowing: amount of payments for individual requirements</w:t>
            </w:r>
          </w:p>
          <w:p w:rsidR="00F555D6" w:rsidRPr="005C3B55" w:rsidRDefault="00F555D6" w:rsidP="00F555D6">
            <w:pPr>
              <w:pStyle w:val="Noga"/>
              <w:jc w:val="center"/>
              <w:rPr>
                <w:szCs w:val="24"/>
              </w:rPr>
            </w:pPr>
          </w:p>
        </w:tc>
      </w:tr>
    </w:tbl>
    <w:p w:rsidR="00F555D6" w:rsidRPr="005C3B55" w:rsidRDefault="00F555D6" w:rsidP="00F555D6">
      <w:pPr>
        <w:pStyle w:val="Naslov6"/>
        <w:numPr>
          <w:ilvl w:val="0"/>
          <w:numId w:val="0"/>
        </w:numPr>
        <w:rPr>
          <w:szCs w:val="24"/>
          <w:lang w:val="en-GB"/>
        </w:rPr>
      </w:pPr>
    </w:p>
    <w:p w:rsidR="00F555D6" w:rsidRPr="005C3B55" w:rsidRDefault="00F555D6" w:rsidP="00F555D6">
      <w:r w:rsidRPr="005C3B55">
        <w:t>Amount of payments (EUR/ha annually) for requirements within the operation ‘Wine growing’</w:t>
      </w:r>
    </w:p>
    <w:tbl>
      <w:tblPr>
        <w:tblW w:w="5000" w:type="pct"/>
        <w:tblInd w:w="108"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3321"/>
        <w:gridCol w:w="1839"/>
        <w:gridCol w:w="2010"/>
        <w:gridCol w:w="1338"/>
        <w:gridCol w:w="2148"/>
      </w:tblGrid>
      <w:tr w:rsidR="00F555D6" w:rsidRPr="005C3B55">
        <w:tc>
          <w:tcPr>
            <w:tcW w:w="1558" w:type="pct"/>
            <w:tcBorders>
              <w:top w:val="single" w:sz="18" w:space="0" w:color="auto"/>
              <w:left w:val="single" w:sz="18" w:space="0" w:color="auto"/>
              <w:bottom w:val="single" w:sz="18" w:space="0" w:color="auto"/>
              <w:right w:val="single" w:sz="18" w:space="0" w:color="auto"/>
            </w:tcBorders>
            <w:shd w:val="clear" w:color="auto" w:fill="D9D9D9"/>
            <w:vAlign w:val="center"/>
          </w:tcPr>
          <w:p w:rsidR="00F555D6" w:rsidRPr="005C3B55" w:rsidRDefault="00F555D6" w:rsidP="00F555D6">
            <w:r w:rsidRPr="005C3B55">
              <w:rPr>
                <w:b/>
                <w:sz w:val="20"/>
              </w:rPr>
              <w:t>Requirement</w:t>
            </w:r>
          </w:p>
        </w:tc>
        <w:tc>
          <w:tcPr>
            <w:tcW w:w="863" w:type="pct"/>
            <w:tcBorders>
              <w:top w:val="single" w:sz="18" w:space="0" w:color="auto"/>
              <w:left w:val="single" w:sz="18" w:space="0" w:color="auto"/>
              <w:bottom w:val="single" w:sz="18" w:space="0" w:color="auto"/>
              <w:right w:val="single" w:sz="18" w:space="0" w:color="auto"/>
            </w:tcBorders>
            <w:shd w:val="clear" w:color="auto" w:fill="D9D9D9"/>
            <w:vAlign w:val="center"/>
          </w:tcPr>
          <w:p w:rsidR="00F555D6" w:rsidRPr="005C3B55" w:rsidRDefault="00F555D6" w:rsidP="00F555D6">
            <w:pPr>
              <w:autoSpaceDE w:val="0"/>
              <w:autoSpaceDN w:val="0"/>
              <w:adjustRightInd w:val="0"/>
              <w:jc w:val="right"/>
            </w:pPr>
            <w:r w:rsidRPr="005C3B55">
              <w:rPr>
                <w:b/>
                <w:sz w:val="20"/>
              </w:rPr>
              <w:t>Calculated payment amount as per model calculation</w:t>
            </w:r>
          </w:p>
        </w:tc>
        <w:tc>
          <w:tcPr>
            <w:tcW w:w="943" w:type="pct"/>
            <w:tcBorders>
              <w:top w:val="single" w:sz="18" w:space="0" w:color="auto"/>
              <w:left w:val="single" w:sz="18" w:space="0" w:color="auto"/>
              <w:bottom w:val="single" w:sz="18" w:space="0" w:color="auto"/>
              <w:right w:val="single" w:sz="18" w:space="0" w:color="auto"/>
            </w:tcBorders>
            <w:shd w:val="clear" w:color="auto" w:fill="D9D9D9"/>
            <w:vAlign w:val="center"/>
          </w:tcPr>
          <w:p w:rsidR="00F555D6" w:rsidRPr="005C3B55" w:rsidRDefault="00F555D6" w:rsidP="00F555D6">
            <w:pPr>
              <w:autoSpaceDE w:val="0"/>
              <w:autoSpaceDN w:val="0"/>
              <w:adjustRightInd w:val="0"/>
              <w:jc w:val="right"/>
            </w:pPr>
            <w:r w:rsidRPr="005C3B55">
              <w:rPr>
                <w:b/>
                <w:sz w:val="20"/>
              </w:rPr>
              <w:t>Highest possible payment as per Annex II to Regulation (EU) No 1305/2013</w:t>
            </w:r>
          </w:p>
        </w:tc>
        <w:tc>
          <w:tcPr>
            <w:tcW w:w="628" w:type="pct"/>
            <w:tcBorders>
              <w:top w:val="single" w:sz="18" w:space="0" w:color="auto"/>
              <w:left w:val="single" w:sz="18" w:space="0" w:color="auto"/>
              <w:bottom w:val="single" w:sz="18" w:space="0" w:color="auto"/>
              <w:right w:val="single" w:sz="18" w:space="0" w:color="auto"/>
            </w:tcBorders>
            <w:shd w:val="clear" w:color="auto" w:fill="D9D9D9"/>
            <w:vAlign w:val="center"/>
          </w:tcPr>
          <w:p w:rsidR="00F555D6" w:rsidRPr="005C3B55" w:rsidRDefault="00F555D6" w:rsidP="00F555D6">
            <w:pPr>
              <w:autoSpaceDE w:val="0"/>
              <w:autoSpaceDN w:val="0"/>
              <w:adjustRightInd w:val="0"/>
              <w:jc w:val="right"/>
            </w:pPr>
            <w:r w:rsidRPr="005C3B55">
              <w:rPr>
                <w:b/>
                <w:sz w:val="20"/>
              </w:rPr>
              <w:t>Highest possible amount</w:t>
            </w:r>
          </w:p>
        </w:tc>
        <w:tc>
          <w:tcPr>
            <w:tcW w:w="1008" w:type="pct"/>
            <w:tcBorders>
              <w:top w:val="single" w:sz="18" w:space="0" w:color="auto"/>
              <w:left w:val="single" w:sz="18" w:space="0" w:color="auto"/>
              <w:bottom w:val="single" w:sz="18" w:space="0" w:color="auto"/>
              <w:right w:val="single" w:sz="18" w:space="0" w:color="auto"/>
            </w:tcBorders>
            <w:shd w:val="clear" w:color="auto" w:fill="D9D9D9"/>
            <w:vAlign w:val="center"/>
          </w:tcPr>
          <w:p w:rsidR="00F555D6" w:rsidRPr="005C3B55" w:rsidRDefault="00F555D6" w:rsidP="00F555D6">
            <w:pPr>
              <w:jc w:val="right"/>
            </w:pPr>
            <w:r w:rsidRPr="005C3B55">
              <w:rPr>
                <w:b/>
                <w:sz w:val="20"/>
              </w:rPr>
              <w:t>Payment (60% of payment amount calculated as per model calculation)</w:t>
            </w:r>
          </w:p>
        </w:tc>
      </w:tr>
      <w:tr w:rsidR="00F555D6" w:rsidRPr="005C3B55">
        <w:tc>
          <w:tcPr>
            <w:tcW w:w="5000" w:type="pct"/>
            <w:gridSpan w:val="5"/>
            <w:tcBorders>
              <w:top w:val="single" w:sz="18" w:space="0" w:color="auto"/>
              <w:left w:val="single" w:sz="18" w:space="0" w:color="auto"/>
              <w:bottom w:val="single" w:sz="18" w:space="0" w:color="auto"/>
              <w:right w:val="single" w:sz="18" w:space="0" w:color="auto"/>
            </w:tcBorders>
            <w:shd w:val="clear" w:color="auto" w:fill="E0E0E0"/>
            <w:vAlign w:val="center"/>
          </w:tcPr>
          <w:p w:rsidR="00F555D6" w:rsidRPr="005C3B55" w:rsidRDefault="00F555D6" w:rsidP="00F555D6">
            <w:r w:rsidRPr="005C3B55">
              <w:rPr>
                <w:b/>
                <w:noProof/>
                <w:sz w:val="20"/>
              </w:rPr>
              <w:t>A.</w:t>
            </w:r>
            <w:r w:rsidRPr="005C3B55">
              <w:rPr>
                <w:b/>
                <w:sz w:val="20"/>
              </w:rPr>
              <w:t xml:space="preserve"> Mandatory requirements</w:t>
            </w:r>
          </w:p>
        </w:tc>
      </w:tr>
      <w:tr w:rsidR="00F555D6" w:rsidRPr="005C3B55">
        <w:tc>
          <w:tcPr>
            <w:tcW w:w="1558"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rPr>
                <w:sz w:val="20"/>
              </w:rPr>
            </w:pPr>
            <w:r w:rsidRPr="005C3B55">
              <w:rPr>
                <w:noProof/>
                <w:sz w:val="20"/>
              </w:rPr>
              <w:t>VIN_VABE</w:t>
            </w:r>
          </w:p>
        </w:tc>
        <w:tc>
          <w:tcPr>
            <w:tcW w:w="863"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p>
        </w:tc>
        <w:tc>
          <w:tcPr>
            <w:tcW w:w="943"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p>
        </w:tc>
        <w:tc>
          <w:tcPr>
            <w:tcW w:w="628"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p>
        </w:tc>
        <w:tc>
          <w:tcPr>
            <w:tcW w:w="1008"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p>
        </w:tc>
      </w:tr>
      <w:tr w:rsidR="00F555D6" w:rsidRPr="005C3B55">
        <w:tc>
          <w:tcPr>
            <w:tcW w:w="1558"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numPr>
                <w:ilvl w:val="0"/>
                <w:numId w:val="887"/>
              </w:numPr>
              <w:spacing w:before="0" w:after="0"/>
              <w:jc w:val="left"/>
            </w:pPr>
            <w:r w:rsidRPr="005C3B55">
              <w:rPr>
                <w:sz w:val="20"/>
              </w:rPr>
              <w:t>vineyard gradient below 35%</w:t>
            </w:r>
          </w:p>
        </w:tc>
        <w:tc>
          <w:tcPr>
            <w:tcW w:w="863"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238.40</w:t>
            </w:r>
          </w:p>
        </w:tc>
        <w:tc>
          <w:tcPr>
            <w:tcW w:w="943"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900</w:t>
            </w:r>
          </w:p>
        </w:tc>
        <w:tc>
          <w:tcPr>
            <w:tcW w:w="628"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238.40</w:t>
            </w:r>
          </w:p>
        </w:tc>
        <w:tc>
          <w:tcPr>
            <w:tcW w:w="1008"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143.04</w:t>
            </w:r>
          </w:p>
        </w:tc>
      </w:tr>
      <w:tr w:rsidR="00F555D6" w:rsidRPr="005C3B55">
        <w:tc>
          <w:tcPr>
            <w:tcW w:w="1558"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numPr>
                <w:ilvl w:val="0"/>
                <w:numId w:val="887"/>
              </w:numPr>
              <w:spacing w:before="0" w:after="0"/>
              <w:jc w:val="left"/>
            </w:pPr>
            <w:r w:rsidRPr="005C3B55">
              <w:rPr>
                <w:sz w:val="20"/>
              </w:rPr>
              <w:t>vineyard gradient above 35%</w:t>
            </w:r>
          </w:p>
        </w:tc>
        <w:tc>
          <w:tcPr>
            <w:tcW w:w="863"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313.50</w:t>
            </w:r>
          </w:p>
        </w:tc>
        <w:tc>
          <w:tcPr>
            <w:tcW w:w="943"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900</w:t>
            </w:r>
          </w:p>
        </w:tc>
        <w:tc>
          <w:tcPr>
            <w:tcW w:w="628"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313.50</w:t>
            </w:r>
          </w:p>
        </w:tc>
        <w:tc>
          <w:tcPr>
            <w:tcW w:w="1008"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188.10</w:t>
            </w:r>
          </w:p>
        </w:tc>
      </w:tr>
      <w:tr w:rsidR="00F555D6" w:rsidRPr="005C3B55">
        <w:tc>
          <w:tcPr>
            <w:tcW w:w="1558"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rPr>
                <w:sz w:val="20"/>
              </w:rPr>
            </w:pPr>
            <w:r w:rsidRPr="005C3B55">
              <w:rPr>
                <w:noProof/>
                <w:sz w:val="20"/>
              </w:rPr>
              <w:t>VIN_EKGN</w:t>
            </w:r>
          </w:p>
        </w:tc>
        <w:tc>
          <w:tcPr>
            <w:tcW w:w="863"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p>
        </w:tc>
        <w:tc>
          <w:tcPr>
            <w:tcW w:w="943"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p>
        </w:tc>
        <w:tc>
          <w:tcPr>
            <w:tcW w:w="628"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p>
        </w:tc>
        <w:tc>
          <w:tcPr>
            <w:tcW w:w="1008"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p>
        </w:tc>
      </w:tr>
      <w:tr w:rsidR="00F555D6" w:rsidRPr="005C3B55">
        <w:tc>
          <w:tcPr>
            <w:tcW w:w="1558"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numPr>
                <w:ilvl w:val="0"/>
                <w:numId w:val="887"/>
              </w:numPr>
              <w:spacing w:before="0" w:after="0"/>
              <w:jc w:val="left"/>
            </w:pPr>
            <w:r w:rsidRPr="005C3B55">
              <w:rPr>
                <w:sz w:val="20"/>
              </w:rPr>
              <w:t>vineyard gradient below 35%</w:t>
            </w:r>
          </w:p>
        </w:tc>
        <w:tc>
          <w:tcPr>
            <w:tcW w:w="863"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128.00</w:t>
            </w:r>
          </w:p>
        </w:tc>
        <w:tc>
          <w:tcPr>
            <w:tcW w:w="943"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900</w:t>
            </w:r>
          </w:p>
        </w:tc>
        <w:tc>
          <w:tcPr>
            <w:tcW w:w="628"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128.00</w:t>
            </w:r>
          </w:p>
        </w:tc>
        <w:tc>
          <w:tcPr>
            <w:tcW w:w="1008"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76.80</w:t>
            </w:r>
          </w:p>
        </w:tc>
      </w:tr>
      <w:tr w:rsidR="00F555D6" w:rsidRPr="005C3B55">
        <w:tc>
          <w:tcPr>
            <w:tcW w:w="1558"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numPr>
                <w:ilvl w:val="0"/>
                <w:numId w:val="887"/>
              </w:numPr>
              <w:spacing w:before="0" w:after="0"/>
              <w:jc w:val="left"/>
            </w:pPr>
            <w:r w:rsidRPr="005C3B55">
              <w:rPr>
                <w:sz w:val="20"/>
              </w:rPr>
              <w:t>vineyard gradient above 35%</w:t>
            </w:r>
          </w:p>
        </w:tc>
        <w:tc>
          <w:tcPr>
            <w:tcW w:w="863"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161.60</w:t>
            </w:r>
          </w:p>
        </w:tc>
        <w:tc>
          <w:tcPr>
            <w:tcW w:w="943"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900</w:t>
            </w:r>
          </w:p>
        </w:tc>
        <w:tc>
          <w:tcPr>
            <w:tcW w:w="628"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161.60</w:t>
            </w:r>
          </w:p>
        </w:tc>
        <w:tc>
          <w:tcPr>
            <w:tcW w:w="1008"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96.96</w:t>
            </w:r>
          </w:p>
        </w:tc>
      </w:tr>
      <w:tr w:rsidR="00F555D6" w:rsidRPr="005C3B55">
        <w:tc>
          <w:tcPr>
            <w:tcW w:w="5000" w:type="pct"/>
            <w:gridSpan w:val="5"/>
            <w:tcBorders>
              <w:top w:val="single" w:sz="18" w:space="0" w:color="auto"/>
              <w:left w:val="single" w:sz="18" w:space="0" w:color="auto"/>
              <w:bottom w:val="single" w:sz="18" w:space="0" w:color="auto"/>
              <w:right w:val="single" w:sz="18" w:space="0" w:color="auto"/>
            </w:tcBorders>
            <w:shd w:val="clear" w:color="auto" w:fill="E0E0E0"/>
            <w:vAlign w:val="center"/>
          </w:tcPr>
          <w:p w:rsidR="00F555D6" w:rsidRPr="005C3B55" w:rsidRDefault="00F555D6" w:rsidP="00F555D6">
            <w:r w:rsidRPr="005C3B55">
              <w:rPr>
                <w:b/>
                <w:noProof/>
                <w:sz w:val="20"/>
              </w:rPr>
              <w:t>B.</w:t>
            </w:r>
            <w:r w:rsidRPr="005C3B55">
              <w:rPr>
                <w:b/>
                <w:sz w:val="20"/>
              </w:rPr>
              <w:t xml:space="preserve"> Optional requirements</w:t>
            </w:r>
          </w:p>
        </w:tc>
      </w:tr>
      <w:tr w:rsidR="00F555D6" w:rsidRPr="005C3B55">
        <w:tc>
          <w:tcPr>
            <w:tcW w:w="1558"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rPr>
                <w:sz w:val="20"/>
              </w:rPr>
            </w:pPr>
            <w:r w:rsidRPr="005C3B55">
              <w:rPr>
                <w:noProof/>
                <w:sz w:val="20"/>
              </w:rPr>
              <w:t>VIN_KONF</w:t>
            </w:r>
          </w:p>
        </w:tc>
        <w:tc>
          <w:tcPr>
            <w:tcW w:w="863"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p>
        </w:tc>
        <w:tc>
          <w:tcPr>
            <w:tcW w:w="943"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p>
        </w:tc>
        <w:tc>
          <w:tcPr>
            <w:tcW w:w="628"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p>
        </w:tc>
        <w:tc>
          <w:tcPr>
            <w:tcW w:w="1008"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p>
        </w:tc>
      </w:tr>
      <w:tr w:rsidR="00F555D6" w:rsidRPr="005C3B55">
        <w:tc>
          <w:tcPr>
            <w:tcW w:w="1558"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numPr>
                <w:ilvl w:val="0"/>
                <w:numId w:val="887"/>
              </w:numPr>
              <w:spacing w:before="0" w:after="0"/>
              <w:jc w:val="left"/>
            </w:pPr>
            <w:r w:rsidRPr="005C3B55">
              <w:rPr>
                <w:sz w:val="20"/>
              </w:rPr>
              <w:t>vineyard gradient below 35%</w:t>
            </w:r>
          </w:p>
        </w:tc>
        <w:tc>
          <w:tcPr>
            <w:tcW w:w="863"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300.50</w:t>
            </w:r>
          </w:p>
        </w:tc>
        <w:tc>
          <w:tcPr>
            <w:tcW w:w="943"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900</w:t>
            </w:r>
          </w:p>
        </w:tc>
        <w:tc>
          <w:tcPr>
            <w:tcW w:w="628"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300.50</w:t>
            </w:r>
          </w:p>
        </w:tc>
        <w:tc>
          <w:tcPr>
            <w:tcW w:w="1008"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180.30</w:t>
            </w:r>
          </w:p>
        </w:tc>
      </w:tr>
      <w:tr w:rsidR="00F555D6" w:rsidRPr="005C3B55">
        <w:tc>
          <w:tcPr>
            <w:tcW w:w="1558"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rPr>
                <w:sz w:val="20"/>
              </w:rPr>
            </w:pPr>
            <w:r w:rsidRPr="005C3B55">
              <w:rPr>
                <w:noProof/>
                <w:sz w:val="20"/>
              </w:rPr>
              <w:t>VIN_MEHZ</w:t>
            </w:r>
          </w:p>
        </w:tc>
        <w:tc>
          <w:tcPr>
            <w:tcW w:w="863"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p>
        </w:tc>
        <w:tc>
          <w:tcPr>
            <w:tcW w:w="943"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p>
        </w:tc>
        <w:tc>
          <w:tcPr>
            <w:tcW w:w="628"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p>
        </w:tc>
        <w:tc>
          <w:tcPr>
            <w:tcW w:w="1008"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p>
        </w:tc>
      </w:tr>
      <w:tr w:rsidR="00F555D6" w:rsidRPr="005C3B55">
        <w:tc>
          <w:tcPr>
            <w:tcW w:w="1558"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numPr>
                <w:ilvl w:val="0"/>
                <w:numId w:val="887"/>
              </w:numPr>
              <w:spacing w:before="0" w:after="0"/>
              <w:jc w:val="left"/>
            </w:pPr>
            <w:r w:rsidRPr="005C3B55">
              <w:rPr>
                <w:sz w:val="20"/>
              </w:rPr>
              <w:t>vineyard gradient below 35%</w:t>
            </w:r>
          </w:p>
        </w:tc>
        <w:tc>
          <w:tcPr>
            <w:tcW w:w="863"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272.40</w:t>
            </w:r>
          </w:p>
        </w:tc>
        <w:tc>
          <w:tcPr>
            <w:tcW w:w="943"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900</w:t>
            </w:r>
          </w:p>
        </w:tc>
        <w:tc>
          <w:tcPr>
            <w:tcW w:w="628"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272.40</w:t>
            </w:r>
          </w:p>
        </w:tc>
        <w:tc>
          <w:tcPr>
            <w:tcW w:w="1008"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163.44</w:t>
            </w:r>
          </w:p>
        </w:tc>
      </w:tr>
      <w:tr w:rsidR="00F555D6" w:rsidRPr="005C3B55">
        <w:tc>
          <w:tcPr>
            <w:tcW w:w="1558"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numPr>
                <w:ilvl w:val="0"/>
                <w:numId w:val="887"/>
              </w:numPr>
              <w:spacing w:before="0" w:after="0"/>
              <w:jc w:val="left"/>
            </w:pPr>
            <w:r w:rsidRPr="005C3B55">
              <w:rPr>
                <w:sz w:val="20"/>
              </w:rPr>
              <w:t>vineyard gradient above 35%</w:t>
            </w:r>
          </w:p>
        </w:tc>
        <w:tc>
          <w:tcPr>
            <w:tcW w:w="863"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378.50</w:t>
            </w:r>
          </w:p>
        </w:tc>
        <w:tc>
          <w:tcPr>
            <w:tcW w:w="943"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900</w:t>
            </w:r>
          </w:p>
        </w:tc>
        <w:tc>
          <w:tcPr>
            <w:tcW w:w="628"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378.50</w:t>
            </w:r>
          </w:p>
        </w:tc>
        <w:tc>
          <w:tcPr>
            <w:tcW w:w="1008"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227.10</w:t>
            </w:r>
          </w:p>
        </w:tc>
      </w:tr>
      <w:tr w:rsidR="00F555D6" w:rsidRPr="005C3B55">
        <w:tc>
          <w:tcPr>
            <w:tcW w:w="1558"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rPr>
                <w:sz w:val="20"/>
              </w:rPr>
            </w:pPr>
            <w:r w:rsidRPr="005C3B55">
              <w:rPr>
                <w:noProof/>
                <w:sz w:val="20"/>
              </w:rPr>
              <w:t>VIN_POKT</w:t>
            </w:r>
          </w:p>
        </w:tc>
        <w:tc>
          <w:tcPr>
            <w:tcW w:w="863"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p>
        </w:tc>
        <w:tc>
          <w:tcPr>
            <w:tcW w:w="943"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p>
        </w:tc>
        <w:tc>
          <w:tcPr>
            <w:tcW w:w="628"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p>
        </w:tc>
        <w:tc>
          <w:tcPr>
            <w:tcW w:w="1008"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p>
        </w:tc>
      </w:tr>
      <w:tr w:rsidR="00F555D6" w:rsidRPr="005C3B55">
        <w:tc>
          <w:tcPr>
            <w:tcW w:w="1558"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numPr>
                <w:ilvl w:val="0"/>
                <w:numId w:val="887"/>
              </w:numPr>
              <w:spacing w:before="0" w:after="0"/>
              <w:jc w:val="left"/>
            </w:pPr>
            <w:r w:rsidRPr="005C3B55">
              <w:rPr>
                <w:sz w:val="20"/>
              </w:rPr>
              <w:t>vineyard gradient below 35%</w:t>
            </w:r>
          </w:p>
        </w:tc>
        <w:tc>
          <w:tcPr>
            <w:tcW w:w="863"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175.50</w:t>
            </w:r>
          </w:p>
        </w:tc>
        <w:tc>
          <w:tcPr>
            <w:tcW w:w="943"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900</w:t>
            </w:r>
          </w:p>
        </w:tc>
        <w:tc>
          <w:tcPr>
            <w:tcW w:w="628"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175.50</w:t>
            </w:r>
          </w:p>
        </w:tc>
        <w:tc>
          <w:tcPr>
            <w:tcW w:w="1008"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105.42</w:t>
            </w:r>
          </w:p>
        </w:tc>
      </w:tr>
      <w:tr w:rsidR="00F555D6" w:rsidRPr="005C3B55">
        <w:tc>
          <w:tcPr>
            <w:tcW w:w="1558"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numPr>
                <w:ilvl w:val="0"/>
                <w:numId w:val="887"/>
              </w:numPr>
              <w:spacing w:before="0" w:after="0"/>
              <w:jc w:val="left"/>
            </w:pPr>
            <w:r w:rsidRPr="005C3B55">
              <w:rPr>
                <w:sz w:val="20"/>
              </w:rPr>
              <w:t>vineyard gradient above 35% (if in terraces)</w:t>
            </w:r>
          </w:p>
        </w:tc>
        <w:tc>
          <w:tcPr>
            <w:tcW w:w="863"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285.20</w:t>
            </w:r>
          </w:p>
        </w:tc>
        <w:tc>
          <w:tcPr>
            <w:tcW w:w="943"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900</w:t>
            </w:r>
          </w:p>
        </w:tc>
        <w:tc>
          <w:tcPr>
            <w:tcW w:w="628"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285.20</w:t>
            </w:r>
          </w:p>
        </w:tc>
        <w:tc>
          <w:tcPr>
            <w:tcW w:w="1008"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171.12</w:t>
            </w:r>
          </w:p>
        </w:tc>
      </w:tr>
      <w:tr w:rsidR="00F555D6" w:rsidRPr="005C3B55">
        <w:tc>
          <w:tcPr>
            <w:tcW w:w="1558"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spacing w:after="0"/>
              <w:rPr>
                <w:sz w:val="20"/>
              </w:rPr>
            </w:pPr>
            <w:r w:rsidRPr="005C3B55">
              <w:rPr>
                <w:sz w:val="20"/>
              </w:rPr>
              <w:t>VIN_MEDV</w:t>
            </w:r>
          </w:p>
        </w:tc>
        <w:tc>
          <w:tcPr>
            <w:tcW w:w="863"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p>
        </w:tc>
        <w:tc>
          <w:tcPr>
            <w:tcW w:w="943"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p>
        </w:tc>
        <w:tc>
          <w:tcPr>
            <w:tcW w:w="628"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p>
        </w:tc>
        <w:tc>
          <w:tcPr>
            <w:tcW w:w="1008"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p>
        </w:tc>
      </w:tr>
      <w:tr w:rsidR="00F555D6" w:rsidRPr="005C3B55">
        <w:tc>
          <w:tcPr>
            <w:tcW w:w="1558"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numPr>
                <w:ilvl w:val="0"/>
                <w:numId w:val="887"/>
              </w:numPr>
              <w:spacing w:before="0" w:after="0"/>
              <w:jc w:val="left"/>
            </w:pPr>
            <w:r w:rsidRPr="005C3B55">
              <w:rPr>
                <w:sz w:val="20"/>
              </w:rPr>
              <w:t>vineyard gradient below 35%</w:t>
            </w:r>
          </w:p>
        </w:tc>
        <w:tc>
          <w:tcPr>
            <w:tcW w:w="863"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175.50</w:t>
            </w:r>
          </w:p>
        </w:tc>
        <w:tc>
          <w:tcPr>
            <w:tcW w:w="943"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p>
        </w:tc>
        <w:tc>
          <w:tcPr>
            <w:tcW w:w="628"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175.50</w:t>
            </w:r>
          </w:p>
        </w:tc>
        <w:tc>
          <w:tcPr>
            <w:tcW w:w="1008"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105.42</w:t>
            </w:r>
          </w:p>
        </w:tc>
      </w:tr>
      <w:tr w:rsidR="00F555D6" w:rsidRPr="005C3B55">
        <w:tc>
          <w:tcPr>
            <w:tcW w:w="1558"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numPr>
                <w:ilvl w:val="0"/>
                <w:numId w:val="887"/>
              </w:numPr>
              <w:spacing w:before="0" w:after="0"/>
              <w:jc w:val="left"/>
            </w:pPr>
            <w:r w:rsidRPr="005C3B55">
              <w:rPr>
                <w:sz w:val="20"/>
              </w:rPr>
              <w:t>vineyard gradient above 35% (if in terraces)</w:t>
            </w:r>
          </w:p>
        </w:tc>
        <w:tc>
          <w:tcPr>
            <w:tcW w:w="863"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285.20</w:t>
            </w:r>
          </w:p>
        </w:tc>
        <w:tc>
          <w:tcPr>
            <w:tcW w:w="943"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p>
        </w:tc>
        <w:tc>
          <w:tcPr>
            <w:tcW w:w="628"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285.20</w:t>
            </w:r>
          </w:p>
        </w:tc>
        <w:tc>
          <w:tcPr>
            <w:tcW w:w="1008"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171.12</w:t>
            </w:r>
          </w:p>
        </w:tc>
      </w:tr>
    </w:tbl>
    <w:p w:rsidR="00F555D6" w:rsidRPr="005C3B55" w:rsidRDefault="00F555D6" w:rsidP="00F555D6"/>
    <w:p w:rsidR="00F555D6" w:rsidRPr="005C3B55" w:rsidRDefault="00F555D6" w:rsidP="00F555D6">
      <w:pPr>
        <w:pStyle w:val="Naslov6"/>
        <w:tabs>
          <w:tab w:val="clear" w:pos="765"/>
        </w:tabs>
        <w:ind w:left="0" w:firstLine="0"/>
        <w:rPr>
          <w:szCs w:val="24"/>
          <w:lang w:val="en-GB"/>
        </w:rPr>
      </w:pPr>
      <w:r w:rsidRPr="005C3B55">
        <w:rPr>
          <w:noProof w:val="0"/>
          <w:szCs w:val="24"/>
          <w:lang w:val="en-GB"/>
        </w:rPr>
        <w:t>Verifiability and possibility of control of measures and/or type of operations</w:t>
      </w:r>
    </w:p>
    <w:p w:rsidR="00F555D6" w:rsidRPr="005C3B55" w:rsidRDefault="00F555D6" w:rsidP="00F555D6">
      <w:pPr>
        <w:pStyle w:val="Naslov7"/>
        <w:tabs>
          <w:tab w:val="clear" w:pos="765"/>
        </w:tabs>
        <w:ind w:left="0" w:firstLine="0"/>
        <w:rPr>
          <w:szCs w:val="24"/>
          <w:lang w:val="en-GB"/>
        </w:rPr>
      </w:pPr>
      <w:r w:rsidRPr="005C3B55">
        <w:rPr>
          <w:noProof w:val="0"/>
          <w:szCs w:val="24"/>
          <w:lang w:val="en-GB"/>
        </w:rPr>
        <w:t>Risks in the implementation of the measure</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b/>
                <w:szCs w:val="24"/>
              </w:rPr>
              <w:t>R5: Requirements which are difficult to verify and/or control</w:t>
            </w:r>
          </w:p>
          <w:p w:rsidR="00F555D6" w:rsidRPr="005C3B55" w:rsidRDefault="00F555D6" w:rsidP="00F555D6">
            <w:pPr>
              <w:spacing w:before="240" w:after="240" w:line="280" w:lineRule="auto"/>
              <w:rPr>
                <w:szCs w:val="24"/>
              </w:rPr>
            </w:pPr>
            <w:r w:rsidRPr="005C3B55">
              <w:rPr>
                <w:szCs w:val="24"/>
              </w:rPr>
              <w:t>Certain requirements cannot be verified administratively, while the implementation of certain requirements is difficult to verify also with on-the-spot controls. These requirements include use of anti-insect nets, conservation tillage and mechanical weeding.</w:t>
            </w:r>
          </w:p>
          <w:p w:rsidR="00F555D6" w:rsidRPr="005C3B55" w:rsidRDefault="00F555D6" w:rsidP="00F555D6">
            <w:pPr>
              <w:spacing w:before="240" w:after="240" w:line="280" w:lineRule="auto"/>
              <w:rPr>
                <w:szCs w:val="24"/>
              </w:rPr>
            </w:pPr>
            <w:r w:rsidRPr="005C3B55">
              <w:rPr>
                <w:b/>
                <w:szCs w:val="24"/>
              </w:rPr>
              <w:t>R6: General conditions for implementation</w:t>
            </w:r>
          </w:p>
          <w:p w:rsidR="00F555D6" w:rsidRPr="005C3B55" w:rsidRDefault="00F555D6" w:rsidP="00F555D6">
            <w:pPr>
              <w:spacing w:before="240" w:after="240" w:line="280" w:lineRule="auto"/>
              <w:rPr>
                <w:szCs w:val="24"/>
              </w:rPr>
            </w:pPr>
            <w:r w:rsidRPr="005C3B55">
              <w:rPr>
                <w:szCs w:val="24"/>
              </w:rPr>
              <w:t>Ill-timed adoption of regulations which regulate payments for the M10 measure and which enable beneficiaries to be informed about the eligibility conditions for implementing this operation, and insufficient knowledge of the conditions of individual operations present a risk for the implementation of the M10 measure.</w:t>
            </w:r>
          </w:p>
          <w:p w:rsidR="00F555D6" w:rsidRPr="005C3B55" w:rsidRDefault="00F555D6" w:rsidP="00F555D6">
            <w:pPr>
              <w:spacing w:before="240" w:after="240" w:line="280" w:lineRule="auto"/>
              <w:rPr>
                <w:szCs w:val="24"/>
              </w:rPr>
            </w:pPr>
            <w:r w:rsidRPr="005C3B55">
              <w:rPr>
                <w:b/>
                <w:szCs w:val="24"/>
              </w:rPr>
              <w:t>R8: IT systems</w:t>
            </w:r>
          </w:p>
          <w:p w:rsidR="00F555D6" w:rsidRPr="005C3B55" w:rsidRDefault="00F555D6" w:rsidP="00F555D6">
            <w:pPr>
              <w:spacing w:before="240" w:after="240" w:line="280" w:lineRule="auto"/>
              <w:rPr>
                <w:szCs w:val="24"/>
              </w:rPr>
            </w:pPr>
            <w:r w:rsidRPr="005C3B55">
              <w:rPr>
                <w:szCs w:val="24"/>
              </w:rPr>
              <w:t>Unsuitable arrangement of certain databases when entering the verification system and consequently insufficient administrative controls when entering the operation Wine growing.</w:t>
            </w:r>
          </w:p>
          <w:p w:rsidR="00F555D6" w:rsidRPr="005C3B55" w:rsidRDefault="00F555D6" w:rsidP="00F555D6">
            <w:pPr>
              <w:spacing w:before="240" w:after="240" w:line="280" w:lineRule="auto"/>
              <w:rPr>
                <w:szCs w:val="24"/>
              </w:rPr>
            </w:pPr>
            <w:r w:rsidRPr="005C3B55">
              <w:rPr>
                <w:b/>
                <w:szCs w:val="24"/>
              </w:rPr>
              <w:t>R9: Requests for payment</w:t>
            </w:r>
          </w:p>
          <w:p w:rsidR="00F555D6" w:rsidRPr="005C3B55" w:rsidRDefault="00F555D6" w:rsidP="00F555D6">
            <w:pPr>
              <w:spacing w:before="240" w:after="240" w:line="280" w:lineRule="auto"/>
              <w:rPr>
                <w:szCs w:val="24"/>
              </w:rPr>
            </w:pPr>
            <w:r w:rsidRPr="005C3B55">
              <w:rPr>
                <w:szCs w:val="24"/>
              </w:rPr>
              <w:t>Lack of, and delayed, information and insufficient knowledge of the operation Wine growing, poor familiarisation with the procedure for submitting the application and the beneficiary’s incorrect reporting about the size of surfaces.</w:t>
            </w:r>
          </w:p>
          <w:p w:rsidR="00F555D6" w:rsidRPr="005C3B55" w:rsidRDefault="00F555D6" w:rsidP="00F555D6">
            <w:pPr>
              <w:pStyle w:val="Telobesedila"/>
              <w:rPr>
                <w:szCs w:val="24"/>
              </w:rPr>
            </w:pPr>
          </w:p>
        </w:tc>
      </w:tr>
    </w:tbl>
    <w:p w:rsidR="00F555D6" w:rsidRPr="005C3B55" w:rsidRDefault="00F555D6" w:rsidP="00F555D6">
      <w:pPr>
        <w:pStyle w:val="Naslov7"/>
        <w:tabs>
          <w:tab w:val="clear" w:pos="765"/>
        </w:tabs>
        <w:ind w:left="0" w:firstLine="0"/>
        <w:rPr>
          <w:szCs w:val="24"/>
          <w:lang w:val="en-GB"/>
        </w:rPr>
      </w:pPr>
      <w:r w:rsidRPr="005C3B55">
        <w:rPr>
          <w:noProof w:val="0"/>
          <w:szCs w:val="24"/>
          <w:lang w:val="en-GB"/>
        </w:rPr>
        <w:t>Mitigation measures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b/>
                <w:szCs w:val="24"/>
              </w:rPr>
              <w:t>R5: Requirements which are difficult to verify and/or control</w:t>
            </w:r>
          </w:p>
          <w:p w:rsidR="00F555D6" w:rsidRPr="005C3B55" w:rsidRDefault="00F555D6" w:rsidP="00F555D6">
            <w:pPr>
              <w:spacing w:before="240" w:after="240" w:line="280" w:lineRule="auto"/>
              <w:rPr>
                <w:szCs w:val="24"/>
              </w:rPr>
            </w:pPr>
            <w:r w:rsidRPr="005C3B55">
              <w:rPr>
                <w:szCs w:val="24"/>
              </w:rPr>
              <w:t>Administrative control will be upgraded accordingly for certain requirements (terraces and grassification of vineyards, by determining the period for the implementation of an individual requirement and by taking into account the instructions of producers and expert institutions in the field of plant protection).</w:t>
            </w:r>
          </w:p>
          <w:p w:rsidR="00F555D6" w:rsidRPr="005C3B55" w:rsidRDefault="00F555D6" w:rsidP="00F555D6">
            <w:pPr>
              <w:spacing w:before="240" w:after="240" w:line="280" w:lineRule="auto"/>
              <w:rPr>
                <w:szCs w:val="24"/>
              </w:rPr>
            </w:pPr>
            <w:r w:rsidRPr="005C3B55">
              <w:rPr>
                <w:szCs w:val="24"/>
              </w:rPr>
              <w:t>Requirements for implementing the M10 measure which cannot be verified administratively will be verified or controlled on the spot; the latter will be carried out at the suitable time determined for the implementation of the requirement.</w:t>
            </w:r>
          </w:p>
          <w:p w:rsidR="00F555D6" w:rsidRPr="005C3B55" w:rsidRDefault="00F555D6" w:rsidP="00F555D6">
            <w:pPr>
              <w:spacing w:before="240" w:after="240" w:line="280" w:lineRule="auto"/>
              <w:rPr>
                <w:szCs w:val="24"/>
              </w:rPr>
            </w:pPr>
            <w:r w:rsidRPr="005C3B55">
              <w:rPr>
                <w:b/>
                <w:szCs w:val="24"/>
              </w:rPr>
              <w:t>R6: General conditions for implementation</w:t>
            </w:r>
          </w:p>
          <w:p w:rsidR="00F555D6" w:rsidRPr="005C3B55" w:rsidRDefault="00F555D6" w:rsidP="00F555D6">
            <w:pPr>
              <w:spacing w:before="240" w:after="240" w:line="280" w:lineRule="auto"/>
              <w:rPr>
                <w:szCs w:val="24"/>
              </w:rPr>
            </w:pPr>
            <w:r w:rsidRPr="005C3B55">
              <w:rPr>
                <w:szCs w:val="24"/>
              </w:rPr>
              <w:t>Prior to entering in the operation ‘Wine-growing’, a beneficiary will have to undergo a mandatory six-hour training which is one of the eligibility conditions. At the training, the beneficiary will become acquainted with the eligibility conditions for entering in the operation and the conditions of individual requirements for implementing the operation, including the Rural Development Programme 2014–2020 and the national regulation regulating payments for the M10 measure.</w:t>
            </w:r>
          </w:p>
          <w:p w:rsidR="00F555D6" w:rsidRPr="005C3B55" w:rsidRDefault="00F555D6" w:rsidP="00F555D6">
            <w:pPr>
              <w:spacing w:before="240" w:after="240" w:line="280" w:lineRule="auto"/>
              <w:rPr>
                <w:szCs w:val="24"/>
              </w:rPr>
            </w:pPr>
            <w:r w:rsidRPr="005C3B55">
              <w:rPr>
                <w:szCs w:val="24"/>
              </w:rPr>
              <w:t>After the training, the beneficiary will be able to prepare a programme of activities of the agricultural holding in which it will determine which operation and requirements within the M10 measure it will implement.</w:t>
            </w:r>
          </w:p>
          <w:p w:rsidR="00F555D6" w:rsidRPr="005C3B55" w:rsidRDefault="00F555D6" w:rsidP="00F555D6">
            <w:pPr>
              <w:spacing w:before="240" w:after="240" w:line="280" w:lineRule="auto"/>
              <w:rPr>
                <w:szCs w:val="24"/>
              </w:rPr>
            </w:pPr>
            <w:r w:rsidRPr="005C3B55">
              <w:rPr>
                <w:b/>
                <w:szCs w:val="24"/>
              </w:rPr>
              <w:t>R8: IT systems</w:t>
            </w:r>
          </w:p>
          <w:p w:rsidR="00F555D6" w:rsidRPr="005C3B55" w:rsidRDefault="00F555D6" w:rsidP="00F555D6">
            <w:pPr>
              <w:spacing w:before="240" w:after="240" w:line="280" w:lineRule="auto"/>
              <w:rPr>
                <w:szCs w:val="24"/>
              </w:rPr>
            </w:pPr>
            <w:r w:rsidRPr="005C3B55">
              <w:rPr>
                <w:szCs w:val="24"/>
              </w:rPr>
              <w:t>Suitable connections will be established and databases arranged (registers, records, codes and combinations of requirements within or between operations). An application enabling cross-checking of data from different databases will be established.</w:t>
            </w:r>
          </w:p>
          <w:p w:rsidR="00F555D6" w:rsidRPr="005C3B55" w:rsidRDefault="00F555D6" w:rsidP="00F555D6">
            <w:pPr>
              <w:spacing w:before="240" w:after="240" w:line="280" w:lineRule="auto"/>
              <w:rPr>
                <w:szCs w:val="24"/>
              </w:rPr>
            </w:pPr>
            <w:r w:rsidRPr="005C3B55">
              <w:rPr>
                <w:b/>
                <w:szCs w:val="24"/>
              </w:rPr>
              <w:t>R9: Requests for payment</w:t>
            </w:r>
          </w:p>
          <w:p w:rsidR="00F555D6" w:rsidRPr="005C3B55" w:rsidRDefault="00F555D6" w:rsidP="00F555D6">
            <w:pPr>
              <w:spacing w:before="240" w:after="240" w:line="280" w:lineRule="auto"/>
              <w:rPr>
                <w:szCs w:val="24"/>
              </w:rPr>
            </w:pPr>
            <w:r w:rsidRPr="005C3B55">
              <w:rPr>
                <w:szCs w:val="24"/>
              </w:rPr>
              <w:t>Mandatory annual four-hour training and mandatory use of advisory services at least once in the first three years of the commitment are introduced in order for beneficiaries to be suitably informed about all conditions and requirements for the implementation of the M10 measure. Regular annual informing of beneficiaries about their commitments related to the implementation of the M10 measure as part of the annual campaign for implementing requests for agricultural policy measures during the year and also within the scope of specific and purpose-oriented informing of beneficiaries is envisaged</w:t>
            </w:r>
            <w:r w:rsidRPr="005C3B55">
              <w:rPr>
                <w:rFonts w:ascii="TimesNewRoman" w:hAnsi="TimesNewRoman"/>
                <w:szCs w:val="24"/>
              </w:rPr>
              <w:t>.</w:t>
            </w:r>
          </w:p>
          <w:p w:rsidR="00F555D6" w:rsidRPr="005C3B55" w:rsidRDefault="00F555D6" w:rsidP="00F555D6">
            <w:pPr>
              <w:spacing w:before="240" w:after="240" w:line="280" w:lineRule="auto"/>
              <w:rPr>
                <w:szCs w:val="24"/>
              </w:rPr>
            </w:pPr>
            <w:r w:rsidRPr="005C3B55">
              <w:rPr>
                <w:szCs w:val="24"/>
              </w:rPr>
              <w:t>On the basis of the programme of activities, the request for payment will be submitted electronically on prescribed forms, by means of which a beneficiary will define for which requirements within individual the operation Wine growing it will request payment.</w:t>
            </w:r>
          </w:p>
          <w:p w:rsidR="00F555D6" w:rsidRPr="005C3B55" w:rsidRDefault="00F555D6" w:rsidP="00F555D6">
            <w:pPr>
              <w:spacing w:before="240" w:after="240" w:line="280" w:lineRule="auto"/>
              <w:rPr>
                <w:szCs w:val="24"/>
              </w:rPr>
            </w:pPr>
            <w:r w:rsidRPr="005C3B55">
              <w:rPr>
                <w:szCs w:val="24"/>
              </w:rPr>
              <w:t>The upgrading of the IT system for administrative control will be implemented, which will allow certain verifications and controls already upon the submission of the request for payment (size of surface, suitability of areas, suitability of combinations of requests and operations, and suitability of agricultural plant as per individual register).</w:t>
            </w:r>
          </w:p>
          <w:p w:rsidR="00F555D6" w:rsidRPr="005C3B55" w:rsidRDefault="00F555D6" w:rsidP="00F555D6">
            <w:pPr>
              <w:spacing w:before="240" w:after="240" w:line="280" w:lineRule="auto"/>
              <w:rPr>
                <w:szCs w:val="24"/>
              </w:rPr>
            </w:pPr>
            <w:r w:rsidRPr="005C3B55">
              <w:rPr>
                <w:szCs w:val="24"/>
              </w:rPr>
              <w:t>If a beneficiary fails to meet the eligibility conditions for entering measure M10, they will be alerted to the shortcomings which they will be able to eliminate by the prescribed deadline; otherwise, it will not be possible to submit a request for the payment of measure M10.</w:t>
            </w:r>
          </w:p>
          <w:p w:rsidR="00F555D6" w:rsidRPr="005C3B55" w:rsidRDefault="00F555D6" w:rsidP="00F555D6">
            <w:pPr>
              <w:spacing w:before="240" w:after="240" w:line="280" w:lineRule="auto"/>
              <w:rPr>
                <w:szCs w:val="24"/>
              </w:rPr>
            </w:pPr>
            <w:r w:rsidRPr="005C3B55">
              <w:rPr>
                <w:szCs w:val="24"/>
              </w:rPr>
              <w:t>Unpermitted combinations of individual requirements within the operation Wine growing and unpermitted combinations of requirements of this operation with requirements within other operations of the M10 measure will be disabled.</w:t>
            </w:r>
          </w:p>
          <w:p w:rsidR="00F555D6" w:rsidRPr="005C3B55" w:rsidRDefault="00F555D6" w:rsidP="00F555D6">
            <w:pPr>
              <w:spacing w:before="240" w:after="240" w:line="280" w:lineRule="auto"/>
              <w:rPr>
                <w:szCs w:val="24"/>
              </w:rPr>
            </w:pPr>
            <w:r w:rsidRPr="005C3B55">
              <w:rPr>
                <w:szCs w:val="24"/>
              </w:rPr>
              <w:t>A beneficiary who will also be included in the implementation of the M11 measure will not have the opportunity to submit the request for unauthorised combinations of this measure with the M10 measure.</w:t>
            </w:r>
          </w:p>
          <w:p w:rsidR="00F555D6" w:rsidRPr="005C3B55" w:rsidRDefault="00F555D6" w:rsidP="00F555D6">
            <w:pPr>
              <w:pStyle w:val="Telobesedila"/>
              <w:rPr>
                <w:szCs w:val="24"/>
              </w:rPr>
            </w:pPr>
          </w:p>
        </w:tc>
      </w:tr>
    </w:tbl>
    <w:p w:rsidR="00F555D6" w:rsidRPr="005C3B55" w:rsidRDefault="00F555D6" w:rsidP="00F555D6">
      <w:pPr>
        <w:pStyle w:val="Naslov7"/>
        <w:tabs>
          <w:tab w:val="clear" w:pos="765"/>
        </w:tabs>
        <w:ind w:left="0" w:firstLine="0"/>
        <w:rPr>
          <w:szCs w:val="24"/>
          <w:lang w:val="en-GB"/>
        </w:rPr>
      </w:pPr>
      <w:r w:rsidRPr="005C3B55">
        <w:rPr>
          <w:noProof w:val="0"/>
          <w:szCs w:val="24"/>
          <w:lang w:val="en-GB"/>
        </w:rPr>
        <w:t>General assessment of the measure</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 xml:space="preserve">Described in Chapter </w:t>
            </w:r>
            <w:r w:rsidRPr="005C3B55">
              <w:rPr>
                <w:i/>
                <w:szCs w:val="24"/>
              </w:rPr>
              <w:t>8.2.9.4.3 General assessment of the measure</w:t>
            </w:r>
            <w:r w:rsidRPr="005C3B55">
              <w:rPr>
                <w:szCs w:val="24"/>
              </w:rPr>
              <w:t>.</w:t>
            </w:r>
          </w:p>
          <w:p w:rsidR="00F555D6" w:rsidRPr="005C3B55" w:rsidRDefault="00F555D6" w:rsidP="00F555D6">
            <w:pPr>
              <w:pStyle w:val="Telobesedila"/>
              <w:rPr>
                <w:szCs w:val="24"/>
              </w:rPr>
            </w:pPr>
          </w:p>
        </w:tc>
      </w:tr>
    </w:tbl>
    <w:p w:rsidR="00F555D6" w:rsidRPr="005C3B55" w:rsidRDefault="00F555D6" w:rsidP="00F555D6">
      <w:pPr>
        <w:pStyle w:val="Naslov7"/>
        <w:tabs>
          <w:tab w:val="clear" w:pos="765"/>
        </w:tabs>
        <w:ind w:left="0" w:firstLine="0"/>
        <w:rPr>
          <w:szCs w:val="24"/>
          <w:lang w:val="en-GB"/>
        </w:rPr>
      </w:pPr>
      <w:r w:rsidRPr="005C3B55">
        <w:rPr>
          <w:noProof w:val="0"/>
          <w:szCs w:val="24"/>
          <w:lang w:val="en-GB"/>
        </w:rPr>
        <w:t>Agri-environment-climate commitments</w:t>
      </w:r>
    </w:p>
    <w:p w:rsidR="00F555D6" w:rsidRPr="005C3B55" w:rsidRDefault="00F555D6" w:rsidP="00F555D6">
      <w:pPr>
        <w:pStyle w:val="Naslov8"/>
        <w:tabs>
          <w:tab w:val="clear" w:pos="765"/>
        </w:tabs>
        <w:ind w:left="0" w:firstLine="0"/>
        <w:rPr>
          <w:b w:val="0"/>
          <w:szCs w:val="24"/>
          <w:lang w:val="en-GB"/>
        </w:rPr>
      </w:pPr>
      <w:r w:rsidRPr="005C3B55">
        <w:rPr>
          <w:b w:val="0"/>
          <w:noProof w:val="0"/>
          <w:szCs w:val="24"/>
          <w:lang w:val="en-GB"/>
        </w:rPr>
        <w:t>VIN_EKGN:</w:t>
      </w:r>
      <w:r w:rsidRPr="005C3B55">
        <w:rPr>
          <w:b w:val="0"/>
          <w:szCs w:val="24"/>
          <w:lang w:val="en-GB"/>
        </w:rPr>
        <w:t xml:space="preserve"> </w:t>
      </w:r>
      <w:r w:rsidRPr="005C3B55">
        <w:rPr>
          <w:b w:val="0"/>
          <w:noProof w:val="0"/>
          <w:szCs w:val="24"/>
          <w:lang w:val="en-GB"/>
        </w:rPr>
        <w:t>Only fertilisers permitted in organic production may be used</w:t>
      </w:r>
    </w:p>
    <w:p w:rsidR="00F555D6" w:rsidRPr="005C3B55" w:rsidRDefault="00F555D6" w:rsidP="00F555D6">
      <w:pPr>
        <w:pStyle w:val="Naslov9"/>
        <w:tabs>
          <w:tab w:val="clear" w:pos="765"/>
        </w:tabs>
        <w:ind w:left="0" w:firstLine="0"/>
        <w:rPr>
          <w:szCs w:val="24"/>
          <w:lang w:val="en-GB"/>
        </w:rPr>
      </w:pPr>
      <w:r w:rsidRPr="005C3B55">
        <w:rPr>
          <w:noProof w:val="0"/>
          <w:szCs w:val="24"/>
          <w:lang w:val="en-GB"/>
        </w:rPr>
        <w:t>Methods of commitment verification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Administrative control:</w:t>
            </w:r>
          </w:p>
          <w:p w:rsidR="00F555D6" w:rsidRPr="005C3B55" w:rsidRDefault="00F555D6" w:rsidP="00F555D6">
            <w:pPr>
              <w:numPr>
                <w:ilvl w:val="0"/>
                <w:numId w:val="464"/>
              </w:numPr>
              <w:spacing w:before="240" w:after="0"/>
              <w:ind w:hanging="290"/>
              <w:jc w:val="left"/>
              <w:rPr>
                <w:szCs w:val="24"/>
              </w:rPr>
            </w:pPr>
            <w:r w:rsidRPr="005C3B55">
              <w:rPr>
                <w:szCs w:val="24"/>
              </w:rPr>
              <w:t>control of inclination through the register of agricultural holdings;</w:t>
            </w:r>
          </w:p>
          <w:p w:rsidR="00F555D6" w:rsidRPr="005C3B55" w:rsidRDefault="00F555D6" w:rsidP="00F555D6">
            <w:pPr>
              <w:numPr>
                <w:ilvl w:val="0"/>
                <w:numId w:val="464"/>
              </w:numPr>
              <w:spacing w:before="0" w:after="240"/>
              <w:ind w:hanging="290"/>
              <w:jc w:val="left"/>
              <w:rPr>
                <w:szCs w:val="24"/>
              </w:rPr>
            </w:pPr>
            <w:r w:rsidRPr="005C3B55">
              <w:rPr>
                <w:szCs w:val="24"/>
              </w:rPr>
              <w:t>suitability of the agricultural plant through collective application.</w:t>
            </w:r>
          </w:p>
          <w:p w:rsidR="00F555D6" w:rsidRPr="005C3B55" w:rsidRDefault="00F555D6" w:rsidP="00F555D6">
            <w:pPr>
              <w:spacing w:before="240" w:after="240" w:line="280" w:lineRule="auto"/>
              <w:rPr>
                <w:szCs w:val="24"/>
              </w:rPr>
            </w:pPr>
            <w:r w:rsidRPr="005C3B55">
              <w:rPr>
                <w:szCs w:val="24"/>
              </w:rPr>
              <w:t>Registers/records:</w:t>
            </w:r>
          </w:p>
          <w:p w:rsidR="00F555D6" w:rsidRPr="005C3B55" w:rsidRDefault="00F555D6" w:rsidP="00F555D6">
            <w:pPr>
              <w:numPr>
                <w:ilvl w:val="0"/>
                <w:numId w:val="465"/>
              </w:numPr>
              <w:spacing w:before="240" w:after="0"/>
              <w:ind w:hanging="290"/>
              <w:jc w:val="left"/>
              <w:rPr>
                <w:szCs w:val="24"/>
              </w:rPr>
            </w:pPr>
            <w:r w:rsidRPr="005C3B55">
              <w:rPr>
                <w:szCs w:val="24"/>
              </w:rPr>
              <w:t>register of agricultural holdings;</w:t>
            </w:r>
          </w:p>
          <w:p w:rsidR="00F555D6" w:rsidRPr="005C3B55" w:rsidRDefault="00F555D6" w:rsidP="00F555D6">
            <w:pPr>
              <w:numPr>
                <w:ilvl w:val="0"/>
                <w:numId w:val="465"/>
              </w:numPr>
              <w:spacing w:before="0" w:after="240"/>
              <w:ind w:hanging="290"/>
              <w:jc w:val="left"/>
              <w:rPr>
                <w:szCs w:val="24"/>
              </w:rPr>
            </w:pPr>
            <w:r w:rsidRPr="005C3B55">
              <w:rPr>
                <w:szCs w:val="24"/>
              </w:rPr>
              <w:t>graphical agricultural unit of agricultural holding (GERK).</w:t>
            </w:r>
          </w:p>
          <w:p w:rsidR="00F555D6" w:rsidRPr="005C3B55" w:rsidRDefault="00F555D6" w:rsidP="00F555D6">
            <w:pPr>
              <w:spacing w:before="240" w:after="240" w:line="280" w:lineRule="auto"/>
              <w:rPr>
                <w:szCs w:val="24"/>
              </w:rPr>
            </w:pPr>
            <w:r w:rsidRPr="005C3B55">
              <w:rPr>
                <w:szCs w:val="24"/>
              </w:rPr>
              <w:t>On-site control:</w:t>
            </w:r>
          </w:p>
          <w:p w:rsidR="00F555D6" w:rsidRPr="005C3B55" w:rsidRDefault="00F555D6" w:rsidP="00F555D6">
            <w:pPr>
              <w:numPr>
                <w:ilvl w:val="0"/>
                <w:numId w:val="466"/>
              </w:numPr>
              <w:spacing w:before="240" w:after="0"/>
              <w:ind w:hanging="290"/>
              <w:jc w:val="left"/>
              <w:rPr>
                <w:szCs w:val="24"/>
              </w:rPr>
            </w:pPr>
            <w:r w:rsidRPr="005C3B55">
              <w:rPr>
                <w:szCs w:val="24"/>
              </w:rPr>
              <w:t>records on works;</w:t>
            </w:r>
          </w:p>
          <w:p w:rsidR="00F555D6" w:rsidRPr="005C3B55" w:rsidRDefault="00F555D6" w:rsidP="00F555D6">
            <w:pPr>
              <w:numPr>
                <w:ilvl w:val="0"/>
                <w:numId w:val="466"/>
              </w:numPr>
              <w:spacing w:before="0" w:after="0"/>
              <w:ind w:hanging="290"/>
              <w:jc w:val="left"/>
              <w:rPr>
                <w:szCs w:val="24"/>
              </w:rPr>
            </w:pPr>
            <w:r w:rsidRPr="005C3B55">
              <w:rPr>
                <w:szCs w:val="24"/>
              </w:rPr>
              <w:t>list of permitted organic fertilisers;</w:t>
            </w:r>
          </w:p>
          <w:p w:rsidR="00F555D6" w:rsidRPr="005C3B55" w:rsidRDefault="00F555D6" w:rsidP="00F555D6">
            <w:pPr>
              <w:numPr>
                <w:ilvl w:val="0"/>
                <w:numId w:val="466"/>
              </w:numPr>
              <w:spacing w:before="0" w:after="0"/>
              <w:ind w:hanging="290"/>
              <w:jc w:val="left"/>
              <w:rPr>
                <w:szCs w:val="24"/>
              </w:rPr>
            </w:pPr>
            <w:r w:rsidRPr="005C3B55">
              <w:rPr>
                <w:szCs w:val="24"/>
              </w:rPr>
              <w:t>invoice on the purchase of fertilisers;</w:t>
            </w:r>
          </w:p>
          <w:p w:rsidR="00F555D6" w:rsidRPr="005C3B55" w:rsidRDefault="00F555D6" w:rsidP="00F555D6">
            <w:pPr>
              <w:numPr>
                <w:ilvl w:val="0"/>
                <w:numId w:val="466"/>
              </w:numPr>
              <w:spacing w:before="0" w:after="0"/>
              <w:ind w:hanging="290"/>
              <w:jc w:val="left"/>
              <w:rPr>
                <w:szCs w:val="24"/>
              </w:rPr>
            </w:pPr>
            <w:r w:rsidRPr="005C3B55">
              <w:rPr>
                <w:szCs w:val="24"/>
              </w:rPr>
              <w:t>declarations;</w:t>
            </w:r>
          </w:p>
          <w:p w:rsidR="00F555D6" w:rsidRPr="005C3B55" w:rsidRDefault="00F555D6" w:rsidP="00F555D6">
            <w:pPr>
              <w:numPr>
                <w:ilvl w:val="0"/>
                <w:numId w:val="466"/>
              </w:numPr>
              <w:spacing w:before="0" w:after="240"/>
              <w:ind w:hanging="290"/>
              <w:jc w:val="left"/>
              <w:rPr>
                <w:szCs w:val="24"/>
              </w:rPr>
            </w:pPr>
            <w:r w:rsidRPr="005C3B55">
              <w:rPr>
                <w:szCs w:val="24"/>
              </w:rPr>
              <w:t>review of the agricultural holding.</w:t>
            </w:r>
          </w:p>
          <w:p w:rsidR="00F555D6" w:rsidRPr="005C3B55" w:rsidRDefault="00F555D6" w:rsidP="00F555D6">
            <w:pPr>
              <w:pStyle w:val="Telobesedila"/>
              <w:rPr>
                <w:szCs w:val="24"/>
              </w:rPr>
            </w:pPr>
          </w:p>
        </w:tc>
      </w:tr>
    </w:tbl>
    <w:p w:rsidR="00F555D6" w:rsidRPr="005C3B55" w:rsidRDefault="00F555D6" w:rsidP="00F555D6">
      <w:pPr>
        <w:pStyle w:val="Naslov8"/>
        <w:tabs>
          <w:tab w:val="clear" w:pos="765"/>
        </w:tabs>
        <w:ind w:left="0" w:firstLine="0"/>
        <w:rPr>
          <w:b w:val="0"/>
          <w:szCs w:val="24"/>
          <w:lang w:val="en-GB"/>
        </w:rPr>
      </w:pPr>
      <w:r w:rsidRPr="005C3B55">
        <w:rPr>
          <w:b w:val="0"/>
          <w:noProof w:val="0"/>
          <w:szCs w:val="24"/>
          <w:lang w:val="en-GB"/>
        </w:rPr>
        <w:t>VIN_KONF:</w:t>
      </w:r>
      <w:r w:rsidRPr="005C3B55">
        <w:rPr>
          <w:b w:val="0"/>
          <w:szCs w:val="24"/>
          <w:lang w:val="en-GB"/>
        </w:rPr>
        <w:t xml:space="preserve"> </w:t>
      </w:r>
      <w:r w:rsidRPr="005C3B55">
        <w:rPr>
          <w:b w:val="0"/>
          <w:noProof w:val="0"/>
          <w:szCs w:val="24"/>
          <w:lang w:val="en-GB"/>
        </w:rPr>
        <w:t>Use of confusion and disorientation methods</w:t>
      </w:r>
    </w:p>
    <w:p w:rsidR="00F555D6" w:rsidRPr="005C3B55" w:rsidRDefault="00F555D6" w:rsidP="00F555D6">
      <w:pPr>
        <w:pStyle w:val="Naslov9"/>
        <w:tabs>
          <w:tab w:val="clear" w:pos="765"/>
        </w:tabs>
        <w:ind w:left="0" w:firstLine="0"/>
        <w:rPr>
          <w:szCs w:val="24"/>
          <w:lang w:val="en-GB"/>
        </w:rPr>
      </w:pPr>
      <w:r w:rsidRPr="005C3B55">
        <w:rPr>
          <w:noProof w:val="0"/>
          <w:szCs w:val="24"/>
          <w:lang w:val="en-GB"/>
        </w:rPr>
        <w:t>Methods of commitment verification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Administrative control:</w:t>
            </w:r>
          </w:p>
          <w:p w:rsidR="00F555D6" w:rsidRPr="005C3B55" w:rsidRDefault="00F555D6" w:rsidP="00F555D6">
            <w:pPr>
              <w:numPr>
                <w:ilvl w:val="0"/>
                <w:numId w:val="467"/>
              </w:numPr>
              <w:spacing w:before="240" w:after="0"/>
              <w:ind w:hanging="290"/>
              <w:jc w:val="left"/>
              <w:rPr>
                <w:szCs w:val="24"/>
              </w:rPr>
            </w:pPr>
            <w:r w:rsidRPr="005C3B55">
              <w:rPr>
                <w:szCs w:val="24"/>
              </w:rPr>
              <w:t>control of inclination through the register of agricultural holdings;</w:t>
            </w:r>
          </w:p>
          <w:p w:rsidR="00F555D6" w:rsidRPr="005C3B55" w:rsidRDefault="00F555D6" w:rsidP="00F555D6">
            <w:pPr>
              <w:numPr>
                <w:ilvl w:val="0"/>
                <w:numId w:val="467"/>
              </w:numPr>
              <w:spacing w:before="0" w:after="240"/>
              <w:ind w:hanging="290"/>
              <w:jc w:val="left"/>
              <w:rPr>
                <w:szCs w:val="24"/>
              </w:rPr>
            </w:pPr>
            <w:r w:rsidRPr="005C3B55">
              <w:rPr>
                <w:szCs w:val="24"/>
              </w:rPr>
              <w:t>suitability of the agricultural plant through collective application.</w:t>
            </w:r>
          </w:p>
          <w:p w:rsidR="00F555D6" w:rsidRPr="005C3B55" w:rsidRDefault="00F555D6" w:rsidP="00F555D6">
            <w:pPr>
              <w:spacing w:before="240" w:after="240" w:line="280" w:lineRule="auto"/>
              <w:rPr>
                <w:szCs w:val="24"/>
              </w:rPr>
            </w:pPr>
            <w:r w:rsidRPr="005C3B55">
              <w:rPr>
                <w:szCs w:val="24"/>
              </w:rPr>
              <w:t>Registers/records:</w:t>
            </w:r>
          </w:p>
          <w:p w:rsidR="00F555D6" w:rsidRPr="005C3B55" w:rsidRDefault="00F555D6" w:rsidP="00F555D6">
            <w:pPr>
              <w:numPr>
                <w:ilvl w:val="0"/>
                <w:numId w:val="468"/>
              </w:numPr>
              <w:spacing w:before="240" w:after="0"/>
              <w:ind w:hanging="290"/>
              <w:jc w:val="left"/>
              <w:rPr>
                <w:szCs w:val="24"/>
              </w:rPr>
            </w:pPr>
            <w:r w:rsidRPr="005C3B55">
              <w:rPr>
                <w:szCs w:val="24"/>
              </w:rPr>
              <w:t>register of agricultural holdings;</w:t>
            </w:r>
          </w:p>
          <w:p w:rsidR="00F555D6" w:rsidRPr="005C3B55" w:rsidRDefault="00F555D6" w:rsidP="00F555D6">
            <w:pPr>
              <w:numPr>
                <w:ilvl w:val="0"/>
                <w:numId w:val="468"/>
              </w:numPr>
              <w:spacing w:before="0" w:after="240"/>
              <w:ind w:hanging="290"/>
              <w:jc w:val="left"/>
              <w:rPr>
                <w:szCs w:val="24"/>
              </w:rPr>
            </w:pPr>
            <w:r w:rsidRPr="005C3B55">
              <w:rPr>
                <w:szCs w:val="24"/>
              </w:rPr>
              <w:t>graphical agricultural unit of agricultural holding (GERK).</w:t>
            </w:r>
          </w:p>
          <w:p w:rsidR="00F555D6" w:rsidRPr="005C3B55" w:rsidRDefault="00F555D6" w:rsidP="00F555D6">
            <w:pPr>
              <w:spacing w:before="240" w:after="240" w:line="280" w:lineRule="auto"/>
              <w:rPr>
                <w:szCs w:val="24"/>
              </w:rPr>
            </w:pPr>
            <w:r w:rsidRPr="005C3B55">
              <w:rPr>
                <w:szCs w:val="24"/>
              </w:rPr>
              <w:t>On-site control:</w:t>
            </w:r>
          </w:p>
          <w:p w:rsidR="00F555D6" w:rsidRPr="005C3B55" w:rsidRDefault="00F555D6" w:rsidP="00F555D6">
            <w:pPr>
              <w:numPr>
                <w:ilvl w:val="0"/>
                <w:numId w:val="469"/>
              </w:numPr>
              <w:spacing w:before="240" w:after="0"/>
              <w:ind w:hanging="290"/>
              <w:jc w:val="left"/>
              <w:rPr>
                <w:szCs w:val="24"/>
              </w:rPr>
            </w:pPr>
            <w:r w:rsidRPr="005C3B55">
              <w:rPr>
                <w:szCs w:val="24"/>
              </w:rPr>
              <w:t>records on works;</w:t>
            </w:r>
          </w:p>
          <w:p w:rsidR="00F555D6" w:rsidRPr="005C3B55" w:rsidRDefault="00F555D6" w:rsidP="00F555D6">
            <w:pPr>
              <w:numPr>
                <w:ilvl w:val="0"/>
                <w:numId w:val="469"/>
              </w:numPr>
              <w:spacing w:before="0" w:after="0"/>
              <w:ind w:hanging="290"/>
              <w:jc w:val="left"/>
              <w:rPr>
                <w:szCs w:val="24"/>
              </w:rPr>
            </w:pPr>
            <w:r w:rsidRPr="005C3B55">
              <w:rPr>
                <w:szCs w:val="24"/>
              </w:rPr>
              <w:t>declaration;</w:t>
            </w:r>
          </w:p>
          <w:p w:rsidR="00F555D6" w:rsidRPr="005C3B55" w:rsidRDefault="00F555D6" w:rsidP="00F555D6">
            <w:pPr>
              <w:numPr>
                <w:ilvl w:val="0"/>
                <w:numId w:val="469"/>
              </w:numPr>
              <w:spacing w:before="0" w:after="0"/>
              <w:ind w:hanging="290"/>
              <w:jc w:val="left"/>
              <w:rPr>
                <w:szCs w:val="24"/>
              </w:rPr>
            </w:pPr>
            <w:r w:rsidRPr="005C3B55">
              <w:rPr>
                <w:szCs w:val="24"/>
              </w:rPr>
              <w:t>producer’s instructions on the use of dispensers;</w:t>
            </w:r>
          </w:p>
          <w:p w:rsidR="00F555D6" w:rsidRPr="005C3B55" w:rsidRDefault="00F555D6" w:rsidP="00F555D6">
            <w:pPr>
              <w:numPr>
                <w:ilvl w:val="0"/>
                <w:numId w:val="469"/>
              </w:numPr>
              <w:spacing w:before="0" w:after="0"/>
              <w:ind w:hanging="290"/>
              <w:jc w:val="left"/>
              <w:rPr>
                <w:szCs w:val="24"/>
              </w:rPr>
            </w:pPr>
            <w:r w:rsidRPr="005C3B55">
              <w:rPr>
                <w:szCs w:val="24"/>
              </w:rPr>
              <w:t>invoice on the purchase;</w:t>
            </w:r>
          </w:p>
          <w:p w:rsidR="00F555D6" w:rsidRPr="005C3B55" w:rsidRDefault="00F555D6" w:rsidP="00F555D6">
            <w:pPr>
              <w:numPr>
                <w:ilvl w:val="0"/>
                <w:numId w:val="469"/>
              </w:numPr>
              <w:spacing w:before="0" w:after="0"/>
              <w:ind w:hanging="290"/>
              <w:jc w:val="left"/>
              <w:rPr>
                <w:szCs w:val="24"/>
              </w:rPr>
            </w:pPr>
            <w:r w:rsidRPr="005C3B55">
              <w:rPr>
                <w:szCs w:val="24"/>
              </w:rPr>
              <w:t>recommendations from expert institutions in the field of plant protection;</w:t>
            </w:r>
          </w:p>
          <w:p w:rsidR="00F555D6" w:rsidRPr="005C3B55" w:rsidRDefault="00F555D6" w:rsidP="00F555D6">
            <w:pPr>
              <w:numPr>
                <w:ilvl w:val="0"/>
                <w:numId w:val="469"/>
              </w:numPr>
              <w:spacing w:before="0" w:after="240"/>
              <w:ind w:hanging="290"/>
              <w:jc w:val="left"/>
              <w:rPr>
                <w:szCs w:val="24"/>
              </w:rPr>
            </w:pPr>
            <w:r w:rsidRPr="005C3B55">
              <w:rPr>
                <w:szCs w:val="24"/>
              </w:rPr>
              <w:t>review of the agricultural holding.</w:t>
            </w:r>
          </w:p>
          <w:p w:rsidR="00F555D6" w:rsidRPr="005C3B55" w:rsidRDefault="00F555D6" w:rsidP="00F555D6">
            <w:pPr>
              <w:pStyle w:val="Telobesedila"/>
              <w:rPr>
                <w:szCs w:val="24"/>
              </w:rPr>
            </w:pPr>
          </w:p>
        </w:tc>
      </w:tr>
    </w:tbl>
    <w:p w:rsidR="00F555D6" w:rsidRPr="005C3B55" w:rsidRDefault="00F555D6" w:rsidP="00F555D6">
      <w:pPr>
        <w:pStyle w:val="Naslov8"/>
        <w:tabs>
          <w:tab w:val="clear" w:pos="765"/>
        </w:tabs>
        <w:ind w:left="0" w:firstLine="0"/>
        <w:rPr>
          <w:b w:val="0"/>
          <w:szCs w:val="24"/>
          <w:lang w:val="en-GB"/>
        </w:rPr>
      </w:pPr>
      <w:r w:rsidRPr="005C3B55">
        <w:rPr>
          <w:b w:val="0"/>
          <w:noProof w:val="0"/>
          <w:szCs w:val="24"/>
          <w:lang w:val="en-GB"/>
        </w:rPr>
        <w:t>VIN_MEDV:</w:t>
      </w:r>
      <w:r w:rsidRPr="005C3B55">
        <w:rPr>
          <w:b w:val="0"/>
          <w:szCs w:val="24"/>
          <w:lang w:val="en-GB"/>
        </w:rPr>
        <w:t xml:space="preserve"> </w:t>
      </w:r>
      <w:r w:rsidRPr="005C3B55">
        <w:rPr>
          <w:b w:val="0"/>
          <w:noProof w:val="0"/>
          <w:szCs w:val="24"/>
          <w:lang w:val="en-GB"/>
        </w:rPr>
        <w:t>Land cover in vineyards over winter where row spacing is not covered with managed fallow</w:t>
      </w:r>
    </w:p>
    <w:p w:rsidR="00F555D6" w:rsidRPr="005C3B55" w:rsidRDefault="00F555D6" w:rsidP="00F555D6">
      <w:pPr>
        <w:pStyle w:val="Naslov9"/>
        <w:tabs>
          <w:tab w:val="clear" w:pos="765"/>
        </w:tabs>
        <w:ind w:left="0" w:firstLine="0"/>
        <w:rPr>
          <w:szCs w:val="24"/>
          <w:lang w:val="en-GB"/>
        </w:rPr>
      </w:pPr>
      <w:r w:rsidRPr="005C3B55">
        <w:rPr>
          <w:noProof w:val="0"/>
          <w:szCs w:val="24"/>
          <w:lang w:val="en-GB"/>
        </w:rPr>
        <w:t>Methods of commitment verification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Administrative control:</w:t>
            </w:r>
          </w:p>
          <w:p w:rsidR="00F555D6" w:rsidRPr="005C3B55" w:rsidRDefault="00F555D6" w:rsidP="00F555D6">
            <w:pPr>
              <w:numPr>
                <w:ilvl w:val="0"/>
                <w:numId w:val="470"/>
              </w:numPr>
              <w:spacing w:before="240" w:after="0"/>
              <w:ind w:hanging="290"/>
              <w:jc w:val="left"/>
              <w:rPr>
                <w:szCs w:val="24"/>
              </w:rPr>
            </w:pPr>
            <w:r w:rsidRPr="005C3B55">
              <w:rPr>
                <w:szCs w:val="24"/>
              </w:rPr>
              <w:t>suitability of the agricultural plant through collective application;</w:t>
            </w:r>
          </w:p>
          <w:p w:rsidR="00F555D6" w:rsidRPr="005C3B55" w:rsidRDefault="00F555D6" w:rsidP="00F555D6">
            <w:pPr>
              <w:numPr>
                <w:ilvl w:val="0"/>
                <w:numId w:val="470"/>
              </w:numPr>
              <w:spacing w:before="0" w:after="0"/>
              <w:ind w:hanging="290"/>
              <w:jc w:val="left"/>
              <w:rPr>
                <w:szCs w:val="24"/>
              </w:rPr>
            </w:pPr>
            <w:r w:rsidRPr="005C3B55">
              <w:rPr>
                <w:szCs w:val="24"/>
              </w:rPr>
              <w:t>control of inclination through the register of agricultural holdings;</w:t>
            </w:r>
          </w:p>
          <w:p w:rsidR="00F555D6" w:rsidRPr="005C3B55" w:rsidRDefault="00F555D6" w:rsidP="00F555D6">
            <w:pPr>
              <w:numPr>
                <w:ilvl w:val="0"/>
                <w:numId w:val="470"/>
              </w:numPr>
              <w:spacing w:before="0" w:after="0"/>
              <w:ind w:hanging="290"/>
              <w:jc w:val="left"/>
              <w:rPr>
                <w:szCs w:val="24"/>
              </w:rPr>
            </w:pPr>
            <w:r w:rsidRPr="005C3B55">
              <w:rPr>
                <w:szCs w:val="24"/>
              </w:rPr>
              <w:t>verification of grassification and terraces through the register of agricultural holdings;</w:t>
            </w:r>
          </w:p>
          <w:p w:rsidR="00F555D6" w:rsidRPr="005C3B55" w:rsidRDefault="00F555D6" w:rsidP="00F555D6">
            <w:pPr>
              <w:numPr>
                <w:ilvl w:val="0"/>
                <w:numId w:val="470"/>
              </w:numPr>
              <w:spacing w:before="0" w:after="240"/>
              <w:ind w:hanging="290"/>
              <w:jc w:val="left"/>
              <w:rPr>
                <w:szCs w:val="24"/>
              </w:rPr>
            </w:pPr>
            <w:r w:rsidRPr="005C3B55">
              <w:rPr>
                <w:szCs w:val="24"/>
              </w:rPr>
              <w:t>suitability of the area through the register of agricultural holdings.</w:t>
            </w:r>
          </w:p>
          <w:p w:rsidR="00F555D6" w:rsidRPr="005C3B55" w:rsidRDefault="00F555D6" w:rsidP="00F555D6">
            <w:pPr>
              <w:spacing w:before="240" w:after="240" w:line="280" w:lineRule="auto"/>
              <w:rPr>
                <w:szCs w:val="24"/>
              </w:rPr>
            </w:pPr>
            <w:r w:rsidRPr="005C3B55">
              <w:rPr>
                <w:szCs w:val="24"/>
              </w:rPr>
              <w:t>Registers/records:</w:t>
            </w:r>
          </w:p>
          <w:p w:rsidR="00F555D6" w:rsidRPr="005C3B55" w:rsidRDefault="00F555D6" w:rsidP="00F555D6">
            <w:pPr>
              <w:numPr>
                <w:ilvl w:val="0"/>
                <w:numId w:val="471"/>
              </w:numPr>
              <w:spacing w:before="240" w:after="0"/>
              <w:ind w:hanging="290"/>
              <w:jc w:val="left"/>
              <w:rPr>
                <w:szCs w:val="24"/>
              </w:rPr>
            </w:pPr>
            <w:r w:rsidRPr="005C3B55">
              <w:rPr>
                <w:szCs w:val="24"/>
              </w:rPr>
              <w:t>register of agricultural holdings;</w:t>
            </w:r>
          </w:p>
          <w:p w:rsidR="00F555D6" w:rsidRPr="005C3B55" w:rsidRDefault="00F555D6" w:rsidP="00F555D6">
            <w:pPr>
              <w:numPr>
                <w:ilvl w:val="0"/>
                <w:numId w:val="471"/>
              </w:numPr>
              <w:spacing w:before="0" w:after="240"/>
              <w:ind w:hanging="290"/>
              <w:jc w:val="left"/>
              <w:rPr>
                <w:szCs w:val="24"/>
              </w:rPr>
            </w:pPr>
            <w:r w:rsidRPr="005C3B55">
              <w:rPr>
                <w:szCs w:val="24"/>
              </w:rPr>
              <w:t>graphical agricultural unit of agricultural holding (GERK).</w:t>
            </w:r>
          </w:p>
          <w:p w:rsidR="00F555D6" w:rsidRPr="005C3B55" w:rsidRDefault="00F555D6" w:rsidP="00F555D6">
            <w:pPr>
              <w:spacing w:before="240" w:after="240" w:line="280" w:lineRule="auto"/>
              <w:rPr>
                <w:szCs w:val="24"/>
              </w:rPr>
            </w:pPr>
            <w:r w:rsidRPr="005C3B55">
              <w:rPr>
                <w:szCs w:val="24"/>
              </w:rPr>
              <w:t>On-site control:</w:t>
            </w:r>
          </w:p>
          <w:p w:rsidR="00F555D6" w:rsidRPr="005C3B55" w:rsidRDefault="00F555D6" w:rsidP="00F555D6">
            <w:pPr>
              <w:numPr>
                <w:ilvl w:val="0"/>
                <w:numId w:val="472"/>
              </w:numPr>
              <w:spacing w:before="240" w:after="0"/>
              <w:ind w:hanging="290"/>
              <w:jc w:val="left"/>
              <w:rPr>
                <w:szCs w:val="24"/>
              </w:rPr>
            </w:pPr>
            <w:r w:rsidRPr="005C3B55">
              <w:rPr>
                <w:szCs w:val="24"/>
              </w:rPr>
              <w:t>records on works;</w:t>
            </w:r>
          </w:p>
          <w:p w:rsidR="00F555D6" w:rsidRPr="005C3B55" w:rsidRDefault="00F555D6" w:rsidP="00F555D6">
            <w:pPr>
              <w:numPr>
                <w:ilvl w:val="0"/>
                <w:numId w:val="472"/>
              </w:numPr>
              <w:spacing w:before="0" w:after="0"/>
              <w:ind w:hanging="290"/>
              <w:jc w:val="left"/>
              <w:rPr>
                <w:szCs w:val="24"/>
              </w:rPr>
            </w:pPr>
            <w:r w:rsidRPr="005C3B55">
              <w:rPr>
                <w:szCs w:val="24"/>
              </w:rPr>
              <w:t>compliance with the situation in nature;</w:t>
            </w:r>
          </w:p>
          <w:p w:rsidR="00F555D6" w:rsidRPr="005C3B55" w:rsidRDefault="00F555D6" w:rsidP="00F555D6">
            <w:pPr>
              <w:numPr>
                <w:ilvl w:val="0"/>
                <w:numId w:val="472"/>
              </w:numPr>
              <w:spacing w:before="0" w:after="240"/>
              <w:ind w:hanging="290"/>
              <w:jc w:val="left"/>
              <w:rPr>
                <w:szCs w:val="24"/>
              </w:rPr>
            </w:pPr>
            <w:r w:rsidRPr="005C3B55">
              <w:rPr>
                <w:szCs w:val="24"/>
              </w:rPr>
              <w:t>review of the agricultural holding.</w:t>
            </w:r>
          </w:p>
          <w:p w:rsidR="00F555D6" w:rsidRPr="005C3B55" w:rsidRDefault="00F555D6" w:rsidP="00F555D6">
            <w:pPr>
              <w:pStyle w:val="Telobesedila"/>
              <w:rPr>
                <w:szCs w:val="24"/>
              </w:rPr>
            </w:pPr>
          </w:p>
        </w:tc>
      </w:tr>
    </w:tbl>
    <w:p w:rsidR="00F555D6" w:rsidRPr="005C3B55" w:rsidRDefault="00F555D6" w:rsidP="00F555D6">
      <w:pPr>
        <w:pStyle w:val="Naslov8"/>
        <w:tabs>
          <w:tab w:val="clear" w:pos="765"/>
        </w:tabs>
        <w:ind w:left="0" w:firstLine="0"/>
        <w:rPr>
          <w:b w:val="0"/>
          <w:szCs w:val="24"/>
          <w:lang w:val="en-GB"/>
        </w:rPr>
      </w:pPr>
      <w:r w:rsidRPr="005C3B55">
        <w:rPr>
          <w:b w:val="0"/>
          <w:noProof w:val="0"/>
          <w:szCs w:val="24"/>
          <w:lang w:val="en-GB"/>
        </w:rPr>
        <w:t>VIN_MEHZ:</w:t>
      </w:r>
      <w:r w:rsidRPr="005C3B55">
        <w:rPr>
          <w:b w:val="0"/>
          <w:szCs w:val="24"/>
          <w:lang w:val="en-GB"/>
        </w:rPr>
        <w:t xml:space="preserve"> </w:t>
      </w:r>
      <w:r w:rsidRPr="005C3B55">
        <w:rPr>
          <w:b w:val="0"/>
          <w:noProof w:val="0"/>
          <w:szCs w:val="24"/>
          <w:lang w:val="en-GB"/>
        </w:rPr>
        <w:t>Mechanical weeding (under vines)</w:t>
      </w:r>
    </w:p>
    <w:p w:rsidR="00F555D6" w:rsidRPr="005C3B55" w:rsidRDefault="00F555D6" w:rsidP="00F555D6">
      <w:pPr>
        <w:pStyle w:val="Naslov9"/>
        <w:tabs>
          <w:tab w:val="clear" w:pos="765"/>
        </w:tabs>
        <w:ind w:left="0" w:firstLine="0"/>
        <w:rPr>
          <w:szCs w:val="24"/>
          <w:lang w:val="en-GB"/>
        </w:rPr>
      </w:pPr>
      <w:r w:rsidRPr="005C3B55">
        <w:rPr>
          <w:noProof w:val="0"/>
          <w:szCs w:val="24"/>
          <w:lang w:val="en-GB"/>
        </w:rPr>
        <w:t>Methods of commitment verification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Administrative control:</w:t>
            </w:r>
          </w:p>
          <w:p w:rsidR="00F555D6" w:rsidRPr="005C3B55" w:rsidRDefault="00F555D6" w:rsidP="00F555D6">
            <w:pPr>
              <w:numPr>
                <w:ilvl w:val="0"/>
                <w:numId w:val="473"/>
              </w:numPr>
              <w:spacing w:before="240" w:after="0"/>
              <w:ind w:hanging="290"/>
              <w:jc w:val="left"/>
              <w:rPr>
                <w:szCs w:val="24"/>
              </w:rPr>
            </w:pPr>
            <w:r w:rsidRPr="005C3B55">
              <w:rPr>
                <w:szCs w:val="24"/>
              </w:rPr>
              <w:t>control of inclination through the register of agricultural holdings.</w:t>
            </w:r>
          </w:p>
          <w:p w:rsidR="00F555D6" w:rsidRPr="005C3B55" w:rsidRDefault="00F555D6" w:rsidP="00F555D6">
            <w:pPr>
              <w:numPr>
                <w:ilvl w:val="0"/>
                <w:numId w:val="473"/>
              </w:numPr>
              <w:spacing w:before="0" w:after="240"/>
              <w:ind w:hanging="290"/>
              <w:jc w:val="left"/>
              <w:rPr>
                <w:szCs w:val="24"/>
              </w:rPr>
            </w:pPr>
            <w:r w:rsidRPr="005C3B55">
              <w:rPr>
                <w:szCs w:val="24"/>
              </w:rPr>
              <w:t>suitability of the agricultural plant through collective application.</w:t>
            </w:r>
          </w:p>
          <w:p w:rsidR="00F555D6" w:rsidRPr="005C3B55" w:rsidRDefault="00F555D6" w:rsidP="00F555D6">
            <w:pPr>
              <w:spacing w:before="240" w:after="240" w:line="280" w:lineRule="auto"/>
              <w:rPr>
                <w:szCs w:val="24"/>
              </w:rPr>
            </w:pPr>
            <w:r w:rsidRPr="005C3B55">
              <w:rPr>
                <w:szCs w:val="24"/>
              </w:rPr>
              <w:t>Registers/records:</w:t>
            </w:r>
          </w:p>
          <w:p w:rsidR="00F555D6" w:rsidRPr="005C3B55" w:rsidRDefault="00F555D6" w:rsidP="00F555D6">
            <w:pPr>
              <w:numPr>
                <w:ilvl w:val="0"/>
                <w:numId w:val="474"/>
              </w:numPr>
              <w:spacing w:before="240" w:after="0"/>
              <w:ind w:hanging="290"/>
              <w:jc w:val="left"/>
              <w:rPr>
                <w:szCs w:val="24"/>
              </w:rPr>
            </w:pPr>
            <w:r w:rsidRPr="005C3B55">
              <w:rPr>
                <w:szCs w:val="24"/>
              </w:rPr>
              <w:t>register of agricultural holdings;</w:t>
            </w:r>
          </w:p>
          <w:p w:rsidR="00F555D6" w:rsidRPr="005C3B55" w:rsidRDefault="00F555D6" w:rsidP="00F555D6">
            <w:pPr>
              <w:numPr>
                <w:ilvl w:val="0"/>
                <w:numId w:val="474"/>
              </w:numPr>
              <w:spacing w:before="0" w:after="240"/>
              <w:ind w:hanging="290"/>
              <w:jc w:val="left"/>
              <w:rPr>
                <w:szCs w:val="24"/>
              </w:rPr>
            </w:pPr>
            <w:r w:rsidRPr="005C3B55">
              <w:rPr>
                <w:szCs w:val="24"/>
              </w:rPr>
              <w:t>graphical agricultural unit of agricultural holding (GERK).</w:t>
            </w:r>
          </w:p>
          <w:p w:rsidR="00F555D6" w:rsidRPr="005C3B55" w:rsidRDefault="00F555D6" w:rsidP="00F555D6">
            <w:pPr>
              <w:spacing w:before="240" w:after="240" w:line="280" w:lineRule="auto"/>
              <w:rPr>
                <w:szCs w:val="24"/>
              </w:rPr>
            </w:pPr>
            <w:r w:rsidRPr="005C3B55">
              <w:rPr>
                <w:szCs w:val="24"/>
              </w:rPr>
              <w:t>On-site control:</w:t>
            </w:r>
          </w:p>
          <w:p w:rsidR="00F555D6" w:rsidRPr="005C3B55" w:rsidRDefault="00F555D6" w:rsidP="00F555D6">
            <w:pPr>
              <w:numPr>
                <w:ilvl w:val="0"/>
                <w:numId w:val="475"/>
              </w:numPr>
              <w:spacing w:before="240" w:after="0"/>
              <w:ind w:hanging="290"/>
              <w:jc w:val="left"/>
              <w:rPr>
                <w:szCs w:val="24"/>
              </w:rPr>
            </w:pPr>
            <w:r w:rsidRPr="005C3B55">
              <w:rPr>
                <w:szCs w:val="24"/>
              </w:rPr>
              <w:t>records on works;</w:t>
            </w:r>
          </w:p>
          <w:p w:rsidR="00F555D6" w:rsidRPr="005C3B55" w:rsidRDefault="00F555D6" w:rsidP="00F555D6">
            <w:pPr>
              <w:numPr>
                <w:ilvl w:val="0"/>
                <w:numId w:val="475"/>
              </w:numPr>
              <w:spacing w:before="0" w:after="0"/>
              <w:ind w:hanging="290"/>
              <w:jc w:val="left"/>
              <w:rPr>
                <w:szCs w:val="24"/>
              </w:rPr>
            </w:pPr>
            <w:r w:rsidRPr="005C3B55">
              <w:rPr>
                <w:szCs w:val="24"/>
              </w:rPr>
              <w:t>invoice on the purchase;</w:t>
            </w:r>
          </w:p>
          <w:p w:rsidR="00F555D6" w:rsidRPr="005C3B55" w:rsidRDefault="00F555D6" w:rsidP="00F555D6">
            <w:pPr>
              <w:numPr>
                <w:ilvl w:val="0"/>
                <w:numId w:val="475"/>
              </w:numPr>
              <w:spacing w:before="0" w:after="0"/>
              <w:ind w:hanging="290"/>
              <w:jc w:val="left"/>
              <w:rPr>
                <w:szCs w:val="24"/>
              </w:rPr>
            </w:pPr>
            <w:r w:rsidRPr="005C3B55">
              <w:rPr>
                <w:szCs w:val="24"/>
              </w:rPr>
              <w:t>presence of suitable machinery on agricultural holdings;</w:t>
            </w:r>
          </w:p>
          <w:p w:rsidR="00F555D6" w:rsidRPr="005C3B55" w:rsidRDefault="00F555D6" w:rsidP="00F555D6">
            <w:pPr>
              <w:numPr>
                <w:ilvl w:val="0"/>
                <w:numId w:val="475"/>
              </w:numPr>
              <w:spacing w:before="0" w:after="0"/>
              <w:ind w:hanging="290"/>
              <w:jc w:val="left"/>
              <w:rPr>
                <w:szCs w:val="24"/>
              </w:rPr>
            </w:pPr>
            <w:r w:rsidRPr="005C3B55">
              <w:rPr>
                <w:szCs w:val="24"/>
              </w:rPr>
              <w:t>agreement between the contractor and the user of mechanical services;</w:t>
            </w:r>
          </w:p>
          <w:p w:rsidR="00F555D6" w:rsidRPr="005C3B55" w:rsidRDefault="00F555D6" w:rsidP="00F555D6">
            <w:pPr>
              <w:numPr>
                <w:ilvl w:val="0"/>
                <w:numId w:val="475"/>
              </w:numPr>
              <w:spacing w:before="0" w:after="0"/>
              <w:ind w:hanging="290"/>
              <w:jc w:val="left"/>
              <w:rPr>
                <w:szCs w:val="24"/>
              </w:rPr>
            </w:pPr>
            <w:r w:rsidRPr="005C3B55">
              <w:rPr>
                <w:szCs w:val="24"/>
              </w:rPr>
              <w:t>invoice for the service implemented by the machinery hire syndicate;</w:t>
            </w:r>
          </w:p>
          <w:p w:rsidR="00F555D6" w:rsidRPr="005C3B55" w:rsidRDefault="00F555D6" w:rsidP="00F555D6">
            <w:pPr>
              <w:numPr>
                <w:ilvl w:val="0"/>
                <w:numId w:val="475"/>
              </w:numPr>
              <w:spacing w:before="0" w:after="240"/>
              <w:ind w:hanging="290"/>
              <w:jc w:val="left"/>
              <w:rPr>
                <w:szCs w:val="24"/>
              </w:rPr>
            </w:pPr>
            <w:r w:rsidRPr="005C3B55">
              <w:rPr>
                <w:szCs w:val="24"/>
              </w:rPr>
              <w:t>review of the agricultural holding.</w:t>
            </w:r>
          </w:p>
          <w:p w:rsidR="00F555D6" w:rsidRPr="005C3B55" w:rsidRDefault="00F555D6" w:rsidP="00F555D6">
            <w:pPr>
              <w:pStyle w:val="Telobesedila"/>
              <w:rPr>
                <w:szCs w:val="24"/>
              </w:rPr>
            </w:pPr>
          </w:p>
        </w:tc>
      </w:tr>
    </w:tbl>
    <w:p w:rsidR="00F555D6" w:rsidRPr="005C3B55" w:rsidRDefault="00F555D6" w:rsidP="00F555D6">
      <w:pPr>
        <w:pStyle w:val="Naslov8"/>
        <w:tabs>
          <w:tab w:val="clear" w:pos="765"/>
        </w:tabs>
        <w:ind w:left="0" w:firstLine="0"/>
        <w:rPr>
          <w:b w:val="0"/>
          <w:szCs w:val="24"/>
          <w:lang w:val="en-GB"/>
        </w:rPr>
      </w:pPr>
      <w:r w:rsidRPr="005C3B55">
        <w:rPr>
          <w:b w:val="0"/>
          <w:noProof w:val="0"/>
          <w:szCs w:val="24"/>
          <w:lang w:val="en-GB"/>
        </w:rPr>
        <w:t>VIN_POKT:</w:t>
      </w:r>
      <w:r w:rsidRPr="005C3B55">
        <w:rPr>
          <w:b w:val="0"/>
          <w:szCs w:val="24"/>
          <w:lang w:val="en-GB"/>
        </w:rPr>
        <w:t xml:space="preserve"> </w:t>
      </w:r>
      <w:r w:rsidRPr="005C3B55">
        <w:rPr>
          <w:b w:val="0"/>
          <w:noProof w:val="0"/>
          <w:szCs w:val="24"/>
          <w:lang w:val="en-GB"/>
        </w:rPr>
        <w:t>Ground cover in row spacing</w:t>
      </w:r>
    </w:p>
    <w:p w:rsidR="00F555D6" w:rsidRPr="005C3B55" w:rsidRDefault="00F555D6" w:rsidP="00F555D6">
      <w:pPr>
        <w:pStyle w:val="Naslov9"/>
        <w:tabs>
          <w:tab w:val="clear" w:pos="765"/>
        </w:tabs>
        <w:ind w:left="0" w:firstLine="0"/>
        <w:rPr>
          <w:szCs w:val="24"/>
          <w:lang w:val="en-GB"/>
        </w:rPr>
      </w:pPr>
      <w:r w:rsidRPr="005C3B55">
        <w:rPr>
          <w:noProof w:val="0"/>
          <w:szCs w:val="24"/>
          <w:lang w:val="en-GB"/>
        </w:rPr>
        <w:t>Methods of commitment verification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Administrative control:</w:t>
            </w:r>
          </w:p>
          <w:p w:rsidR="00F555D6" w:rsidRPr="005C3B55" w:rsidRDefault="00F555D6" w:rsidP="00F555D6">
            <w:pPr>
              <w:numPr>
                <w:ilvl w:val="0"/>
                <w:numId w:val="476"/>
              </w:numPr>
              <w:spacing w:before="240" w:after="0"/>
              <w:ind w:hanging="290"/>
              <w:jc w:val="left"/>
              <w:rPr>
                <w:szCs w:val="24"/>
              </w:rPr>
            </w:pPr>
            <w:r w:rsidRPr="005C3B55">
              <w:rPr>
                <w:szCs w:val="24"/>
              </w:rPr>
              <w:t>suitability of the agricultural plant through collective application;</w:t>
            </w:r>
          </w:p>
          <w:p w:rsidR="00F555D6" w:rsidRPr="005C3B55" w:rsidRDefault="00F555D6" w:rsidP="00F555D6">
            <w:pPr>
              <w:numPr>
                <w:ilvl w:val="0"/>
                <w:numId w:val="476"/>
              </w:numPr>
              <w:spacing w:before="0" w:after="0"/>
              <w:ind w:hanging="290"/>
              <w:jc w:val="left"/>
              <w:rPr>
                <w:szCs w:val="24"/>
              </w:rPr>
            </w:pPr>
            <w:r w:rsidRPr="005C3B55">
              <w:rPr>
                <w:szCs w:val="24"/>
              </w:rPr>
              <w:t>verification of grassification and terraces through the register of agricultural holdings;</w:t>
            </w:r>
          </w:p>
          <w:p w:rsidR="00F555D6" w:rsidRPr="005C3B55" w:rsidRDefault="00F555D6" w:rsidP="00F555D6">
            <w:pPr>
              <w:numPr>
                <w:ilvl w:val="0"/>
                <w:numId w:val="476"/>
              </w:numPr>
              <w:spacing w:before="0" w:after="240"/>
              <w:ind w:hanging="290"/>
              <w:jc w:val="left"/>
              <w:rPr>
                <w:szCs w:val="24"/>
              </w:rPr>
            </w:pPr>
            <w:r w:rsidRPr="005C3B55">
              <w:rPr>
                <w:szCs w:val="24"/>
              </w:rPr>
              <w:t>control of inclination through the register of agricultural holdings.</w:t>
            </w:r>
          </w:p>
          <w:p w:rsidR="00F555D6" w:rsidRPr="005C3B55" w:rsidRDefault="00F555D6" w:rsidP="00F555D6">
            <w:pPr>
              <w:spacing w:before="240" w:after="240" w:line="280" w:lineRule="auto"/>
              <w:rPr>
                <w:szCs w:val="24"/>
              </w:rPr>
            </w:pPr>
            <w:r w:rsidRPr="005C3B55">
              <w:rPr>
                <w:szCs w:val="24"/>
              </w:rPr>
              <w:t>Registers/records:</w:t>
            </w:r>
          </w:p>
          <w:p w:rsidR="00F555D6" w:rsidRPr="005C3B55" w:rsidRDefault="00F555D6" w:rsidP="00F555D6">
            <w:pPr>
              <w:numPr>
                <w:ilvl w:val="0"/>
                <w:numId w:val="477"/>
              </w:numPr>
              <w:spacing w:before="240" w:after="0"/>
              <w:ind w:hanging="290"/>
              <w:jc w:val="left"/>
              <w:rPr>
                <w:szCs w:val="24"/>
              </w:rPr>
            </w:pPr>
            <w:r w:rsidRPr="005C3B55">
              <w:rPr>
                <w:szCs w:val="24"/>
              </w:rPr>
              <w:t>register of agricultural holdings;</w:t>
            </w:r>
          </w:p>
          <w:p w:rsidR="00F555D6" w:rsidRPr="005C3B55" w:rsidRDefault="00F555D6" w:rsidP="00F555D6">
            <w:pPr>
              <w:numPr>
                <w:ilvl w:val="0"/>
                <w:numId w:val="477"/>
              </w:numPr>
              <w:spacing w:before="0" w:after="240"/>
              <w:ind w:hanging="290"/>
              <w:jc w:val="left"/>
              <w:rPr>
                <w:szCs w:val="24"/>
              </w:rPr>
            </w:pPr>
            <w:r w:rsidRPr="005C3B55">
              <w:rPr>
                <w:szCs w:val="24"/>
              </w:rPr>
              <w:t>graphical agricultural unit of agricultural holding (GERK).</w:t>
            </w:r>
          </w:p>
          <w:p w:rsidR="00F555D6" w:rsidRPr="005C3B55" w:rsidRDefault="00F555D6" w:rsidP="00F555D6">
            <w:pPr>
              <w:spacing w:before="240" w:after="240" w:line="280" w:lineRule="auto"/>
              <w:rPr>
                <w:szCs w:val="24"/>
              </w:rPr>
            </w:pPr>
            <w:r w:rsidRPr="005C3B55">
              <w:rPr>
                <w:szCs w:val="24"/>
              </w:rPr>
              <w:t>On-site control:</w:t>
            </w:r>
          </w:p>
          <w:p w:rsidR="00F555D6" w:rsidRPr="005C3B55" w:rsidRDefault="00F555D6" w:rsidP="00F555D6">
            <w:pPr>
              <w:numPr>
                <w:ilvl w:val="0"/>
                <w:numId w:val="478"/>
              </w:numPr>
              <w:spacing w:before="240" w:after="0"/>
              <w:ind w:hanging="290"/>
              <w:jc w:val="left"/>
              <w:rPr>
                <w:szCs w:val="24"/>
              </w:rPr>
            </w:pPr>
            <w:r w:rsidRPr="005C3B55">
              <w:rPr>
                <w:szCs w:val="24"/>
              </w:rPr>
              <w:t>records on works;</w:t>
            </w:r>
          </w:p>
          <w:p w:rsidR="00F555D6" w:rsidRPr="005C3B55" w:rsidRDefault="00F555D6" w:rsidP="00F555D6">
            <w:pPr>
              <w:numPr>
                <w:ilvl w:val="0"/>
                <w:numId w:val="478"/>
              </w:numPr>
              <w:spacing w:before="0" w:after="0"/>
              <w:ind w:hanging="290"/>
              <w:jc w:val="left"/>
              <w:rPr>
                <w:szCs w:val="24"/>
              </w:rPr>
            </w:pPr>
            <w:r w:rsidRPr="005C3B55">
              <w:rPr>
                <w:szCs w:val="24"/>
              </w:rPr>
              <w:t>compliance with the situation in nature;</w:t>
            </w:r>
          </w:p>
          <w:p w:rsidR="00F555D6" w:rsidRPr="005C3B55" w:rsidRDefault="00F555D6" w:rsidP="00F555D6">
            <w:pPr>
              <w:numPr>
                <w:ilvl w:val="0"/>
                <w:numId w:val="478"/>
              </w:numPr>
              <w:spacing w:before="0" w:after="240"/>
              <w:ind w:hanging="290"/>
              <w:jc w:val="left"/>
              <w:rPr>
                <w:szCs w:val="24"/>
              </w:rPr>
            </w:pPr>
            <w:r w:rsidRPr="005C3B55">
              <w:rPr>
                <w:szCs w:val="24"/>
              </w:rPr>
              <w:t>review of the agricultural holding.</w:t>
            </w:r>
          </w:p>
          <w:p w:rsidR="00F555D6" w:rsidRPr="005C3B55" w:rsidRDefault="00F555D6" w:rsidP="00F555D6">
            <w:pPr>
              <w:pStyle w:val="Telobesedila"/>
              <w:rPr>
                <w:szCs w:val="24"/>
              </w:rPr>
            </w:pPr>
          </w:p>
        </w:tc>
      </w:tr>
    </w:tbl>
    <w:p w:rsidR="00F555D6" w:rsidRPr="005C3B55" w:rsidRDefault="00F555D6" w:rsidP="00F555D6">
      <w:pPr>
        <w:pStyle w:val="Naslov8"/>
        <w:tabs>
          <w:tab w:val="clear" w:pos="765"/>
        </w:tabs>
        <w:ind w:left="0" w:firstLine="0"/>
        <w:rPr>
          <w:b w:val="0"/>
          <w:szCs w:val="24"/>
          <w:lang w:val="en-GB"/>
        </w:rPr>
      </w:pPr>
      <w:r w:rsidRPr="005C3B55">
        <w:rPr>
          <w:b w:val="0"/>
          <w:noProof w:val="0"/>
          <w:szCs w:val="24"/>
          <w:lang w:val="en-GB"/>
        </w:rPr>
        <w:t>VIN_VABE:</w:t>
      </w:r>
      <w:r w:rsidRPr="005C3B55">
        <w:rPr>
          <w:b w:val="0"/>
          <w:szCs w:val="24"/>
          <w:lang w:val="en-GB"/>
        </w:rPr>
        <w:t xml:space="preserve"> </w:t>
      </w:r>
      <w:r w:rsidRPr="005C3B55">
        <w:rPr>
          <w:b w:val="0"/>
          <w:noProof w:val="0"/>
          <w:szCs w:val="24"/>
          <w:lang w:val="en-GB"/>
        </w:rPr>
        <w:t>Use of pheromone and sticky traps for the needs of pest control</w:t>
      </w:r>
    </w:p>
    <w:p w:rsidR="00F555D6" w:rsidRPr="005C3B55" w:rsidRDefault="00F555D6" w:rsidP="00F555D6">
      <w:pPr>
        <w:pStyle w:val="Naslov9"/>
        <w:tabs>
          <w:tab w:val="clear" w:pos="765"/>
        </w:tabs>
        <w:ind w:left="0" w:firstLine="0"/>
        <w:rPr>
          <w:szCs w:val="24"/>
          <w:lang w:val="en-GB"/>
        </w:rPr>
      </w:pPr>
      <w:r w:rsidRPr="005C3B55">
        <w:rPr>
          <w:noProof w:val="0"/>
          <w:szCs w:val="24"/>
          <w:lang w:val="en-GB"/>
        </w:rPr>
        <w:t>Methods of commitment verification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Administrative control:</w:t>
            </w:r>
          </w:p>
          <w:p w:rsidR="00F555D6" w:rsidRPr="005C3B55" w:rsidRDefault="00F555D6" w:rsidP="00F555D6">
            <w:pPr>
              <w:numPr>
                <w:ilvl w:val="0"/>
                <w:numId w:val="479"/>
              </w:numPr>
              <w:spacing w:before="240" w:after="0"/>
              <w:ind w:hanging="290"/>
              <w:jc w:val="left"/>
              <w:rPr>
                <w:szCs w:val="24"/>
              </w:rPr>
            </w:pPr>
            <w:r w:rsidRPr="005C3B55">
              <w:rPr>
                <w:szCs w:val="24"/>
              </w:rPr>
              <w:t>control of inclination through the register of agricultural holdings.</w:t>
            </w:r>
          </w:p>
          <w:p w:rsidR="00F555D6" w:rsidRPr="005C3B55" w:rsidRDefault="00F555D6" w:rsidP="00F555D6">
            <w:pPr>
              <w:numPr>
                <w:ilvl w:val="0"/>
                <w:numId w:val="479"/>
              </w:numPr>
              <w:spacing w:before="0" w:after="240"/>
              <w:ind w:hanging="290"/>
              <w:jc w:val="left"/>
              <w:rPr>
                <w:szCs w:val="24"/>
              </w:rPr>
            </w:pPr>
            <w:r w:rsidRPr="005C3B55">
              <w:rPr>
                <w:szCs w:val="24"/>
              </w:rPr>
              <w:t>suitability of the agricultural plant through collective application.</w:t>
            </w:r>
          </w:p>
          <w:p w:rsidR="00F555D6" w:rsidRPr="005C3B55" w:rsidRDefault="00F555D6" w:rsidP="00F555D6">
            <w:pPr>
              <w:spacing w:before="240" w:after="240" w:line="280" w:lineRule="auto"/>
              <w:rPr>
                <w:szCs w:val="24"/>
              </w:rPr>
            </w:pPr>
            <w:r w:rsidRPr="005C3B55">
              <w:rPr>
                <w:szCs w:val="24"/>
              </w:rPr>
              <w:t>Registers/records:</w:t>
            </w:r>
          </w:p>
          <w:p w:rsidR="00F555D6" w:rsidRPr="005C3B55" w:rsidRDefault="00F555D6" w:rsidP="00F555D6">
            <w:pPr>
              <w:numPr>
                <w:ilvl w:val="0"/>
                <w:numId w:val="480"/>
              </w:numPr>
              <w:spacing w:before="240" w:after="0"/>
              <w:ind w:hanging="290"/>
              <w:jc w:val="left"/>
              <w:rPr>
                <w:szCs w:val="24"/>
              </w:rPr>
            </w:pPr>
            <w:r w:rsidRPr="005C3B55">
              <w:rPr>
                <w:szCs w:val="24"/>
              </w:rPr>
              <w:t>register of agricultural holdings;</w:t>
            </w:r>
          </w:p>
          <w:p w:rsidR="00F555D6" w:rsidRPr="005C3B55" w:rsidRDefault="00F555D6" w:rsidP="00F555D6">
            <w:pPr>
              <w:numPr>
                <w:ilvl w:val="0"/>
                <w:numId w:val="480"/>
              </w:numPr>
              <w:spacing w:before="0" w:after="240"/>
              <w:ind w:hanging="290"/>
              <w:jc w:val="left"/>
              <w:rPr>
                <w:szCs w:val="24"/>
              </w:rPr>
            </w:pPr>
            <w:r w:rsidRPr="005C3B55">
              <w:rPr>
                <w:szCs w:val="24"/>
              </w:rPr>
              <w:t>graphical agricultural unit of agricultural holding (GERK).</w:t>
            </w:r>
          </w:p>
          <w:p w:rsidR="00F555D6" w:rsidRPr="005C3B55" w:rsidRDefault="00F555D6" w:rsidP="00F555D6">
            <w:pPr>
              <w:spacing w:before="240" w:after="240" w:line="280" w:lineRule="auto"/>
              <w:rPr>
                <w:szCs w:val="24"/>
              </w:rPr>
            </w:pPr>
            <w:r w:rsidRPr="005C3B55">
              <w:rPr>
                <w:szCs w:val="24"/>
              </w:rPr>
              <w:t>On-site control:</w:t>
            </w:r>
          </w:p>
          <w:p w:rsidR="00F555D6" w:rsidRPr="005C3B55" w:rsidRDefault="00F555D6" w:rsidP="00F555D6">
            <w:pPr>
              <w:numPr>
                <w:ilvl w:val="0"/>
                <w:numId w:val="481"/>
              </w:numPr>
              <w:spacing w:before="240" w:after="0"/>
              <w:ind w:hanging="290"/>
              <w:jc w:val="left"/>
              <w:rPr>
                <w:szCs w:val="24"/>
              </w:rPr>
            </w:pPr>
            <w:r w:rsidRPr="005C3B55">
              <w:rPr>
                <w:szCs w:val="24"/>
              </w:rPr>
              <w:t>records on works;</w:t>
            </w:r>
          </w:p>
          <w:p w:rsidR="00F555D6" w:rsidRPr="005C3B55" w:rsidRDefault="00F555D6" w:rsidP="00F555D6">
            <w:pPr>
              <w:numPr>
                <w:ilvl w:val="0"/>
                <w:numId w:val="481"/>
              </w:numPr>
              <w:spacing w:before="0" w:after="0"/>
              <w:ind w:hanging="290"/>
              <w:jc w:val="left"/>
              <w:rPr>
                <w:szCs w:val="24"/>
              </w:rPr>
            </w:pPr>
            <w:r w:rsidRPr="005C3B55">
              <w:rPr>
                <w:szCs w:val="24"/>
              </w:rPr>
              <w:t>invoice on the purchase;</w:t>
            </w:r>
          </w:p>
          <w:p w:rsidR="00F555D6" w:rsidRPr="005C3B55" w:rsidRDefault="00F555D6" w:rsidP="00F555D6">
            <w:pPr>
              <w:numPr>
                <w:ilvl w:val="0"/>
                <w:numId w:val="481"/>
              </w:numPr>
              <w:spacing w:before="0" w:after="0"/>
              <w:ind w:hanging="290"/>
              <w:jc w:val="left"/>
              <w:rPr>
                <w:szCs w:val="24"/>
              </w:rPr>
            </w:pPr>
            <w:r w:rsidRPr="005C3B55">
              <w:rPr>
                <w:szCs w:val="24"/>
              </w:rPr>
              <w:t>declaration;</w:t>
            </w:r>
          </w:p>
          <w:p w:rsidR="00F555D6" w:rsidRPr="005C3B55" w:rsidRDefault="00F555D6" w:rsidP="00F555D6">
            <w:pPr>
              <w:numPr>
                <w:ilvl w:val="0"/>
                <w:numId w:val="481"/>
              </w:numPr>
              <w:spacing w:before="0" w:after="0"/>
              <w:ind w:hanging="290"/>
              <w:jc w:val="left"/>
              <w:rPr>
                <w:szCs w:val="24"/>
              </w:rPr>
            </w:pPr>
            <w:r w:rsidRPr="005C3B55">
              <w:rPr>
                <w:szCs w:val="24"/>
              </w:rPr>
              <w:t>producer’s instructions on the use of traps;</w:t>
            </w:r>
          </w:p>
          <w:p w:rsidR="00F555D6" w:rsidRPr="005C3B55" w:rsidRDefault="00F555D6" w:rsidP="00F555D6">
            <w:pPr>
              <w:numPr>
                <w:ilvl w:val="0"/>
                <w:numId w:val="481"/>
              </w:numPr>
              <w:spacing w:before="0" w:after="0"/>
              <w:ind w:hanging="290"/>
              <w:jc w:val="left"/>
              <w:rPr>
                <w:szCs w:val="24"/>
              </w:rPr>
            </w:pPr>
            <w:r w:rsidRPr="005C3B55">
              <w:rPr>
                <w:szCs w:val="24"/>
              </w:rPr>
              <w:t>whether the agricultural holding keeps used pheromone and/or sticky plates;</w:t>
            </w:r>
          </w:p>
          <w:p w:rsidR="00F555D6" w:rsidRPr="005C3B55" w:rsidRDefault="00F555D6" w:rsidP="00F555D6">
            <w:pPr>
              <w:numPr>
                <w:ilvl w:val="0"/>
                <w:numId w:val="481"/>
              </w:numPr>
              <w:spacing w:before="0" w:after="240"/>
              <w:ind w:hanging="290"/>
              <w:jc w:val="left"/>
              <w:rPr>
                <w:szCs w:val="24"/>
              </w:rPr>
            </w:pPr>
            <w:r w:rsidRPr="005C3B55">
              <w:rPr>
                <w:szCs w:val="24"/>
              </w:rPr>
              <w:t>review of the agricultural holding.</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Information that relates specifically to the operation</w:t>
      </w:r>
    </w:p>
    <w:p w:rsidR="00F555D6" w:rsidRPr="005C3B55" w:rsidRDefault="00F555D6" w:rsidP="00F555D6">
      <w:pPr>
        <w:spacing w:line="280" w:lineRule="auto"/>
        <w:rPr>
          <w:szCs w:val="24"/>
        </w:rPr>
      </w:pPr>
      <w:r w:rsidRPr="005C3B55">
        <w:rPr>
          <w:szCs w:val="24"/>
        </w:rPr>
        <w:t>Definition and identification of the relevant basic elements; this should include the relevant mandatory standards determined in accordance with Chapter I of Title VI of Regulation (EU) No 1306/2013 of the European Parliament and of the Council, relevant criteria and minimum activities determined in accordance with points (c)(ii) and (c)(iii) of the first paragraph of Article 4 of Regulation (EU) No 1307/2013 of the European Parliament and of the Council, relevant minimum requirements for the use of organic fertilisers and plant protection products and relevant mandatory requirements determined by national law</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 xml:space="preserve">Described in the chapter </w:t>
            </w:r>
            <w:r w:rsidRPr="005C3B55">
              <w:rPr>
                <w:i/>
                <w:szCs w:val="24"/>
              </w:rPr>
              <w:t>Agri-environment-climate commitments</w:t>
            </w:r>
            <w:r w:rsidRPr="005C3B55">
              <w:rPr>
                <w:szCs w:val="24"/>
              </w:rPr>
              <w:t>.</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 xml:space="preserve">Minimum requirements for fertilisers must include, inter alia, the Codes of Good Practice introduced under Directive 91/676/EEC for farms outside Nitrate Vulnerable Zones, and requirements concerning phosphorous pollution; minimum requirements for plant protection products use must include, </w:t>
      </w:r>
      <w:r w:rsidRPr="005C3B55">
        <w:rPr>
          <w:i/>
          <w:szCs w:val="24"/>
        </w:rPr>
        <w:t>inter alia</w:t>
      </w:r>
      <w:r w:rsidRPr="005C3B55">
        <w:rPr>
          <w:szCs w:val="24"/>
        </w:rPr>
        <w:t>, general principles for integrated pest management introduced with Directive 2009/128/EC, requirements to have a licence to use the products and meet training obligations, requirements on safe storage, the checking of application machinery and rules on pesticide use close to water and other sensitive sites, as established by national legislation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 xml:space="preserve">Described in the chapter </w:t>
            </w:r>
            <w:r w:rsidRPr="005C3B55">
              <w:rPr>
                <w:i/>
                <w:szCs w:val="24"/>
              </w:rPr>
              <w:t>Agri-environment-climate commitments</w:t>
            </w:r>
            <w:r w:rsidRPr="005C3B55">
              <w:rPr>
                <w:szCs w:val="24"/>
              </w:rPr>
              <w:t>.</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List of local breeds in danger of being lost to farming and for plant genetic resources under threat of genetic erosion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Not relevant.</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The description of the methodology and of the agronomic assumptions and parameters, including the description of the baseline requirements as stated in Article 29(2) of Regulation (EU) No 1305/2013, which are relevant for each particular type of commitment used as reference point for the calculations which justify: additional costs and lost revenue due to the assumed commitment and the amount of transaction costs; where necessary, the methodology takes into account the support granted under Regulation (EU) No 1307/2013, including payments for agricultural practices that favourably affect the climate and environment, in order to prevent the possibility of dual financing; where appropriate, the conversion method used for other units in accordance with Article 9 of this Regulation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The calculation of the amount of payments for individual requirements observes:</w:t>
            </w:r>
          </w:p>
          <w:p w:rsidR="00F555D6" w:rsidRPr="005C3B55" w:rsidRDefault="00F555D6" w:rsidP="00F555D6">
            <w:pPr>
              <w:spacing w:before="240" w:after="240" w:line="280" w:lineRule="auto"/>
              <w:rPr>
                <w:szCs w:val="24"/>
              </w:rPr>
            </w:pPr>
            <w:r w:rsidRPr="005C3B55">
              <w:rPr>
                <w:b/>
                <w:szCs w:val="24"/>
              </w:rPr>
              <w:t>A. Mandatory requirements</w:t>
            </w:r>
          </w:p>
          <w:p w:rsidR="00F555D6" w:rsidRPr="005C3B55" w:rsidRDefault="00F555D6" w:rsidP="00F555D6">
            <w:pPr>
              <w:spacing w:before="240" w:after="240" w:line="280" w:lineRule="auto"/>
              <w:rPr>
                <w:szCs w:val="24"/>
              </w:rPr>
            </w:pPr>
            <w:r w:rsidRPr="005C3B55">
              <w:rPr>
                <w:szCs w:val="24"/>
              </w:rPr>
              <w:t>VIN_VABE: To use plant protection products more rationally, pheromone and sticky traps are used between 15 March and 15 August with which the abundance and time of occurrence of pests are monitored as a criterion for the necessary protection measures. The number of necessary traps for individual sorts of fruit is determined in the instructions from the producers of pheromone and sticky traps. The calculation takes into account the cost of pheromone and sticky traps, and of work spent on monitoring pests between 15 March and 15 August. For more accurate monitoring of pests and spraying in accordance with their actual occurrence, the use of insecticides is reduced. The calculation thus takes into account the use of insecticides reduced by a third in comparison with standard agricultural practice which does not anticipate the use of pheromone and sticky traps. Calculations have been prepared for vineyard inclinations of up to 35% and above 35%. Where inclinations are higher, there is more manual and machine work to be done to implement the work phases, which increases the costs of implementing the requirement.</w:t>
            </w:r>
          </w:p>
          <w:p w:rsidR="00F555D6" w:rsidRPr="005C3B55" w:rsidRDefault="00F555D6" w:rsidP="00F555D6">
            <w:pPr>
              <w:spacing w:before="240" w:after="240" w:line="280" w:lineRule="auto"/>
              <w:rPr>
                <w:szCs w:val="24"/>
              </w:rPr>
            </w:pPr>
            <w:r w:rsidRPr="005C3B55">
              <w:rPr>
                <w:szCs w:val="24"/>
              </w:rPr>
              <w:t>VIN_EKGN: In standard agricultural practice, mineral and organic fertilisers may be used. The calculation takes into account the difference between the costs of fertilising with mineral fertilisers which are largely used for fertilising vineyards, and the costs of fertilising with fertilisers permitted in organic production. Calculations have been prepared for vineyard inclinations of up to 35% and above 35%. Where inclinations are higher, there is more manual and machine work to be done to implement the work phases, which increases the costs of implementing the requirement.</w:t>
            </w:r>
          </w:p>
          <w:p w:rsidR="00F555D6" w:rsidRPr="005C3B55" w:rsidRDefault="00F555D6" w:rsidP="00F555D6">
            <w:pPr>
              <w:spacing w:before="240" w:after="240" w:line="280" w:lineRule="auto"/>
              <w:rPr>
                <w:szCs w:val="24"/>
              </w:rPr>
            </w:pPr>
            <w:r w:rsidRPr="005C3B55">
              <w:rPr>
                <w:b/>
                <w:szCs w:val="24"/>
              </w:rPr>
              <w:t>B. Optional requirements</w:t>
            </w:r>
          </w:p>
          <w:p w:rsidR="00F555D6" w:rsidRPr="005C3B55" w:rsidRDefault="00F555D6" w:rsidP="00F555D6">
            <w:pPr>
              <w:spacing w:before="240" w:after="240" w:line="280" w:lineRule="auto"/>
              <w:rPr>
                <w:szCs w:val="24"/>
              </w:rPr>
            </w:pPr>
            <w:r w:rsidRPr="005C3B55">
              <w:rPr>
                <w:szCs w:val="24"/>
              </w:rPr>
              <w:t>VIN_KONF: Alternative method of plant protection with pheromone dispensers which are used before the beginning or at the very beginning of the flight of butterflies. Dispensers are used as a supplementary method of controlling all genera of pests. The calculation takes into account the costs of pheromone dispensers and of dispenser installation.</w:t>
            </w:r>
          </w:p>
          <w:p w:rsidR="00F555D6" w:rsidRPr="005C3B55" w:rsidRDefault="00F555D6" w:rsidP="00F555D6">
            <w:pPr>
              <w:spacing w:before="240" w:after="240" w:line="280" w:lineRule="auto"/>
              <w:rPr>
                <w:szCs w:val="24"/>
              </w:rPr>
            </w:pPr>
            <w:r w:rsidRPr="005C3B55">
              <w:rPr>
                <w:szCs w:val="24"/>
              </w:rPr>
              <w:t>VIN_MEHZ: In standard agricultural practice, mechanical weeding is not prescribed. In this requirement, the use of herbicides is not permitted. The calculation takes into account the costs of mechanical weeding in the cultivation strip under vines reduced by the value of herbicides and the costs of their application (two-fold). Calculations have been prepared for vineyard inclinations of up to 35% and above 35%. Where inclinations are higher, there is more manual and machine work to be done to implement the work phases, which increases the costs of implementing the requirement.</w:t>
            </w:r>
          </w:p>
          <w:p w:rsidR="00F555D6" w:rsidRPr="005C3B55" w:rsidRDefault="00F555D6" w:rsidP="00F555D6">
            <w:pPr>
              <w:spacing w:before="240" w:after="240" w:line="280" w:lineRule="auto"/>
              <w:rPr>
                <w:szCs w:val="24"/>
              </w:rPr>
            </w:pPr>
            <w:r w:rsidRPr="005C3B55">
              <w:rPr>
                <w:szCs w:val="24"/>
              </w:rPr>
              <w:t>VIN_POKT: In vineyards where row spacing is covered by managed fallow, shallow tillage is carried out and useful plants are sown after grape harvesting, and when the crops reach a certain size, they are mulched. The calculation for the requirement takes into account the costs of the aforementioned services and related costs of domestic work, and the costs of seeds for short-term greening of row spacing. Ground cover in row spacing in ensured throughout the growing period in every other row spacing. Calculations have been prepared for vineyard inclinations of up to 35% and above 35%. Where inclinations are higher, there is more manual and machine work to be done to implement the work phases, which increases the costs of implementing the requirement.</w:t>
            </w:r>
          </w:p>
          <w:p w:rsidR="00F555D6" w:rsidRPr="005C3B55" w:rsidRDefault="00F555D6" w:rsidP="00F555D6">
            <w:pPr>
              <w:spacing w:before="240" w:after="240" w:line="280" w:lineRule="auto"/>
              <w:rPr>
                <w:szCs w:val="24"/>
              </w:rPr>
            </w:pPr>
            <w:r w:rsidRPr="005C3B55">
              <w:rPr>
                <w:szCs w:val="24"/>
              </w:rPr>
              <w:t>VIN_MEDV: In vineyards where row spacing is not covered by managed fallow, shallow tillage is carried out with stubble cultivator and useful plants are sown after grape harvesting, and when the crops reach a certain size, they are mulched. The calculation for the requirement takes into account the costs of the aforementioned services and related costs of domestic work, and the costs of seeds for short-term greening of row spacing. Ground cover in row spacing in ensured throughout the growing period in every other row spacing. The calculation takes into account the costs of mechanical weeding in the cultivation strip under vines reduced by the value of herbicides and the costs of their application (two-fold). Calculations have been prepared for vineyard inclinations of up to 35% and above 35%. Where inclinations are higher, there is more manual and machine work to be done to implement the work phases, which increases the costs of implementing the requirement.</w:t>
            </w:r>
          </w:p>
          <w:p w:rsidR="00F555D6" w:rsidRPr="005C3B55" w:rsidRDefault="00F555D6" w:rsidP="00F555D6">
            <w:pPr>
              <w:pStyle w:val="Telobesedila"/>
              <w:rPr>
                <w:szCs w:val="24"/>
              </w:rPr>
            </w:pPr>
          </w:p>
        </w:tc>
      </w:tr>
    </w:tbl>
    <w:p w:rsidR="00F555D6" w:rsidRPr="005C3B55" w:rsidRDefault="00F555D6" w:rsidP="00F555D6">
      <w:pPr>
        <w:pStyle w:val="Naslov7"/>
        <w:tabs>
          <w:tab w:val="clear" w:pos="765"/>
        </w:tabs>
        <w:ind w:left="0" w:firstLine="0"/>
        <w:rPr>
          <w:szCs w:val="24"/>
          <w:lang w:val="en-GB"/>
        </w:rPr>
      </w:pPr>
      <w:r w:rsidRPr="005C3B55">
        <w:rPr>
          <w:noProof w:val="0"/>
          <w:szCs w:val="24"/>
          <w:lang w:val="en-GB"/>
        </w:rPr>
        <w:t>Agri-environment-climate commitments</w:t>
      </w:r>
    </w:p>
    <w:p w:rsidR="00F555D6" w:rsidRPr="005C3B55" w:rsidRDefault="00F555D6" w:rsidP="00F555D6">
      <w:pPr>
        <w:pStyle w:val="Naslov8"/>
        <w:tabs>
          <w:tab w:val="clear" w:pos="765"/>
        </w:tabs>
        <w:ind w:left="0" w:firstLine="0"/>
        <w:rPr>
          <w:b w:val="0"/>
          <w:szCs w:val="24"/>
          <w:lang w:val="en-GB"/>
        </w:rPr>
      </w:pPr>
      <w:r w:rsidRPr="005C3B55">
        <w:rPr>
          <w:b w:val="0"/>
          <w:noProof w:val="0"/>
          <w:szCs w:val="24"/>
          <w:lang w:val="en-GB"/>
        </w:rPr>
        <w:t>VIN_EKGN:</w:t>
      </w:r>
      <w:r w:rsidRPr="005C3B55">
        <w:rPr>
          <w:b w:val="0"/>
          <w:szCs w:val="24"/>
          <w:lang w:val="en-GB"/>
        </w:rPr>
        <w:t xml:space="preserve"> </w:t>
      </w:r>
      <w:r w:rsidRPr="005C3B55">
        <w:rPr>
          <w:b w:val="0"/>
          <w:noProof w:val="0"/>
          <w:szCs w:val="24"/>
          <w:lang w:val="en-GB"/>
        </w:rPr>
        <w:t>Only fertilisers permitted in organic production may be used</w:t>
      </w:r>
    </w:p>
    <w:p w:rsidR="00F555D6" w:rsidRPr="005C3B55" w:rsidRDefault="00F555D6" w:rsidP="00F555D6">
      <w:pPr>
        <w:pStyle w:val="Naslov9"/>
        <w:tabs>
          <w:tab w:val="clear" w:pos="765"/>
        </w:tabs>
        <w:ind w:left="0" w:firstLine="0"/>
        <w:rPr>
          <w:szCs w:val="24"/>
          <w:lang w:val="en-GB"/>
        </w:rPr>
      </w:pPr>
      <w:r w:rsidRPr="005C3B55">
        <w:rPr>
          <w:noProof w:val="0"/>
          <w:szCs w:val="24"/>
          <w:lang w:val="en-GB"/>
        </w:rPr>
        <w:t>Starting Point</w:t>
      </w:r>
    </w:p>
    <w:p w:rsidR="00F555D6" w:rsidRPr="005C3B55" w:rsidRDefault="00F555D6" w:rsidP="00F555D6">
      <w:pPr>
        <w:spacing w:line="280" w:lineRule="auto"/>
        <w:rPr>
          <w:szCs w:val="24"/>
        </w:rPr>
      </w:pPr>
      <w:r w:rsidRPr="005C3B55">
        <w:rPr>
          <w:szCs w:val="24"/>
        </w:rPr>
        <w:t>Suitable good agricultural and environmental conditions and/or prescribed management requirements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482"/>
              </w:numPr>
              <w:spacing w:before="0" w:after="240"/>
              <w:ind w:hanging="290"/>
              <w:jc w:val="left"/>
              <w:rPr>
                <w:szCs w:val="24"/>
              </w:rPr>
            </w:pPr>
            <w:r w:rsidRPr="005C3B55">
              <w:rPr>
                <w:szCs w:val="24"/>
              </w:rPr>
              <w:t>The type of a fertiliser is not prescribed in the Regulation on cross-compliance.</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Minimum requirements for the use of fertilisers and plant protection products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483"/>
              </w:numPr>
              <w:spacing w:before="0" w:after="0"/>
              <w:ind w:hanging="290"/>
              <w:jc w:val="left"/>
              <w:rPr>
                <w:szCs w:val="24"/>
              </w:rPr>
            </w:pPr>
            <w:r w:rsidRPr="005C3B55">
              <w:rPr>
                <w:szCs w:val="24"/>
              </w:rPr>
              <w:t>Minimum requirements for the use of fertilisers refer to the keeping of records on the use of livestock and mineral fertilisers which an agricultural holding has to keep for all agricultural land plots at the agricultural holding, and which has to include at least the quantity and type of livestock manure and mineral fertiliser, time of fertilising and data on the surface where these fertilisers are used.</w:t>
            </w:r>
          </w:p>
          <w:p w:rsidR="00F555D6" w:rsidRPr="005C3B55" w:rsidRDefault="00F555D6" w:rsidP="00F555D6">
            <w:pPr>
              <w:numPr>
                <w:ilvl w:val="0"/>
                <w:numId w:val="483"/>
              </w:numPr>
              <w:spacing w:before="0" w:after="240"/>
              <w:ind w:hanging="290"/>
              <w:jc w:val="left"/>
              <w:rPr>
                <w:szCs w:val="24"/>
              </w:rPr>
            </w:pPr>
            <w:r w:rsidRPr="005C3B55">
              <w:rPr>
                <w:szCs w:val="24"/>
              </w:rPr>
              <w:t>Minimum requirements for the use of plant protection products are not determined, since the requirements relating to the use of these products are standardised and are included in the requirements of cross-compliance.</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Other relevant national/regional requirements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484"/>
              </w:numPr>
              <w:spacing w:before="0" w:after="240"/>
              <w:ind w:hanging="290"/>
              <w:jc w:val="left"/>
              <w:rPr>
                <w:szCs w:val="24"/>
              </w:rPr>
            </w:pPr>
            <w:r w:rsidRPr="005C3B55">
              <w:rPr>
                <w:szCs w:val="24"/>
              </w:rPr>
              <w:t>Rules on integrated pest management (Official Gazette of the Republic of Slovenia, no. 43/14): In accordance with Article 4, the optimal growth of crop is ensured with balanced fertilisation with organic and mineral fertilisers in accordance with the needs of plants and irrigation techniques, where this is possible.</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Minimum activities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485"/>
              </w:numPr>
              <w:spacing w:before="0" w:after="240"/>
              <w:ind w:hanging="290"/>
              <w:jc w:val="left"/>
              <w:rPr>
                <w:szCs w:val="24"/>
              </w:rPr>
            </w:pPr>
            <w:r w:rsidRPr="005C3B55">
              <w:rPr>
                <w:szCs w:val="24"/>
              </w:rPr>
              <w:t>Not relevant.</w:t>
            </w:r>
          </w:p>
          <w:p w:rsidR="00F555D6" w:rsidRPr="005C3B55" w:rsidRDefault="00F555D6" w:rsidP="00F555D6">
            <w:pPr>
              <w:pStyle w:val="Telobesedila"/>
              <w:rPr>
                <w:szCs w:val="24"/>
              </w:rPr>
            </w:pPr>
          </w:p>
        </w:tc>
      </w:tr>
    </w:tbl>
    <w:p w:rsidR="00F555D6" w:rsidRPr="005C3B55" w:rsidRDefault="00F555D6" w:rsidP="00F555D6">
      <w:pPr>
        <w:pStyle w:val="Naslov9"/>
        <w:tabs>
          <w:tab w:val="clear" w:pos="765"/>
        </w:tabs>
        <w:ind w:left="0" w:firstLine="0"/>
        <w:rPr>
          <w:szCs w:val="24"/>
          <w:lang w:val="en-GB"/>
        </w:rPr>
      </w:pPr>
      <w:r w:rsidRPr="005C3B55">
        <w:rPr>
          <w:noProof w:val="0"/>
          <w:szCs w:val="24"/>
          <w:lang w:val="en-GB"/>
        </w:rPr>
        <w:t>Relevant standard agricultural practices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In standard agricultural practice, mineral and organic fertilisers are used.</w:t>
            </w:r>
          </w:p>
          <w:p w:rsidR="00F555D6" w:rsidRPr="005C3B55" w:rsidRDefault="00F555D6" w:rsidP="00F555D6">
            <w:pPr>
              <w:pStyle w:val="Telobesedila"/>
              <w:rPr>
                <w:szCs w:val="24"/>
              </w:rPr>
            </w:pPr>
          </w:p>
        </w:tc>
      </w:tr>
    </w:tbl>
    <w:p w:rsidR="00F555D6" w:rsidRPr="005C3B55" w:rsidRDefault="00F555D6" w:rsidP="00F555D6">
      <w:pPr>
        <w:pStyle w:val="Naslov8"/>
        <w:tabs>
          <w:tab w:val="clear" w:pos="765"/>
        </w:tabs>
        <w:ind w:left="0" w:firstLine="0"/>
        <w:rPr>
          <w:b w:val="0"/>
          <w:szCs w:val="24"/>
          <w:lang w:val="en-GB"/>
        </w:rPr>
      </w:pPr>
      <w:r w:rsidRPr="005C3B55">
        <w:rPr>
          <w:b w:val="0"/>
          <w:noProof w:val="0"/>
          <w:szCs w:val="24"/>
          <w:lang w:val="en-GB"/>
        </w:rPr>
        <w:t>VIN_KONF:</w:t>
      </w:r>
      <w:r w:rsidRPr="005C3B55">
        <w:rPr>
          <w:b w:val="0"/>
          <w:szCs w:val="24"/>
          <w:lang w:val="en-GB"/>
        </w:rPr>
        <w:t xml:space="preserve"> </w:t>
      </w:r>
      <w:r w:rsidRPr="005C3B55">
        <w:rPr>
          <w:b w:val="0"/>
          <w:noProof w:val="0"/>
          <w:szCs w:val="24"/>
          <w:lang w:val="en-GB"/>
        </w:rPr>
        <w:t>Use of confusion and disorientation methods</w:t>
      </w:r>
    </w:p>
    <w:p w:rsidR="00F555D6" w:rsidRPr="005C3B55" w:rsidRDefault="00F555D6" w:rsidP="00F555D6">
      <w:pPr>
        <w:pStyle w:val="Naslov9"/>
        <w:tabs>
          <w:tab w:val="clear" w:pos="765"/>
        </w:tabs>
        <w:ind w:left="0" w:firstLine="0"/>
        <w:rPr>
          <w:szCs w:val="24"/>
          <w:lang w:val="en-GB"/>
        </w:rPr>
      </w:pPr>
      <w:r w:rsidRPr="005C3B55">
        <w:rPr>
          <w:noProof w:val="0"/>
          <w:szCs w:val="24"/>
          <w:lang w:val="en-GB"/>
        </w:rPr>
        <w:t>Starting Point</w:t>
      </w:r>
    </w:p>
    <w:p w:rsidR="00F555D6" w:rsidRPr="005C3B55" w:rsidRDefault="00F555D6" w:rsidP="00F555D6">
      <w:pPr>
        <w:spacing w:line="280" w:lineRule="auto"/>
        <w:rPr>
          <w:szCs w:val="24"/>
        </w:rPr>
      </w:pPr>
      <w:r w:rsidRPr="005C3B55">
        <w:rPr>
          <w:szCs w:val="24"/>
        </w:rPr>
        <w:t>Suitable good agricultural and environmental conditions and/or prescribed management requirements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486"/>
              </w:numPr>
              <w:spacing w:before="0" w:after="240"/>
              <w:ind w:hanging="290"/>
              <w:jc w:val="left"/>
              <w:rPr>
                <w:szCs w:val="24"/>
              </w:rPr>
            </w:pPr>
            <w:r w:rsidRPr="005C3B55">
              <w:rPr>
                <w:szCs w:val="24"/>
              </w:rPr>
              <w:t>Regulation on cross-compliance, Annex 1: Rules on cross-compliance, SMR 10: Proper use of plant protection products: Only registered plant protection products or products for which an exceptional permit, a permit for extended use in the Republic of Slovenia, or a permit for placing on the market identical plant protection products from other EU Member States has been issued may be used. Registered plant protection products must be used correctly in accordance with the instructions stated on the label or with data included in the permission to use the product.</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Minimum requirements for the use of fertilisers and plant protection products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487"/>
              </w:numPr>
              <w:spacing w:before="0" w:after="0"/>
              <w:ind w:hanging="290"/>
              <w:jc w:val="left"/>
              <w:rPr>
                <w:szCs w:val="24"/>
              </w:rPr>
            </w:pPr>
            <w:r w:rsidRPr="005C3B55">
              <w:rPr>
                <w:szCs w:val="24"/>
              </w:rPr>
              <w:t>Minimum requirements for the use of fertilisers refer to the keeping of records on the use of livestock and mineral fertilisers which an agricultural holding has to keep for all agricultural land plots at the agricultural holding, and which has to include at least the quantity and type of livestock manure and mineral fertiliser, time of fertilising and data on the surface where these fertilisers are used.</w:t>
            </w:r>
          </w:p>
          <w:p w:rsidR="00F555D6" w:rsidRPr="005C3B55" w:rsidRDefault="00F555D6" w:rsidP="00F555D6">
            <w:pPr>
              <w:numPr>
                <w:ilvl w:val="0"/>
                <w:numId w:val="487"/>
              </w:numPr>
              <w:spacing w:before="0" w:after="240"/>
              <w:ind w:hanging="290"/>
              <w:jc w:val="left"/>
              <w:rPr>
                <w:szCs w:val="24"/>
              </w:rPr>
            </w:pPr>
            <w:r w:rsidRPr="005C3B55">
              <w:rPr>
                <w:szCs w:val="24"/>
              </w:rPr>
              <w:t>Minimum requirements for the use of plant protection products are not determined, since the requirements relating to the use of these products are standardised and are included in the requirements of cross-compliance.</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Other relevant national/regional requirements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488"/>
              </w:numPr>
              <w:spacing w:before="0" w:after="240"/>
              <w:ind w:hanging="290"/>
              <w:jc w:val="left"/>
              <w:rPr>
                <w:szCs w:val="24"/>
              </w:rPr>
            </w:pPr>
            <w:r w:rsidRPr="005C3B55">
              <w:rPr>
                <w:szCs w:val="24"/>
              </w:rPr>
              <w:t>Rules on integrated pest management (Official Gazette of the Republic of Slovenia, no. 43/14): In accordance with Article 5, plant protection products produced on the basis of microorganisms, plant extracts, pheromones and low-risk substances, registered or permitted in accordance with the law regulating plant protection products, can be used in pest control.</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Minimum activities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489"/>
              </w:numPr>
              <w:spacing w:before="0" w:after="240"/>
              <w:ind w:hanging="290"/>
              <w:jc w:val="left"/>
              <w:rPr>
                <w:szCs w:val="24"/>
              </w:rPr>
            </w:pPr>
            <w:r w:rsidRPr="005C3B55">
              <w:rPr>
                <w:szCs w:val="24"/>
              </w:rPr>
              <w:t>Not relevant.</w:t>
            </w:r>
          </w:p>
          <w:p w:rsidR="00F555D6" w:rsidRPr="005C3B55" w:rsidRDefault="00F555D6" w:rsidP="00F555D6">
            <w:pPr>
              <w:pStyle w:val="Telobesedila"/>
              <w:rPr>
                <w:szCs w:val="24"/>
              </w:rPr>
            </w:pPr>
          </w:p>
        </w:tc>
      </w:tr>
    </w:tbl>
    <w:p w:rsidR="00F555D6" w:rsidRPr="005C3B55" w:rsidRDefault="00F555D6" w:rsidP="00F555D6">
      <w:pPr>
        <w:pStyle w:val="Naslov9"/>
        <w:tabs>
          <w:tab w:val="clear" w:pos="765"/>
        </w:tabs>
        <w:ind w:left="0" w:firstLine="0"/>
        <w:rPr>
          <w:szCs w:val="24"/>
          <w:lang w:val="en-GB"/>
        </w:rPr>
      </w:pPr>
      <w:r w:rsidRPr="005C3B55">
        <w:rPr>
          <w:noProof w:val="0"/>
          <w:szCs w:val="24"/>
          <w:lang w:val="en-GB"/>
        </w:rPr>
        <w:t>Relevant standard agricultural practices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In standard agricultural practice, registered plant protection products – insecticides – are used for pest control.</w:t>
            </w:r>
          </w:p>
          <w:p w:rsidR="00F555D6" w:rsidRPr="005C3B55" w:rsidRDefault="00F555D6" w:rsidP="00F555D6">
            <w:pPr>
              <w:pStyle w:val="Telobesedila"/>
              <w:rPr>
                <w:szCs w:val="24"/>
              </w:rPr>
            </w:pPr>
          </w:p>
        </w:tc>
      </w:tr>
    </w:tbl>
    <w:p w:rsidR="00F555D6" w:rsidRPr="005C3B55" w:rsidRDefault="00F555D6" w:rsidP="00F555D6">
      <w:pPr>
        <w:pStyle w:val="Naslov8"/>
        <w:tabs>
          <w:tab w:val="clear" w:pos="765"/>
        </w:tabs>
        <w:ind w:left="0" w:firstLine="0"/>
        <w:rPr>
          <w:b w:val="0"/>
          <w:szCs w:val="24"/>
          <w:lang w:val="en-GB"/>
        </w:rPr>
      </w:pPr>
      <w:r w:rsidRPr="005C3B55">
        <w:rPr>
          <w:b w:val="0"/>
          <w:noProof w:val="0"/>
          <w:szCs w:val="24"/>
          <w:lang w:val="en-GB"/>
        </w:rPr>
        <w:t>VIN_MEDV:</w:t>
      </w:r>
      <w:r w:rsidRPr="005C3B55">
        <w:rPr>
          <w:b w:val="0"/>
          <w:szCs w:val="24"/>
          <w:lang w:val="en-GB"/>
        </w:rPr>
        <w:t xml:space="preserve"> </w:t>
      </w:r>
      <w:r w:rsidRPr="005C3B55">
        <w:rPr>
          <w:b w:val="0"/>
          <w:noProof w:val="0"/>
          <w:szCs w:val="24"/>
          <w:lang w:val="en-GB"/>
        </w:rPr>
        <w:t>Land cover in vineyards over winter where row spacing is not covered with managed fallow</w:t>
      </w:r>
    </w:p>
    <w:p w:rsidR="00F555D6" w:rsidRPr="005C3B55" w:rsidRDefault="00F555D6" w:rsidP="00F555D6">
      <w:pPr>
        <w:pStyle w:val="Naslov9"/>
        <w:tabs>
          <w:tab w:val="clear" w:pos="765"/>
        </w:tabs>
        <w:ind w:left="0" w:firstLine="0"/>
        <w:rPr>
          <w:szCs w:val="24"/>
          <w:lang w:val="en-GB"/>
        </w:rPr>
      </w:pPr>
      <w:r w:rsidRPr="005C3B55">
        <w:rPr>
          <w:noProof w:val="0"/>
          <w:szCs w:val="24"/>
          <w:lang w:val="en-GB"/>
        </w:rPr>
        <w:t>Starting Point</w:t>
      </w:r>
    </w:p>
    <w:p w:rsidR="00F555D6" w:rsidRPr="005C3B55" w:rsidRDefault="00F555D6" w:rsidP="00F555D6">
      <w:pPr>
        <w:spacing w:line="280" w:lineRule="auto"/>
        <w:rPr>
          <w:szCs w:val="24"/>
        </w:rPr>
      </w:pPr>
      <w:r w:rsidRPr="005C3B55">
        <w:rPr>
          <w:szCs w:val="24"/>
        </w:rPr>
        <w:t>Suitable good agricultural and environmental conditions and/or prescribed management requirements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490"/>
              </w:numPr>
              <w:spacing w:before="0" w:after="240"/>
              <w:ind w:hanging="290"/>
              <w:jc w:val="left"/>
              <w:rPr>
                <w:szCs w:val="24"/>
              </w:rPr>
            </w:pPr>
            <w:r w:rsidRPr="005C3B55">
              <w:rPr>
                <w:szCs w:val="24"/>
              </w:rPr>
              <w:t>Ground cover in row spacing is not prescribed in the Regulation on cross-compliance.</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Minimum requirements for the use of fertilisers and plant protection products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491"/>
              </w:numPr>
              <w:spacing w:before="0" w:after="0"/>
              <w:ind w:hanging="290"/>
              <w:jc w:val="left"/>
              <w:rPr>
                <w:szCs w:val="24"/>
              </w:rPr>
            </w:pPr>
            <w:r w:rsidRPr="005C3B55">
              <w:rPr>
                <w:szCs w:val="24"/>
              </w:rPr>
              <w:t>Minimum requirements for the use of fertilisers refer to the keeping of records on the use of livestock and mineral fertilisers which an agricultural holding has to keep for all agricultural land plots at the agricultural holding, and which has to include at least the quantity and type of livestock manure and mineral fertiliser, time of fertilising and data on the surface where these fertilisers are used.</w:t>
            </w:r>
          </w:p>
          <w:p w:rsidR="00F555D6" w:rsidRPr="005C3B55" w:rsidRDefault="00F555D6" w:rsidP="00F555D6">
            <w:pPr>
              <w:numPr>
                <w:ilvl w:val="0"/>
                <w:numId w:val="491"/>
              </w:numPr>
              <w:spacing w:before="0" w:after="240"/>
              <w:ind w:hanging="290"/>
              <w:jc w:val="left"/>
              <w:rPr>
                <w:szCs w:val="24"/>
              </w:rPr>
            </w:pPr>
            <w:r w:rsidRPr="005C3B55">
              <w:rPr>
                <w:szCs w:val="24"/>
              </w:rPr>
              <w:t>Minimum requirements for the use of plant protection products are not determined, since the requirements relating to the use of these products are standardised and are included in the requirements of cross-compliance.</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Other relevant national/regional requirements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492"/>
              </w:numPr>
              <w:spacing w:before="0" w:after="240"/>
              <w:ind w:hanging="290"/>
              <w:jc w:val="left"/>
              <w:rPr>
                <w:szCs w:val="24"/>
              </w:rPr>
            </w:pPr>
            <w:r w:rsidRPr="005C3B55">
              <w:rPr>
                <w:szCs w:val="24"/>
              </w:rPr>
              <w:t>Other national requirements are not prescribed.</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Minimum activities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493"/>
              </w:numPr>
              <w:spacing w:before="0" w:after="240"/>
              <w:ind w:hanging="290"/>
              <w:jc w:val="left"/>
              <w:rPr>
                <w:szCs w:val="24"/>
              </w:rPr>
            </w:pPr>
            <w:r w:rsidRPr="005C3B55">
              <w:rPr>
                <w:szCs w:val="24"/>
              </w:rPr>
              <w:t>Not relevant.</w:t>
            </w:r>
          </w:p>
          <w:p w:rsidR="00F555D6" w:rsidRPr="005C3B55" w:rsidRDefault="00F555D6" w:rsidP="00F555D6">
            <w:pPr>
              <w:pStyle w:val="Telobesedila"/>
              <w:rPr>
                <w:szCs w:val="24"/>
              </w:rPr>
            </w:pPr>
          </w:p>
        </w:tc>
      </w:tr>
    </w:tbl>
    <w:p w:rsidR="00F555D6" w:rsidRPr="005C3B55" w:rsidRDefault="00F555D6" w:rsidP="00F555D6">
      <w:pPr>
        <w:pStyle w:val="Naslov9"/>
        <w:tabs>
          <w:tab w:val="clear" w:pos="765"/>
        </w:tabs>
        <w:ind w:left="0" w:firstLine="0"/>
        <w:rPr>
          <w:szCs w:val="24"/>
          <w:lang w:val="en-GB"/>
        </w:rPr>
      </w:pPr>
      <w:r w:rsidRPr="005C3B55">
        <w:rPr>
          <w:noProof w:val="0"/>
          <w:szCs w:val="24"/>
          <w:lang w:val="en-GB"/>
        </w:rPr>
        <w:t>Relevant standard agricultural practices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In standard agricultural practice, ground in row spacing is not covered by managed fallow in order to prevent drought in summer.</w:t>
            </w:r>
          </w:p>
          <w:p w:rsidR="00F555D6" w:rsidRPr="005C3B55" w:rsidRDefault="00F555D6" w:rsidP="00F555D6">
            <w:pPr>
              <w:pStyle w:val="Telobesedila"/>
              <w:rPr>
                <w:szCs w:val="24"/>
              </w:rPr>
            </w:pPr>
          </w:p>
        </w:tc>
      </w:tr>
    </w:tbl>
    <w:p w:rsidR="00F555D6" w:rsidRPr="005C3B55" w:rsidRDefault="00F555D6" w:rsidP="00F555D6">
      <w:pPr>
        <w:pStyle w:val="Naslov8"/>
        <w:tabs>
          <w:tab w:val="clear" w:pos="765"/>
        </w:tabs>
        <w:ind w:left="0" w:firstLine="0"/>
        <w:rPr>
          <w:b w:val="0"/>
          <w:szCs w:val="24"/>
          <w:lang w:val="en-GB"/>
        </w:rPr>
      </w:pPr>
      <w:r w:rsidRPr="005C3B55">
        <w:rPr>
          <w:b w:val="0"/>
          <w:noProof w:val="0"/>
          <w:szCs w:val="24"/>
          <w:lang w:val="en-GB"/>
        </w:rPr>
        <w:t>VIN_MEHZ:</w:t>
      </w:r>
      <w:r w:rsidRPr="005C3B55">
        <w:rPr>
          <w:b w:val="0"/>
          <w:szCs w:val="24"/>
          <w:lang w:val="en-GB"/>
        </w:rPr>
        <w:t xml:space="preserve"> </w:t>
      </w:r>
      <w:r w:rsidRPr="005C3B55">
        <w:rPr>
          <w:b w:val="0"/>
          <w:noProof w:val="0"/>
          <w:szCs w:val="24"/>
          <w:lang w:val="en-GB"/>
        </w:rPr>
        <w:t>Mechanical weeding (under vines)</w:t>
      </w:r>
    </w:p>
    <w:p w:rsidR="00F555D6" w:rsidRPr="005C3B55" w:rsidRDefault="00F555D6" w:rsidP="00F555D6">
      <w:pPr>
        <w:pStyle w:val="Naslov9"/>
        <w:tabs>
          <w:tab w:val="clear" w:pos="765"/>
        </w:tabs>
        <w:ind w:left="0" w:firstLine="0"/>
        <w:rPr>
          <w:szCs w:val="24"/>
          <w:lang w:val="en-GB"/>
        </w:rPr>
      </w:pPr>
      <w:r w:rsidRPr="005C3B55">
        <w:rPr>
          <w:noProof w:val="0"/>
          <w:szCs w:val="24"/>
          <w:lang w:val="en-GB"/>
        </w:rPr>
        <w:t>Starting Point</w:t>
      </w:r>
    </w:p>
    <w:p w:rsidR="00F555D6" w:rsidRPr="005C3B55" w:rsidRDefault="00F555D6" w:rsidP="00F555D6">
      <w:pPr>
        <w:spacing w:line="280" w:lineRule="auto"/>
        <w:rPr>
          <w:szCs w:val="24"/>
        </w:rPr>
      </w:pPr>
      <w:r w:rsidRPr="005C3B55">
        <w:rPr>
          <w:szCs w:val="24"/>
        </w:rPr>
        <w:t>Suitable good agricultural and environmental conditions and/or prescribed management requirements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494"/>
              </w:numPr>
              <w:spacing w:before="0" w:after="240"/>
              <w:ind w:hanging="290"/>
              <w:jc w:val="left"/>
              <w:rPr>
                <w:szCs w:val="24"/>
              </w:rPr>
            </w:pPr>
            <w:r w:rsidRPr="005C3B55">
              <w:rPr>
                <w:szCs w:val="24"/>
              </w:rPr>
              <w:t>Mechanical weeding is not prescribed in the Regulation on cross-compliance.</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Minimum requirements for the use of fertilisers and plant protection products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495"/>
              </w:numPr>
              <w:spacing w:before="0" w:after="0"/>
              <w:ind w:hanging="290"/>
              <w:jc w:val="left"/>
              <w:rPr>
                <w:szCs w:val="24"/>
              </w:rPr>
            </w:pPr>
            <w:r w:rsidRPr="005C3B55">
              <w:rPr>
                <w:szCs w:val="24"/>
              </w:rPr>
              <w:t>Minimum requirements for the use of fertilisers refer to the keeping of records on the use of livestock and mineral fertilisers which an agricultural holding has to keep for all agricultural land plots at the agricultural holding, and which has to include at least the quantity and type of livestock manure and mineral fertiliser, time of fertilising and data on the surface where these fertilisers are used.</w:t>
            </w:r>
          </w:p>
          <w:p w:rsidR="00F555D6" w:rsidRPr="005C3B55" w:rsidRDefault="00F555D6" w:rsidP="00F555D6">
            <w:pPr>
              <w:numPr>
                <w:ilvl w:val="0"/>
                <w:numId w:val="495"/>
              </w:numPr>
              <w:spacing w:before="0" w:after="240"/>
              <w:ind w:hanging="290"/>
              <w:jc w:val="left"/>
              <w:rPr>
                <w:szCs w:val="24"/>
              </w:rPr>
            </w:pPr>
            <w:r w:rsidRPr="005C3B55">
              <w:rPr>
                <w:szCs w:val="24"/>
              </w:rPr>
              <w:t>Minimum requirements for the use of plant protection products are not determined, since the requirements relating to the use of these products are standardised and are included in the requirements of cross-compliance.</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Other relevant national/regional requirements</w:t>
      </w:r>
    </w:p>
    <w:p w:rsidR="00F555D6" w:rsidRPr="005C3B55" w:rsidRDefault="00F555D6" w:rsidP="00F555D6">
      <w:pPr>
        <w:spacing w:after="0"/>
        <w:rPr>
          <w:szCs w:val="24"/>
        </w:rPr>
      </w:pP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496"/>
              </w:numPr>
              <w:spacing w:before="0" w:after="240"/>
              <w:ind w:hanging="290"/>
              <w:jc w:val="left"/>
              <w:rPr>
                <w:szCs w:val="24"/>
              </w:rPr>
            </w:pPr>
            <w:r w:rsidRPr="005C3B55">
              <w:rPr>
                <w:szCs w:val="24"/>
              </w:rPr>
              <w:t>Rules on integrated pest management (Official Gazette of the Republic of Slovenia, no. 43/14): Mechanical or physical weeding (mechanical or manual) may be implemented as per Article 5.</w:t>
            </w:r>
          </w:p>
          <w:p w:rsidR="00F555D6" w:rsidRPr="005C3B55" w:rsidRDefault="00F555D6" w:rsidP="00F555D6">
            <w:pPr>
              <w:spacing w:before="240" w:after="240" w:line="280" w:lineRule="auto"/>
              <w:rPr>
                <w:szCs w:val="24"/>
              </w:rPr>
            </w:pPr>
            <w:r w:rsidRPr="005C3B55">
              <w:rPr>
                <w:szCs w:val="24"/>
              </w:rPr>
              <w:t> </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Minimum activities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497"/>
              </w:numPr>
              <w:spacing w:before="0" w:after="240"/>
              <w:ind w:hanging="290"/>
              <w:jc w:val="left"/>
              <w:rPr>
                <w:szCs w:val="24"/>
              </w:rPr>
            </w:pPr>
            <w:r w:rsidRPr="005C3B55">
              <w:rPr>
                <w:szCs w:val="24"/>
              </w:rPr>
              <w:t>Not relevant.</w:t>
            </w:r>
          </w:p>
          <w:p w:rsidR="00F555D6" w:rsidRPr="005C3B55" w:rsidRDefault="00F555D6" w:rsidP="00F555D6">
            <w:pPr>
              <w:pStyle w:val="Telobesedila"/>
              <w:rPr>
                <w:szCs w:val="24"/>
              </w:rPr>
            </w:pPr>
          </w:p>
        </w:tc>
      </w:tr>
    </w:tbl>
    <w:p w:rsidR="00F555D6" w:rsidRPr="005C3B55" w:rsidRDefault="00F555D6" w:rsidP="00F555D6">
      <w:pPr>
        <w:pStyle w:val="Naslov9"/>
        <w:tabs>
          <w:tab w:val="clear" w:pos="765"/>
        </w:tabs>
        <w:ind w:left="0" w:firstLine="0"/>
        <w:rPr>
          <w:szCs w:val="24"/>
          <w:lang w:val="en-GB"/>
        </w:rPr>
      </w:pPr>
      <w:r w:rsidRPr="005C3B55">
        <w:rPr>
          <w:noProof w:val="0"/>
          <w:szCs w:val="24"/>
          <w:lang w:val="en-GB"/>
        </w:rPr>
        <w:t>Relevant standard agricultural practices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In standard agricultural practice, registered plant protection products – herbicides are used for weeding.</w:t>
            </w:r>
          </w:p>
          <w:p w:rsidR="00F555D6" w:rsidRPr="005C3B55" w:rsidRDefault="00F555D6" w:rsidP="00F555D6">
            <w:pPr>
              <w:pStyle w:val="Telobesedila"/>
              <w:rPr>
                <w:szCs w:val="24"/>
              </w:rPr>
            </w:pPr>
          </w:p>
        </w:tc>
      </w:tr>
    </w:tbl>
    <w:p w:rsidR="00F555D6" w:rsidRPr="005C3B55" w:rsidRDefault="00F555D6" w:rsidP="00F555D6">
      <w:pPr>
        <w:pStyle w:val="Naslov8"/>
        <w:tabs>
          <w:tab w:val="clear" w:pos="765"/>
        </w:tabs>
        <w:ind w:left="0" w:firstLine="0"/>
        <w:rPr>
          <w:b w:val="0"/>
          <w:szCs w:val="24"/>
          <w:lang w:val="en-GB"/>
        </w:rPr>
      </w:pPr>
      <w:r w:rsidRPr="005C3B55">
        <w:rPr>
          <w:b w:val="0"/>
          <w:noProof w:val="0"/>
          <w:szCs w:val="24"/>
          <w:lang w:val="en-GB"/>
        </w:rPr>
        <w:t>VIN_POKT:</w:t>
      </w:r>
      <w:r w:rsidRPr="005C3B55">
        <w:rPr>
          <w:b w:val="0"/>
          <w:szCs w:val="24"/>
          <w:lang w:val="en-GB"/>
        </w:rPr>
        <w:t xml:space="preserve"> </w:t>
      </w:r>
      <w:r w:rsidRPr="005C3B55">
        <w:rPr>
          <w:b w:val="0"/>
          <w:noProof w:val="0"/>
          <w:szCs w:val="24"/>
          <w:lang w:val="en-GB"/>
        </w:rPr>
        <w:t>Ground cover in row spacing</w:t>
      </w:r>
    </w:p>
    <w:p w:rsidR="00F555D6" w:rsidRPr="005C3B55" w:rsidRDefault="00F555D6" w:rsidP="00F555D6">
      <w:pPr>
        <w:pStyle w:val="Naslov9"/>
        <w:tabs>
          <w:tab w:val="clear" w:pos="765"/>
        </w:tabs>
        <w:ind w:left="0" w:firstLine="0"/>
        <w:rPr>
          <w:szCs w:val="24"/>
          <w:lang w:val="en-GB"/>
        </w:rPr>
      </w:pPr>
      <w:r w:rsidRPr="005C3B55">
        <w:rPr>
          <w:noProof w:val="0"/>
          <w:szCs w:val="24"/>
          <w:lang w:val="en-GB"/>
        </w:rPr>
        <w:t>Starting Point</w:t>
      </w:r>
    </w:p>
    <w:p w:rsidR="00F555D6" w:rsidRPr="005C3B55" w:rsidRDefault="00F555D6" w:rsidP="00F555D6">
      <w:pPr>
        <w:spacing w:line="280" w:lineRule="auto"/>
        <w:rPr>
          <w:szCs w:val="24"/>
        </w:rPr>
      </w:pPr>
      <w:r w:rsidRPr="005C3B55">
        <w:rPr>
          <w:szCs w:val="24"/>
        </w:rPr>
        <w:t>Suitable good agricultural and environmental conditions and/or prescribed management requirements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498"/>
              </w:numPr>
              <w:spacing w:before="0" w:after="240"/>
              <w:ind w:hanging="290"/>
              <w:jc w:val="left"/>
              <w:rPr>
                <w:szCs w:val="24"/>
              </w:rPr>
            </w:pPr>
            <w:r w:rsidRPr="005C3B55">
              <w:rPr>
                <w:szCs w:val="24"/>
              </w:rPr>
              <w:t>Ground cover in row spacing is not prescribed in the Regulation on cross-compliance.</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Minimum requirements for the use of fertilisers and plant protection products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499"/>
              </w:numPr>
              <w:spacing w:before="0" w:after="0"/>
              <w:ind w:hanging="290"/>
              <w:jc w:val="left"/>
              <w:rPr>
                <w:szCs w:val="24"/>
              </w:rPr>
            </w:pPr>
            <w:r w:rsidRPr="005C3B55">
              <w:rPr>
                <w:szCs w:val="24"/>
              </w:rPr>
              <w:t>Minimum requirements for the use of fertilisers refer to the keeping of records on the use of livestock and mineral fertilisers which an agricultural holding has to keep for all agricultural land plots at the agricultural holding, and which has to include at least the quantity and type of livestock manure and mineral fertiliser, time of fertilising and data on the surface where these fertilisers are used.</w:t>
            </w:r>
          </w:p>
          <w:p w:rsidR="00F555D6" w:rsidRPr="005C3B55" w:rsidRDefault="00F555D6" w:rsidP="00F555D6">
            <w:pPr>
              <w:numPr>
                <w:ilvl w:val="0"/>
                <w:numId w:val="499"/>
              </w:numPr>
              <w:spacing w:before="0" w:after="240"/>
              <w:ind w:hanging="290"/>
              <w:jc w:val="left"/>
              <w:rPr>
                <w:szCs w:val="24"/>
              </w:rPr>
            </w:pPr>
            <w:r w:rsidRPr="005C3B55">
              <w:rPr>
                <w:szCs w:val="24"/>
              </w:rPr>
              <w:t>Minimum requirements for the use of plant protection products are not determined, since the requirements relating to the use of these products are standardised and are included in the requirements of cross-compliance.</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Other relevant national/regional requirements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500"/>
              </w:numPr>
              <w:spacing w:before="0" w:after="240"/>
              <w:ind w:hanging="290"/>
              <w:jc w:val="left"/>
              <w:rPr>
                <w:szCs w:val="24"/>
              </w:rPr>
            </w:pPr>
            <w:r w:rsidRPr="005C3B55">
              <w:rPr>
                <w:szCs w:val="24"/>
              </w:rPr>
              <w:t>Other national requirements are not prescribed.</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Minimum activities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501"/>
              </w:numPr>
              <w:spacing w:before="0" w:after="240"/>
              <w:ind w:hanging="290"/>
              <w:jc w:val="left"/>
              <w:rPr>
                <w:szCs w:val="24"/>
              </w:rPr>
            </w:pPr>
            <w:r w:rsidRPr="005C3B55">
              <w:rPr>
                <w:szCs w:val="24"/>
              </w:rPr>
              <w:t>Not relevant.</w:t>
            </w:r>
          </w:p>
          <w:p w:rsidR="00F555D6" w:rsidRPr="005C3B55" w:rsidRDefault="00F555D6" w:rsidP="00F555D6">
            <w:pPr>
              <w:pStyle w:val="Telobesedila"/>
              <w:rPr>
                <w:szCs w:val="24"/>
              </w:rPr>
            </w:pPr>
          </w:p>
        </w:tc>
      </w:tr>
    </w:tbl>
    <w:p w:rsidR="00F555D6" w:rsidRPr="005C3B55" w:rsidRDefault="00F555D6" w:rsidP="00F555D6">
      <w:pPr>
        <w:pStyle w:val="Naslov9"/>
        <w:tabs>
          <w:tab w:val="clear" w:pos="765"/>
        </w:tabs>
        <w:ind w:left="0" w:firstLine="0"/>
        <w:rPr>
          <w:szCs w:val="24"/>
          <w:lang w:val="en-GB"/>
        </w:rPr>
      </w:pPr>
      <w:r w:rsidRPr="005C3B55">
        <w:rPr>
          <w:noProof w:val="0"/>
          <w:szCs w:val="24"/>
          <w:lang w:val="en-GB"/>
        </w:rPr>
        <w:t>Relevant standard agricultural practices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In standard agricultural practice, ground in row spacing is covered by managed fallow which is not loosened.</w:t>
            </w:r>
          </w:p>
          <w:p w:rsidR="00F555D6" w:rsidRPr="005C3B55" w:rsidRDefault="00F555D6" w:rsidP="00F555D6">
            <w:pPr>
              <w:pStyle w:val="Telobesedila"/>
              <w:rPr>
                <w:szCs w:val="24"/>
              </w:rPr>
            </w:pPr>
          </w:p>
        </w:tc>
      </w:tr>
    </w:tbl>
    <w:p w:rsidR="00F555D6" w:rsidRPr="005C3B55" w:rsidRDefault="00F555D6" w:rsidP="00F555D6">
      <w:pPr>
        <w:pStyle w:val="Naslov8"/>
        <w:tabs>
          <w:tab w:val="clear" w:pos="765"/>
        </w:tabs>
        <w:ind w:left="0" w:firstLine="0"/>
        <w:rPr>
          <w:b w:val="0"/>
          <w:szCs w:val="24"/>
          <w:lang w:val="en-GB"/>
        </w:rPr>
      </w:pPr>
      <w:r w:rsidRPr="005C3B55">
        <w:rPr>
          <w:b w:val="0"/>
          <w:noProof w:val="0"/>
          <w:szCs w:val="24"/>
          <w:lang w:val="en-GB"/>
        </w:rPr>
        <w:t>VIN_VABE:</w:t>
      </w:r>
      <w:r w:rsidRPr="005C3B55">
        <w:rPr>
          <w:b w:val="0"/>
          <w:szCs w:val="24"/>
          <w:lang w:val="en-GB"/>
        </w:rPr>
        <w:t xml:space="preserve"> </w:t>
      </w:r>
      <w:r w:rsidRPr="005C3B55">
        <w:rPr>
          <w:b w:val="0"/>
          <w:noProof w:val="0"/>
          <w:szCs w:val="24"/>
          <w:lang w:val="en-GB"/>
        </w:rPr>
        <w:t>Use of pheromone and sticky traps for the needs of pest control</w:t>
      </w:r>
    </w:p>
    <w:p w:rsidR="00F555D6" w:rsidRPr="005C3B55" w:rsidRDefault="00F555D6" w:rsidP="00F555D6">
      <w:pPr>
        <w:pStyle w:val="Naslov9"/>
        <w:tabs>
          <w:tab w:val="clear" w:pos="765"/>
        </w:tabs>
        <w:ind w:left="0" w:firstLine="0"/>
        <w:rPr>
          <w:szCs w:val="24"/>
          <w:lang w:val="en-GB"/>
        </w:rPr>
      </w:pPr>
      <w:r w:rsidRPr="005C3B55">
        <w:rPr>
          <w:noProof w:val="0"/>
          <w:szCs w:val="24"/>
          <w:lang w:val="en-GB"/>
        </w:rPr>
        <w:t>Starting Point</w:t>
      </w:r>
    </w:p>
    <w:p w:rsidR="00F555D6" w:rsidRPr="005C3B55" w:rsidRDefault="00F555D6" w:rsidP="00F555D6">
      <w:pPr>
        <w:spacing w:line="280" w:lineRule="auto"/>
        <w:rPr>
          <w:szCs w:val="24"/>
        </w:rPr>
      </w:pPr>
      <w:r w:rsidRPr="005C3B55">
        <w:rPr>
          <w:szCs w:val="24"/>
        </w:rPr>
        <w:t>Suitable good agricultural and environmental conditions and/or prescribed management requirements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502"/>
              </w:numPr>
              <w:spacing w:before="0" w:after="240"/>
              <w:ind w:hanging="290"/>
              <w:jc w:val="left"/>
              <w:rPr>
                <w:szCs w:val="24"/>
              </w:rPr>
            </w:pPr>
            <w:r w:rsidRPr="005C3B55">
              <w:rPr>
                <w:szCs w:val="24"/>
              </w:rPr>
              <w:t>Regulation on cross-compliance, Annex 1: Rules on cross-compliance, SMR 10: Proper use of plant protection products: Only registered plant protection products or products for which an exceptional permit, a permit for extended use in the Republic of Slovenia, or a permit for placing on the market identical plant protection products from other EU Member States has been issued may be used. Registered plant protection products must be used correctly in accordance with the instructions stated on the label or with data included in the permission to use the product.</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Minimum requirements for the use of fertilisers and plant protection products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503"/>
              </w:numPr>
              <w:spacing w:before="0" w:after="0"/>
              <w:ind w:hanging="290"/>
              <w:jc w:val="left"/>
              <w:rPr>
                <w:szCs w:val="24"/>
              </w:rPr>
            </w:pPr>
            <w:r w:rsidRPr="005C3B55">
              <w:rPr>
                <w:szCs w:val="24"/>
              </w:rPr>
              <w:t>Minimum requirements for the use of fertilisers refer to the keeping of records on the use of livestock and mineral fertilisers which an agricultural holding has to keep for all agricultural land plots at the agricultural holding, and which has to include at least the quantity and type of livestock manure and mineral fertiliser, time of fertilising and data on the surface where these fertilisers are used.</w:t>
            </w:r>
          </w:p>
          <w:p w:rsidR="00F555D6" w:rsidRPr="005C3B55" w:rsidRDefault="00F555D6" w:rsidP="00F555D6">
            <w:pPr>
              <w:numPr>
                <w:ilvl w:val="0"/>
                <w:numId w:val="503"/>
              </w:numPr>
              <w:spacing w:before="0" w:after="240"/>
              <w:ind w:hanging="290"/>
              <w:jc w:val="left"/>
              <w:rPr>
                <w:szCs w:val="24"/>
              </w:rPr>
            </w:pPr>
            <w:r w:rsidRPr="005C3B55">
              <w:rPr>
                <w:szCs w:val="24"/>
              </w:rPr>
              <w:t>Minimum requirements for the use of plant protection products are not determined, since the requirements relating to the use of these products are standardised and are included in the requirements of cross-compliance.</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Other relevant national/regional requirements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504"/>
              </w:numPr>
              <w:spacing w:before="0" w:after="240"/>
              <w:ind w:hanging="290"/>
              <w:jc w:val="left"/>
              <w:rPr>
                <w:szCs w:val="24"/>
              </w:rPr>
            </w:pPr>
            <w:r w:rsidRPr="005C3B55">
              <w:rPr>
                <w:szCs w:val="24"/>
              </w:rPr>
              <w:t>Rules on integrated pest management (Official Gazette of the Republic of Slovenia, no. 43/14): In accordance with Article 5, plant protection products produced on the basis of microorganisms, plant extracts, pheromones and low-risk substances, registered or permitted in accordance with the law regulating plant protection products, can be used in pest control.</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Minimum activities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505"/>
              </w:numPr>
              <w:spacing w:before="0" w:after="240"/>
              <w:ind w:hanging="290"/>
              <w:jc w:val="left"/>
              <w:rPr>
                <w:szCs w:val="24"/>
              </w:rPr>
            </w:pPr>
            <w:r w:rsidRPr="005C3B55">
              <w:rPr>
                <w:szCs w:val="24"/>
              </w:rPr>
              <w:t>Not relevant.</w:t>
            </w:r>
          </w:p>
          <w:p w:rsidR="00F555D6" w:rsidRPr="005C3B55" w:rsidRDefault="00F555D6" w:rsidP="00F555D6">
            <w:pPr>
              <w:pStyle w:val="Telobesedila"/>
              <w:rPr>
                <w:szCs w:val="24"/>
              </w:rPr>
            </w:pPr>
          </w:p>
        </w:tc>
      </w:tr>
    </w:tbl>
    <w:p w:rsidR="00F555D6" w:rsidRPr="005C3B55" w:rsidRDefault="00F555D6" w:rsidP="00F555D6">
      <w:pPr>
        <w:pStyle w:val="Naslov9"/>
        <w:tabs>
          <w:tab w:val="clear" w:pos="765"/>
        </w:tabs>
        <w:ind w:left="0" w:firstLine="0"/>
        <w:rPr>
          <w:szCs w:val="24"/>
          <w:lang w:val="en-GB"/>
        </w:rPr>
      </w:pPr>
      <w:r w:rsidRPr="005C3B55">
        <w:rPr>
          <w:noProof w:val="0"/>
          <w:szCs w:val="24"/>
          <w:lang w:val="en-GB"/>
        </w:rPr>
        <w:t>Relevant standard agricultural practices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In standard agricultural practice, registered plant protection products – insecticides – are used for pest control.</w:t>
            </w:r>
          </w:p>
          <w:p w:rsidR="00F555D6" w:rsidRPr="005C3B55" w:rsidRDefault="00F555D6" w:rsidP="00F555D6">
            <w:pPr>
              <w:pStyle w:val="Telobesedila"/>
              <w:rPr>
                <w:szCs w:val="24"/>
              </w:rPr>
            </w:pPr>
          </w:p>
        </w:tc>
      </w:tr>
    </w:tbl>
    <w:p w:rsidR="00F555D6" w:rsidRPr="005C3B55" w:rsidRDefault="00F555D6" w:rsidP="00F555D6">
      <w:pPr>
        <w:pStyle w:val="Naslov5"/>
        <w:tabs>
          <w:tab w:val="clear" w:pos="765"/>
        </w:tabs>
        <w:ind w:left="0" w:firstLine="0"/>
        <w:rPr>
          <w:b w:val="0"/>
          <w:szCs w:val="24"/>
          <w:lang w:val="en-GB"/>
        </w:rPr>
      </w:pPr>
      <w:r w:rsidRPr="005C3B55">
        <w:rPr>
          <w:b w:val="0"/>
          <w:szCs w:val="24"/>
          <w:lang w:val="en-GB"/>
        </w:rPr>
        <w:br w:type="page"/>
        <w:t>05.</w:t>
      </w:r>
      <w:r w:rsidRPr="005C3B55">
        <w:rPr>
          <w:b w:val="0"/>
          <w:szCs w:val="24"/>
          <w:lang w:val="en-GB"/>
        </w:rPr>
        <w:tab/>
      </w:r>
      <w:r w:rsidRPr="005C3B55">
        <w:rPr>
          <w:b w:val="0"/>
          <w:noProof w:val="0"/>
          <w:szCs w:val="24"/>
          <w:lang w:val="en-GB"/>
        </w:rPr>
        <w:t>Permanent grassland I</w:t>
      </w:r>
    </w:p>
    <w:p w:rsidR="00F555D6" w:rsidRPr="005C3B55" w:rsidRDefault="00F555D6" w:rsidP="00F555D6">
      <w:pPr>
        <w:spacing w:line="280" w:lineRule="auto"/>
        <w:rPr>
          <w:szCs w:val="24"/>
        </w:rPr>
      </w:pPr>
      <w:r w:rsidRPr="005C3B55">
        <w:rPr>
          <w:szCs w:val="24"/>
        </w:rPr>
        <w:t xml:space="preserve">Sub-measure: </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506"/>
              </w:numPr>
              <w:rPr>
                <w:szCs w:val="24"/>
              </w:rPr>
            </w:pPr>
            <w:r w:rsidRPr="005C3B55">
              <w:rPr>
                <w:szCs w:val="24"/>
              </w:rPr>
              <w:t>10.1 – Payment of agri-environment-climate commitments</w:t>
            </w: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Description of type of operation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The requirements in the scope of the Permanent Grassland I operation are intended for the preservation of biodiversity and the reduction of nitrous oxide and ammonia emissions. The implementation of the operation means a change from existing agricultural practices.</w:t>
            </w:r>
          </w:p>
          <w:p w:rsidR="00F555D6" w:rsidRPr="005C3B55" w:rsidRDefault="00F555D6" w:rsidP="00F555D6">
            <w:pPr>
              <w:spacing w:before="240" w:after="240" w:line="280" w:lineRule="auto"/>
              <w:rPr>
                <w:szCs w:val="24"/>
              </w:rPr>
            </w:pPr>
            <w:r w:rsidRPr="005C3B55">
              <w:rPr>
                <w:szCs w:val="24"/>
              </w:rPr>
              <w:t>The operation includes one mandatory and several optional requirements. The beneficiary has to implement one mandatory requirement and may also select one or several optional requirements under this operation. In addition to the mandatory and optional requirements, the limitation on the intensity of management with the maximum permissible livestock density on agricultural land applies to this operation. This operation enables the participation of farmers who do not wish to fully abandon silage for various reasons and thus cannot participate in the operation Permanent grassland II (mandatory requirement TRZ_II_OSIL: Non-use of silage).</w:t>
            </w:r>
          </w:p>
          <w:p w:rsidR="00F555D6" w:rsidRPr="005C3B55" w:rsidRDefault="00F555D6" w:rsidP="00F555D6">
            <w:pPr>
              <w:spacing w:before="240" w:after="240" w:line="280" w:lineRule="auto"/>
              <w:rPr>
                <w:szCs w:val="24"/>
              </w:rPr>
            </w:pPr>
            <w:r w:rsidRPr="005C3B55">
              <w:rPr>
                <w:b/>
                <w:szCs w:val="24"/>
              </w:rPr>
              <w:t>A. Mandatory requirement</w:t>
            </w:r>
          </w:p>
          <w:p w:rsidR="00F555D6" w:rsidRPr="005C3B55" w:rsidRDefault="00F555D6" w:rsidP="00F555D6">
            <w:pPr>
              <w:spacing w:before="240" w:after="240" w:line="280" w:lineRule="auto"/>
              <w:rPr>
                <w:szCs w:val="24"/>
              </w:rPr>
            </w:pPr>
            <w:r w:rsidRPr="005C3B55">
              <w:rPr>
                <w:b/>
                <w:i/>
                <w:szCs w:val="24"/>
              </w:rPr>
              <w:t>TRZ_I_NPAS: In geographical agricultural units larger than 1ha, the unmown surface of a meadow to be mown in the following year amounts to between 5 and 10% of the surface of the meadow</w:t>
            </w:r>
          </w:p>
          <w:p w:rsidR="00F555D6" w:rsidRPr="005C3B55" w:rsidRDefault="00F555D6" w:rsidP="00F555D6">
            <w:pPr>
              <w:spacing w:before="240" w:after="240" w:line="280" w:lineRule="auto"/>
              <w:rPr>
                <w:szCs w:val="24"/>
              </w:rPr>
            </w:pPr>
            <w:r w:rsidRPr="005C3B55">
              <w:rPr>
                <w:szCs w:val="24"/>
              </w:rPr>
              <w:t>Leaving surfaces unmown has positive effects on species and habitat types. The unmown surface is a donor zone for species which are affected due to agricultural use which fails to observe their ecological requirements. The unmown parts also represent an important refuge for various species of mammals, birds, butterflies and other insects. Leaving surfaces unmown over the winter is particularly important from the view of ensuring suitable conditions for successful realisation of the complete development cycle of butterflies. On unmown strips, grazing is not permitted.</w:t>
            </w:r>
          </w:p>
          <w:p w:rsidR="00F555D6" w:rsidRPr="005C3B55" w:rsidRDefault="00F555D6" w:rsidP="00F555D6">
            <w:pPr>
              <w:spacing w:before="240" w:after="240" w:line="280" w:lineRule="auto"/>
              <w:rPr>
                <w:szCs w:val="24"/>
              </w:rPr>
            </w:pPr>
            <w:r w:rsidRPr="005C3B55">
              <w:rPr>
                <w:szCs w:val="24"/>
              </w:rPr>
              <w:t>The purpose of the requirement is to stimulate good environmental practice on grassland of moderate intensity. The implementation of additional requirements will further enhance the environmental and nature conservation role of these grasslands. The specifics of Slovenian grassland are great fragmentation, dynamic configuration and the connection of areas with non-agricultural applications. The implementation of the requirement will contribute to maintaining a favourable status of neighbouring habitats which will be target-protected within the framework of other operations.</w:t>
            </w:r>
          </w:p>
          <w:p w:rsidR="00F555D6" w:rsidRPr="005C3B55" w:rsidRDefault="00F555D6" w:rsidP="00F555D6">
            <w:pPr>
              <w:spacing w:before="240" w:after="240" w:line="280" w:lineRule="auto"/>
              <w:rPr>
                <w:szCs w:val="24"/>
              </w:rPr>
            </w:pPr>
            <w:r w:rsidRPr="005C3B55">
              <w:rPr>
                <w:szCs w:val="24"/>
              </w:rPr>
              <w:t>The unmown surfaces are mown the following year from March on.</w:t>
            </w:r>
          </w:p>
          <w:p w:rsidR="00F555D6" w:rsidRPr="005C3B55" w:rsidRDefault="00F555D6" w:rsidP="00F555D6">
            <w:pPr>
              <w:spacing w:before="240" w:after="240" w:line="280" w:lineRule="auto"/>
              <w:rPr>
                <w:szCs w:val="24"/>
              </w:rPr>
            </w:pPr>
            <w:r w:rsidRPr="005C3B55">
              <w:rPr>
                <w:szCs w:val="24"/>
              </w:rPr>
              <w:t>Beneficiaries whose surfaces are located on important ecological areas of special grass habitats, grass habitats of butterflies and litter-raking forests as well as in the areas of humid extensive meadows where birds occur may participate in the requirement only if they also participate in the implementation of one operation important for biodiversity conservation (or the operation of special grass habitats, grass habitats of butterflies, litter-raking forests or bird habitats in humid extensive meadows ) with at least 20% of permanent grassland.</w:t>
            </w:r>
          </w:p>
          <w:p w:rsidR="00F555D6" w:rsidRPr="005C3B55" w:rsidRDefault="00F555D6" w:rsidP="00F555D6">
            <w:pPr>
              <w:numPr>
                <w:ilvl w:val="0"/>
                <w:numId w:val="507"/>
              </w:numPr>
              <w:spacing w:before="240" w:after="0"/>
              <w:ind w:hanging="290"/>
              <w:jc w:val="left"/>
              <w:rPr>
                <w:szCs w:val="24"/>
              </w:rPr>
            </w:pPr>
            <w:r w:rsidRPr="005C3B55">
              <w:rPr>
                <w:szCs w:val="24"/>
              </w:rPr>
              <w:t>Livestock density: 0.5 to 1.8 LU/ha of grazing animals (average annual livestock density). When the requirement is implemented in areas of special grassland habitats, the average annual livestock density is 0.2 to 1.5 LU/ha of grazing animals. When the requirement is implemented in areas of grassland habitats of butterflies, litter meadows or areas of the occurrence of birds of humid extensive meadows, the average annual livestock density is 0 to 1.5 LU/ha of grazing animals.</w:t>
            </w:r>
          </w:p>
          <w:p w:rsidR="00F555D6" w:rsidRPr="005C3B55" w:rsidRDefault="00F555D6" w:rsidP="00F555D6">
            <w:pPr>
              <w:numPr>
                <w:ilvl w:val="0"/>
                <w:numId w:val="507"/>
              </w:numPr>
              <w:spacing w:before="0" w:after="0"/>
              <w:ind w:hanging="290"/>
              <w:jc w:val="left"/>
              <w:rPr>
                <w:szCs w:val="24"/>
              </w:rPr>
            </w:pPr>
            <w:r w:rsidRPr="005C3B55">
              <w:rPr>
                <w:szCs w:val="24"/>
              </w:rPr>
              <w:t>Use: permanent grassland.</w:t>
            </w:r>
          </w:p>
          <w:p w:rsidR="00F555D6" w:rsidRPr="005C3B55" w:rsidRDefault="00F555D6" w:rsidP="00F555D6">
            <w:pPr>
              <w:numPr>
                <w:ilvl w:val="0"/>
                <w:numId w:val="507"/>
              </w:numPr>
              <w:spacing w:before="0" w:after="0"/>
              <w:ind w:hanging="290"/>
              <w:jc w:val="left"/>
              <w:rPr>
                <w:szCs w:val="24"/>
              </w:rPr>
            </w:pPr>
            <w:r w:rsidRPr="005C3B55">
              <w:rPr>
                <w:szCs w:val="24"/>
              </w:rPr>
              <w:t>Coverage: part of the area.</w:t>
            </w:r>
          </w:p>
          <w:p w:rsidR="00F555D6" w:rsidRPr="005C3B55" w:rsidRDefault="00F555D6" w:rsidP="00F555D6">
            <w:pPr>
              <w:numPr>
                <w:ilvl w:val="0"/>
                <w:numId w:val="507"/>
              </w:numPr>
              <w:spacing w:before="0" w:after="0"/>
              <w:ind w:hanging="290"/>
              <w:jc w:val="left"/>
              <w:rPr>
                <w:szCs w:val="24"/>
              </w:rPr>
            </w:pPr>
            <w:r w:rsidRPr="005C3B55">
              <w:rPr>
                <w:szCs w:val="24"/>
              </w:rPr>
              <w:t>Location: not relevant.</w:t>
            </w:r>
          </w:p>
          <w:p w:rsidR="00F555D6" w:rsidRPr="005C3B55" w:rsidRDefault="00F555D6" w:rsidP="00F555D6">
            <w:pPr>
              <w:numPr>
                <w:ilvl w:val="0"/>
                <w:numId w:val="507"/>
              </w:numPr>
              <w:spacing w:before="0" w:after="240"/>
              <w:ind w:hanging="290"/>
              <w:jc w:val="left"/>
              <w:rPr>
                <w:szCs w:val="24"/>
              </w:rPr>
            </w:pPr>
            <w:r w:rsidRPr="005C3B55">
              <w:rPr>
                <w:szCs w:val="24"/>
              </w:rPr>
              <w:t>Implementation area: whole Slovenia.</w:t>
            </w:r>
          </w:p>
          <w:p w:rsidR="00F555D6" w:rsidRPr="005C3B55" w:rsidRDefault="00F555D6" w:rsidP="00F555D6">
            <w:pPr>
              <w:spacing w:before="240" w:after="240" w:line="280" w:lineRule="auto"/>
              <w:rPr>
                <w:szCs w:val="24"/>
              </w:rPr>
            </w:pPr>
            <w:r w:rsidRPr="005C3B55">
              <w:rPr>
                <w:szCs w:val="24"/>
              </w:rPr>
              <w:t>Effects:</w:t>
            </w:r>
          </w:p>
          <w:p w:rsidR="00F555D6" w:rsidRPr="005C3B55" w:rsidRDefault="00F555D6" w:rsidP="00F555D6">
            <w:pPr>
              <w:numPr>
                <w:ilvl w:val="0"/>
                <w:numId w:val="508"/>
              </w:numPr>
              <w:spacing w:before="240" w:after="0"/>
              <w:ind w:hanging="290"/>
              <w:jc w:val="left"/>
              <w:rPr>
                <w:szCs w:val="24"/>
              </w:rPr>
            </w:pPr>
            <w:r w:rsidRPr="005C3B55">
              <w:rPr>
                <w:szCs w:val="24"/>
              </w:rPr>
              <w:t>maintaining and increasing the possibilities of survival of endangered species of insects (butterflies, grasshoppers) and other small animals in meadows (conservation of biodiversity in nature);</w:t>
            </w:r>
          </w:p>
          <w:p w:rsidR="00F555D6" w:rsidRPr="005C3B55" w:rsidRDefault="00F555D6" w:rsidP="00F555D6">
            <w:pPr>
              <w:numPr>
                <w:ilvl w:val="0"/>
                <w:numId w:val="508"/>
              </w:numPr>
              <w:spacing w:before="0" w:after="240"/>
              <w:ind w:hanging="290"/>
              <w:jc w:val="left"/>
              <w:rPr>
                <w:szCs w:val="24"/>
              </w:rPr>
            </w:pPr>
            <w:r w:rsidRPr="005C3B55">
              <w:rPr>
                <w:szCs w:val="24"/>
              </w:rPr>
              <w:t>enabling the seeding of plants and preserving plant species typical of natural grassland.</w:t>
            </w:r>
          </w:p>
          <w:p w:rsidR="00F555D6" w:rsidRPr="005C3B55" w:rsidRDefault="00F555D6" w:rsidP="00F555D6">
            <w:pPr>
              <w:spacing w:before="240" w:after="240" w:line="280" w:lineRule="auto"/>
              <w:rPr>
                <w:szCs w:val="24"/>
              </w:rPr>
            </w:pPr>
            <w:r w:rsidRPr="005C3B55">
              <w:rPr>
                <w:b/>
                <w:szCs w:val="24"/>
              </w:rPr>
              <w:t>B. Optional requirements</w:t>
            </w:r>
          </w:p>
          <w:p w:rsidR="00F555D6" w:rsidRPr="005C3B55" w:rsidRDefault="00F555D6" w:rsidP="00F555D6">
            <w:pPr>
              <w:spacing w:before="240" w:after="240" w:line="280" w:lineRule="auto"/>
              <w:rPr>
                <w:szCs w:val="24"/>
              </w:rPr>
            </w:pPr>
            <w:r w:rsidRPr="005C3B55">
              <w:rPr>
                <w:b/>
                <w:i/>
                <w:szCs w:val="24"/>
              </w:rPr>
              <w:t>TRZ_I_NIZI: Fertilisation with organic fertilisers with low emissions into air</w:t>
            </w:r>
          </w:p>
          <w:p w:rsidR="00F555D6" w:rsidRPr="005C3B55" w:rsidRDefault="00F555D6" w:rsidP="00F555D6">
            <w:pPr>
              <w:spacing w:before="240" w:after="240" w:line="280" w:lineRule="auto"/>
              <w:rPr>
                <w:szCs w:val="24"/>
              </w:rPr>
            </w:pPr>
            <w:r w:rsidRPr="005C3B55">
              <w:rPr>
                <w:szCs w:val="24"/>
              </w:rPr>
              <w:t>The purpose of this requirement is to reduce ammonia emissions and odour when fertilising with liquid manure, and to improve the efficiency of nitrogen circulation in agriculture, and thus indirectly also impact the reduction of greenhouse nitrous oxide emissions. The implementation of this requirement will also have a positive impact on the status of neighbouring habitats. The requirement includes the distribution of liquid organic fertilisers on the surface of soil with trailing hose or sleigh, or the incorporation of fertilisers directly into soil. The use of equipment with splash plates is not permitted.</w:t>
            </w:r>
          </w:p>
          <w:p w:rsidR="00F555D6" w:rsidRPr="005C3B55" w:rsidRDefault="00F555D6" w:rsidP="00F555D6">
            <w:pPr>
              <w:numPr>
                <w:ilvl w:val="0"/>
                <w:numId w:val="509"/>
              </w:numPr>
              <w:spacing w:before="240" w:after="0"/>
              <w:ind w:hanging="290"/>
              <w:jc w:val="left"/>
              <w:rPr>
                <w:szCs w:val="24"/>
              </w:rPr>
            </w:pPr>
            <w:r w:rsidRPr="005C3B55">
              <w:rPr>
                <w:szCs w:val="24"/>
              </w:rPr>
              <w:t>Livestock density: 0.5 to 1.8 LU/ha of grazing animals (average annual livestock density). When the requirement is implemented in areas of special grassland habitats, the average annual livestock density is 0.2 to 1.5 LU/ha of grazing animals. When the requirement is implemented in areas of grassland habitats of butterflies, litter meadows or areas of the occurrence of birds of humid extensive meadows, the average annual livestock density is 0 to 1.5 LU/ha of grazing animals.</w:t>
            </w:r>
          </w:p>
          <w:p w:rsidR="00F555D6" w:rsidRPr="005C3B55" w:rsidRDefault="00F555D6" w:rsidP="00F555D6">
            <w:pPr>
              <w:numPr>
                <w:ilvl w:val="0"/>
                <w:numId w:val="509"/>
              </w:numPr>
              <w:spacing w:before="0" w:after="0"/>
              <w:ind w:hanging="290"/>
              <w:jc w:val="left"/>
              <w:rPr>
                <w:szCs w:val="24"/>
              </w:rPr>
            </w:pPr>
            <w:r w:rsidRPr="005C3B55">
              <w:rPr>
                <w:szCs w:val="24"/>
              </w:rPr>
              <w:t>Use: permanent grassland.</w:t>
            </w:r>
          </w:p>
          <w:p w:rsidR="00F555D6" w:rsidRPr="005C3B55" w:rsidRDefault="00F555D6" w:rsidP="00F555D6">
            <w:pPr>
              <w:numPr>
                <w:ilvl w:val="0"/>
                <w:numId w:val="509"/>
              </w:numPr>
              <w:spacing w:before="0" w:after="0"/>
              <w:ind w:hanging="290"/>
              <w:jc w:val="left"/>
              <w:rPr>
                <w:szCs w:val="24"/>
              </w:rPr>
            </w:pPr>
            <w:r w:rsidRPr="005C3B55">
              <w:rPr>
                <w:szCs w:val="24"/>
              </w:rPr>
              <w:t>Coverage: part of the area.</w:t>
            </w:r>
          </w:p>
          <w:p w:rsidR="00F555D6" w:rsidRPr="005C3B55" w:rsidRDefault="00F555D6" w:rsidP="00F555D6">
            <w:pPr>
              <w:numPr>
                <w:ilvl w:val="0"/>
                <w:numId w:val="509"/>
              </w:numPr>
              <w:spacing w:before="0" w:after="0"/>
              <w:ind w:hanging="290"/>
              <w:jc w:val="left"/>
              <w:rPr>
                <w:szCs w:val="24"/>
              </w:rPr>
            </w:pPr>
            <w:r w:rsidRPr="005C3B55">
              <w:rPr>
                <w:szCs w:val="24"/>
              </w:rPr>
              <w:t>Location: not relevant.</w:t>
            </w:r>
          </w:p>
          <w:p w:rsidR="00F555D6" w:rsidRPr="005C3B55" w:rsidRDefault="00F555D6" w:rsidP="00F555D6">
            <w:pPr>
              <w:numPr>
                <w:ilvl w:val="0"/>
                <w:numId w:val="509"/>
              </w:numPr>
              <w:spacing w:before="0" w:after="240"/>
              <w:ind w:hanging="290"/>
              <w:jc w:val="left"/>
              <w:rPr>
                <w:szCs w:val="24"/>
              </w:rPr>
            </w:pPr>
            <w:r w:rsidRPr="005C3B55">
              <w:rPr>
                <w:szCs w:val="24"/>
              </w:rPr>
              <w:t>Implementation area: whole Slovenia.</w:t>
            </w:r>
          </w:p>
          <w:p w:rsidR="00F555D6" w:rsidRPr="005C3B55" w:rsidRDefault="00F555D6" w:rsidP="00F555D6">
            <w:pPr>
              <w:spacing w:before="240" w:after="240" w:line="280" w:lineRule="auto"/>
              <w:rPr>
                <w:szCs w:val="24"/>
              </w:rPr>
            </w:pPr>
            <w:r w:rsidRPr="005C3B55">
              <w:rPr>
                <w:szCs w:val="24"/>
              </w:rPr>
              <w:t>Effects:</w:t>
            </w:r>
          </w:p>
          <w:p w:rsidR="00F555D6" w:rsidRPr="005C3B55" w:rsidRDefault="00F555D6" w:rsidP="00F555D6">
            <w:pPr>
              <w:numPr>
                <w:ilvl w:val="0"/>
                <w:numId w:val="510"/>
              </w:numPr>
              <w:spacing w:before="240" w:after="0"/>
              <w:ind w:hanging="290"/>
              <w:jc w:val="left"/>
              <w:rPr>
                <w:szCs w:val="24"/>
              </w:rPr>
            </w:pPr>
            <w:r w:rsidRPr="005C3B55">
              <w:rPr>
                <w:szCs w:val="24"/>
              </w:rPr>
              <w:t>reducing ammonia emissions and, as a result, reducing the eutrophication of natural environment;</w:t>
            </w:r>
          </w:p>
          <w:p w:rsidR="00F555D6" w:rsidRPr="005C3B55" w:rsidRDefault="00F555D6" w:rsidP="00F555D6">
            <w:pPr>
              <w:numPr>
                <w:ilvl w:val="0"/>
                <w:numId w:val="510"/>
              </w:numPr>
              <w:spacing w:before="0" w:after="0"/>
              <w:ind w:hanging="290"/>
              <w:jc w:val="left"/>
              <w:rPr>
                <w:szCs w:val="24"/>
              </w:rPr>
            </w:pPr>
            <w:r w:rsidRPr="005C3B55">
              <w:rPr>
                <w:szCs w:val="24"/>
              </w:rPr>
              <w:t>more effective nitrogen circulation and, as a result, reducing nitrous oxide emissions (greenhouse gas);</w:t>
            </w:r>
          </w:p>
          <w:p w:rsidR="00F555D6" w:rsidRPr="005C3B55" w:rsidRDefault="00F555D6" w:rsidP="00F555D6">
            <w:pPr>
              <w:numPr>
                <w:ilvl w:val="0"/>
                <w:numId w:val="510"/>
              </w:numPr>
              <w:spacing w:before="0" w:after="240"/>
              <w:ind w:hanging="290"/>
              <w:jc w:val="left"/>
              <w:rPr>
                <w:szCs w:val="24"/>
              </w:rPr>
            </w:pPr>
            <w:r w:rsidRPr="005C3B55">
              <w:rPr>
                <w:szCs w:val="24"/>
              </w:rPr>
              <w:t>reducing odour emissions into the environment.</w:t>
            </w:r>
          </w:p>
          <w:p w:rsidR="00F555D6" w:rsidRPr="005C3B55" w:rsidRDefault="00F555D6" w:rsidP="00F555D6">
            <w:pPr>
              <w:spacing w:before="240" w:after="240" w:line="280" w:lineRule="auto"/>
              <w:rPr>
                <w:szCs w:val="24"/>
              </w:rPr>
            </w:pPr>
            <w:r w:rsidRPr="005C3B55">
              <w:rPr>
                <w:b/>
                <w:i/>
                <w:szCs w:val="24"/>
              </w:rPr>
              <w:t>TRZ_I_MRVA: Harvesting of hay from grassland</w:t>
            </w:r>
          </w:p>
          <w:p w:rsidR="00F555D6" w:rsidRPr="005C3B55" w:rsidRDefault="00F555D6" w:rsidP="00F555D6">
            <w:pPr>
              <w:spacing w:before="240" w:after="240" w:line="280" w:lineRule="auto"/>
              <w:rPr>
                <w:szCs w:val="24"/>
              </w:rPr>
            </w:pPr>
            <w:r w:rsidRPr="005C3B55">
              <w:rPr>
                <w:szCs w:val="24"/>
              </w:rPr>
              <w:t>The requirement requires that grass be harvested in the form of hay; silage is not permitted. Ensilaging of grass impoverishes species diversity in the long term (disturbed seed production of certain species) because these meadows are mowed sooner than they would be if drying of hay and harvesting were implemented in a classic manner (transport of dry hay). In addition, a great number of large non-vertebrates (grasshoppers, caterpillars, etc.), which are food to other animals (birds) is captured in the plastic foil together with half-dry grass. The implementation of the requirement has a positive impact on the biodiversity and variety of the landscape.</w:t>
            </w:r>
          </w:p>
          <w:p w:rsidR="00F555D6" w:rsidRPr="005C3B55" w:rsidRDefault="00F555D6" w:rsidP="00F555D6">
            <w:pPr>
              <w:spacing w:before="240" w:after="240" w:line="280" w:lineRule="auto"/>
              <w:rPr>
                <w:szCs w:val="24"/>
              </w:rPr>
            </w:pPr>
            <w:r w:rsidRPr="005C3B55">
              <w:rPr>
                <w:szCs w:val="24"/>
              </w:rPr>
              <w:t>There should be no grass silage at the agricultural holdings.</w:t>
            </w:r>
          </w:p>
          <w:p w:rsidR="00F555D6" w:rsidRPr="005C3B55" w:rsidRDefault="00F555D6" w:rsidP="00F555D6">
            <w:pPr>
              <w:numPr>
                <w:ilvl w:val="0"/>
                <w:numId w:val="511"/>
              </w:numPr>
              <w:spacing w:before="240" w:after="0"/>
              <w:ind w:hanging="290"/>
              <w:jc w:val="left"/>
              <w:rPr>
                <w:szCs w:val="24"/>
              </w:rPr>
            </w:pPr>
            <w:r w:rsidRPr="005C3B55">
              <w:rPr>
                <w:szCs w:val="24"/>
              </w:rPr>
              <w:t>Livestock density: 0.5 to 1.8 LU/ha of grazing animals (average annual livestock density). When the requirement is implemented in areas of special grassland habitats, the average annual livestock density is 0.2 to 1.5 LU/ha of grazing animals. When the requirement is implemented in areas of grassland habitats of butterflies, litter meadows or areas of the occurrence of birds of humid extensive meadows, the average annual livestock density is 0 to 1.5 LU/ha of grazing animals.</w:t>
            </w:r>
          </w:p>
          <w:p w:rsidR="00F555D6" w:rsidRPr="005C3B55" w:rsidRDefault="00F555D6" w:rsidP="00F555D6">
            <w:pPr>
              <w:numPr>
                <w:ilvl w:val="0"/>
                <w:numId w:val="511"/>
              </w:numPr>
              <w:spacing w:before="0" w:after="0"/>
              <w:ind w:hanging="290"/>
              <w:jc w:val="left"/>
              <w:rPr>
                <w:szCs w:val="24"/>
              </w:rPr>
            </w:pPr>
            <w:r w:rsidRPr="005C3B55">
              <w:rPr>
                <w:szCs w:val="24"/>
              </w:rPr>
              <w:t>Use: permanent grassland.</w:t>
            </w:r>
          </w:p>
          <w:p w:rsidR="00F555D6" w:rsidRPr="005C3B55" w:rsidRDefault="00F555D6" w:rsidP="00F555D6">
            <w:pPr>
              <w:numPr>
                <w:ilvl w:val="0"/>
                <w:numId w:val="511"/>
              </w:numPr>
              <w:spacing w:before="0" w:after="0"/>
              <w:ind w:hanging="290"/>
              <w:jc w:val="left"/>
              <w:rPr>
                <w:szCs w:val="24"/>
              </w:rPr>
            </w:pPr>
            <w:r w:rsidRPr="005C3B55">
              <w:rPr>
                <w:szCs w:val="24"/>
              </w:rPr>
              <w:t>Coverage: all surfaces under permanent grassland.</w:t>
            </w:r>
          </w:p>
          <w:p w:rsidR="00F555D6" w:rsidRPr="005C3B55" w:rsidRDefault="00F555D6" w:rsidP="00F555D6">
            <w:pPr>
              <w:numPr>
                <w:ilvl w:val="0"/>
                <w:numId w:val="511"/>
              </w:numPr>
              <w:spacing w:before="0" w:after="0"/>
              <w:ind w:hanging="290"/>
              <w:jc w:val="left"/>
              <w:rPr>
                <w:szCs w:val="24"/>
              </w:rPr>
            </w:pPr>
            <w:r w:rsidRPr="005C3B55">
              <w:rPr>
                <w:szCs w:val="24"/>
              </w:rPr>
              <w:t>Location: the same throughout the commitment.</w:t>
            </w:r>
          </w:p>
          <w:p w:rsidR="00F555D6" w:rsidRPr="005C3B55" w:rsidRDefault="00F555D6" w:rsidP="00F555D6">
            <w:pPr>
              <w:numPr>
                <w:ilvl w:val="0"/>
                <w:numId w:val="511"/>
              </w:numPr>
              <w:spacing w:before="0" w:after="240"/>
              <w:ind w:hanging="290"/>
              <w:jc w:val="left"/>
              <w:rPr>
                <w:szCs w:val="24"/>
              </w:rPr>
            </w:pPr>
            <w:r w:rsidRPr="005C3B55">
              <w:rPr>
                <w:szCs w:val="24"/>
              </w:rPr>
              <w:t>Implementation area: whole Slovenia.</w:t>
            </w:r>
          </w:p>
          <w:p w:rsidR="00F555D6" w:rsidRPr="005C3B55" w:rsidRDefault="00F555D6" w:rsidP="00F555D6">
            <w:pPr>
              <w:spacing w:before="240" w:after="240" w:line="280" w:lineRule="auto"/>
              <w:rPr>
                <w:szCs w:val="24"/>
              </w:rPr>
            </w:pPr>
            <w:r w:rsidRPr="005C3B55">
              <w:rPr>
                <w:szCs w:val="24"/>
              </w:rPr>
              <w:t>Effects:</w:t>
            </w:r>
          </w:p>
          <w:p w:rsidR="00F555D6" w:rsidRPr="005C3B55" w:rsidRDefault="00F555D6" w:rsidP="00F555D6">
            <w:pPr>
              <w:numPr>
                <w:ilvl w:val="0"/>
                <w:numId w:val="512"/>
              </w:numPr>
              <w:spacing w:before="240" w:after="0"/>
              <w:ind w:hanging="290"/>
              <w:jc w:val="left"/>
              <w:rPr>
                <w:szCs w:val="24"/>
              </w:rPr>
            </w:pPr>
            <w:r w:rsidRPr="005C3B55">
              <w:rPr>
                <w:szCs w:val="24"/>
              </w:rPr>
              <w:t>preservation of meadows rich in species;</w:t>
            </w:r>
          </w:p>
          <w:p w:rsidR="00F555D6" w:rsidRPr="005C3B55" w:rsidRDefault="00F555D6" w:rsidP="00F555D6">
            <w:pPr>
              <w:numPr>
                <w:ilvl w:val="0"/>
                <w:numId w:val="512"/>
              </w:numPr>
              <w:spacing w:before="0" w:after="0"/>
              <w:ind w:hanging="290"/>
              <w:jc w:val="left"/>
              <w:rPr>
                <w:szCs w:val="24"/>
              </w:rPr>
            </w:pPr>
            <w:r w:rsidRPr="005C3B55">
              <w:rPr>
                <w:szCs w:val="24"/>
              </w:rPr>
              <w:t>providing the possibility of non-vertebrate survival which represent food for other species;</w:t>
            </w:r>
          </w:p>
          <w:p w:rsidR="00F555D6" w:rsidRPr="005C3B55" w:rsidRDefault="00F555D6" w:rsidP="00F555D6">
            <w:pPr>
              <w:numPr>
                <w:ilvl w:val="0"/>
                <w:numId w:val="512"/>
              </w:numPr>
              <w:spacing w:before="0" w:after="240"/>
              <w:ind w:hanging="290"/>
              <w:jc w:val="left"/>
              <w:rPr>
                <w:szCs w:val="24"/>
              </w:rPr>
            </w:pPr>
            <w:r w:rsidRPr="005C3B55">
              <w:rPr>
                <w:szCs w:val="24"/>
              </w:rPr>
              <w:t>reducing the use of polyethylene foil.</w:t>
            </w:r>
          </w:p>
          <w:p w:rsidR="00F555D6" w:rsidRPr="005C3B55" w:rsidRDefault="00F555D6" w:rsidP="00F555D6">
            <w:pPr>
              <w:spacing w:before="240" w:after="240" w:line="280" w:lineRule="auto"/>
              <w:rPr>
                <w:szCs w:val="24"/>
              </w:rPr>
            </w:pPr>
            <w:r w:rsidRPr="005C3B55">
              <w:rPr>
                <w:b/>
                <w:i/>
                <w:szCs w:val="24"/>
              </w:rPr>
              <w:t>TRZ_I_OSIL: Non-use of silage</w:t>
            </w:r>
          </w:p>
          <w:p w:rsidR="00F555D6" w:rsidRPr="005C3B55" w:rsidRDefault="00F555D6" w:rsidP="00F555D6">
            <w:pPr>
              <w:spacing w:before="240" w:after="240" w:line="280" w:lineRule="auto"/>
              <w:rPr>
                <w:szCs w:val="24"/>
              </w:rPr>
            </w:pPr>
            <w:r w:rsidRPr="005C3B55">
              <w:rPr>
                <w:szCs w:val="24"/>
              </w:rPr>
              <w:t>The requirement requires that grass be harvested in the form of hay; silage of forage from arable land is not permitted, particularly corn silage. Ensilaging of grass impoverishes species diversity in the long term (disturbed seed production of certain species) because these meadows are mowed sooner than they would be if drying of hay and harvesting were implemented in a classic manner (transport of dry hay). In addition, a great number of large non-vertebrates (grasshoppers, caterpillars, etc.), which are food to other animals (birds) is captured in the plastic foil together with half-dry grass. The implementation of the requirement has a positive impact on the biodiversity and variety of the landscape.</w:t>
            </w:r>
          </w:p>
          <w:p w:rsidR="00F555D6" w:rsidRPr="005C3B55" w:rsidRDefault="00F555D6" w:rsidP="00F555D6">
            <w:pPr>
              <w:spacing w:before="240" w:after="240" w:line="280" w:lineRule="auto"/>
              <w:rPr>
                <w:szCs w:val="24"/>
              </w:rPr>
            </w:pPr>
            <w:r w:rsidRPr="005C3B55">
              <w:rPr>
                <w:szCs w:val="24"/>
              </w:rPr>
              <w:t>The abandonment of corn for silage will contribute to the greater inclusion of other fodder plants in the rotation. Corn is one of the plants with the greatest need for nitrogen; fertilisation requires substantial use of plant protection products. Therefore, the requirement will also contribute to reducing water pollution with nitrates and to lower emissions of residue of plant protection products in the environment.</w:t>
            </w:r>
          </w:p>
          <w:p w:rsidR="00F555D6" w:rsidRPr="005C3B55" w:rsidRDefault="00F555D6" w:rsidP="00F555D6">
            <w:pPr>
              <w:spacing w:before="240" w:after="240" w:line="280" w:lineRule="auto"/>
              <w:rPr>
                <w:szCs w:val="24"/>
              </w:rPr>
            </w:pPr>
            <w:r w:rsidRPr="005C3B55">
              <w:rPr>
                <w:szCs w:val="24"/>
              </w:rPr>
              <w:t>There should be no silage at the agricultural holdings.</w:t>
            </w:r>
          </w:p>
          <w:p w:rsidR="00F555D6" w:rsidRPr="005C3B55" w:rsidRDefault="00F555D6" w:rsidP="00F555D6">
            <w:pPr>
              <w:spacing w:before="240" w:after="240" w:line="280" w:lineRule="auto"/>
              <w:rPr>
                <w:szCs w:val="24"/>
              </w:rPr>
            </w:pPr>
            <w:r w:rsidRPr="005C3B55">
              <w:rPr>
                <w:szCs w:val="24"/>
              </w:rPr>
              <w:t>The requirement is aimed at drying and additional drying of forage, which will have positive effects on the environment and biodiversity. The abandonment of corn silage has a positive effect on water protection.</w:t>
            </w:r>
          </w:p>
          <w:p w:rsidR="00F555D6" w:rsidRPr="005C3B55" w:rsidRDefault="00F555D6" w:rsidP="00F555D6">
            <w:pPr>
              <w:spacing w:before="240" w:after="240" w:line="280" w:lineRule="auto"/>
              <w:rPr>
                <w:szCs w:val="24"/>
              </w:rPr>
            </w:pPr>
            <w:r w:rsidRPr="005C3B55">
              <w:rPr>
                <w:szCs w:val="24"/>
              </w:rPr>
              <w:t>Beneficiaries whose surfaces are located on important ecological areas of special grass habitats, grass habitats of butterflies and litter-raking forests as well as in the areas of humid extensive meadows where birds occur may participate in the requirement only if they also participate in the implementation of one operation important for biodiversity conservation (or the operation of special grass habitats, grass habitats of butterflies, litter-raking forests or bird habitats in humid extensive meadows ) with at least 20% of permanent grassland.</w:t>
            </w:r>
          </w:p>
          <w:p w:rsidR="00F555D6" w:rsidRPr="005C3B55" w:rsidRDefault="00F555D6" w:rsidP="00F555D6">
            <w:pPr>
              <w:numPr>
                <w:ilvl w:val="0"/>
                <w:numId w:val="513"/>
              </w:numPr>
              <w:spacing w:before="240" w:after="0"/>
              <w:ind w:hanging="290"/>
              <w:jc w:val="left"/>
              <w:rPr>
                <w:szCs w:val="24"/>
              </w:rPr>
            </w:pPr>
            <w:r w:rsidRPr="005C3B55">
              <w:rPr>
                <w:szCs w:val="24"/>
              </w:rPr>
              <w:t>Livestock density: 0.5 to 1.8 LU/ha of grazing animals (average annual livestock density). When the requirement is implemented in areas of special grassland habitats, the average annual livestock density is 0.2 to 1.5 LU/ha of grazing animals. When the requirement is implemented in areas of grassland habitats of butterflies, litter meadows or areas of the occurrence of birds of humid extensive meadows, the average annual livestock density is 0 to 1.5 LU/ha of grazing animals.</w:t>
            </w:r>
          </w:p>
          <w:p w:rsidR="00F555D6" w:rsidRPr="005C3B55" w:rsidRDefault="00F555D6" w:rsidP="00F555D6">
            <w:pPr>
              <w:numPr>
                <w:ilvl w:val="0"/>
                <w:numId w:val="513"/>
              </w:numPr>
              <w:spacing w:before="0" w:after="0"/>
              <w:ind w:hanging="290"/>
              <w:jc w:val="left"/>
              <w:rPr>
                <w:szCs w:val="24"/>
              </w:rPr>
            </w:pPr>
            <w:r w:rsidRPr="005C3B55">
              <w:rPr>
                <w:szCs w:val="24"/>
              </w:rPr>
              <w:t>Use: permanent grassland.</w:t>
            </w:r>
          </w:p>
          <w:p w:rsidR="00F555D6" w:rsidRPr="005C3B55" w:rsidRDefault="00F555D6" w:rsidP="00F555D6">
            <w:pPr>
              <w:numPr>
                <w:ilvl w:val="0"/>
                <w:numId w:val="513"/>
              </w:numPr>
              <w:spacing w:before="0" w:after="0"/>
              <w:ind w:hanging="290"/>
              <w:jc w:val="left"/>
              <w:rPr>
                <w:szCs w:val="24"/>
              </w:rPr>
            </w:pPr>
            <w:r w:rsidRPr="005C3B55">
              <w:rPr>
                <w:szCs w:val="24"/>
              </w:rPr>
              <w:t>Coverage: the whole holding.</w:t>
            </w:r>
          </w:p>
          <w:p w:rsidR="00F555D6" w:rsidRPr="005C3B55" w:rsidRDefault="00F555D6" w:rsidP="00F555D6">
            <w:pPr>
              <w:numPr>
                <w:ilvl w:val="0"/>
                <w:numId w:val="513"/>
              </w:numPr>
              <w:spacing w:before="0" w:after="0"/>
              <w:ind w:hanging="290"/>
              <w:jc w:val="left"/>
              <w:rPr>
                <w:szCs w:val="24"/>
              </w:rPr>
            </w:pPr>
            <w:r w:rsidRPr="005C3B55">
              <w:rPr>
                <w:szCs w:val="24"/>
              </w:rPr>
              <w:t>Location: the same throughout the commitment.</w:t>
            </w:r>
          </w:p>
          <w:p w:rsidR="00F555D6" w:rsidRPr="005C3B55" w:rsidRDefault="00F555D6" w:rsidP="00F555D6">
            <w:pPr>
              <w:numPr>
                <w:ilvl w:val="0"/>
                <w:numId w:val="513"/>
              </w:numPr>
              <w:spacing w:before="0" w:after="240"/>
              <w:ind w:hanging="290"/>
              <w:jc w:val="left"/>
              <w:rPr>
                <w:szCs w:val="24"/>
              </w:rPr>
            </w:pPr>
            <w:r w:rsidRPr="005C3B55">
              <w:rPr>
                <w:szCs w:val="24"/>
              </w:rPr>
              <w:t>Implementation area: whole Slovenia.</w:t>
            </w:r>
          </w:p>
          <w:p w:rsidR="00F555D6" w:rsidRPr="005C3B55" w:rsidRDefault="00F555D6" w:rsidP="00F555D6">
            <w:pPr>
              <w:spacing w:before="240" w:after="240" w:line="280" w:lineRule="auto"/>
              <w:rPr>
                <w:szCs w:val="24"/>
              </w:rPr>
            </w:pPr>
            <w:r w:rsidRPr="005C3B55">
              <w:rPr>
                <w:szCs w:val="24"/>
              </w:rPr>
              <w:t>Effects:</w:t>
            </w:r>
          </w:p>
          <w:p w:rsidR="00F555D6" w:rsidRPr="005C3B55" w:rsidRDefault="00F555D6" w:rsidP="00F555D6">
            <w:pPr>
              <w:numPr>
                <w:ilvl w:val="0"/>
                <w:numId w:val="514"/>
              </w:numPr>
              <w:spacing w:before="240" w:after="0"/>
              <w:ind w:hanging="290"/>
              <w:jc w:val="left"/>
              <w:rPr>
                <w:szCs w:val="24"/>
              </w:rPr>
            </w:pPr>
            <w:r w:rsidRPr="005C3B55">
              <w:rPr>
                <w:szCs w:val="24"/>
              </w:rPr>
              <w:t>preservation of meadows rich in species;</w:t>
            </w:r>
          </w:p>
          <w:p w:rsidR="00F555D6" w:rsidRPr="005C3B55" w:rsidRDefault="00F555D6" w:rsidP="00F555D6">
            <w:pPr>
              <w:numPr>
                <w:ilvl w:val="0"/>
                <w:numId w:val="514"/>
              </w:numPr>
              <w:spacing w:before="0" w:after="0"/>
              <w:ind w:hanging="290"/>
              <w:jc w:val="left"/>
              <w:rPr>
                <w:szCs w:val="24"/>
              </w:rPr>
            </w:pPr>
            <w:r w:rsidRPr="005C3B55">
              <w:rPr>
                <w:szCs w:val="24"/>
              </w:rPr>
              <w:t>providing the possibility of non-vertebrate survival which represent food for other species;</w:t>
            </w:r>
          </w:p>
          <w:p w:rsidR="00F555D6" w:rsidRPr="005C3B55" w:rsidRDefault="00F555D6" w:rsidP="00F555D6">
            <w:pPr>
              <w:numPr>
                <w:ilvl w:val="0"/>
                <w:numId w:val="514"/>
              </w:numPr>
              <w:spacing w:before="0" w:after="0"/>
              <w:ind w:hanging="290"/>
              <w:jc w:val="left"/>
              <w:rPr>
                <w:szCs w:val="24"/>
              </w:rPr>
            </w:pPr>
            <w:r w:rsidRPr="005C3B55">
              <w:rPr>
                <w:szCs w:val="24"/>
              </w:rPr>
              <w:t>improving soil structure of agricultural land;</w:t>
            </w:r>
          </w:p>
          <w:p w:rsidR="00F555D6" w:rsidRPr="005C3B55" w:rsidRDefault="00F555D6" w:rsidP="00F555D6">
            <w:pPr>
              <w:numPr>
                <w:ilvl w:val="0"/>
                <w:numId w:val="514"/>
              </w:numPr>
              <w:spacing w:before="0" w:after="240"/>
              <w:ind w:hanging="290"/>
              <w:jc w:val="left"/>
              <w:rPr>
                <w:szCs w:val="24"/>
              </w:rPr>
            </w:pPr>
            <w:r w:rsidRPr="005C3B55">
              <w:rPr>
                <w:szCs w:val="24"/>
              </w:rPr>
              <w:t>reducing the burdening of water with nitrates and the environment with residue of plant protection products.</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spacing w:before="0" w:after="0"/>
        <w:ind w:left="0" w:firstLine="0"/>
        <w:rPr>
          <w:szCs w:val="24"/>
          <w:lang w:val="en-GB"/>
        </w:rPr>
      </w:pPr>
      <w:r w:rsidRPr="005C3B55">
        <w:rPr>
          <w:noProof w:val="0"/>
          <w:szCs w:val="24"/>
          <w:lang w:val="en-GB"/>
        </w:rPr>
        <w:t>Type of support</w:t>
      </w:r>
    </w:p>
    <w:p w:rsidR="00F555D6" w:rsidRPr="005C3B55" w:rsidRDefault="00F555D6" w:rsidP="00F555D6">
      <w:pPr>
        <w:pStyle w:val="Naslov6"/>
        <w:numPr>
          <w:ilvl w:val="0"/>
          <w:numId w:val="0"/>
        </w:numPr>
        <w:spacing w:before="0" w:after="0"/>
        <w:rPr>
          <w:szCs w:val="24"/>
          <w:lang w:val="en-GB"/>
        </w:rPr>
      </w:pP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Support for the implementation of the operation Permanent grassland I consists of:</w:t>
            </w:r>
          </w:p>
          <w:p w:rsidR="00F555D6" w:rsidRPr="005C3B55" w:rsidRDefault="00F555D6" w:rsidP="00F555D6">
            <w:pPr>
              <w:numPr>
                <w:ilvl w:val="0"/>
                <w:numId w:val="515"/>
              </w:numPr>
              <w:spacing w:before="240" w:after="240"/>
              <w:ind w:hanging="290"/>
              <w:jc w:val="left"/>
              <w:rPr>
                <w:szCs w:val="24"/>
              </w:rPr>
            </w:pPr>
            <w:r w:rsidRPr="005C3B55">
              <w:rPr>
                <w:szCs w:val="24"/>
              </w:rPr>
              <w:t>payments per hectare for the implementation of the mandatory requirement and/or at least one optional requirement of the beneficiary’s own choice.</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Connection with other legislation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The operation Permanent grassland I is connected with national and EU regulations in the field of measures of agricultural policy, agriculture, the environment, nature protection and rural development.</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Beneficiaries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Beneficiaries for payments are agricultural holdings which participate voluntarily in the implementation of the operation Permanent grassland I and meet the prescribed conditions and requirements.</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Eligible costs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Payments are only intended for those commitments within the operation ‘Permanent grassland I’ which exceed suitable mandatory standards determined in accordance with Chapter I, Title VI of Regulation (EU) No 1306/2013, suitable criteria determined in the second indent of item c) of the first paragraph of Article 4 of Regulation (EU) No 1307/2013, and other suitable mandatory requirements from national regulations.</w:t>
            </w:r>
          </w:p>
          <w:p w:rsidR="00F555D6" w:rsidRPr="005C3B55" w:rsidRDefault="00F555D6" w:rsidP="00F555D6">
            <w:pPr>
              <w:spacing w:before="240" w:after="240" w:line="280" w:lineRule="auto"/>
              <w:rPr>
                <w:szCs w:val="24"/>
              </w:rPr>
            </w:pPr>
            <w:r w:rsidRPr="005C3B55">
              <w:rPr>
                <w:szCs w:val="24"/>
              </w:rPr>
              <w:t>Payments cover 60 per cent of the additional costs and the loss of revenue due to the assumed commitment.</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Conditions for eligibility</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When entering the M10 measure, an agricultural holding must:</w:t>
            </w:r>
          </w:p>
          <w:p w:rsidR="00F555D6" w:rsidRPr="005C3B55" w:rsidRDefault="00F555D6" w:rsidP="00F555D6">
            <w:pPr>
              <w:numPr>
                <w:ilvl w:val="0"/>
                <w:numId w:val="516"/>
              </w:numPr>
              <w:spacing w:before="240" w:after="0"/>
              <w:ind w:hanging="290"/>
              <w:jc w:val="left"/>
              <w:rPr>
                <w:szCs w:val="24"/>
              </w:rPr>
            </w:pPr>
            <w:r w:rsidRPr="005C3B55">
              <w:rPr>
                <w:szCs w:val="24"/>
              </w:rPr>
              <w:t>have at least 1 ha of agricultural land in use as per Article 4 of Regulation (EU) No 1307/2013;</w:t>
            </w:r>
          </w:p>
          <w:p w:rsidR="00F555D6" w:rsidRPr="005C3B55" w:rsidRDefault="00F555D6" w:rsidP="00F555D6">
            <w:pPr>
              <w:numPr>
                <w:ilvl w:val="0"/>
                <w:numId w:val="516"/>
              </w:numPr>
              <w:spacing w:before="0" w:after="0"/>
              <w:ind w:hanging="290"/>
              <w:jc w:val="left"/>
              <w:rPr>
                <w:szCs w:val="24"/>
              </w:rPr>
            </w:pPr>
            <w:r w:rsidRPr="005C3B55">
              <w:rPr>
                <w:szCs w:val="24"/>
              </w:rPr>
              <w:t>be entered in the register of agricultural holdings in accordance with the regulation on the register of agricultural holdings;</w:t>
            </w:r>
          </w:p>
          <w:p w:rsidR="00F555D6" w:rsidRPr="005C3B55" w:rsidRDefault="00F555D6" w:rsidP="00F555D6">
            <w:pPr>
              <w:numPr>
                <w:ilvl w:val="0"/>
                <w:numId w:val="516"/>
              </w:numPr>
              <w:spacing w:before="0" w:after="0"/>
              <w:ind w:hanging="290"/>
              <w:jc w:val="left"/>
              <w:rPr>
                <w:szCs w:val="24"/>
              </w:rPr>
            </w:pPr>
            <w:r w:rsidRPr="005C3B55">
              <w:rPr>
                <w:szCs w:val="24"/>
              </w:rPr>
              <w:t>undergo a six-hour training programme on agri-environment-climate content;</w:t>
            </w:r>
          </w:p>
          <w:p w:rsidR="00F555D6" w:rsidRPr="005C3B55" w:rsidRDefault="00F555D6" w:rsidP="00F555D6">
            <w:pPr>
              <w:numPr>
                <w:ilvl w:val="0"/>
                <w:numId w:val="516"/>
              </w:numPr>
              <w:spacing w:before="0" w:after="240"/>
              <w:ind w:hanging="290"/>
              <w:jc w:val="left"/>
              <w:rPr>
                <w:szCs w:val="24"/>
              </w:rPr>
            </w:pPr>
            <w:r w:rsidRPr="005C3B55">
              <w:rPr>
                <w:szCs w:val="24"/>
              </w:rPr>
              <w:t>prepare an activities programme of the agricultural holding which is an electronic document prepared as a result of advisory services.</w:t>
            </w:r>
          </w:p>
          <w:p w:rsidR="00F555D6" w:rsidRPr="005C3B55" w:rsidRDefault="00F555D6" w:rsidP="00F555D6">
            <w:pPr>
              <w:spacing w:before="240" w:after="240" w:line="280" w:lineRule="auto"/>
              <w:rPr>
                <w:szCs w:val="24"/>
              </w:rPr>
            </w:pPr>
            <w:r w:rsidRPr="005C3B55">
              <w:rPr>
                <w:szCs w:val="24"/>
              </w:rPr>
              <w:t> </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Principles regarding the determination of selection criteria</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The selection criteria are not relevant.</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(Valid) amounts and support rates</w:t>
      </w:r>
    </w:p>
    <w:p w:rsidR="00F555D6" w:rsidRPr="005C3B55" w:rsidRDefault="00F555D6" w:rsidP="00F555D6">
      <w:pPr>
        <w:pStyle w:val="Naslov6"/>
        <w:numPr>
          <w:ilvl w:val="0"/>
          <w:numId w:val="0"/>
        </w:numPr>
        <w:spacing w:before="0" w:after="0"/>
        <w:rPr>
          <w:szCs w:val="24"/>
          <w:lang w:val="en-GB"/>
        </w:rPr>
      </w:pP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The amount of payments for requirements within the operation Permanent grassland I amounts to 60 per cent of the amount of payments calculated as per the model calculation.</w:t>
            </w:r>
          </w:p>
          <w:p w:rsidR="00F555D6" w:rsidRPr="005C3B55" w:rsidRDefault="00F555D6" w:rsidP="00F555D6">
            <w:pPr>
              <w:spacing w:before="240" w:after="240" w:line="280" w:lineRule="auto"/>
              <w:rPr>
                <w:szCs w:val="24"/>
              </w:rPr>
            </w:pPr>
            <w:r w:rsidRPr="005C3B55">
              <w:rPr>
                <w:szCs w:val="24"/>
              </w:rPr>
              <w:t>Notwithstanding the previous paragraph, payment for the requirement TRZ_I_NPAS amounts to:</w:t>
            </w:r>
          </w:p>
          <w:p w:rsidR="00F555D6" w:rsidRPr="005C3B55" w:rsidRDefault="00F555D6" w:rsidP="00F555D6">
            <w:pPr>
              <w:numPr>
                <w:ilvl w:val="0"/>
                <w:numId w:val="517"/>
              </w:numPr>
              <w:spacing w:before="240" w:after="0"/>
              <w:ind w:hanging="290"/>
              <w:jc w:val="left"/>
              <w:rPr>
                <w:szCs w:val="24"/>
              </w:rPr>
            </w:pPr>
            <w:r w:rsidRPr="005C3B55">
              <w:rPr>
                <w:szCs w:val="24"/>
              </w:rPr>
              <w:t>EUR 42.50 when it is implemented in areas of special grassland habitats;</w:t>
            </w:r>
          </w:p>
          <w:p w:rsidR="00F555D6" w:rsidRPr="005C3B55" w:rsidRDefault="00F555D6" w:rsidP="00F555D6">
            <w:pPr>
              <w:numPr>
                <w:ilvl w:val="0"/>
                <w:numId w:val="517"/>
              </w:numPr>
              <w:spacing w:before="0" w:after="0"/>
              <w:ind w:hanging="290"/>
              <w:jc w:val="left"/>
              <w:rPr>
                <w:szCs w:val="24"/>
              </w:rPr>
            </w:pPr>
            <w:r w:rsidRPr="005C3B55">
              <w:rPr>
                <w:szCs w:val="24"/>
              </w:rPr>
              <w:t>EUR 28.70 when it is implemented in areas of grassland habitats of butterflies; and</w:t>
            </w:r>
          </w:p>
          <w:p w:rsidR="00F555D6" w:rsidRPr="005C3B55" w:rsidRDefault="00F555D6" w:rsidP="00F555D6">
            <w:pPr>
              <w:numPr>
                <w:ilvl w:val="0"/>
                <w:numId w:val="517"/>
              </w:numPr>
              <w:spacing w:before="0" w:after="240"/>
              <w:ind w:hanging="290"/>
              <w:jc w:val="left"/>
              <w:rPr>
                <w:szCs w:val="24"/>
              </w:rPr>
            </w:pPr>
            <w:r w:rsidRPr="005C3B55">
              <w:rPr>
                <w:szCs w:val="24"/>
              </w:rPr>
              <w:t>EUR 20.10 when it is implemented in areas of the occurrence of birds of humid extensive meadows and litter meadows.</w:t>
            </w:r>
          </w:p>
          <w:p w:rsidR="00F555D6" w:rsidRPr="005C3B55" w:rsidRDefault="00F555D6" w:rsidP="00F555D6">
            <w:pPr>
              <w:spacing w:before="240" w:after="240" w:line="280" w:lineRule="auto"/>
              <w:rPr>
                <w:szCs w:val="24"/>
              </w:rPr>
            </w:pPr>
            <w:r w:rsidRPr="005C3B55">
              <w:rPr>
                <w:szCs w:val="24"/>
              </w:rPr>
              <w:t>Notwithstanding the first paragraph, payment for the requirement TRZ_I_MRVA amounts to:</w:t>
            </w:r>
          </w:p>
          <w:p w:rsidR="00F555D6" w:rsidRPr="005C3B55" w:rsidRDefault="00F555D6" w:rsidP="00F555D6">
            <w:pPr>
              <w:numPr>
                <w:ilvl w:val="0"/>
                <w:numId w:val="518"/>
              </w:numPr>
              <w:spacing w:before="240" w:after="0"/>
              <w:ind w:hanging="290"/>
              <w:jc w:val="left"/>
              <w:rPr>
                <w:szCs w:val="24"/>
              </w:rPr>
            </w:pPr>
            <w:r w:rsidRPr="005C3B55">
              <w:rPr>
                <w:szCs w:val="24"/>
              </w:rPr>
              <w:t>EUR 7.10 when it is implemented in areas of special grassland habitats, and</w:t>
            </w:r>
          </w:p>
          <w:p w:rsidR="00F555D6" w:rsidRPr="005C3B55" w:rsidRDefault="00F555D6" w:rsidP="00F555D6">
            <w:pPr>
              <w:numPr>
                <w:ilvl w:val="0"/>
                <w:numId w:val="518"/>
              </w:numPr>
              <w:spacing w:before="0" w:after="240"/>
              <w:ind w:hanging="290"/>
              <w:jc w:val="left"/>
              <w:rPr>
                <w:szCs w:val="24"/>
              </w:rPr>
            </w:pPr>
            <w:r w:rsidRPr="005C3B55">
              <w:rPr>
                <w:szCs w:val="24"/>
              </w:rPr>
              <w:t>EUR 8.10 when it is implemented in areas of grassland habitats of butterflies.</w:t>
            </w:r>
          </w:p>
          <w:p w:rsidR="00F555D6" w:rsidRPr="005C3B55" w:rsidRDefault="00F555D6" w:rsidP="00F555D6">
            <w:pPr>
              <w:pStyle w:val="Telobesedila"/>
              <w:rPr>
                <w:szCs w:val="24"/>
              </w:rPr>
            </w:pPr>
          </w:p>
          <w:p w:rsidR="00F555D6" w:rsidRPr="005C3B55" w:rsidRDefault="0012246E" w:rsidP="00F555D6">
            <w:pPr>
              <w:pStyle w:val="Telobesedila3"/>
              <w:jc w:val="center"/>
              <w:rPr>
                <w:szCs w:val="24"/>
              </w:rPr>
            </w:pPr>
            <w:r w:rsidRPr="005C3B55">
              <w:rPr>
                <w:noProof/>
                <w:szCs w:val="24"/>
                <w:lang w:val="sl-SI"/>
              </w:rPr>
              <w:drawing>
                <wp:inline distT="0" distB="0" distL="0" distR="0">
                  <wp:extent cx="4781550" cy="1619250"/>
                  <wp:effectExtent l="0" t="0" r="0" b="0"/>
                  <wp:docPr id="1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781550" cy="1619250"/>
                          </a:xfrm>
                          <a:prstGeom prst="rect">
                            <a:avLst/>
                          </a:prstGeom>
                          <a:noFill/>
                          <a:ln>
                            <a:noFill/>
                          </a:ln>
                        </pic:spPr>
                      </pic:pic>
                    </a:graphicData>
                  </a:graphic>
                </wp:inline>
              </w:drawing>
            </w:r>
          </w:p>
          <w:p w:rsidR="00F555D6" w:rsidRPr="005C3B55" w:rsidRDefault="00F555D6" w:rsidP="00F555D6">
            <w:pPr>
              <w:pStyle w:val="Noga"/>
              <w:jc w:val="center"/>
              <w:rPr>
                <w:szCs w:val="24"/>
              </w:rPr>
            </w:pPr>
            <w:r w:rsidRPr="005C3B55">
              <w:rPr>
                <w:szCs w:val="24"/>
              </w:rPr>
              <w:t>Operation Permanent grassland I: amount of payments for individual requirements</w:t>
            </w:r>
          </w:p>
          <w:p w:rsidR="00F555D6" w:rsidRPr="005C3B55" w:rsidRDefault="00F555D6" w:rsidP="00F555D6">
            <w:pPr>
              <w:pStyle w:val="Noga"/>
              <w:jc w:val="center"/>
              <w:rPr>
                <w:szCs w:val="24"/>
              </w:rPr>
            </w:pPr>
          </w:p>
        </w:tc>
      </w:tr>
    </w:tbl>
    <w:p w:rsidR="00F555D6" w:rsidRPr="005C3B55" w:rsidRDefault="00F555D6" w:rsidP="00F555D6">
      <w:pPr>
        <w:pStyle w:val="Naslov6"/>
        <w:numPr>
          <w:ilvl w:val="0"/>
          <w:numId w:val="0"/>
        </w:numPr>
        <w:rPr>
          <w:szCs w:val="24"/>
          <w:lang w:val="en-GB"/>
        </w:rPr>
      </w:pPr>
    </w:p>
    <w:p w:rsidR="00F555D6" w:rsidRPr="005C3B55" w:rsidRDefault="00F555D6" w:rsidP="00F555D6">
      <w:r w:rsidRPr="005C3B55">
        <w:t>Amount of payments (EUR/ha annually) for requirements within the operation ‘Permanent grassland I’</w:t>
      </w:r>
    </w:p>
    <w:tbl>
      <w:tblPr>
        <w:tblW w:w="5000" w:type="pct"/>
        <w:tblInd w:w="108"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2132"/>
        <w:gridCol w:w="2131"/>
        <w:gridCol w:w="2329"/>
        <w:gridCol w:w="1933"/>
        <w:gridCol w:w="2131"/>
      </w:tblGrid>
      <w:tr w:rsidR="00F555D6" w:rsidRPr="005C3B55">
        <w:tc>
          <w:tcPr>
            <w:tcW w:w="1000" w:type="pct"/>
            <w:tcBorders>
              <w:top w:val="single" w:sz="18" w:space="0" w:color="auto"/>
              <w:left w:val="single" w:sz="18" w:space="0" w:color="auto"/>
              <w:bottom w:val="single" w:sz="18" w:space="0" w:color="auto"/>
              <w:right w:val="single" w:sz="18" w:space="0" w:color="auto"/>
            </w:tcBorders>
            <w:shd w:val="clear" w:color="auto" w:fill="D9D9D9"/>
            <w:vAlign w:val="center"/>
          </w:tcPr>
          <w:p w:rsidR="00F555D6" w:rsidRPr="005C3B55" w:rsidRDefault="00F555D6" w:rsidP="00F555D6">
            <w:r w:rsidRPr="005C3B55">
              <w:rPr>
                <w:b/>
                <w:sz w:val="20"/>
              </w:rPr>
              <w:t>Requirement</w:t>
            </w:r>
          </w:p>
        </w:tc>
        <w:tc>
          <w:tcPr>
            <w:tcW w:w="1000" w:type="pct"/>
            <w:tcBorders>
              <w:top w:val="single" w:sz="18" w:space="0" w:color="auto"/>
              <w:left w:val="single" w:sz="18" w:space="0" w:color="auto"/>
              <w:bottom w:val="single" w:sz="18" w:space="0" w:color="auto"/>
              <w:right w:val="single" w:sz="18" w:space="0" w:color="auto"/>
            </w:tcBorders>
            <w:shd w:val="clear" w:color="auto" w:fill="D9D9D9"/>
            <w:vAlign w:val="center"/>
          </w:tcPr>
          <w:p w:rsidR="00F555D6" w:rsidRPr="005C3B55" w:rsidRDefault="00F555D6" w:rsidP="00F555D6">
            <w:pPr>
              <w:autoSpaceDE w:val="0"/>
              <w:autoSpaceDN w:val="0"/>
              <w:adjustRightInd w:val="0"/>
              <w:jc w:val="right"/>
            </w:pPr>
            <w:r w:rsidRPr="005C3B55">
              <w:rPr>
                <w:b/>
                <w:sz w:val="20"/>
              </w:rPr>
              <w:t>Calculated payment amount as per model calculation</w:t>
            </w:r>
          </w:p>
        </w:tc>
        <w:tc>
          <w:tcPr>
            <w:tcW w:w="1093" w:type="pct"/>
            <w:tcBorders>
              <w:top w:val="single" w:sz="18" w:space="0" w:color="auto"/>
              <w:left w:val="single" w:sz="18" w:space="0" w:color="auto"/>
              <w:bottom w:val="single" w:sz="18" w:space="0" w:color="auto"/>
              <w:right w:val="single" w:sz="18" w:space="0" w:color="auto"/>
            </w:tcBorders>
            <w:shd w:val="clear" w:color="auto" w:fill="D9D9D9"/>
            <w:vAlign w:val="center"/>
          </w:tcPr>
          <w:p w:rsidR="00F555D6" w:rsidRPr="005C3B55" w:rsidRDefault="00F555D6" w:rsidP="00F555D6">
            <w:pPr>
              <w:autoSpaceDE w:val="0"/>
              <w:autoSpaceDN w:val="0"/>
              <w:adjustRightInd w:val="0"/>
              <w:jc w:val="right"/>
            </w:pPr>
            <w:r w:rsidRPr="005C3B55">
              <w:rPr>
                <w:b/>
                <w:sz w:val="20"/>
              </w:rPr>
              <w:t>Highest possible payment as per Annex II to Regulation (EU) No 1305/2013</w:t>
            </w:r>
          </w:p>
        </w:tc>
        <w:tc>
          <w:tcPr>
            <w:tcW w:w="907" w:type="pct"/>
            <w:tcBorders>
              <w:top w:val="single" w:sz="18" w:space="0" w:color="auto"/>
              <w:left w:val="single" w:sz="18" w:space="0" w:color="auto"/>
              <w:bottom w:val="single" w:sz="18" w:space="0" w:color="auto"/>
              <w:right w:val="single" w:sz="18" w:space="0" w:color="auto"/>
            </w:tcBorders>
            <w:shd w:val="clear" w:color="auto" w:fill="D9D9D9"/>
            <w:vAlign w:val="center"/>
          </w:tcPr>
          <w:p w:rsidR="00F555D6" w:rsidRPr="005C3B55" w:rsidRDefault="00F555D6" w:rsidP="00F555D6">
            <w:pPr>
              <w:autoSpaceDE w:val="0"/>
              <w:autoSpaceDN w:val="0"/>
              <w:adjustRightInd w:val="0"/>
              <w:jc w:val="right"/>
            </w:pPr>
            <w:r w:rsidRPr="005C3B55">
              <w:rPr>
                <w:b/>
                <w:sz w:val="20"/>
              </w:rPr>
              <w:t>Highest possible amount</w:t>
            </w:r>
          </w:p>
        </w:tc>
        <w:tc>
          <w:tcPr>
            <w:tcW w:w="1000" w:type="pct"/>
            <w:tcBorders>
              <w:top w:val="single" w:sz="18" w:space="0" w:color="auto"/>
              <w:left w:val="single" w:sz="18" w:space="0" w:color="auto"/>
              <w:bottom w:val="single" w:sz="18" w:space="0" w:color="auto"/>
              <w:right w:val="single" w:sz="18" w:space="0" w:color="auto"/>
            </w:tcBorders>
            <w:shd w:val="clear" w:color="auto" w:fill="D9D9D9"/>
            <w:vAlign w:val="center"/>
          </w:tcPr>
          <w:p w:rsidR="00F555D6" w:rsidRPr="005C3B55" w:rsidRDefault="00F555D6" w:rsidP="00F555D6">
            <w:pPr>
              <w:jc w:val="right"/>
            </w:pPr>
            <w:r w:rsidRPr="005C3B55">
              <w:rPr>
                <w:b/>
                <w:sz w:val="20"/>
              </w:rPr>
              <w:t>Payment (60% of payment amount calculated as per model calculation)</w:t>
            </w:r>
          </w:p>
        </w:tc>
      </w:tr>
      <w:tr w:rsidR="00F555D6" w:rsidRPr="005C3B55">
        <w:tc>
          <w:tcPr>
            <w:tcW w:w="5000" w:type="pct"/>
            <w:gridSpan w:val="5"/>
            <w:tcBorders>
              <w:top w:val="single" w:sz="18" w:space="0" w:color="auto"/>
              <w:left w:val="single" w:sz="18" w:space="0" w:color="auto"/>
              <w:bottom w:val="single" w:sz="18" w:space="0" w:color="auto"/>
              <w:right w:val="single" w:sz="18" w:space="0" w:color="auto"/>
            </w:tcBorders>
            <w:shd w:val="clear" w:color="auto" w:fill="E0E0E0"/>
          </w:tcPr>
          <w:p w:rsidR="00F555D6" w:rsidRPr="005C3B55" w:rsidRDefault="00F555D6" w:rsidP="00F555D6">
            <w:r w:rsidRPr="005C3B55">
              <w:rPr>
                <w:b/>
                <w:noProof/>
                <w:sz w:val="20"/>
              </w:rPr>
              <w:t>A.</w:t>
            </w:r>
            <w:r w:rsidRPr="005C3B55">
              <w:rPr>
                <w:b/>
                <w:sz w:val="20"/>
              </w:rPr>
              <w:t xml:space="preserve"> Mandatory requirement</w:t>
            </w:r>
          </w:p>
        </w:tc>
      </w:tr>
      <w:tr w:rsidR="00F555D6" w:rsidRPr="005C3B55">
        <w:tc>
          <w:tcPr>
            <w:tcW w:w="1000" w:type="pct"/>
            <w:tcBorders>
              <w:top w:val="single" w:sz="18" w:space="0" w:color="auto"/>
              <w:left w:val="single" w:sz="18" w:space="0" w:color="auto"/>
              <w:bottom w:val="single" w:sz="18" w:space="0" w:color="auto"/>
              <w:right w:val="single" w:sz="18" w:space="0" w:color="auto"/>
            </w:tcBorders>
          </w:tcPr>
          <w:p w:rsidR="00F555D6" w:rsidRPr="005C3B55" w:rsidRDefault="00F555D6" w:rsidP="00F555D6">
            <w:pPr>
              <w:rPr>
                <w:sz w:val="20"/>
              </w:rPr>
            </w:pPr>
            <w:r w:rsidRPr="005C3B55">
              <w:rPr>
                <w:noProof/>
                <w:sz w:val="20"/>
              </w:rPr>
              <w:t>TRZ_I_NPAS</w:t>
            </w:r>
          </w:p>
        </w:tc>
        <w:tc>
          <w:tcPr>
            <w:tcW w:w="1000" w:type="pct"/>
            <w:tcBorders>
              <w:top w:val="single" w:sz="18" w:space="0" w:color="auto"/>
              <w:left w:val="single" w:sz="18" w:space="0" w:color="auto"/>
              <w:bottom w:val="single" w:sz="18" w:space="0" w:color="auto"/>
              <w:right w:val="single" w:sz="18" w:space="0" w:color="auto"/>
            </w:tcBorders>
          </w:tcPr>
          <w:p w:rsidR="00F555D6" w:rsidRPr="005C3B55" w:rsidRDefault="00F555D6" w:rsidP="00F555D6">
            <w:pPr>
              <w:jc w:val="right"/>
              <w:rPr>
                <w:sz w:val="20"/>
              </w:rPr>
            </w:pPr>
            <w:r w:rsidRPr="005C3B55">
              <w:rPr>
                <w:sz w:val="20"/>
              </w:rPr>
              <w:t>83.40</w:t>
            </w:r>
          </w:p>
        </w:tc>
        <w:tc>
          <w:tcPr>
            <w:tcW w:w="1093" w:type="pct"/>
            <w:tcBorders>
              <w:top w:val="single" w:sz="18" w:space="0" w:color="auto"/>
              <w:left w:val="single" w:sz="18" w:space="0" w:color="auto"/>
              <w:bottom w:val="single" w:sz="18" w:space="0" w:color="auto"/>
              <w:right w:val="single" w:sz="18" w:space="0" w:color="auto"/>
            </w:tcBorders>
          </w:tcPr>
          <w:p w:rsidR="00F555D6" w:rsidRPr="005C3B55" w:rsidRDefault="00F555D6" w:rsidP="00F555D6">
            <w:pPr>
              <w:jc w:val="right"/>
              <w:rPr>
                <w:sz w:val="20"/>
              </w:rPr>
            </w:pPr>
            <w:r w:rsidRPr="005C3B55">
              <w:rPr>
                <w:sz w:val="20"/>
              </w:rPr>
              <w:t>450</w:t>
            </w:r>
          </w:p>
        </w:tc>
        <w:tc>
          <w:tcPr>
            <w:tcW w:w="907" w:type="pct"/>
            <w:tcBorders>
              <w:top w:val="single" w:sz="18" w:space="0" w:color="auto"/>
              <w:left w:val="single" w:sz="18" w:space="0" w:color="auto"/>
              <w:bottom w:val="single" w:sz="18" w:space="0" w:color="auto"/>
              <w:right w:val="single" w:sz="18" w:space="0" w:color="auto"/>
            </w:tcBorders>
          </w:tcPr>
          <w:p w:rsidR="00F555D6" w:rsidRPr="005C3B55" w:rsidRDefault="00F555D6" w:rsidP="00F555D6">
            <w:pPr>
              <w:jc w:val="right"/>
              <w:rPr>
                <w:sz w:val="20"/>
              </w:rPr>
            </w:pPr>
            <w:r w:rsidRPr="005C3B55">
              <w:rPr>
                <w:sz w:val="20"/>
              </w:rPr>
              <w:t>83.40</w:t>
            </w:r>
          </w:p>
        </w:tc>
        <w:tc>
          <w:tcPr>
            <w:tcW w:w="1000" w:type="pct"/>
            <w:tcBorders>
              <w:top w:val="single" w:sz="18" w:space="0" w:color="auto"/>
              <w:left w:val="single" w:sz="18" w:space="0" w:color="auto"/>
              <w:bottom w:val="single" w:sz="18" w:space="0" w:color="auto"/>
              <w:right w:val="single" w:sz="18" w:space="0" w:color="auto"/>
            </w:tcBorders>
          </w:tcPr>
          <w:p w:rsidR="00F555D6" w:rsidRPr="005C3B55" w:rsidRDefault="00F555D6" w:rsidP="00F555D6">
            <w:pPr>
              <w:jc w:val="right"/>
              <w:rPr>
                <w:sz w:val="20"/>
              </w:rPr>
            </w:pPr>
            <w:r w:rsidRPr="005C3B55">
              <w:rPr>
                <w:sz w:val="20"/>
              </w:rPr>
              <w:t>50.04</w:t>
            </w:r>
          </w:p>
        </w:tc>
      </w:tr>
      <w:tr w:rsidR="00F555D6" w:rsidRPr="005C3B55">
        <w:tc>
          <w:tcPr>
            <w:tcW w:w="5000" w:type="pct"/>
            <w:gridSpan w:val="5"/>
            <w:tcBorders>
              <w:top w:val="single" w:sz="18" w:space="0" w:color="auto"/>
              <w:left w:val="single" w:sz="18" w:space="0" w:color="auto"/>
              <w:bottom w:val="single" w:sz="18" w:space="0" w:color="auto"/>
              <w:right w:val="single" w:sz="18" w:space="0" w:color="auto"/>
            </w:tcBorders>
            <w:shd w:val="clear" w:color="auto" w:fill="E0E0E0"/>
          </w:tcPr>
          <w:p w:rsidR="00F555D6" w:rsidRPr="005C3B55" w:rsidRDefault="00F555D6" w:rsidP="00F555D6">
            <w:r w:rsidRPr="005C3B55">
              <w:rPr>
                <w:b/>
                <w:noProof/>
                <w:sz w:val="20"/>
              </w:rPr>
              <w:t>B.</w:t>
            </w:r>
            <w:r w:rsidRPr="005C3B55">
              <w:rPr>
                <w:b/>
                <w:sz w:val="20"/>
              </w:rPr>
              <w:t xml:space="preserve"> Optional requirements</w:t>
            </w:r>
          </w:p>
        </w:tc>
      </w:tr>
      <w:tr w:rsidR="00F555D6" w:rsidRPr="005C3B55">
        <w:tc>
          <w:tcPr>
            <w:tcW w:w="1000" w:type="pct"/>
            <w:tcBorders>
              <w:top w:val="single" w:sz="18" w:space="0" w:color="auto"/>
              <w:left w:val="single" w:sz="18" w:space="0" w:color="auto"/>
              <w:bottom w:val="single" w:sz="18" w:space="0" w:color="auto"/>
              <w:right w:val="single" w:sz="18" w:space="0" w:color="auto"/>
            </w:tcBorders>
          </w:tcPr>
          <w:p w:rsidR="00F555D6" w:rsidRPr="005C3B55" w:rsidRDefault="00F555D6" w:rsidP="00F555D6">
            <w:pPr>
              <w:rPr>
                <w:sz w:val="20"/>
              </w:rPr>
            </w:pPr>
            <w:r w:rsidRPr="005C3B55">
              <w:rPr>
                <w:noProof/>
                <w:sz w:val="20"/>
              </w:rPr>
              <w:t>TRZ_I_NIZI</w:t>
            </w:r>
          </w:p>
        </w:tc>
        <w:tc>
          <w:tcPr>
            <w:tcW w:w="1000" w:type="pct"/>
            <w:tcBorders>
              <w:top w:val="single" w:sz="18" w:space="0" w:color="auto"/>
              <w:left w:val="single" w:sz="18" w:space="0" w:color="auto"/>
              <w:bottom w:val="single" w:sz="18" w:space="0" w:color="auto"/>
              <w:right w:val="single" w:sz="18" w:space="0" w:color="auto"/>
            </w:tcBorders>
          </w:tcPr>
          <w:p w:rsidR="00F555D6" w:rsidRPr="005C3B55" w:rsidRDefault="00F555D6" w:rsidP="00F555D6">
            <w:pPr>
              <w:jc w:val="right"/>
              <w:rPr>
                <w:sz w:val="20"/>
              </w:rPr>
            </w:pPr>
            <w:r w:rsidRPr="005C3B55">
              <w:rPr>
                <w:sz w:val="20"/>
              </w:rPr>
              <w:t>64.20</w:t>
            </w:r>
          </w:p>
        </w:tc>
        <w:tc>
          <w:tcPr>
            <w:tcW w:w="1093" w:type="pct"/>
            <w:tcBorders>
              <w:top w:val="single" w:sz="18" w:space="0" w:color="auto"/>
              <w:left w:val="single" w:sz="18" w:space="0" w:color="auto"/>
              <w:bottom w:val="single" w:sz="18" w:space="0" w:color="auto"/>
              <w:right w:val="single" w:sz="18" w:space="0" w:color="auto"/>
            </w:tcBorders>
          </w:tcPr>
          <w:p w:rsidR="00F555D6" w:rsidRPr="005C3B55" w:rsidRDefault="00F555D6" w:rsidP="00F555D6">
            <w:pPr>
              <w:jc w:val="right"/>
              <w:rPr>
                <w:sz w:val="20"/>
              </w:rPr>
            </w:pPr>
            <w:r w:rsidRPr="005C3B55">
              <w:rPr>
                <w:sz w:val="20"/>
              </w:rPr>
              <w:t>450</w:t>
            </w:r>
          </w:p>
        </w:tc>
        <w:tc>
          <w:tcPr>
            <w:tcW w:w="907" w:type="pct"/>
            <w:tcBorders>
              <w:top w:val="single" w:sz="18" w:space="0" w:color="auto"/>
              <w:left w:val="single" w:sz="18" w:space="0" w:color="auto"/>
              <w:bottom w:val="single" w:sz="18" w:space="0" w:color="auto"/>
              <w:right w:val="single" w:sz="18" w:space="0" w:color="auto"/>
            </w:tcBorders>
          </w:tcPr>
          <w:p w:rsidR="00F555D6" w:rsidRPr="005C3B55" w:rsidRDefault="00F555D6" w:rsidP="00F555D6">
            <w:pPr>
              <w:jc w:val="right"/>
              <w:rPr>
                <w:sz w:val="20"/>
              </w:rPr>
            </w:pPr>
            <w:r w:rsidRPr="005C3B55">
              <w:rPr>
                <w:sz w:val="20"/>
              </w:rPr>
              <w:t>64.20</w:t>
            </w:r>
          </w:p>
        </w:tc>
        <w:tc>
          <w:tcPr>
            <w:tcW w:w="1000" w:type="pct"/>
            <w:tcBorders>
              <w:top w:val="single" w:sz="18" w:space="0" w:color="auto"/>
              <w:left w:val="single" w:sz="18" w:space="0" w:color="auto"/>
              <w:bottom w:val="single" w:sz="18" w:space="0" w:color="auto"/>
              <w:right w:val="single" w:sz="18" w:space="0" w:color="auto"/>
            </w:tcBorders>
          </w:tcPr>
          <w:p w:rsidR="00F555D6" w:rsidRPr="005C3B55" w:rsidRDefault="00F555D6" w:rsidP="00F555D6">
            <w:pPr>
              <w:jc w:val="right"/>
              <w:rPr>
                <w:sz w:val="20"/>
              </w:rPr>
            </w:pPr>
            <w:r w:rsidRPr="005C3B55">
              <w:rPr>
                <w:sz w:val="20"/>
              </w:rPr>
              <w:t>38.52</w:t>
            </w:r>
          </w:p>
        </w:tc>
      </w:tr>
      <w:tr w:rsidR="00F555D6" w:rsidRPr="005C3B55">
        <w:tc>
          <w:tcPr>
            <w:tcW w:w="1000" w:type="pct"/>
            <w:tcBorders>
              <w:top w:val="single" w:sz="18" w:space="0" w:color="auto"/>
              <w:left w:val="single" w:sz="18" w:space="0" w:color="auto"/>
              <w:bottom w:val="single" w:sz="18" w:space="0" w:color="auto"/>
              <w:right w:val="single" w:sz="18" w:space="0" w:color="auto"/>
            </w:tcBorders>
          </w:tcPr>
          <w:p w:rsidR="00F555D6" w:rsidRPr="005C3B55" w:rsidRDefault="00F555D6" w:rsidP="00F555D6">
            <w:pPr>
              <w:rPr>
                <w:sz w:val="20"/>
              </w:rPr>
            </w:pPr>
            <w:r w:rsidRPr="005C3B55">
              <w:rPr>
                <w:noProof/>
                <w:sz w:val="20"/>
              </w:rPr>
              <w:t>TRZ_I_MRVA</w:t>
            </w:r>
          </w:p>
        </w:tc>
        <w:tc>
          <w:tcPr>
            <w:tcW w:w="1000" w:type="pct"/>
            <w:tcBorders>
              <w:top w:val="single" w:sz="18" w:space="0" w:color="auto"/>
              <w:left w:val="single" w:sz="18" w:space="0" w:color="auto"/>
              <w:bottom w:val="single" w:sz="18" w:space="0" w:color="auto"/>
              <w:right w:val="single" w:sz="18" w:space="0" w:color="auto"/>
            </w:tcBorders>
          </w:tcPr>
          <w:p w:rsidR="00F555D6" w:rsidRPr="005C3B55" w:rsidRDefault="00F555D6" w:rsidP="00F555D6">
            <w:pPr>
              <w:jc w:val="right"/>
              <w:rPr>
                <w:sz w:val="20"/>
              </w:rPr>
            </w:pPr>
            <w:r w:rsidRPr="005C3B55">
              <w:rPr>
                <w:sz w:val="20"/>
              </w:rPr>
              <w:t>42.10</w:t>
            </w:r>
          </w:p>
        </w:tc>
        <w:tc>
          <w:tcPr>
            <w:tcW w:w="1093" w:type="pct"/>
            <w:tcBorders>
              <w:top w:val="single" w:sz="18" w:space="0" w:color="auto"/>
              <w:left w:val="single" w:sz="18" w:space="0" w:color="auto"/>
              <w:bottom w:val="single" w:sz="18" w:space="0" w:color="auto"/>
              <w:right w:val="single" w:sz="18" w:space="0" w:color="auto"/>
            </w:tcBorders>
          </w:tcPr>
          <w:p w:rsidR="00F555D6" w:rsidRPr="005C3B55" w:rsidRDefault="00F555D6" w:rsidP="00F555D6">
            <w:pPr>
              <w:jc w:val="right"/>
              <w:rPr>
                <w:sz w:val="20"/>
              </w:rPr>
            </w:pPr>
            <w:r w:rsidRPr="005C3B55">
              <w:rPr>
                <w:sz w:val="20"/>
              </w:rPr>
              <w:t>450</w:t>
            </w:r>
          </w:p>
        </w:tc>
        <w:tc>
          <w:tcPr>
            <w:tcW w:w="907" w:type="pct"/>
            <w:tcBorders>
              <w:top w:val="single" w:sz="18" w:space="0" w:color="auto"/>
              <w:left w:val="single" w:sz="18" w:space="0" w:color="auto"/>
              <w:bottom w:val="single" w:sz="18" w:space="0" w:color="auto"/>
              <w:right w:val="single" w:sz="18" w:space="0" w:color="auto"/>
            </w:tcBorders>
          </w:tcPr>
          <w:p w:rsidR="00F555D6" w:rsidRPr="005C3B55" w:rsidRDefault="00F555D6" w:rsidP="00F555D6">
            <w:pPr>
              <w:jc w:val="right"/>
              <w:rPr>
                <w:sz w:val="20"/>
              </w:rPr>
            </w:pPr>
            <w:r w:rsidRPr="005C3B55">
              <w:rPr>
                <w:sz w:val="20"/>
              </w:rPr>
              <w:t>42.10</w:t>
            </w:r>
          </w:p>
        </w:tc>
        <w:tc>
          <w:tcPr>
            <w:tcW w:w="1000" w:type="pct"/>
            <w:tcBorders>
              <w:top w:val="single" w:sz="18" w:space="0" w:color="auto"/>
              <w:left w:val="single" w:sz="18" w:space="0" w:color="auto"/>
              <w:bottom w:val="single" w:sz="18" w:space="0" w:color="auto"/>
              <w:right w:val="single" w:sz="18" w:space="0" w:color="auto"/>
            </w:tcBorders>
          </w:tcPr>
          <w:p w:rsidR="00F555D6" w:rsidRPr="005C3B55" w:rsidRDefault="00F555D6" w:rsidP="00F555D6">
            <w:pPr>
              <w:jc w:val="right"/>
              <w:rPr>
                <w:sz w:val="20"/>
              </w:rPr>
            </w:pPr>
            <w:r w:rsidRPr="005C3B55">
              <w:rPr>
                <w:sz w:val="20"/>
              </w:rPr>
              <w:t>25.26</w:t>
            </w:r>
          </w:p>
        </w:tc>
      </w:tr>
      <w:tr w:rsidR="00F555D6" w:rsidRPr="005C3B55">
        <w:tc>
          <w:tcPr>
            <w:tcW w:w="1000" w:type="pct"/>
            <w:tcBorders>
              <w:top w:val="single" w:sz="18" w:space="0" w:color="auto"/>
              <w:left w:val="single" w:sz="18" w:space="0" w:color="auto"/>
              <w:bottom w:val="single" w:sz="18" w:space="0" w:color="auto"/>
              <w:right w:val="single" w:sz="18" w:space="0" w:color="auto"/>
            </w:tcBorders>
          </w:tcPr>
          <w:p w:rsidR="00F555D6" w:rsidRPr="005C3B55" w:rsidRDefault="00F555D6" w:rsidP="00F555D6">
            <w:pPr>
              <w:rPr>
                <w:sz w:val="20"/>
              </w:rPr>
            </w:pPr>
            <w:r w:rsidRPr="005C3B55">
              <w:rPr>
                <w:noProof/>
                <w:sz w:val="20"/>
              </w:rPr>
              <w:t>TRZ_I_OSIL</w:t>
            </w:r>
          </w:p>
        </w:tc>
        <w:tc>
          <w:tcPr>
            <w:tcW w:w="1000" w:type="pct"/>
            <w:tcBorders>
              <w:top w:val="single" w:sz="18" w:space="0" w:color="auto"/>
              <w:left w:val="single" w:sz="18" w:space="0" w:color="auto"/>
              <w:bottom w:val="single" w:sz="18" w:space="0" w:color="auto"/>
              <w:right w:val="single" w:sz="18" w:space="0" w:color="auto"/>
            </w:tcBorders>
          </w:tcPr>
          <w:p w:rsidR="00F555D6" w:rsidRPr="005C3B55" w:rsidRDefault="00F555D6" w:rsidP="00F555D6">
            <w:pPr>
              <w:jc w:val="right"/>
              <w:rPr>
                <w:sz w:val="20"/>
              </w:rPr>
            </w:pPr>
            <w:r w:rsidRPr="005C3B55">
              <w:rPr>
                <w:sz w:val="20"/>
              </w:rPr>
              <w:t>76.40</w:t>
            </w:r>
          </w:p>
        </w:tc>
        <w:tc>
          <w:tcPr>
            <w:tcW w:w="1093" w:type="pct"/>
            <w:tcBorders>
              <w:top w:val="single" w:sz="18" w:space="0" w:color="auto"/>
              <w:left w:val="single" w:sz="18" w:space="0" w:color="auto"/>
              <w:bottom w:val="single" w:sz="18" w:space="0" w:color="auto"/>
              <w:right w:val="single" w:sz="18" w:space="0" w:color="auto"/>
            </w:tcBorders>
          </w:tcPr>
          <w:p w:rsidR="00F555D6" w:rsidRPr="005C3B55" w:rsidRDefault="00F555D6" w:rsidP="00F555D6">
            <w:pPr>
              <w:jc w:val="right"/>
              <w:rPr>
                <w:sz w:val="20"/>
              </w:rPr>
            </w:pPr>
            <w:r w:rsidRPr="005C3B55">
              <w:rPr>
                <w:sz w:val="20"/>
              </w:rPr>
              <w:t>450</w:t>
            </w:r>
          </w:p>
        </w:tc>
        <w:tc>
          <w:tcPr>
            <w:tcW w:w="907" w:type="pct"/>
            <w:tcBorders>
              <w:top w:val="single" w:sz="18" w:space="0" w:color="auto"/>
              <w:left w:val="single" w:sz="18" w:space="0" w:color="auto"/>
              <w:bottom w:val="single" w:sz="18" w:space="0" w:color="auto"/>
              <w:right w:val="single" w:sz="18" w:space="0" w:color="auto"/>
            </w:tcBorders>
          </w:tcPr>
          <w:p w:rsidR="00F555D6" w:rsidRPr="005C3B55" w:rsidRDefault="00F555D6" w:rsidP="00F555D6">
            <w:pPr>
              <w:jc w:val="right"/>
              <w:rPr>
                <w:sz w:val="20"/>
              </w:rPr>
            </w:pPr>
            <w:r w:rsidRPr="005C3B55">
              <w:rPr>
                <w:sz w:val="20"/>
              </w:rPr>
              <w:t>76.40</w:t>
            </w:r>
          </w:p>
        </w:tc>
        <w:tc>
          <w:tcPr>
            <w:tcW w:w="1000" w:type="pct"/>
            <w:tcBorders>
              <w:top w:val="single" w:sz="18" w:space="0" w:color="auto"/>
              <w:left w:val="single" w:sz="18" w:space="0" w:color="auto"/>
              <w:bottom w:val="single" w:sz="18" w:space="0" w:color="auto"/>
              <w:right w:val="single" w:sz="18" w:space="0" w:color="auto"/>
            </w:tcBorders>
          </w:tcPr>
          <w:p w:rsidR="00F555D6" w:rsidRPr="005C3B55" w:rsidRDefault="00F555D6" w:rsidP="00F555D6">
            <w:pPr>
              <w:jc w:val="right"/>
              <w:rPr>
                <w:sz w:val="20"/>
              </w:rPr>
            </w:pPr>
            <w:r w:rsidRPr="005C3B55">
              <w:rPr>
                <w:sz w:val="20"/>
              </w:rPr>
              <w:t>45.84</w:t>
            </w:r>
          </w:p>
        </w:tc>
      </w:tr>
    </w:tbl>
    <w:p w:rsidR="00F555D6" w:rsidRPr="005C3B55" w:rsidRDefault="00F555D6" w:rsidP="00F555D6"/>
    <w:p w:rsidR="00F555D6" w:rsidRPr="005C3B55" w:rsidRDefault="00F555D6" w:rsidP="00F555D6">
      <w:pPr>
        <w:pStyle w:val="Naslov6"/>
        <w:tabs>
          <w:tab w:val="clear" w:pos="765"/>
        </w:tabs>
        <w:ind w:left="0" w:firstLine="0"/>
        <w:rPr>
          <w:szCs w:val="24"/>
          <w:lang w:val="en-GB"/>
        </w:rPr>
      </w:pPr>
      <w:r w:rsidRPr="005C3B55">
        <w:rPr>
          <w:noProof w:val="0"/>
          <w:szCs w:val="24"/>
          <w:lang w:val="en-GB"/>
        </w:rPr>
        <w:t>Verifiability and possibility of control of measures and/or type of operations</w:t>
      </w:r>
    </w:p>
    <w:p w:rsidR="00F555D6" w:rsidRPr="005C3B55" w:rsidRDefault="00F555D6" w:rsidP="00F555D6">
      <w:pPr>
        <w:pStyle w:val="Naslov7"/>
        <w:tabs>
          <w:tab w:val="clear" w:pos="765"/>
        </w:tabs>
        <w:ind w:left="0" w:firstLine="0"/>
        <w:rPr>
          <w:szCs w:val="24"/>
          <w:lang w:val="en-GB"/>
        </w:rPr>
      </w:pPr>
      <w:r w:rsidRPr="005C3B55">
        <w:rPr>
          <w:noProof w:val="0"/>
          <w:szCs w:val="24"/>
          <w:lang w:val="en-GB"/>
        </w:rPr>
        <w:t>Risks in the implementation of the measure</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b/>
                <w:szCs w:val="24"/>
              </w:rPr>
              <w:t>R5: Requirements which are difficult to verify and/or control</w:t>
            </w:r>
          </w:p>
          <w:p w:rsidR="00F555D6" w:rsidRPr="005C3B55" w:rsidRDefault="00F555D6" w:rsidP="00F555D6">
            <w:pPr>
              <w:spacing w:before="240" w:after="240" w:line="280" w:lineRule="auto"/>
              <w:rPr>
                <w:szCs w:val="24"/>
              </w:rPr>
            </w:pPr>
            <w:r w:rsidRPr="005C3B55">
              <w:rPr>
                <w:szCs w:val="24"/>
              </w:rPr>
              <w:t>Certain requirements cannot be verified administratively, while the implementation of certain requirements is difficult to verify also with on-the-spot controls. These requirements are fertilisation with organic fertilisers with low emissions into air (incorporation into soil) and harvesting of hay from grassland.</w:t>
            </w:r>
          </w:p>
          <w:p w:rsidR="00F555D6" w:rsidRPr="005C3B55" w:rsidRDefault="00F555D6" w:rsidP="00F555D6">
            <w:pPr>
              <w:spacing w:before="240" w:after="240" w:line="280" w:lineRule="auto"/>
              <w:rPr>
                <w:szCs w:val="24"/>
              </w:rPr>
            </w:pPr>
            <w:r w:rsidRPr="005C3B55">
              <w:rPr>
                <w:b/>
                <w:szCs w:val="24"/>
              </w:rPr>
              <w:t>R6: General conditions for implementation</w:t>
            </w:r>
          </w:p>
          <w:p w:rsidR="00F555D6" w:rsidRPr="005C3B55" w:rsidRDefault="00F555D6" w:rsidP="00F555D6">
            <w:pPr>
              <w:spacing w:before="240" w:after="240" w:line="280" w:lineRule="auto"/>
              <w:rPr>
                <w:szCs w:val="24"/>
              </w:rPr>
            </w:pPr>
            <w:r w:rsidRPr="005C3B55">
              <w:rPr>
                <w:szCs w:val="24"/>
              </w:rPr>
              <w:t>Ill-timed adoption of regulations which regulate payments for the M10 measure and which enable beneficiaries to be informed about the eligibility conditions for implementing this operation, and insufficient knowledge of the conditions of the operation Permanent grassland I present a risk for the implementation of the M10 measure.</w:t>
            </w:r>
          </w:p>
          <w:p w:rsidR="00F555D6" w:rsidRPr="005C3B55" w:rsidRDefault="00F555D6" w:rsidP="00F555D6">
            <w:pPr>
              <w:spacing w:before="240" w:after="240" w:line="280" w:lineRule="auto"/>
              <w:rPr>
                <w:szCs w:val="24"/>
              </w:rPr>
            </w:pPr>
            <w:r w:rsidRPr="005C3B55">
              <w:rPr>
                <w:b/>
                <w:szCs w:val="24"/>
              </w:rPr>
              <w:t>R8: IT systems</w:t>
            </w:r>
          </w:p>
          <w:p w:rsidR="00F555D6" w:rsidRPr="005C3B55" w:rsidRDefault="00F555D6" w:rsidP="00F555D6">
            <w:pPr>
              <w:spacing w:before="240" w:after="240" w:line="280" w:lineRule="auto"/>
              <w:rPr>
                <w:szCs w:val="24"/>
              </w:rPr>
            </w:pPr>
            <w:r w:rsidRPr="005C3B55">
              <w:rPr>
                <w:szCs w:val="24"/>
              </w:rPr>
              <w:t>Unsuitable arrangement of certain databases when entering the verification system and consequently insufficient administrative controls when entering the operation Permanent grassland I.</w:t>
            </w:r>
          </w:p>
          <w:p w:rsidR="00F555D6" w:rsidRPr="005C3B55" w:rsidRDefault="00F555D6" w:rsidP="00F555D6">
            <w:pPr>
              <w:spacing w:before="240" w:after="240" w:line="280" w:lineRule="auto"/>
              <w:rPr>
                <w:szCs w:val="24"/>
              </w:rPr>
            </w:pPr>
            <w:r w:rsidRPr="005C3B55">
              <w:rPr>
                <w:b/>
                <w:szCs w:val="24"/>
              </w:rPr>
              <w:t>R9: Requests for payment</w:t>
            </w:r>
          </w:p>
          <w:p w:rsidR="00F555D6" w:rsidRPr="005C3B55" w:rsidRDefault="00F555D6" w:rsidP="00F555D6">
            <w:pPr>
              <w:spacing w:before="240" w:after="240" w:line="280" w:lineRule="auto"/>
              <w:rPr>
                <w:szCs w:val="24"/>
              </w:rPr>
            </w:pPr>
            <w:r w:rsidRPr="005C3B55">
              <w:rPr>
                <w:szCs w:val="24"/>
              </w:rPr>
              <w:t>Lack of, and delayed, information and insufficient knowledge of the requirements of the operation Permanent grassland I, poor familiarisation with the procedure for submitting the application and the beneficiary’s incorrect reporting about the size of surfaces.</w:t>
            </w:r>
          </w:p>
          <w:p w:rsidR="00F555D6" w:rsidRPr="005C3B55" w:rsidRDefault="00F555D6" w:rsidP="00F555D6">
            <w:pPr>
              <w:pStyle w:val="Telobesedila"/>
              <w:rPr>
                <w:szCs w:val="24"/>
              </w:rPr>
            </w:pPr>
          </w:p>
        </w:tc>
      </w:tr>
    </w:tbl>
    <w:p w:rsidR="00F555D6" w:rsidRPr="005C3B55" w:rsidRDefault="00F555D6" w:rsidP="00F555D6">
      <w:pPr>
        <w:pStyle w:val="Naslov7"/>
        <w:tabs>
          <w:tab w:val="clear" w:pos="765"/>
        </w:tabs>
        <w:ind w:left="0" w:firstLine="0"/>
        <w:rPr>
          <w:szCs w:val="24"/>
          <w:lang w:val="en-GB"/>
        </w:rPr>
      </w:pPr>
      <w:r w:rsidRPr="005C3B55">
        <w:rPr>
          <w:noProof w:val="0"/>
          <w:szCs w:val="24"/>
          <w:lang w:val="en-GB"/>
        </w:rPr>
        <w:t>Mitigation measures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b/>
                <w:szCs w:val="24"/>
              </w:rPr>
              <w:t>R5: Requirements which are difficult to verify and/or control</w:t>
            </w:r>
          </w:p>
          <w:p w:rsidR="00F555D6" w:rsidRPr="005C3B55" w:rsidRDefault="00F555D6" w:rsidP="00F555D6">
            <w:pPr>
              <w:spacing w:before="240" w:after="240" w:line="280" w:lineRule="auto"/>
              <w:rPr>
                <w:szCs w:val="24"/>
              </w:rPr>
            </w:pPr>
            <w:r w:rsidRPr="005C3B55">
              <w:rPr>
                <w:szCs w:val="24"/>
              </w:rPr>
              <w:t>Administrative control will be upgraded accordingly for all requirements (to control the number of animals and to integrate into other required operations in ecologically important areas).</w:t>
            </w:r>
          </w:p>
          <w:p w:rsidR="00F555D6" w:rsidRPr="005C3B55" w:rsidRDefault="00F555D6" w:rsidP="00F555D6">
            <w:pPr>
              <w:spacing w:before="240" w:after="240" w:line="280" w:lineRule="auto"/>
              <w:rPr>
                <w:szCs w:val="24"/>
              </w:rPr>
            </w:pPr>
            <w:r w:rsidRPr="005C3B55">
              <w:rPr>
                <w:szCs w:val="24"/>
              </w:rPr>
              <w:t>Requirements for implementing the M10 measure which cannot be fully verified administratively will be verified or controlled on the spot, which will observe the temporal component when implementing verification, the suitability of evidence, the situation on the agricultural holding reviewed and non-presence of completely prohibited products.</w:t>
            </w:r>
          </w:p>
          <w:p w:rsidR="00F555D6" w:rsidRPr="005C3B55" w:rsidRDefault="00F555D6" w:rsidP="00F555D6">
            <w:pPr>
              <w:spacing w:before="240" w:after="240" w:line="280" w:lineRule="auto"/>
              <w:rPr>
                <w:szCs w:val="24"/>
              </w:rPr>
            </w:pPr>
            <w:r w:rsidRPr="005C3B55">
              <w:rPr>
                <w:b/>
                <w:szCs w:val="24"/>
              </w:rPr>
              <w:t>R6: General conditions for implementation</w:t>
            </w:r>
          </w:p>
          <w:p w:rsidR="00F555D6" w:rsidRPr="005C3B55" w:rsidRDefault="00F555D6" w:rsidP="00F555D6">
            <w:pPr>
              <w:spacing w:before="240" w:after="240" w:line="280" w:lineRule="auto"/>
              <w:rPr>
                <w:szCs w:val="24"/>
              </w:rPr>
            </w:pPr>
            <w:r w:rsidRPr="005C3B55">
              <w:rPr>
                <w:szCs w:val="24"/>
              </w:rPr>
              <w:t>Prior to entering in the operation Permanent grassland I, a beneficiary will have to undergo a mandatory six-hour training which is one of the eligibility conditions. At the training, the beneficiary will become acquainted with the eligibility conditions for entering in the operation and requirements for implementing the operation, including the Rural Development Programme 2014–2020 and the national regulation regulating payments for the M10 measure. After training, the beneficiary will be able to prepare a programme of activities of the agricultural holding, which is one of the eligibility conditions, and in which it will determine which operation and requirements to implement within the M10 measure.</w:t>
            </w:r>
          </w:p>
          <w:p w:rsidR="00F555D6" w:rsidRPr="005C3B55" w:rsidRDefault="00F555D6" w:rsidP="00F555D6">
            <w:pPr>
              <w:spacing w:before="240" w:after="240" w:line="280" w:lineRule="auto"/>
              <w:rPr>
                <w:szCs w:val="24"/>
              </w:rPr>
            </w:pPr>
            <w:r w:rsidRPr="005C3B55">
              <w:rPr>
                <w:b/>
                <w:szCs w:val="24"/>
              </w:rPr>
              <w:t>R8: IT systems</w:t>
            </w:r>
          </w:p>
          <w:p w:rsidR="00F555D6" w:rsidRPr="005C3B55" w:rsidRDefault="00F555D6" w:rsidP="00F555D6">
            <w:pPr>
              <w:spacing w:before="240" w:after="240" w:line="280" w:lineRule="auto"/>
              <w:rPr>
                <w:szCs w:val="24"/>
              </w:rPr>
            </w:pPr>
            <w:r w:rsidRPr="005C3B55">
              <w:rPr>
                <w:szCs w:val="24"/>
              </w:rPr>
              <w:t>Suitable connections will be established and databases arranged (registers, records, codes and suitability of combinations of requirements within or between operations).</w:t>
            </w:r>
          </w:p>
          <w:p w:rsidR="00F555D6" w:rsidRPr="005C3B55" w:rsidRDefault="00F555D6" w:rsidP="00F555D6">
            <w:pPr>
              <w:spacing w:before="240" w:after="240" w:line="280" w:lineRule="auto"/>
              <w:rPr>
                <w:szCs w:val="24"/>
              </w:rPr>
            </w:pPr>
            <w:r w:rsidRPr="005C3B55">
              <w:rPr>
                <w:szCs w:val="24"/>
              </w:rPr>
              <w:t>An application enabling cross-checking of data from different databases will also be established.</w:t>
            </w:r>
          </w:p>
          <w:p w:rsidR="00F555D6" w:rsidRPr="005C3B55" w:rsidRDefault="00F555D6" w:rsidP="00F555D6">
            <w:pPr>
              <w:spacing w:before="240" w:after="240" w:line="280" w:lineRule="auto"/>
              <w:rPr>
                <w:szCs w:val="24"/>
              </w:rPr>
            </w:pPr>
            <w:r w:rsidRPr="005C3B55">
              <w:rPr>
                <w:b/>
                <w:szCs w:val="24"/>
              </w:rPr>
              <w:t>R9: Requests for payment</w:t>
            </w:r>
          </w:p>
          <w:p w:rsidR="00F555D6" w:rsidRPr="005C3B55" w:rsidRDefault="00F555D6" w:rsidP="00F555D6">
            <w:pPr>
              <w:spacing w:before="240" w:after="240" w:line="280" w:lineRule="auto"/>
              <w:rPr>
                <w:szCs w:val="24"/>
              </w:rPr>
            </w:pPr>
            <w:r w:rsidRPr="005C3B55">
              <w:rPr>
                <w:szCs w:val="24"/>
              </w:rPr>
              <w:t>Mandatory annual four-hour training and mandatory use of advisory services at least once in the first three years of the commitment are introduced in order for beneficiaries to be suitably informed about all conditions and requirements for the implementation of the M10 measure. Regular annual informing of beneficiaries about their commitments related to the implementation of the M10 measure as part of the annual campaign for implementing requests for agricultural policy measures during the year and also within the scope of specific and purpose-oriented informing of beneficiaries is envisaged</w:t>
            </w:r>
            <w:r w:rsidRPr="005C3B55">
              <w:rPr>
                <w:rFonts w:ascii="TimesNewRoman" w:hAnsi="TimesNewRoman"/>
                <w:szCs w:val="24"/>
              </w:rPr>
              <w:t>.</w:t>
            </w:r>
          </w:p>
          <w:p w:rsidR="00F555D6" w:rsidRPr="005C3B55" w:rsidRDefault="00F555D6" w:rsidP="00F555D6">
            <w:pPr>
              <w:spacing w:before="240" w:after="240" w:line="280" w:lineRule="auto"/>
              <w:rPr>
                <w:szCs w:val="24"/>
              </w:rPr>
            </w:pPr>
            <w:r w:rsidRPr="005C3B55">
              <w:rPr>
                <w:szCs w:val="24"/>
              </w:rPr>
              <w:t>On the basis of the programme of activities, the request for payment will be submitted electronically on prescribed forms, by means of which a beneficiary will define for which requirements within individual operations of the M10 measure it will request payment.</w:t>
            </w:r>
          </w:p>
          <w:p w:rsidR="00F555D6" w:rsidRPr="005C3B55" w:rsidRDefault="00F555D6" w:rsidP="00F555D6">
            <w:pPr>
              <w:spacing w:before="240" w:after="240" w:line="280" w:lineRule="auto"/>
              <w:rPr>
                <w:szCs w:val="24"/>
              </w:rPr>
            </w:pPr>
            <w:r w:rsidRPr="005C3B55">
              <w:rPr>
                <w:szCs w:val="24"/>
              </w:rPr>
              <w:t>The upgrading of the IT system for administrative control will be implemented, which will allow certain verifications and controls already upon the submission of the request for payment (suitability of use and size of surface, suitability of areas, and suitability of combinations of requests and operations).</w:t>
            </w:r>
          </w:p>
          <w:p w:rsidR="00F555D6" w:rsidRPr="005C3B55" w:rsidRDefault="00F555D6" w:rsidP="00F555D6">
            <w:pPr>
              <w:spacing w:before="240" w:after="240" w:line="280" w:lineRule="auto"/>
              <w:rPr>
                <w:szCs w:val="24"/>
              </w:rPr>
            </w:pPr>
            <w:r w:rsidRPr="005C3B55">
              <w:rPr>
                <w:szCs w:val="24"/>
              </w:rPr>
              <w:t>If a beneficiary fails to meet the eligibility conditions for entering the M10 measure, they will be alerted to the shortcomings which they will be able to eliminate by the prescribed deadline; otherwise, it will not be possible to submit a request for payment.</w:t>
            </w:r>
          </w:p>
          <w:p w:rsidR="00F555D6" w:rsidRPr="005C3B55" w:rsidRDefault="00F555D6" w:rsidP="00F555D6">
            <w:pPr>
              <w:spacing w:before="240" w:after="240" w:line="280" w:lineRule="auto"/>
              <w:rPr>
                <w:szCs w:val="24"/>
              </w:rPr>
            </w:pPr>
            <w:r w:rsidRPr="005C3B55">
              <w:rPr>
                <w:szCs w:val="24"/>
              </w:rPr>
              <w:t>Unpermitted combinations of individual requirements within the operation Permanent grassland I and combinations of requirements of this operation with requirements within other operations of the M10 measure will be disabled.</w:t>
            </w:r>
          </w:p>
          <w:p w:rsidR="00F555D6" w:rsidRPr="005C3B55" w:rsidRDefault="00F555D6" w:rsidP="00F555D6">
            <w:pPr>
              <w:spacing w:before="240" w:after="240" w:line="280" w:lineRule="auto"/>
              <w:rPr>
                <w:szCs w:val="24"/>
              </w:rPr>
            </w:pPr>
            <w:r w:rsidRPr="005C3B55">
              <w:rPr>
                <w:szCs w:val="24"/>
              </w:rPr>
              <w:t>A beneficiary who will also be included in the implementation of the M11 measure will not have the opportunity to submit the request for unauthorised combinations of this measure with the M10 measure.</w:t>
            </w:r>
          </w:p>
          <w:p w:rsidR="00F555D6" w:rsidRPr="005C3B55" w:rsidRDefault="00F555D6" w:rsidP="00F555D6">
            <w:pPr>
              <w:pStyle w:val="Telobesedila"/>
              <w:rPr>
                <w:szCs w:val="24"/>
              </w:rPr>
            </w:pPr>
          </w:p>
        </w:tc>
      </w:tr>
    </w:tbl>
    <w:p w:rsidR="00F555D6" w:rsidRPr="005C3B55" w:rsidRDefault="00F555D6" w:rsidP="00F555D6">
      <w:pPr>
        <w:pStyle w:val="Naslov7"/>
        <w:tabs>
          <w:tab w:val="clear" w:pos="765"/>
        </w:tabs>
        <w:ind w:left="0" w:firstLine="0"/>
        <w:rPr>
          <w:szCs w:val="24"/>
          <w:lang w:val="en-GB"/>
        </w:rPr>
      </w:pPr>
      <w:r w:rsidRPr="005C3B55">
        <w:rPr>
          <w:noProof w:val="0"/>
          <w:szCs w:val="24"/>
          <w:lang w:val="en-GB"/>
        </w:rPr>
        <w:t>General assessment of the measure</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 xml:space="preserve">Described in Chapter </w:t>
            </w:r>
            <w:r w:rsidRPr="005C3B55">
              <w:rPr>
                <w:i/>
                <w:szCs w:val="24"/>
              </w:rPr>
              <w:t>8.2.9.4.3 General assessment of the measure</w:t>
            </w:r>
            <w:r w:rsidRPr="005C3B55">
              <w:rPr>
                <w:szCs w:val="24"/>
              </w:rPr>
              <w:t>.</w:t>
            </w:r>
          </w:p>
          <w:p w:rsidR="00F555D6" w:rsidRPr="005C3B55" w:rsidRDefault="00F555D6" w:rsidP="00F555D6">
            <w:pPr>
              <w:pStyle w:val="Telobesedila"/>
              <w:rPr>
                <w:szCs w:val="24"/>
              </w:rPr>
            </w:pPr>
          </w:p>
        </w:tc>
      </w:tr>
    </w:tbl>
    <w:p w:rsidR="00F555D6" w:rsidRPr="005C3B55" w:rsidRDefault="00F555D6" w:rsidP="00F555D6">
      <w:pPr>
        <w:pStyle w:val="Naslov7"/>
        <w:tabs>
          <w:tab w:val="clear" w:pos="765"/>
        </w:tabs>
        <w:ind w:left="0" w:firstLine="0"/>
        <w:rPr>
          <w:szCs w:val="24"/>
          <w:lang w:val="en-GB"/>
        </w:rPr>
      </w:pPr>
      <w:r w:rsidRPr="005C3B55">
        <w:rPr>
          <w:noProof w:val="0"/>
          <w:szCs w:val="24"/>
          <w:lang w:val="en-GB"/>
        </w:rPr>
        <w:t>Agri-environment-climate commitments</w:t>
      </w:r>
    </w:p>
    <w:p w:rsidR="00F555D6" w:rsidRPr="005C3B55" w:rsidRDefault="00F555D6" w:rsidP="00F555D6">
      <w:pPr>
        <w:pStyle w:val="Naslov8"/>
        <w:tabs>
          <w:tab w:val="clear" w:pos="765"/>
        </w:tabs>
        <w:ind w:left="0" w:firstLine="0"/>
        <w:rPr>
          <w:b w:val="0"/>
          <w:szCs w:val="24"/>
          <w:lang w:val="en-GB"/>
        </w:rPr>
      </w:pPr>
      <w:r w:rsidRPr="005C3B55">
        <w:rPr>
          <w:b w:val="0"/>
          <w:noProof w:val="0"/>
          <w:szCs w:val="24"/>
          <w:lang w:val="en-GB"/>
        </w:rPr>
        <w:t>TRZ_I_MRVA:</w:t>
      </w:r>
      <w:r w:rsidRPr="005C3B55">
        <w:rPr>
          <w:b w:val="0"/>
          <w:szCs w:val="24"/>
          <w:lang w:val="en-GB"/>
        </w:rPr>
        <w:t xml:space="preserve"> </w:t>
      </w:r>
      <w:r w:rsidRPr="005C3B55">
        <w:rPr>
          <w:b w:val="0"/>
          <w:noProof w:val="0"/>
          <w:szCs w:val="24"/>
          <w:lang w:val="en-GB"/>
        </w:rPr>
        <w:t>Harvesting of hay from grassland</w:t>
      </w:r>
    </w:p>
    <w:p w:rsidR="00F555D6" w:rsidRPr="005C3B55" w:rsidRDefault="00F555D6" w:rsidP="00F555D6">
      <w:pPr>
        <w:pStyle w:val="Naslov9"/>
        <w:tabs>
          <w:tab w:val="clear" w:pos="765"/>
        </w:tabs>
        <w:ind w:left="0" w:firstLine="0"/>
        <w:rPr>
          <w:szCs w:val="24"/>
          <w:lang w:val="en-GB"/>
        </w:rPr>
      </w:pPr>
      <w:r w:rsidRPr="005C3B55">
        <w:rPr>
          <w:noProof w:val="0"/>
          <w:szCs w:val="24"/>
          <w:lang w:val="en-GB"/>
        </w:rPr>
        <w:t>Methods of commitment verification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Administrative control:</w:t>
            </w:r>
          </w:p>
          <w:p w:rsidR="00F555D6" w:rsidRPr="005C3B55" w:rsidRDefault="00F555D6" w:rsidP="00F555D6">
            <w:pPr>
              <w:numPr>
                <w:ilvl w:val="0"/>
                <w:numId w:val="519"/>
              </w:numPr>
              <w:spacing w:before="240" w:after="0"/>
              <w:ind w:hanging="290"/>
              <w:jc w:val="left"/>
              <w:rPr>
                <w:szCs w:val="24"/>
              </w:rPr>
            </w:pPr>
            <w:r w:rsidRPr="005C3B55">
              <w:rPr>
                <w:szCs w:val="24"/>
              </w:rPr>
              <w:t>suitability of the agricultural plant through collective application;</w:t>
            </w:r>
          </w:p>
          <w:p w:rsidR="00F555D6" w:rsidRPr="005C3B55" w:rsidRDefault="00F555D6" w:rsidP="00F555D6">
            <w:pPr>
              <w:numPr>
                <w:ilvl w:val="0"/>
                <w:numId w:val="519"/>
              </w:numPr>
              <w:spacing w:before="0" w:after="240"/>
              <w:ind w:hanging="290"/>
              <w:jc w:val="left"/>
              <w:rPr>
                <w:szCs w:val="24"/>
              </w:rPr>
            </w:pPr>
            <w:r w:rsidRPr="005C3B55">
              <w:rPr>
                <w:szCs w:val="24"/>
              </w:rPr>
              <w:t>control of livestock density through collective applications, registers, registers of farm animals.</w:t>
            </w:r>
          </w:p>
          <w:p w:rsidR="00F555D6" w:rsidRPr="005C3B55" w:rsidRDefault="00F555D6" w:rsidP="00F555D6">
            <w:pPr>
              <w:spacing w:before="240" w:after="240" w:line="280" w:lineRule="auto"/>
              <w:rPr>
                <w:szCs w:val="24"/>
              </w:rPr>
            </w:pPr>
            <w:r w:rsidRPr="005C3B55">
              <w:rPr>
                <w:szCs w:val="24"/>
              </w:rPr>
              <w:t>Registers/records:</w:t>
            </w:r>
          </w:p>
          <w:p w:rsidR="00F555D6" w:rsidRPr="005C3B55" w:rsidRDefault="00F555D6" w:rsidP="00F555D6">
            <w:pPr>
              <w:numPr>
                <w:ilvl w:val="0"/>
                <w:numId w:val="520"/>
              </w:numPr>
              <w:spacing w:before="240" w:after="0"/>
              <w:ind w:hanging="290"/>
              <w:jc w:val="left"/>
              <w:rPr>
                <w:szCs w:val="24"/>
              </w:rPr>
            </w:pPr>
            <w:r w:rsidRPr="005C3B55">
              <w:rPr>
                <w:szCs w:val="24"/>
              </w:rPr>
              <w:t>register of agricultural holdings;</w:t>
            </w:r>
          </w:p>
          <w:p w:rsidR="00F555D6" w:rsidRPr="005C3B55" w:rsidRDefault="00F555D6" w:rsidP="00F555D6">
            <w:pPr>
              <w:numPr>
                <w:ilvl w:val="0"/>
                <w:numId w:val="520"/>
              </w:numPr>
              <w:spacing w:before="0" w:after="0"/>
              <w:ind w:hanging="290"/>
              <w:jc w:val="left"/>
              <w:rPr>
                <w:szCs w:val="24"/>
              </w:rPr>
            </w:pPr>
            <w:r w:rsidRPr="005C3B55">
              <w:rPr>
                <w:szCs w:val="24"/>
              </w:rPr>
              <w:t>graphical agricultural unit of agricultural holding (GERK);</w:t>
            </w:r>
          </w:p>
          <w:p w:rsidR="00F555D6" w:rsidRPr="005C3B55" w:rsidRDefault="00F555D6" w:rsidP="00F555D6">
            <w:pPr>
              <w:numPr>
                <w:ilvl w:val="0"/>
                <w:numId w:val="520"/>
              </w:numPr>
              <w:spacing w:before="0" w:after="240"/>
              <w:ind w:hanging="290"/>
              <w:jc w:val="left"/>
              <w:rPr>
                <w:szCs w:val="24"/>
              </w:rPr>
            </w:pPr>
            <w:r w:rsidRPr="005C3B55">
              <w:rPr>
                <w:szCs w:val="24"/>
              </w:rPr>
              <w:t>registers, registers of farm animals.</w:t>
            </w:r>
          </w:p>
          <w:p w:rsidR="00F555D6" w:rsidRPr="005C3B55" w:rsidRDefault="00F555D6" w:rsidP="00F555D6">
            <w:pPr>
              <w:spacing w:before="240" w:after="240" w:line="280" w:lineRule="auto"/>
              <w:rPr>
                <w:szCs w:val="24"/>
              </w:rPr>
            </w:pPr>
            <w:r w:rsidRPr="005C3B55">
              <w:rPr>
                <w:szCs w:val="24"/>
              </w:rPr>
              <w:t>On-site control:</w:t>
            </w:r>
          </w:p>
          <w:p w:rsidR="00F555D6" w:rsidRPr="005C3B55" w:rsidRDefault="00F555D6" w:rsidP="00F555D6">
            <w:pPr>
              <w:numPr>
                <w:ilvl w:val="0"/>
                <w:numId w:val="521"/>
              </w:numPr>
              <w:spacing w:before="240" w:after="0"/>
              <w:ind w:hanging="290"/>
              <w:jc w:val="left"/>
              <w:rPr>
                <w:szCs w:val="24"/>
              </w:rPr>
            </w:pPr>
            <w:r w:rsidRPr="005C3B55">
              <w:rPr>
                <w:szCs w:val="24"/>
              </w:rPr>
              <w:t>records on works;</w:t>
            </w:r>
          </w:p>
          <w:p w:rsidR="00F555D6" w:rsidRPr="005C3B55" w:rsidRDefault="00F555D6" w:rsidP="00F555D6">
            <w:pPr>
              <w:numPr>
                <w:ilvl w:val="0"/>
                <w:numId w:val="521"/>
              </w:numPr>
              <w:spacing w:before="0" w:after="0"/>
              <w:ind w:hanging="290"/>
              <w:jc w:val="left"/>
              <w:rPr>
                <w:szCs w:val="24"/>
              </w:rPr>
            </w:pPr>
            <w:r w:rsidRPr="005C3B55">
              <w:rPr>
                <w:szCs w:val="24"/>
              </w:rPr>
              <w:t>control of livestock density by counting animals and reviewing surfaces;</w:t>
            </w:r>
          </w:p>
          <w:p w:rsidR="00F555D6" w:rsidRPr="005C3B55" w:rsidRDefault="00F555D6" w:rsidP="00F555D6">
            <w:pPr>
              <w:numPr>
                <w:ilvl w:val="0"/>
                <w:numId w:val="521"/>
              </w:numPr>
              <w:spacing w:before="0" w:after="240"/>
              <w:ind w:hanging="290"/>
              <w:jc w:val="left"/>
              <w:rPr>
                <w:szCs w:val="24"/>
              </w:rPr>
            </w:pPr>
            <w:r w:rsidRPr="005C3B55">
              <w:rPr>
                <w:szCs w:val="24"/>
              </w:rPr>
              <w:t>review of the agricultural holding.</w:t>
            </w:r>
          </w:p>
          <w:p w:rsidR="00F555D6" w:rsidRPr="005C3B55" w:rsidRDefault="00F555D6" w:rsidP="00F555D6">
            <w:pPr>
              <w:pStyle w:val="Telobesedila"/>
              <w:rPr>
                <w:szCs w:val="24"/>
              </w:rPr>
            </w:pPr>
          </w:p>
        </w:tc>
      </w:tr>
    </w:tbl>
    <w:p w:rsidR="00F555D6" w:rsidRPr="005C3B55" w:rsidRDefault="00F555D6" w:rsidP="00F555D6">
      <w:pPr>
        <w:pStyle w:val="Naslov8"/>
        <w:tabs>
          <w:tab w:val="clear" w:pos="765"/>
        </w:tabs>
        <w:ind w:left="0" w:firstLine="0"/>
        <w:rPr>
          <w:b w:val="0"/>
          <w:szCs w:val="24"/>
          <w:lang w:val="en-GB"/>
        </w:rPr>
      </w:pPr>
      <w:r w:rsidRPr="005C3B55">
        <w:rPr>
          <w:b w:val="0"/>
          <w:noProof w:val="0"/>
          <w:szCs w:val="24"/>
          <w:lang w:val="en-GB"/>
        </w:rPr>
        <w:t>TRZ_I_NIZI:</w:t>
      </w:r>
      <w:r w:rsidRPr="005C3B55">
        <w:rPr>
          <w:b w:val="0"/>
          <w:szCs w:val="24"/>
          <w:lang w:val="en-GB"/>
        </w:rPr>
        <w:t xml:space="preserve"> </w:t>
      </w:r>
      <w:r w:rsidRPr="005C3B55">
        <w:rPr>
          <w:b w:val="0"/>
          <w:noProof w:val="0"/>
          <w:szCs w:val="24"/>
          <w:lang w:val="en-GB"/>
        </w:rPr>
        <w:t>Fertilisation with organic fertilisers with low emissions into air</w:t>
      </w:r>
    </w:p>
    <w:p w:rsidR="00F555D6" w:rsidRPr="005C3B55" w:rsidRDefault="00F555D6" w:rsidP="00F555D6">
      <w:pPr>
        <w:pStyle w:val="Naslov9"/>
        <w:tabs>
          <w:tab w:val="clear" w:pos="765"/>
        </w:tabs>
        <w:ind w:left="0" w:firstLine="0"/>
        <w:rPr>
          <w:szCs w:val="24"/>
          <w:lang w:val="en-GB"/>
        </w:rPr>
      </w:pPr>
      <w:r w:rsidRPr="005C3B55">
        <w:rPr>
          <w:noProof w:val="0"/>
          <w:szCs w:val="24"/>
          <w:lang w:val="en-GB"/>
        </w:rPr>
        <w:t>Methods of commitment verification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Administrative control:</w:t>
            </w:r>
          </w:p>
          <w:p w:rsidR="00F555D6" w:rsidRPr="005C3B55" w:rsidRDefault="00F555D6" w:rsidP="00F555D6">
            <w:pPr>
              <w:numPr>
                <w:ilvl w:val="0"/>
                <w:numId w:val="522"/>
              </w:numPr>
              <w:spacing w:before="240" w:after="0"/>
              <w:ind w:hanging="290"/>
              <w:jc w:val="left"/>
              <w:rPr>
                <w:szCs w:val="24"/>
              </w:rPr>
            </w:pPr>
            <w:r w:rsidRPr="005C3B55">
              <w:rPr>
                <w:szCs w:val="24"/>
              </w:rPr>
              <w:t>suitability of the agricultural plant through collective application;</w:t>
            </w:r>
          </w:p>
          <w:p w:rsidR="00F555D6" w:rsidRPr="005C3B55" w:rsidRDefault="00F555D6" w:rsidP="00F555D6">
            <w:pPr>
              <w:numPr>
                <w:ilvl w:val="0"/>
                <w:numId w:val="522"/>
              </w:numPr>
              <w:spacing w:before="0" w:after="240"/>
              <w:ind w:hanging="290"/>
              <w:jc w:val="left"/>
              <w:rPr>
                <w:szCs w:val="24"/>
              </w:rPr>
            </w:pPr>
            <w:r w:rsidRPr="005C3B55">
              <w:rPr>
                <w:szCs w:val="24"/>
              </w:rPr>
              <w:t>control of livestock density through collective applications, registers, registers of farm animals.</w:t>
            </w:r>
          </w:p>
          <w:p w:rsidR="00F555D6" w:rsidRPr="005C3B55" w:rsidRDefault="00F555D6" w:rsidP="00F555D6">
            <w:pPr>
              <w:spacing w:before="240" w:after="240" w:line="280" w:lineRule="auto"/>
              <w:rPr>
                <w:szCs w:val="24"/>
              </w:rPr>
            </w:pPr>
            <w:r w:rsidRPr="005C3B55">
              <w:rPr>
                <w:szCs w:val="24"/>
              </w:rPr>
              <w:t>Registers/records:</w:t>
            </w:r>
          </w:p>
          <w:p w:rsidR="00F555D6" w:rsidRPr="005C3B55" w:rsidRDefault="00F555D6" w:rsidP="00F555D6">
            <w:pPr>
              <w:numPr>
                <w:ilvl w:val="0"/>
                <w:numId w:val="523"/>
              </w:numPr>
              <w:spacing w:before="240" w:after="0"/>
              <w:ind w:hanging="290"/>
              <w:jc w:val="left"/>
              <w:rPr>
                <w:szCs w:val="24"/>
              </w:rPr>
            </w:pPr>
            <w:r w:rsidRPr="005C3B55">
              <w:rPr>
                <w:szCs w:val="24"/>
              </w:rPr>
              <w:t>register of agricultural holdings;</w:t>
            </w:r>
          </w:p>
          <w:p w:rsidR="00F555D6" w:rsidRPr="005C3B55" w:rsidRDefault="00F555D6" w:rsidP="00F555D6">
            <w:pPr>
              <w:numPr>
                <w:ilvl w:val="0"/>
                <w:numId w:val="523"/>
              </w:numPr>
              <w:spacing w:before="0" w:after="0"/>
              <w:ind w:hanging="290"/>
              <w:jc w:val="left"/>
              <w:rPr>
                <w:szCs w:val="24"/>
              </w:rPr>
            </w:pPr>
            <w:r w:rsidRPr="005C3B55">
              <w:rPr>
                <w:szCs w:val="24"/>
              </w:rPr>
              <w:t>graphical agricultural unit of agricultural holding (GERK);</w:t>
            </w:r>
          </w:p>
          <w:p w:rsidR="00F555D6" w:rsidRPr="005C3B55" w:rsidRDefault="00F555D6" w:rsidP="00F555D6">
            <w:pPr>
              <w:numPr>
                <w:ilvl w:val="0"/>
                <w:numId w:val="523"/>
              </w:numPr>
              <w:spacing w:before="0" w:after="240"/>
              <w:ind w:hanging="290"/>
              <w:jc w:val="left"/>
              <w:rPr>
                <w:szCs w:val="24"/>
              </w:rPr>
            </w:pPr>
            <w:r w:rsidRPr="005C3B55">
              <w:rPr>
                <w:szCs w:val="24"/>
              </w:rPr>
              <w:t>registers, registers of farm animals.</w:t>
            </w:r>
          </w:p>
          <w:p w:rsidR="00F555D6" w:rsidRPr="005C3B55" w:rsidRDefault="00F555D6" w:rsidP="00F555D6">
            <w:pPr>
              <w:spacing w:before="240" w:after="240" w:line="280" w:lineRule="auto"/>
              <w:rPr>
                <w:szCs w:val="24"/>
              </w:rPr>
            </w:pPr>
            <w:r w:rsidRPr="005C3B55">
              <w:rPr>
                <w:szCs w:val="24"/>
              </w:rPr>
              <w:t>On-site control:</w:t>
            </w:r>
          </w:p>
          <w:p w:rsidR="00F555D6" w:rsidRPr="005C3B55" w:rsidRDefault="00F555D6" w:rsidP="00F555D6">
            <w:pPr>
              <w:numPr>
                <w:ilvl w:val="0"/>
                <w:numId w:val="524"/>
              </w:numPr>
              <w:spacing w:before="240" w:after="0"/>
              <w:ind w:hanging="290"/>
              <w:jc w:val="left"/>
              <w:rPr>
                <w:szCs w:val="24"/>
              </w:rPr>
            </w:pPr>
            <w:r w:rsidRPr="005C3B55">
              <w:rPr>
                <w:szCs w:val="24"/>
              </w:rPr>
              <w:t>records on works;</w:t>
            </w:r>
          </w:p>
          <w:p w:rsidR="00F555D6" w:rsidRPr="005C3B55" w:rsidRDefault="00F555D6" w:rsidP="00F555D6">
            <w:pPr>
              <w:numPr>
                <w:ilvl w:val="0"/>
                <w:numId w:val="524"/>
              </w:numPr>
              <w:spacing w:before="0" w:after="0"/>
              <w:ind w:hanging="290"/>
              <w:jc w:val="left"/>
              <w:rPr>
                <w:szCs w:val="24"/>
              </w:rPr>
            </w:pPr>
            <w:r w:rsidRPr="005C3B55">
              <w:rPr>
                <w:szCs w:val="24"/>
              </w:rPr>
              <w:t>presence of suitable machinery on agricultural holdings;</w:t>
            </w:r>
          </w:p>
          <w:p w:rsidR="00F555D6" w:rsidRPr="005C3B55" w:rsidRDefault="00F555D6" w:rsidP="00F555D6">
            <w:pPr>
              <w:numPr>
                <w:ilvl w:val="0"/>
                <w:numId w:val="524"/>
              </w:numPr>
              <w:spacing w:before="0" w:after="0"/>
              <w:ind w:hanging="290"/>
              <w:jc w:val="left"/>
              <w:rPr>
                <w:szCs w:val="24"/>
              </w:rPr>
            </w:pPr>
            <w:r w:rsidRPr="005C3B55">
              <w:rPr>
                <w:szCs w:val="24"/>
              </w:rPr>
              <w:t>agreement between the contractor and the user of mechanical services;</w:t>
            </w:r>
          </w:p>
          <w:p w:rsidR="00F555D6" w:rsidRPr="005C3B55" w:rsidRDefault="00F555D6" w:rsidP="00F555D6">
            <w:pPr>
              <w:numPr>
                <w:ilvl w:val="0"/>
                <w:numId w:val="524"/>
              </w:numPr>
              <w:spacing w:before="0" w:after="0"/>
              <w:ind w:hanging="290"/>
              <w:jc w:val="left"/>
              <w:rPr>
                <w:szCs w:val="24"/>
              </w:rPr>
            </w:pPr>
            <w:r w:rsidRPr="005C3B55">
              <w:rPr>
                <w:szCs w:val="24"/>
              </w:rPr>
              <w:t>invoice for the service implemented by the machinery hire syndicate;</w:t>
            </w:r>
          </w:p>
          <w:p w:rsidR="00F555D6" w:rsidRPr="005C3B55" w:rsidRDefault="00F555D6" w:rsidP="00F555D6">
            <w:pPr>
              <w:numPr>
                <w:ilvl w:val="0"/>
                <w:numId w:val="524"/>
              </w:numPr>
              <w:spacing w:before="0" w:after="0"/>
              <w:ind w:hanging="290"/>
              <w:jc w:val="left"/>
              <w:rPr>
                <w:szCs w:val="24"/>
              </w:rPr>
            </w:pPr>
            <w:r w:rsidRPr="005C3B55">
              <w:rPr>
                <w:szCs w:val="24"/>
              </w:rPr>
              <w:t>control of livestock density by counting animals and reviewing surfaces;</w:t>
            </w:r>
          </w:p>
          <w:p w:rsidR="00F555D6" w:rsidRPr="005C3B55" w:rsidRDefault="00F555D6" w:rsidP="00F555D6">
            <w:pPr>
              <w:numPr>
                <w:ilvl w:val="0"/>
                <w:numId w:val="524"/>
              </w:numPr>
              <w:spacing w:before="0" w:after="240"/>
              <w:ind w:hanging="290"/>
              <w:jc w:val="left"/>
              <w:rPr>
                <w:szCs w:val="24"/>
              </w:rPr>
            </w:pPr>
            <w:r w:rsidRPr="005C3B55">
              <w:rPr>
                <w:szCs w:val="24"/>
              </w:rPr>
              <w:t>review of the agricultural holding.</w:t>
            </w:r>
          </w:p>
          <w:p w:rsidR="00F555D6" w:rsidRPr="005C3B55" w:rsidRDefault="00F555D6" w:rsidP="00F555D6">
            <w:pPr>
              <w:pStyle w:val="Telobesedila"/>
              <w:rPr>
                <w:szCs w:val="24"/>
              </w:rPr>
            </w:pPr>
          </w:p>
        </w:tc>
      </w:tr>
    </w:tbl>
    <w:p w:rsidR="00F555D6" w:rsidRPr="005C3B55" w:rsidRDefault="00F555D6" w:rsidP="00F555D6">
      <w:pPr>
        <w:pStyle w:val="Naslov8"/>
        <w:tabs>
          <w:tab w:val="clear" w:pos="765"/>
        </w:tabs>
        <w:ind w:left="0" w:firstLine="0"/>
        <w:rPr>
          <w:b w:val="0"/>
          <w:szCs w:val="24"/>
          <w:lang w:val="en-GB"/>
        </w:rPr>
      </w:pPr>
      <w:r w:rsidRPr="005C3B55">
        <w:rPr>
          <w:b w:val="0"/>
          <w:noProof w:val="0"/>
          <w:szCs w:val="24"/>
          <w:lang w:val="en-GB"/>
        </w:rPr>
        <w:t>TRZ_I_NPAS:</w:t>
      </w:r>
      <w:r w:rsidRPr="005C3B55">
        <w:rPr>
          <w:b w:val="0"/>
          <w:szCs w:val="24"/>
          <w:lang w:val="en-GB"/>
        </w:rPr>
        <w:t xml:space="preserve"> </w:t>
      </w:r>
      <w:r w:rsidRPr="005C3B55">
        <w:rPr>
          <w:b w:val="0"/>
          <w:noProof w:val="0"/>
          <w:szCs w:val="24"/>
          <w:lang w:val="en-GB"/>
        </w:rPr>
        <w:t>Unmown strip of 5 to 10% of surface of a meadow</w:t>
      </w:r>
    </w:p>
    <w:p w:rsidR="00F555D6" w:rsidRPr="005C3B55" w:rsidRDefault="00F555D6" w:rsidP="00F555D6">
      <w:pPr>
        <w:pStyle w:val="Naslov9"/>
        <w:tabs>
          <w:tab w:val="clear" w:pos="765"/>
        </w:tabs>
        <w:ind w:left="0" w:firstLine="0"/>
        <w:rPr>
          <w:szCs w:val="24"/>
          <w:lang w:val="en-GB"/>
        </w:rPr>
      </w:pPr>
      <w:r w:rsidRPr="005C3B55">
        <w:rPr>
          <w:noProof w:val="0"/>
          <w:szCs w:val="24"/>
          <w:lang w:val="en-GB"/>
        </w:rPr>
        <w:t>Methods of commitment verification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Administrative control:</w:t>
            </w:r>
          </w:p>
          <w:p w:rsidR="00F555D6" w:rsidRPr="005C3B55" w:rsidRDefault="00F555D6" w:rsidP="00F555D6">
            <w:pPr>
              <w:numPr>
                <w:ilvl w:val="0"/>
                <w:numId w:val="525"/>
              </w:numPr>
              <w:spacing w:before="240" w:after="0"/>
              <w:ind w:hanging="290"/>
              <w:jc w:val="left"/>
              <w:rPr>
                <w:szCs w:val="24"/>
              </w:rPr>
            </w:pPr>
            <w:r w:rsidRPr="005C3B55">
              <w:rPr>
                <w:szCs w:val="24"/>
              </w:rPr>
              <w:t>suitability of the agricultural plant through collective application;</w:t>
            </w:r>
          </w:p>
          <w:p w:rsidR="00F555D6" w:rsidRPr="005C3B55" w:rsidRDefault="00F555D6" w:rsidP="00F555D6">
            <w:pPr>
              <w:numPr>
                <w:ilvl w:val="0"/>
                <w:numId w:val="525"/>
              </w:numPr>
              <w:spacing w:before="0" w:after="0"/>
              <w:ind w:hanging="290"/>
              <w:jc w:val="left"/>
              <w:rPr>
                <w:szCs w:val="24"/>
              </w:rPr>
            </w:pPr>
            <w:r w:rsidRPr="005C3B55">
              <w:rPr>
                <w:szCs w:val="24"/>
              </w:rPr>
              <w:t>suitability of size of the graphical agricultural unit of agricultural holding;</w:t>
            </w:r>
          </w:p>
          <w:p w:rsidR="00F555D6" w:rsidRPr="005C3B55" w:rsidRDefault="00F555D6" w:rsidP="00F555D6">
            <w:pPr>
              <w:numPr>
                <w:ilvl w:val="0"/>
                <w:numId w:val="525"/>
              </w:numPr>
              <w:spacing w:before="0" w:after="240"/>
              <w:ind w:hanging="290"/>
              <w:jc w:val="left"/>
              <w:rPr>
                <w:szCs w:val="24"/>
              </w:rPr>
            </w:pPr>
            <w:r w:rsidRPr="005C3B55">
              <w:rPr>
                <w:szCs w:val="24"/>
              </w:rPr>
              <w:t>control of livestock density through collective applications, registers, registers of farm animals.</w:t>
            </w:r>
          </w:p>
          <w:p w:rsidR="00F555D6" w:rsidRPr="005C3B55" w:rsidRDefault="00F555D6" w:rsidP="00F555D6">
            <w:pPr>
              <w:spacing w:before="240" w:after="240" w:line="280" w:lineRule="auto"/>
              <w:rPr>
                <w:szCs w:val="24"/>
              </w:rPr>
            </w:pPr>
            <w:r w:rsidRPr="005C3B55">
              <w:rPr>
                <w:szCs w:val="24"/>
              </w:rPr>
              <w:t>Registers/records:</w:t>
            </w:r>
          </w:p>
          <w:p w:rsidR="00F555D6" w:rsidRPr="005C3B55" w:rsidRDefault="00F555D6" w:rsidP="00F555D6">
            <w:pPr>
              <w:numPr>
                <w:ilvl w:val="0"/>
                <w:numId w:val="526"/>
              </w:numPr>
              <w:spacing w:before="240" w:after="0"/>
              <w:ind w:hanging="290"/>
              <w:jc w:val="left"/>
              <w:rPr>
                <w:szCs w:val="24"/>
              </w:rPr>
            </w:pPr>
            <w:r w:rsidRPr="005C3B55">
              <w:rPr>
                <w:szCs w:val="24"/>
              </w:rPr>
              <w:t>register of agricultural holdings;</w:t>
            </w:r>
          </w:p>
          <w:p w:rsidR="00F555D6" w:rsidRPr="005C3B55" w:rsidRDefault="00F555D6" w:rsidP="00F555D6">
            <w:pPr>
              <w:numPr>
                <w:ilvl w:val="0"/>
                <w:numId w:val="526"/>
              </w:numPr>
              <w:spacing w:before="0" w:after="0"/>
              <w:ind w:hanging="290"/>
              <w:jc w:val="left"/>
              <w:rPr>
                <w:szCs w:val="24"/>
              </w:rPr>
            </w:pPr>
            <w:r w:rsidRPr="005C3B55">
              <w:rPr>
                <w:szCs w:val="24"/>
              </w:rPr>
              <w:t>graphical agricultural unit of agricultural holding (GERK);</w:t>
            </w:r>
          </w:p>
          <w:p w:rsidR="00F555D6" w:rsidRPr="005C3B55" w:rsidRDefault="00F555D6" w:rsidP="00F555D6">
            <w:pPr>
              <w:numPr>
                <w:ilvl w:val="0"/>
                <w:numId w:val="526"/>
              </w:numPr>
              <w:spacing w:before="0" w:after="240"/>
              <w:ind w:hanging="290"/>
              <w:jc w:val="left"/>
              <w:rPr>
                <w:szCs w:val="24"/>
              </w:rPr>
            </w:pPr>
            <w:r w:rsidRPr="005C3B55">
              <w:rPr>
                <w:szCs w:val="24"/>
              </w:rPr>
              <w:t>registers, registers of farm animals.</w:t>
            </w:r>
          </w:p>
          <w:p w:rsidR="00F555D6" w:rsidRPr="005C3B55" w:rsidRDefault="00F555D6" w:rsidP="00F555D6">
            <w:pPr>
              <w:spacing w:before="240" w:after="240" w:line="280" w:lineRule="auto"/>
              <w:rPr>
                <w:szCs w:val="24"/>
              </w:rPr>
            </w:pPr>
            <w:r w:rsidRPr="005C3B55">
              <w:rPr>
                <w:szCs w:val="24"/>
              </w:rPr>
              <w:t>On-site control:</w:t>
            </w:r>
          </w:p>
          <w:p w:rsidR="00F555D6" w:rsidRPr="005C3B55" w:rsidRDefault="00F555D6" w:rsidP="00F555D6">
            <w:pPr>
              <w:numPr>
                <w:ilvl w:val="0"/>
                <w:numId w:val="527"/>
              </w:numPr>
              <w:spacing w:before="240" w:after="0"/>
              <w:ind w:hanging="290"/>
              <w:jc w:val="left"/>
              <w:rPr>
                <w:szCs w:val="24"/>
              </w:rPr>
            </w:pPr>
            <w:r w:rsidRPr="005C3B55">
              <w:rPr>
                <w:szCs w:val="24"/>
              </w:rPr>
              <w:t>records on works;</w:t>
            </w:r>
          </w:p>
          <w:p w:rsidR="00F555D6" w:rsidRPr="005C3B55" w:rsidRDefault="00F555D6" w:rsidP="00F555D6">
            <w:pPr>
              <w:numPr>
                <w:ilvl w:val="0"/>
                <w:numId w:val="527"/>
              </w:numPr>
              <w:spacing w:before="0" w:after="0"/>
              <w:ind w:hanging="290"/>
              <w:jc w:val="left"/>
              <w:rPr>
                <w:szCs w:val="24"/>
              </w:rPr>
            </w:pPr>
            <w:r w:rsidRPr="005C3B55">
              <w:rPr>
                <w:szCs w:val="24"/>
              </w:rPr>
              <w:t>scheme of a meadow;</w:t>
            </w:r>
          </w:p>
          <w:p w:rsidR="00F555D6" w:rsidRPr="005C3B55" w:rsidRDefault="00F555D6" w:rsidP="00F555D6">
            <w:pPr>
              <w:numPr>
                <w:ilvl w:val="0"/>
                <w:numId w:val="527"/>
              </w:numPr>
              <w:spacing w:before="0" w:after="0"/>
              <w:ind w:hanging="290"/>
              <w:jc w:val="left"/>
              <w:rPr>
                <w:szCs w:val="24"/>
              </w:rPr>
            </w:pPr>
            <w:r w:rsidRPr="005C3B55">
              <w:rPr>
                <w:szCs w:val="24"/>
              </w:rPr>
              <w:t>control of livestock density by counting animals and reviewing surfaces;</w:t>
            </w:r>
          </w:p>
          <w:p w:rsidR="00F555D6" w:rsidRPr="005C3B55" w:rsidRDefault="00F555D6" w:rsidP="00F555D6">
            <w:pPr>
              <w:numPr>
                <w:ilvl w:val="0"/>
                <w:numId w:val="527"/>
              </w:numPr>
              <w:spacing w:before="0" w:after="240"/>
              <w:ind w:hanging="290"/>
              <w:jc w:val="left"/>
              <w:rPr>
                <w:szCs w:val="24"/>
              </w:rPr>
            </w:pPr>
            <w:r w:rsidRPr="005C3B55">
              <w:rPr>
                <w:szCs w:val="24"/>
              </w:rPr>
              <w:t>review of the agricultural holding.</w:t>
            </w:r>
          </w:p>
          <w:p w:rsidR="00F555D6" w:rsidRPr="005C3B55" w:rsidRDefault="00F555D6" w:rsidP="00F555D6">
            <w:pPr>
              <w:pStyle w:val="Telobesedila"/>
              <w:rPr>
                <w:szCs w:val="24"/>
              </w:rPr>
            </w:pPr>
          </w:p>
        </w:tc>
      </w:tr>
    </w:tbl>
    <w:p w:rsidR="00F555D6" w:rsidRPr="005C3B55" w:rsidRDefault="00F555D6" w:rsidP="00F555D6">
      <w:pPr>
        <w:pStyle w:val="Naslov8"/>
        <w:tabs>
          <w:tab w:val="clear" w:pos="765"/>
        </w:tabs>
        <w:ind w:left="0" w:firstLine="0"/>
        <w:rPr>
          <w:b w:val="0"/>
          <w:szCs w:val="24"/>
          <w:lang w:val="en-GB"/>
        </w:rPr>
      </w:pPr>
      <w:r w:rsidRPr="005C3B55">
        <w:rPr>
          <w:b w:val="0"/>
          <w:noProof w:val="0"/>
          <w:szCs w:val="24"/>
          <w:lang w:val="en-GB"/>
        </w:rPr>
        <w:t>TRZ_I_OSIL:</w:t>
      </w:r>
      <w:r w:rsidRPr="005C3B55">
        <w:rPr>
          <w:b w:val="0"/>
          <w:szCs w:val="24"/>
          <w:lang w:val="en-GB"/>
        </w:rPr>
        <w:t xml:space="preserve"> </w:t>
      </w:r>
      <w:r w:rsidRPr="005C3B55">
        <w:rPr>
          <w:b w:val="0"/>
          <w:noProof w:val="0"/>
          <w:szCs w:val="24"/>
          <w:lang w:val="en-GB"/>
        </w:rPr>
        <w:t>Non-use of silage</w:t>
      </w:r>
    </w:p>
    <w:p w:rsidR="00F555D6" w:rsidRPr="005C3B55" w:rsidRDefault="00F555D6" w:rsidP="00F555D6">
      <w:pPr>
        <w:pStyle w:val="Naslov9"/>
        <w:tabs>
          <w:tab w:val="clear" w:pos="765"/>
        </w:tabs>
        <w:ind w:left="0" w:firstLine="0"/>
        <w:rPr>
          <w:szCs w:val="24"/>
          <w:lang w:val="en-GB"/>
        </w:rPr>
      </w:pPr>
      <w:r w:rsidRPr="005C3B55">
        <w:rPr>
          <w:noProof w:val="0"/>
          <w:szCs w:val="24"/>
          <w:lang w:val="en-GB"/>
        </w:rPr>
        <w:t>Methods of commitment verification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Administrative control:</w:t>
            </w:r>
          </w:p>
          <w:p w:rsidR="00F555D6" w:rsidRPr="005C3B55" w:rsidRDefault="00F555D6" w:rsidP="00F555D6">
            <w:pPr>
              <w:numPr>
                <w:ilvl w:val="0"/>
                <w:numId w:val="528"/>
              </w:numPr>
              <w:spacing w:before="240" w:after="0"/>
              <w:ind w:hanging="290"/>
              <w:jc w:val="left"/>
              <w:rPr>
                <w:szCs w:val="24"/>
              </w:rPr>
            </w:pPr>
            <w:r w:rsidRPr="005C3B55">
              <w:rPr>
                <w:szCs w:val="24"/>
              </w:rPr>
              <w:t>suitability of the agricultural plant through collective application;</w:t>
            </w:r>
          </w:p>
          <w:p w:rsidR="00F555D6" w:rsidRPr="005C3B55" w:rsidRDefault="00F555D6" w:rsidP="00F555D6">
            <w:pPr>
              <w:numPr>
                <w:ilvl w:val="0"/>
                <w:numId w:val="528"/>
              </w:numPr>
              <w:spacing w:before="0" w:after="240"/>
              <w:ind w:hanging="290"/>
              <w:jc w:val="left"/>
              <w:rPr>
                <w:szCs w:val="24"/>
              </w:rPr>
            </w:pPr>
            <w:r w:rsidRPr="005C3B55">
              <w:rPr>
                <w:szCs w:val="24"/>
              </w:rPr>
              <w:t>control of livestock density through collective applications, registers, registers of farm animals.</w:t>
            </w:r>
          </w:p>
          <w:p w:rsidR="00F555D6" w:rsidRPr="005C3B55" w:rsidRDefault="00F555D6" w:rsidP="00F555D6">
            <w:pPr>
              <w:spacing w:before="240" w:after="240" w:line="280" w:lineRule="auto"/>
              <w:rPr>
                <w:szCs w:val="24"/>
              </w:rPr>
            </w:pPr>
            <w:r w:rsidRPr="005C3B55">
              <w:rPr>
                <w:szCs w:val="24"/>
              </w:rPr>
              <w:t>Registers/records:</w:t>
            </w:r>
          </w:p>
          <w:p w:rsidR="00F555D6" w:rsidRPr="005C3B55" w:rsidRDefault="00F555D6" w:rsidP="00F555D6">
            <w:pPr>
              <w:numPr>
                <w:ilvl w:val="0"/>
                <w:numId w:val="529"/>
              </w:numPr>
              <w:spacing w:before="240" w:after="0"/>
              <w:ind w:hanging="290"/>
              <w:jc w:val="left"/>
              <w:rPr>
                <w:szCs w:val="24"/>
              </w:rPr>
            </w:pPr>
            <w:r w:rsidRPr="005C3B55">
              <w:rPr>
                <w:szCs w:val="24"/>
              </w:rPr>
              <w:t>register of agricultural holdings;</w:t>
            </w:r>
          </w:p>
          <w:p w:rsidR="00F555D6" w:rsidRPr="005C3B55" w:rsidRDefault="00F555D6" w:rsidP="00F555D6">
            <w:pPr>
              <w:numPr>
                <w:ilvl w:val="0"/>
                <w:numId w:val="529"/>
              </w:numPr>
              <w:spacing w:before="0" w:after="0"/>
              <w:ind w:hanging="290"/>
              <w:jc w:val="left"/>
              <w:rPr>
                <w:szCs w:val="24"/>
              </w:rPr>
            </w:pPr>
            <w:r w:rsidRPr="005C3B55">
              <w:rPr>
                <w:szCs w:val="24"/>
              </w:rPr>
              <w:t>graphical agricultural unit of agricultural holding (GERK);</w:t>
            </w:r>
          </w:p>
          <w:p w:rsidR="00F555D6" w:rsidRPr="005C3B55" w:rsidRDefault="00F555D6" w:rsidP="00F555D6">
            <w:pPr>
              <w:numPr>
                <w:ilvl w:val="0"/>
                <w:numId w:val="529"/>
              </w:numPr>
              <w:spacing w:before="0" w:after="240"/>
              <w:ind w:hanging="290"/>
              <w:jc w:val="left"/>
              <w:rPr>
                <w:szCs w:val="24"/>
              </w:rPr>
            </w:pPr>
            <w:r w:rsidRPr="005C3B55">
              <w:rPr>
                <w:szCs w:val="24"/>
              </w:rPr>
              <w:t>registers, registers of farm animals.</w:t>
            </w:r>
          </w:p>
          <w:p w:rsidR="00F555D6" w:rsidRPr="005C3B55" w:rsidRDefault="00F555D6" w:rsidP="00F555D6">
            <w:pPr>
              <w:spacing w:before="240" w:after="240" w:line="280" w:lineRule="auto"/>
              <w:rPr>
                <w:szCs w:val="24"/>
              </w:rPr>
            </w:pPr>
            <w:r w:rsidRPr="005C3B55">
              <w:rPr>
                <w:szCs w:val="24"/>
              </w:rPr>
              <w:t>On-site control:</w:t>
            </w:r>
          </w:p>
          <w:p w:rsidR="00F555D6" w:rsidRPr="005C3B55" w:rsidRDefault="00F555D6" w:rsidP="00F555D6">
            <w:pPr>
              <w:numPr>
                <w:ilvl w:val="0"/>
                <w:numId w:val="530"/>
              </w:numPr>
              <w:spacing w:before="240" w:after="0"/>
              <w:ind w:hanging="290"/>
              <w:jc w:val="left"/>
              <w:rPr>
                <w:szCs w:val="24"/>
              </w:rPr>
            </w:pPr>
            <w:r w:rsidRPr="005C3B55">
              <w:rPr>
                <w:szCs w:val="24"/>
              </w:rPr>
              <w:t>records on works;</w:t>
            </w:r>
          </w:p>
          <w:p w:rsidR="00F555D6" w:rsidRPr="005C3B55" w:rsidRDefault="00F555D6" w:rsidP="00F555D6">
            <w:pPr>
              <w:numPr>
                <w:ilvl w:val="0"/>
                <w:numId w:val="530"/>
              </w:numPr>
              <w:spacing w:before="0" w:after="0"/>
              <w:ind w:hanging="290"/>
              <w:jc w:val="left"/>
              <w:rPr>
                <w:szCs w:val="24"/>
              </w:rPr>
            </w:pPr>
            <w:r w:rsidRPr="005C3B55">
              <w:rPr>
                <w:szCs w:val="24"/>
              </w:rPr>
              <w:t>control of livestock density by counting animals and reviewing surfaces;</w:t>
            </w:r>
          </w:p>
          <w:p w:rsidR="00F555D6" w:rsidRPr="005C3B55" w:rsidRDefault="00F555D6" w:rsidP="00F555D6">
            <w:pPr>
              <w:numPr>
                <w:ilvl w:val="0"/>
                <w:numId w:val="530"/>
              </w:numPr>
              <w:spacing w:before="0" w:after="240"/>
              <w:ind w:hanging="290"/>
              <w:jc w:val="left"/>
              <w:rPr>
                <w:szCs w:val="24"/>
              </w:rPr>
            </w:pPr>
            <w:r w:rsidRPr="005C3B55">
              <w:rPr>
                <w:szCs w:val="24"/>
              </w:rPr>
              <w:t>review of the agricultural holding.</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Information that relates specifically to the operation</w:t>
      </w:r>
    </w:p>
    <w:p w:rsidR="00F555D6" w:rsidRPr="005C3B55" w:rsidRDefault="00F555D6" w:rsidP="00F555D6">
      <w:pPr>
        <w:spacing w:line="280" w:lineRule="auto"/>
        <w:rPr>
          <w:szCs w:val="24"/>
        </w:rPr>
      </w:pPr>
      <w:r w:rsidRPr="005C3B55">
        <w:rPr>
          <w:szCs w:val="24"/>
        </w:rPr>
        <w:t>Definition and identification of the relevant basic elements; this should include the relevant mandatory standards determined in accordance with Chapter I of Title VI of Regulation (EU) No 1306/2013 of the European Parliament and of the Council, relevant criteria and minimum activities determined in accordance with points (c)(ii) and (c)(iii) of the first paragraph of Article 4 of Regulation (EU) No 1307/2013 of the European Parliament and of the Council, relevant minimum requirements for the use of organic fertilisers and plant protection products and relevant mandatory requirements determined by national law</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 xml:space="preserve">Described in the chapter </w:t>
            </w:r>
            <w:r w:rsidRPr="005C3B55">
              <w:rPr>
                <w:i/>
                <w:szCs w:val="24"/>
              </w:rPr>
              <w:t>Agri-environment-climate commitments</w:t>
            </w:r>
            <w:r w:rsidRPr="005C3B55">
              <w:rPr>
                <w:szCs w:val="24"/>
              </w:rPr>
              <w:t>.</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 xml:space="preserve">Minimum requirements for fertilisers must include, inter alia, the Codes of Good Practice introduced under Directive 91/676/EEC for farms outside Nitrate Vulnerable Zones, and requirements concerning phosphorous pollution; minimum requirements for plant protection products use must include, </w:t>
      </w:r>
      <w:r w:rsidRPr="005C3B55">
        <w:rPr>
          <w:i/>
          <w:szCs w:val="24"/>
        </w:rPr>
        <w:t>inter alia</w:t>
      </w:r>
      <w:r w:rsidRPr="005C3B55">
        <w:rPr>
          <w:szCs w:val="24"/>
        </w:rPr>
        <w:t>, general principles for integrated pest management introduced with Directive 2009/128/EC, requirements to have a licence to use the products and meet training obligations, requirements on safe storage, the checking of application machinery and rules on pesticide use close to water and other sensitive sites, as established by national legislation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 xml:space="preserve">Described in the chapter </w:t>
            </w:r>
            <w:r w:rsidRPr="005C3B55">
              <w:rPr>
                <w:i/>
                <w:szCs w:val="24"/>
              </w:rPr>
              <w:t>Agri-environment-climate commitments</w:t>
            </w:r>
            <w:r w:rsidRPr="005C3B55">
              <w:rPr>
                <w:szCs w:val="24"/>
              </w:rPr>
              <w:t>.</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List of local breeds in danger of being lost to farming and for plant genetic resources under threat of genetic erosion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Not relevant.</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The description of the methodology and of the agronomic assumptions and parameters, including the description of the baseline requirements as stated in Article 29(2) of Regulation (EU) No 1305/2013, which are relevant for each particular type of commitment used as reference point for the calculations which justify: additional costs and lost revenue due to the assumed commitment and the amount of transaction costs; where necessary, the methodology takes into account the support granted under Regulation (EU) No 1307/2013, including payments for agricultural practices that favourably affect the climate and environment, in order to prevent the possibility of dual financing; where appropriate, the conversion method used for other units in accordance with Article 9 of this Regulation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The calculation of the amount of payments for individual requirements within the operation Permanent grassland I observes:</w:t>
            </w:r>
          </w:p>
          <w:p w:rsidR="00F555D6" w:rsidRPr="005C3B55" w:rsidRDefault="00F555D6" w:rsidP="00F555D6">
            <w:pPr>
              <w:spacing w:before="240" w:after="240" w:line="280" w:lineRule="auto"/>
              <w:rPr>
                <w:szCs w:val="24"/>
              </w:rPr>
            </w:pPr>
            <w:r w:rsidRPr="005C3B55">
              <w:rPr>
                <w:b/>
                <w:szCs w:val="24"/>
              </w:rPr>
              <w:t>A. Mandatory requirement</w:t>
            </w:r>
          </w:p>
          <w:p w:rsidR="00F555D6" w:rsidRPr="005C3B55" w:rsidRDefault="00F555D6" w:rsidP="00F555D6">
            <w:pPr>
              <w:spacing w:before="240" w:after="240" w:line="280" w:lineRule="auto"/>
              <w:rPr>
                <w:szCs w:val="24"/>
              </w:rPr>
            </w:pPr>
            <w:r w:rsidRPr="005C3B55">
              <w:rPr>
                <w:szCs w:val="24"/>
              </w:rPr>
              <w:t>TRZ_I_NPAS: Standard agricultural practice includes hay and grass silage production. Standard agricultural practice serves as the basis for the calculation of the amount of payment. Due to certain limitations on leaving an unmown strip, the calculation takes into account manual and machine mowing, raking and removal of grass from the previous season in early spring. Thus the usual season is anticipated for the entire season, together with reduced amount of forage from grassland and costs of production according to the unmown strip. As the unmown strip produces less produce and thus less energy, the loss is replaced by renting additional surfaces without production limitations.</w:t>
            </w:r>
          </w:p>
          <w:p w:rsidR="00F555D6" w:rsidRPr="005C3B55" w:rsidRDefault="00F555D6" w:rsidP="00F555D6">
            <w:pPr>
              <w:spacing w:before="240" w:after="240" w:line="280" w:lineRule="auto"/>
              <w:rPr>
                <w:szCs w:val="24"/>
              </w:rPr>
            </w:pPr>
            <w:r w:rsidRPr="005C3B55">
              <w:rPr>
                <w:b/>
                <w:szCs w:val="24"/>
              </w:rPr>
              <w:t>B. Optional requirements</w:t>
            </w:r>
          </w:p>
          <w:p w:rsidR="00F555D6" w:rsidRPr="005C3B55" w:rsidRDefault="00F555D6" w:rsidP="00F555D6">
            <w:pPr>
              <w:spacing w:before="240" w:after="240" w:line="280" w:lineRule="auto"/>
              <w:rPr>
                <w:szCs w:val="24"/>
              </w:rPr>
            </w:pPr>
            <w:r w:rsidRPr="005C3B55">
              <w:rPr>
                <w:szCs w:val="24"/>
              </w:rPr>
              <w:t>TRZ_I_NIZI: Standard agricultural practice in fertilising with liquid manure is the use of tankers with a spreading plate. This requirement anticipates spreading with adjusted machinery for spreading liquid manure, i.e. tankers with drawn hoses. The calculation takes into account the difference between the costs of spreading with standard tankers with a spreading plate and the costs of spreading with tankers with drawn hoses.</w:t>
            </w:r>
          </w:p>
          <w:p w:rsidR="00F555D6" w:rsidRPr="005C3B55" w:rsidRDefault="00F555D6" w:rsidP="00F555D6">
            <w:pPr>
              <w:spacing w:before="240" w:after="240" w:line="280" w:lineRule="auto"/>
              <w:rPr>
                <w:szCs w:val="24"/>
              </w:rPr>
            </w:pPr>
            <w:r w:rsidRPr="005C3B55">
              <w:rPr>
                <w:szCs w:val="24"/>
              </w:rPr>
              <w:t>TRZ_I_MRVA: The basis for the calculation is the production of milk (60%), beef (25%) and meat of small cattle (15%). Widespread technologies are used. The majority of a feed ration is based on domestic forage in combination with purchased forage. Feed rations include: cows – hay, grass and corn silage, grazing, purchased fodder; fattening cattle – hay, grass and corn silage, purchased fodder; sheep – hay, grazing, purchased fodder for breeding animals. The basis for the assessment of the requirement without the use of grass silage (in a ration) is standard livestock production. Optimal hay harvesting and preservation of the quality of fodder are anticipated; therefore, no fodder must be purchased to cover energy losses. The technology of producing grass silage does not occur in practice regarding sheep, and it is thus not included. However, as the requirements is not limited to the type of animals and does not exclude breeders of small cattle, the calculation does not take into account the breeding of sheep.</w:t>
            </w:r>
          </w:p>
          <w:p w:rsidR="00F555D6" w:rsidRPr="005C3B55" w:rsidRDefault="00F555D6" w:rsidP="00F555D6">
            <w:pPr>
              <w:spacing w:before="240" w:after="240" w:line="280" w:lineRule="auto"/>
              <w:rPr>
                <w:szCs w:val="24"/>
              </w:rPr>
            </w:pPr>
            <w:r w:rsidRPr="005C3B55">
              <w:rPr>
                <w:szCs w:val="24"/>
              </w:rPr>
              <w:t>TRZ_I_OSIL: The basis for the calculation is the production of milk (60%), beef (25%) and meat of small cattle (15%). Widespread technologies are used. The majority of a feed ration is based on domestic forage in combination with purchased forage. Feed rations include: cows – hay, grass and corn silage, grazing, purchased forage; fattening cattle – hay, grass and corn silage, purchased forage; sheep – hay, grazing, purchased forage for breeding animals. The basis for the assessment of the requirement without the use of grass and corn silage (in a ration) is standard livestock production. It is anticipated that corn for grains is produced instead of corn silage, and the difference in energy is purchased in the market. The technology of breeding sheep does not include grass and corn silage. However, as no limitation is applied as to the type of animals, the calculations do not take into account the breeding of sheep.</w:t>
            </w:r>
          </w:p>
          <w:p w:rsidR="00F555D6" w:rsidRPr="005C3B55" w:rsidRDefault="00F555D6" w:rsidP="00F555D6">
            <w:pPr>
              <w:spacing w:before="240" w:after="240" w:line="280" w:lineRule="auto"/>
              <w:rPr>
                <w:szCs w:val="24"/>
              </w:rPr>
            </w:pPr>
            <w:r w:rsidRPr="005C3B55">
              <w:rPr>
                <w:szCs w:val="24"/>
              </w:rPr>
              <w:t> </w:t>
            </w:r>
          </w:p>
          <w:p w:rsidR="00F555D6" w:rsidRPr="005C3B55" w:rsidRDefault="00F555D6" w:rsidP="00F555D6">
            <w:pPr>
              <w:spacing w:before="240" w:after="240" w:line="280" w:lineRule="auto"/>
              <w:rPr>
                <w:szCs w:val="24"/>
              </w:rPr>
            </w:pPr>
            <w:r w:rsidRPr="005C3B55">
              <w:rPr>
                <w:szCs w:val="24"/>
              </w:rPr>
              <w:t> </w:t>
            </w:r>
          </w:p>
          <w:p w:rsidR="00F555D6" w:rsidRPr="005C3B55" w:rsidRDefault="00F555D6" w:rsidP="00F555D6">
            <w:pPr>
              <w:pStyle w:val="Telobesedila"/>
              <w:rPr>
                <w:szCs w:val="24"/>
              </w:rPr>
            </w:pPr>
          </w:p>
        </w:tc>
      </w:tr>
    </w:tbl>
    <w:p w:rsidR="00F555D6" w:rsidRPr="005C3B55" w:rsidRDefault="00F555D6" w:rsidP="00F555D6">
      <w:pPr>
        <w:pStyle w:val="Naslov7"/>
        <w:tabs>
          <w:tab w:val="clear" w:pos="765"/>
        </w:tabs>
        <w:ind w:left="0" w:firstLine="0"/>
        <w:rPr>
          <w:szCs w:val="24"/>
          <w:lang w:val="en-GB"/>
        </w:rPr>
      </w:pPr>
      <w:r w:rsidRPr="005C3B55">
        <w:rPr>
          <w:noProof w:val="0"/>
          <w:szCs w:val="24"/>
          <w:lang w:val="en-GB"/>
        </w:rPr>
        <w:t>Agri-environment-climate commitments</w:t>
      </w:r>
    </w:p>
    <w:p w:rsidR="00F555D6" w:rsidRPr="005C3B55" w:rsidRDefault="00F555D6" w:rsidP="00F555D6">
      <w:pPr>
        <w:pStyle w:val="Naslov8"/>
        <w:tabs>
          <w:tab w:val="clear" w:pos="765"/>
        </w:tabs>
        <w:ind w:left="0" w:firstLine="0"/>
        <w:rPr>
          <w:b w:val="0"/>
          <w:szCs w:val="24"/>
          <w:lang w:val="en-GB"/>
        </w:rPr>
      </w:pPr>
      <w:r w:rsidRPr="005C3B55">
        <w:rPr>
          <w:b w:val="0"/>
          <w:noProof w:val="0"/>
          <w:szCs w:val="24"/>
          <w:lang w:val="en-GB"/>
        </w:rPr>
        <w:t>TRZ_I_MRVA:</w:t>
      </w:r>
      <w:r w:rsidRPr="005C3B55">
        <w:rPr>
          <w:b w:val="0"/>
          <w:szCs w:val="24"/>
          <w:lang w:val="en-GB"/>
        </w:rPr>
        <w:t xml:space="preserve"> </w:t>
      </w:r>
      <w:r w:rsidRPr="005C3B55">
        <w:rPr>
          <w:b w:val="0"/>
          <w:noProof w:val="0"/>
          <w:szCs w:val="24"/>
          <w:lang w:val="en-GB"/>
        </w:rPr>
        <w:t>Harvesting of hay from grassland</w:t>
      </w:r>
    </w:p>
    <w:p w:rsidR="00F555D6" w:rsidRPr="005C3B55" w:rsidRDefault="00F555D6" w:rsidP="00F555D6">
      <w:pPr>
        <w:pStyle w:val="Naslov9"/>
        <w:tabs>
          <w:tab w:val="clear" w:pos="765"/>
        </w:tabs>
        <w:ind w:left="0" w:firstLine="0"/>
        <w:rPr>
          <w:szCs w:val="24"/>
          <w:lang w:val="en-GB"/>
        </w:rPr>
      </w:pPr>
      <w:r w:rsidRPr="005C3B55">
        <w:rPr>
          <w:noProof w:val="0"/>
          <w:szCs w:val="24"/>
          <w:lang w:val="en-GB"/>
        </w:rPr>
        <w:t>Starting Point</w:t>
      </w:r>
    </w:p>
    <w:p w:rsidR="00F555D6" w:rsidRPr="005C3B55" w:rsidRDefault="00F555D6" w:rsidP="00F555D6">
      <w:pPr>
        <w:spacing w:line="280" w:lineRule="auto"/>
        <w:rPr>
          <w:szCs w:val="24"/>
        </w:rPr>
      </w:pPr>
      <w:r w:rsidRPr="005C3B55">
        <w:rPr>
          <w:szCs w:val="24"/>
        </w:rPr>
        <w:t>Suitable good agricultural and environmental conditions and/or prescribed management requirements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531"/>
              </w:numPr>
              <w:spacing w:before="0" w:after="240"/>
              <w:ind w:hanging="290"/>
              <w:jc w:val="left"/>
              <w:rPr>
                <w:szCs w:val="24"/>
              </w:rPr>
            </w:pPr>
            <w:r w:rsidRPr="005C3B55">
              <w:rPr>
                <w:szCs w:val="24"/>
              </w:rPr>
              <w:t>Regulation on cross-compliance, Annex 1: Rules on cross-compliance, GAEC 7:  Minimum level of land maintenance: agricultural land is annually cultivated at least by 15 October of the current year.</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Minimum requirements for the use of fertilisers and plant protection products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532"/>
              </w:numPr>
              <w:spacing w:before="0" w:after="0"/>
              <w:ind w:hanging="290"/>
              <w:jc w:val="left"/>
              <w:rPr>
                <w:szCs w:val="24"/>
              </w:rPr>
            </w:pPr>
            <w:r w:rsidRPr="005C3B55">
              <w:rPr>
                <w:szCs w:val="24"/>
              </w:rPr>
              <w:t>Minimum requirements for the use of fertilisers refer to the keeping of records on the use of livestock and mineral fertilisers which an agricultural holding has to keep for all agricultural land plots at the agricultural holding, and which has to include at least the quantity and type of livestock manure and mineral fertiliser, time of fertilising and data on the surface where these fertilisers are used.</w:t>
            </w:r>
          </w:p>
          <w:p w:rsidR="00F555D6" w:rsidRPr="005C3B55" w:rsidRDefault="00F555D6" w:rsidP="00F555D6">
            <w:pPr>
              <w:numPr>
                <w:ilvl w:val="0"/>
                <w:numId w:val="532"/>
              </w:numPr>
              <w:spacing w:before="0" w:after="240"/>
              <w:ind w:hanging="290"/>
              <w:jc w:val="left"/>
              <w:rPr>
                <w:szCs w:val="24"/>
              </w:rPr>
            </w:pPr>
            <w:r w:rsidRPr="005C3B55">
              <w:rPr>
                <w:szCs w:val="24"/>
              </w:rPr>
              <w:t>Minimum requirements for the use of plant protection products are not determined, since the requirements relating to the use of these products are standardised and are included in the requirements of cross-compliance.</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Other relevant national/regional requirements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533"/>
              </w:numPr>
              <w:spacing w:before="0" w:after="240"/>
              <w:ind w:hanging="290"/>
              <w:jc w:val="left"/>
              <w:rPr>
                <w:szCs w:val="24"/>
              </w:rPr>
            </w:pPr>
            <w:r w:rsidRPr="005C3B55">
              <w:rPr>
                <w:szCs w:val="24"/>
              </w:rPr>
              <w:t>Other national requirements are not prescribed.</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Minimum activities</w:t>
      </w:r>
    </w:p>
    <w:p w:rsidR="00F555D6" w:rsidRPr="005C3B55" w:rsidRDefault="00F555D6" w:rsidP="00F555D6">
      <w:pPr>
        <w:spacing w:after="0"/>
        <w:rPr>
          <w:szCs w:val="24"/>
        </w:rPr>
      </w:pP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534"/>
              </w:numPr>
              <w:spacing w:before="0" w:after="240"/>
              <w:ind w:hanging="290"/>
              <w:jc w:val="left"/>
              <w:rPr>
                <w:szCs w:val="24"/>
              </w:rPr>
            </w:pPr>
            <w:r w:rsidRPr="005C3B55">
              <w:rPr>
                <w:szCs w:val="24"/>
              </w:rPr>
              <w:t>Mowing at least once annually by 15 October of the current year is determined as a criterion for maintaining agricultural land in a state suitable for pasturing or production without the preparation measures which exceed the use of regular agricultural methods and machinery.</w:t>
            </w:r>
          </w:p>
          <w:p w:rsidR="00F555D6" w:rsidRPr="005C3B55" w:rsidRDefault="00F555D6" w:rsidP="00F555D6">
            <w:pPr>
              <w:pStyle w:val="Telobesedila"/>
              <w:rPr>
                <w:szCs w:val="24"/>
              </w:rPr>
            </w:pPr>
          </w:p>
        </w:tc>
      </w:tr>
    </w:tbl>
    <w:p w:rsidR="00F555D6" w:rsidRPr="005C3B55" w:rsidRDefault="00F555D6" w:rsidP="00F555D6">
      <w:pPr>
        <w:pStyle w:val="Naslov9"/>
        <w:tabs>
          <w:tab w:val="clear" w:pos="765"/>
        </w:tabs>
        <w:ind w:left="0" w:firstLine="0"/>
        <w:rPr>
          <w:szCs w:val="24"/>
          <w:lang w:val="en-GB"/>
        </w:rPr>
      </w:pPr>
      <w:r w:rsidRPr="005C3B55">
        <w:rPr>
          <w:noProof w:val="0"/>
          <w:szCs w:val="24"/>
          <w:lang w:val="en-GB"/>
        </w:rPr>
        <w:t>Relevant standard agricultural practices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The forage produced from grassland for animals is ensilaged (grass silage) in standard agricultural practice. The harvesting of grass silage wrapped in plastic foil (baling) has spread in recent years, since baling is extremely time-efficient. The harvesting of forage from grassland in the form of silage bales has also increased significantly on small farms which traditionally dried forage.</w:t>
            </w:r>
          </w:p>
          <w:p w:rsidR="00F555D6" w:rsidRPr="005C3B55" w:rsidRDefault="00F555D6" w:rsidP="00F555D6">
            <w:pPr>
              <w:pStyle w:val="Telobesedila"/>
              <w:rPr>
                <w:szCs w:val="24"/>
              </w:rPr>
            </w:pPr>
          </w:p>
        </w:tc>
      </w:tr>
    </w:tbl>
    <w:p w:rsidR="00F555D6" w:rsidRPr="005C3B55" w:rsidRDefault="00F555D6" w:rsidP="00F555D6">
      <w:pPr>
        <w:pStyle w:val="Naslov8"/>
        <w:tabs>
          <w:tab w:val="clear" w:pos="765"/>
        </w:tabs>
        <w:ind w:left="0" w:firstLine="0"/>
        <w:rPr>
          <w:b w:val="0"/>
          <w:szCs w:val="24"/>
          <w:lang w:val="en-GB"/>
        </w:rPr>
      </w:pPr>
      <w:r w:rsidRPr="005C3B55">
        <w:rPr>
          <w:b w:val="0"/>
          <w:noProof w:val="0"/>
          <w:szCs w:val="24"/>
          <w:lang w:val="en-GB"/>
        </w:rPr>
        <w:t>TRZ_I_NIZI:</w:t>
      </w:r>
      <w:r w:rsidRPr="005C3B55">
        <w:rPr>
          <w:b w:val="0"/>
          <w:szCs w:val="24"/>
          <w:lang w:val="en-GB"/>
        </w:rPr>
        <w:t xml:space="preserve"> </w:t>
      </w:r>
      <w:r w:rsidRPr="005C3B55">
        <w:rPr>
          <w:b w:val="0"/>
          <w:noProof w:val="0"/>
          <w:szCs w:val="24"/>
          <w:lang w:val="en-GB"/>
        </w:rPr>
        <w:t>Fertilisation with organic fertilisers with low emissions into air</w:t>
      </w:r>
    </w:p>
    <w:p w:rsidR="00F555D6" w:rsidRPr="005C3B55" w:rsidRDefault="00F555D6" w:rsidP="00F555D6">
      <w:pPr>
        <w:pStyle w:val="Naslov9"/>
        <w:tabs>
          <w:tab w:val="clear" w:pos="765"/>
        </w:tabs>
        <w:ind w:left="0" w:firstLine="0"/>
        <w:rPr>
          <w:szCs w:val="24"/>
          <w:lang w:val="en-GB"/>
        </w:rPr>
      </w:pPr>
      <w:r w:rsidRPr="005C3B55">
        <w:rPr>
          <w:noProof w:val="0"/>
          <w:szCs w:val="24"/>
          <w:lang w:val="en-GB"/>
        </w:rPr>
        <w:t>Starting Point</w:t>
      </w:r>
    </w:p>
    <w:p w:rsidR="00F555D6" w:rsidRPr="005C3B55" w:rsidRDefault="00F555D6" w:rsidP="00F555D6">
      <w:pPr>
        <w:spacing w:line="280" w:lineRule="auto"/>
        <w:rPr>
          <w:szCs w:val="24"/>
        </w:rPr>
      </w:pPr>
      <w:r w:rsidRPr="005C3B55">
        <w:rPr>
          <w:szCs w:val="24"/>
        </w:rPr>
        <w:t>Suitable good agricultural and environmental conditions and/or prescribed management requirements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535"/>
              </w:numPr>
              <w:spacing w:before="0" w:after="240"/>
              <w:ind w:hanging="290"/>
              <w:jc w:val="left"/>
              <w:rPr>
                <w:szCs w:val="24"/>
              </w:rPr>
            </w:pPr>
            <w:r w:rsidRPr="005C3B55">
              <w:rPr>
                <w:szCs w:val="24"/>
              </w:rPr>
              <w:t>Regulation on cross-compliance, Annex 1: Rules on cross-compliance, SMR 1: Water protection against the pollution caused by nitrates from agricultural sources:  mineral and organic fertilisers are evenly distributed on the surface subject to fertilisation. No uncontrolled distribution of fertilisers or fertilisation occurs outside the anticipated area of fertilisation when transporting and fertilising. Slurry tankers with splash plates, tankers with rain guns, tankers for application of liquid fertilisers in strips (trailing hose and sleigh), tankers for shallow entry of liquid fertilisers into soil with injectors or tankers for deep entry of liquid fertilisers into soil may be used for fertilisation with organic fertilisers. In addition to slurry tankers, devices with connectors to hoses for the distribution of liquid organic fertilisers may also be used for fertilisation with liquid organic fertilisers.</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Minimum requirements for the use of fertilisers and plant protection products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536"/>
              </w:numPr>
              <w:spacing w:before="0" w:after="0"/>
              <w:ind w:hanging="290"/>
              <w:jc w:val="left"/>
              <w:rPr>
                <w:szCs w:val="24"/>
              </w:rPr>
            </w:pPr>
            <w:r w:rsidRPr="005C3B55">
              <w:rPr>
                <w:szCs w:val="24"/>
              </w:rPr>
              <w:t>Minimum requirements for the use of fertilisers refer to the keeping of records on the use of livestock and mineral fertilisers which an agricultural holding has to keep for all agricultural land plots at the agricultural holding, and which has to include at least the quantity and type of livestock manure and mineral fertiliser, time of fertilising and data on the surface where these fertilisers are used.</w:t>
            </w:r>
          </w:p>
          <w:p w:rsidR="00F555D6" w:rsidRPr="005C3B55" w:rsidRDefault="00F555D6" w:rsidP="00F555D6">
            <w:pPr>
              <w:numPr>
                <w:ilvl w:val="0"/>
                <w:numId w:val="536"/>
              </w:numPr>
              <w:spacing w:before="0" w:after="240"/>
              <w:ind w:hanging="290"/>
              <w:jc w:val="left"/>
              <w:rPr>
                <w:szCs w:val="24"/>
              </w:rPr>
            </w:pPr>
            <w:r w:rsidRPr="005C3B55">
              <w:rPr>
                <w:szCs w:val="24"/>
              </w:rPr>
              <w:t>Minimum requirements for the use of plant protection products are not determined, since the requirements relating to the use of these products are standardised and are included in the requirements of cross-compliance.</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Other relevant national/regional requirements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537"/>
              </w:numPr>
              <w:spacing w:before="0" w:after="240"/>
              <w:ind w:hanging="290"/>
              <w:jc w:val="left"/>
              <w:rPr>
                <w:szCs w:val="24"/>
              </w:rPr>
            </w:pPr>
            <w:r w:rsidRPr="005C3B55">
              <w:rPr>
                <w:szCs w:val="24"/>
              </w:rPr>
              <w:t>Other national requirements are not prescribed.</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Minimum activities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538"/>
              </w:numPr>
              <w:spacing w:before="0" w:after="240"/>
              <w:ind w:hanging="290"/>
              <w:jc w:val="left"/>
              <w:rPr>
                <w:szCs w:val="24"/>
              </w:rPr>
            </w:pPr>
            <w:r w:rsidRPr="005C3B55">
              <w:rPr>
                <w:szCs w:val="24"/>
              </w:rPr>
              <w:t>Mowing at least once annually by 15 October of the current year is determined as a criterion for maintaining agricultural land in a state suitable for pasturing or production without the preparation measures which exceed the use of regular agricultural methods and machinery.</w:t>
            </w:r>
          </w:p>
          <w:p w:rsidR="00F555D6" w:rsidRPr="005C3B55" w:rsidRDefault="00F555D6" w:rsidP="00F555D6">
            <w:pPr>
              <w:pStyle w:val="Telobesedila"/>
              <w:rPr>
                <w:szCs w:val="24"/>
              </w:rPr>
            </w:pPr>
          </w:p>
        </w:tc>
      </w:tr>
    </w:tbl>
    <w:p w:rsidR="00F555D6" w:rsidRPr="005C3B55" w:rsidRDefault="00F555D6" w:rsidP="00F555D6">
      <w:pPr>
        <w:pStyle w:val="Naslov9"/>
        <w:tabs>
          <w:tab w:val="clear" w:pos="765"/>
        </w:tabs>
        <w:ind w:left="0" w:firstLine="0"/>
        <w:rPr>
          <w:szCs w:val="24"/>
          <w:lang w:val="en-GB"/>
        </w:rPr>
      </w:pPr>
      <w:r w:rsidRPr="005C3B55">
        <w:rPr>
          <w:noProof w:val="0"/>
          <w:szCs w:val="24"/>
          <w:lang w:val="en-GB"/>
        </w:rPr>
        <w:t>Relevant standard agricultural practices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The use of equipment with splash plates is mainly used when fertilising with liquid organic fertilisers in standard agricultural practice, which emits large quantities of ammonia and odour into the air</w:t>
            </w:r>
          </w:p>
          <w:p w:rsidR="00F555D6" w:rsidRPr="005C3B55" w:rsidRDefault="00F555D6" w:rsidP="00F555D6">
            <w:pPr>
              <w:pStyle w:val="Telobesedila"/>
              <w:rPr>
                <w:szCs w:val="24"/>
              </w:rPr>
            </w:pPr>
          </w:p>
        </w:tc>
      </w:tr>
    </w:tbl>
    <w:p w:rsidR="00F555D6" w:rsidRPr="005C3B55" w:rsidRDefault="00F555D6" w:rsidP="00F555D6">
      <w:pPr>
        <w:pStyle w:val="Naslov8"/>
        <w:tabs>
          <w:tab w:val="clear" w:pos="765"/>
        </w:tabs>
        <w:ind w:left="0" w:firstLine="0"/>
        <w:rPr>
          <w:b w:val="0"/>
          <w:szCs w:val="24"/>
          <w:lang w:val="en-GB"/>
        </w:rPr>
      </w:pPr>
      <w:r w:rsidRPr="005C3B55">
        <w:rPr>
          <w:b w:val="0"/>
          <w:noProof w:val="0"/>
          <w:szCs w:val="24"/>
          <w:lang w:val="en-GB"/>
        </w:rPr>
        <w:t>TRZ_I_NPAS:</w:t>
      </w:r>
      <w:r w:rsidRPr="005C3B55">
        <w:rPr>
          <w:b w:val="0"/>
          <w:szCs w:val="24"/>
          <w:lang w:val="en-GB"/>
        </w:rPr>
        <w:t xml:space="preserve"> </w:t>
      </w:r>
      <w:r w:rsidRPr="005C3B55">
        <w:rPr>
          <w:b w:val="0"/>
          <w:noProof w:val="0"/>
          <w:szCs w:val="24"/>
          <w:lang w:val="en-GB"/>
        </w:rPr>
        <w:t>Unmown strip of 5 to 10% of surface of a meadow</w:t>
      </w:r>
    </w:p>
    <w:p w:rsidR="00F555D6" w:rsidRPr="005C3B55" w:rsidRDefault="00F555D6" w:rsidP="00F555D6">
      <w:pPr>
        <w:pStyle w:val="Naslov9"/>
        <w:tabs>
          <w:tab w:val="clear" w:pos="765"/>
        </w:tabs>
        <w:ind w:left="0" w:firstLine="0"/>
        <w:rPr>
          <w:szCs w:val="24"/>
          <w:lang w:val="en-GB"/>
        </w:rPr>
      </w:pPr>
      <w:r w:rsidRPr="005C3B55">
        <w:rPr>
          <w:noProof w:val="0"/>
          <w:szCs w:val="24"/>
          <w:lang w:val="en-GB"/>
        </w:rPr>
        <w:t>Starting Point</w:t>
      </w:r>
    </w:p>
    <w:p w:rsidR="00F555D6" w:rsidRPr="005C3B55" w:rsidRDefault="00F555D6" w:rsidP="00F555D6">
      <w:pPr>
        <w:spacing w:line="280" w:lineRule="auto"/>
        <w:rPr>
          <w:szCs w:val="24"/>
        </w:rPr>
      </w:pPr>
      <w:r w:rsidRPr="005C3B55">
        <w:rPr>
          <w:szCs w:val="24"/>
        </w:rPr>
        <w:t>Suitable good agricultural and environmental conditions and/or prescribed management requirements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539"/>
              </w:numPr>
              <w:spacing w:before="0" w:after="0"/>
              <w:ind w:hanging="290"/>
              <w:jc w:val="left"/>
              <w:rPr>
                <w:szCs w:val="24"/>
              </w:rPr>
            </w:pPr>
            <w:r w:rsidRPr="005C3B55">
              <w:rPr>
                <w:szCs w:val="24"/>
              </w:rPr>
              <w:t>Regulation on cross-compliance, Annex 1: Rules on cross-compliance, SMR 3: Conservation of natural habitats and of wild fauna and flora: grassland areas in the areas of Natura 2000 – habitats are maintained at least once annually no later than by 15 October of the current year.</w:t>
            </w:r>
          </w:p>
          <w:p w:rsidR="00F555D6" w:rsidRPr="005C3B55" w:rsidRDefault="00F555D6" w:rsidP="00F555D6">
            <w:pPr>
              <w:numPr>
                <w:ilvl w:val="0"/>
                <w:numId w:val="539"/>
              </w:numPr>
              <w:spacing w:before="240" w:after="240"/>
              <w:jc w:val="left"/>
              <w:rPr>
                <w:szCs w:val="24"/>
              </w:rPr>
            </w:pPr>
            <w:r w:rsidRPr="005C3B55">
              <w:rPr>
                <w:szCs w:val="24"/>
              </w:rPr>
              <w:t>Regulation on cross-compliance, Annex 1: Rules on cross-compliance, SMR 2: grassland areas in the areas of Natura 2000 – birds are maintained at least once annually no later than by 15 October of the current year.</w:t>
            </w:r>
          </w:p>
          <w:p w:rsidR="00F555D6" w:rsidRPr="005C3B55" w:rsidRDefault="00F555D6" w:rsidP="00F555D6">
            <w:pPr>
              <w:numPr>
                <w:ilvl w:val="0"/>
                <w:numId w:val="539"/>
              </w:numPr>
              <w:spacing w:before="240" w:after="240"/>
              <w:jc w:val="left"/>
              <w:rPr>
                <w:szCs w:val="24"/>
              </w:rPr>
            </w:pPr>
            <w:r w:rsidRPr="005C3B55">
              <w:rPr>
                <w:szCs w:val="24"/>
              </w:rPr>
              <w:t>Regulation on cross-compliance, Annex 1: Rules on cross-compliance, GAEC7: agricultural land is annually cultivated at least by 15 October of the current year.</w:t>
            </w:r>
          </w:p>
          <w:p w:rsidR="00F555D6" w:rsidRPr="005C3B55" w:rsidRDefault="00F555D6" w:rsidP="00F555D6">
            <w:pPr>
              <w:spacing w:after="0" w:line="280" w:lineRule="auto"/>
              <w:ind w:left="720"/>
              <w:rPr>
                <w:szCs w:val="24"/>
              </w:rPr>
            </w:pPr>
            <w:r w:rsidRPr="005C3B55">
              <w:rPr>
                <w:szCs w:val="24"/>
              </w:rPr>
              <w:t xml:space="preserve">  </w:t>
            </w:r>
          </w:p>
          <w:p w:rsidR="00F555D6" w:rsidRPr="005C3B55" w:rsidRDefault="00F555D6" w:rsidP="00F555D6">
            <w:pPr>
              <w:spacing w:before="240" w:after="240" w:line="280" w:lineRule="auto"/>
              <w:ind w:left="720"/>
              <w:rPr>
                <w:szCs w:val="24"/>
              </w:rPr>
            </w:pPr>
            <w:r w:rsidRPr="005C3B55">
              <w:rPr>
                <w:szCs w:val="24"/>
              </w:rPr>
              <w:t> </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Minimum requirements for the use of fertilisers and plant protection products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540"/>
              </w:numPr>
              <w:spacing w:before="0" w:after="0"/>
              <w:ind w:hanging="290"/>
              <w:jc w:val="left"/>
              <w:rPr>
                <w:szCs w:val="24"/>
              </w:rPr>
            </w:pPr>
            <w:r w:rsidRPr="005C3B55">
              <w:rPr>
                <w:szCs w:val="24"/>
              </w:rPr>
              <w:t>Minimum requirements for the use of fertilisers refer to the keeping of records on the use of livestock and mineral fertilisers which an agricultural holding has to keep for all agricultural land plots at the agricultural holding, and which has to include at least the quantity and type of livestock manure and mineral fertiliser, time of fertilising and data on the surface where these fertilisers are used.</w:t>
            </w:r>
          </w:p>
          <w:p w:rsidR="00F555D6" w:rsidRPr="005C3B55" w:rsidRDefault="00F555D6" w:rsidP="00F555D6">
            <w:pPr>
              <w:numPr>
                <w:ilvl w:val="0"/>
                <w:numId w:val="540"/>
              </w:numPr>
              <w:spacing w:before="0" w:after="240"/>
              <w:ind w:hanging="290"/>
              <w:jc w:val="left"/>
              <w:rPr>
                <w:szCs w:val="24"/>
              </w:rPr>
            </w:pPr>
            <w:r w:rsidRPr="005C3B55">
              <w:rPr>
                <w:szCs w:val="24"/>
              </w:rPr>
              <w:t>Minimum requirements for the use of plant protection products are not determined, since the requirements relating to the use of these products are standardised and are included in the requirements of cross-compliance.</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Other relevant national/regional requirements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541"/>
              </w:numPr>
              <w:spacing w:before="0" w:after="240"/>
              <w:ind w:hanging="290"/>
              <w:jc w:val="left"/>
              <w:rPr>
                <w:szCs w:val="24"/>
              </w:rPr>
            </w:pPr>
            <w:r w:rsidRPr="005C3B55">
              <w:rPr>
                <w:szCs w:val="24"/>
              </w:rPr>
              <w:t>Other national requirements are not prescribed.</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Minimum activities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542"/>
              </w:numPr>
              <w:spacing w:before="0" w:after="240"/>
              <w:ind w:hanging="290"/>
              <w:jc w:val="left"/>
              <w:rPr>
                <w:szCs w:val="24"/>
              </w:rPr>
            </w:pPr>
            <w:r w:rsidRPr="005C3B55">
              <w:rPr>
                <w:szCs w:val="24"/>
              </w:rPr>
              <w:t>Mowing at least once annually by 15 October of the current year is determined as a criterion for maintaining agricultural land in a state suitable for pasturing or production without the preparation measures which exceed the use of regular agricultural methods and machinery.</w:t>
            </w:r>
          </w:p>
          <w:p w:rsidR="00F555D6" w:rsidRPr="005C3B55" w:rsidRDefault="00F555D6" w:rsidP="00F555D6">
            <w:pPr>
              <w:pStyle w:val="Telobesedila"/>
              <w:rPr>
                <w:szCs w:val="24"/>
              </w:rPr>
            </w:pPr>
          </w:p>
        </w:tc>
      </w:tr>
    </w:tbl>
    <w:p w:rsidR="00F555D6" w:rsidRPr="005C3B55" w:rsidRDefault="00F555D6" w:rsidP="00F555D6">
      <w:pPr>
        <w:pStyle w:val="Naslov9"/>
        <w:tabs>
          <w:tab w:val="clear" w:pos="765"/>
        </w:tabs>
        <w:ind w:left="0" w:firstLine="0"/>
        <w:rPr>
          <w:szCs w:val="24"/>
          <w:lang w:val="en-GB"/>
        </w:rPr>
      </w:pPr>
      <w:r w:rsidRPr="005C3B55">
        <w:rPr>
          <w:noProof w:val="0"/>
          <w:szCs w:val="24"/>
          <w:lang w:val="en-GB"/>
        </w:rPr>
        <w:t>Relevant standard agricultural practices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In standard agricultural practice, the mowing of grassland areas is conducted over the entire meadow surface, whereas it is not usual to leave a specific part of this surface unmown until the following year. The surface of meadows with four- or several times use (intensity of use) is growing.</w:t>
            </w:r>
          </w:p>
          <w:p w:rsidR="00F555D6" w:rsidRPr="005C3B55" w:rsidRDefault="00F555D6" w:rsidP="00F555D6">
            <w:pPr>
              <w:spacing w:before="240" w:after="240" w:line="280" w:lineRule="auto"/>
              <w:rPr>
                <w:szCs w:val="24"/>
              </w:rPr>
            </w:pPr>
            <w:r w:rsidRPr="005C3B55">
              <w:rPr>
                <w:szCs w:val="24"/>
              </w:rPr>
              <w:t> </w:t>
            </w:r>
          </w:p>
          <w:p w:rsidR="00F555D6" w:rsidRPr="005C3B55" w:rsidRDefault="00F555D6" w:rsidP="00F555D6">
            <w:pPr>
              <w:pStyle w:val="Telobesedila"/>
              <w:rPr>
                <w:szCs w:val="24"/>
              </w:rPr>
            </w:pPr>
          </w:p>
        </w:tc>
      </w:tr>
    </w:tbl>
    <w:p w:rsidR="00F555D6" w:rsidRPr="005C3B55" w:rsidRDefault="00F555D6" w:rsidP="00F555D6">
      <w:pPr>
        <w:pStyle w:val="Naslov8"/>
        <w:tabs>
          <w:tab w:val="clear" w:pos="765"/>
        </w:tabs>
        <w:ind w:left="0" w:firstLine="0"/>
        <w:rPr>
          <w:b w:val="0"/>
          <w:szCs w:val="24"/>
          <w:lang w:val="en-GB"/>
        </w:rPr>
      </w:pPr>
      <w:r w:rsidRPr="005C3B55">
        <w:rPr>
          <w:b w:val="0"/>
          <w:noProof w:val="0"/>
          <w:szCs w:val="24"/>
          <w:lang w:val="en-GB"/>
        </w:rPr>
        <w:t>TRZ_I_OSIL:</w:t>
      </w:r>
      <w:r w:rsidRPr="005C3B55">
        <w:rPr>
          <w:b w:val="0"/>
          <w:szCs w:val="24"/>
          <w:lang w:val="en-GB"/>
        </w:rPr>
        <w:t xml:space="preserve"> </w:t>
      </w:r>
      <w:r w:rsidRPr="005C3B55">
        <w:rPr>
          <w:b w:val="0"/>
          <w:noProof w:val="0"/>
          <w:szCs w:val="24"/>
          <w:lang w:val="en-GB"/>
        </w:rPr>
        <w:t>Non-use of silage</w:t>
      </w:r>
    </w:p>
    <w:p w:rsidR="00F555D6" w:rsidRPr="005C3B55" w:rsidRDefault="00F555D6" w:rsidP="00F555D6">
      <w:pPr>
        <w:pStyle w:val="Naslov9"/>
        <w:tabs>
          <w:tab w:val="clear" w:pos="765"/>
        </w:tabs>
        <w:ind w:left="0" w:firstLine="0"/>
        <w:rPr>
          <w:szCs w:val="24"/>
          <w:lang w:val="en-GB"/>
        </w:rPr>
      </w:pPr>
      <w:r w:rsidRPr="005C3B55">
        <w:rPr>
          <w:noProof w:val="0"/>
          <w:szCs w:val="24"/>
          <w:lang w:val="en-GB"/>
        </w:rPr>
        <w:t>Starting Point</w:t>
      </w:r>
    </w:p>
    <w:p w:rsidR="00F555D6" w:rsidRPr="005C3B55" w:rsidRDefault="00F555D6" w:rsidP="00F555D6">
      <w:pPr>
        <w:spacing w:line="280" w:lineRule="auto"/>
        <w:rPr>
          <w:szCs w:val="24"/>
        </w:rPr>
      </w:pPr>
      <w:r w:rsidRPr="005C3B55">
        <w:rPr>
          <w:szCs w:val="24"/>
        </w:rPr>
        <w:t>Suitable good agricultural and environmental conditions and/or prescribed management requirements</w:t>
      </w:r>
    </w:p>
    <w:p w:rsidR="00F555D6" w:rsidRPr="005C3B55" w:rsidRDefault="00F555D6" w:rsidP="00F555D6">
      <w:pPr>
        <w:spacing w:after="0"/>
        <w:rPr>
          <w:szCs w:val="24"/>
        </w:rPr>
      </w:pP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543"/>
              </w:numPr>
              <w:spacing w:before="0" w:after="240"/>
              <w:ind w:hanging="290"/>
              <w:jc w:val="left"/>
              <w:rPr>
                <w:szCs w:val="24"/>
              </w:rPr>
            </w:pPr>
            <w:r w:rsidRPr="005C3B55">
              <w:rPr>
                <w:szCs w:val="24"/>
              </w:rPr>
              <w:t>Forage silage is not prescribed in the Regulation on cross-compliance.</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Minimum requirements for the use of fertilisers and plant protection products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544"/>
              </w:numPr>
              <w:spacing w:before="0" w:after="0"/>
              <w:ind w:hanging="290"/>
              <w:jc w:val="left"/>
              <w:rPr>
                <w:szCs w:val="24"/>
              </w:rPr>
            </w:pPr>
            <w:r w:rsidRPr="005C3B55">
              <w:rPr>
                <w:szCs w:val="24"/>
              </w:rPr>
              <w:t>Minimum requirements for the use of fertilisers refer to the keeping of records on the use of livestock and mineral fertilisers which an agricultural holding has to keep for all agricultural land plots at the agricultural holding, and which has to include at least the quantity and type of livestock manure and mineral fertiliser, time of fertilising and data on the surface where these fertilisers are used.</w:t>
            </w:r>
          </w:p>
          <w:p w:rsidR="00F555D6" w:rsidRPr="005C3B55" w:rsidRDefault="00F555D6" w:rsidP="00F555D6">
            <w:pPr>
              <w:numPr>
                <w:ilvl w:val="0"/>
                <w:numId w:val="544"/>
              </w:numPr>
              <w:spacing w:before="0" w:after="240"/>
              <w:ind w:hanging="290"/>
              <w:jc w:val="left"/>
              <w:rPr>
                <w:szCs w:val="24"/>
              </w:rPr>
            </w:pPr>
            <w:r w:rsidRPr="005C3B55">
              <w:rPr>
                <w:szCs w:val="24"/>
              </w:rPr>
              <w:t>Minimum requirements for the use of plant protection products are not determined, since the requirements relating to the use of these products are standardised and are included in the requirements of cross-compliance.</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Other relevant national/regional requirements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545"/>
              </w:numPr>
              <w:spacing w:before="0" w:after="240"/>
              <w:ind w:hanging="290"/>
              <w:jc w:val="left"/>
              <w:rPr>
                <w:szCs w:val="24"/>
              </w:rPr>
            </w:pPr>
            <w:r w:rsidRPr="005C3B55">
              <w:rPr>
                <w:szCs w:val="24"/>
              </w:rPr>
              <w:t>Other national requirements are not prescribed.</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Minimum activities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546"/>
              </w:numPr>
              <w:spacing w:before="0" w:after="240"/>
              <w:ind w:hanging="290"/>
              <w:jc w:val="left"/>
              <w:rPr>
                <w:szCs w:val="24"/>
              </w:rPr>
            </w:pPr>
            <w:r w:rsidRPr="005C3B55">
              <w:rPr>
                <w:szCs w:val="24"/>
              </w:rPr>
              <w:t>Mowing at least once annually by 15 October of the current year is determined as a criterion for maintaining agricultural land in a state suitable for pasturing or production without the preparation measures which exceed the use of regular agricultural methods and machinery.</w:t>
            </w:r>
          </w:p>
          <w:p w:rsidR="00F555D6" w:rsidRPr="005C3B55" w:rsidRDefault="00F555D6" w:rsidP="00F555D6">
            <w:pPr>
              <w:pStyle w:val="Telobesedila"/>
              <w:rPr>
                <w:szCs w:val="24"/>
              </w:rPr>
            </w:pPr>
          </w:p>
        </w:tc>
      </w:tr>
    </w:tbl>
    <w:p w:rsidR="00F555D6" w:rsidRPr="005C3B55" w:rsidRDefault="00F555D6" w:rsidP="00F555D6">
      <w:pPr>
        <w:pStyle w:val="Naslov9"/>
        <w:tabs>
          <w:tab w:val="clear" w:pos="765"/>
        </w:tabs>
        <w:ind w:left="0" w:firstLine="0"/>
        <w:rPr>
          <w:szCs w:val="24"/>
          <w:lang w:val="en-GB"/>
        </w:rPr>
      </w:pPr>
      <w:r w:rsidRPr="005C3B55">
        <w:rPr>
          <w:noProof w:val="0"/>
          <w:szCs w:val="24"/>
          <w:lang w:val="en-GB"/>
        </w:rPr>
        <w:t>Relevant standard agricultural practices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The forage produced for animals is ensilaged (grass silage, corn silage and silage of other fodder plants) in standard agricultural practice. The extent of silage is increasing. The advantages of silage are particularly in simpler and speedier harvesting and easier storage. The price of energy for animals for grass and corn silage is much lower than for hay. Recently, the harvesting of forage from grassland in the form of silage bales has also increased significantly on small farms which traditionally dried forage. Such a manner of conserving forage is becoming the prevailing practice.</w:t>
            </w:r>
          </w:p>
          <w:p w:rsidR="00F555D6" w:rsidRPr="005C3B55" w:rsidRDefault="00F555D6" w:rsidP="00F555D6">
            <w:pPr>
              <w:pStyle w:val="Telobesedila"/>
              <w:rPr>
                <w:szCs w:val="24"/>
              </w:rPr>
            </w:pPr>
          </w:p>
        </w:tc>
      </w:tr>
    </w:tbl>
    <w:p w:rsidR="00F555D6" w:rsidRPr="005C3B55" w:rsidRDefault="00F555D6" w:rsidP="00F555D6">
      <w:pPr>
        <w:pStyle w:val="Naslov5"/>
        <w:tabs>
          <w:tab w:val="clear" w:pos="765"/>
        </w:tabs>
        <w:ind w:left="0" w:firstLine="0"/>
        <w:rPr>
          <w:b w:val="0"/>
          <w:szCs w:val="24"/>
          <w:lang w:val="en-GB"/>
        </w:rPr>
      </w:pPr>
      <w:r w:rsidRPr="005C3B55">
        <w:rPr>
          <w:b w:val="0"/>
          <w:szCs w:val="24"/>
          <w:lang w:val="en-GB"/>
        </w:rPr>
        <w:br w:type="page"/>
        <w:t>06.</w:t>
      </w:r>
      <w:r w:rsidRPr="005C3B55">
        <w:rPr>
          <w:b w:val="0"/>
          <w:szCs w:val="24"/>
          <w:lang w:val="en-GB"/>
        </w:rPr>
        <w:tab/>
      </w:r>
      <w:r w:rsidRPr="005C3B55">
        <w:rPr>
          <w:b w:val="0"/>
          <w:noProof w:val="0"/>
          <w:szCs w:val="24"/>
          <w:lang w:val="en-GB"/>
        </w:rPr>
        <w:t>Permanent grassland II</w:t>
      </w:r>
    </w:p>
    <w:p w:rsidR="00F555D6" w:rsidRPr="005C3B55" w:rsidRDefault="00F555D6" w:rsidP="00F555D6">
      <w:pPr>
        <w:spacing w:line="280" w:lineRule="auto"/>
        <w:rPr>
          <w:szCs w:val="24"/>
        </w:rPr>
      </w:pPr>
      <w:r w:rsidRPr="005C3B55">
        <w:rPr>
          <w:szCs w:val="24"/>
        </w:rPr>
        <w:t xml:space="preserve">Sub-measure: </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547"/>
              </w:numPr>
              <w:rPr>
                <w:szCs w:val="24"/>
              </w:rPr>
            </w:pPr>
            <w:r w:rsidRPr="005C3B55">
              <w:rPr>
                <w:szCs w:val="24"/>
              </w:rPr>
              <w:t>10.1 – Payment of agri-environment-climate commitments</w:t>
            </w: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Description of type of operation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The requirements of the operation Permanent grassland II are intended for the preservation of biodiversity and the reduction of nitrous oxide and ammonia emissions. This means a change from existing agricultural practices.</w:t>
            </w:r>
          </w:p>
          <w:p w:rsidR="00F555D6" w:rsidRPr="005C3B55" w:rsidRDefault="00F555D6" w:rsidP="00F555D6">
            <w:pPr>
              <w:spacing w:before="240" w:after="240" w:line="280" w:lineRule="auto"/>
              <w:rPr>
                <w:szCs w:val="24"/>
              </w:rPr>
            </w:pPr>
            <w:r w:rsidRPr="005C3B55">
              <w:rPr>
                <w:szCs w:val="24"/>
              </w:rPr>
              <w:t>The operation includes two mandatory and two optional requirements. The beneficiary has to implement one mandatory requirement and may also select one or both optional requirements under this operation. In addition to the mandatory and optional requirements, the limitation of the intensity of management with maximum permissible livestock density on agricultural land applies to this operation. This operation enables the participation of the farmers who do not own meadows larger than 1ha, which prevents their inclusion in the operation Permanent grassland I (mandatory requirement TRZ_NPAS: In geographical agricultural units larger than 1ha, the unmown surface of a meadow to be mown in the following year amounts to between 5 and 10% of the surface of the meadow).</w:t>
            </w:r>
          </w:p>
          <w:p w:rsidR="00F555D6" w:rsidRPr="005C3B55" w:rsidRDefault="00F555D6" w:rsidP="00F555D6">
            <w:pPr>
              <w:spacing w:before="240" w:after="240" w:line="280" w:lineRule="auto"/>
              <w:rPr>
                <w:szCs w:val="24"/>
              </w:rPr>
            </w:pPr>
            <w:r w:rsidRPr="005C3B55">
              <w:rPr>
                <w:b/>
                <w:szCs w:val="24"/>
              </w:rPr>
              <w:t>A. Mandatory requirement</w:t>
            </w:r>
          </w:p>
          <w:p w:rsidR="00F555D6" w:rsidRPr="005C3B55" w:rsidRDefault="00F555D6" w:rsidP="00F555D6">
            <w:pPr>
              <w:spacing w:before="240" w:after="240" w:line="280" w:lineRule="auto"/>
              <w:rPr>
                <w:szCs w:val="24"/>
              </w:rPr>
            </w:pPr>
            <w:r w:rsidRPr="005C3B55">
              <w:rPr>
                <w:b/>
                <w:i/>
                <w:szCs w:val="24"/>
              </w:rPr>
              <w:t>TRZ_II_OSIL: Non-use of silage</w:t>
            </w:r>
          </w:p>
          <w:p w:rsidR="00F555D6" w:rsidRPr="005C3B55" w:rsidRDefault="00F555D6" w:rsidP="00F555D6">
            <w:pPr>
              <w:spacing w:before="240" w:after="240" w:line="280" w:lineRule="auto"/>
              <w:rPr>
                <w:szCs w:val="24"/>
              </w:rPr>
            </w:pPr>
            <w:r w:rsidRPr="005C3B55">
              <w:rPr>
                <w:szCs w:val="24"/>
              </w:rPr>
              <w:t>The requirement requires that grass be harvested in the form of hay; silage of forage from arable land is not permitted, particularly corn silage. Ensilaging of grass impoverishes species diversity in the long term (disturbed seed production of certain species) because these meadows are mowed sooner than they would be if drying of hay and harvesting were implemented in a classic manner (transport of dry hay). In addition, a great number of large non-vertebrates (grasshoppers, caterpillars, etc.), which are food to other animals (birds) is captured in the plastic foil together with half-dry grass. The implementation of the requirement has a positive impact on the biodiversity and variety of the landscape.</w:t>
            </w:r>
          </w:p>
          <w:p w:rsidR="00F555D6" w:rsidRPr="005C3B55" w:rsidRDefault="00F555D6" w:rsidP="00F555D6">
            <w:pPr>
              <w:spacing w:before="240" w:after="240" w:line="280" w:lineRule="auto"/>
              <w:rPr>
                <w:szCs w:val="24"/>
              </w:rPr>
            </w:pPr>
            <w:r w:rsidRPr="005C3B55">
              <w:rPr>
                <w:szCs w:val="24"/>
              </w:rPr>
              <w:t>The abandonment of corn for silage will contribute to the greater inclusion of other fodder plants in the rotation. Corn is one of the plants with the greatest need for nitrogen; fertilisation requires substantial use of plant protection products. Therefore, the requirement will also contribute to reducing water pollution with nitrates and to lower emissions of residue of plant protection products in the environment.</w:t>
            </w:r>
          </w:p>
          <w:p w:rsidR="00F555D6" w:rsidRPr="005C3B55" w:rsidRDefault="00F555D6" w:rsidP="00F555D6">
            <w:pPr>
              <w:spacing w:before="240" w:after="240" w:line="280" w:lineRule="auto"/>
              <w:rPr>
                <w:szCs w:val="24"/>
              </w:rPr>
            </w:pPr>
            <w:r w:rsidRPr="005C3B55">
              <w:rPr>
                <w:szCs w:val="24"/>
              </w:rPr>
              <w:t>There should be no silage at the agricultural holdings.</w:t>
            </w:r>
          </w:p>
          <w:p w:rsidR="00F555D6" w:rsidRPr="005C3B55" w:rsidRDefault="00F555D6" w:rsidP="00F555D6">
            <w:pPr>
              <w:spacing w:before="240" w:after="240" w:line="280" w:lineRule="auto"/>
              <w:rPr>
                <w:szCs w:val="24"/>
              </w:rPr>
            </w:pPr>
            <w:r w:rsidRPr="005C3B55">
              <w:rPr>
                <w:szCs w:val="24"/>
              </w:rPr>
              <w:t>The requirement is aimed at drying and additional drying of forage, which will have positive effects on the environment and biodiversity. The abandonment of corn silage has a positive effect on water protection.</w:t>
            </w:r>
          </w:p>
          <w:p w:rsidR="00F555D6" w:rsidRPr="005C3B55" w:rsidRDefault="00F555D6" w:rsidP="00F555D6">
            <w:pPr>
              <w:spacing w:before="240" w:after="240" w:line="280" w:lineRule="auto"/>
              <w:rPr>
                <w:szCs w:val="24"/>
              </w:rPr>
            </w:pPr>
            <w:r w:rsidRPr="005C3B55">
              <w:rPr>
                <w:szCs w:val="24"/>
              </w:rPr>
              <w:t>Beneficiaries whose surfaces are located on important ecological areas of special grass habitats, grass habitats of butterflies and litter-raking forests as well as in the areas of humid extensive meadows where birds occur may participate in the requirement only if they also participate in the implementation of one operation important for biodiversity conservation (or the operation of special grass habitats, grass habitats of butterflies, litter-raking forests or bird habitats in humid extensive meadows ) with at least 20% of permanent grassland.</w:t>
            </w:r>
          </w:p>
          <w:p w:rsidR="00F555D6" w:rsidRPr="005C3B55" w:rsidRDefault="00F555D6" w:rsidP="00F555D6">
            <w:pPr>
              <w:numPr>
                <w:ilvl w:val="0"/>
                <w:numId w:val="548"/>
              </w:numPr>
              <w:spacing w:before="240" w:after="240"/>
              <w:ind w:hanging="290"/>
              <w:jc w:val="left"/>
              <w:rPr>
                <w:szCs w:val="24"/>
              </w:rPr>
            </w:pPr>
            <w:r w:rsidRPr="005C3B55">
              <w:rPr>
                <w:szCs w:val="24"/>
              </w:rPr>
              <w:t>Livestock density: 0.5 to 1.8 LU/ha of grazing animals (average annual livestock density). When the requirement is implemented in areas of special grassland habitats, the average annual livestock density is 0.2 to 1.5 LU/ha of grazing animals. When the requirement is implemented in areas of grassland habitats of butterflies, litter forests or areas of the occurrence of birds of humid extensive meadows, the average annual livestock density is 0 to 1.5 LU/ha of grazing animals.</w:t>
            </w:r>
          </w:p>
          <w:p w:rsidR="00F555D6" w:rsidRPr="005C3B55" w:rsidRDefault="00F555D6" w:rsidP="00F555D6">
            <w:pPr>
              <w:spacing w:before="240" w:after="240" w:line="280" w:lineRule="auto"/>
              <w:ind w:left="720"/>
              <w:rPr>
                <w:szCs w:val="24"/>
              </w:rPr>
            </w:pPr>
            <w:r w:rsidRPr="005C3B55">
              <w:rPr>
                <w:szCs w:val="24"/>
              </w:rPr>
              <w:t> </w:t>
            </w:r>
          </w:p>
          <w:p w:rsidR="00F555D6" w:rsidRPr="005C3B55" w:rsidRDefault="00F555D6" w:rsidP="00F555D6">
            <w:pPr>
              <w:numPr>
                <w:ilvl w:val="0"/>
                <w:numId w:val="549"/>
              </w:numPr>
              <w:spacing w:before="240" w:after="0"/>
              <w:ind w:hanging="290"/>
              <w:jc w:val="left"/>
              <w:rPr>
                <w:szCs w:val="24"/>
              </w:rPr>
            </w:pPr>
            <w:r w:rsidRPr="005C3B55">
              <w:rPr>
                <w:szCs w:val="24"/>
              </w:rPr>
              <w:t>Use: permanent grassland.</w:t>
            </w:r>
          </w:p>
          <w:p w:rsidR="00F555D6" w:rsidRPr="005C3B55" w:rsidRDefault="00F555D6" w:rsidP="00F555D6">
            <w:pPr>
              <w:numPr>
                <w:ilvl w:val="0"/>
                <w:numId w:val="549"/>
              </w:numPr>
              <w:spacing w:before="0" w:after="0"/>
              <w:ind w:hanging="290"/>
              <w:jc w:val="left"/>
              <w:rPr>
                <w:szCs w:val="24"/>
              </w:rPr>
            </w:pPr>
            <w:r w:rsidRPr="005C3B55">
              <w:rPr>
                <w:szCs w:val="24"/>
              </w:rPr>
              <w:t>Coverage: the whole holding.</w:t>
            </w:r>
          </w:p>
          <w:p w:rsidR="00F555D6" w:rsidRPr="005C3B55" w:rsidRDefault="00F555D6" w:rsidP="00F555D6">
            <w:pPr>
              <w:numPr>
                <w:ilvl w:val="0"/>
                <w:numId w:val="549"/>
              </w:numPr>
              <w:spacing w:before="0" w:after="0"/>
              <w:ind w:hanging="290"/>
              <w:jc w:val="left"/>
              <w:rPr>
                <w:szCs w:val="24"/>
              </w:rPr>
            </w:pPr>
            <w:r w:rsidRPr="005C3B55">
              <w:rPr>
                <w:szCs w:val="24"/>
              </w:rPr>
              <w:t>Location: the same throughout the commitment.</w:t>
            </w:r>
          </w:p>
          <w:p w:rsidR="00F555D6" w:rsidRPr="005C3B55" w:rsidRDefault="00F555D6" w:rsidP="00F555D6">
            <w:pPr>
              <w:numPr>
                <w:ilvl w:val="0"/>
                <w:numId w:val="549"/>
              </w:numPr>
              <w:spacing w:before="0" w:after="240"/>
              <w:ind w:hanging="290"/>
              <w:jc w:val="left"/>
              <w:rPr>
                <w:szCs w:val="24"/>
              </w:rPr>
            </w:pPr>
            <w:r w:rsidRPr="005C3B55">
              <w:rPr>
                <w:szCs w:val="24"/>
              </w:rPr>
              <w:t>Implementation area: whole Slovenia.</w:t>
            </w:r>
          </w:p>
          <w:p w:rsidR="00F555D6" w:rsidRPr="005C3B55" w:rsidRDefault="00F555D6" w:rsidP="00F555D6">
            <w:pPr>
              <w:spacing w:before="240" w:after="240" w:line="280" w:lineRule="auto"/>
              <w:rPr>
                <w:szCs w:val="24"/>
              </w:rPr>
            </w:pPr>
            <w:r w:rsidRPr="005C3B55">
              <w:rPr>
                <w:szCs w:val="24"/>
              </w:rPr>
              <w:t>Effects:</w:t>
            </w:r>
          </w:p>
          <w:p w:rsidR="00F555D6" w:rsidRPr="005C3B55" w:rsidRDefault="00F555D6" w:rsidP="00F555D6">
            <w:pPr>
              <w:numPr>
                <w:ilvl w:val="0"/>
                <w:numId w:val="550"/>
              </w:numPr>
              <w:spacing w:before="240" w:after="0"/>
              <w:ind w:hanging="290"/>
              <w:jc w:val="left"/>
              <w:rPr>
                <w:szCs w:val="24"/>
              </w:rPr>
            </w:pPr>
            <w:r w:rsidRPr="005C3B55">
              <w:rPr>
                <w:szCs w:val="24"/>
              </w:rPr>
              <w:t>preservation of meadows rich in species;</w:t>
            </w:r>
          </w:p>
          <w:p w:rsidR="00F555D6" w:rsidRPr="005C3B55" w:rsidRDefault="00F555D6" w:rsidP="00F555D6">
            <w:pPr>
              <w:numPr>
                <w:ilvl w:val="0"/>
                <w:numId w:val="550"/>
              </w:numPr>
              <w:spacing w:before="0" w:after="0"/>
              <w:ind w:hanging="290"/>
              <w:jc w:val="left"/>
              <w:rPr>
                <w:szCs w:val="24"/>
              </w:rPr>
            </w:pPr>
            <w:r w:rsidRPr="005C3B55">
              <w:rPr>
                <w:szCs w:val="24"/>
              </w:rPr>
              <w:t>providing the possibility of non-vertebrate survival which represent food for other species;</w:t>
            </w:r>
          </w:p>
          <w:p w:rsidR="00F555D6" w:rsidRPr="005C3B55" w:rsidRDefault="00F555D6" w:rsidP="00F555D6">
            <w:pPr>
              <w:numPr>
                <w:ilvl w:val="0"/>
                <w:numId w:val="550"/>
              </w:numPr>
              <w:spacing w:before="0" w:after="0"/>
              <w:ind w:hanging="290"/>
              <w:jc w:val="left"/>
              <w:rPr>
                <w:szCs w:val="24"/>
              </w:rPr>
            </w:pPr>
            <w:r w:rsidRPr="005C3B55">
              <w:rPr>
                <w:szCs w:val="24"/>
              </w:rPr>
              <w:t>improving soil structure of agricultural land;</w:t>
            </w:r>
          </w:p>
          <w:p w:rsidR="00F555D6" w:rsidRPr="005C3B55" w:rsidRDefault="00F555D6" w:rsidP="00F555D6">
            <w:pPr>
              <w:numPr>
                <w:ilvl w:val="0"/>
                <w:numId w:val="550"/>
              </w:numPr>
              <w:spacing w:before="0" w:after="240"/>
              <w:ind w:hanging="290"/>
              <w:jc w:val="left"/>
              <w:rPr>
                <w:szCs w:val="24"/>
              </w:rPr>
            </w:pPr>
            <w:r w:rsidRPr="005C3B55">
              <w:rPr>
                <w:szCs w:val="24"/>
              </w:rPr>
              <w:t>reducing the burdening of water with nitrates and the environment with residue of plant protection products.</w:t>
            </w:r>
          </w:p>
          <w:p w:rsidR="00F555D6" w:rsidRPr="005C3B55" w:rsidRDefault="00F555D6" w:rsidP="00F555D6">
            <w:pPr>
              <w:spacing w:before="240" w:after="240" w:line="280" w:lineRule="auto"/>
              <w:rPr>
                <w:szCs w:val="24"/>
              </w:rPr>
            </w:pPr>
            <w:r w:rsidRPr="005C3B55">
              <w:rPr>
                <w:b/>
                <w:szCs w:val="24"/>
              </w:rPr>
              <w:t>B. Optional requirements</w:t>
            </w:r>
          </w:p>
          <w:p w:rsidR="00F555D6" w:rsidRPr="005C3B55" w:rsidRDefault="00F555D6" w:rsidP="00F555D6">
            <w:pPr>
              <w:spacing w:before="240" w:after="240" w:line="280" w:lineRule="auto"/>
              <w:rPr>
                <w:szCs w:val="24"/>
              </w:rPr>
            </w:pPr>
            <w:r w:rsidRPr="005C3B55">
              <w:rPr>
                <w:b/>
                <w:i/>
                <w:szCs w:val="24"/>
              </w:rPr>
              <w:t>TRZ_II_ NPAS: In geographical agricultural units larger than 1ha, the unmown surface of a meadow to be mown in the following year amounts to between 5 and 10% of the surface of the meadow</w:t>
            </w:r>
          </w:p>
          <w:p w:rsidR="00F555D6" w:rsidRPr="005C3B55" w:rsidRDefault="00F555D6" w:rsidP="00F555D6">
            <w:pPr>
              <w:spacing w:before="240" w:after="240" w:line="280" w:lineRule="auto"/>
              <w:rPr>
                <w:szCs w:val="24"/>
              </w:rPr>
            </w:pPr>
            <w:r w:rsidRPr="005C3B55">
              <w:rPr>
                <w:szCs w:val="24"/>
              </w:rPr>
              <w:t>Leaving surfaces unmown has positive effects on species and habitat types. The unmown surface is a donor zone for species which are affected due to agricultural use which fails to observe their ecological requirements. The unmown parts also represent an important refuge for various species of mammals, birds, butterflies and other insects. Leaving surfaces unmown over the winter is particularly important from the view of ensuring suitable conditions for successful realisation of the complete development cycle of butterflies. On unmown strips, grazing is not permitted.</w:t>
            </w:r>
          </w:p>
          <w:p w:rsidR="00F555D6" w:rsidRPr="005C3B55" w:rsidRDefault="00F555D6" w:rsidP="00F555D6">
            <w:pPr>
              <w:spacing w:before="240" w:after="240" w:line="280" w:lineRule="auto"/>
              <w:rPr>
                <w:szCs w:val="24"/>
              </w:rPr>
            </w:pPr>
            <w:r w:rsidRPr="005C3B55">
              <w:rPr>
                <w:szCs w:val="24"/>
              </w:rPr>
              <w:t>The purpose of the requirement is to stimulate good environmental practice on grassland of moderate intensity. The implementation of additional requirements will further enhance the environmental and nature conservation role of these grasslands. The specifics of Slovenian grassland are great fragmentation, dynamic configuration and the connection of areas with non-agricultural applications. The implementation of the requirement will contribute to maintaining a favourable status of neighbouring habitats which will be target-protected within the framework of other operations.</w:t>
            </w:r>
          </w:p>
          <w:p w:rsidR="00F555D6" w:rsidRPr="005C3B55" w:rsidRDefault="00F555D6" w:rsidP="00F555D6">
            <w:pPr>
              <w:spacing w:before="240" w:after="240" w:line="280" w:lineRule="auto"/>
              <w:rPr>
                <w:szCs w:val="24"/>
              </w:rPr>
            </w:pPr>
            <w:r w:rsidRPr="005C3B55">
              <w:rPr>
                <w:szCs w:val="24"/>
              </w:rPr>
              <w:t>The unmown surfaces are mown the following year from March on.</w:t>
            </w:r>
          </w:p>
          <w:p w:rsidR="00F555D6" w:rsidRPr="005C3B55" w:rsidRDefault="00F555D6" w:rsidP="00F555D6">
            <w:pPr>
              <w:spacing w:before="240" w:after="240" w:line="280" w:lineRule="auto"/>
              <w:rPr>
                <w:szCs w:val="24"/>
              </w:rPr>
            </w:pPr>
            <w:r w:rsidRPr="005C3B55">
              <w:rPr>
                <w:szCs w:val="24"/>
              </w:rPr>
              <w:t>Beneficiaries whose surfaces are located on important ecological areas of special grass habitats, grass habitats of butterflies and litter-raking forests as well as in the areas of humid extensive meadows where birds occur may participate in the requirement only if they also participate in the implementation of one operation important for biodiversity conservation (or the operation of special grass habitats, grass habitats of butterflies, litter-raking forests or bird habitats in humid extensive meadows ) with at least 20% of permanent grassland.</w:t>
            </w:r>
          </w:p>
          <w:p w:rsidR="00F555D6" w:rsidRPr="005C3B55" w:rsidRDefault="00F555D6" w:rsidP="00F555D6">
            <w:pPr>
              <w:numPr>
                <w:ilvl w:val="0"/>
                <w:numId w:val="551"/>
              </w:numPr>
              <w:spacing w:before="240" w:after="240"/>
              <w:ind w:hanging="290"/>
              <w:jc w:val="left"/>
              <w:rPr>
                <w:szCs w:val="24"/>
              </w:rPr>
            </w:pPr>
            <w:r w:rsidRPr="005C3B55">
              <w:rPr>
                <w:szCs w:val="24"/>
              </w:rPr>
              <w:t>Livestock density: 0.5 to 1.8 LU/ha of grazing animals (average annual livestock density). When the requirement is implemented in areas of special grassland habitats, the average annual livestock density is 0.2 to 1.5 LU/ha of grazing animals. When the requirement is implemented in areas of grassland habitats of butterflies, litter forests or areas of the occurrence of birds of humid extensive meadows, the average annual livestock density is 0 to 1.5 LU/ha of grazing animals.</w:t>
            </w:r>
          </w:p>
          <w:p w:rsidR="00F555D6" w:rsidRPr="005C3B55" w:rsidRDefault="00F555D6" w:rsidP="00F555D6">
            <w:pPr>
              <w:numPr>
                <w:ilvl w:val="0"/>
                <w:numId w:val="552"/>
              </w:numPr>
              <w:spacing w:before="240" w:after="0"/>
              <w:ind w:hanging="290"/>
              <w:jc w:val="left"/>
              <w:rPr>
                <w:szCs w:val="24"/>
              </w:rPr>
            </w:pPr>
            <w:r w:rsidRPr="005C3B55">
              <w:rPr>
                <w:szCs w:val="24"/>
              </w:rPr>
              <w:t>Use: permanent grassland.</w:t>
            </w:r>
          </w:p>
          <w:p w:rsidR="00F555D6" w:rsidRPr="005C3B55" w:rsidRDefault="00F555D6" w:rsidP="00F555D6">
            <w:pPr>
              <w:numPr>
                <w:ilvl w:val="0"/>
                <w:numId w:val="552"/>
              </w:numPr>
              <w:spacing w:before="0" w:after="0"/>
              <w:ind w:hanging="290"/>
              <w:jc w:val="left"/>
              <w:rPr>
                <w:szCs w:val="24"/>
              </w:rPr>
            </w:pPr>
            <w:r w:rsidRPr="005C3B55">
              <w:rPr>
                <w:szCs w:val="24"/>
              </w:rPr>
              <w:t>Coverage: part of the area.</w:t>
            </w:r>
          </w:p>
          <w:p w:rsidR="00F555D6" w:rsidRPr="005C3B55" w:rsidRDefault="00F555D6" w:rsidP="00F555D6">
            <w:pPr>
              <w:numPr>
                <w:ilvl w:val="0"/>
                <w:numId w:val="552"/>
              </w:numPr>
              <w:spacing w:before="0" w:after="0"/>
              <w:ind w:hanging="290"/>
              <w:jc w:val="left"/>
              <w:rPr>
                <w:szCs w:val="24"/>
              </w:rPr>
            </w:pPr>
            <w:r w:rsidRPr="005C3B55">
              <w:rPr>
                <w:szCs w:val="24"/>
              </w:rPr>
              <w:t>Location: not relevant.</w:t>
            </w:r>
          </w:p>
          <w:p w:rsidR="00F555D6" w:rsidRPr="005C3B55" w:rsidRDefault="00F555D6" w:rsidP="00F555D6">
            <w:pPr>
              <w:numPr>
                <w:ilvl w:val="0"/>
                <w:numId w:val="552"/>
              </w:numPr>
              <w:spacing w:before="0" w:after="240"/>
              <w:ind w:hanging="290"/>
              <w:jc w:val="left"/>
              <w:rPr>
                <w:szCs w:val="24"/>
              </w:rPr>
            </w:pPr>
            <w:r w:rsidRPr="005C3B55">
              <w:rPr>
                <w:szCs w:val="24"/>
              </w:rPr>
              <w:t>Implementation area: whole Slovenia.</w:t>
            </w:r>
          </w:p>
          <w:p w:rsidR="00F555D6" w:rsidRPr="005C3B55" w:rsidRDefault="00F555D6" w:rsidP="00F555D6">
            <w:pPr>
              <w:spacing w:before="240" w:after="240" w:line="280" w:lineRule="auto"/>
              <w:rPr>
                <w:szCs w:val="24"/>
              </w:rPr>
            </w:pPr>
            <w:r w:rsidRPr="005C3B55">
              <w:rPr>
                <w:szCs w:val="24"/>
              </w:rPr>
              <w:t>Effects:</w:t>
            </w:r>
          </w:p>
          <w:p w:rsidR="00F555D6" w:rsidRPr="005C3B55" w:rsidRDefault="00F555D6" w:rsidP="00F555D6">
            <w:pPr>
              <w:numPr>
                <w:ilvl w:val="0"/>
                <w:numId w:val="553"/>
              </w:numPr>
              <w:spacing w:before="240" w:after="0"/>
              <w:ind w:hanging="290"/>
              <w:jc w:val="left"/>
              <w:rPr>
                <w:szCs w:val="24"/>
              </w:rPr>
            </w:pPr>
            <w:r w:rsidRPr="005C3B55">
              <w:rPr>
                <w:szCs w:val="24"/>
              </w:rPr>
              <w:t>maintaining and increasing the possibilities of survival of endangered species of insects (butterflies, grasshoppers) and other small animals in meadows (conservation of biodiversity in nature);</w:t>
            </w:r>
          </w:p>
          <w:p w:rsidR="00F555D6" w:rsidRPr="005C3B55" w:rsidRDefault="00F555D6" w:rsidP="00F555D6">
            <w:pPr>
              <w:numPr>
                <w:ilvl w:val="0"/>
                <w:numId w:val="553"/>
              </w:numPr>
              <w:spacing w:before="0" w:after="240"/>
              <w:ind w:hanging="290"/>
              <w:jc w:val="left"/>
              <w:rPr>
                <w:szCs w:val="24"/>
              </w:rPr>
            </w:pPr>
            <w:r w:rsidRPr="005C3B55">
              <w:rPr>
                <w:szCs w:val="24"/>
              </w:rPr>
              <w:t>enabling the seeding of plants and preserving plant species typical of natural grassland.</w:t>
            </w:r>
          </w:p>
          <w:p w:rsidR="00F555D6" w:rsidRPr="005C3B55" w:rsidRDefault="00F555D6" w:rsidP="00F555D6">
            <w:pPr>
              <w:spacing w:before="240" w:after="240" w:line="280" w:lineRule="auto"/>
              <w:rPr>
                <w:szCs w:val="24"/>
              </w:rPr>
            </w:pPr>
            <w:r w:rsidRPr="005C3B55">
              <w:rPr>
                <w:b/>
                <w:i/>
                <w:szCs w:val="24"/>
              </w:rPr>
              <w:t>TRZ_II_NIZI: Fertilisation with organic fertilisers with low emissions into air</w:t>
            </w:r>
          </w:p>
          <w:p w:rsidR="00F555D6" w:rsidRPr="005C3B55" w:rsidRDefault="00F555D6" w:rsidP="00F555D6">
            <w:pPr>
              <w:spacing w:before="240" w:after="240" w:line="280" w:lineRule="auto"/>
              <w:rPr>
                <w:szCs w:val="24"/>
              </w:rPr>
            </w:pPr>
            <w:r w:rsidRPr="005C3B55">
              <w:rPr>
                <w:szCs w:val="24"/>
              </w:rPr>
              <w:t>The purpose of this requirement is to reduce ammonia emissions and odour when fertilising with liquid manure, and to improve the efficiency of nitrogen circulation in agriculture, and thus indirectly also impact the reduction of greenhouse nitrous oxide emissions. The implementation of this requirement will also have a positive impact on the status of neighbouring habitats. The requirement includes the distribution of liquid organic fertilisers on the surface of soil with trailing hose or sleigh, or the incorporation of fertilisers directly into soil. The use of equipment with splash plates is not permitted.</w:t>
            </w:r>
          </w:p>
          <w:p w:rsidR="00F555D6" w:rsidRPr="005C3B55" w:rsidRDefault="00F555D6" w:rsidP="00F555D6">
            <w:pPr>
              <w:numPr>
                <w:ilvl w:val="0"/>
                <w:numId w:val="554"/>
              </w:numPr>
              <w:spacing w:before="240" w:after="240"/>
              <w:ind w:hanging="290"/>
              <w:jc w:val="left"/>
              <w:rPr>
                <w:szCs w:val="24"/>
              </w:rPr>
            </w:pPr>
            <w:r w:rsidRPr="005C3B55">
              <w:rPr>
                <w:szCs w:val="24"/>
              </w:rPr>
              <w:t>Livestock density: 0.5 to 1.8 LU/ha of grazing animals (average annual livestock density). When the requirement is implemented in areas of special grassland habitats, the average annual livestock density is 0.2 to 1.5 LU/ha of grazing animals. When the requirement is implemented in areas of grassland habitats of butterflies, litter forests or areas of the occurrence of birds of humid extensive meadows, the average annual livestock density is 0 to 1.5 LU/ha of grazing animals.</w:t>
            </w:r>
          </w:p>
          <w:p w:rsidR="00F555D6" w:rsidRPr="005C3B55" w:rsidRDefault="00F555D6" w:rsidP="00F555D6">
            <w:pPr>
              <w:numPr>
                <w:ilvl w:val="0"/>
                <w:numId w:val="555"/>
              </w:numPr>
              <w:spacing w:before="240" w:after="0"/>
              <w:ind w:hanging="290"/>
              <w:jc w:val="left"/>
              <w:rPr>
                <w:szCs w:val="24"/>
              </w:rPr>
            </w:pPr>
            <w:r w:rsidRPr="005C3B55">
              <w:rPr>
                <w:szCs w:val="24"/>
              </w:rPr>
              <w:t>Use: permanent grassland.</w:t>
            </w:r>
          </w:p>
          <w:p w:rsidR="00F555D6" w:rsidRPr="005C3B55" w:rsidRDefault="00F555D6" w:rsidP="00F555D6">
            <w:pPr>
              <w:numPr>
                <w:ilvl w:val="0"/>
                <w:numId w:val="555"/>
              </w:numPr>
              <w:spacing w:before="0" w:after="0"/>
              <w:ind w:hanging="290"/>
              <w:jc w:val="left"/>
              <w:rPr>
                <w:szCs w:val="24"/>
              </w:rPr>
            </w:pPr>
            <w:r w:rsidRPr="005C3B55">
              <w:rPr>
                <w:szCs w:val="24"/>
              </w:rPr>
              <w:t>Coverage: part of the area.</w:t>
            </w:r>
          </w:p>
          <w:p w:rsidR="00F555D6" w:rsidRPr="005C3B55" w:rsidRDefault="00F555D6" w:rsidP="00F555D6">
            <w:pPr>
              <w:numPr>
                <w:ilvl w:val="0"/>
                <w:numId w:val="555"/>
              </w:numPr>
              <w:spacing w:before="0" w:after="0"/>
              <w:ind w:hanging="290"/>
              <w:jc w:val="left"/>
              <w:rPr>
                <w:szCs w:val="24"/>
              </w:rPr>
            </w:pPr>
            <w:r w:rsidRPr="005C3B55">
              <w:rPr>
                <w:szCs w:val="24"/>
              </w:rPr>
              <w:t>Location: not relevant.</w:t>
            </w:r>
          </w:p>
          <w:p w:rsidR="00F555D6" w:rsidRPr="005C3B55" w:rsidRDefault="00F555D6" w:rsidP="00F555D6">
            <w:pPr>
              <w:numPr>
                <w:ilvl w:val="0"/>
                <w:numId w:val="555"/>
              </w:numPr>
              <w:spacing w:before="0" w:after="240"/>
              <w:ind w:hanging="290"/>
              <w:jc w:val="left"/>
              <w:rPr>
                <w:szCs w:val="24"/>
              </w:rPr>
            </w:pPr>
            <w:r w:rsidRPr="005C3B55">
              <w:rPr>
                <w:szCs w:val="24"/>
              </w:rPr>
              <w:t>Implementation area: whole Slovenia.</w:t>
            </w:r>
          </w:p>
          <w:p w:rsidR="00F555D6" w:rsidRPr="005C3B55" w:rsidRDefault="00F555D6" w:rsidP="00F555D6">
            <w:pPr>
              <w:spacing w:before="240" w:after="240" w:line="280" w:lineRule="auto"/>
              <w:rPr>
                <w:szCs w:val="24"/>
              </w:rPr>
            </w:pPr>
            <w:r w:rsidRPr="005C3B55">
              <w:rPr>
                <w:szCs w:val="24"/>
              </w:rPr>
              <w:t>Effects:</w:t>
            </w:r>
          </w:p>
          <w:p w:rsidR="00F555D6" w:rsidRPr="005C3B55" w:rsidRDefault="00F555D6" w:rsidP="00F555D6">
            <w:pPr>
              <w:numPr>
                <w:ilvl w:val="0"/>
                <w:numId w:val="556"/>
              </w:numPr>
              <w:spacing w:before="240" w:after="0"/>
              <w:ind w:hanging="290"/>
              <w:jc w:val="left"/>
              <w:rPr>
                <w:szCs w:val="24"/>
              </w:rPr>
            </w:pPr>
            <w:r w:rsidRPr="005C3B55">
              <w:rPr>
                <w:szCs w:val="24"/>
              </w:rPr>
              <w:t>reducing ammonia emissions and, as a result, reducing the eutrophication of natural environment;</w:t>
            </w:r>
          </w:p>
          <w:p w:rsidR="00F555D6" w:rsidRPr="005C3B55" w:rsidRDefault="00F555D6" w:rsidP="00F555D6">
            <w:pPr>
              <w:numPr>
                <w:ilvl w:val="0"/>
                <w:numId w:val="556"/>
              </w:numPr>
              <w:spacing w:before="0" w:after="0"/>
              <w:ind w:hanging="290"/>
              <w:jc w:val="left"/>
              <w:rPr>
                <w:szCs w:val="24"/>
              </w:rPr>
            </w:pPr>
            <w:r w:rsidRPr="005C3B55">
              <w:rPr>
                <w:szCs w:val="24"/>
              </w:rPr>
              <w:t>more effective nitrogen circulation and, as a result, reducing nitrous oxide emissions (greenhouse gas);</w:t>
            </w:r>
          </w:p>
          <w:p w:rsidR="00F555D6" w:rsidRPr="005C3B55" w:rsidRDefault="00F555D6" w:rsidP="00F555D6">
            <w:pPr>
              <w:numPr>
                <w:ilvl w:val="0"/>
                <w:numId w:val="556"/>
              </w:numPr>
              <w:spacing w:before="0" w:after="240"/>
              <w:ind w:hanging="290"/>
              <w:jc w:val="left"/>
              <w:rPr>
                <w:szCs w:val="24"/>
              </w:rPr>
            </w:pPr>
            <w:r w:rsidRPr="005C3B55">
              <w:rPr>
                <w:szCs w:val="24"/>
              </w:rPr>
              <w:t>reducing odour emissions into the environment.</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Type of support</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Support for the implementation of the operation Permanent grassland II consists of:</w:t>
            </w:r>
          </w:p>
          <w:p w:rsidR="00F555D6" w:rsidRPr="005C3B55" w:rsidRDefault="00F555D6" w:rsidP="00F555D6">
            <w:pPr>
              <w:numPr>
                <w:ilvl w:val="0"/>
                <w:numId w:val="557"/>
              </w:numPr>
              <w:spacing w:before="240" w:after="240"/>
              <w:ind w:hanging="290"/>
              <w:jc w:val="left"/>
              <w:rPr>
                <w:szCs w:val="24"/>
              </w:rPr>
            </w:pPr>
            <w:r w:rsidRPr="005C3B55">
              <w:rPr>
                <w:szCs w:val="24"/>
              </w:rPr>
              <w:t>payments per hectare for the implementation of the mandatory requirement and/or at least one optional requirement of the beneficiary’s own choice.</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Connection with other legislation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The operation Permanent grassland II is connected with national and EU regulations in the field of measures of agricultural policy, agriculture, the environment, nature protection and rural development.</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Beneficiaries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Beneficiaries for payments are agricultural holdings which participate voluntarily in the implementation of the operation ‘Permanent grassland II’ and meet the prescribed conditions and requirements.</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Eligible costs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Payments are only intended for those commitments within the operation ‘Permanent grassland II’ which exceed suitable mandatory standards determined in accordance with Chapter I, Title VI of Regulation (EU) No 1306/2013, suitable criteria determined in the second indent of item c) of the first paragraph of Article 4 of Regulation (EU) No 1307/2013, and other suitable mandatory requirements from national regulations.</w:t>
            </w:r>
          </w:p>
          <w:p w:rsidR="00F555D6" w:rsidRPr="005C3B55" w:rsidRDefault="00F555D6" w:rsidP="00F555D6">
            <w:pPr>
              <w:spacing w:before="240" w:after="240" w:line="280" w:lineRule="auto"/>
              <w:rPr>
                <w:szCs w:val="24"/>
              </w:rPr>
            </w:pPr>
            <w:r w:rsidRPr="005C3B55">
              <w:rPr>
                <w:szCs w:val="24"/>
              </w:rPr>
              <w:t>Payments cover 60 per cent of the additional costs and the loss of revenue due to the assumed commitment.</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Conditions for eligibility</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When entering the M10 measure, an agricultural holding must:</w:t>
            </w:r>
          </w:p>
          <w:p w:rsidR="00F555D6" w:rsidRPr="005C3B55" w:rsidRDefault="00F555D6" w:rsidP="00F555D6">
            <w:pPr>
              <w:numPr>
                <w:ilvl w:val="0"/>
                <w:numId w:val="558"/>
              </w:numPr>
              <w:spacing w:before="240" w:after="0"/>
              <w:ind w:hanging="290"/>
              <w:jc w:val="left"/>
              <w:rPr>
                <w:szCs w:val="24"/>
              </w:rPr>
            </w:pPr>
            <w:r w:rsidRPr="005C3B55">
              <w:rPr>
                <w:szCs w:val="24"/>
              </w:rPr>
              <w:t>have at least 1 ha of agricultural land in use as per Article 4 of Regulation (EU) No 1307/2013;</w:t>
            </w:r>
          </w:p>
          <w:p w:rsidR="00F555D6" w:rsidRPr="005C3B55" w:rsidRDefault="00F555D6" w:rsidP="00F555D6">
            <w:pPr>
              <w:numPr>
                <w:ilvl w:val="0"/>
                <w:numId w:val="558"/>
              </w:numPr>
              <w:spacing w:before="0" w:after="0"/>
              <w:ind w:hanging="290"/>
              <w:jc w:val="left"/>
              <w:rPr>
                <w:szCs w:val="24"/>
              </w:rPr>
            </w:pPr>
            <w:r w:rsidRPr="005C3B55">
              <w:rPr>
                <w:szCs w:val="24"/>
              </w:rPr>
              <w:t>be entered in the register of agricultural holdings in accordance with the regulation on the register of agricultural holdings;</w:t>
            </w:r>
          </w:p>
          <w:p w:rsidR="00F555D6" w:rsidRPr="005C3B55" w:rsidRDefault="00F555D6" w:rsidP="00F555D6">
            <w:pPr>
              <w:numPr>
                <w:ilvl w:val="0"/>
                <w:numId w:val="558"/>
              </w:numPr>
              <w:spacing w:before="0" w:after="0"/>
              <w:ind w:hanging="290"/>
              <w:jc w:val="left"/>
              <w:rPr>
                <w:szCs w:val="24"/>
              </w:rPr>
            </w:pPr>
            <w:r w:rsidRPr="005C3B55">
              <w:rPr>
                <w:szCs w:val="24"/>
              </w:rPr>
              <w:t>undergo a six-hour training programme on agri-environment-climate content;</w:t>
            </w:r>
          </w:p>
          <w:p w:rsidR="00F555D6" w:rsidRPr="005C3B55" w:rsidRDefault="00F555D6" w:rsidP="00F555D6">
            <w:pPr>
              <w:numPr>
                <w:ilvl w:val="0"/>
                <w:numId w:val="558"/>
              </w:numPr>
              <w:spacing w:before="0" w:after="240"/>
              <w:ind w:hanging="290"/>
              <w:jc w:val="left"/>
              <w:rPr>
                <w:szCs w:val="24"/>
              </w:rPr>
            </w:pPr>
            <w:r w:rsidRPr="005C3B55">
              <w:rPr>
                <w:szCs w:val="24"/>
              </w:rPr>
              <w:t>prepare an activities programme of the agricultural holding which is an electronic document prepared as a result of advisory services.</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Principles regarding the determination of selection criteria</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The selection criteria are not relevant.</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(Valid) amounts and support rates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The amount of payments for requirements within the operation Permanent grassland II amounts to 60 per cent of the amount of payments calculated as per the model calculation.</w:t>
            </w:r>
          </w:p>
          <w:p w:rsidR="00F555D6" w:rsidRPr="005C3B55" w:rsidRDefault="00F555D6" w:rsidP="00F555D6">
            <w:pPr>
              <w:spacing w:before="240" w:after="240" w:line="280" w:lineRule="auto"/>
              <w:rPr>
                <w:szCs w:val="24"/>
              </w:rPr>
            </w:pPr>
            <w:r w:rsidRPr="005C3B55">
              <w:rPr>
                <w:szCs w:val="24"/>
              </w:rPr>
              <w:t>Regardless of the previous paragraph, payment for the requirement TRZ_II_NPAS amounts to:</w:t>
            </w:r>
          </w:p>
          <w:p w:rsidR="00F555D6" w:rsidRPr="005C3B55" w:rsidRDefault="00F555D6" w:rsidP="00F555D6">
            <w:pPr>
              <w:numPr>
                <w:ilvl w:val="0"/>
                <w:numId w:val="559"/>
              </w:numPr>
              <w:spacing w:before="240" w:after="0"/>
              <w:ind w:hanging="290"/>
              <w:jc w:val="left"/>
              <w:rPr>
                <w:szCs w:val="24"/>
              </w:rPr>
            </w:pPr>
            <w:r w:rsidRPr="005C3B55">
              <w:rPr>
                <w:szCs w:val="24"/>
              </w:rPr>
              <w:t>EUR 42.50 when it is implemented in areas of special grassland habitats;</w:t>
            </w:r>
          </w:p>
          <w:p w:rsidR="00F555D6" w:rsidRPr="005C3B55" w:rsidRDefault="00F555D6" w:rsidP="00F555D6">
            <w:pPr>
              <w:numPr>
                <w:ilvl w:val="0"/>
                <w:numId w:val="559"/>
              </w:numPr>
              <w:spacing w:before="0" w:after="0"/>
              <w:ind w:hanging="290"/>
              <w:jc w:val="left"/>
              <w:rPr>
                <w:szCs w:val="24"/>
              </w:rPr>
            </w:pPr>
            <w:r w:rsidRPr="005C3B55">
              <w:rPr>
                <w:szCs w:val="24"/>
              </w:rPr>
              <w:t>EUR 28.70 when it is implemented in areas of grassland habitats of butterflies; and</w:t>
            </w:r>
          </w:p>
          <w:p w:rsidR="00F555D6" w:rsidRPr="005C3B55" w:rsidRDefault="00F555D6" w:rsidP="00F555D6">
            <w:pPr>
              <w:numPr>
                <w:ilvl w:val="0"/>
                <w:numId w:val="559"/>
              </w:numPr>
              <w:spacing w:before="0" w:after="240"/>
              <w:ind w:hanging="290"/>
              <w:jc w:val="left"/>
              <w:rPr>
                <w:szCs w:val="24"/>
              </w:rPr>
            </w:pPr>
            <w:r w:rsidRPr="005C3B55">
              <w:rPr>
                <w:szCs w:val="24"/>
              </w:rPr>
              <w:t>EUR 20.10 when it is implemented in areas of the occurrence of birds of humid extensive meadows and litter meadows.</w:t>
            </w:r>
          </w:p>
          <w:p w:rsidR="00F555D6" w:rsidRPr="005C3B55" w:rsidRDefault="00F555D6" w:rsidP="00F555D6">
            <w:pPr>
              <w:spacing w:before="240" w:after="240" w:line="280" w:lineRule="auto"/>
              <w:rPr>
                <w:szCs w:val="24"/>
              </w:rPr>
            </w:pPr>
            <w:r w:rsidRPr="005C3B55">
              <w:rPr>
                <w:szCs w:val="24"/>
              </w:rPr>
              <w:t>Regardless of the first paragraph, payment for the requirement TRZ_II_MRVA amounts to:</w:t>
            </w:r>
          </w:p>
          <w:p w:rsidR="00F555D6" w:rsidRPr="005C3B55" w:rsidRDefault="00F555D6" w:rsidP="00F555D6">
            <w:pPr>
              <w:numPr>
                <w:ilvl w:val="0"/>
                <w:numId w:val="560"/>
              </w:numPr>
              <w:spacing w:before="240" w:after="0"/>
              <w:ind w:hanging="290"/>
              <w:jc w:val="left"/>
              <w:rPr>
                <w:szCs w:val="24"/>
              </w:rPr>
            </w:pPr>
            <w:r w:rsidRPr="005C3B55">
              <w:rPr>
                <w:szCs w:val="24"/>
              </w:rPr>
              <w:t>EUR 7.10 when it is implemented in areas of special grassland habitats, and</w:t>
            </w:r>
          </w:p>
          <w:p w:rsidR="00F555D6" w:rsidRPr="005C3B55" w:rsidRDefault="00F555D6" w:rsidP="00F555D6">
            <w:pPr>
              <w:numPr>
                <w:ilvl w:val="0"/>
                <w:numId w:val="560"/>
              </w:numPr>
              <w:spacing w:before="0" w:after="240"/>
              <w:ind w:hanging="290"/>
              <w:jc w:val="left"/>
              <w:rPr>
                <w:szCs w:val="24"/>
              </w:rPr>
            </w:pPr>
            <w:r w:rsidRPr="005C3B55">
              <w:rPr>
                <w:szCs w:val="24"/>
              </w:rPr>
              <w:t>EUR 8.10 when it is implemented in areas of grassland habitats of butterflies.</w:t>
            </w:r>
          </w:p>
          <w:p w:rsidR="00F555D6" w:rsidRPr="005C3B55" w:rsidRDefault="00F555D6" w:rsidP="00F555D6">
            <w:pPr>
              <w:pStyle w:val="Telobesedila"/>
              <w:rPr>
                <w:szCs w:val="24"/>
              </w:rPr>
            </w:pPr>
          </w:p>
          <w:p w:rsidR="00F555D6" w:rsidRPr="005C3B55" w:rsidRDefault="0012246E" w:rsidP="00F555D6">
            <w:pPr>
              <w:pStyle w:val="Telobesedila3"/>
              <w:jc w:val="center"/>
              <w:rPr>
                <w:szCs w:val="24"/>
              </w:rPr>
            </w:pPr>
            <w:r w:rsidRPr="005C3B55">
              <w:rPr>
                <w:noProof/>
                <w:szCs w:val="24"/>
                <w:lang w:val="sl-SI"/>
              </w:rPr>
              <w:drawing>
                <wp:inline distT="0" distB="0" distL="0" distR="0">
                  <wp:extent cx="4781550" cy="1619250"/>
                  <wp:effectExtent l="0" t="0" r="0" b="0"/>
                  <wp:docPr id="1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781550" cy="1619250"/>
                          </a:xfrm>
                          <a:prstGeom prst="rect">
                            <a:avLst/>
                          </a:prstGeom>
                          <a:noFill/>
                          <a:ln>
                            <a:noFill/>
                          </a:ln>
                        </pic:spPr>
                      </pic:pic>
                    </a:graphicData>
                  </a:graphic>
                </wp:inline>
              </w:drawing>
            </w:r>
          </w:p>
          <w:p w:rsidR="00F555D6" w:rsidRPr="005C3B55" w:rsidRDefault="00F555D6" w:rsidP="00F555D6">
            <w:pPr>
              <w:pStyle w:val="Noga"/>
              <w:jc w:val="center"/>
              <w:rPr>
                <w:szCs w:val="24"/>
              </w:rPr>
            </w:pPr>
            <w:r w:rsidRPr="005C3B55">
              <w:rPr>
                <w:szCs w:val="24"/>
              </w:rPr>
              <w:t>Operation Permanent grassland II: amount of payments for individual requirements</w:t>
            </w:r>
          </w:p>
          <w:p w:rsidR="00F555D6" w:rsidRPr="005C3B55" w:rsidRDefault="00F555D6" w:rsidP="00F555D6">
            <w:pPr>
              <w:pStyle w:val="Noga"/>
              <w:jc w:val="center"/>
              <w:rPr>
                <w:szCs w:val="24"/>
              </w:rPr>
            </w:pPr>
          </w:p>
        </w:tc>
      </w:tr>
    </w:tbl>
    <w:p w:rsidR="00F555D6" w:rsidRPr="005C3B55" w:rsidRDefault="00F555D6" w:rsidP="00F555D6">
      <w:r w:rsidRPr="005C3B55">
        <w:t>Amount of payments (EUR/ha annually) for requirements within the operation ‘Permanent grassland I’</w:t>
      </w:r>
    </w:p>
    <w:tbl>
      <w:tblPr>
        <w:tblW w:w="5000" w:type="pct"/>
        <w:tblInd w:w="108"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2132"/>
        <w:gridCol w:w="2131"/>
        <w:gridCol w:w="2329"/>
        <w:gridCol w:w="1933"/>
        <w:gridCol w:w="2131"/>
      </w:tblGrid>
      <w:tr w:rsidR="00F555D6" w:rsidRPr="005C3B55">
        <w:tc>
          <w:tcPr>
            <w:tcW w:w="1000" w:type="pct"/>
            <w:tcBorders>
              <w:top w:val="single" w:sz="18" w:space="0" w:color="auto"/>
              <w:left w:val="single" w:sz="18" w:space="0" w:color="auto"/>
              <w:bottom w:val="single" w:sz="18" w:space="0" w:color="auto"/>
              <w:right w:val="single" w:sz="18" w:space="0" w:color="auto"/>
            </w:tcBorders>
            <w:shd w:val="clear" w:color="auto" w:fill="D9D9D9"/>
            <w:vAlign w:val="center"/>
          </w:tcPr>
          <w:p w:rsidR="00F555D6" w:rsidRPr="005C3B55" w:rsidRDefault="00F555D6" w:rsidP="00F555D6">
            <w:r w:rsidRPr="005C3B55">
              <w:rPr>
                <w:b/>
                <w:sz w:val="20"/>
              </w:rPr>
              <w:t>Requirement</w:t>
            </w:r>
          </w:p>
        </w:tc>
        <w:tc>
          <w:tcPr>
            <w:tcW w:w="1000" w:type="pct"/>
            <w:tcBorders>
              <w:top w:val="single" w:sz="18" w:space="0" w:color="auto"/>
              <w:left w:val="single" w:sz="18" w:space="0" w:color="auto"/>
              <w:bottom w:val="single" w:sz="18" w:space="0" w:color="auto"/>
              <w:right w:val="single" w:sz="18" w:space="0" w:color="auto"/>
            </w:tcBorders>
            <w:shd w:val="clear" w:color="auto" w:fill="D9D9D9"/>
            <w:vAlign w:val="center"/>
          </w:tcPr>
          <w:p w:rsidR="00F555D6" w:rsidRPr="005C3B55" w:rsidRDefault="00F555D6" w:rsidP="00F555D6">
            <w:pPr>
              <w:autoSpaceDE w:val="0"/>
              <w:autoSpaceDN w:val="0"/>
              <w:adjustRightInd w:val="0"/>
              <w:jc w:val="right"/>
            </w:pPr>
            <w:r w:rsidRPr="005C3B55">
              <w:rPr>
                <w:b/>
                <w:sz w:val="20"/>
              </w:rPr>
              <w:t>Calculated payment amount as per model calculation</w:t>
            </w:r>
          </w:p>
        </w:tc>
        <w:tc>
          <w:tcPr>
            <w:tcW w:w="1093" w:type="pct"/>
            <w:tcBorders>
              <w:top w:val="single" w:sz="18" w:space="0" w:color="auto"/>
              <w:left w:val="single" w:sz="18" w:space="0" w:color="auto"/>
              <w:bottom w:val="single" w:sz="18" w:space="0" w:color="auto"/>
              <w:right w:val="single" w:sz="18" w:space="0" w:color="auto"/>
            </w:tcBorders>
            <w:shd w:val="clear" w:color="auto" w:fill="D9D9D9"/>
            <w:vAlign w:val="center"/>
          </w:tcPr>
          <w:p w:rsidR="00F555D6" w:rsidRPr="005C3B55" w:rsidRDefault="00F555D6" w:rsidP="00F555D6">
            <w:pPr>
              <w:autoSpaceDE w:val="0"/>
              <w:autoSpaceDN w:val="0"/>
              <w:adjustRightInd w:val="0"/>
              <w:jc w:val="right"/>
            </w:pPr>
            <w:r w:rsidRPr="005C3B55">
              <w:rPr>
                <w:b/>
                <w:sz w:val="20"/>
              </w:rPr>
              <w:t>Highest possible payment as per Annex II to Regulation (EU) No 1305/2013</w:t>
            </w:r>
          </w:p>
        </w:tc>
        <w:tc>
          <w:tcPr>
            <w:tcW w:w="907" w:type="pct"/>
            <w:tcBorders>
              <w:top w:val="single" w:sz="18" w:space="0" w:color="auto"/>
              <w:left w:val="single" w:sz="18" w:space="0" w:color="auto"/>
              <w:bottom w:val="single" w:sz="18" w:space="0" w:color="auto"/>
              <w:right w:val="single" w:sz="18" w:space="0" w:color="auto"/>
            </w:tcBorders>
            <w:shd w:val="clear" w:color="auto" w:fill="D9D9D9"/>
            <w:vAlign w:val="center"/>
          </w:tcPr>
          <w:p w:rsidR="00F555D6" w:rsidRPr="005C3B55" w:rsidRDefault="00F555D6" w:rsidP="00F555D6">
            <w:pPr>
              <w:autoSpaceDE w:val="0"/>
              <w:autoSpaceDN w:val="0"/>
              <w:adjustRightInd w:val="0"/>
              <w:jc w:val="right"/>
            </w:pPr>
            <w:r w:rsidRPr="005C3B55">
              <w:rPr>
                <w:b/>
                <w:sz w:val="20"/>
              </w:rPr>
              <w:t>Highest possible amount</w:t>
            </w:r>
          </w:p>
        </w:tc>
        <w:tc>
          <w:tcPr>
            <w:tcW w:w="1000" w:type="pct"/>
            <w:tcBorders>
              <w:top w:val="single" w:sz="18" w:space="0" w:color="auto"/>
              <w:left w:val="single" w:sz="18" w:space="0" w:color="auto"/>
              <w:bottom w:val="single" w:sz="18" w:space="0" w:color="auto"/>
              <w:right w:val="single" w:sz="18" w:space="0" w:color="auto"/>
            </w:tcBorders>
            <w:shd w:val="clear" w:color="auto" w:fill="D9D9D9"/>
            <w:vAlign w:val="center"/>
          </w:tcPr>
          <w:p w:rsidR="00F555D6" w:rsidRPr="005C3B55" w:rsidRDefault="00F555D6" w:rsidP="00F555D6">
            <w:pPr>
              <w:jc w:val="right"/>
            </w:pPr>
            <w:r w:rsidRPr="005C3B55">
              <w:rPr>
                <w:b/>
                <w:sz w:val="20"/>
              </w:rPr>
              <w:t>Payment (60% of payment amount calculated as per model calculation)</w:t>
            </w:r>
          </w:p>
        </w:tc>
      </w:tr>
      <w:tr w:rsidR="00F555D6" w:rsidRPr="005C3B55">
        <w:tc>
          <w:tcPr>
            <w:tcW w:w="5000" w:type="pct"/>
            <w:gridSpan w:val="5"/>
            <w:tcBorders>
              <w:top w:val="single" w:sz="18" w:space="0" w:color="auto"/>
              <w:left w:val="single" w:sz="18" w:space="0" w:color="auto"/>
              <w:bottom w:val="single" w:sz="18" w:space="0" w:color="auto"/>
              <w:right w:val="single" w:sz="18" w:space="0" w:color="auto"/>
            </w:tcBorders>
            <w:shd w:val="clear" w:color="auto" w:fill="E0E0E0"/>
          </w:tcPr>
          <w:p w:rsidR="00F555D6" w:rsidRPr="005C3B55" w:rsidRDefault="00F555D6" w:rsidP="00F555D6">
            <w:r w:rsidRPr="005C3B55">
              <w:rPr>
                <w:b/>
                <w:noProof/>
                <w:sz w:val="20"/>
              </w:rPr>
              <w:t>A.</w:t>
            </w:r>
            <w:r w:rsidRPr="005C3B55">
              <w:rPr>
                <w:b/>
                <w:sz w:val="20"/>
              </w:rPr>
              <w:t xml:space="preserve"> Mandatory requirement</w:t>
            </w:r>
          </w:p>
        </w:tc>
      </w:tr>
      <w:tr w:rsidR="00F555D6" w:rsidRPr="005C3B55">
        <w:tc>
          <w:tcPr>
            <w:tcW w:w="1000" w:type="pct"/>
            <w:tcBorders>
              <w:top w:val="single" w:sz="18" w:space="0" w:color="auto"/>
              <w:left w:val="single" w:sz="18" w:space="0" w:color="auto"/>
              <w:bottom w:val="single" w:sz="18" w:space="0" w:color="auto"/>
              <w:right w:val="single" w:sz="18" w:space="0" w:color="auto"/>
            </w:tcBorders>
          </w:tcPr>
          <w:p w:rsidR="00F555D6" w:rsidRPr="005C3B55" w:rsidRDefault="00F555D6" w:rsidP="00F555D6">
            <w:pPr>
              <w:rPr>
                <w:sz w:val="20"/>
              </w:rPr>
            </w:pPr>
            <w:r w:rsidRPr="005C3B55">
              <w:rPr>
                <w:noProof/>
                <w:sz w:val="20"/>
              </w:rPr>
              <w:t>TRZ_II_OSIL</w:t>
            </w:r>
          </w:p>
        </w:tc>
        <w:tc>
          <w:tcPr>
            <w:tcW w:w="1000" w:type="pct"/>
            <w:tcBorders>
              <w:top w:val="single" w:sz="18" w:space="0" w:color="auto"/>
              <w:left w:val="single" w:sz="18" w:space="0" w:color="auto"/>
              <w:bottom w:val="single" w:sz="18" w:space="0" w:color="auto"/>
              <w:right w:val="single" w:sz="18" w:space="0" w:color="auto"/>
            </w:tcBorders>
          </w:tcPr>
          <w:p w:rsidR="00F555D6" w:rsidRPr="005C3B55" w:rsidRDefault="00F555D6" w:rsidP="00F555D6">
            <w:pPr>
              <w:jc w:val="right"/>
              <w:rPr>
                <w:sz w:val="20"/>
              </w:rPr>
            </w:pPr>
            <w:r w:rsidRPr="005C3B55">
              <w:rPr>
                <w:sz w:val="20"/>
              </w:rPr>
              <w:t>76.40</w:t>
            </w:r>
          </w:p>
        </w:tc>
        <w:tc>
          <w:tcPr>
            <w:tcW w:w="1093" w:type="pct"/>
            <w:tcBorders>
              <w:top w:val="single" w:sz="18" w:space="0" w:color="auto"/>
              <w:left w:val="single" w:sz="18" w:space="0" w:color="auto"/>
              <w:bottom w:val="single" w:sz="18" w:space="0" w:color="auto"/>
              <w:right w:val="single" w:sz="18" w:space="0" w:color="auto"/>
            </w:tcBorders>
          </w:tcPr>
          <w:p w:rsidR="00F555D6" w:rsidRPr="005C3B55" w:rsidRDefault="00F555D6" w:rsidP="00F555D6">
            <w:pPr>
              <w:jc w:val="right"/>
              <w:rPr>
                <w:sz w:val="20"/>
              </w:rPr>
            </w:pPr>
            <w:r w:rsidRPr="005C3B55">
              <w:rPr>
                <w:sz w:val="20"/>
              </w:rPr>
              <w:t>450</w:t>
            </w:r>
          </w:p>
        </w:tc>
        <w:tc>
          <w:tcPr>
            <w:tcW w:w="907" w:type="pct"/>
            <w:tcBorders>
              <w:top w:val="single" w:sz="18" w:space="0" w:color="auto"/>
              <w:left w:val="single" w:sz="18" w:space="0" w:color="auto"/>
              <w:bottom w:val="single" w:sz="18" w:space="0" w:color="auto"/>
              <w:right w:val="single" w:sz="18" w:space="0" w:color="auto"/>
            </w:tcBorders>
          </w:tcPr>
          <w:p w:rsidR="00F555D6" w:rsidRPr="005C3B55" w:rsidRDefault="00F555D6" w:rsidP="00F555D6">
            <w:pPr>
              <w:jc w:val="right"/>
              <w:rPr>
                <w:sz w:val="20"/>
              </w:rPr>
            </w:pPr>
            <w:r w:rsidRPr="005C3B55">
              <w:rPr>
                <w:sz w:val="20"/>
              </w:rPr>
              <w:t>76.40</w:t>
            </w:r>
          </w:p>
        </w:tc>
        <w:tc>
          <w:tcPr>
            <w:tcW w:w="1000" w:type="pct"/>
            <w:tcBorders>
              <w:top w:val="single" w:sz="18" w:space="0" w:color="auto"/>
              <w:left w:val="single" w:sz="18" w:space="0" w:color="auto"/>
              <w:bottom w:val="single" w:sz="18" w:space="0" w:color="auto"/>
              <w:right w:val="single" w:sz="18" w:space="0" w:color="auto"/>
            </w:tcBorders>
          </w:tcPr>
          <w:p w:rsidR="00F555D6" w:rsidRPr="005C3B55" w:rsidRDefault="00F555D6" w:rsidP="00F555D6">
            <w:pPr>
              <w:jc w:val="right"/>
              <w:rPr>
                <w:sz w:val="20"/>
              </w:rPr>
            </w:pPr>
            <w:r w:rsidRPr="005C3B55">
              <w:rPr>
                <w:sz w:val="20"/>
              </w:rPr>
              <w:t>45.84</w:t>
            </w:r>
          </w:p>
        </w:tc>
      </w:tr>
      <w:tr w:rsidR="00F555D6" w:rsidRPr="005C3B55">
        <w:tc>
          <w:tcPr>
            <w:tcW w:w="5000" w:type="pct"/>
            <w:gridSpan w:val="5"/>
            <w:tcBorders>
              <w:top w:val="single" w:sz="18" w:space="0" w:color="auto"/>
              <w:left w:val="single" w:sz="18" w:space="0" w:color="auto"/>
              <w:bottom w:val="single" w:sz="18" w:space="0" w:color="auto"/>
              <w:right w:val="single" w:sz="18" w:space="0" w:color="auto"/>
            </w:tcBorders>
            <w:shd w:val="clear" w:color="auto" w:fill="E0E0E0"/>
          </w:tcPr>
          <w:p w:rsidR="00F555D6" w:rsidRPr="005C3B55" w:rsidRDefault="00F555D6" w:rsidP="00F555D6">
            <w:r w:rsidRPr="005C3B55">
              <w:rPr>
                <w:b/>
                <w:noProof/>
                <w:sz w:val="20"/>
              </w:rPr>
              <w:t>B.</w:t>
            </w:r>
            <w:r w:rsidRPr="005C3B55">
              <w:rPr>
                <w:b/>
                <w:sz w:val="20"/>
              </w:rPr>
              <w:t xml:space="preserve"> Optional requirements</w:t>
            </w:r>
          </w:p>
        </w:tc>
      </w:tr>
      <w:tr w:rsidR="00F555D6" w:rsidRPr="005C3B55">
        <w:tc>
          <w:tcPr>
            <w:tcW w:w="1000" w:type="pct"/>
            <w:tcBorders>
              <w:top w:val="single" w:sz="18" w:space="0" w:color="auto"/>
              <w:left w:val="single" w:sz="18" w:space="0" w:color="auto"/>
              <w:bottom w:val="single" w:sz="18" w:space="0" w:color="auto"/>
              <w:right w:val="single" w:sz="18" w:space="0" w:color="auto"/>
            </w:tcBorders>
          </w:tcPr>
          <w:p w:rsidR="00F555D6" w:rsidRPr="005C3B55" w:rsidRDefault="00F555D6" w:rsidP="00F555D6">
            <w:pPr>
              <w:rPr>
                <w:sz w:val="20"/>
              </w:rPr>
            </w:pPr>
            <w:r w:rsidRPr="005C3B55">
              <w:rPr>
                <w:noProof/>
                <w:sz w:val="20"/>
              </w:rPr>
              <w:t>TRZ_II_NIZI</w:t>
            </w:r>
          </w:p>
        </w:tc>
        <w:tc>
          <w:tcPr>
            <w:tcW w:w="1000" w:type="pct"/>
            <w:tcBorders>
              <w:top w:val="single" w:sz="18" w:space="0" w:color="auto"/>
              <w:left w:val="single" w:sz="18" w:space="0" w:color="auto"/>
              <w:bottom w:val="single" w:sz="18" w:space="0" w:color="auto"/>
              <w:right w:val="single" w:sz="18" w:space="0" w:color="auto"/>
            </w:tcBorders>
          </w:tcPr>
          <w:p w:rsidR="00F555D6" w:rsidRPr="005C3B55" w:rsidRDefault="00F555D6" w:rsidP="00F555D6">
            <w:pPr>
              <w:jc w:val="right"/>
              <w:rPr>
                <w:sz w:val="20"/>
              </w:rPr>
            </w:pPr>
            <w:r w:rsidRPr="005C3B55">
              <w:rPr>
                <w:sz w:val="20"/>
              </w:rPr>
              <w:t>69.40</w:t>
            </w:r>
          </w:p>
        </w:tc>
        <w:tc>
          <w:tcPr>
            <w:tcW w:w="1093" w:type="pct"/>
            <w:tcBorders>
              <w:top w:val="single" w:sz="18" w:space="0" w:color="auto"/>
              <w:left w:val="single" w:sz="18" w:space="0" w:color="auto"/>
              <w:bottom w:val="single" w:sz="18" w:space="0" w:color="auto"/>
              <w:right w:val="single" w:sz="18" w:space="0" w:color="auto"/>
            </w:tcBorders>
          </w:tcPr>
          <w:p w:rsidR="00F555D6" w:rsidRPr="005C3B55" w:rsidRDefault="00F555D6" w:rsidP="00F555D6">
            <w:pPr>
              <w:jc w:val="right"/>
              <w:rPr>
                <w:sz w:val="20"/>
              </w:rPr>
            </w:pPr>
            <w:r w:rsidRPr="005C3B55">
              <w:rPr>
                <w:sz w:val="20"/>
              </w:rPr>
              <w:t>450</w:t>
            </w:r>
          </w:p>
        </w:tc>
        <w:tc>
          <w:tcPr>
            <w:tcW w:w="907" w:type="pct"/>
            <w:tcBorders>
              <w:top w:val="single" w:sz="18" w:space="0" w:color="auto"/>
              <w:left w:val="single" w:sz="18" w:space="0" w:color="auto"/>
              <w:bottom w:val="single" w:sz="18" w:space="0" w:color="auto"/>
              <w:right w:val="single" w:sz="18" w:space="0" w:color="auto"/>
            </w:tcBorders>
          </w:tcPr>
          <w:p w:rsidR="00F555D6" w:rsidRPr="005C3B55" w:rsidRDefault="00F555D6" w:rsidP="00F555D6">
            <w:pPr>
              <w:jc w:val="right"/>
              <w:rPr>
                <w:sz w:val="20"/>
              </w:rPr>
            </w:pPr>
            <w:r w:rsidRPr="005C3B55">
              <w:rPr>
                <w:sz w:val="20"/>
              </w:rPr>
              <w:t>69.40</w:t>
            </w:r>
          </w:p>
        </w:tc>
        <w:tc>
          <w:tcPr>
            <w:tcW w:w="1000" w:type="pct"/>
            <w:tcBorders>
              <w:top w:val="single" w:sz="18" w:space="0" w:color="auto"/>
              <w:left w:val="single" w:sz="18" w:space="0" w:color="auto"/>
              <w:bottom w:val="single" w:sz="18" w:space="0" w:color="auto"/>
              <w:right w:val="single" w:sz="18" w:space="0" w:color="auto"/>
            </w:tcBorders>
          </w:tcPr>
          <w:p w:rsidR="00F555D6" w:rsidRPr="005C3B55" w:rsidRDefault="00F555D6" w:rsidP="00F555D6">
            <w:pPr>
              <w:jc w:val="right"/>
              <w:rPr>
                <w:sz w:val="20"/>
              </w:rPr>
            </w:pPr>
            <w:r w:rsidRPr="005C3B55">
              <w:rPr>
                <w:sz w:val="20"/>
              </w:rPr>
              <w:t>41.64</w:t>
            </w:r>
          </w:p>
        </w:tc>
      </w:tr>
      <w:tr w:rsidR="00F555D6" w:rsidRPr="005C3B55">
        <w:tc>
          <w:tcPr>
            <w:tcW w:w="1000" w:type="pct"/>
            <w:tcBorders>
              <w:top w:val="single" w:sz="18" w:space="0" w:color="auto"/>
              <w:left w:val="single" w:sz="18" w:space="0" w:color="auto"/>
              <w:bottom w:val="single" w:sz="18" w:space="0" w:color="auto"/>
              <w:right w:val="single" w:sz="18" w:space="0" w:color="auto"/>
            </w:tcBorders>
          </w:tcPr>
          <w:p w:rsidR="00F555D6" w:rsidRPr="005C3B55" w:rsidRDefault="00F555D6" w:rsidP="00F555D6">
            <w:pPr>
              <w:rPr>
                <w:sz w:val="20"/>
              </w:rPr>
            </w:pPr>
            <w:r w:rsidRPr="005C3B55">
              <w:rPr>
                <w:noProof/>
                <w:sz w:val="20"/>
              </w:rPr>
              <w:t>TRZ_II_NPAS</w:t>
            </w:r>
          </w:p>
        </w:tc>
        <w:tc>
          <w:tcPr>
            <w:tcW w:w="1000" w:type="pct"/>
            <w:tcBorders>
              <w:top w:val="single" w:sz="18" w:space="0" w:color="auto"/>
              <w:left w:val="single" w:sz="18" w:space="0" w:color="auto"/>
              <w:bottom w:val="single" w:sz="18" w:space="0" w:color="auto"/>
              <w:right w:val="single" w:sz="18" w:space="0" w:color="auto"/>
            </w:tcBorders>
          </w:tcPr>
          <w:p w:rsidR="00F555D6" w:rsidRPr="005C3B55" w:rsidRDefault="00F555D6" w:rsidP="00F555D6">
            <w:pPr>
              <w:jc w:val="right"/>
              <w:rPr>
                <w:sz w:val="20"/>
              </w:rPr>
            </w:pPr>
            <w:r w:rsidRPr="005C3B55">
              <w:rPr>
                <w:sz w:val="20"/>
              </w:rPr>
              <w:t>83.40</w:t>
            </w:r>
          </w:p>
        </w:tc>
        <w:tc>
          <w:tcPr>
            <w:tcW w:w="1093" w:type="pct"/>
            <w:tcBorders>
              <w:top w:val="single" w:sz="18" w:space="0" w:color="auto"/>
              <w:left w:val="single" w:sz="18" w:space="0" w:color="auto"/>
              <w:bottom w:val="single" w:sz="18" w:space="0" w:color="auto"/>
              <w:right w:val="single" w:sz="18" w:space="0" w:color="auto"/>
            </w:tcBorders>
          </w:tcPr>
          <w:p w:rsidR="00F555D6" w:rsidRPr="005C3B55" w:rsidRDefault="00F555D6" w:rsidP="00F555D6">
            <w:pPr>
              <w:jc w:val="right"/>
              <w:rPr>
                <w:sz w:val="20"/>
              </w:rPr>
            </w:pPr>
            <w:r w:rsidRPr="005C3B55">
              <w:rPr>
                <w:sz w:val="20"/>
              </w:rPr>
              <w:t>450</w:t>
            </w:r>
          </w:p>
        </w:tc>
        <w:tc>
          <w:tcPr>
            <w:tcW w:w="907" w:type="pct"/>
            <w:tcBorders>
              <w:top w:val="single" w:sz="18" w:space="0" w:color="auto"/>
              <w:left w:val="single" w:sz="18" w:space="0" w:color="auto"/>
              <w:bottom w:val="single" w:sz="18" w:space="0" w:color="auto"/>
              <w:right w:val="single" w:sz="18" w:space="0" w:color="auto"/>
            </w:tcBorders>
          </w:tcPr>
          <w:p w:rsidR="00F555D6" w:rsidRPr="005C3B55" w:rsidRDefault="00F555D6" w:rsidP="00F555D6">
            <w:pPr>
              <w:jc w:val="right"/>
              <w:rPr>
                <w:sz w:val="20"/>
              </w:rPr>
            </w:pPr>
            <w:r w:rsidRPr="005C3B55">
              <w:rPr>
                <w:sz w:val="20"/>
              </w:rPr>
              <w:t>83.40</w:t>
            </w:r>
          </w:p>
        </w:tc>
        <w:tc>
          <w:tcPr>
            <w:tcW w:w="1000" w:type="pct"/>
            <w:tcBorders>
              <w:top w:val="single" w:sz="18" w:space="0" w:color="auto"/>
              <w:left w:val="single" w:sz="18" w:space="0" w:color="auto"/>
              <w:bottom w:val="single" w:sz="18" w:space="0" w:color="auto"/>
              <w:right w:val="single" w:sz="18" w:space="0" w:color="auto"/>
            </w:tcBorders>
          </w:tcPr>
          <w:p w:rsidR="00F555D6" w:rsidRPr="005C3B55" w:rsidRDefault="00F555D6" w:rsidP="00F555D6">
            <w:pPr>
              <w:jc w:val="right"/>
              <w:rPr>
                <w:sz w:val="20"/>
              </w:rPr>
            </w:pPr>
            <w:r w:rsidRPr="005C3B55">
              <w:rPr>
                <w:sz w:val="20"/>
              </w:rPr>
              <w:t>50.04</w:t>
            </w:r>
          </w:p>
        </w:tc>
      </w:tr>
    </w:tbl>
    <w:p w:rsidR="00F555D6" w:rsidRPr="005C3B55" w:rsidRDefault="00F555D6" w:rsidP="00F555D6"/>
    <w:p w:rsidR="00F555D6" w:rsidRPr="005C3B55" w:rsidRDefault="00F555D6" w:rsidP="00F555D6">
      <w:pPr>
        <w:pStyle w:val="Naslov6"/>
        <w:tabs>
          <w:tab w:val="clear" w:pos="765"/>
        </w:tabs>
        <w:ind w:left="0" w:firstLine="0"/>
        <w:rPr>
          <w:szCs w:val="24"/>
          <w:lang w:val="en-GB"/>
        </w:rPr>
      </w:pPr>
      <w:r w:rsidRPr="005C3B55">
        <w:rPr>
          <w:noProof w:val="0"/>
          <w:szCs w:val="24"/>
          <w:lang w:val="en-GB"/>
        </w:rPr>
        <w:t>Verifiability and possibility of control of measures and/or type of operations</w:t>
      </w:r>
    </w:p>
    <w:p w:rsidR="00F555D6" w:rsidRPr="005C3B55" w:rsidRDefault="00F555D6" w:rsidP="00F555D6">
      <w:pPr>
        <w:pStyle w:val="Naslov7"/>
        <w:tabs>
          <w:tab w:val="clear" w:pos="765"/>
        </w:tabs>
        <w:ind w:left="0" w:firstLine="0"/>
        <w:rPr>
          <w:szCs w:val="24"/>
          <w:lang w:val="en-GB"/>
        </w:rPr>
      </w:pPr>
      <w:r w:rsidRPr="005C3B55">
        <w:rPr>
          <w:noProof w:val="0"/>
          <w:szCs w:val="24"/>
          <w:lang w:val="en-GB"/>
        </w:rPr>
        <w:t>Risks in the implementation of the measure</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b/>
                <w:szCs w:val="24"/>
              </w:rPr>
              <w:t>R5: Requirements which are difficult to verify and/or control</w:t>
            </w:r>
          </w:p>
          <w:p w:rsidR="00F555D6" w:rsidRPr="005C3B55" w:rsidRDefault="00F555D6" w:rsidP="00F555D6">
            <w:pPr>
              <w:spacing w:before="240" w:after="240" w:line="280" w:lineRule="auto"/>
              <w:rPr>
                <w:szCs w:val="24"/>
              </w:rPr>
            </w:pPr>
            <w:r w:rsidRPr="005C3B55">
              <w:rPr>
                <w:szCs w:val="24"/>
              </w:rPr>
              <w:t>Certain requirements cannot be verified administratively, while the implementation of certain requirements is difficult to verify also with on-the-spot controls. Fertilisation with organic fertilisers with low emissions into air (incorporation into soil) is such a requirement.</w:t>
            </w:r>
          </w:p>
          <w:p w:rsidR="00F555D6" w:rsidRPr="005C3B55" w:rsidRDefault="00F555D6" w:rsidP="00F555D6">
            <w:pPr>
              <w:spacing w:before="240" w:after="240" w:line="280" w:lineRule="auto"/>
              <w:rPr>
                <w:szCs w:val="24"/>
              </w:rPr>
            </w:pPr>
            <w:r w:rsidRPr="005C3B55">
              <w:rPr>
                <w:b/>
                <w:szCs w:val="24"/>
              </w:rPr>
              <w:t>R6: General conditions for implementation</w:t>
            </w:r>
          </w:p>
          <w:p w:rsidR="00F555D6" w:rsidRPr="005C3B55" w:rsidRDefault="00F555D6" w:rsidP="00F555D6">
            <w:pPr>
              <w:spacing w:before="240" w:after="240" w:line="280" w:lineRule="auto"/>
              <w:rPr>
                <w:szCs w:val="24"/>
              </w:rPr>
            </w:pPr>
            <w:r w:rsidRPr="005C3B55">
              <w:rPr>
                <w:szCs w:val="24"/>
              </w:rPr>
              <w:t>Ill-timed adoption of regulations which regulate payments for the M10 measure and which enable beneficiaries to be informed about the eligibility conditions for implementing this operation, and insufficient knowledge of the conditions of the operation Permanent grassland II present a risk for the implementation of the M10 measure.</w:t>
            </w:r>
          </w:p>
          <w:p w:rsidR="00F555D6" w:rsidRPr="005C3B55" w:rsidRDefault="00F555D6" w:rsidP="00F555D6">
            <w:pPr>
              <w:spacing w:before="240" w:after="240" w:line="280" w:lineRule="auto"/>
              <w:rPr>
                <w:szCs w:val="24"/>
              </w:rPr>
            </w:pPr>
            <w:r w:rsidRPr="005C3B55">
              <w:rPr>
                <w:b/>
                <w:szCs w:val="24"/>
              </w:rPr>
              <w:t>R8: IT systems</w:t>
            </w:r>
          </w:p>
          <w:p w:rsidR="00F555D6" w:rsidRPr="005C3B55" w:rsidRDefault="00F555D6" w:rsidP="00F555D6">
            <w:pPr>
              <w:spacing w:before="240" w:after="240" w:line="280" w:lineRule="auto"/>
              <w:rPr>
                <w:szCs w:val="24"/>
              </w:rPr>
            </w:pPr>
            <w:r w:rsidRPr="005C3B55">
              <w:rPr>
                <w:szCs w:val="24"/>
              </w:rPr>
              <w:t>Unsuitable arrangement of certain databases when entering the verification system and consequently insufficient administrative controls when entering the operation Permanent grassland II.</w:t>
            </w:r>
          </w:p>
          <w:p w:rsidR="00F555D6" w:rsidRPr="005C3B55" w:rsidRDefault="00F555D6" w:rsidP="00F555D6">
            <w:pPr>
              <w:spacing w:before="240" w:after="240" w:line="280" w:lineRule="auto"/>
              <w:rPr>
                <w:szCs w:val="24"/>
              </w:rPr>
            </w:pPr>
            <w:r w:rsidRPr="005C3B55">
              <w:rPr>
                <w:b/>
                <w:szCs w:val="24"/>
              </w:rPr>
              <w:t>R9: Requests for payment</w:t>
            </w:r>
          </w:p>
          <w:p w:rsidR="00F555D6" w:rsidRPr="005C3B55" w:rsidRDefault="00F555D6" w:rsidP="00F555D6">
            <w:pPr>
              <w:spacing w:before="240" w:after="240" w:line="280" w:lineRule="auto"/>
              <w:rPr>
                <w:szCs w:val="24"/>
              </w:rPr>
            </w:pPr>
            <w:r w:rsidRPr="005C3B55">
              <w:rPr>
                <w:szCs w:val="24"/>
              </w:rPr>
              <w:t>Lack of, and delayed, information and insufficient knowledge of the requirements of the operation Permanent grassland II, poor familiarisation with the procedure for submitting the application and the beneficiary’s incorrect reporting about the size of surfaces.</w:t>
            </w:r>
          </w:p>
          <w:p w:rsidR="00F555D6" w:rsidRPr="005C3B55" w:rsidRDefault="00F555D6" w:rsidP="00F555D6">
            <w:pPr>
              <w:pStyle w:val="Telobesedila"/>
              <w:rPr>
                <w:szCs w:val="24"/>
              </w:rPr>
            </w:pPr>
          </w:p>
        </w:tc>
      </w:tr>
    </w:tbl>
    <w:p w:rsidR="00F555D6" w:rsidRPr="005C3B55" w:rsidRDefault="00F555D6" w:rsidP="00F555D6">
      <w:pPr>
        <w:pStyle w:val="Naslov7"/>
        <w:tabs>
          <w:tab w:val="clear" w:pos="765"/>
        </w:tabs>
        <w:ind w:left="0" w:firstLine="0"/>
        <w:rPr>
          <w:szCs w:val="24"/>
          <w:lang w:val="en-GB"/>
        </w:rPr>
      </w:pPr>
      <w:r w:rsidRPr="005C3B55">
        <w:rPr>
          <w:noProof w:val="0"/>
          <w:szCs w:val="24"/>
          <w:lang w:val="en-GB"/>
        </w:rPr>
        <w:t>Mitigation measures</w:t>
      </w:r>
    </w:p>
    <w:p w:rsidR="00F555D6" w:rsidRPr="005C3B55" w:rsidRDefault="00F555D6" w:rsidP="00F555D6">
      <w:pPr>
        <w:pStyle w:val="Naslov7"/>
        <w:tabs>
          <w:tab w:val="clear" w:pos="765"/>
        </w:tabs>
        <w:spacing w:before="0" w:after="0"/>
        <w:ind w:left="0" w:firstLine="0"/>
        <w:rPr>
          <w:szCs w:val="24"/>
          <w:lang w:val="en-GB"/>
        </w:rPr>
      </w:pP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b/>
                <w:szCs w:val="24"/>
              </w:rPr>
              <w:t>R5: Requirements which are difficult to verify and/or control</w:t>
            </w:r>
          </w:p>
          <w:p w:rsidR="00F555D6" w:rsidRPr="005C3B55" w:rsidRDefault="00F555D6" w:rsidP="00F555D6">
            <w:pPr>
              <w:spacing w:before="240" w:after="240" w:line="280" w:lineRule="auto"/>
              <w:rPr>
                <w:szCs w:val="24"/>
              </w:rPr>
            </w:pPr>
            <w:r w:rsidRPr="005C3B55">
              <w:rPr>
                <w:szCs w:val="24"/>
              </w:rPr>
              <w:t>Administrative control will be upgraded accordingly for all requirements (to control the number of animals and to integrate in other operations in ecologically important areas).</w:t>
            </w:r>
          </w:p>
          <w:p w:rsidR="00F555D6" w:rsidRPr="005C3B55" w:rsidRDefault="00F555D6" w:rsidP="00F555D6">
            <w:pPr>
              <w:spacing w:before="240" w:after="240" w:line="280" w:lineRule="auto"/>
              <w:rPr>
                <w:szCs w:val="24"/>
              </w:rPr>
            </w:pPr>
            <w:r w:rsidRPr="005C3B55">
              <w:rPr>
                <w:szCs w:val="24"/>
              </w:rPr>
              <w:t>Requirements for implementing the M10 measure which cannot be fully verified administratively will be verified or controlled on the spot, which will observe the temporal component when implementing verification, the suitability of evidence, the situation on the agricultural holding reviewed and non-presence of completely prohibited products.</w:t>
            </w:r>
          </w:p>
          <w:p w:rsidR="00F555D6" w:rsidRPr="005C3B55" w:rsidRDefault="00F555D6" w:rsidP="00F555D6">
            <w:pPr>
              <w:spacing w:before="240" w:after="240" w:line="280" w:lineRule="auto"/>
              <w:rPr>
                <w:szCs w:val="24"/>
              </w:rPr>
            </w:pPr>
            <w:r w:rsidRPr="005C3B55">
              <w:rPr>
                <w:b/>
                <w:szCs w:val="24"/>
              </w:rPr>
              <w:t>R6: General conditions for implementation</w:t>
            </w:r>
          </w:p>
          <w:p w:rsidR="00F555D6" w:rsidRPr="005C3B55" w:rsidRDefault="00F555D6" w:rsidP="00F555D6">
            <w:pPr>
              <w:spacing w:before="240" w:after="240" w:line="280" w:lineRule="auto"/>
              <w:rPr>
                <w:szCs w:val="24"/>
              </w:rPr>
            </w:pPr>
            <w:r w:rsidRPr="005C3B55">
              <w:rPr>
                <w:szCs w:val="24"/>
              </w:rPr>
              <w:t>Prior to entering in the operation Permanent grassland II, a beneficiary will have to undergo a mandatory six-hour training which is one of the eligibility conditions. At the training, the beneficiary will become acquainted with the eligibility conditions for entering in the operation Permanent grassland II and requirements for implementing the operation, including the Rural Development Programme 2014–2020 and the national regulation regulating payments for the M10 measure.</w:t>
            </w:r>
          </w:p>
          <w:p w:rsidR="00F555D6" w:rsidRPr="005C3B55" w:rsidRDefault="00F555D6" w:rsidP="00F555D6">
            <w:pPr>
              <w:spacing w:before="240" w:after="240" w:line="280" w:lineRule="auto"/>
              <w:rPr>
                <w:szCs w:val="24"/>
              </w:rPr>
            </w:pPr>
            <w:r w:rsidRPr="005C3B55">
              <w:rPr>
                <w:szCs w:val="24"/>
              </w:rPr>
              <w:t>After training, the beneficiary will be able to prepare a programme of activities of the agricultural holding, which is one of the eligibility conditions, and in which it will determine which operation and requirements to implement within the M10 measure.</w:t>
            </w:r>
          </w:p>
          <w:p w:rsidR="00F555D6" w:rsidRPr="005C3B55" w:rsidRDefault="00F555D6" w:rsidP="00F555D6">
            <w:pPr>
              <w:spacing w:before="240" w:after="240" w:line="280" w:lineRule="auto"/>
              <w:rPr>
                <w:szCs w:val="24"/>
              </w:rPr>
            </w:pPr>
            <w:r w:rsidRPr="005C3B55">
              <w:rPr>
                <w:b/>
                <w:szCs w:val="24"/>
              </w:rPr>
              <w:t>R8: IT systems</w:t>
            </w:r>
          </w:p>
          <w:p w:rsidR="00F555D6" w:rsidRPr="005C3B55" w:rsidRDefault="00F555D6" w:rsidP="00F555D6">
            <w:pPr>
              <w:spacing w:before="240" w:after="240" w:line="280" w:lineRule="auto"/>
              <w:rPr>
                <w:szCs w:val="24"/>
              </w:rPr>
            </w:pPr>
            <w:r w:rsidRPr="005C3B55">
              <w:rPr>
                <w:szCs w:val="24"/>
              </w:rPr>
              <w:t>Suitable connections will be established and databases arranged (registers, records, codes and suitability of combinations of requirements within or between operations).</w:t>
            </w:r>
          </w:p>
          <w:p w:rsidR="00F555D6" w:rsidRPr="005C3B55" w:rsidRDefault="00F555D6" w:rsidP="00F555D6">
            <w:pPr>
              <w:spacing w:before="240" w:after="240" w:line="280" w:lineRule="auto"/>
              <w:rPr>
                <w:szCs w:val="24"/>
              </w:rPr>
            </w:pPr>
            <w:r w:rsidRPr="005C3B55">
              <w:rPr>
                <w:szCs w:val="24"/>
              </w:rPr>
              <w:t>An application enabling cross-checking of data from different databases will also be established.</w:t>
            </w:r>
          </w:p>
          <w:p w:rsidR="00F555D6" w:rsidRPr="005C3B55" w:rsidRDefault="00F555D6" w:rsidP="00F555D6">
            <w:pPr>
              <w:spacing w:before="240" w:after="240" w:line="280" w:lineRule="auto"/>
              <w:rPr>
                <w:szCs w:val="24"/>
              </w:rPr>
            </w:pPr>
            <w:r w:rsidRPr="005C3B55">
              <w:rPr>
                <w:b/>
                <w:szCs w:val="24"/>
              </w:rPr>
              <w:t>R9: Requests for payment</w:t>
            </w:r>
          </w:p>
          <w:p w:rsidR="00F555D6" w:rsidRPr="005C3B55" w:rsidRDefault="00F555D6" w:rsidP="00F555D6">
            <w:pPr>
              <w:spacing w:before="240" w:after="240" w:line="280" w:lineRule="auto"/>
              <w:rPr>
                <w:szCs w:val="24"/>
              </w:rPr>
            </w:pPr>
            <w:r w:rsidRPr="005C3B55">
              <w:rPr>
                <w:szCs w:val="24"/>
              </w:rPr>
              <w:t>Mandatory annual four-hour training and mandatory use of advisory services at least once in the first three years of the commitment are introduced in order for beneficiaries to be suitably informed about all conditions and requirements for the implementation of the M10 measure. Regular annual informing of beneficiaries about their commitments related to the implementation of the M10 measure as part of the annual campaign for implementing requests for agricultural policy measures during the year and also within the scope of specific and purpose-oriented informing of beneficiaries is envisaged</w:t>
            </w:r>
            <w:r w:rsidRPr="005C3B55">
              <w:rPr>
                <w:rFonts w:ascii="TimesNewRoman" w:hAnsi="TimesNewRoman"/>
                <w:szCs w:val="24"/>
              </w:rPr>
              <w:t>.</w:t>
            </w:r>
          </w:p>
          <w:p w:rsidR="00F555D6" w:rsidRPr="005C3B55" w:rsidRDefault="00F555D6" w:rsidP="00F555D6">
            <w:pPr>
              <w:spacing w:before="240" w:after="240" w:line="280" w:lineRule="auto"/>
              <w:rPr>
                <w:szCs w:val="24"/>
              </w:rPr>
            </w:pPr>
            <w:r w:rsidRPr="005C3B55">
              <w:rPr>
                <w:szCs w:val="24"/>
              </w:rPr>
              <w:t>On the basis of the programme of activities, the request for payment will be submitted electronically on prescribed forms, by means of which a beneficiary will define for which requirements within individual operations of the M10 measure it will request payment.</w:t>
            </w:r>
          </w:p>
          <w:p w:rsidR="00F555D6" w:rsidRPr="005C3B55" w:rsidRDefault="00F555D6" w:rsidP="00F555D6">
            <w:pPr>
              <w:spacing w:before="240" w:after="240" w:line="280" w:lineRule="auto"/>
              <w:rPr>
                <w:szCs w:val="24"/>
              </w:rPr>
            </w:pPr>
            <w:r w:rsidRPr="005C3B55">
              <w:rPr>
                <w:szCs w:val="24"/>
              </w:rPr>
              <w:t>The upgrading of the IT system for administrative control will be implemented, which will allow certain verifications and controls already upon the submission of the request for payment (suitability of use and size of surface, suitability of areas, and suitability of combinations of requests and operations).</w:t>
            </w:r>
          </w:p>
          <w:p w:rsidR="00F555D6" w:rsidRPr="005C3B55" w:rsidRDefault="00F555D6" w:rsidP="00F555D6">
            <w:pPr>
              <w:spacing w:before="240" w:after="240" w:line="280" w:lineRule="auto"/>
              <w:rPr>
                <w:szCs w:val="24"/>
              </w:rPr>
            </w:pPr>
            <w:r w:rsidRPr="005C3B55">
              <w:rPr>
                <w:szCs w:val="24"/>
              </w:rPr>
              <w:t>If a beneficiary fails to meet the eligibility conditions for entering the M10 measure, they will be alerted to the shortcomings which they will be able to eliminate by the prescribed deadline; otherwise, it will not be possible to submit a request for payment.</w:t>
            </w:r>
          </w:p>
          <w:p w:rsidR="00F555D6" w:rsidRPr="005C3B55" w:rsidRDefault="00F555D6" w:rsidP="00F555D6">
            <w:pPr>
              <w:spacing w:before="240" w:after="240" w:line="280" w:lineRule="auto"/>
              <w:rPr>
                <w:szCs w:val="24"/>
              </w:rPr>
            </w:pPr>
            <w:r w:rsidRPr="005C3B55">
              <w:rPr>
                <w:szCs w:val="24"/>
              </w:rPr>
              <w:t>Unpermitted combinations of individual requirements within the operation Permanent grassland II and required combinations of requirements of this operation with requirements within other operations of the M10 measure will be disabled.</w:t>
            </w:r>
          </w:p>
          <w:p w:rsidR="00F555D6" w:rsidRPr="005C3B55" w:rsidRDefault="00F555D6" w:rsidP="00F555D6">
            <w:pPr>
              <w:spacing w:before="240" w:after="240" w:line="280" w:lineRule="auto"/>
              <w:rPr>
                <w:szCs w:val="24"/>
              </w:rPr>
            </w:pPr>
            <w:r w:rsidRPr="005C3B55">
              <w:rPr>
                <w:szCs w:val="24"/>
              </w:rPr>
              <w:t>A beneficiary who will also be included in the implementation of the M11 measure will not have the opportunity to submit the request for unauthorised combinations of this measure with the M10 measure.</w:t>
            </w:r>
          </w:p>
          <w:p w:rsidR="00F555D6" w:rsidRPr="005C3B55" w:rsidRDefault="00F555D6" w:rsidP="00F555D6">
            <w:pPr>
              <w:pStyle w:val="Telobesedila"/>
              <w:rPr>
                <w:szCs w:val="24"/>
              </w:rPr>
            </w:pPr>
          </w:p>
        </w:tc>
      </w:tr>
    </w:tbl>
    <w:p w:rsidR="00F555D6" w:rsidRPr="005C3B55" w:rsidRDefault="00F555D6" w:rsidP="00F555D6">
      <w:pPr>
        <w:pStyle w:val="Naslov7"/>
        <w:tabs>
          <w:tab w:val="clear" w:pos="765"/>
        </w:tabs>
        <w:ind w:left="0" w:firstLine="0"/>
        <w:rPr>
          <w:szCs w:val="24"/>
          <w:lang w:val="en-GB"/>
        </w:rPr>
      </w:pPr>
      <w:r w:rsidRPr="005C3B55">
        <w:rPr>
          <w:noProof w:val="0"/>
          <w:szCs w:val="24"/>
          <w:lang w:val="en-GB"/>
        </w:rPr>
        <w:t>General assessment of the measure</w:t>
      </w:r>
    </w:p>
    <w:p w:rsidR="00F555D6" w:rsidRPr="005C3B55" w:rsidRDefault="00F555D6" w:rsidP="00F555D6">
      <w:pPr>
        <w:pStyle w:val="Naslov7"/>
        <w:tabs>
          <w:tab w:val="clear" w:pos="765"/>
        </w:tabs>
        <w:spacing w:before="0" w:after="0"/>
        <w:ind w:left="0" w:firstLine="0"/>
        <w:rPr>
          <w:szCs w:val="24"/>
          <w:lang w:val="en-GB"/>
        </w:rPr>
      </w:pP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 xml:space="preserve">Described in Chapter </w:t>
            </w:r>
            <w:r w:rsidRPr="005C3B55">
              <w:rPr>
                <w:i/>
                <w:szCs w:val="24"/>
              </w:rPr>
              <w:t>8.2.9.4.3 General assessment of the measure</w:t>
            </w:r>
            <w:r w:rsidRPr="005C3B55">
              <w:rPr>
                <w:szCs w:val="24"/>
              </w:rPr>
              <w:t>.</w:t>
            </w:r>
          </w:p>
          <w:p w:rsidR="00F555D6" w:rsidRPr="005C3B55" w:rsidRDefault="00F555D6" w:rsidP="00F555D6">
            <w:pPr>
              <w:pStyle w:val="Telobesedila"/>
              <w:rPr>
                <w:szCs w:val="24"/>
              </w:rPr>
            </w:pPr>
          </w:p>
        </w:tc>
      </w:tr>
    </w:tbl>
    <w:p w:rsidR="00F555D6" w:rsidRPr="005C3B55" w:rsidRDefault="00F555D6" w:rsidP="00F555D6">
      <w:pPr>
        <w:pStyle w:val="Naslov7"/>
        <w:tabs>
          <w:tab w:val="clear" w:pos="765"/>
        </w:tabs>
        <w:ind w:left="0" w:firstLine="0"/>
        <w:rPr>
          <w:szCs w:val="24"/>
          <w:lang w:val="en-GB"/>
        </w:rPr>
      </w:pPr>
      <w:r w:rsidRPr="005C3B55">
        <w:rPr>
          <w:noProof w:val="0"/>
          <w:szCs w:val="24"/>
          <w:lang w:val="en-GB"/>
        </w:rPr>
        <w:t>Agri-environment-climate commitments</w:t>
      </w:r>
    </w:p>
    <w:p w:rsidR="00F555D6" w:rsidRPr="005C3B55" w:rsidRDefault="00F555D6" w:rsidP="00F555D6">
      <w:pPr>
        <w:pStyle w:val="Naslov8"/>
        <w:tabs>
          <w:tab w:val="clear" w:pos="765"/>
        </w:tabs>
        <w:ind w:left="0" w:firstLine="0"/>
        <w:rPr>
          <w:b w:val="0"/>
          <w:szCs w:val="24"/>
          <w:lang w:val="en-GB"/>
        </w:rPr>
      </w:pPr>
      <w:r w:rsidRPr="005C3B55">
        <w:rPr>
          <w:b w:val="0"/>
          <w:noProof w:val="0"/>
          <w:szCs w:val="24"/>
          <w:lang w:val="en-GB"/>
        </w:rPr>
        <w:t>TRZ_II_NIZI:</w:t>
      </w:r>
      <w:r w:rsidRPr="005C3B55">
        <w:rPr>
          <w:b w:val="0"/>
          <w:szCs w:val="24"/>
          <w:lang w:val="en-GB"/>
        </w:rPr>
        <w:t xml:space="preserve"> </w:t>
      </w:r>
      <w:r w:rsidRPr="005C3B55">
        <w:rPr>
          <w:b w:val="0"/>
          <w:noProof w:val="0"/>
          <w:szCs w:val="24"/>
          <w:lang w:val="en-GB"/>
        </w:rPr>
        <w:t>Fertilisation with organic fertilisers with low emissions into air</w:t>
      </w:r>
    </w:p>
    <w:p w:rsidR="00F555D6" w:rsidRPr="005C3B55" w:rsidRDefault="00F555D6" w:rsidP="00F555D6">
      <w:pPr>
        <w:pStyle w:val="Naslov9"/>
        <w:tabs>
          <w:tab w:val="clear" w:pos="765"/>
        </w:tabs>
        <w:ind w:left="0" w:firstLine="0"/>
        <w:rPr>
          <w:szCs w:val="24"/>
          <w:lang w:val="en-GB"/>
        </w:rPr>
      </w:pPr>
      <w:r w:rsidRPr="005C3B55">
        <w:rPr>
          <w:noProof w:val="0"/>
          <w:szCs w:val="24"/>
          <w:lang w:val="en-GB"/>
        </w:rPr>
        <w:t>Methods of commitment verification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Administrative control:</w:t>
            </w:r>
          </w:p>
          <w:p w:rsidR="00F555D6" w:rsidRPr="005C3B55" w:rsidRDefault="00F555D6" w:rsidP="00F555D6">
            <w:pPr>
              <w:numPr>
                <w:ilvl w:val="0"/>
                <w:numId w:val="561"/>
              </w:numPr>
              <w:spacing w:before="240" w:after="0"/>
              <w:ind w:hanging="290"/>
              <w:jc w:val="left"/>
              <w:rPr>
                <w:szCs w:val="24"/>
              </w:rPr>
            </w:pPr>
            <w:r w:rsidRPr="005C3B55">
              <w:rPr>
                <w:szCs w:val="24"/>
              </w:rPr>
              <w:t>suitability of the agricultural plant through collective application;</w:t>
            </w:r>
          </w:p>
          <w:p w:rsidR="00F555D6" w:rsidRPr="005C3B55" w:rsidRDefault="00F555D6" w:rsidP="00F555D6">
            <w:pPr>
              <w:numPr>
                <w:ilvl w:val="0"/>
                <w:numId w:val="561"/>
              </w:numPr>
              <w:spacing w:before="0" w:after="240"/>
              <w:ind w:hanging="290"/>
              <w:jc w:val="left"/>
              <w:rPr>
                <w:szCs w:val="24"/>
              </w:rPr>
            </w:pPr>
            <w:r w:rsidRPr="005C3B55">
              <w:rPr>
                <w:szCs w:val="24"/>
              </w:rPr>
              <w:t>control of livestock density through collective applications, registers, registers of farm animals.</w:t>
            </w:r>
          </w:p>
          <w:p w:rsidR="00F555D6" w:rsidRPr="005C3B55" w:rsidRDefault="00F555D6" w:rsidP="00F555D6">
            <w:pPr>
              <w:spacing w:before="240" w:after="240" w:line="280" w:lineRule="auto"/>
              <w:rPr>
                <w:szCs w:val="24"/>
              </w:rPr>
            </w:pPr>
            <w:r w:rsidRPr="005C3B55">
              <w:rPr>
                <w:szCs w:val="24"/>
              </w:rPr>
              <w:t>Registers/records:</w:t>
            </w:r>
          </w:p>
          <w:p w:rsidR="00F555D6" w:rsidRPr="005C3B55" w:rsidRDefault="00F555D6" w:rsidP="00F555D6">
            <w:pPr>
              <w:numPr>
                <w:ilvl w:val="0"/>
                <w:numId w:val="562"/>
              </w:numPr>
              <w:spacing w:before="240" w:after="0"/>
              <w:ind w:hanging="290"/>
              <w:jc w:val="left"/>
              <w:rPr>
                <w:szCs w:val="24"/>
              </w:rPr>
            </w:pPr>
            <w:r w:rsidRPr="005C3B55">
              <w:rPr>
                <w:szCs w:val="24"/>
              </w:rPr>
              <w:t>register of agricultural holdings;</w:t>
            </w:r>
          </w:p>
          <w:p w:rsidR="00F555D6" w:rsidRPr="005C3B55" w:rsidRDefault="00F555D6" w:rsidP="00F555D6">
            <w:pPr>
              <w:numPr>
                <w:ilvl w:val="0"/>
                <w:numId w:val="562"/>
              </w:numPr>
              <w:spacing w:before="0" w:after="0"/>
              <w:ind w:hanging="290"/>
              <w:jc w:val="left"/>
              <w:rPr>
                <w:szCs w:val="24"/>
              </w:rPr>
            </w:pPr>
            <w:r w:rsidRPr="005C3B55">
              <w:rPr>
                <w:szCs w:val="24"/>
              </w:rPr>
              <w:t>graphical agricultural unit of agricultural holding (GERK);</w:t>
            </w:r>
          </w:p>
          <w:p w:rsidR="00F555D6" w:rsidRPr="005C3B55" w:rsidRDefault="00F555D6" w:rsidP="00F555D6">
            <w:pPr>
              <w:numPr>
                <w:ilvl w:val="0"/>
                <w:numId w:val="562"/>
              </w:numPr>
              <w:spacing w:before="0" w:after="240"/>
              <w:ind w:hanging="290"/>
              <w:jc w:val="left"/>
              <w:rPr>
                <w:szCs w:val="24"/>
              </w:rPr>
            </w:pPr>
            <w:r w:rsidRPr="005C3B55">
              <w:rPr>
                <w:szCs w:val="24"/>
              </w:rPr>
              <w:t>registers, registers of farm animals.</w:t>
            </w:r>
          </w:p>
          <w:p w:rsidR="00F555D6" w:rsidRPr="005C3B55" w:rsidRDefault="00F555D6" w:rsidP="00F555D6">
            <w:pPr>
              <w:spacing w:before="240" w:after="240" w:line="280" w:lineRule="auto"/>
              <w:rPr>
                <w:szCs w:val="24"/>
              </w:rPr>
            </w:pPr>
            <w:r w:rsidRPr="005C3B55">
              <w:rPr>
                <w:szCs w:val="24"/>
              </w:rPr>
              <w:t>On-site control:</w:t>
            </w:r>
          </w:p>
          <w:p w:rsidR="00F555D6" w:rsidRPr="005C3B55" w:rsidRDefault="00F555D6" w:rsidP="00F555D6">
            <w:pPr>
              <w:numPr>
                <w:ilvl w:val="0"/>
                <w:numId w:val="563"/>
              </w:numPr>
              <w:spacing w:before="240" w:after="0"/>
              <w:ind w:hanging="290"/>
              <w:jc w:val="left"/>
              <w:rPr>
                <w:szCs w:val="24"/>
              </w:rPr>
            </w:pPr>
            <w:r w:rsidRPr="005C3B55">
              <w:rPr>
                <w:szCs w:val="24"/>
              </w:rPr>
              <w:t>records on works;</w:t>
            </w:r>
          </w:p>
          <w:p w:rsidR="00F555D6" w:rsidRPr="005C3B55" w:rsidRDefault="00F555D6" w:rsidP="00F555D6">
            <w:pPr>
              <w:numPr>
                <w:ilvl w:val="0"/>
                <w:numId w:val="563"/>
              </w:numPr>
              <w:spacing w:before="0" w:after="0"/>
              <w:ind w:hanging="290"/>
              <w:jc w:val="left"/>
              <w:rPr>
                <w:szCs w:val="24"/>
              </w:rPr>
            </w:pPr>
            <w:r w:rsidRPr="005C3B55">
              <w:rPr>
                <w:szCs w:val="24"/>
              </w:rPr>
              <w:t>presence of suitable machinery on agricultural holdings;</w:t>
            </w:r>
          </w:p>
          <w:p w:rsidR="00F555D6" w:rsidRPr="005C3B55" w:rsidRDefault="00F555D6" w:rsidP="00F555D6">
            <w:pPr>
              <w:numPr>
                <w:ilvl w:val="0"/>
                <w:numId w:val="563"/>
              </w:numPr>
              <w:spacing w:before="0" w:after="0"/>
              <w:ind w:hanging="290"/>
              <w:jc w:val="left"/>
              <w:rPr>
                <w:szCs w:val="24"/>
              </w:rPr>
            </w:pPr>
            <w:r w:rsidRPr="005C3B55">
              <w:rPr>
                <w:szCs w:val="24"/>
              </w:rPr>
              <w:t>agreement between the contractor and the user of mechanical services;</w:t>
            </w:r>
          </w:p>
          <w:p w:rsidR="00F555D6" w:rsidRPr="005C3B55" w:rsidRDefault="00F555D6" w:rsidP="00F555D6">
            <w:pPr>
              <w:numPr>
                <w:ilvl w:val="0"/>
                <w:numId w:val="563"/>
              </w:numPr>
              <w:spacing w:before="0" w:after="0"/>
              <w:ind w:hanging="290"/>
              <w:jc w:val="left"/>
              <w:rPr>
                <w:szCs w:val="24"/>
              </w:rPr>
            </w:pPr>
            <w:r w:rsidRPr="005C3B55">
              <w:rPr>
                <w:szCs w:val="24"/>
              </w:rPr>
              <w:t>invoice for the service implemented by the machinery hire syndicate;</w:t>
            </w:r>
          </w:p>
          <w:p w:rsidR="00F555D6" w:rsidRPr="005C3B55" w:rsidRDefault="00F555D6" w:rsidP="00F555D6">
            <w:pPr>
              <w:numPr>
                <w:ilvl w:val="0"/>
                <w:numId w:val="563"/>
              </w:numPr>
              <w:spacing w:before="0" w:after="0"/>
              <w:ind w:hanging="290"/>
              <w:jc w:val="left"/>
              <w:rPr>
                <w:szCs w:val="24"/>
              </w:rPr>
            </w:pPr>
            <w:r w:rsidRPr="005C3B55">
              <w:rPr>
                <w:szCs w:val="24"/>
              </w:rPr>
              <w:t>control of livestock density by counting animals and reviewing surfaces;</w:t>
            </w:r>
          </w:p>
          <w:p w:rsidR="00F555D6" w:rsidRPr="005C3B55" w:rsidRDefault="00F555D6" w:rsidP="00F555D6">
            <w:pPr>
              <w:numPr>
                <w:ilvl w:val="0"/>
                <w:numId w:val="563"/>
              </w:numPr>
              <w:spacing w:before="0" w:after="240"/>
              <w:ind w:hanging="290"/>
              <w:jc w:val="left"/>
              <w:rPr>
                <w:szCs w:val="24"/>
              </w:rPr>
            </w:pPr>
            <w:r w:rsidRPr="005C3B55">
              <w:rPr>
                <w:szCs w:val="24"/>
              </w:rPr>
              <w:t>review of the agricultural holding.</w:t>
            </w:r>
          </w:p>
          <w:p w:rsidR="00F555D6" w:rsidRPr="005C3B55" w:rsidRDefault="00F555D6" w:rsidP="00F555D6">
            <w:pPr>
              <w:pStyle w:val="Telobesedila"/>
              <w:rPr>
                <w:szCs w:val="24"/>
              </w:rPr>
            </w:pPr>
          </w:p>
        </w:tc>
      </w:tr>
    </w:tbl>
    <w:p w:rsidR="00F555D6" w:rsidRPr="005C3B55" w:rsidRDefault="00F555D6" w:rsidP="00F555D6">
      <w:pPr>
        <w:pStyle w:val="Naslov8"/>
        <w:tabs>
          <w:tab w:val="clear" w:pos="765"/>
        </w:tabs>
        <w:ind w:left="0" w:firstLine="0"/>
        <w:rPr>
          <w:b w:val="0"/>
          <w:szCs w:val="24"/>
          <w:lang w:val="en-GB"/>
        </w:rPr>
      </w:pPr>
      <w:r w:rsidRPr="005C3B55">
        <w:rPr>
          <w:b w:val="0"/>
          <w:noProof w:val="0"/>
          <w:szCs w:val="24"/>
          <w:lang w:val="en-GB"/>
        </w:rPr>
        <w:t>TRZ_II_NPAS:</w:t>
      </w:r>
      <w:r w:rsidRPr="005C3B55">
        <w:rPr>
          <w:b w:val="0"/>
          <w:szCs w:val="24"/>
          <w:lang w:val="en-GB"/>
        </w:rPr>
        <w:t xml:space="preserve"> </w:t>
      </w:r>
      <w:r w:rsidRPr="005C3B55">
        <w:rPr>
          <w:b w:val="0"/>
          <w:noProof w:val="0"/>
          <w:szCs w:val="24"/>
          <w:lang w:val="en-GB"/>
        </w:rPr>
        <w:t>Unmown strip of 5 to 10% of surface of a meadow</w:t>
      </w:r>
    </w:p>
    <w:p w:rsidR="00F555D6" w:rsidRPr="005C3B55" w:rsidRDefault="00F555D6" w:rsidP="00F555D6">
      <w:pPr>
        <w:pStyle w:val="Naslov9"/>
        <w:tabs>
          <w:tab w:val="clear" w:pos="765"/>
        </w:tabs>
        <w:ind w:left="0" w:firstLine="0"/>
        <w:rPr>
          <w:szCs w:val="24"/>
          <w:lang w:val="en-GB"/>
        </w:rPr>
      </w:pPr>
      <w:r w:rsidRPr="005C3B55">
        <w:rPr>
          <w:noProof w:val="0"/>
          <w:szCs w:val="24"/>
          <w:lang w:val="en-GB"/>
        </w:rPr>
        <w:t>Methods of commitment verification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Administrative control:</w:t>
            </w:r>
          </w:p>
          <w:p w:rsidR="00F555D6" w:rsidRPr="005C3B55" w:rsidRDefault="00F555D6" w:rsidP="00F555D6">
            <w:pPr>
              <w:numPr>
                <w:ilvl w:val="0"/>
                <w:numId w:val="564"/>
              </w:numPr>
              <w:spacing w:before="240" w:after="0"/>
              <w:ind w:hanging="290"/>
              <w:jc w:val="left"/>
              <w:rPr>
                <w:szCs w:val="24"/>
              </w:rPr>
            </w:pPr>
            <w:r w:rsidRPr="005C3B55">
              <w:rPr>
                <w:szCs w:val="24"/>
              </w:rPr>
              <w:t>suitability of the agricultural plant through collective application;</w:t>
            </w:r>
          </w:p>
          <w:p w:rsidR="00F555D6" w:rsidRPr="005C3B55" w:rsidRDefault="00F555D6" w:rsidP="00F555D6">
            <w:pPr>
              <w:numPr>
                <w:ilvl w:val="0"/>
                <w:numId w:val="564"/>
              </w:numPr>
              <w:spacing w:before="0" w:after="0"/>
              <w:ind w:hanging="290"/>
              <w:jc w:val="left"/>
              <w:rPr>
                <w:szCs w:val="24"/>
              </w:rPr>
            </w:pPr>
            <w:r w:rsidRPr="005C3B55">
              <w:rPr>
                <w:szCs w:val="24"/>
              </w:rPr>
              <w:t>suitability of size of the graphical agricultural unit of agricultural holding;</w:t>
            </w:r>
          </w:p>
          <w:p w:rsidR="00F555D6" w:rsidRPr="005C3B55" w:rsidRDefault="00F555D6" w:rsidP="00F555D6">
            <w:pPr>
              <w:numPr>
                <w:ilvl w:val="0"/>
                <w:numId w:val="564"/>
              </w:numPr>
              <w:spacing w:before="0" w:after="240"/>
              <w:ind w:hanging="290"/>
              <w:jc w:val="left"/>
              <w:rPr>
                <w:szCs w:val="24"/>
              </w:rPr>
            </w:pPr>
            <w:r w:rsidRPr="005C3B55">
              <w:rPr>
                <w:szCs w:val="24"/>
              </w:rPr>
              <w:t>control of livestock density through collective applications, registers, registers of farm animals.</w:t>
            </w:r>
          </w:p>
          <w:p w:rsidR="00F555D6" w:rsidRPr="005C3B55" w:rsidRDefault="00F555D6" w:rsidP="00F555D6">
            <w:pPr>
              <w:spacing w:before="240" w:after="240" w:line="280" w:lineRule="auto"/>
              <w:rPr>
                <w:szCs w:val="24"/>
              </w:rPr>
            </w:pPr>
            <w:r w:rsidRPr="005C3B55">
              <w:rPr>
                <w:szCs w:val="24"/>
              </w:rPr>
              <w:t>Registers/records:</w:t>
            </w:r>
          </w:p>
          <w:p w:rsidR="00F555D6" w:rsidRPr="005C3B55" w:rsidRDefault="00F555D6" w:rsidP="00F555D6">
            <w:pPr>
              <w:numPr>
                <w:ilvl w:val="0"/>
                <w:numId w:val="565"/>
              </w:numPr>
              <w:spacing w:before="240" w:after="0"/>
              <w:ind w:hanging="290"/>
              <w:jc w:val="left"/>
              <w:rPr>
                <w:szCs w:val="24"/>
              </w:rPr>
            </w:pPr>
            <w:r w:rsidRPr="005C3B55">
              <w:rPr>
                <w:szCs w:val="24"/>
              </w:rPr>
              <w:t>register of agricultural holdings;</w:t>
            </w:r>
          </w:p>
          <w:p w:rsidR="00F555D6" w:rsidRPr="005C3B55" w:rsidRDefault="00F555D6" w:rsidP="00F555D6">
            <w:pPr>
              <w:numPr>
                <w:ilvl w:val="0"/>
                <w:numId w:val="565"/>
              </w:numPr>
              <w:spacing w:before="0" w:after="0"/>
              <w:ind w:hanging="290"/>
              <w:jc w:val="left"/>
              <w:rPr>
                <w:szCs w:val="24"/>
              </w:rPr>
            </w:pPr>
            <w:r w:rsidRPr="005C3B55">
              <w:rPr>
                <w:szCs w:val="24"/>
              </w:rPr>
              <w:t>graphical agricultural unit of agricultural holding (GERK);</w:t>
            </w:r>
          </w:p>
          <w:p w:rsidR="00F555D6" w:rsidRPr="005C3B55" w:rsidRDefault="00F555D6" w:rsidP="00F555D6">
            <w:pPr>
              <w:numPr>
                <w:ilvl w:val="0"/>
                <w:numId w:val="565"/>
              </w:numPr>
              <w:spacing w:before="0" w:after="240"/>
              <w:ind w:hanging="290"/>
              <w:jc w:val="left"/>
              <w:rPr>
                <w:szCs w:val="24"/>
              </w:rPr>
            </w:pPr>
            <w:r w:rsidRPr="005C3B55">
              <w:rPr>
                <w:szCs w:val="24"/>
              </w:rPr>
              <w:t>registers, registers of farm animals.</w:t>
            </w:r>
          </w:p>
          <w:p w:rsidR="00F555D6" w:rsidRPr="005C3B55" w:rsidRDefault="00F555D6" w:rsidP="00F555D6">
            <w:pPr>
              <w:spacing w:before="240" w:after="240" w:line="280" w:lineRule="auto"/>
              <w:rPr>
                <w:szCs w:val="24"/>
              </w:rPr>
            </w:pPr>
            <w:r w:rsidRPr="005C3B55">
              <w:rPr>
                <w:szCs w:val="24"/>
              </w:rPr>
              <w:t>On-site control:</w:t>
            </w:r>
          </w:p>
          <w:p w:rsidR="00F555D6" w:rsidRPr="005C3B55" w:rsidRDefault="00F555D6" w:rsidP="00F555D6">
            <w:pPr>
              <w:numPr>
                <w:ilvl w:val="0"/>
                <w:numId w:val="566"/>
              </w:numPr>
              <w:spacing w:before="240" w:after="0"/>
              <w:ind w:hanging="290"/>
              <w:jc w:val="left"/>
              <w:rPr>
                <w:szCs w:val="24"/>
              </w:rPr>
            </w:pPr>
            <w:r w:rsidRPr="005C3B55">
              <w:rPr>
                <w:szCs w:val="24"/>
              </w:rPr>
              <w:t>records on works;</w:t>
            </w:r>
          </w:p>
          <w:p w:rsidR="00F555D6" w:rsidRPr="005C3B55" w:rsidRDefault="00F555D6" w:rsidP="00F555D6">
            <w:pPr>
              <w:numPr>
                <w:ilvl w:val="0"/>
                <w:numId w:val="566"/>
              </w:numPr>
              <w:spacing w:before="0" w:after="0"/>
              <w:ind w:hanging="290"/>
              <w:jc w:val="left"/>
              <w:rPr>
                <w:szCs w:val="24"/>
              </w:rPr>
            </w:pPr>
            <w:r w:rsidRPr="005C3B55">
              <w:rPr>
                <w:szCs w:val="24"/>
              </w:rPr>
              <w:t>scheme of a meadow;</w:t>
            </w:r>
          </w:p>
          <w:p w:rsidR="00F555D6" w:rsidRPr="005C3B55" w:rsidRDefault="00F555D6" w:rsidP="00F555D6">
            <w:pPr>
              <w:numPr>
                <w:ilvl w:val="0"/>
                <w:numId w:val="566"/>
              </w:numPr>
              <w:spacing w:before="0" w:after="0"/>
              <w:ind w:hanging="290"/>
              <w:jc w:val="left"/>
              <w:rPr>
                <w:szCs w:val="24"/>
              </w:rPr>
            </w:pPr>
            <w:r w:rsidRPr="005C3B55">
              <w:rPr>
                <w:szCs w:val="24"/>
              </w:rPr>
              <w:t>control of livestock density by counting animals and reviewing surfaces;</w:t>
            </w:r>
          </w:p>
          <w:p w:rsidR="00F555D6" w:rsidRPr="005C3B55" w:rsidRDefault="00F555D6" w:rsidP="00F555D6">
            <w:pPr>
              <w:numPr>
                <w:ilvl w:val="0"/>
                <w:numId w:val="566"/>
              </w:numPr>
              <w:spacing w:before="0" w:after="240"/>
              <w:ind w:hanging="290"/>
              <w:jc w:val="left"/>
              <w:rPr>
                <w:szCs w:val="24"/>
              </w:rPr>
            </w:pPr>
            <w:r w:rsidRPr="005C3B55">
              <w:rPr>
                <w:szCs w:val="24"/>
              </w:rPr>
              <w:t>review of the agricultural holding.</w:t>
            </w:r>
          </w:p>
          <w:p w:rsidR="00F555D6" w:rsidRPr="005C3B55" w:rsidRDefault="00F555D6" w:rsidP="00F555D6">
            <w:pPr>
              <w:pStyle w:val="Telobesedila"/>
              <w:rPr>
                <w:szCs w:val="24"/>
              </w:rPr>
            </w:pPr>
          </w:p>
        </w:tc>
      </w:tr>
    </w:tbl>
    <w:p w:rsidR="00F555D6" w:rsidRPr="005C3B55" w:rsidRDefault="00F555D6" w:rsidP="00F555D6">
      <w:pPr>
        <w:pStyle w:val="Naslov8"/>
        <w:tabs>
          <w:tab w:val="clear" w:pos="765"/>
        </w:tabs>
        <w:ind w:left="0" w:firstLine="0"/>
        <w:rPr>
          <w:b w:val="0"/>
          <w:szCs w:val="24"/>
          <w:lang w:val="en-GB"/>
        </w:rPr>
      </w:pPr>
      <w:r w:rsidRPr="005C3B55">
        <w:rPr>
          <w:b w:val="0"/>
          <w:noProof w:val="0"/>
          <w:szCs w:val="24"/>
          <w:lang w:val="en-GB"/>
        </w:rPr>
        <w:t>TRZ_II_OSIL:</w:t>
      </w:r>
      <w:r w:rsidRPr="005C3B55">
        <w:rPr>
          <w:b w:val="0"/>
          <w:szCs w:val="24"/>
          <w:lang w:val="en-GB"/>
        </w:rPr>
        <w:t xml:space="preserve"> </w:t>
      </w:r>
      <w:r w:rsidRPr="005C3B55">
        <w:rPr>
          <w:b w:val="0"/>
          <w:noProof w:val="0"/>
          <w:szCs w:val="24"/>
          <w:lang w:val="en-GB"/>
        </w:rPr>
        <w:t>Non-use of silage</w:t>
      </w:r>
    </w:p>
    <w:p w:rsidR="00F555D6" w:rsidRPr="005C3B55" w:rsidRDefault="00F555D6" w:rsidP="00F555D6">
      <w:pPr>
        <w:pStyle w:val="Naslov9"/>
        <w:tabs>
          <w:tab w:val="clear" w:pos="765"/>
        </w:tabs>
        <w:ind w:left="0" w:firstLine="0"/>
        <w:rPr>
          <w:szCs w:val="24"/>
          <w:lang w:val="en-GB"/>
        </w:rPr>
      </w:pPr>
      <w:r w:rsidRPr="005C3B55">
        <w:rPr>
          <w:noProof w:val="0"/>
          <w:szCs w:val="24"/>
          <w:lang w:val="en-GB"/>
        </w:rPr>
        <w:t>Methods of commitment verification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Administrative control:</w:t>
            </w:r>
          </w:p>
          <w:p w:rsidR="00F555D6" w:rsidRPr="005C3B55" w:rsidRDefault="00F555D6" w:rsidP="00F555D6">
            <w:pPr>
              <w:numPr>
                <w:ilvl w:val="0"/>
                <w:numId w:val="567"/>
              </w:numPr>
              <w:spacing w:before="240" w:after="0"/>
              <w:ind w:hanging="290"/>
              <w:jc w:val="left"/>
              <w:rPr>
                <w:szCs w:val="24"/>
              </w:rPr>
            </w:pPr>
            <w:r w:rsidRPr="005C3B55">
              <w:rPr>
                <w:szCs w:val="24"/>
              </w:rPr>
              <w:t>suitability of the agricultural plant through collective application;</w:t>
            </w:r>
          </w:p>
          <w:p w:rsidR="00F555D6" w:rsidRPr="005C3B55" w:rsidRDefault="00F555D6" w:rsidP="00F555D6">
            <w:pPr>
              <w:numPr>
                <w:ilvl w:val="0"/>
                <w:numId w:val="567"/>
              </w:numPr>
              <w:spacing w:before="0" w:after="240"/>
              <w:ind w:hanging="290"/>
              <w:jc w:val="left"/>
              <w:rPr>
                <w:szCs w:val="24"/>
              </w:rPr>
            </w:pPr>
            <w:r w:rsidRPr="005C3B55">
              <w:rPr>
                <w:szCs w:val="24"/>
              </w:rPr>
              <w:t>control of livestock density through collective applications, registers, registers of farm animals.</w:t>
            </w:r>
          </w:p>
          <w:p w:rsidR="00F555D6" w:rsidRPr="005C3B55" w:rsidRDefault="00F555D6" w:rsidP="00F555D6">
            <w:pPr>
              <w:spacing w:before="240" w:after="240" w:line="280" w:lineRule="auto"/>
              <w:rPr>
                <w:szCs w:val="24"/>
              </w:rPr>
            </w:pPr>
            <w:r w:rsidRPr="005C3B55">
              <w:rPr>
                <w:szCs w:val="24"/>
              </w:rPr>
              <w:t>Registers/records:</w:t>
            </w:r>
          </w:p>
          <w:p w:rsidR="00F555D6" w:rsidRPr="005C3B55" w:rsidRDefault="00F555D6" w:rsidP="00F555D6">
            <w:pPr>
              <w:numPr>
                <w:ilvl w:val="0"/>
                <w:numId w:val="568"/>
              </w:numPr>
              <w:spacing w:before="240" w:after="0"/>
              <w:ind w:hanging="290"/>
              <w:jc w:val="left"/>
              <w:rPr>
                <w:szCs w:val="24"/>
              </w:rPr>
            </w:pPr>
            <w:r w:rsidRPr="005C3B55">
              <w:rPr>
                <w:szCs w:val="24"/>
              </w:rPr>
              <w:t>register of agricultural holdings;</w:t>
            </w:r>
          </w:p>
          <w:p w:rsidR="00F555D6" w:rsidRPr="005C3B55" w:rsidRDefault="00F555D6" w:rsidP="00F555D6">
            <w:pPr>
              <w:numPr>
                <w:ilvl w:val="0"/>
                <w:numId w:val="568"/>
              </w:numPr>
              <w:spacing w:before="0" w:after="0"/>
              <w:ind w:hanging="290"/>
              <w:jc w:val="left"/>
              <w:rPr>
                <w:szCs w:val="24"/>
              </w:rPr>
            </w:pPr>
            <w:r w:rsidRPr="005C3B55">
              <w:rPr>
                <w:szCs w:val="24"/>
              </w:rPr>
              <w:t>graphical agricultural unit of agricultural holding (GERK);</w:t>
            </w:r>
          </w:p>
          <w:p w:rsidR="00F555D6" w:rsidRPr="005C3B55" w:rsidRDefault="00F555D6" w:rsidP="00F555D6">
            <w:pPr>
              <w:numPr>
                <w:ilvl w:val="0"/>
                <w:numId w:val="568"/>
              </w:numPr>
              <w:spacing w:before="0" w:after="240"/>
              <w:ind w:hanging="290"/>
              <w:jc w:val="left"/>
              <w:rPr>
                <w:szCs w:val="24"/>
              </w:rPr>
            </w:pPr>
            <w:r w:rsidRPr="005C3B55">
              <w:rPr>
                <w:szCs w:val="24"/>
              </w:rPr>
              <w:t>registers, registers of farm animals.</w:t>
            </w:r>
          </w:p>
          <w:p w:rsidR="00F555D6" w:rsidRPr="005C3B55" w:rsidRDefault="00F555D6" w:rsidP="00F555D6">
            <w:pPr>
              <w:spacing w:before="240" w:after="240" w:line="280" w:lineRule="auto"/>
              <w:rPr>
                <w:szCs w:val="24"/>
              </w:rPr>
            </w:pPr>
            <w:r w:rsidRPr="005C3B55">
              <w:rPr>
                <w:szCs w:val="24"/>
              </w:rPr>
              <w:t>On-site control:</w:t>
            </w:r>
          </w:p>
          <w:p w:rsidR="00F555D6" w:rsidRPr="005C3B55" w:rsidRDefault="00F555D6" w:rsidP="00F555D6">
            <w:pPr>
              <w:numPr>
                <w:ilvl w:val="0"/>
                <w:numId w:val="569"/>
              </w:numPr>
              <w:spacing w:before="240" w:after="0"/>
              <w:ind w:hanging="290"/>
              <w:jc w:val="left"/>
              <w:rPr>
                <w:szCs w:val="24"/>
              </w:rPr>
            </w:pPr>
            <w:r w:rsidRPr="005C3B55">
              <w:rPr>
                <w:szCs w:val="24"/>
              </w:rPr>
              <w:t>records on works;</w:t>
            </w:r>
          </w:p>
          <w:p w:rsidR="00F555D6" w:rsidRPr="005C3B55" w:rsidRDefault="00F555D6" w:rsidP="00F555D6">
            <w:pPr>
              <w:numPr>
                <w:ilvl w:val="0"/>
                <w:numId w:val="569"/>
              </w:numPr>
              <w:spacing w:before="0" w:after="0"/>
              <w:ind w:hanging="290"/>
              <w:jc w:val="left"/>
              <w:rPr>
                <w:szCs w:val="24"/>
              </w:rPr>
            </w:pPr>
            <w:r w:rsidRPr="005C3B55">
              <w:rPr>
                <w:szCs w:val="24"/>
              </w:rPr>
              <w:t>control of livestock density by counting animals and reviewing surfaces;</w:t>
            </w:r>
          </w:p>
          <w:p w:rsidR="00F555D6" w:rsidRPr="005C3B55" w:rsidRDefault="00F555D6" w:rsidP="00F555D6">
            <w:pPr>
              <w:numPr>
                <w:ilvl w:val="0"/>
                <w:numId w:val="569"/>
              </w:numPr>
              <w:spacing w:before="0" w:after="240"/>
              <w:ind w:hanging="290"/>
              <w:jc w:val="left"/>
              <w:rPr>
                <w:szCs w:val="24"/>
              </w:rPr>
            </w:pPr>
            <w:r w:rsidRPr="005C3B55">
              <w:rPr>
                <w:szCs w:val="24"/>
              </w:rPr>
              <w:t>review of the agricultural holding.</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Information that relates specifically to the operation</w:t>
      </w:r>
    </w:p>
    <w:p w:rsidR="00F555D6" w:rsidRPr="005C3B55" w:rsidRDefault="00F555D6" w:rsidP="00F555D6">
      <w:pPr>
        <w:spacing w:line="280" w:lineRule="auto"/>
        <w:rPr>
          <w:szCs w:val="24"/>
        </w:rPr>
      </w:pPr>
      <w:r w:rsidRPr="005C3B55">
        <w:rPr>
          <w:szCs w:val="24"/>
        </w:rPr>
        <w:t>Definition and identification of the relevant basic elements; this should include the relevant mandatory standards determined in accordance with Chapter I of Title VI of Regulation (EU) No 1306/2013 of the European Parliament and of the Council, relevant criteria and minimum activities determined in accordance with points (c)(ii) and (c)(iii) of the first paragraph of Article 4 of Regulation (EU) No 1307/2013 of the European Parliament and of the Council, relevant minimum requirements for the use of organic fertilisers and plant protection products and relevant mandatory requirements determined by national law</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 xml:space="preserve">Described in the chapter </w:t>
            </w:r>
            <w:r w:rsidRPr="005C3B55">
              <w:rPr>
                <w:i/>
                <w:szCs w:val="24"/>
              </w:rPr>
              <w:t>Agri-environment-climate commitments</w:t>
            </w:r>
            <w:r w:rsidRPr="005C3B55">
              <w:rPr>
                <w:szCs w:val="24"/>
              </w:rPr>
              <w:t>.</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 xml:space="preserve">Minimum requirements for fertilisers must include, inter alia, the Codes of Good Practice introduced under Directive 91/676/EEC for farms outside Nitrate Vulnerable Zones, and requirements concerning phosphorous pollution; minimum requirements for plant protection products use must include, </w:t>
      </w:r>
      <w:r w:rsidRPr="005C3B55">
        <w:rPr>
          <w:i/>
          <w:szCs w:val="24"/>
        </w:rPr>
        <w:t>inter alia</w:t>
      </w:r>
      <w:r w:rsidRPr="005C3B55">
        <w:rPr>
          <w:szCs w:val="24"/>
        </w:rPr>
        <w:t>, general principles for integrated pest management introduced with Directive 2009/128/EC, requirements to have a licence to use the products and meet training obligations, requirements on safe storage, the checking of application machinery and rules on pesticide use close to water and other sensitive sites, as established by national legislation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 xml:space="preserve">Described in the chapter </w:t>
            </w:r>
            <w:r w:rsidRPr="005C3B55">
              <w:rPr>
                <w:i/>
                <w:szCs w:val="24"/>
              </w:rPr>
              <w:t>Agri-environment-climate commitments</w:t>
            </w:r>
            <w:r w:rsidRPr="005C3B55">
              <w:rPr>
                <w:szCs w:val="24"/>
              </w:rPr>
              <w:t>.</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List of local breeds in danger of being lost to farming and for plant genetic resources under threat of genetic erosion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Not relevant.</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The description of the methodology and of the agronomic assumptions and parameters, including the description of the baseline requirements as stated in Article 29(2) of Regulation (EU) No 1305/2013, which are relevant for each particular type of commitment used as reference point for the calculations which justify: additional costs and lost revenue due to the assumed commitment and the amount of transaction costs; where necessary, the methodology takes into account the support granted under Regulation (EU) No 1307/2013, including payments for agricultural practices that favourably affect the climate and environment, in order to prevent the possibility of dual financing; where appropriate, the conversion method used for other units in accordance with Article 9 of this Regulation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The calculation of the amount of payments for individual requirements within the operation Permanent grassland II observes:</w:t>
            </w:r>
          </w:p>
          <w:p w:rsidR="00F555D6" w:rsidRPr="005C3B55" w:rsidRDefault="00F555D6" w:rsidP="00F555D6">
            <w:pPr>
              <w:spacing w:before="240" w:after="240" w:line="280" w:lineRule="auto"/>
              <w:rPr>
                <w:szCs w:val="24"/>
              </w:rPr>
            </w:pPr>
            <w:r w:rsidRPr="005C3B55">
              <w:rPr>
                <w:b/>
                <w:szCs w:val="24"/>
              </w:rPr>
              <w:t>A. Mandatory requirement</w:t>
            </w:r>
          </w:p>
          <w:p w:rsidR="00F555D6" w:rsidRPr="005C3B55" w:rsidRDefault="00F555D6" w:rsidP="00F555D6">
            <w:pPr>
              <w:spacing w:before="240" w:after="240" w:line="280" w:lineRule="auto"/>
              <w:rPr>
                <w:szCs w:val="24"/>
              </w:rPr>
            </w:pPr>
            <w:r w:rsidRPr="005C3B55">
              <w:rPr>
                <w:szCs w:val="24"/>
              </w:rPr>
              <w:t>TRZ_II_OSIL: The basis for the calculation is the production of milk (60%), beef (25%) and meat of small cattle (15%). Widespread technologies are used. The majority of a feed ration is based on domestic forage in combination with purchased forage. Feed rations include: cows – hay, grass and corn silage, grazing, purchased forage; fattening cattle – hay, grass and corn silage, purchased forage; sheep – hay, grazing, purchased forage for breeding animals. The basis for the assessment of the requirement without the use of grass and corn silage (in a ration) is standard livestock production. It is anticipated that corn for grains is produced instead of corn silage, and the difference in energy is purchased in the market. The technology of breeding sheep does not include grass and corn silage. However, as no limitation is applied as to the type of animals, the calculations do not take into account the breeding of sheep.</w:t>
            </w:r>
          </w:p>
          <w:p w:rsidR="00F555D6" w:rsidRPr="005C3B55" w:rsidRDefault="00F555D6" w:rsidP="00F555D6">
            <w:pPr>
              <w:spacing w:before="240" w:after="240" w:line="280" w:lineRule="auto"/>
              <w:rPr>
                <w:szCs w:val="24"/>
              </w:rPr>
            </w:pPr>
            <w:r w:rsidRPr="005C3B55">
              <w:rPr>
                <w:b/>
                <w:szCs w:val="24"/>
              </w:rPr>
              <w:t>B. Optional requirements</w:t>
            </w:r>
          </w:p>
          <w:p w:rsidR="00F555D6" w:rsidRPr="005C3B55" w:rsidRDefault="00F555D6" w:rsidP="00F555D6">
            <w:pPr>
              <w:spacing w:before="240" w:after="240" w:line="280" w:lineRule="auto"/>
              <w:rPr>
                <w:szCs w:val="24"/>
              </w:rPr>
            </w:pPr>
            <w:r w:rsidRPr="005C3B55">
              <w:rPr>
                <w:szCs w:val="24"/>
              </w:rPr>
              <w:t>TRZ_II_NPAS: Standard agricultural practice includes hay and grass silage production. Standard agricultural practice serves as the basis for the calculation of the amount of payment. Due to certain limitations on leaving an unmown strip, the calculation takes into account manual and machine mowing, raking and removal of grass from the previous season in early spring. Thus the usual season is anticipated for the entire season, together with reduced amount of forage from grassland and costs of production according to the unmown strip. As the unmown strip produces less produce and thus less energy, the loss is replaced by renting additional surfaces without production limitations.</w:t>
            </w:r>
          </w:p>
          <w:p w:rsidR="00F555D6" w:rsidRPr="005C3B55" w:rsidRDefault="00F555D6" w:rsidP="00F555D6">
            <w:pPr>
              <w:spacing w:before="240" w:after="240" w:line="280" w:lineRule="auto"/>
              <w:rPr>
                <w:szCs w:val="24"/>
              </w:rPr>
            </w:pPr>
            <w:r w:rsidRPr="005C3B55">
              <w:rPr>
                <w:szCs w:val="24"/>
              </w:rPr>
              <w:t>TRZ_II_NIZI: Standard agricultural practice in fertilising with liquid manure is the use of tankers with a spreading plate. This requirement anticipates spreading with adjusted machinery for spreading liquid manure, i.e. tankers with drawn hoses. The calculation takes into account the difference between the costs of spreading with standard tankers with a spreading plate and the costs of spreading with tankers with drawn hoses.</w:t>
            </w:r>
          </w:p>
          <w:p w:rsidR="00F555D6" w:rsidRPr="005C3B55" w:rsidRDefault="00F555D6" w:rsidP="00F555D6">
            <w:pPr>
              <w:pStyle w:val="Telobesedila"/>
              <w:rPr>
                <w:szCs w:val="24"/>
              </w:rPr>
            </w:pPr>
          </w:p>
        </w:tc>
      </w:tr>
    </w:tbl>
    <w:p w:rsidR="00F555D6" w:rsidRPr="005C3B55" w:rsidRDefault="00F555D6" w:rsidP="00F555D6">
      <w:pPr>
        <w:pStyle w:val="Naslov7"/>
        <w:tabs>
          <w:tab w:val="clear" w:pos="765"/>
        </w:tabs>
        <w:ind w:left="0" w:firstLine="0"/>
        <w:rPr>
          <w:szCs w:val="24"/>
          <w:lang w:val="en-GB"/>
        </w:rPr>
      </w:pPr>
      <w:r w:rsidRPr="005C3B55">
        <w:rPr>
          <w:noProof w:val="0"/>
          <w:szCs w:val="24"/>
          <w:lang w:val="en-GB"/>
        </w:rPr>
        <w:t>Agri-environment-climate commitments</w:t>
      </w:r>
    </w:p>
    <w:p w:rsidR="00F555D6" w:rsidRPr="005C3B55" w:rsidRDefault="00F555D6" w:rsidP="00F555D6">
      <w:pPr>
        <w:pStyle w:val="Naslov8"/>
        <w:tabs>
          <w:tab w:val="clear" w:pos="765"/>
        </w:tabs>
        <w:ind w:left="0" w:firstLine="0"/>
        <w:rPr>
          <w:b w:val="0"/>
          <w:szCs w:val="24"/>
          <w:lang w:val="en-GB"/>
        </w:rPr>
      </w:pPr>
      <w:r w:rsidRPr="005C3B55">
        <w:rPr>
          <w:b w:val="0"/>
          <w:noProof w:val="0"/>
          <w:szCs w:val="24"/>
          <w:lang w:val="en-GB"/>
        </w:rPr>
        <w:t>TRZ_II_NIZI:</w:t>
      </w:r>
      <w:r w:rsidRPr="005C3B55">
        <w:rPr>
          <w:b w:val="0"/>
          <w:szCs w:val="24"/>
          <w:lang w:val="en-GB"/>
        </w:rPr>
        <w:t xml:space="preserve"> </w:t>
      </w:r>
      <w:r w:rsidRPr="005C3B55">
        <w:rPr>
          <w:b w:val="0"/>
          <w:noProof w:val="0"/>
          <w:szCs w:val="24"/>
          <w:lang w:val="en-GB"/>
        </w:rPr>
        <w:t>Fertilisation with organic fertilisers with low emissions into air</w:t>
      </w:r>
    </w:p>
    <w:p w:rsidR="00F555D6" w:rsidRPr="005C3B55" w:rsidRDefault="00F555D6" w:rsidP="00F555D6">
      <w:pPr>
        <w:pStyle w:val="Naslov9"/>
        <w:tabs>
          <w:tab w:val="clear" w:pos="765"/>
        </w:tabs>
        <w:ind w:left="0" w:firstLine="0"/>
        <w:rPr>
          <w:szCs w:val="24"/>
          <w:lang w:val="en-GB"/>
        </w:rPr>
      </w:pPr>
      <w:r w:rsidRPr="005C3B55">
        <w:rPr>
          <w:noProof w:val="0"/>
          <w:szCs w:val="24"/>
          <w:lang w:val="en-GB"/>
        </w:rPr>
        <w:t>Starting Point</w:t>
      </w:r>
    </w:p>
    <w:p w:rsidR="00F555D6" w:rsidRPr="005C3B55" w:rsidRDefault="00F555D6" w:rsidP="00F555D6">
      <w:pPr>
        <w:spacing w:line="280" w:lineRule="auto"/>
        <w:rPr>
          <w:szCs w:val="24"/>
        </w:rPr>
      </w:pPr>
      <w:r w:rsidRPr="005C3B55">
        <w:rPr>
          <w:szCs w:val="24"/>
        </w:rPr>
        <w:t>Suitable good agricultural and environmental conditions and/or prescribed management requirements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570"/>
              </w:numPr>
              <w:spacing w:before="0" w:after="240"/>
              <w:ind w:hanging="290"/>
              <w:jc w:val="left"/>
              <w:rPr>
                <w:szCs w:val="24"/>
              </w:rPr>
            </w:pPr>
            <w:r w:rsidRPr="005C3B55">
              <w:rPr>
                <w:szCs w:val="24"/>
              </w:rPr>
              <w:t>Regulation on cross-compliance, Annex 1: Rules on cross-compliance, SMR 1: Water protection against the pollution caused by nitrates from agricultural sources:  mineral and organic fertilisers are evenly distributed on the surface subject to fertilisation. No uncontrolled distribution of fertilisers or fertilisation occurs outside the anticipated area of fertilisation when transporting and fertilising. Slurry tankers with splash plates, tankers with rain guns, tankers for application of liquid fertilisers in strips (trailing hose and sleigh), tankers for shallow entry of liquid fertilisers into soil with injectors or tankers for deep entry of liquid fertilisers into soil may be used for fertilisation with organic fertilisers. In addition to slurry tankers, devices with connectors to hoses for the distribution of liquid organic fertilisers may also be used for fertilisation with liquid organic fertilisers.</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Minimum requirements for the use of fertilisers and plant protection products</w:t>
      </w:r>
    </w:p>
    <w:p w:rsidR="00F555D6" w:rsidRPr="005C3B55" w:rsidRDefault="00F555D6" w:rsidP="00F555D6">
      <w:pPr>
        <w:spacing w:after="0"/>
        <w:rPr>
          <w:szCs w:val="24"/>
        </w:rPr>
      </w:pP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571"/>
              </w:numPr>
              <w:spacing w:before="0" w:after="0"/>
              <w:ind w:hanging="290"/>
              <w:jc w:val="left"/>
              <w:rPr>
                <w:szCs w:val="24"/>
              </w:rPr>
            </w:pPr>
            <w:r w:rsidRPr="005C3B55">
              <w:rPr>
                <w:szCs w:val="24"/>
              </w:rPr>
              <w:t>Minimum requirements for the use of fertilisers refer to the keeping of records on the use of livestock and mineral fertilisers which an agricultural holding has to keep for all agricultural land plots at the agricultural holding, and which has to include at least the quantity and type of livestock manure and mineral fertiliser, time of fertilising and data on the surface where these fertilisers are used.</w:t>
            </w:r>
          </w:p>
          <w:p w:rsidR="00F555D6" w:rsidRPr="005C3B55" w:rsidRDefault="00F555D6" w:rsidP="00F555D6">
            <w:pPr>
              <w:numPr>
                <w:ilvl w:val="0"/>
                <w:numId w:val="571"/>
              </w:numPr>
              <w:spacing w:before="0" w:after="240"/>
              <w:ind w:hanging="290"/>
              <w:jc w:val="left"/>
              <w:rPr>
                <w:szCs w:val="24"/>
              </w:rPr>
            </w:pPr>
            <w:r w:rsidRPr="005C3B55">
              <w:rPr>
                <w:szCs w:val="24"/>
              </w:rPr>
              <w:t>Minimum requirements for the use of plant protection products are not determined, since the requirements relating to the use of these products are standardised and are included in the requirements of cross-compliance.</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Other relevant national/regional requirements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572"/>
              </w:numPr>
              <w:spacing w:before="0" w:after="240"/>
              <w:ind w:hanging="290"/>
              <w:jc w:val="left"/>
              <w:rPr>
                <w:szCs w:val="24"/>
              </w:rPr>
            </w:pPr>
            <w:r w:rsidRPr="005C3B55">
              <w:rPr>
                <w:szCs w:val="24"/>
              </w:rPr>
              <w:t>Other national requirements are not prescribed.</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Minimum activities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573"/>
              </w:numPr>
              <w:spacing w:before="0" w:after="240"/>
              <w:ind w:hanging="290"/>
              <w:jc w:val="left"/>
              <w:rPr>
                <w:szCs w:val="24"/>
              </w:rPr>
            </w:pPr>
            <w:r w:rsidRPr="005C3B55">
              <w:rPr>
                <w:szCs w:val="24"/>
              </w:rPr>
              <w:t>Mowing at least once annually by 15 October of the current year is determined as a criterion for maintaining agricultural land in a state suitable for pasturing or production without the preparation measures which exceed the use of regular agricultural methods and machinery.</w:t>
            </w:r>
          </w:p>
          <w:p w:rsidR="00F555D6" w:rsidRPr="005C3B55" w:rsidRDefault="00F555D6" w:rsidP="00F555D6">
            <w:pPr>
              <w:pStyle w:val="Telobesedila"/>
              <w:rPr>
                <w:szCs w:val="24"/>
              </w:rPr>
            </w:pPr>
          </w:p>
        </w:tc>
      </w:tr>
    </w:tbl>
    <w:p w:rsidR="00F555D6" w:rsidRPr="005C3B55" w:rsidRDefault="00F555D6" w:rsidP="00F555D6">
      <w:pPr>
        <w:pStyle w:val="Naslov9"/>
        <w:tabs>
          <w:tab w:val="clear" w:pos="765"/>
        </w:tabs>
        <w:ind w:left="0" w:firstLine="0"/>
        <w:rPr>
          <w:szCs w:val="24"/>
          <w:lang w:val="en-GB"/>
        </w:rPr>
      </w:pPr>
      <w:r w:rsidRPr="005C3B55">
        <w:rPr>
          <w:noProof w:val="0"/>
          <w:szCs w:val="24"/>
          <w:lang w:val="en-GB"/>
        </w:rPr>
        <w:t>Relevant standard agricultural practices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The use of equipment with splash plates is mainly used when fertilising with liquid organic fertilisers in standard agricultural practice, which emits large quantities of ammonia and odour into the air</w:t>
            </w:r>
          </w:p>
          <w:p w:rsidR="00F555D6" w:rsidRPr="005C3B55" w:rsidRDefault="00F555D6" w:rsidP="00F555D6">
            <w:pPr>
              <w:pStyle w:val="Telobesedila"/>
              <w:rPr>
                <w:szCs w:val="24"/>
              </w:rPr>
            </w:pPr>
          </w:p>
        </w:tc>
      </w:tr>
    </w:tbl>
    <w:p w:rsidR="00F555D6" w:rsidRPr="005C3B55" w:rsidRDefault="00F555D6" w:rsidP="00F555D6">
      <w:pPr>
        <w:pStyle w:val="Naslov8"/>
        <w:tabs>
          <w:tab w:val="clear" w:pos="765"/>
        </w:tabs>
        <w:ind w:left="0" w:firstLine="0"/>
        <w:rPr>
          <w:b w:val="0"/>
          <w:szCs w:val="24"/>
          <w:lang w:val="en-GB"/>
        </w:rPr>
      </w:pPr>
      <w:r w:rsidRPr="005C3B55">
        <w:rPr>
          <w:b w:val="0"/>
          <w:noProof w:val="0"/>
          <w:szCs w:val="24"/>
          <w:lang w:val="en-GB"/>
        </w:rPr>
        <w:t>TRZ_II_NPAS:</w:t>
      </w:r>
      <w:r w:rsidRPr="005C3B55">
        <w:rPr>
          <w:b w:val="0"/>
          <w:szCs w:val="24"/>
          <w:lang w:val="en-GB"/>
        </w:rPr>
        <w:t xml:space="preserve"> </w:t>
      </w:r>
      <w:r w:rsidRPr="005C3B55">
        <w:rPr>
          <w:b w:val="0"/>
          <w:noProof w:val="0"/>
          <w:szCs w:val="24"/>
          <w:lang w:val="en-GB"/>
        </w:rPr>
        <w:t>Unmown strip of 5 to 10% of surface of a meadow</w:t>
      </w:r>
    </w:p>
    <w:p w:rsidR="00F555D6" w:rsidRPr="005C3B55" w:rsidRDefault="00F555D6" w:rsidP="00F555D6">
      <w:pPr>
        <w:pStyle w:val="Naslov9"/>
        <w:tabs>
          <w:tab w:val="clear" w:pos="765"/>
        </w:tabs>
        <w:ind w:left="0" w:firstLine="0"/>
        <w:rPr>
          <w:szCs w:val="24"/>
          <w:lang w:val="en-GB"/>
        </w:rPr>
      </w:pPr>
      <w:r w:rsidRPr="005C3B55">
        <w:rPr>
          <w:noProof w:val="0"/>
          <w:szCs w:val="24"/>
          <w:lang w:val="en-GB"/>
        </w:rPr>
        <w:t>Starting Point</w:t>
      </w:r>
    </w:p>
    <w:p w:rsidR="00F555D6" w:rsidRPr="005C3B55" w:rsidRDefault="00F555D6" w:rsidP="00F555D6">
      <w:pPr>
        <w:spacing w:line="280" w:lineRule="auto"/>
        <w:rPr>
          <w:szCs w:val="24"/>
        </w:rPr>
      </w:pPr>
      <w:r w:rsidRPr="005C3B55">
        <w:rPr>
          <w:szCs w:val="24"/>
        </w:rPr>
        <w:t>Suitable good agricultural and environmental conditions and/or prescribed management requirements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574"/>
              </w:numPr>
              <w:spacing w:before="0" w:after="0"/>
              <w:ind w:hanging="290"/>
              <w:jc w:val="left"/>
              <w:rPr>
                <w:szCs w:val="24"/>
              </w:rPr>
            </w:pPr>
            <w:r w:rsidRPr="005C3B55">
              <w:rPr>
                <w:szCs w:val="24"/>
              </w:rPr>
              <w:t>Regulation on cross-compliance, Annex 1: Rules on cross-compliance, SMR 3: Conservation of natural habitats and of wild fauna and flora: grassland areas in the areas of Natura 2000 – habitats are maintained at least once annually no later than by 15 October of the current year.</w:t>
            </w:r>
          </w:p>
          <w:p w:rsidR="00F555D6" w:rsidRPr="005C3B55" w:rsidRDefault="00F555D6" w:rsidP="00F555D6">
            <w:pPr>
              <w:numPr>
                <w:ilvl w:val="0"/>
                <w:numId w:val="574"/>
              </w:numPr>
              <w:spacing w:before="0" w:after="0"/>
              <w:ind w:hanging="290"/>
              <w:jc w:val="left"/>
              <w:rPr>
                <w:szCs w:val="24"/>
              </w:rPr>
            </w:pPr>
            <w:r w:rsidRPr="005C3B55">
              <w:rPr>
                <w:szCs w:val="24"/>
              </w:rPr>
              <w:t>Regulation on cross-compliance, Annex 1: Rules on cross-compliance, SMR 2: grassland areas in the areas of Natura 2000 – birds are maintained at least once annually no later than by 15 October of the current year.</w:t>
            </w:r>
          </w:p>
          <w:p w:rsidR="00F555D6" w:rsidRPr="005C3B55" w:rsidRDefault="00F555D6" w:rsidP="00F555D6">
            <w:pPr>
              <w:numPr>
                <w:ilvl w:val="0"/>
                <w:numId w:val="574"/>
              </w:numPr>
              <w:spacing w:before="0" w:after="240"/>
              <w:ind w:hanging="290"/>
              <w:jc w:val="left"/>
              <w:rPr>
                <w:szCs w:val="24"/>
              </w:rPr>
            </w:pPr>
            <w:r w:rsidRPr="005C3B55">
              <w:rPr>
                <w:szCs w:val="24"/>
              </w:rPr>
              <w:t>Regulation on cross-compliance, Annex 1: Rules on cross-compliance, GAEC7: agricultural land is annually cultivated at least by 15 October of the current year.</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Minimum requirements for the use of fertilisers and plant protection products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575"/>
              </w:numPr>
              <w:spacing w:before="0" w:after="0"/>
              <w:ind w:hanging="290"/>
              <w:jc w:val="left"/>
              <w:rPr>
                <w:szCs w:val="24"/>
              </w:rPr>
            </w:pPr>
            <w:r w:rsidRPr="005C3B55">
              <w:rPr>
                <w:szCs w:val="24"/>
              </w:rPr>
              <w:t>Minimum requirements for the use of fertilisers refer to the keeping of records on the use of livestock and mineral fertilisers which an agricultural holding has to keep for all agricultural land plots at the agricultural holding, and which has to include at least the quantity and type of livestock manure and mineral fertiliser, time of fertilising and data on the surface where these fertilisers are used.</w:t>
            </w:r>
          </w:p>
          <w:p w:rsidR="00F555D6" w:rsidRPr="005C3B55" w:rsidRDefault="00F555D6" w:rsidP="00F555D6">
            <w:pPr>
              <w:numPr>
                <w:ilvl w:val="0"/>
                <w:numId w:val="575"/>
              </w:numPr>
              <w:spacing w:before="0" w:after="240"/>
              <w:ind w:hanging="290"/>
              <w:jc w:val="left"/>
              <w:rPr>
                <w:szCs w:val="24"/>
              </w:rPr>
            </w:pPr>
            <w:r w:rsidRPr="005C3B55">
              <w:rPr>
                <w:szCs w:val="24"/>
              </w:rPr>
              <w:t>Minimum requirements for the use of plant protection products are not determined, since the requirements relating to the use of these products are standardised and are included in the requirements of cross-compliance.</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Other relevant national/regional requirements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576"/>
              </w:numPr>
              <w:spacing w:before="0" w:after="240"/>
              <w:ind w:hanging="290"/>
              <w:jc w:val="left"/>
              <w:rPr>
                <w:szCs w:val="24"/>
              </w:rPr>
            </w:pPr>
            <w:r w:rsidRPr="005C3B55">
              <w:rPr>
                <w:szCs w:val="24"/>
              </w:rPr>
              <w:t>Other national requirements are not prescribed.</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Minimum activities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577"/>
              </w:numPr>
              <w:spacing w:before="0" w:after="240"/>
              <w:ind w:hanging="290"/>
              <w:jc w:val="left"/>
              <w:rPr>
                <w:szCs w:val="24"/>
              </w:rPr>
            </w:pPr>
            <w:r w:rsidRPr="005C3B55">
              <w:rPr>
                <w:szCs w:val="24"/>
              </w:rPr>
              <w:t>Mowing at least once annually by 15 October of the current year is determined as a criterion for maintaining agricultural land in a state suitable for pasturing or production without the preparation measures which exceed the use of regular agricultural methods and machinery.</w:t>
            </w:r>
          </w:p>
          <w:p w:rsidR="00F555D6" w:rsidRPr="005C3B55" w:rsidRDefault="00F555D6" w:rsidP="00F555D6">
            <w:pPr>
              <w:pStyle w:val="Telobesedila"/>
              <w:rPr>
                <w:szCs w:val="24"/>
              </w:rPr>
            </w:pPr>
          </w:p>
        </w:tc>
      </w:tr>
    </w:tbl>
    <w:p w:rsidR="00F555D6" w:rsidRPr="005C3B55" w:rsidRDefault="00F555D6" w:rsidP="00F555D6">
      <w:pPr>
        <w:pStyle w:val="Naslov9"/>
        <w:tabs>
          <w:tab w:val="clear" w:pos="765"/>
        </w:tabs>
        <w:ind w:left="0" w:firstLine="0"/>
        <w:rPr>
          <w:szCs w:val="24"/>
          <w:lang w:val="en-GB"/>
        </w:rPr>
      </w:pPr>
      <w:r w:rsidRPr="005C3B55">
        <w:rPr>
          <w:noProof w:val="0"/>
          <w:szCs w:val="24"/>
          <w:lang w:val="en-GB"/>
        </w:rPr>
        <w:t>Relevant standard agricultural practices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In standard agricultural practice, the mowing of grassland areas is conducted over the entire meadow surface, whereas it is not usual to leave a specific part of this surface unmown until the following year. The surface of meadows with four- or several times use (intensity of use) is growing.</w:t>
            </w:r>
          </w:p>
          <w:p w:rsidR="00F555D6" w:rsidRPr="005C3B55" w:rsidRDefault="00F555D6" w:rsidP="00F555D6">
            <w:pPr>
              <w:pStyle w:val="Telobesedila"/>
              <w:rPr>
                <w:szCs w:val="24"/>
              </w:rPr>
            </w:pPr>
          </w:p>
        </w:tc>
      </w:tr>
    </w:tbl>
    <w:p w:rsidR="00F555D6" w:rsidRPr="005C3B55" w:rsidRDefault="00F555D6" w:rsidP="00F555D6">
      <w:pPr>
        <w:pStyle w:val="Naslov8"/>
        <w:tabs>
          <w:tab w:val="clear" w:pos="765"/>
        </w:tabs>
        <w:ind w:left="0" w:firstLine="0"/>
        <w:rPr>
          <w:b w:val="0"/>
          <w:szCs w:val="24"/>
          <w:lang w:val="en-GB"/>
        </w:rPr>
      </w:pPr>
      <w:r w:rsidRPr="005C3B55">
        <w:rPr>
          <w:b w:val="0"/>
          <w:noProof w:val="0"/>
          <w:szCs w:val="24"/>
          <w:lang w:val="en-GB"/>
        </w:rPr>
        <w:t>TRZ_II_OSIL:</w:t>
      </w:r>
      <w:r w:rsidRPr="005C3B55">
        <w:rPr>
          <w:b w:val="0"/>
          <w:szCs w:val="24"/>
          <w:lang w:val="en-GB"/>
        </w:rPr>
        <w:t xml:space="preserve"> </w:t>
      </w:r>
      <w:r w:rsidRPr="005C3B55">
        <w:rPr>
          <w:b w:val="0"/>
          <w:noProof w:val="0"/>
          <w:szCs w:val="24"/>
          <w:lang w:val="en-GB"/>
        </w:rPr>
        <w:t>Non-use of silage</w:t>
      </w:r>
    </w:p>
    <w:p w:rsidR="00F555D6" w:rsidRPr="005C3B55" w:rsidRDefault="00F555D6" w:rsidP="00F555D6">
      <w:pPr>
        <w:pStyle w:val="Naslov9"/>
        <w:tabs>
          <w:tab w:val="clear" w:pos="765"/>
        </w:tabs>
        <w:ind w:left="0" w:firstLine="0"/>
        <w:rPr>
          <w:szCs w:val="24"/>
          <w:lang w:val="en-GB"/>
        </w:rPr>
      </w:pPr>
      <w:r w:rsidRPr="005C3B55">
        <w:rPr>
          <w:noProof w:val="0"/>
          <w:szCs w:val="24"/>
          <w:lang w:val="en-GB"/>
        </w:rPr>
        <w:t>Starting Point</w:t>
      </w:r>
    </w:p>
    <w:p w:rsidR="00F555D6" w:rsidRPr="005C3B55" w:rsidRDefault="00F555D6" w:rsidP="00F555D6">
      <w:pPr>
        <w:spacing w:line="280" w:lineRule="auto"/>
        <w:rPr>
          <w:szCs w:val="24"/>
        </w:rPr>
      </w:pPr>
      <w:r w:rsidRPr="005C3B55">
        <w:rPr>
          <w:szCs w:val="24"/>
        </w:rPr>
        <w:t>Suitable good agricultural and environmental conditions and/or prescribed management requirements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578"/>
              </w:numPr>
              <w:spacing w:before="0" w:after="240"/>
              <w:ind w:hanging="290"/>
              <w:jc w:val="left"/>
              <w:rPr>
                <w:szCs w:val="24"/>
              </w:rPr>
            </w:pPr>
            <w:r w:rsidRPr="005C3B55">
              <w:rPr>
                <w:szCs w:val="24"/>
              </w:rPr>
              <w:t>Forage silage is not prescribed in the Regulation on cross-compliance.</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Minimum requirements for the use of fertilisers and plant protection products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579"/>
              </w:numPr>
              <w:spacing w:before="0" w:after="0"/>
              <w:ind w:hanging="290"/>
              <w:jc w:val="left"/>
              <w:rPr>
                <w:szCs w:val="24"/>
              </w:rPr>
            </w:pPr>
            <w:r w:rsidRPr="005C3B55">
              <w:rPr>
                <w:szCs w:val="24"/>
              </w:rPr>
              <w:t>Minimum requirements for the use of fertilisers refer to the keeping of records on the use of livestock and mineral fertilisers which an agricultural holding has to keep for all agricultural land plots at the agricultural holding, and which has to include at least the quantity and type of livestock manure and mineral fertiliser, time of fertilising and data on the surface where these fertilisers are used.</w:t>
            </w:r>
          </w:p>
          <w:p w:rsidR="00F555D6" w:rsidRPr="005C3B55" w:rsidRDefault="00F555D6" w:rsidP="00F555D6">
            <w:pPr>
              <w:numPr>
                <w:ilvl w:val="0"/>
                <w:numId w:val="579"/>
              </w:numPr>
              <w:spacing w:before="0" w:after="240"/>
              <w:ind w:hanging="290"/>
              <w:jc w:val="left"/>
              <w:rPr>
                <w:szCs w:val="24"/>
              </w:rPr>
            </w:pPr>
            <w:r w:rsidRPr="005C3B55">
              <w:rPr>
                <w:szCs w:val="24"/>
              </w:rPr>
              <w:t>Minimum requirements for the use of plant protection products are not determined, since the requirements relating to the use of these products are standardised and are included in the requirements of cross-compliance.</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Other relevant national/regional requirements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580"/>
              </w:numPr>
              <w:spacing w:before="0" w:after="240"/>
              <w:ind w:hanging="290"/>
              <w:jc w:val="left"/>
              <w:rPr>
                <w:szCs w:val="24"/>
              </w:rPr>
            </w:pPr>
            <w:r w:rsidRPr="005C3B55">
              <w:rPr>
                <w:szCs w:val="24"/>
              </w:rPr>
              <w:t>Other national requirements are not prescribed.</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Minimum activities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581"/>
              </w:numPr>
              <w:spacing w:before="0" w:after="240"/>
              <w:ind w:hanging="290"/>
              <w:jc w:val="left"/>
              <w:rPr>
                <w:szCs w:val="24"/>
              </w:rPr>
            </w:pPr>
            <w:r w:rsidRPr="005C3B55">
              <w:rPr>
                <w:szCs w:val="24"/>
              </w:rPr>
              <w:t>Mowing at least once annually by 15 October of the current year is determined as a criterion for maintaining agricultural land in a state suitable for pasturing or production without the preparation measures which exceed the use of regular agricultural methods and machinery.</w:t>
            </w:r>
          </w:p>
          <w:p w:rsidR="00F555D6" w:rsidRPr="005C3B55" w:rsidRDefault="00F555D6" w:rsidP="00F555D6">
            <w:pPr>
              <w:pStyle w:val="Telobesedila"/>
              <w:rPr>
                <w:szCs w:val="24"/>
              </w:rPr>
            </w:pPr>
          </w:p>
        </w:tc>
      </w:tr>
    </w:tbl>
    <w:p w:rsidR="00F555D6" w:rsidRPr="005C3B55" w:rsidRDefault="00F555D6" w:rsidP="00F555D6">
      <w:pPr>
        <w:pStyle w:val="Naslov9"/>
        <w:tabs>
          <w:tab w:val="clear" w:pos="765"/>
        </w:tabs>
        <w:ind w:left="0" w:firstLine="0"/>
        <w:rPr>
          <w:szCs w:val="24"/>
          <w:lang w:val="en-GB"/>
        </w:rPr>
      </w:pPr>
      <w:r w:rsidRPr="005C3B55">
        <w:rPr>
          <w:noProof w:val="0"/>
          <w:szCs w:val="24"/>
          <w:lang w:val="en-GB"/>
        </w:rPr>
        <w:t>Relevant standard agricultural practices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The forage produced for animals is ensilaged (grass silage, corn silage and silage of other fodder plants) in standard agricultural practice. The extent of silage is increasing. The advantages of silage are particularly in simpler and speedier harvesting and easier storage. The price of energy for animals for grass and corn silage is much lower than for hay. Recently, the harvesting of forage from grassland in the form of silage bales has also increased significantly on small farms which traditionally dried forage. Such a manner of conserving forage is becoming the prevailing practice.</w:t>
            </w:r>
          </w:p>
          <w:p w:rsidR="00F555D6" w:rsidRPr="005C3B55" w:rsidRDefault="00F555D6" w:rsidP="00F555D6">
            <w:pPr>
              <w:pStyle w:val="Telobesedila"/>
              <w:rPr>
                <w:szCs w:val="24"/>
              </w:rPr>
            </w:pPr>
          </w:p>
        </w:tc>
      </w:tr>
    </w:tbl>
    <w:p w:rsidR="00F555D6" w:rsidRPr="005C3B55" w:rsidRDefault="00F555D6" w:rsidP="00F555D6">
      <w:pPr>
        <w:pStyle w:val="Naslov5"/>
        <w:tabs>
          <w:tab w:val="clear" w:pos="765"/>
        </w:tabs>
        <w:ind w:left="0" w:firstLine="0"/>
        <w:rPr>
          <w:b w:val="0"/>
          <w:szCs w:val="24"/>
          <w:lang w:val="en-GB"/>
        </w:rPr>
      </w:pPr>
      <w:r w:rsidRPr="005C3B55">
        <w:rPr>
          <w:b w:val="0"/>
          <w:szCs w:val="24"/>
          <w:lang w:val="en-GB"/>
        </w:rPr>
        <w:br w:type="page"/>
        <w:t>07.</w:t>
      </w:r>
      <w:r w:rsidRPr="005C3B55">
        <w:rPr>
          <w:b w:val="0"/>
          <w:szCs w:val="24"/>
          <w:lang w:val="en-GB"/>
        </w:rPr>
        <w:tab/>
      </w:r>
      <w:r w:rsidRPr="005C3B55">
        <w:rPr>
          <w:b w:val="0"/>
          <w:noProof w:val="0"/>
          <w:szCs w:val="24"/>
          <w:lang w:val="en-GB"/>
        </w:rPr>
        <w:t>Special grassland habitats</w:t>
      </w:r>
    </w:p>
    <w:p w:rsidR="00F555D6" w:rsidRPr="005C3B55" w:rsidRDefault="00F555D6" w:rsidP="00F555D6">
      <w:pPr>
        <w:spacing w:line="280" w:lineRule="auto"/>
        <w:rPr>
          <w:szCs w:val="24"/>
        </w:rPr>
      </w:pPr>
      <w:r w:rsidRPr="005C3B55">
        <w:rPr>
          <w:szCs w:val="24"/>
        </w:rPr>
        <w:t xml:space="preserve">Sub-measure: </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582"/>
              </w:numPr>
              <w:rPr>
                <w:szCs w:val="24"/>
              </w:rPr>
            </w:pPr>
            <w:r w:rsidRPr="005C3B55">
              <w:rPr>
                <w:szCs w:val="24"/>
              </w:rPr>
              <w:t>10.1 – Payment of agri-environment-climate commitments</w:t>
            </w: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Description of type of operation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The operation Special grassland habitats presents a change in existing agricultural practice and is implemented in ecologically important areas of special grassland habitats where species and habitat types occur whose conservation status depends directly on the implementation of (un)suitable agricultural use. The operation is intended for the conservation of qualifying grassland habitat types and qualifying species in Natura 2000 areas relating to meadows (e.g. plants, butterflies, birds etc.) and meadows which are diverse and varied in species.</w:t>
            </w:r>
          </w:p>
          <w:p w:rsidR="00F555D6" w:rsidRPr="005C3B55" w:rsidRDefault="00F555D6" w:rsidP="00F555D6">
            <w:pPr>
              <w:spacing w:before="240" w:after="240" w:line="280" w:lineRule="auto"/>
              <w:rPr>
                <w:szCs w:val="24"/>
              </w:rPr>
            </w:pPr>
            <w:r w:rsidRPr="005C3B55">
              <w:rPr>
                <w:szCs w:val="24"/>
              </w:rPr>
              <w:t>The operation includes two mandatory and two optional requirements. The beneficiary must implement the mandatory requirements and may also select one or both optional requirements under this operation.</w:t>
            </w:r>
          </w:p>
          <w:p w:rsidR="00F555D6" w:rsidRPr="005C3B55" w:rsidRDefault="00F555D6" w:rsidP="00F555D6">
            <w:pPr>
              <w:spacing w:before="240" w:after="240" w:line="280" w:lineRule="auto"/>
              <w:rPr>
                <w:szCs w:val="24"/>
              </w:rPr>
            </w:pPr>
            <w:r w:rsidRPr="005C3B55">
              <w:rPr>
                <w:b/>
                <w:szCs w:val="24"/>
              </w:rPr>
              <w:t>A. Mandatory requirements</w:t>
            </w:r>
          </w:p>
          <w:p w:rsidR="00F555D6" w:rsidRPr="005C3B55" w:rsidRDefault="00F555D6" w:rsidP="00F555D6">
            <w:pPr>
              <w:spacing w:before="240" w:after="240" w:line="280" w:lineRule="auto"/>
              <w:rPr>
                <w:szCs w:val="24"/>
              </w:rPr>
            </w:pPr>
            <w:r w:rsidRPr="005C3B55">
              <w:rPr>
                <w:b/>
                <w:i/>
                <w:szCs w:val="24"/>
              </w:rPr>
              <w:t>HAB_KOS: Mowing/pasturing is not permitted before 30 June</w:t>
            </w:r>
          </w:p>
          <w:p w:rsidR="00F555D6" w:rsidRPr="005C3B55" w:rsidRDefault="00F555D6" w:rsidP="00F555D6">
            <w:pPr>
              <w:spacing w:before="240" w:after="240" w:line="280" w:lineRule="auto"/>
              <w:rPr>
                <w:szCs w:val="24"/>
              </w:rPr>
            </w:pPr>
            <w:r w:rsidRPr="005C3B55">
              <w:rPr>
                <w:szCs w:val="24"/>
              </w:rPr>
              <w:t>The prohibition of use (mowing and grazing) before 30 June in areas of special grassland habitats allows the observance of ecological requirements for grassland species and habitat types to implement their development cycles (to flower and produce seeds) successfully and undisturbed, thus enabling their permanent occurrence and conservation.</w:t>
            </w:r>
          </w:p>
          <w:p w:rsidR="00F555D6" w:rsidRPr="005C3B55" w:rsidRDefault="00F555D6" w:rsidP="00F555D6">
            <w:pPr>
              <w:spacing w:before="240" w:after="240" w:line="280" w:lineRule="auto"/>
              <w:rPr>
                <w:szCs w:val="24"/>
              </w:rPr>
            </w:pPr>
            <w:r w:rsidRPr="005C3B55">
              <w:rPr>
                <w:szCs w:val="24"/>
              </w:rPr>
              <w:t>The implementation of the requirement regarding limits on mowing times will stop the trend of losing grassland rich in species which is the result of early and too frequent mowing.</w:t>
            </w:r>
          </w:p>
          <w:p w:rsidR="00F555D6" w:rsidRPr="005C3B55" w:rsidRDefault="00F555D6" w:rsidP="00F555D6">
            <w:pPr>
              <w:numPr>
                <w:ilvl w:val="0"/>
                <w:numId w:val="583"/>
              </w:numPr>
              <w:spacing w:before="240" w:after="0"/>
              <w:ind w:hanging="290"/>
              <w:jc w:val="left"/>
              <w:rPr>
                <w:szCs w:val="24"/>
              </w:rPr>
            </w:pPr>
            <w:r w:rsidRPr="005C3B55">
              <w:rPr>
                <w:szCs w:val="24"/>
              </w:rPr>
              <w:t>Livestock density: 0.2 to 1.5 LU/ha of grazing animals (average annual livestock density).</w:t>
            </w:r>
          </w:p>
          <w:p w:rsidR="00F555D6" w:rsidRPr="005C3B55" w:rsidRDefault="00F555D6" w:rsidP="00F555D6">
            <w:pPr>
              <w:numPr>
                <w:ilvl w:val="0"/>
                <w:numId w:val="583"/>
              </w:numPr>
              <w:spacing w:before="0" w:after="0"/>
              <w:ind w:hanging="290"/>
              <w:jc w:val="left"/>
              <w:rPr>
                <w:szCs w:val="24"/>
              </w:rPr>
            </w:pPr>
            <w:r w:rsidRPr="005C3B55">
              <w:rPr>
                <w:szCs w:val="24"/>
              </w:rPr>
              <w:t>Use: permanent grassland.</w:t>
            </w:r>
          </w:p>
          <w:p w:rsidR="00F555D6" w:rsidRPr="005C3B55" w:rsidRDefault="00F555D6" w:rsidP="00F555D6">
            <w:pPr>
              <w:numPr>
                <w:ilvl w:val="0"/>
                <w:numId w:val="583"/>
              </w:numPr>
              <w:spacing w:before="0" w:after="0"/>
              <w:ind w:hanging="290"/>
              <w:jc w:val="left"/>
              <w:rPr>
                <w:szCs w:val="24"/>
              </w:rPr>
            </w:pPr>
            <w:r w:rsidRPr="005C3B55">
              <w:rPr>
                <w:szCs w:val="24"/>
              </w:rPr>
              <w:t>Coverage: part of surfaces (at least 20% of grassland surfaces located within ecologically important areas of special grassland habitats).</w:t>
            </w:r>
          </w:p>
          <w:p w:rsidR="00F555D6" w:rsidRPr="005C3B55" w:rsidRDefault="00F555D6" w:rsidP="00F555D6">
            <w:pPr>
              <w:numPr>
                <w:ilvl w:val="0"/>
                <w:numId w:val="583"/>
              </w:numPr>
              <w:spacing w:before="0" w:after="0"/>
              <w:ind w:hanging="290"/>
              <w:jc w:val="left"/>
              <w:rPr>
                <w:szCs w:val="24"/>
              </w:rPr>
            </w:pPr>
            <w:r w:rsidRPr="005C3B55">
              <w:rPr>
                <w:szCs w:val="24"/>
              </w:rPr>
              <w:t>Location: the same throughout the commitment.</w:t>
            </w:r>
          </w:p>
          <w:p w:rsidR="00F555D6" w:rsidRPr="005C3B55" w:rsidRDefault="00F555D6" w:rsidP="00F555D6">
            <w:pPr>
              <w:numPr>
                <w:ilvl w:val="0"/>
                <w:numId w:val="583"/>
              </w:numPr>
              <w:spacing w:before="0" w:after="240"/>
              <w:ind w:hanging="290"/>
              <w:jc w:val="left"/>
              <w:rPr>
                <w:szCs w:val="24"/>
              </w:rPr>
            </w:pPr>
            <w:r w:rsidRPr="005C3B55">
              <w:rPr>
                <w:szCs w:val="24"/>
              </w:rPr>
              <w:t>Implementation area: ecologically important areas of special grassland habitats.</w:t>
            </w:r>
          </w:p>
          <w:p w:rsidR="00F555D6" w:rsidRPr="005C3B55" w:rsidRDefault="00F555D6" w:rsidP="00F555D6">
            <w:pPr>
              <w:spacing w:before="240" w:after="240" w:line="280" w:lineRule="auto"/>
              <w:rPr>
                <w:szCs w:val="24"/>
              </w:rPr>
            </w:pPr>
            <w:r w:rsidRPr="005C3B55">
              <w:rPr>
                <w:szCs w:val="24"/>
              </w:rPr>
              <w:t>Effects:</w:t>
            </w:r>
          </w:p>
          <w:p w:rsidR="00F555D6" w:rsidRPr="005C3B55" w:rsidRDefault="00F555D6" w:rsidP="00F555D6">
            <w:pPr>
              <w:numPr>
                <w:ilvl w:val="0"/>
                <w:numId w:val="584"/>
              </w:numPr>
              <w:spacing w:before="240" w:after="240"/>
              <w:ind w:hanging="290"/>
              <w:jc w:val="left"/>
              <w:rPr>
                <w:szCs w:val="24"/>
              </w:rPr>
            </w:pPr>
            <w:r w:rsidRPr="005C3B55">
              <w:rPr>
                <w:szCs w:val="24"/>
              </w:rPr>
              <w:t>conservation of the genetic pool of grassland species and species diversity.</w:t>
            </w:r>
          </w:p>
          <w:p w:rsidR="00F555D6" w:rsidRPr="005C3B55" w:rsidRDefault="00F555D6" w:rsidP="00F555D6">
            <w:pPr>
              <w:spacing w:before="240" w:after="240" w:line="280" w:lineRule="auto"/>
              <w:rPr>
                <w:szCs w:val="24"/>
              </w:rPr>
            </w:pPr>
            <w:r w:rsidRPr="005C3B55">
              <w:rPr>
                <w:b/>
                <w:i/>
                <w:szCs w:val="24"/>
              </w:rPr>
              <w:t>HAB_ORGG: Fertilisation with organic fertilisers only in limited quantity</w:t>
            </w:r>
          </w:p>
          <w:p w:rsidR="00F555D6" w:rsidRPr="005C3B55" w:rsidRDefault="00F555D6" w:rsidP="00F555D6">
            <w:pPr>
              <w:spacing w:before="240" w:after="240" w:line="280" w:lineRule="auto"/>
              <w:rPr>
                <w:szCs w:val="24"/>
              </w:rPr>
            </w:pPr>
            <w:r w:rsidRPr="005C3B55">
              <w:rPr>
                <w:szCs w:val="24"/>
              </w:rPr>
              <w:t>Endangered grassland habitat types which are protected and preserved under this operation mostly thrive on soil poor in nutrients which are as a rule fertilised little and irregularly. It is known that the species composition of a habitat type changes very quickly with fertilisation and thus the limitation of fertilisation is essential for the conservation of these habitat types. When implementing the requirement, the annual intake of nitrogen from organic fertilisers is limited to up to 40 kg/ha. The use of mineral fertilisers is not permitted.</w:t>
            </w:r>
          </w:p>
          <w:p w:rsidR="00F555D6" w:rsidRPr="005C3B55" w:rsidRDefault="00F555D6" w:rsidP="00F555D6">
            <w:pPr>
              <w:numPr>
                <w:ilvl w:val="0"/>
                <w:numId w:val="585"/>
              </w:numPr>
              <w:spacing w:before="240" w:after="0"/>
              <w:ind w:hanging="290"/>
              <w:jc w:val="left"/>
              <w:rPr>
                <w:szCs w:val="24"/>
              </w:rPr>
            </w:pPr>
            <w:r w:rsidRPr="005C3B55">
              <w:rPr>
                <w:szCs w:val="24"/>
              </w:rPr>
              <w:t>Livestock density: 0.2 to 1.5 LU/ha of grazing animals (average annual livestock density).</w:t>
            </w:r>
          </w:p>
          <w:p w:rsidR="00F555D6" w:rsidRPr="005C3B55" w:rsidRDefault="00F555D6" w:rsidP="00F555D6">
            <w:pPr>
              <w:numPr>
                <w:ilvl w:val="0"/>
                <w:numId w:val="585"/>
              </w:numPr>
              <w:spacing w:before="0" w:after="0"/>
              <w:ind w:hanging="290"/>
              <w:jc w:val="left"/>
              <w:rPr>
                <w:szCs w:val="24"/>
              </w:rPr>
            </w:pPr>
            <w:r w:rsidRPr="005C3B55">
              <w:rPr>
                <w:szCs w:val="24"/>
              </w:rPr>
              <w:t>Use: permanent grassland.</w:t>
            </w:r>
          </w:p>
          <w:p w:rsidR="00F555D6" w:rsidRPr="005C3B55" w:rsidRDefault="00F555D6" w:rsidP="00F555D6">
            <w:pPr>
              <w:numPr>
                <w:ilvl w:val="0"/>
                <w:numId w:val="585"/>
              </w:numPr>
              <w:spacing w:before="0" w:after="0"/>
              <w:ind w:hanging="290"/>
              <w:jc w:val="left"/>
              <w:rPr>
                <w:szCs w:val="24"/>
              </w:rPr>
            </w:pPr>
            <w:r w:rsidRPr="005C3B55">
              <w:rPr>
                <w:szCs w:val="24"/>
              </w:rPr>
              <w:t>Coverage: part of surfaces (at least 20% of grassland surfaces located within ecologically important areas of special grassland habitats).</w:t>
            </w:r>
          </w:p>
          <w:p w:rsidR="00F555D6" w:rsidRPr="005C3B55" w:rsidRDefault="00F555D6" w:rsidP="00F555D6">
            <w:pPr>
              <w:numPr>
                <w:ilvl w:val="0"/>
                <w:numId w:val="585"/>
              </w:numPr>
              <w:spacing w:before="0" w:after="0"/>
              <w:ind w:hanging="290"/>
              <w:jc w:val="left"/>
              <w:rPr>
                <w:szCs w:val="24"/>
              </w:rPr>
            </w:pPr>
            <w:r w:rsidRPr="005C3B55">
              <w:rPr>
                <w:szCs w:val="24"/>
              </w:rPr>
              <w:t>Location: the same throughout the commitment.</w:t>
            </w:r>
          </w:p>
          <w:p w:rsidR="00F555D6" w:rsidRPr="005C3B55" w:rsidRDefault="00F555D6" w:rsidP="00F555D6">
            <w:pPr>
              <w:numPr>
                <w:ilvl w:val="0"/>
                <w:numId w:val="585"/>
              </w:numPr>
              <w:spacing w:before="0" w:after="240"/>
              <w:ind w:hanging="290"/>
              <w:jc w:val="left"/>
              <w:rPr>
                <w:szCs w:val="24"/>
              </w:rPr>
            </w:pPr>
            <w:r w:rsidRPr="005C3B55">
              <w:rPr>
                <w:szCs w:val="24"/>
              </w:rPr>
              <w:t>Implementation area: ecologically important areas of special grassland habitats.</w:t>
            </w:r>
          </w:p>
          <w:p w:rsidR="00F555D6" w:rsidRPr="005C3B55" w:rsidRDefault="00F555D6" w:rsidP="00F555D6">
            <w:pPr>
              <w:spacing w:before="240" w:after="240" w:line="280" w:lineRule="auto"/>
              <w:rPr>
                <w:szCs w:val="24"/>
              </w:rPr>
            </w:pPr>
            <w:r w:rsidRPr="005C3B55">
              <w:rPr>
                <w:szCs w:val="24"/>
              </w:rPr>
              <w:t>Effects:</w:t>
            </w:r>
          </w:p>
          <w:p w:rsidR="00F555D6" w:rsidRPr="005C3B55" w:rsidRDefault="00F555D6" w:rsidP="00F555D6">
            <w:pPr>
              <w:numPr>
                <w:ilvl w:val="0"/>
                <w:numId w:val="586"/>
              </w:numPr>
              <w:spacing w:before="240" w:after="240"/>
              <w:ind w:hanging="290"/>
              <w:jc w:val="left"/>
              <w:rPr>
                <w:szCs w:val="24"/>
              </w:rPr>
            </w:pPr>
            <w:r w:rsidRPr="005C3B55">
              <w:rPr>
                <w:szCs w:val="24"/>
              </w:rPr>
              <w:t>conservation of Natura 2000 qualifying species and habitat types which are directly related to extensive meadows rich in species (conservation of special grassland habitats).</w:t>
            </w:r>
          </w:p>
          <w:p w:rsidR="00F555D6" w:rsidRPr="005C3B55" w:rsidRDefault="00F555D6" w:rsidP="00F555D6">
            <w:pPr>
              <w:spacing w:before="240" w:after="240" w:line="280" w:lineRule="auto"/>
              <w:rPr>
                <w:szCs w:val="24"/>
              </w:rPr>
            </w:pPr>
            <w:r w:rsidRPr="005C3B55">
              <w:rPr>
                <w:b/>
                <w:szCs w:val="24"/>
              </w:rPr>
              <w:t>B. Optional requirements</w:t>
            </w:r>
          </w:p>
          <w:p w:rsidR="00F555D6" w:rsidRPr="005C3B55" w:rsidRDefault="00F555D6" w:rsidP="00F555D6">
            <w:pPr>
              <w:spacing w:before="240" w:after="240" w:line="280" w:lineRule="auto"/>
              <w:rPr>
                <w:szCs w:val="24"/>
              </w:rPr>
            </w:pPr>
            <w:r w:rsidRPr="005C3B55">
              <w:rPr>
                <w:b/>
                <w:i/>
                <w:szCs w:val="24"/>
              </w:rPr>
              <w:t>HAB_MRVA: Harvesting of hay from grassland</w:t>
            </w:r>
          </w:p>
          <w:p w:rsidR="00F555D6" w:rsidRPr="005C3B55" w:rsidRDefault="00F555D6" w:rsidP="00F555D6">
            <w:pPr>
              <w:spacing w:before="240" w:after="240" w:line="280" w:lineRule="auto"/>
              <w:rPr>
                <w:szCs w:val="24"/>
              </w:rPr>
            </w:pPr>
            <w:r w:rsidRPr="005C3B55">
              <w:rPr>
                <w:szCs w:val="24"/>
              </w:rPr>
              <w:t>The requirement requires that grass be harvested in the form of hay; silage is not permitted. Ensilaging of grass impoverishes species diversity in the long term (disturbed seed production of certain species) because these meadows are mowed sooner than they would be if drying of hay and harvesting were implemented in a classic manner (transport of dry hay). In addition, a great number of large non-vertebrates (grasshoppers, caterpillars, etc.), which are food to other animals (birds) is captured in the plastic foil together with half-dry grass. The implementation of the requirement has a positive impact on the biodiversity and variety of the landscape.</w:t>
            </w:r>
          </w:p>
          <w:p w:rsidR="00F555D6" w:rsidRPr="005C3B55" w:rsidRDefault="00F555D6" w:rsidP="00F555D6">
            <w:pPr>
              <w:spacing w:before="240" w:after="240" w:line="280" w:lineRule="auto"/>
              <w:rPr>
                <w:szCs w:val="24"/>
              </w:rPr>
            </w:pPr>
            <w:r w:rsidRPr="005C3B55">
              <w:rPr>
                <w:szCs w:val="24"/>
              </w:rPr>
              <w:t>There should be no grass silage at the agricultural holdings.</w:t>
            </w:r>
          </w:p>
          <w:p w:rsidR="00F555D6" w:rsidRPr="005C3B55" w:rsidRDefault="00F555D6" w:rsidP="00F555D6">
            <w:pPr>
              <w:numPr>
                <w:ilvl w:val="0"/>
                <w:numId w:val="587"/>
              </w:numPr>
              <w:spacing w:before="240" w:after="0"/>
              <w:ind w:hanging="290"/>
              <w:jc w:val="left"/>
              <w:rPr>
                <w:szCs w:val="24"/>
              </w:rPr>
            </w:pPr>
            <w:r w:rsidRPr="005C3B55">
              <w:rPr>
                <w:szCs w:val="24"/>
              </w:rPr>
              <w:t>Livestock density: 0.2 to 1.5 LU/ha of grazing animals (average annual livestock density).</w:t>
            </w:r>
          </w:p>
          <w:p w:rsidR="00F555D6" w:rsidRPr="005C3B55" w:rsidRDefault="00F555D6" w:rsidP="00F555D6">
            <w:pPr>
              <w:numPr>
                <w:ilvl w:val="0"/>
                <w:numId w:val="587"/>
              </w:numPr>
              <w:spacing w:before="0" w:after="0"/>
              <w:ind w:hanging="290"/>
              <w:jc w:val="left"/>
              <w:rPr>
                <w:szCs w:val="24"/>
              </w:rPr>
            </w:pPr>
            <w:r w:rsidRPr="005C3B55">
              <w:rPr>
                <w:szCs w:val="24"/>
              </w:rPr>
              <w:t>Use: permanent grassland.</w:t>
            </w:r>
          </w:p>
          <w:p w:rsidR="00F555D6" w:rsidRPr="005C3B55" w:rsidRDefault="00F555D6" w:rsidP="00F555D6">
            <w:pPr>
              <w:numPr>
                <w:ilvl w:val="0"/>
                <w:numId w:val="587"/>
              </w:numPr>
              <w:spacing w:before="0" w:after="0"/>
              <w:ind w:hanging="290"/>
              <w:jc w:val="left"/>
              <w:rPr>
                <w:szCs w:val="24"/>
              </w:rPr>
            </w:pPr>
            <w:r w:rsidRPr="005C3B55">
              <w:rPr>
                <w:szCs w:val="24"/>
              </w:rPr>
              <w:t>Coverage: all permanent grassland surfaces located within ecologically important areas of special grassland habitats.</w:t>
            </w:r>
          </w:p>
          <w:p w:rsidR="00F555D6" w:rsidRPr="005C3B55" w:rsidRDefault="00F555D6" w:rsidP="00F555D6">
            <w:pPr>
              <w:numPr>
                <w:ilvl w:val="0"/>
                <w:numId w:val="587"/>
              </w:numPr>
              <w:spacing w:before="0" w:after="0"/>
              <w:ind w:hanging="290"/>
              <w:jc w:val="left"/>
              <w:rPr>
                <w:szCs w:val="24"/>
              </w:rPr>
            </w:pPr>
            <w:r w:rsidRPr="005C3B55">
              <w:rPr>
                <w:szCs w:val="24"/>
              </w:rPr>
              <w:t>Location: not relevant.</w:t>
            </w:r>
          </w:p>
          <w:p w:rsidR="00F555D6" w:rsidRPr="005C3B55" w:rsidRDefault="00F555D6" w:rsidP="00F555D6">
            <w:pPr>
              <w:numPr>
                <w:ilvl w:val="0"/>
                <w:numId w:val="587"/>
              </w:numPr>
              <w:spacing w:before="0" w:after="0"/>
              <w:ind w:hanging="290"/>
              <w:jc w:val="left"/>
              <w:rPr>
                <w:szCs w:val="24"/>
              </w:rPr>
            </w:pPr>
            <w:r w:rsidRPr="005C3B55">
              <w:rPr>
                <w:szCs w:val="24"/>
              </w:rPr>
              <w:t>Implementation area: ecologically important areas of special grassland habitats.</w:t>
            </w:r>
          </w:p>
          <w:p w:rsidR="00F555D6" w:rsidRPr="005C3B55" w:rsidRDefault="00F555D6" w:rsidP="00F555D6">
            <w:pPr>
              <w:spacing w:before="240" w:after="240" w:line="280" w:lineRule="auto"/>
              <w:rPr>
                <w:szCs w:val="24"/>
              </w:rPr>
            </w:pPr>
            <w:r w:rsidRPr="005C3B55">
              <w:rPr>
                <w:szCs w:val="24"/>
              </w:rPr>
              <w:t>Effects:</w:t>
            </w:r>
          </w:p>
          <w:p w:rsidR="00F555D6" w:rsidRPr="005C3B55" w:rsidRDefault="00F555D6" w:rsidP="00F555D6">
            <w:pPr>
              <w:numPr>
                <w:ilvl w:val="0"/>
                <w:numId w:val="588"/>
              </w:numPr>
              <w:spacing w:before="240" w:after="0"/>
              <w:ind w:hanging="290"/>
              <w:jc w:val="left"/>
              <w:rPr>
                <w:szCs w:val="24"/>
              </w:rPr>
            </w:pPr>
            <w:r w:rsidRPr="005C3B55">
              <w:rPr>
                <w:szCs w:val="24"/>
              </w:rPr>
              <w:t>preservation of meadows rich in species;</w:t>
            </w:r>
          </w:p>
          <w:p w:rsidR="00F555D6" w:rsidRPr="005C3B55" w:rsidRDefault="00F555D6" w:rsidP="00F555D6">
            <w:pPr>
              <w:numPr>
                <w:ilvl w:val="0"/>
                <w:numId w:val="588"/>
              </w:numPr>
              <w:spacing w:before="0" w:after="0"/>
              <w:ind w:hanging="290"/>
              <w:jc w:val="left"/>
              <w:rPr>
                <w:szCs w:val="24"/>
              </w:rPr>
            </w:pPr>
            <w:r w:rsidRPr="005C3B55">
              <w:rPr>
                <w:szCs w:val="24"/>
              </w:rPr>
              <w:t>providing the possibility of non-vertebrate survival which represent food for other species;</w:t>
            </w:r>
          </w:p>
          <w:p w:rsidR="00F555D6" w:rsidRPr="005C3B55" w:rsidRDefault="00F555D6" w:rsidP="00F555D6">
            <w:pPr>
              <w:numPr>
                <w:ilvl w:val="0"/>
                <w:numId w:val="588"/>
              </w:numPr>
              <w:spacing w:before="0" w:after="240"/>
              <w:ind w:hanging="290"/>
              <w:jc w:val="left"/>
              <w:rPr>
                <w:szCs w:val="24"/>
              </w:rPr>
            </w:pPr>
            <w:r w:rsidRPr="005C3B55">
              <w:rPr>
                <w:szCs w:val="24"/>
              </w:rPr>
              <w:t>reducing the use of polyethylene foil.</w:t>
            </w:r>
          </w:p>
          <w:p w:rsidR="00F555D6" w:rsidRPr="005C3B55" w:rsidRDefault="00F555D6" w:rsidP="00F555D6">
            <w:pPr>
              <w:spacing w:before="240" w:after="240" w:line="280" w:lineRule="auto"/>
              <w:rPr>
                <w:szCs w:val="24"/>
              </w:rPr>
            </w:pPr>
            <w:r w:rsidRPr="005C3B55">
              <w:rPr>
                <w:b/>
                <w:i/>
                <w:szCs w:val="24"/>
              </w:rPr>
              <w:t>HAB_NPAS: In geographical agricultural units larger than 1ha, the unmown surface of a meadow to be mown in the following year amounts to between 5 and 10% of the surface of the meadow</w:t>
            </w:r>
          </w:p>
          <w:p w:rsidR="00F555D6" w:rsidRPr="005C3B55" w:rsidRDefault="00F555D6" w:rsidP="00F555D6">
            <w:pPr>
              <w:spacing w:before="240" w:after="240" w:line="280" w:lineRule="auto"/>
              <w:rPr>
                <w:szCs w:val="24"/>
              </w:rPr>
            </w:pPr>
            <w:r w:rsidRPr="005C3B55">
              <w:rPr>
                <w:szCs w:val="24"/>
              </w:rPr>
              <w:t>Leaving surfaces unmown has positive effects on species and habitat types. The unmown surface is a donor zone for species which are affected due to agricultural use which fails to observe their ecological requirements. The unmown parts also represent an important refuge for various species of mammals, birds, butterflies and other insects. Leaving surfaces unmown over the winter is particularly important from the view of ensuring suitable conditions for successful realisation of the complete development cycle of butterflies. On unmown strips, grazing is not permitted.</w:t>
            </w:r>
          </w:p>
          <w:p w:rsidR="00F555D6" w:rsidRPr="005C3B55" w:rsidRDefault="00F555D6" w:rsidP="00F555D6">
            <w:pPr>
              <w:spacing w:before="240" w:after="240" w:line="280" w:lineRule="auto"/>
              <w:rPr>
                <w:szCs w:val="24"/>
              </w:rPr>
            </w:pPr>
            <w:r w:rsidRPr="005C3B55">
              <w:rPr>
                <w:szCs w:val="24"/>
              </w:rPr>
              <w:t>The purpose of the requirement is to stimulate good environmental practice on grassland of moderate intensity. The implementation of additional requirements will further enhance the environmental and nature conservation role of these grasslands. The specifics of Slovenian grassland are great fragmentation, dynamic configuration and the connection of areas with non-agricultural applications. This requirement will contribute to maintaining a favourable status of neighbouring habitats which will be target-protected within the framework of other operations.</w:t>
            </w:r>
          </w:p>
          <w:p w:rsidR="00F555D6" w:rsidRPr="005C3B55" w:rsidRDefault="00F555D6" w:rsidP="00F555D6">
            <w:pPr>
              <w:spacing w:before="240" w:after="240" w:line="280" w:lineRule="auto"/>
              <w:rPr>
                <w:szCs w:val="24"/>
              </w:rPr>
            </w:pPr>
            <w:r w:rsidRPr="005C3B55">
              <w:rPr>
                <w:szCs w:val="24"/>
              </w:rPr>
              <w:t>Unmown surface amounting to between 5 and 10% of the surface of a meadow may not be mown until 30 June of the following year.</w:t>
            </w:r>
          </w:p>
          <w:p w:rsidR="00F555D6" w:rsidRPr="005C3B55" w:rsidRDefault="00F555D6" w:rsidP="00F555D6">
            <w:pPr>
              <w:numPr>
                <w:ilvl w:val="0"/>
                <w:numId w:val="589"/>
              </w:numPr>
              <w:spacing w:before="240" w:after="0"/>
              <w:ind w:hanging="290"/>
              <w:jc w:val="left"/>
              <w:rPr>
                <w:szCs w:val="24"/>
              </w:rPr>
            </w:pPr>
            <w:r w:rsidRPr="005C3B55">
              <w:rPr>
                <w:szCs w:val="24"/>
              </w:rPr>
              <w:t>Livestock density: 0.2 to 1.5 LU/ha of grazing animals (average annual livestock density).</w:t>
            </w:r>
          </w:p>
          <w:p w:rsidR="00F555D6" w:rsidRPr="005C3B55" w:rsidRDefault="00F555D6" w:rsidP="00F555D6">
            <w:pPr>
              <w:numPr>
                <w:ilvl w:val="0"/>
                <w:numId w:val="589"/>
              </w:numPr>
              <w:spacing w:before="0" w:after="0"/>
              <w:ind w:hanging="290"/>
              <w:jc w:val="left"/>
              <w:rPr>
                <w:szCs w:val="24"/>
              </w:rPr>
            </w:pPr>
            <w:r w:rsidRPr="005C3B55">
              <w:rPr>
                <w:szCs w:val="24"/>
              </w:rPr>
              <w:t>Use: permanent grassland.</w:t>
            </w:r>
          </w:p>
          <w:p w:rsidR="00F555D6" w:rsidRPr="005C3B55" w:rsidRDefault="00F555D6" w:rsidP="00F555D6">
            <w:pPr>
              <w:numPr>
                <w:ilvl w:val="0"/>
                <w:numId w:val="589"/>
              </w:numPr>
              <w:spacing w:before="0" w:after="0"/>
              <w:ind w:hanging="290"/>
              <w:jc w:val="left"/>
              <w:rPr>
                <w:szCs w:val="24"/>
              </w:rPr>
            </w:pPr>
            <w:r w:rsidRPr="005C3B55">
              <w:rPr>
                <w:szCs w:val="24"/>
              </w:rPr>
              <w:t>Coverage: part of surfaces (at least 20% of surfaces located within ecologically important areas of special grassland habitats).</w:t>
            </w:r>
          </w:p>
          <w:p w:rsidR="00F555D6" w:rsidRPr="005C3B55" w:rsidRDefault="00F555D6" w:rsidP="00F555D6">
            <w:pPr>
              <w:numPr>
                <w:ilvl w:val="0"/>
                <w:numId w:val="589"/>
              </w:numPr>
              <w:spacing w:before="0" w:after="0"/>
              <w:ind w:hanging="290"/>
              <w:jc w:val="left"/>
              <w:rPr>
                <w:szCs w:val="24"/>
              </w:rPr>
            </w:pPr>
            <w:r w:rsidRPr="005C3B55">
              <w:rPr>
                <w:szCs w:val="24"/>
              </w:rPr>
              <w:t>Location: the same throughout the commitment.</w:t>
            </w:r>
          </w:p>
          <w:p w:rsidR="00F555D6" w:rsidRPr="005C3B55" w:rsidRDefault="00F555D6" w:rsidP="00F555D6">
            <w:pPr>
              <w:numPr>
                <w:ilvl w:val="0"/>
                <w:numId w:val="589"/>
              </w:numPr>
              <w:spacing w:before="0" w:after="240"/>
              <w:ind w:hanging="290"/>
              <w:jc w:val="left"/>
              <w:rPr>
                <w:szCs w:val="24"/>
              </w:rPr>
            </w:pPr>
            <w:r w:rsidRPr="005C3B55">
              <w:rPr>
                <w:szCs w:val="24"/>
              </w:rPr>
              <w:t>Implementation area: ecologically important areas of special grassland habitats.</w:t>
            </w:r>
          </w:p>
          <w:p w:rsidR="00F555D6" w:rsidRPr="005C3B55" w:rsidRDefault="00F555D6" w:rsidP="00F555D6">
            <w:pPr>
              <w:spacing w:before="240" w:after="240" w:line="280" w:lineRule="auto"/>
              <w:rPr>
                <w:szCs w:val="24"/>
              </w:rPr>
            </w:pPr>
            <w:r w:rsidRPr="005C3B55">
              <w:rPr>
                <w:szCs w:val="24"/>
              </w:rPr>
              <w:t>Effects:</w:t>
            </w:r>
          </w:p>
          <w:p w:rsidR="00F555D6" w:rsidRPr="005C3B55" w:rsidRDefault="00F555D6" w:rsidP="00F555D6">
            <w:pPr>
              <w:numPr>
                <w:ilvl w:val="0"/>
                <w:numId w:val="590"/>
              </w:numPr>
              <w:spacing w:before="240" w:after="0"/>
              <w:ind w:hanging="290"/>
              <w:jc w:val="left"/>
              <w:rPr>
                <w:szCs w:val="24"/>
              </w:rPr>
            </w:pPr>
            <w:r w:rsidRPr="005C3B55">
              <w:rPr>
                <w:szCs w:val="24"/>
              </w:rPr>
              <w:t>maintaining and increasing the possibilities of survival of endangered birds, butterflies and other small animals in meadows (conservation of biodiversity in nature);</w:t>
            </w:r>
          </w:p>
          <w:p w:rsidR="00F555D6" w:rsidRPr="005C3B55" w:rsidRDefault="00F555D6" w:rsidP="00F555D6">
            <w:pPr>
              <w:numPr>
                <w:ilvl w:val="0"/>
                <w:numId w:val="590"/>
              </w:numPr>
              <w:spacing w:before="0" w:after="240"/>
              <w:ind w:hanging="290"/>
              <w:jc w:val="left"/>
              <w:rPr>
                <w:szCs w:val="24"/>
              </w:rPr>
            </w:pPr>
            <w:r w:rsidRPr="005C3B55">
              <w:rPr>
                <w:szCs w:val="24"/>
              </w:rPr>
              <w:t>enabling the seeding of plants and preserving plant species typical of natural grassland.</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Type of support</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Support for the implementation of the operation Special grassland habitats consists of:</w:t>
            </w:r>
          </w:p>
          <w:p w:rsidR="00F555D6" w:rsidRPr="005C3B55" w:rsidRDefault="00F555D6" w:rsidP="00F555D6">
            <w:pPr>
              <w:numPr>
                <w:ilvl w:val="0"/>
                <w:numId w:val="591"/>
              </w:numPr>
              <w:spacing w:before="240" w:after="240"/>
              <w:ind w:hanging="290"/>
              <w:jc w:val="left"/>
              <w:rPr>
                <w:szCs w:val="24"/>
              </w:rPr>
            </w:pPr>
            <w:r w:rsidRPr="005C3B55">
              <w:rPr>
                <w:szCs w:val="24"/>
              </w:rPr>
              <w:t>payments per hectare for the implementation of mandatory requirements and/or at least one optional requirement of the beneficiary’s own choice.</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Connection with other legislation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The operation Special grassland habitats is connected with national and EU regulations in the field of measures of agricultural policy, agriculture, the environment, nature protection and rural development.</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Beneficiaries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Beneficiaries for payments are agricultural holdings which participate voluntarily in the implementation of the operation Special grassland habitats and meet the prescribed conditions and requirements.</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Eligible costs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Payments are only intended for those commitments within the operation ‘Special grassland habitats’ which exceed suitable mandatory standards determined in accordance with Chapter I, Title VI of Regulation (EU) No 1306/2013, suitable criteria determined in the second indent of item c) of the first paragraph of Article 4 of Regulation (EU) No 1307/2013, and other suitable mandatory requirements from national regulations.</w:t>
            </w:r>
          </w:p>
          <w:p w:rsidR="00F555D6" w:rsidRPr="005C3B55" w:rsidRDefault="00F555D6" w:rsidP="00F555D6">
            <w:pPr>
              <w:spacing w:before="240" w:after="240" w:line="280" w:lineRule="auto"/>
              <w:rPr>
                <w:szCs w:val="24"/>
              </w:rPr>
            </w:pPr>
            <w:r w:rsidRPr="005C3B55">
              <w:rPr>
                <w:szCs w:val="24"/>
              </w:rPr>
              <w:t>Payments cover 100 per cent of the additional costs and the loss of revenue due to the assumed commitment.</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Conditions for eligibility</w:t>
      </w:r>
    </w:p>
    <w:p w:rsidR="00F555D6" w:rsidRPr="005C3B55" w:rsidRDefault="00F555D6" w:rsidP="00F555D6">
      <w:pPr>
        <w:pStyle w:val="Naslov6"/>
        <w:tabs>
          <w:tab w:val="clear" w:pos="765"/>
        </w:tabs>
        <w:spacing w:before="0" w:after="0"/>
        <w:ind w:left="0" w:firstLine="0"/>
        <w:rPr>
          <w:szCs w:val="24"/>
          <w:lang w:val="en-GB"/>
        </w:rPr>
      </w:pP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When entering the M10 measure, an agricultural holding must:</w:t>
            </w:r>
          </w:p>
          <w:p w:rsidR="00F555D6" w:rsidRPr="005C3B55" w:rsidRDefault="00F555D6" w:rsidP="00F555D6">
            <w:pPr>
              <w:numPr>
                <w:ilvl w:val="0"/>
                <w:numId w:val="592"/>
              </w:numPr>
              <w:spacing w:before="240" w:after="0"/>
              <w:ind w:hanging="290"/>
              <w:jc w:val="left"/>
              <w:rPr>
                <w:szCs w:val="24"/>
              </w:rPr>
            </w:pPr>
            <w:r w:rsidRPr="005C3B55">
              <w:rPr>
                <w:szCs w:val="24"/>
              </w:rPr>
              <w:t>have at least 1 ha of agricultural land in use as per Article 4 of Regulation (EU) No 1307/2013;</w:t>
            </w:r>
          </w:p>
          <w:p w:rsidR="00F555D6" w:rsidRPr="005C3B55" w:rsidRDefault="00F555D6" w:rsidP="00F555D6">
            <w:pPr>
              <w:numPr>
                <w:ilvl w:val="0"/>
                <w:numId w:val="592"/>
              </w:numPr>
              <w:spacing w:before="0" w:after="0"/>
              <w:ind w:hanging="290"/>
              <w:jc w:val="left"/>
              <w:rPr>
                <w:szCs w:val="24"/>
              </w:rPr>
            </w:pPr>
            <w:r w:rsidRPr="005C3B55">
              <w:rPr>
                <w:szCs w:val="24"/>
              </w:rPr>
              <w:t>be entered in the register of agricultural holdings in accordance with the regulation on the register of agricultural holdings;</w:t>
            </w:r>
          </w:p>
          <w:p w:rsidR="00F555D6" w:rsidRPr="005C3B55" w:rsidRDefault="00F555D6" w:rsidP="00F555D6">
            <w:pPr>
              <w:numPr>
                <w:ilvl w:val="0"/>
                <w:numId w:val="592"/>
              </w:numPr>
              <w:spacing w:before="0" w:after="0"/>
              <w:ind w:hanging="290"/>
              <w:jc w:val="left"/>
              <w:rPr>
                <w:szCs w:val="24"/>
              </w:rPr>
            </w:pPr>
            <w:r w:rsidRPr="005C3B55">
              <w:rPr>
                <w:szCs w:val="24"/>
              </w:rPr>
              <w:t>undergo a six-hour training programme on agri-environment-climate content;</w:t>
            </w:r>
          </w:p>
          <w:p w:rsidR="00F555D6" w:rsidRPr="005C3B55" w:rsidRDefault="00F555D6" w:rsidP="00F555D6">
            <w:pPr>
              <w:numPr>
                <w:ilvl w:val="0"/>
                <w:numId w:val="592"/>
              </w:numPr>
              <w:spacing w:before="0" w:after="240"/>
              <w:ind w:hanging="290"/>
              <w:jc w:val="left"/>
              <w:rPr>
                <w:szCs w:val="24"/>
              </w:rPr>
            </w:pPr>
            <w:r w:rsidRPr="005C3B55">
              <w:rPr>
                <w:szCs w:val="24"/>
              </w:rPr>
              <w:t>prepare an activities programme of the agricultural holding which is an electronic document prepared as a result of advisory services.</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Principles regarding the determination of selection criteria</w:t>
      </w:r>
    </w:p>
    <w:p w:rsidR="00F555D6" w:rsidRPr="005C3B55" w:rsidRDefault="00F555D6" w:rsidP="00F555D6">
      <w:pPr>
        <w:pStyle w:val="Naslov6"/>
        <w:tabs>
          <w:tab w:val="clear" w:pos="765"/>
        </w:tabs>
        <w:spacing w:before="0" w:after="0"/>
        <w:ind w:left="0" w:firstLine="0"/>
        <w:rPr>
          <w:szCs w:val="24"/>
          <w:lang w:val="en-GB"/>
        </w:rPr>
      </w:pP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The selection criteria are not relevant.</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(Valid) amounts and support rates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The amount of payments for requirements within the operation Special grassland habitats amounts to 100 per cent of the amount of payments calculated as per the model calculation. Two amounts for payment are defined under the HAB_KOS requirement. The following sections within ecologically important areas of special grassland habitats are eligible for a higher payment, which also includes opportunity costs: Pregara – grassland, Bela Krajina, Dobličica, winegrowing Haloze, the Vipava Valley, Volčeke, Ličenca pri Poljčanah, the Mura River, the Drava River, Goričko, the Reka River, the Reka Valley, Javorniki – Snežnik, Notranjska triangle, Snežnik – the Pivka River, the Planinsko polje Plain, Vrbina, the Sava River – Medvode – Kresnice, the Ljubljana Marshes, Bohor, Marindol, Central Slovenske gorice, the Dravinja River with tributaries, the Krakovski gozd Forest – the Šentjernejsko polje Plain.</w:t>
            </w:r>
          </w:p>
          <w:p w:rsidR="00F555D6" w:rsidRPr="005C3B55" w:rsidRDefault="00F555D6" w:rsidP="00F555D6">
            <w:pPr>
              <w:pStyle w:val="Telobesedila"/>
              <w:rPr>
                <w:szCs w:val="24"/>
              </w:rPr>
            </w:pPr>
          </w:p>
          <w:p w:rsidR="00F555D6" w:rsidRPr="005C3B55" w:rsidRDefault="0012246E" w:rsidP="00F555D6">
            <w:pPr>
              <w:pStyle w:val="Telobesedila3"/>
              <w:jc w:val="center"/>
              <w:rPr>
                <w:szCs w:val="24"/>
              </w:rPr>
            </w:pPr>
            <w:r w:rsidRPr="005C3B55">
              <w:rPr>
                <w:noProof/>
                <w:szCs w:val="24"/>
                <w:lang w:val="sl-SI"/>
              </w:rPr>
              <w:drawing>
                <wp:inline distT="0" distB="0" distL="0" distR="0">
                  <wp:extent cx="4781550" cy="2181225"/>
                  <wp:effectExtent l="0" t="0" r="0" b="9525"/>
                  <wp:docPr id="1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781550" cy="2181225"/>
                          </a:xfrm>
                          <a:prstGeom prst="rect">
                            <a:avLst/>
                          </a:prstGeom>
                          <a:noFill/>
                          <a:ln>
                            <a:noFill/>
                          </a:ln>
                        </pic:spPr>
                      </pic:pic>
                    </a:graphicData>
                  </a:graphic>
                </wp:inline>
              </w:drawing>
            </w:r>
          </w:p>
          <w:p w:rsidR="00F555D6" w:rsidRPr="005C3B55" w:rsidRDefault="00F555D6" w:rsidP="00F555D6">
            <w:pPr>
              <w:pStyle w:val="Noga"/>
              <w:jc w:val="center"/>
              <w:rPr>
                <w:szCs w:val="24"/>
              </w:rPr>
            </w:pPr>
            <w:r w:rsidRPr="005C3B55">
              <w:rPr>
                <w:szCs w:val="24"/>
              </w:rPr>
              <w:t>Amount of payments for requirements within the operation Special grassland habitats</w:t>
            </w:r>
          </w:p>
          <w:p w:rsidR="00F555D6" w:rsidRPr="005C3B55" w:rsidRDefault="00F555D6" w:rsidP="00F555D6">
            <w:pPr>
              <w:pStyle w:val="Noga"/>
              <w:jc w:val="center"/>
              <w:rPr>
                <w:szCs w:val="24"/>
              </w:rPr>
            </w:pPr>
          </w:p>
        </w:tc>
      </w:tr>
    </w:tbl>
    <w:p w:rsidR="00F555D6" w:rsidRPr="005C3B55" w:rsidRDefault="00F555D6" w:rsidP="00F555D6">
      <w:pPr>
        <w:pStyle w:val="Naslov6"/>
        <w:numPr>
          <w:ilvl w:val="0"/>
          <w:numId w:val="0"/>
        </w:numPr>
        <w:rPr>
          <w:szCs w:val="24"/>
          <w:lang w:val="en-GB"/>
        </w:rPr>
      </w:pPr>
    </w:p>
    <w:p w:rsidR="00F555D6" w:rsidRPr="005C3B55" w:rsidRDefault="00F555D6" w:rsidP="00F555D6">
      <w:r w:rsidRPr="005C3B55">
        <w:t>Amount of payments (EUR/ha annually) for requirements within the operation ‘Special grassland habitats’</w:t>
      </w:r>
    </w:p>
    <w:tbl>
      <w:tblPr>
        <w:tblW w:w="5000" w:type="pct"/>
        <w:tblInd w:w="108"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2132"/>
        <w:gridCol w:w="2131"/>
        <w:gridCol w:w="2329"/>
        <w:gridCol w:w="1933"/>
        <w:gridCol w:w="2131"/>
      </w:tblGrid>
      <w:tr w:rsidR="00F555D6" w:rsidRPr="005C3B55">
        <w:tc>
          <w:tcPr>
            <w:tcW w:w="1000" w:type="pct"/>
            <w:tcBorders>
              <w:top w:val="single" w:sz="18" w:space="0" w:color="auto"/>
              <w:left w:val="single" w:sz="18" w:space="0" w:color="auto"/>
              <w:bottom w:val="single" w:sz="18" w:space="0" w:color="auto"/>
              <w:right w:val="single" w:sz="18" w:space="0" w:color="auto"/>
            </w:tcBorders>
            <w:shd w:val="clear" w:color="auto" w:fill="D9D9D9"/>
            <w:vAlign w:val="center"/>
          </w:tcPr>
          <w:p w:rsidR="00F555D6" w:rsidRPr="005C3B55" w:rsidRDefault="00F555D6" w:rsidP="00F555D6">
            <w:r w:rsidRPr="005C3B55">
              <w:rPr>
                <w:b/>
                <w:sz w:val="20"/>
              </w:rPr>
              <w:t>Requirement</w:t>
            </w:r>
          </w:p>
        </w:tc>
        <w:tc>
          <w:tcPr>
            <w:tcW w:w="1000" w:type="pct"/>
            <w:tcBorders>
              <w:top w:val="single" w:sz="18" w:space="0" w:color="auto"/>
              <w:left w:val="single" w:sz="18" w:space="0" w:color="auto"/>
              <w:bottom w:val="single" w:sz="18" w:space="0" w:color="auto"/>
              <w:right w:val="single" w:sz="18" w:space="0" w:color="auto"/>
            </w:tcBorders>
            <w:shd w:val="clear" w:color="auto" w:fill="D9D9D9"/>
            <w:vAlign w:val="center"/>
          </w:tcPr>
          <w:p w:rsidR="00F555D6" w:rsidRPr="005C3B55" w:rsidRDefault="00F555D6" w:rsidP="00F555D6">
            <w:pPr>
              <w:autoSpaceDE w:val="0"/>
              <w:autoSpaceDN w:val="0"/>
              <w:adjustRightInd w:val="0"/>
              <w:jc w:val="right"/>
            </w:pPr>
            <w:r w:rsidRPr="005C3B55">
              <w:rPr>
                <w:b/>
                <w:sz w:val="20"/>
              </w:rPr>
              <w:t>Calculated payment amount as per model calculation</w:t>
            </w:r>
          </w:p>
        </w:tc>
        <w:tc>
          <w:tcPr>
            <w:tcW w:w="1093" w:type="pct"/>
            <w:tcBorders>
              <w:top w:val="single" w:sz="18" w:space="0" w:color="auto"/>
              <w:left w:val="single" w:sz="18" w:space="0" w:color="auto"/>
              <w:bottom w:val="single" w:sz="18" w:space="0" w:color="auto"/>
              <w:right w:val="single" w:sz="18" w:space="0" w:color="auto"/>
            </w:tcBorders>
            <w:shd w:val="clear" w:color="auto" w:fill="D9D9D9"/>
            <w:vAlign w:val="center"/>
          </w:tcPr>
          <w:p w:rsidR="00F555D6" w:rsidRPr="005C3B55" w:rsidRDefault="00F555D6" w:rsidP="00F555D6">
            <w:pPr>
              <w:autoSpaceDE w:val="0"/>
              <w:autoSpaceDN w:val="0"/>
              <w:adjustRightInd w:val="0"/>
              <w:jc w:val="right"/>
            </w:pPr>
            <w:r w:rsidRPr="005C3B55">
              <w:rPr>
                <w:b/>
                <w:sz w:val="20"/>
              </w:rPr>
              <w:t>Highest possible payment as per Annex II to Regulation (EU) No 1305/2013</w:t>
            </w:r>
          </w:p>
        </w:tc>
        <w:tc>
          <w:tcPr>
            <w:tcW w:w="907" w:type="pct"/>
            <w:tcBorders>
              <w:top w:val="single" w:sz="18" w:space="0" w:color="auto"/>
              <w:left w:val="single" w:sz="18" w:space="0" w:color="auto"/>
              <w:bottom w:val="single" w:sz="18" w:space="0" w:color="auto"/>
              <w:right w:val="single" w:sz="18" w:space="0" w:color="auto"/>
            </w:tcBorders>
            <w:shd w:val="clear" w:color="auto" w:fill="D9D9D9"/>
            <w:vAlign w:val="center"/>
          </w:tcPr>
          <w:p w:rsidR="00F555D6" w:rsidRPr="005C3B55" w:rsidRDefault="00F555D6" w:rsidP="00F555D6">
            <w:pPr>
              <w:autoSpaceDE w:val="0"/>
              <w:autoSpaceDN w:val="0"/>
              <w:adjustRightInd w:val="0"/>
              <w:jc w:val="right"/>
            </w:pPr>
            <w:r w:rsidRPr="005C3B55">
              <w:rPr>
                <w:b/>
                <w:sz w:val="20"/>
              </w:rPr>
              <w:t>Highest possible amount</w:t>
            </w:r>
          </w:p>
        </w:tc>
        <w:tc>
          <w:tcPr>
            <w:tcW w:w="1000" w:type="pct"/>
            <w:tcBorders>
              <w:top w:val="single" w:sz="18" w:space="0" w:color="auto"/>
              <w:left w:val="single" w:sz="18" w:space="0" w:color="auto"/>
              <w:bottom w:val="single" w:sz="18" w:space="0" w:color="auto"/>
              <w:right w:val="single" w:sz="18" w:space="0" w:color="auto"/>
            </w:tcBorders>
            <w:shd w:val="clear" w:color="auto" w:fill="D9D9D9"/>
            <w:vAlign w:val="center"/>
          </w:tcPr>
          <w:p w:rsidR="00F555D6" w:rsidRPr="005C3B55" w:rsidRDefault="00F555D6" w:rsidP="00F555D6">
            <w:pPr>
              <w:jc w:val="right"/>
            </w:pPr>
            <w:r w:rsidRPr="005C3B55">
              <w:rPr>
                <w:b/>
                <w:sz w:val="20"/>
              </w:rPr>
              <w:t>Payment (100% of payment amount calculated as per model calculation)</w:t>
            </w:r>
          </w:p>
        </w:tc>
      </w:tr>
      <w:tr w:rsidR="00F555D6" w:rsidRPr="005C3B55">
        <w:tc>
          <w:tcPr>
            <w:tcW w:w="5000" w:type="pct"/>
            <w:gridSpan w:val="5"/>
            <w:tcBorders>
              <w:top w:val="single" w:sz="18" w:space="0" w:color="auto"/>
              <w:left w:val="single" w:sz="18" w:space="0" w:color="auto"/>
              <w:bottom w:val="single" w:sz="18" w:space="0" w:color="auto"/>
              <w:right w:val="single" w:sz="18" w:space="0" w:color="auto"/>
            </w:tcBorders>
            <w:shd w:val="clear" w:color="auto" w:fill="E0E0E0"/>
          </w:tcPr>
          <w:p w:rsidR="00F555D6" w:rsidRPr="005C3B55" w:rsidRDefault="00F555D6" w:rsidP="00F555D6">
            <w:r w:rsidRPr="005C3B55">
              <w:rPr>
                <w:b/>
                <w:sz w:val="20"/>
              </w:rPr>
              <w:t>Mandatory requirements</w:t>
            </w:r>
          </w:p>
        </w:tc>
      </w:tr>
      <w:tr w:rsidR="00F555D6" w:rsidRPr="005C3B55">
        <w:tc>
          <w:tcPr>
            <w:tcW w:w="1000" w:type="pct"/>
            <w:tcBorders>
              <w:top w:val="single" w:sz="18" w:space="0" w:color="auto"/>
              <w:left w:val="single" w:sz="18" w:space="0" w:color="auto"/>
              <w:bottom w:val="single" w:sz="18" w:space="0" w:color="auto"/>
              <w:right w:val="single" w:sz="18" w:space="0" w:color="auto"/>
            </w:tcBorders>
          </w:tcPr>
          <w:p w:rsidR="00F555D6" w:rsidRPr="005C3B55" w:rsidRDefault="00F555D6" w:rsidP="00F555D6">
            <w:pPr>
              <w:rPr>
                <w:sz w:val="20"/>
              </w:rPr>
            </w:pPr>
            <w:r w:rsidRPr="005C3B55">
              <w:rPr>
                <w:sz w:val="20"/>
              </w:rPr>
              <w:t>HAB_KOS (areas which take into account opportunity)</w:t>
            </w:r>
          </w:p>
        </w:tc>
        <w:tc>
          <w:tcPr>
            <w:tcW w:w="1000"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238.20</w:t>
            </w:r>
          </w:p>
        </w:tc>
        <w:tc>
          <w:tcPr>
            <w:tcW w:w="1093"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450</w:t>
            </w:r>
          </w:p>
        </w:tc>
        <w:tc>
          <w:tcPr>
            <w:tcW w:w="907"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238.20</w:t>
            </w:r>
          </w:p>
        </w:tc>
        <w:tc>
          <w:tcPr>
            <w:tcW w:w="1000"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238.20</w:t>
            </w:r>
          </w:p>
        </w:tc>
      </w:tr>
      <w:tr w:rsidR="00F555D6" w:rsidRPr="005C3B55">
        <w:tc>
          <w:tcPr>
            <w:tcW w:w="1000" w:type="pct"/>
            <w:tcBorders>
              <w:top w:val="single" w:sz="18" w:space="0" w:color="auto"/>
              <w:left w:val="single" w:sz="18" w:space="0" w:color="auto"/>
              <w:bottom w:val="single" w:sz="18" w:space="0" w:color="auto"/>
              <w:right w:val="single" w:sz="18" w:space="0" w:color="auto"/>
            </w:tcBorders>
          </w:tcPr>
          <w:p w:rsidR="00F555D6" w:rsidRPr="005C3B55" w:rsidRDefault="00F555D6" w:rsidP="00F555D6">
            <w:pPr>
              <w:rPr>
                <w:sz w:val="20"/>
              </w:rPr>
            </w:pPr>
            <w:r w:rsidRPr="005C3B55">
              <w:rPr>
                <w:sz w:val="20"/>
              </w:rPr>
              <w:t>HAB_KOS (other areas)</w:t>
            </w:r>
          </w:p>
        </w:tc>
        <w:tc>
          <w:tcPr>
            <w:tcW w:w="1000"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157.50</w:t>
            </w:r>
          </w:p>
        </w:tc>
        <w:tc>
          <w:tcPr>
            <w:tcW w:w="1093"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450</w:t>
            </w:r>
          </w:p>
        </w:tc>
        <w:tc>
          <w:tcPr>
            <w:tcW w:w="907"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157.50</w:t>
            </w:r>
          </w:p>
        </w:tc>
        <w:tc>
          <w:tcPr>
            <w:tcW w:w="1000"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157.50</w:t>
            </w:r>
          </w:p>
        </w:tc>
      </w:tr>
      <w:tr w:rsidR="00F555D6" w:rsidRPr="005C3B55">
        <w:tc>
          <w:tcPr>
            <w:tcW w:w="1000" w:type="pct"/>
            <w:tcBorders>
              <w:top w:val="single" w:sz="18" w:space="0" w:color="auto"/>
              <w:left w:val="single" w:sz="18" w:space="0" w:color="auto"/>
              <w:bottom w:val="single" w:sz="18" w:space="0" w:color="auto"/>
              <w:right w:val="single" w:sz="18" w:space="0" w:color="auto"/>
            </w:tcBorders>
          </w:tcPr>
          <w:p w:rsidR="00F555D6" w:rsidRPr="005C3B55" w:rsidRDefault="00F555D6" w:rsidP="00F555D6">
            <w:pPr>
              <w:rPr>
                <w:sz w:val="20"/>
              </w:rPr>
            </w:pPr>
            <w:r w:rsidRPr="005C3B55">
              <w:rPr>
                <w:sz w:val="20"/>
              </w:rPr>
              <w:t>HAB_ORGG</w:t>
            </w:r>
          </w:p>
        </w:tc>
        <w:tc>
          <w:tcPr>
            <w:tcW w:w="1000" w:type="pct"/>
            <w:tcBorders>
              <w:top w:val="single" w:sz="18" w:space="0" w:color="auto"/>
              <w:left w:val="single" w:sz="18" w:space="0" w:color="auto"/>
              <w:bottom w:val="single" w:sz="18" w:space="0" w:color="auto"/>
              <w:right w:val="single" w:sz="18" w:space="0" w:color="auto"/>
            </w:tcBorders>
          </w:tcPr>
          <w:p w:rsidR="00F555D6" w:rsidRPr="005C3B55" w:rsidRDefault="00F555D6" w:rsidP="00F555D6">
            <w:pPr>
              <w:jc w:val="right"/>
              <w:rPr>
                <w:sz w:val="20"/>
              </w:rPr>
            </w:pPr>
            <w:r w:rsidRPr="005C3B55">
              <w:rPr>
                <w:sz w:val="20"/>
              </w:rPr>
              <w:t>25.60</w:t>
            </w:r>
          </w:p>
        </w:tc>
        <w:tc>
          <w:tcPr>
            <w:tcW w:w="1093" w:type="pct"/>
            <w:tcBorders>
              <w:top w:val="single" w:sz="18" w:space="0" w:color="auto"/>
              <w:left w:val="single" w:sz="18" w:space="0" w:color="auto"/>
              <w:bottom w:val="single" w:sz="18" w:space="0" w:color="auto"/>
              <w:right w:val="single" w:sz="18" w:space="0" w:color="auto"/>
            </w:tcBorders>
          </w:tcPr>
          <w:p w:rsidR="00F555D6" w:rsidRPr="005C3B55" w:rsidRDefault="00F555D6" w:rsidP="00F555D6">
            <w:pPr>
              <w:jc w:val="right"/>
              <w:rPr>
                <w:sz w:val="20"/>
              </w:rPr>
            </w:pPr>
            <w:r w:rsidRPr="005C3B55">
              <w:rPr>
                <w:sz w:val="20"/>
              </w:rPr>
              <w:t>450</w:t>
            </w:r>
          </w:p>
        </w:tc>
        <w:tc>
          <w:tcPr>
            <w:tcW w:w="907" w:type="pct"/>
            <w:tcBorders>
              <w:top w:val="single" w:sz="18" w:space="0" w:color="auto"/>
              <w:left w:val="single" w:sz="18" w:space="0" w:color="auto"/>
              <w:bottom w:val="single" w:sz="18" w:space="0" w:color="auto"/>
              <w:right w:val="single" w:sz="18" w:space="0" w:color="auto"/>
            </w:tcBorders>
          </w:tcPr>
          <w:p w:rsidR="00F555D6" w:rsidRPr="005C3B55" w:rsidRDefault="00F555D6" w:rsidP="00F555D6">
            <w:pPr>
              <w:jc w:val="right"/>
              <w:rPr>
                <w:sz w:val="20"/>
              </w:rPr>
            </w:pPr>
            <w:r w:rsidRPr="005C3B55">
              <w:rPr>
                <w:sz w:val="20"/>
              </w:rPr>
              <w:t>25.60</w:t>
            </w:r>
          </w:p>
        </w:tc>
        <w:tc>
          <w:tcPr>
            <w:tcW w:w="1000" w:type="pct"/>
            <w:tcBorders>
              <w:top w:val="single" w:sz="18" w:space="0" w:color="auto"/>
              <w:left w:val="single" w:sz="18" w:space="0" w:color="auto"/>
              <w:bottom w:val="single" w:sz="18" w:space="0" w:color="auto"/>
              <w:right w:val="single" w:sz="18" w:space="0" w:color="auto"/>
            </w:tcBorders>
          </w:tcPr>
          <w:p w:rsidR="00F555D6" w:rsidRPr="005C3B55" w:rsidRDefault="00F555D6" w:rsidP="00F555D6">
            <w:pPr>
              <w:jc w:val="right"/>
              <w:rPr>
                <w:sz w:val="20"/>
              </w:rPr>
            </w:pPr>
            <w:r w:rsidRPr="005C3B55">
              <w:rPr>
                <w:sz w:val="20"/>
              </w:rPr>
              <w:t>25.60</w:t>
            </w:r>
          </w:p>
        </w:tc>
      </w:tr>
      <w:tr w:rsidR="00F555D6" w:rsidRPr="005C3B55">
        <w:tc>
          <w:tcPr>
            <w:tcW w:w="5000" w:type="pct"/>
            <w:gridSpan w:val="5"/>
            <w:tcBorders>
              <w:top w:val="single" w:sz="18" w:space="0" w:color="auto"/>
              <w:left w:val="single" w:sz="18" w:space="0" w:color="auto"/>
              <w:bottom w:val="single" w:sz="18" w:space="0" w:color="auto"/>
              <w:right w:val="single" w:sz="18" w:space="0" w:color="auto"/>
            </w:tcBorders>
            <w:shd w:val="clear" w:color="auto" w:fill="E0E0E0"/>
          </w:tcPr>
          <w:p w:rsidR="00F555D6" w:rsidRPr="005C3B55" w:rsidRDefault="00F555D6" w:rsidP="00F555D6">
            <w:r w:rsidRPr="005C3B55">
              <w:rPr>
                <w:b/>
                <w:sz w:val="20"/>
              </w:rPr>
              <w:t>Optional requirements</w:t>
            </w:r>
          </w:p>
        </w:tc>
      </w:tr>
      <w:tr w:rsidR="00F555D6" w:rsidRPr="005C3B55">
        <w:tc>
          <w:tcPr>
            <w:tcW w:w="1000" w:type="pct"/>
            <w:tcBorders>
              <w:top w:val="single" w:sz="18" w:space="0" w:color="auto"/>
              <w:left w:val="single" w:sz="18" w:space="0" w:color="auto"/>
              <w:bottom w:val="single" w:sz="18" w:space="0" w:color="auto"/>
              <w:right w:val="single" w:sz="18" w:space="0" w:color="auto"/>
            </w:tcBorders>
          </w:tcPr>
          <w:p w:rsidR="00F555D6" w:rsidRPr="005C3B55" w:rsidRDefault="00F555D6" w:rsidP="00F555D6">
            <w:pPr>
              <w:rPr>
                <w:sz w:val="20"/>
              </w:rPr>
            </w:pPr>
            <w:r w:rsidRPr="005C3B55">
              <w:rPr>
                <w:sz w:val="20"/>
              </w:rPr>
              <w:t>HAB_MRVA</w:t>
            </w:r>
          </w:p>
        </w:tc>
        <w:tc>
          <w:tcPr>
            <w:tcW w:w="1000" w:type="pct"/>
            <w:tcBorders>
              <w:top w:val="single" w:sz="18" w:space="0" w:color="auto"/>
              <w:left w:val="single" w:sz="18" w:space="0" w:color="auto"/>
              <w:bottom w:val="single" w:sz="18" w:space="0" w:color="auto"/>
              <w:right w:val="single" w:sz="18" w:space="0" w:color="auto"/>
            </w:tcBorders>
          </w:tcPr>
          <w:p w:rsidR="00F555D6" w:rsidRPr="005C3B55" w:rsidRDefault="00F555D6" w:rsidP="00F555D6">
            <w:pPr>
              <w:jc w:val="right"/>
              <w:rPr>
                <w:sz w:val="20"/>
              </w:rPr>
            </w:pPr>
            <w:r w:rsidRPr="005C3B55">
              <w:rPr>
                <w:sz w:val="20"/>
              </w:rPr>
              <w:t>7.10</w:t>
            </w:r>
          </w:p>
        </w:tc>
        <w:tc>
          <w:tcPr>
            <w:tcW w:w="1093" w:type="pct"/>
            <w:tcBorders>
              <w:top w:val="single" w:sz="18" w:space="0" w:color="auto"/>
              <w:left w:val="single" w:sz="18" w:space="0" w:color="auto"/>
              <w:bottom w:val="single" w:sz="18" w:space="0" w:color="auto"/>
              <w:right w:val="single" w:sz="18" w:space="0" w:color="auto"/>
            </w:tcBorders>
          </w:tcPr>
          <w:p w:rsidR="00F555D6" w:rsidRPr="005C3B55" w:rsidRDefault="00F555D6" w:rsidP="00F555D6">
            <w:pPr>
              <w:jc w:val="right"/>
              <w:rPr>
                <w:sz w:val="20"/>
              </w:rPr>
            </w:pPr>
            <w:r w:rsidRPr="005C3B55">
              <w:rPr>
                <w:sz w:val="20"/>
              </w:rPr>
              <w:t>450</w:t>
            </w:r>
          </w:p>
        </w:tc>
        <w:tc>
          <w:tcPr>
            <w:tcW w:w="907" w:type="pct"/>
            <w:tcBorders>
              <w:top w:val="single" w:sz="18" w:space="0" w:color="auto"/>
              <w:left w:val="single" w:sz="18" w:space="0" w:color="auto"/>
              <w:bottom w:val="single" w:sz="18" w:space="0" w:color="auto"/>
              <w:right w:val="single" w:sz="18" w:space="0" w:color="auto"/>
            </w:tcBorders>
          </w:tcPr>
          <w:p w:rsidR="00F555D6" w:rsidRPr="005C3B55" w:rsidRDefault="00F555D6" w:rsidP="00F555D6">
            <w:pPr>
              <w:jc w:val="right"/>
              <w:rPr>
                <w:sz w:val="20"/>
              </w:rPr>
            </w:pPr>
            <w:r w:rsidRPr="005C3B55">
              <w:rPr>
                <w:sz w:val="20"/>
              </w:rPr>
              <w:t>7.10</w:t>
            </w:r>
          </w:p>
        </w:tc>
        <w:tc>
          <w:tcPr>
            <w:tcW w:w="1000" w:type="pct"/>
            <w:tcBorders>
              <w:top w:val="single" w:sz="18" w:space="0" w:color="auto"/>
              <w:left w:val="single" w:sz="18" w:space="0" w:color="auto"/>
              <w:bottom w:val="single" w:sz="18" w:space="0" w:color="auto"/>
              <w:right w:val="single" w:sz="18" w:space="0" w:color="auto"/>
            </w:tcBorders>
          </w:tcPr>
          <w:p w:rsidR="00F555D6" w:rsidRPr="005C3B55" w:rsidRDefault="00F555D6" w:rsidP="00F555D6">
            <w:pPr>
              <w:jc w:val="right"/>
              <w:rPr>
                <w:sz w:val="20"/>
              </w:rPr>
            </w:pPr>
            <w:r w:rsidRPr="005C3B55">
              <w:rPr>
                <w:sz w:val="20"/>
              </w:rPr>
              <w:t>7.10</w:t>
            </w:r>
          </w:p>
        </w:tc>
      </w:tr>
      <w:tr w:rsidR="00F555D6" w:rsidRPr="005C3B55">
        <w:tc>
          <w:tcPr>
            <w:tcW w:w="1000" w:type="pct"/>
            <w:tcBorders>
              <w:top w:val="single" w:sz="18" w:space="0" w:color="auto"/>
              <w:left w:val="single" w:sz="18" w:space="0" w:color="auto"/>
              <w:bottom w:val="single" w:sz="18" w:space="0" w:color="auto"/>
              <w:right w:val="single" w:sz="18" w:space="0" w:color="auto"/>
            </w:tcBorders>
          </w:tcPr>
          <w:p w:rsidR="00F555D6" w:rsidRPr="005C3B55" w:rsidRDefault="00F555D6" w:rsidP="00F555D6">
            <w:pPr>
              <w:rPr>
                <w:sz w:val="20"/>
              </w:rPr>
            </w:pPr>
            <w:r w:rsidRPr="005C3B55">
              <w:rPr>
                <w:sz w:val="20"/>
              </w:rPr>
              <w:t>HAB_NPAS</w:t>
            </w:r>
          </w:p>
        </w:tc>
        <w:tc>
          <w:tcPr>
            <w:tcW w:w="1000" w:type="pct"/>
            <w:tcBorders>
              <w:top w:val="single" w:sz="18" w:space="0" w:color="auto"/>
              <w:left w:val="single" w:sz="18" w:space="0" w:color="auto"/>
              <w:bottom w:val="single" w:sz="18" w:space="0" w:color="auto"/>
              <w:right w:val="single" w:sz="18" w:space="0" w:color="auto"/>
            </w:tcBorders>
          </w:tcPr>
          <w:p w:rsidR="00F555D6" w:rsidRPr="005C3B55" w:rsidRDefault="00F555D6" w:rsidP="00F555D6">
            <w:pPr>
              <w:jc w:val="right"/>
              <w:rPr>
                <w:sz w:val="20"/>
              </w:rPr>
            </w:pPr>
            <w:r w:rsidRPr="005C3B55">
              <w:rPr>
                <w:sz w:val="20"/>
              </w:rPr>
              <w:t>42.50</w:t>
            </w:r>
          </w:p>
        </w:tc>
        <w:tc>
          <w:tcPr>
            <w:tcW w:w="1093" w:type="pct"/>
            <w:tcBorders>
              <w:top w:val="single" w:sz="18" w:space="0" w:color="auto"/>
              <w:left w:val="single" w:sz="18" w:space="0" w:color="auto"/>
              <w:bottom w:val="single" w:sz="18" w:space="0" w:color="auto"/>
              <w:right w:val="single" w:sz="18" w:space="0" w:color="auto"/>
            </w:tcBorders>
          </w:tcPr>
          <w:p w:rsidR="00F555D6" w:rsidRPr="005C3B55" w:rsidRDefault="00F555D6" w:rsidP="00F555D6">
            <w:pPr>
              <w:jc w:val="right"/>
              <w:rPr>
                <w:sz w:val="20"/>
              </w:rPr>
            </w:pPr>
            <w:r w:rsidRPr="005C3B55">
              <w:rPr>
                <w:sz w:val="20"/>
              </w:rPr>
              <w:t>450</w:t>
            </w:r>
          </w:p>
        </w:tc>
        <w:tc>
          <w:tcPr>
            <w:tcW w:w="907" w:type="pct"/>
            <w:tcBorders>
              <w:top w:val="single" w:sz="18" w:space="0" w:color="auto"/>
              <w:left w:val="single" w:sz="18" w:space="0" w:color="auto"/>
              <w:bottom w:val="single" w:sz="18" w:space="0" w:color="auto"/>
              <w:right w:val="single" w:sz="18" w:space="0" w:color="auto"/>
            </w:tcBorders>
          </w:tcPr>
          <w:p w:rsidR="00F555D6" w:rsidRPr="005C3B55" w:rsidRDefault="00F555D6" w:rsidP="00F555D6">
            <w:pPr>
              <w:jc w:val="right"/>
              <w:rPr>
                <w:sz w:val="20"/>
              </w:rPr>
            </w:pPr>
            <w:r w:rsidRPr="005C3B55">
              <w:rPr>
                <w:sz w:val="20"/>
              </w:rPr>
              <w:t>42.50</w:t>
            </w:r>
          </w:p>
        </w:tc>
        <w:tc>
          <w:tcPr>
            <w:tcW w:w="1000" w:type="pct"/>
            <w:tcBorders>
              <w:top w:val="single" w:sz="18" w:space="0" w:color="auto"/>
              <w:left w:val="single" w:sz="18" w:space="0" w:color="auto"/>
              <w:bottom w:val="single" w:sz="18" w:space="0" w:color="auto"/>
              <w:right w:val="single" w:sz="18" w:space="0" w:color="auto"/>
            </w:tcBorders>
          </w:tcPr>
          <w:p w:rsidR="00F555D6" w:rsidRPr="005C3B55" w:rsidRDefault="00F555D6" w:rsidP="00F555D6">
            <w:pPr>
              <w:jc w:val="right"/>
              <w:rPr>
                <w:sz w:val="20"/>
              </w:rPr>
            </w:pPr>
            <w:r w:rsidRPr="005C3B55">
              <w:rPr>
                <w:sz w:val="20"/>
              </w:rPr>
              <w:t>42.50</w:t>
            </w:r>
          </w:p>
        </w:tc>
      </w:tr>
    </w:tbl>
    <w:p w:rsidR="00F555D6" w:rsidRPr="005C3B55" w:rsidRDefault="00F555D6" w:rsidP="00F555D6"/>
    <w:p w:rsidR="00F555D6" w:rsidRPr="005C3B55" w:rsidRDefault="00F555D6" w:rsidP="00F555D6">
      <w:pPr>
        <w:pStyle w:val="Naslov6"/>
        <w:tabs>
          <w:tab w:val="clear" w:pos="765"/>
        </w:tabs>
        <w:ind w:left="0" w:firstLine="0"/>
        <w:rPr>
          <w:szCs w:val="24"/>
          <w:lang w:val="en-GB"/>
        </w:rPr>
      </w:pPr>
      <w:r w:rsidRPr="005C3B55">
        <w:rPr>
          <w:noProof w:val="0"/>
          <w:szCs w:val="24"/>
          <w:lang w:val="en-GB"/>
        </w:rPr>
        <w:t>Verifiability and possibility of control of measures and/or type of operations</w:t>
      </w:r>
    </w:p>
    <w:p w:rsidR="00F555D6" w:rsidRPr="005C3B55" w:rsidRDefault="00F555D6" w:rsidP="00F555D6">
      <w:pPr>
        <w:pStyle w:val="Naslov7"/>
        <w:tabs>
          <w:tab w:val="clear" w:pos="765"/>
        </w:tabs>
        <w:ind w:left="0" w:firstLine="0"/>
        <w:rPr>
          <w:szCs w:val="24"/>
          <w:lang w:val="en-GB"/>
        </w:rPr>
      </w:pPr>
      <w:r w:rsidRPr="005C3B55">
        <w:rPr>
          <w:noProof w:val="0"/>
          <w:szCs w:val="24"/>
          <w:lang w:val="en-GB"/>
        </w:rPr>
        <w:t>Risks in the implementation of the measure</w:t>
      </w:r>
    </w:p>
    <w:p w:rsidR="00F555D6" w:rsidRPr="005C3B55" w:rsidRDefault="00F555D6" w:rsidP="00F555D6">
      <w:pPr>
        <w:pStyle w:val="Naslov7"/>
        <w:numPr>
          <w:ilvl w:val="0"/>
          <w:numId w:val="0"/>
        </w:numPr>
        <w:spacing w:before="0" w:after="0"/>
        <w:rPr>
          <w:szCs w:val="24"/>
          <w:lang w:val="en-GB"/>
        </w:rPr>
      </w:pP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b/>
                <w:szCs w:val="24"/>
              </w:rPr>
              <w:t>R5: Requirements which are difficult to verify and/or control</w:t>
            </w:r>
          </w:p>
          <w:p w:rsidR="00F555D6" w:rsidRPr="005C3B55" w:rsidRDefault="00F555D6" w:rsidP="00F555D6">
            <w:pPr>
              <w:spacing w:before="240" w:after="240" w:line="280" w:lineRule="auto"/>
              <w:rPr>
                <w:szCs w:val="24"/>
              </w:rPr>
            </w:pPr>
            <w:r w:rsidRPr="005C3B55">
              <w:rPr>
                <w:szCs w:val="24"/>
              </w:rPr>
              <w:t>Certain requirements cannot be fully verified administratively, while the implementation of certain requirements is difficult to verify also with on-the-spot control. Fertilisation with organic fertilisers only in limited quantities is such a requirement.</w:t>
            </w:r>
          </w:p>
          <w:p w:rsidR="00F555D6" w:rsidRPr="005C3B55" w:rsidRDefault="00F555D6" w:rsidP="00F555D6">
            <w:pPr>
              <w:spacing w:before="240" w:after="240" w:line="280" w:lineRule="auto"/>
              <w:rPr>
                <w:szCs w:val="24"/>
              </w:rPr>
            </w:pPr>
            <w:r w:rsidRPr="005C3B55">
              <w:rPr>
                <w:b/>
                <w:szCs w:val="24"/>
              </w:rPr>
              <w:t>R6: General conditions for implementation</w:t>
            </w:r>
          </w:p>
          <w:p w:rsidR="00F555D6" w:rsidRPr="005C3B55" w:rsidRDefault="00F555D6" w:rsidP="00F555D6">
            <w:pPr>
              <w:spacing w:before="240" w:after="240" w:line="280" w:lineRule="auto"/>
              <w:rPr>
                <w:szCs w:val="24"/>
              </w:rPr>
            </w:pPr>
            <w:r w:rsidRPr="005C3B55">
              <w:rPr>
                <w:szCs w:val="24"/>
              </w:rPr>
              <w:t>Ill-timed adoption of regulations which regulate payments for the M10 measure and which enable beneficiaries to be informed about the eligibility conditions for implementing this operation, and insufficient knowledge of the conditions of the operation Special grassland habitats present a risk for the implementation of the M10 measure.</w:t>
            </w:r>
          </w:p>
          <w:p w:rsidR="00F555D6" w:rsidRPr="005C3B55" w:rsidRDefault="00F555D6" w:rsidP="00F555D6">
            <w:pPr>
              <w:spacing w:before="240" w:after="240" w:line="280" w:lineRule="auto"/>
              <w:rPr>
                <w:szCs w:val="24"/>
              </w:rPr>
            </w:pPr>
            <w:r w:rsidRPr="005C3B55">
              <w:rPr>
                <w:b/>
                <w:szCs w:val="24"/>
              </w:rPr>
              <w:t>R8: IT systems</w:t>
            </w:r>
          </w:p>
          <w:p w:rsidR="00F555D6" w:rsidRPr="005C3B55" w:rsidRDefault="00F555D6" w:rsidP="00F555D6">
            <w:pPr>
              <w:spacing w:before="240" w:after="240" w:line="280" w:lineRule="auto"/>
              <w:rPr>
                <w:szCs w:val="24"/>
              </w:rPr>
            </w:pPr>
            <w:r w:rsidRPr="005C3B55">
              <w:rPr>
                <w:szCs w:val="24"/>
              </w:rPr>
              <w:t>Unsuitable arrangement of certain databases when entering the verification system and consequently insufficient administrative controls when entering the operation Special grassland habitats.</w:t>
            </w:r>
          </w:p>
          <w:p w:rsidR="00F555D6" w:rsidRPr="005C3B55" w:rsidRDefault="00F555D6" w:rsidP="00F555D6">
            <w:pPr>
              <w:spacing w:before="240" w:after="240" w:line="280" w:lineRule="auto"/>
              <w:rPr>
                <w:szCs w:val="24"/>
              </w:rPr>
            </w:pPr>
            <w:r w:rsidRPr="005C3B55">
              <w:rPr>
                <w:b/>
                <w:szCs w:val="24"/>
              </w:rPr>
              <w:t>R9: Requests for payment</w:t>
            </w:r>
          </w:p>
          <w:p w:rsidR="00F555D6" w:rsidRPr="005C3B55" w:rsidRDefault="00F555D6" w:rsidP="00F555D6">
            <w:pPr>
              <w:spacing w:before="240" w:after="240" w:line="280" w:lineRule="auto"/>
              <w:rPr>
                <w:szCs w:val="24"/>
              </w:rPr>
            </w:pPr>
            <w:r w:rsidRPr="005C3B55">
              <w:rPr>
                <w:szCs w:val="24"/>
              </w:rPr>
              <w:t>Lack of, and delayed, information and insufficient knowledge of the operation Special grassland habitats, poor familiarisation with the procedure for submitting the application and the beneficiary’s incorrect reporting about the size of surfaces.</w:t>
            </w:r>
          </w:p>
          <w:p w:rsidR="00F555D6" w:rsidRPr="005C3B55" w:rsidRDefault="00F555D6" w:rsidP="00F555D6">
            <w:pPr>
              <w:pStyle w:val="Telobesedila"/>
              <w:rPr>
                <w:szCs w:val="24"/>
              </w:rPr>
            </w:pPr>
          </w:p>
        </w:tc>
      </w:tr>
    </w:tbl>
    <w:p w:rsidR="00F555D6" w:rsidRPr="005C3B55" w:rsidRDefault="00F555D6" w:rsidP="00F555D6">
      <w:pPr>
        <w:pStyle w:val="Naslov7"/>
        <w:tabs>
          <w:tab w:val="clear" w:pos="765"/>
        </w:tabs>
        <w:ind w:left="0" w:firstLine="0"/>
        <w:rPr>
          <w:szCs w:val="24"/>
          <w:lang w:val="en-GB"/>
        </w:rPr>
      </w:pPr>
      <w:r w:rsidRPr="005C3B55">
        <w:rPr>
          <w:noProof w:val="0"/>
          <w:szCs w:val="24"/>
          <w:lang w:val="en-GB"/>
        </w:rPr>
        <w:t>Mitigation measures</w:t>
      </w:r>
    </w:p>
    <w:p w:rsidR="00F555D6" w:rsidRPr="005C3B55" w:rsidRDefault="00F555D6" w:rsidP="00F555D6">
      <w:pPr>
        <w:pStyle w:val="Naslov7"/>
        <w:tabs>
          <w:tab w:val="clear" w:pos="765"/>
        </w:tabs>
        <w:spacing w:before="0" w:after="0"/>
        <w:ind w:left="0" w:firstLine="0"/>
        <w:rPr>
          <w:szCs w:val="24"/>
          <w:lang w:val="en-GB"/>
        </w:rPr>
      </w:pP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b/>
                <w:szCs w:val="24"/>
              </w:rPr>
              <w:t>R5: Requirements which are difficult to verify and/or control</w:t>
            </w:r>
          </w:p>
          <w:p w:rsidR="00F555D6" w:rsidRPr="005C3B55" w:rsidRDefault="00F555D6" w:rsidP="00F555D6">
            <w:pPr>
              <w:spacing w:before="240" w:after="240" w:line="280" w:lineRule="auto"/>
              <w:rPr>
                <w:szCs w:val="24"/>
              </w:rPr>
            </w:pPr>
            <w:r w:rsidRPr="005C3B55">
              <w:rPr>
                <w:szCs w:val="24"/>
              </w:rPr>
              <w:t>Administrative control will be upgraded accordingly for certain requirements (to control the number of animals and to integrate a suitable share of surfaces into the operation).</w:t>
            </w:r>
          </w:p>
          <w:p w:rsidR="00F555D6" w:rsidRPr="005C3B55" w:rsidRDefault="00F555D6" w:rsidP="00F555D6">
            <w:pPr>
              <w:spacing w:before="240" w:after="240" w:line="280" w:lineRule="auto"/>
              <w:rPr>
                <w:szCs w:val="24"/>
              </w:rPr>
            </w:pPr>
            <w:r w:rsidRPr="005C3B55">
              <w:rPr>
                <w:szCs w:val="24"/>
              </w:rPr>
              <w:t>Requirements for implementing the M10 measure which cannot be verified administratively will be verified or controlled on the spot, which will observe the temporal component when implementing verification, the situation on the agricultural holding reviewed, schemes of strips and verification on the basis of records.</w:t>
            </w:r>
          </w:p>
          <w:p w:rsidR="00F555D6" w:rsidRPr="005C3B55" w:rsidRDefault="00F555D6" w:rsidP="00F555D6">
            <w:pPr>
              <w:spacing w:before="240" w:after="240" w:line="280" w:lineRule="auto"/>
              <w:rPr>
                <w:szCs w:val="24"/>
              </w:rPr>
            </w:pPr>
            <w:r w:rsidRPr="005C3B55">
              <w:rPr>
                <w:b/>
                <w:szCs w:val="24"/>
              </w:rPr>
              <w:t>R6: General conditions for implementation</w:t>
            </w:r>
          </w:p>
          <w:p w:rsidR="00F555D6" w:rsidRPr="005C3B55" w:rsidRDefault="00F555D6" w:rsidP="00F555D6">
            <w:pPr>
              <w:spacing w:before="240" w:after="240" w:line="280" w:lineRule="auto"/>
              <w:rPr>
                <w:szCs w:val="24"/>
              </w:rPr>
            </w:pPr>
            <w:r w:rsidRPr="005C3B55">
              <w:rPr>
                <w:szCs w:val="24"/>
              </w:rPr>
              <w:t>Prior to entering in the operation Special grassland habitats, a beneficiary will have to undergo a mandatory six-hour training which is one of the eligibility conditions. At the training, the beneficiary will become acquainted with the eligibility conditions for entering in the operation and requirements for implementing the operation, including the Rural Development Programme 2014–2020 and the national regulation regulating payments for the M10 measure.</w:t>
            </w:r>
          </w:p>
          <w:p w:rsidR="00F555D6" w:rsidRPr="005C3B55" w:rsidRDefault="00F555D6" w:rsidP="00F555D6">
            <w:pPr>
              <w:spacing w:before="240" w:after="240" w:line="280" w:lineRule="auto"/>
              <w:rPr>
                <w:szCs w:val="24"/>
              </w:rPr>
            </w:pPr>
            <w:r w:rsidRPr="005C3B55">
              <w:rPr>
                <w:szCs w:val="24"/>
              </w:rPr>
              <w:t>After the training, the beneficiary will be able to prepare a programme of activities of the agricultural holding in which it will determine which operation and requirements within the M10 measure it will implement.</w:t>
            </w:r>
          </w:p>
          <w:p w:rsidR="00F555D6" w:rsidRPr="005C3B55" w:rsidRDefault="00F555D6" w:rsidP="00F555D6">
            <w:pPr>
              <w:spacing w:before="240" w:after="240" w:line="280" w:lineRule="auto"/>
              <w:rPr>
                <w:szCs w:val="24"/>
              </w:rPr>
            </w:pPr>
            <w:r w:rsidRPr="005C3B55">
              <w:rPr>
                <w:b/>
                <w:szCs w:val="24"/>
              </w:rPr>
              <w:t>R8: IT systems</w:t>
            </w:r>
          </w:p>
          <w:p w:rsidR="00F555D6" w:rsidRPr="005C3B55" w:rsidRDefault="00F555D6" w:rsidP="00F555D6">
            <w:pPr>
              <w:spacing w:before="240" w:after="240" w:line="280" w:lineRule="auto"/>
              <w:rPr>
                <w:szCs w:val="24"/>
              </w:rPr>
            </w:pPr>
            <w:r w:rsidRPr="005C3B55">
              <w:rPr>
                <w:szCs w:val="24"/>
              </w:rPr>
              <w:t>Suitable connections will be established and certain databases arranged (registers, records, suitability of combinations of requirements within or between operations, and suitable integration of surfaces into the requirements of this operation).</w:t>
            </w:r>
          </w:p>
          <w:p w:rsidR="00F555D6" w:rsidRPr="005C3B55" w:rsidRDefault="00F555D6" w:rsidP="00F555D6">
            <w:pPr>
              <w:spacing w:before="240" w:after="240" w:line="280" w:lineRule="auto"/>
              <w:rPr>
                <w:szCs w:val="24"/>
              </w:rPr>
            </w:pPr>
            <w:r w:rsidRPr="005C3B55">
              <w:rPr>
                <w:szCs w:val="24"/>
              </w:rPr>
              <w:t>An application enabling cross-checking of data from different databases will be established.</w:t>
            </w:r>
          </w:p>
          <w:p w:rsidR="00F555D6" w:rsidRPr="005C3B55" w:rsidRDefault="00F555D6" w:rsidP="00F555D6">
            <w:pPr>
              <w:spacing w:before="240" w:after="240" w:line="280" w:lineRule="auto"/>
              <w:rPr>
                <w:szCs w:val="24"/>
              </w:rPr>
            </w:pPr>
            <w:r w:rsidRPr="005C3B55">
              <w:rPr>
                <w:b/>
                <w:szCs w:val="24"/>
              </w:rPr>
              <w:t>R9: Requests for payment</w:t>
            </w:r>
          </w:p>
          <w:p w:rsidR="00F555D6" w:rsidRPr="005C3B55" w:rsidRDefault="00F555D6" w:rsidP="00F555D6">
            <w:pPr>
              <w:spacing w:before="240" w:after="240" w:line="280" w:lineRule="auto"/>
              <w:rPr>
                <w:szCs w:val="24"/>
              </w:rPr>
            </w:pPr>
            <w:r w:rsidRPr="005C3B55">
              <w:rPr>
                <w:szCs w:val="24"/>
              </w:rPr>
              <w:t>Mandatory annual four-hour training and mandatory use of advisory services at least once in the first three years of the commitment are introduced in order for beneficiaries to be suitably informed about all conditions and requirements for the implementation of the M10 measure. Regular annual informing of beneficiaries about their commitments related to the implementation of the M10 measure as part of the annual campaign for implementing requests for agricultural policy measures during the year and also within the scope of specific and purpose-oriented informing of beneficiaries is envisaged</w:t>
            </w:r>
            <w:r w:rsidRPr="005C3B55">
              <w:rPr>
                <w:rFonts w:ascii="TimesNewRoman" w:hAnsi="TimesNewRoman"/>
                <w:szCs w:val="24"/>
              </w:rPr>
              <w:t>.</w:t>
            </w:r>
          </w:p>
          <w:p w:rsidR="00F555D6" w:rsidRPr="005C3B55" w:rsidRDefault="00F555D6" w:rsidP="00F555D6">
            <w:pPr>
              <w:spacing w:before="240" w:after="240" w:line="280" w:lineRule="auto"/>
              <w:rPr>
                <w:szCs w:val="24"/>
              </w:rPr>
            </w:pPr>
            <w:r w:rsidRPr="005C3B55">
              <w:rPr>
                <w:szCs w:val="24"/>
              </w:rPr>
              <w:t>On the basis of the programme of activities, the request for payment will be submitted electronically on prescribed forms, by means of which a beneficiary will define for which requirements within individual operations of the M10 measure it will request payment.</w:t>
            </w:r>
          </w:p>
          <w:p w:rsidR="00F555D6" w:rsidRPr="005C3B55" w:rsidRDefault="00F555D6" w:rsidP="00F555D6">
            <w:pPr>
              <w:spacing w:before="240" w:after="240" w:line="280" w:lineRule="auto"/>
              <w:rPr>
                <w:szCs w:val="24"/>
              </w:rPr>
            </w:pPr>
            <w:r w:rsidRPr="005C3B55">
              <w:rPr>
                <w:szCs w:val="24"/>
              </w:rPr>
              <w:t>The upgrading of the IT system for control will be implemented, which will allow certain verifications and controls already upon the submission of the request for payment (suitability of use and size of surface, suitability of areas, suitability of combinations of requests and operations, and suitable integration of surfaces in the requirements of this operation). If a beneficiary fails to meet the eligibility conditions for entering the M10 measure, they will be alerted to the shortcomings which they will be able to eliminate by the prescribed deadline; otherwise, it will not be possible to submit a request for payment.</w:t>
            </w:r>
          </w:p>
          <w:p w:rsidR="00F555D6" w:rsidRPr="005C3B55" w:rsidRDefault="00F555D6" w:rsidP="00F555D6">
            <w:pPr>
              <w:spacing w:before="240" w:after="240" w:line="280" w:lineRule="auto"/>
              <w:rPr>
                <w:szCs w:val="24"/>
              </w:rPr>
            </w:pPr>
            <w:r w:rsidRPr="005C3B55">
              <w:rPr>
                <w:szCs w:val="24"/>
              </w:rPr>
              <w:t>Unpermitted combinations of individual requirements within the operation Special grassland habitats and required combinations of requirements of this operation within other operations of the M10 measure will be disabled.</w:t>
            </w:r>
          </w:p>
          <w:p w:rsidR="00F555D6" w:rsidRPr="005C3B55" w:rsidRDefault="00F555D6" w:rsidP="00F555D6">
            <w:pPr>
              <w:spacing w:before="240" w:after="240" w:line="280" w:lineRule="auto"/>
              <w:rPr>
                <w:szCs w:val="24"/>
              </w:rPr>
            </w:pPr>
            <w:r w:rsidRPr="005C3B55">
              <w:rPr>
                <w:szCs w:val="24"/>
              </w:rPr>
              <w:t>A beneficiary who will also be included in the implementation of the M11 measure will not have the opportunity to submit the request for unauthorised combinations of this measure with the M10 measure.</w:t>
            </w:r>
          </w:p>
          <w:p w:rsidR="00F555D6" w:rsidRPr="005C3B55" w:rsidRDefault="00F555D6" w:rsidP="00F555D6">
            <w:pPr>
              <w:pStyle w:val="Telobesedila"/>
              <w:rPr>
                <w:szCs w:val="24"/>
              </w:rPr>
            </w:pPr>
          </w:p>
        </w:tc>
      </w:tr>
    </w:tbl>
    <w:p w:rsidR="00F555D6" w:rsidRPr="005C3B55" w:rsidRDefault="00F555D6" w:rsidP="00F555D6">
      <w:pPr>
        <w:pStyle w:val="Naslov7"/>
        <w:tabs>
          <w:tab w:val="clear" w:pos="765"/>
        </w:tabs>
        <w:ind w:left="0" w:firstLine="0"/>
        <w:rPr>
          <w:szCs w:val="24"/>
          <w:lang w:val="en-GB"/>
        </w:rPr>
      </w:pPr>
      <w:r w:rsidRPr="005C3B55">
        <w:rPr>
          <w:noProof w:val="0"/>
          <w:szCs w:val="24"/>
          <w:lang w:val="en-GB"/>
        </w:rPr>
        <w:t>General assessment of the measure</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 xml:space="preserve">Described in Chapter </w:t>
            </w:r>
            <w:r w:rsidRPr="005C3B55">
              <w:rPr>
                <w:i/>
                <w:szCs w:val="24"/>
              </w:rPr>
              <w:t>8.2.9.4.3 General assessment of the measure</w:t>
            </w:r>
            <w:r w:rsidRPr="005C3B55">
              <w:rPr>
                <w:szCs w:val="24"/>
              </w:rPr>
              <w:t>.</w:t>
            </w:r>
          </w:p>
          <w:p w:rsidR="00F555D6" w:rsidRPr="005C3B55" w:rsidRDefault="00F555D6" w:rsidP="00F555D6">
            <w:pPr>
              <w:pStyle w:val="Telobesedila"/>
              <w:rPr>
                <w:szCs w:val="24"/>
              </w:rPr>
            </w:pPr>
          </w:p>
        </w:tc>
      </w:tr>
    </w:tbl>
    <w:p w:rsidR="00F555D6" w:rsidRPr="005C3B55" w:rsidRDefault="00F555D6" w:rsidP="00F555D6">
      <w:pPr>
        <w:pStyle w:val="Naslov7"/>
        <w:tabs>
          <w:tab w:val="clear" w:pos="765"/>
        </w:tabs>
        <w:ind w:left="0" w:firstLine="0"/>
        <w:rPr>
          <w:szCs w:val="24"/>
          <w:lang w:val="en-GB"/>
        </w:rPr>
      </w:pPr>
      <w:r w:rsidRPr="005C3B55">
        <w:rPr>
          <w:noProof w:val="0"/>
          <w:szCs w:val="24"/>
          <w:lang w:val="en-GB"/>
        </w:rPr>
        <w:t>Agri-environment-climate commitments</w:t>
      </w:r>
    </w:p>
    <w:p w:rsidR="00F555D6" w:rsidRPr="005C3B55" w:rsidRDefault="00F555D6" w:rsidP="00F555D6">
      <w:pPr>
        <w:pStyle w:val="Naslov8"/>
        <w:tabs>
          <w:tab w:val="clear" w:pos="765"/>
        </w:tabs>
        <w:ind w:left="0" w:firstLine="0"/>
        <w:rPr>
          <w:b w:val="0"/>
          <w:szCs w:val="24"/>
          <w:lang w:val="en-GB"/>
        </w:rPr>
      </w:pPr>
      <w:r w:rsidRPr="005C3B55">
        <w:rPr>
          <w:b w:val="0"/>
          <w:noProof w:val="0"/>
          <w:szCs w:val="24"/>
          <w:lang w:val="en-GB"/>
        </w:rPr>
        <w:t>HAB_KOS:</w:t>
      </w:r>
      <w:r w:rsidRPr="005C3B55">
        <w:rPr>
          <w:b w:val="0"/>
          <w:szCs w:val="24"/>
          <w:lang w:val="en-GB"/>
        </w:rPr>
        <w:t xml:space="preserve"> </w:t>
      </w:r>
      <w:r w:rsidRPr="005C3B55">
        <w:rPr>
          <w:b w:val="0"/>
          <w:noProof w:val="0"/>
          <w:szCs w:val="24"/>
          <w:lang w:val="en-GB"/>
        </w:rPr>
        <w:t>Mowing/pasturing is not permitted before 30 June</w:t>
      </w:r>
    </w:p>
    <w:p w:rsidR="00F555D6" w:rsidRPr="005C3B55" w:rsidRDefault="00F555D6" w:rsidP="00F555D6">
      <w:pPr>
        <w:pStyle w:val="Naslov9"/>
        <w:tabs>
          <w:tab w:val="clear" w:pos="765"/>
        </w:tabs>
        <w:ind w:left="0" w:firstLine="0"/>
        <w:rPr>
          <w:szCs w:val="24"/>
          <w:lang w:val="en-GB"/>
        </w:rPr>
      </w:pPr>
      <w:r w:rsidRPr="005C3B55">
        <w:rPr>
          <w:noProof w:val="0"/>
          <w:szCs w:val="24"/>
          <w:lang w:val="en-GB"/>
        </w:rPr>
        <w:t>Methods of commitment verification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Administrative control:</w:t>
            </w:r>
          </w:p>
          <w:p w:rsidR="00F555D6" w:rsidRPr="005C3B55" w:rsidRDefault="00F555D6" w:rsidP="00F555D6">
            <w:pPr>
              <w:numPr>
                <w:ilvl w:val="0"/>
                <w:numId w:val="593"/>
              </w:numPr>
              <w:spacing w:before="240" w:after="0"/>
              <w:ind w:hanging="290"/>
              <w:jc w:val="left"/>
              <w:rPr>
                <w:szCs w:val="24"/>
              </w:rPr>
            </w:pPr>
            <w:r w:rsidRPr="005C3B55">
              <w:rPr>
                <w:szCs w:val="24"/>
              </w:rPr>
              <w:t>suitability of the area through the register of agricultural holdings;</w:t>
            </w:r>
          </w:p>
          <w:p w:rsidR="00F555D6" w:rsidRPr="005C3B55" w:rsidRDefault="00F555D6" w:rsidP="00F555D6">
            <w:pPr>
              <w:numPr>
                <w:ilvl w:val="0"/>
                <w:numId w:val="593"/>
              </w:numPr>
              <w:spacing w:before="0" w:after="0"/>
              <w:ind w:hanging="290"/>
              <w:jc w:val="left"/>
              <w:rPr>
                <w:szCs w:val="24"/>
              </w:rPr>
            </w:pPr>
            <w:r w:rsidRPr="005C3B55">
              <w:rPr>
                <w:szCs w:val="24"/>
              </w:rPr>
              <w:t>suitability of the agricultural plant through collective application;</w:t>
            </w:r>
          </w:p>
          <w:p w:rsidR="00F555D6" w:rsidRPr="005C3B55" w:rsidRDefault="00F555D6" w:rsidP="00F555D6">
            <w:pPr>
              <w:numPr>
                <w:ilvl w:val="0"/>
                <w:numId w:val="593"/>
              </w:numPr>
              <w:spacing w:before="0" w:after="240"/>
              <w:ind w:hanging="290"/>
              <w:jc w:val="left"/>
              <w:rPr>
                <w:szCs w:val="24"/>
              </w:rPr>
            </w:pPr>
            <w:r w:rsidRPr="005C3B55">
              <w:rPr>
                <w:szCs w:val="24"/>
              </w:rPr>
              <w:t>control of livestock density through collective applications, registers, registers of farm animals.</w:t>
            </w:r>
          </w:p>
          <w:p w:rsidR="00F555D6" w:rsidRPr="005C3B55" w:rsidRDefault="00F555D6" w:rsidP="00F555D6">
            <w:pPr>
              <w:spacing w:before="240" w:after="240" w:line="280" w:lineRule="auto"/>
              <w:rPr>
                <w:szCs w:val="24"/>
              </w:rPr>
            </w:pPr>
            <w:r w:rsidRPr="005C3B55">
              <w:rPr>
                <w:szCs w:val="24"/>
              </w:rPr>
              <w:t>Registers/records:</w:t>
            </w:r>
          </w:p>
          <w:p w:rsidR="00F555D6" w:rsidRPr="005C3B55" w:rsidRDefault="00F555D6" w:rsidP="00F555D6">
            <w:pPr>
              <w:numPr>
                <w:ilvl w:val="0"/>
                <w:numId w:val="594"/>
              </w:numPr>
              <w:spacing w:before="240" w:after="0"/>
              <w:ind w:hanging="290"/>
              <w:jc w:val="left"/>
              <w:rPr>
                <w:szCs w:val="24"/>
              </w:rPr>
            </w:pPr>
            <w:r w:rsidRPr="005C3B55">
              <w:rPr>
                <w:szCs w:val="24"/>
              </w:rPr>
              <w:t>register of agricultural holdings;</w:t>
            </w:r>
          </w:p>
          <w:p w:rsidR="00F555D6" w:rsidRPr="005C3B55" w:rsidRDefault="00F555D6" w:rsidP="00F555D6">
            <w:pPr>
              <w:numPr>
                <w:ilvl w:val="0"/>
                <w:numId w:val="594"/>
              </w:numPr>
              <w:spacing w:before="0" w:after="0"/>
              <w:ind w:hanging="290"/>
              <w:jc w:val="left"/>
              <w:rPr>
                <w:szCs w:val="24"/>
              </w:rPr>
            </w:pPr>
            <w:r w:rsidRPr="005C3B55">
              <w:rPr>
                <w:szCs w:val="24"/>
              </w:rPr>
              <w:t>graphical agricultural unit of agricultural holding (GERK);</w:t>
            </w:r>
          </w:p>
          <w:p w:rsidR="00F555D6" w:rsidRPr="005C3B55" w:rsidRDefault="00F555D6" w:rsidP="00F555D6">
            <w:pPr>
              <w:numPr>
                <w:ilvl w:val="0"/>
                <w:numId w:val="594"/>
              </w:numPr>
              <w:spacing w:before="0" w:after="0"/>
              <w:ind w:hanging="290"/>
              <w:jc w:val="left"/>
              <w:rPr>
                <w:szCs w:val="24"/>
              </w:rPr>
            </w:pPr>
            <w:r w:rsidRPr="005C3B55">
              <w:rPr>
                <w:szCs w:val="24"/>
              </w:rPr>
              <w:t>registers, registers of farm animals;</w:t>
            </w:r>
          </w:p>
          <w:p w:rsidR="00F555D6" w:rsidRPr="005C3B55" w:rsidRDefault="00F555D6" w:rsidP="00F555D6">
            <w:pPr>
              <w:numPr>
                <w:ilvl w:val="0"/>
                <w:numId w:val="594"/>
              </w:numPr>
              <w:spacing w:before="0" w:after="240"/>
              <w:ind w:hanging="290"/>
              <w:jc w:val="left"/>
              <w:rPr>
                <w:szCs w:val="24"/>
              </w:rPr>
            </w:pPr>
            <w:r w:rsidRPr="005C3B55">
              <w:rPr>
                <w:szCs w:val="24"/>
              </w:rPr>
              <w:t>graphic layer of ecologically important areas of special grassland habitats.</w:t>
            </w:r>
          </w:p>
          <w:p w:rsidR="00F555D6" w:rsidRPr="005C3B55" w:rsidRDefault="00F555D6" w:rsidP="00F555D6">
            <w:pPr>
              <w:spacing w:before="240" w:after="240" w:line="280" w:lineRule="auto"/>
              <w:rPr>
                <w:szCs w:val="24"/>
              </w:rPr>
            </w:pPr>
            <w:r w:rsidRPr="005C3B55">
              <w:rPr>
                <w:szCs w:val="24"/>
              </w:rPr>
              <w:t>On-site control:</w:t>
            </w:r>
          </w:p>
          <w:p w:rsidR="00F555D6" w:rsidRPr="005C3B55" w:rsidRDefault="00F555D6" w:rsidP="00F555D6">
            <w:pPr>
              <w:numPr>
                <w:ilvl w:val="0"/>
                <w:numId w:val="595"/>
              </w:numPr>
              <w:spacing w:before="240" w:after="0"/>
              <w:ind w:hanging="290"/>
              <w:jc w:val="left"/>
              <w:rPr>
                <w:szCs w:val="24"/>
              </w:rPr>
            </w:pPr>
            <w:r w:rsidRPr="005C3B55">
              <w:rPr>
                <w:szCs w:val="24"/>
              </w:rPr>
              <w:t>records on works;</w:t>
            </w:r>
          </w:p>
          <w:p w:rsidR="00F555D6" w:rsidRPr="005C3B55" w:rsidRDefault="00F555D6" w:rsidP="00F555D6">
            <w:pPr>
              <w:numPr>
                <w:ilvl w:val="0"/>
                <w:numId w:val="595"/>
              </w:numPr>
              <w:spacing w:before="0" w:after="0"/>
              <w:ind w:hanging="290"/>
              <w:jc w:val="left"/>
              <w:rPr>
                <w:szCs w:val="24"/>
              </w:rPr>
            </w:pPr>
            <w:r w:rsidRPr="005C3B55">
              <w:rPr>
                <w:szCs w:val="24"/>
              </w:rPr>
              <w:t>control of livestock density by counting animals and reviewing surfaces;</w:t>
            </w:r>
          </w:p>
          <w:p w:rsidR="00F555D6" w:rsidRPr="005C3B55" w:rsidRDefault="00F555D6" w:rsidP="00F555D6">
            <w:pPr>
              <w:numPr>
                <w:ilvl w:val="0"/>
                <w:numId w:val="595"/>
              </w:numPr>
              <w:spacing w:before="0" w:after="240"/>
              <w:ind w:hanging="290"/>
              <w:jc w:val="left"/>
              <w:rPr>
                <w:szCs w:val="24"/>
              </w:rPr>
            </w:pPr>
            <w:r w:rsidRPr="005C3B55">
              <w:rPr>
                <w:szCs w:val="24"/>
              </w:rPr>
              <w:t>review of the agricultural holding.</w:t>
            </w:r>
          </w:p>
          <w:p w:rsidR="00F555D6" w:rsidRPr="005C3B55" w:rsidRDefault="00F555D6" w:rsidP="00F555D6">
            <w:pPr>
              <w:pStyle w:val="Telobesedila"/>
              <w:rPr>
                <w:szCs w:val="24"/>
              </w:rPr>
            </w:pPr>
          </w:p>
        </w:tc>
      </w:tr>
    </w:tbl>
    <w:p w:rsidR="00F555D6" w:rsidRPr="005C3B55" w:rsidRDefault="00F555D6" w:rsidP="00F555D6">
      <w:pPr>
        <w:pStyle w:val="Naslov8"/>
        <w:tabs>
          <w:tab w:val="clear" w:pos="765"/>
        </w:tabs>
        <w:ind w:left="0" w:firstLine="0"/>
        <w:rPr>
          <w:b w:val="0"/>
          <w:szCs w:val="24"/>
          <w:lang w:val="en-GB"/>
        </w:rPr>
      </w:pPr>
      <w:r w:rsidRPr="005C3B55">
        <w:rPr>
          <w:b w:val="0"/>
          <w:noProof w:val="0"/>
          <w:szCs w:val="24"/>
          <w:lang w:val="en-GB"/>
        </w:rPr>
        <w:t>HAB_MRVA:</w:t>
      </w:r>
      <w:r w:rsidRPr="005C3B55">
        <w:rPr>
          <w:b w:val="0"/>
          <w:szCs w:val="24"/>
          <w:lang w:val="en-GB"/>
        </w:rPr>
        <w:t xml:space="preserve"> </w:t>
      </w:r>
      <w:r w:rsidRPr="005C3B55">
        <w:rPr>
          <w:b w:val="0"/>
          <w:noProof w:val="0"/>
          <w:szCs w:val="24"/>
          <w:lang w:val="en-GB"/>
        </w:rPr>
        <w:t>Harvesting of hay from grassland</w:t>
      </w:r>
    </w:p>
    <w:p w:rsidR="00F555D6" w:rsidRPr="005C3B55" w:rsidRDefault="00F555D6" w:rsidP="00F555D6">
      <w:pPr>
        <w:pStyle w:val="Naslov9"/>
        <w:tabs>
          <w:tab w:val="clear" w:pos="765"/>
        </w:tabs>
        <w:ind w:left="0" w:firstLine="0"/>
        <w:rPr>
          <w:szCs w:val="24"/>
          <w:lang w:val="en-GB"/>
        </w:rPr>
      </w:pPr>
      <w:r w:rsidRPr="005C3B55">
        <w:rPr>
          <w:noProof w:val="0"/>
          <w:szCs w:val="24"/>
          <w:lang w:val="en-GB"/>
        </w:rPr>
        <w:t>Methods of commitment verification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Administrative control:</w:t>
            </w:r>
          </w:p>
          <w:p w:rsidR="00F555D6" w:rsidRPr="005C3B55" w:rsidRDefault="00F555D6" w:rsidP="00F555D6">
            <w:pPr>
              <w:numPr>
                <w:ilvl w:val="0"/>
                <w:numId w:val="596"/>
              </w:numPr>
              <w:spacing w:before="240" w:after="0"/>
              <w:ind w:hanging="290"/>
              <w:jc w:val="left"/>
              <w:rPr>
                <w:szCs w:val="24"/>
              </w:rPr>
            </w:pPr>
            <w:r w:rsidRPr="005C3B55">
              <w:rPr>
                <w:szCs w:val="24"/>
              </w:rPr>
              <w:t>control of livestock density through collective applications, registers, registers of farm animals;</w:t>
            </w:r>
          </w:p>
          <w:p w:rsidR="00F555D6" w:rsidRPr="005C3B55" w:rsidRDefault="00F555D6" w:rsidP="00F555D6">
            <w:pPr>
              <w:numPr>
                <w:ilvl w:val="0"/>
                <w:numId w:val="596"/>
              </w:numPr>
              <w:spacing w:before="0" w:after="0"/>
              <w:ind w:hanging="290"/>
              <w:jc w:val="left"/>
              <w:rPr>
                <w:szCs w:val="24"/>
              </w:rPr>
            </w:pPr>
            <w:r w:rsidRPr="005C3B55">
              <w:rPr>
                <w:szCs w:val="24"/>
              </w:rPr>
              <w:t>suitability of the area through the register of agricultural holdings;</w:t>
            </w:r>
          </w:p>
          <w:p w:rsidR="00F555D6" w:rsidRPr="005C3B55" w:rsidRDefault="00F555D6" w:rsidP="00F555D6">
            <w:pPr>
              <w:numPr>
                <w:ilvl w:val="0"/>
                <w:numId w:val="596"/>
              </w:numPr>
              <w:spacing w:before="0" w:after="240"/>
              <w:ind w:hanging="290"/>
              <w:jc w:val="left"/>
              <w:rPr>
                <w:szCs w:val="24"/>
              </w:rPr>
            </w:pPr>
            <w:r w:rsidRPr="005C3B55">
              <w:rPr>
                <w:szCs w:val="24"/>
              </w:rPr>
              <w:t>suitability of the agricultural plant through collective application.</w:t>
            </w:r>
          </w:p>
          <w:p w:rsidR="00F555D6" w:rsidRPr="005C3B55" w:rsidRDefault="00F555D6" w:rsidP="00F555D6">
            <w:pPr>
              <w:spacing w:before="240" w:after="240" w:line="280" w:lineRule="auto"/>
              <w:rPr>
                <w:szCs w:val="24"/>
              </w:rPr>
            </w:pPr>
            <w:r w:rsidRPr="005C3B55">
              <w:rPr>
                <w:szCs w:val="24"/>
              </w:rPr>
              <w:t>Registers/records:</w:t>
            </w:r>
          </w:p>
          <w:p w:rsidR="00F555D6" w:rsidRPr="005C3B55" w:rsidRDefault="00F555D6" w:rsidP="00F555D6">
            <w:pPr>
              <w:numPr>
                <w:ilvl w:val="0"/>
                <w:numId w:val="597"/>
              </w:numPr>
              <w:spacing w:before="240" w:after="0"/>
              <w:ind w:hanging="290"/>
              <w:jc w:val="left"/>
              <w:rPr>
                <w:szCs w:val="24"/>
              </w:rPr>
            </w:pPr>
            <w:r w:rsidRPr="005C3B55">
              <w:rPr>
                <w:szCs w:val="24"/>
              </w:rPr>
              <w:t>register of agricultural holdings;</w:t>
            </w:r>
          </w:p>
          <w:p w:rsidR="00F555D6" w:rsidRPr="005C3B55" w:rsidRDefault="00F555D6" w:rsidP="00F555D6">
            <w:pPr>
              <w:numPr>
                <w:ilvl w:val="0"/>
                <w:numId w:val="597"/>
              </w:numPr>
              <w:spacing w:before="0" w:after="0"/>
              <w:ind w:hanging="290"/>
              <w:jc w:val="left"/>
              <w:rPr>
                <w:szCs w:val="24"/>
              </w:rPr>
            </w:pPr>
            <w:r w:rsidRPr="005C3B55">
              <w:rPr>
                <w:szCs w:val="24"/>
              </w:rPr>
              <w:t>graphical agricultural unit of agricultural holding (GERK);</w:t>
            </w:r>
          </w:p>
          <w:p w:rsidR="00F555D6" w:rsidRPr="005C3B55" w:rsidRDefault="00F555D6" w:rsidP="00F555D6">
            <w:pPr>
              <w:numPr>
                <w:ilvl w:val="0"/>
                <w:numId w:val="597"/>
              </w:numPr>
              <w:spacing w:before="0" w:after="0"/>
              <w:ind w:hanging="290"/>
              <w:jc w:val="left"/>
              <w:rPr>
                <w:szCs w:val="24"/>
              </w:rPr>
            </w:pPr>
            <w:r w:rsidRPr="005C3B55">
              <w:rPr>
                <w:szCs w:val="24"/>
              </w:rPr>
              <w:t>registers, registers of farm animals;</w:t>
            </w:r>
          </w:p>
          <w:p w:rsidR="00F555D6" w:rsidRPr="005C3B55" w:rsidRDefault="00F555D6" w:rsidP="00F555D6">
            <w:pPr>
              <w:numPr>
                <w:ilvl w:val="0"/>
                <w:numId w:val="597"/>
              </w:numPr>
              <w:spacing w:before="0" w:after="240"/>
              <w:ind w:hanging="290"/>
              <w:jc w:val="left"/>
              <w:rPr>
                <w:szCs w:val="24"/>
              </w:rPr>
            </w:pPr>
            <w:r w:rsidRPr="005C3B55">
              <w:rPr>
                <w:szCs w:val="24"/>
              </w:rPr>
              <w:t>graphic layer of ecologically important areas of special grassland habitats.</w:t>
            </w:r>
          </w:p>
          <w:p w:rsidR="00F555D6" w:rsidRPr="005C3B55" w:rsidRDefault="00F555D6" w:rsidP="00F555D6">
            <w:pPr>
              <w:spacing w:before="240" w:after="240" w:line="280" w:lineRule="auto"/>
              <w:rPr>
                <w:szCs w:val="24"/>
              </w:rPr>
            </w:pPr>
            <w:r w:rsidRPr="005C3B55">
              <w:rPr>
                <w:szCs w:val="24"/>
              </w:rPr>
              <w:t>On-site control:</w:t>
            </w:r>
          </w:p>
          <w:p w:rsidR="00F555D6" w:rsidRPr="005C3B55" w:rsidRDefault="00F555D6" w:rsidP="00F555D6">
            <w:pPr>
              <w:numPr>
                <w:ilvl w:val="0"/>
                <w:numId w:val="598"/>
              </w:numPr>
              <w:spacing w:before="240" w:after="0"/>
              <w:ind w:hanging="290"/>
              <w:jc w:val="left"/>
              <w:rPr>
                <w:szCs w:val="24"/>
              </w:rPr>
            </w:pPr>
            <w:r w:rsidRPr="005C3B55">
              <w:rPr>
                <w:szCs w:val="24"/>
              </w:rPr>
              <w:t>records on works;</w:t>
            </w:r>
          </w:p>
          <w:p w:rsidR="00F555D6" w:rsidRPr="005C3B55" w:rsidRDefault="00F555D6" w:rsidP="00F555D6">
            <w:pPr>
              <w:numPr>
                <w:ilvl w:val="0"/>
                <w:numId w:val="598"/>
              </w:numPr>
              <w:spacing w:before="0" w:after="0"/>
              <w:ind w:hanging="290"/>
              <w:jc w:val="left"/>
              <w:rPr>
                <w:szCs w:val="24"/>
              </w:rPr>
            </w:pPr>
            <w:r w:rsidRPr="005C3B55">
              <w:rPr>
                <w:szCs w:val="24"/>
              </w:rPr>
              <w:t>control of livestock density by counting animals and reviewing surfaces;</w:t>
            </w:r>
          </w:p>
          <w:p w:rsidR="00F555D6" w:rsidRPr="005C3B55" w:rsidRDefault="00F555D6" w:rsidP="00F555D6">
            <w:pPr>
              <w:numPr>
                <w:ilvl w:val="0"/>
                <w:numId w:val="598"/>
              </w:numPr>
              <w:spacing w:before="0" w:after="240"/>
              <w:ind w:hanging="290"/>
              <w:jc w:val="left"/>
              <w:rPr>
                <w:szCs w:val="24"/>
              </w:rPr>
            </w:pPr>
            <w:r w:rsidRPr="005C3B55">
              <w:rPr>
                <w:szCs w:val="24"/>
              </w:rPr>
              <w:t>review of the agricultural holding.</w:t>
            </w:r>
          </w:p>
          <w:p w:rsidR="00F555D6" w:rsidRPr="005C3B55" w:rsidRDefault="00F555D6" w:rsidP="00F555D6">
            <w:pPr>
              <w:pStyle w:val="Telobesedila"/>
              <w:rPr>
                <w:szCs w:val="24"/>
              </w:rPr>
            </w:pPr>
          </w:p>
        </w:tc>
      </w:tr>
    </w:tbl>
    <w:p w:rsidR="00F555D6" w:rsidRPr="005C3B55" w:rsidRDefault="00F555D6" w:rsidP="00F555D6">
      <w:pPr>
        <w:pStyle w:val="Naslov8"/>
        <w:tabs>
          <w:tab w:val="clear" w:pos="765"/>
        </w:tabs>
        <w:ind w:left="0" w:firstLine="0"/>
        <w:rPr>
          <w:b w:val="0"/>
          <w:szCs w:val="24"/>
          <w:lang w:val="en-GB"/>
        </w:rPr>
      </w:pPr>
      <w:r w:rsidRPr="005C3B55">
        <w:rPr>
          <w:b w:val="0"/>
          <w:noProof w:val="0"/>
          <w:szCs w:val="24"/>
          <w:lang w:val="en-GB"/>
        </w:rPr>
        <w:t>HAB_NPAS:</w:t>
      </w:r>
      <w:r w:rsidRPr="005C3B55">
        <w:rPr>
          <w:b w:val="0"/>
          <w:szCs w:val="24"/>
          <w:lang w:val="en-GB"/>
        </w:rPr>
        <w:t xml:space="preserve"> </w:t>
      </w:r>
      <w:r w:rsidRPr="005C3B55">
        <w:rPr>
          <w:b w:val="0"/>
          <w:noProof w:val="0"/>
          <w:szCs w:val="24"/>
          <w:lang w:val="en-GB"/>
        </w:rPr>
        <w:t>Unmown strip of 5 to 10% of surface of a meadow</w:t>
      </w:r>
    </w:p>
    <w:p w:rsidR="00F555D6" w:rsidRPr="005C3B55" w:rsidRDefault="00F555D6" w:rsidP="00F555D6">
      <w:pPr>
        <w:pStyle w:val="Naslov9"/>
        <w:tabs>
          <w:tab w:val="clear" w:pos="765"/>
        </w:tabs>
        <w:ind w:left="0" w:firstLine="0"/>
        <w:rPr>
          <w:szCs w:val="24"/>
          <w:lang w:val="en-GB"/>
        </w:rPr>
      </w:pPr>
      <w:r w:rsidRPr="005C3B55">
        <w:rPr>
          <w:noProof w:val="0"/>
          <w:szCs w:val="24"/>
          <w:lang w:val="en-GB"/>
        </w:rPr>
        <w:t>Methods of commitment verification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Administrative control:</w:t>
            </w:r>
          </w:p>
          <w:p w:rsidR="00F555D6" w:rsidRPr="005C3B55" w:rsidRDefault="00F555D6" w:rsidP="00F555D6">
            <w:pPr>
              <w:numPr>
                <w:ilvl w:val="0"/>
                <w:numId w:val="599"/>
              </w:numPr>
              <w:spacing w:before="240" w:after="0"/>
              <w:ind w:hanging="290"/>
              <w:jc w:val="left"/>
              <w:rPr>
                <w:szCs w:val="24"/>
              </w:rPr>
            </w:pPr>
            <w:r w:rsidRPr="005C3B55">
              <w:rPr>
                <w:szCs w:val="24"/>
              </w:rPr>
              <w:t>control of livestock density through collective applications, registers, registers of farm animals;</w:t>
            </w:r>
          </w:p>
          <w:p w:rsidR="00F555D6" w:rsidRPr="005C3B55" w:rsidRDefault="00F555D6" w:rsidP="00F555D6">
            <w:pPr>
              <w:numPr>
                <w:ilvl w:val="0"/>
                <w:numId w:val="599"/>
              </w:numPr>
              <w:spacing w:before="0" w:after="0"/>
              <w:ind w:hanging="290"/>
              <w:jc w:val="left"/>
              <w:rPr>
                <w:szCs w:val="24"/>
              </w:rPr>
            </w:pPr>
            <w:r w:rsidRPr="005C3B55">
              <w:rPr>
                <w:szCs w:val="24"/>
              </w:rPr>
              <w:t>suitability of the area through the register of agricultural holdings;</w:t>
            </w:r>
          </w:p>
          <w:p w:rsidR="00F555D6" w:rsidRPr="005C3B55" w:rsidRDefault="00F555D6" w:rsidP="00F555D6">
            <w:pPr>
              <w:numPr>
                <w:ilvl w:val="0"/>
                <w:numId w:val="599"/>
              </w:numPr>
              <w:spacing w:before="0" w:after="0"/>
              <w:ind w:hanging="290"/>
              <w:jc w:val="left"/>
              <w:rPr>
                <w:szCs w:val="24"/>
              </w:rPr>
            </w:pPr>
            <w:r w:rsidRPr="005C3B55">
              <w:rPr>
                <w:szCs w:val="24"/>
              </w:rPr>
              <w:t>suitability of the agricultural plant through collective application;</w:t>
            </w:r>
          </w:p>
          <w:p w:rsidR="00F555D6" w:rsidRPr="005C3B55" w:rsidRDefault="00F555D6" w:rsidP="00F555D6">
            <w:pPr>
              <w:numPr>
                <w:ilvl w:val="0"/>
                <w:numId w:val="599"/>
              </w:numPr>
              <w:spacing w:before="0" w:after="240"/>
              <w:ind w:hanging="290"/>
              <w:jc w:val="left"/>
              <w:rPr>
                <w:szCs w:val="24"/>
              </w:rPr>
            </w:pPr>
            <w:r w:rsidRPr="005C3B55">
              <w:rPr>
                <w:szCs w:val="24"/>
              </w:rPr>
              <w:t>suitability of size of the graphical agricultural unit of agricultural holding;</w:t>
            </w:r>
          </w:p>
          <w:p w:rsidR="00F555D6" w:rsidRPr="005C3B55" w:rsidRDefault="00F555D6" w:rsidP="00F555D6">
            <w:pPr>
              <w:spacing w:before="240" w:after="240" w:line="280" w:lineRule="auto"/>
              <w:rPr>
                <w:szCs w:val="24"/>
              </w:rPr>
            </w:pPr>
            <w:r w:rsidRPr="005C3B55">
              <w:rPr>
                <w:szCs w:val="24"/>
              </w:rPr>
              <w:t>Registers/records:</w:t>
            </w:r>
          </w:p>
          <w:p w:rsidR="00F555D6" w:rsidRPr="005C3B55" w:rsidRDefault="00F555D6" w:rsidP="00F555D6">
            <w:pPr>
              <w:numPr>
                <w:ilvl w:val="0"/>
                <w:numId w:val="600"/>
              </w:numPr>
              <w:spacing w:before="240" w:after="0"/>
              <w:ind w:hanging="290"/>
              <w:jc w:val="left"/>
              <w:rPr>
                <w:szCs w:val="24"/>
              </w:rPr>
            </w:pPr>
            <w:r w:rsidRPr="005C3B55">
              <w:rPr>
                <w:szCs w:val="24"/>
              </w:rPr>
              <w:t>register of agricultural holdings;</w:t>
            </w:r>
          </w:p>
          <w:p w:rsidR="00F555D6" w:rsidRPr="005C3B55" w:rsidRDefault="00F555D6" w:rsidP="00F555D6">
            <w:pPr>
              <w:numPr>
                <w:ilvl w:val="0"/>
                <w:numId w:val="600"/>
              </w:numPr>
              <w:spacing w:before="0" w:after="0"/>
              <w:ind w:hanging="290"/>
              <w:jc w:val="left"/>
              <w:rPr>
                <w:szCs w:val="24"/>
              </w:rPr>
            </w:pPr>
            <w:r w:rsidRPr="005C3B55">
              <w:rPr>
                <w:szCs w:val="24"/>
              </w:rPr>
              <w:t>graphical agricultural unit of agricultural holding (GERK);</w:t>
            </w:r>
          </w:p>
          <w:p w:rsidR="00F555D6" w:rsidRPr="005C3B55" w:rsidRDefault="00F555D6" w:rsidP="00F555D6">
            <w:pPr>
              <w:numPr>
                <w:ilvl w:val="0"/>
                <w:numId w:val="600"/>
              </w:numPr>
              <w:spacing w:before="0" w:after="0"/>
              <w:ind w:hanging="290"/>
              <w:jc w:val="left"/>
              <w:rPr>
                <w:szCs w:val="24"/>
              </w:rPr>
            </w:pPr>
            <w:r w:rsidRPr="005C3B55">
              <w:rPr>
                <w:szCs w:val="24"/>
              </w:rPr>
              <w:t>registers, registers of farm animals;</w:t>
            </w:r>
          </w:p>
          <w:p w:rsidR="00F555D6" w:rsidRPr="005C3B55" w:rsidRDefault="00F555D6" w:rsidP="00F555D6">
            <w:pPr>
              <w:numPr>
                <w:ilvl w:val="0"/>
                <w:numId w:val="600"/>
              </w:numPr>
              <w:spacing w:before="0" w:after="240"/>
              <w:ind w:hanging="290"/>
              <w:jc w:val="left"/>
              <w:rPr>
                <w:szCs w:val="24"/>
              </w:rPr>
            </w:pPr>
            <w:r w:rsidRPr="005C3B55">
              <w:rPr>
                <w:szCs w:val="24"/>
              </w:rPr>
              <w:t>graphic layer of ecologically important areas of special grassland habitats.</w:t>
            </w:r>
          </w:p>
          <w:p w:rsidR="00F555D6" w:rsidRPr="005C3B55" w:rsidRDefault="00F555D6" w:rsidP="00F555D6">
            <w:pPr>
              <w:spacing w:before="240" w:after="240" w:line="280" w:lineRule="auto"/>
              <w:rPr>
                <w:szCs w:val="24"/>
              </w:rPr>
            </w:pPr>
            <w:r w:rsidRPr="005C3B55">
              <w:rPr>
                <w:szCs w:val="24"/>
              </w:rPr>
              <w:t>On-site control:</w:t>
            </w:r>
          </w:p>
          <w:p w:rsidR="00F555D6" w:rsidRPr="005C3B55" w:rsidRDefault="00F555D6" w:rsidP="00F555D6">
            <w:pPr>
              <w:numPr>
                <w:ilvl w:val="0"/>
                <w:numId w:val="601"/>
              </w:numPr>
              <w:spacing w:before="240" w:after="0"/>
              <w:ind w:hanging="290"/>
              <w:jc w:val="left"/>
              <w:rPr>
                <w:szCs w:val="24"/>
              </w:rPr>
            </w:pPr>
            <w:r w:rsidRPr="005C3B55">
              <w:rPr>
                <w:szCs w:val="24"/>
              </w:rPr>
              <w:t>records on works;</w:t>
            </w:r>
          </w:p>
          <w:p w:rsidR="00F555D6" w:rsidRPr="005C3B55" w:rsidRDefault="00F555D6" w:rsidP="00F555D6">
            <w:pPr>
              <w:numPr>
                <w:ilvl w:val="0"/>
                <w:numId w:val="601"/>
              </w:numPr>
              <w:spacing w:before="0" w:after="0"/>
              <w:ind w:hanging="290"/>
              <w:jc w:val="left"/>
              <w:rPr>
                <w:szCs w:val="24"/>
              </w:rPr>
            </w:pPr>
            <w:r w:rsidRPr="005C3B55">
              <w:rPr>
                <w:szCs w:val="24"/>
              </w:rPr>
              <w:t>scheme of a meadow;</w:t>
            </w:r>
          </w:p>
          <w:p w:rsidR="00F555D6" w:rsidRPr="005C3B55" w:rsidRDefault="00F555D6" w:rsidP="00F555D6">
            <w:pPr>
              <w:numPr>
                <w:ilvl w:val="0"/>
                <w:numId w:val="601"/>
              </w:numPr>
              <w:spacing w:before="0" w:after="0"/>
              <w:ind w:hanging="290"/>
              <w:jc w:val="left"/>
              <w:rPr>
                <w:szCs w:val="24"/>
              </w:rPr>
            </w:pPr>
            <w:r w:rsidRPr="005C3B55">
              <w:rPr>
                <w:szCs w:val="24"/>
              </w:rPr>
              <w:t>control of livestock density by counting animals and reviewing surfaces;</w:t>
            </w:r>
          </w:p>
          <w:p w:rsidR="00F555D6" w:rsidRPr="005C3B55" w:rsidRDefault="00F555D6" w:rsidP="00F555D6">
            <w:pPr>
              <w:numPr>
                <w:ilvl w:val="0"/>
                <w:numId w:val="601"/>
              </w:numPr>
              <w:spacing w:before="0" w:after="240"/>
              <w:ind w:hanging="290"/>
              <w:jc w:val="left"/>
              <w:rPr>
                <w:szCs w:val="24"/>
              </w:rPr>
            </w:pPr>
            <w:r w:rsidRPr="005C3B55">
              <w:rPr>
                <w:szCs w:val="24"/>
              </w:rPr>
              <w:t>review of the agricultural holding.</w:t>
            </w:r>
          </w:p>
          <w:p w:rsidR="00F555D6" w:rsidRPr="005C3B55" w:rsidRDefault="00F555D6" w:rsidP="00F555D6">
            <w:pPr>
              <w:pStyle w:val="Telobesedila"/>
              <w:rPr>
                <w:szCs w:val="24"/>
              </w:rPr>
            </w:pPr>
          </w:p>
        </w:tc>
      </w:tr>
    </w:tbl>
    <w:p w:rsidR="00F555D6" w:rsidRPr="005C3B55" w:rsidRDefault="00F555D6" w:rsidP="00F555D6">
      <w:pPr>
        <w:pStyle w:val="Naslov8"/>
        <w:tabs>
          <w:tab w:val="clear" w:pos="765"/>
        </w:tabs>
        <w:ind w:left="0" w:firstLine="0"/>
        <w:rPr>
          <w:b w:val="0"/>
          <w:szCs w:val="24"/>
          <w:lang w:val="en-GB"/>
        </w:rPr>
      </w:pPr>
      <w:r w:rsidRPr="005C3B55">
        <w:rPr>
          <w:b w:val="0"/>
          <w:noProof w:val="0"/>
          <w:szCs w:val="24"/>
          <w:lang w:val="en-GB"/>
        </w:rPr>
        <w:t>HAB_ORGG:</w:t>
      </w:r>
      <w:r w:rsidRPr="005C3B55">
        <w:rPr>
          <w:b w:val="0"/>
          <w:szCs w:val="24"/>
          <w:lang w:val="en-GB"/>
        </w:rPr>
        <w:t xml:space="preserve"> </w:t>
      </w:r>
      <w:r w:rsidRPr="005C3B55">
        <w:rPr>
          <w:b w:val="0"/>
          <w:noProof w:val="0"/>
          <w:szCs w:val="24"/>
          <w:lang w:val="en-GB"/>
        </w:rPr>
        <w:t>Fertilisation with organic fertilisers only in limited quantity</w:t>
      </w:r>
    </w:p>
    <w:p w:rsidR="00F555D6" w:rsidRPr="005C3B55" w:rsidRDefault="00F555D6" w:rsidP="00F555D6">
      <w:pPr>
        <w:pStyle w:val="Naslov9"/>
        <w:tabs>
          <w:tab w:val="clear" w:pos="765"/>
        </w:tabs>
        <w:ind w:left="0" w:firstLine="0"/>
        <w:rPr>
          <w:szCs w:val="24"/>
          <w:lang w:val="en-GB"/>
        </w:rPr>
      </w:pPr>
      <w:r w:rsidRPr="005C3B55">
        <w:rPr>
          <w:noProof w:val="0"/>
          <w:szCs w:val="24"/>
          <w:lang w:val="en-GB"/>
        </w:rPr>
        <w:t>Methods of commitment verification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Administrative control:</w:t>
            </w:r>
          </w:p>
          <w:p w:rsidR="00F555D6" w:rsidRPr="005C3B55" w:rsidRDefault="00F555D6" w:rsidP="00F555D6">
            <w:pPr>
              <w:numPr>
                <w:ilvl w:val="0"/>
                <w:numId w:val="602"/>
              </w:numPr>
              <w:spacing w:before="240" w:after="0"/>
              <w:ind w:hanging="290"/>
              <w:jc w:val="left"/>
              <w:rPr>
                <w:szCs w:val="24"/>
              </w:rPr>
            </w:pPr>
            <w:r w:rsidRPr="005C3B55">
              <w:rPr>
                <w:szCs w:val="24"/>
              </w:rPr>
              <w:t>control of livestock density through collective applications, registers, registers of farm animals;</w:t>
            </w:r>
          </w:p>
          <w:p w:rsidR="00F555D6" w:rsidRPr="005C3B55" w:rsidRDefault="00F555D6" w:rsidP="00F555D6">
            <w:pPr>
              <w:numPr>
                <w:ilvl w:val="0"/>
                <w:numId w:val="602"/>
              </w:numPr>
              <w:spacing w:before="0" w:after="0"/>
              <w:ind w:hanging="290"/>
              <w:jc w:val="left"/>
              <w:rPr>
                <w:szCs w:val="24"/>
              </w:rPr>
            </w:pPr>
            <w:r w:rsidRPr="005C3B55">
              <w:rPr>
                <w:szCs w:val="24"/>
              </w:rPr>
              <w:t>suitability of the area through the register of agricultural holdings;</w:t>
            </w:r>
          </w:p>
          <w:p w:rsidR="00F555D6" w:rsidRPr="005C3B55" w:rsidRDefault="00F555D6" w:rsidP="00F555D6">
            <w:pPr>
              <w:numPr>
                <w:ilvl w:val="0"/>
                <w:numId w:val="602"/>
              </w:numPr>
              <w:spacing w:before="0" w:after="240"/>
              <w:ind w:hanging="290"/>
              <w:jc w:val="left"/>
              <w:rPr>
                <w:szCs w:val="24"/>
              </w:rPr>
            </w:pPr>
            <w:r w:rsidRPr="005C3B55">
              <w:rPr>
                <w:szCs w:val="24"/>
              </w:rPr>
              <w:t>suitability of the agricultural plant through collective application.</w:t>
            </w:r>
          </w:p>
          <w:p w:rsidR="00F555D6" w:rsidRPr="005C3B55" w:rsidRDefault="00F555D6" w:rsidP="00F555D6">
            <w:pPr>
              <w:spacing w:before="240" w:after="240" w:line="280" w:lineRule="auto"/>
              <w:rPr>
                <w:szCs w:val="24"/>
              </w:rPr>
            </w:pPr>
            <w:r w:rsidRPr="005C3B55">
              <w:rPr>
                <w:szCs w:val="24"/>
              </w:rPr>
              <w:t>Registers/records:</w:t>
            </w:r>
          </w:p>
          <w:p w:rsidR="00F555D6" w:rsidRPr="005C3B55" w:rsidRDefault="00F555D6" w:rsidP="00F555D6">
            <w:pPr>
              <w:numPr>
                <w:ilvl w:val="0"/>
                <w:numId w:val="603"/>
              </w:numPr>
              <w:spacing w:before="240" w:after="0"/>
              <w:ind w:hanging="290"/>
              <w:jc w:val="left"/>
              <w:rPr>
                <w:szCs w:val="24"/>
              </w:rPr>
            </w:pPr>
            <w:r w:rsidRPr="005C3B55">
              <w:rPr>
                <w:szCs w:val="24"/>
              </w:rPr>
              <w:t>register of agricultural holdings;</w:t>
            </w:r>
          </w:p>
          <w:p w:rsidR="00F555D6" w:rsidRPr="005C3B55" w:rsidRDefault="00F555D6" w:rsidP="00F555D6">
            <w:pPr>
              <w:numPr>
                <w:ilvl w:val="0"/>
                <w:numId w:val="603"/>
              </w:numPr>
              <w:spacing w:before="0" w:after="0"/>
              <w:ind w:hanging="290"/>
              <w:jc w:val="left"/>
              <w:rPr>
                <w:szCs w:val="24"/>
              </w:rPr>
            </w:pPr>
            <w:r w:rsidRPr="005C3B55">
              <w:rPr>
                <w:szCs w:val="24"/>
              </w:rPr>
              <w:t>graphical agricultural unit of agricultural holding (GERK);</w:t>
            </w:r>
          </w:p>
          <w:p w:rsidR="00F555D6" w:rsidRPr="005C3B55" w:rsidRDefault="00F555D6" w:rsidP="00F555D6">
            <w:pPr>
              <w:numPr>
                <w:ilvl w:val="0"/>
                <w:numId w:val="603"/>
              </w:numPr>
              <w:spacing w:before="0" w:after="0"/>
              <w:ind w:hanging="290"/>
              <w:jc w:val="left"/>
              <w:rPr>
                <w:szCs w:val="24"/>
              </w:rPr>
            </w:pPr>
            <w:r w:rsidRPr="005C3B55">
              <w:rPr>
                <w:szCs w:val="24"/>
              </w:rPr>
              <w:t>registers, registers of farm animals;</w:t>
            </w:r>
          </w:p>
          <w:p w:rsidR="00F555D6" w:rsidRPr="005C3B55" w:rsidRDefault="00F555D6" w:rsidP="00F555D6">
            <w:pPr>
              <w:numPr>
                <w:ilvl w:val="0"/>
                <w:numId w:val="603"/>
              </w:numPr>
              <w:spacing w:before="0" w:after="240"/>
              <w:ind w:hanging="290"/>
              <w:jc w:val="left"/>
              <w:rPr>
                <w:szCs w:val="24"/>
              </w:rPr>
            </w:pPr>
            <w:r w:rsidRPr="005C3B55">
              <w:rPr>
                <w:szCs w:val="24"/>
              </w:rPr>
              <w:t>graphic layer of ecologically important areas of special grassland habitats.</w:t>
            </w:r>
          </w:p>
          <w:p w:rsidR="00F555D6" w:rsidRPr="005C3B55" w:rsidRDefault="00F555D6" w:rsidP="00F555D6">
            <w:pPr>
              <w:spacing w:before="240" w:after="240" w:line="280" w:lineRule="auto"/>
              <w:rPr>
                <w:szCs w:val="24"/>
              </w:rPr>
            </w:pPr>
            <w:r w:rsidRPr="005C3B55">
              <w:rPr>
                <w:szCs w:val="24"/>
              </w:rPr>
              <w:t>On-site control:</w:t>
            </w:r>
          </w:p>
          <w:p w:rsidR="00F555D6" w:rsidRPr="005C3B55" w:rsidRDefault="00F555D6" w:rsidP="00F555D6">
            <w:pPr>
              <w:numPr>
                <w:ilvl w:val="0"/>
                <w:numId w:val="604"/>
              </w:numPr>
              <w:spacing w:before="240" w:after="0"/>
              <w:ind w:hanging="290"/>
              <w:jc w:val="left"/>
              <w:rPr>
                <w:szCs w:val="24"/>
              </w:rPr>
            </w:pPr>
            <w:r w:rsidRPr="005C3B55">
              <w:rPr>
                <w:szCs w:val="24"/>
              </w:rPr>
              <w:t>records on works;</w:t>
            </w:r>
          </w:p>
          <w:p w:rsidR="00F555D6" w:rsidRPr="005C3B55" w:rsidRDefault="00F555D6" w:rsidP="00F555D6">
            <w:pPr>
              <w:numPr>
                <w:ilvl w:val="0"/>
                <w:numId w:val="604"/>
              </w:numPr>
              <w:spacing w:before="0" w:after="0"/>
              <w:ind w:hanging="290"/>
              <w:jc w:val="left"/>
              <w:rPr>
                <w:szCs w:val="24"/>
              </w:rPr>
            </w:pPr>
            <w:r w:rsidRPr="005C3B55">
              <w:rPr>
                <w:szCs w:val="24"/>
              </w:rPr>
              <w:t>declarations;</w:t>
            </w:r>
          </w:p>
          <w:p w:rsidR="00F555D6" w:rsidRPr="005C3B55" w:rsidRDefault="00F555D6" w:rsidP="00F555D6">
            <w:pPr>
              <w:numPr>
                <w:ilvl w:val="0"/>
                <w:numId w:val="604"/>
              </w:numPr>
              <w:spacing w:before="0" w:after="0"/>
              <w:ind w:hanging="290"/>
              <w:jc w:val="left"/>
              <w:rPr>
                <w:szCs w:val="24"/>
              </w:rPr>
            </w:pPr>
            <w:r w:rsidRPr="005C3B55">
              <w:rPr>
                <w:szCs w:val="24"/>
              </w:rPr>
              <w:t>invoices on the purchase of fertilisers;</w:t>
            </w:r>
          </w:p>
          <w:p w:rsidR="00F555D6" w:rsidRPr="005C3B55" w:rsidRDefault="00F555D6" w:rsidP="00F555D6">
            <w:pPr>
              <w:numPr>
                <w:ilvl w:val="0"/>
                <w:numId w:val="604"/>
              </w:numPr>
              <w:spacing w:before="0" w:after="0"/>
              <w:ind w:hanging="290"/>
              <w:jc w:val="left"/>
              <w:rPr>
                <w:szCs w:val="24"/>
              </w:rPr>
            </w:pPr>
            <w:r w:rsidRPr="005C3B55">
              <w:rPr>
                <w:szCs w:val="24"/>
              </w:rPr>
              <w:t>control of livestock density by counting animals and reviewing surfaces;</w:t>
            </w:r>
          </w:p>
          <w:p w:rsidR="00F555D6" w:rsidRPr="005C3B55" w:rsidRDefault="00F555D6" w:rsidP="00F555D6">
            <w:pPr>
              <w:numPr>
                <w:ilvl w:val="0"/>
                <w:numId w:val="604"/>
              </w:numPr>
              <w:spacing w:before="0" w:after="240"/>
              <w:ind w:hanging="290"/>
              <w:jc w:val="left"/>
              <w:rPr>
                <w:szCs w:val="24"/>
              </w:rPr>
            </w:pPr>
            <w:r w:rsidRPr="005C3B55">
              <w:rPr>
                <w:szCs w:val="24"/>
              </w:rPr>
              <w:t>review of the agricultural holding.</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Information that relates specifically to the operation</w:t>
      </w:r>
    </w:p>
    <w:p w:rsidR="00F555D6" w:rsidRPr="005C3B55" w:rsidRDefault="00F555D6" w:rsidP="00F555D6">
      <w:pPr>
        <w:spacing w:line="280" w:lineRule="auto"/>
        <w:rPr>
          <w:szCs w:val="24"/>
        </w:rPr>
      </w:pPr>
      <w:r w:rsidRPr="005C3B55">
        <w:rPr>
          <w:szCs w:val="24"/>
        </w:rPr>
        <w:t>Definition and identification of the relevant basic elements; this should include the relevant mandatory standards determined in accordance with Chapter I of Title VI of Regulation (EU) No 1306/2013 of the European Parliament and of the Council, relevant criteria and minimum activities determined in accordance with points (c)(ii) and (c)(iii) of the first paragraph of Article 4 of Regulation (EU) No 1307/2013 of the European Parliament and of the Council, relevant minimum requirements for the use of organic fertilisers and plant protection products and relevant mandatory requirements determined by national law</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 xml:space="preserve">Described in the chapter </w:t>
            </w:r>
            <w:r w:rsidRPr="005C3B55">
              <w:rPr>
                <w:i/>
                <w:szCs w:val="24"/>
              </w:rPr>
              <w:t>Agri-environment-climate commitments</w:t>
            </w:r>
            <w:r w:rsidRPr="005C3B55">
              <w:rPr>
                <w:szCs w:val="24"/>
              </w:rPr>
              <w:t>.</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 xml:space="preserve">Minimum requirements for fertilisers must include, inter alia, the Codes of Good Practice introduced under Directive 91/676/EEC for farms outside Nitrate Vulnerable Zones, and requirements concerning phosphorous pollution; minimum requirements for plant protection products use must include, </w:t>
      </w:r>
      <w:r w:rsidRPr="005C3B55">
        <w:rPr>
          <w:i/>
          <w:szCs w:val="24"/>
        </w:rPr>
        <w:t>inter alia</w:t>
      </w:r>
      <w:r w:rsidRPr="005C3B55">
        <w:rPr>
          <w:szCs w:val="24"/>
        </w:rPr>
        <w:t>, general principles for integrated pest management introduced with Directive 2009/128/EC, requirements to have a licence to use the products and meet training obligations, requirements on safe storage, the checking of application machinery and rules on pesticide use close to water and other sensitive sites, as established by national legislation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 xml:space="preserve">Described in the chapter </w:t>
            </w:r>
            <w:r w:rsidRPr="005C3B55">
              <w:rPr>
                <w:i/>
                <w:szCs w:val="24"/>
              </w:rPr>
              <w:t>Agri-environment-climate commitments</w:t>
            </w:r>
            <w:r w:rsidRPr="005C3B55">
              <w:rPr>
                <w:szCs w:val="24"/>
              </w:rPr>
              <w:t>.</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List of local breeds in danger of being lost to farming and for plant genetic resources under threat of genetic erosion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Not relevant.</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The description of the methodology and of the agronomic assumptions and parameters, including the description of the baseline requirements as stated in Article 29(2) of Regulation (EU) No 1305/2013, which are relevant for each particular type of commitment used as reference point for the calculations which justify: additional costs and lost revenue due to the assumed commitment and the amount of transaction costs; where necessary, the methodology takes into account the support granted under Regulation (EU) No 1307/2013, including payments for agricultural practices that favourably affect the climate and environment, in order to prevent the possibility of dual financing; where appropriate, the conversion method used for other units in accordance with Article 9 of this Regulation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The calculation of the amount of payments for individual requirements within the operation Special grassland habitats observes:</w:t>
            </w:r>
          </w:p>
          <w:p w:rsidR="00F555D6" w:rsidRPr="005C3B55" w:rsidRDefault="00F555D6" w:rsidP="00F555D6">
            <w:pPr>
              <w:spacing w:before="240" w:after="240" w:line="280" w:lineRule="auto"/>
              <w:rPr>
                <w:szCs w:val="24"/>
              </w:rPr>
            </w:pPr>
            <w:r w:rsidRPr="005C3B55">
              <w:rPr>
                <w:b/>
                <w:szCs w:val="24"/>
              </w:rPr>
              <w:t>A. Mandatory requirements</w:t>
            </w:r>
          </w:p>
          <w:p w:rsidR="00F555D6" w:rsidRPr="005C3B55" w:rsidRDefault="00F555D6" w:rsidP="00F555D6">
            <w:pPr>
              <w:spacing w:before="240" w:after="240" w:line="280" w:lineRule="auto"/>
              <w:rPr>
                <w:szCs w:val="24"/>
              </w:rPr>
            </w:pPr>
            <w:r w:rsidRPr="005C3B55">
              <w:rPr>
                <w:szCs w:val="24"/>
              </w:rPr>
              <w:t>HAB_KOS: The standard agricultural practice anticipates the production of hay, grass silage and grazing (everything in thirds) on a slightly above-average permanent meadow subject to two mowings a year as per the area of the requirement. Less produce is anticipated due to the implementation of this requirement. Due to late mowing, the first mowing is hay (60%), while the remainder are grass silage and grazing (20% each). Considering the fact that there is less produce of lower quality, the differences in the quantity of the forage and energy produced are covered by renting an appropriate meadow.</w:t>
            </w:r>
          </w:p>
          <w:p w:rsidR="00F555D6" w:rsidRPr="005C3B55" w:rsidRDefault="00F555D6" w:rsidP="00F555D6">
            <w:pPr>
              <w:spacing w:before="240" w:after="240" w:line="280" w:lineRule="auto"/>
              <w:rPr>
                <w:szCs w:val="24"/>
              </w:rPr>
            </w:pPr>
            <w:r w:rsidRPr="005C3B55">
              <w:rPr>
                <w:szCs w:val="24"/>
              </w:rPr>
              <w:t>HAB_ORGG: The basis fort he calculation of the payment are limitations of the NTR_HAB mandatory requirement. The calculation of the combination with the NTR_HAB requirement and the requirement for fertilisation with nitrogen from organ fertilisers on a maximum of 40 kg of nitrogen/ha annually anticipate additional reduction in produce and forage from grassland quality; therefore, the differences in the quantity of the forage and energy produced are covered by renting an appropriate meadow and purchasing strong forage.</w:t>
            </w:r>
          </w:p>
          <w:p w:rsidR="00F555D6" w:rsidRPr="005C3B55" w:rsidRDefault="00F555D6" w:rsidP="00F555D6">
            <w:pPr>
              <w:spacing w:before="240" w:after="240" w:line="280" w:lineRule="auto"/>
              <w:rPr>
                <w:szCs w:val="24"/>
              </w:rPr>
            </w:pPr>
            <w:r w:rsidRPr="005C3B55">
              <w:rPr>
                <w:b/>
                <w:szCs w:val="24"/>
              </w:rPr>
              <w:t>B. Optional requirements</w:t>
            </w:r>
          </w:p>
          <w:p w:rsidR="00F555D6" w:rsidRPr="005C3B55" w:rsidRDefault="00F555D6" w:rsidP="00F555D6">
            <w:pPr>
              <w:spacing w:before="240" w:after="240" w:line="280" w:lineRule="auto"/>
              <w:rPr>
                <w:szCs w:val="24"/>
              </w:rPr>
            </w:pPr>
            <w:r w:rsidRPr="005C3B55">
              <w:rPr>
                <w:szCs w:val="24"/>
              </w:rPr>
              <w:t>HAB_MRVA: The basis for the assessment of payments for the requirements are mandatory requirements NTR_HAB and NTR_ORGG. Combining the NTR_HAB mandatory requirement and limiting fertilisation in normal conditions results in technologies for producing forage from grassland, i.e. 60% hay, 20% grass silage and 20% grazing. The NTR_MRVA requirement converts the share of grass silage into a higher share of hay. Therefore, the assessment of the payment includes the purchase of strong forage to replace energy loss.</w:t>
            </w:r>
          </w:p>
          <w:p w:rsidR="00F555D6" w:rsidRPr="005C3B55" w:rsidRDefault="00F555D6" w:rsidP="00F555D6">
            <w:pPr>
              <w:spacing w:before="240" w:after="240" w:line="280" w:lineRule="auto"/>
              <w:rPr>
                <w:szCs w:val="24"/>
              </w:rPr>
            </w:pPr>
            <w:r w:rsidRPr="005C3B55">
              <w:rPr>
                <w:szCs w:val="24"/>
              </w:rPr>
              <w:t>HAB_NPAS: The combination of standard agricultural practice includes the production of hay and grass silage; the amount of produce and its quality are the same as in the combination of mandatory requirements HAB_KOS and HAB_ORGG. Due to the determined limitation on leaving an unmown strip, the calculation observes the reduction in the quantity of produce and thus the energy, whereas the difference is being supplemented with the additional purchase of fodder.</w:t>
            </w:r>
          </w:p>
          <w:p w:rsidR="00F555D6" w:rsidRPr="005C3B55" w:rsidRDefault="00F555D6" w:rsidP="00F555D6">
            <w:pPr>
              <w:spacing w:before="240" w:after="240"/>
              <w:rPr>
                <w:szCs w:val="24"/>
              </w:rPr>
            </w:pPr>
            <w:r w:rsidRPr="005C3B55">
              <w:rPr>
                <w:szCs w:val="24"/>
              </w:rPr>
              <w:t> </w:t>
            </w:r>
          </w:p>
          <w:p w:rsidR="00F555D6" w:rsidRPr="005C3B55" w:rsidRDefault="00F555D6" w:rsidP="00F555D6">
            <w:pPr>
              <w:spacing w:before="240" w:after="240"/>
              <w:rPr>
                <w:szCs w:val="24"/>
              </w:rPr>
            </w:pPr>
            <w:r w:rsidRPr="005C3B55">
              <w:rPr>
                <w:szCs w:val="24"/>
              </w:rPr>
              <w:t> </w:t>
            </w:r>
          </w:p>
          <w:p w:rsidR="00F555D6" w:rsidRPr="005C3B55" w:rsidRDefault="00F555D6" w:rsidP="00F555D6">
            <w:pPr>
              <w:pStyle w:val="Telobesedila"/>
              <w:rPr>
                <w:szCs w:val="24"/>
              </w:rPr>
            </w:pPr>
          </w:p>
        </w:tc>
      </w:tr>
    </w:tbl>
    <w:p w:rsidR="00F555D6" w:rsidRPr="005C3B55" w:rsidRDefault="00F555D6" w:rsidP="00F555D6">
      <w:pPr>
        <w:pStyle w:val="Naslov7"/>
        <w:tabs>
          <w:tab w:val="clear" w:pos="765"/>
        </w:tabs>
        <w:ind w:left="0" w:firstLine="0"/>
        <w:rPr>
          <w:szCs w:val="24"/>
          <w:lang w:val="en-GB"/>
        </w:rPr>
      </w:pPr>
      <w:r w:rsidRPr="005C3B55">
        <w:rPr>
          <w:noProof w:val="0"/>
          <w:szCs w:val="24"/>
          <w:lang w:val="en-GB"/>
        </w:rPr>
        <w:t>Agri-environment-climate commitments</w:t>
      </w:r>
    </w:p>
    <w:p w:rsidR="00F555D6" w:rsidRPr="005C3B55" w:rsidRDefault="00F555D6" w:rsidP="00F555D6">
      <w:pPr>
        <w:pStyle w:val="Naslov8"/>
        <w:tabs>
          <w:tab w:val="clear" w:pos="765"/>
        </w:tabs>
        <w:ind w:left="0" w:firstLine="0"/>
        <w:rPr>
          <w:b w:val="0"/>
          <w:szCs w:val="24"/>
          <w:lang w:val="en-GB"/>
        </w:rPr>
      </w:pPr>
      <w:r w:rsidRPr="005C3B55">
        <w:rPr>
          <w:b w:val="0"/>
          <w:noProof w:val="0"/>
          <w:szCs w:val="24"/>
          <w:lang w:val="en-GB"/>
        </w:rPr>
        <w:t>HAB_KOS:</w:t>
      </w:r>
      <w:r w:rsidRPr="005C3B55">
        <w:rPr>
          <w:b w:val="0"/>
          <w:szCs w:val="24"/>
          <w:lang w:val="en-GB"/>
        </w:rPr>
        <w:t xml:space="preserve"> </w:t>
      </w:r>
      <w:r w:rsidRPr="005C3B55">
        <w:rPr>
          <w:b w:val="0"/>
          <w:noProof w:val="0"/>
          <w:szCs w:val="24"/>
          <w:lang w:val="en-GB"/>
        </w:rPr>
        <w:t>Mowing/pasturing is not permitted before 30 June</w:t>
      </w:r>
    </w:p>
    <w:p w:rsidR="00F555D6" w:rsidRPr="005C3B55" w:rsidRDefault="00F555D6" w:rsidP="00F555D6">
      <w:pPr>
        <w:pStyle w:val="Naslov9"/>
        <w:tabs>
          <w:tab w:val="clear" w:pos="765"/>
        </w:tabs>
        <w:ind w:left="0" w:firstLine="0"/>
        <w:rPr>
          <w:szCs w:val="24"/>
          <w:lang w:val="en-GB"/>
        </w:rPr>
      </w:pPr>
      <w:r w:rsidRPr="005C3B55">
        <w:rPr>
          <w:noProof w:val="0"/>
          <w:szCs w:val="24"/>
          <w:lang w:val="en-GB"/>
        </w:rPr>
        <w:t>Starting Point</w:t>
      </w:r>
    </w:p>
    <w:p w:rsidR="00F555D6" w:rsidRPr="005C3B55" w:rsidRDefault="00F555D6" w:rsidP="00F555D6">
      <w:pPr>
        <w:spacing w:line="280" w:lineRule="auto"/>
        <w:rPr>
          <w:szCs w:val="24"/>
        </w:rPr>
      </w:pPr>
      <w:r w:rsidRPr="005C3B55">
        <w:rPr>
          <w:szCs w:val="24"/>
        </w:rPr>
        <w:t>Suitable good agricultural and environmental conditions and/or prescribed management requirements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605"/>
              </w:numPr>
              <w:spacing w:before="0" w:after="0"/>
              <w:ind w:hanging="290"/>
              <w:jc w:val="left"/>
              <w:rPr>
                <w:szCs w:val="24"/>
              </w:rPr>
            </w:pPr>
            <w:r w:rsidRPr="005C3B55">
              <w:rPr>
                <w:szCs w:val="24"/>
              </w:rPr>
              <w:t>Regulation on cross-compliance, Annex 1: Rules on cross-compliance, SMR 3: Conservation of natural habitats and of wild fauna and flora: grassland areas in the areas of Natura 2000 – habitats are maintained at least once annually no later than by 15 October of the current year.</w:t>
            </w:r>
          </w:p>
          <w:p w:rsidR="00F555D6" w:rsidRPr="005C3B55" w:rsidRDefault="00F555D6" w:rsidP="00F555D6">
            <w:pPr>
              <w:numPr>
                <w:ilvl w:val="0"/>
                <w:numId w:val="605"/>
              </w:numPr>
              <w:spacing w:before="0" w:after="0"/>
              <w:ind w:hanging="290"/>
              <w:jc w:val="left"/>
              <w:rPr>
                <w:szCs w:val="24"/>
              </w:rPr>
            </w:pPr>
            <w:r w:rsidRPr="005C3B55">
              <w:rPr>
                <w:szCs w:val="24"/>
              </w:rPr>
              <w:t>Regulation on cross-compliance, Annex 1: Rules on cross-compliance, SMR 2: grassland areas in the areas of Natura 2000 – birds are maintained at least once annually no later than by 15 October of the current year.</w:t>
            </w:r>
          </w:p>
          <w:p w:rsidR="00F555D6" w:rsidRPr="005C3B55" w:rsidRDefault="00F555D6" w:rsidP="00F555D6">
            <w:pPr>
              <w:numPr>
                <w:ilvl w:val="0"/>
                <w:numId w:val="605"/>
              </w:numPr>
              <w:spacing w:before="0" w:after="240"/>
              <w:ind w:hanging="290"/>
              <w:jc w:val="left"/>
              <w:rPr>
                <w:szCs w:val="24"/>
              </w:rPr>
            </w:pPr>
            <w:r w:rsidRPr="005C3B55">
              <w:rPr>
                <w:szCs w:val="24"/>
              </w:rPr>
              <w:t>Regulation on cross-compliance, Annex 1: Rules on cross-compliance, GAEC7: agricultural land is annually cultivated at least by 15 October of the current year.</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Minimum requirements for the use of fertilisers and plant protection products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606"/>
              </w:numPr>
              <w:spacing w:before="0" w:after="0"/>
              <w:ind w:hanging="290"/>
              <w:jc w:val="left"/>
              <w:rPr>
                <w:szCs w:val="24"/>
              </w:rPr>
            </w:pPr>
            <w:r w:rsidRPr="005C3B55">
              <w:rPr>
                <w:szCs w:val="24"/>
              </w:rPr>
              <w:t>Minimum requirements for the use of fertilisers refer to the keeping of records on the use of livestock and mineral fertilisers which an agricultural holding has to keep for all agricultural land plots at the agricultural holding, and which has to include at least the quantity and type of livestock manure and mineral fertiliser, time of fertilising and data on the surface where these fertilisers are used.</w:t>
            </w:r>
          </w:p>
          <w:p w:rsidR="00F555D6" w:rsidRPr="005C3B55" w:rsidRDefault="00F555D6" w:rsidP="00F555D6">
            <w:pPr>
              <w:numPr>
                <w:ilvl w:val="0"/>
                <w:numId w:val="606"/>
              </w:numPr>
              <w:spacing w:before="0" w:after="240"/>
              <w:ind w:hanging="290"/>
              <w:jc w:val="left"/>
              <w:rPr>
                <w:szCs w:val="24"/>
              </w:rPr>
            </w:pPr>
            <w:r w:rsidRPr="005C3B55">
              <w:rPr>
                <w:szCs w:val="24"/>
              </w:rPr>
              <w:t>Minimum requirements for the use of plant protection products are not determined, since the requirements relating to the use of these products are standardised and are included in the requirements of cross-compliance.</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Other relevant national/regional requirements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607"/>
              </w:numPr>
              <w:spacing w:before="0" w:after="240"/>
              <w:ind w:hanging="290"/>
              <w:jc w:val="left"/>
              <w:rPr>
                <w:szCs w:val="24"/>
              </w:rPr>
            </w:pPr>
            <w:r w:rsidRPr="005C3B55">
              <w:rPr>
                <w:szCs w:val="24"/>
              </w:rPr>
              <w:t>Other national requirements are not prescribed.</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Minimum activities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608"/>
              </w:numPr>
              <w:spacing w:before="0" w:after="240"/>
              <w:ind w:hanging="290"/>
              <w:jc w:val="left"/>
              <w:rPr>
                <w:szCs w:val="24"/>
              </w:rPr>
            </w:pPr>
            <w:r w:rsidRPr="005C3B55">
              <w:rPr>
                <w:szCs w:val="24"/>
              </w:rPr>
              <w:t>Mowing at least once annually by 15 October of the current year is determined as a criterion for maintaining agricultural land in a state suitable for pasturing or production without the preparation measures which exceed the use of regular agricultural methods and machinery.</w:t>
            </w:r>
          </w:p>
          <w:p w:rsidR="00F555D6" w:rsidRPr="005C3B55" w:rsidRDefault="00F555D6" w:rsidP="00F555D6">
            <w:pPr>
              <w:pStyle w:val="Telobesedila"/>
              <w:rPr>
                <w:szCs w:val="24"/>
              </w:rPr>
            </w:pPr>
          </w:p>
        </w:tc>
      </w:tr>
    </w:tbl>
    <w:p w:rsidR="00F555D6" w:rsidRPr="005C3B55" w:rsidRDefault="00F555D6" w:rsidP="00F555D6">
      <w:pPr>
        <w:pStyle w:val="Naslov9"/>
        <w:tabs>
          <w:tab w:val="clear" w:pos="765"/>
        </w:tabs>
        <w:ind w:left="0" w:firstLine="0"/>
        <w:rPr>
          <w:szCs w:val="24"/>
          <w:lang w:val="en-GB"/>
        </w:rPr>
      </w:pPr>
      <w:r w:rsidRPr="005C3B55">
        <w:rPr>
          <w:noProof w:val="0"/>
          <w:szCs w:val="24"/>
          <w:lang w:val="en-GB"/>
        </w:rPr>
        <w:t>Relevant standard agricultural practices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Meadows rich in species in Slovenia have been reducing in the past decades , which is especially the result of intensification on the one hand, and the abandonment of land use and overgrowing on the other. New, more modern machinery, new agricultural technology and a tendency towards ever greater economic effects have resulted in the situation that meadows which some decades ago were rich in species and mown at a later time have recently been mown and cultivated much earlier and also by applying technology (e.g. silage) which reduces the biodiversity of meadows.</w:t>
            </w:r>
          </w:p>
          <w:p w:rsidR="00F555D6" w:rsidRPr="005C3B55" w:rsidRDefault="00F555D6" w:rsidP="00F555D6">
            <w:pPr>
              <w:pStyle w:val="Telobesedila"/>
              <w:rPr>
                <w:szCs w:val="24"/>
              </w:rPr>
            </w:pPr>
          </w:p>
        </w:tc>
      </w:tr>
    </w:tbl>
    <w:p w:rsidR="00F555D6" w:rsidRPr="005C3B55" w:rsidRDefault="00F555D6" w:rsidP="00F555D6">
      <w:pPr>
        <w:pStyle w:val="Naslov8"/>
        <w:tabs>
          <w:tab w:val="clear" w:pos="765"/>
        </w:tabs>
        <w:ind w:left="0" w:firstLine="0"/>
        <w:rPr>
          <w:b w:val="0"/>
          <w:szCs w:val="24"/>
          <w:lang w:val="en-GB"/>
        </w:rPr>
      </w:pPr>
      <w:r w:rsidRPr="005C3B55">
        <w:rPr>
          <w:b w:val="0"/>
          <w:noProof w:val="0"/>
          <w:szCs w:val="24"/>
          <w:lang w:val="en-GB"/>
        </w:rPr>
        <w:t>HAB_MRVA:</w:t>
      </w:r>
      <w:r w:rsidRPr="005C3B55">
        <w:rPr>
          <w:b w:val="0"/>
          <w:szCs w:val="24"/>
          <w:lang w:val="en-GB"/>
        </w:rPr>
        <w:t xml:space="preserve"> </w:t>
      </w:r>
      <w:r w:rsidRPr="005C3B55">
        <w:rPr>
          <w:b w:val="0"/>
          <w:noProof w:val="0"/>
          <w:szCs w:val="24"/>
          <w:lang w:val="en-GB"/>
        </w:rPr>
        <w:t>Harvesting of hay from grassland</w:t>
      </w:r>
    </w:p>
    <w:p w:rsidR="00F555D6" w:rsidRPr="005C3B55" w:rsidRDefault="00F555D6" w:rsidP="00F555D6">
      <w:pPr>
        <w:pStyle w:val="Naslov9"/>
        <w:tabs>
          <w:tab w:val="clear" w:pos="765"/>
        </w:tabs>
        <w:ind w:left="0" w:firstLine="0"/>
        <w:rPr>
          <w:szCs w:val="24"/>
          <w:lang w:val="en-GB"/>
        </w:rPr>
      </w:pPr>
      <w:r w:rsidRPr="005C3B55">
        <w:rPr>
          <w:noProof w:val="0"/>
          <w:szCs w:val="24"/>
          <w:lang w:val="en-GB"/>
        </w:rPr>
        <w:t>Starting Point</w:t>
      </w:r>
    </w:p>
    <w:p w:rsidR="00F555D6" w:rsidRPr="005C3B55" w:rsidRDefault="00F555D6" w:rsidP="00F555D6">
      <w:pPr>
        <w:spacing w:line="280" w:lineRule="auto"/>
        <w:rPr>
          <w:szCs w:val="24"/>
        </w:rPr>
      </w:pPr>
      <w:r w:rsidRPr="005C3B55">
        <w:rPr>
          <w:szCs w:val="24"/>
        </w:rPr>
        <w:t>Suitable good agricultural and environmental conditions and/or prescribed management requirements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609"/>
              </w:numPr>
              <w:spacing w:before="0" w:after="240"/>
              <w:ind w:hanging="290"/>
              <w:jc w:val="left"/>
              <w:rPr>
                <w:szCs w:val="24"/>
              </w:rPr>
            </w:pPr>
            <w:r w:rsidRPr="005C3B55">
              <w:rPr>
                <w:szCs w:val="24"/>
              </w:rPr>
              <w:t>Regulation on cross-compliance, Annex 1: Rules on cross-compliance, GAEC 7:  Minimum level of land maintenance: agricultural land is annually cultivated at least by 15 October of the current year.</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Minimum requirements for the use of fertilisers and plant protection products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610"/>
              </w:numPr>
              <w:spacing w:before="0" w:after="0"/>
              <w:ind w:hanging="290"/>
              <w:jc w:val="left"/>
              <w:rPr>
                <w:szCs w:val="24"/>
              </w:rPr>
            </w:pPr>
            <w:r w:rsidRPr="005C3B55">
              <w:rPr>
                <w:szCs w:val="24"/>
              </w:rPr>
              <w:t>Minimum requirements for the use of fertilisers refer to the keeping of records on the use of livestock and mineral fertilisers which an agricultural holding has to keep for all agricultural land plots at the agricultural holding, and which has to include at least the quantity and type of livestock manure and mineral fertiliser, time of fertilising and data on the surface where these fertilisers are used.</w:t>
            </w:r>
          </w:p>
          <w:p w:rsidR="00F555D6" w:rsidRPr="005C3B55" w:rsidRDefault="00F555D6" w:rsidP="00F555D6">
            <w:pPr>
              <w:numPr>
                <w:ilvl w:val="0"/>
                <w:numId w:val="610"/>
              </w:numPr>
              <w:spacing w:before="0" w:after="240"/>
              <w:ind w:hanging="290"/>
              <w:jc w:val="left"/>
              <w:rPr>
                <w:szCs w:val="24"/>
              </w:rPr>
            </w:pPr>
            <w:r w:rsidRPr="005C3B55">
              <w:rPr>
                <w:szCs w:val="24"/>
              </w:rPr>
              <w:t>Minimum requirements for the use of plant protection products are not determined, since the requirements relating to the use of these products are standardised and are included in the requirements of cross-compliance.</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Other relevant national/regional requirements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611"/>
              </w:numPr>
              <w:spacing w:before="0" w:after="240"/>
              <w:ind w:hanging="290"/>
              <w:jc w:val="left"/>
              <w:rPr>
                <w:szCs w:val="24"/>
              </w:rPr>
            </w:pPr>
            <w:r w:rsidRPr="005C3B55">
              <w:rPr>
                <w:szCs w:val="24"/>
              </w:rPr>
              <w:t>Other national requirements are not prescribed.</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Minimum activities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612"/>
              </w:numPr>
              <w:spacing w:before="0" w:after="240"/>
              <w:ind w:hanging="290"/>
              <w:jc w:val="left"/>
              <w:rPr>
                <w:szCs w:val="24"/>
              </w:rPr>
            </w:pPr>
            <w:r w:rsidRPr="005C3B55">
              <w:rPr>
                <w:szCs w:val="24"/>
              </w:rPr>
              <w:t>Mowing at least once annually by 15 October of the current year is determined as a criterion for maintaining agricultural land in a state suitable for pasturing or production without the preparation measures which exceed the use of regular agricultural methods and machinery.</w:t>
            </w:r>
          </w:p>
          <w:p w:rsidR="00F555D6" w:rsidRPr="005C3B55" w:rsidRDefault="00F555D6" w:rsidP="00F555D6">
            <w:pPr>
              <w:pStyle w:val="Telobesedila"/>
              <w:rPr>
                <w:szCs w:val="24"/>
              </w:rPr>
            </w:pPr>
          </w:p>
        </w:tc>
      </w:tr>
    </w:tbl>
    <w:p w:rsidR="00F555D6" w:rsidRPr="005C3B55" w:rsidRDefault="00F555D6" w:rsidP="00F555D6">
      <w:pPr>
        <w:pStyle w:val="Naslov9"/>
        <w:tabs>
          <w:tab w:val="clear" w:pos="765"/>
        </w:tabs>
        <w:ind w:left="0" w:firstLine="0"/>
        <w:rPr>
          <w:szCs w:val="24"/>
          <w:lang w:val="en-GB"/>
        </w:rPr>
      </w:pPr>
      <w:r w:rsidRPr="005C3B55">
        <w:rPr>
          <w:noProof w:val="0"/>
          <w:szCs w:val="24"/>
          <w:lang w:val="en-GB"/>
        </w:rPr>
        <w:t>Relevant standard agricultural practices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The forage produced from grassland for animals is ensilaged (grass silage) in standard agricultural practice. The harvesting of grass silage wrapped in plastic foil (baling) has spread in recent years, since baling is extremely time-efficient. The harvesting of forage from grassland in the form of silage bales has also increased significantly on small farms which traditionally dried forage.</w:t>
            </w:r>
          </w:p>
          <w:p w:rsidR="00F555D6" w:rsidRPr="005C3B55" w:rsidRDefault="00F555D6" w:rsidP="00F555D6">
            <w:pPr>
              <w:pStyle w:val="Telobesedila"/>
              <w:rPr>
                <w:szCs w:val="24"/>
              </w:rPr>
            </w:pPr>
          </w:p>
        </w:tc>
      </w:tr>
    </w:tbl>
    <w:p w:rsidR="00F555D6" w:rsidRPr="005C3B55" w:rsidRDefault="00F555D6" w:rsidP="00F555D6">
      <w:pPr>
        <w:pStyle w:val="Naslov8"/>
        <w:tabs>
          <w:tab w:val="clear" w:pos="765"/>
        </w:tabs>
        <w:ind w:left="0" w:firstLine="0"/>
        <w:rPr>
          <w:b w:val="0"/>
          <w:szCs w:val="24"/>
          <w:lang w:val="en-GB"/>
        </w:rPr>
      </w:pPr>
      <w:r w:rsidRPr="005C3B55">
        <w:rPr>
          <w:b w:val="0"/>
          <w:noProof w:val="0"/>
          <w:szCs w:val="24"/>
          <w:lang w:val="en-GB"/>
        </w:rPr>
        <w:t>HAB_NPAS:</w:t>
      </w:r>
      <w:r w:rsidRPr="005C3B55">
        <w:rPr>
          <w:b w:val="0"/>
          <w:szCs w:val="24"/>
          <w:lang w:val="en-GB"/>
        </w:rPr>
        <w:t xml:space="preserve"> </w:t>
      </w:r>
      <w:r w:rsidRPr="005C3B55">
        <w:rPr>
          <w:b w:val="0"/>
          <w:noProof w:val="0"/>
          <w:szCs w:val="24"/>
          <w:lang w:val="en-GB"/>
        </w:rPr>
        <w:t>Unmown strip of 5 to 10% of surface of a meadow</w:t>
      </w:r>
    </w:p>
    <w:p w:rsidR="00F555D6" w:rsidRPr="005C3B55" w:rsidRDefault="00F555D6" w:rsidP="00F555D6">
      <w:pPr>
        <w:pStyle w:val="Naslov9"/>
        <w:tabs>
          <w:tab w:val="clear" w:pos="765"/>
        </w:tabs>
        <w:ind w:left="0" w:firstLine="0"/>
        <w:rPr>
          <w:szCs w:val="24"/>
          <w:lang w:val="en-GB"/>
        </w:rPr>
      </w:pPr>
      <w:r w:rsidRPr="005C3B55">
        <w:rPr>
          <w:noProof w:val="0"/>
          <w:szCs w:val="24"/>
          <w:lang w:val="en-GB"/>
        </w:rPr>
        <w:t>Starting Point</w:t>
      </w:r>
    </w:p>
    <w:p w:rsidR="00F555D6" w:rsidRPr="005C3B55" w:rsidRDefault="00F555D6" w:rsidP="00F555D6">
      <w:pPr>
        <w:spacing w:line="280" w:lineRule="auto"/>
        <w:rPr>
          <w:szCs w:val="24"/>
        </w:rPr>
      </w:pPr>
      <w:r w:rsidRPr="005C3B55">
        <w:rPr>
          <w:szCs w:val="24"/>
        </w:rPr>
        <w:t>Suitable good agricultural and environmental conditions and/or prescribed management requirements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613"/>
              </w:numPr>
              <w:spacing w:before="0" w:after="0"/>
              <w:ind w:hanging="290"/>
              <w:jc w:val="left"/>
              <w:rPr>
                <w:szCs w:val="24"/>
              </w:rPr>
            </w:pPr>
            <w:r w:rsidRPr="005C3B55">
              <w:rPr>
                <w:szCs w:val="24"/>
              </w:rPr>
              <w:t>Regulation on cross-compliance, Annex 1: Rules on cross-compliance, SMR 3: Conservation of natural habitats and of wild fauna and flora: grassland areas in the areas of Natura 2000 – habitats are maintained at least once annually no later than by 15 October of the current year.</w:t>
            </w:r>
          </w:p>
          <w:p w:rsidR="00F555D6" w:rsidRPr="005C3B55" w:rsidRDefault="00F555D6" w:rsidP="00F555D6">
            <w:pPr>
              <w:numPr>
                <w:ilvl w:val="0"/>
                <w:numId w:val="613"/>
              </w:numPr>
              <w:spacing w:before="0" w:after="0"/>
              <w:ind w:hanging="290"/>
              <w:jc w:val="left"/>
              <w:rPr>
                <w:szCs w:val="24"/>
              </w:rPr>
            </w:pPr>
            <w:r w:rsidRPr="005C3B55">
              <w:rPr>
                <w:szCs w:val="24"/>
              </w:rPr>
              <w:t>Regulation on cross-compliance, Annex 1: Rules on cross-compliance, SMR 2: grassland areas in the areas of Natura 2000 – birds are maintained at least once annually no later than by 15 October of the current year.</w:t>
            </w:r>
          </w:p>
          <w:p w:rsidR="00F555D6" w:rsidRPr="005C3B55" w:rsidRDefault="00F555D6" w:rsidP="00F555D6">
            <w:pPr>
              <w:numPr>
                <w:ilvl w:val="0"/>
                <w:numId w:val="613"/>
              </w:numPr>
              <w:spacing w:before="0" w:after="240"/>
              <w:ind w:hanging="290"/>
              <w:jc w:val="left"/>
              <w:rPr>
                <w:szCs w:val="24"/>
              </w:rPr>
            </w:pPr>
            <w:r w:rsidRPr="005C3B55">
              <w:rPr>
                <w:szCs w:val="24"/>
              </w:rPr>
              <w:t>Regulation on cross-compliance, Annex 1: Rules on cross-compliance, GAEC7: agricultural land is annually cultivated at least by 15 October of the current year.</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Minimum requirements for the use of fertilisers and plant protection products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614"/>
              </w:numPr>
              <w:spacing w:before="0" w:after="0"/>
              <w:ind w:hanging="290"/>
              <w:jc w:val="left"/>
              <w:rPr>
                <w:szCs w:val="24"/>
              </w:rPr>
            </w:pPr>
            <w:r w:rsidRPr="005C3B55">
              <w:rPr>
                <w:szCs w:val="24"/>
              </w:rPr>
              <w:t>Minimum requirements for the use of fertilisers refer to the keeping of records on the use of livestock and mineral fertilisers which an agricultural holding has to keep for all agricultural land plots at the agricultural holding, and which has to include at least the quantity and type of livestock manure and mineral fertiliser, time of fertilising and data on the surface where these fertilisers are used.</w:t>
            </w:r>
          </w:p>
          <w:p w:rsidR="00F555D6" w:rsidRPr="005C3B55" w:rsidRDefault="00F555D6" w:rsidP="00F555D6">
            <w:pPr>
              <w:numPr>
                <w:ilvl w:val="0"/>
                <w:numId w:val="614"/>
              </w:numPr>
              <w:spacing w:before="0" w:after="240"/>
              <w:ind w:hanging="290"/>
              <w:jc w:val="left"/>
              <w:rPr>
                <w:szCs w:val="24"/>
              </w:rPr>
            </w:pPr>
            <w:r w:rsidRPr="005C3B55">
              <w:rPr>
                <w:szCs w:val="24"/>
              </w:rPr>
              <w:t>Minimum requirements for the use of plant protection products are not determined, since the requirements relating to the use of these products are standardised and are included in the requirements of cross-compliance.</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Other relevant national/regional requirements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615"/>
              </w:numPr>
              <w:spacing w:before="0" w:after="240"/>
              <w:ind w:hanging="290"/>
              <w:jc w:val="left"/>
              <w:rPr>
                <w:szCs w:val="24"/>
              </w:rPr>
            </w:pPr>
            <w:r w:rsidRPr="005C3B55">
              <w:rPr>
                <w:szCs w:val="24"/>
              </w:rPr>
              <w:t>Other national requirements are not prescribed.</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Minimum activities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616"/>
              </w:numPr>
              <w:spacing w:before="0" w:after="240"/>
              <w:ind w:hanging="290"/>
              <w:jc w:val="left"/>
              <w:rPr>
                <w:szCs w:val="24"/>
              </w:rPr>
            </w:pPr>
            <w:r w:rsidRPr="005C3B55">
              <w:rPr>
                <w:szCs w:val="24"/>
              </w:rPr>
              <w:t>Mowing at least once annually by 15 October of the current year is determined as a criterion for maintaining agricultural land in a state suitable for pasturing or production without the preparation measures which exceed the use of regular agricultural methods and machinery.</w:t>
            </w:r>
          </w:p>
          <w:p w:rsidR="00F555D6" w:rsidRPr="005C3B55" w:rsidRDefault="00F555D6" w:rsidP="00F555D6">
            <w:pPr>
              <w:pStyle w:val="Telobesedila"/>
              <w:rPr>
                <w:szCs w:val="24"/>
              </w:rPr>
            </w:pPr>
          </w:p>
        </w:tc>
      </w:tr>
    </w:tbl>
    <w:p w:rsidR="00F555D6" w:rsidRPr="005C3B55" w:rsidRDefault="00F555D6" w:rsidP="00F555D6">
      <w:pPr>
        <w:pStyle w:val="Naslov9"/>
        <w:tabs>
          <w:tab w:val="clear" w:pos="765"/>
        </w:tabs>
        <w:ind w:left="0" w:firstLine="0"/>
        <w:rPr>
          <w:szCs w:val="24"/>
          <w:lang w:val="en-GB"/>
        </w:rPr>
      </w:pPr>
      <w:r w:rsidRPr="005C3B55">
        <w:rPr>
          <w:noProof w:val="0"/>
          <w:szCs w:val="24"/>
          <w:lang w:val="en-GB"/>
        </w:rPr>
        <w:t>Relevant standard agricultural practices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In standard agricultural practice, the mowing of grassland areas is conducted over the entire meadow surface, whereas it is not usual to leave a specific part of this surface unmown until the following year. The surface of meadows with four- or several times use (intensity of use) is growing.</w:t>
            </w:r>
          </w:p>
          <w:p w:rsidR="00F555D6" w:rsidRPr="005C3B55" w:rsidRDefault="00F555D6" w:rsidP="00F555D6">
            <w:pPr>
              <w:pStyle w:val="Telobesedila"/>
              <w:rPr>
                <w:szCs w:val="24"/>
              </w:rPr>
            </w:pPr>
          </w:p>
        </w:tc>
      </w:tr>
    </w:tbl>
    <w:p w:rsidR="00F555D6" w:rsidRPr="005C3B55" w:rsidRDefault="00F555D6" w:rsidP="00F555D6">
      <w:pPr>
        <w:pStyle w:val="Naslov8"/>
        <w:tabs>
          <w:tab w:val="clear" w:pos="765"/>
        </w:tabs>
        <w:ind w:left="0" w:firstLine="0"/>
        <w:rPr>
          <w:b w:val="0"/>
          <w:szCs w:val="24"/>
          <w:lang w:val="en-GB"/>
        </w:rPr>
      </w:pPr>
      <w:r w:rsidRPr="005C3B55">
        <w:rPr>
          <w:b w:val="0"/>
          <w:noProof w:val="0"/>
          <w:szCs w:val="24"/>
          <w:lang w:val="en-GB"/>
        </w:rPr>
        <w:t>HAB_ORGG:</w:t>
      </w:r>
      <w:r w:rsidRPr="005C3B55">
        <w:rPr>
          <w:b w:val="0"/>
          <w:szCs w:val="24"/>
          <w:lang w:val="en-GB"/>
        </w:rPr>
        <w:t xml:space="preserve"> </w:t>
      </w:r>
      <w:r w:rsidRPr="005C3B55">
        <w:rPr>
          <w:b w:val="0"/>
          <w:noProof w:val="0"/>
          <w:szCs w:val="24"/>
          <w:lang w:val="en-GB"/>
        </w:rPr>
        <w:t>Fertilisation with organic fertilisers only in limited quantity</w:t>
      </w:r>
    </w:p>
    <w:p w:rsidR="00F555D6" w:rsidRPr="005C3B55" w:rsidRDefault="00F555D6" w:rsidP="00F555D6">
      <w:pPr>
        <w:pStyle w:val="Naslov9"/>
        <w:tabs>
          <w:tab w:val="clear" w:pos="765"/>
        </w:tabs>
        <w:ind w:left="0" w:firstLine="0"/>
        <w:rPr>
          <w:szCs w:val="24"/>
          <w:lang w:val="en-GB"/>
        </w:rPr>
      </w:pPr>
      <w:r w:rsidRPr="005C3B55">
        <w:rPr>
          <w:noProof w:val="0"/>
          <w:szCs w:val="24"/>
          <w:lang w:val="en-GB"/>
        </w:rPr>
        <w:t>Starting Point</w:t>
      </w:r>
    </w:p>
    <w:p w:rsidR="00F555D6" w:rsidRPr="005C3B55" w:rsidRDefault="00F555D6" w:rsidP="00F555D6">
      <w:pPr>
        <w:spacing w:line="280" w:lineRule="auto"/>
        <w:rPr>
          <w:szCs w:val="24"/>
        </w:rPr>
      </w:pPr>
      <w:r w:rsidRPr="005C3B55">
        <w:rPr>
          <w:szCs w:val="24"/>
        </w:rPr>
        <w:t>Suitable good agricultural and environmental conditions and/or prescribed management requirements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617"/>
              </w:numPr>
              <w:spacing w:before="0" w:after="240"/>
              <w:ind w:hanging="290"/>
              <w:jc w:val="left"/>
              <w:rPr>
                <w:szCs w:val="24"/>
              </w:rPr>
            </w:pPr>
            <w:r w:rsidRPr="005C3B55">
              <w:rPr>
                <w:szCs w:val="24"/>
              </w:rPr>
              <w:t>Regulation on cross-compliance, Annex 1: Rules on cross-compliance, SMR 1: Water protection against the pollution caused by nitrates from agricultural sources:  The annual intake of nitrogen from organic fertilisers per individual unit of use of agricultural land does not exceed 250 kgN/ha.</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Minimum requirements for the use of fertilisers and plant protection products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618"/>
              </w:numPr>
              <w:spacing w:before="0" w:after="0"/>
              <w:ind w:hanging="290"/>
              <w:jc w:val="left"/>
              <w:rPr>
                <w:szCs w:val="24"/>
              </w:rPr>
            </w:pPr>
            <w:r w:rsidRPr="005C3B55">
              <w:rPr>
                <w:szCs w:val="24"/>
              </w:rPr>
              <w:t>Minimum requirements for the use of fertilisers refer to the keeping of records on the use of livestock and mineral fertilisers which an agricultural holding has to keep for all agricultural land plots at the agricultural holding, and which has to include at least the quantity and type of livestock manure and mineral fertiliser, time of fertilising and data on the surface where these fertilisers are used.</w:t>
            </w:r>
          </w:p>
          <w:p w:rsidR="00F555D6" w:rsidRPr="005C3B55" w:rsidRDefault="00F555D6" w:rsidP="00F555D6">
            <w:pPr>
              <w:numPr>
                <w:ilvl w:val="0"/>
                <w:numId w:val="618"/>
              </w:numPr>
              <w:spacing w:before="0" w:after="240"/>
              <w:ind w:hanging="290"/>
              <w:jc w:val="left"/>
              <w:rPr>
                <w:szCs w:val="24"/>
              </w:rPr>
            </w:pPr>
            <w:r w:rsidRPr="005C3B55">
              <w:rPr>
                <w:szCs w:val="24"/>
              </w:rPr>
              <w:t>Minimum requirements for the use of plant protection products are not determined, since the requirements relating to the use of these products are standardised and are included in the requirements of cross-compliance.</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Other relevant national/regional requirements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619"/>
              </w:numPr>
              <w:spacing w:before="0" w:after="240"/>
              <w:ind w:hanging="290"/>
              <w:jc w:val="left"/>
              <w:rPr>
                <w:szCs w:val="24"/>
              </w:rPr>
            </w:pPr>
            <w:r w:rsidRPr="005C3B55">
              <w:rPr>
                <w:szCs w:val="24"/>
              </w:rPr>
              <w:t>Other national requirements are not prescribed.</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Minimum activities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620"/>
              </w:numPr>
              <w:spacing w:before="0" w:after="240"/>
              <w:ind w:hanging="290"/>
              <w:jc w:val="left"/>
              <w:rPr>
                <w:szCs w:val="24"/>
              </w:rPr>
            </w:pPr>
            <w:r w:rsidRPr="005C3B55">
              <w:rPr>
                <w:szCs w:val="24"/>
              </w:rPr>
              <w:t>Mowing at least once annually by 15 October of the current year is determined as a criterion for maintaining agricultural land in a state suitable for pasturing or production without the preparation measures which exceed the use of regular agricultural methods and machinery.</w:t>
            </w:r>
          </w:p>
          <w:p w:rsidR="00F555D6" w:rsidRPr="005C3B55" w:rsidRDefault="00F555D6" w:rsidP="00F555D6">
            <w:pPr>
              <w:pStyle w:val="Telobesedila"/>
              <w:rPr>
                <w:szCs w:val="24"/>
              </w:rPr>
            </w:pPr>
          </w:p>
        </w:tc>
      </w:tr>
    </w:tbl>
    <w:p w:rsidR="00F555D6" w:rsidRPr="005C3B55" w:rsidRDefault="00F555D6" w:rsidP="00F555D6">
      <w:pPr>
        <w:pStyle w:val="Naslov9"/>
        <w:tabs>
          <w:tab w:val="clear" w:pos="765"/>
        </w:tabs>
        <w:ind w:left="0" w:firstLine="0"/>
        <w:rPr>
          <w:szCs w:val="24"/>
          <w:lang w:val="en-GB"/>
        </w:rPr>
      </w:pPr>
      <w:r w:rsidRPr="005C3B55">
        <w:rPr>
          <w:noProof w:val="0"/>
          <w:szCs w:val="24"/>
          <w:lang w:val="en-GB"/>
        </w:rPr>
        <w:t>Relevant standard agricultural practices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The pressure for economic and profitable agricultural production causes the intensification of meadows by additional fertilisation and seeding and increasing the frequency of mowing. Meadows rich in species which were mown twice a year at the most a decade ago are now being gradually mown four times or even more. Some endangered European habitat types and species thrive and prosper on highly oligotrophic soil that tolerate no fertilisation. In practice, however, farmers fertilise such grassland habitats with mineral and organic fertilisers to obtain better quality fodder; while this achieves their objective, the loss of biodiversity remains permanent (irreversible) for the most part. The limitation of fertilisation is thus urgent.</w:t>
            </w:r>
          </w:p>
          <w:p w:rsidR="00F555D6" w:rsidRPr="005C3B55" w:rsidRDefault="00F555D6" w:rsidP="00F555D6">
            <w:pPr>
              <w:pStyle w:val="Telobesedila"/>
              <w:rPr>
                <w:szCs w:val="24"/>
              </w:rPr>
            </w:pPr>
          </w:p>
        </w:tc>
      </w:tr>
    </w:tbl>
    <w:p w:rsidR="00F555D6" w:rsidRPr="005C3B55" w:rsidRDefault="00F555D6" w:rsidP="00F555D6">
      <w:pPr>
        <w:pStyle w:val="Naslov5"/>
        <w:tabs>
          <w:tab w:val="clear" w:pos="765"/>
        </w:tabs>
        <w:ind w:left="0" w:firstLine="0"/>
        <w:rPr>
          <w:b w:val="0"/>
          <w:szCs w:val="24"/>
          <w:lang w:val="en-GB"/>
        </w:rPr>
      </w:pPr>
      <w:r w:rsidRPr="005C3B55">
        <w:rPr>
          <w:b w:val="0"/>
          <w:szCs w:val="24"/>
          <w:lang w:val="en-GB"/>
        </w:rPr>
        <w:br w:type="page"/>
        <w:t>08.</w:t>
      </w:r>
      <w:r w:rsidRPr="005C3B55">
        <w:rPr>
          <w:b w:val="0"/>
          <w:szCs w:val="24"/>
          <w:lang w:val="en-GB"/>
        </w:rPr>
        <w:tab/>
      </w:r>
      <w:r w:rsidRPr="005C3B55">
        <w:rPr>
          <w:b w:val="0"/>
          <w:noProof w:val="0"/>
          <w:szCs w:val="24"/>
          <w:lang w:val="en-GB"/>
        </w:rPr>
        <w:t>Grassland habitats of butterflies</w:t>
      </w:r>
    </w:p>
    <w:p w:rsidR="00F555D6" w:rsidRPr="005C3B55" w:rsidRDefault="00F555D6" w:rsidP="00F555D6">
      <w:pPr>
        <w:spacing w:line="280" w:lineRule="auto"/>
        <w:rPr>
          <w:szCs w:val="24"/>
        </w:rPr>
      </w:pPr>
      <w:r w:rsidRPr="005C3B55">
        <w:rPr>
          <w:szCs w:val="24"/>
        </w:rPr>
        <w:t xml:space="preserve">Sub-measure: </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621"/>
              </w:numPr>
              <w:rPr>
                <w:szCs w:val="24"/>
              </w:rPr>
            </w:pPr>
            <w:r w:rsidRPr="005C3B55">
              <w:rPr>
                <w:szCs w:val="24"/>
              </w:rPr>
              <w:t>10.1 – Payment of agri-environment-climate commitments</w:t>
            </w: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Description of type of operation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The operation of Grassland habitats of butterflies presents a change in existing practice and is implemented in ecologically important areas where two very endangered qualifying Natura 2000 species of butterflies occur, i.e. the scarce large blue (</w:t>
            </w:r>
            <w:r w:rsidRPr="005C3B55">
              <w:rPr>
                <w:i/>
                <w:szCs w:val="24"/>
              </w:rPr>
              <w:t>Maculinea teleius</w:t>
            </w:r>
            <w:r w:rsidRPr="005C3B55">
              <w:rPr>
                <w:szCs w:val="24"/>
              </w:rPr>
              <w:t>) and the dusky large blue (</w:t>
            </w:r>
            <w:r w:rsidRPr="005C3B55">
              <w:rPr>
                <w:i/>
                <w:szCs w:val="24"/>
              </w:rPr>
              <w:t>Maculinea nausithous</w:t>
            </w:r>
            <w:r w:rsidRPr="005C3B55">
              <w:rPr>
                <w:szCs w:val="24"/>
              </w:rPr>
              <w:t>). The operation is intended to promote the implementation of agricultural practices adjusted to the ecological requirements of these two species and which enable their long-term conservation and protection.</w:t>
            </w:r>
          </w:p>
          <w:p w:rsidR="00F555D6" w:rsidRPr="005C3B55" w:rsidRDefault="00F555D6" w:rsidP="00F555D6">
            <w:pPr>
              <w:spacing w:before="240" w:after="240" w:line="280" w:lineRule="auto"/>
              <w:rPr>
                <w:szCs w:val="24"/>
              </w:rPr>
            </w:pPr>
            <w:r w:rsidRPr="005C3B55">
              <w:rPr>
                <w:szCs w:val="24"/>
              </w:rPr>
              <w:t>The operation includes two mandatory and one optional requirement. The beneficiary must implement the two mandatory requirements and may also implement the optional requirement of this operation.</w:t>
            </w:r>
          </w:p>
          <w:p w:rsidR="00F555D6" w:rsidRPr="005C3B55" w:rsidRDefault="00F555D6" w:rsidP="00F555D6">
            <w:pPr>
              <w:spacing w:before="240" w:after="240" w:line="280" w:lineRule="auto"/>
              <w:rPr>
                <w:szCs w:val="24"/>
              </w:rPr>
            </w:pPr>
            <w:r w:rsidRPr="005C3B55">
              <w:rPr>
                <w:b/>
                <w:szCs w:val="24"/>
              </w:rPr>
              <w:t>A. Mandatory requirements</w:t>
            </w:r>
          </w:p>
          <w:p w:rsidR="00F555D6" w:rsidRPr="005C3B55" w:rsidRDefault="00F555D6" w:rsidP="00F555D6">
            <w:pPr>
              <w:spacing w:before="240" w:after="240" w:line="280" w:lineRule="auto"/>
              <w:rPr>
                <w:szCs w:val="24"/>
              </w:rPr>
            </w:pPr>
            <w:r w:rsidRPr="005C3B55">
              <w:rPr>
                <w:b/>
                <w:i/>
                <w:szCs w:val="24"/>
              </w:rPr>
              <w:t>MET_KOS: Mowing/pasturing is not permitted between 15 June and 15 September</w:t>
            </w:r>
          </w:p>
          <w:p w:rsidR="00F555D6" w:rsidRPr="005C3B55" w:rsidRDefault="00F555D6" w:rsidP="00F555D6">
            <w:pPr>
              <w:spacing w:before="240" w:after="240" w:line="280" w:lineRule="auto"/>
              <w:rPr>
                <w:szCs w:val="24"/>
              </w:rPr>
            </w:pPr>
            <w:r w:rsidRPr="005C3B55">
              <w:rPr>
                <w:szCs w:val="24"/>
              </w:rPr>
              <w:t>Prohibition of use (mowing and grazing) between 15 June and 15 September</w:t>
            </w:r>
            <w:r w:rsidRPr="005C3B55">
              <w:rPr>
                <w:b/>
                <w:szCs w:val="24"/>
              </w:rPr>
              <w:t xml:space="preserve"> </w:t>
            </w:r>
            <w:r w:rsidRPr="005C3B55">
              <w:rPr>
                <w:szCs w:val="24"/>
              </w:rPr>
              <w:t xml:space="preserve">on ecologically important areas of grassland habitats of butterflies allows for the successful and undisturbed development of butterflies into adult animals. Meadows which are the habitat of </w:t>
            </w:r>
            <w:r w:rsidRPr="005C3B55">
              <w:rPr>
                <w:i/>
                <w:szCs w:val="24"/>
              </w:rPr>
              <w:t xml:space="preserve">Maculinea </w:t>
            </w:r>
            <w:r w:rsidRPr="005C3B55">
              <w:rPr>
                <w:szCs w:val="24"/>
              </w:rPr>
              <w:t>butterflies thrive on unfertilised soil which is seldom fertilised in small quantities. A complete prohibition of fertilisation is a necessary measure to preserve a suitable habitat, the Natura types and habitat types.</w:t>
            </w:r>
          </w:p>
          <w:p w:rsidR="00F555D6" w:rsidRPr="005C3B55" w:rsidRDefault="00F555D6" w:rsidP="00F555D6">
            <w:pPr>
              <w:spacing w:before="240" w:after="240" w:line="280" w:lineRule="auto"/>
              <w:rPr>
                <w:szCs w:val="24"/>
              </w:rPr>
            </w:pPr>
            <w:r w:rsidRPr="005C3B55">
              <w:rPr>
                <w:szCs w:val="24"/>
              </w:rPr>
              <w:t xml:space="preserve">The implementation of the requirement with time limited mowing is necessary because the life cycle of </w:t>
            </w:r>
            <w:r w:rsidRPr="005C3B55">
              <w:rPr>
                <w:i/>
                <w:szCs w:val="24"/>
              </w:rPr>
              <w:t xml:space="preserve">Maculinea </w:t>
            </w:r>
            <w:r w:rsidRPr="005C3B55">
              <w:rPr>
                <w:szCs w:val="24"/>
              </w:rPr>
              <w:t>butterflies</w:t>
            </w:r>
            <w:r w:rsidRPr="005C3B55">
              <w:rPr>
                <w:i/>
                <w:szCs w:val="24"/>
              </w:rPr>
              <w:t xml:space="preserve"> </w:t>
            </w:r>
            <w:r w:rsidRPr="005C3B55">
              <w:rPr>
                <w:szCs w:val="24"/>
              </w:rPr>
              <w:t>is quite complicated. For undisturbed development, the butterflies need meadows with great burnet</w:t>
            </w:r>
            <w:r w:rsidRPr="005C3B55">
              <w:rPr>
                <w:b/>
                <w:szCs w:val="24"/>
              </w:rPr>
              <w:t xml:space="preserve"> </w:t>
            </w:r>
            <w:r w:rsidRPr="005C3B55">
              <w:rPr>
                <w:szCs w:val="24"/>
              </w:rPr>
              <w:t>(</w:t>
            </w:r>
            <w:r w:rsidRPr="005C3B55">
              <w:rPr>
                <w:i/>
                <w:szCs w:val="24"/>
              </w:rPr>
              <w:t>Sanguisorba officinalis</w:t>
            </w:r>
            <w:r w:rsidRPr="005C3B55">
              <w:rPr>
                <w:szCs w:val="24"/>
              </w:rPr>
              <w:t xml:space="preserve">) and ants. If a meadow which is also a habitat of </w:t>
            </w:r>
            <w:r w:rsidRPr="005C3B55">
              <w:rPr>
                <w:i/>
                <w:szCs w:val="24"/>
              </w:rPr>
              <w:t xml:space="preserve">Maculinea </w:t>
            </w:r>
            <w:r w:rsidRPr="005C3B55">
              <w:rPr>
                <w:szCs w:val="24"/>
              </w:rPr>
              <w:t>butterflies is mown at an inappropriate time, females have no suitable nutritious plants to lay their eggs on, so their development cycle is disrupted or even broken. Time limited use of meadows is thus necessary for the conservation of species protected within this requirement.</w:t>
            </w:r>
          </w:p>
          <w:p w:rsidR="00F555D6" w:rsidRPr="005C3B55" w:rsidRDefault="00F555D6" w:rsidP="00F555D6">
            <w:pPr>
              <w:spacing w:before="240" w:after="240" w:line="280" w:lineRule="auto"/>
              <w:rPr>
                <w:szCs w:val="24"/>
              </w:rPr>
            </w:pPr>
            <w:r w:rsidRPr="005C3B55">
              <w:rPr>
                <w:szCs w:val="24"/>
              </w:rPr>
              <w:t>Within the implementation of this requirement, it is not permitted to mow or graze in ecologically important areas of grassland habitats of butterflies between 15 June and 15 September. Fertilisation is completely prohibited.</w:t>
            </w:r>
          </w:p>
          <w:p w:rsidR="00F555D6" w:rsidRPr="005C3B55" w:rsidRDefault="00F555D6" w:rsidP="00F555D6">
            <w:pPr>
              <w:numPr>
                <w:ilvl w:val="0"/>
                <w:numId w:val="622"/>
              </w:numPr>
              <w:spacing w:before="240" w:after="0"/>
              <w:ind w:hanging="290"/>
              <w:jc w:val="left"/>
              <w:rPr>
                <w:szCs w:val="24"/>
              </w:rPr>
            </w:pPr>
            <w:r w:rsidRPr="005C3B55">
              <w:rPr>
                <w:szCs w:val="24"/>
              </w:rPr>
              <w:t>Livestock density: 0 to 1.5 LU/ha of grazing animals (average annual livestock density).</w:t>
            </w:r>
          </w:p>
          <w:p w:rsidR="00F555D6" w:rsidRPr="005C3B55" w:rsidRDefault="00F555D6" w:rsidP="00F555D6">
            <w:pPr>
              <w:numPr>
                <w:ilvl w:val="0"/>
                <w:numId w:val="622"/>
              </w:numPr>
              <w:spacing w:before="0" w:after="0"/>
              <w:ind w:hanging="290"/>
              <w:jc w:val="left"/>
              <w:rPr>
                <w:szCs w:val="24"/>
              </w:rPr>
            </w:pPr>
            <w:r w:rsidRPr="005C3B55">
              <w:rPr>
                <w:szCs w:val="24"/>
              </w:rPr>
              <w:t>Use: permanent grassland.</w:t>
            </w:r>
          </w:p>
          <w:p w:rsidR="00F555D6" w:rsidRPr="005C3B55" w:rsidRDefault="00F555D6" w:rsidP="00F555D6">
            <w:pPr>
              <w:numPr>
                <w:ilvl w:val="0"/>
                <w:numId w:val="622"/>
              </w:numPr>
              <w:spacing w:before="0" w:after="0"/>
              <w:ind w:hanging="290"/>
              <w:jc w:val="left"/>
              <w:rPr>
                <w:szCs w:val="24"/>
              </w:rPr>
            </w:pPr>
            <w:r w:rsidRPr="005C3B55">
              <w:rPr>
                <w:szCs w:val="24"/>
              </w:rPr>
              <w:t>Coverage: part of surfaces (at least 20% of grassland surfaces located within ecologically important areas of grassland habitats of butterflies).</w:t>
            </w:r>
          </w:p>
          <w:p w:rsidR="00F555D6" w:rsidRPr="005C3B55" w:rsidRDefault="00F555D6" w:rsidP="00F555D6">
            <w:pPr>
              <w:numPr>
                <w:ilvl w:val="0"/>
                <w:numId w:val="622"/>
              </w:numPr>
              <w:spacing w:before="0" w:after="0"/>
              <w:ind w:hanging="290"/>
              <w:jc w:val="left"/>
              <w:rPr>
                <w:szCs w:val="24"/>
              </w:rPr>
            </w:pPr>
            <w:r w:rsidRPr="005C3B55">
              <w:rPr>
                <w:szCs w:val="24"/>
              </w:rPr>
              <w:t>Location: the same throughout the commitment.</w:t>
            </w:r>
          </w:p>
          <w:p w:rsidR="00F555D6" w:rsidRPr="005C3B55" w:rsidRDefault="00F555D6" w:rsidP="00F555D6">
            <w:pPr>
              <w:numPr>
                <w:ilvl w:val="0"/>
                <w:numId w:val="622"/>
              </w:numPr>
              <w:spacing w:before="0" w:after="240"/>
              <w:ind w:hanging="290"/>
              <w:jc w:val="left"/>
              <w:rPr>
                <w:szCs w:val="24"/>
              </w:rPr>
            </w:pPr>
            <w:r w:rsidRPr="005C3B55">
              <w:rPr>
                <w:szCs w:val="24"/>
              </w:rPr>
              <w:t>Implementation area: ecologically important areas of grassland habitats of butterflies.</w:t>
            </w:r>
          </w:p>
          <w:p w:rsidR="00F555D6" w:rsidRPr="005C3B55" w:rsidRDefault="00F555D6" w:rsidP="00F555D6">
            <w:pPr>
              <w:spacing w:before="240" w:after="240" w:line="280" w:lineRule="auto"/>
              <w:rPr>
                <w:szCs w:val="24"/>
              </w:rPr>
            </w:pPr>
            <w:r w:rsidRPr="005C3B55">
              <w:rPr>
                <w:szCs w:val="24"/>
              </w:rPr>
              <w:t>Effects:</w:t>
            </w:r>
          </w:p>
          <w:p w:rsidR="00F555D6" w:rsidRPr="005C3B55" w:rsidRDefault="00F555D6" w:rsidP="00F555D6">
            <w:pPr>
              <w:numPr>
                <w:ilvl w:val="0"/>
                <w:numId w:val="623"/>
              </w:numPr>
              <w:spacing w:before="240" w:after="0"/>
              <w:ind w:hanging="290"/>
              <w:jc w:val="left"/>
              <w:rPr>
                <w:szCs w:val="24"/>
              </w:rPr>
            </w:pPr>
            <w:r w:rsidRPr="005C3B55">
              <w:rPr>
                <w:szCs w:val="24"/>
              </w:rPr>
              <w:t xml:space="preserve">conservation of suitable habitat of </w:t>
            </w:r>
            <w:r w:rsidRPr="005C3B55">
              <w:rPr>
                <w:i/>
                <w:szCs w:val="24"/>
              </w:rPr>
              <w:t xml:space="preserve">Maculinea </w:t>
            </w:r>
            <w:r w:rsidRPr="005C3B55">
              <w:rPr>
                <w:szCs w:val="24"/>
              </w:rPr>
              <w:t>butterflies;</w:t>
            </w:r>
          </w:p>
          <w:p w:rsidR="00F555D6" w:rsidRPr="005C3B55" w:rsidRDefault="00F555D6" w:rsidP="00F555D6">
            <w:pPr>
              <w:numPr>
                <w:ilvl w:val="0"/>
                <w:numId w:val="623"/>
              </w:numPr>
              <w:spacing w:before="0" w:after="0"/>
              <w:ind w:hanging="290"/>
              <w:jc w:val="left"/>
              <w:rPr>
                <w:szCs w:val="24"/>
              </w:rPr>
            </w:pPr>
            <w:r w:rsidRPr="005C3B55">
              <w:rPr>
                <w:szCs w:val="24"/>
              </w:rPr>
              <w:t xml:space="preserve">conservation of populations of </w:t>
            </w:r>
            <w:r w:rsidRPr="005C3B55">
              <w:rPr>
                <w:i/>
                <w:szCs w:val="24"/>
              </w:rPr>
              <w:t xml:space="preserve">Maculinea </w:t>
            </w:r>
            <w:r w:rsidRPr="005C3B55">
              <w:rPr>
                <w:szCs w:val="24"/>
              </w:rPr>
              <w:t>butterflies;</w:t>
            </w:r>
          </w:p>
          <w:p w:rsidR="00F555D6" w:rsidRPr="005C3B55" w:rsidRDefault="00F555D6" w:rsidP="00F555D6">
            <w:pPr>
              <w:numPr>
                <w:ilvl w:val="0"/>
                <w:numId w:val="623"/>
              </w:numPr>
              <w:spacing w:before="0" w:after="240"/>
              <w:ind w:hanging="290"/>
              <w:jc w:val="left"/>
              <w:rPr>
                <w:szCs w:val="24"/>
              </w:rPr>
            </w:pPr>
            <w:r w:rsidRPr="005C3B55">
              <w:rPr>
                <w:szCs w:val="24"/>
              </w:rPr>
              <w:t>conservation of grassland habitat types which thrive on oligotrophic soil.</w:t>
            </w:r>
          </w:p>
          <w:p w:rsidR="00F555D6" w:rsidRPr="005C3B55" w:rsidRDefault="00F555D6" w:rsidP="00F555D6">
            <w:pPr>
              <w:spacing w:before="240" w:after="240" w:line="280" w:lineRule="auto"/>
              <w:rPr>
                <w:szCs w:val="24"/>
              </w:rPr>
            </w:pPr>
            <w:r w:rsidRPr="005C3B55">
              <w:rPr>
                <w:b/>
                <w:i/>
                <w:szCs w:val="24"/>
              </w:rPr>
              <w:t>MET_NPAS: In geographical agricultural units larger than 1ha, the unmown surface of a meadow to be mown in the following year amounts to between 5 and 10% of the surface of the meadow</w:t>
            </w:r>
          </w:p>
          <w:p w:rsidR="00F555D6" w:rsidRPr="005C3B55" w:rsidRDefault="00F555D6" w:rsidP="00F555D6">
            <w:pPr>
              <w:spacing w:before="240" w:after="240" w:line="280" w:lineRule="auto"/>
              <w:rPr>
                <w:szCs w:val="24"/>
              </w:rPr>
            </w:pPr>
            <w:r w:rsidRPr="005C3B55">
              <w:rPr>
                <w:szCs w:val="24"/>
              </w:rPr>
              <w:t>Leaving surfaces unmown has positive effects on species and habitat types. The unmown surface is a donor zone for species which are affected due to agricultural use which fails to observe their ecological requirements. The unmown parts also represent an important refuge for various species of mammals, birds, butterflies and other insects. Leaving surfaces unmown over the winter is particularly important from the view of ensuring suitable conditions for successful realisation of the complete development cycle of butterflies. The purpose of the requirement is to stimulate good environmental practice on grassland of moderate intensity. The implementation of this requirement will further enhance the environmental and nature conservation role of these grasslands. The specifics of Slovenian grassland are great fragmentation, dynamic configuration and the connection of areas with non-agricultural applications. This requirement will contribute to maintaining a favourable status of neighbouring habitats which will be target-protected within the framework of other operations. On unmown strips, grazing is not permitted.</w:t>
            </w:r>
          </w:p>
          <w:p w:rsidR="00F555D6" w:rsidRPr="005C3B55" w:rsidRDefault="00F555D6" w:rsidP="00F555D6">
            <w:pPr>
              <w:spacing w:before="240" w:after="240" w:line="280" w:lineRule="auto"/>
              <w:rPr>
                <w:szCs w:val="24"/>
              </w:rPr>
            </w:pPr>
            <w:r w:rsidRPr="005C3B55">
              <w:rPr>
                <w:szCs w:val="24"/>
              </w:rPr>
              <w:t>Unmown surface amounting to between 5 and 10% of the surface of a meadow may not be mown before 15 September of the following year.</w:t>
            </w:r>
          </w:p>
          <w:p w:rsidR="00F555D6" w:rsidRPr="005C3B55" w:rsidRDefault="00F555D6" w:rsidP="00F555D6">
            <w:pPr>
              <w:numPr>
                <w:ilvl w:val="0"/>
                <w:numId w:val="624"/>
              </w:numPr>
              <w:spacing w:before="240" w:after="0"/>
              <w:ind w:hanging="290"/>
              <w:jc w:val="left"/>
              <w:rPr>
                <w:szCs w:val="24"/>
              </w:rPr>
            </w:pPr>
            <w:r w:rsidRPr="005C3B55">
              <w:rPr>
                <w:szCs w:val="24"/>
              </w:rPr>
              <w:t>Livestock density: 0 to 1.5 LU/ha of grazing animals (average annual livestock density).</w:t>
            </w:r>
          </w:p>
          <w:p w:rsidR="00F555D6" w:rsidRPr="005C3B55" w:rsidRDefault="00F555D6" w:rsidP="00F555D6">
            <w:pPr>
              <w:numPr>
                <w:ilvl w:val="0"/>
                <w:numId w:val="624"/>
              </w:numPr>
              <w:spacing w:before="0" w:after="0"/>
              <w:ind w:hanging="290"/>
              <w:jc w:val="left"/>
              <w:rPr>
                <w:szCs w:val="24"/>
              </w:rPr>
            </w:pPr>
            <w:r w:rsidRPr="005C3B55">
              <w:rPr>
                <w:szCs w:val="24"/>
              </w:rPr>
              <w:t>Use: permanent grassland.</w:t>
            </w:r>
          </w:p>
          <w:p w:rsidR="00F555D6" w:rsidRPr="005C3B55" w:rsidRDefault="00F555D6" w:rsidP="00F555D6">
            <w:pPr>
              <w:numPr>
                <w:ilvl w:val="0"/>
                <w:numId w:val="624"/>
              </w:numPr>
              <w:spacing w:before="0" w:after="0"/>
              <w:ind w:hanging="290"/>
              <w:jc w:val="left"/>
              <w:rPr>
                <w:szCs w:val="24"/>
              </w:rPr>
            </w:pPr>
            <w:r w:rsidRPr="005C3B55">
              <w:rPr>
                <w:szCs w:val="24"/>
              </w:rPr>
              <w:t>Coverage: part of surfaces (at least 20% of grassland surfaces located within ecologically important areas of grassland habitats of butterflies).</w:t>
            </w:r>
          </w:p>
          <w:p w:rsidR="00F555D6" w:rsidRPr="005C3B55" w:rsidRDefault="00F555D6" w:rsidP="00F555D6">
            <w:pPr>
              <w:numPr>
                <w:ilvl w:val="0"/>
                <w:numId w:val="624"/>
              </w:numPr>
              <w:spacing w:before="0" w:after="0"/>
              <w:ind w:hanging="290"/>
              <w:jc w:val="left"/>
              <w:rPr>
                <w:szCs w:val="24"/>
              </w:rPr>
            </w:pPr>
            <w:r w:rsidRPr="005C3B55">
              <w:rPr>
                <w:szCs w:val="24"/>
              </w:rPr>
              <w:t>Location: the same throughout the commitment.</w:t>
            </w:r>
          </w:p>
          <w:p w:rsidR="00F555D6" w:rsidRPr="005C3B55" w:rsidRDefault="00F555D6" w:rsidP="00F555D6">
            <w:pPr>
              <w:numPr>
                <w:ilvl w:val="0"/>
                <w:numId w:val="624"/>
              </w:numPr>
              <w:spacing w:before="0" w:after="240"/>
              <w:ind w:hanging="290"/>
              <w:jc w:val="left"/>
              <w:rPr>
                <w:szCs w:val="24"/>
              </w:rPr>
            </w:pPr>
            <w:r w:rsidRPr="005C3B55">
              <w:rPr>
                <w:szCs w:val="24"/>
              </w:rPr>
              <w:t>Implementation area: ecologically important areas of grassland habitats of butterflies.</w:t>
            </w:r>
          </w:p>
          <w:p w:rsidR="00F555D6" w:rsidRPr="005C3B55" w:rsidRDefault="00F555D6" w:rsidP="00F555D6">
            <w:pPr>
              <w:spacing w:before="240" w:after="240" w:line="280" w:lineRule="auto"/>
              <w:rPr>
                <w:szCs w:val="24"/>
              </w:rPr>
            </w:pPr>
            <w:r w:rsidRPr="005C3B55">
              <w:rPr>
                <w:szCs w:val="24"/>
              </w:rPr>
              <w:t>Effects:</w:t>
            </w:r>
          </w:p>
          <w:p w:rsidR="00F555D6" w:rsidRPr="005C3B55" w:rsidRDefault="00F555D6" w:rsidP="00F555D6">
            <w:pPr>
              <w:numPr>
                <w:ilvl w:val="0"/>
                <w:numId w:val="625"/>
              </w:numPr>
              <w:spacing w:before="240" w:after="0"/>
              <w:ind w:hanging="290"/>
              <w:jc w:val="left"/>
              <w:rPr>
                <w:szCs w:val="24"/>
              </w:rPr>
            </w:pPr>
            <w:r w:rsidRPr="005C3B55">
              <w:rPr>
                <w:szCs w:val="24"/>
              </w:rPr>
              <w:t>maintaining and increasing the possibilities of survival of endangered species of insects (butterflies, grasshoppers) and other animals in meadows (conservation of biodiversity in nature);</w:t>
            </w:r>
          </w:p>
          <w:p w:rsidR="00F555D6" w:rsidRPr="005C3B55" w:rsidRDefault="00F555D6" w:rsidP="00F555D6">
            <w:pPr>
              <w:numPr>
                <w:ilvl w:val="0"/>
                <w:numId w:val="625"/>
              </w:numPr>
              <w:spacing w:before="0" w:after="240"/>
              <w:ind w:hanging="290"/>
              <w:jc w:val="left"/>
              <w:rPr>
                <w:szCs w:val="24"/>
              </w:rPr>
            </w:pPr>
            <w:r w:rsidRPr="005C3B55">
              <w:rPr>
                <w:szCs w:val="24"/>
              </w:rPr>
              <w:t>enabling the seeding of plants and preserving plant species typical of natural grassland.</w:t>
            </w:r>
          </w:p>
          <w:p w:rsidR="00F555D6" w:rsidRPr="005C3B55" w:rsidRDefault="00F555D6" w:rsidP="00F555D6">
            <w:pPr>
              <w:spacing w:before="240" w:after="240" w:line="280" w:lineRule="auto"/>
              <w:rPr>
                <w:szCs w:val="24"/>
              </w:rPr>
            </w:pPr>
            <w:r w:rsidRPr="005C3B55">
              <w:rPr>
                <w:b/>
                <w:szCs w:val="24"/>
              </w:rPr>
              <w:t>B. Optional requirement</w:t>
            </w:r>
          </w:p>
          <w:p w:rsidR="00F555D6" w:rsidRPr="005C3B55" w:rsidRDefault="00F555D6" w:rsidP="00F555D6">
            <w:pPr>
              <w:spacing w:before="240" w:after="240" w:line="280" w:lineRule="auto"/>
              <w:rPr>
                <w:szCs w:val="24"/>
              </w:rPr>
            </w:pPr>
            <w:r w:rsidRPr="005C3B55">
              <w:rPr>
                <w:b/>
                <w:i/>
                <w:szCs w:val="24"/>
              </w:rPr>
              <w:t>MET_MRVA: Harvesting of hay from grassland</w:t>
            </w:r>
          </w:p>
          <w:p w:rsidR="00F555D6" w:rsidRPr="005C3B55" w:rsidRDefault="00F555D6" w:rsidP="00F555D6">
            <w:pPr>
              <w:spacing w:before="240" w:after="240" w:line="280" w:lineRule="auto"/>
              <w:rPr>
                <w:szCs w:val="24"/>
              </w:rPr>
            </w:pPr>
            <w:r w:rsidRPr="005C3B55">
              <w:rPr>
                <w:szCs w:val="24"/>
              </w:rPr>
              <w:t>The requirement requires that grass be harvested in the form of hay; silage is not permitted. Ensilaging of grass impoverishes species diversity in the long term (disturbed seed production of certain species) because these meadows are mowed sooner than they would be if drying of hay and harvesting were implemented in a classic manner (transport of dry hay). In addition, a great number of large non-vertebrates (grasshoppers, caterpillars, etc.), which are food to other animals (birds) is captured in the plastic foil together with half-dry grass. The implementation of the requirement has a positive impact on the biodiversity and variety of the landscape.</w:t>
            </w:r>
          </w:p>
          <w:p w:rsidR="00F555D6" w:rsidRPr="005C3B55" w:rsidRDefault="00F555D6" w:rsidP="00F555D6">
            <w:pPr>
              <w:spacing w:before="240" w:after="240" w:line="280" w:lineRule="auto"/>
              <w:rPr>
                <w:szCs w:val="24"/>
              </w:rPr>
            </w:pPr>
            <w:r w:rsidRPr="005C3B55">
              <w:rPr>
                <w:szCs w:val="24"/>
              </w:rPr>
              <w:t>There should be no grass silage at the agricultural holdings.</w:t>
            </w:r>
          </w:p>
          <w:p w:rsidR="00F555D6" w:rsidRPr="005C3B55" w:rsidRDefault="00F555D6" w:rsidP="00F555D6">
            <w:pPr>
              <w:numPr>
                <w:ilvl w:val="0"/>
                <w:numId w:val="626"/>
              </w:numPr>
              <w:spacing w:before="240" w:after="0"/>
              <w:ind w:hanging="290"/>
              <w:jc w:val="left"/>
              <w:rPr>
                <w:szCs w:val="24"/>
              </w:rPr>
            </w:pPr>
            <w:r w:rsidRPr="005C3B55">
              <w:rPr>
                <w:szCs w:val="24"/>
              </w:rPr>
              <w:t>Livestock density: 0 to 1.5 LU/ha of grazing animals (average annual livestock density).</w:t>
            </w:r>
          </w:p>
          <w:p w:rsidR="00F555D6" w:rsidRPr="005C3B55" w:rsidRDefault="00F555D6" w:rsidP="00F555D6">
            <w:pPr>
              <w:numPr>
                <w:ilvl w:val="0"/>
                <w:numId w:val="626"/>
              </w:numPr>
              <w:spacing w:before="0" w:after="0"/>
              <w:ind w:hanging="290"/>
              <w:jc w:val="left"/>
              <w:rPr>
                <w:szCs w:val="24"/>
              </w:rPr>
            </w:pPr>
            <w:r w:rsidRPr="005C3B55">
              <w:rPr>
                <w:szCs w:val="24"/>
              </w:rPr>
              <w:t>Use: permanent grassland.</w:t>
            </w:r>
          </w:p>
          <w:p w:rsidR="00F555D6" w:rsidRPr="005C3B55" w:rsidRDefault="00F555D6" w:rsidP="00F555D6">
            <w:pPr>
              <w:numPr>
                <w:ilvl w:val="0"/>
                <w:numId w:val="626"/>
              </w:numPr>
              <w:spacing w:before="0" w:after="0"/>
              <w:ind w:hanging="290"/>
              <w:jc w:val="left"/>
              <w:rPr>
                <w:szCs w:val="24"/>
              </w:rPr>
            </w:pPr>
            <w:r w:rsidRPr="005C3B55">
              <w:rPr>
                <w:szCs w:val="24"/>
              </w:rPr>
              <w:t>Coverage: all permanent grassland surfaces located within ecologically important areas of grassland habitats of butterflies.</w:t>
            </w:r>
          </w:p>
          <w:p w:rsidR="00F555D6" w:rsidRPr="005C3B55" w:rsidRDefault="00F555D6" w:rsidP="00F555D6">
            <w:pPr>
              <w:numPr>
                <w:ilvl w:val="0"/>
                <w:numId w:val="626"/>
              </w:numPr>
              <w:spacing w:before="0" w:after="0"/>
              <w:ind w:hanging="290"/>
              <w:jc w:val="left"/>
              <w:rPr>
                <w:szCs w:val="24"/>
              </w:rPr>
            </w:pPr>
            <w:r w:rsidRPr="005C3B55">
              <w:rPr>
                <w:szCs w:val="24"/>
              </w:rPr>
              <w:t>Location: the same throughout the commitment.</w:t>
            </w:r>
          </w:p>
          <w:p w:rsidR="00F555D6" w:rsidRPr="005C3B55" w:rsidRDefault="00F555D6" w:rsidP="00F555D6">
            <w:pPr>
              <w:numPr>
                <w:ilvl w:val="0"/>
                <w:numId w:val="626"/>
              </w:numPr>
              <w:spacing w:before="0" w:after="240"/>
              <w:ind w:hanging="290"/>
              <w:jc w:val="left"/>
              <w:rPr>
                <w:szCs w:val="24"/>
              </w:rPr>
            </w:pPr>
            <w:r w:rsidRPr="005C3B55">
              <w:rPr>
                <w:szCs w:val="24"/>
              </w:rPr>
              <w:t>Implementation area: ecologically important areas of grassland habitats of butterflies.</w:t>
            </w:r>
          </w:p>
          <w:p w:rsidR="00F555D6" w:rsidRPr="005C3B55" w:rsidRDefault="00F555D6" w:rsidP="00F555D6">
            <w:pPr>
              <w:spacing w:before="240" w:after="240" w:line="280" w:lineRule="auto"/>
              <w:rPr>
                <w:szCs w:val="24"/>
              </w:rPr>
            </w:pPr>
            <w:r w:rsidRPr="005C3B55">
              <w:rPr>
                <w:szCs w:val="24"/>
              </w:rPr>
              <w:t>Effects:</w:t>
            </w:r>
          </w:p>
          <w:p w:rsidR="00F555D6" w:rsidRPr="005C3B55" w:rsidRDefault="00F555D6" w:rsidP="00F555D6">
            <w:pPr>
              <w:numPr>
                <w:ilvl w:val="0"/>
                <w:numId w:val="627"/>
              </w:numPr>
              <w:spacing w:before="240" w:after="0"/>
              <w:ind w:hanging="290"/>
              <w:jc w:val="left"/>
              <w:rPr>
                <w:szCs w:val="24"/>
              </w:rPr>
            </w:pPr>
            <w:r w:rsidRPr="005C3B55">
              <w:rPr>
                <w:szCs w:val="24"/>
              </w:rPr>
              <w:t>preservation of meadows rich in species;</w:t>
            </w:r>
          </w:p>
          <w:p w:rsidR="00F555D6" w:rsidRPr="005C3B55" w:rsidRDefault="00F555D6" w:rsidP="00F555D6">
            <w:pPr>
              <w:numPr>
                <w:ilvl w:val="0"/>
                <w:numId w:val="627"/>
              </w:numPr>
              <w:spacing w:before="0" w:after="0"/>
              <w:ind w:hanging="290"/>
              <w:jc w:val="left"/>
              <w:rPr>
                <w:szCs w:val="24"/>
              </w:rPr>
            </w:pPr>
            <w:r w:rsidRPr="005C3B55">
              <w:rPr>
                <w:szCs w:val="24"/>
              </w:rPr>
              <w:t>providing the possibility of non-vertebrate survival which represent food for other species;</w:t>
            </w:r>
          </w:p>
          <w:p w:rsidR="00F555D6" w:rsidRPr="005C3B55" w:rsidRDefault="00F555D6" w:rsidP="00F555D6">
            <w:pPr>
              <w:numPr>
                <w:ilvl w:val="0"/>
                <w:numId w:val="627"/>
              </w:numPr>
              <w:spacing w:before="0" w:after="240"/>
              <w:ind w:hanging="290"/>
              <w:jc w:val="left"/>
              <w:rPr>
                <w:szCs w:val="24"/>
              </w:rPr>
            </w:pPr>
            <w:r w:rsidRPr="005C3B55">
              <w:rPr>
                <w:szCs w:val="24"/>
              </w:rPr>
              <w:t>reducing the use of polyethylene foil.</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Type of support</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Support for the implementation of the operation ‘Grassland habitats of butterflies’ consists of:</w:t>
            </w:r>
          </w:p>
          <w:p w:rsidR="00F555D6" w:rsidRPr="005C3B55" w:rsidRDefault="00F555D6" w:rsidP="00F555D6">
            <w:pPr>
              <w:numPr>
                <w:ilvl w:val="0"/>
                <w:numId w:val="628"/>
              </w:numPr>
              <w:spacing w:before="240" w:after="240"/>
              <w:ind w:hanging="290"/>
              <w:jc w:val="left"/>
              <w:rPr>
                <w:szCs w:val="24"/>
              </w:rPr>
            </w:pPr>
            <w:r w:rsidRPr="005C3B55">
              <w:rPr>
                <w:szCs w:val="24"/>
              </w:rPr>
              <w:t>payments per hectare for the implementation of mandatory requirements and/or an optional requirement of the beneficiary’s own choice.</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Connection with other legislation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The operation Grassland habitats of butterflies is connected with national and EU regulations in the field of measures of agricultural policy, agriculture, the environment, nature protection and rural development.</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Beneficiaries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Beneficiaries for payments are agricultural holdings which participate voluntarily in the implementation of the operation Grassland habitats of butterflies and meet the prescribed conditions and requirements.</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Eligible costs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Payments are only intended for those commitments within the operation ‘Grassland habitats of butterflies’ which exceed suitable mandatory standards determined in accordance with Chapter I, Title VI of Regulation (EU) No 1306/2013, suitable criteria determined in the second indent of item c) of the first paragraph of Article 4 of Regulation (EU) No 1307/2013, and other suitable mandatory requirements from national regulations.</w:t>
            </w:r>
          </w:p>
          <w:p w:rsidR="00F555D6" w:rsidRPr="005C3B55" w:rsidRDefault="00F555D6" w:rsidP="00F555D6">
            <w:pPr>
              <w:spacing w:before="240" w:after="240" w:line="280" w:lineRule="auto"/>
              <w:rPr>
                <w:szCs w:val="24"/>
              </w:rPr>
            </w:pPr>
            <w:r w:rsidRPr="005C3B55">
              <w:rPr>
                <w:szCs w:val="24"/>
              </w:rPr>
              <w:t>Payments cover 100 per cent of the additional costs and the loss of revenue due to the assumed commitment.</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Conditions for eligibility</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When entering the M10 measure, an agricultural holding must:</w:t>
            </w:r>
          </w:p>
          <w:p w:rsidR="00F555D6" w:rsidRPr="005C3B55" w:rsidRDefault="00F555D6" w:rsidP="00F555D6">
            <w:pPr>
              <w:numPr>
                <w:ilvl w:val="0"/>
                <w:numId w:val="629"/>
              </w:numPr>
              <w:spacing w:before="240" w:after="0"/>
              <w:ind w:hanging="290"/>
              <w:jc w:val="left"/>
              <w:rPr>
                <w:szCs w:val="24"/>
              </w:rPr>
            </w:pPr>
            <w:r w:rsidRPr="005C3B55">
              <w:rPr>
                <w:szCs w:val="24"/>
              </w:rPr>
              <w:t>have at least 1 ha of agricultural land in use as per Article 4 of Regulation (EU) No 1307/2013;</w:t>
            </w:r>
          </w:p>
          <w:p w:rsidR="00F555D6" w:rsidRPr="005C3B55" w:rsidRDefault="00F555D6" w:rsidP="00F555D6">
            <w:pPr>
              <w:numPr>
                <w:ilvl w:val="0"/>
                <w:numId w:val="629"/>
              </w:numPr>
              <w:spacing w:before="0" w:after="0"/>
              <w:ind w:hanging="290"/>
              <w:jc w:val="left"/>
              <w:rPr>
                <w:szCs w:val="24"/>
              </w:rPr>
            </w:pPr>
            <w:r w:rsidRPr="005C3B55">
              <w:rPr>
                <w:szCs w:val="24"/>
              </w:rPr>
              <w:t>be entered in the register of agricultural holdings in accordance with the regulation on the register of agricultural holdings;</w:t>
            </w:r>
          </w:p>
          <w:p w:rsidR="00F555D6" w:rsidRPr="005C3B55" w:rsidRDefault="00F555D6" w:rsidP="00F555D6">
            <w:pPr>
              <w:numPr>
                <w:ilvl w:val="0"/>
                <w:numId w:val="629"/>
              </w:numPr>
              <w:spacing w:before="0" w:after="0"/>
              <w:ind w:hanging="290"/>
              <w:jc w:val="left"/>
              <w:rPr>
                <w:szCs w:val="24"/>
              </w:rPr>
            </w:pPr>
            <w:r w:rsidRPr="005C3B55">
              <w:rPr>
                <w:szCs w:val="24"/>
              </w:rPr>
              <w:t>undergo a six-hour training programme on agri-environment-climate content;</w:t>
            </w:r>
          </w:p>
          <w:p w:rsidR="00F555D6" w:rsidRPr="005C3B55" w:rsidRDefault="00F555D6" w:rsidP="00F555D6">
            <w:pPr>
              <w:numPr>
                <w:ilvl w:val="0"/>
                <w:numId w:val="629"/>
              </w:numPr>
              <w:spacing w:before="0" w:after="240"/>
              <w:ind w:hanging="290"/>
              <w:jc w:val="left"/>
              <w:rPr>
                <w:szCs w:val="24"/>
              </w:rPr>
            </w:pPr>
            <w:r w:rsidRPr="005C3B55">
              <w:rPr>
                <w:szCs w:val="24"/>
              </w:rPr>
              <w:t>prepare an activities programme of the agricultural holding which is an electronic document prepared as a result of advisory services.</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Principles regarding the determination of selection criteria</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The selection criteria are not relevant.</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(Valid) amounts and support rates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The amount of payments for requirements within the operation Grassland habitats of butterflies amounts to 100 per cent of the amount of payments calculated as per the model calculation. Two amounts for payment are defined under the requirement MET_KOS. The following sections within ecologically important areas of special grassland habitats are eligible for higher payment which also includes opportunity costs: Cerovec, winegrowing Haloze, Libanja, Volčeke, Ličenca pri Poljčanah, the Mura River, Goričko, the Reka River, the Vipava Valley, the Trnovski gozd Forest – Nanos, Javorniki - Snežnik, Notranjska triangle, the Ljubljana Marshes, Central Slovenske gorice, the Dravinja River with tributaries.</w:t>
            </w:r>
          </w:p>
          <w:p w:rsidR="00F555D6" w:rsidRPr="005C3B55" w:rsidRDefault="00F555D6" w:rsidP="00F555D6">
            <w:pPr>
              <w:pStyle w:val="Telobesedila"/>
              <w:rPr>
                <w:szCs w:val="24"/>
              </w:rPr>
            </w:pPr>
          </w:p>
          <w:p w:rsidR="00F555D6" w:rsidRPr="005C3B55" w:rsidRDefault="0012246E" w:rsidP="00F555D6">
            <w:pPr>
              <w:pStyle w:val="Telobesedila3"/>
              <w:jc w:val="center"/>
              <w:rPr>
                <w:szCs w:val="24"/>
              </w:rPr>
            </w:pPr>
            <w:r w:rsidRPr="005C3B55">
              <w:rPr>
                <w:noProof/>
                <w:szCs w:val="24"/>
                <w:lang w:val="sl-SI"/>
              </w:rPr>
              <w:drawing>
                <wp:inline distT="0" distB="0" distL="0" distR="0">
                  <wp:extent cx="4781550" cy="2181225"/>
                  <wp:effectExtent l="0" t="0" r="0" b="9525"/>
                  <wp:docPr id="1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781550" cy="2181225"/>
                          </a:xfrm>
                          <a:prstGeom prst="rect">
                            <a:avLst/>
                          </a:prstGeom>
                          <a:noFill/>
                          <a:ln>
                            <a:noFill/>
                          </a:ln>
                        </pic:spPr>
                      </pic:pic>
                    </a:graphicData>
                  </a:graphic>
                </wp:inline>
              </w:drawing>
            </w:r>
          </w:p>
          <w:p w:rsidR="00F555D6" w:rsidRPr="005C3B55" w:rsidRDefault="00F555D6" w:rsidP="00F555D6">
            <w:pPr>
              <w:pStyle w:val="Noga"/>
              <w:jc w:val="center"/>
              <w:rPr>
                <w:szCs w:val="24"/>
              </w:rPr>
            </w:pPr>
            <w:r w:rsidRPr="005C3B55">
              <w:rPr>
                <w:szCs w:val="24"/>
              </w:rPr>
              <w:t>Amount of payments for requirements within the operation Grassland habitats of butterflies</w:t>
            </w:r>
          </w:p>
          <w:p w:rsidR="00F555D6" w:rsidRPr="005C3B55" w:rsidRDefault="00F555D6" w:rsidP="00F555D6">
            <w:pPr>
              <w:pStyle w:val="Noga"/>
              <w:jc w:val="center"/>
              <w:rPr>
                <w:szCs w:val="24"/>
              </w:rPr>
            </w:pPr>
          </w:p>
        </w:tc>
      </w:tr>
    </w:tbl>
    <w:p w:rsidR="00F555D6" w:rsidRPr="005C3B55" w:rsidRDefault="00F555D6" w:rsidP="00F555D6">
      <w:pPr>
        <w:pStyle w:val="Naslov6"/>
        <w:numPr>
          <w:ilvl w:val="0"/>
          <w:numId w:val="0"/>
        </w:numPr>
        <w:rPr>
          <w:szCs w:val="24"/>
          <w:lang w:val="en-GB"/>
        </w:rPr>
      </w:pPr>
    </w:p>
    <w:p w:rsidR="00F555D6" w:rsidRPr="005C3B55" w:rsidRDefault="00F555D6" w:rsidP="00F555D6">
      <w:r w:rsidRPr="005C3B55">
        <w:t>Amount of payments (EUR/ha annually) for requirements within the operation ‘Grassland habitats of butterflies’</w:t>
      </w:r>
    </w:p>
    <w:tbl>
      <w:tblPr>
        <w:tblW w:w="5000" w:type="pct"/>
        <w:tblInd w:w="108"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2132"/>
        <w:gridCol w:w="2131"/>
        <w:gridCol w:w="2329"/>
        <w:gridCol w:w="1933"/>
        <w:gridCol w:w="2131"/>
      </w:tblGrid>
      <w:tr w:rsidR="00F555D6" w:rsidRPr="005C3B55">
        <w:tc>
          <w:tcPr>
            <w:tcW w:w="1000" w:type="pct"/>
            <w:tcBorders>
              <w:top w:val="single" w:sz="18" w:space="0" w:color="auto"/>
              <w:left w:val="single" w:sz="18" w:space="0" w:color="auto"/>
              <w:bottom w:val="single" w:sz="18" w:space="0" w:color="auto"/>
              <w:right w:val="single" w:sz="18" w:space="0" w:color="auto"/>
            </w:tcBorders>
            <w:shd w:val="clear" w:color="auto" w:fill="D9D9D9"/>
            <w:vAlign w:val="center"/>
          </w:tcPr>
          <w:p w:rsidR="00F555D6" w:rsidRPr="005C3B55" w:rsidRDefault="00F555D6" w:rsidP="00F555D6">
            <w:r w:rsidRPr="005C3B55">
              <w:rPr>
                <w:b/>
                <w:sz w:val="20"/>
              </w:rPr>
              <w:t>Requirement</w:t>
            </w:r>
          </w:p>
        </w:tc>
        <w:tc>
          <w:tcPr>
            <w:tcW w:w="1000" w:type="pct"/>
            <w:tcBorders>
              <w:top w:val="single" w:sz="18" w:space="0" w:color="auto"/>
              <w:left w:val="single" w:sz="18" w:space="0" w:color="auto"/>
              <w:bottom w:val="single" w:sz="18" w:space="0" w:color="auto"/>
              <w:right w:val="single" w:sz="18" w:space="0" w:color="auto"/>
            </w:tcBorders>
            <w:shd w:val="clear" w:color="auto" w:fill="D9D9D9"/>
            <w:vAlign w:val="center"/>
          </w:tcPr>
          <w:p w:rsidR="00F555D6" w:rsidRPr="005C3B55" w:rsidRDefault="00F555D6" w:rsidP="00F555D6">
            <w:pPr>
              <w:autoSpaceDE w:val="0"/>
              <w:autoSpaceDN w:val="0"/>
              <w:adjustRightInd w:val="0"/>
              <w:jc w:val="right"/>
            </w:pPr>
            <w:r w:rsidRPr="005C3B55">
              <w:rPr>
                <w:b/>
                <w:sz w:val="20"/>
              </w:rPr>
              <w:t>Calculated payment amount as per model calculation</w:t>
            </w:r>
          </w:p>
        </w:tc>
        <w:tc>
          <w:tcPr>
            <w:tcW w:w="1093" w:type="pct"/>
            <w:tcBorders>
              <w:top w:val="single" w:sz="18" w:space="0" w:color="auto"/>
              <w:left w:val="single" w:sz="18" w:space="0" w:color="auto"/>
              <w:bottom w:val="single" w:sz="18" w:space="0" w:color="auto"/>
              <w:right w:val="single" w:sz="18" w:space="0" w:color="auto"/>
            </w:tcBorders>
            <w:shd w:val="clear" w:color="auto" w:fill="D9D9D9"/>
            <w:vAlign w:val="center"/>
          </w:tcPr>
          <w:p w:rsidR="00F555D6" w:rsidRPr="005C3B55" w:rsidRDefault="00F555D6" w:rsidP="00F555D6">
            <w:pPr>
              <w:autoSpaceDE w:val="0"/>
              <w:autoSpaceDN w:val="0"/>
              <w:adjustRightInd w:val="0"/>
              <w:jc w:val="right"/>
            </w:pPr>
            <w:r w:rsidRPr="005C3B55">
              <w:rPr>
                <w:b/>
                <w:sz w:val="20"/>
              </w:rPr>
              <w:t>Highest possible payment as per Annex II to Regulation (EU) No 1305/2013</w:t>
            </w:r>
          </w:p>
        </w:tc>
        <w:tc>
          <w:tcPr>
            <w:tcW w:w="907" w:type="pct"/>
            <w:tcBorders>
              <w:top w:val="single" w:sz="18" w:space="0" w:color="auto"/>
              <w:left w:val="single" w:sz="18" w:space="0" w:color="auto"/>
              <w:bottom w:val="single" w:sz="18" w:space="0" w:color="auto"/>
              <w:right w:val="single" w:sz="18" w:space="0" w:color="auto"/>
            </w:tcBorders>
            <w:shd w:val="clear" w:color="auto" w:fill="D9D9D9"/>
            <w:vAlign w:val="center"/>
          </w:tcPr>
          <w:p w:rsidR="00F555D6" w:rsidRPr="005C3B55" w:rsidRDefault="00F555D6" w:rsidP="00F555D6">
            <w:pPr>
              <w:autoSpaceDE w:val="0"/>
              <w:autoSpaceDN w:val="0"/>
              <w:adjustRightInd w:val="0"/>
              <w:jc w:val="right"/>
            </w:pPr>
            <w:r w:rsidRPr="005C3B55">
              <w:rPr>
                <w:b/>
                <w:sz w:val="20"/>
              </w:rPr>
              <w:t>Highest possible amount</w:t>
            </w:r>
          </w:p>
        </w:tc>
        <w:tc>
          <w:tcPr>
            <w:tcW w:w="1000" w:type="pct"/>
            <w:tcBorders>
              <w:top w:val="single" w:sz="18" w:space="0" w:color="auto"/>
              <w:left w:val="single" w:sz="18" w:space="0" w:color="auto"/>
              <w:bottom w:val="single" w:sz="18" w:space="0" w:color="auto"/>
              <w:right w:val="single" w:sz="18" w:space="0" w:color="auto"/>
            </w:tcBorders>
            <w:shd w:val="clear" w:color="auto" w:fill="D9D9D9"/>
            <w:vAlign w:val="center"/>
          </w:tcPr>
          <w:p w:rsidR="00F555D6" w:rsidRPr="005C3B55" w:rsidRDefault="00F555D6" w:rsidP="00F555D6">
            <w:pPr>
              <w:jc w:val="right"/>
            </w:pPr>
            <w:r w:rsidRPr="005C3B55">
              <w:rPr>
                <w:b/>
                <w:sz w:val="20"/>
              </w:rPr>
              <w:t>Payment (100% of payment amount calculated as per model calculation)</w:t>
            </w:r>
          </w:p>
        </w:tc>
      </w:tr>
      <w:tr w:rsidR="00F555D6" w:rsidRPr="005C3B55">
        <w:tc>
          <w:tcPr>
            <w:tcW w:w="5000" w:type="pct"/>
            <w:gridSpan w:val="5"/>
            <w:tcBorders>
              <w:top w:val="single" w:sz="18" w:space="0" w:color="auto"/>
              <w:left w:val="single" w:sz="18" w:space="0" w:color="auto"/>
              <w:bottom w:val="single" w:sz="18" w:space="0" w:color="auto"/>
              <w:right w:val="single" w:sz="18" w:space="0" w:color="auto"/>
            </w:tcBorders>
            <w:shd w:val="clear" w:color="auto" w:fill="E0E0E0"/>
          </w:tcPr>
          <w:p w:rsidR="00F555D6" w:rsidRPr="005C3B55" w:rsidRDefault="00F555D6" w:rsidP="00F555D6">
            <w:r w:rsidRPr="005C3B55">
              <w:rPr>
                <w:b/>
                <w:sz w:val="20"/>
              </w:rPr>
              <w:t>A. Mandatory requirements</w:t>
            </w:r>
          </w:p>
        </w:tc>
      </w:tr>
      <w:tr w:rsidR="00F555D6" w:rsidRPr="005C3B55">
        <w:tc>
          <w:tcPr>
            <w:tcW w:w="1000" w:type="pct"/>
            <w:tcBorders>
              <w:top w:val="single" w:sz="18" w:space="0" w:color="auto"/>
              <w:left w:val="single" w:sz="18" w:space="0" w:color="auto"/>
              <w:bottom w:val="single" w:sz="18" w:space="0" w:color="auto"/>
              <w:right w:val="single" w:sz="18" w:space="0" w:color="auto"/>
            </w:tcBorders>
          </w:tcPr>
          <w:p w:rsidR="00F555D6" w:rsidRPr="005C3B55" w:rsidRDefault="00F555D6" w:rsidP="00F555D6">
            <w:pPr>
              <w:rPr>
                <w:sz w:val="20"/>
              </w:rPr>
            </w:pPr>
            <w:r w:rsidRPr="005C3B55">
              <w:rPr>
                <w:sz w:val="20"/>
              </w:rPr>
              <w:t>MET_KOS (areas which take into account opportunity)</w:t>
            </w:r>
          </w:p>
        </w:tc>
        <w:tc>
          <w:tcPr>
            <w:tcW w:w="1000"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238.20</w:t>
            </w:r>
          </w:p>
        </w:tc>
        <w:tc>
          <w:tcPr>
            <w:tcW w:w="1093"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450</w:t>
            </w:r>
          </w:p>
        </w:tc>
        <w:tc>
          <w:tcPr>
            <w:tcW w:w="907"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238.20</w:t>
            </w:r>
          </w:p>
        </w:tc>
        <w:tc>
          <w:tcPr>
            <w:tcW w:w="1000"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238.20</w:t>
            </w:r>
          </w:p>
        </w:tc>
      </w:tr>
      <w:tr w:rsidR="00F555D6" w:rsidRPr="005C3B55">
        <w:tc>
          <w:tcPr>
            <w:tcW w:w="1000" w:type="pct"/>
            <w:tcBorders>
              <w:top w:val="single" w:sz="18" w:space="0" w:color="auto"/>
              <w:left w:val="single" w:sz="18" w:space="0" w:color="auto"/>
              <w:bottom w:val="single" w:sz="18" w:space="0" w:color="auto"/>
              <w:right w:val="single" w:sz="18" w:space="0" w:color="auto"/>
            </w:tcBorders>
          </w:tcPr>
          <w:p w:rsidR="00F555D6" w:rsidRPr="005C3B55" w:rsidRDefault="00F555D6" w:rsidP="00F555D6">
            <w:pPr>
              <w:rPr>
                <w:sz w:val="20"/>
              </w:rPr>
            </w:pPr>
            <w:r w:rsidRPr="005C3B55">
              <w:rPr>
                <w:sz w:val="20"/>
              </w:rPr>
              <w:t>MET_KOS (other areas)</w:t>
            </w:r>
          </w:p>
        </w:tc>
        <w:tc>
          <w:tcPr>
            <w:tcW w:w="1000"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142.20</w:t>
            </w:r>
          </w:p>
        </w:tc>
        <w:tc>
          <w:tcPr>
            <w:tcW w:w="1093"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450</w:t>
            </w:r>
          </w:p>
        </w:tc>
        <w:tc>
          <w:tcPr>
            <w:tcW w:w="907"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142.20</w:t>
            </w:r>
          </w:p>
        </w:tc>
        <w:tc>
          <w:tcPr>
            <w:tcW w:w="1000"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142.20</w:t>
            </w:r>
          </w:p>
        </w:tc>
      </w:tr>
      <w:tr w:rsidR="00F555D6" w:rsidRPr="005C3B55">
        <w:tc>
          <w:tcPr>
            <w:tcW w:w="1000" w:type="pct"/>
            <w:tcBorders>
              <w:top w:val="single" w:sz="18" w:space="0" w:color="auto"/>
              <w:left w:val="single" w:sz="18" w:space="0" w:color="auto"/>
              <w:bottom w:val="single" w:sz="18" w:space="0" w:color="auto"/>
              <w:right w:val="single" w:sz="18" w:space="0" w:color="auto"/>
            </w:tcBorders>
          </w:tcPr>
          <w:p w:rsidR="00F555D6" w:rsidRPr="005C3B55" w:rsidRDefault="00F555D6" w:rsidP="00F555D6">
            <w:pPr>
              <w:rPr>
                <w:sz w:val="20"/>
              </w:rPr>
            </w:pPr>
            <w:r w:rsidRPr="005C3B55">
              <w:rPr>
                <w:sz w:val="20"/>
              </w:rPr>
              <w:t>MET_NPAS</w:t>
            </w:r>
          </w:p>
        </w:tc>
        <w:tc>
          <w:tcPr>
            <w:tcW w:w="1000" w:type="pct"/>
            <w:tcBorders>
              <w:top w:val="single" w:sz="18" w:space="0" w:color="auto"/>
              <w:left w:val="single" w:sz="18" w:space="0" w:color="auto"/>
              <w:bottom w:val="single" w:sz="18" w:space="0" w:color="auto"/>
              <w:right w:val="single" w:sz="18" w:space="0" w:color="auto"/>
            </w:tcBorders>
          </w:tcPr>
          <w:p w:rsidR="00F555D6" w:rsidRPr="005C3B55" w:rsidRDefault="00F555D6" w:rsidP="00F555D6">
            <w:pPr>
              <w:jc w:val="right"/>
              <w:rPr>
                <w:sz w:val="20"/>
              </w:rPr>
            </w:pPr>
            <w:r w:rsidRPr="005C3B55">
              <w:rPr>
                <w:sz w:val="20"/>
              </w:rPr>
              <w:t>28.70</w:t>
            </w:r>
          </w:p>
        </w:tc>
        <w:tc>
          <w:tcPr>
            <w:tcW w:w="1093" w:type="pct"/>
            <w:tcBorders>
              <w:top w:val="single" w:sz="18" w:space="0" w:color="auto"/>
              <w:left w:val="single" w:sz="18" w:space="0" w:color="auto"/>
              <w:bottom w:val="single" w:sz="18" w:space="0" w:color="auto"/>
              <w:right w:val="single" w:sz="18" w:space="0" w:color="auto"/>
            </w:tcBorders>
          </w:tcPr>
          <w:p w:rsidR="00F555D6" w:rsidRPr="005C3B55" w:rsidRDefault="00F555D6" w:rsidP="00F555D6">
            <w:pPr>
              <w:jc w:val="right"/>
              <w:rPr>
                <w:sz w:val="20"/>
              </w:rPr>
            </w:pPr>
            <w:r w:rsidRPr="005C3B55">
              <w:rPr>
                <w:sz w:val="20"/>
              </w:rPr>
              <w:t>450</w:t>
            </w:r>
          </w:p>
        </w:tc>
        <w:tc>
          <w:tcPr>
            <w:tcW w:w="907" w:type="pct"/>
            <w:tcBorders>
              <w:top w:val="single" w:sz="18" w:space="0" w:color="auto"/>
              <w:left w:val="single" w:sz="18" w:space="0" w:color="auto"/>
              <w:bottom w:val="single" w:sz="18" w:space="0" w:color="auto"/>
              <w:right w:val="single" w:sz="18" w:space="0" w:color="auto"/>
            </w:tcBorders>
          </w:tcPr>
          <w:p w:rsidR="00F555D6" w:rsidRPr="005C3B55" w:rsidRDefault="00F555D6" w:rsidP="00F555D6">
            <w:pPr>
              <w:jc w:val="right"/>
              <w:rPr>
                <w:sz w:val="20"/>
              </w:rPr>
            </w:pPr>
            <w:r w:rsidRPr="005C3B55">
              <w:rPr>
                <w:sz w:val="20"/>
              </w:rPr>
              <w:t>28.70</w:t>
            </w:r>
          </w:p>
        </w:tc>
        <w:tc>
          <w:tcPr>
            <w:tcW w:w="1000" w:type="pct"/>
            <w:tcBorders>
              <w:top w:val="single" w:sz="18" w:space="0" w:color="auto"/>
              <w:left w:val="single" w:sz="18" w:space="0" w:color="auto"/>
              <w:bottom w:val="single" w:sz="18" w:space="0" w:color="auto"/>
              <w:right w:val="single" w:sz="18" w:space="0" w:color="auto"/>
            </w:tcBorders>
          </w:tcPr>
          <w:p w:rsidR="00F555D6" w:rsidRPr="005C3B55" w:rsidRDefault="00F555D6" w:rsidP="00F555D6">
            <w:pPr>
              <w:jc w:val="right"/>
              <w:rPr>
                <w:sz w:val="20"/>
              </w:rPr>
            </w:pPr>
            <w:r w:rsidRPr="005C3B55">
              <w:rPr>
                <w:sz w:val="20"/>
              </w:rPr>
              <w:t>28.70</w:t>
            </w:r>
          </w:p>
        </w:tc>
      </w:tr>
      <w:tr w:rsidR="00F555D6" w:rsidRPr="005C3B55">
        <w:tc>
          <w:tcPr>
            <w:tcW w:w="5000" w:type="pct"/>
            <w:gridSpan w:val="5"/>
            <w:tcBorders>
              <w:top w:val="single" w:sz="18" w:space="0" w:color="auto"/>
              <w:left w:val="single" w:sz="18" w:space="0" w:color="auto"/>
              <w:bottom w:val="single" w:sz="18" w:space="0" w:color="auto"/>
              <w:right w:val="single" w:sz="18" w:space="0" w:color="auto"/>
            </w:tcBorders>
            <w:shd w:val="clear" w:color="auto" w:fill="E0E0E0"/>
          </w:tcPr>
          <w:p w:rsidR="00F555D6" w:rsidRPr="005C3B55" w:rsidRDefault="00F555D6" w:rsidP="00F555D6">
            <w:r w:rsidRPr="005C3B55">
              <w:rPr>
                <w:b/>
                <w:sz w:val="20"/>
              </w:rPr>
              <w:t>B. Optional requirement</w:t>
            </w:r>
          </w:p>
        </w:tc>
      </w:tr>
      <w:tr w:rsidR="00F555D6" w:rsidRPr="005C3B55">
        <w:tc>
          <w:tcPr>
            <w:tcW w:w="1000" w:type="pct"/>
            <w:tcBorders>
              <w:top w:val="single" w:sz="18" w:space="0" w:color="auto"/>
              <w:left w:val="single" w:sz="18" w:space="0" w:color="auto"/>
              <w:bottom w:val="single" w:sz="18" w:space="0" w:color="auto"/>
              <w:right w:val="single" w:sz="18" w:space="0" w:color="auto"/>
            </w:tcBorders>
          </w:tcPr>
          <w:p w:rsidR="00F555D6" w:rsidRPr="005C3B55" w:rsidRDefault="00F555D6" w:rsidP="00F555D6">
            <w:pPr>
              <w:rPr>
                <w:sz w:val="20"/>
              </w:rPr>
            </w:pPr>
            <w:r w:rsidRPr="005C3B55">
              <w:rPr>
                <w:sz w:val="20"/>
              </w:rPr>
              <w:t>MET_MRVA</w:t>
            </w:r>
          </w:p>
        </w:tc>
        <w:tc>
          <w:tcPr>
            <w:tcW w:w="1000" w:type="pct"/>
            <w:tcBorders>
              <w:top w:val="single" w:sz="18" w:space="0" w:color="auto"/>
              <w:left w:val="single" w:sz="18" w:space="0" w:color="auto"/>
              <w:bottom w:val="single" w:sz="18" w:space="0" w:color="auto"/>
              <w:right w:val="single" w:sz="18" w:space="0" w:color="auto"/>
            </w:tcBorders>
          </w:tcPr>
          <w:p w:rsidR="00F555D6" w:rsidRPr="005C3B55" w:rsidRDefault="00F555D6" w:rsidP="00F555D6">
            <w:pPr>
              <w:jc w:val="right"/>
              <w:rPr>
                <w:sz w:val="20"/>
              </w:rPr>
            </w:pPr>
            <w:r w:rsidRPr="005C3B55">
              <w:rPr>
                <w:sz w:val="20"/>
              </w:rPr>
              <w:t>8.10</w:t>
            </w:r>
          </w:p>
        </w:tc>
        <w:tc>
          <w:tcPr>
            <w:tcW w:w="1093" w:type="pct"/>
            <w:tcBorders>
              <w:top w:val="single" w:sz="18" w:space="0" w:color="auto"/>
              <w:left w:val="single" w:sz="18" w:space="0" w:color="auto"/>
              <w:bottom w:val="single" w:sz="18" w:space="0" w:color="auto"/>
              <w:right w:val="single" w:sz="18" w:space="0" w:color="auto"/>
            </w:tcBorders>
          </w:tcPr>
          <w:p w:rsidR="00F555D6" w:rsidRPr="005C3B55" w:rsidRDefault="00F555D6" w:rsidP="00F555D6">
            <w:pPr>
              <w:jc w:val="right"/>
              <w:rPr>
                <w:sz w:val="20"/>
              </w:rPr>
            </w:pPr>
            <w:r w:rsidRPr="005C3B55">
              <w:rPr>
                <w:sz w:val="20"/>
              </w:rPr>
              <w:t>450</w:t>
            </w:r>
          </w:p>
        </w:tc>
        <w:tc>
          <w:tcPr>
            <w:tcW w:w="907" w:type="pct"/>
            <w:tcBorders>
              <w:top w:val="single" w:sz="18" w:space="0" w:color="auto"/>
              <w:left w:val="single" w:sz="18" w:space="0" w:color="auto"/>
              <w:bottom w:val="single" w:sz="18" w:space="0" w:color="auto"/>
              <w:right w:val="single" w:sz="18" w:space="0" w:color="auto"/>
            </w:tcBorders>
          </w:tcPr>
          <w:p w:rsidR="00F555D6" w:rsidRPr="005C3B55" w:rsidRDefault="00F555D6" w:rsidP="00F555D6">
            <w:pPr>
              <w:jc w:val="right"/>
              <w:rPr>
                <w:sz w:val="20"/>
              </w:rPr>
            </w:pPr>
            <w:r w:rsidRPr="005C3B55">
              <w:rPr>
                <w:sz w:val="20"/>
              </w:rPr>
              <w:t>8.10</w:t>
            </w:r>
          </w:p>
        </w:tc>
        <w:tc>
          <w:tcPr>
            <w:tcW w:w="1000" w:type="pct"/>
            <w:tcBorders>
              <w:top w:val="single" w:sz="18" w:space="0" w:color="auto"/>
              <w:left w:val="single" w:sz="18" w:space="0" w:color="auto"/>
              <w:bottom w:val="single" w:sz="18" w:space="0" w:color="auto"/>
              <w:right w:val="single" w:sz="18" w:space="0" w:color="auto"/>
            </w:tcBorders>
          </w:tcPr>
          <w:p w:rsidR="00F555D6" w:rsidRPr="005C3B55" w:rsidRDefault="00F555D6" w:rsidP="00F555D6">
            <w:pPr>
              <w:jc w:val="right"/>
              <w:rPr>
                <w:sz w:val="20"/>
              </w:rPr>
            </w:pPr>
            <w:r w:rsidRPr="005C3B55">
              <w:rPr>
                <w:sz w:val="20"/>
              </w:rPr>
              <w:t>8.10</w:t>
            </w:r>
          </w:p>
        </w:tc>
      </w:tr>
    </w:tbl>
    <w:p w:rsidR="00F555D6" w:rsidRPr="005C3B55" w:rsidRDefault="00F555D6" w:rsidP="00F555D6"/>
    <w:p w:rsidR="00F555D6" w:rsidRPr="005C3B55" w:rsidRDefault="00F555D6" w:rsidP="00F555D6">
      <w:pPr>
        <w:pStyle w:val="Naslov6"/>
        <w:tabs>
          <w:tab w:val="clear" w:pos="765"/>
        </w:tabs>
        <w:ind w:left="0" w:firstLine="0"/>
        <w:rPr>
          <w:szCs w:val="24"/>
          <w:lang w:val="en-GB"/>
        </w:rPr>
      </w:pPr>
      <w:r w:rsidRPr="005C3B55">
        <w:rPr>
          <w:noProof w:val="0"/>
          <w:szCs w:val="24"/>
          <w:lang w:val="en-GB"/>
        </w:rPr>
        <w:t>Verifiability and possibility of control of measures and/or type of operations</w:t>
      </w:r>
    </w:p>
    <w:p w:rsidR="00F555D6" w:rsidRPr="005C3B55" w:rsidRDefault="00F555D6" w:rsidP="00F555D6">
      <w:pPr>
        <w:pStyle w:val="Naslov7"/>
        <w:tabs>
          <w:tab w:val="clear" w:pos="765"/>
        </w:tabs>
        <w:ind w:left="0" w:firstLine="0"/>
        <w:rPr>
          <w:szCs w:val="24"/>
          <w:lang w:val="en-GB"/>
        </w:rPr>
      </w:pPr>
      <w:r w:rsidRPr="005C3B55">
        <w:rPr>
          <w:noProof w:val="0"/>
          <w:szCs w:val="24"/>
          <w:lang w:val="en-GB"/>
        </w:rPr>
        <w:t>Risks in the implementation of the measure</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b/>
                <w:szCs w:val="24"/>
              </w:rPr>
              <w:t>R5: Requirements which are difficult to verify and/or control</w:t>
            </w:r>
          </w:p>
          <w:p w:rsidR="00F555D6" w:rsidRPr="005C3B55" w:rsidRDefault="00F555D6" w:rsidP="00F555D6">
            <w:pPr>
              <w:spacing w:before="240" w:after="240" w:line="280" w:lineRule="auto"/>
              <w:rPr>
                <w:szCs w:val="24"/>
              </w:rPr>
            </w:pPr>
            <w:r w:rsidRPr="005C3B55">
              <w:rPr>
                <w:szCs w:val="24"/>
              </w:rPr>
              <w:t>Certain requirements cannot be fully verified administratively, while the implementation of certain requirements is difficult to verify also with on-the-spot control. Production without the use of fertilisers is such a requirement.</w:t>
            </w:r>
          </w:p>
          <w:p w:rsidR="00F555D6" w:rsidRPr="005C3B55" w:rsidRDefault="00F555D6" w:rsidP="00F555D6">
            <w:pPr>
              <w:spacing w:before="240" w:after="240" w:line="280" w:lineRule="auto"/>
              <w:rPr>
                <w:szCs w:val="24"/>
              </w:rPr>
            </w:pPr>
            <w:r w:rsidRPr="005C3B55">
              <w:rPr>
                <w:b/>
                <w:szCs w:val="24"/>
              </w:rPr>
              <w:t>R6: General conditions for implementation</w:t>
            </w:r>
          </w:p>
          <w:p w:rsidR="00F555D6" w:rsidRPr="005C3B55" w:rsidRDefault="00F555D6" w:rsidP="00F555D6">
            <w:pPr>
              <w:spacing w:before="240" w:after="240" w:line="280" w:lineRule="auto"/>
              <w:rPr>
                <w:szCs w:val="24"/>
              </w:rPr>
            </w:pPr>
            <w:r w:rsidRPr="005C3B55">
              <w:rPr>
                <w:szCs w:val="24"/>
              </w:rPr>
              <w:t>Ill-timed adoption of regulations which regulate payments for the M10 measure and which enable beneficiaries to be informed about the eligibility conditions for implementing this operation, and insufficient knowledge of the conditions of the operation Grassland habitats of butterflies present a risk for the implementation of this measure.</w:t>
            </w:r>
          </w:p>
          <w:p w:rsidR="00F555D6" w:rsidRPr="005C3B55" w:rsidRDefault="00F555D6" w:rsidP="00F555D6">
            <w:pPr>
              <w:spacing w:before="240" w:after="240" w:line="280" w:lineRule="auto"/>
              <w:rPr>
                <w:szCs w:val="24"/>
              </w:rPr>
            </w:pPr>
            <w:r w:rsidRPr="005C3B55">
              <w:rPr>
                <w:b/>
                <w:szCs w:val="24"/>
              </w:rPr>
              <w:t>R8: IT systems</w:t>
            </w:r>
          </w:p>
          <w:p w:rsidR="00F555D6" w:rsidRPr="005C3B55" w:rsidRDefault="00F555D6" w:rsidP="00F555D6">
            <w:pPr>
              <w:spacing w:before="240" w:after="240" w:line="280" w:lineRule="auto"/>
              <w:rPr>
                <w:szCs w:val="24"/>
              </w:rPr>
            </w:pPr>
            <w:r w:rsidRPr="005C3B55">
              <w:rPr>
                <w:szCs w:val="24"/>
              </w:rPr>
              <w:t>Unsuitable arrangement of certain databases when entering the verification system and consequently insufficient administrative controls when entering the operation Grassland habitats of butterflies.</w:t>
            </w:r>
          </w:p>
          <w:p w:rsidR="00F555D6" w:rsidRPr="005C3B55" w:rsidRDefault="00F555D6" w:rsidP="00F555D6">
            <w:pPr>
              <w:spacing w:before="240" w:after="240" w:line="280" w:lineRule="auto"/>
              <w:rPr>
                <w:szCs w:val="24"/>
              </w:rPr>
            </w:pPr>
            <w:r w:rsidRPr="005C3B55">
              <w:rPr>
                <w:b/>
                <w:szCs w:val="24"/>
              </w:rPr>
              <w:t>R9: Requests for payment</w:t>
            </w:r>
          </w:p>
          <w:p w:rsidR="00F555D6" w:rsidRPr="005C3B55" w:rsidRDefault="00F555D6" w:rsidP="00F555D6">
            <w:pPr>
              <w:spacing w:before="240" w:after="240" w:line="280" w:lineRule="auto"/>
              <w:rPr>
                <w:szCs w:val="24"/>
              </w:rPr>
            </w:pPr>
            <w:r w:rsidRPr="005C3B55">
              <w:rPr>
                <w:szCs w:val="24"/>
              </w:rPr>
              <w:t>Lack of, and delayed, information and insufficient knowledge of the operation Grassland habitats of butterflies, poor familiarisation with the procedure for submitting the application and the beneficiary’s incorrect reporting about the size of surfaces.</w:t>
            </w:r>
          </w:p>
          <w:p w:rsidR="00F555D6" w:rsidRPr="005C3B55" w:rsidRDefault="00F555D6" w:rsidP="00F555D6">
            <w:pPr>
              <w:pStyle w:val="Telobesedila"/>
              <w:rPr>
                <w:szCs w:val="24"/>
              </w:rPr>
            </w:pPr>
          </w:p>
        </w:tc>
      </w:tr>
    </w:tbl>
    <w:p w:rsidR="00F555D6" w:rsidRPr="005C3B55" w:rsidRDefault="00F555D6" w:rsidP="00F555D6">
      <w:pPr>
        <w:pStyle w:val="Naslov7"/>
        <w:tabs>
          <w:tab w:val="clear" w:pos="765"/>
        </w:tabs>
        <w:ind w:left="0" w:firstLine="0"/>
        <w:rPr>
          <w:szCs w:val="24"/>
          <w:lang w:val="en-GB"/>
        </w:rPr>
      </w:pPr>
      <w:r w:rsidRPr="005C3B55">
        <w:rPr>
          <w:noProof w:val="0"/>
          <w:szCs w:val="24"/>
          <w:lang w:val="en-GB"/>
        </w:rPr>
        <w:t>Mitigation measures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b/>
                <w:szCs w:val="24"/>
              </w:rPr>
              <w:t>R5: Requirements which are difficult to verify and/or control</w:t>
            </w:r>
          </w:p>
          <w:p w:rsidR="00F555D6" w:rsidRPr="005C3B55" w:rsidRDefault="00F555D6" w:rsidP="00F555D6">
            <w:pPr>
              <w:spacing w:before="240" w:after="240" w:line="280" w:lineRule="auto"/>
              <w:rPr>
                <w:szCs w:val="24"/>
              </w:rPr>
            </w:pPr>
            <w:r w:rsidRPr="005C3B55">
              <w:rPr>
                <w:szCs w:val="24"/>
              </w:rPr>
              <w:t>Administrative control will be upgraded accordingly for certain requirements (to control the number of animals and to integrate a suitable share of surfaces into the operation).</w:t>
            </w:r>
          </w:p>
          <w:p w:rsidR="00F555D6" w:rsidRPr="005C3B55" w:rsidRDefault="00F555D6" w:rsidP="00F555D6">
            <w:pPr>
              <w:spacing w:before="240" w:after="240" w:line="280" w:lineRule="auto"/>
              <w:rPr>
                <w:szCs w:val="24"/>
              </w:rPr>
            </w:pPr>
            <w:r w:rsidRPr="005C3B55">
              <w:rPr>
                <w:szCs w:val="24"/>
              </w:rPr>
              <w:t>Requirements for implementing the M10 measure which cannot be verified administratively will be verified or controlled on the spot, which will observe the temporal component when implementing verification, the situation on the agricultural holding reviewed, schemes of strips, verification on the basis of records and non-presence of completely prohibited products.</w:t>
            </w:r>
          </w:p>
          <w:p w:rsidR="00F555D6" w:rsidRPr="005C3B55" w:rsidRDefault="00F555D6" w:rsidP="00F555D6">
            <w:pPr>
              <w:spacing w:before="240" w:after="240" w:line="280" w:lineRule="auto"/>
              <w:rPr>
                <w:szCs w:val="24"/>
              </w:rPr>
            </w:pPr>
            <w:r w:rsidRPr="005C3B55">
              <w:rPr>
                <w:b/>
                <w:szCs w:val="24"/>
              </w:rPr>
              <w:t>R6: General conditions for implementation</w:t>
            </w:r>
          </w:p>
          <w:p w:rsidR="00F555D6" w:rsidRPr="005C3B55" w:rsidRDefault="00F555D6" w:rsidP="00F555D6">
            <w:pPr>
              <w:spacing w:before="240" w:after="240" w:line="280" w:lineRule="auto"/>
              <w:rPr>
                <w:szCs w:val="24"/>
              </w:rPr>
            </w:pPr>
            <w:r w:rsidRPr="005C3B55">
              <w:rPr>
                <w:szCs w:val="24"/>
              </w:rPr>
              <w:t>Prior to entering in the operation Grassland habitats of butterflies, a beneficiary will have to undergo a mandatory six-hour training which is one of the eligibility conditions. At the training, the beneficiary will become acquainted with the eligibility conditions for entering in the operation and requirements for implementing the operation, including the Rural Development Programme 2014–2020 and the national regulation regulating payments for the M10 measure.</w:t>
            </w:r>
          </w:p>
          <w:p w:rsidR="00F555D6" w:rsidRPr="005C3B55" w:rsidRDefault="00F555D6" w:rsidP="00F555D6">
            <w:pPr>
              <w:spacing w:before="240" w:after="240" w:line="280" w:lineRule="auto"/>
              <w:rPr>
                <w:szCs w:val="24"/>
              </w:rPr>
            </w:pPr>
            <w:r w:rsidRPr="005C3B55">
              <w:rPr>
                <w:szCs w:val="24"/>
              </w:rPr>
              <w:t>After the training, the beneficiary will be able to prepare a programme of activities of the agricultural holding in which it will determine which operation and requirements within the M10 measure it will implement.</w:t>
            </w:r>
          </w:p>
          <w:p w:rsidR="00F555D6" w:rsidRPr="005C3B55" w:rsidRDefault="00F555D6" w:rsidP="00F555D6">
            <w:pPr>
              <w:spacing w:before="240" w:after="240" w:line="280" w:lineRule="auto"/>
              <w:rPr>
                <w:szCs w:val="24"/>
              </w:rPr>
            </w:pPr>
            <w:r w:rsidRPr="005C3B55">
              <w:rPr>
                <w:b/>
                <w:szCs w:val="24"/>
              </w:rPr>
              <w:t>R8: IT systems</w:t>
            </w:r>
          </w:p>
          <w:p w:rsidR="00F555D6" w:rsidRPr="005C3B55" w:rsidRDefault="00F555D6" w:rsidP="00F555D6">
            <w:pPr>
              <w:spacing w:before="240" w:after="240" w:line="280" w:lineRule="auto"/>
              <w:rPr>
                <w:szCs w:val="24"/>
              </w:rPr>
            </w:pPr>
            <w:r w:rsidRPr="005C3B55">
              <w:rPr>
                <w:szCs w:val="24"/>
              </w:rPr>
              <w:t>Suitable connections will be established and databases arranged (registers, records, suitability of combinations of requirements within or between operations, and suitable integration of surfaces in the requirements of this operation).</w:t>
            </w:r>
          </w:p>
          <w:p w:rsidR="00F555D6" w:rsidRPr="005C3B55" w:rsidRDefault="00F555D6" w:rsidP="00F555D6">
            <w:pPr>
              <w:spacing w:before="240" w:after="240" w:line="280" w:lineRule="auto"/>
              <w:rPr>
                <w:szCs w:val="24"/>
              </w:rPr>
            </w:pPr>
            <w:r w:rsidRPr="005C3B55">
              <w:rPr>
                <w:szCs w:val="24"/>
              </w:rPr>
              <w:t>An application enabling cross-checking of data from different databases will also be established.</w:t>
            </w:r>
          </w:p>
          <w:p w:rsidR="00F555D6" w:rsidRPr="005C3B55" w:rsidRDefault="00F555D6" w:rsidP="00F555D6">
            <w:pPr>
              <w:spacing w:before="240" w:after="240" w:line="280" w:lineRule="auto"/>
              <w:rPr>
                <w:szCs w:val="24"/>
              </w:rPr>
            </w:pPr>
            <w:r w:rsidRPr="005C3B55">
              <w:rPr>
                <w:b/>
                <w:szCs w:val="24"/>
              </w:rPr>
              <w:t>R9: Requests for payment</w:t>
            </w:r>
          </w:p>
          <w:p w:rsidR="00F555D6" w:rsidRPr="005C3B55" w:rsidRDefault="00F555D6" w:rsidP="00F555D6">
            <w:pPr>
              <w:spacing w:before="240" w:after="240" w:line="280" w:lineRule="auto"/>
              <w:rPr>
                <w:szCs w:val="24"/>
              </w:rPr>
            </w:pPr>
            <w:r w:rsidRPr="005C3B55">
              <w:rPr>
                <w:szCs w:val="24"/>
              </w:rPr>
              <w:t>Mandatory annual four-hour training and mandatory use of advisory services at least once in the first three years of the commitment are introduced in order for beneficiaries to be suitably informed about all conditions and requirements for the implementation of the M10 measure. Regular annual informing of beneficiaries about their commitments related to the implementation of the M10 measure as part of the annual campaign for implementing requests for agricultural policy measures during the year and also within the scope of specific and purpose-oriented informing of beneficiaries is envisaged</w:t>
            </w:r>
            <w:r w:rsidRPr="005C3B55">
              <w:rPr>
                <w:rFonts w:ascii="TimesNewRoman" w:hAnsi="TimesNewRoman"/>
                <w:szCs w:val="24"/>
              </w:rPr>
              <w:t>.</w:t>
            </w:r>
          </w:p>
          <w:p w:rsidR="00F555D6" w:rsidRPr="005C3B55" w:rsidRDefault="00F555D6" w:rsidP="00F555D6">
            <w:pPr>
              <w:spacing w:before="240" w:after="240" w:line="280" w:lineRule="auto"/>
              <w:rPr>
                <w:szCs w:val="24"/>
              </w:rPr>
            </w:pPr>
            <w:r w:rsidRPr="005C3B55">
              <w:rPr>
                <w:szCs w:val="24"/>
              </w:rPr>
              <w:t>On the basis of the programme of activities, the request for payment will be submitted electronically on prescribed forms, by means of which a beneficiary will define for which requirements within individual operations of the M10 measure it will request payment.</w:t>
            </w:r>
          </w:p>
          <w:p w:rsidR="00F555D6" w:rsidRPr="005C3B55" w:rsidRDefault="00F555D6" w:rsidP="00F555D6">
            <w:pPr>
              <w:spacing w:before="240" w:after="240" w:line="280" w:lineRule="auto"/>
              <w:rPr>
                <w:szCs w:val="24"/>
              </w:rPr>
            </w:pPr>
            <w:r w:rsidRPr="005C3B55">
              <w:rPr>
                <w:szCs w:val="24"/>
              </w:rPr>
              <w:t>The upgrading of the IT system for control will be implemented, which will allow certain verifications and controls already upon the submission of the request for payment (suitability of use and size of surface, suitability of areas, suitability of combinations of requests and operations, and suitable integration of surfaces in the requirements of this operation). If a beneficiary fails to meet the eligibility conditions for entering the M10 measure, they will be alerted to the shortcomings which they will be able to eliminate by the prescribed deadline; otherwise, it will not be possible to submit a request for payment.</w:t>
            </w:r>
          </w:p>
          <w:p w:rsidR="00F555D6" w:rsidRPr="005C3B55" w:rsidRDefault="00F555D6" w:rsidP="00F555D6">
            <w:pPr>
              <w:spacing w:before="240" w:after="240" w:line="280" w:lineRule="auto"/>
              <w:rPr>
                <w:szCs w:val="24"/>
              </w:rPr>
            </w:pPr>
            <w:r w:rsidRPr="005C3B55">
              <w:rPr>
                <w:szCs w:val="24"/>
              </w:rPr>
              <w:t>Unpermitted combinations of requirements within the operation Grassland habitats of butterflies and required combinations of requirements of this operation within other operations of the M10 measure will be disabled.</w:t>
            </w:r>
          </w:p>
          <w:p w:rsidR="00F555D6" w:rsidRPr="005C3B55" w:rsidRDefault="00F555D6" w:rsidP="00F555D6">
            <w:pPr>
              <w:spacing w:before="240" w:after="240" w:line="280" w:lineRule="auto"/>
              <w:rPr>
                <w:szCs w:val="24"/>
              </w:rPr>
            </w:pPr>
            <w:r w:rsidRPr="005C3B55">
              <w:rPr>
                <w:szCs w:val="24"/>
              </w:rPr>
              <w:t>A beneficiary who will also be included in the implementation of the M11 measure will not have the opportunity to submit the request for unauthorised combinations of this measure with the M10 measure.</w:t>
            </w:r>
          </w:p>
          <w:p w:rsidR="00F555D6" w:rsidRPr="005C3B55" w:rsidRDefault="00F555D6" w:rsidP="00F555D6">
            <w:pPr>
              <w:pStyle w:val="Telobesedila"/>
              <w:rPr>
                <w:szCs w:val="24"/>
              </w:rPr>
            </w:pPr>
          </w:p>
        </w:tc>
      </w:tr>
    </w:tbl>
    <w:p w:rsidR="00F555D6" w:rsidRPr="005C3B55" w:rsidRDefault="00F555D6" w:rsidP="00F555D6">
      <w:pPr>
        <w:pStyle w:val="Naslov7"/>
        <w:tabs>
          <w:tab w:val="clear" w:pos="765"/>
        </w:tabs>
        <w:ind w:left="0" w:firstLine="0"/>
        <w:rPr>
          <w:szCs w:val="24"/>
          <w:lang w:val="en-GB"/>
        </w:rPr>
      </w:pPr>
      <w:r w:rsidRPr="005C3B55">
        <w:rPr>
          <w:noProof w:val="0"/>
          <w:szCs w:val="24"/>
          <w:lang w:val="en-GB"/>
        </w:rPr>
        <w:t>General assessment of the measure</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 xml:space="preserve">Described in Chapter </w:t>
            </w:r>
            <w:r w:rsidRPr="005C3B55">
              <w:rPr>
                <w:i/>
                <w:szCs w:val="24"/>
              </w:rPr>
              <w:t>8.2.9.4.3 General assessment of the measure</w:t>
            </w:r>
            <w:r w:rsidRPr="005C3B55">
              <w:rPr>
                <w:szCs w:val="24"/>
              </w:rPr>
              <w:t>.</w:t>
            </w:r>
          </w:p>
          <w:p w:rsidR="00F555D6" w:rsidRPr="005C3B55" w:rsidRDefault="00F555D6" w:rsidP="00F555D6">
            <w:pPr>
              <w:pStyle w:val="Telobesedila"/>
              <w:rPr>
                <w:szCs w:val="24"/>
              </w:rPr>
            </w:pPr>
          </w:p>
        </w:tc>
      </w:tr>
    </w:tbl>
    <w:p w:rsidR="00F555D6" w:rsidRPr="005C3B55" w:rsidRDefault="00F555D6" w:rsidP="00F555D6">
      <w:pPr>
        <w:pStyle w:val="Naslov7"/>
        <w:tabs>
          <w:tab w:val="clear" w:pos="765"/>
        </w:tabs>
        <w:ind w:left="0" w:firstLine="0"/>
        <w:rPr>
          <w:szCs w:val="24"/>
          <w:lang w:val="en-GB"/>
        </w:rPr>
      </w:pPr>
      <w:r w:rsidRPr="005C3B55">
        <w:rPr>
          <w:noProof w:val="0"/>
          <w:szCs w:val="24"/>
          <w:lang w:val="en-GB"/>
        </w:rPr>
        <w:t>Agri-environment-climate commitments</w:t>
      </w:r>
    </w:p>
    <w:p w:rsidR="00F555D6" w:rsidRPr="005C3B55" w:rsidRDefault="00F555D6" w:rsidP="00F555D6">
      <w:pPr>
        <w:pStyle w:val="Naslov8"/>
        <w:tabs>
          <w:tab w:val="clear" w:pos="765"/>
        </w:tabs>
        <w:ind w:left="0" w:firstLine="0"/>
        <w:rPr>
          <w:b w:val="0"/>
          <w:szCs w:val="24"/>
          <w:lang w:val="en-GB"/>
        </w:rPr>
      </w:pPr>
      <w:r w:rsidRPr="005C3B55">
        <w:rPr>
          <w:b w:val="0"/>
          <w:noProof w:val="0"/>
          <w:szCs w:val="24"/>
          <w:lang w:val="en-GB"/>
        </w:rPr>
        <w:t>MET_KOS:</w:t>
      </w:r>
      <w:r w:rsidRPr="005C3B55">
        <w:rPr>
          <w:b w:val="0"/>
          <w:szCs w:val="24"/>
          <w:lang w:val="en-GB"/>
        </w:rPr>
        <w:t xml:space="preserve"> </w:t>
      </w:r>
      <w:r w:rsidRPr="005C3B55">
        <w:rPr>
          <w:b w:val="0"/>
          <w:noProof w:val="0"/>
          <w:szCs w:val="24"/>
          <w:lang w:val="en-GB"/>
        </w:rPr>
        <w:t>Mowing/pasturing is not permitted between 15 June and 15 September</w:t>
      </w:r>
    </w:p>
    <w:p w:rsidR="00F555D6" w:rsidRPr="005C3B55" w:rsidRDefault="00F555D6" w:rsidP="00F555D6">
      <w:pPr>
        <w:pStyle w:val="Naslov9"/>
        <w:tabs>
          <w:tab w:val="clear" w:pos="765"/>
        </w:tabs>
        <w:ind w:left="0" w:firstLine="0"/>
        <w:rPr>
          <w:szCs w:val="24"/>
          <w:lang w:val="en-GB"/>
        </w:rPr>
      </w:pPr>
      <w:r w:rsidRPr="005C3B55">
        <w:rPr>
          <w:noProof w:val="0"/>
          <w:szCs w:val="24"/>
          <w:lang w:val="en-GB"/>
        </w:rPr>
        <w:t>Methods of commitment verification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Administrative control:</w:t>
            </w:r>
          </w:p>
          <w:p w:rsidR="00F555D6" w:rsidRPr="005C3B55" w:rsidRDefault="00F555D6" w:rsidP="00F555D6">
            <w:pPr>
              <w:numPr>
                <w:ilvl w:val="0"/>
                <w:numId w:val="630"/>
              </w:numPr>
              <w:spacing w:before="240" w:after="0"/>
              <w:ind w:hanging="290"/>
              <w:jc w:val="left"/>
              <w:rPr>
                <w:szCs w:val="24"/>
              </w:rPr>
            </w:pPr>
            <w:r w:rsidRPr="005C3B55">
              <w:rPr>
                <w:szCs w:val="24"/>
              </w:rPr>
              <w:t>control of livestock density through collective applications, registers, registers of farm animals;</w:t>
            </w:r>
          </w:p>
          <w:p w:rsidR="00F555D6" w:rsidRPr="005C3B55" w:rsidRDefault="00F555D6" w:rsidP="00F555D6">
            <w:pPr>
              <w:numPr>
                <w:ilvl w:val="0"/>
                <w:numId w:val="630"/>
              </w:numPr>
              <w:spacing w:before="0" w:after="0"/>
              <w:ind w:hanging="290"/>
              <w:jc w:val="left"/>
              <w:rPr>
                <w:szCs w:val="24"/>
              </w:rPr>
            </w:pPr>
            <w:r w:rsidRPr="005C3B55">
              <w:rPr>
                <w:szCs w:val="24"/>
              </w:rPr>
              <w:t>suitability of the area through the register of agricultural holdings;</w:t>
            </w:r>
          </w:p>
          <w:p w:rsidR="00F555D6" w:rsidRPr="005C3B55" w:rsidRDefault="00F555D6" w:rsidP="00F555D6">
            <w:pPr>
              <w:numPr>
                <w:ilvl w:val="0"/>
                <w:numId w:val="630"/>
              </w:numPr>
              <w:spacing w:before="0" w:after="240"/>
              <w:ind w:hanging="290"/>
              <w:jc w:val="left"/>
              <w:rPr>
                <w:szCs w:val="24"/>
              </w:rPr>
            </w:pPr>
            <w:r w:rsidRPr="005C3B55">
              <w:rPr>
                <w:szCs w:val="24"/>
              </w:rPr>
              <w:t>suitability of the agricultural plant through collective application.</w:t>
            </w:r>
          </w:p>
          <w:p w:rsidR="00F555D6" w:rsidRPr="005C3B55" w:rsidRDefault="00F555D6" w:rsidP="00F555D6">
            <w:pPr>
              <w:spacing w:before="240" w:after="240" w:line="280" w:lineRule="auto"/>
              <w:rPr>
                <w:szCs w:val="24"/>
              </w:rPr>
            </w:pPr>
            <w:r w:rsidRPr="005C3B55">
              <w:rPr>
                <w:szCs w:val="24"/>
              </w:rPr>
              <w:t>Registers/records:</w:t>
            </w:r>
          </w:p>
          <w:p w:rsidR="00F555D6" w:rsidRPr="005C3B55" w:rsidRDefault="00F555D6" w:rsidP="00F555D6">
            <w:pPr>
              <w:numPr>
                <w:ilvl w:val="0"/>
                <w:numId w:val="631"/>
              </w:numPr>
              <w:spacing w:before="240" w:after="0"/>
              <w:ind w:hanging="290"/>
              <w:jc w:val="left"/>
              <w:rPr>
                <w:szCs w:val="24"/>
              </w:rPr>
            </w:pPr>
            <w:r w:rsidRPr="005C3B55">
              <w:rPr>
                <w:szCs w:val="24"/>
              </w:rPr>
              <w:t>register of agricultural holdings;</w:t>
            </w:r>
          </w:p>
          <w:p w:rsidR="00F555D6" w:rsidRPr="005C3B55" w:rsidRDefault="00F555D6" w:rsidP="00F555D6">
            <w:pPr>
              <w:numPr>
                <w:ilvl w:val="0"/>
                <w:numId w:val="631"/>
              </w:numPr>
              <w:spacing w:before="0" w:after="0"/>
              <w:ind w:hanging="290"/>
              <w:jc w:val="left"/>
              <w:rPr>
                <w:szCs w:val="24"/>
              </w:rPr>
            </w:pPr>
            <w:r w:rsidRPr="005C3B55">
              <w:rPr>
                <w:szCs w:val="24"/>
              </w:rPr>
              <w:t>graphical agricultural unit of agricultural holding (GERK);</w:t>
            </w:r>
          </w:p>
          <w:p w:rsidR="00F555D6" w:rsidRPr="005C3B55" w:rsidRDefault="00F555D6" w:rsidP="00F555D6">
            <w:pPr>
              <w:numPr>
                <w:ilvl w:val="0"/>
                <w:numId w:val="631"/>
              </w:numPr>
              <w:spacing w:before="0" w:after="0"/>
              <w:ind w:hanging="290"/>
              <w:jc w:val="left"/>
              <w:rPr>
                <w:szCs w:val="24"/>
              </w:rPr>
            </w:pPr>
            <w:r w:rsidRPr="005C3B55">
              <w:rPr>
                <w:szCs w:val="24"/>
              </w:rPr>
              <w:t>registers, registers of farm animals;</w:t>
            </w:r>
          </w:p>
          <w:p w:rsidR="00F555D6" w:rsidRPr="005C3B55" w:rsidRDefault="00F555D6" w:rsidP="00F555D6">
            <w:pPr>
              <w:numPr>
                <w:ilvl w:val="0"/>
                <w:numId w:val="631"/>
              </w:numPr>
              <w:spacing w:before="0" w:after="240"/>
              <w:ind w:hanging="290"/>
              <w:jc w:val="left"/>
              <w:rPr>
                <w:szCs w:val="24"/>
              </w:rPr>
            </w:pPr>
            <w:r w:rsidRPr="005C3B55">
              <w:rPr>
                <w:szCs w:val="24"/>
              </w:rPr>
              <w:t>graphic layer of ecologically important areas of grassland habitats of butterflies.</w:t>
            </w:r>
          </w:p>
          <w:p w:rsidR="00F555D6" w:rsidRPr="005C3B55" w:rsidRDefault="00F555D6" w:rsidP="00F555D6">
            <w:pPr>
              <w:spacing w:before="240" w:after="240" w:line="280" w:lineRule="auto"/>
              <w:rPr>
                <w:szCs w:val="24"/>
              </w:rPr>
            </w:pPr>
            <w:r w:rsidRPr="005C3B55">
              <w:rPr>
                <w:szCs w:val="24"/>
              </w:rPr>
              <w:t>On-site control:</w:t>
            </w:r>
          </w:p>
          <w:p w:rsidR="00F555D6" w:rsidRPr="005C3B55" w:rsidRDefault="00F555D6" w:rsidP="00F555D6">
            <w:pPr>
              <w:numPr>
                <w:ilvl w:val="0"/>
                <w:numId w:val="632"/>
              </w:numPr>
              <w:spacing w:before="240" w:after="0"/>
              <w:ind w:hanging="290"/>
              <w:jc w:val="left"/>
              <w:rPr>
                <w:szCs w:val="24"/>
              </w:rPr>
            </w:pPr>
            <w:r w:rsidRPr="005C3B55">
              <w:rPr>
                <w:szCs w:val="24"/>
              </w:rPr>
              <w:t>records on works;</w:t>
            </w:r>
          </w:p>
          <w:p w:rsidR="00F555D6" w:rsidRPr="005C3B55" w:rsidRDefault="00F555D6" w:rsidP="00F555D6">
            <w:pPr>
              <w:numPr>
                <w:ilvl w:val="0"/>
                <w:numId w:val="632"/>
              </w:numPr>
              <w:spacing w:before="0" w:after="0"/>
              <w:ind w:hanging="290"/>
              <w:jc w:val="left"/>
              <w:rPr>
                <w:szCs w:val="24"/>
              </w:rPr>
            </w:pPr>
            <w:r w:rsidRPr="005C3B55">
              <w:rPr>
                <w:szCs w:val="24"/>
              </w:rPr>
              <w:t>control of livestock density by counting animals and reviewing surfaces;</w:t>
            </w:r>
          </w:p>
          <w:p w:rsidR="00F555D6" w:rsidRPr="005C3B55" w:rsidRDefault="00F555D6" w:rsidP="00F555D6">
            <w:pPr>
              <w:numPr>
                <w:ilvl w:val="0"/>
                <w:numId w:val="632"/>
              </w:numPr>
              <w:spacing w:before="0" w:after="240"/>
              <w:ind w:hanging="290"/>
              <w:jc w:val="left"/>
              <w:rPr>
                <w:szCs w:val="24"/>
              </w:rPr>
            </w:pPr>
            <w:r w:rsidRPr="005C3B55">
              <w:rPr>
                <w:szCs w:val="24"/>
              </w:rPr>
              <w:t>review of the agricultural holding.</w:t>
            </w:r>
          </w:p>
          <w:p w:rsidR="00F555D6" w:rsidRPr="005C3B55" w:rsidRDefault="00F555D6" w:rsidP="00F555D6">
            <w:pPr>
              <w:pStyle w:val="Telobesedila"/>
              <w:rPr>
                <w:szCs w:val="24"/>
              </w:rPr>
            </w:pPr>
          </w:p>
        </w:tc>
      </w:tr>
    </w:tbl>
    <w:p w:rsidR="00F555D6" w:rsidRPr="005C3B55" w:rsidRDefault="00F555D6" w:rsidP="00F555D6">
      <w:pPr>
        <w:pStyle w:val="Naslov8"/>
        <w:tabs>
          <w:tab w:val="clear" w:pos="765"/>
        </w:tabs>
        <w:ind w:left="0" w:firstLine="0"/>
        <w:rPr>
          <w:b w:val="0"/>
          <w:szCs w:val="24"/>
          <w:lang w:val="en-GB"/>
        </w:rPr>
      </w:pPr>
      <w:r w:rsidRPr="005C3B55">
        <w:rPr>
          <w:b w:val="0"/>
          <w:noProof w:val="0"/>
          <w:szCs w:val="24"/>
          <w:lang w:val="en-GB"/>
        </w:rPr>
        <w:t>MET_MRVA:</w:t>
      </w:r>
      <w:r w:rsidRPr="005C3B55">
        <w:rPr>
          <w:b w:val="0"/>
          <w:szCs w:val="24"/>
          <w:lang w:val="en-GB"/>
        </w:rPr>
        <w:t xml:space="preserve"> </w:t>
      </w:r>
      <w:r w:rsidRPr="005C3B55">
        <w:rPr>
          <w:b w:val="0"/>
          <w:noProof w:val="0"/>
          <w:szCs w:val="24"/>
          <w:lang w:val="en-GB"/>
        </w:rPr>
        <w:t>Harvesting of hay from grassland</w:t>
      </w:r>
    </w:p>
    <w:p w:rsidR="00F555D6" w:rsidRPr="005C3B55" w:rsidRDefault="00F555D6" w:rsidP="00F555D6">
      <w:pPr>
        <w:pStyle w:val="Naslov9"/>
        <w:tabs>
          <w:tab w:val="clear" w:pos="765"/>
        </w:tabs>
        <w:ind w:left="0" w:firstLine="0"/>
        <w:rPr>
          <w:szCs w:val="24"/>
          <w:lang w:val="en-GB"/>
        </w:rPr>
      </w:pPr>
      <w:r w:rsidRPr="005C3B55">
        <w:rPr>
          <w:noProof w:val="0"/>
          <w:szCs w:val="24"/>
          <w:lang w:val="en-GB"/>
        </w:rPr>
        <w:t>Methods of commitment verification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Administrative control:</w:t>
            </w:r>
          </w:p>
          <w:p w:rsidR="00F555D6" w:rsidRPr="005C3B55" w:rsidRDefault="00F555D6" w:rsidP="00F555D6">
            <w:pPr>
              <w:numPr>
                <w:ilvl w:val="0"/>
                <w:numId w:val="633"/>
              </w:numPr>
              <w:spacing w:before="240" w:after="0"/>
              <w:ind w:hanging="290"/>
              <w:jc w:val="left"/>
              <w:rPr>
                <w:szCs w:val="24"/>
              </w:rPr>
            </w:pPr>
            <w:r w:rsidRPr="005C3B55">
              <w:rPr>
                <w:szCs w:val="24"/>
              </w:rPr>
              <w:t>control of livestock density through collective applications, registers, registers of farm animals;</w:t>
            </w:r>
          </w:p>
          <w:p w:rsidR="00F555D6" w:rsidRPr="005C3B55" w:rsidRDefault="00F555D6" w:rsidP="00F555D6">
            <w:pPr>
              <w:numPr>
                <w:ilvl w:val="0"/>
                <w:numId w:val="633"/>
              </w:numPr>
              <w:spacing w:before="0" w:after="0"/>
              <w:ind w:hanging="290"/>
              <w:jc w:val="left"/>
              <w:rPr>
                <w:szCs w:val="24"/>
              </w:rPr>
            </w:pPr>
            <w:r w:rsidRPr="005C3B55">
              <w:rPr>
                <w:szCs w:val="24"/>
              </w:rPr>
              <w:t>suitability of the area through the register of agricultural holdings;</w:t>
            </w:r>
          </w:p>
          <w:p w:rsidR="00F555D6" w:rsidRPr="005C3B55" w:rsidRDefault="00F555D6" w:rsidP="00F555D6">
            <w:pPr>
              <w:numPr>
                <w:ilvl w:val="0"/>
                <w:numId w:val="633"/>
              </w:numPr>
              <w:spacing w:before="0" w:after="240"/>
              <w:ind w:hanging="290"/>
              <w:jc w:val="left"/>
              <w:rPr>
                <w:szCs w:val="24"/>
              </w:rPr>
            </w:pPr>
            <w:r w:rsidRPr="005C3B55">
              <w:rPr>
                <w:szCs w:val="24"/>
              </w:rPr>
              <w:t>suitability of the agricultural plant through collective application.</w:t>
            </w:r>
          </w:p>
          <w:p w:rsidR="00F555D6" w:rsidRPr="005C3B55" w:rsidRDefault="00F555D6" w:rsidP="00F555D6">
            <w:pPr>
              <w:spacing w:before="240" w:after="240" w:line="280" w:lineRule="auto"/>
              <w:rPr>
                <w:szCs w:val="24"/>
              </w:rPr>
            </w:pPr>
            <w:r w:rsidRPr="005C3B55">
              <w:rPr>
                <w:szCs w:val="24"/>
              </w:rPr>
              <w:t>Registers/records:</w:t>
            </w:r>
          </w:p>
          <w:p w:rsidR="00F555D6" w:rsidRPr="005C3B55" w:rsidRDefault="00F555D6" w:rsidP="00F555D6">
            <w:pPr>
              <w:numPr>
                <w:ilvl w:val="0"/>
                <w:numId w:val="634"/>
              </w:numPr>
              <w:spacing w:before="240" w:after="0"/>
              <w:ind w:hanging="290"/>
              <w:jc w:val="left"/>
              <w:rPr>
                <w:szCs w:val="24"/>
              </w:rPr>
            </w:pPr>
            <w:r w:rsidRPr="005C3B55">
              <w:rPr>
                <w:szCs w:val="24"/>
              </w:rPr>
              <w:t>register of agricultural holdings;</w:t>
            </w:r>
          </w:p>
          <w:p w:rsidR="00F555D6" w:rsidRPr="005C3B55" w:rsidRDefault="00F555D6" w:rsidP="00F555D6">
            <w:pPr>
              <w:numPr>
                <w:ilvl w:val="0"/>
                <w:numId w:val="634"/>
              </w:numPr>
              <w:spacing w:before="0" w:after="0"/>
              <w:ind w:hanging="290"/>
              <w:jc w:val="left"/>
              <w:rPr>
                <w:szCs w:val="24"/>
              </w:rPr>
            </w:pPr>
            <w:r w:rsidRPr="005C3B55">
              <w:rPr>
                <w:szCs w:val="24"/>
              </w:rPr>
              <w:t>graphical agricultural unit of agricultural holding (GERK);</w:t>
            </w:r>
          </w:p>
          <w:p w:rsidR="00F555D6" w:rsidRPr="005C3B55" w:rsidRDefault="00F555D6" w:rsidP="00F555D6">
            <w:pPr>
              <w:numPr>
                <w:ilvl w:val="0"/>
                <w:numId w:val="634"/>
              </w:numPr>
              <w:spacing w:before="0" w:after="0"/>
              <w:ind w:hanging="290"/>
              <w:jc w:val="left"/>
              <w:rPr>
                <w:szCs w:val="24"/>
              </w:rPr>
            </w:pPr>
            <w:r w:rsidRPr="005C3B55">
              <w:rPr>
                <w:szCs w:val="24"/>
              </w:rPr>
              <w:t>registers, registers of farm animals;</w:t>
            </w:r>
          </w:p>
          <w:p w:rsidR="00F555D6" w:rsidRPr="005C3B55" w:rsidRDefault="00F555D6" w:rsidP="00F555D6">
            <w:pPr>
              <w:numPr>
                <w:ilvl w:val="0"/>
                <w:numId w:val="634"/>
              </w:numPr>
              <w:spacing w:before="0" w:after="240"/>
              <w:ind w:hanging="290"/>
              <w:jc w:val="left"/>
              <w:rPr>
                <w:szCs w:val="24"/>
              </w:rPr>
            </w:pPr>
            <w:r w:rsidRPr="005C3B55">
              <w:rPr>
                <w:szCs w:val="24"/>
              </w:rPr>
              <w:t>graphic layer of ecologically important areas of grassland habitats of butterflies.</w:t>
            </w:r>
          </w:p>
          <w:p w:rsidR="00F555D6" w:rsidRPr="005C3B55" w:rsidRDefault="00F555D6" w:rsidP="00F555D6">
            <w:pPr>
              <w:spacing w:before="240" w:after="240" w:line="280" w:lineRule="auto"/>
              <w:rPr>
                <w:szCs w:val="24"/>
              </w:rPr>
            </w:pPr>
            <w:r w:rsidRPr="005C3B55">
              <w:rPr>
                <w:szCs w:val="24"/>
              </w:rPr>
              <w:t>On-site control:</w:t>
            </w:r>
          </w:p>
          <w:p w:rsidR="00F555D6" w:rsidRPr="005C3B55" w:rsidRDefault="00F555D6" w:rsidP="00F555D6">
            <w:pPr>
              <w:numPr>
                <w:ilvl w:val="0"/>
                <w:numId w:val="635"/>
              </w:numPr>
              <w:spacing w:before="240" w:after="0"/>
              <w:ind w:hanging="290"/>
              <w:jc w:val="left"/>
              <w:rPr>
                <w:szCs w:val="24"/>
              </w:rPr>
            </w:pPr>
            <w:r w:rsidRPr="005C3B55">
              <w:rPr>
                <w:szCs w:val="24"/>
              </w:rPr>
              <w:t>records on works;</w:t>
            </w:r>
          </w:p>
          <w:p w:rsidR="00F555D6" w:rsidRPr="005C3B55" w:rsidRDefault="00F555D6" w:rsidP="00F555D6">
            <w:pPr>
              <w:numPr>
                <w:ilvl w:val="0"/>
                <w:numId w:val="635"/>
              </w:numPr>
              <w:spacing w:before="0" w:after="0"/>
              <w:ind w:hanging="290"/>
              <w:jc w:val="left"/>
              <w:rPr>
                <w:szCs w:val="24"/>
              </w:rPr>
            </w:pPr>
            <w:r w:rsidRPr="005C3B55">
              <w:rPr>
                <w:szCs w:val="24"/>
              </w:rPr>
              <w:t>control of livestock density by counting animals and reviewing surfaces;</w:t>
            </w:r>
          </w:p>
          <w:p w:rsidR="00F555D6" w:rsidRPr="005C3B55" w:rsidRDefault="00F555D6" w:rsidP="00F555D6">
            <w:pPr>
              <w:numPr>
                <w:ilvl w:val="0"/>
                <w:numId w:val="635"/>
              </w:numPr>
              <w:spacing w:before="0" w:after="240"/>
              <w:ind w:hanging="290"/>
              <w:jc w:val="left"/>
              <w:rPr>
                <w:szCs w:val="24"/>
              </w:rPr>
            </w:pPr>
            <w:r w:rsidRPr="005C3B55">
              <w:rPr>
                <w:szCs w:val="24"/>
              </w:rPr>
              <w:t>review of the agricultural holding.</w:t>
            </w:r>
          </w:p>
          <w:p w:rsidR="00F555D6" w:rsidRPr="005C3B55" w:rsidRDefault="00F555D6" w:rsidP="00F555D6">
            <w:pPr>
              <w:pStyle w:val="Telobesedila"/>
              <w:rPr>
                <w:szCs w:val="24"/>
              </w:rPr>
            </w:pPr>
          </w:p>
        </w:tc>
      </w:tr>
    </w:tbl>
    <w:p w:rsidR="00F555D6" w:rsidRPr="005C3B55" w:rsidRDefault="00F555D6" w:rsidP="00F555D6">
      <w:pPr>
        <w:pStyle w:val="Naslov8"/>
        <w:tabs>
          <w:tab w:val="clear" w:pos="765"/>
        </w:tabs>
        <w:ind w:left="0" w:firstLine="0"/>
        <w:rPr>
          <w:b w:val="0"/>
          <w:szCs w:val="24"/>
          <w:lang w:val="en-GB"/>
        </w:rPr>
      </w:pPr>
      <w:r w:rsidRPr="005C3B55">
        <w:rPr>
          <w:b w:val="0"/>
          <w:noProof w:val="0"/>
          <w:szCs w:val="24"/>
          <w:lang w:val="en-GB"/>
        </w:rPr>
        <w:t>MET_NPAS:</w:t>
      </w:r>
      <w:r w:rsidRPr="005C3B55">
        <w:rPr>
          <w:b w:val="0"/>
          <w:szCs w:val="24"/>
          <w:lang w:val="en-GB"/>
        </w:rPr>
        <w:t xml:space="preserve"> </w:t>
      </w:r>
      <w:r w:rsidRPr="005C3B55">
        <w:rPr>
          <w:b w:val="0"/>
          <w:noProof w:val="0"/>
          <w:szCs w:val="24"/>
          <w:lang w:val="en-GB"/>
        </w:rPr>
        <w:t>Unmown strip of 5 to 10% of surface of a meadow</w:t>
      </w:r>
    </w:p>
    <w:p w:rsidR="00F555D6" w:rsidRPr="005C3B55" w:rsidRDefault="00F555D6" w:rsidP="00F555D6">
      <w:pPr>
        <w:pStyle w:val="Naslov9"/>
        <w:tabs>
          <w:tab w:val="clear" w:pos="765"/>
        </w:tabs>
        <w:ind w:left="0" w:firstLine="0"/>
        <w:rPr>
          <w:szCs w:val="24"/>
          <w:lang w:val="en-GB"/>
        </w:rPr>
      </w:pPr>
      <w:r w:rsidRPr="005C3B55">
        <w:rPr>
          <w:noProof w:val="0"/>
          <w:szCs w:val="24"/>
          <w:lang w:val="en-GB"/>
        </w:rPr>
        <w:t>Methods of commitment verification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Administrative control:</w:t>
            </w:r>
          </w:p>
          <w:p w:rsidR="00F555D6" w:rsidRPr="005C3B55" w:rsidRDefault="00F555D6" w:rsidP="00F555D6">
            <w:pPr>
              <w:numPr>
                <w:ilvl w:val="0"/>
                <w:numId w:val="636"/>
              </w:numPr>
              <w:spacing w:before="240" w:after="0"/>
              <w:ind w:hanging="290"/>
              <w:jc w:val="left"/>
              <w:rPr>
                <w:szCs w:val="24"/>
              </w:rPr>
            </w:pPr>
            <w:r w:rsidRPr="005C3B55">
              <w:rPr>
                <w:szCs w:val="24"/>
              </w:rPr>
              <w:t>control of livestock density through collective applications, registers, registers of farm animals;</w:t>
            </w:r>
          </w:p>
          <w:p w:rsidR="00F555D6" w:rsidRPr="005C3B55" w:rsidRDefault="00F555D6" w:rsidP="00F555D6">
            <w:pPr>
              <w:numPr>
                <w:ilvl w:val="0"/>
                <w:numId w:val="636"/>
              </w:numPr>
              <w:spacing w:before="0" w:after="0"/>
              <w:ind w:hanging="290"/>
              <w:jc w:val="left"/>
              <w:rPr>
                <w:szCs w:val="24"/>
              </w:rPr>
            </w:pPr>
            <w:r w:rsidRPr="005C3B55">
              <w:rPr>
                <w:szCs w:val="24"/>
              </w:rPr>
              <w:t>suitability of the area through the register of agricultural holdings;</w:t>
            </w:r>
          </w:p>
          <w:p w:rsidR="00F555D6" w:rsidRPr="005C3B55" w:rsidRDefault="00F555D6" w:rsidP="00F555D6">
            <w:pPr>
              <w:numPr>
                <w:ilvl w:val="0"/>
                <w:numId w:val="636"/>
              </w:numPr>
              <w:spacing w:before="0" w:after="0"/>
              <w:ind w:hanging="290"/>
              <w:jc w:val="left"/>
              <w:rPr>
                <w:szCs w:val="24"/>
              </w:rPr>
            </w:pPr>
            <w:r w:rsidRPr="005C3B55">
              <w:rPr>
                <w:szCs w:val="24"/>
              </w:rPr>
              <w:t>suitability of size of the graphical agricultural unit of agricultural holding;</w:t>
            </w:r>
          </w:p>
          <w:p w:rsidR="00F555D6" w:rsidRPr="005C3B55" w:rsidRDefault="00F555D6" w:rsidP="00F555D6">
            <w:pPr>
              <w:numPr>
                <w:ilvl w:val="0"/>
                <w:numId w:val="636"/>
              </w:numPr>
              <w:spacing w:before="0" w:after="240"/>
              <w:ind w:hanging="290"/>
              <w:jc w:val="left"/>
              <w:rPr>
                <w:szCs w:val="24"/>
              </w:rPr>
            </w:pPr>
            <w:r w:rsidRPr="005C3B55">
              <w:rPr>
                <w:szCs w:val="24"/>
              </w:rPr>
              <w:t>suitability of the agricultural plant through collective application.</w:t>
            </w:r>
          </w:p>
          <w:p w:rsidR="00F555D6" w:rsidRPr="005C3B55" w:rsidRDefault="00F555D6" w:rsidP="00F555D6">
            <w:pPr>
              <w:spacing w:before="240" w:after="240" w:line="280" w:lineRule="auto"/>
              <w:rPr>
                <w:szCs w:val="24"/>
              </w:rPr>
            </w:pPr>
            <w:r w:rsidRPr="005C3B55">
              <w:rPr>
                <w:szCs w:val="24"/>
              </w:rPr>
              <w:t>Registers/records:</w:t>
            </w:r>
          </w:p>
          <w:p w:rsidR="00F555D6" w:rsidRPr="005C3B55" w:rsidRDefault="00F555D6" w:rsidP="00F555D6">
            <w:pPr>
              <w:numPr>
                <w:ilvl w:val="0"/>
                <w:numId w:val="637"/>
              </w:numPr>
              <w:spacing w:before="240" w:after="0"/>
              <w:ind w:hanging="290"/>
              <w:jc w:val="left"/>
              <w:rPr>
                <w:szCs w:val="24"/>
              </w:rPr>
            </w:pPr>
            <w:r w:rsidRPr="005C3B55">
              <w:rPr>
                <w:szCs w:val="24"/>
              </w:rPr>
              <w:t>register of agricultural holdings;</w:t>
            </w:r>
          </w:p>
          <w:p w:rsidR="00F555D6" w:rsidRPr="005C3B55" w:rsidRDefault="00F555D6" w:rsidP="00F555D6">
            <w:pPr>
              <w:numPr>
                <w:ilvl w:val="0"/>
                <w:numId w:val="637"/>
              </w:numPr>
              <w:spacing w:before="0" w:after="0"/>
              <w:ind w:hanging="290"/>
              <w:jc w:val="left"/>
              <w:rPr>
                <w:szCs w:val="24"/>
              </w:rPr>
            </w:pPr>
            <w:r w:rsidRPr="005C3B55">
              <w:rPr>
                <w:szCs w:val="24"/>
              </w:rPr>
              <w:t>graphical agricultural unit of agricultural holding (GERK);</w:t>
            </w:r>
          </w:p>
          <w:p w:rsidR="00F555D6" w:rsidRPr="005C3B55" w:rsidRDefault="00F555D6" w:rsidP="00F555D6">
            <w:pPr>
              <w:numPr>
                <w:ilvl w:val="0"/>
                <w:numId w:val="637"/>
              </w:numPr>
              <w:spacing w:before="0" w:after="0"/>
              <w:ind w:hanging="290"/>
              <w:jc w:val="left"/>
              <w:rPr>
                <w:szCs w:val="24"/>
              </w:rPr>
            </w:pPr>
            <w:r w:rsidRPr="005C3B55">
              <w:rPr>
                <w:szCs w:val="24"/>
              </w:rPr>
              <w:t>registers, registers of farm animals;</w:t>
            </w:r>
          </w:p>
          <w:p w:rsidR="00F555D6" w:rsidRPr="005C3B55" w:rsidRDefault="00F555D6" w:rsidP="00F555D6">
            <w:pPr>
              <w:numPr>
                <w:ilvl w:val="0"/>
                <w:numId w:val="637"/>
              </w:numPr>
              <w:spacing w:before="0" w:after="240"/>
              <w:ind w:hanging="290"/>
              <w:jc w:val="left"/>
              <w:rPr>
                <w:szCs w:val="24"/>
              </w:rPr>
            </w:pPr>
            <w:r w:rsidRPr="005C3B55">
              <w:rPr>
                <w:szCs w:val="24"/>
              </w:rPr>
              <w:t>graphic layer of ecologically important areas of grassland habitats of butterflies.</w:t>
            </w:r>
          </w:p>
          <w:p w:rsidR="00F555D6" w:rsidRPr="005C3B55" w:rsidRDefault="00F555D6" w:rsidP="00F555D6">
            <w:pPr>
              <w:spacing w:before="240" w:after="240" w:line="280" w:lineRule="auto"/>
              <w:rPr>
                <w:szCs w:val="24"/>
              </w:rPr>
            </w:pPr>
            <w:r w:rsidRPr="005C3B55">
              <w:rPr>
                <w:szCs w:val="24"/>
              </w:rPr>
              <w:t>On-site control:</w:t>
            </w:r>
          </w:p>
          <w:p w:rsidR="00F555D6" w:rsidRPr="005C3B55" w:rsidRDefault="00F555D6" w:rsidP="00F555D6">
            <w:pPr>
              <w:numPr>
                <w:ilvl w:val="0"/>
                <w:numId w:val="638"/>
              </w:numPr>
              <w:spacing w:before="240" w:after="0"/>
              <w:ind w:hanging="290"/>
              <w:jc w:val="left"/>
              <w:rPr>
                <w:szCs w:val="24"/>
              </w:rPr>
            </w:pPr>
            <w:r w:rsidRPr="005C3B55">
              <w:rPr>
                <w:szCs w:val="24"/>
              </w:rPr>
              <w:t>records on works;</w:t>
            </w:r>
          </w:p>
          <w:p w:rsidR="00F555D6" w:rsidRPr="005C3B55" w:rsidRDefault="00F555D6" w:rsidP="00F555D6">
            <w:pPr>
              <w:numPr>
                <w:ilvl w:val="0"/>
                <w:numId w:val="638"/>
              </w:numPr>
              <w:spacing w:before="0" w:after="0"/>
              <w:ind w:hanging="290"/>
              <w:jc w:val="left"/>
              <w:rPr>
                <w:szCs w:val="24"/>
              </w:rPr>
            </w:pPr>
            <w:r w:rsidRPr="005C3B55">
              <w:rPr>
                <w:szCs w:val="24"/>
              </w:rPr>
              <w:t>control of livestock density by counting animals and reviewing surfaces;</w:t>
            </w:r>
          </w:p>
          <w:p w:rsidR="00F555D6" w:rsidRPr="005C3B55" w:rsidRDefault="00F555D6" w:rsidP="00F555D6">
            <w:pPr>
              <w:numPr>
                <w:ilvl w:val="0"/>
                <w:numId w:val="638"/>
              </w:numPr>
              <w:spacing w:before="0" w:after="0"/>
              <w:ind w:hanging="290"/>
              <w:jc w:val="left"/>
              <w:rPr>
                <w:szCs w:val="24"/>
              </w:rPr>
            </w:pPr>
            <w:r w:rsidRPr="005C3B55">
              <w:rPr>
                <w:szCs w:val="24"/>
              </w:rPr>
              <w:t>scheme of a meadow;</w:t>
            </w:r>
          </w:p>
          <w:p w:rsidR="00F555D6" w:rsidRPr="005C3B55" w:rsidRDefault="00F555D6" w:rsidP="00F555D6">
            <w:pPr>
              <w:numPr>
                <w:ilvl w:val="0"/>
                <w:numId w:val="638"/>
              </w:numPr>
              <w:spacing w:before="0" w:after="240"/>
              <w:ind w:hanging="290"/>
              <w:jc w:val="left"/>
              <w:rPr>
                <w:szCs w:val="24"/>
              </w:rPr>
            </w:pPr>
            <w:r w:rsidRPr="005C3B55">
              <w:rPr>
                <w:szCs w:val="24"/>
              </w:rPr>
              <w:t>review of the agricultural holding.</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Information that relates specifically to the operation</w:t>
      </w:r>
    </w:p>
    <w:p w:rsidR="00F555D6" w:rsidRPr="005C3B55" w:rsidRDefault="00F555D6" w:rsidP="00F555D6">
      <w:pPr>
        <w:spacing w:line="280" w:lineRule="auto"/>
        <w:rPr>
          <w:szCs w:val="24"/>
        </w:rPr>
      </w:pPr>
      <w:r w:rsidRPr="005C3B55">
        <w:rPr>
          <w:szCs w:val="24"/>
        </w:rPr>
        <w:t>Definition and identification of the relevant basic elements; this should include the relevant mandatory standards determined in accordance with Chapter I of Title VI of Regulation (EU) No 1306/2013 of the European Parliament and of the Council, relevant criteria and minimum activities determined in accordance with points (c)(ii) and (c)(iii) of the first paragraph of Article 4 of Regulation (EU) No 1307/2013 of the European Parliament and of the Council, relevant minimum requirements for the use of organic fertilisers and plant protection products and relevant mandatory requirements determined by national law</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 xml:space="preserve">Described in the chapter </w:t>
            </w:r>
            <w:r w:rsidRPr="005C3B55">
              <w:rPr>
                <w:i/>
                <w:szCs w:val="24"/>
              </w:rPr>
              <w:t>Agri-environment-climate commitments</w:t>
            </w:r>
            <w:r w:rsidRPr="005C3B55">
              <w:rPr>
                <w:szCs w:val="24"/>
              </w:rPr>
              <w:t>.</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 xml:space="preserve">Minimum requirements for fertilisers must include, inter alia, the Codes of Good Practice introduced under Directive 91/676/EEC for farms outside Nitrate Vulnerable Zones, and requirements concerning phosphorous pollution; minimum requirements for plant protection products use must include, </w:t>
      </w:r>
      <w:r w:rsidRPr="005C3B55">
        <w:rPr>
          <w:i/>
          <w:szCs w:val="24"/>
        </w:rPr>
        <w:t>inter alia</w:t>
      </w:r>
      <w:r w:rsidRPr="005C3B55">
        <w:rPr>
          <w:szCs w:val="24"/>
        </w:rPr>
        <w:t>, general principles for integrated pest management introduced with Directive 2009/128/EC, requirements to have a licence to use the products and meet training obligations, requirements on safe storage, the checking of application machinery and rules on pesticide use close to water and other sensitive sites, as established by national legislation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 xml:space="preserve">Described in the chapter </w:t>
            </w:r>
            <w:r w:rsidRPr="005C3B55">
              <w:rPr>
                <w:i/>
                <w:szCs w:val="24"/>
              </w:rPr>
              <w:t>Agri-environment-climate commitments</w:t>
            </w:r>
            <w:r w:rsidRPr="005C3B55">
              <w:rPr>
                <w:szCs w:val="24"/>
              </w:rPr>
              <w:t>.</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List of local breeds in danger of being lost to farming and for plant genetic resources under threat of genetic erosion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Not relevant.</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The description of the methodology and of the agronomic assumptions and parameters, including the description of the baseline requirements as stated in Article 29(2) of Regulation (EU) No 1305/2013, which are relevant for each particular type of commitment used as reference point for the calculations which justify: additional costs and lost revenue due to the assumed commitment and the amount of transaction costs; where necessary, the methodology takes into account the support granted under Regulation (EU) No 1307/2013, including payments for agricultural practices that favourably affect the climate and environment, in order to prevent the possibility of dual financing; where appropriate, the conversion method used for other units in accordance with Article 9 of this Regulation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The calculation of the amount of payments for individual requirements within the ‘Grassland habitats of butterflies’ operation observes:</w:t>
            </w:r>
          </w:p>
          <w:p w:rsidR="00F555D6" w:rsidRPr="005C3B55" w:rsidRDefault="00F555D6" w:rsidP="00F555D6">
            <w:pPr>
              <w:spacing w:before="240" w:after="240" w:line="280" w:lineRule="auto"/>
              <w:rPr>
                <w:szCs w:val="24"/>
              </w:rPr>
            </w:pPr>
            <w:r w:rsidRPr="005C3B55">
              <w:rPr>
                <w:b/>
                <w:szCs w:val="24"/>
              </w:rPr>
              <w:t>A. Mandatory requirements</w:t>
            </w:r>
          </w:p>
          <w:p w:rsidR="00F555D6" w:rsidRPr="005C3B55" w:rsidRDefault="00F555D6" w:rsidP="00F555D6">
            <w:pPr>
              <w:spacing w:before="240" w:after="240" w:line="280" w:lineRule="auto"/>
              <w:rPr>
                <w:szCs w:val="24"/>
              </w:rPr>
            </w:pPr>
            <w:r w:rsidRPr="005C3B55">
              <w:rPr>
                <w:szCs w:val="24"/>
              </w:rPr>
              <w:t>MET_KOS: The standard agricultural practice includes the production of hay, grass silage and grazing (everything in thirds) on a good permanent meadow subject to two mowings a year as per the area of the requirement. Due to prohibited fertilisation and time limit on mowing, the calculation of the payment anticipates low produce of low quality on a meadow subject to one mowing a year  in the anticipated ratio of 80% of hay and 20% of low-quality grass silage. Due to prohibited fertilisation, grazing is not taken into account. The loss of forage and energy produces is covered by renting a comparable meadow and purchasing strong forage.</w:t>
            </w:r>
          </w:p>
          <w:p w:rsidR="00F555D6" w:rsidRPr="005C3B55" w:rsidRDefault="00F555D6" w:rsidP="00F555D6">
            <w:pPr>
              <w:spacing w:before="240" w:after="240" w:line="280" w:lineRule="auto"/>
              <w:rPr>
                <w:szCs w:val="24"/>
              </w:rPr>
            </w:pPr>
            <w:r w:rsidRPr="005C3B55">
              <w:rPr>
                <w:szCs w:val="24"/>
              </w:rPr>
              <w:t>MET_NPAS: In the combination of mandatory requirements MET_KOS and MET_NPAS, standard agricultural practice includes the production of hay and grass silage; the amount of produce and its quality are the same as in the MET_KOS mandatory requirement. Due to the determined limitation on leaving an unmown strip, the calculation observes the reduction in the quantity of produce and thus the energy, whereas the difference is being supplemented with the additional purchase of fodder.</w:t>
            </w:r>
          </w:p>
          <w:p w:rsidR="00F555D6" w:rsidRPr="005C3B55" w:rsidRDefault="00F555D6" w:rsidP="00F555D6">
            <w:pPr>
              <w:spacing w:before="240" w:after="240" w:line="280" w:lineRule="auto"/>
              <w:rPr>
                <w:szCs w:val="24"/>
              </w:rPr>
            </w:pPr>
            <w:r w:rsidRPr="005C3B55">
              <w:rPr>
                <w:b/>
                <w:szCs w:val="24"/>
              </w:rPr>
              <w:t>B. Optional requirement</w:t>
            </w:r>
          </w:p>
          <w:p w:rsidR="00F555D6" w:rsidRPr="005C3B55" w:rsidRDefault="00F555D6" w:rsidP="00F555D6">
            <w:pPr>
              <w:spacing w:before="240" w:after="240" w:line="280" w:lineRule="auto"/>
              <w:rPr>
                <w:szCs w:val="24"/>
              </w:rPr>
            </w:pPr>
            <w:r w:rsidRPr="005C3B55">
              <w:rPr>
                <w:szCs w:val="24"/>
              </w:rPr>
              <w:t>MET_MRVA: The basis for the assessment of payments for the requirement is the MET_KOS mandatory requirements. By prohibiting fertilisation in normal conditions, the MET_KOS mandatory requirement results in shares of technologies for producing forage from grassland, i.e. 80% hay and 20% grass silage, while grazing is not possible due to prohibited fertilisation. The MET_MRVA requirement only converts the share of grass silage into a hay production technology. Therefore, the assessment of the payment includes the purchase of strong forage to replace energy loss.</w:t>
            </w:r>
          </w:p>
          <w:p w:rsidR="00F555D6" w:rsidRPr="005C3B55" w:rsidRDefault="00F555D6" w:rsidP="00F555D6">
            <w:pPr>
              <w:spacing w:before="240" w:after="240" w:line="280" w:lineRule="auto"/>
              <w:rPr>
                <w:szCs w:val="24"/>
              </w:rPr>
            </w:pPr>
            <w:r w:rsidRPr="005C3B55">
              <w:rPr>
                <w:szCs w:val="24"/>
              </w:rPr>
              <w:t> </w:t>
            </w:r>
          </w:p>
          <w:p w:rsidR="00F555D6" w:rsidRPr="005C3B55" w:rsidRDefault="00F555D6" w:rsidP="00F555D6">
            <w:pPr>
              <w:pStyle w:val="Telobesedila"/>
              <w:rPr>
                <w:szCs w:val="24"/>
              </w:rPr>
            </w:pPr>
          </w:p>
        </w:tc>
      </w:tr>
    </w:tbl>
    <w:p w:rsidR="00F555D6" w:rsidRPr="005C3B55" w:rsidRDefault="00F555D6" w:rsidP="00F555D6">
      <w:pPr>
        <w:pStyle w:val="Naslov7"/>
        <w:tabs>
          <w:tab w:val="clear" w:pos="765"/>
        </w:tabs>
        <w:ind w:left="0" w:firstLine="0"/>
        <w:rPr>
          <w:szCs w:val="24"/>
          <w:lang w:val="en-GB"/>
        </w:rPr>
      </w:pPr>
      <w:r w:rsidRPr="005C3B55">
        <w:rPr>
          <w:noProof w:val="0"/>
          <w:szCs w:val="24"/>
          <w:lang w:val="en-GB"/>
        </w:rPr>
        <w:t>Agri-environment-climate commitments</w:t>
      </w:r>
    </w:p>
    <w:p w:rsidR="00F555D6" w:rsidRPr="005C3B55" w:rsidRDefault="00F555D6" w:rsidP="00F555D6">
      <w:pPr>
        <w:pStyle w:val="Naslov8"/>
        <w:tabs>
          <w:tab w:val="clear" w:pos="765"/>
        </w:tabs>
        <w:ind w:left="0" w:firstLine="0"/>
        <w:rPr>
          <w:b w:val="0"/>
          <w:szCs w:val="24"/>
          <w:lang w:val="en-GB"/>
        </w:rPr>
      </w:pPr>
      <w:r w:rsidRPr="005C3B55">
        <w:rPr>
          <w:b w:val="0"/>
          <w:noProof w:val="0"/>
          <w:szCs w:val="24"/>
          <w:lang w:val="en-GB"/>
        </w:rPr>
        <w:t>MET_KOS:</w:t>
      </w:r>
      <w:r w:rsidRPr="005C3B55">
        <w:rPr>
          <w:b w:val="0"/>
          <w:szCs w:val="24"/>
          <w:lang w:val="en-GB"/>
        </w:rPr>
        <w:t xml:space="preserve"> </w:t>
      </w:r>
      <w:r w:rsidRPr="005C3B55">
        <w:rPr>
          <w:b w:val="0"/>
          <w:noProof w:val="0"/>
          <w:szCs w:val="24"/>
          <w:lang w:val="en-GB"/>
        </w:rPr>
        <w:t>Mowing/pasturing is not permitted between 15 June and 15 September</w:t>
      </w:r>
    </w:p>
    <w:p w:rsidR="00F555D6" w:rsidRPr="005C3B55" w:rsidRDefault="00F555D6" w:rsidP="00F555D6">
      <w:pPr>
        <w:pStyle w:val="Naslov9"/>
        <w:tabs>
          <w:tab w:val="clear" w:pos="765"/>
        </w:tabs>
        <w:ind w:left="0" w:firstLine="0"/>
        <w:rPr>
          <w:szCs w:val="24"/>
          <w:lang w:val="en-GB"/>
        </w:rPr>
      </w:pPr>
      <w:r w:rsidRPr="005C3B55">
        <w:rPr>
          <w:noProof w:val="0"/>
          <w:szCs w:val="24"/>
          <w:lang w:val="en-GB"/>
        </w:rPr>
        <w:t>Starting Point</w:t>
      </w:r>
    </w:p>
    <w:p w:rsidR="00F555D6" w:rsidRPr="005C3B55" w:rsidRDefault="00F555D6" w:rsidP="00F555D6">
      <w:pPr>
        <w:spacing w:line="280" w:lineRule="auto"/>
        <w:rPr>
          <w:szCs w:val="24"/>
        </w:rPr>
      </w:pPr>
      <w:r w:rsidRPr="005C3B55">
        <w:rPr>
          <w:szCs w:val="24"/>
        </w:rPr>
        <w:t>Suitable good agricultural and environmental conditions and/or prescribed management requirements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639"/>
              </w:numPr>
              <w:spacing w:before="0" w:after="0"/>
              <w:ind w:hanging="290"/>
              <w:jc w:val="left"/>
              <w:rPr>
                <w:szCs w:val="24"/>
              </w:rPr>
            </w:pPr>
            <w:r w:rsidRPr="005C3B55">
              <w:rPr>
                <w:szCs w:val="24"/>
              </w:rPr>
              <w:t>Regulation on cross-compliance, Annex 1: Rules on cross-compliance, SMR 3: Conservation of natural habitats and of wild fauna and flora: grassland areas in the areas of Natura 2000 – habitats are maintained at least once annually no later than by 15 October of the current year.</w:t>
            </w:r>
          </w:p>
          <w:p w:rsidR="00F555D6" w:rsidRPr="005C3B55" w:rsidRDefault="00F555D6" w:rsidP="00F555D6">
            <w:pPr>
              <w:numPr>
                <w:ilvl w:val="0"/>
                <w:numId w:val="639"/>
              </w:numPr>
              <w:spacing w:before="0" w:after="0"/>
              <w:ind w:hanging="290"/>
              <w:jc w:val="left"/>
              <w:rPr>
                <w:szCs w:val="24"/>
              </w:rPr>
            </w:pPr>
            <w:r w:rsidRPr="005C3B55">
              <w:rPr>
                <w:szCs w:val="24"/>
              </w:rPr>
              <w:t>Regulation on cross-compliance, Annex 1: Rules on cross-compliance, SMR 2: grassland areas in the areas of Natura 2000 – birds are maintained at least once annually no later than by 15 October of the current year.</w:t>
            </w:r>
          </w:p>
          <w:p w:rsidR="00F555D6" w:rsidRPr="005C3B55" w:rsidRDefault="00F555D6" w:rsidP="00F555D6">
            <w:pPr>
              <w:numPr>
                <w:ilvl w:val="0"/>
                <w:numId w:val="639"/>
              </w:numPr>
              <w:spacing w:before="0" w:after="0"/>
              <w:ind w:hanging="290"/>
              <w:jc w:val="left"/>
              <w:rPr>
                <w:szCs w:val="24"/>
              </w:rPr>
            </w:pPr>
            <w:r w:rsidRPr="005C3B55">
              <w:rPr>
                <w:szCs w:val="24"/>
              </w:rPr>
              <w:t>Regulation on cross-compliance, Annex 1: Rules on cross-compliance, GAEC7: agricultural land is annually cultivated at least by 15 October of the current year.</w:t>
            </w:r>
          </w:p>
          <w:p w:rsidR="00F555D6" w:rsidRPr="005C3B55" w:rsidRDefault="00F555D6" w:rsidP="00F555D6">
            <w:pPr>
              <w:numPr>
                <w:ilvl w:val="0"/>
                <w:numId w:val="639"/>
              </w:numPr>
              <w:spacing w:before="0" w:after="240"/>
              <w:ind w:hanging="290"/>
              <w:jc w:val="left"/>
              <w:rPr>
                <w:szCs w:val="24"/>
              </w:rPr>
            </w:pPr>
            <w:r w:rsidRPr="005C3B55">
              <w:rPr>
                <w:szCs w:val="24"/>
              </w:rPr>
              <w:t>The prohibition to use fertilisers is not prescribed in the Regulation on cross-compliance.</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Minimum requirements for the use of fertilisers and plant protection products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640"/>
              </w:numPr>
              <w:spacing w:before="0" w:after="0"/>
              <w:ind w:hanging="290"/>
              <w:jc w:val="left"/>
              <w:rPr>
                <w:szCs w:val="24"/>
              </w:rPr>
            </w:pPr>
            <w:r w:rsidRPr="005C3B55">
              <w:rPr>
                <w:szCs w:val="24"/>
              </w:rPr>
              <w:t>Minimum requirements for the use of fertilisers refer to the keeping of records on the use of livestock and mineral fertilisers which an agricultural holding has to keep for all agricultural land plots at the agricultural holding, and which has to include at least the quantity and type of livestock manure and mineral fertiliser, time of fertilising and data on the surface where these fertilisers are used.</w:t>
            </w:r>
          </w:p>
          <w:p w:rsidR="00F555D6" w:rsidRPr="005C3B55" w:rsidRDefault="00F555D6" w:rsidP="00F555D6">
            <w:pPr>
              <w:numPr>
                <w:ilvl w:val="0"/>
                <w:numId w:val="640"/>
              </w:numPr>
              <w:spacing w:before="0" w:after="240"/>
              <w:ind w:hanging="290"/>
              <w:jc w:val="left"/>
              <w:rPr>
                <w:szCs w:val="24"/>
              </w:rPr>
            </w:pPr>
            <w:r w:rsidRPr="005C3B55">
              <w:rPr>
                <w:szCs w:val="24"/>
              </w:rPr>
              <w:t>Minimum requirements for the use of plant protection products are not determined, since the requirements relating to the use of these products are standardised and are included in the requirements of cross-compliance.</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Other relevant national/regional requirements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641"/>
              </w:numPr>
              <w:spacing w:before="0" w:after="240"/>
              <w:ind w:hanging="290"/>
              <w:jc w:val="left"/>
              <w:rPr>
                <w:szCs w:val="24"/>
              </w:rPr>
            </w:pPr>
            <w:r w:rsidRPr="005C3B55">
              <w:rPr>
                <w:szCs w:val="24"/>
              </w:rPr>
              <w:t>Other national requirements are not prescribed.</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Minimum activities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642"/>
              </w:numPr>
              <w:spacing w:before="0" w:after="240"/>
              <w:ind w:hanging="290"/>
              <w:jc w:val="left"/>
              <w:rPr>
                <w:szCs w:val="24"/>
              </w:rPr>
            </w:pPr>
            <w:r w:rsidRPr="005C3B55">
              <w:rPr>
                <w:szCs w:val="24"/>
              </w:rPr>
              <w:t>Mowing at least once annually by 15 October of the current year is determined as a criterion for maintaining agricultural land in a state suitable for pasturing or production without the preparation measures which exceed the use of regular agricultural methods and machinery.</w:t>
            </w:r>
          </w:p>
          <w:p w:rsidR="00F555D6" w:rsidRPr="005C3B55" w:rsidRDefault="00F555D6" w:rsidP="00F555D6">
            <w:pPr>
              <w:pStyle w:val="Telobesedila"/>
              <w:rPr>
                <w:szCs w:val="24"/>
              </w:rPr>
            </w:pPr>
          </w:p>
        </w:tc>
      </w:tr>
    </w:tbl>
    <w:p w:rsidR="00F555D6" w:rsidRPr="005C3B55" w:rsidRDefault="00F555D6" w:rsidP="00F555D6">
      <w:pPr>
        <w:pStyle w:val="Naslov9"/>
        <w:tabs>
          <w:tab w:val="clear" w:pos="765"/>
        </w:tabs>
        <w:ind w:left="0" w:firstLine="0"/>
        <w:rPr>
          <w:szCs w:val="24"/>
          <w:lang w:val="en-GB"/>
        </w:rPr>
      </w:pPr>
      <w:r w:rsidRPr="005C3B55">
        <w:rPr>
          <w:noProof w:val="0"/>
          <w:szCs w:val="24"/>
          <w:lang w:val="en-GB"/>
        </w:rPr>
        <w:t>Relevant standard agricultural practices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Meadows rich in species in Slovenia have been reducing in the past decades , which is especially the result of intensification on the one hand, and the abandonment of land use and overgrowing on the other. The new, more modern machinery, new agricultural technology and a tendency towards ever greater economic effects have resulted in the situation that meadows which some decades ago were rich in species and mown later, have recently been mown and cultivated much earlier and also by applying technology (e.g. baling) which reduces the biodiversity of meadows.</w:t>
            </w:r>
          </w:p>
          <w:p w:rsidR="00F555D6" w:rsidRPr="005C3B55" w:rsidRDefault="00F555D6" w:rsidP="00F555D6">
            <w:pPr>
              <w:spacing w:before="240" w:after="240" w:line="280" w:lineRule="auto"/>
              <w:rPr>
                <w:szCs w:val="24"/>
              </w:rPr>
            </w:pPr>
            <w:r w:rsidRPr="005C3B55">
              <w:rPr>
                <w:szCs w:val="24"/>
              </w:rPr>
              <w:t>The pressure for economic and profitable agricultural production causes the intensification of meadows by additional fertilisation and seeding and increasing the frequency of mowing. In practice, meadows occurring on humid soil with poor productivity are also fertilised with mineral and organic fertilisers, which results in the loss of their biodiversity.</w:t>
            </w:r>
          </w:p>
          <w:p w:rsidR="00F555D6" w:rsidRPr="005C3B55" w:rsidRDefault="00F555D6" w:rsidP="00F555D6">
            <w:pPr>
              <w:pStyle w:val="Telobesedila"/>
              <w:rPr>
                <w:szCs w:val="24"/>
              </w:rPr>
            </w:pPr>
          </w:p>
        </w:tc>
      </w:tr>
    </w:tbl>
    <w:p w:rsidR="00F555D6" w:rsidRPr="005C3B55" w:rsidRDefault="00F555D6" w:rsidP="00F555D6">
      <w:pPr>
        <w:pStyle w:val="Naslov8"/>
        <w:tabs>
          <w:tab w:val="clear" w:pos="765"/>
        </w:tabs>
        <w:ind w:left="0" w:firstLine="0"/>
        <w:rPr>
          <w:b w:val="0"/>
          <w:szCs w:val="24"/>
          <w:lang w:val="en-GB"/>
        </w:rPr>
      </w:pPr>
      <w:r w:rsidRPr="005C3B55">
        <w:rPr>
          <w:b w:val="0"/>
          <w:noProof w:val="0"/>
          <w:szCs w:val="24"/>
          <w:lang w:val="en-GB"/>
        </w:rPr>
        <w:t>MET_MRVA:</w:t>
      </w:r>
      <w:r w:rsidRPr="005C3B55">
        <w:rPr>
          <w:b w:val="0"/>
          <w:szCs w:val="24"/>
          <w:lang w:val="en-GB"/>
        </w:rPr>
        <w:t xml:space="preserve"> </w:t>
      </w:r>
      <w:r w:rsidRPr="005C3B55">
        <w:rPr>
          <w:b w:val="0"/>
          <w:noProof w:val="0"/>
          <w:szCs w:val="24"/>
          <w:lang w:val="en-GB"/>
        </w:rPr>
        <w:t>Harvesting of hay from grassland</w:t>
      </w:r>
    </w:p>
    <w:p w:rsidR="00F555D6" w:rsidRPr="005C3B55" w:rsidRDefault="00F555D6" w:rsidP="00F555D6">
      <w:pPr>
        <w:pStyle w:val="Naslov9"/>
        <w:tabs>
          <w:tab w:val="clear" w:pos="765"/>
        </w:tabs>
        <w:ind w:left="0" w:firstLine="0"/>
        <w:rPr>
          <w:szCs w:val="24"/>
          <w:lang w:val="en-GB"/>
        </w:rPr>
      </w:pPr>
      <w:r w:rsidRPr="005C3B55">
        <w:rPr>
          <w:noProof w:val="0"/>
          <w:szCs w:val="24"/>
          <w:lang w:val="en-GB"/>
        </w:rPr>
        <w:t>Starting Point</w:t>
      </w:r>
    </w:p>
    <w:p w:rsidR="00F555D6" w:rsidRPr="005C3B55" w:rsidRDefault="00F555D6" w:rsidP="00F555D6">
      <w:pPr>
        <w:spacing w:line="280" w:lineRule="auto"/>
        <w:rPr>
          <w:szCs w:val="24"/>
        </w:rPr>
      </w:pPr>
      <w:r w:rsidRPr="005C3B55">
        <w:rPr>
          <w:szCs w:val="24"/>
        </w:rPr>
        <w:t>Suitable good agricultural and environmental conditions and/or prescribed management requirements</w:t>
      </w:r>
    </w:p>
    <w:p w:rsidR="00F555D6" w:rsidRPr="005C3B55" w:rsidRDefault="00F555D6" w:rsidP="00F555D6">
      <w:pPr>
        <w:spacing w:after="0"/>
        <w:rPr>
          <w:szCs w:val="24"/>
        </w:rPr>
      </w:pP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643"/>
              </w:numPr>
              <w:spacing w:before="0" w:after="240"/>
              <w:ind w:hanging="290"/>
              <w:jc w:val="left"/>
              <w:rPr>
                <w:szCs w:val="24"/>
              </w:rPr>
            </w:pPr>
            <w:r w:rsidRPr="005C3B55">
              <w:rPr>
                <w:szCs w:val="24"/>
              </w:rPr>
              <w:t>Regulation on cross-compliance, Annex 1: Rules on cross-compliance, GAEC 7:  Minimum level of land maintenance: agricultural land is annually cultivated at least by 15 October of the current year.</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Minimum requirements for the use of fertilisers and plant protection products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644"/>
              </w:numPr>
              <w:spacing w:before="0" w:after="0"/>
              <w:ind w:hanging="290"/>
              <w:jc w:val="left"/>
              <w:rPr>
                <w:szCs w:val="24"/>
              </w:rPr>
            </w:pPr>
            <w:r w:rsidRPr="005C3B55">
              <w:rPr>
                <w:szCs w:val="24"/>
              </w:rPr>
              <w:t>Minimum requirements for the use of fertilisers refer to the keeping of records on the use of livestock and mineral fertilisers which an agricultural holding has to keep for all agricultural land plots at the agricultural holding, and which has to include at least the quantity and type of livestock manure and mineral fertiliser, time of fertilising and data on the surface where these fertilisers are used.</w:t>
            </w:r>
          </w:p>
          <w:p w:rsidR="00F555D6" w:rsidRPr="005C3B55" w:rsidRDefault="00F555D6" w:rsidP="00F555D6">
            <w:pPr>
              <w:numPr>
                <w:ilvl w:val="0"/>
                <w:numId w:val="644"/>
              </w:numPr>
              <w:spacing w:before="0" w:after="240"/>
              <w:ind w:hanging="290"/>
              <w:jc w:val="left"/>
              <w:rPr>
                <w:szCs w:val="24"/>
              </w:rPr>
            </w:pPr>
            <w:r w:rsidRPr="005C3B55">
              <w:rPr>
                <w:szCs w:val="24"/>
              </w:rPr>
              <w:t>Minimum requirements for the use of plant protection products are not determined, since the requirements relating to the use of these products are standardised and are included in the requirements of cross-compliance.</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Other relevant national/regional requirements</w:t>
      </w:r>
    </w:p>
    <w:p w:rsidR="00F555D6" w:rsidRPr="005C3B55" w:rsidRDefault="00F555D6" w:rsidP="00F555D6">
      <w:pPr>
        <w:spacing w:after="0"/>
        <w:rPr>
          <w:szCs w:val="24"/>
        </w:rPr>
      </w:pP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645"/>
              </w:numPr>
              <w:spacing w:before="0" w:after="240"/>
              <w:ind w:hanging="290"/>
              <w:jc w:val="left"/>
              <w:rPr>
                <w:szCs w:val="24"/>
              </w:rPr>
            </w:pPr>
            <w:r w:rsidRPr="005C3B55">
              <w:rPr>
                <w:szCs w:val="24"/>
              </w:rPr>
              <w:t>Other national requirements are not prescribed.</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Minimum activities</w:t>
      </w:r>
    </w:p>
    <w:p w:rsidR="00F555D6" w:rsidRPr="005C3B55" w:rsidRDefault="00F555D6" w:rsidP="00F555D6">
      <w:pPr>
        <w:spacing w:after="0"/>
        <w:rPr>
          <w:szCs w:val="24"/>
        </w:rPr>
      </w:pP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646"/>
              </w:numPr>
              <w:spacing w:before="0" w:after="240"/>
              <w:ind w:hanging="290"/>
              <w:jc w:val="left"/>
              <w:rPr>
                <w:szCs w:val="24"/>
              </w:rPr>
            </w:pPr>
            <w:r w:rsidRPr="005C3B55">
              <w:rPr>
                <w:szCs w:val="24"/>
              </w:rPr>
              <w:t>Mowing at least once annually by 15 October of the current year is determined as a criterion for maintaining agricultural land in a state suitable for pasturing or production without the preparation measures which exceed the use of regular agricultural methods and machinery.</w:t>
            </w:r>
          </w:p>
          <w:p w:rsidR="00F555D6" w:rsidRPr="005C3B55" w:rsidRDefault="00F555D6" w:rsidP="00F555D6">
            <w:pPr>
              <w:pStyle w:val="Telobesedila"/>
              <w:rPr>
                <w:szCs w:val="24"/>
              </w:rPr>
            </w:pPr>
          </w:p>
        </w:tc>
      </w:tr>
    </w:tbl>
    <w:p w:rsidR="00F555D6" w:rsidRPr="005C3B55" w:rsidRDefault="00F555D6" w:rsidP="00F555D6">
      <w:pPr>
        <w:pStyle w:val="Naslov9"/>
        <w:tabs>
          <w:tab w:val="clear" w:pos="765"/>
        </w:tabs>
        <w:ind w:left="0" w:firstLine="0"/>
        <w:rPr>
          <w:szCs w:val="24"/>
          <w:lang w:val="en-GB"/>
        </w:rPr>
      </w:pPr>
      <w:r w:rsidRPr="005C3B55">
        <w:rPr>
          <w:noProof w:val="0"/>
          <w:szCs w:val="24"/>
          <w:lang w:val="en-GB"/>
        </w:rPr>
        <w:t>Relevant standard agricultural practices</w:t>
      </w:r>
    </w:p>
    <w:p w:rsidR="00F555D6" w:rsidRPr="005C3B55" w:rsidRDefault="00F555D6" w:rsidP="00F555D6">
      <w:pPr>
        <w:pStyle w:val="Naslov9"/>
        <w:tabs>
          <w:tab w:val="clear" w:pos="765"/>
        </w:tabs>
        <w:spacing w:before="0" w:after="0"/>
        <w:ind w:left="0" w:firstLine="0"/>
        <w:rPr>
          <w:szCs w:val="24"/>
          <w:lang w:val="en-GB"/>
        </w:rPr>
      </w:pP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The forage produced from grassland for animals is ensilaged (grass silage) in standard agricultural practice. The harvesting of grass silage wrapped in plastic foil (baling) has spread in recent years, since baling is extremely time-efficient. The harvesting of forage from grassland in the form of silage bales has also increased significantly on small farms which traditionally dried forage.</w:t>
            </w:r>
          </w:p>
          <w:p w:rsidR="00F555D6" w:rsidRPr="005C3B55" w:rsidRDefault="00F555D6" w:rsidP="00F555D6">
            <w:pPr>
              <w:pStyle w:val="Telobesedila"/>
              <w:rPr>
                <w:szCs w:val="24"/>
              </w:rPr>
            </w:pPr>
          </w:p>
        </w:tc>
      </w:tr>
    </w:tbl>
    <w:p w:rsidR="00F555D6" w:rsidRPr="005C3B55" w:rsidRDefault="00F555D6" w:rsidP="00F555D6">
      <w:pPr>
        <w:pStyle w:val="Naslov8"/>
        <w:tabs>
          <w:tab w:val="clear" w:pos="765"/>
        </w:tabs>
        <w:ind w:left="0" w:firstLine="0"/>
        <w:rPr>
          <w:b w:val="0"/>
          <w:szCs w:val="24"/>
          <w:lang w:val="en-GB"/>
        </w:rPr>
      </w:pPr>
      <w:r w:rsidRPr="005C3B55">
        <w:rPr>
          <w:b w:val="0"/>
          <w:noProof w:val="0"/>
          <w:szCs w:val="24"/>
          <w:lang w:val="en-GB"/>
        </w:rPr>
        <w:t>MET_NPAS:</w:t>
      </w:r>
      <w:r w:rsidRPr="005C3B55">
        <w:rPr>
          <w:b w:val="0"/>
          <w:szCs w:val="24"/>
          <w:lang w:val="en-GB"/>
        </w:rPr>
        <w:t xml:space="preserve"> </w:t>
      </w:r>
      <w:r w:rsidRPr="005C3B55">
        <w:rPr>
          <w:b w:val="0"/>
          <w:noProof w:val="0"/>
          <w:szCs w:val="24"/>
          <w:lang w:val="en-GB"/>
        </w:rPr>
        <w:t>Unmown strip of 5 to 10% of surface of a meadow</w:t>
      </w:r>
    </w:p>
    <w:p w:rsidR="00F555D6" w:rsidRPr="005C3B55" w:rsidRDefault="00F555D6" w:rsidP="00F555D6">
      <w:pPr>
        <w:pStyle w:val="Naslov9"/>
        <w:tabs>
          <w:tab w:val="clear" w:pos="765"/>
        </w:tabs>
        <w:ind w:left="0" w:firstLine="0"/>
        <w:rPr>
          <w:szCs w:val="24"/>
          <w:lang w:val="en-GB"/>
        </w:rPr>
      </w:pPr>
      <w:r w:rsidRPr="005C3B55">
        <w:rPr>
          <w:noProof w:val="0"/>
          <w:szCs w:val="24"/>
          <w:lang w:val="en-GB"/>
        </w:rPr>
        <w:t>Starting Point</w:t>
      </w:r>
    </w:p>
    <w:p w:rsidR="00F555D6" w:rsidRPr="005C3B55" w:rsidRDefault="00F555D6" w:rsidP="00F555D6">
      <w:pPr>
        <w:spacing w:line="280" w:lineRule="auto"/>
        <w:rPr>
          <w:szCs w:val="24"/>
        </w:rPr>
      </w:pPr>
      <w:r w:rsidRPr="005C3B55">
        <w:rPr>
          <w:szCs w:val="24"/>
        </w:rPr>
        <w:t>Suitable good agricultural and environmental conditions and/or prescribed management requirements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647"/>
              </w:numPr>
              <w:spacing w:before="0" w:after="0"/>
              <w:ind w:hanging="290"/>
              <w:jc w:val="left"/>
              <w:rPr>
                <w:szCs w:val="24"/>
              </w:rPr>
            </w:pPr>
            <w:r w:rsidRPr="005C3B55">
              <w:rPr>
                <w:szCs w:val="24"/>
              </w:rPr>
              <w:t>Regulation on cross-compliance, Annex 1: Rules on cross-compliance, SMR 3: Conservation of natural habitats and of wild fauna and flora: grassland areas in the areas of Natura 2000 – habitats are maintained at least once annually no later than by 15 October of the current year.</w:t>
            </w:r>
          </w:p>
          <w:p w:rsidR="00F555D6" w:rsidRPr="005C3B55" w:rsidRDefault="00F555D6" w:rsidP="00F555D6">
            <w:pPr>
              <w:numPr>
                <w:ilvl w:val="0"/>
                <w:numId w:val="647"/>
              </w:numPr>
              <w:spacing w:before="0" w:after="0"/>
              <w:ind w:hanging="290"/>
              <w:jc w:val="left"/>
              <w:rPr>
                <w:szCs w:val="24"/>
              </w:rPr>
            </w:pPr>
            <w:r w:rsidRPr="005C3B55">
              <w:rPr>
                <w:szCs w:val="24"/>
              </w:rPr>
              <w:t>Regulation on cross-compliance, Annex 1: Rules on cross-compliance, SMR 2: grassland areas in the areas of Natura 2000 – birds are maintained at least once annually no later than by 15 October of the current year.</w:t>
            </w:r>
          </w:p>
          <w:p w:rsidR="00F555D6" w:rsidRPr="005C3B55" w:rsidRDefault="00F555D6" w:rsidP="00F555D6">
            <w:pPr>
              <w:numPr>
                <w:ilvl w:val="0"/>
                <w:numId w:val="647"/>
              </w:numPr>
              <w:spacing w:before="0" w:after="240"/>
              <w:ind w:hanging="290"/>
              <w:jc w:val="left"/>
              <w:rPr>
                <w:szCs w:val="24"/>
              </w:rPr>
            </w:pPr>
            <w:r w:rsidRPr="005C3B55">
              <w:rPr>
                <w:szCs w:val="24"/>
              </w:rPr>
              <w:t>Regulation on cross-compliance, Annex 1: Rules on cross-compliance, GAEC7: agricultural land is annually cultivated at least by 15 October of the current year.</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Minimum requirements for the use of fertilisers and plant protection products</w:t>
      </w:r>
    </w:p>
    <w:p w:rsidR="00F555D6" w:rsidRPr="005C3B55" w:rsidRDefault="00F555D6" w:rsidP="00F555D6">
      <w:pPr>
        <w:spacing w:after="0"/>
        <w:rPr>
          <w:szCs w:val="24"/>
        </w:rPr>
      </w:pP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648"/>
              </w:numPr>
              <w:spacing w:before="0" w:after="0"/>
              <w:ind w:hanging="290"/>
              <w:jc w:val="left"/>
              <w:rPr>
                <w:szCs w:val="24"/>
              </w:rPr>
            </w:pPr>
            <w:r w:rsidRPr="005C3B55">
              <w:rPr>
                <w:szCs w:val="24"/>
              </w:rPr>
              <w:t>Minimum requirements for the use of fertilisers refer to the keeping of records on the use of livestock and mineral fertilisers which an agricultural holding has to keep for all agricultural land plots at the agricultural holding, and which has to include at least the quantity and type of livestock manure and mineral fertiliser, time of fertilising and data on the surface where these fertilisers are used.</w:t>
            </w:r>
          </w:p>
          <w:p w:rsidR="00F555D6" w:rsidRPr="005C3B55" w:rsidRDefault="00F555D6" w:rsidP="00F555D6">
            <w:pPr>
              <w:numPr>
                <w:ilvl w:val="0"/>
                <w:numId w:val="648"/>
              </w:numPr>
              <w:spacing w:before="0" w:after="240"/>
              <w:ind w:hanging="290"/>
              <w:jc w:val="left"/>
              <w:rPr>
                <w:szCs w:val="24"/>
              </w:rPr>
            </w:pPr>
            <w:r w:rsidRPr="005C3B55">
              <w:rPr>
                <w:szCs w:val="24"/>
              </w:rPr>
              <w:t>Minimum requirements for the use of plant protection products are not determined, since the requirements relating to the use of these products are standardised and are included in the requirements of cross-compliance.</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Other relevant national/regional requirements</w:t>
      </w:r>
    </w:p>
    <w:p w:rsidR="00F555D6" w:rsidRPr="005C3B55" w:rsidRDefault="00F555D6" w:rsidP="00F555D6">
      <w:pPr>
        <w:spacing w:after="0"/>
        <w:rPr>
          <w:szCs w:val="24"/>
        </w:rPr>
      </w:pP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649"/>
              </w:numPr>
              <w:spacing w:before="0" w:after="240"/>
              <w:ind w:hanging="290"/>
              <w:jc w:val="left"/>
              <w:rPr>
                <w:szCs w:val="24"/>
              </w:rPr>
            </w:pPr>
            <w:r w:rsidRPr="005C3B55">
              <w:rPr>
                <w:szCs w:val="24"/>
              </w:rPr>
              <w:t>Other national requirements are not prescribed.</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Minimum activities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650"/>
              </w:numPr>
              <w:spacing w:before="0" w:after="240"/>
              <w:ind w:hanging="290"/>
              <w:jc w:val="left"/>
              <w:rPr>
                <w:szCs w:val="24"/>
              </w:rPr>
            </w:pPr>
            <w:r w:rsidRPr="005C3B55">
              <w:rPr>
                <w:szCs w:val="24"/>
              </w:rPr>
              <w:t>Mowing at least once annually by 15 October of the current year is determined as a criterion for maintaining agricultural land in a state suitable for pasturing or production without the preparation measures which exceed the use of regular agricultural methods and machinery.</w:t>
            </w:r>
          </w:p>
          <w:p w:rsidR="00F555D6" w:rsidRPr="005C3B55" w:rsidRDefault="00F555D6" w:rsidP="00F555D6">
            <w:pPr>
              <w:pStyle w:val="Telobesedila"/>
              <w:rPr>
                <w:szCs w:val="24"/>
              </w:rPr>
            </w:pPr>
          </w:p>
        </w:tc>
      </w:tr>
    </w:tbl>
    <w:p w:rsidR="00F555D6" w:rsidRPr="005C3B55" w:rsidRDefault="00F555D6" w:rsidP="00F555D6">
      <w:pPr>
        <w:pStyle w:val="Naslov9"/>
        <w:tabs>
          <w:tab w:val="clear" w:pos="765"/>
        </w:tabs>
        <w:ind w:left="0" w:firstLine="0"/>
        <w:rPr>
          <w:szCs w:val="24"/>
          <w:lang w:val="en-GB"/>
        </w:rPr>
      </w:pPr>
      <w:r w:rsidRPr="005C3B55">
        <w:rPr>
          <w:noProof w:val="0"/>
          <w:szCs w:val="24"/>
          <w:lang w:val="en-GB"/>
        </w:rPr>
        <w:t>Relevant standard agricultural practices</w:t>
      </w:r>
    </w:p>
    <w:p w:rsidR="00F555D6" w:rsidRPr="005C3B55" w:rsidRDefault="00F555D6" w:rsidP="00F555D6">
      <w:pPr>
        <w:pStyle w:val="Naslov9"/>
        <w:tabs>
          <w:tab w:val="clear" w:pos="765"/>
        </w:tabs>
        <w:spacing w:before="0" w:after="0"/>
        <w:ind w:left="0" w:firstLine="0"/>
        <w:rPr>
          <w:szCs w:val="24"/>
          <w:lang w:val="en-GB"/>
        </w:rPr>
      </w:pP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In standard agricultural practice, the mowing of grassland areas is conducted over the whole meadow surface, whereby it is not usual to leave part of these areas unmown.</w:t>
            </w:r>
          </w:p>
          <w:p w:rsidR="00F555D6" w:rsidRPr="005C3B55" w:rsidRDefault="00F555D6" w:rsidP="00F555D6">
            <w:pPr>
              <w:pStyle w:val="Telobesedila"/>
              <w:rPr>
                <w:szCs w:val="24"/>
              </w:rPr>
            </w:pPr>
          </w:p>
        </w:tc>
      </w:tr>
    </w:tbl>
    <w:p w:rsidR="00F555D6" w:rsidRPr="005C3B55" w:rsidRDefault="00F555D6" w:rsidP="00F555D6">
      <w:pPr>
        <w:pStyle w:val="Naslov5"/>
        <w:tabs>
          <w:tab w:val="clear" w:pos="765"/>
        </w:tabs>
        <w:ind w:left="0" w:firstLine="0"/>
        <w:rPr>
          <w:b w:val="0"/>
          <w:szCs w:val="24"/>
          <w:lang w:val="en-GB"/>
        </w:rPr>
      </w:pPr>
      <w:r w:rsidRPr="005C3B55">
        <w:rPr>
          <w:b w:val="0"/>
          <w:szCs w:val="24"/>
          <w:lang w:val="en-GB"/>
        </w:rPr>
        <w:br w:type="page"/>
        <w:t>09.</w:t>
      </w:r>
      <w:r w:rsidRPr="005C3B55">
        <w:rPr>
          <w:b w:val="0"/>
          <w:szCs w:val="24"/>
          <w:lang w:val="en-GB"/>
        </w:rPr>
        <w:tab/>
      </w:r>
      <w:r w:rsidRPr="005C3B55">
        <w:rPr>
          <w:b w:val="0"/>
          <w:noProof w:val="0"/>
          <w:szCs w:val="24"/>
          <w:lang w:val="en-GB"/>
        </w:rPr>
        <w:t>Habitats of birds of humid extensive meadows</w:t>
      </w:r>
    </w:p>
    <w:p w:rsidR="00F555D6" w:rsidRPr="005C3B55" w:rsidRDefault="00F555D6" w:rsidP="00F555D6">
      <w:pPr>
        <w:spacing w:line="280" w:lineRule="auto"/>
        <w:rPr>
          <w:szCs w:val="24"/>
        </w:rPr>
      </w:pPr>
      <w:r w:rsidRPr="005C3B55">
        <w:rPr>
          <w:szCs w:val="24"/>
        </w:rPr>
        <w:t xml:space="preserve">Sub-measure: </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651"/>
              </w:numPr>
              <w:rPr>
                <w:szCs w:val="24"/>
              </w:rPr>
            </w:pPr>
            <w:r w:rsidRPr="005C3B55">
              <w:rPr>
                <w:szCs w:val="24"/>
              </w:rPr>
              <w:t>10.1 – Payment of agri-environment-climate commitments</w:t>
            </w: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Description of type of operation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The operation Habitats of birds of humid extensive meadows presents a change in existing practice and is implemented in Natura 2000 areas of the occurrence of birds of humid extensive meadows. The operation is intended to protect ground-nesting meadow birds.</w:t>
            </w:r>
          </w:p>
          <w:p w:rsidR="00F555D6" w:rsidRPr="005C3B55" w:rsidRDefault="00F555D6" w:rsidP="00F555D6">
            <w:pPr>
              <w:spacing w:before="240" w:after="240" w:line="280" w:lineRule="auto"/>
              <w:rPr>
                <w:szCs w:val="24"/>
              </w:rPr>
            </w:pPr>
            <w:r w:rsidRPr="005C3B55">
              <w:rPr>
                <w:szCs w:val="24"/>
              </w:rPr>
              <w:t>The operation includes one mandatory and one optional requirement. The beneficiary must implement the mandatory requirement and may also implement the optional requirement of this operation.</w:t>
            </w:r>
          </w:p>
          <w:p w:rsidR="00F555D6" w:rsidRPr="005C3B55" w:rsidRDefault="00F555D6" w:rsidP="00F555D6">
            <w:pPr>
              <w:spacing w:before="240" w:after="240" w:line="280" w:lineRule="auto"/>
              <w:rPr>
                <w:szCs w:val="24"/>
              </w:rPr>
            </w:pPr>
            <w:r w:rsidRPr="005C3B55">
              <w:rPr>
                <w:b/>
                <w:szCs w:val="24"/>
              </w:rPr>
              <w:t>A. Mandatory requirement</w:t>
            </w:r>
          </w:p>
          <w:p w:rsidR="00F555D6" w:rsidRPr="005C3B55" w:rsidRDefault="00F555D6" w:rsidP="00F555D6">
            <w:pPr>
              <w:spacing w:before="240" w:after="240" w:line="280" w:lineRule="auto"/>
              <w:rPr>
                <w:szCs w:val="24"/>
              </w:rPr>
            </w:pPr>
            <w:r w:rsidRPr="005C3B55">
              <w:rPr>
                <w:b/>
                <w:i/>
                <w:szCs w:val="24"/>
              </w:rPr>
              <w:t>VTR_KOS: Mowing is not permitted before 1 August</w:t>
            </w:r>
          </w:p>
          <w:p w:rsidR="00F555D6" w:rsidRPr="005C3B55" w:rsidRDefault="00F555D6" w:rsidP="00F555D6">
            <w:pPr>
              <w:spacing w:before="240" w:after="240" w:line="280" w:lineRule="auto"/>
              <w:rPr>
                <w:szCs w:val="24"/>
              </w:rPr>
            </w:pPr>
            <w:r w:rsidRPr="005C3B55">
              <w:rPr>
                <w:szCs w:val="24"/>
              </w:rPr>
              <w:t>The prohibition of mowing before 1 August in central areas of the occurrence of birds of extensive humid meadows is necessary to protect ground-nesting birds of humid meadows. Time limited agricultural use enables the successful building of nests and development of offspring to the age when the young can already successfully retreat to safety during mowing. The main species of this commitment is the corncrake (</w:t>
            </w:r>
            <w:r w:rsidRPr="005C3B55">
              <w:rPr>
                <w:i/>
                <w:szCs w:val="24"/>
              </w:rPr>
              <w:t>Crex crex</w:t>
            </w:r>
            <w:r w:rsidRPr="005C3B55">
              <w:rPr>
                <w:szCs w:val="24"/>
              </w:rPr>
              <w:t>); the implementation of this commitment is also beneficial for other ground-nesting birds (e.g. whinchat (</w:t>
            </w:r>
            <w:r w:rsidRPr="005C3B55">
              <w:rPr>
                <w:i/>
                <w:szCs w:val="24"/>
              </w:rPr>
              <w:t>Saxicola rubetra</w:t>
            </w:r>
            <w:r w:rsidRPr="005C3B55">
              <w:rPr>
                <w:szCs w:val="24"/>
              </w:rPr>
              <w:t>)). In addition to overgrowing which is the result of abandoning the agricultural use of land, the corn crake is seriously endangered by intensive use (premature mowing, intensive fertilisation). Meadows which are the habitat of the corn crake and other ground-nesting birds thrive on unfertilised soil which is fertilised only exceptionally. A complete prohibition of fertilisation (and consequently pasturing) is a necessary measure to preserve a suitable habitat, the Natura types and habitat types. In the implementation of the requirement, mowing must be adjusted, whereby it is important that the mowing is done from one edge of the meadow to the other or from the middle of the meadow outwards. This enables animals such as birds (corn crake, partridge, pheasant) or game animals (brown hare and deer) a safe retreat.</w:t>
            </w:r>
          </w:p>
          <w:p w:rsidR="00F555D6" w:rsidRPr="005C3B55" w:rsidRDefault="00F555D6" w:rsidP="00F555D6">
            <w:pPr>
              <w:spacing w:before="240" w:after="240" w:line="280" w:lineRule="auto"/>
              <w:rPr>
                <w:szCs w:val="24"/>
              </w:rPr>
            </w:pPr>
            <w:r w:rsidRPr="005C3B55">
              <w:rPr>
                <w:szCs w:val="24"/>
              </w:rPr>
              <w:t>Within the implementation of this requirement in areas of the occurrence of birds of humid extensive meadows, mowing is not permitted before 1 August. Fertilisation and pasture are completely prohibited. It is necessary to mow from one edge of the meadow to the other or from the middle of the meadow outwards.</w:t>
            </w:r>
          </w:p>
          <w:p w:rsidR="00F555D6" w:rsidRPr="005C3B55" w:rsidRDefault="00F555D6" w:rsidP="00F555D6">
            <w:pPr>
              <w:numPr>
                <w:ilvl w:val="0"/>
                <w:numId w:val="652"/>
              </w:numPr>
              <w:spacing w:before="240" w:after="0"/>
              <w:ind w:hanging="290"/>
              <w:jc w:val="left"/>
              <w:rPr>
                <w:szCs w:val="24"/>
              </w:rPr>
            </w:pPr>
            <w:r w:rsidRPr="005C3B55">
              <w:rPr>
                <w:szCs w:val="24"/>
              </w:rPr>
              <w:t>Livestock density: 0 to 1.5 LU/ha of grazing animals (average annual livestock density).</w:t>
            </w:r>
          </w:p>
          <w:p w:rsidR="00F555D6" w:rsidRPr="005C3B55" w:rsidRDefault="00F555D6" w:rsidP="00F555D6">
            <w:pPr>
              <w:numPr>
                <w:ilvl w:val="0"/>
                <w:numId w:val="652"/>
              </w:numPr>
              <w:spacing w:before="0" w:after="0"/>
              <w:ind w:hanging="290"/>
              <w:jc w:val="left"/>
              <w:rPr>
                <w:szCs w:val="24"/>
              </w:rPr>
            </w:pPr>
            <w:r w:rsidRPr="005C3B55">
              <w:rPr>
                <w:szCs w:val="24"/>
              </w:rPr>
              <w:t>Use: permanent grassland.</w:t>
            </w:r>
          </w:p>
          <w:p w:rsidR="00F555D6" w:rsidRPr="005C3B55" w:rsidRDefault="00F555D6" w:rsidP="00F555D6">
            <w:pPr>
              <w:numPr>
                <w:ilvl w:val="0"/>
                <w:numId w:val="652"/>
              </w:numPr>
              <w:spacing w:before="0" w:after="0"/>
              <w:ind w:hanging="290"/>
              <w:jc w:val="left"/>
              <w:rPr>
                <w:szCs w:val="24"/>
              </w:rPr>
            </w:pPr>
            <w:r w:rsidRPr="005C3B55">
              <w:rPr>
                <w:szCs w:val="24"/>
              </w:rPr>
              <w:t>Coverage: part of surfaces (at least 20% of grassland surfaces located within areas of the occurrence of birds of extensive humid meadows).</w:t>
            </w:r>
          </w:p>
          <w:p w:rsidR="00F555D6" w:rsidRPr="005C3B55" w:rsidRDefault="00F555D6" w:rsidP="00F555D6">
            <w:pPr>
              <w:numPr>
                <w:ilvl w:val="0"/>
                <w:numId w:val="652"/>
              </w:numPr>
              <w:spacing w:before="0" w:after="0"/>
              <w:ind w:hanging="290"/>
              <w:jc w:val="left"/>
              <w:rPr>
                <w:szCs w:val="24"/>
              </w:rPr>
            </w:pPr>
            <w:r w:rsidRPr="005C3B55">
              <w:rPr>
                <w:szCs w:val="24"/>
              </w:rPr>
              <w:t>Location: the same throughout the commitment.</w:t>
            </w:r>
          </w:p>
          <w:p w:rsidR="00F555D6" w:rsidRPr="005C3B55" w:rsidRDefault="00F555D6" w:rsidP="00F555D6">
            <w:pPr>
              <w:numPr>
                <w:ilvl w:val="0"/>
                <w:numId w:val="652"/>
              </w:numPr>
              <w:spacing w:before="0" w:after="240"/>
              <w:ind w:hanging="290"/>
              <w:jc w:val="left"/>
              <w:rPr>
                <w:szCs w:val="24"/>
              </w:rPr>
            </w:pPr>
            <w:r w:rsidRPr="005C3B55">
              <w:rPr>
                <w:szCs w:val="24"/>
              </w:rPr>
              <w:t>Implementation area: areas of the occurrence of birds of humid extensive meadows.</w:t>
            </w:r>
          </w:p>
          <w:p w:rsidR="00F555D6" w:rsidRPr="005C3B55" w:rsidRDefault="00F555D6" w:rsidP="00F555D6">
            <w:pPr>
              <w:spacing w:before="240" w:after="240" w:line="280" w:lineRule="auto"/>
              <w:rPr>
                <w:szCs w:val="24"/>
              </w:rPr>
            </w:pPr>
            <w:r w:rsidRPr="005C3B55">
              <w:rPr>
                <w:szCs w:val="24"/>
              </w:rPr>
              <w:t>Effects:</w:t>
            </w:r>
          </w:p>
          <w:p w:rsidR="00F555D6" w:rsidRPr="005C3B55" w:rsidRDefault="00F555D6" w:rsidP="00F555D6">
            <w:pPr>
              <w:numPr>
                <w:ilvl w:val="0"/>
                <w:numId w:val="653"/>
              </w:numPr>
              <w:spacing w:before="240" w:after="0"/>
              <w:ind w:hanging="290"/>
              <w:jc w:val="left"/>
              <w:rPr>
                <w:szCs w:val="24"/>
              </w:rPr>
            </w:pPr>
            <w:r w:rsidRPr="005C3B55">
              <w:rPr>
                <w:szCs w:val="24"/>
              </w:rPr>
              <w:t>preservation of ground-nesting meadow birds (corn crake, whinchat and other ground-nesting birds);</w:t>
            </w:r>
          </w:p>
          <w:p w:rsidR="00F555D6" w:rsidRPr="005C3B55" w:rsidRDefault="00F555D6" w:rsidP="00F555D6">
            <w:pPr>
              <w:numPr>
                <w:ilvl w:val="0"/>
                <w:numId w:val="653"/>
              </w:numPr>
              <w:spacing w:before="0" w:after="0"/>
              <w:ind w:hanging="290"/>
              <w:jc w:val="left"/>
              <w:rPr>
                <w:szCs w:val="24"/>
              </w:rPr>
            </w:pPr>
            <w:r w:rsidRPr="005C3B55">
              <w:rPr>
                <w:szCs w:val="24"/>
              </w:rPr>
              <w:t>conservation of grassland habitat types which thrive on oligotrophic soil;</w:t>
            </w:r>
          </w:p>
          <w:p w:rsidR="00F555D6" w:rsidRPr="005C3B55" w:rsidRDefault="00F555D6" w:rsidP="00F555D6">
            <w:pPr>
              <w:numPr>
                <w:ilvl w:val="0"/>
                <w:numId w:val="653"/>
              </w:numPr>
              <w:spacing w:before="0" w:after="0"/>
              <w:ind w:hanging="290"/>
              <w:jc w:val="left"/>
              <w:rPr>
                <w:szCs w:val="24"/>
              </w:rPr>
            </w:pPr>
            <w:r w:rsidRPr="005C3B55">
              <w:rPr>
                <w:szCs w:val="24"/>
              </w:rPr>
              <w:t>preserving a suitable habitat (suitable density of green cover);</w:t>
            </w:r>
          </w:p>
          <w:p w:rsidR="00F555D6" w:rsidRPr="005C3B55" w:rsidRDefault="00F555D6" w:rsidP="00F555D6">
            <w:pPr>
              <w:numPr>
                <w:ilvl w:val="0"/>
                <w:numId w:val="653"/>
              </w:numPr>
              <w:spacing w:before="0" w:after="0"/>
              <w:ind w:hanging="290"/>
              <w:jc w:val="left"/>
              <w:rPr>
                <w:szCs w:val="24"/>
              </w:rPr>
            </w:pPr>
            <w:r w:rsidRPr="005C3B55">
              <w:rPr>
                <w:szCs w:val="24"/>
              </w:rPr>
              <w:t>preventing erosion and preserving soil fertility (trampling, compaction of soil);</w:t>
            </w:r>
          </w:p>
          <w:p w:rsidR="00F555D6" w:rsidRPr="005C3B55" w:rsidRDefault="00F555D6" w:rsidP="00F555D6">
            <w:pPr>
              <w:numPr>
                <w:ilvl w:val="0"/>
                <w:numId w:val="653"/>
              </w:numPr>
              <w:spacing w:before="0" w:after="240"/>
              <w:ind w:hanging="290"/>
              <w:jc w:val="left"/>
              <w:rPr>
                <w:szCs w:val="24"/>
              </w:rPr>
            </w:pPr>
            <w:r w:rsidRPr="005C3B55">
              <w:rPr>
                <w:szCs w:val="24"/>
              </w:rPr>
              <w:t>preventing erosion and preserving soil fertility.</w:t>
            </w:r>
          </w:p>
          <w:p w:rsidR="00F555D6" w:rsidRPr="005C3B55" w:rsidRDefault="00F555D6" w:rsidP="00F555D6">
            <w:pPr>
              <w:spacing w:after="240"/>
              <w:rPr>
                <w:szCs w:val="24"/>
              </w:rPr>
            </w:pPr>
            <w:r w:rsidRPr="005C3B55">
              <w:rPr>
                <w:b/>
                <w:szCs w:val="24"/>
              </w:rPr>
              <w:t>B. Optional requirement</w:t>
            </w:r>
          </w:p>
          <w:p w:rsidR="00F555D6" w:rsidRPr="005C3B55" w:rsidRDefault="00F555D6" w:rsidP="00F555D6">
            <w:pPr>
              <w:spacing w:before="240" w:after="240" w:line="280" w:lineRule="auto"/>
              <w:rPr>
                <w:szCs w:val="24"/>
              </w:rPr>
            </w:pPr>
            <w:r w:rsidRPr="005C3B55">
              <w:rPr>
                <w:b/>
                <w:i/>
                <w:szCs w:val="24"/>
              </w:rPr>
              <w:t>VTR_NPAS: In geographical agricultural units larger than 1ha, the unmown surface of a meadow to be mown in the following year amounts to between 5 and 10% of the surface of the meadow</w:t>
            </w:r>
          </w:p>
          <w:p w:rsidR="00F555D6" w:rsidRPr="005C3B55" w:rsidRDefault="00F555D6" w:rsidP="00F555D6">
            <w:pPr>
              <w:spacing w:before="240" w:after="240" w:line="280" w:lineRule="auto"/>
              <w:rPr>
                <w:szCs w:val="24"/>
              </w:rPr>
            </w:pPr>
            <w:r w:rsidRPr="005C3B55">
              <w:rPr>
                <w:szCs w:val="24"/>
              </w:rPr>
              <w:t>Leaving surfaces unmown has positive effects on species and habitat types. The unmown surface is a donor zone for species which are affected due to agricultural use which fails to observe their ecological requirements. The unmown parts also represent an important refuge for various species of mammals, birds, butterflies and other insects. Leaving surfaces unmown over the winter is particularly important from the view of ensuring suitable conditions for successful realisation of the complete development cycle of butterflies. On unmown strips, grazing is not permitted.</w:t>
            </w:r>
          </w:p>
          <w:p w:rsidR="00F555D6" w:rsidRPr="005C3B55" w:rsidRDefault="00F555D6" w:rsidP="00F555D6">
            <w:pPr>
              <w:spacing w:before="240" w:after="240" w:line="280" w:lineRule="auto"/>
              <w:rPr>
                <w:szCs w:val="24"/>
              </w:rPr>
            </w:pPr>
            <w:r w:rsidRPr="005C3B55">
              <w:rPr>
                <w:szCs w:val="24"/>
              </w:rPr>
              <w:t>The purpose of the requirement is to stimulate good environmental practice on grassland of moderate intensity. The implementation of this requirement will further enhance the environmental and nature conservation role of these grasslands. The specifics of Slovenian grassland are great fragmentation, dynamic configuration and the connection of areas with non-agricultural applications. This requirement will contribute to maintaining a favourable status of neighbouring habitats which will be target-protected within the framework of other operations.</w:t>
            </w:r>
          </w:p>
          <w:p w:rsidR="00F555D6" w:rsidRPr="005C3B55" w:rsidRDefault="00F555D6" w:rsidP="00F555D6">
            <w:pPr>
              <w:spacing w:before="240" w:after="240" w:line="280" w:lineRule="auto"/>
              <w:rPr>
                <w:szCs w:val="24"/>
              </w:rPr>
            </w:pPr>
            <w:r w:rsidRPr="005C3B55">
              <w:rPr>
                <w:szCs w:val="24"/>
              </w:rPr>
              <w:t>Unmown surface amounting to between 5 and 10 % of the surface of a meadow may not be mown before 1 August of the following year.</w:t>
            </w:r>
          </w:p>
          <w:p w:rsidR="00F555D6" w:rsidRPr="005C3B55" w:rsidRDefault="00F555D6" w:rsidP="00F555D6">
            <w:pPr>
              <w:numPr>
                <w:ilvl w:val="0"/>
                <w:numId w:val="654"/>
              </w:numPr>
              <w:spacing w:before="240" w:after="0"/>
              <w:ind w:hanging="290"/>
              <w:jc w:val="left"/>
              <w:rPr>
                <w:szCs w:val="24"/>
              </w:rPr>
            </w:pPr>
            <w:r w:rsidRPr="005C3B55">
              <w:rPr>
                <w:szCs w:val="24"/>
              </w:rPr>
              <w:t>Livestock density: 0 to 1.5 LU/ha of grazing animals (average annual livestock density).</w:t>
            </w:r>
          </w:p>
          <w:p w:rsidR="00F555D6" w:rsidRPr="005C3B55" w:rsidRDefault="00F555D6" w:rsidP="00F555D6">
            <w:pPr>
              <w:numPr>
                <w:ilvl w:val="0"/>
                <w:numId w:val="654"/>
              </w:numPr>
              <w:spacing w:before="0" w:after="0"/>
              <w:ind w:hanging="290"/>
              <w:jc w:val="left"/>
              <w:rPr>
                <w:szCs w:val="24"/>
              </w:rPr>
            </w:pPr>
            <w:r w:rsidRPr="005C3B55">
              <w:rPr>
                <w:szCs w:val="24"/>
              </w:rPr>
              <w:t>Use: permanent grassland.</w:t>
            </w:r>
          </w:p>
          <w:p w:rsidR="00F555D6" w:rsidRPr="005C3B55" w:rsidRDefault="00F555D6" w:rsidP="00F555D6">
            <w:pPr>
              <w:numPr>
                <w:ilvl w:val="0"/>
                <w:numId w:val="654"/>
              </w:numPr>
              <w:spacing w:before="0" w:after="0"/>
              <w:ind w:hanging="290"/>
              <w:jc w:val="left"/>
              <w:rPr>
                <w:szCs w:val="24"/>
              </w:rPr>
            </w:pPr>
            <w:r w:rsidRPr="005C3B55">
              <w:rPr>
                <w:szCs w:val="24"/>
              </w:rPr>
              <w:t>Coverage: part of surfaces (at least 20 % of grassland surfaces located within areas of the occurrence of birds of extensive humid meadows).</w:t>
            </w:r>
          </w:p>
          <w:p w:rsidR="00F555D6" w:rsidRPr="005C3B55" w:rsidRDefault="00F555D6" w:rsidP="00F555D6">
            <w:pPr>
              <w:numPr>
                <w:ilvl w:val="0"/>
                <w:numId w:val="654"/>
              </w:numPr>
              <w:spacing w:before="0" w:after="0"/>
              <w:ind w:hanging="290"/>
              <w:jc w:val="left"/>
              <w:rPr>
                <w:szCs w:val="24"/>
              </w:rPr>
            </w:pPr>
            <w:r w:rsidRPr="005C3B55">
              <w:rPr>
                <w:szCs w:val="24"/>
              </w:rPr>
              <w:t>Location: the same throughout the commitment.</w:t>
            </w:r>
          </w:p>
          <w:p w:rsidR="00F555D6" w:rsidRPr="005C3B55" w:rsidRDefault="00F555D6" w:rsidP="00F555D6">
            <w:pPr>
              <w:numPr>
                <w:ilvl w:val="0"/>
                <w:numId w:val="654"/>
              </w:numPr>
              <w:spacing w:before="0" w:after="240"/>
              <w:ind w:hanging="290"/>
              <w:jc w:val="left"/>
              <w:rPr>
                <w:szCs w:val="24"/>
              </w:rPr>
            </w:pPr>
            <w:r w:rsidRPr="005C3B55">
              <w:rPr>
                <w:szCs w:val="24"/>
              </w:rPr>
              <w:t>Implementation area: ecologically important areas for birds of humid extensive meadows.</w:t>
            </w:r>
          </w:p>
          <w:p w:rsidR="00F555D6" w:rsidRPr="005C3B55" w:rsidRDefault="00F555D6" w:rsidP="00F555D6">
            <w:pPr>
              <w:spacing w:before="240" w:after="240" w:line="280" w:lineRule="auto"/>
              <w:rPr>
                <w:szCs w:val="24"/>
              </w:rPr>
            </w:pPr>
            <w:r w:rsidRPr="005C3B55">
              <w:rPr>
                <w:szCs w:val="24"/>
              </w:rPr>
              <w:t>Effects:</w:t>
            </w:r>
          </w:p>
          <w:p w:rsidR="00F555D6" w:rsidRPr="005C3B55" w:rsidRDefault="00F555D6" w:rsidP="00F555D6">
            <w:pPr>
              <w:numPr>
                <w:ilvl w:val="0"/>
                <w:numId w:val="655"/>
              </w:numPr>
              <w:spacing w:before="240" w:after="0"/>
              <w:ind w:hanging="290"/>
              <w:jc w:val="left"/>
              <w:rPr>
                <w:szCs w:val="24"/>
              </w:rPr>
            </w:pPr>
            <w:r w:rsidRPr="005C3B55">
              <w:rPr>
                <w:szCs w:val="24"/>
              </w:rPr>
              <w:t>maintaining and increasing the possibilities of survival of endangered species of insects (butterflies, grasshoppers) and other animals in meadows (conservation of biodiversity in nature);</w:t>
            </w:r>
          </w:p>
          <w:p w:rsidR="00F555D6" w:rsidRPr="005C3B55" w:rsidRDefault="00F555D6" w:rsidP="00F555D6">
            <w:pPr>
              <w:numPr>
                <w:ilvl w:val="0"/>
                <w:numId w:val="655"/>
              </w:numPr>
              <w:spacing w:before="0" w:after="0"/>
              <w:ind w:hanging="290"/>
              <w:jc w:val="left"/>
              <w:rPr>
                <w:szCs w:val="24"/>
              </w:rPr>
            </w:pPr>
            <w:r w:rsidRPr="005C3B55">
              <w:rPr>
                <w:szCs w:val="24"/>
              </w:rPr>
              <w:t>enabling the seeding of plants and preserving plant species typical of natural grassland;</w:t>
            </w:r>
          </w:p>
          <w:p w:rsidR="00F555D6" w:rsidRPr="005C3B55" w:rsidRDefault="00F555D6" w:rsidP="00F555D6">
            <w:pPr>
              <w:numPr>
                <w:ilvl w:val="0"/>
                <w:numId w:val="655"/>
              </w:numPr>
              <w:spacing w:before="0" w:after="240"/>
              <w:ind w:hanging="290"/>
              <w:jc w:val="left"/>
              <w:rPr>
                <w:szCs w:val="24"/>
              </w:rPr>
            </w:pPr>
            <w:r w:rsidRPr="005C3B55">
              <w:rPr>
                <w:szCs w:val="24"/>
              </w:rPr>
              <w:t>ensuring a favourable status of qualifying species and habitat types in Natura 2000 areas.</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Type of support</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Support for the implementation of the operation ‘Habitats of birds of humid extensive meadows’ consists of:</w:t>
            </w:r>
          </w:p>
          <w:p w:rsidR="00F555D6" w:rsidRPr="005C3B55" w:rsidRDefault="00F555D6" w:rsidP="00F555D6">
            <w:pPr>
              <w:numPr>
                <w:ilvl w:val="0"/>
                <w:numId w:val="656"/>
              </w:numPr>
              <w:spacing w:before="240" w:after="240"/>
              <w:ind w:hanging="290"/>
              <w:jc w:val="left"/>
              <w:rPr>
                <w:szCs w:val="24"/>
              </w:rPr>
            </w:pPr>
            <w:r w:rsidRPr="005C3B55">
              <w:rPr>
                <w:szCs w:val="24"/>
              </w:rPr>
              <w:t>payments per hectare for the implementation of mandatory requirements and/or one or both optional requirements of the beneficiary’s own choice.</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Connection with other legislation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The operation Habitats of birds of humid extensive meadows is connected with national and EU regulations in the field of measures of agricultural policy, agriculture, the environment, nature protection and rural development.</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Beneficiaries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Beneficiaries for payments are agricultural holdings which participate voluntarily in the implementation of the operation Habitats of birds of humid extensive meadows and meet the prescribed conditions and requirements.</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Eligible costs</w:t>
      </w:r>
    </w:p>
    <w:p w:rsidR="00F555D6" w:rsidRPr="005C3B55" w:rsidRDefault="00F555D6" w:rsidP="00F555D6">
      <w:pPr>
        <w:pStyle w:val="Naslov6"/>
        <w:tabs>
          <w:tab w:val="clear" w:pos="765"/>
        </w:tabs>
        <w:spacing w:before="0" w:after="0"/>
        <w:ind w:left="0" w:firstLine="0"/>
        <w:rPr>
          <w:szCs w:val="24"/>
          <w:lang w:val="en-GB"/>
        </w:rPr>
      </w:pP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Payments are only intended for those commitments within the operation Habitats of birds of humid extensive meadows which exceed suitable mandatory standards determined in accordance with Chapter I, Title VI of Regulation (EU) No 1306/2013, suitable criteria determined in the second indent of item c) of the first paragraph of Article 4 of Regulation (EU) No 1307/2013, and other suitable mandatory requirements from national regulations.</w:t>
            </w:r>
          </w:p>
          <w:p w:rsidR="00F555D6" w:rsidRPr="005C3B55" w:rsidRDefault="00F555D6" w:rsidP="00F555D6">
            <w:pPr>
              <w:spacing w:before="240" w:after="240" w:line="280" w:lineRule="auto"/>
              <w:rPr>
                <w:szCs w:val="24"/>
              </w:rPr>
            </w:pPr>
            <w:r w:rsidRPr="005C3B55">
              <w:rPr>
                <w:szCs w:val="24"/>
              </w:rPr>
              <w:t>Payments cover 100 per cent of the additional costs and the loss of revenue due to the assumed commitment.</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Conditions for eligibility</w:t>
      </w:r>
    </w:p>
    <w:p w:rsidR="00F555D6" w:rsidRPr="005C3B55" w:rsidRDefault="00F555D6" w:rsidP="00F555D6">
      <w:pPr>
        <w:pStyle w:val="Naslov6"/>
        <w:tabs>
          <w:tab w:val="clear" w:pos="765"/>
        </w:tabs>
        <w:spacing w:before="0" w:after="0"/>
        <w:ind w:left="0" w:firstLine="0"/>
        <w:rPr>
          <w:szCs w:val="24"/>
          <w:lang w:val="en-GB"/>
        </w:rPr>
      </w:pP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When entering the M10 measure, an agricultural holding must:</w:t>
            </w:r>
          </w:p>
          <w:p w:rsidR="00F555D6" w:rsidRPr="005C3B55" w:rsidRDefault="00F555D6" w:rsidP="00F555D6">
            <w:pPr>
              <w:numPr>
                <w:ilvl w:val="0"/>
                <w:numId w:val="657"/>
              </w:numPr>
              <w:spacing w:before="240" w:after="0"/>
              <w:ind w:hanging="290"/>
              <w:jc w:val="left"/>
              <w:rPr>
                <w:szCs w:val="24"/>
              </w:rPr>
            </w:pPr>
            <w:r w:rsidRPr="005C3B55">
              <w:rPr>
                <w:szCs w:val="24"/>
              </w:rPr>
              <w:t>have at least 1 ha of agricultural land in use as per Article 4 of Regulation (EU) No 1307/2013;</w:t>
            </w:r>
          </w:p>
          <w:p w:rsidR="00F555D6" w:rsidRPr="005C3B55" w:rsidRDefault="00F555D6" w:rsidP="00F555D6">
            <w:pPr>
              <w:numPr>
                <w:ilvl w:val="0"/>
                <w:numId w:val="657"/>
              </w:numPr>
              <w:spacing w:before="0" w:after="0"/>
              <w:ind w:hanging="290"/>
              <w:jc w:val="left"/>
              <w:rPr>
                <w:szCs w:val="24"/>
              </w:rPr>
            </w:pPr>
            <w:r w:rsidRPr="005C3B55">
              <w:rPr>
                <w:szCs w:val="24"/>
              </w:rPr>
              <w:t>be entered in the register of agricultural holdings in accordance with the regulation on the register of agricultural holdings;</w:t>
            </w:r>
          </w:p>
          <w:p w:rsidR="00F555D6" w:rsidRPr="005C3B55" w:rsidRDefault="00F555D6" w:rsidP="00F555D6">
            <w:pPr>
              <w:numPr>
                <w:ilvl w:val="0"/>
                <w:numId w:val="657"/>
              </w:numPr>
              <w:spacing w:before="0" w:after="0"/>
              <w:ind w:hanging="290"/>
              <w:jc w:val="left"/>
              <w:rPr>
                <w:szCs w:val="24"/>
              </w:rPr>
            </w:pPr>
            <w:r w:rsidRPr="005C3B55">
              <w:rPr>
                <w:szCs w:val="24"/>
              </w:rPr>
              <w:t>undergo a six-hour training programme on agri-environment-climate content;</w:t>
            </w:r>
          </w:p>
          <w:p w:rsidR="00F555D6" w:rsidRPr="005C3B55" w:rsidRDefault="00F555D6" w:rsidP="00F555D6">
            <w:pPr>
              <w:numPr>
                <w:ilvl w:val="0"/>
                <w:numId w:val="657"/>
              </w:numPr>
              <w:spacing w:before="0" w:after="240"/>
              <w:ind w:hanging="290"/>
              <w:jc w:val="left"/>
              <w:rPr>
                <w:szCs w:val="24"/>
              </w:rPr>
            </w:pPr>
            <w:r w:rsidRPr="005C3B55">
              <w:rPr>
                <w:szCs w:val="24"/>
              </w:rPr>
              <w:t>prepare an activities programme of the agricultural holding which is an electronic document prepared as a result of advisory services.</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Principles regarding the determination of selection criteria</w:t>
      </w:r>
    </w:p>
    <w:p w:rsidR="00F555D6" w:rsidRPr="005C3B55" w:rsidRDefault="00F555D6" w:rsidP="00F555D6">
      <w:pPr>
        <w:pStyle w:val="Naslov6"/>
        <w:tabs>
          <w:tab w:val="clear" w:pos="765"/>
        </w:tabs>
        <w:spacing w:before="0" w:after="0"/>
        <w:ind w:left="0" w:firstLine="0"/>
        <w:rPr>
          <w:szCs w:val="24"/>
          <w:lang w:val="en-GB"/>
        </w:rPr>
      </w:pP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The selection criteria are not relevant.</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(Valid) amounts and support rates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 xml:space="preserve">The amount of payments for requirements within the operation Habitats of birds of humid extensive meadows amounts to 100 per cent of the amount of payments calculated as per the model calculation. Two amounts for payment are defined under the requirement VTR_KOS. The following sections within ecologically important areas of the occurrence of birds of humid extensive meadows are eligible for higher payment which also includes opportunity costs: Snežnik – the Pivka River, the Reka River, the Ljubljana Marshes, the Planinsko polje Plain. </w:t>
            </w:r>
          </w:p>
          <w:p w:rsidR="00F555D6" w:rsidRPr="005C3B55" w:rsidRDefault="0012246E" w:rsidP="00F555D6">
            <w:pPr>
              <w:pStyle w:val="Telobesedila3"/>
              <w:jc w:val="center"/>
              <w:rPr>
                <w:szCs w:val="24"/>
              </w:rPr>
            </w:pPr>
            <w:r w:rsidRPr="005C3B55">
              <w:rPr>
                <w:noProof/>
                <w:szCs w:val="24"/>
                <w:lang w:val="sl-SI"/>
              </w:rPr>
              <w:drawing>
                <wp:inline distT="0" distB="0" distL="0" distR="0">
                  <wp:extent cx="4781550" cy="2181225"/>
                  <wp:effectExtent l="0" t="0" r="0" b="9525"/>
                  <wp:docPr id="1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781550" cy="2181225"/>
                          </a:xfrm>
                          <a:prstGeom prst="rect">
                            <a:avLst/>
                          </a:prstGeom>
                          <a:noFill/>
                          <a:ln>
                            <a:noFill/>
                          </a:ln>
                        </pic:spPr>
                      </pic:pic>
                    </a:graphicData>
                  </a:graphic>
                </wp:inline>
              </w:drawing>
            </w:r>
          </w:p>
          <w:p w:rsidR="00F555D6" w:rsidRPr="005C3B55" w:rsidRDefault="00F555D6" w:rsidP="00F555D6">
            <w:pPr>
              <w:pStyle w:val="Noga"/>
              <w:jc w:val="center"/>
              <w:rPr>
                <w:szCs w:val="24"/>
              </w:rPr>
            </w:pPr>
            <w:r w:rsidRPr="005C3B55">
              <w:rPr>
                <w:szCs w:val="24"/>
              </w:rPr>
              <w:t>Amount of payments for requirements within the operation Habitats of birds of humid extensive meadows</w:t>
            </w:r>
          </w:p>
          <w:p w:rsidR="00F555D6" w:rsidRPr="005C3B55" w:rsidRDefault="00F555D6" w:rsidP="00F555D6">
            <w:pPr>
              <w:pStyle w:val="Noga"/>
              <w:jc w:val="center"/>
              <w:rPr>
                <w:szCs w:val="24"/>
              </w:rPr>
            </w:pPr>
          </w:p>
        </w:tc>
      </w:tr>
    </w:tbl>
    <w:p w:rsidR="00F555D6" w:rsidRPr="005C3B55" w:rsidRDefault="00F555D6" w:rsidP="00F555D6"/>
    <w:p w:rsidR="00F555D6" w:rsidRPr="005C3B55" w:rsidRDefault="00F555D6" w:rsidP="00F555D6">
      <w:r w:rsidRPr="005C3B55">
        <w:t>Amount of payments (EUR/ha annually) for requirements within the operation ‘Habitats of birds of humid extensive meadows’</w:t>
      </w:r>
    </w:p>
    <w:tbl>
      <w:tblPr>
        <w:tblW w:w="5000" w:type="pct"/>
        <w:tblInd w:w="108"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2132"/>
        <w:gridCol w:w="2131"/>
        <w:gridCol w:w="2329"/>
        <w:gridCol w:w="1933"/>
        <w:gridCol w:w="2131"/>
      </w:tblGrid>
      <w:tr w:rsidR="00F555D6" w:rsidRPr="005C3B55">
        <w:tc>
          <w:tcPr>
            <w:tcW w:w="1000" w:type="pct"/>
            <w:tcBorders>
              <w:top w:val="single" w:sz="18" w:space="0" w:color="auto"/>
              <w:left w:val="single" w:sz="18" w:space="0" w:color="auto"/>
              <w:bottom w:val="single" w:sz="18" w:space="0" w:color="auto"/>
              <w:right w:val="single" w:sz="18" w:space="0" w:color="auto"/>
            </w:tcBorders>
            <w:shd w:val="clear" w:color="auto" w:fill="D9D9D9"/>
            <w:vAlign w:val="center"/>
          </w:tcPr>
          <w:p w:rsidR="00F555D6" w:rsidRPr="005C3B55" w:rsidRDefault="00F555D6" w:rsidP="00F555D6">
            <w:r w:rsidRPr="005C3B55">
              <w:rPr>
                <w:b/>
                <w:sz w:val="20"/>
              </w:rPr>
              <w:t>Requirement</w:t>
            </w:r>
          </w:p>
        </w:tc>
        <w:tc>
          <w:tcPr>
            <w:tcW w:w="1000" w:type="pct"/>
            <w:tcBorders>
              <w:top w:val="single" w:sz="18" w:space="0" w:color="auto"/>
              <w:left w:val="single" w:sz="18" w:space="0" w:color="auto"/>
              <w:bottom w:val="single" w:sz="18" w:space="0" w:color="auto"/>
              <w:right w:val="single" w:sz="18" w:space="0" w:color="auto"/>
            </w:tcBorders>
            <w:shd w:val="clear" w:color="auto" w:fill="D9D9D9"/>
            <w:vAlign w:val="center"/>
          </w:tcPr>
          <w:p w:rsidR="00F555D6" w:rsidRPr="005C3B55" w:rsidRDefault="00F555D6" w:rsidP="00F555D6">
            <w:pPr>
              <w:autoSpaceDE w:val="0"/>
              <w:autoSpaceDN w:val="0"/>
              <w:adjustRightInd w:val="0"/>
              <w:jc w:val="right"/>
            </w:pPr>
            <w:r w:rsidRPr="005C3B55">
              <w:rPr>
                <w:b/>
                <w:sz w:val="20"/>
              </w:rPr>
              <w:t>Calculated payment amount as per model calculation</w:t>
            </w:r>
          </w:p>
        </w:tc>
        <w:tc>
          <w:tcPr>
            <w:tcW w:w="1093" w:type="pct"/>
            <w:tcBorders>
              <w:top w:val="single" w:sz="18" w:space="0" w:color="auto"/>
              <w:left w:val="single" w:sz="18" w:space="0" w:color="auto"/>
              <w:bottom w:val="single" w:sz="18" w:space="0" w:color="auto"/>
              <w:right w:val="single" w:sz="18" w:space="0" w:color="auto"/>
            </w:tcBorders>
            <w:shd w:val="clear" w:color="auto" w:fill="D9D9D9"/>
            <w:vAlign w:val="center"/>
          </w:tcPr>
          <w:p w:rsidR="00F555D6" w:rsidRPr="005C3B55" w:rsidRDefault="00F555D6" w:rsidP="00F555D6">
            <w:pPr>
              <w:autoSpaceDE w:val="0"/>
              <w:autoSpaceDN w:val="0"/>
              <w:adjustRightInd w:val="0"/>
              <w:jc w:val="right"/>
            </w:pPr>
            <w:r w:rsidRPr="005C3B55">
              <w:rPr>
                <w:b/>
                <w:sz w:val="20"/>
              </w:rPr>
              <w:t>Highest possible payment as per Annex II to Regulation (EU) No 1305/2013</w:t>
            </w:r>
          </w:p>
        </w:tc>
        <w:tc>
          <w:tcPr>
            <w:tcW w:w="907" w:type="pct"/>
            <w:tcBorders>
              <w:top w:val="single" w:sz="18" w:space="0" w:color="auto"/>
              <w:left w:val="single" w:sz="18" w:space="0" w:color="auto"/>
              <w:bottom w:val="single" w:sz="18" w:space="0" w:color="auto"/>
              <w:right w:val="single" w:sz="18" w:space="0" w:color="auto"/>
            </w:tcBorders>
            <w:shd w:val="clear" w:color="auto" w:fill="D9D9D9"/>
            <w:vAlign w:val="center"/>
          </w:tcPr>
          <w:p w:rsidR="00F555D6" w:rsidRPr="005C3B55" w:rsidRDefault="00F555D6" w:rsidP="00F555D6">
            <w:pPr>
              <w:autoSpaceDE w:val="0"/>
              <w:autoSpaceDN w:val="0"/>
              <w:adjustRightInd w:val="0"/>
              <w:jc w:val="right"/>
            </w:pPr>
            <w:r w:rsidRPr="005C3B55">
              <w:rPr>
                <w:b/>
                <w:sz w:val="20"/>
              </w:rPr>
              <w:t>Highest possible amount</w:t>
            </w:r>
          </w:p>
        </w:tc>
        <w:tc>
          <w:tcPr>
            <w:tcW w:w="1000" w:type="pct"/>
            <w:tcBorders>
              <w:top w:val="single" w:sz="18" w:space="0" w:color="auto"/>
              <w:left w:val="single" w:sz="18" w:space="0" w:color="auto"/>
              <w:bottom w:val="single" w:sz="18" w:space="0" w:color="auto"/>
              <w:right w:val="single" w:sz="18" w:space="0" w:color="auto"/>
            </w:tcBorders>
            <w:shd w:val="clear" w:color="auto" w:fill="D9D9D9"/>
            <w:vAlign w:val="center"/>
          </w:tcPr>
          <w:p w:rsidR="00F555D6" w:rsidRPr="005C3B55" w:rsidRDefault="00F555D6" w:rsidP="00F555D6">
            <w:pPr>
              <w:jc w:val="right"/>
            </w:pPr>
            <w:r w:rsidRPr="005C3B55">
              <w:rPr>
                <w:b/>
                <w:sz w:val="20"/>
              </w:rPr>
              <w:t>Payment (100% of payment amount calculated as per model calculation)</w:t>
            </w:r>
          </w:p>
        </w:tc>
      </w:tr>
      <w:tr w:rsidR="00F555D6" w:rsidRPr="005C3B55">
        <w:tc>
          <w:tcPr>
            <w:tcW w:w="5000" w:type="pct"/>
            <w:gridSpan w:val="5"/>
            <w:tcBorders>
              <w:top w:val="single" w:sz="18" w:space="0" w:color="auto"/>
              <w:left w:val="single" w:sz="18" w:space="0" w:color="auto"/>
              <w:bottom w:val="single" w:sz="18" w:space="0" w:color="auto"/>
              <w:right w:val="single" w:sz="18" w:space="0" w:color="auto"/>
            </w:tcBorders>
            <w:shd w:val="clear" w:color="auto" w:fill="E0E0E0"/>
          </w:tcPr>
          <w:p w:rsidR="00F555D6" w:rsidRPr="005C3B55" w:rsidRDefault="00F555D6" w:rsidP="00F555D6">
            <w:r w:rsidRPr="005C3B55">
              <w:rPr>
                <w:b/>
                <w:sz w:val="20"/>
              </w:rPr>
              <w:t>A. Mandatory requirements</w:t>
            </w:r>
          </w:p>
        </w:tc>
      </w:tr>
      <w:tr w:rsidR="00F555D6" w:rsidRPr="005C3B55">
        <w:tc>
          <w:tcPr>
            <w:tcW w:w="1000" w:type="pct"/>
            <w:tcBorders>
              <w:top w:val="single" w:sz="18" w:space="0" w:color="auto"/>
              <w:left w:val="single" w:sz="18" w:space="0" w:color="auto"/>
              <w:bottom w:val="single" w:sz="18" w:space="0" w:color="auto"/>
              <w:right w:val="single" w:sz="18" w:space="0" w:color="auto"/>
            </w:tcBorders>
          </w:tcPr>
          <w:p w:rsidR="00F555D6" w:rsidRPr="005C3B55" w:rsidRDefault="00F555D6" w:rsidP="00F555D6">
            <w:pPr>
              <w:rPr>
                <w:sz w:val="20"/>
              </w:rPr>
            </w:pPr>
            <w:r w:rsidRPr="005C3B55">
              <w:rPr>
                <w:sz w:val="20"/>
              </w:rPr>
              <w:t>VTR_KOS (areas which take into account opportunity)</w:t>
            </w:r>
          </w:p>
        </w:tc>
        <w:tc>
          <w:tcPr>
            <w:tcW w:w="1000"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285.40</w:t>
            </w:r>
          </w:p>
        </w:tc>
        <w:tc>
          <w:tcPr>
            <w:tcW w:w="1093"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450</w:t>
            </w:r>
          </w:p>
        </w:tc>
        <w:tc>
          <w:tcPr>
            <w:tcW w:w="907"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285.40</w:t>
            </w:r>
          </w:p>
        </w:tc>
        <w:tc>
          <w:tcPr>
            <w:tcW w:w="1000"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285.40</w:t>
            </w:r>
          </w:p>
        </w:tc>
      </w:tr>
      <w:tr w:rsidR="00F555D6" w:rsidRPr="005C3B55">
        <w:tc>
          <w:tcPr>
            <w:tcW w:w="1000" w:type="pct"/>
            <w:tcBorders>
              <w:top w:val="single" w:sz="18" w:space="0" w:color="auto"/>
              <w:left w:val="single" w:sz="18" w:space="0" w:color="auto"/>
              <w:bottom w:val="single" w:sz="18" w:space="0" w:color="auto"/>
              <w:right w:val="single" w:sz="18" w:space="0" w:color="auto"/>
            </w:tcBorders>
          </w:tcPr>
          <w:p w:rsidR="00F555D6" w:rsidRPr="005C3B55" w:rsidRDefault="00F555D6" w:rsidP="00F555D6">
            <w:pPr>
              <w:rPr>
                <w:sz w:val="20"/>
              </w:rPr>
            </w:pPr>
            <w:r w:rsidRPr="005C3B55">
              <w:rPr>
                <w:sz w:val="20"/>
              </w:rPr>
              <w:t>VTR_KOS (other areas)</w:t>
            </w:r>
          </w:p>
        </w:tc>
        <w:tc>
          <w:tcPr>
            <w:tcW w:w="1000"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158.20</w:t>
            </w:r>
          </w:p>
        </w:tc>
        <w:tc>
          <w:tcPr>
            <w:tcW w:w="1093"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450</w:t>
            </w:r>
          </w:p>
        </w:tc>
        <w:tc>
          <w:tcPr>
            <w:tcW w:w="907"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158.20</w:t>
            </w:r>
          </w:p>
        </w:tc>
        <w:tc>
          <w:tcPr>
            <w:tcW w:w="1000"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158.20</w:t>
            </w:r>
          </w:p>
        </w:tc>
      </w:tr>
      <w:tr w:rsidR="00F555D6" w:rsidRPr="005C3B55">
        <w:tc>
          <w:tcPr>
            <w:tcW w:w="5000" w:type="pct"/>
            <w:gridSpan w:val="5"/>
            <w:tcBorders>
              <w:top w:val="single" w:sz="18" w:space="0" w:color="auto"/>
              <w:left w:val="single" w:sz="18" w:space="0" w:color="auto"/>
              <w:bottom w:val="single" w:sz="18" w:space="0" w:color="auto"/>
              <w:right w:val="single" w:sz="18" w:space="0" w:color="auto"/>
            </w:tcBorders>
            <w:shd w:val="clear" w:color="auto" w:fill="E0E0E0"/>
          </w:tcPr>
          <w:p w:rsidR="00F555D6" w:rsidRPr="005C3B55" w:rsidRDefault="00F555D6" w:rsidP="00F555D6">
            <w:r w:rsidRPr="005C3B55">
              <w:rPr>
                <w:b/>
                <w:sz w:val="20"/>
              </w:rPr>
              <w:t>B. Optional requirement</w:t>
            </w:r>
          </w:p>
        </w:tc>
      </w:tr>
      <w:tr w:rsidR="00F555D6" w:rsidRPr="005C3B55">
        <w:tc>
          <w:tcPr>
            <w:tcW w:w="1000" w:type="pct"/>
            <w:tcBorders>
              <w:top w:val="single" w:sz="18" w:space="0" w:color="auto"/>
              <w:left w:val="single" w:sz="18" w:space="0" w:color="auto"/>
              <w:bottom w:val="single" w:sz="18" w:space="0" w:color="auto"/>
              <w:right w:val="single" w:sz="18" w:space="0" w:color="auto"/>
            </w:tcBorders>
          </w:tcPr>
          <w:p w:rsidR="00F555D6" w:rsidRPr="005C3B55" w:rsidRDefault="00F555D6" w:rsidP="00F555D6">
            <w:pPr>
              <w:rPr>
                <w:sz w:val="20"/>
              </w:rPr>
            </w:pPr>
            <w:r w:rsidRPr="005C3B55">
              <w:rPr>
                <w:sz w:val="20"/>
              </w:rPr>
              <w:t>VTR_NPAS</w:t>
            </w:r>
          </w:p>
        </w:tc>
        <w:tc>
          <w:tcPr>
            <w:tcW w:w="1000" w:type="pct"/>
            <w:tcBorders>
              <w:top w:val="single" w:sz="18" w:space="0" w:color="auto"/>
              <w:left w:val="single" w:sz="18" w:space="0" w:color="auto"/>
              <w:bottom w:val="single" w:sz="18" w:space="0" w:color="auto"/>
              <w:right w:val="single" w:sz="18" w:space="0" w:color="auto"/>
            </w:tcBorders>
          </w:tcPr>
          <w:p w:rsidR="00F555D6" w:rsidRPr="005C3B55" w:rsidRDefault="00F555D6" w:rsidP="00F555D6">
            <w:pPr>
              <w:jc w:val="right"/>
              <w:rPr>
                <w:sz w:val="20"/>
              </w:rPr>
            </w:pPr>
            <w:r w:rsidRPr="005C3B55">
              <w:rPr>
                <w:sz w:val="20"/>
              </w:rPr>
              <w:t>20.10</w:t>
            </w:r>
          </w:p>
        </w:tc>
        <w:tc>
          <w:tcPr>
            <w:tcW w:w="1093" w:type="pct"/>
            <w:tcBorders>
              <w:top w:val="single" w:sz="18" w:space="0" w:color="auto"/>
              <w:left w:val="single" w:sz="18" w:space="0" w:color="auto"/>
              <w:bottom w:val="single" w:sz="18" w:space="0" w:color="auto"/>
              <w:right w:val="single" w:sz="18" w:space="0" w:color="auto"/>
            </w:tcBorders>
          </w:tcPr>
          <w:p w:rsidR="00F555D6" w:rsidRPr="005C3B55" w:rsidRDefault="00F555D6" w:rsidP="00F555D6">
            <w:pPr>
              <w:jc w:val="right"/>
              <w:rPr>
                <w:sz w:val="20"/>
              </w:rPr>
            </w:pPr>
            <w:r w:rsidRPr="005C3B55">
              <w:rPr>
                <w:sz w:val="20"/>
              </w:rPr>
              <w:t>450</w:t>
            </w:r>
          </w:p>
        </w:tc>
        <w:tc>
          <w:tcPr>
            <w:tcW w:w="907" w:type="pct"/>
            <w:tcBorders>
              <w:top w:val="single" w:sz="18" w:space="0" w:color="auto"/>
              <w:left w:val="single" w:sz="18" w:space="0" w:color="auto"/>
              <w:bottom w:val="single" w:sz="18" w:space="0" w:color="auto"/>
              <w:right w:val="single" w:sz="18" w:space="0" w:color="auto"/>
            </w:tcBorders>
          </w:tcPr>
          <w:p w:rsidR="00F555D6" w:rsidRPr="005C3B55" w:rsidRDefault="00F555D6" w:rsidP="00F555D6">
            <w:pPr>
              <w:jc w:val="right"/>
              <w:rPr>
                <w:sz w:val="20"/>
              </w:rPr>
            </w:pPr>
            <w:r w:rsidRPr="005C3B55">
              <w:rPr>
                <w:sz w:val="20"/>
              </w:rPr>
              <w:t>20.10</w:t>
            </w:r>
          </w:p>
        </w:tc>
        <w:tc>
          <w:tcPr>
            <w:tcW w:w="1000" w:type="pct"/>
            <w:tcBorders>
              <w:top w:val="single" w:sz="18" w:space="0" w:color="auto"/>
              <w:left w:val="single" w:sz="18" w:space="0" w:color="auto"/>
              <w:bottom w:val="single" w:sz="18" w:space="0" w:color="auto"/>
              <w:right w:val="single" w:sz="18" w:space="0" w:color="auto"/>
            </w:tcBorders>
          </w:tcPr>
          <w:p w:rsidR="00F555D6" w:rsidRPr="005C3B55" w:rsidRDefault="00F555D6" w:rsidP="00F555D6">
            <w:pPr>
              <w:jc w:val="right"/>
              <w:rPr>
                <w:sz w:val="20"/>
              </w:rPr>
            </w:pPr>
            <w:r w:rsidRPr="005C3B55">
              <w:rPr>
                <w:sz w:val="20"/>
              </w:rPr>
              <w:t>20.10</w:t>
            </w: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Verifiability and possibility of control of measures and/or type of operations</w:t>
      </w:r>
    </w:p>
    <w:p w:rsidR="00F555D6" w:rsidRPr="005C3B55" w:rsidRDefault="00F555D6" w:rsidP="00F555D6">
      <w:pPr>
        <w:pStyle w:val="Naslov7"/>
        <w:tabs>
          <w:tab w:val="clear" w:pos="765"/>
        </w:tabs>
        <w:ind w:left="0" w:firstLine="0"/>
        <w:rPr>
          <w:szCs w:val="24"/>
          <w:lang w:val="en-GB"/>
        </w:rPr>
      </w:pPr>
      <w:r w:rsidRPr="005C3B55">
        <w:rPr>
          <w:noProof w:val="0"/>
          <w:szCs w:val="24"/>
          <w:lang w:val="en-GB"/>
        </w:rPr>
        <w:t>Risks in the implementation of the measure</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b/>
                <w:szCs w:val="24"/>
              </w:rPr>
              <w:t>R5: Requirements which are difficult to verify and/or control</w:t>
            </w:r>
          </w:p>
          <w:p w:rsidR="00F555D6" w:rsidRPr="005C3B55" w:rsidRDefault="00F555D6" w:rsidP="00F555D6">
            <w:pPr>
              <w:spacing w:before="240" w:after="240" w:line="280" w:lineRule="auto"/>
              <w:rPr>
                <w:szCs w:val="24"/>
              </w:rPr>
            </w:pPr>
            <w:r w:rsidRPr="005C3B55">
              <w:rPr>
                <w:szCs w:val="24"/>
              </w:rPr>
              <w:t>Certain requirements cannot be fully verified administratively, while the implementation of certain requirements is difficult to verify also with on-the-spot control. Non-use of fertilisers and the manner of mowing are such requirements.</w:t>
            </w:r>
          </w:p>
          <w:p w:rsidR="00F555D6" w:rsidRPr="005C3B55" w:rsidRDefault="00F555D6" w:rsidP="00F555D6">
            <w:pPr>
              <w:spacing w:before="240" w:after="240" w:line="280" w:lineRule="auto"/>
              <w:rPr>
                <w:szCs w:val="24"/>
              </w:rPr>
            </w:pPr>
            <w:r w:rsidRPr="005C3B55">
              <w:rPr>
                <w:b/>
                <w:szCs w:val="24"/>
              </w:rPr>
              <w:t>R6: General conditions for implementation</w:t>
            </w:r>
          </w:p>
          <w:p w:rsidR="00F555D6" w:rsidRPr="005C3B55" w:rsidRDefault="00F555D6" w:rsidP="00F555D6">
            <w:pPr>
              <w:spacing w:before="240" w:after="240" w:line="280" w:lineRule="auto"/>
              <w:rPr>
                <w:szCs w:val="24"/>
              </w:rPr>
            </w:pPr>
            <w:r w:rsidRPr="005C3B55">
              <w:rPr>
                <w:szCs w:val="24"/>
              </w:rPr>
              <w:t>Ill-timed adoption of regulations which regulate payments for the M10 measure and which enable beneficiaries to be informed about the eligibility conditions for implementing this operation, and insufficient knowledge of the conditions of the operation Habitats of birds of humid extensive meadows present a risk for the implementation of this measure.</w:t>
            </w:r>
          </w:p>
          <w:p w:rsidR="00F555D6" w:rsidRPr="005C3B55" w:rsidRDefault="00F555D6" w:rsidP="00F555D6">
            <w:pPr>
              <w:spacing w:before="240" w:after="240" w:line="280" w:lineRule="auto"/>
              <w:rPr>
                <w:szCs w:val="24"/>
              </w:rPr>
            </w:pPr>
            <w:r w:rsidRPr="005C3B55">
              <w:rPr>
                <w:b/>
                <w:szCs w:val="24"/>
              </w:rPr>
              <w:t>R8: IT systems</w:t>
            </w:r>
          </w:p>
          <w:p w:rsidR="00F555D6" w:rsidRPr="005C3B55" w:rsidRDefault="00F555D6" w:rsidP="00F555D6">
            <w:pPr>
              <w:spacing w:before="240" w:after="240" w:line="280" w:lineRule="auto"/>
              <w:rPr>
                <w:szCs w:val="24"/>
              </w:rPr>
            </w:pPr>
            <w:r w:rsidRPr="005C3B55">
              <w:rPr>
                <w:szCs w:val="24"/>
              </w:rPr>
              <w:t>Unsuitable arrangement of certain databases when entering the verification system and consequently insufficient administrative controls when entering the operation Habitats of birds of humid extensive meadows.</w:t>
            </w:r>
          </w:p>
          <w:p w:rsidR="00F555D6" w:rsidRPr="005C3B55" w:rsidRDefault="00F555D6" w:rsidP="00F555D6">
            <w:pPr>
              <w:spacing w:before="240" w:after="240" w:line="280" w:lineRule="auto"/>
              <w:rPr>
                <w:szCs w:val="24"/>
              </w:rPr>
            </w:pPr>
            <w:r w:rsidRPr="005C3B55">
              <w:rPr>
                <w:b/>
                <w:szCs w:val="24"/>
              </w:rPr>
              <w:t>R9: Requests for payment</w:t>
            </w:r>
          </w:p>
          <w:p w:rsidR="00F555D6" w:rsidRPr="005C3B55" w:rsidRDefault="00F555D6" w:rsidP="00F555D6">
            <w:pPr>
              <w:spacing w:before="240" w:after="240" w:line="280" w:lineRule="auto"/>
              <w:rPr>
                <w:szCs w:val="24"/>
              </w:rPr>
            </w:pPr>
            <w:r w:rsidRPr="005C3B55">
              <w:rPr>
                <w:szCs w:val="24"/>
              </w:rPr>
              <w:t>Lack of, and delayed, information and insufficient knowledge of the operation ‘Habitats of birds of humid extensive meadows’, poor familiarisation with the procedure for submitting the application and the beneficiary’s incorrect reporting about the size of surfaces.</w:t>
            </w:r>
          </w:p>
          <w:p w:rsidR="00F555D6" w:rsidRPr="005C3B55" w:rsidRDefault="00F555D6" w:rsidP="00F555D6">
            <w:pPr>
              <w:pStyle w:val="Telobesedila"/>
              <w:rPr>
                <w:szCs w:val="24"/>
              </w:rPr>
            </w:pPr>
          </w:p>
        </w:tc>
      </w:tr>
    </w:tbl>
    <w:p w:rsidR="00F555D6" w:rsidRPr="005C3B55" w:rsidRDefault="00F555D6" w:rsidP="00F555D6">
      <w:pPr>
        <w:pStyle w:val="Naslov7"/>
        <w:tabs>
          <w:tab w:val="clear" w:pos="765"/>
        </w:tabs>
        <w:ind w:left="0" w:firstLine="0"/>
        <w:rPr>
          <w:szCs w:val="24"/>
          <w:lang w:val="en-GB"/>
        </w:rPr>
      </w:pPr>
      <w:r w:rsidRPr="005C3B55">
        <w:rPr>
          <w:noProof w:val="0"/>
          <w:szCs w:val="24"/>
          <w:lang w:val="en-GB"/>
        </w:rPr>
        <w:t>Mitigation measures</w:t>
      </w:r>
    </w:p>
    <w:p w:rsidR="00F555D6" w:rsidRPr="005C3B55" w:rsidRDefault="00F555D6" w:rsidP="00F555D6">
      <w:pPr>
        <w:pStyle w:val="Naslov7"/>
        <w:tabs>
          <w:tab w:val="clear" w:pos="765"/>
        </w:tabs>
        <w:spacing w:before="0" w:after="0"/>
        <w:ind w:left="0" w:firstLine="0"/>
        <w:rPr>
          <w:szCs w:val="24"/>
          <w:lang w:val="en-GB"/>
        </w:rPr>
      </w:pP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b/>
                <w:szCs w:val="24"/>
              </w:rPr>
              <w:t>R5: Requirements which are difficult to verify and/or control</w:t>
            </w:r>
          </w:p>
          <w:p w:rsidR="00F555D6" w:rsidRPr="005C3B55" w:rsidRDefault="00F555D6" w:rsidP="00F555D6">
            <w:pPr>
              <w:spacing w:before="240" w:after="240" w:line="280" w:lineRule="auto"/>
              <w:rPr>
                <w:szCs w:val="24"/>
              </w:rPr>
            </w:pPr>
            <w:r w:rsidRPr="005C3B55">
              <w:rPr>
                <w:szCs w:val="24"/>
              </w:rPr>
              <w:t>Administrative control will be upgraded accordingly for certain requirements (to control the number of animals and to integrate a suitable share of surfaces into the operation).</w:t>
            </w:r>
          </w:p>
          <w:p w:rsidR="00F555D6" w:rsidRPr="005C3B55" w:rsidRDefault="00F555D6" w:rsidP="00F555D6">
            <w:pPr>
              <w:spacing w:before="240" w:after="240" w:line="280" w:lineRule="auto"/>
              <w:rPr>
                <w:szCs w:val="24"/>
              </w:rPr>
            </w:pPr>
            <w:r w:rsidRPr="005C3B55">
              <w:rPr>
                <w:szCs w:val="24"/>
              </w:rPr>
              <w:t>Requirements for implementing the M10 measure which cannot be verified administratively will be verified or controlled on the spot, which will observe the temporal component when implementing verification, the situation on the agricultural holding reviewed, schemes of strips, verifications on the basis of records and non-presence of completely prohibited products.</w:t>
            </w:r>
          </w:p>
          <w:p w:rsidR="00F555D6" w:rsidRPr="005C3B55" w:rsidRDefault="00F555D6" w:rsidP="00F555D6">
            <w:pPr>
              <w:spacing w:before="240" w:after="240" w:line="280" w:lineRule="auto"/>
              <w:rPr>
                <w:szCs w:val="24"/>
              </w:rPr>
            </w:pPr>
            <w:r w:rsidRPr="005C3B55">
              <w:rPr>
                <w:b/>
                <w:szCs w:val="24"/>
              </w:rPr>
              <w:t>R6: General conditions for implementation</w:t>
            </w:r>
          </w:p>
          <w:p w:rsidR="00F555D6" w:rsidRPr="005C3B55" w:rsidRDefault="00F555D6" w:rsidP="00F555D6">
            <w:pPr>
              <w:spacing w:before="240" w:after="240" w:line="280" w:lineRule="auto"/>
              <w:rPr>
                <w:szCs w:val="24"/>
              </w:rPr>
            </w:pPr>
            <w:r w:rsidRPr="005C3B55">
              <w:rPr>
                <w:szCs w:val="24"/>
              </w:rPr>
              <w:t>Prior to entering in the operation Habitats of birds of humid extensive meadows, a beneficiary will have to undergo a mandatory six-hour training which is one of the eligibility conditions. At the training, the beneficiary will become acquainted with the eligibility conditions for entering in the operation and requirements for implementing the operation, including the Rural Development Programme 2014–2020 and the national regulation regulating payments for the M10 measure.</w:t>
            </w:r>
          </w:p>
          <w:p w:rsidR="00F555D6" w:rsidRPr="005C3B55" w:rsidRDefault="00F555D6" w:rsidP="00F555D6">
            <w:pPr>
              <w:spacing w:before="240" w:after="240" w:line="280" w:lineRule="auto"/>
              <w:rPr>
                <w:szCs w:val="24"/>
              </w:rPr>
            </w:pPr>
            <w:r w:rsidRPr="005C3B55">
              <w:rPr>
                <w:szCs w:val="24"/>
              </w:rPr>
              <w:t>After the training, the beneficiary will be able to prepare a programme of activities of the agricultural holding in which it will determine which operation and requirements within the M10 measure it will implement.</w:t>
            </w:r>
          </w:p>
          <w:p w:rsidR="00F555D6" w:rsidRPr="005C3B55" w:rsidRDefault="00F555D6" w:rsidP="00F555D6">
            <w:pPr>
              <w:spacing w:before="240" w:after="240" w:line="280" w:lineRule="auto"/>
              <w:rPr>
                <w:szCs w:val="24"/>
              </w:rPr>
            </w:pPr>
            <w:r w:rsidRPr="005C3B55">
              <w:rPr>
                <w:b/>
                <w:szCs w:val="24"/>
              </w:rPr>
              <w:t>R8: IT systems</w:t>
            </w:r>
          </w:p>
          <w:p w:rsidR="00F555D6" w:rsidRPr="005C3B55" w:rsidRDefault="00F555D6" w:rsidP="00F555D6">
            <w:pPr>
              <w:spacing w:before="240" w:after="240" w:line="280" w:lineRule="auto"/>
              <w:rPr>
                <w:szCs w:val="24"/>
              </w:rPr>
            </w:pPr>
            <w:r w:rsidRPr="005C3B55">
              <w:rPr>
                <w:szCs w:val="24"/>
              </w:rPr>
              <w:t>Suitable connections will be established and certain databases arranged (registers, records, suitability of combinations of requirements within or between operations, and suitable integration of surfaces in the requirements of this operation).</w:t>
            </w:r>
          </w:p>
          <w:p w:rsidR="00F555D6" w:rsidRPr="005C3B55" w:rsidRDefault="00F555D6" w:rsidP="00F555D6">
            <w:pPr>
              <w:spacing w:before="240" w:after="240" w:line="280" w:lineRule="auto"/>
              <w:rPr>
                <w:szCs w:val="24"/>
              </w:rPr>
            </w:pPr>
            <w:r w:rsidRPr="005C3B55">
              <w:rPr>
                <w:szCs w:val="24"/>
              </w:rPr>
              <w:t>An application enabling cross-checking of data from different databases will be established.</w:t>
            </w:r>
          </w:p>
          <w:p w:rsidR="00F555D6" w:rsidRPr="005C3B55" w:rsidRDefault="00F555D6" w:rsidP="00F555D6">
            <w:pPr>
              <w:spacing w:before="240" w:after="240" w:line="280" w:lineRule="auto"/>
              <w:rPr>
                <w:szCs w:val="24"/>
              </w:rPr>
            </w:pPr>
            <w:r w:rsidRPr="005C3B55">
              <w:rPr>
                <w:b/>
                <w:szCs w:val="24"/>
              </w:rPr>
              <w:t>R9: Requests for payment</w:t>
            </w:r>
          </w:p>
          <w:p w:rsidR="00F555D6" w:rsidRPr="005C3B55" w:rsidRDefault="00F555D6" w:rsidP="00F555D6">
            <w:pPr>
              <w:spacing w:before="240" w:after="240" w:line="280" w:lineRule="auto"/>
              <w:rPr>
                <w:szCs w:val="24"/>
              </w:rPr>
            </w:pPr>
            <w:r w:rsidRPr="005C3B55">
              <w:rPr>
                <w:szCs w:val="24"/>
              </w:rPr>
              <w:t>Mandatory annual four-hour training and mandatory use of advisory services at least once in the first three years of the commitment are introduced in order for beneficiaries to be suitably informed about all conditions and requirements for the implementation of the M10 measure. Regular annual informing of beneficiaries about their commitments related to the implementation of the M10 measure as part of the annual campaign for implementing requests for agricultural policy measures during the year and also within the scope of specific and purpose-oriented informing of beneficiaries is envisaged</w:t>
            </w:r>
            <w:r w:rsidRPr="005C3B55">
              <w:rPr>
                <w:rFonts w:ascii="TimesNewRoman" w:hAnsi="TimesNewRoman"/>
                <w:szCs w:val="24"/>
              </w:rPr>
              <w:t>.</w:t>
            </w:r>
          </w:p>
          <w:p w:rsidR="00F555D6" w:rsidRPr="005C3B55" w:rsidRDefault="00F555D6" w:rsidP="00F555D6">
            <w:pPr>
              <w:spacing w:before="240" w:after="240" w:line="280" w:lineRule="auto"/>
              <w:rPr>
                <w:szCs w:val="24"/>
              </w:rPr>
            </w:pPr>
            <w:r w:rsidRPr="005C3B55">
              <w:rPr>
                <w:szCs w:val="24"/>
              </w:rPr>
              <w:t>The request for payment will be submitted electronically on prescribed forms by means of which a beneficiary will define for which requirements within individual operations of the M10 measure it will request the payment.</w:t>
            </w:r>
          </w:p>
          <w:p w:rsidR="00F555D6" w:rsidRPr="005C3B55" w:rsidRDefault="00F555D6" w:rsidP="00F555D6">
            <w:pPr>
              <w:spacing w:before="240" w:after="240" w:line="280" w:lineRule="auto"/>
              <w:rPr>
                <w:szCs w:val="24"/>
              </w:rPr>
            </w:pPr>
            <w:r w:rsidRPr="005C3B55">
              <w:rPr>
                <w:szCs w:val="24"/>
              </w:rPr>
              <w:t>The upgrading of the IT system for control will be implemented, which will allow certain verifications and controls already upon the submission of the request for payment (suitability of use and size of surface, suitability of areas, suitability of combinations of requests and operations, and suitable integration of surfaces in the requirements of this operation).</w:t>
            </w:r>
          </w:p>
          <w:p w:rsidR="00F555D6" w:rsidRPr="005C3B55" w:rsidRDefault="00F555D6" w:rsidP="00F555D6">
            <w:pPr>
              <w:spacing w:before="240" w:after="240" w:line="280" w:lineRule="auto"/>
              <w:rPr>
                <w:szCs w:val="24"/>
              </w:rPr>
            </w:pPr>
            <w:r w:rsidRPr="005C3B55">
              <w:rPr>
                <w:szCs w:val="24"/>
              </w:rPr>
              <w:t>If a beneficiary fails to meet the eligibility conditions for entering the M10 measure, they will be alerted to the shortcomings which they will be able to eliminate by the prescribed deadline; otherwise, it will not be possible to submit a request for payment.</w:t>
            </w:r>
          </w:p>
          <w:p w:rsidR="00F555D6" w:rsidRPr="005C3B55" w:rsidRDefault="00F555D6" w:rsidP="00F555D6">
            <w:pPr>
              <w:spacing w:before="240" w:after="240" w:line="280" w:lineRule="auto"/>
              <w:rPr>
                <w:szCs w:val="24"/>
              </w:rPr>
            </w:pPr>
            <w:r w:rsidRPr="005C3B55">
              <w:rPr>
                <w:szCs w:val="24"/>
              </w:rPr>
              <w:t>Unpermitted combinations of requirements within the operation Habitats of birds of humid extensive meadows and required combinations of requirements of this operation within other operations of the M10 measure will be disabled.</w:t>
            </w:r>
          </w:p>
          <w:p w:rsidR="00F555D6" w:rsidRPr="005C3B55" w:rsidRDefault="00F555D6" w:rsidP="00F555D6">
            <w:pPr>
              <w:spacing w:before="240" w:after="240" w:line="280" w:lineRule="auto"/>
              <w:rPr>
                <w:szCs w:val="24"/>
              </w:rPr>
            </w:pPr>
            <w:r w:rsidRPr="005C3B55">
              <w:rPr>
                <w:szCs w:val="24"/>
              </w:rPr>
              <w:t>A beneficiary who will also be included in the implementation of the M11 measure will not have the opportunity to submit the request for unauthorised combinations of this measure with the M10 measure.</w:t>
            </w:r>
          </w:p>
          <w:p w:rsidR="00F555D6" w:rsidRPr="005C3B55" w:rsidRDefault="00F555D6" w:rsidP="00F555D6">
            <w:pPr>
              <w:pStyle w:val="Telobesedila"/>
              <w:rPr>
                <w:szCs w:val="24"/>
              </w:rPr>
            </w:pPr>
          </w:p>
        </w:tc>
      </w:tr>
    </w:tbl>
    <w:p w:rsidR="00F555D6" w:rsidRPr="005C3B55" w:rsidRDefault="00F555D6" w:rsidP="00F555D6">
      <w:pPr>
        <w:pStyle w:val="Naslov7"/>
        <w:tabs>
          <w:tab w:val="clear" w:pos="765"/>
        </w:tabs>
        <w:ind w:left="0" w:firstLine="0"/>
        <w:rPr>
          <w:szCs w:val="24"/>
          <w:lang w:val="en-GB"/>
        </w:rPr>
      </w:pPr>
      <w:r w:rsidRPr="005C3B55">
        <w:rPr>
          <w:noProof w:val="0"/>
          <w:szCs w:val="24"/>
          <w:lang w:val="en-GB"/>
        </w:rPr>
        <w:t>General assessment of the measure</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 xml:space="preserve">Described in Chapter </w:t>
            </w:r>
            <w:r w:rsidRPr="005C3B55">
              <w:rPr>
                <w:i/>
                <w:szCs w:val="24"/>
              </w:rPr>
              <w:t>8.2.9.4.3 General assessment of the measure</w:t>
            </w:r>
            <w:r w:rsidRPr="005C3B55">
              <w:rPr>
                <w:szCs w:val="24"/>
              </w:rPr>
              <w:t>.</w:t>
            </w:r>
          </w:p>
          <w:p w:rsidR="00F555D6" w:rsidRPr="005C3B55" w:rsidRDefault="00F555D6" w:rsidP="00F555D6">
            <w:pPr>
              <w:pStyle w:val="Telobesedila"/>
              <w:rPr>
                <w:szCs w:val="24"/>
              </w:rPr>
            </w:pPr>
          </w:p>
        </w:tc>
      </w:tr>
    </w:tbl>
    <w:p w:rsidR="00F555D6" w:rsidRPr="005C3B55" w:rsidRDefault="00F555D6" w:rsidP="00F555D6">
      <w:pPr>
        <w:pStyle w:val="Naslov7"/>
        <w:tabs>
          <w:tab w:val="clear" w:pos="765"/>
        </w:tabs>
        <w:ind w:left="0" w:firstLine="0"/>
        <w:rPr>
          <w:szCs w:val="24"/>
          <w:lang w:val="en-GB"/>
        </w:rPr>
      </w:pPr>
      <w:r w:rsidRPr="005C3B55">
        <w:rPr>
          <w:noProof w:val="0"/>
          <w:szCs w:val="24"/>
          <w:lang w:val="en-GB"/>
        </w:rPr>
        <w:t>Agri-environment-climate commitments</w:t>
      </w:r>
    </w:p>
    <w:p w:rsidR="00F555D6" w:rsidRPr="005C3B55" w:rsidRDefault="00F555D6" w:rsidP="00F555D6">
      <w:pPr>
        <w:pStyle w:val="Naslov8"/>
        <w:tabs>
          <w:tab w:val="clear" w:pos="765"/>
        </w:tabs>
        <w:ind w:left="0" w:firstLine="0"/>
        <w:rPr>
          <w:b w:val="0"/>
          <w:szCs w:val="24"/>
          <w:lang w:val="en-GB"/>
        </w:rPr>
      </w:pPr>
      <w:r w:rsidRPr="005C3B55">
        <w:rPr>
          <w:b w:val="0"/>
          <w:noProof w:val="0"/>
          <w:szCs w:val="24"/>
          <w:lang w:val="en-GB"/>
        </w:rPr>
        <w:t>VTR_KOS:</w:t>
      </w:r>
      <w:r w:rsidRPr="005C3B55">
        <w:rPr>
          <w:b w:val="0"/>
          <w:szCs w:val="24"/>
          <w:lang w:val="en-GB"/>
        </w:rPr>
        <w:t xml:space="preserve"> </w:t>
      </w:r>
      <w:r w:rsidRPr="005C3B55">
        <w:rPr>
          <w:b w:val="0"/>
          <w:noProof w:val="0"/>
          <w:szCs w:val="24"/>
          <w:lang w:val="en-GB"/>
        </w:rPr>
        <w:t>Mowing is not permitted before 1 August</w:t>
      </w:r>
    </w:p>
    <w:p w:rsidR="00F555D6" w:rsidRPr="005C3B55" w:rsidRDefault="00F555D6" w:rsidP="00F555D6">
      <w:pPr>
        <w:pStyle w:val="Naslov9"/>
        <w:tabs>
          <w:tab w:val="clear" w:pos="765"/>
        </w:tabs>
        <w:ind w:left="0" w:firstLine="0"/>
        <w:rPr>
          <w:szCs w:val="24"/>
          <w:lang w:val="en-GB"/>
        </w:rPr>
      </w:pPr>
      <w:r w:rsidRPr="005C3B55">
        <w:rPr>
          <w:noProof w:val="0"/>
          <w:szCs w:val="24"/>
          <w:lang w:val="en-GB"/>
        </w:rPr>
        <w:t>Methods of commitment verification</w:t>
      </w:r>
    </w:p>
    <w:p w:rsidR="00F555D6" w:rsidRPr="005C3B55" w:rsidRDefault="00F555D6" w:rsidP="00F555D6">
      <w:pPr>
        <w:pStyle w:val="Naslov9"/>
        <w:tabs>
          <w:tab w:val="clear" w:pos="765"/>
        </w:tabs>
        <w:spacing w:before="0" w:after="0"/>
        <w:ind w:left="0" w:firstLine="0"/>
        <w:rPr>
          <w:szCs w:val="24"/>
          <w:lang w:val="en-GB"/>
        </w:rPr>
      </w:pP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Administrative control:</w:t>
            </w:r>
          </w:p>
          <w:p w:rsidR="00F555D6" w:rsidRPr="005C3B55" w:rsidRDefault="00F555D6" w:rsidP="00F555D6">
            <w:pPr>
              <w:numPr>
                <w:ilvl w:val="0"/>
                <w:numId w:val="658"/>
              </w:numPr>
              <w:spacing w:before="240" w:after="0"/>
              <w:ind w:hanging="290"/>
              <w:jc w:val="left"/>
              <w:rPr>
                <w:szCs w:val="24"/>
              </w:rPr>
            </w:pPr>
            <w:r w:rsidRPr="005C3B55">
              <w:rPr>
                <w:szCs w:val="24"/>
              </w:rPr>
              <w:t>control of livestock density through collective applications, registers, registers of farm animals;</w:t>
            </w:r>
          </w:p>
          <w:p w:rsidR="00F555D6" w:rsidRPr="005C3B55" w:rsidRDefault="00F555D6" w:rsidP="00F555D6">
            <w:pPr>
              <w:numPr>
                <w:ilvl w:val="0"/>
                <w:numId w:val="658"/>
              </w:numPr>
              <w:spacing w:before="0" w:after="0"/>
              <w:ind w:hanging="290"/>
              <w:jc w:val="left"/>
              <w:rPr>
                <w:szCs w:val="24"/>
              </w:rPr>
            </w:pPr>
            <w:r w:rsidRPr="005C3B55">
              <w:rPr>
                <w:szCs w:val="24"/>
              </w:rPr>
              <w:t>suitability of the area through the register of agricultural holdings;</w:t>
            </w:r>
          </w:p>
          <w:p w:rsidR="00F555D6" w:rsidRPr="005C3B55" w:rsidRDefault="00F555D6" w:rsidP="00F555D6">
            <w:pPr>
              <w:numPr>
                <w:ilvl w:val="0"/>
                <w:numId w:val="658"/>
              </w:numPr>
              <w:spacing w:before="0" w:after="240"/>
              <w:ind w:hanging="290"/>
              <w:jc w:val="left"/>
              <w:rPr>
                <w:szCs w:val="24"/>
              </w:rPr>
            </w:pPr>
            <w:r w:rsidRPr="005C3B55">
              <w:rPr>
                <w:szCs w:val="24"/>
              </w:rPr>
              <w:t>suitability of the agricultural plant through collective application.</w:t>
            </w:r>
          </w:p>
          <w:p w:rsidR="00F555D6" w:rsidRPr="005C3B55" w:rsidRDefault="00F555D6" w:rsidP="00F555D6">
            <w:pPr>
              <w:spacing w:before="240" w:after="240" w:line="280" w:lineRule="auto"/>
              <w:rPr>
                <w:szCs w:val="24"/>
              </w:rPr>
            </w:pPr>
            <w:r w:rsidRPr="005C3B55">
              <w:rPr>
                <w:szCs w:val="24"/>
              </w:rPr>
              <w:t>Registers/records:</w:t>
            </w:r>
          </w:p>
          <w:p w:rsidR="00F555D6" w:rsidRPr="005C3B55" w:rsidRDefault="00F555D6" w:rsidP="00F555D6">
            <w:pPr>
              <w:numPr>
                <w:ilvl w:val="0"/>
                <w:numId w:val="659"/>
              </w:numPr>
              <w:spacing w:before="240" w:after="0"/>
              <w:ind w:hanging="290"/>
              <w:jc w:val="left"/>
              <w:rPr>
                <w:szCs w:val="24"/>
              </w:rPr>
            </w:pPr>
            <w:r w:rsidRPr="005C3B55">
              <w:rPr>
                <w:szCs w:val="24"/>
              </w:rPr>
              <w:t>register of agricultural holdings;</w:t>
            </w:r>
          </w:p>
          <w:p w:rsidR="00F555D6" w:rsidRPr="005C3B55" w:rsidRDefault="00F555D6" w:rsidP="00F555D6">
            <w:pPr>
              <w:numPr>
                <w:ilvl w:val="0"/>
                <w:numId w:val="659"/>
              </w:numPr>
              <w:spacing w:before="0" w:after="0"/>
              <w:ind w:hanging="290"/>
              <w:jc w:val="left"/>
              <w:rPr>
                <w:szCs w:val="24"/>
              </w:rPr>
            </w:pPr>
            <w:r w:rsidRPr="005C3B55">
              <w:rPr>
                <w:szCs w:val="24"/>
              </w:rPr>
              <w:t>registers, registers of farm animals;</w:t>
            </w:r>
          </w:p>
          <w:p w:rsidR="00F555D6" w:rsidRPr="005C3B55" w:rsidRDefault="00F555D6" w:rsidP="00F555D6">
            <w:pPr>
              <w:numPr>
                <w:ilvl w:val="0"/>
                <w:numId w:val="659"/>
              </w:numPr>
              <w:spacing w:before="0" w:after="0"/>
              <w:ind w:hanging="290"/>
              <w:jc w:val="left"/>
              <w:rPr>
                <w:szCs w:val="24"/>
              </w:rPr>
            </w:pPr>
            <w:r w:rsidRPr="005C3B55">
              <w:rPr>
                <w:szCs w:val="24"/>
              </w:rPr>
              <w:t>graphical agricultural unit of agricultural holding (GERK);</w:t>
            </w:r>
          </w:p>
          <w:p w:rsidR="00F555D6" w:rsidRPr="005C3B55" w:rsidRDefault="00F555D6" w:rsidP="00F555D6">
            <w:pPr>
              <w:numPr>
                <w:ilvl w:val="0"/>
                <w:numId w:val="659"/>
              </w:numPr>
              <w:spacing w:before="0" w:after="240"/>
              <w:ind w:hanging="290"/>
              <w:jc w:val="left"/>
              <w:rPr>
                <w:szCs w:val="24"/>
              </w:rPr>
            </w:pPr>
            <w:r w:rsidRPr="005C3B55">
              <w:rPr>
                <w:szCs w:val="24"/>
              </w:rPr>
              <w:t>graphic layer of the area of the occurrence of birds of humid extensive meadows.</w:t>
            </w:r>
          </w:p>
          <w:p w:rsidR="00F555D6" w:rsidRPr="005C3B55" w:rsidRDefault="00F555D6" w:rsidP="00F555D6">
            <w:pPr>
              <w:spacing w:before="240" w:after="240" w:line="280" w:lineRule="auto"/>
              <w:rPr>
                <w:szCs w:val="24"/>
              </w:rPr>
            </w:pPr>
            <w:r w:rsidRPr="005C3B55">
              <w:rPr>
                <w:szCs w:val="24"/>
              </w:rPr>
              <w:t>On-site control:</w:t>
            </w:r>
          </w:p>
          <w:p w:rsidR="00F555D6" w:rsidRPr="005C3B55" w:rsidRDefault="00F555D6" w:rsidP="00F555D6">
            <w:pPr>
              <w:numPr>
                <w:ilvl w:val="0"/>
                <w:numId w:val="660"/>
              </w:numPr>
              <w:spacing w:before="240" w:after="0"/>
              <w:ind w:hanging="290"/>
              <w:jc w:val="left"/>
              <w:rPr>
                <w:szCs w:val="24"/>
              </w:rPr>
            </w:pPr>
            <w:r w:rsidRPr="005C3B55">
              <w:rPr>
                <w:szCs w:val="24"/>
              </w:rPr>
              <w:t>records on works;</w:t>
            </w:r>
          </w:p>
          <w:p w:rsidR="00F555D6" w:rsidRPr="005C3B55" w:rsidRDefault="00F555D6" w:rsidP="00F555D6">
            <w:pPr>
              <w:numPr>
                <w:ilvl w:val="0"/>
                <w:numId w:val="660"/>
              </w:numPr>
              <w:spacing w:before="0" w:after="0"/>
              <w:ind w:hanging="290"/>
              <w:jc w:val="left"/>
              <w:rPr>
                <w:szCs w:val="24"/>
              </w:rPr>
            </w:pPr>
            <w:r w:rsidRPr="005C3B55">
              <w:rPr>
                <w:szCs w:val="24"/>
              </w:rPr>
              <w:t>control of livestock density by counting animals and reviewing surfaces;</w:t>
            </w:r>
          </w:p>
          <w:p w:rsidR="00F555D6" w:rsidRPr="005C3B55" w:rsidRDefault="00F555D6" w:rsidP="00F555D6">
            <w:pPr>
              <w:numPr>
                <w:ilvl w:val="0"/>
                <w:numId w:val="660"/>
              </w:numPr>
              <w:spacing w:before="0" w:after="0"/>
              <w:ind w:hanging="290"/>
              <w:jc w:val="left"/>
              <w:rPr>
                <w:szCs w:val="24"/>
              </w:rPr>
            </w:pPr>
            <w:r w:rsidRPr="005C3B55">
              <w:rPr>
                <w:szCs w:val="24"/>
              </w:rPr>
              <w:t>scheme of a meadow;</w:t>
            </w:r>
          </w:p>
          <w:p w:rsidR="00F555D6" w:rsidRPr="005C3B55" w:rsidRDefault="00F555D6" w:rsidP="00F555D6">
            <w:pPr>
              <w:numPr>
                <w:ilvl w:val="0"/>
                <w:numId w:val="660"/>
              </w:numPr>
              <w:spacing w:before="0" w:after="240"/>
              <w:ind w:hanging="290"/>
              <w:jc w:val="left"/>
              <w:rPr>
                <w:szCs w:val="24"/>
              </w:rPr>
            </w:pPr>
            <w:r w:rsidRPr="005C3B55">
              <w:rPr>
                <w:szCs w:val="24"/>
              </w:rPr>
              <w:t>review of the agricultural holding.</w:t>
            </w:r>
          </w:p>
          <w:p w:rsidR="00F555D6" w:rsidRPr="005C3B55" w:rsidRDefault="00F555D6" w:rsidP="00F555D6">
            <w:pPr>
              <w:pStyle w:val="Telobesedila"/>
              <w:rPr>
                <w:szCs w:val="24"/>
              </w:rPr>
            </w:pPr>
          </w:p>
        </w:tc>
      </w:tr>
    </w:tbl>
    <w:p w:rsidR="00F555D6" w:rsidRPr="005C3B55" w:rsidRDefault="00F555D6" w:rsidP="00F555D6">
      <w:pPr>
        <w:pStyle w:val="Naslov8"/>
        <w:tabs>
          <w:tab w:val="clear" w:pos="765"/>
        </w:tabs>
        <w:ind w:left="0" w:firstLine="0"/>
        <w:rPr>
          <w:b w:val="0"/>
          <w:szCs w:val="24"/>
          <w:lang w:val="en-GB"/>
        </w:rPr>
      </w:pPr>
      <w:r w:rsidRPr="005C3B55">
        <w:rPr>
          <w:b w:val="0"/>
          <w:noProof w:val="0"/>
          <w:szCs w:val="24"/>
          <w:lang w:val="en-GB"/>
        </w:rPr>
        <w:t>VTR_NPAS:</w:t>
      </w:r>
      <w:r w:rsidRPr="005C3B55">
        <w:rPr>
          <w:b w:val="0"/>
          <w:szCs w:val="24"/>
          <w:lang w:val="en-GB"/>
        </w:rPr>
        <w:t xml:space="preserve"> </w:t>
      </w:r>
      <w:r w:rsidRPr="005C3B55">
        <w:rPr>
          <w:b w:val="0"/>
          <w:noProof w:val="0"/>
          <w:szCs w:val="24"/>
          <w:lang w:val="en-GB"/>
        </w:rPr>
        <w:t>Unmown strip of 5 to 10% of surface of a meadow</w:t>
      </w:r>
    </w:p>
    <w:p w:rsidR="00F555D6" w:rsidRPr="005C3B55" w:rsidRDefault="00F555D6" w:rsidP="00F555D6">
      <w:pPr>
        <w:pStyle w:val="Naslov9"/>
        <w:tabs>
          <w:tab w:val="clear" w:pos="765"/>
        </w:tabs>
        <w:ind w:left="0" w:firstLine="0"/>
        <w:rPr>
          <w:szCs w:val="24"/>
          <w:lang w:val="en-GB"/>
        </w:rPr>
      </w:pPr>
      <w:r w:rsidRPr="005C3B55">
        <w:rPr>
          <w:noProof w:val="0"/>
          <w:szCs w:val="24"/>
          <w:lang w:val="en-GB"/>
        </w:rPr>
        <w:t>Methods of commitment verification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Administrative control:</w:t>
            </w:r>
          </w:p>
          <w:p w:rsidR="00F555D6" w:rsidRPr="005C3B55" w:rsidRDefault="00F555D6" w:rsidP="00F555D6">
            <w:pPr>
              <w:numPr>
                <w:ilvl w:val="0"/>
                <w:numId w:val="661"/>
              </w:numPr>
              <w:spacing w:before="240" w:after="0"/>
              <w:ind w:hanging="290"/>
              <w:jc w:val="left"/>
              <w:rPr>
                <w:szCs w:val="24"/>
              </w:rPr>
            </w:pPr>
            <w:r w:rsidRPr="005C3B55">
              <w:rPr>
                <w:szCs w:val="24"/>
              </w:rPr>
              <w:t>control of livestock density through collective applications, registers, registers of farm animals;</w:t>
            </w:r>
          </w:p>
          <w:p w:rsidR="00F555D6" w:rsidRPr="005C3B55" w:rsidRDefault="00F555D6" w:rsidP="00F555D6">
            <w:pPr>
              <w:numPr>
                <w:ilvl w:val="0"/>
                <w:numId w:val="661"/>
              </w:numPr>
              <w:spacing w:before="0" w:after="0"/>
              <w:ind w:hanging="290"/>
              <w:jc w:val="left"/>
              <w:rPr>
                <w:szCs w:val="24"/>
              </w:rPr>
            </w:pPr>
            <w:r w:rsidRPr="005C3B55">
              <w:rPr>
                <w:szCs w:val="24"/>
              </w:rPr>
              <w:t>suitability of the area through the register of agricultural holdings;</w:t>
            </w:r>
          </w:p>
          <w:p w:rsidR="00F555D6" w:rsidRPr="005C3B55" w:rsidRDefault="00F555D6" w:rsidP="00F555D6">
            <w:pPr>
              <w:numPr>
                <w:ilvl w:val="0"/>
                <w:numId w:val="661"/>
              </w:numPr>
              <w:spacing w:before="0" w:after="0"/>
              <w:ind w:hanging="290"/>
              <w:jc w:val="left"/>
              <w:rPr>
                <w:szCs w:val="24"/>
              </w:rPr>
            </w:pPr>
            <w:r w:rsidRPr="005C3B55">
              <w:rPr>
                <w:szCs w:val="24"/>
              </w:rPr>
              <w:t>suitability of size of the graphical agricultural unit of agricultural holding;</w:t>
            </w:r>
          </w:p>
          <w:p w:rsidR="00F555D6" w:rsidRPr="005C3B55" w:rsidRDefault="00F555D6" w:rsidP="00F555D6">
            <w:pPr>
              <w:numPr>
                <w:ilvl w:val="0"/>
                <w:numId w:val="661"/>
              </w:numPr>
              <w:spacing w:before="0" w:after="240"/>
              <w:ind w:hanging="290"/>
              <w:jc w:val="left"/>
              <w:rPr>
                <w:szCs w:val="24"/>
              </w:rPr>
            </w:pPr>
            <w:r w:rsidRPr="005C3B55">
              <w:rPr>
                <w:szCs w:val="24"/>
              </w:rPr>
              <w:t>suitability of the agricultural plant through collective application.</w:t>
            </w:r>
          </w:p>
          <w:p w:rsidR="00F555D6" w:rsidRPr="005C3B55" w:rsidRDefault="00F555D6" w:rsidP="00F555D6">
            <w:pPr>
              <w:spacing w:before="240" w:after="240" w:line="280" w:lineRule="auto"/>
              <w:rPr>
                <w:szCs w:val="24"/>
              </w:rPr>
            </w:pPr>
            <w:r w:rsidRPr="005C3B55">
              <w:rPr>
                <w:szCs w:val="24"/>
              </w:rPr>
              <w:t>Registers/records:</w:t>
            </w:r>
          </w:p>
          <w:p w:rsidR="00F555D6" w:rsidRPr="005C3B55" w:rsidRDefault="00F555D6" w:rsidP="00F555D6">
            <w:pPr>
              <w:numPr>
                <w:ilvl w:val="0"/>
                <w:numId w:val="662"/>
              </w:numPr>
              <w:spacing w:before="240" w:after="0"/>
              <w:ind w:hanging="290"/>
              <w:jc w:val="left"/>
              <w:rPr>
                <w:szCs w:val="24"/>
              </w:rPr>
            </w:pPr>
            <w:r w:rsidRPr="005C3B55">
              <w:rPr>
                <w:szCs w:val="24"/>
              </w:rPr>
              <w:t>register of agricultural holdings;</w:t>
            </w:r>
          </w:p>
          <w:p w:rsidR="00F555D6" w:rsidRPr="005C3B55" w:rsidRDefault="00F555D6" w:rsidP="00F555D6">
            <w:pPr>
              <w:numPr>
                <w:ilvl w:val="0"/>
                <w:numId w:val="662"/>
              </w:numPr>
              <w:spacing w:before="0" w:after="0"/>
              <w:ind w:hanging="290"/>
              <w:jc w:val="left"/>
              <w:rPr>
                <w:szCs w:val="24"/>
              </w:rPr>
            </w:pPr>
            <w:r w:rsidRPr="005C3B55">
              <w:rPr>
                <w:szCs w:val="24"/>
              </w:rPr>
              <w:t>graphical agricultural unit of agricultural holding (GERK);</w:t>
            </w:r>
          </w:p>
          <w:p w:rsidR="00F555D6" w:rsidRPr="005C3B55" w:rsidRDefault="00F555D6" w:rsidP="00F555D6">
            <w:pPr>
              <w:numPr>
                <w:ilvl w:val="0"/>
                <w:numId w:val="662"/>
              </w:numPr>
              <w:spacing w:before="0" w:after="0"/>
              <w:ind w:hanging="290"/>
              <w:jc w:val="left"/>
              <w:rPr>
                <w:szCs w:val="24"/>
              </w:rPr>
            </w:pPr>
            <w:r w:rsidRPr="005C3B55">
              <w:rPr>
                <w:szCs w:val="24"/>
              </w:rPr>
              <w:t>registers, registers of farm animals;</w:t>
            </w:r>
          </w:p>
          <w:p w:rsidR="00F555D6" w:rsidRPr="005C3B55" w:rsidRDefault="00F555D6" w:rsidP="00F555D6">
            <w:pPr>
              <w:numPr>
                <w:ilvl w:val="0"/>
                <w:numId w:val="662"/>
              </w:numPr>
              <w:spacing w:before="0" w:after="240"/>
              <w:ind w:hanging="290"/>
              <w:jc w:val="left"/>
              <w:rPr>
                <w:szCs w:val="24"/>
              </w:rPr>
            </w:pPr>
            <w:r w:rsidRPr="005C3B55">
              <w:rPr>
                <w:szCs w:val="24"/>
              </w:rPr>
              <w:t>graphic layer of the area of the occurrence of birds of humid extensive meadows.</w:t>
            </w:r>
          </w:p>
          <w:p w:rsidR="00F555D6" w:rsidRPr="005C3B55" w:rsidRDefault="00F555D6" w:rsidP="00F555D6">
            <w:pPr>
              <w:spacing w:before="240" w:after="240" w:line="280" w:lineRule="auto"/>
              <w:rPr>
                <w:szCs w:val="24"/>
              </w:rPr>
            </w:pPr>
            <w:r w:rsidRPr="005C3B55">
              <w:rPr>
                <w:szCs w:val="24"/>
              </w:rPr>
              <w:t>On-site control:</w:t>
            </w:r>
          </w:p>
          <w:p w:rsidR="00F555D6" w:rsidRPr="005C3B55" w:rsidRDefault="00F555D6" w:rsidP="00F555D6">
            <w:pPr>
              <w:numPr>
                <w:ilvl w:val="0"/>
                <w:numId w:val="663"/>
              </w:numPr>
              <w:spacing w:before="240" w:after="0"/>
              <w:ind w:hanging="290"/>
              <w:jc w:val="left"/>
              <w:rPr>
                <w:szCs w:val="24"/>
              </w:rPr>
            </w:pPr>
            <w:r w:rsidRPr="005C3B55">
              <w:rPr>
                <w:szCs w:val="24"/>
              </w:rPr>
              <w:t>records on works;</w:t>
            </w:r>
          </w:p>
          <w:p w:rsidR="00F555D6" w:rsidRPr="005C3B55" w:rsidRDefault="00F555D6" w:rsidP="00F555D6">
            <w:pPr>
              <w:numPr>
                <w:ilvl w:val="0"/>
                <w:numId w:val="663"/>
              </w:numPr>
              <w:spacing w:before="0" w:after="0"/>
              <w:ind w:hanging="290"/>
              <w:jc w:val="left"/>
              <w:rPr>
                <w:szCs w:val="24"/>
              </w:rPr>
            </w:pPr>
            <w:r w:rsidRPr="005C3B55">
              <w:rPr>
                <w:szCs w:val="24"/>
              </w:rPr>
              <w:t>control of livestock density by counting animals and reviewing surfaces;</w:t>
            </w:r>
          </w:p>
          <w:p w:rsidR="00F555D6" w:rsidRPr="005C3B55" w:rsidRDefault="00F555D6" w:rsidP="00F555D6">
            <w:pPr>
              <w:numPr>
                <w:ilvl w:val="0"/>
                <w:numId w:val="663"/>
              </w:numPr>
              <w:spacing w:before="0" w:after="0"/>
              <w:ind w:hanging="290"/>
              <w:jc w:val="left"/>
              <w:rPr>
                <w:szCs w:val="24"/>
              </w:rPr>
            </w:pPr>
            <w:r w:rsidRPr="005C3B55">
              <w:rPr>
                <w:szCs w:val="24"/>
              </w:rPr>
              <w:t>scheme of a meadow;</w:t>
            </w:r>
          </w:p>
          <w:p w:rsidR="00F555D6" w:rsidRPr="005C3B55" w:rsidRDefault="00F555D6" w:rsidP="00F555D6">
            <w:pPr>
              <w:numPr>
                <w:ilvl w:val="0"/>
                <w:numId w:val="663"/>
              </w:numPr>
              <w:spacing w:before="0" w:after="240"/>
              <w:ind w:hanging="290"/>
              <w:jc w:val="left"/>
              <w:rPr>
                <w:szCs w:val="24"/>
              </w:rPr>
            </w:pPr>
            <w:r w:rsidRPr="005C3B55">
              <w:rPr>
                <w:szCs w:val="24"/>
              </w:rPr>
              <w:t>review of the agricultural holding.</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Information that relates specifically to the operation</w:t>
      </w:r>
    </w:p>
    <w:p w:rsidR="00F555D6" w:rsidRPr="005C3B55" w:rsidRDefault="00F555D6" w:rsidP="00F555D6">
      <w:pPr>
        <w:spacing w:line="280" w:lineRule="auto"/>
        <w:rPr>
          <w:szCs w:val="24"/>
        </w:rPr>
      </w:pPr>
      <w:r w:rsidRPr="005C3B55">
        <w:rPr>
          <w:szCs w:val="24"/>
        </w:rPr>
        <w:t>Definition and identification of the relevant basic elements; this should include the relevant mandatory standards determined in accordance with Chapter I of Title VI of Regulation (EU) No 1306/2013 of the European Parliament and of the Council, relevant criteria and minimum activities determined in accordance with points (c)(ii) and (c)(iii) of the first paragraph of Article 4 of Regulation (EU) No 1307/2013 of the European Parliament and of the Council, relevant minimum requirements for the use of organic fertilisers and plant protection products and relevant mandatory requirements determined by national law</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 xml:space="preserve">Described in the chapter </w:t>
            </w:r>
            <w:r w:rsidRPr="005C3B55">
              <w:rPr>
                <w:i/>
                <w:szCs w:val="24"/>
              </w:rPr>
              <w:t>Agri-environment-climate commitments</w:t>
            </w:r>
            <w:r w:rsidRPr="005C3B55">
              <w:rPr>
                <w:szCs w:val="24"/>
              </w:rPr>
              <w:t>.</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 xml:space="preserve">Minimum requirements for fertilisers must include, inter alia, the Codes of Good Practice introduced under Directive 91/676/EEC for farms outside Nitrate Vulnerable Zones, and requirements concerning phosphorous pollution; minimum requirements for plant protection products use must include, </w:t>
      </w:r>
      <w:r w:rsidRPr="005C3B55">
        <w:rPr>
          <w:i/>
          <w:szCs w:val="24"/>
        </w:rPr>
        <w:t>inter alia</w:t>
      </w:r>
      <w:r w:rsidRPr="005C3B55">
        <w:rPr>
          <w:szCs w:val="24"/>
        </w:rPr>
        <w:t>, general principles for integrated pest management introduced with Directive 2009/128/EC, requirements to have a licence to use the products and meet training obligations, requirements on safe storage, the checking of application machinery and rules on pesticide use close to water and other sensitive sites, as established by national legislation</w:t>
      </w:r>
    </w:p>
    <w:p w:rsidR="00F555D6" w:rsidRPr="005C3B55" w:rsidRDefault="00F555D6" w:rsidP="00F555D6">
      <w:pPr>
        <w:spacing w:after="0"/>
        <w:rPr>
          <w:szCs w:val="24"/>
        </w:rPr>
      </w:pP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 xml:space="preserve">Described in the chapter </w:t>
            </w:r>
            <w:r w:rsidRPr="005C3B55">
              <w:rPr>
                <w:i/>
                <w:szCs w:val="24"/>
              </w:rPr>
              <w:t>Agri-environment-climate commitments</w:t>
            </w:r>
            <w:r w:rsidRPr="005C3B55">
              <w:rPr>
                <w:szCs w:val="24"/>
              </w:rPr>
              <w:t>.</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List of local breeds in danger of being lost to farming and for plant genetic resources under threat of genetic erosion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Not relevant.</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The description of the methodology and of the agronomic assumptions and parameters, including the description of the baseline requirements as stated in Article 29(2) of Regulation (EU) No 1305/2013, which are relevant for each particular type of commitment used as reference point for the calculations which justify: additional costs and lost revenue due to the assumed commitment and the amount of transaction costs; where necessary, the methodology takes into account the support granted under Regulation (EU) No 1307/2013, including payments for agricultural practices that favourably affect the climate and environment, in order to prevent the possibility of dual financing; where appropriate, the conversion method used for other units in accordance with Article 9 of this Regulation</w:t>
      </w:r>
    </w:p>
    <w:p w:rsidR="00F555D6" w:rsidRPr="005C3B55" w:rsidRDefault="00F555D6" w:rsidP="00F555D6">
      <w:pPr>
        <w:spacing w:after="0"/>
        <w:rPr>
          <w:szCs w:val="24"/>
        </w:rPr>
      </w:pP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The calculation of the amount of payments for individual requirements within the operation Habitats of birds of humid extensive meadows observes:</w:t>
            </w:r>
          </w:p>
          <w:p w:rsidR="00F555D6" w:rsidRPr="005C3B55" w:rsidRDefault="00F555D6" w:rsidP="00F555D6">
            <w:pPr>
              <w:spacing w:before="240" w:after="240" w:line="280" w:lineRule="auto"/>
              <w:rPr>
                <w:szCs w:val="24"/>
              </w:rPr>
            </w:pPr>
            <w:r w:rsidRPr="005C3B55">
              <w:rPr>
                <w:b/>
                <w:szCs w:val="24"/>
              </w:rPr>
              <w:t>A. Mandatory requirement</w:t>
            </w:r>
          </w:p>
          <w:p w:rsidR="00F555D6" w:rsidRPr="005C3B55" w:rsidRDefault="00F555D6" w:rsidP="00F555D6">
            <w:pPr>
              <w:spacing w:before="240" w:after="240" w:line="280" w:lineRule="auto"/>
              <w:rPr>
                <w:szCs w:val="24"/>
              </w:rPr>
            </w:pPr>
            <w:r w:rsidRPr="005C3B55">
              <w:rPr>
                <w:szCs w:val="24"/>
              </w:rPr>
              <w:t>VTR_KOS: The standard agricultural practice includes the production of hay, grass silage and pasturing (everything in thirds) on an average permanent meadow subject to two mowings a year as per the area of the requirement. Due to the prohibition of fertilisation and temporal limitation of mowing, the calculation of the payment anticipates small production of hay (100%) of unsuitable quality on meadows being mown once which is sold for litter (evaluated according to sales price); the loss of fodder is fully substituted with a lease of s comparable meadow. The requirement ‘grazing is not permitted' has already been met by the mandatory requirement of the prohibition of fertiliser use. Therefore, the payment equals 0. In the requirement ‘mowing from one edge of a meadow to the other or from the middle of a meadow outwards’, the so-called machine mowing in circles is assumed as standard agricultural practice. The calculation of the payment takes into account additional consumption of time to mow from the middle outwards due to more turns while mowing.</w:t>
            </w:r>
          </w:p>
          <w:p w:rsidR="00F555D6" w:rsidRPr="005C3B55" w:rsidRDefault="00F555D6" w:rsidP="00F555D6">
            <w:pPr>
              <w:spacing w:before="240" w:after="240" w:line="280" w:lineRule="auto"/>
              <w:rPr>
                <w:szCs w:val="24"/>
              </w:rPr>
            </w:pPr>
            <w:r w:rsidRPr="005C3B55">
              <w:rPr>
                <w:b/>
                <w:szCs w:val="24"/>
              </w:rPr>
              <w:t>B. Optional requirement</w:t>
            </w:r>
          </w:p>
          <w:p w:rsidR="00F555D6" w:rsidRPr="005C3B55" w:rsidRDefault="00F555D6" w:rsidP="00F555D6">
            <w:pPr>
              <w:spacing w:before="240" w:after="240" w:line="280" w:lineRule="auto"/>
              <w:rPr>
                <w:szCs w:val="24"/>
              </w:rPr>
            </w:pPr>
            <w:r w:rsidRPr="005C3B55">
              <w:rPr>
                <w:szCs w:val="24"/>
              </w:rPr>
              <w:t>VTR_NPAS: In the combination of the VTR_KOS mandatory requirement and the VTR_NPAS  optional requirement, standard agricultural practice includes the production of hay; the amount of produce and its quality are the same as in the combination of the VTR_KOS requirement. Due to the determined limitation on leaving an unmown strip, the calculation observes the reduction in the quantity of produce and thus the energy, whereas the difference is being supplemented with the additional purchase of fodder.</w:t>
            </w:r>
          </w:p>
          <w:p w:rsidR="00F555D6" w:rsidRPr="005C3B55" w:rsidRDefault="00F555D6" w:rsidP="00F555D6">
            <w:pPr>
              <w:spacing w:before="240" w:after="240" w:line="280" w:lineRule="auto"/>
              <w:rPr>
                <w:szCs w:val="24"/>
              </w:rPr>
            </w:pPr>
            <w:r w:rsidRPr="005C3B55">
              <w:rPr>
                <w:szCs w:val="24"/>
              </w:rPr>
              <w:t> </w:t>
            </w:r>
          </w:p>
          <w:p w:rsidR="00F555D6" w:rsidRPr="005C3B55" w:rsidRDefault="00F555D6" w:rsidP="00F555D6">
            <w:pPr>
              <w:pStyle w:val="Telobesedila"/>
              <w:rPr>
                <w:szCs w:val="24"/>
              </w:rPr>
            </w:pPr>
          </w:p>
        </w:tc>
      </w:tr>
    </w:tbl>
    <w:p w:rsidR="00F555D6" w:rsidRPr="005C3B55" w:rsidRDefault="00F555D6" w:rsidP="00F555D6">
      <w:pPr>
        <w:pStyle w:val="Naslov7"/>
        <w:tabs>
          <w:tab w:val="clear" w:pos="765"/>
        </w:tabs>
        <w:ind w:left="0" w:firstLine="0"/>
        <w:rPr>
          <w:szCs w:val="24"/>
          <w:lang w:val="en-GB"/>
        </w:rPr>
      </w:pPr>
      <w:r w:rsidRPr="005C3B55">
        <w:rPr>
          <w:noProof w:val="0"/>
          <w:szCs w:val="24"/>
          <w:lang w:val="en-GB"/>
        </w:rPr>
        <w:t>Agri-environment-climate commitments</w:t>
      </w:r>
    </w:p>
    <w:p w:rsidR="00F555D6" w:rsidRPr="005C3B55" w:rsidRDefault="00F555D6" w:rsidP="00F555D6">
      <w:pPr>
        <w:pStyle w:val="Naslov8"/>
        <w:tabs>
          <w:tab w:val="clear" w:pos="765"/>
        </w:tabs>
        <w:ind w:left="0" w:firstLine="0"/>
        <w:rPr>
          <w:b w:val="0"/>
          <w:szCs w:val="24"/>
          <w:lang w:val="en-GB"/>
        </w:rPr>
      </w:pPr>
      <w:r w:rsidRPr="005C3B55">
        <w:rPr>
          <w:b w:val="0"/>
          <w:noProof w:val="0"/>
          <w:szCs w:val="24"/>
          <w:lang w:val="en-GB"/>
        </w:rPr>
        <w:t>VTR_KOS:</w:t>
      </w:r>
      <w:r w:rsidRPr="005C3B55">
        <w:rPr>
          <w:b w:val="0"/>
          <w:szCs w:val="24"/>
          <w:lang w:val="en-GB"/>
        </w:rPr>
        <w:t xml:space="preserve"> </w:t>
      </w:r>
      <w:r w:rsidRPr="005C3B55">
        <w:rPr>
          <w:b w:val="0"/>
          <w:noProof w:val="0"/>
          <w:szCs w:val="24"/>
          <w:lang w:val="en-GB"/>
        </w:rPr>
        <w:t>Mowing is not permitted before 1 August</w:t>
      </w:r>
    </w:p>
    <w:p w:rsidR="00F555D6" w:rsidRPr="005C3B55" w:rsidRDefault="00F555D6" w:rsidP="00F555D6">
      <w:pPr>
        <w:pStyle w:val="Naslov9"/>
        <w:tabs>
          <w:tab w:val="clear" w:pos="765"/>
        </w:tabs>
        <w:ind w:left="0" w:firstLine="0"/>
        <w:rPr>
          <w:szCs w:val="24"/>
          <w:lang w:val="en-GB"/>
        </w:rPr>
      </w:pPr>
      <w:r w:rsidRPr="005C3B55">
        <w:rPr>
          <w:noProof w:val="0"/>
          <w:szCs w:val="24"/>
          <w:lang w:val="en-GB"/>
        </w:rPr>
        <w:t>Starting Point</w:t>
      </w:r>
    </w:p>
    <w:p w:rsidR="00F555D6" w:rsidRPr="005C3B55" w:rsidRDefault="00F555D6" w:rsidP="00F555D6">
      <w:pPr>
        <w:spacing w:line="280" w:lineRule="auto"/>
        <w:rPr>
          <w:szCs w:val="24"/>
        </w:rPr>
      </w:pPr>
      <w:r w:rsidRPr="005C3B55">
        <w:rPr>
          <w:szCs w:val="24"/>
        </w:rPr>
        <w:t>Suitable good agricultural and environmental conditions and/or prescribed management requirements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664"/>
              </w:numPr>
              <w:spacing w:before="0" w:after="0"/>
              <w:ind w:hanging="290"/>
              <w:jc w:val="left"/>
              <w:rPr>
                <w:szCs w:val="24"/>
              </w:rPr>
            </w:pPr>
            <w:r w:rsidRPr="005C3B55">
              <w:rPr>
                <w:szCs w:val="24"/>
              </w:rPr>
              <w:t>Regulation on cross-compliance, Annex 1: Rules on cross-compliance, SMR 3: Conservation of natural habitats and of wild fauna and flora: grassland areas in the areas of Natura 2000 – habitats are maintained at least once annually no later than by 15 October of the current year.</w:t>
            </w:r>
          </w:p>
          <w:p w:rsidR="00F555D6" w:rsidRPr="005C3B55" w:rsidRDefault="00F555D6" w:rsidP="00F555D6">
            <w:pPr>
              <w:numPr>
                <w:ilvl w:val="0"/>
                <w:numId w:val="664"/>
              </w:numPr>
              <w:spacing w:before="0" w:after="0"/>
              <w:ind w:hanging="290"/>
              <w:jc w:val="left"/>
              <w:rPr>
                <w:szCs w:val="24"/>
              </w:rPr>
            </w:pPr>
            <w:r w:rsidRPr="005C3B55">
              <w:rPr>
                <w:szCs w:val="24"/>
              </w:rPr>
              <w:t>Regulation on cross-compliance, Annex 1: Rules on cross-compliance, SMR 2: grassland areas in the areas of Natura 2000 – birds are maintained at least once annually no later than by 15 October of the current year.</w:t>
            </w:r>
          </w:p>
          <w:p w:rsidR="00F555D6" w:rsidRPr="005C3B55" w:rsidRDefault="00F555D6" w:rsidP="00F555D6">
            <w:pPr>
              <w:numPr>
                <w:ilvl w:val="0"/>
                <w:numId w:val="664"/>
              </w:numPr>
              <w:spacing w:before="0" w:after="0"/>
              <w:ind w:hanging="290"/>
              <w:jc w:val="left"/>
              <w:rPr>
                <w:szCs w:val="24"/>
              </w:rPr>
            </w:pPr>
            <w:r w:rsidRPr="005C3B55">
              <w:rPr>
                <w:szCs w:val="24"/>
              </w:rPr>
              <w:t>Regulation on cross-compliance, Annex 1: Rules on cross-compliance, GAEC7: agricultural land is annually cultivated at least by 15 October of the current year.</w:t>
            </w:r>
          </w:p>
          <w:p w:rsidR="00F555D6" w:rsidRPr="005C3B55" w:rsidRDefault="00F555D6" w:rsidP="00F555D6">
            <w:pPr>
              <w:numPr>
                <w:ilvl w:val="0"/>
                <w:numId w:val="664"/>
              </w:numPr>
              <w:spacing w:before="0" w:after="240"/>
              <w:ind w:hanging="290"/>
              <w:jc w:val="left"/>
              <w:rPr>
                <w:szCs w:val="24"/>
              </w:rPr>
            </w:pPr>
            <w:r w:rsidRPr="005C3B55">
              <w:rPr>
                <w:szCs w:val="24"/>
              </w:rPr>
              <w:t>The prohibition to use fertilisers is not prescribed in the Regulation on cross-compliance.</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Minimum requirements for the use of fertilisers and plant protection products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665"/>
              </w:numPr>
              <w:spacing w:before="0" w:after="0"/>
              <w:ind w:hanging="290"/>
              <w:jc w:val="left"/>
              <w:rPr>
                <w:szCs w:val="24"/>
              </w:rPr>
            </w:pPr>
            <w:r w:rsidRPr="005C3B55">
              <w:rPr>
                <w:szCs w:val="24"/>
              </w:rPr>
              <w:t>Minimum requirements for the use of fertilisers refer to the keeping of records on the use of livestock and mineral fertilisers which an agricultural holding has to keep for all agricultural land plots at the agricultural holding, and which has to include at least the quantity and type of livestock manure and mineral fertiliser, time of fertilising and data on the surface where these fertilisers are used.</w:t>
            </w:r>
          </w:p>
          <w:p w:rsidR="00F555D6" w:rsidRPr="005C3B55" w:rsidRDefault="00F555D6" w:rsidP="00F555D6">
            <w:pPr>
              <w:numPr>
                <w:ilvl w:val="0"/>
                <w:numId w:val="665"/>
              </w:numPr>
              <w:spacing w:before="0" w:after="240"/>
              <w:ind w:hanging="290"/>
              <w:jc w:val="left"/>
              <w:rPr>
                <w:szCs w:val="24"/>
              </w:rPr>
            </w:pPr>
            <w:r w:rsidRPr="005C3B55">
              <w:rPr>
                <w:szCs w:val="24"/>
              </w:rPr>
              <w:t>Minimum requirements for the use of plant protection products are not determined, since the requirements relating to the use of these products are standardised and are included in the requirements of cross-compliance.</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Other relevant national/regional requirements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666"/>
              </w:numPr>
              <w:spacing w:before="0" w:after="240"/>
              <w:ind w:hanging="290"/>
              <w:jc w:val="left"/>
              <w:rPr>
                <w:szCs w:val="24"/>
              </w:rPr>
            </w:pPr>
            <w:r w:rsidRPr="005C3B55">
              <w:rPr>
                <w:szCs w:val="24"/>
              </w:rPr>
              <w:t>Other national requirements are not prescribed.</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Minimum activities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667"/>
              </w:numPr>
              <w:spacing w:before="0" w:after="240"/>
              <w:ind w:hanging="290"/>
              <w:jc w:val="left"/>
              <w:rPr>
                <w:szCs w:val="24"/>
              </w:rPr>
            </w:pPr>
            <w:r w:rsidRPr="005C3B55">
              <w:rPr>
                <w:szCs w:val="24"/>
              </w:rPr>
              <w:t>Mowing at least once annually by 15 October of the current year is determined as a criterion for maintaining agricultural land in a state suitable for pasturing or production without the preparation measures which exceed the use of regular agricultural methods and machinery.</w:t>
            </w:r>
          </w:p>
          <w:p w:rsidR="00F555D6" w:rsidRPr="005C3B55" w:rsidRDefault="00F555D6" w:rsidP="00F555D6">
            <w:pPr>
              <w:pStyle w:val="Telobesedila"/>
              <w:rPr>
                <w:szCs w:val="24"/>
              </w:rPr>
            </w:pPr>
          </w:p>
        </w:tc>
      </w:tr>
    </w:tbl>
    <w:p w:rsidR="00F555D6" w:rsidRPr="005C3B55" w:rsidRDefault="00F555D6" w:rsidP="00F555D6">
      <w:pPr>
        <w:pStyle w:val="Naslov9"/>
        <w:tabs>
          <w:tab w:val="clear" w:pos="765"/>
        </w:tabs>
        <w:ind w:left="0" w:firstLine="0"/>
        <w:rPr>
          <w:szCs w:val="24"/>
          <w:lang w:val="en-GB"/>
        </w:rPr>
      </w:pPr>
      <w:r w:rsidRPr="005C3B55">
        <w:rPr>
          <w:noProof w:val="0"/>
          <w:szCs w:val="24"/>
          <w:lang w:val="en-GB"/>
        </w:rPr>
        <w:t>Relevant standard agricultural practices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Meadows rich in species in Slovenia have been reducing in the past decades , which is especially the result of intensification on the one hand, and the abandonment of land use and overgrowing on the other. The new, more modern machinery, new agricultural technology and a tendency towards ever greater economic effects have resulted in the situation that meadows which some decades ago were rich in species and mown later, have recently been mown and cultivated much earlier and also by applying technology (e.g. baling) which reduces the biodiversity of meadows.</w:t>
            </w:r>
          </w:p>
          <w:p w:rsidR="00F555D6" w:rsidRPr="005C3B55" w:rsidRDefault="00F555D6" w:rsidP="00F555D6">
            <w:pPr>
              <w:spacing w:before="240" w:after="240" w:line="280" w:lineRule="auto"/>
              <w:rPr>
                <w:szCs w:val="24"/>
              </w:rPr>
            </w:pPr>
            <w:r w:rsidRPr="005C3B55">
              <w:rPr>
                <w:szCs w:val="24"/>
              </w:rPr>
              <w:t>The pressure for economic and profitable agricultural production causes the intensification of meadows by additional fertilisation and seeding and increasing the frequency of mowing. In practice, meadows occurring on humid soil with poor productivity are also fertilised with mineral and organic fertilisers, which results in the loss of biodiversity.</w:t>
            </w:r>
          </w:p>
          <w:p w:rsidR="00F555D6" w:rsidRPr="005C3B55" w:rsidRDefault="00F555D6" w:rsidP="00F555D6">
            <w:pPr>
              <w:spacing w:before="240" w:after="240" w:line="280" w:lineRule="auto"/>
              <w:rPr>
                <w:szCs w:val="24"/>
              </w:rPr>
            </w:pPr>
            <w:r w:rsidRPr="005C3B55">
              <w:rPr>
                <w:szCs w:val="24"/>
              </w:rPr>
              <w:t>In standard agricultural practice, grazing is also carried out on permanent grassland in addition to mowing.</w:t>
            </w:r>
          </w:p>
          <w:p w:rsidR="00F555D6" w:rsidRPr="005C3B55" w:rsidRDefault="00F555D6" w:rsidP="00F555D6">
            <w:pPr>
              <w:spacing w:before="240" w:after="240" w:line="280" w:lineRule="auto"/>
              <w:rPr>
                <w:szCs w:val="24"/>
              </w:rPr>
            </w:pPr>
            <w:r w:rsidRPr="005C3B55">
              <w:rPr>
                <w:szCs w:val="24"/>
              </w:rPr>
              <w:t>Grassland surfaces have to be maintained in standard agricultural practice; the method of mowing is not prescribed. If the mowing of meadows where meadow birds nest (e.g. corn crake) is not time limited, the implementation of mowing from one edge of the geographical agricultural unit to the other or from the middle of the meadow outwards is mandatory, because this enables at least some young birds to retreat to safety on time.</w:t>
            </w:r>
          </w:p>
          <w:p w:rsidR="00F555D6" w:rsidRPr="005C3B55" w:rsidRDefault="00F555D6" w:rsidP="00F555D6">
            <w:pPr>
              <w:pStyle w:val="Telobesedila"/>
              <w:rPr>
                <w:szCs w:val="24"/>
              </w:rPr>
            </w:pPr>
          </w:p>
        </w:tc>
      </w:tr>
    </w:tbl>
    <w:p w:rsidR="00F555D6" w:rsidRPr="005C3B55" w:rsidRDefault="00F555D6" w:rsidP="00F555D6">
      <w:pPr>
        <w:pStyle w:val="Naslov8"/>
        <w:tabs>
          <w:tab w:val="clear" w:pos="765"/>
        </w:tabs>
        <w:ind w:left="0" w:firstLine="0"/>
        <w:rPr>
          <w:b w:val="0"/>
          <w:szCs w:val="24"/>
          <w:lang w:val="en-GB"/>
        </w:rPr>
      </w:pPr>
      <w:r w:rsidRPr="005C3B55">
        <w:rPr>
          <w:b w:val="0"/>
          <w:noProof w:val="0"/>
          <w:szCs w:val="24"/>
          <w:lang w:val="en-GB"/>
        </w:rPr>
        <w:t>VTR_NPAS:</w:t>
      </w:r>
      <w:r w:rsidRPr="005C3B55">
        <w:rPr>
          <w:b w:val="0"/>
          <w:szCs w:val="24"/>
          <w:lang w:val="en-GB"/>
        </w:rPr>
        <w:t xml:space="preserve"> </w:t>
      </w:r>
      <w:r w:rsidRPr="005C3B55">
        <w:rPr>
          <w:b w:val="0"/>
          <w:noProof w:val="0"/>
          <w:szCs w:val="24"/>
          <w:lang w:val="en-GB"/>
        </w:rPr>
        <w:t>Unmown strip of 5 to 10% of surface of a meadow</w:t>
      </w:r>
    </w:p>
    <w:p w:rsidR="00F555D6" w:rsidRPr="005C3B55" w:rsidRDefault="00F555D6" w:rsidP="00F555D6">
      <w:pPr>
        <w:pStyle w:val="Naslov9"/>
        <w:tabs>
          <w:tab w:val="clear" w:pos="765"/>
        </w:tabs>
        <w:ind w:left="0" w:firstLine="0"/>
        <w:rPr>
          <w:szCs w:val="24"/>
          <w:lang w:val="en-GB"/>
        </w:rPr>
      </w:pPr>
      <w:r w:rsidRPr="005C3B55">
        <w:rPr>
          <w:noProof w:val="0"/>
          <w:szCs w:val="24"/>
          <w:lang w:val="en-GB"/>
        </w:rPr>
        <w:t>Starting Point</w:t>
      </w:r>
    </w:p>
    <w:p w:rsidR="00F555D6" w:rsidRPr="005C3B55" w:rsidRDefault="00F555D6" w:rsidP="00F555D6">
      <w:pPr>
        <w:spacing w:line="280" w:lineRule="auto"/>
        <w:rPr>
          <w:szCs w:val="24"/>
        </w:rPr>
      </w:pPr>
      <w:r w:rsidRPr="005C3B55">
        <w:rPr>
          <w:szCs w:val="24"/>
        </w:rPr>
        <w:t>Suitable good agricultural and environmental conditions and/or prescribed management requirements</w:t>
      </w:r>
    </w:p>
    <w:p w:rsidR="00F555D6" w:rsidRPr="005C3B55" w:rsidRDefault="00F555D6" w:rsidP="00F555D6">
      <w:pPr>
        <w:spacing w:after="0"/>
        <w:rPr>
          <w:szCs w:val="24"/>
        </w:rPr>
      </w:pP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668"/>
              </w:numPr>
              <w:spacing w:before="0" w:after="0"/>
              <w:ind w:hanging="290"/>
              <w:jc w:val="left"/>
              <w:rPr>
                <w:szCs w:val="24"/>
              </w:rPr>
            </w:pPr>
            <w:r w:rsidRPr="005C3B55">
              <w:rPr>
                <w:szCs w:val="24"/>
              </w:rPr>
              <w:t>Regulation on cross-compliance, Annex 1: Rules on cross-compliance, SMR 3: Conservation of natural habitats and of wild fauna and flora: grassland areas in the areas of Natura 2000 – habitats are maintained at least once annually no later than by 15 October of the current year.</w:t>
            </w:r>
          </w:p>
          <w:p w:rsidR="00F555D6" w:rsidRPr="005C3B55" w:rsidRDefault="00F555D6" w:rsidP="00F555D6">
            <w:pPr>
              <w:numPr>
                <w:ilvl w:val="0"/>
                <w:numId w:val="668"/>
              </w:numPr>
              <w:spacing w:before="0" w:after="0"/>
              <w:ind w:hanging="290"/>
              <w:jc w:val="left"/>
              <w:rPr>
                <w:szCs w:val="24"/>
              </w:rPr>
            </w:pPr>
            <w:r w:rsidRPr="005C3B55">
              <w:rPr>
                <w:szCs w:val="24"/>
              </w:rPr>
              <w:t>Regulation on cross-compliance, Annex 1: Rules on cross-compliance, SMR 2: grassland areas in the areas of Natura 2000 – birds are maintained at least once annually no later than by 15 October of the current year.</w:t>
            </w:r>
          </w:p>
          <w:p w:rsidR="00F555D6" w:rsidRPr="005C3B55" w:rsidRDefault="00F555D6" w:rsidP="00F555D6">
            <w:pPr>
              <w:numPr>
                <w:ilvl w:val="0"/>
                <w:numId w:val="668"/>
              </w:numPr>
              <w:spacing w:before="0" w:after="240"/>
              <w:ind w:hanging="290"/>
              <w:jc w:val="left"/>
              <w:rPr>
                <w:szCs w:val="24"/>
              </w:rPr>
            </w:pPr>
            <w:r w:rsidRPr="005C3B55">
              <w:rPr>
                <w:szCs w:val="24"/>
              </w:rPr>
              <w:t>Regulation on cross-compliance, Annex 1: Rules on cross-compliance, GAEC7: agricultural land is annually cultivated at least by 15 October of the current year.</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Minimum requirements for the use of fertilisers and plant protection products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669"/>
              </w:numPr>
              <w:spacing w:before="0" w:after="0"/>
              <w:ind w:hanging="290"/>
              <w:jc w:val="left"/>
              <w:rPr>
                <w:szCs w:val="24"/>
              </w:rPr>
            </w:pPr>
            <w:r w:rsidRPr="005C3B55">
              <w:rPr>
                <w:szCs w:val="24"/>
              </w:rPr>
              <w:t>Minimum requirements for the use of fertilisers refer to the keeping of records on the use of livestock and mineral fertilisers which an agricultural holding has to keep for all agricultural land plots at the agricultural holding, and which has to include at least the quantity and type of livestock manure and mineral fertiliser, time of fertilising and data on the surface where these fertilisers are used.</w:t>
            </w:r>
          </w:p>
          <w:p w:rsidR="00F555D6" w:rsidRPr="005C3B55" w:rsidRDefault="00F555D6" w:rsidP="00F555D6">
            <w:pPr>
              <w:numPr>
                <w:ilvl w:val="0"/>
                <w:numId w:val="669"/>
              </w:numPr>
              <w:spacing w:before="0" w:after="240"/>
              <w:ind w:hanging="290"/>
              <w:jc w:val="left"/>
              <w:rPr>
                <w:szCs w:val="24"/>
              </w:rPr>
            </w:pPr>
            <w:r w:rsidRPr="005C3B55">
              <w:rPr>
                <w:szCs w:val="24"/>
              </w:rPr>
              <w:t>Minimum requirements for the use of plant protection products are not determined, since the requirements relating to the use of these products are standardised and are included in the requirements of cross-compliance.</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Other relevant national/regional requirements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670"/>
              </w:numPr>
              <w:spacing w:before="0" w:after="240"/>
              <w:ind w:hanging="290"/>
              <w:jc w:val="left"/>
              <w:rPr>
                <w:szCs w:val="24"/>
              </w:rPr>
            </w:pPr>
            <w:r w:rsidRPr="005C3B55">
              <w:rPr>
                <w:szCs w:val="24"/>
              </w:rPr>
              <w:t>Other national requirements are not prescribed.</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Minimum activities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671"/>
              </w:numPr>
              <w:spacing w:before="0" w:after="240"/>
              <w:ind w:hanging="290"/>
              <w:jc w:val="left"/>
              <w:rPr>
                <w:szCs w:val="24"/>
              </w:rPr>
            </w:pPr>
            <w:r w:rsidRPr="005C3B55">
              <w:rPr>
                <w:szCs w:val="24"/>
              </w:rPr>
              <w:t>Mowing at least once annually by 15 October of the current year is determined as a criterion for maintaining agricultural land in a state suitable for pasturing or production without the preparation measures which exceed the use of regular agricultural methods and machinery.</w:t>
            </w:r>
          </w:p>
          <w:p w:rsidR="00F555D6" w:rsidRPr="005C3B55" w:rsidRDefault="00F555D6" w:rsidP="00F555D6">
            <w:pPr>
              <w:pStyle w:val="Telobesedila"/>
              <w:rPr>
                <w:szCs w:val="24"/>
              </w:rPr>
            </w:pPr>
          </w:p>
        </w:tc>
      </w:tr>
    </w:tbl>
    <w:p w:rsidR="00F555D6" w:rsidRPr="005C3B55" w:rsidRDefault="00F555D6" w:rsidP="00F555D6">
      <w:pPr>
        <w:pStyle w:val="Naslov9"/>
        <w:tabs>
          <w:tab w:val="clear" w:pos="765"/>
        </w:tabs>
        <w:ind w:left="0" w:firstLine="0"/>
        <w:rPr>
          <w:szCs w:val="24"/>
          <w:lang w:val="en-GB"/>
        </w:rPr>
      </w:pPr>
      <w:r w:rsidRPr="005C3B55">
        <w:rPr>
          <w:noProof w:val="0"/>
          <w:szCs w:val="24"/>
          <w:lang w:val="en-GB"/>
        </w:rPr>
        <w:t>Relevant standard agricultural practices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In standard agricultural practice, the mowing of grassland areas is conducted over the whole meadow surface, whereby it is not usual to leave part of these areas unmown.</w:t>
            </w:r>
          </w:p>
          <w:p w:rsidR="00F555D6" w:rsidRPr="005C3B55" w:rsidRDefault="00F555D6" w:rsidP="00F555D6">
            <w:pPr>
              <w:pStyle w:val="Telobesedila"/>
              <w:rPr>
                <w:szCs w:val="24"/>
              </w:rPr>
            </w:pPr>
          </w:p>
        </w:tc>
      </w:tr>
    </w:tbl>
    <w:p w:rsidR="00F555D6" w:rsidRPr="005C3B55" w:rsidRDefault="00F555D6" w:rsidP="00F555D6">
      <w:pPr>
        <w:pStyle w:val="Naslov5"/>
        <w:tabs>
          <w:tab w:val="clear" w:pos="765"/>
        </w:tabs>
        <w:ind w:left="0" w:firstLine="0"/>
        <w:rPr>
          <w:b w:val="0"/>
          <w:szCs w:val="24"/>
          <w:lang w:val="en-GB"/>
        </w:rPr>
      </w:pPr>
      <w:r w:rsidRPr="005C3B55">
        <w:rPr>
          <w:b w:val="0"/>
          <w:szCs w:val="24"/>
          <w:lang w:val="en-GB"/>
        </w:rPr>
        <w:br w:type="page"/>
        <w:t>10.</w:t>
      </w:r>
      <w:r w:rsidRPr="005C3B55">
        <w:rPr>
          <w:b w:val="0"/>
          <w:szCs w:val="24"/>
          <w:lang w:val="en-GB"/>
        </w:rPr>
        <w:tab/>
      </w:r>
      <w:r w:rsidRPr="005C3B55">
        <w:rPr>
          <w:b w:val="0"/>
          <w:noProof w:val="0"/>
          <w:szCs w:val="24"/>
          <w:lang w:val="en-GB"/>
        </w:rPr>
        <w:t>Litter meadows</w:t>
      </w:r>
    </w:p>
    <w:p w:rsidR="00F555D6" w:rsidRPr="005C3B55" w:rsidRDefault="00F555D6" w:rsidP="00F555D6">
      <w:pPr>
        <w:spacing w:line="280" w:lineRule="auto"/>
        <w:rPr>
          <w:szCs w:val="24"/>
        </w:rPr>
      </w:pPr>
      <w:r w:rsidRPr="005C3B55">
        <w:rPr>
          <w:szCs w:val="24"/>
        </w:rPr>
        <w:t xml:space="preserve">Sub-measure: </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672"/>
              </w:numPr>
              <w:rPr>
                <w:szCs w:val="24"/>
              </w:rPr>
            </w:pPr>
            <w:r w:rsidRPr="005C3B55">
              <w:rPr>
                <w:szCs w:val="24"/>
              </w:rPr>
              <w:t>10.1 – Payment of agri-environment-climate commitments</w:t>
            </w: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Description of type of operation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The operation Litter meadows presents a change in existing practice and is implemented in habitats of certain qualifying species of butterflies in Natura 2000 areas. The operation is intended for the preservation of litter meadows (meadows which are mown in late summer). In this manner, species requiring very extensive use (mowing only once a year or even once every second year) are protected. An example of a species protected by this commitment is the false ringlet (</w:t>
            </w:r>
            <w:r w:rsidRPr="005C3B55">
              <w:rPr>
                <w:i/>
                <w:szCs w:val="24"/>
              </w:rPr>
              <w:t>Coenonympha oedippus</w:t>
            </w:r>
            <w:r w:rsidRPr="005C3B55">
              <w:rPr>
                <w:szCs w:val="24"/>
              </w:rPr>
              <w:t>).</w:t>
            </w:r>
          </w:p>
          <w:p w:rsidR="00F555D6" w:rsidRPr="005C3B55" w:rsidRDefault="00F555D6" w:rsidP="00F555D6">
            <w:pPr>
              <w:spacing w:before="240" w:after="240" w:line="280" w:lineRule="auto"/>
              <w:rPr>
                <w:szCs w:val="24"/>
              </w:rPr>
            </w:pPr>
            <w:r w:rsidRPr="005C3B55">
              <w:rPr>
                <w:szCs w:val="24"/>
              </w:rPr>
              <w:t>The operation Litter meadows includes two mandatory requirements, i.e.:</w:t>
            </w:r>
          </w:p>
          <w:p w:rsidR="00F555D6" w:rsidRPr="005C3B55" w:rsidRDefault="00F555D6" w:rsidP="00F555D6">
            <w:pPr>
              <w:spacing w:before="240" w:after="240" w:line="280" w:lineRule="auto"/>
              <w:rPr>
                <w:szCs w:val="24"/>
              </w:rPr>
            </w:pPr>
            <w:r w:rsidRPr="005C3B55">
              <w:rPr>
                <w:b/>
                <w:i/>
                <w:szCs w:val="24"/>
              </w:rPr>
              <w:t>STE_KOS: Mowing/pasturing is not permitted until 25 August</w:t>
            </w:r>
          </w:p>
          <w:p w:rsidR="00F555D6" w:rsidRPr="005C3B55" w:rsidRDefault="00F555D6" w:rsidP="00F555D6">
            <w:pPr>
              <w:spacing w:before="240" w:after="240" w:line="280" w:lineRule="auto"/>
              <w:rPr>
                <w:szCs w:val="24"/>
              </w:rPr>
            </w:pPr>
            <w:r w:rsidRPr="005C3B55">
              <w:rPr>
                <w:szCs w:val="24"/>
              </w:rPr>
              <w:t>The prohibition of the use (mowing and pasturing) until 25 August in ecologically important areas of litter meadows is intended for the preservation of litter meadows (i.e. meadows which are mown in late summer). By means of late mowing after 25 August, species requiring very extensive use (mowing only once a year) are protected. Humid meadows where intensive agricultural use is hardly feasible represent an important refuge for numerous animal species. Very rare meadow birds, e.g. corn crake (</w:t>
            </w:r>
            <w:r w:rsidRPr="005C3B55">
              <w:rPr>
                <w:i/>
                <w:szCs w:val="24"/>
              </w:rPr>
              <w:t>Crex crex</w:t>
            </w:r>
            <w:r w:rsidRPr="005C3B55">
              <w:rPr>
                <w:szCs w:val="24"/>
              </w:rPr>
              <w:t>) and a great variety of butterflies live on such meadows, including the false ringlet (</w:t>
            </w:r>
            <w:r w:rsidRPr="005C3B55">
              <w:rPr>
                <w:i/>
                <w:szCs w:val="24"/>
              </w:rPr>
              <w:t>Coenonympha oedippus</w:t>
            </w:r>
            <w:r w:rsidRPr="005C3B55">
              <w:rPr>
                <w:szCs w:val="24"/>
              </w:rPr>
              <w:t>) which is one of the most endangered species in Natura 2000 sites. Meadows which are the habitat of the false ringlet (</w:t>
            </w:r>
            <w:r w:rsidRPr="005C3B55">
              <w:rPr>
                <w:i/>
                <w:szCs w:val="24"/>
              </w:rPr>
              <w:t>Coenonympha oedippus</w:t>
            </w:r>
            <w:r w:rsidRPr="005C3B55">
              <w:rPr>
                <w:szCs w:val="24"/>
              </w:rPr>
              <w:t>) thrive on unfertilised soil which is seldom fertilised in small quantities. A complete prohibition of fertilisation is thus a necessary measure to preserve a suitable habitat.</w:t>
            </w:r>
          </w:p>
          <w:p w:rsidR="00F555D6" w:rsidRPr="005C3B55" w:rsidRDefault="00F555D6" w:rsidP="00F555D6">
            <w:pPr>
              <w:spacing w:before="240" w:after="240" w:line="280" w:lineRule="auto"/>
              <w:rPr>
                <w:szCs w:val="24"/>
              </w:rPr>
            </w:pPr>
            <w:r w:rsidRPr="005C3B55">
              <w:rPr>
                <w:szCs w:val="24"/>
              </w:rPr>
              <w:t>Within the implementation of this requirement in ecologically important areas of litter meadows, mowing and pasturing are not permitted before 25 August. Fertilisation is completely prohibited.</w:t>
            </w:r>
          </w:p>
          <w:p w:rsidR="00F555D6" w:rsidRPr="005C3B55" w:rsidRDefault="00F555D6" w:rsidP="00F555D6">
            <w:pPr>
              <w:numPr>
                <w:ilvl w:val="0"/>
                <w:numId w:val="673"/>
              </w:numPr>
              <w:spacing w:before="240" w:after="0"/>
              <w:ind w:hanging="290"/>
              <w:jc w:val="left"/>
              <w:rPr>
                <w:szCs w:val="24"/>
              </w:rPr>
            </w:pPr>
            <w:r w:rsidRPr="005C3B55">
              <w:rPr>
                <w:szCs w:val="24"/>
              </w:rPr>
              <w:t>Livestock density: 0 to 1.5 LU/ha of grazing animals (average annual livestock density).</w:t>
            </w:r>
          </w:p>
          <w:p w:rsidR="00F555D6" w:rsidRPr="005C3B55" w:rsidRDefault="00F555D6" w:rsidP="00F555D6">
            <w:pPr>
              <w:numPr>
                <w:ilvl w:val="0"/>
                <w:numId w:val="673"/>
              </w:numPr>
              <w:spacing w:before="0" w:after="0"/>
              <w:ind w:hanging="290"/>
              <w:jc w:val="left"/>
              <w:rPr>
                <w:szCs w:val="24"/>
              </w:rPr>
            </w:pPr>
            <w:r w:rsidRPr="005C3B55">
              <w:rPr>
                <w:szCs w:val="24"/>
              </w:rPr>
              <w:t>Use: permanent grassland.</w:t>
            </w:r>
          </w:p>
          <w:p w:rsidR="00F555D6" w:rsidRPr="005C3B55" w:rsidRDefault="00F555D6" w:rsidP="00F555D6">
            <w:pPr>
              <w:numPr>
                <w:ilvl w:val="0"/>
                <w:numId w:val="673"/>
              </w:numPr>
              <w:spacing w:before="0" w:after="0"/>
              <w:ind w:hanging="290"/>
              <w:jc w:val="left"/>
              <w:rPr>
                <w:szCs w:val="24"/>
              </w:rPr>
            </w:pPr>
            <w:r w:rsidRPr="005C3B55">
              <w:rPr>
                <w:szCs w:val="24"/>
              </w:rPr>
              <w:t>Coverage: part of the area.</w:t>
            </w:r>
          </w:p>
          <w:p w:rsidR="00F555D6" w:rsidRPr="005C3B55" w:rsidRDefault="00F555D6" w:rsidP="00F555D6">
            <w:pPr>
              <w:numPr>
                <w:ilvl w:val="0"/>
                <w:numId w:val="673"/>
              </w:numPr>
              <w:spacing w:before="0" w:after="0"/>
              <w:ind w:hanging="290"/>
              <w:jc w:val="left"/>
              <w:rPr>
                <w:szCs w:val="24"/>
              </w:rPr>
            </w:pPr>
            <w:r w:rsidRPr="005C3B55">
              <w:rPr>
                <w:szCs w:val="24"/>
              </w:rPr>
              <w:t>Location: the same throughout the commitment.</w:t>
            </w:r>
          </w:p>
          <w:p w:rsidR="00F555D6" w:rsidRPr="005C3B55" w:rsidRDefault="00F555D6" w:rsidP="00F555D6">
            <w:pPr>
              <w:numPr>
                <w:ilvl w:val="0"/>
                <w:numId w:val="673"/>
              </w:numPr>
              <w:spacing w:before="0" w:after="240"/>
              <w:ind w:hanging="290"/>
              <w:jc w:val="left"/>
              <w:rPr>
                <w:szCs w:val="24"/>
              </w:rPr>
            </w:pPr>
            <w:r w:rsidRPr="005C3B55">
              <w:rPr>
                <w:szCs w:val="24"/>
              </w:rPr>
              <w:t>Implementation area: ecologically important areas of litter meadows.</w:t>
            </w:r>
          </w:p>
          <w:p w:rsidR="00F555D6" w:rsidRPr="005C3B55" w:rsidRDefault="00F555D6" w:rsidP="00F555D6">
            <w:pPr>
              <w:spacing w:before="240" w:after="240" w:line="280" w:lineRule="auto"/>
              <w:rPr>
                <w:szCs w:val="24"/>
              </w:rPr>
            </w:pPr>
            <w:r w:rsidRPr="005C3B55">
              <w:rPr>
                <w:szCs w:val="24"/>
              </w:rPr>
              <w:t>Effects:</w:t>
            </w:r>
          </w:p>
          <w:p w:rsidR="00F555D6" w:rsidRPr="005C3B55" w:rsidRDefault="00F555D6" w:rsidP="00F555D6">
            <w:pPr>
              <w:numPr>
                <w:ilvl w:val="0"/>
                <w:numId w:val="674"/>
              </w:numPr>
              <w:spacing w:before="240" w:after="0"/>
              <w:ind w:hanging="290"/>
              <w:jc w:val="left"/>
              <w:rPr>
                <w:szCs w:val="24"/>
              </w:rPr>
            </w:pPr>
            <w:r w:rsidRPr="005C3B55">
              <w:rPr>
                <w:szCs w:val="24"/>
              </w:rPr>
              <w:t>preserving the false ringlet (</w:t>
            </w:r>
            <w:r w:rsidRPr="005C3B55">
              <w:rPr>
                <w:i/>
                <w:szCs w:val="24"/>
              </w:rPr>
              <w:t>Coenonympha oedippus</w:t>
            </w:r>
            <w:r w:rsidRPr="005C3B55">
              <w:rPr>
                <w:szCs w:val="24"/>
              </w:rPr>
              <w:t>);</w:t>
            </w:r>
          </w:p>
          <w:p w:rsidR="00F555D6" w:rsidRPr="005C3B55" w:rsidRDefault="00F555D6" w:rsidP="00F555D6">
            <w:pPr>
              <w:numPr>
                <w:ilvl w:val="0"/>
                <w:numId w:val="674"/>
              </w:numPr>
              <w:spacing w:before="0" w:after="0"/>
              <w:ind w:hanging="290"/>
              <w:jc w:val="left"/>
              <w:rPr>
                <w:szCs w:val="24"/>
              </w:rPr>
            </w:pPr>
            <w:r w:rsidRPr="005C3B55">
              <w:rPr>
                <w:szCs w:val="24"/>
              </w:rPr>
              <w:t>preserving meadow bird species;</w:t>
            </w:r>
          </w:p>
          <w:p w:rsidR="00F555D6" w:rsidRPr="005C3B55" w:rsidRDefault="00F555D6" w:rsidP="00F555D6">
            <w:pPr>
              <w:numPr>
                <w:ilvl w:val="0"/>
                <w:numId w:val="674"/>
              </w:numPr>
              <w:spacing w:before="0" w:after="0"/>
              <w:ind w:hanging="290"/>
              <w:jc w:val="left"/>
              <w:rPr>
                <w:szCs w:val="24"/>
              </w:rPr>
            </w:pPr>
            <w:r w:rsidRPr="005C3B55">
              <w:rPr>
                <w:szCs w:val="24"/>
              </w:rPr>
              <w:t>preventing the abandonment of agricultural land use and overgrowing of meadows;</w:t>
            </w:r>
          </w:p>
          <w:p w:rsidR="00F555D6" w:rsidRPr="005C3B55" w:rsidRDefault="00F555D6" w:rsidP="00F555D6">
            <w:pPr>
              <w:numPr>
                <w:ilvl w:val="0"/>
                <w:numId w:val="674"/>
              </w:numPr>
              <w:spacing w:before="0" w:after="0"/>
              <w:ind w:hanging="290"/>
              <w:jc w:val="left"/>
              <w:rPr>
                <w:szCs w:val="24"/>
              </w:rPr>
            </w:pPr>
            <w:r w:rsidRPr="005C3B55">
              <w:rPr>
                <w:szCs w:val="24"/>
              </w:rPr>
              <w:t>seeding and increasing species variety of grass;</w:t>
            </w:r>
          </w:p>
          <w:p w:rsidR="00F555D6" w:rsidRPr="005C3B55" w:rsidRDefault="00F555D6" w:rsidP="00F555D6">
            <w:pPr>
              <w:numPr>
                <w:ilvl w:val="0"/>
                <w:numId w:val="674"/>
              </w:numPr>
              <w:spacing w:before="0" w:after="240"/>
              <w:ind w:hanging="290"/>
              <w:jc w:val="left"/>
              <w:rPr>
                <w:szCs w:val="24"/>
              </w:rPr>
            </w:pPr>
            <w:r w:rsidRPr="005C3B55">
              <w:rPr>
                <w:szCs w:val="24"/>
              </w:rPr>
              <w:t>conservation of grassland habitat types which thrive on oligotrophic soil.</w:t>
            </w:r>
          </w:p>
          <w:p w:rsidR="00F555D6" w:rsidRPr="005C3B55" w:rsidRDefault="00F555D6" w:rsidP="00F555D6">
            <w:pPr>
              <w:spacing w:before="240" w:after="240" w:line="280" w:lineRule="auto"/>
              <w:rPr>
                <w:szCs w:val="24"/>
              </w:rPr>
            </w:pPr>
            <w:r w:rsidRPr="005C3B55">
              <w:rPr>
                <w:b/>
                <w:i/>
                <w:szCs w:val="24"/>
              </w:rPr>
              <w:t>STE_NPAS: In geographical agricultural units larger than 1ha, the unmown surface of a meadow to be mown in the following year amounts to between 5 and 10% of the surface of the meadow</w:t>
            </w:r>
          </w:p>
          <w:p w:rsidR="00F555D6" w:rsidRPr="005C3B55" w:rsidRDefault="00F555D6" w:rsidP="00F555D6">
            <w:pPr>
              <w:spacing w:before="240" w:after="240" w:line="280" w:lineRule="auto"/>
              <w:rPr>
                <w:szCs w:val="24"/>
              </w:rPr>
            </w:pPr>
            <w:r w:rsidRPr="005C3B55">
              <w:rPr>
                <w:szCs w:val="24"/>
              </w:rPr>
              <w:t>Leaving surfaces unmown has positive effects on species and habitat types. The unmown surface is a donor zone for species which are affected due to agricultural use which fails to observe their ecological requirements. The unmown parts also represent an important refuge for various species of mammals, birds, butterflies and other insects. Leaving surfaces unmown over the winter is particularly important from the view of ensuring suitable conditions for successful realisation of the complete development cycle of butterflies.</w:t>
            </w:r>
          </w:p>
          <w:p w:rsidR="00F555D6" w:rsidRPr="005C3B55" w:rsidRDefault="00F555D6" w:rsidP="00F555D6">
            <w:pPr>
              <w:spacing w:before="240" w:after="240" w:line="280" w:lineRule="auto"/>
              <w:rPr>
                <w:szCs w:val="24"/>
              </w:rPr>
            </w:pPr>
            <w:r w:rsidRPr="005C3B55">
              <w:rPr>
                <w:szCs w:val="24"/>
              </w:rPr>
              <w:t>The purpose of the requirement is to stimulate good environmental practice on grassland of moderate intensity. The implementation of additional requirements will further enhance the environmental and nature conservation role of these grasslands. The specifics of Slovenian grassland are great fragmentation, dynamic configuration and the connection of areas with non-agricultural applications. This requirement will contribute to maintaining a favourable status of neighbouring habitats which will be target-protected within the framework of other operations.</w:t>
            </w:r>
          </w:p>
          <w:p w:rsidR="00F555D6" w:rsidRPr="005C3B55" w:rsidRDefault="00F555D6" w:rsidP="00F555D6">
            <w:pPr>
              <w:spacing w:before="240" w:after="240" w:line="280" w:lineRule="auto"/>
              <w:rPr>
                <w:szCs w:val="24"/>
              </w:rPr>
            </w:pPr>
            <w:r w:rsidRPr="005C3B55">
              <w:rPr>
                <w:szCs w:val="24"/>
              </w:rPr>
              <w:t>Unmown surface amounting to between 5 and 10 % of the surface of a meadow may not be mown before 25 August of the following year.</w:t>
            </w:r>
          </w:p>
          <w:p w:rsidR="00F555D6" w:rsidRPr="005C3B55" w:rsidRDefault="00F555D6" w:rsidP="00F555D6">
            <w:pPr>
              <w:numPr>
                <w:ilvl w:val="0"/>
                <w:numId w:val="675"/>
              </w:numPr>
              <w:spacing w:before="240" w:after="0"/>
              <w:ind w:hanging="290"/>
              <w:jc w:val="left"/>
              <w:rPr>
                <w:szCs w:val="24"/>
              </w:rPr>
            </w:pPr>
            <w:r w:rsidRPr="005C3B55">
              <w:rPr>
                <w:szCs w:val="24"/>
              </w:rPr>
              <w:t>Livestock density: 0 to 1.5 LU/ha of grazing animals (average annual livestock density).</w:t>
            </w:r>
          </w:p>
          <w:p w:rsidR="00F555D6" w:rsidRPr="005C3B55" w:rsidRDefault="00F555D6" w:rsidP="00F555D6">
            <w:pPr>
              <w:numPr>
                <w:ilvl w:val="0"/>
                <w:numId w:val="675"/>
              </w:numPr>
              <w:spacing w:before="0" w:after="0"/>
              <w:ind w:hanging="290"/>
              <w:jc w:val="left"/>
              <w:rPr>
                <w:szCs w:val="24"/>
              </w:rPr>
            </w:pPr>
            <w:r w:rsidRPr="005C3B55">
              <w:rPr>
                <w:szCs w:val="24"/>
              </w:rPr>
              <w:t>Use: permanent grassland.</w:t>
            </w:r>
          </w:p>
          <w:p w:rsidR="00F555D6" w:rsidRPr="005C3B55" w:rsidRDefault="00F555D6" w:rsidP="00F555D6">
            <w:pPr>
              <w:numPr>
                <w:ilvl w:val="0"/>
                <w:numId w:val="675"/>
              </w:numPr>
              <w:spacing w:before="0" w:after="0"/>
              <w:ind w:hanging="290"/>
              <w:jc w:val="left"/>
              <w:rPr>
                <w:szCs w:val="24"/>
              </w:rPr>
            </w:pPr>
            <w:r w:rsidRPr="005C3B55">
              <w:rPr>
                <w:szCs w:val="24"/>
              </w:rPr>
              <w:t>Coverage: part of the area.</w:t>
            </w:r>
          </w:p>
          <w:p w:rsidR="00F555D6" w:rsidRPr="005C3B55" w:rsidRDefault="00F555D6" w:rsidP="00F555D6">
            <w:pPr>
              <w:numPr>
                <w:ilvl w:val="0"/>
                <w:numId w:val="675"/>
              </w:numPr>
              <w:spacing w:before="0" w:after="0"/>
              <w:ind w:hanging="290"/>
              <w:jc w:val="left"/>
              <w:rPr>
                <w:szCs w:val="24"/>
              </w:rPr>
            </w:pPr>
            <w:r w:rsidRPr="005C3B55">
              <w:rPr>
                <w:szCs w:val="24"/>
              </w:rPr>
              <w:t>Location: the same throughout the commitment.</w:t>
            </w:r>
          </w:p>
          <w:p w:rsidR="00F555D6" w:rsidRPr="005C3B55" w:rsidRDefault="00F555D6" w:rsidP="00F555D6">
            <w:pPr>
              <w:numPr>
                <w:ilvl w:val="0"/>
                <w:numId w:val="675"/>
              </w:numPr>
              <w:spacing w:before="0" w:after="240"/>
              <w:ind w:hanging="290"/>
              <w:jc w:val="left"/>
              <w:rPr>
                <w:szCs w:val="24"/>
              </w:rPr>
            </w:pPr>
            <w:r w:rsidRPr="005C3B55">
              <w:rPr>
                <w:szCs w:val="24"/>
              </w:rPr>
              <w:t>Implementation area: ecologically important areas of litter meadows.</w:t>
            </w:r>
          </w:p>
          <w:p w:rsidR="00F555D6" w:rsidRPr="005C3B55" w:rsidRDefault="00F555D6" w:rsidP="00F555D6">
            <w:pPr>
              <w:spacing w:before="240" w:after="240" w:line="280" w:lineRule="auto"/>
              <w:rPr>
                <w:szCs w:val="24"/>
              </w:rPr>
            </w:pPr>
            <w:r w:rsidRPr="005C3B55">
              <w:rPr>
                <w:szCs w:val="24"/>
              </w:rPr>
              <w:t>Effects:</w:t>
            </w:r>
          </w:p>
          <w:p w:rsidR="00F555D6" w:rsidRPr="005C3B55" w:rsidRDefault="00F555D6" w:rsidP="00F555D6">
            <w:pPr>
              <w:numPr>
                <w:ilvl w:val="0"/>
                <w:numId w:val="676"/>
              </w:numPr>
              <w:spacing w:before="240" w:after="0"/>
              <w:ind w:hanging="290"/>
              <w:jc w:val="left"/>
              <w:rPr>
                <w:szCs w:val="24"/>
              </w:rPr>
            </w:pPr>
            <w:r w:rsidRPr="005C3B55">
              <w:rPr>
                <w:szCs w:val="24"/>
              </w:rPr>
              <w:t>maintaining and increasing the possibilities of the survival of endangered species of insects (butterflies, grasshoppers) and other animals in the meadow (conservation of biodiversity in nature), enabling seeding of plants and preserving plant species typical of natural grassland;</w:t>
            </w:r>
          </w:p>
          <w:p w:rsidR="00F555D6" w:rsidRPr="005C3B55" w:rsidRDefault="00F555D6" w:rsidP="00F555D6">
            <w:pPr>
              <w:numPr>
                <w:ilvl w:val="0"/>
                <w:numId w:val="676"/>
              </w:numPr>
              <w:spacing w:before="0" w:after="240"/>
              <w:ind w:hanging="290"/>
              <w:jc w:val="left"/>
              <w:rPr>
                <w:szCs w:val="24"/>
              </w:rPr>
            </w:pPr>
            <w:r w:rsidRPr="005C3B55">
              <w:rPr>
                <w:szCs w:val="24"/>
              </w:rPr>
              <w:t>ensuring a favourable status of qualifying species and habitat types in Natura 2000 areas.</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Type of support</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Support for the implementation of the operation Litter meadows consists of:</w:t>
            </w:r>
          </w:p>
          <w:p w:rsidR="00F555D6" w:rsidRPr="005C3B55" w:rsidRDefault="00F555D6" w:rsidP="00F555D6">
            <w:pPr>
              <w:numPr>
                <w:ilvl w:val="0"/>
                <w:numId w:val="677"/>
              </w:numPr>
              <w:spacing w:before="240" w:after="240"/>
              <w:jc w:val="left"/>
              <w:rPr>
                <w:szCs w:val="24"/>
              </w:rPr>
            </w:pPr>
            <w:r w:rsidRPr="005C3B55">
              <w:rPr>
                <w:szCs w:val="24"/>
              </w:rPr>
              <w:t>payments per hectare for the implementation of mandatory requirements.</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Connection with other legislation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The operation Litter meadows is connected with national and EU regulations in the field of measures of agricultural policy, agriculture, the environment, nature protection and rural development.</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Beneficiaries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Beneficiaries for payments are agricultural holdings which participate voluntarily in the implementation of the operation Litter meadows and meet the prescribed conditions and requirements.</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Eligible costs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Payments are only intended for those commitments within the operation Litter meadows which exceed suitable mandatory standards determined in accordance with Chapter I, Title VI of Regulation (EU) No 1306/2013, suitable criteria determined in the second indent of item c) of the first paragraph of Article 4 of Regulation (EU) No 1307/2013, and other suitable mandatory requirements from national regulations.</w:t>
            </w:r>
          </w:p>
          <w:p w:rsidR="00F555D6" w:rsidRPr="005C3B55" w:rsidRDefault="00F555D6" w:rsidP="00F555D6">
            <w:pPr>
              <w:spacing w:before="240" w:after="240" w:line="280" w:lineRule="auto"/>
              <w:rPr>
                <w:szCs w:val="24"/>
              </w:rPr>
            </w:pPr>
            <w:r w:rsidRPr="005C3B55">
              <w:rPr>
                <w:szCs w:val="24"/>
              </w:rPr>
              <w:t>Payments cover 100 per cent of the additional costs and the loss of revenue due to the assumed commitment.</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Conditions for eligibility</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When entering the M10 measure, an agricultural holding must:</w:t>
            </w:r>
          </w:p>
          <w:p w:rsidR="00F555D6" w:rsidRPr="005C3B55" w:rsidRDefault="00F555D6" w:rsidP="00F555D6">
            <w:pPr>
              <w:numPr>
                <w:ilvl w:val="0"/>
                <w:numId w:val="678"/>
              </w:numPr>
              <w:spacing w:before="240" w:after="0"/>
              <w:ind w:hanging="290"/>
              <w:jc w:val="left"/>
              <w:rPr>
                <w:szCs w:val="24"/>
              </w:rPr>
            </w:pPr>
            <w:r w:rsidRPr="005C3B55">
              <w:rPr>
                <w:szCs w:val="24"/>
              </w:rPr>
              <w:t>have at least 1 ha of agricultural land in use as per Article 4 of Regulation (EU) No 1307/2013;</w:t>
            </w:r>
          </w:p>
          <w:p w:rsidR="00F555D6" w:rsidRPr="005C3B55" w:rsidRDefault="00F555D6" w:rsidP="00F555D6">
            <w:pPr>
              <w:numPr>
                <w:ilvl w:val="0"/>
                <w:numId w:val="678"/>
              </w:numPr>
              <w:spacing w:before="0" w:after="0"/>
              <w:ind w:hanging="290"/>
              <w:jc w:val="left"/>
              <w:rPr>
                <w:szCs w:val="24"/>
              </w:rPr>
            </w:pPr>
            <w:r w:rsidRPr="005C3B55">
              <w:rPr>
                <w:szCs w:val="24"/>
              </w:rPr>
              <w:t>be entered in the register of agricultural holdings in accordance with the regulation on the register of agricultural holdings;</w:t>
            </w:r>
          </w:p>
          <w:p w:rsidR="00F555D6" w:rsidRPr="005C3B55" w:rsidRDefault="00F555D6" w:rsidP="00F555D6">
            <w:pPr>
              <w:numPr>
                <w:ilvl w:val="0"/>
                <w:numId w:val="678"/>
              </w:numPr>
              <w:spacing w:before="0" w:after="0"/>
              <w:ind w:hanging="290"/>
              <w:jc w:val="left"/>
              <w:rPr>
                <w:szCs w:val="24"/>
              </w:rPr>
            </w:pPr>
            <w:r w:rsidRPr="005C3B55">
              <w:rPr>
                <w:szCs w:val="24"/>
              </w:rPr>
              <w:t>undergo a six-hour training programme on agri-environment-climate content;</w:t>
            </w:r>
          </w:p>
          <w:p w:rsidR="00F555D6" w:rsidRPr="005C3B55" w:rsidRDefault="00F555D6" w:rsidP="00F555D6">
            <w:pPr>
              <w:numPr>
                <w:ilvl w:val="0"/>
                <w:numId w:val="678"/>
              </w:numPr>
              <w:spacing w:before="0" w:after="240"/>
              <w:ind w:hanging="290"/>
              <w:jc w:val="left"/>
              <w:rPr>
                <w:szCs w:val="24"/>
              </w:rPr>
            </w:pPr>
            <w:r w:rsidRPr="005C3B55">
              <w:rPr>
                <w:szCs w:val="24"/>
              </w:rPr>
              <w:t>prepare an activities programme of the agricultural holding which is an electronic document prepared as a result of advisory services.</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Principles regarding the determination of selection criteria</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The selection criteria are not relevant.</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(Valid) amounts and support rates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The amount of payment for the operation Litter meadows amounts to 100% of amount of payments as per the model calculation. Two amounts for payment are defined under the requirement STE_KOS. The area of the Ljubljana Marshes is also entitled to higher payment which includes opportunity costs.</w:t>
            </w:r>
          </w:p>
          <w:p w:rsidR="00F555D6" w:rsidRPr="005C3B55" w:rsidRDefault="00F555D6" w:rsidP="00F555D6">
            <w:pPr>
              <w:spacing w:before="240" w:after="240" w:line="280" w:lineRule="auto"/>
              <w:rPr>
                <w:szCs w:val="24"/>
              </w:rPr>
            </w:pPr>
            <w:r w:rsidRPr="005C3B55">
              <w:rPr>
                <w:szCs w:val="24"/>
              </w:rPr>
              <w:t> </w:t>
            </w:r>
          </w:p>
          <w:p w:rsidR="00F555D6" w:rsidRPr="005C3B55" w:rsidRDefault="00F555D6" w:rsidP="00F555D6">
            <w:pPr>
              <w:pStyle w:val="Telobesedila"/>
              <w:rPr>
                <w:szCs w:val="24"/>
              </w:rPr>
            </w:pPr>
          </w:p>
          <w:p w:rsidR="00F555D6" w:rsidRPr="005C3B55" w:rsidRDefault="0012246E" w:rsidP="00F555D6">
            <w:pPr>
              <w:pStyle w:val="Telobesedila3"/>
              <w:jc w:val="center"/>
              <w:rPr>
                <w:szCs w:val="24"/>
              </w:rPr>
            </w:pPr>
            <w:r w:rsidRPr="005C3B55">
              <w:rPr>
                <w:noProof/>
                <w:szCs w:val="24"/>
                <w:lang w:val="sl-SI"/>
              </w:rPr>
              <w:drawing>
                <wp:inline distT="0" distB="0" distL="0" distR="0">
                  <wp:extent cx="4781550" cy="2181225"/>
                  <wp:effectExtent l="0" t="0" r="0" b="9525"/>
                  <wp:docPr id="2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781550" cy="2181225"/>
                          </a:xfrm>
                          <a:prstGeom prst="rect">
                            <a:avLst/>
                          </a:prstGeom>
                          <a:noFill/>
                          <a:ln>
                            <a:noFill/>
                          </a:ln>
                        </pic:spPr>
                      </pic:pic>
                    </a:graphicData>
                  </a:graphic>
                </wp:inline>
              </w:drawing>
            </w:r>
          </w:p>
          <w:p w:rsidR="00F555D6" w:rsidRPr="005C3B55" w:rsidRDefault="00F555D6" w:rsidP="00F555D6">
            <w:pPr>
              <w:pStyle w:val="Noga"/>
              <w:jc w:val="center"/>
              <w:rPr>
                <w:szCs w:val="24"/>
              </w:rPr>
            </w:pPr>
            <w:r w:rsidRPr="005C3B55">
              <w:rPr>
                <w:szCs w:val="24"/>
              </w:rPr>
              <w:t>Amount of payments for requirements within the operation Litter meadows</w:t>
            </w:r>
          </w:p>
          <w:p w:rsidR="00F555D6" w:rsidRPr="005C3B55" w:rsidRDefault="00F555D6" w:rsidP="00F555D6">
            <w:pPr>
              <w:pStyle w:val="Noga"/>
              <w:jc w:val="center"/>
              <w:rPr>
                <w:szCs w:val="24"/>
              </w:rPr>
            </w:pPr>
          </w:p>
        </w:tc>
      </w:tr>
    </w:tbl>
    <w:p w:rsidR="00F555D6" w:rsidRPr="005C3B55" w:rsidRDefault="00F555D6" w:rsidP="00F555D6">
      <w:pPr>
        <w:pStyle w:val="Naslov6"/>
        <w:numPr>
          <w:ilvl w:val="0"/>
          <w:numId w:val="0"/>
        </w:numPr>
        <w:rPr>
          <w:szCs w:val="24"/>
          <w:lang w:val="en-GB"/>
        </w:rPr>
      </w:pPr>
    </w:p>
    <w:p w:rsidR="00F555D6" w:rsidRPr="005C3B55" w:rsidRDefault="00F555D6" w:rsidP="00F555D6">
      <w:r w:rsidRPr="005C3B55">
        <w:t>Amount of payments (EUR/ha annually) for requirements within the operation ‘Litter meadows’</w:t>
      </w:r>
    </w:p>
    <w:tbl>
      <w:tblPr>
        <w:tblW w:w="5000" w:type="pct"/>
        <w:tblInd w:w="108"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2132"/>
        <w:gridCol w:w="2131"/>
        <w:gridCol w:w="2329"/>
        <w:gridCol w:w="1933"/>
        <w:gridCol w:w="2131"/>
      </w:tblGrid>
      <w:tr w:rsidR="00F555D6" w:rsidRPr="005C3B55">
        <w:tc>
          <w:tcPr>
            <w:tcW w:w="1000" w:type="pct"/>
            <w:tcBorders>
              <w:top w:val="single" w:sz="18" w:space="0" w:color="auto"/>
              <w:left w:val="single" w:sz="18" w:space="0" w:color="auto"/>
              <w:bottom w:val="single" w:sz="18" w:space="0" w:color="auto"/>
              <w:right w:val="single" w:sz="18" w:space="0" w:color="auto"/>
            </w:tcBorders>
            <w:shd w:val="clear" w:color="auto" w:fill="D9D9D9"/>
            <w:vAlign w:val="center"/>
          </w:tcPr>
          <w:p w:rsidR="00F555D6" w:rsidRPr="005C3B55" w:rsidRDefault="00F555D6" w:rsidP="00F555D6">
            <w:r w:rsidRPr="005C3B55">
              <w:rPr>
                <w:b/>
                <w:sz w:val="20"/>
              </w:rPr>
              <w:t>Requirement</w:t>
            </w:r>
          </w:p>
        </w:tc>
        <w:tc>
          <w:tcPr>
            <w:tcW w:w="1000" w:type="pct"/>
            <w:tcBorders>
              <w:top w:val="single" w:sz="18" w:space="0" w:color="auto"/>
              <w:left w:val="single" w:sz="18" w:space="0" w:color="auto"/>
              <w:bottom w:val="single" w:sz="18" w:space="0" w:color="auto"/>
              <w:right w:val="single" w:sz="18" w:space="0" w:color="auto"/>
            </w:tcBorders>
            <w:shd w:val="clear" w:color="auto" w:fill="D9D9D9"/>
            <w:vAlign w:val="center"/>
          </w:tcPr>
          <w:p w:rsidR="00F555D6" w:rsidRPr="005C3B55" w:rsidRDefault="00F555D6" w:rsidP="00F555D6">
            <w:pPr>
              <w:autoSpaceDE w:val="0"/>
              <w:autoSpaceDN w:val="0"/>
              <w:adjustRightInd w:val="0"/>
              <w:jc w:val="right"/>
            </w:pPr>
            <w:r w:rsidRPr="005C3B55">
              <w:rPr>
                <w:b/>
                <w:sz w:val="20"/>
              </w:rPr>
              <w:t>Calculated payment amount as per model calculation</w:t>
            </w:r>
          </w:p>
        </w:tc>
        <w:tc>
          <w:tcPr>
            <w:tcW w:w="1093" w:type="pct"/>
            <w:tcBorders>
              <w:top w:val="single" w:sz="18" w:space="0" w:color="auto"/>
              <w:left w:val="single" w:sz="18" w:space="0" w:color="auto"/>
              <w:bottom w:val="single" w:sz="18" w:space="0" w:color="auto"/>
              <w:right w:val="single" w:sz="18" w:space="0" w:color="auto"/>
            </w:tcBorders>
            <w:shd w:val="clear" w:color="auto" w:fill="D9D9D9"/>
            <w:vAlign w:val="center"/>
          </w:tcPr>
          <w:p w:rsidR="00F555D6" w:rsidRPr="005C3B55" w:rsidRDefault="00F555D6" w:rsidP="00F555D6">
            <w:pPr>
              <w:autoSpaceDE w:val="0"/>
              <w:autoSpaceDN w:val="0"/>
              <w:adjustRightInd w:val="0"/>
              <w:jc w:val="right"/>
            </w:pPr>
            <w:r w:rsidRPr="005C3B55">
              <w:rPr>
                <w:b/>
                <w:sz w:val="20"/>
              </w:rPr>
              <w:t>Highest possible payment as per Annex II to Regulation (EU) No 1305/2013</w:t>
            </w:r>
          </w:p>
        </w:tc>
        <w:tc>
          <w:tcPr>
            <w:tcW w:w="907" w:type="pct"/>
            <w:tcBorders>
              <w:top w:val="single" w:sz="18" w:space="0" w:color="auto"/>
              <w:left w:val="single" w:sz="18" w:space="0" w:color="auto"/>
              <w:bottom w:val="single" w:sz="18" w:space="0" w:color="auto"/>
              <w:right w:val="single" w:sz="18" w:space="0" w:color="auto"/>
            </w:tcBorders>
            <w:shd w:val="clear" w:color="auto" w:fill="D9D9D9"/>
            <w:vAlign w:val="center"/>
          </w:tcPr>
          <w:p w:rsidR="00F555D6" w:rsidRPr="005C3B55" w:rsidRDefault="00F555D6" w:rsidP="00F555D6">
            <w:pPr>
              <w:autoSpaceDE w:val="0"/>
              <w:autoSpaceDN w:val="0"/>
              <w:adjustRightInd w:val="0"/>
              <w:jc w:val="right"/>
            </w:pPr>
            <w:r w:rsidRPr="005C3B55">
              <w:rPr>
                <w:b/>
                <w:sz w:val="20"/>
              </w:rPr>
              <w:t>Highest possible amount</w:t>
            </w:r>
          </w:p>
        </w:tc>
        <w:tc>
          <w:tcPr>
            <w:tcW w:w="1000" w:type="pct"/>
            <w:tcBorders>
              <w:top w:val="single" w:sz="18" w:space="0" w:color="auto"/>
              <w:left w:val="single" w:sz="18" w:space="0" w:color="auto"/>
              <w:bottom w:val="single" w:sz="18" w:space="0" w:color="auto"/>
              <w:right w:val="single" w:sz="18" w:space="0" w:color="auto"/>
            </w:tcBorders>
            <w:shd w:val="clear" w:color="auto" w:fill="D9D9D9"/>
            <w:vAlign w:val="center"/>
          </w:tcPr>
          <w:p w:rsidR="00F555D6" w:rsidRPr="005C3B55" w:rsidRDefault="00F555D6" w:rsidP="00F555D6">
            <w:pPr>
              <w:jc w:val="right"/>
            </w:pPr>
            <w:r w:rsidRPr="005C3B55">
              <w:rPr>
                <w:b/>
                <w:sz w:val="20"/>
              </w:rPr>
              <w:t>Payment (100% of payment amount calculated as per model calculation)</w:t>
            </w:r>
          </w:p>
        </w:tc>
      </w:tr>
      <w:tr w:rsidR="00F555D6" w:rsidRPr="005C3B55">
        <w:tc>
          <w:tcPr>
            <w:tcW w:w="5000" w:type="pct"/>
            <w:gridSpan w:val="5"/>
            <w:tcBorders>
              <w:top w:val="single" w:sz="18" w:space="0" w:color="auto"/>
              <w:left w:val="single" w:sz="18" w:space="0" w:color="auto"/>
              <w:bottom w:val="single" w:sz="18" w:space="0" w:color="auto"/>
              <w:right w:val="single" w:sz="18" w:space="0" w:color="auto"/>
            </w:tcBorders>
            <w:shd w:val="clear" w:color="auto" w:fill="E0E0E0"/>
          </w:tcPr>
          <w:p w:rsidR="00F555D6" w:rsidRPr="005C3B55" w:rsidRDefault="00F555D6" w:rsidP="00F555D6">
            <w:r w:rsidRPr="005C3B55">
              <w:rPr>
                <w:b/>
                <w:sz w:val="20"/>
              </w:rPr>
              <w:t>A. Mandatory requirements</w:t>
            </w:r>
          </w:p>
        </w:tc>
      </w:tr>
      <w:tr w:rsidR="00F555D6" w:rsidRPr="005C3B55">
        <w:tc>
          <w:tcPr>
            <w:tcW w:w="1000" w:type="pct"/>
            <w:tcBorders>
              <w:top w:val="single" w:sz="18" w:space="0" w:color="auto"/>
              <w:left w:val="single" w:sz="18" w:space="0" w:color="auto"/>
              <w:bottom w:val="single" w:sz="18" w:space="0" w:color="auto"/>
              <w:right w:val="single" w:sz="18" w:space="0" w:color="auto"/>
            </w:tcBorders>
          </w:tcPr>
          <w:p w:rsidR="00F555D6" w:rsidRPr="005C3B55" w:rsidRDefault="00F555D6" w:rsidP="00F555D6">
            <w:pPr>
              <w:rPr>
                <w:sz w:val="20"/>
              </w:rPr>
            </w:pPr>
            <w:r w:rsidRPr="005C3B55">
              <w:rPr>
                <w:sz w:val="20"/>
              </w:rPr>
              <w:t>STE_KOS (areas which take into account opportunity)</w:t>
            </w:r>
          </w:p>
        </w:tc>
        <w:tc>
          <w:tcPr>
            <w:tcW w:w="1000"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238.20</w:t>
            </w:r>
          </w:p>
        </w:tc>
        <w:tc>
          <w:tcPr>
            <w:tcW w:w="1093"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450</w:t>
            </w:r>
          </w:p>
        </w:tc>
        <w:tc>
          <w:tcPr>
            <w:tcW w:w="907"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238.20</w:t>
            </w:r>
          </w:p>
        </w:tc>
        <w:tc>
          <w:tcPr>
            <w:tcW w:w="1000"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238.20</w:t>
            </w:r>
          </w:p>
        </w:tc>
      </w:tr>
      <w:tr w:rsidR="00F555D6" w:rsidRPr="005C3B55">
        <w:tc>
          <w:tcPr>
            <w:tcW w:w="1000" w:type="pct"/>
            <w:tcBorders>
              <w:top w:val="single" w:sz="18" w:space="0" w:color="auto"/>
              <w:left w:val="single" w:sz="18" w:space="0" w:color="auto"/>
              <w:bottom w:val="single" w:sz="18" w:space="0" w:color="auto"/>
              <w:right w:val="single" w:sz="18" w:space="0" w:color="auto"/>
            </w:tcBorders>
          </w:tcPr>
          <w:p w:rsidR="00F555D6" w:rsidRPr="005C3B55" w:rsidRDefault="00F555D6" w:rsidP="00F555D6">
            <w:pPr>
              <w:rPr>
                <w:sz w:val="20"/>
              </w:rPr>
            </w:pPr>
            <w:r w:rsidRPr="005C3B55">
              <w:rPr>
                <w:sz w:val="20"/>
              </w:rPr>
              <w:t>STE_KOS (other areas)</w:t>
            </w:r>
          </w:p>
        </w:tc>
        <w:tc>
          <w:tcPr>
            <w:tcW w:w="1000"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138.00</w:t>
            </w:r>
          </w:p>
        </w:tc>
        <w:tc>
          <w:tcPr>
            <w:tcW w:w="1093"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450</w:t>
            </w:r>
          </w:p>
        </w:tc>
        <w:tc>
          <w:tcPr>
            <w:tcW w:w="907"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138.00</w:t>
            </w:r>
          </w:p>
        </w:tc>
        <w:tc>
          <w:tcPr>
            <w:tcW w:w="1000"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138.00</w:t>
            </w:r>
          </w:p>
        </w:tc>
      </w:tr>
      <w:tr w:rsidR="00F555D6" w:rsidRPr="005C3B55">
        <w:tc>
          <w:tcPr>
            <w:tcW w:w="1000" w:type="pct"/>
            <w:tcBorders>
              <w:top w:val="single" w:sz="18" w:space="0" w:color="auto"/>
              <w:left w:val="single" w:sz="18" w:space="0" w:color="auto"/>
              <w:bottom w:val="single" w:sz="18" w:space="0" w:color="auto"/>
              <w:right w:val="single" w:sz="18" w:space="0" w:color="auto"/>
            </w:tcBorders>
          </w:tcPr>
          <w:p w:rsidR="00F555D6" w:rsidRPr="005C3B55" w:rsidRDefault="00F555D6" w:rsidP="00F555D6">
            <w:pPr>
              <w:rPr>
                <w:sz w:val="20"/>
              </w:rPr>
            </w:pPr>
            <w:r w:rsidRPr="005C3B55">
              <w:rPr>
                <w:sz w:val="20"/>
              </w:rPr>
              <w:t>STE_NPAS</w:t>
            </w:r>
          </w:p>
        </w:tc>
        <w:tc>
          <w:tcPr>
            <w:tcW w:w="1000" w:type="pct"/>
            <w:tcBorders>
              <w:top w:val="single" w:sz="18" w:space="0" w:color="auto"/>
              <w:left w:val="single" w:sz="18" w:space="0" w:color="auto"/>
              <w:bottom w:val="single" w:sz="18" w:space="0" w:color="auto"/>
              <w:right w:val="single" w:sz="18" w:space="0" w:color="auto"/>
            </w:tcBorders>
          </w:tcPr>
          <w:p w:rsidR="00F555D6" w:rsidRPr="005C3B55" w:rsidRDefault="00F555D6" w:rsidP="00F555D6">
            <w:pPr>
              <w:jc w:val="right"/>
              <w:rPr>
                <w:sz w:val="20"/>
              </w:rPr>
            </w:pPr>
            <w:r w:rsidRPr="005C3B55">
              <w:rPr>
                <w:sz w:val="20"/>
              </w:rPr>
              <w:t>20.10</w:t>
            </w:r>
          </w:p>
        </w:tc>
        <w:tc>
          <w:tcPr>
            <w:tcW w:w="1093" w:type="pct"/>
            <w:tcBorders>
              <w:top w:val="single" w:sz="18" w:space="0" w:color="auto"/>
              <w:left w:val="single" w:sz="18" w:space="0" w:color="auto"/>
              <w:bottom w:val="single" w:sz="18" w:space="0" w:color="auto"/>
              <w:right w:val="single" w:sz="18" w:space="0" w:color="auto"/>
            </w:tcBorders>
          </w:tcPr>
          <w:p w:rsidR="00F555D6" w:rsidRPr="005C3B55" w:rsidRDefault="00F555D6" w:rsidP="00F555D6">
            <w:pPr>
              <w:jc w:val="right"/>
              <w:rPr>
                <w:sz w:val="20"/>
              </w:rPr>
            </w:pPr>
            <w:r w:rsidRPr="005C3B55">
              <w:rPr>
                <w:sz w:val="20"/>
              </w:rPr>
              <w:t>450</w:t>
            </w:r>
          </w:p>
        </w:tc>
        <w:tc>
          <w:tcPr>
            <w:tcW w:w="907" w:type="pct"/>
            <w:tcBorders>
              <w:top w:val="single" w:sz="18" w:space="0" w:color="auto"/>
              <w:left w:val="single" w:sz="18" w:space="0" w:color="auto"/>
              <w:bottom w:val="single" w:sz="18" w:space="0" w:color="auto"/>
              <w:right w:val="single" w:sz="18" w:space="0" w:color="auto"/>
            </w:tcBorders>
          </w:tcPr>
          <w:p w:rsidR="00F555D6" w:rsidRPr="005C3B55" w:rsidRDefault="00F555D6" w:rsidP="00F555D6">
            <w:pPr>
              <w:jc w:val="right"/>
              <w:rPr>
                <w:sz w:val="20"/>
              </w:rPr>
            </w:pPr>
            <w:r w:rsidRPr="005C3B55">
              <w:rPr>
                <w:sz w:val="20"/>
              </w:rPr>
              <w:t>20.10</w:t>
            </w:r>
          </w:p>
        </w:tc>
        <w:tc>
          <w:tcPr>
            <w:tcW w:w="1000" w:type="pct"/>
            <w:tcBorders>
              <w:top w:val="single" w:sz="18" w:space="0" w:color="auto"/>
              <w:left w:val="single" w:sz="18" w:space="0" w:color="auto"/>
              <w:bottom w:val="single" w:sz="18" w:space="0" w:color="auto"/>
              <w:right w:val="single" w:sz="18" w:space="0" w:color="auto"/>
            </w:tcBorders>
          </w:tcPr>
          <w:p w:rsidR="00F555D6" w:rsidRPr="005C3B55" w:rsidRDefault="00F555D6" w:rsidP="00F555D6">
            <w:pPr>
              <w:jc w:val="right"/>
              <w:rPr>
                <w:sz w:val="20"/>
              </w:rPr>
            </w:pPr>
            <w:r w:rsidRPr="005C3B55">
              <w:rPr>
                <w:sz w:val="20"/>
              </w:rPr>
              <w:t>20.10</w:t>
            </w:r>
          </w:p>
        </w:tc>
      </w:tr>
    </w:tbl>
    <w:p w:rsidR="00F555D6" w:rsidRPr="005C3B55" w:rsidRDefault="00F555D6" w:rsidP="00F555D6"/>
    <w:p w:rsidR="00F555D6" w:rsidRPr="005C3B55" w:rsidRDefault="00F555D6" w:rsidP="00F555D6">
      <w:pPr>
        <w:pStyle w:val="Naslov6"/>
        <w:tabs>
          <w:tab w:val="clear" w:pos="765"/>
        </w:tabs>
        <w:ind w:left="0" w:firstLine="0"/>
        <w:rPr>
          <w:szCs w:val="24"/>
          <w:lang w:val="en-GB"/>
        </w:rPr>
      </w:pPr>
      <w:r w:rsidRPr="005C3B55">
        <w:rPr>
          <w:noProof w:val="0"/>
          <w:szCs w:val="24"/>
          <w:lang w:val="en-GB"/>
        </w:rPr>
        <w:t>Verifiability and possibility of control of measures and/or type of operations</w:t>
      </w:r>
    </w:p>
    <w:p w:rsidR="00F555D6" w:rsidRPr="005C3B55" w:rsidRDefault="00F555D6" w:rsidP="00F555D6">
      <w:pPr>
        <w:pStyle w:val="Naslov7"/>
        <w:tabs>
          <w:tab w:val="clear" w:pos="765"/>
        </w:tabs>
        <w:ind w:left="0" w:firstLine="0"/>
        <w:rPr>
          <w:szCs w:val="24"/>
          <w:lang w:val="en-GB"/>
        </w:rPr>
      </w:pPr>
      <w:r w:rsidRPr="005C3B55">
        <w:rPr>
          <w:noProof w:val="0"/>
          <w:szCs w:val="24"/>
          <w:lang w:val="en-GB"/>
        </w:rPr>
        <w:t>Risks in the implementation of the measure</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b/>
                <w:szCs w:val="24"/>
              </w:rPr>
              <w:t>R5: Requirements which are difficult to verify and/or control</w:t>
            </w:r>
          </w:p>
          <w:p w:rsidR="00F555D6" w:rsidRPr="005C3B55" w:rsidRDefault="00F555D6" w:rsidP="00F555D6">
            <w:pPr>
              <w:spacing w:before="240" w:after="240" w:line="280" w:lineRule="auto"/>
              <w:rPr>
                <w:szCs w:val="24"/>
              </w:rPr>
            </w:pPr>
            <w:r w:rsidRPr="005C3B55">
              <w:rPr>
                <w:szCs w:val="24"/>
              </w:rPr>
              <w:t>Certain requirements cannot be fully verified administratively, while the implementation of certain requirements is difficult to verify also with on-the-spot control. Non-use of fertilisers is such a requirement.</w:t>
            </w:r>
          </w:p>
          <w:p w:rsidR="00F555D6" w:rsidRPr="005C3B55" w:rsidRDefault="00F555D6" w:rsidP="00F555D6">
            <w:pPr>
              <w:spacing w:before="240" w:after="240" w:line="280" w:lineRule="auto"/>
              <w:rPr>
                <w:szCs w:val="24"/>
              </w:rPr>
            </w:pPr>
            <w:r w:rsidRPr="005C3B55">
              <w:rPr>
                <w:b/>
                <w:szCs w:val="24"/>
              </w:rPr>
              <w:t>R6: General conditions for implementation</w:t>
            </w:r>
          </w:p>
          <w:p w:rsidR="00F555D6" w:rsidRPr="005C3B55" w:rsidRDefault="00F555D6" w:rsidP="00F555D6">
            <w:pPr>
              <w:spacing w:before="240" w:after="240" w:line="280" w:lineRule="auto"/>
              <w:rPr>
                <w:szCs w:val="24"/>
              </w:rPr>
            </w:pPr>
            <w:r w:rsidRPr="005C3B55">
              <w:rPr>
                <w:szCs w:val="24"/>
              </w:rPr>
              <w:t>Ill-timed adoption of regulations which regulate payments for the M10 measure and which enable beneficiaries to be informed about the eligibility conditions for implementing this operation, and insufficient knowledge of the conditions of the operation Litter meadows present a risk for the implementation of this measure.</w:t>
            </w:r>
          </w:p>
          <w:p w:rsidR="00F555D6" w:rsidRPr="005C3B55" w:rsidRDefault="00F555D6" w:rsidP="00F555D6">
            <w:pPr>
              <w:spacing w:before="240" w:after="240" w:line="280" w:lineRule="auto"/>
              <w:rPr>
                <w:szCs w:val="24"/>
              </w:rPr>
            </w:pPr>
            <w:r w:rsidRPr="005C3B55">
              <w:rPr>
                <w:b/>
                <w:szCs w:val="24"/>
              </w:rPr>
              <w:t>R8: IT systems</w:t>
            </w:r>
          </w:p>
          <w:p w:rsidR="00F555D6" w:rsidRPr="005C3B55" w:rsidRDefault="00F555D6" w:rsidP="00F555D6">
            <w:pPr>
              <w:spacing w:before="240" w:after="240" w:line="280" w:lineRule="auto"/>
              <w:rPr>
                <w:szCs w:val="24"/>
              </w:rPr>
            </w:pPr>
            <w:r w:rsidRPr="005C3B55">
              <w:rPr>
                <w:szCs w:val="24"/>
              </w:rPr>
              <w:t>Unsuitable arrangement of certain databases when entering the verification system and consequently insufficient administrative controls when entering the operation Litter meadows.</w:t>
            </w:r>
          </w:p>
          <w:p w:rsidR="00F555D6" w:rsidRPr="005C3B55" w:rsidRDefault="00F555D6" w:rsidP="00F555D6">
            <w:pPr>
              <w:spacing w:before="240" w:after="240" w:line="280" w:lineRule="auto"/>
              <w:rPr>
                <w:szCs w:val="24"/>
              </w:rPr>
            </w:pPr>
            <w:r w:rsidRPr="005C3B55">
              <w:rPr>
                <w:b/>
                <w:szCs w:val="24"/>
              </w:rPr>
              <w:t>R9: Requests for payment</w:t>
            </w:r>
          </w:p>
          <w:p w:rsidR="00F555D6" w:rsidRPr="005C3B55" w:rsidRDefault="00F555D6" w:rsidP="00F555D6">
            <w:pPr>
              <w:spacing w:before="240" w:after="240" w:line="280" w:lineRule="auto"/>
              <w:rPr>
                <w:szCs w:val="24"/>
              </w:rPr>
            </w:pPr>
            <w:r w:rsidRPr="005C3B55">
              <w:rPr>
                <w:szCs w:val="24"/>
              </w:rPr>
              <w:t>Lack of, and delayed, information and insufficient knowledge of the operation Litter meadows, poor familiarisation with the procedure for submitting the application and the beneficiary’s incorrect reporting about the size of surfaces.</w:t>
            </w:r>
          </w:p>
          <w:p w:rsidR="00F555D6" w:rsidRPr="005C3B55" w:rsidRDefault="00F555D6" w:rsidP="00F555D6">
            <w:pPr>
              <w:pStyle w:val="Telobesedila"/>
              <w:rPr>
                <w:szCs w:val="24"/>
              </w:rPr>
            </w:pPr>
          </w:p>
        </w:tc>
      </w:tr>
    </w:tbl>
    <w:p w:rsidR="00F555D6" w:rsidRPr="005C3B55" w:rsidRDefault="00F555D6" w:rsidP="00F555D6">
      <w:pPr>
        <w:pStyle w:val="Naslov7"/>
        <w:tabs>
          <w:tab w:val="clear" w:pos="765"/>
        </w:tabs>
        <w:ind w:left="0" w:firstLine="0"/>
        <w:rPr>
          <w:szCs w:val="24"/>
          <w:lang w:val="en-GB"/>
        </w:rPr>
      </w:pPr>
      <w:r w:rsidRPr="005C3B55">
        <w:rPr>
          <w:noProof w:val="0"/>
          <w:szCs w:val="24"/>
          <w:lang w:val="en-GB"/>
        </w:rPr>
        <w:t>Mitigation measures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b/>
                <w:szCs w:val="24"/>
              </w:rPr>
              <w:t>R5: Requirements which are difficult to verify and/or control</w:t>
            </w:r>
          </w:p>
          <w:p w:rsidR="00F555D6" w:rsidRPr="005C3B55" w:rsidRDefault="00F555D6" w:rsidP="00F555D6">
            <w:pPr>
              <w:spacing w:before="240" w:after="240" w:line="280" w:lineRule="auto"/>
              <w:rPr>
                <w:szCs w:val="24"/>
              </w:rPr>
            </w:pPr>
            <w:r w:rsidRPr="005C3B55">
              <w:rPr>
                <w:szCs w:val="24"/>
              </w:rPr>
              <w:t>Administrative control will be upgraded accordingly for certain requirements (to control the number of animals and to integrate a suitable share of surfaces into the operation).</w:t>
            </w:r>
          </w:p>
          <w:p w:rsidR="00F555D6" w:rsidRPr="005C3B55" w:rsidRDefault="00F555D6" w:rsidP="00F555D6">
            <w:pPr>
              <w:spacing w:before="240" w:after="240" w:line="280" w:lineRule="auto"/>
              <w:rPr>
                <w:szCs w:val="24"/>
              </w:rPr>
            </w:pPr>
            <w:r w:rsidRPr="005C3B55">
              <w:rPr>
                <w:szCs w:val="24"/>
              </w:rPr>
              <w:t>Requirements for implementing the M10 measure which cannot be verified administratively will be verified or controlled on the spot, which will observe the temporal component when implementing verification, the situation on the agricultural holding reviewed, schemes of strips, verifications on the basis of records and non-presence of completely prohibited products.</w:t>
            </w:r>
          </w:p>
          <w:p w:rsidR="00F555D6" w:rsidRPr="005C3B55" w:rsidRDefault="00F555D6" w:rsidP="00F555D6">
            <w:pPr>
              <w:spacing w:before="240" w:after="240" w:line="280" w:lineRule="auto"/>
              <w:rPr>
                <w:szCs w:val="24"/>
              </w:rPr>
            </w:pPr>
            <w:r w:rsidRPr="005C3B55">
              <w:rPr>
                <w:b/>
                <w:szCs w:val="24"/>
              </w:rPr>
              <w:t>R6: General conditions for implementation</w:t>
            </w:r>
          </w:p>
          <w:p w:rsidR="00F555D6" w:rsidRPr="005C3B55" w:rsidRDefault="00F555D6" w:rsidP="00F555D6">
            <w:pPr>
              <w:spacing w:before="240" w:after="240" w:line="280" w:lineRule="auto"/>
              <w:rPr>
                <w:szCs w:val="24"/>
              </w:rPr>
            </w:pPr>
            <w:r w:rsidRPr="005C3B55">
              <w:rPr>
                <w:szCs w:val="24"/>
              </w:rPr>
              <w:t>Prior to entering in the operation Litter meadows, a beneficiary will have to undergo a mandatory six-hour training which is one of the eligibility conditions. At the training, the beneficiary will become acquainted with the eligibility conditions for entering in the operation and requirements for implementing the operation, including the Rural Development Programme 2014–2020 and the national regulation regulating payments for the M10 measure.</w:t>
            </w:r>
          </w:p>
          <w:p w:rsidR="00F555D6" w:rsidRPr="005C3B55" w:rsidRDefault="00F555D6" w:rsidP="00F555D6">
            <w:pPr>
              <w:spacing w:before="240" w:after="240" w:line="280" w:lineRule="auto"/>
              <w:rPr>
                <w:szCs w:val="24"/>
              </w:rPr>
            </w:pPr>
            <w:r w:rsidRPr="005C3B55">
              <w:rPr>
                <w:szCs w:val="24"/>
              </w:rPr>
              <w:t>After the training, the beneficiary will be able to prepare a programme of activities of the agricultural holding in which it will determine which operation and requirements within the M10 measure it will implement.</w:t>
            </w:r>
          </w:p>
          <w:p w:rsidR="00F555D6" w:rsidRPr="005C3B55" w:rsidRDefault="00F555D6" w:rsidP="00F555D6">
            <w:pPr>
              <w:spacing w:before="240" w:after="240" w:line="280" w:lineRule="auto"/>
              <w:rPr>
                <w:szCs w:val="24"/>
              </w:rPr>
            </w:pPr>
            <w:r w:rsidRPr="005C3B55">
              <w:rPr>
                <w:b/>
                <w:szCs w:val="24"/>
              </w:rPr>
              <w:t>R8: IT systems</w:t>
            </w:r>
          </w:p>
          <w:p w:rsidR="00F555D6" w:rsidRPr="005C3B55" w:rsidRDefault="00F555D6" w:rsidP="00F555D6">
            <w:pPr>
              <w:spacing w:before="240" w:after="240" w:line="280" w:lineRule="auto"/>
              <w:rPr>
                <w:szCs w:val="24"/>
              </w:rPr>
            </w:pPr>
            <w:r w:rsidRPr="005C3B55">
              <w:rPr>
                <w:szCs w:val="24"/>
              </w:rPr>
              <w:t>Suitable connections will be established and databases arranged (registers, records, suitability of combinations of requirements within or between operations, and suitable integration of surfaces in the requirements of this operation).</w:t>
            </w:r>
          </w:p>
          <w:p w:rsidR="00F555D6" w:rsidRPr="005C3B55" w:rsidRDefault="00F555D6" w:rsidP="00F555D6">
            <w:pPr>
              <w:spacing w:before="240" w:after="240" w:line="280" w:lineRule="auto"/>
              <w:rPr>
                <w:szCs w:val="24"/>
              </w:rPr>
            </w:pPr>
            <w:r w:rsidRPr="005C3B55">
              <w:rPr>
                <w:szCs w:val="24"/>
              </w:rPr>
              <w:t>An application enabling cross-checking of data from different databases will be established.</w:t>
            </w:r>
          </w:p>
          <w:p w:rsidR="00F555D6" w:rsidRPr="005C3B55" w:rsidRDefault="00F555D6" w:rsidP="00F555D6">
            <w:pPr>
              <w:spacing w:before="240" w:after="240" w:line="280" w:lineRule="auto"/>
              <w:rPr>
                <w:szCs w:val="24"/>
              </w:rPr>
            </w:pPr>
            <w:r w:rsidRPr="005C3B55">
              <w:rPr>
                <w:b/>
                <w:szCs w:val="24"/>
              </w:rPr>
              <w:t>R9: Requests for payment</w:t>
            </w:r>
          </w:p>
          <w:p w:rsidR="00F555D6" w:rsidRPr="005C3B55" w:rsidRDefault="00F555D6" w:rsidP="00F555D6">
            <w:pPr>
              <w:spacing w:before="240" w:after="240" w:line="280" w:lineRule="auto"/>
              <w:rPr>
                <w:szCs w:val="24"/>
              </w:rPr>
            </w:pPr>
            <w:r w:rsidRPr="005C3B55">
              <w:rPr>
                <w:szCs w:val="24"/>
              </w:rPr>
              <w:t>Mandatory annual four-hour training and mandatory use of advisory services at least once in the first three years of the commitment are introduced in order for beneficiaries to be suitably informed about all conditions and requirements for the implementation of the M10 measure. Regular annual informing of beneficiaries about their commitments related to the implementation of the measure as part of the annual campaign for implementing requests for agricultural policy measures during the year and also within the scope of specific and purpose-oriented informing of beneficiaries is envisaged</w:t>
            </w:r>
            <w:r w:rsidRPr="005C3B55">
              <w:rPr>
                <w:rFonts w:ascii="TimesNewRoman" w:hAnsi="TimesNewRoman"/>
                <w:szCs w:val="24"/>
              </w:rPr>
              <w:t>.</w:t>
            </w:r>
          </w:p>
          <w:p w:rsidR="00F555D6" w:rsidRPr="005C3B55" w:rsidRDefault="00F555D6" w:rsidP="00F555D6">
            <w:pPr>
              <w:spacing w:before="240" w:after="240" w:line="280" w:lineRule="auto"/>
              <w:rPr>
                <w:szCs w:val="24"/>
              </w:rPr>
            </w:pPr>
            <w:r w:rsidRPr="005C3B55">
              <w:rPr>
                <w:szCs w:val="24"/>
              </w:rPr>
              <w:t>The request for payment will be submitted electronically on prescribed forms by means of which a beneficiary will define for which requirements within individual operations of the M10 measure it will request the payment.</w:t>
            </w:r>
          </w:p>
          <w:p w:rsidR="00F555D6" w:rsidRPr="005C3B55" w:rsidRDefault="00F555D6" w:rsidP="00F555D6">
            <w:pPr>
              <w:spacing w:before="240" w:after="240" w:line="280" w:lineRule="auto"/>
              <w:rPr>
                <w:szCs w:val="24"/>
              </w:rPr>
            </w:pPr>
            <w:r w:rsidRPr="005C3B55">
              <w:rPr>
                <w:szCs w:val="24"/>
              </w:rPr>
              <w:t>The upgrading of the IT system for control will be implemented, which will allow certain verifications and controls already upon the submission of the request for payment (suitability of use and size of surface, suitability of areas, suitability of combinations of requests and operations, and suitable integration of surfaces in the requirements of this operation).</w:t>
            </w:r>
          </w:p>
          <w:p w:rsidR="00F555D6" w:rsidRPr="005C3B55" w:rsidRDefault="00F555D6" w:rsidP="00F555D6">
            <w:pPr>
              <w:spacing w:before="240" w:after="240" w:line="280" w:lineRule="auto"/>
              <w:rPr>
                <w:szCs w:val="24"/>
              </w:rPr>
            </w:pPr>
            <w:r w:rsidRPr="005C3B55">
              <w:rPr>
                <w:szCs w:val="24"/>
              </w:rPr>
              <w:t>If a beneficiary fails to meet the eligibility conditions for entering the M10 measure, they will be alerted to the shortcomings which they will be able to eliminate by the prescribed deadline; otherwise, it will not be possible to submit a request for payment.</w:t>
            </w:r>
          </w:p>
          <w:p w:rsidR="00F555D6" w:rsidRPr="005C3B55" w:rsidRDefault="00F555D6" w:rsidP="00F555D6">
            <w:pPr>
              <w:spacing w:before="240" w:after="240" w:line="280" w:lineRule="auto"/>
              <w:rPr>
                <w:szCs w:val="24"/>
              </w:rPr>
            </w:pPr>
            <w:r w:rsidRPr="005C3B55">
              <w:rPr>
                <w:szCs w:val="24"/>
              </w:rPr>
              <w:t>Unpermitted combinations of requirements within the operation Litter meadows and required combinations of requirements of this operation within other operations of the M10 measure will be disabled. A beneficiary who will also be included in the implementation of the M11 measure will not have the opportunity to submit the request for unauthorised combinations of this measure with the M10 measure.</w:t>
            </w:r>
          </w:p>
          <w:p w:rsidR="00F555D6" w:rsidRPr="005C3B55" w:rsidRDefault="00F555D6" w:rsidP="00F555D6">
            <w:pPr>
              <w:pStyle w:val="Telobesedila"/>
              <w:rPr>
                <w:szCs w:val="24"/>
              </w:rPr>
            </w:pPr>
          </w:p>
        </w:tc>
      </w:tr>
    </w:tbl>
    <w:p w:rsidR="00F555D6" w:rsidRPr="005C3B55" w:rsidRDefault="00F555D6" w:rsidP="00F555D6">
      <w:pPr>
        <w:pStyle w:val="Naslov7"/>
        <w:tabs>
          <w:tab w:val="clear" w:pos="765"/>
        </w:tabs>
        <w:ind w:left="0" w:firstLine="0"/>
        <w:rPr>
          <w:szCs w:val="24"/>
          <w:lang w:val="en-GB"/>
        </w:rPr>
      </w:pPr>
      <w:r w:rsidRPr="005C3B55">
        <w:rPr>
          <w:noProof w:val="0"/>
          <w:szCs w:val="24"/>
          <w:lang w:val="en-GB"/>
        </w:rPr>
        <w:t>General assessment of the measure</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 xml:space="preserve">Described in Chapter </w:t>
            </w:r>
            <w:r w:rsidRPr="005C3B55">
              <w:rPr>
                <w:i/>
                <w:szCs w:val="24"/>
              </w:rPr>
              <w:t>8.2.9.4.3 General assessment of the measure</w:t>
            </w:r>
            <w:r w:rsidRPr="005C3B55">
              <w:rPr>
                <w:szCs w:val="24"/>
              </w:rPr>
              <w:t>.</w:t>
            </w:r>
          </w:p>
          <w:p w:rsidR="00F555D6" w:rsidRPr="005C3B55" w:rsidRDefault="00F555D6" w:rsidP="00F555D6">
            <w:pPr>
              <w:pStyle w:val="Telobesedila"/>
              <w:rPr>
                <w:szCs w:val="24"/>
              </w:rPr>
            </w:pPr>
          </w:p>
        </w:tc>
      </w:tr>
    </w:tbl>
    <w:p w:rsidR="00F555D6" w:rsidRPr="005C3B55" w:rsidRDefault="00F555D6" w:rsidP="00F555D6">
      <w:pPr>
        <w:pStyle w:val="Naslov7"/>
        <w:tabs>
          <w:tab w:val="clear" w:pos="765"/>
        </w:tabs>
        <w:ind w:left="0" w:firstLine="0"/>
        <w:rPr>
          <w:szCs w:val="24"/>
          <w:lang w:val="en-GB"/>
        </w:rPr>
      </w:pPr>
      <w:r w:rsidRPr="005C3B55">
        <w:rPr>
          <w:noProof w:val="0"/>
          <w:szCs w:val="24"/>
          <w:lang w:val="en-GB"/>
        </w:rPr>
        <w:t>Agri-environment-climate commitments</w:t>
      </w:r>
    </w:p>
    <w:p w:rsidR="00F555D6" w:rsidRPr="005C3B55" w:rsidRDefault="00F555D6" w:rsidP="00F555D6">
      <w:pPr>
        <w:pStyle w:val="Naslov8"/>
        <w:tabs>
          <w:tab w:val="clear" w:pos="765"/>
        </w:tabs>
        <w:ind w:left="0" w:firstLine="0"/>
        <w:rPr>
          <w:b w:val="0"/>
          <w:szCs w:val="24"/>
          <w:lang w:val="en-GB"/>
        </w:rPr>
      </w:pPr>
      <w:r w:rsidRPr="005C3B55">
        <w:rPr>
          <w:b w:val="0"/>
          <w:noProof w:val="0"/>
          <w:szCs w:val="24"/>
          <w:lang w:val="en-GB"/>
        </w:rPr>
        <w:t>STE_KOS:</w:t>
      </w:r>
      <w:r w:rsidRPr="005C3B55">
        <w:rPr>
          <w:b w:val="0"/>
          <w:szCs w:val="24"/>
          <w:lang w:val="en-GB"/>
        </w:rPr>
        <w:t xml:space="preserve"> </w:t>
      </w:r>
      <w:r w:rsidRPr="005C3B55">
        <w:rPr>
          <w:b w:val="0"/>
          <w:noProof w:val="0"/>
          <w:szCs w:val="24"/>
          <w:lang w:val="en-GB"/>
        </w:rPr>
        <w:t>Mowing/pasturing is not permitted until 25 August</w:t>
      </w:r>
    </w:p>
    <w:p w:rsidR="00F555D6" w:rsidRPr="005C3B55" w:rsidRDefault="00F555D6" w:rsidP="00F555D6">
      <w:pPr>
        <w:pStyle w:val="Naslov9"/>
        <w:tabs>
          <w:tab w:val="clear" w:pos="765"/>
        </w:tabs>
        <w:ind w:left="0" w:firstLine="0"/>
        <w:rPr>
          <w:szCs w:val="24"/>
          <w:lang w:val="en-GB"/>
        </w:rPr>
      </w:pPr>
      <w:r w:rsidRPr="005C3B55">
        <w:rPr>
          <w:noProof w:val="0"/>
          <w:szCs w:val="24"/>
          <w:lang w:val="en-GB"/>
        </w:rPr>
        <w:t>Methods of commitment verification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Administrative control:</w:t>
            </w:r>
          </w:p>
          <w:p w:rsidR="00F555D6" w:rsidRPr="005C3B55" w:rsidRDefault="00F555D6" w:rsidP="00F555D6">
            <w:pPr>
              <w:numPr>
                <w:ilvl w:val="0"/>
                <w:numId w:val="679"/>
              </w:numPr>
              <w:spacing w:before="240" w:after="0"/>
              <w:ind w:hanging="290"/>
              <w:jc w:val="left"/>
              <w:rPr>
                <w:szCs w:val="24"/>
              </w:rPr>
            </w:pPr>
            <w:r w:rsidRPr="005C3B55">
              <w:rPr>
                <w:szCs w:val="24"/>
              </w:rPr>
              <w:t>control of livestock density through collective applications, registers, registers of farm animals;</w:t>
            </w:r>
          </w:p>
          <w:p w:rsidR="00F555D6" w:rsidRPr="005C3B55" w:rsidRDefault="00F555D6" w:rsidP="00F555D6">
            <w:pPr>
              <w:numPr>
                <w:ilvl w:val="0"/>
                <w:numId w:val="679"/>
              </w:numPr>
              <w:spacing w:before="0" w:after="240"/>
              <w:ind w:hanging="290"/>
              <w:jc w:val="left"/>
              <w:rPr>
                <w:szCs w:val="24"/>
              </w:rPr>
            </w:pPr>
            <w:r w:rsidRPr="005C3B55">
              <w:rPr>
                <w:szCs w:val="24"/>
              </w:rPr>
              <w:t>suitability of the area through the register of agricultural holdings.</w:t>
            </w:r>
          </w:p>
          <w:p w:rsidR="00F555D6" w:rsidRPr="005C3B55" w:rsidRDefault="00F555D6" w:rsidP="00F555D6">
            <w:pPr>
              <w:spacing w:before="240" w:after="240" w:line="280" w:lineRule="auto"/>
              <w:rPr>
                <w:szCs w:val="24"/>
              </w:rPr>
            </w:pPr>
            <w:r w:rsidRPr="005C3B55">
              <w:rPr>
                <w:szCs w:val="24"/>
              </w:rPr>
              <w:t>Registers/records:</w:t>
            </w:r>
          </w:p>
          <w:p w:rsidR="00F555D6" w:rsidRPr="005C3B55" w:rsidRDefault="00F555D6" w:rsidP="00F555D6">
            <w:pPr>
              <w:numPr>
                <w:ilvl w:val="0"/>
                <w:numId w:val="680"/>
              </w:numPr>
              <w:spacing w:before="240" w:after="0"/>
              <w:ind w:hanging="290"/>
              <w:jc w:val="left"/>
              <w:rPr>
                <w:szCs w:val="24"/>
              </w:rPr>
            </w:pPr>
            <w:r w:rsidRPr="005C3B55">
              <w:rPr>
                <w:szCs w:val="24"/>
              </w:rPr>
              <w:t>register of agricultural holdings;</w:t>
            </w:r>
          </w:p>
          <w:p w:rsidR="00F555D6" w:rsidRPr="005C3B55" w:rsidRDefault="00F555D6" w:rsidP="00F555D6">
            <w:pPr>
              <w:numPr>
                <w:ilvl w:val="0"/>
                <w:numId w:val="680"/>
              </w:numPr>
              <w:spacing w:before="0" w:after="0"/>
              <w:ind w:hanging="290"/>
              <w:jc w:val="left"/>
              <w:rPr>
                <w:szCs w:val="24"/>
              </w:rPr>
            </w:pPr>
            <w:r w:rsidRPr="005C3B55">
              <w:rPr>
                <w:szCs w:val="24"/>
              </w:rPr>
              <w:t>graphical agricultural unit of agricultural holding (GERK);</w:t>
            </w:r>
          </w:p>
          <w:p w:rsidR="00F555D6" w:rsidRPr="005C3B55" w:rsidRDefault="00F555D6" w:rsidP="00F555D6">
            <w:pPr>
              <w:numPr>
                <w:ilvl w:val="0"/>
                <w:numId w:val="680"/>
              </w:numPr>
              <w:spacing w:before="0" w:after="0"/>
              <w:ind w:hanging="290"/>
              <w:jc w:val="left"/>
              <w:rPr>
                <w:szCs w:val="24"/>
              </w:rPr>
            </w:pPr>
            <w:r w:rsidRPr="005C3B55">
              <w:rPr>
                <w:szCs w:val="24"/>
              </w:rPr>
              <w:t>registers, registers of farm animals;</w:t>
            </w:r>
          </w:p>
          <w:p w:rsidR="00F555D6" w:rsidRPr="005C3B55" w:rsidRDefault="00F555D6" w:rsidP="00F555D6">
            <w:pPr>
              <w:numPr>
                <w:ilvl w:val="0"/>
                <w:numId w:val="680"/>
              </w:numPr>
              <w:spacing w:before="0" w:after="240"/>
              <w:ind w:hanging="290"/>
              <w:jc w:val="left"/>
              <w:rPr>
                <w:szCs w:val="24"/>
              </w:rPr>
            </w:pPr>
            <w:r w:rsidRPr="005C3B55">
              <w:rPr>
                <w:szCs w:val="24"/>
              </w:rPr>
              <w:t>graphic layer of ecologically important areas of litte meadows.</w:t>
            </w:r>
          </w:p>
          <w:p w:rsidR="00F555D6" w:rsidRPr="005C3B55" w:rsidRDefault="00F555D6" w:rsidP="00F555D6">
            <w:pPr>
              <w:spacing w:before="240" w:after="240" w:line="280" w:lineRule="auto"/>
              <w:rPr>
                <w:szCs w:val="24"/>
              </w:rPr>
            </w:pPr>
            <w:r w:rsidRPr="005C3B55">
              <w:rPr>
                <w:szCs w:val="24"/>
              </w:rPr>
              <w:t>On-site control:</w:t>
            </w:r>
          </w:p>
          <w:p w:rsidR="00F555D6" w:rsidRPr="005C3B55" w:rsidRDefault="00F555D6" w:rsidP="00F555D6">
            <w:pPr>
              <w:numPr>
                <w:ilvl w:val="0"/>
                <w:numId w:val="681"/>
              </w:numPr>
              <w:spacing w:before="240" w:after="0"/>
              <w:ind w:hanging="290"/>
              <w:jc w:val="left"/>
              <w:rPr>
                <w:szCs w:val="24"/>
              </w:rPr>
            </w:pPr>
            <w:r w:rsidRPr="005C3B55">
              <w:rPr>
                <w:szCs w:val="24"/>
              </w:rPr>
              <w:t>records on works;</w:t>
            </w:r>
          </w:p>
          <w:p w:rsidR="00F555D6" w:rsidRPr="005C3B55" w:rsidRDefault="00F555D6" w:rsidP="00F555D6">
            <w:pPr>
              <w:numPr>
                <w:ilvl w:val="0"/>
                <w:numId w:val="681"/>
              </w:numPr>
              <w:spacing w:before="0" w:after="0"/>
              <w:ind w:hanging="290"/>
              <w:jc w:val="left"/>
              <w:rPr>
                <w:szCs w:val="24"/>
              </w:rPr>
            </w:pPr>
            <w:r w:rsidRPr="005C3B55">
              <w:rPr>
                <w:szCs w:val="24"/>
              </w:rPr>
              <w:t>control of livestock density by counting animals and reviewing surfaces;</w:t>
            </w:r>
          </w:p>
          <w:p w:rsidR="00F555D6" w:rsidRPr="005C3B55" w:rsidRDefault="00F555D6" w:rsidP="00F555D6">
            <w:pPr>
              <w:numPr>
                <w:ilvl w:val="0"/>
                <w:numId w:val="681"/>
              </w:numPr>
              <w:spacing w:before="0" w:after="240"/>
              <w:ind w:hanging="290"/>
              <w:jc w:val="left"/>
              <w:rPr>
                <w:szCs w:val="24"/>
              </w:rPr>
            </w:pPr>
            <w:r w:rsidRPr="005C3B55">
              <w:rPr>
                <w:szCs w:val="24"/>
              </w:rPr>
              <w:t>review of the agricultural holding.</w:t>
            </w:r>
          </w:p>
          <w:p w:rsidR="00F555D6" w:rsidRPr="005C3B55" w:rsidRDefault="00F555D6" w:rsidP="00F555D6">
            <w:pPr>
              <w:pStyle w:val="Telobesedila"/>
              <w:rPr>
                <w:szCs w:val="24"/>
              </w:rPr>
            </w:pPr>
          </w:p>
        </w:tc>
      </w:tr>
    </w:tbl>
    <w:p w:rsidR="00F555D6" w:rsidRPr="005C3B55" w:rsidRDefault="00F555D6" w:rsidP="00F555D6">
      <w:pPr>
        <w:pStyle w:val="Naslov8"/>
        <w:tabs>
          <w:tab w:val="clear" w:pos="765"/>
        </w:tabs>
        <w:ind w:left="0" w:firstLine="0"/>
        <w:rPr>
          <w:b w:val="0"/>
          <w:szCs w:val="24"/>
          <w:lang w:val="en-GB"/>
        </w:rPr>
      </w:pPr>
      <w:r w:rsidRPr="005C3B55">
        <w:rPr>
          <w:b w:val="0"/>
          <w:noProof w:val="0"/>
          <w:szCs w:val="24"/>
          <w:lang w:val="en-GB"/>
        </w:rPr>
        <w:t>STE_NPAS:</w:t>
      </w:r>
      <w:r w:rsidRPr="005C3B55">
        <w:rPr>
          <w:b w:val="0"/>
          <w:szCs w:val="24"/>
          <w:lang w:val="en-GB"/>
        </w:rPr>
        <w:t xml:space="preserve"> </w:t>
      </w:r>
      <w:r w:rsidRPr="005C3B55">
        <w:rPr>
          <w:b w:val="0"/>
          <w:noProof w:val="0"/>
          <w:szCs w:val="24"/>
          <w:lang w:val="en-GB"/>
        </w:rPr>
        <w:t>Unmown strip of 5 to 10% of surface of a meadow</w:t>
      </w:r>
    </w:p>
    <w:p w:rsidR="00F555D6" w:rsidRPr="005C3B55" w:rsidRDefault="00F555D6" w:rsidP="00F555D6">
      <w:pPr>
        <w:pStyle w:val="Naslov9"/>
        <w:tabs>
          <w:tab w:val="clear" w:pos="765"/>
        </w:tabs>
        <w:ind w:left="0" w:firstLine="0"/>
        <w:rPr>
          <w:szCs w:val="24"/>
          <w:lang w:val="en-GB"/>
        </w:rPr>
      </w:pPr>
      <w:r w:rsidRPr="005C3B55">
        <w:rPr>
          <w:noProof w:val="0"/>
          <w:szCs w:val="24"/>
          <w:lang w:val="en-GB"/>
        </w:rPr>
        <w:t>Methods of commitment verification</w:t>
      </w:r>
    </w:p>
    <w:p w:rsidR="00F555D6" w:rsidRPr="005C3B55" w:rsidRDefault="00F555D6" w:rsidP="00F555D6">
      <w:pPr>
        <w:pStyle w:val="Naslov9"/>
        <w:tabs>
          <w:tab w:val="clear" w:pos="765"/>
        </w:tabs>
        <w:spacing w:before="0" w:after="0"/>
        <w:ind w:left="0" w:firstLine="0"/>
        <w:rPr>
          <w:szCs w:val="24"/>
          <w:lang w:val="en-GB"/>
        </w:rPr>
      </w:pP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Administrative control:</w:t>
            </w:r>
          </w:p>
          <w:p w:rsidR="00F555D6" w:rsidRPr="005C3B55" w:rsidRDefault="00F555D6" w:rsidP="00F555D6">
            <w:pPr>
              <w:numPr>
                <w:ilvl w:val="0"/>
                <w:numId w:val="682"/>
              </w:numPr>
              <w:spacing w:before="240" w:after="0"/>
              <w:ind w:hanging="290"/>
              <w:jc w:val="left"/>
              <w:rPr>
                <w:szCs w:val="24"/>
              </w:rPr>
            </w:pPr>
            <w:r w:rsidRPr="005C3B55">
              <w:rPr>
                <w:szCs w:val="24"/>
              </w:rPr>
              <w:t>suitability of the area through the register of agricultural holdings;</w:t>
            </w:r>
          </w:p>
          <w:p w:rsidR="00F555D6" w:rsidRPr="005C3B55" w:rsidRDefault="00F555D6" w:rsidP="00F555D6">
            <w:pPr>
              <w:numPr>
                <w:ilvl w:val="0"/>
                <w:numId w:val="682"/>
              </w:numPr>
              <w:spacing w:before="0" w:after="0"/>
              <w:ind w:hanging="290"/>
              <w:jc w:val="left"/>
              <w:rPr>
                <w:szCs w:val="24"/>
              </w:rPr>
            </w:pPr>
            <w:r w:rsidRPr="005C3B55">
              <w:rPr>
                <w:szCs w:val="24"/>
              </w:rPr>
              <w:t>suitability of the agricultural plant through collective application;</w:t>
            </w:r>
          </w:p>
          <w:p w:rsidR="00F555D6" w:rsidRPr="005C3B55" w:rsidRDefault="00F555D6" w:rsidP="00F555D6">
            <w:pPr>
              <w:numPr>
                <w:ilvl w:val="0"/>
                <w:numId w:val="682"/>
              </w:numPr>
              <w:spacing w:before="0" w:after="0"/>
              <w:ind w:hanging="290"/>
              <w:jc w:val="left"/>
              <w:rPr>
                <w:szCs w:val="24"/>
              </w:rPr>
            </w:pPr>
            <w:r w:rsidRPr="005C3B55">
              <w:rPr>
                <w:szCs w:val="24"/>
              </w:rPr>
              <w:t>suitability of size of the graphical agricultural unit of agricultural holding;</w:t>
            </w:r>
          </w:p>
          <w:p w:rsidR="00F555D6" w:rsidRPr="005C3B55" w:rsidRDefault="00F555D6" w:rsidP="00F555D6">
            <w:pPr>
              <w:numPr>
                <w:ilvl w:val="0"/>
                <w:numId w:val="682"/>
              </w:numPr>
              <w:spacing w:before="0" w:after="240"/>
              <w:ind w:hanging="290"/>
              <w:jc w:val="left"/>
              <w:rPr>
                <w:szCs w:val="24"/>
              </w:rPr>
            </w:pPr>
            <w:r w:rsidRPr="005C3B55">
              <w:rPr>
                <w:szCs w:val="24"/>
              </w:rPr>
              <w:t>control of livestock density through collective applications, registers, registers of farm animals.</w:t>
            </w:r>
          </w:p>
          <w:p w:rsidR="00F555D6" w:rsidRPr="005C3B55" w:rsidRDefault="00F555D6" w:rsidP="00F555D6">
            <w:pPr>
              <w:spacing w:before="240" w:after="240" w:line="280" w:lineRule="auto"/>
              <w:rPr>
                <w:szCs w:val="24"/>
              </w:rPr>
            </w:pPr>
            <w:r w:rsidRPr="005C3B55">
              <w:rPr>
                <w:szCs w:val="24"/>
              </w:rPr>
              <w:t>Registers/records:</w:t>
            </w:r>
          </w:p>
          <w:p w:rsidR="00F555D6" w:rsidRPr="005C3B55" w:rsidRDefault="00F555D6" w:rsidP="00F555D6">
            <w:pPr>
              <w:numPr>
                <w:ilvl w:val="0"/>
                <w:numId w:val="683"/>
              </w:numPr>
              <w:spacing w:before="240" w:after="0"/>
              <w:ind w:hanging="290"/>
              <w:jc w:val="left"/>
              <w:rPr>
                <w:szCs w:val="24"/>
              </w:rPr>
            </w:pPr>
            <w:r w:rsidRPr="005C3B55">
              <w:rPr>
                <w:szCs w:val="24"/>
              </w:rPr>
              <w:t>register of agricultural holdings;</w:t>
            </w:r>
          </w:p>
          <w:p w:rsidR="00F555D6" w:rsidRPr="005C3B55" w:rsidRDefault="00F555D6" w:rsidP="00F555D6">
            <w:pPr>
              <w:numPr>
                <w:ilvl w:val="0"/>
                <w:numId w:val="683"/>
              </w:numPr>
              <w:spacing w:before="0" w:after="0"/>
              <w:ind w:hanging="290"/>
              <w:jc w:val="left"/>
              <w:rPr>
                <w:szCs w:val="24"/>
              </w:rPr>
            </w:pPr>
            <w:r w:rsidRPr="005C3B55">
              <w:rPr>
                <w:szCs w:val="24"/>
              </w:rPr>
              <w:t>registers, registers of farm animals;</w:t>
            </w:r>
          </w:p>
          <w:p w:rsidR="00F555D6" w:rsidRPr="005C3B55" w:rsidRDefault="00F555D6" w:rsidP="00F555D6">
            <w:pPr>
              <w:numPr>
                <w:ilvl w:val="0"/>
                <w:numId w:val="683"/>
              </w:numPr>
              <w:spacing w:before="0" w:after="0"/>
              <w:ind w:hanging="290"/>
              <w:jc w:val="left"/>
              <w:rPr>
                <w:szCs w:val="24"/>
              </w:rPr>
            </w:pPr>
            <w:r w:rsidRPr="005C3B55">
              <w:rPr>
                <w:szCs w:val="24"/>
              </w:rPr>
              <w:t>graphical agricultural unit of agricultural holding (GERK);</w:t>
            </w:r>
          </w:p>
          <w:p w:rsidR="00F555D6" w:rsidRPr="005C3B55" w:rsidRDefault="00F555D6" w:rsidP="00F555D6">
            <w:pPr>
              <w:numPr>
                <w:ilvl w:val="0"/>
                <w:numId w:val="683"/>
              </w:numPr>
              <w:spacing w:before="0" w:after="240"/>
              <w:ind w:hanging="290"/>
              <w:jc w:val="left"/>
              <w:rPr>
                <w:szCs w:val="24"/>
              </w:rPr>
            </w:pPr>
            <w:r w:rsidRPr="005C3B55">
              <w:rPr>
                <w:szCs w:val="24"/>
              </w:rPr>
              <w:t>graphic layer of ecologically important areas of litte meadows.</w:t>
            </w:r>
          </w:p>
          <w:p w:rsidR="00F555D6" w:rsidRPr="005C3B55" w:rsidRDefault="00F555D6" w:rsidP="00F555D6">
            <w:pPr>
              <w:spacing w:before="240" w:after="240" w:line="280" w:lineRule="auto"/>
              <w:rPr>
                <w:szCs w:val="24"/>
              </w:rPr>
            </w:pPr>
            <w:r w:rsidRPr="005C3B55">
              <w:rPr>
                <w:szCs w:val="24"/>
              </w:rPr>
              <w:t>On-site control:</w:t>
            </w:r>
          </w:p>
          <w:p w:rsidR="00F555D6" w:rsidRPr="005C3B55" w:rsidRDefault="00F555D6" w:rsidP="00F555D6">
            <w:pPr>
              <w:numPr>
                <w:ilvl w:val="0"/>
                <w:numId w:val="684"/>
              </w:numPr>
              <w:spacing w:before="240" w:after="0"/>
              <w:ind w:hanging="290"/>
              <w:jc w:val="left"/>
              <w:rPr>
                <w:szCs w:val="24"/>
              </w:rPr>
            </w:pPr>
            <w:r w:rsidRPr="005C3B55">
              <w:rPr>
                <w:szCs w:val="24"/>
              </w:rPr>
              <w:t>records on works;</w:t>
            </w:r>
          </w:p>
          <w:p w:rsidR="00F555D6" w:rsidRPr="005C3B55" w:rsidRDefault="00F555D6" w:rsidP="00F555D6">
            <w:pPr>
              <w:numPr>
                <w:ilvl w:val="0"/>
                <w:numId w:val="684"/>
              </w:numPr>
              <w:spacing w:before="0" w:after="0"/>
              <w:ind w:hanging="290"/>
              <w:jc w:val="left"/>
              <w:rPr>
                <w:szCs w:val="24"/>
              </w:rPr>
            </w:pPr>
            <w:r w:rsidRPr="005C3B55">
              <w:rPr>
                <w:szCs w:val="24"/>
              </w:rPr>
              <w:t>control of livestock density by counting animals and reviewing surfaces;</w:t>
            </w:r>
          </w:p>
          <w:p w:rsidR="00F555D6" w:rsidRPr="005C3B55" w:rsidRDefault="00F555D6" w:rsidP="00F555D6">
            <w:pPr>
              <w:numPr>
                <w:ilvl w:val="0"/>
                <w:numId w:val="684"/>
              </w:numPr>
              <w:spacing w:before="0" w:after="0"/>
              <w:ind w:hanging="290"/>
              <w:jc w:val="left"/>
              <w:rPr>
                <w:szCs w:val="24"/>
              </w:rPr>
            </w:pPr>
            <w:r w:rsidRPr="005C3B55">
              <w:rPr>
                <w:szCs w:val="24"/>
              </w:rPr>
              <w:t>scheme of a meadow;</w:t>
            </w:r>
          </w:p>
          <w:p w:rsidR="00F555D6" w:rsidRPr="005C3B55" w:rsidRDefault="00F555D6" w:rsidP="00F555D6">
            <w:pPr>
              <w:numPr>
                <w:ilvl w:val="0"/>
                <w:numId w:val="684"/>
              </w:numPr>
              <w:spacing w:before="0" w:after="240"/>
              <w:ind w:hanging="290"/>
              <w:jc w:val="left"/>
              <w:rPr>
                <w:szCs w:val="24"/>
              </w:rPr>
            </w:pPr>
            <w:r w:rsidRPr="005C3B55">
              <w:rPr>
                <w:szCs w:val="24"/>
              </w:rPr>
              <w:t>review of the agricultural holding.</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Information that relates specifically to the operation</w:t>
      </w:r>
    </w:p>
    <w:p w:rsidR="00F555D6" w:rsidRPr="005C3B55" w:rsidRDefault="00F555D6" w:rsidP="00F555D6">
      <w:pPr>
        <w:spacing w:line="280" w:lineRule="auto"/>
        <w:rPr>
          <w:szCs w:val="24"/>
        </w:rPr>
      </w:pPr>
      <w:r w:rsidRPr="005C3B55">
        <w:rPr>
          <w:szCs w:val="24"/>
        </w:rPr>
        <w:t>Definition and identification of the relevant basic elements; this should include the relevant mandatory standards determined in accordance with Chapter I of Title VI of Regulation (EU) No 1306/2013 of the European Parliament and of the Council, relevant criteria and minimum activities determined in accordance with points (c)(ii) and (c)(iii) of the first paragraph of Article 4 of Regulation (EU) No 1307/2013 of the European Parliament and of the Council, relevant minimum requirements for the use of organic fertilisers and plant protection products and relevant mandatory requirements determined by national law</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 xml:space="preserve">Described in the chapter </w:t>
            </w:r>
            <w:r w:rsidRPr="005C3B55">
              <w:rPr>
                <w:i/>
                <w:szCs w:val="24"/>
              </w:rPr>
              <w:t>Agri-environment-climate commitments</w:t>
            </w:r>
            <w:r w:rsidRPr="005C3B55">
              <w:rPr>
                <w:szCs w:val="24"/>
              </w:rPr>
              <w:t>.</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 xml:space="preserve">Minimum requirements for fertilisers must include, inter alia, the Codes of Good Practice introduced under Directive 91/676/EEC for farms outside Nitrate Vulnerable Zones, and requirements concerning phosphorous pollution; minimum requirements for plant protection products use must include, </w:t>
      </w:r>
      <w:r w:rsidRPr="005C3B55">
        <w:rPr>
          <w:i/>
          <w:szCs w:val="24"/>
        </w:rPr>
        <w:t>inter alia</w:t>
      </w:r>
      <w:r w:rsidRPr="005C3B55">
        <w:rPr>
          <w:szCs w:val="24"/>
        </w:rPr>
        <w:t>, general principles for integrated pest management introduced with Directive 2009/128/EC, requirements to have a licence to use the products and meet training obligations, requirements on safe storage, the checking of application machinery and rules on pesticide use close to water and other sensitive sites, as established by national legislation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 xml:space="preserve">Described in the chapter </w:t>
            </w:r>
            <w:r w:rsidRPr="005C3B55">
              <w:rPr>
                <w:i/>
                <w:szCs w:val="24"/>
              </w:rPr>
              <w:t>Agri-environment-climate commitments</w:t>
            </w:r>
            <w:r w:rsidRPr="005C3B55">
              <w:rPr>
                <w:szCs w:val="24"/>
              </w:rPr>
              <w:t>.</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List of local breeds in danger of being lost to farming and for plant genetic resources under threat of genetic erosion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Not relevant.</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The description of the methodology and of the agronomic assumptions and parameters, including the description of the baseline requirements as stated in Article 29(2) of Regulation (EU) No 1305/2013, which are relevant for each particular type of commitment used as reference point for the calculations which justify: additional costs and lost revenue due to the assumed commitment and the amount of transaction costs; where necessary, the methodology takes into account the support granted under Regulation (EU) No 1307/2013, including payments for agricultural practices that favourably affect the climate and environment, in order to prevent the possibility of dual financing; where appropriate, the conversion method used for other units in accordance with Article 9 of this Regulation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The calculation of the amount of payments of individual mandatory requirement within the operation ‘Litter meadows’ observes:</w:t>
            </w:r>
          </w:p>
          <w:p w:rsidR="00F555D6" w:rsidRPr="005C3B55" w:rsidRDefault="00F555D6" w:rsidP="00F555D6">
            <w:pPr>
              <w:spacing w:before="240" w:after="240" w:line="280" w:lineRule="auto"/>
              <w:rPr>
                <w:szCs w:val="24"/>
              </w:rPr>
            </w:pPr>
            <w:r w:rsidRPr="005C3B55">
              <w:rPr>
                <w:szCs w:val="24"/>
              </w:rPr>
              <w:t>STE_KOS: The standard agricultural practice includes the production of hay, grass silage and pasturing (everything in thirds) on an average permanent meadow subject to two mowings a year as per the area of the requirement. Due to the prohibition of fertilisation and temporal limitation of mowing, the calculation of the payment anticipates small production of hay (100%) of unsuitable quality on meadows being mown once which is sold for litter (evaluated according to sales price); the loss of fodder is fully substituted with a lease of s comparable meadow.</w:t>
            </w:r>
          </w:p>
          <w:p w:rsidR="00F555D6" w:rsidRPr="005C3B55" w:rsidRDefault="00F555D6" w:rsidP="00F555D6">
            <w:pPr>
              <w:spacing w:before="240" w:after="240" w:line="280" w:lineRule="auto"/>
              <w:rPr>
                <w:szCs w:val="24"/>
              </w:rPr>
            </w:pPr>
            <w:r w:rsidRPr="005C3B55">
              <w:rPr>
                <w:szCs w:val="24"/>
              </w:rPr>
              <w:t>STE_NPAS: For the combination of mandatory requirements NTR_STE and NTR_PAS, the standard agricultural practice includes the production of hay; the amount of produce and its quality are the same as in the combination of requirement NTR_STE. Due to the determined limitation on leaving an unmown strip, the calculation observes the reduction in the quantity of produce and thus the energy, whereas the difference is being supplemented with the additional purchase of fodder.</w:t>
            </w:r>
          </w:p>
          <w:p w:rsidR="00F555D6" w:rsidRPr="005C3B55" w:rsidRDefault="00F555D6" w:rsidP="00F555D6">
            <w:pPr>
              <w:pStyle w:val="Telobesedila"/>
              <w:rPr>
                <w:szCs w:val="24"/>
              </w:rPr>
            </w:pPr>
          </w:p>
        </w:tc>
      </w:tr>
    </w:tbl>
    <w:p w:rsidR="00F555D6" w:rsidRPr="005C3B55" w:rsidRDefault="00F555D6" w:rsidP="00F555D6">
      <w:pPr>
        <w:pStyle w:val="Naslov7"/>
        <w:tabs>
          <w:tab w:val="clear" w:pos="765"/>
        </w:tabs>
        <w:ind w:left="0" w:firstLine="0"/>
        <w:rPr>
          <w:szCs w:val="24"/>
          <w:lang w:val="en-GB"/>
        </w:rPr>
      </w:pPr>
      <w:r w:rsidRPr="005C3B55">
        <w:rPr>
          <w:noProof w:val="0"/>
          <w:szCs w:val="24"/>
          <w:lang w:val="en-GB"/>
        </w:rPr>
        <w:t>Agri-environment-climate commitments</w:t>
      </w:r>
    </w:p>
    <w:p w:rsidR="00F555D6" w:rsidRPr="005C3B55" w:rsidRDefault="00F555D6" w:rsidP="00F555D6">
      <w:pPr>
        <w:pStyle w:val="Naslov8"/>
        <w:tabs>
          <w:tab w:val="clear" w:pos="765"/>
        </w:tabs>
        <w:ind w:left="0" w:firstLine="0"/>
        <w:rPr>
          <w:b w:val="0"/>
          <w:szCs w:val="24"/>
          <w:lang w:val="en-GB"/>
        </w:rPr>
      </w:pPr>
      <w:r w:rsidRPr="005C3B55">
        <w:rPr>
          <w:b w:val="0"/>
          <w:noProof w:val="0"/>
          <w:szCs w:val="24"/>
          <w:lang w:val="en-GB"/>
        </w:rPr>
        <w:t>STE_KOS:</w:t>
      </w:r>
      <w:r w:rsidRPr="005C3B55">
        <w:rPr>
          <w:b w:val="0"/>
          <w:szCs w:val="24"/>
          <w:lang w:val="en-GB"/>
        </w:rPr>
        <w:t xml:space="preserve"> </w:t>
      </w:r>
      <w:r w:rsidRPr="005C3B55">
        <w:rPr>
          <w:b w:val="0"/>
          <w:noProof w:val="0"/>
          <w:szCs w:val="24"/>
          <w:lang w:val="en-GB"/>
        </w:rPr>
        <w:t>Mowing/pasturing is not permitted until 25 August</w:t>
      </w:r>
    </w:p>
    <w:p w:rsidR="00F555D6" w:rsidRPr="005C3B55" w:rsidRDefault="00F555D6" w:rsidP="00F555D6">
      <w:pPr>
        <w:pStyle w:val="Naslov9"/>
        <w:tabs>
          <w:tab w:val="clear" w:pos="765"/>
        </w:tabs>
        <w:ind w:left="0" w:firstLine="0"/>
        <w:rPr>
          <w:szCs w:val="24"/>
          <w:lang w:val="en-GB"/>
        </w:rPr>
      </w:pPr>
      <w:r w:rsidRPr="005C3B55">
        <w:rPr>
          <w:noProof w:val="0"/>
          <w:szCs w:val="24"/>
          <w:lang w:val="en-GB"/>
        </w:rPr>
        <w:t>Starting Point</w:t>
      </w:r>
    </w:p>
    <w:p w:rsidR="00F555D6" w:rsidRPr="005C3B55" w:rsidRDefault="00F555D6" w:rsidP="00F555D6">
      <w:pPr>
        <w:spacing w:line="280" w:lineRule="auto"/>
        <w:rPr>
          <w:szCs w:val="24"/>
        </w:rPr>
      </w:pPr>
      <w:r w:rsidRPr="005C3B55">
        <w:rPr>
          <w:szCs w:val="24"/>
        </w:rPr>
        <w:t>Suitable good agricultural and environmental conditions and/or prescribed management requirements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685"/>
              </w:numPr>
              <w:spacing w:before="0" w:after="0"/>
              <w:ind w:hanging="290"/>
              <w:jc w:val="left"/>
              <w:rPr>
                <w:szCs w:val="24"/>
              </w:rPr>
            </w:pPr>
            <w:r w:rsidRPr="005C3B55">
              <w:rPr>
                <w:szCs w:val="24"/>
              </w:rPr>
              <w:t>Regulation on cross-compliance, Annex 1: Rules on cross-compliance, SMR 3: Conservation of natural habitats and of wild fauna and flora: grassland areas in the areas of Natura 2000 – habitats are maintained at least once annually no later than by 15 October of the current year.</w:t>
            </w:r>
          </w:p>
          <w:p w:rsidR="00F555D6" w:rsidRPr="005C3B55" w:rsidRDefault="00F555D6" w:rsidP="00F555D6">
            <w:pPr>
              <w:numPr>
                <w:ilvl w:val="0"/>
                <w:numId w:val="685"/>
              </w:numPr>
              <w:spacing w:before="0" w:after="0"/>
              <w:ind w:hanging="290"/>
              <w:jc w:val="left"/>
              <w:rPr>
                <w:szCs w:val="24"/>
              </w:rPr>
            </w:pPr>
            <w:r w:rsidRPr="005C3B55">
              <w:rPr>
                <w:szCs w:val="24"/>
              </w:rPr>
              <w:t>Regulation on cross-compliance, Annex 1: Rules on cross-compliance, SMR 2: grassland areas in the areas of Natura 2000 – birds are maintained at least once annually no later than by 15 October of the current year.</w:t>
            </w:r>
          </w:p>
          <w:p w:rsidR="00F555D6" w:rsidRPr="005C3B55" w:rsidRDefault="00F555D6" w:rsidP="00F555D6">
            <w:pPr>
              <w:numPr>
                <w:ilvl w:val="0"/>
                <w:numId w:val="685"/>
              </w:numPr>
              <w:spacing w:before="0" w:after="0"/>
              <w:ind w:hanging="290"/>
              <w:jc w:val="left"/>
              <w:rPr>
                <w:szCs w:val="24"/>
              </w:rPr>
            </w:pPr>
            <w:r w:rsidRPr="005C3B55">
              <w:rPr>
                <w:szCs w:val="24"/>
              </w:rPr>
              <w:t>Regulation on cross-compliance, Annex 1: Rules on cross-compliance, GAEC7: agricultural land is annually cultivated at least by 15 October of the current year.</w:t>
            </w:r>
          </w:p>
          <w:p w:rsidR="00F555D6" w:rsidRPr="005C3B55" w:rsidRDefault="00F555D6" w:rsidP="00F555D6">
            <w:pPr>
              <w:numPr>
                <w:ilvl w:val="0"/>
                <w:numId w:val="685"/>
              </w:numPr>
              <w:spacing w:before="0" w:after="240"/>
              <w:ind w:hanging="290"/>
              <w:jc w:val="left"/>
              <w:rPr>
                <w:szCs w:val="24"/>
              </w:rPr>
            </w:pPr>
            <w:r w:rsidRPr="005C3B55">
              <w:rPr>
                <w:szCs w:val="24"/>
              </w:rPr>
              <w:t>The prohibition to use fertilisers is not prescribed in the Regulation on cross-compliance.</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Minimum requirements for the use of fertilisers and plant protection products</w:t>
      </w:r>
    </w:p>
    <w:p w:rsidR="00F555D6" w:rsidRPr="005C3B55" w:rsidRDefault="00F555D6" w:rsidP="00F555D6">
      <w:pPr>
        <w:spacing w:after="0"/>
        <w:rPr>
          <w:szCs w:val="24"/>
        </w:rPr>
      </w:pP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686"/>
              </w:numPr>
              <w:spacing w:before="0" w:after="0"/>
              <w:ind w:hanging="290"/>
              <w:jc w:val="left"/>
              <w:rPr>
                <w:szCs w:val="24"/>
              </w:rPr>
            </w:pPr>
            <w:r w:rsidRPr="005C3B55">
              <w:rPr>
                <w:szCs w:val="24"/>
              </w:rPr>
              <w:t>Minimum requirements for the use of fertilisers refer to the keeping of records on the use of livestock and mineral fertilisers which an agricultural holding has to keep for all agricultural land plots at the agricultural holding, and which has to include at least the quantity and type of livestock manure and mineral fertiliser, time of fertilising and data on the surface where these fertilisers are used.</w:t>
            </w:r>
          </w:p>
          <w:p w:rsidR="00F555D6" w:rsidRPr="005C3B55" w:rsidRDefault="00F555D6" w:rsidP="00F555D6">
            <w:pPr>
              <w:numPr>
                <w:ilvl w:val="0"/>
                <w:numId w:val="686"/>
              </w:numPr>
              <w:spacing w:before="0" w:after="240"/>
              <w:ind w:hanging="290"/>
              <w:jc w:val="left"/>
              <w:rPr>
                <w:szCs w:val="24"/>
              </w:rPr>
            </w:pPr>
            <w:r w:rsidRPr="005C3B55">
              <w:rPr>
                <w:szCs w:val="24"/>
              </w:rPr>
              <w:t>Minimum requirements for the use of plant protection products are not determined, since the requirements relating to the use of these products are standardised and are included in the requirements of cross-compliance.</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Other relevant national/regional requirements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687"/>
              </w:numPr>
              <w:spacing w:before="0" w:after="240"/>
              <w:ind w:hanging="290"/>
              <w:jc w:val="left"/>
              <w:rPr>
                <w:szCs w:val="24"/>
              </w:rPr>
            </w:pPr>
            <w:r w:rsidRPr="005C3B55">
              <w:rPr>
                <w:szCs w:val="24"/>
              </w:rPr>
              <w:t>Other national requirements are not prescribed.</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Minimum activities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688"/>
              </w:numPr>
              <w:spacing w:before="0" w:after="240"/>
              <w:ind w:left="1080" w:hanging="290"/>
              <w:jc w:val="left"/>
              <w:rPr>
                <w:szCs w:val="24"/>
              </w:rPr>
            </w:pPr>
            <w:r w:rsidRPr="005C3B55">
              <w:rPr>
                <w:szCs w:val="24"/>
              </w:rPr>
              <w:t>Mowing at least once annually by 15 October of the current year is determined as a criterion for maintaining agricultural land in a state suitable for pasturing or production without the preparation measures which exceed the use of regular agricultural methods and machinery.</w:t>
            </w:r>
          </w:p>
          <w:p w:rsidR="00F555D6" w:rsidRPr="005C3B55" w:rsidRDefault="00F555D6" w:rsidP="00F555D6">
            <w:pPr>
              <w:pStyle w:val="Telobesedila"/>
              <w:rPr>
                <w:szCs w:val="24"/>
              </w:rPr>
            </w:pPr>
          </w:p>
        </w:tc>
      </w:tr>
    </w:tbl>
    <w:p w:rsidR="00F555D6" w:rsidRPr="005C3B55" w:rsidRDefault="00F555D6" w:rsidP="00F555D6">
      <w:pPr>
        <w:pStyle w:val="Naslov9"/>
        <w:tabs>
          <w:tab w:val="clear" w:pos="765"/>
        </w:tabs>
        <w:ind w:left="0" w:firstLine="0"/>
        <w:rPr>
          <w:szCs w:val="24"/>
          <w:lang w:val="en-GB"/>
        </w:rPr>
      </w:pPr>
      <w:r w:rsidRPr="005C3B55">
        <w:rPr>
          <w:noProof w:val="0"/>
          <w:szCs w:val="24"/>
          <w:lang w:val="en-GB"/>
        </w:rPr>
        <w:t>Relevant standard agricultural practices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Litter meadows have been rapidly disappearing in Slovenia in recent decades, as a result of intensification on the one hand and the abandonment of land use and overgrowing on the other. The new, more modern machinery, new agricultural technology and a tendency towards ever greater economic effects have resulted in the situation that meadows which some decades ago were rich in species and mown later, have recently been mown and cultivated much earlier and also by applying technology (e.g. silage) which reduces the biodiversity of meadows.</w:t>
            </w:r>
          </w:p>
          <w:p w:rsidR="00F555D6" w:rsidRPr="005C3B55" w:rsidRDefault="00F555D6" w:rsidP="00F555D6">
            <w:pPr>
              <w:spacing w:before="240" w:after="240" w:line="280" w:lineRule="auto"/>
              <w:rPr>
                <w:szCs w:val="24"/>
              </w:rPr>
            </w:pPr>
            <w:r w:rsidRPr="005C3B55">
              <w:rPr>
                <w:szCs w:val="24"/>
              </w:rPr>
              <w:t>The pressure for economic and profitable agricultural production causes the intensification of meadows by additional fertilisation and seeding and increasing the frequency of mowing. In practice, meadows occurring on humid soil with poor productivity are also fertilised with mineral and organic fertilisers, which results in the loss of biodiversity.</w:t>
            </w:r>
          </w:p>
          <w:p w:rsidR="00F555D6" w:rsidRPr="005C3B55" w:rsidRDefault="00F555D6" w:rsidP="00F555D6">
            <w:pPr>
              <w:pStyle w:val="Telobesedila"/>
              <w:rPr>
                <w:szCs w:val="24"/>
              </w:rPr>
            </w:pPr>
          </w:p>
        </w:tc>
      </w:tr>
    </w:tbl>
    <w:p w:rsidR="00F555D6" w:rsidRPr="005C3B55" w:rsidRDefault="00F555D6" w:rsidP="00F555D6">
      <w:pPr>
        <w:pStyle w:val="Naslov8"/>
        <w:tabs>
          <w:tab w:val="clear" w:pos="765"/>
        </w:tabs>
        <w:ind w:left="0" w:firstLine="0"/>
        <w:rPr>
          <w:b w:val="0"/>
          <w:szCs w:val="24"/>
          <w:lang w:val="en-GB"/>
        </w:rPr>
      </w:pPr>
      <w:r w:rsidRPr="005C3B55">
        <w:rPr>
          <w:b w:val="0"/>
          <w:noProof w:val="0"/>
          <w:szCs w:val="24"/>
          <w:lang w:val="en-GB"/>
        </w:rPr>
        <w:t>STE_NPAS:</w:t>
      </w:r>
      <w:r w:rsidRPr="005C3B55">
        <w:rPr>
          <w:b w:val="0"/>
          <w:szCs w:val="24"/>
          <w:lang w:val="en-GB"/>
        </w:rPr>
        <w:t xml:space="preserve"> </w:t>
      </w:r>
      <w:r w:rsidRPr="005C3B55">
        <w:rPr>
          <w:b w:val="0"/>
          <w:noProof w:val="0"/>
          <w:szCs w:val="24"/>
          <w:lang w:val="en-GB"/>
        </w:rPr>
        <w:t>Unmown strip of 5 to 10% of surface of a meadow</w:t>
      </w:r>
    </w:p>
    <w:p w:rsidR="00F555D6" w:rsidRPr="005C3B55" w:rsidRDefault="00F555D6" w:rsidP="00F555D6">
      <w:pPr>
        <w:pStyle w:val="Naslov9"/>
        <w:tabs>
          <w:tab w:val="clear" w:pos="765"/>
        </w:tabs>
        <w:ind w:left="0" w:firstLine="0"/>
        <w:rPr>
          <w:szCs w:val="24"/>
          <w:lang w:val="en-GB"/>
        </w:rPr>
      </w:pPr>
      <w:r w:rsidRPr="005C3B55">
        <w:rPr>
          <w:noProof w:val="0"/>
          <w:szCs w:val="24"/>
          <w:lang w:val="en-GB"/>
        </w:rPr>
        <w:t>Starting Point</w:t>
      </w:r>
    </w:p>
    <w:p w:rsidR="00F555D6" w:rsidRPr="005C3B55" w:rsidRDefault="00F555D6" w:rsidP="00F555D6">
      <w:pPr>
        <w:spacing w:line="280" w:lineRule="auto"/>
        <w:rPr>
          <w:szCs w:val="24"/>
        </w:rPr>
      </w:pPr>
      <w:r w:rsidRPr="005C3B55">
        <w:rPr>
          <w:szCs w:val="24"/>
        </w:rPr>
        <w:t>Suitable good agricultural and environmental conditions and/or prescribed management requirements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689"/>
              </w:numPr>
              <w:spacing w:before="0" w:after="0"/>
              <w:ind w:hanging="290"/>
              <w:jc w:val="left"/>
              <w:rPr>
                <w:szCs w:val="24"/>
              </w:rPr>
            </w:pPr>
            <w:r w:rsidRPr="005C3B55">
              <w:rPr>
                <w:szCs w:val="24"/>
              </w:rPr>
              <w:t>Regulation on cross-compliance, Annex 1: Rules on cross-compliance, SMR 3: Conservation of natural habitats and of wild fauna and flora: grassland areas in the areas of Natura 2000 – habitats are maintained at least once annually no later than by 15 October of the current year.</w:t>
            </w:r>
          </w:p>
          <w:p w:rsidR="00F555D6" w:rsidRPr="005C3B55" w:rsidRDefault="00F555D6" w:rsidP="00F555D6">
            <w:pPr>
              <w:numPr>
                <w:ilvl w:val="0"/>
                <w:numId w:val="689"/>
              </w:numPr>
              <w:spacing w:before="0" w:after="0"/>
              <w:ind w:hanging="290"/>
              <w:jc w:val="left"/>
              <w:rPr>
                <w:szCs w:val="24"/>
              </w:rPr>
            </w:pPr>
            <w:r w:rsidRPr="005C3B55">
              <w:rPr>
                <w:szCs w:val="24"/>
              </w:rPr>
              <w:t>Regulation on cross-compliance, Annex 1: Rules on cross-compliance, SMR 2: grassland areas in the areas of Natura 2000 – birds are maintained at least once annually no later than by 15 October of the current year.</w:t>
            </w:r>
          </w:p>
          <w:p w:rsidR="00F555D6" w:rsidRPr="005C3B55" w:rsidRDefault="00F555D6" w:rsidP="00F555D6">
            <w:pPr>
              <w:numPr>
                <w:ilvl w:val="0"/>
                <w:numId w:val="689"/>
              </w:numPr>
              <w:spacing w:before="0" w:after="240"/>
              <w:ind w:hanging="290"/>
              <w:jc w:val="left"/>
              <w:rPr>
                <w:szCs w:val="24"/>
              </w:rPr>
            </w:pPr>
            <w:r w:rsidRPr="005C3B55">
              <w:rPr>
                <w:szCs w:val="24"/>
              </w:rPr>
              <w:t>Regulation on cross-compliance, Annex 1: Rules on cross-compliance, GAEC7: agricultural land is annually cultivated at least by 15 October of the current year.</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Minimum requirements for the use of fertilisers and plant protection products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690"/>
              </w:numPr>
              <w:spacing w:before="0" w:after="0"/>
              <w:ind w:hanging="290"/>
              <w:jc w:val="left"/>
              <w:rPr>
                <w:szCs w:val="24"/>
              </w:rPr>
            </w:pPr>
            <w:r w:rsidRPr="005C3B55">
              <w:rPr>
                <w:szCs w:val="24"/>
              </w:rPr>
              <w:t>Minimum requirements for the use of fertilisers refer to the keeping of records on the use of livestock and mineral fertilisers which an agricultural holding has to keep for all agricultural land plots at the agricultural holding, and which has to include at least the quantity and type of livestock manure and mineral fertiliser, time of fertilising and data on the surface where these fertilisers are used.</w:t>
            </w:r>
          </w:p>
          <w:p w:rsidR="00F555D6" w:rsidRPr="005C3B55" w:rsidRDefault="00F555D6" w:rsidP="00F555D6">
            <w:pPr>
              <w:numPr>
                <w:ilvl w:val="0"/>
                <w:numId w:val="690"/>
              </w:numPr>
              <w:spacing w:before="0" w:after="240"/>
              <w:ind w:hanging="290"/>
              <w:jc w:val="left"/>
              <w:rPr>
                <w:szCs w:val="24"/>
              </w:rPr>
            </w:pPr>
            <w:r w:rsidRPr="005C3B55">
              <w:rPr>
                <w:szCs w:val="24"/>
              </w:rPr>
              <w:t>Minimum requirements for the use of plant protection products are not determined, since the requirements relating to the use of these products are standardised and are included in the requirements of cross-compliance.</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Other relevant national/regional requirements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691"/>
              </w:numPr>
              <w:spacing w:before="0" w:after="240"/>
              <w:ind w:hanging="290"/>
              <w:jc w:val="left"/>
              <w:rPr>
                <w:szCs w:val="24"/>
              </w:rPr>
            </w:pPr>
            <w:r w:rsidRPr="005C3B55">
              <w:rPr>
                <w:szCs w:val="24"/>
              </w:rPr>
              <w:t>Other national requirements are not prescribed.</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Minimum activities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692"/>
              </w:numPr>
              <w:spacing w:before="0" w:after="240"/>
              <w:ind w:hanging="290"/>
              <w:jc w:val="left"/>
              <w:rPr>
                <w:szCs w:val="24"/>
              </w:rPr>
            </w:pPr>
            <w:r w:rsidRPr="005C3B55">
              <w:rPr>
                <w:szCs w:val="24"/>
              </w:rPr>
              <w:t>Mowing at least once annually by 15 October of the current year is determined as a criterion for maintaining agricultural land in a state suitable for pasturing or production without the preparation measures which exceed the use of regular agricultural methods and machinery.</w:t>
            </w:r>
          </w:p>
          <w:p w:rsidR="00F555D6" w:rsidRPr="005C3B55" w:rsidRDefault="00F555D6" w:rsidP="00F555D6">
            <w:pPr>
              <w:pStyle w:val="Telobesedila"/>
              <w:rPr>
                <w:szCs w:val="24"/>
              </w:rPr>
            </w:pPr>
          </w:p>
        </w:tc>
      </w:tr>
    </w:tbl>
    <w:p w:rsidR="00F555D6" w:rsidRPr="005C3B55" w:rsidRDefault="00F555D6" w:rsidP="00F555D6">
      <w:pPr>
        <w:pStyle w:val="Naslov9"/>
        <w:tabs>
          <w:tab w:val="clear" w:pos="765"/>
        </w:tabs>
        <w:ind w:left="0" w:firstLine="0"/>
        <w:rPr>
          <w:szCs w:val="24"/>
          <w:lang w:val="en-GB"/>
        </w:rPr>
      </w:pPr>
      <w:r w:rsidRPr="005C3B55">
        <w:rPr>
          <w:noProof w:val="0"/>
          <w:szCs w:val="24"/>
          <w:lang w:val="en-GB"/>
        </w:rPr>
        <w:t>Relevant standard agricultural practices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In standard agricultural practice, the mowing of grassland areas is conducted over the whole meadow surface, whereby it is not usual to leave part of these areas unmown.</w:t>
            </w:r>
          </w:p>
          <w:p w:rsidR="00F555D6" w:rsidRPr="005C3B55" w:rsidRDefault="00F555D6" w:rsidP="00F555D6">
            <w:pPr>
              <w:pStyle w:val="Telobesedila"/>
              <w:rPr>
                <w:szCs w:val="24"/>
              </w:rPr>
            </w:pPr>
          </w:p>
        </w:tc>
      </w:tr>
    </w:tbl>
    <w:p w:rsidR="00F555D6" w:rsidRPr="005C3B55" w:rsidRDefault="00F555D6" w:rsidP="00F555D6">
      <w:pPr>
        <w:pStyle w:val="Naslov5"/>
        <w:tabs>
          <w:tab w:val="clear" w:pos="765"/>
        </w:tabs>
        <w:ind w:left="0" w:firstLine="0"/>
        <w:rPr>
          <w:b w:val="0"/>
          <w:szCs w:val="24"/>
          <w:lang w:val="en-GB"/>
        </w:rPr>
      </w:pPr>
      <w:r w:rsidRPr="005C3B55">
        <w:rPr>
          <w:b w:val="0"/>
          <w:szCs w:val="24"/>
          <w:lang w:val="en-GB"/>
        </w:rPr>
        <w:br w:type="page"/>
        <w:t>11.</w:t>
      </w:r>
      <w:r w:rsidRPr="005C3B55">
        <w:rPr>
          <w:b w:val="0"/>
          <w:szCs w:val="24"/>
          <w:lang w:val="en-GB"/>
        </w:rPr>
        <w:tab/>
      </w:r>
      <w:r w:rsidRPr="005C3B55">
        <w:rPr>
          <w:b w:val="0"/>
          <w:noProof w:val="0"/>
          <w:szCs w:val="24"/>
          <w:lang w:val="en-GB"/>
        </w:rPr>
        <w:t>Water sources</w:t>
      </w:r>
    </w:p>
    <w:p w:rsidR="00F555D6" w:rsidRPr="005C3B55" w:rsidRDefault="00F555D6" w:rsidP="00F555D6">
      <w:pPr>
        <w:spacing w:line="280" w:lineRule="auto"/>
        <w:rPr>
          <w:szCs w:val="24"/>
        </w:rPr>
      </w:pPr>
      <w:r w:rsidRPr="005C3B55">
        <w:rPr>
          <w:szCs w:val="24"/>
        </w:rPr>
        <w:t xml:space="preserve">Sub-measure: </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693"/>
              </w:numPr>
              <w:rPr>
                <w:szCs w:val="24"/>
              </w:rPr>
            </w:pPr>
            <w:r w:rsidRPr="005C3B55">
              <w:rPr>
                <w:szCs w:val="24"/>
              </w:rPr>
              <w:t>10.1 – Payment of agri-environment-climate commitments</w:t>
            </w: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Description of type of operation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The requirements in the scope of the operation ‘Water Sources’ are intended for the preservation of water sources and the preservation and improvement of characteristics and fertility of soil. The operation presents a change in the existing agricultural practice.</w:t>
            </w:r>
          </w:p>
          <w:p w:rsidR="00F555D6" w:rsidRPr="005C3B55" w:rsidRDefault="00F555D6" w:rsidP="00F555D6">
            <w:pPr>
              <w:spacing w:before="240" w:after="240" w:line="280" w:lineRule="auto"/>
              <w:rPr>
                <w:szCs w:val="24"/>
              </w:rPr>
            </w:pPr>
            <w:r w:rsidRPr="005C3B55">
              <w:rPr>
                <w:szCs w:val="24"/>
              </w:rPr>
              <w:t>The operation includes two mandatory and two optional requirements. The beneficiary must implement the mandatory requirements and may also select one or both optional requirements under this operation.</w:t>
            </w:r>
          </w:p>
          <w:p w:rsidR="00F555D6" w:rsidRPr="005C3B55" w:rsidRDefault="00F555D6" w:rsidP="00F555D6">
            <w:pPr>
              <w:spacing w:before="240" w:after="240" w:line="280" w:lineRule="auto"/>
              <w:rPr>
                <w:szCs w:val="24"/>
              </w:rPr>
            </w:pPr>
            <w:r w:rsidRPr="005C3B55">
              <w:rPr>
                <w:szCs w:val="24"/>
              </w:rPr>
              <w:t>The requirements are implemented in catchment areas of surface waters and groundwater referred to in the Water Management Plan.</w:t>
            </w:r>
          </w:p>
          <w:p w:rsidR="00F555D6" w:rsidRPr="005C3B55" w:rsidRDefault="00F555D6" w:rsidP="00F555D6">
            <w:pPr>
              <w:spacing w:before="240" w:after="240" w:line="280" w:lineRule="auto"/>
              <w:rPr>
                <w:szCs w:val="24"/>
              </w:rPr>
            </w:pPr>
            <w:r w:rsidRPr="005C3B55">
              <w:rPr>
                <w:szCs w:val="24"/>
              </w:rPr>
              <w:t>Beneficiaries, whose surfaces are located in catchment areas of surface waters and groundwater referred to in the Water Management Plan, can participate in the implementation of the operation Arable farming and vegetable cultivation only if they simultaneously participate also in the implementation of this operation with at least 30% of field surfaces in the area of the Drava River Basin and with at least 20% of field surfaces in other areas of the areas under the Water Management Plan.</w:t>
            </w:r>
          </w:p>
          <w:p w:rsidR="00F555D6" w:rsidRPr="005C3B55" w:rsidRDefault="00F555D6" w:rsidP="00F555D6">
            <w:pPr>
              <w:spacing w:before="240" w:after="240" w:line="280" w:lineRule="auto"/>
              <w:rPr>
                <w:szCs w:val="24"/>
              </w:rPr>
            </w:pPr>
            <w:r w:rsidRPr="005C3B55">
              <w:rPr>
                <w:szCs w:val="24"/>
              </w:rPr>
              <w:t>Even if beneficiaries participate only in the implementation of the operation Water sources, they have to implement this operation in the region of the Drava River Basin from the Water Management Plan on at least 30% of fields, and on other areas from the Water Management Plan on at least 20 % of fields.</w:t>
            </w:r>
          </w:p>
          <w:p w:rsidR="00F555D6" w:rsidRPr="005C3B55" w:rsidRDefault="00F555D6" w:rsidP="00F555D6">
            <w:pPr>
              <w:spacing w:before="240" w:after="240" w:line="280" w:lineRule="auto"/>
              <w:rPr>
                <w:szCs w:val="24"/>
              </w:rPr>
            </w:pPr>
            <w:r w:rsidRPr="005C3B55">
              <w:rPr>
                <w:szCs w:val="24"/>
              </w:rPr>
              <w:t>Basic measures are defined in Article 11 of the Water Framework Directive (2000/60/EC). These are minimum requirements which have to be fulfilled and which derive from the EU legislation on water protection and other EU legislation which is defined under Article 10 and Part A of Annex VI of the aforementioned directive.</w:t>
            </w:r>
          </w:p>
          <w:p w:rsidR="00F555D6" w:rsidRPr="005C3B55" w:rsidRDefault="00F555D6" w:rsidP="00F555D6">
            <w:pPr>
              <w:spacing w:before="240" w:after="240" w:line="280" w:lineRule="auto"/>
              <w:rPr>
                <w:szCs w:val="24"/>
              </w:rPr>
            </w:pPr>
            <w:r w:rsidRPr="005C3B55">
              <w:rPr>
                <w:szCs w:val="24"/>
              </w:rPr>
              <w:t>The requirements within the operation Water sources are upgraded as per the measures from the Water Management Plan arising from the aforementioned directive in order to prevent overlapping.</w:t>
            </w:r>
          </w:p>
          <w:p w:rsidR="00F555D6" w:rsidRPr="005C3B55" w:rsidRDefault="00F555D6" w:rsidP="00F555D6">
            <w:pPr>
              <w:spacing w:before="240" w:after="240" w:line="280" w:lineRule="auto"/>
              <w:rPr>
                <w:szCs w:val="24"/>
              </w:rPr>
            </w:pPr>
            <w:r w:rsidRPr="005C3B55">
              <w:rPr>
                <w:b/>
                <w:szCs w:val="24"/>
              </w:rPr>
              <w:t>A. Mandatory requirements</w:t>
            </w:r>
          </w:p>
          <w:p w:rsidR="00F555D6" w:rsidRPr="005C3B55" w:rsidRDefault="00F555D6" w:rsidP="00F555D6">
            <w:pPr>
              <w:spacing w:before="240" w:after="240" w:line="280" w:lineRule="auto"/>
              <w:rPr>
                <w:szCs w:val="24"/>
              </w:rPr>
            </w:pPr>
            <w:r w:rsidRPr="005C3B55">
              <w:rPr>
                <w:b/>
                <w:i/>
                <w:szCs w:val="24"/>
              </w:rPr>
              <w:t>VOD_ZEL: Greening of arable land</w:t>
            </w:r>
          </w:p>
          <w:p w:rsidR="00F555D6" w:rsidRPr="005C3B55" w:rsidRDefault="00F555D6" w:rsidP="00F555D6">
            <w:pPr>
              <w:spacing w:before="240" w:after="240" w:line="280" w:lineRule="auto"/>
              <w:rPr>
                <w:szCs w:val="24"/>
              </w:rPr>
            </w:pPr>
            <w:r w:rsidRPr="005C3B55">
              <w:rPr>
                <w:szCs w:val="24"/>
              </w:rPr>
              <w:t>The purpose of the requirement is to prevent leaching of nutrients, reduce groundwater pollution, reduce erosion and improve soil fertility.</w:t>
            </w:r>
          </w:p>
          <w:p w:rsidR="00F555D6" w:rsidRPr="005C3B55" w:rsidRDefault="00F555D6" w:rsidP="00F555D6">
            <w:pPr>
              <w:spacing w:before="240" w:after="240" w:line="280" w:lineRule="auto"/>
              <w:rPr>
                <w:szCs w:val="24"/>
              </w:rPr>
            </w:pPr>
            <w:r w:rsidRPr="005C3B55">
              <w:rPr>
                <w:szCs w:val="24"/>
              </w:rPr>
              <w:t>The sowing of overwintering crops (e.g. winter wheat, swede rape etc.) must be implemented by 25.10 October of the current year. The soil must be covered from 15 November of the current year to at least 15 February of the following year. Tillage is possible after 15 February of the following year, whereby the use of herbicides is not permitted.</w:t>
            </w:r>
          </w:p>
          <w:p w:rsidR="00F555D6" w:rsidRPr="005C3B55" w:rsidRDefault="00F555D6" w:rsidP="00F555D6">
            <w:pPr>
              <w:numPr>
                <w:ilvl w:val="0"/>
                <w:numId w:val="694"/>
              </w:numPr>
              <w:spacing w:before="240" w:after="0"/>
              <w:ind w:hanging="290"/>
              <w:jc w:val="left"/>
              <w:rPr>
                <w:szCs w:val="24"/>
              </w:rPr>
            </w:pPr>
            <w:r w:rsidRPr="005C3B55">
              <w:rPr>
                <w:szCs w:val="24"/>
              </w:rPr>
              <w:t>Livestock density: not relevant.</w:t>
            </w:r>
          </w:p>
          <w:p w:rsidR="00F555D6" w:rsidRPr="005C3B55" w:rsidRDefault="00F555D6" w:rsidP="00F555D6">
            <w:pPr>
              <w:numPr>
                <w:ilvl w:val="0"/>
                <w:numId w:val="694"/>
              </w:numPr>
              <w:spacing w:before="0" w:after="0"/>
              <w:ind w:hanging="290"/>
              <w:jc w:val="left"/>
              <w:rPr>
                <w:szCs w:val="24"/>
              </w:rPr>
            </w:pPr>
            <w:r w:rsidRPr="005C3B55">
              <w:rPr>
                <w:szCs w:val="24"/>
              </w:rPr>
              <w:t>Use: arable land.</w:t>
            </w:r>
          </w:p>
          <w:p w:rsidR="00F555D6" w:rsidRPr="005C3B55" w:rsidRDefault="00F555D6" w:rsidP="00F555D6">
            <w:pPr>
              <w:numPr>
                <w:ilvl w:val="0"/>
                <w:numId w:val="694"/>
              </w:numPr>
              <w:spacing w:before="0" w:after="0"/>
              <w:ind w:hanging="290"/>
              <w:jc w:val="left"/>
              <w:rPr>
                <w:szCs w:val="24"/>
              </w:rPr>
            </w:pPr>
            <w:r w:rsidRPr="005C3B55">
              <w:rPr>
                <w:szCs w:val="24"/>
              </w:rPr>
              <w:t>Coverage: part of surfaces (minimum 30 % of surfaces in the area of the Drava River Basin and at least 20 % of surfaces in other catchment areas of surface waters referred to in the Water Management Plan).</w:t>
            </w:r>
          </w:p>
          <w:p w:rsidR="00F555D6" w:rsidRPr="005C3B55" w:rsidRDefault="00F555D6" w:rsidP="00F555D6">
            <w:pPr>
              <w:numPr>
                <w:ilvl w:val="0"/>
                <w:numId w:val="694"/>
              </w:numPr>
              <w:spacing w:before="0" w:after="0"/>
              <w:ind w:hanging="290"/>
              <w:jc w:val="left"/>
              <w:rPr>
                <w:szCs w:val="24"/>
              </w:rPr>
            </w:pPr>
            <w:r w:rsidRPr="005C3B55">
              <w:rPr>
                <w:szCs w:val="24"/>
              </w:rPr>
              <w:t>Location: not relevant.</w:t>
            </w:r>
          </w:p>
          <w:p w:rsidR="00F555D6" w:rsidRPr="005C3B55" w:rsidRDefault="00F555D6" w:rsidP="00F555D6">
            <w:pPr>
              <w:numPr>
                <w:ilvl w:val="0"/>
                <w:numId w:val="694"/>
              </w:numPr>
              <w:spacing w:before="0" w:after="240"/>
              <w:ind w:hanging="290"/>
              <w:jc w:val="left"/>
              <w:rPr>
                <w:szCs w:val="24"/>
              </w:rPr>
            </w:pPr>
            <w:r w:rsidRPr="005C3B55">
              <w:rPr>
                <w:szCs w:val="24"/>
              </w:rPr>
              <w:t>Implementation area: catchment areas of surface waters and areas of groundwater referred to in the Water Management Plan, except the narrowest water protection areas (WPA I) and agricultural land with a medium gradient of 20 % or more.</w:t>
            </w:r>
          </w:p>
          <w:p w:rsidR="00F555D6" w:rsidRPr="005C3B55" w:rsidRDefault="00F555D6" w:rsidP="00F555D6">
            <w:pPr>
              <w:spacing w:before="240" w:after="240" w:line="280" w:lineRule="auto"/>
              <w:rPr>
                <w:szCs w:val="24"/>
              </w:rPr>
            </w:pPr>
            <w:r w:rsidRPr="005C3B55">
              <w:rPr>
                <w:szCs w:val="24"/>
              </w:rPr>
              <w:t>Effects:</w:t>
            </w:r>
          </w:p>
          <w:p w:rsidR="00F555D6" w:rsidRPr="005C3B55" w:rsidRDefault="00F555D6" w:rsidP="00F555D6">
            <w:pPr>
              <w:numPr>
                <w:ilvl w:val="0"/>
                <w:numId w:val="695"/>
              </w:numPr>
              <w:spacing w:before="240" w:after="0"/>
              <w:ind w:hanging="290"/>
              <w:jc w:val="left"/>
              <w:rPr>
                <w:szCs w:val="24"/>
              </w:rPr>
            </w:pPr>
            <w:r w:rsidRPr="005C3B55">
              <w:rPr>
                <w:szCs w:val="24"/>
              </w:rPr>
              <w:t>improvement of soil and water conditions;</w:t>
            </w:r>
          </w:p>
          <w:p w:rsidR="00F555D6" w:rsidRPr="005C3B55" w:rsidRDefault="00F555D6" w:rsidP="00F555D6">
            <w:pPr>
              <w:numPr>
                <w:ilvl w:val="0"/>
                <w:numId w:val="695"/>
              </w:numPr>
              <w:spacing w:before="0" w:after="0"/>
              <w:ind w:hanging="290"/>
              <w:jc w:val="left"/>
              <w:rPr>
                <w:szCs w:val="24"/>
              </w:rPr>
            </w:pPr>
            <w:r w:rsidRPr="005C3B55">
              <w:rPr>
                <w:szCs w:val="24"/>
              </w:rPr>
              <w:t>improvement soil fertility and structure;</w:t>
            </w:r>
          </w:p>
          <w:p w:rsidR="00F555D6" w:rsidRPr="005C3B55" w:rsidRDefault="00F555D6" w:rsidP="00F555D6">
            <w:pPr>
              <w:numPr>
                <w:ilvl w:val="0"/>
                <w:numId w:val="695"/>
              </w:numPr>
              <w:spacing w:before="0" w:after="0"/>
              <w:ind w:hanging="290"/>
              <w:jc w:val="left"/>
              <w:rPr>
                <w:szCs w:val="24"/>
              </w:rPr>
            </w:pPr>
            <w:r w:rsidRPr="005C3B55">
              <w:rPr>
                <w:szCs w:val="24"/>
              </w:rPr>
              <w:t>increase of microbiological activity of the soil;</w:t>
            </w:r>
          </w:p>
          <w:p w:rsidR="00F555D6" w:rsidRPr="005C3B55" w:rsidRDefault="00F555D6" w:rsidP="00F555D6">
            <w:pPr>
              <w:numPr>
                <w:ilvl w:val="0"/>
                <w:numId w:val="695"/>
              </w:numPr>
              <w:spacing w:before="0" w:after="0"/>
              <w:ind w:hanging="290"/>
              <w:jc w:val="left"/>
              <w:rPr>
                <w:szCs w:val="24"/>
              </w:rPr>
            </w:pPr>
            <w:r w:rsidRPr="005C3B55">
              <w:rPr>
                <w:szCs w:val="24"/>
              </w:rPr>
              <w:t>prevention of leaching of nutrients in the subsoil;</w:t>
            </w:r>
          </w:p>
          <w:p w:rsidR="00F555D6" w:rsidRPr="005C3B55" w:rsidRDefault="00F555D6" w:rsidP="00F555D6">
            <w:pPr>
              <w:numPr>
                <w:ilvl w:val="0"/>
                <w:numId w:val="695"/>
              </w:numPr>
              <w:spacing w:before="0" w:after="0"/>
              <w:ind w:hanging="290"/>
              <w:jc w:val="left"/>
              <w:rPr>
                <w:szCs w:val="24"/>
              </w:rPr>
            </w:pPr>
            <w:r w:rsidRPr="005C3B55">
              <w:rPr>
                <w:szCs w:val="24"/>
              </w:rPr>
              <w:t>protection of soil from harmful weather impact (soil crusting, loss of moisture, erosion);</w:t>
            </w:r>
          </w:p>
          <w:p w:rsidR="00F555D6" w:rsidRPr="005C3B55" w:rsidRDefault="00F555D6" w:rsidP="00F555D6">
            <w:pPr>
              <w:numPr>
                <w:ilvl w:val="0"/>
                <w:numId w:val="695"/>
              </w:numPr>
              <w:spacing w:before="0" w:after="240"/>
              <w:ind w:hanging="290"/>
              <w:jc w:val="left"/>
              <w:rPr>
                <w:szCs w:val="24"/>
              </w:rPr>
            </w:pPr>
            <w:r w:rsidRPr="005C3B55">
              <w:rPr>
                <w:szCs w:val="24"/>
              </w:rPr>
              <w:t>reduction of weeds.</w:t>
            </w:r>
          </w:p>
          <w:p w:rsidR="00F555D6" w:rsidRPr="005C3B55" w:rsidRDefault="00F555D6" w:rsidP="00F555D6">
            <w:pPr>
              <w:spacing w:before="240" w:after="240" w:line="280" w:lineRule="auto"/>
              <w:rPr>
                <w:szCs w:val="24"/>
              </w:rPr>
            </w:pPr>
            <w:r w:rsidRPr="005C3B55">
              <w:rPr>
                <w:b/>
                <w:i/>
                <w:szCs w:val="24"/>
              </w:rPr>
              <w:t>VOD_FFSV: Use of only plant protection products which were approved for the narrowest water protection areas</w:t>
            </w:r>
          </w:p>
          <w:p w:rsidR="00F555D6" w:rsidRPr="005C3B55" w:rsidRDefault="00F555D6" w:rsidP="00F555D6">
            <w:pPr>
              <w:spacing w:before="240" w:after="240" w:line="280" w:lineRule="auto"/>
              <w:rPr>
                <w:szCs w:val="24"/>
              </w:rPr>
            </w:pPr>
            <w:r w:rsidRPr="005C3B55">
              <w:rPr>
                <w:szCs w:val="24"/>
              </w:rPr>
              <w:t>Only specific plant protection products (active substances) may be used within this requirement which were approved for the narrowest water protection areas as per the regulations governing the water protection areas of aquifers (national regulations). Active substances which are prohibited in these areas are: Bentazone, s-metalochlor, terbuthylazine, metamitron, isoproturon, mccp, mccp-p, mcpa, dimethenamid, chloridazone, tritosulfuron, nicosulfuron, rimsulfuron, flurochchloridone, petoksamid, clopylarid, dicloprop-p, metalaxl-m, metazachlor, dicamba, metribuzin, flufanacet, dimetachlor, chlorothalonil,  chlorotranilipol, triasulfuron. The list of the aforementioned active substances may change on the basis of amendments to national regulations. The applicable list is available on the websites of the Ministry and the AAMRD.</w:t>
            </w:r>
          </w:p>
          <w:p w:rsidR="00F555D6" w:rsidRPr="005C3B55" w:rsidRDefault="00F555D6" w:rsidP="00F555D6">
            <w:pPr>
              <w:numPr>
                <w:ilvl w:val="0"/>
                <w:numId w:val="696"/>
              </w:numPr>
              <w:spacing w:before="240" w:after="0"/>
              <w:ind w:hanging="290"/>
              <w:jc w:val="left"/>
              <w:rPr>
                <w:szCs w:val="24"/>
              </w:rPr>
            </w:pPr>
            <w:r w:rsidRPr="005C3B55">
              <w:rPr>
                <w:szCs w:val="24"/>
              </w:rPr>
              <w:t>Livestock density: not relevant.</w:t>
            </w:r>
          </w:p>
          <w:p w:rsidR="00F555D6" w:rsidRPr="005C3B55" w:rsidRDefault="00F555D6" w:rsidP="00F555D6">
            <w:pPr>
              <w:numPr>
                <w:ilvl w:val="0"/>
                <w:numId w:val="696"/>
              </w:numPr>
              <w:spacing w:before="0" w:after="0"/>
              <w:ind w:hanging="290"/>
              <w:jc w:val="left"/>
              <w:rPr>
                <w:szCs w:val="24"/>
              </w:rPr>
            </w:pPr>
            <w:r w:rsidRPr="005C3B55">
              <w:rPr>
                <w:szCs w:val="24"/>
              </w:rPr>
              <w:t>Use: arable land.</w:t>
            </w:r>
          </w:p>
          <w:p w:rsidR="00F555D6" w:rsidRPr="005C3B55" w:rsidRDefault="00F555D6" w:rsidP="00F555D6">
            <w:pPr>
              <w:numPr>
                <w:ilvl w:val="0"/>
                <w:numId w:val="696"/>
              </w:numPr>
              <w:spacing w:before="0" w:after="0"/>
              <w:ind w:hanging="290"/>
              <w:jc w:val="left"/>
              <w:rPr>
                <w:szCs w:val="24"/>
              </w:rPr>
            </w:pPr>
            <w:r w:rsidRPr="005C3B55">
              <w:rPr>
                <w:szCs w:val="24"/>
              </w:rPr>
              <w:t>Coverage: all field surfaces.</w:t>
            </w:r>
          </w:p>
          <w:p w:rsidR="00F555D6" w:rsidRPr="005C3B55" w:rsidRDefault="00F555D6" w:rsidP="00F555D6">
            <w:pPr>
              <w:numPr>
                <w:ilvl w:val="0"/>
                <w:numId w:val="696"/>
              </w:numPr>
              <w:spacing w:before="0" w:after="0"/>
              <w:ind w:hanging="290"/>
              <w:jc w:val="left"/>
              <w:rPr>
                <w:szCs w:val="24"/>
              </w:rPr>
            </w:pPr>
            <w:r w:rsidRPr="005C3B55">
              <w:rPr>
                <w:szCs w:val="24"/>
              </w:rPr>
              <w:t>Location: the same throughout the commitment.</w:t>
            </w:r>
          </w:p>
          <w:p w:rsidR="00F555D6" w:rsidRPr="005C3B55" w:rsidRDefault="00F555D6" w:rsidP="00F555D6">
            <w:pPr>
              <w:numPr>
                <w:ilvl w:val="0"/>
                <w:numId w:val="696"/>
              </w:numPr>
              <w:spacing w:before="0" w:after="240"/>
              <w:ind w:hanging="290"/>
              <w:jc w:val="left"/>
              <w:rPr>
                <w:szCs w:val="24"/>
              </w:rPr>
            </w:pPr>
            <w:r w:rsidRPr="005C3B55">
              <w:rPr>
                <w:szCs w:val="24"/>
              </w:rPr>
              <w:t>Implementation area: catchment areas of surface waters and areas of groundwater referred to in the Water Management Plan, except the narrowest water protection areas (WPA I).</w:t>
            </w:r>
          </w:p>
          <w:p w:rsidR="00F555D6" w:rsidRPr="005C3B55" w:rsidRDefault="00F555D6" w:rsidP="00F555D6">
            <w:pPr>
              <w:spacing w:before="240" w:after="240" w:line="280" w:lineRule="auto"/>
              <w:rPr>
                <w:szCs w:val="24"/>
              </w:rPr>
            </w:pPr>
            <w:r w:rsidRPr="005C3B55">
              <w:rPr>
                <w:szCs w:val="24"/>
              </w:rPr>
              <w:t>Effects:</w:t>
            </w:r>
          </w:p>
          <w:p w:rsidR="00F555D6" w:rsidRPr="005C3B55" w:rsidRDefault="00F555D6" w:rsidP="00F555D6">
            <w:pPr>
              <w:numPr>
                <w:ilvl w:val="0"/>
                <w:numId w:val="697"/>
              </w:numPr>
              <w:spacing w:before="240" w:after="0"/>
              <w:ind w:hanging="290"/>
              <w:jc w:val="left"/>
              <w:rPr>
                <w:szCs w:val="24"/>
              </w:rPr>
            </w:pPr>
            <w:r w:rsidRPr="005C3B55">
              <w:rPr>
                <w:szCs w:val="24"/>
              </w:rPr>
              <w:t>disburdening the environment;</w:t>
            </w:r>
          </w:p>
          <w:p w:rsidR="00F555D6" w:rsidRPr="005C3B55" w:rsidRDefault="00F555D6" w:rsidP="00F555D6">
            <w:pPr>
              <w:numPr>
                <w:ilvl w:val="0"/>
                <w:numId w:val="697"/>
              </w:numPr>
              <w:spacing w:before="0" w:after="0"/>
              <w:ind w:hanging="290"/>
              <w:jc w:val="left"/>
              <w:rPr>
                <w:szCs w:val="24"/>
              </w:rPr>
            </w:pPr>
            <w:r w:rsidRPr="005C3B55">
              <w:rPr>
                <w:szCs w:val="24"/>
              </w:rPr>
              <w:t>use of environment-friendly substances;</w:t>
            </w:r>
          </w:p>
          <w:p w:rsidR="00F555D6" w:rsidRPr="005C3B55" w:rsidRDefault="00F555D6" w:rsidP="00F555D6">
            <w:pPr>
              <w:numPr>
                <w:ilvl w:val="0"/>
                <w:numId w:val="697"/>
              </w:numPr>
              <w:spacing w:before="0" w:after="0"/>
              <w:ind w:hanging="290"/>
              <w:jc w:val="left"/>
              <w:rPr>
                <w:szCs w:val="24"/>
              </w:rPr>
            </w:pPr>
            <w:r w:rsidRPr="005C3B55">
              <w:rPr>
                <w:szCs w:val="24"/>
              </w:rPr>
              <w:t>improvement of soil and water conditions;</w:t>
            </w:r>
          </w:p>
          <w:p w:rsidR="00F555D6" w:rsidRPr="005C3B55" w:rsidRDefault="00F555D6" w:rsidP="00F555D6">
            <w:pPr>
              <w:numPr>
                <w:ilvl w:val="0"/>
                <w:numId w:val="697"/>
              </w:numPr>
              <w:spacing w:before="0" w:after="240"/>
              <w:ind w:hanging="290"/>
              <w:jc w:val="left"/>
              <w:rPr>
                <w:szCs w:val="24"/>
              </w:rPr>
            </w:pPr>
            <w:r w:rsidRPr="005C3B55">
              <w:rPr>
                <w:szCs w:val="24"/>
              </w:rPr>
              <w:t>preventing leaching of active substances of plant protection products into groundwater.</w:t>
            </w:r>
          </w:p>
          <w:p w:rsidR="00F555D6" w:rsidRPr="005C3B55" w:rsidRDefault="00F555D6" w:rsidP="00F555D6">
            <w:pPr>
              <w:spacing w:before="240" w:after="240" w:line="280" w:lineRule="auto"/>
              <w:rPr>
                <w:szCs w:val="24"/>
              </w:rPr>
            </w:pPr>
            <w:r w:rsidRPr="005C3B55">
              <w:rPr>
                <w:b/>
                <w:szCs w:val="24"/>
              </w:rPr>
              <w:t>B. Optional requirements</w:t>
            </w:r>
          </w:p>
          <w:p w:rsidR="00F555D6" w:rsidRPr="005C3B55" w:rsidRDefault="00F555D6" w:rsidP="00F555D6">
            <w:pPr>
              <w:spacing w:before="240" w:after="240" w:line="280" w:lineRule="auto"/>
              <w:rPr>
                <w:szCs w:val="24"/>
              </w:rPr>
            </w:pPr>
            <w:r w:rsidRPr="005C3B55">
              <w:rPr>
                <w:b/>
                <w:i/>
                <w:szCs w:val="24"/>
              </w:rPr>
              <w:t>VOD_NEP: Non-overwintering honey crops</w:t>
            </w:r>
          </w:p>
          <w:p w:rsidR="00F555D6" w:rsidRPr="005C3B55" w:rsidRDefault="00F555D6" w:rsidP="00F555D6">
            <w:pPr>
              <w:spacing w:before="240" w:after="240" w:line="280" w:lineRule="auto"/>
              <w:rPr>
                <w:szCs w:val="24"/>
              </w:rPr>
            </w:pPr>
            <w:r w:rsidRPr="005C3B55">
              <w:rPr>
                <w:szCs w:val="24"/>
              </w:rPr>
              <w:t>The purpose of the requirement is to prevent the leaching of nutrients, reduce groundwater pollution and erosion, improve soil fertility and extend the grazing season for bees into late autumn, and to reduce the need to feed bees with sugar, increase resilience and improve the wintering of bee colonies.</w:t>
            </w:r>
          </w:p>
          <w:p w:rsidR="00F555D6" w:rsidRPr="005C3B55" w:rsidRDefault="00F555D6" w:rsidP="00F555D6">
            <w:pPr>
              <w:spacing w:before="240" w:after="240" w:line="280" w:lineRule="auto"/>
              <w:rPr>
                <w:szCs w:val="24"/>
              </w:rPr>
            </w:pPr>
            <w:r w:rsidRPr="005C3B55">
              <w:rPr>
                <w:szCs w:val="24"/>
              </w:rPr>
              <w:t>Sowing of non-overwintering honey crops has to be implemented at least by 1 August of the current year; soil cover from 15 August of the current year and at least by 16 October of the current year; land treatment is possible after 16 October of the current year. During the implementation of the requirement, the use of herbicides is not permitted. During the implementation of the requirement, the use of mineral nitrogen fertilisers is not permitted.</w:t>
            </w:r>
          </w:p>
          <w:p w:rsidR="00F555D6" w:rsidRPr="005C3B55" w:rsidRDefault="00F555D6" w:rsidP="00F555D6">
            <w:pPr>
              <w:spacing w:before="240" w:after="240" w:line="280" w:lineRule="auto"/>
              <w:rPr>
                <w:szCs w:val="24"/>
              </w:rPr>
            </w:pPr>
            <w:r w:rsidRPr="005C3B55">
              <w:rPr>
                <w:szCs w:val="24"/>
              </w:rPr>
              <w:t>The main task of crops sowed after the harvesting of the main crops is to utilise the remainder of the vegetation period and habitats as much as possible. Due to this, their development must be quick and they must be able to endure unfavourable vegetation conditions (drought and high temperatures) well.</w:t>
            </w:r>
          </w:p>
          <w:p w:rsidR="00F555D6" w:rsidRPr="005C3B55" w:rsidRDefault="00F555D6" w:rsidP="00F555D6">
            <w:pPr>
              <w:spacing w:before="240" w:after="240" w:line="280" w:lineRule="auto"/>
              <w:rPr>
                <w:szCs w:val="24"/>
              </w:rPr>
            </w:pPr>
            <w:r w:rsidRPr="005C3B55">
              <w:rPr>
                <w:szCs w:val="24"/>
              </w:rPr>
              <w:t>The sowing of non-wintering flowering honey crops after the harvesting of cereals, oilseed rape and other crops contributes to the conservation of bee families and to the reduction of the population of soil pests.</w:t>
            </w:r>
          </w:p>
          <w:p w:rsidR="00F555D6" w:rsidRPr="005C3B55" w:rsidRDefault="00F555D6" w:rsidP="00F555D6">
            <w:pPr>
              <w:spacing w:before="240" w:after="240" w:line="280" w:lineRule="auto"/>
              <w:rPr>
                <w:szCs w:val="24"/>
              </w:rPr>
            </w:pPr>
            <w:r w:rsidRPr="005C3B55">
              <w:rPr>
                <w:szCs w:val="24"/>
              </w:rPr>
              <w:t>The sowing of non-overwintering crops in Slovenian soil and weather climate conditions is necessary from the environmental aspect (prevention of erosion and leaching of nutrients), due to preservation of soil fertility (organic matter, structure, soil and weather) and landscape and biodiversity (mosaic structure of the landscape, diversity of species, bee pasture).</w:t>
            </w:r>
          </w:p>
          <w:p w:rsidR="00F555D6" w:rsidRPr="005C3B55" w:rsidRDefault="00F555D6" w:rsidP="00F555D6">
            <w:pPr>
              <w:numPr>
                <w:ilvl w:val="0"/>
                <w:numId w:val="698"/>
              </w:numPr>
              <w:spacing w:before="240" w:after="0"/>
              <w:ind w:hanging="290"/>
              <w:jc w:val="left"/>
              <w:rPr>
                <w:szCs w:val="24"/>
              </w:rPr>
            </w:pPr>
            <w:r w:rsidRPr="005C3B55">
              <w:rPr>
                <w:szCs w:val="24"/>
              </w:rPr>
              <w:t>Livestock density: not relevant.</w:t>
            </w:r>
          </w:p>
          <w:p w:rsidR="00F555D6" w:rsidRPr="005C3B55" w:rsidRDefault="00F555D6" w:rsidP="00F555D6">
            <w:pPr>
              <w:numPr>
                <w:ilvl w:val="0"/>
                <w:numId w:val="698"/>
              </w:numPr>
              <w:spacing w:before="0" w:after="0"/>
              <w:ind w:hanging="290"/>
              <w:jc w:val="left"/>
              <w:rPr>
                <w:szCs w:val="24"/>
              </w:rPr>
            </w:pPr>
            <w:r w:rsidRPr="005C3B55">
              <w:rPr>
                <w:szCs w:val="24"/>
              </w:rPr>
              <w:t>Use: arable land.</w:t>
            </w:r>
          </w:p>
          <w:p w:rsidR="00F555D6" w:rsidRPr="005C3B55" w:rsidRDefault="00F555D6" w:rsidP="00F555D6">
            <w:pPr>
              <w:numPr>
                <w:ilvl w:val="0"/>
                <w:numId w:val="698"/>
              </w:numPr>
              <w:spacing w:before="0" w:after="0"/>
              <w:ind w:hanging="290"/>
              <w:jc w:val="left"/>
              <w:rPr>
                <w:szCs w:val="24"/>
              </w:rPr>
            </w:pPr>
            <w:r w:rsidRPr="005C3B55">
              <w:rPr>
                <w:szCs w:val="24"/>
              </w:rPr>
              <w:t>Coverage: part of arable land (at least 20%).</w:t>
            </w:r>
          </w:p>
          <w:p w:rsidR="00F555D6" w:rsidRPr="005C3B55" w:rsidRDefault="00F555D6" w:rsidP="00F555D6">
            <w:pPr>
              <w:numPr>
                <w:ilvl w:val="0"/>
                <w:numId w:val="698"/>
              </w:numPr>
              <w:spacing w:before="0" w:after="0"/>
              <w:ind w:hanging="290"/>
              <w:jc w:val="left"/>
              <w:rPr>
                <w:szCs w:val="24"/>
              </w:rPr>
            </w:pPr>
            <w:r w:rsidRPr="005C3B55">
              <w:rPr>
                <w:szCs w:val="24"/>
              </w:rPr>
              <w:t>Location: not relevant.</w:t>
            </w:r>
          </w:p>
          <w:p w:rsidR="00F555D6" w:rsidRPr="005C3B55" w:rsidRDefault="00F555D6" w:rsidP="00F555D6">
            <w:pPr>
              <w:numPr>
                <w:ilvl w:val="0"/>
                <w:numId w:val="698"/>
              </w:numPr>
              <w:spacing w:before="0" w:after="240"/>
              <w:ind w:hanging="290"/>
              <w:jc w:val="left"/>
              <w:rPr>
                <w:szCs w:val="24"/>
              </w:rPr>
            </w:pPr>
            <w:r w:rsidRPr="005C3B55">
              <w:rPr>
                <w:szCs w:val="24"/>
              </w:rPr>
              <w:t>Implementation area: catchment areas of surface waters and areas of groundwater referred to in the Water Management Plan, except the narrowest water protection areas (WPA I).</w:t>
            </w:r>
          </w:p>
          <w:p w:rsidR="00F555D6" w:rsidRPr="005C3B55" w:rsidRDefault="00F555D6" w:rsidP="00F555D6">
            <w:pPr>
              <w:spacing w:before="240" w:after="240" w:line="280" w:lineRule="auto"/>
              <w:rPr>
                <w:szCs w:val="24"/>
              </w:rPr>
            </w:pPr>
            <w:r w:rsidRPr="005C3B55">
              <w:rPr>
                <w:szCs w:val="24"/>
              </w:rPr>
              <w:t>Effects:</w:t>
            </w:r>
          </w:p>
          <w:p w:rsidR="00F555D6" w:rsidRPr="005C3B55" w:rsidRDefault="00F555D6" w:rsidP="00F555D6">
            <w:pPr>
              <w:numPr>
                <w:ilvl w:val="0"/>
                <w:numId w:val="699"/>
              </w:numPr>
              <w:spacing w:before="240" w:after="0"/>
              <w:ind w:hanging="290"/>
              <w:jc w:val="left"/>
              <w:rPr>
                <w:szCs w:val="24"/>
              </w:rPr>
            </w:pPr>
            <w:r w:rsidRPr="005C3B55">
              <w:rPr>
                <w:szCs w:val="24"/>
              </w:rPr>
              <w:t>improvement of soil and water conditions;</w:t>
            </w:r>
          </w:p>
          <w:p w:rsidR="00F555D6" w:rsidRPr="005C3B55" w:rsidRDefault="00F555D6" w:rsidP="00F555D6">
            <w:pPr>
              <w:numPr>
                <w:ilvl w:val="0"/>
                <w:numId w:val="699"/>
              </w:numPr>
              <w:spacing w:before="0" w:after="0"/>
              <w:ind w:hanging="290"/>
              <w:jc w:val="left"/>
              <w:rPr>
                <w:szCs w:val="24"/>
              </w:rPr>
            </w:pPr>
            <w:r w:rsidRPr="005C3B55">
              <w:rPr>
                <w:szCs w:val="24"/>
              </w:rPr>
              <w:t>prevention of leaching of nutrients in the subsoil;</w:t>
            </w:r>
          </w:p>
          <w:p w:rsidR="00F555D6" w:rsidRPr="005C3B55" w:rsidRDefault="00F555D6" w:rsidP="00F555D6">
            <w:pPr>
              <w:numPr>
                <w:ilvl w:val="0"/>
                <w:numId w:val="699"/>
              </w:numPr>
              <w:spacing w:before="0" w:after="0"/>
              <w:ind w:hanging="290"/>
              <w:jc w:val="left"/>
              <w:rPr>
                <w:szCs w:val="24"/>
              </w:rPr>
            </w:pPr>
            <w:r w:rsidRPr="005C3B55">
              <w:rPr>
                <w:szCs w:val="24"/>
              </w:rPr>
              <w:t>improvement soil fertility and structure;</w:t>
            </w:r>
          </w:p>
          <w:p w:rsidR="00F555D6" w:rsidRPr="005C3B55" w:rsidRDefault="00F555D6" w:rsidP="00F555D6">
            <w:pPr>
              <w:numPr>
                <w:ilvl w:val="0"/>
                <w:numId w:val="699"/>
              </w:numPr>
              <w:spacing w:before="0" w:after="0"/>
              <w:ind w:hanging="290"/>
              <w:jc w:val="left"/>
              <w:rPr>
                <w:szCs w:val="24"/>
              </w:rPr>
            </w:pPr>
            <w:r w:rsidRPr="005C3B55">
              <w:rPr>
                <w:szCs w:val="24"/>
              </w:rPr>
              <w:t>ensuring natural pasture for bees;</w:t>
            </w:r>
          </w:p>
          <w:p w:rsidR="00F555D6" w:rsidRPr="005C3B55" w:rsidRDefault="00F555D6" w:rsidP="00F555D6">
            <w:pPr>
              <w:numPr>
                <w:ilvl w:val="0"/>
                <w:numId w:val="699"/>
              </w:numPr>
              <w:spacing w:before="0" w:after="0"/>
              <w:ind w:hanging="290"/>
              <w:jc w:val="left"/>
              <w:rPr>
                <w:szCs w:val="24"/>
              </w:rPr>
            </w:pPr>
            <w:r w:rsidRPr="005C3B55">
              <w:rPr>
                <w:szCs w:val="24"/>
              </w:rPr>
              <w:t>increase of the amount of humus in the soil;</w:t>
            </w:r>
          </w:p>
          <w:p w:rsidR="00F555D6" w:rsidRPr="005C3B55" w:rsidRDefault="00F555D6" w:rsidP="00F555D6">
            <w:pPr>
              <w:numPr>
                <w:ilvl w:val="0"/>
                <w:numId w:val="699"/>
              </w:numPr>
              <w:spacing w:before="0" w:after="0"/>
              <w:ind w:hanging="290"/>
              <w:jc w:val="left"/>
              <w:rPr>
                <w:szCs w:val="24"/>
              </w:rPr>
            </w:pPr>
            <w:r w:rsidRPr="005C3B55">
              <w:rPr>
                <w:szCs w:val="24"/>
              </w:rPr>
              <w:t>increase of microbiological activity of the soil;</w:t>
            </w:r>
          </w:p>
          <w:p w:rsidR="00F555D6" w:rsidRPr="005C3B55" w:rsidRDefault="00F555D6" w:rsidP="00F555D6">
            <w:pPr>
              <w:numPr>
                <w:ilvl w:val="0"/>
                <w:numId w:val="699"/>
              </w:numPr>
              <w:spacing w:before="0" w:after="0"/>
              <w:ind w:hanging="290"/>
              <w:jc w:val="left"/>
              <w:rPr>
                <w:szCs w:val="24"/>
              </w:rPr>
            </w:pPr>
            <w:r w:rsidRPr="005C3B55">
              <w:rPr>
                <w:szCs w:val="24"/>
              </w:rPr>
              <w:t>reduction of soil erosion;</w:t>
            </w:r>
          </w:p>
          <w:p w:rsidR="00F555D6" w:rsidRPr="005C3B55" w:rsidRDefault="00F555D6" w:rsidP="00F555D6">
            <w:pPr>
              <w:numPr>
                <w:ilvl w:val="0"/>
                <w:numId w:val="699"/>
              </w:numPr>
              <w:spacing w:before="0" w:after="0"/>
              <w:ind w:hanging="290"/>
              <w:jc w:val="left"/>
              <w:rPr>
                <w:szCs w:val="24"/>
              </w:rPr>
            </w:pPr>
            <w:r w:rsidRPr="005C3B55">
              <w:rPr>
                <w:szCs w:val="24"/>
              </w:rPr>
              <w:t>reduction of diseases, pests and weed;</w:t>
            </w:r>
          </w:p>
          <w:p w:rsidR="00F555D6" w:rsidRPr="005C3B55" w:rsidRDefault="00F555D6" w:rsidP="00F555D6">
            <w:pPr>
              <w:numPr>
                <w:ilvl w:val="0"/>
                <w:numId w:val="699"/>
              </w:numPr>
              <w:spacing w:before="0" w:after="240"/>
              <w:ind w:hanging="290"/>
              <w:jc w:val="left"/>
              <w:rPr>
                <w:szCs w:val="24"/>
              </w:rPr>
            </w:pPr>
            <w:r w:rsidRPr="005C3B55">
              <w:rPr>
                <w:szCs w:val="24"/>
              </w:rPr>
              <w:t>increase of biodiversity.</w:t>
            </w:r>
          </w:p>
          <w:p w:rsidR="00F555D6" w:rsidRPr="005C3B55" w:rsidRDefault="00F555D6" w:rsidP="00F555D6">
            <w:pPr>
              <w:spacing w:before="240" w:after="240" w:line="280" w:lineRule="auto"/>
              <w:rPr>
                <w:szCs w:val="24"/>
              </w:rPr>
            </w:pPr>
            <w:r w:rsidRPr="005C3B55">
              <w:rPr>
                <w:szCs w:val="24"/>
              </w:rPr>
              <w:t>Honey crops suitable for non-overwintering greening are: buckwheat, Egyptian clover, white mustard, phacelia, birdsfoot, flax, common vetch, rape, oilseed rape, Persian clover, Indian mustard, sunflower.</w:t>
            </w:r>
          </w:p>
          <w:p w:rsidR="00F555D6" w:rsidRPr="005C3B55" w:rsidRDefault="00F555D6" w:rsidP="00F555D6">
            <w:pPr>
              <w:spacing w:before="240" w:after="240" w:line="280" w:lineRule="auto"/>
              <w:rPr>
                <w:szCs w:val="24"/>
              </w:rPr>
            </w:pPr>
            <w:r w:rsidRPr="005C3B55">
              <w:rPr>
                <w:b/>
                <w:i/>
                <w:szCs w:val="24"/>
              </w:rPr>
              <w:t>VOD_POD: Sowing plants for green manure</w:t>
            </w:r>
          </w:p>
          <w:p w:rsidR="00F555D6" w:rsidRPr="005C3B55" w:rsidRDefault="00F555D6" w:rsidP="00F555D6">
            <w:pPr>
              <w:spacing w:before="240" w:after="240" w:line="280" w:lineRule="auto"/>
              <w:rPr>
                <w:szCs w:val="24"/>
              </w:rPr>
            </w:pPr>
            <w:r w:rsidRPr="005C3B55">
              <w:rPr>
                <w:szCs w:val="24"/>
              </w:rPr>
              <w:t>This requirement anticipates the sowing of plants after the harvest of the main crop in order to protect soil from erosion and leaching, which improves soil structure, increases organic matter in the soil, improves the air and water regime in the soil and reduces weeds. Before sowing the next crop, the standing crop is ploughed under.</w:t>
            </w:r>
          </w:p>
          <w:p w:rsidR="00F555D6" w:rsidRPr="005C3B55" w:rsidRDefault="00F555D6" w:rsidP="00F555D6">
            <w:pPr>
              <w:numPr>
                <w:ilvl w:val="0"/>
                <w:numId w:val="700"/>
              </w:numPr>
              <w:spacing w:before="240" w:after="0"/>
              <w:ind w:hanging="290"/>
              <w:jc w:val="left"/>
              <w:rPr>
                <w:szCs w:val="24"/>
              </w:rPr>
            </w:pPr>
            <w:r w:rsidRPr="005C3B55">
              <w:rPr>
                <w:szCs w:val="24"/>
              </w:rPr>
              <w:t>Livestock density: not relevant.</w:t>
            </w:r>
          </w:p>
          <w:p w:rsidR="00F555D6" w:rsidRPr="005C3B55" w:rsidRDefault="00F555D6" w:rsidP="00F555D6">
            <w:pPr>
              <w:numPr>
                <w:ilvl w:val="0"/>
                <w:numId w:val="700"/>
              </w:numPr>
              <w:spacing w:before="0" w:after="0"/>
              <w:ind w:hanging="290"/>
              <w:jc w:val="left"/>
              <w:rPr>
                <w:szCs w:val="24"/>
              </w:rPr>
            </w:pPr>
            <w:r w:rsidRPr="005C3B55">
              <w:rPr>
                <w:szCs w:val="24"/>
              </w:rPr>
              <w:t>Use: arable land.</w:t>
            </w:r>
          </w:p>
          <w:p w:rsidR="00F555D6" w:rsidRPr="005C3B55" w:rsidRDefault="00F555D6" w:rsidP="00F555D6">
            <w:pPr>
              <w:numPr>
                <w:ilvl w:val="0"/>
                <w:numId w:val="700"/>
              </w:numPr>
              <w:spacing w:before="0" w:after="0"/>
              <w:ind w:hanging="290"/>
              <w:jc w:val="left"/>
              <w:rPr>
                <w:szCs w:val="24"/>
              </w:rPr>
            </w:pPr>
            <w:r w:rsidRPr="005C3B55">
              <w:rPr>
                <w:szCs w:val="24"/>
              </w:rPr>
              <w:t>Coverage: part of the area.</w:t>
            </w:r>
          </w:p>
          <w:p w:rsidR="00F555D6" w:rsidRPr="005C3B55" w:rsidRDefault="00F555D6" w:rsidP="00F555D6">
            <w:pPr>
              <w:numPr>
                <w:ilvl w:val="0"/>
                <w:numId w:val="700"/>
              </w:numPr>
              <w:spacing w:before="0" w:after="0"/>
              <w:ind w:hanging="290"/>
              <w:jc w:val="left"/>
              <w:rPr>
                <w:szCs w:val="24"/>
              </w:rPr>
            </w:pPr>
            <w:r w:rsidRPr="005C3B55">
              <w:rPr>
                <w:szCs w:val="24"/>
              </w:rPr>
              <w:t>Location: not relevant.</w:t>
            </w:r>
          </w:p>
          <w:p w:rsidR="00F555D6" w:rsidRPr="005C3B55" w:rsidRDefault="00F555D6" w:rsidP="00F555D6">
            <w:pPr>
              <w:numPr>
                <w:ilvl w:val="0"/>
                <w:numId w:val="700"/>
              </w:numPr>
              <w:spacing w:before="0" w:after="240"/>
              <w:ind w:hanging="290"/>
              <w:jc w:val="left"/>
              <w:rPr>
                <w:szCs w:val="24"/>
              </w:rPr>
            </w:pPr>
            <w:r w:rsidRPr="005C3B55">
              <w:rPr>
                <w:szCs w:val="24"/>
              </w:rPr>
              <w:t>Implementation area: catchment areas of surface waters and areas of groundwater referred to in the Water Management Plan, except the narrowest water protection areas (WPA I).</w:t>
            </w:r>
          </w:p>
          <w:p w:rsidR="00F555D6" w:rsidRPr="005C3B55" w:rsidRDefault="00F555D6" w:rsidP="00F555D6">
            <w:pPr>
              <w:spacing w:before="240" w:after="240" w:line="280" w:lineRule="auto"/>
              <w:rPr>
                <w:szCs w:val="24"/>
              </w:rPr>
            </w:pPr>
            <w:r w:rsidRPr="005C3B55">
              <w:rPr>
                <w:szCs w:val="24"/>
              </w:rPr>
              <w:t>Effects:</w:t>
            </w:r>
          </w:p>
          <w:p w:rsidR="00F555D6" w:rsidRPr="005C3B55" w:rsidRDefault="00F555D6" w:rsidP="00F555D6">
            <w:pPr>
              <w:numPr>
                <w:ilvl w:val="0"/>
                <w:numId w:val="701"/>
              </w:numPr>
              <w:spacing w:before="240" w:after="0"/>
              <w:ind w:hanging="290"/>
              <w:jc w:val="left"/>
              <w:rPr>
                <w:szCs w:val="24"/>
              </w:rPr>
            </w:pPr>
            <w:r w:rsidRPr="005C3B55">
              <w:rPr>
                <w:szCs w:val="24"/>
              </w:rPr>
              <w:t>enriching soil with organic matter and nutrients;</w:t>
            </w:r>
          </w:p>
          <w:p w:rsidR="00F555D6" w:rsidRPr="005C3B55" w:rsidRDefault="00F555D6" w:rsidP="00F555D6">
            <w:pPr>
              <w:numPr>
                <w:ilvl w:val="0"/>
                <w:numId w:val="701"/>
              </w:numPr>
              <w:spacing w:before="0" w:after="0"/>
              <w:ind w:hanging="290"/>
              <w:jc w:val="left"/>
              <w:rPr>
                <w:szCs w:val="24"/>
              </w:rPr>
            </w:pPr>
            <w:r w:rsidRPr="005C3B55">
              <w:rPr>
                <w:szCs w:val="24"/>
              </w:rPr>
              <w:t>increase of the amount of humus in soil;</w:t>
            </w:r>
          </w:p>
          <w:p w:rsidR="00F555D6" w:rsidRPr="005C3B55" w:rsidRDefault="00F555D6" w:rsidP="00F555D6">
            <w:pPr>
              <w:numPr>
                <w:ilvl w:val="0"/>
                <w:numId w:val="701"/>
              </w:numPr>
              <w:spacing w:before="0" w:after="0"/>
              <w:ind w:hanging="290"/>
              <w:jc w:val="left"/>
              <w:rPr>
                <w:szCs w:val="24"/>
              </w:rPr>
            </w:pPr>
            <w:r w:rsidRPr="005C3B55">
              <w:rPr>
                <w:szCs w:val="24"/>
              </w:rPr>
              <w:t>improvement of the air and water regime in the soil;</w:t>
            </w:r>
          </w:p>
          <w:p w:rsidR="00F555D6" w:rsidRPr="005C3B55" w:rsidRDefault="00F555D6" w:rsidP="00F555D6">
            <w:pPr>
              <w:numPr>
                <w:ilvl w:val="0"/>
                <w:numId w:val="701"/>
              </w:numPr>
              <w:spacing w:before="0" w:after="0"/>
              <w:ind w:hanging="290"/>
              <w:jc w:val="left"/>
              <w:rPr>
                <w:szCs w:val="24"/>
              </w:rPr>
            </w:pPr>
            <w:r w:rsidRPr="005C3B55">
              <w:rPr>
                <w:szCs w:val="24"/>
              </w:rPr>
              <w:t>improvement of soil and water conditions;</w:t>
            </w:r>
          </w:p>
          <w:p w:rsidR="00F555D6" w:rsidRPr="005C3B55" w:rsidRDefault="00F555D6" w:rsidP="00F555D6">
            <w:pPr>
              <w:numPr>
                <w:ilvl w:val="0"/>
                <w:numId w:val="701"/>
              </w:numPr>
              <w:spacing w:before="0" w:after="240"/>
              <w:ind w:hanging="290"/>
              <w:jc w:val="left"/>
              <w:rPr>
                <w:szCs w:val="24"/>
              </w:rPr>
            </w:pPr>
            <w:r w:rsidRPr="005C3B55">
              <w:rPr>
                <w:szCs w:val="24"/>
              </w:rPr>
              <w:t>prevention of leaching of active substances of plant protection products into underground water.</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Type of support</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Support for the implementation of the operation ‘Water sources’ consists of:</w:t>
            </w:r>
          </w:p>
          <w:p w:rsidR="00F555D6" w:rsidRPr="005C3B55" w:rsidRDefault="00F555D6" w:rsidP="00F555D6">
            <w:pPr>
              <w:numPr>
                <w:ilvl w:val="0"/>
                <w:numId w:val="702"/>
              </w:numPr>
              <w:spacing w:before="240" w:after="240"/>
              <w:ind w:hanging="290"/>
              <w:jc w:val="left"/>
              <w:rPr>
                <w:szCs w:val="24"/>
              </w:rPr>
            </w:pPr>
            <w:r w:rsidRPr="005C3B55">
              <w:rPr>
                <w:szCs w:val="24"/>
              </w:rPr>
              <w:t>payments per hectare for the implementation of mandatory requirements and/or at least one optional requirement of the beneficiary’s own choice.</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Connection with other legislation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The operation ‘Water sources’ is connected with national and EU regulations in the field of measures of agricultural policy, agriculture, the environment, nature protection and rural development.</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Beneficiaries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Beneficiaries for payments are agricultural holdings which participate voluntarily in the implementation of the operation ‘Water sources’ and meet the prescribed conditions and requirements.</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Eligible costs</w:t>
      </w:r>
    </w:p>
    <w:p w:rsidR="00F555D6" w:rsidRPr="005C3B55" w:rsidRDefault="00F555D6" w:rsidP="00F555D6">
      <w:pPr>
        <w:pStyle w:val="Naslov6"/>
        <w:tabs>
          <w:tab w:val="clear" w:pos="765"/>
        </w:tabs>
        <w:spacing w:before="0" w:after="0"/>
        <w:ind w:left="0" w:firstLine="0"/>
        <w:rPr>
          <w:szCs w:val="24"/>
          <w:lang w:val="en-GB"/>
        </w:rPr>
      </w:pP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Payments are only intended for those commitments within the operation ‘Arable farming and vegetable cultivation’ which exceed suitable mandatory standards determined in accordance with Chapter I, Title VI of Regulation (EU) No 1306/2013, suitable criteria determined in the second indent of item c) of the first paragraph of Article 4 of Regulation (EU) No 1307/2013, and other suitable mandatory requirements from national regulations.</w:t>
            </w:r>
          </w:p>
          <w:p w:rsidR="00F555D6" w:rsidRPr="005C3B55" w:rsidRDefault="00F555D6" w:rsidP="00F555D6">
            <w:pPr>
              <w:spacing w:before="240" w:after="240" w:line="280" w:lineRule="auto"/>
              <w:rPr>
                <w:szCs w:val="24"/>
              </w:rPr>
            </w:pPr>
            <w:r w:rsidRPr="005C3B55">
              <w:rPr>
                <w:szCs w:val="24"/>
              </w:rPr>
              <w:t>The calculation for the requirement ‘VOD_NMIN: Nmin analysis’ observes transaction costs in the amount of 10% of the actual costs of material, services and work.  Transaction costs include the costs of small equipment, post, keeping of special records and work involved in the submission of a sample.</w:t>
            </w:r>
          </w:p>
          <w:p w:rsidR="00F555D6" w:rsidRPr="005C3B55" w:rsidRDefault="00F555D6" w:rsidP="00F555D6">
            <w:pPr>
              <w:spacing w:before="240" w:after="240" w:line="280" w:lineRule="auto"/>
              <w:rPr>
                <w:szCs w:val="24"/>
              </w:rPr>
            </w:pPr>
            <w:r w:rsidRPr="005C3B55">
              <w:rPr>
                <w:szCs w:val="24"/>
              </w:rPr>
              <w:t>Payments cover 100 per cent of the additional costs and the loss of revenue due to the assumed commitment.</w:t>
            </w:r>
          </w:p>
          <w:p w:rsidR="00F555D6" w:rsidRPr="005C3B55" w:rsidRDefault="00F555D6" w:rsidP="00F555D6">
            <w:pPr>
              <w:spacing w:before="240" w:after="240" w:line="280" w:lineRule="auto"/>
              <w:rPr>
                <w:szCs w:val="24"/>
              </w:rPr>
            </w:pPr>
            <w:r w:rsidRPr="005C3B55">
              <w:rPr>
                <w:szCs w:val="24"/>
              </w:rPr>
              <w:t> </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Conditions for eligibility</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When entering the M10 measure, an agricultural holding must:</w:t>
            </w:r>
          </w:p>
          <w:p w:rsidR="00F555D6" w:rsidRPr="005C3B55" w:rsidRDefault="00F555D6" w:rsidP="00F555D6">
            <w:pPr>
              <w:numPr>
                <w:ilvl w:val="0"/>
                <w:numId w:val="703"/>
              </w:numPr>
              <w:spacing w:before="240" w:after="0"/>
              <w:ind w:hanging="290"/>
              <w:jc w:val="left"/>
              <w:rPr>
                <w:szCs w:val="24"/>
              </w:rPr>
            </w:pPr>
            <w:r w:rsidRPr="005C3B55">
              <w:rPr>
                <w:szCs w:val="24"/>
              </w:rPr>
              <w:t>have at least 1 ha of agricultural land in use as per Article 4 of Regulation (EU) No 1307/2013;</w:t>
            </w:r>
          </w:p>
          <w:p w:rsidR="00F555D6" w:rsidRPr="005C3B55" w:rsidRDefault="00F555D6" w:rsidP="00F555D6">
            <w:pPr>
              <w:numPr>
                <w:ilvl w:val="0"/>
                <w:numId w:val="703"/>
              </w:numPr>
              <w:spacing w:before="0" w:after="0"/>
              <w:ind w:hanging="290"/>
              <w:jc w:val="left"/>
              <w:rPr>
                <w:szCs w:val="24"/>
              </w:rPr>
            </w:pPr>
            <w:r w:rsidRPr="005C3B55">
              <w:rPr>
                <w:szCs w:val="24"/>
              </w:rPr>
              <w:t>be entered in the register of agricultural holdings in accordance with the regulation on the register of agricultural holdings;</w:t>
            </w:r>
          </w:p>
          <w:p w:rsidR="00F555D6" w:rsidRPr="005C3B55" w:rsidRDefault="00F555D6" w:rsidP="00F555D6">
            <w:pPr>
              <w:numPr>
                <w:ilvl w:val="0"/>
                <w:numId w:val="703"/>
              </w:numPr>
              <w:spacing w:before="0" w:after="0"/>
              <w:ind w:hanging="290"/>
              <w:jc w:val="left"/>
              <w:rPr>
                <w:szCs w:val="24"/>
              </w:rPr>
            </w:pPr>
            <w:r w:rsidRPr="005C3B55">
              <w:rPr>
                <w:szCs w:val="24"/>
              </w:rPr>
              <w:t>undergo a six-hour training programme on agri-environment-climate content;</w:t>
            </w:r>
          </w:p>
          <w:p w:rsidR="00F555D6" w:rsidRPr="005C3B55" w:rsidRDefault="00F555D6" w:rsidP="00F555D6">
            <w:pPr>
              <w:numPr>
                <w:ilvl w:val="0"/>
                <w:numId w:val="703"/>
              </w:numPr>
              <w:spacing w:before="0" w:after="240"/>
              <w:ind w:hanging="290"/>
              <w:jc w:val="left"/>
              <w:rPr>
                <w:szCs w:val="24"/>
              </w:rPr>
            </w:pPr>
            <w:r w:rsidRPr="005C3B55">
              <w:rPr>
                <w:szCs w:val="24"/>
              </w:rPr>
              <w:t>prepare an activities programme of the agricultural holding which is an electronic document prepared as a result of advisory services.</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Principles regarding the determination of selection criteria</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The selection criteria are not relevant.</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(Valid) amounts and support rates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The amount of payments for requirements within the operation ‘Water sources’ amounts to 100 % of the amount of payments calculated as per the model calculation.</w:t>
            </w:r>
          </w:p>
          <w:p w:rsidR="00F555D6" w:rsidRPr="005C3B55" w:rsidRDefault="00F555D6" w:rsidP="00F555D6">
            <w:pPr>
              <w:spacing w:before="240" w:after="240" w:line="280" w:lineRule="auto"/>
              <w:rPr>
                <w:szCs w:val="24"/>
              </w:rPr>
            </w:pPr>
            <w:r w:rsidRPr="005C3B55">
              <w:rPr>
                <w:szCs w:val="24"/>
              </w:rPr>
              <w:t>For arable land on agricultural holdings located outside the catchment areas of surface waters and areas of groundwater referred to in the Water Management Plan and outside the narrowest water protection areas (WPA I), a beneficiary may acquire payment for the POZ_FFSV optional requirement from the operation Arable farming and vegetable cultivation if they are included in it.</w:t>
            </w:r>
          </w:p>
          <w:p w:rsidR="00F555D6" w:rsidRPr="005C3B55" w:rsidRDefault="00F555D6" w:rsidP="00F555D6">
            <w:pPr>
              <w:spacing w:before="240" w:after="240" w:line="280" w:lineRule="auto"/>
              <w:rPr>
                <w:szCs w:val="24"/>
              </w:rPr>
            </w:pPr>
            <w:r w:rsidRPr="005C3B55">
              <w:rPr>
                <w:szCs w:val="24"/>
              </w:rPr>
              <w:t xml:space="preserve">  </w:t>
            </w:r>
          </w:p>
          <w:p w:rsidR="00F555D6" w:rsidRPr="005C3B55" w:rsidRDefault="00F555D6" w:rsidP="00F555D6">
            <w:pPr>
              <w:spacing w:before="240" w:after="240" w:line="280" w:lineRule="auto"/>
              <w:rPr>
                <w:szCs w:val="24"/>
              </w:rPr>
            </w:pPr>
            <w:r w:rsidRPr="005C3B55">
              <w:rPr>
                <w:szCs w:val="24"/>
              </w:rPr>
              <w:t> </w:t>
            </w:r>
          </w:p>
          <w:p w:rsidR="00F555D6" w:rsidRPr="005C3B55" w:rsidRDefault="00F555D6" w:rsidP="00F555D6">
            <w:pPr>
              <w:spacing w:after="0"/>
              <w:rPr>
                <w:szCs w:val="24"/>
              </w:rPr>
            </w:pPr>
          </w:p>
          <w:p w:rsidR="00F555D6" w:rsidRPr="005C3B55" w:rsidRDefault="0012246E" w:rsidP="00F555D6">
            <w:pPr>
              <w:pStyle w:val="Telobesedila3"/>
              <w:spacing w:before="0" w:after="0"/>
              <w:jc w:val="left"/>
              <w:rPr>
                <w:szCs w:val="24"/>
              </w:rPr>
            </w:pPr>
            <w:r w:rsidRPr="005C3B55">
              <w:rPr>
                <w:noProof/>
                <w:szCs w:val="24"/>
                <w:lang w:val="sl-SI"/>
              </w:rPr>
              <w:drawing>
                <wp:inline distT="0" distB="0" distL="0" distR="0">
                  <wp:extent cx="6562725" cy="4105275"/>
                  <wp:effectExtent l="0" t="0" r="9525" b="9525"/>
                  <wp:docPr id="2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562725" cy="4105275"/>
                          </a:xfrm>
                          <a:prstGeom prst="rect">
                            <a:avLst/>
                          </a:prstGeom>
                          <a:noFill/>
                          <a:ln>
                            <a:noFill/>
                          </a:ln>
                        </pic:spPr>
                      </pic:pic>
                    </a:graphicData>
                  </a:graphic>
                </wp:inline>
              </w:drawing>
            </w:r>
          </w:p>
          <w:p w:rsidR="00F555D6" w:rsidRPr="005C3B55" w:rsidRDefault="00F555D6" w:rsidP="00F555D6">
            <w:pPr>
              <w:pStyle w:val="Noga"/>
              <w:spacing w:before="0"/>
              <w:jc w:val="center"/>
              <w:rPr>
                <w:szCs w:val="24"/>
              </w:rPr>
            </w:pPr>
            <w:r w:rsidRPr="005C3B55">
              <w:rPr>
                <w:szCs w:val="24"/>
              </w:rPr>
              <w:t>Operation Water sources: amount of payments for individual requirements</w:t>
            </w:r>
          </w:p>
          <w:p w:rsidR="00F555D6" w:rsidRPr="005C3B55" w:rsidRDefault="00F555D6" w:rsidP="00F555D6">
            <w:pPr>
              <w:pStyle w:val="Noga"/>
              <w:spacing w:before="0"/>
              <w:jc w:val="center"/>
              <w:rPr>
                <w:szCs w:val="24"/>
              </w:rPr>
            </w:pPr>
          </w:p>
        </w:tc>
      </w:tr>
    </w:tbl>
    <w:p w:rsidR="00F555D6" w:rsidRPr="005C3B55" w:rsidRDefault="00F555D6" w:rsidP="00F555D6">
      <w:pPr>
        <w:pStyle w:val="Naslov6"/>
        <w:numPr>
          <w:ilvl w:val="0"/>
          <w:numId w:val="0"/>
        </w:numPr>
        <w:rPr>
          <w:szCs w:val="24"/>
          <w:lang w:val="en-GB"/>
        </w:rPr>
      </w:pPr>
    </w:p>
    <w:p w:rsidR="00F555D6" w:rsidRPr="005C3B55" w:rsidRDefault="00F555D6" w:rsidP="00F555D6">
      <w:r w:rsidRPr="005C3B55">
        <w:t>Amount of payments (EUR/ha annually) for requirements within the operation ‘Water sources’</w:t>
      </w:r>
    </w:p>
    <w:tbl>
      <w:tblPr>
        <w:tblW w:w="5000" w:type="pct"/>
        <w:tblInd w:w="108"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2132"/>
        <w:gridCol w:w="2131"/>
        <w:gridCol w:w="2329"/>
        <w:gridCol w:w="1933"/>
        <w:gridCol w:w="2131"/>
      </w:tblGrid>
      <w:tr w:rsidR="00F555D6" w:rsidRPr="005C3B55">
        <w:tc>
          <w:tcPr>
            <w:tcW w:w="1000" w:type="pct"/>
            <w:tcBorders>
              <w:top w:val="single" w:sz="18" w:space="0" w:color="auto"/>
              <w:left w:val="single" w:sz="18" w:space="0" w:color="auto"/>
              <w:bottom w:val="single" w:sz="18" w:space="0" w:color="auto"/>
              <w:right w:val="single" w:sz="18" w:space="0" w:color="auto"/>
            </w:tcBorders>
            <w:shd w:val="clear" w:color="auto" w:fill="D9D9D9"/>
            <w:vAlign w:val="center"/>
          </w:tcPr>
          <w:p w:rsidR="00F555D6" w:rsidRPr="005C3B55" w:rsidRDefault="00F555D6" w:rsidP="00F555D6">
            <w:r w:rsidRPr="005C3B55">
              <w:rPr>
                <w:b/>
                <w:sz w:val="20"/>
              </w:rPr>
              <w:t>Requirement</w:t>
            </w:r>
          </w:p>
        </w:tc>
        <w:tc>
          <w:tcPr>
            <w:tcW w:w="1000" w:type="pct"/>
            <w:tcBorders>
              <w:top w:val="single" w:sz="18" w:space="0" w:color="auto"/>
              <w:left w:val="single" w:sz="18" w:space="0" w:color="auto"/>
              <w:bottom w:val="single" w:sz="18" w:space="0" w:color="auto"/>
              <w:right w:val="single" w:sz="18" w:space="0" w:color="auto"/>
            </w:tcBorders>
            <w:shd w:val="clear" w:color="auto" w:fill="D9D9D9"/>
            <w:vAlign w:val="center"/>
          </w:tcPr>
          <w:p w:rsidR="00F555D6" w:rsidRPr="005C3B55" w:rsidRDefault="00F555D6" w:rsidP="00F555D6">
            <w:pPr>
              <w:autoSpaceDE w:val="0"/>
              <w:autoSpaceDN w:val="0"/>
              <w:adjustRightInd w:val="0"/>
              <w:jc w:val="right"/>
            </w:pPr>
            <w:r w:rsidRPr="005C3B55">
              <w:rPr>
                <w:b/>
                <w:sz w:val="20"/>
              </w:rPr>
              <w:t>Calculated payment amount as per model calculation</w:t>
            </w:r>
          </w:p>
        </w:tc>
        <w:tc>
          <w:tcPr>
            <w:tcW w:w="1093" w:type="pct"/>
            <w:tcBorders>
              <w:top w:val="single" w:sz="18" w:space="0" w:color="auto"/>
              <w:left w:val="single" w:sz="18" w:space="0" w:color="auto"/>
              <w:bottom w:val="single" w:sz="18" w:space="0" w:color="auto"/>
              <w:right w:val="single" w:sz="18" w:space="0" w:color="auto"/>
            </w:tcBorders>
            <w:shd w:val="clear" w:color="auto" w:fill="D9D9D9"/>
            <w:vAlign w:val="center"/>
          </w:tcPr>
          <w:p w:rsidR="00F555D6" w:rsidRPr="005C3B55" w:rsidRDefault="00F555D6" w:rsidP="00F555D6">
            <w:pPr>
              <w:autoSpaceDE w:val="0"/>
              <w:autoSpaceDN w:val="0"/>
              <w:adjustRightInd w:val="0"/>
              <w:jc w:val="right"/>
            </w:pPr>
            <w:r w:rsidRPr="005C3B55">
              <w:rPr>
                <w:b/>
                <w:sz w:val="20"/>
              </w:rPr>
              <w:t>Highest possible payment as per Annex II to Regulation (EU) No 1305/2013</w:t>
            </w:r>
          </w:p>
        </w:tc>
        <w:tc>
          <w:tcPr>
            <w:tcW w:w="907" w:type="pct"/>
            <w:tcBorders>
              <w:top w:val="single" w:sz="18" w:space="0" w:color="auto"/>
              <w:left w:val="single" w:sz="18" w:space="0" w:color="auto"/>
              <w:bottom w:val="single" w:sz="18" w:space="0" w:color="auto"/>
              <w:right w:val="single" w:sz="18" w:space="0" w:color="auto"/>
            </w:tcBorders>
            <w:shd w:val="clear" w:color="auto" w:fill="D9D9D9"/>
            <w:vAlign w:val="center"/>
          </w:tcPr>
          <w:p w:rsidR="00F555D6" w:rsidRPr="005C3B55" w:rsidRDefault="00F555D6" w:rsidP="00F555D6">
            <w:pPr>
              <w:autoSpaceDE w:val="0"/>
              <w:autoSpaceDN w:val="0"/>
              <w:adjustRightInd w:val="0"/>
              <w:jc w:val="right"/>
            </w:pPr>
            <w:r w:rsidRPr="005C3B55">
              <w:rPr>
                <w:b/>
                <w:sz w:val="20"/>
              </w:rPr>
              <w:t>Highest possible amount</w:t>
            </w:r>
          </w:p>
        </w:tc>
        <w:tc>
          <w:tcPr>
            <w:tcW w:w="1000" w:type="pct"/>
            <w:tcBorders>
              <w:top w:val="single" w:sz="18" w:space="0" w:color="auto"/>
              <w:left w:val="single" w:sz="18" w:space="0" w:color="auto"/>
              <w:bottom w:val="single" w:sz="18" w:space="0" w:color="auto"/>
              <w:right w:val="single" w:sz="18" w:space="0" w:color="auto"/>
            </w:tcBorders>
            <w:shd w:val="clear" w:color="auto" w:fill="D9D9D9"/>
            <w:vAlign w:val="center"/>
          </w:tcPr>
          <w:p w:rsidR="00F555D6" w:rsidRPr="005C3B55" w:rsidRDefault="00F555D6" w:rsidP="00F555D6">
            <w:pPr>
              <w:jc w:val="right"/>
            </w:pPr>
            <w:r w:rsidRPr="005C3B55">
              <w:rPr>
                <w:b/>
                <w:sz w:val="20"/>
              </w:rPr>
              <w:t>Payment (100% of payment amount calculated as per model calculation)</w:t>
            </w:r>
          </w:p>
        </w:tc>
      </w:tr>
      <w:tr w:rsidR="00F555D6" w:rsidRPr="005C3B55">
        <w:tc>
          <w:tcPr>
            <w:tcW w:w="5000" w:type="pct"/>
            <w:gridSpan w:val="5"/>
            <w:tcBorders>
              <w:top w:val="single" w:sz="18" w:space="0" w:color="auto"/>
              <w:left w:val="single" w:sz="18" w:space="0" w:color="auto"/>
              <w:bottom w:val="single" w:sz="18" w:space="0" w:color="auto"/>
              <w:right w:val="single" w:sz="18" w:space="0" w:color="auto"/>
            </w:tcBorders>
            <w:shd w:val="clear" w:color="auto" w:fill="E0E0E0"/>
          </w:tcPr>
          <w:p w:rsidR="00F555D6" w:rsidRPr="005C3B55" w:rsidRDefault="00F555D6" w:rsidP="00F555D6">
            <w:r w:rsidRPr="005C3B55">
              <w:rPr>
                <w:b/>
                <w:sz w:val="20"/>
              </w:rPr>
              <w:t>A. Mandatory requirements</w:t>
            </w:r>
          </w:p>
        </w:tc>
      </w:tr>
      <w:tr w:rsidR="00F555D6" w:rsidRPr="005C3B55">
        <w:tc>
          <w:tcPr>
            <w:tcW w:w="1000" w:type="pct"/>
            <w:tcBorders>
              <w:top w:val="single" w:sz="18" w:space="0" w:color="auto"/>
              <w:left w:val="single" w:sz="18" w:space="0" w:color="auto"/>
              <w:bottom w:val="single" w:sz="18" w:space="0" w:color="auto"/>
              <w:right w:val="single" w:sz="18" w:space="0" w:color="auto"/>
            </w:tcBorders>
          </w:tcPr>
          <w:p w:rsidR="00F555D6" w:rsidRPr="005C3B55" w:rsidRDefault="00F555D6" w:rsidP="00F555D6">
            <w:pPr>
              <w:rPr>
                <w:sz w:val="20"/>
              </w:rPr>
            </w:pPr>
            <w:r w:rsidRPr="005C3B55">
              <w:rPr>
                <w:sz w:val="20"/>
              </w:rPr>
              <w:t>VOD_ZEL</w:t>
            </w:r>
          </w:p>
        </w:tc>
        <w:tc>
          <w:tcPr>
            <w:tcW w:w="1000"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189.80</w:t>
            </w:r>
          </w:p>
        </w:tc>
        <w:tc>
          <w:tcPr>
            <w:tcW w:w="1093"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600</w:t>
            </w:r>
          </w:p>
        </w:tc>
        <w:tc>
          <w:tcPr>
            <w:tcW w:w="907"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189.80</w:t>
            </w:r>
          </w:p>
        </w:tc>
        <w:tc>
          <w:tcPr>
            <w:tcW w:w="1000"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189.80</w:t>
            </w:r>
          </w:p>
        </w:tc>
      </w:tr>
      <w:tr w:rsidR="00F555D6" w:rsidRPr="005C3B55">
        <w:tc>
          <w:tcPr>
            <w:tcW w:w="1000" w:type="pct"/>
            <w:tcBorders>
              <w:top w:val="single" w:sz="18" w:space="0" w:color="auto"/>
              <w:left w:val="single" w:sz="18" w:space="0" w:color="auto"/>
              <w:bottom w:val="single" w:sz="18" w:space="0" w:color="auto"/>
              <w:right w:val="single" w:sz="18" w:space="0" w:color="auto"/>
            </w:tcBorders>
          </w:tcPr>
          <w:p w:rsidR="00F555D6" w:rsidRPr="005C3B55" w:rsidRDefault="00F555D6" w:rsidP="00F555D6">
            <w:pPr>
              <w:rPr>
                <w:sz w:val="20"/>
              </w:rPr>
            </w:pPr>
            <w:r w:rsidRPr="005C3B55">
              <w:rPr>
                <w:sz w:val="20"/>
              </w:rPr>
              <w:t>VOD_FFSV</w:t>
            </w:r>
          </w:p>
        </w:tc>
        <w:tc>
          <w:tcPr>
            <w:tcW w:w="1000"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44.20</w:t>
            </w:r>
          </w:p>
        </w:tc>
        <w:tc>
          <w:tcPr>
            <w:tcW w:w="1093"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600</w:t>
            </w:r>
          </w:p>
        </w:tc>
        <w:tc>
          <w:tcPr>
            <w:tcW w:w="907"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44.20</w:t>
            </w:r>
          </w:p>
        </w:tc>
        <w:tc>
          <w:tcPr>
            <w:tcW w:w="1000"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44.20</w:t>
            </w:r>
          </w:p>
        </w:tc>
      </w:tr>
      <w:tr w:rsidR="00F555D6" w:rsidRPr="005C3B55">
        <w:tc>
          <w:tcPr>
            <w:tcW w:w="5000" w:type="pct"/>
            <w:gridSpan w:val="5"/>
            <w:tcBorders>
              <w:top w:val="single" w:sz="18" w:space="0" w:color="auto"/>
              <w:left w:val="single" w:sz="18" w:space="0" w:color="auto"/>
              <w:bottom w:val="single" w:sz="18" w:space="0" w:color="auto"/>
              <w:right w:val="single" w:sz="18" w:space="0" w:color="auto"/>
            </w:tcBorders>
            <w:shd w:val="clear" w:color="auto" w:fill="E0E0E0"/>
          </w:tcPr>
          <w:p w:rsidR="00F555D6" w:rsidRPr="005C3B55" w:rsidRDefault="00F555D6" w:rsidP="00F555D6">
            <w:r w:rsidRPr="005C3B55">
              <w:rPr>
                <w:b/>
                <w:sz w:val="20"/>
              </w:rPr>
              <w:t>B. Optional requirements</w:t>
            </w:r>
          </w:p>
        </w:tc>
      </w:tr>
      <w:tr w:rsidR="00F555D6" w:rsidRPr="005C3B55">
        <w:tc>
          <w:tcPr>
            <w:tcW w:w="1000" w:type="pct"/>
            <w:tcBorders>
              <w:top w:val="single" w:sz="18" w:space="0" w:color="auto"/>
              <w:left w:val="single" w:sz="18" w:space="0" w:color="auto"/>
              <w:bottom w:val="single" w:sz="18" w:space="0" w:color="auto"/>
              <w:right w:val="single" w:sz="18" w:space="0" w:color="auto"/>
            </w:tcBorders>
          </w:tcPr>
          <w:p w:rsidR="00F555D6" w:rsidRPr="005C3B55" w:rsidRDefault="00F555D6" w:rsidP="00F555D6">
            <w:pPr>
              <w:rPr>
                <w:sz w:val="20"/>
              </w:rPr>
            </w:pPr>
            <w:r w:rsidRPr="005C3B55">
              <w:rPr>
                <w:sz w:val="20"/>
              </w:rPr>
              <w:t>VOD_NEP</w:t>
            </w:r>
          </w:p>
        </w:tc>
        <w:tc>
          <w:tcPr>
            <w:tcW w:w="1000" w:type="pct"/>
            <w:tcBorders>
              <w:top w:val="single" w:sz="18" w:space="0" w:color="auto"/>
              <w:left w:val="single" w:sz="18" w:space="0" w:color="auto"/>
              <w:bottom w:val="single" w:sz="18" w:space="0" w:color="auto"/>
              <w:right w:val="single" w:sz="18" w:space="0" w:color="auto"/>
            </w:tcBorders>
          </w:tcPr>
          <w:p w:rsidR="00F555D6" w:rsidRPr="005C3B55" w:rsidRDefault="00F555D6" w:rsidP="00F555D6">
            <w:pPr>
              <w:jc w:val="right"/>
              <w:rPr>
                <w:sz w:val="20"/>
              </w:rPr>
            </w:pPr>
            <w:r w:rsidRPr="005C3B55">
              <w:rPr>
                <w:sz w:val="20"/>
              </w:rPr>
              <w:t>156.00</w:t>
            </w:r>
          </w:p>
        </w:tc>
        <w:tc>
          <w:tcPr>
            <w:tcW w:w="1093" w:type="pct"/>
            <w:tcBorders>
              <w:top w:val="single" w:sz="18" w:space="0" w:color="auto"/>
              <w:left w:val="single" w:sz="18" w:space="0" w:color="auto"/>
              <w:bottom w:val="single" w:sz="18" w:space="0" w:color="auto"/>
              <w:right w:val="single" w:sz="18" w:space="0" w:color="auto"/>
            </w:tcBorders>
          </w:tcPr>
          <w:p w:rsidR="00F555D6" w:rsidRPr="005C3B55" w:rsidRDefault="00F555D6" w:rsidP="00F555D6">
            <w:pPr>
              <w:jc w:val="right"/>
              <w:rPr>
                <w:sz w:val="20"/>
              </w:rPr>
            </w:pPr>
            <w:r w:rsidRPr="005C3B55">
              <w:rPr>
                <w:sz w:val="20"/>
              </w:rPr>
              <w:t>600</w:t>
            </w:r>
          </w:p>
        </w:tc>
        <w:tc>
          <w:tcPr>
            <w:tcW w:w="907" w:type="pct"/>
            <w:tcBorders>
              <w:top w:val="single" w:sz="18" w:space="0" w:color="auto"/>
              <w:left w:val="single" w:sz="18" w:space="0" w:color="auto"/>
              <w:bottom w:val="single" w:sz="18" w:space="0" w:color="auto"/>
              <w:right w:val="single" w:sz="18" w:space="0" w:color="auto"/>
            </w:tcBorders>
          </w:tcPr>
          <w:p w:rsidR="00F555D6" w:rsidRPr="005C3B55" w:rsidRDefault="00F555D6" w:rsidP="00F555D6">
            <w:pPr>
              <w:jc w:val="right"/>
              <w:rPr>
                <w:sz w:val="20"/>
              </w:rPr>
            </w:pPr>
            <w:r w:rsidRPr="005C3B55">
              <w:rPr>
                <w:sz w:val="20"/>
              </w:rPr>
              <w:t>156.00</w:t>
            </w:r>
          </w:p>
        </w:tc>
        <w:tc>
          <w:tcPr>
            <w:tcW w:w="1000" w:type="pct"/>
            <w:tcBorders>
              <w:top w:val="single" w:sz="18" w:space="0" w:color="auto"/>
              <w:left w:val="single" w:sz="18" w:space="0" w:color="auto"/>
              <w:bottom w:val="single" w:sz="18" w:space="0" w:color="auto"/>
              <w:right w:val="single" w:sz="18" w:space="0" w:color="auto"/>
            </w:tcBorders>
          </w:tcPr>
          <w:p w:rsidR="00F555D6" w:rsidRPr="005C3B55" w:rsidRDefault="00F555D6" w:rsidP="00F555D6">
            <w:pPr>
              <w:jc w:val="right"/>
              <w:rPr>
                <w:sz w:val="20"/>
              </w:rPr>
            </w:pPr>
            <w:r w:rsidRPr="005C3B55">
              <w:rPr>
                <w:sz w:val="20"/>
              </w:rPr>
              <w:t>156.00</w:t>
            </w:r>
          </w:p>
        </w:tc>
      </w:tr>
      <w:tr w:rsidR="00F555D6" w:rsidRPr="005C3B55">
        <w:tc>
          <w:tcPr>
            <w:tcW w:w="1000" w:type="pct"/>
            <w:tcBorders>
              <w:top w:val="single" w:sz="18" w:space="0" w:color="auto"/>
              <w:left w:val="single" w:sz="18" w:space="0" w:color="auto"/>
              <w:bottom w:val="single" w:sz="18" w:space="0" w:color="auto"/>
              <w:right w:val="single" w:sz="18" w:space="0" w:color="auto"/>
            </w:tcBorders>
          </w:tcPr>
          <w:p w:rsidR="00F555D6" w:rsidRPr="005C3B55" w:rsidRDefault="00F555D6" w:rsidP="00F555D6">
            <w:pPr>
              <w:rPr>
                <w:sz w:val="20"/>
              </w:rPr>
            </w:pPr>
            <w:r w:rsidRPr="005C3B55">
              <w:rPr>
                <w:sz w:val="20"/>
              </w:rPr>
              <w:t>VOD_POD</w:t>
            </w:r>
          </w:p>
        </w:tc>
        <w:tc>
          <w:tcPr>
            <w:tcW w:w="1000" w:type="pct"/>
            <w:tcBorders>
              <w:top w:val="single" w:sz="18" w:space="0" w:color="auto"/>
              <w:left w:val="single" w:sz="18" w:space="0" w:color="auto"/>
              <w:bottom w:val="single" w:sz="18" w:space="0" w:color="auto"/>
              <w:right w:val="single" w:sz="18" w:space="0" w:color="auto"/>
            </w:tcBorders>
          </w:tcPr>
          <w:p w:rsidR="00F555D6" w:rsidRPr="005C3B55" w:rsidRDefault="00F555D6" w:rsidP="00F555D6">
            <w:pPr>
              <w:jc w:val="right"/>
              <w:rPr>
                <w:sz w:val="20"/>
              </w:rPr>
            </w:pPr>
            <w:r w:rsidRPr="005C3B55">
              <w:rPr>
                <w:sz w:val="20"/>
              </w:rPr>
              <w:t>210.00</w:t>
            </w:r>
          </w:p>
        </w:tc>
        <w:tc>
          <w:tcPr>
            <w:tcW w:w="1093" w:type="pct"/>
            <w:tcBorders>
              <w:top w:val="single" w:sz="18" w:space="0" w:color="auto"/>
              <w:left w:val="single" w:sz="18" w:space="0" w:color="auto"/>
              <w:bottom w:val="single" w:sz="18" w:space="0" w:color="auto"/>
              <w:right w:val="single" w:sz="18" w:space="0" w:color="auto"/>
            </w:tcBorders>
          </w:tcPr>
          <w:p w:rsidR="00F555D6" w:rsidRPr="005C3B55" w:rsidRDefault="00F555D6" w:rsidP="00F555D6">
            <w:pPr>
              <w:jc w:val="right"/>
              <w:rPr>
                <w:sz w:val="20"/>
              </w:rPr>
            </w:pPr>
            <w:r w:rsidRPr="005C3B55">
              <w:rPr>
                <w:sz w:val="20"/>
              </w:rPr>
              <w:t>600</w:t>
            </w:r>
          </w:p>
        </w:tc>
        <w:tc>
          <w:tcPr>
            <w:tcW w:w="907" w:type="pct"/>
            <w:tcBorders>
              <w:top w:val="single" w:sz="18" w:space="0" w:color="auto"/>
              <w:left w:val="single" w:sz="18" w:space="0" w:color="auto"/>
              <w:bottom w:val="single" w:sz="18" w:space="0" w:color="auto"/>
              <w:right w:val="single" w:sz="18" w:space="0" w:color="auto"/>
            </w:tcBorders>
          </w:tcPr>
          <w:p w:rsidR="00F555D6" w:rsidRPr="005C3B55" w:rsidRDefault="00F555D6" w:rsidP="00F555D6">
            <w:pPr>
              <w:jc w:val="right"/>
              <w:rPr>
                <w:sz w:val="20"/>
              </w:rPr>
            </w:pPr>
            <w:r w:rsidRPr="005C3B55">
              <w:rPr>
                <w:sz w:val="20"/>
              </w:rPr>
              <w:t>210.00</w:t>
            </w:r>
          </w:p>
        </w:tc>
        <w:tc>
          <w:tcPr>
            <w:tcW w:w="1000" w:type="pct"/>
            <w:tcBorders>
              <w:top w:val="single" w:sz="18" w:space="0" w:color="auto"/>
              <w:left w:val="single" w:sz="18" w:space="0" w:color="auto"/>
              <w:bottom w:val="single" w:sz="18" w:space="0" w:color="auto"/>
              <w:right w:val="single" w:sz="18" w:space="0" w:color="auto"/>
            </w:tcBorders>
          </w:tcPr>
          <w:p w:rsidR="00F555D6" w:rsidRPr="005C3B55" w:rsidRDefault="00F555D6" w:rsidP="00F555D6">
            <w:pPr>
              <w:jc w:val="right"/>
              <w:rPr>
                <w:sz w:val="20"/>
              </w:rPr>
            </w:pPr>
            <w:r w:rsidRPr="005C3B55">
              <w:rPr>
                <w:sz w:val="20"/>
              </w:rPr>
              <w:t>210.00</w:t>
            </w:r>
          </w:p>
        </w:tc>
      </w:tr>
    </w:tbl>
    <w:p w:rsidR="00F555D6" w:rsidRPr="005C3B55" w:rsidRDefault="00F555D6" w:rsidP="00F555D6"/>
    <w:p w:rsidR="00F555D6" w:rsidRPr="005C3B55" w:rsidRDefault="00F555D6" w:rsidP="00F555D6">
      <w:pPr>
        <w:pStyle w:val="Naslov6"/>
        <w:tabs>
          <w:tab w:val="clear" w:pos="765"/>
        </w:tabs>
        <w:ind w:left="0" w:firstLine="0"/>
        <w:rPr>
          <w:szCs w:val="24"/>
          <w:lang w:val="en-GB"/>
        </w:rPr>
      </w:pPr>
      <w:r w:rsidRPr="005C3B55">
        <w:rPr>
          <w:noProof w:val="0"/>
          <w:szCs w:val="24"/>
          <w:lang w:val="en-GB"/>
        </w:rPr>
        <w:t>Verifiability and possibility of control of measures and/or type of operations</w:t>
      </w:r>
    </w:p>
    <w:p w:rsidR="00F555D6" w:rsidRPr="005C3B55" w:rsidRDefault="00F555D6" w:rsidP="00F555D6">
      <w:pPr>
        <w:pStyle w:val="Naslov7"/>
        <w:tabs>
          <w:tab w:val="clear" w:pos="765"/>
        </w:tabs>
        <w:ind w:left="0" w:firstLine="0"/>
        <w:rPr>
          <w:szCs w:val="24"/>
          <w:lang w:val="en-GB"/>
        </w:rPr>
      </w:pPr>
      <w:r w:rsidRPr="005C3B55">
        <w:rPr>
          <w:noProof w:val="0"/>
          <w:szCs w:val="24"/>
          <w:lang w:val="en-GB"/>
        </w:rPr>
        <w:t>Risks in the implementation of the measure</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b/>
                <w:szCs w:val="24"/>
              </w:rPr>
              <w:t>R5: Requirements which are difficult to verify and/or control</w:t>
            </w:r>
          </w:p>
          <w:p w:rsidR="00F555D6" w:rsidRPr="005C3B55" w:rsidRDefault="00F555D6" w:rsidP="00F555D6">
            <w:pPr>
              <w:spacing w:before="240" w:after="240" w:line="280" w:lineRule="auto"/>
              <w:rPr>
                <w:szCs w:val="24"/>
              </w:rPr>
            </w:pPr>
            <w:r w:rsidRPr="005C3B55">
              <w:rPr>
                <w:szCs w:val="24"/>
              </w:rPr>
              <w:t>Certain requirements cannot be verified administratively, while the implementation of other requirements is difficult to verify also with on-the-spot checks. These requirements include, e.g. the use of only certain types of fertilisers or plant protection products, sowing plants for green manure, etc.</w:t>
            </w:r>
          </w:p>
          <w:p w:rsidR="00F555D6" w:rsidRPr="005C3B55" w:rsidRDefault="00F555D6" w:rsidP="00F555D6">
            <w:pPr>
              <w:spacing w:before="240" w:after="240" w:line="280" w:lineRule="auto"/>
              <w:rPr>
                <w:szCs w:val="24"/>
              </w:rPr>
            </w:pPr>
            <w:r w:rsidRPr="005C3B55">
              <w:rPr>
                <w:b/>
                <w:szCs w:val="24"/>
              </w:rPr>
              <w:t>R6: General conditions for implementation</w:t>
            </w:r>
          </w:p>
          <w:p w:rsidR="00F555D6" w:rsidRPr="005C3B55" w:rsidRDefault="00F555D6" w:rsidP="00F555D6">
            <w:pPr>
              <w:spacing w:before="240" w:after="240" w:line="280" w:lineRule="auto"/>
              <w:rPr>
                <w:szCs w:val="24"/>
              </w:rPr>
            </w:pPr>
            <w:r w:rsidRPr="005C3B55">
              <w:rPr>
                <w:szCs w:val="24"/>
              </w:rPr>
              <w:t>Poor familiarisation with eligibility conditions and ill-timed adoption of regulations which regulate payments for the M10 measure and enable beneficiaries to be informed about the eligibility conditions for the implementation of this measure.</w:t>
            </w:r>
          </w:p>
          <w:p w:rsidR="00F555D6" w:rsidRPr="005C3B55" w:rsidRDefault="00F555D6" w:rsidP="00F555D6">
            <w:pPr>
              <w:spacing w:before="240" w:after="240" w:line="280" w:lineRule="auto"/>
              <w:rPr>
                <w:szCs w:val="24"/>
              </w:rPr>
            </w:pPr>
            <w:r w:rsidRPr="005C3B55">
              <w:rPr>
                <w:b/>
                <w:szCs w:val="24"/>
              </w:rPr>
              <w:t>R8: IT systems</w:t>
            </w:r>
          </w:p>
          <w:p w:rsidR="00F555D6" w:rsidRPr="005C3B55" w:rsidRDefault="00F555D6" w:rsidP="00F555D6">
            <w:pPr>
              <w:spacing w:before="240" w:after="240" w:line="280" w:lineRule="auto"/>
              <w:rPr>
                <w:szCs w:val="24"/>
              </w:rPr>
            </w:pPr>
            <w:r w:rsidRPr="005C3B55">
              <w:rPr>
                <w:szCs w:val="24"/>
              </w:rPr>
              <w:t>Unsuitable connectivity and arrangement of certain databases and insufficient administrative controls when entering the operation ‘Water sources’.</w:t>
            </w:r>
          </w:p>
          <w:p w:rsidR="00F555D6" w:rsidRPr="005C3B55" w:rsidRDefault="00F555D6" w:rsidP="00F555D6">
            <w:pPr>
              <w:spacing w:before="240" w:after="240" w:line="280" w:lineRule="auto"/>
              <w:rPr>
                <w:szCs w:val="24"/>
              </w:rPr>
            </w:pPr>
            <w:r w:rsidRPr="005C3B55">
              <w:rPr>
                <w:b/>
                <w:szCs w:val="24"/>
              </w:rPr>
              <w:t>R9: Requests for payment</w:t>
            </w:r>
          </w:p>
          <w:p w:rsidR="00F555D6" w:rsidRPr="005C3B55" w:rsidRDefault="00F555D6" w:rsidP="00F555D6">
            <w:pPr>
              <w:spacing w:before="240" w:after="240" w:line="280" w:lineRule="auto"/>
              <w:rPr>
                <w:szCs w:val="24"/>
              </w:rPr>
            </w:pPr>
            <w:r w:rsidRPr="005C3B55">
              <w:rPr>
                <w:szCs w:val="24"/>
              </w:rPr>
              <w:t>Lack of information and insufficient knowledge of the operation ‘Water sources’, poor familiarisation with the procedure for submitting the application and the beneficiary’s incorrect reporting about the size of surfaces.</w:t>
            </w:r>
          </w:p>
          <w:p w:rsidR="00F555D6" w:rsidRPr="005C3B55" w:rsidRDefault="00F555D6" w:rsidP="00F555D6">
            <w:pPr>
              <w:pStyle w:val="Telobesedila"/>
              <w:rPr>
                <w:szCs w:val="24"/>
              </w:rPr>
            </w:pPr>
          </w:p>
        </w:tc>
      </w:tr>
    </w:tbl>
    <w:p w:rsidR="00F555D6" w:rsidRPr="005C3B55" w:rsidRDefault="00F555D6" w:rsidP="00F555D6">
      <w:pPr>
        <w:pStyle w:val="Naslov7"/>
        <w:tabs>
          <w:tab w:val="clear" w:pos="765"/>
        </w:tabs>
        <w:ind w:left="0" w:firstLine="0"/>
        <w:rPr>
          <w:szCs w:val="24"/>
          <w:lang w:val="en-GB"/>
        </w:rPr>
      </w:pPr>
      <w:r w:rsidRPr="005C3B55">
        <w:rPr>
          <w:noProof w:val="0"/>
          <w:szCs w:val="24"/>
          <w:lang w:val="en-GB"/>
        </w:rPr>
        <w:t>Mitigation measures</w:t>
      </w:r>
    </w:p>
    <w:p w:rsidR="00F555D6" w:rsidRPr="005C3B55" w:rsidRDefault="00F555D6" w:rsidP="00F555D6">
      <w:pPr>
        <w:pStyle w:val="Naslov7"/>
        <w:tabs>
          <w:tab w:val="clear" w:pos="765"/>
        </w:tabs>
        <w:spacing w:before="0" w:after="0"/>
        <w:ind w:left="0" w:firstLine="0"/>
        <w:rPr>
          <w:szCs w:val="24"/>
          <w:lang w:val="en-GB"/>
        </w:rPr>
      </w:pP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b/>
                <w:szCs w:val="24"/>
              </w:rPr>
              <w:t>R5: Requirements which are difficult to verify and/or control</w:t>
            </w:r>
          </w:p>
          <w:p w:rsidR="00F555D6" w:rsidRPr="005C3B55" w:rsidRDefault="00F555D6" w:rsidP="00F555D6">
            <w:pPr>
              <w:spacing w:before="240" w:after="240" w:line="280" w:lineRule="auto"/>
              <w:rPr>
                <w:szCs w:val="24"/>
              </w:rPr>
            </w:pPr>
            <w:r w:rsidRPr="005C3B55">
              <w:rPr>
                <w:szCs w:val="24"/>
              </w:rPr>
              <w:t>Administrative control will be upgraded accordingly for certain requirements (suitability of a plant for an individual requirement when submitting the application, suitability of alternation of plants and requirements within and between operations). Requirements for implementing the M10 measure which cannot be verified administratively will be verified or controlled on the spot, which will observe the temporal component when implementing verification.</w:t>
            </w:r>
          </w:p>
          <w:p w:rsidR="00F555D6" w:rsidRPr="005C3B55" w:rsidRDefault="00F555D6" w:rsidP="00F555D6">
            <w:pPr>
              <w:spacing w:before="240" w:after="240" w:line="280" w:lineRule="auto"/>
              <w:rPr>
                <w:szCs w:val="24"/>
              </w:rPr>
            </w:pPr>
            <w:r w:rsidRPr="005C3B55">
              <w:rPr>
                <w:b/>
                <w:szCs w:val="24"/>
              </w:rPr>
              <w:t>R6: General conditions for implementation</w:t>
            </w:r>
          </w:p>
          <w:p w:rsidR="00F555D6" w:rsidRPr="005C3B55" w:rsidRDefault="00F555D6" w:rsidP="00F555D6">
            <w:pPr>
              <w:spacing w:before="240" w:after="240" w:line="280" w:lineRule="auto"/>
              <w:rPr>
                <w:szCs w:val="24"/>
              </w:rPr>
            </w:pPr>
            <w:r w:rsidRPr="005C3B55">
              <w:rPr>
                <w:szCs w:val="24"/>
              </w:rPr>
              <w:t>Prior to entering in the operation ‘Water sources’, a beneficiary will have to undergo a mandatory six-hour training which is one of the eligibility conditions. At the training, the beneficiary will become acquainted with the eligibility conditions for entering in the operation and requirements for implementing the operation, including the Rural Development Programme 2014–2020 and the national regulation regulating payments for the M10 measure.</w:t>
            </w:r>
          </w:p>
          <w:p w:rsidR="00F555D6" w:rsidRPr="005C3B55" w:rsidRDefault="00F555D6" w:rsidP="00F555D6">
            <w:pPr>
              <w:spacing w:before="240" w:after="240" w:line="280" w:lineRule="auto"/>
              <w:rPr>
                <w:szCs w:val="24"/>
              </w:rPr>
            </w:pPr>
            <w:r w:rsidRPr="005C3B55">
              <w:rPr>
                <w:szCs w:val="24"/>
              </w:rPr>
              <w:t>After the training, the beneficiary will be able to prepare a programme of activities of the agricultural holding in which it will determine which operation and requirements within the M10 measure it will implement.</w:t>
            </w:r>
          </w:p>
          <w:p w:rsidR="00F555D6" w:rsidRPr="005C3B55" w:rsidRDefault="00F555D6" w:rsidP="00F555D6">
            <w:pPr>
              <w:spacing w:before="240" w:after="240" w:line="280" w:lineRule="auto"/>
              <w:rPr>
                <w:szCs w:val="24"/>
              </w:rPr>
            </w:pPr>
            <w:r w:rsidRPr="005C3B55">
              <w:rPr>
                <w:b/>
                <w:szCs w:val="24"/>
              </w:rPr>
              <w:t>R8: IT systems</w:t>
            </w:r>
          </w:p>
          <w:p w:rsidR="00F555D6" w:rsidRPr="005C3B55" w:rsidRDefault="00F555D6" w:rsidP="00F555D6">
            <w:pPr>
              <w:spacing w:before="240" w:after="240" w:line="280" w:lineRule="auto"/>
              <w:rPr>
                <w:szCs w:val="24"/>
              </w:rPr>
            </w:pPr>
            <w:r w:rsidRPr="005C3B55">
              <w:rPr>
                <w:szCs w:val="24"/>
              </w:rPr>
              <w:t>Suitable connections will be established and certain databases arranged (registers, records, suitability of combinations of requirements within or between operations, and suitable integration of surfaces in the requirements of this operation as per an individual level).</w:t>
            </w:r>
          </w:p>
          <w:p w:rsidR="00F555D6" w:rsidRPr="005C3B55" w:rsidRDefault="00F555D6" w:rsidP="00F555D6">
            <w:pPr>
              <w:spacing w:before="240" w:after="240" w:line="280" w:lineRule="auto"/>
              <w:rPr>
                <w:szCs w:val="24"/>
              </w:rPr>
            </w:pPr>
            <w:r w:rsidRPr="005C3B55">
              <w:rPr>
                <w:szCs w:val="24"/>
              </w:rPr>
              <w:t>An application enabling cross-checking of data from different databases will be established.</w:t>
            </w:r>
          </w:p>
          <w:p w:rsidR="00F555D6" w:rsidRPr="005C3B55" w:rsidRDefault="00F555D6" w:rsidP="00F555D6">
            <w:pPr>
              <w:spacing w:before="240" w:after="240" w:line="280" w:lineRule="auto"/>
              <w:rPr>
                <w:szCs w:val="24"/>
              </w:rPr>
            </w:pPr>
            <w:r w:rsidRPr="005C3B55">
              <w:rPr>
                <w:b/>
                <w:szCs w:val="24"/>
              </w:rPr>
              <w:t>R9: Requests for payment</w:t>
            </w:r>
          </w:p>
          <w:p w:rsidR="00F555D6" w:rsidRPr="005C3B55" w:rsidRDefault="00F555D6" w:rsidP="00F555D6">
            <w:pPr>
              <w:spacing w:before="240" w:after="240" w:line="280" w:lineRule="auto"/>
              <w:rPr>
                <w:szCs w:val="24"/>
              </w:rPr>
            </w:pPr>
            <w:r w:rsidRPr="005C3B55">
              <w:rPr>
                <w:szCs w:val="24"/>
              </w:rPr>
              <w:t>Mandatory annual four-hour training and mandatory use of advisory services at least once in the first three years of the commitment are introduced in order for beneficiaries to be suitably informed about all conditions and requirements for the implementation of the M10 measure. Regular annual informing of beneficiaries about their commitments related to the implementation of the M10 measure as part of the annual campaign for implementing requests for agricultural policy measures during the year and also within the scope of specific and purpose-oriented informing of beneficiaries is envisaged</w:t>
            </w:r>
            <w:r w:rsidRPr="005C3B55">
              <w:rPr>
                <w:rFonts w:ascii="TimesNewRoman" w:hAnsi="TimesNewRoman"/>
                <w:szCs w:val="24"/>
              </w:rPr>
              <w:t>.</w:t>
            </w:r>
          </w:p>
          <w:p w:rsidR="00F555D6" w:rsidRPr="005C3B55" w:rsidRDefault="00F555D6" w:rsidP="00F555D6">
            <w:pPr>
              <w:spacing w:before="240" w:after="240" w:line="280" w:lineRule="auto"/>
              <w:rPr>
                <w:szCs w:val="24"/>
              </w:rPr>
            </w:pPr>
            <w:r w:rsidRPr="005C3B55">
              <w:rPr>
                <w:szCs w:val="24"/>
              </w:rPr>
              <w:t>The request for payment will be submitted electronically on prescribed forms by means of which a beneficiary will define for which requirements within individual schemes of the M10 measures it will request the payment.</w:t>
            </w:r>
          </w:p>
          <w:p w:rsidR="00F555D6" w:rsidRPr="005C3B55" w:rsidRDefault="00F555D6" w:rsidP="00F555D6">
            <w:pPr>
              <w:spacing w:before="240" w:after="240" w:line="280" w:lineRule="auto"/>
              <w:rPr>
                <w:szCs w:val="24"/>
              </w:rPr>
            </w:pPr>
            <w:r w:rsidRPr="005C3B55">
              <w:rPr>
                <w:szCs w:val="24"/>
              </w:rPr>
              <w:t>The upgrading of the IT system for control will be implemented, which will allow certain verifications and controls already upon the submission of the request for payment (suitability of use and size of surface, suitability of areas, suitability of combinations of requests and operations, and suitable integration of surfaces in the requirements of this operation).</w:t>
            </w:r>
          </w:p>
          <w:p w:rsidR="00F555D6" w:rsidRPr="005C3B55" w:rsidRDefault="00F555D6" w:rsidP="00F555D6">
            <w:pPr>
              <w:spacing w:before="240" w:after="240" w:line="280" w:lineRule="auto"/>
              <w:rPr>
                <w:szCs w:val="24"/>
              </w:rPr>
            </w:pPr>
            <w:r w:rsidRPr="005C3B55">
              <w:rPr>
                <w:szCs w:val="24"/>
              </w:rPr>
              <w:t>If a beneficiary fails to meet the eligibility conditions for entering the M10 measure, they will be alerted to the shortcomings which they will be able to eliminate by the prescribed deadline; otherwise, it will not be possible to submit a request for payment.</w:t>
            </w:r>
          </w:p>
          <w:p w:rsidR="00F555D6" w:rsidRPr="005C3B55" w:rsidRDefault="00F555D6" w:rsidP="00F555D6">
            <w:pPr>
              <w:spacing w:before="240" w:after="240" w:line="280" w:lineRule="auto"/>
              <w:rPr>
                <w:szCs w:val="24"/>
              </w:rPr>
            </w:pPr>
            <w:r w:rsidRPr="005C3B55">
              <w:rPr>
                <w:szCs w:val="24"/>
              </w:rPr>
              <w:t>Unauthorised combinations of individual requirements within the operation ‘Water sources’ and combinations of requirements of this operation with requirements within other operations of the M10 measure will be disabled.</w:t>
            </w:r>
          </w:p>
          <w:p w:rsidR="00F555D6" w:rsidRPr="005C3B55" w:rsidRDefault="00F555D6" w:rsidP="00F555D6">
            <w:pPr>
              <w:spacing w:before="240" w:after="240" w:line="280" w:lineRule="auto"/>
              <w:rPr>
                <w:szCs w:val="24"/>
              </w:rPr>
            </w:pPr>
            <w:r w:rsidRPr="005C3B55">
              <w:rPr>
                <w:szCs w:val="24"/>
              </w:rPr>
              <w:t>A beneficiary who will also be included in the implementation of the M11 measure will not have the opportunity to submit the request for unauthorised combinations of this measure with the M10 measure.</w:t>
            </w:r>
          </w:p>
          <w:p w:rsidR="00F555D6" w:rsidRPr="005C3B55" w:rsidRDefault="00F555D6" w:rsidP="00F555D6">
            <w:pPr>
              <w:pStyle w:val="Telobesedila"/>
              <w:rPr>
                <w:szCs w:val="24"/>
              </w:rPr>
            </w:pPr>
          </w:p>
        </w:tc>
      </w:tr>
    </w:tbl>
    <w:p w:rsidR="00F555D6" w:rsidRPr="005C3B55" w:rsidRDefault="00F555D6" w:rsidP="00F555D6">
      <w:pPr>
        <w:pStyle w:val="Naslov7"/>
        <w:tabs>
          <w:tab w:val="clear" w:pos="765"/>
        </w:tabs>
        <w:ind w:left="0" w:firstLine="0"/>
        <w:rPr>
          <w:szCs w:val="24"/>
          <w:lang w:val="en-GB"/>
        </w:rPr>
      </w:pPr>
      <w:r w:rsidRPr="005C3B55">
        <w:rPr>
          <w:noProof w:val="0"/>
          <w:szCs w:val="24"/>
          <w:lang w:val="en-GB"/>
        </w:rPr>
        <w:t>General assessment of the measure</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 xml:space="preserve">Described in Chapter </w:t>
            </w:r>
            <w:r w:rsidRPr="005C3B55">
              <w:rPr>
                <w:i/>
                <w:szCs w:val="24"/>
              </w:rPr>
              <w:t>8.2.9.4.3 General assessment of the measure</w:t>
            </w:r>
            <w:r w:rsidRPr="005C3B55">
              <w:rPr>
                <w:szCs w:val="24"/>
              </w:rPr>
              <w:t>.</w:t>
            </w:r>
          </w:p>
          <w:p w:rsidR="00F555D6" w:rsidRPr="005C3B55" w:rsidRDefault="00F555D6" w:rsidP="00F555D6">
            <w:pPr>
              <w:pStyle w:val="Telobesedila"/>
              <w:rPr>
                <w:szCs w:val="24"/>
              </w:rPr>
            </w:pPr>
          </w:p>
        </w:tc>
      </w:tr>
    </w:tbl>
    <w:p w:rsidR="00F555D6" w:rsidRPr="005C3B55" w:rsidRDefault="00F555D6" w:rsidP="00F555D6">
      <w:pPr>
        <w:pStyle w:val="Naslov7"/>
        <w:tabs>
          <w:tab w:val="clear" w:pos="765"/>
        </w:tabs>
        <w:ind w:left="0" w:firstLine="0"/>
        <w:rPr>
          <w:szCs w:val="24"/>
          <w:lang w:val="en-GB"/>
        </w:rPr>
      </w:pPr>
      <w:r w:rsidRPr="005C3B55">
        <w:rPr>
          <w:noProof w:val="0"/>
          <w:szCs w:val="24"/>
          <w:lang w:val="en-GB"/>
        </w:rPr>
        <w:t>Agri-environment-climate commitments</w:t>
      </w:r>
    </w:p>
    <w:p w:rsidR="00F555D6" w:rsidRPr="005C3B55" w:rsidRDefault="00F555D6" w:rsidP="00F555D6">
      <w:pPr>
        <w:pStyle w:val="Naslov8"/>
        <w:tabs>
          <w:tab w:val="clear" w:pos="765"/>
        </w:tabs>
        <w:ind w:left="0" w:firstLine="0"/>
        <w:rPr>
          <w:b w:val="0"/>
          <w:szCs w:val="24"/>
          <w:lang w:val="en-GB"/>
        </w:rPr>
      </w:pPr>
      <w:r w:rsidRPr="005C3B55">
        <w:rPr>
          <w:b w:val="0"/>
          <w:noProof w:val="0"/>
          <w:szCs w:val="24"/>
          <w:lang w:val="en-GB"/>
        </w:rPr>
        <w:t>VOD_FFSV:</w:t>
      </w:r>
      <w:r w:rsidRPr="005C3B55">
        <w:rPr>
          <w:b w:val="0"/>
          <w:szCs w:val="24"/>
          <w:lang w:val="en-GB"/>
        </w:rPr>
        <w:t xml:space="preserve"> </w:t>
      </w:r>
      <w:r w:rsidRPr="005C3B55">
        <w:rPr>
          <w:b w:val="0"/>
          <w:noProof w:val="0"/>
          <w:szCs w:val="24"/>
          <w:lang w:val="en-GB"/>
        </w:rPr>
        <w:t>Use of only plant protection products which were approved for the narrowest water protection areas</w:t>
      </w:r>
    </w:p>
    <w:p w:rsidR="00F555D6" w:rsidRPr="005C3B55" w:rsidRDefault="00F555D6" w:rsidP="00F555D6">
      <w:pPr>
        <w:pStyle w:val="Naslov9"/>
        <w:tabs>
          <w:tab w:val="clear" w:pos="765"/>
        </w:tabs>
        <w:ind w:left="0" w:firstLine="0"/>
        <w:rPr>
          <w:szCs w:val="24"/>
          <w:lang w:val="en-GB"/>
        </w:rPr>
      </w:pPr>
      <w:r w:rsidRPr="005C3B55">
        <w:rPr>
          <w:noProof w:val="0"/>
          <w:szCs w:val="24"/>
          <w:lang w:val="en-GB"/>
        </w:rPr>
        <w:t>Methods of commitment verification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Administrative control:</w:t>
            </w:r>
          </w:p>
          <w:p w:rsidR="00F555D6" w:rsidRPr="005C3B55" w:rsidRDefault="00F555D6" w:rsidP="00F555D6">
            <w:pPr>
              <w:numPr>
                <w:ilvl w:val="0"/>
                <w:numId w:val="704"/>
              </w:numPr>
              <w:spacing w:before="240" w:after="0"/>
              <w:ind w:hanging="290"/>
              <w:jc w:val="left"/>
              <w:rPr>
                <w:szCs w:val="24"/>
              </w:rPr>
            </w:pPr>
            <w:r w:rsidRPr="005C3B55">
              <w:rPr>
                <w:szCs w:val="24"/>
              </w:rPr>
              <w:t>suitability of the area through the register of agricultural holdings;</w:t>
            </w:r>
          </w:p>
          <w:p w:rsidR="00F555D6" w:rsidRPr="005C3B55" w:rsidRDefault="00F555D6" w:rsidP="00F555D6">
            <w:pPr>
              <w:numPr>
                <w:ilvl w:val="0"/>
                <w:numId w:val="704"/>
              </w:numPr>
              <w:spacing w:before="0" w:after="240"/>
              <w:ind w:hanging="290"/>
              <w:jc w:val="left"/>
              <w:rPr>
                <w:szCs w:val="24"/>
              </w:rPr>
            </w:pPr>
            <w:r w:rsidRPr="005C3B55">
              <w:rPr>
                <w:szCs w:val="24"/>
              </w:rPr>
              <w:t>suitability of the agricultural plant through collective application.</w:t>
            </w:r>
          </w:p>
          <w:p w:rsidR="00F555D6" w:rsidRPr="005C3B55" w:rsidRDefault="00F555D6" w:rsidP="00F555D6">
            <w:pPr>
              <w:spacing w:before="240" w:after="240" w:line="280" w:lineRule="auto"/>
              <w:rPr>
                <w:szCs w:val="24"/>
              </w:rPr>
            </w:pPr>
            <w:r w:rsidRPr="005C3B55">
              <w:rPr>
                <w:szCs w:val="24"/>
              </w:rPr>
              <w:t>Registers/records:</w:t>
            </w:r>
          </w:p>
          <w:p w:rsidR="00F555D6" w:rsidRPr="005C3B55" w:rsidRDefault="00F555D6" w:rsidP="00F555D6">
            <w:pPr>
              <w:numPr>
                <w:ilvl w:val="0"/>
                <w:numId w:val="705"/>
              </w:numPr>
              <w:spacing w:before="240" w:after="0"/>
              <w:ind w:hanging="290"/>
              <w:jc w:val="left"/>
              <w:rPr>
                <w:szCs w:val="24"/>
              </w:rPr>
            </w:pPr>
            <w:r w:rsidRPr="005C3B55">
              <w:rPr>
                <w:szCs w:val="24"/>
              </w:rPr>
              <w:t>register of agricultural holdings;</w:t>
            </w:r>
          </w:p>
          <w:p w:rsidR="00F555D6" w:rsidRPr="005C3B55" w:rsidRDefault="00F555D6" w:rsidP="00F555D6">
            <w:pPr>
              <w:numPr>
                <w:ilvl w:val="0"/>
                <w:numId w:val="705"/>
              </w:numPr>
              <w:spacing w:before="0" w:after="0"/>
              <w:ind w:hanging="290"/>
              <w:jc w:val="left"/>
              <w:rPr>
                <w:szCs w:val="24"/>
              </w:rPr>
            </w:pPr>
            <w:r w:rsidRPr="005C3B55">
              <w:rPr>
                <w:szCs w:val="24"/>
              </w:rPr>
              <w:t>graphical agricultural unit of agricultural holding (GERK);</w:t>
            </w:r>
          </w:p>
          <w:p w:rsidR="00F555D6" w:rsidRPr="005C3B55" w:rsidRDefault="00F555D6" w:rsidP="00F555D6">
            <w:pPr>
              <w:numPr>
                <w:ilvl w:val="0"/>
                <w:numId w:val="705"/>
              </w:numPr>
              <w:spacing w:before="0" w:after="240"/>
              <w:ind w:hanging="290"/>
              <w:jc w:val="left"/>
              <w:rPr>
                <w:szCs w:val="24"/>
              </w:rPr>
            </w:pPr>
            <w:r w:rsidRPr="005C3B55">
              <w:rPr>
                <w:szCs w:val="24"/>
              </w:rPr>
              <w:t>graphic layers of catchment areas of surface waters and areas of groundwater referred to in the Water Management Plan, except the narrowest water protection areas (WPA I).</w:t>
            </w:r>
          </w:p>
          <w:p w:rsidR="00F555D6" w:rsidRPr="005C3B55" w:rsidRDefault="00F555D6" w:rsidP="00F555D6">
            <w:pPr>
              <w:spacing w:before="240" w:after="240" w:line="280" w:lineRule="auto"/>
              <w:rPr>
                <w:szCs w:val="24"/>
              </w:rPr>
            </w:pPr>
            <w:r w:rsidRPr="005C3B55">
              <w:rPr>
                <w:szCs w:val="24"/>
              </w:rPr>
              <w:t>On-site control:</w:t>
            </w:r>
          </w:p>
          <w:p w:rsidR="00F555D6" w:rsidRPr="005C3B55" w:rsidRDefault="00F555D6" w:rsidP="00F555D6">
            <w:pPr>
              <w:numPr>
                <w:ilvl w:val="0"/>
                <w:numId w:val="706"/>
              </w:numPr>
              <w:spacing w:before="240" w:after="0"/>
              <w:ind w:hanging="290"/>
              <w:jc w:val="left"/>
              <w:rPr>
                <w:szCs w:val="24"/>
              </w:rPr>
            </w:pPr>
            <w:r w:rsidRPr="005C3B55">
              <w:rPr>
                <w:szCs w:val="24"/>
              </w:rPr>
              <w:t>records on works;</w:t>
            </w:r>
          </w:p>
          <w:p w:rsidR="00F555D6" w:rsidRPr="005C3B55" w:rsidRDefault="00F555D6" w:rsidP="00F555D6">
            <w:pPr>
              <w:numPr>
                <w:ilvl w:val="0"/>
                <w:numId w:val="706"/>
              </w:numPr>
              <w:spacing w:before="0" w:after="0"/>
              <w:ind w:hanging="290"/>
              <w:jc w:val="left"/>
              <w:rPr>
                <w:szCs w:val="24"/>
              </w:rPr>
            </w:pPr>
            <w:r w:rsidRPr="005C3B55">
              <w:rPr>
                <w:szCs w:val="24"/>
              </w:rPr>
              <w:t>list of permitted plant protection products;</w:t>
            </w:r>
          </w:p>
          <w:p w:rsidR="00F555D6" w:rsidRPr="005C3B55" w:rsidRDefault="00F555D6" w:rsidP="00F555D6">
            <w:pPr>
              <w:numPr>
                <w:ilvl w:val="0"/>
                <w:numId w:val="706"/>
              </w:numPr>
              <w:spacing w:before="0" w:after="0"/>
              <w:ind w:hanging="290"/>
              <w:jc w:val="left"/>
              <w:rPr>
                <w:szCs w:val="24"/>
              </w:rPr>
            </w:pPr>
            <w:r w:rsidRPr="005C3B55">
              <w:rPr>
                <w:szCs w:val="24"/>
              </w:rPr>
              <w:t>declarations;</w:t>
            </w:r>
          </w:p>
          <w:p w:rsidR="00F555D6" w:rsidRPr="005C3B55" w:rsidRDefault="00F555D6" w:rsidP="00F555D6">
            <w:pPr>
              <w:numPr>
                <w:ilvl w:val="0"/>
                <w:numId w:val="706"/>
              </w:numPr>
              <w:spacing w:before="0" w:after="0"/>
              <w:ind w:hanging="290"/>
              <w:jc w:val="left"/>
              <w:rPr>
                <w:szCs w:val="24"/>
              </w:rPr>
            </w:pPr>
            <w:r w:rsidRPr="005C3B55">
              <w:rPr>
                <w:szCs w:val="24"/>
              </w:rPr>
              <w:t>invoice on the purchase of plant protection products;</w:t>
            </w:r>
          </w:p>
          <w:p w:rsidR="00F555D6" w:rsidRPr="005C3B55" w:rsidRDefault="00F555D6" w:rsidP="00F555D6">
            <w:pPr>
              <w:numPr>
                <w:ilvl w:val="0"/>
                <w:numId w:val="706"/>
              </w:numPr>
              <w:spacing w:before="0" w:after="240"/>
              <w:ind w:hanging="290"/>
              <w:jc w:val="left"/>
              <w:rPr>
                <w:szCs w:val="24"/>
              </w:rPr>
            </w:pPr>
            <w:r w:rsidRPr="005C3B55">
              <w:rPr>
                <w:szCs w:val="24"/>
              </w:rPr>
              <w:t>review of the agricultural holding.</w:t>
            </w:r>
          </w:p>
          <w:p w:rsidR="00F555D6" w:rsidRPr="005C3B55" w:rsidRDefault="00F555D6" w:rsidP="00F555D6">
            <w:pPr>
              <w:pStyle w:val="Telobesedila"/>
              <w:rPr>
                <w:szCs w:val="24"/>
              </w:rPr>
            </w:pPr>
          </w:p>
        </w:tc>
      </w:tr>
    </w:tbl>
    <w:p w:rsidR="00F555D6" w:rsidRPr="005C3B55" w:rsidRDefault="00F555D6" w:rsidP="00F555D6">
      <w:pPr>
        <w:pStyle w:val="Naslov8"/>
        <w:tabs>
          <w:tab w:val="clear" w:pos="765"/>
        </w:tabs>
        <w:ind w:left="0" w:firstLine="0"/>
        <w:rPr>
          <w:b w:val="0"/>
          <w:szCs w:val="24"/>
          <w:lang w:val="en-GB"/>
        </w:rPr>
      </w:pPr>
      <w:r w:rsidRPr="005C3B55">
        <w:rPr>
          <w:b w:val="0"/>
          <w:noProof w:val="0"/>
          <w:szCs w:val="24"/>
          <w:lang w:val="en-GB"/>
        </w:rPr>
        <w:t>VOD_NEP:</w:t>
      </w:r>
      <w:r w:rsidRPr="005C3B55">
        <w:rPr>
          <w:b w:val="0"/>
          <w:szCs w:val="24"/>
          <w:lang w:val="en-GB"/>
        </w:rPr>
        <w:t xml:space="preserve"> </w:t>
      </w:r>
      <w:r w:rsidRPr="005C3B55">
        <w:rPr>
          <w:b w:val="0"/>
          <w:noProof w:val="0"/>
          <w:szCs w:val="24"/>
          <w:lang w:val="en-GB"/>
        </w:rPr>
        <w:t>Non-overwintering honey crops</w:t>
      </w:r>
    </w:p>
    <w:p w:rsidR="00F555D6" w:rsidRPr="005C3B55" w:rsidRDefault="00F555D6" w:rsidP="00F555D6">
      <w:pPr>
        <w:pStyle w:val="Naslov9"/>
        <w:tabs>
          <w:tab w:val="clear" w:pos="765"/>
        </w:tabs>
        <w:ind w:left="0" w:firstLine="0"/>
        <w:rPr>
          <w:szCs w:val="24"/>
          <w:lang w:val="en-GB"/>
        </w:rPr>
      </w:pPr>
      <w:r w:rsidRPr="005C3B55">
        <w:rPr>
          <w:noProof w:val="0"/>
          <w:szCs w:val="24"/>
          <w:lang w:val="en-GB"/>
        </w:rPr>
        <w:t>Methods of commitment verification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Administrative control:</w:t>
            </w:r>
          </w:p>
          <w:p w:rsidR="00F555D6" w:rsidRPr="005C3B55" w:rsidRDefault="00F555D6" w:rsidP="00F555D6">
            <w:pPr>
              <w:numPr>
                <w:ilvl w:val="0"/>
                <w:numId w:val="707"/>
              </w:numPr>
              <w:spacing w:before="240" w:after="0"/>
              <w:ind w:hanging="290"/>
              <w:jc w:val="left"/>
              <w:rPr>
                <w:szCs w:val="24"/>
              </w:rPr>
            </w:pPr>
            <w:r w:rsidRPr="005C3B55">
              <w:rPr>
                <w:szCs w:val="24"/>
              </w:rPr>
              <w:t>suitability of the area through the register of agricultural holdings;</w:t>
            </w:r>
          </w:p>
          <w:p w:rsidR="00F555D6" w:rsidRPr="005C3B55" w:rsidRDefault="00F555D6" w:rsidP="00F555D6">
            <w:pPr>
              <w:numPr>
                <w:ilvl w:val="0"/>
                <w:numId w:val="707"/>
              </w:numPr>
              <w:spacing w:before="0" w:after="0"/>
              <w:ind w:hanging="290"/>
              <w:jc w:val="left"/>
              <w:rPr>
                <w:szCs w:val="24"/>
              </w:rPr>
            </w:pPr>
            <w:r w:rsidRPr="005C3B55">
              <w:rPr>
                <w:szCs w:val="24"/>
              </w:rPr>
              <w:t>suitability of the agricultural plant through collective application;</w:t>
            </w:r>
          </w:p>
          <w:p w:rsidR="00F555D6" w:rsidRPr="005C3B55" w:rsidRDefault="00F555D6" w:rsidP="00F555D6">
            <w:pPr>
              <w:numPr>
                <w:ilvl w:val="0"/>
                <w:numId w:val="707"/>
              </w:numPr>
              <w:spacing w:before="0" w:after="240"/>
              <w:ind w:hanging="290"/>
              <w:jc w:val="left"/>
              <w:rPr>
                <w:szCs w:val="24"/>
              </w:rPr>
            </w:pPr>
            <w:r w:rsidRPr="005C3B55">
              <w:rPr>
                <w:szCs w:val="24"/>
              </w:rPr>
              <w:t>inclusion of the same agricultural plant in several requirements.</w:t>
            </w:r>
          </w:p>
          <w:p w:rsidR="00F555D6" w:rsidRPr="005C3B55" w:rsidRDefault="00F555D6" w:rsidP="00F555D6">
            <w:pPr>
              <w:spacing w:before="240" w:after="240" w:line="280" w:lineRule="auto"/>
              <w:rPr>
                <w:szCs w:val="24"/>
              </w:rPr>
            </w:pPr>
            <w:r w:rsidRPr="005C3B55">
              <w:rPr>
                <w:szCs w:val="24"/>
              </w:rPr>
              <w:t>Registers/records:</w:t>
            </w:r>
          </w:p>
          <w:p w:rsidR="00F555D6" w:rsidRPr="005C3B55" w:rsidRDefault="00F555D6" w:rsidP="00F555D6">
            <w:pPr>
              <w:numPr>
                <w:ilvl w:val="0"/>
                <w:numId w:val="708"/>
              </w:numPr>
              <w:spacing w:before="240" w:after="0"/>
              <w:ind w:hanging="290"/>
              <w:jc w:val="left"/>
              <w:rPr>
                <w:szCs w:val="24"/>
              </w:rPr>
            </w:pPr>
            <w:r w:rsidRPr="005C3B55">
              <w:rPr>
                <w:szCs w:val="24"/>
              </w:rPr>
              <w:t>register of agricultural holdings;</w:t>
            </w:r>
          </w:p>
          <w:p w:rsidR="00F555D6" w:rsidRPr="005C3B55" w:rsidRDefault="00F555D6" w:rsidP="00F555D6">
            <w:pPr>
              <w:numPr>
                <w:ilvl w:val="0"/>
                <w:numId w:val="708"/>
              </w:numPr>
              <w:spacing w:before="0" w:after="0"/>
              <w:ind w:hanging="290"/>
              <w:jc w:val="left"/>
              <w:rPr>
                <w:szCs w:val="24"/>
              </w:rPr>
            </w:pPr>
            <w:r w:rsidRPr="005C3B55">
              <w:rPr>
                <w:szCs w:val="24"/>
              </w:rPr>
              <w:t>graphical agricultural unit of agricultural holding (GERK);</w:t>
            </w:r>
          </w:p>
          <w:p w:rsidR="00F555D6" w:rsidRPr="005C3B55" w:rsidRDefault="00F555D6" w:rsidP="00F555D6">
            <w:pPr>
              <w:numPr>
                <w:ilvl w:val="0"/>
                <w:numId w:val="708"/>
              </w:numPr>
              <w:spacing w:before="0" w:after="240"/>
              <w:ind w:hanging="290"/>
              <w:jc w:val="left"/>
              <w:rPr>
                <w:szCs w:val="24"/>
              </w:rPr>
            </w:pPr>
            <w:r w:rsidRPr="005C3B55">
              <w:rPr>
                <w:szCs w:val="24"/>
              </w:rPr>
              <w:t>graphic layers of catchment areas of surface waters and areas of groundwater referred to in the Water Management Plan, except the narrowest water protection areas (WPA I).</w:t>
            </w:r>
          </w:p>
          <w:p w:rsidR="00F555D6" w:rsidRPr="005C3B55" w:rsidRDefault="00F555D6" w:rsidP="00F555D6">
            <w:pPr>
              <w:spacing w:before="240" w:after="240" w:line="280" w:lineRule="auto"/>
              <w:rPr>
                <w:szCs w:val="24"/>
              </w:rPr>
            </w:pPr>
            <w:r w:rsidRPr="005C3B55">
              <w:rPr>
                <w:szCs w:val="24"/>
              </w:rPr>
              <w:t>On-site control:</w:t>
            </w:r>
          </w:p>
          <w:p w:rsidR="00F555D6" w:rsidRPr="005C3B55" w:rsidRDefault="00F555D6" w:rsidP="00F555D6">
            <w:pPr>
              <w:numPr>
                <w:ilvl w:val="0"/>
                <w:numId w:val="709"/>
              </w:numPr>
              <w:spacing w:before="240" w:after="0"/>
              <w:ind w:hanging="290"/>
              <w:jc w:val="left"/>
              <w:rPr>
                <w:szCs w:val="24"/>
              </w:rPr>
            </w:pPr>
            <w:r w:rsidRPr="005C3B55">
              <w:rPr>
                <w:szCs w:val="24"/>
              </w:rPr>
              <w:t>records on works;</w:t>
            </w:r>
          </w:p>
          <w:p w:rsidR="00F555D6" w:rsidRPr="005C3B55" w:rsidRDefault="00F555D6" w:rsidP="00F555D6">
            <w:pPr>
              <w:numPr>
                <w:ilvl w:val="0"/>
                <w:numId w:val="709"/>
              </w:numPr>
              <w:spacing w:before="0" w:after="0"/>
              <w:ind w:hanging="290"/>
              <w:jc w:val="left"/>
              <w:rPr>
                <w:szCs w:val="24"/>
              </w:rPr>
            </w:pPr>
            <w:r w:rsidRPr="005C3B55">
              <w:rPr>
                <w:szCs w:val="24"/>
              </w:rPr>
              <w:t>compliance with the situation in nature;</w:t>
            </w:r>
          </w:p>
          <w:p w:rsidR="00F555D6" w:rsidRPr="005C3B55" w:rsidRDefault="00F555D6" w:rsidP="00F555D6">
            <w:pPr>
              <w:numPr>
                <w:ilvl w:val="0"/>
                <w:numId w:val="709"/>
              </w:numPr>
              <w:spacing w:before="0" w:after="240"/>
              <w:ind w:hanging="290"/>
              <w:jc w:val="left"/>
              <w:rPr>
                <w:szCs w:val="24"/>
              </w:rPr>
            </w:pPr>
            <w:r w:rsidRPr="005C3B55">
              <w:rPr>
                <w:szCs w:val="24"/>
              </w:rPr>
              <w:t>review of the agricultural holding.</w:t>
            </w:r>
          </w:p>
          <w:p w:rsidR="00F555D6" w:rsidRPr="005C3B55" w:rsidRDefault="00F555D6" w:rsidP="00F555D6">
            <w:pPr>
              <w:pStyle w:val="Telobesedila"/>
              <w:rPr>
                <w:szCs w:val="24"/>
              </w:rPr>
            </w:pPr>
          </w:p>
        </w:tc>
      </w:tr>
    </w:tbl>
    <w:p w:rsidR="00F555D6" w:rsidRPr="005C3B55" w:rsidRDefault="00F555D6" w:rsidP="00F555D6">
      <w:pPr>
        <w:pStyle w:val="Naslov8"/>
        <w:tabs>
          <w:tab w:val="clear" w:pos="765"/>
        </w:tabs>
        <w:ind w:left="0" w:firstLine="0"/>
        <w:rPr>
          <w:b w:val="0"/>
          <w:szCs w:val="24"/>
          <w:lang w:val="en-GB"/>
        </w:rPr>
      </w:pPr>
      <w:r w:rsidRPr="005C3B55">
        <w:rPr>
          <w:b w:val="0"/>
          <w:noProof w:val="0"/>
          <w:szCs w:val="24"/>
          <w:lang w:val="en-GB"/>
        </w:rPr>
        <w:t>VOD_POD:</w:t>
      </w:r>
      <w:r w:rsidRPr="005C3B55">
        <w:rPr>
          <w:b w:val="0"/>
          <w:szCs w:val="24"/>
          <w:lang w:val="en-GB"/>
        </w:rPr>
        <w:t xml:space="preserve"> </w:t>
      </w:r>
      <w:r w:rsidRPr="005C3B55">
        <w:rPr>
          <w:b w:val="0"/>
          <w:noProof w:val="0"/>
          <w:szCs w:val="24"/>
          <w:lang w:val="en-GB"/>
        </w:rPr>
        <w:t>Sowing plants for green manure</w:t>
      </w:r>
    </w:p>
    <w:p w:rsidR="00F555D6" w:rsidRPr="005C3B55" w:rsidRDefault="00F555D6" w:rsidP="00F555D6">
      <w:pPr>
        <w:pStyle w:val="Naslov9"/>
        <w:tabs>
          <w:tab w:val="clear" w:pos="765"/>
        </w:tabs>
        <w:ind w:left="0" w:firstLine="0"/>
        <w:rPr>
          <w:szCs w:val="24"/>
          <w:lang w:val="en-GB"/>
        </w:rPr>
      </w:pPr>
      <w:r w:rsidRPr="005C3B55">
        <w:rPr>
          <w:noProof w:val="0"/>
          <w:szCs w:val="24"/>
          <w:lang w:val="en-GB"/>
        </w:rPr>
        <w:t>Methods of commitment verification</w:t>
      </w:r>
    </w:p>
    <w:p w:rsidR="00F555D6" w:rsidRPr="005C3B55" w:rsidRDefault="00F555D6" w:rsidP="00F555D6">
      <w:pPr>
        <w:pStyle w:val="Naslov9"/>
        <w:tabs>
          <w:tab w:val="clear" w:pos="765"/>
        </w:tabs>
        <w:spacing w:before="0" w:after="0"/>
        <w:ind w:left="0" w:firstLine="0"/>
        <w:rPr>
          <w:szCs w:val="24"/>
          <w:lang w:val="en-GB"/>
        </w:rPr>
      </w:pP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Administrative control:</w:t>
            </w:r>
          </w:p>
          <w:p w:rsidR="00F555D6" w:rsidRPr="005C3B55" w:rsidRDefault="00F555D6" w:rsidP="00F555D6">
            <w:pPr>
              <w:numPr>
                <w:ilvl w:val="0"/>
                <w:numId w:val="710"/>
              </w:numPr>
              <w:spacing w:before="240" w:after="0"/>
              <w:ind w:hanging="290"/>
              <w:jc w:val="left"/>
              <w:rPr>
                <w:szCs w:val="24"/>
              </w:rPr>
            </w:pPr>
            <w:r w:rsidRPr="005C3B55">
              <w:rPr>
                <w:szCs w:val="24"/>
              </w:rPr>
              <w:t>suitability of the area through the register of agricultural holdings;</w:t>
            </w:r>
          </w:p>
          <w:p w:rsidR="00F555D6" w:rsidRPr="005C3B55" w:rsidRDefault="00F555D6" w:rsidP="00F555D6">
            <w:pPr>
              <w:numPr>
                <w:ilvl w:val="0"/>
                <w:numId w:val="710"/>
              </w:numPr>
              <w:spacing w:before="0" w:after="0"/>
              <w:ind w:hanging="290"/>
              <w:jc w:val="left"/>
              <w:rPr>
                <w:szCs w:val="24"/>
              </w:rPr>
            </w:pPr>
            <w:r w:rsidRPr="005C3B55">
              <w:rPr>
                <w:szCs w:val="24"/>
              </w:rPr>
              <w:t>suitability of the agricultural plant through collective application;</w:t>
            </w:r>
          </w:p>
          <w:p w:rsidR="00F555D6" w:rsidRPr="005C3B55" w:rsidRDefault="00F555D6" w:rsidP="00F555D6">
            <w:pPr>
              <w:numPr>
                <w:ilvl w:val="0"/>
                <w:numId w:val="710"/>
              </w:numPr>
              <w:spacing w:before="0" w:after="240"/>
              <w:ind w:hanging="290"/>
              <w:jc w:val="left"/>
              <w:rPr>
                <w:szCs w:val="24"/>
              </w:rPr>
            </w:pPr>
            <w:r w:rsidRPr="005C3B55">
              <w:rPr>
                <w:szCs w:val="24"/>
              </w:rPr>
              <w:t>inclusion of the same agricultural plant in several requirements.</w:t>
            </w:r>
          </w:p>
          <w:p w:rsidR="00F555D6" w:rsidRPr="005C3B55" w:rsidRDefault="00F555D6" w:rsidP="00F555D6">
            <w:pPr>
              <w:spacing w:before="240" w:after="240" w:line="280" w:lineRule="auto"/>
              <w:rPr>
                <w:szCs w:val="24"/>
              </w:rPr>
            </w:pPr>
            <w:r w:rsidRPr="005C3B55">
              <w:rPr>
                <w:szCs w:val="24"/>
              </w:rPr>
              <w:t>Registers/records:</w:t>
            </w:r>
          </w:p>
          <w:p w:rsidR="00F555D6" w:rsidRPr="005C3B55" w:rsidRDefault="00F555D6" w:rsidP="00F555D6">
            <w:pPr>
              <w:numPr>
                <w:ilvl w:val="0"/>
                <w:numId w:val="711"/>
              </w:numPr>
              <w:spacing w:before="240" w:after="0"/>
              <w:ind w:hanging="290"/>
              <w:jc w:val="left"/>
              <w:rPr>
                <w:szCs w:val="24"/>
              </w:rPr>
            </w:pPr>
            <w:r w:rsidRPr="005C3B55">
              <w:rPr>
                <w:szCs w:val="24"/>
              </w:rPr>
              <w:t>register of agricultural holdings;</w:t>
            </w:r>
          </w:p>
          <w:p w:rsidR="00F555D6" w:rsidRPr="005C3B55" w:rsidRDefault="00F555D6" w:rsidP="00F555D6">
            <w:pPr>
              <w:numPr>
                <w:ilvl w:val="0"/>
                <w:numId w:val="711"/>
              </w:numPr>
              <w:spacing w:before="0" w:after="0"/>
              <w:ind w:hanging="290"/>
              <w:jc w:val="left"/>
              <w:rPr>
                <w:szCs w:val="24"/>
              </w:rPr>
            </w:pPr>
            <w:r w:rsidRPr="005C3B55">
              <w:rPr>
                <w:szCs w:val="24"/>
              </w:rPr>
              <w:t>graphical agricultural unit of agricultural holding (GERK);</w:t>
            </w:r>
          </w:p>
          <w:p w:rsidR="00F555D6" w:rsidRPr="005C3B55" w:rsidRDefault="00F555D6" w:rsidP="00F555D6">
            <w:pPr>
              <w:numPr>
                <w:ilvl w:val="0"/>
                <w:numId w:val="711"/>
              </w:numPr>
              <w:spacing w:before="0" w:after="240"/>
              <w:ind w:hanging="290"/>
              <w:jc w:val="left"/>
              <w:rPr>
                <w:szCs w:val="24"/>
              </w:rPr>
            </w:pPr>
            <w:r w:rsidRPr="005C3B55">
              <w:rPr>
                <w:szCs w:val="24"/>
              </w:rPr>
              <w:t>graphic layers of catchment areas of surface waters and areas of groundwater referred to in the Water Management Plan, except the narrowest water protection areas (WPA I).</w:t>
            </w:r>
          </w:p>
          <w:p w:rsidR="00F555D6" w:rsidRPr="005C3B55" w:rsidRDefault="00F555D6" w:rsidP="00F555D6">
            <w:pPr>
              <w:spacing w:before="240" w:after="240" w:line="280" w:lineRule="auto"/>
              <w:rPr>
                <w:szCs w:val="24"/>
              </w:rPr>
            </w:pPr>
            <w:r w:rsidRPr="005C3B55">
              <w:rPr>
                <w:szCs w:val="24"/>
              </w:rPr>
              <w:t>On-site control:</w:t>
            </w:r>
          </w:p>
          <w:p w:rsidR="00F555D6" w:rsidRPr="005C3B55" w:rsidRDefault="00F555D6" w:rsidP="00F555D6">
            <w:pPr>
              <w:numPr>
                <w:ilvl w:val="0"/>
                <w:numId w:val="712"/>
              </w:numPr>
              <w:spacing w:before="240" w:after="0"/>
              <w:ind w:hanging="290"/>
              <w:jc w:val="left"/>
              <w:rPr>
                <w:szCs w:val="24"/>
              </w:rPr>
            </w:pPr>
            <w:r w:rsidRPr="005C3B55">
              <w:rPr>
                <w:szCs w:val="24"/>
              </w:rPr>
              <w:t>records on works;</w:t>
            </w:r>
          </w:p>
          <w:p w:rsidR="00F555D6" w:rsidRPr="005C3B55" w:rsidRDefault="00F555D6" w:rsidP="00F555D6">
            <w:pPr>
              <w:numPr>
                <w:ilvl w:val="0"/>
                <w:numId w:val="712"/>
              </w:numPr>
              <w:spacing w:before="0" w:after="0"/>
              <w:ind w:hanging="290"/>
              <w:jc w:val="left"/>
              <w:rPr>
                <w:szCs w:val="24"/>
              </w:rPr>
            </w:pPr>
            <w:r w:rsidRPr="005C3B55">
              <w:rPr>
                <w:szCs w:val="24"/>
              </w:rPr>
              <w:t>compliance with the situation in nature;</w:t>
            </w:r>
          </w:p>
          <w:p w:rsidR="00F555D6" w:rsidRPr="005C3B55" w:rsidRDefault="00F555D6" w:rsidP="00F555D6">
            <w:pPr>
              <w:numPr>
                <w:ilvl w:val="0"/>
                <w:numId w:val="712"/>
              </w:numPr>
              <w:spacing w:before="0" w:after="240"/>
              <w:ind w:hanging="290"/>
              <w:jc w:val="left"/>
              <w:rPr>
                <w:szCs w:val="24"/>
              </w:rPr>
            </w:pPr>
            <w:r w:rsidRPr="005C3B55">
              <w:rPr>
                <w:szCs w:val="24"/>
              </w:rPr>
              <w:t>review of the agricultural holding.</w:t>
            </w:r>
          </w:p>
          <w:p w:rsidR="00F555D6" w:rsidRPr="005C3B55" w:rsidRDefault="00F555D6" w:rsidP="00F555D6">
            <w:pPr>
              <w:pStyle w:val="Telobesedila"/>
              <w:rPr>
                <w:szCs w:val="24"/>
              </w:rPr>
            </w:pPr>
          </w:p>
        </w:tc>
      </w:tr>
    </w:tbl>
    <w:p w:rsidR="00F555D6" w:rsidRPr="005C3B55" w:rsidRDefault="00F555D6" w:rsidP="00F555D6">
      <w:pPr>
        <w:pStyle w:val="Naslov8"/>
        <w:tabs>
          <w:tab w:val="clear" w:pos="765"/>
        </w:tabs>
        <w:ind w:left="0" w:firstLine="0"/>
        <w:rPr>
          <w:b w:val="0"/>
          <w:szCs w:val="24"/>
          <w:lang w:val="en-GB"/>
        </w:rPr>
      </w:pPr>
      <w:r w:rsidRPr="005C3B55">
        <w:rPr>
          <w:b w:val="0"/>
          <w:noProof w:val="0"/>
          <w:szCs w:val="24"/>
          <w:lang w:val="en-GB"/>
        </w:rPr>
        <w:t>VOD_ZEL:</w:t>
      </w:r>
      <w:r w:rsidRPr="005C3B55">
        <w:rPr>
          <w:b w:val="0"/>
          <w:szCs w:val="24"/>
          <w:lang w:val="en-GB"/>
        </w:rPr>
        <w:t xml:space="preserve"> </w:t>
      </w:r>
      <w:r w:rsidRPr="005C3B55">
        <w:rPr>
          <w:b w:val="0"/>
          <w:noProof w:val="0"/>
          <w:szCs w:val="24"/>
          <w:lang w:val="en-GB"/>
        </w:rPr>
        <w:t>Greening of arable land</w:t>
      </w:r>
    </w:p>
    <w:p w:rsidR="00F555D6" w:rsidRPr="005C3B55" w:rsidRDefault="00F555D6" w:rsidP="00F555D6">
      <w:pPr>
        <w:pStyle w:val="Naslov9"/>
        <w:tabs>
          <w:tab w:val="clear" w:pos="765"/>
        </w:tabs>
        <w:ind w:left="0" w:firstLine="0"/>
        <w:rPr>
          <w:szCs w:val="24"/>
          <w:lang w:val="en-GB"/>
        </w:rPr>
      </w:pPr>
      <w:r w:rsidRPr="005C3B55">
        <w:rPr>
          <w:noProof w:val="0"/>
          <w:szCs w:val="24"/>
          <w:lang w:val="en-GB"/>
        </w:rPr>
        <w:t>Methods of commitment verification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Administrative control:</w:t>
            </w:r>
          </w:p>
          <w:p w:rsidR="00F555D6" w:rsidRPr="005C3B55" w:rsidRDefault="00F555D6" w:rsidP="00F555D6">
            <w:pPr>
              <w:numPr>
                <w:ilvl w:val="0"/>
                <w:numId w:val="713"/>
              </w:numPr>
              <w:spacing w:before="240" w:after="0"/>
              <w:ind w:hanging="290"/>
              <w:jc w:val="left"/>
              <w:rPr>
                <w:szCs w:val="24"/>
              </w:rPr>
            </w:pPr>
            <w:r w:rsidRPr="005C3B55">
              <w:rPr>
                <w:szCs w:val="24"/>
              </w:rPr>
              <w:t>suitability of the area through the register of agricultural holdings;</w:t>
            </w:r>
          </w:p>
          <w:p w:rsidR="00F555D6" w:rsidRPr="005C3B55" w:rsidRDefault="00F555D6" w:rsidP="00F555D6">
            <w:pPr>
              <w:numPr>
                <w:ilvl w:val="0"/>
                <w:numId w:val="713"/>
              </w:numPr>
              <w:spacing w:before="0" w:after="0"/>
              <w:ind w:hanging="290"/>
              <w:jc w:val="left"/>
              <w:rPr>
                <w:szCs w:val="24"/>
              </w:rPr>
            </w:pPr>
            <w:r w:rsidRPr="005C3B55">
              <w:rPr>
                <w:szCs w:val="24"/>
              </w:rPr>
              <w:t>suitability of the agricultural plant through collective application;</w:t>
            </w:r>
          </w:p>
          <w:p w:rsidR="00F555D6" w:rsidRPr="005C3B55" w:rsidRDefault="00F555D6" w:rsidP="00F555D6">
            <w:pPr>
              <w:numPr>
                <w:ilvl w:val="0"/>
                <w:numId w:val="713"/>
              </w:numPr>
              <w:spacing w:before="0" w:after="240"/>
              <w:ind w:hanging="290"/>
              <w:jc w:val="left"/>
              <w:rPr>
                <w:szCs w:val="24"/>
              </w:rPr>
            </w:pPr>
            <w:r w:rsidRPr="005C3B55">
              <w:rPr>
                <w:szCs w:val="24"/>
              </w:rPr>
              <w:t>inclusion of the same agricultural plant in several requirements.</w:t>
            </w:r>
          </w:p>
          <w:p w:rsidR="00F555D6" w:rsidRPr="005C3B55" w:rsidRDefault="00F555D6" w:rsidP="00F555D6">
            <w:pPr>
              <w:spacing w:before="240" w:after="240" w:line="280" w:lineRule="auto"/>
              <w:rPr>
                <w:szCs w:val="24"/>
              </w:rPr>
            </w:pPr>
            <w:r w:rsidRPr="005C3B55">
              <w:rPr>
                <w:szCs w:val="24"/>
              </w:rPr>
              <w:t>Registers/records:</w:t>
            </w:r>
          </w:p>
          <w:p w:rsidR="00F555D6" w:rsidRPr="005C3B55" w:rsidRDefault="00F555D6" w:rsidP="00F555D6">
            <w:pPr>
              <w:numPr>
                <w:ilvl w:val="0"/>
                <w:numId w:val="714"/>
              </w:numPr>
              <w:spacing w:before="240" w:after="0"/>
              <w:ind w:hanging="290"/>
              <w:jc w:val="left"/>
              <w:rPr>
                <w:szCs w:val="24"/>
              </w:rPr>
            </w:pPr>
            <w:r w:rsidRPr="005C3B55">
              <w:rPr>
                <w:szCs w:val="24"/>
              </w:rPr>
              <w:t>register of agricultural holdings;</w:t>
            </w:r>
          </w:p>
          <w:p w:rsidR="00F555D6" w:rsidRPr="005C3B55" w:rsidRDefault="00F555D6" w:rsidP="00F555D6">
            <w:pPr>
              <w:numPr>
                <w:ilvl w:val="0"/>
                <w:numId w:val="714"/>
              </w:numPr>
              <w:spacing w:before="0" w:after="0"/>
              <w:ind w:hanging="290"/>
              <w:jc w:val="left"/>
              <w:rPr>
                <w:szCs w:val="24"/>
              </w:rPr>
            </w:pPr>
            <w:r w:rsidRPr="005C3B55">
              <w:rPr>
                <w:szCs w:val="24"/>
              </w:rPr>
              <w:t>graphical agricultural unit of agricultural holding (GERK);</w:t>
            </w:r>
          </w:p>
          <w:p w:rsidR="00F555D6" w:rsidRPr="005C3B55" w:rsidRDefault="00F555D6" w:rsidP="00F555D6">
            <w:pPr>
              <w:numPr>
                <w:ilvl w:val="0"/>
                <w:numId w:val="714"/>
              </w:numPr>
              <w:spacing w:before="0" w:after="240"/>
              <w:ind w:hanging="290"/>
              <w:jc w:val="left"/>
              <w:rPr>
                <w:szCs w:val="24"/>
              </w:rPr>
            </w:pPr>
            <w:r w:rsidRPr="005C3B55">
              <w:rPr>
                <w:szCs w:val="24"/>
              </w:rPr>
              <w:t>graphic layers of catchment areas of surface waters and areas of groundwater referred to in the Water Management Plan, except the narrowest water protection areas (WPA I).</w:t>
            </w:r>
          </w:p>
          <w:p w:rsidR="00F555D6" w:rsidRPr="005C3B55" w:rsidRDefault="00F555D6" w:rsidP="00F555D6">
            <w:pPr>
              <w:spacing w:before="240" w:after="240" w:line="280" w:lineRule="auto"/>
              <w:rPr>
                <w:szCs w:val="24"/>
              </w:rPr>
            </w:pPr>
            <w:r w:rsidRPr="005C3B55">
              <w:rPr>
                <w:szCs w:val="24"/>
              </w:rPr>
              <w:t>On-site control:</w:t>
            </w:r>
          </w:p>
          <w:p w:rsidR="00F555D6" w:rsidRPr="005C3B55" w:rsidRDefault="00F555D6" w:rsidP="00F555D6">
            <w:pPr>
              <w:numPr>
                <w:ilvl w:val="0"/>
                <w:numId w:val="715"/>
              </w:numPr>
              <w:spacing w:before="240" w:after="0"/>
              <w:ind w:hanging="290"/>
              <w:jc w:val="left"/>
              <w:rPr>
                <w:szCs w:val="24"/>
              </w:rPr>
            </w:pPr>
            <w:r w:rsidRPr="005C3B55">
              <w:rPr>
                <w:szCs w:val="24"/>
              </w:rPr>
              <w:t>records on works;</w:t>
            </w:r>
          </w:p>
          <w:p w:rsidR="00F555D6" w:rsidRPr="005C3B55" w:rsidRDefault="00F555D6" w:rsidP="00F555D6">
            <w:pPr>
              <w:numPr>
                <w:ilvl w:val="0"/>
                <w:numId w:val="715"/>
              </w:numPr>
              <w:spacing w:before="0" w:after="0"/>
              <w:ind w:hanging="290"/>
              <w:jc w:val="left"/>
              <w:rPr>
                <w:szCs w:val="24"/>
              </w:rPr>
            </w:pPr>
            <w:r w:rsidRPr="005C3B55">
              <w:rPr>
                <w:szCs w:val="24"/>
              </w:rPr>
              <w:t>compliance with the situation in nature;</w:t>
            </w:r>
          </w:p>
          <w:p w:rsidR="00F555D6" w:rsidRPr="005C3B55" w:rsidRDefault="00F555D6" w:rsidP="00F555D6">
            <w:pPr>
              <w:numPr>
                <w:ilvl w:val="0"/>
                <w:numId w:val="715"/>
              </w:numPr>
              <w:spacing w:before="0" w:after="240"/>
              <w:ind w:hanging="290"/>
              <w:jc w:val="left"/>
              <w:rPr>
                <w:szCs w:val="24"/>
              </w:rPr>
            </w:pPr>
            <w:r w:rsidRPr="005C3B55">
              <w:rPr>
                <w:szCs w:val="24"/>
              </w:rPr>
              <w:t>review of the agricultural holding.</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Information that relates specifically to the operation</w:t>
      </w:r>
    </w:p>
    <w:p w:rsidR="00F555D6" w:rsidRPr="005C3B55" w:rsidRDefault="00F555D6" w:rsidP="00F555D6">
      <w:pPr>
        <w:spacing w:line="280" w:lineRule="auto"/>
        <w:rPr>
          <w:szCs w:val="24"/>
        </w:rPr>
      </w:pPr>
      <w:r w:rsidRPr="005C3B55">
        <w:rPr>
          <w:szCs w:val="24"/>
        </w:rPr>
        <w:t>Definition and identification of the relevant basic elements; this should include the relevant mandatory standards determined in accordance with Chapter I of Title VI of Regulation (EU) No 1306/2013 of the European Parliament and of the Council, relevant criteria and minimum activities determined in accordance with points (c)(ii) and (c)(iii) of the first paragraph of Article 4 of Regulation (EU) No 1307/2013 of the European Parliament and of the Council, relevant minimum requirements for the use of organic fertilisers and plant protection products and relevant mandatory requirements determined by national law</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 xml:space="preserve">Described in the chapter </w:t>
            </w:r>
            <w:r w:rsidRPr="005C3B55">
              <w:rPr>
                <w:i/>
                <w:szCs w:val="24"/>
              </w:rPr>
              <w:t>Agri-environment-climate commitments</w:t>
            </w:r>
            <w:r w:rsidRPr="005C3B55">
              <w:rPr>
                <w:szCs w:val="24"/>
              </w:rPr>
              <w:t>.</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 xml:space="preserve">Minimum requirements for fertilisers must include, inter alia, the Codes of Good Practice introduced under Directive 91/676/EEC for farms outside Nitrate Vulnerable Zones, and requirements concerning phosphorous pollution; minimum requirements for plant protection products use must include, </w:t>
      </w:r>
      <w:r w:rsidRPr="005C3B55">
        <w:rPr>
          <w:i/>
          <w:szCs w:val="24"/>
        </w:rPr>
        <w:t>inter alia</w:t>
      </w:r>
      <w:r w:rsidRPr="005C3B55">
        <w:rPr>
          <w:szCs w:val="24"/>
        </w:rPr>
        <w:t>, general principles for integrated pest management introduced with Directive 2009/128/EC, requirements to have a licence to use the products and meet training obligations, requirements on safe storage, the checking of application machinery and rules on pesticide use close to water and other sensitive sites, as established by national legislation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 xml:space="preserve">Described in the chapter </w:t>
            </w:r>
            <w:r w:rsidRPr="005C3B55">
              <w:rPr>
                <w:i/>
                <w:szCs w:val="24"/>
              </w:rPr>
              <w:t>Agri-environment-climate commitments</w:t>
            </w:r>
            <w:r w:rsidRPr="005C3B55">
              <w:rPr>
                <w:szCs w:val="24"/>
              </w:rPr>
              <w:t>.</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List of local breeds in danger of being lost to farming and for plant genetic resources under threat of genetic erosion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Not relevant.</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The description of the methodology and of the agronomic assumptions and parameters, including the description of the baseline requirements as stated in Article 29(2) of Regulation (EU) No 1305/2013, which are relevant for each particular type of commitment used as reference point for the calculations which justify: additional costs and lost revenue due to the assumed commitment and the amount of transaction costs; where necessary, the methodology takes into account the support granted under Regulation (EU) No 1307/2013, including payments for agricultural practices that favourably affect the climate and environment, in order to prevent the possibility of dual financing; where appropriate, the conversion method used for other units in accordance with Article 9 of this Regulation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The calculation of the amount of payments for individual mandatory requirements within the operation ‘Water sources’ observes:</w:t>
            </w:r>
          </w:p>
          <w:p w:rsidR="00F555D6" w:rsidRPr="005C3B55" w:rsidRDefault="00F555D6" w:rsidP="00F555D6">
            <w:pPr>
              <w:spacing w:before="240" w:after="240" w:line="280" w:lineRule="auto"/>
              <w:rPr>
                <w:szCs w:val="24"/>
              </w:rPr>
            </w:pPr>
            <w:r w:rsidRPr="005C3B55">
              <w:rPr>
                <w:b/>
                <w:szCs w:val="24"/>
              </w:rPr>
              <w:t>A. Mandatory requirements</w:t>
            </w:r>
          </w:p>
          <w:p w:rsidR="00F555D6" w:rsidRPr="005C3B55" w:rsidRDefault="00F555D6" w:rsidP="00F555D6">
            <w:pPr>
              <w:spacing w:before="240" w:after="240" w:line="280" w:lineRule="auto"/>
              <w:rPr>
                <w:szCs w:val="24"/>
              </w:rPr>
            </w:pPr>
            <w:r w:rsidRPr="005C3B55">
              <w:rPr>
                <w:szCs w:val="24"/>
              </w:rPr>
              <w:t>VOD_ZEL: The calculation observes additional costs relating to sowing plants for greening and income lost due to 2% lower production of maize as the result of problems preparing soil after greening with overwintering crops in spring (observed 40% share of maize in crop rotation). The costs include the costs of mechanical services, which include sowing with a stubble cultivator and seeder, rolling of crops after sowing, costs of domestic work relating to implementing domestic mechanical services and the costs of seeds of plants envisaged for greening. The mulching of catch crops is also observed for greening, whereby harvesting of catch crops is not anticipated. Fertilisation as per the expected use of main nutrients is taken into account for catch crops intended for harvesting (e.g. Landsberger mixture). The value of nutrients of crops which are not harvested and which represent fertilisation value for subsequent crops is deducted.</w:t>
            </w:r>
          </w:p>
          <w:p w:rsidR="00F555D6" w:rsidRPr="005C3B55" w:rsidRDefault="00F555D6" w:rsidP="00F555D6">
            <w:pPr>
              <w:spacing w:before="240" w:after="240" w:line="280" w:lineRule="auto"/>
              <w:rPr>
                <w:szCs w:val="24"/>
              </w:rPr>
            </w:pPr>
            <w:r w:rsidRPr="005C3B55">
              <w:rPr>
                <w:szCs w:val="24"/>
              </w:rPr>
              <w:t>VOD_FFSV: Standard agricultural practice permits the use of all registered plant protection products in Slovenia in accordance with the regulations governing the use of plant protection products. Plant protection products which contain active substances whose application is prohibited in the narrowest water protection areas may not be used in the requirement of agricultural production. The calculation includes the costs of implementing additional mechanical measures for weeding whose application is extended due to the inability to use plant protection products from the list.</w:t>
            </w:r>
          </w:p>
          <w:p w:rsidR="00F555D6" w:rsidRPr="005C3B55" w:rsidRDefault="00F555D6" w:rsidP="00F555D6">
            <w:pPr>
              <w:spacing w:before="240" w:after="240" w:line="280" w:lineRule="auto"/>
              <w:rPr>
                <w:szCs w:val="24"/>
              </w:rPr>
            </w:pPr>
            <w:r w:rsidRPr="005C3B55">
              <w:rPr>
                <w:b/>
                <w:szCs w:val="24"/>
              </w:rPr>
              <w:t>B. Optional requirements</w:t>
            </w:r>
          </w:p>
          <w:p w:rsidR="00F555D6" w:rsidRPr="005C3B55" w:rsidRDefault="00F555D6" w:rsidP="00F555D6">
            <w:pPr>
              <w:spacing w:before="240" w:after="240" w:line="280" w:lineRule="auto"/>
              <w:rPr>
                <w:szCs w:val="24"/>
              </w:rPr>
            </w:pPr>
            <w:r w:rsidRPr="005C3B55">
              <w:rPr>
                <w:szCs w:val="24"/>
              </w:rPr>
              <w:t>VOD_NEP: The calculation includes additional costs relating to the sowing of plants for greening. The costs include the costs of mechanical services which include the costs of sowing with stubble cultivator and seeder, rolling of crop after sowing and mulching, the costs of domestic work relating to the implementation of domestic mechanical services and the costs of seeds of plants envisaged for greening. During the implementation of the requirement, the use of mineral nitrogen fertilisers is not permitted. The value of nutrients of crops which are not harvested and which represent fertilisation value for subsequent crops is deducted.</w:t>
            </w:r>
          </w:p>
          <w:p w:rsidR="00F555D6" w:rsidRPr="005C3B55" w:rsidRDefault="00F555D6" w:rsidP="00F555D6">
            <w:pPr>
              <w:spacing w:before="240" w:after="240" w:line="280" w:lineRule="auto"/>
              <w:rPr>
                <w:szCs w:val="24"/>
              </w:rPr>
            </w:pPr>
            <w:r w:rsidRPr="005C3B55">
              <w:rPr>
                <w:szCs w:val="24"/>
              </w:rPr>
              <w:t>VOD_POD: In standard agricultural practice, sowing plants for green manure is not widespread. The calculation includes additional costs relating to the sowing of plants for green manure. The costs include the costs of mechanical services, which include the preparation of soil and sowing with stubble cultivator and seeder, mulching and ploughing, costs of domestic work relating to implementing mechanical services and the costs of seeds of plants envisaged for green manure. The average nutrient value of ploughed-in organic matter which represent fertilisation value for subsequent crops is deducted from the calculation.</w:t>
            </w:r>
          </w:p>
          <w:p w:rsidR="00F555D6" w:rsidRPr="005C3B55" w:rsidRDefault="00F555D6" w:rsidP="00F555D6">
            <w:pPr>
              <w:spacing w:before="240" w:after="240" w:line="280" w:lineRule="auto"/>
              <w:rPr>
                <w:szCs w:val="24"/>
              </w:rPr>
            </w:pPr>
            <w:r w:rsidRPr="005C3B55">
              <w:rPr>
                <w:szCs w:val="24"/>
              </w:rPr>
              <w:t> </w:t>
            </w:r>
          </w:p>
          <w:p w:rsidR="00F555D6" w:rsidRPr="005C3B55" w:rsidRDefault="00F555D6" w:rsidP="00F555D6">
            <w:pPr>
              <w:pStyle w:val="Telobesedila"/>
              <w:rPr>
                <w:szCs w:val="24"/>
              </w:rPr>
            </w:pPr>
          </w:p>
        </w:tc>
      </w:tr>
    </w:tbl>
    <w:p w:rsidR="00F555D6" w:rsidRPr="005C3B55" w:rsidRDefault="00F555D6" w:rsidP="00F555D6">
      <w:pPr>
        <w:pStyle w:val="Naslov7"/>
        <w:tabs>
          <w:tab w:val="clear" w:pos="765"/>
        </w:tabs>
        <w:ind w:left="0" w:firstLine="0"/>
        <w:rPr>
          <w:szCs w:val="24"/>
          <w:lang w:val="en-GB"/>
        </w:rPr>
      </w:pPr>
      <w:r w:rsidRPr="005C3B55">
        <w:rPr>
          <w:noProof w:val="0"/>
          <w:szCs w:val="24"/>
          <w:lang w:val="en-GB"/>
        </w:rPr>
        <w:t>Agri-environment-climate commitments</w:t>
      </w:r>
    </w:p>
    <w:p w:rsidR="00F555D6" w:rsidRPr="005C3B55" w:rsidRDefault="00F555D6" w:rsidP="00F555D6">
      <w:pPr>
        <w:pStyle w:val="Naslov8"/>
        <w:tabs>
          <w:tab w:val="clear" w:pos="765"/>
        </w:tabs>
        <w:ind w:left="0" w:firstLine="0"/>
        <w:rPr>
          <w:b w:val="0"/>
          <w:szCs w:val="24"/>
          <w:lang w:val="en-GB"/>
        </w:rPr>
      </w:pPr>
      <w:r w:rsidRPr="005C3B55">
        <w:rPr>
          <w:b w:val="0"/>
          <w:noProof w:val="0"/>
          <w:szCs w:val="24"/>
          <w:lang w:val="en-GB"/>
        </w:rPr>
        <w:t>VOD_FFSV:</w:t>
      </w:r>
      <w:r w:rsidRPr="005C3B55">
        <w:rPr>
          <w:b w:val="0"/>
          <w:szCs w:val="24"/>
          <w:lang w:val="en-GB"/>
        </w:rPr>
        <w:t xml:space="preserve"> </w:t>
      </w:r>
      <w:r w:rsidRPr="005C3B55">
        <w:rPr>
          <w:b w:val="0"/>
          <w:noProof w:val="0"/>
          <w:szCs w:val="24"/>
          <w:lang w:val="en-GB"/>
        </w:rPr>
        <w:t>Use of only plant protection products which were approved for the narrowest water protection areas</w:t>
      </w:r>
    </w:p>
    <w:p w:rsidR="00F555D6" w:rsidRPr="005C3B55" w:rsidRDefault="00F555D6" w:rsidP="00F555D6">
      <w:pPr>
        <w:pStyle w:val="Naslov9"/>
        <w:tabs>
          <w:tab w:val="clear" w:pos="765"/>
        </w:tabs>
        <w:ind w:left="0" w:firstLine="0"/>
        <w:rPr>
          <w:szCs w:val="24"/>
          <w:lang w:val="en-GB"/>
        </w:rPr>
      </w:pPr>
      <w:r w:rsidRPr="005C3B55">
        <w:rPr>
          <w:noProof w:val="0"/>
          <w:szCs w:val="24"/>
          <w:lang w:val="en-GB"/>
        </w:rPr>
        <w:t>Starting Point</w:t>
      </w:r>
    </w:p>
    <w:p w:rsidR="00F555D6" w:rsidRPr="005C3B55" w:rsidRDefault="00F555D6" w:rsidP="00F555D6">
      <w:pPr>
        <w:spacing w:line="280" w:lineRule="auto"/>
        <w:rPr>
          <w:szCs w:val="24"/>
        </w:rPr>
      </w:pPr>
      <w:r w:rsidRPr="005C3B55">
        <w:rPr>
          <w:szCs w:val="24"/>
        </w:rPr>
        <w:t>Suitable good agricultural and environmental conditions and/or prescribed management requirements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716"/>
              </w:numPr>
              <w:spacing w:before="0" w:after="240"/>
              <w:ind w:hanging="290"/>
              <w:jc w:val="left"/>
              <w:rPr>
                <w:szCs w:val="24"/>
              </w:rPr>
            </w:pPr>
            <w:r w:rsidRPr="005C3B55">
              <w:rPr>
                <w:szCs w:val="24"/>
              </w:rPr>
              <w:t>Regulation on cross-compliance, Annex 1: Rules on cross-compliance, SMR 10: Proper use of plant protection products: Only registered plant protection products or products for which an exceptional permit, a permit for extended use in the Republic of Slovenia, or a permit for placing on the market identical plant protection products from other EU Member States has been issued may be used. Registered plant protection products must be used correctly in accordance with the instructions stated on the label or with data included in the permission to use the product.</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Minimum requirements for the use of fertilisers and plant protection products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717"/>
              </w:numPr>
              <w:spacing w:before="0" w:after="0"/>
              <w:ind w:hanging="290"/>
              <w:jc w:val="left"/>
              <w:rPr>
                <w:szCs w:val="24"/>
              </w:rPr>
            </w:pPr>
            <w:r w:rsidRPr="005C3B55">
              <w:rPr>
                <w:szCs w:val="24"/>
              </w:rPr>
              <w:t>Minimum requirements for the use of fertilisers refer to the keeping of records on the use of livestock and mineral fertilisers which an agricultural holding has to keep for all agricultural land plots at the agricultural holding, and which has to include at least the quantity and type of livestock manure and mineral fertiliser, time of fertilising and data on the surface where these fertilisers are used.</w:t>
            </w:r>
          </w:p>
          <w:p w:rsidR="00F555D6" w:rsidRPr="005C3B55" w:rsidRDefault="00F555D6" w:rsidP="00F555D6">
            <w:pPr>
              <w:numPr>
                <w:ilvl w:val="0"/>
                <w:numId w:val="717"/>
              </w:numPr>
              <w:spacing w:before="0" w:after="240"/>
              <w:ind w:hanging="290"/>
              <w:jc w:val="left"/>
              <w:rPr>
                <w:szCs w:val="24"/>
              </w:rPr>
            </w:pPr>
            <w:r w:rsidRPr="005C3B55">
              <w:rPr>
                <w:szCs w:val="24"/>
              </w:rPr>
              <w:t>Minimum requirements for the use of plant protection products are not determined, since the requirements relating to the use of these products are standardised and are included in the requirements of cross-compliance.</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Other relevant national/regional requirements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718"/>
              </w:numPr>
              <w:spacing w:before="0" w:after="0"/>
              <w:ind w:hanging="290"/>
              <w:jc w:val="left"/>
              <w:rPr>
                <w:szCs w:val="24"/>
              </w:rPr>
            </w:pPr>
            <w:r w:rsidRPr="005C3B55">
              <w:rPr>
                <w:szCs w:val="24"/>
              </w:rPr>
              <w:t>Decree on the water protection zone for the aquifer of Ljubljansko polje (Official Gazette of the Republic of Slovenia, no. 120/04 with all amendments).</w:t>
            </w:r>
          </w:p>
          <w:p w:rsidR="00F555D6" w:rsidRPr="005C3B55" w:rsidRDefault="00F555D6" w:rsidP="00F555D6">
            <w:pPr>
              <w:numPr>
                <w:ilvl w:val="0"/>
                <w:numId w:val="718"/>
              </w:numPr>
              <w:spacing w:before="0" w:after="0"/>
              <w:ind w:hanging="290"/>
              <w:jc w:val="left"/>
              <w:rPr>
                <w:szCs w:val="24"/>
              </w:rPr>
            </w:pPr>
            <w:r w:rsidRPr="005C3B55">
              <w:rPr>
                <w:szCs w:val="24"/>
              </w:rPr>
              <w:t>Decree on the water protection zone for the aquifer of Selniška dobrava (Official Gazette of the Republic of Slovenia, no. 72/06 with all amendments);</w:t>
            </w:r>
          </w:p>
          <w:p w:rsidR="00F555D6" w:rsidRPr="005C3B55" w:rsidRDefault="00F555D6" w:rsidP="00F555D6">
            <w:pPr>
              <w:numPr>
                <w:ilvl w:val="0"/>
                <w:numId w:val="718"/>
              </w:numPr>
              <w:spacing w:before="0" w:after="0"/>
              <w:ind w:hanging="290"/>
              <w:jc w:val="left"/>
              <w:rPr>
                <w:szCs w:val="24"/>
              </w:rPr>
            </w:pPr>
            <w:r w:rsidRPr="005C3B55">
              <w:rPr>
                <w:szCs w:val="24"/>
              </w:rPr>
              <w:t>Decree on water protection area for the body of water of aquifers Ruše, Vrbanski plato, Limbuška dobrava and Dravsko polje (Official Gazette of the Republic of Slovenia, no. 24/07 with all amendments);</w:t>
            </w:r>
          </w:p>
          <w:p w:rsidR="00F555D6" w:rsidRPr="005C3B55" w:rsidRDefault="00F555D6" w:rsidP="00F555D6">
            <w:pPr>
              <w:numPr>
                <w:ilvl w:val="0"/>
                <w:numId w:val="718"/>
              </w:numPr>
              <w:spacing w:before="0" w:after="0"/>
              <w:ind w:hanging="290"/>
              <w:jc w:val="left"/>
              <w:rPr>
                <w:szCs w:val="24"/>
              </w:rPr>
            </w:pPr>
            <w:r w:rsidRPr="005C3B55">
              <w:rPr>
                <w:szCs w:val="24"/>
              </w:rPr>
              <w:t>Decree on the water protection zone for the aquifer of Dravsko–Ptujsko polje (Official Gazette of the Republic of Slovenia, no. 59/07 with all amendments);</w:t>
            </w:r>
          </w:p>
          <w:p w:rsidR="00F555D6" w:rsidRPr="005C3B55" w:rsidRDefault="00F555D6" w:rsidP="00F555D6">
            <w:pPr>
              <w:numPr>
                <w:ilvl w:val="0"/>
                <w:numId w:val="718"/>
              </w:numPr>
              <w:spacing w:before="0" w:after="0"/>
              <w:ind w:hanging="290"/>
              <w:jc w:val="left"/>
              <w:rPr>
                <w:szCs w:val="24"/>
              </w:rPr>
            </w:pPr>
            <w:r w:rsidRPr="005C3B55">
              <w:rPr>
                <w:szCs w:val="24"/>
              </w:rPr>
              <w:t>Decree on the water protection zone for the aquifer of Apaško polje (Official Gazette of the Republic of Slovenia, no. 59/07 with all amendments);</w:t>
            </w:r>
          </w:p>
          <w:p w:rsidR="00F555D6" w:rsidRPr="005C3B55" w:rsidRDefault="00F555D6" w:rsidP="00F555D6">
            <w:pPr>
              <w:numPr>
                <w:ilvl w:val="0"/>
                <w:numId w:val="718"/>
              </w:numPr>
              <w:spacing w:before="0" w:after="0"/>
              <w:ind w:hanging="290"/>
              <w:jc w:val="left"/>
              <w:rPr>
                <w:szCs w:val="24"/>
              </w:rPr>
            </w:pPr>
            <w:r w:rsidRPr="005C3B55">
              <w:rPr>
                <w:szCs w:val="24"/>
              </w:rPr>
              <w:t>Decree on the water protection zone for the aquifer of Ljubljansko barje and Ljubljana surroundings (Official Gazette of the Republic of Slovenia, no. 115/07 with all amendments);</w:t>
            </w:r>
          </w:p>
          <w:p w:rsidR="00F555D6" w:rsidRPr="005C3B55" w:rsidRDefault="00F555D6" w:rsidP="00F555D6">
            <w:pPr>
              <w:numPr>
                <w:ilvl w:val="0"/>
                <w:numId w:val="718"/>
              </w:numPr>
              <w:spacing w:before="0" w:after="0"/>
              <w:ind w:hanging="290"/>
              <w:jc w:val="left"/>
              <w:rPr>
                <w:szCs w:val="24"/>
              </w:rPr>
            </w:pPr>
            <w:r w:rsidRPr="005C3B55">
              <w:rPr>
                <w:szCs w:val="24"/>
              </w:rPr>
              <w:t>Decree on the water protection area for the aquifers of Rižana (Official Gazette of the Republic of Slovenia, no. 49/08 with amendments).</w:t>
            </w:r>
          </w:p>
          <w:p w:rsidR="00F555D6" w:rsidRPr="005C3B55" w:rsidRDefault="00F555D6" w:rsidP="00F555D6">
            <w:pPr>
              <w:numPr>
                <w:ilvl w:val="0"/>
                <w:numId w:val="718"/>
              </w:numPr>
              <w:spacing w:before="0" w:after="0"/>
              <w:ind w:hanging="290"/>
              <w:jc w:val="left"/>
              <w:rPr>
                <w:szCs w:val="24"/>
              </w:rPr>
            </w:pPr>
            <w:r w:rsidRPr="005C3B55">
              <w:rPr>
                <w:szCs w:val="24"/>
              </w:rPr>
              <w:t>Decree on the water protection area for aquifers of the municipalities of Šmartno ob Paki, Polzela and Braslovče (Official Gazette of the Republic of Slovenia, no. 98/11 with all amendments);</w:t>
            </w:r>
          </w:p>
          <w:p w:rsidR="00F555D6" w:rsidRPr="005C3B55" w:rsidRDefault="00F555D6" w:rsidP="00F555D6">
            <w:pPr>
              <w:numPr>
                <w:ilvl w:val="0"/>
                <w:numId w:val="718"/>
              </w:numPr>
              <w:spacing w:before="0" w:after="0"/>
              <w:ind w:hanging="290"/>
              <w:jc w:val="left"/>
              <w:rPr>
                <w:szCs w:val="24"/>
              </w:rPr>
            </w:pPr>
            <w:r w:rsidRPr="005C3B55">
              <w:rPr>
                <w:szCs w:val="24"/>
              </w:rPr>
              <w:t>Decree on the water protection area for the aquifers of the Municipality of Jezersko (Official Gazette of the Republic of Slovenia, no. 24/12);</w:t>
            </w:r>
          </w:p>
          <w:p w:rsidR="00F555D6" w:rsidRPr="005C3B55" w:rsidRDefault="00F555D6" w:rsidP="00F555D6">
            <w:pPr>
              <w:numPr>
                <w:ilvl w:val="0"/>
                <w:numId w:val="718"/>
              </w:numPr>
              <w:spacing w:before="0" w:after="240"/>
              <w:ind w:hanging="290"/>
              <w:jc w:val="left"/>
              <w:rPr>
                <w:szCs w:val="24"/>
              </w:rPr>
            </w:pPr>
            <w:r w:rsidRPr="005C3B55">
              <w:rPr>
                <w:szCs w:val="24"/>
              </w:rPr>
              <w:t>Decree on the water protection area for the aquifers of the Municipality of Jesenice (Official Gazette of the Republic of Slovenia, no. 62/13).</w:t>
            </w:r>
          </w:p>
          <w:p w:rsidR="00F555D6" w:rsidRPr="005C3B55" w:rsidRDefault="00F555D6" w:rsidP="00F555D6">
            <w:pPr>
              <w:spacing w:before="240" w:after="240" w:line="280" w:lineRule="auto"/>
              <w:rPr>
                <w:szCs w:val="24"/>
              </w:rPr>
            </w:pPr>
            <w:r w:rsidRPr="005C3B55">
              <w:rPr>
                <w:szCs w:val="24"/>
              </w:rPr>
              <w:t>Only certain plant protection products (active substances) may be used.</w:t>
            </w:r>
          </w:p>
          <w:p w:rsidR="00F555D6" w:rsidRPr="005C3B55" w:rsidRDefault="00F555D6" w:rsidP="00F555D6">
            <w:pPr>
              <w:numPr>
                <w:ilvl w:val="0"/>
                <w:numId w:val="719"/>
              </w:numPr>
              <w:spacing w:before="240" w:after="240"/>
              <w:ind w:hanging="290"/>
              <w:jc w:val="left"/>
              <w:rPr>
                <w:szCs w:val="24"/>
              </w:rPr>
            </w:pPr>
            <w:r w:rsidRPr="005C3B55">
              <w:rPr>
                <w:szCs w:val="24"/>
              </w:rPr>
              <w:t xml:space="preserve">Rules on integrated pest management (Official Gazette of the Republic of Slovenia, no. 43/14): Pursuant to Article 6, the user may use plant protection products for professional application when he estimates that low-risk methods of plant protection may not attain a sufficient effect in controlling harmful organisms. When applying plant protection products for professional use, the rules and code of ethics of the producer need to be observed in terms of the use of plant protection products in order to prevent the development of resistance of harmful organisms or weeds against the plant protection products. Also, all prescribed warnings, particularly warnings on protection areas alongside waters, the protection of bees and other non-target organisms need to be observed, as well as warnings on the limited application stated on the label and instructions for the use of plant protection products and in terms of the application of personal protection equipment during treatments. </w:t>
            </w:r>
          </w:p>
          <w:p w:rsidR="00F555D6" w:rsidRPr="005C3B55" w:rsidRDefault="00F555D6" w:rsidP="00F555D6">
            <w:pPr>
              <w:spacing w:before="240" w:after="240" w:line="280" w:lineRule="auto"/>
              <w:rPr>
                <w:szCs w:val="24"/>
              </w:rPr>
            </w:pPr>
            <w:r w:rsidRPr="005C3B55">
              <w:rPr>
                <w:szCs w:val="24"/>
              </w:rPr>
              <w:t> </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Minimum activities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720"/>
              </w:numPr>
              <w:spacing w:before="0" w:after="240"/>
              <w:ind w:hanging="290"/>
              <w:jc w:val="left"/>
              <w:rPr>
                <w:szCs w:val="24"/>
              </w:rPr>
            </w:pPr>
            <w:r w:rsidRPr="005C3B55">
              <w:rPr>
                <w:szCs w:val="24"/>
              </w:rPr>
              <w:t>Not relevant.</w:t>
            </w:r>
          </w:p>
          <w:p w:rsidR="00F555D6" w:rsidRPr="005C3B55" w:rsidRDefault="00F555D6" w:rsidP="00F555D6">
            <w:pPr>
              <w:pStyle w:val="Telobesedila"/>
              <w:rPr>
                <w:szCs w:val="24"/>
              </w:rPr>
            </w:pPr>
          </w:p>
        </w:tc>
      </w:tr>
    </w:tbl>
    <w:p w:rsidR="00F555D6" w:rsidRPr="005C3B55" w:rsidRDefault="00F555D6" w:rsidP="00F555D6">
      <w:pPr>
        <w:pStyle w:val="Naslov9"/>
        <w:tabs>
          <w:tab w:val="clear" w:pos="765"/>
        </w:tabs>
        <w:ind w:left="0" w:firstLine="0"/>
        <w:rPr>
          <w:szCs w:val="24"/>
          <w:lang w:val="en-GB"/>
        </w:rPr>
      </w:pPr>
      <w:r w:rsidRPr="005C3B55">
        <w:rPr>
          <w:noProof w:val="0"/>
          <w:szCs w:val="24"/>
          <w:lang w:val="en-GB"/>
        </w:rPr>
        <w:t>Relevant standard agricultural practices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Registered plant protection products are used in standard agricultural practice to control harmful organisms.</w:t>
            </w:r>
          </w:p>
          <w:p w:rsidR="00F555D6" w:rsidRPr="005C3B55" w:rsidRDefault="00F555D6" w:rsidP="00F555D6">
            <w:pPr>
              <w:pStyle w:val="Telobesedila"/>
              <w:rPr>
                <w:szCs w:val="24"/>
              </w:rPr>
            </w:pPr>
          </w:p>
        </w:tc>
      </w:tr>
    </w:tbl>
    <w:p w:rsidR="00F555D6" w:rsidRPr="005C3B55" w:rsidRDefault="00F555D6" w:rsidP="00F555D6">
      <w:pPr>
        <w:pStyle w:val="Naslov8"/>
        <w:tabs>
          <w:tab w:val="clear" w:pos="765"/>
        </w:tabs>
        <w:ind w:left="0" w:firstLine="0"/>
        <w:rPr>
          <w:b w:val="0"/>
          <w:szCs w:val="24"/>
          <w:lang w:val="en-GB"/>
        </w:rPr>
      </w:pPr>
      <w:r w:rsidRPr="005C3B55">
        <w:rPr>
          <w:b w:val="0"/>
          <w:noProof w:val="0"/>
          <w:szCs w:val="24"/>
          <w:lang w:val="en-GB"/>
        </w:rPr>
        <w:t>VOD_NEP:</w:t>
      </w:r>
      <w:r w:rsidRPr="005C3B55">
        <w:rPr>
          <w:b w:val="0"/>
          <w:szCs w:val="24"/>
          <w:lang w:val="en-GB"/>
        </w:rPr>
        <w:t xml:space="preserve"> </w:t>
      </w:r>
      <w:r w:rsidRPr="005C3B55">
        <w:rPr>
          <w:b w:val="0"/>
          <w:noProof w:val="0"/>
          <w:szCs w:val="24"/>
          <w:lang w:val="en-GB"/>
        </w:rPr>
        <w:t>Non-overwintering honey crops</w:t>
      </w:r>
    </w:p>
    <w:p w:rsidR="00F555D6" w:rsidRPr="005C3B55" w:rsidRDefault="00F555D6" w:rsidP="00F555D6">
      <w:pPr>
        <w:pStyle w:val="Naslov9"/>
        <w:tabs>
          <w:tab w:val="clear" w:pos="765"/>
        </w:tabs>
        <w:ind w:left="0" w:firstLine="0"/>
        <w:rPr>
          <w:szCs w:val="24"/>
          <w:lang w:val="en-GB"/>
        </w:rPr>
      </w:pPr>
      <w:r w:rsidRPr="005C3B55">
        <w:rPr>
          <w:noProof w:val="0"/>
          <w:szCs w:val="24"/>
          <w:lang w:val="en-GB"/>
        </w:rPr>
        <w:t>Starting Point</w:t>
      </w:r>
    </w:p>
    <w:p w:rsidR="00F555D6" w:rsidRPr="005C3B55" w:rsidRDefault="00F555D6" w:rsidP="00F555D6">
      <w:pPr>
        <w:spacing w:line="280" w:lineRule="auto"/>
        <w:rPr>
          <w:szCs w:val="24"/>
        </w:rPr>
      </w:pPr>
      <w:r w:rsidRPr="005C3B55">
        <w:rPr>
          <w:szCs w:val="24"/>
        </w:rPr>
        <w:t>Suitable good agricultural and environmental conditions and/or prescribed management requirements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721"/>
              </w:numPr>
              <w:spacing w:before="0" w:after="240"/>
              <w:ind w:hanging="290"/>
              <w:jc w:val="left"/>
              <w:rPr>
                <w:szCs w:val="24"/>
              </w:rPr>
            </w:pPr>
            <w:r w:rsidRPr="005C3B55">
              <w:rPr>
                <w:szCs w:val="24"/>
              </w:rPr>
              <w:t>Regulation on cross-compliance, Annex 1: Rules on cross-compliance, GAEC 4:  Minimum soil cover: Soil cover on agricultural land is maintained as per standard agricultural methods. Covering soil with plants, stubble or mulches in the vegetation period ensures a sufficent supply of carbon in the soil and prevents erosion.</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Minimum requirements for the use of fertilisers and plant protection products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722"/>
              </w:numPr>
              <w:spacing w:before="0" w:after="0"/>
              <w:ind w:hanging="290"/>
              <w:jc w:val="left"/>
              <w:rPr>
                <w:szCs w:val="24"/>
              </w:rPr>
            </w:pPr>
            <w:r w:rsidRPr="005C3B55">
              <w:rPr>
                <w:szCs w:val="24"/>
              </w:rPr>
              <w:t>Minimum requirements for the use of fertilisers refer to the keeping of records on the use of livestock and mineral fertilisers which an agricultural holding has to keep for all agricultural land plots at the agricultural holding, and which has to include at least the quantity and type of livestock manure and mineral fertiliser, time of fertilising and data on the surface where these fertilisers are used.</w:t>
            </w:r>
          </w:p>
          <w:p w:rsidR="00F555D6" w:rsidRPr="005C3B55" w:rsidRDefault="00F555D6" w:rsidP="00F555D6">
            <w:pPr>
              <w:numPr>
                <w:ilvl w:val="0"/>
                <w:numId w:val="722"/>
              </w:numPr>
              <w:spacing w:before="0" w:after="240"/>
              <w:ind w:hanging="290"/>
              <w:jc w:val="left"/>
              <w:rPr>
                <w:szCs w:val="24"/>
              </w:rPr>
            </w:pPr>
            <w:r w:rsidRPr="005C3B55">
              <w:rPr>
                <w:szCs w:val="24"/>
              </w:rPr>
              <w:t>Minimum requirements for the use of plant protection products are not determined, since the requirements relating to the use of these products are standardised and are included in the requirements of cross-compliance.</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Other relevant national/regional requirements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723"/>
              </w:numPr>
              <w:spacing w:before="0" w:after="0"/>
              <w:ind w:hanging="290"/>
              <w:jc w:val="left"/>
              <w:rPr>
                <w:szCs w:val="24"/>
              </w:rPr>
            </w:pPr>
            <w:r w:rsidRPr="005C3B55">
              <w:rPr>
                <w:szCs w:val="24"/>
              </w:rPr>
              <w:t xml:space="preserve">Regulation on direct payments schemes for the period 2015-2020: Within the green component, agricultural holdings with more than 15 ha of arable land have to provide ecological focus areas (EFA) over a minimum 5% of field surfaces as part of agricultural practices with favourable effects on climate and the environment.  EFAs are provided with surfaces with: </w:t>
            </w:r>
          </w:p>
          <w:p w:rsidR="00F555D6" w:rsidRPr="005C3B55" w:rsidRDefault="00F555D6" w:rsidP="00F555D6">
            <w:pPr>
              <w:numPr>
                <w:ilvl w:val="1"/>
                <w:numId w:val="723"/>
              </w:numPr>
              <w:spacing w:before="0" w:after="0"/>
              <w:ind w:hanging="324"/>
              <w:jc w:val="left"/>
              <w:rPr>
                <w:szCs w:val="24"/>
              </w:rPr>
            </w:pPr>
            <w:r w:rsidRPr="005C3B55">
              <w:rPr>
                <w:szCs w:val="24"/>
              </w:rPr>
              <w:t>successive crops or grass catch crops. The sowing of successive crops or grass catch crops has to be done between 1 June and 1 September of the current year, whereby soil cover has to be ensured from 15 September of the current year to at least 16 October of the current year.</w:t>
            </w:r>
          </w:p>
          <w:p w:rsidR="00F555D6" w:rsidRPr="005C3B55" w:rsidRDefault="00F555D6" w:rsidP="00F555D6">
            <w:pPr>
              <w:numPr>
                <w:ilvl w:val="1"/>
                <w:numId w:val="723"/>
              </w:numPr>
              <w:spacing w:before="0" w:after="240"/>
              <w:ind w:hanging="324"/>
              <w:jc w:val="left"/>
              <w:rPr>
                <w:szCs w:val="24"/>
              </w:rPr>
            </w:pPr>
            <w:r w:rsidRPr="005C3B55">
              <w:rPr>
                <w:szCs w:val="24"/>
              </w:rPr>
              <w:t>agricultural plants fixing nitrogen. These crops are as follows: field bean, bean, soya bean, common vetch, lupin, birdsfoot, field pea, lucerne or clover. These plants have to be present on the agricultural land from 7 May until their technological ripeness or until 30 September of the current year.</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Minimum activities</w:t>
      </w:r>
    </w:p>
    <w:p w:rsidR="00F555D6" w:rsidRPr="005C3B55" w:rsidRDefault="00F555D6" w:rsidP="00F555D6">
      <w:pPr>
        <w:spacing w:after="0"/>
        <w:rPr>
          <w:szCs w:val="24"/>
        </w:rPr>
      </w:pP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724"/>
              </w:numPr>
              <w:spacing w:before="0" w:after="240"/>
              <w:ind w:hanging="290"/>
              <w:jc w:val="left"/>
              <w:rPr>
                <w:szCs w:val="24"/>
              </w:rPr>
            </w:pPr>
            <w:r w:rsidRPr="005C3B55">
              <w:rPr>
                <w:szCs w:val="24"/>
              </w:rPr>
              <w:t>Not relevant.</w:t>
            </w:r>
            <w:r w:rsidRPr="005C3B55">
              <w:rPr>
                <w:szCs w:val="24"/>
              </w:rPr>
              <w:br/>
              <w:t> </w:t>
            </w:r>
          </w:p>
          <w:p w:rsidR="00F555D6" w:rsidRPr="005C3B55" w:rsidRDefault="00F555D6" w:rsidP="00F555D6">
            <w:pPr>
              <w:pStyle w:val="Telobesedila"/>
              <w:rPr>
                <w:szCs w:val="24"/>
              </w:rPr>
            </w:pPr>
          </w:p>
        </w:tc>
      </w:tr>
    </w:tbl>
    <w:p w:rsidR="00F555D6" w:rsidRPr="005C3B55" w:rsidRDefault="00F555D6" w:rsidP="00F555D6">
      <w:pPr>
        <w:pStyle w:val="Naslov9"/>
        <w:tabs>
          <w:tab w:val="clear" w:pos="765"/>
        </w:tabs>
        <w:ind w:left="0" w:firstLine="0"/>
        <w:rPr>
          <w:szCs w:val="24"/>
          <w:lang w:val="en-GB"/>
        </w:rPr>
      </w:pPr>
      <w:r w:rsidRPr="005C3B55">
        <w:rPr>
          <w:noProof w:val="0"/>
          <w:szCs w:val="24"/>
          <w:lang w:val="en-GB"/>
        </w:rPr>
        <w:t>Relevant standard agricultural practices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After the harvest of the main crop, the surface remains uncultivated until the next sowing and thus exposed to negative weather impacts (increased moisture evaporation) and the spread of weeds.</w:t>
            </w:r>
          </w:p>
          <w:p w:rsidR="00F555D6" w:rsidRPr="005C3B55" w:rsidRDefault="00F555D6" w:rsidP="00F555D6">
            <w:pPr>
              <w:pStyle w:val="Telobesedila"/>
              <w:rPr>
                <w:szCs w:val="24"/>
              </w:rPr>
            </w:pPr>
          </w:p>
        </w:tc>
      </w:tr>
    </w:tbl>
    <w:p w:rsidR="00F555D6" w:rsidRPr="005C3B55" w:rsidRDefault="00F555D6" w:rsidP="00F555D6">
      <w:pPr>
        <w:pStyle w:val="Naslov8"/>
        <w:tabs>
          <w:tab w:val="clear" w:pos="765"/>
        </w:tabs>
        <w:ind w:left="0" w:firstLine="0"/>
        <w:rPr>
          <w:b w:val="0"/>
          <w:szCs w:val="24"/>
          <w:lang w:val="en-GB"/>
        </w:rPr>
      </w:pPr>
      <w:r w:rsidRPr="005C3B55">
        <w:rPr>
          <w:b w:val="0"/>
          <w:noProof w:val="0"/>
          <w:szCs w:val="24"/>
          <w:lang w:val="en-GB"/>
        </w:rPr>
        <w:t>VOD_POD:</w:t>
      </w:r>
      <w:r w:rsidRPr="005C3B55">
        <w:rPr>
          <w:b w:val="0"/>
          <w:szCs w:val="24"/>
          <w:lang w:val="en-GB"/>
        </w:rPr>
        <w:t xml:space="preserve"> </w:t>
      </w:r>
      <w:r w:rsidRPr="005C3B55">
        <w:rPr>
          <w:b w:val="0"/>
          <w:noProof w:val="0"/>
          <w:szCs w:val="24"/>
          <w:lang w:val="en-GB"/>
        </w:rPr>
        <w:t>Sowing plants for green manure</w:t>
      </w:r>
    </w:p>
    <w:p w:rsidR="00F555D6" w:rsidRPr="005C3B55" w:rsidRDefault="00F555D6" w:rsidP="00F555D6">
      <w:pPr>
        <w:pStyle w:val="Naslov9"/>
        <w:tabs>
          <w:tab w:val="clear" w:pos="765"/>
        </w:tabs>
        <w:ind w:left="0" w:firstLine="0"/>
        <w:rPr>
          <w:szCs w:val="24"/>
          <w:lang w:val="en-GB"/>
        </w:rPr>
      </w:pPr>
      <w:r w:rsidRPr="005C3B55">
        <w:rPr>
          <w:noProof w:val="0"/>
          <w:szCs w:val="24"/>
          <w:lang w:val="en-GB"/>
        </w:rPr>
        <w:t>Starting Point</w:t>
      </w:r>
    </w:p>
    <w:p w:rsidR="00F555D6" w:rsidRPr="005C3B55" w:rsidRDefault="00F555D6" w:rsidP="00F555D6">
      <w:pPr>
        <w:spacing w:line="280" w:lineRule="auto"/>
        <w:rPr>
          <w:szCs w:val="24"/>
        </w:rPr>
      </w:pPr>
      <w:r w:rsidRPr="005C3B55">
        <w:rPr>
          <w:szCs w:val="24"/>
        </w:rPr>
        <w:t>Suitable good agricultural and environmental conditions and/or prescribed management requirements</w:t>
      </w:r>
    </w:p>
    <w:p w:rsidR="00F555D6" w:rsidRPr="005C3B55" w:rsidRDefault="00F555D6" w:rsidP="00F555D6">
      <w:pPr>
        <w:spacing w:after="0"/>
        <w:rPr>
          <w:szCs w:val="24"/>
        </w:rPr>
      </w:pP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725"/>
              </w:numPr>
              <w:spacing w:before="0" w:after="240"/>
              <w:ind w:hanging="290"/>
              <w:jc w:val="left"/>
              <w:rPr>
                <w:szCs w:val="24"/>
              </w:rPr>
            </w:pPr>
            <w:r w:rsidRPr="005C3B55">
              <w:rPr>
                <w:szCs w:val="24"/>
              </w:rPr>
              <w:t>Green manure is not prescribed in the Regulation on cross-compliance.</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Minimum requirements for the use of fertilisers and plant protection products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726"/>
              </w:numPr>
              <w:spacing w:before="0" w:after="0"/>
              <w:ind w:hanging="290"/>
              <w:jc w:val="left"/>
              <w:rPr>
                <w:szCs w:val="24"/>
              </w:rPr>
            </w:pPr>
            <w:r w:rsidRPr="005C3B55">
              <w:rPr>
                <w:szCs w:val="24"/>
              </w:rPr>
              <w:t>Minimum requirements for the use of fertilisers refer to the keeping of records on the use of livestock and mineral fertilisers which an agricultural holding has to keep for all agricultural land plots at the agricultural holding, and which has to include at least the quantity and type of livestock manure and mineral fertiliser, time of fertilising and data on the surface where these fertilisers are used.</w:t>
            </w:r>
          </w:p>
          <w:p w:rsidR="00F555D6" w:rsidRPr="005C3B55" w:rsidRDefault="00F555D6" w:rsidP="00F555D6">
            <w:pPr>
              <w:numPr>
                <w:ilvl w:val="0"/>
                <w:numId w:val="726"/>
              </w:numPr>
              <w:spacing w:before="0" w:after="240"/>
              <w:ind w:hanging="290"/>
              <w:jc w:val="left"/>
              <w:rPr>
                <w:szCs w:val="24"/>
              </w:rPr>
            </w:pPr>
            <w:r w:rsidRPr="005C3B55">
              <w:rPr>
                <w:szCs w:val="24"/>
              </w:rPr>
              <w:t>Minimum requirements for the use of plant protection products are not determined, since the requirements relating to the use of these products are standardised and are included in the requirements of cross-compliance.</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Other relevant national/regional requirements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727"/>
              </w:numPr>
              <w:spacing w:before="0" w:after="240"/>
              <w:ind w:hanging="290"/>
              <w:jc w:val="left"/>
              <w:rPr>
                <w:szCs w:val="24"/>
              </w:rPr>
            </w:pPr>
            <w:r w:rsidRPr="005C3B55">
              <w:rPr>
                <w:szCs w:val="24"/>
              </w:rPr>
              <w:t>Other national requirements are not prescribed.</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Minimum activities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728"/>
              </w:numPr>
              <w:spacing w:before="0" w:after="240"/>
              <w:ind w:hanging="290"/>
              <w:jc w:val="left"/>
              <w:rPr>
                <w:szCs w:val="24"/>
              </w:rPr>
            </w:pPr>
            <w:r w:rsidRPr="005C3B55">
              <w:rPr>
                <w:szCs w:val="24"/>
              </w:rPr>
              <w:t>Not relevant.</w:t>
            </w:r>
          </w:p>
          <w:p w:rsidR="00F555D6" w:rsidRPr="005C3B55" w:rsidRDefault="00F555D6" w:rsidP="00F555D6">
            <w:pPr>
              <w:pStyle w:val="Telobesedila"/>
              <w:rPr>
                <w:szCs w:val="24"/>
              </w:rPr>
            </w:pPr>
          </w:p>
        </w:tc>
      </w:tr>
    </w:tbl>
    <w:p w:rsidR="00F555D6" w:rsidRPr="005C3B55" w:rsidRDefault="00F555D6" w:rsidP="00F555D6">
      <w:pPr>
        <w:pStyle w:val="Naslov9"/>
        <w:tabs>
          <w:tab w:val="clear" w:pos="765"/>
        </w:tabs>
        <w:ind w:left="0" w:firstLine="0"/>
        <w:rPr>
          <w:szCs w:val="24"/>
          <w:lang w:val="en-GB"/>
        </w:rPr>
      </w:pPr>
      <w:r w:rsidRPr="005C3B55">
        <w:rPr>
          <w:noProof w:val="0"/>
          <w:szCs w:val="24"/>
          <w:lang w:val="en-GB"/>
        </w:rPr>
        <w:t>Relevant standard agricultural practices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Sowing plants for green manure is not standard agricultural practice. Agricultural holdings implement different methods of fertilisation. After the harvest of the main crop, they apply winter fallow.</w:t>
            </w:r>
          </w:p>
          <w:p w:rsidR="00F555D6" w:rsidRPr="005C3B55" w:rsidRDefault="00F555D6" w:rsidP="00F555D6">
            <w:pPr>
              <w:pStyle w:val="Telobesedila"/>
              <w:rPr>
                <w:szCs w:val="24"/>
              </w:rPr>
            </w:pPr>
          </w:p>
        </w:tc>
      </w:tr>
    </w:tbl>
    <w:p w:rsidR="00F555D6" w:rsidRPr="005C3B55" w:rsidRDefault="00F555D6" w:rsidP="00F555D6">
      <w:pPr>
        <w:pStyle w:val="Naslov8"/>
        <w:tabs>
          <w:tab w:val="clear" w:pos="765"/>
        </w:tabs>
        <w:ind w:left="0" w:firstLine="0"/>
        <w:rPr>
          <w:b w:val="0"/>
          <w:szCs w:val="24"/>
          <w:lang w:val="en-GB"/>
        </w:rPr>
      </w:pPr>
      <w:r w:rsidRPr="005C3B55">
        <w:rPr>
          <w:b w:val="0"/>
          <w:noProof w:val="0"/>
          <w:szCs w:val="24"/>
          <w:lang w:val="en-GB"/>
        </w:rPr>
        <w:t>VOD_ZEL:</w:t>
      </w:r>
      <w:r w:rsidRPr="005C3B55">
        <w:rPr>
          <w:b w:val="0"/>
          <w:szCs w:val="24"/>
          <w:lang w:val="en-GB"/>
        </w:rPr>
        <w:t xml:space="preserve"> </w:t>
      </w:r>
      <w:r w:rsidRPr="005C3B55">
        <w:rPr>
          <w:b w:val="0"/>
          <w:noProof w:val="0"/>
          <w:szCs w:val="24"/>
          <w:lang w:val="en-GB"/>
        </w:rPr>
        <w:t>Greening of arable land</w:t>
      </w:r>
    </w:p>
    <w:p w:rsidR="00F555D6" w:rsidRPr="005C3B55" w:rsidRDefault="00F555D6" w:rsidP="00F555D6">
      <w:pPr>
        <w:pStyle w:val="Naslov9"/>
        <w:tabs>
          <w:tab w:val="clear" w:pos="765"/>
        </w:tabs>
        <w:ind w:left="0" w:firstLine="0"/>
        <w:rPr>
          <w:szCs w:val="24"/>
          <w:lang w:val="en-GB"/>
        </w:rPr>
      </w:pPr>
      <w:r w:rsidRPr="005C3B55">
        <w:rPr>
          <w:noProof w:val="0"/>
          <w:szCs w:val="24"/>
          <w:lang w:val="en-GB"/>
        </w:rPr>
        <w:t>Starting Point</w:t>
      </w:r>
    </w:p>
    <w:p w:rsidR="00F555D6" w:rsidRPr="005C3B55" w:rsidRDefault="00F555D6" w:rsidP="00F555D6">
      <w:pPr>
        <w:spacing w:line="280" w:lineRule="auto"/>
        <w:rPr>
          <w:szCs w:val="24"/>
        </w:rPr>
      </w:pPr>
      <w:r w:rsidRPr="005C3B55">
        <w:rPr>
          <w:szCs w:val="24"/>
        </w:rPr>
        <w:t>Suitable good agricultural and environmental conditions and/or prescribed management requirements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729"/>
              </w:numPr>
              <w:spacing w:before="0" w:after="240"/>
              <w:ind w:hanging="290"/>
              <w:jc w:val="left"/>
              <w:rPr>
                <w:szCs w:val="24"/>
              </w:rPr>
            </w:pPr>
            <w:r w:rsidRPr="005C3B55">
              <w:rPr>
                <w:szCs w:val="24"/>
              </w:rPr>
              <w:t>Regulation on cross-compliance, Annex 1: Rules on cross-compliance, GAEC 4:  Minimum soil cover: Soil cover on agricultural land is maintained as per standard agricultural methods. Covering soil with plants, stubble or mulches in the vegetation period ensures a sufficient supply of carbon in the soil and prevents erosion.</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Minimum requirements for the use of fertilisers and plant protection products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730"/>
              </w:numPr>
              <w:spacing w:before="0" w:after="0"/>
              <w:ind w:hanging="290"/>
              <w:jc w:val="left"/>
              <w:rPr>
                <w:szCs w:val="24"/>
              </w:rPr>
            </w:pPr>
            <w:r w:rsidRPr="005C3B55">
              <w:rPr>
                <w:szCs w:val="24"/>
              </w:rPr>
              <w:t>Minimum requirements for the use of fertilisers refer to the keeping of records on the use of livestock and mineral fertilisers which an agricultural holding has to keep for all agricultural land plots at the agricultural holding, and which has to include at least the quantity and type of livestock manure and mineral fertiliser, time of fertilising and data on the surface where these fertilisers are used.</w:t>
            </w:r>
          </w:p>
          <w:p w:rsidR="00F555D6" w:rsidRPr="005C3B55" w:rsidRDefault="00F555D6" w:rsidP="00F555D6">
            <w:pPr>
              <w:numPr>
                <w:ilvl w:val="0"/>
                <w:numId w:val="730"/>
              </w:numPr>
              <w:spacing w:before="0" w:after="240"/>
              <w:ind w:hanging="290"/>
              <w:jc w:val="left"/>
              <w:rPr>
                <w:szCs w:val="24"/>
              </w:rPr>
            </w:pPr>
            <w:r w:rsidRPr="005C3B55">
              <w:rPr>
                <w:szCs w:val="24"/>
              </w:rPr>
              <w:t>Minimum requirements for the use of plant protection products are not determined, since the requirements relating to the use of these products are standardised and are included in the requirements of cross-compliance.</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Other relevant national/regional requirements</w:t>
      </w:r>
    </w:p>
    <w:p w:rsidR="00F555D6" w:rsidRPr="005C3B55" w:rsidRDefault="00F555D6" w:rsidP="00F555D6">
      <w:pPr>
        <w:spacing w:after="0"/>
        <w:rPr>
          <w:szCs w:val="24"/>
        </w:rPr>
      </w:pP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731"/>
              </w:numPr>
              <w:spacing w:before="0" w:after="240"/>
              <w:ind w:hanging="290"/>
              <w:jc w:val="left"/>
              <w:rPr>
                <w:szCs w:val="24"/>
              </w:rPr>
            </w:pPr>
            <w:r w:rsidRPr="005C3B55">
              <w:rPr>
                <w:szCs w:val="24"/>
              </w:rPr>
              <w:t>Other national requirements are not prescribed.</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Minimum activities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732"/>
              </w:numPr>
              <w:spacing w:before="0" w:after="240"/>
              <w:ind w:hanging="290"/>
              <w:jc w:val="left"/>
              <w:rPr>
                <w:szCs w:val="24"/>
              </w:rPr>
            </w:pPr>
            <w:r w:rsidRPr="005C3B55">
              <w:rPr>
                <w:szCs w:val="24"/>
              </w:rPr>
              <w:t>Not relevant.</w:t>
            </w:r>
          </w:p>
          <w:p w:rsidR="00F555D6" w:rsidRPr="005C3B55" w:rsidRDefault="00F555D6" w:rsidP="00F555D6">
            <w:pPr>
              <w:pStyle w:val="Telobesedila"/>
              <w:rPr>
                <w:szCs w:val="24"/>
              </w:rPr>
            </w:pPr>
          </w:p>
        </w:tc>
      </w:tr>
    </w:tbl>
    <w:p w:rsidR="00F555D6" w:rsidRPr="005C3B55" w:rsidRDefault="00F555D6" w:rsidP="00F555D6">
      <w:pPr>
        <w:pStyle w:val="Naslov9"/>
        <w:tabs>
          <w:tab w:val="clear" w:pos="765"/>
        </w:tabs>
        <w:ind w:left="0" w:firstLine="0"/>
        <w:rPr>
          <w:szCs w:val="24"/>
          <w:lang w:val="en-GB"/>
        </w:rPr>
      </w:pPr>
      <w:r w:rsidRPr="005C3B55">
        <w:rPr>
          <w:noProof w:val="0"/>
          <w:szCs w:val="24"/>
          <w:lang w:val="en-GB"/>
        </w:rPr>
        <w:t>Relevant standard agricultural practices</w:t>
      </w:r>
    </w:p>
    <w:p w:rsidR="00F555D6" w:rsidRPr="005C3B55" w:rsidRDefault="00F555D6" w:rsidP="00F555D6">
      <w:pPr>
        <w:pStyle w:val="Naslov9"/>
        <w:tabs>
          <w:tab w:val="clear" w:pos="765"/>
        </w:tabs>
        <w:spacing w:before="0" w:after="0"/>
        <w:ind w:left="0" w:firstLine="0"/>
        <w:rPr>
          <w:szCs w:val="24"/>
          <w:lang w:val="en-GB"/>
        </w:rPr>
      </w:pP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Many farmers have abandoned the sowing of overwintering crops in order to focus on monoculture production, and the greening of arable land is thus no longer part of standard agricultural practice. After the harvest of the main crop, winter fallow is implemented on arable land.</w:t>
            </w:r>
          </w:p>
          <w:p w:rsidR="00F555D6" w:rsidRPr="005C3B55" w:rsidRDefault="00F555D6" w:rsidP="00F555D6">
            <w:pPr>
              <w:pStyle w:val="Telobesedila"/>
              <w:rPr>
                <w:szCs w:val="24"/>
              </w:rPr>
            </w:pPr>
          </w:p>
        </w:tc>
      </w:tr>
    </w:tbl>
    <w:p w:rsidR="00F555D6" w:rsidRPr="005C3B55" w:rsidRDefault="00F555D6" w:rsidP="00F555D6">
      <w:pPr>
        <w:pStyle w:val="Naslov5"/>
        <w:tabs>
          <w:tab w:val="clear" w:pos="765"/>
        </w:tabs>
        <w:ind w:left="0" w:firstLine="0"/>
        <w:rPr>
          <w:b w:val="0"/>
          <w:szCs w:val="24"/>
          <w:lang w:val="en-GB"/>
        </w:rPr>
      </w:pPr>
      <w:r w:rsidRPr="005C3B55">
        <w:rPr>
          <w:b w:val="0"/>
          <w:szCs w:val="24"/>
          <w:lang w:val="en-GB"/>
        </w:rPr>
        <w:br w:type="page"/>
        <w:t xml:space="preserve">12.  </w:t>
      </w:r>
      <w:r w:rsidRPr="005C3B55">
        <w:rPr>
          <w:b w:val="0"/>
          <w:noProof w:val="0"/>
          <w:szCs w:val="24"/>
          <w:lang w:val="en-GB"/>
        </w:rPr>
        <w:t>Conservation of steep meadow habitats</w:t>
      </w:r>
    </w:p>
    <w:p w:rsidR="00F555D6" w:rsidRPr="005C3B55" w:rsidRDefault="00F555D6" w:rsidP="00F555D6">
      <w:pPr>
        <w:spacing w:line="280" w:lineRule="auto"/>
        <w:rPr>
          <w:szCs w:val="24"/>
        </w:rPr>
      </w:pPr>
      <w:r w:rsidRPr="005C3B55">
        <w:rPr>
          <w:szCs w:val="24"/>
        </w:rPr>
        <w:t xml:space="preserve">Sub-measure: </w:t>
      </w:r>
    </w:p>
    <w:p w:rsidR="00F555D6" w:rsidRPr="005C3B55" w:rsidRDefault="00F555D6" w:rsidP="00F555D6">
      <w:pPr>
        <w:spacing w:after="0"/>
        <w:rPr>
          <w:szCs w:val="24"/>
        </w:rPr>
      </w:pP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733"/>
              </w:numPr>
              <w:rPr>
                <w:szCs w:val="24"/>
              </w:rPr>
            </w:pPr>
            <w:r w:rsidRPr="005C3B55">
              <w:rPr>
                <w:szCs w:val="24"/>
              </w:rPr>
              <w:t>10.1 – Payment of agri-environment-climate commitments</w:t>
            </w: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Description of type of operation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The habitats of steep meadows with a gradient of 50% or more are essential for preserving various rare plant and animal species typical of extensive meadows. Due to intensive maintenance of steep meadows (manual mowing and harvesting), there is a risk of abandoning their use and overgrowing of these meadows or unsuitable use for pasturing.</w:t>
            </w:r>
          </w:p>
          <w:p w:rsidR="00F555D6" w:rsidRPr="005C3B55" w:rsidRDefault="00F555D6" w:rsidP="00F555D6">
            <w:pPr>
              <w:spacing w:before="240" w:after="240" w:line="280" w:lineRule="auto"/>
              <w:rPr>
                <w:szCs w:val="24"/>
              </w:rPr>
            </w:pPr>
            <w:r w:rsidRPr="005C3B55">
              <w:rPr>
                <w:szCs w:val="24"/>
              </w:rPr>
              <w:t>In order to preserve meadow habitats on steep slopes and prevent the loss of biodiversity on the one hand and reduce the risk of erosion on the other, it is necessary to proceed with the suitable use of these meadows, i.e. manual mowing and harvesting.</w:t>
            </w:r>
          </w:p>
          <w:p w:rsidR="00F555D6" w:rsidRPr="005C3B55" w:rsidRDefault="00F555D6" w:rsidP="00F555D6">
            <w:pPr>
              <w:spacing w:before="240" w:after="240" w:line="280" w:lineRule="auto"/>
              <w:rPr>
                <w:szCs w:val="24"/>
              </w:rPr>
            </w:pPr>
            <w:r w:rsidRPr="005C3B55">
              <w:rPr>
                <w:szCs w:val="24"/>
              </w:rPr>
              <w:t>The implementation of the requirement contributes to preserving the diversity of the agricultural landscape, preventing its abandonment and the preservation of biodiversity.</w:t>
            </w:r>
          </w:p>
          <w:p w:rsidR="00F555D6" w:rsidRPr="005C3B55" w:rsidRDefault="00F555D6" w:rsidP="00F555D6">
            <w:pPr>
              <w:spacing w:before="240" w:after="240" w:line="280" w:lineRule="auto"/>
              <w:rPr>
                <w:szCs w:val="24"/>
              </w:rPr>
            </w:pPr>
            <w:r w:rsidRPr="005C3B55">
              <w:rPr>
                <w:szCs w:val="24"/>
              </w:rPr>
              <w:t>The operation is implemented on meadows with a gradient of  50% or more, and denotes the preservation of existing practices.</w:t>
            </w:r>
          </w:p>
          <w:p w:rsidR="00F555D6" w:rsidRPr="005C3B55" w:rsidRDefault="00F555D6" w:rsidP="00F555D6">
            <w:pPr>
              <w:spacing w:before="240" w:after="240" w:line="280" w:lineRule="auto"/>
              <w:rPr>
                <w:szCs w:val="24"/>
              </w:rPr>
            </w:pPr>
            <w:r w:rsidRPr="005C3B55">
              <w:rPr>
                <w:szCs w:val="24"/>
              </w:rPr>
              <w:t>The implementation of this requirement includes mandatory manual mowing and harvesting at least once a year. The use of mineral fertilisers and plant production products is not permitted and animal grazing is also not permitted.</w:t>
            </w:r>
          </w:p>
          <w:p w:rsidR="00F555D6" w:rsidRPr="005C3B55" w:rsidRDefault="00F555D6" w:rsidP="00F555D6">
            <w:pPr>
              <w:numPr>
                <w:ilvl w:val="0"/>
                <w:numId w:val="734"/>
              </w:numPr>
              <w:spacing w:before="240" w:after="0"/>
              <w:ind w:hanging="290"/>
              <w:jc w:val="left"/>
              <w:rPr>
                <w:szCs w:val="24"/>
              </w:rPr>
            </w:pPr>
            <w:r w:rsidRPr="005C3B55">
              <w:rPr>
                <w:szCs w:val="24"/>
              </w:rPr>
              <w:t>Use: permanent grassland.</w:t>
            </w:r>
          </w:p>
          <w:p w:rsidR="00F555D6" w:rsidRPr="005C3B55" w:rsidRDefault="00F555D6" w:rsidP="00F555D6">
            <w:pPr>
              <w:numPr>
                <w:ilvl w:val="0"/>
                <w:numId w:val="734"/>
              </w:numPr>
              <w:spacing w:before="0" w:after="0"/>
              <w:ind w:hanging="290"/>
              <w:jc w:val="left"/>
              <w:rPr>
                <w:szCs w:val="24"/>
              </w:rPr>
            </w:pPr>
            <w:r w:rsidRPr="005C3B55">
              <w:rPr>
                <w:szCs w:val="24"/>
              </w:rPr>
              <w:t>Coverage: part of the area.</w:t>
            </w:r>
          </w:p>
          <w:p w:rsidR="00F555D6" w:rsidRPr="005C3B55" w:rsidRDefault="00F555D6" w:rsidP="00F555D6">
            <w:pPr>
              <w:numPr>
                <w:ilvl w:val="0"/>
                <w:numId w:val="734"/>
              </w:numPr>
              <w:spacing w:before="0" w:after="0"/>
              <w:ind w:hanging="290"/>
              <w:jc w:val="left"/>
              <w:rPr>
                <w:szCs w:val="24"/>
              </w:rPr>
            </w:pPr>
            <w:r w:rsidRPr="005C3B55">
              <w:rPr>
                <w:szCs w:val="24"/>
              </w:rPr>
              <w:t>Location: not relevant.</w:t>
            </w:r>
          </w:p>
          <w:p w:rsidR="00F555D6" w:rsidRPr="005C3B55" w:rsidRDefault="00F555D6" w:rsidP="00F555D6">
            <w:pPr>
              <w:numPr>
                <w:ilvl w:val="0"/>
                <w:numId w:val="734"/>
              </w:numPr>
              <w:spacing w:before="0" w:after="240"/>
              <w:ind w:hanging="290"/>
              <w:jc w:val="left"/>
              <w:rPr>
                <w:szCs w:val="24"/>
              </w:rPr>
            </w:pPr>
            <w:r w:rsidRPr="005C3B55">
              <w:rPr>
                <w:szCs w:val="24"/>
              </w:rPr>
              <w:t>Implementation area: whole Slovenia.</w:t>
            </w:r>
          </w:p>
          <w:p w:rsidR="00F555D6" w:rsidRPr="005C3B55" w:rsidRDefault="00F555D6" w:rsidP="00F555D6">
            <w:pPr>
              <w:spacing w:before="240" w:after="240" w:line="280" w:lineRule="auto"/>
              <w:rPr>
                <w:szCs w:val="24"/>
              </w:rPr>
            </w:pPr>
            <w:r w:rsidRPr="005C3B55">
              <w:rPr>
                <w:szCs w:val="24"/>
              </w:rPr>
              <w:t>Effects:</w:t>
            </w:r>
          </w:p>
          <w:p w:rsidR="00F555D6" w:rsidRPr="005C3B55" w:rsidRDefault="00F555D6" w:rsidP="00F555D6">
            <w:pPr>
              <w:numPr>
                <w:ilvl w:val="0"/>
                <w:numId w:val="735"/>
              </w:numPr>
              <w:spacing w:before="240" w:after="0"/>
              <w:ind w:hanging="290"/>
              <w:jc w:val="left"/>
              <w:rPr>
                <w:szCs w:val="24"/>
              </w:rPr>
            </w:pPr>
            <w:r w:rsidRPr="005C3B55">
              <w:rPr>
                <w:szCs w:val="24"/>
              </w:rPr>
              <w:t>preservation of species diversity and biodiversity;</w:t>
            </w:r>
          </w:p>
          <w:p w:rsidR="00F555D6" w:rsidRPr="005C3B55" w:rsidRDefault="00F555D6" w:rsidP="00F555D6">
            <w:pPr>
              <w:numPr>
                <w:ilvl w:val="0"/>
                <w:numId w:val="735"/>
              </w:numPr>
              <w:spacing w:before="0" w:after="0"/>
              <w:ind w:hanging="290"/>
              <w:jc w:val="left"/>
              <w:rPr>
                <w:szCs w:val="24"/>
              </w:rPr>
            </w:pPr>
            <w:r w:rsidRPr="005C3B55">
              <w:rPr>
                <w:szCs w:val="24"/>
              </w:rPr>
              <w:t>preservation of habitats for many plant and animal species;</w:t>
            </w:r>
          </w:p>
          <w:p w:rsidR="00F555D6" w:rsidRPr="005C3B55" w:rsidRDefault="00F555D6" w:rsidP="00F555D6">
            <w:pPr>
              <w:numPr>
                <w:ilvl w:val="0"/>
                <w:numId w:val="735"/>
              </w:numPr>
              <w:spacing w:before="0" w:after="0"/>
              <w:ind w:hanging="290"/>
              <w:jc w:val="left"/>
              <w:rPr>
                <w:szCs w:val="24"/>
              </w:rPr>
            </w:pPr>
            <w:r w:rsidRPr="005C3B55">
              <w:rPr>
                <w:szCs w:val="24"/>
              </w:rPr>
              <w:t>prevention of compaction of green cover;</w:t>
            </w:r>
          </w:p>
          <w:p w:rsidR="00F555D6" w:rsidRPr="005C3B55" w:rsidRDefault="00F555D6" w:rsidP="00F555D6">
            <w:pPr>
              <w:numPr>
                <w:ilvl w:val="0"/>
                <w:numId w:val="735"/>
              </w:numPr>
              <w:spacing w:before="0" w:after="0"/>
              <w:ind w:hanging="290"/>
              <w:jc w:val="left"/>
              <w:rPr>
                <w:szCs w:val="24"/>
              </w:rPr>
            </w:pPr>
            <w:r w:rsidRPr="005C3B55">
              <w:rPr>
                <w:szCs w:val="24"/>
              </w:rPr>
              <w:t>preservation of variety of agricultural landscape;</w:t>
            </w:r>
          </w:p>
          <w:p w:rsidR="00F555D6" w:rsidRPr="005C3B55" w:rsidRDefault="00F555D6" w:rsidP="00F555D6">
            <w:pPr>
              <w:numPr>
                <w:ilvl w:val="0"/>
                <w:numId w:val="735"/>
              </w:numPr>
              <w:spacing w:before="0" w:after="240"/>
              <w:ind w:hanging="290"/>
              <w:jc w:val="left"/>
              <w:rPr>
                <w:szCs w:val="24"/>
              </w:rPr>
            </w:pPr>
            <w:r w:rsidRPr="005C3B55">
              <w:rPr>
                <w:szCs w:val="24"/>
              </w:rPr>
              <w:t>prevention of the abandonment of agricultural land use and overgrowing.</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Type of support</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Support for the implementation of the operation ‘Conservation of steep meadow habitats’ consists of:</w:t>
            </w:r>
          </w:p>
          <w:p w:rsidR="00F555D6" w:rsidRPr="005C3B55" w:rsidRDefault="00F555D6" w:rsidP="00F555D6">
            <w:pPr>
              <w:numPr>
                <w:ilvl w:val="0"/>
                <w:numId w:val="736"/>
              </w:numPr>
              <w:spacing w:before="240" w:after="240"/>
              <w:ind w:hanging="290"/>
              <w:jc w:val="left"/>
              <w:rPr>
                <w:szCs w:val="24"/>
              </w:rPr>
            </w:pPr>
            <w:r w:rsidRPr="005C3B55">
              <w:rPr>
                <w:szCs w:val="24"/>
              </w:rPr>
              <w:t>payments per hectare for the implementation of prescribed requirements.</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Connection with other legislation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The operation ‘Conservation of steep meadow habitats’ is connected with national and EU regulations in the field of measures of agricultural policy, agriculture, the environment, nature protection and rural development.</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Beneficiaries</w:t>
      </w:r>
    </w:p>
    <w:p w:rsidR="00F555D6" w:rsidRPr="005C3B55" w:rsidRDefault="00F555D6" w:rsidP="00F555D6">
      <w:pPr>
        <w:pStyle w:val="Naslov6"/>
        <w:tabs>
          <w:tab w:val="clear" w:pos="765"/>
        </w:tabs>
        <w:spacing w:before="0" w:after="0"/>
        <w:ind w:left="0" w:firstLine="0"/>
        <w:rPr>
          <w:szCs w:val="24"/>
          <w:lang w:val="en-GB"/>
        </w:rPr>
      </w:pP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Beneficiaries for payments are agricultural holdings which participate voluntarily in the implementation of the operation ‘Conservation of steep meadow habitats’ and meet the prescribed conditions and requirements.</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Eligible costs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Payments are only intended for those commitments within the operation ‘Conservation of steep meadow habitats’ which exceed suitable mandatory standards determined in accordance with Chapter I, Title VI of Regulation (EU) No 1306/2013, suitable criteria determined in the second indent of item c) of the first paragraph of Article 4 of Regulation (EU) No 1307/2013, and other suitable mandatory requirements from national regulations.</w:t>
            </w:r>
          </w:p>
          <w:p w:rsidR="00F555D6" w:rsidRPr="005C3B55" w:rsidRDefault="00F555D6" w:rsidP="00F555D6">
            <w:pPr>
              <w:spacing w:before="240" w:after="240" w:line="280" w:lineRule="auto"/>
              <w:rPr>
                <w:szCs w:val="24"/>
              </w:rPr>
            </w:pPr>
            <w:r w:rsidRPr="005C3B55">
              <w:rPr>
                <w:szCs w:val="24"/>
              </w:rPr>
              <w:t>Payments cover 100 per cent of the additional costs and the loss of revenue due to the assumed commitment.</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Conditions for eligibility</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When entering the M10 measure, an agricultural holding must:</w:t>
            </w:r>
          </w:p>
          <w:p w:rsidR="00F555D6" w:rsidRPr="005C3B55" w:rsidRDefault="00F555D6" w:rsidP="00F555D6">
            <w:pPr>
              <w:numPr>
                <w:ilvl w:val="0"/>
                <w:numId w:val="737"/>
              </w:numPr>
              <w:spacing w:before="240" w:after="0"/>
              <w:ind w:hanging="290"/>
              <w:jc w:val="left"/>
              <w:rPr>
                <w:szCs w:val="24"/>
              </w:rPr>
            </w:pPr>
            <w:r w:rsidRPr="005C3B55">
              <w:rPr>
                <w:szCs w:val="24"/>
              </w:rPr>
              <w:t>have at least 1 ha of agricultural land in use as per Article 4 of Regulation (EU) No 1307/2013;</w:t>
            </w:r>
          </w:p>
          <w:p w:rsidR="00F555D6" w:rsidRPr="005C3B55" w:rsidRDefault="00F555D6" w:rsidP="00F555D6">
            <w:pPr>
              <w:numPr>
                <w:ilvl w:val="0"/>
                <w:numId w:val="737"/>
              </w:numPr>
              <w:spacing w:before="0" w:after="0"/>
              <w:ind w:hanging="290"/>
              <w:jc w:val="left"/>
              <w:rPr>
                <w:szCs w:val="24"/>
              </w:rPr>
            </w:pPr>
            <w:r w:rsidRPr="005C3B55">
              <w:rPr>
                <w:szCs w:val="24"/>
              </w:rPr>
              <w:t>be entered in the register of agricultural holdings in accordance with the regulation on the register of agricultural holdings;</w:t>
            </w:r>
          </w:p>
          <w:p w:rsidR="00F555D6" w:rsidRPr="005C3B55" w:rsidRDefault="00F555D6" w:rsidP="00F555D6">
            <w:pPr>
              <w:numPr>
                <w:ilvl w:val="0"/>
                <w:numId w:val="737"/>
              </w:numPr>
              <w:spacing w:before="0" w:after="0"/>
              <w:ind w:hanging="290"/>
              <w:jc w:val="left"/>
              <w:rPr>
                <w:szCs w:val="24"/>
              </w:rPr>
            </w:pPr>
            <w:r w:rsidRPr="005C3B55">
              <w:rPr>
                <w:szCs w:val="24"/>
              </w:rPr>
              <w:t>undergo a six-hour training programme on agri-environment-climate content;</w:t>
            </w:r>
          </w:p>
          <w:p w:rsidR="00F555D6" w:rsidRPr="005C3B55" w:rsidRDefault="00F555D6" w:rsidP="00F555D6">
            <w:pPr>
              <w:numPr>
                <w:ilvl w:val="0"/>
                <w:numId w:val="737"/>
              </w:numPr>
              <w:spacing w:before="0" w:after="240"/>
              <w:ind w:hanging="290"/>
              <w:jc w:val="left"/>
              <w:rPr>
                <w:szCs w:val="24"/>
              </w:rPr>
            </w:pPr>
            <w:r w:rsidRPr="005C3B55">
              <w:rPr>
                <w:szCs w:val="24"/>
              </w:rPr>
              <w:t>prepare an activities programme of the agricultural holding which is an electronic document prepared as a result of advisory services.</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Principles regarding the determination of selection criteria</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The selection criteria are not relevant.</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(Valid) amounts and support rates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The amount of payment for the operation ‘Conservation of steep meadow habitats’ amounts to 100% of amount of payments as per the model calculation.</w:t>
            </w:r>
          </w:p>
          <w:p w:rsidR="00F555D6" w:rsidRPr="005C3B55" w:rsidRDefault="00F555D6" w:rsidP="00F555D6">
            <w:pPr>
              <w:numPr>
                <w:ilvl w:val="0"/>
                <w:numId w:val="738"/>
              </w:numPr>
              <w:spacing w:before="240" w:after="0"/>
              <w:ind w:hanging="290"/>
              <w:jc w:val="left"/>
              <w:rPr>
                <w:szCs w:val="24"/>
              </w:rPr>
            </w:pPr>
            <w:r w:rsidRPr="005C3B55">
              <w:rPr>
                <w:szCs w:val="24"/>
              </w:rPr>
              <w:t>Calculated payment amount as per model calculation: EUR 217.50/hectare annually.</w:t>
            </w:r>
          </w:p>
          <w:p w:rsidR="00F555D6" w:rsidRPr="005C3B55" w:rsidRDefault="00F555D6" w:rsidP="00F555D6">
            <w:pPr>
              <w:numPr>
                <w:ilvl w:val="0"/>
                <w:numId w:val="738"/>
              </w:numPr>
              <w:spacing w:before="0" w:after="0"/>
              <w:ind w:hanging="290"/>
              <w:jc w:val="left"/>
              <w:rPr>
                <w:szCs w:val="24"/>
              </w:rPr>
            </w:pPr>
            <w:r w:rsidRPr="005C3B55">
              <w:rPr>
                <w:szCs w:val="24"/>
              </w:rPr>
              <w:t>The highest possible payment as per Annex II to Regulation (EU) No 1305/2013: EUR 450/hectare annually.</w:t>
            </w:r>
          </w:p>
          <w:p w:rsidR="00F555D6" w:rsidRPr="005C3B55" w:rsidRDefault="00F555D6" w:rsidP="00F555D6">
            <w:pPr>
              <w:numPr>
                <w:ilvl w:val="0"/>
                <w:numId w:val="738"/>
              </w:numPr>
              <w:spacing w:before="0" w:after="0"/>
              <w:ind w:hanging="290"/>
              <w:jc w:val="left"/>
              <w:rPr>
                <w:szCs w:val="24"/>
              </w:rPr>
            </w:pPr>
            <w:r w:rsidRPr="005C3B55">
              <w:rPr>
                <w:szCs w:val="24"/>
              </w:rPr>
              <w:t>The highest possible amount: EUR 217.50/hectare annually.</w:t>
            </w:r>
          </w:p>
          <w:p w:rsidR="00F555D6" w:rsidRPr="005C3B55" w:rsidRDefault="00F555D6" w:rsidP="00F555D6">
            <w:pPr>
              <w:numPr>
                <w:ilvl w:val="0"/>
                <w:numId w:val="738"/>
              </w:numPr>
              <w:spacing w:before="0" w:after="240"/>
              <w:ind w:hanging="290"/>
              <w:jc w:val="left"/>
              <w:rPr>
                <w:szCs w:val="24"/>
              </w:rPr>
            </w:pPr>
            <w:r w:rsidRPr="005C3B55">
              <w:rPr>
                <w:b/>
                <w:szCs w:val="24"/>
              </w:rPr>
              <w:t>Payment (100% of payment amount calculated as per the model calculation): EUR 217.50/hectare annually.</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Verifiability and possibility of control of measures and/or type of operations</w:t>
      </w:r>
    </w:p>
    <w:p w:rsidR="00F555D6" w:rsidRPr="005C3B55" w:rsidRDefault="00F555D6" w:rsidP="00F555D6">
      <w:pPr>
        <w:pStyle w:val="Naslov7"/>
        <w:tabs>
          <w:tab w:val="clear" w:pos="765"/>
        </w:tabs>
        <w:ind w:left="0" w:firstLine="0"/>
        <w:rPr>
          <w:szCs w:val="24"/>
          <w:lang w:val="en-GB"/>
        </w:rPr>
      </w:pPr>
      <w:r w:rsidRPr="005C3B55">
        <w:rPr>
          <w:noProof w:val="0"/>
          <w:szCs w:val="24"/>
          <w:lang w:val="en-GB"/>
        </w:rPr>
        <w:t>Risks in the implementation of the measure</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b/>
                <w:szCs w:val="24"/>
              </w:rPr>
              <w:t>R5: Requirements which are difficult to verify and/or control</w:t>
            </w:r>
          </w:p>
          <w:p w:rsidR="00F555D6" w:rsidRPr="005C3B55" w:rsidRDefault="00F555D6" w:rsidP="00F555D6">
            <w:pPr>
              <w:spacing w:before="240" w:after="240" w:line="280" w:lineRule="auto"/>
              <w:rPr>
                <w:szCs w:val="24"/>
              </w:rPr>
            </w:pPr>
            <w:r w:rsidRPr="005C3B55">
              <w:rPr>
                <w:szCs w:val="24"/>
              </w:rPr>
              <w:t>Administrative control and on-the-spot control are feasible.</w:t>
            </w:r>
          </w:p>
          <w:p w:rsidR="00F555D6" w:rsidRPr="005C3B55" w:rsidRDefault="00F555D6" w:rsidP="00F555D6">
            <w:pPr>
              <w:spacing w:before="240" w:after="240" w:line="280" w:lineRule="auto"/>
              <w:rPr>
                <w:szCs w:val="24"/>
              </w:rPr>
            </w:pPr>
            <w:r w:rsidRPr="005C3B55">
              <w:rPr>
                <w:b/>
                <w:szCs w:val="24"/>
              </w:rPr>
              <w:t>R6: General conditions for implementation</w:t>
            </w:r>
          </w:p>
          <w:p w:rsidR="00F555D6" w:rsidRPr="005C3B55" w:rsidRDefault="00F555D6" w:rsidP="00F555D6">
            <w:pPr>
              <w:spacing w:before="240" w:after="240" w:line="280" w:lineRule="auto"/>
              <w:rPr>
                <w:szCs w:val="24"/>
              </w:rPr>
            </w:pPr>
            <w:r w:rsidRPr="005C3B55">
              <w:rPr>
                <w:szCs w:val="24"/>
              </w:rPr>
              <w:t>Ill-timed adoption of regulations which regulate payments for the M10 measure and which enable beneficiaries to be informed about the eligibility conditions for implementing this operation, and insufficient knowledge of the conditions of the operation ‘Conservation of steep meadow habitats’ present a risk for the implementation of this measure.</w:t>
            </w:r>
          </w:p>
          <w:p w:rsidR="00F555D6" w:rsidRPr="005C3B55" w:rsidRDefault="00F555D6" w:rsidP="00F555D6">
            <w:pPr>
              <w:spacing w:before="240" w:after="240" w:line="280" w:lineRule="auto"/>
              <w:rPr>
                <w:szCs w:val="24"/>
              </w:rPr>
            </w:pPr>
            <w:r w:rsidRPr="005C3B55">
              <w:rPr>
                <w:b/>
                <w:szCs w:val="24"/>
              </w:rPr>
              <w:t>R8: IT systems</w:t>
            </w:r>
          </w:p>
          <w:p w:rsidR="00F555D6" w:rsidRPr="005C3B55" w:rsidRDefault="00F555D6" w:rsidP="00F555D6">
            <w:pPr>
              <w:spacing w:before="240" w:after="240" w:line="280" w:lineRule="auto"/>
              <w:rPr>
                <w:szCs w:val="24"/>
              </w:rPr>
            </w:pPr>
            <w:r w:rsidRPr="005C3B55">
              <w:rPr>
                <w:szCs w:val="24"/>
              </w:rPr>
              <w:t>The IT system for the operation ‘Conservation of steep meadow habitats’ is arranged in the register of agricultural holdings. Insufficient administrative controls when entering the operation 'Conservation of steep meadow habitats’ may present a risk.</w:t>
            </w:r>
          </w:p>
          <w:p w:rsidR="00F555D6" w:rsidRPr="005C3B55" w:rsidRDefault="00F555D6" w:rsidP="00F555D6">
            <w:pPr>
              <w:spacing w:before="240" w:after="240" w:line="280" w:lineRule="auto"/>
              <w:rPr>
                <w:szCs w:val="24"/>
              </w:rPr>
            </w:pPr>
            <w:r w:rsidRPr="005C3B55">
              <w:rPr>
                <w:b/>
                <w:szCs w:val="24"/>
              </w:rPr>
              <w:t>R9: Requests for payment</w:t>
            </w:r>
          </w:p>
          <w:p w:rsidR="00F555D6" w:rsidRPr="005C3B55" w:rsidRDefault="00F555D6" w:rsidP="00F555D6">
            <w:pPr>
              <w:spacing w:before="240" w:after="240" w:line="280" w:lineRule="auto"/>
              <w:rPr>
                <w:szCs w:val="24"/>
              </w:rPr>
            </w:pPr>
            <w:r w:rsidRPr="005C3B55">
              <w:rPr>
                <w:szCs w:val="24"/>
              </w:rPr>
              <w:t>Insufficient knowledge of the operation ‘Conservation of steep meadow habitats’, poor familiarisation with the procedure for submitting the application and the beneficiary’s incorrect reporting about the size of surfaces.</w:t>
            </w:r>
          </w:p>
          <w:p w:rsidR="00F555D6" w:rsidRPr="005C3B55" w:rsidRDefault="00F555D6" w:rsidP="00F555D6">
            <w:pPr>
              <w:pStyle w:val="Telobesedila"/>
              <w:rPr>
                <w:szCs w:val="24"/>
              </w:rPr>
            </w:pPr>
          </w:p>
        </w:tc>
      </w:tr>
    </w:tbl>
    <w:p w:rsidR="00F555D6" w:rsidRPr="005C3B55" w:rsidRDefault="00F555D6" w:rsidP="00F555D6">
      <w:pPr>
        <w:pStyle w:val="Naslov7"/>
        <w:tabs>
          <w:tab w:val="clear" w:pos="765"/>
        </w:tabs>
        <w:spacing w:before="0" w:after="0"/>
        <w:ind w:left="0" w:firstLine="0"/>
        <w:rPr>
          <w:szCs w:val="24"/>
          <w:lang w:val="en-GB"/>
        </w:rPr>
      </w:pPr>
      <w:r w:rsidRPr="005C3B55">
        <w:rPr>
          <w:noProof w:val="0"/>
          <w:szCs w:val="24"/>
          <w:lang w:val="en-GB"/>
        </w:rPr>
        <w:t>Mitigation measures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b/>
                <w:szCs w:val="24"/>
              </w:rPr>
              <w:t>R5: Requirements which are difficult to verify and/or control</w:t>
            </w:r>
          </w:p>
          <w:p w:rsidR="00F555D6" w:rsidRPr="005C3B55" w:rsidRDefault="00F555D6" w:rsidP="00F555D6">
            <w:pPr>
              <w:spacing w:before="240" w:after="240" w:line="280" w:lineRule="auto"/>
              <w:rPr>
                <w:szCs w:val="24"/>
              </w:rPr>
            </w:pPr>
            <w:r w:rsidRPr="005C3B55">
              <w:rPr>
                <w:szCs w:val="24"/>
              </w:rPr>
              <w:t>Problems with administrative control are not expected, as there are suitable records of steep meadows.</w:t>
            </w:r>
          </w:p>
          <w:p w:rsidR="00F555D6" w:rsidRPr="005C3B55" w:rsidRDefault="00F555D6" w:rsidP="00F555D6">
            <w:pPr>
              <w:spacing w:before="240" w:after="240" w:line="280" w:lineRule="auto"/>
              <w:rPr>
                <w:szCs w:val="24"/>
              </w:rPr>
            </w:pPr>
            <w:r w:rsidRPr="005C3B55">
              <w:rPr>
                <w:szCs w:val="24"/>
              </w:rPr>
              <w:t>Requirements for the implementation of measure M10 which cannot be verified administratively will be verified or controlled on the spot.</w:t>
            </w:r>
          </w:p>
          <w:p w:rsidR="00F555D6" w:rsidRPr="005C3B55" w:rsidRDefault="00F555D6" w:rsidP="00F555D6">
            <w:pPr>
              <w:spacing w:before="240" w:after="240" w:line="280" w:lineRule="auto"/>
              <w:rPr>
                <w:szCs w:val="24"/>
              </w:rPr>
            </w:pPr>
            <w:r w:rsidRPr="005C3B55">
              <w:rPr>
                <w:b/>
                <w:szCs w:val="24"/>
              </w:rPr>
              <w:t>R6: General conditions for implementation</w:t>
            </w:r>
          </w:p>
          <w:p w:rsidR="00F555D6" w:rsidRPr="005C3B55" w:rsidRDefault="00F555D6" w:rsidP="00F555D6">
            <w:pPr>
              <w:spacing w:before="240" w:after="240" w:line="280" w:lineRule="auto"/>
              <w:rPr>
                <w:szCs w:val="24"/>
              </w:rPr>
            </w:pPr>
            <w:r w:rsidRPr="005C3B55">
              <w:rPr>
                <w:szCs w:val="24"/>
              </w:rPr>
              <w:t>Prior to entering in the operation ‘Conservation of steep meadow habitats’, a beneficiary will have to undergo a mandatory six-hour training which is one of the eligibility conditions. At the training, the beneficiary will become acquainted with the eligibility conditions for entering in the operation and the conditions of individual requirements for implementing the operation, including the Rural Development Programme 2014–2020 and the national regulation regulating payments for the M10 measure.</w:t>
            </w:r>
          </w:p>
          <w:p w:rsidR="00F555D6" w:rsidRPr="005C3B55" w:rsidRDefault="00F555D6" w:rsidP="00F555D6">
            <w:pPr>
              <w:spacing w:before="240" w:after="240" w:line="280" w:lineRule="auto"/>
              <w:rPr>
                <w:szCs w:val="24"/>
              </w:rPr>
            </w:pPr>
            <w:r w:rsidRPr="005C3B55">
              <w:rPr>
                <w:szCs w:val="24"/>
              </w:rPr>
              <w:t>After training, the beneficiary will be able to prepare a programme of activities of the agricultural holding, which is one of the eligibility conditions, and in which it will determine which operation and requirements to implement within the M10 measure.</w:t>
            </w:r>
          </w:p>
          <w:p w:rsidR="00F555D6" w:rsidRPr="005C3B55" w:rsidRDefault="00F555D6" w:rsidP="00F555D6">
            <w:pPr>
              <w:spacing w:before="240" w:after="240" w:line="280" w:lineRule="auto"/>
              <w:rPr>
                <w:szCs w:val="24"/>
              </w:rPr>
            </w:pPr>
            <w:r w:rsidRPr="005C3B55">
              <w:rPr>
                <w:b/>
                <w:szCs w:val="24"/>
              </w:rPr>
              <w:t>R8: IT systems</w:t>
            </w:r>
          </w:p>
          <w:p w:rsidR="00F555D6" w:rsidRPr="005C3B55" w:rsidRDefault="00F555D6" w:rsidP="00F555D6">
            <w:pPr>
              <w:spacing w:before="240" w:after="240" w:line="280" w:lineRule="auto"/>
              <w:rPr>
                <w:szCs w:val="24"/>
              </w:rPr>
            </w:pPr>
            <w:r w:rsidRPr="005C3B55">
              <w:rPr>
                <w:szCs w:val="24"/>
              </w:rPr>
              <w:t>Suitable connections will be established and databases arranged (records, codes and combinations of requirements between operations).</w:t>
            </w:r>
          </w:p>
          <w:p w:rsidR="00F555D6" w:rsidRPr="005C3B55" w:rsidRDefault="00F555D6" w:rsidP="00F555D6">
            <w:pPr>
              <w:spacing w:before="240" w:after="240" w:line="280" w:lineRule="auto"/>
              <w:rPr>
                <w:szCs w:val="24"/>
              </w:rPr>
            </w:pPr>
            <w:r w:rsidRPr="005C3B55">
              <w:rPr>
                <w:b/>
                <w:szCs w:val="24"/>
              </w:rPr>
              <w:t>R9: Requests for payment</w:t>
            </w:r>
          </w:p>
          <w:p w:rsidR="00F555D6" w:rsidRPr="005C3B55" w:rsidRDefault="00F555D6" w:rsidP="00F555D6">
            <w:pPr>
              <w:spacing w:before="240" w:after="240" w:line="280" w:lineRule="auto"/>
              <w:rPr>
                <w:szCs w:val="24"/>
              </w:rPr>
            </w:pPr>
            <w:r w:rsidRPr="005C3B55">
              <w:rPr>
                <w:szCs w:val="24"/>
              </w:rPr>
              <w:t>Mandatory annual four-hour training and mandatory use of advisory services at least once in the first three years of the commitment are introduced in order for beneficiaries to be suitably informed about all conditions and requirements for the implementation of the M10 measure. Regular annual informing of beneficiaries about their commitments related to the implementation of the M10 measure as part of the annual campaign for implementing requests for agricultural policy measures during the year and also within the scope of specific and purpose-oriented informing of beneficiaries is envisaged</w:t>
            </w:r>
            <w:r w:rsidRPr="005C3B55">
              <w:rPr>
                <w:rFonts w:ascii="TimesNewRoman" w:hAnsi="TimesNewRoman"/>
                <w:szCs w:val="24"/>
              </w:rPr>
              <w:t>.</w:t>
            </w:r>
          </w:p>
          <w:p w:rsidR="00F555D6" w:rsidRPr="005C3B55" w:rsidRDefault="00F555D6" w:rsidP="00F555D6">
            <w:pPr>
              <w:spacing w:before="240" w:after="240" w:line="280" w:lineRule="auto"/>
              <w:rPr>
                <w:szCs w:val="24"/>
              </w:rPr>
            </w:pPr>
            <w:r w:rsidRPr="005C3B55">
              <w:rPr>
                <w:szCs w:val="24"/>
              </w:rPr>
              <w:t>On the basis of the programme of activities, the request for payment will be submitted electronically on prescribed forms, by means of which a beneficiary will define for which requirements within individual operations of the M10 measure it will request payment.</w:t>
            </w:r>
          </w:p>
          <w:p w:rsidR="00F555D6" w:rsidRPr="005C3B55" w:rsidRDefault="00F555D6" w:rsidP="00F555D6">
            <w:pPr>
              <w:spacing w:before="240" w:after="240" w:line="280" w:lineRule="auto"/>
              <w:rPr>
                <w:szCs w:val="24"/>
              </w:rPr>
            </w:pPr>
            <w:r w:rsidRPr="005C3B55">
              <w:rPr>
                <w:szCs w:val="24"/>
              </w:rPr>
              <w:t>The upgrading of the IT system for administrative control will be implemented, which will allow certain verifications and controls already upon the submission of the request for payment (size of surface, suitability of areas, and suitability of combinations of requests and operations).</w:t>
            </w:r>
          </w:p>
          <w:p w:rsidR="00F555D6" w:rsidRPr="005C3B55" w:rsidRDefault="00F555D6" w:rsidP="00F555D6">
            <w:pPr>
              <w:spacing w:before="240" w:after="240" w:line="280" w:lineRule="auto"/>
              <w:rPr>
                <w:szCs w:val="24"/>
              </w:rPr>
            </w:pPr>
            <w:r w:rsidRPr="005C3B55">
              <w:rPr>
                <w:szCs w:val="24"/>
              </w:rPr>
              <w:t>If a beneficiary fails to meet the eligibility conditions for entering measure M10, they will be alerted to the shortcomings which they will be able to eliminate by the prescribed deadline; otherwise, it will not be possible to submit a request for the payment of measure M10.</w:t>
            </w:r>
          </w:p>
          <w:p w:rsidR="00F555D6" w:rsidRPr="005C3B55" w:rsidRDefault="00F555D6" w:rsidP="00F555D6">
            <w:pPr>
              <w:spacing w:before="240" w:after="240" w:line="280" w:lineRule="auto"/>
              <w:rPr>
                <w:szCs w:val="24"/>
              </w:rPr>
            </w:pPr>
            <w:r w:rsidRPr="005C3B55">
              <w:rPr>
                <w:szCs w:val="24"/>
              </w:rPr>
              <w:t>Unpermitted combinations between operations and unpermitted combinations of this operation with requirements within other operations of the M10 measure will be disabled.</w:t>
            </w:r>
          </w:p>
          <w:p w:rsidR="00F555D6" w:rsidRPr="005C3B55" w:rsidRDefault="00F555D6" w:rsidP="00F555D6">
            <w:pPr>
              <w:spacing w:before="240" w:after="240" w:line="280" w:lineRule="auto"/>
              <w:rPr>
                <w:szCs w:val="24"/>
              </w:rPr>
            </w:pPr>
            <w:r w:rsidRPr="005C3B55">
              <w:rPr>
                <w:szCs w:val="24"/>
              </w:rPr>
              <w:t>A beneficiary who will also be included in the implementation of the M11 measure will not have the opportunity to submit the request for unauthorised combinations of this measure with the M10 measure.</w:t>
            </w:r>
          </w:p>
          <w:p w:rsidR="00F555D6" w:rsidRPr="005C3B55" w:rsidRDefault="00F555D6" w:rsidP="00F555D6">
            <w:pPr>
              <w:pStyle w:val="Telobesedila"/>
              <w:rPr>
                <w:szCs w:val="24"/>
              </w:rPr>
            </w:pPr>
          </w:p>
        </w:tc>
      </w:tr>
    </w:tbl>
    <w:p w:rsidR="00F555D6" w:rsidRPr="005C3B55" w:rsidRDefault="00F555D6" w:rsidP="00F555D6">
      <w:pPr>
        <w:pStyle w:val="Naslov7"/>
        <w:tabs>
          <w:tab w:val="clear" w:pos="765"/>
        </w:tabs>
        <w:ind w:left="0" w:firstLine="0"/>
        <w:rPr>
          <w:szCs w:val="24"/>
          <w:lang w:val="en-GB"/>
        </w:rPr>
      </w:pPr>
      <w:r w:rsidRPr="005C3B55">
        <w:rPr>
          <w:noProof w:val="0"/>
          <w:szCs w:val="24"/>
          <w:lang w:val="en-GB"/>
        </w:rPr>
        <w:t>General assessment of the measure</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 xml:space="preserve">Described in Chapter </w:t>
            </w:r>
            <w:r w:rsidRPr="005C3B55">
              <w:rPr>
                <w:i/>
                <w:szCs w:val="24"/>
              </w:rPr>
              <w:t>8.2.9.4.3 General assessment of the measure</w:t>
            </w:r>
            <w:r w:rsidRPr="005C3B55">
              <w:rPr>
                <w:szCs w:val="24"/>
              </w:rPr>
              <w:t>.</w:t>
            </w:r>
          </w:p>
          <w:p w:rsidR="00F555D6" w:rsidRPr="005C3B55" w:rsidRDefault="00F555D6" w:rsidP="00F555D6">
            <w:pPr>
              <w:pStyle w:val="Telobesedila"/>
              <w:rPr>
                <w:szCs w:val="24"/>
              </w:rPr>
            </w:pPr>
          </w:p>
        </w:tc>
      </w:tr>
    </w:tbl>
    <w:p w:rsidR="00F555D6" w:rsidRPr="005C3B55" w:rsidRDefault="00F555D6" w:rsidP="00F555D6">
      <w:pPr>
        <w:pStyle w:val="Naslov7"/>
        <w:tabs>
          <w:tab w:val="clear" w:pos="765"/>
        </w:tabs>
        <w:ind w:left="0" w:firstLine="0"/>
        <w:rPr>
          <w:szCs w:val="24"/>
          <w:lang w:val="en-GB"/>
        </w:rPr>
      </w:pPr>
      <w:r w:rsidRPr="005C3B55">
        <w:rPr>
          <w:noProof w:val="0"/>
          <w:szCs w:val="24"/>
          <w:lang w:val="en-GB"/>
        </w:rPr>
        <w:t>Agri-environment-climate commitments</w:t>
      </w:r>
    </w:p>
    <w:p w:rsidR="00F555D6" w:rsidRPr="005C3B55" w:rsidRDefault="00F555D6" w:rsidP="00F555D6">
      <w:pPr>
        <w:pStyle w:val="Naslov8"/>
        <w:tabs>
          <w:tab w:val="clear" w:pos="765"/>
        </w:tabs>
        <w:ind w:left="0" w:firstLine="0"/>
        <w:rPr>
          <w:b w:val="0"/>
          <w:szCs w:val="24"/>
          <w:lang w:val="en-GB"/>
        </w:rPr>
      </w:pPr>
      <w:r w:rsidRPr="005C3B55">
        <w:rPr>
          <w:b w:val="0"/>
          <w:noProof w:val="0"/>
          <w:szCs w:val="24"/>
          <w:lang w:val="en-GB"/>
        </w:rPr>
        <w:t>KRA_S50:</w:t>
      </w:r>
      <w:r w:rsidRPr="005C3B55">
        <w:rPr>
          <w:b w:val="0"/>
          <w:szCs w:val="24"/>
          <w:lang w:val="en-GB"/>
        </w:rPr>
        <w:t xml:space="preserve"> </w:t>
      </w:r>
      <w:r w:rsidRPr="005C3B55">
        <w:rPr>
          <w:b w:val="0"/>
          <w:noProof w:val="0"/>
          <w:szCs w:val="24"/>
          <w:lang w:val="en-GB"/>
        </w:rPr>
        <w:t>Conservation of steep meadow habitats</w:t>
      </w:r>
    </w:p>
    <w:p w:rsidR="00F555D6" w:rsidRPr="005C3B55" w:rsidRDefault="00F555D6" w:rsidP="00F555D6">
      <w:pPr>
        <w:pStyle w:val="Naslov9"/>
        <w:tabs>
          <w:tab w:val="clear" w:pos="765"/>
        </w:tabs>
        <w:ind w:left="0" w:firstLine="0"/>
        <w:rPr>
          <w:szCs w:val="24"/>
          <w:lang w:val="en-GB"/>
        </w:rPr>
      </w:pPr>
      <w:r w:rsidRPr="005C3B55">
        <w:rPr>
          <w:noProof w:val="0"/>
          <w:szCs w:val="24"/>
          <w:lang w:val="en-GB"/>
        </w:rPr>
        <w:t>Methods of commitment verification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Administrative control:</w:t>
            </w:r>
          </w:p>
          <w:p w:rsidR="00F555D6" w:rsidRPr="005C3B55" w:rsidRDefault="00F555D6" w:rsidP="00F555D6">
            <w:pPr>
              <w:numPr>
                <w:ilvl w:val="0"/>
                <w:numId w:val="739"/>
              </w:numPr>
              <w:spacing w:before="240" w:after="0"/>
              <w:ind w:hanging="290"/>
              <w:jc w:val="left"/>
              <w:rPr>
                <w:szCs w:val="24"/>
              </w:rPr>
            </w:pPr>
            <w:r w:rsidRPr="005C3B55">
              <w:rPr>
                <w:szCs w:val="24"/>
              </w:rPr>
              <w:t>control of inclination through the register of agricultural holdings.</w:t>
            </w:r>
          </w:p>
          <w:p w:rsidR="00F555D6" w:rsidRPr="005C3B55" w:rsidRDefault="00F555D6" w:rsidP="00F555D6">
            <w:pPr>
              <w:numPr>
                <w:ilvl w:val="0"/>
                <w:numId w:val="739"/>
              </w:numPr>
              <w:spacing w:before="0" w:after="240"/>
              <w:ind w:hanging="290"/>
              <w:jc w:val="left"/>
              <w:rPr>
                <w:szCs w:val="24"/>
              </w:rPr>
            </w:pPr>
            <w:r w:rsidRPr="005C3B55">
              <w:rPr>
                <w:szCs w:val="24"/>
              </w:rPr>
              <w:t>suitability of the agricultural plant through collective application.</w:t>
            </w:r>
          </w:p>
          <w:p w:rsidR="00F555D6" w:rsidRPr="005C3B55" w:rsidRDefault="00F555D6" w:rsidP="00F555D6">
            <w:pPr>
              <w:spacing w:before="240" w:after="240" w:line="280" w:lineRule="auto"/>
              <w:rPr>
                <w:szCs w:val="24"/>
              </w:rPr>
            </w:pPr>
            <w:r w:rsidRPr="005C3B55">
              <w:rPr>
                <w:szCs w:val="24"/>
              </w:rPr>
              <w:t>Registers/records:</w:t>
            </w:r>
          </w:p>
          <w:p w:rsidR="00F555D6" w:rsidRPr="005C3B55" w:rsidRDefault="00F555D6" w:rsidP="00F555D6">
            <w:pPr>
              <w:numPr>
                <w:ilvl w:val="0"/>
                <w:numId w:val="740"/>
              </w:numPr>
              <w:spacing w:before="240" w:after="0"/>
              <w:ind w:hanging="290"/>
              <w:jc w:val="left"/>
              <w:rPr>
                <w:szCs w:val="24"/>
              </w:rPr>
            </w:pPr>
            <w:r w:rsidRPr="005C3B55">
              <w:rPr>
                <w:szCs w:val="24"/>
              </w:rPr>
              <w:t>register of agricultural holdings;</w:t>
            </w:r>
          </w:p>
          <w:p w:rsidR="00F555D6" w:rsidRPr="005C3B55" w:rsidRDefault="00F555D6" w:rsidP="00F555D6">
            <w:pPr>
              <w:numPr>
                <w:ilvl w:val="0"/>
                <w:numId w:val="740"/>
              </w:numPr>
              <w:spacing w:before="0" w:after="240"/>
              <w:ind w:hanging="290"/>
              <w:jc w:val="left"/>
              <w:rPr>
                <w:szCs w:val="24"/>
              </w:rPr>
            </w:pPr>
            <w:r w:rsidRPr="005C3B55">
              <w:rPr>
                <w:szCs w:val="24"/>
              </w:rPr>
              <w:t>graphical agricultural unit of agricultural holding (GERK).</w:t>
            </w:r>
          </w:p>
          <w:p w:rsidR="00F555D6" w:rsidRPr="005C3B55" w:rsidRDefault="00F555D6" w:rsidP="00F555D6">
            <w:pPr>
              <w:spacing w:before="240" w:after="240" w:line="280" w:lineRule="auto"/>
              <w:rPr>
                <w:szCs w:val="24"/>
              </w:rPr>
            </w:pPr>
            <w:r w:rsidRPr="005C3B55">
              <w:rPr>
                <w:szCs w:val="24"/>
              </w:rPr>
              <w:t>On-site control:</w:t>
            </w:r>
          </w:p>
          <w:p w:rsidR="00F555D6" w:rsidRPr="005C3B55" w:rsidRDefault="00F555D6" w:rsidP="00F555D6">
            <w:pPr>
              <w:numPr>
                <w:ilvl w:val="0"/>
                <w:numId w:val="741"/>
              </w:numPr>
              <w:spacing w:before="240" w:after="0"/>
              <w:ind w:hanging="290"/>
              <w:jc w:val="left"/>
              <w:rPr>
                <w:szCs w:val="24"/>
              </w:rPr>
            </w:pPr>
            <w:r w:rsidRPr="005C3B55">
              <w:rPr>
                <w:szCs w:val="24"/>
              </w:rPr>
              <w:t>records on works;</w:t>
            </w:r>
          </w:p>
          <w:p w:rsidR="00F555D6" w:rsidRPr="005C3B55" w:rsidRDefault="00F555D6" w:rsidP="00F555D6">
            <w:pPr>
              <w:numPr>
                <w:ilvl w:val="0"/>
                <w:numId w:val="741"/>
              </w:numPr>
              <w:spacing w:before="0" w:after="240"/>
              <w:ind w:hanging="290"/>
              <w:jc w:val="left"/>
              <w:rPr>
                <w:szCs w:val="24"/>
              </w:rPr>
            </w:pPr>
            <w:r w:rsidRPr="005C3B55">
              <w:rPr>
                <w:szCs w:val="24"/>
              </w:rPr>
              <w:t>review of the agricultural holding.</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Information that relates specifically to the operation</w:t>
      </w:r>
    </w:p>
    <w:p w:rsidR="00F555D6" w:rsidRPr="005C3B55" w:rsidRDefault="00F555D6" w:rsidP="00F555D6">
      <w:pPr>
        <w:spacing w:line="280" w:lineRule="auto"/>
        <w:rPr>
          <w:szCs w:val="24"/>
        </w:rPr>
      </w:pPr>
      <w:r w:rsidRPr="005C3B55">
        <w:rPr>
          <w:szCs w:val="24"/>
        </w:rPr>
        <w:t>Definition and identification of the relevant basic elements; this should include the relevant mandatory standards determined in accordance with Chapter I of Title VI of Regulation (EU) No 1306/2013 of the European Parliament and of the Council, relevant criteria and minimum activities determined in accordance with points (c)(ii) and (c)(iii) of the first paragraph of Article 4 of Regulation (EU) No 1307/2013 of the European Parliament and of the Council, relevant minimum requirements for the use of organic fertilisers and plant protection products and relevant mandatory requirements determined by national law</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 xml:space="preserve">Described in the chapter </w:t>
            </w:r>
            <w:r w:rsidRPr="005C3B55">
              <w:rPr>
                <w:i/>
                <w:szCs w:val="24"/>
              </w:rPr>
              <w:t>Agri-environment-climate commitments</w:t>
            </w:r>
            <w:r w:rsidRPr="005C3B55">
              <w:rPr>
                <w:szCs w:val="24"/>
              </w:rPr>
              <w:t>.</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 xml:space="preserve">Minimum requirements for fertilisers must include, inter alia, the Codes of Good Practice introduced under Directive 91/676/EEC for farms outside Nitrate Vulnerable Zones, and requirements concerning phosphorous pollution; minimum requirements for plant protection products use must include, </w:t>
      </w:r>
      <w:r w:rsidRPr="005C3B55">
        <w:rPr>
          <w:i/>
          <w:szCs w:val="24"/>
        </w:rPr>
        <w:t>inter alia</w:t>
      </w:r>
      <w:r w:rsidRPr="005C3B55">
        <w:rPr>
          <w:szCs w:val="24"/>
        </w:rPr>
        <w:t>, general principles for integrated pest management introduced with Directive 2009/128/EC, requirements to have a licence to use the products and meet training obligations, requirements on safe storage, the checking of application machinery and rules on pesticide use close to water and other sensitive sites, as established by national legislation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 xml:space="preserve">Described in the chapter </w:t>
            </w:r>
            <w:r w:rsidRPr="005C3B55">
              <w:rPr>
                <w:i/>
                <w:szCs w:val="24"/>
              </w:rPr>
              <w:t>Agri-environment-climate commitments</w:t>
            </w:r>
            <w:r w:rsidRPr="005C3B55">
              <w:rPr>
                <w:szCs w:val="24"/>
              </w:rPr>
              <w:t>.</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List of local breeds in danger of being lost to farming and for plant genetic resources under threat of genetic erosion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Not relevant.</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The description of the methodology and of the agronomic assumptions and parameters, including the description of the baseline requirements as stated in Article 29(2) of Regulation (EU) No 1305/2013, which are relevant for each particular type of commitment used as reference point for the calculations which justify: additional costs and lost revenue due to the assumed commitment and the amount of transaction costs; where necessary, the methodology takes into account the support granted under Regulation (EU) No 1307/2013, including payments for agricultural practices that favourably affect the climate and environment, in order to prevent the possibility of dual financing; where appropriate, the conversion method used for other units in accordance with Article 9 of this Regulation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The calculation of the amount of payments for the operation ‘Conservation of steep meadows habitats’ observes:</w:t>
            </w:r>
          </w:p>
          <w:p w:rsidR="00F555D6" w:rsidRPr="005C3B55" w:rsidRDefault="00F555D6" w:rsidP="00F555D6">
            <w:pPr>
              <w:spacing w:before="240" w:after="240" w:line="280" w:lineRule="auto"/>
              <w:rPr>
                <w:szCs w:val="24"/>
              </w:rPr>
            </w:pPr>
            <w:r w:rsidRPr="005C3B55">
              <w:rPr>
                <w:szCs w:val="24"/>
              </w:rPr>
              <w:t>KRA_S50: The basis for calculating the payment is hay production on a meadow mown once. Mechanical mowing and raking with adjusted machinery are replaced by manual labour for producing hay on meadows mown once.</w:t>
            </w:r>
          </w:p>
          <w:p w:rsidR="00F555D6" w:rsidRPr="005C3B55" w:rsidRDefault="00F555D6" w:rsidP="00F555D6">
            <w:pPr>
              <w:pStyle w:val="Telobesedila"/>
              <w:rPr>
                <w:szCs w:val="24"/>
              </w:rPr>
            </w:pPr>
          </w:p>
        </w:tc>
      </w:tr>
    </w:tbl>
    <w:p w:rsidR="00F555D6" w:rsidRPr="005C3B55" w:rsidRDefault="00F555D6" w:rsidP="00F555D6">
      <w:pPr>
        <w:pStyle w:val="Naslov7"/>
        <w:tabs>
          <w:tab w:val="clear" w:pos="765"/>
        </w:tabs>
        <w:ind w:left="0" w:firstLine="0"/>
        <w:rPr>
          <w:szCs w:val="24"/>
          <w:lang w:val="en-GB"/>
        </w:rPr>
      </w:pPr>
      <w:r w:rsidRPr="005C3B55">
        <w:rPr>
          <w:noProof w:val="0"/>
          <w:szCs w:val="24"/>
          <w:lang w:val="en-GB"/>
        </w:rPr>
        <w:t>Agri-environment-climate commitments</w:t>
      </w:r>
    </w:p>
    <w:p w:rsidR="00F555D6" w:rsidRPr="005C3B55" w:rsidRDefault="00F555D6" w:rsidP="00F555D6">
      <w:pPr>
        <w:pStyle w:val="Naslov8"/>
        <w:tabs>
          <w:tab w:val="clear" w:pos="765"/>
        </w:tabs>
        <w:ind w:left="0" w:firstLine="0"/>
        <w:rPr>
          <w:b w:val="0"/>
          <w:szCs w:val="24"/>
          <w:lang w:val="en-GB"/>
        </w:rPr>
      </w:pPr>
      <w:r w:rsidRPr="005C3B55">
        <w:rPr>
          <w:b w:val="0"/>
          <w:noProof w:val="0"/>
          <w:szCs w:val="24"/>
          <w:lang w:val="en-GB"/>
        </w:rPr>
        <w:t>KRA_S50:</w:t>
      </w:r>
      <w:r w:rsidRPr="005C3B55">
        <w:rPr>
          <w:b w:val="0"/>
          <w:szCs w:val="24"/>
          <w:lang w:val="en-GB"/>
        </w:rPr>
        <w:t xml:space="preserve"> </w:t>
      </w:r>
      <w:r w:rsidRPr="005C3B55">
        <w:rPr>
          <w:b w:val="0"/>
          <w:noProof w:val="0"/>
          <w:szCs w:val="24"/>
          <w:lang w:val="en-GB"/>
        </w:rPr>
        <w:t>Conservation of steep meadow habitats</w:t>
      </w:r>
    </w:p>
    <w:p w:rsidR="00F555D6" w:rsidRPr="005C3B55" w:rsidRDefault="00F555D6" w:rsidP="00F555D6">
      <w:pPr>
        <w:pStyle w:val="Naslov9"/>
        <w:tabs>
          <w:tab w:val="clear" w:pos="765"/>
        </w:tabs>
        <w:ind w:left="0" w:firstLine="0"/>
        <w:rPr>
          <w:szCs w:val="24"/>
          <w:lang w:val="en-GB"/>
        </w:rPr>
      </w:pPr>
      <w:r w:rsidRPr="005C3B55">
        <w:rPr>
          <w:noProof w:val="0"/>
          <w:szCs w:val="24"/>
          <w:lang w:val="en-GB"/>
        </w:rPr>
        <w:t>Starting Point</w:t>
      </w:r>
    </w:p>
    <w:p w:rsidR="00F555D6" w:rsidRPr="005C3B55" w:rsidRDefault="00F555D6" w:rsidP="00F555D6">
      <w:pPr>
        <w:spacing w:line="280" w:lineRule="auto"/>
        <w:rPr>
          <w:szCs w:val="24"/>
        </w:rPr>
      </w:pPr>
      <w:r w:rsidRPr="005C3B55">
        <w:rPr>
          <w:szCs w:val="24"/>
        </w:rPr>
        <w:t>Suitable good agricultural and environmental conditions and/or prescribed management requirements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742"/>
              </w:numPr>
              <w:spacing w:before="0" w:after="0"/>
              <w:ind w:hanging="290"/>
              <w:jc w:val="left"/>
              <w:rPr>
                <w:szCs w:val="24"/>
              </w:rPr>
            </w:pPr>
            <w:r w:rsidRPr="005C3B55">
              <w:rPr>
                <w:szCs w:val="24"/>
              </w:rPr>
              <w:t>Regulation on cross-compliance, Annex 1: Rules on cross-compliance, SMR 3: Conservation of natural habitats and of wild fauna and flora: grassland areas in the areas of Natura 2000 – habitats are maintained at least once annually no later than by 15 October of the current year.</w:t>
            </w:r>
          </w:p>
          <w:p w:rsidR="00F555D6" w:rsidRPr="005C3B55" w:rsidRDefault="00F555D6" w:rsidP="00F555D6">
            <w:pPr>
              <w:numPr>
                <w:ilvl w:val="0"/>
                <w:numId w:val="742"/>
              </w:numPr>
              <w:spacing w:before="0" w:after="0"/>
              <w:ind w:hanging="290"/>
              <w:jc w:val="left"/>
              <w:rPr>
                <w:szCs w:val="24"/>
              </w:rPr>
            </w:pPr>
            <w:r w:rsidRPr="005C3B55">
              <w:rPr>
                <w:szCs w:val="24"/>
              </w:rPr>
              <w:t>Regulation on cross-compliance, Annex 1: Rules on cross-compliance, SMR 2: grassland areas in the areas of Natura 2000 – birds are maintained at least once annually no later than by 15 October of the current year.</w:t>
            </w:r>
          </w:p>
          <w:p w:rsidR="00F555D6" w:rsidRPr="005C3B55" w:rsidRDefault="00F555D6" w:rsidP="00F555D6">
            <w:pPr>
              <w:numPr>
                <w:ilvl w:val="0"/>
                <w:numId w:val="742"/>
              </w:numPr>
              <w:spacing w:before="0" w:after="240"/>
              <w:ind w:hanging="290"/>
              <w:jc w:val="left"/>
              <w:rPr>
                <w:szCs w:val="24"/>
              </w:rPr>
            </w:pPr>
            <w:r w:rsidRPr="005C3B55">
              <w:rPr>
                <w:szCs w:val="24"/>
              </w:rPr>
              <w:t>Regulation on cross-compliance, Annex 1: Rules on cross-compliance, GAEC7: agricultural land is annually cultivated at least by 15 October of the current year.</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Minimum requirements for the use of fertilisers and plant protection products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743"/>
              </w:numPr>
              <w:spacing w:before="0" w:after="0"/>
              <w:ind w:hanging="290"/>
              <w:jc w:val="left"/>
              <w:rPr>
                <w:szCs w:val="24"/>
              </w:rPr>
            </w:pPr>
            <w:r w:rsidRPr="005C3B55">
              <w:rPr>
                <w:szCs w:val="24"/>
              </w:rPr>
              <w:t>Minimum requirements for the use of fertilisers refer to the keeping of records on the use of livestock and mineral fertilisers which an agricultural holding has to keep for all agricultural land plots at the agricultural holding, and which has to include at least the quantity and type of livestock manure and mineral fertiliser, time of fertilising and data on the surface where these fertilisers are used.</w:t>
            </w:r>
          </w:p>
          <w:p w:rsidR="00F555D6" w:rsidRPr="005C3B55" w:rsidRDefault="00F555D6" w:rsidP="00F555D6">
            <w:pPr>
              <w:numPr>
                <w:ilvl w:val="0"/>
                <w:numId w:val="743"/>
              </w:numPr>
              <w:spacing w:before="0" w:after="240"/>
              <w:ind w:hanging="290"/>
              <w:jc w:val="left"/>
              <w:rPr>
                <w:szCs w:val="24"/>
              </w:rPr>
            </w:pPr>
            <w:r w:rsidRPr="005C3B55">
              <w:rPr>
                <w:szCs w:val="24"/>
              </w:rPr>
              <w:t>Minimum requirements for the use of plant protection products are not determined, since the requirements relating to the use of these products are standardised and are included in the requirements of cross-compliance.</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Other relevant national/regional requirements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744"/>
              </w:numPr>
              <w:spacing w:before="0" w:after="0"/>
              <w:ind w:hanging="290"/>
              <w:jc w:val="left"/>
              <w:rPr>
                <w:szCs w:val="24"/>
              </w:rPr>
            </w:pPr>
            <w:r w:rsidRPr="005C3B55">
              <w:rPr>
                <w:szCs w:val="24"/>
              </w:rPr>
              <w:t>Rules on integrated pest management (Official Gazette of the Republic of Slovenia, no. 43/14): In accordance with Article 4, the optimal growth of crop is ensured with balanced fertilisation with organic and mineral fertilisers in accordance with the needs of plants and irrigation techniques, where this is possible.</w:t>
            </w:r>
          </w:p>
          <w:p w:rsidR="00F555D6" w:rsidRPr="005C3B55" w:rsidRDefault="00F555D6" w:rsidP="00F555D6">
            <w:pPr>
              <w:numPr>
                <w:ilvl w:val="0"/>
                <w:numId w:val="744"/>
              </w:numPr>
              <w:spacing w:before="0" w:after="240"/>
              <w:ind w:hanging="290"/>
              <w:jc w:val="left"/>
              <w:rPr>
                <w:szCs w:val="24"/>
              </w:rPr>
            </w:pPr>
            <w:r w:rsidRPr="005C3B55">
              <w:rPr>
                <w:szCs w:val="24"/>
              </w:rPr>
              <w:t xml:space="preserve">Rules on integrated pest management (Official Gazette of the Republic of Slovenia, no. 43/14): Pursuant to Article 6, the user may use plant protection products for professional application when he estimates that low-risk methods of plant protection may not attain a sufficient effect in controlling harmful organisms. When applying plant protection products for professional use, the rules and code of ethics of the producer need to be observed in terms of the use of plant protection products in order to prevent the development of resistance of harmful organisms or weeds against the plant protection products. Also, all prescribed warnings, particularly warnings on protection areas alongside waters, the protection of bees and other non-target organisms need to be observed, as well as warnings on the limited application stated on the label and instructions for the use of plant protection products and in terms of the application of personal protection equipment during treatments. </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Minimum activities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745"/>
              </w:numPr>
              <w:spacing w:before="0" w:after="240"/>
              <w:jc w:val="left"/>
              <w:rPr>
                <w:szCs w:val="24"/>
              </w:rPr>
            </w:pPr>
            <w:r w:rsidRPr="005C3B55">
              <w:rPr>
                <w:szCs w:val="24"/>
              </w:rPr>
              <w:t>Mowing at least once annually by 15 October of the current year is determined as a criterion for maintaining agricultural land in a state suitable for pasturing or production without the preparation measures which exceed the use of regular agricultural methods and machinery.</w:t>
            </w:r>
          </w:p>
          <w:p w:rsidR="00F555D6" w:rsidRPr="005C3B55" w:rsidRDefault="00F555D6" w:rsidP="00F555D6">
            <w:pPr>
              <w:pStyle w:val="Telobesedila"/>
              <w:rPr>
                <w:szCs w:val="24"/>
              </w:rPr>
            </w:pPr>
          </w:p>
        </w:tc>
      </w:tr>
    </w:tbl>
    <w:p w:rsidR="00F555D6" w:rsidRPr="005C3B55" w:rsidRDefault="00F555D6" w:rsidP="00F555D6">
      <w:pPr>
        <w:pStyle w:val="Naslov9"/>
        <w:tabs>
          <w:tab w:val="clear" w:pos="765"/>
        </w:tabs>
        <w:ind w:left="0" w:firstLine="0"/>
        <w:rPr>
          <w:szCs w:val="24"/>
          <w:lang w:val="en-GB"/>
        </w:rPr>
      </w:pPr>
      <w:r w:rsidRPr="005C3B55">
        <w:rPr>
          <w:noProof w:val="0"/>
          <w:szCs w:val="24"/>
          <w:lang w:val="en-GB"/>
        </w:rPr>
        <w:t>Relevant standard agricultural practices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Slovenia has a very diverse agricultural landscape, characterised by very undulating relief. Steep meadows are very frequent elements of agricultural landscape. As part of the agricultural landscape, they should be maintained regularly; however, due to their steepness, the use of these meadows is being abandoned, which also has a negative impact on the diversity of their species and thus the reduction of biodiversity.</w:t>
            </w:r>
          </w:p>
          <w:p w:rsidR="00F555D6" w:rsidRPr="005C3B55" w:rsidRDefault="00F555D6" w:rsidP="00F555D6">
            <w:pPr>
              <w:pStyle w:val="Telobesedila"/>
              <w:rPr>
                <w:szCs w:val="24"/>
              </w:rPr>
            </w:pPr>
          </w:p>
        </w:tc>
      </w:tr>
    </w:tbl>
    <w:p w:rsidR="00F555D6" w:rsidRPr="005C3B55" w:rsidRDefault="00F555D6" w:rsidP="00F555D6">
      <w:pPr>
        <w:pStyle w:val="Naslov5"/>
        <w:tabs>
          <w:tab w:val="clear" w:pos="765"/>
        </w:tabs>
        <w:ind w:left="0" w:firstLine="0"/>
        <w:rPr>
          <w:b w:val="0"/>
          <w:szCs w:val="24"/>
          <w:lang w:val="en-GB"/>
        </w:rPr>
      </w:pPr>
      <w:r w:rsidRPr="005C3B55">
        <w:rPr>
          <w:b w:val="0"/>
          <w:szCs w:val="24"/>
          <w:lang w:val="en-GB"/>
        </w:rPr>
        <w:br w:type="page"/>
        <w:t>13.</w:t>
      </w:r>
      <w:r w:rsidRPr="005C3B55">
        <w:rPr>
          <w:b w:val="0"/>
          <w:szCs w:val="24"/>
          <w:lang w:val="en-GB"/>
        </w:rPr>
        <w:tab/>
      </w:r>
      <w:r w:rsidRPr="005C3B55">
        <w:rPr>
          <w:b w:val="0"/>
          <w:noProof w:val="0"/>
          <w:szCs w:val="24"/>
          <w:lang w:val="en-GB"/>
        </w:rPr>
        <w:t>Hummocky meadows</w:t>
      </w:r>
    </w:p>
    <w:p w:rsidR="00F555D6" w:rsidRPr="005C3B55" w:rsidRDefault="00F555D6" w:rsidP="00F555D6">
      <w:pPr>
        <w:spacing w:line="280" w:lineRule="auto"/>
        <w:rPr>
          <w:szCs w:val="24"/>
        </w:rPr>
      </w:pPr>
      <w:r w:rsidRPr="005C3B55">
        <w:rPr>
          <w:szCs w:val="24"/>
        </w:rPr>
        <w:t xml:space="preserve">Sub-measure: </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746"/>
              </w:numPr>
              <w:rPr>
                <w:szCs w:val="24"/>
              </w:rPr>
            </w:pPr>
            <w:r w:rsidRPr="005C3B55">
              <w:rPr>
                <w:szCs w:val="24"/>
              </w:rPr>
              <w:t>10.1 – Payment of agri-environment-climate commitments</w:t>
            </w:r>
            <w:r w:rsidRPr="005C3B55">
              <w:rPr>
                <w:szCs w:val="24"/>
              </w:rPr>
              <w:noBreakHyphen/>
              <w:t>{}</w:t>
            </w:r>
            <w:r w:rsidRPr="005C3B55">
              <w:rPr>
                <w:szCs w:val="24"/>
              </w:rPr>
              <w:noBreakHyphen/>
            </w:r>
          </w:p>
          <w:p w:rsidR="00F555D6" w:rsidRPr="005C3B55" w:rsidRDefault="00F555D6" w:rsidP="00F555D6">
            <w:pPr>
              <w:numPr>
                <w:ilvl w:val="0"/>
                <w:numId w:val="746"/>
              </w:numPr>
              <w:spacing w:before="0" w:after="0"/>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Description of type of operation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The operation ‘Hummocky meadows’ is implemented in the area of hummocky meadows and denotes the preservation of existing agricultural practices. Hummocky meadows are a particularity of agricultural landscape and natural heritage which are disappearing since they are difficult to cultivate manually. Hummocky meadows can be found on limestone glacier accumulations, especially ground moraines where shallow hollows have emerged due to chemical dilution. Shallow hollows are usually separated by less than 1 metre high round bulges called hummocky meadows. The intensification of production can cause the loss of this identity, and for economic reasons, also the loss of certain habitats and types, since these meadows are frequently levelled. In order to preserve these particularities, the operation anticipates at least one mowing and harvesting per year. Mechanical processing is not possible, and manual mowing and harvesting are very demanding and time-consuming due to uneven terrain. This type of farming contributes to the preservation of agriculture and typical landscape, natural particularities and habitats for many plant and animal species.</w:t>
            </w:r>
          </w:p>
          <w:p w:rsidR="00F555D6" w:rsidRPr="005C3B55" w:rsidRDefault="00F555D6" w:rsidP="00F555D6">
            <w:pPr>
              <w:spacing w:before="240" w:after="240" w:line="280" w:lineRule="auto"/>
              <w:rPr>
                <w:szCs w:val="24"/>
              </w:rPr>
            </w:pPr>
            <w:r w:rsidRPr="005C3B55">
              <w:rPr>
                <w:szCs w:val="24"/>
              </w:rPr>
              <w:t>In the implementation of this requirement, the use of mineral fertilisers and plant production products is not permitted, animal grazing is also not permitted.</w:t>
            </w:r>
          </w:p>
          <w:p w:rsidR="00F555D6" w:rsidRPr="005C3B55" w:rsidRDefault="00F555D6" w:rsidP="00F555D6">
            <w:pPr>
              <w:numPr>
                <w:ilvl w:val="0"/>
                <w:numId w:val="747"/>
              </w:numPr>
              <w:spacing w:before="240" w:after="0"/>
              <w:ind w:hanging="290"/>
              <w:jc w:val="left"/>
              <w:rPr>
                <w:szCs w:val="24"/>
              </w:rPr>
            </w:pPr>
            <w:r w:rsidRPr="005C3B55">
              <w:rPr>
                <w:szCs w:val="24"/>
              </w:rPr>
              <w:t>Use: permanent grassland.</w:t>
            </w:r>
          </w:p>
          <w:p w:rsidR="00F555D6" w:rsidRPr="005C3B55" w:rsidRDefault="00F555D6" w:rsidP="00F555D6">
            <w:pPr>
              <w:numPr>
                <w:ilvl w:val="0"/>
                <w:numId w:val="747"/>
              </w:numPr>
              <w:spacing w:before="0" w:after="0"/>
              <w:ind w:hanging="290"/>
              <w:jc w:val="left"/>
              <w:rPr>
                <w:szCs w:val="24"/>
              </w:rPr>
            </w:pPr>
            <w:r w:rsidRPr="005C3B55">
              <w:rPr>
                <w:szCs w:val="24"/>
              </w:rPr>
              <w:t>Coverage: part of the area.</w:t>
            </w:r>
          </w:p>
          <w:p w:rsidR="00F555D6" w:rsidRPr="005C3B55" w:rsidRDefault="00F555D6" w:rsidP="00F555D6">
            <w:pPr>
              <w:numPr>
                <w:ilvl w:val="0"/>
                <w:numId w:val="747"/>
              </w:numPr>
              <w:spacing w:before="0" w:after="0"/>
              <w:ind w:hanging="290"/>
              <w:jc w:val="left"/>
              <w:rPr>
                <w:szCs w:val="24"/>
              </w:rPr>
            </w:pPr>
            <w:r w:rsidRPr="005C3B55">
              <w:rPr>
                <w:szCs w:val="24"/>
              </w:rPr>
              <w:t>Location: not relevant.</w:t>
            </w:r>
          </w:p>
          <w:p w:rsidR="00F555D6" w:rsidRPr="005C3B55" w:rsidRDefault="00F555D6" w:rsidP="00F555D6">
            <w:pPr>
              <w:numPr>
                <w:ilvl w:val="0"/>
                <w:numId w:val="747"/>
              </w:numPr>
              <w:spacing w:before="0" w:after="240"/>
              <w:ind w:hanging="290"/>
              <w:jc w:val="left"/>
              <w:rPr>
                <w:szCs w:val="24"/>
              </w:rPr>
            </w:pPr>
            <w:r w:rsidRPr="005C3B55">
              <w:rPr>
                <w:szCs w:val="24"/>
              </w:rPr>
              <w:t>Implementation area: areas of hummocky meadows.</w:t>
            </w:r>
          </w:p>
          <w:p w:rsidR="00F555D6" w:rsidRPr="005C3B55" w:rsidRDefault="00F555D6" w:rsidP="00F555D6">
            <w:pPr>
              <w:spacing w:before="240" w:after="240" w:line="280" w:lineRule="auto"/>
              <w:rPr>
                <w:szCs w:val="24"/>
              </w:rPr>
            </w:pPr>
            <w:r w:rsidRPr="005C3B55">
              <w:rPr>
                <w:szCs w:val="24"/>
              </w:rPr>
              <w:t>Effects:</w:t>
            </w:r>
          </w:p>
          <w:p w:rsidR="00F555D6" w:rsidRPr="005C3B55" w:rsidRDefault="00F555D6" w:rsidP="00F555D6">
            <w:pPr>
              <w:numPr>
                <w:ilvl w:val="0"/>
                <w:numId w:val="748"/>
              </w:numPr>
              <w:spacing w:before="240" w:after="0"/>
              <w:ind w:hanging="290"/>
              <w:jc w:val="left"/>
              <w:rPr>
                <w:szCs w:val="24"/>
              </w:rPr>
            </w:pPr>
            <w:r w:rsidRPr="005C3B55">
              <w:rPr>
                <w:szCs w:val="24"/>
              </w:rPr>
              <w:t>preservation of a rare natural and cultural heritage phenomenon;</w:t>
            </w:r>
          </w:p>
          <w:p w:rsidR="00F555D6" w:rsidRPr="005C3B55" w:rsidRDefault="00F555D6" w:rsidP="00F555D6">
            <w:pPr>
              <w:numPr>
                <w:ilvl w:val="0"/>
                <w:numId w:val="748"/>
              </w:numPr>
              <w:spacing w:before="0" w:after="0"/>
              <w:ind w:hanging="290"/>
              <w:jc w:val="left"/>
              <w:rPr>
                <w:szCs w:val="24"/>
              </w:rPr>
            </w:pPr>
            <w:r w:rsidRPr="005C3B55">
              <w:rPr>
                <w:szCs w:val="24"/>
              </w:rPr>
              <w:t>preservation of species diversity and biodiversity;</w:t>
            </w:r>
          </w:p>
          <w:p w:rsidR="00F555D6" w:rsidRPr="005C3B55" w:rsidRDefault="00F555D6" w:rsidP="00F555D6">
            <w:pPr>
              <w:numPr>
                <w:ilvl w:val="0"/>
                <w:numId w:val="748"/>
              </w:numPr>
              <w:spacing w:before="0" w:after="0"/>
              <w:ind w:hanging="290"/>
              <w:jc w:val="left"/>
              <w:rPr>
                <w:szCs w:val="24"/>
              </w:rPr>
            </w:pPr>
            <w:r w:rsidRPr="005C3B55">
              <w:rPr>
                <w:szCs w:val="24"/>
              </w:rPr>
              <w:t>preservation of habitats for many plant and animal species;</w:t>
            </w:r>
          </w:p>
          <w:p w:rsidR="00F555D6" w:rsidRPr="005C3B55" w:rsidRDefault="00F555D6" w:rsidP="00F555D6">
            <w:pPr>
              <w:numPr>
                <w:ilvl w:val="0"/>
                <w:numId w:val="748"/>
              </w:numPr>
              <w:spacing w:before="0" w:after="0"/>
              <w:ind w:hanging="290"/>
              <w:jc w:val="left"/>
              <w:rPr>
                <w:szCs w:val="24"/>
              </w:rPr>
            </w:pPr>
            <w:r w:rsidRPr="005C3B55">
              <w:rPr>
                <w:szCs w:val="24"/>
              </w:rPr>
              <w:t>prevention of compaction of green cover;</w:t>
            </w:r>
          </w:p>
          <w:p w:rsidR="00F555D6" w:rsidRPr="005C3B55" w:rsidRDefault="00F555D6" w:rsidP="00F555D6">
            <w:pPr>
              <w:numPr>
                <w:ilvl w:val="0"/>
                <w:numId w:val="748"/>
              </w:numPr>
              <w:spacing w:before="0" w:after="0"/>
              <w:ind w:hanging="290"/>
              <w:jc w:val="left"/>
              <w:rPr>
                <w:szCs w:val="24"/>
              </w:rPr>
            </w:pPr>
            <w:r w:rsidRPr="005C3B55">
              <w:rPr>
                <w:szCs w:val="24"/>
              </w:rPr>
              <w:t>prevention of the levelling of hummocky meadows and preserving landscape features;</w:t>
            </w:r>
          </w:p>
          <w:p w:rsidR="00F555D6" w:rsidRPr="005C3B55" w:rsidRDefault="00F555D6" w:rsidP="00F555D6">
            <w:pPr>
              <w:numPr>
                <w:ilvl w:val="0"/>
                <w:numId w:val="748"/>
              </w:numPr>
              <w:spacing w:before="0" w:after="240"/>
              <w:ind w:hanging="290"/>
              <w:jc w:val="left"/>
              <w:rPr>
                <w:szCs w:val="24"/>
              </w:rPr>
            </w:pPr>
            <w:r w:rsidRPr="005C3B55">
              <w:rPr>
                <w:szCs w:val="24"/>
              </w:rPr>
              <w:t>prevention of the abandonment of agricultural land use and overgrowing.</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Type of support</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Support for the implementation of the operation ‘Hummocky meadows’ consists of:</w:t>
            </w:r>
          </w:p>
          <w:p w:rsidR="00F555D6" w:rsidRPr="005C3B55" w:rsidRDefault="00F555D6" w:rsidP="00F555D6">
            <w:pPr>
              <w:numPr>
                <w:ilvl w:val="0"/>
                <w:numId w:val="749"/>
              </w:numPr>
              <w:spacing w:before="240" w:after="240"/>
              <w:ind w:hanging="290"/>
              <w:jc w:val="left"/>
              <w:rPr>
                <w:szCs w:val="24"/>
              </w:rPr>
            </w:pPr>
            <w:r w:rsidRPr="005C3B55">
              <w:rPr>
                <w:szCs w:val="24"/>
              </w:rPr>
              <w:t>payments per hectare for the implementation of prescribed requirements.</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Connection with other legislation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The operation ‘Hummocky meadows’ is connected with national and EU regulations in the field of measures of agricultural policy, agriculture, the environment, nature protection and rural development.</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Beneficiaries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Beneficiaries for payments are agricultural holdings which participate voluntarily in the implementation of the operation ‘Hummocky meadows’ and meet the prescribed conditions and requirements.</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Eligible costs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Payments are only intended for those commitments within the operation ‘Hummocky meadows’ which exceed suitable mandatory standards determined in accordance with Chapter I, Title VI of Regulation (EU) No 1306/2013, suitable criteria determined in the second indent of item c) of the first paragraph of Article 4 of Regulation (EU) No 1307/2013, and other suitable mandatory requirements from national regulations.</w:t>
            </w:r>
          </w:p>
          <w:p w:rsidR="00F555D6" w:rsidRPr="005C3B55" w:rsidRDefault="00F555D6" w:rsidP="00F555D6">
            <w:pPr>
              <w:spacing w:before="240" w:after="240" w:line="280" w:lineRule="auto"/>
              <w:rPr>
                <w:szCs w:val="24"/>
              </w:rPr>
            </w:pPr>
            <w:r w:rsidRPr="005C3B55">
              <w:rPr>
                <w:szCs w:val="24"/>
              </w:rPr>
              <w:t>Payments cover 100 per cent of the additional costs and the loss of revenue due to the assumed commitment.</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Conditions for eligibility</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When entering the M10 measure, an agricultural holding must:</w:t>
            </w:r>
          </w:p>
          <w:p w:rsidR="00F555D6" w:rsidRPr="005C3B55" w:rsidRDefault="00F555D6" w:rsidP="00F555D6">
            <w:pPr>
              <w:numPr>
                <w:ilvl w:val="0"/>
                <w:numId w:val="750"/>
              </w:numPr>
              <w:spacing w:before="240" w:after="0"/>
              <w:ind w:hanging="290"/>
              <w:jc w:val="left"/>
              <w:rPr>
                <w:szCs w:val="24"/>
              </w:rPr>
            </w:pPr>
            <w:r w:rsidRPr="005C3B55">
              <w:rPr>
                <w:szCs w:val="24"/>
              </w:rPr>
              <w:t>have at least 1 ha of agricultural land in use as per Article 4 of Regulation (EU) No 1307/2013;</w:t>
            </w:r>
          </w:p>
          <w:p w:rsidR="00F555D6" w:rsidRPr="005C3B55" w:rsidRDefault="00F555D6" w:rsidP="00F555D6">
            <w:pPr>
              <w:numPr>
                <w:ilvl w:val="0"/>
                <w:numId w:val="750"/>
              </w:numPr>
              <w:spacing w:before="0" w:after="0"/>
              <w:ind w:hanging="290"/>
              <w:jc w:val="left"/>
              <w:rPr>
                <w:szCs w:val="24"/>
              </w:rPr>
            </w:pPr>
            <w:r w:rsidRPr="005C3B55">
              <w:rPr>
                <w:szCs w:val="24"/>
              </w:rPr>
              <w:t>be entered in the register of agricultural holdings in accordance with the regulation on the register of agricultural holdings;</w:t>
            </w:r>
          </w:p>
          <w:p w:rsidR="00F555D6" w:rsidRPr="005C3B55" w:rsidRDefault="00F555D6" w:rsidP="00F555D6">
            <w:pPr>
              <w:numPr>
                <w:ilvl w:val="0"/>
                <w:numId w:val="750"/>
              </w:numPr>
              <w:spacing w:before="0" w:after="0"/>
              <w:ind w:hanging="290"/>
              <w:jc w:val="left"/>
              <w:rPr>
                <w:szCs w:val="24"/>
              </w:rPr>
            </w:pPr>
            <w:r w:rsidRPr="005C3B55">
              <w:rPr>
                <w:szCs w:val="24"/>
              </w:rPr>
              <w:t>undergo a six-hour training programme on agri-environment-climate content;</w:t>
            </w:r>
          </w:p>
          <w:p w:rsidR="00F555D6" w:rsidRPr="005C3B55" w:rsidRDefault="00F555D6" w:rsidP="00F555D6">
            <w:pPr>
              <w:numPr>
                <w:ilvl w:val="0"/>
                <w:numId w:val="750"/>
              </w:numPr>
              <w:spacing w:before="0" w:after="240"/>
              <w:ind w:hanging="290"/>
              <w:jc w:val="left"/>
              <w:rPr>
                <w:szCs w:val="24"/>
              </w:rPr>
            </w:pPr>
            <w:r w:rsidRPr="005C3B55">
              <w:rPr>
                <w:szCs w:val="24"/>
              </w:rPr>
              <w:t>prepare an activities programme of the agricultural holding which is an electronic document prepared as a result of advisory services.</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Principles regarding the determination of selection criteria</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The selection criteria are not relevant.</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(Valid) amounts and support rates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The amount of payment for the operation ‘Hummocky meadows’ amounts to 100% of amount of payments as per the model calculation.</w:t>
            </w:r>
          </w:p>
          <w:p w:rsidR="00F555D6" w:rsidRPr="005C3B55" w:rsidRDefault="00F555D6" w:rsidP="00F555D6">
            <w:pPr>
              <w:numPr>
                <w:ilvl w:val="0"/>
                <w:numId w:val="751"/>
              </w:numPr>
              <w:spacing w:before="240" w:after="0"/>
              <w:ind w:hanging="290"/>
              <w:jc w:val="left"/>
              <w:rPr>
                <w:szCs w:val="24"/>
              </w:rPr>
            </w:pPr>
            <w:r w:rsidRPr="005C3B55">
              <w:rPr>
                <w:szCs w:val="24"/>
              </w:rPr>
              <w:t>Calculated payment amount as per model calculation: EUR 144.20/hectare annually.</w:t>
            </w:r>
          </w:p>
          <w:p w:rsidR="00F555D6" w:rsidRPr="005C3B55" w:rsidRDefault="00F555D6" w:rsidP="00F555D6">
            <w:pPr>
              <w:numPr>
                <w:ilvl w:val="0"/>
                <w:numId w:val="751"/>
              </w:numPr>
              <w:spacing w:before="0" w:after="0"/>
              <w:ind w:hanging="290"/>
              <w:jc w:val="left"/>
              <w:rPr>
                <w:szCs w:val="24"/>
              </w:rPr>
            </w:pPr>
            <w:r w:rsidRPr="005C3B55">
              <w:rPr>
                <w:szCs w:val="24"/>
              </w:rPr>
              <w:t>The highest possible payment as per Annex II to Regulation (EU) No 1305/2013: EUR 450/hectare annually.</w:t>
            </w:r>
          </w:p>
          <w:p w:rsidR="00F555D6" w:rsidRPr="005C3B55" w:rsidRDefault="00F555D6" w:rsidP="00F555D6">
            <w:pPr>
              <w:numPr>
                <w:ilvl w:val="0"/>
                <w:numId w:val="751"/>
              </w:numPr>
              <w:spacing w:before="0" w:after="0"/>
              <w:ind w:hanging="290"/>
              <w:jc w:val="left"/>
              <w:rPr>
                <w:szCs w:val="24"/>
              </w:rPr>
            </w:pPr>
            <w:r w:rsidRPr="005C3B55">
              <w:rPr>
                <w:szCs w:val="24"/>
              </w:rPr>
              <w:t>The highest possible amount: EUR 144.20/hectare annually.</w:t>
            </w:r>
          </w:p>
          <w:p w:rsidR="00F555D6" w:rsidRPr="005C3B55" w:rsidRDefault="00F555D6" w:rsidP="00F555D6">
            <w:pPr>
              <w:numPr>
                <w:ilvl w:val="0"/>
                <w:numId w:val="751"/>
              </w:numPr>
              <w:spacing w:before="0" w:after="240"/>
              <w:ind w:hanging="290"/>
              <w:jc w:val="left"/>
              <w:rPr>
                <w:szCs w:val="24"/>
              </w:rPr>
            </w:pPr>
            <w:r w:rsidRPr="005C3B55">
              <w:rPr>
                <w:b/>
                <w:szCs w:val="24"/>
              </w:rPr>
              <w:t>Payment (100% of payment amount calculated as per the model calculation): EUR 144.20/hectare annually.</w:t>
            </w:r>
          </w:p>
          <w:p w:rsidR="00F555D6" w:rsidRPr="005C3B55" w:rsidRDefault="00F555D6" w:rsidP="00F555D6">
            <w:pPr>
              <w:spacing w:before="240" w:after="240" w:line="280" w:lineRule="auto"/>
              <w:rPr>
                <w:szCs w:val="24"/>
              </w:rPr>
            </w:pPr>
            <w:r w:rsidRPr="005C3B55">
              <w:rPr>
                <w:szCs w:val="24"/>
              </w:rPr>
              <w:t> </w:t>
            </w:r>
          </w:p>
          <w:p w:rsidR="00F555D6" w:rsidRPr="005C3B55" w:rsidRDefault="00F555D6" w:rsidP="00F555D6">
            <w:pPr>
              <w:spacing w:before="240" w:after="240" w:line="280" w:lineRule="auto"/>
              <w:rPr>
                <w:szCs w:val="24"/>
              </w:rPr>
            </w:pPr>
            <w:r w:rsidRPr="005C3B55">
              <w:rPr>
                <w:szCs w:val="24"/>
              </w:rPr>
              <w:t> </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Verifiability and possibility of control of measures and/or type of operations</w:t>
      </w:r>
    </w:p>
    <w:p w:rsidR="00F555D6" w:rsidRPr="005C3B55" w:rsidRDefault="00F555D6" w:rsidP="00F555D6">
      <w:pPr>
        <w:pStyle w:val="Naslov7"/>
        <w:tabs>
          <w:tab w:val="clear" w:pos="765"/>
        </w:tabs>
        <w:ind w:left="0" w:firstLine="0"/>
        <w:rPr>
          <w:szCs w:val="24"/>
          <w:lang w:val="en-GB"/>
        </w:rPr>
      </w:pPr>
      <w:r w:rsidRPr="005C3B55">
        <w:rPr>
          <w:noProof w:val="0"/>
          <w:szCs w:val="24"/>
          <w:lang w:val="en-GB"/>
        </w:rPr>
        <w:t>Risks in the implementation of the measure</w:t>
      </w:r>
    </w:p>
    <w:p w:rsidR="00F555D6" w:rsidRPr="005C3B55" w:rsidRDefault="00F555D6" w:rsidP="00F555D6">
      <w:pPr>
        <w:pStyle w:val="Naslov7"/>
        <w:tabs>
          <w:tab w:val="clear" w:pos="765"/>
        </w:tabs>
        <w:spacing w:before="0" w:after="0"/>
        <w:ind w:left="0" w:firstLine="0"/>
        <w:rPr>
          <w:szCs w:val="24"/>
          <w:lang w:val="en-GB"/>
        </w:rPr>
      </w:pP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b/>
                <w:szCs w:val="24"/>
              </w:rPr>
              <w:t>R5: Requirements which are difficult to verify and/or control</w:t>
            </w:r>
          </w:p>
          <w:p w:rsidR="00F555D6" w:rsidRPr="005C3B55" w:rsidRDefault="00F555D6" w:rsidP="00F555D6">
            <w:pPr>
              <w:spacing w:before="240" w:after="240" w:line="280" w:lineRule="auto"/>
              <w:rPr>
                <w:szCs w:val="24"/>
              </w:rPr>
            </w:pPr>
            <w:r w:rsidRPr="005C3B55">
              <w:rPr>
                <w:szCs w:val="24"/>
              </w:rPr>
              <w:t>Administrative control and on-the-spot control are feasible.</w:t>
            </w:r>
          </w:p>
          <w:p w:rsidR="00F555D6" w:rsidRPr="005C3B55" w:rsidRDefault="00F555D6" w:rsidP="00F555D6">
            <w:pPr>
              <w:spacing w:before="240" w:after="240" w:line="280" w:lineRule="auto"/>
              <w:rPr>
                <w:szCs w:val="24"/>
              </w:rPr>
            </w:pPr>
            <w:r w:rsidRPr="005C3B55">
              <w:rPr>
                <w:b/>
                <w:szCs w:val="24"/>
              </w:rPr>
              <w:t>R6: General conditions for implementation</w:t>
            </w:r>
          </w:p>
          <w:p w:rsidR="00F555D6" w:rsidRPr="005C3B55" w:rsidRDefault="00F555D6" w:rsidP="00F555D6">
            <w:pPr>
              <w:spacing w:before="240" w:after="240" w:line="280" w:lineRule="auto"/>
              <w:rPr>
                <w:szCs w:val="24"/>
              </w:rPr>
            </w:pPr>
            <w:r w:rsidRPr="005C3B55">
              <w:rPr>
                <w:szCs w:val="24"/>
              </w:rPr>
              <w:t>Ill-timed adoption of regulations which regulate payments for the M10 measure and which enable beneficiaries to be informed about the eligibility conditions for implementing this operation, and insufficient knowledge of the conditions of the operation ‘Hummocky meadows’ present a risk for the implementation of this measure.</w:t>
            </w:r>
          </w:p>
          <w:p w:rsidR="00F555D6" w:rsidRPr="005C3B55" w:rsidRDefault="00F555D6" w:rsidP="00F555D6">
            <w:pPr>
              <w:spacing w:before="240" w:after="240" w:line="280" w:lineRule="auto"/>
              <w:rPr>
                <w:szCs w:val="24"/>
              </w:rPr>
            </w:pPr>
            <w:r w:rsidRPr="005C3B55">
              <w:rPr>
                <w:b/>
                <w:szCs w:val="24"/>
              </w:rPr>
              <w:t>R8: IT systems</w:t>
            </w:r>
          </w:p>
          <w:p w:rsidR="00F555D6" w:rsidRPr="005C3B55" w:rsidRDefault="00F555D6" w:rsidP="00F555D6">
            <w:pPr>
              <w:spacing w:before="240" w:after="240" w:line="280" w:lineRule="auto"/>
              <w:rPr>
                <w:szCs w:val="24"/>
              </w:rPr>
            </w:pPr>
            <w:r w:rsidRPr="005C3B55">
              <w:rPr>
                <w:szCs w:val="24"/>
              </w:rPr>
              <w:t>Unsuitable organisation of databases for inclusion in the verification system when entering the operation ‘Hummocky meadows’.</w:t>
            </w:r>
          </w:p>
          <w:p w:rsidR="00F555D6" w:rsidRPr="005C3B55" w:rsidRDefault="00F555D6" w:rsidP="00F555D6">
            <w:pPr>
              <w:spacing w:before="240" w:after="240" w:line="280" w:lineRule="auto"/>
              <w:rPr>
                <w:szCs w:val="24"/>
              </w:rPr>
            </w:pPr>
            <w:r w:rsidRPr="005C3B55">
              <w:rPr>
                <w:b/>
                <w:szCs w:val="24"/>
              </w:rPr>
              <w:t>R9: Requests for payment</w:t>
            </w:r>
          </w:p>
          <w:p w:rsidR="00F555D6" w:rsidRPr="005C3B55" w:rsidRDefault="00F555D6" w:rsidP="00F555D6">
            <w:pPr>
              <w:spacing w:before="240" w:after="240" w:line="280" w:lineRule="auto"/>
              <w:rPr>
                <w:szCs w:val="24"/>
              </w:rPr>
            </w:pPr>
            <w:r w:rsidRPr="005C3B55">
              <w:rPr>
                <w:szCs w:val="24"/>
              </w:rPr>
              <w:t>Lack of, and delayed, information and insufficient knowledge of the operation ‘Hummocky meadows’, poor familiarisation with the procedure for submitting the application and the beneficiary’s incorrect reporting about the size of surfaces.</w:t>
            </w:r>
          </w:p>
          <w:p w:rsidR="00F555D6" w:rsidRPr="005C3B55" w:rsidRDefault="00F555D6" w:rsidP="00F555D6">
            <w:pPr>
              <w:pStyle w:val="Telobesedila"/>
              <w:rPr>
                <w:szCs w:val="24"/>
              </w:rPr>
            </w:pPr>
          </w:p>
        </w:tc>
      </w:tr>
    </w:tbl>
    <w:p w:rsidR="00F555D6" w:rsidRPr="005C3B55" w:rsidRDefault="00F555D6" w:rsidP="00F555D6">
      <w:pPr>
        <w:pStyle w:val="Naslov7"/>
        <w:tabs>
          <w:tab w:val="clear" w:pos="765"/>
        </w:tabs>
        <w:ind w:left="0" w:firstLine="0"/>
        <w:rPr>
          <w:szCs w:val="24"/>
          <w:lang w:val="en-GB"/>
        </w:rPr>
      </w:pPr>
      <w:r w:rsidRPr="005C3B55">
        <w:rPr>
          <w:noProof w:val="0"/>
          <w:szCs w:val="24"/>
          <w:lang w:val="en-GB"/>
        </w:rPr>
        <w:t>Mitigation measures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b/>
                <w:szCs w:val="24"/>
              </w:rPr>
              <w:t>R5: Requirements which are difficult to verify and/or control</w:t>
            </w:r>
          </w:p>
          <w:p w:rsidR="00F555D6" w:rsidRPr="005C3B55" w:rsidRDefault="00F555D6" w:rsidP="00F555D6">
            <w:pPr>
              <w:spacing w:before="240" w:after="240" w:line="280" w:lineRule="auto"/>
              <w:rPr>
                <w:szCs w:val="24"/>
              </w:rPr>
            </w:pPr>
            <w:r w:rsidRPr="005C3B55">
              <w:rPr>
                <w:szCs w:val="24"/>
              </w:rPr>
              <w:t>Administrative control will be upgraded accordingly for certain requirements (record of the area).</w:t>
            </w:r>
          </w:p>
          <w:p w:rsidR="00F555D6" w:rsidRPr="005C3B55" w:rsidRDefault="00F555D6" w:rsidP="00F555D6">
            <w:pPr>
              <w:spacing w:before="240" w:after="240" w:line="280" w:lineRule="auto"/>
              <w:rPr>
                <w:szCs w:val="24"/>
              </w:rPr>
            </w:pPr>
            <w:r w:rsidRPr="005C3B55">
              <w:rPr>
                <w:szCs w:val="24"/>
              </w:rPr>
              <w:t>Requirements for the implementation of measure M10 which cannot be verified administratively will be verified or controlled on the spot. This control will verify all available records and evidence (presence of herbicides, fertilisers).</w:t>
            </w:r>
          </w:p>
          <w:p w:rsidR="00F555D6" w:rsidRPr="005C3B55" w:rsidRDefault="00F555D6" w:rsidP="00F555D6">
            <w:pPr>
              <w:spacing w:before="240" w:after="240" w:line="280" w:lineRule="auto"/>
              <w:rPr>
                <w:szCs w:val="24"/>
              </w:rPr>
            </w:pPr>
            <w:r w:rsidRPr="005C3B55">
              <w:rPr>
                <w:b/>
                <w:szCs w:val="24"/>
              </w:rPr>
              <w:t>R6: General conditions for implementation</w:t>
            </w:r>
          </w:p>
          <w:p w:rsidR="00F555D6" w:rsidRPr="005C3B55" w:rsidRDefault="00F555D6" w:rsidP="00F555D6">
            <w:pPr>
              <w:spacing w:before="240" w:after="240" w:line="280" w:lineRule="auto"/>
              <w:rPr>
                <w:szCs w:val="24"/>
              </w:rPr>
            </w:pPr>
            <w:r w:rsidRPr="005C3B55">
              <w:rPr>
                <w:szCs w:val="24"/>
              </w:rPr>
              <w:t>Prior to entering in the operation ‘Hummocky meadows’, a beneficiary will have to undergo a mandatory six-hour training which is one of the eligibility conditions. At the training, the beneficiary will become acquainted with the eligibility conditions for entering in the operation and the conditions of individual requirements for implementing the operation, including the Rural Development Programme 2010–2014 and the national regulation regulating payments for the M10 measure.</w:t>
            </w:r>
          </w:p>
          <w:p w:rsidR="00F555D6" w:rsidRPr="005C3B55" w:rsidRDefault="00F555D6" w:rsidP="00F555D6">
            <w:pPr>
              <w:spacing w:before="240" w:after="240" w:line="280" w:lineRule="auto"/>
              <w:rPr>
                <w:szCs w:val="24"/>
              </w:rPr>
            </w:pPr>
            <w:r w:rsidRPr="005C3B55">
              <w:rPr>
                <w:szCs w:val="24"/>
              </w:rPr>
              <w:t>After training, the beneficiary will be able to prepare a programme of activities of the agricultural holding, which is one of the eligibility conditions, and in which it will determine which operation and requirements to implement within the M10 measure.</w:t>
            </w:r>
          </w:p>
          <w:p w:rsidR="00F555D6" w:rsidRPr="005C3B55" w:rsidRDefault="00F555D6" w:rsidP="00F555D6">
            <w:pPr>
              <w:spacing w:before="240" w:after="240" w:line="280" w:lineRule="auto"/>
              <w:rPr>
                <w:szCs w:val="24"/>
              </w:rPr>
            </w:pPr>
            <w:r w:rsidRPr="005C3B55">
              <w:rPr>
                <w:b/>
                <w:szCs w:val="24"/>
              </w:rPr>
              <w:t>R8: IT systems</w:t>
            </w:r>
          </w:p>
          <w:p w:rsidR="00F555D6" w:rsidRPr="005C3B55" w:rsidRDefault="00F555D6" w:rsidP="00F555D6">
            <w:pPr>
              <w:spacing w:before="240" w:after="240" w:line="280" w:lineRule="auto"/>
              <w:rPr>
                <w:szCs w:val="24"/>
              </w:rPr>
            </w:pPr>
            <w:r w:rsidRPr="005C3B55">
              <w:rPr>
                <w:szCs w:val="24"/>
              </w:rPr>
              <w:t>An application enabling cross-checking of data from different databases will be established, and control of the records of the area will be carried out.</w:t>
            </w:r>
          </w:p>
          <w:p w:rsidR="00F555D6" w:rsidRPr="005C3B55" w:rsidRDefault="00F555D6" w:rsidP="00F555D6">
            <w:pPr>
              <w:spacing w:before="240" w:after="240" w:line="280" w:lineRule="auto"/>
              <w:rPr>
                <w:szCs w:val="24"/>
              </w:rPr>
            </w:pPr>
            <w:r w:rsidRPr="005C3B55">
              <w:rPr>
                <w:b/>
                <w:szCs w:val="24"/>
              </w:rPr>
              <w:t>R9: Requests for payment</w:t>
            </w:r>
          </w:p>
          <w:p w:rsidR="00F555D6" w:rsidRPr="005C3B55" w:rsidRDefault="00F555D6" w:rsidP="00F555D6">
            <w:pPr>
              <w:spacing w:before="240" w:after="240" w:line="280" w:lineRule="auto"/>
              <w:rPr>
                <w:szCs w:val="24"/>
              </w:rPr>
            </w:pPr>
            <w:r w:rsidRPr="005C3B55">
              <w:rPr>
                <w:szCs w:val="24"/>
              </w:rPr>
              <w:t>Mandatory annual four-hour training and mandatory use of advisory services at least once in the first three years of the commitment are introduced in order for beneficiaries to be suitably informed about all conditions and requirements for the implementation of the M10 measure. Regular annual informing of beneficiaries about their commitments related to the implementation of the M10 measure as part of the annual campaign for implementing requests for agricultural policy measures during the year and also within the scope of specific and purpose-oriented informing of beneficiaries is envisaged</w:t>
            </w:r>
            <w:r w:rsidRPr="005C3B55">
              <w:rPr>
                <w:rFonts w:ascii="TimesNewRoman" w:hAnsi="TimesNewRoman"/>
                <w:szCs w:val="24"/>
              </w:rPr>
              <w:t>.</w:t>
            </w:r>
          </w:p>
          <w:p w:rsidR="00F555D6" w:rsidRPr="005C3B55" w:rsidRDefault="00F555D6" w:rsidP="00F555D6">
            <w:pPr>
              <w:spacing w:before="240" w:after="240" w:line="280" w:lineRule="auto"/>
              <w:rPr>
                <w:szCs w:val="24"/>
              </w:rPr>
            </w:pPr>
            <w:r w:rsidRPr="005C3B55">
              <w:rPr>
                <w:szCs w:val="24"/>
              </w:rPr>
              <w:t>On the basis of the programme of activities, the request for payment will be submitted electronically on prescribed forms, by means of which a beneficiary will define for which requirements within individual operations of the M10 measure it will request payment.</w:t>
            </w:r>
          </w:p>
          <w:p w:rsidR="00F555D6" w:rsidRPr="005C3B55" w:rsidRDefault="00F555D6" w:rsidP="00F555D6">
            <w:pPr>
              <w:spacing w:before="240" w:after="240" w:line="280" w:lineRule="auto"/>
              <w:rPr>
                <w:szCs w:val="24"/>
              </w:rPr>
            </w:pPr>
            <w:r w:rsidRPr="005C3B55">
              <w:rPr>
                <w:szCs w:val="24"/>
              </w:rPr>
              <w:t>The upgrading of the IT system for administrative control will be implemented, which will allow certain verifications and controls already upon the submission of the request for payment (size of surface, suitability of areas, suitability of combinations of requests and operations, suitability of agricultural plants and suitability of use as per individual register, suitability of animals as per the register of farm animals, etc.).</w:t>
            </w:r>
          </w:p>
          <w:p w:rsidR="00F555D6" w:rsidRPr="005C3B55" w:rsidRDefault="00F555D6" w:rsidP="00F555D6">
            <w:pPr>
              <w:spacing w:before="240" w:after="240" w:line="280" w:lineRule="auto"/>
              <w:rPr>
                <w:szCs w:val="24"/>
              </w:rPr>
            </w:pPr>
            <w:r w:rsidRPr="005C3B55">
              <w:rPr>
                <w:szCs w:val="24"/>
              </w:rPr>
              <w:t>If a beneficiary fails to meet the eligibility conditions for entering measure M10, they will be alerted to the shortcomings which they will be able to eliminate by the prescribed deadline; otherwise, it will not be possible to submit a request for the payment of measure M10.</w:t>
            </w:r>
          </w:p>
          <w:p w:rsidR="00F555D6" w:rsidRPr="005C3B55" w:rsidRDefault="00F555D6" w:rsidP="00F555D6">
            <w:pPr>
              <w:spacing w:before="240" w:after="240" w:line="280" w:lineRule="auto"/>
              <w:rPr>
                <w:szCs w:val="24"/>
              </w:rPr>
            </w:pPr>
            <w:r w:rsidRPr="005C3B55">
              <w:rPr>
                <w:szCs w:val="24"/>
              </w:rPr>
              <w:t>Unpermitted combinations between operations and unpermitted combinations of this operation with requirements within other operations of the M10 measure will be disabled.</w:t>
            </w:r>
          </w:p>
          <w:p w:rsidR="00F555D6" w:rsidRPr="005C3B55" w:rsidRDefault="00F555D6" w:rsidP="00F555D6">
            <w:pPr>
              <w:spacing w:before="240" w:after="240" w:line="280" w:lineRule="auto"/>
              <w:rPr>
                <w:szCs w:val="24"/>
              </w:rPr>
            </w:pPr>
            <w:r w:rsidRPr="005C3B55">
              <w:rPr>
                <w:szCs w:val="24"/>
              </w:rPr>
              <w:t>A beneficiary who will also be included in the implementation of the M11 measure will not have the opportunity to submit the request for unauthorised combinations of this measure with the M10 measure.</w:t>
            </w:r>
          </w:p>
          <w:p w:rsidR="00F555D6" w:rsidRPr="005C3B55" w:rsidRDefault="00F555D6" w:rsidP="00F555D6">
            <w:pPr>
              <w:pStyle w:val="Telobesedila"/>
              <w:rPr>
                <w:szCs w:val="24"/>
              </w:rPr>
            </w:pPr>
          </w:p>
        </w:tc>
      </w:tr>
    </w:tbl>
    <w:p w:rsidR="00F555D6" w:rsidRPr="005C3B55" w:rsidRDefault="00F555D6" w:rsidP="00F555D6">
      <w:pPr>
        <w:pStyle w:val="Naslov7"/>
        <w:tabs>
          <w:tab w:val="clear" w:pos="765"/>
        </w:tabs>
        <w:ind w:left="0" w:firstLine="0"/>
        <w:rPr>
          <w:szCs w:val="24"/>
          <w:lang w:val="en-GB"/>
        </w:rPr>
      </w:pPr>
      <w:r w:rsidRPr="005C3B55">
        <w:rPr>
          <w:noProof w:val="0"/>
          <w:szCs w:val="24"/>
          <w:lang w:val="en-GB"/>
        </w:rPr>
        <w:t>General assessment of the measure</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 xml:space="preserve">Described in Chapter </w:t>
            </w:r>
            <w:r w:rsidRPr="005C3B55">
              <w:rPr>
                <w:i/>
                <w:szCs w:val="24"/>
              </w:rPr>
              <w:t>8.2.9.4.3 General assessment of the measure</w:t>
            </w:r>
            <w:r w:rsidRPr="005C3B55">
              <w:rPr>
                <w:szCs w:val="24"/>
              </w:rPr>
              <w:t>.</w:t>
            </w:r>
          </w:p>
          <w:p w:rsidR="00F555D6" w:rsidRPr="005C3B55" w:rsidRDefault="00F555D6" w:rsidP="00F555D6">
            <w:pPr>
              <w:pStyle w:val="Telobesedila"/>
              <w:rPr>
                <w:szCs w:val="24"/>
              </w:rPr>
            </w:pPr>
          </w:p>
        </w:tc>
      </w:tr>
    </w:tbl>
    <w:p w:rsidR="00F555D6" w:rsidRPr="005C3B55" w:rsidRDefault="00F555D6" w:rsidP="00F555D6">
      <w:pPr>
        <w:pStyle w:val="Naslov7"/>
        <w:tabs>
          <w:tab w:val="clear" w:pos="765"/>
        </w:tabs>
        <w:ind w:left="0" w:firstLine="0"/>
        <w:rPr>
          <w:szCs w:val="24"/>
          <w:lang w:val="en-GB"/>
        </w:rPr>
      </w:pPr>
      <w:r w:rsidRPr="005C3B55">
        <w:rPr>
          <w:noProof w:val="0"/>
          <w:szCs w:val="24"/>
          <w:lang w:val="en-GB"/>
        </w:rPr>
        <w:t>Agri-environment-climate commitments</w:t>
      </w:r>
    </w:p>
    <w:p w:rsidR="00F555D6" w:rsidRPr="005C3B55" w:rsidRDefault="00F555D6" w:rsidP="00F555D6">
      <w:pPr>
        <w:pStyle w:val="Naslov8"/>
        <w:tabs>
          <w:tab w:val="clear" w:pos="765"/>
        </w:tabs>
        <w:ind w:left="0" w:firstLine="0"/>
        <w:rPr>
          <w:b w:val="0"/>
          <w:szCs w:val="24"/>
          <w:lang w:val="en-GB"/>
        </w:rPr>
      </w:pPr>
      <w:r w:rsidRPr="005C3B55">
        <w:rPr>
          <w:b w:val="0"/>
          <w:noProof w:val="0"/>
          <w:szCs w:val="24"/>
          <w:lang w:val="en-GB"/>
        </w:rPr>
        <w:t>KRA_GRB:</w:t>
      </w:r>
      <w:r w:rsidRPr="005C3B55">
        <w:rPr>
          <w:b w:val="0"/>
          <w:szCs w:val="24"/>
          <w:lang w:val="en-GB"/>
        </w:rPr>
        <w:t xml:space="preserve"> </w:t>
      </w:r>
      <w:r w:rsidRPr="005C3B55">
        <w:rPr>
          <w:b w:val="0"/>
          <w:noProof w:val="0"/>
          <w:szCs w:val="24"/>
          <w:lang w:val="en-GB"/>
        </w:rPr>
        <w:t>Hummocky meadows</w:t>
      </w:r>
    </w:p>
    <w:p w:rsidR="00F555D6" w:rsidRPr="005C3B55" w:rsidRDefault="00F555D6" w:rsidP="00F555D6">
      <w:pPr>
        <w:pStyle w:val="Naslov9"/>
        <w:tabs>
          <w:tab w:val="clear" w:pos="765"/>
        </w:tabs>
        <w:ind w:left="0" w:firstLine="0"/>
        <w:rPr>
          <w:szCs w:val="24"/>
          <w:lang w:val="en-GB"/>
        </w:rPr>
      </w:pPr>
      <w:r w:rsidRPr="005C3B55">
        <w:rPr>
          <w:noProof w:val="0"/>
          <w:szCs w:val="24"/>
          <w:lang w:val="en-GB"/>
        </w:rPr>
        <w:t>Methods of commitment verification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Administrative control:</w:t>
            </w:r>
          </w:p>
          <w:p w:rsidR="00F555D6" w:rsidRPr="005C3B55" w:rsidRDefault="00F555D6" w:rsidP="00F555D6">
            <w:pPr>
              <w:numPr>
                <w:ilvl w:val="0"/>
                <w:numId w:val="752"/>
              </w:numPr>
              <w:spacing w:before="240" w:after="0"/>
              <w:ind w:hanging="290"/>
              <w:jc w:val="left"/>
              <w:rPr>
                <w:szCs w:val="24"/>
              </w:rPr>
            </w:pPr>
            <w:r w:rsidRPr="005C3B55">
              <w:rPr>
                <w:szCs w:val="24"/>
              </w:rPr>
              <w:t>suitability of the area through the register of agricultural holdings;</w:t>
            </w:r>
          </w:p>
          <w:p w:rsidR="00F555D6" w:rsidRPr="005C3B55" w:rsidRDefault="00F555D6" w:rsidP="00F555D6">
            <w:pPr>
              <w:numPr>
                <w:ilvl w:val="0"/>
                <w:numId w:val="752"/>
              </w:numPr>
              <w:spacing w:before="0" w:after="240"/>
              <w:ind w:hanging="290"/>
              <w:jc w:val="left"/>
              <w:rPr>
                <w:szCs w:val="24"/>
              </w:rPr>
            </w:pPr>
            <w:r w:rsidRPr="005C3B55">
              <w:rPr>
                <w:szCs w:val="24"/>
              </w:rPr>
              <w:t>suitability of the agricultural plant through collective application.</w:t>
            </w:r>
          </w:p>
          <w:p w:rsidR="00F555D6" w:rsidRPr="005C3B55" w:rsidRDefault="00F555D6" w:rsidP="00F555D6">
            <w:pPr>
              <w:spacing w:before="240" w:after="240" w:line="280" w:lineRule="auto"/>
              <w:rPr>
                <w:szCs w:val="24"/>
              </w:rPr>
            </w:pPr>
            <w:r w:rsidRPr="005C3B55">
              <w:rPr>
                <w:szCs w:val="24"/>
              </w:rPr>
              <w:t>Registers/records:</w:t>
            </w:r>
          </w:p>
          <w:p w:rsidR="00F555D6" w:rsidRPr="005C3B55" w:rsidRDefault="00F555D6" w:rsidP="00F555D6">
            <w:pPr>
              <w:numPr>
                <w:ilvl w:val="0"/>
                <w:numId w:val="753"/>
              </w:numPr>
              <w:spacing w:before="240" w:after="0"/>
              <w:ind w:hanging="290"/>
              <w:jc w:val="left"/>
              <w:rPr>
                <w:szCs w:val="24"/>
              </w:rPr>
            </w:pPr>
            <w:r w:rsidRPr="005C3B55">
              <w:rPr>
                <w:szCs w:val="24"/>
              </w:rPr>
              <w:t>register of agricultural holdings;</w:t>
            </w:r>
          </w:p>
          <w:p w:rsidR="00F555D6" w:rsidRPr="005C3B55" w:rsidRDefault="00F555D6" w:rsidP="00F555D6">
            <w:pPr>
              <w:numPr>
                <w:ilvl w:val="0"/>
                <w:numId w:val="753"/>
              </w:numPr>
              <w:spacing w:before="0" w:after="0"/>
              <w:ind w:hanging="290"/>
              <w:jc w:val="left"/>
              <w:rPr>
                <w:szCs w:val="24"/>
              </w:rPr>
            </w:pPr>
            <w:r w:rsidRPr="005C3B55">
              <w:rPr>
                <w:szCs w:val="24"/>
              </w:rPr>
              <w:t>graphical agricultural unit of agricultural holding (GERK);</w:t>
            </w:r>
          </w:p>
          <w:p w:rsidR="00F555D6" w:rsidRPr="005C3B55" w:rsidRDefault="00F555D6" w:rsidP="00F555D6">
            <w:pPr>
              <w:numPr>
                <w:ilvl w:val="0"/>
                <w:numId w:val="753"/>
              </w:numPr>
              <w:spacing w:before="0" w:after="240"/>
              <w:ind w:hanging="290"/>
              <w:jc w:val="left"/>
              <w:rPr>
                <w:szCs w:val="24"/>
              </w:rPr>
            </w:pPr>
            <w:r w:rsidRPr="005C3B55">
              <w:rPr>
                <w:szCs w:val="24"/>
              </w:rPr>
              <w:t>graphic layer of areas of hummocky meadows.</w:t>
            </w:r>
          </w:p>
          <w:p w:rsidR="00F555D6" w:rsidRPr="005C3B55" w:rsidRDefault="00F555D6" w:rsidP="00F555D6">
            <w:pPr>
              <w:spacing w:before="240" w:after="240" w:line="280" w:lineRule="auto"/>
              <w:rPr>
                <w:szCs w:val="24"/>
              </w:rPr>
            </w:pPr>
            <w:r w:rsidRPr="005C3B55">
              <w:rPr>
                <w:szCs w:val="24"/>
              </w:rPr>
              <w:t>On-site control:</w:t>
            </w:r>
          </w:p>
          <w:p w:rsidR="00F555D6" w:rsidRPr="005C3B55" w:rsidRDefault="00F555D6" w:rsidP="00F555D6">
            <w:pPr>
              <w:numPr>
                <w:ilvl w:val="0"/>
                <w:numId w:val="754"/>
              </w:numPr>
              <w:spacing w:before="240" w:after="0"/>
              <w:ind w:hanging="290"/>
              <w:jc w:val="left"/>
              <w:rPr>
                <w:szCs w:val="24"/>
              </w:rPr>
            </w:pPr>
            <w:r w:rsidRPr="005C3B55">
              <w:rPr>
                <w:szCs w:val="24"/>
              </w:rPr>
              <w:t>records on works;</w:t>
            </w:r>
          </w:p>
          <w:p w:rsidR="00F555D6" w:rsidRPr="005C3B55" w:rsidRDefault="00F555D6" w:rsidP="00F555D6">
            <w:pPr>
              <w:numPr>
                <w:ilvl w:val="0"/>
                <w:numId w:val="754"/>
              </w:numPr>
              <w:spacing w:before="0" w:after="240"/>
              <w:ind w:hanging="290"/>
              <w:jc w:val="left"/>
              <w:rPr>
                <w:szCs w:val="24"/>
              </w:rPr>
            </w:pPr>
            <w:r w:rsidRPr="005C3B55">
              <w:rPr>
                <w:szCs w:val="24"/>
              </w:rPr>
              <w:t>review of the agricultural holding.</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Information that relates specifically to the operation</w:t>
      </w:r>
    </w:p>
    <w:p w:rsidR="00F555D6" w:rsidRPr="005C3B55" w:rsidRDefault="00F555D6" w:rsidP="00F555D6">
      <w:pPr>
        <w:spacing w:line="280" w:lineRule="auto"/>
        <w:rPr>
          <w:szCs w:val="24"/>
        </w:rPr>
      </w:pPr>
      <w:r w:rsidRPr="005C3B55">
        <w:rPr>
          <w:szCs w:val="24"/>
        </w:rPr>
        <w:t>Definition and identification of the relevant basic elements; this should include the relevant mandatory standards determined in accordance with Chapter I of Title VI of Regulation (EU) No 1306/2013 of the European Parliament and of the Council, relevant criteria and minimum activities determined in accordance with points (c)(ii) and (c)(iii) of the first paragraph of Article 4 of Regulation (EU) No 1307/2013 of the European Parliament and of the Council, relevant minimum requirements for the use of organic fertilisers and plant protection products and relevant mandatory requirements determined by national law</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 xml:space="preserve">Described in the chapter </w:t>
            </w:r>
            <w:r w:rsidRPr="005C3B55">
              <w:rPr>
                <w:i/>
                <w:szCs w:val="24"/>
              </w:rPr>
              <w:t>Agri-environment-climate commitments</w:t>
            </w:r>
            <w:r w:rsidRPr="005C3B55">
              <w:rPr>
                <w:szCs w:val="24"/>
              </w:rPr>
              <w:t>.</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 xml:space="preserve">Minimum requirements for fertilisers must include, inter alia, the Codes of Good Practice introduced under Directive 91/676/EEC for farms outside Nitrate Vulnerable Zones, and requirements concerning phosphorous pollution; minimum requirements for plant protection products use must include, </w:t>
      </w:r>
      <w:r w:rsidRPr="005C3B55">
        <w:rPr>
          <w:i/>
          <w:szCs w:val="24"/>
        </w:rPr>
        <w:t>inter alia</w:t>
      </w:r>
      <w:r w:rsidRPr="005C3B55">
        <w:rPr>
          <w:szCs w:val="24"/>
        </w:rPr>
        <w:t>, general principles for integrated pest management introduced with Directive 2009/128/EC, requirements to have a licence to use the products and meet training obligations, requirements on safe storage, the checking of application machinery and rules on pesticide use close to water and other sensitive sites, as established by national legislation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 xml:space="preserve">Described in the chapter </w:t>
            </w:r>
            <w:r w:rsidRPr="005C3B55">
              <w:rPr>
                <w:i/>
                <w:szCs w:val="24"/>
              </w:rPr>
              <w:t>Agri-environment-climate commitments</w:t>
            </w:r>
            <w:r w:rsidRPr="005C3B55">
              <w:rPr>
                <w:szCs w:val="24"/>
              </w:rPr>
              <w:t>.</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List of local breeds in danger of being lost to farming and for plant genetic resources under threat of genetic erosion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Not relevant.</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The description of the methodology and of the agronomic assumptions and parameters, including the description of the baseline requirements as stated in Article 29(2) of Regulation (EU) No 1305/2013, which are relevant for each particular type of commitment used as reference point for the calculations which justify: additional costs and lost revenue due to the assumed commitment and the amount of transaction costs; where necessary, the methodology takes into account the support granted under Regulation (EU) No 1307/2013, including payments for agricultural practices that favourably affect the climate and environment, in order to prevent the possibility of dual financing; where appropriate, the conversion method used for other units in accordance with Article 9 of this Regulation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The calculation of the amount of payments for the operation ‘Hummocky meadows’ observes:</w:t>
            </w:r>
          </w:p>
          <w:p w:rsidR="00F555D6" w:rsidRPr="005C3B55" w:rsidRDefault="00F555D6" w:rsidP="00F555D6">
            <w:pPr>
              <w:spacing w:before="240" w:after="240" w:line="280" w:lineRule="auto"/>
              <w:rPr>
                <w:szCs w:val="24"/>
              </w:rPr>
            </w:pPr>
            <w:r w:rsidRPr="005C3B55">
              <w:rPr>
                <w:szCs w:val="24"/>
              </w:rPr>
              <w:t>KRA_GRB: Production of hay and pasturing serve as the basis on an average meadow mown twice a year. The particularity of hummocky meadows and limitations enable only one manual mowing, turning of hay and raking; only the removal of hay is implemented mechanically. Pasturing and harrowing of meadows are not anticipated.</w:t>
            </w:r>
          </w:p>
          <w:p w:rsidR="00F555D6" w:rsidRPr="005C3B55" w:rsidRDefault="00F555D6" w:rsidP="00F555D6">
            <w:pPr>
              <w:pStyle w:val="Telobesedila"/>
              <w:rPr>
                <w:szCs w:val="24"/>
              </w:rPr>
            </w:pPr>
          </w:p>
        </w:tc>
      </w:tr>
    </w:tbl>
    <w:p w:rsidR="00F555D6" w:rsidRPr="005C3B55" w:rsidRDefault="00F555D6" w:rsidP="00F555D6">
      <w:pPr>
        <w:pStyle w:val="Naslov7"/>
        <w:tabs>
          <w:tab w:val="clear" w:pos="765"/>
        </w:tabs>
        <w:ind w:left="0" w:firstLine="0"/>
        <w:rPr>
          <w:szCs w:val="24"/>
          <w:lang w:val="en-GB"/>
        </w:rPr>
      </w:pPr>
      <w:r w:rsidRPr="005C3B55">
        <w:rPr>
          <w:noProof w:val="0"/>
          <w:szCs w:val="24"/>
          <w:lang w:val="en-GB"/>
        </w:rPr>
        <w:t>Agri-environment-climate commitments</w:t>
      </w:r>
    </w:p>
    <w:p w:rsidR="00F555D6" w:rsidRPr="005C3B55" w:rsidRDefault="00F555D6" w:rsidP="00F555D6">
      <w:pPr>
        <w:pStyle w:val="Naslov8"/>
        <w:tabs>
          <w:tab w:val="clear" w:pos="765"/>
        </w:tabs>
        <w:ind w:left="0" w:firstLine="0"/>
        <w:rPr>
          <w:b w:val="0"/>
          <w:szCs w:val="24"/>
          <w:lang w:val="en-GB"/>
        </w:rPr>
      </w:pPr>
      <w:r w:rsidRPr="005C3B55">
        <w:rPr>
          <w:b w:val="0"/>
          <w:noProof w:val="0"/>
          <w:szCs w:val="24"/>
          <w:lang w:val="en-GB"/>
        </w:rPr>
        <w:t>KRA_GRB:</w:t>
      </w:r>
      <w:r w:rsidRPr="005C3B55">
        <w:rPr>
          <w:b w:val="0"/>
          <w:szCs w:val="24"/>
          <w:lang w:val="en-GB"/>
        </w:rPr>
        <w:t xml:space="preserve"> </w:t>
      </w:r>
      <w:r w:rsidRPr="005C3B55">
        <w:rPr>
          <w:b w:val="0"/>
          <w:noProof w:val="0"/>
          <w:szCs w:val="24"/>
          <w:lang w:val="en-GB"/>
        </w:rPr>
        <w:t>Hummocky meadows</w:t>
      </w:r>
    </w:p>
    <w:p w:rsidR="00F555D6" w:rsidRPr="005C3B55" w:rsidRDefault="00F555D6" w:rsidP="00F555D6">
      <w:pPr>
        <w:pStyle w:val="Naslov9"/>
        <w:tabs>
          <w:tab w:val="clear" w:pos="765"/>
        </w:tabs>
        <w:ind w:left="0" w:firstLine="0"/>
        <w:rPr>
          <w:szCs w:val="24"/>
          <w:lang w:val="en-GB"/>
        </w:rPr>
      </w:pPr>
      <w:r w:rsidRPr="005C3B55">
        <w:rPr>
          <w:noProof w:val="0"/>
          <w:szCs w:val="24"/>
          <w:lang w:val="en-GB"/>
        </w:rPr>
        <w:t>Starting Point</w:t>
      </w:r>
    </w:p>
    <w:p w:rsidR="00F555D6" w:rsidRPr="005C3B55" w:rsidRDefault="00F555D6" w:rsidP="00F555D6">
      <w:pPr>
        <w:spacing w:line="280" w:lineRule="auto"/>
        <w:rPr>
          <w:szCs w:val="24"/>
        </w:rPr>
      </w:pPr>
      <w:r w:rsidRPr="005C3B55">
        <w:rPr>
          <w:szCs w:val="24"/>
        </w:rPr>
        <w:t>Suitable good agricultural and environmental conditions and/or prescribed management requirements</w:t>
      </w:r>
    </w:p>
    <w:p w:rsidR="00F555D6" w:rsidRPr="005C3B55" w:rsidRDefault="00F555D6" w:rsidP="00F555D6">
      <w:pPr>
        <w:spacing w:after="0"/>
        <w:rPr>
          <w:szCs w:val="24"/>
        </w:rPr>
      </w:pP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755"/>
              </w:numPr>
              <w:spacing w:before="0" w:after="0"/>
              <w:ind w:hanging="290"/>
              <w:jc w:val="left"/>
              <w:rPr>
                <w:szCs w:val="24"/>
              </w:rPr>
            </w:pPr>
            <w:r w:rsidRPr="005C3B55">
              <w:rPr>
                <w:szCs w:val="24"/>
              </w:rPr>
              <w:t>Regulation on cross-compliance, Annex 1: Rules on cross-compliance, SMR 3: Conservation of natural habitats and of wild fauna and flora: grassland areas in the areas of Natura 2000 – habitats are maintained at least once annually no later than by 15 October of the current year.</w:t>
            </w:r>
          </w:p>
          <w:p w:rsidR="00F555D6" w:rsidRPr="005C3B55" w:rsidRDefault="00F555D6" w:rsidP="00F555D6">
            <w:pPr>
              <w:numPr>
                <w:ilvl w:val="0"/>
                <w:numId w:val="755"/>
              </w:numPr>
              <w:spacing w:before="0" w:after="0"/>
              <w:ind w:hanging="290"/>
              <w:jc w:val="left"/>
              <w:rPr>
                <w:szCs w:val="24"/>
              </w:rPr>
            </w:pPr>
            <w:r w:rsidRPr="005C3B55">
              <w:rPr>
                <w:szCs w:val="24"/>
              </w:rPr>
              <w:t>Regulation on cross-compliance, Annex 1: Rules on cross-compliance, SMR 2: grassland areas in the areas of Natura 2000 – birds are maintained at least once annually no later than by 15 October of the current year.</w:t>
            </w:r>
          </w:p>
          <w:p w:rsidR="00F555D6" w:rsidRPr="005C3B55" w:rsidRDefault="00F555D6" w:rsidP="00F555D6">
            <w:pPr>
              <w:numPr>
                <w:ilvl w:val="0"/>
                <w:numId w:val="755"/>
              </w:numPr>
              <w:spacing w:before="0" w:after="240"/>
              <w:ind w:hanging="290"/>
              <w:jc w:val="left"/>
              <w:rPr>
                <w:szCs w:val="24"/>
              </w:rPr>
            </w:pPr>
            <w:r w:rsidRPr="005C3B55">
              <w:rPr>
                <w:szCs w:val="24"/>
              </w:rPr>
              <w:t>Regulation on cross-compliance, Annex 1: Rules on cross-compliance, GAEC7: agricultural land is annually cultivated at least by 15 October of the current year.</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Minimum requirements for the use of fertilisers and plant protection products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756"/>
              </w:numPr>
              <w:spacing w:before="0" w:after="0"/>
              <w:ind w:hanging="290"/>
              <w:jc w:val="left"/>
              <w:rPr>
                <w:szCs w:val="24"/>
              </w:rPr>
            </w:pPr>
            <w:r w:rsidRPr="005C3B55">
              <w:rPr>
                <w:szCs w:val="24"/>
              </w:rPr>
              <w:t>Minimum requirements for the use of fertilisers refer to the keeping of records on the use of livestock and mineral fertilisers which an agricultural holding has to keep for all agricultural land plots at the agricultural holding, and which has to include at least the quantity and type of livestock manure and mineral fertiliser, time of fertilising and data on the surface where these fertilisers are used.</w:t>
            </w:r>
          </w:p>
          <w:p w:rsidR="00F555D6" w:rsidRPr="005C3B55" w:rsidRDefault="00F555D6" w:rsidP="00F555D6">
            <w:pPr>
              <w:numPr>
                <w:ilvl w:val="0"/>
                <w:numId w:val="756"/>
              </w:numPr>
              <w:spacing w:before="0" w:after="240"/>
              <w:ind w:hanging="290"/>
              <w:jc w:val="left"/>
              <w:rPr>
                <w:szCs w:val="24"/>
              </w:rPr>
            </w:pPr>
            <w:r w:rsidRPr="005C3B55">
              <w:rPr>
                <w:szCs w:val="24"/>
              </w:rPr>
              <w:t>Minimum requirements for the use of plant protection products are not determined, since the requirements relating to the use of these products are standardised and are included in the requirements of cross-compliance.</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Other relevant national/regional requirements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757"/>
              </w:numPr>
              <w:spacing w:before="0" w:after="0"/>
              <w:ind w:hanging="290"/>
              <w:jc w:val="left"/>
              <w:rPr>
                <w:szCs w:val="24"/>
              </w:rPr>
            </w:pPr>
            <w:r w:rsidRPr="005C3B55">
              <w:rPr>
                <w:szCs w:val="24"/>
              </w:rPr>
              <w:t>Rules on integrated pest management (Official Gazette of the Republic of Slovenia, no. 43/14): In accordance with Article 4, the optimal growth of crop is ensured with balanced fertilisation with organic and mineral fertilisers in accordance with the needs of plants and irrigation techniques, where this is possible.</w:t>
            </w:r>
          </w:p>
          <w:p w:rsidR="00F555D6" w:rsidRPr="005C3B55" w:rsidRDefault="00F555D6" w:rsidP="00F555D6">
            <w:pPr>
              <w:numPr>
                <w:ilvl w:val="0"/>
                <w:numId w:val="757"/>
              </w:numPr>
              <w:spacing w:before="0" w:after="240"/>
              <w:ind w:hanging="290"/>
              <w:jc w:val="left"/>
              <w:rPr>
                <w:szCs w:val="24"/>
              </w:rPr>
            </w:pPr>
            <w:r w:rsidRPr="005C3B55">
              <w:rPr>
                <w:szCs w:val="24"/>
              </w:rPr>
              <w:t xml:space="preserve">Rules on integrated pest management (Official Gazette of the Republic of Slovenia, no. 43/14): Pursuant to Article 6, the user may use plant protection products for professional application when he estimates that low-risk methods of plant protection may not attain a sufficient effect in controlling harmful organisms. When applying plant protection products for professional use, the rules and code of ethics of the producer need to be observed in terms of the use of plant protection products in order to prevent the development of resistance of harmful organisms or weeds against the plant protection products. Also, all prescribed warnings, particularly warnings on protection areas alongside waters, the protection of bees and other non-target organisms need to be observed, as well as warnings on the limited application stated on the label and instructions for the use of plant protection products and in terms of the application of personal protection equipment during treatments. </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Minimum activities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758"/>
              </w:numPr>
              <w:spacing w:before="0" w:after="240"/>
              <w:ind w:hanging="290"/>
              <w:jc w:val="left"/>
              <w:rPr>
                <w:szCs w:val="24"/>
              </w:rPr>
            </w:pPr>
            <w:r w:rsidRPr="005C3B55">
              <w:rPr>
                <w:szCs w:val="24"/>
              </w:rPr>
              <w:t>Mowing at least once annually by 15 October of the current year is determined as a criterion for maintaining agricultural land in a state suitable for pasturing or production without the preparation measures which exceed the use of regular agricultural methods and machinery.</w:t>
            </w:r>
          </w:p>
          <w:p w:rsidR="00F555D6" w:rsidRPr="005C3B55" w:rsidRDefault="00F555D6" w:rsidP="00F555D6">
            <w:pPr>
              <w:pStyle w:val="Telobesedila"/>
              <w:rPr>
                <w:szCs w:val="24"/>
              </w:rPr>
            </w:pPr>
          </w:p>
        </w:tc>
      </w:tr>
    </w:tbl>
    <w:p w:rsidR="00F555D6" w:rsidRPr="005C3B55" w:rsidRDefault="00F555D6" w:rsidP="00F555D6">
      <w:pPr>
        <w:pStyle w:val="Naslov9"/>
        <w:tabs>
          <w:tab w:val="clear" w:pos="765"/>
        </w:tabs>
        <w:ind w:left="0" w:firstLine="0"/>
        <w:rPr>
          <w:szCs w:val="24"/>
          <w:lang w:val="en-GB"/>
        </w:rPr>
      </w:pPr>
      <w:r w:rsidRPr="005C3B55">
        <w:rPr>
          <w:noProof w:val="0"/>
          <w:szCs w:val="24"/>
          <w:lang w:val="en-GB"/>
        </w:rPr>
        <w:t>Relevant standard agricultural practices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Mechanical mowing and harvesting of meadows are typical in standard agricultural practice; however, this is not possible on hummocky meadows.</w:t>
            </w:r>
          </w:p>
          <w:p w:rsidR="00F555D6" w:rsidRPr="005C3B55" w:rsidRDefault="00F555D6" w:rsidP="00F555D6">
            <w:pPr>
              <w:pStyle w:val="Telobesedila"/>
              <w:rPr>
                <w:szCs w:val="24"/>
              </w:rPr>
            </w:pPr>
          </w:p>
        </w:tc>
      </w:tr>
    </w:tbl>
    <w:p w:rsidR="00F555D6" w:rsidRPr="005C3B55" w:rsidRDefault="00F555D6" w:rsidP="00F555D6">
      <w:pPr>
        <w:pStyle w:val="Naslov5"/>
        <w:tabs>
          <w:tab w:val="clear" w:pos="765"/>
        </w:tabs>
        <w:ind w:left="0" w:firstLine="0"/>
        <w:rPr>
          <w:b w:val="0"/>
          <w:szCs w:val="24"/>
          <w:lang w:val="en-GB"/>
        </w:rPr>
      </w:pPr>
      <w:r w:rsidRPr="005C3B55">
        <w:rPr>
          <w:b w:val="0"/>
          <w:szCs w:val="24"/>
          <w:lang w:val="en-GB"/>
        </w:rPr>
        <w:br w:type="page"/>
        <w:t>14.</w:t>
      </w:r>
      <w:r w:rsidRPr="005C3B55">
        <w:rPr>
          <w:b w:val="0"/>
          <w:szCs w:val="24"/>
          <w:lang w:val="en-GB"/>
        </w:rPr>
        <w:tab/>
      </w:r>
      <w:r w:rsidRPr="005C3B55">
        <w:rPr>
          <w:b w:val="0"/>
          <w:noProof w:val="0"/>
          <w:szCs w:val="24"/>
          <w:lang w:val="en-GB"/>
        </w:rPr>
        <w:t>Livestock rearing in the area of occurrence of large carnivores</w:t>
      </w:r>
    </w:p>
    <w:p w:rsidR="00F555D6" w:rsidRPr="005C3B55" w:rsidRDefault="00F555D6" w:rsidP="00F555D6">
      <w:pPr>
        <w:spacing w:line="280" w:lineRule="auto"/>
        <w:rPr>
          <w:szCs w:val="24"/>
        </w:rPr>
      </w:pPr>
      <w:r w:rsidRPr="005C3B55">
        <w:rPr>
          <w:szCs w:val="24"/>
        </w:rPr>
        <w:t xml:space="preserve">Sub-measure: </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759"/>
              </w:numPr>
              <w:rPr>
                <w:szCs w:val="24"/>
              </w:rPr>
            </w:pPr>
            <w:r w:rsidRPr="005C3B55">
              <w:rPr>
                <w:szCs w:val="24"/>
              </w:rPr>
              <w:t>10.1 – Payment of agri-environment-climate commitments</w:t>
            </w: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Description of type of operation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The operation is intended to preserve a favourable status of large carnivore populations (brown bear and wolf), including qualifying grassland habitat types and species in Natura 2000 sites. Grazing is a key agricultural practice preventing the overgrowth of grassland habitat types in Natura 2000 sites, which are also habitats of large carnivores. Grazing is possible only by guaranteeing the cohabitation of grazing animals and large carnivores. Grazing in the habitat of bear and wolf demands additional protection of animals against large carnivores and a change in existing agricultural practices.</w:t>
            </w:r>
          </w:p>
          <w:p w:rsidR="00F555D6" w:rsidRPr="005C3B55" w:rsidRDefault="00F555D6" w:rsidP="00F555D6">
            <w:pPr>
              <w:spacing w:before="240" w:after="240" w:line="280" w:lineRule="auto"/>
              <w:rPr>
                <w:szCs w:val="24"/>
              </w:rPr>
            </w:pPr>
            <w:r w:rsidRPr="005C3B55">
              <w:rPr>
                <w:szCs w:val="24"/>
              </w:rPr>
              <w:t>The operation will be implemented with three requirements:</w:t>
            </w:r>
          </w:p>
          <w:p w:rsidR="00F555D6" w:rsidRPr="005C3B55" w:rsidRDefault="00F555D6" w:rsidP="00F555D6">
            <w:pPr>
              <w:numPr>
                <w:ilvl w:val="0"/>
                <w:numId w:val="760"/>
              </w:numPr>
              <w:spacing w:before="240" w:after="0"/>
              <w:ind w:hanging="290"/>
              <w:jc w:val="left"/>
              <w:rPr>
                <w:szCs w:val="24"/>
              </w:rPr>
            </w:pPr>
            <w:r w:rsidRPr="005C3B55">
              <w:rPr>
                <w:szCs w:val="24"/>
              </w:rPr>
              <w:t>KRA_OGRM: Protection of the herd with mobile protective electric fences and electric nets;</w:t>
            </w:r>
          </w:p>
          <w:p w:rsidR="00F555D6" w:rsidRPr="005C3B55" w:rsidRDefault="00F555D6" w:rsidP="00F555D6">
            <w:pPr>
              <w:numPr>
                <w:ilvl w:val="0"/>
                <w:numId w:val="760"/>
              </w:numPr>
              <w:spacing w:before="0" w:after="0"/>
              <w:ind w:hanging="290"/>
              <w:jc w:val="left"/>
              <w:rPr>
                <w:szCs w:val="24"/>
              </w:rPr>
            </w:pPr>
            <w:r w:rsidRPr="005C3B55">
              <w:rPr>
                <w:szCs w:val="24"/>
              </w:rPr>
              <w:t>KRA_VARPA: Protection of the herd in the presence of a shepherd;</w:t>
            </w:r>
          </w:p>
          <w:p w:rsidR="00F555D6" w:rsidRPr="005C3B55" w:rsidRDefault="00F555D6" w:rsidP="00F555D6">
            <w:pPr>
              <w:numPr>
                <w:ilvl w:val="0"/>
                <w:numId w:val="760"/>
              </w:numPr>
              <w:spacing w:before="0" w:after="240"/>
              <w:ind w:hanging="290"/>
              <w:jc w:val="left"/>
              <w:rPr>
                <w:szCs w:val="24"/>
              </w:rPr>
            </w:pPr>
            <w:r w:rsidRPr="005C3B55">
              <w:rPr>
                <w:szCs w:val="24"/>
              </w:rPr>
              <w:t>KRA_VARPP: Protection of the herd in the presence of a herding dog.</w:t>
            </w:r>
          </w:p>
          <w:p w:rsidR="00F555D6" w:rsidRPr="005C3B55" w:rsidRDefault="00F555D6" w:rsidP="00F555D6">
            <w:pPr>
              <w:spacing w:before="240" w:after="240" w:line="280" w:lineRule="auto"/>
              <w:rPr>
                <w:szCs w:val="24"/>
              </w:rPr>
            </w:pPr>
            <w:r w:rsidRPr="005C3B55">
              <w:rPr>
                <w:szCs w:val="24"/>
              </w:rPr>
              <w:t>Protection of herds with mobile protective electric fences and electric nets does not combine with the other two requirements, whereas the requirements on the protection of the herd with a shepherd and herding dogs can complement each other. Herding dogs are trained so that no additional shepherd is required.</w:t>
            </w:r>
          </w:p>
          <w:p w:rsidR="00F555D6" w:rsidRPr="005C3B55" w:rsidRDefault="00F555D6" w:rsidP="00F555D6">
            <w:pPr>
              <w:spacing w:before="240" w:after="240" w:line="280" w:lineRule="auto"/>
              <w:rPr>
                <w:szCs w:val="24"/>
              </w:rPr>
            </w:pPr>
            <w:r w:rsidRPr="005C3B55">
              <w:rPr>
                <w:b/>
                <w:i/>
                <w:szCs w:val="24"/>
              </w:rPr>
              <w:t>KRA_OGRM: Protection of the herd with mobile protective electric fences and electric nets</w:t>
            </w:r>
          </w:p>
          <w:p w:rsidR="00F555D6" w:rsidRPr="005C3B55" w:rsidRDefault="00F555D6" w:rsidP="00F555D6">
            <w:pPr>
              <w:spacing w:before="240" w:after="240" w:line="280" w:lineRule="auto"/>
              <w:rPr>
                <w:szCs w:val="24"/>
              </w:rPr>
            </w:pPr>
            <w:r w:rsidRPr="005C3B55">
              <w:rPr>
                <w:szCs w:val="24"/>
              </w:rPr>
              <w:t>By protecting the herd with protective mobile electric fences and electric nets in areas where bear and wolf occur, the requirement prevents the conflict between livestock and large carnivores. It is intended to protect the herd at night; high mobile electric fences can also be used to fence paddocks. Fences must be built from electric nets measuring at least 160 centimetres in height, which have to be electrified (min. 5 kV) all day and night. The requirement is intended for all breeders who want to improve herd protection at night against carnivore attacks by enclosing the herd in high enclosures made from electric nets. In the morning, animals must be released from night the enclosures, gathered again on the pasture and enclosed behind the fence in the evening. When herds are small, high electric nets used to protect small ruminants against carnivores are also used for daily grazing. If grazing is not implemented, grassland habitat types deteriorate due to overgrowth.</w:t>
            </w:r>
          </w:p>
          <w:p w:rsidR="00F555D6" w:rsidRPr="005C3B55" w:rsidRDefault="00F555D6" w:rsidP="00F555D6">
            <w:pPr>
              <w:spacing w:before="240" w:after="240" w:line="280" w:lineRule="auto"/>
              <w:rPr>
                <w:szCs w:val="24"/>
              </w:rPr>
            </w:pPr>
            <w:r w:rsidRPr="005C3B55">
              <w:rPr>
                <w:szCs w:val="24"/>
              </w:rPr>
              <w:t>When implementing the requirement, surfaces must be grazed.</w:t>
            </w:r>
          </w:p>
          <w:p w:rsidR="00F555D6" w:rsidRPr="005C3B55" w:rsidRDefault="00F555D6" w:rsidP="00F555D6">
            <w:pPr>
              <w:numPr>
                <w:ilvl w:val="0"/>
                <w:numId w:val="761"/>
              </w:numPr>
              <w:spacing w:before="240" w:after="0"/>
              <w:ind w:hanging="290"/>
              <w:jc w:val="left"/>
              <w:rPr>
                <w:szCs w:val="24"/>
              </w:rPr>
            </w:pPr>
            <w:r w:rsidRPr="005C3B55">
              <w:rPr>
                <w:szCs w:val="24"/>
              </w:rPr>
              <w:t>Livestock density: 0.5 to 1.8 LU/ha of grazing animals (average annual livestock density).</w:t>
            </w:r>
          </w:p>
          <w:p w:rsidR="00F555D6" w:rsidRPr="005C3B55" w:rsidRDefault="00F555D6" w:rsidP="00F555D6">
            <w:pPr>
              <w:numPr>
                <w:ilvl w:val="0"/>
                <w:numId w:val="761"/>
              </w:numPr>
              <w:spacing w:before="0" w:after="0"/>
              <w:ind w:hanging="290"/>
              <w:jc w:val="left"/>
              <w:rPr>
                <w:szCs w:val="24"/>
              </w:rPr>
            </w:pPr>
            <w:r w:rsidRPr="005C3B55">
              <w:rPr>
                <w:szCs w:val="24"/>
              </w:rPr>
              <w:t>Use: permanent grassland.</w:t>
            </w:r>
          </w:p>
          <w:p w:rsidR="00F555D6" w:rsidRPr="005C3B55" w:rsidRDefault="00F555D6" w:rsidP="00F555D6">
            <w:pPr>
              <w:numPr>
                <w:ilvl w:val="0"/>
                <w:numId w:val="761"/>
              </w:numPr>
              <w:spacing w:before="0" w:after="0"/>
              <w:ind w:hanging="290"/>
              <w:jc w:val="left"/>
              <w:rPr>
                <w:szCs w:val="24"/>
              </w:rPr>
            </w:pPr>
            <w:r w:rsidRPr="005C3B55">
              <w:rPr>
                <w:szCs w:val="24"/>
              </w:rPr>
              <w:t>Coverage: part of the area.</w:t>
            </w:r>
          </w:p>
          <w:p w:rsidR="00F555D6" w:rsidRPr="005C3B55" w:rsidRDefault="00F555D6" w:rsidP="00F555D6">
            <w:pPr>
              <w:numPr>
                <w:ilvl w:val="0"/>
                <w:numId w:val="761"/>
              </w:numPr>
              <w:spacing w:before="0" w:after="0"/>
              <w:ind w:hanging="290"/>
              <w:jc w:val="left"/>
              <w:rPr>
                <w:szCs w:val="24"/>
              </w:rPr>
            </w:pPr>
            <w:r w:rsidRPr="005C3B55">
              <w:rPr>
                <w:szCs w:val="24"/>
              </w:rPr>
              <w:t>Location: not relevant.</w:t>
            </w:r>
          </w:p>
          <w:p w:rsidR="00F555D6" w:rsidRPr="005C3B55" w:rsidRDefault="00F555D6" w:rsidP="00F555D6">
            <w:pPr>
              <w:numPr>
                <w:ilvl w:val="0"/>
                <w:numId w:val="761"/>
              </w:numPr>
              <w:spacing w:before="0" w:after="240"/>
              <w:ind w:hanging="290"/>
              <w:jc w:val="left"/>
              <w:rPr>
                <w:szCs w:val="24"/>
              </w:rPr>
            </w:pPr>
            <w:r w:rsidRPr="005C3B55">
              <w:rPr>
                <w:szCs w:val="24"/>
              </w:rPr>
              <w:t>Implementation area: area of the occurrence of bear and wolf.</w:t>
            </w:r>
          </w:p>
          <w:p w:rsidR="00F555D6" w:rsidRPr="005C3B55" w:rsidRDefault="00F555D6" w:rsidP="00F555D6">
            <w:pPr>
              <w:spacing w:before="240" w:after="240" w:line="280" w:lineRule="auto"/>
              <w:rPr>
                <w:szCs w:val="24"/>
              </w:rPr>
            </w:pPr>
            <w:r w:rsidRPr="005C3B55">
              <w:rPr>
                <w:szCs w:val="24"/>
              </w:rPr>
              <w:t>Effects:</w:t>
            </w:r>
          </w:p>
          <w:p w:rsidR="00F555D6" w:rsidRPr="005C3B55" w:rsidRDefault="00F555D6" w:rsidP="00F555D6">
            <w:pPr>
              <w:numPr>
                <w:ilvl w:val="0"/>
                <w:numId w:val="762"/>
              </w:numPr>
              <w:spacing w:before="240" w:after="0"/>
              <w:ind w:hanging="290"/>
              <w:jc w:val="left"/>
              <w:rPr>
                <w:szCs w:val="24"/>
              </w:rPr>
            </w:pPr>
            <w:r w:rsidRPr="005C3B55">
              <w:rPr>
                <w:szCs w:val="24"/>
              </w:rPr>
              <w:t>co-existence of large carnivores and livestock;</w:t>
            </w:r>
          </w:p>
          <w:p w:rsidR="00F555D6" w:rsidRPr="005C3B55" w:rsidRDefault="00F555D6" w:rsidP="00F555D6">
            <w:pPr>
              <w:numPr>
                <w:ilvl w:val="0"/>
                <w:numId w:val="762"/>
              </w:numPr>
              <w:spacing w:before="0" w:after="0"/>
              <w:ind w:hanging="290"/>
              <w:jc w:val="left"/>
              <w:rPr>
                <w:szCs w:val="24"/>
              </w:rPr>
            </w:pPr>
            <w:r w:rsidRPr="005C3B55">
              <w:rPr>
                <w:szCs w:val="24"/>
              </w:rPr>
              <w:t>preservation of a favourable status of large carnivores;</w:t>
            </w:r>
          </w:p>
          <w:p w:rsidR="00F555D6" w:rsidRPr="005C3B55" w:rsidRDefault="00F555D6" w:rsidP="00F555D6">
            <w:pPr>
              <w:numPr>
                <w:ilvl w:val="0"/>
                <w:numId w:val="762"/>
              </w:numPr>
              <w:spacing w:before="0" w:after="0"/>
              <w:ind w:hanging="290"/>
              <w:jc w:val="left"/>
              <w:rPr>
                <w:szCs w:val="24"/>
              </w:rPr>
            </w:pPr>
            <w:r w:rsidRPr="005C3B55">
              <w:rPr>
                <w:szCs w:val="24"/>
              </w:rPr>
              <w:t>preservation of meadow habitat types and species;</w:t>
            </w:r>
          </w:p>
          <w:p w:rsidR="00F555D6" w:rsidRPr="005C3B55" w:rsidRDefault="00F555D6" w:rsidP="00F555D6">
            <w:pPr>
              <w:numPr>
                <w:ilvl w:val="0"/>
                <w:numId w:val="762"/>
              </w:numPr>
              <w:spacing w:before="0" w:after="0"/>
              <w:ind w:hanging="290"/>
              <w:jc w:val="left"/>
              <w:rPr>
                <w:szCs w:val="24"/>
              </w:rPr>
            </w:pPr>
            <w:r w:rsidRPr="005C3B55">
              <w:rPr>
                <w:szCs w:val="24"/>
              </w:rPr>
              <w:t>conservation of biodiversity;</w:t>
            </w:r>
          </w:p>
          <w:p w:rsidR="00F555D6" w:rsidRPr="005C3B55" w:rsidRDefault="00F555D6" w:rsidP="00F555D6">
            <w:pPr>
              <w:numPr>
                <w:ilvl w:val="0"/>
                <w:numId w:val="762"/>
              </w:numPr>
              <w:spacing w:before="0" w:after="240"/>
              <w:ind w:hanging="290"/>
              <w:jc w:val="left"/>
              <w:rPr>
                <w:szCs w:val="24"/>
              </w:rPr>
            </w:pPr>
            <w:r w:rsidRPr="005C3B55">
              <w:rPr>
                <w:szCs w:val="24"/>
              </w:rPr>
              <w:t>prevention of loss of grazing animals due to carnivore attacks.</w:t>
            </w:r>
          </w:p>
          <w:p w:rsidR="00F555D6" w:rsidRPr="005C3B55" w:rsidRDefault="00F555D6" w:rsidP="00F555D6">
            <w:pPr>
              <w:spacing w:before="240" w:after="240" w:line="280" w:lineRule="auto"/>
              <w:rPr>
                <w:szCs w:val="24"/>
              </w:rPr>
            </w:pPr>
            <w:r w:rsidRPr="005C3B55">
              <w:rPr>
                <w:b/>
                <w:i/>
                <w:szCs w:val="24"/>
              </w:rPr>
              <w:t>KRA_VARPA: Protection of the herd in the presence of a shepherd</w:t>
            </w:r>
          </w:p>
          <w:p w:rsidR="00F555D6" w:rsidRPr="005C3B55" w:rsidRDefault="00F555D6" w:rsidP="00F555D6">
            <w:pPr>
              <w:spacing w:before="240" w:after="240" w:line="280" w:lineRule="auto"/>
              <w:rPr>
                <w:szCs w:val="24"/>
              </w:rPr>
            </w:pPr>
            <w:r w:rsidRPr="005C3B55">
              <w:rPr>
                <w:szCs w:val="24"/>
              </w:rPr>
              <w:t>By providing protection of the herd with a shepherd, the requirement prevents the conflict between livestock and large carnivores. The requirement is aimed at protecting the herd and represents a way to prevent the occurrence of damage. The requirement is intended for farmers who want to improve the protection of their herds from attacks by large carnivores through direct protection of the herd because other methods of protection are not effective due to the specifics of the terrain which does not allow for an installation of appropriate enclosures for all-day grazing.</w:t>
            </w:r>
          </w:p>
          <w:p w:rsidR="00F555D6" w:rsidRPr="005C3B55" w:rsidRDefault="00F555D6" w:rsidP="00F555D6">
            <w:pPr>
              <w:numPr>
                <w:ilvl w:val="0"/>
                <w:numId w:val="763"/>
              </w:numPr>
              <w:spacing w:before="240" w:after="0"/>
              <w:ind w:hanging="290"/>
              <w:jc w:val="left"/>
              <w:rPr>
                <w:szCs w:val="24"/>
              </w:rPr>
            </w:pPr>
            <w:r w:rsidRPr="005C3B55">
              <w:rPr>
                <w:szCs w:val="24"/>
              </w:rPr>
              <w:t>Livestock density: 0.5 to 1.8 LU/ha of grazing animals (average annual livestock density).</w:t>
            </w:r>
          </w:p>
          <w:p w:rsidR="00F555D6" w:rsidRPr="005C3B55" w:rsidRDefault="00F555D6" w:rsidP="00F555D6">
            <w:pPr>
              <w:numPr>
                <w:ilvl w:val="0"/>
                <w:numId w:val="763"/>
              </w:numPr>
              <w:spacing w:before="0" w:after="0"/>
              <w:ind w:hanging="290"/>
              <w:jc w:val="left"/>
              <w:rPr>
                <w:szCs w:val="24"/>
              </w:rPr>
            </w:pPr>
            <w:r w:rsidRPr="005C3B55">
              <w:rPr>
                <w:szCs w:val="24"/>
              </w:rPr>
              <w:t>Use: permanent grassland.</w:t>
            </w:r>
          </w:p>
          <w:p w:rsidR="00F555D6" w:rsidRPr="005C3B55" w:rsidRDefault="00F555D6" w:rsidP="00F555D6">
            <w:pPr>
              <w:numPr>
                <w:ilvl w:val="0"/>
                <w:numId w:val="763"/>
              </w:numPr>
              <w:spacing w:before="0" w:after="0"/>
              <w:ind w:hanging="290"/>
              <w:jc w:val="left"/>
              <w:rPr>
                <w:szCs w:val="24"/>
              </w:rPr>
            </w:pPr>
            <w:r w:rsidRPr="005C3B55">
              <w:rPr>
                <w:szCs w:val="24"/>
              </w:rPr>
              <w:t>Coverage: part of the area.</w:t>
            </w:r>
          </w:p>
          <w:p w:rsidR="00F555D6" w:rsidRPr="005C3B55" w:rsidRDefault="00F555D6" w:rsidP="00F555D6">
            <w:pPr>
              <w:numPr>
                <w:ilvl w:val="0"/>
                <w:numId w:val="763"/>
              </w:numPr>
              <w:spacing w:before="0" w:after="0"/>
              <w:ind w:hanging="290"/>
              <w:jc w:val="left"/>
              <w:rPr>
                <w:szCs w:val="24"/>
              </w:rPr>
            </w:pPr>
            <w:r w:rsidRPr="005C3B55">
              <w:rPr>
                <w:szCs w:val="24"/>
              </w:rPr>
              <w:t>Location: not relevant.</w:t>
            </w:r>
          </w:p>
          <w:p w:rsidR="00F555D6" w:rsidRPr="005C3B55" w:rsidRDefault="00F555D6" w:rsidP="00F555D6">
            <w:pPr>
              <w:numPr>
                <w:ilvl w:val="0"/>
                <w:numId w:val="763"/>
              </w:numPr>
              <w:spacing w:before="0" w:after="240"/>
              <w:ind w:hanging="290"/>
              <w:jc w:val="left"/>
              <w:rPr>
                <w:szCs w:val="24"/>
              </w:rPr>
            </w:pPr>
            <w:r w:rsidRPr="005C3B55">
              <w:rPr>
                <w:szCs w:val="24"/>
              </w:rPr>
              <w:t>Implementation area: area of the occurrence of bear and wolf.</w:t>
            </w:r>
          </w:p>
          <w:p w:rsidR="00F555D6" w:rsidRPr="005C3B55" w:rsidRDefault="00F555D6" w:rsidP="00F555D6">
            <w:pPr>
              <w:spacing w:before="240" w:after="240" w:line="280" w:lineRule="auto"/>
              <w:rPr>
                <w:szCs w:val="24"/>
              </w:rPr>
            </w:pPr>
            <w:r w:rsidRPr="005C3B55">
              <w:rPr>
                <w:szCs w:val="24"/>
              </w:rPr>
              <w:t>Effects:</w:t>
            </w:r>
          </w:p>
          <w:p w:rsidR="00F555D6" w:rsidRPr="005C3B55" w:rsidRDefault="00F555D6" w:rsidP="00F555D6">
            <w:pPr>
              <w:numPr>
                <w:ilvl w:val="0"/>
                <w:numId w:val="764"/>
              </w:numPr>
              <w:spacing w:before="240" w:after="0"/>
              <w:ind w:hanging="290"/>
              <w:jc w:val="left"/>
              <w:rPr>
                <w:szCs w:val="24"/>
              </w:rPr>
            </w:pPr>
            <w:r w:rsidRPr="005C3B55">
              <w:rPr>
                <w:szCs w:val="24"/>
              </w:rPr>
              <w:t>co-existence of large carnivores and livestock;</w:t>
            </w:r>
          </w:p>
          <w:p w:rsidR="00F555D6" w:rsidRPr="005C3B55" w:rsidRDefault="00F555D6" w:rsidP="00F555D6">
            <w:pPr>
              <w:numPr>
                <w:ilvl w:val="0"/>
                <w:numId w:val="764"/>
              </w:numPr>
              <w:spacing w:before="0" w:after="0"/>
              <w:ind w:hanging="290"/>
              <w:jc w:val="left"/>
              <w:rPr>
                <w:szCs w:val="24"/>
              </w:rPr>
            </w:pPr>
            <w:r w:rsidRPr="005C3B55">
              <w:rPr>
                <w:szCs w:val="24"/>
              </w:rPr>
              <w:t>preservation of a favourable status of large carnivores;</w:t>
            </w:r>
          </w:p>
          <w:p w:rsidR="00F555D6" w:rsidRPr="005C3B55" w:rsidRDefault="00F555D6" w:rsidP="00F555D6">
            <w:pPr>
              <w:numPr>
                <w:ilvl w:val="0"/>
                <w:numId w:val="764"/>
              </w:numPr>
              <w:spacing w:before="0" w:after="0"/>
              <w:ind w:hanging="290"/>
              <w:jc w:val="left"/>
              <w:rPr>
                <w:szCs w:val="24"/>
              </w:rPr>
            </w:pPr>
            <w:r w:rsidRPr="005C3B55">
              <w:rPr>
                <w:szCs w:val="24"/>
              </w:rPr>
              <w:t>preservation of meadow habitat types and species;</w:t>
            </w:r>
          </w:p>
          <w:p w:rsidR="00F555D6" w:rsidRPr="005C3B55" w:rsidRDefault="00F555D6" w:rsidP="00F555D6">
            <w:pPr>
              <w:numPr>
                <w:ilvl w:val="0"/>
                <w:numId w:val="764"/>
              </w:numPr>
              <w:spacing w:before="0" w:after="0"/>
              <w:ind w:hanging="290"/>
              <w:jc w:val="left"/>
              <w:rPr>
                <w:szCs w:val="24"/>
              </w:rPr>
            </w:pPr>
            <w:r w:rsidRPr="005C3B55">
              <w:rPr>
                <w:szCs w:val="24"/>
              </w:rPr>
              <w:t>conservation of biodiversity;</w:t>
            </w:r>
          </w:p>
          <w:p w:rsidR="00F555D6" w:rsidRPr="005C3B55" w:rsidRDefault="00F555D6" w:rsidP="00F555D6">
            <w:pPr>
              <w:numPr>
                <w:ilvl w:val="0"/>
                <w:numId w:val="764"/>
              </w:numPr>
              <w:spacing w:before="0" w:after="240"/>
              <w:ind w:hanging="290"/>
              <w:jc w:val="left"/>
              <w:rPr>
                <w:szCs w:val="24"/>
              </w:rPr>
            </w:pPr>
            <w:r w:rsidRPr="005C3B55">
              <w:rPr>
                <w:szCs w:val="24"/>
              </w:rPr>
              <w:t>prevention of loss of grazing animals due to carnivore attacks.</w:t>
            </w:r>
          </w:p>
          <w:p w:rsidR="00F555D6" w:rsidRPr="005C3B55" w:rsidRDefault="00F555D6" w:rsidP="00F555D6">
            <w:pPr>
              <w:spacing w:before="240" w:after="240" w:line="280" w:lineRule="auto"/>
              <w:rPr>
                <w:szCs w:val="24"/>
              </w:rPr>
            </w:pPr>
            <w:r w:rsidRPr="005C3B55">
              <w:rPr>
                <w:b/>
                <w:i/>
                <w:szCs w:val="24"/>
              </w:rPr>
              <w:t>KRA_VARPP: Protection of the herd in the presence of a herding dog</w:t>
            </w:r>
          </w:p>
          <w:p w:rsidR="00F555D6" w:rsidRPr="005C3B55" w:rsidRDefault="00F555D6" w:rsidP="00F555D6">
            <w:pPr>
              <w:spacing w:before="240" w:after="240" w:line="280" w:lineRule="auto"/>
              <w:rPr>
                <w:szCs w:val="24"/>
              </w:rPr>
            </w:pPr>
            <w:r w:rsidRPr="005C3B55">
              <w:rPr>
                <w:szCs w:val="24"/>
              </w:rPr>
              <w:t>By providing protection of the herd with a herding dog, the requirement prevents the conflict between livestock and large carnivores. The requirement is aimed at protecting the herd and represents a way to prevent the occurrence of damage. The requirement is intended for farmers who want to improve the protection of their herds from attacks by large carnivores through direct protection of the herd by herding dogs in enclosures. At least three herding dogs have to be present.</w:t>
            </w:r>
          </w:p>
          <w:p w:rsidR="00F555D6" w:rsidRPr="005C3B55" w:rsidRDefault="00F555D6" w:rsidP="00F555D6">
            <w:pPr>
              <w:numPr>
                <w:ilvl w:val="0"/>
                <w:numId w:val="765"/>
              </w:numPr>
              <w:spacing w:before="240" w:after="0"/>
              <w:ind w:hanging="290"/>
              <w:jc w:val="left"/>
              <w:rPr>
                <w:szCs w:val="24"/>
              </w:rPr>
            </w:pPr>
            <w:r w:rsidRPr="005C3B55">
              <w:rPr>
                <w:szCs w:val="24"/>
              </w:rPr>
              <w:t>Livestock density: 0.5 to 1.8 LU/ha of grazing animals (average annual livestock density).</w:t>
            </w:r>
          </w:p>
          <w:p w:rsidR="00F555D6" w:rsidRPr="005C3B55" w:rsidRDefault="00F555D6" w:rsidP="00F555D6">
            <w:pPr>
              <w:numPr>
                <w:ilvl w:val="0"/>
                <w:numId w:val="765"/>
              </w:numPr>
              <w:spacing w:before="0" w:after="0"/>
              <w:ind w:hanging="290"/>
              <w:jc w:val="left"/>
              <w:rPr>
                <w:szCs w:val="24"/>
              </w:rPr>
            </w:pPr>
            <w:r w:rsidRPr="005C3B55">
              <w:rPr>
                <w:szCs w:val="24"/>
              </w:rPr>
              <w:t>Use: permanent grassland.</w:t>
            </w:r>
          </w:p>
          <w:p w:rsidR="00F555D6" w:rsidRPr="005C3B55" w:rsidRDefault="00F555D6" w:rsidP="00F555D6">
            <w:pPr>
              <w:numPr>
                <w:ilvl w:val="0"/>
                <w:numId w:val="765"/>
              </w:numPr>
              <w:spacing w:before="0" w:after="0"/>
              <w:ind w:hanging="290"/>
              <w:jc w:val="left"/>
              <w:rPr>
                <w:szCs w:val="24"/>
              </w:rPr>
            </w:pPr>
            <w:r w:rsidRPr="005C3B55">
              <w:rPr>
                <w:szCs w:val="24"/>
              </w:rPr>
              <w:t>Coverage: part of the area.</w:t>
            </w:r>
          </w:p>
          <w:p w:rsidR="00F555D6" w:rsidRPr="005C3B55" w:rsidRDefault="00F555D6" w:rsidP="00F555D6">
            <w:pPr>
              <w:numPr>
                <w:ilvl w:val="0"/>
                <w:numId w:val="765"/>
              </w:numPr>
              <w:spacing w:before="0" w:after="0"/>
              <w:ind w:hanging="290"/>
              <w:jc w:val="left"/>
              <w:rPr>
                <w:szCs w:val="24"/>
              </w:rPr>
            </w:pPr>
            <w:r w:rsidRPr="005C3B55">
              <w:rPr>
                <w:szCs w:val="24"/>
              </w:rPr>
              <w:t>Location: not relevant.</w:t>
            </w:r>
          </w:p>
          <w:p w:rsidR="00F555D6" w:rsidRPr="005C3B55" w:rsidRDefault="00F555D6" w:rsidP="00F555D6">
            <w:pPr>
              <w:numPr>
                <w:ilvl w:val="0"/>
                <w:numId w:val="765"/>
              </w:numPr>
              <w:spacing w:before="0" w:after="240"/>
              <w:ind w:hanging="290"/>
              <w:jc w:val="left"/>
              <w:rPr>
                <w:szCs w:val="24"/>
              </w:rPr>
            </w:pPr>
            <w:r w:rsidRPr="005C3B55">
              <w:rPr>
                <w:szCs w:val="24"/>
              </w:rPr>
              <w:t>Implementation area: area of the occurrence of bear and wolf.</w:t>
            </w:r>
          </w:p>
          <w:p w:rsidR="00F555D6" w:rsidRPr="005C3B55" w:rsidRDefault="00F555D6" w:rsidP="00F555D6">
            <w:pPr>
              <w:spacing w:before="240" w:after="240" w:line="280" w:lineRule="auto"/>
              <w:rPr>
                <w:szCs w:val="24"/>
              </w:rPr>
            </w:pPr>
            <w:r w:rsidRPr="005C3B55">
              <w:rPr>
                <w:szCs w:val="24"/>
              </w:rPr>
              <w:t>Effects:</w:t>
            </w:r>
          </w:p>
          <w:p w:rsidR="00F555D6" w:rsidRPr="005C3B55" w:rsidRDefault="00F555D6" w:rsidP="00F555D6">
            <w:pPr>
              <w:numPr>
                <w:ilvl w:val="0"/>
                <w:numId w:val="766"/>
              </w:numPr>
              <w:spacing w:before="240" w:after="0"/>
              <w:ind w:hanging="290"/>
              <w:jc w:val="left"/>
              <w:rPr>
                <w:szCs w:val="24"/>
              </w:rPr>
            </w:pPr>
            <w:r w:rsidRPr="005C3B55">
              <w:rPr>
                <w:szCs w:val="24"/>
              </w:rPr>
              <w:t>co-existence of large carnivores and livestock;</w:t>
            </w:r>
          </w:p>
          <w:p w:rsidR="00F555D6" w:rsidRPr="005C3B55" w:rsidRDefault="00F555D6" w:rsidP="00F555D6">
            <w:pPr>
              <w:numPr>
                <w:ilvl w:val="0"/>
                <w:numId w:val="766"/>
              </w:numPr>
              <w:spacing w:before="0" w:after="0"/>
              <w:ind w:hanging="290"/>
              <w:jc w:val="left"/>
              <w:rPr>
                <w:szCs w:val="24"/>
              </w:rPr>
            </w:pPr>
            <w:r w:rsidRPr="005C3B55">
              <w:rPr>
                <w:szCs w:val="24"/>
              </w:rPr>
              <w:t>preservation of a favourable status of large carnivores;</w:t>
            </w:r>
          </w:p>
          <w:p w:rsidR="00F555D6" w:rsidRPr="005C3B55" w:rsidRDefault="00F555D6" w:rsidP="00F555D6">
            <w:pPr>
              <w:numPr>
                <w:ilvl w:val="0"/>
                <w:numId w:val="766"/>
              </w:numPr>
              <w:spacing w:before="0" w:after="0"/>
              <w:ind w:hanging="290"/>
              <w:jc w:val="left"/>
              <w:rPr>
                <w:szCs w:val="24"/>
              </w:rPr>
            </w:pPr>
            <w:r w:rsidRPr="005C3B55">
              <w:rPr>
                <w:szCs w:val="24"/>
              </w:rPr>
              <w:t>preservation of meadow habitat types and species;</w:t>
            </w:r>
          </w:p>
          <w:p w:rsidR="00F555D6" w:rsidRPr="005C3B55" w:rsidRDefault="00F555D6" w:rsidP="00F555D6">
            <w:pPr>
              <w:numPr>
                <w:ilvl w:val="0"/>
                <w:numId w:val="766"/>
              </w:numPr>
              <w:spacing w:before="0" w:after="0"/>
              <w:ind w:hanging="290"/>
              <w:jc w:val="left"/>
              <w:rPr>
                <w:szCs w:val="24"/>
              </w:rPr>
            </w:pPr>
            <w:r w:rsidRPr="005C3B55">
              <w:rPr>
                <w:szCs w:val="24"/>
              </w:rPr>
              <w:t>conservation of biodiversity;</w:t>
            </w:r>
          </w:p>
          <w:p w:rsidR="00F555D6" w:rsidRPr="005C3B55" w:rsidRDefault="00F555D6" w:rsidP="00F555D6">
            <w:pPr>
              <w:numPr>
                <w:ilvl w:val="0"/>
                <w:numId w:val="766"/>
              </w:numPr>
              <w:spacing w:before="0" w:after="240"/>
              <w:ind w:hanging="290"/>
              <w:jc w:val="left"/>
              <w:rPr>
                <w:szCs w:val="24"/>
              </w:rPr>
            </w:pPr>
            <w:r w:rsidRPr="005C3B55">
              <w:rPr>
                <w:szCs w:val="24"/>
              </w:rPr>
              <w:t>prevention of loss of grazing animals due to carnivore attacks.</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Type of support</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Support for the implementation of the operation ‘Livestock rearing in the area of occurrence of large carnivores’ includes:</w:t>
            </w:r>
          </w:p>
          <w:p w:rsidR="00F555D6" w:rsidRPr="005C3B55" w:rsidRDefault="00F555D6" w:rsidP="00F555D6">
            <w:pPr>
              <w:numPr>
                <w:ilvl w:val="0"/>
                <w:numId w:val="767"/>
              </w:numPr>
              <w:spacing w:before="0" w:after="0"/>
              <w:ind w:hanging="290"/>
              <w:jc w:val="left"/>
              <w:rPr>
                <w:szCs w:val="24"/>
              </w:rPr>
            </w:pPr>
            <w:r w:rsidRPr="005C3B55">
              <w:rPr>
                <w:szCs w:val="24"/>
              </w:rPr>
              <w:t>payments per hectare for the implementation of one or several requirements selected by the beneficiary.</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Connection with other legislation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The operation ‘Livestock rearing in the area of occurrence of large carnivores’ is connected with national and EU regulations in the field of measures of agricultural policy, agriculture, the environment, nature protection and rural development.</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Beneficiaries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Beneficiaries for payments are agricultural holdings which participate voluntarily in the implementation of the operation ‘Livestock rearing in the area of occurrence of large carnivores’ and meet the prescribed conditions and requirements.</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Eligible costs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Payments are only intended for those commitments within the operation ‘Livestock rearing in the area of occurrence of large carnivores’ which exceed suitable mandatory standards determined in accordance with Chapter I, Title VI of Regulation (EU) No 1306/2013, suitable criteria determined in the second indent of item c) of the first paragraph of Article 4 of Regulation (EU) No 1307/2013, and other suitable mandatory requirements from national regulations.</w:t>
            </w:r>
          </w:p>
          <w:p w:rsidR="00F555D6" w:rsidRPr="005C3B55" w:rsidRDefault="00F555D6" w:rsidP="00F555D6">
            <w:pPr>
              <w:spacing w:before="240" w:after="240" w:line="280" w:lineRule="auto"/>
              <w:rPr>
                <w:szCs w:val="24"/>
              </w:rPr>
            </w:pPr>
            <w:r w:rsidRPr="005C3B55">
              <w:rPr>
                <w:szCs w:val="24"/>
              </w:rPr>
              <w:t>Payments cover 100 per cent of the additional costs and the loss of revenue due to the assumed commitment.</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Conditions for eligibility</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When entering the M10 measure, an agricultural holding must:</w:t>
            </w:r>
          </w:p>
          <w:p w:rsidR="00F555D6" w:rsidRPr="005C3B55" w:rsidRDefault="00F555D6" w:rsidP="00F555D6">
            <w:pPr>
              <w:numPr>
                <w:ilvl w:val="0"/>
                <w:numId w:val="768"/>
              </w:numPr>
              <w:spacing w:before="240" w:after="0"/>
              <w:ind w:hanging="290"/>
              <w:jc w:val="left"/>
              <w:rPr>
                <w:szCs w:val="24"/>
              </w:rPr>
            </w:pPr>
            <w:r w:rsidRPr="005C3B55">
              <w:rPr>
                <w:szCs w:val="24"/>
              </w:rPr>
              <w:t>have at least 1 ha of agricultural land in use as per Article 4 of Regulation (EU) No 1307/2013;</w:t>
            </w:r>
          </w:p>
          <w:p w:rsidR="00F555D6" w:rsidRPr="005C3B55" w:rsidRDefault="00F555D6" w:rsidP="00F555D6">
            <w:pPr>
              <w:numPr>
                <w:ilvl w:val="0"/>
                <w:numId w:val="768"/>
              </w:numPr>
              <w:spacing w:before="0" w:after="0"/>
              <w:ind w:hanging="290"/>
              <w:jc w:val="left"/>
              <w:rPr>
                <w:szCs w:val="24"/>
              </w:rPr>
            </w:pPr>
            <w:r w:rsidRPr="005C3B55">
              <w:rPr>
                <w:szCs w:val="24"/>
              </w:rPr>
              <w:t>be entered in the register of agricultural holdings in accordance with the regulation on the register of agricultural holdings;</w:t>
            </w:r>
          </w:p>
          <w:p w:rsidR="00F555D6" w:rsidRPr="005C3B55" w:rsidRDefault="00F555D6" w:rsidP="00F555D6">
            <w:pPr>
              <w:numPr>
                <w:ilvl w:val="0"/>
                <w:numId w:val="768"/>
              </w:numPr>
              <w:spacing w:before="0" w:after="0"/>
              <w:ind w:hanging="290"/>
              <w:jc w:val="left"/>
              <w:rPr>
                <w:szCs w:val="24"/>
              </w:rPr>
            </w:pPr>
            <w:r w:rsidRPr="005C3B55">
              <w:rPr>
                <w:szCs w:val="24"/>
              </w:rPr>
              <w:t>undergo a six-hour training programme on agri-environment-climate content;</w:t>
            </w:r>
          </w:p>
          <w:p w:rsidR="00F555D6" w:rsidRPr="005C3B55" w:rsidRDefault="00F555D6" w:rsidP="00F555D6">
            <w:pPr>
              <w:numPr>
                <w:ilvl w:val="0"/>
                <w:numId w:val="768"/>
              </w:numPr>
              <w:spacing w:before="0" w:after="240"/>
              <w:ind w:hanging="290"/>
              <w:jc w:val="left"/>
              <w:rPr>
                <w:szCs w:val="24"/>
              </w:rPr>
            </w:pPr>
            <w:r w:rsidRPr="005C3B55">
              <w:rPr>
                <w:szCs w:val="24"/>
              </w:rPr>
              <w:t>prepare an activities programme of the agricultural holding which is an electronic document prepared as a result of advisory services.</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Principles regarding the determination of selection criteria</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The selection criteria are not relevant.</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(Valid) amounts and support rates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The amount of payments for requirements within the operation ‘Livestock rearing in the area of occurrence of large carnivores’amounts to 100 % of the amount of payments calculated as per the model calculation.</w:t>
            </w:r>
          </w:p>
          <w:p w:rsidR="00F555D6" w:rsidRPr="005C3B55" w:rsidRDefault="00F555D6" w:rsidP="00F555D6">
            <w:pPr>
              <w:pStyle w:val="Telobesedila"/>
              <w:rPr>
                <w:szCs w:val="24"/>
              </w:rPr>
            </w:pPr>
          </w:p>
          <w:p w:rsidR="00F555D6" w:rsidRPr="005C3B55" w:rsidRDefault="0012246E" w:rsidP="00F555D6">
            <w:pPr>
              <w:pStyle w:val="Telobesedila3"/>
              <w:jc w:val="left"/>
              <w:rPr>
                <w:szCs w:val="24"/>
              </w:rPr>
            </w:pPr>
            <w:r w:rsidRPr="005C3B55">
              <w:rPr>
                <w:noProof/>
                <w:szCs w:val="24"/>
                <w:lang w:val="sl-SI"/>
              </w:rPr>
              <w:drawing>
                <wp:inline distT="0" distB="0" distL="0" distR="0">
                  <wp:extent cx="6562725" cy="4105275"/>
                  <wp:effectExtent l="0" t="0" r="9525" b="9525"/>
                  <wp:docPr id="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562725" cy="4105275"/>
                          </a:xfrm>
                          <a:prstGeom prst="rect">
                            <a:avLst/>
                          </a:prstGeom>
                          <a:noFill/>
                          <a:ln>
                            <a:noFill/>
                          </a:ln>
                        </pic:spPr>
                      </pic:pic>
                    </a:graphicData>
                  </a:graphic>
                </wp:inline>
              </w:drawing>
            </w:r>
          </w:p>
          <w:p w:rsidR="00F555D6" w:rsidRPr="005C3B55" w:rsidRDefault="00F555D6" w:rsidP="00F555D6">
            <w:pPr>
              <w:pStyle w:val="Noga"/>
              <w:jc w:val="center"/>
              <w:rPr>
                <w:szCs w:val="24"/>
              </w:rPr>
            </w:pPr>
            <w:r w:rsidRPr="005C3B55">
              <w:rPr>
                <w:szCs w:val="24"/>
              </w:rPr>
              <w:t xml:space="preserve">Operation ‘Livestock rearing in areas of the occurrence of large carnivores’: amount of payments for individual requirements </w:t>
            </w:r>
          </w:p>
          <w:p w:rsidR="00F555D6" w:rsidRPr="005C3B55" w:rsidRDefault="00F555D6" w:rsidP="00F555D6">
            <w:pPr>
              <w:pStyle w:val="Noga"/>
              <w:jc w:val="center"/>
              <w:rPr>
                <w:szCs w:val="24"/>
              </w:rPr>
            </w:pPr>
          </w:p>
        </w:tc>
      </w:tr>
    </w:tbl>
    <w:p w:rsidR="00F555D6" w:rsidRPr="005C3B55" w:rsidRDefault="00F555D6" w:rsidP="00F555D6"/>
    <w:p w:rsidR="00F555D6" w:rsidRPr="005C3B55" w:rsidRDefault="00F555D6" w:rsidP="00F555D6">
      <w:r w:rsidRPr="005C3B55">
        <w:t>Amount of payments (EUR/ha annually) for requirements within the operation ‘Livestock rearing in the area of occurrence of large carnivores’</w:t>
      </w:r>
    </w:p>
    <w:tbl>
      <w:tblPr>
        <w:tblW w:w="5000" w:type="pct"/>
        <w:tblInd w:w="108"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2132"/>
        <w:gridCol w:w="2131"/>
        <w:gridCol w:w="2329"/>
        <w:gridCol w:w="1933"/>
        <w:gridCol w:w="2131"/>
      </w:tblGrid>
      <w:tr w:rsidR="00F555D6" w:rsidRPr="005C3B55">
        <w:tc>
          <w:tcPr>
            <w:tcW w:w="1000" w:type="pct"/>
            <w:tcBorders>
              <w:top w:val="single" w:sz="18" w:space="0" w:color="auto"/>
              <w:left w:val="single" w:sz="18" w:space="0" w:color="auto"/>
              <w:bottom w:val="single" w:sz="18" w:space="0" w:color="auto"/>
              <w:right w:val="single" w:sz="18" w:space="0" w:color="auto"/>
            </w:tcBorders>
            <w:shd w:val="clear" w:color="auto" w:fill="D9D9D9"/>
            <w:vAlign w:val="center"/>
          </w:tcPr>
          <w:p w:rsidR="00F555D6" w:rsidRPr="005C3B55" w:rsidRDefault="00F555D6" w:rsidP="00F555D6">
            <w:r w:rsidRPr="005C3B55">
              <w:rPr>
                <w:b/>
                <w:sz w:val="20"/>
              </w:rPr>
              <w:t>Requirement</w:t>
            </w:r>
          </w:p>
        </w:tc>
        <w:tc>
          <w:tcPr>
            <w:tcW w:w="1000" w:type="pct"/>
            <w:tcBorders>
              <w:top w:val="single" w:sz="18" w:space="0" w:color="auto"/>
              <w:left w:val="single" w:sz="18" w:space="0" w:color="auto"/>
              <w:bottom w:val="single" w:sz="18" w:space="0" w:color="auto"/>
              <w:right w:val="single" w:sz="18" w:space="0" w:color="auto"/>
            </w:tcBorders>
            <w:shd w:val="clear" w:color="auto" w:fill="D9D9D9"/>
            <w:vAlign w:val="center"/>
          </w:tcPr>
          <w:p w:rsidR="00F555D6" w:rsidRPr="005C3B55" w:rsidRDefault="00F555D6" w:rsidP="00F555D6">
            <w:pPr>
              <w:autoSpaceDE w:val="0"/>
              <w:autoSpaceDN w:val="0"/>
              <w:adjustRightInd w:val="0"/>
              <w:jc w:val="right"/>
            </w:pPr>
            <w:r w:rsidRPr="005C3B55">
              <w:rPr>
                <w:b/>
                <w:sz w:val="20"/>
              </w:rPr>
              <w:t>Calculated payment amount as per model calculation</w:t>
            </w:r>
          </w:p>
        </w:tc>
        <w:tc>
          <w:tcPr>
            <w:tcW w:w="1093" w:type="pct"/>
            <w:tcBorders>
              <w:top w:val="single" w:sz="18" w:space="0" w:color="auto"/>
              <w:left w:val="single" w:sz="18" w:space="0" w:color="auto"/>
              <w:bottom w:val="single" w:sz="18" w:space="0" w:color="auto"/>
              <w:right w:val="single" w:sz="18" w:space="0" w:color="auto"/>
            </w:tcBorders>
            <w:shd w:val="clear" w:color="auto" w:fill="D9D9D9"/>
            <w:vAlign w:val="center"/>
          </w:tcPr>
          <w:p w:rsidR="00F555D6" w:rsidRPr="005C3B55" w:rsidRDefault="00F555D6" w:rsidP="00F555D6">
            <w:pPr>
              <w:autoSpaceDE w:val="0"/>
              <w:autoSpaceDN w:val="0"/>
              <w:adjustRightInd w:val="0"/>
              <w:jc w:val="right"/>
            </w:pPr>
            <w:r w:rsidRPr="005C3B55">
              <w:rPr>
                <w:b/>
                <w:sz w:val="20"/>
              </w:rPr>
              <w:t>Highest possible payment as per Annex II to Regulation (EU) No 1305/2013</w:t>
            </w:r>
          </w:p>
        </w:tc>
        <w:tc>
          <w:tcPr>
            <w:tcW w:w="907" w:type="pct"/>
            <w:tcBorders>
              <w:top w:val="single" w:sz="18" w:space="0" w:color="auto"/>
              <w:left w:val="single" w:sz="18" w:space="0" w:color="auto"/>
              <w:bottom w:val="single" w:sz="18" w:space="0" w:color="auto"/>
              <w:right w:val="single" w:sz="18" w:space="0" w:color="auto"/>
            </w:tcBorders>
            <w:shd w:val="clear" w:color="auto" w:fill="D9D9D9"/>
            <w:vAlign w:val="center"/>
          </w:tcPr>
          <w:p w:rsidR="00F555D6" w:rsidRPr="005C3B55" w:rsidRDefault="00F555D6" w:rsidP="00F555D6">
            <w:pPr>
              <w:autoSpaceDE w:val="0"/>
              <w:autoSpaceDN w:val="0"/>
              <w:adjustRightInd w:val="0"/>
              <w:jc w:val="right"/>
            </w:pPr>
            <w:r w:rsidRPr="005C3B55">
              <w:rPr>
                <w:b/>
                <w:sz w:val="20"/>
              </w:rPr>
              <w:t>Highest possible amount</w:t>
            </w:r>
          </w:p>
        </w:tc>
        <w:tc>
          <w:tcPr>
            <w:tcW w:w="1000" w:type="pct"/>
            <w:tcBorders>
              <w:top w:val="single" w:sz="18" w:space="0" w:color="auto"/>
              <w:left w:val="single" w:sz="18" w:space="0" w:color="auto"/>
              <w:bottom w:val="single" w:sz="18" w:space="0" w:color="auto"/>
              <w:right w:val="single" w:sz="18" w:space="0" w:color="auto"/>
            </w:tcBorders>
            <w:shd w:val="clear" w:color="auto" w:fill="D9D9D9"/>
            <w:vAlign w:val="center"/>
          </w:tcPr>
          <w:p w:rsidR="00F555D6" w:rsidRPr="005C3B55" w:rsidRDefault="00F555D6" w:rsidP="00F555D6">
            <w:pPr>
              <w:jc w:val="right"/>
            </w:pPr>
            <w:r w:rsidRPr="005C3B55">
              <w:rPr>
                <w:b/>
                <w:sz w:val="20"/>
              </w:rPr>
              <w:t>Payment (100% of payment amount calculated as per model calculation)</w:t>
            </w:r>
          </w:p>
        </w:tc>
      </w:tr>
      <w:tr w:rsidR="00F555D6" w:rsidRPr="005C3B55">
        <w:tc>
          <w:tcPr>
            <w:tcW w:w="1000" w:type="pct"/>
            <w:tcBorders>
              <w:top w:val="single" w:sz="18" w:space="0" w:color="auto"/>
              <w:left w:val="single" w:sz="18" w:space="0" w:color="auto"/>
              <w:bottom w:val="single" w:sz="18" w:space="0" w:color="auto"/>
              <w:right w:val="single" w:sz="18" w:space="0" w:color="auto"/>
            </w:tcBorders>
          </w:tcPr>
          <w:p w:rsidR="00F555D6" w:rsidRPr="005C3B55" w:rsidRDefault="00F555D6" w:rsidP="00F555D6">
            <w:pPr>
              <w:rPr>
                <w:sz w:val="20"/>
              </w:rPr>
            </w:pPr>
            <w:r w:rsidRPr="005C3B55">
              <w:rPr>
                <w:sz w:val="20"/>
              </w:rPr>
              <w:t>KRA_OGRM</w:t>
            </w:r>
          </w:p>
        </w:tc>
        <w:tc>
          <w:tcPr>
            <w:tcW w:w="1000"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119.90</w:t>
            </w:r>
          </w:p>
        </w:tc>
        <w:tc>
          <w:tcPr>
            <w:tcW w:w="1093"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450</w:t>
            </w:r>
          </w:p>
        </w:tc>
        <w:tc>
          <w:tcPr>
            <w:tcW w:w="907"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119.90</w:t>
            </w:r>
          </w:p>
        </w:tc>
        <w:tc>
          <w:tcPr>
            <w:tcW w:w="1000"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119.90</w:t>
            </w:r>
          </w:p>
        </w:tc>
      </w:tr>
      <w:tr w:rsidR="00F555D6" w:rsidRPr="005C3B55">
        <w:tc>
          <w:tcPr>
            <w:tcW w:w="1000" w:type="pct"/>
            <w:tcBorders>
              <w:top w:val="single" w:sz="18" w:space="0" w:color="auto"/>
              <w:left w:val="single" w:sz="18" w:space="0" w:color="auto"/>
              <w:bottom w:val="single" w:sz="18" w:space="0" w:color="auto"/>
              <w:right w:val="single" w:sz="18" w:space="0" w:color="auto"/>
            </w:tcBorders>
          </w:tcPr>
          <w:p w:rsidR="00F555D6" w:rsidRPr="005C3B55" w:rsidRDefault="00F555D6" w:rsidP="00F555D6">
            <w:pPr>
              <w:rPr>
                <w:sz w:val="20"/>
              </w:rPr>
            </w:pPr>
            <w:r w:rsidRPr="005C3B55">
              <w:rPr>
                <w:sz w:val="20"/>
              </w:rPr>
              <w:t>KRA_VARPA</w:t>
            </w:r>
          </w:p>
        </w:tc>
        <w:tc>
          <w:tcPr>
            <w:tcW w:w="1000"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112.60</w:t>
            </w:r>
          </w:p>
        </w:tc>
        <w:tc>
          <w:tcPr>
            <w:tcW w:w="1093"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450</w:t>
            </w:r>
          </w:p>
        </w:tc>
        <w:tc>
          <w:tcPr>
            <w:tcW w:w="907"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112.60</w:t>
            </w:r>
          </w:p>
        </w:tc>
        <w:tc>
          <w:tcPr>
            <w:tcW w:w="1000"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112.60</w:t>
            </w:r>
          </w:p>
        </w:tc>
      </w:tr>
      <w:tr w:rsidR="00F555D6" w:rsidRPr="005C3B55">
        <w:tc>
          <w:tcPr>
            <w:tcW w:w="1000" w:type="pct"/>
            <w:tcBorders>
              <w:top w:val="single" w:sz="18" w:space="0" w:color="auto"/>
              <w:left w:val="single" w:sz="18" w:space="0" w:color="auto"/>
              <w:bottom w:val="single" w:sz="18" w:space="0" w:color="auto"/>
              <w:right w:val="single" w:sz="18" w:space="0" w:color="auto"/>
            </w:tcBorders>
          </w:tcPr>
          <w:p w:rsidR="00F555D6" w:rsidRPr="005C3B55" w:rsidRDefault="00F555D6" w:rsidP="00F555D6">
            <w:pPr>
              <w:rPr>
                <w:sz w:val="20"/>
              </w:rPr>
            </w:pPr>
            <w:r w:rsidRPr="005C3B55">
              <w:rPr>
                <w:sz w:val="20"/>
              </w:rPr>
              <w:t>KRA_VARPP</w:t>
            </w:r>
          </w:p>
        </w:tc>
        <w:tc>
          <w:tcPr>
            <w:tcW w:w="1000" w:type="pct"/>
            <w:tcBorders>
              <w:top w:val="single" w:sz="18" w:space="0" w:color="auto"/>
              <w:left w:val="single" w:sz="18" w:space="0" w:color="auto"/>
              <w:bottom w:val="single" w:sz="18" w:space="0" w:color="auto"/>
              <w:right w:val="single" w:sz="18" w:space="0" w:color="auto"/>
            </w:tcBorders>
          </w:tcPr>
          <w:p w:rsidR="00F555D6" w:rsidRPr="005C3B55" w:rsidRDefault="00F555D6" w:rsidP="00F555D6">
            <w:pPr>
              <w:jc w:val="right"/>
              <w:rPr>
                <w:sz w:val="20"/>
              </w:rPr>
            </w:pPr>
            <w:r w:rsidRPr="005C3B55">
              <w:rPr>
                <w:sz w:val="20"/>
              </w:rPr>
              <w:t>107.60</w:t>
            </w:r>
          </w:p>
        </w:tc>
        <w:tc>
          <w:tcPr>
            <w:tcW w:w="1093" w:type="pct"/>
            <w:tcBorders>
              <w:top w:val="single" w:sz="18" w:space="0" w:color="auto"/>
              <w:left w:val="single" w:sz="18" w:space="0" w:color="auto"/>
              <w:bottom w:val="single" w:sz="18" w:space="0" w:color="auto"/>
              <w:right w:val="single" w:sz="18" w:space="0" w:color="auto"/>
            </w:tcBorders>
          </w:tcPr>
          <w:p w:rsidR="00F555D6" w:rsidRPr="005C3B55" w:rsidRDefault="00F555D6" w:rsidP="00F555D6">
            <w:pPr>
              <w:jc w:val="right"/>
              <w:rPr>
                <w:sz w:val="20"/>
              </w:rPr>
            </w:pPr>
            <w:r w:rsidRPr="005C3B55">
              <w:rPr>
                <w:sz w:val="20"/>
              </w:rPr>
              <w:t>450</w:t>
            </w:r>
          </w:p>
        </w:tc>
        <w:tc>
          <w:tcPr>
            <w:tcW w:w="907" w:type="pct"/>
            <w:tcBorders>
              <w:top w:val="single" w:sz="18" w:space="0" w:color="auto"/>
              <w:left w:val="single" w:sz="18" w:space="0" w:color="auto"/>
              <w:bottom w:val="single" w:sz="18" w:space="0" w:color="auto"/>
              <w:right w:val="single" w:sz="18" w:space="0" w:color="auto"/>
            </w:tcBorders>
          </w:tcPr>
          <w:p w:rsidR="00F555D6" w:rsidRPr="005C3B55" w:rsidRDefault="00F555D6" w:rsidP="00F555D6">
            <w:pPr>
              <w:jc w:val="right"/>
              <w:rPr>
                <w:sz w:val="20"/>
              </w:rPr>
            </w:pPr>
            <w:r w:rsidRPr="005C3B55">
              <w:rPr>
                <w:sz w:val="20"/>
              </w:rPr>
              <w:t>107.60</w:t>
            </w:r>
          </w:p>
        </w:tc>
        <w:tc>
          <w:tcPr>
            <w:tcW w:w="1000" w:type="pct"/>
            <w:tcBorders>
              <w:top w:val="single" w:sz="18" w:space="0" w:color="auto"/>
              <w:left w:val="single" w:sz="18" w:space="0" w:color="auto"/>
              <w:bottom w:val="single" w:sz="18" w:space="0" w:color="auto"/>
              <w:right w:val="single" w:sz="18" w:space="0" w:color="auto"/>
            </w:tcBorders>
          </w:tcPr>
          <w:p w:rsidR="00F555D6" w:rsidRPr="005C3B55" w:rsidRDefault="00F555D6" w:rsidP="00F555D6">
            <w:pPr>
              <w:jc w:val="right"/>
              <w:rPr>
                <w:sz w:val="20"/>
              </w:rPr>
            </w:pPr>
            <w:r w:rsidRPr="005C3B55">
              <w:rPr>
                <w:sz w:val="20"/>
              </w:rPr>
              <w:t>107.60</w:t>
            </w:r>
          </w:p>
        </w:tc>
      </w:tr>
    </w:tbl>
    <w:p w:rsidR="00F555D6" w:rsidRPr="005C3B55" w:rsidRDefault="00F555D6" w:rsidP="00F555D6">
      <w:pPr>
        <w:pStyle w:val="Naslov6"/>
        <w:numPr>
          <w:ilvl w:val="0"/>
          <w:numId w:val="0"/>
        </w:numPr>
        <w:rPr>
          <w:szCs w:val="24"/>
          <w:lang w:val="en-GB"/>
        </w:rPr>
      </w:pPr>
    </w:p>
    <w:p w:rsidR="00F555D6" w:rsidRPr="005C3B55" w:rsidRDefault="00F555D6" w:rsidP="00F555D6">
      <w:pPr>
        <w:pStyle w:val="Naslov6"/>
        <w:tabs>
          <w:tab w:val="clear" w:pos="765"/>
        </w:tabs>
        <w:ind w:left="0" w:firstLine="0"/>
        <w:rPr>
          <w:szCs w:val="24"/>
          <w:lang w:val="en-GB"/>
        </w:rPr>
      </w:pPr>
      <w:r w:rsidRPr="005C3B55">
        <w:rPr>
          <w:noProof w:val="0"/>
          <w:szCs w:val="24"/>
          <w:lang w:val="en-GB"/>
        </w:rPr>
        <w:t>Verifiability and possibility of control of measures and/or type of operations</w:t>
      </w:r>
    </w:p>
    <w:p w:rsidR="00F555D6" w:rsidRPr="005C3B55" w:rsidRDefault="00F555D6" w:rsidP="00F555D6">
      <w:pPr>
        <w:pStyle w:val="Naslov7"/>
        <w:tabs>
          <w:tab w:val="clear" w:pos="765"/>
        </w:tabs>
        <w:ind w:left="0" w:firstLine="0"/>
        <w:rPr>
          <w:szCs w:val="24"/>
          <w:lang w:val="en-GB"/>
        </w:rPr>
      </w:pPr>
      <w:r w:rsidRPr="005C3B55">
        <w:rPr>
          <w:noProof w:val="0"/>
          <w:szCs w:val="24"/>
          <w:lang w:val="en-GB"/>
        </w:rPr>
        <w:t>Risks in the implementation of the measure</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b/>
                <w:szCs w:val="24"/>
              </w:rPr>
              <w:t>R5: Requirements which are difficult to verify and/or control</w:t>
            </w:r>
          </w:p>
          <w:p w:rsidR="00F555D6" w:rsidRPr="005C3B55" w:rsidRDefault="00F555D6" w:rsidP="00F555D6">
            <w:pPr>
              <w:spacing w:before="240" w:after="240" w:line="280" w:lineRule="auto"/>
              <w:rPr>
                <w:szCs w:val="24"/>
              </w:rPr>
            </w:pPr>
            <w:r w:rsidRPr="005C3B55">
              <w:rPr>
                <w:szCs w:val="24"/>
              </w:rPr>
              <w:t>Administrative control and on-the-spot control are feasible.</w:t>
            </w:r>
          </w:p>
          <w:p w:rsidR="00F555D6" w:rsidRPr="005C3B55" w:rsidRDefault="00F555D6" w:rsidP="00F555D6">
            <w:pPr>
              <w:spacing w:before="240" w:after="240" w:line="280" w:lineRule="auto"/>
              <w:rPr>
                <w:szCs w:val="24"/>
              </w:rPr>
            </w:pPr>
            <w:r w:rsidRPr="005C3B55">
              <w:rPr>
                <w:b/>
                <w:szCs w:val="24"/>
              </w:rPr>
              <w:t>R6: General conditions for implementation</w:t>
            </w:r>
          </w:p>
          <w:p w:rsidR="00F555D6" w:rsidRPr="005C3B55" w:rsidRDefault="00F555D6" w:rsidP="00F555D6">
            <w:pPr>
              <w:spacing w:before="240" w:after="240" w:line="280" w:lineRule="auto"/>
              <w:rPr>
                <w:szCs w:val="24"/>
              </w:rPr>
            </w:pPr>
            <w:r w:rsidRPr="005C3B55">
              <w:rPr>
                <w:rStyle w:val="tw4winMark"/>
                <w:szCs w:val="24"/>
              </w:rPr>
              <w:noBreakHyphen/>
              <w:t>{}</w:t>
            </w:r>
            <w:r w:rsidRPr="005C3B55">
              <w:rPr>
                <w:rStyle w:val="tw4winMark"/>
                <w:szCs w:val="24"/>
              </w:rPr>
              <w:noBreakHyphen/>
            </w:r>
            <w:r w:rsidRPr="005C3B55">
              <w:rPr>
                <w:szCs w:val="24"/>
              </w:rPr>
              <w:t>Ill-timed adoption of regulations which regulate payments for the M10 measure and which enable beneficiaries to be informed about the eligibility conditions for implementing this operation, and insufficient knowledge of the conditions of the operation ‘Livestock rearing in the area of occurrence of large carnivores’ present a risk for the implementation of this measure.</w:t>
            </w:r>
          </w:p>
          <w:p w:rsidR="00F555D6" w:rsidRPr="005C3B55" w:rsidRDefault="00F555D6" w:rsidP="00F555D6">
            <w:pPr>
              <w:spacing w:before="240" w:after="240" w:line="280" w:lineRule="auto"/>
              <w:rPr>
                <w:szCs w:val="24"/>
              </w:rPr>
            </w:pPr>
            <w:r w:rsidRPr="005C3B55">
              <w:rPr>
                <w:b/>
                <w:szCs w:val="24"/>
              </w:rPr>
              <w:t>R8: IT systems</w:t>
            </w:r>
          </w:p>
          <w:p w:rsidR="00F555D6" w:rsidRPr="005C3B55" w:rsidRDefault="00F555D6" w:rsidP="00F555D6">
            <w:pPr>
              <w:spacing w:before="240" w:after="240" w:line="280" w:lineRule="auto"/>
              <w:rPr>
                <w:szCs w:val="24"/>
              </w:rPr>
            </w:pPr>
            <w:r w:rsidRPr="005C3B55">
              <w:rPr>
                <w:szCs w:val="24"/>
              </w:rPr>
              <w:t>Unsuitable connectivity of certain databases and inclusion in the verification system when entering the operation ‘Livestock rearing in the area of occurrence of large carnivores’.</w:t>
            </w:r>
          </w:p>
          <w:p w:rsidR="00F555D6" w:rsidRPr="005C3B55" w:rsidRDefault="00F555D6" w:rsidP="00F555D6">
            <w:pPr>
              <w:spacing w:before="240" w:after="240" w:line="280" w:lineRule="auto"/>
              <w:rPr>
                <w:szCs w:val="24"/>
              </w:rPr>
            </w:pPr>
            <w:r w:rsidRPr="005C3B55">
              <w:rPr>
                <w:b/>
                <w:szCs w:val="24"/>
              </w:rPr>
              <w:t>R9: Requests for payment</w:t>
            </w:r>
          </w:p>
          <w:p w:rsidR="00F555D6" w:rsidRPr="005C3B55" w:rsidRDefault="00F555D6" w:rsidP="00F555D6">
            <w:pPr>
              <w:spacing w:before="240" w:after="240" w:line="280" w:lineRule="auto"/>
              <w:rPr>
                <w:szCs w:val="24"/>
              </w:rPr>
            </w:pPr>
            <w:r w:rsidRPr="005C3B55">
              <w:rPr>
                <w:szCs w:val="24"/>
              </w:rPr>
              <w:t>Lack of, and delayed, information and insufficient knowledge of the operation ‘Livestock rearing in the area of occurrence of large carnivores’, poor familiarisation with the procedure for submitting the application and the beneficiary’s incorrect reporting about the size of surfaces.</w:t>
            </w:r>
          </w:p>
          <w:p w:rsidR="00F555D6" w:rsidRPr="005C3B55" w:rsidRDefault="00F555D6" w:rsidP="00F555D6">
            <w:pPr>
              <w:pStyle w:val="Telobesedila"/>
              <w:rPr>
                <w:szCs w:val="24"/>
              </w:rPr>
            </w:pPr>
          </w:p>
        </w:tc>
      </w:tr>
    </w:tbl>
    <w:p w:rsidR="00F555D6" w:rsidRPr="005C3B55" w:rsidRDefault="00F555D6" w:rsidP="00F555D6">
      <w:pPr>
        <w:pStyle w:val="Naslov7"/>
        <w:tabs>
          <w:tab w:val="clear" w:pos="765"/>
        </w:tabs>
        <w:ind w:left="0" w:firstLine="0"/>
        <w:rPr>
          <w:szCs w:val="24"/>
          <w:lang w:val="en-GB"/>
        </w:rPr>
      </w:pPr>
      <w:r w:rsidRPr="005C3B55">
        <w:rPr>
          <w:noProof w:val="0"/>
          <w:szCs w:val="24"/>
          <w:lang w:val="en-GB"/>
        </w:rPr>
        <w:t>Mitigation measures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b/>
                <w:szCs w:val="24"/>
              </w:rPr>
              <w:t>R5: Requirements which are difficult to verify and/or control</w:t>
            </w:r>
          </w:p>
          <w:p w:rsidR="00F555D6" w:rsidRPr="005C3B55" w:rsidRDefault="00F555D6" w:rsidP="00F555D6">
            <w:pPr>
              <w:spacing w:before="240" w:after="240" w:line="280" w:lineRule="auto"/>
              <w:rPr>
                <w:szCs w:val="24"/>
              </w:rPr>
            </w:pPr>
            <w:r w:rsidRPr="005C3B55">
              <w:rPr>
                <w:szCs w:val="24"/>
              </w:rPr>
              <w:t>Administrative control will be upgraded accordingly for certain requirements (records of farm animals, agreement with a shepherd, graphic layer of the area of the occurrence of bear and wolf).</w:t>
            </w:r>
          </w:p>
          <w:p w:rsidR="00F555D6" w:rsidRPr="005C3B55" w:rsidRDefault="00F555D6" w:rsidP="00F555D6">
            <w:pPr>
              <w:spacing w:before="240" w:after="240" w:line="280" w:lineRule="auto"/>
              <w:rPr>
                <w:szCs w:val="24"/>
              </w:rPr>
            </w:pPr>
            <w:r w:rsidRPr="005C3B55">
              <w:rPr>
                <w:szCs w:val="24"/>
              </w:rPr>
              <w:t>Requirements for the implementation of measure M10 which cannot be verified administratively will be verified or controlled on the spot. On-the-spot control will verify all available records and evidence (log of the pasture, scheme of paddocks, agreement with a shepherd, state of the animals, state of electric fences and electric nets, presence of herding dogs).</w:t>
            </w:r>
          </w:p>
          <w:p w:rsidR="00F555D6" w:rsidRPr="005C3B55" w:rsidRDefault="00F555D6" w:rsidP="00F555D6">
            <w:pPr>
              <w:spacing w:before="240" w:after="240" w:line="280" w:lineRule="auto"/>
              <w:rPr>
                <w:szCs w:val="24"/>
              </w:rPr>
            </w:pPr>
            <w:r w:rsidRPr="005C3B55">
              <w:rPr>
                <w:b/>
                <w:szCs w:val="24"/>
              </w:rPr>
              <w:t>R6: General conditions for implementation</w:t>
            </w:r>
          </w:p>
          <w:p w:rsidR="00F555D6" w:rsidRPr="005C3B55" w:rsidRDefault="00F555D6" w:rsidP="00F555D6">
            <w:pPr>
              <w:spacing w:before="240" w:after="240" w:line="280" w:lineRule="auto"/>
              <w:rPr>
                <w:szCs w:val="24"/>
              </w:rPr>
            </w:pPr>
            <w:r w:rsidRPr="005C3B55">
              <w:rPr>
                <w:szCs w:val="24"/>
              </w:rPr>
              <w:t>Prior to entering in the operation ‘Livestock rearing in the area of occurrence of large carnivores’, a beneficiary will have to undergo a mandatory six-hour training which is one of the eligibility conditions. At the training, the beneficiary will become acquainted with eligibility conditions for entering in the operation and the requirements for the implementation of the operation, including the national regulation which will regulate payments for the M10 measure.</w:t>
            </w:r>
          </w:p>
          <w:p w:rsidR="00F555D6" w:rsidRPr="005C3B55" w:rsidRDefault="00F555D6" w:rsidP="00F555D6">
            <w:pPr>
              <w:spacing w:before="240" w:after="240" w:line="280" w:lineRule="auto"/>
              <w:rPr>
                <w:szCs w:val="24"/>
              </w:rPr>
            </w:pPr>
            <w:r w:rsidRPr="005C3B55">
              <w:rPr>
                <w:szCs w:val="24"/>
              </w:rPr>
              <w:t>After the training, the beneficiary will be able to prepare a programme of activities of the agricultural holding in which it will determine which operation and requirements within the M10 measure it will implement.</w:t>
            </w:r>
          </w:p>
          <w:p w:rsidR="00F555D6" w:rsidRPr="005C3B55" w:rsidRDefault="00F555D6" w:rsidP="00F555D6">
            <w:pPr>
              <w:spacing w:before="240" w:after="240" w:line="280" w:lineRule="auto"/>
              <w:rPr>
                <w:szCs w:val="24"/>
              </w:rPr>
            </w:pPr>
            <w:r w:rsidRPr="005C3B55">
              <w:rPr>
                <w:b/>
                <w:szCs w:val="24"/>
              </w:rPr>
              <w:t>R8: IT systems</w:t>
            </w:r>
          </w:p>
          <w:p w:rsidR="00F555D6" w:rsidRPr="005C3B55" w:rsidRDefault="00F555D6" w:rsidP="00F555D6">
            <w:pPr>
              <w:spacing w:before="240" w:after="240" w:line="280" w:lineRule="auto"/>
              <w:rPr>
                <w:szCs w:val="24"/>
              </w:rPr>
            </w:pPr>
            <w:r w:rsidRPr="005C3B55">
              <w:rPr>
                <w:szCs w:val="24"/>
              </w:rPr>
              <w:t>Suitable connections will be established and several databases will be arranged (registers, records of farm animals).</w:t>
            </w:r>
          </w:p>
          <w:p w:rsidR="00F555D6" w:rsidRPr="005C3B55" w:rsidRDefault="00F555D6" w:rsidP="00F555D6">
            <w:pPr>
              <w:spacing w:before="240" w:after="240" w:line="280" w:lineRule="auto"/>
              <w:rPr>
                <w:szCs w:val="24"/>
              </w:rPr>
            </w:pPr>
            <w:r w:rsidRPr="005C3B55">
              <w:rPr>
                <w:szCs w:val="24"/>
              </w:rPr>
              <w:t>An application enabling cross-checking of data from different databases will be established.</w:t>
            </w:r>
          </w:p>
          <w:p w:rsidR="00F555D6" w:rsidRPr="005C3B55" w:rsidRDefault="00F555D6" w:rsidP="00F555D6">
            <w:pPr>
              <w:spacing w:before="240" w:after="240" w:line="280" w:lineRule="auto"/>
              <w:rPr>
                <w:szCs w:val="24"/>
              </w:rPr>
            </w:pPr>
            <w:r w:rsidRPr="005C3B55">
              <w:rPr>
                <w:b/>
                <w:szCs w:val="24"/>
              </w:rPr>
              <w:t>R9: Requests for payment</w:t>
            </w:r>
          </w:p>
          <w:p w:rsidR="00F555D6" w:rsidRPr="005C3B55" w:rsidRDefault="00F555D6" w:rsidP="00F555D6">
            <w:pPr>
              <w:spacing w:before="240" w:after="240" w:line="280" w:lineRule="auto"/>
              <w:rPr>
                <w:szCs w:val="24"/>
              </w:rPr>
            </w:pPr>
            <w:r w:rsidRPr="005C3B55">
              <w:rPr>
                <w:szCs w:val="24"/>
              </w:rPr>
              <w:t>Mandatory annual four-hour training and mandatory use of advisory services at least once in the first three years of the commitment are introduced in order for beneficiaries to be suitably informed about all conditions and requirements for the implementation of the M10 measure. Regular annual informing of beneficiaries about their commitments related to the implementation of the M10 measure as part of the annual campaign for implementing requests for agricultural policy measures during the year and also within the scope of specific and purpose-oriented informing of beneficiaries is envisaged</w:t>
            </w:r>
            <w:r w:rsidRPr="005C3B55">
              <w:rPr>
                <w:rFonts w:ascii="TimesNewRoman" w:hAnsi="TimesNewRoman"/>
                <w:szCs w:val="24"/>
              </w:rPr>
              <w:t>.</w:t>
            </w:r>
          </w:p>
          <w:p w:rsidR="00F555D6" w:rsidRPr="005C3B55" w:rsidRDefault="00F555D6" w:rsidP="00F555D6">
            <w:pPr>
              <w:spacing w:before="240" w:after="240" w:line="280" w:lineRule="auto"/>
              <w:rPr>
                <w:szCs w:val="24"/>
              </w:rPr>
            </w:pPr>
            <w:r w:rsidRPr="005C3B55">
              <w:rPr>
                <w:szCs w:val="24"/>
              </w:rPr>
              <w:t>On the basis of the programme of activities, the request for payment will be submitted electronically on prescribed forms, by means of which a beneficiary will define for which requirements within individual operations of the M10 measure it will request payment.</w:t>
            </w:r>
          </w:p>
          <w:p w:rsidR="00F555D6" w:rsidRPr="005C3B55" w:rsidRDefault="00F555D6" w:rsidP="00F555D6">
            <w:pPr>
              <w:spacing w:before="240" w:after="240" w:line="280" w:lineRule="auto"/>
              <w:rPr>
                <w:szCs w:val="24"/>
              </w:rPr>
            </w:pPr>
            <w:r w:rsidRPr="005C3B55">
              <w:rPr>
                <w:szCs w:val="24"/>
              </w:rPr>
              <w:t>The upgrading of the IT system for administrative control will be implemented, which will allow certain verifications and controls already upon the submission of the request for payment (size of surface, suitability of areas, suitability of combinations of requests and operations, suitability of agricultural plant and suitability of use as per individual register, suitability of animals as per the register of farm animas, etc.).</w:t>
            </w:r>
          </w:p>
          <w:p w:rsidR="00F555D6" w:rsidRPr="005C3B55" w:rsidRDefault="00F555D6" w:rsidP="00F555D6">
            <w:pPr>
              <w:spacing w:before="240" w:after="240" w:line="280" w:lineRule="auto"/>
              <w:rPr>
                <w:szCs w:val="24"/>
              </w:rPr>
            </w:pPr>
            <w:r w:rsidRPr="005C3B55">
              <w:rPr>
                <w:szCs w:val="24"/>
              </w:rPr>
              <w:t>If a beneficiary fails to meet the eligibility conditions for entering measure M10, they will be alerted to the shortcomings which they will be able to eliminate by the prescribed deadline; otherwise, it will not be possible to submit a request for the payment of measure M10.</w:t>
            </w:r>
          </w:p>
          <w:p w:rsidR="00F555D6" w:rsidRPr="005C3B55" w:rsidRDefault="00F555D6" w:rsidP="00F555D6">
            <w:pPr>
              <w:spacing w:before="240" w:after="240" w:line="280" w:lineRule="auto"/>
              <w:rPr>
                <w:szCs w:val="24"/>
              </w:rPr>
            </w:pPr>
            <w:r w:rsidRPr="005C3B55">
              <w:rPr>
                <w:szCs w:val="24"/>
              </w:rPr>
              <w:t>Unpermitted combinations between operations and unpermitted combinations of this operation with requirements within other operations of the M10 measure will be disabled.</w:t>
            </w:r>
          </w:p>
          <w:p w:rsidR="00F555D6" w:rsidRPr="005C3B55" w:rsidRDefault="00F555D6" w:rsidP="00F555D6">
            <w:pPr>
              <w:spacing w:before="240" w:after="240" w:line="280" w:lineRule="auto"/>
              <w:rPr>
                <w:szCs w:val="24"/>
              </w:rPr>
            </w:pPr>
            <w:r w:rsidRPr="005C3B55">
              <w:rPr>
                <w:szCs w:val="24"/>
              </w:rPr>
              <w:t>A beneficiary who will also be included in the implementation of the M11 measure will not have the opportunity to submit the request for unauthorised combinations of this measure with the M10 measure.</w:t>
            </w:r>
          </w:p>
          <w:p w:rsidR="00F555D6" w:rsidRPr="005C3B55" w:rsidRDefault="00F555D6" w:rsidP="00F555D6">
            <w:pPr>
              <w:pStyle w:val="Telobesedila"/>
              <w:rPr>
                <w:szCs w:val="24"/>
              </w:rPr>
            </w:pPr>
          </w:p>
        </w:tc>
      </w:tr>
    </w:tbl>
    <w:p w:rsidR="00F555D6" w:rsidRPr="005C3B55" w:rsidRDefault="00F555D6" w:rsidP="00F555D6">
      <w:pPr>
        <w:pStyle w:val="Naslov7"/>
        <w:tabs>
          <w:tab w:val="clear" w:pos="765"/>
        </w:tabs>
        <w:ind w:left="0" w:firstLine="0"/>
        <w:rPr>
          <w:szCs w:val="24"/>
          <w:lang w:val="en-GB"/>
        </w:rPr>
      </w:pPr>
      <w:r w:rsidRPr="005C3B55">
        <w:rPr>
          <w:noProof w:val="0"/>
          <w:szCs w:val="24"/>
          <w:lang w:val="en-GB"/>
        </w:rPr>
        <w:t>General assessment of the measure</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 xml:space="preserve">Described in Chapter </w:t>
            </w:r>
            <w:r w:rsidRPr="005C3B55">
              <w:rPr>
                <w:i/>
                <w:szCs w:val="24"/>
              </w:rPr>
              <w:t>8.2.9.4.3 General assessment of the measure</w:t>
            </w:r>
            <w:r w:rsidRPr="005C3B55">
              <w:rPr>
                <w:szCs w:val="24"/>
              </w:rPr>
              <w:t>.</w:t>
            </w:r>
          </w:p>
          <w:p w:rsidR="00F555D6" w:rsidRPr="005C3B55" w:rsidRDefault="00F555D6" w:rsidP="00F555D6">
            <w:pPr>
              <w:pStyle w:val="Telobesedila"/>
              <w:rPr>
                <w:szCs w:val="24"/>
              </w:rPr>
            </w:pPr>
          </w:p>
        </w:tc>
      </w:tr>
    </w:tbl>
    <w:p w:rsidR="00F555D6" w:rsidRPr="005C3B55" w:rsidRDefault="00F555D6" w:rsidP="00F555D6">
      <w:pPr>
        <w:pStyle w:val="Naslov7"/>
        <w:tabs>
          <w:tab w:val="clear" w:pos="765"/>
        </w:tabs>
        <w:ind w:left="0" w:firstLine="0"/>
        <w:rPr>
          <w:szCs w:val="24"/>
          <w:lang w:val="en-GB"/>
        </w:rPr>
      </w:pPr>
      <w:r w:rsidRPr="005C3B55">
        <w:rPr>
          <w:noProof w:val="0"/>
          <w:szCs w:val="24"/>
          <w:lang w:val="en-GB"/>
        </w:rPr>
        <w:t>Agri-environment-climate commitments</w:t>
      </w:r>
    </w:p>
    <w:p w:rsidR="00F555D6" w:rsidRPr="005C3B55" w:rsidRDefault="00F555D6" w:rsidP="00F555D6">
      <w:pPr>
        <w:pStyle w:val="Naslov8"/>
        <w:tabs>
          <w:tab w:val="clear" w:pos="765"/>
        </w:tabs>
        <w:ind w:left="0" w:firstLine="0"/>
        <w:rPr>
          <w:b w:val="0"/>
          <w:szCs w:val="24"/>
          <w:lang w:val="en-GB"/>
        </w:rPr>
      </w:pPr>
      <w:r w:rsidRPr="005C3B55">
        <w:rPr>
          <w:b w:val="0"/>
          <w:noProof w:val="0"/>
          <w:szCs w:val="24"/>
          <w:lang w:val="en-GB"/>
        </w:rPr>
        <w:t>KRA_OGRM:</w:t>
      </w:r>
      <w:r w:rsidRPr="005C3B55">
        <w:rPr>
          <w:b w:val="0"/>
          <w:szCs w:val="24"/>
          <w:lang w:val="en-GB"/>
        </w:rPr>
        <w:t xml:space="preserve"> </w:t>
      </w:r>
      <w:r w:rsidRPr="005C3B55">
        <w:rPr>
          <w:b w:val="0"/>
          <w:noProof w:val="0"/>
          <w:szCs w:val="24"/>
          <w:lang w:val="en-GB"/>
        </w:rPr>
        <w:t>Protection of the herd with mobile protective electric fences and electric nets</w:t>
      </w:r>
    </w:p>
    <w:p w:rsidR="00F555D6" w:rsidRPr="005C3B55" w:rsidRDefault="00F555D6" w:rsidP="00F555D6">
      <w:pPr>
        <w:pStyle w:val="Naslov9"/>
        <w:tabs>
          <w:tab w:val="clear" w:pos="765"/>
        </w:tabs>
        <w:ind w:left="0" w:firstLine="0"/>
        <w:rPr>
          <w:szCs w:val="24"/>
          <w:lang w:val="en-GB"/>
        </w:rPr>
      </w:pPr>
      <w:r w:rsidRPr="005C3B55">
        <w:rPr>
          <w:noProof w:val="0"/>
          <w:szCs w:val="24"/>
          <w:lang w:val="en-GB"/>
        </w:rPr>
        <w:t>Methods of commitment verification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Administrative control:</w:t>
            </w:r>
          </w:p>
          <w:p w:rsidR="00F555D6" w:rsidRPr="005C3B55" w:rsidRDefault="00F555D6" w:rsidP="00F555D6">
            <w:pPr>
              <w:numPr>
                <w:ilvl w:val="0"/>
                <w:numId w:val="769"/>
              </w:numPr>
              <w:spacing w:before="240" w:after="0"/>
              <w:ind w:hanging="290"/>
              <w:jc w:val="left"/>
              <w:rPr>
                <w:szCs w:val="24"/>
              </w:rPr>
            </w:pPr>
            <w:r w:rsidRPr="005C3B55">
              <w:rPr>
                <w:szCs w:val="24"/>
              </w:rPr>
              <w:t>suitability of the area through the register of agricultural holdings;</w:t>
            </w:r>
          </w:p>
          <w:p w:rsidR="00F555D6" w:rsidRPr="005C3B55" w:rsidRDefault="00F555D6" w:rsidP="00F555D6">
            <w:pPr>
              <w:numPr>
                <w:ilvl w:val="0"/>
                <w:numId w:val="769"/>
              </w:numPr>
              <w:spacing w:before="0" w:after="0"/>
              <w:ind w:hanging="290"/>
              <w:jc w:val="left"/>
              <w:rPr>
                <w:szCs w:val="24"/>
              </w:rPr>
            </w:pPr>
            <w:r w:rsidRPr="005C3B55">
              <w:rPr>
                <w:szCs w:val="24"/>
              </w:rPr>
              <w:t>suitability of the agricultural plant through collective application;</w:t>
            </w:r>
          </w:p>
          <w:p w:rsidR="00F555D6" w:rsidRPr="005C3B55" w:rsidRDefault="00F555D6" w:rsidP="00F555D6">
            <w:pPr>
              <w:numPr>
                <w:ilvl w:val="0"/>
                <w:numId w:val="769"/>
              </w:numPr>
              <w:spacing w:before="0" w:after="240"/>
              <w:ind w:hanging="290"/>
              <w:jc w:val="left"/>
              <w:rPr>
                <w:szCs w:val="24"/>
              </w:rPr>
            </w:pPr>
            <w:r w:rsidRPr="005C3B55">
              <w:rPr>
                <w:szCs w:val="24"/>
              </w:rPr>
              <w:t>control of livestock density through collective applications, registers, registers of farm animals.</w:t>
            </w:r>
          </w:p>
          <w:p w:rsidR="00F555D6" w:rsidRPr="005C3B55" w:rsidRDefault="00F555D6" w:rsidP="00F555D6">
            <w:pPr>
              <w:spacing w:before="240" w:after="240" w:line="280" w:lineRule="auto"/>
              <w:rPr>
                <w:szCs w:val="24"/>
              </w:rPr>
            </w:pPr>
            <w:r w:rsidRPr="005C3B55">
              <w:rPr>
                <w:szCs w:val="24"/>
              </w:rPr>
              <w:t>Registers/records:</w:t>
            </w:r>
          </w:p>
          <w:p w:rsidR="00F555D6" w:rsidRPr="005C3B55" w:rsidRDefault="00F555D6" w:rsidP="00F555D6">
            <w:pPr>
              <w:numPr>
                <w:ilvl w:val="0"/>
                <w:numId w:val="770"/>
              </w:numPr>
              <w:spacing w:before="240" w:after="0"/>
              <w:ind w:hanging="290"/>
              <w:jc w:val="left"/>
              <w:rPr>
                <w:szCs w:val="24"/>
              </w:rPr>
            </w:pPr>
            <w:r w:rsidRPr="005C3B55">
              <w:rPr>
                <w:szCs w:val="24"/>
              </w:rPr>
              <w:t>register of agricultural holdings;</w:t>
            </w:r>
          </w:p>
          <w:p w:rsidR="00F555D6" w:rsidRPr="005C3B55" w:rsidRDefault="00F555D6" w:rsidP="00F555D6">
            <w:pPr>
              <w:numPr>
                <w:ilvl w:val="0"/>
                <w:numId w:val="770"/>
              </w:numPr>
              <w:spacing w:before="0" w:after="0"/>
              <w:ind w:hanging="290"/>
              <w:jc w:val="left"/>
              <w:rPr>
                <w:szCs w:val="24"/>
              </w:rPr>
            </w:pPr>
            <w:r w:rsidRPr="005C3B55">
              <w:rPr>
                <w:szCs w:val="24"/>
              </w:rPr>
              <w:t>graphical agricultural unit of agricultural holding (GERK);</w:t>
            </w:r>
          </w:p>
          <w:p w:rsidR="00F555D6" w:rsidRPr="005C3B55" w:rsidRDefault="00F555D6" w:rsidP="00F555D6">
            <w:pPr>
              <w:numPr>
                <w:ilvl w:val="0"/>
                <w:numId w:val="770"/>
              </w:numPr>
              <w:spacing w:before="0" w:after="0"/>
              <w:ind w:hanging="290"/>
              <w:jc w:val="left"/>
              <w:rPr>
                <w:szCs w:val="24"/>
              </w:rPr>
            </w:pPr>
            <w:r w:rsidRPr="005C3B55">
              <w:rPr>
                <w:szCs w:val="24"/>
              </w:rPr>
              <w:t>graphic layers of areas of the occurrence of bear and wolf;</w:t>
            </w:r>
          </w:p>
          <w:p w:rsidR="00F555D6" w:rsidRPr="005C3B55" w:rsidRDefault="00F555D6" w:rsidP="00F555D6">
            <w:pPr>
              <w:numPr>
                <w:ilvl w:val="0"/>
                <w:numId w:val="770"/>
              </w:numPr>
              <w:spacing w:before="0" w:after="240"/>
              <w:ind w:hanging="290"/>
              <w:jc w:val="left"/>
              <w:rPr>
                <w:szCs w:val="24"/>
              </w:rPr>
            </w:pPr>
            <w:r w:rsidRPr="005C3B55">
              <w:rPr>
                <w:szCs w:val="24"/>
              </w:rPr>
              <w:t>registers, registers of farm animals.</w:t>
            </w:r>
          </w:p>
          <w:p w:rsidR="00F555D6" w:rsidRPr="005C3B55" w:rsidRDefault="00F555D6" w:rsidP="00F555D6">
            <w:pPr>
              <w:spacing w:before="240" w:after="240" w:line="280" w:lineRule="auto"/>
              <w:rPr>
                <w:szCs w:val="24"/>
              </w:rPr>
            </w:pPr>
            <w:r w:rsidRPr="005C3B55">
              <w:rPr>
                <w:szCs w:val="24"/>
              </w:rPr>
              <w:t>On-site control:</w:t>
            </w:r>
          </w:p>
          <w:p w:rsidR="00F555D6" w:rsidRPr="005C3B55" w:rsidRDefault="00F555D6" w:rsidP="00F555D6">
            <w:pPr>
              <w:numPr>
                <w:ilvl w:val="0"/>
                <w:numId w:val="771"/>
              </w:numPr>
              <w:spacing w:before="240" w:after="0"/>
              <w:ind w:hanging="290"/>
              <w:jc w:val="left"/>
              <w:rPr>
                <w:szCs w:val="24"/>
              </w:rPr>
            </w:pPr>
            <w:r w:rsidRPr="005C3B55">
              <w:rPr>
                <w:szCs w:val="24"/>
              </w:rPr>
              <w:t>records on works;</w:t>
            </w:r>
          </w:p>
          <w:p w:rsidR="00F555D6" w:rsidRPr="005C3B55" w:rsidRDefault="00F555D6" w:rsidP="00F555D6">
            <w:pPr>
              <w:numPr>
                <w:ilvl w:val="0"/>
                <w:numId w:val="771"/>
              </w:numPr>
              <w:spacing w:before="0" w:after="0"/>
              <w:ind w:hanging="290"/>
              <w:jc w:val="left"/>
              <w:rPr>
                <w:szCs w:val="24"/>
              </w:rPr>
            </w:pPr>
            <w:r w:rsidRPr="005C3B55">
              <w:rPr>
                <w:szCs w:val="24"/>
              </w:rPr>
              <w:t>presence and suitability of electric fences and electric nets on relevant surfaces of agricultural holdings;</w:t>
            </w:r>
          </w:p>
          <w:p w:rsidR="00F555D6" w:rsidRPr="005C3B55" w:rsidRDefault="00F555D6" w:rsidP="00F555D6">
            <w:pPr>
              <w:numPr>
                <w:ilvl w:val="0"/>
                <w:numId w:val="771"/>
              </w:numPr>
              <w:spacing w:before="0" w:after="0"/>
              <w:ind w:hanging="290"/>
              <w:jc w:val="left"/>
              <w:rPr>
                <w:szCs w:val="24"/>
              </w:rPr>
            </w:pPr>
            <w:r w:rsidRPr="005C3B55">
              <w:rPr>
                <w:szCs w:val="24"/>
              </w:rPr>
              <w:t>control of livestock density by counting animals and reviewing surfaces;</w:t>
            </w:r>
          </w:p>
          <w:p w:rsidR="00F555D6" w:rsidRPr="005C3B55" w:rsidRDefault="00F555D6" w:rsidP="00F555D6">
            <w:pPr>
              <w:numPr>
                <w:ilvl w:val="0"/>
                <w:numId w:val="771"/>
              </w:numPr>
              <w:spacing w:before="0" w:after="240"/>
              <w:ind w:hanging="290"/>
              <w:jc w:val="left"/>
              <w:rPr>
                <w:szCs w:val="24"/>
              </w:rPr>
            </w:pPr>
            <w:r w:rsidRPr="005C3B55">
              <w:rPr>
                <w:szCs w:val="24"/>
              </w:rPr>
              <w:t>review of the agricultural holding.</w:t>
            </w:r>
          </w:p>
          <w:p w:rsidR="00F555D6" w:rsidRPr="005C3B55" w:rsidRDefault="00F555D6" w:rsidP="00F555D6">
            <w:pPr>
              <w:pStyle w:val="Telobesedila"/>
              <w:rPr>
                <w:szCs w:val="24"/>
              </w:rPr>
            </w:pPr>
          </w:p>
        </w:tc>
      </w:tr>
    </w:tbl>
    <w:p w:rsidR="00F555D6" w:rsidRPr="005C3B55" w:rsidRDefault="00F555D6" w:rsidP="00F555D6">
      <w:pPr>
        <w:pStyle w:val="Naslov8"/>
        <w:tabs>
          <w:tab w:val="clear" w:pos="765"/>
        </w:tabs>
        <w:ind w:left="0" w:firstLine="0"/>
        <w:rPr>
          <w:b w:val="0"/>
          <w:szCs w:val="24"/>
          <w:lang w:val="en-GB"/>
        </w:rPr>
      </w:pPr>
      <w:r w:rsidRPr="005C3B55">
        <w:rPr>
          <w:b w:val="0"/>
          <w:noProof w:val="0"/>
          <w:szCs w:val="24"/>
          <w:lang w:val="en-GB"/>
        </w:rPr>
        <w:t>KRA_VARPA:</w:t>
      </w:r>
      <w:r w:rsidRPr="005C3B55">
        <w:rPr>
          <w:b w:val="0"/>
          <w:szCs w:val="24"/>
          <w:lang w:val="en-GB"/>
        </w:rPr>
        <w:t xml:space="preserve"> </w:t>
      </w:r>
      <w:r w:rsidRPr="005C3B55">
        <w:rPr>
          <w:b w:val="0"/>
          <w:noProof w:val="0"/>
          <w:szCs w:val="24"/>
          <w:lang w:val="en-GB"/>
        </w:rPr>
        <w:t>Protection of the herd in the presence of a shepherd</w:t>
      </w:r>
    </w:p>
    <w:p w:rsidR="00F555D6" w:rsidRPr="005C3B55" w:rsidRDefault="00F555D6" w:rsidP="00F555D6">
      <w:pPr>
        <w:pStyle w:val="Naslov9"/>
        <w:tabs>
          <w:tab w:val="clear" w:pos="765"/>
        </w:tabs>
        <w:ind w:left="0" w:firstLine="0"/>
        <w:rPr>
          <w:szCs w:val="24"/>
          <w:lang w:val="en-GB"/>
        </w:rPr>
      </w:pPr>
      <w:r w:rsidRPr="005C3B55">
        <w:rPr>
          <w:noProof w:val="0"/>
          <w:szCs w:val="24"/>
          <w:lang w:val="en-GB"/>
        </w:rPr>
        <w:t>Methods of commitment verification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Administrative control:</w:t>
            </w:r>
          </w:p>
          <w:p w:rsidR="00F555D6" w:rsidRPr="005C3B55" w:rsidRDefault="00F555D6" w:rsidP="00F555D6">
            <w:pPr>
              <w:numPr>
                <w:ilvl w:val="0"/>
                <w:numId w:val="772"/>
              </w:numPr>
              <w:spacing w:before="240" w:after="0"/>
              <w:ind w:hanging="290"/>
              <w:jc w:val="left"/>
              <w:rPr>
                <w:szCs w:val="24"/>
              </w:rPr>
            </w:pPr>
            <w:r w:rsidRPr="005C3B55">
              <w:rPr>
                <w:szCs w:val="24"/>
              </w:rPr>
              <w:t>suitability of the area through the register of agricultural holdings;</w:t>
            </w:r>
          </w:p>
          <w:p w:rsidR="00F555D6" w:rsidRPr="005C3B55" w:rsidRDefault="00F555D6" w:rsidP="00F555D6">
            <w:pPr>
              <w:numPr>
                <w:ilvl w:val="0"/>
                <w:numId w:val="772"/>
              </w:numPr>
              <w:spacing w:before="0" w:after="0"/>
              <w:ind w:hanging="290"/>
              <w:jc w:val="left"/>
              <w:rPr>
                <w:szCs w:val="24"/>
              </w:rPr>
            </w:pPr>
            <w:r w:rsidRPr="005C3B55">
              <w:rPr>
                <w:szCs w:val="24"/>
              </w:rPr>
              <w:t>suitability of the agricultural plant through collective application;</w:t>
            </w:r>
          </w:p>
          <w:p w:rsidR="00F555D6" w:rsidRPr="005C3B55" w:rsidRDefault="00F555D6" w:rsidP="00F555D6">
            <w:pPr>
              <w:numPr>
                <w:ilvl w:val="0"/>
                <w:numId w:val="772"/>
              </w:numPr>
              <w:spacing w:before="0" w:after="240"/>
              <w:ind w:hanging="290"/>
              <w:jc w:val="left"/>
              <w:rPr>
                <w:szCs w:val="24"/>
              </w:rPr>
            </w:pPr>
            <w:r w:rsidRPr="005C3B55">
              <w:rPr>
                <w:szCs w:val="24"/>
              </w:rPr>
              <w:t>control of livestock density through collective applications, registers, registers of farm animals.</w:t>
            </w:r>
          </w:p>
          <w:p w:rsidR="00F555D6" w:rsidRPr="005C3B55" w:rsidRDefault="00F555D6" w:rsidP="00F555D6">
            <w:pPr>
              <w:spacing w:before="240" w:after="240" w:line="280" w:lineRule="auto"/>
              <w:rPr>
                <w:szCs w:val="24"/>
              </w:rPr>
            </w:pPr>
            <w:r w:rsidRPr="005C3B55">
              <w:rPr>
                <w:szCs w:val="24"/>
              </w:rPr>
              <w:t>Registers/records:</w:t>
            </w:r>
          </w:p>
          <w:p w:rsidR="00F555D6" w:rsidRPr="005C3B55" w:rsidRDefault="00F555D6" w:rsidP="00F555D6">
            <w:pPr>
              <w:numPr>
                <w:ilvl w:val="0"/>
                <w:numId w:val="773"/>
              </w:numPr>
              <w:spacing w:before="240" w:after="0"/>
              <w:ind w:hanging="290"/>
              <w:jc w:val="left"/>
              <w:rPr>
                <w:szCs w:val="24"/>
              </w:rPr>
            </w:pPr>
            <w:r w:rsidRPr="005C3B55">
              <w:rPr>
                <w:szCs w:val="24"/>
              </w:rPr>
              <w:t>register of agricultural holdings;</w:t>
            </w:r>
          </w:p>
          <w:p w:rsidR="00F555D6" w:rsidRPr="005C3B55" w:rsidRDefault="00F555D6" w:rsidP="00F555D6">
            <w:pPr>
              <w:numPr>
                <w:ilvl w:val="0"/>
                <w:numId w:val="773"/>
              </w:numPr>
              <w:spacing w:before="0" w:after="0"/>
              <w:ind w:hanging="290"/>
              <w:jc w:val="left"/>
              <w:rPr>
                <w:szCs w:val="24"/>
              </w:rPr>
            </w:pPr>
            <w:r w:rsidRPr="005C3B55">
              <w:rPr>
                <w:szCs w:val="24"/>
              </w:rPr>
              <w:t>graphical agricultural unit of agricultural holding (GERK);</w:t>
            </w:r>
          </w:p>
          <w:p w:rsidR="00F555D6" w:rsidRPr="005C3B55" w:rsidRDefault="00F555D6" w:rsidP="00F555D6">
            <w:pPr>
              <w:numPr>
                <w:ilvl w:val="0"/>
                <w:numId w:val="773"/>
              </w:numPr>
              <w:spacing w:before="0" w:after="0"/>
              <w:ind w:hanging="290"/>
              <w:jc w:val="left"/>
              <w:rPr>
                <w:szCs w:val="24"/>
              </w:rPr>
            </w:pPr>
            <w:r w:rsidRPr="005C3B55">
              <w:rPr>
                <w:szCs w:val="24"/>
              </w:rPr>
              <w:t>graphic layers of areas of the occurrence of bear and wolf;</w:t>
            </w:r>
          </w:p>
          <w:p w:rsidR="00F555D6" w:rsidRPr="005C3B55" w:rsidRDefault="00F555D6" w:rsidP="00F555D6">
            <w:pPr>
              <w:numPr>
                <w:ilvl w:val="0"/>
                <w:numId w:val="773"/>
              </w:numPr>
              <w:spacing w:before="0" w:after="240"/>
              <w:ind w:hanging="290"/>
              <w:jc w:val="left"/>
              <w:rPr>
                <w:szCs w:val="24"/>
              </w:rPr>
            </w:pPr>
            <w:r w:rsidRPr="005C3B55">
              <w:rPr>
                <w:szCs w:val="24"/>
              </w:rPr>
              <w:t>registers, registers of farm animals.</w:t>
            </w:r>
          </w:p>
          <w:p w:rsidR="00F555D6" w:rsidRPr="005C3B55" w:rsidRDefault="00F555D6" w:rsidP="00F555D6">
            <w:pPr>
              <w:spacing w:before="240" w:after="240" w:line="280" w:lineRule="auto"/>
              <w:rPr>
                <w:szCs w:val="24"/>
              </w:rPr>
            </w:pPr>
            <w:r w:rsidRPr="005C3B55">
              <w:rPr>
                <w:szCs w:val="24"/>
              </w:rPr>
              <w:t>On-site control:</w:t>
            </w:r>
          </w:p>
          <w:p w:rsidR="00F555D6" w:rsidRPr="005C3B55" w:rsidRDefault="00F555D6" w:rsidP="00F555D6">
            <w:pPr>
              <w:numPr>
                <w:ilvl w:val="0"/>
                <w:numId w:val="774"/>
              </w:numPr>
              <w:spacing w:before="240" w:after="0"/>
              <w:ind w:hanging="290"/>
              <w:jc w:val="left"/>
              <w:rPr>
                <w:szCs w:val="24"/>
              </w:rPr>
            </w:pPr>
            <w:r w:rsidRPr="005C3B55">
              <w:rPr>
                <w:szCs w:val="24"/>
              </w:rPr>
              <w:t>records on works;</w:t>
            </w:r>
          </w:p>
          <w:p w:rsidR="00F555D6" w:rsidRPr="005C3B55" w:rsidRDefault="00F555D6" w:rsidP="00F555D6">
            <w:pPr>
              <w:numPr>
                <w:ilvl w:val="0"/>
                <w:numId w:val="774"/>
              </w:numPr>
              <w:spacing w:before="0" w:after="0"/>
              <w:ind w:hanging="290"/>
              <w:jc w:val="left"/>
              <w:rPr>
                <w:szCs w:val="24"/>
              </w:rPr>
            </w:pPr>
            <w:r w:rsidRPr="005C3B55">
              <w:rPr>
                <w:szCs w:val="24"/>
              </w:rPr>
              <w:t>agreement with a shepherd;</w:t>
            </w:r>
          </w:p>
          <w:p w:rsidR="00F555D6" w:rsidRPr="005C3B55" w:rsidRDefault="00F555D6" w:rsidP="00F555D6">
            <w:pPr>
              <w:numPr>
                <w:ilvl w:val="0"/>
                <w:numId w:val="774"/>
              </w:numPr>
              <w:spacing w:before="0" w:after="0"/>
              <w:ind w:hanging="290"/>
              <w:jc w:val="left"/>
              <w:rPr>
                <w:szCs w:val="24"/>
              </w:rPr>
            </w:pPr>
            <w:r w:rsidRPr="005C3B55">
              <w:rPr>
                <w:szCs w:val="24"/>
              </w:rPr>
              <w:t>presence of a shepherd on an agricultural holding;</w:t>
            </w:r>
          </w:p>
          <w:p w:rsidR="00F555D6" w:rsidRPr="005C3B55" w:rsidRDefault="00F555D6" w:rsidP="00F555D6">
            <w:pPr>
              <w:numPr>
                <w:ilvl w:val="0"/>
                <w:numId w:val="774"/>
              </w:numPr>
              <w:spacing w:before="0" w:after="0"/>
              <w:ind w:hanging="290"/>
              <w:jc w:val="left"/>
              <w:rPr>
                <w:szCs w:val="24"/>
              </w:rPr>
            </w:pPr>
            <w:r w:rsidRPr="005C3B55">
              <w:rPr>
                <w:szCs w:val="24"/>
              </w:rPr>
              <w:t>control of livestock density by counting animals and reviewing surfaces;</w:t>
            </w:r>
          </w:p>
          <w:p w:rsidR="00F555D6" w:rsidRPr="005C3B55" w:rsidRDefault="00F555D6" w:rsidP="00F555D6">
            <w:pPr>
              <w:numPr>
                <w:ilvl w:val="0"/>
                <w:numId w:val="774"/>
              </w:numPr>
              <w:spacing w:before="0" w:after="240"/>
              <w:ind w:hanging="290"/>
              <w:jc w:val="left"/>
              <w:rPr>
                <w:szCs w:val="24"/>
              </w:rPr>
            </w:pPr>
            <w:r w:rsidRPr="005C3B55">
              <w:rPr>
                <w:szCs w:val="24"/>
              </w:rPr>
              <w:t>review of the agricultural holding.</w:t>
            </w:r>
          </w:p>
          <w:p w:rsidR="00F555D6" w:rsidRPr="005C3B55" w:rsidRDefault="00F555D6" w:rsidP="00F555D6">
            <w:pPr>
              <w:pStyle w:val="Telobesedila"/>
              <w:rPr>
                <w:szCs w:val="24"/>
              </w:rPr>
            </w:pPr>
          </w:p>
        </w:tc>
      </w:tr>
    </w:tbl>
    <w:p w:rsidR="00F555D6" w:rsidRPr="005C3B55" w:rsidRDefault="00F555D6" w:rsidP="00F555D6">
      <w:pPr>
        <w:pStyle w:val="Naslov8"/>
        <w:tabs>
          <w:tab w:val="clear" w:pos="765"/>
        </w:tabs>
        <w:ind w:left="0" w:firstLine="0"/>
        <w:rPr>
          <w:b w:val="0"/>
          <w:szCs w:val="24"/>
          <w:lang w:val="en-GB"/>
        </w:rPr>
      </w:pPr>
      <w:r w:rsidRPr="005C3B55">
        <w:rPr>
          <w:b w:val="0"/>
          <w:noProof w:val="0"/>
          <w:szCs w:val="24"/>
          <w:lang w:val="en-GB"/>
        </w:rPr>
        <w:t>KRA_VARPP:</w:t>
      </w:r>
      <w:r w:rsidRPr="005C3B55">
        <w:rPr>
          <w:b w:val="0"/>
          <w:szCs w:val="24"/>
          <w:lang w:val="en-GB"/>
        </w:rPr>
        <w:t xml:space="preserve"> </w:t>
      </w:r>
      <w:r w:rsidRPr="005C3B55">
        <w:rPr>
          <w:b w:val="0"/>
          <w:noProof w:val="0"/>
          <w:szCs w:val="24"/>
          <w:lang w:val="en-GB"/>
        </w:rPr>
        <w:t>Protection of the herd in the presence of a herding dog</w:t>
      </w:r>
    </w:p>
    <w:p w:rsidR="00F555D6" w:rsidRPr="005C3B55" w:rsidRDefault="00F555D6" w:rsidP="00F555D6">
      <w:pPr>
        <w:pStyle w:val="Naslov9"/>
        <w:tabs>
          <w:tab w:val="clear" w:pos="765"/>
        </w:tabs>
        <w:ind w:left="0" w:firstLine="0"/>
        <w:rPr>
          <w:szCs w:val="24"/>
          <w:lang w:val="en-GB"/>
        </w:rPr>
      </w:pPr>
      <w:r w:rsidRPr="005C3B55">
        <w:rPr>
          <w:noProof w:val="0"/>
          <w:szCs w:val="24"/>
          <w:lang w:val="en-GB"/>
        </w:rPr>
        <w:t>Methods of commitment verification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Administrative control:</w:t>
            </w:r>
          </w:p>
          <w:p w:rsidR="00F555D6" w:rsidRPr="005C3B55" w:rsidRDefault="00F555D6" w:rsidP="00F555D6">
            <w:pPr>
              <w:numPr>
                <w:ilvl w:val="0"/>
                <w:numId w:val="775"/>
              </w:numPr>
              <w:spacing w:before="240" w:after="0"/>
              <w:ind w:hanging="290"/>
              <w:jc w:val="left"/>
              <w:rPr>
                <w:szCs w:val="24"/>
              </w:rPr>
            </w:pPr>
            <w:r w:rsidRPr="005C3B55">
              <w:rPr>
                <w:szCs w:val="24"/>
              </w:rPr>
              <w:t>suitability of the area through the register of agricultural holdings;</w:t>
            </w:r>
          </w:p>
          <w:p w:rsidR="00F555D6" w:rsidRPr="005C3B55" w:rsidRDefault="00F555D6" w:rsidP="00F555D6">
            <w:pPr>
              <w:numPr>
                <w:ilvl w:val="0"/>
                <w:numId w:val="775"/>
              </w:numPr>
              <w:spacing w:before="0" w:after="0"/>
              <w:ind w:hanging="290"/>
              <w:jc w:val="left"/>
              <w:rPr>
                <w:szCs w:val="24"/>
              </w:rPr>
            </w:pPr>
            <w:r w:rsidRPr="005C3B55">
              <w:rPr>
                <w:szCs w:val="24"/>
              </w:rPr>
              <w:t>suitability of the agricultural plant through collective application;</w:t>
            </w:r>
          </w:p>
          <w:p w:rsidR="00F555D6" w:rsidRPr="005C3B55" w:rsidRDefault="00F555D6" w:rsidP="00F555D6">
            <w:pPr>
              <w:numPr>
                <w:ilvl w:val="0"/>
                <w:numId w:val="775"/>
              </w:numPr>
              <w:spacing w:before="0" w:after="240"/>
              <w:ind w:hanging="290"/>
              <w:jc w:val="left"/>
              <w:rPr>
                <w:szCs w:val="24"/>
              </w:rPr>
            </w:pPr>
            <w:r w:rsidRPr="005C3B55">
              <w:rPr>
                <w:szCs w:val="24"/>
              </w:rPr>
              <w:t>control of livestock density through collective applications, registers, registers of farm animals.</w:t>
            </w:r>
          </w:p>
          <w:p w:rsidR="00F555D6" w:rsidRPr="005C3B55" w:rsidRDefault="00F555D6" w:rsidP="00F555D6">
            <w:pPr>
              <w:spacing w:before="240" w:after="240" w:line="280" w:lineRule="auto"/>
              <w:rPr>
                <w:szCs w:val="24"/>
              </w:rPr>
            </w:pPr>
            <w:r w:rsidRPr="005C3B55">
              <w:rPr>
                <w:szCs w:val="24"/>
              </w:rPr>
              <w:t>Registers/records:</w:t>
            </w:r>
          </w:p>
          <w:p w:rsidR="00F555D6" w:rsidRPr="005C3B55" w:rsidRDefault="00F555D6" w:rsidP="00F555D6">
            <w:pPr>
              <w:numPr>
                <w:ilvl w:val="0"/>
                <w:numId w:val="776"/>
              </w:numPr>
              <w:spacing w:before="240" w:after="0"/>
              <w:ind w:hanging="290"/>
              <w:jc w:val="left"/>
              <w:rPr>
                <w:szCs w:val="24"/>
              </w:rPr>
            </w:pPr>
            <w:r w:rsidRPr="005C3B55">
              <w:rPr>
                <w:szCs w:val="24"/>
              </w:rPr>
              <w:t>register of agricultural holdings;</w:t>
            </w:r>
          </w:p>
          <w:p w:rsidR="00F555D6" w:rsidRPr="005C3B55" w:rsidRDefault="00F555D6" w:rsidP="00F555D6">
            <w:pPr>
              <w:numPr>
                <w:ilvl w:val="0"/>
                <w:numId w:val="776"/>
              </w:numPr>
              <w:spacing w:before="0" w:after="0"/>
              <w:ind w:hanging="290"/>
              <w:jc w:val="left"/>
              <w:rPr>
                <w:szCs w:val="24"/>
              </w:rPr>
            </w:pPr>
            <w:r w:rsidRPr="005C3B55">
              <w:rPr>
                <w:szCs w:val="24"/>
              </w:rPr>
              <w:t>graphical agricultural unit of agricultural holding (GERK);</w:t>
            </w:r>
          </w:p>
          <w:p w:rsidR="00F555D6" w:rsidRPr="005C3B55" w:rsidRDefault="00F555D6" w:rsidP="00F555D6">
            <w:pPr>
              <w:numPr>
                <w:ilvl w:val="0"/>
                <w:numId w:val="776"/>
              </w:numPr>
              <w:spacing w:before="0" w:after="0"/>
              <w:ind w:hanging="290"/>
              <w:jc w:val="left"/>
              <w:rPr>
                <w:szCs w:val="24"/>
              </w:rPr>
            </w:pPr>
            <w:r w:rsidRPr="005C3B55">
              <w:rPr>
                <w:szCs w:val="24"/>
              </w:rPr>
              <w:t>graphic layers of areas of the occurrence of bear and wolf;</w:t>
            </w:r>
          </w:p>
          <w:p w:rsidR="00F555D6" w:rsidRPr="005C3B55" w:rsidRDefault="00F555D6" w:rsidP="00F555D6">
            <w:pPr>
              <w:numPr>
                <w:ilvl w:val="0"/>
                <w:numId w:val="776"/>
              </w:numPr>
              <w:spacing w:before="0" w:after="240"/>
              <w:ind w:hanging="290"/>
              <w:jc w:val="left"/>
              <w:rPr>
                <w:szCs w:val="24"/>
              </w:rPr>
            </w:pPr>
            <w:r w:rsidRPr="005C3B55">
              <w:rPr>
                <w:szCs w:val="24"/>
              </w:rPr>
              <w:t>registers, registers of farm animals.</w:t>
            </w:r>
          </w:p>
          <w:p w:rsidR="00F555D6" w:rsidRPr="005C3B55" w:rsidRDefault="00F555D6" w:rsidP="00F555D6">
            <w:pPr>
              <w:spacing w:before="240" w:after="240" w:line="280" w:lineRule="auto"/>
              <w:rPr>
                <w:szCs w:val="24"/>
              </w:rPr>
            </w:pPr>
            <w:r w:rsidRPr="005C3B55">
              <w:rPr>
                <w:szCs w:val="24"/>
              </w:rPr>
              <w:t>On-site control:</w:t>
            </w:r>
          </w:p>
          <w:p w:rsidR="00F555D6" w:rsidRPr="005C3B55" w:rsidRDefault="00F555D6" w:rsidP="00F555D6">
            <w:pPr>
              <w:numPr>
                <w:ilvl w:val="0"/>
                <w:numId w:val="777"/>
              </w:numPr>
              <w:spacing w:before="240" w:after="0"/>
              <w:ind w:hanging="290"/>
              <w:jc w:val="left"/>
              <w:rPr>
                <w:szCs w:val="24"/>
              </w:rPr>
            </w:pPr>
            <w:r w:rsidRPr="005C3B55">
              <w:rPr>
                <w:szCs w:val="24"/>
              </w:rPr>
              <w:t>records on works;</w:t>
            </w:r>
          </w:p>
          <w:p w:rsidR="00F555D6" w:rsidRPr="005C3B55" w:rsidRDefault="00F555D6" w:rsidP="00F555D6">
            <w:pPr>
              <w:numPr>
                <w:ilvl w:val="0"/>
                <w:numId w:val="777"/>
              </w:numPr>
              <w:spacing w:before="0" w:after="0"/>
              <w:ind w:hanging="290"/>
              <w:jc w:val="left"/>
              <w:rPr>
                <w:szCs w:val="24"/>
              </w:rPr>
            </w:pPr>
            <w:r w:rsidRPr="005C3B55">
              <w:rPr>
                <w:szCs w:val="24"/>
              </w:rPr>
              <w:t>presence of at least three herding dogs on an agricultural holding;</w:t>
            </w:r>
          </w:p>
          <w:p w:rsidR="00F555D6" w:rsidRPr="005C3B55" w:rsidRDefault="00F555D6" w:rsidP="00F555D6">
            <w:pPr>
              <w:numPr>
                <w:ilvl w:val="0"/>
                <w:numId w:val="777"/>
              </w:numPr>
              <w:spacing w:before="0" w:after="0"/>
              <w:ind w:hanging="290"/>
              <w:jc w:val="left"/>
              <w:rPr>
                <w:szCs w:val="24"/>
              </w:rPr>
            </w:pPr>
            <w:r w:rsidRPr="005C3B55">
              <w:rPr>
                <w:szCs w:val="24"/>
              </w:rPr>
              <w:t>control of livestock density by counting animals and reviewing surfaces;</w:t>
            </w:r>
          </w:p>
          <w:p w:rsidR="00F555D6" w:rsidRPr="005C3B55" w:rsidRDefault="00F555D6" w:rsidP="00F555D6">
            <w:pPr>
              <w:numPr>
                <w:ilvl w:val="0"/>
                <w:numId w:val="777"/>
              </w:numPr>
              <w:spacing w:before="0" w:after="240"/>
              <w:ind w:hanging="290"/>
              <w:jc w:val="left"/>
              <w:rPr>
                <w:szCs w:val="24"/>
              </w:rPr>
            </w:pPr>
            <w:r w:rsidRPr="005C3B55">
              <w:rPr>
                <w:szCs w:val="24"/>
              </w:rPr>
              <w:t>review of the agricultural holding.</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Information that relates specifically to the operation</w:t>
      </w:r>
    </w:p>
    <w:p w:rsidR="00F555D6" w:rsidRPr="005C3B55" w:rsidRDefault="00F555D6" w:rsidP="00F555D6">
      <w:pPr>
        <w:spacing w:line="280" w:lineRule="auto"/>
        <w:rPr>
          <w:szCs w:val="24"/>
        </w:rPr>
      </w:pPr>
      <w:r w:rsidRPr="005C3B55">
        <w:rPr>
          <w:szCs w:val="24"/>
        </w:rPr>
        <w:t>Definition and identification of the relevant basic elements; this should include the relevant mandatory standards determined in accordance with Chapter I of Title VI of Regulation (EU) No 1306/2013 of the European Parliament and of the Council, relevant criteria and minimum activities determined in accordance with points (c)(ii) and (c)(iii) of the first paragraph of Article 4 of Regulation (EU) No 1307/2013 of the European Parliament and of the Council, relevant minimum requirements for the use of organic fertilisers and plant protection products and relevant mandatory requirements determined by national law</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 xml:space="preserve">Described in the chapter </w:t>
            </w:r>
            <w:r w:rsidRPr="005C3B55">
              <w:rPr>
                <w:i/>
                <w:szCs w:val="24"/>
              </w:rPr>
              <w:t>Agri-environment-climate commitments</w:t>
            </w:r>
            <w:r w:rsidRPr="005C3B55">
              <w:rPr>
                <w:szCs w:val="24"/>
              </w:rPr>
              <w:t>.</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 xml:space="preserve">Minimum requirements for fertilisers must include, inter alia, the Codes of Good Practice introduced under Directive 91/676/EEC for farms outside Nitrate Vulnerable Zones, and requirements concerning phosphorous pollution; minimum requirements for plant protection products use must include, </w:t>
      </w:r>
      <w:r w:rsidRPr="005C3B55">
        <w:rPr>
          <w:i/>
          <w:szCs w:val="24"/>
        </w:rPr>
        <w:t>inter alia</w:t>
      </w:r>
      <w:r w:rsidRPr="005C3B55">
        <w:rPr>
          <w:szCs w:val="24"/>
        </w:rPr>
        <w:t>, general principles for integrated pest management introduced with Directive 2009/128/EC, requirements to have a licence to use the products and meet training obligations, requirements on safe storage, the checking of application machinery and rules on pesticide use close to water and other sensitive sites, as established by national legislation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 xml:space="preserve">Described in the chapter </w:t>
            </w:r>
            <w:r w:rsidRPr="005C3B55">
              <w:rPr>
                <w:i/>
                <w:szCs w:val="24"/>
              </w:rPr>
              <w:t>Agri-environment-climate commitments</w:t>
            </w:r>
            <w:r w:rsidRPr="005C3B55">
              <w:rPr>
                <w:szCs w:val="24"/>
              </w:rPr>
              <w:t>.</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List of local breeds in danger of being lost to farming and for plant genetic resources under threat of genetic erosion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Not relevant.</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The description of the methodology and of the agronomic assumptions and parameters, including the description of the baseline requirements as stated in Article 29(2) of Regulation (EU) No 1305/2013, which are relevant for each particular type of commitment used as reference point for the calculations which justify: additional costs and lost revenue due to the assumed commitment and the amount of transaction costs; where necessary, the methodology takes into account the support granted under Regulation (EU) No 1307/2013, including payments for agricultural practices that favourably affect the climate and environment, in order to prevent the possibility of dual financing; where appropriate, the conversion method used for other units in accordance with Article 9 of this Regulation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The calculation of the amount of payments for the operation ‘Livestock rearing in areas of the occurrence of large carnivores’ includes:</w:t>
            </w:r>
          </w:p>
          <w:p w:rsidR="00F555D6" w:rsidRPr="005C3B55" w:rsidRDefault="00F555D6" w:rsidP="00F555D6">
            <w:pPr>
              <w:spacing w:before="240" w:after="240" w:line="280" w:lineRule="auto"/>
              <w:rPr>
                <w:szCs w:val="24"/>
              </w:rPr>
            </w:pPr>
            <w:r w:rsidRPr="005C3B55">
              <w:rPr>
                <w:szCs w:val="24"/>
              </w:rPr>
              <w:t>KRA_OGRM: Standard agricultural practice for the calculation of payments includes protection with regular electric fencing (adjusted to the species of animals being protected). The assessment of the requirement anticipates additional work when relocating higher and more demanding fences as per the length of pasturing period in accordance with the parturing regime.</w:t>
            </w:r>
          </w:p>
          <w:p w:rsidR="00F555D6" w:rsidRPr="005C3B55" w:rsidRDefault="00F555D6" w:rsidP="00F555D6">
            <w:pPr>
              <w:spacing w:before="240" w:after="240" w:line="280" w:lineRule="auto"/>
              <w:rPr>
                <w:szCs w:val="24"/>
              </w:rPr>
            </w:pPr>
            <w:r w:rsidRPr="005C3B55">
              <w:rPr>
                <w:szCs w:val="24"/>
              </w:rPr>
              <w:t>KRA_VARPA: The calculation of the payment includes the presence of a shepherd or more frequent presence of a herdsman in areas where large carnivores occur.</w:t>
            </w:r>
          </w:p>
          <w:p w:rsidR="00F555D6" w:rsidRPr="005C3B55" w:rsidRDefault="00F555D6" w:rsidP="00F555D6">
            <w:pPr>
              <w:spacing w:before="240" w:after="240" w:line="280" w:lineRule="auto"/>
              <w:rPr>
                <w:szCs w:val="24"/>
              </w:rPr>
            </w:pPr>
            <w:r w:rsidRPr="005C3B55">
              <w:rPr>
                <w:szCs w:val="24"/>
              </w:rPr>
              <w:t>KRA_VARPP: When calculating payments for the protection of a herd with herding dogs, the costs of material for herding dogs are observed (food, collars, documentation and similar), including their medical care and work and care of the herdsman.</w:t>
            </w:r>
          </w:p>
          <w:p w:rsidR="00F555D6" w:rsidRPr="005C3B55" w:rsidRDefault="00F555D6" w:rsidP="00F555D6">
            <w:pPr>
              <w:pStyle w:val="Telobesedila"/>
              <w:rPr>
                <w:szCs w:val="24"/>
              </w:rPr>
            </w:pPr>
          </w:p>
        </w:tc>
      </w:tr>
    </w:tbl>
    <w:p w:rsidR="00F555D6" w:rsidRPr="005C3B55" w:rsidRDefault="00F555D6" w:rsidP="00F555D6">
      <w:pPr>
        <w:pStyle w:val="Naslov7"/>
        <w:tabs>
          <w:tab w:val="clear" w:pos="765"/>
        </w:tabs>
        <w:ind w:left="0" w:firstLine="0"/>
        <w:rPr>
          <w:szCs w:val="24"/>
          <w:lang w:val="en-GB"/>
        </w:rPr>
      </w:pPr>
      <w:r w:rsidRPr="005C3B55">
        <w:rPr>
          <w:noProof w:val="0"/>
          <w:szCs w:val="24"/>
          <w:lang w:val="en-GB"/>
        </w:rPr>
        <w:t>Agri-environment-climate commitments</w:t>
      </w:r>
    </w:p>
    <w:p w:rsidR="00F555D6" w:rsidRPr="005C3B55" w:rsidRDefault="00F555D6" w:rsidP="00F555D6">
      <w:pPr>
        <w:pStyle w:val="Naslov8"/>
        <w:tabs>
          <w:tab w:val="clear" w:pos="765"/>
        </w:tabs>
        <w:ind w:left="0" w:firstLine="0"/>
        <w:rPr>
          <w:b w:val="0"/>
          <w:szCs w:val="24"/>
          <w:lang w:val="en-GB"/>
        </w:rPr>
      </w:pPr>
      <w:r w:rsidRPr="005C3B55">
        <w:rPr>
          <w:b w:val="0"/>
          <w:noProof w:val="0"/>
          <w:szCs w:val="24"/>
          <w:lang w:val="en-GB"/>
        </w:rPr>
        <w:t>KRA_OGRM:</w:t>
      </w:r>
      <w:r w:rsidRPr="005C3B55">
        <w:rPr>
          <w:b w:val="0"/>
          <w:szCs w:val="24"/>
          <w:lang w:val="en-GB"/>
        </w:rPr>
        <w:t xml:space="preserve"> </w:t>
      </w:r>
      <w:r w:rsidRPr="005C3B55">
        <w:rPr>
          <w:b w:val="0"/>
          <w:noProof w:val="0"/>
          <w:szCs w:val="24"/>
          <w:lang w:val="en-GB"/>
        </w:rPr>
        <w:t>Protection of the herd with mobile protective electric fences and electric nets</w:t>
      </w:r>
    </w:p>
    <w:p w:rsidR="00F555D6" w:rsidRPr="005C3B55" w:rsidRDefault="00F555D6" w:rsidP="00F555D6">
      <w:pPr>
        <w:pStyle w:val="Naslov9"/>
        <w:tabs>
          <w:tab w:val="clear" w:pos="765"/>
        </w:tabs>
        <w:ind w:left="0" w:firstLine="0"/>
        <w:rPr>
          <w:szCs w:val="24"/>
          <w:lang w:val="en-GB"/>
        </w:rPr>
      </w:pPr>
      <w:r w:rsidRPr="005C3B55">
        <w:rPr>
          <w:noProof w:val="0"/>
          <w:szCs w:val="24"/>
          <w:lang w:val="en-GB"/>
        </w:rPr>
        <w:t>Starting Point</w:t>
      </w:r>
    </w:p>
    <w:p w:rsidR="00F555D6" w:rsidRPr="005C3B55" w:rsidRDefault="00F555D6" w:rsidP="00F555D6">
      <w:pPr>
        <w:spacing w:line="280" w:lineRule="auto"/>
        <w:rPr>
          <w:szCs w:val="24"/>
        </w:rPr>
      </w:pPr>
      <w:r w:rsidRPr="005C3B55">
        <w:rPr>
          <w:szCs w:val="24"/>
        </w:rPr>
        <w:t>Suitable good agricultural and environmental conditions and/or prescribed management requirements</w:t>
      </w:r>
    </w:p>
    <w:p w:rsidR="00F555D6" w:rsidRPr="005C3B55" w:rsidRDefault="00F555D6" w:rsidP="00F555D6">
      <w:pPr>
        <w:spacing w:after="0"/>
        <w:rPr>
          <w:szCs w:val="24"/>
        </w:rPr>
      </w:pP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778"/>
              </w:numPr>
              <w:spacing w:before="0" w:after="240"/>
              <w:ind w:hanging="290"/>
              <w:jc w:val="left"/>
              <w:rPr>
                <w:szCs w:val="24"/>
              </w:rPr>
            </w:pPr>
            <w:r w:rsidRPr="005C3B55">
              <w:rPr>
                <w:szCs w:val="24"/>
              </w:rPr>
              <w:t>The protection of the herd with mobile protective electric fences and electric nets is not prescribed in the Regulation on cross-compliance.</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Minimum requirements for the use of fertilisers and plant protection products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779"/>
              </w:numPr>
              <w:spacing w:before="0" w:after="0"/>
              <w:ind w:hanging="290"/>
              <w:jc w:val="left"/>
              <w:rPr>
                <w:szCs w:val="24"/>
              </w:rPr>
            </w:pPr>
            <w:r w:rsidRPr="005C3B55">
              <w:rPr>
                <w:szCs w:val="24"/>
              </w:rPr>
              <w:t>Minimum requirements for the use of fertilisers refer to the keeping of records on the use of livestock and mineral fertilisers which an agricultural holding has to keep for all agricultural land plots at the agricultural holding, and which has to include at least the quantity and type of livestock manure and mineral fertiliser, time of fertilising and data on the surface where these fertilisers are used.</w:t>
            </w:r>
          </w:p>
          <w:p w:rsidR="00F555D6" w:rsidRPr="005C3B55" w:rsidRDefault="00F555D6" w:rsidP="00F555D6">
            <w:pPr>
              <w:numPr>
                <w:ilvl w:val="0"/>
                <w:numId w:val="779"/>
              </w:numPr>
              <w:spacing w:before="0" w:after="240"/>
              <w:ind w:hanging="290"/>
              <w:jc w:val="left"/>
              <w:rPr>
                <w:szCs w:val="24"/>
              </w:rPr>
            </w:pPr>
            <w:r w:rsidRPr="005C3B55">
              <w:rPr>
                <w:szCs w:val="24"/>
              </w:rPr>
              <w:t>Minimum requirements for the use of plant protection products are not determined, since the requirements relating to the use of these products are standardised and are included in the requirements of cross-compliance.</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Other relevant national/regional requirements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780"/>
              </w:numPr>
              <w:spacing w:before="0" w:after="240"/>
              <w:ind w:hanging="290"/>
              <w:jc w:val="left"/>
              <w:rPr>
                <w:szCs w:val="24"/>
              </w:rPr>
            </w:pPr>
            <w:r w:rsidRPr="005C3B55">
              <w:rPr>
                <w:szCs w:val="24"/>
              </w:rPr>
              <w:t>Rules on the appropriate manner of protecting property and the types of measures for preventing further damage to property (Official Gazette of the Republic of Slovenia, no. 74/05): The appropriate manner of protecting property is an electric fence with more than one wire adapted to the animal species which is protected and the animal species protected against.</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Minimum activities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781"/>
              </w:numPr>
              <w:spacing w:before="0" w:after="240"/>
              <w:ind w:hanging="290"/>
              <w:jc w:val="left"/>
              <w:rPr>
                <w:szCs w:val="24"/>
              </w:rPr>
            </w:pPr>
            <w:r w:rsidRPr="005C3B55">
              <w:rPr>
                <w:szCs w:val="24"/>
              </w:rPr>
              <w:t>Mowing at least once annually by 15 October of the current year is determined as a criterion for maintaining agricultural land in a state suitable for pasturing or production without the preparation measures which exceed the use of regular agricultural methods and machinery.</w:t>
            </w:r>
          </w:p>
          <w:p w:rsidR="00F555D6" w:rsidRPr="005C3B55" w:rsidRDefault="00F555D6" w:rsidP="00F555D6">
            <w:pPr>
              <w:pStyle w:val="Telobesedila"/>
              <w:rPr>
                <w:szCs w:val="24"/>
              </w:rPr>
            </w:pPr>
          </w:p>
        </w:tc>
      </w:tr>
    </w:tbl>
    <w:p w:rsidR="00F555D6" w:rsidRPr="005C3B55" w:rsidRDefault="00F555D6" w:rsidP="00F555D6">
      <w:pPr>
        <w:pStyle w:val="Naslov9"/>
        <w:tabs>
          <w:tab w:val="clear" w:pos="765"/>
        </w:tabs>
        <w:ind w:left="0" w:firstLine="0"/>
        <w:rPr>
          <w:szCs w:val="24"/>
          <w:lang w:val="en-GB"/>
        </w:rPr>
      </w:pPr>
      <w:r w:rsidRPr="005C3B55">
        <w:rPr>
          <w:noProof w:val="0"/>
          <w:szCs w:val="24"/>
          <w:lang w:val="en-GB"/>
        </w:rPr>
        <w:t>Relevant standard agricultural practices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In standard agricultural practice, animals are not enclosed in night enclosures for protection against wolf and bear attacks. To enable supervised daytime pasturing, an electric fence 110 cm high with more than one wire adapted to the animals being protected and the animals being protected against suffices.</w:t>
            </w:r>
          </w:p>
          <w:p w:rsidR="00F555D6" w:rsidRPr="005C3B55" w:rsidRDefault="00F555D6" w:rsidP="00F555D6">
            <w:pPr>
              <w:pStyle w:val="Telobesedila"/>
              <w:rPr>
                <w:szCs w:val="24"/>
              </w:rPr>
            </w:pPr>
          </w:p>
        </w:tc>
      </w:tr>
    </w:tbl>
    <w:p w:rsidR="00F555D6" w:rsidRPr="005C3B55" w:rsidRDefault="00F555D6" w:rsidP="00F555D6">
      <w:pPr>
        <w:pStyle w:val="Naslov8"/>
        <w:tabs>
          <w:tab w:val="clear" w:pos="765"/>
        </w:tabs>
        <w:ind w:left="0" w:firstLine="0"/>
        <w:rPr>
          <w:b w:val="0"/>
          <w:szCs w:val="24"/>
          <w:lang w:val="en-GB"/>
        </w:rPr>
      </w:pPr>
      <w:r w:rsidRPr="005C3B55">
        <w:rPr>
          <w:b w:val="0"/>
          <w:noProof w:val="0"/>
          <w:szCs w:val="24"/>
          <w:lang w:val="en-GB"/>
        </w:rPr>
        <w:t>KRA_VARPA:</w:t>
      </w:r>
      <w:r w:rsidRPr="005C3B55">
        <w:rPr>
          <w:b w:val="0"/>
          <w:szCs w:val="24"/>
          <w:lang w:val="en-GB"/>
        </w:rPr>
        <w:t xml:space="preserve"> </w:t>
      </w:r>
      <w:r w:rsidRPr="005C3B55">
        <w:rPr>
          <w:b w:val="0"/>
          <w:noProof w:val="0"/>
          <w:szCs w:val="24"/>
          <w:lang w:val="en-GB"/>
        </w:rPr>
        <w:t>Protection of the herd in the presence of a shepherd</w:t>
      </w:r>
    </w:p>
    <w:p w:rsidR="00F555D6" w:rsidRPr="005C3B55" w:rsidRDefault="00F555D6" w:rsidP="00F555D6">
      <w:pPr>
        <w:pStyle w:val="Naslov9"/>
        <w:tabs>
          <w:tab w:val="clear" w:pos="765"/>
        </w:tabs>
        <w:ind w:left="0" w:firstLine="0"/>
        <w:rPr>
          <w:szCs w:val="24"/>
          <w:lang w:val="en-GB"/>
        </w:rPr>
      </w:pPr>
      <w:r w:rsidRPr="005C3B55">
        <w:rPr>
          <w:noProof w:val="0"/>
          <w:szCs w:val="24"/>
          <w:lang w:val="en-GB"/>
        </w:rPr>
        <w:t>Starting Point</w:t>
      </w:r>
    </w:p>
    <w:p w:rsidR="00F555D6" w:rsidRPr="005C3B55" w:rsidRDefault="00F555D6" w:rsidP="00F555D6">
      <w:pPr>
        <w:spacing w:line="280" w:lineRule="auto"/>
        <w:rPr>
          <w:szCs w:val="24"/>
        </w:rPr>
      </w:pPr>
      <w:r w:rsidRPr="005C3B55">
        <w:rPr>
          <w:szCs w:val="24"/>
        </w:rPr>
        <w:t>Suitable good agricultural and environmental conditions and/or prescribed management requirements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782"/>
              </w:numPr>
              <w:spacing w:before="0" w:after="240"/>
              <w:ind w:hanging="290"/>
              <w:jc w:val="left"/>
              <w:rPr>
                <w:szCs w:val="24"/>
              </w:rPr>
            </w:pPr>
            <w:r w:rsidRPr="005C3B55">
              <w:rPr>
                <w:szCs w:val="24"/>
              </w:rPr>
              <w:t>The protection of the herd in the presence of a shepherd is not prescribed in the Regulation on cross-compliance.</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Minimum requirements for the use of fertilisers and plant protection products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783"/>
              </w:numPr>
              <w:spacing w:before="0" w:after="0"/>
              <w:ind w:hanging="290"/>
              <w:jc w:val="left"/>
              <w:rPr>
                <w:szCs w:val="24"/>
              </w:rPr>
            </w:pPr>
            <w:r w:rsidRPr="005C3B55">
              <w:rPr>
                <w:szCs w:val="24"/>
              </w:rPr>
              <w:t>Minimum requirements for the use of fertilisers refer to the keeping of records on the use of livestock and mineral fertilisers which an agricultural holding has to keep for all agricultural land plots at the agricultural holding, and which has to include at least the quantity and type of livestock manure and mineral fertiliser, time of fertilising and data on the surface where these fertilisers are used.</w:t>
            </w:r>
          </w:p>
          <w:p w:rsidR="00F555D6" w:rsidRPr="005C3B55" w:rsidRDefault="00F555D6" w:rsidP="00F555D6">
            <w:pPr>
              <w:numPr>
                <w:ilvl w:val="0"/>
                <w:numId w:val="783"/>
              </w:numPr>
              <w:spacing w:before="0" w:after="240"/>
              <w:ind w:hanging="290"/>
              <w:jc w:val="left"/>
              <w:rPr>
                <w:szCs w:val="24"/>
              </w:rPr>
            </w:pPr>
            <w:r w:rsidRPr="005C3B55">
              <w:rPr>
                <w:szCs w:val="24"/>
              </w:rPr>
              <w:t>Minimum requirements for the use of plant protection products are not determined, since the requirements relating to the use of these products are standardised and are included in the requirements of cross-compliance.</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Other relevant national/regional requirements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784"/>
              </w:numPr>
              <w:spacing w:before="0" w:after="240"/>
              <w:ind w:hanging="290"/>
              <w:jc w:val="left"/>
              <w:rPr>
                <w:szCs w:val="24"/>
              </w:rPr>
            </w:pPr>
            <w:r w:rsidRPr="005C3B55">
              <w:rPr>
                <w:szCs w:val="24"/>
              </w:rPr>
              <w:t>Other national requirements are not prescribed.</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Minimum activities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785"/>
              </w:numPr>
              <w:spacing w:before="0" w:after="240"/>
              <w:ind w:hanging="290"/>
              <w:jc w:val="left"/>
              <w:rPr>
                <w:szCs w:val="24"/>
              </w:rPr>
            </w:pPr>
            <w:r w:rsidRPr="005C3B55">
              <w:rPr>
                <w:szCs w:val="24"/>
              </w:rPr>
              <w:t>Mowing at least once annually by 15 October of the current year is determined as a criterion for maintaining agricultural land in a state suitable for pasturing or production without the preparation measures which exceed the use of regular agricultural methods and machinery.</w:t>
            </w:r>
          </w:p>
          <w:p w:rsidR="00F555D6" w:rsidRPr="005C3B55" w:rsidRDefault="00F555D6" w:rsidP="00F555D6">
            <w:pPr>
              <w:pStyle w:val="Telobesedila"/>
              <w:rPr>
                <w:szCs w:val="24"/>
              </w:rPr>
            </w:pPr>
          </w:p>
        </w:tc>
      </w:tr>
    </w:tbl>
    <w:p w:rsidR="00F555D6" w:rsidRPr="005C3B55" w:rsidRDefault="00F555D6" w:rsidP="00F555D6">
      <w:pPr>
        <w:pStyle w:val="Naslov9"/>
        <w:tabs>
          <w:tab w:val="clear" w:pos="765"/>
        </w:tabs>
        <w:ind w:left="0" w:firstLine="0"/>
        <w:rPr>
          <w:szCs w:val="24"/>
          <w:lang w:val="en-GB"/>
        </w:rPr>
      </w:pPr>
      <w:r w:rsidRPr="005C3B55">
        <w:rPr>
          <w:noProof w:val="0"/>
          <w:szCs w:val="24"/>
          <w:lang w:val="en-GB"/>
        </w:rPr>
        <w:t>Relevant standard agricultural practices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In standard agricultural practice in Slovenia, electric fence 110 cm high and electric fence with more than one wire adjusted to the species of animals are used which in certain cases do not provide for the protection from attacks of herds by large carnivores, or their installation is impossible due to the specifics of the terrain. Protection of herds by shepherds is not applied in standard agricultural practice.</w:t>
            </w:r>
          </w:p>
          <w:p w:rsidR="00F555D6" w:rsidRPr="005C3B55" w:rsidRDefault="00F555D6" w:rsidP="00F555D6">
            <w:pPr>
              <w:pStyle w:val="Telobesedila"/>
              <w:rPr>
                <w:szCs w:val="24"/>
              </w:rPr>
            </w:pPr>
          </w:p>
        </w:tc>
      </w:tr>
    </w:tbl>
    <w:p w:rsidR="00F555D6" w:rsidRPr="005C3B55" w:rsidRDefault="00F555D6" w:rsidP="00F555D6">
      <w:pPr>
        <w:pStyle w:val="Naslov8"/>
        <w:tabs>
          <w:tab w:val="clear" w:pos="765"/>
        </w:tabs>
        <w:ind w:left="0" w:firstLine="0"/>
        <w:rPr>
          <w:b w:val="0"/>
          <w:szCs w:val="24"/>
          <w:lang w:val="en-GB"/>
        </w:rPr>
      </w:pPr>
      <w:r w:rsidRPr="005C3B55">
        <w:rPr>
          <w:b w:val="0"/>
          <w:noProof w:val="0"/>
          <w:szCs w:val="24"/>
          <w:lang w:val="en-GB"/>
        </w:rPr>
        <w:t>KRA_VARPP:</w:t>
      </w:r>
      <w:r w:rsidRPr="005C3B55">
        <w:rPr>
          <w:b w:val="0"/>
          <w:szCs w:val="24"/>
          <w:lang w:val="en-GB"/>
        </w:rPr>
        <w:t xml:space="preserve"> </w:t>
      </w:r>
      <w:r w:rsidRPr="005C3B55">
        <w:rPr>
          <w:b w:val="0"/>
          <w:noProof w:val="0"/>
          <w:szCs w:val="24"/>
          <w:lang w:val="en-GB"/>
        </w:rPr>
        <w:t>Protection of the herd in the presence of a herding dog</w:t>
      </w:r>
    </w:p>
    <w:p w:rsidR="00F555D6" w:rsidRPr="005C3B55" w:rsidRDefault="00F555D6" w:rsidP="00F555D6">
      <w:pPr>
        <w:pStyle w:val="Naslov9"/>
        <w:tabs>
          <w:tab w:val="clear" w:pos="765"/>
        </w:tabs>
        <w:ind w:left="0" w:firstLine="0"/>
        <w:rPr>
          <w:szCs w:val="24"/>
          <w:lang w:val="en-GB"/>
        </w:rPr>
      </w:pPr>
      <w:r w:rsidRPr="005C3B55">
        <w:rPr>
          <w:noProof w:val="0"/>
          <w:szCs w:val="24"/>
          <w:lang w:val="en-GB"/>
        </w:rPr>
        <w:t>Starting Point</w:t>
      </w:r>
    </w:p>
    <w:p w:rsidR="00F555D6" w:rsidRPr="005C3B55" w:rsidRDefault="00F555D6" w:rsidP="00F555D6">
      <w:pPr>
        <w:spacing w:line="280" w:lineRule="auto"/>
        <w:rPr>
          <w:szCs w:val="24"/>
        </w:rPr>
      </w:pPr>
      <w:r w:rsidRPr="005C3B55">
        <w:rPr>
          <w:szCs w:val="24"/>
        </w:rPr>
        <w:t>Suitable good agricultural and environmental conditions and/or prescribed management requirements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786"/>
              </w:numPr>
              <w:spacing w:before="0" w:after="240"/>
              <w:ind w:hanging="290"/>
              <w:jc w:val="left"/>
              <w:rPr>
                <w:szCs w:val="24"/>
              </w:rPr>
            </w:pPr>
            <w:r w:rsidRPr="005C3B55">
              <w:rPr>
                <w:szCs w:val="24"/>
              </w:rPr>
              <w:t>The protection of the herd in the presence of a herding dog is not prescribed in the Regulation on cross-compliance.</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Minimum requirements for the use of fertilisers and plant protection products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787"/>
              </w:numPr>
              <w:spacing w:before="0" w:after="0"/>
              <w:ind w:hanging="290"/>
              <w:jc w:val="left"/>
              <w:rPr>
                <w:szCs w:val="24"/>
              </w:rPr>
            </w:pPr>
            <w:r w:rsidRPr="005C3B55">
              <w:rPr>
                <w:szCs w:val="24"/>
              </w:rPr>
              <w:t>Minimum requirements for the use of fertilisers refer to the keeping of records on the use of livestock and mineral fertilisers which an agricultural holding has to keep for all agricultural land plots at the agricultural holding, and which has to include at least the quantity and type of livestock manure and mineral fertiliser, time of fertilising and data on the surface where these fertilisers are used.</w:t>
            </w:r>
          </w:p>
          <w:p w:rsidR="00F555D6" w:rsidRPr="005C3B55" w:rsidRDefault="00F555D6" w:rsidP="00F555D6">
            <w:pPr>
              <w:numPr>
                <w:ilvl w:val="0"/>
                <w:numId w:val="787"/>
              </w:numPr>
              <w:spacing w:before="0" w:after="240"/>
              <w:ind w:hanging="290"/>
              <w:jc w:val="left"/>
              <w:rPr>
                <w:szCs w:val="24"/>
              </w:rPr>
            </w:pPr>
            <w:r w:rsidRPr="005C3B55">
              <w:rPr>
                <w:szCs w:val="24"/>
              </w:rPr>
              <w:t>Minimum requirements for the use of plant protection products are not determined, since the requirements relating to the use of these products are standardised and are included in the requirements of cross-compliance.</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Other relevant national/regional requirements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788"/>
              </w:numPr>
              <w:spacing w:before="0" w:after="240"/>
              <w:ind w:hanging="290"/>
              <w:jc w:val="left"/>
              <w:rPr>
                <w:szCs w:val="24"/>
              </w:rPr>
            </w:pPr>
            <w:r w:rsidRPr="005C3B55">
              <w:rPr>
                <w:szCs w:val="24"/>
              </w:rPr>
              <w:t>Other national requirements are not prescribed.</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Minimum activities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789"/>
              </w:numPr>
              <w:spacing w:before="0" w:after="240"/>
              <w:ind w:hanging="290"/>
              <w:jc w:val="left"/>
              <w:rPr>
                <w:szCs w:val="24"/>
              </w:rPr>
            </w:pPr>
            <w:r w:rsidRPr="005C3B55">
              <w:rPr>
                <w:szCs w:val="24"/>
              </w:rPr>
              <w:t>Mowing at least once annually by 15 October of the current year is determined as a criterion for maintaining agricultural land in a state suitable for pasturing or production without the preparation measures which exceed the use of regular agricultural methods and machinery.</w:t>
            </w:r>
          </w:p>
          <w:p w:rsidR="00F555D6" w:rsidRPr="005C3B55" w:rsidRDefault="00F555D6" w:rsidP="00F555D6">
            <w:pPr>
              <w:pStyle w:val="Telobesedila"/>
              <w:rPr>
                <w:szCs w:val="24"/>
              </w:rPr>
            </w:pPr>
          </w:p>
        </w:tc>
      </w:tr>
    </w:tbl>
    <w:p w:rsidR="00F555D6" w:rsidRPr="005C3B55" w:rsidRDefault="00F555D6" w:rsidP="00F555D6">
      <w:pPr>
        <w:pStyle w:val="Naslov9"/>
        <w:tabs>
          <w:tab w:val="clear" w:pos="765"/>
        </w:tabs>
        <w:ind w:left="0" w:firstLine="0"/>
        <w:rPr>
          <w:szCs w:val="24"/>
          <w:lang w:val="en-GB"/>
        </w:rPr>
      </w:pPr>
      <w:r w:rsidRPr="005C3B55">
        <w:rPr>
          <w:noProof w:val="0"/>
          <w:szCs w:val="24"/>
          <w:lang w:val="en-GB"/>
        </w:rPr>
        <w:t>Relevant standard agricultural practices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In standard agricultural practice in Slovenia, electric fence 110 cm high with more than one wire and adjusted to the species of animals is used, which does not provide reliable protection from attacks of herds by large carnivores. Protection of herds by herding dogs is not applied in standard agricultural practice.</w:t>
            </w:r>
          </w:p>
          <w:p w:rsidR="00F555D6" w:rsidRPr="005C3B55" w:rsidRDefault="00F555D6" w:rsidP="00F555D6">
            <w:pPr>
              <w:pStyle w:val="Telobesedila"/>
              <w:rPr>
                <w:szCs w:val="24"/>
              </w:rPr>
            </w:pPr>
          </w:p>
        </w:tc>
      </w:tr>
    </w:tbl>
    <w:p w:rsidR="00F555D6" w:rsidRPr="005C3B55" w:rsidRDefault="00F555D6" w:rsidP="00F555D6">
      <w:pPr>
        <w:pStyle w:val="Naslov5"/>
        <w:tabs>
          <w:tab w:val="clear" w:pos="765"/>
        </w:tabs>
        <w:ind w:left="0" w:firstLine="0"/>
        <w:rPr>
          <w:b w:val="0"/>
          <w:szCs w:val="24"/>
          <w:lang w:val="en-GB"/>
        </w:rPr>
      </w:pPr>
      <w:r w:rsidRPr="005C3B55">
        <w:rPr>
          <w:b w:val="0"/>
          <w:szCs w:val="24"/>
          <w:lang w:val="en-GB"/>
        </w:rPr>
        <w:br w:type="page"/>
        <w:t>15.</w:t>
      </w:r>
      <w:r w:rsidRPr="005C3B55">
        <w:rPr>
          <w:b w:val="0"/>
          <w:szCs w:val="24"/>
          <w:lang w:val="en-GB"/>
        </w:rPr>
        <w:tab/>
      </w:r>
      <w:r w:rsidRPr="005C3B55">
        <w:rPr>
          <w:b w:val="0"/>
          <w:noProof w:val="0"/>
          <w:szCs w:val="24"/>
          <w:lang w:val="en-GB"/>
        </w:rPr>
        <w:t>Mountain pasture</w:t>
      </w:r>
    </w:p>
    <w:p w:rsidR="00F555D6" w:rsidRPr="005C3B55" w:rsidRDefault="00F555D6" w:rsidP="00F555D6">
      <w:pPr>
        <w:spacing w:line="280" w:lineRule="auto"/>
        <w:rPr>
          <w:szCs w:val="24"/>
        </w:rPr>
      </w:pPr>
      <w:r w:rsidRPr="005C3B55">
        <w:rPr>
          <w:szCs w:val="24"/>
        </w:rPr>
        <w:t xml:space="preserve">Sub-measure: </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790"/>
              </w:numPr>
              <w:rPr>
                <w:szCs w:val="24"/>
              </w:rPr>
            </w:pPr>
            <w:r w:rsidRPr="005C3B55">
              <w:rPr>
                <w:szCs w:val="24"/>
              </w:rPr>
              <w:t>10.1 – Payment of agri-environment-climate commitments</w:t>
            </w: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Description of type of operation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The operation ‘Mountain pasture’ is intended for the conservation of landscape diversity of mountains and denotes the preservation of existing agricultural practices. It is implemented with two requirements which complement each other, i.e.:</w:t>
            </w:r>
          </w:p>
          <w:p w:rsidR="00F555D6" w:rsidRPr="005C3B55" w:rsidRDefault="00F555D6" w:rsidP="00F555D6">
            <w:pPr>
              <w:numPr>
                <w:ilvl w:val="0"/>
                <w:numId w:val="791"/>
              </w:numPr>
              <w:spacing w:before="240" w:after="0"/>
              <w:ind w:hanging="290"/>
              <w:jc w:val="left"/>
              <w:rPr>
                <w:szCs w:val="24"/>
              </w:rPr>
            </w:pPr>
            <w:r w:rsidRPr="005C3B55">
              <w:rPr>
                <w:szCs w:val="24"/>
              </w:rPr>
              <w:t>KRA_CRED: Mountain pasture on paddocks;</w:t>
            </w:r>
          </w:p>
          <w:p w:rsidR="00F555D6" w:rsidRPr="005C3B55" w:rsidRDefault="00F555D6" w:rsidP="00F555D6">
            <w:pPr>
              <w:numPr>
                <w:ilvl w:val="0"/>
                <w:numId w:val="791"/>
              </w:numPr>
              <w:spacing w:before="0" w:after="240"/>
              <w:ind w:hanging="290"/>
              <w:jc w:val="left"/>
              <w:rPr>
                <w:szCs w:val="24"/>
              </w:rPr>
            </w:pPr>
            <w:r w:rsidRPr="005C3B55">
              <w:rPr>
                <w:szCs w:val="24"/>
              </w:rPr>
              <w:t>KRA_PAST: Mountain pasture with a shepherd.</w:t>
            </w:r>
          </w:p>
          <w:p w:rsidR="00F555D6" w:rsidRPr="005C3B55" w:rsidRDefault="00F555D6" w:rsidP="00F555D6">
            <w:pPr>
              <w:spacing w:before="240" w:after="240" w:line="280" w:lineRule="auto"/>
              <w:rPr>
                <w:szCs w:val="24"/>
              </w:rPr>
            </w:pPr>
            <w:r w:rsidRPr="005C3B55">
              <w:rPr>
                <w:szCs w:val="24"/>
              </w:rPr>
              <w:t>Within the operation, the pasture in the mountains has to be implemented in grazing pens which may be fenced or natural barriers in the mountains may be used for this purpose. Animals have to graze in the mountains at least 80 days per year on minimum 5 ha of utilised grassland.</w:t>
            </w:r>
          </w:p>
          <w:p w:rsidR="00F555D6" w:rsidRPr="005C3B55" w:rsidRDefault="00F555D6" w:rsidP="00F555D6">
            <w:pPr>
              <w:spacing w:before="240" w:after="240" w:line="280" w:lineRule="auto"/>
              <w:rPr>
                <w:szCs w:val="24"/>
              </w:rPr>
            </w:pPr>
            <w:r w:rsidRPr="005C3B55">
              <w:rPr>
                <w:szCs w:val="24"/>
              </w:rPr>
              <w:t>In accordance with Annex II to Regulation (EC) No 889/2008, only those plant protection products and other substances for plant protection permitted in organic farming may be used in this operation. The purchase of fodder is not permitted.</w:t>
            </w:r>
          </w:p>
          <w:p w:rsidR="00F555D6" w:rsidRPr="005C3B55" w:rsidRDefault="00F555D6" w:rsidP="00F555D6">
            <w:pPr>
              <w:spacing w:before="240" w:after="240" w:line="280" w:lineRule="auto"/>
              <w:rPr>
                <w:szCs w:val="24"/>
              </w:rPr>
            </w:pPr>
            <w:r w:rsidRPr="005C3B55">
              <w:rPr>
                <w:szCs w:val="24"/>
              </w:rPr>
              <w:t>In case of mountain pasture with a shepherd, the presence of the shepherd on the mountain is mandatory; an agreement has to be concluded with the shepherd whereby the shepherd manages no more than 50 LU.</w:t>
            </w:r>
          </w:p>
          <w:p w:rsidR="00F555D6" w:rsidRPr="005C3B55" w:rsidRDefault="00F555D6" w:rsidP="00F555D6">
            <w:pPr>
              <w:numPr>
                <w:ilvl w:val="0"/>
                <w:numId w:val="792"/>
              </w:numPr>
              <w:spacing w:before="240" w:after="0"/>
              <w:ind w:hanging="290"/>
              <w:jc w:val="left"/>
              <w:rPr>
                <w:szCs w:val="24"/>
              </w:rPr>
            </w:pPr>
            <w:r w:rsidRPr="005C3B55">
              <w:rPr>
                <w:szCs w:val="24"/>
              </w:rPr>
              <w:t>Livestock density: 0.5 to 1.8 LU/ha of grazing animals (average annual livestock density).</w:t>
            </w:r>
          </w:p>
          <w:p w:rsidR="00F555D6" w:rsidRPr="005C3B55" w:rsidRDefault="00F555D6" w:rsidP="00F555D6">
            <w:pPr>
              <w:numPr>
                <w:ilvl w:val="0"/>
                <w:numId w:val="792"/>
              </w:numPr>
              <w:spacing w:before="0" w:after="0"/>
              <w:ind w:hanging="290"/>
              <w:jc w:val="left"/>
              <w:rPr>
                <w:szCs w:val="24"/>
              </w:rPr>
            </w:pPr>
            <w:r w:rsidRPr="005C3B55">
              <w:rPr>
                <w:szCs w:val="24"/>
              </w:rPr>
              <w:t>Use: permanent grassland.</w:t>
            </w:r>
          </w:p>
          <w:p w:rsidR="00F555D6" w:rsidRPr="005C3B55" w:rsidRDefault="00F555D6" w:rsidP="00F555D6">
            <w:pPr>
              <w:numPr>
                <w:ilvl w:val="0"/>
                <w:numId w:val="792"/>
              </w:numPr>
              <w:spacing w:before="0" w:after="0"/>
              <w:ind w:hanging="290"/>
              <w:jc w:val="left"/>
              <w:rPr>
                <w:szCs w:val="24"/>
              </w:rPr>
            </w:pPr>
            <w:r w:rsidRPr="005C3B55">
              <w:rPr>
                <w:szCs w:val="24"/>
              </w:rPr>
              <w:t>Coverage: all surfaces under permanent grassland.</w:t>
            </w:r>
          </w:p>
          <w:p w:rsidR="00F555D6" w:rsidRPr="005C3B55" w:rsidRDefault="00F555D6" w:rsidP="00F555D6">
            <w:pPr>
              <w:numPr>
                <w:ilvl w:val="0"/>
                <w:numId w:val="792"/>
              </w:numPr>
              <w:spacing w:before="0" w:after="0"/>
              <w:ind w:hanging="290"/>
              <w:jc w:val="left"/>
              <w:rPr>
                <w:szCs w:val="24"/>
              </w:rPr>
            </w:pPr>
            <w:r w:rsidRPr="005C3B55">
              <w:rPr>
                <w:szCs w:val="24"/>
              </w:rPr>
              <w:t>Location: the same throughout the commitment.</w:t>
            </w:r>
          </w:p>
          <w:p w:rsidR="00F555D6" w:rsidRPr="005C3B55" w:rsidRDefault="00F555D6" w:rsidP="00F555D6">
            <w:pPr>
              <w:numPr>
                <w:ilvl w:val="0"/>
                <w:numId w:val="792"/>
              </w:numPr>
              <w:spacing w:before="0" w:after="240"/>
              <w:ind w:hanging="290"/>
              <w:jc w:val="left"/>
              <w:rPr>
                <w:szCs w:val="24"/>
              </w:rPr>
            </w:pPr>
            <w:r w:rsidRPr="005C3B55">
              <w:rPr>
                <w:szCs w:val="24"/>
              </w:rPr>
              <w:t>Implementation area: mountain pastures.</w:t>
            </w:r>
          </w:p>
          <w:p w:rsidR="00F555D6" w:rsidRPr="005C3B55" w:rsidRDefault="00F555D6" w:rsidP="00F555D6">
            <w:pPr>
              <w:spacing w:before="240" w:after="240" w:line="280" w:lineRule="auto"/>
              <w:rPr>
                <w:szCs w:val="24"/>
              </w:rPr>
            </w:pPr>
            <w:r w:rsidRPr="005C3B55">
              <w:rPr>
                <w:szCs w:val="24"/>
              </w:rPr>
              <w:t>Effects:</w:t>
            </w:r>
          </w:p>
          <w:p w:rsidR="00F555D6" w:rsidRPr="005C3B55" w:rsidRDefault="00F555D6" w:rsidP="00F555D6">
            <w:pPr>
              <w:numPr>
                <w:ilvl w:val="0"/>
                <w:numId w:val="793"/>
              </w:numPr>
              <w:spacing w:before="240" w:after="0"/>
              <w:ind w:hanging="290"/>
              <w:jc w:val="left"/>
              <w:rPr>
                <w:szCs w:val="24"/>
              </w:rPr>
            </w:pPr>
            <w:r w:rsidRPr="005C3B55">
              <w:rPr>
                <w:szCs w:val="24"/>
              </w:rPr>
              <w:t>preserving traditional landscape in mountain grassland;</w:t>
            </w:r>
          </w:p>
          <w:p w:rsidR="00F555D6" w:rsidRPr="005C3B55" w:rsidRDefault="00F555D6" w:rsidP="00F555D6">
            <w:pPr>
              <w:numPr>
                <w:ilvl w:val="0"/>
                <w:numId w:val="793"/>
              </w:numPr>
              <w:spacing w:before="0" w:after="0"/>
              <w:ind w:hanging="290"/>
              <w:jc w:val="left"/>
              <w:rPr>
                <w:szCs w:val="24"/>
              </w:rPr>
            </w:pPr>
            <w:r w:rsidRPr="005C3B55">
              <w:rPr>
                <w:szCs w:val="24"/>
              </w:rPr>
              <w:t>preventing overgrazing and compaction of green cover;</w:t>
            </w:r>
          </w:p>
          <w:p w:rsidR="00F555D6" w:rsidRPr="005C3B55" w:rsidRDefault="00F555D6" w:rsidP="00F555D6">
            <w:pPr>
              <w:numPr>
                <w:ilvl w:val="0"/>
                <w:numId w:val="793"/>
              </w:numPr>
              <w:spacing w:before="0" w:after="240"/>
              <w:ind w:hanging="290"/>
              <w:jc w:val="left"/>
              <w:rPr>
                <w:szCs w:val="24"/>
              </w:rPr>
            </w:pPr>
            <w:r w:rsidRPr="005C3B55">
              <w:rPr>
                <w:szCs w:val="24"/>
              </w:rPr>
              <w:t>preventing intensification.</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Type of support</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Support for the implementation of the operation ‘Mountain pasture’ consists of:</w:t>
            </w:r>
          </w:p>
          <w:p w:rsidR="00F555D6" w:rsidRPr="005C3B55" w:rsidRDefault="00F555D6" w:rsidP="00F555D6">
            <w:pPr>
              <w:numPr>
                <w:ilvl w:val="0"/>
                <w:numId w:val="794"/>
              </w:numPr>
              <w:spacing w:before="240" w:after="240"/>
              <w:ind w:hanging="290"/>
              <w:jc w:val="left"/>
              <w:rPr>
                <w:szCs w:val="24"/>
              </w:rPr>
            </w:pPr>
            <w:r w:rsidRPr="005C3B55">
              <w:rPr>
                <w:szCs w:val="24"/>
              </w:rPr>
              <w:t>payments per hectare for the implementation of prescribed requirements.</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Connection with other legislation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The operation ‘Mountain pasture’ is connected with national and EU regulations in the field of measures of agricultural policy, agriculture, the environment, nature protection and rural development.</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Beneficiaries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Beneficiaries for payments are agricultural holdings which participate voluntarily in the implementation of the operation ‘Mountain pasture’ and meet the prescribed conditions and requirements.</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Eligible costs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Payments are only intended for those commitments within the operation ‘Mountain pasture’ which exceed suitable mandatory standards determined in accordance with Chapter I, Title VI of Regulation (EU) No 1306/2013, suitable criteria determined in the second indent of item c) of the first paragraph of Article 4 of Regulation (EU) No 1307/2013, and other suitable mandatory requirements from national regulations.</w:t>
            </w:r>
          </w:p>
          <w:p w:rsidR="00F555D6" w:rsidRPr="005C3B55" w:rsidRDefault="00F555D6" w:rsidP="00F555D6">
            <w:pPr>
              <w:spacing w:before="240" w:after="240" w:line="280" w:lineRule="auto"/>
              <w:rPr>
                <w:szCs w:val="24"/>
              </w:rPr>
            </w:pPr>
            <w:r w:rsidRPr="005C3B55">
              <w:rPr>
                <w:szCs w:val="24"/>
              </w:rPr>
              <w:t>Payments cover 100 per cent of the additional costs and the loss of revenue due to the assumed commitment.</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Conditions for eligibility</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When entering the M10 measure, an agricultural holding must:</w:t>
            </w:r>
          </w:p>
          <w:p w:rsidR="00F555D6" w:rsidRPr="005C3B55" w:rsidRDefault="00F555D6" w:rsidP="00F555D6">
            <w:pPr>
              <w:numPr>
                <w:ilvl w:val="0"/>
                <w:numId w:val="795"/>
              </w:numPr>
              <w:spacing w:before="240" w:after="0"/>
              <w:ind w:hanging="290"/>
              <w:jc w:val="left"/>
              <w:rPr>
                <w:szCs w:val="24"/>
              </w:rPr>
            </w:pPr>
            <w:r w:rsidRPr="005C3B55">
              <w:rPr>
                <w:szCs w:val="24"/>
              </w:rPr>
              <w:t>have at least 1 ha of agricultural land in use as per Article 4 of Regulation (EU) No 1307/2013;</w:t>
            </w:r>
          </w:p>
          <w:p w:rsidR="00F555D6" w:rsidRPr="005C3B55" w:rsidRDefault="00F555D6" w:rsidP="00F555D6">
            <w:pPr>
              <w:numPr>
                <w:ilvl w:val="0"/>
                <w:numId w:val="795"/>
              </w:numPr>
              <w:spacing w:before="0" w:after="0"/>
              <w:ind w:hanging="290"/>
              <w:jc w:val="left"/>
              <w:rPr>
                <w:szCs w:val="24"/>
              </w:rPr>
            </w:pPr>
            <w:r w:rsidRPr="005C3B55">
              <w:rPr>
                <w:szCs w:val="24"/>
              </w:rPr>
              <w:t>be entered in the register of agricultural holdings in accordance with the regulation on the register of agricultural holdings;</w:t>
            </w:r>
          </w:p>
          <w:p w:rsidR="00F555D6" w:rsidRPr="005C3B55" w:rsidRDefault="00F555D6" w:rsidP="00F555D6">
            <w:pPr>
              <w:numPr>
                <w:ilvl w:val="0"/>
                <w:numId w:val="795"/>
              </w:numPr>
              <w:spacing w:before="0" w:after="0"/>
              <w:ind w:hanging="290"/>
              <w:jc w:val="left"/>
              <w:rPr>
                <w:szCs w:val="24"/>
              </w:rPr>
            </w:pPr>
            <w:r w:rsidRPr="005C3B55">
              <w:rPr>
                <w:szCs w:val="24"/>
              </w:rPr>
              <w:t>undergo a six-hour training programme on agri-environment-climate content;</w:t>
            </w:r>
          </w:p>
          <w:p w:rsidR="00F555D6" w:rsidRPr="005C3B55" w:rsidRDefault="00F555D6" w:rsidP="00F555D6">
            <w:pPr>
              <w:numPr>
                <w:ilvl w:val="0"/>
                <w:numId w:val="795"/>
              </w:numPr>
              <w:spacing w:before="0" w:after="240"/>
              <w:ind w:hanging="290"/>
              <w:jc w:val="left"/>
              <w:rPr>
                <w:szCs w:val="24"/>
              </w:rPr>
            </w:pPr>
            <w:r w:rsidRPr="005C3B55">
              <w:rPr>
                <w:szCs w:val="24"/>
              </w:rPr>
              <w:t>prepare an activities programme of the agricultural holding which is an electronic document prepared as a result of advisory services.</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Principles regarding the determination of selection criteria</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The selection criteria are not relevant.</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(Valid) amounts and support rates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The amount of payment for the operation ‘Mountain pasture’ amounts to 100% of amount of payments as per the model calculation.</w:t>
            </w:r>
          </w:p>
          <w:p w:rsidR="00F555D6" w:rsidRPr="005C3B55" w:rsidRDefault="00F555D6" w:rsidP="00F555D6">
            <w:pPr>
              <w:pStyle w:val="Telobesedila"/>
              <w:rPr>
                <w:szCs w:val="24"/>
              </w:rPr>
            </w:pPr>
          </w:p>
          <w:p w:rsidR="00F555D6" w:rsidRPr="005C3B55" w:rsidRDefault="0012246E" w:rsidP="00F555D6">
            <w:pPr>
              <w:pStyle w:val="Telobesedila3"/>
              <w:jc w:val="left"/>
              <w:rPr>
                <w:szCs w:val="24"/>
              </w:rPr>
            </w:pPr>
            <w:r w:rsidRPr="005C3B55">
              <w:rPr>
                <w:noProof/>
                <w:szCs w:val="24"/>
                <w:lang w:val="sl-SI"/>
              </w:rPr>
              <w:drawing>
                <wp:inline distT="0" distB="0" distL="0" distR="0">
                  <wp:extent cx="6562725" cy="4105275"/>
                  <wp:effectExtent l="0" t="0" r="9525" b="9525"/>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562725" cy="4105275"/>
                          </a:xfrm>
                          <a:prstGeom prst="rect">
                            <a:avLst/>
                          </a:prstGeom>
                          <a:noFill/>
                          <a:ln>
                            <a:noFill/>
                          </a:ln>
                        </pic:spPr>
                      </pic:pic>
                    </a:graphicData>
                  </a:graphic>
                </wp:inline>
              </w:drawing>
            </w:r>
          </w:p>
          <w:p w:rsidR="00F555D6" w:rsidRPr="005C3B55" w:rsidRDefault="00F555D6" w:rsidP="00F555D6">
            <w:pPr>
              <w:pStyle w:val="Noga"/>
              <w:jc w:val="center"/>
              <w:rPr>
                <w:szCs w:val="24"/>
              </w:rPr>
            </w:pPr>
            <w:r w:rsidRPr="005C3B55">
              <w:rPr>
                <w:szCs w:val="24"/>
              </w:rPr>
              <w:t>Operation ‘Mountain pasture’: amount of payments for individual requirements</w:t>
            </w:r>
          </w:p>
          <w:p w:rsidR="00F555D6" w:rsidRPr="005C3B55" w:rsidRDefault="00F555D6" w:rsidP="00F555D6">
            <w:pPr>
              <w:pStyle w:val="Noga"/>
              <w:jc w:val="center"/>
              <w:rPr>
                <w:szCs w:val="24"/>
              </w:rPr>
            </w:pPr>
          </w:p>
        </w:tc>
      </w:tr>
    </w:tbl>
    <w:p w:rsidR="00F555D6" w:rsidRPr="005C3B55" w:rsidRDefault="00F555D6" w:rsidP="00F555D6">
      <w:pPr>
        <w:pStyle w:val="Naslov6"/>
        <w:numPr>
          <w:ilvl w:val="0"/>
          <w:numId w:val="0"/>
        </w:numPr>
        <w:rPr>
          <w:szCs w:val="24"/>
          <w:lang w:val="en-GB"/>
        </w:rPr>
      </w:pPr>
    </w:p>
    <w:p w:rsidR="00F555D6" w:rsidRPr="005C3B55" w:rsidRDefault="00F555D6" w:rsidP="00F555D6">
      <w:r w:rsidRPr="005C3B55">
        <w:t>Amount of payments (EUR/ha annually) for requirements within the operation ‘Mountain pasture’</w:t>
      </w:r>
    </w:p>
    <w:tbl>
      <w:tblPr>
        <w:tblW w:w="5000" w:type="pct"/>
        <w:tblInd w:w="108"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2132"/>
        <w:gridCol w:w="2131"/>
        <w:gridCol w:w="2329"/>
        <w:gridCol w:w="1933"/>
        <w:gridCol w:w="2131"/>
      </w:tblGrid>
      <w:tr w:rsidR="00F555D6" w:rsidRPr="005C3B55">
        <w:tc>
          <w:tcPr>
            <w:tcW w:w="1000" w:type="pct"/>
            <w:tcBorders>
              <w:top w:val="single" w:sz="18" w:space="0" w:color="auto"/>
              <w:left w:val="single" w:sz="18" w:space="0" w:color="auto"/>
              <w:bottom w:val="single" w:sz="18" w:space="0" w:color="auto"/>
              <w:right w:val="single" w:sz="18" w:space="0" w:color="auto"/>
            </w:tcBorders>
            <w:shd w:val="clear" w:color="auto" w:fill="D9D9D9"/>
            <w:vAlign w:val="center"/>
          </w:tcPr>
          <w:p w:rsidR="00F555D6" w:rsidRPr="005C3B55" w:rsidRDefault="00F555D6" w:rsidP="00F555D6">
            <w:r w:rsidRPr="005C3B55">
              <w:rPr>
                <w:b/>
                <w:sz w:val="20"/>
              </w:rPr>
              <w:t>Requirement</w:t>
            </w:r>
          </w:p>
        </w:tc>
        <w:tc>
          <w:tcPr>
            <w:tcW w:w="1000" w:type="pct"/>
            <w:tcBorders>
              <w:top w:val="single" w:sz="18" w:space="0" w:color="auto"/>
              <w:left w:val="single" w:sz="18" w:space="0" w:color="auto"/>
              <w:bottom w:val="single" w:sz="18" w:space="0" w:color="auto"/>
              <w:right w:val="single" w:sz="18" w:space="0" w:color="auto"/>
            </w:tcBorders>
            <w:shd w:val="clear" w:color="auto" w:fill="D9D9D9"/>
            <w:vAlign w:val="center"/>
          </w:tcPr>
          <w:p w:rsidR="00F555D6" w:rsidRPr="005C3B55" w:rsidRDefault="00F555D6" w:rsidP="00F555D6">
            <w:pPr>
              <w:autoSpaceDE w:val="0"/>
              <w:autoSpaceDN w:val="0"/>
              <w:adjustRightInd w:val="0"/>
              <w:jc w:val="right"/>
            </w:pPr>
            <w:r w:rsidRPr="005C3B55">
              <w:rPr>
                <w:b/>
                <w:sz w:val="20"/>
              </w:rPr>
              <w:t>Calculated payment amount as per model calculation</w:t>
            </w:r>
          </w:p>
        </w:tc>
        <w:tc>
          <w:tcPr>
            <w:tcW w:w="1093" w:type="pct"/>
            <w:tcBorders>
              <w:top w:val="single" w:sz="18" w:space="0" w:color="auto"/>
              <w:left w:val="single" w:sz="18" w:space="0" w:color="auto"/>
              <w:bottom w:val="single" w:sz="18" w:space="0" w:color="auto"/>
              <w:right w:val="single" w:sz="18" w:space="0" w:color="auto"/>
            </w:tcBorders>
            <w:shd w:val="clear" w:color="auto" w:fill="D9D9D9"/>
            <w:vAlign w:val="center"/>
          </w:tcPr>
          <w:p w:rsidR="00F555D6" w:rsidRPr="005C3B55" w:rsidRDefault="00F555D6" w:rsidP="00F555D6">
            <w:pPr>
              <w:autoSpaceDE w:val="0"/>
              <w:autoSpaceDN w:val="0"/>
              <w:adjustRightInd w:val="0"/>
              <w:jc w:val="right"/>
            </w:pPr>
            <w:r w:rsidRPr="005C3B55">
              <w:rPr>
                <w:b/>
                <w:sz w:val="20"/>
              </w:rPr>
              <w:t>Highest possible payment as per Annex II to Regulation (EU) No 1305/2013</w:t>
            </w:r>
          </w:p>
        </w:tc>
        <w:tc>
          <w:tcPr>
            <w:tcW w:w="907" w:type="pct"/>
            <w:tcBorders>
              <w:top w:val="single" w:sz="18" w:space="0" w:color="auto"/>
              <w:left w:val="single" w:sz="18" w:space="0" w:color="auto"/>
              <w:bottom w:val="single" w:sz="18" w:space="0" w:color="auto"/>
              <w:right w:val="single" w:sz="18" w:space="0" w:color="auto"/>
            </w:tcBorders>
            <w:shd w:val="clear" w:color="auto" w:fill="D9D9D9"/>
            <w:vAlign w:val="center"/>
          </w:tcPr>
          <w:p w:rsidR="00F555D6" w:rsidRPr="005C3B55" w:rsidRDefault="00F555D6" w:rsidP="00F555D6">
            <w:pPr>
              <w:autoSpaceDE w:val="0"/>
              <w:autoSpaceDN w:val="0"/>
              <w:adjustRightInd w:val="0"/>
              <w:jc w:val="right"/>
            </w:pPr>
            <w:r w:rsidRPr="005C3B55">
              <w:rPr>
                <w:b/>
                <w:sz w:val="20"/>
              </w:rPr>
              <w:t>Highest possible amount</w:t>
            </w:r>
          </w:p>
        </w:tc>
        <w:tc>
          <w:tcPr>
            <w:tcW w:w="1000" w:type="pct"/>
            <w:tcBorders>
              <w:top w:val="single" w:sz="18" w:space="0" w:color="auto"/>
              <w:left w:val="single" w:sz="18" w:space="0" w:color="auto"/>
              <w:bottom w:val="single" w:sz="18" w:space="0" w:color="auto"/>
              <w:right w:val="single" w:sz="18" w:space="0" w:color="auto"/>
            </w:tcBorders>
            <w:shd w:val="clear" w:color="auto" w:fill="D9D9D9"/>
            <w:vAlign w:val="center"/>
          </w:tcPr>
          <w:p w:rsidR="00F555D6" w:rsidRPr="005C3B55" w:rsidRDefault="00F555D6" w:rsidP="00F555D6">
            <w:pPr>
              <w:jc w:val="right"/>
            </w:pPr>
            <w:r w:rsidRPr="005C3B55">
              <w:rPr>
                <w:b/>
                <w:sz w:val="20"/>
              </w:rPr>
              <w:t>Payment (100% of payment amount calculated as per model calculation)</w:t>
            </w:r>
          </w:p>
        </w:tc>
      </w:tr>
      <w:tr w:rsidR="00F555D6" w:rsidRPr="005C3B55">
        <w:tc>
          <w:tcPr>
            <w:tcW w:w="1000" w:type="pct"/>
            <w:tcBorders>
              <w:top w:val="single" w:sz="18" w:space="0" w:color="auto"/>
              <w:left w:val="single" w:sz="18" w:space="0" w:color="auto"/>
              <w:bottom w:val="single" w:sz="18" w:space="0" w:color="auto"/>
              <w:right w:val="single" w:sz="18" w:space="0" w:color="auto"/>
            </w:tcBorders>
          </w:tcPr>
          <w:p w:rsidR="00F555D6" w:rsidRPr="005C3B55" w:rsidRDefault="00F555D6" w:rsidP="00F555D6">
            <w:pPr>
              <w:rPr>
                <w:sz w:val="20"/>
              </w:rPr>
            </w:pPr>
            <w:r w:rsidRPr="005C3B55">
              <w:rPr>
                <w:sz w:val="20"/>
              </w:rPr>
              <w:t>KRA_CRED</w:t>
            </w:r>
          </w:p>
        </w:tc>
        <w:tc>
          <w:tcPr>
            <w:tcW w:w="1000"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64.30</w:t>
            </w:r>
          </w:p>
        </w:tc>
        <w:tc>
          <w:tcPr>
            <w:tcW w:w="1093"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450</w:t>
            </w:r>
          </w:p>
        </w:tc>
        <w:tc>
          <w:tcPr>
            <w:tcW w:w="907"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64.30</w:t>
            </w:r>
          </w:p>
        </w:tc>
        <w:tc>
          <w:tcPr>
            <w:tcW w:w="1000"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64.30</w:t>
            </w:r>
          </w:p>
        </w:tc>
      </w:tr>
      <w:tr w:rsidR="00F555D6" w:rsidRPr="005C3B55">
        <w:tc>
          <w:tcPr>
            <w:tcW w:w="1000" w:type="pct"/>
            <w:tcBorders>
              <w:top w:val="single" w:sz="18" w:space="0" w:color="auto"/>
              <w:left w:val="single" w:sz="18" w:space="0" w:color="auto"/>
              <w:bottom w:val="single" w:sz="18" w:space="0" w:color="auto"/>
              <w:right w:val="single" w:sz="18" w:space="0" w:color="auto"/>
            </w:tcBorders>
          </w:tcPr>
          <w:p w:rsidR="00F555D6" w:rsidRPr="005C3B55" w:rsidRDefault="00F555D6" w:rsidP="00F555D6">
            <w:pPr>
              <w:rPr>
                <w:sz w:val="20"/>
              </w:rPr>
            </w:pPr>
            <w:r w:rsidRPr="005C3B55">
              <w:rPr>
                <w:sz w:val="20"/>
              </w:rPr>
              <w:t>KRA_PAST</w:t>
            </w:r>
          </w:p>
        </w:tc>
        <w:tc>
          <w:tcPr>
            <w:tcW w:w="1000"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112.60</w:t>
            </w:r>
          </w:p>
        </w:tc>
        <w:tc>
          <w:tcPr>
            <w:tcW w:w="1093"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450</w:t>
            </w:r>
          </w:p>
        </w:tc>
        <w:tc>
          <w:tcPr>
            <w:tcW w:w="907"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112.60</w:t>
            </w:r>
          </w:p>
        </w:tc>
        <w:tc>
          <w:tcPr>
            <w:tcW w:w="1000" w:type="pct"/>
            <w:tcBorders>
              <w:top w:val="single" w:sz="18" w:space="0" w:color="auto"/>
              <w:left w:val="single" w:sz="18" w:space="0" w:color="auto"/>
              <w:bottom w:val="single" w:sz="18" w:space="0" w:color="auto"/>
              <w:right w:val="single" w:sz="18" w:space="0" w:color="auto"/>
            </w:tcBorders>
            <w:vAlign w:val="center"/>
          </w:tcPr>
          <w:p w:rsidR="00F555D6" w:rsidRPr="005C3B55" w:rsidRDefault="00F555D6" w:rsidP="00F555D6">
            <w:pPr>
              <w:jc w:val="right"/>
              <w:rPr>
                <w:sz w:val="20"/>
              </w:rPr>
            </w:pPr>
            <w:r w:rsidRPr="005C3B55">
              <w:rPr>
                <w:sz w:val="20"/>
              </w:rPr>
              <w:t>112.60</w:t>
            </w:r>
          </w:p>
        </w:tc>
      </w:tr>
    </w:tbl>
    <w:p w:rsidR="00F555D6" w:rsidRPr="005C3B55" w:rsidRDefault="00F555D6" w:rsidP="00F555D6"/>
    <w:p w:rsidR="00F555D6" w:rsidRPr="005C3B55" w:rsidRDefault="00F555D6" w:rsidP="00F555D6">
      <w:pPr>
        <w:pStyle w:val="Naslov6"/>
        <w:tabs>
          <w:tab w:val="clear" w:pos="765"/>
        </w:tabs>
        <w:ind w:left="0" w:firstLine="0"/>
        <w:rPr>
          <w:szCs w:val="24"/>
          <w:lang w:val="en-GB"/>
        </w:rPr>
      </w:pPr>
      <w:r w:rsidRPr="005C3B55">
        <w:rPr>
          <w:noProof w:val="0"/>
          <w:szCs w:val="24"/>
          <w:lang w:val="en-GB"/>
        </w:rPr>
        <w:t>Verifiability and possibility of control of measures and/or type of operations</w:t>
      </w:r>
    </w:p>
    <w:p w:rsidR="00F555D6" w:rsidRPr="005C3B55" w:rsidRDefault="00F555D6" w:rsidP="00F555D6">
      <w:pPr>
        <w:pStyle w:val="Naslov7"/>
        <w:tabs>
          <w:tab w:val="clear" w:pos="765"/>
        </w:tabs>
        <w:ind w:left="0" w:firstLine="0"/>
        <w:rPr>
          <w:szCs w:val="24"/>
          <w:lang w:val="en-GB"/>
        </w:rPr>
      </w:pPr>
      <w:r w:rsidRPr="005C3B55">
        <w:rPr>
          <w:noProof w:val="0"/>
          <w:szCs w:val="24"/>
          <w:lang w:val="en-GB"/>
        </w:rPr>
        <w:t>Risks in the implementation of the measure</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b/>
                <w:szCs w:val="24"/>
              </w:rPr>
              <w:t>R5: Requirements which are difficult to verify and/or control</w:t>
            </w:r>
          </w:p>
          <w:p w:rsidR="00F555D6" w:rsidRPr="005C3B55" w:rsidRDefault="00F555D6" w:rsidP="00F555D6">
            <w:pPr>
              <w:spacing w:before="240" w:after="240" w:line="280" w:lineRule="auto"/>
              <w:rPr>
                <w:szCs w:val="24"/>
              </w:rPr>
            </w:pPr>
            <w:r w:rsidRPr="005C3B55">
              <w:rPr>
                <w:szCs w:val="24"/>
              </w:rPr>
              <w:t>Administrative control and on-the-spot control are feasible.</w:t>
            </w:r>
          </w:p>
          <w:p w:rsidR="00F555D6" w:rsidRPr="005C3B55" w:rsidRDefault="00F555D6" w:rsidP="00F555D6">
            <w:pPr>
              <w:spacing w:before="240" w:after="240" w:line="280" w:lineRule="auto"/>
              <w:rPr>
                <w:szCs w:val="24"/>
              </w:rPr>
            </w:pPr>
            <w:r w:rsidRPr="005C3B55">
              <w:rPr>
                <w:b/>
                <w:szCs w:val="24"/>
              </w:rPr>
              <w:t>R6: General conditions for implementation</w:t>
            </w:r>
          </w:p>
          <w:p w:rsidR="00F555D6" w:rsidRPr="005C3B55" w:rsidRDefault="00F555D6" w:rsidP="00F555D6">
            <w:pPr>
              <w:spacing w:before="240" w:after="240" w:line="280" w:lineRule="auto"/>
              <w:rPr>
                <w:szCs w:val="24"/>
              </w:rPr>
            </w:pPr>
            <w:r w:rsidRPr="005C3B55">
              <w:rPr>
                <w:szCs w:val="24"/>
              </w:rPr>
              <w:t>Ill-timed adoption of regulations which regulate payments for the M10 measure and which enable beneficiaries to be informed about the eligibility conditions for implementing this operation present a risk for the implementation of this measure.</w:t>
            </w:r>
          </w:p>
          <w:p w:rsidR="00F555D6" w:rsidRPr="005C3B55" w:rsidRDefault="00F555D6" w:rsidP="00F555D6">
            <w:pPr>
              <w:spacing w:before="240" w:after="240" w:line="280" w:lineRule="auto"/>
              <w:rPr>
                <w:szCs w:val="24"/>
              </w:rPr>
            </w:pPr>
            <w:r w:rsidRPr="005C3B55">
              <w:rPr>
                <w:b/>
                <w:szCs w:val="24"/>
              </w:rPr>
              <w:t>R8: IT systems</w:t>
            </w:r>
          </w:p>
          <w:p w:rsidR="00F555D6" w:rsidRPr="005C3B55" w:rsidRDefault="00F555D6" w:rsidP="00F555D6">
            <w:pPr>
              <w:spacing w:before="240" w:after="240" w:line="280" w:lineRule="auto"/>
              <w:rPr>
                <w:szCs w:val="24"/>
              </w:rPr>
            </w:pPr>
            <w:r w:rsidRPr="005C3B55">
              <w:rPr>
                <w:szCs w:val="24"/>
              </w:rPr>
              <w:t>Unsuitable connectivity and arrangement of certain databases and insufficient administrative controls when entering the operation ‘Mountain pasture’.</w:t>
            </w:r>
          </w:p>
          <w:p w:rsidR="00F555D6" w:rsidRPr="005C3B55" w:rsidRDefault="00F555D6" w:rsidP="00F555D6">
            <w:pPr>
              <w:spacing w:before="240" w:after="240" w:line="280" w:lineRule="auto"/>
              <w:rPr>
                <w:szCs w:val="24"/>
              </w:rPr>
            </w:pPr>
            <w:r w:rsidRPr="005C3B55">
              <w:rPr>
                <w:b/>
                <w:szCs w:val="24"/>
              </w:rPr>
              <w:t>R9: Requests for payment</w:t>
            </w:r>
          </w:p>
          <w:p w:rsidR="00F555D6" w:rsidRPr="005C3B55" w:rsidRDefault="00F555D6" w:rsidP="00F555D6">
            <w:pPr>
              <w:spacing w:before="240" w:after="240" w:line="280" w:lineRule="auto"/>
              <w:rPr>
                <w:szCs w:val="24"/>
              </w:rPr>
            </w:pPr>
            <w:r w:rsidRPr="005C3B55">
              <w:rPr>
                <w:szCs w:val="24"/>
              </w:rPr>
              <w:t>Lack of, and delayed, information and insufficient knowledge of the operation ‘Mountain pasture’, poor familiarisation with the procedure for submitting the application and the beneficiary’s incorrect reporting about the size of surfaces.</w:t>
            </w:r>
          </w:p>
          <w:p w:rsidR="00F555D6" w:rsidRPr="005C3B55" w:rsidRDefault="00F555D6" w:rsidP="00F555D6">
            <w:pPr>
              <w:pStyle w:val="Telobesedila"/>
              <w:rPr>
                <w:szCs w:val="24"/>
              </w:rPr>
            </w:pPr>
          </w:p>
        </w:tc>
      </w:tr>
    </w:tbl>
    <w:p w:rsidR="00F555D6" w:rsidRPr="005C3B55" w:rsidRDefault="00F555D6" w:rsidP="00F555D6">
      <w:pPr>
        <w:pStyle w:val="Naslov7"/>
        <w:tabs>
          <w:tab w:val="clear" w:pos="765"/>
        </w:tabs>
        <w:ind w:left="0" w:firstLine="0"/>
        <w:rPr>
          <w:szCs w:val="24"/>
          <w:lang w:val="en-GB"/>
        </w:rPr>
      </w:pPr>
      <w:r w:rsidRPr="005C3B55">
        <w:rPr>
          <w:noProof w:val="0"/>
          <w:szCs w:val="24"/>
          <w:lang w:val="en-GB"/>
        </w:rPr>
        <w:t>Mitigation measures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b/>
                <w:szCs w:val="24"/>
              </w:rPr>
              <w:t>R5: Requirements which are difficult to verify and/or control</w:t>
            </w:r>
          </w:p>
          <w:p w:rsidR="00F555D6" w:rsidRPr="005C3B55" w:rsidRDefault="00F555D6" w:rsidP="00F555D6">
            <w:pPr>
              <w:spacing w:before="240" w:after="240" w:line="280" w:lineRule="auto"/>
              <w:rPr>
                <w:szCs w:val="24"/>
              </w:rPr>
            </w:pPr>
            <w:r w:rsidRPr="005C3B55">
              <w:rPr>
                <w:szCs w:val="24"/>
              </w:rPr>
              <w:t>Administrative control will be upgraded accordingly for certain requirements (to control the number of animals and the record of farm animals).</w:t>
            </w:r>
          </w:p>
          <w:p w:rsidR="00F555D6" w:rsidRPr="005C3B55" w:rsidRDefault="00F555D6" w:rsidP="00F555D6">
            <w:pPr>
              <w:spacing w:before="240" w:after="240" w:line="280" w:lineRule="auto"/>
              <w:rPr>
                <w:szCs w:val="24"/>
              </w:rPr>
            </w:pPr>
            <w:r w:rsidRPr="005C3B55">
              <w:rPr>
                <w:szCs w:val="24"/>
              </w:rPr>
              <w:t>Requirements for the implementation of measure M10 which cannot be verified administratively will be verified or controlled on the spot. On-the-spot control will verify all available records and evidence (diary of the pasture, scheme of paddocks, agreement with a shepherd).</w:t>
            </w:r>
          </w:p>
          <w:p w:rsidR="00F555D6" w:rsidRPr="005C3B55" w:rsidRDefault="00F555D6" w:rsidP="00F555D6">
            <w:pPr>
              <w:spacing w:before="240" w:after="240" w:line="280" w:lineRule="auto"/>
              <w:rPr>
                <w:szCs w:val="24"/>
              </w:rPr>
            </w:pPr>
            <w:r w:rsidRPr="005C3B55">
              <w:rPr>
                <w:b/>
                <w:szCs w:val="24"/>
              </w:rPr>
              <w:t>R6: General conditions for implementation</w:t>
            </w:r>
          </w:p>
          <w:p w:rsidR="00F555D6" w:rsidRPr="005C3B55" w:rsidRDefault="00F555D6" w:rsidP="00F555D6">
            <w:pPr>
              <w:spacing w:before="240" w:after="240" w:line="280" w:lineRule="auto"/>
              <w:rPr>
                <w:szCs w:val="24"/>
              </w:rPr>
            </w:pPr>
            <w:r w:rsidRPr="005C3B55">
              <w:rPr>
                <w:szCs w:val="24"/>
              </w:rPr>
              <w:t>Prior to entering in the operation ‘Mountain pasture’, a beneficiary will have to undergo a mandatory six-hour training which is one of the eligibility conditions. At the training, the beneficiary will become acquainted with eligibility conditions for entering in the operation and the requirements for the implementation of the operation, including the national regulation which will regulate payments for the M10 measure.</w:t>
            </w:r>
          </w:p>
          <w:p w:rsidR="00F555D6" w:rsidRPr="005C3B55" w:rsidRDefault="00F555D6" w:rsidP="00F555D6">
            <w:pPr>
              <w:spacing w:before="240" w:after="240" w:line="280" w:lineRule="auto"/>
              <w:rPr>
                <w:szCs w:val="24"/>
              </w:rPr>
            </w:pPr>
            <w:r w:rsidRPr="005C3B55">
              <w:rPr>
                <w:szCs w:val="24"/>
              </w:rPr>
              <w:t>After the training, the beneficiary will be able to prepare a programme of activities of the agricultural holding in which it will determine which operation and requirements within the M10 measure it will implement.</w:t>
            </w:r>
          </w:p>
          <w:p w:rsidR="00F555D6" w:rsidRPr="005C3B55" w:rsidRDefault="00F555D6" w:rsidP="00F555D6">
            <w:pPr>
              <w:spacing w:before="240" w:after="240" w:line="280" w:lineRule="auto"/>
              <w:rPr>
                <w:szCs w:val="24"/>
              </w:rPr>
            </w:pPr>
            <w:r w:rsidRPr="005C3B55">
              <w:rPr>
                <w:b/>
                <w:szCs w:val="24"/>
              </w:rPr>
              <w:t>R8: IT systems</w:t>
            </w:r>
          </w:p>
          <w:p w:rsidR="00F555D6" w:rsidRPr="005C3B55" w:rsidRDefault="00F555D6" w:rsidP="00F555D6">
            <w:pPr>
              <w:spacing w:before="240" w:after="240" w:line="280" w:lineRule="auto"/>
              <w:rPr>
                <w:szCs w:val="24"/>
              </w:rPr>
            </w:pPr>
            <w:r w:rsidRPr="005C3B55">
              <w:rPr>
                <w:szCs w:val="24"/>
              </w:rPr>
              <w:t>Suitable connections will be established and several databases will be arranged (registers, records, etc.).</w:t>
            </w:r>
          </w:p>
          <w:p w:rsidR="00F555D6" w:rsidRPr="005C3B55" w:rsidRDefault="00F555D6" w:rsidP="00F555D6">
            <w:pPr>
              <w:spacing w:before="240" w:after="240" w:line="280" w:lineRule="auto"/>
              <w:rPr>
                <w:szCs w:val="24"/>
              </w:rPr>
            </w:pPr>
            <w:r w:rsidRPr="005C3B55">
              <w:rPr>
                <w:szCs w:val="24"/>
              </w:rPr>
              <w:t>An application enabling cross-checking of data from different databases will be established.</w:t>
            </w:r>
          </w:p>
          <w:p w:rsidR="00F555D6" w:rsidRPr="005C3B55" w:rsidRDefault="00F555D6" w:rsidP="00F555D6">
            <w:pPr>
              <w:spacing w:before="240" w:after="240" w:line="280" w:lineRule="auto"/>
              <w:rPr>
                <w:szCs w:val="24"/>
              </w:rPr>
            </w:pPr>
            <w:r w:rsidRPr="005C3B55">
              <w:rPr>
                <w:b/>
                <w:szCs w:val="24"/>
              </w:rPr>
              <w:t>R9: Requests for payment</w:t>
            </w:r>
          </w:p>
          <w:p w:rsidR="00F555D6" w:rsidRPr="005C3B55" w:rsidRDefault="00F555D6" w:rsidP="00F555D6">
            <w:pPr>
              <w:spacing w:before="240" w:after="240" w:line="280" w:lineRule="auto"/>
              <w:rPr>
                <w:szCs w:val="24"/>
              </w:rPr>
            </w:pPr>
            <w:r w:rsidRPr="005C3B55">
              <w:rPr>
                <w:szCs w:val="24"/>
              </w:rPr>
              <w:t>Mandatory annual four-hour training and mandatory use of advisory services at least once in the first three years of the commitment are introduced in order for beneficiaries to be suitably informed about all conditions and requirements for the implementation of the M10 measure. Regular annual informing of beneficiaries about their commitments related to the implementation of the M10 measure as part of the annual campaign for implementing requests for agricultural policy measures during the year and also within the scope of specific and purpose-oriented informing of beneficiaries is envisaged</w:t>
            </w:r>
            <w:r w:rsidRPr="005C3B55">
              <w:rPr>
                <w:rFonts w:ascii="TimesNewRoman" w:hAnsi="TimesNewRoman"/>
                <w:szCs w:val="24"/>
              </w:rPr>
              <w:t>.</w:t>
            </w:r>
            <w:r w:rsidRPr="005C3B55">
              <w:rPr>
                <w:szCs w:val="24"/>
              </w:rPr>
              <w:t xml:space="preserve"> On the basis of the programme of activities, the request for payment will be submitted electronically on prescribed forms, by means of which a beneficiary will define for which requirements within individual operations of the M10 measure it will request payment.</w:t>
            </w:r>
          </w:p>
          <w:p w:rsidR="00F555D6" w:rsidRPr="005C3B55" w:rsidRDefault="00F555D6" w:rsidP="00F555D6">
            <w:pPr>
              <w:spacing w:before="240" w:after="240" w:line="280" w:lineRule="auto"/>
              <w:rPr>
                <w:szCs w:val="24"/>
              </w:rPr>
            </w:pPr>
            <w:r w:rsidRPr="005C3B55">
              <w:rPr>
                <w:szCs w:val="24"/>
              </w:rPr>
              <w:t>The upgrading of the IT system for administrative control will be implemented, which will allow certain verifications and controls already upon the submission of the request for payment (size of surface, suitability of areas, suitability of combinations of requests and operations, suitability of agricultural plant and suitability of use as per individual register, suitability of animals as per the register of farm animas, etc.).</w:t>
            </w:r>
          </w:p>
          <w:p w:rsidR="00F555D6" w:rsidRPr="005C3B55" w:rsidRDefault="00F555D6" w:rsidP="00F555D6">
            <w:pPr>
              <w:spacing w:before="240" w:after="240" w:line="280" w:lineRule="auto"/>
              <w:rPr>
                <w:szCs w:val="24"/>
              </w:rPr>
            </w:pPr>
            <w:r w:rsidRPr="005C3B55">
              <w:rPr>
                <w:szCs w:val="24"/>
              </w:rPr>
              <w:t>If a beneficiary fails to meet the eligibility conditions for entering measure M10, they will be alerted to the shortcomings which they will be able to eliminate by the prescribed deadline; otherwise, it will not be possible to submit a request for the payment of measure M10.</w:t>
            </w:r>
          </w:p>
          <w:p w:rsidR="00F555D6" w:rsidRPr="005C3B55" w:rsidRDefault="00F555D6" w:rsidP="00F555D6">
            <w:pPr>
              <w:spacing w:before="240" w:after="240" w:line="280" w:lineRule="auto"/>
              <w:rPr>
                <w:szCs w:val="24"/>
              </w:rPr>
            </w:pPr>
            <w:r w:rsidRPr="005C3B55">
              <w:rPr>
                <w:szCs w:val="24"/>
              </w:rPr>
              <w:t>Unpermitted combinations between operations and unpermitted combinations of this operation with requirements within other operations of the M10 measure will be disabled.</w:t>
            </w:r>
          </w:p>
          <w:p w:rsidR="00F555D6" w:rsidRPr="005C3B55" w:rsidRDefault="00F555D6" w:rsidP="00F555D6">
            <w:pPr>
              <w:spacing w:before="240" w:after="240" w:line="280" w:lineRule="auto"/>
              <w:rPr>
                <w:szCs w:val="24"/>
              </w:rPr>
            </w:pPr>
            <w:r w:rsidRPr="005C3B55">
              <w:rPr>
                <w:szCs w:val="24"/>
              </w:rPr>
              <w:t>A beneficiary who will also be included in the implementation of the M11 measure will not have the opportunity to submit the request for unauthorised combinations of this measure with the M10 measure.</w:t>
            </w:r>
          </w:p>
          <w:p w:rsidR="00F555D6" w:rsidRPr="005C3B55" w:rsidRDefault="00F555D6" w:rsidP="00F555D6">
            <w:pPr>
              <w:pStyle w:val="Telobesedila"/>
              <w:rPr>
                <w:szCs w:val="24"/>
              </w:rPr>
            </w:pPr>
          </w:p>
        </w:tc>
      </w:tr>
    </w:tbl>
    <w:p w:rsidR="00F555D6" w:rsidRPr="005C3B55" w:rsidRDefault="00F555D6" w:rsidP="00F555D6">
      <w:pPr>
        <w:pStyle w:val="Naslov7"/>
        <w:tabs>
          <w:tab w:val="clear" w:pos="765"/>
        </w:tabs>
        <w:ind w:left="0" w:firstLine="0"/>
        <w:rPr>
          <w:szCs w:val="24"/>
          <w:lang w:val="en-GB"/>
        </w:rPr>
      </w:pPr>
      <w:r w:rsidRPr="005C3B55">
        <w:rPr>
          <w:noProof w:val="0"/>
          <w:szCs w:val="24"/>
          <w:lang w:val="en-GB"/>
        </w:rPr>
        <w:t>General assessment of the measure</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 xml:space="preserve">Described in Chapter </w:t>
            </w:r>
            <w:r w:rsidRPr="005C3B55">
              <w:rPr>
                <w:i/>
                <w:szCs w:val="24"/>
              </w:rPr>
              <w:t>8.2.9.4.3 General assessment of the measure</w:t>
            </w:r>
            <w:r w:rsidRPr="005C3B55">
              <w:rPr>
                <w:szCs w:val="24"/>
              </w:rPr>
              <w:t>.</w:t>
            </w:r>
          </w:p>
          <w:p w:rsidR="00F555D6" w:rsidRPr="005C3B55" w:rsidRDefault="00F555D6" w:rsidP="00F555D6">
            <w:pPr>
              <w:pStyle w:val="Telobesedila"/>
              <w:rPr>
                <w:szCs w:val="24"/>
              </w:rPr>
            </w:pPr>
          </w:p>
        </w:tc>
      </w:tr>
    </w:tbl>
    <w:p w:rsidR="00F555D6" w:rsidRPr="005C3B55" w:rsidRDefault="00F555D6" w:rsidP="00F555D6">
      <w:pPr>
        <w:pStyle w:val="Naslov7"/>
        <w:tabs>
          <w:tab w:val="clear" w:pos="765"/>
        </w:tabs>
        <w:ind w:left="0" w:firstLine="0"/>
        <w:rPr>
          <w:szCs w:val="24"/>
          <w:lang w:val="en-GB"/>
        </w:rPr>
      </w:pPr>
      <w:r w:rsidRPr="005C3B55">
        <w:rPr>
          <w:noProof w:val="0"/>
          <w:szCs w:val="24"/>
          <w:lang w:val="en-GB"/>
        </w:rPr>
        <w:t>Agri-environment-climate commitments</w:t>
      </w:r>
    </w:p>
    <w:p w:rsidR="00F555D6" w:rsidRPr="005C3B55" w:rsidRDefault="00F555D6" w:rsidP="00F555D6">
      <w:pPr>
        <w:pStyle w:val="Naslov8"/>
        <w:tabs>
          <w:tab w:val="clear" w:pos="765"/>
        </w:tabs>
        <w:ind w:left="0" w:firstLine="0"/>
        <w:rPr>
          <w:b w:val="0"/>
          <w:szCs w:val="24"/>
          <w:lang w:val="en-GB"/>
        </w:rPr>
      </w:pPr>
      <w:r w:rsidRPr="005C3B55">
        <w:rPr>
          <w:b w:val="0"/>
          <w:noProof w:val="0"/>
          <w:szCs w:val="24"/>
          <w:lang w:val="en-GB"/>
        </w:rPr>
        <w:t>KRA_CRED:</w:t>
      </w:r>
      <w:r w:rsidRPr="005C3B55">
        <w:rPr>
          <w:b w:val="0"/>
          <w:szCs w:val="24"/>
          <w:lang w:val="en-GB"/>
        </w:rPr>
        <w:t xml:space="preserve"> </w:t>
      </w:r>
      <w:r w:rsidRPr="005C3B55">
        <w:rPr>
          <w:b w:val="0"/>
          <w:noProof w:val="0"/>
          <w:szCs w:val="24"/>
          <w:lang w:val="en-GB"/>
        </w:rPr>
        <w:t>Mountain pasture on paddocks</w:t>
      </w:r>
    </w:p>
    <w:p w:rsidR="00F555D6" w:rsidRPr="005C3B55" w:rsidRDefault="00F555D6" w:rsidP="00F555D6">
      <w:pPr>
        <w:pStyle w:val="Naslov9"/>
        <w:tabs>
          <w:tab w:val="clear" w:pos="765"/>
        </w:tabs>
        <w:ind w:left="0" w:firstLine="0"/>
        <w:rPr>
          <w:szCs w:val="24"/>
          <w:lang w:val="en-GB"/>
        </w:rPr>
      </w:pPr>
      <w:r w:rsidRPr="005C3B55">
        <w:rPr>
          <w:noProof w:val="0"/>
          <w:szCs w:val="24"/>
          <w:lang w:val="en-GB"/>
        </w:rPr>
        <w:t>Methods of commitment verification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Administrative control:</w:t>
            </w:r>
          </w:p>
          <w:p w:rsidR="00F555D6" w:rsidRPr="005C3B55" w:rsidRDefault="00F555D6" w:rsidP="00F555D6">
            <w:pPr>
              <w:numPr>
                <w:ilvl w:val="0"/>
                <w:numId w:val="796"/>
              </w:numPr>
              <w:spacing w:before="240" w:after="0"/>
              <w:ind w:hanging="290"/>
              <w:jc w:val="left"/>
              <w:rPr>
                <w:szCs w:val="24"/>
              </w:rPr>
            </w:pPr>
            <w:r w:rsidRPr="005C3B55">
              <w:rPr>
                <w:szCs w:val="24"/>
              </w:rPr>
              <w:t>suitability of the agricultural plant through collective application;</w:t>
            </w:r>
          </w:p>
          <w:p w:rsidR="00F555D6" w:rsidRPr="005C3B55" w:rsidRDefault="00F555D6" w:rsidP="00F555D6">
            <w:pPr>
              <w:numPr>
                <w:ilvl w:val="0"/>
                <w:numId w:val="796"/>
              </w:numPr>
              <w:spacing w:before="0" w:after="240"/>
              <w:ind w:hanging="290"/>
              <w:jc w:val="left"/>
              <w:rPr>
                <w:szCs w:val="24"/>
              </w:rPr>
            </w:pPr>
            <w:r w:rsidRPr="005C3B55">
              <w:rPr>
                <w:szCs w:val="24"/>
              </w:rPr>
              <w:t>control of livestock density through collective applications, registers, registers of farm animals.</w:t>
            </w:r>
          </w:p>
          <w:p w:rsidR="00F555D6" w:rsidRPr="005C3B55" w:rsidRDefault="00F555D6" w:rsidP="00F555D6">
            <w:pPr>
              <w:spacing w:before="240" w:after="240" w:line="280" w:lineRule="auto"/>
              <w:rPr>
                <w:szCs w:val="24"/>
              </w:rPr>
            </w:pPr>
            <w:r w:rsidRPr="005C3B55">
              <w:rPr>
                <w:szCs w:val="24"/>
              </w:rPr>
              <w:t>Registers/records:</w:t>
            </w:r>
          </w:p>
          <w:p w:rsidR="00F555D6" w:rsidRPr="005C3B55" w:rsidRDefault="00F555D6" w:rsidP="00F555D6">
            <w:pPr>
              <w:numPr>
                <w:ilvl w:val="0"/>
                <w:numId w:val="797"/>
              </w:numPr>
              <w:spacing w:before="240" w:after="0"/>
              <w:ind w:hanging="290"/>
              <w:jc w:val="left"/>
              <w:rPr>
                <w:szCs w:val="24"/>
              </w:rPr>
            </w:pPr>
            <w:r w:rsidRPr="005C3B55">
              <w:rPr>
                <w:szCs w:val="24"/>
              </w:rPr>
              <w:t>register of agricultural holdings;</w:t>
            </w:r>
          </w:p>
          <w:p w:rsidR="00F555D6" w:rsidRPr="005C3B55" w:rsidRDefault="00F555D6" w:rsidP="00F555D6">
            <w:pPr>
              <w:numPr>
                <w:ilvl w:val="0"/>
                <w:numId w:val="797"/>
              </w:numPr>
              <w:spacing w:before="0" w:after="0"/>
              <w:ind w:hanging="290"/>
              <w:jc w:val="left"/>
              <w:rPr>
                <w:szCs w:val="24"/>
              </w:rPr>
            </w:pPr>
            <w:r w:rsidRPr="005C3B55">
              <w:rPr>
                <w:szCs w:val="24"/>
              </w:rPr>
              <w:t>graphical agricultural unit of agricultural holding (GERK);</w:t>
            </w:r>
          </w:p>
          <w:p w:rsidR="00F555D6" w:rsidRPr="005C3B55" w:rsidRDefault="00F555D6" w:rsidP="00F555D6">
            <w:pPr>
              <w:numPr>
                <w:ilvl w:val="0"/>
                <w:numId w:val="797"/>
              </w:numPr>
              <w:spacing w:before="0" w:after="240"/>
              <w:ind w:hanging="290"/>
              <w:jc w:val="left"/>
              <w:rPr>
                <w:szCs w:val="24"/>
              </w:rPr>
            </w:pPr>
            <w:r w:rsidRPr="005C3B55">
              <w:rPr>
                <w:szCs w:val="24"/>
              </w:rPr>
              <w:t>registers, registers of farm animals.</w:t>
            </w:r>
          </w:p>
          <w:p w:rsidR="00F555D6" w:rsidRPr="005C3B55" w:rsidRDefault="00F555D6" w:rsidP="00F555D6">
            <w:pPr>
              <w:spacing w:before="240" w:after="240" w:line="280" w:lineRule="auto"/>
              <w:rPr>
                <w:szCs w:val="24"/>
              </w:rPr>
            </w:pPr>
            <w:r w:rsidRPr="005C3B55">
              <w:rPr>
                <w:szCs w:val="24"/>
              </w:rPr>
              <w:t>On-site control:</w:t>
            </w:r>
          </w:p>
          <w:p w:rsidR="00F555D6" w:rsidRPr="005C3B55" w:rsidRDefault="00F555D6" w:rsidP="00F555D6">
            <w:pPr>
              <w:numPr>
                <w:ilvl w:val="0"/>
                <w:numId w:val="798"/>
              </w:numPr>
              <w:spacing w:before="240" w:after="0"/>
              <w:ind w:hanging="290"/>
              <w:jc w:val="left"/>
              <w:rPr>
                <w:szCs w:val="24"/>
              </w:rPr>
            </w:pPr>
            <w:r w:rsidRPr="005C3B55">
              <w:rPr>
                <w:szCs w:val="24"/>
              </w:rPr>
              <w:t>records on works;</w:t>
            </w:r>
          </w:p>
          <w:p w:rsidR="00F555D6" w:rsidRPr="005C3B55" w:rsidRDefault="00F555D6" w:rsidP="00F555D6">
            <w:pPr>
              <w:numPr>
                <w:ilvl w:val="0"/>
                <w:numId w:val="798"/>
              </w:numPr>
              <w:spacing w:before="0" w:after="0"/>
              <w:ind w:hanging="290"/>
              <w:jc w:val="left"/>
              <w:rPr>
                <w:szCs w:val="24"/>
              </w:rPr>
            </w:pPr>
            <w:r w:rsidRPr="005C3B55">
              <w:rPr>
                <w:szCs w:val="24"/>
              </w:rPr>
              <w:t>control of livestock density by counting animals and reviewing surfaces;</w:t>
            </w:r>
          </w:p>
          <w:p w:rsidR="00F555D6" w:rsidRPr="005C3B55" w:rsidRDefault="00F555D6" w:rsidP="00F555D6">
            <w:pPr>
              <w:numPr>
                <w:ilvl w:val="0"/>
                <w:numId w:val="798"/>
              </w:numPr>
              <w:spacing w:before="0" w:after="0"/>
              <w:ind w:hanging="290"/>
              <w:jc w:val="left"/>
              <w:rPr>
                <w:szCs w:val="24"/>
              </w:rPr>
            </w:pPr>
            <w:r w:rsidRPr="005C3B55">
              <w:rPr>
                <w:szCs w:val="24"/>
              </w:rPr>
              <w:t>grazing log and scheme of paddocks;</w:t>
            </w:r>
          </w:p>
          <w:p w:rsidR="00F555D6" w:rsidRPr="005C3B55" w:rsidRDefault="00F555D6" w:rsidP="00F555D6">
            <w:pPr>
              <w:numPr>
                <w:ilvl w:val="0"/>
                <w:numId w:val="798"/>
              </w:numPr>
              <w:spacing w:before="0" w:after="240"/>
              <w:ind w:hanging="290"/>
              <w:jc w:val="left"/>
              <w:rPr>
                <w:szCs w:val="24"/>
              </w:rPr>
            </w:pPr>
            <w:r w:rsidRPr="005C3B55">
              <w:rPr>
                <w:szCs w:val="24"/>
              </w:rPr>
              <w:t>review of the mountain agricultural holding.</w:t>
            </w:r>
          </w:p>
          <w:p w:rsidR="00F555D6" w:rsidRPr="005C3B55" w:rsidRDefault="00F555D6" w:rsidP="00F555D6">
            <w:pPr>
              <w:pStyle w:val="Telobesedila"/>
              <w:rPr>
                <w:szCs w:val="24"/>
              </w:rPr>
            </w:pPr>
          </w:p>
        </w:tc>
      </w:tr>
    </w:tbl>
    <w:p w:rsidR="00F555D6" w:rsidRPr="005C3B55" w:rsidRDefault="00F555D6" w:rsidP="00F555D6">
      <w:pPr>
        <w:pStyle w:val="Naslov8"/>
        <w:tabs>
          <w:tab w:val="clear" w:pos="765"/>
        </w:tabs>
        <w:ind w:left="0" w:firstLine="0"/>
        <w:rPr>
          <w:b w:val="0"/>
          <w:szCs w:val="24"/>
          <w:lang w:val="en-GB"/>
        </w:rPr>
      </w:pPr>
      <w:r w:rsidRPr="005C3B55">
        <w:rPr>
          <w:b w:val="0"/>
          <w:noProof w:val="0"/>
          <w:szCs w:val="24"/>
          <w:lang w:val="en-GB"/>
        </w:rPr>
        <w:t>KRA_PAST:</w:t>
      </w:r>
      <w:r w:rsidRPr="005C3B55">
        <w:rPr>
          <w:b w:val="0"/>
          <w:szCs w:val="24"/>
          <w:lang w:val="en-GB"/>
        </w:rPr>
        <w:t xml:space="preserve"> </w:t>
      </w:r>
      <w:r w:rsidRPr="005C3B55">
        <w:rPr>
          <w:b w:val="0"/>
          <w:noProof w:val="0"/>
          <w:szCs w:val="24"/>
          <w:lang w:val="en-GB"/>
        </w:rPr>
        <w:t>Mountain pasture with a shepherd</w:t>
      </w:r>
    </w:p>
    <w:p w:rsidR="00F555D6" w:rsidRPr="005C3B55" w:rsidRDefault="00F555D6" w:rsidP="00F555D6">
      <w:pPr>
        <w:pStyle w:val="Naslov9"/>
        <w:tabs>
          <w:tab w:val="clear" w:pos="765"/>
        </w:tabs>
        <w:ind w:left="0" w:firstLine="0"/>
        <w:rPr>
          <w:szCs w:val="24"/>
          <w:lang w:val="en-GB"/>
        </w:rPr>
      </w:pPr>
      <w:r w:rsidRPr="005C3B55">
        <w:rPr>
          <w:noProof w:val="0"/>
          <w:szCs w:val="24"/>
          <w:lang w:val="en-GB"/>
        </w:rPr>
        <w:t>Methods of commitment verification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Administrative control:</w:t>
            </w:r>
          </w:p>
          <w:p w:rsidR="00F555D6" w:rsidRPr="005C3B55" w:rsidRDefault="00F555D6" w:rsidP="00F555D6">
            <w:pPr>
              <w:numPr>
                <w:ilvl w:val="0"/>
                <w:numId w:val="799"/>
              </w:numPr>
              <w:spacing w:before="240" w:after="0"/>
              <w:ind w:hanging="290"/>
              <w:jc w:val="left"/>
              <w:rPr>
                <w:szCs w:val="24"/>
              </w:rPr>
            </w:pPr>
            <w:r w:rsidRPr="005C3B55">
              <w:rPr>
                <w:szCs w:val="24"/>
              </w:rPr>
              <w:t>suitability of the agricultural plant through collective application;</w:t>
            </w:r>
          </w:p>
          <w:p w:rsidR="00F555D6" w:rsidRPr="005C3B55" w:rsidRDefault="00F555D6" w:rsidP="00F555D6">
            <w:pPr>
              <w:numPr>
                <w:ilvl w:val="0"/>
                <w:numId w:val="799"/>
              </w:numPr>
              <w:spacing w:before="0" w:after="240"/>
              <w:ind w:hanging="290"/>
              <w:jc w:val="left"/>
              <w:rPr>
                <w:szCs w:val="24"/>
              </w:rPr>
            </w:pPr>
            <w:r w:rsidRPr="005C3B55">
              <w:rPr>
                <w:szCs w:val="24"/>
              </w:rPr>
              <w:t>control of livestock density through collective applications, registers, registers of farm animals.</w:t>
            </w:r>
          </w:p>
          <w:p w:rsidR="00F555D6" w:rsidRPr="005C3B55" w:rsidRDefault="00F555D6" w:rsidP="00F555D6">
            <w:pPr>
              <w:spacing w:before="240" w:after="240" w:line="280" w:lineRule="auto"/>
              <w:rPr>
                <w:szCs w:val="24"/>
              </w:rPr>
            </w:pPr>
            <w:r w:rsidRPr="005C3B55">
              <w:rPr>
                <w:szCs w:val="24"/>
              </w:rPr>
              <w:t>Registers/records:</w:t>
            </w:r>
          </w:p>
          <w:p w:rsidR="00F555D6" w:rsidRPr="005C3B55" w:rsidRDefault="00F555D6" w:rsidP="00F555D6">
            <w:pPr>
              <w:numPr>
                <w:ilvl w:val="0"/>
                <w:numId w:val="800"/>
              </w:numPr>
              <w:spacing w:before="240" w:after="0"/>
              <w:ind w:hanging="290"/>
              <w:jc w:val="left"/>
              <w:rPr>
                <w:szCs w:val="24"/>
              </w:rPr>
            </w:pPr>
            <w:r w:rsidRPr="005C3B55">
              <w:rPr>
                <w:szCs w:val="24"/>
              </w:rPr>
              <w:t>register of agricultural holdings;</w:t>
            </w:r>
          </w:p>
          <w:p w:rsidR="00F555D6" w:rsidRPr="005C3B55" w:rsidRDefault="00F555D6" w:rsidP="00F555D6">
            <w:pPr>
              <w:numPr>
                <w:ilvl w:val="0"/>
                <w:numId w:val="800"/>
              </w:numPr>
              <w:spacing w:before="0" w:after="0"/>
              <w:ind w:hanging="290"/>
              <w:jc w:val="left"/>
              <w:rPr>
                <w:szCs w:val="24"/>
              </w:rPr>
            </w:pPr>
            <w:r w:rsidRPr="005C3B55">
              <w:rPr>
                <w:szCs w:val="24"/>
              </w:rPr>
              <w:t>graphical agricultural unit of agricultural holding (GERK);</w:t>
            </w:r>
          </w:p>
          <w:p w:rsidR="00F555D6" w:rsidRPr="005C3B55" w:rsidRDefault="00F555D6" w:rsidP="00F555D6">
            <w:pPr>
              <w:numPr>
                <w:ilvl w:val="0"/>
                <w:numId w:val="800"/>
              </w:numPr>
              <w:spacing w:before="0" w:after="240"/>
              <w:ind w:hanging="290"/>
              <w:jc w:val="left"/>
              <w:rPr>
                <w:szCs w:val="24"/>
              </w:rPr>
            </w:pPr>
            <w:r w:rsidRPr="005C3B55">
              <w:rPr>
                <w:szCs w:val="24"/>
              </w:rPr>
              <w:t>registers, registers of farm animals.</w:t>
            </w:r>
          </w:p>
          <w:p w:rsidR="00F555D6" w:rsidRPr="005C3B55" w:rsidRDefault="00F555D6" w:rsidP="00F555D6">
            <w:pPr>
              <w:spacing w:before="240" w:after="240" w:line="280" w:lineRule="auto"/>
              <w:rPr>
                <w:szCs w:val="24"/>
              </w:rPr>
            </w:pPr>
            <w:r w:rsidRPr="005C3B55">
              <w:rPr>
                <w:szCs w:val="24"/>
              </w:rPr>
              <w:t>On-site control:</w:t>
            </w:r>
          </w:p>
          <w:p w:rsidR="00F555D6" w:rsidRPr="005C3B55" w:rsidRDefault="00F555D6" w:rsidP="00F555D6">
            <w:pPr>
              <w:numPr>
                <w:ilvl w:val="0"/>
                <w:numId w:val="801"/>
              </w:numPr>
              <w:spacing w:before="240" w:after="0"/>
              <w:ind w:hanging="290"/>
              <w:jc w:val="left"/>
              <w:rPr>
                <w:szCs w:val="24"/>
              </w:rPr>
            </w:pPr>
            <w:r w:rsidRPr="005C3B55">
              <w:rPr>
                <w:szCs w:val="24"/>
              </w:rPr>
              <w:t>records on works;</w:t>
            </w:r>
          </w:p>
          <w:p w:rsidR="00F555D6" w:rsidRPr="005C3B55" w:rsidRDefault="00F555D6" w:rsidP="00F555D6">
            <w:pPr>
              <w:numPr>
                <w:ilvl w:val="0"/>
                <w:numId w:val="801"/>
              </w:numPr>
              <w:spacing w:before="0" w:after="0"/>
              <w:ind w:hanging="290"/>
              <w:jc w:val="left"/>
              <w:rPr>
                <w:szCs w:val="24"/>
              </w:rPr>
            </w:pPr>
            <w:r w:rsidRPr="005C3B55">
              <w:rPr>
                <w:szCs w:val="24"/>
              </w:rPr>
              <w:t>control of livestock density by counting animals and reviewing surfaces;</w:t>
            </w:r>
          </w:p>
          <w:p w:rsidR="00F555D6" w:rsidRPr="005C3B55" w:rsidRDefault="00F555D6" w:rsidP="00F555D6">
            <w:pPr>
              <w:numPr>
                <w:ilvl w:val="0"/>
                <w:numId w:val="801"/>
              </w:numPr>
              <w:spacing w:before="0" w:after="0"/>
              <w:ind w:hanging="290"/>
              <w:jc w:val="left"/>
              <w:rPr>
                <w:szCs w:val="24"/>
              </w:rPr>
            </w:pPr>
            <w:r w:rsidRPr="005C3B55">
              <w:rPr>
                <w:szCs w:val="24"/>
              </w:rPr>
              <w:t>presence of a shepherd on the mountain;</w:t>
            </w:r>
          </w:p>
          <w:p w:rsidR="00F555D6" w:rsidRPr="005C3B55" w:rsidRDefault="00F555D6" w:rsidP="00F555D6">
            <w:pPr>
              <w:numPr>
                <w:ilvl w:val="0"/>
                <w:numId w:val="801"/>
              </w:numPr>
              <w:spacing w:before="0" w:after="0"/>
              <w:ind w:hanging="290"/>
              <w:jc w:val="left"/>
              <w:rPr>
                <w:szCs w:val="24"/>
              </w:rPr>
            </w:pPr>
            <w:r w:rsidRPr="005C3B55">
              <w:rPr>
                <w:szCs w:val="24"/>
              </w:rPr>
              <w:t>agreement with a shepherd;</w:t>
            </w:r>
          </w:p>
          <w:p w:rsidR="00F555D6" w:rsidRPr="005C3B55" w:rsidRDefault="00F555D6" w:rsidP="00F555D6">
            <w:pPr>
              <w:numPr>
                <w:ilvl w:val="0"/>
                <w:numId w:val="801"/>
              </w:numPr>
              <w:spacing w:before="0" w:after="240"/>
              <w:ind w:hanging="290"/>
              <w:jc w:val="left"/>
              <w:rPr>
                <w:szCs w:val="24"/>
              </w:rPr>
            </w:pPr>
            <w:r w:rsidRPr="005C3B55">
              <w:rPr>
                <w:szCs w:val="24"/>
              </w:rPr>
              <w:t>review of the mountain agricultural holding.</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Information that relates specifically to the operation</w:t>
      </w:r>
    </w:p>
    <w:p w:rsidR="00F555D6" w:rsidRPr="005C3B55" w:rsidRDefault="00F555D6" w:rsidP="00F555D6">
      <w:pPr>
        <w:spacing w:line="280" w:lineRule="auto"/>
        <w:rPr>
          <w:szCs w:val="24"/>
        </w:rPr>
      </w:pPr>
      <w:r w:rsidRPr="005C3B55">
        <w:rPr>
          <w:szCs w:val="24"/>
        </w:rPr>
        <w:t>Definition and identification of the relevant basic elements; this should include the relevant mandatory standards determined in accordance with Chapter I of Title VI of Regulation (EU) No 1306/2013 of the European Parliament and of the Council, relevant criteria and minimum activities determined in accordance with points (c)(ii) and (c)(iii) of the first paragraph of Article 4 of Regulation (EU) No 1307/2013 of the European Parliament and of the Council, relevant minimum requirements for the use of organic fertilisers and plant protection products and relevant mandatory requirements determined by national law</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 xml:space="preserve">Described in the chapter </w:t>
            </w:r>
            <w:r w:rsidRPr="005C3B55">
              <w:rPr>
                <w:i/>
                <w:szCs w:val="24"/>
              </w:rPr>
              <w:t>Agri-environment-climate commitments</w:t>
            </w:r>
            <w:r w:rsidRPr="005C3B55">
              <w:rPr>
                <w:szCs w:val="24"/>
              </w:rPr>
              <w:t>.</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 xml:space="preserve">Minimum requirements for fertilisers must include, inter alia, the Codes of Good Practice introduced under Directive 91/676/EEC for farms outside Nitrate Vulnerable Zones, and requirements concerning phosphorous pollution; minimum requirements for plant protection products use must include, </w:t>
      </w:r>
      <w:r w:rsidRPr="005C3B55">
        <w:rPr>
          <w:i/>
          <w:szCs w:val="24"/>
        </w:rPr>
        <w:t>inter alia</w:t>
      </w:r>
      <w:r w:rsidRPr="005C3B55">
        <w:rPr>
          <w:szCs w:val="24"/>
        </w:rPr>
        <w:t>, general principles for integrated pest management introduced with Directive 2009/128/EC, requirements to have a licence to use the products and meet training obligations, requirements on safe storage, the checking of application machinery and rules on pesticide use close to water and other sensitive sites, as established by national legislation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 xml:space="preserve">Described in the chapter </w:t>
            </w:r>
            <w:r w:rsidRPr="005C3B55">
              <w:rPr>
                <w:i/>
                <w:szCs w:val="24"/>
              </w:rPr>
              <w:t>Agri-environment-climate commitments</w:t>
            </w:r>
            <w:r w:rsidRPr="005C3B55">
              <w:rPr>
                <w:szCs w:val="24"/>
              </w:rPr>
              <w:t>.</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List of local breeds in danger of being lost to farming and for plant genetic resources under threat of genetic erosion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Not relevant.</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The description of the methodology and of the agronomic assumptions and parameters, including the description of the baseline requirements as stated in Article 29(2) of Regulation (EU) No 1305/2013, which are relevant for each particular type of commitment used as reference point for the calculations which justify: additional costs and lost revenue due to the assumed commitment and the amount of transaction costs; where necessary, the methodology takes into account the support granted under Regulation (EU) No 1307/2013, including payments for agricultural practices that favourably affect the climate and environment, in order to prevent the possibility of dual financing; where appropriate, the conversion method used for other units in accordance with Article 9 of this Regulation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The calculation of the amount of payments for the operation ‘Mountain pasture’ observes:</w:t>
            </w:r>
          </w:p>
          <w:p w:rsidR="00F555D6" w:rsidRPr="005C3B55" w:rsidRDefault="00F555D6" w:rsidP="00F555D6">
            <w:pPr>
              <w:spacing w:before="240" w:after="240" w:line="280" w:lineRule="auto"/>
              <w:rPr>
                <w:szCs w:val="24"/>
              </w:rPr>
            </w:pPr>
            <w:r w:rsidRPr="005C3B55">
              <w:rPr>
                <w:szCs w:val="24"/>
              </w:rPr>
              <w:t>KRA_CRED: Pasturing on flat surfaces serves as the basis for the calculation. The requirement observes additional spring arrangements of paddocks, leased mechanical services for accessing the mountain, driving and controlling cattle, additional work when protecting and treating sick or injured animals and the maintenance of paddocks throughout the pasturing season.</w:t>
            </w:r>
          </w:p>
          <w:p w:rsidR="00F555D6" w:rsidRPr="005C3B55" w:rsidRDefault="00F555D6" w:rsidP="00F555D6">
            <w:pPr>
              <w:spacing w:before="240" w:after="240" w:line="280" w:lineRule="auto"/>
              <w:rPr>
                <w:szCs w:val="24"/>
              </w:rPr>
            </w:pPr>
            <w:r w:rsidRPr="005C3B55">
              <w:rPr>
                <w:szCs w:val="24"/>
              </w:rPr>
              <w:t>KRA_PAST: Pasturing on flat surfaces serves as the basis for the calculation. The requirement observes additional spring arrangements of paddocks, leased mechanical services for accessing the mountain, driving and controlling cattle, additional work when protecting and treating sick or injured animals, additional material relating to the presence of a shepherd on the mountain, the shepherd’s work when relocating animals in paddocks, animal control, driving animals to milking parlours and maintenance of paddocks throughout the pasturing season.</w:t>
            </w:r>
          </w:p>
          <w:p w:rsidR="00F555D6" w:rsidRPr="005C3B55" w:rsidRDefault="00F555D6" w:rsidP="00F555D6">
            <w:pPr>
              <w:pStyle w:val="Telobesedila"/>
              <w:rPr>
                <w:szCs w:val="24"/>
              </w:rPr>
            </w:pPr>
          </w:p>
        </w:tc>
      </w:tr>
    </w:tbl>
    <w:p w:rsidR="00F555D6" w:rsidRPr="005C3B55" w:rsidRDefault="00F555D6" w:rsidP="00F555D6">
      <w:pPr>
        <w:pStyle w:val="Naslov7"/>
        <w:tabs>
          <w:tab w:val="clear" w:pos="765"/>
        </w:tabs>
        <w:ind w:left="0" w:firstLine="0"/>
        <w:rPr>
          <w:szCs w:val="24"/>
          <w:lang w:val="en-GB"/>
        </w:rPr>
      </w:pPr>
      <w:r w:rsidRPr="005C3B55">
        <w:rPr>
          <w:noProof w:val="0"/>
          <w:szCs w:val="24"/>
          <w:lang w:val="en-GB"/>
        </w:rPr>
        <w:t>Agri-environment-climate commitments</w:t>
      </w:r>
    </w:p>
    <w:p w:rsidR="00F555D6" w:rsidRPr="005C3B55" w:rsidRDefault="00F555D6" w:rsidP="00F555D6">
      <w:pPr>
        <w:pStyle w:val="Naslov8"/>
        <w:tabs>
          <w:tab w:val="clear" w:pos="765"/>
        </w:tabs>
        <w:ind w:left="0" w:firstLine="0"/>
        <w:rPr>
          <w:b w:val="0"/>
          <w:szCs w:val="24"/>
          <w:lang w:val="en-GB"/>
        </w:rPr>
      </w:pPr>
      <w:r w:rsidRPr="005C3B55">
        <w:rPr>
          <w:b w:val="0"/>
          <w:noProof w:val="0"/>
          <w:szCs w:val="24"/>
          <w:lang w:val="en-GB"/>
        </w:rPr>
        <w:t>KRA_CRED:</w:t>
      </w:r>
      <w:r w:rsidRPr="005C3B55">
        <w:rPr>
          <w:b w:val="0"/>
          <w:szCs w:val="24"/>
          <w:lang w:val="en-GB"/>
        </w:rPr>
        <w:t xml:space="preserve"> </w:t>
      </w:r>
      <w:r w:rsidRPr="005C3B55">
        <w:rPr>
          <w:b w:val="0"/>
          <w:noProof w:val="0"/>
          <w:szCs w:val="24"/>
          <w:lang w:val="en-GB"/>
        </w:rPr>
        <w:t>Mountain pasture on paddocks</w:t>
      </w:r>
    </w:p>
    <w:p w:rsidR="00F555D6" w:rsidRPr="005C3B55" w:rsidRDefault="00F555D6" w:rsidP="00F555D6">
      <w:pPr>
        <w:pStyle w:val="Naslov9"/>
        <w:tabs>
          <w:tab w:val="clear" w:pos="765"/>
        </w:tabs>
        <w:ind w:left="0" w:firstLine="0"/>
        <w:rPr>
          <w:szCs w:val="24"/>
          <w:lang w:val="en-GB"/>
        </w:rPr>
      </w:pPr>
      <w:r w:rsidRPr="005C3B55">
        <w:rPr>
          <w:noProof w:val="0"/>
          <w:szCs w:val="24"/>
          <w:lang w:val="en-GB"/>
        </w:rPr>
        <w:t>Starting Point</w:t>
      </w:r>
    </w:p>
    <w:p w:rsidR="00F555D6" w:rsidRPr="005C3B55" w:rsidRDefault="00F555D6" w:rsidP="00F555D6">
      <w:pPr>
        <w:spacing w:line="280" w:lineRule="auto"/>
        <w:rPr>
          <w:szCs w:val="24"/>
        </w:rPr>
      </w:pPr>
      <w:r w:rsidRPr="005C3B55">
        <w:rPr>
          <w:szCs w:val="24"/>
        </w:rPr>
        <w:t>Suitable good agricultural and environmental conditions and/or prescribed management requirements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802"/>
              </w:numPr>
              <w:spacing w:before="0" w:after="0"/>
              <w:ind w:hanging="290"/>
              <w:jc w:val="left"/>
              <w:rPr>
                <w:szCs w:val="24"/>
              </w:rPr>
            </w:pPr>
            <w:r w:rsidRPr="005C3B55">
              <w:rPr>
                <w:szCs w:val="24"/>
              </w:rPr>
              <w:t>Regulation on cross-compliance, Annex 1: Rules on cross-compliance, SMR 3: Conservation of natural habitats and of wild fauna and flora: grassland areas in the areas of Natura 2000 – habitats are maintained at least once annually no later than by 15 October of the current year.</w:t>
            </w:r>
          </w:p>
          <w:p w:rsidR="00F555D6" w:rsidRPr="005C3B55" w:rsidRDefault="00F555D6" w:rsidP="00F555D6">
            <w:pPr>
              <w:numPr>
                <w:ilvl w:val="0"/>
                <w:numId w:val="802"/>
              </w:numPr>
              <w:spacing w:before="0" w:after="0"/>
              <w:ind w:hanging="290"/>
              <w:jc w:val="left"/>
              <w:rPr>
                <w:szCs w:val="24"/>
              </w:rPr>
            </w:pPr>
            <w:r w:rsidRPr="005C3B55">
              <w:rPr>
                <w:szCs w:val="24"/>
              </w:rPr>
              <w:t>Regulation on cross-compliance, Annex 1: Rules on cross-compliance, SMR 2: grassland areas in the areas of Natura 2000 – birds are maintained at least once annually no later than by 15 October of the current year.</w:t>
            </w:r>
          </w:p>
          <w:p w:rsidR="00F555D6" w:rsidRPr="005C3B55" w:rsidRDefault="00F555D6" w:rsidP="00F555D6">
            <w:pPr>
              <w:numPr>
                <w:ilvl w:val="0"/>
                <w:numId w:val="802"/>
              </w:numPr>
              <w:spacing w:before="0" w:after="240"/>
              <w:ind w:hanging="290"/>
              <w:jc w:val="left"/>
              <w:rPr>
                <w:szCs w:val="24"/>
              </w:rPr>
            </w:pPr>
            <w:r w:rsidRPr="005C3B55">
              <w:rPr>
                <w:szCs w:val="24"/>
              </w:rPr>
              <w:t>Regulation on cross-compliance, Annex 1: Rules on cross-compliance, GAEC7: agricultural land is annually cultivated at least by 15 October of the current year.</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Minimum requirements for the use of fertilisers and plant protection products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803"/>
              </w:numPr>
              <w:spacing w:before="0" w:after="0"/>
              <w:ind w:hanging="290"/>
              <w:jc w:val="left"/>
              <w:rPr>
                <w:szCs w:val="24"/>
              </w:rPr>
            </w:pPr>
            <w:r w:rsidRPr="005C3B55">
              <w:rPr>
                <w:szCs w:val="24"/>
              </w:rPr>
              <w:t>Minimum requirements for the use of fertilisers refer to the keeping of records on the use of livestock and mineral fertilisers which an agricultural holding has to keep for all agricultural land plots at the agricultural holding, and which has to include at least the quantity and type of livestock manure and mineral fertiliser, time of fertilising and data on the surface where these fertilisers are used.</w:t>
            </w:r>
          </w:p>
          <w:p w:rsidR="00F555D6" w:rsidRPr="005C3B55" w:rsidRDefault="00F555D6" w:rsidP="00F555D6">
            <w:pPr>
              <w:numPr>
                <w:ilvl w:val="0"/>
                <w:numId w:val="803"/>
              </w:numPr>
              <w:spacing w:before="0" w:after="240"/>
              <w:ind w:hanging="290"/>
              <w:jc w:val="left"/>
              <w:rPr>
                <w:szCs w:val="24"/>
              </w:rPr>
            </w:pPr>
            <w:r w:rsidRPr="005C3B55">
              <w:rPr>
                <w:szCs w:val="24"/>
              </w:rPr>
              <w:t>Minimum requirements for the use of plant protection products are not determined, since the requirements relating to the use of these products are standardised and are included in the requirements of cross-compliance.</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Other relevant national/regional requirements</w:t>
      </w:r>
    </w:p>
    <w:p w:rsidR="00F555D6" w:rsidRPr="005C3B55" w:rsidRDefault="00F555D6" w:rsidP="00F555D6">
      <w:pPr>
        <w:spacing w:after="0"/>
        <w:rPr>
          <w:szCs w:val="24"/>
        </w:rPr>
      </w:pP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804"/>
              </w:numPr>
              <w:spacing w:before="0" w:after="240"/>
              <w:ind w:hanging="290"/>
              <w:jc w:val="left"/>
              <w:rPr>
                <w:szCs w:val="24"/>
              </w:rPr>
            </w:pPr>
            <w:r w:rsidRPr="005C3B55">
              <w:rPr>
                <w:szCs w:val="24"/>
              </w:rPr>
              <w:t>Other national requirements are not prescribed.</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Minimum activities</w:t>
      </w:r>
    </w:p>
    <w:p w:rsidR="00F555D6" w:rsidRPr="005C3B55" w:rsidRDefault="00F555D6" w:rsidP="00F555D6">
      <w:pPr>
        <w:spacing w:after="0"/>
        <w:rPr>
          <w:szCs w:val="24"/>
        </w:rPr>
      </w:pP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805"/>
              </w:numPr>
              <w:spacing w:before="0" w:after="240"/>
              <w:ind w:hanging="290"/>
              <w:jc w:val="left"/>
              <w:rPr>
                <w:szCs w:val="24"/>
              </w:rPr>
            </w:pPr>
            <w:r w:rsidRPr="005C3B55">
              <w:rPr>
                <w:szCs w:val="24"/>
              </w:rPr>
              <w:t>Mowing at least once annually by 15 October of the current year is determined as a criterion for maintaining agricultural land in a state suitable for pasturing or production without the preparation measures which exceed the use of regular agricultural methods and machinery.</w:t>
            </w:r>
          </w:p>
          <w:p w:rsidR="00F555D6" w:rsidRPr="005C3B55" w:rsidRDefault="00F555D6" w:rsidP="00F555D6">
            <w:pPr>
              <w:pStyle w:val="Telobesedila"/>
              <w:rPr>
                <w:szCs w:val="24"/>
              </w:rPr>
            </w:pPr>
          </w:p>
        </w:tc>
      </w:tr>
    </w:tbl>
    <w:p w:rsidR="00F555D6" w:rsidRPr="005C3B55" w:rsidRDefault="00F555D6" w:rsidP="00F555D6">
      <w:pPr>
        <w:pStyle w:val="Naslov9"/>
        <w:tabs>
          <w:tab w:val="clear" w:pos="765"/>
        </w:tabs>
        <w:ind w:left="0" w:firstLine="0"/>
        <w:rPr>
          <w:szCs w:val="24"/>
          <w:lang w:val="en-GB"/>
        </w:rPr>
      </w:pPr>
      <w:r w:rsidRPr="005C3B55">
        <w:rPr>
          <w:noProof w:val="0"/>
          <w:szCs w:val="24"/>
          <w:lang w:val="en-GB"/>
        </w:rPr>
        <w:t>Relevant standard agricultural practices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Since an important part of the Slovenian territory lies in alpine areas, alpine pasture has a rich tradition. The important role of mountain pastures has been preserved until today. Summer grazing in paddocks in mountain areas continues a long tradition of mountain pastures, processing of milk into dairy products (typical cheese making) and conserving biodiversity of pastures. The annual utilisation allows for maintenance and preservation of infrastructure in the mountains. Mountain pasture is characterised by grazing crosswise the mountain, which can result in overgrazing and compaction of green cover. The introduction of grazing pens or the presence of a shepherd allows the animals to graze the pasture more evenly, thereby maintaining the green cover in a better condition and, in addition, preventing the over-fertilization and subsequent growth of useless or harmful plants.</w:t>
            </w:r>
          </w:p>
          <w:p w:rsidR="00F555D6" w:rsidRPr="005C3B55" w:rsidRDefault="00F555D6" w:rsidP="00F555D6">
            <w:pPr>
              <w:pStyle w:val="Telobesedila"/>
              <w:rPr>
                <w:szCs w:val="24"/>
              </w:rPr>
            </w:pPr>
          </w:p>
        </w:tc>
      </w:tr>
    </w:tbl>
    <w:p w:rsidR="00F555D6" w:rsidRPr="005C3B55" w:rsidRDefault="00F555D6" w:rsidP="00F555D6">
      <w:pPr>
        <w:pStyle w:val="Naslov8"/>
        <w:tabs>
          <w:tab w:val="clear" w:pos="765"/>
        </w:tabs>
        <w:ind w:left="0" w:firstLine="0"/>
        <w:rPr>
          <w:b w:val="0"/>
          <w:szCs w:val="24"/>
          <w:lang w:val="en-GB"/>
        </w:rPr>
      </w:pPr>
      <w:r w:rsidRPr="005C3B55">
        <w:rPr>
          <w:b w:val="0"/>
          <w:noProof w:val="0"/>
          <w:szCs w:val="24"/>
          <w:lang w:val="en-GB"/>
        </w:rPr>
        <w:t>KRA_PAST:</w:t>
      </w:r>
      <w:r w:rsidRPr="005C3B55">
        <w:rPr>
          <w:b w:val="0"/>
          <w:szCs w:val="24"/>
          <w:lang w:val="en-GB"/>
        </w:rPr>
        <w:t xml:space="preserve"> </w:t>
      </w:r>
      <w:r w:rsidRPr="005C3B55">
        <w:rPr>
          <w:b w:val="0"/>
          <w:noProof w:val="0"/>
          <w:szCs w:val="24"/>
          <w:lang w:val="en-GB"/>
        </w:rPr>
        <w:t>Mountain pasture with a shepherd</w:t>
      </w:r>
    </w:p>
    <w:p w:rsidR="00F555D6" w:rsidRPr="005C3B55" w:rsidRDefault="00F555D6" w:rsidP="00F555D6">
      <w:pPr>
        <w:pStyle w:val="Naslov9"/>
        <w:tabs>
          <w:tab w:val="clear" w:pos="765"/>
        </w:tabs>
        <w:ind w:left="0" w:firstLine="0"/>
        <w:rPr>
          <w:szCs w:val="24"/>
          <w:lang w:val="en-GB"/>
        </w:rPr>
      </w:pPr>
      <w:r w:rsidRPr="005C3B55">
        <w:rPr>
          <w:noProof w:val="0"/>
          <w:szCs w:val="24"/>
          <w:lang w:val="en-GB"/>
        </w:rPr>
        <w:t>Starting Point</w:t>
      </w:r>
    </w:p>
    <w:p w:rsidR="00F555D6" w:rsidRPr="005C3B55" w:rsidRDefault="00F555D6" w:rsidP="00F555D6">
      <w:pPr>
        <w:spacing w:line="280" w:lineRule="auto"/>
        <w:rPr>
          <w:szCs w:val="24"/>
        </w:rPr>
      </w:pPr>
      <w:r w:rsidRPr="005C3B55">
        <w:rPr>
          <w:szCs w:val="24"/>
        </w:rPr>
        <w:t>Suitable good agricultural and environmental conditions and/or prescribed management requirements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806"/>
              </w:numPr>
              <w:spacing w:before="0" w:after="0"/>
              <w:ind w:hanging="290"/>
              <w:jc w:val="left"/>
              <w:rPr>
                <w:szCs w:val="24"/>
              </w:rPr>
            </w:pPr>
            <w:r w:rsidRPr="005C3B55">
              <w:rPr>
                <w:szCs w:val="24"/>
              </w:rPr>
              <w:t>Regulation on cross-compliance, Annex 1: Rules on cross-compliance, SMR 3: Conservation of natural habitats and of wild fauna and flora: grassland areas in the areas of Natura 2000 – habitats are maintained at least once annually no later than by 15 October of the current year.</w:t>
            </w:r>
          </w:p>
          <w:p w:rsidR="00F555D6" w:rsidRPr="005C3B55" w:rsidRDefault="00F555D6" w:rsidP="00F555D6">
            <w:pPr>
              <w:numPr>
                <w:ilvl w:val="0"/>
                <w:numId w:val="806"/>
              </w:numPr>
              <w:spacing w:before="0" w:after="0"/>
              <w:ind w:hanging="290"/>
              <w:jc w:val="left"/>
              <w:rPr>
                <w:szCs w:val="24"/>
              </w:rPr>
            </w:pPr>
            <w:r w:rsidRPr="005C3B55">
              <w:rPr>
                <w:szCs w:val="24"/>
              </w:rPr>
              <w:t>Regulation on cross-compliance, Annex 1: Rules on cross-compliance, SMR 2: grassland areas in the areas of Natura 2000 – birds are maintained at least once annually no later than by 15 October of the current year.</w:t>
            </w:r>
          </w:p>
          <w:p w:rsidR="00F555D6" w:rsidRPr="005C3B55" w:rsidRDefault="00F555D6" w:rsidP="00F555D6">
            <w:pPr>
              <w:numPr>
                <w:ilvl w:val="0"/>
                <w:numId w:val="806"/>
              </w:numPr>
              <w:spacing w:before="0" w:after="240"/>
              <w:ind w:hanging="290"/>
              <w:jc w:val="left"/>
              <w:rPr>
                <w:szCs w:val="24"/>
              </w:rPr>
            </w:pPr>
            <w:r w:rsidRPr="005C3B55">
              <w:rPr>
                <w:szCs w:val="24"/>
              </w:rPr>
              <w:t>Regulation on cross-compliance, Annex 1: Rules on cross-compliance, GAEC7: agricultural land is annually cultivated at least by 15 October of the current year.</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Minimum requirements for the use of fertilisers and plant protection products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807"/>
              </w:numPr>
              <w:spacing w:before="0" w:after="0"/>
              <w:ind w:hanging="290"/>
              <w:jc w:val="left"/>
              <w:rPr>
                <w:szCs w:val="24"/>
              </w:rPr>
            </w:pPr>
            <w:r w:rsidRPr="005C3B55">
              <w:rPr>
                <w:szCs w:val="24"/>
              </w:rPr>
              <w:t>Minimum requirements for the use of fertilisers refer to the keeping of records on the use of livestock and mineral fertilisers which an agricultural holding has to keep for all agricultural land plots at the agricultural holding, and which has to include at least the quantity and type of livestock manure and mineral fertiliser, time of fertilising and data on the surface where these fertilisers are used.</w:t>
            </w:r>
          </w:p>
          <w:p w:rsidR="00F555D6" w:rsidRPr="005C3B55" w:rsidRDefault="00F555D6" w:rsidP="00F555D6">
            <w:pPr>
              <w:numPr>
                <w:ilvl w:val="0"/>
                <w:numId w:val="807"/>
              </w:numPr>
              <w:spacing w:before="0" w:after="240"/>
              <w:ind w:hanging="290"/>
              <w:jc w:val="left"/>
              <w:rPr>
                <w:szCs w:val="24"/>
              </w:rPr>
            </w:pPr>
            <w:r w:rsidRPr="005C3B55">
              <w:rPr>
                <w:szCs w:val="24"/>
              </w:rPr>
              <w:t>Minimum requirements for the use of plant protection products are not determined, since the requirements relating to the use of these products are standardised and are included in the requirements of cross-compliance.</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Other relevant national/regional requirements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808"/>
              </w:numPr>
              <w:spacing w:before="0" w:after="240"/>
              <w:ind w:hanging="290"/>
              <w:jc w:val="left"/>
              <w:rPr>
                <w:szCs w:val="24"/>
              </w:rPr>
            </w:pPr>
            <w:r w:rsidRPr="005C3B55">
              <w:rPr>
                <w:szCs w:val="24"/>
              </w:rPr>
              <w:t>Other national requirements are not prescribed.</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Minimum activities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809"/>
              </w:numPr>
              <w:spacing w:before="0" w:after="240"/>
              <w:ind w:hanging="290"/>
              <w:jc w:val="left"/>
              <w:rPr>
                <w:szCs w:val="24"/>
              </w:rPr>
            </w:pPr>
            <w:r w:rsidRPr="005C3B55">
              <w:rPr>
                <w:szCs w:val="24"/>
              </w:rPr>
              <w:t>Mowing at least once annually by 15 October of the current year is determined as a criterion for maintaining agricultural land in a state suitable for pasturing or production without the preparation measures which exceed the use of regular agricultural methods and machinery.</w:t>
            </w:r>
          </w:p>
          <w:p w:rsidR="00F555D6" w:rsidRPr="005C3B55" w:rsidRDefault="00F555D6" w:rsidP="00F555D6">
            <w:pPr>
              <w:pStyle w:val="Telobesedila"/>
              <w:rPr>
                <w:szCs w:val="24"/>
              </w:rPr>
            </w:pPr>
          </w:p>
        </w:tc>
      </w:tr>
    </w:tbl>
    <w:p w:rsidR="00F555D6" w:rsidRPr="005C3B55" w:rsidRDefault="00F555D6" w:rsidP="00F555D6">
      <w:pPr>
        <w:pStyle w:val="Naslov9"/>
        <w:tabs>
          <w:tab w:val="clear" w:pos="765"/>
        </w:tabs>
        <w:ind w:left="0" w:firstLine="0"/>
        <w:rPr>
          <w:szCs w:val="24"/>
          <w:lang w:val="en-GB"/>
        </w:rPr>
      </w:pPr>
      <w:r w:rsidRPr="005C3B55">
        <w:rPr>
          <w:noProof w:val="0"/>
          <w:szCs w:val="24"/>
          <w:lang w:val="en-GB"/>
        </w:rPr>
        <w:t>Relevant standard agricultural practices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Since an important part of the Slovenian territory lies in alpine areas, alpine pasture has a rich tradition. The important role of mountain pastures has been preserved until today. Summer grazing in paddocks in mountain areas continues a long tradition of mountain pastures, processing of milk into dairy products (typical cheese making) and conserving biodiversity of pastures. The annual utilisation allows for maintenance and preservation of infrastructure in the mountains. Mountain pasture is characterised by grazing crosswise the mountain, which can result in overgrazing and compaction of green cover. The introduction of grazing pens or the presence of a shepherd allows the animals to graze the pasture more evenly, thereby maintaining the green cover in a better condition and, in addition, preventing the over-fertilization and subsequent growth of useless or harmful plants.</w:t>
            </w:r>
          </w:p>
          <w:p w:rsidR="00F555D6" w:rsidRPr="005C3B55" w:rsidRDefault="00F555D6" w:rsidP="00F555D6">
            <w:pPr>
              <w:pStyle w:val="Telobesedila"/>
              <w:rPr>
                <w:szCs w:val="24"/>
              </w:rPr>
            </w:pPr>
          </w:p>
        </w:tc>
      </w:tr>
    </w:tbl>
    <w:p w:rsidR="00F555D6" w:rsidRPr="005C3B55" w:rsidRDefault="00F555D6" w:rsidP="00F555D6">
      <w:pPr>
        <w:pStyle w:val="Naslov5"/>
        <w:tabs>
          <w:tab w:val="clear" w:pos="765"/>
        </w:tabs>
        <w:ind w:left="0" w:firstLine="0"/>
        <w:rPr>
          <w:b w:val="0"/>
          <w:szCs w:val="24"/>
          <w:lang w:val="en-GB"/>
        </w:rPr>
      </w:pPr>
      <w:r w:rsidRPr="005C3B55">
        <w:rPr>
          <w:b w:val="0"/>
          <w:szCs w:val="24"/>
          <w:lang w:val="en-GB"/>
        </w:rPr>
        <w:br w:type="page"/>
        <w:t>16.</w:t>
      </w:r>
      <w:r w:rsidRPr="005C3B55">
        <w:rPr>
          <w:b w:val="0"/>
          <w:szCs w:val="24"/>
          <w:lang w:val="en-GB"/>
        </w:rPr>
        <w:tab/>
      </w:r>
      <w:r w:rsidRPr="005C3B55">
        <w:rPr>
          <w:b w:val="0"/>
          <w:noProof w:val="0"/>
          <w:szCs w:val="24"/>
          <w:lang w:val="en-GB"/>
        </w:rPr>
        <w:t>High-trunk meadow orchards</w:t>
      </w:r>
    </w:p>
    <w:p w:rsidR="00F555D6" w:rsidRPr="005C3B55" w:rsidRDefault="00F555D6" w:rsidP="00F555D6">
      <w:pPr>
        <w:spacing w:line="280" w:lineRule="auto"/>
        <w:rPr>
          <w:szCs w:val="24"/>
        </w:rPr>
      </w:pPr>
      <w:r w:rsidRPr="005C3B55">
        <w:rPr>
          <w:szCs w:val="24"/>
        </w:rPr>
        <w:t xml:space="preserve">Sub-measure: </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810"/>
              </w:numPr>
              <w:rPr>
                <w:szCs w:val="24"/>
              </w:rPr>
            </w:pPr>
            <w:r w:rsidRPr="005C3B55">
              <w:rPr>
                <w:szCs w:val="24"/>
              </w:rPr>
              <w:t>10.1 – Payment of agri-environment-climate commitments</w:t>
            </w: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Description of type of operation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The operation ‘High-trunk meadow orchards’ is aimed at maintaining adequate management of meadow orchards, thus preserving wild fauna and flora and landscape. The operation also presents the preservation of the existing agricultural practice.</w:t>
            </w:r>
          </w:p>
          <w:p w:rsidR="00F555D6" w:rsidRPr="005C3B55" w:rsidRDefault="00F555D6" w:rsidP="00F555D6">
            <w:pPr>
              <w:spacing w:before="240" w:after="240" w:line="280" w:lineRule="auto"/>
              <w:rPr>
                <w:szCs w:val="24"/>
              </w:rPr>
            </w:pPr>
            <w:r w:rsidRPr="005C3B55">
              <w:rPr>
                <w:szCs w:val="24"/>
              </w:rPr>
              <w:t xml:space="preserve">The trunks of old fruit trees are covered with lichen, fungi and moss and also provide a wide array and an abundance of insects. Tree hollows offer nesting areas for endangered birds, particularly woodpeckers (including wryneck), hoopoes, common redstarts, Eurasian scops owl, lesser grey shrike and refuge for bats. Meadow orchards in Slovenia are the key habitat for Natura bird species, </w:t>
            </w:r>
            <w:r w:rsidRPr="005C3B55">
              <w:rPr>
                <w:i/>
                <w:szCs w:val="24"/>
              </w:rPr>
              <w:t>inter alia</w:t>
            </w:r>
            <w:r w:rsidRPr="005C3B55">
              <w:rPr>
                <w:szCs w:val="24"/>
              </w:rPr>
              <w:t xml:space="preserve"> in Goričko, Kozjansko and the Šentjernej Field. These bird species are endangered due to the disappearing meadow orchards. Meadow orchards are also very important outside Natura 2000 sites for the survival of these endangered species and numerous other species as well.</w:t>
            </w:r>
          </w:p>
          <w:p w:rsidR="00F555D6" w:rsidRPr="005C3B55" w:rsidRDefault="00F555D6" w:rsidP="00F555D6">
            <w:pPr>
              <w:spacing w:before="240" w:after="240" w:line="280" w:lineRule="auto"/>
              <w:rPr>
                <w:szCs w:val="24"/>
              </w:rPr>
            </w:pPr>
            <w:r w:rsidRPr="005C3B55">
              <w:rPr>
                <w:szCs w:val="24"/>
              </w:rPr>
              <w:t>When implementing the operation, the following has to be ensured:</w:t>
            </w:r>
          </w:p>
          <w:p w:rsidR="00F555D6" w:rsidRPr="005C3B55" w:rsidRDefault="00F555D6" w:rsidP="00F555D6">
            <w:pPr>
              <w:numPr>
                <w:ilvl w:val="0"/>
                <w:numId w:val="811"/>
              </w:numPr>
              <w:spacing w:before="240" w:after="0"/>
              <w:ind w:left="1920" w:hanging="290"/>
              <w:jc w:val="left"/>
              <w:rPr>
                <w:szCs w:val="24"/>
              </w:rPr>
            </w:pPr>
            <w:r w:rsidRPr="005C3B55">
              <w:rPr>
                <w:szCs w:val="24"/>
              </w:rPr>
              <w:t>grassification of orchards with managed fallow;</w:t>
            </w:r>
          </w:p>
          <w:p w:rsidR="00F555D6" w:rsidRPr="005C3B55" w:rsidRDefault="00F555D6" w:rsidP="00F555D6">
            <w:pPr>
              <w:numPr>
                <w:ilvl w:val="0"/>
                <w:numId w:val="811"/>
              </w:numPr>
              <w:spacing w:before="0" w:after="0"/>
              <w:ind w:left="1920" w:hanging="290"/>
              <w:jc w:val="left"/>
              <w:rPr>
                <w:szCs w:val="24"/>
              </w:rPr>
            </w:pPr>
            <w:r w:rsidRPr="005C3B55">
              <w:rPr>
                <w:szCs w:val="24"/>
              </w:rPr>
              <w:t>use of grass surfaces for mowing or pasturing (also under the crowns of trees);</w:t>
            </w:r>
          </w:p>
          <w:p w:rsidR="00F555D6" w:rsidRPr="005C3B55" w:rsidRDefault="00F555D6" w:rsidP="00F555D6">
            <w:pPr>
              <w:numPr>
                <w:ilvl w:val="0"/>
                <w:numId w:val="811"/>
              </w:numPr>
              <w:spacing w:before="0" w:after="0"/>
              <w:ind w:left="1920" w:hanging="290"/>
              <w:jc w:val="left"/>
              <w:rPr>
                <w:szCs w:val="24"/>
              </w:rPr>
            </w:pPr>
            <w:r w:rsidRPr="005C3B55">
              <w:rPr>
                <w:szCs w:val="24"/>
              </w:rPr>
              <w:t>care of trees and restoration of plantations;</w:t>
            </w:r>
          </w:p>
          <w:p w:rsidR="00F555D6" w:rsidRPr="005C3B55" w:rsidRDefault="00F555D6" w:rsidP="00F555D6">
            <w:pPr>
              <w:numPr>
                <w:ilvl w:val="0"/>
                <w:numId w:val="811"/>
              </w:numPr>
              <w:spacing w:before="0" w:after="0"/>
              <w:ind w:left="1920" w:hanging="290"/>
              <w:jc w:val="left"/>
              <w:rPr>
                <w:szCs w:val="24"/>
              </w:rPr>
            </w:pPr>
            <w:r w:rsidRPr="005C3B55">
              <w:rPr>
                <w:szCs w:val="24"/>
              </w:rPr>
              <w:t>if a tree dries out or dies, weak root stocks are not to be used for planting new trees;</w:t>
            </w:r>
          </w:p>
          <w:p w:rsidR="00F555D6" w:rsidRPr="005C3B55" w:rsidRDefault="00F555D6" w:rsidP="00F555D6">
            <w:pPr>
              <w:numPr>
                <w:ilvl w:val="0"/>
                <w:numId w:val="811"/>
              </w:numPr>
              <w:spacing w:before="0" w:after="0"/>
              <w:ind w:left="1920" w:hanging="290"/>
              <w:jc w:val="left"/>
              <w:rPr>
                <w:szCs w:val="24"/>
              </w:rPr>
            </w:pPr>
            <w:r w:rsidRPr="005C3B55">
              <w:rPr>
                <w:szCs w:val="24"/>
              </w:rPr>
              <w:t>revival trimming must be carried out in the first or second year of the assumed commitment;</w:t>
            </w:r>
          </w:p>
          <w:p w:rsidR="00F555D6" w:rsidRPr="005C3B55" w:rsidRDefault="00F555D6" w:rsidP="00F555D6">
            <w:pPr>
              <w:numPr>
                <w:ilvl w:val="0"/>
                <w:numId w:val="811"/>
              </w:numPr>
              <w:spacing w:before="0" w:after="240"/>
              <w:ind w:left="1920" w:hanging="290"/>
              <w:jc w:val="left"/>
              <w:rPr>
                <w:szCs w:val="24"/>
              </w:rPr>
            </w:pPr>
            <w:r w:rsidRPr="005C3B55">
              <w:rPr>
                <w:szCs w:val="24"/>
              </w:rPr>
              <w:t>tree density must be between 50 to 200 trees/ha.</w:t>
            </w:r>
          </w:p>
          <w:p w:rsidR="00F555D6" w:rsidRPr="005C3B55" w:rsidRDefault="00F555D6" w:rsidP="00F555D6">
            <w:pPr>
              <w:spacing w:before="240" w:after="240" w:line="280" w:lineRule="auto"/>
              <w:rPr>
                <w:szCs w:val="24"/>
              </w:rPr>
            </w:pPr>
            <w:r w:rsidRPr="005C3B55">
              <w:rPr>
                <w:szCs w:val="24"/>
              </w:rPr>
              <w:t> </w:t>
            </w:r>
          </w:p>
          <w:p w:rsidR="00F555D6" w:rsidRPr="005C3B55" w:rsidRDefault="00F555D6" w:rsidP="00F555D6">
            <w:pPr>
              <w:numPr>
                <w:ilvl w:val="0"/>
                <w:numId w:val="812"/>
              </w:numPr>
              <w:spacing w:before="240" w:after="0"/>
              <w:ind w:hanging="290"/>
              <w:jc w:val="left"/>
              <w:rPr>
                <w:szCs w:val="24"/>
              </w:rPr>
            </w:pPr>
            <w:r w:rsidRPr="005C3B55">
              <w:rPr>
                <w:szCs w:val="24"/>
              </w:rPr>
              <w:t>Livestock density: not relevant.</w:t>
            </w:r>
          </w:p>
          <w:p w:rsidR="00F555D6" w:rsidRPr="005C3B55" w:rsidRDefault="00F555D6" w:rsidP="00F555D6">
            <w:pPr>
              <w:numPr>
                <w:ilvl w:val="0"/>
                <w:numId w:val="812"/>
              </w:numPr>
              <w:spacing w:before="0" w:after="0"/>
              <w:ind w:hanging="290"/>
              <w:jc w:val="left"/>
              <w:rPr>
                <w:szCs w:val="24"/>
              </w:rPr>
            </w:pPr>
            <w:r w:rsidRPr="005C3B55">
              <w:rPr>
                <w:szCs w:val="24"/>
              </w:rPr>
              <w:t>Use: high-trunk meadow orchards.</w:t>
            </w:r>
          </w:p>
          <w:p w:rsidR="00F555D6" w:rsidRPr="005C3B55" w:rsidRDefault="00F555D6" w:rsidP="00F555D6">
            <w:pPr>
              <w:numPr>
                <w:ilvl w:val="0"/>
                <w:numId w:val="812"/>
              </w:numPr>
              <w:spacing w:before="0" w:after="0"/>
              <w:ind w:hanging="290"/>
              <w:jc w:val="left"/>
              <w:rPr>
                <w:szCs w:val="24"/>
              </w:rPr>
            </w:pPr>
            <w:r w:rsidRPr="005C3B55">
              <w:rPr>
                <w:szCs w:val="24"/>
              </w:rPr>
              <w:t>Coverage: part of the area.</w:t>
            </w:r>
          </w:p>
          <w:p w:rsidR="00F555D6" w:rsidRPr="005C3B55" w:rsidRDefault="00F555D6" w:rsidP="00F555D6">
            <w:pPr>
              <w:numPr>
                <w:ilvl w:val="0"/>
                <w:numId w:val="812"/>
              </w:numPr>
              <w:spacing w:before="0" w:after="0"/>
              <w:ind w:hanging="290"/>
              <w:jc w:val="left"/>
              <w:rPr>
                <w:szCs w:val="24"/>
              </w:rPr>
            </w:pPr>
            <w:r w:rsidRPr="005C3B55">
              <w:rPr>
                <w:szCs w:val="24"/>
              </w:rPr>
              <w:t>Location: not relevant.</w:t>
            </w:r>
          </w:p>
          <w:p w:rsidR="00F555D6" w:rsidRPr="005C3B55" w:rsidRDefault="00F555D6" w:rsidP="00F555D6">
            <w:pPr>
              <w:numPr>
                <w:ilvl w:val="0"/>
                <w:numId w:val="812"/>
              </w:numPr>
              <w:spacing w:before="0" w:after="240"/>
              <w:ind w:hanging="290"/>
              <w:jc w:val="left"/>
              <w:rPr>
                <w:szCs w:val="24"/>
              </w:rPr>
            </w:pPr>
            <w:r w:rsidRPr="005C3B55">
              <w:rPr>
                <w:szCs w:val="24"/>
              </w:rPr>
              <w:t>Implementation area: entire Slovenia.</w:t>
            </w:r>
          </w:p>
          <w:p w:rsidR="00F555D6" w:rsidRPr="005C3B55" w:rsidRDefault="00F555D6" w:rsidP="00F555D6">
            <w:pPr>
              <w:spacing w:before="240" w:after="240" w:line="280" w:lineRule="auto"/>
              <w:rPr>
                <w:szCs w:val="24"/>
              </w:rPr>
            </w:pPr>
            <w:r w:rsidRPr="005C3B55">
              <w:rPr>
                <w:szCs w:val="24"/>
              </w:rPr>
              <w:t>Effects:</w:t>
            </w:r>
          </w:p>
          <w:p w:rsidR="00F555D6" w:rsidRPr="005C3B55" w:rsidRDefault="00F555D6" w:rsidP="00F555D6">
            <w:pPr>
              <w:numPr>
                <w:ilvl w:val="0"/>
                <w:numId w:val="813"/>
              </w:numPr>
              <w:spacing w:before="240" w:after="0"/>
              <w:ind w:hanging="290"/>
              <w:jc w:val="left"/>
              <w:rPr>
                <w:szCs w:val="24"/>
              </w:rPr>
            </w:pPr>
            <w:r w:rsidRPr="005C3B55">
              <w:rPr>
                <w:szCs w:val="24"/>
              </w:rPr>
              <w:t>preserving traditional cultural landscape and biodiversity (habitats for many species of plants, birds and other animals);</w:t>
            </w:r>
          </w:p>
          <w:p w:rsidR="00F555D6" w:rsidRPr="005C3B55" w:rsidRDefault="00F555D6" w:rsidP="00F555D6">
            <w:pPr>
              <w:numPr>
                <w:ilvl w:val="0"/>
                <w:numId w:val="813"/>
              </w:numPr>
              <w:spacing w:before="0" w:after="240"/>
              <w:ind w:hanging="290"/>
              <w:jc w:val="left"/>
              <w:rPr>
                <w:szCs w:val="24"/>
              </w:rPr>
            </w:pPr>
            <w:r w:rsidRPr="005C3B55">
              <w:rPr>
                <w:szCs w:val="24"/>
              </w:rPr>
              <w:t>providing favourable status of qualifying species of birds of Natura 2000 areas which nest and feed in meadow orchards.</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Type of support</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Support for the implementation of the operation ‘High-trunk meadow orchards’ consists of:</w:t>
            </w:r>
          </w:p>
          <w:p w:rsidR="00F555D6" w:rsidRPr="005C3B55" w:rsidRDefault="00F555D6" w:rsidP="00F555D6">
            <w:pPr>
              <w:numPr>
                <w:ilvl w:val="0"/>
                <w:numId w:val="814"/>
              </w:numPr>
              <w:spacing w:before="240" w:after="240"/>
              <w:ind w:hanging="290"/>
              <w:jc w:val="left"/>
              <w:rPr>
                <w:szCs w:val="24"/>
              </w:rPr>
            </w:pPr>
            <w:r w:rsidRPr="005C3B55">
              <w:rPr>
                <w:szCs w:val="24"/>
              </w:rPr>
              <w:t>payments per hectare for the implementation of prescribed requirements.</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Connection with other legislation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The operation ‘High-trunk meadow orchards’ is connected with national and EU regulations in the field of measures of agricultural policy, agriculture, the environment, nature protection and rural development.</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Beneficiaries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Beneficiaries for payments are agricultural holdings which participate voluntarily in the implementation of the operation ‘High-trunk meadow orchards’ and meet the prescribed conditions and requirements.</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Eligible costs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Payments are only intended for those commitments within the operation ‘High-trunk meadow orchards’ which exceed suitable mandatory standards determined in accordance with Chapter I, Title VI of Regulation (EU) No 1306/2013, suitable criteria determined in the second indent of item c) of the first paragraph of Article 4 of Regulation (EU) No 1307/2013, and other suitable mandatory requirements from national regulations.</w:t>
            </w:r>
          </w:p>
          <w:p w:rsidR="00F555D6" w:rsidRPr="005C3B55" w:rsidRDefault="00F555D6" w:rsidP="00F555D6">
            <w:pPr>
              <w:spacing w:before="240" w:after="240" w:line="280" w:lineRule="auto"/>
              <w:rPr>
                <w:szCs w:val="24"/>
              </w:rPr>
            </w:pPr>
            <w:r w:rsidRPr="005C3B55">
              <w:rPr>
                <w:szCs w:val="24"/>
              </w:rPr>
              <w:t>Payments cover 100 per cent of the additional costs and the loss of revenue due to the assumed commitment.</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Conditions for eligibility</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When entering the M10 measure, an agricultural holding must:</w:t>
            </w:r>
          </w:p>
          <w:p w:rsidR="00F555D6" w:rsidRPr="005C3B55" w:rsidRDefault="00F555D6" w:rsidP="00F555D6">
            <w:pPr>
              <w:numPr>
                <w:ilvl w:val="0"/>
                <w:numId w:val="815"/>
              </w:numPr>
              <w:spacing w:before="240" w:after="0"/>
              <w:ind w:hanging="290"/>
              <w:jc w:val="left"/>
              <w:rPr>
                <w:szCs w:val="24"/>
              </w:rPr>
            </w:pPr>
            <w:r w:rsidRPr="005C3B55">
              <w:rPr>
                <w:szCs w:val="24"/>
              </w:rPr>
              <w:t>have at least 1 ha of agricultural land in use as per Article 4 of Regulation (EU) No 1307/2013;</w:t>
            </w:r>
          </w:p>
          <w:p w:rsidR="00F555D6" w:rsidRPr="005C3B55" w:rsidRDefault="00F555D6" w:rsidP="00F555D6">
            <w:pPr>
              <w:numPr>
                <w:ilvl w:val="0"/>
                <w:numId w:val="815"/>
              </w:numPr>
              <w:spacing w:before="0" w:after="0"/>
              <w:ind w:hanging="290"/>
              <w:jc w:val="left"/>
              <w:rPr>
                <w:szCs w:val="24"/>
              </w:rPr>
            </w:pPr>
            <w:r w:rsidRPr="005C3B55">
              <w:rPr>
                <w:szCs w:val="24"/>
              </w:rPr>
              <w:t>be entered in the register of agricultural holdings in accordance with the regulation on the register of agricultural holdings;</w:t>
            </w:r>
          </w:p>
          <w:p w:rsidR="00F555D6" w:rsidRPr="005C3B55" w:rsidRDefault="00F555D6" w:rsidP="00F555D6">
            <w:pPr>
              <w:numPr>
                <w:ilvl w:val="0"/>
                <w:numId w:val="815"/>
              </w:numPr>
              <w:spacing w:before="0" w:after="0"/>
              <w:ind w:hanging="290"/>
              <w:jc w:val="left"/>
              <w:rPr>
                <w:szCs w:val="24"/>
              </w:rPr>
            </w:pPr>
            <w:r w:rsidRPr="005C3B55">
              <w:rPr>
                <w:szCs w:val="24"/>
              </w:rPr>
              <w:t>undergo a six-hour training programme on agri-environment-climate content;</w:t>
            </w:r>
          </w:p>
          <w:p w:rsidR="00F555D6" w:rsidRPr="005C3B55" w:rsidRDefault="00F555D6" w:rsidP="00F555D6">
            <w:pPr>
              <w:numPr>
                <w:ilvl w:val="0"/>
                <w:numId w:val="815"/>
              </w:numPr>
              <w:spacing w:before="0" w:after="240"/>
              <w:ind w:hanging="290"/>
              <w:jc w:val="left"/>
              <w:rPr>
                <w:szCs w:val="24"/>
              </w:rPr>
            </w:pPr>
            <w:r w:rsidRPr="005C3B55">
              <w:rPr>
                <w:szCs w:val="24"/>
              </w:rPr>
              <w:t>prepare an activities programme of the agricultural holding which is an electronic document prepared as a result of advisory services.</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Principles regarding the determination of selection criteria</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The selection criteria are not relevant.</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(Valid) amounts and support rates</w:t>
      </w:r>
    </w:p>
    <w:p w:rsidR="00F555D6" w:rsidRPr="005C3B55" w:rsidRDefault="00F555D6" w:rsidP="00F555D6">
      <w:pPr>
        <w:pStyle w:val="Naslov6"/>
        <w:tabs>
          <w:tab w:val="clear" w:pos="765"/>
        </w:tabs>
        <w:spacing w:before="0" w:after="0"/>
        <w:ind w:left="0" w:firstLine="0"/>
        <w:rPr>
          <w:szCs w:val="24"/>
          <w:lang w:val="en-GB"/>
        </w:rPr>
      </w:pP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The amount of payment for the operation ‘High-trunk meadow orchards’ amounts to 100% of amount of payments as per the model calculation.</w:t>
            </w:r>
          </w:p>
          <w:p w:rsidR="00F555D6" w:rsidRPr="005C3B55" w:rsidRDefault="00F555D6" w:rsidP="00F555D6">
            <w:pPr>
              <w:numPr>
                <w:ilvl w:val="0"/>
                <w:numId w:val="816"/>
              </w:numPr>
              <w:spacing w:before="240" w:after="0"/>
              <w:ind w:hanging="290"/>
              <w:jc w:val="left"/>
              <w:rPr>
                <w:szCs w:val="24"/>
              </w:rPr>
            </w:pPr>
            <w:r w:rsidRPr="005C3B55">
              <w:rPr>
                <w:szCs w:val="24"/>
              </w:rPr>
              <w:t>Calculated payment amount as per model calculation: EUR 204.20/hectare annually.</w:t>
            </w:r>
          </w:p>
          <w:p w:rsidR="00F555D6" w:rsidRPr="005C3B55" w:rsidRDefault="00F555D6" w:rsidP="00F555D6">
            <w:pPr>
              <w:numPr>
                <w:ilvl w:val="0"/>
                <w:numId w:val="816"/>
              </w:numPr>
              <w:spacing w:before="0" w:after="0"/>
              <w:ind w:hanging="290"/>
              <w:jc w:val="left"/>
              <w:rPr>
                <w:szCs w:val="24"/>
              </w:rPr>
            </w:pPr>
            <w:r w:rsidRPr="005C3B55">
              <w:rPr>
                <w:szCs w:val="24"/>
              </w:rPr>
              <w:t>The highest possible payment as per Annex II to Regulation (EU) No 1305/2013: EUR 450/hectare annually.</w:t>
            </w:r>
          </w:p>
          <w:p w:rsidR="00F555D6" w:rsidRPr="005C3B55" w:rsidRDefault="00F555D6" w:rsidP="00F555D6">
            <w:pPr>
              <w:numPr>
                <w:ilvl w:val="0"/>
                <w:numId w:val="816"/>
              </w:numPr>
              <w:spacing w:before="0" w:after="0"/>
              <w:ind w:hanging="290"/>
              <w:jc w:val="left"/>
              <w:rPr>
                <w:szCs w:val="24"/>
              </w:rPr>
            </w:pPr>
            <w:r w:rsidRPr="005C3B55">
              <w:rPr>
                <w:szCs w:val="24"/>
              </w:rPr>
              <w:t>The highest possible amount: EUR 204.20/hectare annually.</w:t>
            </w:r>
          </w:p>
          <w:p w:rsidR="00F555D6" w:rsidRPr="005C3B55" w:rsidRDefault="00F555D6" w:rsidP="00F555D6">
            <w:pPr>
              <w:numPr>
                <w:ilvl w:val="0"/>
                <w:numId w:val="816"/>
              </w:numPr>
              <w:spacing w:before="0" w:after="240"/>
              <w:ind w:hanging="290"/>
              <w:jc w:val="left"/>
              <w:rPr>
                <w:szCs w:val="24"/>
              </w:rPr>
            </w:pPr>
            <w:r w:rsidRPr="005C3B55">
              <w:rPr>
                <w:b/>
                <w:szCs w:val="24"/>
              </w:rPr>
              <w:t>Payment (100% of payment amount calculated as per the model calculation): EUR 204.20/hectare annually.</w:t>
            </w:r>
          </w:p>
          <w:p w:rsidR="00F555D6" w:rsidRPr="005C3B55" w:rsidRDefault="00F555D6" w:rsidP="00F555D6">
            <w:pPr>
              <w:spacing w:before="240" w:after="240" w:line="280" w:lineRule="auto"/>
              <w:rPr>
                <w:szCs w:val="24"/>
              </w:rPr>
            </w:pPr>
            <w:r w:rsidRPr="005C3B55">
              <w:rPr>
                <w:szCs w:val="24"/>
              </w:rPr>
              <w:t> </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Verifiability and possibility of control of measures and/or type of operations</w:t>
      </w:r>
    </w:p>
    <w:p w:rsidR="00F555D6" w:rsidRPr="005C3B55" w:rsidRDefault="00F555D6" w:rsidP="00F555D6">
      <w:pPr>
        <w:pStyle w:val="Naslov7"/>
        <w:tabs>
          <w:tab w:val="clear" w:pos="765"/>
        </w:tabs>
        <w:ind w:left="0" w:firstLine="0"/>
        <w:rPr>
          <w:szCs w:val="24"/>
          <w:lang w:val="en-GB"/>
        </w:rPr>
      </w:pPr>
      <w:r w:rsidRPr="005C3B55">
        <w:rPr>
          <w:noProof w:val="0"/>
          <w:szCs w:val="24"/>
          <w:lang w:val="en-GB"/>
        </w:rPr>
        <w:t>Risks in the implementation of the measure</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b/>
                <w:szCs w:val="24"/>
              </w:rPr>
              <w:t>R5: Requirements which are difficult to verify and/or control</w:t>
            </w:r>
          </w:p>
          <w:p w:rsidR="00F555D6" w:rsidRPr="005C3B55" w:rsidRDefault="00F555D6" w:rsidP="00F555D6">
            <w:pPr>
              <w:spacing w:before="240" w:after="240" w:line="280" w:lineRule="auto"/>
              <w:rPr>
                <w:szCs w:val="24"/>
              </w:rPr>
            </w:pPr>
            <w:r w:rsidRPr="005C3B55">
              <w:rPr>
                <w:szCs w:val="24"/>
              </w:rPr>
              <w:t>Administrative control and on-the-spot control are feasible.</w:t>
            </w:r>
          </w:p>
          <w:p w:rsidR="00F555D6" w:rsidRPr="005C3B55" w:rsidRDefault="00F555D6" w:rsidP="00F555D6">
            <w:pPr>
              <w:spacing w:before="240" w:after="240" w:line="280" w:lineRule="auto"/>
              <w:rPr>
                <w:szCs w:val="24"/>
              </w:rPr>
            </w:pPr>
            <w:r w:rsidRPr="005C3B55">
              <w:rPr>
                <w:b/>
                <w:szCs w:val="24"/>
              </w:rPr>
              <w:t>R6: Preconditions as eligibility conditions</w:t>
            </w:r>
          </w:p>
          <w:p w:rsidR="00F555D6" w:rsidRPr="005C3B55" w:rsidRDefault="00F555D6" w:rsidP="00F555D6">
            <w:pPr>
              <w:spacing w:before="240" w:after="240" w:line="280" w:lineRule="auto"/>
              <w:rPr>
                <w:szCs w:val="24"/>
              </w:rPr>
            </w:pPr>
            <w:r w:rsidRPr="005C3B55">
              <w:rPr>
                <w:szCs w:val="24"/>
              </w:rPr>
              <w:t>Ill-timed adoption of regulations which regulate payments for the M10 measure and which enable beneficiaries to be informed about the eligibility conditions for implementing this operation, and insufficient knowledge of the conditions of the operation ‘High-trunk meadow orchards’ present a risk for the implementation of this measure.</w:t>
            </w:r>
          </w:p>
          <w:p w:rsidR="00F555D6" w:rsidRPr="005C3B55" w:rsidRDefault="00F555D6" w:rsidP="00F555D6">
            <w:pPr>
              <w:spacing w:before="240" w:after="240" w:line="280" w:lineRule="auto"/>
              <w:rPr>
                <w:szCs w:val="24"/>
              </w:rPr>
            </w:pPr>
            <w:r w:rsidRPr="005C3B55">
              <w:rPr>
                <w:b/>
                <w:szCs w:val="24"/>
              </w:rPr>
              <w:t>R8: IT systems</w:t>
            </w:r>
          </w:p>
          <w:p w:rsidR="00F555D6" w:rsidRPr="005C3B55" w:rsidRDefault="00F555D6" w:rsidP="00F555D6">
            <w:pPr>
              <w:spacing w:before="240" w:after="240" w:line="280" w:lineRule="auto"/>
              <w:rPr>
                <w:szCs w:val="24"/>
              </w:rPr>
            </w:pPr>
            <w:r w:rsidRPr="005C3B55">
              <w:rPr>
                <w:szCs w:val="24"/>
              </w:rPr>
              <w:t>Unsuitable connectivity and arrangement of certain databases when entering the operation ‘High-trunk meadow orchards’.</w:t>
            </w:r>
          </w:p>
          <w:p w:rsidR="00F555D6" w:rsidRPr="005C3B55" w:rsidRDefault="00F555D6" w:rsidP="00F555D6">
            <w:pPr>
              <w:spacing w:before="240" w:after="240" w:line="280" w:lineRule="auto"/>
              <w:rPr>
                <w:szCs w:val="24"/>
              </w:rPr>
            </w:pPr>
            <w:r w:rsidRPr="005C3B55">
              <w:rPr>
                <w:b/>
                <w:szCs w:val="24"/>
              </w:rPr>
              <w:t>R9: Requests for payment</w:t>
            </w:r>
          </w:p>
          <w:p w:rsidR="00F555D6" w:rsidRPr="005C3B55" w:rsidRDefault="00F555D6" w:rsidP="00F555D6">
            <w:pPr>
              <w:spacing w:before="240" w:after="240" w:line="280" w:lineRule="auto"/>
              <w:rPr>
                <w:szCs w:val="24"/>
              </w:rPr>
            </w:pPr>
            <w:r w:rsidRPr="005C3B55">
              <w:rPr>
                <w:szCs w:val="24"/>
              </w:rPr>
              <w:t>Lack of, and delayed, information and insufficient knowledge of the operation ‘High-trunk meadow orchards’, poor familiarisation with the procedure for submitting the application and the beneficiary’s incorrect reporting about the size of surfaces.</w:t>
            </w:r>
          </w:p>
          <w:p w:rsidR="00F555D6" w:rsidRPr="005C3B55" w:rsidRDefault="00F555D6" w:rsidP="00F555D6">
            <w:pPr>
              <w:pStyle w:val="Telobesedila"/>
              <w:rPr>
                <w:szCs w:val="24"/>
              </w:rPr>
            </w:pPr>
          </w:p>
        </w:tc>
      </w:tr>
    </w:tbl>
    <w:p w:rsidR="00F555D6" w:rsidRPr="005C3B55" w:rsidRDefault="00F555D6" w:rsidP="00F555D6">
      <w:pPr>
        <w:pStyle w:val="Naslov7"/>
        <w:tabs>
          <w:tab w:val="clear" w:pos="765"/>
        </w:tabs>
        <w:ind w:left="0" w:firstLine="0"/>
        <w:rPr>
          <w:szCs w:val="24"/>
          <w:lang w:val="en-GB"/>
        </w:rPr>
      </w:pPr>
      <w:r w:rsidRPr="005C3B55">
        <w:rPr>
          <w:noProof w:val="0"/>
          <w:szCs w:val="24"/>
          <w:lang w:val="en-GB"/>
        </w:rPr>
        <w:t>Mitigation measures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b/>
                <w:szCs w:val="24"/>
              </w:rPr>
              <w:t>R5: Requirements which are difficult to verify and/or control</w:t>
            </w:r>
          </w:p>
          <w:p w:rsidR="00F555D6" w:rsidRPr="005C3B55" w:rsidRDefault="00F555D6" w:rsidP="00F555D6">
            <w:pPr>
              <w:spacing w:before="240" w:after="240" w:line="280" w:lineRule="auto"/>
              <w:rPr>
                <w:szCs w:val="24"/>
              </w:rPr>
            </w:pPr>
            <w:r w:rsidRPr="005C3B55">
              <w:rPr>
                <w:szCs w:val="24"/>
              </w:rPr>
              <w:t>Administrative control will be upgraded accordingly for certain requirements (suitability of a plant for an individual requirement when submitting the application, suitability of the meadow orchard, density of trees, grassification, etc.).</w:t>
            </w:r>
          </w:p>
          <w:p w:rsidR="00F555D6" w:rsidRPr="005C3B55" w:rsidRDefault="00F555D6" w:rsidP="00F555D6">
            <w:pPr>
              <w:spacing w:before="240" w:after="240" w:line="280" w:lineRule="auto"/>
              <w:rPr>
                <w:szCs w:val="24"/>
              </w:rPr>
            </w:pPr>
            <w:r w:rsidRPr="005C3B55">
              <w:rPr>
                <w:szCs w:val="24"/>
              </w:rPr>
              <w:t>Requirements for the implementation of measure M10 which cannot be verified administratively will be verified or controlled on the spot. This control will verify all available records and evidence.</w:t>
            </w:r>
          </w:p>
          <w:p w:rsidR="00F555D6" w:rsidRPr="005C3B55" w:rsidRDefault="00F555D6" w:rsidP="00F555D6">
            <w:pPr>
              <w:spacing w:before="240" w:after="240" w:line="280" w:lineRule="auto"/>
              <w:rPr>
                <w:szCs w:val="24"/>
              </w:rPr>
            </w:pPr>
            <w:r w:rsidRPr="005C3B55">
              <w:rPr>
                <w:b/>
                <w:szCs w:val="24"/>
              </w:rPr>
              <w:t>R6: Preconditions as eligibility conditions</w:t>
            </w:r>
          </w:p>
          <w:p w:rsidR="00F555D6" w:rsidRPr="005C3B55" w:rsidRDefault="00F555D6" w:rsidP="00F555D6">
            <w:pPr>
              <w:spacing w:before="240" w:after="240" w:line="280" w:lineRule="auto"/>
              <w:rPr>
                <w:szCs w:val="24"/>
              </w:rPr>
            </w:pPr>
            <w:r w:rsidRPr="005C3B55">
              <w:rPr>
                <w:szCs w:val="24"/>
              </w:rPr>
              <w:t>Prior to entering in the operation ‘High-trunk meadow orchards’, a beneficiary will have to undergo a mandatory six-hour training which is one of the eligibility conditions. At the training, the beneficiary will become acquainted with the eligibility conditions for entering in the operation and the conditions of individual requirements for implementing the operation, including the Rural Development Programme 2010–2014 and the national regulation regulating payments for the M10 measure.</w:t>
            </w:r>
          </w:p>
          <w:p w:rsidR="00F555D6" w:rsidRPr="005C3B55" w:rsidRDefault="00F555D6" w:rsidP="00F555D6">
            <w:pPr>
              <w:spacing w:before="240" w:after="240" w:line="280" w:lineRule="auto"/>
              <w:rPr>
                <w:szCs w:val="24"/>
              </w:rPr>
            </w:pPr>
            <w:r w:rsidRPr="005C3B55">
              <w:rPr>
                <w:szCs w:val="24"/>
              </w:rPr>
              <w:t>After training, the beneficiary will be able to prepare a programme of activities of the agricultural holding, which is one of the eligibility conditions, and in which it will determine which operation and requirements to implement within the M10 measure.</w:t>
            </w:r>
          </w:p>
          <w:p w:rsidR="00F555D6" w:rsidRPr="005C3B55" w:rsidRDefault="00F555D6" w:rsidP="00F555D6">
            <w:pPr>
              <w:spacing w:before="240" w:after="240" w:line="280" w:lineRule="auto"/>
              <w:rPr>
                <w:szCs w:val="24"/>
              </w:rPr>
            </w:pPr>
            <w:r w:rsidRPr="005C3B55">
              <w:rPr>
                <w:b/>
                <w:szCs w:val="24"/>
              </w:rPr>
              <w:t>R8: IT systems</w:t>
            </w:r>
          </w:p>
          <w:p w:rsidR="00F555D6" w:rsidRPr="005C3B55" w:rsidRDefault="00F555D6" w:rsidP="00F555D6">
            <w:pPr>
              <w:spacing w:before="240" w:after="240" w:line="280" w:lineRule="auto"/>
              <w:rPr>
                <w:szCs w:val="24"/>
              </w:rPr>
            </w:pPr>
            <w:r w:rsidRPr="005C3B55">
              <w:rPr>
                <w:szCs w:val="24"/>
              </w:rPr>
              <w:t>Suitable connections will be established and databases arranged (registers, records, codes and combinations of requirements within or between operations).</w:t>
            </w:r>
          </w:p>
          <w:p w:rsidR="00F555D6" w:rsidRPr="005C3B55" w:rsidRDefault="00F555D6" w:rsidP="00F555D6">
            <w:pPr>
              <w:spacing w:before="240" w:after="240" w:line="280" w:lineRule="auto"/>
              <w:rPr>
                <w:szCs w:val="24"/>
              </w:rPr>
            </w:pPr>
            <w:r w:rsidRPr="005C3B55">
              <w:rPr>
                <w:szCs w:val="24"/>
              </w:rPr>
              <w:t>An application enabling cross-checking of data from different databases will be established.</w:t>
            </w:r>
          </w:p>
          <w:p w:rsidR="00F555D6" w:rsidRPr="005C3B55" w:rsidRDefault="00F555D6" w:rsidP="00F555D6">
            <w:pPr>
              <w:spacing w:before="240" w:after="240" w:line="280" w:lineRule="auto"/>
              <w:rPr>
                <w:szCs w:val="24"/>
              </w:rPr>
            </w:pPr>
            <w:r w:rsidRPr="005C3B55">
              <w:rPr>
                <w:b/>
                <w:szCs w:val="24"/>
              </w:rPr>
              <w:t>R9: Requests for payment</w:t>
            </w:r>
          </w:p>
          <w:p w:rsidR="00F555D6" w:rsidRPr="005C3B55" w:rsidRDefault="00F555D6" w:rsidP="00F555D6">
            <w:pPr>
              <w:spacing w:before="240" w:after="240" w:line="280" w:lineRule="auto"/>
              <w:rPr>
                <w:szCs w:val="24"/>
              </w:rPr>
            </w:pPr>
            <w:r w:rsidRPr="005C3B55">
              <w:rPr>
                <w:szCs w:val="24"/>
              </w:rPr>
              <w:t>Mandatory annual four-hour training and mandatory use of advisory services at least once in the first three years of the commitment are introduced in order for beneficiaries to be suitably informed about all conditions and requirements for the implementation of the M10 measure. Regular annual informing of beneficiaries about their commitments related to the implementation of the M10 measure as part of the annual campaign for implementing requests for agricultural policy measures during the year and also within the scope of specific and purpose-oriented informing of beneficiaries is envisaged</w:t>
            </w:r>
            <w:r w:rsidRPr="005C3B55">
              <w:rPr>
                <w:rFonts w:ascii="TimesNewRoman" w:hAnsi="TimesNewRoman"/>
                <w:szCs w:val="24"/>
              </w:rPr>
              <w:t>.</w:t>
            </w:r>
          </w:p>
          <w:p w:rsidR="00F555D6" w:rsidRPr="005C3B55" w:rsidRDefault="00F555D6" w:rsidP="00F555D6">
            <w:pPr>
              <w:spacing w:before="240" w:after="240" w:line="280" w:lineRule="auto"/>
              <w:rPr>
                <w:szCs w:val="24"/>
              </w:rPr>
            </w:pPr>
            <w:r w:rsidRPr="005C3B55">
              <w:rPr>
                <w:szCs w:val="24"/>
              </w:rPr>
              <w:t>On the basis of the programme of activities, the request for payment will be submitted electronically on prescribed forms, by means of which a beneficiary will define for which requirements within individual operations of the M10 measure it will request payment.</w:t>
            </w:r>
          </w:p>
          <w:p w:rsidR="00F555D6" w:rsidRPr="005C3B55" w:rsidRDefault="00F555D6" w:rsidP="00F555D6">
            <w:pPr>
              <w:spacing w:before="240" w:after="240" w:line="280" w:lineRule="auto"/>
              <w:rPr>
                <w:szCs w:val="24"/>
              </w:rPr>
            </w:pPr>
            <w:r w:rsidRPr="005C3B55">
              <w:rPr>
                <w:szCs w:val="24"/>
              </w:rPr>
              <w:t>The upgrading of the IT system for administrative control will be implemented, which will allow certain verifications and controls already upon the submission of the request for payment (size of surface, suitability of areas, suitability of combinations of requests and operations, suitability of agricultural plant and suitability of use as per individual register).</w:t>
            </w:r>
          </w:p>
          <w:p w:rsidR="00F555D6" w:rsidRPr="005C3B55" w:rsidRDefault="00F555D6" w:rsidP="00F555D6">
            <w:pPr>
              <w:spacing w:before="240" w:after="240" w:line="280" w:lineRule="auto"/>
              <w:rPr>
                <w:szCs w:val="24"/>
              </w:rPr>
            </w:pPr>
            <w:r w:rsidRPr="005C3B55">
              <w:rPr>
                <w:szCs w:val="24"/>
              </w:rPr>
              <w:t>If a beneficiary fails to meet the eligibility conditions for entering measure M10, they will be alerted to the shortcomings which they will be able to eliminate by the prescribed deadline; otherwise, it will not be possible to submit a request for the payment of measure M10.</w:t>
            </w:r>
          </w:p>
          <w:p w:rsidR="00F555D6" w:rsidRPr="005C3B55" w:rsidRDefault="00F555D6" w:rsidP="00F555D6">
            <w:pPr>
              <w:spacing w:before="240" w:after="240" w:line="280" w:lineRule="auto"/>
              <w:rPr>
                <w:szCs w:val="24"/>
              </w:rPr>
            </w:pPr>
            <w:r w:rsidRPr="005C3B55">
              <w:rPr>
                <w:szCs w:val="24"/>
              </w:rPr>
              <w:t>Unpermitted combinations between operations and unpermitted combinations of this operation with requirements within other operations of the M10 measure will be disabled.</w:t>
            </w:r>
          </w:p>
          <w:p w:rsidR="00F555D6" w:rsidRPr="005C3B55" w:rsidRDefault="00F555D6" w:rsidP="00F555D6">
            <w:pPr>
              <w:spacing w:before="240" w:after="240" w:line="280" w:lineRule="auto"/>
              <w:rPr>
                <w:szCs w:val="24"/>
              </w:rPr>
            </w:pPr>
            <w:r w:rsidRPr="005C3B55">
              <w:rPr>
                <w:szCs w:val="24"/>
              </w:rPr>
              <w:t>A beneficiary who will also be included in the implementation of the M11 measure will not have the opportunity to submit the request for unauthorised combinations of this measure with the M10 measure.</w:t>
            </w:r>
          </w:p>
          <w:p w:rsidR="00F555D6" w:rsidRPr="005C3B55" w:rsidRDefault="00F555D6" w:rsidP="00F555D6">
            <w:pPr>
              <w:pStyle w:val="Telobesedila"/>
              <w:rPr>
                <w:szCs w:val="24"/>
              </w:rPr>
            </w:pPr>
          </w:p>
        </w:tc>
      </w:tr>
    </w:tbl>
    <w:p w:rsidR="00F555D6" w:rsidRPr="005C3B55" w:rsidRDefault="00F555D6" w:rsidP="00F555D6">
      <w:pPr>
        <w:pStyle w:val="Naslov7"/>
        <w:tabs>
          <w:tab w:val="clear" w:pos="765"/>
        </w:tabs>
        <w:ind w:left="0" w:firstLine="0"/>
        <w:rPr>
          <w:szCs w:val="24"/>
          <w:lang w:val="en-GB"/>
        </w:rPr>
      </w:pPr>
      <w:r w:rsidRPr="005C3B55">
        <w:rPr>
          <w:noProof w:val="0"/>
          <w:szCs w:val="24"/>
          <w:lang w:val="en-GB"/>
        </w:rPr>
        <w:t>General assessment of the measure</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 xml:space="preserve">Described in Chapter </w:t>
            </w:r>
            <w:r w:rsidRPr="005C3B55">
              <w:rPr>
                <w:i/>
                <w:szCs w:val="24"/>
              </w:rPr>
              <w:t>8.2.9.4.3 General assessment of the measure</w:t>
            </w:r>
            <w:r w:rsidRPr="005C3B55">
              <w:rPr>
                <w:szCs w:val="24"/>
              </w:rPr>
              <w:t>.</w:t>
            </w:r>
          </w:p>
          <w:p w:rsidR="00F555D6" w:rsidRPr="005C3B55" w:rsidRDefault="00F555D6" w:rsidP="00F555D6">
            <w:pPr>
              <w:pStyle w:val="Telobesedila"/>
              <w:rPr>
                <w:szCs w:val="24"/>
              </w:rPr>
            </w:pPr>
          </w:p>
        </w:tc>
      </w:tr>
    </w:tbl>
    <w:p w:rsidR="00F555D6" w:rsidRPr="005C3B55" w:rsidRDefault="00F555D6" w:rsidP="00F555D6">
      <w:pPr>
        <w:pStyle w:val="Naslov7"/>
        <w:tabs>
          <w:tab w:val="clear" w:pos="765"/>
        </w:tabs>
        <w:ind w:left="0" w:firstLine="0"/>
        <w:rPr>
          <w:szCs w:val="24"/>
          <w:lang w:val="en-GB"/>
        </w:rPr>
      </w:pPr>
      <w:r w:rsidRPr="005C3B55">
        <w:rPr>
          <w:noProof w:val="0"/>
          <w:szCs w:val="24"/>
          <w:lang w:val="en-GB"/>
        </w:rPr>
        <w:t>Agri-environment-climate commitments</w:t>
      </w:r>
    </w:p>
    <w:p w:rsidR="00F555D6" w:rsidRPr="005C3B55" w:rsidRDefault="00F555D6" w:rsidP="00F555D6">
      <w:pPr>
        <w:pStyle w:val="Naslov8"/>
        <w:tabs>
          <w:tab w:val="clear" w:pos="765"/>
        </w:tabs>
        <w:ind w:left="0" w:firstLine="0"/>
        <w:rPr>
          <w:b w:val="0"/>
          <w:szCs w:val="24"/>
          <w:lang w:val="en-GB"/>
        </w:rPr>
      </w:pPr>
      <w:r w:rsidRPr="005C3B55">
        <w:rPr>
          <w:b w:val="0"/>
          <w:noProof w:val="0"/>
          <w:szCs w:val="24"/>
          <w:lang w:val="en-GB"/>
        </w:rPr>
        <w:t>KRA_VTSA:</w:t>
      </w:r>
      <w:r w:rsidRPr="005C3B55">
        <w:rPr>
          <w:b w:val="0"/>
          <w:szCs w:val="24"/>
          <w:lang w:val="en-GB"/>
        </w:rPr>
        <w:t xml:space="preserve"> </w:t>
      </w:r>
      <w:r w:rsidRPr="005C3B55">
        <w:rPr>
          <w:b w:val="0"/>
          <w:noProof w:val="0"/>
          <w:szCs w:val="24"/>
          <w:lang w:val="en-GB"/>
        </w:rPr>
        <w:t>High-trunk meadow orchards</w:t>
      </w:r>
    </w:p>
    <w:p w:rsidR="00F555D6" w:rsidRPr="005C3B55" w:rsidRDefault="00F555D6" w:rsidP="00F555D6">
      <w:pPr>
        <w:pStyle w:val="Naslov9"/>
        <w:tabs>
          <w:tab w:val="clear" w:pos="765"/>
        </w:tabs>
        <w:ind w:left="0" w:firstLine="0"/>
        <w:rPr>
          <w:szCs w:val="24"/>
          <w:lang w:val="en-GB"/>
        </w:rPr>
      </w:pPr>
      <w:r w:rsidRPr="005C3B55">
        <w:rPr>
          <w:noProof w:val="0"/>
          <w:szCs w:val="24"/>
          <w:lang w:val="en-GB"/>
        </w:rPr>
        <w:t>Methods of commitment verification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Administrative control:</w:t>
            </w:r>
          </w:p>
          <w:p w:rsidR="00F555D6" w:rsidRPr="005C3B55" w:rsidRDefault="00F555D6" w:rsidP="00F555D6">
            <w:pPr>
              <w:numPr>
                <w:ilvl w:val="0"/>
                <w:numId w:val="817"/>
              </w:numPr>
              <w:spacing w:before="240" w:after="0"/>
              <w:ind w:hanging="290"/>
              <w:jc w:val="left"/>
              <w:rPr>
                <w:szCs w:val="24"/>
              </w:rPr>
            </w:pPr>
            <w:r w:rsidRPr="005C3B55">
              <w:rPr>
                <w:szCs w:val="24"/>
              </w:rPr>
              <w:t>suitability of the fruit species through collective application;</w:t>
            </w:r>
          </w:p>
          <w:p w:rsidR="00F555D6" w:rsidRPr="005C3B55" w:rsidRDefault="00F555D6" w:rsidP="00F555D6">
            <w:pPr>
              <w:numPr>
                <w:ilvl w:val="0"/>
                <w:numId w:val="817"/>
              </w:numPr>
              <w:spacing w:before="0" w:after="0"/>
              <w:ind w:hanging="290"/>
              <w:jc w:val="left"/>
              <w:rPr>
                <w:szCs w:val="24"/>
              </w:rPr>
            </w:pPr>
            <w:r w:rsidRPr="005C3B55">
              <w:rPr>
                <w:szCs w:val="24"/>
              </w:rPr>
              <w:t>suitability of density of trees through the register of agricultural holdings;</w:t>
            </w:r>
          </w:p>
          <w:p w:rsidR="00F555D6" w:rsidRPr="005C3B55" w:rsidRDefault="00F555D6" w:rsidP="00F555D6">
            <w:pPr>
              <w:numPr>
                <w:ilvl w:val="0"/>
                <w:numId w:val="817"/>
              </w:numPr>
              <w:spacing w:before="0" w:after="0"/>
              <w:ind w:hanging="290"/>
              <w:jc w:val="left"/>
              <w:rPr>
                <w:szCs w:val="24"/>
              </w:rPr>
            </w:pPr>
            <w:r w:rsidRPr="005C3B55">
              <w:rPr>
                <w:szCs w:val="24"/>
              </w:rPr>
              <w:t>suitability of grassification with managed fallow through the register of agricultural holdings;</w:t>
            </w:r>
          </w:p>
          <w:p w:rsidR="00F555D6" w:rsidRPr="005C3B55" w:rsidRDefault="00F555D6" w:rsidP="00F555D6">
            <w:pPr>
              <w:numPr>
                <w:ilvl w:val="0"/>
                <w:numId w:val="817"/>
              </w:numPr>
              <w:spacing w:before="0" w:after="240"/>
              <w:ind w:hanging="290"/>
              <w:jc w:val="left"/>
              <w:rPr>
                <w:szCs w:val="24"/>
              </w:rPr>
            </w:pPr>
            <w:r w:rsidRPr="005C3B55">
              <w:rPr>
                <w:szCs w:val="24"/>
              </w:rPr>
              <w:t>verification that a meadow orchard is a high-trunk orchard through the register of agricultural holdings.</w:t>
            </w:r>
          </w:p>
          <w:p w:rsidR="00F555D6" w:rsidRPr="005C3B55" w:rsidRDefault="00F555D6" w:rsidP="00F555D6">
            <w:pPr>
              <w:spacing w:before="240" w:after="240" w:line="280" w:lineRule="auto"/>
              <w:rPr>
                <w:szCs w:val="24"/>
              </w:rPr>
            </w:pPr>
            <w:r w:rsidRPr="005C3B55">
              <w:rPr>
                <w:szCs w:val="24"/>
              </w:rPr>
              <w:t>Registers/records:</w:t>
            </w:r>
          </w:p>
          <w:p w:rsidR="00F555D6" w:rsidRPr="005C3B55" w:rsidRDefault="00F555D6" w:rsidP="00F555D6">
            <w:pPr>
              <w:numPr>
                <w:ilvl w:val="0"/>
                <w:numId w:val="818"/>
              </w:numPr>
              <w:spacing w:before="240" w:after="0"/>
              <w:ind w:hanging="290"/>
              <w:jc w:val="left"/>
              <w:rPr>
                <w:szCs w:val="24"/>
              </w:rPr>
            </w:pPr>
            <w:r w:rsidRPr="005C3B55">
              <w:rPr>
                <w:szCs w:val="24"/>
              </w:rPr>
              <w:t>register of agricultural holdings;</w:t>
            </w:r>
          </w:p>
          <w:p w:rsidR="00F555D6" w:rsidRPr="005C3B55" w:rsidRDefault="00F555D6" w:rsidP="00F555D6">
            <w:pPr>
              <w:numPr>
                <w:ilvl w:val="0"/>
                <w:numId w:val="818"/>
              </w:numPr>
              <w:spacing w:before="0" w:after="240"/>
              <w:ind w:hanging="290"/>
              <w:jc w:val="left"/>
              <w:rPr>
                <w:szCs w:val="24"/>
              </w:rPr>
            </w:pPr>
            <w:r w:rsidRPr="005C3B55">
              <w:rPr>
                <w:szCs w:val="24"/>
              </w:rPr>
              <w:t>graphical agricultural unit of agricultural holding (GERK).</w:t>
            </w:r>
          </w:p>
          <w:p w:rsidR="00F555D6" w:rsidRPr="005C3B55" w:rsidRDefault="00F555D6" w:rsidP="00F555D6">
            <w:pPr>
              <w:spacing w:before="240" w:after="240" w:line="280" w:lineRule="auto"/>
              <w:rPr>
                <w:szCs w:val="24"/>
              </w:rPr>
            </w:pPr>
            <w:r w:rsidRPr="005C3B55">
              <w:rPr>
                <w:szCs w:val="24"/>
              </w:rPr>
              <w:t>On-site control:</w:t>
            </w:r>
          </w:p>
          <w:p w:rsidR="00F555D6" w:rsidRPr="005C3B55" w:rsidRDefault="00F555D6" w:rsidP="00F555D6">
            <w:pPr>
              <w:numPr>
                <w:ilvl w:val="0"/>
                <w:numId w:val="819"/>
              </w:numPr>
              <w:spacing w:before="240" w:after="0"/>
              <w:ind w:hanging="290"/>
              <w:jc w:val="left"/>
              <w:rPr>
                <w:szCs w:val="24"/>
              </w:rPr>
            </w:pPr>
            <w:r w:rsidRPr="005C3B55">
              <w:rPr>
                <w:szCs w:val="24"/>
              </w:rPr>
              <w:t>records on works;</w:t>
            </w:r>
          </w:p>
          <w:p w:rsidR="00F555D6" w:rsidRPr="005C3B55" w:rsidRDefault="00F555D6" w:rsidP="00F555D6">
            <w:pPr>
              <w:numPr>
                <w:ilvl w:val="0"/>
                <w:numId w:val="819"/>
              </w:numPr>
              <w:spacing w:before="0" w:after="0"/>
              <w:ind w:hanging="290"/>
              <w:jc w:val="left"/>
              <w:rPr>
                <w:szCs w:val="24"/>
              </w:rPr>
            </w:pPr>
            <w:r w:rsidRPr="005C3B55">
              <w:rPr>
                <w:szCs w:val="24"/>
              </w:rPr>
              <w:t>statement on suitable land in the case of filling empty spaces;</w:t>
            </w:r>
          </w:p>
          <w:p w:rsidR="00F555D6" w:rsidRPr="005C3B55" w:rsidRDefault="00F555D6" w:rsidP="00F555D6">
            <w:pPr>
              <w:numPr>
                <w:ilvl w:val="0"/>
                <w:numId w:val="819"/>
              </w:numPr>
              <w:spacing w:before="0" w:after="240"/>
              <w:ind w:hanging="290"/>
              <w:jc w:val="left"/>
              <w:rPr>
                <w:szCs w:val="24"/>
              </w:rPr>
            </w:pPr>
            <w:r w:rsidRPr="005C3B55">
              <w:rPr>
                <w:szCs w:val="24"/>
              </w:rPr>
              <w:t>review of the agricultural holding.</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Information that relates specifically to the operation</w:t>
      </w:r>
    </w:p>
    <w:p w:rsidR="00F555D6" w:rsidRPr="005C3B55" w:rsidRDefault="00F555D6" w:rsidP="00F555D6">
      <w:pPr>
        <w:spacing w:line="280" w:lineRule="auto"/>
        <w:rPr>
          <w:szCs w:val="24"/>
        </w:rPr>
      </w:pPr>
      <w:r w:rsidRPr="005C3B55">
        <w:rPr>
          <w:szCs w:val="24"/>
        </w:rPr>
        <w:t>Definition and identification of the relevant basic elements; this should include the relevant mandatory standards determined in accordance with Chapter I of Title VI of Regulation (EU) No 1306/2013 of the European Parliament and of the Council, relevant criteria and minimum activities determined in accordance with points (c)(ii) and (c)(iii) of the first paragraph of Article 4 of Regulation (EU) No 1307/2013 of the European Parliament and of the Council, relevant minimum requirements for the use of organic fertilisers and plant protection products and relevant mandatory requirements determined by national law</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 xml:space="preserve">Described in the chapter </w:t>
            </w:r>
            <w:r w:rsidRPr="005C3B55">
              <w:rPr>
                <w:i/>
                <w:szCs w:val="24"/>
              </w:rPr>
              <w:t>Agri-environment-climate commitments</w:t>
            </w:r>
            <w:r w:rsidRPr="005C3B55">
              <w:rPr>
                <w:szCs w:val="24"/>
              </w:rPr>
              <w:t>.</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 xml:space="preserve">Minimum requirements for fertilisers must include, inter alia, the Codes of Good Practice introduced under Directive 91/676/EEC for farms outside Nitrate Vulnerable Zones, and requirements concerning phosphorous pollution; minimum requirements for plant protection products use must include, </w:t>
      </w:r>
      <w:r w:rsidRPr="005C3B55">
        <w:rPr>
          <w:i/>
          <w:szCs w:val="24"/>
        </w:rPr>
        <w:t>inter alia</w:t>
      </w:r>
      <w:r w:rsidRPr="005C3B55">
        <w:rPr>
          <w:szCs w:val="24"/>
        </w:rPr>
        <w:t>, general principles for integrated pest management introduced with Directive 2009/128/EC, requirements to have a licence to use the products and meet training obligations, requirements on safe storage, the checking of application machinery and rules on pesticide use close to water and other sensitive sites, as established by national legislation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 xml:space="preserve">Described in the chapter </w:t>
            </w:r>
            <w:r w:rsidRPr="005C3B55">
              <w:rPr>
                <w:i/>
                <w:szCs w:val="24"/>
              </w:rPr>
              <w:t>Agri-environment-climate commitments</w:t>
            </w:r>
            <w:r w:rsidRPr="005C3B55">
              <w:rPr>
                <w:szCs w:val="24"/>
              </w:rPr>
              <w:t>.</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List of local breeds in danger of being lost to farming and for plant genetic resources under threat of genetic erosion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Not relevant.</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The description of the methodology and of the agronomic assumptions and parameters, including the description of the baseline requirements as stated in Article 29(2) of Regulation (EU) No 1305/2013, which are relevant for each particular type of commitment used as reference point for the calculations which justify: additional costs and lost revenue due to the assumed commitment and the amount of transaction costs; where necessary, the methodology takes into account the support granted under Regulation (EU) No 1307/2013, including payments for agricultural practices that favourably affect the climate and environment, in order to prevent the possibility of dual financing; where appropriate, the conversion method used for other units in accordance with Article 9 of this Regulation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The calculation of the amount of payments for the operation ‘High-trunk meadow orchards’ observes:</w:t>
            </w:r>
          </w:p>
          <w:p w:rsidR="00F555D6" w:rsidRPr="005C3B55" w:rsidRDefault="00F555D6" w:rsidP="00F555D6">
            <w:pPr>
              <w:spacing w:before="240" w:after="240" w:line="280" w:lineRule="auto"/>
              <w:rPr>
                <w:szCs w:val="24"/>
              </w:rPr>
            </w:pPr>
            <w:r w:rsidRPr="005C3B55">
              <w:rPr>
                <w:szCs w:val="24"/>
              </w:rPr>
              <w:t>KRA_VTSA: The calculation is based on a comparison of hay production on a meadow mown twice and hay production on a meadow mown twice in a tended meadow orchard. Standard agricultural practice considers the costs and income of hay production on a meadow mown twice; whereas the requirement observes the costs and income of hay production on a meadow mown twice, which results in somewhat lower productivity due to tree shade and the costs of maintaining the meadow orchard, which includes rejuvenation pruning, regular annual pruning, protection against disease and pests (three times) and fertilisation. The income from the sale of apples for processing is also included.</w:t>
            </w:r>
          </w:p>
          <w:p w:rsidR="00F555D6" w:rsidRPr="005C3B55" w:rsidRDefault="00F555D6" w:rsidP="00F555D6">
            <w:pPr>
              <w:pStyle w:val="Telobesedila"/>
              <w:rPr>
                <w:szCs w:val="24"/>
              </w:rPr>
            </w:pPr>
          </w:p>
        </w:tc>
      </w:tr>
    </w:tbl>
    <w:p w:rsidR="00F555D6" w:rsidRPr="005C3B55" w:rsidRDefault="00F555D6" w:rsidP="00F555D6">
      <w:pPr>
        <w:pStyle w:val="Naslov7"/>
        <w:tabs>
          <w:tab w:val="clear" w:pos="765"/>
        </w:tabs>
        <w:ind w:left="0" w:firstLine="0"/>
        <w:rPr>
          <w:szCs w:val="24"/>
          <w:lang w:val="en-GB"/>
        </w:rPr>
      </w:pPr>
      <w:r w:rsidRPr="005C3B55">
        <w:rPr>
          <w:noProof w:val="0"/>
          <w:szCs w:val="24"/>
          <w:lang w:val="en-GB"/>
        </w:rPr>
        <w:t>Agri-environment-climate commitments</w:t>
      </w:r>
    </w:p>
    <w:p w:rsidR="00F555D6" w:rsidRPr="005C3B55" w:rsidRDefault="00F555D6" w:rsidP="00F555D6">
      <w:pPr>
        <w:pStyle w:val="Naslov8"/>
        <w:tabs>
          <w:tab w:val="clear" w:pos="765"/>
        </w:tabs>
        <w:ind w:left="0" w:firstLine="0"/>
        <w:rPr>
          <w:b w:val="0"/>
          <w:szCs w:val="24"/>
          <w:lang w:val="en-GB"/>
        </w:rPr>
      </w:pPr>
      <w:r w:rsidRPr="005C3B55">
        <w:rPr>
          <w:b w:val="0"/>
          <w:noProof w:val="0"/>
          <w:szCs w:val="24"/>
          <w:lang w:val="en-GB"/>
        </w:rPr>
        <w:t>KRA_VTSA:</w:t>
      </w:r>
      <w:r w:rsidRPr="005C3B55">
        <w:rPr>
          <w:b w:val="0"/>
          <w:szCs w:val="24"/>
          <w:lang w:val="en-GB"/>
        </w:rPr>
        <w:t xml:space="preserve"> </w:t>
      </w:r>
      <w:r w:rsidRPr="005C3B55">
        <w:rPr>
          <w:b w:val="0"/>
          <w:noProof w:val="0"/>
          <w:szCs w:val="24"/>
          <w:lang w:val="en-GB"/>
        </w:rPr>
        <w:t>High-trunk meadow orchards</w:t>
      </w:r>
    </w:p>
    <w:p w:rsidR="00F555D6" w:rsidRPr="005C3B55" w:rsidRDefault="00F555D6" w:rsidP="00F555D6">
      <w:pPr>
        <w:pStyle w:val="Naslov9"/>
        <w:tabs>
          <w:tab w:val="clear" w:pos="765"/>
        </w:tabs>
        <w:ind w:left="0" w:firstLine="0"/>
        <w:rPr>
          <w:szCs w:val="24"/>
          <w:lang w:val="en-GB"/>
        </w:rPr>
      </w:pPr>
      <w:r w:rsidRPr="005C3B55">
        <w:rPr>
          <w:noProof w:val="0"/>
          <w:szCs w:val="24"/>
          <w:lang w:val="en-GB"/>
        </w:rPr>
        <w:t>Starting Point</w:t>
      </w:r>
    </w:p>
    <w:p w:rsidR="00F555D6" w:rsidRPr="005C3B55" w:rsidRDefault="00F555D6" w:rsidP="00F555D6">
      <w:pPr>
        <w:spacing w:line="280" w:lineRule="auto"/>
        <w:rPr>
          <w:szCs w:val="24"/>
        </w:rPr>
      </w:pPr>
      <w:r w:rsidRPr="005C3B55">
        <w:rPr>
          <w:szCs w:val="24"/>
        </w:rPr>
        <w:t>Suitable good agricultural and environmental conditions and/or prescribed management requirements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820"/>
              </w:numPr>
              <w:spacing w:before="0" w:after="0"/>
              <w:ind w:hanging="290"/>
              <w:jc w:val="left"/>
              <w:rPr>
                <w:szCs w:val="24"/>
              </w:rPr>
            </w:pPr>
            <w:r w:rsidRPr="005C3B55">
              <w:rPr>
                <w:szCs w:val="24"/>
              </w:rPr>
              <w:t>Regulation on cross-compliance, Annex 1: Rules on cross-compliance, SMR 2: Conservation of wild birds: Grassland areas in meadow high-trunk orchards are maintained at least once annually no later than by 15 October of the current year.</w:t>
            </w:r>
          </w:p>
          <w:p w:rsidR="00F555D6" w:rsidRPr="005C3B55" w:rsidRDefault="00F555D6" w:rsidP="00F555D6">
            <w:pPr>
              <w:numPr>
                <w:ilvl w:val="0"/>
                <w:numId w:val="820"/>
              </w:numPr>
              <w:spacing w:before="0" w:after="240"/>
              <w:ind w:hanging="290"/>
              <w:jc w:val="left"/>
              <w:rPr>
                <w:szCs w:val="24"/>
              </w:rPr>
            </w:pPr>
            <w:r w:rsidRPr="005C3B55">
              <w:rPr>
                <w:szCs w:val="24"/>
              </w:rPr>
              <w:t>Regulation on cross-compliance, Annex 1: Rules on cross-compliance, GAEC 7:  Minimum level of land maintenance: agricultural land is annually cultivated at least by 15 October of the current year.</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Minimum requirements for the use of fertilisers and plant protection products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821"/>
              </w:numPr>
              <w:spacing w:before="0" w:after="0"/>
              <w:ind w:hanging="290"/>
              <w:jc w:val="left"/>
              <w:rPr>
                <w:szCs w:val="24"/>
              </w:rPr>
            </w:pPr>
            <w:r w:rsidRPr="005C3B55">
              <w:rPr>
                <w:szCs w:val="24"/>
              </w:rPr>
              <w:t>Minimum requirements for the use of fertilisers refer to the keeping of records on the use of livestock and mineral fertilisers which an agricultural holding has to keep for all agricultural land plots at the agricultural holding, and which has to include at least the quantity and type of livestock manure and mineral fertiliser, time of fertilising and data on the surface where these fertilisers are used.</w:t>
            </w:r>
          </w:p>
          <w:p w:rsidR="00F555D6" w:rsidRPr="005C3B55" w:rsidRDefault="00F555D6" w:rsidP="00F555D6">
            <w:pPr>
              <w:numPr>
                <w:ilvl w:val="0"/>
                <w:numId w:val="821"/>
              </w:numPr>
              <w:spacing w:before="0" w:after="240"/>
              <w:ind w:hanging="290"/>
              <w:jc w:val="left"/>
              <w:rPr>
                <w:szCs w:val="24"/>
              </w:rPr>
            </w:pPr>
            <w:r w:rsidRPr="005C3B55">
              <w:rPr>
                <w:szCs w:val="24"/>
              </w:rPr>
              <w:t>Minimum requirements for the use of plant protection products are not determined, since the requirements relating to the use of these products are standardised and are included in the requirements of cross-compliance.</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Other relevant national/regional requirements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822"/>
              </w:numPr>
              <w:spacing w:before="0" w:after="240"/>
              <w:ind w:hanging="290"/>
              <w:jc w:val="left"/>
              <w:rPr>
                <w:szCs w:val="24"/>
              </w:rPr>
            </w:pPr>
            <w:r w:rsidRPr="005C3B55">
              <w:rPr>
                <w:szCs w:val="24"/>
              </w:rPr>
              <w:t>Other national requirements are not prescribed.</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Minimum activities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823"/>
              </w:numPr>
              <w:spacing w:before="0" w:after="240"/>
              <w:ind w:hanging="290"/>
              <w:jc w:val="left"/>
              <w:rPr>
                <w:szCs w:val="24"/>
              </w:rPr>
            </w:pPr>
            <w:r w:rsidRPr="005C3B55">
              <w:rPr>
                <w:szCs w:val="24"/>
              </w:rPr>
              <w:t>Mowing at least once annually by 15 October of the current year is determined as a criterion for maintaining agricultural land in a state suitable for pasturing or production without the preparation measures which exceed the use of regular agricultural methods and machinery.</w:t>
            </w:r>
          </w:p>
          <w:p w:rsidR="00F555D6" w:rsidRPr="005C3B55" w:rsidRDefault="00F555D6" w:rsidP="00F555D6">
            <w:pPr>
              <w:pStyle w:val="Telobesedila"/>
              <w:rPr>
                <w:szCs w:val="24"/>
              </w:rPr>
            </w:pPr>
          </w:p>
        </w:tc>
      </w:tr>
    </w:tbl>
    <w:p w:rsidR="00F555D6" w:rsidRPr="005C3B55" w:rsidRDefault="00F555D6" w:rsidP="00F555D6">
      <w:pPr>
        <w:pStyle w:val="Naslov9"/>
        <w:tabs>
          <w:tab w:val="clear" w:pos="765"/>
        </w:tabs>
        <w:ind w:left="0" w:firstLine="0"/>
        <w:rPr>
          <w:szCs w:val="24"/>
          <w:lang w:val="en-GB"/>
        </w:rPr>
      </w:pPr>
      <w:r w:rsidRPr="005C3B55">
        <w:rPr>
          <w:noProof w:val="0"/>
          <w:szCs w:val="24"/>
          <w:lang w:val="en-GB"/>
        </w:rPr>
        <w:t>Relevant standard agricultural practices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Many meadow orchards are being supplanted by intensive orchards as they are more economical and commercially interesting. Because of this, meadow orchards remain untreated and not renewed, and trees untended, which is still a practice today.</w:t>
            </w:r>
          </w:p>
          <w:p w:rsidR="00F555D6" w:rsidRPr="005C3B55" w:rsidRDefault="00F555D6" w:rsidP="00F555D6">
            <w:pPr>
              <w:pStyle w:val="Telobesedila"/>
              <w:rPr>
                <w:szCs w:val="24"/>
              </w:rPr>
            </w:pPr>
          </w:p>
        </w:tc>
      </w:tr>
    </w:tbl>
    <w:p w:rsidR="00F555D6" w:rsidRPr="005C3B55" w:rsidRDefault="00F555D6" w:rsidP="00F555D6">
      <w:pPr>
        <w:pStyle w:val="Naslov5"/>
        <w:tabs>
          <w:tab w:val="clear" w:pos="765"/>
        </w:tabs>
        <w:ind w:left="0" w:firstLine="0"/>
        <w:rPr>
          <w:b w:val="0"/>
          <w:szCs w:val="24"/>
          <w:lang w:val="en-GB"/>
        </w:rPr>
      </w:pPr>
      <w:r w:rsidRPr="005C3B55">
        <w:rPr>
          <w:b w:val="0"/>
          <w:szCs w:val="24"/>
          <w:lang w:val="en-GB"/>
        </w:rPr>
        <w:br w:type="page"/>
        <w:t>17.</w:t>
      </w:r>
      <w:r w:rsidRPr="005C3B55">
        <w:rPr>
          <w:b w:val="0"/>
          <w:szCs w:val="24"/>
          <w:lang w:val="en-GB"/>
        </w:rPr>
        <w:tab/>
      </w:r>
      <w:r w:rsidRPr="005C3B55">
        <w:rPr>
          <w:b w:val="0"/>
          <w:noProof w:val="0"/>
          <w:szCs w:val="24"/>
          <w:lang w:val="en-GB"/>
        </w:rPr>
        <w:t>Conservation of hedgerows</w:t>
      </w:r>
    </w:p>
    <w:p w:rsidR="00F555D6" w:rsidRPr="005C3B55" w:rsidRDefault="00F555D6" w:rsidP="00F555D6">
      <w:pPr>
        <w:spacing w:line="280" w:lineRule="auto"/>
        <w:rPr>
          <w:szCs w:val="24"/>
        </w:rPr>
      </w:pPr>
      <w:r w:rsidRPr="005C3B55">
        <w:rPr>
          <w:szCs w:val="24"/>
        </w:rPr>
        <w:t xml:space="preserve">Sub-measure: </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824"/>
              </w:numPr>
              <w:rPr>
                <w:szCs w:val="24"/>
              </w:rPr>
            </w:pPr>
            <w:r w:rsidRPr="005C3B55">
              <w:rPr>
                <w:szCs w:val="24"/>
              </w:rPr>
              <w:t>10.1 – Payment of agri-environment-climate commitments</w:t>
            </w: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Description of type of operation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The operation ‘Conservation of hedgerows’ is aimed at conserving hedgerows for different types of agricultural land use and presents the preservation of existing agricultural practices. Hedgerows serve as shelters, flight corridors and food habitats for many wild animal species. Therefore, they have to be protected and renewed.</w:t>
            </w:r>
          </w:p>
          <w:p w:rsidR="00F555D6" w:rsidRPr="005C3B55" w:rsidRDefault="00F555D6" w:rsidP="00F555D6">
            <w:pPr>
              <w:spacing w:before="240" w:after="240" w:line="280" w:lineRule="auto"/>
              <w:rPr>
                <w:szCs w:val="24"/>
              </w:rPr>
            </w:pPr>
            <w:r w:rsidRPr="005C3B55">
              <w:rPr>
                <w:szCs w:val="24"/>
              </w:rPr>
              <w:t>When implementing the operation, it should be taken into account that:</w:t>
            </w:r>
          </w:p>
          <w:p w:rsidR="00F555D6" w:rsidRPr="005C3B55" w:rsidRDefault="00F555D6" w:rsidP="00F555D6">
            <w:pPr>
              <w:numPr>
                <w:ilvl w:val="0"/>
                <w:numId w:val="825"/>
              </w:numPr>
              <w:spacing w:before="240" w:after="0"/>
              <w:ind w:hanging="290"/>
              <w:jc w:val="left"/>
              <w:rPr>
                <w:szCs w:val="24"/>
              </w:rPr>
            </w:pPr>
            <w:r w:rsidRPr="005C3B55">
              <w:rPr>
                <w:szCs w:val="24"/>
              </w:rPr>
              <w:t>length of hedgerows must be at least 20 metres and its ground width between 1 and 4 meters;</w:t>
            </w:r>
          </w:p>
          <w:p w:rsidR="00F555D6" w:rsidRPr="005C3B55" w:rsidRDefault="00F555D6" w:rsidP="00F555D6">
            <w:pPr>
              <w:numPr>
                <w:ilvl w:val="0"/>
                <w:numId w:val="825"/>
              </w:numPr>
              <w:spacing w:before="0" w:after="0"/>
              <w:ind w:hanging="290"/>
              <w:jc w:val="left"/>
              <w:rPr>
                <w:szCs w:val="24"/>
              </w:rPr>
            </w:pPr>
            <w:r w:rsidRPr="005C3B55">
              <w:rPr>
                <w:szCs w:val="24"/>
              </w:rPr>
              <w:t>reducing the length and width of hedgerows is not permitted;</w:t>
            </w:r>
          </w:p>
          <w:p w:rsidR="00F555D6" w:rsidRPr="005C3B55" w:rsidRDefault="00F555D6" w:rsidP="00F555D6">
            <w:pPr>
              <w:numPr>
                <w:ilvl w:val="0"/>
                <w:numId w:val="825"/>
              </w:numPr>
              <w:spacing w:before="0" w:after="0"/>
              <w:ind w:hanging="290"/>
              <w:jc w:val="left"/>
              <w:rPr>
                <w:szCs w:val="24"/>
              </w:rPr>
            </w:pPr>
            <w:r w:rsidRPr="005C3B55">
              <w:rPr>
                <w:szCs w:val="24"/>
              </w:rPr>
              <w:t>a hedgerow must be trimmed and thinned every other year;</w:t>
            </w:r>
          </w:p>
          <w:p w:rsidR="00F555D6" w:rsidRPr="005C3B55" w:rsidRDefault="00F555D6" w:rsidP="00F555D6">
            <w:pPr>
              <w:numPr>
                <w:ilvl w:val="0"/>
                <w:numId w:val="825"/>
              </w:numPr>
              <w:spacing w:before="0" w:after="240"/>
              <w:ind w:hanging="290"/>
              <w:jc w:val="left"/>
              <w:rPr>
                <w:szCs w:val="24"/>
              </w:rPr>
            </w:pPr>
            <w:r w:rsidRPr="005C3B55">
              <w:rPr>
                <w:szCs w:val="24"/>
              </w:rPr>
              <w:t>thinning of a hedgerow must be carried out so that the continuity of its canopy is not interrupted.</w:t>
            </w:r>
          </w:p>
          <w:p w:rsidR="00F555D6" w:rsidRPr="005C3B55" w:rsidRDefault="00F555D6" w:rsidP="00F555D6">
            <w:pPr>
              <w:spacing w:before="240" w:after="240" w:line="280" w:lineRule="auto"/>
              <w:rPr>
                <w:szCs w:val="24"/>
              </w:rPr>
            </w:pPr>
            <w:r w:rsidRPr="005C3B55">
              <w:rPr>
                <w:szCs w:val="24"/>
              </w:rPr>
              <w:t> </w:t>
            </w:r>
          </w:p>
          <w:p w:rsidR="00F555D6" w:rsidRPr="005C3B55" w:rsidRDefault="00F555D6" w:rsidP="00F555D6">
            <w:pPr>
              <w:numPr>
                <w:ilvl w:val="0"/>
                <w:numId w:val="826"/>
              </w:numPr>
              <w:spacing w:before="240" w:after="0"/>
              <w:ind w:hanging="290"/>
              <w:jc w:val="left"/>
              <w:rPr>
                <w:szCs w:val="24"/>
              </w:rPr>
            </w:pPr>
            <w:r w:rsidRPr="005C3B55">
              <w:rPr>
                <w:szCs w:val="24"/>
              </w:rPr>
              <w:t>Livestock density: not relevant.</w:t>
            </w:r>
          </w:p>
          <w:p w:rsidR="00F555D6" w:rsidRPr="005C3B55" w:rsidRDefault="00F555D6" w:rsidP="00F555D6">
            <w:pPr>
              <w:numPr>
                <w:ilvl w:val="0"/>
                <w:numId w:val="826"/>
              </w:numPr>
              <w:spacing w:before="0" w:after="0"/>
              <w:ind w:hanging="290"/>
              <w:jc w:val="left"/>
              <w:rPr>
                <w:szCs w:val="24"/>
              </w:rPr>
            </w:pPr>
            <w:r w:rsidRPr="005C3B55">
              <w:rPr>
                <w:szCs w:val="24"/>
              </w:rPr>
              <w:t>Use: special layer of hedgerows.</w:t>
            </w:r>
          </w:p>
          <w:p w:rsidR="00F555D6" w:rsidRPr="005C3B55" w:rsidRDefault="00F555D6" w:rsidP="00F555D6">
            <w:pPr>
              <w:numPr>
                <w:ilvl w:val="0"/>
                <w:numId w:val="826"/>
              </w:numPr>
              <w:spacing w:before="0" w:after="0"/>
              <w:ind w:hanging="290"/>
              <w:jc w:val="left"/>
              <w:rPr>
                <w:szCs w:val="24"/>
              </w:rPr>
            </w:pPr>
            <w:r w:rsidRPr="005C3B55">
              <w:rPr>
                <w:szCs w:val="24"/>
              </w:rPr>
              <w:t>Coverage: part</w:t>
            </w:r>
            <w:r w:rsidRPr="005C3B55">
              <w:rPr>
                <w:b/>
                <w:szCs w:val="24"/>
              </w:rPr>
              <w:t xml:space="preserve"> </w:t>
            </w:r>
            <w:r w:rsidRPr="005C3B55">
              <w:rPr>
                <w:szCs w:val="24"/>
              </w:rPr>
              <w:t>(in running meters).</w:t>
            </w:r>
          </w:p>
          <w:p w:rsidR="00F555D6" w:rsidRPr="005C3B55" w:rsidRDefault="00F555D6" w:rsidP="00F555D6">
            <w:pPr>
              <w:numPr>
                <w:ilvl w:val="0"/>
                <w:numId w:val="826"/>
              </w:numPr>
              <w:spacing w:before="0" w:after="0"/>
              <w:ind w:hanging="290"/>
              <w:jc w:val="left"/>
              <w:rPr>
                <w:szCs w:val="24"/>
              </w:rPr>
            </w:pPr>
            <w:r w:rsidRPr="005C3B55">
              <w:rPr>
                <w:szCs w:val="24"/>
              </w:rPr>
              <w:t>Location: the same throughout the commitment.</w:t>
            </w:r>
          </w:p>
          <w:p w:rsidR="00F555D6" w:rsidRPr="005C3B55" w:rsidRDefault="00F555D6" w:rsidP="00F555D6">
            <w:pPr>
              <w:numPr>
                <w:ilvl w:val="0"/>
                <w:numId w:val="826"/>
              </w:numPr>
              <w:spacing w:before="0" w:after="240"/>
              <w:ind w:hanging="290"/>
              <w:jc w:val="left"/>
              <w:rPr>
                <w:szCs w:val="24"/>
              </w:rPr>
            </w:pPr>
            <w:r w:rsidRPr="005C3B55">
              <w:rPr>
                <w:szCs w:val="24"/>
              </w:rPr>
              <w:t>Implementation area: Natura 2000 sites – the Reka River Valley, the Mura River, the Drava River, the Krakovski gozd Forest–the Šentjernejsko polje Plain, the Ljubljana Marshes, the Planinsko polje Plain, Karst.</w:t>
            </w:r>
          </w:p>
          <w:p w:rsidR="00F555D6" w:rsidRPr="005C3B55" w:rsidRDefault="00F555D6" w:rsidP="00F555D6">
            <w:pPr>
              <w:spacing w:before="240" w:after="240" w:line="280" w:lineRule="auto"/>
              <w:rPr>
                <w:szCs w:val="24"/>
              </w:rPr>
            </w:pPr>
            <w:r w:rsidRPr="005C3B55">
              <w:rPr>
                <w:szCs w:val="24"/>
              </w:rPr>
              <w:t>Effects:</w:t>
            </w:r>
          </w:p>
          <w:p w:rsidR="00F555D6" w:rsidRPr="005C3B55" w:rsidRDefault="00F555D6" w:rsidP="00F555D6">
            <w:pPr>
              <w:numPr>
                <w:ilvl w:val="0"/>
                <w:numId w:val="827"/>
              </w:numPr>
              <w:spacing w:before="240" w:after="0"/>
              <w:ind w:hanging="290"/>
              <w:jc w:val="left"/>
              <w:rPr>
                <w:szCs w:val="24"/>
              </w:rPr>
            </w:pPr>
            <w:r w:rsidRPr="005C3B55">
              <w:rPr>
                <w:szCs w:val="24"/>
              </w:rPr>
              <w:t>limiting the spreading of harmful organisms for agriculture;</w:t>
            </w:r>
          </w:p>
          <w:p w:rsidR="00F555D6" w:rsidRPr="005C3B55" w:rsidRDefault="00F555D6" w:rsidP="00F555D6">
            <w:pPr>
              <w:numPr>
                <w:ilvl w:val="0"/>
                <w:numId w:val="827"/>
              </w:numPr>
              <w:spacing w:before="0" w:after="0"/>
              <w:ind w:hanging="290"/>
              <w:jc w:val="left"/>
              <w:rPr>
                <w:szCs w:val="24"/>
              </w:rPr>
            </w:pPr>
            <w:r w:rsidRPr="005C3B55">
              <w:rPr>
                <w:szCs w:val="24"/>
              </w:rPr>
              <w:t>habitat for insects important for agriculture;</w:t>
            </w:r>
          </w:p>
          <w:p w:rsidR="00F555D6" w:rsidRPr="005C3B55" w:rsidRDefault="00F555D6" w:rsidP="00F555D6">
            <w:pPr>
              <w:numPr>
                <w:ilvl w:val="0"/>
                <w:numId w:val="827"/>
              </w:numPr>
              <w:spacing w:before="0" w:after="0"/>
              <w:ind w:hanging="290"/>
              <w:jc w:val="left"/>
              <w:rPr>
                <w:szCs w:val="24"/>
              </w:rPr>
            </w:pPr>
            <w:r w:rsidRPr="005C3B55">
              <w:rPr>
                <w:szCs w:val="24"/>
              </w:rPr>
              <w:t>richness of biodiversity in the agricultural landscape;</w:t>
            </w:r>
          </w:p>
          <w:p w:rsidR="00F555D6" w:rsidRPr="005C3B55" w:rsidRDefault="00F555D6" w:rsidP="00F555D6">
            <w:pPr>
              <w:numPr>
                <w:ilvl w:val="0"/>
                <w:numId w:val="827"/>
              </w:numPr>
              <w:spacing w:before="0" w:after="0"/>
              <w:ind w:hanging="290"/>
              <w:jc w:val="left"/>
              <w:rPr>
                <w:szCs w:val="24"/>
              </w:rPr>
            </w:pPr>
            <w:r w:rsidRPr="005C3B55">
              <w:rPr>
                <w:szCs w:val="24"/>
              </w:rPr>
              <w:t>refuge for animals during agricultural land processing and mowing of meadows;</w:t>
            </w:r>
          </w:p>
          <w:p w:rsidR="00F555D6" w:rsidRPr="005C3B55" w:rsidRDefault="00F555D6" w:rsidP="00F555D6">
            <w:pPr>
              <w:numPr>
                <w:ilvl w:val="0"/>
                <w:numId w:val="827"/>
              </w:numPr>
              <w:spacing w:before="0" w:after="0"/>
              <w:ind w:hanging="290"/>
              <w:jc w:val="left"/>
              <w:rPr>
                <w:szCs w:val="24"/>
              </w:rPr>
            </w:pPr>
            <w:r w:rsidRPr="005C3B55">
              <w:rPr>
                <w:szCs w:val="24"/>
              </w:rPr>
              <w:t>reducing the negative effects of wind, drought, storms and hail;</w:t>
            </w:r>
          </w:p>
          <w:p w:rsidR="00F555D6" w:rsidRPr="005C3B55" w:rsidRDefault="00F555D6" w:rsidP="00F555D6">
            <w:pPr>
              <w:numPr>
                <w:ilvl w:val="0"/>
                <w:numId w:val="827"/>
              </w:numPr>
              <w:spacing w:before="0" w:after="0"/>
              <w:ind w:hanging="290"/>
              <w:jc w:val="left"/>
              <w:rPr>
                <w:szCs w:val="24"/>
              </w:rPr>
            </w:pPr>
            <w:r w:rsidRPr="005C3B55">
              <w:rPr>
                <w:szCs w:val="24"/>
              </w:rPr>
              <w:t>preventing erosion;</w:t>
            </w:r>
          </w:p>
          <w:p w:rsidR="00F555D6" w:rsidRPr="005C3B55" w:rsidRDefault="00F555D6" w:rsidP="00F555D6">
            <w:pPr>
              <w:numPr>
                <w:ilvl w:val="0"/>
                <w:numId w:val="827"/>
              </w:numPr>
              <w:spacing w:before="0" w:after="240"/>
              <w:ind w:hanging="290"/>
              <w:jc w:val="left"/>
              <w:rPr>
                <w:szCs w:val="24"/>
              </w:rPr>
            </w:pPr>
            <w:r w:rsidRPr="005C3B55">
              <w:rPr>
                <w:szCs w:val="24"/>
              </w:rPr>
              <w:t>provision of more favourable local microclimate.</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Type of support</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Support for the implementation of the operation ‘Conservation of hedgerows’ consists of:</w:t>
            </w:r>
          </w:p>
          <w:p w:rsidR="00F555D6" w:rsidRPr="005C3B55" w:rsidRDefault="00F555D6" w:rsidP="00F555D6">
            <w:pPr>
              <w:numPr>
                <w:ilvl w:val="0"/>
                <w:numId w:val="828"/>
              </w:numPr>
              <w:spacing w:before="240" w:after="240"/>
              <w:ind w:hanging="290"/>
              <w:jc w:val="left"/>
              <w:rPr>
                <w:szCs w:val="24"/>
              </w:rPr>
            </w:pPr>
            <w:r w:rsidRPr="005C3B55">
              <w:rPr>
                <w:szCs w:val="24"/>
              </w:rPr>
              <w:t>payments per hectare for the implementation of prescribed requirements.</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Connection with other legislation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The operation ‘Conservation of hedgerows’ is connected with national and EU regulations in the field of measures of agricultural policy, agriculture, the environment, nature protection and rural development.</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Beneficiaries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Beneficiaries for payments are agricultural holdings which participate voluntarily in the implementation of the operation ‘Conservation of hedgerows’ and meet the prescribed conditions and requirements.</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Eligible costs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Payments are only intended for those commitments within the operation ‘Conservation of hedgerows’ which exceed suitable mandatory standards determined in accordance with Chapter I, Title VI of Regulation (EU) No 1306/2013, suitable criteria determined in the second indent of item c) of the first paragraph of Article 4 of Regulation (EU) No 1307/2013, and other suitable mandatory requirements from national regulations.</w:t>
            </w:r>
          </w:p>
          <w:p w:rsidR="00F555D6" w:rsidRPr="005C3B55" w:rsidRDefault="00F555D6" w:rsidP="00F555D6">
            <w:pPr>
              <w:spacing w:before="240" w:after="240" w:line="280" w:lineRule="auto"/>
              <w:rPr>
                <w:szCs w:val="24"/>
              </w:rPr>
            </w:pPr>
            <w:r w:rsidRPr="005C3B55">
              <w:rPr>
                <w:szCs w:val="24"/>
              </w:rPr>
              <w:t>Payments cover 100 per cent of the additional costs and the loss of revenue due to the assumed commitment.</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Conditions for eligibility</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When entering the M10 measure, an agricultural holding must:</w:t>
            </w:r>
          </w:p>
          <w:p w:rsidR="00F555D6" w:rsidRPr="005C3B55" w:rsidRDefault="00F555D6" w:rsidP="00F555D6">
            <w:pPr>
              <w:numPr>
                <w:ilvl w:val="0"/>
                <w:numId w:val="829"/>
              </w:numPr>
              <w:spacing w:before="240" w:after="0"/>
              <w:ind w:hanging="290"/>
              <w:jc w:val="left"/>
              <w:rPr>
                <w:szCs w:val="24"/>
              </w:rPr>
            </w:pPr>
            <w:r w:rsidRPr="005C3B55">
              <w:rPr>
                <w:szCs w:val="24"/>
              </w:rPr>
              <w:t>have at least 1 ha of agricultural land in use as per Article 4 of Regulation (EU) No 1307/2013;</w:t>
            </w:r>
          </w:p>
          <w:p w:rsidR="00F555D6" w:rsidRPr="005C3B55" w:rsidRDefault="00F555D6" w:rsidP="00F555D6">
            <w:pPr>
              <w:numPr>
                <w:ilvl w:val="0"/>
                <w:numId w:val="829"/>
              </w:numPr>
              <w:spacing w:before="0" w:after="0"/>
              <w:ind w:hanging="290"/>
              <w:jc w:val="left"/>
              <w:rPr>
                <w:szCs w:val="24"/>
              </w:rPr>
            </w:pPr>
            <w:r w:rsidRPr="005C3B55">
              <w:rPr>
                <w:szCs w:val="24"/>
              </w:rPr>
              <w:t>be entered in the register of agricultural holdings in accordance with the regulation on the register of agricultural holdings;</w:t>
            </w:r>
          </w:p>
          <w:p w:rsidR="00F555D6" w:rsidRPr="005C3B55" w:rsidRDefault="00F555D6" w:rsidP="00F555D6">
            <w:pPr>
              <w:numPr>
                <w:ilvl w:val="0"/>
                <w:numId w:val="829"/>
              </w:numPr>
              <w:spacing w:before="0" w:after="0"/>
              <w:ind w:hanging="290"/>
              <w:jc w:val="left"/>
              <w:rPr>
                <w:szCs w:val="24"/>
              </w:rPr>
            </w:pPr>
            <w:r w:rsidRPr="005C3B55">
              <w:rPr>
                <w:szCs w:val="24"/>
              </w:rPr>
              <w:t>undergo a six-hour training programme on agri-environment-climate content;</w:t>
            </w:r>
          </w:p>
          <w:p w:rsidR="00F555D6" w:rsidRPr="005C3B55" w:rsidRDefault="00F555D6" w:rsidP="00F555D6">
            <w:pPr>
              <w:numPr>
                <w:ilvl w:val="0"/>
                <w:numId w:val="829"/>
              </w:numPr>
              <w:spacing w:before="0" w:after="240"/>
              <w:ind w:hanging="290"/>
              <w:jc w:val="left"/>
              <w:rPr>
                <w:szCs w:val="24"/>
              </w:rPr>
            </w:pPr>
            <w:r w:rsidRPr="005C3B55">
              <w:rPr>
                <w:szCs w:val="24"/>
              </w:rPr>
              <w:t>prepare an activities programme of the agricultural holding which is an electronic document prepared as a result of advisory services.</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Principles regarding the determination of selection criteria</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The selection criteria are not relevant.</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(Valid) amounts and support rates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The amount of payment for the operation ‘Conservation of hedgerows’ amounts to 100% of amount of payments as per the model calculation.</w:t>
            </w:r>
          </w:p>
          <w:p w:rsidR="00F555D6" w:rsidRPr="005C3B55" w:rsidRDefault="00F555D6" w:rsidP="00F555D6">
            <w:pPr>
              <w:numPr>
                <w:ilvl w:val="0"/>
                <w:numId w:val="830"/>
              </w:numPr>
              <w:spacing w:before="240" w:after="0"/>
              <w:ind w:hanging="290"/>
              <w:jc w:val="left"/>
              <w:rPr>
                <w:szCs w:val="24"/>
              </w:rPr>
            </w:pPr>
            <w:r w:rsidRPr="005C3B55">
              <w:rPr>
                <w:szCs w:val="24"/>
              </w:rPr>
              <w:t>Calculated payment amount as per model calculation: EUR 1.60/running metre annually (EUR 79.90/hectare annually).</w:t>
            </w:r>
          </w:p>
          <w:p w:rsidR="00F555D6" w:rsidRPr="005C3B55" w:rsidRDefault="00F555D6" w:rsidP="00F555D6">
            <w:pPr>
              <w:numPr>
                <w:ilvl w:val="0"/>
                <w:numId w:val="830"/>
              </w:numPr>
              <w:spacing w:before="0" w:after="0"/>
              <w:ind w:hanging="290"/>
              <w:jc w:val="left"/>
              <w:rPr>
                <w:szCs w:val="24"/>
              </w:rPr>
            </w:pPr>
            <w:r w:rsidRPr="005C3B55">
              <w:rPr>
                <w:szCs w:val="24"/>
              </w:rPr>
              <w:t>The highest possible payment as per Annex II to Regulation (EU) No 1305/2013: EUR 450/hectare annually.</w:t>
            </w:r>
          </w:p>
          <w:p w:rsidR="00F555D6" w:rsidRPr="005C3B55" w:rsidRDefault="00F555D6" w:rsidP="00F555D6">
            <w:pPr>
              <w:numPr>
                <w:ilvl w:val="0"/>
                <w:numId w:val="830"/>
              </w:numPr>
              <w:spacing w:before="0" w:after="0"/>
              <w:ind w:hanging="290"/>
              <w:jc w:val="left"/>
              <w:rPr>
                <w:szCs w:val="24"/>
              </w:rPr>
            </w:pPr>
            <w:r w:rsidRPr="005C3B55">
              <w:rPr>
                <w:szCs w:val="24"/>
              </w:rPr>
              <w:t>The highest possible amount: EUR 1.60/running metre annually (EUR 79.90/hectare annually).</w:t>
            </w:r>
          </w:p>
          <w:p w:rsidR="00F555D6" w:rsidRPr="005C3B55" w:rsidRDefault="00F555D6" w:rsidP="00F555D6">
            <w:pPr>
              <w:numPr>
                <w:ilvl w:val="0"/>
                <w:numId w:val="830"/>
              </w:numPr>
              <w:spacing w:before="0" w:after="240"/>
              <w:ind w:hanging="290"/>
              <w:jc w:val="left"/>
              <w:rPr>
                <w:szCs w:val="24"/>
              </w:rPr>
            </w:pPr>
            <w:r w:rsidRPr="005C3B55">
              <w:rPr>
                <w:b/>
                <w:szCs w:val="24"/>
              </w:rPr>
              <w:t>Payment (100% of payment amount calculated as per the model calculation): EUR 1.60/running metre annually (EUR 79.90/hectare annually).</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Verifiability and possibility of control of measures and/or type of operations</w:t>
      </w:r>
    </w:p>
    <w:p w:rsidR="00F555D6" w:rsidRPr="005C3B55" w:rsidRDefault="00F555D6" w:rsidP="00F555D6">
      <w:pPr>
        <w:pStyle w:val="Naslov7"/>
        <w:tabs>
          <w:tab w:val="clear" w:pos="765"/>
        </w:tabs>
        <w:ind w:left="0" w:firstLine="0"/>
        <w:rPr>
          <w:szCs w:val="24"/>
          <w:lang w:val="en-GB"/>
        </w:rPr>
      </w:pPr>
      <w:r w:rsidRPr="005C3B55">
        <w:rPr>
          <w:noProof w:val="0"/>
          <w:szCs w:val="24"/>
          <w:lang w:val="en-GB"/>
        </w:rPr>
        <w:t>Risks in the implementation of the measure</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b/>
                <w:szCs w:val="24"/>
              </w:rPr>
              <w:t>R5: Requirements which are difficult to verify and/or control</w:t>
            </w:r>
          </w:p>
          <w:p w:rsidR="00F555D6" w:rsidRPr="005C3B55" w:rsidRDefault="00F555D6" w:rsidP="00F555D6">
            <w:pPr>
              <w:spacing w:before="240" w:after="240" w:line="280" w:lineRule="auto"/>
              <w:rPr>
                <w:szCs w:val="24"/>
              </w:rPr>
            </w:pPr>
            <w:r w:rsidRPr="005C3B55">
              <w:rPr>
                <w:szCs w:val="24"/>
              </w:rPr>
              <w:t>The requirement cannot be fully verified administratively, while the implementation will also be verified with on-the-spot control.</w:t>
            </w:r>
          </w:p>
          <w:p w:rsidR="00F555D6" w:rsidRPr="005C3B55" w:rsidRDefault="00F555D6" w:rsidP="00F555D6">
            <w:pPr>
              <w:spacing w:after="0"/>
              <w:rPr>
                <w:szCs w:val="24"/>
              </w:rPr>
            </w:pPr>
            <w:r w:rsidRPr="005C3B55">
              <w:rPr>
                <w:b/>
                <w:szCs w:val="24"/>
              </w:rPr>
              <w:t>R6: General conditions for implementation</w:t>
            </w:r>
          </w:p>
          <w:p w:rsidR="00F555D6" w:rsidRPr="005C3B55" w:rsidRDefault="00F555D6" w:rsidP="00F555D6">
            <w:pPr>
              <w:spacing w:before="240" w:after="240" w:line="280" w:lineRule="auto"/>
              <w:rPr>
                <w:szCs w:val="24"/>
              </w:rPr>
            </w:pPr>
            <w:r w:rsidRPr="005C3B55">
              <w:rPr>
                <w:szCs w:val="24"/>
              </w:rPr>
              <w:t>Ill-timed adoption of regulations, poor familiarisation with eligibility conditions and ill-timed determination of database are risks to the implementation of the M10 measure.</w:t>
            </w:r>
          </w:p>
          <w:p w:rsidR="00F555D6" w:rsidRPr="005C3B55" w:rsidRDefault="00F555D6" w:rsidP="00F555D6">
            <w:pPr>
              <w:spacing w:before="240" w:after="240" w:line="280" w:lineRule="auto"/>
              <w:rPr>
                <w:szCs w:val="24"/>
              </w:rPr>
            </w:pPr>
            <w:r w:rsidRPr="005C3B55">
              <w:rPr>
                <w:b/>
                <w:szCs w:val="24"/>
              </w:rPr>
              <w:t>R8: IT systems</w:t>
            </w:r>
          </w:p>
          <w:p w:rsidR="00F555D6" w:rsidRPr="005C3B55" w:rsidRDefault="00F555D6" w:rsidP="00F555D6">
            <w:pPr>
              <w:spacing w:before="240" w:after="240" w:line="280" w:lineRule="auto"/>
              <w:rPr>
                <w:szCs w:val="24"/>
              </w:rPr>
            </w:pPr>
            <w:r w:rsidRPr="005C3B55">
              <w:rPr>
                <w:szCs w:val="24"/>
              </w:rPr>
              <w:t>Unsuitable organisation of databases when entering the operation ‘Conservation of hedgerows’.</w:t>
            </w:r>
          </w:p>
          <w:p w:rsidR="00F555D6" w:rsidRPr="005C3B55" w:rsidRDefault="00F555D6" w:rsidP="00F555D6">
            <w:pPr>
              <w:spacing w:before="240" w:after="240" w:line="280" w:lineRule="auto"/>
              <w:rPr>
                <w:szCs w:val="24"/>
              </w:rPr>
            </w:pPr>
            <w:r w:rsidRPr="005C3B55">
              <w:rPr>
                <w:b/>
                <w:szCs w:val="24"/>
              </w:rPr>
              <w:t>R9: Requests for payment</w:t>
            </w:r>
          </w:p>
          <w:p w:rsidR="00F555D6" w:rsidRPr="005C3B55" w:rsidRDefault="00F555D6" w:rsidP="00F555D6">
            <w:pPr>
              <w:spacing w:before="240" w:after="240" w:line="280" w:lineRule="auto"/>
              <w:rPr>
                <w:szCs w:val="24"/>
              </w:rPr>
            </w:pPr>
            <w:r w:rsidRPr="005C3B55">
              <w:rPr>
                <w:szCs w:val="24"/>
              </w:rPr>
              <w:t>Lack of information and insufficient knowledge of the operation ‘Conservation of hedgerows’, poor familiarisation with the procedure for submitting the application and the beneficiary’s incorrect reporting about the size of surfaces.</w:t>
            </w:r>
          </w:p>
          <w:p w:rsidR="00F555D6" w:rsidRPr="005C3B55" w:rsidRDefault="00F555D6" w:rsidP="00F555D6">
            <w:pPr>
              <w:spacing w:before="240" w:after="240" w:line="280" w:lineRule="auto"/>
              <w:rPr>
                <w:szCs w:val="24"/>
              </w:rPr>
            </w:pPr>
            <w:r w:rsidRPr="005C3B55">
              <w:rPr>
                <w:szCs w:val="24"/>
              </w:rPr>
              <w:t> </w:t>
            </w:r>
          </w:p>
          <w:p w:rsidR="00F555D6" w:rsidRPr="005C3B55" w:rsidRDefault="00F555D6" w:rsidP="00F555D6">
            <w:pPr>
              <w:pStyle w:val="Telobesedila"/>
              <w:rPr>
                <w:szCs w:val="24"/>
              </w:rPr>
            </w:pPr>
          </w:p>
        </w:tc>
      </w:tr>
    </w:tbl>
    <w:p w:rsidR="00F555D6" w:rsidRPr="005C3B55" w:rsidRDefault="00F555D6" w:rsidP="00F555D6">
      <w:pPr>
        <w:pStyle w:val="Naslov7"/>
        <w:tabs>
          <w:tab w:val="clear" w:pos="765"/>
        </w:tabs>
        <w:ind w:left="0" w:firstLine="0"/>
        <w:rPr>
          <w:szCs w:val="24"/>
          <w:lang w:val="en-GB"/>
        </w:rPr>
      </w:pPr>
      <w:r w:rsidRPr="005C3B55">
        <w:rPr>
          <w:noProof w:val="0"/>
          <w:szCs w:val="24"/>
          <w:lang w:val="en-GB"/>
        </w:rPr>
        <w:t>Mitigation measures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b/>
                <w:szCs w:val="24"/>
              </w:rPr>
              <w:t>R5: Requirements which are difficult to verify and/or control</w:t>
            </w:r>
          </w:p>
          <w:p w:rsidR="00F555D6" w:rsidRPr="005C3B55" w:rsidRDefault="00F555D6" w:rsidP="00F555D6">
            <w:pPr>
              <w:spacing w:before="240" w:after="240" w:line="280" w:lineRule="auto"/>
              <w:rPr>
                <w:szCs w:val="24"/>
              </w:rPr>
            </w:pPr>
            <w:r w:rsidRPr="005C3B55">
              <w:rPr>
                <w:szCs w:val="24"/>
              </w:rPr>
              <w:t>Administrative control will be upgraded accordingly for certain requirements (suitability of the area).</w:t>
            </w:r>
          </w:p>
          <w:p w:rsidR="00F555D6" w:rsidRPr="005C3B55" w:rsidRDefault="00F555D6" w:rsidP="00F555D6">
            <w:pPr>
              <w:spacing w:before="240" w:after="240" w:line="280" w:lineRule="auto"/>
              <w:rPr>
                <w:szCs w:val="24"/>
              </w:rPr>
            </w:pPr>
            <w:r w:rsidRPr="005C3B55">
              <w:rPr>
                <w:szCs w:val="24"/>
              </w:rPr>
              <w:t>Requirements for implementing the M10 measure which cannot be verified administratively will be verified or controlled on the spot, which will observe the temporal component when implementing verification and verify all other available records and evidence.</w:t>
            </w:r>
          </w:p>
          <w:p w:rsidR="00F555D6" w:rsidRPr="005C3B55" w:rsidRDefault="00F555D6" w:rsidP="00F555D6">
            <w:pPr>
              <w:spacing w:before="240" w:after="240" w:line="280" w:lineRule="auto"/>
              <w:rPr>
                <w:szCs w:val="24"/>
              </w:rPr>
            </w:pPr>
            <w:r w:rsidRPr="005C3B55">
              <w:rPr>
                <w:b/>
                <w:szCs w:val="24"/>
              </w:rPr>
              <w:t>R6: Preconditions as eligibility conditions</w:t>
            </w:r>
          </w:p>
          <w:p w:rsidR="00F555D6" w:rsidRPr="005C3B55" w:rsidRDefault="00F555D6" w:rsidP="00F555D6">
            <w:pPr>
              <w:spacing w:before="240" w:after="240" w:line="280" w:lineRule="auto"/>
              <w:rPr>
                <w:szCs w:val="24"/>
              </w:rPr>
            </w:pPr>
            <w:r w:rsidRPr="005C3B55">
              <w:rPr>
                <w:szCs w:val="24"/>
              </w:rPr>
              <w:t>Prior to entering in the operation ‘Conservation of hedgerows’, a beneficiary will have to undergo a mandatory six-hour training which is one of the eligibility conditions. At the training, the beneficiary will become acquainted with the eligibility conditions for entering in the operation and the conditions of individual requirements for implementing the operation, including the Rural Development Programme 2014–2020 and the national regulation regulating payments for the M10 measure.</w:t>
            </w:r>
          </w:p>
          <w:p w:rsidR="00F555D6" w:rsidRPr="005C3B55" w:rsidRDefault="00F555D6" w:rsidP="00F555D6">
            <w:pPr>
              <w:spacing w:before="240" w:after="240" w:line="280" w:lineRule="auto"/>
              <w:rPr>
                <w:szCs w:val="24"/>
              </w:rPr>
            </w:pPr>
            <w:r w:rsidRPr="005C3B55">
              <w:rPr>
                <w:szCs w:val="24"/>
              </w:rPr>
              <w:t>After training, the beneficiary will be able to prepare a programme of activities of the agricultural holding, which is one of the eligibility conditions, and in which it will determine which operation and requirements to implement within the M10 measure.</w:t>
            </w:r>
          </w:p>
          <w:p w:rsidR="00F555D6" w:rsidRPr="005C3B55" w:rsidRDefault="00F555D6" w:rsidP="00F555D6">
            <w:pPr>
              <w:spacing w:before="240" w:after="240" w:line="280" w:lineRule="auto"/>
              <w:rPr>
                <w:szCs w:val="24"/>
              </w:rPr>
            </w:pPr>
            <w:r w:rsidRPr="005C3B55">
              <w:rPr>
                <w:b/>
                <w:szCs w:val="24"/>
              </w:rPr>
              <w:t>R8: IT systems</w:t>
            </w:r>
          </w:p>
          <w:p w:rsidR="00F555D6" w:rsidRPr="005C3B55" w:rsidRDefault="00F555D6" w:rsidP="00F555D6">
            <w:pPr>
              <w:spacing w:before="240" w:after="240" w:line="280" w:lineRule="auto"/>
              <w:rPr>
                <w:szCs w:val="24"/>
              </w:rPr>
            </w:pPr>
            <w:r w:rsidRPr="005C3B55">
              <w:rPr>
                <w:szCs w:val="24"/>
              </w:rPr>
              <w:t>Suitable connections will be established and databases arranged (records, codes and combinations of requirements between operations).</w:t>
            </w:r>
          </w:p>
          <w:p w:rsidR="00F555D6" w:rsidRPr="005C3B55" w:rsidRDefault="00F555D6" w:rsidP="00F555D6">
            <w:pPr>
              <w:spacing w:before="240" w:after="240" w:line="280" w:lineRule="auto"/>
              <w:rPr>
                <w:szCs w:val="24"/>
              </w:rPr>
            </w:pPr>
            <w:r w:rsidRPr="005C3B55">
              <w:rPr>
                <w:szCs w:val="24"/>
              </w:rPr>
              <w:t>An application enabling cross-checking of data from different databases will be established.</w:t>
            </w:r>
          </w:p>
          <w:p w:rsidR="00F555D6" w:rsidRPr="005C3B55" w:rsidRDefault="00F555D6" w:rsidP="00F555D6">
            <w:pPr>
              <w:spacing w:before="240" w:after="240" w:line="280" w:lineRule="auto"/>
              <w:rPr>
                <w:szCs w:val="24"/>
              </w:rPr>
            </w:pPr>
            <w:r w:rsidRPr="005C3B55">
              <w:rPr>
                <w:b/>
                <w:szCs w:val="24"/>
              </w:rPr>
              <w:t>R9: Requests for payment</w:t>
            </w:r>
          </w:p>
          <w:p w:rsidR="00F555D6" w:rsidRPr="005C3B55" w:rsidRDefault="00F555D6" w:rsidP="00F555D6">
            <w:pPr>
              <w:spacing w:before="240" w:after="240" w:line="280" w:lineRule="auto"/>
              <w:rPr>
                <w:szCs w:val="24"/>
              </w:rPr>
            </w:pPr>
            <w:r w:rsidRPr="005C3B55">
              <w:rPr>
                <w:szCs w:val="24"/>
              </w:rPr>
              <w:t>Mandatory annual four-hour training and mandatory use of advisory services at least once in the first three years of the commitment are introduced in order for beneficiaries to be suitably informed about all conditions and requirements for the implementation of the M10 measure. Regular annual informing of beneficiaries about their commitments related to the implementation of the M10 measure as part of the annual campaign for implementing requests for agricultural policy measures during the year and also within the scope of specific and purpose-oriented informing of beneficiaries is envisaged</w:t>
            </w:r>
            <w:r w:rsidRPr="005C3B55">
              <w:rPr>
                <w:rFonts w:ascii="TimesNewRoman" w:hAnsi="TimesNewRoman"/>
                <w:szCs w:val="24"/>
              </w:rPr>
              <w:t>.</w:t>
            </w:r>
          </w:p>
          <w:p w:rsidR="00F555D6" w:rsidRPr="005C3B55" w:rsidRDefault="00F555D6" w:rsidP="00F555D6">
            <w:pPr>
              <w:spacing w:before="240" w:after="240" w:line="280" w:lineRule="auto"/>
              <w:rPr>
                <w:szCs w:val="24"/>
              </w:rPr>
            </w:pPr>
            <w:r w:rsidRPr="005C3B55">
              <w:rPr>
                <w:szCs w:val="24"/>
              </w:rPr>
              <w:t>On the basis of the programme of activities, the request for payment will be submitted electronically on prescribed forms, by means of which a beneficiary will define for which requirements within individual operations of the M10 measure it will request payment.</w:t>
            </w:r>
          </w:p>
          <w:p w:rsidR="00F555D6" w:rsidRPr="005C3B55" w:rsidRDefault="00F555D6" w:rsidP="00F555D6">
            <w:pPr>
              <w:spacing w:before="240" w:after="240" w:line="280" w:lineRule="auto"/>
              <w:rPr>
                <w:szCs w:val="24"/>
              </w:rPr>
            </w:pPr>
            <w:r w:rsidRPr="005C3B55">
              <w:rPr>
                <w:szCs w:val="24"/>
              </w:rPr>
              <w:t>The upgrading of the IT system for administrative control will be implemented, which will allow certain verifications and controls already upon the submission of the request for payment (size of surface, suitability of areas, suitability of combinations of requests and operations, suitability of agricultural plant and suitability of use as per individual register).</w:t>
            </w:r>
          </w:p>
          <w:p w:rsidR="00F555D6" w:rsidRPr="005C3B55" w:rsidRDefault="00F555D6" w:rsidP="00F555D6">
            <w:pPr>
              <w:spacing w:before="240" w:after="240" w:line="280" w:lineRule="auto"/>
              <w:rPr>
                <w:szCs w:val="24"/>
              </w:rPr>
            </w:pPr>
            <w:r w:rsidRPr="005C3B55">
              <w:rPr>
                <w:szCs w:val="24"/>
              </w:rPr>
              <w:t>If a beneficiary fails to meet the eligibility conditions for entering measure M10, they will be alerted to the shortcomings which they will be able to eliminate by the prescribed deadline; otherwise, it will not be possible to submit a request for the payment of measure M10.</w:t>
            </w:r>
          </w:p>
          <w:p w:rsidR="00F555D6" w:rsidRPr="005C3B55" w:rsidRDefault="00F555D6" w:rsidP="00F555D6">
            <w:pPr>
              <w:spacing w:before="240" w:after="240" w:line="280" w:lineRule="auto"/>
              <w:rPr>
                <w:szCs w:val="24"/>
              </w:rPr>
            </w:pPr>
            <w:r w:rsidRPr="005C3B55">
              <w:rPr>
                <w:szCs w:val="24"/>
              </w:rPr>
              <w:t>Unpermitted combinations between operations and unpermitted combinations of this operation with requirements within other operations of the M10 measure will be disabled.</w:t>
            </w:r>
          </w:p>
          <w:p w:rsidR="00F555D6" w:rsidRPr="005C3B55" w:rsidRDefault="00F555D6" w:rsidP="00F555D6">
            <w:pPr>
              <w:spacing w:before="240" w:after="240" w:line="280" w:lineRule="auto"/>
              <w:rPr>
                <w:szCs w:val="24"/>
              </w:rPr>
            </w:pPr>
            <w:r w:rsidRPr="005C3B55">
              <w:rPr>
                <w:szCs w:val="24"/>
              </w:rPr>
              <w:t>A beneficiary who will also be included in the implementation of the M11measure will not have the opportunity to submit the request for unauthorised combinations of this measure with the M10 measure.</w:t>
            </w:r>
          </w:p>
          <w:p w:rsidR="00F555D6" w:rsidRPr="005C3B55" w:rsidRDefault="00F555D6" w:rsidP="00F555D6">
            <w:pPr>
              <w:spacing w:before="240" w:after="240" w:line="280" w:lineRule="auto"/>
              <w:rPr>
                <w:szCs w:val="24"/>
              </w:rPr>
            </w:pPr>
            <w:r w:rsidRPr="005C3B55">
              <w:rPr>
                <w:szCs w:val="24"/>
              </w:rPr>
              <w:t> </w:t>
            </w:r>
          </w:p>
          <w:p w:rsidR="00F555D6" w:rsidRPr="005C3B55" w:rsidRDefault="00F555D6" w:rsidP="00F555D6">
            <w:pPr>
              <w:pStyle w:val="Telobesedila"/>
              <w:rPr>
                <w:szCs w:val="24"/>
              </w:rPr>
            </w:pPr>
          </w:p>
        </w:tc>
      </w:tr>
    </w:tbl>
    <w:p w:rsidR="00F555D6" w:rsidRPr="005C3B55" w:rsidRDefault="00F555D6" w:rsidP="00F555D6">
      <w:pPr>
        <w:pStyle w:val="Naslov7"/>
        <w:tabs>
          <w:tab w:val="clear" w:pos="765"/>
        </w:tabs>
        <w:ind w:left="0" w:firstLine="0"/>
        <w:rPr>
          <w:szCs w:val="24"/>
          <w:lang w:val="en-GB"/>
        </w:rPr>
      </w:pPr>
      <w:r w:rsidRPr="005C3B55">
        <w:rPr>
          <w:noProof w:val="0"/>
          <w:szCs w:val="24"/>
          <w:lang w:val="en-GB"/>
        </w:rPr>
        <w:t>General assessment of the measure</w:t>
      </w:r>
    </w:p>
    <w:p w:rsidR="00F555D6" w:rsidRPr="005C3B55" w:rsidRDefault="00F555D6" w:rsidP="00F555D6">
      <w:pPr>
        <w:pStyle w:val="Naslov7"/>
        <w:tabs>
          <w:tab w:val="clear" w:pos="765"/>
        </w:tabs>
        <w:spacing w:before="0" w:after="0"/>
        <w:ind w:left="0" w:firstLine="0"/>
        <w:rPr>
          <w:szCs w:val="24"/>
          <w:lang w:val="en-GB"/>
        </w:rPr>
      </w:pP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 xml:space="preserve">Described in Chapter </w:t>
            </w:r>
            <w:r w:rsidRPr="005C3B55">
              <w:rPr>
                <w:i/>
                <w:szCs w:val="24"/>
              </w:rPr>
              <w:t>8.2.9.4.3 General assessment of the measure</w:t>
            </w:r>
            <w:r w:rsidRPr="005C3B55">
              <w:rPr>
                <w:szCs w:val="24"/>
              </w:rPr>
              <w:t>.</w:t>
            </w:r>
          </w:p>
          <w:p w:rsidR="00F555D6" w:rsidRPr="005C3B55" w:rsidRDefault="00F555D6" w:rsidP="00F555D6">
            <w:pPr>
              <w:pStyle w:val="Telobesedila"/>
              <w:rPr>
                <w:szCs w:val="24"/>
              </w:rPr>
            </w:pPr>
          </w:p>
        </w:tc>
      </w:tr>
    </w:tbl>
    <w:p w:rsidR="00F555D6" w:rsidRPr="005C3B55" w:rsidRDefault="00F555D6" w:rsidP="00F555D6">
      <w:pPr>
        <w:pStyle w:val="Naslov7"/>
        <w:tabs>
          <w:tab w:val="clear" w:pos="765"/>
        </w:tabs>
        <w:ind w:left="0" w:firstLine="0"/>
        <w:rPr>
          <w:szCs w:val="24"/>
          <w:lang w:val="en-GB"/>
        </w:rPr>
      </w:pPr>
      <w:r w:rsidRPr="005C3B55">
        <w:rPr>
          <w:noProof w:val="0"/>
          <w:szCs w:val="24"/>
          <w:lang w:val="en-GB"/>
        </w:rPr>
        <w:t>Agri-environment-climate commitments</w:t>
      </w:r>
    </w:p>
    <w:p w:rsidR="00F555D6" w:rsidRPr="005C3B55" w:rsidRDefault="00F555D6" w:rsidP="00F555D6">
      <w:pPr>
        <w:pStyle w:val="Naslov8"/>
        <w:tabs>
          <w:tab w:val="clear" w:pos="765"/>
        </w:tabs>
        <w:ind w:left="0" w:firstLine="0"/>
        <w:rPr>
          <w:b w:val="0"/>
          <w:szCs w:val="24"/>
          <w:lang w:val="en-GB"/>
        </w:rPr>
      </w:pPr>
      <w:r w:rsidRPr="005C3B55">
        <w:rPr>
          <w:b w:val="0"/>
          <w:noProof w:val="0"/>
          <w:szCs w:val="24"/>
          <w:lang w:val="en-GB"/>
        </w:rPr>
        <w:t>KRA_MEJ:</w:t>
      </w:r>
      <w:r w:rsidRPr="005C3B55">
        <w:rPr>
          <w:b w:val="0"/>
          <w:szCs w:val="24"/>
          <w:lang w:val="en-GB"/>
        </w:rPr>
        <w:t xml:space="preserve"> </w:t>
      </w:r>
      <w:r w:rsidRPr="005C3B55">
        <w:rPr>
          <w:b w:val="0"/>
          <w:noProof w:val="0"/>
          <w:szCs w:val="24"/>
          <w:lang w:val="en-GB"/>
        </w:rPr>
        <w:t>Conservation of hedgerows</w:t>
      </w:r>
    </w:p>
    <w:p w:rsidR="00F555D6" w:rsidRPr="005C3B55" w:rsidRDefault="00F555D6" w:rsidP="00F555D6">
      <w:pPr>
        <w:pStyle w:val="Naslov9"/>
        <w:tabs>
          <w:tab w:val="clear" w:pos="765"/>
        </w:tabs>
        <w:ind w:left="0" w:firstLine="0"/>
        <w:rPr>
          <w:szCs w:val="24"/>
          <w:lang w:val="en-GB"/>
        </w:rPr>
      </w:pPr>
      <w:r w:rsidRPr="005C3B55">
        <w:rPr>
          <w:noProof w:val="0"/>
          <w:szCs w:val="24"/>
          <w:lang w:val="en-GB"/>
        </w:rPr>
        <w:t>Methods of commitment verification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Administrative control:</w:t>
            </w:r>
          </w:p>
          <w:p w:rsidR="00F555D6" w:rsidRPr="005C3B55" w:rsidRDefault="00F555D6" w:rsidP="00F555D6">
            <w:pPr>
              <w:numPr>
                <w:ilvl w:val="0"/>
                <w:numId w:val="831"/>
              </w:numPr>
              <w:spacing w:before="240" w:after="240"/>
              <w:ind w:hanging="290"/>
              <w:jc w:val="left"/>
              <w:rPr>
                <w:szCs w:val="24"/>
              </w:rPr>
            </w:pPr>
            <w:r w:rsidRPr="005C3B55">
              <w:rPr>
                <w:szCs w:val="24"/>
              </w:rPr>
              <w:t>suitability of the area through the register of agricultural holdings.</w:t>
            </w:r>
          </w:p>
          <w:p w:rsidR="00F555D6" w:rsidRPr="005C3B55" w:rsidRDefault="00F555D6" w:rsidP="00F555D6">
            <w:pPr>
              <w:spacing w:before="240" w:after="240" w:line="280" w:lineRule="auto"/>
              <w:rPr>
                <w:szCs w:val="24"/>
              </w:rPr>
            </w:pPr>
            <w:r w:rsidRPr="005C3B55">
              <w:rPr>
                <w:szCs w:val="24"/>
              </w:rPr>
              <w:t>Registers/records:</w:t>
            </w:r>
          </w:p>
          <w:p w:rsidR="00F555D6" w:rsidRPr="005C3B55" w:rsidRDefault="00F555D6" w:rsidP="00F555D6">
            <w:pPr>
              <w:numPr>
                <w:ilvl w:val="0"/>
                <w:numId w:val="832"/>
              </w:numPr>
              <w:spacing w:before="240" w:after="0"/>
              <w:ind w:hanging="290"/>
              <w:jc w:val="left"/>
              <w:rPr>
                <w:szCs w:val="24"/>
              </w:rPr>
            </w:pPr>
            <w:r w:rsidRPr="005C3B55">
              <w:rPr>
                <w:szCs w:val="24"/>
              </w:rPr>
              <w:t>register of agricultural holdings;</w:t>
            </w:r>
          </w:p>
          <w:p w:rsidR="00F555D6" w:rsidRPr="005C3B55" w:rsidRDefault="00F555D6" w:rsidP="00F555D6">
            <w:pPr>
              <w:numPr>
                <w:ilvl w:val="0"/>
                <w:numId w:val="832"/>
              </w:numPr>
              <w:spacing w:before="0" w:after="0"/>
              <w:ind w:hanging="290"/>
              <w:jc w:val="left"/>
              <w:rPr>
                <w:szCs w:val="24"/>
              </w:rPr>
            </w:pPr>
            <w:r w:rsidRPr="005C3B55">
              <w:rPr>
                <w:szCs w:val="24"/>
              </w:rPr>
              <w:t>graphical agricultural unit of agricultural holding (GERK);</w:t>
            </w:r>
          </w:p>
          <w:p w:rsidR="00F555D6" w:rsidRPr="005C3B55" w:rsidRDefault="00F555D6" w:rsidP="00F555D6">
            <w:pPr>
              <w:numPr>
                <w:ilvl w:val="0"/>
                <w:numId w:val="832"/>
              </w:numPr>
              <w:spacing w:before="0" w:after="240"/>
              <w:ind w:hanging="290"/>
              <w:jc w:val="left"/>
              <w:rPr>
                <w:szCs w:val="24"/>
              </w:rPr>
            </w:pPr>
            <w:r w:rsidRPr="005C3B55">
              <w:rPr>
                <w:szCs w:val="24"/>
              </w:rPr>
              <w:t>graphic layers of areas (the Reka River Valley, Goričko, the Mura River, the Drava River, the Krakovski gozd Forest– the Šentjernejsko polje Plain, the Ljubljana Marshes, the Planinsko polje Plain, Karst).</w:t>
            </w:r>
          </w:p>
          <w:p w:rsidR="00F555D6" w:rsidRPr="005C3B55" w:rsidRDefault="00F555D6" w:rsidP="00F555D6">
            <w:pPr>
              <w:spacing w:before="240" w:after="240" w:line="280" w:lineRule="auto"/>
              <w:rPr>
                <w:szCs w:val="24"/>
              </w:rPr>
            </w:pPr>
            <w:r w:rsidRPr="005C3B55">
              <w:rPr>
                <w:szCs w:val="24"/>
              </w:rPr>
              <w:t>On-site control:</w:t>
            </w:r>
          </w:p>
          <w:p w:rsidR="00F555D6" w:rsidRPr="005C3B55" w:rsidRDefault="00F555D6" w:rsidP="00F555D6">
            <w:pPr>
              <w:numPr>
                <w:ilvl w:val="0"/>
                <w:numId w:val="833"/>
              </w:numPr>
              <w:spacing w:before="240" w:after="0"/>
              <w:ind w:hanging="290"/>
              <w:jc w:val="left"/>
              <w:rPr>
                <w:szCs w:val="24"/>
              </w:rPr>
            </w:pPr>
            <w:r w:rsidRPr="005C3B55">
              <w:rPr>
                <w:szCs w:val="24"/>
              </w:rPr>
              <w:t>records on works;</w:t>
            </w:r>
          </w:p>
          <w:p w:rsidR="00F555D6" w:rsidRPr="005C3B55" w:rsidRDefault="00F555D6" w:rsidP="00F555D6">
            <w:pPr>
              <w:numPr>
                <w:ilvl w:val="0"/>
                <w:numId w:val="833"/>
              </w:numPr>
              <w:spacing w:before="0" w:after="240"/>
              <w:ind w:hanging="290"/>
              <w:jc w:val="left"/>
              <w:rPr>
                <w:szCs w:val="24"/>
              </w:rPr>
            </w:pPr>
            <w:r w:rsidRPr="005C3B55">
              <w:rPr>
                <w:szCs w:val="24"/>
              </w:rPr>
              <w:t>review of the agricultural holding.</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Information that relates specifically to the operation</w:t>
      </w:r>
    </w:p>
    <w:p w:rsidR="00F555D6" w:rsidRPr="005C3B55" w:rsidRDefault="00F555D6" w:rsidP="00F555D6">
      <w:pPr>
        <w:spacing w:line="280" w:lineRule="auto"/>
        <w:rPr>
          <w:szCs w:val="24"/>
        </w:rPr>
      </w:pPr>
      <w:r w:rsidRPr="005C3B55">
        <w:rPr>
          <w:szCs w:val="24"/>
        </w:rPr>
        <w:t>Definition and identification of the relevant basic elements; this should include the relevant mandatory standards determined in accordance with Chapter I of Title VI of Regulation (EU) No 1306/2013 of the European Parliament and of the Council, relevant criteria and minimum activities determined in accordance with points (c)(ii) and (c)(iii) of the first paragraph of Article 4 of Regulation (EU) No 1307/2013 of the European Parliament and of the Council, relevant minimum requirements for the use of organic fertilisers and plant protection products and relevant mandatory requirements determined by national law</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 xml:space="preserve">Described in the chapter </w:t>
            </w:r>
            <w:r w:rsidRPr="005C3B55">
              <w:rPr>
                <w:i/>
                <w:szCs w:val="24"/>
              </w:rPr>
              <w:t>Agri-environment-climate commitments</w:t>
            </w:r>
            <w:r w:rsidRPr="005C3B55">
              <w:rPr>
                <w:szCs w:val="24"/>
              </w:rPr>
              <w:t>.</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 xml:space="preserve">Minimum requirements for fertilisers must include, inter alia, the Codes of Good Practice introduced under Directive 91/676/EEC for farms outside Nitrate Vulnerable Zones, and requirements concerning phosphorous pollution; minimum requirements for plant protection products use must include, </w:t>
      </w:r>
      <w:r w:rsidRPr="005C3B55">
        <w:rPr>
          <w:i/>
          <w:szCs w:val="24"/>
        </w:rPr>
        <w:t>inter alia</w:t>
      </w:r>
      <w:r w:rsidRPr="005C3B55">
        <w:rPr>
          <w:szCs w:val="24"/>
        </w:rPr>
        <w:t>, general principles for integrated pest management introduced with Directive 2009/128/EC, requirements to have a licence to use the products and meet training obligations, requirements on safe storage, the checking of application machinery and rules on pesticide use close to water and other sensitive sites, as established by national legislation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 xml:space="preserve">Described in the chapter </w:t>
            </w:r>
            <w:r w:rsidRPr="005C3B55">
              <w:rPr>
                <w:i/>
                <w:szCs w:val="24"/>
              </w:rPr>
              <w:t>Agri-environment-climate commitments</w:t>
            </w:r>
            <w:r w:rsidRPr="005C3B55">
              <w:rPr>
                <w:szCs w:val="24"/>
              </w:rPr>
              <w:t>.</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List of local breeds in danger of being lost to farming and for plant genetic resources under threat of genetic erosion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Not relevant.</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The description of the methodology and of the agronomic assumptions and parameters, including the description of the baseline requirements as stated in Article 29(2) of Regulation (EU) No 1305/2013, which are relevant for each particular type of commitment used as reference point for the calculations which justify: additional costs and lost revenue due to the assumed commitment and the amount of transaction costs; where necessary, the methodology takes into account the support granted under Regulation (EU) No 1307/2013, including payments for agricultural practices that favourably affect the climate and environment, in order to prevent the possibility of dual financing; where appropriate, the conversion method used for other units in accordance with Article 9 of this Regulation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The calculation of the amount of payments for the operation KRA_MEJ: Conservation of hedgerows observes: The payment is calculated according to the average length of a hedgerow on a 1-hectare meadow (50 metres). The average length of a hedgerow is 3 metres. Additional manual pruning, thinning and arranging of hedgerows, work with a chainsaw, transport to the land plot, loading, removal and destruction of branches are also included in the calculation.</w:t>
            </w:r>
          </w:p>
          <w:p w:rsidR="00F555D6" w:rsidRPr="005C3B55" w:rsidRDefault="00F555D6" w:rsidP="00F555D6">
            <w:pPr>
              <w:spacing w:before="240" w:after="240" w:line="280" w:lineRule="auto"/>
              <w:rPr>
                <w:szCs w:val="24"/>
              </w:rPr>
            </w:pPr>
            <w:r w:rsidRPr="005C3B55">
              <w:rPr>
                <w:szCs w:val="24"/>
              </w:rPr>
              <w:t> </w:t>
            </w:r>
          </w:p>
          <w:p w:rsidR="00F555D6" w:rsidRPr="005C3B55" w:rsidRDefault="00F555D6" w:rsidP="00F555D6">
            <w:pPr>
              <w:pStyle w:val="Telobesedila"/>
              <w:rPr>
                <w:szCs w:val="24"/>
              </w:rPr>
            </w:pPr>
          </w:p>
        </w:tc>
      </w:tr>
    </w:tbl>
    <w:p w:rsidR="00F555D6" w:rsidRPr="005C3B55" w:rsidRDefault="00F555D6" w:rsidP="00F555D6">
      <w:pPr>
        <w:pStyle w:val="Naslov7"/>
        <w:tabs>
          <w:tab w:val="clear" w:pos="765"/>
        </w:tabs>
        <w:ind w:left="0" w:firstLine="0"/>
        <w:rPr>
          <w:szCs w:val="24"/>
          <w:lang w:val="en-GB"/>
        </w:rPr>
      </w:pPr>
      <w:r w:rsidRPr="005C3B55">
        <w:rPr>
          <w:noProof w:val="0"/>
          <w:szCs w:val="24"/>
          <w:lang w:val="en-GB"/>
        </w:rPr>
        <w:t>Agri-environment-climate commitments</w:t>
      </w:r>
    </w:p>
    <w:p w:rsidR="00F555D6" w:rsidRPr="005C3B55" w:rsidRDefault="00F555D6" w:rsidP="00F555D6">
      <w:pPr>
        <w:pStyle w:val="Naslov8"/>
        <w:tabs>
          <w:tab w:val="clear" w:pos="765"/>
        </w:tabs>
        <w:ind w:left="0" w:firstLine="0"/>
        <w:rPr>
          <w:b w:val="0"/>
          <w:szCs w:val="24"/>
          <w:lang w:val="en-GB"/>
        </w:rPr>
      </w:pPr>
      <w:r w:rsidRPr="005C3B55">
        <w:rPr>
          <w:b w:val="0"/>
          <w:noProof w:val="0"/>
          <w:szCs w:val="24"/>
          <w:lang w:val="en-GB"/>
        </w:rPr>
        <w:t>KRA_MEJ:</w:t>
      </w:r>
      <w:r w:rsidRPr="005C3B55">
        <w:rPr>
          <w:b w:val="0"/>
          <w:szCs w:val="24"/>
          <w:lang w:val="en-GB"/>
        </w:rPr>
        <w:t xml:space="preserve"> </w:t>
      </w:r>
      <w:r w:rsidRPr="005C3B55">
        <w:rPr>
          <w:b w:val="0"/>
          <w:noProof w:val="0"/>
          <w:szCs w:val="24"/>
          <w:lang w:val="en-GB"/>
        </w:rPr>
        <w:t>Conservation of hedgerows</w:t>
      </w:r>
    </w:p>
    <w:p w:rsidR="00F555D6" w:rsidRPr="005C3B55" w:rsidRDefault="00F555D6" w:rsidP="00F555D6">
      <w:pPr>
        <w:pStyle w:val="Naslov9"/>
        <w:tabs>
          <w:tab w:val="clear" w:pos="765"/>
        </w:tabs>
        <w:ind w:left="0" w:firstLine="0"/>
        <w:rPr>
          <w:szCs w:val="24"/>
          <w:lang w:val="en-GB"/>
        </w:rPr>
      </w:pPr>
      <w:r w:rsidRPr="005C3B55">
        <w:rPr>
          <w:noProof w:val="0"/>
          <w:szCs w:val="24"/>
          <w:lang w:val="en-GB"/>
        </w:rPr>
        <w:t>Starting Point</w:t>
      </w:r>
    </w:p>
    <w:p w:rsidR="00F555D6" w:rsidRPr="005C3B55" w:rsidRDefault="00F555D6" w:rsidP="00F555D6">
      <w:pPr>
        <w:spacing w:line="280" w:lineRule="auto"/>
        <w:rPr>
          <w:szCs w:val="24"/>
        </w:rPr>
      </w:pPr>
      <w:r w:rsidRPr="005C3B55">
        <w:rPr>
          <w:szCs w:val="24"/>
        </w:rPr>
        <w:t>Suitable good agricultural and environmental conditions and/or prescribed management requirements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834"/>
              </w:numPr>
              <w:spacing w:before="0" w:after="240"/>
              <w:ind w:hanging="290"/>
              <w:jc w:val="left"/>
              <w:rPr>
                <w:szCs w:val="24"/>
              </w:rPr>
            </w:pPr>
            <w:r w:rsidRPr="005C3B55">
              <w:rPr>
                <w:szCs w:val="24"/>
              </w:rPr>
              <w:t>Regulation on cross-compliance, Annex 1: Rules on cross-compliance, SMR 2: Conservation of wild birds: In all Natura 2000 areas – birds, trimming and thinning of hedgerows are permitted only in a certain period. Trimming and thinning of hedgerows are not permitted in the period of leaf unfolding until 30 September, with the exception of the Primorska region, where trimming and thinning of hedgerows are not permitted from 15 March to 30 September.</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Minimum requirements for the use of fertilisers and plant protection products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835"/>
              </w:numPr>
              <w:spacing w:before="0" w:after="0"/>
              <w:ind w:hanging="290"/>
              <w:jc w:val="left"/>
              <w:rPr>
                <w:szCs w:val="24"/>
              </w:rPr>
            </w:pPr>
            <w:r w:rsidRPr="005C3B55">
              <w:rPr>
                <w:szCs w:val="24"/>
              </w:rPr>
              <w:t>Minimum requirements for the use of fertilisers refer to the keeping of records on the use of livestock and mineral fertilisers which an agricultural holding has to keep for all agricultural land plots at the agricultural holding, and which has to include at least the quantity and type of livestock manure and mineral fertiliser, time of fertilising and data on the surface where these fertilisers are used.</w:t>
            </w:r>
          </w:p>
          <w:p w:rsidR="00F555D6" w:rsidRPr="005C3B55" w:rsidRDefault="00F555D6" w:rsidP="00F555D6">
            <w:pPr>
              <w:numPr>
                <w:ilvl w:val="0"/>
                <w:numId w:val="835"/>
              </w:numPr>
              <w:spacing w:before="0" w:after="240"/>
              <w:ind w:hanging="290"/>
              <w:jc w:val="left"/>
              <w:rPr>
                <w:szCs w:val="24"/>
              </w:rPr>
            </w:pPr>
            <w:r w:rsidRPr="005C3B55">
              <w:rPr>
                <w:szCs w:val="24"/>
              </w:rPr>
              <w:t>Minimum requirements for the use of plant protection products are not determined, since the requirements relating to the use of these products are standardised and are included in the requirements of cross-compliance.</w:t>
            </w:r>
          </w:p>
          <w:p w:rsidR="00F555D6" w:rsidRPr="005C3B55" w:rsidRDefault="00F555D6" w:rsidP="00F555D6">
            <w:pPr>
              <w:pStyle w:val="Telobesedila"/>
              <w:rPr>
                <w:szCs w:val="24"/>
              </w:rPr>
            </w:pPr>
          </w:p>
        </w:tc>
      </w:tr>
    </w:tbl>
    <w:p w:rsidR="00F555D6" w:rsidRPr="005C3B55" w:rsidRDefault="00F555D6" w:rsidP="00F555D6">
      <w:pPr>
        <w:spacing w:after="0"/>
        <w:rPr>
          <w:szCs w:val="24"/>
        </w:rPr>
      </w:pPr>
      <w:r w:rsidRPr="005C3B55">
        <w:rPr>
          <w:szCs w:val="24"/>
        </w:rPr>
        <w:t>Other relevant national/regional requirements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836"/>
              </w:numPr>
              <w:spacing w:before="0" w:after="240"/>
              <w:ind w:hanging="290"/>
              <w:jc w:val="left"/>
              <w:rPr>
                <w:szCs w:val="24"/>
              </w:rPr>
            </w:pPr>
            <w:r w:rsidRPr="005C3B55">
              <w:rPr>
                <w:szCs w:val="24"/>
              </w:rPr>
              <w:t>Wild Game and Hunting Act (Official Gazette of the Republic of Slovenia, no. 16/04 with all amendments): As per Article 32, chopping, burning or other destruction of hedgerows, scrub and dry overgrown areas of pastures, meadows and arable land is prohibited during bird nesting and hatching, i.e. from 1 March to 1 August.</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Minimum activities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837"/>
              </w:numPr>
              <w:spacing w:before="0" w:after="240"/>
              <w:ind w:hanging="290"/>
              <w:jc w:val="left"/>
              <w:rPr>
                <w:szCs w:val="24"/>
              </w:rPr>
            </w:pPr>
            <w:r w:rsidRPr="005C3B55">
              <w:rPr>
                <w:szCs w:val="24"/>
              </w:rPr>
              <w:t>Not relevant.</w:t>
            </w:r>
          </w:p>
          <w:p w:rsidR="00F555D6" w:rsidRPr="005C3B55" w:rsidRDefault="00F555D6" w:rsidP="00F555D6">
            <w:pPr>
              <w:pStyle w:val="Telobesedila"/>
              <w:rPr>
                <w:szCs w:val="24"/>
              </w:rPr>
            </w:pPr>
          </w:p>
        </w:tc>
      </w:tr>
    </w:tbl>
    <w:p w:rsidR="00F555D6" w:rsidRPr="005C3B55" w:rsidRDefault="00F555D6" w:rsidP="00F555D6">
      <w:pPr>
        <w:pStyle w:val="Naslov9"/>
        <w:tabs>
          <w:tab w:val="clear" w:pos="765"/>
        </w:tabs>
        <w:ind w:left="0" w:firstLine="0"/>
        <w:rPr>
          <w:szCs w:val="24"/>
          <w:lang w:val="en-GB"/>
        </w:rPr>
      </w:pPr>
      <w:r w:rsidRPr="005C3B55">
        <w:rPr>
          <w:noProof w:val="0"/>
          <w:szCs w:val="24"/>
          <w:lang w:val="en-GB"/>
        </w:rPr>
        <w:t>Relevant standard agricultural practices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450" w:type="pct"/>
            <w:tcMar>
              <w:top w:w="20" w:type="dxa"/>
              <w:bottom w:w="20" w:type="dxa"/>
            </w:tcMar>
            <w:vAlign w:val="center"/>
          </w:tcPr>
          <w:p w:rsidR="00F555D6" w:rsidRPr="005C3B55" w:rsidRDefault="00F555D6" w:rsidP="00F555D6">
            <w:pPr>
              <w:numPr>
                <w:ilvl w:val="0"/>
                <w:numId w:val="838"/>
              </w:numPr>
              <w:spacing w:before="0" w:after="240"/>
              <w:ind w:hanging="290"/>
              <w:jc w:val="left"/>
              <w:rPr>
                <w:szCs w:val="24"/>
              </w:rPr>
            </w:pPr>
            <w:r w:rsidRPr="005C3B55">
              <w:rPr>
                <w:szCs w:val="24"/>
              </w:rPr>
              <w:t>Hedgerows are a landscape feature and an important part of the cultural landscape. Due to the intensification of farming they are frequently reduced and removed. Their decline is most noticeable in areas which are most favourable for agriculture.</w:t>
            </w:r>
          </w:p>
          <w:p w:rsidR="00F555D6" w:rsidRPr="005C3B55" w:rsidRDefault="00F555D6" w:rsidP="00F555D6">
            <w:pPr>
              <w:pStyle w:val="Telobesedila"/>
              <w:rPr>
                <w:szCs w:val="24"/>
              </w:rPr>
            </w:pPr>
          </w:p>
        </w:tc>
      </w:tr>
    </w:tbl>
    <w:p w:rsidR="00F555D6" w:rsidRPr="005C3B55" w:rsidRDefault="00F555D6" w:rsidP="00F555D6">
      <w:pPr>
        <w:rPr>
          <w:szCs w:val="24"/>
        </w:rPr>
      </w:pPr>
    </w:p>
    <w:p w:rsidR="00F555D6" w:rsidRPr="005C3B55" w:rsidRDefault="00F555D6" w:rsidP="00F555D6">
      <w:pPr>
        <w:pStyle w:val="Naslov5"/>
        <w:tabs>
          <w:tab w:val="clear" w:pos="765"/>
        </w:tabs>
        <w:ind w:left="0" w:firstLine="0"/>
        <w:rPr>
          <w:b w:val="0"/>
          <w:szCs w:val="24"/>
          <w:lang w:val="en-GB"/>
        </w:rPr>
      </w:pPr>
      <w:r w:rsidRPr="005C3B55">
        <w:rPr>
          <w:b w:val="0"/>
          <w:szCs w:val="24"/>
          <w:lang w:val="en-GB"/>
        </w:rPr>
        <w:t>18.</w:t>
      </w:r>
      <w:r w:rsidRPr="005C3B55">
        <w:rPr>
          <w:b w:val="0"/>
          <w:szCs w:val="24"/>
          <w:lang w:val="en-GB"/>
        </w:rPr>
        <w:tab/>
      </w:r>
      <w:r w:rsidRPr="005C3B55">
        <w:rPr>
          <w:b w:val="0"/>
          <w:noProof w:val="0"/>
          <w:szCs w:val="24"/>
          <w:lang w:val="en-GB"/>
        </w:rPr>
        <w:t>Breeding of local breeds in danger of being lost to farming</w:t>
      </w:r>
    </w:p>
    <w:p w:rsidR="00F555D6" w:rsidRPr="005C3B55" w:rsidRDefault="00F555D6" w:rsidP="00F555D6">
      <w:pPr>
        <w:spacing w:line="280" w:lineRule="auto"/>
        <w:rPr>
          <w:szCs w:val="24"/>
        </w:rPr>
      </w:pPr>
      <w:r w:rsidRPr="005C3B55">
        <w:rPr>
          <w:szCs w:val="24"/>
        </w:rPr>
        <w:t xml:space="preserve">Sub-measure: </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839"/>
              </w:numPr>
              <w:rPr>
                <w:szCs w:val="24"/>
              </w:rPr>
            </w:pPr>
            <w:r w:rsidRPr="005C3B55">
              <w:rPr>
                <w:szCs w:val="24"/>
              </w:rPr>
              <w:t>10.1 – Payment of agri-environment-climate commitments</w:t>
            </w: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Description of type of operation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The operation ‘Breeding of local breeds in danger of being lost to farming’ is aimed at preserving local breeds of domestic animals in danger of being lost to farming, their genetic diversity and preventing loss of biological material adapted to a particular environment. Local breeds of domestic animals, i.e. indigenous and traditional breeds are reared in a given area and adapted to the specific climate, feed, structure and configuration of the area. They are an integral part of the natural and cultural heritage which have contributed to the preservation of settlements in more remote parts of Slovenia. They contributed significantly to the preservation of the cultivation of agricultural land. Unlike the biodiversity of wild animals and plants, the survival of agricultural biodiversity depends on its use. Due to the intensification of agriculture, farmers are increasingly opting for breeding highly productive foreign breeds, which is why the local breeds are in danger of being lost to farming.</w:t>
            </w:r>
          </w:p>
          <w:p w:rsidR="00F555D6" w:rsidRPr="005C3B55" w:rsidRDefault="00F555D6" w:rsidP="00F555D6">
            <w:pPr>
              <w:spacing w:before="240" w:after="240" w:line="280" w:lineRule="auto"/>
              <w:rPr>
                <w:szCs w:val="24"/>
              </w:rPr>
            </w:pPr>
            <w:r w:rsidRPr="005C3B55">
              <w:rPr>
                <w:szCs w:val="24"/>
              </w:rPr>
              <w:t>The requirement presents a change in the existing agricultural practice.</w:t>
            </w:r>
          </w:p>
          <w:p w:rsidR="00F555D6" w:rsidRPr="005C3B55" w:rsidRDefault="00F555D6" w:rsidP="00F555D6">
            <w:pPr>
              <w:numPr>
                <w:ilvl w:val="0"/>
                <w:numId w:val="840"/>
              </w:numPr>
              <w:spacing w:before="240" w:after="0"/>
              <w:ind w:hanging="290"/>
              <w:jc w:val="left"/>
              <w:rPr>
                <w:szCs w:val="24"/>
              </w:rPr>
            </w:pPr>
            <w:r w:rsidRPr="005C3B55">
              <w:rPr>
                <w:szCs w:val="24"/>
              </w:rPr>
              <w:t>Use: not relevant.</w:t>
            </w:r>
          </w:p>
          <w:p w:rsidR="00F555D6" w:rsidRPr="005C3B55" w:rsidRDefault="00F555D6" w:rsidP="00F555D6">
            <w:pPr>
              <w:numPr>
                <w:ilvl w:val="0"/>
                <w:numId w:val="840"/>
              </w:numPr>
              <w:spacing w:before="0" w:after="0"/>
              <w:ind w:hanging="290"/>
              <w:jc w:val="left"/>
              <w:rPr>
                <w:szCs w:val="24"/>
              </w:rPr>
            </w:pPr>
            <w:r w:rsidRPr="005C3B55">
              <w:rPr>
                <w:szCs w:val="24"/>
              </w:rPr>
              <w:t>Coverage: hens: at least 30 adult animals; Belokranjska pramenka sheep, Istrska pramenka sheep and Drežnica goat: a minimum of 3 adult animals; other species of animals: at least 1 LU.</w:t>
            </w:r>
          </w:p>
          <w:p w:rsidR="00F555D6" w:rsidRPr="005C3B55" w:rsidRDefault="00F555D6" w:rsidP="00F555D6">
            <w:pPr>
              <w:numPr>
                <w:ilvl w:val="0"/>
                <w:numId w:val="840"/>
              </w:numPr>
              <w:spacing w:before="0" w:after="0"/>
              <w:ind w:hanging="290"/>
              <w:jc w:val="left"/>
              <w:rPr>
                <w:szCs w:val="24"/>
              </w:rPr>
            </w:pPr>
            <w:r w:rsidRPr="005C3B55">
              <w:rPr>
                <w:szCs w:val="24"/>
              </w:rPr>
              <w:t>Location: not relevant.</w:t>
            </w:r>
          </w:p>
          <w:p w:rsidR="00F555D6" w:rsidRPr="005C3B55" w:rsidRDefault="00F555D6" w:rsidP="00F555D6">
            <w:pPr>
              <w:numPr>
                <w:ilvl w:val="0"/>
                <w:numId w:val="840"/>
              </w:numPr>
              <w:spacing w:before="0" w:after="240"/>
              <w:ind w:hanging="290"/>
              <w:jc w:val="left"/>
              <w:rPr>
                <w:szCs w:val="24"/>
              </w:rPr>
            </w:pPr>
            <w:r w:rsidRPr="005C3B55">
              <w:rPr>
                <w:szCs w:val="24"/>
              </w:rPr>
              <w:t>Implementation area: whole Slovenia.</w:t>
            </w:r>
          </w:p>
          <w:p w:rsidR="00F555D6" w:rsidRPr="005C3B55" w:rsidRDefault="00F555D6" w:rsidP="00F555D6">
            <w:pPr>
              <w:spacing w:before="240" w:after="240" w:line="280" w:lineRule="auto"/>
              <w:rPr>
                <w:szCs w:val="24"/>
              </w:rPr>
            </w:pPr>
            <w:r w:rsidRPr="005C3B55">
              <w:rPr>
                <w:szCs w:val="24"/>
              </w:rPr>
              <w:t>Effects:</w:t>
            </w:r>
          </w:p>
          <w:p w:rsidR="00F555D6" w:rsidRPr="005C3B55" w:rsidRDefault="00F555D6" w:rsidP="00F555D6">
            <w:pPr>
              <w:numPr>
                <w:ilvl w:val="0"/>
                <w:numId w:val="841"/>
              </w:numPr>
              <w:spacing w:before="240" w:after="0"/>
              <w:ind w:hanging="290"/>
              <w:jc w:val="left"/>
              <w:rPr>
                <w:szCs w:val="24"/>
              </w:rPr>
            </w:pPr>
            <w:r w:rsidRPr="005C3B55">
              <w:rPr>
                <w:szCs w:val="24"/>
              </w:rPr>
              <w:t>conserving genetic resources of local breeds;</w:t>
            </w:r>
          </w:p>
          <w:p w:rsidR="00F555D6" w:rsidRPr="005C3B55" w:rsidRDefault="00F555D6" w:rsidP="00F555D6">
            <w:pPr>
              <w:numPr>
                <w:ilvl w:val="0"/>
                <w:numId w:val="841"/>
              </w:numPr>
              <w:spacing w:before="0" w:after="0"/>
              <w:ind w:hanging="290"/>
              <w:jc w:val="left"/>
              <w:rPr>
                <w:szCs w:val="24"/>
              </w:rPr>
            </w:pPr>
            <w:r w:rsidRPr="005C3B55">
              <w:rPr>
                <w:szCs w:val="24"/>
              </w:rPr>
              <w:t>improving the state of biodiversity and genetic diversity by preventing the loss of biological material adapted to a particular environment;</w:t>
            </w:r>
          </w:p>
          <w:p w:rsidR="00F555D6" w:rsidRPr="005C3B55" w:rsidRDefault="00F555D6" w:rsidP="00F555D6">
            <w:pPr>
              <w:numPr>
                <w:ilvl w:val="0"/>
                <w:numId w:val="841"/>
              </w:numPr>
              <w:spacing w:before="0" w:after="0"/>
              <w:ind w:hanging="290"/>
              <w:jc w:val="left"/>
              <w:rPr>
                <w:szCs w:val="24"/>
              </w:rPr>
            </w:pPr>
            <w:r w:rsidRPr="005C3B55">
              <w:rPr>
                <w:szCs w:val="24"/>
              </w:rPr>
              <w:t>more efficient utilisation of natural resources and potentials due to adaptation of local breeds to climate and other conditions of rearing;</w:t>
            </w:r>
          </w:p>
          <w:p w:rsidR="00F555D6" w:rsidRPr="005C3B55" w:rsidRDefault="00F555D6" w:rsidP="00F555D6">
            <w:pPr>
              <w:numPr>
                <w:ilvl w:val="0"/>
                <w:numId w:val="841"/>
              </w:numPr>
              <w:spacing w:before="0" w:after="0"/>
              <w:ind w:hanging="290"/>
              <w:jc w:val="left"/>
              <w:rPr>
                <w:szCs w:val="24"/>
              </w:rPr>
            </w:pPr>
            <w:r w:rsidRPr="005C3B55">
              <w:rPr>
                <w:szCs w:val="24"/>
              </w:rPr>
              <w:t>local breeds are more suitable for low-input farming;</w:t>
            </w:r>
          </w:p>
          <w:p w:rsidR="00F555D6" w:rsidRPr="005C3B55" w:rsidRDefault="00F555D6" w:rsidP="00F555D6">
            <w:pPr>
              <w:numPr>
                <w:ilvl w:val="0"/>
                <w:numId w:val="841"/>
              </w:numPr>
              <w:spacing w:before="0" w:after="240"/>
              <w:ind w:hanging="290"/>
              <w:jc w:val="left"/>
              <w:rPr>
                <w:szCs w:val="24"/>
              </w:rPr>
            </w:pPr>
            <w:r w:rsidRPr="005C3B55">
              <w:rPr>
                <w:szCs w:val="24"/>
              </w:rPr>
              <w:t>local breeds are more sustainable in situations of natural disasters (e.g. drought).</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Type of support</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Support for the implementation of the operation ‘Breeding of local breeds in danger of being lost to farming’ consists of:</w:t>
            </w:r>
          </w:p>
          <w:p w:rsidR="00F555D6" w:rsidRPr="005C3B55" w:rsidRDefault="00F555D6" w:rsidP="00F555D6">
            <w:pPr>
              <w:numPr>
                <w:ilvl w:val="0"/>
                <w:numId w:val="842"/>
              </w:numPr>
              <w:spacing w:before="240" w:after="240"/>
              <w:ind w:hanging="290"/>
              <w:jc w:val="left"/>
              <w:rPr>
                <w:szCs w:val="24"/>
              </w:rPr>
            </w:pPr>
            <w:r w:rsidRPr="005C3B55">
              <w:rPr>
                <w:szCs w:val="24"/>
              </w:rPr>
              <w:t>payments per LU referring to the breeding of local breeds in danger of being lost to farming.</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Connection with other legislation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The operation ‘Breeding of local breeds in danger of being lost to farming’ is connected with national and EU regulations in the field of measures of agricultural policy, agriculture, the environment, nature protection and rural development.</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Beneficiaries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Beneficiaries for payments are agricultural holdings which participate voluntarily in the implementation of the operation ‘Breeding of local breeds in danger of being lost to farming’ and meet the prescribed conditions and requirements.</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Eligible costs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Payments are only intended for those commitments within the operation ‘Breeding of local breeds in danger of being lost to farming’ which exceed suitable mandatory standards determined in accordance with Chapter I, Title VI of Regulation (EU) No 1306/2013, suitable criteria determined in the second indent of item c) of the first paragraph of Article 4 of Regulation (EU) No 1307/2013, and other suitable mandatory requirements from national regulations.</w:t>
            </w:r>
          </w:p>
          <w:p w:rsidR="00F555D6" w:rsidRPr="005C3B55" w:rsidRDefault="00F555D6" w:rsidP="00F555D6">
            <w:pPr>
              <w:spacing w:before="240" w:after="240" w:line="280" w:lineRule="auto"/>
              <w:rPr>
                <w:szCs w:val="24"/>
              </w:rPr>
            </w:pPr>
            <w:r w:rsidRPr="005C3B55">
              <w:rPr>
                <w:szCs w:val="24"/>
              </w:rPr>
              <w:t>Payments cover 60 per cent of the additional costs and the loss of revenue due to the assumed commitment.</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Conditions for eligibility</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When entering the M10 measure, an agricultural holding must:</w:t>
            </w:r>
          </w:p>
          <w:p w:rsidR="00F555D6" w:rsidRPr="005C3B55" w:rsidRDefault="00F555D6" w:rsidP="00F555D6">
            <w:pPr>
              <w:numPr>
                <w:ilvl w:val="0"/>
                <w:numId w:val="843"/>
              </w:numPr>
              <w:spacing w:before="240" w:after="0"/>
              <w:ind w:hanging="290"/>
              <w:jc w:val="left"/>
              <w:rPr>
                <w:szCs w:val="24"/>
              </w:rPr>
            </w:pPr>
            <w:r w:rsidRPr="005C3B55">
              <w:rPr>
                <w:szCs w:val="24"/>
              </w:rPr>
              <w:t>have at least 1 ha of agricultural land in use as per Article 4 of Regulation (EU) No 1307/2013;</w:t>
            </w:r>
          </w:p>
          <w:p w:rsidR="00F555D6" w:rsidRPr="005C3B55" w:rsidRDefault="00F555D6" w:rsidP="00F555D6">
            <w:pPr>
              <w:numPr>
                <w:ilvl w:val="0"/>
                <w:numId w:val="843"/>
              </w:numPr>
              <w:spacing w:before="0" w:after="0"/>
              <w:ind w:hanging="290"/>
              <w:jc w:val="left"/>
              <w:rPr>
                <w:szCs w:val="24"/>
              </w:rPr>
            </w:pPr>
            <w:r w:rsidRPr="005C3B55">
              <w:rPr>
                <w:szCs w:val="24"/>
              </w:rPr>
              <w:t>be entered in the register of agricultural holdings in accordance with the regulation on the register of agricultural holdings;</w:t>
            </w:r>
          </w:p>
          <w:p w:rsidR="00F555D6" w:rsidRPr="005C3B55" w:rsidRDefault="00F555D6" w:rsidP="00F555D6">
            <w:pPr>
              <w:numPr>
                <w:ilvl w:val="0"/>
                <w:numId w:val="843"/>
              </w:numPr>
              <w:spacing w:before="0" w:after="0"/>
              <w:ind w:hanging="290"/>
              <w:jc w:val="left"/>
              <w:rPr>
                <w:szCs w:val="24"/>
              </w:rPr>
            </w:pPr>
            <w:r w:rsidRPr="005C3B55">
              <w:rPr>
                <w:szCs w:val="24"/>
              </w:rPr>
              <w:t>undergo a six-hour training programme on agri-environment-climate content;</w:t>
            </w:r>
          </w:p>
          <w:p w:rsidR="00F555D6" w:rsidRPr="005C3B55" w:rsidRDefault="00F555D6" w:rsidP="00F555D6">
            <w:pPr>
              <w:numPr>
                <w:ilvl w:val="0"/>
                <w:numId w:val="843"/>
              </w:numPr>
              <w:spacing w:before="0" w:after="240"/>
              <w:ind w:hanging="290"/>
              <w:jc w:val="left"/>
              <w:rPr>
                <w:szCs w:val="24"/>
              </w:rPr>
            </w:pPr>
            <w:r w:rsidRPr="005C3B55">
              <w:rPr>
                <w:szCs w:val="24"/>
              </w:rPr>
              <w:t>prepare an activities programme of the agricultural holding which is an electronic document prepared as a result of advisory services.</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Principles regarding the determination of selection criteria</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The selection criteria are not relevant.</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(Valid) amounts and support rates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The amount of payment for the operation ‘Breeding of local breeds in danger of being lost to farming’ amounts to 60 % of amount of payments as per the model calculation.</w:t>
            </w:r>
          </w:p>
          <w:p w:rsidR="00F555D6" w:rsidRPr="005C3B55" w:rsidRDefault="00F555D6" w:rsidP="00F555D6">
            <w:pPr>
              <w:numPr>
                <w:ilvl w:val="0"/>
                <w:numId w:val="844"/>
              </w:numPr>
              <w:spacing w:before="240" w:after="0"/>
              <w:ind w:hanging="290"/>
              <w:jc w:val="left"/>
              <w:rPr>
                <w:szCs w:val="24"/>
              </w:rPr>
            </w:pPr>
            <w:r w:rsidRPr="005C3B55">
              <w:rPr>
                <w:szCs w:val="24"/>
              </w:rPr>
              <w:t>Calculated payment amount as per model calculation: EUR 193.62/LU annually.</w:t>
            </w:r>
          </w:p>
          <w:p w:rsidR="00F555D6" w:rsidRPr="005C3B55" w:rsidRDefault="00F555D6" w:rsidP="00F555D6">
            <w:pPr>
              <w:numPr>
                <w:ilvl w:val="0"/>
                <w:numId w:val="844"/>
              </w:numPr>
              <w:spacing w:before="0" w:after="0"/>
              <w:ind w:hanging="290"/>
              <w:jc w:val="left"/>
              <w:rPr>
                <w:szCs w:val="24"/>
              </w:rPr>
            </w:pPr>
            <w:r w:rsidRPr="005C3B55">
              <w:rPr>
                <w:szCs w:val="24"/>
              </w:rPr>
              <w:t>The highest possible payment as per Annex II to Regulation (EU) No 1305/2013: EUR 200/LU annually.</w:t>
            </w:r>
          </w:p>
          <w:p w:rsidR="00F555D6" w:rsidRPr="005C3B55" w:rsidRDefault="00F555D6" w:rsidP="00F555D6">
            <w:pPr>
              <w:numPr>
                <w:ilvl w:val="0"/>
                <w:numId w:val="844"/>
              </w:numPr>
              <w:spacing w:before="0" w:after="0"/>
              <w:ind w:hanging="290"/>
              <w:jc w:val="left"/>
              <w:rPr>
                <w:szCs w:val="24"/>
              </w:rPr>
            </w:pPr>
            <w:r w:rsidRPr="005C3B55">
              <w:rPr>
                <w:szCs w:val="24"/>
              </w:rPr>
              <w:t>The highest possible amount: EUR 193.62/LU annually.</w:t>
            </w:r>
          </w:p>
          <w:p w:rsidR="00F555D6" w:rsidRPr="005C3B55" w:rsidRDefault="00F555D6" w:rsidP="00F555D6">
            <w:pPr>
              <w:numPr>
                <w:ilvl w:val="0"/>
                <w:numId w:val="844"/>
              </w:numPr>
              <w:spacing w:before="0" w:after="240"/>
              <w:ind w:hanging="290"/>
              <w:jc w:val="left"/>
              <w:rPr>
                <w:szCs w:val="24"/>
              </w:rPr>
            </w:pPr>
            <w:r w:rsidRPr="005C3B55">
              <w:rPr>
                <w:b/>
                <w:szCs w:val="24"/>
              </w:rPr>
              <w:t>Payment (60 % of payment amount calculated as per the model calculation): EUR 116.17/LU annually.</w:t>
            </w:r>
          </w:p>
          <w:p w:rsidR="00F555D6" w:rsidRPr="005C3B55" w:rsidRDefault="00F555D6" w:rsidP="00F555D6">
            <w:pPr>
              <w:spacing w:before="240" w:after="240" w:line="280" w:lineRule="auto"/>
              <w:rPr>
                <w:szCs w:val="24"/>
              </w:rPr>
            </w:pPr>
            <w:r w:rsidRPr="005C3B55">
              <w:rPr>
                <w:szCs w:val="24"/>
              </w:rPr>
              <w:t> </w:t>
            </w:r>
          </w:p>
          <w:p w:rsidR="00F555D6" w:rsidRPr="005C3B55" w:rsidRDefault="00F555D6" w:rsidP="00F555D6">
            <w:pPr>
              <w:spacing w:before="240" w:after="240" w:line="280" w:lineRule="auto"/>
              <w:rPr>
                <w:szCs w:val="24"/>
              </w:rPr>
            </w:pPr>
            <w:r w:rsidRPr="005C3B55">
              <w:rPr>
                <w:szCs w:val="24"/>
              </w:rPr>
              <w:t> </w:t>
            </w:r>
          </w:p>
          <w:p w:rsidR="00F555D6" w:rsidRPr="005C3B55" w:rsidRDefault="00F555D6" w:rsidP="00F555D6">
            <w:pPr>
              <w:spacing w:before="240" w:after="240" w:line="280" w:lineRule="auto"/>
              <w:rPr>
                <w:szCs w:val="24"/>
              </w:rPr>
            </w:pPr>
            <w:r w:rsidRPr="005C3B55">
              <w:rPr>
                <w:szCs w:val="24"/>
              </w:rPr>
              <w:t> </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Verifiability and possibility of control of measures and/or type of operations</w:t>
      </w:r>
    </w:p>
    <w:p w:rsidR="00F555D6" w:rsidRPr="005C3B55" w:rsidRDefault="00F555D6" w:rsidP="00F555D6">
      <w:pPr>
        <w:pStyle w:val="Naslov7"/>
        <w:tabs>
          <w:tab w:val="clear" w:pos="765"/>
        </w:tabs>
        <w:ind w:left="0" w:firstLine="0"/>
        <w:rPr>
          <w:szCs w:val="24"/>
          <w:lang w:val="en-GB"/>
        </w:rPr>
      </w:pPr>
      <w:r w:rsidRPr="005C3B55">
        <w:rPr>
          <w:noProof w:val="0"/>
          <w:szCs w:val="24"/>
          <w:lang w:val="en-GB"/>
        </w:rPr>
        <w:t>Risks in the implementation of the measure</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b/>
                <w:szCs w:val="24"/>
              </w:rPr>
              <w:t>R5: Requirements which are difficult to verify and/or control</w:t>
            </w:r>
          </w:p>
          <w:p w:rsidR="00F555D6" w:rsidRPr="005C3B55" w:rsidRDefault="00F555D6" w:rsidP="00F555D6">
            <w:pPr>
              <w:spacing w:before="240" w:after="240" w:line="280" w:lineRule="auto"/>
              <w:rPr>
                <w:szCs w:val="24"/>
              </w:rPr>
            </w:pPr>
            <w:r w:rsidRPr="005C3B55">
              <w:rPr>
                <w:szCs w:val="24"/>
              </w:rPr>
              <w:t>Administrative control and on-the-spot control may be performed by taking into account the data in registers and records.</w:t>
            </w:r>
          </w:p>
          <w:p w:rsidR="00F555D6" w:rsidRPr="005C3B55" w:rsidRDefault="00F555D6" w:rsidP="00F555D6">
            <w:pPr>
              <w:spacing w:before="240" w:after="240" w:line="280" w:lineRule="auto"/>
              <w:rPr>
                <w:szCs w:val="24"/>
              </w:rPr>
            </w:pPr>
            <w:r w:rsidRPr="005C3B55">
              <w:rPr>
                <w:b/>
                <w:szCs w:val="24"/>
              </w:rPr>
              <w:t>R6: General conditions for implementation</w:t>
            </w:r>
          </w:p>
          <w:p w:rsidR="00F555D6" w:rsidRPr="005C3B55" w:rsidRDefault="00F555D6" w:rsidP="00F555D6">
            <w:pPr>
              <w:spacing w:before="240" w:after="240" w:line="280" w:lineRule="auto"/>
              <w:rPr>
                <w:szCs w:val="24"/>
              </w:rPr>
            </w:pPr>
            <w:r w:rsidRPr="005C3B55">
              <w:rPr>
                <w:szCs w:val="24"/>
              </w:rPr>
              <w:t>Ill-timed adoption of regulations which regulate payments for the M10 measure and which enable beneficiaries to be informed about the eligibility conditions for implementing this operation, and insufficient knowledge of the conditions of the operation ‘Breeding of local breeds in danger of being lost to farming’ present a risk for the implementation of this measure.</w:t>
            </w:r>
          </w:p>
          <w:p w:rsidR="00F555D6" w:rsidRPr="005C3B55" w:rsidRDefault="00F555D6" w:rsidP="00F555D6">
            <w:pPr>
              <w:spacing w:before="240" w:after="240" w:line="280" w:lineRule="auto"/>
              <w:rPr>
                <w:szCs w:val="24"/>
              </w:rPr>
            </w:pPr>
            <w:r w:rsidRPr="005C3B55">
              <w:rPr>
                <w:b/>
                <w:szCs w:val="24"/>
              </w:rPr>
              <w:t>R8: IT systems</w:t>
            </w:r>
          </w:p>
          <w:p w:rsidR="00F555D6" w:rsidRPr="005C3B55" w:rsidRDefault="00F555D6" w:rsidP="00F555D6">
            <w:pPr>
              <w:spacing w:before="240" w:after="240" w:line="280" w:lineRule="auto"/>
              <w:rPr>
                <w:szCs w:val="24"/>
              </w:rPr>
            </w:pPr>
            <w:r w:rsidRPr="005C3B55">
              <w:rPr>
                <w:szCs w:val="24"/>
              </w:rPr>
              <w:t>Unsuitable arrangement of certain databases for inclusion in the verification system and insufficient administrative controls when entering the operation ‘Breeding of local breeds in danger of being lost to farming’.</w:t>
            </w:r>
          </w:p>
          <w:p w:rsidR="00F555D6" w:rsidRPr="005C3B55" w:rsidRDefault="00F555D6" w:rsidP="00F555D6">
            <w:pPr>
              <w:spacing w:before="240" w:after="240" w:line="280" w:lineRule="auto"/>
              <w:rPr>
                <w:szCs w:val="24"/>
              </w:rPr>
            </w:pPr>
            <w:r w:rsidRPr="005C3B55">
              <w:rPr>
                <w:b/>
                <w:szCs w:val="24"/>
              </w:rPr>
              <w:t>R9: Requests for payment</w:t>
            </w:r>
          </w:p>
          <w:p w:rsidR="00F555D6" w:rsidRPr="005C3B55" w:rsidRDefault="00F555D6" w:rsidP="00F555D6">
            <w:pPr>
              <w:spacing w:before="240" w:after="240" w:line="280" w:lineRule="auto"/>
              <w:rPr>
                <w:szCs w:val="24"/>
              </w:rPr>
            </w:pPr>
            <w:r w:rsidRPr="005C3B55">
              <w:rPr>
                <w:szCs w:val="24"/>
              </w:rPr>
              <w:t>Lack of information and insufficient knowledge of the operation ‘Breeding of local breeds in danger of being lost to farming’, poor familiarisation with the procedure for submitting the application and the beneficiary’s incorrect reporting about the size of surfaces.</w:t>
            </w:r>
          </w:p>
          <w:p w:rsidR="00F555D6" w:rsidRPr="005C3B55" w:rsidRDefault="00F555D6" w:rsidP="00F555D6">
            <w:pPr>
              <w:pStyle w:val="Telobesedila"/>
              <w:rPr>
                <w:szCs w:val="24"/>
              </w:rPr>
            </w:pPr>
          </w:p>
        </w:tc>
      </w:tr>
    </w:tbl>
    <w:p w:rsidR="00F555D6" w:rsidRPr="005C3B55" w:rsidRDefault="00F555D6" w:rsidP="00F555D6">
      <w:pPr>
        <w:pStyle w:val="Naslov7"/>
        <w:tabs>
          <w:tab w:val="clear" w:pos="765"/>
        </w:tabs>
        <w:ind w:left="0" w:firstLine="0"/>
        <w:rPr>
          <w:szCs w:val="24"/>
          <w:lang w:val="en-GB"/>
        </w:rPr>
      </w:pPr>
      <w:r w:rsidRPr="005C3B55">
        <w:rPr>
          <w:noProof w:val="0"/>
          <w:szCs w:val="24"/>
          <w:lang w:val="en-GB"/>
        </w:rPr>
        <w:t>Mitigation measures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b/>
                <w:szCs w:val="24"/>
              </w:rPr>
              <w:t>R5: Requirements which are difficult to verify and/or control</w:t>
            </w:r>
          </w:p>
          <w:p w:rsidR="00F555D6" w:rsidRPr="005C3B55" w:rsidRDefault="00F555D6" w:rsidP="00F555D6">
            <w:pPr>
              <w:spacing w:before="240" w:after="240" w:line="280" w:lineRule="auto"/>
              <w:rPr>
                <w:szCs w:val="24"/>
              </w:rPr>
            </w:pPr>
            <w:r w:rsidRPr="005C3B55">
              <w:rPr>
                <w:szCs w:val="24"/>
              </w:rPr>
              <w:t>Administrative control will be upgraded accordingly for certain requirements (registers and records of all farm animals for which support will be eligible and suitable documentation of selection services).</w:t>
            </w:r>
          </w:p>
          <w:p w:rsidR="00F555D6" w:rsidRPr="005C3B55" w:rsidRDefault="00F555D6" w:rsidP="00F555D6">
            <w:pPr>
              <w:spacing w:before="240" w:after="240" w:line="280" w:lineRule="auto"/>
              <w:rPr>
                <w:szCs w:val="24"/>
              </w:rPr>
            </w:pPr>
            <w:r w:rsidRPr="005C3B55">
              <w:rPr>
                <w:szCs w:val="24"/>
              </w:rPr>
              <w:t>Requirements for implementing the M10 measure which cannot be verified administratively will be verified or controlled on the spot, which will verify all other available records and evidence.</w:t>
            </w:r>
          </w:p>
          <w:p w:rsidR="00F555D6" w:rsidRPr="005C3B55" w:rsidRDefault="00F555D6" w:rsidP="00F555D6">
            <w:pPr>
              <w:spacing w:before="240" w:after="240" w:line="280" w:lineRule="auto"/>
              <w:rPr>
                <w:szCs w:val="24"/>
              </w:rPr>
            </w:pPr>
            <w:r w:rsidRPr="005C3B55">
              <w:rPr>
                <w:b/>
                <w:szCs w:val="24"/>
              </w:rPr>
              <w:t>R6: General conditions for implementation</w:t>
            </w:r>
          </w:p>
          <w:p w:rsidR="00F555D6" w:rsidRPr="005C3B55" w:rsidRDefault="00F555D6" w:rsidP="00F555D6">
            <w:pPr>
              <w:spacing w:before="240" w:after="240" w:line="280" w:lineRule="auto"/>
              <w:rPr>
                <w:szCs w:val="24"/>
              </w:rPr>
            </w:pPr>
            <w:r w:rsidRPr="005C3B55">
              <w:rPr>
                <w:szCs w:val="24"/>
              </w:rPr>
              <w:t>Prior to entering in the operation ‘Breeding of local breeds in danger of being lost to farming’, a beneficiary will have to undergo a six-hour training which is one of the eligibility conditions. At the training, the beneficiary will become acquainted with the eligibility conditions for entering in the operation and the conditions of individual requirements for implementing the operation, including the Rural Development Programme 2014–2020 and the national regulation regulating payments for the M10 measure.</w:t>
            </w:r>
          </w:p>
          <w:p w:rsidR="00F555D6" w:rsidRPr="005C3B55" w:rsidRDefault="00F555D6" w:rsidP="00F555D6">
            <w:pPr>
              <w:spacing w:before="240" w:after="240" w:line="280" w:lineRule="auto"/>
              <w:rPr>
                <w:szCs w:val="24"/>
              </w:rPr>
            </w:pPr>
            <w:r w:rsidRPr="005C3B55">
              <w:rPr>
                <w:szCs w:val="24"/>
              </w:rPr>
              <w:t>After training, the beneficiary will be able to prepare a programme of activities of the agricultural holding, which is one of the eligibility conditions, and in which it will determine which operation and requirements to implement within the M10 measure.</w:t>
            </w:r>
          </w:p>
          <w:p w:rsidR="00F555D6" w:rsidRPr="005C3B55" w:rsidRDefault="00F555D6" w:rsidP="00F555D6">
            <w:pPr>
              <w:spacing w:before="240" w:after="240" w:line="280" w:lineRule="auto"/>
              <w:rPr>
                <w:szCs w:val="24"/>
              </w:rPr>
            </w:pPr>
            <w:r w:rsidRPr="005C3B55">
              <w:rPr>
                <w:b/>
                <w:szCs w:val="24"/>
              </w:rPr>
              <w:t>R8: IT systems</w:t>
            </w:r>
          </w:p>
          <w:p w:rsidR="00F555D6" w:rsidRPr="005C3B55" w:rsidRDefault="00F555D6" w:rsidP="00F555D6">
            <w:pPr>
              <w:spacing w:before="240" w:after="240" w:line="280" w:lineRule="auto"/>
              <w:rPr>
                <w:szCs w:val="24"/>
              </w:rPr>
            </w:pPr>
            <w:r w:rsidRPr="005C3B55">
              <w:rPr>
                <w:szCs w:val="24"/>
              </w:rPr>
              <w:t>Suitable connections will be established and databases arranged (registers, records, codes and combinations of requirements within or between operations).</w:t>
            </w:r>
          </w:p>
          <w:p w:rsidR="00F555D6" w:rsidRPr="005C3B55" w:rsidRDefault="00F555D6" w:rsidP="00F555D6">
            <w:pPr>
              <w:spacing w:before="240" w:after="240" w:line="280" w:lineRule="auto"/>
              <w:rPr>
                <w:szCs w:val="24"/>
              </w:rPr>
            </w:pPr>
            <w:r w:rsidRPr="005C3B55">
              <w:rPr>
                <w:szCs w:val="24"/>
              </w:rPr>
              <w:t>An application enabling cross-checking of data from different databases will be established.</w:t>
            </w:r>
          </w:p>
          <w:p w:rsidR="00F555D6" w:rsidRPr="005C3B55" w:rsidRDefault="00F555D6" w:rsidP="00F555D6">
            <w:pPr>
              <w:spacing w:before="240" w:after="240" w:line="280" w:lineRule="auto"/>
              <w:rPr>
                <w:szCs w:val="24"/>
              </w:rPr>
            </w:pPr>
            <w:r w:rsidRPr="005C3B55">
              <w:rPr>
                <w:b/>
                <w:szCs w:val="24"/>
              </w:rPr>
              <w:t>R9: Requests for payment</w:t>
            </w:r>
          </w:p>
          <w:p w:rsidR="00F555D6" w:rsidRPr="005C3B55" w:rsidRDefault="00F555D6" w:rsidP="00F555D6">
            <w:pPr>
              <w:spacing w:before="240" w:after="240" w:line="280" w:lineRule="auto"/>
              <w:rPr>
                <w:szCs w:val="24"/>
              </w:rPr>
            </w:pPr>
            <w:r w:rsidRPr="005C3B55">
              <w:rPr>
                <w:szCs w:val="24"/>
              </w:rPr>
              <w:t>Mandatory annual four-hour training and mandatory use of advisory services at least once in the first three years of the commitment are introduced in order for beneficiaries to be suitably informed about all conditions and requirements for the implementation of the M10 measure. Regular annual informing of beneficiaries about their commitments related to the implementation of the M10 measure as part of the annual campaign for implementing requests for agricultural policy measures during the year and also within the scope of specific and purpose-oriented informing of beneficiaries is envisaged</w:t>
            </w:r>
            <w:r w:rsidRPr="005C3B55">
              <w:rPr>
                <w:rFonts w:ascii="TimesNewRoman" w:hAnsi="TimesNewRoman"/>
                <w:szCs w:val="24"/>
              </w:rPr>
              <w:t>.</w:t>
            </w:r>
          </w:p>
          <w:p w:rsidR="00F555D6" w:rsidRPr="005C3B55" w:rsidRDefault="00F555D6" w:rsidP="00F555D6">
            <w:pPr>
              <w:spacing w:before="240" w:after="240" w:line="280" w:lineRule="auto"/>
              <w:rPr>
                <w:szCs w:val="24"/>
              </w:rPr>
            </w:pPr>
            <w:r w:rsidRPr="005C3B55">
              <w:rPr>
                <w:szCs w:val="24"/>
              </w:rPr>
              <w:t>On the basis of the programme of activities, the request for payment will be submitted electronically on prescribed forms, by means of which a beneficiary will define for which requirements within individual operations of the M10 measure it will request payment.</w:t>
            </w:r>
          </w:p>
          <w:p w:rsidR="00F555D6" w:rsidRPr="005C3B55" w:rsidRDefault="00F555D6" w:rsidP="00F555D6">
            <w:pPr>
              <w:spacing w:before="240" w:after="240" w:line="280" w:lineRule="auto"/>
              <w:rPr>
                <w:szCs w:val="24"/>
              </w:rPr>
            </w:pPr>
            <w:r w:rsidRPr="005C3B55">
              <w:rPr>
                <w:szCs w:val="24"/>
              </w:rPr>
              <w:t>The upgrading of the IT system for administrative control will be implemented, which will allow certain verifications and controls already upon the submission of the request for payment (suitability of combinations of requests and operations, suitability of agricultural plants, suitability of use as per individual register, suitability of animals as per official registers and records).</w:t>
            </w:r>
          </w:p>
          <w:p w:rsidR="00F555D6" w:rsidRPr="005C3B55" w:rsidRDefault="00F555D6" w:rsidP="00F555D6">
            <w:pPr>
              <w:spacing w:before="240" w:after="240" w:line="280" w:lineRule="auto"/>
              <w:rPr>
                <w:szCs w:val="24"/>
              </w:rPr>
            </w:pPr>
            <w:r w:rsidRPr="005C3B55">
              <w:rPr>
                <w:szCs w:val="24"/>
              </w:rPr>
              <w:t>If a beneficiary fails to meet the eligibility conditions for entering measure M10, they will be alerted to the shortcomings which they will be able to eliminate by the prescribed deadline; otherwise, it will not be possible to submit a request for the payment of measure M10.</w:t>
            </w:r>
          </w:p>
          <w:p w:rsidR="00F555D6" w:rsidRPr="005C3B55" w:rsidRDefault="00F555D6" w:rsidP="00F555D6">
            <w:pPr>
              <w:spacing w:before="240" w:after="240" w:line="280" w:lineRule="auto"/>
              <w:rPr>
                <w:szCs w:val="24"/>
              </w:rPr>
            </w:pPr>
            <w:r w:rsidRPr="005C3B55">
              <w:rPr>
                <w:szCs w:val="24"/>
              </w:rPr>
              <w:t>Unpermitted combinations between operations and unpermitted combinations of this operation with requirements within other operations of the M10 measure will be disabled.</w:t>
            </w:r>
          </w:p>
          <w:p w:rsidR="00F555D6" w:rsidRPr="005C3B55" w:rsidRDefault="00F555D6" w:rsidP="00F555D6">
            <w:pPr>
              <w:spacing w:before="240" w:after="240" w:line="280" w:lineRule="auto"/>
              <w:rPr>
                <w:szCs w:val="24"/>
              </w:rPr>
            </w:pPr>
            <w:r w:rsidRPr="005C3B55">
              <w:rPr>
                <w:szCs w:val="24"/>
              </w:rPr>
              <w:t>A beneficiary who will also be included in the implementation of the M11measure will not have the opportunity to submit the request for unauthorised combinations of this measure with the M10 measure.</w:t>
            </w:r>
          </w:p>
          <w:p w:rsidR="00F555D6" w:rsidRPr="005C3B55" w:rsidRDefault="00F555D6" w:rsidP="00F555D6">
            <w:pPr>
              <w:pStyle w:val="Telobesedila"/>
              <w:rPr>
                <w:szCs w:val="24"/>
              </w:rPr>
            </w:pPr>
          </w:p>
        </w:tc>
      </w:tr>
    </w:tbl>
    <w:p w:rsidR="00F555D6" w:rsidRPr="005C3B55" w:rsidRDefault="00F555D6" w:rsidP="00F555D6">
      <w:pPr>
        <w:pStyle w:val="Naslov7"/>
        <w:tabs>
          <w:tab w:val="clear" w:pos="765"/>
        </w:tabs>
        <w:ind w:left="0" w:firstLine="0"/>
        <w:rPr>
          <w:szCs w:val="24"/>
          <w:lang w:val="en-GB"/>
        </w:rPr>
      </w:pPr>
      <w:r w:rsidRPr="005C3B55">
        <w:rPr>
          <w:noProof w:val="0"/>
          <w:szCs w:val="24"/>
          <w:lang w:val="en-GB"/>
        </w:rPr>
        <w:t>General assessment of the measure</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 xml:space="preserve">Described in Chapter </w:t>
            </w:r>
            <w:r w:rsidRPr="005C3B55">
              <w:rPr>
                <w:i/>
                <w:szCs w:val="24"/>
              </w:rPr>
              <w:t>8.2.9.4.3 General assessment of the measure</w:t>
            </w:r>
            <w:r w:rsidRPr="005C3B55">
              <w:rPr>
                <w:szCs w:val="24"/>
              </w:rPr>
              <w:t>.</w:t>
            </w:r>
          </w:p>
          <w:p w:rsidR="00F555D6" w:rsidRPr="005C3B55" w:rsidRDefault="00F555D6" w:rsidP="00F555D6">
            <w:pPr>
              <w:pStyle w:val="Telobesedila"/>
              <w:rPr>
                <w:szCs w:val="24"/>
              </w:rPr>
            </w:pPr>
          </w:p>
        </w:tc>
      </w:tr>
    </w:tbl>
    <w:p w:rsidR="00F555D6" w:rsidRPr="005C3B55" w:rsidRDefault="00F555D6" w:rsidP="00F555D6">
      <w:pPr>
        <w:pStyle w:val="Naslov7"/>
        <w:tabs>
          <w:tab w:val="clear" w:pos="765"/>
        </w:tabs>
        <w:ind w:left="0" w:firstLine="0"/>
        <w:rPr>
          <w:szCs w:val="24"/>
          <w:lang w:val="en-GB"/>
        </w:rPr>
      </w:pPr>
      <w:r w:rsidRPr="005C3B55">
        <w:rPr>
          <w:noProof w:val="0"/>
          <w:szCs w:val="24"/>
          <w:lang w:val="en-GB"/>
        </w:rPr>
        <w:t>Agri-environment-climate commitments</w:t>
      </w:r>
    </w:p>
    <w:p w:rsidR="00F555D6" w:rsidRPr="005C3B55" w:rsidRDefault="00F555D6" w:rsidP="00F555D6">
      <w:pPr>
        <w:pStyle w:val="Naslov8"/>
        <w:tabs>
          <w:tab w:val="clear" w:pos="765"/>
        </w:tabs>
        <w:ind w:left="0" w:firstLine="0"/>
        <w:rPr>
          <w:b w:val="0"/>
          <w:szCs w:val="24"/>
          <w:lang w:val="en-GB"/>
        </w:rPr>
      </w:pPr>
      <w:r w:rsidRPr="005C3B55">
        <w:rPr>
          <w:b w:val="0"/>
          <w:noProof w:val="0"/>
          <w:szCs w:val="24"/>
          <w:lang w:val="en-GB"/>
        </w:rPr>
        <w:t>GEN_PAS:</w:t>
      </w:r>
      <w:r w:rsidRPr="005C3B55">
        <w:rPr>
          <w:b w:val="0"/>
          <w:szCs w:val="24"/>
          <w:lang w:val="en-GB"/>
        </w:rPr>
        <w:t xml:space="preserve"> </w:t>
      </w:r>
      <w:r w:rsidRPr="005C3B55">
        <w:rPr>
          <w:b w:val="0"/>
          <w:noProof w:val="0"/>
          <w:szCs w:val="24"/>
          <w:lang w:val="en-GB"/>
        </w:rPr>
        <w:t>Breeding of local breeds in danger of being lost to farming</w:t>
      </w:r>
    </w:p>
    <w:p w:rsidR="00F555D6" w:rsidRPr="005C3B55" w:rsidRDefault="00F555D6" w:rsidP="00F555D6">
      <w:pPr>
        <w:pStyle w:val="Naslov9"/>
        <w:tabs>
          <w:tab w:val="clear" w:pos="765"/>
        </w:tabs>
        <w:ind w:left="0" w:firstLine="0"/>
        <w:rPr>
          <w:szCs w:val="24"/>
          <w:lang w:val="en-GB"/>
        </w:rPr>
      </w:pPr>
      <w:r w:rsidRPr="005C3B55">
        <w:rPr>
          <w:noProof w:val="0"/>
          <w:szCs w:val="24"/>
          <w:lang w:val="en-GB"/>
        </w:rPr>
        <w:t>Methods of commitment verification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Administrative control:</w:t>
            </w:r>
          </w:p>
          <w:p w:rsidR="00F555D6" w:rsidRPr="005C3B55" w:rsidRDefault="00F555D6" w:rsidP="00F555D6">
            <w:pPr>
              <w:numPr>
                <w:ilvl w:val="0"/>
                <w:numId w:val="845"/>
              </w:numPr>
              <w:spacing w:before="240" w:after="0"/>
              <w:ind w:hanging="290"/>
              <w:jc w:val="left"/>
              <w:rPr>
                <w:szCs w:val="24"/>
              </w:rPr>
            </w:pPr>
            <w:r w:rsidRPr="005C3B55">
              <w:rPr>
                <w:szCs w:val="24"/>
              </w:rPr>
              <w:t>suitability of breeds of cattle and horses through livestock registers;</w:t>
            </w:r>
          </w:p>
          <w:p w:rsidR="00F555D6" w:rsidRPr="005C3B55" w:rsidRDefault="00F555D6" w:rsidP="00F555D6">
            <w:pPr>
              <w:numPr>
                <w:ilvl w:val="0"/>
                <w:numId w:val="845"/>
              </w:numPr>
              <w:spacing w:before="0" w:after="0"/>
              <w:ind w:hanging="290"/>
              <w:jc w:val="left"/>
              <w:rPr>
                <w:szCs w:val="24"/>
              </w:rPr>
            </w:pPr>
            <w:r w:rsidRPr="005C3B55">
              <w:rPr>
                <w:szCs w:val="24"/>
              </w:rPr>
              <w:t>suitability of breeds of horses (Ljutomer trotter), small ruminants, pigs and hens through certificates of selection service;</w:t>
            </w:r>
          </w:p>
          <w:p w:rsidR="00F555D6" w:rsidRPr="005C3B55" w:rsidRDefault="00F555D6" w:rsidP="00F555D6">
            <w:pPr>
              <w:numPr>
                <w:ilvl w:val="0"/>
                <w:numId w:val="845"/>
              </w:numPr>
              <w:spacing w:before="0" w:after="0"/>
              <w:ind w:hanging="290"/>
              <w:jc w:val="left"/>
              <w:rPr>
                <w:szCs w:val="24"/>
              </w:rPr>
            </w:pPr>
            <w:r w:rsidRPr="005C3B55">
              <w:rPr>
                <w:szCs w:val="24"/>
              </w:rPr>
              <w:t>number of animals through livestock registers and records;</w:t>
            </w:r>
          </w:p>
          <w:p w:rsidR="00F555D6" w:rsidRPr="005C3B55" w:rsidRDefault="00F555D6" w:rsidP="00F555D6">
            <w:pPr>
              <w:numPr>
                <w:ilvl w:val="0"/>
                <w:numId w:val="845"/>
              </w:numPr>
              <w:spacing w:before="0" w:after="240"/>
              <w:ind w:hanging="290"/>
              <w:jc w:val="left"/>
              <w:rPr>
                <w:szCs w:val="24"/>
              </w:rPr>
            </w:pPr>
            <w:r w:rsidRPr="005C3B55">
              <w:rPr>
                <w:szCs w:val="24"/>
              </w:rPr>
              <w:t>entry of animals in the herd book or register.</w:t>
            </w:r>
          </w:p>
          <w:p w:rsidR="00F555D6" w:rsidRPr="005C3B55" w:rsidRDefault="00F555D6" w:rsidP="00F555D6">
            <w:pPr>
              <w:spacing w:before="240" w:after="240" w:line="280" w:lineRule="auto"/>
              <w:rPr>
                <w:szCs w:val="24"/>
              </w:rPr>
            </w:pPr>
            <w:r w:rsidRPr="005C3B55">
              <w:rPr>
                <w:szCs w:val="24"/>
              </w:rPr>
              <w:t>Registers/records:</w:t>
            </w:r>
          </w:p>
          <w:p w:rsidR="00F555D6" w:rsidRPr="005C3B55" w:rsidRDefault="00F555D6" w:rsidP="00F555D6">
            <w:pPr>
              <w:numPr>
                <w:ilvl w:val="0"/>
                <w:numId w:val="846"/>
              </w:numPr>
              <w:spacing w:before="240" w:after="0"/>
              <w:ind w:hanging="290"/>
              <w:jc w:val="left"/>
              <w:rPr>
                <w:szCs w:val="24"/>
              </w:rPr>
            </w:pPr>
            <w:r w:rsidRPr="005C3B55">
              <w:rPr>
                <w:szCs w:val="24"/>
              </w:rPr>
              <w:t>register of agricultural holdings;</w:t>
            </w:r>
          </w:p>
          <w:p w:rsidR="00F555D6" w:rsidRPr="005C3B55" w:rsidRDefault="00F555D6" w:rsidP="00F555D6">
            <w:pPr>
              <w:numPr>
                <w:ilvl w:val="0"/>
                <w:numId w:val="846"/>
              </w:numPr>
              <w:spacing w:before="0" w:after="0"/>
              <w:ind w:hanging="290"/>
              <w:jc w:val="left"/>
              <w:rPr>
                <w:szCs w:val="24"/>
              </w:rPr>
            </w:pPr>
            <w:r w:rsidRPr="005C3B55">
              <w:rPr>
                <w:szCs w:val="24"/>
              </w:rPr>
              <w:t>registers, registers of farm animals;</w:t>
            </w:r>
          </w:p>
          <w:p w:rsidR="00F555D6" w:rsidRPr="005C3B55" w:rsidRDefault="00F555D6" w:rsidP="00F555D6">
            <w:pPr>
              <w:numPr>
                <w:ilvl w:val="0"/>
                <w:numId w:val="846"/>
              </w:numPr>
              <w:spacing w:before="0" w:after="240"/>
              <w:ind w:hanging="290"/>
              <w:jc w:val="left"/>
              <w:rPr>
                <w:szCs w:val="24"/>
              </w:rPr>
            </w:pPr>
            <w:r w:rsidRPr="005C3B55">
              <w:rPr>
                <w:szCs w:val="24"/>
              </w:rPr>
              <w:t>herd book of selection services.</w:t>
            </w:r>
          </w:p>
          <w:p w:rsidR="00F555D6" w:rsidRPr="005C3B55" w:rsidRDefault="00F555D6" w:rsidP="00F555D6">
            <w:pPr>
              <w:spacing w:before="240" w:after="240" w:line="280" w:lineRule="auto"/>
              <w:rPr>
                <w:szCs w:val="24"/>
              </w:rPr>
            </w:pPr>
            <w:r w:rsidRPr="005C3B55">
              <w:rPr>
                <w:szCs w:val="24"/>
              </w:rPr>
              <w:t>On-site control:</w:t>
            </w:r>
          </w:p>
          <w:p w:rsidR="00F555D6" w:rsidRPr="005C3B55" w:rsidRDefault="00F555D6" w:rsidP="00F555D6">
            <w:pPr>
              <w:numPr>
                <w:ilvl w:val="0"/>
                <w:numId w:val="847"/>
              </w:numPr>
              <w:spacing w:before="240" w:after="0"/>
              <w:ind w:hanging="290"/>
              <w:jc w:val="left"/>
              <w:rPr>
                <w:szCs w:val="24"/>
              </w:rPr>
            </w:pPr>
            <w:r w:rsidRPr="005C3B55">
              <w:rPr>
                <w:szCs w:val="24"/>
              </w:rPr>
              <w:t>records on works;</w:t>
            </w:r>
          </w:p>
          <w:p w:rsidR="00F555D6" w:rsidRPr="005C3B55" w:rsidRDefault="00F555D6" w:rsidP="00F555D6">
            <w:pPr>
              <w:numPr>
                <w:ilvl w:val="0"/>
                <w:numId w:val="847"/>
              </w:numPr>
              <w:spacing w:before="0" w:after="0"/>
              <w:ind w:hanging="290"/>
              <w:jc w:val="left"/>
              <w:rPr>
                <w:szCs w:val="24"/>
              </w:rPr>
            </w:pPr>
            <w:r w:rsidRPr="005C3B55">
              <w:rPr>
                <w:szCs w:val="24"/>
              </w:rPr>
              <w:t>suitability of a breed through certificates;</w:t>
            </w:r>
          </w:p>
          <w:p w:rsidR="00F555D6" w:rsidRPr="005C3B55" w:rsidRDefault="00F555D6" w:rsidP="00F555D6">
            <w:pPr>
              <w:numPr>
                <w:ilvl w:val="0"/>
                <w:numId w:val="847"/>
              </w:numPr>
              <w:spacing w:before="0" w:after="0"/>
              <w:ind w:hanging="290"/>
              <w:jc w:val="left"/>
              <w:rPr>
                <w:szCs w:val="24"/>
              </w:rPr>
            </w:pPr>
            <w:r w:rsidRPr="005C3B55">
              <w:rPr>
                <w:szCs w:val="24"/>
              </w:rPr>
              <w:t>invoice on the purchase of breed animals;</w:t>
            </w:r>
          </w:p>
          <w:p w:rsidR="00F555D6" w:rsidRPr="005C3B55" w:rsidRDefault="00F555D6" w:rsidP="00F555D6">
            <w:pPr>
              <w:numPr>
                <w:ilvl w:val="0"/>
                <w:numId w:val="847"/>
              </w:numPr>
              <w:spacing w:before="0" w:after="240"/>
              <w:ind w:hanging="290"/>
              <w:jc w:val="left"/>
              <w:rPr>
                <w:szCs w:val="24"/>
              </w:rPr>
            </w:pPr>
            <w:r w:rsidRPr="005C3B55">
              <w:rPr>
                <w:szCs w:val="24"/>
              </w:rPr>
              <w:t>control of the number of animals by counting.</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Information that relates specifically to the operation</w:t>
      </w:r>
    </w:p>
    <w:p w:rsidR="00F555D6" w:rsidRPr="005C3B55" w:rsidRDefault="00F555D6" w:rsidP="00F555D6">
      <w:pPr>
        <w:spacing w:line="280" w:lineRule="auto"/>
        <w:rPr>
          <w:szCs w:val="24"/>
        </w:rPr>
      </w:pPr>
      <w:r w:rsidRPr="005C3B55">
        <w:rPr>
          <w:szCs w:val="24"/>
        </w:rPr>
        <w:t>Definition and identification of the relevant basic elements; this should include the relevant mandatory standards determined in accordance with Chapter I of Title VI of Regulation (EU) No 1306/2013 of the European Parliament and of the Council, relevant criteria and minimum activities determined in accordance with points (c)(ii) and (c)(iii) of the first paragraph of Article 4 of Regulation (EU) No 1307/2013 of the European Parliament and of the Council, relevant minimum requirements for the use of organic fertilisers and plant protection products and relevant mandatory requirements determined by national law</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 xml:space="preserve">Described in the chapter </w:t>
            </w:r>
            <w:r w:rsidRPr="005C3B55">
              <w:rPr>
                <w:i/>
                <w:szCs w:val="24"/>
              </w:rPr>
              <w:t>Agri-environment-climate commitments</w:t>
            </w:r>
            <w:r w:rsidRPr="005C3B55">
              <w:rPr>
                <w:szCs w:val="24"/>
              </w:rPr>
              <w:t>.</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 xml:space="preserve">Minimum requirements for fertilisers must include, inter alia, the Codes of Good Practice introduced under Directive 91/676/EEC for farms outside Nitrate Vulnerable Zones, and requirements concerning phosphorous pollution; minimum requirements for plant protection products use must include, </w:t>
      </w:r>
      <w:r w:rsidRPr="005C3B55">
        <w:rPr>
          <w:i/>
          <w:szCs w:val="24"/>
        </w:rPr>
        <w:t>inter alia</w:t>
      </w:r>
      <w:r w:rsidRPr="005C3B55">
        <w:rPr>
          <w:szCs w:val="24"/>
        </w:rPr>
        <w:t>, general principles for integrated pest management introduced with Directive 2009/128/EC, requirements to have a licence to use the products and meet training obligations, requirements on safe storage, the checking of application machinery and rules on pesticide use close to water and other sensitive sites, as established by national legislation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 xml:space="preserve">Described in the chapter </w:t>
            </w:r>
            <w:r w:rsidRPr="005C3B55">
              <w:rPr>
                <w:i/>
                <w:szCs w:val="24"/>
              </w:rPr>
              <w:t>Agri-environment-climate commitments</w:t>
            </w:r>
            <w:r w:rsidRPr="005C3B55">
              <w:rPr>
                <w:szCs w:val="24"/>
              </w:rPr>
              <w:t>.</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List of local breeds in danger of being lost to farming and for plant genetic resources under threat of genetic erosion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List of local breeds in danger of being lost to farming includes:</w:t>
            </w:r>
          </w:p>
          <w:p w:rsidR="00F555D6" w:rsidRPr="005C3B55" w:rsidRDefault="00F555D6" w:rsidP="00F555D6">
            <w:pPr>
              <w:spacing w:before="240" w:after="240" w:line="280" w:lineRule="auto"/>
              <w:rPr>
                <w:szCs w:val="24"/>
              </w:rPr>
            </w:pPr>
            <w:r w:rsidRPr="005C3B55">
              <w:rPr>
                <w:i/>
                <w:szCs w:val="24"/>
              </w:rPr>
              <w:t>Autochthonous breeds:</w:t>
            </w:r>
          </w:p>
          <w:p w:rsidR="00F555D6" w:rsidRPr="005C3B55" w:rsidRDefault="00F555D6" w:rsidP="00F555D6">
            <w:pPr>
              <w:numPr>
                <w:ilvl w:val="0"/>
                <w:numId w:val="848"/>
              </w:numPr>
              <w:spacing w:before="240" w:after="0"/>
              <w:ind w:hanging="290"/>
              <w:jc w:val="left"/>
              <w:rPr>
                <w:szCs w:val="24"/>
              </w:rPr>
            </w:pPr>
            <w:r w:rsidRPr="005C3B55">
              <w:rPr>
                <w:szCs w:val="24"/>
              </w:rPr>
              <w:t>cattle: Cika breed;</w:t>
            </w:r>
          </w:p>
          <w:p w:rsidR="00F555D6" w:rsidRPr="005C3B55" w:rsidRDefault="00F555D6" w:rsidP="00F555D6">
            <w:pPr>
              <w:numPr>
                <w:ilvl w:val="0"/>
                <w:numId w:val="848"/>
              </w:numPr>
              <w:spacing w:before="0" w:after="0"/>
              <w:ind w:hanging="290"/>
              <w:jc w:val="left"/>
              <w:rPr>
                <w:szCs w:val="24"/>
              </w:rPr>
            </w:pPr>
            <w:r w:rsidRPr="005C3B55">
              <w:rPr>
                <w:szCs w:val="24"/>
              </w:rPr>
              <w:t>horses: Lipizzan horse, Posavje horse, Slovenian cold-blooded horse;</w:t>
            </w:r>
          </w:p>
          <w:p w:rsidR="00F555D6" w:rsidRPr="005C3B55" w:rsidRDefault="00F555D6" w:rsidP="00F555D6">
            <w:pPr>
              <w:numPr>
                <w:ilvl w:val="0"/>
                <w:numId w:val="848"/>
              </w:numPr>
              <w:spacing w:before="0" w:after="0"/>
              <w:ind w:hanging="290"/>
              <w:jc w:val="left"/>
              <w:rPr>
                <w:szCs w:val="24"/>
              </w:rPr>
            </w:pPr>
            <w:r w:rsidRPr="005C3B55">
              <w:rPr>
                <w:szCs w:val="24"/>
              </w:rPr>
              <w:t>pigs: Krškopolje pig;</w:t>
            </w:r>
          </w:p>
          <w:p w:rsidR="00F555D6" w:rsidRPr="005C3B55" w:rsidRDefault="00F555D6" w:rsidP="00F555D6">
            <w:pPr>
              <w:numPr>
                <w:ilvl w:val="0"/>
                <w:numId w:val="848"/>
              </w:numPr>
              <w:spacing w:before="0" w:after="0"/>
              <w:ind w:hanging="290"/>
              <w:jc w:val="left"/>
              <w:rPr>
                <w:szCs w:val="24"/>
              </w:rPr>
            </w:pPr>
            <w:r w:rsidRPr="005C3B55">
              <w:rPr>
                <w:szCs w:val="24"/>
              </w:rPr>
              <w:t>sheep: Belokranjska pramenka sheep, Bovec sheep, Istrska pramenka sheep, Jezersko-solčavska sheep;</w:t>
            </w:r>
          </w:p>
          <w:p w:rsidR="00F555D6" w:rsidRPr="005C3B55" w:rsidRDefault="00F555D6" w:rsidP="00F555D6">
            <w:pPr>
              <w:numPr>
                <w:ilvl w:val="0"/>
                <w:numId w:val="848"/>
              </w:numPr>
              <w:spacing w:before="0" w:after="0"/>
              <w:ind w:hanging="290"/>
              <w:jc w:val="left"/>
              <w:rPr>
                <w:szCs w:val="24"/>
              </w:rPr>
            </w:pPr>
            <w:r w:rsidRPr="005C3B55">
              <w:rPr>
                <w:szCs w:val="24"/>
              </w:rPr>
              <w:t>goats: Drežnica goat;</w:t>
            </w:r>
          </w:p>
          <w:p w:rsidR="00F555D6" w:rsidRPr="005C3B55" w:rsidRDefault="00F555D6" w:rsidP="00F555D6">
            <w:pPr>
              <w:numPr>
                <w:ilvl w:val="0"/>
                <w:numId w:val="848"/>
              </w:numPr>
              <w:spacing w:before="0" w:after="240"/>
              <w:ind w:hanging="290"/>
              <w:jc w:val="left"/>
              <w:rPr>
                <w:szCs w:val="24"/>
              </w:rPr>
            </w:pPr>
            <w:r w:rsidRPr="005C3B55">
              <w:rPr>
                <w:szCs w:val="24"/>
              </w:rPr>
              <w:t>hens: Štajerska hen.</w:t>
            </w:r>
          </w:p>
          <w:p w:rsidR="00F555D6" w:rsidRPr="005C3B55" w:rsidRDefault="00F555D6" w:rsidP="00F555D6">
            <w:pPr>
              <w:spacing w:before="240" w:after="240" w:line="280" w:lineRule="auto"/>
              <w:rPr>
                <w:szCs w:val="24"/>
              </w:rPr>
            </w:pPr>
            <w:r w:rsidRPr="005C3B55">
              <w:rPr>
                <w:i/>
                <w:szCs w:val="24"/>
              </w:rPr>
              <w:t>Traditional breeds:</w:t>
            </w:r>
          </w:p>
          <w:p w:rsidR="00F555D6" w:rsidRPr="005C3B55" w:rsidRDefault="00F555D6" w:rsidP="00F555D6">
            <w:pPr>
              <w:numPr>
                <w:ilvl w:val="0"/>
                <w:numId w:val="849"/>
              </w:numPr>
              <w:spacing w:before="240" w:after="0"/>
              <w:ind w:hanging="290"/>
              <w:jc w:val="left"/>
              <w:rPr>
                <w:szCs w:val="24"/>
              </w:rPr>
            </w:pPr>
            <w:r w:rsidRPr="005C3B55">
              <w:rPr>
                <w:szCs w:val="24"/>
              </w:rPr>
              <w:t>horses: Ljutomer trotter;</w:t>
            </w:r>
          </w:p>
          <w:p w:rsidR="00F555D6" w:rsidRPr="005C3B55" w:rsidRDefault="00F555D6" w:rsidP="00F555D6">
            <w:pPr>
              <w:numPr>
                <w:ilvl w:val="0"/>
                <w:numId w:val="849"/>
              </w:numPr>
              <w:spacing w:before="0" w:after="0"/>
              <w:ind w:hanging="290"/>
              <w:jc w:val="left"/>
              <w:rPr>
                <w:szCs w:val="24"/>
              </w:rPr>
            </w:pPr>
            <w:r w:rsidRPr="005C3B55">
              <w:rPr>
                <w:szCs w:val="24"/>
              </w:rPr>
              <w:t>pigs: Slovenian Landrace - line 11, Slovenian Landrace - line 55, Slovenian large white pig;</w:t>
            </w:r>
          </w:p>
          <w:p w:rsidR="00F555D6" w:rsidRPr="005C3B55" w:rsidRDefault="00F555D6" w:rsidP="00F555D6">
            <w:pPr>
              <w:numPr>
                <w:ilvl w:val="0"/>
                <w:numId w:val="849"/>
              </w:numPr>
              <w:spacing w:before="0" w:after="0"/>
              <w:ind w:hanging="290"/>
              <w:jc w:val="left"/>
              <w:rPr>
                <w:szCs w:val="24"/>
              </w:rPr>
            </w:pPr>
            <w:r w:rsidRPr="005C3B55">
              <w:rPr>
                <w:szCs w:val="24"/>
              </w:rPr>
              <w:t>sheep: Improved Jezersko-solčavska sheep;</w:t>
            </w:r>
          </w:p>
          <w:p w:rsidR="00F555D6" w:rsidRPr="005C3B55" w:rsidRDefault="00F555D6" w:rsidP="00F555D6">
            <w:pPr>
              <w:numPr>
                <w:ilvl w:val="0"/>
                <w:numId w:val="849"/>
              </w:numPr>
              <w:spacing w:before="0" w:after="0"/>
              <w:ind w:hanging="290"/>
              <w:jc w:val="left"/>
              <w:rPr>
                <w:szCs w:val="24"/>
              </w:rPr>
            </w:pPr>
            <w:r w:rsidRPr="005C3B55">
              <w:rPr>
                <w:szCs w:val="24"/>
              </w:rPr>
              <w:t>goats: Slovenian Saanen goat, Slovenian Alpine goat;</w:t>
            </w:r>
          </w:p>
          <w:p w:rsidR="00F555D6" w:rsidRPr="005C3B55" w:rsidRDefault="00F555D6" w:rsidP="00F555D6">
            <w:pPr>
              <w:numPr>
                <w:ilvl w:val="0"/>
                <w:numId w:val="849"/>
              </w:numPr>
              <w:spacing w:before="0" w:after="240"/>
              <w:ind w:hanging="290"/>
              <w:jc w:val="left"/>
              <w:rPr>
                <w:szCs w:val="24"/>
              </w:rPr>
            </w:pPr>
            <w:r w:rsidRPr="005C3B55">
              <w:rPr>
                <w:szCs w:val="24"/>
              </w:rPr>
              <w:t>hens: Slovenian barred hen, Slovenian silver hen, Slovenian brown hen, Slovenian late feathering hen.</w:t>
            </w:r>
          </w:p>
          <w:p w:rsidR="00F555D6" w:rsidRPr="005C3B55" w:rsidRDefault="00F555D6" w:rsidP="00F555D6">
            <w:pPr>
              <w:spacing w:before="240" w:after="240" w:line="280" w:lineRule="auto"/>
              <w:rPr>
                <w:szCs w:val="24"/>
              </w:rPr>
            </w:pPr>
            <w:r w:rsidRPr="005C3B55">
              <w:rPr>
                <w:szCs w:val="24"/>
              </w:rPr>
              <w:t>Coefficients as per Annex II of the Implementing Regulation (EU) No 808/2014 are used for the calculation of the number of animals into LU. For breeding boars and horses younger than 6 months a coefficient of 0.4 applies.</w:t>
            </w:r>
          </w:p>
          <w:p w:rsidR="00F555D6" w:rsidRPr="005C3B55" w:rsidRDefault="00F555D6" w:rsidP="00F555D6">
            <w:pPr>
              <w:spacing w:before="240" w:after="240" w:line="280" w:lineRule="auto"/>
              <w:rPr>
                <w:szCs w:val="24"/>
              </w:rPr>
            </w:pPr>
            <w:r w:rsidRPr="005C3B55">
              <w:rPr>
                <w:szCs w:val="24"/>
              </w:rPr>
              <w:t>As per the third paragraph of Article 7 of the Commission Delegated Regulation (EU) No 807/2014, the list of domestic breeds in danger of being lost to farming, including the number of breeding females of each breed and endangerment level of individual breeds has been confirmed by the relevant authority, i.e. University of Ljubljana, Biotechnical Faculty - Department of Animal Science, Groblje 3, 1230 Domžale.</w:t>
            </w:r>
          </w:p>
          <w:p w:rsidR="00F555D6" w:rsidRPr="005C3B55" w:rsidRDefault="00F555D6" w:rsidP="00F555D6">
            <w:pPr>
              <w:pStyle w:val="Telobesedila"/>
              <w:rPr>
                <w:szCs w:val="24"/>
              </w:rPr>
            </w:pPr>
          </w:p>
          <w:p w:rsidR="00F555D6" w:rsidRPr="005C3B55" w:rsidRDefault="0012246E" w:rsidP="00F555D6">
            <w:pPr>
              <w:pStyle w:val="Telobesedila3"/>
              <w:jc w:val="left"/>
              <w:rPr>
                <w:szCs w:val="24"/>
              </w:rPr>
            </w:pPr>
            <w:r w:rsidRPr="005C3B55">
              <w:rPr>
                <w:noProof/>
                <w:szCs w:val="24"/>
                <w:lang w:val="sl-SI"/>
              </w:rPr>
              <w:drawing>
                <wp:inline distT="0" distB="0" distL="0" distR="0">
                  <wp:extent cx="6562725" cy="4105275"/>
                  <wp:effectExtent l="0" t="0" r="9525"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562725" cy="4105275"/>
                          </a:xfrm>
                          <a:prstGeom prst="rect">
                            <a:avLst/>
                          </a:prstGeom>
                          <a:noFill/>
                          <a:ln>
                            <a:noFill/>
                          </a:ln>
                        </pic:spPr>
                      </pic:pic>
                    </a:graphicData>
                  </a:graphic>
                </wp:inline>
              </w:drawing>
            </w:r>
          </w:p>
          <w:p w:rsidR="00F555D6" w:rsidRPr="005C3B55" w:rsidRDefault="00F555D6" w:rsidP="00F555D6">
            <w:pPr>
              <w:pStyle w:val="Noga"/>
              <w:jc w:val="center"/>
              <w:rPr>
                <w:szCs w:val="24"/>
              </w:rPr>
            </w:pPr>
            <w:r w:rsidRPr="005C3B55">
              <w:rPr>
                <w:szCs w:val="24"/>
              </w:rPr>
              <w:t>Number of breeding females and endangerment level of local breeds in danger of being lost to farming</w:t>
            </w:r>
          </w:p>
          <w:p w:rsidR="00F555D6" w:rsidRPr="005C3B55" w:rsidRDefault="00F555D6" w:rsidP="00F555D6">
            <w:pPr>
              <w:pStyle w:val="Noga"/>
              <w:jc w:val="center"/>
              <w:rPr>
                <w:szCs w:val="24"/>
              </w:rPr>
            </w:pPr>
          </w:p>
        </w:tc>
      </w:tr>
    </w:tbl>
    <w:p w:rsidR="00F555D6" w:rsidRPr="005C3B55" w:rsidRDefault="00F555D6" w:rsidP="00F555D6">
      <w:pPr>
        <w:spacing w:line="280" w:lineRule="auto"/>
        <w:rPr>
          <w:szCs w:val="24"/>
        </w:rPr>
      </w:pPr>
    </w:p>
    <w:p w:rsidR="00F555D6" w:rsidRPr="005C3B55" w:rsidRDefault="00F555D6" w:rsidP="00F555D6">
      <w:r w:rsidRPr="005C3B55">
        <w:t>Number of pure-bred females and endangerment level of local breeds in danger of being lost to farming is as follows:</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610"/>
        <w:gridCol w:w="1465"/>
        <w:gridCol w:w="1506"/>
        <w:gridCol w:w="1491"/>
        <w:gridCol w:w="1492"/>
        <w:gridCol w:w="1616"/>
      </w:tblGrid>
      <w:tr w:rsidR="00F555D6" w:rsidRPr="005C3B55">
        <w:tc>
          <w:tcPr>
            <w:tcW w:w="1610"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Breed</w:t>
            </w:r>
          </w:p>
        </w:tc>
        <w:tc>
          <w:tcPr>
            <w:tcW w:w="1465"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Year</w:t>
            </w:r>
          </w:p>
        </w:tc>
        <w:tc>
          <w:tcPr>
            <w:tcW w:w="1506"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Estimated number of pure-bred animals</w:t>
            </w:r>
          </w:p>
        </w:tc>
        <w:tc>
          <w:tcPr>
            <w:tcW w:w="1491"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Number of pure-bred females in the herd book*</w:t>
            </w:r>
          </w:p>
        </w:tc>
        <w:tc>
          <w:tcPr>
            <w:tcW w:w="1492"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Number of pure-bred females in the genetic bank (in situ)</w:t>
            </w:r>
          </w:p>
        </w:tc>
        <w:tc>
          <w:tcPr>
            <w:tcW w:w="1616"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Endangerment level</w:t>
            </w:r>
          </w:p>
        </w:tc>
      </w:tr>
      <w:tr w:rsidR="00F555D6" w:rsidRPr="005C3B55">
        <w:tc>
          <w:tcPr>
            <w:tcW w:w="9180" w:type="dxa"/>
            <w:gridSpan w:val="6"/>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AUTOCHTHONOUS BREEDS</w:t>
            </w:r>
          </w:p>
        </w:tc>
      </w:tr>
      <w:tr w:rsidR="00F555D6" w:rsidRPr="005C3B55">
        <w:tc>
          <w:tcPr>
            <w:tcW w:w="1610"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Cika breed</w:t>
            </w:r>
          </w:p>
          <w:p w:rsidR="00F555D6" w:rsidRPr="005C3B55" w:rsidRDefault="00F555D6" w:rsidP="00F555D6">
            <w:pPr>
              <w:spacing w:after="0"/>
            </w:pPr>
            <w:r w:rsidRPr="005C3B55">
              <w:t>Lipizzan horse</w:t>
            </w:r>
          </w:p>
          <w:p w:rsidR="00F555D6" w:rsidRPr="005C3B55" w:rsidRDefault="00F555D6" w:rsidP="00F555D6">
            <w:pPr>
              <w:spacing w:after="0"/>
            </w:pPr>
            <w:r w:rsidRPr="005C3B55">
              <w:t>Posavje horse</w:t>
            </w:r>
          </w:p>
          <w:p w:rsidR="00F555D6" w:rsidRPr="005C3B55" w:rsidRDefault="00F555D6" w:rsidP="00F555D6">
            <w:pPr>
              <w:spacing w:after="0"/>
            </w:pPr>
            <w:r w:rsidRPr="005C3B55">
              <w:t>Slovenian cold-blooded horse</w:t>
            </w:r>
          </w:p>
        </w:tc>
        <w:tc>
          <w:tcPr>
            <w:tcW w:w="1465"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2013</w:t>
            </w:r>
          </w:p>
          <w:p w:rsidR="00F555D6" w:rsidRPr="005C3B55" w:rsidRDefault="00F555D6" w:rsidP="00F555D6">
            <w:pPr>
              <w:spacing w:after="0"/>
            </w:pPr>
            <w:r w:rsidRPr="005C3B55">
              <w:t>2013</w:t>
            </w:r>
          </w:p>
          <w:p w:rsidR="00F555D6" w:rsidRPr="005C3B55" w:rsidRDefault="00F555D6" w:rsidP="00F555D6">
            <w:pPr>
              <w:spacing w:after="0"/>
            </w:pPr>
          </w:p>
          <w:p w:rsidR="00F555D6" w:rsidRPr="005C3B55" w:rsidRDefault="00F555D6" w:rsidP="00F555D6">
            <w:pPr>
              <w:spacing w:after="0"/>
            </w:pPr>
            <w:r w:rsidRPr="005C3B55">
              <w:t>2013</w:t>
            </w:r>
          </w:p>
          <w:p w:rsidR="00F555D6" w:rsidRPr="005C3B55" w:rsidRDefault="00F555D6" w:rsidP="00F555D6">
            <w:pPr>
              <w:spacing w:after="0"/>
            </w:pPr>
            <w:r w:rsidRPr="005C3B55">
              <w:t>2013</w:t>
            </w:r>
          </w:p>
        </w:tc>
        <w:tc>
          <w:tcPr>
            <w:tcW w:w="1506"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3,097</w:t>
            </w:r>
          </w:p>
          <w:p w:rsidR="00F555D6" w:rsidRPr="005C3B55" w:rsidRDefault="00F555D6" w:rsidP="00F555D6">
            <w:pPr>
              <w:spacing w:after="0"/>
            </w:pPr>
            <w:r w:rsidRPr="005C3B55">
              <w:t>1,175</w:t>
            </w:r>
          </w:p>
          <w:p w:rsidR="00F555D6" w:rsidRPr="005C3B55" w:rsidRDefault="00F555D6" w:rsidP="00F555D6">
            <w:pPr>
              <w:spacing w:after="0"/>
            </w:pPr>
          </w:p>
          <w:p w:rsidR="00F555D6" w:rsidRPr="005C3B55" w:rsidRDefault="00F555D6" w:rsidP="00F555D6">
            <w:pPr>
              <w:spacing w:after="0"/>
            </w:pPr>
            <w:r w:rsidRPr="005C3B55">
              <w:t>1,550</w:t>
            </w:r>
          </w:p>
          <w:p w:rsidR="00F555D6" w:rsidRPr="005C3B55" w:rsidRDefault="00F555D6" w:rsidP="00F555D6">
            <w:pPr>
              <w:spacing w:after="0"/>
            </w:pPr>
            <w:r w:rsidRPr="005C3B55">
              <w:t>3,300</w:t>
            </w:r>
          </w:p>
          <w:p w:rsidR="00F555D6" w:rsidRPr="005C3B55" w:rsidRDefault="00F555D6" w:rsidP="00F555D6">
            <w:pPr>
              <w:spacing w:after="0"/>
            </w:pPr>
          </w:p>
        </w:tc>
        <w:tc>
          <w:tcPr>
            <w:tcW w:w="1491"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263</w:t>
            </w:r>
          </w:p>
          <w:p w:rsidR="00F555D6" w:rsidRPr="005C3B55" w:rsidRDefault="00F555D6" w:rsidP="00F555D6">
            <w:pPr>
              <w:spacing w:after="0"/>
            </w:pPr>
            <w:r w:rsidRPr="005C3B55">
              <w:t>248</w:t>
            </w:r>
          </w:p>
          <w:p w:rsidR="00F555D6" w:rsidRPr="005C3B55" w:rsidRDefault="00F555D6" w:rsidP="00F555D6">
            <w:pPr>
              <w:spacing w:after="0"/>
            </w:pPr>
          </w:p>
          <w:p w:rsidR="00F555D6" w:rsidRPr="005C3B55" w:rsidRDefault="00F555D6" w:rsidP="00F555D6">
            <w:pPr>
              <w:spacing w:after="0"/>
            </w:pPr>
            <w:r w:rsidRPr="005C3B55">
              <w:t>660</w:t>
            </w:r>
          </w:p>
          <w:p w:rsidR="00F555D6" w:rsidRPr="005C3B55" w:rsidRDefault="00F555D6" w:rsidP="00F555D6">
            <w:pPr>
              <w:spacing w:after="0"/>
            </w:pPr>
            <w:r w:rsidRPr="005C3B55">
              <w:t>1,500</w:t>
            </w:r>
          </w:p>
        </w:tc>
        <w:tc>
          <w:tcPr>
            <w:tcW w:w="1492"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w:t>
            </w:r>
          </w:p>
          <w:p w:rsidR="00F555D6" w:rsidRPr="005C3B55" w:rsidRDefault="00F555D6" w:rsidP="00F555D6">
            <w:pPr>
              <w:spacing w:after="0"/>
            </w:pPr>
            <w:r w:rsidRPr="005C3B55">
              <w:t>70</w:t>
            </w:r>
          </w:p>
          <w:p w:rsidR="00F555D6" w:rsidRPr="005C3B55" w:rsidRDefault="00F555D6" w:rsidP="00F555D6">
            <w:pPr>
              <w:spacing w:after="0"/>
            </w:pPr>
          </w:p>
          <w:p w:rsidR="00F555D6" w:rsidRPr="005C3B55" w:rsidRDefault="00F555D6" w:rsidP="00F555D6">
            <w:pPr>
              <w:spacing w:after="0"/>
            </w:pPr>
            <w:r w:rsidRPr="005C3B55">
              <w:t>-</w:t>
            </w:r>
          </w:p>
          <w:p w:rsidR="00F555D6" w:rsidRPr="005C3B55" w:rsidRDefault="00F555D6" w:rsidP="00F555D6">
            <w:pPr>
              <w:spacing w:after="0"/>
            </w:pPr>
            <w:r w:rsidRPr="005C3B55">
              <w:t>-</w:t>
            </w:r>
          </w:p>
        </w:tc>
        <w:tc>
          <w:tcPr>
            <w:tcW w:w="1616"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Endangered</w:t>
            </w:r>
          </w:p>
          <w:p w:rsidR="00F555D6" w:rsidRPr="005C3B55" w:rsidRDefault="00F555D6" w:rsidP="00F555D6">
            <w:pPr>
              <w:spacing w:after="0"/>
            </w:pPr>
            <w:r w:rsidRPr="005C3B55">
              <w:t>Critical</w:t>
            </w:r>
          </w:p>
          <w:p w:rsidR="00F555D6" w:rsidRPr="005C3B55" w:rsidRDefault="00F555D6" w:rsidP="00F555D6">
            <w:pPr>
              <w:spacing w:after="0"/>
            </w:pPr>
          </w:p>
          <w:p w:rsidR="00F555D6" w:rsidRPr="005C3B55" w:rsidRDefault="00F555D6" w:rsidP="00F555D6">
            <w:pPr>
              <w:spacing w:after="0"/>
            </w:pPr>
            <w:r w:rsidRPr="005C3B55">
              <w:t>Critical</w:t>
            </w:r>
          </w:p>
          <w:p w:rsidR="00F555D6" w:rsidRPr="005C3B55" w:rsidRDefault="00F555D6" w:rsidP="00F555D6">
            <w:pPr>
              <w:spacing w:after="0"/>
            </w:pPr>
            <w:r w:rsidRPr="005C3B55">
              <w:t>Endangered</w:t>
            </w:r>
          </w:p>
        </w:tc>
      </w:tr>
      <w:tr w:rsidR="00F555D6" w:rsidRPr="005C3B55">
        <w:tc>
          <w:tcPr>
            <w:tcW w:w="1610"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Krškopolje pig</w:t>
            </w:r>
          </w:p>
        </w:tc>
        <w:tc>
          <w:tcPr>
            <w:tcW w:w="1465"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2013</w:t>
            </w:r>
          </w:p>
        </w:tc>
        <w:tc>
          <w:tcPr>
            <w:tcW w:w="1506"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1,124</w:t>
            </w:r>
          </w:p>
        </w:tc>
        <w:tc>
          <w:tcPr>
            <w:tcW w:w="1491"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171</w:t>
            </w:r>
          </w:p>
        </w:tc>
        <w:tc>
          <w:tcPr>
            <w:tcW w:w="1492"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42</w:t>
            </w:r>
          </w:p>
        </w:tc>
        <w:tc>
          <w:tcPr>
            <w:tcW w:w="1616"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Endangered</w:t>
            </w:r>
          </w:p>
        </w:tc>
      </w:tr>
      <w:tr w:rsidR="00F555D6" w:rsidRPr="005C3B55">
        <w:tc>
          <w:tcPr>
            <w:tcW w:w="1610"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Belokranjska pramenka sheep</w:t>
            </w:r>
          </w:p>
        </w:tc>
        <w:tc>
          <w:tcPr>
            <w:tcW w:w="1465"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2013</w:t>
            </w:r>
          </w:p>
        </w:tc>
        <w:tc>
          <w:tcPr>
            <w:tcW w:w="1506"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880</w:t>
            </w:r>
          </w:p>
        </w:tc>
        <w:tc>
          <w:tcPr>
            <w:tcW w:w="1491"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802</w:t>
            </w:r>
          </w:p>
        </w:tc>
        <w:tc>
          <w:tcPr>
            <w:tcW w:w="1492"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w:t>
            </w:r>
          </w:p>
        </w:tc>
        <w:tc>
          <w:tcPr>
            <w:tcW w:w="1616"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Critical</w:t>
            </w:r>
          </w:p>
        </w:tc>
      </w:tr>
      <w:tr w:rsidR="00F555D6" w:rsidRPr="005C3B55">
        <w:tc>
          <w:tcPr>
            <w:tcW w:w="1610"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Bovec sheep</w:t>
            </w:r>
          </w:p>
        </w:tc>
        <w:tc>
          <w:tcPr>
            <w:tcW w:w="1465"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2013</w:t>
            </w:r>
          </w:p>
        </w:tc>
        <w:tc>
          <w:tcPr>
            <w:tcW w:w="1506"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3,500</w:t>
            </w:r>
          </w:p>
        </w:tc>
        <w:tc>
          <w:tcPr>
            <w:tcW w:w="1491"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2,529</w:t>
            </w:r>
          </w:p>
        </w:tc>
        <w:tc>
          <w:tcPr>
            <w:tcW w:w="1492"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w:t>
            </w:r>
          </w:p>
        </w:tc>
        <w:tc>
          <w:tcPr>
            <w:tcW w:w="1616"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Critical</w:t>
            </w:r>
          </w:p>
        </w:tc>
      </w:tr>
      <w:tr w:rsidR="00F555D6" w:rsidRPr="005C3B55">
        <w:tc>
          <w:tcPr>
            <w:tcW w:w="1610"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Istrian Pramenka</w:t>
            </w:r>
          </w:p>
        </w:tc>
        <w:tc>
          <w:tcPr>
            <w:tcW w:w="1465"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2013</w:t>
            </w:r>
          </w:p>
        </w:tc>
        <w:tc>
          <w:tcPr>
            <w:tcW w:w="1506"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1,150</w:t>
            </w:r>
          </w:p>
        </w:tc>
        <w:tc>
          <w:tcPr>
            <w:tcW w:w="1491"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840</w:t>
            </w:r>
          </w:p>
        </w:tc>
        <w:tc>
          <w:tcPr>
            <w:tcW w:w="1492"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w:t>
            </w:r>
          </w:p>
        </w:tc>
        <w:tc>
          <w:tcPr>
            <w:tcW w:w="1616"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Critical</w:t>
            </w:r>
          </w:p>
        </w:tc>
      </w:tr>
      <w:tr w:rsidR="00F555D6" w:rsidRPr="005C3B55">
        <w:tc>
          <w:tcPr>
            <w:tcW w:w="1610"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Jezersko-Solčava sheep</w:t>
            </w:r>
          </w:p>
        </w:tc>
        <w:tc>
          <w:tcPr>
            <w:tcW w:w="1465"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2013</w:t>
            </w:r>
          </w:p>
        </w:tc>
        <w:tc>
          <w:tcPr>
            <w:tcW w:w="1506"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17,200</w:t>
            </w:r>
          </w:p>
        </w:tc>
        <w:tc>
          <w:tcPr>
            <w:tcW w:w="1491"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4,780</w:t>
            </w:r>
          </w:p>
        </w:tc>
        <w:tc>
          <w:tcPr>
            <w:tcW w:w="1492"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w:t>
            </w:r>
          </w:p>
        </w:tc>
        <w:tc>
          <w:tcPr>
            <w:tcW w:w="1616"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Critical</w:t>
            </w:r>
          </w:p>
        </w:tc>
      </w:tr>
      <w:tr w:rsidR="00F555D6" w:rsidRPr="005C3B55">
        <w:tc>
          <w:tcPr>
            <w:tcW w:w="1610"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Drežnica goat</w:t>
            </w:r>
          </w:p>
        </w:tc>
        <w:tc>
          <w:tcPr>
            <w:tcW w:w="1465"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2013</w:t>
            </w:r>
          </w:p>
        </w:tc>
        <w:tc>
          <w:tcPr>
            <w:tcW w:w="1506"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650</w:t>
            </w:r>
          </w:p>
        </w:tc>
        <w:tc>
          <w:tcPr>
            <w:tcW w:w="1491"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530</w:t>
            </w:r>
          </w:p>
        </w:tc>
        <w:tc>
          <w:tcPr>
            <w:tcW w:w="1492"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w:t>
            </w:r>
          </w:p>
        </w:tc>
        <w:tc>
          <w:tcPr>
            <w:tcW w:w="1616"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Endangered</w:t>
            </w:r>
          </w:p>
        </w:tc>
      </w:tr>
      <w:tr w:rsidR="00F555D6" w:rsidRPr="005C3B55">
        <w:tc>
          <w:tcPr>
            <w:tcW w:w="1610"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Štajerska hen</w:t>
            </w:r>
          </w:p>
        </w:tc>
        <w:tc>
          <w:tcPr>
            <w:tcW w:w="1465"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2013</w:t>
            </w:r>
          </w:p>
        </w:tc>
        <w:tc>
          <w:tcPr>
            <w:tcW w:w="1506"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1,800</w:t>
            </w:r>
          </w:p>
        </w:tc>
        <w:tc>
          <w:tcPr>
            <w:tcW w:w="1491"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w:t>
            </w:r>
          </w:p>
        </w:tc>
        <w:tc>
          <w:tcPr>
            <w:tcW w:w="1492"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294</w:t>
            </w:r>
          </w:p>
        </w:tc>
        <w:tc>
          <w:tcPr>
            <w:tcW w:w="1616"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Endangered</w:t>
            </w:r>
          </w:p>
        </w:tc>
      </w:tr>
      <w:tr w:rsidR="00F555D6" w:rsidRPr="005C3B55">
        <w:tc>
          <w:tcPr>
            <w:tcW w:w="9180" w:type="dxa"/>
            <w:gridSpan w:val="6"/>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TRADITIONAL BREEDS 17,200</w:t>
            </w:r>
          </w:p>
        </w:tc>
      </w:tr>
      <w:tr w:rsidR="00F555D6" w:rsidRPr="005C3B55">
        <w:tc>
          <w:tcPr>
            <w:tcW w:w="1610"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Ljutomer trotter</w:t>
            </w:r>
          </w:p>
        </w:tc>
        <w:tc>
          <w:tcPr>
            <w:tcW w:w="1465"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2013</w:t>
            </w:r>
          </w:p>
        </w:tc>
        <w:tc>
          <w:tcPr>
            <w:tcW w:w="1506"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400</w:t>
            </w:r>
          </w:p>
        </w:tc>
        <w:tc>
          <w:tcPr>
            <w:tcW w:w="1491"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150</w:t>
            </w:r>
          </w:p>
        </w:tc>
        <w:tc>
          <w:tcPr>
            <w:tcW w:w="1492"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w:t>
            </w:r>
          </w:p>
        </w:tc>
        <w:tc>
          <w:tcPr>
            <w:tcW w:w="1616"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Critical</w:t>
            </w:r>
          </w:p>
        </w:tc>
      </w:tr>
      <w:tr w:rsidR="00F555D6" w:rsidRPr="005C3B55">
        <w:tc>
          <w:tcPr>
            <w:tcW w:w="1610"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Slovenian Landrace - line 11</w:t>
            </w:r>
          </w:p>
          <w:p w:rsidR="00F555D6" w:rsidRPr="005C3B55" w:rsidRDefault="00F555D6" w:rsidP="00F555D6">
            <w:pPr>
              <w:spacing w:after="0"/>
            </w:pPr>
            <w:r w:rsidRPr="005C3B55">
              <w:t>Slovenian Landrace - line 55</w:t>
            </w:r>
          </w:p>
        </w:tc>
        <w:tc>
          <w:tcPr>
            <w:tcW w:w="1465"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2013</w:t>
            </w:r>
          </w:p>
          <w:p w:rsidR="00F555D6" w:rsidRPr="005C3B55" w:rsidRDefault="00F555D6" w:rsidP="00F555D6">
            <w:pPr>
              <w:spacing w:after="0"/>
            </w:pPr>
          </w:p>
          <w:p w:rsidR="00F555D6" w:rsidRPr="005C3B55" w:rsidRDefault="00F555D6" w:rsidP="00F555D6">
            <w:pPr>
              <w:spacing w:after="0"/>
            </w:pPr>
          </w:p>
          <w:p w:rsidR="00F555D6" w:rsidRPr="005C3B55" w:rsidRDefault="00F555D6" w:rsidP="00F555D6">
            <w:pPr>
              <w:spacing w:after="0"/>
            </w:pPr>
            <w:r w:rsidRPr="005C3B55">
              <w:t>2013</w:t>
            </w:r>
          </w:p>
        </w:tc>
        <w:tc>
          <w:tcPr>
            <w:tcW w:w="1506"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5,022</w:t>
            </w:r>
          </w:p>
          <w:p w:rsidR="00F555D6" w:rsidRPr="005C3B55" w:rsidRDefault="00F555D6" w:rsidP="00F555D6">
            <w:pPr>
              <w:spacing w:after="0"/>
            </w:pPr>
          </w:p>
          <w:p w:rsidR="00F555D6" w:rsidRPr="005C3B55" w:rsidRDefault="00F555D6" w:rsidP="00F555D6">
            <w:pPr>
              <w:spacing w:after="0"/>
            </w:pPr>
          </w:p>
          <w:p w:rsidR="00F555D6" w:rsidRPr="005C3B55" w:rsidRDefault="00F555D6" w:rsidP="00F555D6">
            <w:pPr>
              <w:spacing w:after="0"/>
            </w:pPr>
            <w:r w:rsidRPr="005C3B55">
              <w:t>52</w:t>
            </w:r>
          </w:p>
        </w:tc>
        <w:tc>
          <w:tcPr>
            <w:tcW w:w="1491"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1,367</w:t>
            </w:r>
          </w:p>
          <w:p w:rsidR="00F555D6" w:rsidRPr="005C3B55" w:rsidRDefault="00F555D6" w:rsidP="00F555D6">
            <w:pPr>
              <w:spacing w:after="0"/>
            </w:pPr>
          </w:p>
          <w:p w:rsidR="00F555D6" w:rsidRPr="005C3B55" w:rsidRDefault="00F555D6" w:rsidP="00F555D6">
            <w:pPr>
              <w:spacing w:after="0"/>
            </w:pPr>
          </w:p>
          <w:p w:rsidR="00F555D6" w:rsidRPr="005C3B55" w:rsidRDefault="00F555D6" w:rsidP="00F555D6">
            <w:pPr>
              <w:spacing w:after="0"/>
            </w:pPr>
            <w:r w:rsidRPr="005C3B55">
              <w:t>27</w:t>
            </w:r>
          </w:p>
        </w:tc>
        <w:tc>
          <w:tcPr>
            <w:tcW w:w="1492"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w:t>
            </w:r>
          </w:p>
          <w:p w:rsidR="00F555D6" w:rsidRPr="005C3B55" w:rsidRDefault="00F555D6" w:rsidP="00F555D6">
            <w:pPr>
              <w:spacing w:after="0"/>
            </w:pPr>
          </w:p>
          <w:p w:rsidR="00F555D6" w:rsidRPr="005C3B55" w:rsidRDefault="00F555D6" w:rsidP="00F555D6">
            <w:pPr>
              <w:spacing w:after="0"/>
            </w:pPr>
          </w:p>
          <w:p w:rsidR="00F555D6" w:rsidRPr="005C3B55" w:rsidRDefault="00F555D6" w:rsidP="00F555D6">
            <w:pPr>
              <w:spacing w:after="0"/>
            </w:pPr>
            <w:r w:rsidRPr="005C3B55">
              <w:t>-</w:t>
            </w:r>
          </w:p>
        </w:tc>
        <w:tc>
          <w:tcPr>
            <w:tcW w:w="1616"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Endangered</w:t>
            </w:r>
          </w:p>
          <w:p w:rsidR="00F555D6" w:rsidRPr="005C3B55" w:rsidRDefault="00F555D6" w:rsidP="00F555D6">
            <w:pPr>
              <w:spacing w:after="0"/>
            </w:pPr>
          </w:p>
          <w:p w:rsidR="00F555D6" w:rsidRPr="005C3B55" w:rsidRDefault="00F555D6" w:rsidP="00F555D6">
            <w:pPr>
              <w:spacing w:after="0"/>
            </w:pPr>
          </w:p>
          <w:p w:rsidR="00F555D6" w:rsidRPr="005C3B55" w:rsidRDefault="00F555D6" w:rsidP="00F555D6">
            <w:pPr>
              <w:spacing w:after="0"/>
            </w:pPr>
            <w:r w:rsidRPr="005C3B55">
              <w:t>Critical</w:t>
            </w:r>
          </w:p>
        </w:tc>
      </w:tr>
      <w:tr w:rsidR="00F555D6" w:rsidRPr="005C3B55">
        <w:tc>
          <w:tcPr>
            <w:tcW w:w="1610"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Slovenian large white pig</w:t>
            </w:r>
          </w:p>
          <w:p w:rsidR="00F555D6" w:rsidRPr="005C3B55" w:rsidRDefault="00F555D6" w:rsidP="00F555D6">
            <w:pPr>
              <w:spacing w:after="0"/>
            </w:pPr>
            <w:r w:rsidRPr="005C3B55">
              <w:t>Improved Jezersko-solčavska sheep</w:t>
            </w:r>
          </w:p>
        </w:tc>
        <w:tc>
          <w:tcPr>
            <w:tcW w:w="1465"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2013</w:t>
            </w:r>
          </w:p>
          <w:p w:rsidR="00F555D6" w:rsidRPr="005C3B55" w:rsidRDefault="00F555D6" w:rsidP="00F555D6">
            <w:pPr>
              <w:spacing w:after="0"/>
            </w:pPr>
          </w:p>
          <w:p w:rsidR="00F555D6" w:rsidRPr="005C3B55" w:rsidRDefault="00F555D6" w:rsidP="00F555D6">
            <w:pPr>
              <w:spacing w:after="0"/>
            </w:pPr>
          </w:p>
          <w:p w:rsidR="00F555D6" w:rsidRPr="005C3B55" w:rsidRDefault="00F555D6" w:rsidP="00F555D6">
            <w:pPr>
              <w:spacing w:after="0"/>
            </w:pPr>
            <w:r w:rsidRPr="005C3B55">
              <w:t>2013</w:t>
            </w:r>
          </w:p>
        </w:tc>
        <w:tc>
          <w:tcPr>
            <w:tcW w:w="1506"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484</w:t>
            </w:r>
          </w:p>
          <w:p w:rsidR="00F555D6" w:rsidRPr="005C3B55" w:rsidRDefault="00F555D6" w:rsidP="00F555D6">
            <w:pPr>
              <w:spacing w:after="0"/>
            </w:pPr>
          </w:p>
          <w:p w:rsidR="00F555D6" w:rsidRPr="005C3B55" w:rsidRDefault="00F555D6" w:rsidP="00F555D6">
            <w:pPr>
              <w:spacing w:after="0"/>
            </w:pPr>
          </w:p>
          <w:p w:rsidR="00F555D6" w:rsidRPr="005C3B55" w:rsidRDefault="00F555D6" w:rsidP="00F555D6">
            <w:pPr>
              <w:spacing w:after="0"/>
            </w:pPr>
            <w:r w:rsidRPr="005C3B55">
              <w:t>60,000</w:t>
            </w:r>
          </w:p>
        </w:tc>
        <w:tc>
          <w:tcPr>
            <w:tcW w:w="1491"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293</w:t>
            </w:r>
          </w:p>
          <w:p w:rsidR="00F555D6" w:rsidRPr="005C3B55" w:rsidRDefault="00F555D6" w:rsidP="00F555D6">
            <w:pPr>
              <w:spacing w:after="0"/>
            </w:pPr>
          </w:p>
          <w:p w:rsidR="00F555D6" w:rsidRPr="005C3B55" w:rsidRDefault="00F555D6" w:rsidP="00F555D6">
            <w:pPr>
              <w:spacing w:after="0"/>
            </w:pPr>
          </w:p>
          <w:p w:rsidR="00F555D6" w:rsidRPr="005C3B55" w:rsidRDefault="00F555D6" w:rsidP="00F555D6">
            <w:pPr>
              <w:spacing w:after="0"/>
            </w:pPr>
            <w:r w:rsidRPr="005C3B55">
              <w:t>4,501</w:t>
            </w:r>
          </w:p>
        </w:tc>
        <w:tc>
          <w:tcPr>
            <w:tcW w:w="1492"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w:t>
            </w:r>
          </w:p>
          <w:p w:rsidR="00F555D6" w:rsidRPr="005C3B55" w:rsidRDefault="00F555D6" w:rsidP="00F555D6">
            <w:pPr>
              <w:spacing w:after="0"/>
            </w:pPr>
          </w:p>
          <w:p w:rsidR="00F555D6" w:rsidRPr="005C3B55" w:rsidRDefault="00F555D6" w:rsidP="00F555D6">
            <w:pPr>
              <w:spacing w:after="0"/>
            </w:pPr>
          </w:p>
          <w:p w:rsidR="00F555D6" w:rsidRPr="005C3B55" w:rsidRDefault="00F555D6" w:rsidP="00F555D6">
            <w:pPr>
              <w:spacing w:after="0"/>
            </w:pPr>
            <w:r w:rsidRPr="005C3B55">
              <w:t>-</w:t>
            </w:r>
          </w:p>
        </w:tc>
        <w:tc>
          <w:tcPr>
            <w:tcW w:w="1616"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Critical</w:t>
            </w:r>
          </w:p>
          <w:p w:rsidR="00F555D6" w:rsidRPr="005C3B55" w:rsidRDefault="00F555D6" w:rsidP="00F555D6">
            <w:pPr>
              <w:spacing w:after="0"/>
            </w:pPr>
          </w:p>
          <w:p w:rsidR="00F555D6" w:rsidRPr="005C3B55" w:rsidRDefault="00F555D6" w:rsidP="00F555D6">
            <w:pPr>
              <w:spacing w:after="0"/>
            </w:pPr>
          </w:p>
          <w:p w:rsidR="00F555D6" w:rsidRPr="005C3B55" w:rsidRDefault="00F555D6" w:rsidP="00F555D6">
            <w:pPr>
              <w:spacing w:after="0"/>
            </w:pPr>
            <w:r w:rsidRPr="005C3B55">
              <w:t>Endangered</w:t>
            </w:r>
          </w:p>
        </w:tc>
      </w:tr>
      <w:tr w:rsidR="00F555D6" w:rsidRPr="005C3B55">
        <w:tc>
          <w:tcPr>
            <w:tcW w:w="1610"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Slovenian Saanen goat</w:t>
            </w:r>
          </w:p>
        </w:tc>
        <w:tc>
          <w:tcPr>
            <w:tcW w:w="1465"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2013</w:t>
            </w:r>
          </w:p>
        </w:tc>
        <w:tc>
          <w:tcPr>
            <w:tcW w:w="1506"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2,500</w:t>
            </w:r>
          </w:p>
        </w:tc>
        <w:tc>
          <w:tcPr>
            <w:tcW w:w="1491"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612</w:t>
            </w:r>
          </w:p>
        </w:tc>
        <w:tc>
          <w:tcPr>
            <w:tcW w:w="1492"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w:t>
            </w:r>
          </w:p>
        </w:tc>
        <w:tc>
          <w:tcPr>
            <w:tcW w:w="1616"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Critical</w:t>
            </w:r>
          </w:p>
        </w:tc>
      </w:tr>
      <w:tr w:rsidR="00F555D6" w:rsidRPr="005C3B55">
        <w:tc>
          <w:tcPr>
            <w:tcW w:w="1610"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Slovenian Alpine goat</w:t>
            </w:r>
          </w:p>
        </w:tc>
        <w:tc>
          <w:tcPr>
            <w:tcW w:w="1465"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2013</w:t>
            </w:r>
          </w:p>
        </w:tc>
        <w:tc>
          <w:tcPr>
            <w:tcW w:w="1506"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4,000</w:t>
            </w:r>
          </w:p>
        </w:tc>
        <w:tc>
          <w:tcPr>
            <w:tcW w:w="1491"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1,513</w:t>
            </w:r>
          </w:p>
        </w:tc>
        <w:tc>
          <w:tcPr>
            <w:tcW w:w="1492"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w:t>
            </w:r>
          </w:p>
        </w:tc>
        <w:tc>
          <w:tcPr>
            <w:tcW w:w="1616"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Critical</w:t>
            </w:r>
          </w:p>
        </w:tc>
      </w:tr>
      <w:tr w:rsidR="00F555D6" w:rsidRPr="005C3B55">
        <w:tc>
          <w:tcPr>
            <w:tcW w:w="1610"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Slovenian barred hen</w:t>
            </w:r>
          </w:p>
        </w:tc>
        <w:tc>
          <w:tcPr>
            <w:tcW w:w="1465"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2013</w:t>
            </w:r>
          </w:p>
        </w:tc>
        <w:tc>
          <w:tcPr>
            <w:tcW w:w="1506"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1,200</w:t>
            </w:r>
          </w:p>
        </w:tc>
        <w:tc>
          <w:tcPr>
            <w:tcW w:w="1491"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w:t>
            </w:r>
          </w:p>
        </w:tc>
        <w:tc>
          <w:tcPr>
            <w:tcW w:w="1492"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w:t>
            </w:r>
          </w:p>
        </w:tc>
        <w:tc>
          <w:tcPr>
            <w:tcW w:w="1616"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Critical</w:t>
            </w:r>
          </w:p>
        </w:tc>
      </w:tr>
      <w:tr w:rsidR="00F555D6" w:rsidRPr="005C3B55">
        <w:tc>
          <w:tcPr>
            <w:tcW w:w="1610"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Slovenian silver hen</w:t>
            </w:r>
          </w:p>
          <w:p w:rsidR="00F555D6" w:rsidRPr="005C3B55" w:rsidRDefault="00F555D6" w:rsidP="00F555D6">
            <w:pPr>
              <w:spacing w:after="0"/>
            </w:pPr>
            <w:r w:rsidRPr="005C3B55">
              <w:t>Slovenian brown hen</w:t>
            </w:r>
          </w:p>
          <w:p w:rsidR="00F555D6" w:rsidRPr="005C3B55" w:rsidRDefault="00F555D6" w:rsidP="00F555D6">
            <w:pPr>
              <w:spacing w:after="0"/>
            </w:pPr>
            <w:r w:rsidRPr="005C3B55">
              <w:t>Slovenian late feathering hen</w:t>
            </w:r>
          </w:p>
        </w:tc>
        <w:tc>
          <w:tcPr>
            <w:tcW w:w="1465"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2013</w:t>
            </w:r>
          </w:p>
          <w:p w:rsidR="00F555D6" w:rsidRPr="005C3B55" w:rsidRDefault="00F555D6" w:rsidP="00F555D6">
            <w:pPr>
              <w:spacing w:after="0"/>
            </w:pPr>
          </w:p>
          <w:p w:rsidR="00F555D6" w:rsidRPr="005C3B55" w:rsidRDefault="00F555D6" w:rsidP="00F555D6">
            <w:pPr>
              <w:spacing w:after="0"/>
            </w:pPr>
            <w:r w:rsidRPr="005C3B55">
              <w:t>2013</w:t>
            </w:r>
          </w:p>
          <w:p w:rsidR="00F555D6" w:rsidRPr="005C3B55" w:rsidRDefault="00F555D6" w:rsidP="00F555D6">
            <w:pPr>
              <w:spacing w:after="0"/>
            </w:pPr>
          </w:p>
          <w:p w:rsidR="00F555D6" w:rsidRPr="005C3B55" w:rsidRDefault="00F555D6" w:rsidP="00F555D6">
            <w:pPr>
              <w:spacing w:after="0"/>
            </w:pPr>
            <w:r w:rsidRPr="005C3B55">
              <w:t>2013</w:t>
            </w:r>
          </w:p>
        </w:tc>
        <w:tc>
          <w:tcPr>
            <w:tcW w:w="1506"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578</w:t>
            </w:r>
          </w:p>
          <w:p w:rsidR="00F555D6" w:rsidRPr="005C3B55" w:rsidRDefault="00F555D6" w:rsidP="00F555D6">
            <w:pPr>
              <w:spacing w:after="0"/>
            </w:pPr>
          </w:p>
          <w:p w:rsidR="00F555D6" w:rsidRPr="005C3B55" w:rsidRDefault="00F555D6" w:rsidP="00F555D6">
            <w:pPr>
              <w:spacing w:after="0"/>
            </w:pPr>
            <w:r w:rsidRPr="005C3B55">
              <w:t>2,503</w:t>
            </w:r>
          </w:p>
          <w:p w:rsidR="00F555D6" w:rsidRPr="005C3B55" w:rsidRDefault="00F555D6" w:rsidP="00F555D6">
            <w:pPr>
              <w:spacing w:after="0"/>
            </w:pPr>
          </w:p>
          <w:p w:rsidR="00F555D6" w:rsidRPr="005C3B55" w:rsidRDefault="00F555D6" w:rsidP="00F555D6">
            <w:pPr>
              <w:spacing w:after="0"/>
            </w:pPr>
            <w:r w:rsidRPr="005C3B55">
              <w:t>388</w:t>
            </w:r>
          </w:p>
        </w:tc>
        <w:tc>
          <w:tcPr>
            <w:tcW w:w="1491"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w:t>
            </w:r>
          </w:p>
          <w:p w:rsidR="00F555D6" w:rsidRPr="005C3B55" w:rsidRDefault="00F555D6" w:rsidP="00F555D6">
            <w:pPr>
              <w:spacing w:after="0"/>
            </w:pPr>
          </w:p>
          <w:p w:rsidR="00F555D6" w:rsidRPr="005C3B55" w:rsidRDefault="00F555D6" w:rsidP="00F555D6">
            <w:pPr>
              <w:spacing w:after="0"/>
            </w:pPr>
            <w:r w:rsidRPr="005C3B55">
              <w:t>-</w:t>
            </w:r>
          </w:p>
          <w:p w:rsidR="00F555D6" w:rsidRPr="005C3B55" w:rsidRDefault="00F555D6" w:rsidP="00F555D6">
            <w:pPr>
              <w:spacing w:after="0"/>
            </w:pPr>
          </w:p>
          <w:p w:rsidR="00F555D6" w:rsidRPr="005C3B55" w:rsidRDefault="00F555D6" w:rsidP="00F555D6">
            <w:pPr>
              <w:spacing w:after="0"/>
            </w:pPr>
            <w:r w:rsidRPr="005C3B55">
              <w:t>-</w:t>
            </w:r>
          </w:p>
        </w:tc>
        <w:tc>
          <w:tcPr>
            <w:tcW w:w="1492"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w:t>
            </w:r>
          </w:p>
          <w:p w:rsidR="00F555D6" w:rsidRPr="005C3B55" w:rsidRDefault="00F555D6" w:rsidP="00F555D6">
            <w:pPr>
              <w:spacing w:after="0"/>
            </w:pPr>
          </w:p>
          <w:p w:rsidR="00F555D6" w:rsidRPr="005C3B55" w:rsidRDefault="00F555D6" w:rsidP="00F555D6">
            <w:pPr>
              <w:spacing w:after="0"/>
            </w:pPr>
            <w:r w:rsidRPr="005C3B55">
              <w:t>-</w:t>
            </w:r>
          </w:p>
          <w:p w:rsidR="00F555D6" w:rsidRPr="005C3B55" w:rsidRDefault="00F555D6" w:rsidP="00F555D6">
            <w:pPr>
              <w:spacing w:after="0"/>
            </w:pPr>
          </w:p>
          <w:p w:rsidR="00F555D6" w:rsidRPr="005C3B55" w:rsidRDefault="00F555D6" w:rsidP="00F555D6">
            <w:pPr>
              <w:spacing w:after="0"/>
            </w:pPr>
            <w:r w:rsidRPr="005C3B55">
              <w:t>-</w:t>
            </w:r>
          </w:p>
        </w:tc>
        <w:tc>
          <w:tcPr>
            <w:tcW w:w="1616"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Critical</w:t>
            </w:r>
          </w:p>
          <w:p w:rsidR="00F555D6" w:rsidRPr="005C3B55" w:rsidRDefault="00F555D6" w:rsidP="00F555D6">
            <w:pPr>
              <w:spacing w:after="0"/>
            </w:pPr>
          </w:p>
          <w:p w:rsidR="00F555D6" w:rsidRPr="005C3B55" w:rsidRDefault="00F555D6" w:rsidP="00F555D6">
            <w:pPr>
              <w:spacing w:after="0"/>
            </w:pPr>
            <w:r w:rsidRPr="005C3B55">
              <w:t>Critical</w:t>
            </w:r>
          </w:p>
          <w:p w:rsidR="00F555D6" w:rsidRPr="005C3B55" w:rsidRDefault="00F555D6" w:rsidP="00F555D6">
            <w:pPr>
              <w:spacing w:after="0"/>
            </w:pPr>
          </w:p>
          <w:p w:rsidR="00F555D6" w:rsidRPr="005C3B55" w:rsidRDefault="00F555D6" w:rsidP="00F555D6">
            <w:pPr>
              <w:spacing w:after="0"/>
            </w:pPr>
            <w:r w:rsidRPr="005C3B55">
              <w:t>Critical</w:t>
            </w:r>
          </w:p>
        </w:tc>
      </w:tr>
    </w:tbl>
    <w:p w:rsidR="00F555D6" w:rsidRPr="005C3B55" w:rsidRDefault="00F555D6" w:rsidP="00F555D6">
      <w:pPr>
        <w:spacing w:line="280" w:lineRule="auto"/>
        <w:rPr>
          <w:szCs w:val="24"/>
        </w:rPr>
      </w:pPr>
      <w:r w:rsidRPr="005C3B55">
        <w:t>* A pure-bred animal is an animal whose parents and grandparents have been entered in the main part of the herd book of the same breed.</w:t>
      </w:r>
    </w:p>
    <w:p w:rsidR="00F555D6" w:rsidRPr="005C3B55" w:rsidRDefault="00F555D6" w:rsidP="00F555D6">
      <w:pPr>
        <w:spacing w:line="280" w:lineRule="auto"/>
        <w:rPr>
          <w:szCs w:val="24"/>
        </w:rPr>
      </w:pPr>
      <w:r w:rsidRPr="005C3B55">
        <w:rPr>
          <w:szCs w:val="24"/>
        </w:rPr>
        <w:t>The description of the methodology and of the agronomic assumptions and parameters, including the description of the baseline requirements as stated in Article 29(2) of Regulation (EU) No 1305/2013, which are relevant for each particular type of commitment used as reference point for the calculations which justify: additional costs and lost revenue due to the assumed commitment and the amount of transaction costs; where necessary, the methodology takes into account the support granted under Regulation (EU) No 1307/2013, including payments for agricultural practices that favourably affect the climate and environment, in order to prevent the possibility of dual financing; where appropriate, the conversion method used for other units in accordance with Article 9 of this Regulation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The basis for calculating the amount of payments for the operation GEN_PAS: Breeding of local breeds in danger of being lost to farming is a comparison between the regular breed and autochthonous and traditional breeds of domestic animals. The differences in financial results occur particularly due to the lower productivity of autochthonous and traditional breeds.</w:t>
            </w:r>
          </w:p>
          <w:p w:rsidR="00F555D6" w:rsidRPr="005C3B55" w:rsidRDefault="00F555D6" w:rsidP="00F555D6">
            <w:pPr>
              <w:pStyle w:val="Telobesedila"/>
              <w:rPr>
                <w:szCs w:val="24"/>
              </w:rPr>
            </w:pPr>
          </w:p>
        </w:tc>
      </w:tr>
    </w:tbl>
    <w:p w:rsidR="00F555D6" w:rsidRPr="005C3B55" w:rsidRDefault="00F555D6" w:rsidP="00F555D6">
      <w:pPr>
        <w:pStyle w:val="Naslov7"/>
        <w:tabs>
          <w:tab w:val="clear" w:pos="765"/>
        </w:tabs>
        <w:ind w:left="0" w:firstLine="0"/>
        <w:rPr>
          <w:szCs w:val="24"/>
          <w:lang w:val="en-GB"/>
        </w:rPr>
      </w:pPr>
      <w:r w:rsidRPr="005C3B55">
        <w:rPr>
          <w:noProof w:val="0"/>
          <w:szCs w:val="24"/>
          <w:lang w:val="en-GB"/>
        </w:rPr>
        <w:t>Agri-environment-climate commitments</w:t>
      </w:r>
    </w:p>
    <w:p w:rsidR="00F555D6" w:rsidRPr="005C3B55" w:rsidRDefault="00F555D6" w:rsidP="00F555D6">
      <w:pPr>
        <w:pStyle w:val="Naslov8"/>
        <w:tabs>
          <w:tab w:val="clear" w:pos="765"/>
        </w:tabs>
        <w:ind w:left="0" w:firstLine="0"/>
        <w:rPr>
          <w:b w:val="0"/>
          <w:szCs w:val="24"/>
          <w:lang w:val="en-GB"/>
        </w:rPr>
      </w:pPr>
      <w:r w:rsidRPr="005C3B55">
        <w:rPr>
          <w:b w:val="0"/>
          <w:noProof w:val="0"/>
          <w:szCs w:val="24"/>
          <w:lang w:val="en-GB"/>
        </w:rPr>
        <w:t>GEN_PAS:</w:t>
      </w:r>
      <w:r w:rsidRPr="005C3B55">
        <w:rPr>
          <w:b w:val="0"/>
          <w:szCs w:val="24"/>
          <w:lang w:val="en-GB"/>
        </w:rPr>
        <w:t xml:space="preserve"> </w:t>
      </w:r>
      <w:r w:rsidRPr="005C3B55">
        <w:rPr>
          <w:b w:val="0"/>
          <w:noProof w:val="0"/>
          <w:szCs w:val="24"/>
          <w:lang w:val="en-GB"/>
        </w:rPr>
        <w:t>Breeding of local breeds in danger of being lost to farming</w:t>
      </w:r>
    </w:p>
    <w:p w:rsidR="00F555D6" w:rsidRPr="005C3B55" w:rsidRDefault="00F555D6" w:rsidP="00F555D6">
      <w:pPr>
        <w:pStyle w:val="Naslov9"/>
        <w:tabs>
          <w:tab w:val="clear" w:pos="765"/>
        </w:tabs>
        <w:ind w:left="0" w:firstLine="0"/>
        <w:rPr>
          <w:szCs w:val="24"/>
          <w:lang w:val="en-GB"/>
        </w:rPr>
      </w:pPr>
      <w:r w:rsidRPr="005C3B55">
        <w:rPr>
          <w:noProof w:val="0"/>
          <w:szCs w:val="24"/>
          <w:lang w:val="en-GB"/>
        </w:rPr>
        <w:t>Starting Point</w:t>
      </w:r>
    </w:p>
    <w:p w:rsidR="00F555D6" w:rsidRPr="005C3B55" w:rsidRDefault="00F555D6" w:rsidP="00F555D6">
      <w:pPr>
        <w:spacing w:line="280" w:lineRule="auto"/>
        <w:rPr>
          <w:szCs w:val="24"/>
        </w:rPr>
      </w:pPr>
      <w:r w:rsidRPr="005C3B55">
        <w:rPr>
          <w:szCs w:val="24"/>
        </w:rPr>
        <w:t>Suitable good agricultural and environmental conditions and/or prescribed management requirements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850"/>
              </w:numPr>
              <w:spacing w:before="0" w:after="240"/>
              <w:ind w:hanging="290"/>
              <w:jc w:val="left"/>
              <w:rPr>
                <w:szCs w:val="24"/>
              </w:rPr>
            </w:pPr>
            <w:r w:rsidRPr="005C3B55">
              <w:rPr>
                <w:szCs w:val="24"/>
              </w:rPr>
              <w:t>The breeding of local breeds in danger of being lost to farming is not prescribed in the Regulation on cross-compliance.</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Minimum requirements for the use of fertilisers and plant protection products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851"/>
              </w:numPr>
              <w:spacing w:before="0" w:after="0"/>
              <w:ind w:hanging="290"/>
              <w:jc w:val="left"/>
              <w:rPr>
                <w:szCs w:val="24"/>
              </w:rPr>
            </w:pPr>
            <w:r w:rsidRPr="005C3B55">
              <w:rPr>
                <w:szCs w:val="24"/>
              </w:rPr>
              <w:t>Minimum requirements for the use of fertilisers refer to the keeping of records on the use of livestock and mineral fertilisers which an agricultural holding has to keep for all agricultural land plots at the agricultural holding, and which has to include at least the quantity and type of livestock manure and mineral fertiliser, time of fertilising and data on the surface where these fertilisers are used.</w:t>
            </w:r>
          </w:p>
          <w:p w:rsidR="00F555D6" w:rsidRPr="005C3B55" w:rsidRDefault="00F555D6" w:rsidP="00F555D6">
            <w:pPr>
              <w:numPr>
                <w:ilvl w:val="0"/>
                <w:numId w:val="851"/>
              </w:numPr>
              <w:spacing w:before="0" w:after="240"/>
              <w:ind w:hanging="290"/>
              <w:jc w:val="left"/>
              <w:rPr>
                <w:szCs w:val="24"/>
              </w:rPr>
            </w:pPr>
            <w:r w:rsidRPr="005C3B55">
              <w:rPr>
                <w:szCs w:val="24"/>
              </w:rPr>
              <w:t>Minimum requirements for the use of plant protection products are not determined, since the requirements relating to the use of these products are standardised and are included in the requirements of cross-compliance.</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Other relevant national/regional requirements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852"/>
              </w:numPr>
              <w:spacing w:before="0" w:after="0"/>
              <w:ind w:hanging="290"/>
              <w:jc w:val="left"/>
              <w:rPr>
                <w:szCs w:val="24"/>
              </w:rPr>
            </w:pPr>
            <w:r w:rsidRPr="005C3B55">
              <w:rPr>
                <w:szCs w:val="24"/>
              </w:rPr>
              <w:t>Livestock-Breeding Act (Official Gazette of the Republic of Slovenia, no. 18/02 with all amendments): In accordance with Article 3, the breeding of all domestic animals, i.e. animals which are bred by humans for their benefit and live under their care and protection, and are not wildlife, is permitted in accordance with regulations on nature conservation.</w:t>
            </w:r>
          </w:p>
          <w:p w:rsidR="00F555D6" w:rsidRPr="005C3B55" w:rsidRDefault="00F555D6" w:rsidP="00F555D6">
            <w:pPr>
              <w:numPr>
                <w:ilvl w:val="0"/>
                <w:numId w:val="852"/>
              </w:numPr>
              <w:spacing w:before="0" w:after="240"/>
              <w:ind w:hanging="290"/>
              <w:jc w:val="left"/>
              <w:rPr>
                <w:szCs w:val="24"/>
              </w:rPr>
            </w:pPr>
            <w:r w:rsidRPr="005C3B55">
              <w:rPr>
                <w:szCs w:val="24"/>
              </w:rPr>
              <w:t>Rules on preserving biodiversity in livestock breeding (Official Gazette of the Republic of Slovenia, no. 90/04 with all amendments): A level of endangerment is assessed once a year for each breed. The assessment applies the number of pure-bred females entered in the herd book.</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Minimum activities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853"/>
              </w:numPr>
              <w:spacing w:before="0" w:after="240"/>
              <w:ind w:hanging="290"/>
              <w:jc w:val="left"/>
              <w:rPr>
                <w:szCs w:val="24"/>
              </w:rPr>
            </w:pPr>
            <w:r w:rsidRPr="005C3B55">
              <w:rPr>
                <w:szCs w:val="24"/>
              </w:rPr>
              <w:t>Mowing at least once annually by 15 October of the current year is determined as a criterion for maintaining agricultural land in a state suitable for pasturing or production without the preparation measures which exceed the use of regular agricultural methods and machinery.</w:t>
            </w:r>
          </w:p>
          <w:p w:rsidR="00F555D6" w:rsidRPr="005C3B55" w:rsidRDefault="00F555D6" w:rsidP="00F555D6">
            <w:pPr>
              <w:pStyle w:val="Telobesedila"/>
              <w:rPr>
                <w:szCs w:val="24"/>
              </w:rPr>
            </w:pPr>
          </w:p>
        </w:tc>
      </w:tr>
    </w:tbl>
    <w:p w:rsidR="00F555D6" w:rsidRPr="005C3B55" w:rsidRDefault="00F555D6" w:rsidP="00F555D6">
      <w:pPr>
        <w:pStyle w:val="Naslov9"/>
        <w:tabs>
          <w:tab w:val="clear" w:pos="765"/>
        </w:tabs>
        <w:ind w:left="0" w:firstLine="0"/>
        <w:rPr>
          <w:szCs w:val="24"/>
          <w:lang w:val="en-GB"/>
        </w:rPr>
      </w:pPr>
      <w:r w:rsidRPr="005C3B55">
        <w:rPr>
          <w:noProof w:val="0"/>
          <w:szCs w:val="24"/>
          <w:lang w:val="en-GB"/>
        </w:rPr>
        <w:t>Relevant standard agricultural practices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In the Slovenian territory, local breeds of domestic animals are historically present and they contribute significantly to greater biotic (genetic) diversity. However, there is a declining trend in presence of local breeds. The standard agricultural practice is conditioned by economic efficiency. Nowadays farmers opt for highly productive foreign breeds that due to intensive farming put greater pressure on the environment and are more susceptible to disease, which means a significantly higher risk for health threats to humans and animals.</w:t>
            </w:r>
          </w:p>
          <w:p w:rsidR="00F555D6" w:rsidRPr="005C3B55" w:rsidRDefault="00F555D6" w:rsidP="00F555D6">
            <w:pPr>
              <w:pStyle w:val="Telobesedila"/>
              <w:rPr>
                <w:szCs w:val="24"/>
              </w:rPr>
            </w:pPr>
          </w:p>
        </w:tc>
      </w:tr>
    </w:tbl>
    <w:p w:rsidR="00F555D6" w:rsidRPr="005C3B55" w:rsidRDefault="00F555D6" w:rsidP="00F555D6">
      <w:pPr>
        <w:pStyle w:val="Naslov5"/>
        <w:tabs>
          <w:tab w:val="clear" w:pos="765"/>
        </w:tabs>
        <w:ind w:left="0" w:firstLine="0"/>
        <w:rPr>
          <w:b w:val="0"/>
          <w:szCs w:val="24"/>
          <w:lang w:val="en-GB"/>
        </w:rPr>
      </w:pPr>
      <w:r w:rsidRPr="005C3B55">
        <w:rPr>
          <w:b w:val="0"/>
          <w:szCs w:val="24"/>
          <w:lang w:val="en-GB"/>
        </w:rPr>
        <w:br w:type="page"/>
        <w:t>19.</w:t>
      </w:r>
      <w:r w:rsidRPr="005C3B55">
        <w:rPr>
          <w:b w:val="0"/>
          <w:szCs w:val="24"/>
          <w:lang w:val="en-GB"/>
        </w:rPr>
        <w:tab/>
      </w:r>
      <w:r w:rsidRPr="005C3B55">
        <w:rPr>
          <w:b w:val="0"/>
          <w:noProof w:val="0"/>
          <w:szCs w:val="24"/>
          <w:lang w:val="en-GB"/>
        </w:rPr>
        <w:t>Preserving plant genetic resources under threat of genetic erosion</w:t>
      </w:r>
    </w:p>
    <w:p w:rsidR="00F555D6" w:rsidRPr="005C3B55" w:rsidRDefault="00F555D6" w:rsidP="00F555D6">
      <w:pPr>
        <w:spacing w:line="280" w:lineRule="auto"/>
        <w:rPr>
          <w:szCs w:val="24"/>
        </w:rPr>
      </w:pPr>
      <w:r w:rsidRPr="005C3B55">
        <w:rPr>
          <w:szCs w:val="24"/>
        </w:rPr>
        <w:t xml:space="preserve">Sub-measure: </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854"/>
              </w:numPr>
              <w:rPr>
                <w:szCs w:val="24"/>
              </w:rPr>
            </w:pPr>
            <w:r w:rsidRPr="005C3B55">
              <w:rPr>
                <w:szCs w:val="24"/>
              </w:rPr>
              <w:t>10.1 – Payment of agri-environment-climate commitments</w:t>
            </w: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Description of type of operation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The operation ‘Preserving plant genetic resources under threat of genetic erosion’ is intended for the protection and conservation of the original characteristics and genetic variability of indigenous and traditional varieties of agricultural plants, and denotes a change in existing agricultural practices.</w:t>
            </w:r>
          </w:p>
          <w:p w:rsidR="00F555D6" w:rsidRPr="005C3B55" w:rsidRDefault="00F555D6" w:rsidP="00F555D6">
            <w:pPr>
              <w:numPr>
                <w:ilvl w:val="0"/>
                <w:numId w:val="855"/>
              </w:numPr>
              <w:spacing w:before="240" w:after="0"/>
              <w:ind w:hanging="290"/>
              <w:jc w:val="left"/>
              <w:rPr>
                <w:szCs w:val="24"/>
              </w:rPr>
            </w:pPr>
            <w:r w:rsidRPr="005C3B55">
              <w:rPr>
                <w:szCs w:val="24"/>
              </w:rPr>
              <w:t>Livestock density: not relevant.</w:t>
            </w:r>
          </w:p>
          <w:p w:rsidR="00F555D6" w:rsidRPr="005C3B55" w:rsidRDefault="00F555D6" w:rsidP="00F555D6">
            <w:pPr>
              <w:numPr>
                <w:ilvl w:val="0"/>
                <w:numId w:val="855"/>
              </w:numPr>
              <w:spacing w:before="0" w:after="0"/>
              <w:ind w:hanging="290"/>
              <w:jc w:val="left"/>
              <w:rPr>
                <w:szCs w:val="24"/>
              </w:rPr>
            </w:pPr>
            <w:r w:rsidRPr="005C3B55">
              <w:rPr>
                <w:szCs w:val="24"/>
              </w:rPr>
              <w:t>Use: arable land, hop plantations, intensive orchards, high-trunk meadow orchards, olive plantations, vineyards.</w:t>
            </w:r>
          </w:p>
          <w:p w:rsidR="00F555D6" w:rsidRPr="005C3B55" w:rsidRDefault="00F555D6" w:rsidP="00F555D6">
            <w:pPr>
              <w:numPr>
                <w:ilvl w:val="0"/>
                <w:numId w:val="855"/>
              </w:numPr>
              <w:spacing w:before="0" w:after="0"/>
              <w:ind w:hanging="290"/>
              <w:jc w:val="left"/>
              <w:rPr>
                <w:szCs w:val="24"/>
              </w:rPr>
            </w:pPr>
            <w:r w:rsidRPr="005C3B55">
              <w:rPr>
                <w:szCs w:val="24"/>
              </w:rPr>
              <w:t>Coverage: part of the area.</w:t>
            </w:r>
          </w:p>
          <w:p w:rsidR="00F555D6" w:rsidRPr="005C3B55" w:rsidRDefault="00F555D6" w:rsidP="00F555D6">
            <w:pPr>
              <w:numPr>
                <w:ilvl w:val="0"/>
                <w:numId w:val="855"/>
              </w:numPr>
              <w:spacing w:before="0" w:after="0"/>
              <w:ind w:hanging="290"/>
              <w:jc w:val="left"/>
              <w:rPr>
                <w:szCs w:val="24"/>
              </w:rPr>
            </w:pPr>
            <w:r w:rsidRPr="005C3B55">
              <w:rPr>
                <w:szCs w:val="24"/>
              </w:rPr>
              <w:t>Location: not relevant.</w:t>
            </w:r>
          </w:p>
          <w:p w:rsidR="00F555D6" w:rsidRPr="005C3B55" w:rsidRDefault="00F555D6" w:rsidP="00F555D6">
            <w:pPr>
              <w:numPr>
                <w:ilvl w:val="0"/>
                <w:numId w:val="855"/>
              </w:numPr>
              <w:spacing w:before="0" w:after="240"/>
              <w:ind w:hanging="290"/>
              <w:jc w:val="left"/>
              <w:rPr>
                <w:szCs w:val="24"/>
              </w:rPr>
            </w:pPr>
            <w:r w:rsidRPr="005C3B55">
              <w:rPr>
                <w:szCs w:val="24"/>
              </w:rPr>
              <w:t>Implementation area: whole Slovenia.</w:t>
            </w:r>
          </w:p>
          <w:p w:rsidR="00F555D6" w:rsidRPr="005C3B55" w:rsidRDefault="00F555D6" w:rsidP="00F555D6">
            <w:pPr>
              <w:spacing w:before="240" w:after="240" w:line="280" w:lineRule="auto"/>
              <w:rPr>
                <w:szCs w:val="24"/>
              </w:rPr>
            </w:pPr>
            <w:r w:rsidRPr="005C3B55">
              <w:rPr>
                <w:szCs w:val="24"/>
              </w:rPr>
              <w:t>Effects:</w:t>
            </w:r>
          </w:p>
          <w:p w:rsidR="00F555D6" w:rsidRPr="005C3B55" w:rsidRDefault="00F555D6" w:rsidP="00F555D6">
            <w:pPr>
              <w:numPr>
                <w:ilvl w:val="0"/>
                <w:numId w:val="856"/>
              </w:numPr>
              <w:spacing w:before="240" w:after="0"/>
              <w:ind w:hanging="290"/>
              <w:jc w:val="left"/>
              <w:rPr>
                <w:szCs w:val="24"/>
              </w:rPr>
            </w:pPr>
            <w:r w:rsidRPr="005C3B55">
              <w:rPr>
                <w:szCs w:val="24"/>
              </w:rPr>
              <w:t>conservation of plant genetic resources;</w:t>
            </w:r>
          </w:p>
          <w:p w:rsidR="00F555D6" w:rsidRPr="005C3B55" w:rsidRDefault="00F555D6" w:rsidP="00F555D6">
            <w:pPr>
              <w:numPr>
                <w:ilvl w:val="0"/>
                <w:numId w:val="856"/>
              </w:numPr>
              <w:spacing w:before="0" w:after="0"/>
              <w:ind w:hanging="290"/>
              <w:jc w:val="left"/>
              <w:rPr>
                <w:szCs w:val="24"/>
              </w:rPr>
            </w:pPr>
            <w:r w:rsidRPr="005C3B55">
              <w:rPr>
                <w:szCs w:val="24"/>
              </w:rPr>
              <w:t>improving the state of biodiversity and genetic diversity;</w:t>
            </w:r>
          </w:p>
          <w:p w:rsidR="00F555D6" w:rsidRPr="005C3B55" w:rsidRDefault="00F555D6" w:rsidP="00F555D6">
            <w:pPr>
              <w:numPr>
                <w:ilvl w:val="0"/>
                <w:numId w:val="856"/>
              </w:numPr>
              <w:spacing w:before="0" w:after="240"/>
              <w:ind w:hanging="290"/>
              <w:jc w:val="left"/>
              <w:rPr>
                <w:szCs w:val="24"/>
              </w:rPr>
            </w:pPr>
            <w:r w:rsidRPr="005C3B55">
              <w:rPr>
                <w:szCs w:val="24"/>
              </w:rPr>
              <w:t>promoting sustainable agriculture.</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Type of support</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Support for the implementation of the operation ‘Preserving plant genetic resources under threat of genetic erosion’ includes:</w:t>
            </w:r>
          </w:p>
          <w:p w:rsidR="00F555D6" w:rsidRPr="005C3B55" w:rsidRDefault="00F555D6" w:rsidP="00F555D6">
            <w:pPr>
              <w:numPr>
                <w:ilvl w:val="0"/>
                <w:numId w:val="857"/>
              </w:numPr>
              <w:spacing w:before="240" w:after="240"/>
              <w:ind w:hanging="290"/>
              <w:jc w:val="left"/>
              <w:rPr>
                <w:szCs w:val="24"/>
              </w:rPr>
            </w:pPr>
            <w:r w:rsidRPr="005C3B55">
              <w:rPr>
                <w:szCs w:val="24"/>
              </w:rPr>
              <w:t>payments per hectare referring to the production of plant genetic resources under threat of genetic erosion.</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Connection with other legislation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The operation ‘Preserving plant genetic resources under threat of genetic erosion’ is connected with national and EU regulations in the field of measures of agricultural policy, agriculture, the environment, nature protection and rural development.</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Beneficiaries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Beneficiaries for payments are agricultural holdings which participate voluntarily in the implementation of the operation ‘Preserving plant genetic resources under threat of genetic erosion’ and meet the prescribed conditions and requirements.</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Eligible costs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Payments are only intended for those commitments within the operation ‘Preserving plant genetic resources under threat of genetic erosion’ which exceed suitable mandatory standards determined in accordance with Chapter I, Title VI of Regulation (EU) No 1306/2013, suitable criteria determined in the second indent of item c) of the first paragraph of Article 4 of Regulation (EU) No 1307/2013, and other suitable mandatory requirements from national regulations.</w:t>
            </w:r>
          </w:p>
          <w:p w:rsidR="00F555D6" w:rsidRPr="005C3B55" w:rsidRDefault="00F555D6" w:rsidP="00F555D6">
            <w:pPr>
              <w:spacing w:before="240" w:after="240" w:line="280" w:lineRule="auto"/>
              <w:rPr>
                <w:szCs w:val="24"/>
              </w:rPr>
            </w:pPr>
            <w:r w:rsidRPr="005C3B55">
              <w:rPr>
                <w:szCs w:val="24"/>
              </w:rPr>
              <w:t>Payments cover 60 per cent of the additional costs and the loss of revenue due to the assumed commitment.</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Conditions for eligibility</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When entering the M10 measure, an agricultural holding must:</w:t>
            </w:r>
          </w:p>
          <w:p w:rsidR="00F555D6" w:rsidRPr="005C3B55" w:rsidRDefault="00F555D6" w:rsidP="00F555D6">
            <w:pPr>
              <w:numPr>
                <w:ilvl w:val="0"/>
                <w:numId w:val="858"/>
              </w:numPr>
              <w:spacing w:before="240" w:after="0"/>
              <w:ind w:hanging="290"/>
              <w:jc w:val="left"/>
              <w:rPr>
                <w:szCs w:val="24"/>
              </w:rPr>
            </w:pPr>
            <w:r w:rsidRPr="005C3B55">
              <w:rPr>
                <w:szCs w:val="24"/>
              </w:rPr>
              <w:t>have at least 1 ha of agricultural land in use as per Article 4 of Regulation (EU) No 1307/2013;</w:t>
            </w:r>
          </w:p>
          <w:p w:rsidR="00F555D6" w:rsidRPr="005C3B55" w:rsidRDefault="00F555D6" w:rsidP="00F555D6">
            <w:pPr>
              <w:numPr>
                <w:ilvl w:val="0"/>
                <w:numId w:val="858"/>
              </w:numPr>
              <w:spacing w:before="0" w:after="0"/>
              <w:ind w:hanging="290"/>
              <w:jc w:val="left"/>
              <w:rPr>
                <w:szCs w:val="24"/>
              </w:rPr>
            </w:pPr>
            <w:r w:rsidRPr="005C3B55">
              <w:rPr>
                <w:szCs w:val="24"/>
              </w:rPr>
              <w:t>be entered in the register of agricultural holdings in accordance with the regulation on the register of agricultural holdings;</w:t>
            </w:r>
          </w:p>
          <w:p w:rsidR="00F555D6" w:rsidRPr="005C3B55" w:rsidRDefault="00F555D6" w:rsidP="00F555D6">
            <w:pPr>
              <w:numPr>
                <w:ilvl w:val="0"/>
                <w:numId w:val="858"/>
              </w:numPr>
              <w:spacing w:before="0" w:after="0"/>
              <w:ind w:hanging="290"/>
              <w:jc w:val="left"/>
              <w:rPr>
                <w:szCs w:val="24"/>
              </w:rPr>
            </w:pPr>
            <w:r w:rsidRPr="005C3B55">
              <w:rPr>
                <w:szCs w:val="24"/>
              </w:rPr>
              <w:t>undergo a six-hour training programme on agri-environment-climate content;</w:t>
            </w:r>
          </w:p>
          <w:p w:rsidR="00F555D6" w:rsidRPr="005C3B55" w:rsidRDefault="00F555D6" w:rsidP="00F555D6">
            <w:pPr>
              <w:numPr>
                <w:ilvl w:val="0"/>
                <w:numId w:val="858"/>
              </w:numPr>
              <w:spacing w:before="0" w:after="240"/>
              <w:ind w:hanging="290"/>
              <w:jc w:val="left"/>
              <w:rPr>
                <w:szCs w:val="24"/>
              </w:rPr>
            </w:pPr>
            <w:r w:rsidRPr="005C3B55">
              <w:rPr>
                <w:szCs w:val="24"/>
              </w:rPr>
              <w:t>prepare an activities programme of the agricultural holding which is an electronic document prepared as a result of advisory services.</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Principles regarding the determination of selection criteria</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The selection criteria are not relevant.</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(Valid) amounts and support rates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The amount of payment for the operation ‘Preserving plant genetic resources’ amounts to 60 % of amount of payments as per the model calculation.</w:t>
            </w:r>
          </w:p>
          <w:p w:rsidR="00F555D6" w:rsidRPr="005C3B55" w:rsidRDefault="00F555D6" w:rsidP="00F555D6">
            <w:pPr>
              <w:numPr>
                <w:ilvl w:val="0"/>
                <w:numId w:val="859"/>
              </w:numPr>
              <w:spacing w:before="240" w:after="0"/>
              <w:ind w:hanging="290"/>
              <w:jc w:val="left"/>
              <w:rPr>
                <w:szCs w:val="24"/>
              </w:rPr>
            </w:pPr>
            <w:r w:rsidRPr="005C3B55">
              <w:rPr>
                <w:szCs w:val="24"/>
              </w:rPr>
              <w:t>Calculated payment amount as per model calculation: EUR 227.30/hectare annually.</w:t>
            </w:r>
          </w:p>
          <w:p w:rsidR="00F555D6" w:rsidRPr="005C3B55" w:rsidRDefault="00F555D6" w:rsidP="00F555D6">
            <w:pPr>
              <w:numPr>
                <w:ilvl w:val="0"/>
                <w:numId w:val="859"/>
              </w:numPr>
              <w:spacing w:before="0" w:after="0"/>
              <w:ind w:hanging="290"/>
              <w:jc w:val="left"/>
              <w:rPr>
                <w:szCs w:val="24"/>
              </w:rPr>
            </w:pPr>
            <w:r w:rsidRPr="005C3B55">
              <w:rPr>
                <w:szCs w:val="24"/>
              </w:rPr>
              <w:t xml:space="preserve">The highest possible payment as per Annex II to Regulation (EU) No 1305/2013: </w:t>
            </w:r>
          </w:p>
          <w:p w:rsidR="00F555D6" w:rsidRPr="005C3B55" w:rsidRDefault="00F555D6" w:rsidP="00F555D6">
            <w:pPr>
              <w:numPr>
                <w:ilvl w:val="1"/>
                <w:numId w:val="859"/>
              </w:numPr>
              <w:spacing w:before="0" w:after="0"/>
              <w:ind w:hanging="324"/>
              <w:jc w:val="left"/>
              <w:rPr>
                <w:szCs w:val="24"/>
              </w:rPr>
            </w:pPr>
            <w:r w:rsidRPr="005C3B55">
              <w:rPr>
                <w:szCs w:val="24"/>
              </w:rPr>
              <w:t>arable land: EUR 600/hectare annually;</w:t>
            </w:r>
          </w:p>
          <w:p w:rsidR="00F555D6" w:rsidRPr="005C3B55" w:rsidRDefault="00F555D6" w:rsidP="00F555D6">
            <w:pPr>
              <w:numPr>
                <w:ilvl w:val="1"/>
                <w:numId w:val="859"/>
              </w:numPr>
              <w:spacing w:before="0" w:after="0"/>
              <w:ind w:hanging="324"/>
              <w:jc w:val="left"/>
              <w:rPr>
                <w:szCs w:val="24"/>
              </w:rPr>
            </w:pPr>
            <w:r w:rsidRPr="005C3B55">
              <w:rPr>
                <w:szCs w:val="24"/>
              </w:rPr>
              <w:t>permanent plantations: EUR 900/hectare annually;</w:t>
            </w:r>
          </w:p>
          <w:p w:rsidR="00F555D6" w:rsidRPr="005C3B55" w:rsidRDefault="00F555D6" w:rsidP="00F555D6">
            <w:pPr>
              <w:numPr>
                <w:ilvl w:val="1"/>
                <w:numId w:val="859"/>
              </w:numPr>
              <w:spacing w:before="0" w:after="0"/>
              <w:ind w:hanging="324"/>
              <w:jc w:val="left"/>
              <w:rPr>
                <w:szCs w:val="24"/>
              </w:rPr>
            </w:pPr>
            <w:r w:rsidRPr="005C3B55">
              <w:rPr>
                <w:szCs w:val="24"/>
              </w:rPr>
              <w:t>other types of use: EUR 450/hectare annually.</w:t>
            </w:r>
          </w:p>
          <w:p w:rsidR="00F555D6" w:rsidRPr="005C3B55" w:rsidRDefault="00F555D6" w:rsidP="00F555D6">
            <w:pPr>
              <w:numPr>
                <w:ilvl w:val="0"/>
                <w:numId w:val="859"/>
              </w:numPr>
              <w:spacing w:before="0" w:after="0"/>
              <w:ind w:hanging="290"/>
              <w:jc w:val="left"/>
              <w:rPr>
                <w:szCs w:val="24"/>
              </w:rPr>
            </w:pPr>
            <w:r w:rsidRPr="005C3B55">
              <w:rPr>
                <w:szCs w:val="24"/>
              </w:rPr>
              <w:t>The highest possible amount: EUR 227.30/hectare annually.</w:t>
            </w:r>
          </w:p>
          <w:p w:rsidR="00F555D6" w:rsidRPr="005C3B55" w:rsidRDefault="00F555D6" w:rsidP="00F555D6">
            <w:pPr>
              <w:numPr>
                <w:ilvl w:val="0"/>
                <w:numId w:val="859"/>
              </w:numPr>
              <w:spacing w:before="0" w:after="240"/>
              <w:ind w:hanging="290"/>
              <w:jc w:val="left"/>
              <w:rPr>
                <w:szCs w:val="24"/>
              </w:rPr>
            </w:pPr>
            <w:r w:rsidRPr="005C3B55">
              <w:rPr>
                <w:b/>
                <w:szCs w:val="24"/>
              </w:rPr>
              <w:t>Payment (60 % of payment amount calculated as per the model calculation): EUR 136.38/hectare annually.</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Verifiability and possibility of control of measures and/or type of operations</w:t>
      </w:r>
    </w:p>
    <w:p w:rsidR="00F555D6" w:rsidRPr="005C3B55" w:rsidRDefault="00F555D6" w:rsidP="00F555D6">
      <w:pPr>
        <w:pStyle w:val="Naslov7"/>
        <w:tabs>
          <w:tab w:val="clear" w:pos="765"/>
        </w:tabs>
        <w:ind w:left="0" w:firstLine="0"/>
        <w:rPr>
          <w:szCs w:val="24"/>
          <w:lang w:val="en-GB"/>
        </w:rPr>
      </w:pPr>
      <w:r w:rsidRPr="005C3B55">
        <w:rPr>
          <w:noProof w:val="0"/>
          <w:szCs w:val="24"/>
          <w:lang w:val="en-GB"/>
        </w:rPr>
        <w:t>Risks in the implementation of the measure</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b/>
                <w:szCs w:val="24"/>
              </w:rPr>
              <w:t>R5: Requirements which are difficult to verify and/or control</w:t>
            </w:r>
          </w:p>
          <w:p w:rsidR="00F555D6" w:rsidRPr="005C3B55" w:rsidRDefault="00F555D6" w:rsidP="00F555D6">
            <w:pPr>
              <w:spacing w:before="240" w:after="240" w:line="280" w:lineRule="auto"/>
              <w:rPr>
                <w:szCs w:val="24"/>
              </w:rPr>
            </w:pPr>
            <w:r w:rsidRPr="005C3B55">
              <w:rPr>
                <w:szCs w:val="24"/>
              </w:rPr>
              <w:t>Administrative control and on-the-spot control are feasible.</w:t>
            </w:r>
          </w:p>
          <w:p w:rsidR="00F555D6" w:rsidRPr="005C3B55" w:rsidRDefault="00F555D6" w:rsidP="00F555D6">
            <w:pPr>
              <w:spacing w:before="240" w:after="240" w:line="280" w:lineRule="auto"/>
              <w:rPr>
                <w:szCs w:val="24"/>
              </w:rPr>
            </w:pPr>
            <w:r w:rsidRPr="005C3B55">
              <w:rPr>
                <w:b/>
                <w:szCs w:val="24"/>
              </w:rPr>
              <w:t>R6: General conditions for implementation</w:t>
            </w:r>
          </w:p>
          <w:p w:rsidR="00F555D6" w:rsidRPr="005C3B55" w:rsidRDefault="00F555D6" w:rsidP="00F555D6">
            <w:pPr>
              <w:spacing w:before="240" w:after="240" w:line="280" w:lineRule="auto"/>
              <w:rPr>
                <w:szCs w:val="24"/>
              </w:rPr>
            </w:pPr>
            <w:r w:rsidRPr="005C3B55">
              <w:rPr>
                <w:szCs w:val="24"/>
              </w:rPr>
              <w:t>Ill-timed adoption of regulations which regulate payments for the M10 measure and which enable beneficiaries to be informed about the eligibility conditions for implementing this operation, and insufficient knowledge of the conditions of the operation ‘Preserving plant genetic resources under threat of genetic erosion’ present a risk for the implementation of this measure.</w:t>
            </w:r>
          </w:p>
          <w:p w:rsidR="00F555D6" w:rsidRPr="005C3B55" w:rsidRDefault="00F555D6" w:rsidP="00F555D6">
            <w:pPr>
              <w:spacing w:before="240" w:after="240" w:line="280" w:lineRule="auto"/>
              <w:rPr>
                <w:szCs w:val="24"/>
              </w:rPr>
            </w:pPr>
            <w:r w:rsidRPr="005C3B55">
              <w:rPr>
                <w:b/>
                <w:szCs w:val="24"/>
              </w:rPr>
              <w:t>R8: IT systems</w:t>
            </w:r>
          </w:p>
          <w:p w:rsidR="00F555D6" w:rsidRPr="005C3B55" w:rsidRDefault="00F555D6" w:rsidP="00F555D6">
            <w:pPr>
              <w:spacing w:before="240" w:after="240" w:line="280" w:lineRule="auto"/>
              <w:rPr>
                <w:szCs w:val="24"/>
              </w:rPr>
            </w:pPr>
            <w:r w:rsidRPr="005C3B55">
              <w:rPr>
                <w:szCs w:val="24"/>
              </w:rPr>
              <w:t>The risk due to unsuitable connectivity and arrangement of certain databases and insufficient administrative controls when entering the operation ‘Preserving plant genetic resources under threat of genetic erosion’ is low.</w:t>
            </w:r>
          </w:p>
          <w:p w:rsidR="00F555D6" w:rsidRPr="005C3B55" w:rsidRDefault="00F555D6" w:rsidP="00F555D6">
            <w:pPr>
              <w:spacing w:before="240" w:after="240" w:line="280" w:lineRule="auto"/>
              <w:rPr>
                <w:szCs w:val="24"/>
              </w:rPr>
            </w:pPr>
            <w:r w:rsidRPr="005C3B55">
              <w:rPr>
                <w:b/>
                <w:szCs w:val="24"/>
              </w:rPr>
              <w:t>R9: Requests for payment</w:t>
            </w:r>
          </w:p>
          <w:p w:rsidR="00F555D6" w:rsidRPr="005C3B55" w:rsidRDefault="00F555D6" w:rsidP="00F555D6">
            <w:pPr>
              <w:spacing w:before="240" w:after="240" w:line="280" w:lineRule="auto"/>
              <w:rPr>
                <w:szCs w:val="24"/>
              </w:rPr>
            </w:pPr>
            <w:r w:rsidRPr="005C3B55">
              <w:rPr>
                <w:szCs w:val="24"/>
              </w:rPr>
              <w:t>Lack of information and insufficient knowledge of the operation ‘Preserving plant genetic resources under threat of genetic erosion’, poor familiarisation with the procedure for submitting the application and the beneficiary’s incorrect reporting about the size of surfaces.</w:t>
            </w:r>
          </w:p>
          <w:p w:rsidR="00F555D6" w:rsidRPr="005C3B55" w:rsidRDefault="00F555D6" w:rsidP="00F555D6">
            <w:pPr>
              <w:pStyle w:val="Telobesedila"/>
              <w:rPr>
                <w:szCs w:val="24"/>
              </w:rPr>
            </w:pPr>
          </w:p>
        </w:tc>
      </w:tr>
    </w:tbl>
    <w:p w:rsidR="00F555D6" w:rsidRPr="005C3B55" w:rsidRDefault="00F555D6" w:rsidP="00F555D6">
      <w:pPr>
        <w:pStyle w:val="Naslov7"/>
        <w:tabs>
          <w:tab w:val="clear" w:pos="765"/>
        </w:tabs>
        <w:ind w:left="0" w:firstLine="0"/>
        <w:rPr>
          <w:szCs w:val="24"/>
          <w:lang w:val="en-GB"/>
        </w:rPr>
      </w:pPr>
      <w:r w:rsidRPr="005C3B55">
        <w:rPr>
          <w:noProof w:val="0"/>
          <w:szCs w:val="24"/>
          <w:lang w:val="en-GB"/>
        </w:rPr>
        <w:t>Mitigation measures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b/>
                <w:szCs w:val="24"/>
              </w:rPr>
              <w:t>R5: Requirements which are difficult to verify and/or control</w:t>
            </w:r>
          </w:p>
          <w:p w:rsidR="00F555D6" w:rsidRPr="005C3B55" w:rsidRDefault="00F555D6" w:rsidP="00F555D6">
            <w:pPr>
              <w:spacing w:before="240" w:after="240" w:line="280" w:lineRule="auto"/>
              <w:rPr>
                <w:szCs w:val="24"/>
              </w:rPr>
            </w:pPr>
            <w:r w:rsidRPr="005C3B55">
              <w:rPr>
                <w:szCs w:val="24"/>
              </w:rPr>
              <w:t>Although problems with administrative control are not expected, it will nevertheless be suitably upgraded (control of the registration of relevant plants, control of relevant registers).</w:t>
            </w:r>
          </w:p>
          <w:p w:rsidR="00F555D6" w:rsidRPr="005C3B55" w:rsidRDefault="00F555D6" w:rsidP="00F555D6">
            <w:pPr>
              <w:spacing w:before="240" w:after="240" w:line="280" w:lineRule="auto"/>
              <w:rPr>
                <w:szCs w:val="24"/>
              </w:rPr>
            </w:pPr>
            <w:r w:rsidRPr="005C3B55">
              <w:rPr>
                <w:szCs w:val="24"/>
              </w:rPr>
              <w:t>Requirements for the implementation of measure M10 which cannot be verified administratively will be verified or controlled on the spot.</w:t>
            </w:r>
          </w:p>
          <w:p w:rsidR="00F555D6" w:rsidRPr="005C3B55" w:rsidRDefault="00F555D6" w:rsidP="00F555D6">
            <w:pPr>
              <w:spacing w:before="240" w:after="240" w:line="280" w:lineRule="auto"/>
              <w:rPr>
                <w:szCs w:val="24"/>
              </w:rPr>
            </w:pPr>
            <w:r w:rsidRPr="005C3B55">
              <w:rPr>
                <w:b/>
                <w:szCs w:val="24"/>
              </w:rPr>
              <w:t>R6: General conditions for implementation</w:t>
            </w:r>
          </w:p>
          <w:p w:rsidR="00F555D6" w:rsidRPr="005C3B55" w:rsidRDefault="00F555D6" w:rsidP="00F555D6">
            <w:pPr>
              <w:spacing w:before="240" w:after="240" w:line="280" w:lineRule="auto"/>
              <w:rPr>
                <w:szCs w:val="24"/>
              </w:rPr>
            </w:pPr>
            <w:r w:rsidRPr="005C3B55">
              <w:rPr>
                <w:szCs w:val="24"/>
              </w:rPr>
              <w:t>Prior to entering in the operation ‘Preserving plant genetic resources under threat of genetic erosion’, a beneficiary will have to undergo a mandatory six-hour training which is one of the eligibility conditions. At the training, the beneficiary will become acquainted with the eligibility conditions for entering in operation and the conditions of individual requirements for implementing the operation, including the Rural Development Programme 2014–2020 for the M10 measure and the national regulation regulating payments for the M10 measure.</w:t>
            </w:r>
          </w:p>
          <w:p w:rsidR="00F555D6" w:rsidRPr="005C3B55" w:rsidRDefault="00F555D6" w:rsidP="00F555D6">
            <w:pPr>
              <w:spacing w:before="240" w:after="240" w:line="280" w:lineRule="auto"/>
              <w:rPr>
                <w:szCs w:val="24"/>
              </w:rPr>
            </w:pPr>
            <w:r w:rsidRPr="005C3B55">
              <w:rPr>
                <w:szCs w:val="24"/>
              </w:rPr>
              <w:t>After training, the beneficiary will be able to prepare a programme of activities of the agricultural holding, which is one of the eligibility conditions, and in which it will determine which operation and requirements to implement within the M10 measure.</w:t>
            </w:r>
          </w:p>
          <w:p w:rsidR="00F555D6" w:rsidRPr="005C3B55" w:rsidRDefault="00F555D6" w:rsidP="00F555D6">
            <w:pPr>
              <w:spacing w:before="240" w:after="240" w:line="280" w:lineRule="auto"/>
              <w:rPr>
                <w:szCs w:val="24"/>
              </w:rPr>
            </w:pPr>
            <w:r w:rsidRPr="005C3B55">
              <w:rPr>
                <w:b/>
                <w:szCs w:val="24"/>
              </w:rPr>
              <w:t>R8: IT systems</w:t>
            </w:r>
          </w:p>
          <w:p w:rsidR="00F555D6" w:rsidRPr="005C3B55" w:rsidRDefault="00F555D6" w:rsidP="00F555D6">
            <w:pPr>
              <w:spacing w:before="240" w:after="240" w:line="280" w:lineRule="auto"/>
              <w:rPr>
                <w:szCs w:val="24"/>
              </w:rPr>
            </w:pPr>
            <w:r w:rsidRPr="005C3B55">
              <w:rPr>
                <w:szCs w:val="24"/>
              </w:rPr>
              <w:t>Suitable connections will be established and databases arranged (registers, records, codes, combinations of permitted requirements).</w:t>
            </w:r>
          </w:p>
          <w:p w:rsidR="00F555D6" w:rsidRPr="005C3B55" w:rsidRDefault="00F555D6" w:rsidP="00F555D6">
            <w:pPr>
              <w:spacing w:before="240" w:after="240" w:line="280" w:lineRule="auto"/>
              <w:rPr>
                <w:szCs w:val="24"/>
              </w:rPr>
            </w:pPr>
            <w:r w:rsidRPr="005C3B55">
              <w:rPr>
                <w:szCs w:val="24"/>
              </w:rPr>
              <w:t>An application enabling cross-checking of data from different databases will be established.</w:t>
            </w:r>
          </w:p>
          <w:p w:rsidR="00F555D6" w:rsidRPr="005C3B55" w:rsidRDefault="00F555D6" w:rsidP="00F555D6">
            <w:pPr>
              <w:spacing w:before="240" w:after="240" w:line="280" w:lineRule="auto"/>
              <w:rPr>
                <w:szCs w:val="24"/>
              </w:rPr>
            </w:pPr>
            <w:r w:rsidRPr="005C3B55">
              <w:rPr>
                <w:b/>
                <w:szCs w:val="24"/>
              </w:rPr>
              <w:t>R9: Requests for payment</w:t>
            </w:r>
          </w:p>
          <w:p w:rsidR="00F555D6" w:rsidRPr="005C3B55" w:rsidRDefault="00F555D6" w:rsidP="00F555D6">
            <w:pPr>
              <w:spacing w:before="240" w:after="240" w:line="280" w:lineRule="auto"/>
              <w:rPr>
                <w:szCs w:val="24"/>
              </w:rPr>
            </w:pPr>
            <w:r w:rsidRPr="005C3B55">
              <w:rPr>
                <w:szCs w:val="24"/>
              </w:rPr>
              <w:t>Mandatory annual four-hour training and mandatory use of advisory services at least once in the first three years of the commitment are introduced in order for beneficiaries to be suitably informed about all conditions and requirements for the implementation of the M10 measure. Regular annual informing of beneficiaries about their commitments related to the implementation of the M10 measure as part of the annual campaign for implementing requests for agricultural policy measures during the year and also within the scope of specific and purpose-oriented informing of beneficiaries is envisaged</w:t>
            </w:r>
            <w:r w:rsidRPr="005C3B55">
              <w:rPr>
                <w:rFonts w:ascii="TimesNewRoman" w:hAnsi="TimesNewRoman"/>
                <w:szCs w:val="24"/>
              </w:rPr>
              <w:t>.</w:t>
            </w:r>
          </w:p>
          <w:p w:rsidR="00F555D6" w:rsidRPr="005C3B55" w:rsidRDefault="00F555D6" w:rsidP="00F555D6">
            <w:pPr>
              <w:spacing w:before="240" w:after="240" w:line="280" w:lineRule="auto"/>
              <w:rPr>
                <w:szCs w:val="24"/>
              </w:rPr>
            </w:pPr>
            <w:r w:rsidRPr="005C3B55">
              <w:rPr>
                <w:szCs w:val="24"/>
              </w:rPr>
              <w:t>On the basis of the programme of activities, the request for payment will be submitted electronically on prescribed forms, by means of which a beneficiary will define for which requirements within individual operations of the M10 measure it will request payment.</w:t>
            </w:r>
          </w:p>
          <w:p w:rsidR="00F555D6" w:rsidRPr="005C3B55" w:rsidRDefault="00F555D6" w:rsidP="00F555D6">
            <w:pPr>
              <w:spacing w:before="240" w:after="240" w:line="280" w:lineRule="auto"/>
              <w:rPr>
                <w:szCs w:val="24"/>
              </w:rPr>
            </w:pPr>
            <w:r w:rsidRPr="005C3B55">
              <w:rPr>
                <w:szCs w:val="24"/>
              </w:rPr>
              <w:t>The upgrading of the IT system for administrative control will be implemented, which will allow certain verifications and controls already upon the submission of the request for payment (size of surface, suitability of areas, suitability of combinations of requests and operations, suitability of agricultural plant and suitability of use as per individual register).</w:t>
            </w:r>
          </w:p>
          <w:p w:rsidR="00F555D6" w:rsidRPr="005C3B55" w:rsidRDefault="00F555D6" w:rsidP="00F555D6">
            <w:pPr>
              <w:spacing w:before="240" w:after="240" w:line="280" w:lineRule="auto"/>
              <w:rPr>
                <w:szCs w:val="24"/>
              </w:rPr>
            </w:pPr>
            <w:r w:rsidRPr="005C3B55">
              <w:rPr>
                <w:szCs w:val="24"/>
              </w:rPr>
              <w:t>If a beneficiary fails to meet the eligibility conditions for entering measure M10, they will be alerted to the shortcomings which they will be able to eliminate by the prescribed deadline; otherwise, it will not be possible to submit a request for the payment of measure M10.</w:t>
            </w:r>
          </w:p>
          <w:p w:rsidR="00F555D6" w:rsidRPr="005C3B55" w:rsidRDefault="00F555D6" w:rsidP="00F555D6">
            <w:pPr>
              <w:spacing w:before="240" w:after="240" w:line="280" w:lineRule="auto"/>
              <w:rPr>
                <w:szCs w:val="24"/>
              </w:rPr>
            </w:pPr>
            <w:r w:rsidRPr="005C3B55">
              <w:rPr>
                <w:szCs w:val="24"/>
              </w:rPr>
              <w:t>Unpermitted combinations between operations and unpermitted combinations of this operation with requirements within other operations of the M10 measure will be disabled.</w:t>
            </w:r>
          </w:p>
          <w:p w:rsidR="00F555D6" w:rsidRPr="005C3B55" w:rsidRDefault="00F555D6" w:rsidP="00F555D6">
            <w:pPr>
              <w:spacing w:before="240" w:after="240" w:line="280" w:lineRule="auto"/>
              <w:rPr>
                <w:szCs w:val="24"/>
              </w:rPr>
            </w:pPr>
            <w:r w:rsidRPr="005C3B55">
              <w:rPr>
                <w:szCs w:val="24"/>
              </w:rPr>
              <w:t>A beneficiary who will also be included in the implementation of the M11measure will not have the opportunity to submit the request for unauthorised combinations of this measure with the M10 measure.</w:t>
            </w:r>
          </w:p>
          <w:p w:rsidR="00F555D6" w:rsidRPr="005C3B55" w:rsidRDefault="00F555D6" w:rsidP="00F555D6">
            <w:pPr>
              <w:pStyle w:val="Telobesedila"/>
              <w:rPr>
                <w:szCs w:val="24"/>
              </w:rPr>
            </w:pPr>
          </w:p>
        </w:tc>
      </w:tr>
    </w:tbl>
    <w:p w:rsidR="00F555D6" w:rsidRPr="005C3B55" w:rsidRDefault="00F555D6" w:rsidP="00F555D6">
      <w:pPr>
        <w:pStyle w:val="Naslov7"/>
        <w:tabs>
          <w:tab w:val="clear" w:pos="765"/>
        </w:tabs>
        <w:ind w:left="0" w:firstLine="0"/>
        <w:rPr>
          <w:szCs w:val="24"/>
          <w:lang w:val="en-GB"/>
        </w:rPr>
      </w:pPr>
      <w:r w:rsidRPr="005C3B55">
        <w:rPr>
          <w:noProof w:val="0"/>
          <w:szCs w:val="24"/>
          <w:lang w:val="en-GB"/>
        </w:rPr>
        <w:t>General assessment of the measure</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 xml:space="preserve">Described in Chapter </w:t>
            </w:r>
            <w:r w:rsidRPr="005C3B55">
              <w:rPr>
                <w:i/>
                <w:szCs w:val="24"/>
              </w:rPr>
              <w:t>8.2.9.4.3 General assessment of the measure</w:t>
            </w:r>
            <w:r w:rsidRPr="005C3B55">
              <w:rPr>
                <w:szCs w:val="24"/>
              </w:rPr>
              <w:t>.</w:t>
            </w:r>
          </w:p>
          <w:p w:rsidR="00F555D6" w:rsidRPr="005C3B55" w:rsidRDefault="00F555D6" w:rsidP="00F555D6">
            <w:pPr>
              <w:pStyle w:val="Telobesedila"/>
              <w:rPr>
                <w:szCs w:val="24"/>
              </w:rPr>
            </w:pPr>
          </w:p>
        </w:tc>
      </w:tr>
    </w:tbl>
    <w:p w:rsidR="00F555D6" w:rsidRPr="005C3B55" w:rsidRDefault="00F555D6" w:rsidP="00F555D6">
      <w:pPr>
        <w:pStyle w:val="Naslov7"/>
        <w:tabs>
          <w:tab w:val="clear" w:pos="765"/>
        </w:tabs>
        <w:ind w:left="0" w:firstLine="0"/>
        <w:rPr>
          <w:szCs w:val="24"/>
          <w:lang w:val="en-GB"/>
        </w:rPr>
      </w:pPr>
      <w:r w:rsidRPr="005C3B55">
        <w:rPr>
          <w:noProof w:val="0"/>
          <w:szCs w:val="24"/>
          <w:lang w:val="en-GB"/>
        </w:rPr>
        <w:t>Agri-environment-climate commitments</w:t>
      </w:r>
    </w:p>
    <w:p w:rsidR="00F555D6" w:rsidRPr="005C3B55" w:rsidRDefault="00F555D6" w:rsidP="00F555D6">
      <w:pPr>
        <w:pStyle w:val="Naslov8"/>
        <w:tabs>
          <w:tab w:val="clear" w:pos="765"/>
        </w:tabs>
        <w:ind w:left="0" w:firstLine="0"/>
        <w:rPr>
          <w:b w:val="0"/>
          <w:szCs w:val="24"/>
          <w:lang w:val="en-GB"/>
        </w:rPr>
      </w:pPr>
      <w:r w:rsidRPr="005C3B55">
        <w:rPr>
          <w:b w:val="0"/>
          <w:noProof w:val="0"/>
          <w:szCs w:val="24"/>
          <w:lang w:val="en-GB"/>
        </w:rPr>
        <w:t>GEN_SOR:</w:t>
      </w:r>
      <w:r w:rsidRPr="005C3B55">
        <w:rPr>
          <w:b w:val="0"/>
          <w:szCs w:val="24"/>
          <w:lang w:val="en-GB"/>
        </w:rPr>
        <w:t xml:space="preserve"> </w:t>
      </w:r>
      <w:r w:rsidRPr="005C3B55">
        <w:rPr>
          <w:b w:val="0"/>
          <w:noProof w:val="0"/>
          <w:szCs w:val="24"/>
          <w:lang w:val="en-GB"/>
        </w:rPr>
        <w:t>Preserving plant genetic resources under threat of genetic erosion</w:t>
      </w:r>
    </w:p>
    <w:p w:rsidR="00F555D6" w:rsidRPr="005C3B55" w:rsidRDefault="00F555D6" w:rsidP="00F555D6">
      <w:pPr>
        <w:pStyle w:val="Naslov9"/>
        <w:tabs>
          <w:tab w:val="clear" w:pos="765"/>
        </w:tabs>
        <w:ind w:left="0" w:firstLine="0"/>
        <w:rPr>
          <w:szCs w:val="24"/>
          <w:lang w:val="en-GB"/>
        </w:rPr>
      </w:pPr>
      <w:r w:rsidRPr="005C3B55">
        <w:rPr>
          <w:noProof w:val="0"/>
          <w:szCs w:val="24"/>
          <w:lang w:val="en-GB"/>
        </w:rPr>
        <w:t>Methods of commitment verification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Administrative control:</w:t>
            </w:r>
          </w:p>
          <w:p w:rsidR="00F555D6" w:rsidRPr="005C3B55" w:rsidRDefault="00F555D6" w:rsidP="00F555D6">
            <w:pPr>
              <w:numPr>
                <w:ilvl w:val="0"/>
                <w:numId w:val="860"/>
              </w:numPr>
              <w:spacing w:before="240" w:after="0"/>
              <w:ind w:hanging="290"/>
              <w:jc w:val="left"/>
              <w:rPr>
                <w:szCs w:val="24"/>
              </w:rPr>
            </w:pPr>
            <w:r w:rsidRPr="005C3B55">
              <w:rPr>
                <w:szCs w:val="24"/>
              </w:rPr>
              <w:t>suitability of the agricultural plant through collective application;</w:t>
            </w:r>
          </w:p>
          <w:p w:rsidR="00F555D6" w:rsidRPr="005C3B55" w:rsidRDefault="00F555D6" w:rsidP="00F555D6">
            <w:pPr>
              <w:numPr>
                <w:ilvl w:val="0"/>
                <w:numId w:val="860"/>
              </w:numPr>
              <w:spacing w:before="0" w:after="240"/>
              <w:ind w:hanging="290"/>
              <w:jc w:val="left"/>
              <w:rPr>
                <w:szCs w:val="24"/>
              </w:rPr>
            </w:pPr>
            <w:r w:rsidRPr="005C3B55">
              <w:rPr>
                <w:szCs w:val="24"/>
              </w:rPr>
              <w:t>suitability of varieties through collective application, the register of agricultural holdings.</w:t>
            </w:r>
          </w:p>
          <w:p w:rsidR="00F555D6" w:rsidRPr="005C3B55" w:rsidRDefault="00F555D6" w:rsidP="00F555D6">
            <w:pPr>
              <w:spacing w:before="240" w:after="240" w:line="280" w:lineRule="auto"/>
              <w:rPr>
                <w:szCs w:val="24"/>
              </w:rPr>
            </w:pPr>
            <w:r w:rsidRPr="005C3B55">
              <w:rPr>
                <w:szCs w:val="24"/>
              </w:rPr>
              <w:t>Registers/records:</w:t>
            </w:r>
          </w:p>
          <w:p w:rsidR="00F555D6" w:rsidRPr="005C3B55" w:rsidRDefault="00F555D6" w:rsidP="00F555D6">
            <w:pPr>
              <w:numPr>
                <w:ilvl w:val="0"/>
                <w:numId w:val="861"/>
              </w:numPr>
              <w:spacing w:before="240" w:after="0"/>
              <w:ind w:hanging="290"/>
              <w:jc w:val="left"/>
              <w:rPr>
                <w:szCs w:val="24"/>
              </w:rPr>
            </w:pPr>
            <w:r w:rsidRPr="005C3B55">
              <w:rPr>
                <w:szCs w:val="24"/>
              </w:rPr>
              <w:t>register of agricultural holdings;</w:t>
            </w:r>
          </w:p>
          <w:p w:rsidR="00F555D6" w:rsidRPr="005C3B55" w:rsidRDefault="00F555D6" w:rsidP="00F555D6">
            <w:pPr>
              <w:numPr>
                <w:ilvl w:val="0"/>
                <w:numId w:val="861"/>
              </w:numPr>
              <w:spacing w:before="0" w:after="240"/>
              <w:ind w:hanging="290"/>
              <w:jc w:val="left"/>
              <w:rPr>
                <w:szCs w:val="24"/>
              </w:rPr>
            </w:pPr>
            <w:r w:rsidRPr="005C3B55">
              <w:rPr>
                <w:szCs w:val="24"/>
              </w:rPr>
              <w:t>graphical agricultural unit of agricultural holding (GERK).</w:t>
            </w:r>
          </w:p>
          <w:p w:rsidR="00F555D6" w:rsidRPr="005C3B55" w:rsidRDefault="00F555D6" w:rsidP="00F555D6">
            <w:pPr>
              <w:spacing w:before="240" w:after="240" w:line="280" w:lineRule="auto"/>
              <w:rPr>
                <w:szCs w:val="24"/>
              </w:rPr>
            </w:pPr>
            <w:r w:rsidRPr="005C3B55">
              <w:rPr>
                <w:szCs w:val="24"/>
              </w:rPr>
              <w:t>On-site control:</w:t>
            </w:r>
          </w:p>
          <w:p w:rsidR="00F555D6" w:rsidRPr="005C3B55" w:rsidRDefault="00F555D6" w:rsidP="00F555D6">
            <w:pPr>
              <w:numPr>
                <w:ilvl w:val="0"/>
                <w:numId w:val="862"/>
              </w:numPr>
              <w:spacing w:before="240" w:after="0"/>
              <w:ind w:hanging="290"/>
              <w:jc w:val="left"/>
              <w:rPr>
                <w:szCs w:val="24"/>
              </w:rPr>
            </w:pPr>
            <w:r w:rsidRPr="005C3B55">
              <w:rPr>
                <w:szCs w:val="24"/>
              </w:rPr>
              <w:t>records on works;</w:t>
            </w:r>
          </w:p>
          <w:p w:rsidR="00F555D6" w:rsidRPr="005C3B55" w:rsidRDefault="00F555D6" w:rsidP="00F555D6">
            <w:pPr>
              <w:numPr>
                <w:ilvl w:val="0"/>
                <w:numId w:val="862"/>
              </w:numPr>
              <w:spacing w:before="0" w:after="0"/>
              <w:ind w:hanging="290"/>
              <w:jc w:val="left"/>
              <w:rPr>
                <w:szCs w:val="24"/>
              </w:rPr>
            </w:pPr>
            <w:r w:rsidRPr="005C3B55">
              <w:rPr>
                <w:szCs w:val="24"/>
              </w:rPr>
              <w:t>invoice on the purchase of seeds/seedlings;</w:t>
            </w:r>
          </w:p>
          <w:p w:rsidR="00F555D6" w:rsidRPr="005C3B55" w:rsidRDefault="00F555D6" w:rsidP="00F555D6">
            <w:pPr>
              <w:numPr>
                <w:ilvl w:val="0"/>
                <w:numId w:val="862"/>
              </w:numPr>
              <w:spacing w:before="0" w:after="240"/>
              <w:ind w:hanging="290"/>
              <w:jc w:val="left"/>
              <w:rPr>
                <w:szCs w:val="24"/>
              </w:rPr>
            </w:pPr>
            <w:r w:rsidRPr="005C3B55">
              <w:rPr>
                <w:szCs w:val="24"/>
              </w:rPr>
              <w:t>declaration.</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Information that relates specifically to the operation</w:t>
      </w:r>
    </w:p>
    <w:p w:rsidR="00F555D6" w:rsidRPr="005C3B55" w:rsidRDefault="00F555D6" w:rsidP="00F555D6">
      <w:pPr>
        <w:spacing w:line="280" w:lineRule="auto"/>
        <w:rPr>
          <w:szCs w:val="24"/>
        </w:rPr>
      </w:pPr>
      <w:r w:rsidRPr="005C3B55">
        <w:rPr>
          <w:szCs w:val="24"/>
        </w:rPr>
        <w:t>Definition and identification of the relevant basic elements; this should include the relevant mandatory standards determined in accordance with Chapter I of Title VI of Regulation (EU) No 1306/2013 of the European Parliament and of the Council, relevant criteria and minimum activities determined in accordance with points (c)(ii) and (c)(iii) of the first paragraph of Article 4 of Regulation (EU) No 1307/2013 of the European Parliament and of the Council, relevant minimum requirements for the use of organic fertilisers and plant protection products and relevant mandatory requirements determined by national law</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 xml:space="preserve">Described in the chapter </w:t>
            </w:r>
            <w:r w:rsidRPr="005C3B55">
              <w:rPr>
                <w:i/>
                <w:szCs w:val="24"/>
              </w:rPr>
              <w:t>Agri-environment-climate commitments</w:t>
            </w:r>
            <w:r w:rsidRPr="005C3B55">
              <w:rPr>
                <w:szCs w:val="24"/>
              </w:rPr>
              <w:t>.</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 xml:space="preserve">Minimum requirements for fertilisers must include, inter alia, the Codes of Good Practice introduced under Directive 91/676/EEC for farms outside Nitrate Vulnerable Zones, and requirements concerning phosphorous pollution; minimum requirements for plant protection products use must include, </w:t>
      </w:r>
      <w:r w:rsidRPr="005C3B55">
        <w:rPr>
          <w:i/>
          <w:szCs w:val="24"/>
        </w:rPr>
        <w:t>inter alia</w:t>
      </w:r>
      <w:r w:rsidRPr="005C3B55">
        <w:rPr>
          <w:szCs w:val="24"/>
        </w:rPr>
        <w:t>, general principles for integrated pest management introduced with Directive 2009/128/EC, requirements to have a licence to use the products and meet training obligations, requirements on safe storage, the checking of application machinery and rules on pesticide use close to water and other sensitive sites, as established by national legislation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 xml:space="preserve">Described in the chapter </w:t>
            </w:r>
            <w:r w:rsidRPr="005C3B55">
              <w:rPr>
                <w:i/>
                <w:szCs w:val="24"/>
              </w:rPr>
              <w:t>Agri-environment-climate commitments</w:t>
            </w:r>
            <w:r w:rsidRPr="005C3B55">
              <w:rPr>
                <w:szCs w:val="24"/>
              </w:rPr>
              <w:t>.</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List of local breeds in danger of being lost to farming and for plant genetic resources under threat of genetic erosion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As per the fourth paragraph of Article 7 of the Commission Delegated Regulation (EU) No 807/2014, the list of plant genetic resources under threat of genetic erosion has been confirmed by the relevant authorities.</w:t>
            </w:r>
          </w:p>
          <w:p w:rsidR="00F555D6" w:rsidRPr="005C3B55" w:rsidRDefault="00F555D6" w:rsidP="00F555D6">
            <w:pPr>
              <w:pStyle w:val="Telobesedila"/>
              <w:rPr>
                <w:szCs w:val="24"/>
              </w:rPr>
            </w:pPr>
          </w:p>
          <w:p w:rsidR="00F555D6" w:rsidRPr="005C3B55" w:rsidRDefault="0012246E" w:rsidP="00F555D6">
            <w:pPr>
              <w:pStyle w:val="Telobesedila3"/>
              <w:jc w:val="left"/>
              <w:rPr>
                <w:szCs w:val="24"/>
              </w:rPr>
            </w:pPr>
            <w:r w:rsidRPr="005C3B55">
              <w:rPr>
                <w:noProof/>
                <w:szCs w:val="24"/>
                <w:lang w:val="sl-SI"/>
              </w:rPr>
              <w:drawing>
                <wp:inline distT="0" distB="0" distL="0" distR="0">
                  <wp:extent cx="6562725" cy="4105275"/>
                  <wp:effectExtent l="0" t="0" r="9525"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562725" cy="4105275"/>
                          </a:xfrm>
                          <a:prstGeom prst="rect">
                            <a:avLst/>
                          </a:prstGeom>
                          <a:noFill/>
                          <a:ln>
                            <a:noFill/>
                          </a:ln>
                        </pic:spPr>
                      </pic:pic>
                    </a:graphicData>
                  </a:graphic>
                </wp:inline>
              </w:drawing>
            </w:r>
          </w:p>
          <w:p w:rsidR="00F555D6" w:rsidRPr="005C3B55" w:rsidRDefault="00F555D6" w:rsidP="00F555D6">
            <w:pPr>
              <w:pStyle w:val="Noga"/>
              <w:jc w:val="center"/>
              <w:rPr>
                <w:szCs w:val="24"/>
              </w:rPr>
            </w:pPr>
            <w:r w:rsidRPr="005C3B55">
              <w:rPr>
                <w:szCs w:val="24"/>
              </w:rPr>
              <w:t>List of plant genetic resources under threat of genetic erosion (1)</w:t>
            </w:r>
          </w:p>
          <w:p w:rsidR="00F555D6" w:rsidRPr="005C3B55" w:rsidRDefault="0012246E" w:rsidP="00F555D6">
            <w:pPr>
              <w:pStyle w:val="Noga"/>
              <w:rPr>
                <w:szCs w:val="24"/>
              </w:rPr>
            </w:pPr>
            <w:r w:rsidRPr="005C3B55">
              <w:rPr>
                <w:noProof/>
                <w:szCs w:val="24"/>
                <w:lang w:val="sl-SI"/>
              </w:rPr>
              <w:drawing>
                <wp:inline distT="0" distB="0" distL="0" distR="0">
                  <wp:extent cx="6562725" cy="4105275"/>
                  <wp:effectExtent l="0" t="0" r="952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562725" cy="4105275"/>
                          </a:xfrm>
                          <a:prstGeom prst="rect">
                            <a:avLst/>
                          </a:prstGeom>
                          <a:noFill/>
                          <a:ln>
                            <a:noFill/>
                          </a:ln>
                        </pic:spPr>
                      </pic:pic>
                    </a:graphicData>
                  </a:graphic>
                </wp:inline>
              </w:drawing>
            </w:r>
          </w:p>
          <w:p w:rsidR="00F555D6" w:rsidRPr="005C3B55" w:rsidRDefault="00F555D6" w:rsidP="00F555D6">
            <w:pPr>
              <w:pStyle w:val="Noga"/>
              <w:jc w:val="center"/>
              <w:rPr>
                <w:szCs w:val="24"/>
              </w:rPr>
            </w:pPr>
            <w:r w:rsidRPr="005C3B55">
              <w:rPr>
                <w:szCs w:val="24"/>
              </w:rPr>
              <w:t>List of plant genetic resources under threat of genetic erosion (2)</w:t>
            </w:r>
          </w:p>
          <w:p w:rsidR="00F555D6" w:rsidRPr="005C3B55" w:rsidRDefault="0012246E" w:rsidP="00F555D6">
            <w:pPr>
              <w:pStyle w:val="Noga"/>
              <w:rPr>
                <w:szCs w:val="24"/>
              </w:rPr>
            </w:pPr>
            <w:r w:rsidRPr="005C3B55">
              <w:rPr>
                <w:noProof/>
                <w:szCs w:val="24"/>
                <w:lang w:val="sl-SI"/>
              </w:rPr>
              <w:drawing>
                <wp:inline distT="0" distB="0" distL="0" distR="0">
                  <wp:extent cx="6562725" cy="4105275"/>
                  <wp:effectExtent l="0" t="0" r="9525"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562725" cy="4105275"/>
                          </a:xfrm>
                          <a:prstGeom prst="rect">
                            <a:avLst/>
                          </a:prstGeom>
                          <a:noFill/>
                          <a:ln>
                            <a:noFill/>
                          </a:ln>
                        </pic:spPr>
                      </pic:pic>
                    </a:graphicData>
                  </a:graphic>
                </wp:inline>
              </w:drawing>
            </w:r>
          </w:p>
          <w:p w:rsidR="00F555D6" w:rsidRPr="005C3B55" w:rsidRDefault="00F555D6" w:rsidP="00F555D6">
            <w:pPr>
              <w:pStyle w:val="Noga"/>
              <w:jc w:val="center"/>
              <w:rPr>
                <w:szCs w:val="24"/>
              </w:rPr>
            </w:pPr>
            <w:r w:rsidRPr="005C3B55">
              <w:rPr>
                <w:szCs w:val="24"/>
              </w:rPr>
              <w:t>Institutions responsible for confirming the list of plant genetic resources under threat of genetic erosion</w:t>
            </w:r>
          </w:p>
          <w:p w:rsidR="00F555D6" w:rsidRPr="005C3B55" w:rsidRDefault="00F555D6" w:rsidP="00F555D6">
            <w:pPr>
              <w:pStyle w:val="Noga"/>
              <w:jc w:val="center"/>
              <w:rPr>
                <w:szCs w:val="24"/>
              </w:rPr>
            </w:pPr>
          </w:p>
        </w:tc>
      </w:tr>
    </w:tbl>
    <w:p w:rsidR="00F555D6" w:rsidRPr="005C3B55" w:rsidRDefault="00F555D6" w:rsidP="00F555D6">
      <w:pPr>
        <w:spacing w:line="280" w:lineRule="auto"/>
        <w:rPr>
          <w:szCs w:val="24"/>
        </w:rPr>
      </w:pPr>
    </w:p>
    <w:p w:rsidR="00F555D6" w:rsidRPr="005C3B55" w:rsidRDefault="00F555D6" w:rsidP="00F555D6">
      <w:r w:rsidRPr="005C3B55">
        <w:t>Varieties of agricultural plants in danger of being lost to farming (2)</w:t>
      </w:r>
    </w:p>
    <w:p w:rsidR="00F555D6" w:rsidRPr="005C3B55" w:rsidRDefault="00F555D6" w:rsidP="00F555D6">
      <w:pPr>
        <w:pStyle w:val="ListParagraph"/>
        <w:numPr>
          <w:ilvl w:val="0"/>
          <w:numId w:val="888"/>
        </w:numPr>
        <w:spacing w:before="0" w:after="200" w:line="276" w:lineRule="auto"/>
        <w:ind w:left="426" w:hanging="426"/>
        <w:jc w:val="left"/>
      </w:pPr>
      <w:r w:rsidRPr="005C3B55">
        <w:t>potato:</w:t>
      </w:r>
    </w:p>
    <w:p w:rsidR="00F555D6" w:rsidRPr="005C3B55" w:rsidRDefault="00F555D6" w:rsidP="00F555D6">
      <w:pPr>
        <w:pStyle w:val="ListParagraph"/>
        <w:numPr>
          <w:ilvl w:val="0"/>
          <w:numId w:val="891"/>
        </w:numPr>
        <w:spacing w:before="0" w:after="200" w:line="276" w:lineRule="auto"/>
        <w:ind w:left="851" w:hanging="425"/>
        <w:jc w:val="left"/>
      </w:pPr>
      <w:r w:rsidRPr="005C3B55">
        <w:t>‘Bistra’, ‘Cvetnik’, ‘Jana’, ‘Kresnik’, ‘Vesna’;</w:t>
      </w:r>
    </w:p>
    <w:p w:rsidR="00F555D6" w:rsidRPr="005C3B55" w:rsidRDefault="00F555D6" w:rsidP="00F555D6">
      <w:pPr>
        <w:pStyle w:val="ListParagraph"/>
        <w:numPr>
          <w:ilvl w:val="0"/>
          <w:numId w:val="888"/>
        </w:numPr>
        <w:spacing w:before="0" w:after="200" w:line="276" w:lineRule="auto"/>
        <w:ind w:left="426" w:hanging="426"/>
        <w:jc w:val="left"/>
      </w:pPr>
      <w:r w:rsidRPr="005C3B55">
        <w:t>oil plants:</w:t>
      </w:r>
    </w:p>
    <w:p w:rsidR="00F555D6" w:rsidRPr="005C3B55" w:rsidRDefault="00F555D6" w:rsidP="00F555D6">
      <w:pPr>
        <w:pStyle w:val="ListParagraph"/>
        <w:numPr>
          <w:ilvl w:val="0"/>
          <w:numId w:val="889"/>
        </w:numPr>
        <w:spacing w:before="0" w:after="200" w:line="276" w:lineRule="auto"/>
        <w:ind w:left="851" w:hanging="425"/>
        <w:jc w:val="left"/>
      </w:pPr>
      <w:r w:rsidRPr="005C3B55">
        <w:t>flax: ‘Belokrajinski’, ‘Primorski’,</w:t>
      </w:r>
    </w:p>
    <w:p w:rsidR="00F555D6" w:rsidRPr="005C3B55" w:rsidRDefault="00F555D6" w:rsidP="00F555D6">
      <w:pPr>
        <w:pStyle w:val="ListParagraph"/>
        <w:numPr>
          <w:ilvl w:val="0"/>
          <w:numId w:val="889"/>
        </w:numPr>
        <w:spacing w:before="0" w:after="200" w:line="276" w:lineRule="auto"/>
        <w:ind w:left="851" w:hanging="425"/>
        <w:jc w:val="left"/>
      </w:pPr>
      <w:r w:rsidRPr="005C3B55">
        <w:t>oilseed pumpkin: ‘Slovenska golica’,</w:t>
      </w:r>
    </w:p>
    <w:p w:rsidR="00F555D6" w:rsidRPr="005C3B55" w:rsidRDefault="00F555D6" w:rsidP="00F555D6">
      <w:pPr>
        <w:pStyle w:val="ListParagraph"/>
        <w:numPr>
          <w:ilvl w:val="0"/>
          <w:numId w:val="889"/>
        </w:numPr>
        <w:spacing w:before="0" w:after="200" w:line="276" w:lineRule="auto"/>
        <w:ind w:left="851" w:hanging="425"/>
        <w:jc w:val="left"/>
      </w:pPr>
      <w:r w:rsidRPr="005C3B55">
        <w:t>false flax: ‘from Koroška’;</w:t>
      </w:r>
    </w:p>
    <w:p w:rsidR="00F555D6" w:rsidRPr="005C3B55" w:rsidRDefault="00F555D6" w:rsidP="00F555D6">
      <w:pPr>
        <w:pStyle w:val="ListParagraph"/>
        <w:numPr>
          <w:ilvl w:val="0"/>
          <w:numId w:val="888"/>
        </w:numPr>
        <w:spacing w:before="0" w:after="200" w:line="276" w:lineRule="auto"/>
        <w:ind w:left="426" w:hanging="426"/>
        <w:jc w:val="left"/>
      </w:pPr>
      <w:r w:rsidRPr="005C3B55">
        <w:t>hops:</w:t>
      </w:r>
    </w:p>
    <w:p w:rsidR="00F555D6" w:rsidRPr="005C3B55" w:rsidRDefault="00F555D6" w:rsidP="00F555D6">
      <w:pPr>
        <w:pStyle w:val="ListParagraph"/>
        <w:numPr>
          <w:ilvl w:val="0"/>
          <w:numId w:val="892"/>
        </w:numPr>
        <w:spacing w:before="0" w:after="200" w:line="276" w:lineRule="auto"/>
        <w:ind w:left="851" w:hanging="425"/>
        <w:jc w:val="left"/>
      </w:pPr>
      <w:r w:rsidRPr="005C3B55">
        <w:t>‘Atlas’, ‘Bobek’, ‘Cerera’, ‘Styrian golding’;</w:t>
      </w:r>
    </w:p>
    <w:p w:rsidR="00F555D6" w:rsidRPr="005C3B55" w:rsidRDefault="00F555D6" w:rsidP="00F555D6">
      <w:pPr>
        <w:pStyle w:val="ListParagraph"/>
        <w:numPr>
          <w:ilvl w:val="0"/>
          <w:numId w:val="888"/>
        </w:numPr>
        <w:spacing w:before="0" w:after="200" w:line="276" w:lineRule="auto"/>
        <w:ind w:left="426" w:hanging="426"/>
        <w:jc w:val="left"/>
      </w:pPr>
      <w:r w:rsidRPr="005C3B55">
        <w:t>fruit plants:</w:t>
      </w:r>
    </w:p>
    <w:p w:rsidR="00F555D6" w:rsidRPr="005C3B55" w:rsidRDefault="00F555D6" w:rsidP="00F555D6">
      <w:pPr>
        <w:pStyle w:val="ListParagraph"/>
        <w:numPr>
          <w:ilvl w:val="0"/>
          <w:numId w:val="890"/>
        </w:numPr>
        <w:spacing w:before="0" w:after="200" w:line="276" w:lineRule="auto"/>
        <w:ind w:left="851" w:hanging="425"/>
        <w:jc w:val="left"/>
        <w:rPr>
          <w:b/>
        </w:rPr>
      </w:pPr>
      <w:r w:rsidRPr="005C3B55">
        <w:t xml:space="preserve">apple tree: ‘Ananas Reinette’, ‘Bartolenka’, ‘Baumans Renette’, ‘White Winter Calville’, White Transparent’, ‘Bobovec’, ‘Boiken apple’, ‘Belle de Boskoop’, ‘Crown Prince Rudolph’, ‘The Queen’, ‘Citronka’, ‘Reinette de Damason’, ‘Dolenjska voščenka’, ‘Gloria mundi’, ‘Gorenjska voščenka’, ‘Goriška sevka’, ‘Gravenstein’, ‘Herberts Renette’, ‘Jakob Lebel’, ‘Jonathan’, ‘Canada Renette’, </w:t>
      </w:r>
      <w:r w:rsidRPr="005C3B55">
        <w:rPr>
          <w:b/>
        </w:rPr>
        <w:t>‘</w:t>
      </w:r>
      <w:r w:rsidRPr="005C3B55">
        <w:rPr>
          <w:rStyle w:val="Poudarek"/>
          <w:b w:val="0"/>
          <w:color w:val="222222"/>
        </w:rPr>
        <w:t>Kasseler Renette’, ‘Klanferca’, ‘Coxs Orange Pippin’, ‘Reinischer Krummstiel’, ‘Yellow Bellflower’, ‘London Pippin’, ‘Lonjon’, ‘Majda’, ‘Mariborka’, ‘Ontario’, ‘Steirische Schafnase’, ‘Kardinal’, ‘Pohorka’, ‘Prinčevo jabolko’,  ‘Priol´s Delicious’, ‘Rdeča škrbotavka’, ‘Early Red Calville of Hogg’, ‘Red Astrachan’, ‘Red Delicious’, ‘</w:t>
      </w:r>
      <w:r w:rsidRPr="005C3B55">
        <w:t>Winter Red Calville’, ‘Rote Schafnase’, ‘Rožnik’, ‘Reinette de Champagne’, ‘Špička’, ‘Štajerski mošancelj’, ‘Štajerski pogačar’, ‘Zeleni štetinec’, ‘King of the Pippins’, ‘Zuccalmaglios Renette’, ‘Api Etoile’, ‘Glockenapfel’,</w:t>
      </w:r>
    </w:p>
    <w:p w:rsidR="00F555D6" w:rsidRPr="005C3B55" w:rsidRDefault="00F555D6" w:rsidP="00F555D6">
      <w:pPr>
        <w:pStyle w:val="ListParagraph"/>
        <w:numPr>
          <w:ilvl w:val="0"/>
          <w:numId w:val="890"/>
        </w:numPr>
        <w:spacing w:before="0" w:after="200" w:line="276" w:lineRule="auto"/>
        <w:ind w:left="851" w:hanging="425"/>
        <w:jc w:val="left"/>
        <w:rPr>
          <w:szCs w:val="24"/>
        </w:rPr>
      </w:pPr>
      <w:r w:rsidRPr="005C3B55">
        <w:t>pear: ‘</w:t>
      </w:r>
      <w:r w:rsidRPr="005C3B55">
        <w:rPr>
          <w:szCs w:val="24"/>
        </w:rPr>
        <w:t>Bonne Luise d'Avranches’, ‘Bella di Giugno’, ‘Aleksandre Lucas’, Rjavka’,</w:t>
      </w:r>
    </w:p>
    <w:p w:rsidR="00F555D6" w:rsidRPr="005C3B55" w:rsidRDefault="00F555D6" w:rsidP="00F555D6">
      <w:pPr>
        <w:pStyle w:val="ListParagraph"/>
        <w:numPr>
          <w:ilvl w:val="0"/>
          <w:numId w:val="890"/>
        </w:numPr>
        <w:spacing w:before="0" w:after="200" w:line="276" w:lineRule="auto"/>
        <w:ind w:left="851" w:hanging="425"/>
        <w:jc w:val="left"/>
        <w:rPr>
          <w:szCs w:val="24"/>
        </w:rPr>
      </w:pPr>
      <w:r w:rsidRPr="005C3B55">
        <w:rPr>
          <w:szCs w:val="24"/>
        </w:rPr>
        <w:t>prune: ‘Cacaks Frühe’, ‘German Prune’, ‘Ersinger Frühzwetsche’,</w:t>
      </w:r>
    </w:p>
    <w:p w:rsidR="00F555D6" w:rsidRPr="005C3B55" w:rsidRDefault="00F555D6" w:rsidP="00F555D6">
      <w:pPr>
        <w:pStyle w:val="ListParagraph"/>
        <w:numPr>
          <w:ilvl w:val="0"/>
          <w:numId w:val="890"/>
        </w:numPr>
        <w:spacing w:before="0" w:after="200" w:line="276" w:lineRule="auto"/>
        <w:ind w:left="851" w:hanging="425"/>
        <w:jc w:val="left"/>
      </w:pPr>
      <w:r w:rsidRPr="005C3B55">
        <w:t>cherry: ‘Brusniška hrustavka’, ‘Francoska’, ‘Napoleon’, ‘Petrova’, ‘Tarčentka’, ‘Vigred’, ‘Vipavka’, ‘Lion Heart’,</w:t>
      </w:r>
    </w:p>
    <w:p w:rsidR="00F555D6" w:rsidRPr="005C3B55" w:rsidRDefault="00F555D6" w:rsidP="00F555D6">
      <w:pPr>
        <w:pStyle w:val="ListParagraph"/>
        <w:numPr>
          <w:ilvl w:val="0"/>
          <w:numId w:val="890"/>
        </w:numPr>
        <w:spacing w:before="0" w:after="200" w:line="276" w:lineRule="auto"/>
        <w:ind w:left="851" w:hanging="425"/>
        <w:jc w:val="left"/>
      </w:pPr>
      <w:r w:rsidRPr="005C3B55">
        <w:t>sour cherry: ‘Double Gorsem Kriek’, ‘English Morello’, ‘Šumadinka’,</w:t>
      </w:r>
    </w:p>
    <w:p w:rsidR="00F555D6" w:rsidRPr="005C3B55" w:rsidRDefault="00F555D6" w:rsidP="00F555D6">
      <w:pPr>
        <w:pStyle w:val="ListParagraph"/>
        <w:numPr>
          <w:ilvl w:val="0"/>
          <w:numId w:val="890"/>
        </w:numPr>
        <w:spacing w:before="0" w:after="200" w:line="276" w:lineRule="auto"/>
        <w:ind w:left="851" w:hanging="425"/>
        <w:jc w:val="left"/>
      </w:pPr>
      <w:r w:rsidRPr="005C3B55">
        <w:t xml:space="preserve">peach: ‘Norman’, ‘Veteran’, </w:t>
      </w:r>
    </w:p>
    <w:p w:rsidR="00F555D6" w:rsidRPr="005C3B55" w:rsidRDefault="00F555D6" w:rsidP="00F555D6">
      <w:pPr>
        <w:pStyle w:val="ListParagraph"/>
        <w:numPr>
          <w:ilvl w:val="0"/>
          <w:numId w:val="890"/>
        </w:numPr>
        <w:spacing w:before="0" w:after="200" w:line="276" w:lineRule="auto"/>
        <w:ind w:left="851" w:hanging="425"/>
        <w:jc w:val="left"/>
      </w:pPr>
      <w:r w:rsidRPr="005C3B55">
        <w:t>apricot: ‘Hungarian best’, ‘Debeli flokar’, ‘Budanjska’, ‘Pišeška’,</w:t>
      </w:r>
    </w:p>
    <w:p w:rsidR="00F555D6" w:rsidRPr="005C3B55" w:rsidRDefault="00F555D6" w:rsidP="00F555D6">
      <w:pPr>
        <w:pStyle w:val="ListParagraph"/>
        <w:numPr>
          <w:ilvl w:val="0"/>
          <w:numId w:val="890"/>
        </w:numPr>
        <w:spacing w:before="0" w:after="200" w:line="276" w:lineRule="auto"/>
        <w:ind w:left="851" w:hanging="425"/>
        <w:jc w:val="left"/>
      </w:pPr>
      <w:r w:rsidRPr="005C3B55">
        <w:t>walnut: ‘Elit’, ‘Haloze’, MB-24’, Petovio’, ‘Rače’,</w:t>
      </w:r>
    </w:p>
    <w:p w:rsidR="00F555D6" w:rsidRPr="005C3B55" w:rsidRDefault="00F555D6" w:rsidP="00F555D6">
      <w:pPr>
        <w:pStyle w:val="ListParagraph"/>
        <w:numPr>
          <w:ilvl w:val="0"/>
          <w:numId w:val="890"/>
        </w:numPr>
        <w:spacing w:before="0" w:after="200" w:line="276" w:lineRule="auto"/>
        <w:ind w:left="851" w:hanging="425"/>
        <w:jc w:val="left"/>
      </w:pPr>
      <w:r w:rsidRPr="005C3B55">
        <w:t>hazel: ‘Istrski dolgi’, ‘Istraski okrogli’,</w:t>
      </w:r>
    </w:p>
    <w:p w:rsidR="00F555D6" w:rsidRPr="005C3B55" w:rsidRDefault="00F555D6" w:rsidP="00F555D6">
      <w:pPr>
        <w:pStyle w:val="ListParagraph"/>
        <w:numPr>
          <w:ilvl w:val="0"/>
          <w:numId w:val="890"/>
        </w:numPr>
        <w:spacing w:before="0" w:after="200" w:line="276" w:lineRule="auto"/>
        <w:ind w:left="851" w:hanging="425"/>
        <w:jc w:val="left"/>
      </w:pPr>
      <w:r w:rsidRPr="005C3B55">
        <w:t>olive tree: ‘Buga’, ‘Črnica’, ‘Mata’, ‘Štorta’,</w:t>
      </w:r>
    </w:p>
    <w:p w:rsidR="00F555D6" w:rsidRPr="005C3B55" w:rsidRDefault="00F555D6" w:rsidP="00F555D6">
      <w:pPr>
        <w:pStyle w:val="ListParagraph"/>
        <w:numPr>
          <w:ilvl w:val="0"/>
          <w:numId w:val="890"/>
        </w:numPr>
        <w:spacing w:before="0" w:after="200" w:line="276" w:lineRule="auto"/>
        <w:ind w:left="851" w:hanging="425"/>
        <w:jc w:val="left"/>
      </w:pPr>
      <w:r w:rsidRPr="005C3B55">
        <w:t>fig: ‘Bela petrovka’, ‘Flazana’, ‘Laščica’, ‘Miljska’, ‘Pinčica’, ‘Sivka’, ‘Zelenka’,</w:t>
      </w:r>
    </w:p>
    <w:p w:rsidR="00F555D6" w:rsidRPr="005C3B55" w:rsidRDefault="00F555D6" w:rsidP="00F555D6">
      <w:pPr>
        <w:pStyle w:val="ListParagraph"/>
        <w:numPr>
          <w:ilvl w:val="0"/>
          <w:numId w:val="888"/>
        </w:numPr>
        <w:spacing w:before="0" w:after="200" w:line="276" w:lineRule="auto"/>
        <w:ind w:left="426" w:hanging="426"/>
        <w:jc w:val="left"/>
      </w:pPr>
      <w:r w:rsidRPr="005C3B55">
        <w:t>grapevine: ‘Cipro’, ‘Klarnica’, ‘Kraljevina’, ‘Maločrn’, ‘Pergolin’, ‘Pikoli’, ‘Pinela, ‘Poljšakica’, ‘Ranfol’, ‘Ranina’, ‘Rumeni plavec’, ‘St. Laurent’, ‘Vitovska grganja’ , ‘Zelen’.</w:t>
      </w:r>
    </w:p>
    <w:p w:rsidR="00F555D6" w:rsidRPr="005C3B55" w:rsidRDefault="00F555D6" w:rsidP="00F555D6">
      <w:pPr>
        <w:rPr>
          <w:b/>
        </w:rPr>
      </w:pPr>
    </w:p>
    <w:p w:rsidR="00F555D6" w:rsidRPr="005C3B55" w:rsidRDefault="00F555D6" w:rsidP="00F555D6">
      <w:r w:rsidRPr="005C3B55">
        <w:t>Varieties of agricultural plants in danger of being lost to farming (1)</w:t>
      </w:r>
    </w:p>
    <w:p w:rsidR="00F555D6" w:rsidRPr="005C3B55" w:rsidRDefault="00F555D6" w:rsidP="00F555D6">
      <w:pPr>
        <w:pStyle w:val="ListParagraph"/>
        <w:numPr>
          <w:ilvl w:val="0"/>
          <w:numId w:val="888"/>
        </w:numPr>
        <w:spacing w:before="0" w:after="200" w:line="276" w:lineRule="auto"/>
        <w:ind w:left="426" w:hanging="426"/>
        <w:jc w:val="left"/>
      </w:pPr>
      <w:r w:rsidRPr="005C3B55">
        <w:t>cereals:</w:t>
      </w:r>
    </w:p>
    <w:p w:rsidR="00F555D6" w:rsidRPr="005C3B55" w:rsidRDefault="00F555D6" w:rsidP="00F555D6">
      <w:pPr>
        <w:pStyle w:val="ListParagraph"/>
        <w:numPr>
          <w:ilvl w:val="0"/>
          <w:numId w:val="891"/>
        </w:numPr>
        <w:spacing w:before="0" w:after="200" w:line="276" w:lineRule="auto"/>
        <w:ind w:left="851" w:hanging="425"/>
        <w:jc w:val="left"/>
      </w:pPr>
      <w:r w:rsidRPr="005C3B55">
        <w:t>buckwheat: ‘Čebelica’, ‘Črna gorenjska’, ‘Darja’, ‘Darina’,</w:t>
      </w:r>
    </w:p>
    <w:p w:rsidR="00F555D6" w:rsidRPr="005C3B55" w:rsidRDefault="00F555D6" w:rsidP="00F555D6">
      <w:pPr>
        <w:pStyle w:val="ListParagraph"/>
        <w:numPr>
          <w:ilvl w:val="0"/>
          <w:numId w:val="891"/>
        </w:numPr>
        <w:spacing w:before="0" w:after="200" w:line="276" w:lineRule="auto"/>
        <w:ind w:left="851" w:hanging="425"/>
        <w:jc w:val="left"/>
      </w:pPr>
      <w:r w:rsidRPr="005C3B55">
        <w:t>common wheat: ‘Domača frankolovska’, ‘Gorolka’, ‘Marinka’, Primorka’, ‘Reska’, ‘Štajerska pšenica’,</w:t>
      </w:r>
    </w:p>
    <w:p w:rsidR="00F555D6" w:rsidRPr="005C3B55" w:rsidRDefault="00F555D6" w:rsidP="00F555D6">
      <w:pPr>
        <w:pStyle w:val="ListParagraph"/>
        <w:numPr>
          <w:ilvl w:val="0"/>
          <w:numId w:val="891"/>
        </w:numPr>
        <w:spacing w:before="0" w:after="200" w:line="276" w:lineRule="auto"/>
        <w:ind w:left="851" w:hanging="425"/>
        <w:jc w:val="left"/>
      </w:pPr>
      <w:r w:rsidRPr="005C3B55">
        <w:t>barley: ‘Gorenjski ječmen’*</w:t>
      </w:r>
    </w:p>
    <w:p w:rsidR="00F555D6" w:rsidRPr="005C3B55" w:rsidRDefault="00F555D6" w:rsidP="00F555D6">
      <w:pPr>
        <w:pStyle w:val="ListParagraph"/>
        <w:numPr>
          <w:ilvl w:val="0"/>
          <w:numId w:val="891"/>
        </w:numPr>
        <w:spacing w:before="0" w:after="200" w:line="276" w:lineRule="auto"/>
        <w:ind w:left="851" w:hanging="425"/>
        <w:jc w:val="left"/>
      </w:pPr>
      <w:r w:rsidRPr="005C3B55">
        <w:t>oats: ‘Dolenjski oves’, ‘HorGiz’,</w:t>
      </w:r>
    </w:p>
    <w:p w:rsidR="00F555D6" w:rsidRPr="005C3B55" w:rsidRDefault="00F555D6" w:rsidP="00F555D6">
      <w:pPr>
        <w:pStyle w:val="ListParagraph"/>
        <w:numPr>
          <w:ilvl w:val="0"/>
          <w:numId w:val="891"/>
        </w:numPr>
        <w:spacing w:before="0" w:after="200" w:line="276" w:lineRule="auto"/>
        <w:ind w:left="851" w:hanging="425"/>
        <w:jc w:val="left"/>
      </w:pPr>
      <w:r w:rsidRPr="005C3B55">
        <w:t>millet: ‘Sonček’, ‘Goričko proso’;</w:t>
      </w:r>
    </w:p>
    <w:p w:rsidR="00F555D6" w:rsidRPr="005C3B55" w:rsidRDefault="00F555D6" w:rsidP="00F555D6">
      <w:pPr>
        <w:pStyle w:val="ListParagraph"/>
        <w:numPr>
          <w:ilvl w:val="0"/>
          <w:numId w:val="888"/>
        </w:numPr>
        <w:spacing w:before="0" w:after="200" w:line="276" w:lineRule="auto"/>
        <w:ind w:left="426" w:hanging="426"/>
        <w:jc w:val="left"/>
      </w:pPr>
      <w:r w:rsidRPr="005C3B55">
        <w:t>corn:</w:t>
      </w:r>
    </w:p>
    <w:p w:rsidR="00F555D6" w:rsidRPr="005C3B55" w:rsidRDefault="00F555D6" w:rsidP="00F555D6">
      <w:pPr>
        <w:pStyle w:val="ListParagraph"/>
        <w:numPr>
          <w:ilvl w:val="0"/>
          <w:numId w:val="891"/>
        </w:numPr>
        <w:spacing w:before="0" w:after="200" w:line="276" w:lineRule="auto"/>
        <w:ind w:left="851" w:hanging="425"/>
        <w:jc w:val="left"/>
      </w:pPr>
      <w:r w:rsidRPr="005C3B55">
        <w:t>‘Lj-180’, ‘Lj-275t’, ‘Belokranjska trdinka’, ‘</w:t>
      </w:r>
      <w:r w:rsidRPr="005C3B55">
        <w:rPr>
          <w:color w:val="000000"/>
        </w:rPr>
        <w:t>Metliška rdeča’, ‘Prekmurska dolga’, ‘Rdeča bohinjka’, ‘Rumena bohinjka’, ‘Štajerska bela’;</w:t>
      </w:r>
    </w:p>
    <w:p w:rsidR="00F555D6" w:rsidRPr="005C3B55" w:rsidRDefault="00F555D6" w:rsidP="00F555D6">
      <w:pPr>
        <w:pStyle w:val="ListParagraph"/>
        <w:numPr>
          <w:ilvl w:val="0"/>
          <w:numId w:val="888"/>
        </w:numPr>
        <w:spacing w:before="0" w:after="200" w:line="276" w:lineRule="auto"/>
        <w:ind w:left="426" w:hanging="426"/>
        <w:jc w:val="left"/>
      </w:pPr>
      <w:r w:rsidRPr="005C3B55">
        <w:t>forage plants:</w:t>
      </w:r>
    </w:p>
    <w:p w:rsidR="00F555D6" w:rsidRPr="005C3B55" w:rsidRDefault="00F555D6" w:rsidP="00F555D6">
      <w:pPr>
        <w:pStyle w:val="ListParagraph"/>
        <w:numPr>
          <w:ilvl w:val="0"/>
          <w:numId w:val="891"/>
        </w:numPr>
        <w:spacing w:before="0" w:after="200" w:line="276" w:lineRule="auto"/>
        <w:ind w:left="851" w:hanging="425"/>
        <w:jc w:val="left"/>
      </w:pPr>
      <w:r w:rsidRPr="005C3B55">
        <w:t>meadow fescue: ‘Jabeljska’,</w:t>
      </w:r>
    </w:p>
    <w:p w:rsidR="00F555D6" w:rsidRPr="005C3B55" w:rsidRDefault="00F555D6" w:rsidP="00F555D6">
      <w:pPr>
        <w:pStyle w:val="ListParagraph"/>
        <w:numPr>
          <w:ilvl w:val="0"/>
          <w:numId w:val="891"/>
        </w:numPr>
        <w:spacing w:before="0" w:after="200" w:line="276" w:lineRule="auto"/>
        <w:ind w:left="851" w:hanging="425"/>
        <w:jc w:val="left"/>
      </w:pPr>
      <w:r w:rsidRPr="005C3B55">
        <w:t>perennial ryegrass: ‘Ilirka’,</w:t>
      </w:r>
    </w:p>
    <w:p w:rsidR="00F555D6" w:rsidRPr="005C3B55" w:rsidRDefault="00F555D6" w:rsidP="00F555D6">
      <w:pPr>
        <w:pStyle w:val="ListParagraph"/>
        <w:numPr>
          <w:ilvl w:val="0"/>
          <w:numId w:val="891"/>
        </w:numPr>
        <w:spacing w:before="0" w:after="200" w:line="276" w:lineRule="auto"/>
        <w:ind w:left="851" w:hanging="425"/>
        <w:jc w:val="left"/>
      </w:pPr>
      <w:r w:rsidRPr="005C3B55">
        <w:t>cocksfoot grass: ‘Jabelska’, ‘Kopa’,</w:t>
      </w:r>
    </w:p>
    <w:p w:rsidR="00F555D6" w:rsidRPr="005C3B55" w:rsidRDefault="00F555D6" w:rsidP="00F555D6">
      <w:pPr>
        <w:pStyle w:val="ListParagraph"/>
        <w:numPr>
          <w:ilvl w:val="0"/>
          <w:numId w:val="891"/>
        </w:numPr>
        <w:spacing w:before="0" w:after="200" w:line="276" w:lineRule="auto"/>
        <w:ind w:left="851" w:hanging="425"/>
        <w:jc w:val="left"/>
      </w:pPr>
      <w:r w:rsidRPr="005C3B55">
        <w:t>timothy: ‘Jabelski, ‘Krim’,</w:t>
      </w:r>
    </w:p>
    <w:p w:rsidR="00F555D6" w:rsidRPr="005C3B55" w:rsidRDefault="00F555D6" w:rsidP="00F555D6">
      <w:pPr>
        <w:pStyle w:val="ListParagraph"/>
        <w:numPr>
          <w:ilvl w:val="0"/>
          <w:numId w:val="891"/>
        </w:numPr>
        <w:spacing w:before="0" w:after="200" w:line="276" w:lineRule="auto"/>
        <w:ind w:left="851" w:hanging="425"/>
        <w:jc w:val="left"/>
      </w:pPr>
      <w:r w:rsidRPr="005C3B55">
        <w:t>winter rape: ‘Daniela’, ‘Starška’,</w:t>
      </w:r>
    </w:p>
    <w:p w:rsidR="00F555D6" w:rsidRPr="005C3B55" w:rsidRDefault="00F555D6" w:rsidP="00F555D6">
      <w:pPr>
        <w:pStyle w:val="ListParagraph"/>
        <w:numPr>
          <w:ilvl w:val="0"/>
          <w:numId w:val="891"/>
        </w:numPr>
        <w:spacing w:before="0" w:after="200" w:line="276" w:lineRule="auto"/>
        <w:ind w:left="851" w:hanging="425"/>
        <w:jc w:val="left"/>
      </w:pPr>
      <w:r w:rsidRPr="005C3B55">
        <w:t>field mustard: ‘Kranjska okrogla’,</w:t>
      </w:r>
    </w:p>
    <w:p w:rsidR="00F555D6" w:rsidRPr="005C3B55" w:rsidRDefault="00F555D6" w:rsidP="00F555D6">
      <w:pPr>
        <w:pStyle w:val="ListParagraph"/>
        <w:numPr>
          <w:ilvl w:val="0"/>
          <w:numId w:val="891"/>
        </w:numPr>
        <w:spacing w:before="0" w:after="200" w:line="276" w:lineRule="auto"/>
        <w:ind w:left="851" w:hanging="425"/>
        <w:jc w:val="left"/>
      </w:pPr>
      <w:r w:rsidRPr="005C3B55">
        <w:t>turnip: ‘Rumena maslena’,</w:t>
      </w:r>
    </w:p>
    <w:p w:rsidR="00F555D6" w:rsidRPr="005C3B55" w:rsidRDefault="00F555D6" w:rsidP="00F555D6">
      <w:pPr>
        <w:pStyle w:val="ListParagraph"/>
        <w:numPr>
          <w:ilvl w:val="0"/>
          <w:numId w:val="891"/>
        </w:numPr>
        <w:spacing w:before="0" w:after="200" w:line="276" w:lineRule="auto"/>
        <w:ind w:left="851" w:hanging="425"/>
        <w:jc w:val="left"/>
      </w:pPr>
      <w:r w:rsidRPr="005C3B55">
        <w:t>red clover: ‘Poljanka’,</w:t>
      </w:r>
    </w:p>
    <w:p w:rsidR="00F555D6" w:rsidRPr="005C3B55" w:rsidRDefault="00F555D6" w:rsidP="00F555D6">
      <w:pPr>
        <w:pStyle w:val="ListParagraph"/>
        <w:numPr>
          <w:ilvl w:val="0"/>
          <w:numId w:val="891"/>
        </w:numPr>
        <w:spacing w:before="0" w:after="200" w:line="276" w:lineRule="auto"/>
        <w:ind w:left="851" w:hanging="425"/>
        <w:jc w:val="left"/>
      </w:pPr>
      <w:r w:rsidRPr="005C3B55">
        <w:t>crimson clover: ‘Inkara’,</w:t>
      </w:r>
    </w:p>
    <w:p w:rsidR="00F555D6" w:rsidRPr="005C3B55" w:rsidRDefault="00F555D6" w:rsidP="00F555D6">
      <w:pPr>
        <w:pStyle w:val="ListParagraph"/>
        <w:numPr>
          <w:ilvl w:val="0"/>
          <w:numId w:val="891"/>
        </w:numPr>
        <w:spacing w:before="0" w:after="200" w:line="276" w:lineRule="auto"/>
        <w:ind w:left="851" w:hanging="425"/>
        <w:jc w:val="left"/>
      </w:pPr>
      <w:r w:rsidRPr="005C3B55">
        <w:t>lucerne: ‘Bistra’, ‘Krima’, ‘Soča’;</w:t>
      </w:r>
    </w:p>
    <w:p w:rsidR="00F555D6" w:rsidRPr="005C3B55" w:rsidRDefault="00F555D6" w:rsidP="00F555D6">
      <w:pPr>
        <w:pStyle w:val="ListParagraph"/>
        <w:numPr>
          <w:ilvl w:val="0"/>
          <w:numId w:val="888"/>
        </w:numPr>
        <w:spacing w:before="0" w:after="200" w:line="276" w:lineRule="auto"/>
        <w:ind w:left="426" w:hanging="426"/>
        <w:jc w:val="left"/>
      </w:pPr>
      <w:r w:rsidRPr="005C3B55">
        <w:t>vegetables:</w:t>
      </w:r>
    </w:p>
    <w:p w:rsidR="00F555D6" w:rsidRPr="005C3B55" w:rsidRDefault="00F555D6" w:rsidP="00F555D6">
      <w:pPr>
        <w:pStyle w:val="ListParagraph"/>
        <w:numPr>
          <w:ilvl w:val="0"/>
          <w:numId w:val="891"/>
        </w:numPr>
        <w:spacing w:before="0" w:after="200" w:line="276" w:lineRule="auto"/>
        <w:ind w:left="851" w:hanging="425"/>
        <w:jc w:val="left"/>
      </w:pPr>
      <w:r w:rsidRPr="005C3B55">
        <w:t>onion: ‘Belokranjka’, ‘Ivica rdeča’, ‘Ptujska rdeča’, ‘Tera’,</w:t>
      </w:r>
    </w:p>
    <w:p w:rsidR="00F555D6" w:rsidRPr="005C3B55" w:rsidRDefault="00F555D6" w:rsidP="00F555D6">
      <w:pPr>
        <w:pStyle w:val="ListParagraph"/>
        <w:numPr>
          <w:ilvl w:val="0"/>
          <w:numId w:val="891"/>
        </w:numPr>
        <w:spacing w:before="0" w:after="200" w:line="276" w:lineRule="auto"/>
        <w:ind w:left="851" w:hanging="425"/>
        <w:jc w:val="left"/>
      </w:pPr>
      <w:r w:rsidRPr="005C3B55">
        <w:t>shallot: ‘Pohorka’,</w:t>
      </w:r>
    </w:p>
    <w:p w:rsidR="00F555D6" w:rsidRPr="005C3B55" w:rsidRDefault="00F555D6" w:rsidP="00F555D6">
      <w:pPr>
        <w:pStyle w:val="ListParagraph"/>
        <w:numPr>
          <w:ilvl w:val="0"/>
          <w:numId w:val="891"/>
        </w:numPr>
        <w:spacing w:before="0" w:after="200" w:line="276" w:lineRule="auto"/>
        <w:ind w:left="851" w:hanging="425"/>
        <w:jc w:val="left"/>
      </w:pPr>
      <w:r w:rsidRPr="005C3B55">
        <w:t>garlic: ‘Jesenski’, ‘Anka’, ‘Ptujski jesenski’, ‘Ptujski spomladanski’, ‘Štrigon’,</w:t>
      </w:r>
    </w:p>
    <w:p w:rsidR="00F555D6" w:rsidRPr="005C3B55" w:rsidRDefault="00F555D6" w:rsidP="00F555D6">
      <w:pPr>
        <w:pStyle w:val="ListParagraph"/>
        <w:numPr>
          <w:ilvl w:val="0"/>
          <w:numId w:val="891"/>
        </w:numPr>
        <w:spacing w:before="0" w:after="200" w:line="276" w:lineRule="auto"/>
        <w:ind w:left="851" w:hanging="425"/>
        <w:jc w:val="left"/>
      </w:pPr>
      <w:r w:rsidRPr="005C3B55">
        <w:t>leek: ‘Domači dolgi’,</w:t>
      </w:r>
    </w:p>
    <w:p w:rsidR="00F555D6" w:rsidRPr="005C3B55" w:rsidRDefault="00F555D6" w:rsidP="00F555D6">
      <w:pPr>
        <w:pStyle w:val="ListParagraph"/>
        <w:numPr>
          <w:ilvl w:val="0"/>
          <w:numId w:val="891"/>
        </w:numPr>
        <w:spacing w:before="0" w:after="200" w:line="276" w:lineRule="auto"/>
        <w:ind w:left="851" w:hanging="425"/>
        <w:jc w:val="left"/>
      </w:pPr>
      <w:r w:rsidRPr="005C3B55">
        <w:t>carrot: ‘Ljubljansko rumeno’,</w:t>
      </w:r>
    </w:p>
    <w:p w:rsidR="00F555D6" w:rsidRPr="005C3B55" w:rsidRDefault="00F555D6" w:rsidP="00F555D6">
      <w:pPr>
        <w:pStyle w:val="ListParagraph"/>
        <w:numPr>
          <w:ilvl w:val="0"/>
          <w:numId w:val="891"/>
        </w:numPr>
        <w:spacing w:before="0" w:after="200" w:line="276" w:lineRule="auto"/>
        <w:ind w:left="851" w:hanging="425"/>
        <w:jc w:val="left"/>
      </w:pPr>
      <w:r w:rsidRPr="005C3B55">
        <w:t>parsley: ‘Berliner’,</w:t>
      </w:r>
    </w:p>
    <w:p w:rsidR="00F555D6" w:rsidRPr="005C3B55" w:rsidRDefault="00F555D6" w:rsidP="00F555D6">
      <w:pPr>
        <w:pStyle w:val="ListParagraph"/>
        <w:numPr>
          <w:ilvl w:val="0"/>
          <w:numId w:val="891"/>
        </w:numPr>
        <w:spacing w:before="0" w:after="200" w:line="276" w:lineRule="auto"/>
        <w:ind w:left="851" w:hanging="425"/>
        <w:jc w:val="left"/>
      </w:pPr>
      <w:r w:rsidRPr="005C3B55">
        <w:t>white cabbage: ‘</w:t>
      </w:r>
      <w:r w:rsidRPr="005C3B55">
        <w:rPr>
          <w:color w:val="000000"/>
        </w:rPr>
        <w:t>Emona’, ‘Futoško’, ‘Kranjsko okroglo’, ‘Ljubljansko’, ‘Varaždinsko 2’, ‘Varaždinsko 3’,</w:t>
      </w:r>
    </w:p>
    <w:p w:rsidR="00F555D6" w:rsidRPr="005C3B55" w:rsidRDefault="00F555D6" w:rsidP="00F555D6">
      <w:pPr>
        <w:pStyle w:val="ListParagraph"/>
        <w:numPr>
          <w:ilvl w:val="0"/>
          <w:numId w:val="891"/>
        </w:numPr>
        <w:spacing w:before="0" w:after="200" w:line="276" w:lineRule="auto"/>
        <w:ind w:left="851" w:hanging="425"/>
        <w:jc w:val="left"/>
      </w:pPr>
      <w:r w:rsidRPr="005C3B55">
        <w:rPr>
          <w:color w:val="000000"/>
        </w:rPr>
        <w:t>chicory: ‘Anivip’, ‘Monivip’, ‘Goriški’, ‘Solkanski’, ‘Kanarček’,</w:t>
      </w:r>
    </w:p>
    <w:p w:rsidR="00F555D6" w:rsidRPr="005C3B55" w:rsidRDefault="00F555D6" w:rsidP="00F555D6">
      <w:pPr>
        <w:pStyle w:val="ListParagraph"/>
        <w:numPr>
          <w:ilvl w:val="0"/>
          <w:numId w:val="891"/>
        </w:numPr>
        <w:spacing w:before="0" w:after="200" w:line="276" w:lineRule="auto"/>
        <w:ind w:left="851" w:hanging="425"/>
        <w:jc w:val="left"/>
      </w:pPr>
      <w:r w:rsidRPr="005C3B55">
        <w:rPr>
          <w:color w:val="000000"/>
        </w:rPr>
        <w:t>lettuce: ‘Belokriška’, ‘Leda’, ‘Bistra’, ‘Dalmatinska ledenka’, ‘Iceberg’, ‘May Queen’, ‘Marija’, ‘Posavka’, ‘Vegorka’, ‘Anna’,</w:t>
      </w:r>
    </w:p>
    <w:p w:rsidR="00F555D6" w:rsidRPr="005C3B55" w:rsidRDefault="00F555D6" w:rsidP="00F555D6">
      <w:pPr>
        <w:pStyle w:val="ListParagraph"/>
        <w:numPr>
          <w:ilvl w:val="0"/>
          <w:numId w:val="891"/>
        </w:numPr>
        <w:spacing w:before="0" w:after="200" w:line="276" w:lineRule="auto"/>
        <w:ind w:left="851" w:hanging="425"/>
        <w:jc w:val="left"/>
      </w:pPr>
      <w:r w:rsidRPr="005C3B55">
        <w:rPr>
          <w:color w:val="000000"/>
        </w:rPr>
        <w:t>endive: ‘Broadleaf Batavian’,</w:t>
      </w:r>
    </w:p>
    <w:p w:rsidR="00F555D6" w:rsidRPr="005C3B55" w:rsidRDefault="00F555D6" w:rsidP="00F555D6">
      <w:pPr>
        <w:pStyle w:val="ListParagraph"/>
        <w:numPr>
          <w:ilvl w:val="0"/>
          <w:numId w:val="891"/>
        </w:numPr>
        <w:spacing w:before="0" w:after="200" w:line="276" w:lineRule="auto"/>
        <w:ind w:left="851" w:hanging="425"/>
        <w:jc w:val="left"/>
      </w:pPr>
      <w:r w:rsidRPr="005C3B55">
        <w:t>rampion: ‘Ljubljanski’, ‘Žličar’, ‘Pomladin’,</w:t>
      </w:r>
    </w:p>
    <w:p w:rsidR="00F555D6" w:rsidRPr="005C3B55" w:rsidRDefault="00F555D6" w:rsidP="00F555D6">
      <w:pPr>
        <w:pStyle w:val="ListParagraph"/>
        <w:numPr>
          <w:ilvl w:val="0"/>
          <w:numId w:val="891"/>
        </w:numPr>
        <w:spacing w:before="0" w:after="200" w:line="276" w:lineRule="auto"/>
        <w:ind w:left="851" w:hanging="425"/>
        <w:jc w:val="left"/>
      </w:pPr>
      <w:r w:rsidRPr="005C3B55">
        <w:t xml:space="preserve">climbing French bean: </w:t>
      </w:r>
      <w:r w:rsidRPr="005C3B55">
        <w:rPr>
          <w:color w:val="000000"/>
        </w:rPr>
        <w:t>‘Češnjevec pisani visoki’, ‘Jabelski pisanec’, ‘Jeruzalemski’, ‘Kifeljček justi’, ‘Klemen’, ‘Ptujski maslenec’, ‘Lišček rdeči’, ‘Lišček rdeči marmorirani’, ‘Semenarna 22’, ‘Stoletni’, ‘Cipro’,</w:t>
      </w:r>
    </w:p>
    <w:p w:rsidR="00F555D6" w:rsidRPr="005C3B55" w:rsidRDefault="00F555D6" w:rsidP="00F555D6">
      <w:pPr>
        <w:pStyle w:val="ListParagraph"/>
        <w:numPr>
          <w:ilvl w:val="0"/>
          <w:numId w:val="891"/>
        </w:numPr>
        <w:spacing w:before="0" w:after="200" w:line="276" w:lineRule="auto"/>
        <w:ind w:left="851" w:hanging="425"/>
        <w:jc w:val="left"/>
      </w:pPr>
      <w:r w:rsidRPr="005C3B55">
        <w:rPr>
          <w:color w:val="000000"/>
        </w:rPr>
        <w:t>runner bean: ‘Breginc’,</w:t>
      </w:r>
    </w:p>
    <w:p w:rsidR="00F555D6" w:rsidRPr="005C3B55" w:rsidRDefault="00F555D6" w:rsidP="00F555D6">
      <w:pPr>
        <w:pStyle w:val="ListParagraph"/>
        <w:numPr>
          <w:ilvl w:val="0"/>
          <w:numId w:val="891"/>
        </w:numPr>
        <w:spacing w:before="0" w:after="200" w:line="276" w:lineRule="auto"/>
        <w:ind w:left="851" w:hanging="425"/>
        <w:jc w:val="left"/>
      </w:pPr>
      <w:r w:rsidRPr="005C3B55">
        <w:t>bush bean: ‘Češnjevec’, ‘Prepeličar tomačevski’, ‘Ribničan’, ‘Zorin’,</w:t>
      </w:r>
    </w:p>
    <w:p w:rsidR="00F555D6" w:rsidRPr="005C3B55" w:rsidRDefault="00F555D6" w:rsidP="00F555D6">
      <w:pPr>
        <w:pStyle w:val="ListParagraph"/>
        <w:numPr>
          <w:ilvl w:val="0"/>
          <w:numId w:val="891"/>
        </w:numPr>
        <w:spacing w:before="0" w:after="200" w:line="276" w:lineRule="auto"/>
        <w:ind w:left="851" w:hanging="425"/>
        <w:jc w:val="left"/>
      </w:pPr>
      <w:r w:rsidRPr="005C3B55">
        <w:t>bean: ‘Zoran’,</w:t>
      </w:r>
    </w:p>
    <w:p w:rsidR="00F555D6" w:rsidRPr="005C3B55" w:rsidRDefault="00F555D6" w:rsidP="00F555D6">
      <w:pPr>
        <w:pStyle w:val="ListParagraph"/>
        <w:numPr>
          <w:ilvl w:val="0"/>
          <w:numId w:val="891"/>
        </w:numPr>
        <w:spacing w:before="0" w:after="200" w:line="276" w:lineRule="auto"/>
        <w:ind w:left="851" w:hanging="425"/>
        <w:jc w:val="left"/>
      </w:pPr>
      <w:r w:rsidRPr="005C3B55">
        <w:t>pepper – red pepper: ‘</w:t>
      </w:r>
      <w:r w:rsidRPr="005C3B55">
        <w:rPr>
          <w:color w:val="000000"/>
        </w:rPr>
        <w:t>Botinska rumena’, ‘Ferdi’, ‘Lana’, ‘Nataša’, ‘Sivrija’, ‘Soroksari’, ‘Vasja’,</w:t>
      </w:r>
    </w:p>
    <w:p w:rsidR="00F555D6" w:rsidRPr="005C3B55" w:rsidRDefault="00F555D6" w:rsidP="00F555D6">
      <w:pPr>
        <w:pStyle w:val="ListParagraph"/>
        <w:numPr>
          <w:ilvl w:val="0"/>
          <w:numId w:val="891"/>
        </w:numPr>
        <w:spacing w:before="0" w:after="200" w:line="276" w:lineRule="auto"/>
        <w:ind w:left="851" w:hanging="425"/>
        <w:jc w:val="left"/>
      </w:pPr>
      <w:r w:rsidRPr="005C3B55">
        <w:rPr>
          <w:color w:val="000000"/>
        </w:rPr>
        <w:t>tomato: ‘Dule’, ‘Jani pritlikav’, ‘Lila’, ‘Luka’, ‘Maribor’, ‘Meri’, ‘Milka’, ‘Novosadski jabučar’, ‘Stanko’, ‘Tomi’, ‘Val’, ‘Vesna’,</w:t>
      </w:r>
    </w:p>
    <w:p w:rsidR="00F555D6" w:rsidRPr="005C3B55" w:rsidRDefault="00F555D6" w:rsidP="00F555D6">
      <w:pPr>
        <w:pStyle w:val="ListParagraph"/>
        <w:numPr>
          <w:ilvl w:val="0"/>
          <w:numId w:val="891"/>
        </w:numPr>
        <w:spacing w:before="0" w:after="200" w:line="276" w:lineRule="auto"/>
        <w:ind w:left="851" w:hanging="425"/>
        <w:jc w:val="left"/>
      </w:pPr>
      <w:r w:rsidRPr="005C3B55">
        <w:rPr>
          <w:color w:val="000000"/>
        </w:rPr>
        <w:t>cucumber: ‘Long green’,</w:t>
      </w:r>
    </w:p>
    <w:p w:rsidR="00F555D6" w:rsidRPr="005C3B55" w:rsidRDefault="00F555D6" w:rsidP="00F555D6">
      <w:pPr>
        <w:pStyle w:val="ListParagraph"/>
        <w:numPr>
          <w:ilvl w:val="0"/>
          <w:numId w:val="891"/>
        </w:numPr>
        <w:spacing w:before="0" w:after="200" w:line="276" w:lineRule="auto"/>
        <w:ind w:left="851" w:hanging="425"/>
        <w:jc w:val="left"/>
      </w:pPr>
      <w:r w:rsidRPr="005C3B55">
        <w:rPr>
          <w:color w:val="000000"/>
        </w:rPr>
        <w:t>beetroot: ‘Bikor’,</w:t>
      </w:r>
    </w:p>
    <w:p w:rsidR="00F555D6" w:rsidRPr="005C3B55" w:rsidRDefault="00F555D6" w:rsidP="00F555D6">
      <w:pPr>
        <w:pStyle w:val="ListParagraph"/>
        <w:numPr>
          <w:ilvl w:val="0"/>
          <w:numId w:val="891"/>
        </w:numPr>
        <w:spacing w:before="0" w:after="200" w:line="276" w:lineRule="auto"/>
        <w:ind w:left="851" w:hanging="425"/>
        <w:jc w:val="left"/>
      </w:pPr>
      <w:r w:rsidRPr="005C3B55">
        <w:t>mangold – Swiss chard: ‘Large Ribbed Dark Green’.</w:t>
      </w:r>
    </w:p>
    <w:p w:rsidR="00F555D6" w:rsidRPr="005C3B55" w:rsidRDefault="00F555D6" w:rsidP="00F555D6">
      <w:pPr>
        <w:rPr>
          <w:b/>
        </w:rPr>
      </w:pPr>
    </w:p>
    <w:p w:rsidR="00F555D6" w:rsidRPr="005C3B55" w:rsidRDefault="00F555D6" w:rsidP="00F555D6">
      <w:r w:rsidRPr="005C3B55">
        <w:t>The list of plant genetic resources under threat of genetic erosion has been approved by the competent authorities, i.e.:</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606"/>
        <w:gridCol w:w="4606"/>
      </w:tblGrid>
      <w:tr w:rsidR="00F555D6" w:rsidRPr="005C3B55">
        <w:tc>
          <w:tcPr>
            <w:tcW w:w="4606"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Agricultural Institute of Slovenia</w:t>
            </w:r>
          </w:p>
          <w:p w:rsidR="00F555D6" w:rsidRPr="005C3B55" w:rsidRDefault="00F555D6" w:rsidP="00F555D6">
            <w:pPr>
              <w:spacing w:after="0"/>
            </w:pPr>
            <w:r w:rsidRPr="005C3B55">
              <w:t>Hacquetova 17</w:t>
            </w:r>
          </w:p>
          <w:p w:rsidR="00F555D6" w:rsidRPr="005C3B55" w:rsidRDefault="00F555D6" w:rsidP="00F555D6">
            <w:pPr>
              <w:spacing w:after="0"/>
            </w:pPr>
            <w:r w:rsidRPr="005C3B55">
              <w:t>1000 Ljubljana</w:t>
            </w:r>
          </w:p>
        </w:tc>
        <w:tc>
          <w:tcPr>
            <w:tcW w:w="4606"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Cereals, forage plants, vegetables, potato, oil plants</w:t>
            </w:r>
          </w:p>
        </w:tc>
      </w:tr>
      <w:tr w:rsidR="00F555D6" w:rsidRPr="005C3B55">
        <w:tc>
          <w:tcPr>
            <w:tcW w:w="4606"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University of Ljubljana</w:t>
            </w:r>
          </w:p>
          <w:p w:rsidR="00F555D6" w:rsidRPr="005C3B55" w:rsidRDefault="00F555D6" w:rsidP="00F555D6">
            <w:pPr>
              <w:spacing w:after="0"/>
            </w:pPr>
            <w:r w:rsidRPr="005C3B55">
              <w:t>Biotechnical Faculty – Department of Agronomy</w:t>
            </w:r>
          </w:p>
          <w:p w:rsidR="00F555D6" w:rsidRPr="005C3B55" w:rsidRDefault="00F555D6" w:rsidP="00F555D6">
            <w:pPr>
              <w:spacing w:after="0"/>
            </w:pPr>
            <w:r w:rsidRPr="005C3B55">
              <w:t>Jamnikarjeva 101</w:t>
            </w:r>
          </w:p>
          <w:p w:rsidR="00F555D6" w:rsidRPr="005C3B55" w:rsidRDefault="00F555D6" w:rsidP="00F555D6">
            <w:pPr>
              <w:spacing w:after="0"/>
            </w:pPr>
            <w:r w:rsidRPr="005C3B55">
              <w:t>1000 Ljubljana</w:t>
            </w:r>
          </w:p>
        </w:tc>
        <w:tc>
          <w:tcPr>
            <w:tcW w:w="4606"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Cereals, corn, forage plants, oil plants, fruit plants</w:t>
            </w:r>
          </w:p>
        </w:tc>
      </w:tr>
      <w:tr w:rsidR="00F555D6" w:rsidRPr="005C3B55">
        <w:tc>
          <w:tcPr>
            <w:tcW w:w="4606"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Slovenian Institute for Hop Research and Brewing</w:t>
            </w:r>
          </w:p>
          <w:p w:rsidR="00F555D6" w:rsidRPr="005C3B55" w:rsidRDefault="00F555D6" w:rsidP="00F555D6">
            <w:pPr>
              <w:spacing w:after="0"/>
            </w:pPr>
            <w:r w:rsidRPr="005C3B55">
              <w:t>Žalskega tabora 2</w:t>
            </w:r>
          </w:p>
          <w:p w:rsidR="00F555D6" w:rsidRPr="005C3B55" w:rsidRDefault="00F555D6" w:rsidP="00F555D6">
            <w:pPr>
              <w:spacing w:after="0"/>
            </w:pPr>
            <w:r w:rsidRPr="005C3B55">
              <w:t>3310 Žalec</w:t>
            </w:r>
          </w:p>
        </w:tc>
        <w:tc>
          <w:tcPr>
            <w:tcW w:w="4606"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Hops</w:t>
            </w:r>
          </w:p>
        </w:tc>
      </w:tr>
      <w:tr w:rsidR="00F555D6" w:rsidRPr="005C3B55">
        <w:tc>
          <w:tcPr>
            <w:tcW w:w="4606"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Olive Oil Testing Centre</w:t>
            </w:r>
          </w:p>
          <w:p w:rsidR="00F555D6" w:rsidRPr="005C3B55" w:rsidRDefault="00F555D6" w:rsidP="00F555D6">
            <w:pPr>
              <w:spacing w:after="0"/>
            </w:pPr>
            <w:r w:rsidRPr="005C3B55">
              <w:t>Ulica 15. Maja 17</w:t>
            </w:r>
          </w:p>
          <w:p w:rsidR="00F555D6" w:rsidRPr="005C3B55" w:rsidRDefault="00F555D6" w:rsidP="00F555D6">
            <w:pPr>
              <w:spacing w:after="0"/>
            </w:pPr>
            <w:r w:rsidRPr="005C3B55">
              <w:t>6000 Koper</w:t>
            </w:r>
          </w:p>
        </w:tc>
        <w:tc>
          <w:tcPr>
            <w:tcW w:w="4606"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Olives</w:t>
            </w:r>
          </w:p>
        </w:tc>
      </w:tr>
    </w:tbl>
    <w:p w:rsidR="00F555D6" w:rsidRPr="005C3B55" w:rsidRDefault="00F555D6" w:rsidP="00F555D6">
      <w:pPr>
        <w:spacing w:line="280" w:lineRule="auto"/>
        <w:rPr>
          <w:szCs w:val="24"/>
        </w:rPr>
      </w:pPr>
    </w:p>
    <w:p w:rsidR="00F555D6" w:rsidRPr="005C3B55" w:rsidRDefault="00F555D6" w:rsidP="00F555D6">
      <w:pPr>
        <w:spacing w:line="280" w:lineRule="auto"/>
        <w:rPr>
          <w:szCs w:val="24"/>
        </w:rPr>
      </w:pPr>
      <w:r w:rsidRPr="005C3B55">
        <w:rPr>
          <w:szCs w:val="24"/>
        </w:rPr>
        <w:t>The description of the methodology and of the agronomic assumptions and parameters, including the description of the baseline requirements as stated in Article 29(2) of Regulation (EU) No 1305/2013, which are relevant for each particular type of commitment used as reference point for the calculations which justify: additional costs and lost revenue due to the assumed commitment and the amount of transaction costs; where necessary, the methodology takes into account the support granted under Regulation (EU) No 1307/2013, including payments for agricultural practices that favourably affect the climate and environment, in order to prevent the possibility of dual financing; where appropriate, the conversion method used for other units in accordance with Article 9 of this Regulation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The calculation of the amount of payment for the operation GEN_SOR: Preserving plant genetic resources under threat of genetic erosion observed the fact that Slovenian autochthonous and traditional varieties of agricultural plants are not very widespread and are produced in small quantities. They have less productive potential and are thus less economically attractive for production purposes than other modern varieties which prevail in Slovenia. The calculation compares economic indicators in the production of autochthonous and traditional varieties with the production of modern varieties. The difference in the financial result of producing autochthonous and traditional varieties and producing modern varieties is taken into account. The difference is the result of the lower average productive potential of autochthonous varieties.</w:t>
            </w:r>
          </w:p>
          <w:p w:rsidR="00F555D6" w:rsidRPr="005C3B55" w:rsidRDefault="00F555D6" w:rsidP="00F555D6">
            <w:pPr>
              <w:pStyle w:val="Telobesedila"/>
              <w:rPr>
                <w:szCs w:val="24"/>
              </w:rPr>
            </w:pPr>
          </w:p>
        </w:tc>
      </w:tr>
    </w:tbl>
    <w:p w:rsidR="00F555D6" w:rsidRPr="005C3B55" w:rsidRDefault="00F555D6" w:rsidP="00F555D6">
      <w:pPr>
        <w:pStyle w:val="Naslov7"/>
        <w:tabs>
          <w:tab w:val="clear" w:pos="765"/>
        </w:tabs>
        <w:ind w:left="0" w:firstLine="0"/>
        <w:rPr>
          <w:szCs w:val="24"/>
          <w:lang w:val="en-GB"/>
        </w:rPr>
      </w:pPr>
      <w:r w:rsidRPr="005C3B55">
        <w:rPr>
          <w:noProof w:val="0"/>
          <w:szCs w:val="24"/>
          <w:lang w:val="en-GB"/>
        </w:rPr>
        <w:t>Agri-environment-climate commitments</w:t>
      </w:r>
    </w:p>
    <w:p w:rsidR="00F555D6" w:rsidRPr="005C3B55" w:rsidRDefault="00F555D6" w:rsidP="00F555D6">
      <w:pPr>
        <w:pStyle w:val="Naslov8"/>
        <w:tabs>
          <w:tab w:val="clear" w:pos="765"/>
        </w:tabs>
        <w:ind w:left="0" w:firstLine="0"/>
        <w:rPr>
          <w:b w:val="0"/>
          <w:szCs w:val="24"/>
          <w:lang w:val="en-GB"/>
        </w:rPr>
      </w:pPr>
      <w:r w:rsidRPr="005C3B55">
        <w:rPr>
          <w:b w:val="0"/>
          <w:noProof w:val="0"/>
          <w:szCs w:val="24"/>
          <w:lang w:val="en-GB"/>
        </w:rPr>
        <w:t>GEN_SOR:</w:t>
      </w:r>
      <w:r w:rsidRPr="005C3B55">
        <w:rPr>
          <w:b w:val="0"/>
          <w:szCs w:val="24"/>
          <w:lang w:val="en-GB"/>
        </w:rPr>
        <w:t xml:space="preserve"> </w:t>
      </w:r>
      <w:r w:rsidRPr="005C3B55">
        <w:rPr>
          <w:b w:val="0"/>
          <w:noProof w:val="0"/>
          <w:szCs w:val="24"/>
          <w:lang w:val="en-GB"/>
        </w:rPr>
        <w:t>Preserving plant genetic resources under threat of genetic erosion</w:t>
      </w:r>
    </w:p>
    <w:p w:rsidR="00F555D6" w:rsidRPr="005C3B55" w:rsidRDefault="00F555D6" w:rsidP="00F555D6">
      <w:pPr>
        <w:pStyle w:val="Naslov9"/>
        <w:tabs>
          <w:tab w:val="clear" w:pos="765"/>
        </w:tabs>
        <w:ind w:left="0" w:firstLine="0"/>
        <w:rPr>
          <w:szCs w:val="24"/>
          <w:lang w:val="en-GB"/>
        </w:rPr>
      </w:pPr>
      <w:r w:rsidRPr="005C3B55">
        <w:rPr>
          <w:noProof w:val="0"/>
          <w:szCs w:val="24"/>
          <w:lang w:val="en-GB"/>
        </w:rPr>
        <w:t>Starting Point</w:t>
      </w:r>
    </w:p>
    <w:p w:rsidR="00F555D6" w:rsidRPr="005C3B55" w:rsidRDefault="00F555D6" w:rsidP="00F555D6">
      <w:pPr>
        <w:spacing w:line="280" w:lineRule="auto"/>
        <w:rPr>
          <w:szCs w:val="24"/>
        </w:rPr>
      </w:pPr>
      <w:r w:rsidRPr="005C3B55">
        <w:rPr>
          <w:szCs w:val="24"/>
        </w:rPr>
        <w:t>Suitable good agricultural and environmental conditions and/or prescribed management requirements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863"/>
              </w:numPr>
              <w:spacing w:before="0" w:after="240"/>
              <w:ind w:hanging="290"/>
              <w:jc w:val="left"/>
              <w:rPr>
                <w:szCs w:val="24"/>
              </w:rPr>
            </w:pPr>
            <w:r w:rsidRPr="005C3B55">
              <w:rPr>
                <w:szCs w:val="24"/>
              </w:rPr>
              <w:t>The preservation of plant genetic resources under threat of genetic erosion is not prescribed in the Regulation on cross-compliance.</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Minimum requirements for the use of fertilisers and plant protection products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864"/>
              </w:numPr>
              <w:spacing w:before="0" w:after="0"/>
              <w:ind w:hanging="290"/>
              <w:jc w:val="left"/>
              <w:rPr>
                <w:szCs w:val="24"/>
              </w:rPr>
            </w:pPr>
            <w:r w:rsidRPr="005C3B55">
              <w:rPr>
                <w:szCs w:val="24"/>
              </w:rPr>
              <w:t>Minimum requirements for the use of fertilisers refer to the keeping of records on the use of livestock and mineral fertilisers which an agricultural holding has to keep for all agricultural land plots at the agricultural holding, and which has to include at least the quantity and type of livestock manure and mineral fertiliser, time of fertilising and data on the surface where these fertilisers are used.</w:t>
            </w:r>
          </w:p>
          <w:p w:rsidR="00F555D6" w:rsidRPr="005C3B55" w:rsidRDefault="00F555D6" w:rsidP="00F555D6">
            <w:pPr>
              <w:numPr>
                <w:ilvl w:val="0"/>
                <w:numId w:val="864"/>
              </w:numPr>
              <w:spacing w:before="0" w:after="240"/>
              <w:ind w:hanging="290"/>
              <w:jc w:val="left"/>
              <w:rPr>
                <w:szCs w:val="24"/>
              </w:rPr>
            </w:pPr>
            <w:r w:rsidRPr="005C3B55">
              <w:rPr>
                <w:szCs w:val="24"/>
              </w:rPr>
              <w:t>Minimum requirements for the use of plant protection products are not determined, since the requirements relating to the use of these products are standardised and are included in the requirements of cross-compliance.</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Other relevant national/regional requirements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865"/>
              </w:numPr>
              <w:spacing w:before="0" w:after="240"/>
              <w:ind w:hanging="290"/>
              <w:jc w:val="left"/>
              <w:rPr>
                <w:szCs w:val="24"/>
              </w:rPr>
            </w:pPr>
            <w:r w:rsidRPr="005C3B55">
              <w:rPr>
                <w:szCs w:val="24"/>
              </w:rPr>
              <w:t>Rules on integrated pest management (Official Gazette of the Republic of Slovenia, no. 43/14): To ensure healthy growth of produce as per Article 4, the advantage is given to the use of resistant varieties or seeds or planting material which meet the conditions as per regulations on marketing of seed units of crops.</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Minimum activities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866"/>
              </w:numPr>
              <w:spacing w:before="0" w:after="240"/>
              <w:ind w:hanging="290"/>
              <w:jc w:val="left"/>
              <w:rPr>
                <w:szCs w:val="24"/>
              </w:rPr>
            </w:pPr>
            <w:r w:rsidRPr="005C3B55">
              <w:rPr>
                <w:szCs w:val="24"/>
              </w:rPr>
              <w:t>Mowing at least once annually by 15 October of the current year is determined as a criterion for maintaining agricultural land in a state suitable for pasturing or production without the preparation measures which exceed the use of regular agricultural methods and machinery.</w:t>
            </w:r>
          </w:p>
          <w:p w:rsidR="00F555D6" w:rsidRPr="005C3B55" w:rsidRDefault="00F555D6" w:rsidP="00F555D6">
            <w:pPr>
              <w:pStyle w:val="Telobesedila"/>
              <w:rPr>
                <w:szCs w:val="24"/>
              </w:rPr>
            </w:pPr>
          </w:p>
        </w:tc>
      </w:tr>
    </w:tbl>
    <w:p w:rsidR="00F555D6" w:rsidRPr="005C3B55" w:rsidRDefault="00F555D6" w:rsidP="00F555D6">
      <w:pPr>
        <w:pStyle w:val="Naslov9"/>
        <w:tabs>
          <w:tab w:val="clear" w:pos="765"/>
        </w:tabs>
        <w:ind w:left="0" w:firstLine="0"/>
        <w:rPr>
          <w:szCs w:val="24"/>
          <w:lang w:val="en-GB"/>
        </w:rPr>
      </w:pPr>
      <w:r w:rsidRPr="005C3B55">
        <w:rPr>
          <w:noProof w:val="0"/>
          <w:szCs w:val="24"/>
          <w:lang w:val="en-GB"/>
        </w:rPr>
        <w:t>Relevant standard agricultural practices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Slovenian autochthonous and traditional varieties of agricultural plant species are poorly circulated and are grown on a small scale. They have a lower production potential than other (modern) varieties which are mainly grown in Slovenia. Due to generations of selection and breeding work,  preservation of many varieties of agricultural plant species that are optimally adapted to specific local environmental conditions has been enabled. The industrialisation of agriculture in recent decades has seriously threatened this genetically and historically important biodiversity characteristic for human activity. Many agricultural plants from different areas are characterised by low yields, slow growth and diseconomies, which is why these plants are in danger of being lost (genetic erosion).</w:t>
            </w:r>
          </w:p>
          <w:p w:rsidR="00F555D6" w:rsidRPr="005C3B55" w:rsidRDefault="00F555D6" w:rsidP="00F555D6">
            <w:pPr>
              <w:pStyle w:val="Telobesedila"/>
              <w:rPr>
                <w:szCs w:val="24"/>
              </w:rPr>
            </w:pPr>
          </w:p>
        </w:tc>
      </w:tr>
    </w:tbl>
    <w:p w:rsidR="00F555D6" w:rsidRPr="005C3B55" w:rsidRDefault="00F555D6" w:rsidP="00F555D6">
      <w:pPr>
        <w:pStyle w:val="Naslov4"/>
        <w:tabs>
          <w:tab w:val="clear" w:pos="765"/>
        </w:tabs>
        <w:ind w:left="0" w:firstLine="0"/>
        <w:jc w:val="left"/>
        <w:rPr>
          <w:szCs w:val="24"/>
          <w:lang w:val="en-GB"/>
        </w:rPr>
      </w:pPr>
      <w:r w:rsidRPr="005C3B55">
        <w:rPr>
          <w:szCs w:val="24"/>
          <w:lang w:val="en-GB"/>
        </w:rPr>
        <w:t>Verifiability and possibility of control of measures and/or type of operations</w:t>
      </w:r>
    </w:p>
    <w:p w:rsidR="00F555D6" w:rsidRPr="005C3B55" w:rsidRDefault="00F555D6" w:rsidP="00F555D6">
      <w:pPr>
        <w:pStyle w:val="Naslov5"/>
        <w:tabs>
          <w:tab w:val="clear" w:pos="765"/>
        </w:tabs>
        <w:ind w:left="0" w:firstLine="0"/>
        <w:rPr>
          <w:b w:val="0"/>
          <w:szCs w:val="24"/>
          <w:lang w:val="en-GB"/>
        </w:rPr>
      </w:pPr>
      <w:r w:rsidRPr="005C3B55">
        <w:rPr>
          <w:b w:val="0"/>
          <w:noProof w:val="0"/>
          <w:szCs w:val="24"/>
          <w:lang w:val="en-GB"/>
        </w:rPr>
        <w:t>Risks in the implementation of the measure</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Description is under point 8.2.9.3 of each individual type of operation.</w:t>
            </w:r>
          </w:p>
          <w:p w:rsidR="00F555D6" w:rsidRPr="005C3B55" w:rsidRDefault="00F555D6" w:rsidP="00F555D6">
            <w:pPr>
              <w:pStyle w:val="Telobesedila"/>
              <w:rPr>
                <w:szCs w:val="24"/>
              </w:rPr>
            </w:pPr>
          </w:p>
        </w:tc>
      </w:tr>
    </w:tbl>
    <w:p w:rsidR="00F555D6" w:rsidRPr="005C3B55" w:rsidRDefault="00F555D6" w:rsidP="00F555D6">
      <w:pPr>
        <w:pStyle w:val="Naslov5"/>
        <w:tabs>
          <w:tab w:val="clear" w:pos="765"/>
        </w:tabs>
        <w:ind w:left="0" w:firstLine="0"/>
        <w:rPr>
          <w:b w:val="0"/>
          <w:szCs w:val="24"/>
          <w:lang w:val="en-GB"/>
        </w:rPr>
      </w:pPr>
      <w:r w:rsidRPr="005C3B55">
        <w:rPr>
          <w:b w:val="0"/>
          <w:noProof w:val="0"/>
          <w:szCs w:val="24"/>
          <w:lang w:val="en-GB"/>
        </w:rPr>
        <w:t>Mitigation measures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Description is under point 8.2.9.3 of each individual type of operation.</w:t>
            </w:r>
          </w:p>
          <w:p w:rsidR="00F555D6" w:rsidRPr="005C3B55" w:rsidRDefault="00F555D6" w:rsidP="00F555D6">
            <w:pPr>
              <w:pStyle w:val="Telobesedila"/>
              <w:rPr>
                <w:szCs w:val="24"/>
              </w:rPr>
            </w:pPr>
          </w:p>
        </w:tc>
      </w:tr>
    </w:tbl>
    <w:p w:rsidR="00F555D6" w:rsidRPr="005C3B55" w:rsidRDefault="00F555D6" w:rsidP="00F555D6">
      <w:pPr>
        <w:pStyle w:val="Naslov5"/>
        <w:tabs>
          <w:tab w:val="clear" w:pos="765"/>
        </w:tabs>
        <w:ind w:left="0" w:firstLine="0"/>
        <w:rPr>
          <w:b w:val="0"/>
          <w:szCs w:val="24"/>
          <w:lang w:val="en-GB"/>
        </w:rPr>
      </w:pPr>
      <w:r w:rsidRPr="005C3B55">
        <w:rPr>
          <w:b w:val="0"/>
          <w:noProof w:val="0"/>
          <w:szCs w:val="24"/>
          <w:lang w:val="en-GB"/>
        </w:rPr>
        <w:t>General assessment of the measure</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The measure of agri-environment payments has already proven to be successful and has contributed to the reduction of impacts of farming on the environment by supporting the implementation of environmentally friendly agricultural practices. Agri-environment content is joined by the climate component which is included in individual additional requirements. The M10 measure will thus contribute to the mitigation and adaptation of farming to climate change.</w:t>
            </w:r>
          </w:p>
          <w:p w:rsidR="00F555D6" w:rsidRPr="005C3B55" w:rsidRDefault="00F555D6" w:rsidP="00F555D6">
            <w:pPr>
              <w:spacing w:before="240" w:after="240" w:line="280" w:lineRule="auto"/>
              <w:rPr>
                <w:szCs w:val="24"/>
              </w:rPr>
            </w:pPr>
            <w:r w:rsidRPr="005C3B55">
              <w:rPr>
                <w:szCs w:val="24"/>
              </w:rPr>
              <w:t>The M10 measure in the 2014-2020 programming period is designed differently, as it brings a set of requirements which beneficiaries select themselves and define them in the programme of agricultural holding activities in lieu of the current package approach in which one agri-environment sub-measure included several requirements.</w:t>
            </w:r>
          </w:p>
          <w:p w:rsidR="00F555D6" w:rsidRPr="005C3B55" w:rsidRDefault="00F555D6" w:rsidP="00F555D6">
            <w:pPr>
              <w:spacing w:before="240" w:after="240" w:line="280" w:lineRule="auto"/>
              <w:rPr>
                <w:szCs w:val="24"/>
              </w:rPr>
            </w:pPr>
            <w:r w:rsidRPr="005C3B55">
              <w:rPr>
                <w:szCs w:val="24"/>
              </w:rPr>
              <w:t>Certain requirements may be implemented throughout Slovenia, while some requirements are aimed at areas which are problematic from the aspect of pollution of agricultural origin and areas which are important for the preservation of biodiversity.</w:t>
            </w:r>
          </w:p>
          <w:p w:rsidR="00F555D6" w:rsidRPr="005C3B55" w:rsidRDefault="00F555D6" w:rsidP="00F555D6">
            <w:pPr>
              <w:spacing w:before="240" w:after="240" w:line="280" w:lineRule="auto"/>
              <w:rPr>
                <w:szCs w:val="24"/>
              </w:rPr>
            </w:pPr>
            <w:r w:rsidRPr="005C3B55">
              <w:rPr>
                <w:szCs w:val="24"/>
              </w:rPr>
              <w:t>The control over the fulfilment of commitments related to the eligibility to payments for the M10 measure is carried out by the AAMRD.</w:t>
            </w:r>
          </w:p>
          <w:p w:rsidR="00F555D6" w:rsidRPr="005C3B55" w:rsidRDefault="00F555D6" w:rsidP="00F555D6">
            <w:pPr>
              <w:spacing w:before="240" w:after="240" w:line="280" w:lineRule="auto"/>
              <w:rPr>
                <w:szCs w:val="24"/>
              </w:rPr>
            </w:pPr>
            <w:r w:rsidRPr="005C3B55">
              <w:rPr>
                <w:szCs w:val="24"/>
              </w:rPr>
              <w:t xml:space="preserve">The verifiability of requirements is shown in Chapter </w:t>
            </w:r>
            <w:r w:rsidRPr="005C3B55">
              <w:rPr>
                <w:i/>
                <w:szCs w:val="24"/>
              </w:rPr>
              <w:t>Agri-environment-climate commitments</w:t>
            </w:r>
            <w:r w:rsidRPr="005C3B55">
              <w:rPr>
                <w:szCs w:val="24"/>
              </w:rPr>
              <w:t>.</w:t>
            </w:r>
          </w:p>
          <w:p w:rsidR="00F555D6" w:rsidRPr="005C3B55" w:rsidRDefault="00F555D6" w:rsidP="00F555D6">
            <w:pPr>
              <w:spacing w:before="240" w:after="240" w:line="280" w:lineRule="auto"/>
              <w:rPr>
                <w:szCs w:val="24"/>
              </w:rPr>
            </w:pPr>
            <w:r w:rsidRPr="005C3B55">
              <w:rPr>
                <w:szCs w:val="24"/>
              </w:rPr>
              <w:t>In accordance with Article 62 of Regulation (EU) No 1305/2013, the Management Authority and the AAMRD have made a preliminary assessment of verifiability of the AEC measure and the possibility to control it, which shows that this measure is feasible.</w:t>
            </w:r>
          </w:p>
          <w:p w:rsidR="00F555D6" w:rsidRPr="005C3B55" w:rsidRDefault="00F555D6" w:rsidP="00F555D6">
            <w:pPr>
              <w:spacing w:before="240" w:after="240" w:line="280" w:lineRule="auto"/>
              <w:rPr>
                <w:szCs w:val="24"/>
              </w:rPr>
            </w:pPr>
            <w:r w:rsidRPr="005C3B55">
              <w:rPr>
                <w:szCs w:val="24"/>
              </w:rPr>
              <w:t>In accordance with Article 62 of Regulation (EU) No 1305/2013, the Management Authority and the AAMRD also assess verifiability of the AEC measure and the possibility of controlling it during the implementation of the measure. If the assessment shows that the requirements regarding verifiability and the possibility of controlling the measure are not fulfilled, the measure is adjusted accordingly.</w:t>
            </w:r>
          </w:p>
          <w:p w:rsidR="00F555D6" w:rsidRPr="005C3B55" w:rsidRDefault="00F555D6" w:rsidP="00F555D6">
            <w:pPr>
              <w:pStyle w:val="Telobesedila"/>
              <w:rPr>
                <w:szCs w:val="24"/>
              </w:rPr>
            </w:pPr>
          </w:p>
        </w:tc>
      </w:tr>
    </w:tbl>
    <w:p w:rsidR="00F555D6" w:rsidRPr="005C3B55" w:rsidRDefault="00F555D6" w:rsidP="00F555D6">
      <w:pPr>
        <w:pStyle w:val="Naslov4"/>
        <w:tabs>
          <w:tab w:val="clear" w:pos="765"/>
        </w:tabs>
        <w:ind w:left="0" w:firstLine="0"/>
        <w:jc w:val="left"/>
        <w:rPr>
          <w:szCs w:val="24"/>
          <w:lang w:val="en-GB"/>
        </w:rPr>
      </w:pPr>
      <w:r w:rsidRPr="005C3B55">
        <w:rPr>
          <w:szCs w:val="24"/>
          <w:lang w:val="en-GB"/>
        </w:rPr>
        <w:t>Additional information specific to the measure</w:t>
      </w:r>
    </w:p>
    <w:p w:rsidR="00F555D6" w:rsidRPr="005C3B55" w:rsidRDefault="00F555D6" w:rsidP="00F555D6">
      <w:pPr>
        <w:spacing w:line="280" w:lineRule="auto"/>
        <w:rPr>
          <w:szCs w:val="24"/>
        </w:rPr>
      </w:pPr>
      <w:r w:rsidRPr="005C3B55">
        <w:rPr>
          <w:szCs w:val="24"/>
        </w:rPr>
        <w:t>Definition and identification of the relevant basic elements; this should include the relevant mandatory standards determined in accordance with Chapter I of Title VI of Regulation (EU) No 1306/2013 of the European Parliament and of the Council, relevant criteria and minimum activities determined in accordance with points (c)(ii) and (c)(iii) of the first paragraph of Article 4 of Regulation (EU) No 1307/2013 of the European Parliament and of the Council, relevant minimum requirements for the use of organic fertilisers and plant protection products and relevant mandatory requirements determined by national law</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The provisions of Directive 2009/128/EU on integrated pest management have been transposed into Slovenian legislation with the Rules on integrated pest management. In addition to the transfer of record-keeping and mandatory monitoring of needs for treatment  thorough prognostications from the national Plant Protection Service, Slovenia has defined in the aforementioned rules also the mandatory crop rotation on at least 50% of fields. A two-year crop rotation is considered suitable, while a three-year crop rotation is recommended. In individual requirements within the AEC operations, references to suitable articles of the Rules on integrated pest management have been written within the definition of the basic standard.</w:t>
            </w:r>
          </w:p>
          <w:p w:rsidR="00F555D6" w:rsidRPr="005C3B55" w:rsidRDefault="00F555D6" w:rsidP="00F555D6">
            <w:pPr>
              <w:spacing w:before="240" w:after="240" w:line="280" w:lineRule="auto"/>
              <w:rPr>
                <w:szCs w:val="24"/>
              </w:rPr>
            </w:pPr>
            <w:r w:rsidRPr="005C3B55">
              <w:rPr>
                <w:szCs w:val="24"/>
              </w:rPr>
              <w:t xml:space="preserve">Criteria and minimal activities determined in accordance with points (c)(ii) and (c)(iii) of the first paragraph of Article 4 of Regulation (EU) No 1307/2013 are defined in the national regulation determining the rules for indirect payment schemes. In accordance with this, the agricultural activity: production, breeding or cultivation of agricultural products, including harvesting, milking, breeding of animals and agricultural breeding of animals or mowing at least once annually by 15 October, which is considered maintenance of agricultural land in a state suitable for pasturing or production without the preparation measures which exceed the use of regular agricultural methods and machinery. </w:t>
            </w:r>
          </w:p>
          <w:p w:rsidR="00F555D6" w:rsidRPr="005C3B55" w:rsidRDefault="00F555D6" w:rsidP="00F555D6">
            <w:pPr>
              <w:spacing w:before="240" w:after="240" w:line="280" w:lineRule="auto"/>
              <w:rPr>
                <w:szCs w:val="24"/>
              </w:rPr>
            </w:pPr>
            <w:r w:rsidRPr="005C3B55">
              <w:rPr>
                <w:szCs w:val="24"/>
              </w:rPr>
              <w:t>Cross-compliance requirements in Slovenia are defined in the Decree on the regulatory requirements for management and good agricultural and environmental conditions (cross compliance) in farming.</w:t>
            </w:r>
          </w:p>
          <w:p w:rsidR="00F555D6" w:rsidRPr="005C3B55" w:rsidRDefault="00F555D6" w:rsidP="00F555D6">
            <w:pPr>
              <w:spacing w:before="240" w:after="240" w:line="280" w:lineRule="auto"/>
              <w:rPr>
                <w:szCs w:val="24"/>
              </w:rPr>
            </w:pPr>
            <w:r w:rsidRPr="005C3B55">
              <w:rPr>
                <w:szCs w:val="24"/>
              </w:rPr>
              <w:t>Slovenia’s action plan for nitrates is the Decree concerning the protection of waters against pollution caused by nitrates from agricultural sources. This decree is part of cross-compliance and as such considered the basic standard in relevant operations or requirements of the AEC.</w:t>
            </w:r>
          </w:p>
          <w:p w:rsidR="00F555D6" w:rsidRPr="005C3B55" w:rsidRDefault="00F555D6" w:rsidP="00F555D6">
            <w:pPr>
              <w:spacing w:before="240" w:after="240" w:line="280" w:lineRule="auto"/>
              <w:rPr>
                <w:szCs w:val="24"/>
              </w:rPr>
            </w:pPr>
            <w:r w:rsidRPr="005C3B55">
              <w:rPr>
                <w:szCs w:val="24"/>
              </w:rPr>
              <w:t>A more detailed description of relevant standrads for the AEC requirements is under point 8.2.9.3 of each individual type of operation.</w:t>
            </w:r>
          </w:p>
          <w:p w:rsidR="00F555D6" w:rsidRPr="005C3B55" w:rsidRDefault="00F555D6" w:rsidP="00F555D6">
            <w:pPr>
              <w:pStyle w:val="Telobesedila"/>
              <w:rPr>
                <w:szCs w:val="24"/>
              </w:rPr>
            </w:pPr>
          </w:p>
        </w:tc>
      </w:tr>
    </w:tbl>
    <w:p w:rsidR="00F555D6" w:rsidRPr="005C3B55" w:rsidRDefault="00F555D6" w:rsidP="00F555D6">
      <w:pPr>
        <w:spacing w:after="100" w:line="280" w:lineRule="auto"/>
        <w:rPr>
          <w:szCs w:val="24"/>
        </w:rPr>
      </w:pPr>
      <w:r w:rsidRPr="005C3B55">
        <w:rPr>
          <w:szCs w:val="24"/>
        </w:rPr>
        <w:t xml:space="preserve">Minimum requirements for fertilisers must include, inter alia, the Codes of Good Practice introduced under Directive 91/676/EEC for farms outside Nitrate Vulnerable Zones, and requirements concerning phosphorous pollution; minimum requirements for plant protection products use must include, </w:t>
      </w:r>
      <w:r w:rsidRPr="005C3B55">
        <w:rPr>
          <w:i/>
          <w:szCs w:val="24"/>
        </w:rPr>
        <w:t>inter alia</w:t>
      </w:r>
      <w:r w:rsidRPr="005C3B55">
        <w:rPr>
          <w:szCs w:val="24"/>
        </w:rPr>
        <w:t>, general principles for integrated pest management introduced with Directive 2009/128/EC, requirements to have a licence to use the products and meet training obligations, requirements on safe storage, the checking of application machinery and rules on pesticide use close to water and other sensitive sites, as established by national legislation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Description is under point 8.2.9.3 of each individual type of operation.</w:t>
            </w:r>
          </w:p>
          <w:p w:rsidR="00F555D6" w:rsidRPr="005C3B55" w:rsidRDefault="00F555D6" w:rsidP="00F555D6">
            <w:pPr>
              <w:pStyle w:val="Telobesedila"/>
              <w:spacing w:after="100"/>
              <w:rPr>
                <w:szCs w:val="24"/>
              </w:rPr>
            </w:pPr>
          </w:p>
        </w:tc>
      </w:tr>
    </w:tbl>
    <w:p w:rsidR="00F555D6" w:rsidRPr="005C3B55" w:rsidRDefault="00F555D6" w:rsidP="00F555D6">
      <w:pPr>
        <w:spacing w:after="100" w:line="280" w:lineRule="auto"/>
        <w:rPr>
          <w:szCs w:val="24"/>
        </w:rPr>
      </w:pPr>
      <w:r w:rsidRPr="005C3B55">
        <w:rPr>
          <w:szCs w:val="24"/>
        </w:rPr>
        <w:t>List of local breeds in danger of being lost to farming and for plant genetic resources under threat of genetic erosion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The description is under point 8.2.9.3 in the operations of ‘Local breeds in danger of being terminated’ and 'Preserving plant genetic resources under threat of genetic erosion’.</w:t>
            </w:r>
          </w:p>
          <w:p w:rsidR="00F555D6" w:rsidRPr="005C3B55" w:rsidRDefault="00F555D6" w:rsidP="00F555D6">
            <w:pPr>
              <w:pStyle w:val="Telobesedila"/>
              <w:spacing w:after="100"/>
              <w:rPr>
                <w:szCs w:val="24"/>
              </w:rPr>
            </w:pPr>
          </w:p>
        </w:tc>
      </w:tr>
    </w:tbl>
    <w:p w:rsidR="00F555D6" w:rsidRPr="005C3B55" w:rsidRDefault="00F555D6" w:rsidP="00F555D6">
      <w:pPr>
        <w:spacing w:after="100" w:line="280" w:lineRule="auto"/>
        <w:rPr>
          <w:szCs w:val="24"/>
        </w:rPr>
      </w:pPr>
      <w:r w:rsidRPr="005C3B55">
        <w:rPr>
          <w:szCs w:val="24"/>
        </w:rPr>
        <w:t>The description of the methodology and of the agronomic assumptions and parameters, including the description of the baseline requirements as stated in Article 29(2) of Regulation (EU) No 1305/2013, which are relevant for each particular type of commitment used as reference point for the calculations which justify: additional costs and lost revenue due to the assumed commitment and the amount of transaction costs; where necessary, the methodology takes into account the support granted under Regulation (EU) No 1307/2013, including payments for agricultural practices that favourably affect the climate and environment, in order to prevent the possibility of dual financing; where appropriate, the conversion method used for other units in accordance with Article 9 of this Regulation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The methodology to prepare model calculations to determine amounts of payments for the AEC measure has been made by an independent institution: Agricultural Institute of Slovenia, Hacquetova 17, 1000 Ljubljana.</w:t>
            </w:r>
          </w:p>
          <w:p w:rsidR="00F555D6" w:rsidRPr="005C3B55" w:rsidRDefault="00F555D6" w:rsidP="00F555D6">
            <w:pPr>
              <w:spacing w:before="240" w:after="240" w:line="280" w:lineRule="auto"/>
              <w:rPr>
                <w:szCs w:val="24"/>
              </w:rPr>
            </w:pPr>
            <w:r w:rsidRPr="005C3B55">
              <w:rPr>
                <w:b/>
                <w:szCs w:val="24"/>
              </w:rPr>
              <w:t>Starting points</w:t>
            </w:r>
          </w:p>
          <w:p w:rsidR="00F555D6" w:rsidRPr="005C3B55" w:rsidRDefault="00F555D6" w:rsidP="00F555D6">
            <w:pPr>
              <w:spacing w:before="240" w:after="240" w:line="280" w:lineRule="auto"/>
              <w:rPr>
                <w:szCs w:val="24"/>
              </w:rPr>
            </w:pPr>
            <w:r w:rsidRPr="005C3B55">
              <w:rPr>
                <w:szCs w:val="24"/>
              </w:rPr>
              <w:t>Payments for the AEC measure refer only to commitments which exceed the mandatory standards of cross-compliance, other relevant criteria as per EU law and other mandatory requirements of national regulations.</w:t>
            </w:r>
          </w:p>
          <w:p w:rsidR="00F555D6" w:rsidRPr="005C3B55" w:rsidRDefault="00F555D6" w:rsidP="00F555D6">
            <w:pPr>
              <w:spacing w:before="240" w:after="240" w:line="280" w:lineRule="auto"/>
              <w:rPr>
                <w:szCs w:val="24"/>
              </w:rPr>
            </w:pPr>
            <w:r w:rsidRPr="005C3B55">
              <w:rPr>
                <w:szCs w:val="24"/>
              </w:rPr>
              <w:t>Payments for the AEC are granted annually for the coverage of additional costs and loss of revenue as a consequence of implementing the AEC measure and, if necessary, can cover transaction costs (up to 20% of the premium paid for the commitment).</w:t>
            </w:r>
          </w:p>
          <w:p w:rsidR="00F555D6" w:rsidRPr="005C3B55" w:rsidRDefault="00F555D6" w:rsidP="00F555D6">
            <w:pPr>
              <w:spacing w:before="240" w:after="240" w:line="280" w:lineRule="auto"/>
              <w:rPr>
                <w:szCs w:val="24"/>
              </w:rPr>
            </w:pPr>
            <w:r w:rsidRPr="005C3B55">
              <w:rPr>
                <w:szCs w:val="24"/>
              </w:rPr>
              <w:t>The proposal for payments has been prepared on the basis of a model calculation for the requirements of the AEC measure. The basis for the calculation of payments is the difference which occurs in the financial result between standard agricultural practice and the implementation of the requirements of the AEC measure. Standard agricultural practice takes into account standards, criteria and minimum activities determined in EU law and mandatory requirements of national regulations. When defining standard agricultural practice, the agricultural practices spread throughout Slovenia which correspond to the Slovenian intensity level were taken into account in individual production orientation.</w:t>
            </w:r>
          </w:p>
          <w:p w:rsidR="00F555D6" w:rsidRPr="005C3B55" w:rsidRDefault="00F555D6" w:rsidP="00F555D6">
            <w:pPr>
              <w:spacing w:before="240" w:after="240" w:line="280" w:lineRule="auto"/>
              <w:rPr>
                <w:szCs w:val="24"/>
              </w:rPr>
            </w:pPr>
            <w:r w:rsidRPr="005C3B55">
              <w:rPr>
                <w:szCs w:val="24"/>
              </w:rPr>
              <w:t>To prevent double funding, the agricultural practices of the green component and commitments for the AEC measure have been examined under Pillar I. In the implementation of equivalent agricultural practices in the AEC measure and the green component (diversification of agricultural plants), the definition of standard agricultural practice in those AEC requirements which include elements of agricultural practices of the green component (e.g. crop rotation)  has taken into account agricultural practices which include the green component. Payments for these requirements thus include only additional costs and loss of revenue for activities that exceed the agricultural practices of the green component. Payments for these requirements have been determined in the same (or lower) amount for all beneficiaries regardless of whether or not they must implement the green component. For the AEC payment requirements whose activities are equal to the green component practices within areas of ecological significance which are implemented pursuant to Article 46 of Regulation (EU) No 1307/2013, the beneficiaries will receive payments only for areas that exceed the total area of ecological significance.</w:t>
            </w:r>
          </w:p>
          <w:p w:rsidR="00F555D6" w:rsidRPr="005C3B55" w:rsidRDefault="00F555D6" w:rsidP="00F555D6">
            <w:pPr>
              <w:spacing w:before="240" w:after="240" w:line="280" w:lineRule="auto"/>
              <w:rPr>
                <w:szCs w:val="24"/>
              </w:rPr>
            </w:pPr>
            <w:r w:rsidRPr="005C3B55">
              <w:rPr>
                <w:szCs w:val="24"/>
              </w:rPr>
              <w:t>In order to prevent overpayment between the requirements of the AEC measure, and the AEC and Organic farming measures, the provisions of Article 11 of Regulation 808/2014/EU have been taken into account.</w:t>
            </w:r>
          </w:p>
          <w:p w:rsidR="00F555D6" w:rsidRPr="005C3B55" w:rsidRDefault="00F555D6" w:rsidP="00F555D6">
            <w:pPr>
              <w:spacing w:before="240" w:after="240" w:line="280" w:lineRule="auto"/>
              <w:rPr>
                <w:szCs w:val="24"/>
              </w:rPr>
            </w:pPr>
            <w:r w:rsidRPr="005C3B55">
              <w:rPr>
                <w:szCs w:val="24"/>
              </w:rPr>
              <w:t>The model calculation to determine payments for the AEC measure has been set within the framework of the simulation system of model calculations of the Agricultural Institute of Slovenia. The system enables the simulation of different methods of agricultural production both in terms of the set of agricultural products and in terms of various production technologies. For each AEC requirement, standard agricultural practice and agricultural production have been defined in the observation of individual requirements. Model calculations were used to assess the costs and revenue in standard agricultural practice and in the implementation of the AEC requirements.</w:t>
            </w:r>
          </w:p>
          <w:p w:rsidR="00F555D6" w:rsidRPr="005C3B55" w:rsidRDefault="00F555D6" w:rsidP="00F555D6">
            <w:pPr>
              <w:spacing w:after="240" w:line="280" w:lineRule="auto"/>
              <w:rPr>
                <w:szCs w:val="24"/>
              </w:rPr>
            </w:pPr>
            <w:r w:rsidRPr="005C3B55">
              <w:rPr>
                <w:szCs w:val="24"/>
              </w:rPr>
              <w:t>Average prices from 2013 and the beginning of 2014 (I.-VI) have been used in model calculations for the AEC payments. The sources for the prices of inputs are data from the Statistical Office of the Republic of Slovenia (hereinafter referred to as SORS), price lists of various bidders, etc. Labour costs are assessed in accordance with the average salary in the Republic Slovenia for 2013, including social security contributions and labour rights. Revenue for marketable crops is determined on the basis of data on purchase prices from the SORS, while revenue for fodder plants is determined on the basis of their forage value (prices of nutrients are calculated on the basis of pure nutrients); for agricultural products whose purchase prices are not available to the SURS, revenue is calculated on the basis of expert estimates or data obtained directly from purchasers. Market revenue without payments for agricultural policy measures was considered. Prices without value added tax were considered for costs and revenue.</w:t>
            </w:r>
          </w:p>
          <w:p w:rsidR="00F555D6" w:rsidRPr="005C3B55" w:rsidRDefault="00F555D6" w:rsidP="00F555D6">
            <w:pPr>
              <w:spacing w:before="240" w:after="240" w:line="280" w:lineRule="auto"/>
              <w:rPr>
                <w:szCs w:val="24"/>
              </w:rPr>
            </w:pPr>
            <w:r w:rsidRPr="005C3B55">
              <w:rPr>
                <w:b/>
                <w:szCs w:val="24"/>
              </w:rPr>
              <w:t>Model calculation of amounts of payments for the requirements of the AEC measure</w:t>
            </w:r>
          </w:p>
          <w:p w:rsidR="00F555D6" w:rsidRPr="005C3B55" w:rsidRDefault="00F555D6" w:rsidP="00F555D6">
            <w:pPr>
              <w:spacing w:before="240" w:after="240" w:line="280" w:lineRule="auto"/>
              <w:rPr>
                <w:szCs w:val="24"/>
              </w:rPr>
            </w:pPr>
            <w:r w:rsidRPr="005C3B55">
              <w:rPr>
                <w:szCs w:val="24"/>
              </w:rPr>
              <w:t>The basis for the calculation of payments for a AEC requirements is the difference which occurs in the financial result between SAP and the implementation of the requirement of the AEC measure. Two schemes of model calculation have been defined relating to the content of the requirements of the AEC measure. The first scheme (1) is used when the AEC measure affects the quantity of produce, change in crop rotation, etc., while the second scheme (2) is used for the AEC requirements which only result in additional material, service and labour costs.</w:t>
            </w:r>
          </w:p>
          <w:p w:rsidR="00F555D6" w:rsidRPr="005C3B55" w:rsidRDefault="00F555D6" w:rsidP="00F555D6">
            <w:pPr>
              <w:spacing w:before="240" w:after="240" w:line="280" w:lineRule="auto"/>
              <w:rPr>
                <w:szCs w:val="24"/>
              </w:rPr>
            </w:pPr>
            <w:r w:rsidRPr="005C3B55">
              <w:rPr>
                <w:b/>
                <w:szCs w:val="24"/>
              </w:rPr>
              <w:t>1. AECPR = (RSAP – VCSAP – LCSAP) - (RAEC  – VCAEC – LCAEC) + TCAEC</w:t>
            </w:r>
          </w:p>
          <w:p w:rsidR="00F555D6" w:rsidRPr="005C3B55" w:rsidRDefault="00F555D6" w:rsidP="00F555D6">
            <w:pPr>
              <w:spacing w:before="240" w:after="240" w:line="280" w:lineRule="auto"/>
              <w:rPr>
                <w:szCs w:val="24"/>
              </w:rPr>
            </w:pPr>
            <w:r w:rsidRPr="005C3B55">
              <w:rPr>
                <w:b/>
                <w:szCs w:val="24"/>
              </w:rPr>
              <w:t>2. AECPR = VCAEC + LCAEC + TCAEC</w:t>
            </w:r>
          </w:p>
          <w:p w:rsidR="00F555D6" w:rsidRPr="005C3B55" w:rsidRDefault="00F555D6" w:rsidP="00F555D6">
            <w:pPr>
              <w:spacing w:before="240" w:after="240" w:line="280" w:lineRule="auto"/>
              <w:rPr>
                <w:szCs w:val="24"/>
              </w:rPr>
            </w:pPr>
            <w:r w:rsidRPr="005C3B55">
              <w:rPr>
                <w:szCs w:val="24"/>
              </w:rPr>
              <w:t>AECPR – payment for the AEC requirement</w:t>
            </w:r>
          </w:p>
          <w:p w:rsidR="00F555D6" w:rsidRPr="005C3B55" w:rsidRDefault="00F555D6" w:rsidP="00F555D6">
            <w:pPr>
              <w:spacing w:before="240" w:after="240" w:line="280" w:lineRule="auto"/>
              <w:rPr>
                <w:szCs w:val="24"/>
              </w:rPr>
            </w:pPr>
            <w:r w:rsidRPr="005C3B55">
              <w:rPr>
                <w:szCs w:val="24"/>
              </w:rPr>
              <w:t>R = P * Price</w:t>
            </w:r>
          </w:p>
          <w:p w:rsidR="00F555D6" w:rsidRPr="005C3B55" w:rsidRDefault="00F555D6" w:rsidP="00F555D6">
            <w:pPr>
              <w:spacing w:before="240" w:after="240" w:line="280" w:lineRule="auto"/>
              <w:rPr>
                <w:szCs w:val="24"/>
              </w:rPr>
            </w:pPr>
            <w:r w:rsidRPr="005C3B55">
              <w:rPr>
                <w:szCs w:val="24"/>
              </w:rPr>
              <w:t>R – REVENUE</w:t>
            </w:r>
          </w:p>
          <w:p w:rsidR="00F555D6" w:rsidRPr="005C3B55" w:rsidRDefault="00F555D6" w:rsidP="00F555D6">
            <w:pPr>
              <w:spacing w:before="240" w:after="240" w:line="280" w:lineRule="auto"/>
              <w:rPr>
                <w:szCs w:val="24"/>
              </w:rPr>
            </w:pPr>
            <w:r w:rsidRPr="005C3B55">
              <w:rPr>
                <w:szCs w:val="24"/>
              </w:rPr>
              <w:t>P – PRODUCE</w:t>
            </w:r>
          </w:p>
          <w:p w:rsidR="00F555D6" w:rsidRPr="005C3B55" w:rsidRDefault="00F555D6" w:rsidP="00F555D6">
            <w:pPr>
              <w:spacing w:before="240" w:after="240" w:line="280" w:lineRule="auto"/>
              <w:rPr>
                <w:szCs w:val="24"/>
              </w:rPr>
            </w:pPr>
            <w:r w:rsidRPr="005C3B55">
              <w:rPr>
                <w:szCs w:val="24"/>
              </w:rPr>
              <w:t>Price</w:t>
            </w:r>
          </w:p>
          <w:p w:rsidR="00F555D6" w:rsidRPr="005C3B55" w:rsidRDefault="00F555D6" w:rsidP="00F555D6">
            <w:pPr>
              <w:spacing w:before="240" w:after="240" w:line="280" w:lineRule="auto"/>
              <w:rPr>
                <w:szCs w:val="24"/>
              </w:rPr>
            </w:pPr>
            <w:r w:rsidRPr="005C3B55">
              <w:rPr>
                <w:szCs w:val="24"/>
              </w:rPr>
              <w:t>VC – VARIABLE COSTS</w:t>
            </w:r>
          </w:p>
          <w:p w:rsidR="00F555D6" w:rsidRPr="005C3B55" w:rsidRDefault="00F555D6" w:rsidP="00F555D6">
            <w:pPr>
              <w:spacing w:before="240" w:after="240" w:line="280" w:lineRule="auto"/>
              <w:rPr>
                <w:szCs w:val="24"/>
              </w:rPr>
            </w:pPr>
            <w:r w:rsidRPr="005C3B55">
              <w:rPr>
                <w:szCs w:val="24"/>
              </w:rPr>
              <w:t>LC – LABOUR COSTS</w:t>
            </w:r>
          </w:p>
          <w:p w:rsidR="00F555D6" w:rsidRPr="005C3B55" w:rsidRDefault="00F555D6" w:rsidP="00F555D6">
            <w:pPr>
              <w:spacing w:before="240" w:after="240" w:line="280" w:lineRule="auto"/>
              <w:rPr>
                <w:szCs w:val="24"/>
              </w:rPr>
            </w:pPr>
            <w:r w:rsidRPr="005C3B55">
              <w:rPr>
                <w:szCs w:val="24"/>
              </w:rPr>
              <w:t>TC – TRANSACTION COSTS: maximum 20% of payment</w:t>
            </w:r>
          </w:p>
          <w:p w:rsidR="00F555D6" w:rsidRPr="005C3B55" w:rsidRDefault="00F555D6" w:rsidP="00F555D6">
            <w:pPr>
              <w:spacing w:before="240" w:after="240" w:line="280" w:lineRule="auto"/>
              <w:rPr>
                <w:szCs w:val="24"/>
              </w:rPr>
            </w:pPr>
            <w:r w:rsidRPr="005C3B55">
              <w:rPr>
                <w:szCs w:val="24"/>
              </w:rPr>
              <w:t>SAP – STANDARD AGRICULTURAL PRACTICE</w:t>
            </w:r>
          </w:p>
          <w:p w:rsidR="00F555D6" w:rsidRPr="005C3B55" w:rsidRDefault="00F555D6" w:rsidP="00F555D6">
            <w:pPr>
              <w:spacing w:before="240" w:after="240" w:line="280" w:lineRule="auto"/>
              <w:rPr>
                <w:szCs w:val="24"/>
              </w:rPr>
            </w:pPr>
            <w:r w:rsidRPr="005C3B55">
              <w:rPr>
                <w:szCs w:val="24"/>
              </w:rPr>
              <w:t>AEC – AEC REQUIREMENT</w:t>
            </w:r>
          </w:p>
          <w:p w:rsidR="00F555D6" w:rsidRPr="005C3B55" w:rsidRDefault="00F555D6" w:rsidP="00F555D6">
            <w:pPr>
              <w:spacing w:before="240" w:after="240" w:line="280" w:lineRule="auto"/>
              <w:rPr>
                <w:szCs w:val="24"/>
              </w:rPr>
            </w:pPr>
            <w:r w:rsidRPr="005C3B55">
              <w:rPr>
                <w:szCs w:val="24"/>
              </w:rPr>
              <w:t>Combinations  of the requirements of the AEC measure with permitted combinations which are compatible, supplementary and their commitments overlap, and for the requirements of the AEC measure which may be implemented under the ‘Organic farming’ measure and their commitments overlap have been studies and on the basis of model calculations, amounts of payments for the combinations have been defined. The provisions of Article 11 of Commission Implementing Regulation (EU) No 808/2014 were taken into account.</w:t>
            </w:r>
          </w:p>
          <w:p w:rsidR="00F555D6" w:rsidRPr="005C3B55" w:rsidRDefault="00F555D6" w:rsidP="00F555D6">
            <w:pPr>
              <w:pStyle w:val="Telobesedila"/>
              <w:spacing w:after="100"/>
              <w:rPr>
                <w:szCs w:val="24"/>
              </w:rPr>
            </w:pPr>
          </w:p>
        </w:tc>
      </w:tr>
    </w:tbl>
    <w:p w:rsidR="00F555D6" w:rsidRPr="005C3B55" w:rsidRDefault="00F555D6" w:rsidP="00F555D6">
      <w:pPr>
        <w:pStyle w:val="Naslov4"/>
        <w:tabs>
          <w:tab w:val="clear" w:pos="765"/>
        </w:tabs>
        <w:spacing w:after="100"/>
        <w:ind w:left="0" w:firstLine="0"/>
        <w:jc w:val="left"/>
        <w:rPr>
          <w:szCs w:val="24"/>
          <w:lang w:val="en-GB"/>
        </w:rPr>
      </w:pPr>
      <w:r w:rsidRPr="005C3B55">
        <w:rPr>
          <w:szCs w:val="24"/>
          <w:lang w:val="en-GB"/>
        </w:rPr>
        <w:t>Other important remarks relevant to understanding and implementing the measure</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b/>
                <w:i/>
                <w:szCs w:val="24"/>
              </w:rPr>
              <w:t>Training and advisory services</w:t>
            </w:r>
          </w:p>
          <w:p w:rsidR="00F555D6" w:rsidRPr="005C3B55" w:rsidRDefault="00F555D6" w:rsidP="00F555D6">
            <w:pPr>
              <w:spacing w:before="240" w:after="240" w:line="280" w:lineRule="auto"/>
              <w:rPr>
                <w:szCs w:val="24"/>
              </w:rPr>
            </w:pPr>
            <w:r w:rsidRPr="005C3B55">
              <w:rPr>
                <w:szCs w:val="24"/>
              </w:rPr>
              <w:t>In order to ensure better, more efficient and result-oriented implementation of measure M10, the content related to this measure will also be included in the support for measures M01 and M02.</w:t>
            </w:r>
          </w:p>
          <w:p w:rsidR="00F555D6" w:rsidRPr="005C3B55" w:rsidRDefault="00F555D6" w:rsidP="00F555D6">
            <w:pPr>
              <w:spacing w:before="240" w:after="240" w:line="280" w:lineRule="auto"/>
              <w:rPr>
                <w:szCs w:val="24"/>
              </w:rPr>
            </w:pPr>
            <w:r w:rsidRPr="005C3B55">
              <w:rPr>
                <w:szCs w:val="24"/>
              </w:rPr>
              <w:t>Prior to entering the M10 measure, beneficiaries will have to undergo preliminary training and also regular annual training during the obligation which will be funded according to Article 14 of Regulation (EU) No 1305/2013. In the first three years of the commitment, the beneficiaries will also have to use advisory services provided as per Article 15 of Regulation (EU) No 1305/2013.</w:t>
            </w:r>
          </w:p>
          <w:p w:rsidR="00F555D6" w:rsidRPr="005C3B55" w:rsidRDefault="00F555D6" w:rsidP="00F555D6">
            <w:pPr>
              <w:spacing w:before="240" w:after="240" w:line="280" w:lineRule="auto"/>
              <w:rPr>
                <w:szCs w:val="24"/>
              </w:rPr>
            </w:pPr>
            <w:r w:rsidRPr="005C3B55">
              <w:rPr>
                <w:b/>
                <w:i/>
                <w:szCs w:val="24"/>
              </w:rPr>
              <w:t>Payment for agricultural practices that make a positive contribution to the environment and climate</w:t>
            </w:r>
          </w:p>
          <w:p w:rsidR="00F555D6" w:rsidRPr="005C3B55" w:rsidRDefault="00F555D6" w:rsidP="00F555D6">
            <w:pPr>
              <w:spacing w:before="240" w:after="240" w:line="280" w:lineRule="auto"/>
              <w:rPr>
                <w:szCs w:val="24"/>
              </w:rPr>
            </w:pPr>
            <w:r w:rsidRPr="005C3B55">
              <w:rPr>
                <w:szCs w:val="24"/>
              </w:rPr>
              <w:t>In order to ensure more efficient and targeted use of EU funds, and prevent double funding on the basis of similar support instruments, provisions of Article 43 of Regulation (EU) No 1307/2013 are observed in determining payments for the AEC measure.</w:t>
            </w:r>
          </w:p>
          <w:p w:rsidR="00F555D6" w:rsidRPr="005C3B55" w:rsidRDefault="00F555D6" w:rsidP="00F555D6">
            <w:pPr>
              <w:spacing w:before="240" w:after="240" w:line="280" w:lineRule="auto"/>
              <w:rPr>
                <w:szCs w:val="24"/>
              </w:rPr>
            </w:pPr>
            <w:r w:rsidRPr="005C3B55">
              <w:rPr>
                <w:b/>
                <w:i/>
                <w:szCs w:val="24"/>
              </w:rPr>
              <w:t>Payments to areas facing natural or other specific constraints</w:t>
            </w:r>
          </w:p>
          <w:p w:rsidR="00F555D6" w:rsidRPr="005C3B55" w:rsidRDefault="00F555D6" w:rsidP="00F555D6">
            <w:pPr>
              <w:spacing w:before="240" w:after="240" w:line="280" w:lineRule="auto"/>
              <w:rPr>
                <w:szCs w:val="24"/>
              </w:rPr>
            </w:pPr>
            <w:r w:rsidRPr="005C3B55">
              <w:rPr>
                <w:szCs w:val="24"/>
              </w:rPr>
              <w:t>Beneficiaries included in the M10 measure may also acquire payments for the M13 measure.</w:t>
            </w:r>
          </w:p>
          <w:p w:rsidR="00F555D6" w:rsidRPr="005C3B55" w:rsidRDefault="00F555D6" w:rsidP="00F555D6">
            <w:pPr>
              <w:spacing w:before="240" w:after="240" w:line="280" w:lineRule="auto"/>
              <w:rPr>
                <w:szCs w:val="24"/>
              </w:rPr>
            </w:pPr>
            <w:r w:rsidRPr="005C3B55">
              <w:rPr>
                <w:b/>
                <w:i/>
                <w:szCs w:val="24"/>
              </w:rPr>
              <w:t>Animal welfare</w:t>
            </w:r>
          </w:p>
          <w:p w:rsidR="00F555D6" w:rsidRPr="005C3B55" w:rsidRDefault="00F555D6" w:rsidP="00F555D6">
            <w:pPr>
              <w:spacing w:before="240" w:after="240" w:line="280" w:lineRule="auto"/>
              <w:rPr>
                <w:szCs w:val="24"/>
              </w:rPr>
            </w:pPr>
            <w:r w:rsidRPr="005C3B55">
              <w:rPr>
                <w:szCs w:val="24"/>
              </w:rPr>
              <w:t>Beneficiaries included in the M10 measure may also acquire payments for the M14 measure.</w:t>
            </w:r>
          </w:p>
          <w:p w:rsidR="00F555D6" w:rsidRPr="005C3B55" w:rsidRDefault="00F555D6" w:rsidP="00F555D6">
            <w:pPr>
              <w:spacing w:before="240" w:after="240" w:line="280" w:lineRule="auto"/>
              <w:rPr>
                <w:szCs w:val="24"/>
              </w:rPr>
            </w:pPr>
            <w:r w:rsidRPr="005C3B55">
              <w:rPr>
                <w:szCs w:val="24"/>
              </w:rPr>
              <w:t> </w:t>
            </w:r>
          </w:p>
          <w:p w:rsidR="00F555D6" w:rsidRPr="005C3B55" w:rsidRDefault="00F555D6" w:rsidP="00F555D6">
            <w:pPr>
              <w:pStyle w:val="Telobesedila"/>
              <w:rPr>
                <w:szCs w:val="24"/>
              </w:rPr>
            </w:pPr>
          </w:p>
        </w:tc>
      </w:tr>
    </w:tbl>
    <w:p w:rsidR="00F555D6" w:rsidRPr="005C3B55" w:rsidRDefault="00F555D6" w:rsidP="00F555D6">
      <w:pPr>
        <w:pStyle w:val="Naslov3"/>
        <w:tabs>
          <w:tab w:val="clear" w:pos="765"/>
        </w:tabs>
        <w:ind w:left="0" w:firstLine="0"/>
        <w:jc w:val="left"/>
        <w:rPr>
          <w:szCs w:val="24"/>
          <w:lang w:val="en-GB"/>
        </w:rPr>
      </w:pPr>
      <w:r w:rsidRPr="005C3B55">
        <w:rPr>
          <w:szCs w:val="24"/>
          <w:lang w:val="en-GB"/>
        </w:rPr>
        <w:br w:type="page"/>
      </w:r>
      <w:bookmarkStart w:id="124" w:name="_Toc416192582"/>
      <w:r w:rsidRPr="005C3B55">
        <w:rPr>
          <w:szCs w:val="24"/>
          <w:lang w:val="en-GB"/>
        </w:rPr>
        <w:t>M11 – Organic farming (Article 29)</w:t>
      </w:r>
      <w:bookmarkEnd w:id="124"/>
    </w:p>
    <w:p w:rsidR="00F555D6" w:rsidRPr="005C3B55" w:rsidRDefault="00F555D6" w:rsidP="00F555D6">
      <w:pPr>
        <w:pStyle w:val="Naslov4"/>
        <w:tabs>
          <w:tab w:val="clear" w:pos="765"/>
        </w:tabs>
        <w:ind w:left="0" w:firstLine="0"/>
        <w:jc w:val="left"/>
        <w:rPr>
          <w:szCs w:val="24"/>
          <w:lang w:val="en-GB"/>
        </w:rPr>
      </w:pPr>
      <w:r w:rsidRPr="005C3B55">
        <w:rPr>
          <w:szCs w:val="24"/>
          <w:lang w:val="en-GB"/>
        </w:rPr>
        <w:t>Legal basis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The M11 measure is implemented as per the first to eighth paragraphs of Article 29 of Regulation (EU) No 1305/2013.</w:t>
            </w:r>
          </w:p>
          <w:p w:rsidR="00F555D6" w:rsidRPr="005C3B55" w:rsidRDefault="00F555D6" w:rsidP="00F555D6">
            <w:pPr>
              <w:pStyle w:val="Telobesedila"/>
              <w:rPr>
                <w:szCs w:val="24"/>
              </w:rPr>
            </w:pPr>
          </w:p>
        </w:tc>
      </w:tr>
    </w:tbl>
    <w:p w:rsidR="00F555D6" w:rsidRPr="005C3B55" w:rsidRDefault="00F555D6" w:rsidP="00F555D6">
      <w:pPr>
        <w:pStyle w:val="Naslov4"/>
        <w:tabs>
          <w:tab w:val="clear" w:pos="765"/>
        </w:tabs>
        <w:ind w:left="0" w:firstLine="0"/>
        <w:jc w:val="left"/>
        <w:rPr>
          <w:szCs w:val="24"/>
          <w:lang w:val="en-GB"/>
        </w:rPr>
      </w:pPr>
      <w:r w:rsidRPr="005C3B55">
        <w:rPr>
          <w:szCs w:val="24"/>
          <w:lang w:val="en-GB"/>
        </w:rPr>
        <w:t>A general description of the measure, including its intervention logic and contribution to priority areas and horizontal goals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The analysis of needs demonstrates that the supply of products from organic farming is low and does not meet the demands of the market.</w:t>
            </w:r>
          </w:p>
          <w:p w:rsidR="00F555D6" w:rsidRPr="005C3B55" w:rsidRDefault="00F555D6" w:rsidP="00F555D6">
            <w:pPr>
              <w:spacing w:before="240" w:after="240" w:line="280" w:lineRule="auto"/>
              <w:rPr>
                <w:szCs w:val="24"/>
              </w:rPr>
            </w:pPr>
            <w:r w:rsidRPr="005C3B55">
              <w:rPr>
                <w:szCs w:val="24"/>
              </w:rPr>
              <w:t>The purpose of the measure is to encourage agricultural holdings to implement environmentally-friendly farming, which means not only prohibiting the use of chemically synthesised plant protection products and mineral fertilisers, but is also aimed at:</w:t>
            </w:r>
          </w:p>
          <w:p w:rsidR="00F555D6" w:rsidRPr="005C3B55" w:rsidRDefault="00F555D6" w:rsidP="00F555D6">
            <w:pPr>
              <w:numPr>
                <w:ilvl w:val="0"/>
                <w:numId w:val="867"/>
              </w:numPr>
              <w:spacing w:before="240" w:after="0"/>
              <w:ind w:hanging="290"/>
              <w:jc w:val="left"/>
              <w:rPr>
                <w:szCs w:val="24"/>
              </w:rPr>
            </w:pPr>
            <w:r w:rsidRPr="005C3B55">
              <w:rPr>
                <w:szCs w:val="24"/>
              </w:rPr>
              <w:t>preserving the fertility of soil;</w:t>
            </w:r>
          </w:p>
          <w:p w:rsidR="00F555D6" w:rsidRPr="005C3B55" w:rsidRDefault="00F555D6" w:rsidP="00F555D6">
            <w:pPr>
              <w:numPr>
                <w:ilvl w:val="0"/>
                <w:numId w:val="867"/>
              </w:numPr>
              <w:spacing w:before="0" w:after="0"/>
              <w:ind w:hanging="290"/>
              <w:jc w:val="left"/>
              <w:rPr>
                <w:szCs w:val="24"/>
              </w:rPr>
            </w:pPr>
            <w:r w:rsidRPr="005C3B55">
              <w:rPr>
                <w:szCs w:val="24"/>
              </w:rPr>
              <w:t>closed circulation of nutrients on the agricultural holding;</w:t>
            </w:r>
          </w:p>
          <w:p w:rsidR="00F555D6" w:rsidRPr="005C3B55" w:rsidRDefault="00F555D6" w:rsidP="00F555D6">
            <w:pPr>
              <w:numPr>
                <w:ilvl w:val="0"/>
                <w:numId w:val="867"/>
              </w:numPr>
              <w:spacing w:before="0" w:after="0"/>
              <w:ind w:hanging="290"/>
              <w:jc w:val="left"/>
              <w:rPr>
                <w:szCs w:val="24"/>
              </w:rPr>
            </w:pPr>
            <w:r w:rsidRPr="005C3B55">
              <w:rPr>
                <w:szCs w:val="24"/>
              </w:rPr>
              <w:t>improving the state of soil and health of plants, animals and humans;</w:t>
            </w:r>
          </w:p>
          <w:p w:rsidR="00F555D6" w:rsidRPr="005C3B55" w:rsidRDefault="00F555D6" w:rsidP="00F555D6">
            <w:pPr>
              <w:numPr>
                <w:ilvl w:val="0"/>
                <w:numId w:val="867"/>
              </w:numPr>
              <w:spacing w:before="0" w:after="0"/>
              <w:ind w:hanging="290"/>
              <w:jc w:val="left"/>
              <w:rPr>
                <w:szCs w:val="24"/>
              </w:rPr>
            </w:pPr>
            <w:r w:rsidRPr="005C3B55">
              <w:rPr>
                <w:szCs w:val="24"/>
              </w:rPr>
              <w:t>breeding of animals adjusted to their species and categories;</w:t>
            </w:r>
          </w:p>
          <w:p w:rsidR="00F555D6" w:rsidRPr="005C3B55" w:rsidRDefault="00F555D6" w:rsidP="00F555D6">
            <w:pPr>
              <w:numPr>
                <w:ilvl w:val="0"/>
                <w:numId w:val="867"/>
              </w:numPr>
              <w:spacing w:before="0" w:after="0"/>
              <w:ind w:hanging="290"/>
              <w:jc w:val="left"/>
              <w:rPr>
                <w:szCs w:val="24"/>
              </w:rPr>
            </w:pPr>
            <w:r w:rsidRPr="005C3B55">
              <w:rPr>
                <w:szCs w:val="24"/>
              </w:rPr>
              <w:t>production of healthy, quality and safe foodstuffs;</w:t>
            </w:r>
          </w:p>
          <w:p w:rsidR="00F555D6" w:rsidRPr="005C3B55" w:rsidRDefault="00F555D6" w:rsidP="00F555D6">
            <w:pPr>
              <w:numPr>
                <w:ilvl w:val="0"/>
                <w:numId w:val="867"/>
              </w:numPr>
              <w:spacing w:before="0" w:after="0"/>
              <w:ind w:hanging="290"/>
              <w:jc w:val="left"/>
              <w:rPr>
                <w:szCs w:val="24"/>
              </w:rPr>
            </w:pPr>
            <w:r w:rsidRPr="005C3B55">
              <w:rPr>
                <w:szCs w:val="24"/>
              </w:rPr>
              <w:t>protecting natural living resources (soil-water-air);</w:t>
            </w:r>
          </w:p>
          <w:p w:rsidR="00F555D6" w:rsidRPr="005C3B55" w:rsidRDefault="00F555D6" w:rsidP="00F555D6">
            <w:pPr>
              <w:numPr>
                <w:ilvl w:val="0"/>
                <w:numId w:val="867"/>
              </w:numPr>
              <w:spacing w:before="0" w:after="0"/>
              <w:ind w:hanging="290"/>
              <w:jc w:val="left"/>
              <w:rPr>
                <w:szCs w:val="24"/>
              </w:rPr>
            </w:pPr>
            <w:r w:rsidRPr="005C3B55">
              <w:rPr>
                <w:szCs w:val="24"/>
              </w:rPr>
              <w:t>actively protecting the environment and biodiversity, and</w:t>
            </w:r>
          </w:p>
          <w:p w:rsidR="00F555D6" w:rsidRPr="005C3B55" w:rsidRDefault="00F555D6" w:rsidP="00F555D6">
            <w:pPr>
              <w:numPr>
                <w:ilvl w:val="0"/>
                <w:numId w:val="867"/>
              </w:numPr>
              <w:spacing w:before="0" w:after="240"/>
              <w:ind w:hanging="290"/>
              <w:jc w:val="left"/>
              <w:rPr>
                <w:szCs w:val="24"/>
              </w:rPr>
            </w:pPr>
            <w:r w:rsidRPr="005C3B55">
              <w:rPr>
                <w:szCs w:val="24"/>
              </w:rPr>
              <w:t>sustainably managing non-renewable natural resources.</w:t>
            </w:r>
          </w:p>
          <w:p w:rsidR="00F555D6" w:rsidRPr="005C3B55" w:rsidRDefault="00F555D6" w:rsidP="00F555D6">
            <w:pPr>
              <w:spacing w:before="240" w:after="240" w:line="280" w:lineRule="auto"/>
              <w:rPr>
                <w:szCs w:val="24"/>
              </w:rPr>
            </w:pPr>
            <w:r w:rsidRPr="005C3B55">
              <w:rPr>
                <w:szCs w:val="24"/>
              </w:rPr>
              <w:t>The measure also represents a great opportunity for the creation of new jobs and the revitalisation of rural communities. The measure is also important from the viewpoint of increasing demand for locally produced organic products. The demand in Slovenia is significantly higher than supply, which is why the conversion to organic farming is important for the development of local markets and represents a market opportunity for producers and promotes greater inclusion in the quality scheme. In addition to economic effects, organic farming also has many other positive impacts, particularly from the point of view of health, the environment and society.</w:t>
            </w:r>
          </w:p>
          <w:p w:rsidR="00F555D6" w:rsidRPr="005C3B55" w:rsidRDefault="00F555D6" w:rsidP="00F555D6">
            <w:pPr>
              <w:spacing w:before="240" w:after="240" w:line="280" w:lineRule="auto"/>
              <w:rPr>
                <w:szCs w:val="24"/>
              </w:rPr>
            </w:pPr>
            <w:r w:rsidRPr="005C3B55">
              <w:rPr>
                <w:szCs w:val="24"/>
              </w:rPr>
              <w:t>The measure also promotes the application of advisory services at least once during the duration of the commitment with which the beneficiaries will obtain special knowledge related to new technologies in individual sectors in organic farming. In this way, we also contribute to improving economic and environmental protection efficiency.</w:t>
            </w:r>
          </w:p>
          <w:p w:rsidR="00F555D6" w:rsidRPr="005C3B55" w:rsidRDefault="00F555D6" w:rsidP="00F555D6">
            <w:pPr>
              <w:spacing w:before="240" w:after="240" w:line="280" w:lineRule="auto"/>
              <w:rPr>
                <w:szCs w:val="24"/>
              </w:rPr>
            </w:pPr>
            <w:r w:rsidRPr="005C3B55">
              <w:rPr>
                <w:szCs w:val="24"/>
              </w:rPr>
              <w:t>As part of the measure, support is provided for the implementation of organic farming, as well as conversion to organic farming, because these environmentally-friendly farming practices significantly contribute to securing public goods, primarily to preserving or improving biodiversity, preserving sources of drinking water, the fertility of soil, the cultural farming landscape, and to environmental protection in general. The measure indirectly promotes the increase in marketed organic production and processing.</w:t>
            </w:r>
          </w:p>
          <w:p w:rsidR="00F555D6" w:rsidRPr="005C3B55" w:rsidRDefault="00F555D6" w:rsidP="00F555D6">
            <w:pPr>
              <w:spacing w:before="240" w:after="240" w:line="280" w:lineRule="auto"/>
              <w:rPr>
                <w:szCs w:val="24"/>
              </w:rPr>
            </w:pPr>
            <w:r w:rsidRPr="005C3B55">
              <w:rPr>
                <w:szCs w:val="24"/>
              </w:rPr>
              <w:t>Support under the measure focuses on the fourth action area referred to in the RDP 2014–2020 determined in Chapter 5.1 of the RDP 2014–2020.</w:t>
            </w:r>
          </w:p>
          <w:p w:rsidR="00F555D6" w:rsidRPr="005C3B55" w:rsidRDefault="00F555D6" w:rsidP="00F555D6">
            <w:pPr>
              <w:spacing w:before="240" w:after="240" w:line="280" w:lineRule="auto"/>
              <w:rPr>
                <w:szCs w:val="24"/>
              </w:rPr>
            </w:pPr>
            <w:r w:rsidRPr="005C3B55">
              <w:rPr>
                <w:szCs w:val="24"/>
              </w:rPr>
              <w:t>The measure will be implemented through two sub-measures:</w:t>
            </w:r>
          </w:p>
          <w:p w:rsidR="00F555D6" w:rsidRPr="005C3B55" w:rsidRDefault="00F555D6" w:rsidP="00F555D6">
            <w:pPr>
              <w:numPr>
                <w:ilvl w:val="0"/>
                <w:numId w:val="868"/>
              </w:numPr>
              <w:spacing w:before="240" w:after="0"/>
              <w:ind w:hanging="290"/>
              <w:jc w:val="left"/>
              <w:rPr>
                <w:szCs w:val="24"/>
              </w:rPr>
            </w:pPr>
            <w:r w:rsidRPr="005C3B55">
              <w:rPr>
                <w:szCs w:val="24"/>
              </w:rPr>
              <w:t>Payments for the conversion to organic farming practices and methods (sub-measure 11.1), and</w:t>
            </w:r>
          </w:p>
          <w:p w:rsidR="00F555D6" w:rsidRPr="005C3B55" w:rsidRDefault="00F555D6" w:rsidP="00F555D6">
            <w:pPr>
              <w:numPr>
                <w:ilvl w:val="0"/>
                <w:numId w:val="868"/>
              </w:numPr>
              <w:spacing w:before="0" w:after="240"/>
              <w:ind w:hanging="290"/>
              <w:jc w:val="left"/>
              <w:rPr>
                <w:szCs w:val="24"/>
              </w:rPr>
            </w:pPr>
            <w:r w:rsidRPr="005C3B55">
              <w:rPr>
                <w:szCs w:val="24"/>
              </w:rPr>
              <w:t>Payments for the preservation of organic farming practices and methods (sub-measure 11.2).</w:t>
            </w:r>
          </w:p>
          <w:p w:rsidR="00F555D6" w:rsidRPr="005C3B55" w:rsidRDefault="00F555D6" w:rsidP="00F555D6">
            <w:pPr>
              <w:spacing w:before="240" w:after="240" w:line="280" w:lineRule="auto"/>
              <w:rPr>
                <w:szCs w:val="24"/>
              </w:rPr>
            </w:pPr>
            <w:r w:rsidRPr="005C3B55">
              <w:rPr>
                <w:b/>
                <w:szCs w:val="24"/>
              </w:rPr>
              <w:t>Duration of commitment</w:t>
            </w:r>
          </w:p>
          <w:p w:rsidR="00F555D6" w:rsidRPr="005C3B55" w:rsidRDefault="00F555D6" w:rsidP="00F555D6">
            <w:pPr>
              <w:spacing w:before="240" w:after="240" w:line="280" w:lineRule="auto"/>
              <w:rPr>
                <w:szCs w:val="24"/>
              </w:rPr>
            </w:pPr>
            <w:r w:rsidRPr="005C3B55">
              <w:rPr>
                <w:rFonts w:ascii="TimesNewRoman" w:hAnsi="TimesNewRoman"/>
                <w:szCs w:val="24"/>
              </w:rPr>
              <w:t xml:space="preserve">By entering the </w:t>
            </w:r>
            <w:r w:rsidRPr="005C3B55">
              <w:rPr>
                <w:szCs w:val="24"/>
              </w:rPr>
              <w:t xml:space="preserve">measure, a beneficiary is committed to implementing this measure for the entire duration of the commitment </w:t>
            </w:r>
            <w:r w:rsidRPr="005C3B55">
              <w:rPr>
                <w:rFonts w:ascii="TimesNewRoman" w:hAnsi="TimesNewRoman"/>
                <w:szCs w:val="24"/>
              </w:rPr>
              <w:t>in accordance with all the prescribed conditions and requirements.</w:t>
            </w:r>
            <w:r w:rsidRPr="005C3B55">
              <w:rPr>
                <w:szCs w:val="24"/>
              </w:rPr>
              <w:t xml:space="preserve"> The duration of the ‘Organic farming’ measure is five years, with the possibility of extension as per point 3 of Article 29 of Regulation (EU) No 1305/2013.</w:t>
            </w:r>
          </w:p>
          <w:p w:rsidR="00F555D6" w:rsidRPr="005C3B55" w:rsidRDefault="00F555D6" w:rsidP="00F555D6">
            <w:pPr>
              <w:spacing w:before="240" w:after="240" w:line="280" w:lineRule="auto"/>
              <w:rPr>
                <w:szCs w:val="24"/>
              </w:rPr>
            </w:pPr>
            <w:r w:rsidRPr="005C3B55">
              <w:rPr>
                <w:b/>
                <w:szCs w:val="24"/>
              </w:rPr>
              <w:t>Surface area</w:t>
            </w:r>
          </w:p>
          <w:p w:rsidR="00F555D6" w:rsidRPr="005C3B55" w:rsidRDefault="00F555D6" w:rsidP="00F555D6">
            <w:pPr>
              <w:spacing w:before="240" w:after="240" w:line="280" w:lineRule="auto"/>
              <w:rPr>
                <w:szCs w:val="24"/>
              </w:rPr>
            </w:pPr>
            <w:r w:rsidRPr="005C3B55">
              <w:rPr>
                <w:szCs w:val="24"/>
              </w:rPr>
              <w:t>The minimum size of a continuous surface of agricultural land of the same type of use is 0.1 hectare, with the exception of production of seeds of agricultural plants, where the minimum size of a continuous surface may be 0.01 hectare. The size of the total land area, regardless of the type of use, for which payment under this measure can be claimed, must be at least 0.3 hectares.</w:t>
            </w:r>
          </w:p>
          <w:p w:rsidR="00F555D6" w:rsidRPr="005C3B55" w:rsidRDefault="00F555D6" w:rsidP="00F555D6">
            <w:pPr>
              <w:spacing w:before="240" w:after="240" w:line="280" w:lineRule="auto"/>
              <w:rPr>
                <w:szCs w:val="24"/>
              </w:rPr>
            </w:pPr>
            <w:r w:rsidRPr="005C3B55">
              <w:rPr>
                <w:b/>
                <w:szCs w:val="24"/>
              </w:rPr>
              <w:t xml:space="preserve">Change in the area of surface included in the commitment </w:t>
            </w:r>
          </w:p>
          <w:p w:rsidR="00F555D6" w:rsidRPr="005C3B55" w:rsidRDefault="00F555D6" w:rsidP="00F555D6">
            <w:pPr>
              <w:spacing w:before="240" w:after="240" w:line="280" w:lineRule="auto"/>
              <w:rPr>
                <w:szCs w:val="24"/>
              </w:rPr>
            </w:pPr>
            <w:r w:rsidRPr="005C3B55">
              <w:rPr>
                <w:szCs w:val="24"/>
              </w:rPr>
              <w:t>As per the first paragraph of Article 47 of Regulation (EU) No 1305/2013, the area of the surface included in the commitment may change by no more than 10 % over the years as per the first year of the commitment (entry year).</w:t>
            </w:r>
          </w:p>
          <w:p w:rsidR="00F555D6" w:rsidRPr="005C3B55" w:rsidRDefault="00F555D6" w:rsidP="00F555D6">
            <w:pPr>
              <w:spacing w:before="240" w:after="240" w:line="280" w:lineRule="auto"/>
              <w:rPr>
                <w:szCs w:val="24"/>
              </w:rPr>
            </w:pPr>
            <w:r w:rsidRPr="005C3B55">
              <w:rPr>
                <w:b/>
                <w:szCs w:val="24"/>
              </w:rPr>
              <w:t>Increasing the surface areas of agricultural holdings</w:t>
            </w:r>
          </w:p>
          <w:p w:rsidR="00F555D6" w:rsidRPr="005C3B55" w:rsidRDefault="00F555D6" w:rsidP="00F555D6">
            <w:pPr>
              <w:spacing w:before="240" w:after="240" w:line="280" w:lineRule="auto"/>
              <w:rPr>
                <w:szCs w:val="24"/>
              </w:rPr>
            </w:pPr>
            <w:r w:rsidRPr="005C3B55">
              <w:rPr>
                <w:szCs w:val="24"/>
              </w:rPr>
              <w:t>As per Article 15 of the Commission Delegated Regulation (EU) No 807/2014, the surface area of the agricultural holding may be increased during the commitment. Due to the increase of surface area of the agricultural holding, the existing commitment may expand, whereby the duration of the existing commitment has to be observed, or the existing commitment may be replaced with a new five-year commitment.</w:t>
            </w:r>
          </w:p>
          <w:p w:rsidR="00F555D6" w:rsidRPr="005C3B55" w:rsidRDefault="00F555D6" w:rsidP="00F555D6">
            <w:pPr>
              <w:spacing w:before="240" w:after="240" w:line="280" w:lineRule="auto"/>
              <w:rPr>
                <w:szCs w:val="24"/>
              </w:rPr>
            </w:pPr>
            <w:r w:rsidRPr="005C3B55">
              <w:rPr>
                <w:b/>
                <w:szCs w:val="24"/>
              </w:rPr>
              <w:t>Requirements for implementing the organic farming measure and comparison with standard agricultural practice</w:t>
            </w:r>
          </w:p>
          <w:p w:rsidR="00F555D6" w:rsidRPr="005C3B55" w:rsidRDefault="00F555D6" w:rsidP="00F555D6">
            <w:pPr>
              <w:spacing w:before="240" w:after="240" w:line="280" w:lineRule="auto"/>
              <w:rPr>
                <w:szCs w:val="24"/>
              </w:rPr>
            </w:pPr>
            <w:r w:rsidRPr="005C3B55">
              <w:rPr>
                <w:b/>
                <w:i/>
                <w:szCs w:val="24"/>
              </w:rPr>
              <w:t>Standard practice</w:t>
            </w:r>
          </w:p>
          <w:p w:rsidR="00F555D6" w:rsidRPr="005C3B55" w:rsidRDefault="00F555D6" w:rsidP="00F555D6">
            <w:pPr>
              <w:spacing w:before="240" w:after="240" w:line="280" w:lineRule="auto"/>
              <w:ind w:left="600"/>
              <w:rPr>
                <w:szCs w:val="24"/>
              </w:rPr>
            </w:pPr>
            <w:r w:rsidRPr="005C3B55">
              <w:rPr>
                <w:szCs w:val="24"/>
              </w:rPr>
              <w:t>1. Farmers in the Republic of Slovenia do not have to take additional training.</w:t>
            </w:r>
          </w:p>
          <w:p w:rsidR="00F555D6" w:rsidRPr="005C3B55" w:rsidRDefault="00F555D6" w:rsidP="00F555D6">
            <w:pPr>
              <w:spacing w:before="240" w:after="240" w:line="280" w:lineRule="auto"/>
              <w:ind w:left="600"/>
              <w:rPr>
                <w:szCs w:val="24"/>
              </w:rPr>
            </w:pPr>
            <w:r w:rsidRPr="005C3B55">
              <w:rPr>
                <w:szCs w:val="24"/>
              </w:rPr>
              <w:t>2. The use of advisory services is not mandatory in standard agricultural practice.</w:t>
            </w:r>
          </w:p>
          <w:p w:rsidR="00F555D6" w:rsidRPr="005C3B55" w:rsidRDefault="00F555D6" w:rsidP="00F555D6">
            <w:pPr>
              <w:spacing w:before="240" w:after="240" w:line="280" w:lineRule="auto"/>
              <w:ind w:left="600"/>
              <w:rPr>
                <w:szCs w:val="24"/>
              </w:rPr>
            </w:pPr>
            <w:r w:rsidRPr="005C3B55">
              <w:rPr>
                <w:szCs w:val="24"/>
              </w:rPr>
              <w:t>3. In standard agricultural practice, a producer can cultivate agricultural land without obtaining a certificate.</w:t>
            </w:r>
          </w:p>
          <w:p w:rsidR="00F555D6" w:rsidRPr="005C3B55" w:rsidRDefault="00F555D6" w:rsidP="00F555D6">
            <w:pPr>
              <w:spacing w:before="240" w:after="240" w:line="280" w:lineRule="auto"/>
              <w:ind w:left="600"/>
              <w:rPr>
                <w:szCs w:val="24"/>
              </w:rPr>
            </w:pPr>
            <w:r w:rsidRPr="005C3B55">
              <w:rPr>
                <w:szCs w:val="24"/>
              </w:rPr>
              <w:t>4. In standard agricultural practice, an individual plan of conversion is not mandatory.</w:t>
            </w:r>
          </w:p>
          <w:p w:rsidR="00F555D6" w:rsidRPr="005C3B55" w:rsidRDefault="00F555D6" w:rsidP="00F555D6">
            <w:pPr>
              <w:spacing w:before="240" w:after="240" w:line="280" w:lineRule="auto"/>
              <w:ind w:left="600"/>
              <w:rPr>
                <w:szCs w:val="24"/>
              </w:rPr>
            </w:pPr>
            <w:r w:rsidRPr="005C3B55">
              <w:rPr>
                <w:szCs w:val="24"/>
              </w:rPr>
              <w:t>5. In standard agricultural practice, a producer can cultivate permanent grassland without the inclusion of animals in the control of organic farming.</w:t>
            </w:r>
          </w:p>
          <w:p w:rsidR="00F555D6" w:rsidRPr="005C3B55" w:rsidRDefault="00F555D6" w:rsidP="00F555D6">
            <w:pPr>
              <w:spacing w:before="240" w:after="240" w:line="280" w:lineRule="auto"/>
              <w:rPr>
                <w:szCs w:val="24"/>
              </w:rPr>
            </w:pPr>
            <w:r w:rsidRPr="005C3B55">
              <w:rPr>
                <w:b/>
                <w:i/>
                <w:szCs w:val="24"/>
              </w:rPr>
              <w:t>Requirements in the implementation of measure</w:t>
            </w:r>
          </w:p>
          <w:p w:rsidR="00F555D6" w:rsidRPr="005C3B55" w:rsidRDefault="00F555D6" w:rsidP="00F555D6">
            <w:pPr>
              <w:spacing w:before="240" w:after="240" w:line="280" w:lineRule="auto"/>
              <w:ind w:left="600"/>
              <w:rPr>
                <w:szCs w:val="24"/>
              </w:rPr>
            </w:pPr>
            <w:r w:rsidRPr="005C3B55">
              <w:rPr>
                <w:szCs w:val="24"/>
              </w:rPr>
              <w:t>1. A beneficiary must complete a training programme of at least 6 hours a year.</w:t>
            </w:r>
          </w:p>
          <w:p w:rsidR="00F555D6" w:rsidRPr="005C3B55" w:rsidRDefault="00F555D6" w:rsidP="00F555D6">
            <w:pPr>
              <w:spacing w:before="240" w:after="240" w:line="280" w:lineRule="auto"/>
              <w:ind w:left="600"/>
              <w:rPr>
                <w:szCs w:val="24"/>
              </w:rPr>
            </w:pPr>
            <w:r w:rsidRPr="005C3B55">
              <w:rPr>
                <w:szCs w:val="24"/>
              </w:rPr>
              <w:t>2. A beneficiary must use advisory services at least once during the commitment.</w:t>
            </w:r>
          </w:p>
          <w:p w:rsidR="00F555D6" w:rsidRPr="005C3B55" w:rsidRDefault="00F555D6" w:rsidP="00F555D6">
            <w:pPr>
              <w:spacing w:before="240" w:after="240" w:line="280" w:lineRule="auto"/>
              <w:ind w:left="600"/>
              <w:rPr>
                <w:szCs w:val="24"/>
              </w:rPr>
            </w:pPr>
            <w:r w:rsidRPr="005C3B55">
              <w:rPr>
                <w:szCs w:val="24"/>
              </w:rPr>
              <w:t>3. A certificate for organic production and processing of agricultural products or foodstuffs in accordance with Regulation (EC) No 834/2007.</w:t>
            </w:r>
          </w:p>
          <w:p w:rsidR="00F555D6" w:rsidRPr="005C3B55" w:rsidRDefault="00F555D6" w:rsidP="00F555D6">
            <w:pPr>
              <w:spacing w:before="240" w:after="240" w:line="280" w:lineRule="auto"/>
              <w:ind w:left="600"/>
              <w:rPr>
                <w:szCs w:val="24"/>
              </w:rPr>
            </w:pPr>
            <w:r w:rsidRPr="005C3B55">
              <w:rPr>
                <w:szCs w:val="24"/>
              </w:rPr>
              <w:t>4. A beneficiary entering organic farming control for the first time must have an individual plan of conversion of the agricultural holding to organic production for the first year of the commitment.</w:t>
            </w:r>
          </w:p>
          <w:p w:rsidR="00F555D6" w:rsidRPr="005C3B55" w:rsidRDefault="00F555D6" w:rsidP="00F555D6">
            <w:pPr>
              <w:spacing w:before="240" w:after="240" w:line="280" w:lineRule="auto"/>
              <w:ind w:left="600"/>
              <w:rPr>
                <w:szCs w:val="24"/>
              </w:rPr>
            </w:pPr>
            <w:r w:rsidRPr="005C3B55">
              <w:rPr>
                <w:szCs w:val="24"/>
              </w:rPr>
              <w:t>5. A beneficiary who cultivates and claims payment for permanent grassland must rear herbivorous animals in accordance with the regulations on organic farming.</w:t>
            </w:r>
          </w:p>
          <w:p w:rsidR="00F555D6" w:rsidRPr="005C3B55" w:rsidRDefault="00F555D6" w:rsidP="00F555D6">
            <w:pPr>
              <w:spacing w:before="240" w:after="240" w:line="280" w:lineRule="auto"/>
              <w:rPr>
                <w:szCs w:val="24"/>
              </w:rPr>
            </w:pPr>
            <w:r w:rsidRPr="005C3B55">
              <w:rPr>
                <w:szCs w:val="24"/>
              </w:rPr>
              <w:t> </w:t>
            </w:r>
          </w:p>
          <w:p w:rsidR="00F555D6" w:rsidRPr="005C3B55" w:rsidRDefault="00F555D6" w:rsidP="00F555D6">
            <w:pPr>
              <w:spacing w:before="240" w:after="240" w:line="280" w:lineRule="auto"/>
              <w:rPr>
                <w:szCs w:val="24"/>
              </w:rPr>
            </w:pPr>
            <w:r w:rsidRPr="005C3B55">
              <w:rPr>
                <w:b/>
                <w:szCs w:val="24"/>
              </w:rPr>
              <w:t>Contribution to focus areas</w:t>
            </w:r>
          </w:p>
          <w:p w:rsidR="00F555D6" w:rsidRPr="005C3B55" w:rsidRDefault="00F555D6" w:rsidP="00F555D6">
            <w:pPr>
              <w:spacing w:before="240" w:after="240" w:line="280" w:lineRule="auto"/>
              <w:rPr>
                <w:szCs w:val="24"/>
              </w:rPr>
            </w:pPr>
            <w:r w:rsidRPr="005C3B55">
              <w:rPr>
                <w:b/>
                <w:i/>
                <w:szCs w:val="24"/>
              </w:rPr>
              <w:t>Focus area 4A: Restoring</w:t>
            </w:r>
            <w:r w:rsidRPr="005C3B55">
              <w:rPr>
                <w:rStyle w:val="DeltaViewInsertion"/>
                <w:szCs w:val="24"/>
              </w:rPr>
              <w:t>,</w:t>
            </w:r>
            <w:r w:rsidRPr="005C3B55">
              <w:rPr>
                <w:b/>
                <w:i/>
                <w:szCs w:val="24"/>
              </w:rPr>
              <w:t xml:space="preserve"> preserving</w:t>
            </w:r>
            <w:r w:rsidRPr="005C3B55">
              <w:rPr>
                <w:rStyle w:val="DeltaViewInsertion"/>
                <w:szCs w:val="24"/>
              </w:rPr>
              <w:t xml:space="preserve"> and enhancing</w:t>
            </w:r>
            <w:r w:rsidRPr="005C3B55">
              <w:rPr>
                <w:b/>
                <w:i/>
                <w:szCs w:val="24"/>
              </w:rPr>
              <w:t xml:space="preserve"> biodiversity within Natura 2000 sites</w:t>
            </w:r>
            <w:r w:rsidRPr="005C3B55">
              <w:rPr>
                <w:rStyle w:val="DeltaViewInsertion"/>
                <w:szCs w:val="24"/>
              </w:rPr>
              <w:t xml:space="preserve"> </w:t>
            </w:r>
            <w:r w:rsidRPr="005C3B55">
              <w:rPr>
                <w:b/>
                <w:i/>
                <w:szCs w:val="24"/>
              </w:rPr>
              <w:t>and high nature value farming systems, and the state of European landscapes</w:t>
            </w:r>
          </w:p>
          <w:p w:rsidR="00F555D6" w:rsidRPr="005C3B55" w:rsidRDefault="00F555D6" w:rsidP="00F555D6">
            <w:pPr>
              <w:spacing w:before="240" w:after="240" w:line="280" w:lineRule="auto"/>
              <w:rPr>
                <w:szCs w:val="24"/>
              </w:rPr>
            </w:pPr>
            <w:r w:rsidRPr="005C3B55">
              <w:rPr>
                <w:szCs w:val="24"/>
              </w:rPr>
              <w:t>Support for the M11 measure will contribute with environmentally-friendly agricultural practices to preserving or improving biodiversity, preserving the cultural farming landscape and environmental protection.</w:t>
            </w:r>
          </w:p>
          <w:p w:rsidR="00F555D6" w:rsidRPr="005C3B55" w:rsidRDefault="00F555D6" w:rsidP="00F555D6">
            <w:pPr>
              <w:spacing w:before="240" w:after="240" w:line="280" w:lineRule="auto"/>
              <w:rPr>
                <w:szCs w:val="24"/>
              </w:rPr>
            </w:pPr>
            <w:r w:rsidRPr="005C3B55">
              <w:rPr>
                <w:b/>
                <w:i/>
                <w:szCs w:val="24"/>
              </w:rPr>
              <w:t>Focus area 4B: Improving water and land management, and contributing to the fulfilment of the objectives of the Water Framework Directive</w:t>
            </w:r>
          </w:p>
          <w:p w:rsidR="00F555D6" w:rsidRPr="005C3B55" w:rsidRDefault="00F555D6" w:rsidP="00F555D6">
            <w:pPr>
              <w:spacing w:before="240" w:after="240" w:line="280" w:lineRule="auto"/>
              <w:rPr>
                <w:szCs w:val="24"/>
              </w:rPr>
            </w:pPr>
            <w:r w:rsidRPr="005C3B55">
              <w:rPr>
                <w:szCs w:val="24"/>
              </w:rPr>
              <w:t>Under the M11 measure, support is intended for activities related to the use of organic fertilisers and plant protection products which contribute to the preservation of sources of drinking water. Since nutrients on an organic farm are balanced to a great extent, organic farming in this way contributes to the protection of groundwater and surface waters against nitrates. Furthermore, in organic farming, there is no risk of the residue of plant protection products polluting water.</w:t>
            </w:r>
          </w:p>
          <w:p w:rsidR="00F555D6" w:rsidRPr="005C3B55" w:rsidRDefault="00F555D6" w:rsidP="00F555D6">
            <w:pPr>
              <w:spacing w:before="240" w:after="240" w:line="280" w:lineRule="auto"/>
              <w:rPr>
                <w:szCs w:val="24"/>
              </w:rPr>
            </w:pPr>
            <w:r w:rsidRPr="005C3B55">
              <w:rPr>
                <w:b/>
                <w:i/>
                <w:szCs w:val="24"/>
              </w:rPr>
              <w:t>Focus area 4C: Improving soil and erosion management, and the use of fertilisers and pesticides</w:t>
            </w:r>
          </w:p>
          <w:p w:rsidR="00F555D6" w:rsidRPr="005C3B55" w:rsidRDefault="00F555D6" w:rsidP="00F555D6">
            <w:pPr>
              <w:spacing w:before="240" w:after="240" w:line="280" w:lineRule="auto"/>
              <w:rPr>
                <w:szCs w:val="24"/>
              </w:rPr>
            </w:pPr>
            <w:r w:rsidRPr="005C3B55">
              <w:rPr>
                <w:szCs w:val="24"/>
              </w:rPr>
              <w:t>The M11 measure supports production technologies based on a balance in the soil–plants–humans system and the closed circulation of nutrients in this system. Chemically synthesised plant protection products and readily soluble mineral fertilisers, growth regulators, genetically modified organisms, etc. are not allowed to be used on land where this measure is implemented. The soil is not burdened with substances of this kind, while the appropriate use of soil prevents erosion, all of which contributes to improving the properties of soil and its management.</w:t>
            </w:r>
          </w:p>
          <w:p w:rsidR="00F555D6" w:rsidRPr="005C3B55" w:rsidRDefault="00F555D6" w:rsidP="00F555D6">
            <w:pPr>
              <w:spacing w:before="240" w:after="240" w:line="280" w:lineRule="auto"/>
              <w:rPr>
                <w:szCs w:val="24"/>
              </w:rPr>
            </w:pPr>
            <w:r w:rsidRPr="005C3B55">
              <w:rPr>
                <w:b/>
                <w:szCs w:val="24"/>
              </w:rPr>
              <w:t xml:space="preserve">Contribution to horizontal objectives </w:t>
            </w:r>
          </w:p>
          <w:p w:rsidR="00F555D6" w:rsidRPr="005C3B55" w:rsidRDefault="00F555D6" w:rsidP="00F555D6">
            <w:pPr>
              <w:spacing w:before="240" w:after="240" w:line="280" w:lineRule="auto"/>
              <w:rPr>
                <w:szCs w:val="24"/>
              </w:rPr>
            </w:pPr>
            <w:r w:rsidRPr="005C3B55">
              <w:rPr>
                <w:i/>
                <w:szCs w:val="24"/>
              </w:rPr>
              <w:t>Environment:</w:t>
            </w:r>
            <w:r w:rsidRPr="005C3B55">
              <w:rPr>
                <w:szCs w:val="24"/>
              </w:rPr>
              <w:t xml:space="preserve"> Organic farming ensures the production of high-quality and safe food, rich in nutritional value and high vitamin, mineral and antioxidant content, and additionally, reduces all forms of pollution to the greatest extent possible.</w:t>
            </w:r>
          </w:p>
          <w:p w:rsidR="00F555D6" w:rsidRPr="005C3B55" w:rsidRDefault="00F555D6" w:rsidP="00F555D6">
            <w:pPr>
              <w:spacing w:before="240" w:after="240" w:line="280" w:lineRule="auto"/>
              <w:rPr>
                <w:szCs w:val="24"/>
              </w:rPr>
            </w:pPr>
            <w:r w:rsidRPr="005C3B55">
              <w:rPr>
                <w:szCs w:val="24"/>
              </w:rPr>
              <w:t>Organic farming also significantly prevents agricultural pollution of groundwater, since basic prohibitions, such as the prohibition to use synthetic substances for plant protection (herbicides and other plant protection products) and readily soluble mineral fertilisers, directly result in active protection of groundwater against pollution with pesticide and partially also nitrate residues.</w:t>
            </w:r>
          </w:p>
          <w:p w:rsidR="00F555D6" w:rsidRPr="005C3B55" w:rsidRDefault="00F555D6" w:rsidP="00F555D6">
            <w:pPr>
              <w:spacing w:before="240" w:after="240" w:line="280" w:lineRule="auto"/>
              <w:rPr>
                <w:szCs w:val="24"/>
              </w:rPr>
            </w:pPr>
            <w:r w:rsidRPr="005C3B55">
              <w:rPr>
                <w:b/>
                <w:i/>
                <w:szCs w:val="24"/>
              </w:rPr>
              <w:t xml:space="preserve">Mitigating, and adapting to, climate change: </w:t>
            </w:r>
            <w:r w:rsidRPr="005C3B55">
              <w:rPr>
                <w:szCs w:val="24"/>
              </w:rPr>
              <w:t>The contribution of the organic farming measure to climate change mitigation and environmental protection is reflected in:</w:t>
            </w:r>
          </w:p>
          <w:p w:rsidR="00F555D6" w:rsidRPr="005C3B55" w:rsidRDefault="00F555D6" w:rsidP="00F555D6">
            <w:pPr>
              <w:numPr>
                <w:ilvl w:val="0"/>
                <w:numId w:val="869"/>
              </w:numPr>
              <w:spacing w:before="240" w:after="0"/>
              <w:ind w:hanging="290"/>
              <w:jc w:val="left"/>
              <w:rPr>
                <w:szCs w:val="24"/>
              </w:rPr>
            </w:pPr>
            <w:r w:rsidRPr="005C3B55">
              <w:rPr>
                <w:szCs w:val="24"/>
              </w:rPr>
              <w:t>the implementation of above-standard production and breeding technologies;</w:t>
            </w:r>
          </w:p>
          <w:p w:rsidR="00F555D6" w:rsidRPr="005C3B55" w:rsidRDefault="00F555D6" w:rsidP="00F555D6">
            <w:pPr>
              <w:numPr>
                <w:ilvl w:val="0"/>
                <w:numId w:val="869"/>
              </w:numPr>
              <w:spacing w:before="0" w:after="0"/>
              <w:ind w:hanging="290"/>
              <w:jc w:val="left"/>
              <w:rPr>
                <w:szCs w:val="24"/>
              </w:rPr>
            </w:pPr>
            <w:r w:rsidRPr="005C3B55">
              <w:rPr>
                <w:szCs w:val="24"/>
              </w:rPr>
              <w:t>the cultivation of agricultural plant varieties adapted to local conditions;</w:t>
            </w:r>
          </w:p>
          <w:p w:rsidR="00F555D6" w:rsidRPr="005C3B55" w:rsidRDefault="00F555D6" w:rsidP="00F555D6">
            <w:pPr>
              <w:numPr>
                <w:ilvl w:val="0"/>
                <w:numId w:val="869"/>
              </w:numPr>
              <w:spacing w:before="0" w:after="0"/>
              <w:ind w:hanging="290"/>
              <w:jc w:val="left"/>
              <w:rPr>
                <w:szCs w:val="24"/>
              </w:rPr>
            </w:pPr>
            <w:r w:rsidRPr="005C3B55">
              <w:rPr>
                <w:szCs w:val="24"/>
              </w:rPr>
              <w:t>the implementation of breeding techniques which reduce greenhouse gas emissions;</w:t>
            </w:r>
          </w:p>
          <w:p w:rsidR="00F555D6" w:rsidRPr="005C3B55" w:rsidRDefault="00F555D6" w:rsidP="00F555D6">
            <w:pPr>
              <w:numPr>
                <w:ilvl w:val="0"/>
                <w:numId w:val="869"/>
              </w:numPr>
              <w:spacing w:before="0" w:after="0"/>
              <w:ind w:hanging="290"/>
              <w:jc w:val="left"/>
              <w:rPr>
                <w:szCs w:val="24"/>
              </w:rPr>
            </w:pPr>
            <w:r w:rsidRPr="005C3B55">
              <w:rPr>
                <w:szCs w:val="24"/>
              </w:rPr>
              <w:t>the pasturing of cattle with the purpose of reducing methane emissions during livestock manure storage;</w:t>
            </w:r>
          </w:p>
          <w:p w:rsidR="00F555D6" w:rsidRPr="005C3B55" w:rsidRDefault="00F555D6" w:rsidP="00F555D6">
            <w:pPr>
              <w:numPr>
                <w:ilvl w:val="0"/>
                <w:numId w:val="869"/>
              </w:numPr>
              <w:spacing w:before="0" w:after="240"/>
              <w:ind w:hanging="290"/>
              <w:jc w:val="left"/>
              <w:rPr>
                <w:szCs w:val="24"/>
              </w:rPr>
            </w:pPr>
            <w:r w:rsidRPr="005C3B55">
              <w:rPr>
                <w:szCs w:val="24"/>
              </w:rPr>
              <w:t>the sustainable use of surfaces intended for food production.</w:t>
            </w:r>
          </w:p>
          <w:p w:rsidR="00F555D6" w:rsidRPr="005C3B55" w:rsidRDefault="00F555D6" w:rsidP="00F555D6">
            <w:pPr>
              <w:spacing w:before="240" w:after="240" w:line="280" w:lineRule="auto"/>
              <w:rPr>
                <w:szCs w:val="24"/>
              </w:rPr>
            </w:pPr>
            <w:r w:rsidRPr="005C3B55">
              <w:rPr>
                <w:szCs w:val="24"/>
              </w:rPr>
              <w:t>Innovation: The M11 measure contributes to innovation by:</w:t>
            </w:r>
          </w:p>
          <w:p w:rsidR="00F555D6" w:rsidRPr="005C3B55" w:rsidRDefault="00F555D6" w:rsidP="00F555D6">
            <w:pPr>
              <w:numPr>
                <w:ilvl w:val="0"/>
                <w:numId w:val="870"/>
              </w:numPr>
              <w:spacing w:before="240" w:after="0"/>
              <w:ind w:hanging="290"/>
              <w:jc w:val="left"/>
              <w:rPr>
                <w:szCs w:val="24"/>
              </w:rPr>
            </w:pPr>
            <w:r w:rsidRPr="005C3B55">
              <w:rPr>
                <w:szCs w:val="24"/>
              </w:rPr>
              <w:t>improving production and breeding technologies;</w:t>
            </w:r>
          </w:p>
          <w:p w:rsidR="00F555D6" w:rsidRPr="005C3B55" w:rsidRDefault="00F555D6" w:rsidP="00F555D6">
            <w:pPr>
              <w:numPr>
                <w:ilvl w:val="0"/>
                <w:numId w:val="870"/>
              </w:numPr>
              <w:spacing w:before="0" w:after="240"/>
              <w:ind w:hanging="290"/>
              <w:jc w:val="left"/>
              <w:rPr>
                <w:szCs w:val="24"/>
              </w:rPr>
            </w:pPr>
            <w:r w:rsidRPr="005C3B55">
              <w:rPr>
                <w:szCs w:val="24"/>
              </w:rPr>
              <w:t>implementing new production technologies.</w:t>
            </w:r>
          </w:p>
          <w:p w:rsidR="00F555D6" w:rsidRPr="005C3B55" w:rsidRDefault="00F555D6" w:rsidP="00F555D6">
            <w:pPr>
              <w:pStyle w:val="Telobesedila"/>
              <w:rPr>
                <w:szCs w:val="24"/>
              </w:rPr>
            </w:pPr>
          </w:p>
        </w:tc>
      </w:tr>
    </w:tbl>
    <w:p w:rsidR="00F555D6" w:rsidRPr="005C3B55" w:rsidRDefault="00F555D6" w:rsidP="00F555D6">
      <w:pPr>
        <w:pStyle w:val="Naslov4"/>
        <w:tabs>
          <w:tab w:val="clear" w:pos="765"/>
        </w:tabs>
        <w:spacing w:before="0" w:after="0"/>
        <w:ind w:left="0" w:firstLine="0"/>
        <w:jc w:val="left"/>
        <w:rPr>
          <w:szCs w:val="24"/>
          <w:lang w:val="en-GB"/>
        </w:rPr>
      </w:pPr>
      <w:r w:rsidRPr="005C3B55">
        <w:rPr>
          <w:szCs w:val="24"/>
          <w:lang w:val="en-GB"/>
        </w:rPr>
        <w:t>Scope and rate of support and beneficiaries, and, where relevant, the methodology for calculating the amount or level of support, if necessary broken down by sub-measures and/or the type of operation. Determine eligible costs, conditions for eligibility, valid amounts and rates of support and principles regarding the definition of the selection criteria for each type of operation</w:t>
      </w:r>
    </w:p>
    <w:p w:rsidR="00F555D6" w:rsidRPr="005C3B55" w:rsidRDefault="00F555D6" w:rsidP="00F555D6">
      <w:pPr>
        <w:pStyle w:val="Naslov5"/>
        <w:tabs>
          <w:tab w:val="clear" w:pos="765"/>
        </w:tabs>
        <w:ind w:left="0" w:firstLine="0"/>
        <w:rPr>
          <w:b w:val="0"/>
          <w:szCs w:val="24"/>
          <w:lang w:val="en-GB"/>
        </w:rPr>
      </w:pPr>
      <w:r w:rsidRPr="005C3B55">
        <w:rPr>
          <w:b w:val="0"/>
          <w:szCs w:val="24"/>
          <w:lang w:val="en-GB"/>
        </w:rPr>
        <w:t xml:space="preserve">1. </w:t>
      </w:r>
      <w:r w:rsidRPr="005C3B55">
        <w:rPr>
          <w:b w:val="0"/>
          <w:noProof w:val="0"/>
          <w:szCs w:val="24"/>
          <w:lang w:val="en-GB"/>
        </w:rPr>
        <w:t>Payments for the conversion to organic farming practices and methods</w:t>
      </w:r>
    </w:p>
    <w:p w:rsidR="00F555D6" w:rsidRPr="005C3B55" w:rsidRDefault="00F555D6" w:rsidP="00F555D6">
      <w:pPr>
        <w:spacing w:line="280" w:lineRule="auto"/>
        <w:rPr>
          <w:szCs w:val="24"/>
        </w:rPr>
      </w:pPr>
      <w:r w:rsidRPr="005C3B55">
        <w:rPr>
          <w:szCs w:val="24"/>
        </w:rPr>
        <w:t xml:space="preserve">Sub-measure: </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871"/>
              </w:numPr>
              <w:rPr>
                <w:szCs w:val="24"/>
              </w:rPr>
            </w:pPr>
            <w:r w:rsidRPr="005C3B55">
              <w:rPr>
                <w:szCs w:val="24"/>
              </w:rPr>
              <w:t>11.1 – Payments for the conversion to organic farming practices and methods</w:t>
            </w: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Description of type of operation</w:t>
      </w:r>
    </w:p>
    <w:p w:rsidR="00F555D6" w:rsidRPr="005C3B55" w:rsidRDefault="00F555D6" w:rsidP="00F555D6">
      <w:pPr>
        <w:pStyle w:val="Naslov6"/>
        <w:tabs>
          <w:tab w:val="clear" w:pos="765"/>
        </w:tabs>
        <w:spacing w:before="0" w:after="0"/>
        <w:ind w:left="0" w:firstLine="0"/>
        <w:rPr>
          <w:szCs w:val="24"/>
          <w:lang w:val="en-GB"/>
        </w:rPr>
      </w:pP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Support is intended for the implementation of farming which enables protection and improvement of the environment, landscape elements, natural resources and biodiversity, and adaptation to climate change. Support is allocated for voluntary conversion to organic farming practices and methods as stipulated in Regulation (EC) No 834/2007.</w:t>
            </w:r>
          </w:p>
          <w:p w:rsidR="00F555D6" w:rsidRPr="005C3B55" w:rsidRDefault="00F555D6" w:rsidP="00F555D6">
            <w:pPr>
              <w:spacing w:before="240" w:after="240" w:line="280" w:lineRule="auto"/>
              <w:rPr>
                <w:szCs w:val="24"/>
              </w:rPr>
            </w:pPr>
            <w:r w:rsidRPr="005C3B55">
              <w:rPr>
                <w:szCs w:val="24"/>
              </w:rPr>
              <w:t>In addition to the eligibility conditions described under chapter ‘Eligibility conditions’ of this sub-measure, a beneficiary who applies for payments must meet the following requirements:</w:t>
            </w:r>
          </w:p>
          <w:p w:rsidR="00F555D6" w:rsidRPr="005C3B55" w:rsidRDefault="00F555D6" w:rsidP="00F555D6">
            <w:pPr>
              <w:numPr>
                <w:ilvl w:val="0"/>
                <w:numId w:val="872"/>
              </w:numPr>
              <w:spacing w:before="240" w:after="0"/>
              <w:ind w:hanging="290"/>
              <w:jc w:val="left"/>
              <w:rPr>
                <w:szCs w:val="24"/>
              </w:rPr>
            </w:pPr>
            <w:r w:rsidRPr="005C3B55">
              <w:rPr>
                <w:szCs w:val="24"/>
              </w:rPr>
              <w:t>implement the sub-measure as per the prescribed conditions and requirements for the entire duration of the commitment,</w:t>
            </w:r>
          </w:p>
          <w:p w:rsidR="00F555D6" w:rsidRPr="005C3B55" w:rsidRDefault="00F555D6" w:rsidP="00F555D6">
            <w:pPr>
              <w:numPr>
                <w:ilvl w:val="0"/>
                <w:numId w:val="872"/>
              </w:numPr>
              <w:spacing w:before="0" w:after="0"/>
              <w:ind w:hanging="290"/>
              <w:jc w:val="left"/>
              <w:rPr>
                <w:szCs w:val="24"/>
              </w:rPr>
            </w:pPr>
            <w:r w:rsidRPr="005C3B55">
              <w:rPr>
                <w:szCs w:val="24"/>
              </w:rPr>
              <w:t>complete a training programme of at least 6 hours a year,</w:t>
            </w:r>
          </w:p>
          <w:p w:rsidR="00F555D6" w:rsidRPr="005C3B55" w:rsidRDefault="00F555D6" w:rsidP="00F555D6">
            <w:pPr>
              <w:numPr>
                <w:ilvl w:val="0"/>
                <w:numId w:val="872"/>
              </w:numPr>
              <w:spacing w:before="0" w:after="0"/>
              <w:ind w:hanging="290"/>
              <w:jc w:val="left"/>
              <w:rPr>
                <w:szCs w:val="24"/>
              </w:rPr>
            </w:pPr>
            <w:r w:rsidRPr="005C3B55">
              <w:rPr>
                <w:szCs w:val="24"/>
              </w:rPr>
              <w:t>consult advisory services at least once during the commitment,</w:t>
            </w:r>
          </w:p>
          <w:p w:rsidR="00F555D6" w:rsidRPr="005C3B55" w:rsidRDefault="00F555D6" w:rsidP="00F555D6">
            <w:pPr>
              <w:numPr>
                <w:ilvl w:val="0"/>
                <w:numId w:val="872"/>
              </w:numPr>
              <w:spacing w:before="0" w:after="0"/>
              <w:ind w:hanging="290"/>
              <w:jc w:val="left"/>
              <w:rPr>
                <w:szCs w:val="24"/>
              </w:rPr>
            </w:pPr>
            <w:r w:rsidRPr="005C3B55">
              <w:rPr>
                <w:szCs w:val="24"/>
              </w:rPr>
              <w:t>acquire the certificate for organic farming or organic production issued by an organisation for control and certification annually in accordance with Regulation (EC) No 834/2007,</w:t>
            </w:r>
          </w:p>
          <w:p w:rsidR="00F555D6" w:rsidRPr="005C3B55" w:rsidRDefault="00F555D6" w:rsidP="00F555D6">
            <w:pPr>
              <w:numPr>
                <w:ilvl w:val="0"/>
                <w:numId w:val="872"/>
              </w:numPr>
              <w:spacing w:before="0" w:after="0"/>
              <w:ind w:hanging="290"/>
              <w:jc w:val="left"/>
              <w:rPr>
                <w:szCs w:val="24"/>
              </w:rPr>
            </w:pPr>
            <w:r w:rsidRPr="005C3B55">
              <w:rPr>
                <w:szCs w:val="24"/>
              </w:rPr>
              <w:t>if entering the control of organic farming for the first time, the beneficiary must make an individual plan for conversion in the year of the commitment, and</w:t>
            </w:r>
          </w:p>
          <w:p w:rsidR="00F555D6" w:rsidRPr="005C3B55" w:rsidRDefault="00F555D6" w:rsidP="00F555D6">
            <w:pPr>
              <w:numPr>
                <w:ilvl w:val="0"/>
                <w:numId w:val="872"/>
              </w:numPr>
              <w:spacing w:before="0" w:after="240"/>
              <w:ind w:hanging="290"/>
              <w:jc w:val="left"/>
              <w:rPr>
                <w:szCs w:val="24"/>
              </w:rPr>
            </w:pPr>
            <w:r w:rsidRPr="005C3B55">
              <w:rPr>
                <w:szCs w:val="24"/>
              </w:rPr>
              <w:t>if payment for permanent grassland is requested, the beneficiary must rear grass-eating animals in accordance with regulations on organic farming.</w:t>
            </w:r>
          </w:p>
          <w:p w:rsidR="00F555D6" w:rsidRPr="005C3B55" w:rsidRDefault="00F555D6" w:rsidP="00F555D6">
            <w:pPr>
              <w:spacing w:before="240" w:after="240" w:line="280" w:lineRule="auto"/>
              <w:rPr>
                <w:szCs w:val="24"/>
              </w:rPr>
            </w:pPr>
            <w:r w:rsidRPr="005C3B55">
              <w:rPr>
                <w:szCs w:val="24"/>
              </w:rPr>
              <w:t>The aforementioned eligibility requirements are verified in the following ways:</w:t>
            </w:r>
          </w:p>
          <w:p w:rsidR="00F555D6" w:rsidRPr="005C3B55" w:rsidRDefault="00F555D6" w:rsidP="00F555D6">
            <w:pPr>
              <w:numPr>
                <w:ilvl w:val="0"/>
                <w:numId w:val="873"/>
              </w:numPr>
              <w:spacing w:before="240" w:after="0"/>
              <w:ind w:hanging="290"/>
              <w:jc w:val="left"/>
              <w:rPr>
                <w:szCs w:val="24"/>
              </w:rPr>
            </w:pPr>
            <w:r w:rsidRPr="005C3B55">
              <w:rPr>
                <w:szCs w:val="24"/>
              </w:rPr>
              <w:t>The AAMRD verifies the implementation of the requirement with 100% administrative control by means of a certificate for organic production and processing of agricultural products or foodstuffs, which is obtained in accordance with Regulation (EC) No 834/2007.</w:t>
            </w:r>
          </w:p>
          <w:p w:rsidR="00F555D6" w:rsidRPr="005C3B55" w:rsidRDefault="00F555D6" w:rsidP="00F555D6">
            <w:pPr>
              <w:numPr>
                <w:ilvl w:val="0"/>
                <w:numId w:val="873"/>
              </w:numPr>
              <w:spacing w:before="0" w:after="0"/>
              <w:ind w:hanging="290"/>
              <w:jc w:val="left"/>
              <w:rPr>
                <w:szCs w:val="24"/>
              </w:rPr>
            </w:pPr>
            <w:r w:rsidRPr="005C3B55">
              <w:rPr>
                <w:szCs w:val="24"/>
              </w:rPr>
              <w:t>The AAMRD verifies the requirement with 100% administrative control by means of the computer application “Record of training for agricultural holdings”, which includes data on the attendance of beneficiaries at training programmes.</w:t>
            </w:r>
          </w:p>
          <w:p w:rsidR="00F555D6" w:rsidRPr="005C3B55" w:rsidRDefault="00F555D6" w:rsidP="00F555D6">
            <w:pPr>
              <w:numPr>
                <w:ilvl w:val="0"/>
                <w:numId w:val="873"/>
              </w:numPr>
              <w:spacing w:before="0" w:after="0"/>
              <w:ind w:hanging="290"/>
              <w:jc w:val="left"/>
              <w:rPr>
                <w:szCs w:val="24"/>
              </w:rPr>
            </w:pPr>
            <w:r w:rsidRPr="005C3B55">
              <w:rPr>
                <w:szCs w:val="24"/>
              </w:rPr>
              <w:t>The AAMRD verifies the requirement with 100 % administrative control by means of the computer application “Record of training for agricultural holdings”, which includes data on the use of advisory services.</w:t>
            </w:r>
          </w:p>
          <w:p w:rsidR="00F555D6" w:rsidRPr="005C3B55" w:rsidRDefault="00F555D6" w:rsidP="00F555D6">
            <w:pPr>
              <w:numPr>
                <w:ilvl w:val="0"/>
                <w:numId w:val="873"/>
              </w:numPr>
              <w:spacing w:before="0" w:after="0"/>
              <w:ind w:hanging="290"/>
              <w:jc w:val="left"/>
              <w:rPr>
                <w:szCs w:val="24"/>
              </w:rPr>
            </w:pPr>
            <w:r w:rsidRPr="005C3B55">
              <w:rPr>
                <w:szCs w:val="24"/>
              </w:rPr>
              <w:t>The AAMRD verifies the requirement with 100 % administrative control on the basis of the list of agricultural holdings which obtained certificates for organic production or processing of agricultural products or foodstuffs as per Regulation (EC) No 834/2007.</w:t>
            </w:r>
          </w:p>
          <w:p w:rsidR="00F555D6" w:rsidRPr="005C3B55" w:rsidRDefault="00F555D6" w:rsidP="00F555D6">
            <w:pPr>
              <w:numPr>
                <w:ilvl w:val="0"/>
                <w:numId w:val="873"/>
              </w:numPr>
              <w:spacing w:before="0" w:after="0"/>
              <w:ind w:hanging="290"/>
              <w:jc w:val="left"/>
              <w:rPr>
                <w:szCs w:val="24"/>
              </w:rPr>
            </w:pPr>
            <w:r w:rsidRPr="005C3B55">
              <w:rPr>
                <w:szCs w:val="24"/>
              </w:rPr>
              <w:t>The AAMRD verifies the requirement with 100 % administrative control by means of the computer application “Record of training for agricultural holdings”, which includes data on the use of advisory services.</w:t>
            </w:r>
          </w:p>
          <w:p w:rsidR="00F555D6" w:rsidRPr="005C3B55" w:rsidRDefault="00F555D6" w:rsidP="00F555D6">
            <w:pPr>
              <w:numPr>
                <w:ilvl w:val="0"/>
                <w:numId w:val="873"/>
              </w:numPr>
              <w:spacing w:before="0" w:after="240"/>
              <w:ind w:hanging="290"/>
              <w:jc w:val="left"/>
              <w:rPr>
                <w:szCs w:val="24"/>
              </w:rPr>
            </w:pPr>
            <w:r w:rsidRPr="005C3B55">
              <w:rPr>
                <w:szCs w:val="24"/>
              </w:rPr>
              <w:t>The AAMRD verifies the implementation of the requirement with 100 % administrative control by means of the record of livestock and the register of agricultural holdings.</w:t>
            </w:r>
          </w:p>
          <w:p w:rsidR="00F555D6" w:rsidRPr="005C3B55" w:rsidRDefault="00F555D6" w:rsidP="00F555D6">
            <w:pPr>
              <w:spacing w:before="240" w:after="240" w:line="280" w:lineRule="auto"/>
              <w:rPr>
                <w:szCs w:val="24"/>
              </w:rPr>
            </w:pPr>
            <w:r w:rsidRPr="005C3B55">
              <w:rPr>
                <w:szCs w:val="24"/>
              </w:rPr>
              <w:t>The listed requirements ensure expert assistance to, and qualifications of, the beneficiaries for the production of high-quality food, which protects human health and enables a reduction of the negative impacts on the environment to the least possible extent, primarily by preventing agricultural pollution of groundwater, since basic prohibitions, such as the prohibition on the use of synthetic substances for plant protection (herbicides and other plant protection products) and readily soluble mineral fertilisers directly result in active protection of groundwater against pollution with pesticide and partially also nitrate residues. These prohibitions also make sure that soil is not polluted, which contributes to improving of the properties of soil and its management.</w:t>
            </w:r>
          </w:p>
          <w:p w:rsidR="00F555D6" w:rsidRPr="005C3B55" w:rsidRDefault="00F555D6" w:rsidP="00F555D6">
            <w:pPr>
              <w:spacing w:before="240" w:after="240" w:line="280" w:lineRule="auto"/>
              <w:rPr>
                <w:szCs w:val="24"/>
              </w:rPr>
            </w:pPr>
            <w:r w:rsidRPr="005C3B55">
              <w:rPr>
                <w:szCs w:val="24"/>
              </w:rPr>
              <w:t>The obligation of the implementation of this sub-measure lasts at least two or three years or less in the case of a shortened conversion period as stipulated in Regulation (EC) No 834/2007. When the period of conversion to organic farming ends, the beneficiary is obliged to meet the requirements of the ‘Organic farming’ measure (5 years in total).</w:t>
            </w:r>
          </w:p>
          <w:p w:rsidR="00F555D6" w:rsidRPr="005C3B55" w:rsidRDefault="00F555D6" w:rsidP="00F555D6">
            <w:pPr>
              <w:spacing w:before="240" w:after="240" w:line="280" w:lineRule="auto"/>
              <w:rPr>
                <w:szCs w:val="24"/>
              </w:rPr>
            </w:pPr>
            <w:r w:rsidRPr="005C3B55">
              <w:rPr>
                <w:szCs w:val="24"/>
              </w:rPr>
              <w:t> </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Type of support</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Support is granted per hectare of agricultural land.</w:t>
            </w:r>
          </w:p>
          <w:p w:rsidR="00F555D6" w:rsidRPr="005C3B55" w:rsidRDefault="00F555D6" w:rsidP="00F555D6">
            <w:pPr>
              <w:spacing w:before="240" w:after="240" w:line="280" w:lineRule="auto"/>
              <w:rPr>
                <w:szCs w:val="24"/>
              </w:rPr>
            </w:pPr>
            <w:r w:rsidRPr="005C3B55">
              <w:rPr>
                <w:szCs w:val="24"/>
              </w:rPr>
              <w:t>Support for permanent grassland is granted in the form of an annual payment per hectare of permanent grassland.</w:t>
            </w:r>
          </w:p>
          <w:p w:rsidR="00F555D6" w:rsidRPr="005C3B55" w:rsidRDefault="00F555D6" w:rsidP="00F555D6">
            <w:pPr>
              <w:spacing w:before="240" w:after="240" w:line="280" w:lineRule="auto"/>
              <w:rPr>
                <w:szCs w:val="24"/>
              </w:rPr>
            </w:pPr>
            <w:r w:rsidRPr="005C3B55">
              <w:rPr>
                <w:szCs w:val="24"/>
              </w:rPr>
              <w:t>An agricultural holding which does not breed herbivorous animals (cattle, sheep, goats, horses, deer) according to the regulations on organic farming is not eligible for payment for permanent grassland from this sub-measure.</w:t>
            </w:r>
          </w:p>
          <w:p w:rsidR="00F555D6" w:rsidRPr="005C3B55" w:rsidRDefault="00F555D6" w:rsidP="00F555D6">
            <w:pPr>
              <w:spacing w:before="240" w:after="240" w:line="280" w:lineRule="auto"/>
              <w:rPr>
                <w:szCs w:val="24"/>
              </w:rPr>
            </w:pPr>
            <w:r w:rsidRPr="005C3B55">
              <w:rPr>
                <w:szCs w:val="24"/>
              </w:rPr>
              <w:t>Payment for permanent grassland for an agricultural holding is calculated for the surface area of permanent grassland that reaches an average livestock density of at least 0.5 LU/ha of permanent grassland. If an agricultural holding does not reach a density of at least 0.5 LU/ha of permanent grassland, the payment is calculated only for the areas for which a density of 0.5 LU/ha of permanent grassland is ensured.</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Connection with other legislation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874"/>
              </w:numPr>
              <w:spacing w:before="0" w:after="0"/>
              <w:ind w:hanging="290"/>
              <w:jc w:val="left"/>
              <w:rPr>
                <w:szCs w:val="24"/>
              </w:rPr>
            </w:pPr>
            <w:r w:rsidRPr="005C3B55">
              <w:rPr>
                <w:szCs w:val="24"/>
              </w:rPr>
              <w:t>Regulation (EU) No 1306/2013, Chapter I, Title VI (cross-compliance);</w:t>
            </w:r>
          </w:p>
          <w:p w:rsidR="00F555D6" w:rsidRPr="005C3B55" w:rsidRDefault="00F555D6" w:rsidP="00F555D6">
            <w:pPr>
              <w:numPr>
                <w:ilvl w:val="0"/>
                <w:numId w:val="874"/>
              </w:numPr>
              <w:spacing w:before="0" w:after="0"/>
              <w:ind w:hanging="290"/>
              <w:jc w:val="left"/>
              <w:rPr>
                <w:szCs w:val="24"/>
              </w:rPr>
            </w:pPr>
            <w:r w:rsidRPr="005C3B55">
              <w:rPr>
                <w:szCs w:val="24"/>
              </w:rPr>
              <w:t>Regulation (EU) No 1307/2013;</w:t>
            </w:r>
          </w:p>
          <w:p w:rsidR="00F555D6" w:rsidRPr="005C3B55" w:rsidRDefault="00F555D6" w:rsidP="00F555D6">
            <w:pPr>
              <w:numPr>
                <w:ilvl w:val="0"/>
                <w:numId w:val="874"/>
              </w:numPr>
              <w:spacing w:before="0" w:after="0"/>
              <w:ind w:hanging="290"/>
              <w:jc w:val="left"/>
              <w:rPr>
                <w:szCs w:val="24"/>
              </w:rPr>
            </w:pPr>
            <w:r w:rsidRPr="005C3B55">
              <w:rPr>
                <w:szCs w:val="24"/>
              </w:rPr>
              <w:t>Council Regulation (EC) No. 834/2007 of 28 June 2007 on organic production and labelling of organic products and repealing Regulation (EEC) No 2092/91;</w:t>
            </w:r>
          </w:p>
          <w:p w:rsidR="00F555D6" w:rsidRPr="005C3B55" w:rsidRDefault="00F555D6" w:rsidP="00F555D6">
            <w:pPr>
              <w:numPr>
                <w:ilvl w:val="0"/>
                <w:numId w:val="874"/>
              </w:numPr>
              <w:spacing w:before="0" w:after="0"/>
              <w:ind w:hanging="290"/>
              <w:jc w:val="left"/>
              <w:rPr>
                <w:szCs w:val="24"/>
              </w:rPr>
            </w:pPr>
            <w:r w:rsidRPr="005C3B55">
              <w:rPr>
                <w:szCs w:val="24"/>
              </w:rPr>
              <w:t>Commission Regulation (EC) No 889/2008 of 5 September 2008 laying down detailed rules for the implementation of Council Regulation (EC) No. 834/2007 on organic production and labelling of organic products regarding organic production, labelling and control;</w:t>
            </w:r>
          </w:p>
          <w:p w:rsidR="00F555D6" w:rsidRPr="005C3B55" w:rsidRDefault="00F555D6" w:rsidP="00F555D6">
            <w:pPr>
              <w:numPr>
                <w:ilvl w:val="0"/>
                <w:numId w:val="874"/>
              </w:numPr>
              <w:spacing w:before="0" w:after="0"/>
              <w:ind w:hanging="290"/>
              <w:jc w:val="left"/>
              <w:rPr>
                <w:szCs w:val="24"/>
              </w:rPr>
            </w:pPr>
            <w:r w:rsidRPr="005C3B55">
              <w:rPr>
                <w:szCs w:val="24"/>
              </w:rPr>
              <w:t>Commission Regulation (EC) No 882/2004 of the European Parliament and of the Council of 29 April 2004 on official controls performed to ensure the verification of compliance with feed and food law, animal health and animal welfare rules;</w:t>
            </w:r>
          </w:p>
          <w:p w:rsidR="00F555D6" w:rsidRPr="005C3B55" w:rsidRDefault="00F555D6" w:rsidP="00F555D6">
            <w:pPr>
              <w:numPr>
                <w:ilvl w:val="0"/>
                <w:numId w:val="874"/>
              </w:numPr>
              <w:spacing w:before="0" w:after="0"/>
              <w:ind w:hanging="290"/>
              <w:jc w:val="left"/>
              <w:rPr>
                <w:szCs w:val="24"/>
              </w:rPr>
            </w:pPr>
            <w:r w:rsidRPr="005C3B55">
              <w:rPr>
                <w:szCs w:val="24"/>
              </w:rPr>
              <w:t>Agriculture Act (Official Gazette of the Republic of Slovenia, no. 45/2008 with all amendments);</w:t>
            </w:r>
          </w:p>
          <w:p w:rsidR="00F555D6" w:rsidRPr="005C3B55" w:rsidRDefault="00F555D6" w:rsidP="00F555D6">
            <w:pPr>
              <w:numPr>
                <w:ilvl w:val="0"/>
                <w:numId w:val="874"/>
              </w:numPr>
              <w:spacing w:before="0" w:after="0"/>
              <w:ind w:hanging="290"/>
              <w:jc w:val="left"/>
              <w:rPr>
                <w:szCs w:val="24"/>
              </w:rPr>
            </w:pPr>
            <w:r w:rsidRPr="005C3B55">
              <w:rPr>
                <w:szCs w:val="24"/>
              </w:rPr>
              <w:t>Rules on organic production and processing of agricultural products and/or foods (Official Gazette of the Republic of Slovenia, no. 8/2014);</w:t>
            </w:r>
          </w:p>
          <w:p w:rsidR="00F555D6" w:rsidRPr="005C3B55" w:rsidRDefault="00F555D6" w:rsidP="00F555D6">
            <w:pPr>
              <w:numPr>
                <w:ilvl w:val="0"/>
                <w:numId w:val="874"/>
              </w:numPr>
              <w:spacing w:before="0" w:after="0"/>
              <w:ind w:hanging="290"/>
              <w:jc w:val="left"/>
              <w:rPr>
                <w:szCs w:val="24"/>
              </w:rPr>
            </w:pPr>
            <w:r w:rsidRPr="005C3B55">
              <w:rPr>
                <w:szCs w:val="24"/>
              </w:rPr>
              <w:t>national regulation which regulates the implementation of this sub-measure; and</w:t>
            </w:r>
          </w:p>
          <w:p w:rsidR="00F555D6" w:rsidRPr="005C3B55" w:rsidRDefault="00F555D6" w:rsidP="00F555D6">
            <w:pPr>
              <w:numPr>
                <w:ilvl w:val="0"/>
                <w:numId w:val="874"/>
              </w:numPr>
              <w:spacing w:before="0" w:after="240"/>
              <w:ind w:hanging="290"/>
              <w:jc w:val="left"/>
              <w:rPr>
                <w:szCs w:val="24"/>
              </w:rPr>
            </w:pPr>
            <w:r w:rsidRPr="005C3B55">
              <w:rPr>
                <w:szCs w:val="24"/>
              </w:rPr>
              <w:t>other EU and national legislation which regulates the implementation of this operation.</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Beneficiaries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Beneficiaries for payments are agricultural holdings which participate voluntarily in the implementation of this sub-measure and meet the prescribed conditions and requirements. The holders of agricultural holdings must fulfil the condition of being an active farmer as per Article 9 of Regulation (EU) No 1307/2013.</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Eligible costs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Payments cover all costs and income lost due to the assumed commitment, taking into account the highest amounts of payments relating to the calculated sum of payment as per model calculation or as per the highest possible payment sums determined in Annex II to Regulation (EU) No 1305/2013, except for permanent grassland, where payments cover 70% of the calculated value as per the model calculation. Although the payment for permanent grassland does not cover all costs and income lost due to the assumed commitment, it is assessed that this will not have a negative effect on the inclusion of permanent grassland in organic farming, which is being confirmed by the results of analyses of the current implementation of organic farming.  </w:t>
            </w:r>
          </w:p>
          <w:p w:rsidR="00F555D6" w:rsidRPr="005C3B55" w:rsidRDefault="00F555D6" w:rsidP="00F555D6">
            <w:pPr>
              <w:spacing w:before="240" w:after="240" w:line="280" w:lineRule="auto"/>
              <w:rPr>
                <w:szCs w:val="24"/>
              </w:rPr>
            </w:pPr>
            <w:r w:rsidRPr="005C3B55">
              <w:rPr>
                <w:szCs w:val="24"/>
              </w:rPr>
              <w:t>Payments for the production of seed for agricultural crops exceed the highest possible amounts in accordance with Annex II to Regulation (EU) No 1305/2013 by 33.3%. Since there is a shortage of organic seed for arable crops, forage crops and vegetables in the Republic of Slovenia, and because imported organic seed is not adapted to local growing conditions, producers should be encouraged to take up the organic production of agricultural plant seed. On the basis of the calculated higher costs and loss of revenue, the highest amount of payment per hectare of arable land for the organic production of seed for arable crops, forage crops and vegetables amounts to 800 EUR/ha.</w:t>
            </w:r>
          </w:p>
          <w:p w:rsidR="00F555D6" w:rsidRPr="005C3B55" w:rsidRDefault="00F555D6" w:rsidP="00F555D6">
            <w:pPr>
              <w:spacing w:before="240" w:after="240" w:line="280" w:lineRule="auto"/>
              <w:rPr>
                <w:szCs w:val="24"/>
              </w:rPr>
            </w:pPr>
            <w:r w:rsidRPr="005C3B55">
              <w:rPr>
                <w:szCs w:val="24"/>
              </w:rPr>
              <w:t>Payments also include transaction costs related to the presence during control and keeping of records. Transaction costs amount to 4.8% of payments for arable land and crops, 0.9% for outdoor vegetables, 0.9% for vegetables grown under protection, 1.4% for intensive orchards, 9.2% for high-trunk meadow orchards, 3.2% for vineyards, 1.8% for hop plantations, 1.2% for tree nurseries, 0.15% for permanent grassland, and between 0.1 and 1.2% for the production of seed units of agricultural plants.</w:t>
            </w:r>
          </w:p>
          <w:p w:rsidR="00F555D6" w:rsidRPr="005C3B55" w:rsidRDefault="00F555D6" w:rsidP="00F555D6">
            <w:pPr>
              <w:spacing w:before="240" w:after="240" w:line="280" w:lineRule="auto"/>
              <w:rPr>
                <w:szCs w:val="24"/>
              </w:rPr>
            </w:pPr>
            <w:r w:rsidRPr="005C3B55">
              <w:rPr>
                <w:szCs w:val="24"/>
              </w:rPr>
              <w:t>The cost of certification for organic agricultural products or foodstuffs is not an eligible cost within the framework of this sub-measure.</w:t>
            </w:r>
          </w:p>
          <w:p w:rsidR="00F555D6" w:rsidRPr="005C3B55" w:rsidRDefault="00F555D6" w:rsidP="00F555D6">
            <w:pPr>
              <w:spacing w:before="240" w:after="240" w:line="280" w:lineRule="auto"/>
              <w:rPr>
                <w:szCs w:val="24"/>
              </w:rPr>
            </w:pPr>
            <w:r w:rsidRPr="005C3B55">
              <w:rPr>
                <w:szCs w:val="24"/>
              </w:rPr>
              <w:t> </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Conditions for eligibility</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numPr>
                <w:ilvl w:val="0"/>
                <w:numId w:val="875"/>
              </w:numPr>
              <w:spacing w:before="0" w:after="0"/>
              <w:ind w:hanging="290"/>
              <w:jc w:val="left"/>
              <w:rPr>
                <w:szCs w:val="24"/>
              </w:rPr>
            </w:pPr>
            <w:r w:rsidRPr="005C3B55">
              <w:rPr>
                <w:szCs w:val="24"/>
              </w:rPr>
              <w:t>Beneficiaries have to apply or renew their applications for control annually at the authorised organisation for control and certification of organic farming no later than by 31 December of the current year for the following year.</w:t>
            </w:r>
          </w:p>
          <w:p w:rsidR="00F555D6" w:rsidRPr="005C3B55" w:rsidRDefault="00F555D6" w:rsidP="00F555D6">
            <w:pPr>
              <w:numPr>
                <w:ilvl w:val="0"/>
                <w:numId w:val="875"/>
              </w:numPr>
              <w:spacing w:before="0" w:after="0"/>
              <w:ind w:hanging="290"/>
              <w:jc w:val="left"/>
              <w:rPr>
                <w:szCs w:val="24"/>
              </w:rPr>
            </w:pPr>
            <w:r w:rsidRPr="005C3B55">
              <w:rPr>
                <w:szCs w:val="24"/>
              </w:rPr>
              <w:t>An agricultural holding must be entered in the register of agricultural holdings in accordance with the regulation on the register of agricultural holdings.</w:t>
            </w:r>
          </w:p>
          <w:p w:rsidR="00F555D6" w:rsidRPr="005C3B55" w:rsidRDefault="00F555D6" w:rsidP="00F555D6">
            <w:pPr>
              <w:numPr>
                <w:ilvl w:val="0"/>
                <w:numId w:val="875"/>
              </w:numPr>
              <w:spacing w:before="0" w:after="0"/>
              <w:ind w:hanging="290"/>
              <w:jc w:val="left"/>
              <w:rPr>
                <w:szCs w:val="24"/>
              </w:rPr>
            </w:pPr>
            <w:r w:rsidRPr="005C3B55">
              <w:rPr>
                <w:szCs w:val="24"/>
              </w:rPr>
              <w:t>When entering the sub-measure, the agricultural holding must have at least 1 hectare of agricultural land.</w:t>
            </w:r>
          </w:p>
          <w:p w:rsidR="00F555D6" w:rsidRPr="005C3B55" w:rsidRDefault="00F555D6" w:rsidP="00F555D6">
            <w:pPr>
              <w:numPr>
                <w:ilvl w:val="0"/>
                <w:numId w:val="875"/>
              </w:numPr>
              <w:spacing w:before="0" w:after="0"/>
              <w:ind w:hanging="290"/>
              <w:jc w:val="left"/>
              <w:rPr>
                <w:szCs w:val="24"/>
              </w:rPr>
            </w:pPr>
            <w:r w:rsidRPr="005C3B55">
              <w:rPr>
                <w:szCs w:val="24"/>
              </w:rPr>
              <w:t>The holding must prepare an activities programme for the agricultural holding which is an electronic document prepared as a result of advisory services.</w:t>
            </w:r>
          </w:p>
          <w:p w:rsidR="00F555D6" w:rsidRPr="005C3B55" w:rsidRDefault="00F555D6" w:rsidP="00F555D6">
            <w:pPr>
              <w:numPr>
                <w:ilvl w:val="0"/>
                <w:numId w:val="875"/>
              </w:numPr>
              <w:spacing w:before="0" w:after="240"/>
              <w:ind w:hanging="290"/>
              <w:jc w:val="left"/>
              <w:rPr>
                <w:szCs w:val="24"/>
              </w:rPr>
            </w:pPr>
            <w:r w:rsidRPr="005C3B55">
              <w:rPr>
                <w:szCs w:val="24"/>
              </w:rPr>
              <w:t>An agricultural holding which is applying for the payment for the production of seed units of agricultural plants must be entered in the register of suppliers of seed units of agricultural plants as per the regulation stipulating seed units of agricultural plants.</w:t>
            </w:r>
          </w:p>
          <w:p w:rsidR="00F555D6" w:rsidRPr="005C3B55" w:rsidRDefault="00F555D6" w:rsidP="00F555D6">
            <w:pPr>
              <w:spacing w:before="240" w:after="240" w:line="280" w:lineRule="auto"/>
              <w:rPr>
                <w:szCs w:val="24"/>
              </w:rPr>
            </w:pPr>
            <w:r w:rsidRPr="005C3B55">
              <w:rPr>
                <w:szCs w:val="24"/>
              </w:rPr>
              <w:t>The aforementioned eligibility conditions are verified in the following ways:</w:t>
            </w:r>
          </w:p>
          <w:p w:rsidR="00F555D6" w:rsidRPr="005C3B55" w:rsidRDefault="00F555D6" w:rsidP="00F555D6">
            <w:pPr>
              <w:numPr>
                <w:ilvl w:val="0"/>
                <w:numId w:val="876"/>
              </w:numPr>
              <w:spacing w:before="240" w:after="0"/>
              <w:ind w:hanging="290"/>
              <w:jc w:val="left"/>
              <w:rPr>
                <w:szCs w:val="24"/>
              </w:rPr>
            </w:pPr>
            <w:r w:rsidRPr="005C3B55">
              <w:rPr>
                <w:szCs w:val="24"/>
              </w:rPr>
              <w:t>The AAMRD verifies the eligibility conditions with 100 % administrative control by means of data on the timely inclusion of beneficiaries in the control by the authorised organisation for control and certification of organic farming.</w:t>
            </w:r>
          </w:p>
          <w:p w:rsidR="00F555D6" w:rsidRPr="005C3B55" w:rsidRDefault="00F555D6" w:rsidP="00F555D6">
            <w:pPr>
              <w:numPr>
                <w:ilvl w:val="0"/>
                <w:numId w:val="876"/>
              </w:numPr>
              <w:spacing w:before="0" w:after="0"/>
              <w:ind w:hanging="290"/>
              <w:jc w:val="left"/>
              <w:rPr>
                <w:szCs w:val="24"/>
              </w:rPr>
            </w:pPr>
            <w:r w:rsidRPr="005C3B55">
              <w:rPr>
                <w:szCs w:val="24"/>
              </w:rPr>
              <w:t>The AAMRD verifies the eligibility conditions with 100 % administrative control by means of the register of agricultural holdings.</w:t>
            </w:r>
          </w:p>
          <w:p w:rsidR="00F555D6" w:rsidRPr="005C3B55" w:rsidRDefault="00F555D6" w:rsidP="00F555D6">
            <w:pPr>
              <w:numPr>
                <w:ilvl w:val="0"/>
                <w:numId w:val="876"/>
              </w:numPr>
              <w:spacing w:before="0" w:after="0"/>
              <w:ind w:hanging="290"/>
              <w:jc w:val="left"/>
              <w:rPr>
                <w:szCs w:val="24"/>
              </w:rPr>
            </w:pPr>
            <w:r w:rsidRPr="005C3B55">
              <w:rPr>
                <w:szCs w:val="24"/>
              </w:rPr>
              <w:t>The AAMRD verifies the eligibility conditions with 100% administrative control upon the entry of the request for the sub-measure.</w:t>
            </w:r>
          </w:p>
          <w:p w:rsidR="00F555D6" w:rsidRPr="005C3B55" w:rsidRDefault="00F555D6" w:rsidP="00F555D6">
            <w:pPr>
              <w:numPr>
                <w:ilvl w:val="0"/>
                <w:numId w:val="876"/>
              </w:numPr>
              <w:spacing w:before="0" w:after="240"/>
              <w:ind w:hanging="290"/>
              <w:jc w:val="left"/>
              <w:rPr>
                <w:szCs w:val="24"/>
              </w:rPr>
            </w:pPr>
            <w:r w:rsidRPr="005C3B55">
              <w:rPr>
                <w:szCs w:val="24"/>
              </w:rPr>
              <w:t>The AAMRD verifies the eligibility conditions with 100% administrative control upon the entry of the application for the sub- measure through the register of suppliers of seed units of agricultural plants.</w:t>
            </w:r>
          </w:p>
          <w:p w:rsidR="00F555D6" w:rsidRPr="005C3B55" w:rsidRDefault="00F555D6" w:rsidP="00F555D6">
            <w:pPr>
              <w:spacing w:before="240" w:after="240" w:line="280" w:lineRule="auto"/>
              <w:rPr>
                <w:szCs w:val="24"/>
              </w:rPr>
            </w:pPr>
            <w:r w:rsidRPr="005C3B55">
              <w:rPr>
                <w:szCs w:val="24"/>
              </w:rPr>
              <w:t>If a beneficiary is also included in the implementation of the measure of agri-environment-climate payments referred to in the first to the eighth paragraphs of Article 28 of Regulation (EU) No 1305/2013, all commitments related to the implementation of this measure must also be specifically defined in the programme of activities of the agricultural holding. In this case, one programme of agricultural holding activities must be compiled.</w:t>
            </w:r>
          </w:p>
          <w:p w:rsidR="00F555D6" w:rsidRPr="005C3B55" w:rsidRDefault="00F555D6" w:rsidP="00F555D6">
            <w:pPr>
              <w:spacing w:before="240" w:after="240" w:line="280" w:lineRule="auto"/>
              <w:rPr>
                <w:szCs w:val="24"/>
              </w:rPr>
            </w:pPr>
            <w:r w:rsidRPr="005C3B55">
              <w:rPr>
                <w:szCs w:val="24"/>
              </w:rPr>
              <w:t>Payments are intended only for those commitments that exceed the prescribed requirements for management and relevant mandatory standards for the preservation of a good agricultural and environmental state of land from cross-compliance, relevant criteria and minimal activities, and other relevant mandatory requirements as per national regulations.</w:t>
            </w:r>
          </w:p>
          <w:p w:rsidR="00F555D6" w:rsidRPr="005C3B55" w:rsidRDefault="00F555D6" w:rsidP="00F555D6">
            <w:pPr>
              <w:spacing w:before="240" w:after="240" w:line="280" w:lineRule="auto"/>
              <w:rPr>
                <w:szCs w:val="24"/>
              </w:rPr>
            </w:pPr>
            <w:r w:rsidRPr="005C3B55">
              <w:rPr>
                <w:szCs w:val="24"/>
              </w:rPr>
              <w:t>Beneficiaries of payments have to consistently comply with the requirements of cross-compliance from the regulation which regulates prescribed management requirements and relevant mandatory standards for the preservation of a good agricultural and environmental state of land. The observation of minimum requirements for the use of fertilisers and plant protection products is also implemented through requirements of cross-compliance stipulated in the regulation determining prescribed management requirements and good agricultural and environmental conditions of farming.</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Principles regarding the determination of selection criteria</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The application of selection criteria for this measure is not anticipated, as per the second paragraph of Article 49 of Regulation (EU) No 1305//2013. Any beneficiary meeting the conditions of this sub-measure may participate in this sub-measure.</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(Valid) amounts and support rates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The amounts of public support for the implementation of this sub-measure:</w:t>
            </w:r>
          </w:p>
          <w:p w:rsidR="00F555D6" w:rsidRPr="005C3B55" w:rsidRDefault="00F555D6" w:rsidP="00F555D6">
            <w:pPr>
              <w:numPr>
                <w:ilvl w:val="0"/>
                <w:numId w:val="877"/>
              </w:numPr>
              <w:spacing w:before="240" w:after="0"/>
              <w:ind w:hanging="290"/>
              <w:jc w:val="left"/>
              <w:rPr>
                <w:szCs w:val="24"/>
              </w:rPr>
            </w:pPr>
            <w:r w:rsidRPr="005C3B55">
              <w:rPr>
                <w:szCs w:val="24"/>
              </w:rPr>
              <w:t>arable land and crops: EUR 377.82/ha,</w:t>
            </w:r>
          </w:p>
          <w:p w:rsidR="00F555D6" w:rsidRPr="005C3B55" w:rsidRDefault="00F555D6" w:rsidP="00F555D6">
            <w:pPr>
              <w:numPr>
                <w:ilvl w:val="0"/>
                <w:numId w:val="877"/>
              </w:numPr>
              <w:spacing w:before="0" w:after="0"/>
              <w:ind w:hanging="290"/>
              <w:jc w:val="left"/>
              <w:rPr>
                <w:szCs w:val="24"/>
              </w:rPr>
            </w:pPr>
            <w:r w:rsidRPr="005C3B55">
              <w:rPr>
                <w:szCs w:val="24"/>
              </w:rPr>
              <w:t>outdoor vegetables: EUR 600.00/ha,</w:t>
            </w:r>
          </w:p>
          <w:p w:rsidR="00F555D6" w:rsidRPr="005C3B55" w:rsidRDefault="00F555D6" w:rsidP="00F555D6">
            <w:pPr>
              <w:numPr>
                <w:ilvl w:val="0"/>
                <w:numId w:val="877"/>
              </w:numPr>
              <w:spacing w:before="0" w:after="0"/>
              <w:ind w:hanging="290"/>
              <w:jc w:val="left"/>
              <w:rPr>
                <w:szCs w:val="24"/>
              </w:rPr>
            </w:pPr>
            <w:r w:rsidRPr="005C3B55">
              <w:rPr>
                <w:szCs w:val="24"/>
              </w:rPr>
              <w:t>vegetables grown under protection: EUR 600.00/ha,</w:t>
            </w:r>
          </w:p>
          <w:p w:rsidR="00F555D6" w:rsidRPr="005C3B55" w:rsidRDefault="00F555D6" w:rsidP="00F555D6">
            <w:pPr>
              <w:numPr>
                <w:ilvl w:val="0"/>
                <w:numId w:val="877"/>
              </w:numPr>
              <w:spacing w:before="0" w:after="0"/>
              <w:ind w:hanging="290"/>
              <w:jc w:val="left"/>
              <w:rPr>
                <w:szCs w:val="24"/>
              </w:rPr>
            </w:pPr>
            <w:r w:rsidRPr="005C3B55">
              <w:rPr>
                <w:szCs w:val="24"/>
              </w:rPr>
              <w:t>olive plantations with density of at least 150 trees/ha, fruit plantations with density of at least 100 trees/ha for walnut and chestnut and at least 200 trees/ha for other fruit species and plantations with mixed fruit species: EUR 900.00/ha,</w:t>
            </w:r>
          </w:p>
          <w:p w:rsidR="00F555D6" w:rsidRPr="005C3B55" w:rsidRDefault="00F555D6" w:rsidP="00F555D6">
            <w:pPr>
              <w:numPr>
                <w:ilvl w:val="0"/>
                <w:numId w:val="877"/>
              </w:numPr>
              <w:spacing w:before="0" w:after="0"/>
              <w:ind w:hanging="290"/>
              <w:jc w:val="left"/>
              <w:rPr>
                <w:szCs w:val="24"/>
              </w:rPr>
            </w:pPr>
            <w:r w:rsidRPr="005C3B55">
              <w:rPr>
                <w:szCs w:val="24"/>
              </w:rPr>
              <w:t>high-trunk meadow orchards with a density between 50 and 200 trees/ha: EUR 291.33/ha,</w:t>
            </w:r>
          </w:p>
          <w:p w:rsidR="00F555D6" w:rsidRPr="005C3B55" w:rsidRDefault="00F555D6" w:rsidP="00F555D6">
            <w:pPr>
              <w:numPr>
                <w:ilvl w:val="0"/>
                <w:numId w:val="877"/>
              </w:numPr>
              <w:spacing w:before="0" w:after="0"/>
              <w:ind w:hanging="290"/>
              <w:jc w:val="left"/>
              <w:rPr>
                <w:szCs w:val="24"/>
              </w:rPr>
            </w:pPr>
            <w:r w:rsidRPr="005C3B55">
              <w:rPr>
                <w:szCs w:val="24"/>
              </w:rPr>
              <w:t>vineyards: EUR 900.00/ha,</w:t>
            </w:r>
          </w:p>
          <w:p w:rsidR="00F555D6" w:rsidRPr="005C3B55" w:rsidRDefault="00F555D6" w:rsidP="00F555D6">
            <w:pPr>
              <w:numPr>
                <w:ilvl w:val="0"/>
                <w:numId w:val="877"/>
              </w:numPr>
              <w:spacing w:before="0" w:after="0"/>
              <w:ind w:hanging="290"/>
              <w:jc w:val="left"/>
              <w:rPr>
                <w:szCs w:val="24"/>
              </w:rPr>
            </w:pPr>
            <w:r w:rsidRPr="005C3B55">
              <w:rPr>
                <w:szCs w:val="24"/>
              </w:rPr>
              <w:t>hop plantations: EUR 900.00/ha,</w:t>
            </w:r>
          </w:p>
          <w:p w:rsidR="00F555D6" w:rsidRPr="005C3B55" w:rsidRDefault="00F555D6" w:rsidP="00F555D6">
            <w:pPr>
              <w:numPr>
                <w:ilvl w:val="0"/>
                <w:numId w:val="877"/>
              </w:numPr>
              <w:spacing w:before="0" w:after="0"/>
              <w:ind w:hanging="290"/>
              <w:jc w:val="left"/>
              <w:rPr>
                <w:szCs w:val="24"/>
              </w:rPr>
            </w:pPr>
            <w:r w:rsidRPr="005C3B55">
              <w:rPr>
                <w:szCs w:val="24"/>
              </w:rPr>
              <w:t>plant nurseries: EUR 900.00/ha,</w:t>
            </w:r>
          </w:p>
          <w:p w:rsidR="00F555D6" w:rsidRPr="005C3B55" w:rsidRDefault="00F555D6" w:rsidP="00F555D6">
            <w:pPr>
              <w:numPr>
                <w:ilvl w:val="0"/>
                <w:numId w:val="877"/>
              </w:numPr>
              <w:spacing w:before="0" w:after="0"/>
              <w:ind w:hanging="290"/>
              <w:jc w:val="left"/>
              <w:rPr>
                <w:szCs w:val="24"/>
              </w:rPr>
            </w:pPr>
            <w:r w:rsidRPr="005C3B55">
              <w:rPr>
                <w:szCs w:val="24"/>
              </w:rPr>
              <w:t>permanent grassland: EUR 272.87/ha,</w:t>
            </w:r>
          </w:p>
          <w:p w:rsidR="00F555D6" w:rsidRPr="005C3B55" w:rsidRDefault="00F555D6" w:rsidP="00F555D6">
            <w:pPr>
              <w:numPr>
                <w:ilvl w:val="0"/>
                <w:numId w:val="877"/>
              </w:numPr>
              <w:spacing w:before="0" w:after="0"/>
              <w:ind w:hanging="290"/>
              <w:jc w:val="left"/>
              <w:rPr>
                <w:szCs w:val="24"/>
              </w:rPr>
            </w:pPr>
            <w:r w:rsidRPr="005C3B55">
              <w:rPr>
                <w:szCs w:val="24"/>
              </w:rPr>
              <w:t xml:space="preserve">production of seed units of agricultural plants: </w:t>
            </w:r>
          </w:p>
          <w:p w:rsidR="00F555D6" w:rsidRPr="005C3B55" w:rsidRDefault="00F555D6" w:rsidP="00F555D6">
            <w:pPr>
              <w:numPr>
                <w:ilvl w:val="1"/>
                <w:numId w:val="877"/>
              </w:numPr>
              <w:spacing w:before="0" w:after="0"/>
              <w:ind w:hanging="324"/>
              <w:jc w:val="left"/>
              <w:rPr>
                <w:szCs w:val="24"/>
              </w:rPr>
            </w:pPr>
            <w:r w:rsidRPr="005C3B55">
              <w:rPr>
                <w:szCs w:val="24"/>
              </w:rPr>
              <w:t>arable crops: EUR 800/ha,</w:t>
            </w:r>
          </w:p>
          <w:p w:rsidR="00F555D6" w:rsidRPr="005C3B55" w:rsidRDefault="00F555D6" w:rsidP="00F555D6">
            <w:pPr>
              <w:numPr>
                <w:ilvl w:val="1"/>
                <w:numId w:val="877"/>
              </w:numPr>
              <w:spacing w:before="0" w:after="0"/>
              <w:ind w:hanging="324"/>
              <w:jc w:val="left"/>
              <w:rPr>
                <w:szCs w:val="24"/>
              </w:rPr>
            </w:pPr>
            <w:r w:rsidRPr="005C3B55">
              <w:rPr>
                <w:szCs w:val="24"/>
              </w:rPr>
              <w:t>forage crops: 800 EUR/ha, and</w:t>
            </w:r>
          </w:p>
          <w:p w:rsidR="00F555D6" w:rsidRPr="005C3B55" w:rsidRDefault="00F555D6" w:rsidP="00F555D6">
            <w:pPr>
              <w:numPr>
                <w:ilvl w:val="1"/>
                <w:numId w:val="877"/>
              </w:numPr>
              <w:spacing w:before="0" w:after="240"/>
              <w:ind w:hanging="324"/>
              <w:jc w:val="left"/>
              <w:rPr>
                <w:szCs w:val="24"/>
              </w:rPr>
            </w:pPr>
            <w:r w:rsidRPr="005C3B55">
              <w:rPr>
                <w:szCs w:val="24"/>
              </w:rPr>
              <w:t>vegetables: EUR 800/ha.</w:t>
            </w:r>
          </w:p>
          <w:p w:rsidR="00F555D6" w:rsidRPr="005C3B55" w:rsidRDefault="00F555D6" w:rsidP="00F555D6">
            <w:pPr>
              <w:spacing w:before="240" w:after="240" w:line="280" w:lineRule="auto"/>
              <w:rPr>
                <w:szCs w:val="24"/>
              </w:rPr>
            </w:pPr>
            <w:r w:rsidRPr="005C3B55">
              <w:rPr>
                <w:szCs w:val="24"/>
              </w:rPr>
              <w:t>The highest amounts of payment per hectare of agricultural land which can be awarded for the implementation of the ‘Organic farming’ measure, in accordance with Annex II to Regulation (EU) No 1305/2013, amount to:</w:t>
            </w:r>
          </w:p>
          <w:p w:rsidR="00F555D6" w:rsidRPr="005C3B55" w:rsidRDefault="00F555D6" w:rsidP="00F555D6">
            <w:pPr>
              <w:numPr>
                <w:ilvl w:val="0"/>
                <w:numId w:val="878"/>
              </w:numPr>
              <w:spacing w:before="240" w:after="0"/>
              <w:ind w:hanging="290"/>
              <w:jc w:val="left"/>
              <w:rPr>
                <w:szCs w:val="24"/>
              </w:rPr>
            </w:pPr>
            <w:r w:rsidRPr="005C3B55">
              <w:rPr>
                <w:szCs w:val="24"/>
              </w:rPr>
              <w:t>arable land: EUR 600/ha,</w:t>
            </w:r>
          </w:p>
          <w:p w:rsidR="00F555D6" w:rsidRPr="005C3B55" w:rsidRDefault="00F555D6" w:rsidP="00F555D6">
            <w:pPr>
              <w:numPr>
                <w:ilvl w:val="0"/>
                <w:numId w:val="878"/>
              </w:numPr>
              <w:spacing w:before="0" w:after="0"/>
              <w:ind w:hanging="290"/>
              <w:jc w:val="left"/>
              <w:rPr>
                <w:szCs w:val="24"/>
              </w:rPr>
            </w:pPr>
            <w:r w:rsidRPr="005C3B55">
              <w:rPr>
                <w:szCs w:val="24"/>
              </w:rPr>
              <w:t>permanent crops: EUR 900/ha,</w:t>
            </w:r>
          </w:p>
          <w:p w:rsidR="00F555D6" w:rsidRPr="005C3B55" w:rsidRDefault="00F555D6" w:rsidP="00F555D6">
            <w:pPr>
              <w:numPr>
                <w:ilvl w:val="0"/>
                <w:numId w:val="878"/>
              </w:numPr>
              <w:spacing w:before="0" w:after="0"/>
              <w:ind w:hanging="290"/>
              <w:jc w:val="left"/>
              <w:rPr>
                <w:szCs w:val="24"/>
              </w:rPr>
            </w:pPr>
            <w:r w:rsidRPr="005C3B55">
              <w:rPr>
                <w:szCs w:val="24"/>
              </w:rPr>
              <w:t>grassland: 450 EUR/ha, and</w:t>
            </w:r>
          </w:p>
          <w:p w:rsidR="00F555D6" w:rsidRPr="005C3B55" w:rsidRDefault="00F555D6" w:rsidP="00F555D6">
            <w:pPr>
              <w:numPr>
                <w:ilvl w:val="0"/>
                <w:numId w:val="878"/>
              </w:numPr>
              <w:spacing w:before="0" w:after="240"/>
              <w:ind w:hanging="290"/>
              <w:jc w:val="left"/>
              <w:rPr>
                <w:szCs w:val="24"/>
              </w:rPr>
            </w:pPr>
            <w:r w:rsidRPr="005C3B55">
              <w:rPr>
                <w:szCs w:val="24"/>
              </w:rPr>
              <w:t>production of seed units of agricultural plants: EUR 800/ha.</w:t>
            </w:r>
          </w:p>
          <w:p w:rsidR="00F555D6" w:rsidRPr="005C3B55" w:rsidRDefault="00F555D6" w:rsidP="00F555D6">
            <w:pPr>
              <w:pStyle w:val="Telobesedila"/>
              <w:rPr>
                <w:szCs w:val="24"/>
              </w:rPr>
            </w:pPr>
          </w:p>
          <w:p w:rsidR="00F555D6" w:rsidRPr="005C3B55" w:rsidRDefault="0012246E" w:rsidP="00F555D6">
            <w:pPr>
              <w:pStyle w:val="Telobesedila3"/>
              <w:jc w:val="left"/>
              <w:rPr>
                <w:szCs w:val="24"/>
              </w:rPr>
            </w:pPr>
            <w:r w:rsidRPr="005C3B55">
              <w:rPr>
                <w:noProof/>
                <w:szCs w:val="24"/>
                <w:lang w:val="sl-SI"/>
              </w:rPr>
              <w:drawing>
                <wp:inline distT="0" distB="0" distL="0" distR="0">
                  <wp:extent cx="6629400" cy="5362575"/>
                  <wp:effectExtent l="0" t="0" r="0"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629400" cy="5362575"/>
                          </a:xfrm>
                          <a:prstGeom prst="rect">
                            <a:avLst/>
                          </a:prstGeom>
                          <a:noFill/>
                          <a:ln>
                            <a:noFill/>
                          </a:ln>
                        </pic:spPr>
                      </pic:pic>
                    </a:graphicData>
                  </a:graphic>
                </wp:inline>
              </w:drawing>
            </w:r>
          </w:p>
          <w:p w:rsidR="00F555D6" w:rsidRPr="005C3B55" w:rsidRDefault="00F555D6" w:rsidP="00F555D6">
            <w:pPr>
              <w:pStyle w:val="Noga"/>
              <w:jc w:val="center"/>
              <w:rPr>
                <w:szCs w:val="24"/>
              </w:rPr>
            </w:pPr>
            <w:r w:rsidRPr="005C3B55">
              <w:rPr>
                <w:szCs w:val="24"/>
              </w:rPr>
              <w:t>Calculated amounts of payments</w:t>
            </w:r>
          </w:p>
          <w:p w:rsidR="00F555D6" w:rsidRPr="005C3B55" w:rsidRDefault="00F555D6" w:rsidP="00F555D6">
            <w:pPr>
              <w:pStyle w:val="Noga"/>
              <w:jc w:val="center"/>
              <w:rPr>
                <w:szCs w:val="24"/>
              </w:rPr>
            </w:pPr>
          </w:p>
        </w:tc>
      </w:tr>
    </w:tbl>
    <w:p w:rsidR="00F555D6" w:rsidRPr="005C3B55" w:rsidRDefault="00F555D6" w:rsidP="00F555D6">
      <w:pPr>
        <w:pStyle w:val="Naslov6"/>
        <w:numPr>
          <w:ilvl w:val="0"/>
          <w:numId w:val="0"/>
        </w:numPr>
        <w:rPr>
          <w:szCs w:val="24"/>
          <w:lang w:val="en-GB"/>
        </w:rPr>
      </w:pPr>
    </w:p>
    <w:p w:rsidR="00F555D6" w:rsidRPr="005C3B55" w:rsidRDefault="00F555D6" w:rsidP="00F555D6">
      <w:r w:rsidRPr="005C3B55">
        <w:t>Table 1: Calculated amounts of payments as per the model calculation and determined amount of payments for sub-measure 11.1</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949"/>
        <w:gridCol w:w="1535"/>
        <w:gridCol w:w="1535"/>
        <w:gridCol w:w="1535"/>
        <w:gridCol w:w="1536"/>
        <w:gridCol w:w="1536"/>
      </w:tblGrid>
      <w:tr w:rsidR="00F555D6" w:rsidRPr="005C3B55">
        <w:tc>
          <w:tcPr>
            <w:tcW w:w="1535"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rPr>
                <w:b/>
                <w:szCs w:val="24"/>
              </w:rPr>
            </w:pPr>
            <w:r w:rsidRPr="005C3B55">
              <w:rPr>
                <w:b/>
                <w:szCs w:val="24"/>
              </w:rPr>
              <w:t>Sub-measure 11.1</w:t>
            </w:r>
          </w:p>
        </w:tc>
        <w:tc>
          <w:tcPr>
            <w:tcW w:w="1535"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rPr>
                <w:b/>
                <w:szCs w:val="24"/>
              </w:rPr>
            </w:pPr>
            <w:r w:rsidRPr="005C3B55">
              <w:rPr>
                <w:b/>
                <w:szCs w:val="24"/>
              </w:rPr>
              <w:t>Highest possible payment as per Annex II to Regulation (EU) No 1305/2013 (EUR/ha)</w:t>
            </w:r>
          </w:p>
        </w:tc>
        <w:tc>
          <w:tcPr>
            <w:tcW w:w="1535"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rPr>
                <w:b/>
                <w:szCs w:val="24"/>
              </w:rPr>
            </w:pPr>
            <w:r w:rsidRPr="005C3B55">
              <w:rPr>
                <w:b/>
                <w:szCs w:val="24"/>
              </w:rPr>
              <w:t>Calculated payment amount as per model calculation</w:t>
            </w:r>
          </w:p>
          <w:p w:rsidR="00F555D6" w:rsidRPr="005C3B55" w:rsidRDefault="00F555D6" w:rsidP="00F555D6">
            <w:pPr>
              <w:spacing w:after="0"/>
              <w:rPr>
                <w:b/>
                <w:szCs w:val="24"/>
              </w:rPr>
            </w:pPr>
          </w:p>
          <w:p w:rsidR="00F555D6" w:rsidRPr="005C3B55" w:rsidRDefault="00F555D6" w:rsidP="00F555D6">
            <w:pPr>
              <w:spacing w:after="0"/>
              <w:rPr>
                <w:b/>
                <w:szCs w:val="24"/>
              </w:rPr>
            </w:pPr>
          </w:p>
          <w:p w:rsidR="00F555D6" w:rsidRPr="005C3B55" w:rsidRDefault="00F555D6" w:rsidP="00F555D6">
            <w:pPr>
              <w:spacing w:after="0"/>
              <w:rPr>
                <w:b/>
                <w:szCs w:val="24"/>
              </w:rPr>
            </w:pPr>
          </w:p>
          <w:p w:rsidR="00F555D6" w:rsidRPr="005C3B55" w:rsidRDefault="00F555D6" w:rsidP="00F555D6">
            <w:pPr>
              <w:spacing w:after="0"/>
              <w:rPr>
                <w:b/>
                <w:szCs w:val="24"/>
              </w:rPr>
            </w:pPr>
            <w:r w:rsidRPr="005C3B55">
              <w:rPr>
                <w:b/>
                <w:szCs w:val="24"/>
              </w:rPr>
              <w:t>(EUR/ha)</w:t>
            </w:r>
          </w:p>
        </w:tc>
        <w:tc>
          <w:tcPr>
            <w:tcW w:w="1535"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rPr>
                <w:b/>
                <w:szCs w:val="24"/>
              </w:rPr>
            </w:pPr>
            <w:r w:rsidRPr="005C3B55">
              <w:rPr>
                <w:b/>
                <w:szCs w:val="24"/>
              </w:rPr>
              <w:t>Highest possible amount*</w:t>
            </w:r>
          </w:p>
          <w:p w:rsidR="00F555D6" w:rsidRPr="005C3B55" w:rsidRDefault="00F555D6" w:rsidP="00F555D6">
            <w:pPr>
              <w:spacing w:after="0"/>
              <w:rPr>
                <w:b/>
                <w:szCs w:val="24"/>
              </w:rPr>
            </w:pPr>
          </w:p>
          <w:p w:rsidR="00F555D6" w:rsidRPr="005C3B55" w:rsidRDefault="00F555D6" w:rsidP="00F555D6">
            <w:pPr>
              <w:spacing w:after="0"/>
              <w:rPr>
                <w:b/>
                <w:szCs w:val="24"/>
              </w:rPr>
            </w:pPr>
          </w:p>
          <w:p w:rsidR="00F555D6" w:rsidRPr="005C3B55" w:rsidRDefault="00F555D6" w:rsidP="00F555D6">
            <w:pPr>
              <w:spacing w:after="0"/>
              <w:rPr>
                <w:b/>
                <w:szCs w:val="24"/>
              </w:rPr>
            </w:pPr>
          </w:p>
          <w:p w:rsidR="00F555D6" w:rsidRPr="005C3B55" w:rsidRDefault="00F555D6" w:rsidP="00F555D6">
            <w:pPr>
              <w:spacing w:after="0"/>
              <w:rPr>
                <w:b/>
                <w:szCs w:val="24"/>
              </w:rPr>
            </w:pPr>
          </w:p>
          <w:p w:rsidR="00F555D6" w:rsidRPr="005C3B55" w:rsidRDefault="00F555D6" w:rsidP="00F555D6">
            <w:pPr>
              <w:spacing w:after="0"/>
              <w:rPr>
                <w:b/>
                <w:szCs w:val="24"/>
              </w:rPr>
            </w:pPr>
          </w:p>
          <w:p w:rsidR="00F555D6" w:rsidRPr="005C3B55" w:rsidRDefault="00F555D6" w:rsidP="00F555D6">
            <w:pPr>
              <w:spacing w:after="0"/>
              <w:rPr>
                <w:b/>
                <w:szCs w:val="24"/>
              </w:rPr>
            </w:pPr>
            <w:r w:rsidRPr="005C3B55">
              <w:rPr>
                <w:b/>
                <w:szCs w:val="24"/>
              </w:rPr>
              <w:t>(EUR/ha)</w:t>
            </w:r>
          </w:p>
        </w:tc>
        <w:tc>
          <w:tcPr>
            <w:tcW w:w="1536"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rPr>
                <w:b/>
                <w:szCs w:val="24"/>
              </w:rPr>
            </w:pPr>
            <w:r w:rsidRPr="005C3B55">
              <w:rPr>
                <w:b/>
                <w:szCs w:val="24"/>
              </w:rPr>
              <w:t>Payment</w:t>
            </w:r>
          </w:p>
          <w:p w:rsidR="00F555D6" w:rsidRPr="005C3B55" w:rsidRDefault="00F555D6" w:rsidP="00F555D6">
            <w:pPr>
              <w:spacing w:after="0"/>
              <w:rPr>
                <w:b/>
                <w:szCs w:val="24"/>
              </w:rPr>
            </w:pPr>
          </w:p>
          <w:p w:rsidR="00F555D6" w:rsidRPr="005C3B55" w:rsidRDefault="00F555D6" w:rsidP="00F555D6">
            <w:pPr>
              <w:spacing w:after="0"/>
              <w:rPr>
                <w:b/>
                <w:szCs w:val="24"/>
              </w:rPr>
            </w:pPr>
          </w:p>
          <w:p w:rsidR="00F555D6" w:rsidRPr="005C3B55" w:rsidRDefault="00F555D6" w:rsidP="00F555D6">
            <w:pPr>
              <w:spacing w:after="0"/>
              <w:rPr>
                <w:b/>
                <w:szCs w:val="24"/>
              </w:rPr>
            </w:pPr>
          </w:p>
          <w:p w:rsidR="00F555D6" w:rsidRPr="005C3B55" w:rsidRDefault="00F555D6" w:rsidP="00F555D6">
            <w:pPr>
              <w:spacing w:after="0"/>
              <w:rPr>
                <w:b/>
                <w:szCs w:val="24"/>
              </w:rPr>
            </w:pPr>
          </w:p>
          <w:p w:rsidR="00F555D6" w:rsidRPr="005C3B55" w:rsidRDefault="00F555D6" w:rsidP="00F555D6">
            <w:pPr>
              <w:spacing w:after="0"/>
              <w:rPr>
                <w:b/>
                <w:szCs w:val="24"/>
              </w:rPr>
            </w:pPr>
          </w:p>
          <w:p w:rsidR="00F555D6" w:rsidRPr="005C3B55" w:rsidRDefault="00F555D6" w:rsidP="00F555D6">
            <w:pPr>
              <w:spacing w:after="0"/>
              <w:rPr>
                <w:b/>
                <w:szCs w:val="24"/>
              </w:rPr>
            </w:pPr>
          </w:p>
          <w:p w:rsidR="00F555D6" w:rsidRPr="005C3B55" w:rsidRDefault="00F555D6" w:rsidP="00F555D6">
            <w:pPr>
              <w:spacing w:after="0"/>
              <w:rPr>
                <w:b/>
                <w:szCs w:val="24"/>
              </w:rPr>
            </w:pPr>
          </w:p>
          <w:p w:rsidR="00F555D6" w:rsidRPr="005C3B55" w:rsidRDefault="00F555D6" w:rsidP="00F555D6">
            <w:pPr>
              <w:spacing w:after="0"/>
              <w:rPr>
                <w:b/>
                <w:szCs w:val="24"/>
              </w:rPr>
            </w:pPr>
            <w:r w:rsidRPr="005C3B55">
              <w:rPr>
                <w:b/>
                <w:szCs w:val="24"/>
              </w:rPr>
              <w:t>(EUR/ha)</w:t>
            </w:r>
          </w:p>
        </w:tc>
        <w:tc>
          <w:tcPr>
            <w:tcW w:w="1536"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rPr>
                <w:b/>
                <w:szCs w:val="24"/>
              </w:rPr>
            </w:pPr>
            <w:r w:rsidRPr="005C3B55">
              <w:rPr>
                <w:b/>
                <w:szCs w:val="24"/>
              </w:rPr>
              <w:t>Share of payment as per the highest possible payment</w:t>
            </w:r>
          </w:p>
          <w:p w:rsidR="00F555D6" w:rsidRPr="005C3B55" w:rsidRDefault="00F555D6" w:rsidP="00F555D6">
            <w:pPr>
              <w:spacing w:after="0"/>
              <w:rPr>
                <w:b/>
                <w:szCs w:val="24"/>
              </w:rPr>
            </w:pPr>
          </w:p>
          <w:p w:rsidR="00F555D6" w:rsidRPr="005C3B55" w:rsidRDefault="00F555D6" w:rsidP="00F555D6">
            <w:pPr>
              <w:spacing w:after="0"/>
              <w:rPr>
                <w:b/>
                <w:szCs w:val="24"/>
              </w:rPr>
            </w:pPr>
          </w:p>
        </w:tc>
      </w:tr>
      <w:tr w:rsidR="00F555D6" w:rsidRPr="005C3B55">
        <w:tc>
          <w:tcPr>
            <w:tcW w:w="1535"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arable land and crops</w:t>
            </w:r>
          </w:p>
        </w:tc>
        <w:tc>
          <w:tcPr>
            <w:tcW w:w="1535"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600.00</w:t>
            </w:r>
          </w:p>
        </w:tc>
        <w:tc>
          <w:tcPr>
            <w:tcW w:w="1535"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377.82</w:t>
            </w:r>
          </w:p>
        </w:tc>
        <w:tc>
          <w:tcPr>
            <w:tcW w:w="1535"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377.82</w:t>
            </w:r>
          </w:p>
        </w:tc>
        <w:tc>
          <w:tcPr>
            <w:tcW w:w="1536"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377.82</w:t>
            </w:r>
          </w:p>
        </w:tc>
        <w:tc>
          <w:tcPr>
            <w:tcW w:w="1536"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100%</w:t>
            </w:r>
          </w:p>
        </w:tc>
      </w:tr>
      <w:tr w:rsidR="00F555D6" w:rsidRPr="005C3B55">
        <w:tc>
          <w:tcPr>
            <w:tcW w:w="1535"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outdoor vegetables</w:t>
            </w:r>
          </w:p>
        </w:tc>
        <w:tc>
          <w:tcPr>
            <w:tcW w:w="1535"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600.00</w:t>
            </w:r>
          </w:p>
        </w:tc>
        <w:tc>
          <w:tcPr>
            <w:tcW w:w="1535"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5,722.87</w:t>
            </w:r>
          </w:p>
        </w:tc>
        <w:tc>
          <w:tcPr>
            <w:tcW w:w="1535"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600.00</w:t>
            </w:r>
          </w:p>
        </w:tc>
        <w:tc>
          <w:tcPr>
            <w:tcW w:w="1536"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600.00</w:t>
            </w:r>
          </w:p>
        </w:tc>
        <w:tc>
          <w:tcPr>
            <w:tcW w:w="1536"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100%</w:t>
            </w:r>
          </w:p>
        </w:tc>
      </w:tr>
      <w:tr w:rsidR="00F555D6" w:rsidRPr="005C3B55">
        <w:tc>
          <w:tcPr>
            <w:tcW w:w="1535"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vegetables grown under protection</w:t>
            </w:r>
          </w:p>
        </w:tc>
        <w:tc>
          <w:tcPr>
            <w:tcW w:w="1535"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600.00</w:t>
            </w:r>
          </w:p>
        </w:tc>
        <w:tc>
          <w:tcPr>
            <w:tcW w:w="1535"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12,327.95</w:t>
            </w:r>
          </w:p>
        </w:tc>
        <w:tc>
          <w:tcPr>
            <w:tcW w:w="1535"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600.00</w:t>
            </w:r>
          </w:p>
        </w:tc>
        <w:tc>
          <w:tcPr>
            <w:tcW w:w="1536"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600.00</w:t>
            </w:r>
          </w:p>
        </w:tc>
        <w:tc>
          <w:tcPr>
            <w:tcW w:w="1536"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100%</w:t>
            </w:r>
          </w:p>
        </w:tc>
      </w:tr>
      <w:tr w:rsidR="00F555D6" w:rsidRPr="005C3B55">
        <w:tc>
          <w:tcPr>
            <w:tcW w:w="1535"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olive groves with a density of at least 150 trees/ha, orchards with a density of at least 100 trees/ha for walnut and chestnut and at least 200 trees/ha for orchards with other fruit species and orchards with mixed fruit species</w:t>
            </w:r>
          </w:p>
        </w:tc>
        <w:tc>
          <w:tcPr>
            <w:tcW w:w="1535"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900.00</w:t>
            </w:r>
          </w:p>
        </w:tc>
        <w:tc>
          <w:tcPr>
            <w:tcW w:w="1535"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6,889.10</w:t>
            </w:r>
          </w:p>
        </w:tc>
        <w:tc>
          <w:tcPr>
            <w:tcW w:w="1535"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900.00</w:t>
            </w:r>
          </w:p>
        </w:tc>
        <w:tc>
          <w:tcPr>
            <w:tcW w:w="1536"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900.00</w:t>
            </w:r>
          </w:p>
        </w:tc>
        <w:tc>
          <w:tcPr>
            <w:tcW w:w="1536"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100%</w:t>
            </w:r>
          </w:p>
        </w:tc>
      </w:tr>
      <w:tr w:rsidR="00F555D6" w:rsidRPr="005C3B55">
        <w:tc>
          <w:tcPr>
            <w:tcW w:w="1535"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high-trunk meadow orchards with a density between 50 and 200 trees/ha</w:t>
            </w:r>
          </w:p>
        </w:tc>
        <w:tc>
          <w:tcPr>
            <w:tcW w:w="1535"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900.00</w:t>
            </w:r>
          </w:p>
        </w:tc>
        <w:tc>
          <w:tcPr>
            <w:tcW w:w="1535"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291.33</w:t>
            </w:r>
          </w:p>
        </w:tc>
        <w:tc>
          <w:tcPr>
            <w:tcW w:w="1535"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291.33</w:t>
            </w:r>
          </w:p>
        </w:tc>
        <w:tc>
          <w:tcPr>
            <w:tcW w:w="1536"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291.33</w:t>
            </w:r>
          </w:p>
        </w:tc>
        <w:tc>
          <w:tcPr>
            <w:tcW w:w="1536"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100%</w:t>
            </w:r>
          </w:p>
        </w:tc>
      </w:tr>
      <w:tr w:rsidR="00F555D6" w:rsidRPr="005C3B55">
        <w:tc>
          <w:tcPr>
            <w:tcW w:w="1535"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vineyards</w:t>
            </w:r>
          </w:p>
        </w:tc>
        <w:tc>
          <w:tcPr>
            <w:tcW w:w="1535"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900.00</w:t>
            </w:r>
          </w:p>
        </w:tc>
        <w:tc>
          <w:tcPr>
            <w:tcW w:w="1535"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1,897.74</w:t>
            </w:r>
          </w:p>
        </w:tc>
        <w:tc>
          <w:tcPr>
            <w:tcW w:w="1535"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900.00</w:t>
            </w:r>
          </w:p>
        </w:tc>
        <w:tc>
          <w:tcPr>
            <w:tcW w:w="1536"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900.00</w:t>
            </w:r>
          </w:p>
        </w:tc>
        <w:tc>
          <w:tcPr>
            <w:tcW w:w="1536"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100%</w:t>
            </w:r>
          </w:p>
        </w:tc>
      </w:tr>
      <w:tr w:rsidR="00F555D6" w:rsidRPr="005C3B55">
        <w:tc>
          <w:tcPr>
            <w:tcW w:w="1535"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hop plantations</w:t>
            </w:r>
          </w:p>
        </w:tc>
        <w:tc>
          <w:tcPr>
            <w:tcW w:w="1535"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900.00</w:t>
            </w:r>
          </w:p>
        </w:tc>
        <w:tc>
          <w:tcPr>
            <w:tcW w:w="1535"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3,720.10</w:t>
            </w:r>
          </w:p>
        </w:tc>
        <w:tc>
          <w:tcPr>
            <w:tcW w:w="1535"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900.00</w:t>
            </w:r>
          </w:p>
        </w:tc>
        <w:tc>
          <w:tcPr>
            <w:tcW w:w="1536"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900.00</w:t>
            </w:r>
          </w:p>
        </w:tc>
        <w:tc>
          <w:tcPr>
            <w:tcW w:w="1536"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100%</w:t>
            </w:r>
          </w:p>
        </w:tc>
      </w:tr>
      <w:tr w:rsidR="00F555D6" w:rsidRPr="005C3B55">
        <w:tc>
          <w:tcPr>
            <w:tcW w:w="1535"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tree nurseries</w:t>
            </w:r>
          </w:p>
        </w:tc>
        <w:tc>
          <w:tcPr>
            <w:tcW w:w="1535"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900.00</w:t>
            </w:r>
          </w:p>
        </w:tc>
        <w:tc>
          <w:tcPr>
            <w:tcW w:w="1535"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23,079.49</w:t>
            </w:r>
          </w:p>
        </w:tc>
        <w:tc>
          <w:tcPr>
            <w:tcW w:w="1535"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900.00</w:t>
            </w:r>
          </w:p>
        </w:tc>
        <w:tc>
          <w:tcPr>
            <w:tcW w:w="1536"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900.00</w:t>
            </w:r>
          </w:p>
        </w:tc>
        <w:tc>
          <w:tcPr>
            <w:tcW w:w="1536"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100%</w:t>
            </w:r>
          </w:p>
        </w:tc>
      </w:tr>
      <w:tr w:rsidR="00F555D6" w:rsidRPr="005C3B55">
        <w:tc>
          <w:tcPr>
            <w:tcW w:w="1535"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permanent grassland</w:t>
            </w:r>
          </w:p>
        </w:tc>
        <w:tc>
          <w:tcPr>
            <w:tcW w:w="1535"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450.00</w:t>
            </w:r>
          </w:p>
        </w:tc>
        <w:tc>
          <w:tcPr>
            <w:tcW w:w="1535"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389.82</w:t>
            </w:r>
          </w:p>
        </w:tc>
        <w:tc>
          <w:tcPr>
            <w:tcW w:w="1535"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389.82</w:t>
            </w:r>
          </w:p>
        </w:tc>
        <w:tc>
          <w:tcPr>
            <w:tcW w:w="1536"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272.87</w:t>
            </w:r>
          </w:p>
        </w:tc>
        <w:tc>
          <w:tcPr>
            <w:tcW w:w="1536"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70%</w:t>
            </w:r>
          </w:p>
        </w:tc>
      </w:tr>
      <w:tr w:rsidR="00F555D6" w:rsidRPr="005C3B55">
        <w:tc>
          <w:tcPr>
            <w:tcW w:w="1535"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r w:rsidRPr="005C3B55">
              <w:t>production of seed units of agricultural plants:</w:t>
            </w:r>
          </w:p>
          <w:p w:rsidR="00F555D6" w:rsidRPr="005C3B55" w:rsidRDefault="00F555D6" w:rsidP="00F555D6">
            <w:pPr>
              <w:pStyle w:val="ListParagraph"/>
              <w:numPr>
                <w:ilvl w:val="0"/>
                <w:numId w:val="893"/>
              </w:numPr>
              <w:spacing w:before="0" w:after="0"/>
              <w:jc w:val="left"/>
            </w:pPr>
            <w:r w:rsidRPr="005C3B55">
              <w:t>arable crops</w:t>
            </w:r>
          </w:p>
          <w:p w:rsidR="00F555D6" w:rsidRPr="005C3B55" w:rsidRDefault="00F555D6" w:rsidP="00F555D6">
            <w:pPr>
              <w:pStyle w:val="ListParagraph"/>
              <w:numPr>
                <w:ilvl w:val="0"/>
                <w:numId w:val="893"/>
              </w:numPr>
              <w:spacing w:before="0" w:after="0"/>
              <w:jc w:val="left"/>
            </w:pPr>
            <w:r w:rsidRPr="005C3B55">
              <w:t>forage plants</w:t>
            </w:r>
          </w:p>
          <w:p w:rsidR="00F555D6" w:rsidRPr="005C3B55" w:rsidRDefault="00F555D6" w:rsidP="00F555D6">
            <w:pPr>
              <w:pStyle w:val="ListParagraph"/>
              <w:numPr>
                <w:ilvl w:val="0"/>
                <w:numId w:val="893"/>
              </w:numPr>
              <w:spacing w:before="0" w:after="0"/>
              <w:jc w:val="left"/>
            </w:pPr>
            <w:r w:rsidRPr="005C3B55">
              <w:t>vegetables</w:t>
            </w:r>
          </w:p>
        </w:tc>
        <w:tc>
          <w:tcPr>
            <w:tcW w:w="1535"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p>
          <w:p w:rsidR="00F555D6" w:rsidRPr="005C3B55" w:rsidRDefault="00F555D6" w:rsidP="00F555D6">
            <w:pPr>
              <w:spacing w:after="0"/>
            </w:pPr>
          </w:p>
          <w:p w:rsidR="00F555D6" w:rsidRPr="005C3B55" w:rsidRDefault="00F555D6" w:rsidP="00F555D6">
            <w:pPr>
              <w:spacing w:after="0"/>
            </w:pPr>
          </w:p>
          <w:p w:rsidR="00F555D6" w:rsidRPr="005C3B55" w:rsidRDefault="00F555D6" w:rsidP="00F555D6">
            <w:pPr>
              <w:spacing w:after="0"/>
            </w:pPr>
            <w:r w:rsidRPr="005C3B55">
              <w:t>600.00</w:t>
            </w:r>
          </w:p>
          <w:p w:rsidR="00F555D6" w:rsidRPr="005C3B55" w:rsidRDefault="00F555D6" w:rsidP="00F555D6">
            <w:pPr>
              <w:spacing w:after="0"/>
            </w:pPr>
            <w:r w:rsidRPr="005C3B55">
              <w:t>600.00</w:t>
            </w:r>
          </w:p>
          <w:p w:rsidR="00F555D6" w:rsidRPr="005C3B55" w:rsidRDefault="00F555D6" w:rsidP="00F555D6">
            <w:pPr>
              <w:spacing w:after="0"/>
            </w:pPr>
            <w:r w:rsidRPr="005C3B55">
              <w:t>600.00</w:t>
            </w:r>
          </w:p>
        </w:tc>
        <w:tc>
          <w:tcPr>
            <w:tcW w:w="1535"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p>
          <w:p w:rsidR="00F555D6" w:rsidRPr="005C3B55" w:rsidRDefault="00F555D6" w:rsidP="00F555D6">
            <w:pPr>
              <w:spacing w:after="0"/>
            </w:pPr>
          </w:p>
          <w:p w:rsidR="00F555D6" w:rsidRPr="005C3B55" w:rsidRDefault="00F555D6" w:rsidP="00F555D6">
            <w:pPr>
              <w:spacing w:after="0"/>
            </w:pPr>
          </w:p>
          <w:p w:rsidR="00F555D6" w:rsidRPr="005C3B55" w:rsidRDefault="00F555D6" w:rsidP="00F555D6">
            <w:pPr>
              <w:spacing w:after="0"/>
            </w:pPr>
            <w:r w:rsidRPr="005C3B55">
              <w:t>2,258.85</w:t>
            </w:r>
          </w:p>
          <w:p w:rsidR="00F555D6" w:rsidRPr="005C3B55" w:rsidRDefault="00F555D6" w:rsidP="00F555D6">
            <w:pPr>
              <w:spacing w:after="0"/>
            </w:pPr>
            <w:r w:rsidRPr="005C3B55">
              <w:t>1,120.28</w:t>
            </w:r>
          </w:p>
          <w:p w:rsidR="00F555D6" w:rsidRPr="005C3B55" w:rsidRDefault="00F555D6" w:rsidP="00F555D6">
            <w:pPr>
              <w:spacing w:after="0"/>
            </w:pPr>
            <w:r w:rsidRPr="005C3B55">
              <w:t>168,291.31</w:t>
            </w:r>
          </w:p>
        </w:tc>
        <w:tc>
          <w:tcPr>
            <w:tcW w:w="1535"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p>
          <w:p w:rsidR="00F555D6" w:rsidRPr="005C3B55" w:rsidRDefault="00F555D6" w:rsidP="00F555D6">
            <w:pPr>
              <w:spacing w:after="0"/>
            </w:pPr>
          </w:p>
          <w:p w:rsidR="00F555D6" w:rsidRPr="005C3B55" w:rsidRDefault="00F555D6" w:rsidP="00F555D6">
            <w:pPr>
              <w:spacing w:after="0"/>
            </w:pPr>
          </w:p>
          <w:p w:rsidR="00F555D6" w:rsidRPr="005C3B55" w:rsidRDefault="00F555D6" w:rsidP="00F555D6">
            <w:pPr>
              <w:spacing w:after="0"/>
            </w:pPr>
            <w:r w:rsidRPr="005C3B55">
              <w:t>600.00</w:t>
            </w:r>
          </w:p>
          <w:p w:rsidR="00F555D6" w:rsidRPr="005C3B55" w:rsidRDefault="00F555D6" w:rsidP="00F555D6">
            <w:pPr>
              <w:spacing w:after="0"/>
            </w:pPr>
            <w:r w:rsidRPr="005C3B55">
              <w:t>600.00</w:t>
            </w:r>
          </w:p>
          <w:p w:rsidR="00F555D6" w:rsidRPr="005C3B55" w:rsidRDefault="00F555D6" w:rsidP="00F555D6">
            <w:pPr>
              <w:spacing w:after="0"/>
            </w:pPr>
            <w:r w:rsidRPr="005C3B55">
              <w:t>600.00</w:t>
            </w:r>
          </w:p>
        </w:tc>
        <w:tc>
          <w:tcPr>
            <w:tcW w:w="1536"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p>
          <w:p w:rsidR="00F555D6" w:rsidRPr="005C3B55" w:rsidRDefault="00F555D6" w:rsidP="00F555D6">
            <w:pPr>
              <w:spacing w:after="0"/>
            </w:pPr>
          </w:p>
          <w:p w:rsidR="00F555D6" w:rsidRPr="005C3B55" w:rsidRDefault="00F555D6" w:rsidP="00F555D6">
            <w:pPr>
              <w:spacing w:after="0"/>
            </w:pPr>
          </w:p>
          <w:p w:rsidR="00F555D6" w:rsidRPr="005C3B55" w:rsidRDefault="00F555D6" w:rsidP="00F555D6">
            <w:pPr>
              <w:spacing w:after="0"/>
            </w:pPr>
            <w:r w:rsidRPr="005C3B55">
              <w:t>800.00**</w:t>
            </w:r>
          </w:p>
          <w:p w:rsidR="00F555D6" w:rsidRPr="005C3B55" w:rsidRDefault="00F555D6" w:rsidP="00F555D6">
            <w:pPr>
              <w:spacing w:after="0"/>
            </w:pPr>
            <w:r w:rsidRPr="005C3B55">
              <w:t>800.00**</w:t>
            </w:r>
          </w:p>
          <w:p w:rsidR="00F555D6" w:rsidRPr="005C3B55" w:rsidRDefault="00F555D6" w:rsidP="00F555D6">
            <w:pPr>
              <w:spacing w:after="0"/>
            </w:pPr>
            <w:r w:rsidRPr="005C3B55">
              <w:t>800.00**</w:t>
            </w:r>
          </w:p>
        </w:tc>
        <w:tc>
          <w:tcPr>
            <w:tcW w:w="1536" w:type="dxa"/>
            <w:tcBorders>
              <w:top w:val="single" w:sz="4" w:space="0" w:color="auto"/>
              <w:left w:val="single" w:sz="4" w:space="0" w:color="auto"/>
              <w:bottom w:val="single" w:sz="4" w:space="0" w:color="auto"/>
              <w:right w:val="single" w:sz="4" w:space="0" w:color="auto"/>
            </w:tcBorders>
          </w:tcPr>
          <w:p w:rsidR="00F555D6" w:rsidRPr="005C3B55" w:rsidRDefault="00F555D6" w:rsidP="00F555D6">
            <w:pPr>
              <w:spacing w:after="0"/>
            </w:pPr>
          </w:p>
          <w:p w:rsidR="00F555D6" w:rsidRPr="005C3B55" w:rsidRDefault="00F555D6" w:rsidP="00F555D6">
            <w:pPr>
              <w:spacing w:after="0"/>
            </w:pPr>
          </w:p>
          <w:p w:rsidR="00F555D6" w:rsidRPr="005C3B55" w:rsidRDefault="00F555D6" w:rsidP="00F555D6">
            <w:pPr>
              <w:spacing w:after="0"/>
            </w:pPr>
          </w:p>
          <w:p w:rsidR="00F555D6" w:rsidRPr="005C3B55" w:rsidRDefault="00F555D6" w:rsidP="00F555D6">
            <w:pPr>
              <w:spacing w:after="0"/>
            </w:pPr>
            <w:r w:rsidRPr="005C3B55">
              <w:t>133.33%</w:t>
            </w:r>
          </w:p>
          <w:p w:rsidR="00F555D6" w:rsidRPr="005C3B55" w:rsidRDefault="00F555D6" w:rsidP="00F555D6">
            <w:pPr>
              <w:spacing w:after="0"/>
            </w:pPr>
            <w:r w:rsidRPr="005C3B55">
              <w:t>133.33%</w:t>
            </w:r>
          </w:p>
          <w:p w:rsidR="00F555D6" w:rsidRPr="005C3B55" w:rsidRDefault="00F555D6" w:rsidP="00F555D6">
            <w:pPr>
              <w:spacing w:after="0"/>
            </w:pPr>
            <w:r w:rsidRPr="005C3B55">
              <w:t>133.33%</w:t>
            </w:r>
          </w:p>
        </w:tc>
      </w:tr>
    </w:tbl>
    <w:p w:rsidR="00F555D6" w:rsidRPr="005C3B55" w:rsidRDefault="00F555D6" w:rsidP="00F555D6">
      <w:pPr>
        <w:rPr>
          <w:i/>
          <w:szCs w:val="24"/>
        </w:rPr>
      </w:pPr>
      <w:r w:rsidRPr="005C3B55">
        <w:rPr>
          <w:i/>
        </w:rPr>
        <w:t xml:space="preserve">* The </w:t>
      </w:r>
      <w:r w:rsidRPr="005C3B55">
        <w:rPr>
          <w:i/>
          <w:szCs w:val="24"/>
        </w:rPr>
        <w:t>highest possible payment as per the calculation or as per the highest payment as per Annex II to Regulation (EU) No 1305/2013</w:t>
      </w:r>
    </w:p>
    <w:p w:rsidR="00F555D6" w:rsidRPr="005C3B55" w:rsidRDefault="00F555D6" w:rsidP="00F555D6">
      <w:pPr>
        <w:rPr>
          <w:i/>
        </w:rPr>
      </w:pPr>
      <w:r w:rsidRPr="005C3B55">
        <w:rPr>
          <w:i/>
          <w:szCs w:val="24"/>
        </w:rPr>
        <w:t xml:space="preserve">** </w:t>
      </w:r>
      <w:r w:rsidRPr="005C3B55">
        <w:rPr>
          <w:i/>
        </w:rPr>
        <w:t>Payments for the production of seed units of agricultural plants exceed the highest amounts as per Annex II to Regulation (EU) No 1305/2013</w:t>
      </w:r>
    </w:p>
    <w:p w:rsidR="00F555D6" w:rsidRPr="005C3B55" w:rsidRDefault="00F555D6" w:rsidP="00F555D6"/>
    <w:p w:rsidR="00F555D6" w:rsidRPr="005C3B55" w:rsidRDefault="00F555D6" w:rsidP="00F555D6">
      <w:pPr>
        <w:pStyle w:val="Naslov6"/>
        <w:tabs>
          <w:tab w:val="clear" w:pos="765"/>
        </w:tabs>
        <w:ind w:left="0" w:firstLine="0"/>
        <w:rPr>
          <w:szCs w:val="24"/>
          <w:lang w:val="en-GB"/>
        </w:rPr>
      </w:pPr>
      <w:r w:rsidRPr="005C3B55">
        <w:rPr>
          <w:noProof w:val="0"/>
          <w:szCs w:val="24"/>
          <w:lang w:val="en-GB"/>
        </w:rPr>
        <w:t>Verifiability and possibility of control of measures and/or type of operations</w:t>
      </w:r>
    </w:p>
    <w:p w:rsidR="00F555D6" w:rsidRPr="005C3B55" w:rsidRDefault="00F555D6" w:rsidP="00F555D6">
      <w:pPr>
        <w:pStyle w:val="Naslov7"/>
        <w:tabs>
          <w:tab w:val="clear" w:pos="765"/>
        </w:tabs>
        <w:ind w:left="0" w:firstLine="0"/>
        <w:rPr>
          <w:szCs w:val="24"/>
          <w:lang w:val="en-GB"/>
        </w:rPr>
      </w:pPr>
      <w:r w:rsidRPr="005C3B55">
        <w:rPr>
          <w:noProof w:val="0"/>
          <w:szCs w:val="24"/>
          <w:lang w:val="en-GB"/>
        </w:rPr>
        <w:t>Risks in the implementation of the measure</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b/>
                <w:szCs w:val="24"/>
              </w:rPr>
              <w:t>R5: Requirements which are difficult to verify and/or control</w:t>
            </w:r>
          </w:p>
          <w:p w:rsidR="00F555D6" w:rsidRPr="005C3B55" w:rsidRDefault="00F555D6" w:rsidP="00F555D6">
            <w:pPr>
              <w:spacing w:before="240" w:after="240" w:line="280" w:lineRule="auto"/>
              <w:rPr>
                <w:szCs w:val="24"/>
              </w:rPr>
            </w:pPr>
            <w:r w:rsidRPr="005C3B55">
              <w:rPr>
                <w:szCs w:val="24"/>
              </w:rPr>
              <w:t>No major risks were detected within this sub-measure. To obtain the payment, beneficiaries have to possess certificates issued by an organisation for control and certification after all requirements prescribed for organic farming have been verified. The AAMRD controls all the requirements for organic farming by means of the certificate issued by an organisation for control and certification. Data on all issued certificates are submitted by the Ministry of Agriculture, Forestry and Food to the Paying Agency.</w:t>
            </w:r>
          </w:p>
          <w:p w:rsidR="00F555D6" w:rsidRPr="005C3B55" w:rsidRDefault="00F555D6" w:rsidP="00F555D6">
            <w:pPr>
              <w:spacing w:before="240" w:after="240" w:line="280" w:lineRule="auto"/>
              <w:rPr>
                <w:szCs w:val="24"/>
              </w:rPr>
            </w:pPr>
            <w:r w:rsidRPr="005C3B55">
              <w:rPr>
                <w:b/>
                <w:szCs w:val="24"/>
              </w:rPr>
              <w:t>R6: General conditions for implementation</w:t>
            </w:r>
          </w:p>
          <w:p w:rsidR="00F555D6" w:rsidRPr="005C3B55" w:rsidRDefault="00F555D6" w:rsidP="00F555D6">
            <w:pPr>
              <w:spacing w:before="240" w:after="240" w:line="280" w:lineRule="auto"/>
              <w:rPr>
                <w:szCs w:val="24"/>
              </w:rPr>
            </w:pPr>
            <w:r w:rsidRPr="005C3B55">
              <w:rPr>
                <w:szCs w:val="24"/>
              </w:rPr>
              <w:t>No major risks were detected within this sub-measure. Potential risks may be poor familiarisation with eligibility conditions and ill-timed adoption of regulations which regulate payments for the organic farming measure. Certain risk may also arise through lack of information and awareness about the sub-measure, and consequently poor inclusion in the control of organic farming.</w:t>
            </w:r>
          </w:p>
          <w:p w:rsidR="00F555D6" w:rsidRPr="005C3B55" w:rsidRDefault="00F555D6" w:rsidP="00F555D6">
            <w:pPr>
              <w:spacing w:before="240" w:after="240" w:line="280" w:lineRule="auto"/>
              <w:rPr>
                <w:szCs w:val="24"/>
              </w:rPr>
            </w:pPr>
            <w:r w:rsidRPr="005C3B55">
              <w:rPr>
                <w:b/>
                <w:szCs w:val="24"/>
              </w:rPr>
              <w:t>R8: IT systems</w:t>
            </w:r>
          </w:p>
          <w:p w:rsidR="00F555D6" w:rsidRPr="005C3B55" w:rsidRDefault="00F555D6" w:rsidP="00F555D6">
            <w:pPr>
              <w:spacing w:before="240" w:after="240" w:line="280" w:lineRule="auto"/>
              <w:rPr>
                <w:szCs w:val="24"/>
              </w:rPr>
            </w:pPr>
            <w:r w:rsidRPr="005C3B55">
              <w:rPr>
                <w:szCs w:val="24"/>
              </w:rPr>
              <w:t>Risks have been detected particularly in the correct functioning of IT systems or in providing suitable capacities for processing all information. Risks may also be posed by disorderly or outdated registers which are the result of incompatible databases.</w:t>
            </w:r>
          </w:p>
          <w:p w:rsidR="00F555D6" w:rsidRPr="005C3B55" w:rsidRDefault="00F555D6" w:rsidP="00F555D6">
            <w:pPr>
              <w:spacing w:before="240" w:after="240" w:line="280" w:lineRule="auto"/>
              <w:rPr>
                <w:szCs w:val="24"/>
              </w:rPr>
            </w:pPr>
            <w:r w:rsidRPr="005C3B55">
              <w:rPr>
                <w:b/>
                <w:szCs w:val="24"/>
              </w:rPr>
              <w:t>R9: Requests for payment</w:t>
            </w:r>
          </w:p>
          <w:p w:rsidR="00F555D6" w:rsidRPr="005C3B55" w:rsidRDefault="00F555D6" w:rsidP="00F555D6">
            <w:pPr>
              <w:spacing w:before="240" w:after="240" w:line="280" w:lineRule="auto"/>
              <w:rPr>
                <w:szCs w:val="24"/>
              </w:rPr>
            </w:pPr>
            <w:r w:rsidRPr="005C3B55">
              <w:rPr>
                <w:szCs w:val="24"/>
              </w:rPr>
              <w:t>Lack of information, insufficient knowledge about the sub-measure and poor familiarisation with the process of submitting the request.</w:t>
            </w:r>
          </w:p>
          <w:p w:rsidR="00F555D6" w:rsidRPr="005C3B55" w:rsidRDefault="00F555D6" w:rsidP="00F555D6">
            <w:pPr>
              <w:pStyle w:val="Telobesedila"/>
              <w:rPr>
                <w:szCs w:val="24"/>
              </w:rPr>
            </w:pPr>
          </w:p>
        </w:tc>
      </w:tr>
    </w:tbl>
    <w:p w:rsidR="00F555D6" w:rsidRPr="005C3B55" w:rsidRDefault="00F555D6" w:rsidP="00F555D6">
      <w:pPr>
        <w:pStyle w:val="Naslov7"/>
        <w:tabs>
          <w:tab w:val="clear" w:pos="765"/>
        </w:tabs>
        <w:ind w:left="0" w:firstLine="0"/>
        <w:rPr>
          <w:szCs w:val="24"/>
          <w:lang w:val="en-GB"/>
        </w:rPr>
      </w:pPr>
      <w:r w:rsidRPr="005C3B55">
        <w:rPr>
          <w:noProof w:val="0"/>
          <w:szCs w:val="24"/>
          <w:lang w:val="en-GB"/>
        </w:rPr>
        <w:t>Mitigation measures</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b/>
                <w:szCs w:val="24"/>
              </w:rPr>
              <w:t>R5: Requirements which are difficult to verify and/or control</w:t>
            </w:r>
          </w:p>
          <w:p w:rsidR="00F555D6" w:rsidRPr="005C3B55" w:rsidRDefault="00F555D6" w:rsidP="00F555D6">
            <w:pPr>
              <w:numPr>
                <w:ilvl w:val="0"/>
                <w:numId w:val="879"/>
              </w:numPr>
              <w:spacing w:before="240" w:after="0"/>
              <w:ind w:hanging="290"/>
              <w:jc w:val="left"/>
              <w:rPr>
                <w:szCs w:val="24"/>
              </w:rPr>
            </w:pPr>
            <w:r w:rsidRPr="005C3B55">
              <w:rPr>
                <w:szCs w:val="24"/>
              </w:rPr>
              <w:t>The AAMRD will obtain data on beneficiaries’ application or renewal of application for control for which they have to apply or renew every year no later than by 31 December of the current year for the following year. On the basis of this data, the AAMRD will assess whether a beneficiary can file a request for the organic farming measure upon the submission of the collective application and requests. Any beneficiary not included in the control of organic farming by this date will not be given the possibility to submit a request for this measure;</w:t>
            </w:r>
          </w:p>
          <w:p w:rsidR="00F555D6" w:rsidRPr="005C3B55" w:rsidRDefault="00F555D6" w:rsidP="00F555D6">
            <w:pPr>
              <w:numPr>
                <w:ilvl w:val="0"/>
                <w:numId w:val="879"/>
              </w:numPr>
              <w:spacing w:before="0" w:after="0"/>
              <w:ind w:hanging="290"/>
              <w:jc w:val="left"/>
              <w:rPr>
                <w:szCs w:val="24"/>
              </w:rPr>
            </w:pPr>
            <w:r w:rsidRPr="005C3B55">
              <w:rPr>
                <w:szCs w:val="24"/>
              </w:rPr>
              <w:t>The request for the organic farming measure cannot be submitted if a programme of activities for an agricultural holding is not prepared beforehand;</w:t>
            </w:r>
          </w:p>
          <w:p w:rsidR="00F555D6" w:rsidRPr="005C3B55" w:rsidRDefault="00F555D6" w:rsidP="00F555D6">
            <w:pPr>
              <w:numPr>
                <w:ilvl w:val="0"/>
                <w:numId w:val="879"/>
              </w:numPr>
              <w:spacing w:before="0" w:after="240"/>
              <w:ind w:hanging="290"/>
              <w:jc w:val="left"/>
              <w:rPr>
                <w:szCs w:val="24"/>
              </w:rPr>
            </w:pPr>
            <w:r w:rsidRPr="005C3B55">
              <w:rPr>
                <w:szCs w:val="24"/>
              </w:rPr>
              <w:t>A beneficiary that is also included in the implementation of the measure of agri-environment-climate payments referred to in paragraphs one to eight of Article 28 of Regulation (EU) No 1305/2013 will be unable to submit a request for an impermissible combination of this measure with the organic farming measure.</w:t>
            </w:r>
          </w:p>
          <w:p w:rsidR="00F555D6" w:rsidRPr="005C3B55" w:rsidRDefault="00F555D6" w:rsidP="00F555D6">
            <w:pPr>
              <w:spacing w:before="240" w:after="240" w:line="280" w:lineRule="auto"/>
              <w:rPr>
                <w:szCs w:val="24"/>
              </w:rPr>
            </w:pPr>
            <w:r w:rsidRPr="005C3B55">
              <w:rPr>
                <w:b/>
                <w:szCs w:val="24"/>
              </w:rPr>
              <w:t>R6: General conditions for implementation</w:t>
            </w:r>
          </w:p>
          <w:p w:rsidR="00F555D6" w:rsidRPr="005C3B55" w:rsidRDefault="00F555D6" w:rsidP="00F555D6">
            <w:pPr>
              <w:spacing w:before="240" w:after="240" w:line="280" w:lineRule="auto"/>
              <w:rPr>
                <w:szCs w:val="24"/>
              </w:rPr>
            </w:pPr>
            <w:r w:rsidRPr="005C3B55">
              <w:rPr>
                <w:szCs w:val="24"/>
              </w:rPr>
              <w:t>In order for beneficiaries to be adequately informed about all conditions and requirements for the implementation of the organic farming measure:</w:t>
            </w:r>
          </w:p>
          <w:p w:rsidR="00F555D6" w:rsidRPr="005C3B55" w:rsidRDefault="00F555D6" w:rsidP="00F555D6">
            <w:pPr>
              <w:numPr>
                <w:ilvl w:val="0"/>
                <w:numId w:val="880"/>
              </w:numPr>
              <w:spacing w:before="240" w:after="0"/>
              <w:ind w:hanging="290"/>
              <w:jc w:val="left"/>
              <w:rPr>
                <w:szCs w:val="24"/>
              </w:rPr>
            </w:pPr>
            <w:r w:rsidRPr="005C3B55">
              <w:rPr>
                <w:rFonts w:ascii="TimesNewRoman" w:hAnsi="TimesNewRoman"/>
                <w:szCs w:val="24"/>
              </w:rPr>
              <w:t>an</w:t>
            </w:r>
            <w:r w:rsidRPr="005C3B55">
              <w:rPr>
                <w:szCs w:val="24"/>
              </w:rPr>
              <w:t xml:space="preserve"> understandable and unambiguous description of the eligibility conditions and requests is provided;</w:t>
            </w:r>
          </w:p>
          <w:p w:rsidR="00F555D6" w:rsidRPr="005C3B55" w:rsidRDefault="00F555D6" w:rsidP="00F555D6">
            <w:pPr>
              <w:numPr>
                <w:ilvl w:val="0"/>
                <w:numId w:val="880"/>
              </w:numPr>
              <w:spacing w:before="0" w:after="0"/>
              <w:ind w:hanging="290"/>
              <w:jc w:val="left"/>
              <w:rPr>
                <w:szCs w:val="24"/>
              </w:rPr>
            </w:pPr>
            <w:r w:rsidRPr="005C3B55">
              <w:rPr>
                <w:szCs w:val="24"/>
              </w:rPr>
              <w:t>mandatory 6-hour training is implemented each year which is financed on the basis of Article 14 of Regulation (EU) No 1305/2013;</w:t>
            </w:r>
          </w:p>
          <w:p w:rsidR="00F555D6" w:rsidRPr="005C3B55" w:rsidRDefault="00F555D6" w:rsidP="00F555D6">
            <w:pPr>
              <w:numPr>
                <w:ilvl w:val="0"/>
                <w:numId w:val="880"/>
              </w:numPr>
              <w:spacing w:before="0" w:after="0"/>
              <w:ind w:hanging="290"/>
              <w:jc w:val="left"/>
              <w:rPr>
                <w:szCs w:val="24"/>
              </w:rPr>
            </w:pPr>
            <w:r w:rsidRPr="005C3B55">
              <w:rPr>
                <w:szCs w:val="24"/>
              </w:rPr>
              <w:t>mandatory use of advisory services at least once during the commitment, financed on the basis of Article 15 of Regulation (EU) No 1305/2013, is introduced;</w:t>
            </w:r>
          </w:p>
          <w:p w:rsidR="00F555D6" w:rsidRPr="005C3B55" w:rsidRDefault="00F555D6" w:rsidP="00F555D6">
            <w:pPr>
              <w:numPr>
                <w:ilvl w:val="0"/>
                <w:numId w:val="880"/>
              </w:numPr>
              <w:spacing w:before="0" w:after="0"/>
              <w:ind w:hanging="290"/>
              <w:jc w:val="left"/>
              <w:rPr>
                <w:szCs w:val="24"/>
              </w:rPr>
            </w:pPr>
            <w:r w:rsidRPr="005C3B55">
              <w:rPr>
                <w:szCs w:val="24"/>
              </w:rPr>
              <w:t>regular informing of beneficiaries about their commitments related to implementing the organic farming measure</w:t>
            </w:r>
            <w:r w:rsidRPr="005C3B55">
              <w:rPr>
                <w:rFonts w:ascii="TimesNewRoman" w:hAnsi="TimesNewRoman"/>
                <w:szCs w:val="24"/>
              </w:rPr>
              <w:t xml:space="preserve"> (</w:t>
            </w:r>
            <w:r w:rsidRPr="005C3B55">
              <w:rPr>
                <w:szCs w:val="24"/>
              </w:rPr>
              <w:t>as part of the regular campaign for the implementation of requests for agricultural policy measures and during the year) and within the scope of the National Rural Network is envisaged</w:t>
            </w:r>
            <w:r w:rsidRPr="005C3B55">
              <w:rPr>
                <w:rFonts w:ascii="TimesNewRoman" w:hAnsi="TimesNewRoman"/>
                <w:szCs w:val="24"/>
              </w:rPr>
              <w:t>;</w:t>
            </w:r>
          </w:p>
          <w:p w:rsidR="00F555D6" w:rsidRPr="005C3B55" w:rsidRDefault="00F555D6" w:rsidP="00F555D6">
            <w:pPr>
              <w:numPr>
                <w:ilvl w:val="0"/>
                <w:numId w:val="880"/>
              </w:numPr>
              <w:spacing w:before="0" w:after="240"/>
              <w:ind w:hanging="290"/>
              <w:jc w:val="left"/>
              <w:rPr>
                <w:szCs w:val="24"/>
              </w:rPr>
            </w:pPr>
            <w:r w:rsidRPr="005C3B55">
              <w:rPr>
                <w:szCs w:val="24"/>
              </w:rPr>
              <w:t>If a beneficiary fails to meet the eligibility conditions for entering the OF measure, it will not be possible to submit a request for payment.</w:t>
            </w:r>
          </w:p>
          <w:p w:rsidR="00F555D6" w:rsidRPr="005C3B55" w:rsidRDefault="00F555D6" w:rsidP="00F555D6">
            <w:pPr>
              <w:spacing w:before="240" w:after="240" w:line="280" w:lineRule="auto"/>
              <w:rPr>
                <w:szCs w:val="24"/>
              </w:rPr>
            </w:pPr>
            <w:r w:rsidRPr="005C3B55">
              <w:rPr>
                <w:b/>
                <w:szCs w:val="24"/>
              </w:rPr>
              <w:t>R8: IT systems</w:t>
            </w:r>
          </w:p>
          <w:p w:rsidR="00F555D6" w:rsidRPr="005C3B55" w:rsidRDefault="00F555D6" w:rsidP="00F555D6">
            <w:pPr>
              <w:spacing w:before="240" w:after="240" w:line="280" w:lineRule="auto"/>
              <w:rPr>
                <w:szCs w:val="24"/>
              </w:rPr>
            </w:pPr>
            <w:r w:rsidRPr="005C3B55">
              <w:rPr>
                <w:szCs w:val="24"/>
              </w:rPr>
              <w:t>An IT system will be set up at the Paying Agency to facilitate the electronic processing of applications and requests for payment. The acquisition of data will be electronic to the greatest extent possible by means of connectivity between different databases. If databases are not mutually compatible so that they can be automatically verified within the IT system, verification will be carried out by exchanging data between database media.</w:t>
            </w:r>
          </w:p>
          <w:p w:rsidR="00F555D6" w:rsidRPr="005C3B55" w:rsidRDefault="00F555D6" w:rsidP="00F555D6">
            <w:pPr>
              <w:spacing w:before="240" w:after="240" w:line="280" w:lineRule="auto"/>
              <w:rPr>
                <w:szCs w:val="24"/>
              </w:rPr>
            </w:pPr>
            <w:r w:rsidRPr="005C3B55">
              <w:rPr>
                <w:b/>
                <w:szCs w:val="24"/>
              </w:rPr>
              <w:t>R9: Requests for payment</w:t>
            </w:r>
          </w:p>
          <w:p w:rsidR="00F555D6" w:rsidRPr="005C3B55" w:rsidRDefault="00F555D6" w:rsidP="00F555D6">
            <w:pPr>
              <w:spacing w:before="240" w:after="240" w:line="280" w:lineRule="auto"/>
              <w:rPr>
                <w:szCs w:val="24"/>
              </w:rPr>
            </w:pPr>
            <w:r w:rsidRPr="005C3B55">
              <w:rPr>
                <w:szCs w:val="24"/>
              </w:rPr>
              <w:t>The same applies as described under ‘General conditions for th implementation’.</w:t>
            </w:r>
          </w:p>
          <w:p w:rsidR="00F555D6" w:rsidRPr="005C3B55" w:rsidRDefault="00F555D6" w:rsidP="00F555D6">
            <w:pPr>
              <w:spacing w:before="240" w:after="240" w:line="280" w:lineRule="auto"/>
              <w:rPr>
                <w:szCs w:val="24"/>
              </w:rPr>
            </w:pPr>
            <w:r w:rsidRPr="005C3B55">
              <w:rPr>
                <w:szCs w:val="24"/>
              </w:rPr>
              <w:t>The request for payment will be submitted electronically on prescribed forms, by means of which a beneficiary will define for which requirements within the organic farming measure the payment will be requested.</w:t>
            </w:r>
          </w:p>
          <w:p w:rsidR="00F555D6" w:rsidRPr="005C3B55" w:rsidRDefault="00F555D6" w:rsidP="00F555D6">
            <w:pPr>
              <w:pStyle w:val="Telobesedila"/>
              <w:rPr>
                <w:szCs w:val="24"/>
              </w:rPr>
            </w:pPr>
          </w:p>
        </w:tc>
      </w:tr>
    </w:tbl>
    <w:p w:rsidR="00F555D6" w:rsidRPr="005C3B55" w:rsidRDefault="00F555D6" w:rsidP="00F555D6">
      <w:pPr>
        <w:pStyle w:val="Naslov7"/>
        <w:tabs>
          <w:tab w:val="clear" w:pos="765"/>
        </w:tabs>
        <w:ind w:left="0" w:firstLine="0"/>
        <w:rPr>
          <w:szCs w:val="24"/>
          <w:lang w:val="en-GB"/>
        </w:rPr>
      </w:pPr>
      <w:r w:rsidRPr="005C3B55">
        <w:rPr>
          <w:noProof w:val="0"/>
          <w:szCs w:val="24"/>
          <w:lang w:val="en-GB"/>
        </w:rPr>
        <w:t>General assessment of the measure</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If mitigation measures are considered, the sub-measure is verifiable and controllable. The sub-measure will be used to attain the expected results and objectives of the RDP 2014–2020, and will contribute to realising the horizontal objectives. The implementation of this sub-measure is necessary in order to promote environmentally-friendly agricultural practices and thus the preservation of the environment.</w:t>
            </w:r>
          </w:p>
          <w:p w:rsidR="00F555D6" w:rsidRPr="005C3B55" w:rsidRDefault="00F555D6" w:rsidP="00F555D6">
            <w:pPr>
              <w:pStyle w:val="Telobesedila"/>
              <w:rPr>
                <w:szCs w:val="24"/>
              </w:rPr>
            </w:pPr>
          </w:p>
        </w:tc>
      </w:tr>
    </w:tbl>
    <w:p w:rsidR="00F555D6" w:rsidRPr="005C3B55" w:rsidRDefault="00F555D6" w:rsidP="00F555D6">
      <w:pPr>
        <w:pStyle w:val="Naslov6"/>
        <w:tabs>
          <w:tab w:val="clear" w:pos="765"/>
        </w:tabs>
        <w:ind w:left="0" w:firstLine="0"/>
        <w:rPr>
          <w:szCs w:val="24"/>
          <w:lang w:val="en-GB"/>
        </w:rPr>
      </w:pPr>
      <w:r w:rsidRPr="005C3B55">
        <w:rPr>
          <w:noProof w:val="0"/>
          <w:szCs w:val="24"/>
          <w:lang w:val="en-GB"/>
        </w:rPr>
        <w:t>Information that relates specifically to the operation</w:t>
      </w:r>
    </w:p>
    <w:p w:rsidR="00F555D6" w:rsidRPr="005C3B55" w:rsidRDefault="00F555D6" w:rsidP="00F555D6">
      <w:pPr>
        <w:spacing w:line="280" w:lineRule="auto"/>
        <w:rPr>
          <w:szCs w:val="24"/>
        </w:rPr>
      </w:pPr>
      <w:r w:rsidRPr="005C3B55">
        <w:rPr>
          <w:szCs w:val="24"/>
        </w:rPr>
        <w:t>Definition and identification of the relevant basic elements; this should include the relevant mandatory standards determined in accordance with Chapter I of Title VI of Regulation (EU) No 1306/2013 of the European Parliament and of the Council, relevant criteria and minimum activities determined in accordance with points (c)(ii) and (c)(iii) of the first paragraph of Article 4 of Regulation (EU) No 1307/2013 of the European Parliament and of the Council, relevant minimum requirements for the use of organic fertilisers and plant protection products and relevant mandatory requirements determined by national law</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5000" w:type="pct"/>
            <w:tcMar>
              <w:top w:w="20" w:type="dxa"/>
              <w:bottom w:w="20" w:type="dxa"/>
            </w:tcMar>
            <w:vAlign w:val="center"/>
          </w:tcPr>
          <w:p w:rsidR="00F555D6" w:rsidRPr="005C3B55" w:rsidRDefault="00F555D6" w:rsidP="00F555D6">
            <w:pPr>
              <w:spacing w:after="240" w:line="280" w:lineRule="auto"/>
              <w:rPr>
                <w:szCs w:val="24"/>
              </w:rPr>
            </w:pPr>
            <w:r w:rsidRPr="005C3B55">
              <w:rPr>
                <w:b/>
                <w:szCs w:val="24"/>
              </w:rPr>
              <w:t>Requirements for implementing the sub-measure and comparison with standard agricultural practice</w:t>
            </w:r>
          </w:p>
          <w:p w:rsidR="00F555D6" w:rsidRPr="005C3B55" w:rsidRDefault="00F555D6" w:rsidP="00F555D6">
            <w:pPr>
              <w:spacing w:before="240" w:after="240" w:line="280" w:lineRule="auto"/>
              <w:rPr>
                <w:szCs w:val="24"/>
              </w:rPr>
            </w:pPr>
            <w:r w:rsidRPr="005C3B55">
              <w:rPr>
                <w:b/>
                <w:szCs w:val="24"/>
              </w:rPr>
              <w:t>Standard practice</w:t>
            </w:r>
          </w:p>
          <w:p w:rsidR="00F555D6" w:rsidRPr="005C3B55" w:rsidRDefault="00F555D6" w:rsidP="00F555D6">
            <w:pPr>
              <w:spacing w:before="240" w:after="240" w:line="280" w:lineRule="auto"/>
              <w:ind w:left="600"/>
              <w:rPr>
                <w:szCs w:val="24"/>
              </w:rPr>
            </w:pPr>
            <w:r w:rsidRPr="005C3B55">
              <w:rPr>
                <w:szCs w:val="24"/>
              </w:rPr>
              <w:t>1. Farmers in the Republic of Slovenia do not have to take additional training.</w:t>
            </w:r>
          </w:p>
          <w:p w:rsidR="00F555D6" w:rsidRPr="005C3B55" w:rsidRDefault="00F555D6" w:rsidP="00F555D6">
            <w:pPr>
              <w:spacing w:before="240" w:after="240" w:line="280" w:lineRule="auto"/>
              <w:ind w:left="600"/>
              <w:rPr>
                <w:szCs w:val="24"/>
              </w:rPr>
            </w:pPr>
            <w:r w:rsidRPr="005C3B55">
              <w:rPr>
                <w:szCs w:val="24"/>
              </w:rPr>
              <w:t>2. The use of advisory services is not mandatory in standard agricultural practice.</w:t>
            </w:r>
          </w:p>
          <w:p w:rsidR="00F555D6" w:rsidRPr="005C3B55" w:rsidRDefault="00F555D6" w:rsidP="00F555D6">
            <w:pPr>
              <w:spacing w:before="240" w:after="240" w:line="280" w:lineRule="auto"/>
              <w:ind w:left="600"/>
              <w:rPr>
                <w:szCs w:val="24"/>
              </w:rPr>
            </w:pPr>
            <w:r w:rsidRPr="005C3B55">
              <w:rPr>
                <w:szCs w:val="24"/>
              </w:rPr>
              <w:t>3. In standard agricultural practice, a producer can cultivate agricultural land without obtaining a certificate.</w:t>
            </w:r>
          </w:p>
          <w:p w:rsidR="00F555D6" w:rsidRPr="005C3B55" w:rsidRDefault="00F555D6" w:rsidP="00F555D6">
            <w:pPr>
              <w:spacing w:before="240" w:after="240" w:line="280" w:lineRule="auto"/>
              <w:ind w:left="600"/>
              <w:rPr>
                <w:szCs w:val="24"/>
              </w:rPr>
            </w:pPr>
            <w:r w:rsidRPr="005C3B55">
              <w:rPr>
                <w:szCs w:val="24"/>
              </w:rPr>
              <w:t>4. In standard agricultural practice, an individual plan of conversion is not mandatory.</w:t>
            </w:r>
          </w:p>
          <w:p w:rsidR="00F555D6" w:rsidRPr="005C3B55" w:rsidRDefault="00F555D6" w:rsidP="00F555D6">
            <w:pPr>
              <w:spacing w:before="240" w:after="240" w:line="280" w:lineRule="auto"/>
              <w:ind w:left="600"/>
              <w:rPr>
                <w:szCs w:val="24"/>
              </w:rPr>
            </w:pPr>
            <w:r w:rsidRPr="005C3B55">
              <w:rPr>
                <w:szCs w:val="24"/>
              </w:rPr>
              <w:t>5. In standard agricultural practice, a producer can cultivate permanent grassland without the inclusion of animals in the control of organic farming.</w:t>
            </w:r>
          </w:p>
          <w:p w:rsidR="00F555D6" w:rsidRPr="005C3B55" w:rsidRDefault="00F555D6" w:rsidP="00F555D6">
            <w:pPr>
              <w:spacing w:before="240" w:after="240" w:line="280" w:lineRule="auto"/>
              <w:rPr>
                <w:szCs w:val="24"/>
              </w:rPr>
            </w:pPr>
            <w:r w:rsidRPr="005C3B55">
              <w:rPr>
                <w:b/>
                <w:szCs w:val="24"/>
              </w:rPr>
              <w:t>Requirements in the implementation of measure</w:t>
            </w:r>
          </w:p>
          <w:p w:rsidR="00F555D6" w:rsidRPr="005C3B55" w:rsidRDefault="00F555D6" w:rsidP="00F555D6">
            <w:pPr>
              <w:spacing w:before="240" w:after="240" w:line="280" w:lineRule="auto"/>
              <w:ind w:left="600"/>
              <w:rPr>
                <w:szCs w:val="24"/>
              </w:rPr>
            </w:pPr>
            <w:r w:rsidRPr="005C3B55">
              <w:rPr>
                <w:szCs w:val="24"/>
              </w:rPr>
              <w:t>1. A beneficiary must complete a training programme of at least 6 hours a year.</w:t>
            </w:r>
          </w:p>
          <w:p w:rsidR="00F555D6" w:rsidRPr="005C3B55" w:rsidRDefault="00F555D6" w:rsidP="00F555D6">
            <w:pPr>
              <w:spacing w:before="240" w:after="240" w:line="280" w:lineRule="auto"/>
              <w:ind w:left="600"/>
              <w:rPr>
                <w:szCs w:val="24"/>
              </w:rPr>
            </w:pPr>
            <w:r w:rsidRPr="005C3B55">
              <w:rPr>
                <w:szCs w:val="24"/>
              </w:rPr>
              <w:t>2. A beneficiary must use advisory services at least once during the commitment.</w:t>
            </w:r>
          </w:p>
          <w:p w:rsidR="00F555D6" w:rsidRPr="005C3B55" w:rsidRDefault="00F555D6" w:rsidP="00F555D6">
            <w:pPr>
              <w:spacing w:before="240" w:after="240" w:line="280" w:lineRule="auto"/>
              <w:ind w:left="600"/>
              <w:rPr>
                <w:szCs w:val="24"/>
              </w:rPr>
            </w:pPr>
            <w:r w:rsidRPr="005C3B55">
              <w:rPr>
                <w:szCs w:val="24"/>
              </w:rPr>
              <w:t>3. A certificate for organic production and processing of agricultural products or foodstuffs in accordance with Regulation (EC) No 834/2007.</w:t>
            </w:r>
          </w:p>
          <w:p w:rsidR="00F555D6" w:rsidRPr="005C3B55" w:rsidRDefault="00F555D6" w:rsidP="00F555D6">
            <w:pPr>
              <w:spacing w:before="240" w:after="240" w:line="280" w:lineRule="auto"/>
              <w:ind w:left="600"/>
              <w:rPr>
                <w:szCs w:val="24"/>
              </w:rPr>
            </w:pPr>
            <w:r w:rsidRPr="005C3B55">
              <w:rPr>
                <w:szCs w:val="24"/>
              </w:rPr>
              <w:t>4. A beneficiary entering organic farming control for the first time must have an individual plan of conversion of the agricultural holding to organic production for the first year of the commitment.</w:t>
            </w:r>
          </w:p>
          <w:p w:rsidR="00F555D6" w:rsidRPr="005C3B55" w:rsidRDefault="00F555D6" w:rsidP="00F555D6">
            <w:pPr>
              <w:spacing w:before="240" w:after="240" w:line="280" w:lineRule="auto"/>
              <w:ind w:left="600"/>
              <w:rPr>
                <w:szCs w:val="24"/>
              </w:rPr>
            </w:pPr>
            <w:r w:rsidRPr="005C3B55">
              <w:rPr>
                <w:szCs w:val="24"/>
              </w:rPr>
              <w:t>5. A beneficiary who cultivates and claims payment for permanent grassland must rear herbivorous animals in accordance with the regulations on organic farming.</w:t>
            </w:r>
          </w:p>
          <w:p w:rsidR="00F555D6" w:rsidRPr="005C3B55" w:rsidRDefault="00F555D6" w:rsidP="00F555D6">
            <w:pPr>
              <w:pStyle w:val="Telobesedila"/>
              <w:rPr>
                <w:szCs w:val="24"/>
              </w:rPr>
            </w:pPr>
          </w:p>
        </w:tc>
      </w:tr>
    </w:tbl>
    <w:p w:rsidR="00F555D6" w:rsidRPr="005C3B55" w:rsidRDefault="00F555D6" w:rsidP="00F555D6">
      <w:pPr>
        <w:spacing w:line="280" w:lineRule="auto"/>
        <w:rPr>
          <w:szCs w:val="24"/>
        </w:rPr>
      </w:pPr>
      <w:r w:rsidRPr="005C3B55">
        <w:rPr>
          <w:szCs w:val="24"/>
        </w:rPr>
        <w:t>The description of the methodology and of the agronomic assumptions and parameters, including the description of the baseline requirements as stated in Article 29(2) of Regulation (EU) No 1305/2013, which are relevant for each particular type of commitment used as reference point for the calculations which justify: additional costs and lost revenue due to the assumed commitment and the amount of transaction costs; where necessary, the methodology takes into account the support granted under Regulation (EU) No 1307/2013, including payments for agricultural practices that favourably affect the climate and environment, in order to prevent the possibility of dual financing; where appropriate, the conversion method used for other units in accordance with Article 9 of this Regulation</w:t>
      </w:r>
    </w:p>
    <w:tbl>
      <w:tblPr>
        <w:tblW w:w="5000"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20" w:type="dxa"/>
          <w:bottom w:w="120" w:type="dxa"/>
        </w:tblCellMar>
        <w:tblLook w:val="00A0" w:firstRow="1" w:lastRow="0" w:firstColumn="1" w:lastColumn="0" w:noHBand="0" w:noVBand="0"/>
      </w:tblPr>
      <w:tblGrid>
        <w:gridCol w:w="10656"/>
      </w:tblGrid>
      <w:tr w:rsidR="00F555D6" w:rsidRPr="005C3B55">
        <w:tc>
          <w:tcPr>
            <w:tcW w:w="450" w:type="pct"/>
            <w:tcMar>
              <w:top w:w="20" w:type="dxa"/>
              <w:bottom w:w="20" w:type="dxa"/>
            </w:tcMar>
            <w:vAlign w:val="center"/>
          </w:tcPr>
          <w:p w:rsidR="00F555D6" w:rsidRPr="005C3B55" w:rsidRDefault="00F555D6" w:rsidP="00F555D6">
            <w:pPr>
              <w:spacing w:after="240" w:line="280" w:lineRule="auto"/>
              <w:rPr>
                <w:szCs w:val="24"/>
              </w:rPr>
            </w:pPr>
            <w:r w:rsidRPr="005C3B55">
              <w:rPr>
                <w:szCs w:val="24"/>
              </w:rPr>
              <w:t>Description is in the methodology description at the level of the measure.</w:t>
            </w:r>
          </w:p>
          <w:p w:rsidR="00F555D6" w:rsidRPr="005C3B55" w:rsidRDefault="00F555D6" w:rsidP="00F555D6">
            <w:pPr>
              <w:pStyle w:val="Telobesedila"/>
              <w:rPr>
                <w:szCs w:val="24"/>
              </w:rPr>
            </w:pPr>
          </w:p>
        </w:tc>
      </w:tr>
    </w:tbl>
    <w:p w:rsidR="00F555D6" w:rsidRPr="005C3B55" w:rsidRDefault="00F555D6" w:rsidP="00F555D6">
      <w:pPr>
        <w:rPr>
          <w:szCs w:val="24"/>
        </w:rPr>
      </w:pPr>
    </w:p>
    <w:p w:rsidR="00C21266" w:rsidRPr="005C3B55" w:rsidRDefault="00C21266" w:rsidP="00C21266">
      <w:pPr>
        <w:pStyle w:val="Naslov5"/>
        <w:tabs>
          <w:tab w:val="clear" w:pos="765"/>
        </w:tabs>
        <w:ind w:left="0" w:firstLine="0"/>
        <w:rPr>
          <w:b w:val="0"/>
          <w:lang w:val="en-GB"/>
        </w:rPr>
      </w:pPr>
      <w:r w:rsidRPr="005C3B55">
        <w:rPr>
          <w:b w:val="0"/>
          <w:lang w:val="en-GB"/>
        </w:rPr>
        <w:t>2. Payments for the maintenance of organic farming practices and methods</w:t>
      </w:r>
    </w:p>
    <w:p w:rsidR="00C21266" w:rsidRPr="005C3B55" w:rsidRDefault="00C21266" w:rsidP="00C21266">
      <w:r w:rsidRPr="005C3B55">
        <w:t xml:space="preserve">Sub-measure: </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numPr>
                <w:ilvl w:val="0"/>
                <w:numId w:val="894"/>
              </w:numPr>
              <w:rPr>
                <w:rFonts w:eastAsia="Calibri"/>
                <w:lang w:eastAsia="en-GB" w:bidi="en-GB"/>
              </w:rPr>
            </w:pPr>
            <w:r w:rsidRPr="005C3B55">
              <w:t xml:space="preserve">11.2 – Payments for the preservation of farming practices and methods </w:t>
            </w:r>
          </w:p>
        </w:tc>
      </w:tr>
    </w:tbl>
    <w:p w:rsidR="00C21266" w:rsidRPr="005C3B55" w:rsidRDefault="00C21266" w:rsidP="00C21266">
      <w:pPr>
        <w:pStyle w:val="Naslov6"/>
        <w:tabs>
          <w:tab w:val="clear" w:pos="765"/>
        </w:tabs>
        <w:ind w:left="0" w:firstLine="0"/>
        <w:rPr>
          <w:lang w:val="en-GB" w:eastAsia="en-GB" w:bidi="en-GB"/>
        </w:rPr>
      </w:pPr>
      <w:r w:rsidRPr="005C3B55">
        <w:rPr>
          <w:lang w:val="en-GB"/>
        </w:rPr>
        <w:t>Description of type of operation</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Support is intended for the implementation of farming which enables protection and improvement of the environment, landscape elements, natural resources and biodiversity, and adaptation to climate change. It is granted for the voluntary implementation of organic farming practices and methods as stipulated by Regulation (EC) No 834/2007.</w:t>
            </w:r>
          </w:p>
          <w:p w:rsidR="00C21266" w:rsidRPr="005C3B55" w:rsidRDefault="00C21266">
            <w:pPr>
              <w:spacing w:before="240" w:after="240"/>
              <w:rPr>
                <w:szCs w:val="24"/>
              </w:rPr>
            </w:pPr>
            <w:r w:rsidRPr="005C3B55">
              <w:t>In addition to the eligibility conditions described under the chapter 'Conditions for eligibility' of this sub-measure, a beneficiary who applies for payments must meet the following requirements:</w:t>
            </w:r>
          </w:p>
          <w:p w:rsidR="00C21266" w:rsidRPr="005C3B55" w:rsidRDefault="00C21266" w:rsidP="006E20B6">
            <w:pPr>
              <w:numPr>
                <w:ilvl w:val="0"/>
                <w:numId w:val="895"/>
              </w:numPr>
              <w:spacing w:before="240" w:after="0"/>
              <w:ind w:hanging="290"/>
              <w:jc w:val="left"/>
              <w:rPr>
                <w:szCs w:val="24"/>
              </w:rPr>
            </w:pPr>
            <w:r w:rsidRPr="005C3B55">
              <w:t>implement the sub-measure pursuant to the prescribed conditions and requirements during the whole duration of obligations,</w:t>
            </w:r>
          </w:p>
          <w:p w:rsidR="00C21266" w:rsidRPr="005C3B55" w:rsidRDefault="00C21266" w:rsidP="006E20B6">
            <w:pPr>
              <w:numPr>
                <w:ilvl w:val="0"/>
                <w:numId w:val="895"/>
              </w:numPr>
              <w:spacing w:before="0" w:after="0"/>
              <w:ind w:hanging="290"/>
              <w:jc w:val="left"/>
              <w:rPr>
                <w:szCs w:val="24"/>
              </w:rPr>
            </w:pPr>
            <w:r w:rsidRPr="005C3B55">
              <w:t>complete a training programme of at least 6 hours a year,</w:t>
            </w:r>
          </w:p>
          <w:p w:rsidR="00C21266" w:rsidRPr="005C3B55" w:rsidRDefault="00C21266" w:rsidP="006E20B6">
            <w:pPr>
              <w:numPr>
                <w:ilvl w:val="0"/>
                <w:numId w:val="895"/>
              </w:numPr>
              <w:spacing w:before="0" w:after="0"/>
              <w:ind w:hanging="290"/>
              <w:jc w:val="left"/>
              <w:rPr>
                <w:szCs w:val="24"/>
              </w:rPr>
            </w:pPr>
            <w:r w:rsidRPr="005C3B55">
              <w:t>consult advisory services at least once during the commitment,</w:t>
            </w:r>
          </w:p>
          <w:p w:rsidR="00C21266" w:rsidRPr="005C3B55" w:rsidRDefault="00C21266" w:rsidP="006E20B6">
            <w:pPr>
              <w:numPr>
                <w:ilvl w:val="0"/>
                <w:numId w:val="895"/>
              </w:numPr>
              <w:spacing w:before="0" w:after="0"/>
              <w:ind w:hanging="290"/>
              <w:jc w:val="left"/>
              <w:rPr>
                <w:szCs w:val="24"/>
              </w:rPr>
            </w:pPr>
            <w:r w:rsidRPr="005C3B55">
              <w:t>acquire a certificate for organic farming or for organic production issued by an organisation for control and certification annually in accordance with Regulation 834/2007/EC and</w:t>
            </w:r>
          </w:p>
          <w:p w:rsidR="00C21266" w:rsidRPr="005C3B55" w:rsidRDefault="00C21266" w:rsidP="006E20B6">
            <w:pPr>
              <w:numPr>
                <w:ilvl w:val="0"/>
                <w:numId w:val="895"/>
              </w:numPr>
              <w:spacing w:before="0" w:after="240"/>
              <w:ind w:hanging="290"/>
              <w:jc w:val="left"/>
              <w:rPr>
                <w:szCs w:val="24"/>
              </w:rPr>
            </w:pPr>
            <w:r w:rsidRPr="005C3B55">
              <w:t>if payment for permanent grassland is asserted, the beneficiary must rear herbivorous animals in accordance with the regulations on organic farming.</w:t>
            </w:r>
          </w:p>
          <w:p w:rsidR="00C21266" w:rsidRPr="005C3B55" w:rsidRDefault="00C21266">
            <w:pPr>
              <w:spacing w:before="240" w:after="240"/>
              <w:rPr>
                <w:szCs w:val="24"/>
              </w:rPr>
            </w:pPr>
            <w:r w:rsidRPr="005C3B55">
              <w:t>The aforementioned requirements are verified in the following ways:</w:t>
            </w:r>
          </w:p>
          <w:p w:rsidR="00C21266" w:rsidRPr="005C3B55" w:rsidRDefault="00C21266" w:rsidP="006E20B6">
            <w:pPr>
              <w:numPr>
                <w:ilvl w:val="0"/>
                <w:numId w:val="896"/>
              </w:numPr>
              <w:spacing w:before="240" w:after="0"/>
              <w:ind w:hanging="290"/>
              <w:jc w:val="left"/>
              <w:rPr>
                <w:szCs w:val="24"/>
              </w:rPr>
            </w:pPr>
            <w:r w:rsidRPr="005C3B55">
              <w:t>The AAMRD verifies the implementation of the requirement with 100% administrative control by means of a certificate for organic production and processing of agricultural products or foodstuffs, which is obtained in accordance with Regulation (EC) 834/2007.</w:t>
            </w:r>
          </w:p>
          <w:p w:rsidR="00C21266" w:rsidRPr="005C3B55" w:rsidRDefault="00C21266" w:rsidP="006E20B6">
            <w:pPr>
              <w:numPr>
                <w:ilvl w:val="0"/>
                <w:numId w:val="896"/>
              </w:numPr>
              <w:spacing w:before="0" w:after="0"/>
              <w:ind w:hanging="290"/>
              <w:jc w:val="left"/>
              <w:rPr>
                <w:szCs w:val="24"/>
              </w:rPr>
            </w:pPr>
            <w:r w:rsidRPr="005C3B55">
              <w:t>The AAMRD verifies the requirement with 100% administrative control by means of the computer application “Record of training for agricultural holdings”, which includes data on the attendance of beneficiaries at training programmes.</w:t>
            </w:r>
          </w:p>
          <w:p w:rsidR="00C21266" w:rsidRPr="005C3B55" w:rsidRDefault="00C21266" w:rsidP="006E20B6">
            <w:pPr>
              <w:numPr>
                <w:ilvl w:val="0"/>
                <w:numId w:val="896"/>
              </w:numPr>
              <w:spacing w:before="0" w:after="0"/>
              <w:ind w:hanging="290"/>
              <w:jc w:val="left"/>
              <w:rPr>
                <w:szCs w:val="24"/>
              </w:rPr>
            </w:pPr>
            <w:r w:rsidRPr="005C3B55">
              <w:t>The AAMRD verifies the requirement with 100% administrative control by means of the computer application “Record of training for agricultural holdings”, which includes data on the use of advisory services.</w:t>
            </w:r>
          </w:p>
          <w:p w:rsidR="00C21266" w:rsidRPr="005C3B55" w:rsidRDefault="00C21266" w:rsidP="006E20B6">
            <w:pPr>
              <w:numPr>
                <w:ilvl w:val="0"/>
                <w:numId w:val="896"/>
              </w:numPr>
              <w:spacing w:before="0" w:after="0"/>
              <w:ind w:hanging="290"/>
              <w:jc w:val="left"/>
              <w:rPr>
                <w:szCs w:val="24"/>
              </w:rPr>
            </w:pPr>
            <w:r w:rsidRPr="005C3B55">
              <w:t>The AAMRD verifies the requirement with 100% administrative control on the basis of the list of agricultural holdings which obtained certificates for organic production or processing of agricultural products or foodstuffs as per Regulation (EC) No 834/2007.</w:t>
            </w:r>
          </w:p>
          <w:p w:rsidR="00C21266" w:rsidRPr="005C3B55" w:rsidRDefault="00C21266" w:rsidP="006E20B6">
            <w:pPr>
              <w:numPr>
                <w:ilvl w:val="0"/>
                <w:numId w:val="896"/>
              </w:numPr>
              <w:spacing w:before="0" w:after="240"/>
              <w:ind w:hanging="290"/>
              <w:jc w:val="left"/>
              <w:rPr>
                <w:szCs w:val="24"/>
              </w:rPr>
            </w:pPr>
            <w:r w:rsidRPr="005C3B55">
              <w:t>The AAMRD verifies the implementation of the requirement with 100% administrative control by means of the record of livestock and the register of agricultural holdings.</w:t>
            </w:r>
          </w:p>
          <w:p w:rsidR="00C21266" w:rsidRPr="005C3B55" w:rsidRDefault="00C21266">
            <w:pPr>
              <w:spacing w:before="240" w:after="240"/>
              <w:rPr>
                <w:szCs w:val="24"/>
              </w:rPr>
            </w:pPr>
            <w:r w:rsidRPr="005C3B55">
              <w:t>The listed requirements ensure expert assistance to, and qualifications of, the beneficiaries for the production of high-quality food, which protects human health and enables a reduction of the negative impacts on the environment to the least possible extent, primarily in terms of preventing agricultural pollution of groundwater, since basic prohibitions, such as the prohibition on the use of synthetic substances for plant protection (herbicides and other plant protection products) and readily soluble mineral fertilisers directly result in active protection of groundwater against pollution with pesticide and partially also nitrate residues. These prohibitions also ensure that soil is not polluted, which contributes to improving the properties of soil and its management.</w:t>
            </w:r>
          </w:p>
          <w:p w:rsidR="00C21266" w:rsidRPr="005C3B55" w:rsidRDefault="00C21266">
            <w:pPr>
              <w:pStyle w:val="Telobesedila"/>
              <w:rPr>
                <w:lang w:eastAsia="en-GB" w:bidi="en-GB"/>
              </w:rPr>
            </w:pPr>
          </w:p>
        </w:tc>
      </w:tr>
    </w:tbl>
    <w:p w:rsidR="00C21266" w:rsidRPr="005C3B55" w:rsidRDefault="00C21266" w:rsidP="00C21266">
      <w:pPr>
        <w:pStyle w:val="Naslov6"/>
        <w:tabs>
          <w:tab w:val="clear" w:pos="765"/>
        </w:tabs>
        <w:ind w:left="0" w:firstLine="0"/>
        <w:rPr>
          <w:lang w:val="en-GB" w:eastAsia="en-GB" w:bidi="en-GB"/>
        </w:rPr>
      </w:pPr>
      <w:r w:rsidRPr="005C3B55">
        <w:rPr>
          <w:lang w:val="en-GB"/>
        </w:rPr>
        <w:t>Type of support</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The support is granted per hectare of agricultural land or per colony in the case of bee-farming.</w:t>
            </w:r>
          </w:p>
          <w:p w:rsidR="00C21266" w:rsidRPr="005C3B55" w:rsidRDefault="00C21266">
            <w:pPr>
              <w:spacing w:before="240" w:after="240"/>
              <w:rPr>
                <w:szCs w:val="24"/>
              </w:rPr>
            </w:pPr>
            <w:r w:rsidRPr="005C3B55">
              <w:t>Support for permanent grassland is granted in the form of an annual payment per hectare of permanent grassland.</w:t>
            </w:r>
          </w:p>
          <w:p w:rsidR="00C21266" w:rsidRPr="005C3B55" w:rsidRDefault="00C21266">
            <w:pPr>
              <w:spacing w:before="240" w:after="240"/>
              <w:rPr>
                <w:szCs w:val="24"/>
              </w:rPr>
            </w:pPr>
            <w:r w:rsidRPr="005C3B55">
              <w:t>An agricultural holding which does not breed herbivorous animals (cattle, sheep, goats, horses, deer) according to the regulations on organic farming is not eligible for payment for permanent grassland under this sub-measure.</w:t>
            </w:r>
          </w:p>
          <w:p w:rsidR="00C21266" w:rsidRPr="005C3B55" w:rsidRDefault="00C21266">
            <w:pPr>
              <w:spacing w:before="240" w:after="240"/>
              <w:rPr>
                <w:szCs w:val="24"/>
              </w:rPr>
            </w:pPr>
            <w:r w:rsidRPr="005C3B55">
              <w:t>Payment for permanent grassland for an agricultural holding is calculated for the surface area of permanent grassland that reaches an average density of at least 0.5 livestock units/ha of permanent grassland. If an agricultural holding does not reach an average density of at least 0.5 livestock units/ha of permanent grassland, the payment is calculated only for the area for which a density of 0.5 livestock units/ha of permanent grassland is ensured.</w:t>
            </w:r>
          </w:p>
          <w:p w:rsidR="00C21266" w:rsidRPr="005C3B55" w:rsidRDefault="00C21266">
            <w:pPr>
              <w:spacing w:before="240" w:after="240"/>
              <w:rPr>
                <w:szCs w:val="24"/>
              </w:rPr>
            </w:pPr>
            <w:r w:rsidRPr="005C3B55">
              <w:t>The payments for bee-keeping depend on all bee colonies included in the control of organic production and processing.</w:t>
            </w:r>
          </w:p>
          <w:p w:rsidR="00C21266" w:rsidRPr="005C3B55" w:rsidRDefault="00C21266">
            <w:pPr>
              <w:pStyle w:val="Telobesedila"/>
              <w:rPr>
                <w:lang w:eastAsia="en-GB" w:bidi="en-GB"/>
              </w:rPr>
            </w:pPr>
          </w:p>
        </w:tc>
      </w:tr>
    </w:tbl>
    <w:p w:rsidR="00C21266" w:rsidRPr="005C3B55" w:rsidRDefault="00C21266" w:rsidP="00C21266">
      <w:pPr>
        <w:pStyle w:val="Naslov6"/>
        <w:tabs>
          <w:tab w:val="clear" w:pos="765"/>
        </w:tabs>
        <w:ind w:left="0" w:firstLine="0"/>
        <w:rPr>
          <w:lang w:val="en-GB" w:eastAsia="en-GB" w:bidi="en-GB"/>
        </w:rPr>
      </w:pPr>
      <w:r w:rsidRPr="005C3B55">
        <w:rPr>
          <w:lang w:val="en-GB"/>
        </w:rPr>
        <w:t>Connection with other legislation</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rsidP="006E20B6">
            <w:pPr>
              <w:numPr>
                <w:ilvl w:val="0"/>
                <w:numId w:val="897"/>
              </w:numPr>
              <w:spacing w:before="0" w:after="0"/>
              <w:ind w:hanging="290"/>
              <w:jc w:val="left"/>
              <w:rPr>
                <w:rFonts w:eastAsia="Calibri"/>
                <w:szCs w:val="24"/>
              </w:rPr>
            </w:pPr>
            <w:r w:rsidRPr="005C3B55">
              <w:t>Regulation (EU) No 1306/2013, Chapter I, Title VI (cross-compliance);</w:t>
            </w:r>
          </w:p>
          <w:p w:rsidR="00C21266" w:rsidRPr="005C3B55" w:rsidRDefault="00C21266" w:rsidP="006E20B6">
            <w:pPr>
              <w:numPr>
                <w:ilvl w:val="0"/>
                <w:numId w:val="897"/>
              </w:numPr>
              <w:spacing w:before="0" w:after="0"/>
              <w:ind w:hanging="290"/>
              <w:jc w:val="left"/>
              <w:rPr>
                <w:szCs w:val="24"/>
              </w:rPr>
            </w:pPr>
            <w:r w:rsidRPr="005C3B55">
              <w:t>Regulation (EU) No 1307/2013;</w:t>
            </w:r>
          </w:p>
          <w:p w:rsidR="00C21266" w:rsidRPr="005C3B55" w:rsidRDefault="00C21266" w:rsidP="006E20B6">
            <w:pPr>
              <w:numPr>
                <w:ilvl w:val="0"/>
                <w:numId w:val="897"/>
              </w:numPr>
              <w:spacing w:before="0" w:after="0"/>
              <w:ind w:hanging="290"/>
              <w:jc w:val="left"/>
              <w:rPr>
                <w:szCs w:val="24"/>
              </w:rPr>
            </w:pPr>
            <w:r w:rsidRPr="005C3B55">
              <w:t>Council Regulation (EC) No 834/2007 of 28 June 2007 on organic production and labelling of organic products and repealing Regulation (EEC) No 2092/91;</w:t>
            </w:r>
          </w:p>
          <w:p w:rsidR="00C21266" w:rsidRPr="005C3B55" w:rsidRDefault="00C21266" w:rsidP="006E20B6">
            <w:pPr>
              <w:numPr>
                <w:ilvl w:val="0"/>
                <w:numId w:val="897"/>
              </w:numPr>
              <w:spacing w:before="0" w:after="0"/>
              <w:ind w:hanging="290"/>
              <w:jc w:val="left"/>
              <w:rPr>
                <w:szCs w:val="24"/>
              </w:rPr>
            </w:pPr>
            <w:r w:rsidRPr="005C3B55">
              <w:t>Commission Regulation (EC) No 889/2008 of 5 September 2008 on determination of detailed rules for the implementation of Council Regulation (EC) No 834/2007 on organic production and labelling of organic products in terms of organic production, labelling and control;</w:t>
            </w:r>
          </w:p>
          <w:p w:rsidR="00C21266" w:rsidRPr="005C3B55" w:rsidRDefault="00C21266" w:rsidP="006E20B6">
            <w:pPr>
              <w:numPr>
                <w:ilvl w:val="0"/>
                <w:numId w:val="897"/>
              </w:numPr>
              <w:spacing w:before="0" w:after="0"/>
              <w:ind w:hanging="290"/>
              <w:jc w:val="left"/>
              <w:rPr>
                <w:szCs w:val="24"/>
              </w:rPr>
            </w:pPr>
            <w:r w:rsidRPr="005C3B55">
              <w:t>Regulation (EC) 882/2004 of the European Parliament and of the Council of 29 April 2004 on official controls performed to ensure the verification of compliance with feed and food law, animal health and animal welfare rules;</w:t>
            </w:r>
          </w:p>
          <w:p w:rsidR="00C21266" w:rsidRPr="005C3B55" w:rsidRDefault="00C21266" w:rsidP="006E20B6">
            <w:pPr>
              <w:numPr>
                <w:ilvl w:val="0"/>
                <w:numId w:val="897"/>
              </w:numPr>
              <w:spacing w:before="0" w:after="0"/>
              <w:ind w:hanging="290"/>
              <w:jc w:val="left"/>
              <w:rPr>
                <w:szCs w:val="24"/>
              </w:rPr>
            </w:pPr>
            <w:r w:rsidRPr="005C3B55">
              <w:t>Agriculture Act (Official Gazette of the Republic of Slovenia, no. 45/2008 with all amendments);</w:t>
            </w:r>
          </w:p>
          <w:p w:rsidR="00C21266" w:rsidRPr="005C3B55" w:rsidRDefault="00C21266" w:rsidP="006E20B6">
            <w:pPr>
              <w:numPr>
                <w:ilvl w:val="0"/>
                <w:numId w:val="897"/>
              </w:numPr>
              <w:spacing w:before="0" w:after="0"/>
              <w:ind w:hanging="290"/>
              <w:jc w:val="left"/>
              <w:rPr>
                <w:szCs w:val="24"/>
              </w:rPr>
            </w:pPr>
            <w:r w:rsidRPr="005C3B55">
              <w:t>Rules on organic production and processing of agricultural products and/or foods (Official Gazette of the Republic of Slovenia, No 8/2014);</w:t>
            </w:r>
          </w:p>
          <w:p w:rsidR="00C21266" w:rsidRPr="005C3B55" w:rsidRDefault="00C21266" w:rsidP="006E20B6">
            <w:pPr>
              <w:numPr>
                <w:ilvl w:val="0"/>
                <w:numId w:val="897"/>
              </w:numPr>
              <w:spacing w:before="0" w:after="0"/>
              <w:ind w:hanging="290"/>
              <w:jc w:val="left"/>
              <w:rPr>
                <w:szCs w:val="24"/>
              </w:rPr>
            </w:pPr>
            <w:r w:rsidRPr="005C3B55">
              <w:t>national regulation which regulates the implementation of this sub-measure; and</w:t>
            </w:r>
          </w:p>
          <w:p w:rsidR="00C21266" w:rsidRPr="005C3B55" w:rsidRDefault="00C21266" w:rsidP="006E20B6">
            <w:pPr>
              <w:numPr>
                <w:ilvl w:val="0"/>
                <w:numId w:val="897"/>
              </w:numPr>
              <w:spacing w:before="0" w:after="240"/>
              <w:ind w:hanging="290"/>
              <w:jc w:val="left"/>
              <w:rPr>
                <w:szCs w:val="24"/>
              </w:rPr>
            </w:pPr>
            <w:r w:rsidRPr="005C3B55">
              <w:t>other EU and national legislation which regulates the implementation of this sub-measure.</w:t>
            </w:r>
          </w:p>
          <w:p w:rsidR="00C21266" w:rsidRPr="005C3B55" w:rsidRDefault="00C21266">
            <w:pPr>
              <w:pStyle w:val="Telobesedila"/>
              <w:rPr>
                <w:lang w:eastAsia="en-GB" w:bidi="en-GB"/>
              </w:rPr>
            </w:pPr>
          </w:p>
        </w:tc>
      </w:tr>
    </w:tbl>
    <w:p w:rsidR="00C21266" w:rsidRPr="005C3B55" w:rsidRDefault="00C21266" w:rsidP="00C21266">
      <w:pPr>
        <w:pStyle w:val="Naslov6"/>
        <w:tabs>
          <w:tab w:val="clear" w:pos="765"/>
        </w:tabs>
        <w:ind w:left="0" w:firstLine="0"/>
        <w:rPr>
          <w:lang w:val="en-GB" w:eastAsia="en-GB" w:bidi="en-GB"/>
        </w:rPr>
      </w:pPr>
      <w:r w:rsidRPr="005C3B55">
        <w:rPr>
          <w:lang w:val="en-GB"/>
        </w:rPr>
        <w:t>Beneficiaries</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Beneficiaries of payments are agricultural holdings which begin implementing this sub-measure voluntarily, and fulfil the prescribed conditions and requirements. The holders of agricultural holdings must fulfil the condition of being an active farmer as per Article 9 of Regulation (EU) No 1307/2013.</w:t>
            </w:r>
          </w:p>
          <w:p w:rsidR="00C21266" w:rsidRPr="005C3B55" w:rsidRDefault="00C21266">
            <w:pPr>
              <w:pStyle w:val="Telobesedila"/>
              <w:rPr>
                <w:lang w:eastAsia="en-GB" w:bidi="en-GB"/>
              </w:rPr>
            </w:pPr>
          </w:p>
        </w:tc>
      </w:tr>
    </w:tbl>
    <w:p w:rsidR="00C21266" w:rsidRPr="005C3B55" w:rsidRDefault="00C21266" w:rsidP="00C21266">
      <w:pPr>
        <w:pStyle w:val="Naslov6"/>
        <w:tabs>
          <w:tab w:val="clear" w:pos="765"/>
        </w:tabs>
        <w:ind w:left="0" w:firstLine="0"/>
        <w:rPr>
          <w:lang w:val="en-GB" w:eastAsia="en-GB" w:bidi="en-GB"/>
        </w:rPr>
      </w:pPr>
      <w:r w:rsidRPr="005C3B55">
        <w:rPr>
          <w:lang w:val="en-GB"/>
        </w:rPr>
        <w:t>Eligible costs</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 xml:space="preserve">Payments cover all costs and lost income due to the assumed obligation, taking into account the highest amounts of payments in regard to the calculated amount of payment after the model calculation and/or according to the highest possible amounts of payments defined in Annex II of Regulation (EU) No 1305/2013, except for permanent grassland, where the payments cover 70% of the calculated value according to the model calculation. Despite the fact that the payment for permanent grassland does not cover all costs and lost income due to the assumed obligation, it is estimated that this will not have a negative impact on the inclusion of permanent grassland in organic farming, which is also confirmed by the results of analyses of previous implementation of organic farming. </w:t>
            </w:r>
          </w:p>
          <w:p w:rsidR="00C21266" w:rsidRPr="005C3B55" w:rsidRDefault="00C21266">
            <w:pPr>
              <w:spacing w:before="240" w:after="240"/>
              <w:rPr>
                <w:szCs w:val="24"/>
              </w:rPr>
            </w:pPr>
            <w:r w:rsidRPr="005C3B55">
              <w:t>Payments also include transaction costs related to the presence during control and keeping of records. Transaction costs amount to 8.9% of payment for arable land and crops, 3.7% of payment for open-air vegetables, 12.3% for vegetables grown in secured space, 13.9% for intensive orchards, 14.2% for high-trunk meadow orchards, 8.8% for vineyards, 4.6% for hop fields, 12.9% for tree nurseries, 0.4% for permanent grassland, and between 2.3% and 4.1% for the production of seed for agricultural crops and 0.4% for bee-keeping.</w:t>
            </w:r>
          </w:p>
          <w:p w:rsidR="00C21266" w:rsidRPr="005C3B55" w:rsidRDefault="00C21266">
            <w:pPr>
              <w:spacing w:before="240" w:after="240"/>
              <w:rPr>
                <w:szCs w:val="24"/>
              </w:rPr>
            </w:pPr>
            <w:r w:rsidRPr="005C3B55">
              <w:t xml:space="preserve">The costs of certification of organic farming products or foodstuffs are not regarded eligible costs within the scope of this sub-measure. </w:t>
            </w:r>
          </w:p>
          <w:p w:rsidR="00C21266" w:rsidRPr="005C3B55" w:rsidRDefault="00C21266">
            <w:pPr>
              <w:spacing w:before="240" w:after="240"/>
              <w:rPr>
                <w:szCs w:val="24"/>
              </w:rPr>
            </w:pPr>
            <w:r w:rsidRPr="005C3B55">
              <w:t> </w:t>
            </w:r>
          </w:p>
          <w:p w:rsidR="00C21266" w:rsidRPr="005C3B55" w:rsidRDefault="00C21266">
            <w:pPr>
              <w:pStyle w:val="Telobesedila"/>
              <w:rPr>
                <w:lang w:eastAsia="en-GB" w:bidi="en-GB"/>
              </w:rPr>
            </w:pPr>
          </w:p>
        </w:tc>
      </w:tr>
    </w:tbl>
    <w:p w:rsidR="00C21266" w:rsidRPr="005C3B55" w:rsidRDefault="00C21266" w:rsidP="00C21266">
      <w:pPr>
        <w:pStyle w:val="Naslov6"/>
        <w:tabs>
          <w:tab w:val="clear" w:pos="765"/>
        </w:tabs>
        <w:ind w:left="0" w:firstLine="0"/>
        <w:rPr>
          <w:lang w:val="en-GB" w:eastAsia="en-GB" w:bidi="en-GB"/>
        </w:rPr>
      </w:pPr>
      <w:r w:rsidRPr="005C3B55">
        <w:rPr>
          <w:lang w:val="en-GB"/>
        </w:rPr>
        <w:t>Conditions for eligibility</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rsidP="006E20B6">
            <w:pPr>
              <w:numPr>
                <w:ilvl w:val="0"/>
                <w:numId w:val="898"/>
              </w:numPr>
              <w:spacing w:before="0" w:after="0"/>
              <w:ind w:hanging="290"/>
              <w:jc w:val="left"/>
              <w:rPr>
                <w:rFonts w:eastAsia="Calibri"/>
                <w:szCs w:val="24"/>
              </w:rPr>
            </w:pPr>
            <w:r w:rsidRPr="005C3B55">
              <w:t>Beneficiaries have to apply or renew their applications for control annually at the authorised organisation for control and certification of organic farming no later than by 31 December for the following year..</w:t>
            </w:r>
          </w:p>
          <w:p w:rsidR="00C21266" w:rsidRPr="005C3B55" w:rsidRDefault="00C21266" w:rsidP="006E20B6">
            <w:pPr>
              <w:numPr>
                <w:ilvl w:val="0"/>
                <w:numId w:val="898"/>
              </w:numPr>
              <w:spacing w:before="0" w:after="0"/>
              <w:ind w:hanging="290"/>
              <w:jc w:val="left"/>
              <w:rPr>
                <w:szCs w:val="24"/>
              </w:rPr>
            </w:pPr>
            <w:r w:rsidRPr="005C3B55">
              <w:t>An agricultural holding must be entered in the register of agricultural holdings in accordance with the regulation on the register of agricultural holdings.</w:t>
            </w:r>
          </w:p>
          <w:p w:rsidR="00C21266" w:rsidRPr="005C3B55" w:rsidRDefault="00C21266" w:rsidP="006E20B6">
            <w:pPr>
              <w:numPr>
                <w:ilvl w:val="0"/>
                <w:numId w:val="898"/>
              </w:numPr>
              <w:spacing w:before="0" w:after="0"/>
              <w:ind w:hanging="290"/>
              <w:jc w:val="left"/>
              <w:rPr>
                <w:szCs w:val="24"/>
              </w:rPr>
            </w:pPr>
            <w:r w:rsidRPr="005C3B55">
              <w:t>Upon entering in the sub-measure, the agricultural holding must have at least 1 ha of agricultural land or at least 1 bee colony in the case of bee-keeping.</w:t>
            </w:r>
          </w:p>
          <w:p w:rsidR="00C21266" w:rsidRPr="005C3B55" w:rsidRDefault="00C21266" w:rsidP="006E20B6">
            <w:pPr>
              <w:numPr>
                <w:ilvl w:val="0"/>
                <w:numId w:val="898"/>
              </w:numPr>
              <w:spacing w:before="0" w:after="0"/>
              <w:ind w:hanging="290"/>
              <w:jc w:val="left"/>
              <w:rPr>
                <w:szCs w:val="24"/>
              </w:rPr>
            </w:pPr>
            <w:r w:rsidRPr="005C3B55">
              <w:t xml:space="preserve">It must have a drawn up programme for agricultural holding activities which is an electronic document drafted as a result of consultant service. </w:t>
            </w:r>
          </w:p>
          <w:p w:rsidR="00C21266" w:rsidRPr="005C3B55" w:rsidRDefault="00C21266" w:rsidP="006E20B6">
            <w:pPr>
              <w:numPr>
                <w:ilvl w:val="0"/>
                <w:numId w:val="898"/>
              </w:numPr>
              <w:spacing w:before="0" w:after="240"/>
              <w:ind w:hanging="290"/>
              <w:jc w:val="left"/>
              <w:rPr>
                <w:szCs w:val="24"/>
              </w:rPr>
            </w:pPr>
            <w:r w:rsidRPr="005C3B55">
              <w:t>An agricultural holding which is applying for the payment for the production of seed units of agricultural plants must be entered in the register of suppliers of seed units of agricultural plants as per the regulation stipulating seed units of agricultural plants.</w:t>
            </w:r>
          </w:p>
          <w:p w:rsidR="00C21266" w:rsidRPr="005C3B55" w:rsidRDefault="00C21266">
            <w:pPr>
              <w:spacing w:before="240" w:after="240"/>
              <w:rPr>
                <w:szCs w:val="24"/>
              </w:rPr>
            </w:pPr>
            <w:r w:rsidRPr="005C3B55">
              <w:t>The aforementioned eligibility conditions are verified in the following ways:</w:t>
            </w:r>
          </w:p>
          <w:p w:rsidR="00C21266" w:rsidRPr="005C3B55" w:rsidRDefault="00C21266" w:rsidP="006E20B6">
            <w:pPr>
              <w:numPr>
                <w:ilvl w:val="0"/>
                <w:numId w:val="899"/>
              </w:numPr>
              <w:spacing w:before="240" w:after="0"/>
              <w:ind w:hanging="290"/>
              <w:jc w:val="left"/>
              <w:rPr>
                <w:szCs w:val="24"/>
              </w:rPr>
            </w:pPr>
            <w:r w:rsidRPr="005C3B55">
              <w:t>The AAMRD verifies the eligibility conditions with 100% administrative control by means of data on the timely inclusion of beneficiaries in the control by the authorised organisation for control and certification of organic farming.</w:t>
            </w:r>
          </w:p>
          <w:p w:rsidR="00C21266" w:rsidRPr="005C3B55" w:rsidRDefault="00C21266" w:rsidP="006E20B6">
            <w:pPr>
              <w:numPr>
                <w:ilvl w:val="0"/>
                <w:numId w:val="899"/>
              </w:numPr>
              <w:spacing w:before="0" w:after="0"/>
              <w:ind w:hanging="290"/>
              <w:jc w:val="left"/>
              <w:rPr>
                <w:szCs w:val="24"/>
              </w:rPr>
            </w:pPr>
            <w:r w:rsidRPr="005C3B55">
              <w:t>The AAMRD verifies the eligibility conditions with 100% administrative control by means of the register of agricultural holdings.</w:t>
            </w:r>
          </w:p>
          <w:p w:rsidR="00C21266" w:rsidRPr="005C3B55" w:rsidRDefault="00C21266" w:rsidP="006E20B6">
            <w:pPr>
              <w:numPr>
                <w:ilvl w:val="0"/>
                <w:numId w:val="899"/>
              </w:numPr>
              <w:spacing w:before="0" w:after="0"/>
              <w:ind w:hanging="290"/>
              <w:jc w:val="left"/>
              <w:rPr>
                <w:szCs w:val="24"/>
              </w:rPr>
            </w:pPr>
            <w:r w:rsidRPr="005C3B55">
              <w:t>The AAMRD verifies the eligibility condition with 100% administrative control upon the entry of the application for the sub-measure.</w:t>
            </w:r>
          </w:p>
          <w:p w:rsidR="00C21266" w:rsidRPr="005C3B55" w:rsidRDefault="00C21266" w:rsidP="006E20B6">
            <w:pPr>
              <w:numPr>
                <w:ilvl w:val="0"/>
                <w:numId w:val="899"/>
              </w:numPr>
              <w:spacing w:before="0" w:after="240"/>
              <w:ind w:hanging="290"/>
              <w:jc w:val="left"/>
              <w:rPr>
                <w:szCs w:val="24"/>
              </w:rPr>
            </w:pPr>
            <w:r w:rsidRPr="005C3B55">
              <w:t>The AAMRD verifies the eligibility condition with 100% administrative control upon the entry of the application for the sub-measure through the register of suppliers of seed units of agricultural plants.</w:t>
            </w:r>
          </w:p>
          <w:p w:rsidR="00C21266" w:rsidRPr="005C3B55" w:rsidRDefault="00C21266">
            <w:pPr>
              <w:spacing w:before="240" w:after="240"/>
              <w:rPr>
                <w:szCs w:val="24"/>
              </w:rPr>
            </w:pPr>
            <w:r w:rsidRPr="005C3B55">
              <w:t>If a beneficiary is also included in the implementation of the measure of agri-environment-climate payments referred to in the first to the eighth paragraph of Article 28 of Regulation 1305/2013/EU, all commitments related to the implementation of this measure must also be specifically defined in the programme of activities of the farm holding. In this case, one programme of agricultural holding activities is prepared.</w:t>
            </w:r>
          </w:p>
          <w:p w:rsidR="00C21266" w:rsidRPr="005C3B55" w:rsidRDefault="00C21266">
            <w:pPr>
              <w:spacing w:before="240" w:after="240"/>
              <w:rPr>
                <w:szCs w:val="24"/>
              </w:rPr>
            </w:pPr>
            <w:r w:rsidRPr="005C3B55">
              <w:t>Payments are intended only for those commitments that exceed the prescribed requirements for management and relevant mandatory standards for the preservation of a good agricultural and environmental state of land from cross-compliance, relevant criteria and minimal activities, and other relevant mandatory requirements pursuant to national regulations.</w:t>
            </w:r>
          </w:p>
          <w:p w:rsidR="00C21266" w:rsidRPr="005C3B55" w:rsidRDefault="00C21266">
            <w:pPr>
              <w:spacing w:before="240" w:after="240"/>
              <w:rPr>
                <w:szCs w:val="24"/>
              </w:rPr>
            </w:pPr>
            <w:r w:rsidRPr="005C3B55">
              <w:t>Beneficiaries of payments have to consistently comply with the requirements of cross-compliance from the regulation which regulates prescribed management requirements and relevant mandatory standards for the preservation of a good agricultural and environmental state of land. The observation of minimum requirements for the use of fertilisers and plant protection products is also implemented through requirements of cross-compliance stipulated in the regulation determining prescribed management requirements and good agricultural and environmental conditions of farming.</w:t>
            </w:r>
          </w:p>
          <w:p w:rsidR="00C21266" w:rsidRPr="005C3B55" w:rsidRDefault="00C21266">
            <w:pPr>
              <w:spacing w:before="240" w:after="240"/>
              <w:rPr>
                <w:szCs w:val="24"/>
              </w:rPr>
            </w:pPr>
            <w:r w:rsidRPr="005C3B55">
              <w:t> </w:t>
            </w:r>
          </w:p>
          <w:p w:rsidR="00C21266" w:rsidRPr="005C3B55" w:rsidRDefault="00C21266">
            <w:pPr>
              <w:pStyle w:val="Telobesedila"/>
              <w:rPr>
                <w:lang w:eastAsia="en-GB" w:bidi="en-GB"/>
              </w:rPr>
            </w:pPr>
          </w:p>
        </w:tc>
      </w:tr>
    </w:tbl>
    <w:p w:rsidR="00C21266" w:rsidRPr="005C3B55" w:rsidRDefault="00C21266" w:rsidP="00C21266">
      <w:pPr>
        <w:pStyle w:val="Naslov6"/>
        <w:tabs>
          <w:tab w:val="clear" w:pos="765"/>
        </w:tabs>
        <w:ind w:left="0" w:firstLine="0"/>
        <w:rPr>
          <w:lang w:val="en-GB" w:eastAsia="en-GB" w:bidi="en-GB"/>
        </w:rPr>
      </w:pPr>
      <w:r w:rsidRPr="005C3B55">
        <w:rPr>
          <w:lang w:val="en-GB"/>
        </w:rPr>
        <w:t>Principles regarding the determination of selection criteria</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The application of selection criteria for this measure is not anticipated, as per the second paragraph of Article 49 of Regulation (EU) No 1305//2013. Anyone who meets the conditions stipulated by this sub-measure may enter into the sub-measure.</w:t>
            </w:r>
          </w:p>
          <w:p w:rsidR="00C21266" w:rsidRPr="005C3B55" w:rsidRDefault="00C21266">
            <w:pPr>
              <w:pStyle w:val="Telobesedila"/>
              <w:rPr>
                <w:lang w:eastAsia="en-GB" w:bidi="en-GB"/>
              </w:rPr>
            </w:pPr>
          </w:p>
        </w:tc>
      </w:tr>
    </w:tbl>
    <w:p w:rsidR="00C21266" w:rsidRPr="005C3B55" w:rsidRDefault="00C21266" w:rsidP="00C21266">
      <w:pPr>
        <w:pStyle w:val="Naslov6"/>
        <w:tabs>
          <w:tab w:val="clear" w:pos="765"/>
        </w:tabs>
        <w:ind w:left="0" w:firstLine="0"/>
        <w:rPr>
          <w:lang w:val="en-GB" w:eastAsia="en-GB" w:bidi="en-GB"/>
        </w:rPr>
      </w:pPr>
      <w:r w:rsidRPr="005C3B55">
        <w:rPr>
          <w:lang w:val="en-GB"/>
        </w:rPr>
        <w:t>(Valid) amounts and support rates</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8"/>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The amount of public support for the implementation of this sub-measure:</w:t>
            </w:r>
          </w:p>
          <w:p w:rsidR="00C21266" w:rsidRPr="005C3B55" w:rsidRDefault="00C21266" w:rsidP="006E20B6">
            <w:pPr>
              <w:numPr>
                <w:ilvl w:val="0"/>
                <w:numId w:val="900"/>
              </w:numPr>
              <w:spacing w:before="240" w:after="0"/>
              <w:ind w:hanging="290"/>
              <w:jc w:val="left"/>
              <w:rPr>
                <w:szCs w:val="24"/>
              </w:rPr>
            </w:pPr>
            <w:r w:rsidRPr="005C3B55">
              <w:t>arable land and crops: 326.18 EUR/ha,</w:t>
            </w:r>
          </w:p>
          <w:p w:rsidR="00C21266" w:rsidRPr="005C3B55" w:rsidRDefault="00C21266" w:rsidP="006E20B6">
            <w:pPr>
              <w:numPr>
                <w:ilvl w:val="0"/>
                <w:numId w:val="900"/>
              </w:numPr>
              <w:spacing w:before="0" w:after="0"/>
              <w:ind w:hanging="290"/>
              <w:jc w:val="left"/>
              <w:rPr>
                <w:szCs w:val="24"/>
              </w:rPr>
            </w:pPr>
            <w:r w:rsidRPr="005C3B55">
              <w:t>open-air vegetables: 600.00 EUR/ha,</w:t>
            </w:r>
          </w:p>
          <w:p w:rsidR="00C21266" w:rsidRPr="005C3B55" w:rsidRDefault="00C21266" w:rsidP="006E20B6">
            <w:pPr>
              <w:numPr>
                <w:ilvl w:val="0"/>
                <w:numId w:val="900"/>
              </w:numPr>
              <w:spacing w:before="0" w:after="0"/>
              <w:ind w:hanging="290"/>
              <w:jc w:val="left"/>
              <w:rPr>
                <w:szCs w:val="24"/>
              </w:rPr>
            </w:pPr>
            <w:r w:rsidRPr="005C3B55">
              <w:t>vegetables in a secured space: 600.00 EUR/ha,</w:t>
            </w:r>
          </w:p>
          <w:p w:rsidR="00C21266" w:rsidRPr="005C3B55" w:rsidRDefault="00C21266" w:rsidP="006E20B6">
            <w:pPr>
              <w:numPr>
                <w:ilvl w:val="0"/>
                <w:numId w:val="900"/>
              </w:numPr>
              <w:spacing w:before="0" w:after="0"/>
              <w:ind w:hanging="290"/>
              <w:jc w:val="left"/>
              <w:rPr>
                <w:szCs w:val="24"/>
              </w:rPr>
            </w:pPr>
            <w:r w:rsidRPr="005C3B55">
              <w:t>olive plantations with density of at least 150 trees/ha, fruit plantations with density of at least 100 trees/ha for walnut and chestnut and at least 200 trees/ha for other fruit species and plantations with mixed fruit species: 676.60 EUR/ha,</w:t>
            </w:r>
          </w:p>
          <w:p w:rsidR="00C21266" w:rsidRPr="005C3B55" w:rsidRDefault="00C21266" w:rsidP="006E20B6">
            <w:pPr>
              <w:numPr>
                <w:ilvl w:val="0"/>
                <w:numId w:val="900"/>
              </w:numPr>
              <w:spacing w:before="0" w:after="0"/>
              <w:ind w:hanging="290"/>
              <w:jc w:val="left"/>
              <w:rPr>
                <w:szCs w:val="24"/>
              </w:rPr>
            </w:pPr>
            <w:r w:rsidRPr="005C3B55">
              <w:t>traditional high-trunk orchards with density of at least 50 - 200 trees/ha: 189.33 EUR/ha,</w:t>
            </w:r>
          </w:p>
          <w:p w:rsidR="00C21266" w:rsidRPr="005C3B55" w:rsidRDefault="00C21266" w:rsidP="006E20B6">
            <w:pPr>
              <w:numPr>
                <w:ilvl w:val="0"/>
                <w:numId w:val="900"/>
              </w:numPr>
              <w:spacing w:before="0" w:after="0"/>
              <w:ind w:hanging="290"/>
              <w:jc w:val="left"/>
              <w:rPr>
                <w:szCs w:val="24"/>
              </w:rPr>
            </w:pPr>
            <w:r w:rsidRPr="005C3B55">
              <w:t>vineyards: 692.74 EUR/ha,</w:t>
            </w:r>
          </w:p>
          <w:p w:rsidR="00C21266" w:rsidRPr="005C3B55" w:rsidRDefault="00C21266" w:rsidP="006E20B6">
            <w:pPr>
              <w:numPr>
                <w:ilvl w:val="0"/>
                <w:numId w:val="900"/>
              </w:numPr>
              <w:spacing w:before="0" w:after="0"/>
              <w:ind w:hanging="290"/>
              <w:jc w:val="left"/>
              <w:rPr>
                <w:szCs w:val="24"/>
              </w:rPr>
            </w:pPr>
            <w:r w:rsidRPr="005C3B55">
              <w:t>hop plantations: 900.00 EUR/ha,</w:t>
            </w:r>
          </w:p>
          <w:p w:rsidR="00C21266" w:rsidRPr="005C3B55" w:rsidRDefault="00C21266" w:rsidP="006E20B6">
            <w:pPr>
              <w:numPr>
                <w:ilvl w:val="0"/>
                <w:numId w:val="900"/>
              </w:numPr>
              <w:spacing w:before="0" w:after="0"/>
              <w:ind w:hanging="290"/>
              <w:jc w:val="left"/>
              <w:rPr>
                <w:szCs w:val="24"/>
              </w:rPr>
            </w:pPr>
            <w:r w:rsidRPr="005C3B55">
              <w:t>plant nurseries: 900.00 EUR/ha,</w:t>
            </w:r>
          </w:p>
          <w:p w:rsidR="00C21266" w:rsidRPr="005C3B55" w:rsidRDefault="00C21266" w:rsidP="006E20B6">
            <w:pPr>
              <w:numPr>
                <w:ilvl w:val="0"/>
                <w:numId w:val="900"/>
              </w:numPr>
              <w:spacing w:before="0" w:after="0"/>
              <w:ind w:hanging="290"/>
              <w:jc w:val="left"/>
              <w:rPr>
                <w:szCs w:val="24"/>
              </w:rPr>
            </w:pPr>
            <w:r w:rsidRPr="005C3B55">
              <w:t>permanent grassland: 136.12 EUR/ha,</w:t>
            </w:r>
          </w:p>
          <w:p w:rsidR="00C21266" w:rsidRPr="005C3B55" w:rsidRDefault="00C21266" w:rsidP="006E20B6">
            <w:pPr>
              <w:numPr>
                <w:ilvl w:val="0"/>
                <w:numId w:val="900"/>
              </w:numPr>
              <w:spacing w:before="0" w:after="0"/>
              <w:ind w:hanging="290"/>
              <w:jc w:val="left"/>
              <w:rPr>
                <w:szCs w:val="24"/>
              </w:rPr>
            </w:pPr>
            <w:r w:rsidRPr="005C3B55">
              <w:t>bee-keeping: 22.31 EUR/colony,</w:t>
            </w:r>
          </w:p>
          <w:p w:rsidR="00C21266" w:rsidRPr="005C3B55" w:rsidRDefault="00C21266" w:rsidP="006E20B6">
            <w:pPr>
              <w:numPr>
                <w:ilvl w:val="0"/>
                <w:numId w:val="900"/>
              </w:numPr>
              <w:spacing w:before="0" w:after="0"/>
              <w:ind w:hanging="290"/>
              <w:jc w:val="left"/>
              <w:rPr>
                <w:szCs w:val="24"/>
              </w:rPr>
            </w:pPr>
            <w:r w:rsidRPr="005C3B55">
              <w:t xml:space="preserve">production of seed units of agricultural plants: </w:t>
            </w:r>
          </w:p>
          <w:p w:rsidR="00C21266" w:rsidRPr="005C3B55" w:rsidRDefault="00C21266" w:rsidP="006E20B6">
            <w:pPr>
              <w:numPr>
                <w:ilvl w:val="1"/>
                <w:numId w:val="900"/>
              </w:numPr>
              <w:spacing w:before="0" w:after="0"/>
              <w:ind w:hanging="324"/>
              <w:jc w:val="left"/>
              <w:rPr>
                <w:szCs w:val="24"/>
              </w:rPr>
            </w:pPr>
            <w:r w:rsidRPr="005C3B55">
              <w:t>crops: 600.00 EUR/ha,</w:t>
            </w:r>
          </w:p>
          <w:p w:rsidR="00C21266" w:rsidRPr="005C3B55" w:rsidRDefault="00C21266" w:rsidP="006E20B6">
            <w:pPr>
              <w:numPr>
                <w:ilvl w:val="1"/>
                <w:numId w:val="900"/>
              </w:numPr>
              <w:spacing w:before="0" w:after="0"/>
              <w:ind w:hanging="324"/>
              <w:jc w:val="left"/>
              <w:rPr>
                <w:szCs w:val="24"/>
              </w:rPr>
            </w:pPr>
            <w:r w:rsidRPr="005C3B55">
              <w:t>fodder plants: 600.00 EUR/ha and,</w:t>
            </w:r>
          </w:p>
          <w:p w:rsidR="00C21266" w:rsidRPr="005C3B55" w:rsidRDefault="00C21266" w:rsidP="006E20B6">
            <w:pPr>
              <w:numPr>
                <w:ilvl w:val="1"/>
                <w:numId w:val="900"/>
              </w:numPr>
              <w:spacing w:before="0" w:after="240"/>
              <w:ind w:hanging="324"/>
              <w:jc w:val="left"/>
              <w:rPr>
                <w:szCs w:val="24"/>
              </w:rPr>
            </w:pPr>
            <w:r w:rsidRPr="005C3B55">
              <w:t>vegetables: 600.00 EUR/ha</w:t>
            </w:r>
          </w:p>
          <w:p w:rsidR="00C21266" w:rsidRPr="005C3B55" w:rsidRDefault="00C21266">
            <w:pPr>
              <w:spacing w:before="240" w:after="240"/>
              <w:rPr>
                <w:szCs w:val="24"/>
              </w:rPr>
            </w:pPr>
            <w:r w:rsidRPr="005C3B55">
              <w:t>The highest amounts of payment per hectare of land or bee colony for bee-keeping eligible for the implementation of the organic farming measure in accordance with Annex II of Regulation (EU) No 1305/2013 amount to:</w:t>
            </w:r>
          </w:p>
          <w:p w:rsidR="00C21266" w:rsidRPr="005C3B55" w:rsidRDefault="00C21266" w:rsidP="006E20B6">
            <w:pPr>
              <w:numPr>
                <w:ilvl w:val="0"/>
                <w:numId w:val="901"/>
              </w:numPr>
              <w:spacing w:before="240" w:after="0"/>
              <w:ind w:hanging="290"/>
              <w:jc w:val="left"/>
              <w:rPr>
                <w:szCs w:val="24"/>
              </w:rPr>
            </w:pPr>
            <w:r w:rsidRPr="005C3B55">
              <w:t>for arable land: 600 EUR/ha,</w:t>
            </w:r>
          </w:p>
          <w:p w:rsidR="00C21266" w:rsidRPr="005C3B55" w:rsidRDefault="00C21266" w:rsidP="006E20B6">
            <w:pPr>
              <w:numPr>
                <w:ilvl w:val="0"/>
                <w:numId w:val="901"/>
              </w:numPr>
              <w:spacing w:before="0" w:after="0"/>
              <w:ind w:hanging="290"/>
              <w:jc w:val="left"/>
              <w:rPr>
                <w:szCs w:val="24"/>
              </w:rPr>
            </w:pPr>
            <w:r w:rsidRPr="005C3B55">
              <w:t>permanent plantations 900 EUR/ha,</w:t>
            </w:r>
          </w:p>
          <w:p w:rsidR="00C21266" w:rsidRPr="005C3B55" w:rsidRDefault="00C21266" w:rsidP="006E20B6">
            <w:pPr>
              <w:numPr>
                <w:ilvl w:val="0"/>
                <w:numId w:val="901"/>
              </w:numPr>
              <w:spacing w:before="0" w:after="0"/>
              <w:ind w:hanging="290"/>
              <w:jc w:val="left"/>
              <w:rPr>
                <w:szCs w:val="24"/>
              </w:rPr>
            </w:pPr>
            <w:r w:rsidRPr="005C3B55">
              <w:t>grassland: 450 EUR/ha,</w:t>
            </w:r>
          </w:p>
          <w:p w:rsidR="00C21266" w:rsidRPr="005C3B55" w:rsidRDefault="00C21266" w:rsidP="006E20B6">
            <w:pPr>
              <w:numPr>
                <w:ilvl w:val="0"/>
                <w:numId w:val="901"/>
              </w:numPr>
              <w:spacing w:before="0" w:after="0"/>
              <w:ind w:hanging="290"/>
              <w:jc w:val="left"/>
              <w:rPr>
                <w:szCs w:val="24"/>
              </w:rPr>
            </w:pPr>
            <w:r w:rsidRPr="005C3B55">
              <w:t>production of seed units of agricultural plants: 800 EUR/ha and,</w:t>
            </w:r>
          </w:p>
          <w:p w:rsidR="00C21266" w:rsidRPr="005C3B55" w:rsidRDefault="00C21266" w:rsidP="006E20B6">
            <w:pPr>
              <w:numPr>
                <w:ilvl w:val="0"/>
                <w:numId w:val="901"/>
              </w:numPr>
              <w:spacing w:before="0" w:after="240"/>
              <w:ind w:hanging="290"/>
              <w:jc w:val="left"/>
              <w:rPr>
                <w:szCs w:val="24"/>
              </w:rPr>
            </w:pPr>
            <w:r w:rsidRPr="005C3B55">
              <w:t>bee-keeping: 22.31 EUR/colony.</w:t>
            </w:r>
          </w:p>
          <w:p w:rsidR="00C21266" w:rsidRPr="005C3B55" w:rsidRDefault="00C21266">
            <w:pPr>
              <w:pStyle w:val="Telobesedila"/>
            </w:pPr>
          </w:p>
          <w:p w:rsidR="00C21266" w:rsidRPr="005C3B55" w:rsidRDefault="0012246E">
            <w:pPr>
              <w:pStyle w:val="Telobesedila3"/>
              <w:jc w:val="left"/>
            </w:pPr>
            <w:r w:rsidRPr="005C3B55">
              <w:rPr>
                <w:noProof/>
                <w:lang w:val="sl-SI"/>
              </w:rPr>
              <w:drawing>
                <wp:inline distT="0" distB="0" distL="0" distR="0">
                  <wp:extent cx="6629400" cy="5276850"/>
                  <wp:effectExtent l="0" t="0" r="0" b="0"/>
                  <wp:docPr id="2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629400" cy="5276850"/>
                          </a:xfrm>
                          <a:prstGeom prst="rect">
                            <a:avLst/>
                          </a:prstGeom>
                          <a:noFill/>
                          <a:ln>
                            <a:noFill/>
                          </a:ln>
                        </pic:spPr>
                      </pic:pic>
                    </a:graphicData>
                  </a:graphic>
                </wp:inline>
              </w:drawing>
            </w:r>
          </w:p>
          <w:p w:rsidR="00C21266" w:rsidRPr="005C3B55" w:rsidRDefault="00C21266">
            <w:pPr>
              <w:pStyle w:val="Noga"/>
              <w:spacing w:after="120"/>
              <w:jc w:val="center"/>
            </w:pPr>
            <w:r w:rsidRPr="005C3B55">
              <w:t xml:space="preserve">Calculated amounts of payments </w:t>
            </w:r>
          </w:p>
          <w:p w:rsidR="00C21266" w:rsidRPr="005C3B55" w:rsidRDefault="00C21266">
            <w:pPr>
              <w:pStyle w:val="Noga"/>
              <w:jc w:val="center"/>
              <w:rPr>
                <w:lang w:eastAsia="en-GB" w:bidi="en-GB"/>
              </w:rPr>
            </w:pPr>
          </w:p>
        </w:tc>
      </w:tr>
    </w:tbl>
    <w:p w:rsidR="00C21266" w:rsidRPr="005C3B55" w:rsidRDefault="00C21266" w:rsidP="00C21266">
      <w:pPr>
        <w:pStyle w:val="Naslov6"/>
        <w:tabs>
          <w:tab w:val="clear" w:pos="765"/>
        </w:tabs>
        <w:ind w:left="0" w:firstLine="0"/>
        <w:rPr>
          <w:lang w:val="en-GB" w:eastAsia="en-GB" w:bidi="en-GB"/>
        </w:rPr>
      </w:pPr>
      <w:r w:rsidRPr="005C3B55">
        <w:rPr>
          <w:lang w:val="en-GB"/>
        </w:rPr>
        <w:t>Verifiability and possibility of control of measures and/or type of operations</w:t>
      </w:r>
    </w:p>
    <w:p w:rsidR="00C21266" w:rsidRPr="005C3B55" w:rsidRDefault="00C21266" w:rsidP="00C21266">
      <w:pPr>
        <w:pStyle w:val="Naslov7"/>
        <w:tabs>
          <w:tab w:val="clear" w:pos="765"/>
        </w:tabs>
        <w:ind w:left="0" w:firstLine="0"/>
        <w:rPr>
          <w:lang w:val="en-GB"/>
        </w:rPr>
      </w:pPr>
      <w:r w:rsidRPr="005C3B55">
        <w:rPr>
          <w:lang w:val="en-GB"/>
        </w:rPr>
        <w:t>Risks in the implementation of the measure</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rPr>
                <w:b/>
              </w:rPr>
              <w:t>R5: Requirements which are difficult to verify and/or control</w:t>
            </w:r>
          </w:p>
          <w:p w:rsidR="00C21266" w:rsidRPr="005C3B55" w:rsidRDefault="00C21266">
            <w:pPr>
              <w:spacing w:before="240" w:after="240"/>
              <w:rPr>
                <w:szCs w:val="24"/>
              </w:rPr>
            </w:pPr>
            <w:r w:rsidRPr="005C3B55">
              <w:t>No major risks were detected within this sub-measure. To obtain the payment, beneficiaries have to possess certificates issued by an organisation for control and certification after all requirements prescribed for organic farming have been verified. The AAMRD controls all the requirements for organic farming by means of the certificate issued by an organisation for control and certification. Data on all issued certificates are submitted by the Ministry of Agriculture and the Environment to the Paying Agency.</w:t>
            </w:r>
          </w:p>
          <w:p w:rsidR="00C21266" w:rsidRPr="005C3B55" w:rsidRDefault="00C21266">
            <w:pPr>
              <w:spacing w:before="240" w:after="240"/>
              <w:rPr>
                <w:szCs w:val="24"/>
              </w:rPr>
            </w:pPr>
            <w:r w:rsidRPr="005C3B55">
              <w:rPr>
                <w:b/>
              </w:rPr>
              <w:t>R6: General conditions for implementation</w:t>
            </w:r>
          </w:p>
          <w:p w:rsidR="00C21266" w:rsidRPr="005C3B55" w:rsidRDefault="00C21266">
            <w:pPr>
              <w:spacing w:before="240" w:after="240"/>
              <w:rPr>
                <w:szCs w:val="24"/>
              </w:rPr>
            </w:pPr>
            <w:r w:rsidRPr="005C3B55">
              <w:t>No major risks were detected within this sub-measure. Potential risks may be poor familiarisation with eligibility conditions and ill-timed adoption of regulations which regulate payments for the organic farming measure. Certain risk may also arise through lack of information and awareness about the sub-measure, and consequently poor inclusion in the control of organic farming.</w:t>
            </w:r>
          </w:p>
          <w:p w:rsidR="00C21266" w:rsidRPr="005C3B55" w:rsidRDefault="00C21266">
            <w:pPr>
              <w:spacing w:before="240" w:after="240"/>
              <w:rPr>
                <w:szCs w:val="24"/>
              </w:rPr>
            </w:pPr>
            <w:r w:rsidRPr="005C3B55">
              <w:rPr>
                <w:b/>
              </w:rPr>
              <w:t>R8: IT systems</w:t>
            </w:r>
          </w:p>
          <w:p w:rsidR="00C21266" w:rsidRPr="005C3B55" w:rsidRDefault="00C21266">
            <w:pPr>
              <w:spacing w:before="240" w:after="240"/>
              <w:rPr>
                <w:szCs w:val="24"/>
              </w:rPr>
            </w:pPr>
            <w:r w:rsidRPr="005C3B55">
              <w:t>Risks have been detected particularly in the correct functioning of IT systems or in providing suitable capacities for processing all information. Risks may also be posed by disorderly or outdated registers which are the result of incompatible databases.</w:t>
            </w:r>
          </w:p>
          <w:p w:rsidR="00C21266" w:rsidRPr="005C3B55" w:rsidRDefault="00C21266">
            <w:pPr>
              <w:spacing w:before="240" w:after="240"/>
              <w:rPr>
                <w:szCs w:val="24"/>
              </w:rPr>
            </w:pPr>
            <w:r w:rsidRPr="005C3B55">
              <w:rPr>
                <w:b/>
              </w:rPr>
              <w:t>R9: Requests for payment</w:t>
            </w:r>
          </w:p>
          <w:p w:rsidR="00C21266" w:rsidRPr="005C3B55" w:rsidRDefault="00C21266">
            <w:pPr>
              <w:spacing w:before="240" w:after="240"/>
              <w:rPr>
                <w:szCs w:val="24"/>
              </w:rPr>
            </w:pPr>
            <w:r w:rsidRPr="005C3B55">
              <w:t>Lack of information, insufficient knowledge about the sub-measure and poor familiarisation with the process of submitting the request.</w:t>
            </w:r>
          </w:p>
          <w:p w:rsidR="00C21266" w:rsidRPr="005C3B55" w:rsidRDefault="00C21266">
            <w:pPr>
              <w:pStyle w:val="Telobesedila"/>
              <w:rPr>
                <w:lang w:eastAsia="en-GB" w:bidi="en-GB"/>
              </w:rPr>
            </w:pPr>
          </w:p>
        </w:tc>
      </w:tr>
    </w:tbl>
    <w:p w:rsidR="00C21266" w:rsidRPr="005C3B55" w:rsidRDefault="00C21266" w:rsidP="00C21266">
      <w:pPr>
        <w:pStyle w:val="Naslov7"/>
        <w:tabs>
          <w:tab w:val="clear" w:pos="765"/>
        </w:tabs>
        <w:ind w:left="0" w:firstLine="0"/>
        <w:rPr>
          <w:lang w:val="en-GB" w:eastAsia="en-GB" w:bidi="en-GB"/>
        </w:rPr>
      </w:pPr>
      <w:r w:rsidRPr="005C3B55">
        <w:rPr>
          <w:lang w:val="en-GB"/>
        </w:rPr>
        <w:t>Mitigation measures</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rPr>
                <w:b/>
              </w:rPr>
              <w:t>R5: Requirements which are difficult to verify and/or control</w:t>
            </w:r>
          </w:p>
          <w:p w:rsidR="00C21266" w:rsidRPr="005C3B55" w:rsidRDefault="00C21266" w:rsidP="006E20B6">
            <w:pPr>
              <w:numPr>
                <w:ilvl w:val="0"/>
                <w:numId w:val="902"/>
              </w:numPr>
              <w:spacing w:before="240" w:after="0"/>
              <w:ind w:hanging="290"/>
              <w:jc w:val="left"/>
              <w:rPr>
                <w:szCs w:val="24"/>
              </w:rPr>
            </w:pPr>
            <w:r w:rsidRPr="005C3B55">
              <w:t>The AAMRD will obtain data on beneficiaries’ application or renewal of application for control for which they have to apply or renew every year no later than by 31 December for the following year. On the basis of this data, the AAMRD will assess whether a beneficiary can file a request for the organic farming measure upon the submission of the collective application and requests. Any beneficiary not included in the control of organic farming by this date will not be given the possibility to submit a request for this measure;</w:t>
            </w:r>
          </w:p>
          <w:p w:rsidR="00C21266" w:rsidRPr="005C3B55" w:rsidRDefault="00C21266" w:rsidP="006E20B6">
            <w:pPr>
              <w:numPr>
                <w:ilvl w:val="0"/>
                <w:numId w:val="902"/>
              </w:numPr>
              <w:spacing w:before="0" w:after="0"/>
              <w:ind w:hanging="290"/>
              <w:jc w:val="left"/>
              <w:rPr>
                <w:szCs w:val="24"/>
              </w:rPr>
            </w:pPr>
            <w:r w:rsidRPr="005C3B55">
              <w:t>The request for the organic farming measure cannot be submitted if a programme of activities for an agricultural holding is not prepared beforehand;</w:t>
            </w:r>
          </w:p>
          <w:p w:rsidR="00C21266" w:rsidRPr="005C3B55" w:rsidRDefault="00C21266" w:rsidP="006E20B6">
            <w:pPr>
              <w:numPr>
                <w:ilvl w:val="0"/>
                <w:numId w:val="902"/>
              </w:numPr>
              <w:spacing w:before="0" w:after="240"/>
              <w:ind w:hanging="290"/>
              <w:jc w:val="left"/>
              <w:rPr>
                <w:szCs w:val="24"/>
              </w:rPr>
            </w:pPr>
            <w:r w:rsidRPr="005C3B55">
              <w:t>A beneficiary that is also included in the implementation of the measure of agri-environment-climate payments referred to in paragraphs one to eight of Article 28 of Regulation (EU) No 1305/2013 will be unable to submit a request for an impermissible combination of this measure with the organic farming measure.</w:t>
            </w:r>
          </w:p>
          <w:p w:rsidR="00C21266" w:rsidRPr="005C3B55" w:rsidRDefault="00C21266">
            <w:pPr>
              <w:spacing w:before="240" w:after="240"/>
              <w:rPr>
                <w:szCs w:val="24"/>
              </w:rPr>
            </w:pPr>
            <w:r w:rsidRPr="005C3B55">
              <w:rPr>
                <w:b/>
              </w:rPr>
              <w:t>R6: General conditions for implementation</w:t>
            </w:r>
          </w:p>
          <w:p w:rsidR="00C21266" w:rsidRPr="005C3B55" w:rsidRDefault="00C21266">
            <w:pPr>
              <w:spacing w:before="240" w:after="240"/>
              <w:rPr>
                <w:szCs w:val="24"/>
              </w:rPr>
            </w:pPr>
            <w:r w:rsidRPr="005C3B55">
              <w:t>In order for beneficiaries to be adequately informed about all conditions and requirements for the implementation of the organic farming measure:</w:t>
            </w:r>
          </w:p>
          <w:p w:rsidR="00C21266" w:rsidRPr="005C3B55" w:rsidRDefault="00C21266" w:rsidP="006E20B6">
            <w:pPr>
              <w:numPr>
                <w:ilvl w:val="0"/>
                <w:numId w:val="903"/>
              </w:numPr>
              <w:spacing w:before="240" w:after="0"/>
              <w:ind w:hanging="290"/>
              <w:jc w:val="left"/>
              <w:rPr>
                <w:szCs w:val="24"/>
              </w:rPr>
            </w:pPr>
            <w:r w:rsidRPr="005C3B55">
              <w:t>an understandable and unambiguous description of the eligibility conditions and requests is provided;</w:t>
            </w:r>
          </w:p>
          <w:p w:rsidR="00C21266" w:rsidRPr="005C3B55" w:rsidRDefault="00C21266" w:rsidP="006E20B6">
            <w:pPr>
              <w:numPr>
                <w:ilvl w:val="0"/>
                <w:numId w:val="903"/>
              </w:numPr>
              <w:spacing w:before="0" w:after="0"/>
              <w:ind w:hanging="290"/>
              <w:jc w:val="left"/>
              <w:rPr>
                <w:szCs w:val="24"/>
              </w:rPr>
            </w:pPr>
            <w:r w:rsidRPr="005C3B55">
              <w:t>mandatory 6-hour training is implemented each year which is financed on the basis of Article 14 of Regulation (EU) No 1305/2013;</w:t>
            </w:r>
          </w:p>
          <w:p w:rsidR="00C21266" w:rsidRPr="005C3B55" w:rsidRDefault="00C21266" w:rsidP="006E20B6">
            <w:pPr>
              <w:numPr>
                <w:ilvl w:val="0"/>
                <w:numId w:val="903"/>
              </w:numPr>
              <w:spacing w:before="0" w:after="0"/>
              <w:ind w:hanging="290"/>
              <w:jc w:val="left"/>
              <w:rPr>
                <w:szCs w:val="24"/>
              </w:rPr>
            </w:pPr>
            <w:r w:rsidRPr="005C3B55">
              <w:t>mandatory use of advisory services at least once during the commitment, financed on the basis of Article 15 of Regulation (EU) No 1305/2013, is introduced;</w:t>
            </w:r>
          </w:p>
          <w:p w:rsidR="00C21266" w:rsidRPr="005C3B55" w:rsidRDefault="00C21266" w:rsidP="006E20B6">
            <w:pPr>
              <w:numPr>
                <w:ilvl w:val="0"/>
                <w:numId w:val="903"/>
              </w:numPr>
              <w:spacing w:before="0" w:after="0"/>
              <w:ind w:hanging="290"/>
              <w:jc w:val="left"/>
              <w:rPr>
                <w:szCs w:val="24"/>
              </w:rPr>
            </w:pPr>
            <w:r w:rsidRPr="005C3B55">
              <w:t>regular informing of beneficiaries about their commitments related to implementing the organic farming measure (as part of the regular campaign for the implementation of requests for agricultural policy measures and during the year) and within the scope of the National Rural Network is envisaged.</w:t>
            </w:r>
          </w:p>
          <w:p w:rsidR="00C21266" w:rsidRPr="005C3B55" w:rsidRDefault="00C21266" w:rsidP="006E20B6">
            <w:pPr>
              <w:numPr>
                <w:ilvl w:val="0"/>
                <w:numId w:val="903"/>
              </w:numPr>
              <w:spacing w:before="0" w:after="240"/>
              <w:ind w:hanging="290"/>
              <w:jc w:val="left"/>
              <w:rPr>
                <w:szCs w:val="24"/>
              </w:rPr>
            </w:pPr>
            <w:r w:rsidRPr="005C3B55">
              <w:t>If a beneficiary fails to meet the eligibility conditions for entering the AEC measure, it will not be possible to submit a request for payment.</w:t>
            </w:r>
          </w:p>
          <w:p w:rsidR="00C21266" w:rsidRPr="005C3B55" w:rsidRDefault="00C21266">
            <w:pPr>
              <w:spacing w:before="240" w:after="240"/>
              <w:rPr>
                <w:szCs w:val="24"/>
              </w:rPr>
            </w:pPr>
            <w:r w:rsidRPr="005C3B55">
              <w:rPr>
                <w:b/>
              </w:rPr>
              <w:t>R8: IT systems</w:t>
            </w:r>
          </w:p>
          <w:p w:rsidR="00C21266" w:rsidRPr="005C3B55" w:rsidRDefault="00C21266">
            <w:pPr>
              <w:spacing w:before="240" w:after="240"/>
              <w:rPr>
                <w:szCs w:val="24"/>
              </w:rPr>
            </w:pPr>
            <w:r w:rsidRPr="005C3B55">
              <w:t>An IT system will be set up at the Paying Agency to facilitate the electronic processing of applications and requests for payment. The acquisition of data will be electronic to the greatest extent possible by means of connectivity between different databases. If databases are not mutually compatible so that they can be automatically verified within the IT system, verification will be carried out by exchanging data between database media.</w:t>
            </w:r>
          </w:p>
          <w:p w:rsidR="00C21266" w:rsidRPr="005C3B55" w:rsidRDefault="00C21266">
            <w:pPr>
              <w:spacing w:before="240" w:after="240"/>
              <w:rPr>
                <w:szCs w:val="24"/>
              </w:rPr>
            </w:pPr>
            <w:r w:rsidRPr="005C3B55">
              <w:rPr>
                <w:b/>
              </w:rPr>
              <w:t>R9: Requests for payment</w:t>
            </w:r>
          </w:p>
          <w:p w:rsidR="00C21266" w:rsidRPr="005C3B55" w:rsidRDefault="00C21266">
            <w:pPr>
              <w:spacing w:before="240" w:after="240"/>
              <w:rPr>
                <w:szCs w:val="24"/>
              </w:rPr>
            </w:pPr>
            <w:r w:rsidRPr="005C3B55">
              <w:t>The same applies as described under ‘General conditions for implementation’.</w:t>
            </w:r>
          </w:p>
          <w:p w:rsidR="00C21266" w:rsidRPr="005C3B55" w:rsidRDefault="00C21266">
            <w:pPr>
              <w:spacing w:before="240" w:after="240"/>
              <w:rPr>
                <w:szCs w:val="24"/>
              </w:rPr>
            </w:pPr>
            <w:r w:rsidRPr="005C3B55">
              <w:t>The request for payment will be submitted electronically on prescribed forms, by means of which a beneficiary will define for which requirements within individual schemes of the AEC measures the payment will be requested.</w:t>
            </w:r>
          </w:p>
          <w:p w:rsidR="00C21266" w:rsidRPr="005C3B55" w:rsidRDefault="00C21266">
            <w:pPr>
              <w:pStyle w:val="Telobesedila"/>
              <w:rPr>
                <w:lang w:eastAsia="en-GB" w:bidi="en-GB"/>
              </w:rPr>
            </w:pPr>
          </w:p>
        </w:tc>
      </w:tr>
    </w:tbl>
    <w:p w:rsidR="00C21266" w:rsidRPr="005C3B55" w:rsidRDefault="00C21266" w:rsidP="00C21266">
      <w:pPr>
        <w:pStyle w:val="Naslov7"/>
        <w:tabs>
          <w:tab w:val="clear" w:pos="765"/>
        </w:tabs>
        <w:ind w:left="0" w:firstLine="0"/>
        <w:rPr>
          <w:lang w:val="en-GB" w:eastAsia="en-GB" w:bidi="en-GB"/>
        </w:rPr>
      </w:pPr>
      <w:r w:rsidRPr="005C3B55">
        <w:rPr>
          <w:lang w:val="en-GB"/>
        </w:rPr>
        <w:t>General assessment of the measure</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If mitigation measures are considered, the sub-measure is verifiable and controllable. The sub-measure will be used to attain the expected results and objectives of the RDP 2014–2020, and will contribute to the realisation of horizontal objectives. With the purpose of stimulating the nature-friendly agricultural practices and thus the conservation of the environment, the implementation of this sub-measure is required.</w:t>
            </w:r>
          </w:p>
          <w:p w:rsidR="00C21266" w:rsidRPr="005C3B55" w:rsidRDefault="00C21266">
            <w:pPr>
              <w:pStyle w:val="Telobesedila"/>
              <w:rPr>
                <w:lang w:eastAsia="en-GB" w:bidi="en-GB"/>
              </w:rPr>
            </w:pPr>
          </w:p>
        </w:tc>
      </w:tr>
    </w:tbl>
    <w:p w:rsidR="00C21266" w:rsidRPr="005C3B55" w:rsidRDefault="00C21266" w:rsidP="00C21266">
      <w:pPr>
        <w:pStyle w:val="Naslov6"/>
        <w:tabs>
          <w:tab w:val="clear" w:pos="765"/>
        </w:tabs>
        <w:ind w:left="0" w:firstLine="0"/>
        <w:rPr>
          <w:lang w:val="en-GB" w:eastAsia="en-GB" w:bidi="en-GB"/>
        </w:rPr>
      </w:pPr>
      <w:r w:rsidRPr="005C3B55">
        <w:rPr>
          <w:lang w:val="en-GB"/>
        </w:rPr>
        <w:t>Information that relates specifically to the operation</w:t>
      </w:r>
    </w:p>
    <w:p w:rsidR="00C21266" w:rsidRPr="005C3B55" w:rsidRDefault="00C21266" w:rsidP="00C21266">
      <w:r w:rsidRPr="005C3B55">
        <w:t xml:space="preserve">Determination and definition of adequate outline elements; this should include the adequate mandatory standards determined pursuant to Chapter I of Title VI of Regulation (EU) No 1306/2013 of the European Parliament and of the Council, adequate criteria and minimum activities determined pursuant to Article 4(1)(c)(ii) and (iii) of Regulation (EU) No 1307/2013 of the European Parliament and of the Council, adequate minimum requirements for the application of fertilisers and plant protection means and adequate mandatory requirements defined in national law. </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rPr>
                <w:b/>
              </w:rPr>
              <w:t>Requirements for implementing the sub-measure and comparison with standard agricultural practice</w:t>
            </w:r>
          </w:p>
          <w:p w:rsidR="00C21266" w:rsidRPr="005C3B55" w:rsidRDefault="00C21266">
            <w:pPr>
              <w:spacing w:before="240" w:after="240"/>
              <w:rPr>
                <w:szCs w:val="24"/>
              </w:rPr>
            </w:pPr>
            <w:r w:rsidRPr="005C3B55">
              <w:rPr>
                <w:b/>
              </w:rPr>
              <w:t>Standard practice</w:t>
            </w:r>
          </w:p>
          <w:p w:rsidR="00C21266" w:rsidRPr="005C3B55" w:rsidRDefault="00C21266">
            <w:pPr>
              <w:spacing w:before="240" w:after="240"/>
              <w:ind w:left="600"/>
              <w:rPr>
                <w:szCs w:val="24"/>
              </w:rPr>
            </w:pPr>
            <w:r w:rsidRPr="005C3B55">
              <w:t>1. Farmers in the Republic of Slovenia do not need to take additional training.</w:t>
            </w:r>
          </w:p>
          <w:p w:rsidR="00C21266" w:rsidRPr="005C3B55" w:rsidRDefault="00C21266">
            <w:pPr>
              <w:spacing w:before="240" w:after="240"/>
              <w:ind w:left="600"/>
              <w:rPr>
                <w:szCs w:val="24"/>
              </w:rPr>
            </w:pPr>
            <w:r w:rsidRPr="005C3B55">
              <w:t>2. The use of advisory services is not mandatory in standard agricultural practice.</w:t>
            </w:r>
          </w:p>
          <w:p w:rsidR="00C21266" w:rsidRPr="005C3B55" w:rsidRDefault="00C21266">
            <w:pPr>
              <w:spacing w:before="240" w:after="240"/>
              <w:ind w:left="600"/>
              <w:rPr>
                <w:szCs w:val="24"/>
              </w:rPr>
            </w:pPr>
            <w:r w:rsidRPr="005C3B55">
              <w:t>3. In standard agricultural practice, a producer can cultivate agricultural land without obtaining a certificate.</w:t>
            </w:r>
          </w:p>
          <w:p w:rsidR="00C21266" w:rsidRPr="005C3B55" w:rsidRDefault="00C21266">
            <w:pPr>
              <w:spacing w:before="240" w:after="240"/>
              <w:ind w:left="600"/>
              <w:rPr>
                <w:szCs w:val="24"/>
              </w:rPr>
            </w:pPr>
            <w:r w:rsidRPr="005C3B55">
              <w:t>4. In standard agricultural practice, an individual plan of conversion is not mandatory.</w:t>
            </w:r>
          </w:p>
          <w:p w:rsidR="00C21266" w:rsidRPr="005C3B55" w:rsidRDefault="00C21266">
            <w:pPr>
              <w:spacing w:before="240" w:after="240"/>
              <w:ind w:left="600"/>
              <w:rPr>
                <w:szCs w:val="24"/>
              </w:rPr>
            </w:pPr>
            <w:r w:rsidRPr="005C3B55">
              <w:t>5. In standard agricultural practice, a producer can cultivate permanent grassland without the inclusion of animals in the control of organic farming.</w:t>
            </w:r>
          </w:p>
          <w:p w:rsidR="00C21266" w:rsidRPr="005C3B55" w:rsidRDefault="00C21266">
            <w:pPr>
              <w:spacing w:before="240" w:after="240"/>
              <w:rPr>
                <w:szCs w:val="24"/>
              </w:rPr>
            </w:pPr>
            <w:r w:rsidRPr="005C3B55">
              <w:rPr>
                <w:b/>
              </w:rPr>
              <w:t>Requirements in the implementation of measure</w:t>
            </w:r>
          </w:p>
          <w:p w:rsidR="00C21266" w:rsidRPr="005C3B55" w:rsidRDefault="00C21266">
            <w:pPr>
              <w:spacing w:before="240" w:after="240"/>
              <w:ind w:left="600"/>
              <w:rPr>
                <w:szCs w:val="24"/>
              </w:rPr>
            </w:pPr>
            <w:r w:rsidRPr="005C3B55">
              <w:t>1. A beneficiary must complete a training programme of at least 6 hours a year.</w:t>
            </w:r>
          </w:p>
          <w:p w:rsidR="00C21266" w:rsidRPr="005C3B55" w:rsidRDefault="00C21266">
            <w:pPr>
              <w:spacing w:before="240" w:after="240"/>
              <w:ind w:left="600"/>
              <w:rPr>
                <w:szCs w:val="24"/>
              </w:rPr>
            </w:pPr>
            <w:r w:rsidRPr="005C3B55">
              <w:t>2. A beneficiary must use advisory services at least once during the commitment.</w:t>
            </w:r>
          </w:p>
          <w:p w:rsidR="00C21266" w:rsidRPr="005C3B55" w:rsidRDefault="00C21266">
            <w:pPr>
              <w:spacing w:before="240" w:after="240"/>
              <w:ind w:left="600"/>
              <w:rPr>
                <w:szCs w:val="24"/>
              </w:rPr>
            </w:pPr>
            <w:r w:rsidRPr="005C3B55">
              <w:t>3. A certificate for organic production and processing of agricultural products or foodstuffs in accordance with Regulation (EC) No 834/2007.</w:t>
            </w:r>
          </w:p>
          <w:p w:rsidR="00C21266" w:rsidRPr="005C3B55" w:rsidRDefault="00C21266">
            <w:pPr>
              <w:spacing w:before="240" w:after="240"/>
              <w:ind w:left="600"/>
              <w:rPr>
                <w:szCs w:val="24"/>
              </w:rPr>
            </w:pPr>
            <w:r w:rsidRPr="005C3B55">
              <w:t>4. A beneficiary entering organic farming control for the first time must have an individual plan of conversion of the agricultural holding to organic production for the first year of the commitment.</w:t>
            </w:r>
          </w:p>
          <w:p w:rsidR="00C21266" w:rsidRPr="005C3B55" w:rsidRDefault="00C21266">
            <w:pPr>
              <w:spacing w:before="240" w:after="240"/>
              <w:ind w:left="600"/>
              <w:rPr>
                <w:szCs w:val="24"/>
              </w:rPr>
            </w:pPr>
            <w:r w:rsidRPr="005C3B55">
              <w:t>5. A beneficiary who cultivates and claims payment for permanent grassland must rear herbivorous animals in accordance with the regulations on organic farming.</w:t>
            </w:r>
          </w:p>
          <w:p w:rsidR="00C21266" w:rsidRPr="005C3B55" w:rsidRDefault="00C21266">
            <w:pPr>
              <w:pStyle w:val="Telobesedila"/>
              <w:rPr>
                <w:lang w:eastAsia="en-GB" w:bidi="en-GB"/>
              </w:rPr>
            </w:pPr>
          </w:p>
        </w:tc>
      </w:tr>
    </w:tbl>
    <w:p w:rsidR="00C21266" w:rsidRPr="005C3B55" w:rsidRDefault="00C21266" w:rsidP="00C21266">
      <w:pPr>
        <w:rPr>
          <w:rFonts w:eastAsia="Calibri"/>
          <w:szCs w:val="22"/>
          <w:lang w:eastAsia="en-GB" w:bidi="en-GB"/>
        </w:rPr>
      </w:pPr>
      <w:r w:rsidRPr="005C3B55">
        <w:t xml:space="preserve">A description of the methodology and agronomic assumptions and parameters, including the description of basic requirements stated in Article 29(2) of Regulation (EU) No 1305/2013 which are important for a specific type of commitment and used as a point of reference for calculations which justify: additional costs, loss of income due to adopted commitments and the amount of transaction costs; where necessary, the aforementioned methodology takes into account the assistance awarded pursuant to Regulation (EU) No 1307/2013, including payments for agricultural practices which have positive effects on climate and the environment in order to prevent double financing; where necessary, the conversion method applied for other units pursuant to Article 9 of this Regulation </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The description is included in the description of methodology at the level of the sub-measure.</w:t>
            </w:r>
          </w:p>
          <w:p w:rsidR="00C21266" w:rsidRPr="005C3B55" w:rsidRDefault="00C21266">
            <w:pPr>
              <w:pStyle w:val="Telobesedila"/>
              <w:rPr>
                <w:lang w:eastAsia="en-GB" w:bidi="en-GB"/>
              </w:rPr>
            </w:pPr>
          </w:p>
        </w:tc>
      </w:tr>
    </w:tbl>
    <w:p w:rsidR="00C21266" w:rsidRPr="005C3B55" w:rsidRDefault="00C21266" w:rsidP="00C21266">
      <w:pPr>
        <w:pStyle w:val="Naslov4"/>
        <w:tabs>
          <w:tab w:val="clear" w:pos="765"/>
        </w:tabs>
        <w:ind w:left="0" w:firstLine="0"/>
        <w:jc w:val="left"/>
        <w:rPr>
          <w:lang w:val="en-GB" w:eastAsia="en-GB" w:bidi="en-GB"/>
        </w:rPr>
      </w:pPr>
      <w:r w:rsidRPr="005C3B55">
        <w:rPr>
          <w:lang w:val="en-GB"/>
        </w:rPr>
        <w:t>Verifiability and possibility of control of measures and/or type of operations</w:t>
      </w:r>
    </w:p>
    <w:p w:rsidR="00C21266" w:rsidRPr="005C3B55" w:rsidRDefault="00C21266" w:rsidP="00C21266">
      <w:pPr>
        <w:pStyle w:val="Naslov5"/>
        <w:tabs>
          <w:tab w:val="clear" w:pos="765"/>
        </w:tabs>
        <w:ind w:left="0" w:firstLine="0"/>
        <w:rPr>
          <w:b w:val="0"/>
          <w:lang w:val="en-GB"/>
        </w:rPr>
      </w:pPr>
      <w:r w:rsidRPr="005C3B55">
        <w:rPr>
          <w:b w:val="0"/>
          <w:lang w:val="en-GB"/>
        </w:rPr>
        <w:t>Risks in the implementation of the measure</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Described within the individual sub-measure.</w:t>
            </w:r>
          </w:p>
          <w:p w:rsidR="00C21266" w:rsidRPr="005C3B55" w:rsidRDefault="00C21266">
            <w:pPr>
              <w:pStyle w:val="Telobesedila"/>
              <w:rPr>
                <w:lang w:eastAsia="en-GB" w:bidi="en-GB"/>
              </w:rPr>
            </w:pPr>
          </w:p>
        </w:tc>
      </w:tr>
    </w:tbl>
    <w:p w:rsidR="00C21266" w:rsidRPr="005C3B55" w:rsidRDefault="00C21266" w:rsidP="00C21266">
      <w:pPr>
        <w:pStyle w:val="Naslov5"/>
        <w:tabs>
          <w:tab w:val="clear" w:pos="765"/>
        </w:tabs>
        <w:ind w:left="0" w:firstLine="0"/>
        <w:rPr>
          <w:b w:val="0"/>
          <w:lang w:val="en-GB" w:eastAsia="en-GB" w:bidi="en-GB"/>
        </w:rPr>
      </w:pPr>
      <w:r w:rsidRPr="005C3B55">
        <w:rPr>
          <w:b w:val="0"/>
          <w:lang w:val="en-GB"/>
        </w:rPr>
        <w:t>Mitigation measures</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Mitigating actions are determined within individual sub-measures.</w:t>
            </w:r>
          </w:p>
          <w:p w:rsidR="00C21266" w:rsidRPr="005C3B55" w:rsidRDefault="00C21266">
            <w:pPr>
              <w:pStyle w:val="Telobesedila"/>
              <w:rPr>
                <w:lang w:eastAsia="en-GB" w:bidi="en-GB"/>
              </w:rPr>
            </w:pPr>
          </w:p>
        </w:tc>
      </w:tr>
    </w:tbl>
    <w:p w:rsidR="00C21266" w:rsidRPr="005C3B55" w:rsidRDefault="00C21266" w:rsidP="00C21266">
      <w:pPr>
        <w:pStyle w:val="Naslov5"/>
        <w:tabs>
          <w:tab w:val="clear" w:pos="765"/>
        </w:tabs>
        <w:ind w:left="0" w:firstLine="0"/>
        <w:rPr>
          <w:b w:val="0"/>
          <w:lang w:val="en-GB" w:eastAsia="en-GB" w:bidi="en-GB"/>
        </w:rPr>
      </w:pPr>
      <w:r w:rsidRPr="005C3B55">
        <w:rPr>
          <w:b w:val="0"/>
          <w:lang w:val="en-GB"/>
        </w:rPr>
        <w:t>General assessment of the measure</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Control of the fulfilment of commitments related to eligibility for payments for the organic farming measure is carried out by the AAMRD. In accordance with Article 62 of Regulation (EU) No 1305/2013, the Management Authority and the AAMRD have made a preliminary assessment of verifiability and the possibility of control of the organic farming measure, which is presented in the statement in Chapter 18.1.</w:t>
            </w:r>
          </w:p>
          <w:p w:rsidR="00C21266" w:rsidRPr="005C3B55" w:rsidRDefault="00C21266">
            <w:pPr>
              <w:spacing w:before="240" w:after="240"/>
              <w:rPr>
                <w:szCs w:val="24"/>
              </w:rPr>
            </w:pPr>
            <w:r w:rsidRPr="005C3B55">
              <w:t>The verifiability and possibility of control of the organic farming measure is also assessed in the later phases of the implementation of the measure If the assessment shows that the requirements regarding verifiability and the possibility of control of the measure are not fulfilled, the measure is adjusted accordingly.</w:t>
            </w:r>
          </w:p>
          <w:p w:rsidR="00C21266" w:rsidRPr="005C3B55" w:rsidRDefault="00C21266">
            <w:pPr>
              <w:spacing w:before="240" w:after="240"/>
              <w:rPr>
                <w:szCs w:val="24"/>
              </w:rPr>
            </w:pPr>
            <w:r w:rsidRPr="005C3B55">
              <w:t> </w:t>
            </w:r>
          </w:p>
          <w:p w:rsidR="00C21266" w:rsidRPr="005C3B55" w:rsidRDefault="00C21266">
            <w:pPr>
              <w:spacing w:after="0"/>
              <w:rPr>
                <w:rFonts w:eastAsia="Calibri"/>
                <w:szCs w:val="24"/>
                <w:lang w:eastAsia="en-GB" w:bidi="en-GB"/>
              </w:rPr>
            </w:pPr>
          </w:p>
        </w:tc>
      </w:tr>
    </w:tbl>
    <w:p w:rsidR="00C21266" w:rsidRPr="005C3B55" w:rsidRDefault="00C21266" w:rsidP="00C21266">
      <w:pPr>
        <w:pStyle w:val="Naslov4"/>
        <w:tabs>
          <w:tab w:val="clear" w:pos="765"/>
        </w:tabs>
        <w:ind w:left="0" w:firstLine="0"/>
        <w:jc w:val="left"/>
        <w:rPr>
          <w:lang w:val="en-GB" w:eastAsia="en-GB" w:bidi="en-GB"/>
        </w:rPr>
      </w:pPr>
      <w:r w:rsidRPr="005C3B55">
        <w:rPr>
          <w:lang w:val="en-GB"/>
        </w:rPr>
        <w:t>Additional information that relates specifically to the operation</w:t>
      </w:r>
    </w:p>
    <w:p w:rsidR="00C21266" w:rsidRPr="005C3B55" w:rsidRDefault="00C21266" w:rsidP="00C21266">
      <w:r w:rsidRPr="005C3B55">
        <w:t>Determination and definition of adequate outline elements; this should include the adequate mandatory standards determined pursuant to Chapter I of Title VI of Regulation (EU) No 1306/2013 of the European Parliament and of the Council, adequate criteria and minimum activities determined pursuant to Article 4(1)(c)(ii) and (iii) of Regulation (EU) No 1307/2013 of the European Parliament and of the Council, adequate minimum requirements for the application of fertilisers and plant protection means and adequate mandatory requirements defined in the national law.</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Description is under individual sub-measure.</w:t>
            </w:r>
          </w:p>
          <w:p w:rsidR="00C21266" w:rsidRPr="005C3B55" w:rsidRDefault="00C21266">
            <w:pPr>
              <w:spacing w:before="240" w:after="240"/>
              <w:ind w:left="600"/>
              <w:rPr>
                <w:szCs w:val="24"/>
              </w:rPr>
            </w:pPr>
            <w:r w:rsidRPr="005C3B55">
              <w:t> </w:t>
            </w:r>
          </w:p>
          <w:p w:rsidR="00C21266" w:rsidRPr="005C3B55" w:rsidRDefault="00C21266">
            <w:pPr>
              <w:pStyle w:val="Telobesedila"/>
              <w:rPr>
                <w:lang w:eastAsia="en-GB" w:bidi="en-GB"/>
              </w:rPr>
            </w:pPr>
          </w:p>
        </w:tc>
      </w:tr>
    </w:tbl>
    <w:p w:rsidR="00C21266" w:rsidRPr="005C3B55" w:rsidRDefault="00C21266" w:rsidP="00C21266">
      <w:pPr>
        <w:spacing w:after="100"/>
        <w:rPr>
          <w:rFonts w:eastAsia="Calibri"/>
          <w:szCs w:val="22"/>
          <w:lang w:eastAsia="en-GB" w:bidi="en-GB"/>
        </w:rPr>
      </w:pPr>
      <w:r w:rsidRPr="005C3B55">
        <w:t>Description of methodology and agronomic presumptions and parameters, including the description of basic requirements stated in Article 29(2) of Regulation (EU) No 1305/2013 which are important for a specific type of commitment and used as a point of reference for calculations which justify: additional costs, loss of income due to adopted commitments and the amount of transaction costs; where it is necessary the aforementioned methodology takes into account the assistance awarded pursuant to Regulation (EU) No 1307/2013, including the payments for agricultural practices which have positive effects on climate and environment in order to prevent the double financing; where it is necessary, the conversion method applied for other units pursuant to Article 9 of this Regulation</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The methodology and model projections for calculating the amount of support for the organic farming measure are completed and have been confirmed by an independent institution, the Agricultural Institute of Slovenia (KIS), Hacquetova 17, 1000 Ljubljana, as follows from the enclosed certificate in Chapter 18.2.</w:t>
            </w:r>
          </w:p>
          <w:p w:rsidR="00C21266" w:rsidRPr="005C3B55" w:rsidRDefault="00C21266">
            <w:pPr>
              <w:spacing w:before="240" w:after="240"/>
              <w:rPr>
                <w:szCs w:val="24"/>
              </w:rPr>
            </w:pPr>
            <w:r w:rsidRPr="005C3B55">
              <w:rPr>
                <w:b/>
              </w:rPr>
              <w:t>Starting points</w:t>
            </w:r>
          </w:p>
          <w:p w:rsidR="00C21266" w:rsidRPr="005C3B55" w:rsidRDefault="00C21266">
            <w:pPr>
              <w:spacing w:before="240" w:after="240"/>
              <w:rPr>
                <w:szCs w:val="24"/>
              </w:rPr>
            </w:pPr>
            <w:r w:rsidRPr="005C3B55">
              <w:t>Payments for the organic farming measure can relate only to commitments which exceed the mandatory standards of cross-compliance, other relevant criteria and minimum activities as per EU law and other mandatory requirements of national regulations.</w:t>
            </w:r>
          </w:p>
          <w:p w:rsidR="00C21266" w:rsidRPr="005C3B55" w:rsidRDefault="00C21266">
            <w:pPr>
              <w:spacing w:before="240" w:after="240"/>
              <w:rPr>
                <w:szCs w:val="24"/>
              </w:rPr>
            </w:pPr>
            <w:r w:rsidRPr="005C3B55">
              <w:t>Payments for the organic farming measure are granted annually for the coverage of costs and loss of revenue as a consequence of implementing the organic farming measure and, if necessary, can cover transaction costs (up to 20% of the premium paid for the commitment).</w:t>
            </w:r>
          </w:p>
          <w:p w:rsidR="00C21266" w:rsidRPr="005C3B55" w:rsidRDefault="00C21266">
            <w:pPr>
              <w:spacing w:before="240" w:after="240"/>
              <w:rPr>
                <w:szCs w:val="24"/>
              </w:rPr>
            </w:pPr>
            <w:r w:rsidRPr="005C3B55">
              <w:t>A proposal for payments has been prepared on the basis of a model calculation for arable land and crops, open-air vegetables, vegetables in secured spaces, olive groves with a density of at least 150 trees/ha, orchards with a density of at least 100 trees/ha for walnut and chestnut and at least 200 trees/ha for orchards with other fruit species and orchards with mixed fruit species, high-trunk meadow orchards with a density of at least 50-200 trees/ha, vineyards, hop fields, tree nurseries, permanent grassland, production of seed units of agricultural plants (arable crops, fodder plants, vegetables) and bee-keeping.</w:t>
            </w:r>
          </w:p>
          <w:p w:rsidR="00C21266" w:rsidRPr="005C3B55" w:rsidRDefault="00C21266">
            <w:pPr>
              <w:spacing w:before="240" w:after="240"/>
              <w:rPr>
                <w:szCs w:val="24"/>
              </w:rPr>
            </w:pPr>
            <w:r w:rsidRPr="005C3B55">
              <w:t>Model calculations are prepared for implementation and for conversion to organic farming.</w:t>
            </w:r>
          </w:p>
          <w:p w:rsidR="00C21266" w:rsidRPr="005C3B55" w:rsidRDefault="00C21266">
            <w:pPr>
              <w:spacing w:before="240" w:after="240"/>
              <w:rPr>
                <w:szCs w:val="24"/>
              </w:rPr>
            </w:pPr>
            <w:r w:rsidRPr="005C3B55">
              <w:t>To prevent dual payments, the agricultural practices of the green component and commitments for the organic farming measure have been examined with Pillar I. In the implementation of equivalent agricultural practices in the organic farming measure and the green component, agricultural practices which are also included in the green component are taken into account in the definition of conventional agricultural practices. Payments for the organic farming measure thus include only additional costs and loss of revenue for activities that exceed the agricultural practices of the green component. Beneficiaries of payments for organic farming who at the same time implement the agri-environment-climate payment requirements, whose activities are equal to the green component practices within the area of ecological significance, which are implemented in accordance with the second paragraph of Article 45 of Regulation (EU) No 1307/2013, will receive payments only for an area that exceeds the total area of ecological significance.</w:t>
            </w:r>
          </w:p>
          <w:p w:rsidR="00C21266" w:rsidRPr="005C3B55" w:rsidRDefault="00C21266">
            <w:pPr>
              <w:spacing w:before="240" w:after="240"/>
              <w:rPr>
                <w:szCs w:val="24"/>
              </w:rPr>
            </w:pPr>
            <w:r w:rsidRPr="005C3B55">
              <w:t>In order to prevent overlapping of payments for the organic farming measure and the agri-environment-climate payments, the provision of Article 11 of Regulation (EU) 808/2014 have been taken into account.</w:t>
            </w:r>
          </w:p>
          <w:p w:rsidR="00C21266" w:rsidRPr="005C3B55" w:rsidRDefault="00C21266">
            <w:pPr>
              <w:spacing w:before="240" w:after="240"/>
              <w:rPr>
                <w:szCs w:val="24"/>
              </w:rPr>
            </w:pPr>
            <w:r w:rsidRPr="005C3B55">
              <w:t>The model calculation for determining payments for the organic farming measure was set within the framework of the simulation system of model calculations of the Agricultural Institute of Slovenia (KIS). The system enables the simulation of different methods of agricultural production both in terms of the set of agricultural products and in terms of various production technologies.</w:t>
            </w:r>
          </w:p>
          <w:p w:rsidR="00C21266" w:rsidRPr="005C3B55" w:rsidRDefault="00C21266">
            <w:pPr>
              <w:spacing w:before="240" w:after="240"/>
              <w:rPr>
                <w:szCs w:val="24"/>
              </w:rPr>
            </w:pPr>
            <w:r w:rsidRPr="005C3B55">
              <w:t>Standard agricultural practice and agricultural production as part of the organic farming measures were d Costs and revenues in selected types of conventional agricultural production and in the implementation of organic farming and conversion to organic farming were estimated by means of model calculations.</w:t>
            </w:r>
          </w:p>
          <w:p w:rsidR="00C21266" w:rsidRPr="005C3B55" w:rsidRDefault="00C21266">
            <w:pPr>
              <w:spacing w:before="240" w:after="240"/>
              <w:rPr>
                <w:szCs w:val="24"/>
              </w:rPr>
            </w:pPr>
            <w:r w:rsidRPr="005C3B55">
              <w:t>Average prices from 2013 and the beginning of 2014 (I.-VI) were used in model calculations to determine payments for the organic farming measure. The input price sources are the data of the Statistical Office of the Republic of Slovenia (SURS), etc. Labour costs are assessed in accordance with the average salary in the Republic Slovenia in 2013, including social security contributions and labour rights. Revenue for marketable crops is determined on the basis of data on purchase prices from the SURS, while revenue for fodder plants is determined on the basis of their forage value (prices of nutrients are calculated on the basis of pure nutrients); for agricultural products whose purchase prices are not available to the SURS, revenue is calculated on the basis of expert estimates or data obtained directly from purchasers. Market revenue without payments for agricultural policy measures were considered. Prices without value added tax were considered for costs and revenue.</w:t>
            </w:r>
          </w:p>
          <w:p w:rsidR="00C21266" w:rsidRPr="005C3B55" w:rsidRDefault="00C21266">
            <w:pPr>
              <w:spacing w:before="240" w:after="240"/>
              <w:rPr>
                <w:szCs w:val="24"/>
              </w:rPr>
            </w:pPr>
            <w:r w:rsidRPr="005C3B55">
              <w:rPr>
                <w:b/>
              </w:rPr>
              <w:t xml:space="preserve">Model calculation for the amount of payments for the organic farming measure </w:t>
            </w:r>
          </w:p>
          <w:p w:rsidR="00C21266" w:rsidRPr="005C3B55" w:rsidRDefault="00C21266">
            <w:pPr>
              <w:spacing w:before="240" w:after="240"/>
              <w:rPr>
                <w:szCs w:val="24"/>
              </w:rPr>
            </w:pPr>
            <w:r w:rsidRPr="005C3B55">
              <w:t>The basis for the calculation of payments is the difference between the financial result of standard agricultural practice and the implementation of organic farming practices or conversion to organic farming practices.</w:t>
            </w:r>
          </w:p>
          <w:p w:rsidR="00C21266" w:rsidRPr="005C3B55" w:rsidRDefault="00C21266">
            <w:pPr>
              <w:spacing w:before="240" w:after="240"/>
              <w:rPr>
                <w:szCs w:val="24"/>
              </w:rPr>
            </w:pPr>
            <w:r w:rsidRPr="005C3B55">
              <w:t>The model calculation for the implementation of organic farming and model calculation for the conversion to organic farming was determined for the organic farming measure.</w:t>
            </w:r>
          </w:p>
          <w:p w:rsidR="00C21266" w:rsidRPr="005C3B55" w:rsidRDefault="00C21266">
            <w:pPr>
              <w:spacing w:before="240" w:after="240"/>
              <w:rPr>
                <w:szCs w:val="24"/>
              </w:rPr>
            </w:pPr>
            <w:r w:rsidRPr="005C3B55">
              <w:rPr>
                <w:b/>
              </w:rPr>
              <w:t>Standard agricultural practice</w:t>
            </w:r>
          </w:p>
          <w:p w:rsidR="00C21266" w:rsidRPr="005C3B55" w:rsidRDefault="00C21266">
            <w:pPr>
              <w:spacing w:before="240" w:after="240"/>
              <w:rPr>
                <w:szCs w:val="24"/>
              </w:rPr>
            </w:pPr>
            <w:r w:rsidRPr="005C3B55">
              <w:t>REVENUE (POKP) = Yield (YOKP) * Price (COKP)</w:t>
            </w:r>
          </w:p>
          <w:p w:rsidR="00C21266" w:rsidRPr="005C3B55" w:rsidRDefault="00C21266">
            <w:pPr>
              <w:spacing w:before="240" w:after="240"/>
              <w:rPr>
                <w:szCs w:val="24"/>
              </w:rPr>
            </w:pPr>
            <w:r w:rsidRPr="005C3B55">
              <w:t>VARIABLE COSTS (VSOKP)</w:t>
            </w:r>
          </w:p>
          <w:p w:rsidR="00C21266" w:rsidRPr="005C3B55" w:rsidRDefault="00C21266">
            <w:pPr>
              <w:spacing w:before="240" w:after="240"/>
              <w:rPr>
                <w:szCs w:val="24"/>
              </w:rPr>
            </w:pPr>
            <w:r w:rsidRPr="005C3B55">
              <w:t>LABOUR COSTS (SDOKP)</w:t>
            </w:r>
          </w:p>
          <w:p w:rsidR="00C21266" w:rsidRPr="005C3B55" w:rsidRDefault="00C21266">
            <w:pPr>
              <w:spacing w:before="240" w:after="240"/>
              <w:rPr>
                <w:szCs w:val="24"/>
              </w:rPr>
            </w:pPr>
            <w:r w:rsidRPr="005C3B55">
              <w:rPr>
                <w:b/>
              </w:rPr>
              <w:t>Organic farming</w:t>
            </w:r>
          </w:p>
          <w:p w:rsidR="00C21266" w:rsidRPr="005C3B55" w:rsidRDefault="00C21266">
            <w:pPr>
              <w:spacing w:before="240" w:after="240"/>
              <w:rPr>
                <w:szCs w:val="24"/>
              </w:rPr>
            </w:pPr>
            <w:r w:rsidRPr="005C3B55">
              <w:t>REVENUE (PEK) = Yield (YEK) * Price (CEK)</w:t>
            </w:r>
          </w:p>
          <w:p w:rsidR="00C21266" w:rsidRPr="005C3B55" w:rsidRDefault="00C21266">
            <w:pPr>
              <w:spacing w:before="240" w:after="240"/>
              <w:rPr>
                <w:szCs w:val="24"/>
              </w:rPr>
            </w:pPr>
            <w:r w:rsidRPr="005C3B55">
              <w:t>VARIABLE COSTS (VSEK)</w:t>
            </w:r>
          </w:p>
          <w:p w:rsidR="00C21266" w:rsidRPr="005C3B55" w:rsidRDefault="00C21266">
            <w:pPr>
              <w:spacing w:before="240" w:after="240"/>
              <w:rPr>
                <w:szCs w:val="24"/>
              </w:rPr>
            </w:pPr>
            <w:r w:rsidRPr="005C3B55">
              <w:t>LABOUR COSTS (SDEK)</w:t>
            </w:r>
          </w:p>
          <w:p w:rsidR="00C21266" w:rsidRPr="005C3B55" w:rsidRDefault="00C21266">
            <w:pPr>
              <w:spacing w:before="240" w:after="240"/>
              <w:rPr>
                <w:szCs w:val="24"/>
              </w:rPr>
            </w:pPr>
            <w:r w:rsidRPr="005C3B55">
              <w:t>TRANSACTIONS COSTS (tsek): maximum 20% of payment</w:t>
            </w:r>
          </w:p>
          <w:p w:rsidR="00C21266" w:rsidRPr="005C3B55" w:rsidRDefault="00C21266">
            <w:pPr>
              <w:spacing w:before="240" w:after="240"/>
              <w:rPr>
                <w:szCs w:val="24"/>
              </w:rPr>
            </w:pPr>
            <w:r w:rsidRPr="005C3B55">
              <w:t xml:space="preserve">Payment for organic farming: </w:t>
            </w:r>
            <w:r w:rsidRPr="005C3B55">
              <w:rPr>
                <w:i/>
              </w:rPr>
              <w:t>EK = (POKP – VSOKP – SDOKP) - (PEK – VSEK – SDEK) + TSEK</w:t>
            </w:r>
          </w:p>
          <w:p w:rsidR="00C21266" w:rsidRPr="005C3B55" w:rsidRDefault="00C21266">
            <w:pPr>
              <w:spacing w:before="240" w:after="240"/>
              <w:rPr>
                <w:szCs w:val="24"/>
              </w:rPr>
            </w:pPr>
            <w:r w:rsidRPr="005C3B55">
              <w:t>For the requirements of the agri-environment-climate payment measure, which can be implemented with the organic farming measure and whose commitments complement each other, we examined combinations of them with the organic farming measure. On the basis of modal calculations, we determined the amount of payments for the implementation of individual requirements of the agri-environment-climate payment measure combined with the organic farming measure. The provisions of Article 11 of Implementing Commission Regulation No 808/2014/EU were taken into account in this process.</w:t>
            </w:r>
          </w:p>
          <w:p w:rsidR="00C21266" w:rsidRPr="005C3B55" w:rsidRDefault="00C21266">
            <w:pPr>
              <w:pStyle w:val="Telobesedila"/>
              <w:spacing w:after="100"/>
              <w:rPr>
                <w:lang w:eastAsia="en-GB" w:bidi="en-GB"/>
              </w:rPr>
            </w:pPr>
          </w:p>
        </w:tc>
      </w:tr>
    </w:tbl>
    <w:p w:rsidR="00C21266" w:rsidRPr="005C3B55" w:rsidRDefault="00C21266" w:rsidP="00C21266">
      <w:pPr>
        <w:pStyle w:val="Naslov4"/>
        <w:tabs>
          <w:tab w:val="clear" w:pos="765"/>
        </w:tabs>
        <w:spacing w:after="100"/>
        <w:ind w:left="0" w:firstLine="0"/>
        <w:jc w:val="left"/>
        <w:rPr>
          <w:lang w:val="en-GB" w:eastAsia="en-GB" w:bidi="en-GB"/>
        </w:rPr>
      </w:pPr>
      <w:r w:rsidRPr="005C3B55">
        <w:rPr>
          <w:lang w:val="en-GB"/>
        </w:rPr>
        <w:t>Other important notes that contribute to understanding and implementing the measure</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rPr>
                <w:i/>
                <w:u w:val="single"/>
              </w:rPr>
              <w:t>Payment for agricultural practices that have a positive impact on climate and the environment (green component within Pillar 1):</w:t>
            </w:r>
          </w:p>
          <w:p w:rsidR="00C21266" w:rsidRPr="005C3B55" w:rsidRDefault="00C21266">
            <w:pPr>
              <w:spacing w:before="240" w:after="240"/>
              <w:rPr>
                <w:szCs w:val="24"/>
              </w:rPr>
            </w:pPr>
            <w:r w:rsidRPr="005C3B55">
              <w:t>Beneficiaries who fulfil the conditions under the first paragraph of Article 29 of Regulation (EC) No 834/2007 are eligible for payment for agricultural practices that have a positive impact on the environment and climate referred to in Article 43 of Regulation (EU) No 1307/2013 due to the recognised positive impact of the organic farming measure on the environment.</w:t>
            </w:r>
          </w:p>
          <w:p w:rsidR="00C21266" w:rsidRPr="005C3B55" w:rsidRDefault="00C21266">
            <w:pPr>
              <w:spacing w:before="240" w:after="240"/>
              <w:rPr>
                <w:szCs w:val="24"/>
              </w:rPr>
            </w:pPr>
            <w:r w:rsidRPr="005C3B55">
              <w:t>When calculating payments for the organic farming measure, the amounts necessary in order to exclude dual funding of the practices referred to in Article 29 of Regulation NP/2013/EC shall be deducted.</w:t>
            </w:r>
          </w:p>
          <w:p w:rsidR="00C21266" w:rsidRPr="005C3B55" w:rsidRDefault="00C21266">
            <w:pPr>
              <w:spacing w:before="240" w:after="240"/>
              <w:rPr>
                <w:szCs w:val="24"/>
              </w:rPr>
            </w:pPr>
            <w:r w:rsidRPr="005C3B55">
              <w:rPr>
                <w:i/>
                <w:u w:val="single"/>
              </w:rPr>
              <w:t>Combinations with the measure of agri-environment-climate payments</w:t>
            </w:r>
          </w:p>
          <w:p w:rsidR="00C21266" w:rsidRPr="005C3B55" w:rsidRDefault="00C21266">
            <w:pPr>
              <w:spacing w:before="240" w:after="240"/>
              <w:rPr>
                <w:szCs w:val="24"/>
              </w:rPr>
            </w:pPr>
            <w:r w:rsidRPr="005C3B55">
              <w:t>Support under the measure of agri-environment-climate payments referred to in paragraphs one to eight of Article 28 of Regulation (EU) No 1305/2013 cannot be approved for commitments which are covered as part of the organic farming measure.</w:t>
            </w:r>
          </w:p>
          <w:p w:rsidR="00C21266" w:rsidRPr="005C3B55" w:rsidRDefault="00C21266">
            <w:pPr>
              <w:spacing w:before="240" w:after="240"/>
              <w:rPr>
                <w:szCs w:val="24"/>
              </w:rPr>
            </w:pPr>
            <w:r w:rsidRPr="005C3B55">
              <w:t>The possibilities of combining the organic farming measure with the measure of agri-environment-climate payments referred to in paragraphs one to eight of Article 28 of Regulation (EU) No 1305/2013 are shown in the measure of agri-environment-climate payments and annexes to this measure. </w:t>
            </w:r>
          </w:p>
          <w:p w:rsidR="00C21266" w:rsidRPr="005C3B55" w:rsidRDefault="00C21266">
            <w:pPr>
              <w:spacing w:before="240" w:after="240"/>
              <w:rPr>
                <w:szCs w:val="24"/>
              </w:rPr>
            </w:pPr>
            <w:r w:rsidRPr="005C3B55">
              <w:rPr>
                <w:i/>
                <w:u w:val="single"/>
              </w:rPr>
              <w:t>Quality schemes for agricultural products and foodstuffs</w:t>
            </w:r>
          </w:p>
          <w:p w:rsidR="00C21266" w:rsidRPr="005C3B55" w:rsidRDefault="00C21266">
            <w:pPr>
              <w:spacing w:before="240" w:after="240"/>
              <w:rPr>
                <w:szCs w:val="24"/>
              </w:rPr>
            </w:pPr>
            <w:r w:rsidRPr="005C3B55">
              <w:t>Beneficiaries who are new to the organic farming scheme may also be eligible for payments to cover the costs of control, analyses and administrative costs, if they fulfil the conditions in accordance with Article 16 of Regulation (EU) No 1305/2013.</w:t>
            </w:r>
          </w:p>
          <w:p w:rsidR="00C21266" w:rsidRPr="005C3B55" w:rsidRDefault="00C21266">
            <w:pPr>
              <w:spacing w:before="240" w:after="240"/>
              <w:rPr>
                <w:szCs w:val="24"/>
              </w:rPr>
            </w:pPr>
            <w:r w:rsidRPr="005C3B55">
              <w:t>Beneficiaries included in the organic farming measure may also be eligible for payments to cover costs that emerge from the implementation of information dissemination and enhancement activities for organic products or foodstuffs or have priority support in the beneficiary selection procedure, if they fulfil the conditions in accordance with Article 16 of Regulation (EU) No 1305/2013.</w:t>
            </w:r>
          </w:p>
          <w:p w:rsidR="00C21266" w:rsidRPr="005C3B55" w:rsidRDefault="00C21266">
            <w:pPr>
              <w:pStyle w:val="Telobesedila"/>
              <w:rPr>
                <w:lang w:eastAsia="en-GB" w:bidi="en-GB"/>
              </w:rPr>
            </w:pPr>
          </w:p>
        </w:tc>
      </w:tr>
    </w:tbl>
    <w:p w:rsidR="00C21266" w:rsidRPr="005C3B55" w:rsidRDefault="00C21266" w:rsidP="00C21266">
      <w:pPr>
        <w:pStyle w:val="Naslov3"/>
        <w:tabs>
          <w:tab w:val="clear" w:pos="765"/>
        </w:tabs>
        <w:ind w:left="0" w:firstLine="0"/>
        <w:jc w:val="left"/>
        <w:rPr>
          <w:lang w:val="en-GB" w:eastAsia="en-GB" w:bidi="en-GB"/>
        </w:rPr>
      </w:pPr>
      <w:r w:rsidRPr="005C3B55">
        <w:rPr>
          <w:lang w:val="en-GB"/>
        </w:rPr>
        <w:br w:type="page"/>
      </w:r>
      <w:bookmarkStart w:id="125" w:name="_Toc416192583"/>
      <w:r w:rsidRPr="005C3B55">
        <w:rPr>
          <w:lang w:val="en-GB"/>
        </w:rPr>
        <w:t>M13 – Payments to areas facing natural or other specific constraints (Article 31)</w:t>
      </w:r>
      <w:bookmarkEnd w:id="125"/>
    </w:p>
    <w:p w:rsidR="00C21266" w:rsidRPr="005C3B55" w:rsidRDefault="00C21266" w:rsidP="00C21266">
      <w:pPr>
        <w:pStyle w:val="Naslov4"/>
        <w:tabs>
          <w:tab w:val="clear" w:pos="765"/>
        </w:tabs>
        <w:ind w:left="0" w:firstLine="0"/>
        <w:jc w:val="left"/>
        <w:rPr>
          <w:lang w:val="en-GB"/>
        </w:rPr>
      </w:pPr>
      <w:r w:rsidRPr="005C3B55">
        <w:rPr>
          <w:lang w:val="en-GB"/>
        </w:rPr>
        <w:t>Legal basis</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The M13 measure is implemented on the basis of Article 31 and Article 32 of Regulation (EU) No 1305/2013.</w:t>
            </w:r>
          </w:p>
          <w:p w:rsidR="00C21266" w:rsidRPr="005C3B55" w:rsidRDefault="00C21266">
            <w:pPr>
              <w:pStyle w:val="Telobesedila"/>
              <w:rPr>
                <w:lang w:eastAsia="en-GB" w:bidi="en-GB"/>
              </w:rPr>
            </w:pPr>
          </w:p>
        </w:tc>
      </w:tr>
    </w:tbl>
    <w:p w:rsidR="00C21266" w:rsidRPr="005C3B55" w:rsidRDefault="00C21266" w:rsidP="00C21266">
      <w:pPr>
        <w:pStyle w:val="Naslov4"/>
        <w:tabs>
          <w:tab w:val="clear" w:pos="765"/>
        </w:tabs>
        <w:ind w:left="0" w:firstLine="0"/>
        <w:jc w:val="left"/>
        <w:rPr>
          <w:lang w:val="en-GB" w:eastAsia="en-GB" w:bidi="en-GB"/>
        </w:rPr>
      </w:pPr>
      <w:r w:rsidRPr="005C3B55">
        <w:rPr>
          <w:lang w:val="en-GB"/>
        </w:rPr>
        <w:t>A general description of the measure, including its intervention logic and contribution to priority areas and horizontal goals</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 xml:space="preserve">The analysis of the state indicates that Slovenia is one of the EU-27 countries with the highest share of agricultural land in areas facing natural or other specific constraints (ANC), which reduces the competitiveness of Slovenian agriculture, limits the selection of potential production directions and increases production costs. This leads to the abandoning of agriculture in these areas, overgrowing of agricultural land, loss of biotic diversity and agricultural landscape. The cultural landscape in ANC, in particular in mountainous areas, is still heavily dependent on agriculture. For this reason, the preservation of agriculture is essential for the long-term conservation of the environment and rural areas. The long-term availability of natural resources is a basic condition for meeting numerous functions in ANC. The reduction of number and quality of natural resources has an impact on the living and economic environment for local residents and also affects recreational areas and areas for spare-time activities for people living outside these areas. </w:t>
            </w:r>
          </w:p>
          <w:p w:rsidR="00C21266" w:rsidRPr="005C3B55" w:rsidRDefault="00C21266">
            <w:pPr>
              <w:spacing w:before="240" w:after="240"/>
              <w:rPr>
                <w:szCs w:val="24"/>
              </w:rPr>
            </w:pPr>
            <w:r w:rsidRPr="005C3B55">
              <w:t>The purpose of the measure is to preserve and further cultivate agricultural land in areas facing natural or other specific constraints.</w:t>
            </w:r>
          </w:p>
          <w:p w:rsidR="00C21266" w:rsidRPr="005C3B55" w:rsidRDefault="00C21266">
            <w:pPr>
              <w:spacing w:before="240" w:after="240"/>
              <w:rPr>
                <w:szCs w:val="24"/>
              </w:rPr>
            </w:pPr>
            <w:r w:rsidRPr="005C3B55">
              <w:t>Slovenia preserves the delimitation of ANC from the 2007 - 2013 period until the adoption of new delimitation on the basis of Article 32 of Regulation (EU) No 1305/2013, viz.:</w:t>
            </w:r>
          </w:p>
          <w:p w:rsidR="00C21266" w:rsidRPr="005C3B55" w:rsidRDefault="00C21266" w:rsidP="006E20B6">
            <w:pPr>
              <w:numPr>
                <w:ilvl w:val="0"/>
                <w:numId w:val="904"/>
              </w:numPr>
              <w:spacing w:before="240" w:after="0"/>
              <w:ind w:hanging="290"/>
              <w:jc w:val="left"/>
              <w:rPr>
                <w:szCs w:val="24"/>
              </w:rPr>
            </w:pPr>
            <w:r w:rsidRPr="005C3B55">
              <w:t>mountainous areas,</w:t>
            </w:r>
          </w:p>
          <w:p w:rsidR="00C21266" w:rsidRPr="005C3B55" w:rsidRDefault="00C21266" w:rsidP="006E20B6">
            <w:pPr>
              <w:numPr>
                <w:ilvl w:val="0"/>
                <w:numId w:val="904"/>
              </w:numPr>
              <w:spacing w:before="0" w:after="0"/>
              <w:ind w:hanging="290"/>
              <w:jc w:val="left"/>
              <w:rPr>
                <w:szCs w:val="24"/>
              </w:rPr>
            </w:pPr>
            <w:r w:rsidRPr="005C3B55">
              <w:t>areas which are not mountainous areas and have important natural constraints, and</w:t>
            </w:r>
          </w:p>
          <w:p w:rsidR="00C21266" w:rsidRPr="005C3B55" w:rsidRDefault="00C21266" w:rsidP="006E20B6">
            <w:pPr>
              <w:numPr>
                <w:ilvl w:val="0"/>
                <w:numId w:val="904"/>
              </w:numPr>
              <w:spacing w:before="0" w:after="240"/>
              <w:ind w:hanging="290"/>
              <w:jc w:val="left"/>
              <w:rPr>
                <w:szCs w:val="24"/>
              </w:rPr>
            </w:pPr>
            <w:r w:rsidRPr="005C3B55">
              <w:t>areas with specific constraints.</w:t>
            </w:r>
          </w:p>
          <w:p w:rsidR="00C21266" w:rsidRPr="005C3B55" w:rsidRDefault="00C21266">
            <w:pPr>
              <w:spacing w:before="240" w:after="240"/>
              <w:rPr>
                <w:szCs w:val="24"/>
              </w:rPr>
            </w:pPr>
            <w:r w:rsidRPr="005C3B55">
              <w:t>It is foreseen that Slovenia will implement the new delimitation on the basis of Article 32 of Regulation No 1305/2013 by the end of 2017 at the latest, when it will propose a new delimitation for areas which are not mountainous and have important natural constraints (Article 32 (b))) and for areas with specific constraints (Article 32 (c)).</w:t>
            </w:r>
          </w:p>
          <w:p w:rsidR="00C21266" w:rsidRPr="005C3B55" w:rsidRDefault="00C21266">
            <w:pPr>
              <w:spacing w:before="240" w:after="240"/>
              <w:rPr>
                <w:szCs w:val="24"/>
              </w:rPr>
            </w:pPr>
            <w:r w:rsidRPr="005C3B55">
              <w:t>The support within the scope of this measure is granted in the form of annual compensatory payment per hectare of agricultural land.</w:t>
            </w:r>
          </w:p>
          <w:p w:rsidR="00C21266" w:rsidRPr="005C3B55" w:rsidRDefault="00C21266">
            <w:pPr>
              <w:spacing w:before="240" w:after="240"/>
              <w:rPr>
                <w:szCs w:val="24"/>
              </w:rPr>
            </w:pPr>
            <w:r w:rsidRPr="005C3B55">
              <w:t>In the scope of this measure, the smallest area entitled to payment is 0.01 ha.</w:t>
            </w:r>
          </w:p>
          <w:p w:rsidR="00C21266" w:rsidRPr="005C3B55" w:rsidRDefault="00C21266">
            <w:pPr>
              <w:spacing w:before="240" w:after="240"/>
              <w:rPr>
                <w:szCs w:val="24"/>
              </w:rPr>
            </w:pPr>
            <w:r w:rsidRPr="005C3B55">
              <w:t xml:space="preserve">The compensatory payment is necessary due to additional costs and loss of revenue and will contribute to the preservation and stimulation of sustainable agricultural systems, conservation of cultural landscape of rural areas and sustainable use of agricultural land. </w:t>
            </w:r>
          </w:p>
          <w:p w:rsidR="00C21266" w:rsidRPr="005C3B55" w:rsidRDefault="00C21266">
            <w:pPr>
              <w:spacing w:before="240" w:after="240"/>
              <w:rPr>
                <w:szCs w:val="24"/>
              </w:rPr>
            </w:pPr>
            <w:r w:rsidRPr="005C3B55">
              <w:t>Three criteria were taken into account in the procedure of calculating the compensatory payment which have an impact on the amount of payment:</w:t>
            </w:r>
          </w:p>
          <w:p w:rsidR="00C21266" w:rsidRPr="005C3B55" w:rsidRDefault="00C21266" w:rsidP="006E20B6">
            <w:pPr>
              <w:numPr>
                <w:ilvl w:val="0"/>
                <w:numId w:val="905"/>
              </w:numPr>
              <w:spacing w:before="240" w:after="0"/>
              <w:ind w:hanging="290"/>
              <w:jc w:val="left"/>
              <w:rPr>
                <w:szCs w:val="24"/>
              </w:rPr>
            </w:pPr>
            <w:r w:rsidRPr="005C3B55">
              <w:t>Differentiation in terms of the level of the established permanent constraint which is stated in the procedure of scoring agricultural holdings in ANC. A higher number of points is foreseen for farms in harsh, unfavourable natural conditions, and this influences the higher compensatory payment;</w:t>
            </w:r>
          </w:p>
          <w:p w:rsidR="00C21266" w:rsidRPr="005C3B55" w:rsidRDefault="00C21266" w:rsidP="006E20B6">
            <w:pPr>
              <w:numPr>
                <w:ilvl w:val="0"/>
                <w:numId w:val="905"/>
              </w:numPr>
              <w:spacing w:before="0" w:after="0"/>
              <w:ind w:hanging="290"/>
              <w:jc w:val="left"/>
              <w:rPr>
                <w:szCs w:val="24"/>
              </w:rPr>
            </w:pPr>
            <w:r w:rsidRPr="005C3B55">
              <w:t xml:space="preserve">Differentiation regarding agricultural systems that is taken into account in ranking agricultural holdings in ANC and observes different applications of agricultural land. Thus, four different groups of use of agricultural land are ranked separately: fields, permanent grassland, vineyards and other permanent plantations; </w:t>
            </w:r>
          </w:p>
          <w:p w:rsidR="00C21266" w:rsidRPr="005C3B55" w:rsidRDefault="00C21266" w:rsidP="006E20B6">
            <w:pPr>
              <w:numPr>
                <w:ilvl w:val="0"/>
                <w:numId w:val="905"/>
              </w:numPr>
              <w:spacing w:before="0" w:after="240"/>
              <w:ind w:hanging="290"/>
              <w:jc w:val="left"/>
              <w:rPr>
                <w:szCs w:val="24"/>
              </w:rPr>
            </w:pPr>
            <w:r w:rsidRPr="005C3B55">
              <w:t>Differentiation (degression) of payments in terms of the economy of scope, where the full payment is foreseen for the first 70 ha of agricultural land per agricultural holding, while the payment is gradually decreased for other areas and reaches 40% payment in areas larger than 100 ha.</w:t>
            </w:r>
          </w:p>
          <w:p w:rsidR="00C21266" w:rsidRPr="005C3B55" w:rsidRDefault="00C21266">
            <w:pPr>
              <w:spacing w:before="240" w:after="240"/>
              <w:rPr>
                <w:szCs w:val="24"/>
              </w:rPr>
            </w:pPr>
            <w:r w:rsidRPr="005C3B55">
              <w:t>The measure is divided into three sub-measures:</w:t>
            </w:r>
          </w:p>
          <w:p w:rsidR="00C21266" w:rsidRPr="005C3B55" w:rsidRDefault="00C21266" w:rsidP="006E20B6">
            <w:pPr>
              <w:numPr>
                <w:ilvl w:val="0"/>
                <w:numId w:val="906"/>
              </w:numPr>
              <w:spacing w:before="240" w:after="0"/>
              <w:ind w:hanging="290"/>
              <w:jc w:val="left"/>
              <w:rPr>
                <w:szCs w:val="24"/>
              </w:rPr>
            </w:pPr>
            <w:r w:rsidRPr="005C3B55">
              <w:t>The payment of compensations in mountainous areas (Sub-measure M13.1),</w:t>
            </w:r>
          </w:p>
          <w:p w:rsidR="00C21266" w:rsidRPr="005C3B55" w:rsidRDefault="00C21266" w:rsidP="006E20B6">
            <w:pPr>
              <w:numPr>
                <w:ilvl w:val="0"/>
                <w:numId w:val="906"/>
              </w:numPr>
              <w:spacing w:before="0" w:after="0"/>
              <w:ind w:hanging="290"/>
              <w:jc w:val="left"/>
              <w:rPr>
                <w:szCs w:val="24"/>
              </w:rPr>
            </w:pPr>
            <w:r w:rsidRPr="005C3B55">
              <w:t>The payment of compensations for other areas with important natural constraints (Sub-measure M13.2),</w:t>
            </w:r>
          </w:p>
          <w:p w:rsidR="00C21266" w:rsidRPr="005C3B55" w:rsidRDefault="00C21266" w:rsidP="006E20B6">
            <w:pPr>
              <w:numPr>
                <w:ilvl w:val="0"/>
                <w:numId w:val="906"/>
              </w:numPr>
              <w:spacing w:before="0" w:after="240"/>
              <w:ind w:hanging="290"/>
              <w:jc w:val="left"/>
              <w:rPr>
                <w:szCs w:val="24"/>
              </w:rPr>
            </w:pPr>
            <w:r w:rsidRPr="005C3B55">
              <w:t>The payment of compensations for other areas with specific constraints (Sub-measure M13.3).</w:t>
            </w:r>
          </w:p>
          <w:p w:rsidR="00C21266" w:rsidRPr="005C3B55" w:rsidRDefault="00C21266">
            <w:pPr>
              <w:spacing w:before="240" w:after="240"/>
              <w:rPr>
                <w:szCs w:val="24"/>
              </w:rPr>
            </w:pPr>
            <w:r w:rsidRPr="005C3B55">
              <w:t>Support under the Sub-measure M13 focuses on the fourth action area referred to in the RDP 2014–2020 determined in Chapter 5.1 of the RDP 2014–2020.</w:t>
            </w:r>
          </w:p>
          <w:p w:rsidR="00C21266" w:rsidRPr="005C3B55" w:rsidRDefault="00C21266">
            <w:pPr>
              <w:spacing w:before="240" w:after="240"/>
              <w:rPr>
                <w:szCs w:val="24"/>
              </w:rPr>
            </w:pPr>
            <w:r w:rsidRPr="005C3B55">
              <w:rPr>
                <w:b/>
              </w:rPr>
              <w:t>Contribution to priority areas</w:t>
            </w:r>
          </w:p>
          <w:p w:rsidR="00C21266" w:rsidRPr="005C3B55" w:rsidRDefault="00C21266">
            <w:pPr>
              <w:spacing w:before="240" w:after="240"/>
              <w:rPr>
                <w:szCs w:val="24"/>
              </w:rPr>
            </w:pPr>
            <w:r w:rsidRPr="005C3B55">
              <w:rPr>
                <w:b/>
                <w:i/>
              </w:rPr>
              <w:t>Priority area 4A: Restoring, preserving and enhancing biodiversity, including in Natura 2000 sites and areas facing natural or other specific constraints, and high nature value farming, as well as the state of European landscapes</w:t>
            </w:r>
          </w:p>
          <w:p w:rsidR="00C21266" w:rsidRPr="005C3B55" w:rsidRDefault="00C21266">
            <w:pPr>
              <w:spacing w:before="240" w:after="240"/>
              <w:rPr>
                <w:szCs w:val="24"/>
              </w:rPr>
            </w:pPr>
            <w:r w:rsidRPr="005C3B55">
              <w:t>Due extensive agricultural and forestry land use, the traditional diverse cultural landscape with special ecological importance could develop in ANC.  Traditional forms of agriculture essentially contribute to the conservation of biodiversity, in particular in mountainous areas or in areas with extremely unfavourable natural conditions for agriculture. The payments for ANC represent a partial compensation for agricultural holdings and enable farmers to continue their land management despite low profit and high management costs.</w:t>
            </w:r>
          </w:p>
          <w:p w:rsidR="00C21266" w:rsidRPr="005C3B55" w:rsidRDefault="00C21266">
            <w:pPr>
              <w:spacing w:before="240" w:after="240"/>
              <w:rPr>
                <w:szCs w:val="24"/>
              </w:rPr>
            </w:pPr>
            <w:r w:rsidRPr="005C3B55">
              <w:t xml:space="preserve">This measure is an important part of agricultural holding revenue in these areas and contributes to the further use of agricultural land, conservation of rural areas and settlement as well as the development of sustainable agricultural systems and thus also importantly contributes to conservation and increase in biodiversity in these areas. </w:t>
            </w:r>
          </w:p>
          <w:p w:rsidR="00C21266" w:rsidRPr="005C3B55" w:rsidRDefault="00C21266">
            <w:pPr>
              <w:spacing w:before="240" w:after="240"/>
              <w:rPr>
                <w:szCs w:val="24"/>
              </w:rPr>
            </w:pPr>
            <w:r w:rsidRPr="005C3B55">
              <w:rPr>
                <w:b/>
              </w:rPr>
              <w:t>Contribution to horizontal objectives</w:t>
            </w:r>
          </w:p>
          <w:p w:rsidR="00C21266" w:rsidRPr="005C3B55" w:rsidRDefault="00C21266">
            <w:pPr>
              <w:spacing w:before="240" w:after="240"/>
              <w:rPr>
                <w:szCs w:val="24"/>
              </w:rPr>
            </w:pPr>
            <w:r w:rsidRPr="005C3B55">
              <w:rPr>
                <w:b/>
                <w:i/>
              </w:rPr>
              <w:t>Environment:</w:t>
            </w:r>
            <w:r w:rsidRPr="005C3B55">
              <w:rPr>
                <w:i/>
              </w:rPr>
              <w:t xml:space="preserve"> </w:t>
            </w:r>
            <w:r w:rsidRPr="005C3B55">
              <w:t>With compensatory payment due to low profit and high management costs, the farms in ANC are provided to continue their land management, which is important for the conservation of rural areas and preservation and stimulation of sustainable agricultural systems. In addition to the production function, it thus includes the conservation of cultural landscape, conservation and maintenance of infrastructure, and protection against natural disasters and also has a positive impact on attaining the goals in the field of environment and climate protection.</w:t>
            </w:r>
          </w:p>
          <w:p w:rsidR="00C21266" w:rsidRPr="005C3B55" w:rsidRDefault="00C21266">
            <w:pPr>
              <w:pStyle w:val="Telobesedila"/>
              <w:rPr>
                <w:lang w:eastAsia="en-GB" w:bidi="en-GB"/>
              </w:rPr>
            </w:pPr>
          </w:p>
        </w:tc>
      </w:tr>
    </w:tbl>
    <w:p w:rsidR="00C21266" w:rsidRPr="005C3B55" w:rsidRDefault="00C21266" w:rsidP="00C21266">
      <w:pPr>
        <w:pStyle w:val="Naslov4"/>
        <w:tabs>
          <w:tab w:val="clear" w:pos="765"/>
        </w:tabs>
        <w:ind w:left="0" w:firstLine="0"/>
        <w:jc w:val="left"/>
        <w:rPr>
          <w:lang w:val="en-GB" w:eastAsia="en-GB" w:bidi="en-GB"/>
        </w:rPr>
      </w:pPr>
      <w:r w:rsidRPr="005C3B55">
        <w:rPr>
          <w:lang w:val="en-GB"/>
        </w:rPr>
        <w:t>Scope and rate of support and beneficiaries, and, where relevant, methodology for the calculating the amount or level of support, if necessary broken down by sub-measures and/or the type of operation. Determine eligible costs, conditions for eligibility, valid amounts and rates of support and principles regarding the definition of selection criteria for each type of operation</w:t>
      </w:r>
    </w:p>
    <w:p w:rsidR="00C21266" w:rsidRPr="005C3B55" w:rsidRDefault="00C21266" w:rsidP="00C21266">
      <w:pPr>
        <w:pStyle w:val="Naslov5"/>
        <w:tabs>
          <w:tab w:val="clear" w:pos="765"/>
        </w:tabs>
        <w:ind w:left="0" w:firstLine="0"/>
        <w:rPr>
          <w:b w:val="0"/>
          <w:lang w:val="en-GB"/>
        </w:rPr>
      </w:pPr>
      <w:r w:rsidRPr="005C3B55">
        <w:rPr>
          <w:b w:val="0"/>
          <w:lang w:val="en-GB"/>
        </w:rPr>
        <w:t>1. The payment of compensations in mountainous areas</w:t>
      </w:r>
    </w:p>
    <w:p w:rsidR="00C21266" w:rsidRPr="005C3B55" w:rsidRDefault="00C21266" w:rsidP="00C21266">
      <w:r w:rsidRPr="005C3B55">
        <w:t xml:space="preserve">Sub-measure: </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numPr>
                <w:ilvl w:val="0"/>
                <w:numId w:val="907"/>
              </w:numPr>
              <w:rPr>
                <w:rFonts w:eastAsia="Calibri"/>
                <w:lang w:eastAsia="en-GB" w:bidi="en-GB"/>
              </w:rPr>
            </w:pPr>
            <w:r w:rsidRPr="005C3B55">
              <w:t>13.1 - The payment of compensations in mountainous areas</w:t>
            </w:r>
          </w:p>
        </w:tc>
      </w:tr>
    </w:tbl>
    <w:p w:rsidR="00C21266" w:rsidRPr="005C3B55" w:rsidRDefault="00C21266" w:rsidP="00C21266">
      <w:pPr>
        <w:pStyle w:val="Naslov6"/>
        <w:tabs>
          <w:tab w:val="clear" w:pos="765"/>
        </w:tabs>
        <w:ind w:left="0" w:firstLine="0"/>
        <w:rPr>
          <w:lang w:val="en-GB" w:eastAsia="en-GB" w:bidi="en-GB"/>
        </w:rPr>
      </w:pPr>
      <w:r w:rsidRPr="005C3B55">
        <w:rPr>
          <w:lang w:val="en-GB"/>
        </w:rPr>
        <w:t>Description of type of operation</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8"/>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The support within the scope of this sub-measure is granted for conservation and the further operation of agricultural activities in mountainous areas (second paragraph of Article 32 of Regulation (EU) No 1305/2013) where relative higher costs and loss of revenue for agriculture are present compared to areas with favourable production conditions,</w:t>
            </w:r>
          </w:p>
          <w:p w:rsidR="00C21266" w:rsidRPr="005C3B55" w:rsidRDefault="00C21266">
            <w:pPr>
              <w:spacing w:before="240" w:after="240"/>
              <w:rPr>
                <w:szCs w:val="24"/>
              </w:rPr>
            </w:pPr>
            <w:r w:rsidRPr="005C3B55">
              <w:t>According to Point (a) of the fifth paragraph of Article 32 of Regulation (EU) No 1305/2013, Slovenia adds the existing delimitation of mountainous areas in the programme.</w:t>
            </w:r>
          </w:p>
          <w:p w:rsidR="00C21266" w:rsidRPr="005C3B55" w:rsidRDefault="00C21266">
            <w:pPr>
              <w:spacing w:before="240" w:after="240"/>
              <w:rPr>
                <w:szCs w:val="24"/>
              </w:rPr>
            </w:pPr>
            <w:r w:rsidRPr="005C3B55">
              <w:t xml:space="preserve">In Slovenia, the mountainous area covers 72% of the country's surface and includes 55% of all agricultural land in the country. Agricultural holdings which operate at higher altitudes have a significantly limited selection of agricultural plants and lower output per land unit due to the shorter growing period. The data from the register of agricultural holdings (graphic agricultural unit of a farm holding records) indicates that permanent grassland strongly prevails at altitudes above 500 metres, which represents 95% of all agricultural land, while fields represent only 5%. Because of this, livestock farming prevails, often extensive, since herbivorous animals can use the plentiful grassland forage. </w:t>
            </w:r>
          </w:p>
          <w:p w:rsidR="00C21266" w:rsidRPr="005C3B55" w:rsidRDefault="00C21266">
            <w:pPr>
              <w:spacing w:before="240" w:after="240"/>
              <w:rPr>
                <w:szCs w:val="24"/>
              </w:rPr>
            </w:pPr>
            <w:r w:rsidRPr="005C3B55">
              <w:t xml:space="preserve">The next constraint that agricultural holdings are facing with in the mountainous area are steep inclines of agricultural land, since the undulation of the country's relief is very great. This natural constraint makes agricultural production difficult and thus the application of more expensive special machinery and/or more manual work is necessary in many cases, causing production costs to increase. </w:t>
            </w:r>
          </w:p>
          <w:p w:rsidR="00C21266" w:rsidRPr="005C3B55" w:rsidRDefault="00C21266">
            <w:pPr>
              <w:spacing w:before="240" w:after="240"/>
              <w:rPr>
                <w:szCs w:val="24"/>
              </w:rPr>
            </w:pPr>
            <w:r w:rsidRPr="005C3B55">
              <w:t xml:space="preserve">Due to natural features, rich biotic grasslands prevail in mountainous areas, which are often included in the Natura 2000 network. Different habitat types and species are conserved with the further use and cultivation of agricultural land. The compensatory payments therefore directly contribute to conserving the favourable state of grassland in these areas, which would otherwise be overgrown and thus cause the disappearance of characteristic habitats and/or species. </w:t>
            </w:r>
          </w:p>
          <w:p w:rsidR="00C21266" w:rsidRPr="005C3B55" w:rsidRDefault="00C21266">
            <w:pPr>
              <w:spacing w:before="240" w:after="240"/>
              <w:rPr>
                <w:szCs w:val="24"/>
              </w:rPr>
            </w:pPr>
            <w:r w:rsidRPr="005C3B55">
              <w:t>The support for agricultural holdings in mountainous areas thus pursues the following objectives:</w:t>
            </w:r>
          </w:p>
          <w:p w:rsidR="00C21266" w:rsidRPr="005C3B55" w:rsidRDefault="00C21266" w:rsidP="006E20B6">
            <w:pPr>
              <w:numPr>
                <w:ilvl w:val="0"/>
                <w:numId w:val="908"/>
              </w:numPr>
              <w:spacing w:before="240" w:after="0"/>
              <w:ind w:hanging="290"/>
              <w:jc w:val="left"/>
              <w:rPr>
                <w:szCs w:val="24"/>
              </w:rPr>
            </w:pPr>
            <w:r w:rsidRPr="005C3B55">
              <w:t>conservation of a landscape by stimulating land management, despite difficult agricultural conditions and thus in particular the protection of soil against erosion and landslide or the loss of biotic diversity;</w:t>
            </w:r>
          </w:p>
          <w:p w:rsidR="00C21266" w:rsidRPr="005C3B55" w:rsidRDefault="00C21266" w:rsidP="006E20B6">
            <w:pPr>
              <w:numPr>
                <w:ilvl w:val="0"/>
                <w:numId w:val="908"/>
              </w:numPr>
              <w:spacing w:before="0" w:after="0"/>
              <w:ind w:hanging="290"/>
              <w:jc w:val="left"/>
              <w:rPr>
                <w:szCs w:val="24"/>
              </w:rPr>
            </w:pPr>
            <w:r w:rsidRPr="005C3B55">
              <w:t>conservation of settlements of rural areas in mountainous areas; and</w:t>
            </w:r>
          </w:p>
          <w:p w:rsidR="00C21266" w:rsidRPr="005C3B55" w:rsidRDefault="00C21266" w:rsidP="006E20B6">
            <w:pPr>
              <w:numPr>
                <w:ilvl w:val="0"/>
                <w:numId w:val="908"/>
              </w:numPr>
              <w:spacing w:before="0" w:after="240"/>
              <w:ind w:hanging="290"/>
              <w:jc w:val="left"/>
              <w:rPr>
                <w:szCs w:val="24"/>
              </w:rPr>
            </w:pPr>
            <w:r w:rsidRPr="005C3B55">
              <w:t>provision of public benefits in mountainous areas and their contribution to preservation and reconstruction of the infrastructure, protection against natural disasters, tourism and conservation of rural heritage.</w:t>
            </w:r>
          </w:p>
          <w:p w:rsidR="00C21266" w:rsidRPr="005C3B55" w:rsidRDefault="00C21266">
            <w:pPr>
              <w:pStyle w:val="Telobesedila"/>
            </w:pPr>
          </w:p>
          <w:p w:rsidR="00C21266" w:rsidRPr="005C3B55" w:rsidRDefault="0012246E">
            <w:pPr>
              <w:pStyle w:val="Telobesedila3"/>
              <w:jc w:val="left"/>
            </w:pPr>
            <w:r w:rsidRPr="005C3B55">
              <w:rPr>
                <w:noProof/>
                <w:lang w:val="sl-SI"/>
              </w:rPr>
              <w:drawing>
                <wp:inline distT="0" distB="0" distL="0" distR="0">
                  <wp:extent cx="6629400" cy="4695825"/>
                  <wp:effectExtent l="0" t="0" r="0" b="9525"/>
                  <wp:docPr id="3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629400" cy="4695825"/>
                          </a:xfrm>
                          <a:prstGeom prst="rect">
                            <a:avLst/>
                          </a:prstGeom>
                          <a:noFill/>
                          <a:ln>
                            <a:noFill/>
                          </a:ln>
                        </pic:spPr>
                      </pic:pic>
                    </a:graphicData>
                  </a:graphic>
                </wp:inline>
              </w:drawing>
            </w:r>
          </w:p>
          <w:p w:rsidR="00C21266" w:rsidRPr="005C3B55" w:rsidRDefault="00C21266">
            <w:pPr>
              <w:pStyle w:val="Noga"/>
              <w:spacing w:after="120"/>
              <w:jc w:val="center"/>
            </w:pPr>
            <w:r w:rsidRPr="005C3B55">
              <w:t>The scope of mountainous areas</w:t>
            </w:r>
          </w:p>
          <w:p w:rsidR="00C21266" w:rsidRPr="005C3B55" w:rsidRDefault="00C21266">
            <w:pPr>
              <w:pStyle w:val="Noga"/>
              <w:jc w:val="center"/>
              <w:rPr>
                <w:lang w:eastAsia="en-GB" w:bidi="en-GB"/>
              </w:rPr>
            </w:pPr>
          </w:p>
        </w:tc>
      </w:tr>
    </w:tbl>
    <w:p w:rsidR="00C21266" w:rsidRPr="005C3B55" w:rsidRDefault="00C21266" w:rsidP="00C21266">
      <w:pPr>
        <w:pStyle w:val="Naslov6"/>
        <w:tabs>
          <w:tab w:val="clear" w:pos="765"/>
        </w:tabs>
        <w:ind w:left="0" w:firstLine="0"/>
        <w:rPr>
          <w:lang w:val="en-GB" w:eastAsia="en-GB" w:bidi="en-GB"/>
        </w:rPr>
      </w:pPr>
      <w:r w:rsidRPr="005C3B55">
        <w:rPr>
          <w:lang w:val="en-GB"/>
        </w:rPr>
        <w:t>Type of support</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 xml:space="preserve">The support within the scope of this sub-measure is granted in the form of an annual compensatory payment per hectare of agricultural land as compensation to farmers due to high costs and loss of revenue as a result of more difficult agricultural conditions in mountainous areas </w:t>
            </w:r>
          </w:p>
          <w:p w:rsidR="00C21266" w:rsidRPr="005C3B55" w:rsidRDefault="00C21266">
            <w:pPr>
              <w:pStyle w:val="Telobesedila"/>
              <w:rPr>
                <w:lang w:eastAsia="en-GB" w:bidi="en-GB"/>
              </w:rPr>
            </w:pPr>
          </w:p>
        </w:tc>
      </w:tr>
    </w:tbl>
    <w:p w:rsidR="00C21266" w:rsidRPr="005C3B55" w:rsidRDefault="00C21266" w:rsidP="00C21266">
      <w:pPr>
        <w:pStyle w:val="Naslov6"/>
        <w:tabs>
          <w:tab w:val="clear" w:pos="765"/>
        </w:tabs>
        <w:ind w:left="0" w:firstLine="0"/>
        <w:rPr>
          <w:lang w:val="en-GB" w:eastAsia="en-GB" w:bidi="en-GB"/>
        </w:rPr>
      </w:pPr>
      <w:r w:rsidRPr="005C3B55">
        <w:rPr>
          <w:lang w:val="en-GB"/>
        </w:rPr>
        <w:t>Connection with other legislation</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rsidP="006E20B6">
            <w:pPr>
              <w:numPr>
                <w:ilvl w:val="0"/>
                <w:numId w:val="909"/>
              </w:numPr>
              <w:spacing w:before="0" w:after="0"/>
              <w:ind w:hanging="290"/>
              <w:jc w:val="left"/>
              <w:rPr>
                <w:rFonts w:eastAsia="Calibri"/>
                <w:szCs w:val="24"/>
              </w:rPr>
            </w:pPr>
            <w:r w:rsidRPr="005C3B55">
              <w:t>Agriculture Act (Official Gazette of the Republic of Slovenia, no. 45/2008 with all amendments);</w:t>
            </w:r>
          </w:p>
          <w:p w:rsidR="00C21266" w:rsidRPr="005C3B55" w:rsidRDefault="00C21266" w:rsidP="006E20B6">
            <w:pPr>
              <w:numPr>
                <w:ilvl w:val="0"/>
                <w:numId w:val="909"/>
              </w:numPr>
              <w:spacing w:before="0" w:after="0"/>
              <w:ind w:hanging="290"/>
              <w:jc w:val="left"/>
              <w:rPr>
                <w:szCs w:val="24"/>
              </w:rPr>
            </w:pPr>
            <w:r w:rsidRPr="005C3B55">
              <w:t>Title VI of Regulation (EU) No 1306/2013 (cross-compliance);</w:t>
            </w:r>
          </w:p>
          <w:p w:rsidR="00C21266" w:rsidRPr="005C3B55" w:rsidRDefault="00C21266" w:rsidP="006E20B6">
            <w:pPr>
              <w:numPr>
                <w:ilvl w:val="0"/>
                <w:numId w:val="909"/>
              </w:numPr>
              <w:spacing w:before="0" w:after="0"/>
              <w:ind w:hanging="290"/>
              <w:jc w:val="left"/>
              <w:rPr>
                <w:szCs w:val="24"/>
              </w:rPr>
            </w:pPr>
            <w:r w:rsidRPr="005C3B55">
              <w:t>Article 9 of Regulation (EU) No 1307/2013;</w:t>
            </w:r>
          </w:p>
          <w:p w:rsidR="00C21266" w:rsidRPr="005C3B55" w:rsidRDefault="00C21266" w:rsidP="006E20B6">
            <w:pPr>
              <w:numPr>
                <w:ilvl w:val="0"/>
                <w:numId w:val="909"/>
              </w:numPr>
              <w:spacing w:before="0" w:after="0"/>
              <w:ind w:hanging="290"/>
              <w:jc w:val="left"/>
              <w:rPr>
                <w:szCs w:val="24"/>
              </w:rPr>
            </w:pPr>
            <w:r w:rsidRPr="005C3B55">
              <w:t>national regulation which regulates the implementation of this sub-measure; and</w:t>
            </w:r>
          </w:p>
          <w:p w:rsidR="00C21266" w:rsidRPr="005C3B55" w:rsidRDefault="00C21266" w:rsidP="006E20B6">
            <w:pPr>
              <w:numPr>
                <w:ilvl w:val="0"/>
                <w:numId w:val="909"/>
              </w:numPr>
              <w:spacing w:before="0" w:after="240"/>
              <w:ind w:hanging="290"/>
              <w:jc w:val="left"/>
              <w:rPr>
                <w:szCs w:val="24"/>
              </w:rPr>
            </w:pPr>
            <w:r w:rsidRPr="005C3B55">
              <w:t>other EU and national legislation which regulates the implementation of this sub-measure.</w:t>
            </w:r>
          </w:p>
          <w:p w:rsidR="00C21266" w:rsidRPr="005C3B55" w:rsidRDefault="00C21266">
            <w:pPr>
              <w:pStyle w:val="Telobesedila"/>
              <w:rPr>
                <w:lang w:eastAsia="en-GB" w:bidi="en-GB"/>
              </w:rPr>
            </w:pPr>
          </w:p>
        </w:tc>
      </w:tr>
    </w:tbl>
    <w:p w:rsidR="00C21266" w:rsidRPr="005C3B55" w:rsidRDefault="00C21266" w:rsidP="00C21266">
      <w:pPr>
        <w:pStyle w:val="Naslov6"/>
        <w:tabs>
          <w:tab w:val="clear" w:pos="765"/>
        </w:tabs>
        <w:ind w:left="0" w:firstLine="0"/>
        <w:rPr>
          <w:lang w:val="en-GB" w:eastAsia="en-GB" w:bidi="en-GB"/>
        </w:rPr>
      </w:pPr>
      <w:r w:rsidRPr="005C3B55">
        <w:rPr>
          <w:lang w:val="en-GB"/>
        </w:rPr>
        <w:t>Beneficiaries</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Compensatory payments are granted to holders of agricultural holdings carrying out the agricultural activity in mountainous areas.</w:t>
            </w:r>
          </w:p>
          <w:p w:rsidR="00C21266" w:rsidRPr="005C3B55" w:rsidRDefault="00C21266">
            <w:pPr>
              <w:pStyle w:val="Telobesedila"/>
              <w:rPr>
                <w:lang w:eastAsia="en-GB" w:bidi="en-GB"/>
              </w:rPr>
            </w:pPr>
          </w:p>
        </w:tc>
      </w:tr>
    </w:tbl>
    <w:p w:rsidR="00C21266" w:rsidRPr="005C3B55" w:rsidRDefault="00C21266" w:rsidP="00C21266">
      <w:pPr>
        <w:pStyle w:val="Naslov6"/>
        <w:tabs>
          <w:tab w:val="clear" w:pos="765"/>
        </w:tabs>
        <w:ind w:left="0" w:firstLine="0"/>
        <w:rPr>
          <w:lang w:val="en-GB" w:eastAsia="en-GB" w:bidi="en-GB"/>
        </w:rPr>
      </w:pPr>
      <w:r w:rsidRPr="005C3B55">
        <w:rPr>
          <w:lang w:val="en-GB"/>
        </w:rPr>
        <w:t>Eligible costs</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The support is paid to farmers in the form of an annual payment per hectare of agricultural land to cover a part of additional costs and loss of revenue related to the constraints of agricultural production in mountainous areas.</w:t>
            </w:r>
          </w:p>
          <w:p w:rsidR="00C21266" w:rsidRPr="005C3B55" w:rsidRDefault="00C21266">
            <w:pPr>
              <w:spacing w:before="240" w:after="240"/>
              <w:rPr>
                <w:szCs w:val="24"/>
              </w:rPr>
            </w:pPr>
            <w:r w:rsidRPr="005C3B55">
              <w:t>In determining the annual payment, the additional (higher) costs and loss of revenue (less products) in mountainous areas are taken into account in comparison to agricultural activities carried out outside areas facing natural and other specific constraints.</w:t>
            </w:r>
          </w:p>
          <w:p w:rsidR="00C21266" w:rsidRPr="005C3B55" w:rsidRDefault="00C21266">
            <w:pPr>
              <w:spacing w:before="240" w:after="240"/>
              <w:rPr>
                <w:szCs w:val="24"/>
              </w:rPr>
            </w:pPr>
            <w:r w:rsidRPr="005C3B55">
              <w:t>The annual payment is calculated for every individual agricultural holding separately. The calculation of the amount of payment is shown in detail in Chapter (Valid) amounts and levels of support within this sub-measure.</w:t>
            </w:r>
          </w:p>
          <w:p w:rsidR="00C21266" w:rsidRPr="005C3B55" w:rsidRDefault="00C21266">
            <w:pPr>
              <w:pStyle w:val="Telobesedila"/>
              <w:rPr>
                <w:lang w:eastAsia="en-GB" w:bidi="en-GB"/>
              </w:rPr>
            </w:pPr>
          </w:p>
        </w:tc>
      </w:tr>
    </w:tbl>
    <w:p w:rsidR="00C21266" w:rsidRPr="005C3B55" w:rsidRDefault="00C21266" w:rsidP="00C21266">
      <w:pPr>
        <w:pStyle w:val="Naslov6"/>
        <w:tabs>
          <w:tab w:val="clear" w:pos="765"/>
        </w:tabs>
        <w:ind w:left="0" w:firstLine="0"/>
        <w:rPr>
          <w:lang w:val="en-GB" w:eastAsia="en-GB" w:bidi="en-GB"/>
        </w:rPr>
      </w:pPr>
      <w:r w:rsidRPr="005C3B55">
        <w:rPr>
          <w:lang w:val="en-GB"/>
        </w:rPr>
        <w:t>Conditions for eligibility</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rsidP="006E20B6">
            <w:pPr>
              <w:numPr>
                <w:ilvl w:val="0"/>
                <w:numId w:val="910"/>
              </w:numPr>
              <w:spacing w:before="0" w:after="0"/>
              <w:ind w:hanging="290"/>
              <w:jc w:val="left"/>
              <w:rPr>
                <w:rFonts w:eastAsia="Calibri"/>
                <w:szCs w:val="24"/>
              </w:rPr>
            </w:pPr>
            <w:r w:rsidRPr="005C3B55">
              <w:t>An agricultural holding must be entered in the register of agricultural holdings in accordance with the regulation on the register of agricultural holdings.</w:t>
            </w:r>
          </w:p>
          <w:p w:rsidR="00C21266" w:rsidRPr="005C3B55" w:rsidRDefault="00C21266" w:rsidP="006E20B6">
            <w:pPr>
              <w:numPr>
                <w:ilvl w:val="0"/>
                <w:numId w:val="910"/>
              </w:numPr>
              <w:spacing w:before="0" w:after="0"/>
              <w:ind w:hanging="290"/>
              <w:jc w:val="left"/>
              <w:rPr>
                <w:szCs w:val="24"/>
              </w:rPr>
            </w:pPr>
            <w:r w:rsidRPr="005C3B55">
              <w:t>The beneficiary must be an active farmer under Article 9 of Regulation (EU) No 1307/2013.</w:t>
            </w:r>
          </w:p>
          <w:p w:rsidR="00C21266" w:rsidRPr="005C3B55" w:rsidRDefault="00C21266" w:rsidP="006E20B6">
            <w:pPr>
              <w:numPr>
                <w:ilvl w:val="0"/>
                <w:numId w:val="910"/>
              </w:numPr>
              <w:spacing w:before="0" w:after="0"/>
              <w:ind w:hanging="290"/>
              <w:jc w:val="left"/>
              <w:rPr>
                <w:szCs w:val="24"/>
              </w:rPr>
            </w:pPr>
            <w:r w:rsidRPr="005C3B55">
              <w:t>Upon entering the measure, an agricultural holding must have at least 1 ha of agricultural land in an area facing natural or other specific constraints.</w:t>
            </w:r>
          </w:p>
          <w:p w:rsidR="00C21266" w:rsidRPr="005C3B55" w:rsidRDefault="00C21266" w:rsidP="006E20B6">
            <w:pPr>
              <w:numPr>
                <w:ilvl w:val="0"/>
                <w:numId w:val="910"/>
              </w:numPr>
              <w:spacing w:before="0" w:after="240"/>
              <w:ind w:hanging="290"/>
              <w:jc w:val="left"/>
              <w:rPr>
                <w:szCs w:val="24"/>
              </w:rPr>
            </w:pPr>
            <w:r w:rsidRPr="005C3B55">
              <w:t>Beneficiaries have to undertake that they will continue to carry out their agricultural activity in areas determined according to Article 32 of Regulation (EU) No 1305/2013.</w:t>
            </w:r>
          </w:p>
          <w:p w:rsidR="00C21266" w:rsidRPr="005C3B55" w:rsidRDefault="00C21266">
            <w:pPr>
              <w:pStyle w:val="Telobesedila"/>
              <w:rPr>
                <w:lang w:eastAsia="en-GB" w:bidi="en-GB"/>
              </w:rPr>
            </w:pPr>
          </w:p>
        </w:tc>
      </w:tr>
    </w:tbl>
    <w:p w:rsidR="00C21266" w:rsidRPr="005C3B55" w:rsidRDefault="00C21266" w:rsidP="00C21266">
      <w:pPr>
        <w:pStyle w:val="Naslov6"/>
        <w:tabs>
          <w:tab w:val="clear" w:pos="765"/>
        </w:tabs>
        <w:ind w:left="0" w:firstLine="0"/>
        <w:rPr>
          <w:lang w:val="en-GB" w:eastAsia="en-GB" w:bidi="en-GB"/>
        </w:rPr>
      </w:pPr>
      <w:r w:rsidRPr="005C3B55">
        <w:rPr>
          <w:lang w:val="en-GB"/>
        </w:rPr>
        <w:t>Principles regarding the determination of selection criteria</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The application of selection criteria for this sub-measure is not anticipated, as per the second paragraph of Article 49 of Regulation (EU) No 1305//2013.</w:t>
            </w:r>
          </w:p>
          <w:p w:rsidR="00C21266" w:rsidRPr="005C3B55" w:rsidRDefault="00C21266">
            <w:pPr>
              <w:pStyle w:val="Telobesedila"/>
              <w:rPr>
                <w:lang w:eastAsia="en-GB" w:bidi="en-GB"/>
              </w:rPr>
            </w:pPr>
          </w:p>
        </w:tc>
      </w:tr>
    </w:tbl>
    <w:p w:rsidR="00C21266" w:rsidRPr="005C3B55" w:rsidRDefault="00C21266" w:rsidP="00C21266">
      <w:pPr>
        <w:pStyle w:val="Naslov6"/>
        <w:tabs>
          <w:tab w:val="clear" w:pos="765"/>
        </w:tabs>
        <w:ind w:left="0" w:firstLine="0"/>
        <w:rPr>
          <w:lang w:val="en-GB" w:eastAsia="en-GB" w:bidi="en-GB"/>
        </w:rPr>
      </w:pPr>
      <w:r w:rsidRPr="005C3B55">
        <w:rPr>
          <w:lang w:val="en-GB"/>
        </w:rPr>
        <w:t>(Valid) amounts and support rates</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The support is paid in the form of compensatory payment per hectare.</w:t>
            </w:r>
          </w:p>
          <w:p w:rsidR="00C21266" w:rsidRPr="005C3B55" w:rsidRDefault="00C21266">
            <w:pPr>
              <w:spacing w:before="240" w:after="240"/>
              <w:rPr>
                <w:szCs w:val="24"/>
              </w:rPr>
            </w:pPr>
            <w:r w:rsidRPr="005C3B55">
              <w:t xml:space="preserve">The compensatory payment is calculated according to the formula for calculating the ANC payment for every individual agricultural holding. </w:t>
            </w:r>
          </w:p>
          <w:p w:rsidR="00C21266" w:rsidRPr="005C3B55" w:rsidRDefault="00C21266">
            <w:pPr>
              <w:spacing w:before="240" w:after="240"/>
              <w:rPr>
                <w:szCs w:val="24"/>
              </w:rPr>
            </w:pPr>
            <w:r w:rsidRPr="005C3B55">
              <w:t> </w:t>
            </w:r>
          </w:p>
          <w:p w:rsidR="00C21266" w:rsidRPr="005C3B55" w:rsidRDefault="00C21266">
            <w:pPr>
              <w:spacing w:before="240" w:after="240"/>
              <w:rPr>
                <w:szCs w:val="24"/>
              </w:rPr>
            </w:pPr>
            <w:r w:rsidRPr="005C3B55">
              <w:rPr>
                <w:b/>
              </w:rPr>
              <w:t>Formula for calculation of the ANC payment:</w:t>
            </w:r>
          </w:p>
          <w:p w:rsidR="00C21266" w:rsidRPr="005C3B55" w:rsidRDefault="00C21266">
            <w:pPr>
              <w:spacing w:before="240" w:after="240"/>
              <w:rPr>
                <w:szCs w:val="24"/>
              </w:rPr>
            </w:pPr>
            <w:r w:rsidRPr="005C3B55">
              <w:t>ANC payment/ha = fix part + (no. of points of agricultural holding x point value x 0.45)</w:t>
            </w:r>
          </w:p>
          <w:p w:rsidR="00C21266" w:rsidRPr="005C3B55" w:rsidRDefault="00C21266">
            <w:pPr>
              <w:spacing w:before="240" w:after="240"/>
              <w:rPr>
                <w:szCs w:val="24"/>
              </w:rPr>
            </w:pPr>
            <w:r w:rsidRPr="005C3B55">
              <w:t xml:space="preserve">The compensatory payment for ANC comprises two parts: </w:t>
            </w:r>
          </w:p>
          <w:p w:rsidR="00C21266" w:rsidRPr="005C3B55" w:rsidRDefault="00C21266" w:rsidP="006E20B6">
            <w:pPr>
              <w:numPr>
                <w:ilvl w:val="0"/>
                <w:numId w:val="911"/>
              </w:numPr>
              <w:spacing w:before="240" w:after="0"/>
              <w:ind w:hanging="290"/>
              <w:jc w:val="left"/>
              <w:rPr>
                <w:szCs w:val="24"/>
              </w:rPr>
            </w:pPr>
            <w:r w:rsidRPr="005C3B55">
              <w:t xml:space="preserve">The </w:t>
            </w:r>
            <w:r w:rsidRPr="005C3B55">
              <w:rPr>
                <w:b/>
                <w:i/>
              </w:rPr>
              <w:t xml:space="preserve">Fixed part </w:t>
            </w:r>
            <w:r w:rsidRPr="005C3B55">
              <w:t>of the payment is the amount determined according to the difficulty ranking of an agricultural holding and is evident from the table 'Agricultural holding difficulty class';</w:t>
            </w:r>
          </w:p>
          <w:p w:rsidR="00C21266" w:rsidRPr="005C3B55" w:rsidRDefault="00C21266" w:rsidP="006E20B6">
            <w:pPr>
              <w:numPr>
                <w:ilvl w:val="0"/>
                <w:numId w:val="911"/>
              </w:numPr>
              <w:spacing w:before="0" w:after="240"/>
              <w:ind w:hanging="290"/>
              <w:jc w:val="left"/>
              <w:rPr>
                <w:szCs w:val="24"/>
              </w:rPr>
            </w:pPr>
            <w:r w:rsidRPr="005C3B55">
              <w:rPr>
                <w:b/>
                <w:i/>
              </w:rPr>
              <w:t>Variable part</w:t>
            </w:r>
            <w:r w:rsidRPr="005C3B55">
              <w:t xml:space="preserve"> of the payment is calculated for every agricultural holding separately. It is calculated as 0.45 share of the product of number of points prescribed for an individual agricultural holding on the basis of the register of agricultural holdings in ANC and the point value.</w:t>
            </w:r>
          </w:p>
          <w:p w:rsidR="00C21266" w:rsidRPr="005C3B55" w:rsidRDefault="00C21266">
            <w:pPr>
              <w:spacing w:before="240" w:after="240"/>
              <w:rPr>
                <w:szCs w:val="24"/>
              </w:rPr>
            </w:pPr>
            <w:r w:rsidRPr="005C3B55">
              <w:t>The point value is 0.40 EUR.</w:t>
            </w:r>
          </w:p>
          <w:p w:rsidR="00C21266" w:rsidRPr="005C3B55" w:rsidRDefault="00C21266">
            <w:pPr>
              <w:spacing w:before="240" w:after="240"/>
              <w:rPr>
                <w:szCs w:val="24"/>
              </w:rPr>
            </w:pPr>
            <w:r w:rsidRPr="005C3B55">
              <w:t>The number of agricultural holding points is derived from the register of agricultural holdings in ANC in which all agricultural holdings with agricultural land in ANC are included. The number of points reflects the differences in production costs per unit of land between the areas facing constraining factors and areas without constraints for agricultural production.</w:t>
            </w:r>
          </w:p>
          <w:p w:rsidR="00C21266" w:rsidRPr="005C3B55" w:rsidRDefault="00C21266">
            <w:pPr>
              <w:spacing w:before="240" w:after="240"/>
              <w:rPr>
                <w:szCs w:val="24"/>
              </w:rPr>
            </w:pPr>
            <w:r w:rsidRPr="005C3B55">
              <w:t>In determining the highest and the lowest amount of payment, the limitations on support amounts from Annex II to Regulation (EU) No 1305/2013 are taken into account.</w:t>
            </w:r>
          </w:p>
          <w:p w:rsidR="00C21266" w:rsidRPr="005C3B55" w:rsidRDefault="00C21266">
            <w:pPr>
              <w:spacing w:before="240" w:after="240"/>
              <w:rPr>
                <w:szCs w:val="24"/>
              </w:rPr>
            </w:pPr>
            <w:r w:rsidRPr="005C3B55">
              <w:t>The maximum amount of payments in mountainous areas is 450 EUR/ha. If the calculated amount of compensatory payments exceeds that limit, the amount of payment to the respective agricultural holding is reduced so that the maximum amount of payment is 450 EUR/ha for an agricultural holding in a mountainous area.</w:t>
            </w:r>
          </w:p>
          <w:p w:rsidR="00C21266" w:rsidRPr="005C3B55" w:rsidRDefault="00C21266">
            <w:pPr>
              <w:spacing w:before="240" w:after="240"/>
              <w:rPr>
                <w:szCs w:val="24"/>
              </w:rPr>
            </w:pPr>
            <w:r w:rsidRPr="005C3B55">
              <w:t>The minimum payment for a hectare is 25 EUR/ha.</w:t>
            </w:r>
          </w:p>
          <w:p w:rsidR="00C21266" w:rsidRPr="005C3B55" w:rsidRDefault="00C21266">
            <w:pPr>
              <w:spacing w:before="240" w:after="240"/>
              <w:rPr>
                <w:szCs w:val="24"/>
              </w:rPr>
            </w:pPr>
            <w:r w:rsidRPr="005C3B55">
              <w:t xml:space="preserve">The determination of compensatory payment is adequate and precise and prepared on the basis of an adequate, just and verifiable calculation and confirmed by an independent authority. </w:t>
            </w:r>
          </w:p>
          <w:p w:rsidR="00C21266" w:rsidRPr="005C3B55" w:rsidRDefault="00C21266">
            <w:pPr>
              <w:spacing w:before="240" w:after="240"/>
              <w:rPr>
                <w:szCs w:val="24"/>
              </w:rPr>
            </w:pPr>
            <w:r w:rsidRPr="005C3B55">
              <w:t>The calculation of the compensatory payments is presented in detail in the Chapter Methodology for the calculation of the amount of support within the scope of this sub-measure.</w:t>
            </w:r>
          </w:p>
          <w:p w:rsidR="00C21266" w:rsidRPr="005C3B55" w:rsidRDefault="00C21266">
            <w:pPr>
              <w:pStyle w:val="Telobesedila"/>
            </w:pPr>
          </w:p>
          <w:p w:rsidR="00C21266" w:rsidRPr="005C3B55" w:rsidRDefault="0012246E">
            <w:pPr>
              <w:pStyle w:val="Telobesedila3"/>
              <w:jc w:val="center"/>
            </w:pPr>
            <w:r w:rsidRPr="005C3B55">
              <w:rPr>
                <w:noProof/>
                <w:lang w:val="sl-SI"/>
              </w:rPr>
              <w:drawing>
                <wp:inline distT="0" distB="0" distL="0" distR="0">
                  <wp:extent cx="4191000" cy="1333500"/>
                  <wp:effectExtent l="0" t="0" r="0" b="0"/>
                  <wp:docPr id="3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191000" cy="1333500"/>
                          </a:xfrm>
                          <a:prstGeom prst="rect">
                            <a:avLst/>
                          </a:prstGeom>
                          <a:noFill/>
                          <a:ln>
                            <a:noFill/>
                          </a:ln>
                        </pic:spPr>
                      </pic:pic>
                    </a:graphicData>
                  </a:graphic>
                </wp:inline>
              </w:drawing>
            </w:r>
          </w:p>
          <w:p w:rsidR="00C21266" w:rsidRPr="005C3B55" w:rsidRDefault="00C21266">
            <w:pPr>
              <w:pStyle w:val="Noga"/>
              <w:spacing w:after="120"/>
              <w:jc w:val="center"/>
            </w:pPr>
            <w:r w:rsidRPr="005C3B55">
              <w:t>Difficulty class of agricultural holding</w:t>
            </w:r>
          </w:p>
          <w:p w:rsidR="00C21266" w:rsidRPr="005C3B55" w:rsidRDefault="00C21266">
            <w:pPr>
              <w:pStyle w:val="Noga"/>
              <w:jc w:val="center"/>
              <w:rPr>
                <w:lang w:eastAsia="en-GB" w:bidi="en-GB"/>
              </w:rPr>
            </w:pPr>
          </w:p>
        </w:tc>
      </w:tr>
    </w:tbl>
    <w:p w:rsidR="00C21266" w:rsidRPr="005C3B55" w:rsidRDefault="00C21266" w:rsidP="00C21266">
      <w:pPr>
        <w:pStyle w:val="Naslov6"/>
        <w:tabs>
          <w:tab w:val="clear" w:pos="765"/>
        </w:tabs>
        <w:ind w:left="0" w:firstLine="0"/>
        <w:rPr>
          <w:lang w:val="en-GB" w:eastAsia="en-GB" w:bidi="en-GB"/>
        </w:rPr>
      </w:pPr>
      <w:r w:rsidRPr="005C3B55">
        <w:rPr>
          <w:lang w:val="en-GB"/>
        </w:rPr>
        <w:t>Verifiability and possibility of control of measures and/or type of operations</w:t>
      </w:r>
    </w:p>
    <w:p w:rsidR="00C21266" w:rsidRPr="005C3B55" w:rsidRDefault="00C21266" w:rsidP="00C21266">
      <w:pPr>
        <w:pStyle w:val="Naslov7"/>
        <w:tabs>
          <w:tab w:val="clear" w:pos="765"/>
        </w:tabs>
        <w:ind w:left="0" w:firstLine="0"/>
        <w:rPr>
          <w:lang w:val="en-GB"/>
        </w:rPr>
      </w:pPr>
      <w:r w:rsidRPr="005C3B55">
        <w:rPr>
          <w:lang w:val="en-GB"/>
        </w:rPr>
        <w:t>Risks in the implementation of the measure</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rPr>
                <w:b/>
              </w:rPr>
              <w:t>R5: Requirements which are difficult to verify and/or control</w:t>
            </w:r>
          </w:p>
          <w:p w:rsidR="00C21266" w:rsidRPr="005C3B55" w:rsidRDefault="00C21266">
            <w:pPr>
              <w:spacing w:before="240" w:after="240"/>
              <w:rPr>
                <w:szCs w:val="24"/>
              </w:rPr>
            </w:pPr>
            <w:r w:rsidRPr="005C3B55">
              <w:t>No major risks were detected within this sub-measure. The compensatory payment mainly depends on the eligible area of agricultural land, classification of an agricultural holding into a difficulty class and on the individual number of difficulty points for each agricultural holding. Agricultural land is preliminarily regulated by the beneficiary in the register of agricultural holdings according to the provision regulating the application and records of agricultural land. The data on the classification of agricultural land into difficulty classes are kept in computerised form at Ministry of Agriculture, Forestry and Food in the form of a daily updated register.</w:t>
            </w:r>
          </w:p>
          <w:p w:rsidR="00C21266" w:rsidRPr="005C3B55" w:rsidRDefault="00C21266">
            <w:pPr>
              <w:spacing w:before="240" w:after="240"/>
              <w:rPr>
                <w:szCs w:val="24"/>
              </w:rPr>
            </w:pPr>
            <w:r w:rsidRPr="005C3B55">
              <w:rPr>
                <w:b/>
              </w:rPr>
              <w:t>R6: General conditions for implementation</w:t>
            </w:r>
          </w:p>
          <w:p w:rsidR="00C21266" w:rsidRPr="005C3B55" w:rsidRDefault="00C21266">
            <w:pPr>
              <w:spacing w:before="240" w:after="240"/>
              <w:rPr>
                <w:szCs w:val="24"/>
              </w:rPr>
            </w:pPr>
            <w:r w:rsidRPr="005C3B55">
              <w:t>No major risks were detected within this sub-measure. The automatic administrative acquisition of agricultural land at the individual agricultural holding is executed at the entry of claims for compensatory payments conducted in an electronic form, while the data on the classification of agricultural holdings in a difficulty class and the number of difficulty points for each agricultural holding is also acquired automatically.  The untimely adoption of provisions regulating ANC payments may present a risk. Poor information and awareness on the measure may also be considered as a risk, particularly in the period when the changes are being implemented.</w:t>
            </w:r>
          </w:p>
          <w:p w:rsidR="00C21266" w:rsidRPr="005C3B55" w:rsidRDefault="00C21266">
            <w:pPr>
              <w:spacing w:before="240" w:after="240"/>
              <w:rPr>
                <w:szCs w:val="24"/>
              </w:rPr>
            </w:pPr>
            <w:r w:rsidRPr="005C3B55">
              <w:rPr>
                <w:b/>
              </w:rPr>
              <w:t>R8: IT systems</w:t>
            </w:r>
          </w:p>
          <w:p w:rsidR="00C21266" w:rsidRPr="005C3B55" w:rsidRDefault="00C21266">
            <w:pPr>
              <w:spacing w:before="240" w:after="240"/>
              <w:rPr>
                <w:szCs w:val="24"/>
              </w:rPr>
            </w:pPr>
            <w:r w:rsidRPr="005C3B55">
              <w:t>There is a risk of an inadequate IT system that is not advanced and does provide sufficient support.</w:t>
            </w:r>
          </w:p>
          <w:p w:rsidR="00C21266" w:rsidRPr="005C3B55" w:rsidRDefault="00C21266">
            <w:pPr>
              <w:spacing w:before="240" w:after="240"/>
              <w:rPr>
                <w:szCs w:val="24"/>
              </w:rPr>
            </w:pPr>
            <w:r w:rsidRPr="005C3B55">
              <w:rPr>
                <w:b/>
              </w:rPr>
              <w:t>R9: Requests for payment</w:t>
            </w:r>
          </w:p>
          <w:p w:rsidR="00C21266" w:rsidRPr="005C3B55" w:rsidRDefault="00C21266">
            <w:pPr>
              <w:spacing w:before="240" w:after="240"/>
              <w:rPr>
                <w:szCs w:val="24"/>
              </w:rPr>
            </w:pPr>
            <w:r w:rsidRPr="005C3B55">
              <w:t>No major risks were detected within this sub-measure. Beneficiaries submit an application for the ANC measure within the scope of submitting a joint single application each year between February and May. The clearing of received applications is carried out by the Agency of the Republic of Slovenia for Agricultural Markets and Rural Development at the end of each year or at the beginning of the next year for applications submitted in the current year or previous year. There is a risk that the payment of the application will not start in the current but only in the next year due to budget illiquidity.</w:t>
            </w:r>
          </w:p>
          <w:p w:rsidR="00C21266" w:rsidRPr="005C3B55" w:rsidRDefault="00C21266">
            <w:pPr>
              <w:pStyle w:val="Telobesedila"/>
              <w:rPr>
                <w:lang w:eastAsia="en-GB" w:bidi="en-GB"/>
              </w:rPr>
            </w:pPr>
          </w:p>
        </w:tc>
      </w:tr>
    </w:tbl>
    <w:p w:rsidR="00C21266" w:rsidRPr="005C3B55" w:rsidRDefault="00C21266" w:rsidP="00C21266">
      <w:pPr>
        <w:pStyle w:val="Naslov7"/>
        <w:tabs>
          <w:tab w:val="clear" w:pos="765"/>
        </w:tabs>
        <w:ind w:left="0" w:firstLine="0"/>
        <w:rPr>
          <w:lang w:val="en-GB" w:eastAsia="en-GB" w:bidi="en-GB"/>
        </w:rPr>
      </w:pPr>
      <w:r w:rsidRPr="005C3B55">
        <w:rPr>
          <w:lang w:val="en-GB"/>
        </w:rPr>
        <w:t>Mitigation measures</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rPr>
                <w:b/>
              </w:rPr>
              <w:t>R5: Requirements which are difficult to verify and/or control</w:t>
            </w:r>
          </w:p>
          <w:p w:rsidR="00C21266" w:rsidRPr="005C3B55" w:rsidRDefault="00C21266">
            <w:pPr>
              <w:spacing w:before="240" w:after="240"/>
              <w:rPr>
                <w:szCs w:val="24"/>
              </w:rPr>
            </w:pPr>
            <w:r w:rsidRPr="005C3B55">
              <w:t>A farmer registers agricultural land in the Geographic Information System on the basis of the ortophoto images. However, the registered surface must not exceed the largest determined surface from the comparison capturing the use of agricultural land which is an official record in Slovenia. If the registered surface is larger, the field inspection is carried out for the respective surface. Only if the field inspection indicates a true agricultural use (e.g. in case of an obsolete ortophoto image), may this surface be determined as justified.</w:t>
            </w:r>
          </w:p>
          <w:p w:rsidR="00C21266" w:rsidRPr="005C3B55" w:rsidRDefault="00C21266">
            <w:pPr>
              <w:spacing w:before="240" w:after="240"/>
              <w:rPr>
                <w:szCs w:val="24"/>
              </w:rPr>
            </w:pPr>
            <w:r w:rsidRPr="005C3B55">
              <w:rPr>
                <w:b/>
              </w:rPr>
              <w:t>R6: General conditions for implementation</w:t>
            </w:r>
          </w:p>
          <w:p w:rsidR="00C21266" w:rsidRPr="005C3B55" w:rsidRDefault="00C21266">
            <w:pPr>
              <w:spacing w:before="240" w:after="240"/>
              <w:rPr>
                <w:szCs w:val="24"/>
              </w:rPr>
            </w:pPr>
            <w:r w:rsidRPr="005C3B55">
              <w:t>If the size of an agricultural holding in ANC is less than 1 ha of agricultural land upon the submission of the application, the application is rejected.</w:t>
            </w:r>
          </w:p>
          <w:p w:rsidR="00C21266" w:rsidRPr="005C3B55" w:rsidRDefault="00C21266">
            <w:pPr>
              <w:spacing w:before="240" w:after="240"/>
              <w:rPr>
                <w:szCs w:val="24"/>
              </w:rPr>
            </w:pPr>
            <w:r w:rsidRPr="005C3B55">
              <w:rPr>
                <w:b/>
              </w:rPr>
              <w:t>R8: IT systems</w:t>
            </w:r>
          </w:p>
          <w:p w:rsidR="00C21266" w:rsidRPr="005C3B55" w:rsidRDefault="00C21266">
            <w:pPr>
              <w:spacing w:before="240" w:after="240"/>
              <w:rPr>
                <w:szCs w:val="24"/>
              </w:rPr>
            </w:pPr>
            <w:r w:rsidRPr="005C3B55">
              <w:t xml:space="preserve">IT systems operating with the ANC data are simple and robust and indicate the necessary level of reliability. They were also examined by internal revision in the recent years. The operation controls were carried out upon establishing the registers. </w:t>
            </w:r>
          </w:p>
          <w:p w:rsidR="00C21266" w:rsidRPr="005C3B55" w:rsidRDefault="00C21266">
            <w:pPr>
              <w:spacing w:before="240" w:after="240"/>
              <w:rPr>
                <w:szCs w:val="24"/>
              </w:rPr>
            </w:pPr>
            <w:r w:rsidRPr="005C3B55">
              <w:rPr>
                <w:b/>
              </w:rPr>
              <w:t>R9: Requests for payment</w:t>
            </w:r>
          </w:p>
          <w:p w:rsidR="00C21266" w:rsidRPr="005C3B55" w:rsidRDefault="00C21266">
            <w:pPr>
              <w:spacing w:before="240" w:after="240"/>
              <w:rPr>
                <w:szCs w:val="24"/>
              </w:rPr>
            </w:pPr>
            <w:r w:rsidRPr="005C3B55">
              <w:t>The applications are submitted electronically, followed by processing within the scope of the information system at the Agency of the Republic of Slovenia for Agricultural Markets and Rural Development. The adequate planning of budgetary outlays and informing of beneficiaries on the payments time-line are required.</w:t>
            </w:r>
          </w:p>
          <w:p w:rsidR="00C21266" w:rsidRPr="005C3B55" w:rsidRDefault="00C21266">
            <w:pPr>
              <w:spacing w:before="240" w:after="240"/>
              <w:rPr>
                <w:szCs w:val="24"/>
              </w:rPr>
            </w:pPr>
            <w:r w:rsidRPr="005C3B55">
              <w:t> </w:t>
            </w:r>
          </w:p>
          <w:p w:rsidR="00C21266" w:rsidRPr="005C3B55" w:rsidRDefault="00C21266">
            <w:pPr>
              <w:pStyle w:val="Telobesedila"/>
              <w:rPr>
                <w:lang w:eastAsia="en-GB" w:bidi="en-GB"/>
              </w:rPr>
            </w:pPr>
          </w:p>
        </w:tc>
      </w:tr>
    </w:tbl>
    <w:p w:rsidR="00C21266" w:rsidRPr="005C3B55" w:rsidRDefault="00C21266" w:rsidP="00C21266">
      <w:pPr>
        <w:pStyle w:val="Naslov7"/>
        <w:tabs>
          <w:tab w:val="clear" w:pos="765"/>
        </w:tabs>
        <w:ind w:left="0" w:firstLine="0"/>
        <w:rPr>
          <w:lang w:val="en-GB" w:eastAsia="en-GB" w:bidi="en-GB"/>
        </w:rPr>
      </w:pPr>
      <w:r w:rsidRPr="005C3B55">
        <w:rPr>
          <w:lang w:val="en-GB"/>
        </w:rPr>
        <w:t>General assessment of the measure</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The sub-measure has already proven a successful instrument of agricultural policy and has an important impact on the further level of cultivation of agricultural land which would otherwise probably be abandoned and overgrown and thus its level of biodiversity reduced.</w:t>
            </w:r>
          </w:p>
          <w:p w:rsidR="00C21266" w:rsidRPr="005C3B55" w:rsidRDefault="00C21266">
            <w:pPr>
              <w:spacing w:before="240" w:after="240"/>
              <w:rPr>
                <w:szCs w:val="24"/>
              </w:rPr>
            </w:pPr>
            <w:r w:rsidRPr="005C3B55">
              <w:t>The sub-measure is simple to implement and is relatively undemanding in terms of administration. The data used for the calculation of the compensatory payment are acquired from official registers or the Geographic Information System measurements without a subjective impact of people. The eligible surfaces used in this sub-measure are a part of the integrated administrative system (IAKS).</w:t>
            </w:r>
          </w:p>
          <w:p w:rsidR="00C21266" w:rsidRPr="005C3B55" w:rsidRDefault="00C21266">
            <w:pPr>
              <w:pStyle w:val="Telobesedila"/>
              <w:rPr>
                <w:lang w:eastAsia="en-GB" w:bidi="en-GB"/>
              </w:rPr>
            </w:pPr>
          </w:p>
        </w:tc>
      </w:tr>
    </w:tbl>
    <w:p w:rsidR="00C21266" w:rsidRPr="005C3B55" w:rsidRDefault="00C21266" w:rsidP="00C21266">
      <w:pPr>
        <w:pStyle w:val="Naslov6"/>
        <w:tabs>
          <w:tab w:val="clear" w:pos="765"/>
        </w:tabs>
        <w:ind w:left="0" w:firstLine="0"/>
        <w:rPr>
          <w:lang w:val="en-GB" w:eastAsia="en-GB" w:bidi="en-GB"/>
        </w:rPr>
      </w:pPr>
      <w:r w:rsidRPr="005C3B55">
        <w:rPr>
          <w:lang w:val="en-GB"/>
        </w:rPr>
        <w:t>Methodology for calculating support amount, where relevant</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The methodology for calculating the amount of support in the sub-measure Compensatory payments in mountainous areas took into account additional (higher) costs and loss of revenue (smaller harvest) in mountainous areas compared to agricultural activities outside ANC areas.</w:t>
            </w:r>
          </w:p>
          <w:p w:rsidR="00C21266" w:rsidRPr="005C3B55" w:rsidRDefault="00C21266">
            <w:pPr>
              <w:spacing w:before="240" w:after="240"/>
              <w:rPr>
                <w:szCs w:val="24"/>
              </w:rPr>
            </w:pPr>
            <w:r w:rsidRPr="005C3B55">
              <w:t xml:space="preserve">The register (scoring) of agricultural holdings in ANC was created on precisely define the agricultural conditions for every individual agricultural holding. </w:t>
            </w:r>
          </w:p>
          <w:p w:rsidR="00C21266" w:rsidRPr="005C3B55" w:rsidRDefault="00C21266">
            <w:pPr>
              <w:spacing w:before="240" w:after="240"/>
              <w:rPr>
                <w:szCs w:val="24"/>
              </w:rPr>
            </w:pPr>
            <w:r w:rsidRPr="005C3B55">
              <w:t>The methodological basis, definition of the model content and implementation of applicative calculation took into account that the number of points and resulting amount of required compensatory payments is a reflection of differences in production costs per unit of surface in ANC and in areas without constraints on agricultural production.</w:t>
            </w:r>
          </w:p>
          <w:p w:rsidR="00C21266" w:rsidRPr="005C3B55" w:rsidRDefault="00C21266">
            <w:pPr>
              <w:spacing w:before="240" w:after="240"/>
              <w:rPr>
                <w:szCs w:val="24"/>
              </w:rPr>
            </w:pPr>
            <w:r w:rsidRPr="005C3B55">
              <w:t>The preparation of the methodology for the register of agricultural holdings in ANC drawn up by the Agricultural Institute of Slovenia took into account the following criteria:</w:t>
            </w:r>
          </w:p>
          <w:p w:rsidR="00C21266" w:rsidRPr="005C3B55" w:rsidRDefault="00C21266" w:rsidP="006E20B6">
            <w:pPr>
              <w:numPr>
                <w:ilvl w:val="0"/>
                <w:numId w:val="912"/>
              </w:numPr>
              <w:spacing w:before="240" w:after="0"/>
              <w:ind w:hanging="290"/>
              <w:jc w:val="left"/>
              <w:rPr>
                <w:szCs w:val="24"/>
              </w:rPr>
            </w:pPr>
            <w:r w:rsidRPr="005C3B55">
              <w:rPr>
                <w:u w:val="single"/>
              </w:rPr>
              <w:t>Standard:</w:t>
            </w:r>
            <w:r w:rsidRPr="005C3B55">
              <w:t xml:space="preserve"> soil conditions, altitude, incline, the size of graphical agricultural units of a farm holding and</w:t>
            </w:r>
          </w:p>
          <w:p w:rsidR="00C21266" w:rsidRPr="005C3B55" w:rsidRDefault="00C21266" w:rsidP="006E20B6">
            <w:pPr>
              <w:numPr>
                <w:ilvl w:val="0"/>
                <w:numId w:val="912"/>
              </w:numPr>
              <w:spacing w:before="0" w:after="240"/>
              <w:ind w:hanging="290"/>
              <w:jc w:val="left"/>
              <w:rPr>
                <w:szCs w:val="24"/>
              </w:rPr>
            </w:pPr>
            <w:r w:rsidRPr="005C3B55">
              <w:rPr>
                <w:u w:val="single"/>
              </w:rPr>
              <w:t>Regionally specific:</w:t>
            </w:r>
            <w:r w:rsidRPr="005C3B55">
              <w:t xml:space="preserve"> karst surface, floods, strong winds, erosion. </w:t>
            </w:r>
          </w:p>
          <w:p w:rsidR="00C21266" w:rsidRPr="005C3B55" w:rsidRDefault="00C21266">
            <w:pPr>
              <w:spacing w:before="240" w:after="240"/>
              <w:rPr>
                <w:szCs w:val="24"/>
              </w:rPr>
            </w:pPr>
            <w:r w:rsidRPr="005C3B55">
              <w:t>Model calculations of the Agricultural Institute of Slovenia were used for the analysis, which helped to evaluate the difference in costs for different crops. In this respect:</w:t>
            </w:r>
          </w:p>
          <w:p w:rsidR="00C21266" w:rsidRPr="005C3B55" w:rsidRDefault="00C21266" w:rsidP="006E20B6">
            <w:pPr>
              <w:numPr>
                <w:ilvl w:val="0"/>
                <w:numId w:val="913"/>
              </w:numPr>
              <w:spacing w:before="240" w:after="0"/>
              <w:ind w:hanging="290"/>
              <w:jc w:val="left"/>
              <w:rPr>
                <w:szCs w:val="24"/>
              </w:rPr>
            </w:pPr>
            <w:r w:rsidRPr="005C3B55">
              <w:t xml:space="preserve">representative of individual crops (wheat, grain maize, potato and forage hay) were selected for fields and </w:t>
            </w:r>
          </w:p>
          <w:p w:rsidR="00C21266" w:rsidRPr="005C3B55" w:rsidRDefault="00C21266" w:rsidP="006E20B6">
            <w:pPr>
              <w:numPr>
                <w:ilvl w:val="0"/>
                <w:numId w:val="913"/>
              </w:numPr>
              <w:spacing w:before="0" w:after="240"/>
              <w:ind w:hanging="290"/>
              <w:jc w:val="left"/>
              <w:rPr>
                <w:szCs w:val="24"/>
              </w:rPr>
            </w:pPr>
            <w:r w:rsidRPr="005C3B55">
              <w:t>forage gathering in a form of hay and in a form of pasture for grassland.</w:t>
            </w:r>
          </w:p>
          <w:p w:rsidR="00C21266" w:rsidRPr="005C3B55" w:rsidRDefault="00C21266">
            <w:pPr>
              <w:spacing w:before="240" w:after="240"/>
              <w:rPr>
                <w:szCs w:val="24"/>
              </w:rPr>
            </w:pPr>
            <w:r w:rsidRPr="005C3B55">
              <w:t>The basic spatial unit for which the simulation calculation of number of points was conducted is a graphic agricultural unit of a farm holding (GERK). The average number of points of an individual GERK is calculated on the basis of differences in costs and weightings of individual crops. These are defined on the basis of the presumed uniform rotation crops and rational structure of grassland use, which initially takes into account an important share of pasture. The final result of the analysis in terms of individual use (field of grassland GERK) are calculated points determined by observed criteria.</w:t>
            </w:r>
          </w:p>
          <w:p w:rsidR="00C21266" w:rsidRPr="005C3B55" w:rsidRDefault="00C21266">
            <w:pPr>
              <w:spacing w:before="240" w:after="240"/>
              <w:rPr>
                <w:szCs w:val="24"/>
              </w:rPr>
            </w:pPr>
            <w:r w:rsidRPr="005C3B55">
              <w:t>The average number of points at the farm level is calculated with the weighted average of points of individual units, whereby the surface of an individual GERK is used for weighing.</w:t>
            </w:r>
          </w:p>
          <w:p w:rsidR="00C21266" w:rsidRPr="005C3B55" w:rsidRDefault="00C21266">
            <w:pPr>
              <w:spacing w:before="240" w:after="240"/>
              <w:rPr>
                <w:szCs w:val="24"/>
              </w:rPr>
            </w:pPr>
            <w:r w:rsidRPr="005C3B55">
              <w:t>All agricultural holdings with the agricultural land in ANC are included in the register of agricultural holdings in ANC.</w:t>
            </w:r>
          </w:p>
          <w:p w:rsidR="00C21266" w:rsidRPr="005C3B55" w:rsidRDefault="00C21266">
            <w:pPr>
              <w:spacing w:before="240" w:after="240"/>
              <w:rPr>
                <w:szCs w:val="24"/>
              </w:rPr>
            </w:pPr>
            <w:r w:rsidRPr="005C3B55">
              <w:t>By ranking agricultural holdings in ANC with points, the constraining factors relating to agricultural land are well evaluated. However, the constraints that the agricultural holding is under due to its location in the region or local community, remoteness and accessibility and several other characteristics cannot be evaluated. These characteristics are well grouped in current difficulty classes, which, apart from points of agricultural holdings in ANC, are included in the formula for calculating the compensatory payment per hectare.</w:t>
            </w:r>
          </w:p>
          <w:p w:rsidR="00C21266" w:rsidRPr="005C3B55" w:rsidRDefault="00C21266">
            <w:pPr>
              <w:spacing w:before="240" w:after="240"/>
              <w:rPr>
                <w:szCs w:val="24"/>
              </w:rPr>
            </w:pPr>
            <w:r w:rsidRPr="005C3B55">
              <w:t>The compensatory payment per hectare includes:</w:t>
            </w:r>
          </w:p>
          <w:p w:rsidR="00C21266" w:rsidRPr="005C3B55" w:rsidRDefault="00C21266">
            <w:pPr>
              <w:spacing w:before="240" w:after="240"/>
              <w:rPr>
                <w:szCs w:val="24"/>
              </w:rPr>
            </w:pPr>
            <w:r w:rsidRPr="005C3B55">
              <w:t>- FIXED PART of ANC payment which is presented with specific amounts for individual difficulty class of agricultural holdings and</w:t>
            </w:r>
          </w:p>
          <w:p w:rsidR="00C21266" w:rsidRPr="005C3B55" w:rsidRDefault="00C21266">
            <w:pPr>
              <w:spacing w:before="240" w:after="240"/>
              <w:rPr>
                <w:szCs w:val="24"/>
              </w:rPr>
            </w:pPr>
            <w:r w:rsidRPr="005C3B55">
              <w:t>- VARIABLE PART of ANC payment.</w:t>
            </w:r>
          </w:p>
          <w:p w:rsidR="00C21266" w:rsidRPr="005C3B55" w:rsidRDefault="00C21266">
            <w:pPr>
              <w:spacing w:before="240" w:after="240"/>
              <w:rPr>
                <w:szCs w:val="24"/>
              </w:rPr>
            </w:pPr>
            <w:r w:rsidRPr="005C3B55">
              <w:t>Additional data related to the description of methodology for the calculation of the amount of support are included within the scope of the Chapter Methodology for the calculation of the amount of support at the level of the whole measure.</w:t>
            </w:r>
          </w:p>
          <w:p w:rsidR="00C21266" w:rsidRPr="005C3B55" w:rsidRDefault="00C21266">
            <w:pPr>
              <w:spacing w:before="240" w:after="240"/>
              <w:rPr>
                <w:szCs w:val="24"/>
              </w:rPr>
            </w:pPr>
            <w:r w:rsidRPr="005C3B55">
              <w:t>Since the support for ANC in the scope of the first pillar in Slovenia is not foreseen, the calculation also does not observe the payments according to Chapter 3 of Title III of Regulation (EU) No 1307/2013.</w:t>
            </w:r>
          </w:p>
          <w:p w:rsidR="00C21266" w:rsidRPr="005C3B55" w:rsidRDefault="00C21266">
            <w:pPr>
              <w:spacing w:before="240" w:after="240"/>
              <w:rPr>
                <w:szCs w:val="24"/>
              </w:rPr>
            </w:pPr>
            <w:r w:rsidRPr="005C3B55">
              <w:t> </w:t>
            </w:r>
          </w:p>
          <w:p w:rsidR="00C21266" w:rsidRPr="005C3B55" w:rsidRDefault="00C21266">
            <w:pPr>
              <w:spacing w:before="240" w:after="240"/>
              <w:rPr>
                <w:szCs w:val="24"/>
              </w:rPr>
            </w:pPr>
            <w:r w:rsidRPr="005C3B55">
              <w:t> </w:t>
            </w:r>
          </w:p>
          <w:p w:rsidR="00C21266" w:rsidRPr="005C3B55" w:rsidRDefault="00C21266">
            <w:pPr>
              <w:spacing w:before="240" w:after="240"/>
              <w:rPr>
                <w:szCs w:val="24"/>
              </w:rPr>
            </w:pPr>
            <w:r w:rsidRPr="005C3B55">
              <w:t> </w:t>
            </w:r>
          </w:p>
          <w:p w:rsidR="00C21266" w:rsidRPr="005C3B55" w:rsidRDefault="00C21266">
            <w:pPr>
              <w:spacing w:before="240" w:after="240"/>
              <w:rPr>
                <w:szCs w:val="24"/>
              </w:rPr>
            </w:pPr>
            <w:r w:rsidRPr="005C3B55">
              <w:t> </w:t>
            </w:r>
          </w:p>
          <w:p w:rsidR="00C21266" w:rsidRPr="005C3B55" w:rsidRDefault="00C21266">
            <w:pPr>
              <w:pStyle w:val="Telobesedila"/>
              <w:rPr>
                <w:lang w:eastAsia="en-GB" w:bidi="en-GB"/>
              </w:rPr>
            </w:pPr>
          </w:p>
        </w:tc>
      </w:tr>
    </w:tbl>
    <w:p w:rsidR="00C21266" w:rsidRPr="005C3B55" w:rsidRDefault="00C21266" w:rsidP="00C21266">
      <w:pPr>
        <w:pStyle w:val="Naslov6"/>
        <w:tabs>
          <w:tab w:val="clear" w:pos="765"/>
        </w:tabs>
        <w:ind w:left="0" w:firstLine="0"/>
        <w:rPr>
          <w:lang w:val="en-GB" w:eastAsia="en-GB" w:bidi="en-GB"/>
        </w:rPr>
      </w:pPr>
      <w:r w:rsidRPr="005C3B55">
        <w:rPr>
          <w:lang w:val="en-GB"/>
        </w:rPr>
        <w:t>Information that relates specifically to the operation</w:t>
      </w:r>
    </w:p>
    <w:p w:rsidR="00C21266" w:rsidRPr="005C3B55" w:rsidRDefault="00C21266" w:rsidP="00C21266">
      <w:r w:rsidRPr="005C3B55">
        <w:t>The definition of the threshold of surface per agricultural holding on the basis of which the Member state calculates the gradual reduction of payments</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As per Point 4 of Article 31 of Regulation (EU) No 1305/2013 the gradual decrease of compensatory payments is provided.</w:t>
            </w:r>
          </w:p>
          <w:p w:rsidR="00C21266" w:rsidRPr="005C3B55" w:rsidRDefault="00C21266">
            <w:pPr>
              <w:spacing w:before="240" w:after="240"/>
              <w:rPr>
                <w:szCs w:val="24"/>
              </w:rPr>
            </w:pPr>
            <w:r w:rsidRPr="005C3B55">
              <w:t>Due to landed property fragmentation in Slovenia, economy of scale begins to be effective at 70 hectares of agricultural land in areas with natural or other specific constraints. The gradual decrease of payments is thus defined in the following manner:</w:t>
            </w:r>
          </w:p>
          <w:p w:rsidR="00C21266" w:rsidRPr="005C3B55" w:rsidRDefault="00C21266" w:rsidP="006E20B6">
            <w:pPr>
              <w:numPr>
                <w:ilvl w:val="0"/>
                <w:numId w:val="914"/>
              </w:numPr>
              <w:spacing w:before="240" w:after="0"/>
              <w:ind w:hanging="290"/>
              <w:jc w:val="left"/>
              <w:rPr>
                <w:szCs w:val="24"/>
              </w:rPr>
            </w:pPr>
            <w:r w:rsidRPr="005C3B55">
              <w:t>to 70 ha the payment is 100%;</w:t>
            </w:r>
          </w:p>
          <w:p w:rsidR="00C21266" w:rsidRPr="005C3B55" w:rsidRDefault="00C21266" w:rsidP="006E20B6">
            <w:pPr>
              <w:numPr>
                <w:ilvl w:val="0"/>
                <w:numId w:val="914"/>
              </w:numPr>
              <w:spacing w:before="0" w:after="0"/>
              <w:ind w:hanging="290"/>
              <w:jc w:val="left"/>
              <w:rPr>
                <w:szCs w:val="24"/>
              </w:rPr>
            </w:pPr>
            <w:r w:rsidRPr="005C3B55">
              <w:t>above 70 and to 80 ha the payment is 85%;</w:t>
            </w:r>
          </w:p>
          <w:p w:rsidR="00C21266" w:rsidRPr="005C3B55" w:rsidRDefault="00C21266" w:rsidP="006E20B6">
            <w:pPr>
              <w:numPr>
                <w:ilvl w:val="0"/>
                <w:numId w:val="914"/>
              </w:numPr>
              <w:spacing w:before="0" w:after="0"/>
              <w:ind w:hanging="290"/>
              <w:jc w:val="left"/>
              <w:rPr>
                <w:szCs w:val="24"/>
              </w:rPr>
            </w:pPr>
            <w:r w:rsidRPr="005C3B55">
              <w:t>above 80 and to 90 ha the payment is 70%;</w:t>
            </w:r>
          </w:p>
          <w:p w:rsidR="00C21266" w:rsidRPr="005C3B55" w:rsidRDefault="00C21266" w:rsidP="006E20B6">
            <w:pPr>
              <w:numPr>
                <w:ilvl w:val="0"/>
                <w:numId w:val="914"/>
              </w:numPr>
              <w:spacing w:before="0" w:after="0"/>
              <w:ind w:hanging="290"/>
              <w:jc w:val="left"/>
              <w:rPr>
                <w:szCs w:val="24"/>
              </w:rPr>
            </w:pPr>
            <w:r w:rsidRPr="005C3B55">
              <w:t>above 90 and to 100 ha the payment is 55%; and</w:t>
            </w:r>
          </w:p>
          <w:p w:rsidR="00C21266" w:rsidRPr="005C3B55" w:rsidRDefault="00C21266" w:rsidP="006E20B6">
            <w:pPr>
              <w:numPr>
                <w:ilvl w:val="0"/>
                <w:numId w:val="914"/>
              </w:numPr>
              <w:spacing w:before="0" w:after="240"/>
              <w:ind w:hanging="290"/>
              <w:jc w:val="left"/>
              <w:rPr>
                <w:szCs w:val="24"/>
              </w:rPr>
            </w:pPr>
            <w:r w:rsidRPr="005C3B55">
              <w:t>above 100 ha the payment is 40%.</w:t>
            </w:r>
          </w:p>
          <w:p w:rsidR="00C21266" w:rsidRPr="005C3B55" w:rsidRDefault="00C21266">
            <w:pPr>
              <w:spacing w:before="240" w:after="240"/>
              <w:rPr>
                <w:szCs w:val="24"/>
              </w:rPr>
            </w:pPr>
            <w:r w:rsidRPr="005C3B55">
              <w:t>3.31% of agricultural land in areas facing natural or other specific constraints will be included in gradual decrease of ANC payments in Slovenia.</w:t>
            </w:r>
          </w:p>
          <w:p w:rsidR="00C21266" w:rsidRPr="005C3B55" w:rsidRDefault="00C21266">
            <w:pPr>
              <w:spacing w:before="240" w:after="240"/>
              <w:rPr>
                <w:szCs w:val="24"/>
              </w:rPr>
            </w:pPr>
            <w:r w:rsidRPr="005C3B55">
              <w:t>In establishing this threshold the following factors were taken into account:</w:t>
            </w:r>
          </w:p>
          <w:p w:rsidR="00C21266" w:rsidRPr="005C3B55" w:rsidRDefault="00C21266" w:rsidP="006E20B6">
            <w:pPr>
              <w:numPr>
                <w:ilvl w:val="0"/>
                <w:numId w:val="915"/>
              </w:numPr>
              <w:spacing w:before="240" w:after="0"/>
              <w:ind w:hanging="290"/>
              <w:jc w:val="left"/>
              <w:rPr>
                <w:szCs w:val="24"/>
              </w:rPr>
            </w:pPr>
            <w:r w:rsidRPr="005C3B55">
              <w:t>large fragmentation of agricultural land;</w:t>
            </w:r>
          </w:p>
          <w:p w:rsidR="00C21266" w:rsidRPr="005C3B55" w:rsidRDefault="00C21266" w:rsidP="006E20B6">
            <w:pPr>
              <w:numPr>
                <w:ilvl w:val="0"/>
                <w:numId w:val="915"/>
              </w:numPr>
              <w:spacing w:before="0" w:after="0"/>
              <w:ind w:hanging="290"/>
              <w:jc w:val="left"/>
              <w:rPr>
                <w:szCs w:val="24"/>
              </w:rPr>
            </w:pPr>
            <w:r w:rsidRPr="005C3B55">
              <w:t>mitigation of effects of internal convergence in the scope of the first pillar of the Common Agricultural Policy due to gradual decrease of historical supplements;</w:t>
            </w:r>
          </w:p>
          <w:p w:rsidR="00C21266" w:rsidRPr="005C3B55" w:rsidRDefault="00C21266" w:rsidP="006E20B6">
            <w:pPr>
              <w:numPr>
                <w:ilvl w:val="0"/>
                <w:numId w:val="915"/>
              </w:numPr>
              <w:spacing w:before="0" w:after="240"/>
              <w:ind w:hanging="290"/>
              <w:jc w:val="left"/>
              <w:rPr>
                <w:szCs w:val="24"/>
              </w:rPr>
            </w:pPr>
            <w:r w:rsidRPr="005C3B55">
              <w:t>there is a need to increase the number of agricultural holdings in the size class 40-60 in these areas.</w:t>
            </w:r>
          </w:p>
          <w:p w:rsidR="00C21266" w:rsidRPr="005C3B55" w:rsidRDefault="00C21266">
            <w:pPr>
              <w:spacing w:before="240" w:after="240"/>
              <w:rPr>
                <w:szCs w:val="24"/>
              </w:rPr>
            </w:pPr>
            <w:r w:rsidRPr="005C3B55">
              <w:t> </w:t>
            </w:r>
          </w:p>
          <w:p w:rsidR="00C21266" w:rsidRPr="005C3B55" w:rsidRDefault="00C21266">
            <w:pPr>
              <w:spacing w:before="240" w:after="240"/>
              <w:rPr>
                <w:szCs w:val="24"/>
              </w:rPr>
            </w:pPr>
            <w:r w:rsidRPr="005C3B55">
              <w:t> </w:t>
            </w:r>
          </w:p>
          <w:p w:rsidR="00C21266" w:rsidRPr="005C3B55" w:rsidRDefault="00C21266">
            <w:pPr>
              <w:pStyle w:val="Telobesedila"/>
              <w:rPr>
                <w:lang w:eastAsia="en-GB" w:bidi="en-GB"/>
              </w:rPr>
            </w:pPr>
          </w:p>
        </w:tc>
      </w:tr>
    </w:tbl>
    <w:p w:rsidR="00C21266" w:rsidRPr="005C3B55" w:rsidRDefault="00C21266" w:rsidP="00C21266">
      <w:pPr>
        <w:rPr>
          <w:rFonts w:eastAsia="Calibri"/>
          <w:szCs w:val="22"/>
          <w:lang w:eastAsia="en-GB" w:bidi="en-GB"/>
        </w:rPr>
      </w:pPr>
      <w:r w:rsidRPr="005C3B55">
        <w:t xml:space="preserve">[Determination of areas facing natural or other specific constraints] Description of the local unit which is used to determine the areas. </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rPr>
                <w:b/>
              </w:rPr>
              <w:t>Mountainous areas</w:t>
            </w:r>
          </w:p>
          <w:p w:rsidR="00C21266" w:rsidRPr="005C3B55" w:rsidRDefault="00C21266">
            <w:pPr>
              <w:spacing w:before="240" w:after="240"/>
              <w:rPr>
                <w:szCs w:val="24"/>
              </w:rPr>
            </w:pPr>
            <w:r w:rsidRPr="005C3B55">
              <w:t>Mountainous areas are areas with constrained options of use of agricultural land and wider application of special machinery. Due to higher altitude the vegetation period is shorter. In combination with steep inclines, the application of machinery and the selection of suitable plants are reduced in mountainous areas. The inclines may be too steep to use the standard machinery also at lower altitudes. Therefore the application of more expensive equipment is required. The obstacles at lower altitudes are consequently equal to obstacles related to the restricted use of agricultural land at higher altitudes.</w:t>
            </w:r>
          </w:p>
          <w:p w:rsidR="00C21266" w:rsidRPr="005C3B55" w:rsidRDefault="00C21266">
            <w:pPr>
              <w:spacing w:before="240" w:after="240"/>
              <w:rPr>
                <w:szCs w:val="24"/>
              </w:rPr>
            </w:pPr>
            <w:r w:rsidRPr="005C3B55">
              <w:t>The determination of mountainous areas takes into account both criteria for their delimitation, i.e. altitude and gradient. Mountainous areas in Slovenia fulfil the following criteria:</w:t>
            </w:r>
          </w:p>
          <w:p w:rsidR="00C21266" w:rsidRPr="005C3B55" w:rsidRDefault="00C21266" w:rsidP="006E20B6">
            <w:pPr>
              <w:numPr>
                <w:ilvl w:val="0"/>
                <w:numId w:val="916"/>
              </w:numPr>
              <w:spacing w:before="240" w:after="0"/>
              <w:ind w:hanging="290"/>
              <w:jc w:val="left"/>
              <w:rPr>
                <w:szCs w:val="24"/>
              </w:rPr>
            </w:pPr>
            <w:r w:rsidRPr="005C3B55">
              <w:t>average altitude of at least 700 metres or</w:t>
            </w:r>
          </w:p>
          <w:p w:rsidR="00C21266" w:rsidRPr="005C3B55" w:rsidRDefault="00C21266" w:rsidP="006E20B6">
            <w:pPr>
              <w:numPr>
                <w:ilvl w:val="0"/>
                <w:numId w:val="916"/>
              </w:numPr>
              <w:spacing w:before="0" w:after="0"/>
              <w:ind w:hanging="290"/>
              <w:jc w:val="left"/>
              <w:rPr>
                <w:szCs w:val="24"/>
              </w:rPr>
            </w:pPr>
            <w:r w:rsidRPr="005C3B55">
              <w:t>average incline of at least 20%; at least 50% of calculated surface fulfils the incline criterion (large water surfaces are excluded from the calculation) or</w:t>
            </w:r>
          </w:p>
          <w:p w:rsidR="00C21266" w:rsidRPr="005C3B55" w:rsidRDefault="00C21266" w:rsidP="006E20B6">
            <w:pPr>
              <w:numPr>
                <w:ilvl w:val="0"/>
                <w:numId w:val="916"/>
              </w:numPr>
              <w:spacing w:before="0" w:after="240"/>
              <w:ind w:hanging="290"/>
              <w:jc w:val="left"/>
              <w:rPr>
                <w:szCs w:val="24"/>
              </w:rPr>
            </w:pPr>
            <w:r w:rsidRPr="005C3B55">
              <w:t>both the average altitude of at least 500 metres and the average incline of at least 15%.</w:t>
            </w:r>
          </w:p>
          <w:p w:rsidR="00C21266" w:rsidRPr="005C3B55" w:rsidRDefault="00C21266">
            <w:pPr>
              <w:spacing w:before="240" w:after="240"/>
              <w:rPr>
                <w:szCs w:val="24"/>
              </w:rPr>
            </w:pPr>
            <w:r w:rsidRPr="005C3B55">
              <w:t xml:space="preserve">When the smaller areas with the limited number of cadastral municipalities which individually do not fulfil the criteria for mountainous areas (defined altitude, incline or combination of both), are mostly surrounded by mountainous areas, these areas are considered as mountainous areas.   The agricultural activity within these smaller areas surrounded by mountainous areas cannot be implemented or develop isolated from, and without an impact on, surrounding mountainous areas. They are therefore closely linked and interdependent, since the agricultural climate and production conditions in the Alpine, Sub-Alpine, Dinaric regions, as well as in other mountainous area of Slovenia are equal for all, although an individual cadastral municipality due to its location did not fulfil the criteria for mountainous areas, but the constraints characteristic of mountainous areas are permanently present. </w:t>
            </w:r>
          </w:p>
          <w:p w:rsidR="00C21266" w:rsidRPr="005C3B55" w:rsidRDefault="00C21266">
            <w:pPr>
              <w:spacing w:before="240" w:after="240"/>
              <w:rPr>
                <w:szCs w:val="24"/>
              </w:rPr>
            </w:pPr>
            <w:r w:rsidRPr="005C3B55">
              <w:t xml:space="preserve">Slovenia has set precise criteria for rounding off (homogenisation) with a demand for the minimum required level of homogenisation of a certain area, and implemented an additional requirement in the case of the homogenisation of a larger number of cadastral municipalities in terms of the quality of agricultural land in these areas as indicated in the descriptions below. </w:t>
            </w:r>
          </w:p>
          <w:p w:rsidR="00C21266" w:rsidRPr="005C3B55" w:rsidRDefault="00C21266">
            <w:pPr>
              <w:spacing w:before="240" w:after="240"/>
              <w:rPr>
                <w:szCs w:val="24"/>
              </w:rPr>
            </w:pPr>
            <w:r w:rsidRPr="005C3B55">
              <w:t>Smaller homogeneous areas that do not fulfil the criterion for mountainous areas, but are nevertheless surrounded by mountainous area, are considered as mountainous areas if they are:</w:t>
            </w:r>
          </w:p>
          <w:p w:rsidR="00C21266" w:rsidRPr="005C3B55" w:rsidRDefault="00C21266" w:rsidP="006E20B6">
            <w:pPr>
              <w:numPr>
                <w:ilvl w:val="0"/>
                <w:numId w:val="917"/>
              </w:numPr>
              <w:spacing w:before="240" w:after="0"/>
              <w:ind w:hanging="290"/>
              <w:jc w:val="left"/>
              <w:rPr>
                <w:szCs w:val="24"/>
              </w:rPr>
            </w:pPr>
            <w:r w:rsidRPr="005C3B55">
              <w:t>smaller or the same as five cadastral municipalities or</w:t>
            </w:r>
          </w:p>
          <w:p w:rsidR="00C21266" w:rsidRPr="005C3B55" w:rsidRDefault="00C21266" w:rsidP="006E20B6">
            <w:pPr>
              <w:numPr>
                <w:ilvl w:val="0"/>
                <w:numId w:val="917"/>
              </w:numPr>
              <w:spacing w:before="0" w:after="240"/>
              <w:ind w:hanging="290"/>
              <w:jc w:val="left"/>
              <w:rPr>
                <w:szCs w:val="24"/>
              </w:rPr>
            </w:pPr>
            <w:r w:rsidRPr="005C3B55">
              <w:t xml:space="preserve">larger than five cadastral municipalities and have the criteria of poor soil production capacity and the share of poor categories is at least 75%. </w:t>
            </w:r>
          </w:p>
          <w:p w:rsidR="00C21266" w:rsidRPr="005C3B55" w:rsidRDefault="00C21266">
            <w:pPr>
              <w:spacing w:before="240" w:after="240"/>
              <w:rPr>
                <w:szCs w:val="24"/>
              </w:rPr>
            </w:pPr>
            <w:r w:rsidRPr="005C3B55">
              <w:t>The area is surrounded by mountainous area as per the foregoing paragraph, if:</w:t>
            </w:r>
          </w:p>
          <w:p w:rsidR="00C21266" w:rsidRPr="005C3B55" w:rsidRDefault="00C21266" w:rsidP="006E20B6">
            <w:pPr>
              <w:numPr>
                <w:ilvl w:val="0"/>
                <w:numId w:val="918"/>
              </w:numPr>
              <w:spacing w:before="240" w:after="0"/>
              <w:ind w:hanging="290"/>
              <w:jc w:val="left"/>
              <w:rPr>
                <w:szCs w:val="24"/>
              </w:rPr>
            </w:pPr>
            <w:r w:rsidRPr="005C3B55">
              <w:t>at least 90% of the respective area is surrounded by the mountainous area, or</w:t>
            </w:r>
          </w:p>
          <w:p w:rsidR="00C21266" w:rsidRPr="005C3B55" w:rsidRDefault="00C21266" w:rsidP="006E20B6">
            <w:pPr>
              <w:numPr>
                <w:ilvl w:val="0"/>
                <w:numId w:val="918"/>
              </w:numPr>
              <w:spacing w:before="0" w:after="240"/>
              <w:ind w:hanging="290"/>
              <w:jc w:val="left"/>
              <w:rPr>
                <w:szCs w:val="24"/>
              </w:rPr>
            </w:pPr>
            <w:r w:rsidRPr="005C3B55">
              <w:t>at least 40% of the respective area is surrounded by the mountainous area and the remainder borders on a river, sea or national border (at least 90% in total).</w:t>
            </w:r>
          </w:p>
          <w:p w:rsidR="00C21266" w:rsidRPr="005C3B55" w:rsidRDefault="00C21266">
            <w:pPr>
              <w:spacing w:before="240" w:after="240"/>
              <w:rPr>
                <w:szCs w:val="24"/>
              </w:rPr>
            </w:pPr>
            <w:r w:rsidRPr="005C3B55">
              <w:t>The area is defined as a mountainous also if the respective cadastral municipality is contiguous with the border of a mountainous area and a part of the cadastral municipality fully meets the criteria for delimitation in the mountainous area. A part of the cadastral municipality which does not fulfil the criteria is not included in the mountainous area. In any event, the smallest size of the part of cadastral municipality may not be smaller than 7 hectares.</w:t>
            </w:r>
          </w:p>
          <w:p w:rsidR="00C21266" w:rsidRPr="005C3B55" w:rsidRDefault="00C21266">
            <w:pPr>
              <w:spacing w:before="240" w:after="240"/>
              <w:rPr>
                <w:szCs w:val="24"/>
              </w:rPr>
            </w:pPr>
            <w:r w:rsidRPr="005C3B55">
              <w:t>Detailed and extensive descriptions of all three areas within ANC are submitted also as the annex to this programme.</w:t>
            </w:r>
          </w:p>
          <w:p w:rsidR="00C21266" w:rsidRPr="005C3B55" w:rsidRDefault="00C21266">
            <w:pPr>
              <w:pStyle w:val="Telobesedila"/>
              <w:rPr>
                <w:lang w:eastAsia="en-GB" w:bidi="en-GB"/>
              </w:rPr>
            </w:pPr>
          </w:p>
        </w:tc>
      </w:tr>
    </w:tbl>
    <w:p w:rsidR="00C21266" w:rsidRPr="005C3B55" w:rsidRDefault="00C21266" w:rsidP="00C21266">
      <w:pPr>
        <w:rPr>
          <w:rFonts w:eastAsia="Calibri"/>
          <w:szCs w:val="22"/>
          <w:lang w:eastAsia="en-GB" w:bidi="en-GB"/>
        </w:rPr>
      </w:pPr>
      <w:r w:rsidRPr="005C3B55">
        <w:t>[Determination of areas facing natural or other specific constraints] A description of the method of application, including the criteria from Article 32 of Regulation (EU) No 1305/2013, for the delimitation of three categories of areas from the stated Article, including the description and results of detailed adjustment for areas with natural and other specific constraints which are not mountainous areas</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Not relevant. Pursuant to the fifth paragraph of Article 32 of Regulation (EU) No 1305/2013, in determining the areas within the scope of this measure Slovenia will use the areas from the 2007-2013 programme period which were eligible for payments on the basis of Article 36(a)ii) of Regulation (EC) 1698/2005. </w:t>
            </w:r>
          </w:p>
          <w:p w:rsidR="00C21266" w:rsidRPr="005C3B55" w:rsidRDefault="00C21266">
            <w:pPr>
              <w:spacing w:before="240" w:after="240"/>
              <w:rPr>
                <w:szCs w:val="24"/>
              </w:rPr>
            </w:pPr>
            <w:r w:rsidRPr="005C3B55">
              <w:t> </w:t>
            </w:r>
          </w:p>
          <w:p w:rsidR="00C21266" w:rsidRPr="005C3B55" w:rsidRDefault="00C21266">
            <w:pPr>
              <w:pStyle w:val="Telobesedila"/>
              <w:rPr>
                <w:lang w:eastAsia="en-GB" w:bidi="en-GB"/>
              </w:rPr>
            </w:pPr>
          </w:p>
        </w:tc>
      </w:tr>
    </w:tbl>
    <w:p w:rsidR="00C21266" w:rsidRPr="005C3B55" w:rsidRDefault="00C21266" w:rsidP="00C21266">
      <w:pPr>
        <w:pStyle w:val="Naslov5"/>
        <w:tabs>
          <w:tab w:val="clear" w:pos="765"/>
        </w:tabs>
        <w:ind w:left="0" w:firstLine="0"/>
        <w:rPr>
          <w:b w:val="0"/>
          <w:lang w:val="en-GB" w:eastAsia="en-GB" w:bidi="en-GB"/>
        </w:rPr>
      </w:pPr>
      <w:r w:rsidRPr="005C3B55">
        <w:rPr>
          <w:b w:val="0"/>
          <w:lang w:val="en-GB"/>
        </w:rPr>
        <w:br w:type="page"/>
        <w:t>2. The payment of compensations for other areas with important natural constraints</w:t>
      </w:r>
    </w:p>
    <w:p w:rsidR="00C21266" w:rsidRPr="005C3B55" w:rsidRDefault="00C21266" w:rsidP="00C21266">
      <w:r w:rsidRPr="005C3B55">
        <w:t xml:space="preserve">Sub-measure: </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numPr>
                <w:ilvl w:val="0"/>
                <w:numId w:val="919"/>
              </w:numPr>
              <w:rPr>
                <w:rFonts w:eastAsia="Calibri"/>
                <w:lang w:eastAsia="en-GB" w:bidi="en-GB"/>
              </w:rPr>
            </w:pPr>
            <w:r w:rsidRPr="005C3B55">
              <w:t>13.2 - The payment of compensations for other areas with important natural constraints</w:t>
            </w:r>
          </w:p>
        </w:tc>
      </w:tr>
    </w:tbl>
    <w:p w:rsidR="00C21266" w:rsidRPr="005C3B55" w:rsidRDefault="00C21266" w:rsidP="00C21266">
      <w:pPr>
        <w:pStyle w:val="Naslov6"/>
        <w:tabs>
          <w:tab w:val="clear" w:pos="765"/>
        </w:tabs>
        <w:ind w:left="0" w:firstLine="0"/>
        <w:rPr>
          <w:lang w:val="en-GB" w:eastAsia="en-GB" w:bidi="en-GB"/>
        </w:rPr>
      </w:pPr>
      <w:r w:rsidRPr="005C3B55">
        <w:rPr>
          <w:lang w:val="en-GB"/>
        </w:rPr>
        <w:t>Description of type of operation</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8"/>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The support within the scope of this sub-measure is granted for conservation and further operation of agricultural activities in non-mountainous areas and have important natural constraints (third paragraph of Article 32 of Regulation (EU) No 1305/2013) where relative higher costs and loss of revenue for agriculture are present compared to the areas with favourable harvesting conditions.</w:t>
            </w:r>
          </w:p>
          <w:p w:rsidR="00C21266" w:rsidRPr="005C3B55" w:rsidRDefault="00C21266">
            <w:pPr>
              <w:spacing w:before="240" w:after="240"/>
              <w:rPr>
                <w:szCs w:val="24"/>
              </w:rPr>
            </w:pPr>
            <w:r w:rsidRPr="005C3B55">
              <w:t>The new delimitation of areas which are non-mountainous and have important natural constraints, as defined in Point (b) of the fifth paragraph of Article 32 of Regulation (EU) No 1305/2013, will be determined according to the biophysical criteria from Annex III of Regulation (EU) No 1305/2013 and will be added to the programme of rural development by 2017 at the latest. Until then, the areas from the 2007-2013 programme period are used that are eligible for payments on the basis of Article 36(a) (ii) of Regulation (EC) No 1698/2005. </w:t>
            </w:r>
          </w:p>
          <w:p w:rsidR="00C21266" w:rsidRPr="005C3B55" w:rsidRDefault="00C21266">
            <w:pPr>
              <w:spacing w:before="240" w:after="240"/>
              <w:rPr>
                <w:szCs w:val="24"/>
              </w:rPr>
            </w:pPr>
            <w:r w:rsidRPr="005C3B55">
              <w:t>Other areas with important natural constraints comprise 4% of the surface of Slovenia with 4% of agricultural land. Here, agricultural land with lower production potential prevails, and economic results which fall behind from the average due to production constraints, and demographic issues indicated as low population density per km2 or decrease of population along with a high share of agricultural population.</w:t>
            </w:r>
          </w:p>
          <w:p w:rsidR="00C21266" w:rsidRPr="005C3B55" w:rsidRDefault="00C21266">
            <w:pPr>
              <w:spacing w:before="240" w:after="240"/>
              <w:rPr>
                <w:szCs w:val="24"/>
              </w:rPr>
            </w:pPr>
            <w:r w:rsidRPr="005C3B55">
              <w:t>Due to the various soil types and consequently agricultural production conditions, agricultural land is used in various ways in this area. Unfavourable soil conditions mainly prevent the development of intensive agricultural activities. To preserve the mosaic landscape, extensive agricultural activities need to be continued in order to preserve the production potential of agricultural land and thus the maintained cultural landscape. This is a precondition for the further preservation of favourable state in the field of biotic diversity, and ensures the development of tourism potential.</w:t>
            </w:r>
          </w:p>
          <w:p w:rsidR="00C21266" w:rsidRPr="005C3B55" w:rsidRDefault="00C21266">
            <w:pPr>
              <w:spacing w:before="240" w:after="240"/>
              <w:rPr>
                <w:szCs w:val="24"/>
              </w:rPr>
            </w:pPr>
            <w:r w:rsidRPr="005C3B55">
              <w:t>The support for agricultural holdings in other areas with important natural constraints mainly pursues the following objectives:</w:t>
            </w:r>
          </w:p>
          <w:p w:rsidR="00C21266" w:rsidRPr="005C3B55" w:rsidRDefault="00C21266" w:rsidP="006E20B6">
            <w:pPr>
              <w:numPr>
                <w:ilvl w:val="0"/>
                <w:numId w:val="920"/>
              </w:numPr>
              <w:spacing w:before="240" w:after="0"/>
              <w:ind w:hanging="290"/>
              <w:jc w:val="left"/>
              <w:rPr>
                <w:szCs w:val="24"/>
              </w:rPr>
            </w:pPr>
            <w:r w:rsidRPr="005C3B55">
              <w:t>conservation of a landscape by stimulating the land management despite difficult agricultural conditions and thus in particular the protection of soil against erosion or the loss of biotic diversity;</w:t>
            </w:r>
          </w:p>
          <w:p w:rsidR="00C21266" w:rsidRPr="005C3B55" w:rsidRDefault="00C21266" w:rsidP="006E20B6">
            <w:pPr>
              <w:numPr>
                <w:ilvl w:val="0"/>
                <w:numId w:val="920"/>
              </w:numPr>
              <w:spacing w:before="0" w:after="240"/>
              <w:ind w:hanging="290"/>
              <w:jc w:val="left"/>
              <w:rPr>
                <w:szCs w:val="24"/>
              </w:rPr>
            </w:pPr>
            <w:r w:rsidRPr="005C3B55">
              <w:t>conservation of a cultural landscape as a tourism potential and a recreational area.</w:t>
            </w:r>
          </w:p>
          <w:p w:rsidR="00C21266" w:rsidRPr="005C3B55" w:rsidRDefault="00C21266">
            <w:pPr>
              <w:pStyle w:val="Telobesedila"/>
            </w:pPr>
          </w:p>
          <w:p w:rsidR="00C21266" w:rsidRPr="005C3B55" w:rsidRDefault="0012246E">
            <w:pPr>
              <w:pStyle w:val="Telobesedila3"/>
              <w:jc w:val="left"/>
            </w:pPr>
            <w:r w:rsidRPr="005C3B55">
              <w:rPr>
                <w:noProof/>
                <w:lang w:val="sl-SI"/>
              </w:rPr>
              <w:drawing>
                <wp:inline distT="0" distB="0" distL="0" distR="0">
                  <wp:extent cx="6629400" cy="4695825"/>
                  <wp:effectExtent l="0" t="0" r="0" b="9525"/>
                  <wp:docPr id="3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629400" cy="4695825"/>
                          </a:xfrm>
                          <a:prstGeom prst="rect">
                            <a:avLst/>
                          </a:prstGeom>
                          <a:noFill/>
                          <a:ln>
                            <a:noFill/>
                          </a:ln>
                        </pic:spPr>
                      </pic:pic>
                    </a:graphicData>
                  </a:graphic>
                </wp:inline>
              </w:drawing>
            </w:r>
          </w:p>
          <w:p w:rsidR="00C21266" w:rsidRPr="005C3B55" w:rsidRDefault="00C21266">
            <w:pPr>
              <w:pStyle w:val="Noga"/>
              <w:spacing w:after="120"/>
              <w:jc w:val="center"/>
            </w:pPr>
            <w:r w:rsidRPr="005C3B55">
              <w:t>The scope of areas with natural constraints outside mountainous areas</w:t>
            </w:r>
          </w:p>
          <w:p w:rsidR="00C21266" w:rsidRPr="005C3B55" w:rsidRDefault="00C21266">
            <w:pPr>
              <w:pStyle w:val="Noga"/>
              <w:jc w:val="center"/>
              <w:rPr>
                <w:lang w:eastAsia="en-GB" w:bidi="en-GB"/>
              </w:rPr>
            </w:pPr>
          </w:p>
        </w:tc>
      </w:tr>
    </w:tbl>
    <w:p w:rsidR="00C21266" w:rsidRPr="005C3B55" w:rsidRDefault="00C21266" w:rsidP="00C21266">
      <w:pPr>
        <w:pStyle w:val="Naslov6"/>
        <w:tabs>
          <w:tab w:val="clear" w:pos="765"/>
        </w:tabs>
        <w:ind w:left="0" w:firstLine="0"/>
        <w:rPr>
          <w:lang w:val="en-GB" w:eastAsia="en-GB" w:bidi="en-GB"/>
        </w:rPr>
      </w:pPr>
      <w:r w:rsidRPr="005C3B55">
        <w:rPr>
          <w:lang w:val="en-GB"/>
        </w:rPr>
        <w:t>Type of support</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The support within the scope of this sub-measure is granted in a form of an annual compensatory payment per a hectare of agricultural land as a compensation to farmers due to high costs and loss of revenue as a result of more difficult agricultural conditions in non-mountainous areas with important natural constraints.</w:t>
            </w:r>
          </w:p>
          <w:p w:rsidR="00C21266" w:rsidRPr="005C3B55" w:rsidRDefault="00C21266">
            <w:pPr>
              <w:spacing w:before="240" w:after="240"/>
              <w:rPr>
                <w:szCs w:val="24"/>
              </w:rPr>
            </w:pPr>
            <w:r w:rsidRPr="005C3B55">
              <w:t> </w:t>
            </w:r>
          </w:p>
          <w:p w:rsidR="00C21266" w:rsidRPr="005C3B55" w:rsidRDefault="00C21266">
            <w:pPr>
              <w:spacing w:before="240" w:after="240"/>
              <w:rPr>
                <w:szCs w:val="24"/>
              </w:rPr>
            </w:pPr>
            <w:r w:rsidRPr="005C3B55">
              <w:t> </w:t>
            </w:r>
          </w:p>
          <w:p w:rsidR="00C21266" w:rsidRPr="005C3B55" w:rsidRDefault="00C21266">
            <w:pPr>
              <w:pStyle w:val="Telobesedila"/>
              <w:rPr>
                <w:lang w:eastAsia="en-GB" w:bidi="en-GB"/>
              </w:rPr>
            </w:pPr>
          </w:p>
        </w:tc>
      </w:tr>
    </w:tbl>
    <w:p w:rsidR="00C21266" w:rsidRPr="005C3B55" w:rsidRDefault="00C21266" w:rsidP="00C21266">
      <w:pPr>
        <w:pStyle w:val="Naslov6"/>
        <w:tabs>
          <w:tab w:val="clear" w:pos="765"/>
        </w:tabs>
        <w:ind w:left="0" w:firstLine="0"/>
        <w:rPr>
          <w:lang w:val="en-GB" w:eastAsia="en-GB" w:bidi="en-GB"/>
        </w:rPr>
      </w:pPr>
      <w:r w:rsidRPr="005C3B55">
        <w:rPr>
          <w:lang w:val="en-GB"/>
        </w:rPr>
        <w:t>Connection with other legislation</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rsidP="006E20B6">
            <w:pPr>
              <w:numPr>
                <w:ilvl w:val="0"/>
                <w:numId w:val="921"/>
              </w:numPr>
              <w:spacing w:before="0" w:after="0"/>
              <w:ind w:hanging="290"/>
              <w:jc w:val="left"/>
              <w:rPr>
                <w:rFonts w:eastAsia="Calibri"/>
                <w:szCs w:val="24"/>
              </w:rPr>
            </w:pPr>
            <w:r w:rsidRPr="005C3B55">
              <w:t>Agriculture Act (Official Gazette of the Republic of Slovenia, no. 45/2008 with all amendments);</w:t>
            </w:r>
          </w:p>
          <w:p w:rsidR="00C21266" w:rsidRPr="005C3B55" w:rsidRDefault="00C21266" w:rsidP="006E20B6">
            <w:pPr>
              <w:numPr>
                <w:ilvl w:val="0"/>
                <w:numId w:val="921"/>
              </w:numPr>
              <w:spacing w:before="0" w:after="0"/>
              <w:ind w:hanging="290"/>
              <w:jc w:val="left"/>
              <w:rPr>
                <w:szCs w:val="24"/>
              </w:rPr>
            </w:pPr>
            <w:r w:rsidRPr="005C3B55">
              <w:t>Title VI of Regulation (EU) No 1306/2013 (cross-compliance);</w:t>
            </w:r>
          </w:p>
          <w:p w:rsidR="00C21266" w:rsidRPr="005C3B55" w:rsidRDefault="00C21266" w:rsidP="006E20B6">
            <w:pPr>
              <w:numPr>
                <w:ilvl w:val="0"/>
                <w:numId w:val="921"/>
              </w:numPr>
              <w:spacing w:before="0" w:after="0"/>
              <w:ind w:hanging="290"/>
              <w:jc w:val="left"/>
              <w:rPr>
                <w:szCs w:val="24"/>
              </w:rPr>
            </w:pPr>
            <w:r w:rsidRPr="005C3B55">
              <w:t>Article 9 of Regulation (EU) No 1307/2013;</w:t>
            </w:r>
          </w:p>
          <w:p w:rsidR="00C21266" w:rsidRPr="005C3B55" w:rsidRDefault="00C21266" w:rsidP="006E20B6">
            <w:pPr>
              <w:numPr>
                <w:ilvl w:val="0"/>
                <w:numId w:val="921"/>
              </w:numPr>
              <w:spacing w:before="0" w:after="0"/>
              <w:ind w:hanging="290"/>
              <w:jc w:val="left"/>
              <w:rPr>
                <w:szCs w:val="24"/>
              </w:rPr>
            </w:pPr>
            <w:r w:rsidRPr="005C3B55">
              <w:t>national regulation which regulates the implementation of this sub-measure; and</w:t>
            </w:r>
          </w:p>
          <w:p w:rsidR="00C21266" w:rsidRPr="005C3B55" w:rsidRDefault="00C21266" w:rsidP="006E20B6">
            <w:pPr>
              <w:numPr>
                <w:ilvl w:val="0"/>
                <w:numId w:val="921"/>
              </w:numPr>
              <w:spacing w:before="0" w:after="240"/>
              <w:ind w:hanging="290"/>
              <w:jc w:val="left"/>
              <w:rPr>
                <w:szCs w:val="24"/>
              </w:rPr>
            </w:pPr>
            <w:r w:rsidRPr="005C3B55">
              <w:t>other EU and national legislation which regulates the implementation of this sub-measure.</w:t>
            </w:r>
          </w:p>
          <w:p w:rsidR="00C21266" w:rsidRPr="005C3B55" w:rsidRDefault="00C21266">
            <w:pPr>
              <w:pStyle w:val="Telobesedila"/>
              <w:rPr>
                <w:lang w:eastAsia="en-GB" w:bidi="en-GB"/>
              </w:rPr>
            </w:pPr>
          </w:p>
        </w:tc>
      </w:tr>
    </w:tbl>
    <w:p w:rsidR="00C21266" w:rsidRPr="005C3B55" w:rsidRDefault="00C21266" w:rsidP="00C21266">
      <w:pPr>
        <w:pStyle w:val="Naslov6"/>
        <w:tabs>
          <w:tab w:val="clear" w:pos="765"/>
        </w:tabs>
        <w:ind w:left="0" w:firstLine="0"/>
        <w:rPr>
          <w:lang w:val="en-GB" w:eastAsia="en-GB" w:bidi="en-GB"/>
        </w:rPr>
      </w:pPr>
      <w:r w:rsidRPr="005C3B55">
        <w:rPr>
          <w:lang w:val="en-GB"/>
        </w:rPr>
        <w:t>Beneficiaries</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The compensatory payments are granted to holders of agricultural holdings who carry out the agricultural activity in non-mountainous areas with important natural constraints.</w:t>
            </w:r>
          </w:p>
          <w:p w:rsidR="00C21266" w:rsidRPr="005C3B55" w:rsidRDefault="00C21266">
            <w:pPr>
              <w:pStyle w:val="Telobesedila"/>
              <w:rPr>
                <w:lang w:eastAsia="en-GB" w:bidi="en-GB"/>
              </w:rPr>
            </w:pPr>
          </w:p>
        </w:tc>
      </w:tr>
    </w:tbl>
    <w:p w:rsidR="00C21266" w:rsidRPr="005C3B55" w:rsidRDefault="00C21266" w:rsidP="00C21266">
      <w:pPr>
        <w:pStyle w:val="Naslov6"/>
        <w:tabs>
          <w:tab w:val="clear" w:pos="765"/>
        </w:tabs>
        <w:ind w:left="0" w:firstLine="0"/>
        <w:rPr>
          <w:lang w:val="en-GB" w:eastAsia="en-GB" w:bidi="en-GB"/>
        </w:rPr>
      </w:pPr>
      <w:r w:rsidRPr="005C3B55">
        <w:rPr>
          <w:lang w:val="en-GB"/>
        </w:rPr>
        <w:t>Eligible costs</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The support is paid to farmers in a form of an annual payment per a hectare of agricultural land to cover a part of additional costs and loss of revenue related to the constraints of agricultural production in other areas with natural constraints outside the mountainous areas.</w:t>
            </w:r>
          </w:p>
          <w:p w:rsidR="00C21266" w:rsidRPr="005C3B55" w:rsidRDefault="00C21266">
            <w:pPr>
              <w:spacing w:before="240" w:after="240"/>
              <w:rPr>
                <w:szCs w:val="24"/>
              </w:rPr>
            </w:pPr>
            <w:r w:rsidRPr="005C3B55">
              <w:t xml:space="preserve">In determining the annual payment, additional (higher) costs and loss of revenue (smaller harvest) are taken into account in non-mountainous areas with important natural constraints compared to agricultural activities outside areas with important natural constraints. </w:t>
            </w:r>
          </w:p>
          <w:p w:rsidR="00C21266" w:rsidRPr="005C3B55" w:rsidRDefault="00C21266">
            <w:pPr>
              <w:spacing w:before="240" w:after="240"/>
              <w:rPr>
                <w:szCs w:val="24"/>
              </w:rPr>
            </w:pPr>
            <w:r w:rsidRPr="005C3B55">
              <w:t>The annual payment is calculated for every individual agricultural holding separately. The calculation of the amount of payment is shown in detail in Chapter (Valid) amounts and levels of support within this sub-measure.</w:t>
            </w:r>
          </w:p>
          <w:p w:rsidR="00C21266" w:rsidRPr="005C3B55" w:rsidRDefault="00C21266">
            <w:pPr>
              <w:pStyle w:val="Telobesedila"/>
              <w:rPr>
                <w:lang w:eastAsia="en-GB" w:bidi="en-GB"/>
              </w:rPr>
            </w:pPr>
          </w:p>
        </w:tc>
      </w:tr>
    </w:tbl>
    <w:p w:rsidR="00C21266" w:rsidRPr="005C3B55" w:rsidRDefault="00C21266" w:rsidP="00C21266">
      <w:pPr>
        <w:pStyle w:val="Naslov6"/>
        <w:tabs>
          <w:tab w:val="clear" w:pos="765"/>
        </w:tabs>
        <w:ind w:left="0" w:firstLine="0"/>
        <w:rPr>
          <w:lang w:val="en-GB" w:eastAsia="en-GB" w:bidi="en-GB"/>
        </w:rPr>
      </w:pPr>
      <w:r w:rsidRPr="005C3B55">
        <w:rPr>
          <w:lang w:val="en-GB"/>
        </w:rPr>
        <w:t>Conditions for eligibility</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rsidP="006E20B6">
            <w:pPr>
              <w:numPr>
                <w:ilvl w:val="0"/>
                <w:numId w:val="922"/>
              </w:numPr>
              <w:spacing w:before="0" w:after="0"/>
              <w:ind w:hanging="290"/>
              <w:jc w:val="left"/>
              <w:rPr>
                <w:rFonts w:eastAsia="Calibri"/>
                <w:szCs w:val="24"/>
              </w:rPr>
            </w:pPr>
            <w:r w:rsidRPr="005C3B55">
              <w:t>An agricultural holding must be entered in the register of agricultural holdings in accordance with the regulation on the register of agricultural holdings.</w:t>
            </w:r>
          </w:p>
          <w:p w:rsidR="00C21266" w:rsidRPr="005C3B55" w:rsidRDefault="00C21266" w:rsidP="006E20B6">
            <w:pPr>
              <w:numPr>
                <w:ilvl w:val="0"/>
                <w:numId w:val="922"/>
              </w:numPr>
              <w:spacing w:before="0" w:after="0"/>
              <w:ind w:hanging="290"/>
              <w:jc w:val="left"/>
              <w:rPr>
                <w:szCs w:val="24"/>
              </w:rPr>
            </w:pPr>
            <w:r w:rsidRPr="005C3B55">
              <w:t>The beneficiary must be an active farmer under Article 9 of Regulation (EU) No 1307/2013.</w:t>
            </w:r>
          </w:p>
          <w:p w:rsidR="00C21266" w:rsidRPr="005C3B55" w:rsidRDefault="00C21266" w:rsidP="006E20B6">
            <w:pPr>
              <w:numPr>
                <w:ilvl w:val="0"/>
                <w:numId w:val="922"/>
              </w:numPr>
              <w:spacing w:before="0" w:after="0"/>
              <w:ind w:hanging="290"/>
              <w:jc w:val="left"/>
              <w:rPr>
                <w:szCs w:val="24"/>
              </w:rPr>
            </w:pPr>
            <w:r w:rsidRPr="005C3B55">
              <w:t>Upon entering in the measure an agricultural holding must have at least 1 ha of agricultural land in the area facing natural or other specific constraints.</w:t>
            </w:r>
          </w:p>
          <w:p w:rsidR="00C21266" w:rsidRPr="005C3B55" w:rsidRDefault="00C21266" w:rsidP="006E20B6">
            <w:pPr>
              <w:numPr>
                <w:ilvl w:val="0"/>
                <w:numId w:val="922"/>
              </w:numPr>
              <w:spacing w:before="0" w:after="240"/>
              <w:ind w:hanging="290"/>
              <w:jc w:val="left"/>
              <w:rPr>
                <w:szCs w:val="24"/>
              </w:rPr>
            </w:pPr>
            <w:r w:rsidRPr="005C3B55">
              <w:t>Beneficiaries have to undertake that they will continue to carry out their agricultural activity in areas determined according to Article 32 of Regulation (EU) No 1305/2013.</w:t>
            </w:r>
          </w:p>
          <w:p w:rsidR="00C21266" w:rsidRPr="005C3B55" w:rsidRDefault="00C21266">
            <w:pPr>
              <w:pStyle w:val="Telobesedila"/>
              <w:rPr>
                <w:lang w:eastAsia="en-GB" w:bidi="en-GB"/>
              </w:rPr>
            </w:pPr>
          </w:p>
        </w:tc>
      </w:tr>
    </w:tbl>
    <w:p w:rsidR="00C21266" w:rsidRPr="005C3B55" w:rsidRDefault="00C21266" w:rsidP="00C21266">
      <w:pPr>
        <w:pStyle w:val="Naslov6"/>
        <w:tabs>
          <w:tab w:val="clear" w:pos="765"/>
        </w:tabs>
        <w:ind w:left="0" w:firstLine="0"/>
        <w:rPr>
          <w:lang w:val="en-GB" w:eastAsia="en-GB" w:bidi="en-GB"/>
        </w:rPr>
      </w:pPr>
      <w:r w:rsidRPr="005C3B55">
        <w:rPr>
          <w:lang w:val="en-GB"/>
        </w:rPr>
        <w:t>Principles regarding the determination of selection criteria</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The application of selection criteria for this sub-measure is not anticipated, as per the second paragraph of Article 49 of Regulation (EU) No 1305//2013.</w:t>
            </w:r>
          </w:p>
          <w:p w:rsidR="00C21266" w:rsidRPr="005C3B55" w:rsidRDefault="00C21266">
            <w:pPr>
              <w:pStyle w:val="Telobesedila"/>
              <w:rPr>
                <w:lang w:eastAsia="en-GB" w:bidi="en-GB"/>
              </w:rPr>
            </w:pPr>
          </w:p>
        </w:tc>
      </w:tr>
    </w:tbl>
    <w:p w:rsidR="00C21266" w:rsidRPr="005C3B55" w:rsidRDefault="00C21266" w:rsidP="00C21266">
      <w:pPr>
        <w:pStyle w:val="Naslov6"/>
        <w:tabs>
          <w:tab w:val="clear" w:pos="765"/>
        </w:tabs>
        <w:ind w:left="0" w:firstLine="0"/>
        <w:rPr>
          <w:lang w:val="en-GB" w:eastAsia="en-GB" w:bidi="en-GB"/>
        </w:rPr>
      </w:pPr>
      <w:r w:rsidRPr="005C3B55">
        <w:rPr>
          <w:lang w:val="en-GB"/>
        </w:rPr>
        <w:t>(Valid) amounts and support rates</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The support is paid in a form of compensatory payment per a hectare.</w:t>
            </w:r>
          </w:p>
          <w:p w:rsidR="00C21266" w:rsidRPr="005C3B55" w:rsidRDefault="00C21266">
            <w:pPr>
              <w:spacing w:before="240" w:after="240"/>
              <w:rPr>
                <w:szCs w:val="24"/>
              </w:rPr>
            </w:pPr>
            <w:r w:rsidRPr="005C3B55">
              <w:t>The compensatory payment is calculated according to the formula for calculating the ANC payment for every individual agricultural holding.</w:t>
            </w:r>
          </w:p>
          <w:p w:rsidR="00C21266" w:rsidRPr="005C3B55" w:rsidRDefault="00C21266">
            <w:pPr>
              <w:spacing w:before="240" w:after="240"/>
              <w:rPr>
                <w:szCs w:val="24"/>
              </w:rPr>
            </w:pPr>
            <w:r w:rsidRPr="005C3B55">
              <w:t> </w:t>
            </w:r>
          </w:p>
          <w:p w:rsidR="00C21266" w:rsidRPr="005C3B55" w:rsidRDefault="00C21266">
            <w:pPr>
              <w:spacing w:before="240" w:after="240"/>
              <w:rPr>
                <w:szCs w:val="24"/>
              </w:rPr>
            </w:pPr>
            <w:r w:rsidRPr="005C3B55">
              <w:rPr>
                <w:b/>
              </w:rPr>
              <w:t>Formula for calculation of the ANC payment:</w:t>
            </w:r>
          </w:p>
          <w:p w:rsidR="00C21266" w:rsidRPr="005C3B55" w:rsidRDefault="00C21266">
            <w:pPr>
              <w:spacing w:before="240" w:after="240"/>
              <w:rPr>
                <w:szCs w:val="24"/>
              </w:rPr>
            </w:pPr>
            <w:r w:rsidRPr="005C3B55">
              <w:t>ANC payment/ha = fix part + (no. of points of agricultural holding x point value x 0.45)</w:t>
            </w:r>
          </w:p>
          <w:p w:rsidR="00C21266" w:rsidRPr="005C3B55" w:rsidRDefault="00C21266">
            <w:pPr>
              <w:spacing w:before="240" w:after="240"/>
              <w:rPr>
                <w:szCs w:val="24"/>
              </w:rPr>
            </w:pPr>
            <w:r w:rsidRPr="005C3B55">
              <w:t>The compensatory payment for ANC comprises of two parts:</w:t>
            </w:r>
          </w:p>
          <w:p w:rsidR="00C21266" w:rsidRPr="005C3B55" w:rsidRDefault="00C21266" w:rsidP="006E20B6">
            <w:pPr>
              <w:numPr>
                <w:ilvl w:val="0"/>
                <w:numId w:val="923"/>
              </w:numPr>
              <w:spacing w:before="240" w:after="0"/>
              <w:ind w:hanging="290"/>
              <w:jc w:val="left"/>
              <w:rPr>
                <w:szCs w:val="24"/>
              </w:rPr>
            </w:pPr>
            <w:r w:rsidRPr="005C3B55">
              <w:rPr>
                <w:b/>
                <w:i/>
              </w:rPr>
              <w:t xml:space="preserve">Fixed part </w:t>
            </w:r>
            <w:r w:rsidRPr="005C3B55">
              <w:t>of the payment represents an amount determined according to the difficulty ranking of an agricultural holding and is evident from the table Agricultural holding difficulty class;</w:t>
            </w:r>
          </w:p>
          <w:p w:rsidR="00C21266" w:rsidRPr="005C3B55" w:rsidRDefault="00C21266" w:rsidP="006E20B6">
            <w:pPr>
              <w:numPr>
                <w:ilvl w:val="0"/>
                <w:numId w:val="923"/>
              </w:numPr>
              <w:spacing w:before="0" w:after="240"/>
              <w:ind w:hanging="290"/>
              <w:jc w:val="left"/>
              <w:rPr>
                <w:szCs w:val="24"/>
              </w:rPr>
            </w:pPr>
            <w:r w:rsidRPr="005C3B55">
              <w:rPr>
                <w:b/>
                <w:i/>
              </w:rPr>
              <w:t>Variable part</w:t>
            </w:r>
            <w:r w:rsidRPr="005C3B55">
              <w:t xml:space="preserve"> of the payment is calculated for every agricultural holding separately. It is calculated as 0.45 share of the product of number of points prescribed for an individual agricultural holding on the basis of the register of agricultural holdings in ANC and the point value.</w:t>
            </w:r>
          </w:p>
          <w:p w:rsidR="00C21266" w:rsidRPr="005C3B55" w:rsidRDefault="00C21266">
            <w:pPr>
              <w:spacing w:before="240" w:after="240"/>
              <w:rPr>
                <w:szCs w:val="24"/>
              </w:rPr>
            </w:pPr>
            <w:r w:rsidRPr="005C3B55">
              <w:t>The point value is 0.40 EUR.</w:t>
            </w:r>
          </w:p>
          <w:p w:rsidR="00C21266" w:rsidRPr="005C3B55" w:rsidRDefault="00C21266">
            <w:pPr>
              <w:spacing w:before="240" w:after="240"/>
              <w:rPr>
                <w:szCs w:val="24"/>
              </w:rPr>
            </w:pPr>
            <w:r w:rsidRPr="005C3B55">
              <w:t>The number of agricultural holding points is derived from the register of agricultural holdings in ANC in which all agricultural holdings with the agricultural land in ANC are included. The number of points reflects the differences in production costs per a unit of land between the areas facing constraining factors and areas without constraints for agricultural production.</w:t>
            </w:r>
          </w:p>
          <w:p w:rsidR="00C21266" w:rsidRPr="005C3B55" w:rsidRDefault="00C21266">
            <w:pPr>
              <w:spacing w:before="240" w:after="240"/>
              <w:rPr>
                <w:szCs w:val="24"/>
              </w:rPr>
            </w:pPr>
            <w:r w:rsidRPr="005C3B55">
              <w:t> </w:t>
            </w:r>
          </w:p>
          <w:p w:rsidR="00C21266" w:rsidRPr="005C3B55" w:rsidRDefault="00C21266">
            <w:pPr>
              <w:spacing w:before="240" w:after="240"/>
              <w:rPr>
                <w:szCs w:val="24"/>
              </w:rPr>
            </w:pPr>
            <w:r w:rsidRPr="005C3B55">
              <w:t>In determining the highest and the lowest amount of payment the restrictions of support amounts from Annex II to Regulation (EU) No 1305/2013 are taken into account.</w:t>
            </w:r>
          </w:p>
          <w:p w:rsidR="00C21266" w:rsidRPr="005C3B55" w:rsidRDefault="00C21266">
            <w:pPr>
              <w:spacing w:before="240" w:after="240"/>
              <w:rPr>
                <w:szCs w:val="24"/>
              </w:rPr>
            </w:pPr>
            <w:r w:rsidRPr="005C3B55">
              <w:t>The maximum amount of payment in other areas with natural constraints outside mountainous areas is 250 EUR/ha. If the calculated amount of the compensatory payments exceeds that limit, the amount of payment to the respective agricultural holding is decreased so that the maximum amount of payment is 250 EUR/ha for an agricultural holding in other areas with important natural constraints.</w:t>
            </w:r>
          </w:p>
          <w:p w:rsidR="00C21266" w:rsidRPr="005C3B55" w:rsidRDefault="00C21266">
            <w:pPr>
              <w:spacing w:before="240" w:after="240"/>
              <w:rPr>
                <w:szCs w:val="24"/>
              </w:rPr>
            </w:pPr>
            <w:r w:rsidRPr="005C3B55">
              <w:t>The minimum payment for a hectare is 25 EUR/ha.</w:t>
            </w:r>
          </w:p>
          <w:p w:rsidR="00C21266" w:rsidRPr="005C3B55" w:rsidRDefault="00C21266">
            <w:pPr>
              <w:spacing w:before="240" w:after="240"/>
              <w:rPr>
                <w:szCs w:val="24"/>
              </w:rPr>
            </w:pPr>
            <w:r w:rsidRPr="005C3B55">
              <w:t>Pursuant to the fifth paragraph of Article 31 of Regulation (EU) No 1305/2013, beneficiaries in these areas will receive a whole payment up to and including 2017, while from 2018 or from the concluded delimitation on, only in areas still eligible for payments.</w:t>
            </w:r>
          </w:p>
          <w:p w:rsidR="00C21266" w:rsidRPr="005C3B55" w:rsidRDefault="00C21266">
            <w:pPr>
              <w:spacing w:before="240" w:after="240"/>
              <w:rPr>
                <w:szCs w:val="24"/>
              </w:rPr>
            </w:pPr>
            <w:r w:rsidRPr="005C3B55">
              <w:t xml:space="preserve">For beneficiaries in areas who are not eligible for payments due to a new delimitation, the aforementioned payments are gradually decreased, so that they are 80% of an average payment in 2018, 50% of an average payment in 2019 and 20% of an average payment in 2020. </w:t>
            </w:r>
          </w:p>
          <w:p w:rsidR="00C21266" w:rsidRPr="005C3B55" w:rsidRDefault="00C21266">
            <w:pPr>
              <w:spacing w:before="240" w:after="240"/>
              <w:rPr>
                <w:szCs w:val="24"/>
              </w:rPr>
            </w:pPr>
            <w:r w:rsidRPr="005C3B55">
              <w:t>The determination of compensatory payment is adequate and precise and prepared on the basis of an adequate, just and verifiable calculation and confirmed by an independent authority.</w:t>
            </w:r>
          </w:p>
          <w:p w:rsidR="00C21266" w:rsidRPr="005C3B55" w:rsidRDefault="00C21266">
            <w:pPr>
              <w:spacing w:before="240" w:after="240"/>
              <w:rPr>
                <w:szCs w:val="24"/>
              </w:rPr>
            </w:pPr>
            <w:r w:rsidRPr="005C3B55">
              <w:t>The calculation of the compensatory payments is presented in detail the Chapter Methodology for the calculation of the amount of support within the scope of this sub-measure.</w:t>
            </w:r>
          </w:p>
          <w:p w:rsidR="00C21266" w:rsidRPr="005C3B55" w:rsidRDefault="00C21266">
            <w:pPr>
              <w:pStyle w:val="Telobesedila"/>
            </w:pPr>
          </w:p>
          <w:p w:rsidR="00C21266" w:rsidRPr="005C3B55" w:rsidRDefault="0012246E">
            <w:pPr>
              <w:pStyle w:val="Telobesedila3"/>
              <w:jc w:val="center"/>
            </w:pPr>
            <w:r w:rsidRPr="005C3B55">
              <w:rPr>
                <w:noProof/>
                <w:lang w:val="sl-SI"/>
              </w:rPr>
              <w:drawing>
                <wp:inline distT="0" distB="0" distL="0" distR="0">
                  <wp:extent cx="4133850" cy="1323975"/>
                  <wp:effectExtent l="0" t="0" r="0" b="9525"/>
                  <wp:docPr id="3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133850" cy="1323975"/>
                          </a:xfrm>
                          <a:prstGeom prst="rect">
                            <a:avLst/>
                          </a:prstGeom>
                          <a:noFill/>
                          <a:ln>
                            <a:noFill/>
                          </a:ln>
                        </pic:spPr>
                      </pic:pic>
                    </a:graphicData>
                  </a:graphic>
                </wp:inline>
              </w:drawing>
            </w:r>
          </w:p>
          <w:p w:rsidR="00C21266" w:rsidRPr="005C3B55" w:rsidRDefault="00C21266">
            <w:pPr>
              <w:pStyle w:val="Noga"/>
              <w:spacing w:after="120"/>
              <w:jc w:val="center"/>
            </w:pPr>
            <w:r w:rsidRPr="005C3B55">
              <w:t>Difficulty class of agricultural holding</w:t>
            </w:r>
          </w:p>
          <w:p w:rsidR="00C21266" w:rsidRPr="005C3B55" w:rsidRDefault="00C21266">
            <w:pPr>
              <w:pStyle w:val="Noga"/>
              <w:jc w:val="center"/>
              <w:rPr>
                <w:lang w:eastAsia="en-GB" w:bidi="en-GB"/>
              </w:rPr>
            </w:pPr>
          </w:p>
        </w:tc>
      </w:tr>
    </w:tbl>
    <w:p w:rsidR="00C21266" w:rsidRPr="005C3B55" w:rsidRDefault="00C21266" w:rsidP="00C21266">
      <w:pPr>
        <w:pStyle w:val="Naslov6"/>
        <w:tabs>
          <w:tab w:val="clear" w:pos="765"/>
        </w:tabs>
        <w:ind w:left="0" w:firstLine="0"/>
        <w:rPr>
          <w:lang w:val="en-GB" w:eastAsia="en-GB" w:bidi="en-GB"/>
        </w:rPr>
      </w:pPr>
      <w:r w:rsidRPr="005C3B55">
        <w:rPr>
          <w:lang w:val="en-GB"/>
        </w:rPr>
        <w:t>Verifiability and possibility of control of measures and/or type of operations</w:t>
      </w:r>
    </w:p>
    <w:p w:rsidR="00C21266" w:rsidRPr="005C3B55" w:rsidRDefault="00C21266" w:rsidP="00C21266">
      <w:pPr>
        <w:pStyle w:val="Naslov7"/>
        <w:tabs>
          <w:tab w:val="clear" w:pos="765"/>
        </w:tabs>
        <w:ind w:left="0" w:firstLine="0"/>
        <w:rPr>
          <w:lang w:val="en-GB"/>
        </w:rPr>
      </w:pPr>
      <w:r w:rsidRPr="005C3B55">
        <w:rPr>
          <w:lang w:val="en-GB"/>
        </w:rPr>
        <w:t>Risks in the implementation of the measure</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rPr>
                <w:b/>
              </w:rPr>
              <w:t>R5: Requirements which are difficult to verify and/or control</w:t>
            </w:r>
          </w:p>
          <w:p w:rsidR="00C21266" w:rsidRPr="005C3B55" w:rsidRDefault="00C21266">
            <w:pPr>
              <w:spacing w:before="240" w:after="240"/>
              <w:rPr>
                <w:szCs w:val="24"/>
              </w:rPr>
            </w:pPr>
            <w:r w:rsidRPr="005C3B55">
              <w:t>No major risks were detected within this sub-measure. The compensatory payment mainly depends in the eligible area of agricultural land, classification of an agricultural holding into a difficulty class and on the individual number of difficulty points for every agricultural holding. Agricultural land is preliminary regulated by the beneficiary in the register of agricultural holdings according to the provision regulating the application and records of agricultural land. The data on the classification of agricultural land into difficulty classes are kept in a computerised form at Ministry of Agriculture, Forestry and Food in a form of a daily updated register.</w:t>
            </w:r>
          </w:p>
          <w:p w:rsidR="00C21266" w:rsidRPr="005C3B55" w:rsidRDefault="00C21266">
            <w:pPr>
              <w:spacing w:before="240" w:after="240"/>
              <w:rPr>
                <w:szCs w:val="24"/>
              </w:rPr>
            </w:pPr>
            <w:r w:rsidRPr="005C3B55">
              <w:rPr>
                <w:b/>
              </w:rPr>
              <w:t>R6: General conditions for implementation</w:t>
            </w:r>
          </w:p>
          <w:p w:rsidR="00C21266" w:rsidRPr="005C3B55" w:rsidRDefault="00C21266">
            <w:pPr>
              <w:spacing w:before="240" w:after="240"/>
              <w:rPr>
                <w:szCs w:val="24"/>
              </w:rPr>
            </w:pPr>
            <w:r w:rsidRPr="005C3B55">
              <w:t>No major risks were detected within this sub-measure. An automatic administrative acquisition of agricultural land at the individual agricultural holding is executed at the entry of claims for compensatory payments conducted in an electronic form, while the data on classification of agricultural holding in a difficulty class and the number of difficulty points for every agricultural holding is also acquired automatically. The potential risk may represent an untimely adoption of provisions regulating ANC payments. Poor information and awareness on the measure may also be considered as a risk, particularly in the period when the changes are being implemented.</w:t>
            </w:r>
          </w:p>
          <w:p w:rsidR="00C21266" w:rsidRPr="005C3B55" w:rsidRDefault="00C21266">
            <w:pPr>
              <w:spacing w:before="240" w:after="240"/>
              <w:rPr>
                <w:szCs w:val="24"/>
              </w:rPr>
            </w:pPr>
            <w:r w:rsidRPr="005C3B55">
              <w:rPr>
                <w:b/>
              </w:rPr>
              <w:t>R8: IT systems</w:t>
            </w:r>
          </w:p>
          <w:p w:rsidR="00C21266" w:rsidRPr="005C3B55" w:rsidRDefault="00C21266">
            <w:pPr>
              <w:spacing w:before="240" w:after="240"/>
              <w:rPr>
                <w:szCs w:val="24"/>
              </w:rPr>
            </w:pPr>
            <w:r w:rsidRPr="005C3B55">
              <w:t>There is a risk of an inadequate IT system that is not advanced and does provide sufficient support.</w:t>
            </w:r>
          </w:p>
          <w:p w:rsidR="00C21266" w:rsidRPr="005C3B55" w:rsidRDefault="00C21266">
            <w:pPr>
              <w:spacing w:before="240" w:after="240"/>
              <w:rPr>
                <w:szCs w:val="24"/>
              </w:rPr>
            </w:pPr>
            <w:r w:rsidRPr="005C3B55">
              <w:rPr>
                <w:b/>
              </w:rPr>
              <w:t>R9: Requests for payment</w:t>
            </w:r>
          </w:p>
          <w:p w:rsidR="00C21266" w:rsidRPr="005C3B55" w:rsidRDefault="00C21266">
            <w:pPr>
              <w:spacing w:before="240" w:after="240"/>
              <w:rPr>
                <w:szCs w:val="24"/>
              </w:rPr>
            </w:pPr>
            <w:r w:rsidRPr="005C3B55">
              <w:t>No major risks were detected within this sub-measure. Beneficiaries submit an application for the ANC measure within the scope of submitting a joint single application every year between February and May. The clearing of the received applications is carried out by the Agency of the Republic of Slovenia for Agricultural Markets and Rural Development at the end of every year or in the beginning of the next year for applications submitted in the current year or previous year. There is a risk that the payment of application will not start in the current but only in the next year due to the budget illiquidity.</w:t>
            </w:r>
          </w:p>
          <w:p w:rsidR="00C21266" w:rsidRPr="005C3B55" w:rsidRDefault="00C21266">
            <w:pPr>
              <w:pStyle w:val="Telobesedila"/>
              <w:rPr>
                <w:lang w:eastAsia="en-GB" w:bidi="en-GB"/>
              </w:rPr>
            </w:pPr>
          </w:p>
        </w:tc>
      </w:tr>
    </w:tbl>
    <w:p w:rsidR="00C21266" w:rsidRPr="005C3B55" w:rsidRDefault="00C21266" w:rsidP="00C21266">
      <w:pPr>
        <w:pStyle w:val="Naslov7"/>
        <w:tabs>
          <w:tab w:val="clear" w:pos="765"/>
        </w:tabs>
        <w:ind w:left="0" w:firstLine="0"/>
        <w:rPr>
          <w:lang w:val="en-GB" w:eastAsia="en-GB" w:bidi="en-GB"/>
        </w:rPr>
      </w:pPr>
      <w:r w:rsidRPr="005C3B55">
        <w:rPr>
          <w:lang w:val="en-GB"/>
        </w:rPr>
        <w:t>Mitigation measures</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rPr>
                <w:b/>
              </w:rPr>
              <w:t>R5: Requirements which are difficult to verify and/or control</w:t>
            </w:r>
          </w:p>
          <w:p w:rsidR="00C21266" w:rsidRPr="005C3B55" w:rsidRDefault="00C21266">
            <w:pPr>
              <w:spacing w:before="240" w:after="240"/>
              <w:rPr>
                <w:szCs w:val="24"/>
              </w:rPr>
            </w:pPr>
            <w:r w:rsidRPr="005C3B55">
              <w:t>A farmer registers agricultural land in the Geographic Information System on the basis of the ortophoto images. However, the registered surface must not exceed the largest determined surface from the comparison capturing the use of agricultural land which is an official record in Slovenia. If the registered surface is larger, the field inspection is carried out for the respective surface. Only if the field inspection indicates a true agricultural use (e.g. in case of an obsolete ortophoto image), this surface may be determined as justified.</w:t>
            </w:r>
          </w:p>
          <w:p w:rsidR="00C21266" w:rsidRPr="005C3B55" w:rsidRDefault="00C21266">
            <w:pPr>
              <w:spacing w:before="240" w:after="240"/>
              <w:rPr>
                <w:szCs w:val="24"/>
              </w:rPr>
            </w:pPr>
            <w:r w:rsidRPr="005C3B55">
              <w:rPr>
                <w:b/>
              </w:rPr>
              <w:t>R6: General conditions for implementation</w:t>
            </w:r>
          </w:p>
          <w:p w:rsidR="00C21266" w:rsidRPr="005C3B55" w:rsidRDefault="00C21266">
            <w:pPr>
              <w:spacing w:before="240" w:after="240"/>
              <w:rPr>
                <w:szCs w:val="24"/>
              </w:rPr>
            </w:pPr>
            <w:r w:rsidRPr="005C3B55">
              <w:t>If the size of an agricultural holding in ANC is less than 1 ha of agricultural land upon the submission of the application, the application is rejected.</w:t>
            </w:r>
          </w:p>
          <w:p w:rsidR="00C21266" w:rsidRPr="005C3B55" w:rsidRDefault="00C21266">
            <w:pPr>
              <w:spacing w:before="240" w:after="240"/>
              <w:rPr>
                <w:szCs w:val="24"/>
              </w:rPr>
            </w:pPr>
            <w:r w:rsidRPr="005C3B55">
              <w:rPr>
                <w:b/>
              </w:rPr>
              <w:t>R8: IT systems</w:t>
            </w:r>
          </w:p>
          <w:p w:rsidR="00C21266" w:rsidRPr="005C3B55" w:rsidRDefault="00C21266">
            <w:pPr>
              <w:spacing w:before="240" w:after="240"/>
              <w:rPr>
                <w:szCs w:val="24"/>
              </w:rPr>
            </w:pPr>
            <w:r w:rsidRPr="005C3B55">
              <w:t>IT systems, operating with the ANC data, are simple and robust and indicate the necessary level of reliability. They were also examined by the internal revision in the recent years. The operation controls were carried out upon the establishing the registers.</w:t>
            </w:r>
          </w:p>
          <w:p w:rsidR="00C21266" w:rsidRPr="005C3B55" w:rsidRDefault="00C21266">
            <w:pPr>
              <w:spacing w:before="240" w:after="240"/>
              <w:rPr>
                <w:szCs w:val="24"/>
              </w:rPr>
            </w:pPr>
            <w:r w:rsidRPr="005C3B55">
              <w:rPr>
                <w:b/>
              </w:rPr>
              <w:t>R9: Requests for payment</w:t>
            </w:r>
          </w:p>
          <w:p w:rsidR="00C21266" w:rsidRPr="005C3B55" w:rsidRDefault="00C21266">
            <w:pPr>
              <w:spacing w:before="240" w:after="240"/>
              <w:rPr>
                <w:szCs w:val="24"/>
              </w:rPr>
            </w:pPr>
            <w:r w:rsidRPr="005C3B55">
              <w:t>The applications are submitted electronically, followed by the processing within the scope of the information system at the Agency of the Republic of Slovenia for Agricultural Markets and Rural Development. The adequate planning of budgetary outlays and informing of beneficiaries on the payments time-line are required.</w:t>
            </w:r>
          </w:p>
          <w:p w:rsidR="00C21266" w:rsidRPr="005C3B55" w:rsidRDefault="00C21266">
            <w:pPr>
              <w:pStyle w:val="Telobesedila"/>
              <w:rPr>
                <w:lang w:eastAsia="en-GB" w:bidi="en-GB"/>
              </w:rPr>
            </w:pPr>
          </w:p>
        </w:tc>
      </w:tr>
    </w:tbl>
    <w:p w:rsidR="00C21266" w:rsidRPr="005C3B55" w:rsidRDefault="00C21266" w:rsidP="00C21266">
      <w:pPr>
        <w:pStyle w:val="Naslov7"/>
        <w:tabs>
          <w:tab w:val="clear" w:pos="765"/>
        </w:tabs>
        <w:ind w:left="0" w:firstLine="0"/>
        <w:rPr>
          <w:lang w:val="en-GB" w:eastAsia="en-GB" w:bidi="en-GB"/>
        </w:rPr>
      </w:pPr>
      <w:r w:rsidRPr="005C3B55">
        <w:rPr>
          <w:lang w:val="en-GB"/>
        </w:rPr>
        <w:t>General assessment of the measure</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The sub-measure has already proven as a successful instrument of agricultural policy which has an important impact on the further level of cultivation of agricultural land which would otherwise probably be abandoned and overgrown and thus its level of biotic diversity reduced.</w:t>
            </w:r>
          </w:p>
          <w:p w:rsidR="00C21266" w:rsidRPr="005C3B55" w:rsidRDefault="00C21266">
            <w:pPr>
              <w:spacing w:before="240" w:after="240"/>
              <w:rPr>
                <w:szCs w:val="24"/>
              </w:rPr>
            </w:pPr>
            <w:r w:rsidRPr="005C3B55">
              <w:t>The sub-measure is simple for implementation and is relatively undemanding in terms of administration. The data used for the calculation of the compensatory payment are acquired from official registers or the Geographic Information System measurements without a subjective personal impact. The eligible surfaces used in this sub-measure are a part of the integrated administrative system (IAKS).</w:t>
            </w:r>
          </w:p>
          <w:p w:rsidR="00C21266" w:rsidRPr="005C3B55" w:rsidRDefault="00C21266">
            <w:pPr>
              <w:pStyle w:val="Telobesedila"/>
              <w:rPr>
                <w:lang w:eastAsia="en-GB" w:bidi="en-GB"/>
              </w:rPr>
            </w:pPr>
          </w:p>
        </w:tc>
      </w:tr>
    </w:tbl>
    <w:p w:rsidR="00C21266" w:rsidRPr="005C3B55" w:rsidRDefault="00C21266" w:rsidP="00C21266">
      <w:pPr>
        <w:pStyle w:val="Naslov6"/>
        <w:tabs>
          <w:tab w:val="clear" w:pos="765"/>
        </w:tabs>
        <w:ind w:left="0" w:firstLine="0"/>
        <w:rPr>
          <w:lang w:val="en-GB" w:eastAsia="en-GB" w:bidi="en-GB"/>
        </w:rPr>
      </w:pPr>
      <w:r w:rsidRPr="005C3B55">
        <w:rPr>
          <w:lang w:val="en-GB"/>
        </w:rPr>
        <w:t>Methodology for calculating support amount, where relevant</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The methodology for the calculation of the amount of support in the sub-measure Compensatory payments in other areas facing natural constraints outside the mountainous areas took into account additional (higher) costs and loss of revenue (smaller harvest) in other areas facing natural constraints outside mountainous areas compared to the agricultural activities outside the ANC areas.</w:t>
            </w:r>
          </w:p>
          <w:p w:rsidR="00C21266" w:rsidRPr="005C3B55" w:rsidRDefault="00C21266">
            <w:pPr>
              <w:spacing w:before="240" w:after="240"/>
              <w:rPr>
                <w:szCs w:val="24"/>
              </w:rPr>
            </w:pPr>
            <w:r w:rsidRPr="005C3B55">
              <w:t>To precisely define the agricultural conditions for every individual agricultural holding, the register (scoring) of agricultural holdings in ANC was created.</w:t>
            </w:r>
          </w:p>
          <w:p w:rsidR="00C21266" w:rsidRPr="005C3B55" w:rsidRDefault="00C21266">
            <w:pPr>
              <w:spacing w:before="240" w:after="240"/>
              <w:rPr>
                <w:szCs w:val="24"/>
              </w:rPr>
            </w:pPr>
            <w:r w:rsidRPr="005C3B55">
              <w:t>The methodological basis, definition of the model content and the implementation of applicative calculation took into account that the number of points and resulting amount of required compensatory payments is a reflection of differences in production costs per unit of surface between ANC and areas without constraints for agricultural production.</w:t>
            </w:r>
          </w:p>
          <w:p w:rsidR="00C21266" w:rsidRPr="005C3B55" w:rsidRDefault="00C21266">
            <w:pPr>
              <w:spacing w:before="240" w:after="240"/>
              <w:rPr>
                <w:szCs w:val="24"/>
              </w:rPr>
            </w:pPr>
            <w:r w:rsidRPr="005C3B55">
              <w:t>The preparation of methodology for the register of agricultural holdings in ANC drawn up by the Agricultural Institute of Slovenia took into account the following criteria:</w:t>
            </w:r>
          </w:p>
          <w:p w:rsidR="00C21266" w:rsidRPr="005C3B55" w:rsidRDefault="00C21266" w:rsidP="006E20B6">
            <w:pPr>
              <w:numPr>
                <w:ilvl w:val="0"/>
                <w:numId w:val="924"/>
              </w:numPr>
              <w:spacing w:before="240" w:after="0"/>
              <w:ind w:hanging="290"/>
              <w:jc w:val="left"/>
              <w:rPr>
                <w:szCs w:val="24"/>
              </w:rPr>
            </w:pPr>
            <w:r w:rsidRPr="005C3B55">
              <w:rPr>
                <w:u w:val="single"/>
              </w:rPr>
              <w:t>Standard:</w:t>
            </w:r>
            <w:r w:rsidRPr="005C3B55">
              <w:t xml:space="preserve"> soil conditions, altitude, incline, the size of graphical agricultural units of a farm holding and</w:t>
            </w:r>
          </w:p>
          <w:p w:rsidR="00C21266" w:rsidRPr="005C3B55" w:rsidRDefault="00C21266" w:rsidP="006E20B6">
            <w:pPr>
              <w:numPr>
                <w:ilvl w:val="0"/>
                <w:numId w:val="924"/>
              </w:numPr>
              <w:spacing w:before="0" w:after="240"/>
              <w:ind w:hanging="290"/>
              <w:jc w:val="left"/>
              <w:rPr>
                <w:szCs w:val="24"/>
              </w:rPr>
            </w:pPr>
            <w:r w:rsidRPr="005C3B55">
              <w:rPr>
                <w:u w:val="single"/>
              </w:rPr>
              <w:t>Regionally specific:</w:t>
            </w:r>
            <w:r w:rsidRPr="005C3B55">
              <w:t xml:space="preserve"> karst surface, floods, strong winds, erosion.</w:t>
            </w:r>
          </w:p>
          <w:p w:rsidR="00C21266" w:rsidRPr="005C3B55" w:rsidRDefault="00C21266">
            <w:pPr>
              <w:spacing w:before="240" w:after="240"/>
              <w:rPr>
                <w:szCs w:val="24"/>
              </w:rPr>
            </w:pPr>
            <w:r w:rsidRPr="005C3B55">
              <w:t>Model calculations of the Agricultural Institute of Slovenia were used for the analysis which helped to evaluate the difference in costs for different cultures. In this respect:</w:t>
            </w:r>
          </w:p>
          <w:p w:rsidR="00C21266" w:rsidRPr="005C3B55" w:rsidRDefault="00C21266" w:rsidP="006E20B6">
            <w:pPr>
              <w:numPr>
                <w:ilvl w:val="0"/>
                <w:numId w:val="925"/>
              </w:numPr>
              <w:spacing w:before="240" w:after="0"/>
              <w:ind w:hanging="290"/>
              <w:jc w:val="left"/>
              <w:rPr>
                <w:szCs w:val="24"/>
              </w:rPr>
            </w:pPr>
            <w:r w:rsidRPr="005C3B55">
              <w:t>representative of individual cultures (wheat, grain maize, potato and forage hay) were selected for fields and</w:t>
            </w:r>
          </w:p>
          <w:p w:rsidR="00C21266" w:rsidRPr="005C3B55" w:rsidRDefault="00C21266" w:rsidP="006E20B6">
            <w:pPr>
              <w:numPr>
                <w:ilvl w:val="0"/>
                <w:numId w:val="925"/>
              </w:numPr>
              <w:spacing w:before="0" w:after="240"/>
              <w:ind w:hanging="290"/>
              <w:jc w:val="left"/>
              <w:rPr>
                <w:szCs w:val="24"/>
              </w:rPr>
            </w:pPr>
            <w:r w:rsidRPr="005C3B55">
              <w:t>forage gathering in a form of hay and in a form of pasture for grassland.</w:t>
            </w:r>
          </w:p>
          <w:p w:rsidR="00C21266" w:rsidRPr="005C3B55" w:rsidRDefault="00C21266">
            <w:pPr>
              <w:spacing w:before="240" w:after="240"/>
              <w:rPr>
                <w:szCs w:val="24"/>
              </w:rPr>
            </w:pPr>
            <w:r w:rsidRPr="005C3B55">
              <w:t>The basic spatial unit, for which the simulation calculation of number of points was conducted, is a graphical agricultural unit of a farm holding (GERK). The average number of points of individual GERK is calculated on the basis of differences in costs and weightings of individual crops. These are defined on the basis of the presumed uniform rotation crops and rational structure of grassland use, which initially takes into account an important share of pasture. The final result of the analysis in terms of individual use (field of grassland GERK) are calculated points determined by observed criteria.</w:t>
            </w:r>
          </w:p>
          <w:p w:rsidR="00C21266" w:rsidRPr="005C3B55" w:rsidRDefault="00C21266">
            <w:pPr>
              <w:spacing w:before="240" w:after="240"/>
              <w:rPr>
                <w:szCs w:val="24"/>
              </w:rPr>
            </w:pPr>
            <w:r w:rsidRPr="005C3B55">
              <w:t>The average number of points at the farm level is calculated with the weighted average of points of individual units, whereby the surface of individual GERK is used for weighing.</w:t>
            </w:r>
          </w:p>
          <w:p w:rsidR="00C21266" w:rsidRPr="005C3B55" w:rsidRDefault="00C21266">
            <w:pPr>
              <w:spacing w:before="240" w:after="240"/>
              <w:rPr>
                <w:szCs w:val="24"/>
              </w:rPr>
            </w:pPr>
            <w:r w:rsidRPr="005C3B55">
              <w:t>All agricultural holdings with the agricultural land in ANC are included in the register of agricultural holdings in ANC.</w:t>
            </w:r>
          </w:p>
          <w:p w:rsidR="00C21266" w:rsidRPr="005C3B55" w:rsidRDefault="00C21266">
            <w:pPr>
              <w:spacing w:before="240" w:after="240"/>
              <w:rPr>
                <w:szCs w:val="24"/>
              </w:rPr>
            </w:pPr>
            <w:r w:rsidRPr="005C3B55">
              <w:t>By ranking agricultural holdings in ANC with points, the constraining factors relating to agricultural land are well evaluated. However, the constraints the agricultural holding has due to its location in the region or local community, remoteness and accessibility and several other characteristics cannot be evaluated. These characteristics are well grouped in current difficulty classes, which are apart from points of agricultural holdings in ANC included in the formula for calculating the compensatory payment per hectare.</w:t>
            </w:r>
          </w:p>
          <w:p w:rsidR="00C21266" w:rsidRPr="005C3B55" w:rsidRDefault="00C21266">
            <w:pPr>
              <w:spacing w:before="240" w:after="240"/>
              <w:rPr>
                <w:szCs w:val="24"/>
              </w:rPr>
            </w:pPr>
            <w:r w:rsidRPr="005C3B55">
              <w:t>The compensatory payment per hectare includes:</w:t>
            </w:r>
          </w:p>
          <w:p w:rsidR="00C21266" w:rsidRPr="005C3B55" w:rsidRDefault="00C21266">
            <w:pPr>
              <w:spacing w:before="240" w:after="240"/>
              <w:rPr>
                <w:szCs w:val="24"/>
              </w:rPr>
            </w:pPr>
            <w:r w:rsidRPr="005C3B55">
              <w:t>- FIXED PART of ANC payment which is presented with specific amounts for individual difficulty class of agricultural holdings and</w:t>
            </w:r>
          </w:p>
          <w:p w:rsidR="00C21266" w:rsidRPr="005C3B55" w:rsidRDefault="00C21266">
            <w:pPr>
              <w:spacing w:before="240" w:after="240"/>
              <w:rPr>
                <w:szCs w:val="24"/>
              </w:rPr>
            </w:pPr>
            <w:r w:rsidRPr="005C3B55">
              <w:t>- VARIABLE PART of ANC payment.</w:t>
            </w:r>
          </w:p>
          <w:p w:rsidR="00C21266" w:rsidRPr="005C3B55" w:rsidRDefault="00C21266">
            <w:pPr>
              <w:spacing w:before="240" w:after="240"/>
              <w:rPr>
                <w:szCs w:val="24"/>
              </w:rPr>
            </w:pPr>
            <w:r w:rsidRPr="005C3B55">
              <w:t>Additional data related to the description of methodology for the calculation of the amount of support are included within the scope of the Chapter Methodology for the calculation of the amount of support at the level of the whole measure.</w:t>
            </w:r>
          </w:p>
          <w:p w:rsidR="00C21266" w:rsidRPr="005C3B55" w:rsidRDefault="00C21266">
            <w:pPr>
              <w:spacing w:before="240" w:after="240"/>
              <w:rPr>
                <w:szCs w:val="24"/>
              </w:rPr>
            </w:pPr>
            <w:r w:rsidRPr="005C3B55">
              <w:t>Since the support for ANC in the scope of the first pillar in Slovenia is not foreseen, the calculation also does not observe the payments according to the Chapter 3 of Title III of Regulation (EU) No 1307/2013.</w:t>
            </w:r>
          </w:p>
          <w:p w:rsidR="00C21266" w:rsidRPr="005C3B55" w:rsidRDefault="00C21266">
            <w:pPr>
              <w:spacing w:before="240" w:after="240"/>
              <w:rPr>
                <w:szCs w:val="24"/>
              </w:rPr>
            </w:pPr>
            <w:r w:rsidRPr="005C3B55">
              <w:t> </w:t>
            </w:r>
          </w:p>
          <w:p w:rsidR="00C21266" w:rsidRPr="005C3B55" w:rsidRDefault="00C21266">
            <w:pPr>
              <w:spacing w:before="240" w:after="240"/>
              <w:rPr>
                <w:szCs w:val="24"/>
              </w:rPr>
            </w:pPr>
            <w:r w:rsidRPr="005C3B55">
              <w:t> </w:t>
            </w:r>
          </w:p>
          <w:p w:rsidR="00C21266" w:rsidRPr="005C3B55" w:rsidRDefault="00C21266">
            <w:pPr>
              <w:spacing w:before="240" w:after="240"/>
              <w:rPr>
                <w:szCs w:val="24"/>
              </w:rPr>
            </w:pPr>
            <w:r w:rsidRPr="005C3B55">
              <w:t> </w:t>
            </w:r>
          </w:p>
          <w:p w:rsidR="00C21266" w:rsidRPr="005C3B55" w:rsidRDefault="00C21266">
            <w:pPr>
              <w:spacing w:before="240" w:after="240"/>
              <w:rPr>
                <w:szCs w:val="24"/>
              </w:rPr>
            </w:pPr>
            <w:r w:rsidRPr="005C3B55">
              <w:t> </w:t>
            </w:r>
          </w:p>
          <w:p w:rsidR="00C21266" w:rsidRPr="005C3B55" w:rsidRDefault="00C21266">
            <w:pPr>
              <w:pStyle w:val="Telobesedila"/>
              <w:rPr>
                <w:lang w:eastAsia="en-GB" w:bidi="en-GB"/>
              </w:rPr>
            </w:pPr>
          </w:p>
        </w:tc>
      </w:tr>
    </w:tbl>
    <w:p w:rsidR="00C21266" w:rsidRPr="005C3B55" w:rsidRDefault="00C21266" w:rsidP="00C21266">
      <w:pPr>
        <w:pStyle w:val="Naslov6"/>
        <w:tabs>
          <w:tab w:val="clear" w:pos="765"/>
        </w:tabs>
        <w:ind w:left="0" w:firstLine="0"/>
        <w:rPr>
          <w:lang w:val="en-GB" w:eastAsia="en-GB" w:bidi="en-GB"/>
        </w:rPr>
      </w:pPr>
      <w:r w:rsidRPr="005C3B55">
        <w:rPr>
          <w:lang w:val="en-GB"/>
        </w:rPr>
        <w:t>Information that relates specifically to the operation</w:t>
      </w:r>
    </w:p>
    <w:p w:rsidR="00C21266" w:rsidRPr="005C3B55" w:rsidRDefault="00C21266" w:rsidP="00C21266">
      <w:r w:rsidRPr="005C3B55">
        <w:t>The definition of the threshold of surface per agricultural holding, on the basis of which the Member state calculates the gradual decrease of payments</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As per Point 4 of Article 31 of Regulation (EU) No 1305/2013 the gradual decrease of compensatory payments is provided.</w:t>
            </w:r>
          </w:p>
          <w:p w:rsidR="00C21266" w:rsidRPr="005C3B55" w:rsidRDefault="00C21266">
            <w:pPr>
              <w:spacing w:before="240" w:after="240"/>
              <w:rPr>
                <w:szCs w:val="24"/>
              </w:rPr>
            </w:pPr>
            <w:r w:rsidRPr="005C3B55">
              <w:t>Due to landed property fragmentation in Slovenia, the economy of scope begins to be effective in 70 hectares of agricultural land in areas facing natural or other specific constraints. The gradual decrease of payments is thus defined in the following manner:</w:t>
            </w:r>
          </w:p>
          <w:p w:rsidR="00C21266" w:rsidRPr="005C3B55" w:rsidRDefault="00C21266" w:rsidP="006E20B6">
            <w:pPr>
              <w:numPr>
                <w:ilvl w:val="0"/>
                <w:numId w:val="926"/>
              </w:numPr>
              <w:spacing w:before="240" w:after="0"/>
              <w:ind w:hanging="290"/>
              <w:jc w:val="left"/>
              <w:rPr>
                <w:szCs w:val="24"/>
              </w:rPr>
            </w:pPr>
            <w:r w:rsidRPr="005C3B55">
              <w:t>to 70 ha the payment is 100%;</w:t>
            </w:r>
          </w:p>
          <w:p w:rsidR="00C21266" w:rsidRPr="005C3B55" w:rsidRDefault="00C21266" w:rsidP="006E20B6">
            <w:pPr>
              <w:numPr>
                <w:ilvl w:val="0"/>
                <w:numId w:val="926"/>
              </w:numPr>
              <w:spacing w:before="0" w:after="0"/>
              <w:ind w:hanging="290"/>
              <w:jc w:val="left"/>
              <w:rPr>
                <w:szCs w:val="24"/>
              </w:rPr>
            </w:pPr>
            <w:r w:rsidRPr="005C3B55">
              <w:t>above 70 and to 80 ha the payment is 85%;</w:t>
            </w:r>
          </w:p>
          <w:p w:rsidR="00C21266" w:rsidRPr="005C3B55" w:rsidRDefault="00C21266" w:rsidP="006E20B6">
            <w:pPr>
              <w:numPr>
                <w:ilvl w:val="0"/>
                <w:numId w:val="926"/>
              </w:numPr>
              <w:spacing w:before="0" w:after="0"/>
              <w:ind w:hanging="290"/>
              <w:jc w:val="left"/>
              <w:rPr>
                <w:szCs w:val="24"/>
              </w:rPr>
            </w:pPr>
            <w:r w:rsidRPr="005C3B55">
              <w:t>above 80 and to 90 ha the payment is 70%;</w:t>
            </w:r>
          </w:p>
          <w:p w:rsidR="00C21266" w:rsidRPr="005C3B55" w:rsidRDefault="00C21266" w:rsidP="006E20B6">
            <w:pPr>
              <w:numPr>
                <w:ilvl w:val="0"/>
                <w:numId w:val="926"/>
              </w:numPr>
              <w:spacing w:before="0" w:after="0"/>
              <w:ind w:hanging="290"/>
              <w:jc w:val="left"/>
              <w:rPr>
                <w:szCs w:val="24"/>
              </w:rPr>
            </w:pPr>
            <w:r w:rsidRPr="005C3B55">
              <w:t>above 90 and to 100 ha the payment is 55%; and</w:t>
            </w:r>
          </w:p>
          <w:p w:rsidR="00C21266" w:rsidRPr="005C3B55" w:rsidRDefault="00C21266" w:rsidP="006E20B6">
            <w:pPr>
              <w:numPr>
                <w:ilvl w:val="0"/>
                <w:numId w:val="926"/>
              </w:numPr>
              <w:spacing w:before="0" w:after="240"/>
              <w:ind w:hanging="290"/>
              <w:jc w:val="left"/>
              <w:rPr>
                <w:szCs w:val="24"/>
              </w:rPr>
            </w:pPr>
            <w:r w:rsidRPr="005C3B55">
              <w:t>above 100 ha the payment is 40%.</w:t>
            </w:r>
          </w:p>
          <w:p w:rsidR="00C21266" w:rsidRPr="005C3B55" w:rsidRDefault="00C21266">
            <w:pPr>
              <w:spacing w:before="240" w:after="240"/>
              <w:rPr>
                <w:szCs w:val="24"/>
              </w:rPr>
            </w:pPr>
            <w:r w:rsidRPr="005C3B55">
              <w:t>3.31% of agricultural land in areas facing natural or other specific constraints will be included in gradual decrease of ANC payments in Slovenia.</w:t>
            </w:r>
          </w:p>
          <w:p w:rsidR="00C21266" w:rsidRPr="005C3B55" w:rsidRDefault="00C21266">
            <w:pPr>
              <w:spacing w:before="240" w:after="240"/>
              <w:rPr>
                <w:szCs w:val="24"/>
              </w:rPr>
            </w:pPr>
            <w:r w:rsidRPr="005C3B55">
              <w:t>In establishing this threshold the following factors were taken into account:</w:t>
            </w:r>
          </w:p>
          <w:p w:rsidR="00C21266" w:rsidRPr="005C3B55" w:rsidRDefault="00C21266" w:rsidP="006E20B6">
            <w:pPr>
              <w:numPr>
                <w:ilvl w:val="0"/>
                <w:numId w:val="927"/>
              </w:numPr>
              <w:spacing w:before="240" w:after="0"/>
              <w:ind w:hanging="290"/>
              <w:jc w:val="left"/>
              <w:rPr>
                <w:szCs w:val="24"/>
              </w:rPr>
            </w:pPr>
            <w:r w:rsidRPr="005C3B55">
              <w:t>large fragmentation of agricultural land;</w:t>
            </w:r>
          </w:p>
          <w:p w:rsidR="00C21266" w:rsidRPr="005C3B55" w:rsidRDefault="00C21266" w:rsidP="006E20B6">
            <w:pPr>
              <w:numPr>
                <w:ilvl w:val="0"/>
                <w:numId w:val="927"/>
              </w:numPr>
              <w:spacing w:before="0" w:after="0"/>
              <w:ind w:hanging="290"/>
              <w:jc w:val="left"/>
              <w:rPr>
                <w:szCs w:val="24"/>
              </w:rPr>
            </w:pPr>
            <w:r w:rsidRPr="005C3B55">
              <w:t>mitigation of effects of internal convergence in the scope of the first pillar of the Common Agricultural Policy due to gradual decrease of historical supplements;</w:t>
            </w:r>
          </w:p>
          <w:p w:rsidR="00C21266" w:rsidRPr="005C3B55" w:rsidRDefault="00C21266" w:rsidP="006E20B6">
            <w:pPr>
              <w:numPr>
                <w:ilvl w:val="0"/>
                <w:numId w:val="927"/>
              </w:numPr>
              <w:spacing w:before="0" w:after="240"/>
              <w:ind w:hanging="290"/>
              <w:jc w:val="left"/>
              <w:rPr>
                <w:szCs w:val="24"/>
              </w:rPr>
            </w:pPr>
            <w:r w:rsidRPr="005C3B55">
              <w:t>there is a need to increase the number of agricultural holdings in the size class 40-60 in these areas.</w:t>
            </w:r>
          </w:p>
          <w:p w:rsidR="00C21266" w:rsidRPr="005C3B55" w:rsidRDefault="00C21266">
            <w:pPr>
              <w:pStyle w:val="Telobesedila"/>
              <w:rPr>
                <w:lang w:eastAsia="en-GB" w:bidi="en-GB"/>
              </w:rPr>
            </w:pPr>
          </w:p>
        </w:tc>
      </w:tr>
    </w:tbl>
    <w:p w:rsidR="00C21266" w:rsidRPr="005C3B55" w:rsidRDefault="00C21266" w:rsidP="00C21266">
      <w:pPr>
        <w:rPr>
          <w:rFonts w:eastAsia="Calibri"/>
          <w:szCs w:val="22"/>
          <w:lang w:eastAsia="en-GB" w:bidi="en-GB"/>
        </w:rPr>
      </w:pPr>
      <w:r w:rsidRPr="005C3B55">
        <w:t xml:space="preserve">[Determination of areas facing natural or other specific constraints] Description of local unit which is used to determine the areas. </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In Slovenia, non-mountainous areas with important natural constraints are areas facing the issue of abandoning the land use and where it is necessary to continue agricultural activities in order to preserve the rural area. These areas are homogeneous in terms of natural production conditions related to poor demographic indicators compared to the national average. These areas are mainly agricultural, but their poor soil productivity prevents intensive production or improvement without excessive investments. The following data were applied for evaluating other ANC:</w:t>
            </w:r>
          </w:p>
          <w:p w:rsidR="00C21266" w:rsidRPr="005C3B55" w:rsidRDefault="00C21266" w:rsidP="006E20B6">
            <w:pPr>
              <w:numPr>
                <w:ilvl w:val="0"/>
                <w:numId w:val="928"/>
              </w:numPr>
              <w:spacing w:before="240" w:after="0"/>
              <w:ind w:hanging="290"/>
              <w:jc w:val="left"/>
              <w:rPr>
                <w:szCs w:val="24"/>
              </w:rPr>
            </w:pPr>
            <w:r w:rsidRPr="005C3B55">
              <w:t>data on the categorisation of agricultural land,</w:t>
            </w:r>
          </w:p>
          <w:p w:rsidR="00C21266" w:rsidRPr="005C3B55" w:rsidRDefault="00C21266" w:rsidP="006E20B6">
            <w:pPr>
              <w:numPr>
                <w:ilvl w:val="0"/>
                <w:numId w:val="928"/>
              </w:numPr>
              <w:spacing w:before="0" w:after="0"/>
              <w:ind w:hanging="290"/>
              <w:jc w:val="left"/>
              <w:rPr>
                <w:szCs w:val="24"/>
              </w:rPr>
            </w:pPr>
            <w:r w:rsidRPr="005C3B55">
              <w:t>data on the cadastral revenue,</w:t>
            </w:r>
          </w:p>
          <w:p w:rsidR="00C21266" w:rsidRPr="005C3B55" w:rsidRDefault="00C21266" w:rsidP="006E20B6">
            <w:pPr>
              <w:numPr>
                <w:ilvl w:val="0"/>
                <w:numId w:val="928"/>
              </w:numPr>
              <w:spacing w:before="0" w:after="240"/>
              <w:ind w:hanging="290"/>
              <w:jc w:val="left"/>
              <w:rPr>
                <w:szCs w:val="24"/>
              </w:rPr>
            </w:pPr>
            <w:r w:rsidRPr="005C3B55">
              <w:t>demographic data on the population density, population trend and share of agricultural population.</w:t>
            </w:r>
          </w:p>
          <w:p w:rsidR="00C21266" w:rsidRPr="005C3B55" w:rsidRDefault="00C21266">
            <w:pPr>
              <w:spacing w:before="240" w:after="240"/>
              <w:rPr>
                <w:szCs w:val="24"/>
              </w:rPr>
            </w:pPr>
            <w:r w:rsidRPr="005C3B55">
              <w:t>Non-mountainous areas with important natural constraints in Slovenia fulfil all four criteria simultaneously:</w:t>
            </w:r>
          </w:p>
          <w:p w:rsidR="00C21266" w:rsidRPr="005C3B55" w:rsidRDefault="00C21266" w:rsidP="006E20B6">
            <w:pPr>
              <w:numPr>
                <w:ilvl w:val="0"/>
                <w:numId w:val="929"/>
              </w:numPr>
              <w:spacing w:before="240" w:after="0"/>
              <w:ind w:hanging="290"/>
              <w:jc w:val="left"/>
              <w:rPr>
                <w:szCs w:val="24"/>
              </w:rPr>
            </w:pPr>
            <w:r w:rsidRPr="005C3B55">
              <w:t>poor soil productivity, where poor land categories represent at least 75 percent,</w:t>
            </w:r>
          </w:p>
          <w:p w:rsidR="00C21266" w:rsidRPr="005C3B55" w:rsidRDefault="00C21266" w:rsidP="006E20B6">
            <w:pPr>
              <w:numPr>
                <w:ilvl w:val="0"/>
                <w:numId w:val="929"/>
              </w:numPr>
              <w:spacing w:before="0" w:after="0"/>
              <w:ind w:hanging="290"/>
              <w:jc w:val="left"/>
              <w:rPr>
                <w:szCs w:val="24"/>
              </w:rPr>
            </w:pPr>
            <w:r w:rsidRPr="005C3B55">
              <w:t>economic effect of agriculture expressed as a cadastral revenue, which is characteristic of poor productive agricultural land, does not exceed 15,500 SIT/ha,</w:t>
            </w:r>
          </w:p>
          <w:p w:rsidR="00C21266" w:rsidRPr="005C3B55" w:rsidRDefault="00C21266" w:rsidP="006E20B6">
            <w:pPr>
              <w:numPr>
                <w:ilvl w:val="0"/>
                <w:numId w:val="929"/>
              </w:numPr>
              <w:spacing w:before="0" w:after="0"/>
              <w:ind w:hanging="290"/>
              <w:jc w:val="left"/>
              <w:rPr>
                <w:szCs w:val="24"/>
              </w:rPr>
            </w:pPr>
            <w:r w:rsidRPr="005C3B55">
              <w:t>a share of agricultural population expressed in a share of people employed in agriculture reaches at least 14 per cent,</w:t>
            </w:r>
          </w:p>
          <w:p w:rsidR="00C21266" w:rsidRPr="005C3B55" w:rsidRDefault="00C21266" w:rsidP="006E20B6">
            <w:pPr>
              <w:numPr>
                <w:ilvl w:val="0"/>
                <w:numId w:val="929"/>
              </w:numPr>
              <w:spacing w:before="0" w:after="240"/>
              <w:ind w:hanging="290"/>
              <w:jc w:val="left"/>
              <w:rPr>
                <w:szCs w:val="24"/>
              </w:rPr>
            </w:pPr>
            <w:r w:rsidRPr="005C3B55">
              <w:t>demographic criterion where the annual population growth level is lower than 0.5 per cent or the population density does not exceed 50 per km2 (urban centres excluded).</w:t>
            </w:r>
          </w:p>
          <w:p w:rsidR="00C21266" w:rsidRPr="005C3B55" w:rsidRDefault="00C21266">
            <w:pPr>
              <w:spacing w:before="240" w:after="240"/>
              <w:rPr>
                <w:szCs w:val="24"/>
              </w:rPr>
            </w:pPr>
            <w:r w:rsidRPr="005C3B55">
              <w:t>Non-mountainous areas with important natural constraints will be redefined according to the biophysical criteria by the end of 2017 at the latest.</w:t>
            </w:r>
          </w:p>
          <w:p w:rsidR="00C21266" w:rsidRPr="005C3B55" w:rsidRDefault="00C21266">
            <w:pPr>
              <w:spacing w:before="240" w:after="240"/>
              <w:rPr>
                <w:szCs w:val="24"/>
              </w:rPr>
            </w:pPr>
            <w:r w:rsidRPr="005C3B55">
              <w:t>Detailed and extensive descriptions of all three areas within ANC are submitted also as the annex to this programme.</w:t>
            </w:r>
          </w:p>
          <w:p w:rsidR="00C21266" w:rsidRPr="005C3B55" w:rsidRDefault="00C21266">
            <w:pPr>
              <w:pStyle w:val="Telobesedila"/>
              <w:rPr>
                <w:lang w:eastAsia="en-GB" w:bidi="en-GB"/>
              </w:rPr>
            </w:pPr>
          </w:p>
        </w:tc>
      </w:tr>
    </w:tbl>
    <w:p w:rsidR="00C21266" w:rsidRPr="005C3B55" w:rsidRDefault="00C21266" w:rsidP="00C21266">
      <w:pPr>
        <w:rPr>
          <w:rFonts w:eastAsia="Calibri"/>
          <w:szCs w:val="22"/>
          <w:lang w:eastAsia="en-GB" w:bidi="en-GB"/>
        </w:rPr>
      </w:pPr>
      <w:r w:rsidRPr="005C3B55">
        <w:t>[Determination of areas facing natural or other specific constraints] A description of the method application including the criteria from Article 32 of Regulation (EU) No 1305/2013, for delimitation of three categories of areas from the stated Article, including the description and results of detailed adjustment for areas facing natural and other specific constraints, which are not mountainous areas</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Pursuant to Point 5 of Article 31 of Regulation (EU) No 1305/2013, Slovenia in determining the areas within the scope of this measure will use the areas from the 2007-2013 programme period which were eligible to payments on the basis of Article 36(a)ii) of Regulation (EC) 1698/2005. </w:t>
            </w:r>
          </w:p>
          <w:p w:rsidR="00C21266" w:rsidRPr="005C3B55" w:rsidRDefault="00C21266">
            <w:pPr>
              <w:spacing w:before="240" w:after="240"/>
              <w:rPr>
                <w:szCs w:val="24"/>
              </w:rPr>
            </w:pPr>
            <w:r w:rsidRPr="005C3B55">
              <w:t>Pursuant to Point (b) of the fifth paragraph of Article 32 of Regulation (EU) No 1305/2013, by the end of 2017 at the latest, Slovenia will submit the new delimitation of non-mountainous areas with important natural constraints to be confirmed. All beneficiaries in these areas will receive full payment up to and including 2017, while after the concluded delimitation or from 2018 on, payments to beneficiaries in areas who will not be eligible for payments due to the new delimitation will gradually reduce.</w:t>
            </w:r>
          </w:p>
          <w:p w:rsidR="00C21266" w:rsidRPr="005C3B55" w:rsidRDefault="00C21266">
            <w:pPr>
              <w:spacing w:before="240" w:after="240"/>
              <w:rPr>
                <w:szCs w:val="24"/>
              </w:rPr>
            </w:pPr>
            <w:r w:rsidRPr="005C3B55">
              <w:t> </w:t>
            </w:r>
          </w:p>
          <w:p w:rsidR="00C21266" w:rsidRPr="005C3B55" w:rsidRDefault="00C21266">
            <w:pPr>
              <w:pStyle w:val="Telobesedila"/>
              <w:rPr>
                <w:lang w:eastAsia="en-GB" w:bidi="en-GB"/>
              </w:rPr>
            </w:pPr>
          </w:p>
        </w:tc>
      </w:tr>
    </w:tbl>
    <w:p w:rsidR="00C21266" w:rsidRPr="005C3B55" w:rsidRDefault="00C21266" w:rsidP="00C21266">
      <w:pPr>
        <w:pStyle w:val="Naslov5"/>
        <w:tabs>
          <w:tab w:val="clear" w:pos="765"/>
        </w:tabs>
        <w:ind w:left="0" w:firstLine="0"/>
        <w:rPr>
          <w:b w:val="0"/>
          <w:lang w:val="en-GB" w:eastAsia="en-GB" w:bidi="en-GB"/>
        </w:rPr>
      </w:pPr>
      <w:r w:rsidRPr="005C3B55">
        <w:rPr>
          <w:b w:val="0"/>
          <w:lang w:val="en-GB"/>
        </w:rPr>
        <w:br w:type="page"/>
        <w:t>3. The payment of compensations for other areas with specific constraints</w:t>
      </w:r>
    </w:p>
    <w:p w:rsidR="00C21266" w:rsidRPr="005C3B55" w:rsidRDefault="00C21266" w:rsidP="00C21266">
      <w:r w:rsidRPr="005C3B55">
        <w:t xml:space="preserve">Sub-measure: </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numPr>
                <w:ilvl w:val="0"/>
                <w:numId w:val="930"/>
              </w:numPr>
              <w:rPr>
                <w:rFonts w:eastAsia="Calibri"/>
                <w:lang w:eastAsia="en-GB" w:bidi="en-GB"/>
              </w:rPr>
            </w:pPr>
            <w:r w:rsidRPr="005C3B55">
              <w:t>13.3 - The payment of compensations for other areas with specific constraints</w:t>
            </w:r>
          </w:p>
        </w:tc>
      </w:tr>
    </w:tbl>
    <w:p w:rsidR="00C21266" w:rsidRPr="005C3B55" w:rsidRDefault="00C21266" w:rsidP="00C21266">
      <w:pPr>
        <w:pStyle w:val="Naslov6"/>
        <w:tabs>
          <w:tab w:val="clear" w:pos="765"/>
        </w:tabs>
        <w:ind w:left="0" w:firstLine="0"/>
        <w:rPr>
          <w:lang w:val="en-GB" w:eastAsia="en-GB" w:bidi="en-GB"/>
        </w:rPr>
      </w:pPr>
      <w:r w:rsidRPr="005C3B55">
        <w:rPr>
          <w:lang w:val="en-GB"/>
        </w:rPr>
        <w:t>Description of type of operation</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8"/>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The support within the scope of this sub-measure is granted for conservation and further operation of agricultural activities in areas with specific constraints (fourth paragraph of Article 32 of Regulation (EU) No 1305/2013) where relative higher costs and loss of revenue for agriculture are present compared to the areas with favourable production conditions, Pursuant to Point (a) of the fifth paragraph of the same Article, Slovenia adds the existing delimitation of areas with specific constraint to the programme.</w:t>
            </w:r>
          </w:p>
          <w:p w:rsidR="00C21266" w:rsidRPr="005C3B55" w:rsidRDefault="00C21266">
            <w:pPr>
              <w:spacing w:before="240" w:after="240"/>
              <w:rPr>
                <w:szCs w:val="24"/>
              </w:rPr>
            </w:pPr>
            <w:r w:rsidRPr="005C3B55">
              <w:t>Other areas with specific constraints represent 10% of the surface of Slovenia with 16% of agricultural land. Farmers manage and operate those areas which are handicapped due to specific constraints, such as recurrent floods, strong Bora wind, areas of moors, presence of distinctive karts phenomena and great relief undulation of the hills in north-east Slovenia. In each of these areas, other constraints determine agricultural production, and farmers have to adapt to them in different ways, or they are causing various additional costs or loss of revenue. Due to the above-mentioned constraints, the extensive form of agriculture is still present in many cases.</w:t>
            </w:r>
          </w:p>
          <w:p w:rsidR="00C21266" w:rsidRPr="005C3B55" w:rsidRDefault="00C21266">
            <w:pPr>
              <w:spacing w:before="240" w:after="240"/>
              <w:rPr>
                <w:szCs w:val="24"/>
              </w:rPr>
            </w:pPr>
            <w:r w:rsidRPr="005C3B55">
              <w:t>An important part of agricultural land is still cultivated in a nature-friendly and mainly extensive way also due to the foregoing natural features. Consequently, some areas with specific constraints are fully included in the Natura 2000 network due to their high level of biotic diversity (Goričko, the Ljubljana moors, Karst, flood area by the Krka River), and some areas are included in the Natura 2000 network with a part of surfaces (Slovenske Gorice, Dravinjske Gorice, area with strong Bora).   Although in some areas the impact of agricultural intensification is observed, the abandoning of extensive agricultural land which is not suitable for intensive agricultural activities also takes place. Different habitat types and species are thus conserved with further use and cultivation of agricultural land. The compensatory payments directly contribute to conserve the favourable state of grassland in these areas which would otherwise be overgrown and thus cause a disappearance of characteristic habitats and/or species.</w:t>
            </w:r>
          </w:p>
          <w:p w:rsidR="00C21266" w:rsidRPr="005C3B55" w:rsidRDefault="00C21266">
            <w:pPr>
              <w:spacing w:before="240" w:after="240"/>
              <w:rPr>
                <w:szCs w:val="24"/>
              </w:rPr>
            </w:pPr>
            <w:r w:rsidRPr="005C3B55">
              <w:t>A mosaic cultural landscape, great biodiversity and orientation of agricultural holdings also in additional activities represents an attractive place for recreation and spare time activities in these areas, and in addition to agriculture it offers the local population an opportunity to exploit the existing features as important tourism potential.</w:t>
            </w:r>
          </w:p>
          <w:p w:rsidR="00C21266" w:rsidRPr="005C3B55" w:rsidRDefault="00C21266">
            <w:pPr>
              <w:spacing w:before="240" w:after="240"/>
              <w:rPr>
                <w:szCs w:val="24"/>
              </w:rPr>
            </w:pPr>
            <w:r w:rsidRPr="005C3B55">
              <w:t>The support to agricultural holdings in areas with specific constraints pursues the following objectives:</w:t>
            </w:r>
          </w:p>
          <w:p w:rsidR="00C21266" w:rsidRPr="005C3B55" w:rsidRDefault="00C21266" w:rsidP="006E20B6">
            <w:pPr>
              <w:numPr>
                <w:ilvl w:val="0"/>
                <w:numId w:val="931"/>
              </w:numPr>
              <w:spacing w:before="240" w:after="0"/>
              <w:ind w:hanging="290"/>
              <w:jc w:val="left"/>
              <w:rPr>
                <w:szCs w:val="24"/>
              </w:rPr>
            </w:pPr>
            <w:r w:rsidRPr="005C3B55">
              <w:t>Conservation of a landscape by stimulating the land management despite difficult agricultural conditions and thus in particular the protection of soil against erosion and landslide or the loss of biotic diversity;</w:t>
            </w:r>
          </w:p>
          <w:p w:rsidR="00C21266" w:rsidRPr="005C3B55" w:rsidRDefault="00C21266" w:rsidP="006E20B6">
            <w:pPr>
              <w:numPr>
                <w:ilvl w:val="0"/>
                <w:numId w:val="931"/>
              </w:numPr>
              <w:spacing w:before="0" w:after="240"/>
              <w:ind w:hanging="290"/>
              <w:jc w:val="left"/>
              <w:rPr>
                <w:szCs w:val="24"/>
              </w:rPr>
            </w:pPr>
            <w:r w:rsidRPr="005C3B55">
              <w:t>Conservation of a cultural landscape as a tourism potential and a recreational area.</w:t>
            </w:r>
          </w:p>
          <w:p w:rsidR="00C21266" w:rsidRPr="005C3B55" w:rsidRDefault="00C21266">
            <w:pPr>
              <w:pStyle w:val="Telobesedila"/>
            </w:pPr>
          </w:p>
          <w:p w:rsidR="00C21266" w:rsidRPr="005C3B55" w:rsidRDefault="0012246E">
            <w:pPr>
              <w:pStyle w:val="Telobesedila3"/>
              <w:jc w:val="left"/>
            </w:pPr>
            <w:r w:rsidRPr="005C3B55">
              <w:rPr>
                <w:noProof/>
                <w:lang w:val="sl-SI"/>
              </w:rPr>
              <w:drawing>
                <wp:inline distT="0" distB="0" distL="0" distR="0">
                  <wp:extent cx="6629400" cy="4695825"/>
                  <wp:effectExtent l="0" t="0" r="0" b="9525"/>
                  <wp:docPr id="3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629400" cy="4695825"/>
                          </a:xfrm>
                          <a:prstGeom prst="rect">
                            <a:avLst/>
                          </a:prstGeom>
                          <a:noFill/>
                          <a:ln>
                            <a:noFill/>
                          </a:ln>
                        </pic:spPr>
                      </pic:pic>
                    </a:graphicData>
                  </a:graphic>
                </wp:inline>
              </w:drawing>
            </w:r>
          </w:p>
          <w:p w:rsidR="00C21266" w:rsidRPr="005C3B55" w:rsidRDefault="00C21266">
            <w:pPr>
              <w:pStyle w:val="Noga"/>
              <w:spacing w:after="120"/>
              <w:jc w:val="center"/>
            </w:pPr>
            <w:r w:rsidRPr="005C3B55">
              <w:t>The scope of other areas with specific constraints</w:t>
            </w:r>
          </w:p>
          <w:p w:rsidR="00C21266" w:rsidRPr="005C3B55" w:rsidRDefault="00C21266">
            <w:pPr>
              <w:pStyle w:val="Noga"/>
              <w:jc w:val="center"/>
              <w:rPr>
                <w:lang w:eastAsia="en-GB" w:bidi="en-GB"/>
              </w:rPr>
            </w:pPr>
          </w:p>
        </w:tc>
      </w:tr>
    </w:tbl>
    <w:p w:rsidR="00C21266" w:rsidRPr="005C3B55" w:rsidRDefault="00C21266" w:rsidP="00C21266">
      <w:pPr>
        <w:pStyle w:val="Naslov6"/>
        <w:tabs>
          <w:tab w:val="clear" w:pos="765"/>
        </w:tabs>
        <w:ind w:left="0" w:firstLine="0"/>
        <w:rPr>
          <w:lang w:val="en-GB" w:eastAsia="en-GB" w:bidi="en-GB"/>
        </w:rPr>
      </w:pPr>
      <w:r w:rsidRPr="005C3B55">
        <w:rPr>
          <w:lang w:val="en-GB"/>
        </w:rPr>
        <w:t>Type of support</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The support within the scope of this sub-measure is granted in a form of an annual compensatory payment per hectare of agricultural land as a compensation to farmers due to high costs and loss of revenue as a result of more difficult agricultural conditions in areas with specific constraints.</w:t>
            </w:r>
          </w:p>
          <w:p w:rsidR="00C21266" w:rsidRPr="005C3B55" w:rsidRDefault="00C21266">
            <w:pPr>
              <w:spacing w:before="240" w:after="240"/>
              <w:rPr>
                <w:szCs w:val="24"/>
              </w:rPr>
            </w:pPr>
            <w:r w:rsidRPr="005C3B55">
              <w:t> </w:t>
            </w:r>
          </w:p>
          <w:p w:rsidR="00C21266" w:rsidRPr="005C3B55" w:rsidRDefault="00C21266">
            <w:pPr>
              <w:pStyle w:val="Telobesedila"/>
              <w:rPr>
                <w:lang w:eastAsia="en-GB" w:bidi="en-GB"/>
              </w:rPr>
            </w:pPr>
          </w:p>
        </w:tc>
      </w:tr>
    </w:tbl>
    <w:p w:rsidR="00C21266" w:rsidRPr="005C3B55" w:rsidRDefault="00C21266" w:rsidP="00C21266">
      <w:pPr>
        <w:pStyle w:val="Naslov6"/>
        <w:tabs>
          <w:tab w:val="clear" w:pos="765"/>
        </w:tabs>
        <w:ind w:left="0" w:firstLine="0"/>
        <w:rPr>
          <w:lang w:val="en-GB" w:eastAsia="en-GB" w:bidi="en-GB"/>
        </w:rPr>
      </w:pPr>
      <w:r w:rsidRPr="005C3B55">
        <w:rPr>
          <w:lang w:val="en-GB"/>
        </w:rPr>
        <w:t>Connection with other legislation</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rsidP="006E20B6">
            <w:pPr>
              <w:numPr>
                <w:ilvl w:val="0"/>
                <w:numId w:val="932"/>
              </w:numPr>
              <w:spacing w:before="0" w:after="0"/>
              <w:ind w:hanging="290"/>
              <w:jc w:val="left"/>
              <w:rPr>
                <w:rFonts w:eastAsia="Calibri"/>
                <w:szCs w:val="24"/>
              </w:rPr>
            </w:pPr>
            <w:r w:rsidRPr="005C3B55">
              <w:t>Agriculture Act (Official Gazette of the Republic of Slovenia, no. 45/2008 with all amendments);</w:t>
            </w:r>
          </w:p>
          <w:p w:rsidR="00C21266" w:rsidRPr="005C3B55" w:rsidRDefault="00C21266" w:rsidP="006E20B6">
            <w:pPr>
              <w:numPr>
                <w:ilvl w:val="0"/>
                <w:numId w:val="932"/>
              </w:numPr>
              <w:spacing w:before="0" w:after="0"/>
              <w:ind w:hanging="290"/>
              <w:jc w:val="left"/>
              <w:rPr>
                <w:szCs w:val="24"/>
              </w:rPr>
            </w:pPr>
            <w:r w:rsidRPr="005C3B55">
              <w:t>Title VI of Regulation (EU) No 1306/2013 (cross-compliance);</w:t>
            </w:r>
          </w:p>
          <w:p w:rsidR="00C21266" w:rsidRPr="005C3B55" w:rsidRDefault="00C21266" w:rsidP="006E20B6">
            <w:pPr>
              <w:numPr>
                <w:ilvl w:val="0"/>
                <w:numId w:val="932"/>
              </w:numPr>
              <w:spacing w:before="0" w:after="0"/>
              <w:ind w:hanging="290"/>
              <w:jc w:val="left"/>
              <w:rPr>
                <w:szCs w:val="24"/>
              </w:rPr>
            </w:pPr>
            <w:r w:rsidRPr="005C3B55">
              <w:t>Article 9 of Regulation (EU) No 1307/2013;L</w:t>
            </w:r>
          </w:p>
          <w:p w:rsidR="00C21266" w:rsidRPr="005C3B55" w:rsidRDefault="00C21266" w:rsidP="006E20B6">
            <w:pPr>
              <w:numPr>
                <w:ilvl w:val="0"/>
                <w:numId w:val="932"/>
              </w:numPr>
              <w:spacing w:before="0" w:after="0"/>
              <w:ind w:hanging="290"/>
              <w:jc w:val="left"/>
              <w:rPr>
                <w:szCs w:val="24"/>
              </w:rPr>
            </w:pPr>
            <w:r w:rsidRPr="005C3B55">
              <w:t>national regulation which regulates the implementation of this sub-measure; and</w:t>
            </w:r>
          </w:p>
          <w:p w:rsidR="00C21266" w:rsidRPr="005C3B55" w:rsidRDefault="00C21266" w:rsidP="006E20B6">
            <w:pPr>
              <w:numPr>
                <w:ilvl w:val="0"/>
                <w:numId w:val="932"/>
              </w:numPr>
              <w:spacing w:before="0" w:after="240"/>
              <w:ind w:hanging="290"/>
              <w:jc w:val="left"/>
              <w:rPr>
                <w:szCs w:val="24"/>
              </w:rPr>
            </w:pPr>
            <w:r w:rsidRPr="005C3B55">
              <w:t>other EU and national legislation which regulates the implementation of this sub-measure.</w:t>
            </w:r>
          </w:p>
          <w:p w:rsidR="00C21266" w:rsidRPr="005C3B55" w:rsidRDefault="00C21266">
            <w:pPr>
              <w:pStyle w:val="Telobesedila"/>
              <w:rPr>
                <w:lang w:eastAsia="en-GB" w:bidi="en-GB"/>
              </w:rPr>
            </w:pPr>
          </w:p>
        </w:tc>
      </w:tr>
    </w:tbl>
    <w:p w:rsidR="00C21266" w:rsidRPr="005C3B55" w:rsidRDefault="00C21266" w:rsidP="00C21266">
      <w:pPr>
        <w:pStyle w:val="Naslov6"/>
        <w:tabs>
          <w:tab w:val="clear" w:pos="765"/>
        </w:tabs>
        <w:ind w:left="0" w:firstLine="0"/>
        <w:rPr>
          <w:lang w:val="en-GB" w:eastAsia="en-GB" w:bidi="en-GB"/>
        </w:rPr>
      </w:pPr>
      <w:r w:rsidRPr="005C3B55">
        <w:rPr>
          <w:lang w:val="en-GB"/>
        </w:rPr>
        <w:t>Beneficiaries</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Compensatory payments are granted to holders of agricultural holdings carrying out the agricultural activity in areas with specific constraints.</w:t>
            </w:r>
          </w:p>
          <w:p w:rsidR="00C21266" w:rsidRPr="005C3B55" w:rsidRDefault="00C21266">
            <w:pPr>
              <w:pStyle w:val="Telobesedila"/>
              <w:rPr>
                <w:lang w:eastAsia="en-GB" w:bidi="en-GB"/>
              </w:rPr>
            </w:pPr>
          </w:p>
        </w:tc>
      </w:tr>
    </w:tbl>
    <w:p w:rsidR="00C21266" w:rsidRPr="005C3B55" w:rsidRDefault="00C21266" w:rsidP="00C21266">
      <w:pPr>
        <w:pStyle w:val="Naslov6"/>
        <w:tabs>
          <w:tab w:val="clear" w:pos="765"/>
        </w:tabs>
        <w:ind w:left="0" w:firstLine="0"/>
        <w:rPr>
          <w:lang w:val="en-GB" w:eastAsia="en-GB" w:bidi="en-GB"/>
        </w:rPr>
      </w:pPr>
      <w:r w:rsidRPr="005C3B55">
        <w:rPr>
          <w:lang w:val="en-GB"/>
        </w:rPr>
        <w:t>Eligible costs</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The support is paid to farmers in a form of an annual payment per a hectare of agricultural land to cover a part of additional costs and loss of revenue related to the constraints of agricultural production in areas with specific constraints.</w:t>
            </w:r>
          </w:p>
          <w:p w:rsidR="00C21266" w:rsidRPr="005C3B55" w:rsidRDefault="00C21266">
            <w:pPr>
              <w:spacing w:before="240" w:after="240"/>
              <w:rPr>
                <w:szCs w:val="24"/>
              </w:rPr>
            </w:pPr>
            <w:r w:rsidRPr="005C3B55">
              <w:t>In determining the annual payment, additional (higher) costs and loss of revenue (smaller harvest) are taken into account in areas with specific constraints compared to the agricultural activities outside the areas with specific constraints.</w:t>
            </w:r>
          </w:p>
          <w:p w:rsidR="00C21266" w:rsidRPr="005C3B55" w:rsidRDefault="00C21266">
            <w:pPr>
              <w:spacing w:before="240" w:after="240"/>
              <w:rPr>
                <w:szCs w:val="24"/>
              </w:rPr>
            </w:pPr>
            <w:r w:rsidRPr="005C3B55">
              <w:t>The annual payment is calculated for every individual agricultural holding separately. The calculation of the amount of payment is shown in detail in Chapter (Valid) amounts and levels of support within this sub-measure.</w:t>
            </w:r>
          </w:p>
          <w:p w:rsidR="00C21266" w:rsidRPr="005C3B55" w:rsidRDefault="00C21266">
            <w:pPr>
              <w:pStyle w:val="Telobesedila"/>
              <w:rPr>
                <w:lang w:eastAsia="en-GB" w:bidi="en-GB"/>
              </w:rPr>
            </w:pPr>
          </w:p>
        </w:tc>
      </w:tr>
    </w:tbl>
    <w:p w:rsidR="00C21266" w:rsidRPr="005C3B55" w:rsidRDefault="00C21266" w:rsidP="00C21266">
      <w:pPr>
        <w:pStyle w:val="Naslov6"/>
        <w:tabs>
          <w:tab w:val="clear" w:pos="765"/>
        </w:tabs>
        <w:ind w:left="0" w:firstLine="0"/>
        <w:rPr>
          <w:lang w:val="en-GB" w:eastAsia="en-GB" w:bidi="en-GB"/>
        </w:rPr>
      </w:pPr>
      <w:r w:rsidRPr="005C3B55">
        <w:rPr>
          <w:lang w:val="en-GB"/>
        </w:rPr>
        <w:t>Conditions for eligibility</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rsidP="006E20B6">
            <w:pPr>
              <w:numPr>
                <w:ilvl w:val="0"/>
                <w:numId w:val="933"/>
              </w:numPr>
              <w:spacing w:before="0" w:after="0"/>
              <w:ind w:hanging="290"/>
              <w:jc w:val="left"/>
              <w:rPr>
                <w:rFonts w:eastAsia="Calibri"/>
                <w:szCs w:val="24"/>
              </w:rPr>
            </w:pPr>
            <w:r w:rsidRPr="005C3B55">
              <w:t>An agricultural holding must be entered in the register of agricultural holdings in accordance with the regulation on the register of agricultural holdings.</w:t>
            </w:r>
          </w:p>
          <w:p w:rsidR="00C21266" w:rsidRPr="005C3B55" w:rsidRDefault="00C21266" w:rsidP="006E20B6">
            <w:pPr>
              <w:numPr>
                <w:ilvl w:val="0"/>
                <w:numId w:val="933"/>
              </w:numPr>
              <w:spacing w:before="0" w:after="0"/>
              <w:ind w:hanging="290"/>
              <w:jc w:val="left"/>
              <w:rPr>
                <w:szCs w:val="24"/>
              </w:rPr>
            </w:pPr>
            <w:r w:rsidRPr="005C3B55">
              <w:t>The beneficiary must be an active farmer under Article 9 of Regulation (EU) No 1307/2013.</w:t>
            </w:r>
          </w:p>
          <w:p w:rsidR="00C21266" w:rsidRPr="005C3B55" w:rsidRDefault="00C21266" w:rsidP="006E20B6">
            <w:pPr>
              <w:numPr>
                <w:ilvl w:val="0"/>
                <w:numId w:val="933"/>
              </w:numPr>
              <w:spacing w:before="0" w:after="0"/>
              <w:ind w:hanging="290"/>
              <w:jc w:val="left"/>
              <w:rPr>
                <w:szCs w:val="24"/>
              </w:rPr>
            </w:pPr>
            <w:r w:rsidRPr="005C3B55">
              <w:t>Upon entering in the measure an agricultural holding must have at least 1 ha of agricultural land in the area facing natural or other specific constraints.</w:t>
            </w:r>
          </w:p>
          <w:p w:rsidR="00C21266" w:rsidRPr="005C3B55" w:rsidRDefault="00C21266" w:rsidP="006E20B6">
            <w:pPr>
              <w:numPr>
                <w:ilvl w:val="0"/>
                <w:numId w:val="933"/>
              </w:numPr>
              <w:spacing w:before="0" w:after="240"/>
              <w:ind w:hanging="290"/>
              <w:jc w:val="left"/>
              <w:rPr>
                <w:szCs w:val="24"/>
              </w:rPr>
            </w:pPr>
            <w:r w:rsidRPr="005C3B55">
              <w:t>Beneficiaries have to undertake that they will continue to carry out their agricultural activity in areas determined according to Article 32 of Regulation (EU) No 1305/2013.</w:t>
            </w:r>
          </w:p>
          <w:p w:rsidR="00C21266" w:rsidRPr="005C3B55" w:rsidRDefault="00C21266">
            <w:pPr>
              <w:pStyle w:val="Telobesedila"/>
              <w:rPr>
                <w:lang w:eastAsia="en-GB" w:bidi="en-GB"/>
              </w:rPr>
            </w:pPr>
          </w:p>
        </w:tc>
      </w:tr>
    </w:tbl>
    <w:p w:rsidR="00C21266" w:rsidRPr="005C3B55" w:rsidRDefault="00C21266" w:rsidP="00C21266">
      <w:pPr>
        <w:pStyle w:val="Naslov6"/>
        <w:tabs>
          <w:tab w:val="clear" w:pos="765"/>
        </w:tabs>
        <w:ind w:left="0" w:firstLine="0"/>
        <w:rPr>
          <w:lang w:val="en-GB" w:eastAsia="en-GB" w:bidi="en-GB"/>
        </w:rPr>
      </w:pPr>
      <w:r w:rsidRPr="005C3B55">
        <w:rPr>
          <w:lang w:val="en-GB"/>
        </w:rPr>
        <w:t>Principles regarding the determination of selection criteria</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The application of selection criteria for this sub-measure is not anticipated, as per the second paragraph of Article 49 of Regulation (EU) No 1305//2013.</w:t>
            </w:r>
          </w:p>
          <w:p w:rsidR="00C21266" w:rsidRPr="005C3B55" w:rsidRDefault="00C21266">
            <w:pPr>
              <w:pStyle w:val="Telobesedila"/>
              <w:rPr>
                <w:lang w:eastAsia="en-GB" w:bidi="en-GB"/>
              </w:rPr>
            </w:pPr>
          </w:p>
        </w:tc>
      </w:tr>
    </w:tbl>
    <w:p w:rsidR="00C21266" w:rsidRPr="005C3B55" w:rsidRDefault="00C21266" w:rsidP="00C21266">
      <w:pPr>
        <w:pStyle w:val="Naslov6"/>
        <w:tabs>
          <w:tab w:val="clear" w:pos="765"/>
        </w:tabs>
        <w:ind w:left="0" w:firstLine="0"/>
        <w:rPr>
          <w:lang w:val="en-GB" w:eastAsia="en-GB" w:bidi="en-GB"/>
        </w:rPr>
      </w:pPr>
      <w:r w:rsidRPr="005C3B55">
        <w:rPr>
          <w:lang w:val="en-GB"/>
        </w:rPr>
        <w:t>(Valid) amounts and support rates</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The support is paid in a form of compensatory payment per a hectare.</w:t>
            </w:r>
          </w:p>
          <w:p w:rsidR="00C21266" w:rsidRPr="005C3B55" w:rsidRDefault="00C21266">
            <w:pPr>
              <w:spacing w:before="240" w:after="240"/>
              <w:rPr>
                <w:szCs w:val="24"/>
              </w:rPr>
            </w:pPr>
            <w:r w:rsidRPr="005C3B55">
              <w:t>The compensatory payment is calculated according to the formula for calculating the ANC payment for every individual agricultural holding.</w:t>
            </w:r>
          </w:p>
          <w:p w:rsidR="00C21266" w:rsidRPr="005C3B55" w:rsidRDefault="00C21266">
            <w:pPr>
              <w:spacing w:before="240" w:after="240"/>
              <w:rPr>
                <w:szCs w:val="24"/>
              </w:rPr>
            </w:pPr>
            <w:r w:rsidRPr="005C3B55">
              <w:t> </w:t>
            </w:r>
          </w:p>
          <w:p w:rsidR="00C21266" w:rsidRPr="005C3B55" w:rsidRDefault="00C21266">
            <w:pPr>
              <w:spacing w:before="240" w:after="240"/>
              <w:rPr>
                <w:szCs w:val="24"/>
              </w:rPr>
            </w:pPr>
            <w:r w:rsidRPr="005C3B55">
              <w:rPr>
                <w:b/>
              </w:rPr>
              <w:t>Formula for calculation of the ANC payment:</w:t>
            </w:r>
          </w:p>
          <w:p w:rsidR="00C21266" w:rsidRPr="005C3B55" w:rsidRDefault="00C21266">
            <w:pPr>
              <w:spacing w:before="240" w:after="240"/>
              <w:rPr>
                <w:szCs w:val="24"/>
              </w:rPr>
            </w:pPr>
            <w:r w:rsidRPr="005C3B55">
              <w:t>ANC payment/ha = fix part + (no. of points of agricultural holding x point value x 0.45)</w:t>
            </w:r>
          </w:p>
          <w:p w:rsidR="00C21266" w:rsidRPr="005C3B55" w:rsidRDefault="00C21266">
            <w:pPr>
              <w:spacing w:before="240" w:after="240"/>
              <w:rPr>
                <w:szCs w:val="24"/>
              </w:rPr>
            </w:pPr>
            <w:r w:rsidRPr="005C3B55">
              <w:t>The compensatory payment for ANC comprises of two parts:</w:t>
            </w:r>
          </w:p>
          <w:p w:rsidR="00C21266" w:rsidRPr="005C3B55" w:rsidRDefault="00C21266" w:rsidP="006E20B6">
            <w:pPr>
              <w:numPr>
                <w:ilvl w:val="0"/>
                <w:numId w:val="934"/>
              </w:numPr>
              <w:spacing w:before="240" w:after="0"/>
              <w:ind w:hanging="290"/>
              <w:jc w:val="left"/>
              <w:rPr>
                <w:szCs w:val="24"/>
              </w:rPr>
            </w:pPr>
            <w:r w:rsidRPr="005C3B55">
              <w:rPr>
                <w:b/>
                <w:i/>
              </w:rPr>
              <w:t xml:space="preserve">Fixed part </w:t>
            </w:r>
            <w:r w:rsidRPr="005C3B55">
              <w:t>of the payment represents an amount determined according to the difficulty ranking of an agricultural holding and is evident from the table Agricultural holding difficulty class;</w:t>
            </w:r>
          </w:p>
          <w:p w:rsidR="00C21266" w:rsidRPr="005C3B55" w:rsidRDefault="00C21266" w:rsidP="006E20B6">
            <w:pPr>
              <w:numPr>
                <w:ilvl w:val="0"/>
                <w:numId w:val="934"/>
              </w:numPr>
              <w:spacing w:before="0" w:after="240"/>
              <w:ind w:hanging="290"/>
              <w:jc w:val="left"/>
              <w:rPr>
                <w:szCs w:val="24"/>
              </w:rPr>
            </w:pPr>
            <w:r w:rsidRPr="005C3B55">
              <w:rPr>
                <w:b/>
                <w:i/>
              </w:rPr>
              <w:t>Variable part</w:t>
            </w:r>
            <w:r w:rsidRPr="005C3B55">
              <w:t xml:space="preserve"> of the payment is calculated for every agricultural holding separately. It is calculated as 0.45 share of the product of number of points prescribed for an individual agricultural holding on the basis of the register of agricultural holdings in ANC and the point value.</w:t>
            </w:r>
          </w:p>
          <w:p w:rsidR="00C21266" w:rsidRPr="005C3B55" w:rsidRDefault="00C21266">
            <w:pPr>
              <w:spacing w:before="240" w:after="240"/>
              <w:rPr>
                <w:szCs w:val="24"/>
              </w:rPr>
            </w:pPr>
            <w:r w:rsidRPr="005C3B55">
              <w:t>The point value is 0.40 EUR.</w:t>
            </w:r>
          </w:p>
          <w:p w:rsidR="00C21266" w:rsidRPr="005C3B55" w:rsidRDefault="00C21266">
            <w:pPr>
              <w:spacing w:before="240" w:after="240"/>
              <w:rPr>
                <w:szCs w:val="24"/>
              </w:rPr>
            </w:pPr>
            <w:r w:rsidRPr="005C3B55">
              <w:t>The number of agricultural holding points is derived from the register of agricultural holdings in ANC in which all agricultural holdings with the agricultural land in ANC are included. The number of points reflects the differences in production costs per a unit of land between the areas facing constraining factors and areas without constraints for agricultural production.</w:t>
            </w:r>
          </w:p>
          <w:p w:rsidR="00C21266" w:rsidRPr="005C3B55" w:rsidRDefault="00C21266">
            <w:pPr>
              <w:spacing w:before="240" w:after="240"/>
              <w:rPr>
                <w:szCs w:val="24"/>
              </w:rPr>
            </w:pPr>
            <w:r w:rsidRPr="005C3B55">
              <w:t>In determining the highest and the lowest amount of payment the restrictions of support amounts from Annex II to Regulation (EU) No 1305/2013 are taken into account.</w:t>
            </w:r>
          </w:p>
          <w:p w:rsidR="00C21266" w:rsidRPr="005C3B55" w:rsidRDefault="00C21266">
            <w:pPr>
              <w:spacing w:before="240" w:after="240"/>
              <w:rPr>
                <w:szCs w:val="24"/>
              </w:rPr>
            </w:pPr>
            <w:r w:rsidRPr="005C3B55">
              <w:t>The maximum amount of payments in areas with specific constraints is 250 EUR/ha. If the calculated amount of the compensatory payments exceeds that limit, the amount of payment to the respective agricultural holding is decreased so that the maximum amount of payment is 250 EUR/ha for an agricultural holding in areas with specific constraints.</w:t>
            </w:r>
          </w:p>
          <w:p w:rsidR="00C21266" w:rsidRPr="005C3B55" w:rsidRDefault="00C21266">
            <w:pPr>
              <w:spacing w:before="240" w:after="240"/>
              <w:rPr>
                <w:szCs w:val="24"/>
              </w:rPr>
            </w:pPr>
            <w:r w:rsidRPr="005C3B55">
              <w:t>The minimum payment for a hectare is 25 EUR/ha.</w:t>
            </w:r>
          </w:p>
          <w:p w:rsidR="00C21266" w:rsidRPr="005C3B55" w:rsidRDefault="00C21266">
            <w:pPr>
              <w:spacing w:before="240" w:after="240"/>
              <w:rPr>
                <w:szCs w:val="24"/>
              </w:rPr>
            </w:pPr>
            <w:r w:rsidRPr="005C3B55">
              <w:t>The determination of compensatory payment is adequate and precise and prepared on the basis of an adequate, just and verifiable calculation and confirmed by an independent authority.</w:t>
            </w:r>
          </w:p>
          <w:p w:rsidR="00C21266" w:rsidRPr="005C3B55" w:rsidRDefault="00C21266">
            <w:pPr>
              <w:spacing w:before="240" w:after="240"/>
              <w:rPr>
                <w:szCs w:val="24"/>
              </w:rPr>
            </w:pPr>
            <w:r w:rsidRPr="005C3B55">
              <w:t>The calculation of the compensatory payments is presented in detail the Chapter Methodology for the calculation of the amount of support within the scope of this sub-measure.</w:t>
            </w:r>
          </w:p>
          <w:p w:rsidR="00C21266" w:rsidRPr="005C3B55" w:rsidRDefault="00C21266">
            <w:pPr>
              <w:spacing w:before="240" w:after="240"/>
              <w:rPr>
                <w:szCs w:val="24"/>
              </w:rPr>
            </w:pPr>
            <w:r w:rsidRPr="005C3B55">
              <w:t> </w:t>
            </w:r>
          </w:p>
          <w:p w:rsidR="00C21266" w:rsidRPr="005C3B55" w:rsidRDefault="00C21266">
            <w:pPr>
              <w:spacing w:before="240" w:after="240"/>
              <w:rPr>
                <w:szCs w:val="24"/>
              </w:rPr>
            </w:pPr>
            <w:r w:rsidRPr="005C3B55">
              <w:t> </w:t>
            </w:r>
          </w:p>
          <w:p w:rsidR="00C21266" w:rsidRPr="005C3B55" w:rsidRDefault="00C21266">
            <w:pPr>
              <w:spacing w:before="240" w:after="240"/>
              <w:rPr>
                <w:szCs w:val="24"/>
              </w:rPr>
            </w:pPr>
            <w:r w:rsidRPr="005C3B55">
              <w:t> </w:t>
            </w:r>
          </w:p>
          <w:p w:rsidR="00C21266" w:rsidRPr="005C3B55" w:rsidRDefault="00C21266">
            <w:pPr>
              <w:spacing w:before="240" w:after="240"/>
              <w:rPr>
                <w:szCs w:val="24"/>
              </w:rPr>
            </w:pPr>
            <w:r w:rsidRPr="005C3B55">
              <w:t> </w:t>
            </w:r>
          </w:p>
          <w:p w:rsidR="00C21266" w:rsidRPr="005C3B55" w:rsidRDefault="00C21266">
            <w:pPr>
              <w:spacing w:before="240" w:after="240"/>
              <w:rPr>
                <w:szCs w:val="24"/>
              </w:rPr>
            </w:pPr>
            <w:r w:rsidRPr="005C3B55">
              <w:t> </w:t>
            </w:r>
          </w:p>
          <w:p w:rsidR="00C21266" w:rsidRPr="005C3B55" w:rsidRDefault="00C21266">
            <w:pPr>
              <w:spacing w:before="240" w:after="240"/>
              <w:rPr>
                <w:szCs w:val="24"/>
              </w:rPr>
            </w:pPr>
            <w:r w:rsidRPr="005C3B55">
              <w:t> </w:t>
            </w:r>
          </w:p>
          <w:p w:rsidR="00C21266" w:rsidRPr="005C3B55" w:rsidRDefault="00C21266">
            <w:pPr>
              <w:pStyle w:val="Telobesedila"/>
            </w:pPr>
          </w:p>
          <w:p w:rsidR="00C21266" w:rsidRPr="005C3B55" w:rsidRDefault="0012246E">
            <w:pPr>
              <w:pStyle w:val="Telobesedila3"/>
              <w:jc w:val="center"/>
            </w:pPr>
            <w:r w:rsidRPr="005C3B55">
              <w:rPr>
                <w:noProof/>
                <w:lang w:val="sl-SI"/>
              </w:rPr>
              <w:drawing>
                <wp:inline distT="0" distB="0" distL="0" distR="0">
                  <wp:extent cx="4191000" cy="1333500"/>
                  <wp:effectExtent l="0" t="0" r="0" b="0"/>
                  <wp:docPr id="3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191000" cy="1333500"/>
                          </a:xfrm>
                          <a:prstGeom prst="rect">
                            <a:avLst/>
                          </a:prstGeom>
                          <a:noFill/>
                          <a:ln>
                            <a:noFill/>
                          </a:ln>
                        </pic:spPr>
                      </pic:pic>
                    </a:graphicData>
                  </a:graphic>
                </wp:inline>
              </w:drawing>
            </w:r>
          </w:p>
          <w:p w:rsidR="00C21266" w:rsidRPr="005C3B55" w:rsidRDefault="00C21266">
            <w:pPr>
              <w:pStyle w:val="Noga"/>
              <w:spacing w:after="120"/>
              <w:jc w:val="center"/>
            </w:pPr>
            <w:r w:rsidRPr="005C3B55">
              <w:t>Difficulty class of agricultural holding</w:t>
            </w:r>
          </w:p>
          <w:p w:rsidR="00C21266" w:rsidRPr="005C3B55" w:rsidRDefault="00C21266">
            <w:pPr>
              <w:pStyle w:val="Noga"/>
              <w:jc w:val="center"/>
              <w:rPr>
                <w:lang w:eastAsia="en-GB" w:bidi="en-GB"/>
              </w:rPr>
            </w:pPr>
          </w:p>
        </w:tc>
      </w:tr>
    </w:tbl>
    <w:p w:rsidR="00C21266" w:rsidRPr="005C3B55" w:rsidRDefault="00C21266" w:rsidP="00C21266">
      <w:pPr>
        <w:pStyle w:val="Naslov6"/>
        <w:tabs>
          <w:tab w:val="clear" w:pos="765"/>
        </w:tabs>
        <w:ind w:left="0" w:firstLine="0"/>
        <w:rPr>
          <w:lang w:val="en-GB" w:eastAsia="en-GB" w:bidi="en-GB"/>
        </w:rPr>
      </w:pPr>
      <w:r w:rsidRPr="005C3B55">
        <w:rPr>
          <w:lang w:val="en-GB"/>
        </w:rPr>
        <w:t>Verifiability and possibility of control of measures and/or type of operations</w:t>
      </w:r>
    </w:p>
    <w:p w:rsidR="00C21266" w:rsidRPr="005C3B55" w:rsidRDefault="00C21266" w:rsidP="00C21266">
      <w:pPr>
        <w:pStyle w:val="Naslov7"/>
        <w:tabs>
          <w:tab w:val="clear" w:pos="765"/>
        </w:tabs>
        <w:ind w:left="0" w:firstLine="0"/>
        <w:rPr>
          <w:lang w:val="en-GB"/>
        </w:rPr>
      </w:pPr>
      <w:r w:rsidRPr="005C3B55">
        <w:rPr>
          <w:lang w:val="en-GB"/>
        </w:rPr>
        <w:t>Risks in the implementation of the measure</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rPr>
                <w:b/>
              </w:rPr>
              <w:t>R5: Requirements which are difficult to verify and/or control</w:t>
            </w:r>
          </w:p>
          <w:p w:rsidR="00C21266" w:rsidRPr="005C3B55" w:rsidRDefault="00C21266">
            <w:pPr>
              <w:spacing w:before="240" w:after="240"/>
              <w:rPr>
                <w:szCs w:val="24"/>
              </w:rPr>
            </w:pPr>
            <w:r w:rsidRPr="005C3B55">
              <w:t>No major risks were detected within this sub-measure. The compensatory payment mainly depends in the eligible area of agricultural land, classification of an agricultural holding into a difficulty class and on the individual number of difficulty points for every agricultural holding. Agricultural land is preliminary regulated by the beneficiary in the register of agricultural holdings according to the provision regulating the application and records of agricultural land. The data on the classification of agricultural land into difficulty classes are kept in a computerised form at Ministry of Agriculture, Forestry and Food in a form of a daily updated register.</w:t>
            </w:r>
          </w:p>
          <w:p w:rsidR="00C21266" w:rsidRPr="005C3B55" w:rsidRDefault="00C21266">
            <w:pPr>
              <w:spacing w:before="240" w:after="240"/>
              <w:rPr>
                <w:szCs w:val="24"/>
              </w:rPr>
            </w:pPr>
            <w:r w:rsidRPr="005C3B55">
              <w:rPr>
                <w:b/>
              </w:rPr>
              <w:t>R6: General conditions for implementation</w:t>
            </w:r>
          </w:p>
          <w:p w:rsidR="00C21266" w:rsidRPr="005C3B55" w:rsidRDefault="00C21266">
            <w:pPr>
              <w:spacing w:before="240" w:after="240"/>
              <w:rPr>
                <w:szCs w:val="24"/>
              </w:rPr>
            </w:pPr>
            <w:r w:rsidRPr="005C3B55">
              <w:t>No major risks were detected within this sub-measure. An automatic administrative acquisition of agricultural land at the individual agricultural holding is executed at the entry of claims for compensatory payments conducted in an electronic form, while the data on classification of agricultural holding in a difficulty class and the number of difficulty points for every agricultural holding is also acquired automatically. The potential risk may represent an untimely adoption of provisions regulating ANC payments. Poor information and awareness on the measure may also be considered as a risk, particularly in the period when the changes are being implemented.</w:t>
            </w:r>
          </w:p>
          <w:p w:rsidR="00C21266" w:rsidRPr="005C3B55" w:rsidRDefault="00C21266">
            <w:pPr>
              <w:spacing w:before="240" w:after="240"/>
              <w:rPr>
                <w:szCs w:val="24"/>
              </w:rPr>
            </w:pPr>
            <w:r w:rsidRPr="005C3B55">
              <w:rPr>
                <w:b/>
              </w:rPr>
              <w:t>R8: IT systems</w:t>
            </w:r>
          </w:p>
          <w:p w:rsidR="00C21266" w:rsidRPr="005C3B55" w:rsidRDefault="00C21266">
            <w:pPr>
              <w:spacing w:before="240" w:after="240"/>
              <w:rPr>
                <w:szCs w:val="24"/>
              </w:rPr>
            </w:pPr>
            <w:r w:rsidRPr="005C3B55">
              <w:t>There is a risk of an inadequate IT system that is not advanced and does provide sufficient support.</w:t>
            </w:r>
          </w:p>
          <w:p w:rsidR="00C21266" w:rsidRPr="005C3B55" w:rsidRDefault="00C21266">
            <w:pPr>
              <w:spacing w:before="240" w:after="240"/>
              <w:rPr>
                <w:szCs w:val="24"/>
              </w:rPr>
            </w:pPr>
            <w:r w:rsidRPr="005C3B55">
              <w:rPr>
                <w:b/>
              </w:rPr>
              <w:t>R9: Requests for payment</w:t>
            </w:r>
          </w:p>
          <w:p w:rsidR="00C21266" w:rsidRPr="005C3B55" w:rsidRDefault="00C21266">
            <w:pPr>
              <w:spacing w:before="240" w:after="240"/>
              <w:rPr>
                <w:szCs w:val="24"/>
              </w:rPr>
            </w:pPr>
            <w:r w:rsidRPr="005C3B55">
              <w:t>No major risks were detected within this sub-measure. Beneficiaries submit an application for the ANC measure within the scope of submitting a joint single application every year between February and May. The clearing of the received applications is carried out by the Agency of the Republic of Slovenia for Agricultural Markets and Rural Development at the end of every year or in the beginning of the next year for applications submitted in the current year or previous year. There is a risk that the payment of application will not start in the current but only in the next year due to the budget illiquidity.</w:t>
            </w:r>
          </w:p>
          <w:p w:rsidR="00C21266" w:rsidRPr="005C3B55" w:rsidRDefault="00C21266">
            <w:pPr>
              <w:pStyle w:val="Telobesedila"/>
              <w:rPr>
                <w:lang w:eastAsia="en-GB" w:bidi="en-GB"/>
              </w:rPr>
            </w:pPr>
          </w:p>
        </w:tc>
      </w:tr>
    </w:tbl>
    <w:p w:rsidR="00C21266" w:rsidRPr="005C3B55" w:rsidRDefault="00C21266" w:rsidP="00C21266">
      <w:pPr>
        <w:pStyle w:val="Naslov7"/>
        <w:tabs>
          <w:tab w:val="clear" w:pos="765"/>
        </w:tabs>
        <w:ind w:left="0" w:firstLine="0"/>
        <w:rPr>
          <w:lang w:val="en-GB" w:eastAsia="en-GB" w:bidi="en-GB"/>
        </w:rPr>
      </w:pPr>
      <w:r w:rsidRPr="005C3B55">
        <w:rPr>
          <w:lang w:val="en-GB"/>
        </w:rPr>
        <w:t>Mitigation measures</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rPr>
                <w:b/>
              </w:rPr>
              <w:t>R5: Requirements which are difficult to verify and/or control</w:t>
            </w:r>
          </w:p>
          <w:p w:rsidR="00C21266" w:rsidRPr="005C3B55" w:rsidRDefault="00C21266">
            <w:pPr>
              <w:spacing w:before="240" w:after="240"/>
              <w:rPr>
                <w:szCs w:val="24"/>
              </w:rPr>
            </w:pPr>
            <w:r w:rsidRPr="005C3B55">
              <w:t>A farmer registers agricultural land in the Geographic Information System on the basis of the ortophoto images. However, the registered surface must not exceed the largest determined surface from the comparison capturing the use of agricultural land which is an official record in Slovenia. If the registered surface is larger, the field inspection is carried out for the respective surface. Only if the field inspection indicates a true agricultural use (e.g. in case of an obsolete ortophoto image), this surface may be determined as justified.</w:t>
            </w:r>
          </w:p>
          <w:p w:rsidR="00C21266" w:rsidRPr="005C3B55" w:rsidRDefault="00C21266">
            <w:pPr>
              <w:spacing w:before="240" w:after="240"/>
              <w:rPr>
                <w:szCs w:val="24"/>
              </w:rPr>
            </w:pPr>
            <w:r w:rsidRPr="005C3B55">
              <w:rPr>
                <w:b/>
              </w:rPr>
              <w:t>R6: General conditions for implementation</w:t>
            </w:r>
          </w:p>
          <w:p w:rsidR="00C21266" w:rsidRPr="005C3B55" w:rsidRDefault="00C21266">
            <w:pPr>
              <w:spacing w:before="240" w:after="240"/>
              <w:rPr>
                <w:szCs w:val="24"/>
              </w:rPr>
            </w:pPr>
            <w:r w:rsidRPr="005C3B55">
              <w:t>If the size of an agricultural holding in ANC is less than 1 ha of agricultural land upon the submission of the application, the application is rejected.</w:t>
            </w:r>
          </w:p>
          <w:p w:rsidR="00C21266" w:rsidRPr="005C3B55" w:rsidRDefault="00C21266">
            <w:pPr>
              <w:spacing w:before="240" w:after="240"/>
              <w:rPr>
                <w:szCs w:val="24"/>
              </w:rPr>
            </w:pPr>
            <w:r w:rsidRPr="005C3B55">
              <w:rPr>
                <w:b/>
              </w:rPr>
              <w:t>R8: IT systems</w:t>
            </w:r>
          </w:p>
          <w:p w:rsidR="00C21266" w:rsidRPr="005C3B55" w:rsidRDefault="00C21266">
            <w:pPr>
              <w:spacing w:before="240" w:after="240"/>
              <w:rPr>
                <w:szCs w:val="24"/>
              </w:rPr>
            </w:pPr>
            <w:r w:rsidRPr="005C3B55">
              <w:t>IT systems, operating with the ANC data, are simple and robust and indicate the necessary level of reliability. They were also examined by the internal revision in the recent years. The operation controls were carried out upon the establishing the registers.</w:t>
            </w:r>
          </w:p>
          <w:p w:rsidR="00C21266" w:rsidRPr="005C3B55" w:rsidRDefault="00C21266">
            <w:pPr>
              <w:spacing w:before="240" w:after="240"/>
              <w:rPr>
                <w:szCs w:val="24"/>
              </w:rPr>
            </w:pPr>
            <w:r w:rsidRPr="005C3B55">
              <w:rPr>
                <w:b/>
              </w:rPr>
              <w:t>R9: Requests for payment</w:t>
            </w:r>
          </w:p>
          <w:p w:rsidR="00C21266" w:rsidRPr="005C3B55" w:rsidRDefault="00C21266">
            <w:pPr>
              <w:spacing w:before="240" w:after="240"/>
              <w:rPr>
                <w:szCs w:val="24"/>
              </w:rPr>
            </w:pPr>
            <w:r w:rsidRPr="005C3B55">
              <w:t>The applications are submitted electronically, followed by the processing within the scope of the information system at the Agency of the Republic of Slovenia for Agricultural Markets and Rural Development. The adequate planning of budgetary outlays and informing of beneficiaries on the payments time-line are required.</w:t>
            </w:r>
          </w:p>
          <w:p w:rsidR="00C21266" w:rsidRPr="005C3B55" w:rsidRDefault="00C21266">
            <w:pPr>
              <w:pStyle w:val="Telobesedila"/>
              <w:rPr>
                <w:lang w:eastAsia="en-GB" w:bidi="en-GB"/>
              </w:rPr>
            </w:pPr>
          </w:p>
        </w:tc>
      </w:tr>
    </w:tbl>
    <w:p w:rsidR="00C21266" w:rsidRPr="005C3B55" w:rsidRDefault="00C21266" w:rsidP="00C21266">
      <w:pPr>
        <w:pStyle w:val="Naslov7"/>
        <w:tabs>
          <w:tab w:val="clear" w:pos="765"/>
        </w:tabs>
        <w:ind w:left="0" w:firstLine="0"/>
        <w:rPr>
          <w:lang w:val="en-GB" w:eastAsia="en-GB" w:bidi="en-GB"/>
        </w:rPr>
      </w:pPr>
      <w:r w:rsidRPr="005C3B55">
        <w:rPr>
          <w:lang w:val="en-GB"/>
        </w:rPr>
        <w:t>General assessment of the measure</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The sub-measure has already proven as a successful instrument of agricultural policy which has an important impact on the further level of cultivation of agricultural land which would otherwise probably be abandoned and overgrown and thus its level of biotic diversity reduced.</w:t>
            </w:r>
          </w:p>
          <w:p w:rsidR="00C21266" w:rsidRPr="005C3B55" w:rsidRDefault="00C21266">
            <w:pPr>
              <w:spacing w:before="240" w:after="240"/>
              <w:rPr>
                <w:szCs w:val="24"/>
              </w:rPr>
            </w:pPr>
            <w:r w:rsidRPr="005C3B55">
              <w:t>The sub-measure is simple for implementation and is relatively undemanding in terms of administration. The data used for the calculation of the compensatory payment are acquired from official registers or the Geographic Information System measurements without a subjective personal impact. The eligible surfaces used in this sub-measure are a part of the integrated administrative system (IAKS).</w:t>
            </w:r>
          </w:p>
          <w:p w:rsidR="00C21266" w:rsidRPr="005C3B55" w:rsidRDefault="00C21266">
            <w:pPr>
              <w:pStyle w:val="Telobesedila"/>
              <w:rPr>
                <w:lang w:eastAsia="en-GB" w:bidi="en-GB"/>
              </w:rPr>
            </w:pPr>
          </w:p>
        </w:tc>
      </w:tr>
    </w:tbl>
    <w:p w:rsidR="00C21266" w:rsidRPr="005C3B55" w:rsidRDefault="00C21266" w:rsidP="00C21266">
      <w:pPr>
        <w:pStyle w:val="Naslov6"/>
        <w:tabs>
          <w:tab w:val="clear" w:pos="765"/>
        </w:tabs>
        <w:ind w:left="0" w:firstLine="0"/>
        <w:rPr>
          <w:lang w:val="en-GB" w:eastAsia="en-GB" w:bidi="en-GB"/>
        </w:rPr>
      </w:pPr>
      <w:r w:rsidRPr="005C3B55">
        <w:rPr>
          <w:lang w:val="en-GB"/>
        </w:rPr>
        <w:t>Methodology for calculating support amount, where relevant</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The methodology for the calculation of the amount of support in the sub-measure Compensatory payments in areas with specific constraints took into account additional (higher) costs and loss of revenue (smaller harvest) in areas with specific constraints compared to the agricultural activities outside the ANC areas.</w:t>
            </w:r>
          </w:p>
          <w:p w:rsidR="00C21266" w:rsidRPr="005C3B55" w:rsidRDefault="00C21266">
            <w:pPr>
              <w:spacing w:before="240" w:after="240"/>
              <w:rPr>
                <w:szCs w:val="24"/>
              </w:rPr>
            </w:pPr>
            <w:r w:rsidRPr="005C3B55">
              <w:t>To precisely define the agricultural conditions for every individual agricultural holding, the register (scoring) of agricultural holdings in ANC was created.</w:t>
            </w:r>
          </w:p>
          <w:p w:rsidR="00C21266" w:rsidRPr="005C3B55" w:rsidRDefault="00C21266">
            <w:pPr>
              <w:spacing w:before="240" w:after="240"/>
              <w:rPr>
                <w:szCs w:val="24"/>
              </w:rPr>
            </w:pPr>
            <w:r w:rsidRPr="005C3B55">
              <w:t>The methodological basis, definition of the model content and the implementation of applicative calculation took into account that the number of points and resulting amount of required compensatory payments is a reflection of differences in production costs per unit of surface between ANC and areas without constraints for agricultural production.</w:t>
            </w:r>
          </w:p>
          <w:p w:rsidR="00C21266" w:rsidRPr="005C3B55" w:rsidRDefault="00C21266">
            <w:pPr>
              <w:spacing w:before="240" w:after="240"/>
              <w:rPr>
                <w:szCs w:val="24"/>
              </w:rPr>
            </w:pPr>
            <w:r w:rsidRPr="005C3B55">
              <w:t>The preparation of methodology for the register of agricultural holdings in ANC drawn up by the Agricultural Institute of Slovenia took into account the following criteria:</w:t>
            </w:r>
          </w:p>
          <w:p w:rsidR="00C21266" w:rsidRPr="005C3B55" w:rsidRDefault="00C21266" w:rsidP="006E20B6">
            <w:pPr>
              <w:numPr>
                <w:ilvl w:val="0"/>
                <w:numId w:val="935"/>
              </w:numPr>
              <w:spacing w:before="240" w:after="0"/>
              <w:ind w:hanging="290"/>
              <w:jc w:val="left"/>
              <w:rPr>
                <w:szCs w:val="24"/>
              </w:rPr>
            </w:pPr>
            <w:r w:rsidRPr="005C3B55">
              <w:rPr>
                <w:u w:val="single"/>
              </w:rPr>
              <w:t>Standard:</w:t>
            </w:r>
            <w:r w:rsidRPr="005C3B55">
              <w:t xml:space="preserve"> soil conditions, altitude, incline, the size of graphical agricultural units of a farm holding and</w:t>
            </w:r>
          </w:p>
          <w:p w:rsidR="00C21266" w:rsidRPr="005C3B55" w:rsidRDefault="00C21266" w:rsidP="006E20B6">
            <w:pPr>
              <w:numPr>
                <w:ilvl w:val="0"/>
                <w:numId w:val="935"/>
              </w:numPr>
              <w:spacing w:before="0" w:after="240"/>
              <w:ind w:hanging="290"/>
              <w:jc w:val="left"/>
              <w:rPr>
                <w:szCs w:val="24"/>
              </w:rPr>
            </w:pPr>
            <w:r w:rsidRPr="005C3B55">
              <w:rPr>
                <w:u w:val="single"/>
              </w:rPr>
              <w:t>Regionally specific:</w:t>
            </w:r>
            <w:r w:rsidRPr="005C3B55">
              <w:t xml:space="preserve"> karst surface, floods, strong winds, erosion.</w:t>
            </w:r>
          </w:p>
          <w:p w:rsidR="00C21266" w:rsidRPr="005C3B55" w:rsidRDefault="00C21266">
            <w:pPr>
              <w:spacing w:before="240" w:after="240"/>
              <w:rPr>
                <w:szCs w:val="24"/>
              </w:rPr>
            </w:pPr>
            <w:r w:rsidRPr="005C3B55">
              <w:t>Model calculations of the Agricultural Institute of Slovenia were used for the analysis which helped to evaluate the difference in costs for different cultures. In this respect:</w:t>
            </w:r>
          </w:p>
          <w:p w:rsidR="00C21266" w:rsidRPr="005C3B55" w:rsidRDefault="00C21266" w:rsidP="006E20B6">
            <w:pPr>
              <w:numPr>
                <w:ilvl w:val="0"/>
                <w:numId w:val="936"/>
              </w:numPr>
              <w:spacing w:before="240" w:after="0"/>
              <w:ind w:hanging="290"/>
              <w:jc w:val="left"/>
              <w:rPr>
                <w:szCs w:val="24"/>
              </w:rPr>
            </w:pPr>
            <w:r w:rsidRPr="005C3B55">
              <w:t>representative of individual cultures (wheat, grain maize, potato and forage hay) were selected for fields and</w:t>
            </w:r>
          </w:p>
          <w:p w:rsidR="00C21266" w:rsidRPr="005C3B55" w:rsidRDefault="00C21266" w:rsidP="006E20B6">
            <w:pPr>
              <w:numPr>
                <w:ilvl w:val="0"/>
                <w:numId w:val="936"/>
              </w:numPr>
              <w:spacing w:before="0" w:after="240"/>
              <w:ind w:hanging="290"/>
              <w:jc w:val="left"/>
              <w:rPr>
                <w:szCs w:val="24"/>
              </w:rPr>
            </w:pPr>
            <w:r w:rsidRPr="005C3B55">
              <w:t>forage gathering in a form of hay and in a form of pasture for grassland.</w:t>
            </w:r>
          </w:p>
          <w:p w:rsidR="00C21266" w:rsidRPr="005C3B55" w:rsidRDefault="00C21266">
            <w:pPr>
              <w:spacing w:before="240" w:after="240"/>
              <w:rPr>
                <w:szCs w:val="24"/>
              </w:rPr>
            </w:pPr>
            <w:r w:rsidRPr="005C3B55">
              <w:t>The basic spatial unit, for which the simulation calculation of number of points was conducted, is a graphical agricultural unit of a farm holding (GERK). The average number of points of individual GERK is calculated on the basis of differences in costs and weightings of individual crops. These are defined on the basis of the presumed uniform rotation crops and rational structure of grassland use, which initially takes into account an important share of pasture. The final result of the analysis in terms of individual use (field of grassland GERK) are calculated points determined by observed criteria.</w:t>
            </w:r>
          </w:p>
          <w:p w:rsidR="00C21266" w:rsidRPr="005C3B55" w:rsidRDefault="00C21266">
            <w:pPr>
              <w:spacing w:before="240" w:after="240"/>
              <w:rPr>
                <w:szCs w:val="24"/>
              </w:rPr>
            </w:pPr>
            <w:r w:rsidRPr="005C3B55">
              <w:t>The average number of points at the farm level is calculated with the weighted average of points of individual units, whereby the surface of individual GERK is used for weighing.</w:t>
            </w:r>
          </w:p>
          <w:p w:rsidR="00C21266" w:rsidRPr="005C3B55" w:rsidRDefault="00C21266">
            <w:pPr>
              <w:spacing w:before="240" w:after="240"/>
              <w:rPr>
                <w:szCs w:val="24"/>
              </w:rPr>
            </w:pPr>
            <w:r w:rsidRPr="005C3B55">
              <w:t>All agricultural holdings with the agricultural land in ANC are included in the register of agricultural holdings in ANC.</w:t>
            </w:r>
          </w:p>
          <w:p w:rsidR="00C21266" w:rsidRPr="005C3B55" w:rsidRDefault="00C21266">
            <w:pPr>
              <w:spacing w:before="240" w:after="240"/>
              <w:rPr>
                <w:szCs w:val="24"/>
              </w:rPr>
            </w:pPr>
            <w:r w:rsidRPr="005C3B55">
              <w:t>By ranking agricultural holdings in ANC with points, the constraining factors relating to agricultural land are well evaluated. However, the constraints the agricultural holding has due to its location in the region or local community, remoteness and accessibility and several other characteristics cannot be evaluated. These characteristics are well grouped in current difficulty classes, which are apart from points of agricultural holdings in ANC included in the formula for calculating the compensatory payment per hectare.</w:t>
            </w:r>
          </w:p>
          <w:p w:rsidR="00C21266" w:rsidRPr="005C3B55" w:rsidRDefault="00C21266">
            <w:pPr>
              <w:spacing w:before="240" w:after="240"/>
              <w:rPr>
                <w:szCs w:val="24"/>
              </w:rPr>
            </w:pPr>
            <w:r w:rsidRPr="005C3B55">
              <w:t>The compensatory payment per hectare includes:</w:t>
            </w:r>
          </w:p>
          <w:p w:rsidR="00C21266" w:rsidRPr="005C3B55" w:rsidRDefault="00C21266">
            <w:pPr>
              <w:spacing w:before="240" w:after="240"/>
              <w:rPr>
                <w:szCs w:val="24"/>
              </w:rPr>
            </w:pPr>
            <w:r w:rsidRPr="005C3B55">
              <w:t>- FIXED PART of ANC payment which is presented with specific amounts for individual difficulty class of agricultural holdings and</w:t>
            </w:r>
          </w:p>
          <w:p w:rsidR="00C21266" w:rsidRPr="005C3B55" w:rsidRDefault="00C21266">
            <w:pPr>
              <w:spacing w:before="240" w:after="240"/>
              <w:rPr>
                <w:szCs w:val="24"/>
              </w:rPr>
            </w:pPr>
            <w:r w:rsidRPr="005C3B55">
              <w:t>- VARIABLE PART of ANC payment.</w:t>
            </w:r>
          </w:p>
          <w:p w:rsidR="00C21266" w:rsidRPr="005C3B55" w:rsidRDefault="00C21266">
            <w:pPr>
              <w:spacing w:before="240" w:after="240"/>
              <w:rPr>
                <w:szCs w:val="24"/>
              </w:rPr>
            </w:pPr>
            <w:r w:rsidRPr="005C3B55">
              <w:t>Additional data related to the description of methodology for the calculation of the amount of support are included within the scope of the Chapter Methodology for the calculation of the amount of support at the level of the whole measure.</w:t>
            </w:r>
          </w:p>
          <w:p w:rsidR="00C21266" w:rsidRPr="005C3B55" w:rsidRDefault="00C21266">
            <w:pPr>
              <w:spacing w:before="240" w:after="240"/>
              <w:rPr>
                <w:szCs w:val="24"/>
              </w:rPr>
            </w:pPr>
            <w:r w:rsidRPr="005C3B55">
              <w:t>Since the support for ANC in the scope of the first pillar in Slovenia is not foreseen, the calculation also does not observe the payments according to the Chapter 3 of Title III of Regulation (EU) No 1307/2013.</w:t>
            </w:r>
          </w:p>
          <w:p w:rsidR="00C21266" w:rsidRPr="005C3B55" w:rsidRDefault="00C21266">
            <w:pPr>
              <w:pStyle w:val="Telobesedila"/>
              <w:rPr>
                <w:lang w:eastAsia="en-GB" w:bidi="en-GB"/>
              </w:rPr>
            </w:pPr>
          </w:p>
        </w:tc>
      </w:tr>
    </w:tbl>
    <w:p w:rsidR="00C21266" w:rsidRPr="005C3B55" w:rsidRDefault="00C21266" w:rsidP="00C21266">
      <w:pPr>
        <w:pStyle w:val="Naslov6"/>
        <w:tabs>
          <w:tab w:val="clear" w:pos="765"/>
        </w:tabs>
        <w:ind w:left="0" w:firstLine="0"/>
        <w:rPr>
          <w:lang w:val="en-GB" w:eastAsia="en-GB" w:bidi="en-GB"/>
        </w:rPr>
      </w:pPr>
      <w:r w:rsidRPr="005C3B55">
        <w:rPr>
          <w:lang w:val="en-GB"/>
        </w:rPr>
        <w:t>Information that relates specifically to the operation</w:t>
      </w:r>
    </w:p>
    <w:p w:rsidR="00C21266" w:rsidRPr="005C3B55" w:rsidRDefault="00C21266" w:rsidP="00C21266">
      <w:r w:rsidRPr="005C3B55">
        <w:t>The definition of the threshold of surface per agricultural holding, on the basis of which the Member state calculates the gradual decrease of payments</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As per Point 4 of Article 31 of Regulation (EU) No 1305/2013 the gradual decrease of compensatory payments is provided.</w:t>
            </w:r>
          </w:p>
          <w:p w:rsidR="00C21266" w:rsidRPr="005C3B55" w:rsidRDefault="00C21266">
            <w:pPr>
              <w:spacing w:before="240" w:after="240"/>
              <w:rPr>
                <w:szCs w:val="24"/>
              </w:rPr>
            </w:pPr>
            <w:r w:rsidRPr="005C3B55">
              <w:t>Due to landed property fragmentation in Slovenia, the economy of scope begins to be effective in 70 hectares of agricultural land in areas facing natural or other specific constraints. The gradual decrease of payments is thus defined in the following manner:</w:t>
            </w:r>
          </w:p>
          <w:p w:rsidR="00C21266" w:rsidRPr="005C3B55" w:rsidRDefault="00C21266" w:rsidP="006E20B6">
            <w:pPr>
              <w:numPr>
                <w:ilvl w:val="0"/>
                <w:numId w:val="937"/>
              </w:numPr>
              <w:spacing w:before="240" w:after="0"/>
              <w:ind w:hanging="290"/>
              <w:jc w:val="left"/>
              <w:rPr>
                <w:szCs w:val="24"/>
              </w:rPr>
            </w:pPr>
            <w:r w:rsidRPr="005C3B55">
              <w:t>to 70 ha the payment is 100%;</w:t>
            </w:r>
          </w:p>
          <w:p w:rsidR="00C21266" w:rsidRPr="005C3B55" w:rsidRDefault="00C21266" w:rsidP="006E20B6">
            <w:pPr>
              <w:numPr>
                <w:ilvl w:val="0"/>
                <w:numId w:val="937"/>
              </w:numPr>
              <w:spacing w:before="0" w:after="0"/>
              <w:ind w:hanging="290"/>
              <w:jc w:val="left"/>
              <w:rPr>
                <w:szCs w:val="24"/>
              </w:rPr>
            </w:pPr>
            <w:r w:rsidRPr="005C3B55">
              <w:t>above 70 and to 80 ha the payment is 85%;</w:t>
            </w:r>
          </w:p>
          <w:p w:rsidR="00C21266" w:rsidRPr="005C3B55" w:rsidRDefault="00C21266" w:rsidP="006E20B6">
            <w:pPr>
              <w:numPr>
                <w:ilvl w:val="0"/>
                <w:numId w:val="937"/>
              </w:numPr>
              <w:spacing w:before="0" w:after="0"/>
              <w:ind w:hanging="290"/>
              <w:jc w:val="left"/>
              <w:rPr>
                <w:szCs w:val="24"/>
              </w:rPr>
            </w:pPr>
            <w:r w:rsidRPr="005C3B55">
              <w:t>above 80 and to 90 ha the payment is 70%;</w:t>
            </w:r>
          </w:p>
          <w:p w:rsidR="00C21266" w:rsidRPr="005C3B55" w:rsidRDefault="00C21266" w:rsidP="006E20B6">
            <w:pPr>
              <w:numPr>
                <w:ilvl w:val="0"/>
                <w:numId w:val="937"/>
              </w:numPr>
              <w:spacing w:before="0" w:after="0"/>
              <w:ind w:hanging="290"/>
              <w:jc w:val="left"/>
              <w:rPr>
                <w:szCs w:val="24"/>
              </w:rPr>
            </w:pPr>
            <w:r w:rsidRPr="005C3B55">
              <w:t>above 90 and to 100 ha the payment is 55%; and</w:t>
            </w:r>
          </w:p>
          <w:p w:rsidR="00C21266" w:rsidRPr="005C3B55" w:rsidRDefault="00C21266" w:rsidP="006E20B6">
            <w:pPr>
              <w:numPr>
                <w:ilvl w:val="0"/>
                <w:numId w:val="937"/>
              </w:numPr>
              <w:spacing w:before="0" w:after="240"/>
              <w:ind w:hanging="290"/>
              <w:jc w:val="left"/>
              <w:rPr>
                <w:szCs w:val="24"/>
              </w:rPr>
            </w:pPr>
            <w:r w:rsidRPr="005C3B55">
              <w:t>above 100 ha the payment is 40%.</w:t>
            </w:r>
          </w:p>
          <w:p w:rsidR="00C21266" w:rsidRPr="005C3B55" w:rsidRDefault="00C21266">
            <w:pPr>
              <w:spacing w:before="240" w:after="240"/>
              <w:rPr>
                <w:szCs w:val="24"/>
              </w:rPr>
            </w:pPr>
            <w:r w:rsidRPr="005C3B55">
              <w:t>3.31% of agricultural land in use in areas facing natural or other specific constraints will be included in gradual decrease of ANC payments in Slovenia.</w:t>
            </w:r>
          </w:p>
          <w:p w:rsidR="00C21266" w:rsidRPr="005C3B55" w:rsidRDefault="00C21266">
            <w:pPr>
              <w:spacing w:before="240" w:after="240"/>
              <w:rPr>
                <w:szCs w:val="24"/>
              </w:rPr>
            </w:pPr>
            <w:r w:rsidRPr="005C3B55">
              <w:t>In establishing this threshold the following factors were taken into account:</w:t>
            </w:r>
          </w:p>
          <w:p w:rsidR="00C21266" w:rsidRPr="005C3B55" w:rsidRDefault="00C21266" w:rsidP="006E20B6">
            <w:pPr>
              <w:numPr>
                <w:ilvl w:val="0"/>
                <w:numId w:val="938"/>
              </w:numPr>
              <w:spacing w:before="240" w:after="0"/>
              <w:ind w:hanging="290"/>
              <w:jc w:val="left"/>
              <w:rPr>
                <w:szCs w:val="24"/>
              </w:rPr>
            </w:pPr>
            <w:r w:rsidRPr="005C3B55">
              <w:t>large fragmentation of agricultural land;</w:t>
            </w:r>
          </w:p>
          <w:p w:rsidR="00C21266" w:rsidRPr="005C3B55" w:rsidRDefault="00C21266" w:rsidP="006E20B6">
            <w:pPr>
              <w:numPr>
                <w:ilvl w:val="0"/>
                <w:numId w:val="938"/>
              </w:numPr>
              <w:spacing w:before="0" w:after="0"/>
              <w:ind w:hanging="290"/>
              <w:jc w:val="left"/>
              <w:rPr>
                <w:szCs w:val="24"/>
              </w:rPr>
            </w:pPr>
            <w:r w:rsidRPr="005C3B55">
              <w:t>mitigation of effects of internal convergence in the scope of the first pillar of the Common Agricultural Policy due to gradual decrease of historical supplements;</w:t>
            </w:r>
          </w:p>
          <w:p w:rsidR="00C21266" w:rsidRPr="005C3B55" w:rsidRDefault="00C21266" w:rsidP="006E20B6">
            <w:pPr>
              <w:numPr>
                <w:ilvl w:val="0"/>
                <w:numId w:val="938"/>
              </w:numPr>
              <w:spacing w:before="0" w:after="240"/>
              <w:ind w:hanging="290"/>
              <w:jc w:val="left"/>
              <w:rPr>
                <w:szCs w:val="24"/>
              </w:rPr>
            </w:pPr>
            <w:r w:rsidRPr="005C3B55">
              <w:t>there is a need to increase the number of agricultural holdings in the size class 40-60 in these areas.</w:t>
            </w:r>
          </w:p>
          <w:p w:rsidR="00C21266" w:rsidRPr="005C3B55" w:rsidRDefault="00C21266">
            <w:pPr>
              <w:pStyle w:val="Telobesedila"/>
              <w:rPr>
                <w:lang w:eastAsia="en-GB" w:bidi="en-GB"/>
              </w:rPr>
            </w:pPr>
          </w:p>
        </w:tc>
      </w:tr>
    </w:tbl>
    <w:p w:rsidR="00C21266" w:rsidRPr="005C3B55" w:rsidRDefault="00C21266" w:rsidP="00C21266">
      <w:pPr>
        <w:rPr>
          <w:rFonts w:eastAsia="Calibri"/>
          <w:szCs w:val="22"/>
          <w:lang w:eastAsia="en-GB" w:bidi="en-GB"/>
        </w:rPr>
      </w:pPr>
      <w:r w:rsidRPr="005C3B55">
        <w:t xml:space="preserve">[Determination of areas facing natural or other specific constraints] Description of local unit which is used to determine the areas. </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Areas with specific constraints are geographically uniform areas where it is necessary to continue agricultural activities in order to conserve the environment, preserve the rural area and protect the tourism potential of the area. The total scope of areas included in this group does not exceed 10% of the surface of the Republic of Slovenia. These natural constraints are special features which hinder or limit agricultural production in these areas to a great extent. The following specific constraints are determined in Slovenia: recurrent floods along the Krka River, strong north wind (Bora), Ljubljana moors, Karst and erosive hills in the central and east part of Slovenia.</w:t>
            </w:r>
          </w:p>
          <w:p w:rsidR="00C21266" w:rsidRPr="005C3B55" w:rsidRDefault="00C21266">
            <w:pPr>
              <w:spacing w:before="240" w:after="240"/>
              <w:rPr>
                <w:szCs w:val="24"/>
              </w:rPr>
            </w:pPr>
            <w:r w:rsidRPr="005C3B55">
              <w:t>Detailed and extensive descriptions of all three areas within ANC are submitted also as the annex to this programme.</w:t>
            </w:r>
          </w:p>
          <w:p w:rsidR="00C21266" w:rsidRPr="005C3B55" w:rsidRDefault="00C21266">
            <w:pPr>
              <w:pStyle w:val="Telobesedila"/>
              <w:rPr>
                <w:lang w:eastAsia="en-GB" w:bidi="en-GB"/>
              </w:rPr>
            </w:pPr>
          </w:p>
        </w:tc>
      </w:tr>
    </w:tbl>
    <w:p w:rsidR="00C21266" w:rsidRPr="005C3B55" w:rsidRDefault="00C21266" w:rsidP="00C21266">
      <w:pPr>
        <w:rPr>
          <w:rFonts w:eastAsia="Calibri"/>
          <w:szCs w:val="22"/>
          <w:lang w:eastAsia="en-GB" w:bidi="en-GB"/>
        </w:rPr>
      </w:pPr>
      <w:r w:rsidRPr="005C3B55">
        <w:t>[Determination of areas facing natural or other specific constraints] A description of the method application including the criteria from Article 32 of Regulation (EU) No 1305/2013, for delimitation of three categories of areas from the stated Article, including the description and results of detailed adjustment for areas facing natural and other specific constraints, which are not mountainous areas</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Not relevant. Pursuant to the fifth paragraph of Article 32 of Regulation (EU) No 1305/2013, Slovenia in determining the areas within the scope of this measure will use the areas from the 2007-2013 programme period which were eligible to payments on the basis of Article 36(a)ii) of Regulation (EC) 1698/2005. </w:t>
            </w:r>
          </w:p>
          <w:p w:rsidR="00C21266" w:rsidRPr="005C3B55" w:rsidRDefault="00C21266">
            <w:pPr>
              <w:pStyle w:val="Telobesedila"/>
              <w:rPr>
                <w:lang w:eastAsia="en-GB" w:bidi="en-GB"/>
              </w:rPr>
            </w:pPr>
          </w:p>
        </w:tc>
      </w:tr>
    </w:tbl>
    <w:p w:rsidR="00C21266" w:rsidRPr="005C3B55" w:rsidRDefault="00C21266" w:rsidP="00C21266">
      <w:pPr>
        <w:pStyle w:val="Naslov4"/>
        <w:tabs>
          <w:tab w:val="clear" w:pos="765"/>
        </w:tabs>
        <w:ind w:left="0" w:firstLine="0"/>
        <w:jc w:val="left"/>
        <w:rPr>
          <w:lang w:val="en-GB" w:eastAsia="en-GB" w:bidi="en-GB"/>
        </w:rPr>
      </w:pPr>
      <w:r w:rsidRPr="005C3B55">
        <w:rPr>
          <w:lang w:val="en-GB"/>
        </w:rPr>
        <w:t>Verifiability and possibility of control of measures and/or type of operations</w:t>
      </w:r>
    </w:p>
    <w:p w:rsidR="00C21266" w:rsidRPr="005C3B55" w:rsidRDefault="00C21266" w:rsidP="00C21266">
      <w:pPr>
        <w:pStyle w:val="Naslov5"/>
        <w:tabs>
          <w:tab w:val="clear" w:pos="765"/>
        </w:tabs>
        <w:ind w:left="0" w:firstLine="0"/>
        <w:rPr>
          <w:b w:val="0"/>
          <w:lang w:val="en-GB"/>
        </w:rPr>
      </w:pPr>
      <w:r w:rsidRPr="005C3B55">
        <w:rPr>
          <w:b w:val="0"/>
          <w:lang w:val="en-GB"/>
        </w:rPr>
        <w:t>Risks in the implementation of the measure</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Risks are determined within individual sub-measures.</w:t>
            </w:r>
          </w:p>
          <w:p w:rsidR="00C21266" w:rsidRPr="005C3B55" w:rsidRDefault="00C21266">
            <w:pPr>
              <w:spacing w:before="240" w:after="240"/>
              <w:rPr>
                <w:szCs w:val="24"/>
              </w:rPr>
            </w:pPr>
            <w:r w:rsidRPr="005C3B55">
              <w:t> </w:t>
            </w:r>
          </w:p>
          <w:p w:rsidR="00C21266" w:rsidRPr="005C3B55" w:rsidRDefault="00C21266">
            <w:pPr>
              <w:pStyle w:val="Telobesedila"/>
              <w:rPr>
                <w:lang w:eastAsia="en-GB" w:bidi="en-GB"/>
              </w:rPr>
            </w:pPr>
          </w:p>
        </w:tc>
      </w:tr>
    </w:tbl>
    <w:p w:rsidR="00C21266" w:rsidRPr="005C3B55" w:rsidRDefault="00C21266" w:rsidP="00C21266">
      <w:pPr>
        <w:pStyle w:val="Naslov5"/>
        <w:tabs>
          <w:tab w:val="clear" w:pos="765"/>
        </w:tabs>
        <w:ind w:left="0" w:firstLine="0"/>
        <w:rPr>
          <w:b w:val="0"/>
          <w:lang w:val="en-GB" w:eastAsia="en-GB" w:bidi="en-GB"/>
        </w:rPr>
      </w:pPr>
      <w:r w:rsidRPr="005C3B55">
        <w:rPr>
          <w:b w:val="0"/>
          <w:lang w:val="en-GB"/>
        </w:rPr>
        <w:t>Mitigation measures</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Mitigating actions are determined within individual sub-measures.</w:t>
            </w:r>
          </w:p>
          <w:p w:rsidR="00C21266" w:rsidRPr="005C3B55" w:rsidRDefault="00C21266">
            <w:pPr>
              <w:pStyle w:val="Telobesedila"/>
              <w:rPr>
                <w:lang w:eastAsia="en-GB" w:bidi="en-GB"/>
              </w:rPr>
            </w:pPr>
          </w:p>
        </w:tc>
      </w:tr>
    </w:tbl>
    <w:p w:rsidR="00C21266" w:rsidRPr="005C3B55" w:rsidRDefault="00C21266" w:rsidP="00C21266">
      <w:pPr>
        <w:pStyle w:val="Naslov5"/>
        <w:tabs>
          <w:tab w:val="clear" w:pos="765"/>
        </w:tabs>
        <w:ind w:left="0" w:firstLine="0"/>
        <w:rPr>
          <w:b w:val="0"/>
          <w:lang w:val="en-GB" w:eastAsia="en-GB" w:bidi="en-GB"/>
        </w:rPr>
      </w:pPr>
      <w:r w:rsidRPr="005C3B55">
        <w:rPr>
          <w:b w:val="0"/>
          <w:lang w:val="en-GB"/>
        </w:rPr>
        <w:t>General assessment of the measure</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Described within the individual sub-measure.</w:t>
            </w:r>
          </w:p>
          <w:p w:rsidR="00C21266" w:rsidRPr="005C3B55" w:rsidRDefault="00C21266">
            <w:pPr>
              <w:pStyle w:val="Telobesedila"/>
              <w:rPr>
                <w:lang w:eastAsia="en-GB" w:bidi="en-GB"/>
              </w:rPr>
            </w:pPr>
          </w:p>
        </w:tc>
      </w:tr>
    </w:tbl>
    <w:p w:rsidR="00C21266" w:rsidRPr="005C3B55" w:rsidRDefault="00C21266" w:rsidP="00C21266">
      <w:pPr>
        <w:pStyle w:val="Naslov4"/>
        <w:tabs>
          <w:tab w:val="clear" w:pos="765"/>
        </w:tabs>
        <w:ind w:left="0" w:firstLine="0"/>
        <w:jc w:val="left"/>
        <w:rPr>
          <w:lang w:val="en-GB" w:eastAsia="en-GB" w:bidi="en-GB"/>
        </w:rPr>
      </w:pPr>
      <w:r w:rsidRPr="005C3B55">
        <w:rPr>
          <w:lang w:val="en-GB"/>
        </w:rPr>
        <w:t>Methodology for calculating support amount, where relevant</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For areas referring to Article 32 of Regulation (EU) No 1305/2013, the different compensatory payments are introduced pursuant to Article 31 of Regulation 1305/2013. To determine the amount of compensatory payment, until 2009 Slovenia used the classification of agricultural holdings in different difficulty classes for which a different ANC payment was calculated. The classification of agricultural holdings in difficulty classes reflects the heterogeneity of agricultural area and agricultural conditions. However, there can be great differences within these difficulty classes between actual the agricultural conditions of individual holdings. To precisely define the agricultural conditions for every individual agricultural holding, the register (scoring) of agricultural holdings in ANC was created.</w:t>
            </w:r>
          </w:p>
          <w:p w:rsidR="00C21266" w:rsidRPr="005C3B55" w:rsidRDefault="00C21266">
            <w:pPr>
              <w:spacing w:before="240" w:after="240"/>
              <w:rPr>
                <w:szCs w:val="24"/>
              </w:rPr>
            </w:pPr>
            <w:r w:rsidRPr="005C3B55">
              <w:t>REGISTER OF AGRICULTURAL HOLDINGS IN ANC</w:t>
            </w:r>
          </w:p>
          <w:p w:rsidR="00C21266" w:rsidRPr="005C3B55" w:rsidRDefault="00C21266">
            <w:pPr>
              <w:spacing w:before="240" w:after="240"/>
              <w:rPr>
                <w:szCs w:val="24"/>
              </w:rPr>
            </w:pPr>
            <w:r w:rsidRPr="005C3B55">
              <w:t>The methodological basis, when defining the model content of the scoring of agricultural holdings in ANC and implementing of applicative calculation took into account that the number of points and resulting amount of required compensatory payments is a reflection of differences in production costs per unit of surface between areas with constraining factor and areas without constraints for agricultural production.</w:t>
            </w:r>
          </w:p>
          <w:p w:rsidR="00C21266" w:rsidRPr="005C3B55" w:rsidRDefault="00C21266">
            <w:pPr>
              <w:spacing w:before="240" w:after="240"/>
              <w:rPr>
                <w:szCs w:val="24"/>
              </w:rPr>
            </w:pPr>
            <w:r w:rsidRPr="005C3B55">
              <w:t>The preparation of methodology for the register of agricultural holdings in ANC drawn up by the Agricultural Institute of Slovenia (Reference: The Agricultural Institute of Slovenia; Rednak et al., 2007) took into account the following criteria:</w:t>
            </w:r>
          </w:p>
          <w:p w:rsidR="00C21266" w:rsidRPr="005C3B55" w:rsidRDefault="00C21266" w:rsidP="006E20B6">
            <w:pPr>
              <w:numPr>
                <w:ilvl w:val="0"/>
                <w:numId w:val="939"/>
              </w:numPr>
              <w:spacing w:before="240" w:after="0"/>
              <w:ind w:hanging="290"/>
              <w:jc w:val="left"/>
              <w:rPr>
                <w:szCs w:val="24"/>
              </w:rPr>
            </w:pPr>
            <w:r w:rsidRPr="005C3B55">
              <w:rPr>
                <w:u w:val="single"/>
              </w:rPr>
              <w:t>Standard:</w:t>
            </w:r>
            <w:r w:rsidRPr="005C3B55">
              <w:t xml:space="preserve"> soil conditions, altitude, incline, size of graphical agricultural units of a farm holding,</w:t>
            </w:r>
          </w:p>
          <w:p w:rsidR="00C21266" w:rsidRPr="005C3B55" w:rsidRDefault="00C21266" w:rsidP="006E20B6">
            <w:pPr>
              <w:numPr>
                <w:ilvl w:val="0"/>
                <w:numId w:val="939"/>
              </w:numPr>
              <w:spacing w:before="0" w:after="240"/>
              <w:ind w:hanging="290"/>
              <w:jc w:val="left"/>
              <w:rPr>
                <w:szCs w:val="24"/>
              </w:rPr>
            </w:pPr>
            <w:r w:rsidRPr="005C3B55">
              <w:rPr>
                <w:u w:val="single"/>
              </w:rPr>
              <w:t>Regionally specific:</w:t>
            </w:r>
            <w:r w:rsidRPr="005C3B55">
              <w:t xml:space="preserve"> karst surface, floods, strong winds, erosion.</w:t>
            </w:r>
          </w:p>
          <w:p w:rsidR="00C21266" w:rsidRPr="005C3B55" w:rsidRDefault="00C21266">
            <w:pPr>
              <w:spacing w:before="240" w:after="240"/>
              <w:rPr>
                <w:szCs w:val="24"/>
              </w:rPr>
            </w:pPr>
            <w:r w:rsidRPr="005C3B55">
              <w:t>Technical tools used in the analysis are model calculations of the Agricultural Institute of Slovenia which helped to evaluate the difference in costs for different cultures. In this respect:</w:t>
            </w:r>
          </w:p>
          <w:p w:rsidR="00C21266" w:rsidRPr="005C3B55" w:rsidRDefault="00C21266" w:rsidP="006E20B6">
            <w:pPr>
              <w:numPr>
                <w:ilvl w:val="0"/>
                <w:numId w:val="940"/>
              </w:numPr>
              <w:spacing w:before="240" w:after="0"/>
              <w:ind w:hanging="290"/>
              <w:jc w:val="left"/>
              <w:rPr>
                <w:szCs w:val="24"/>
              </w:rPr>
            </w:pPr>
            <w:r w:rsidRPr="005C3B55">
              <w:t>representative of individual cultures (wheat, grain maize, potato and forage hay) were selected for fields</w:t>
            </w:r>
          </w:p>
          <w:p w:rsidR="00C21266" w:rsidRPr="005C3B55" w:rsidRDefault="00C21266" w:rsidP="006E20B6">
            <w:pPr>
              <w:numPr>
                <w:ilvl w:val="0"/>
                <w:numId w:val="940"/>
              </w:numPr>
              <w:spacing w:before="0" w:after="240"/>
              <w:ind w:hanging="290"/>
              <w:jc w:val="left"/>
              <w:rPr>
                <w:szCs w:val="24"/>
              </w:rPr>
            </w:pPr>
            <w:r w:rsidRPr="005C3B55">
              <w:t>forage gathering in a form of hay and in a form of pasture for grassland.</w:t>
            </w:r>
          </w:p>
          <w:p w:rsidR="00C21266" w:rsidRPr="005C3B55" w:rsidRDefault="00C21266">
            <w:pPr>
              <w:spacing w:before="240" w:after="240"/>
              <w:rPr>
                <w:szCs w:val="24"/>
              </w:rPr>
            </w:pPr>
            <w:r w:rsidRPr="005C3B55">
              <w:t>The basic spatial unit, for which the simulation calculation of number of points was conducted, is a graphical agricultural unit of a farm holding (GERK). The average number of points of individual GERK is calculated on the basis of differences in costs and weightings of individual crops. These are defined on the basis of the presumed uniform rotation crops and rational structure of grassland use, which initially takes into account an important share of pasture. The final result of the analysis in terms of individual use (field of grassland GERK) are calculated points determined by observed criteria.</w:t>
            </w:r>
          </w:p>
          <w:p w:rsidR="00C21266" w:rsidRPr="005C3B55" w:rsidRDefault="00C21266">
            <w:pPr>
              <w:spacing w:before="240" w:after="240"/>
              <w:rPr>
                <w:szCs w:val="24"/>
              </w:rPr>
            </w:pPr>
            <w:r w:rsidRPr="005C3B55">
              <w:t>The average number of points at the farm level is calculated with the weighted average of points of individual units, whereby the surface of individual GERK is used for weighing.</w:t>
            </w:r>
          </w:p>
          <w:p w:rsidR="00C21266" w:rsidRPr="005C3B55" w:rsidRDefault="00C21266">
            <w:pPr>
              <w:spacing w:before="240" w:after="240"/>
              <w:rPr>
                <w:szCs w:val="24"/>
              </w:rPr>
            </w:pPr>
            <w:r w:rsidRPr="005C3B55">
              <w:t>All agricultural holdings with the agricultural land in ANC are included in the register of agricultural holdings in ANC.</w:t>
            </w:r>
          </w:p>
          <w:p w:rsidR="00C21266" w:rsidRPr="005C3B55" w:rsidRDefault="00C21266">
            <w:pPr>
              <w:spacing w:before="240" w:after="240"/>
              <w:rPr>
                <w:szCs w:val="24"/>
              </w:rPr>
            </w:pPr>
            <w:r w:rsidRPr="005C3B55">
              <w:t>DIFFERENTIATION OF ANC PAYMENTS IN THE 2014-2017 PERIOD</w:t>
            </w:r>
          </w:p>
          <w:p w:rsidR="00C21266" w:rsidRPr="005C3B55" w:rsidRDefault="00C21266">
            <w:pPr>
              <w:spacing w:before="240" w:after="240"/>
              <w:rPr>
                <w:szCs w:val="24"/>
              </w:rPr>
            </w:pPr>
            <w:r w:rsidRPr="005C3B55">
              <w:t>By ranking agricultural holdings in ANC with points, the constraining factors relating to agricultural land are well evaluated. However, the constraints the agricultural holding has due to its location in the region or local community, remoteness and accessibility and several other characteristics cannot be evaluated. These characteristics are well grouped in current difficulty classes. For this reason, a gradual transition to the application of only scoring agricultural holdings to determine compensatory payments was implemented. Two parts were determined:</w:t>
            </w:r>
          </w:p>
          <w:p w:rsidR="00C21266" w:rsidRPr="005C3B55" w:rsidRDefault="00C21266">
            <w:pPr>
              <w:spacing w:before="240" w:after="240"/>
              <w:rPr>
                <w:szCs w:val="24"/>
              </w:rPr>
            </w:pPr>
            <w:r w:rsidRPr="005C3B55">
              <w:t>- FIXED PART of ANC payment which is presented with specific amounts for individual difficulty class of agricultural holdings</w:t>
            </w:r>
          </w:p>
          <w:p w:rsidR="00C21266" w:rsidRPr="005C3B55" w:rsidRDefault="00C21266">
            <w:pPr>
              <w:spacing w:before="240" w:after="240"/>
              <w:rPr>
                <w:szCs w:val="24"/>
              </w:rPr>
            </w:pPr>
            <w:r w:rsidRPr="005C3B55">
              <w:t>- VARIABLE PART of ANC payment.</w:t>
            </w:r>
          </w:p>
          <w:p w:rsidR="00C21266" w:rsidRPr="005C3B55" w:rsidRDefault="00C21266">
            <w:pPr>
              <w:spacing w:before="240" w:after="240"/>
              <w:rPr>
                <w:szCs w:val="24"/>
              </w:rPr>
            </w:pPr>
            <w:r w:rsidRPr="005C3B55">
              <w:t>A detailed description of the methodology for calculating the support rate is described in the attachment to the RDP 2014-2020. The statement of the methodology provider indicating that it is made pursuant to Article 62 of Regulation (EU) No 1305/2013 is an attachment to this programme.</w:t>
            </w:r>
          </w:p>
          <w:p w:rsidR="00C21266" w:rsidRPr="005C3B55" w:rsidRDefault="00C21266">
            <w:pPr>
              <w:pStyle w:val="Telobesedila"/>
              <w:rPr>
                <w:lang w:eastAsia="en-GB" w:bidi="en-GB"/>
              </w:rPr>
            </w:pPr>
          </w:p>
        </w:tc>
      </w:tr>
    </w:tbl>
    <w:p w:rsidR="00C21266" w:rsidRPr="005C3B55" w:rsidRDefault="00C21266" w:rsidP="00C21266">
      <w:pPr>
        <w:pStyle w:val="Naslov4"/>
        <w:tabs>
          <w:tab w:val="clear" w:pos="765"/>
        </w:tabs>
        <w:ind w:left="0" w:firstLine="0"/>
        <w:jc w:val="left"/>
        <w:rPr>
          <w:lang w:val="en-GB" w:eastAsia="en-GB" w:bidi="en-GB"/>
        </w:rPr>
      </w:pPr>
      <w:r w:rsidRPr="005C3B55">
        <w:rPr>
          <w:lang w:val="en-GB"/>
        </w:rPr>
        <w:t>Additional information that relates specifically to the operation</w:t>
      </w:r>
    </w:p>
    <w:p w:rsidR="00C21266" w:rsidRPr="005C3B55" w:rsidRDefault="00C21266" w:rsidP="00C21266">
      <w:r w:rsidRPr="005C3B55">
        <w:t>The definition of the threshold of surface per agricultural holding, on the basis of which the Member state calculates the gradual decrease of payments</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Described within the individual sub-measure.</w:t>
            </w:r>
          </w:p>
          <w:p w:rsidR="00C21266" w:rsidRPr="005C3B55" w:rsidRDefault="00C21266">
            <w:pPr>
              <w:pStyle w:val="Telobesedila"/>
              <w:rPr>
                <w:lang w:eastAsia="en-GB" w:bidi="en-GB"/>
              </w:rPr>
            </w:pPr>
          </w:p>
        </w:tc>
      </w:tr>
    </w:tbl>
    <w:p w:rsidR="00C21266" w:rsidRPr="005C3B55" w:rsidRDefault="00C21266" w:rsidP="00C21266">
      <w:pPr>
        <w:spacing w:after="100"/>
        <w:rPr>
          <w:rFonts w:eastAsia="Calibri"/>
          <w:szCs w:val="22"/>
          <w:lang w:eastAsia="en-GB" w:bidi="en-GB"/>
        </w:rPr>
      </w:pPr>
      <w:r w:rsidRPr="005C3B55">
        <w:t xml:space="preserve">[Determination of areas facing natural or other specific constraints] Description of local unit which is used to determine the areas. </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Described within the individual sub-measure.</w:t>
            </w:r>
          </w:p>
          <w:p w:rsidR="00C21266" w:rsidRPr="005C3B55" w:rsidRDefault="00C21266">
            <w:pPr>
              <w:pStyle w:val="Telobesedila"/>
              <w:spacing w:after="100"/>
              <w:rPr>
                <w:lang w:eastAsia="en-GB" w:bidi="en-GB"/>
              </w:rPr>
            </w:pPr>
          </w:p>
        </w:tc>
      </w:tr>
    </w:tbl>
    <w:p w:rsidR="00C21266" w:rsidRPr="005C3B55" w:rsidRDefault="00C21266" w:rsidP="00C21266">
      <w:pPr>
        <w:spacing w:after="100"/>
        <w:rPr>
          <w:rFonts w:eastAsia="Calibri"/>
          <w:szCs w:val="22"/>
          <w:lang w:eastAsia="en-GB" w:bidi="en-GB"/>
        </w:rPr>
      </w:pPr>
      <w:r w:rsidRPr="005C3B55">
        <w:t>[Determination of areas facing natural or other specific constraints] A description of the method application including the criteria from Article 32 of Regulation (EU) No 1305/2013, for delimitation of three categories of areas from the stated Article, including the description and results of detailed adjustment for areas facing natural and other specific constraints, which are not mountainous areas</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Described within the individual sub-measure.</w:t>
            </w:r>
          </w:p>
          <w:p w:rsidR="00C21266" w:rsidRPr="005C3B55" w:rsidRDefault="00C21266">
            <w:pPr>
              <w:pStyle w:val="Telobesedila"/>
              <w:spacing w:after="100"/>
              <w:rPr>
                <w:lang w:eastAsia="en-GB" w:bidi="en-GB"/>
              </w:rPr>
            </w:pPr>
          </w:p>
        </w:tc>
      </w:tr>
    </w:tbl>
    <w:p w:rsidR="00C21266" w:rsidRPr="005C3B55" w:rsidRDefault="00C21266" w:rsidP="00C21266">
      <w:pPr>
        <w:pStyle w:val="Naslov4"/>
        <w:tabs>
          <w:tab w:val="clear" w:pos="765"/>
        </w:tabs>
        <w:spacing w:after="100"/>
        <w:ind w:left="0" w:firstLine="0"/>
        <w:jc w:val="left"/>
        <w:rPr>
          <w:lang w:val="en-GB" w:eastAsia="en-GB" w:bidi="en-GB"/>
        </w:rPr>
      </w:pPr>
      <w:r w:rsidRPr="005C3B55">
        <w:rPr>
          <w:lang w:val="en-GB"/>
        </w:rPr>
        <w:t>Other important notes that contribute to understanding and implementing the measure</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In the implementation of the measure Payments for areas facing natural or other specific constraints, the agricultural holdings must meet demanding cross compliances.</w:t>
            </w:r>
          </w:p>
          <w:p w:rsidR="00C21266" w:rsidRPr="005C3B55" w:rsidRDefault="00C21266">
            <w:pPr>
              <w:pStyle w:val="Telobesedila"/>
              <w:rPr>
                <w:lang w:eastAsia="en-GB" w:bidi="en-GB"/>
              </w:rPr>
            </w:pPr>
          </w:p>
        </w:tc>
      </w:tr>
    </w:tbl>
    <w:p w:rsidR="00C21266" w:rsidRPr="005C3B55" w:rsidRDefault="00C21266" w:rsidP="00C21266">
      <w:pPr>
        <w:pStyle w:val="Naslov3"/>
        <w:tabs>
          <w:tab w:val="clear" w:pos="765"/>
        </w:tabs>
        <w:ind w:left="0" w:firstLine="0"/>
        <w:jc w:val="left"/>
        <w:rPr>
          <w:lang w:val="en-GB" w:eastAsia="en-GB" w:bidi="en-GB"/>
        </w:rPr>
      </w:pPr>
      <w:r w:rsidRPr="005C3B55">
        <w:rPr>
          <w:lang w:val="en-GB"/>
        </w:rPr>
        <w:br w:type="page"/>
      </w:r>
      <w:bookmarkStart w:id="126" w:name="_Toc416192584"/>
      <w:r w:rsidRPr="005C3B55">
        <w:rPr>
          <w:lang w:val="en-GB"/>
        </w:rPr>
        <w:t>M14 – Animal welfare (Article 33)</w:t>
      </w:r>
      <w:bookmarkEnd w:id="126"/>
    </w:p>
    <w:p w:rsidR="00C21266" w:rsidRPr="005C3B55" w:rsidRDefault="00C21266" w:rsidP="00C21266">
      <w:pPr>
        <w:pStyle w:val="Naslov4"/>
        <w:tabs>
          <w:tab w:val="clear" w:pos="765"/>
        </w:tabs>
        <w:ind w:left="0" w:firstLine="0"/>
        <w:jc w:val="left"/>
        <w:rPr>
          <w:lang w:val="en-GB"/>
        </w:rPr>
      </w:pPr>
      <w:r w:rsidRPr="005C3B55">
        <w:rPr>
          <w:lang w:val="en-GB"/>
        </w:rPr>
        <w:t>Legal basis</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The M14 measure is implemented on the basis of Article 33 of Regulation (EU) No 1305/2013.</w:t>
            </w:r>
          </w:p>
          <w:p w:rsidR="00C21266" w:rsidRPr="005C3B55" w:rsidRDefault="00C21266">
            <w:pPr>
              <w:pStyle w:val="Telobesedila"/>
              <w:rPr>
                <w:lang w:eastAsia="en-GB" w:bidi="en-GB"/>
              </w:rPr>
            </w:pPr>
          </w:p>
        </w:tc>
      </w:tr>
    </w:tbl>
    <w:p w:rsidR="00C21266" w:rsidRPr="005C3B55" w:rsidRDefault="00C21266" w:rsidP="00C21266">
      <w:pPr>
        <w:pStyle w:val="Naslov4"/>
        <w:tabs>
          <w:tab w:val="clear" w:pos="765"/>
        </w:tabs>
        <w:ind w:left="0" w:firstLine="0"/>
        <w:jc w:val="left"/>
        <w:rPr>
          <w:lang w:val="en-GB" w:eastAsia="en-GB" w:bidi="en-GB"/>
        </w:rPr>
      </w:pPr>
      <w:r w:rsidRPr="005C3B55">
        <w:rPr>
          <w:lang w:val="en-GB"/>
        </w:rPr>
        <w:t>A general description of the measure, including its intervention logic and contribution to priority areas and horizontal goals</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The analysis of the situation reveals that breeders in Slovenia do not practise in sufficient numbers above-standard breeding methods which observe the aspects of animal well-being and exceed the prescribed treatment requirements or standard breeding practice. Breeders are insufficiently aware, or also dissuaded by the economics of breeding, to take on higher standards of practice.</w:t>
            </w:r>
          </w:p>
          <w:p w:rsidR="00C21266" w:rsidRPr="005C3B55" w:rsidRDefault="00C21266">
            <w:pPr>
              <w:spacing w:before="240" w:after="240"/>
              <w:rPr>
                <w:szCs w:val="24"/>
              </w:rPr>
            </w:pPr>
            <w:r w:rsidRPr="005C3B55">
              <w:t>Requirements regarding the provision of animal-adapted breeding are increasing in livestock farming. Animal health and welfare are also important from the aspect of human health, since these are the basic conditions that impact the quality of feedstuffs of animal origin. Ethical and responsible handling of animals and the quality of food are increasingly important objectives which most developed countries wish to attain. Since this encompasses the awareness recognised by the Lisbon Treaty, i.e. that animals are sentient beings that feel comfort and pain, it is necessary to ensure that the conditions of life and procedures in the treatment of farmed animals do not include activities that have negative impacts on animal welfare.</w:t>
            </w:r>
          </w:p>
          <w:p w:rsidR="00C21266" w:rsidRPr="005C3B55" w:rsidRDefault="00C21266">
            <w:pPr>
              <w:spacing w:before="240" w:after="240"/>
              <w:rPr>
                <w:szCs w:val="24"/>
              </w:rPr>
            </w:pPr>
            <w:r w:rsidRPr="005C3B55">
              <w:t>The M14 measure will be implemented in the sector of pig production, since a need for the introduction of higher standard requirements of animal production was detected in this sector. The purpose of the measure is to encourage pig producers to provide good welfare of pigs by allocating support for the implementation of the commitment in the field of animal welfare which exceed the relevant mandatory standards. With a higher standard of production, a positive impact on production results and a higher quality of products can be attained in addition to animal welfare.</w:t>
            </w:r>
          </w:p>
          <w:p w:rsidR="00C21266" w:rsidRPr="005C3B55" w:rsidRDefault="00C21266">
            <w:pPr>
              <w:spacing w:before="240" w:after="240"/>
              <w:rPr>
                <w:szCs w:val="24"/>
              </w:rPr>
            </w:pPr>
            <w:r w:rsidRPr="005C3B55">
              <w:t>The M14 measure is related to the measures M01 and M02. The M14 measure is related to the measure of advisory services in the section which refers to the programme of animal welfare. This programme is the result of individual advisory service provided by the advisory service provider for those holders of agricultural holdings who wish to participate in the M14 measure. The M14 measure is related to the knowledge transfer measure to the extent that every holder of the agricultural holding who participates in the measure must undergo mandatory training implemented within the measure of knowledge transfer for the duration of the commitment.</w:t>
            </w:r>
          </w:p>
          <w:p w:rsidR="00C21266" w:rsidRPr="005C3B55" w:rsidRDefault="00C21266">
            <w:pPr>
              <w:spacing w:before="240" w:after="240"/>
              <w:rPr>
                <w:szCs w:val="24"/>
              </w:rPr>
            </w:pPr>
            <w:r w:rsidRPr="005C3B55">
              <w:t>Support under the M14 measure focuses on the first and second action areas referred to in the RDP 2014–2020 determined in Chapter 5.1 of the RDP 2014–2020.</w:t>
            </w:r>
          </w:p>
          <w:p w:rsidR="00C21266" w:rsidRPr="005C3B55" w:rsidRDefault="00C21266">
            <w:pPr>
              <w:spacing w:before="240" w:after="240"/>
              <w:rPr>
                <w:szCs w:val="24"/>
              </w:rPr>
            </w:pPr>
            <w:r w:rsidRPr="005C3B55">
              <w:rPr>
                <w:b/>
              </w:rPr>
              <w:t>Contribution to the priority area</w:t>
            </w:r>
          </w:p>
          <w:p w:rsidR="00C21266" w:rsidRPr="005C3B55" w:rsidRDefault="00C21266">
            <w:pPr>
              <w:spacing w:before="240" w:after="240"/>
              <w:rPr>
                <w:szCs w:val="24"/>
              </w:rPr>
            </w:pPr>
            <w:r w:rsidRPr="005C3B55">
              <w:rPr>
                <w:b/>
                <w:i/>
              </w:rPr>
              <w:t>Priority area 3A: Enhancing the inclusion of primary producers in the food chain through quality schemes, promotion in local markets, short supply chains, producer groups and inter-branch organisations and promotion of animal welfare</w:t>
            </w:r>
          </w:p>
          <w:p w:rsidR="00C21266" w:rsidRPr="005C3B55" w:rsidRDefault="00C21266">
            <w:pPr>
              <w:spacing w:before="240" w:after="240"/>
              <w:rPr>
                <w:szCs w:val="24"/>
              </w:rPr>
            </w:pPr>
            <w:r w:rsidRPr="005C3B55">
              <w:t>This measure will contribute to ensuring animal welfare by allocating support to breeders who voluntarily assume commitments in the field of animal welfare which exceed the relevant mandatory standards. Due to the implementation of above-standard requirements, the measure will also provide an opportunity to establish a quality scheme.</w:t>
            </w:r>
          </w:p>
          <w:p w:rsidR="00C21266" w:rsidRPr="005C3B55" w:rsidRDefault="00C21266">
            <w:pPr>
              <w:spacing w:before="240" w:after="240"/>
              <w:rPr>
                <w:szCs w:val="24"/>
              </w:rPr>
            </w:pPr>
            <w:r w:rsidRPr="005C3B55">
              <w:rPr>
                <w:b/>
              </w:rPr>
              <w:t>Contribution to horizontal objectives</w:t>
            </w:r>
          </w:p>
          <w:p w:rsidR="00C21266" w:rsidRPr="005C3B55" w:rsidRDefault="00C21266">
            <w:pPr>
              <w:spacing w:before="240" w:after="240"/>
              <w:rPr>
                <w:szCs w:val="24"/>
              </w:rPr>
            </w:pPr>
            <w:r w:rsidRPr="005C3B55">
              <w:rPr>
                <w:b/>
                <w:i/>
              </w:rPr>
              <w:t xml:space="preserve">Mitigating and adapting to climate change: </w:t>
            </w:r>
            <w:r w:rsidRPr="005C3B55">
              <w:t>The literature discusses the improvement of technologies in domestic animal breeding from the aspect of possibilities of reducing greenhouse gas emissions (GGE) particularly in the sense of increasing the intensity of breeding, in the case of livestock, also from the aspect of extending the period of exploiting animals and improving reproduction indicators. Enhanced breeding intensity usually leads to an increase of GGE per animal; however, the latter is reduced to a stocking unit (Lovett et al., 2006; Verbič, 2006). In intensive breeding, a smaller number of animals must be kept for the same total scope of production, since this reduces GGE absolutely. The same applies to the extension of the exploitation period and improvement of reproduction indicators – lesser need for animals for restocking (Volk et al., 2011). Due to the aforementioned, the positive effects on prolonging the exploitation period and improvement of reproduction indicators will also contribute to the measure’s impact on mitigating climate change.</w:t>
            </w:r>
          </w:p>
          <w:p w:rsidR="00C21266" w:rsidRPr="005C3B55" w:rsidRDefault="00C21266">
            <w:pPr>
              <w:spacing w:before="240" w:after="240"/>
              <w:rPr>
                <w:szCs w:val="24"/>
              </w:rPr>
            </w:pPr>
            <w:r w:rsidRPr="005C3B55">
              <w:rPr>
                <w:b/>
                <w:i/>
              </w:rPr>
              <w:t>Environment</w:t>
            </w:r>
            <w:r w:rsidRPr="005C3B55">
              <w:rPr>
                <w:i/>
              </w:rPr>
              <w:t>:</w:t>
            </w:r>
            <w:r w:rsidRPr="005C3B55">
              <w:t xml:space="preserve"> By ensuring animal-adapted breeding, pressure on the environment is reduced, e.g. by reducing the animal population density typical of intensive breeding.</w:t>
            </w:r>
          </w:p>
          <w:p w:rsidR="00C21266" w:rsidRPr="005C3B55" w:rsidRDefault="00C21266">
            <w:pPr>
              <w:pStyle w:val="Telobesedila"/>
              <w:rPr>
                <w:lang w:eastAsia="en-GB" w:bidi="en-GB"/>
              </w:rPr>
            </w:pPr>
          </w:p>
        </w:tc>
      </w:tr>
    </w:tbl>
    <w:p w:rsidR="00C21266" w:rsidRPr="005C3B55" w:rsidRDefault="00C21266" w:rsidP="00C21266">
      <w:pPr>
        <w:pStyle w:val="Naslov4"/>
        <w:tabs>
          <w:tab w:val="clear" w:pos="765"/>
        </w:tabs>
        <w:ind w:left="0" w:firstLine="0"/>
        <w:jc w:val="left"/>
        <w:rPr>
          <w:lang w:val="en-GB" w:eastAsia="en-GB" w:bidi="en-GB"/>
        </w:rPr>
      </w:pPr>
      <w:r w:rsidRPr="005C3B55">
        <w:rPr>
          <w:lang w:val="en-GB"/>
        </w:rPr>
        <w:t>Scope and rate of support and beneficiaries, and, where relevant, methodology for the calculating the amount or level of support, if necessary broken down by sub-measures and/or the type of operation. Determine eligible costs, conditions for eligibility, valid amounts and rates of support and principles regarding the definition of selection criteria for each type of operation</w:t>
      </w:r>
    </w:p>
    <w:p w:rsidR="00C21266" w:rsidRPr="005C3B55" w:rsidRDefault="00C21266" w:rsidP="00C21266">
      <w:pPr>
        <w:pStyle w:val="Naslov5"/>
        <w:tabs>
          <w:tab w:val="clear" w:pos="765"/>
        </w:tabs>
        <w:ind w:left="0" w:firstLine="0"/>
        <w:rPr>
          <w:b w:val="0"/>
          <w:lang w:val="en-GB"/>
        </w:rPr>
      </w:pPr>
      <w:r w:rsidRPr="005C3B55">
        <w:rPr>
          <w:b w:val="0"/>
          <w:lang w:val="en-GB"/>
        </w:rPr>
        <w:t>Payments for implementation of animal welfare measure</w:t>
      </w:r>
    </w:p>
    <w:p w:rsidR="00C21266" w:rsidRPr="005C3B55" w:rsidRDefault="00C21266" w:rsidP="00C21266">
      <w:r w:rsidRPr="005C3B55">
        <w:t xml:space="preserve">Sub-measure: </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numPr>
                <w:ilvl w:val="0"/>
                <w:numId w:val="941"/>
              </w:numPr>
              <w:rPr>
                <w:rFonts w:eastAsia="Calibri"/>
                <w:lang w:eastAsia="en-GB" w:bidi="en-GB"/>
              </w:rPr>
            </w:pPr>
            <w:r w:rsidRPr="005C3B55">
              <w:t xml:space="preserve">14.1 – Payment for animal welfare </w:t>
            </w:r>
          </w:p>
        </w:tc>
      </w:tr>
    </w:tbl>
    <w:p w:rsidR="00C21266" w:rsidRPr="005C3B55" w:rsidRDefault="00C21266" w:rsidP="00C21266">
      <w:pPr>
        <w:pStyle w:val="Naslov6"/>
        <w:tabs>
          <w:tab w:val="clear" w:pos="765"/>
        </w:tabs>
        <w:ind w:left="0" w:firstLine="0"/>
        <w:rPr>
          <w:lang w:val="en-GB" w:eastAsia="en-GB" w:bidi="en-GB"/>
        </w:rPr>
      </w:pPr>
      <w:r w:rsidRPr="005C3B55">
        <w:rPr>
          <w:lang w:val="en-GB"/>
        </w:rPr>
        <w:t>Description of type of operation</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8"/>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The measure includes higher standard requirements for breeding sows, gilts, weaners and rearing pigs, whereby it is observed that:</w:t>
            </w:r>
          </w:p>
          <w:p w:rsidR="00C21266" w:rsidRPr="005C3B55" w:rsidRDefault="00C21266" w:rsidP="006E20B6">
            <w:pPr>
              <w:numPr>
                <w:ilvl w:val="0"/>
                <w:numId w:val="942"/>
              </w:numPr>
              <w:spacing w:before="240" w:after="0"/>
              <w:ind w:hanging="290"/>
              <w:jc w:val="left"/>
              <w:rPr>
                <w:szCs w:val="24"/>
              </w:rPr>
            </w:pPr>
            <w:r w:rsidRPr="005C3B55">
              <w:t>a breeding sow is a female pig which has farrowed at least once;</w:t>
            </w:r>
          </w:p>
          <w:p w:rsidR="00C21266" w:rsidRPr="005C3B55" w:rsidRDefault="00C21266" w:rsidP="006E20B6">
            <w:pPr>
              <w:numPr>
                <w:ilvl w:val="0"/>
                <w:numId w:val="942"/>
              </w:numPr>
              <w:spacing w:before="0" w:after="0"/>
              <w:ind w:hanging="290"/>
              <w:jc w:val="left"/>
              <w:rPr>
                <w:szCs w:val="24"/>
              </w:rPr>
            </w:pPr>
            <w:r w:rsidRPr="005C3B55">
              <w:t>a breeding gilt is a female pig which has not farrowed;</w:t>
            </w:r>
          </w:p>
          <w:p w:rsidR="00C21266" w:rsidRPr="005C3B55" w:rsidRDefault="00C21266" w:rsidP="006E20B6">
            <w:pPr>
              <w:numPr>
                <w:ilvl w:val="0"/>
                <w:numId w:val="942"/>
              </w:numPr>
              <w:spacing w:before="0" w:after="0"/>
              <w:ind w:hanging="290"/>
              <w:jc w:val="left"/>
              <w:rPr>
                <w:szCs w:val="24"/>
              </w:rPr>
            </w:pPr>
            <w:r w:rsidRPr="005C3B55">
              <w:t>weaners are pigs from weaning and up to, and including, ten weeks of age or until they reach 30 kg;</w:t>
            </w:r>
          </w:p>
          <w:p w:rsidR="00C21266" w:rsidRPr="005C3B55" w:rsidRDefault="00C21266" w:rsidP="006E20B6">
            <w:pPr>
              <w:numPr>
                <w:ilvl w:val="0"/>
                <w:numId w:val="942"/>
              </w:numPr>
              <w:spacing w:before="0" w:after="240"/>
              <w:ind w:hanging="290"/>
              <w:jc w:val="left"/>
              <w:rPr>
                <w:szCs w:val="24"/>
              </w:rPr>
            </w:pPr>
            <w:r w:rsidRPr="005C3B55">
              <w:t>rearing (production) pigs (including pigs intended for reproduction) are pigs from ten weeks of age until slaughter or sexual maturity.</w:t>
            </w:r>
          </w:p>
          <w:p w:rsidR="00C21266" w:rsidRPr="005C3B55" w:rsidRDefault="00C21266">
            <w:pPr>
              <w:spacing w:before="240" w:after="240"/>
              <w:rPr>
                <w:szCs w:val="24"/>
              </w:rPr>
            </w:pPr>
            <w:r w:rsidRPr="005C3B55">
              <w:t>To obtain payments for the measure of Animal welfare, the holders of agricultural holdings are obliged to implement at least one of the following requirements for which they are enforcing the Animal welfare measure:</w:t>
            </w:r>
          </w:p>
          <w:p w:rsidR="00C21266" w:rsidRPr="005C3B55" w:rsidRDefault="00C21266" w:rsidP="006E20B6">
            <w:pPr>
              <w:numPr>
                <w:ilvl w:val="0"/>
                <w:numId w:val="943"/>
              </w:numPr>
              <w:spacing w:before="240" w:after="0"/>
              <w:ind w:hanging="290"/>
              <w:jc w:val="left"/>
              <w:rPr>
                <w:szCs w:val="24"/>
              </w:rPr>
            </w:pPr>
            <w:r w:rsidRPr="005C3B55">
              <w:rPr>
                <w:u w:val="single"/>
              </w:rPr>
              <w:t>for breeding sows and gilts:</w:t>
            </w:r>
            <w:r w:rsidRPr="005C3B55">
              <w:t xml:space="preserve"> </w:t>
            </w:r>
          </w:p>
          <w:p w:rsidR="00C21266" w:rsidRPr="005C3B55" w:rsidRDefault="00C21266" w:rsidP="006E20B6">
            <w:pPr>
              <w:numPr>
                <w:ilvl w:val="1"/>
                <w:numId w:val="943"/>
              </w:numPr>
              <w:spacing w:before="0" w:after="0"/>
              <w:ind w:hanging="324"/>
              <w:jc w:val="left"/>
              <w:rPr>
                <w:szCs w:val="24"/>
              </w:rPr>
            </w:pPr>
            <w:r w:rsidRPr="005C3B55">
              <w:t>requirement for group breeding with release;</w:t>
            </w:r>
          </w:p>
          <w:p w:rsidR="00C21266" w:rsidRPr="005C3B55" w:rsidRDefault="00C21266" w:rsidP="006E20B6">
            <w:pPr>
              <w:numPr>
                <w:ilvl w:val="1"/>
                <w:numId w:val="943"/>
              </w:numPr>
              <w:spacing w:before="0" w:after="0"/>
              <w:ind w:hanging="324"/>
              <w:jc w:val="left"/>
              <w:rPr>
                <w:szCs w:val="24"/>
              </w:rPr>
            </w:pPr>
            <w:r w:rsidRPr="005C3B55">
              <w:t>requirement for 10% more unobstructed floor area per animal in group pens of the area determined in the regulation stipulating the protection of livestock;</w:t>
            </w:r>
          </w:p>
          <w:p w:rsidR="00C21266" w:rsidRPr="005C3B55" w:rsidRDefault="00C21266" w:rsidP="006E20B6">
            <w:pPr>
              <w:numPr>
                <w:ilvl w:val="1"/>
                <w:numId w:val="943"/>
              </w:numPr>
              <w:spacing w:before="0" w:after="240"/>
              <w:ind w:hanging="324"/>
              <w:jc w:val="left"/>
              <w:rPr>
                <w:szCs w:val="24"/>
              </w:rPr>
            </w:pPr>
            <w:r w:rsidRPr="005C3B55">
              <w:t>Requirement for additional voluminous feed or feed with high fibre content;</w:t>
            </w:r>
          </w:p>
          <w:p w:rsidR="00C21266" w:rsidRPr="005C3B55" w:rsidRDefault="00C21266" w:rsidP="006E20B6">
            <w:pPr>
              <w:numPr>
                <w:ilvl w:val="0"/>
                <w:numId w:val="944"/>
              </w:numPr>
              <w:spacing w:before="240" w:after="0"/>
              <w:ind w:hanging="290"/>
              <w:jc w:val="left"/>
              <w:rPr>
                <w:szCs w:val="24"/>
              </w:rPr>
            </w:pPr>
            <w:r w:rsidRPr="005C3B55">
              <w:rPr>
                <w:u w:val="single"/>
              </w:rPr>
              <w:t>for breeding sows:</w:t>
            </w:r>
            <w:r w:rsidRPr="005C3B55">
              <w:t xml:space="preserve"> </w:t>
            </w:r>
          </w:p>
          <w:p w:rsidR="00C21266" w:rsidRPr="005C3B55" w:rsidRDefault="00C21266" w:rsidP="006E20B6">
            <w:pPr>
              <w:numPr>
                <w:ilvl w:val="1"/>
                <w:numId w:val="944"/>
              </w:numPr>
              <w:spacing w:before="0" w:after="240"/>
              <w:ind w:hanging="324"/>
              <w:jc w:val="left"/>
              <w:rPr>
                <w:szCs w:val="24"/>
              </w:rPr>
            </w:pPr>
            <w:r w:rsidRPr="005C3B55">
              <w:t>requirement for thermal comfort of breeding sows and suckling piglets;</w:t>
            </w:r>
          </w:p>
          <w:p w:rsidR="00C21266" w:rsidRPr="005C3B55" w:rsidRDefault="00C21266" w:rsidP="006E20B6">
            <w:pPr>
              <w:numPr>
                <w:ilvl w:val="0"/>
                <w:numId w:val="945"/>
              </w:numPr>
              <w:spacing w:before="240" w:after="0"/>
              <w:ind w:hanging="290"/>
              <w:jc w:val="left"/>
              <w:rPr>
                <w:szCs w:val="24"/>
              </w:rPr>
            </w:pPr>
            <w:r w:rsidRPr="005C3B55">
              <w:rPr>
                <w:u w:val="single"/>
              </w:rPr>
              <w:t>for weaners:</w:t>
            </w:r>
            <w:r w:rsidRPr="005C3B55">
              <w:t xml:space="preserve"> </w:t>
            </w:r>
          </w:p>
          <w:p w:rsidR="00C21266" w:rsidRPr="005C3B55" w:rsidRDefault="00C21266" w:rsidP="006E20B6">
            <w:pPr>
              <w:numPr>
                <w:ilvl w:val="1"/>
                <w:numId w:val="945"/>
              </w:numPr>
              <w:spacing w:before="0" w:after="240"/>
              <w:ind w:hanging="324"/>
              <w:jc w:val="left"/>
              <w:rPr>
                <w:szCs w:val="24"/>
              </w:rPr>
            </w:pPr>
            <w:r w:rsidRPr="005C3B55">
              <w:t>requirement for 10% more unobstructed floor area per animal in group pens of the area determined in the regulation stipulating the protection of livestock;</w:t>
            </w:r>
          </w:p>
          <w:p w:rsidR="00C21266" w:rsidRPr="005C3B55" w:rsidRDefault="00C21266" w:rsidP="006E20B6">
            <w:pPr>
              <w:numPr>
                <w:ilvl w:val="0"/>
                <w:numId w:val="946"/>
              </w:numPr>
              <w:spacing w:before="240" w:after="0"/>
              <w:ind w:hanging="290"/>
              <w:jc w:val="left"/>
              <w:rPr>
                <w:szCs w:val="24"/>
              </w:rPr>
            </w:pPr>
            <w:r w:rsidRPr="005C3B55">
              <w:rPr>
                <w:u w:val="single"/>
              </w:rPr>
              <w:t>for production pigs:</w:t>
            </w:r>
            <w:r w:rsidRPr="005C3B55">
              <w:t xml:space="preserve"> </w:t>
            </w:r>
          </w:p>
          <w:p w:rsidR="00C21266" w:rsidRPr="005C3B55" w:rsidRDefault="00C21266" w:rsidP="006E20B6">
            <w:pPr>
              <w:numPr>
                <w:ilvl w:val="1"/>
                <w:numId w:val="946"/>
              </w:numPr>
              <w:spacing w:before="0" w:after="0"/>
              <w:ind w:hanging="324"/>
              <w:jc w:val="left"/>
              <w:rPr>
                <w:szCs w:val="24"/>
              </w:rPr>
            </w:pPr>
            <w:r w:rsidRPr="005C3B55">
              <w:t>requirement for 10% more unobstructed floor area per animal in group pens of the area determined in the regulation stipulating the protection of livestock;</w:t>
            </w:r>
          </w:p>
          <w:p w:rsidR="00C21266" w:rsidRPr="005C3B55" w:rsidRDefault="00C21266" w:rsidP="006E20B6">
            <w:pPr>
              <w:numPr>
                <w:ilvl w:val="1"/>
                <w:numId w:val="946"/>
              </w:numPr>
              <w:spacing w:before="0" w:after="240"/>
              <w:ind w:hanging="324"/>
              <w:jc w:val="left"/>
              <w:rPr>
                <w:szCs w:val="24"/>
              </w:rPr>
            </w:pPr>
            <w:r w:rsidRPr="005C3B55">
              <w:t>requirement for group breeding with release.</w:t>
            </w:r>
          </w:p>
          <w:p w:rsidR="00C21266" w:rsidRPr="005C3B55" w:rsidRDefault="00C21266">
            <w:pPr>
              <w:spacing w:before="240" w:after="240"/>
              <w:rPr>
                <w:szCs w:val="24"/>
              </w:rPr>
            </w:pPr>
            <w:r w:rsidRPr="005C3B55">
              <w:t> </w:t>
            </w:r>
          </w:p>
          <w:p w:rsidR="00C21266" w:rsidRPr="005C3B55" w:rsidRDefault="00C21266">
            <w:pPr>
              <w:spacing w:before="240" w:after="240"/>
              <w:rPr>
                <w:szCs w:val="24"/>
              </w:rPr>
            </w:pPr>
            <w:r w:rsidRPr="005C3B55">
              <w:rPr>
                <w:b/>
              </w:rPr>
              <w:t>DESCRIPTION OF REQUIREMENTS</w:t>
            </w:r>
          </w:p>
          <w:p w:rsidR="00C21266" w:rsidRPr="005C3B55" w:rsidRDefault="00C21266">
            <w:pPr>
              <w:spacing w:before="240" w:after="240"/>
              <w:rPr>
                <w:szCs w:val="24"/>
              </w:rPr>
            </w:pPr>
            <w:r w:rsidRPr="005C3B55">
              <w:rPr>
                <w:b/>
              </w:rPr>
              <w:t>1. Requirement for group breeding with release for breeding sows and gilts:</w:t>
            </w:r>
          </w:p>
          <w:p w:rsidR="00C21266" w:rsidRPr="005C3B55" w:rsidRDefault="00C21266">
            <w:pPr>
              <w:spacing w:before="240" w:after="240"/>
              <w:rPr>
                <w:szCs w:val="24"/>
              </w:rPr>
            </w:pPr>
            <w:r w:rsidRPr="005C3B55">
              <w:t>Breeding sows and gilts have to be provided with the possibility of permanent or alternating outdoor access. The minimum release area is 1.3 m2 per animal. The minimum release area for 4 or less animals has to be at least 6 m2, where the minimum length of the shorter side is 2 m. In the case of alternating access to release, the release area is calculated with regard to the number of animals that are simultaneously released. In the case of alternating access to release, the breeder must keep a release log book or a schedule of release for all groups of animals, whereby the group of animals comprises the animals that are simultaneously released. Each group has to be released for at least two hours and at least twice a week. The pens in which the animals are released have to be marked so as to allow the monitoring of which animals are released simultaneously.</w:t>
            </w:r>
          </w:p>
          <w:p w:rsidR="00C21266" w:rsidRPr="005C3B55" w:rsidRDefault="00C21266">
            <w:pPr>
              <w:spacing w:before="240" w:after="240"/>
              <w:rPr>
                <w:szCs w:val="24"/>
              </w:rPr>
            </w:pPr>
            <w:r w:rsidRPr="005C3B55">
              <w:t>As per Article 10 of Regulation (EU) No 807/2014, the requirement also enables outdoor access to breeding sows and gilts.</w:t>
            </w:r>
          </w:p>
          <w:p w:rsidR="00C21266" w:rsidRPr="005C3B55" w:rsidRDefault="00C21266">
            <w:pPr>
              <w:spacing w:before="240" w:after="240"/>
              <w:rPr>
                <w:szCs w:val="24"/>
              </w:rPr>
            </w:pPr>
            <w:r w:rsidRPr="005C3B55">
              <w:rPr>
                <w:b/>
              </w:rPr>
              <w:t xml:space="preserve">2. Requirement for 10% more unobstructed floor area per animal in group pens than prescribed for breeding sows and gilts: </w:t>
            </w:r>
          </w:p>
          <w:p w:rsidR="00C21266" w:rsidRPr="005C3B55" w:rsidRDefault="00C21266">
            <w:pPr>
              <w:spacing w:before="240" w:after="240"/>
              <w:rPr>
                <w:szCs w:val="24"/>
              </w:rPr>
            </w:pPr>
            <w:r w:rsidRPr="005C3B55">
              <w:t>Some 10% more floor area per animal must be ensured for breeding sows and gilts in group pens than the area determined with the regulation stipulating the protection of farm animals. The norms for unobstructed floor area per animal relating to the size of the group are in the table Unobstructed floor area per animal:</w:t>
            </w:r>
          </w:p>
          <w:p w:rsidR="00C21266" w:rsidRPr="005C3B55" w:rsidRDefault="00C21266">
            <w:pPr>
              <w:spacing w:before="240" w:after="240"/>
              <w:rPr>
                <w:szCs w:val="24"/>
              </w:rPr>
            </w:pPr>
            <w:r w:rsidRPr="005C3B55">
              <w:t>As per Article 10 of Regulation (EU) No 807/2014, the requirement also enables better housing conditions for breeding sows and gilts.</w:t>
            </w:r>
          </w:p>
          <w:p w:rsidR="00C21266" w:rsidRPr="005C3B55" w:rsidRDefault="00C21266">
            <w:pPr>
              <w:spacing w:before="240" w:after="240"/>
              <w:rPr>
                <w:szCs w:val="24"/>
              </w:rPr>
            </w:pPr>
            <w:r w:rsidRPr="005C3B55">
              <w:rPr>
                <w:b/>
              </w:rPr>
              <w:t>3. Requirement for additional voluminous feed or feed with high fibre content:</w:t>
            </w:r>
          </w:p>
          <w:p w:rsidR="00C21266" w:rsidRPr="005C3B55" w:rsidRDefault="00C21266">
            <w:pPr>
              <w:spacing w:before="240" w:after="240"/>
              <w:rPr>
                <w:szCs w:val="24"/>
              </w:rPr>
            </w:pPr>
            <w:r w:rsidRPr="005C3B55">
              <w:t>In order to improve their sense of satiety, digestion and manure consistency, prevent stereotypies, and satisfy their need to forage and thus reduce aggressive behaviour among sows in the group due to competition for feed, breeding sows and gilts in group breeding in waiting quarters have to receive, in addition to their basic ration which satisfies their need for nutrients:</w:t>
            </w:r>
          </w:p>
          <w:p w:rsidR="00C21266" w:rsidRPr="005C3B55" w:rsidRDefault="00C21266" w:rsidP="006E20B6">
            <w:pPr>
              <w:numPr>
                <w:ilvl w:val="0"/>
                <w:numId w:val="947"/>
              </w:numPr>
              <w:spacing w:before="240" w:after="0"/>
              <w:ind w:hanging="290"/>
              <w:jc w:val="left"/>
              <w:rPr>
                <w:szCs w:val="24"/>
              </w:rPr>
            </w:pPr>
            <w:r w:rsidRPr="005C3B55">
              <w:t>voluminous feed, or</w:t>
            </w:r>
          </w:p>
          <w:p w:rsidR="00C21266" w:rsidRPr="005C3B55" w:rsidRDefault="00C21266" w:rsidP="006E20B6">
            <w:pPr>
              <w:numPr>
                <w:ilvl w:val="0"/>
                <w:numId w:val="947"/>
              </w:numPr>
              <w:spacing w:before="0" w:after="240"/>
              <w:ind w:hanging="290"/>
              <w:jc w:val="left"/>
              <w:rPr>
                <w:szCs w:val="24"/>
              </w:rPr>
            </w:pPr>
            <w:r w:rsidRPr="005C3B55">
              <w:t>sows have to be fed a compound feed which has to contain at least 8% of dry fibres, which must be evident from the declaration or conducted feed analysis.</w:t>
            </w:r>
          </w:p>
          <w:p w:rsidR="00C21266" w:rsidRPr="005C3B55" w:rsidRDefault="00C21266">
            <w:pPr>
              <w:spacing w:before="240" w:after="240"/>
              <w:rPr>
                <w:szCs w:val="24"/>
              </w:rPr>
            </w:pPr>
            <w:r w:rsidRPr="005C3B55">
              <w:t>Forage and roughage includes straw, hay (dried grass), fresh grass, clover, lucerne, grass-clover mixtures, root crops, silage and other voluminous feed from point 6 of Part C of Commission Regulation (EU) No 68/2013 of 16 January 2013 on the Catalogue of feed materials (OJ L 29 of 30 January 2013, p.1). Voluminous feed may be put in troughs, on the floor of the pen or in mangers of different forms.</w:t>
            </w:r>
          </w:p>
          <w:p w:rsidR="00C21266" w:rsidRPr="005C3B55" w:rsidRDefault="00C21266">
            <w:pPr>
              <w:spacing w:before="240" w:after="240"/>
              <w:rPr>
                <w:szCs w:val="24"/>
              </w:rPr>
            </w:pPr>
            <w:r w:rsidRPr="005C3B55">
              <w:t>Breeders must have recipes for feed rations prepared by zoo technicians within the preparation of the Animal welfare programme.</w:t>
            </w:r>
          </w:p>
          <w:p w:rsidR="00C21266" w:rsidRPr="005C3B55" w:rsidRDefault="00C21266">
            <w:pPr>
              <w:spacing w:before="240" w:after="240"/>
              <w:rPr>
                <w:szCs w:val="24"/>
              </w:rPr>
            </w:pPr>
            <w:r w:rsidRPr="005C3B55">
              <w:t>As per Article 10 of Regulation (EU) No 807/2014, the requirement enables breeding sows and gilts to feed in accordance with their needs and enrichment materials.</w:t>
            </w:r>
          </w:p>
          <w:p w:rsidR="00C21266" w:rsidRPr="005C3B55" w:rsidRDefault="00C21266">
            <w:pPr>
              <w:spacing w:before="240" w:after="240"/>
              <w:rPr>
                <w:szCs w:val="24"/>
              </w:rPr>
            </w:pPr>
            <w:r w:rsidRPr="005C3B55">
              <w:rPr>
                <w:b/>
              </w:rPr>
              <w:t>4. Requirement for thermal comfort:</w:t>
            </w:r>
          </w:p>
          <w:p w:rsidR="00C21266" w:rsidRPr="005C3B55" w:rsidRDefault="00C21266">
            <w:pPr>
              <w:spacing w:before="240" w:after="240"/>
              <w:rPr>
                <w:szCs w:val="24"/>
              </w:rPr>
            </w:pPr>
            <w:r w:rsidRPr="005C3B55">
              <w:t>In order to ensure the thermal comfort of breeding sows and piglets, a closed nest for piglets must be set in the farrowing pen. The area of the nest must be at least 0.6 m2; the height must be at least 45 cm. The source of heat may be an infra-red lamp, other types of radiation or various forms of floor heating. Temperature regulation must also be provided.</w:t>
            </w:r>
          </w:p>
          <w:p w:rsidR="00C21266" w:rsidRPr="005C3B55" w:rsidRDefault="00C21266">
            <w:pPr>
              <w:spacing w:before="240" w:after="240"/>
              <w:rPr>
                <w:szCs w:val="24"/>
              </w:rPr>
            </w:pPr>
            <w:r w:rsidRPr="005C3B55">
              <w:t>As per Article 10 of Regulation (EU) No 807/2014, the requirement also enables better housing conditions for breeding sows and piglets.</w:t>
            </w:r>
          </w:p>
          <w:p w:rsidR="00C21266" w:rsidRPr="005C3B55" w:rsidRDefault="00C21266">
            <w:pPr>
              <w:spacing w:before="240" w:after="240"/>
              <w:rPr>
                <w:szCs w:val="24"/>
              </w:rPr>
            </w:pPr>
            <w:r w:rsidRPr="005C3B55">
              <w:rPr>
                <w:b/>
              </w:rPr>
              <w:t xml:space="preserve">5. Requirement for 10% more unobstructed floor area per animal in group pens than prescribed for weaners and production pigs: </w:t>
            </w:r>
          </w:p>
          <w:p w:rsidR="00C21266" w:rsidRPr="005C3B55" w:rsidRDefault="00C21266">
            <w:pPr>
              <w:spacing w:before="240" w:after="240"/>
              <w:rPr>
                <w:szCs w:val="24"/>
              </w:rPr>
            </w:pPr>
            <w:r w:rsidRPr="005C3B55">
              <w:t>Some 10% more floor area per animal must be ensured for weaners and production pigs in group pens than the area determined with the regulation stipulating the protection of farm animals. Each weaner or production pig must have:</w:t>
            </w:r>
          </w:p>
          <w:p w:rsidR="00C21266" w:rsidRPr="005C3B55" w:rsidRDefault="00C21266" w:rsidP="006E20B6">
            <w:pPr>
              <w:numPr>
                <w:ilvl w:val="0"/>
                <w:numId w:val="948"/>
              </w:numPr>
              <w:spacing w:before="240" w:after="0"/>
              <w:ind w:hanging="290"/>
              <w:jc w:val="left"/>
              <w:rPr>
                <w:szCs w:val="24"/>
              </w:rPr>
            </w:pPr>
            <w:r w:rsidRPr="005C3B55">
              <w:t>to 10 kg               0.17 m2,</w:t>
            </w:r>
          </w:p>
          <w:p w:rsidR="00C21266" w:rsidRPr="005C3B55" w:rsidRDefault="00C21266" w:rsidP="006E20B6">
            <w:pPr>
              <w:numPr>
                <w:ilvl w:val="0"/>
                <w:numId w:val="948"/>
              </w:numPr>
              <w:spacing w:before="0" w:after="0"/>
              <w:ind w:hanging="290"/>
              <w:jc w:val="left"/>
              <w:rPr>
                <w:szCs w:val="24"/>
              </w:rPr>
            </w:pPr>
            <w:r w:rsidRPr="005C3B55">
              <w:t xml:space="preserve">between 10 and 20 kg  </w:t>
            </w:r>
            <w:r w:rsidRPr="005C3B55">
              <w:tab/>
              <w:t>0.22 m2,</w:t>
            </w:r>
          </w:p>
          <w:p w:rsidR="00C21266" w:rsidRPr="005C3B55" w:rsidRDefault="00C21266" w:rsidP="006E20B6">
            <w:pPr>
              <w:numPr>
                <w:ilvl w:val="0"/>
                <w:numId w:val="948"/>
              </w:numPr>
              <w:spacing w:before="0" w:after="0"/>
              <w:ind w:hanging="290"/>
              <w:jc w:val="left"/>
              <w:rPr>
                <w:szCs w:val="24"/>
              </w:rPr>
            </w:pPr>
            <w:r w:rsidRPr="005C3B55">
              <w:t xml:space="preserve">between 20 and 30 kg  </w:t>
            </w:r>
            <w:r w:rsidRPr="005C3B55">
              <w:tab/>
              <w:t>0.33 m2,</w:t>
            </w:r>
          </w:p>
          <w:p w:rsidR="00C21266" w:rsidRPr="005C3B55" w:rsidRDefault="00C21266" w:rsidP="006E20B6">
            <w:pPr>
              <w:numPr>
                <w:ilvl w:val="0"/>
                <w:numId w:val="948"/>
              </w:numPr>
              <w:spacing w:before="0" w:after="0"/>
              <w:ind w:hanging="290"/>
              <w:jc w:val="left"/>
              <w:rPr>
                <w:szCs w:val="24"/>
              </w:rPr>
            </w:pPr>
            <w:r w:rsidRPr="005C3B55">
              <w:t xml:space="preserve">between 30 and 50 kg  </w:t>
            </w:r>
            <w:r w:rsidRPr="005C3B55">
              <w:tab/>
              <w:t>0.44 m2,</w:t>
            </w:r>
          </w:p>
          <w:p w:rsidR="00C21266" w:rsidRPr="005C3B55" w:rsidRDefault="00C21266" w:rsidP="006E20B6">
            <w:pPr>
              <w:numPr>
                <w:ilvl w:val="0"/>
                <w:numId w:val="948"/>
              </w:numPr>
              <w:spacing w:before="0" w:after="0"/>
              <w:ind w:hanging="290"/>
              <w:jc w:val="left"/>
              <w:rPr>
                <w:szCs w:val="24"/>
              </w:rPr>
            </w:pPr>
            <w:r w:rsidRPr="005C3B55">
              <w:t xml:space="preserve">between 50 and 85 kg  </w:t>
            </w:r>
            <w:r w:rsidRPr="005C3B55">
              <w:tab/>
              <w:t>0.61 m2,</w:t>
            </w:r>
          </w:p>
          <w:p w:rsidR="00C21266" w:rsidRPr="005C3B55" w:rsidRDefault="00C21266" w:rsidP="006E20B6">
            <w:pPr>
              <w:numPr>
                <w:ilvl w:val="0"/>
                <w:numId w:val="948"/>
              </w:numPr>
              <w:spacing w:before="0" w:after="0"/>
              <w:ind w:hanging="290"/>
              <w:jc w:val="left"/>
              <w:rPr>
                <w:szCs w:val="24"/>
              </w:rPr>
            </w:pPr>
            <w:r w:rsidRPr="005C3B55">
              <w:t xml:space="preserve">between 85 and 110 kg  </w:t>
            </w:r>
            <w:r w:rsidRPr="005C3B55">
              <w:tab/>
              <w:t>0.72 m2,</w:t>
            </w:r>
          </w:p>
          <w:p w:rsidR="00C21266" w:rsidRPr="005C3B55" w:rsidRDefault="00C21266" w:rsidP="006E20B6">
            <w:pPr>
              <w:numPr>
                <w:ilvl w:val="0"/>
                <w:numId w:val="948"/>
              </w:numPr>
              <w:spacing w:before="0" w:after="240"/>
              <w:ind w:hanging="290"/>
              <w:jc w:val="left"/>
              <w:rPr>
                <w:szCs w:val="24"/>
              </w:rPr>
            </w:pPr>
            <w:r w:rsidRPr="005C3B55">
              <w:t>above 110 kg          1.10 m2.</w:t>
            </w:r>
          </w:p>
          <w:p w:rsidR="00C21266" w:rsidRPr="005C3B55" w:rsidRDefault="00C21266">
            <w:pPr>
              <w:spacing w:before="240" w:after="240"/>
              <w:rPr>
                <w:szCs w:val="24"/>
              </w:rPr>
            </w:pPr>
            <w:r w:rsidRPr="005C3B55">
              <w:t>As per Article 10 of Regulation (EU) No 807/2014, the requirement enables better housing conditions for weaners and production pigs.</w:t>
            </w:r>
          </w:p>
          <w:p w:rsidR="00C21266" w:rsidRPr="005C3B55" w:rsidRDefault="00C21266">
            <w:pPr>
              <w:spacing w:before="240" w:after="240"/>
              <w:rPr>
                <w:szCs w:val="24"/>
              </w:rPr>
            </w:pPr>
            <w:r w:rsidRPr="005C3B55">
              <w:rPr>
                <w:b/>
              </w:rPr>
              <w:t>6. Requirement for group breeding with release for production pigs:</w:t>
            </w:r>
          </w:p>
          <w:p w:rsidR="00C21266" w:rsidRPr="005C3B55" w:rsidRDefault="00C21266">
            <w:pPr>
              <w:spacing w:before="240" w:after="240"/>
              <w:rPr>
                <w:szCs w:val="24"/>
              </w:rPr>
            </w:pPr>
            <w:r w:rsidRPr="005C3B55">
              <w:t>Production pigs have to be provided with the possibility of permanent or alternative outdoor access. The minimum release area is 0.55 m2 per production pig. The length of the shorter side of the enclosure must be at least 2 m. In the case of alternating access, the size of the enclosure is calculated with regard to the number of animals released simultaneously. In the case of alternating access to release, the breeder must keep a release log book or a schedule of release for all groups of animals, whereby the group of animals comprises the animals that are simultaneously released. Each group has to be released for at least two hours and at least twice a week. The pens in which the animals are released have to be marked so as to allow the monitoring of which animals are released simultaneously.</w:t>
            </w:r>
          </w:p>
          <w:p w:rsidR="00C21266" w:rsidRPr="005C3B55" w:rsidRDefault="00C21266">
            <w:pPr>
              <w:spacing w:before="240" w:after="240"/>
              <w:rPr>
                <w:szCs w:val="24"/>
              </w:rPr>
            </w:pPr>
            <w:r w:rsidRPr="005C3B55">
              <w:t>As per Article 10 of Regulation (EU) No 807/2014, the requirement enables outdoor access to production pigs.</w:t>
            </w:r>
          </w:p>
          <w:p w:rsidR="00C21266" w:rsidRPr="005C3B55" w:rsidRDefault="00C21266">
            <w:pPr>
              <w:spacing w:before="240" w:after="240"/>
              <w:rPr>
                <w:szCs w:val="24"/>
              </w:rPr>
            </w:pPr>
            <w:r w:rsidRPr="005C3B55">
              <w:rPr>
                <w:b/>
              </w:rPr>
              <w:t>DURATION OF COMMITMENT</w:t>
            </w:r>
          </w:p>
          <w:p w:rsidR="00C21266" w:rsidRPr="005C3B55" w:rsidRDefault="00C21266">
            <w:pPr>
              <w:spacing w:before="240" w:after="240"/>
              <w:rPr>
                <w:szCs w:val="24"/>
              </w:rPr>
            </w:pPr>
            <w:r w:rsidRPr="005C3B55">
              <w:t>The duration of the commitment under the Animal welfare measure is one year.</w:t>
            </w:r>
          </w:p>
          <w:p w:rsidR="00C21266" w:rsidRPr="005C3B55" w:rsidRDefault="00C21266">
            <w:pPr>
              <w:spacing w:before="240" w:after="240"/>
              <w:rPr>
                <w:szCs w:val="24"/>
              </w:rPr>
            </w:pPr>
            <w:r w:rsidRPr="005C3B55">
              <w:rPr>
                <w:b/>
              </w:rPr>
              <w:t>TRAINING</w:t>
            </w:r>
          </w:p>
          <w:p w:rsidR="00C21266" w:rsidRPr="005C3B55" w:rsidRDefault="00C21266">
            <w:pPr>
              <w:spacing w:before="240" w:after="240"/>
              <w:rPr>
                <w:szCs w:val="24"/>
              </w:rPr>
            </w:pPr>
            <w:r w:rsidRPr="005C3B55">
              <w:t>For the duration of the commitment, the beneficiaries have to fulfil the general condition on training for a minimum of 4 academic hours. The beneficiaries must complete the training every year of the duration of the commitment within the Animal welfare measure.</w:t>
            </w:r>
          </w:p>
          <w:p w:rsidR="00C21266" w:rsidRPr="005C3B55" w:rsidRDefault="00C21266">
            <w:pPr>
              <w:spacing w:before="240" w:after="240"/>
              <w:rPr>
                <w:szCs w:val="24"/>
              </w:rPr>
            </w:pPr>
            <w:r w:rsidRPr="005C3B55">
              <w:t>The purpose of the training is to increase awareness of beneficiaries and understanding of the importance of animal welfare, and to inform beneficiaries of current issues when implementing the Animal welfare measure.</w:t>
            </w:r>
          </w:p>
          <w:p w:rsidR="00C21266" w:rsidRPr="005C3B55" w:rsidRDefault="00C21266">
            <w:pPr>
              <w:spacing w:before="240" w:after="240"/>
              <w:rPr>
                <w:szCs w:val="24"/>
              </w:rPr>
            </w:pPr>
            <w:r w:rsidRPr="005C3B55">
              <w:t>The training must include at least information on pig treatment, pig ethology and animal-adjusted breeding (technologies, norms) and preventive pig health care.</w:t>
            </w:r>
          </w:p>
          <w:p w:rsidR="00C21266" w:rsidRPr="005C3B55" w:rsidRDefault="00C21266">
            <w:pPr>
              <w:spacing w:before="240" w:after="240"/>
              <w:rPr>
                <w:szCs w:val="24"/>
              </w:rPr>
            </w:pPr>
            <w:r w:rsidRPr="005C3B55">
              <w:t>The training can also include practical presentations.</w:t>
            </w:r>
          </w:p>
          <w:p w:rsidR="00C21266" w:rsidRPr="005C3B55" w:rsidRDefault="00C21266">
            <w:pPr>
              <w:spacing w:before="240" w:after="240"/>
              <w:rPr>
                <w:szCs w:val="24"/>
              </w:rPr>
            </w:pPr>
            <w:r w:rsidRPr="005C3B55">
              <w:t> </w:t>
            </w:r>
          </w:p>
          <w:p w:rsidR="00C21266" w:rsidRPr="005C3B55" w:rsidRDefault="00C21266">
            <w:pPr>
              <w:pStyle w:val="Telobesedila"/>
            </w:pPr>
          </w:p>
          <w:p w:rsidR="00C21266" w:rsidRPr="005C3B55" w:rsidRDefault="0012246E">
            <w:pPr>
              <w:pStyle w:val="Telobesedila3"/>
              <w:jc w:val="left"/>
            </w:pPr>
            <w:r w:rsidRPr="005C3B55">
              <w:rPr>
                <w:noProof/>
                <w:lang w:val="sl-SI"/>
              </w:rPr>
              <w:drawing>
                <wp:inline distT="0" distB="0" distL="0" distR="0">
                  <wp:extent cx="6629400" cy="1781175"/>
                  <wp:effectExtent l="0" t="0" r="0" b="9525"/>
                  <wp:docPr id="3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629400" cy="1781175"/>
                          </a:xfrm>
                          <a:prstGeom prst="rect">
                            <a:avLst/>
                          </a:prstGeom>
                          <a:noFill/>
                          <a:ln>
                            <a:noFill/>
                          </a:ln>
                        </pic:spPr>
                      </pic:pic>
                    </a:graphicData>
                  </a:graphic>
                </wp:inline>
              </w:drawing>
            </w:r>
          </w:p>
          <w:p w:rsidR="00C21266" w:rsidRPr="005C3B55" w:rsidRDefault="00C21266">
            <w:pPr>
              <w:pStyle w:val="Noga"/>
              <w:spacing w:after="120"/>
              <w:jc w:val="center"/>
            </w:pPr>
            <w:r w:rsidRPr="005C3B55">
              <w:t>Figure: Unobstructed floor area per animal</w:t>
            </w:r>
          </w:p>
          <w:p w:rsidR="00C21266" w:rsidRPr="005C3B55" w:rsidRDefault="00C21266">
            <w:pPr>
              <w:pStyle w:val="Noga"/>
              <w:jc w:val="center"/>
              <w:rPr>
                <w:lang w:eastAsia="en-GB" w:bidi="en-GB"/>
              </w:rPr>
            </w:pPr>
          </w:p>
        </w:tc>
      </w:tr>
    </w:tbl>
    <w:p w:rsidR="00C21266" w:rsidRPr="005C3B55" w:rsidRDefault="00C21266" w:rsidP="00C21266">
      <w:pPr>
        <w:pStyle w:val="Naslov6"/>
        <w:tabs>
          <w:tab w:val="clear" w:pos="765"/>
        </w:tabs>
        <w:ind w:left="0" w:firstLine="0"/>
        <w:rPr>
          <w:lang w:val="en-GB" w:eastAsia="en-GB" w:bidi="en-GB"/>
        </w:rPr>
      </w:pPr>
      <w:r w:rsidRPr="005C3B55">
        <w:rPr>
          <w:lang w:val="en-GB"/>
        </w:rPr>
        <w:t>Type of support</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Public support is paid in the form of the payment per LU for the implementation of requirements under the Animal welfare measure.</w:t>
            </w:r>
          </w:p>
          <w:p w:rsidR="00C21266" w:rsidRPr="005C3B55" w:rsidRDefault="00C21266">
            <w:pPr>
              <w:pStyle w:val="Telobesedila"/>
              <w:rPr>
                <w:lang w:eastAsia="en-GB" w:bidi="en-GB"/>
              </w:rPr>
            </w:pPr>
          </w:p>
        </w:tc>
      </w:tr>
    </w:tbl>
    <w:p w:rsidR="00C21266" w:rsidRPr="005C3B55" w:rsidRDefault="00C21266" w:rsidP="00C21266">
      <w:pPr>
        <w:pStyle w:val="Naslov6"/>
        <w:tabs>
          <w:tab w:val="clear" w:pos="765"/>
        </w:tabs>
        <w:ind w:left="0" w:firstLine="0"/>
        <w:rPr>
          <w:lang w:val="en-GB" w:eastAsia="en-GB" w:bidi="en-GB"/>
        </w:rPr>
      </w:pPr>
      <w:r w:rsidRPr="005C3B55">
        <w:rPr>
          <w:lang w:val="en-GB"/>
        </w:rPr>
        <w:t>Connection with other legislation</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rsidP="006E20B6">
            <w:pPr>
              <w:numPr>
                <w:ilvl w:val="0"/>
                <w:numId w:val="949"/>
              </w:numPr>
              <w:spacing w:before="0" w:after="0"/>
              <w:ind w:hanging="290"/>
              <w:jc w:val="left"/>
              <w:rPr>
                <w:rFonts w:eastAsia="Calibri"/>
                <w:szCs w:val="24"/>
              </w:rPr>
            </w:pPr>
            <w:r w:rsidRPr="005C3B55">
              <w:t>Regulation (EU) No 1306/2013;</w:t>
            </w:r>
          </w:p>
          <w:p w:rsidR="00C21266" w:rsidRPr="005C3B55" w:rsidRDefault="00C21266" w:rsidP="006E20B6">
            <w:pPr>
              <w:numPr>
                <w:ilvl w:val="0"/>
                <w:numId w:val="949"/>
              </w:numPr>
              <w:spacing w:before="0" w:after="0"/>
              <w:ind w:hanging="290"/>
              <w:jc w:val="left"/>
              <w:rPr>
                <w:szCs w:val="24"/>
              </w:rPr>
            </w:pPr>
            <w:r w:rsidRPr="005C3B55">
              <w:t>Regulation (EU) No 1307/2013;</w:t>
            </w:r>
          </w:p>
          <w:p w:rsidR="00C21266" w:rsidRPr="005C3B55" w:rsidRDefault="00C21266" w:rsidP="006E20B6">
            <w:pPr>
              <w:numPr>
                <w:ilvl w:val="0"/>
                <w:numId w:val="949"/>
              </w:numPr>
              <w:spacing w:before="0" w:after="0"/>
              <w:ind w:hanging="290"/>
              <w:jc w:val="left"/>
              <w:rPr>
                <w:szCs w:val="24"/>
              </w:rPr>
            </w:pPr>
            <w:r w:rsidRPr="005C3B55">
              <w:t>Agriculture Act (Official Gazette of the Republic of Slovenia, no. 45/2008 with all amendments);</w:t>
            </w:r>
          </w:p>
          <w:p w:rsidR="00C21266" w:rsidRPr="005C3B55" w:rsidRDefault="00C21266" w:rsidP="006E20B6">
            <w:pPr>
              <w:numPr>
                <w:ilvl w:val="0"/>
                <w:numId w:val="949"/>
              </w:numPr>
              <w:spacing w:before="0" w:after="0"/>
              <w:ind w:hanging="290"/>
              <w:jc w:val="left"/>
              <w:rPr>
                <w:szCs w:val="24"/>
              </w:rPr>
            </w:pPr>
            <w:r w:rsidRPr="005C3B55">
              <w:t>Rules on the identification and registration of pigs (Official Gazette of the Republic of Slovenia, no. 112/13);</w:t>
            </w:r>
          </w:p>
          <w:p w:rsidR="00C21266" w:rsidRPr="005C3B55" w:rsidRDefault="00C21266" w:rsidP="006E20B6">
            <w:pPr>
              <w:numPr>
                <w:ilvl w:val="0"/>
                <w:numId w:val="949"/>
              </w:numPr>
              <w:spacing w:before="0" w:after="0"/>
              <w:ind w:hanging="290"/>
              <w:jc w:val="left"/>
              <w:rPr>
                <w:szCs w:val="24"/>
              </w:rPr>
            </w:pPr>
            <w:r w:rsidRPr="005C3B55">
              <w:t>Rules on the protection of farm animals (Official Gazette of the Republic of Slovenia, nos. 51/10 and 70/10);</w:t>
            </w:r>
          </w:p>
          <w:p w:rsidR="00C21266" w:rsidRPr="005C3B55" w:rsidRDefault="00C21266" w:rsidP="006E20B6">
            <w:pPr>
              <w:numPr>
                <w:ilvl w:val="0"/>
                <w:numId w:val="949"/>
              </w:numPr>
              <w:spacing w:before="0" w:after="0"/>
              <w:ind w:hanging="290"/>
              <w:jc w:val="left"/>
              <w:rPr>
                <w:szCs w:val="24"/>
              </w:rPr>
            </w:pPr>
            <w:r w:rsidRPr="005C3B55">
              <w:t>national regulation which regulates the implementation of this measure; and</w:t>
            </w:r>
          </w:p>
          <w:p w:rsidR="00C21266" w:rsidRPr="005C3B55" w:rsidRDefault="00C21266" w:rsidP="006E20B6">
            <w:pPr>
              <w:numPr>
                <w:ilvl w:val="0"/>
                <w:numId w:val="949"/>
              </w:numPr>
              <w:spacing w:before="0" w:after="240"/>
              <w:ind w:hanging="290"/>
              <w:jc w:val="left"/>
              <w:rPr>
                <w:szCs w:val="24"/>
              </w:rPr>
            </w:pPr>
            <w:r w:rsidRPr="005C3B55">
              <w:t>other EU and national legislation on the field of this operation.</w:t>
            </w:r>
          </w:p>
          <w:p w:rsidR="00C21266" w:rsidRPr="005C3B55" w:rsidRDefault="00C21266">
            <w:pPr>
              <w:pStyle w:val="Telobesedila"/>
              <w:rPr>
                <w:lang w:eastAsia="en-GB" w:bidi="en-GB"/>
              </w:rPr>
            </w:pPr>
          </w:p>
        </w:tc>
      </w:tr>
    </w:tbl>
    <w:p w:rsidR="00C21266" w:rsidRPr="005C3B55" w:rsidRDefault="00C21266" w:rsidP="00C21266">
      <w:pPr>
        <w:pStyle w:val="Naslov6"/>
        <w:tabs>
          <w:tab w:val="clear" w:pos="765"/>
        </w:tabs>
        <w:ind w:left="0" w:firstLine="0"/>
        <w:rPr>
          <w:lang w:val="en-GB" w:eastAsia="en-GB" w:bidi="en-GB"/>
        </w:rPr>
      </w:pPr>
      <w:r w:rsidRPr="005C3B55">
        <w:rPr>
          <w:lang w:val="en-GB"/>
        </w:rPr>
        <w:t>Beneficiaries</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The beneficiaries to the support are holders of agricultural holdings who voluntarily participate in the implementation of the measure and fulfil the conditions of the assumed commitment.</w:t>
            </w:r>
          </w:p>
          <w:p w:rsidR="00C21266" w:rsidRPr="005C3B55" w:rsidRDefault="00C21266">
            <w:pPr>
              <w:pStyle w:val="Telobesedila"/>
              <w:rPr>
                <w:lang w:eastAsia="en-GB" w:bidi="en-GB"/>
              </w:rPr>
            </w:pPr>
          </w:p>
        </w:tc>
      </w:tr>
    </w:tbl>
    <w:p w:rsidR="00C21266" w:rsidRPr="005C3B55" w:rsidRDefault="00C21266" w:rsidP="00C21266">
      <w:pPr>
        <w:pStyle w:val="Naslov6"/>
        <w:tabs>
          <w:tab w:val="clear" w:pos="765"/>
        </w:tabs>
        <w:ind w:left="0" w:firstLine="0"/>
        <w:rPr>
          <w:lang w:val="en-GB" w:eastAsia="en-GB" w:bidi="en-GB"/>
        </w:rPr>
      </w:pPr>
      <w:r w:rsidRPr="005C3B55">
        <w:rPr>
          <w:lang w:val="en-GB"/>
        </w:rPr>
        <w:t>Eligible costs</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The payments from requirements 1, 2, 4, 5 and 6 in chapter ‘Description of type of operation’ cover additional costs and income lost due to assumed commitments which exceed the prescribed treatment requirements stipulated by cross-compliance and other mandatory requirements determined in national regulations on animal welfare and the protection of farm animals.</w:t>
            </w:r>
          </w:p>
          <w:p w:rsidR="00C21266" w:rsidRPr="005C3B55" w:rsidRDefault="00C21266">
            <w:pPr>
              <w:spacing w:before="240" w:after="240"/>
              <w:rPr>
                <w:szCs w:val="24"/>
              </w:rPr>
            </w:pPr>
            <w:r w:rsidRPr="005C3B55">
              <w:t>The payment from requirement 3 in chapter ‘Description of type of operation’ covers additional costs due to the assumed commitment in comparison with standard breeding practice.</w:t>
            </w:r>
          </w:p>
          <w:p w:rsidR="00C21266" w:rsidRPr="005C3B55" w:rsidRDefault="00C21266">
            <w:pPr>
              <w:pStyle w:val="Telobesedila"/>
              <w:rPr>
                <w:lang w:eastAsia="en-GB" w:bidi="en-GB"/>
              </w:rPr>
            </w:pPr>
          </w:p>
        </w:tc>
      </w:tr>
    </w:tbl>
    <w:p w:rsidR="00C21266" w:rsidRPr="005C3B55" w:rsidRDefault="00C21266" w:rsidP="00C21266">
      <w:pPr>
        <w:pStyle w:val="Naslov6"/>
        <w:tabs>
          <w:tab w:val="clear" w:pos="765"/>
        </w:tabs>
        <w:ind w:left="0" w:firstLine="0"/>
        <w:rPr>
          <w:lang w:val="en-GB" w:eastAsia="en-GB" w:bidi="en-GB"/>
        </w:rPr>
      </w:pPr>
      <w:r w:rsidRPr="005C3B55">
        <w:rPr>
          <w:lang w:val="en-GB"/>
        </w:rPr>
        <w:t>Conditions for eligibility</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rsidP="006E20B6">
            <w:pPr>
              <w:numPr>
                <w:ilvl w:val="0"/>
                <w:numId w:val="950"/>
              </w:numPr>
              <w:spacing w:before="0" w:after="0"/>
              <w:ind w:hanging="290"/>
              <w:jc w:val="left"/>
              <w:rPr>
                <w:rFonts w:eastAsia="Calibri"/>
                <w:szCs w:val="24"/>
              </w:rPr>
            </w:pPr>
            <w:r w:rsidRPr="005C3B55">
              <w:t>The beneficiary must be an active farmer under Article 9 of Regulation (EU) No 1307/2013.</w:t>
            </w:r>
          </w:p>
          <w:p w:rsidR="00C21266" w:rsidRPr="005C3B55" w:rsidRDefault="00C21266" w:rsidP="006E20B6">
            <w:pPr>
              <w:numPr>
                <w:ilvl w:val="0"/>
                <w:numId w:val="950"/>
              </w:numPr>
              <w:spacing w:before="0" w:after="0"/>
              <w:ind w:hanging="290"/>
              <w:jc w:val="left"/>
              <w:rPr>
                <w:szCs w:val="24"/>
              </w:rPr>
            </w:pPr>
            <w:r w:rsidRPr="005C3B55">
              <w:t>Prior to submitting the application for the Animal welfare measure, the beneficiary has to prepare a programme of animal welfare. The programme of animal welfare is the result of advisory services implemented within the sub-measure ‘Support in the use of advisory services’ under Article 15 of Regulation (EU) No 1305/2013 and includes an inventory of the agricultural holding, i.e. basic data on the herd, breeding technology review and management method review, including individual categories of pig and the health of the herd, as well as the reproductive features of the breeding herd. It also includes advisory services regarding suitable measures to improve the situation in the aforementioned fields and advisory services on the possibility of participating in the measure.</w:t>
            </w:r>
          </w:p>
          <w:p w:rsidR="00C21266" w:rsidRPr="005C3B55" w:rsidRDefault="00C21266" w:rsidP="006E20B6">
            <w:pPr>
              <w:numPr>
                <w:ilvl w:val="0"/>
                <w:numId w:val="950"/>
              </w:numPr>
              <w:spacing w:before="0" w:after="0"/>
              <w:ind w:hanging="290"/>
              <w:jc w:val="left"/>
              <w:rPr>
                <w:szCs w:val="24"/>
              </w:rPr>
            </w:pPr>
            <w:r w:rsidRPr="005C3B55">
              <w:t xml:space="preserve">In 2014 and 2015, and on the day the programme of animal welfare is completed, the beneficiary’s breeding herd must comprise: </w:t>
            </w:r>
          </w:p>
          <w:p w:rsidR="00C21266" w:rsidRPr="005C3B55" w:rsidRDefault="00C21266" w:rsidP="006E20B6">
            <w:pPr>
              <w:numPr>
                <w:ilvl w:val="1"/>
                <w:numId w:val="950"/>
              </w:numPr>
              <w:spacing w:before="0" w:after="0"/>
              <w:ind w:hanging="324"/>
              <w:jc w:val="left"/>
              <w:rPr>
                <w:szCs w:val="24"/>
              </w:rPr>
            </w:pPr>
            <w:r w:rsidRPr="005C3B55">
              <w:t>20 or more breeding sows or gilts if requirements are being asserted which refer to breeding sows and gilts, or</w:t>
            </w:r>
          </w:p>
          <w:p w:rsidR="00C21266" w:rsidRPr="005C3B55" w:rsidRDefault="00C21266" w:rsidP="006E20B6">
            <w:pPr>
              <w:numPr>
                <w:ilvl w:val="1"/>
                <w:numId w:val="950"/>
              </w:numPr>
              <w:spacing w:before="0" w:after="0"/>
              <w:ind w:hanging="324"/>
              <w:jc w:val="left"/>
              <w:rPr>
                <w:szCs w:val="24"/>
              </w:rPr>
            </w:pPr>
            <w:r w:rsidRPr="005C3B55">
              <w:t>100 or more production pigs if requirements are being asserted which refer to production pigs.</w:t>
            </w:r>
          </w:p>
          <w:p w:rsidR="00C21266" w:rsidRPr="005C3B55" w:rsidRDefault="00C21266" w:rsidP="006E20B6">
            <w:pPr>
              <w:numPr>
                <w:ilvl w:val="0"/>
                <w:numId w:val="950"/>
              </w:numPr>
              <w:spacing w:before="0" w:after="0"/>
              <w:ind w:hanging="290"/>
              <w:jc w:val="left"/>
              <w:rPr>
                <w:szCs w:val="24"/>
              </w:rPr>
            </w:pPr>
            <w:r w:rsidRPr="005C3B55">
              <w:t xml:space="preserve">Between 2016 and 2020, and on the day the programme of animal welfare is completed, the beneficiary’s breeding herd must comprise: </w:t>
            </w:r>
          </w:p>
          <w:p w:rsidR="00C21266" w:rsidRPr="005C3B55" w:rsidRDefault="00C21266" w:rsidP="006E20B6">
            <w:pPr>
              <w:numPr>
                <w:ilvl w:val="1"/>
                <w:numId w:val="951"/>
              </w:numPr>
              <w:spacing w:before="0" w:after="0"/>
              <w:ind w:hanging="324"/>
              <w:jc w:val="left"/>
              <w:rPr>
                <w:szCs w:val="24"/>
              </w:rPr>
            </w:pPr>
            <w:r w:rsidRPr="005C3B55">
              <w:t>10 or more breeding sows or gilts if requirements are being asserted which refer to breeding sows and gilts, or</w:t>
            </w:r>
          </w:p>
          <w:p w:rsidR="00C21266" w:rsidRPr="005C3B55" w:rsidRDefault="00C21266" w:rsidP="006E20B6">
            <w:pPr>
              <w:numPr>
                <w:ilvl w:val="1"/>
                <w:numId w:val="951"/>
              </w:numPr>
              <w:spacing w:before="0" w:after="0"/>
              <w:ind w:hanging="324"/>
              <w:jc w:val="left"/>
              <w:rPr>
                <w:szCs w:val="24"/>
              </w:rPr>
            </w:pPr>
            <w:r w:rsidRPr="005C3B55">
              <w:t>50 or more weaners if requirements are being asserted which refer to weaners, or</w:t>
            </w:r>
          </w:p>
          <w:p w:rsidR="00C21266" w:rsidRPr="005C3B55" w:rsidRDefault="00C21266" w:rsidP="006E20B6">
            <w:pPr>
              <w:numPr>
                <w:ilvl w:val="1"/>
                <w:numId w:val="951"/>
              </w:numPr>
              <w:spacing w:before="0" w:after="240"/>
              <w:ind w:hanging="324"/>
              <w:jc w:val="left"/>
              <w:rPr>
                <w:szCs w:val="24"/>
              </w:rPr>
            </w:pPr>
            <w:r w:rsidRPr="005C3B55">
              <w:t>50 or more production pigs if requirements are being asserted which refer to production pigs.</w:t>
            </w:r>
          </w:p>
          <w:p w:rsidR="00C21266" w:rsidRPr="005C3B55" w:rsidRDefault="00C21266">
            <w:pPr>
              <w:spacing w:before="240" w:after="240"/>
              <w:rPr>
                <w:szCs w:val="24"/>
              </w:rPr>
            </w:pPr>
            <w:r w:rsidRPr="005C3B55">
              <w:t>The measure of Animal welfare will be implemented for the first time in Slovenia in the 2014-2020 programming period, so we lack previous experience. The need to implement this measure is great. Since the implementation of this measure is relatively demanding, the eligibility condition as per the number of pigs is set for a limited number of potential beneficiaries in the first two years of the programming period, which will facilitate the start of the implementation and management of the measure. After the initial period and stabilisation of all procedures for managing and implementing the measure, the eligibility condition will be set a way that enables access to the measure for more potential beneficiaries.</w:t>
            </w:r>
          </w:p>
          <w:p w:rsidR="00C21266" w:rsidRPr="005C3B55" w:rsidRDefault="00C21266">
            <w:pPr>
              <w:pStyle w:val="Telobesedila"/>
              <w:rPr>
                <w:lang w:eastAsia="en-GB" w:bidi="en-GB"/>
              </w:rPr>
            </w:pPr>
          </w:p>
        </w:tc>
      </w:tr>
    </w:tbl>
    <w:p w:rsidR="00C21266" w:rsidRPr="005C3B55" w:rsidRDefault="00C21266" w:rsidP="00C21266">
      <w:pPr>
        <w:pStyle w:val="Naslov6"/>
        <w:tabs>
          <w:tab w:val="clear" w:pos="765"/>
        </w:tabs>
        <w:ind w:left="0" w:firstLine="0"/>
        <w:rPr>
          <w:lang w:val="en-GB" w:eastAsia="en-GB" w:bidi="en-GB"/>
        </w:rPr>
      </w:pPr>
      <w:r w:rsidRPr="005C3B55">
        <w:rPr>
          <w:lang w:val="en-GB"/>
        </w:rPr>
        <w:t>Principles regarding the determination of selection criteria</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The application of selection criteria for this measure is not anticipated, as per the second paragraph of Article 49 of Regulation (EU) No 1305//2013.</w:t>
            </w:r>
          </w:p>
          <w:p w:rsidR="00C21266" w:rsidRPr="005C3B55" w:rsidRDefault="00C21266">
            <w:pPr>
              <w:pStyle w:val="Telobesedila"/>
              <w:rPr>
                <w:lang w:eastAsia="en-GB" w:bidi="en-GB"/>
              </w:rPr>
            </w:pPr>
          </w:p>
        </w:tc>
      </w:tr>
    </w:tbl>
    <w:p w:rsidR="00C21266" w:rsidRPr="005C3B55" w:rsidRDefault="00C21266" w:rsidP="00C21266">
      <w:pPr>
        <w:pStyle w:val="Naslov6"/>
        <w:tabs>
          <w:tab w:val="clear" w:pos="765"/>
        </w:tabs>
        <w:ind w:left="0" w:firstLine="0"/>
        <w:rPr>
          <w:lang w:val="en-GB" w:eastAsia="en-GB" w:bidi="en-GB"/>
        </w:rPr>
      </w:pPr>
      <w:r w:rsidRPr="005C3B55">
        <w:rPr>
          <w:lang w:val="en-GB"/>
        </w:rPr>
        <w:t>(Valid) amounts and support rates</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The payment covers all additional costs and income lost due to assumed commitments, i.e.:</w:t>
            </w:r>
          </w:p>
          <w:p w:rsidR="00C21266" w:rsidRPr="005C3B55" w:rsidRDefault="00C21266">
            <w:pPr>
              <w:spacing w:before="240" w:after="240"/>
              <w:rPr>
                <w:szCs w:val="24"/>
              </w:rPr>
            </w:pPr>
            <w:r w:rsidRPr="005C3B55">
              <w:t>1. for breeding sows and gilts:</w:t>
            </w:r>
          </w:p>
          <w:p w:rsidR="00C21266" w:rsidRPr="005C3B55" w:rsidRDefault="00C21266" w:rsidP="006E20B6">
            <w:pPr>
              <w:numPr>
                <w:ilvl w:val="0"/>
                <w:numId w:val="952"/>
              </w:numPr>
              <w:spacing w:before="240" w:after="0"/>
              <w:ind w:hanging="290"/>
              <w:jc w:val="left"/>
              <w:rPr>
                <w:szCs w:val="24"/>
              </w:rPr>
            </w:pPr>
            <w:r w:rsidRPr="005C3B55">
              <w:t>requirement for group breeding with release: 61.77 EUR/LU;</w:t>
            </w:r>
          </w:p>
          <w:p w:rsidR="00C21266" w:rsidRPr="005C3B55" w:rsidRDefault="00C21266" w:rsidP="006E20B6">
            <w:pPr>
              <w:numPr>
                <w:ilvl w:val="0"/>
                <w:numId w:val="952"/>
              </w:numPr>
              <w:spacing w:before="0" w:after="0"/>
              <w:ind w:hanging="290"/>
              <w:jc w:val="left"/>
              <w:rPr>
                <w:szCs w:val="24"/>
              </w:rPr>
            </w:pPr>
            <w:r w:rsidRPr="005C3B55">
              <w:t>requirement for 10% more unobstructed floor area per animal in group pens of the area determined in the regulation stipulating the protection of livestock: 129.62 /LU;</w:t>
            </w:r>
          </w:p>
          <w:p w:rsidR="00C21266" w:rsidRPr="005C3B55" w:rsidRDefault="00C21266" w:rsidP="006E20B6">
            <w:pPr>
              <w:numPr>
                <w:ilvl w:val="0"/>
                <w:numId w:val="952"/>
              </w:numPr>
              <w:spacing w:before="0" w:after="240"/>
              <w:ind w:hanging="290"/>
              <w:jc w:val="left"/>
              <w:rPr>
                <w:szCs w:val="24"/>
              </w:rPr>
            </w:pPr>
            <w:r w:rsidRPr="005C3B55">
              <w:t>requirement for additional voluminous feed or feed with high fibre content 48.30 EUR/LU;</w:t>
            </w:r>
          </w:p>
          <w:p w:rsidR="00C21266" w:rsidRPr="005C3B55" w:rsidRDefault="00C21266">
            <w:pPr>
              <w:spacing w:before="240" w:after="240"/>
              <w:rPr>
                <w:szCs w:val="24"/>
              </w:rPr>
            </w:pPr>
            <w:r w:rsidRPr="005C3B55">
              <w:t>2. for breeding sows:</w:t>
            </w:r>
          </w:p>
          <w:p w:rsidR="00C21266" w:rsidRPr="005C3B55" w:rsidRDefault="00C21266" w:rsidP="006E20B6">
            <w:pPr>
              <w:numPr>
                <w:ilvl w:val="0"/>
                <w:numId w:val="953"/>
              </w:numPr>
              <w:spacing w:before="240" w:after="240"/>
              <w:ind w:hanging="290"/>
              <w:jc w:val="left"/>
              <w:rPr>
                <w:szCs w:val="24"/>
              </w:rPr>
            </w:pPr>
            <w:r w:rsidRPr="005C3B55">
              <w:t>requirement for the thermal comfort of breeding sows and suckling piglets: 25.64 EUR/LU.</w:t>
            </w:r>
          </w:p>
          <w:p w:rsidR="00C21266" w:rsidRPr="005C3B55" w:rsidRDefault="00C21266">
            <w:pPr>
              <w:spacing w:before="240" w:after="240"/>
              <w:rPr>
                <w:szCs w:val="24"/>
              </w:rPr>
            </w:pPr>
            <w:r w:rsidRPr="005C3B55">
              <w:t>3. for weaners:</w:t>
            </w:r>
          </w:p>
          <w:p w:rsidR="00C21266" w:rsidRPr="005C3B55" w:rsidRDefault="00C21266" w:rsidP="006E20B6">
            <w:pPr>
              <w:numPr>
                <w:ilvl w:val="0"/>
                <w:numId w:val="954"/>
              </w:numPr>
              <w:spacing w:before="240" w:after="240"/>
              <w:ind w:hanging="290"/>
              <w:jc w:val="left"/>
              <w:rPr>
                <w:szCs w:val="24"/>
              </w:rPr>
            </w:pPr>
            <w:r w:rsidRPr="005C3B55">
              <w:t>requirement for 10% more unobstructed floor area per animal in group pens of the area determined in the regulation stipulating the protection of livestock: 36.70 EUR/LU;</w:t>
            </w:r>
          </w:p>
          <w:p w:rsidR="00C21266" w:rsidRPr="005C3B55" w:rsidRDefault="00C21266">
            <w:pPr>
              <w:spacing w:before="240" w:after="240"/>
              <w:rPr>
                <w:szCs w:val="24"/>
              </w:rPr>
            </w:pPr>
            <w:r w:rsidRPr="005C3B55">
              <w:t>4. for production pigs:</w:t>
            </w:r>
          </w:p>
          <w:p w:rsidR="00C21266" w:rsidRPr="005C3B55" w:rsidRDefault="00C21266" w:rsidP="006E20B6">
            <w:pPr>
              <w:numPr>
                <w:ilvl w:val="0"/>
                <w:numId w:val="955"/>
              </w:numPr>
              <w:spacing w:before="240" w:after="0"/>
              <w:ind w:hanging="290"/>
              <w:jc w:val="left"/>
              <w:rPr>
                <w:szCs w:val="24"/>
              </w:rPr>
            </w:pPr>
            <w:r w:rsidRPr="005C3B55">
              <w:t>requirement for 10% more unobstructed floor area per animal in group pens of the area determined in the regulation stipulating the protection of livestock: 36.70 EUR/LU;</w:t>
            </w:r>
          </w:p>
          <w:p w:rsidR="00C21266" w:rsidRPr="005C3B55" w:rsidRDefault="00C21266" w:rsidP="006E20B6">
            <w:pPr>
              <w:numPr>
                <w:ilvl w:val="0"/>
                <w:numId w:val="955"/>
              </w:numPr>
              <w:spacing w:before="0" w:after="240"/>
              <w:ind w:hanging="290"/>
              <w:jc w:val="left"/>
              <w:rPr>
                <w:szCs w:val="24"/>
              </w:rPr>
            </w:pPr>
            <w:r w:rsidRPr="005C3B55">
              <w:t>requirement for group breeding with release: 33.83 EUR/LU. </w:t>
            </w:r>
          </w:p>
          <w:p w:rsidR="00C21266" w:rsidRPr="005C3B55" w:rsidRDefault="00C21266">
            <w:pPr>
              <w:spacing w:before="240" w:after="240"/>
              <w:rPr>
                <w:szCs w:val="24"/>
              </w:rPr>
            </w:pPr>
            <w:r w:rsidRPr="005C3B55">
              <w:t>The sum of support must not exceed 500 EUR/LU as per Annex II of Regulation (EU) No 1305/2013.</w:t>
            </w:r>
          </w:p>
          <w:p w:rsidR="00C21266" w:rsidRPr="005C3B55" w:rsidRDefault="00C21266">
            <w:pPr>
              <w:spacing w:before="240" w:after="240"/>
              <w:rPr>
                <w:szCs w:val="24"/>
              </w:rPr>
            </w:pPr>
            <w:r w:rsidRPr="005C3B55">
              <w:t>With the exception of the requirement for 10% more unobstructed floor area per animal in group pens of the area determined in the regulation stipulating the protection of livestock, the payment also includes transaction (business) costs. Transaction costs include costs relating to the purchase of material, equipment, literature, advisory services, inquiries, reviewing of best practices, and arranging documentation. The payments for individual requirements as per shares:</w:t>
            </w:r>
          </w:p>
          <w:p w:rsidR="00C21266" w:rsidRPr="005C3B55" w:rsidRDefault="00C21266" w:rsidP="006E20B6">
            <w:pPr>
              <w:numPr>
                <w:ilvl w:val="0"/>
                <w:numId w:val="956"/>
              </w:numPr>
              <w:spacing w:before="240" w:after="0"/>
              <w:ind w:hanging="290"/>
              <w:jc w:val="left"/>
              <w:rPr>
                <w:szCs w:val="24"/>
              </w:rPr>
            </w:pPr>
            <w:r w:rsidRPr="005C3B55">
              <w:t>requirement for group breeding with release for breeding sows and gilts: 5%;</w:t>
            </w:r>
          </w:p>
          <w:p w:rsidR="00C21266" w:rsidRPr="005C3B55" w:rsidRDefault="00C21266" w:rsidP="006E20B6">
            <w:pPr>
              <w:numPr>
                <w:ilvl w:val="0"/>
                <w:numId w:val="956"/>
              </w:numPr>
              <w:spacing w:before="0" w:after="0"/>
              <w:ind w:hanging="290"/>
              <w:jc w:val="left"/>
              <w:rPr>
                <w:szCs w:val="24"/>
              </w:rPr>
            </w:pPr>
            <w:r w:rsidRPr="005C3B55">
              <w:t>requirement for group breeding with release for production pigs: 2.6%;</w:t>
            </w:r>
          </w:p>
          <w:p w:rsidR="00C21266" w:rsidRPr="005C3B55" w:rsidRDefault="00C21266" w:rsidP="006E20B6">
            <w:pPr>
              <w:numPr>
                <w:ilvl w:val="0"/>
                <w:numId w:val="956"/>
              </w:numPr>
              <w:spacing w:before="0" w:after="0"/>
              <w:ind w:hanging="290"/>
              <w:jc w:val="left"/>
              <w:rPr>
                <w:szCs w:val="24"/>
              </w:rPr>
            </w:pPr>
            <w:r w:rsidRPr="005C3B55">
              <w:t>requirement for additional voluminous feed or feed with high fibre content: 0.6%, and</w:t>
            </w:r>
          </w:p>
          <w:p w:rsidR="00C21266" w:rsidRPr="005C3B55" w:rsidRDefault="00C21266" w:rsidP="006E20B6">
            <w:pPr>
              <w:numPr>
                <w:ilvl w:val="0"/>
                <w:numId w:val="956"/>
              </w:numPr>
              <w:spacing w:before="0" w:after="240"/>
              <w:ind w:hanging="290"/>
              <w:jc w:val="left"/>
              <w:rPr>
                <w:szCs w:val="24"/>
              </w:rPr>
            </w:pPr>
            <w:r w:rsidRPr="005C3B55">
              <w:t>requirement for thermal comfort of breeding sows and suckling piglets: 4.5%.</w:t>
            </w:r>
          </w:p>
          <w:p w:rsidR="00C21266" w:rsidRPr="005C3B55" w:rsidRDefault="00C21266">
            <w:pPr>
              <w:pStyle w:val="Telobesedila"/>
              <w:rPr>
                <w:lang w:eastAsia="en-GB" w:bidi="en-GB"/>
              </w:rPr>
            </w:pPr>
          </w:p>
        </w:tc>
      </w:tr>
    </w:tbl>
    <w:p w:rsidR="00C21266" w:rsidRPr="005C3B55" w:rsidRDefault="00C21266" w:rsidP="00C21266">
      <w:pPr>
        <w:pStyle w:val="Naslov6"/>
        <w:tabs>
          <w:tab w:val="clear" w:pos="765"/>
        </w:tabs>
        <w:ind w:left="0" w:firstLine="0"/>
        <w:rPr>
          <w:lang w:val="en-GB" w:eastAsia="en-GB" w:bidi="en-GB"/>
        </w:rPr>
      </w:pPr>
      <w:r w:rsidRPr="005C3B55">
        <w:rPr>
          <w:lang w:val="en-GB"/>
        </w:rPr>
        <w:t>Verifiability and possibility of control of measures and/or type of operations</w:t>
      </w:r>
    </w:p>
    <w:p w:rsidR="00C21266" w:rsidRPr="005C3B55" w:rsidRDefault="00C21266" w:rsidP="00C21266">
      <w:pPr>
        <w:pStyle w:val="Naslov7"/>
        <w:tabs>
          <w:tab w:val="clear" w:pos="765"/>
        </w:tabs>
        <w:ind w:left="0" w:firstLine="0"/>
        <w:rPr>
          <w:lang w:val="en-GB"/>
        </w:rPr>
      </w:pPr>
      <w:r w:rsidRPr="005C3B55">
        <w:rPr>
          <w:lang w:val="en-GB"/>
        </w:rPr>
        <w:t>Risks in the implementation of the measure</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rPr>
                <w:b/>
              </w:rPr>
              <w:t>R5: Requirements which are difficult to verify and/or control</w:t>
            </w:r>
          </w:p>
          <w:p w:rsidR="00C21266" w:rsidRPr="005C3B55" w:rsidRDefault="00C21266">
            <w:pPr>
              <w:spacing w:before="240" w:after="240"/>
              <w:rPr>
                <w:szCs w:val="24"/>
              </w:rPr>
            </w:pPr>
            <w:r w:rsidRPr="005C3B55">
              <w:t>In accordance with the regulation which stipulates the identification and registration of pigs, pigs are not individually marked, which poses a certain risk to their status control on an agricultural holding and the control of requirements referring to unobstructed floor area per animal or the highest permitted number of animals on the agricultural holding whereby the requirement for unobstructed floor area is still fulfilled.</w:t>
            </w:r>
          </w:p>
          <w:p w:rsidR="00C21266" w:rsidRPr="005C3B55" w:rsidRDefault="00C21266">
            <w:pPr>
              <w:spacing w:before="240" w:after="240"/>
              <w:rPr>
                <w:szCs w:val="24"/>
              </w:rPr>
            </w:pPr>
            <w:r w:rsidRPr="005C3B55">
              <w:rPr>
                <w:b/>
              </w:rPr>
              <w:t>R6: General conditions for implementation</w:t>
            </w:r>
          </w:p>
          <w:p w:rsidR="00C21266" w:rsidRPr="005C3B55" w:rsidRDefault="00C21266">
            <w:pPr>
              <w:spacing w:before="240" w:after="240"/>
              <w:rPr>
                <w:szCs w:val="24"/>
              </w:rPr>
            </w:pPr>
            <w:r w:rsidRPr="005C3B55">
              <w:t xml:space="preserve">The condition on the minimum number of pigs per agricultural holding was determined as an eligibility condition for participation in the measure. The need to establish a system to implement administrative control of these data was recognised as a risk. </w:t>
            </w:r>
          </w:p>
          <w:p w:rsidR="00C21266" w:rsidRPr="005C3B55" w:rsidRDefault="00C21266">
            <w:pPr>
              <w:spacing w:before="240" w:after="240"/>
              <w:rPr>
                <w:szCs w:val="24"/>
              </w:rPr>
            </w:pPr>
            <w:r w:rsidRPr="005C3B55">
              <w:rPr>
                <w:b/>
              </w:rPr>
              <w:t>R8: IT systems</w:t>
            </w:r>
          </w:p>
          <w:p w:rsidR="00C21266" w:rsidRPr="005C3B55" w:rsidRDefault="00C21266">
            <w:pPr>
              <w:spacing w:before="240" w:after="240"/>
              <w:rPr>
                <w:szCs w:val="24"/>
              </w:rPr>
            </w:pPr>
            <w:r w:rsidRPr="005C3B55">
              <w:t>The Central Register of Pigs proved insufficient during the preparation of the measure and it required upgrading.</w:t>
            </w:r>
          </w:p>
          <w:p w:rsidR="00C21266" w:rsidRPr="005C3B55" w:rsidRDefault="00C21266">
            <w:pPr>
              <w:spacing w:before="240" w:after="240"/>
              <w:rPr>
                <w:szCs w:val="24"/>
              </w:rPr>
            </w:pPr>
            <w:r w:rsidRPr="005C3B55">
              <w:rPr>
                <w:b/>
              </w:rPr>
              <w:t>R9: Requests for payment</w:t>
            </w:r>
          </w:p>
          <w:p w:rsidR="00C21266" w:rsidRPr="005C3B55" w:rsidRDefault="00C21266">
            <w:pPr>
              <w:spacing w:before="240" w:after="240"/>
              <w:rPr>
                <w:szCs w:val="24"/>
              </w:rPr>
            </w:pPr>
            <w:r w:rsidRPr="005C3B55">
              <w:t>The owners of agricultural holdings do not provide the number of animals for which they request payments in their applications for the Animal welfare measure, since the payments are made for the average number of animals, which is calculated on the basis of information received from the Central Register of Pigs. This presents a certain risk if owners do not report their herd statuses by the prescribed deadlines.</w:t>
            </w:r>
          </w:p>
          <w:p w:rsidR="00C21266" w:rsidRPr="005C3B55" w:rsidRDefault="00C21266">
            <w:pPr>
              <w:pStyle w:val="Telobesedila"/>
              <w:rPr>
                <w:lang w:eastAsia="en-GB" w:bidi="en-GB"/>
              </w:rPr>
            </w:pPr>
          </w:p>
        </w:tc>
      </w:tr>
    </w:tbl>
    <w:p w:rsidR="00C21266" w:rsidRPr="005C3B55" w:rsidRDefault="00C21266" w:rsidP="00C21266">
      <w:pPr>
        <w:pStyle w:val="Naslov7"/>
        <w:tabs>
          <w:tab w:val="clear" w:pos="765"/>
        </w:tabs>
        <w:ind w:left="0" w:firstLine="0"/>
        <w:rPr>
          <w:lang w:val="en-GB" w:eastAsia="en-GB" w:bidi="en-GB"/>
        </w:rPr>
      </w:pPr>
      <w:r w:rsidRPr="005C3B55">
        <w:rPr>
          <w:lang w:val="en-GB"/>
        </w:rPr>
        <w:t>Mitigation measures</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rPr>
                <w:b/>
              </w:rPr>
              <w:t>R5: Requirements which are difficult to verify and/or control</w:t>
            </w:r>
          </w:p>
          <w:p w:rsidR="00C21266" w:rsidRPr="005C3B55" w:rsidRDefault="00C21266">
            <w:pPr>
              <w:spacing w:before="240" w:after="240"/>
              <w:rPr>
                <w:szCs w:val="24"/>
              </w:rPr>
            </w:pPr>
            <w:r w:rsidRPr="005C3B55">
              <w:t>The Central Register of Pigs was upgraded for the Animal welfare measure so that owners of agricultural holdings report their herd statuses on a monthly basis as per the Rules on the identification and registration of pigs (Official Gazette of the Republic of Slovenia, no. 112/13). The Central Register of Pigs was also upgraded with a module into which the advisory service providers enter data on the maximum permissible number of animals on an agricultural holding for requirements which refer to the unobstructed floor area, which also enables administrative control of these requirements. In cooperation with the AAMRD, all requirements of this measure were planned in a way that allows verifiability and controllability. A special instruction on implementing this measure and its control was drafted for the AAMRD supervisors and beneficiaries. Numerous information activities were implemented.</w:t>
            </w:r>
          </w:p>
          <w:p w:rsidR="00C21266" w:rsidRPr="005C3B55" w:rsidRDefault="00C21266">
            <w:pPr>
              <w:spacing w:before="240" w:after="240"/>
              <w:rPr>
                <w:szCs w:val="24"/>
              </w:rPr>
            </w:pPr>
            <w:r w:rsidRPr="005C3B55">
              <w:rPr>
                <w:b/>
              </w:rPr>
              <w:t>R6: General conditions for implementation</w:t>
            </w:r>
          </w:p>
          <w:p w:rsidR="00C21266" w:rsidRPr="005C3B55" w:rsidRDefault="00C21266">
            <w:pPr>
              <w:spacing w:before="240" w:after="240"/>
              <w:rPr>
                <w:szCs w:val="24"/>
              </w:rPr>
            </w:pPr>
            <w:r w:rsidRPr="005C3B55">
              <w:t>The Central Register of Pigs was also upgraded with a module into which the advisory service providers enter data on the fulfilment of eligibility conditions and data on the implementation of requirements by agricultural holdings. In this way, the Register was upgraded to an extent that enables administrative control of eligibility conditions for the Animal welfare measure. Numerous information activities for potential beneficiaries were implemented concerning the aforementioned preconditions.</w:t>
            </w:r>
          </w:p>
          <w:p w:rsidR="00C21266" w:rsidRPr="005C3B55" w:rsidRDefault="00C21266">
            <w:pPr>
              <w:spacing w:before="240" w:after="240"/>
              <w:rPr>
                <w:szCs w:val="24"/>
              </w:rPr>
            </w:pPr>
            <w:r w:rsidRPr="005C3B55">
              <w:rPr>
                <w:b/>
              </w:rPr>
              <w:t>R8: IT systems</w:t>
            </w:r>
          </w:p>
          <w:p w:rsidR="00C21266" w:rsidRPr="005C3B55" w:rsidRDefault="00C21266">
            <w:pPr>
              <w:spacing w:before="240" w:after="240"/>
              <w:rPr>
                <w:szCs w:val="24"/>
              </w:rPr>
            </w:pPr>
            <w:r w:rsidRPr="005C3B55">
              <w:t>The Central Register of Pigs was upgraded to a level that enables administrative control of eligibility conditions, pig status and the implementation of requirements under the Animal welfare measure.</w:t>
            </w:r>
          </w:p>
          <w:p w:rsidR="00C21266" w:rsidRPr="005C3B55" w:rsidRDefault="00C21266">
            <w:pPr>
              <w:spacing w:before="240" w:after="240"/>
              <w:rPr>
                <w:szCs w:val="24"/>
              </w:rPr>
            </w:pPr>
            <w:r w:rsidRPr="005C3B55">
              <w:rPr>
                <w:b/>
              </w:rPr>
              <w:t>R9: Requests for payment</w:t>
            </w:r>
          </w:p>
          <w:p w:rsidR="00C21266" w:rsidRPr="005C3B55" w:rsidRDefault="00C21266">
            <w:pPr>
              <w:spacing w:before="240" w:after="240"/>
              <w:rPr>
                <w:szCs w:val="24"/>
              </w:rPr>
            </w:pPr>
            <w:r w:rsidRPr="005C3B55">
              <w:t>Relating to the requirement of monthly reporting on the status of pigs as per the Rules on the identification and registration of pigs (Official Gazette of the Republic of Slovenia, no. 112/13) which serves as the basis for calculating payments, numerous information activities for potential beneficiaries and authorised organisations were implemented for the entry of data in the Central Register of Pigs. The application for the Animal welfare measure is part of a collective application which is entered electronically. Upon entry, the data from the application are verified administratively as per data in the Central Register of Pigs.</w:t>
            </w:r>
          </w:p>
          <w:p w:rsidR="00C21266" w:rsidRPr="005C3B55" w:rsidRDefault="00C21266">
            <w:pPr>
              <w:pStyle w:val="Telobesedila"/>
              <w:rPr>
                <w:lang w:eastAsia="en-GB" w:bidi="en-GB"/>
              </w:rPr>
            </w:pPr>
          </w:p>
        </w:tc>
      </w:tr>
    </w:tbl>
    <w:p w:rsidR="00C21266" w:rsidRPr="005C3B55" w:rsidRDefault="00C21266" w:rsidP="00C21266">
      <w:pPr>
        <w:pStyle w:val="Naslov7"/>
        <w:tabs>
          <w:tab w:val="clear" w:pos="765"/>
        </w:tabs>
        <w:ind w:left="0" w:firstLine="0"/>
        <w:rPr>
          <w:lang w:val="en-GB" w:eastAsia="en-GB" w:bidi="en-GB"/>
        </w:rPr>
      </w:pPr>
      <w:r w:rsidRPr="005C3B55">
        <w:rPr>
          <w:lang w:val="en-GB"/>
        </w:rPr>
        <w:t>General assessment of the measure</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The measure in the anticipated form is fully feasible and controllable and will have the expected results and contribute to achieving the set objectives of the RDP 2014-2020. The measure will greatly contribute to realising horizontal objectives. The implementation of this sub-measure is necessary in order to add value to agricultural products, to improve the competitiveness of agricultural holdings and to highlight the importance of above-standard forms of breeding.</w:t>
            </w:r>
          </w:p>
          <w:p w:rsidR="00C21266" w:rsidRPr="005C3B55" w:rsidRDefault="00C21266">
            <w:pPr>
              <w:pStyle w:val="Telobesedila"/>
              <w:rPr>
                <w:lang w:eastAsia="en-GB" w:bidi="en-GB"/>
              </w:rPr>
            </w:pPr>
          </w:p>
        </w:tc>
      </w:tr>
    </w:tbl>
    <w:p w:rsidR="00C21266" w:rsidRPr="005C3B55" w:rsidRDefault="00C21266" w:rsidP="00C21266">
      <w:pPr>
        <w:pStyle w:val="Naslov6"/>
        <w:tabs>
          <w:tab w:val="clear" w:pos="765"/>
        </w:tabs>
        <w:ind w:left="0" w:firstLine="0"/>
        <w:rPr>
          <w:lang w:val="en-GB" w:eastAsia="en-GB" w:bidi="en-GB"/>
        </w:rPr>
      </w:pPr>
      <w:r w:rsidRPr="005C3B55">
        <w:rPr>
          <w:lang w:val="en-GB"/>
        </w:rPr>
        <w:t>Information that relates specifically to the operation</w:t>
      </w:r>
    </w:p>
    <w:p w:rsidR="00C21266" w:rsidRPr="005C3B55" w:rsidRDefault="00C21266" w:rsidP="00C21266">
      <w:r w:rsidRPr="005C3B55">
        <w:t>Definition and identification of national and EU requirements corresponding to the mandatory standards established pursuant to Chapter I of Title VI of Regulation (EU) No 1306/2013</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As per Annex II of Regulation (EU) No 1306/2013, two standards are determined in the field of animal welfare:</w:t>
            </w:r>
          </w:p>
          <w:p w:rsidR="00C21266" w:rsidRPr="005C3B55" w:rsidRDefault="00C21266" w:rsidP="006E20B6">
            <w:pPr>
              <w:numPr>
                <w:ilvl w:val="0"/>
                <w:numId w:val="957"/>
              </w:numPr>
              <w:spacing w:before="240" w:after="0"/>
              <w:ind w:hanging="290"/>
              <w:jc w:val="left"/>
              <w:rPr>
                <w:szCs w:val="24"/>
              </w:rPr>
            </w:pPr>
            <w:r w:rsidRPr="005C3B55">
              <w:t>Rules on the protection of farm animals 12, Council Directive (EC) 2008/120</w:t>
            </w:r>
          </w:p>
          <w:p w:rsidR="00C21266" w:rsidRPr="005C3B55" w:rsidRDefault="00C21266" w:rsidP="006E20B6">
            <w:pPr>
              <w:numPr>
                <w:ilvl w:val="0"/>
                <w:numId w:val="957"/>
              </w:numPr>
              <w:spacing w:before="0" w:after="240"/>
              <w:ind w:hanging="290"/>
              <w:jc w:val="left"/>
              <w:rPr>
                <w:szCs w:val="24"/>
              </w:rPr>
            </w:pPr>
            <w:r w:rsidRPr="005C3B55">
              <w:t>Rules on the protection of farm animals 13, Council Directive (EC) 98/58</w:t>
            </w:r>
          </w:p>
          <w:p w:rsidR="00C21266" w:rsidRPr="005C3B55" w:rsidRDefault="00C21266">
            <w:pPr>
              <w:spacing w:before="240" w:after="240"/>
              <w:rPr>
                <w:szCs w:val="24"/>
              </w:rPr>
            </w:pPr>
            <w:r w:rsidRPr="005C3B55">
              <w:t>The aforementioned standards were transposed to national legislation with the Rules on the protection of farm animals (Official Gazette of the Republic of Slovenia, nos. 51/2010 and 70/2010) which is part of cross-compliance.</w:t>
            </w:r>
          </w:p>
          <w:p w:rsidR="00C21266" w:rsidRPr="005C3B55" w:rsidRDefault="00C21266">
            <w:pPr>
              <w:spacing w:before="240" w:after="240"/>
              <w:rPr>
                <w:szCs w:val="24"/>
              </w:rPr>
            </w:pPr>
            <w:r w:rsidRPr="005C3B55">
              <w:rPr>
                <w:b/>
              </w:rPr>
              <w:t>Standard breeding practice determined by the Rules on the protection of farm animals for individual AW requirement:</w:t>
            </w:r>
          </w:p>
          <w:p w:rsidR="00C21266" w:rsidRPr="005C3B55" w:rsidRDefault="00C21266">
            <w:pPr>
              <w:spacing w:before="240" w:after="240"/>
              <w:rPr>
                <w:szCs w:val="24"/>
              </w:rPr>
            </w:pPr>
            <w:r w:rsidRPr="005C3B55">
              <w:rPr>
                <w:b/>
              </w:rPr>
              <w:t>1. Requirement for group breeding with release for breeding sows and gilts:</w:t>
            </w:r>
          </w:p>
          <w:p w:rsidR="00C21266" w:rsidRPr="005C3B55" w:rsidRDefault="00C21266">
            <w:pPr>
              <w:spacing w:before="240" w:after="240"/>
              <w:rPr>
                <w:szCs w:val="24"/>
              </w:rPr>
            </w:pPr>
            <w:r w:rsidRPr="005C3B55">
              <w:t>Release of breeding sows and gilts is not mandatory in standard breeding practice.</w:t>
            </w:r>
          </w:p>
          <w:p w:rsidR="00C21266" w:rsidRPr="005C3B55" w:rsidRDefault="00C21266">
            <w:pPr>
              <w:spacing w:before="240" w:after="240"/>
              <w:rPr>
                <w:szCs w:val="24"/>
              </w:rPr>
            </w:pPr>
            <w:r w:rsidRPr="005C3B55">
              <w:rPr>
                <w:b/>
              </w:rPr>
              <w:t xml:space="preserve">2. Requirement for 10% more unobstructed floor area per animal in group pens than prescribed for breeding sows and gilts: </w:t>
            </w:r>
          </w:p>
          <w:p w:rsidR="00C21266" w:rsidRPr="005C3B55" w:rsidRDefault="00C21266">
            <w:pPr>
              <w:spacing w:before="240" w:after="240"/>
              <w:rPr>
                <w:szCs w:val="24"/>
              </w:rPr>
            </w:pPr>
            <w:r w:rsidRPr="005C3B55">
              <w:t>Article 22 of the Rules on the protection of farm animals stipulates:</w:t>
            </w:r>
          </w:p>
          <w:p w:rsidR="00C21266" w:rsidRPr="005C3B55" w:rsidRDefault="00C21266">
            <w:pPr>
              <w:spacing w:before="240" w:after="240"/>
              <w:rPr>
                <w:szCs w:val="24"/>
              </w:rPr>
            </w:pPr>
            <w:r w:rsidRPr="005C3B55">
              <w:t>(1) The minimum unlimited floor area for animals in the group per gilt after insemination must be 1.64 m2, and 2.25 m2 per breeding sow. If a group contains five or less animals, the floor area per animal must be 10% larger. If a group contains 40 or more animals, the floor area per animal may be 10% less.</w:t>
            </w:r>
          </w:p>
          <w:p w:rsidR="00C21266" w:rsidRPr="005C3B55" w:rsidRDefault="00C21266">
            <w:pPr>
              <w:spacing w:before="240" w:after="240"/>
              <w:rPr>
                <w:szCs w:val="24"/>
              </w:rPr>
            </w:pPr>
            <w:r w:rsidRPr="005C3B55">
              <w:t>(2) For pregnant animals, the minimum area of full floor must be 0.95 m2 per gilt and 1.30 m2 per sow. Drainage openings may comprise no more than 15% of this area.</w:t>
            </w:r>
          </w:p>
          <w:p w:rsidR="00C21266" w:rsidRPr="005C3B55" w:rsidRDefault="00C21266">
            <w:pPr>
              <w:spacing w:before="240" w:after="240"/>
              <w:rPr>
                <w:szCs w:val="24"/>
              </w:rPr>
            </w:pPr>
            <w:r w:rsidRPr="005C3B55">
              <w:rPr>
                <w:b/>
              </w:rPr>
              <w:t>3. Requirement for additional voluminous feed or feed with high fibre content:</w:t>
            </w:r>
          </w:p>
          <w:p w:rsidR="00C21266" w:rsidRPr="005C3B55" w:rsidRDefault="00C21266">
            <w:pPr>
              <w:spacing w:before="240" w:after="240"/>
              <w:rPr>
                <w:szCs w:val="24"/>
              </w:rPr>
            </w:pPr>
            <w:r w:rsidRPr="005C3B55">
              <w:t>Article 33 of the Rules on the protection of farm animals stipulates that animals have to be given sufficient amounts of feed. Pregnant animals must receive sufficient fodder with high content of raw fibre, as well as nutritive food that feeds them well and satisfies their need to chew.</w:t>
            </w:r>
          </w:p>
          <w:p w:rsidR="00C21266" w:rsidRPr="005C3B55" w:rsidRDefault="00C21266">
            <w:pPr>
              <w:spacing w:before="240" w:after="240"/>
              <w:rPr>
                <w:szCs w:val="24"/>
              </w:rPr>
            </w:pPr>
            <w:r w:rsidRPr="005C3B55">
              <w:rPr>
                <w:b/>
              </w:rPr>
              <w:t>Standard breeding practice:</w:t>
            </w:r>
            <w:r w:rsidRPr="005C3B55">
              <w:t xml:space="preserve"> When feeding breeding sows and gilts in group breeding on pig production agricultural holdings which exceed the entry condition for the measure of Animal welfare, the adding of voluminous feed to the basic ration which covers the need for nutrients is not standard practice, particularly due to the breeding of sows mainly on slatted floors. In this technology of removing manure, the provision of voluminous feed is problematic, due to the stuffing of spaces between slats and thus difficulties removing manure and maintaining animal cleanliness. This is another reason adding voluminous feed as material to satisfy their need for forage is not standard practice, and other forms of distraction (e.g. chains, wood, rubber) are used on the majority of agricultural holdings which are cheaper than voluminous feed.</w:t>
            </w:r>
          </w:p>
          <w:p w:rsidR="00C21266" w:rsidRPr="005C3B55" w:rsidRDefault="00C21266">
            <w:pPr>
              <w:spacing w:before="240" w:after="240"/>
              <w:rPr>
                <w:szCs w:val="24"/>
              </w:rPr>
            </w:pPr>
            <w:r w:rsidRPr="005C3B55">
              <w:t>Relating to the preparation of compound feed which is a basic ration, agricultural holdings may be divided into those preparing compound feed at home and those which purchase it from compound feed facilities. On agricultural holdings which buy feed from commercial compound feed facilities, routine feed analyses with a determination of the basic food parameters of feed are standard practice, while these analyses are less frequent on holdings where feed is prepared and the preparation of feed relies on experience and recipes obtained from advisory services.</w:t>
            </w:r>
          </w:p>
          <w:p w:rsidR="00C21266" w:rsidRPr="005C3B55" w:rsidRDefault="00C21266">
            <w:pPr>
              <w:spacing w:before="240" w:after="240"/>
              <w:rPr>
                <w:szCs w:val="24"/>
              </w:rPr>
            </w:pPr>
            <w:r w:rsidRPr="005C3B55">
              <w:t>Agricultural holdings which buy compound feed may prove the content of raw fibre by providing a declaration. The data on the compound feed compositions produced by registered compound feed facilities reveal that standard commercial compound feed for pregnant sows in Slovenia consists of 5 to 6% of raw dry fibre.</w:t>
            </w:r>
          </w:p>
          <w:p w:rsidR="00C21266" w:rsidRPr="005C3B55" w:rsidRDefault="00C21266">
            <w:pPr>
              <w:spacing w:before="240" w:after="240"/>
              <w:rPr>
                <w:szCs w:val="24"/>
              </w:rPr>
            </w:pPr>
            <w:r w:rsidRPr="005C3B55">
              <w:rPr>
                <w:b/>
              </w:rPr>
              <w:t>4. Requirement for thermal comfort:</w:t>
            </w:r>
          </w:p>
          <w:p w:rsidR="00C21266" w:rsidRPr="005C3B55" w:rsidRDefault="00C21266">
            <w:pPr>
              <w:spacing w:before="240" w:after="240"/>
              <w:rPr>
                <w:szCs w:val="24"/>
              </w:rPr>
            </w:pPr>
            <w:r w:rsidRPr="005C3B55">
              <w:t>In standard breeding practice, a closed nest is not obligatory. Heating bodies, usually infra-red lamps, are installed in farrowing pens, but there are no closed nests.</w:t>
            </w:r>
          </w:p>
          <w:p w:rsidR="00C21266" w:rsidRPr="005C3B55" w:rsidRDefault="00C21266">
            <w:pPr>
              <w:spacing w:before="240" w:after="240"/>
              <w:rPr>
                <w:szCs w:val="24"/>
              </w:rPr>
            </w:pPr>
            <w:r w:rsidRPr="005C3B55">
              <w:rPr>
                <w:b/>
              </w:rPr>
              <w:t xml:space="preserve">5. Requirement for 10% more unobstructed floor area per animal in group pens than prescribed for weaners and production pigs: </w:t>
            </w:r>
          </w:p>
          <w:p w:rsidR="00C21266" w:rsidRPr="005C3B55" w:rsidRDefault="00C21266">
            <w:pPr>
              <w:spacing w:before="240" w:after="240"/>
              <w:rPr>
                <w:szCs w:val="24"/>
              </w:rPr>
            </w:pPr>
            <w:r w:rsidRPr="005C3B55">
              <w:t>Annex I of the Rules on the protection of farm animals:</w:t>
            </w:r>
          </w:p>
          <w:p w:rsidR="00C21266" w:rsidRPr="005C3B55" w:rsidRDefault="00C21266">
            <w:pPr>
              <w:spacing w:before="240" w:after="240"/>
              <w:rPr>
                <w:szCs w:val="24"/>
              </w:rPr>
            </w:pPr>
            <w:r w:rsidRPr="005C3B55">
              <w:t>minimum floor area for each weaner or production pig in the group:</w:t>
            </w:r>
          </w:p>
          <w:p w:rsidR="00C21266" w:rsidRPr="005C3B55" w:rsidRDefault="00C21266" w:rsidP="006E20B6">
            <w:pPr>
              <w:numPr>
                <w:ilvl w:val="0"/>
                <w:numId w:val="958"/>
              </w:numPr>
              <w:spacing w:before="240" w:after="0"/>
              <w:ind w:hanging="290"/>
              <w:jc w:val="left"/>
              <w:rPr>
                <w:szCs w:val="24"/>
              </w:rPr>
            </w:pPr>
            <w:r w:rsidRPr="005C3B55">
              <w:t>to 10 kg    0.15 m2</w:t>
            </w:r>
          </w:p>
          <w:p w:rsidR="00C21266" w:rsidRPr="005C3B55" w:rsidRDefault="00C21266" w:rsidP="006E20B6">
            <w:pPr>
              <w:numPr>
                <w:ilvl w:val="0"/>
                <w:numId w:val="958"/>
              </w:numPr>
              <w:spacing w:before="0" w:after="0"/>
              <w:ind w:hanging="290"/>
              <w:jc w:val="left"/>
              <w:rPr>
                <w:szCs w:val="24"/>
              </w:rPr>
            </w:pPr>
            <w:r w:rsidRPr="005C3B55">
              <w:t>10-20 kg   0.20 m2</w:t>
            </w:r>
          </w:p>
          <w:p w:rsidR="00C21266" w:rsidRPr="005C3B55" w:rsidRDefault="00C21266" w:rsidP="006E20B6">
            <w:pPr>
              <w:numPr>
                <w:ilvl w:val="0"/>
                <w:numId w:val="958"/>
              </w:numPr>
              <w:spacing w:before="0" w:after="0"/>
              <w:ind w:hanging="290"/>
              <w:jc w:val="left"/>
              <w:rPr>
                <w:szCs w:val="24"/>
              </w:rPr>
            </w:pPr>
            <w:r w:rsidRPr="005C3B55">
              <w:t>20-30 kg   0.30 m2</w:t>
            </w:r>
          </w:p>
          <w:p w:rsidR="00C21266" w:rsidRPr="005C3B55" w:rsidRDefault="00C21266" w:rsidP="006E20B6">
            <w:pPr>
              <w:numPr>
                <w:ilvl w:val="0"/>
                <w:numId w:val="958"/>
              </w:numPr>
              <w:spacing w:before="0" w:after="0"/>
              <w:ind w:hanging="290"/>
              <w:jc w:val="left"/>
              <w:rPr>
                <w:szCs w:val="24"/>
              </w:rPr>
            </w:pPr>
            <w:r w:rsidRPr="005C3B55">
              <w:t>30-50 kg   0.40 m2</w:t>
            </w:r>
          </w:p>
          <w:p w:rsidR="00C21266" w:rsidRPr="005C3B55" w:rsidRDefault="00C21266" w:rsidP="006E20B6">
            <w:pPr>
              <w:numPr>
                <w:ilvl w:val="0"/>
                <w:numId w:val="958"/>
              </w:numPr>
              <w:spacing w:before="0" w:after="0"/>
              <w:ind w:hanging="290"/>
              <w:jc w:val="left"/>
              <w:rPr>
                <w:szCs w:val="24"/>
              </w:rPr>
            </w:pPr>
            <w:r w:rsidRPr="005C3B55">
              <w:t>50-85 kg   0.55 m2</w:t>
            </w:r>
          </w:p>
          <w:p w:rsidR="00C21266" w:rsidRPr="005C3B55" w:rsidRDefault="00C21266" w:rsidP="006E20B6">
            <w:pPr>
              <w:numPr>
                <w:ilvl w:val="0"/>
                <w:numId w:val="958"/>
              </w:numPr>
              <w:spacing w:before="0" w:after="0"/>
              <w:ind w:hanging="290"/>
              <w:jc w:val="left"/>
              <w:rPr>
                <w:szCs w:val="24"/>
              </w:rPr>
            </w:pPr>
            <w:r w:rsidRPr="005C3B55">
              <w:t>85–110 kg   0.65 m2</w:t>
            </w:r>
          </w:p>
          <w:p w:rsidR="00C21266" w:rsidRPr="005C3B55" w:rsidRDefault="00C21266" w:rsidP="006E20B6">
            <w:pPr>
              <w:numPr>
                <w:ilvl w:val="0"/>
                <w:numId w:val="958"/>
              </w:numPr>
              <w:spacing w:before="0" w:after="240"/>
              <w:ind w:hanging="290"/>
              <w:jc w:val="left"/>
              <w:rPr>
                <w:szCs w:val="24"/>
              </w:rPr>
            </w:pPr>
            <w:r w:rsidRPr="005C3B55">
              <w:t>over 110 kg   1.00 m2</w:t>
            </w:r>
          </w:p>
          <w:p w:rsidR="00C21266" w:rsidRPr="005C3B55" w:rsidRDefault="00C21266">
            <w:pPr>
              <w:spacing w:before="240" w:after="240"/>
              <w:rPr>
                <w:szCs w:val="24"/>
              </w:rPr>
            </w:pPr>
            <w:r w:rsidRPr="005C3B55">
              <w:rPr>
                <w:b/>
              </w:rPr>
              <w:t>6. Requirement for group breeding with release for production pigs:</w:t>
            </w:r>
          </w:p>
          <w:p w:rsidR="00C21266" w:rsidRPr="005C3B55" w:rsidRDefault="00C21266">
            <w:pPr>
              <w:spacing w:before="240" w:after="240"/>
              <w:rPr>
                <w:szCs w:val="24"/>
              </w:rPr>
            </w:pPr>
            <w:r w:rsidRPr="005C3B55">
              <w:t>In standard breeding practice, release for production pigs is not obligatory.</w:t>
            </w:r>
          </w:p>
          <w:p w:rsidR="00C21266" w:rsidRPr="005C3B55" w:rsidRDefault="00C21266">
            <w:pPr>
              <w:pStyle w:val="Telobesedila"/>
              <w:rPr>
                <w:lang w:eastAsia="en-GB" w:bidi="en-GB"/>
              </w:rPr>
            </w:pPr>
          </w:p>
        </w:tc>
      </w:tr>
    </w:tbl>
    <w:p w:rsidR="00C21266" w:rsidRPr="005C3B55" w:rsidRDefault="00C21266" w:rsidP="00C21266">
      <w:pPr>
        <w:rPr>
          <w:rFonts w:eastAsia="Calibri"/>
          <w:szCs w:val="22"/>
          <w:lang w:eastAsia="en-GB" w:bidi="en-GB"/>
        </w:rPr>
      </w:pPr>
      <w:r w:rsidRPr="005C3B55">
        <w:t>The description of the methodology and of the agronomic/zoo-technical assumptions and parameters (including the description of the baseline requirements as stated in Article 33(2) of Regulation (EU) No 1305/2013 which are relevant to each particular type of commitment) used as a reference point for the calculations justifying additional costs, and income foregone resulting from the commitment made.</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The methodology and amount of calculated payment was prepared by an independent provider, the Agricultural Institute of Slovenia.</w:t>
            </w:r>
          </w:p>
          <w:p w:rsidR="00C21266" w:rsidRPr="005C3B55" w:rsidRDefault="00C21266">
            <w:pPr>
              <w:spacing w:before="240" w:after="240"/>
              <w:rPr>
                <w:szCs w:val="24"/>
              </w:rPr>
            </w:pPr>
            <w:r w:rsidRPr="005C3B55">
              <w:t>The basic starting point for assessing the sum of payments for higher standard requirements of the Animal welfare measure is a market-oriented agricultural holding involved in pig production with existing accommodation for animals of 10 m x 25 m for standard breeding practice. A herd of 25 breeding sows and appertaining piglets/weaners and 10 gilts (40% rejuvenation) or a herd of 200 production pigs per rotation (four rotations per year) is presumed. The number of weaners or production pigs is calculated on the basis of the assumption:</w:t>
            </w:r>
          </w:p>
          <w:p w:rsidR="00C21266" w:rsidRPr="005C3B55" w:rsidRDefault="00C21266">
            <w:pPr>
              <w:spacing w:before="240" w:after="240"/>
              <w:rPr>
                <w:szCs w:val="24"/>
              </w:rPr>
            </w:pPr>
            <w:r w:rsidRPr="005C3B55">
              <w:t>- 25 breeding sows,</w:t>
            </w:r>
          </w:p>
          <w:p w:rsidR="00C21266" w:rsidRPr="005C3B55" w:rsidRDefault="00C21266">
            <w:pPr>
              <w:spacing w:before="240" w:after="240"/>
              <w:rPr>
                <w:szCs w:val="24"/>
              </w:rPr>
            </w:pPr>
            <w:r w:rsidRPr="005C3B55">
              <w:t>- 10 live-born piglets/nest,</w:t>
            </w:r>
          </w:p>
          <w:p w:rsidR="00C21266" w:rsidRPr="005C3B55" w:rsidRDefault="00C21266">
            <w:pPr>
              <w:spacing w:before="240" w:after="240"/>
              <w:rPr>
                <w:szCs w:val="24"/>
              </w:rPr>
            </w:pPr>
            <w:r w:rsidRPr="005C3B55">
              <w:t>- 12% of loss to the weaning period and 5% of loss from the weaning period to the end of breeding weaners,</w:t>
            </w:r>
          </w:p>
          <w:p w:rsidR="00C21266" w:rsidRPr="005C3B55" w:rsidRDefault="00C21266">
            <w:pPr>
              <w:spacing w:before="240" w:after="240"/>
              <w:rPr>
                <w:szCs w:val="24"/>
              </w:rPr>
            </w:pPr>
            <w:r w:rsidRPr="005C3B55">
              <w:t>- 2.1 nests/breeding sow/year.</w:t>
            </w:r>
          </w:p>
          <w:p w:rsidR="00C21266" w:rsidRPr="005C3B55" w:rsidRDefault="00C21266">
            <w:pPr>
              <w:spacing w:before="240" w:after="240"/>
              <w:rPr>
                <w:szCs w:val="24"/>
              </w:rPr>
            </w:pPr>
            <w:r w:rsidRPr="005C3B55">
              <w:t>The calculations of payment for the Animal welfare measure applied prices from 2013, excluding VAT. The sources of prices are price lists from catalogues and web pages, SURS data, etc. Additional work of breeders is evaluated according to the average salary in the Republic of Slovenia as per the data from the Statistical Office of the Republic of Slovenia from January to October 2013, including social security contributions and labour entitlements. The amount of average gross hourly rate was 10.06 EUR/ha.</w:t>
            </w:r>
          </w:p>
          <w:p w:rsidR="00C21266" w:rsidRPr="005C3B55" w:rsidRDefault="00C21266">
            <w:pPr>
              <w:spacing w:before="240" w:after="240"/>
              <w:rPr>
                <w:szCs w:val="24"/>
              </w:rPr>
            </w:pPr>
            <w:r w:rsidRPr="005C3B55">
              <w:t>Payments calculated for additional requirements within the Animal welfare measure are comprised of assessments of individual requirements which are then suitably increased by applicable operating costs (in different percentages).</w:t>
            </w:r>
          </w:p>
          <w:p w:rsidR="00C21266" w:rsidRPr="005C3B55" w:rsidRDefault="00C21266">
            <w:pPr>
              <w:spacing w:before="240" w:after="240"/>
              <w:rPr>
                <w:szCs w:val="24"/>
              </w:rPr>
            </w:pPr>
            <w:r w:rsidRPr="005C3B55">
              <w:t>The estimated payments per individual requirements were calculated per LU annually, whereby LU coefficients were used as determined in Annex II of Regulation (EU) No 808/2014.</w:t>
            </w:r>
          </w:p>
          <w:p w:rsidR="00C21266" w:rsidRPr="005C3B55" w:rsidRDefault="00C21266">
            <w:pPr>
              <w:spacing w:before="240" w:after="240"/>
              <w:rPr>
                <w:szCs w:val="24"/>
              </w:rPr>
            </w:pPr>
            <w:r w:rsidRPr="005C3B55">
              <w:t>The calculation did not include investment or depreciation costs.</w:t>
            </w:r>
          </w:p>
          <w:p w:rsidR="00C21266" w:rsidRPr="005C3B55" w:rsidRDefault="00C21266">
            <w:pPr>
              <w:spacing w:before="240" w:after="240"/>
              <w:rPr>
                <w:szCs w:val="24"/>
              </w:rPr>
            </w:pPr>
            <w:r w:rsidRPr="005C3B55">
              <w:t>A detailed description of the methodology for calculating the support rate is in the attachment to the RDP 2014-2020.</w:t>
            </w:r>
          </w:p>
          <w:p w:rsidR="00C21266" w:rsidRPr="005C3B55" w:rsidRDefault="00C21266">
            <w:pPr>
              <w:pStyle w:val="Telobesedila"/>
              <w:rPr>
                <w:lang w:eastAsia="en-GB" w:bidi="en-GB"/>
              </w:rPr>
            </w:pPr>
          </w:p>
        </w:tc>
      </w:tr>
    </w:tbl>
    <w:p w:rsidR="00C21266" w:rsidRPr="005C3B55" w:rsidRDefault="00C21266" w:rsidP="00C21266">
      <w:pPr>
        <w:pStyle w:val="Naslov4"/>
        <w:tabs>
          <w:tab w:val="clear" w:pos="765"/>
        </w:tabs>
        <w:ind w:left="0" w:firstLine="0"/>
        <w:jc w:val="left"/>
        <w:rPr>
          <w:lang w:val="en-GB" w:eastAsia="en-GB" w:bidi="en-GB"/>
        </w:rPr>
      </w:pPr>
      <w:r w:rsidRPr="005C3B55">
        <w:rPr>
          <w:lang w:val="en-GB"/>
        </w:rPr>
        <w:t>Verifiability and possibility of control of measures and/or type of operations</w:t>
      </w:r>
    </w:p>
    <w:p w:rsidR="00C21266" w:rsidRPr="005C3B55" w:rsidRDefault="00C21266" w:rsidP="00C21266">
      <w:pPr>
        <w:pStyle w:val="Naslov5"/>
        <w:tabs>
          <w:tab w:val="clear" w:pos="765"/>
        </w:tabs>
        <w:ind w:left="0" w:firstLine="0"/>
        <w:rPr>
          <w:b w:val="0"/>
          <w:lang w:val="en-GB"/>
        </w:rPr>
      </w:pPr>
      <w:r w:rsidRPr="005C3B55">
        <w:rPr>
          <w:b w:val="0"/>
          <w:lang w:val="en-GB"/>
        </w:rPr>
        <w:t>Risks in the implementation of the measure</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Risks are determined within individual measures.</w:t>
            </w:r>
          </w:p>
          <w:p w:rsidR="00C21266" w:rsidRPr="005C3B55" w:rsidRDefault="00C21266">
            <w:pPr>
              <w:pStyle w:val="Telobesedila"/>
              <w:rPr>
                <w:lang w:eastAsia="en-GB" w:bidi="en-GB"/>
              </w:rPr>
            </w:pPr>
          </w:p>
        </w:tc>
      </w:tr>
    </w:tbl>
    <w:p w:rsidR="00C21266" w:rsidRPr="005C3B55" w:rsidRDefault="00C21266" w:rsidP="00C21266">
      <w:pPr>
        <w:pStyle w:val="Naslov5"/>
        <w:tabs>
          <w:tab w:val="clear" w:pos="765"/>
        </w:tabs>
        <w:ind w:left="0" w:firstLine="0"/>
        <w:rPr>
          <w:b w:val="0"/>
          <w:lang w:val="en-GB" w:eastAsia="en-GB" w:bidi="en-GB"/>
        </w:rPr>
      </w:pPr>
      <w:r w:rsidRPr="005C3B55">
        <w:rPr>
          <w:b w:val="0"/>
          <w:lang w:val="en-GB"/>
        </w:rPr>
        <w:t>Mitigation measures</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Mitigating actions are determined within individual measures.</w:t>
            </w:r>
          </w:p>
          <w:p w:rsidR="00C21266" w:rsidRPr="005C3B55" w:rsidRDefault="00C21266">
            <w:pPr>
              <w:pStyle w:val="Telobesedila"/>
              <w:rPr>
                <w:lang w:eastAsia="en-GB" w:bidi="en-GB"/>
              </w:rPr>
            </w:pPr>
          </w:p>
        </w:tc>
      </w:tr>
    </w:tbl>
    <w:p w:rsidR="00C21266" w:rsidRPr="005C3B55" w:rsidRDefault="00C21266" w:rsidP="00C21266">
      <w:pPr>
        <w:pStyle w:val="Naslov5"/>
        <w:tabs>
          <w:tab w:val="clear" w:pos="765"/>
        </w:tabs>
        <w:ind w:left="0" w:firstLine="0"/>
        <w:rPr>
          <w:b w:val="0"/>
          <w:lang w:val="en-GB" w:eastAsia="en-GB" w:bidi="en-GB"/>
        </w:rPr>
      </w:pPr>
      <w:r w:rsidRPr="005C3B55">
        <w:rPr>
          <w:b w:val="0"/>
          <w:lang w:val="en-GB"/>
        </w:rPr>
        <w:t>General assessment of the measure</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Described within the measure.</w:t>
            </w:r>
          </w:p>
          <w:p w:rsidR="00C21266" w:rsidRPr="005C3B55" w:rsidRDefault="00C21266">
            <w:pPr>
              <w:pStyle w:val="Telobesedila"/>
              <w:rPr>
                <w:lang w:eastAsia="en-GB" w:bidi="en-GB"/>
              </w:rPr>
            </w:pPr>
          </w:p>
        </w:tc>
      </w:tr>
    </w:tbl>
    <w:p w:rsidR="00C21266" w:rsidRPr="005C3B55" w:rsidRDefault="00C21266" w:rsidP="00C21266">
      <w:pPr>
        <w:pStyle w:val="Naslov4"/>
        <w:tabs>
          <w:tab w:val="clear" w:pos="765"/>
        </w:tabs>
        <w:ind w:left="0" w:firstLine="0"/>
        <w:jc w:val="left"/>
        <w:rPr>
          <w:lang w:val="en-GB" w:eastAsia="en-GB" w:bidi="en-GB"/>
        </w:rPr>
      </w:pPr>
      <w:r w:rsidRPr="005C3B55">
        <w:rPr>
          <w:lang w:val="en-GB"/>
        </w:rPr>
        <w:t>Additional information that relates specifically to the operation</w:t>
      </w:r>
    </w:p>
    <w:p w:rsidR="00C21266" w:rsidRPr="005C3B55" w:rsidRDefault="00C21266" w:rsidP="00C21266">
      <w:r w:rsidRPr="005C3B55">
        <w:t>Definition and identification of national and EU requirements corresponding to the mandatory standards established pursuant to Chapter I of Title VI of Regulation (EU) No 1306/2013</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Defined within the description of the measure.</w:t>
            </w:r>
          </w:p>
          <w:p w:rsidR="00C21266" w:rsidRPr="005C3B55" w:rsidRDefault="00C21266">
            <w:pPr>
              <w:pStyle w:val="Telobesedila"/>
              <w:rPr>
                <w:lang w:eastAsia="en-GB" w:bidi="en-GB"/>
              </w:rPr>
            </w:pPr>
          </w:p>
        </w:tc>
      </w:tr>
    </w:tbl>
    <w:p w:rsidR="00C21266" w:rsidRPr="005C3B55" w:rsidRDefault="00C21266" w:rsidP="00C21266">
      <w:pPr>
        <w:spacing w:after="100"/>
        <w:rPr>
          <w:rFonts w:eastAsia="Calibri"/>
          <w:szCs w:val="22"/>
          <w:lang w:eastAsia="en-GB" w:bidi="en-GB"/>
        </w:rPr>
      </w:pPr>
      <w:r w:rsidRPr="005C3B55">
        <w:t>The description of the methodology and of the agronomic/zoo-technical assumptions and parameters (including the description of the baseline requirements as stated in Article 33(2) of Regulation (EU) No 1305/2013 which are relevant to each particular type of commitment) used as a reference point for the calculations justifying additional costs, and income foregone resulting from the commitment made.</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Defined within the description of the measure.</w:t>
            </w:r>
          </w:p>
          <w:p w:rsidR="00C21266" w:rsidRPr="005C3B55" w:rsidRDefault="00C21266">
            <w:pPr>
              <w:pStyle w:val="Telobesedila"/>
              <w:spacing w:after="100"/>
              <w:rPr>
                <w:lang w:eastAsia="en-GB" w:bidi="en-GB"/>
              </w:rPr>
            </w:pPr>
          </w:p>
        </w:tc>
      </w:tr>
    </w:tbl>
    <w:p w:rsidR="00C21266" w:rsidRPr="005C3B55" w:rsidRDefault="00C21266" w:rsidP="00C21266">
      <w:pPr>
        <w:pStyle w:val="Naslov4"/>
        <w:tabs>
          <w:tab w:val="clear" w:pos="765"/>
        </w:tabs>
        <w:spacing w:after="100"/>
        <w:ind w:left="0" w:firstLine="0"/>
        <w:jc w:val="left"/>
        <w:rPr>
          <w:lang w:val="en-GB" w:eastAsia="en-GB" w:bidi="en-GB"/>
        </w:rPr>
      </w:pPr>
      <w:r w:rsidRPr="005C3B55">
        <w:rPr>
          <w:lang w:val="en-GB"/>
        </w:rPr>
        <w:t>Other important notes that contribute to understanding and implementing the measure</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Not relevant.</w:t>
            </w:r>
          </w:p>
          <w:p w:rsidR="00C21266" w:rsidRPr="005C3B55" w:rsidRDefault="00C21266">
            <w:pPr>
              <w:pStyle w:val="Telobesedila"/>
              <w:rPr>
                <w:lang w:eastAsia="en-GB" w:bidi="en-GB"/>
              </w:rPr>
            </w:pPr>
          </w:p>
        </w:tc>
      </w:tr>
    </w:tbl>
    <w:p w:rsidR="00C21266" w:rsidRPr="005C3B55" w:rsidRDefault="00C21266" w:rsidP="00C21266">
      <w:pPr>
        <w:pStyle w:val="Naslov3"/>
        <w:tabs>
          <w:tab w:val="clear" w:pos="765"/>
        </w:tabs>
        <w:ind w:left="0" w:firstLine="0"/>
        <w:jc w:val="left"/>
        <w:rPr>
          <w:lang w:val="en-GB" w:eastAsia="en-GB" w:bidi="en-GB"/>
        </w:rPr>
      </w:pPr>
      <w:r w:rsidRPr="005C3B55">
        <w:rPr>
          <w:lang w:val="en-GB"/>
        </w:rPr>
        <w:br w:type="page"/>
      </w:r>
      <w:bookmarkStart w:id="127" w:name="_Toc416192585"/>
      <w:r w:rsidRPr="005C3B55">
        <w:rPr>
          <w:lang w:val="en-GB"/>
        </w:rPr>
        <w:t>M16 – Cooperation (Article 35)</w:t>
      </w:r>
      <w:bookmarkEnd w:id="127"/>
    </w:p>
    <w:p w:rsidR="00C21266" w:rsidRPr="005C3B55" w:rsidRDefault="00C21266" w:rsidP="00C21266">
      <w:pPr>
        <w:pStyle w:val="Naslov4"/>
        <w:tabs>
          <w:tab w:val="clear" w:pos="765"/>
        </w:tabs>
        <w:ind w:left="0" w:firstLine="0"/>
        <w:jc w:val="left"/>
        <w:rPr>
          <w:lang w:val="en-GB"/>
        </w:rPr>
      </w:pPr>
      <w:r w:rsidRPr="005C3B55">
        <w:rPr>
          <w:lang w:val="en-GB"/>
        </w:rPr>
        <w:t>Legal basis</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The M16 measure is implemented on the basis of Article 35 of Regulation (EU) No 1305/2013.</w:t>
            </w:r>
          </w:p>
          <w:p w:rsidR="00C21266" w:rsidRPr="005C3B55" w:rsidRDefault="00C21266">
            <w:pPr>
              <w:pStyle w:val="Telobesedila"/>
              <w:rPr>
                <w:lang w:eastAsia="en-GB" w:bidi="en-GB"/>
              </w:rPr>
            </w:pPr>
          </w:p>
        </w:tc>
      </w:tr>
    </w:tbl>
    <w:p w:rsidR="00C21266" w:rsidRPr="005C3B55" w:rsidRDefault="00C21266" w:rsidP="00C21266">
      <w:pPr>
        <w:pStyle w:val="Naslov4"/>
        <w:tabs>
          <w:tab w:val="clear" w:pos="765"/>
        </w:tabs>
        <w:ind w:left="0" w:firstLine="0"/>
        <w:jc w:val="left"/>
        <w:rPr>
          <w:lang w:val="en-GB" w:eastAsia="en-GB" w:bidi="en-GB"/>
        </w:rPr>
      </w:pPr>
      <w:r w:rsidRPr="005C3B55">
        <w:rPr>
          <w:lang w:val="en-GB"/>
        </w:rPr>
        <w:t>A general description of the measure, including its intervention logic and contribution to priority areas and horizontal goals</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The analysis indicates that the transfer of knowledge and innovations from the research field to the agricultural practice is too weak in Slovenia and that there is insufficient feedback on the needs of agricultural practice. Insufficient cooperation between the players in this field is also detected.</w:t>
            </w:r>
          </w:p>
          <w:p w:rsidR="00C21266" w:rsidRPr="005C3B55" w:rsidRDefault="00C21266">
            <w:pPr>
              <w:spacing w:before="240" w:after="240"/>
              <w:rPr>
                <w:szCs w:val="24"/>
              </w:rPr>
            </w:pPr>
            <w:r w:rsidRPr="005C3B55">
              <w:t>This measure supports various forms of cooperation with which different actors in rural areas will be able to overcome economic, environmental and other constraints which they face due to fragmentation and lack of connection. The measure will be particularly aimed at promoting cooperation projects aimed at greater productivity and better sustainability in agriculture. Special emphasis will be on promoting technological development and reducing the negative impacts of agriculture on the environment, particularly in the field of biodiversity and the quality of surface water and groundwater.</w:t>
            </w:r>
          </w:p>
          <w:p w:rsidR="00C21266" w:rsidRPr="005C3B55" w:rsidRDefault="00C21266">
            <w:pPr>
              <w:spacing w:before="240" w:after="240"/>
              <w:rPr>
                <w:szCs w:val="24"/>
              </w:rPr>
            </w:pPr>
            <w:r w:rsidRPr="005C3B55">
              <w:t>The pursuit of the objective of technological development will be supported particularly through cooperation projects, which will result in the establishment of new and innovative forms of knowledge transfer into practice and capacities for more efficient two-way communication between users and generators of new ideas and solutions.</w:t>
            </w:r>
          </w:p>
          <w:p w:rsidR="00C21266" w:rsidRPr="005C3B55" w:rsidRDefault="00C21266">
            <w:pPr>
              <w:spacing w:before="240" w:after="240"/>
              <w:rPr>
                <w:szCs w:val="24"/>
              </w:rPr>
            </w:pPr>
            <w:r w:rsidRPr="005C3B55">
              <w:t xml:space="preserve">From the aspect of increasing the environmental efficiency of agriculture, cooperation projects will be directed specifically to special areas within the NATURA 2000 network and catchment areas of surface waters and groundwater referred to in the Water Management Plan where objectives of the Water Framework Directive will not be attained.  </w:t>
            </w:r>
          </w:p>
          <w:p w:rsidR="00C21266" w:rsidRPr="005C3B55" w:rsidRDefault="00C21266">
            <w:pPr>
              <w:spacing w:before="240" w:after="240"/>
              <w:rPr>
                <w:szCs w:val="24"/>
              </w:rPr>
            </w:pPr>
            <w:r w:rsidRPr="005C3B55">
              <w:t>The purpose of the M16 measure is to support the following content sections:</w:t>
            </w:r>
          </w:p>
          <w:p w:rsidR="00C21266" w:rsidRPr="005C3B55" w:rsidRDefault="00C21266" w:rsidP="006E20B6">
            <w:pPr>
              <w:numPr>
                <w:ilvl w:val="0"/>
                <w:numId w:val="959"/>
              </w:numPr>
              <w:spacing w:before="240" w:after="0"/>
              <w:ind w:hanging="290"/>
              <w:jc w:val="left"/>
              <w:rPr>
                <w:szCs w:val="24"/>
              </w:rPr>
            </w:pPr>
            <w:r w:rsidRPr="005C3B55">
              <w:t>pilot projects,</w:t>
            </w:r>
          </w:p>
          <w:p w:rsidR="00C21266" w:rsidRPr="005C3B55" w:rsidRDefault="00C21266" w:rsidP="006E20B6">
            <w:pPr>
              <w:numPr>
                <w:ilvl w:val="0"/>
                <w:numId w:val="959"/>
              </w:numPr>
              <w:spacing w:before="0" w:after="0"/>
              <w:ind w:hanging="290"/>
              <w:jc w:val="left"/>
              <w:rPr>
                <w:szCs w:val="24"/>
              </w:rPr>
            </w:pPr>
            <w:r w:rsidRPr="005C3B55">
              <w:t>development of new products, practices, processes and technologies in the agriculture, food and forestry sectors,</w:t>
            </w:r>
          </w:p>
          <w:p w:rsidR="00C21266" w:rsidRPr="005C3B55" w:rsidRDefault="00C21266" w:rsidP="006E20B6">
            <w:pPr>
              <w:numPr>
                <w:ilvl w:val="0"/>
                <w:numId w:val="959"/>
              </w:numPr>
              <w:spacing w:before="0" w:after="0"/>
              <w:ind w:hanging="290"/>
              <w:jc w:val="left"/>
              <w:rPr>
                <w:szCs w:val="24"/>
              </w:rPr>
            </w:pPr>
            <w:r w:rsidRPr="005C3B55">
              <w:t>horizontal and vertical co-operation among supply chain actors to establish and develop short supply chains and local markets,</w:t>
            </w:r>
          </w:p>
          <w:p w:rsidR="00C21266" w:rsidRPr="005C3B55" w:rsidRDefault="00C21266" w:rsidP="006E20B6">
            <w:pPr>
              <w:numPr>
                <w:ilvl w:val="0"/>
                <w:numId w:val="959"/>
              </w:numPr>
              <w:spacing w:before="0" w:after="0"/>
              <w:ind w:hanging="290"/>
              <w:jc w:val="left"/>
              <w:rPr>
                <w:szCs w:val="24"/>
              </w:rPr>
            </w:pPr>
            <w:r w:rsidRPr="005C3B55">
              <w:t>promotion activities in a local context relating to the development of short supply chains and local markets,</w:t>
            </w:r>
          </w:p>
          <w:p w:rsidR="00C21266" w:rsidRPr="005C3B55" w:rsidRDefault="00C21266" w:rsidP="006E20B6">
            <w:pPr>
              <w:numPr>
                <w:ilvl w:val="0"/>
                <w:numId w:val="959"/>
              </w:numPr>
              <w:spacing w:before="0" w:after="0"/>
              <w:ind w:hanging="290"/>
              <w:jc w:val="left"/>
              <w:rPr>
                <w:szCs w:val="24"/>
              </w:rPr>
            </w:pPr>
            <w:r w:rsidRPr="005C3B55">
              <w:t>joint action for mitigation or adaptation to climate change,</w:t>
            </w:r>
          </w:p>
          <w:p w:rsidR="00C21266" w:rsidRPr="005C3B55" w:rsidRDefault="00C21266" w:rsidP="006E20B6">
            <w:pPr>
              <w:numPr>
                <w:ilvl w:val="0"/>
                <w:numId w:val="959"/>
              </w:numPr>
              <w:spacing w:before="0" w:after="0"/>
              <w:ind w:hanging="290"/>
              <w:jc w:val="left"/>
              <w:rPr>
                <w:szCs w:val="24"/>
              </w:rPr>
            </w:pPr>
            <w:r w:rsidRPr="005C3B55">
              <w:t>joint approaches to environmental projects and ongoing environmental practices (especially in relation to nature protection contents within Natura 2000 sites), including efficient water management, the use of renewable energy and the preservation of the agricultural landscape,</w:t>
            </w:r>
          </w:p>
          <w:p w:rsidR="00C21266" w:rsidRPr="005C3B55" w:rsidRDefault="00C21266" w:rsidP="006E20B6">
            <w:pPr>
              <w:numPr>
                <w:ilvl w:val="0"/>
                <w:numId w:val="959"/>
              </w:numPr>
              <w:spacing w:before="0" w:after="240"/>
              <w:ind w:hanging="290"/>
              <w:jc w:val="left"/>
              <w:rPr>
                <w:szCs w:val="24"/>
              </w:rPr>
            </w:pPr>
            <w:r w:rsidRPr="005C3B55">
              <w:t>diversification of farming activities into activities concerning health care, social integration, community-supported agriculture and education on the environment and food.</w:t>
            </w:r>
          </w:p>
          <w:p w:rsidR="00C21266" w:rsidRPr="005C3B55" w:rsidRDefault="00C21266">
            <w:pPr>
              <w:spacing w:before="240" w:after="240"/>
              <w:rPr>
                <w:szCs w:val="24"/>
              </w:rPr>
            </w:pPr>
            <w:r w:rsidRPr="005C3B55">
              <w:t>Cooperation in the above-mentioned areas can be ensured in various forms which include at least two entities, and especially:</w:t>
            </w:r>
          </w:p>
          <w:p w:rsidR="00C21266" w:rsidRPr="005C3B55" w:rsidRDefault="00C21266" w:rsidP="00C21266">
            <w:pPr>
              <w:numPr>
                <w:ilvl w:val="0"/>
                <w:numId w:val="960"/>
              </w:numPr>
              <w:spacing w:before="240" w:after="0"/>
              <w:jc w:val="left"/>
              <w:rPr>
                <w:szCs w:val="24"/>
              </w:rPr>
            </w:pPr>
            <w:r w:rsidRPr="005C3B55">
              <w:t>cooperation approaches among different actors in the Union agriculture sector, food chain and forestry sector and other actors that contribute to achieving the objectives and priorities of rural development policy, including producer groups, cooperatives and inter-branch organisations;</w:t>
            </w:r>
          </w:p>
          <w:p w:rsidR="00C21266" w:rsidRPr="005C3B55" w:rsidRDefault="00C21266" w:rsidP="006E20B6">
            <w:pPr>
              <w:numPr>
                <w:ilvl w:val="0"/>
                <w:numId w:val="960"/>
              </w:numPr>
              <w:spacing w:before="0" w:after="240"/>
              <w:ind w:hanging="347"/>
              <w:jc w:val="left"/>
              <w:rPr>
                <w:szCs w:val="24"/>
              </w:rPr>
            </w:pPr>
            <w:r w:rsidRPr="005C3B55">
              <w:t>the establishment and operation of operational groups of the EIP for agricultural productivity and sustainability.</w:t>
            </w:r>
          </w:p>
          <w:p w:rsidR="00C21266" w:rsidRPr="005C3B55" w:rsidRDefault="00C21266">
            <w:pPr>
              <w:spacing w:before="240" w:after="240"/>
              <w:rPr>
                <w:szCs w:val="24"/>
              </w:rPr>
            </w:pPr>
            <w:r w:rsidRPr="005C3B55">
              <w:t>Operational groups of the European Innovation Partnership (EIP) are founded by interested entities, such as farmers, researchers, advisers, enterprises, non-governmental organisations and other participants that operate in the agricultural and food sector with the purpose of filling the gaps between research and agricultural practice by stimulating the more rapid and extensive use of innovative solutions – innovations – in practice.</w:t>
            </w:r>
          </w:p>
          <w:p w:rsidR="00C21266" w:rsidRPr="005C3B55" w:rsidRDefault="00C21266">
            <w:pPr>
              <w:spacing w:before="240" w:after="240"/>
              <w:rPr>
                <w:szCs w:val="24"/>
              </w:rPr>
            </w:pPr>
            <w:r w:rsidRPr="005C3B55">
              <w:t xml:space="preserve">Innovation is defined as a new idea that is successful in practice. It may be a new product, practice, service, production process or a new method of organisation, adjustment of existing techniques and practices to new geographical, environmental contexts, etc. The close cooperation of all players dealing with innovations is expected in such an interactive innovation model. </w:t>
            </w:r>
          </w:p>
          <w:p w:rsidR="00C21266" w:rsidRPr="005C3B55" w:rsidRDefault="00C21266">
            <w:pPr>
              <w:spacing w:before="240" w:after="240"/>
              <w:rPr>
                <w:szCs w:val="24"/>
              </w:rPr>
            </w:pPr>
            <w:r w:rsidRPr="005C3B55">
              <w:t>Operational groups of the EIP must have clearly defined mutual relations and responsibilities and must be operational, meaning that they must be involved in the search for innovative solutions to actual and existing problems. It is essential that the group transparently disseminate results, including via the European EIP network and National Rural Network. Operational groups of the EIP are established and operate pursuant to Articles 56 and 57 of Regulation (EU) No 1305/2013.</w:t>
            </w:r>
          </w:p>
          <w:p w:rsidR="00C21266" w:rsidRPr="005C3B55" w:rsidRDefault="00C21266">
            <w:pPr>
              <w:spacing w:before="240" w:after="240"/>
              <w:rPr>
                <w:szCs w:val="24"/>
              </w:rPr>
            </w:pPr>
            <w:r w:rsidRPr="005C3B55">
              <w:t>The measure is implemented through four sub-measures:</w:t>
            </w:r>
          </w:p>
          <w:p w:rsidR="00C21266" w:rsidRPr="005C3B55" w:rsidRDefault="00C21266" w:rsidP="006E20B6">
            <w:pPr>
              <w:numPr>
                <w:ilvl w:val="0"/>
                <w:numId w:val="961"/>
              </w:numPr>
              <w:spacing w:before="240" w:after="0"/>
              <w:ind w:hanging="290"/>
              <w:jc w:val="left"/>
              <w:rPr>
                <w:szCs w:val="24"/>
              </w:rPr>
            </w:pPr>
            <w:r w:rsidRPr="005C3B55">
              <w:t>Support for pilot projects and for the development of new products, practices, processes and technologies (sub-measure M16.2);</w:t>
            </w:r>
          </w:p>
          <w:p w:rsidR="00C21266" w:rsidRPr="005C3B55" w:rsidRDefault="00C21266" w:rsidP="006E20B6">
            <w:pPr>
              <w:numPr>
                <w:ilvl w:val="0"/>
                <w:numId w:val="961"/>
              </w:numPr>
              <w:spacing w:before="0" w:after="0"/>
              <w:ind w:hanging="290"/>
              <w:jc w:val="left"/>
              <w:rPr>
                <w:szCs w:val="24"/>
              </w:rPr>
            </w:pPr>
            <w:r w:rsidRPr="005C3B55">
              <w:t>Support for horizontal and vertical cooperation between stakeholders in the supply chain aimed at establishing and developing short supply chains and local markets and for promotion activities at the local level which are related to developing short supply chains and local markets (sub-measure M16.4);</w:t>
            </w:r>
          </w:p>
          <w:p w:rsidR="00C21266" w:rsidRPr="005C3B55" w:rsidRDefault="00C21266" w:rsidP="006E20B6">
            <w:pPr>
              <w:numPr>
                <w:ilvl w:val="0"/>
                <w:numId w:val="961"/>
              </w:numPr>
              <w:spacing w:before="0" w:after="0"/>
              <w:ind w:hanging="290"/>
              <w:jc w:val="left"/>
              <w:rPr>
                <w:szCs w:val="24"/>
              </w:rPr>
            </w:pPr>
            <w:r w:rsidRPr="005C3B55">
              <w:t>Support for joint measures aimed at mitigating climate change or adapting to climate change and for joint approaches to environmental projects and permanent environmental practices (sub-measure M16.5);</w:t>
            </w:r>
          </w:p>
          <w:p w:rsidR="00C21266" w:rsidRPr="005C3B55" w:rsidRDefault="00C21266" w:rsidP="006E20B6">
            <w:pPr>
              <w:numPr>
                <w:ilvl w:val="0"/>
                <w:numId w:val="961"/>
              </w:numPr>
              <w:spacing w:before="0" w:after="240"/>
              <w:ind w:hanging="290"/>
              <w:jc w:val="left"/>
              <w:rPr>
                <w:szCs w:val="24"/>
              </w:rPr>
            </w:pPr>
            <w:r w:rsidRPr="005C3B55">
              <w:t>Support for diversification of farming activities into activities concerning health care, social integration, community-supported agriculture and education on the environment and food (sub-measure M16.9).</w:t>
            </w:r>
          </w:p>
          <w:p w:rsidR="00C21266" w:rsidRPr="005C3B55" w:rsidRDefault="00C21266">
            <w:pPr>
              <w:spacing w:before="240" w:after="240"/>
              <w:rPr>
                <w:szCs w:val="24"/>
              </w:rPr>
            </w:pPr>
            <w:r w:rsidRPr="005C3B55">
              <w:t>Support under the M16 sub-measure focuses on the sixth action area referred to in the RDP 2014–2020 determined in Chapter 5.1 of the RDP 2014–2020.</w:t>
            </w:r>
          </w:p>
          <w:p w:rsidR="00C21266" w:rsidRPr="005C3B55" w:rsidRDefault="00C21266">
            <w:pPr>
              <w:spacing w:before="240" w:after="240"/>
              <w:rPr>
                <w:szCs w:val="24"/>
              </w:rPr>
            </w:pPr>
            <w:r w:rsidRPr="005C3B55">
              <w:rPr>
                <w:b/>
              </w:rPr>
              <w:t>Contribution to the priority area</w:t>
            </w:r>
          </w:p>
          <w:p w:rsidR="00C21266" w:rsidRPr="005C3B55" w:rsidRDefault="00C21266">
            <w:pPr>
              <w:spacing w:before="240" w:after="240"/>
              <w:rPr>
                <w:szCs w:val="24"/>
              </w:rPr>
            </w:pPr>
            <w:r w:rsidRPr="005C3B55">
              <w:rPr>
                <w:b/>
                <w:i/>
              </w:rPr>
              <w:t>Priority area 1B: Strengthening links between agriculture and forestry as well as research and innovation</w:t>
            </w:r>
          </w:p>
          <w:p w:rsidR="00C21266" w:rsidRPr="005C3B55" w:rsidRDefault="00C21266">
            <w:pPr>
              <w:spacing w:before="240" w:after="240"/>
              <w:rPr>
                <w:szCs w:val="24"/>
              </w:rPr>
            </w:pPr>
            <w:r w:rsidRPr="005C3B55">
              <w:t>Within the scope of this focus area, this measure will contribute to improving the efficiency of cooperation and strengthening connections between various participants in order to develop, test, introduce and disseminate the latest findings, innovations, technologies, knowledge etc. in the field of productivity and sustainability.</w:t>
            </w:r>
          </w:p>
          <w:p w:rsidR="00C21266" w:rsidRPr="005C3B55" w:rsidRDefault="00C21266">
            <w:pPr>
              <w:spacing w:before="240" w:after="240"/>
              <w:rPr>
                <w:szCs w:val="24"/>
              </w:rPr>
            </w:pPr>
            <w:r w:rsidRPr="005C3B55">
              <w:rPr>
                <w:b/>
                <w:i/>
              </w:rPr>
              <w:t>Priority area 2A: Enabling easier restructuring of farms, particularly farms with low levels of market participation, farms with market-orientation in individual sectors and farms requiring agricultural diversification</w:t>
            </w:r>
          </w:p>
          <w:p w:rsidR="00C21266" w:rsidRPr="005C3B55" w:rsidRDefault="00C21266">
            <w:pPr>
              <w:spacing w:before="240" w:after="240"/>
              <w:rPr>
                <w:szCs w:val="24"/>
              </w:rPr>
            </w:pPr>
            <w:r w:rsidRPr="005C3B55">
              <w:t>Within the scope of this priority area, the measure will contribute to optimising the productive potential of farms, development, testing and introducing modern technologies and processes in production and processing procedures, with the purpose of optimising production and stocking and reducing dependence on climate conditions and negative impacts on the environment. This measure will raise productivity by developing new products, practices, procedures and technologies in the field of agriculture.</w:t>
            </w:r>
          </w:p>
          <w:p w:rsidR="00C21266" w:rsidRPr="005C3B55" w:rsidRDefault="00C21266">
            <w:pPr>
              <w:spacing w:before="240" w:after="240"/>
              <w:rPr>
                <w:szCs w:val="24"/>
              </w:rPr>
            </w:pPr>
            <w:r w:rsidRPr="005C3B55">
              <w:rPr>
                <w:b/>
                <w:i/>
              </w:rPr>
              <w:t>Priority area 3A: Enhancing the inclusion of primary producers in the food chain through quality schemes, promotion in local markets, short supply chains, producer groups and inter-branch organisations and promotion of animal welfare</w:t>
            </w:r>
          </w:p>
          <w:p w:rsidR="00C21266" w:rsidRPr="005C3B55" w:rsidRDefault="00C21266">
            <w:pPr>
              <w:spacing w:before="240" w:after="240"/>
              <w:rPr>
                <w:szCs w:val="24"/>
              </w:rPr>
            </w:pPr>
            <w:r w:rsidRPr="005C3B55">
              <w:t>Within the scope of this priority area, the measure will contribute to the efficient inclusion of agricultural producers in the food chain, enhancing horizontal and vertical connections among agricultural holdings in functional short supply chains and contribute to cooperation with the purpose of informing and promoting the development and existence of short supply chains and local markets.</w:t>
            </w:r>
          </w:p>
          <w:p w:rsidR="00C21266" w:rsidRPr="005C3B55" w:rsidRDefault="00C21266">
            <w:pPr>
              <w:spacing w:before="240" w:after="240"/>
              <w:rPr>
                <w:szCs w:val="24"/>
              </w:rPr>
            </w:pPr>
            <w:r w:rsidRPr="005C3B55">
              <w:rPr>
                <w:b/>
                <w:i/>
              </w:rPr>
              <w:t xml:space="preserve">Priority area 4A: Restoring, preserving and enhancing biodiversity, including within Natura 2000 sites, and in high nature value farming systems, and the state of European landscapes </w:t>
            </w:r>
          </w:p>
          <w:p w:rsidR="00C21266" w:rsidRPr="005C3B55" w:rsidRDefault="00C21266">
            <w:pPr>
              <w:spacing w:before="240" w:after="240"/>
              <w:rPr>
                <w:szCs w:val="24"/>
              </w:rPr>
            </w:pPr>
            <w:r w:rsidRPr="005C3B55">
              <w:t>Within the scope of this focus area, the measure will contribute to enhancing efficient forms of cooperation among various entities, which will contribute to preserving biodiversity, achieving the Natura 2000 goals, maintaining farming systems with high natural value and landscape diversity and strengthening innovative approaches and forms of cooperation in the field of sustainable farming. As a priority within the cooperation measure, the projects will be supported that contribute to the attainment of environmental and nature protection goals, especially in connection with improving the situation of habitats and species within NATURA 2000 sites and care for, and efficient management of, natural assets. In this context, the project of cooperation will be focused on the fields of diversified grasslands which are important for conserving biotic diversity: ecologically important areas of specific grassland habitats, grassland habitats of butterflies and litter-raking birch stands, central areas of occurrence of birds of wet extensive pastures, the most vulnerable areas within NATURA 2000 that comprise diversified grassland with a poor state of conservation.</w:t>
            </w:r>
          </w:p>
          <w:p w:rsidR="00C21266" w:rsidRPr="005C3B55" w:rsidRDefault="00C21266">
            <w:pPr>
              <w:spacing w:before="240" w:after="240"/>
              <w:rPr>
                <w:szCs w:val="24"/>
              </w:rPr>
            </w:pPr>
            <w:r w:rsidRPr="005C3B55">
              <w:rPr>
                <w:b/>
                <w:i/>
              </w:rPr>
              <w:t xml:space="preserve">Priority area 4B: Improving water and land management, and contributing to the fulfilment of the objectives of the Water Framework Directive </w:t>
            </w:r>
          </w:p>
          <w:p w:rsidR="00C21266" w:rsidRPr="005C3B55" w:rsidRDefault="00C21266">
            <w:pPr>
              <w:spacing w:before="240" w:after="240"/>
              <w:rPr>
                <w:szCs w:val="24"/>
              </w:rPr>
            </w:pPr>
            <w:r w:rsidRPr="005C3B55">
              <w:t>Within the scope of this priority area, the measure will contribute to enhancing efficient forms of cooperation among various entities, which will contribute to water protection and to strengthening innovative approaches and cooperation in the field of improving the condition of surface water and groundwater. Within this measure, special emphasis will be put on cooperation projects aimed at increasing the sustainability of agriculture in areas which are problematic from the aspect of dispersed pollution of agricultural origin. These are catchment areas of surface waters and groundwater referred to in the Water Management Plan where objectives of the Water Framework Directive will not be attained, and catchment areas of the retention basins of Šmartinsko, Perniško, Gajševsko and Ledavsko lakes.</w:t>
            </w:r>
          </w:p>
          <w:p w:rsidR="00C21266" w:rsidRPr="005C3B55" w:rsidRDefault="00C21266">
            <w:pPr>
              <w:spacing w:before="240" w:after="240"/>
              <w:rPr>
                <w:szCs w:val="24"/>
              </w:rPr>
            </w:pPr>
            <w:r w:rsidRPr="005C3B55">
              <w:rPr>
                <w:b/>
                <w:i/>
              </w:rPr>
              <w:t>Priority area 6A: Facilitating diversification, the creation and development of small enterprises and job creation</w:t>
            </w:r>
          </w:p>
          <w:p w:rsidR="00C21266" w:rsidRPr="005C3B55" w:rsidRDefault="00C21266">
            <w:pPr>
              <w:spacing w:before="240" w:after="240"/>
              <w:rPr>
                <w:szCs w:val="24"/>
              </w:rPr>
            </w:pPr>
            <w:r w:rsidRPr="005C3B55">
              <w:t>Within the scope of this focus area, the measure will contribute to enhancing efficient forms of cooperation among various entities, which will contribute to the diversification of activities in the countryside and on farms. Special emphasis will be put on content and activities connected with strengthening the social component in the countryside, socially responsible projects and enhancing knowledge transfer from the field of innovative environmental approaches and solutions.</w:t>
            </w:r>
          </w:p>
          <w:p w:rsidR="00C21266" w:rsidRPr="005C3B55" w:rsidRDefault="00C21266">
            <w:pPr>
              <w:spacing w:before="240" w:after="240"/>
              <w:rPr>
                <w:szCs w:val="24"/>
              </w:rPr>
            </w:pPr>
            <w:r w:rsidRPr="005C3B55">
              <w:rPr>
                <w:b/>
              </w:rPr>
              <w:t xml:space="preserve">Contribution to horizontal objectives </w:t>
            </w:r>
          </w:p>
          <w:p w:rsidR="00C21266" w:rsidRPr="005C3B55" w:rsidRDefault="00C21266">
            <w:pPr>
              <w:spacing w:before="240" w:after="240"/>
              <w:rPr>
                <w:szCs w:val="24"/>
              </w:rPr>
            </w:pPr>
            <w:r w:rsidRPr="005C3B55">
              <w:rPr>
                <w:b/>
                <w:i/>
              </w:rPr>
              <w:t>Innovation:</w:t>
            </w:r>
            <w:r w:rsidRPr="005C3B55">
              <w:t xml:space="preserve"> The key content and results of projects supported within the scope of the cooperation measure will be innovations which comprise technological, process and services-related aspects. It is important that new innovative ideas and solutions are transferred and established in practice among final users who otherwise do not have access to such information and knowledge, which is mostly the consequence of the poor connection between research and practice. Cooperation projects and the operations of operational groups of the EIP are good tools for improving the mutual flow of information among users in the field and research sphere.</w:t>
            </w:r>
          </w:p>
          <w:p w:rsidR="00C21266" w:rsidRPr="005C3B55" w:rsidRDefault="00C21266">
            <w:pPr>
              <w:spacing w:before="240" w:after="240"/>
              <w:rPr>
                <w:szCs w:val="24"/>
              </w:rPr>
            </w:pPr>
            <w:r w:rsidRPr="005C3B55">
              <w:rPr>
                <w:b/>
                <w:i/>
              </w:rPr>
              <w:t xml:space="preserve">Mitigating and adapting to climate change: </w:t>
            </w:r>
            <w:r w:rsidRPr="005C3B55">
              <w:t>Supported activities within the scope of this measure will enhance the mitigation and adaptation to climate change by implementing projects which result in new technologies, adapted processes and the transfer of good practices. The emphasis will be on finding ways to restructure agricultural practices and infrastructure by developing modern techniques, materials and products which take climate change into consideration and have an insignificant contribution to climate change.</w:t>
            </w:r>
          </w:p>
          <w:p w:rsidR="00C21266" w:rsidRPr="005C3B55" w:rsidRDefault="00C21266">
            <w:pPr>
              <w:spacing w:before="240" w:after="240"/>
              <w:rPr>
                <w:szCs w:val="24"/>
              </w:rPr>
            </w:pPr>
            <w:r w:rsidRPr="005C3B55">
              <w:rPr>
                <w:b/>
                <w:i/>
              </w:rPr>
              <w:t>Environment</w:t>
            </w:r>
            <w:r w:rsidRPr="005C3B55">
              <w:rPr>
                <w:i/>
              </w:rPr>
              <w:t>:</w:t>
            </w:r>
            <w:r w:rsidRPr="005C3B55">
              <w:t xml:space="preserve"> All projects supported by the M16 measure will have to demonstrate the inclusion of environmental content or a contribution to achieving environmental goals. Certain projects will focus particularly and specifically on this area. Special attention will be paid to projects which demonstrate cooperation with the purpose of defining new and efficient approaches to resolving nature conservation problems, with an emphasis on protecting habitats and preserving biodiversity in accordance with the NATURA 2000 objectives and the objectives of the Water Framework Directive.</w:t>
            </w:r>
          </w:p>
          <w:p w:rsidR="00C21266" w:rsidRPr="005C3B55" w:rsidRDefault="00C21266">
            <w:pPr>
              <w:pStyle w:val="Telobesedila"/>
              <w:rPr>
                <w:lang w:eastAsia="en-GB" w:bidi="en-GB"/>
              </w:rPr>
            </w:pPr>
          </w:p>
        </w:tc>
      </w:tr>
    </w:tbl>
    <w:p w:rsidR="00C21266" w:rsidRPr="005C3B55" w:rsidRDefault="00C21266" w:rsidP="00C21266">
      <w:pPr>
        <w:pStyle w:val="Naslov4"/>
        <w:tabs>
          <w:tab w:val="clear" w:pos="765"/>
        </w:tabs>
        <w:ind w:left="0" w:firstLine="0"/>
        <w:jc w:val="left"/>
        <w:rPr>
          <w:lang w:val="en-GB" w:eastAsia="en-GB" w:bidi="en-GB"/>
        </w:rPr>
      </w:pPr>
      <w:r w:rsidRPr="005C3B55">
        <w:rPr>
          <w:lang w:val="en-GB"/>
        </w:rPr>
        <w:t>Scope and rate of support and beneficiaries, and, where relevant, methodology for the calculating the amount or level of support, if necessary broken down by sub-measures and/or the type of operation. Determine eligible costs, conditions for eligibility, valid amounts and rates of support and principles regarding the definition of selection criteria for each type of operation</w:t>
      </w:r>
    </w:p>
    <w:p w:rsidR="00C21266" w:rsidRPr="005C3B55" w:rsidRDefault="00C21266" w:rsidP="00C21266">
      <w:pPr>
        <w:pStyle w:val="Naslov5"/>
        <w:tabs>
          <w:tab w:val="clear" w:pos="765"/>
        </w:tabs>
        <w:ind w:left="0" w:firstLine="0"/>
        <w:rPr>
          <w:b w:val="0"/>
          <w:lang w:val="en-GB"/>
        </w:rPr>
      </w:pPr>
      <w:r w:rsidRPr="005C3B55">
        <w:rPr>
          <w:b w:val="0"/>
          <w:lang w:val="en-GB"/>
        </w:rPr>
        <w:t>Short supply chains and local markets</w:t>
      </w:r>
    </w:p>
    <w:p w:rsidR="00C21266" w:rsidRPr="005C3B55" w:rsidRDefault="00C21266" w:rsidP="00C21266">
      <w:r w:rsidRPr="005C3B55">
        <w:t xml:space="preserve">Sub-measure: </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numPr>
                <w:ilvl w:val="0"/>
                <w:numId w:val="962"/>
              </w:numPr>
              <w:rPr>
                <w:rFonts w:eastAsia="Calibri"/>
              </w:rPr>
            </w:pPr>
            <w:r w:rsidRPr="005C3B55">
              <w:t>16.1 - Support for establishing and the operation of operating groups of European partnership for innovations in the field of agricultural productivity and sustainability.</w:t>
            </w:r>
          </w:p>
          <w:p w:rsidR="00C21266" w:rsidRPr="005C3B55" w:rsidRDefault="00C21266">
            <w:pPr>
              <w:numPr>
                <w:ilvl w:val="0"/>
                <w:numId w:val="962"/>
              </w:numPr>
              <w:rPr>
                <w:rFonts w:eastAsia="Calibri"/>
                <w:lang w:eastAsia="en-GB" w:bidi="en-GB"/>
              </w:rPr>
            </w:pPr>
            <w:r w:rsidRPr="005C3B55">
              <w:t>16.4 – Support for horizontal and vertical cooperation between stakeholders in the supply chain aimed at establishing and developing short supply chains and local markets and for promotion activities at the local level which are related to developing short supply chains and local markets</w:t>
            </w:r>
          </w:p>
        </w:tc>
      </w:tr>
    </w:tbl>
    <w:p w:rsidR="00C21266" w:rsidRPr="005C3B55" w:rsidRDefault="00C21266" w:rsidP="00C21266">
      <w:pPr>
        <w:pStyle w:val="Naslov6"/>
        <w:tabs>
          <w:tab w:val="clear" w:pos="765"/>
        </w:tabs>
        <w:ind w:left="0" w:firstLine="0"/>
        <w:rPr>
          <w:lang w:val="en-GB" w:eastAsia="en-GB" w:bidi="en-GB"/>
        </w:rPr>
      </w:pPr>
      <w:r w:rsidRPr="005C3B55">
        <w:rPr>
          <w:lang w:val="en-GB"/>
        </w:rPr>
        <w:t>Description of type of operation</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The purpose of the sub-measure is cooperation between various players in the field of agriculture and development of rural area in implementing projects related to short supply chains and local markets that contribute to attaining objectives of rural development.</w:t>
            </w:r>
          </w:p>
          <w:p w:rsidR="00C21266" w:rsidRPr="005C3B55" w:rsidRDefault="00C21266">
            <w:pPr>
              <w:spacing w:before="240" w:after="240"/>
              <w:rPr>
                <w:szCs w:val="24"/>
              </w:rPr>
            </w:pPr>
            <w:r w:rsidRPr="005C3B55">
              <w:t>The sub-measure will support projects of cooperation the results of which will be the establishment of a new short supply chain and local markets, as well as innovative approaches in the areas concerned and projects of promotional activities at the local level related to the development of short supply chains and local markets. Promotional activities have to refer entirely to short supply chains and local markets, not only to a certain number of individual products which originate from them. They are intended for the promotion of the advantages and benefits of short supply chains and local markets, the enhancement of their use and raising consumer awareness.</w:t>
            </w:r>
          </w:p>
          <w:p w:rsidR="00C21266" w:rsidRPr="005C3B55" w:rsidRDefault="00C21266">
            <w:pPr>
              <w:pStyle w:val="Telobesedila"/>
              <w:rPr>
                <w:lang w:eastAsia="en-GB" w:bidi="en-GB"/>
              </w:rPr>
            </w:pPr>
          </w:p>
        </w:tc>
      </w:tr>
    </w:tbl>
    <w:p w:rsidR="00C21266" w:rsidRPr="005C3B55" w:rsidRDefault="00C21266" w:rsidP="00C21266">
      <w:pPr>
        <w:pStyle w:val="Naslov6"/>
        <w:tabs>
          <w:tab w:val="clear" w:pos="765"/>
        </w:tabs>
        <w:ind w:left="0" w:firstLine="0"/>
        <w:rPr>
          <w:lang w:val="en-GB" w:eastAsia="en-GB" w:bidi="en-GB"/>
        </w:rPr>
      </w:pPr>
      <w:r w:rsidRPr="005C3B55">
        <w:rPr>
          <w:lang w:val="en-GB"/>
        </w:rPr>
        <w:t>Type of support</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Public support is granted in the form of non-refundable financial aid.</w:t>
            </w:r>
          </w:p>
          <w:p w:rsidR="00C21266" w:rsidRPr="005C3B55" w:rsidRDefault="00C21266">
            <w:pPr>
              <w:spacing w:before="240" w:after="240"/>
              <w:rPr>
                <w:szCs w:val="24"/>
              </w:rPr>
            </w:pPr>
            <w:r w:rsidRPr="005C3B55">
              <w:t> </w:t>
            </w:r>
          </w:p>
          <w:p w:rsidR="00C21266" w:rsidRPr="005C3B55" w:rsidRDefault="00C21266">
            <w:pPr>
              <w:pStyle w:val="Telobesedila"/>
              <w:rPr>
                <w:lang w:eastAsia="en-GB" w:bidi="en-GB"/>
              </w:rPr>
            </w:pPr>
          </w:p>
        </w:tc>
      </w:tr>
    </w:tbl>
    <w:p w:rsidR="00C21266" w:rsidRPr="005C3B55" w:rsidRDefault="00C21266" w:rsidP="00C21266">
      <w:pPr>
        <w:pStyle w:val="Naslov6"/>
        <w:tabs>
          <w:tab w:val="clear" w:pos="765"/>
        </w:tabs>
        <w:ind w:left="0" w:firstLine="0"/>
        <w:rPr>
          <w:lang w:val="en-GB" w:eastAsia="en-GB" w:bidi="en-GB"/>
        </w:rPr>
      </w:pPr>
      <w:r w:rsidRPr="005C3B55">
        <w:rPr>
          <w:lang w:val="en-GB"/>
        </w:rPr>
        <w:t>Connection with other legislation</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rsidP="006E20B6">
            <w:pPr>
              <w:numPr>
                <w:ilvl w:val="0"/>
                <w:numId w:val="963"/>
              </w:numPr>
              <w:spacing w:before="0" w:after="0"/>
              <w:ind w:hanging="290"/>
              <w:jc w:val="left"/>
              <w:rPr>
                <w:rFonts w:eastAsia="Calibri"/>
                <w:szCs w:val="24"/>
              </w:rPr>
            </w:pPr>
            <w:r w:rsidRPr="005C3B55">
              <w:t>Agriculture Act (Official Gazette of the Republic of Slovenia, no. 45/2008 with all amendments);</w:t>
            </w:r>
          </w:p>
          <w:p w:rsidR="00C21266" w:rsidRPr="005C3B55" w:rsidRDefault="00C21266" w:rsidP="006E20B6">
            <w:pPr>
              <w:numPr>
                <w:ilvl w:val="0"/>
                <w:numId w:val="963"/>
              </w:numPr>
              <w:spacing w:before="0" w:after="0"/>
              <w:ind w:hanging="290"/>
              <w:jc w:val="left"/>
              <w:rPr>
                <w:szCs w:val="24"/>
              </w:rPr>
            </w:pPr>
            <w:r w:rsidRPr="005C3B55">
              <w:t>national regulation which regulates the implementation of this sub-measure;</w:t>
            </w:r>
          </w:p>
          <w:p w:rsidR="00C21266" w:rsidRPr="005C3B55" w:rsidRDefault="00C21266" w:rsidP="006E20B6">
            <w:pPr>
              <w:numPr>
                <w:ilvl w:val="0"/>
                <w:numId w:val="963"/>
              </w:numPr>
              <w:spacing w:before="0" w:after="240"/>
              <w:ind w:hanging="290"/>
              <w:jc w:val="left"/>
              <w:rPr>
                <w:szCs w:val="24"/>
              </w:rPr>
            </w:pPr>
            <w:r w:rsidRPr="005C3B55">
              <w:t>other EU and national legislation on the field of this operation.</w:t>
            </w:r>
          </w:p>
          <w:p w:rsidR="00C21266" w:rsidRPr="005C3B55" w:rsidRDefault="00C21266">
            <w:pPr>
              <w:pStyle w:val="Telobesedila"/>
              <w:rPr>
                <w:lang w:eastAsia="en-GB" w:bidi="en-GB"/>
              </w:rPr>
            </w:pPr>
          </w:p>
        </w:tc>
      </w:tr>
    </w:tbl>
    <w:p w:rsidR="00C21266" w:rsidRPr="005C3B55" w:rsidRDefault="00C21266" w:rsidP="00C21266">
      <w:pPr>
        <w:pStyle w:val="Naslov6"/>
        <w:tabs>
          <w:tab w:val="clear" w:pos="765"/>
        </w:tabs>
        <w:ind w:left="0" w:firstLine="0"/>
        <w:rPr>
          <w:lang w:val="en-GB" w:eastAsia="en-GB" w:bidi="en-GB"/>
        </w:rPr>
      </w:pPr>
      <w:r w:rsidRPr="005C3B55">
        <w:rPr>
          <w:lang w:val="en-GB"/>
        </w:rPr>
        <w:t>Beneficiaries</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Beneficiaries within the scope of this sub-measure are various forms of cooperation which include at least two entities:</w:t>
            </w:r>
          </w:p>
          <w:p w:rsidR="00C21266" w:rsidRPr="005C3B55" w:rsidRDefault="00C21266" w:rsidP="00C21266">
            <w:pPr>
              <w:numPr>
                <w:ilvl w:val="0"/>
                <w:numId w:val="964"/>
              </w:numPr>
              <w:spacing w:before="240" w:after="0"/>
              <w:jc w:val="left"/>
              <w:rPr>
                <w:szCs w:val="24"/>
              </w:rPr>
            </w:pPr>
            <w:r w:rsidRPr="005C3B55">
              <w:t>cooperation approaches among different entities in the agriculture sector, food chain and forestry sector and other participants that contribute to achieving the objectives and priorities of the rural development policy, including producer groups, cooperatives and inter-branch organisations;</w:t>
            </w:r>
          </w:p>
          <w:p w:rsidR="00C21266" w:rsidRPr="005C3B55" w:rsidRDefault="00C21266" w:rsidP="006E20B6">
            <w:pPr>
              <w:numPr>
                <w:ilvl w:val="0"/>
                <w:numId w:val="964"/>
              </w:numPr>
              <w:spacing w:before="0" w:after="240"/>
              <w:ind w:hanging="347"/>
              <w:jc w:val="left"/>
              <w:rPr>
                <w:szCs w:val="24"/>
              </w:rPr>
            </w:pPr>
            <w:r w:rsidRPr="005C3B55">
              <w:t>operational groups of the EIP for agricultural productivity and sustainability.</w:t>
            </w:r>
          </w:p>
          <w:p w:rsidR="00C21266" w:rsidRPr="005C3B55" w:rsidRDefault="00C21266">
            <w:pPr>
              <w:pStyle w:val="Telobesedila"/>
              <w:rPr>
                <w:lang w:eastAsia="en-GB" w:bidi="en-GB"/>
              </w:rPr>
            </w:pPr>
          </w:p>
        </w:tc>
      </w:tr>
    </w:tbl>
    <w:p w:rsidR="00C21266" w:rsidRPr="005C3B55" w:rsidRDefault="00C21266" w:rsidP="00C21266">
      <w:pPr>
        <w:pStyle w:val="Naslov6"/>
        <w:tabs>
          <w:tab w:val="clear" w:pos="765"/>
        </w:tabs>
        <w:ind w:left="0" w:firstLine="0"/>
        <w:rPr>
          <w:lang w:val="en-GB" w:eastAsia="en-GB" w:bidi="en-GB"/>
        </w:rPr>
      </w:pPr>
      <w:r w:rsidRPr="005C3B55">
        <w:rPr>
          <w:lang w:val="en-GB"/>
        </w:rPr>
        <w:t>Eligible costs</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The following costs under Article 35 of Regulation (EU) No 1305/2013 are eligible for support within the scope of this sub-measure:</w:t>
            </w:r>
          </w:p>
          <w:p w:rsidR="00C21266" w:rsidRPr="005C3B55" w:rsidRDefault="00C21266" w:rsidP="006E20B6">
            <w:pPr>
              <w:numPr>
                <w:ilvl w:val="0"/>
                <w:numId w:val="965"/>
              </w:numPr>
              <w:spacing w:before="240" w:after="0"/>
              <w:ind w:hanging="290"/>
              <w:jc w:val="left"/>
              <w:rPr>
                <w:szCs w:val="24"/>
              </w:rPr>
            </w:pPr>
            <w:r w:rsidRPr="005C3B55">
              <w:t>running costs of cooperation related to implementing the project;</w:t>
            </w:r>
          </w:p>
          <w:p w:rsidR="00C21266" w:rsidRPr="005C3B55" w:rsidRDefault="00C21266" w:rsidP="006E20B6">
            <w:pPr>
              <w:numPr>
                <w:ilvl w:val="0"/>
                <w:numId w:val="965"/>
              </w:numPr>
              <w:spacing w:before="0" w:after="0"/>
              <w:ind w:hanging="290"/>
              <w:jc w:val="left"/>
              <w:rPr>
                <w:szCs w:val="24"/>
              </w:rPr>
            </w:pPr>
            <w:r w:rsidRPr="005C3B55">
              <w:t>indirect costs related to implementing the project, business plan or activities;</w:t>
            </w:r>
          </w:p>
          <w:p w:rsidR="00C21266" w:rsidRPr="005C3B55" w:rsidRDefault="00C21266" w:rsidP="006E20B6">
            <w:pPr>
              <w:numPr>
                <w:ilvl w:val="0"/>
                <w:numId w:val="965"/>
              </w:numPr>
              <w:spacing w:before="0" w:after="0"/>
              <w:ind w:hanging="290"/>
              <w:jc w:val="left"/>
              <w:rPr>
                <w:szCs w:val="24"/>
              </w:rPr>
            </w:pPr>
            <w:r w:rsidRPr="005C3B55">
              <w:t>costs of establishing a cluster or network in the implementation of the project; and</w:t>
            </w:r>
          </w:p>
          <w:p w:rsidR="00C21266" w:rsidRPr="005C3B55" w:rsidRDefault="00C21266" w:rsidP="006E20B6">
            <w:pPr>
              <w:numPr>
                <w:ilvl w:val="0"/>
                <w:numId w:val="965"/>
              </w:numPr>
              <w:spacing w:before="0" w:after="240"/>
              <w:ind w:hanging="290"/>
              <w:jc w:val="left"/>
              <w:rPr>
                <w:szCs w:val="24"/>
              </w:rPr>
            </w:pPr>
            <w:r w:rsidRPr="005C3B55">
              <w:t>costs of promotional activities.</w:t>
            </w:r>
          </w:p>
          <w:p w:rsidR="00C21266" w:rsidRPr="005C3B55" w:rsidRDefault="00C21266">
            <w:pPr>
              <w:spacing w:before="240" w:after="240"/>
              <w:rPr>
                <w:szCs w:val="24"/>
              </w:rPr>
            </w:pPr>
            <w:r w:rsidRPr="005C3B55">
              <w:t>The following costs are not entitled to support:</w:t>
            </w:r>
          </w:p>
          <w:p w:rsidR="00C21266" w:rsidRPr="005C3B55" w:rsidRDefault="00C21266" w:rsidP="006E20B6">
            <w:pPr>
              <w:numPr>
                <w:ilvl w:val="0"/>
                <w:numId w:val="966"/>
              </w:numPr>
              <w:spacing w:before="240" w:after="0"/>
              <w:ind w:hanging="290"/>
              <w:jc w:val="left"/>
              <w:rPr>
                <w:szCs w:val="24"/>
              </w:rPr>
            </w:pPr>
            <w:r w:rsidRPr="005C3B55">
              <w:t>interest on debts,</w:t>
            </w:r>
          </w:p>
          <w:p w:rsidR="00C21266" w:rsidRPr="005C3B55" w:rsidRDefault="00C21266" w:rsidP="006E20B6">
            <w:pPr>
              <w:numPr>
                <w:ilvl w:val="0"/>
                <w:numId w:val="966"/>
              </w:numPr>
              <w:spacing w:before="0" w:after="0"/>
              <w:ind w:hanging="290"/>
              <w:jc w:val="left"/>
              <w:rPr>
                <w:szCs w:val="24"/>
              </w:rPr>
            </w:pPr>
            <w:r w:rsidRPr="005C3B55">
              <w:t>value added tax (VAT), unless it is recoverable on the basis of the national legislation on VAT,</w:t>
            </w:r>
          </w:p>
          <w:p w:rsidR="00C21266" w:rsidRPr="005C3B55" w:rsidRDefault="00C21266" w:rsidP="006E20B6">
            <w:pPr>
              <w:numPr>
                <w:ilvl w:val="0"/>
                <w:numId w:val="966"/>
              </w:numPr>
              <w:spacing w:before="0" w:after="0"/>
              <w:ind w:hanging="290"/>
              <w:jc w:val="left"/>
              <w:rPr>
                <w:szCs w:val="24"/>
              </w:rPr>
            </w:pPr>
            <w:r w:rsidRPr="005C3B55">
              <w:t>costs of archaeological works and archaeological supervision,</w:t>
            </w:r>
          </w:p>
          <w:p w:rsidR="00C21266" w:rsidRPr="005C3B55" w:rsidRDefault="00C21266" w:rsidP="006E20B6">
            <w:pPr>
              <w:numPr>
                <w:ilvl w:val="0"/>
                <w:numId w:val="966"/>
              </w:numPr>
              <w:spacing w:before="0" w:after="0"/>
              <w:ind w:hanging="290"/>
              <w:jc w:val="left"/>
              <w:rPr>
                <w:szCs w:val="24"/>
              </w:rPr>
            </w:pPr>
            <w:r w:rsidRPr="005C3B55">
              <w:t>cost of preparing the application for the public procurement and request for payment,</w:t>
            </w:r>
          </w:p>
          <w:p w:rsidR="00C21266" w:rsidRPr="005C3B55" w:rsidRDefault="00C21266" w:rsidP="006E20B6">
            <w:pPr>
              <w:numPr>
                <w:ilvl w:val="0"/>
                <w:numId w:val="966"/>
              </w:numPr>
              <w:spacing w:before="0" w:after="240"/>
              <w:ind w:hanging="290"/>
              <w:jc w:val="left"/>
              <w:rPr>
                <w:szCs w:val="24"/>
              </w:rPr>
            </w:pPr>
            <w:r w:rsidRPr="005C3B55">
              <w:t>in-kind contribution.</w:t>
            </w:r>
          </w:p>
          <w:p w:rsidR="00C21266" w:rsidRPr="005C3B55" w:rsidRDefault="00C21266">
            <w:pPr>
              <w:spacing w:before="240" w:after="240"/>
              <w:rPr>
                <w:szCs w:val="24"/>
              </w:rPr>
            </w:pPr>
            <w:r w:rsidRPr="005C3B55">
              <w:t>In the implementation of this sub-measure, certain specific requirements from the aspect of eligibility of costs, which will be defined in accordance with national regulations, will be taken into account.</w:t>
            </w:r>
          </w:p>
          <w:p w:rsidR="00C21266" w:rsidRPr="005C3B55" w:rsidRDefault="00C21266">
            <w:pPr>
              <w:pStyle w:val="Telobesedila"/>
              <w:rPr>
                <w:lang w:eastAsia="en-GB" w:bidi="en-GB"/>
              </w:rPr>
            </w:pPr>
          </w:p>
        </w:tc>
      </w:tr>
    </w:tbl>
    <w:p w:rsidR="00C21266" w:rsidRPr="005C3B55" w:rsidRDefault="00C21266" w:rsidP="00C21266">
      <w:pPr>
        <w:pStyle w:val="Naslov6"/>
        <w:tabs>
          <w:tab w:val="clear" w:pos="765"/>
        </w:tabs>
        <w:ind w:left="0" w:firstLine="0"/>
        <w:rPr>
          <w:lang w:val="en-GB" w:eastAsia="en-GB" w:bidi="en-GB"/>
        </w:rPr>
      </w:pPr>
      <w:r w:rsidRPr="005C3B55">
        <w:rPr>
          <w:lang w:val="en-GB"/>
        </w:rPr>
        <w:t>Conditions for eligibility</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rsidP="006E20B6">
            <w:pPr>
              <w:numPr>
                <w:ilvl w:val="0"/>
                <w:numId w:val="967"/>
              </w:numPr>
              <w:spacing w:before="0" w:after="0"/>
              <w:ind w:hanging="290"/>
              <w:jc w:val="left"/>
              <w:rPr>
                <w:rFonts w:eastAsia="Calibri"/>
                <w:szCs w:val="24"/>
              </w:rPr>
            </w:pPr>
            <w:r w:rsidRPr="005C3B55">
              <w:t>At least two partners must be included in a project partnership;</w:t>
            </w:r>
          </w:p>
          <w:p w:rsidR="00C21266" w:rsidRPr="005C3B55" w:rsidRDefault="00C21266" w:rsidP="006E20B6">
            <w:pPr>
              <w:numPr>
                <w:ilvl w:val="0"/>
                <w:numId w:val="967"/>
              </w:numPr>
              <w:spacing w:before="0" w:after="0"/>
              <w:ind w:hanging="290"/>
              <w:jc w:val="left"/>
              <w:rPr>
                <w:szCs w:val="24"/>
              </w:rPr>
            </w:pPr>
            <w:r w:rsidRPr="005C3B55">
              <w:t>Partners conclude a relationship in the cooperation entity;</w:t>
            </w:r>
          </w:p>
          <w:p w:rsidR="00C21266" w:rsidRPr="005C3B55" w:rsidRDefault="00C21266" w:rsidP="006E20B6">
            <w:pPr>
              <w:numPr>
                <w:ilvl w:val="0"/>
                <w:numId w:val="967"/>
              </w:numPr>
              <w:spacing w:before="0" w:after="0"/>
              <w:ind w:hanging="290"/>
              <w:jc w:val="left"/>
              <w:rPr>
                <w:szCs w:val="24"/>
              </w:rPr>
            </w:pPr>
            <w:r w:rsidRPr="005C3B55">
              <w:t>Settled liabilities to the state of all partners in the project;</w:t>
            </w:r>
          </w:p>
          <w:p w:rsidR="00C21266" w:rsidRPr="005C3B55" w:rsidRDefault="00C21266" w:rsidP="006E20B6">
            <w:pPr>
              <w:numPr>
                <w:ilvl w:val="0"/>
                <w:numId w:val="967"/>
              </w:numPr>
              <w:spacing w:before="0" w:after="0"/>
              <w:ind w:hanging="290"/>
              <w:jc w:val="left"/>
              <w:rPr>
                <w:szCs w:val="24"/>
              </w:rPr>
            </w:pPr>
            <w:r w:rsidRPr="005C3B55">
              <w:t>Overlapping/connection of content, results and objectives of the project with specific priorities and SWOT analysis;</w:t>
            </w:r>
          </w:p>
          <w:p w:rsidR="00C21266" w:rsidRPr="005C3B55" w:rsidRDefault="00C21266" w:rsidP="006E20B6">
            <w:pPr>
              <w:numPr>
                <w:ilvl w:val="0"/>
                <w:numId w:val="967"/>
              </w:numPr>
              <w:spacing w:before="0" w:after="0"/>
              <w:ind w:hanging="290"/>
              <w:jc w:val="left"/>
              <w:rPr>
                <w:szCs w:val="24"/>
              </w:rPr>
            </w:pPr>
            <w:r w:rsidRPr="005C3B55">
              <w:t>A drafted project plan with expected results and the adequacy of the terms of reference in terms of content;</w:t>
            </w:r>
          </w:p>
          <w:p w:rsidR="00C21266" w:rsidRPr="005C3B55" w:rsidRDefault="00C21266" w:rsidP="006E20B6">
            <w:pPr>
              <w:numPr>
                <w:ilvl w:val="0"/>
                <w:numId w:val="967"/>
              </w:numPr>
              <w:spacing w:before="0" w:after="0"/>
              <w:ind w:hanging="290"/>
              <w:jc w:val="left"/>
              <w:rPr>
                <w:szCs w:val="24"/>
              </w:rPr>
            </w:pPr>
            <w:r w:rsidRPr="005C3B55">
              <w:t>Projects already being implemented are not eligible for support;</w:t>
            </w:r>
          </w:p>
          <w:p w:rsidR="00C21266" w:rsidRPr="005C3B55" w:rsidRDefault="00C21266" w:rsidP="006E20B6">
            <w:pPr>
              <w:numPr>
                <w:ilvl w:val="0"/>
                <w:numId w:val="967"/>
              </w:numPr>
              <w:spacing w:before="0" w:after="0"/>
              <w:ind w:hanging="290"/>
              <w:jc w:val="left"/>
              <w:rPr>
                <w:szCs w:val="24"/>
              </w:rPr>
            </w:pPr>
            <w:r w:rsidRPr="005C3B55">
              <w:t>Support is intended for projects that include practical aspects and results, not for pure research projects;</w:t>
            </w:r>
          </w:p>
          <w:p w:rsidR="00C21266" w:rsidRPr="005C3B55" w:rsidRDefault="00C21266" w:rsidP="006E20B6">
            <w:pPr>
              <w:numPr>
                <w:ilvl w:val="0"/>
                <w:numId w:val="967"/>
              </w:numPr>
              <w:spacing w:before="0" w:after="240"/>
              <w:ind w:hanging="290"/>
              <w:jc w:val="left"/>
              <w:rPr>
                <w:szCs w:val="24"/>
              </w:rPr>
            </w:pPr>
            <w:r w:rsidRPr="005C3B55">
              <w:t>The results of the projects must be communicated to the interested public and submitted to target groups. The EIP network and the Network for rural development will be used to disseminate and submit the projects.</w:t>
            </w:r>
          </w:p>
          <w:p w:rsidR="00C21266" w:rsidRPr="005C3B55" w:rsidRDefault="00C21266">
            <w:pPr>
              <w:pStyle w:val="Telobesedila"/>
              <w:rPr>
                <w:lang w:eastAsia="en-GB" w:bidi="en-GB"/>
              </w:rPr>
            </w:pPr>
          </w:p>
        </w:tc>
      </w:tr>
    </w:tbl>
    <w:p w:rsidR="00C21266" w:rsidRPr="005C3B55" w:rsidRDefault="00C21266" w:rsidP="00C21266">
      <w:pPr>
        <w:pStyle w:val="Naslov6"/>
        <w:tabs>
          <w:tab w:val="clear" w:pos="765"/>
        </w:tabs>
        <w:ind w:left="0" w:firstLine="0"/>
        <w:rPr>
          <w:lang w:val="en-GB" w:eastAsia="en-GB" w:bidi="en-GB"/>
        </w:rPr>
      </w:pPr>
      <w:r w:rsidRPr="005C3B55">
        <w:rPr>
          <w:lang w:val="en-GB"/>
        </w:rPr>
        <w:t>Principles regarding the determination of selection criteria</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The sub-measure will be implemented as a closed public tender.</w:t>
            </w:r>
          </w:p>
          <w:p w:rsidR="00C21266" w:rsidRPr="005C3B55" w:rsidRDefault="00C21266">
            <w:pPr>
              <w:spacing w:before="240" w:after="240"/>
              <w:rPr>
                <w:szCs w:val="24"/>
              </w:rPr>
            </w:pPr>
            <w:r w:rsidRPr="005C3B55">
              <w:t>Selected projects whose applications are complete and adequate in terms of content and which meet the conditions for receiving funds and exceed the threshold number of points determined in the public tender will be eligible for support. Applications which score a higher number of points will be selected from among applications that exceed the threshold number of points until the funds available in the public tender are spent.</w:t>
            </w:r>
          </w:p>
          <w:p w:rsidR="00C21266" w:rsidRPr="005C3B55" w:rsidRDefault="00C21266">
            <w:pPr>
              <w:spacing w:before="240" w:after="240"/>
              <w:rPr>
                <w:szCs w:val="24"/>
              </w:rPr>
            </w:pPr>
            <w:r w:rsidRPr="005C3B55">
              <w:t>As part of the selection criteria, the greatest emphasis will be on the content and added value and its contribution to horizontal objectives. A share of co-financing the project by the beneficiary is also included in the selection criteria.</w:t>
            </w:r>
          </w:p>
          <w:p w:rsidR="00C21266" w:rsidRPr="005C3B55" w:rsidRDefault="00C21266">
            <w:pPr>
              <w:pStyle w:val="Telobesedila"/>
              <w:rPr>
                <w:lang w:eastAsia="en-GB" w:bidi="en-GB"/>
              </w:rPr>
            </w:pPr>
          </w:p>
        </w:tc>
      </w:tr>
    </w:tbl>
    <w:p w:rsidR="00C21266" w:rsidRPr="005C3B55" w:rsidRDefault="00C21266" w:rsidP="00C21266">
      <w:pPr>
        <w:pStyle w:val="Naslov6"/>
        <w:tabs>
          <w:tab w:val="clear" w:pos="765"/>
        </w:tabs>
        <w:ind w:left="0" w:firstLine="0"/>
        <w:rPr>
          <w:lang w:val="en-GB" w:eastAsia="en-GB" w:bidi="en-GB"/>
        </w:rPr>
      </w:pPr>
      <w:r w:rsidRPr="005C3B55">
        <w:rPr>
          <w:lang w:val="en-GB"/>
        </w:rPr>
        <w:t>(Valid) amounts and support rates</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The public support rate amounts to 100%of eligible costs. In cases when the beneficiary partly co-finances the costs of the project, the support rate can be lowered accordingly. The maximum and minimum permitted support rate will be determined with individual public call for tenders. A share of co-financing the costs by the beneficiary will be taken into account in the selection criteria. The support rate is reduced accordingly also in accordance with the rules on state aid.</w:t>
            </w:r>
          </w:p>
          <w:p w:rsidR="00C21266" w:rsidRPr="005C3B55" w:rsidRDefault="00C21266">
            <w:pPr>
              <w:spacing w:before="240" w:after="240"/>
              <w:rPr>
                <w:szCs w:val="24"/>
              </w:rPr>
            </w:pPr>
            <w:r w:rsidRPr="005C3B55">
              <w:t>If the project includes costs covered under other measures from this programme, the rate which corresponds to the level of this measure is to be used for these costs.</w:t>
            </w:r>
          </w:p>
          <w:p w:rsidR="00C21266" w:rsidRPr="005C3B55" w:rsidRDefault="00C21266">
            <w:pPr>
              <w:spacing w:before="240" w:after="240"/>
              <w:rPr>
                <w:szCs w:val="24"/>
              </w:rPr>
            </w:pPr>
            <w:r w:rsidRPr="005C3B55">
              <w:t>The highest amount of support per individual operation is EUR 250,000.</w:t>
            </w:r>
          </w:p>
          <w:p w:rsidR="00C21266" w:rsidRPr="005C3B55" w:rsidRDefault="00C21266">
            <w:pPr>
              <w:spacing w:before="240" w:after="240"/>
              <w:rPr>
                <w:szCs w:val="24"/>
              </w:rPr>
            </w:pPr>
            <w:r w:rsidRPr="005C3B55">
              <w:t>Support is granted for the duration of the project, but not for more than 7 years.</w:t>
            </w:r>
          </w:p>
          <w:p w:rsidR="00C21266" w:rsidRPr="005C3B55" w:rsidRDefault="00C21266">
            <w:pPr>
              <w:spacing w:before="240" w:after="240"/>
              <w:rPr>
                <w:szCs w:val="24"/>
              </w:rPr>
            </w:pPr>
            <w:r w:rsidRPr="005C3B55">
              <w:t>Pursuant to Point 4 of Article 45 of Regulation (EU) No 1305/2013, the beneficiaries of investments may apply at the paying agency for prepayment in the amount of 30% of the public support value after the issue of the decision on eligibility to means.</w:t>
            </w:r>
          </w:p>
          <w:p w:rsidR="00C21266" w:rsidRPr="005C3B55" w:rsidRDefault="00C21266">
            <w:pPr>
              <w:spacing w:before="240" w:after="240"/>
              <w:rPr>
                <w:szCs w:val="24"/>
              </w:rPr>
            </w:pPr>
            <w:r w:rsidRPr="005C3B55">
              <w:t> </w:t>
            </w:r>
          </w:p>
          <w:p w:rsidR="00C21266" w:rsidRPr="005C3B55" w:rsidRDefault="00C21266">
            <w:pPr>
              <w:pStyle w:val="Telobesedila"/>
              <w:rPr>
                <w:lang w:eastAsia="en-GB" w:bidi="en-GB"/>
              </w:rPr>
            </w:pPr>
          </w:p>
        </w:tc>
      </w:tr>
    </w:tbl>
    <w:p w:rsidR="00C21266" w:rsidRPr="005C3B55" w:rsidRDefault="00C21266" w:rsidP="00C21266">
      <w:pPr>
        <w:pStyle w:val="Naslov6"/>
        <w:tabs>
          <w:tab w:val="clear" w:pos="765"/>
        </w:tabs>
        <w:ind w:left="0" w:firstLine="0"/>
        <w:rPr>
          <w:lang w:val="en-GB" w:eastAsia="en-GB" w:bidi="en-GB"/>
        </w:rPr>
      </w:pPr>
      <w:r w:rsidRPr="005C3B55">
        <w:rPr>
          <w:lang w:val="en-GB"/>
        </w:rPr>
        <w:t>Verifiability and possibility of control of measures and/or type of operations</w:t>
      </w:r>
    </w:p>
    <w:p w:rsidR="00C21266" w:rsidRPr="005C3B55" w:rsidRDefault="00C21266" w:rsidP="00C21266">
      <w:pPr>
        <w:pStyle w:val="Naslov7"/>
        <w:tabs>
          <w:tab w:val="clear" w:pos="765"/>
        </w:tabs>
        <w:ind w:left="0" w:firstLine="0"/>
        <w:rPr>
          <w:lang w:val="en-GB"/>
        </w:rPr>
      </w:pPr>
      <w:r w:rsidRPr="005C3B55">
        <w:rPr>
          <w:lang w:val="en-GB"/>
        </w:rPr>
        <w:t>Risks in the implementation of the measure</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rPr>
                <w:b/>
              </w:rPr>
              <w:t>R7: Selection of beneficiaries</w:t>
            </w:r>
          </w:p>
          <w:p w:rsidR="00C21266" w:rsidRPr="005C3B55" w:rsidRDefault="00C21266">
            <w:pPr>
              <w:spacing w:before="240" w:after="240"/>
              <w:rPr>
                <w:szCs w:val="24"/>
              </w:rPr>
            </w:pPr>
            <w:r w:rsidRPr="005C3B55">
              <w:t>There is a risk of:</w:t>
            </w:r>
          </w:p>
          <w:p w:rsidR="00C21266" w:rsidRPr="005C3B55" w:rsidRDefault="00C21266" w:rsidP="006E20B6">
            <w:pPr>
              <w:numPr>
                <w:ilvl w:val="0"/>
                <w:numId w:val="968"/>
              </w:numPr>
              <w:spacing w:before="240" w:after="0"/>
              <w:ind w:hanging="290"/>
              <w:jc w:val="left"/>
              <w:rPr>
                <w:szCs w:val="24"/>
              </w:rPr>
            </w:pPr>
            <w:r w:rsidRPr="005C3B55">
              <w:t>misunderstanding of the measure,</w:t>
            </w:r>
          </w:p>
          <w:p w:rsidR="00C21266" w:rsidRPr="005C3B55" w:rsidRDefault="00C21266" w:rsidP="006E20B6">
            <w:pPr>
              <w:numPr>
                <w:ilvl w:val="0"/>
                <w:numId w:val="968"/>
              </w:numPr>
              <w:spacing w:before="0" w:after="0"/>
              <w:ind w:hanging="290"/>
              <w:jc w:val="left"/>
              <w:rPr>
                <w:szCs w:val="24"/>
              </w:rPr>
            </w:pPr>
            <w:r w:rsidRPr="005C3B55">
              <w:t>poor quality of applied projects,</w:t>
            </w:r>
          </w:p>
          <w:p w:rsidR="00C21266" w:rsidRPr="005C3B55" w:rsidRDefault="00C21266" w:rsidP="006E20B6">
            <w:pPr>
              <w:numPr>
                <w:ilvl w:val="0"/>
                <w:numId w:val="968"/>
              </w:numPr>
              <w:spacing w:before="0" w:after="240"/>
              <w:ind w:hanging="290"/>
              <w:jc w:val="left"/>
              <w:rPr>
                <w:szCs w:val="24"/>
              </w:rPr>
            </w:pPr>
            <w:r w:rsidRPr="005C3B55">
              <w:t>inappropriate selection of supported projects.</w:t>
            </w:r>
          </w:p>
          <w:p w:rsidR="00C21266" w:rsidRPr="005C3B55" w:rsidRDefault="00C21266">
            <w:pPr>
              <w:spacing w:before="240" w:after="240"/>
              <w:rPr>
                <w:szCs w:val="24"/>
              </w:rPr>
            </w:pPr>
            <w:r w:rsidRPr="005C3B55">
              <w:rPr>
                <w:b/>
              </w:rPr>
              <w:t>R8: IT systems</w:t>
            </w:r>
          </w:p>
          <w:p w:rsidR="00C21266" w:rsidRPr="005C3B55" w:rsidRDefault="00C21266">
            <w:pPr>
              <w:spacing w:before="240" w:after="240"/>
              <w:rPr>
                <w:szCs w:val="24"/>
              </w:rPr>
            </w:pPr>
            <w:r w:rsidRPr="005C3B55">
              <w:t>Risks have been detected particularly in the correct functioning of IT systems or in providing suitable capacities for processing all information. Risks may also be posed by disorderly or outdated registers which are the result of incompatible databases.</w:t>
            </w:r>
          </w:p>
          <w:p w:rsidR="00C21266" w:rsidRPr="005C3B55" w:rsidRDefault="00C21266">
            <w:pPr>
              <w:spacing w:before="240" w:after="240"/>
              <w:rPr>
                <w:szCs w:val="24"/>
              </w:rPr>
            </w:pPr>
            <w:r w:rsidRPr="005C3B55">
              <w:rPr>
                <w:b/>
              </w:rPr>
              <w:t>R9: Requests for payment</w:t>
            </w:r>
          </w:p>
          <w:p w:rsidR="00C21266" w:rsidRPr="005C3B55" w:rsidRDefault="00C21266">
            <w:pPr>
              <w:spacing w:before="240" w:after="240"/>
              <w:rPr>
                <w:szCs w:val="24"/>
              </w:rPr>
            </w:pPr>
            <w:r w:rsidRPr="005C3B55">
              <w:t>The greatest risk arises in the processing of requests for payment. Due to unprofessional preparation, the procedure for processing them may take several months. The main reason is the lack of information for beneficiaries and persons preparing applications. There is an additional risk of poor project management and insufficient attainment of the objectives.</w:t>
            </w:r>
          </w:p>
          <w:p w:rsidR="00C21266" w:rsidRPr="005C3B55" w:rsidRDefault="00C21266">
            <w:pPr>
              <w:pStyle w:val="Telobesedila"/>
              <w:rPr>
                <w:lang w:eastAsia="en-GB" w:bidi="en-GB"/>
              </w:rPr>
            </w:pPr>
          </w:p>
        </w:tc>
      </w:tr>
    </w:tbl>
    <w:p w:rsidR="00C21266" w:rsidRPr="005C3B55" w:rsidRDefault="00C21266" w:rsidP="00C21266">
      <w:pPr>
        <w:pStyle w:val="Naslov7"/>
        <w:tabs>
          <w:tab w:val="clear" w:pos="765"/>
        </w:tabs>
        <w:ind w:left="0" w:firstLine="0"/>
        <w:rPr>
          <w:lang w:val="en-GB" w:eastAsia="en-GB" w:bidi="en-GB"/>
        </w:rPr>
      </w:pPr>
      <w:r w:rsidRPr="005C3B55">
        <w:rPr>
          <w:lang w:val="en-GB"/>
        </w:rPr>
        <w:t>Mitigation measures</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rPr>
                <w:b/>
              </w:rPr>
              <w:t>R7: Selection of beneficiaries</w:t>
            </w:r>
          </w:p>
          <w:p w:rsidR="00C21266" w:rsidRPr="005C3B55" w:rsidRDefault="00C21266" w:rsidP="006E20B6">
            <w:pPr>
              <w:numPr>
                <w:ilvl w:val="0"/>
                <w:numId w:val="969"/>
              </w:numPr>
              <w:spacing w:before="240" w:after="0"/>
              <w:ind w:hanging="290"/>
              <w:jc w:val="left"/>
              <w:rPr>
                <w:szCs w:val="24"/>
              </w:rPr>
            </w:pPr>
            <w:r w:rsidRPr="005C3B55">
              <w:rPr>
                <w:b/>
              </w:rPr>
              <w:t>Misunderstanding of the measure:</w:t>
            </w:r>
            <w:r w:rsidRPr="005C3B55">
              <w:t xml:space="preserve"> Implementation of seminars and workshops related to the topic of the measure. Preparation of printed and on-line materials.</w:t>
            </w:r>
          </w:p>
          <w:p w:rsidR="00C21266" w:rsidRPr="005C3B55" w:rsidRDefault="00C21266" w:rsidP="006E20B6">
            <w:pPr>
              <w:numPr>
                <w:ilvl w:val="0"/>
                <w:numId w:val="969"/>
              </w:numPr>
              <w:spacing w:before="0" w:after="0"/>
              <w:ind w:hanging="290"/>
              <w:jc w:val="left"/>
              <w:rPr>
                <w:szCs w:val="24"/>
              </w:rPr>
            </w:pPr>
            <w:r w:rsidRPr="005C3B55">
              <w:rPr>
                <w:b/>
              </w:rPr>
              <w:t>Poor quality of applied projects:</w:t>
            </w:r>
            <w:r w:rsidRPr="005C3B55">
              <w:t xml:space="preserve"> Implementation of seminars and workshops related to the topic of the measure. Preliminary harmonisation with stakeholders and actors involved in the measure with regard to priority content and expected results of cooperation projects. Promotion of priority areas.</w:t>
            </w:r>
          </w:p>
          <w:p w:rsidR="00C21266" w:rsidRPr="005C3B55" w:rsidRDefault="00C21266" w:rsidP="006E20B6">
            <w:pPr>
              <w:numPr>
                <w:ilvl w:val="0"/>
                <w:numId w:val="969"/>
              </w:numPr>
              <w:spacing w:before="0" w:after="240"/>
              <w:ind w:hanging="290"/>
              <w:jc w:val="left"/>
              <w:rPr>
                <w:szCs w:val="24"/>
              </w:rPr>
            </w:pPr>
            <w:r w:rsidRPr="005C3B55">
              <w:rPr>
                <w:b/>
              </w:rPr>
              <w:t>Inappropriate selection of supported projects:</w:t>
            </w:r>
            <w:r w:rsidRPr="005C3B55">
              <w:t xml:space="preserve"> Establishment and functioning of a commission for the selection of projects with competent and independent members. Continuous assessment of applicability of selected projects with regard to achieving planned results.</w:t>
            </w:r>
          </w:p>
          <w:p w:rsidR="00C21266" w:rsidRPr="005C3B55" w:rsidRDefault="00C21266">
            <w:pPr>
              <w:spacing w:before="240" w:after="240"/>
              <w:rPr>
                <w:szCs w:val="24"/>
              </w:rPr>
            </w:pPr>
            <w:r w:rsidRPr="005C3B55">
              <w:rPr>
                <w:b/>
              </w:rPr>
              <w:t>R8: IT systems</w:t>
            </w:r>
          </w:p>
          <w:p w:rsidR="00C21266" w:rsidRPr="005C3B55" w:rsidRDefault="00C21266">
            <w:pPr>
              <w:spacing w:before="240" w:after="240"/>
              <w:rPr>
                <w:szCs w:val="24"/>
              </w:rPr>
            </w:pPr>
            <w:r w:rsidRPr="005C3B55">
              <w:t>An IT system will be set up at the Paying Agency to facilitate the electronic processing of applications and requests for payment. The acquisition of data will be electronic to the greatest extent possible by means of connectivity between different databases. If databases are not mutually compatible so that they can be automatically verified within the IT system, verification will be carried out by exchanging data between database media.</w:t>
            </w:r>
          </w:p>
          <w:p w:rsidR="00C21266" w:rsidRPr="005C3B55" w:rsidRDefault="00C21266">
            <w:pPr>
              <w:spacing w:before="240" w:after="240"/>
              <w:rPr>
                <w:szCs w:val="24"/>
              </w:rPr>
            </w:pPr>
            <w:r w:rsidRPr="005C3B55">
              <w:rPr>
                <w:b/>
              </w:rPr>
              <w:t>R9: Requests for payment</w:t>
            </w:r>
          </w:p>
          <w:p w:rsidR="00C21266" w:rsidRPr="005C3B55" w:rsidRDefault="00C21266">
            <w:pPr>
              <w:spacing w:before="240" w:after="240"/>
              <w:rPr>
                <w:szCs w:val="24"/>
              </w:rPr>
            </w:pPr>
            <w:r w:rsidRPr="005C3B55">
              <w:t>Training on preparing requests for payment will be organised for beneficiaries and individuals preparing applications. Instructions on preparing requests for payment will be prepared to ensure that requests are well prepared.</w:t>
            </w:r>
          </w:p>
          <w:p w:rsidR="00C21266" w:rsidRPr="005C3B55" w:rsidRDefault="00C21266">
            <w:pPr>
              <w:spacing w:before="240" w:after="240"/>
              <w:rPr>
                <w:szCs w:val="24"/>
              </w:rPr>
            </w:pPr>
            <w:r w:rsidRPr="005C3B55">
              <w:t>The educational events in the field of planning, implementation and project management will be implemented in order to improve project management and attain the objectives. Constant monitoring and control of results will also be carried out. Appropriate sanctioning system with dissuasive concepts will be established and announced.</w:t>
            </w:r>
          </w:p>
          <w:p w:rsidR="00C21266" w:rsidRPr="005C3B55" w:rsidRDefault="00C21266">
            <w:pPr>
              <w:pStyle w:val="Telobesedila"/>
              <w:rPr>
                <w:lang w:eastAsia="en-GB" w:bidi="en-GB"/>
              </w:rPr>
            </w:pPr>
          </w:p>
        </w:tc>
      </w:tr>
    </w:tbl>
    <w:p w:rsidR="00C21266" w:rsidRPr="005C3B55" w:rsidRDefault="00C21266" w:rsidP="00C21266">
      <w:pPr>
        <w:pStyle w:val="Naslov7"/>
        <w:tabs>
          <w:tab w:val="clear" w:pos="765"/>
        </w:tabs>
        <w:ind w:left="0" w:firstLine="0"/>
        <w:rPr>
          <w:lang w:val="en-GB" w:eastAsia="en-GB" w:bidi="en-GB"/>
        </w:rPr>
      </w:pPr>
      <w:r w:rsidRPr="005C3B55">
        <w:rPr>
          <w:lang w:val="en-GB"/>
        </w:rPr>
        <w:t>General assessment of the measure</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The sub-measure in the anticipated form is fully feasible and controllable and will have the expected results and contribute to achieving the goals. This sub-measure will make an important contribution to the realisation of horizontal objectives, especially increasing innovation, research and development in rural environment and for this reason the implementation of the sub-measure is necessary.</w:t>
            </w:r>
          </w:p>
          <w:p w:rsidR="00C21266" w:rsidRPr="005C3B55" w:rsidRDefault="00C21266">
            <w:pPr>
              <w:pStyle w:val="Telobesedila"/>
              <w:rPr>
                <w:lang w:eastAsia="en-GB" w:bidi="en-GB"/>
              </w:rPr>
            </w:pPr>
          </w:p>
        </w:tc>
      </w:tr>
    </w:tbl>
    <w:p w:rsidR="00C21266" w:rsidRPr="005C3B55" w:rsidRDefault="00C21266" w:rsidP="00C21266">
      <w:pPr>
        <w:pStyle w:val="Naslov6"/>
        <w:tabs>
          <w:tab w:val="clear" w:pos="765"/>
        </w:tabs>
        <w:ind w:left="0" w:firstLine="0"/>
        <w:rPr>
          <w:lang w:val="en-GB" w:eastAsia="en-GB" w:bidi="en-GB"/>
        </w:rPr>
      </w:pPr>
      <w:r w:rsidRPr="005C3B55">
        <w:rPr>
          <w:lang w:val="en-GB"/>
        </w:rPr>
        <w:t>Methodology for calculating support amount, where relevant</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Not relevant.</w:t>
            </w:r>
          </w:p>
          <w:p w:rsidR="00C21266" w:rsidRPr="005C3B55" w:rsidRDefault="00C21266">
            <w:pPr>
              <w:pStyle w:val="Telobesedila"/>
              <w:rPr>
                <w:lang w:eastAsia="en-GB" w:bidi="en-GB"/>
              </w:rPr>
            </w:pPr>
          </w:p>
        </w:tc>
      </w:tr>
    </w:tbl>
    <w:p w:rsidR="00C21266" w:rsidRPr="005C3B55" w:rsidRDefault="00C21266" w:rsidP="00C21266">
      <w:pPr>
        <w:pStyle w:val="Naslov6"/>
        <w:tabs>
          <w:tab w:val="clear" w:pos="765"/>
        </w:tabs>
        <w:ind w:left="0" w:firstLine="0"/>
        <w:rPr>
          <w:lang w:val="en-GB" w:eastAsia="en-GB" w:bidi="en-GB"/>
        </w:rPr>
      </w:pPr>
      <w:r w:rsidRPr="005C3B55">
        <w:rPr>
          <w:lang w:val="en-GB"/>
        </w:rPr>
        <w:t>Information that relates specifically to the operation</w:t>
      </w:r>
    </w:p>
    <w:p w:rsidR="00C21266" w:rsidRPr="005C3B55" w:rsidRDefault="00C21266" w:rsidP="00C21266">
      <w:r w:rsidRPr="005C3B55">
        <w:t>Defining the characteristics of pilot projects, clusters, networks, short supply chains and local markets.</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rPr>
                <w:u w:val="single"/>
              </w:rPr>
              <w:t>Short supply chains and local markets</w:t>
            </w:r>
          </w:p>
          <w:p w:rsidR="00C21266" w:rsidRPr="005C3B55" w:rsidRDefault="00C21266" w:rsidP="006E20B6">
            <w:pPr>
              <w:numPr>
                <w:ilvl w:val="0"/>
                <w:numId w:val="970"/>
              </w:numPr>
              <w:spacing w:before="240" w:after="0"/>
              <w:ind w:hanging="290"/>
              <w:jc w:val="left"/>
              <w:rPr>
                <w:szCs w:val="24"/>
              </w:rPr>
            </w:pPr>
            <w:r w:rsidRPr="005C3B55">
              <w:t>For the purposes of implementing the sub-measure, a short supply chain is a supply chain with no more than one intermediary between the farmer (producer) and the end consumer. An intermediary is an entity which purchases a product from the farmer with the intention of further processing or selling it.</w:t>
            </w:r>
          </w:p>
          <w:p w:rsidR="00C21266" w:rsidRPr="005C3B55" w:rsidRDefault="00C21266" w:rsidP="006E20B6">
            <w:pPr>
              <w:numPr>
                <w:ilvl w:val="0"/>
                <w:numId w:val="970"/>
              </w:numPr>
              <w:spacing w:before="0" w:after="0"/>
              <w:ind w:hanging="290"/>
              <w:jc w:val="left"/>
              <w:rPr>
                <w:szCs w:val="24"/>
              </w:rPr>
            </w:pPr>
            <w:r w:rsidRPr="005C3B55">
              <w:t>For the purposes of implementing the sub-measure, a local market is based on short supply chains as per the preceding paragraph.</w:t>
            </w:r>
          </w:p>
          <w:p w:rsidR="00C21266" w:rsidRPr="005C3B55" w:rsidRDefault="00C21266" w:rsidP="006E20B6">
            <w:pPr>
              <w:numPr>
                <w:ilvl w:val="0"/>
                <w:numId w:val="970"/>
              </w:numPr>
              <w:spacing w:before="0" w:after="0"/>
              <w:ind w:hanging="290"/>
              <w:jc w:val="left"/>
              <w:rPr>
                <w:szCs w:val="24"/>
              </w:rPr>
            </w:pPr>
            <w:r w:rsidRPr="005C3B55">
              <w:t>If the local market as per the preceding paragraph is not based only on short supply chains as per the first paragraph, the local market encompasses an area which is within a 75 km radius of the origin of the product. The head office of the agricultural holding is considered as the origin of the product.</w:t>
            </w:r>
          </w:p>
          <w:p w:rsidR="00C21266" w:rsidRPr="005C3B55" w:rsidRDefault="00C21266" w:rsidP="006E20B6">
            <w:pPr>
              <w:numPr>
                <w:ilvl w:val="0"/>
                <w:numId w:val="970"/>
              </w:numPr>
              <w:spacing w:before="0" w:after="240"/>
              <w:ind w:hanging="290"/>
              <w:jc w:val="left"/>
              <w:rPr>
                <w:szCs w:val="24"/>
              </w:rPr>
            </w:pPr>
            <w:r w:rsidRPr="005C3B55">
              <w:t>75 km is a distance that preserves the characteristics of a short supply chain and does not entail long transport routes and the related burdening of the environment and transport costs, which ensures the preservation of quality and freshness of products, as well as their autochthonous features and specifics of the area where they are sold.</w:t>
            </w:r>
          </w:p>
          <w:p w:rsidR="00C21266" w:rsidRPr="005C3B55" w:rsidRDefault="00C21266">
            <w:pPr>
              <w:pStyle w:val="Telobesedila"/>
              <w:rPr>
                <w:lang w:eastAsia="en-GB" w:bidi="en-GB"/>
              </w:rPr>
            </w:pPr>
          </w:p>
        </w:tc>
      </w:tr>
    </w:tbl>
    <w:p w:rsidR="00C21266" w:rsidRPr="005C3B55" w:rsidRDefault="00C21266" w:rsidP="00C21266">
      <w:pPr>
        <w:pStyle w:val="Naslov5"/>
        <w:tabs>
          <w:tab w:val="clear" w:pos="765"/>
        </w:tabs>
        <w:ind w:left="0" w:firstLine="0"/>
        <w:rPr>
          <w:b w:val="0"/>
          <w:lang w:val="en-GB" w:eastAsia="en-GB" w:bidi="en-GB"/>
        </w:rPr>
      </w:pPr>
      <w:r w:rsidRPr="005C3B55">
        <w:rPr>
          <w:b w:val="0"/>
          <w:lang w:val="en-GB"/>
        </w:rPr>
        <w:br w:type="page"/>
        <w:t>Environment and climate change</w:t>
      </w:r>
    </w:p>
    <w:p w:rsidR="00C21266" w:rsidRPr="005C3B55" w:rsidRDefault="00C21266" w:rsidP="00C21266">
      <w:r w:rsidRPr="005C3B55">
        <w:t xml:space="preserve">Sub-measure: </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numPr>
                <w:ilvl w:val="0"/>
                <w:numId w:val="971"/>
              </w:numPr>
              <w:rPr>
                <w:rFonts w:eastAsia="Calibri"/>
              </w:rPr>
            </w:pPr>
            <w:r w:rsidRPr="005C3B55">
              <w:t>16.1 - Support for establishing and operation of operating groups of European partnership for innovations in the field of agricultural productivity and sustainability.</w:t>
            </w:r>
          </w:p>
          <w:p w:rsidR="00C21266" w:rsidRPr="005C3B55" w:rsidRDefault="00C21266">
            <w:pPr>
              <w:numPr>
                <w:ilvl w:val="0"/>
                <w:numId w:val="971"/>
              </w:numPr>
              <w:rPr>
                <w:rFonts w:eastAsia="Calibri"/>
                <w:lang w:eastAsia="en-GB" w:bidi="en-GB"/>
              </w:rPr>
            </w:pPr>
            <w:r w:rsidRPr="005C3B55">
              <w:t>16.5 – Support for joint measures aimed at mitigating climate change or adapting to climate change and for joint approaches to environmental projects and permanent environmental practices</w:t>
            </w:r>
          </w:p>
        </w:tc>
      </w:tr>
    </w:tbl>
    <w:p w:rsidR="00C21266" w:rsidRPr="005C3B55" w:rsidRDefault="00C21266" w:rsidP="00C21266">
      <w:pPr>
        <w:pStyle w:val="Naslov6"/>
        <w:tabs>
          <w:tab w:val="clear" w:pos="765"/>
        </w:tabs>
        <w:ind w:left="0" w:firstLine="0"/>
        <w:rPr>
          <w:lang w:val="en-GB" w:eastAsia="en-GB" w:bidi="en-GB"/>
        </w:rPr>
      </w:pPr>
      <w:r w:rsidRPr="005C3B55">
        <w:rPr>
          <w:lang w:val="en-GB"/>
        </w:rPr>
        <w:t>Description of type of operation</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The purpose of the sub-measure is the cooperation between various players in the field of agriculture and development of rural area in implementing the projects related to the environment and climate change that will contribute to attaining objectives of rural development.</w:t>
            </w:r>
          </w:p>
          <w:p w:rsidR="00C21266" w:rsidRPr="005C3B55" w:rsidRDefault="00C21266">
            <w:pPr>
              <w:spacing w:before="240" w:after="240"/>
              <w:rPr>
                <w:szCs w:val="24"/>
              </w:rPr>
            </w:pPr>
            <w:r w:rsidRPr="005C3B55">
              <w:t>Priority will be given to projects which contribute to attaining environmental and nature protection objectives, particularly in the restoration and improvement of species condition and habitat types in the NATURA 2000 network and care and efficient management of natural assets and projects, which will contribute to reducing the negative impact of agriculture on the quality of surface water and groundwater.</w:t>
            </w:r>
          </w:p>
          <w:p w:rsidR="00C21266" w:rsidRPr="005C3B55" w:rsidRDefault="00C21266">
            <w:pPr>
              <w:pStyle w:val="Telobesedila"/>
              <w:rPr>
                <w:lang w:eastAsia="en-GB" w:bidi="en-GB"/>
              </w:rPr>
            </w:pPr>
          </w:p>
        </w:tc>
      </w:tr>
    </w:tbl>
    <w:p w:rsidR="00C21266" w:rsidRPr="005C3B55" w:rsidRDefault="00C21266" w:rsidP="00C21266">
      <w:pPr>
        <w:pStyle w:val="Naslov6"/>
        <w:tabs>
          <w:tab w:val="clear" w:pos="765"/>
        </w:tabs>
        <w:ind w:left="0" w:firstLine="0"/>
        <w:rPr>
          <w:lang w:val="en-GB" w:eastAsia="en-GB" w:bidi="en-GB"/>
        </w:rPr>
      </w:pPr>
      <w:r w:rsidRPr="005C3B55">
        <w:rPr>
          <w:lang w:val="en-GB"/>
        </w:rPr>
        <w:t>Type of support</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Public support is granted in the form of non-refundable financial aid.</w:t>
            </w:r>
          </w:p>
          <w:p w:rsidR="00C21266" w:rsidRPr="005C3B55" w:rsidRDefault="00C21266">
            <w:pPr>
              <w:pStyle w:val="Telobesedila"/>
              <w:rPr>
                <w:lang w:eastAsia="en-GB" w:bidi="en-GB"/>
              </w:rPr>
            </w:pPr>
          </w:p>
        </w:tc>
      </w:tr>
    </w:tbl>
    <w:p w:rsidR="00C21266" w:rsidRPr="005C3B55" w:rsidRDefault="00C21266" w:rsidP="00C21266">
      <w:pPr>
        <w:pStyle w:val="Naslov6"/>
        <w:tabs>
          <w:tab w:val="clear" w:pos="765"/>
        </w:tabs>
        <w:ind w:left="0" w:firstLine="0"/>
        <w:rPr>
          <w:lang w:val="en-GB" w:eastAsia="en-GB" w:bidi="en-GB"/>
        </w:rPr>
      </w:pPr>
      <w:r w:rsidRPr="005C3B55">
        <w:rPr>
          <w:lang w:val="en-GB"/>
        </w:rPr>
        <w:t>Connection with other legislation</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rsidP="006E20B6">
            <w:pPr>
              <w:numPr>
                <w:ilvl w:val="0"/>
                <w:numId w:val="972"/>
              </w:numPr>
              <w:spacing w:before="0" w:after="0"/>
              <w:ind w:hanging="290"/>
              <w:jc w:val="left"/>
              <w:rPr>
                <w:rFonts w:eastAsia="Calibri"/>
                <w:szCs w:val="24"/>
              </w:rPr>
            </w:pPr>
            <w:r w:rsidRPr="005C3B55">
              <w:t>Agriculture Act (Official Gazette of the Republic of Slovenia, no. 45/2008 with all amendments);</w:t>
            </w:r>
          </w:p>
          <w:p w:rsidR="00C21266" w:rsidRPr="005C3B55" w:rsidRDefault="00C21266" w:rsidP="006E20B6">
            <w:pPr>
              <w:numPr>
                <w:ilvl w:val="0"/>
                <w:numId w:val="972"/>
              </w:numPr>
              <w:spacing w:before="0" w:after="0"/>
              <w:ind w:hanging="290"/>
              <w:jc w:val="left"/>
              <w:rPr>
                <w:szCs w:val="24"/>
              </w:rPr>
            </w:pPr>
            <w:r w:rsidRPr="005C3B55">
              <w:t>national regulation which regulates the implementation of this sub-measure;</w:t>
            </w:r>
          </w:p>
          <w:p w:rsidR="00C21266" w:rsidRPr="005C3B55" w:rsidRDefault="00C21266" w:rsidP="006E20B6">
            <w:pPr>
              <w:numPr>
                <w:ilvl w:val="0"/>
                <w:numId w:val="972"/>
              </w:numPr>
              <w:spacing w:before="0" w:after="240"/>
              <w:ind w:hanging="290"/>
              <w:jc w:val="left"/>
              <w:rPr>
                <w:szCs w:val="24"/>
              </w:rPr>
            </w:pPr>
            <w:r w:rsidRPr="005C3B55">
              <w:t>other EU and national legislation on the field of this operation.</w:t>
            </w:r>
          </w:p>
          <w:p w:rsidR="00C21266" w:rsidRPr="005C3B55" w:rsidRDefault="00C21266">
            <w:pPr>
              <w:pStyle w:val="Telobesedila"/>
              <w:rPr>
                <w:lang w:eastAsia="en-GB" w:bidi="en-GB"/>
              </w:rPr>
            </w:pPr>
          </w:p>
        </w:tc>
      </w:tr>
    </w:tbl>
    <w:p w:rsidR="00C21266" w:rsidRPr="005C3B55" w:rsidRDefault="00C21266" w:rsidP="00C21266">
      <w:pPr>
        <w:pStyle w:val="Naslov6"/>
        <w:tabs>
          <w:tab w:val="clear" w:pos="765"/>
        </w:tabs>
        <w:ind w:left="0" w:firstLine="0"/>
        <w:rPr>
          <w:lang w:val="en-GB" w:eastAsia="en-GB" w:bidi="en-GB"/>
        </w:rPr>
      </w:pPr>
      <w:r w:rsidRPr="005C3B55">
        <w:rPr>
          <w:lang w:val="en-GB"/>
        </w:rPr>
        <w:t>Beneficiaries</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Beneficiaries within the scope of this measure are various forms of cooperation which include at least two entities:</w:t>
            </w:r>
          </w:p>
          <w:p w:rsidR="00C21266" w:rsidRPr="005C3B55" w:rsidRDefault="00C21266" w:rsidP="00C21266">
            <w:pPr>
              <w:numPr>
                <w:ilvl w:val="0"/>
                <w:numId w:val="973"/>
              </w:numPr>
              <w:spacing w:before="240" w:after="0"/>
              <w:jc w:val="left"/>
              <w:rPr>
                <w:szCs w:val="24"/>
              </w:rPr>
            </w:pPr>
            <w:r w:rsidRPr="005C3B55">
              <w:t>cooperation approaches among different entities in the agriculture sector, food chain and forestry sector and other participants that contribute to achieving the objectives and priorities of the rural development policy, including producer groups, cooperatives and inter-branch organisations;</w:t>
            </w:r>
          </w:p>
          <w:p w:rsidR="00C21266" w:rsidRPr="005C3B55" w:rsidRDefault="00C21266" w:rsidP="006E20B6">
            <w:pPr>
              <w:numPr>
                <w:ilvl w:val="0"/>
                <w:numId w:val="973"/>
              </w:numPr>
              <w:spacing w:before="0" w:after="240"/>
              <w:ind w:hanging="347"/>
              <w:jc w:val="left"/>
              <w:rPr>
                <w:szCs w:val="24"/>
              </w:rPr>
            </w:pPr>
            <w:r w:rsidRPr="005C3B55">
              <w:t>operational groups of the EIP for agricultural productivity and sustainability.</w:t>
            </w:r>
          </w:p>
          <w:p w:rsidR="00C21266" w:rsidRPr="005C3B55" w:rsidRDefault="00C21266">
            <w:pPr>
              <w:pStyle w:val="Telobesedila"/>
              <w:rPr>
                <w:lang w:eastAsia="en-GB" w:bidi="en-GB"/>
              </w:rPr>
            </w:pPr>
          </w:p>
        </w:tc>
      </w:tr>
    </w:tbl>
    <w:p w:rsidR="00C21266" w:rsidRPr="005C3B55" w:rsidRDefault="00C21266" w:rsidP="00C21266">
      <w:pPr>
        <w:pStyle w:val="Naslov6"/>
        <w:tabs>
          <w:tab w:val="clear" w:pos="765"/>
        </w:tabs>
        <w:ind w:left="0" w:firstLine="0"/>
        <w:rPr>
          <w:lang w:val="en-GB" w:eastAsia="en-GB" w:bidi="en-GB"/>
        </w:rPr>
      </w:pPr>
      <w:r w:rsidRPr="005C3B55">
        <w:rPr>
          <w:lang w:val="en-GB"/>
        </w:rPr>
        <w:t>Eligible costs</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The following costs under Article 35 of Regulation (EU) No 1305/2013 are eligible for support within the scope of this sub-measure:</w:t>
            </w:r>
          </w:p>
          <w:p w:rsidR="00C21266" w:rsidRPr="005C3B55" w:rsidRDefault="00C21266" w:rsidP="006E20B6">
            <w:pPr>
              <w:numPr>
                <w:ilvl w:val="0"/>
                <w:numId w:val="974"/>
              </w:numPr>
              <w:spacing w:before="240" w:after="0"/>
              <w:ind w:hanging="290"/>
              <w:jc w:val="left"/>
              <w:rPr>
                <w:szCs w:val="24"/>
              </w:rPr>
            </w:pPr>
            <w:r w:rsidRPr="005C3B55">
              <w:t>running costs of cooperation related to implementing the project;</w:t>
            </w:r>
          </w:p>
          <w:p w:rsidR="00C21266" w:rsidRPr="005C3B55" w:rsidRDefault="00C21266" w:rsidP="006E20B6">
            <w:pPr>
              <w:numPr>
                <w:ilvl w:val="0"/>
                <w:numId w:val="974"/>
              </w:numPr>
              <w:spacing w:before="0" w:after="0"/>
              <w:ind w:hanging="290"/>
              <w:jc w:val="left"/>
              <w:rPr>
                <w:szCs w:val="24"/>
              </w:rPr>
            </w:pPr>
            <w:r w:rsidRPr="005C3B55">
              <w:t>indirect costs related to implementing the project, business plan or activities;</w:t>
            </w:r>
          </w:p>
          <w:p w:rsidR="00C21266" w:rsidRPr="005C3B55" w:rsidRDefault="00C21266" w:rsidP="006E20B6">
            <w:pPr>
              <w:numPr>
                <w:ilvl w:val="0"/>
                <w:numId w:val="974"/>
              </w:numPr>
              <w:spacing w:before="0" w:after="0"/>
              <w:ind w:hanging="290"/>
              <w:jc w:val="left"/>
              <w:rPr>
                <w:szCs w:val="24"/>
              </w:rPr>
            </w:pPr>
            <w:r w:rsidRPr="005C3B55">
              <w:t>costs of establishing a cluster or network in the implementation of the project; and</w:t>
            </w:r>
          </w:p>
          <w:p w:rsidR="00C21266" w:rsidRPr="005C3B55" w:rsidRDefault="00C21266" w:rsidP="006E20B6">
            <w:pPr>
              <w:numPr>
                <w:ilvl w:val="0"/>
                <w:numId w:val="974"/>
              </w:numPr>
              <w:spacing w:before="0" w:after="240"/>
              <w:ind w:hanging="290"/>
              <w:jc w:val="left"/>
              <w:rPr>
                <w:szCs w:val="24"/>
              </w:rPr>
            </w:pPr>
            <w:r w:rsidRPr="005C3B55">
              <w:t>costs of promotional activities.</w:t>
            </w:r>
          </w:p>
          <w:p w:rsidR="00C21266" w:rsidRPr="005C3B55" w:rsidRDefault="00C21266">
            <w:pPr>
              <w:spacing w:before="240" w:after="240"/>
              <w:rPr>
                <w:szCs w:val="24"/>
              </w:rPr>
            </w:pPr>
            <w:r w:rsidRPr="005C3B55">
              <w:t>The following costs are not entitled to support:</w:t>
            </w:r>
          </w:p>
          <w:p w:rsidR="00C21266" w:rsidRPr="005C3B55" w:rsidRDefault="00C21266" w:rsidP="006E20B6">
            <w:pPr>
              <w:numPr>
                <w:ilvl w:val="0"/>
                <w:numId w:val="975"/>
              </w:numPr>
              <w:spacing w:before="240" w:after="0"/>
              <w:ind w:hanging="290"/>
              <w:jc w:val="left"/>
              <w:rPr>
                <w:szCs w:val="24"/>
              </w:rPr>
            </w:pPr>
            <w:r w:rsidRPr="005C3B55">
              <w:t>interest on debts,</w:t>
            </w:r>
          </w:p>
          <w:p w:rsidR="00C21266" w:rsidRPr="005C3B55" w:rsidRDefault="00C21266" w:rsidP="006E20B6">
            <w:pPr>
              <w:numPr>
                <w:ilvl w:val="0"/>
                <w:numId w:val="975"/>
              </w:numPr>
              <w:spacing w:before="0" w:after="0"/>
              <w:ind w:hanging="290"/>
              <w:jc w:val="left"/>
              <w:rPr>
                <w:szCs w:val="24"/>
              </w:rPr>
            </w:pPr>
            <w:r w:rsidRPr="005C3B55">
              <w:t>value added tax (VAT), unless it is recoverable on the basis of the national legislation on VAT,</w:t>
            </w:r>
          </w:p>
          <w:p w:rsidR="00C21266" w:rsidRPr="005C3B55" w:rsidRDefault="00C21266" w:rsidP="006E20B6">
            <w:pPr>
              <w:numPr>
                <w:ilvl w:val="0"/>
                <w:numId w:val="975"/>
              </w:numPr>
              <w:spacing w:before="0" w:after="0"/>
              <w:ind w:hanging="290"/>
              <w:jc w:val="left"/>
              <w:rPr>
                <w:szCs w:val="24"/>
              </w:rPr>
            </w:pPr>
            <w:r w:rsidRPr="005C3B55">
              <w:t>costs of archaeological works and archaeological supervision,</w:t>
            </w:r>
          </w:p>
          <w:p w:rsidR="00C21266" w:rsidRPr="005C3B55" w:rsidRDefault="00C21266" w:rsidP="006E20B6">
            <w:pPr>
              <w:numPr>
                <w:ilvl w:val="0"/>
                <w:numId w:val="975"/>
              </w:numPr>
              <w:spacing w:before="0" w:after="0"/>
              <w:ind w:hanging="290"/>
              <w:jc w:val="left"/>
              <w:rPr>
                <w:szCs w:val="24"/>
              </w:rPr>
            </w:pPr>
            <w:r w:rsidRPr="005C3B55">
              <w:t>cost of preparing the application for the public procurement and request for payment,</w:t>
            </w:r>
          </w:p>
          <w:p w:rsidR="00C21266" w:rsidRPr="005C3B55" w:rsidRDefault="00C21266" w:rsidP="006E20B6">
            <w:pPr>
              <w:numPr>
                <w:ilvl w:val="0"/>
                <w:numId w:val="975"/>
              </w:numPr>
              <w:spacing w:before="0" w:after="240"/>
              <w:ind w:hanging="290"/>
              <w:jc w:val="left"/>
              <w:rPr>
                <w:szCs w:val="24"/>
              </w:rPr>
            </w:pPr>
            <w:r w:rsidRPr="005C3B55">
              <w:t>in-kind contribution.</w:t>
            </w:r>
          </w:p>
          <w:p w:rsidR="00C21266" w:rsidRPr="005C3B55" w:rsidRDefault="00C21266">
            <w:pPr>
              <w:spacing w:before="240" w:after="240"/>
              <w:rPr>
                <w:szCs w:val="24"/>
              </w:rPr>
            </w:pPr>
            <w:r w:rsidRPr="005C3B55">
              <w:t>In the implementation of this sub-measure, certain specific requirements from the aspect of eligibility of costs, which will be defined in accordance with national regulations, will be taken into account.</w:t>
            </w:r>
          </w:p>
          <w:p w:rsidR="00C21266" w:rsidRPr="005C3B55" w:rsidRDefault="00C21266">
            <w:pPr>
              <w:pStyle w:val="Telobesedila"/>
              <w:rPr>
                <w:lang w:eastAsia="en-GB" w:bidi="en-GB"/>
              </w:rPr>
            </w:pPr>
          </w:p>
        </w:tc>
      </w:tr>
    </w:tbl>
    <w:p w:rsidR="00C21266" w:rsidRPr="005C3B55" w:rsidRDefault="00C21266" w:rsidP="00C21266">
      <w:pPr>
        <w:pStyle w:val="Naslov6"/>
        <w:tabs>
          <w:tab w:val="clear" w:pos="765"/>
        </w:tabs>
        <w:ind w:left="0" w:firstLine="0"/>
        <w:rPr>
          <w:lang w:val="en-GB" w:eastAsia="en-GB" w:bidi="en-GB"/>
        </w:rPr>
      </w:pPr>
      <w:r w:rsidRPr="005C3B55">
        <w:rPr>
          <w:lang w:val="en-GB"/>
        </w:rPr>
        <w:t>Conditions for eligibility</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rsidP="006E20B6">
            <w:pPr>
              <w:numPr>
                <w:ilvl w:val="0"/>
                <w:numId w:val="976"/>
              </w:numPr>
              <w:spacing w:before="0" w:after="0"/>
              <w:ind w:hanging="290"/>
              <w:jc w:val="left"/>
              <w:rPr>
                <w:rFonts w:eastAsia="Calibri"/>
                <w:szCs w:val="24"/>
              </w:rPr>
            </w:pPr>
            <w:r w:rsidRPr="005C3B55">
              <w:t>At least two partners must be included in a project partnership;</w:t>
            </w:r>
          </w:p>
          <w:p w:rsidR="00C21266" w:rsidRPr="005C3B55" w:rsidRDefault="00C21266" w:rsidP="006E20B6">
            <w:pPr>
              <w:numPr>
                <w:ilvl w:val="0"/>
                <w:numId w:val="976"/>
              </w:numPr>
              <w:spacing w:before="0" w:after="0"/>
              <w:ind w:hanging="290"/>
              <w:jc w:val="left"/>
              <w:rPr>
                <w:szCs w:val="24"/>
              </w:rPr>
            </w:pPr>
            <w:r w:rsidRPr="005C3B55">
              <w:t>Partners conclude a relationship in the cooperation entity;</w:t>
            </w:r>
          </w:p>
          <w:p w:rsidR="00C21266" w:rsidRPr="005C3B55" w:rsidRDefault="00C21266" w:rsidP="006E20B6">
            <w:pPr>
              <w:numPr>
                <w:ilvl w:val="0"/>
                <w:numId w:val="976"/>
              </w:numPr>
              <w:spacing w:before="0" w:after="0"/>
              <w:ind w:hanging="290"/>
              <w:jc w:val="left"/>
              <w:rPr>
                <w:szCs w:val="24"/>
              </w:rPr>
            </w:pPr>
            <w:r w:rsidRPr="005C3B55">
              <w:t>Settled liabilities to the state of all partners in the project;</w:t>
            </w:r>
          </w:p>
          <w:p w:rsidR="00C21266" w:rsidRPr="005C3B55" w:rsidRDefault="00C21266" w:rsidP="006E20B6">
            <w:pPr>
              <w:numPr>
                <w:ilvl w:val="0"/>
                <w:numId w:val="976"/>
              </w:numPr>
              <w:spacing w:before="0" w:after="0"/>
              <w:ind w:hanging="290"/>
              <w:jc w:val="left"/>
              <w:rPr>
                <w:szCs w:val="24"/>
              </w:rPr>
            </w:pPr>
            <w:r w:rsidRPr="005C3B55">
              <w:t>Overlapping/connection of content, results and objectives of the project with specific priorities and SWOT analysis;</w:t>
            </w:r>
          </w:p>
          <w:p w:rsidR="00C21266" w:rsidRPr="005C3B55" w:rsidRDefault="00C21266" w:rsidP="006E20B6">
            <w:pPr>
              <w:numPr>
                <w:ilvl w:val="0"/>
                <w:numId w:val="976"/>
              </w:numPr>
              <w:spacing w:before="0" w:after="0"/>
              <w:ind w:hanging="290"/>
              <w:jc w:val="left"/>
              <w:rPr>
                <w:szCs w:val="24"/>
              </w:rPr>
            </w:pPr>
            <w:r w:rsidRPr="005C3B55">
              <w:t>A drafted project plan with expected results and the adequacy of the terms of reference in terms of content;</w:t>
            </w:r>
          </w:p>
          <w:p w:rsidR="00C21266" w:rsidRPr="005C3B55" w:rsidRDefault="00C21266" w:rsidP="006E20B6">
            <w:pPr>
              <w:numPr>
                <w:ilvl w:val="0"/>
                <w:numId w:val="976"/>
              </w:numPr>
              <w:spacing w:before="0" w:after="0"/>
              <w:ind w:hanging="290"/>
              <w:jc w:val="left"/>
              <w:rPr>
                <w:szCs w:val="24"/>
              </w:rPr>
            </w:pPr>
            <w:r w:rsidRPr="005C3B55">
              <w:t>Projects already being implemented are not eligible for support;</w:t>
            </w:r>
          </w:p>
          <w:p w:rsidR="00C21266" w:rsidRPr="005C3B55" w:rsidRDefault="00C21266" w:rsidP="006E20B6">
            <w:pPr>
              <w:numPr>
                <w:ilvl w:val="0"/>
                <w:numId w:val="976"/>
              </w:numPr>
              <w:spacing w:before="0" w:after="0"/>
              <w:ind w:hanging="290"/>
              <w:jc w:val="left"/>
              <w:rPr>
                <w:szCs w:val="24"/>
              </w:rPr>
            </w:pPr>
            <w:r w:rsidRPr="005C3B55">
              <w:t>Support is intended for projects that include practical aspects and results, not for pure research projects;</w:t>
            </w:r>
          </w:p>
          <w:p w:rsidR="00C21266" w:rsidRPr="005C3B55" w:rsidRDefault="00C21266" w:rsidP="006E20B6">
            <w:pPr>
              <w:numPr>
                <w:ilvl w:val="0"/>
                <w:numId w:val="976"/>
              </w:numPr>
              <w:spacing w:before="0" w:after="240"/>
              <w:ind w:hanging="290"/>
              <w:jc w:val="left"/>
              <w:rPr>
                <w:szCs w:val="24"/>
              </w:rPr>
            </w:pPr>
            <w:r w:rsidRPr="005C3B55">
              <w:t>The results of the projects must be communicated to the interested public and submitted to target groups. The EIP network and the Network for rural development will be used to disseminate and submit the projects.</w:t>
            </w:r>
          </w:p>
          <w:p w:rsidR="00C21266" w:rsidRPr="005C3B55" w:rsidRDefault="00C21266">
            <w:pPr>
              <w:pStyle w:val="Telobesedila"/>
              <w:rPr>
                <w:lang w:eastAsia="en-GB" w:bidi="en-GB"/>
              </w:rPr>
            </w:pPr>
          </w:p>
        </w:tc>
      </w:tr>
    </w:tbl>
    <w:p w:rsidR="00C21266" w:rsidRPr="005C3B55" w:rsidRDefault="00C21266" w:rsidP="00C21266">
      <w:pPr>
        <w:pStyle w:val="Naslov6"/>
        <w:tabs>
          <w:tab w:val="clear" w:pos="765"/>
        </w:tabs>
        <w:ind w:left="0" w:firstLine="0"/>
        <w:rPr>
          <w:lang w:val="en-GB" w:eastAsia="en-GB" w:bidi="en-GB"/>
        </w:rPr>
      </w:pPr>
      <w:r w:rsidRPr="005C3B55">
        <w:rPr>
          <w:lang w:val="en-GB"/>
        </w:rPr>
        <w:t>Principles regarding the determination of selection criteria</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The sub-measure will be implemented as a closed public tender.</w:t>
            </w:r>
          </w:p>
          <w:p w:rsidR="00C21266" w:rsidRPr="005C3B55" w:rsidRDefault="00C21266">
            <w:pPr>
              <w:spacing w:before="240" w:after="240"/>
              <w:rPr>
                <w:szCs w:val="24"/>
              </w:rPr>
            </w:pPr>
            <w:r w:rsidRPr="005C3B55">
              <w:t>Selected projects whose applications are complete and adequate in terms of content and which meet the conditions for receiving funds and exceed the threshold number of points determined in the public tender will be eligible for support. Applications which score a higher number of points will be selected from among applications that exceed the threshold number of points until the funds available in the public tender are spent.</w:t>
            </w:r>
          </w:p>
          <w:p w:rsidR="00C21266" w:rsidRPr="005C3B55" w:rsidRDefault="00C21266">
            <w:pPr>
              <w:spacing w:before="240" w:after="240"/>
              <w:rPr>
                <w:szCs w:val="24"/>
              </w:rPr>
            </w:pPr>
            <w:r w:rsidRPr="005C3B55">
              <w:t>As part of the selection criteria, the greatest emphasis will be on the content and added value and its contribution to horizontal objectives. A share of co-financing the project by the beneficiary is also included in the selection criteria.</w:t>
            </w:r>
          </w:p>
          <w:p w:rsidR="00C21266" w:rsidRPr="005C3B55" w:rsidRDefault="00C21266">
            <w:pPr>
              <w:pStyle w:val="Telobesedila"/>
              <w:rPr>
                <w:lang w:eastAsia="en-GB" w:bidi="en-GB"/>
              </w:rPr>
            </w:pPr>
          </w:p>
        </w:tc>
      </w:tr>
    </w:tbl>
    <w:p w:rsidR="00C21266" w:rsidRPr="005C3B55" w:rsidRDefault="00C21266" w:rsidP="00C21266">
      <w:pPr>
        <w:pStyle w:val="Naslov6"/>
        <w:tabs>
          <w:tab w:val="clear" w:pos="765"/>
        </w:tabs>
        <w:ind w:left="0" w:firstLine="0"/>
        <w:rPr>
          <w:lang w:val="en-GB" w:eastAsia="en-GB" w:bidi="en-GB"/>
        </w:rPr>
      </w:pPr>
      <w:r w:rsidRPr="005C3B55">
        <w:rPr>
          <w:lang w:val="en-GB"/>
        </w:rPr>
        <w:t>(Valid) amounts and support rates</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The public support rate amounts to 100%of eligible costs. In cases when the beneficiary partly co-finances the costs of the project, the support rate can be lowered accordingly. The maximum and minimum permitted support rate will be determined with individual public call for tenders. A share of co-financing the costs by the beneficiary will be taken into account in the selection criteria. The support rate is reduced accordingly also in accordance with the rules on state aid.</w:t>
            </w:r>
          </w:p>
          <w:p w:rsidR="00C21266" w:rsidRPr="005C3B55" w:rsidRDefault="00C21266">
            <w:pPr>
              <w:spacing w:before="240" w:after="240"/>
              <w:rPr>
                <w:szCs w:val="24"/>
              </w:rPr>
            </w:pPr>
            <w:r w:rsidRPr="005C3B55">
              <w:t>If the project includes costs covered under other measures from this programme, the rate which corresponds to the level of this measure is to be used for these costs.</w:t>
            </w:r>
          </w:p>
          <w:p w:rsidR="00C21266" w:rsidRPr="005C3B55" w:rsidRDefault="00C21266">
            <w:pPr>
              <w:spacing w:before="240" w:after="240"/>
              <w:rPr>
                <w:szCs w:val="24"/>
              </w:rPr>
            </w:pPr>
            <w:r w:rsidRPr="005C3B55">
              <w:t>The highest amount of support per individual operation is EUR 250,000.</w:t>
            </w:r>
          </w:p>
          <w:p w:rsidR="00C21266" w:rsidRPr="005C3B55" w:rsidRDefault="00C21266">
            <w:pPr>
              <w:spacing w:before="240" w:after="240"/>
              <w:rPr>
                <w:szCs w:val="24"/>
              </w:rPr>
            </w:pPr>
            <w:r w:rsidRPr="005C3B55">
              <w:t>Support is granted for the duration of the project, but not for more than 7 years.</w:t>
            </w:r>
          </w:p>
          <w:p w:rsidR="00C21266" w:rsidRPr="005C3B55" w:rsidRDefault="00C21266">
            <w:pPr>
              <w:spacing w:before="240" w:after="240"/>
              <w:rPr>
                <w:szCs w:val="24"/>
              </w:rPr>
            </w:pPr>
            <w:r w:rsidRPr="005C3B55">
              <w:t>Pursuant to Point 4 of Article 45 of Regulation (EU) No 1305/2013 the beneficiaries to investments may apply at the paying agency for the prepayment in the amount of 30% of the public support value after the issue of the decision on the eligibility to means.</w:t>
            </w:r>
          </w:p>
          <w:p w:rsidR="00C21266" w:rsidRPr="005C3B55" w:rsidRDefault="00C21266">
            <w:pPr>
              <w:pStyle w:val="Telobesedila"/>
              <w:rPr>
                <w:lang w:eastAsia="en-GB" w:bidi="en-GB"/>
              </w:rPr>
            </w:pPr>
          </w:p>
        </w:tc>
      </w:tr>
    </w:tbl>
    <w:p w:rsidR="00C21266" w:rsidRPr="005C3B55" w:rsidRDefault="00C21266" w:rsidP="00C21266">
      <w:pPr>
        <w:pStyle w:val="Naslov6"/>
        <w:tabs>
          <w:tab w:val="clear" w:pos="765"/>
        </w:tabs>
        <w:ind w:left="0" w:firstLine="0"/>
        <w:rPr>
          <w:lang w:val="en-GB" w:eastAsia="en-GB" w:bidi="en-GB"/>
        </w:rPr>
      </w:pPr>
      <w:r w:rsidRPr="005C3B55">
        <w:rPr>
          <w:lang w:val="en-GB"/>
        </w:rPr>
        <w:t>Verifiability and possibility of control of measures and/or type of operations</w:t>
      </w:r>
    </w:p>
    <w:p w:rsidR="00C21266" w:rsidRPr="005C3B55" w:rsidRDefault="00C21266" w:rsidP="00C21266">
      <w:pPr>
        <w:pStyle w:val="Naslov7"/>
        <w:tabs>
          <w:tab w:val="clear" w:pos="765"/>
        </w:tabs>
        <w:ind w:left="0" w:firstLine="0"/>
        <w:rPr>
          <w:lang w:val="en-GB"/>
        </w:rPr>
      </w:pPr>
      <w:r w:rsidRPr="005C3B55">
        <w:rPr>
          <w:lang w:val="en-GB"/>
        </w:rPr>
        <w:t>Risks in the implementation of the measure</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rPr>
                <w:b/>
              </w:rPr>
              <w:t>R7: Selection of beneficiaries</w:t>
            </w:r>
          </w:p>
          <w:p w:rsidR="00C21266" w:rsidRPr="005C3B55" w:rsidRDefault="00C21266">
            <w:pPr>
              <w:spacing w:before="240" w:after="240"/>
              <w:rPr>
                <w:szCs w:val="24"/>
              </w:rPr>
            </w:pPr>
            <w:r w:rsidRPr="005C3B55">
              <w:t>There is a risk of:</w:t>
            </w:r>
          </w:p>
          <w:p w:rsidR="00C21266" w:rsidRPr="005C3B55" w:rsidRDefault="00C21266" w:rsidP="006E20B6">
            <w:pPr>
              <w:numPr>
                <w:ilvl w:val="0"/>
                <w:numId w:val="977"/>
              </w:numPr>
              <w:spacing w:before="240" w:after="0"/>
              <w:ind w:hanging="290"/>
              <w:jc w:val="left"/>
              <w:rPr>
                <w:szCs w:val="24"/>
              </w:rPr>
            </w:pPr>
            <w:r w:rsidRPr="005C3B55">
              <w:t>misunderstanding of the measure,</w:t>
            </w:r>
          </w:p>
          <w:p w:rsidR="00C21266" w:rsidRPr="005C3B55" w:rsidRDefault="00C21266" w:rsidP="006E20B6">
            <w:pPr>
              <w:numPr>
                <w:ilvl w:val="0"/>
                <w:numId w:val="977"/>
              </w:numPr>
              <w:spacing w:before="0" w:after="0"/>
              <w:ind w:hanging="290"/>
              <w:jc w:val="left"/>
              <w:rPr>
                <w:szCs w:val="24"/>
              </w:rPr>
            </w:pPr>
            <w:r w:rsidRPr="005C3B55">
              <w:t>poor quality of applied projects,</w:t>
            </w:r>
          </w:p>
          <w:p w:rsidR="00C21266" w:rsidRPr="005C3B55" w:rsidRDefault="00C21266" w:rsidP="006E20B6">
            <w:pPr>
              <w:numPr>
                <w:ilvl w:val="0"/>
                <w:numId w:val="977"/>
              </w:numPr>
              <w:spacing w:before="0" w:after="240"/>
              <w:ind w:hanging="290"/>
              <w:jc w:val="left"/>
              <w:rPr>
                <w:szCs w:val="24"/>
              </w:rPr>
            </w:pPr>
            <w:r w:rsidRPr="005C3B55">
              <w:t>inappropriate selection of supported projects.</w:t>
            </w:r>
          </w:p>
          <w:p w:rsidR="00C21266" w:rsidRPr="005C3B55" w:rsidRDefault="00C21266">
            <w:pPr>
              <w:spacing w:before="240" w:after="240"/>
              <w:rPr>
                <w:szCs w:val="24"/>
              </w:rPr>
            </w:pPr>
            <w:r w:rsidRPr="005C3B55">
              <w:rPr>
                <w:b/>
              </w:rPr>
              <w:t>R8: IT systems</w:t>
            </w:r>
          </w:p>
          <w:p w:rsidR="00C21266" w:rsidRPr="005C3B55" w:rsidRDefault="00C21266">
            <w:pPr>
              <w:spacing w:before="240" w:after="240"/>
              <w:rPr>
                <w:szCs w:val="24"/>
              </w:rPr>
            </w:pPr>
            <w:r w:rsidRPr="005C3B55">
              <w:t>Risks have been detected particularly in the correct functioning of IT systems or in providing suitable capacities for processing all information. Risks may also be posed by disorderly or outdated registers which are the result of incompatible databases.</w:t>
            </w:r>
          </w:p>
          <w:p w:rsidR="00C21266" w:rsidRPr="005C3B55" w:rsidRDefault="00C21266">
            <w:pPr>
              <w:spacing w:before="240" w:after="240"/>
              <w:rPr>
                <w:szCs w:val="24"/>
              </w:rPr>
            </w:pPr>
            <w:r w:rsidRPr="005C3B55">
              <w:rPr>
                <w:b/>
              </w:rPr>
              <w:t>R9: Requests for payment</w:t>
            </w:r>
          </w:p>
          <w:p w:rsidR="00C21266" w:rsidRPr="005C3B55" w:rsidRDefault="00C21266">
            <w:pPr>
              <w:spacing w:before="240" w:after="240"/>
              <w:rPr>
                <w:szCs w:val="24"/>
              </w:rPr>
            </w:pPr>
            <w:r w:rsidRPr="005C3B55">
              <w:t>The greatest risk arises in the processing of requests for payment. Due to unprofessional preparation, the procedure for processing them may take several months. The main reason is the lack of information for beneficiaries and persons preparing applications. There is an additional risk of poor project management and insufficient attaining of the set objectives.</w:t>
            </w:r>
          </w:p>
          <w:p w:rsidR="00C21266" w:rsidRPr="005C3B55" w:rsidRDefault="00C21266">
            <w:pPr>
              <w:pStyle w:val="Telobesedila"/>
              <w:rPr>
                <w:lang w:eastAsia="en-GB" w:bidi="en-GB"/>
              </w:rPr>
            </w:pPr>
          </w:p>
        </w:tc>
      </w:tr>
    </w:tbl>
    <w:p w:rsidR="00C21266" w:rsidRPr="005C3B55" w:rsidRDefault="00C21266" w:rsidP="00C21266">
      <w:pPr>
        <w:pStyle w:val="Naslov7"/>
        <w:tabs>
          <w:tab w:val="clear" w:pos="765"/>
        </w:tabs>
        <w:ind w:left="0" w:firstLine="0"/>
        <w:rPr>
          <w:lang w:val="en-GB" w:eastAsia="en-GB" w:bidi="en-GB"/>
        </w:rPr>
      </w:pPr>
      <w:r w:rsidRPr="005C3B55">
        <w:rPr>
          <w:lang w:val="en-GB"/>
        </w:rPr>
        <w:t>Mitigation measures</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 </w:t>
            </w:r>
          </w:p>
          <w:p w:rsidR="00C21266" w:rsidRPr="005C3B55" w:rsidRDefault="00C21266">
            <w:pPr>
              <w:spacing w:before="240" w:after="240"/>
              <w:rPr>
                <w:szCs w:val="24"/>
              </w:rPr>
            </w:pPr>
            <w:r w:rsidRPr="005C3B55">
              <w:rPr>
                <w:b/>
              </w:rPr>
              <w:t>R7: Selection of beneficiaries</w:t>
            </w:r>
          </w:p>
          <w:p w:rsidR="00C21266" w:rsidRPr="005C3B55" w:rsidRDefault="00C21266" w:rsidP="006E20B6">
            <w:pPr>
              <w:numPr>
                <w:ilvl w:val="0"/>
                <w:numId w:val="978"/>
              </w:numPr>
              <w:spacing w:before="240" w:after="0"/>
              <w:ind w:hanging="290"/>
              <w:jc w:val="left"/>
              <w:rPr>
                <w:szCs w:val="24"/>
              </w:rPr>
            </w:pPr>
            <w:r w:rsidRPr="005C3B55">
              <w:rPr>
                <w:b/>
              </w:rPr>
              <w:t>Misunderstanding of the measure:</w:t>
            </w:r>
            <w:r w:rsidRPr="005C3B55">
              <w:t xml:space="preserve"> Implementation of seminars and workshops related to the topic of the measure. Preparation of printed and on-line materials.</w:t>
            </w:r>
          </w:p>
          <w:p w:rsidR="00C21266" w:rsidRPr="005C3B55" w:rsidRDefault="00C21266" w:rsidP="006E20B6">
            <w:pPr>
              <w:numPr>
                <w:ilvl w:val="0"/>
                <w:numId w:val="978"/>
              </w:numPr>
              <w:spacing w:before="0" w:after="0"/>
              <w:ind w:hanging="290"/>
              <w:jc w:val="left"/>
              <w:rPr>
                <w:szCs w:val="24"/>
              </w:rPr>
            </w:pPr>
            <w:r w:rsidRPr="005C3B55">
              <w:rPr>
                <w:b/>
              </w:rPr>
              <w:t>Poor quality of applied projects:</w:t>
            </w:r>
            <w:r w:rsidRPr="005C3B55">
              <w:t xml:space="preserve"> Implementation of seminars and workshops related to the topic of the measure. Preliminary harmonisation with stakeholders and actors involved in the measure with regard to priority content and expected results of cooperation projects. Promotion of priority areas.</w:t>
            </w:r>
          </w:p>
          <w:p w:rsidR="00C21266" w:rsidRPr="005C3B55" w:rsidRDefault="00C21266" w:rsidP="006E20B6">
            <w:pPr>
              <w:numPr>
                <w:ilvl w:val="0"/>
                <w:numId w:val="978"/>
              </w:numPr>
              <w:spacing w:before="0" w:after="240"/>
              <w:ind w:hanging="290"/>
              <w:jc w:val="left"/>
              <w:rPr>
                <w:szCs w:val="24"/>
              </w:rPr>
            </w:pPr>
            <w:r w:rsidRPr="005C3B55">
              <w:rPr>
                <w:b/>
              </w:rPr>
              <w:t>Inappropriate selection of supported projects:</w:t>
            </w:r>
            <w:r w:rsidRPr="005C3B55">
              <w:t xml:space="preserve"> Establishment and functioning of a commission for the selection of projects with competent and independent members. Continuous assessment of applicability of selected projects with regard to achieving planned results.</w:t>
            </w:r>
          </w:p>
          <w:p w:rsidR="00C21266" w:rsidRPr="005C3B55" w:rsidRDefault="00C21266">
            <w:pPr>
              <w:spacing w:before="240" w:after="240"/>
              <w:rPr>
                <w:szCs w:val="24"/>
              </w:rPr>
            </w:pPr>
            <w:r w:rsidRPr="005C3B55">
              <w:t>Training on preparing requests for payment will be organised for beneficiaries and individuals preparing applications. Instructions on preparing requests for payment will be prepared to ensure that requests are well prepared.</w:t>
            </w:r>
          </w:p>
          <w:p w:rsidR="00C21266" w:rsidRPr="005C3B55" w:rsidRDefault="00C21266">
            <w:pPr>
              <w:spacing w:before="240" w:after="240"/>
              <w:rPr>
                <w:szCs w:val="24"/>
              </w:rPr>
            </w:pPr>
            <w:r w:rsidRPr="005C3B55">
              <w:t>The educational events in the field of planning, implementation and project management will be implemented with the purpose of better project management and attainment of the set objectives. Constant monitoring and control of results will also be carried out. Appropriate sanctioning system with dissuasive concepts will be established and announced.</w:t>
            </w:r>
          </w:p>
          <w:p w:rsidR="00C21266" w:rsidRPr="005C3B55" w:rsidRDefault="00C21266">
            <w:pPr>
              <w:spacing w:before="240" w:after="240"/>
              <w:rPr>
                <w:szCs w:val="24"/>
              </w:rPr>
            </w:pPr>
            <w:r w:rsidRPr="005C3B55">
              <w:rPr>
                <w:b/>
              </w:rPr>
              <w:t>R8: IT systems</w:t>
            </w:r>
          </w:p>
          <w:p w:rsidR="00C21266" w:rsidRPr="005C3B55" w:rsidRDefault="00C21266">
            <w:pPr>
              <w:spacing w:before="240" w:after="240"/>
              <w:rPr>
                <w:szCs w:val="24"/>
              </w:rPr>
            </w:pPr>
            <w:r w:rsidRPr="005C3B55">
              <w:t>An IT system will be set up at the Paying Agency to facilitate the electronic processing of applications and requests for payment. The acquisition of data will be electronic to the greatest extent possible by means of connectivity between different databases. If databases are not mutually compatible so that they can be automatically verified within the IT system, verification will be carried out by exchanging data between database media.</w:t>
            </w:r>
          </w:p>
          <w:p w:rsidR="00C21266" w:rsidRPr="005C3B55" w:rsidRDefault="00C21266">
            <w:pPr>
              <w:spacing w:before="240" w:after="240"/>
              <w:rPr>
                <w:szCs w:val="24"/>
              </w:rPr>
            </w:pPr>
            <w:r w:rsidRPr="005C3B55">
              <w:rPr>
                <w:b/>
              </w:rPr>
              <w:t>R9: Requests for payment</w:t>
            </w:r>
          </w:p>
          <w:p w:rsidR="00C21266" w:rsidRPr="005C3B55" w:rsidRDefault="00C21266">
            <w:pPr>
              <w:pStyle w:val="Telobesedila"/>
              <w:rPr>
                <w:lang w:eastAsia="en-GB" w:bidi="en-GB"/>
              </w:rPr>
            </w:pPr>
          </w:p>
        </w:tc>
      </w:tr>
    </w:tbl>
    <w:p w:rsidR="00C21266" w:rsidRPr="005C3B55" w:rsidRDefault="00C21266" w:rsidP="00C21266">
      <w:pPr>
        <w:pStyle w:val="Naslov7"/>
        <w:tabs>
          <w:tab w:val="clear" w:pos="765"/>
        </w:tabs>
        <w:ind w:left="0" w:firstLine="0"/>
        <w:rPr>
          <w:lang w:val="en-GB" w:eastAsia="en-GB" w:bidi="en-GB"/>
        </w:rPr>
      </w:pPr>
      <w:r w:rsidRPr="005C3B55">
        <w:rPr>
          <w:lang w:val="en-GB"/>
        </w:rPr>
        <w:t>General assessment of the measure</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The sub-measure in the anticipated form is fully feasible and controllable and will have the expected results and contribute to achieving the goals. This sub-measure will make an important contribution to the realisation of horizontal objectives, especially increasing innovation, research and development in rural environment and for this reason the implementation of the sub-measure is necessary.</w:t>
            </w:r>
          </w:p>
          <w:p w:rsidR="00C21266" w:rsidRPr="005C3B55" w:rsidRDefault="00C21266">
            <w:pPr>
              <w:pStyle w:val="Telobesedila"/>
              <w:rPr>
                <w:lang w:eastAsia="en-GB" w:bidi="en-GB"/>
              </w:rPr>
            </w:pPr>
          </w:p>
        </w:tc>
      </w:tr>
    </w:tbl>
    <w:p w:rsidR="00C21266" w:rsidRPr="005C3B55" w:rsidRDefault="00C21266" w:rsidP="00C21266">
      <w:pPr>
        <w:pStyle w:val="Naslov6"/>
        <w:tabs>
          <w:tab w:val="clear" w:pos="765"/>
        </w:tabs>
        <w:ind w:left="0" w:firstLine="0"/>
        <w:rPr>
          <w:lang w:val="en-GB" w:eastAsia="en-GB" w:bidi="en-GB"/>
        </w:rPr>
      </w:pPr>
      <w:r w:rsidRPr="005C3B55">
        <w:rPr>
          <w:lang w:val="en-GB"/>
        </w:rPr>
        <w:t>Methodology for calculating support amount, where relevant</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Not relevant.</w:t>
            </w:r>
          </w:p>
          <w:p w:rsidR="00C21266" w:rsidRPr="005C3B55" w:rsidRDefault="00C21266">
            <w:pPr>
              <w:pStyle w:val="Telobesedila"/>
              <w:rPr>
                <w:lang w:eastAsia="en-GB" w:bidi="en-GB"/>
              </w:rPr>
            </w:pPr>
          </w:p>
        </w:tc>
      </w:tr>
    </w:tbl>
    <w:p w:rsidR="00C21266" w:rsidRPr="005C3B55" w:rsidRDefault="00C21266" w:rsidP="00C21266">
      <w:pPr>
        <w:pStyle w:val="Naslov6"/>
        <w:tabs>
          <w:tab w:val="clear" w:pos="765"/>
        </w:tabs>
        <w:ind w:left="0" w:firstLine="0"/>
        <w:rPr>
          <w:lang w:val="en-GB" w:eastAsia="en-GB" w:bidi="en-GB"/>
        </w:rPr>
      </w:pPr>
      <w:r w:rsidRPr="005C3B55">
        <w:rPr>
          <w:lang w:val="en-GB"/>
        </w:rPr>
        <w:t>Information that relates specifically to the operation</w:t>
      </w:r>
    </w:p>
    <w:p w:rsidR="00C21266" w:rsidRPr="005C3B55" w:rsidRDefault="00C21266" w:rsidP="00C21266">
      <w:r w:rsidRPr="005C3B55">
        <w:t>Defining the characteristics of pilot projects, clusters, networks, short supply chains and local markets.</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Not relevant.</w:t>
            </w:r>
          </w:p>
          <w:p w:rsidR="00C21266" w:rsidRPr="005C3B55" w:rsidRDefault="00C21266">
            <w:pPr>
              <w:pStyle w:val="Telobesedila"/>
              <w:rPr>
                <w:lang w:eastAsia="en-GB" w:bidi="en-GB"/>
              </w:rPr>
            </w:pPr>
          </w:p>
        </w:tc>
      </w:tr>
    </w:tbl>
    <w:p w:rsidR="00C21266" w:rsidRPr="005C3B55" w:rsidRDefault="00C21266" w:rsidP="00C21266">
      <w:pPr>
        <w:pStyle w:val="Naslov5"/>
        <w:tabs>
          <w:tab w:val="clear" w:pos="765"/>
        </w:tabs>
        <w:ind w:left="0" w:firstLine="0"/>
        <w:rPr>
          <w:b w:val="0"/>
          <w:lang w:val="en-GB" w:eastAsia="en-GB" w:bidi="en-GB"/>
        </w:rPr>
      </w:pPr>
      <w:r w:rsidRPr="005C3B55">
        <w:rPr>
          <w:b w:val="0"/>
          <w:lang w:val="en-GB"/>
        </w:rPr>
        <w:br w:type="page"/>
        <w:t>Social diversification</w:t>
      </w:r>
    </w:p>
    <w:p w:rsidR="00C21266" w:rsidRPr="005C3B55" w:rsidRDefault="00C21266" w:rsidP="00C21266">
      <w:r w:rsidRPr="005C3B55">
        <w:t xml:space="preserve">Sub-measure: </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numPr>
                <w:ilvl w:val="0"/>
                <w:numId w:val="979"/>
              </w:numPr>
              <w:rPr>
                <w:rFonts w:eastAsia="Calibri"/>
              </w:rPr>
            </w:pPr>
            <w:r w:rsidRPr="005C3B55">
              <w:t>16.1 - Support for establishing and operation of operating groups of European partnership for innovations in the field of agricultural productivity and sustainability.</w:t>
            </w:r>
          </w:p>
          <w:p w:rsidR="00C21266" w:rsidRPr="005C3B55" w:rsidRDefault="00C21266">
            <w:pPr>
              <w:numPr>
                <w:ilvl w:val="0"/>
                <w:numId w:val="979"/>
              </w:numPr>
              <w:rPr>
                <w:rFonts w:eastAsia="Calibri"/>
                <w:lang w:eastAsia="en-GB" w:bidi="en-GB"/>
              </w:rPr>
            </w:pPr>
            <w:r w:rsidRPr="005C3B55">
              <w:t>16.9 – Support for the diversification of farming activities into activities related to health care, social inclusion, community-supported agriculture and education on the environment and food.</w:t>
            </w:r>
          </w:p>
        </w:tc>
      </w:tr>
    </w:tbl>
    <w:p w:rsidR="00C21266" w:rsidRPr="005C3B55" w:rsidRDefault="00C21266" w:rsidP="00C21266">
      <w:pPr>
        <w:pStyle w:val="Naslov6"/>
        <w:tabs>
          <w:tab w:val="clear" w:pos="765"/>
        </w:tabs>
        <w:ind w:left="0" w:firstLine="0"/>
        <w:rPr>
          <w:lang w:val="en-GB" w:eastAsia="en-GB" w:bidi="en-GB"/>
        </w:rPr>
      </w:pPr>
      <w:r w:rsidRPr="005C3B55">
        <w:rPr>
          <w:lang w:val="en-GB"/>
        </w:rPr>
        <w:t>Description of type of operation</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The purpose of the sub-measure is the cooperation between various players in the field of agriculture and development of rural area in implementing the projects related to the social issues in the rural area that will contribute to attaining objectives of rural development.</w:t>
            </w:r>
          </w:p>
          <w:p w:rsidR="00C21266" w:rsidRPr="005C3B55" w:rsidRDefault="00C21266">
            <w:pPr>
              <w:spacing w:before="240" w:after="240"/>
              <w:rPr>
                <w:szCs w:val="24"/>
              </w:rPr>
            </w:pPr>
            <w:r w:rsidRPr="005C3B55">
              <w:t>Projects which provide innovative solutions for social issues in the countryside will be supported. The emphasis will be on discovering new innovative forms of implementing non-agricultural activities on agricultural holdings which will result in new jobs.</w:t>
            </w:r>
          </w:p>
          <w:p w:rsidR="00C21266" w:rsidRPr="005C3B55" w:rsidRDefault="00C21266">
            <w:pPr>
              <w:pStyle w:val="Telobesedila"/>
              <w:rPr>
                <w:lang w:eastAsia="en-GB" w:bidi="en-GB"/>
              </w:rPr>
            </w:pPr>
          </w:p>
        </w:tc>
      </w:tr>
    </w:tbl>
    <w:p w:rsidR="00C21266" w:rsidRPr="005C3B55" w:rsidRDefault="00C21266" w:rsidP="00C21266">
      <w:pPr>
        <w:pStyle w:val="Naslov6"/>
        <w:tabs>
          <w:tab w:val="clear" w:pos="765"/>
        </w:tabs>
        <w:ind w:left="0" w:firstLine="0"/>
        <w:rPr>
          <w:lang w:val="en-GB" w:eastAsia="en-GB" w:bidi="en-GB"/>
        </w:rPr>
      </w:pPr>
      <w:r w:rsidRPr="005C3B55">
        <w:rPr>
          <w:lang w:val="en-GB"/>
        </w:rPr>
        <w:t>Type of support</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Public support is granted in the form of non-refundable financial aid.</w:t>
            </w:r>
          </w:p>
          <w:p w:rsidR="00C21266" w:rsidRPr="005C3B55" w:rsidRDefault="00C21266">
            <w:pPr>
              <w:pStyle w:val="Telobesedila"/>
              <w:rPr>
                <w:lang w:eastAsia="en-GB" w:bidi="en-GB"/>
              </w:rPr>
            </w:pPr>
          </w:p>
        </w:tc>
      </w:tr>
    </w:tbl>
    <w:p w:rsidR="00C21266" w:rsidRPr="005C3B55" w:rsidRDefault="00C21266" w:rsidP="00C21266">
      <w:pPr>
        <w:pStyle w:val="Naslov6"/>
        <w:tabs>
          <w:tab w:val="clear" w:pos="765"/>
        </w:tabs>
        <w:ind w:left="0" w:firstLine="0"/>
        <w:rPr>
          <w:lang w:val="en-GB" w:eastAsia="en-GB" w:bidi="en-GB"/>
        </w:rPr>
      </w:pPr>
      <w:r w:rsidRPr="005C3B55">
        <w:rPr>
          <w:lang w:val="en-GB"/>
        </w:rPr>
        <w:t>Connection with other legislation</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rsidP="006E20B6">
            <w:pPr>
              <w:numPr>
                <w:ilvl w:val="0"/>
                <w:numId w:val="980"/>
              </w:numPr>
              <w:spacing w:before="0" w:after="0"/>
              <w:ind w:hanging="290"/>
              <w:jc w:val="left"/>
              <w:rPr>
                <w:rFonts w:eastAsia="Calibri"/>
                <w:szCs w:val="24"/>
              </w:rPr>
            </w:pPr>
            <w:r w:rsidRPr="005C3B55">
              <w:t>Agriculture Act (Official Gazette of the Republic of Slovenia, no. 45/2008 with all amendments);</w:t>
            </w:r>
          </w:p>
          <w:p w:rsidR="00C21266" w:rsidRPr="005C3B55" w:rsidRDefault="00C21266" w:rsidP="006E20B6">
            <w:pPr>
              <w:numPr>
                <w:ilvl w:val="0"/>
                <w:numId w:val="980"/>
              </w:numPr>
              <w:spacing w:before="0" w:after="0"/>
              <w:ind w:hanging="290"/>
              <w:jc w:val="left"/>
              <w:rPr>
                <w:szCs w:val="24"/>
              </w:rPr>
            </w:pPr>
            <w:r w:rsidRPr="005C3B55">
              <w:t>national regulation which regulates the implementation of this sub-measure;</w:t>
            </w:r>
          </w:p>
          <w:p w:rsidR="00C21266" w:rsidRPr="005C3B55" w:rsidRDefault="00C21266" w:rsidP="006E20B6">
            <w:pPr>
              <w:numPr>
                <w:ilvl w:val="0"/>
                <w:numId w:val="980"/>
              </w:numPr>
              <w:spacing w:before="0" w:after="240"/>
              <w:ind w:hanging="290"/>
              <w:jc w:val="left"/>
              <w:rPr>
                <w:szCs w:val="24"/>
              </w:rPr>
            </w:pPr>
            <w:r w:rsidRPr="005C3B55">
              <w:t>other EU and national legislation on the field of this operation.</w:t>
            </w:r>
          </w:p>
          <w:p w:rsidR="00C21266" w:rsidRPr="005C3B55" w:rsidRDefault="00C21266">
            <w:pPr>
              <w:spacing w:before="240" w:after="240"/>
              <w:rPr>
                <w:szCs w:val="24"/>
              </w:rPr>
            </w:pPr>
            <w:r w:rsidRPr="005C3B55">
              <w:t> </w:t>
            </w:r>
          </w:p>
          <w:p w:rsidR="00C21266" w:rsidRPr="005C3B55" w:rsidRDefault="00C21266">
            <w:pPr>
              <w:pStyle w:val="Telobesedila"/>
              <w:rPr>
                <w:lang w:eastAsia="en-GB" w:bidi="en-GB"/>
              </w:rPr>
            </w:pPr>
          </w:p>
        </w:tc>
      </w:tr>
    </w:tbl>
    <w:p w:rsidR="00C21266" w:rsidRPr="005C3B55" w:rsidRDefault="00C21266" w:rsidP="00C21266">
      <w:pPr>
        <w:pStyle w:val="Naslov6"/>
        <w:tabs>
          <w:tab w:val="clear" w:pos="765"/>
        </w:tabs>
        <w:ind w:left="0" w:firstLine="0"/>
        <w:rPr>
          <w:lang w:val="en-GB" w:eastAsia="en-GB" w:bidi="en-GB"/>
        </w:rPr>
      </w:pPr>
      <w:r w:rsidRPr="005C3B55">
        <w:rPr>
          <w:lang w:val="en-GB"/>
        </w:rPr>
        <w:t>Beneficiaries</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Beneficiaries within the scope of this measure are various forms of cooperation which include at least two entities:</w:t>
            </w:r>
          </w:p>
          <w:p w:rsidR="00C21266" w:rsidRPr="005C3B55" w:rsidRDefault="00C21266" w:rsidP="00C21266">
            <w:pPr>
              <w:numPr>
                <w:ilvl w:val="0"/>
                <w:numId w:val="981"/>
              </w:numPr>
              <w:spacing w:before="240" w:after="0"/>
              <w:jc w:val="left"/>
              <w:rPr>
                <w:szCs w:val="24"/>
              </w:rPr>
            </w:pPr>
            <w:r w:rsidRPr="005C3B55">
              <w:t>cooperation approaches among different entities in the agriculture sector, food chain and forestry sector and other participants that contribute to achieving the objectives and priorities of the rural development policy, including producer groups, cooperatives and inter-branch organisations;</w:t>
            </w:r>
          </w:p>
          <w:p w:rsidR="00C21266" w:rsidRPr="005C3B55" w:rsidRDefault="00C21266" w:rsidP="006E20B6">
            <w:pPr>
              <w:numPr>
                <w:ilvl w:val="0"/>
                <w:numId w:val="981"/>
              </w:numPr>
              <w:spacing w:before="0" w:after="240"/>
              <w:ind w:hanging="347"/>
              <w:jc w:val="left"/>
              <w:rPr>
                <w:szCs w:val="24"/>
              </w:rPr>
            </w:pPr>
            <w:r w:rsidRPr="005C3B55">
              <w:t>operational groups of the EIP for agricultural productivity and sustainability.</w:t>
            </w:r>
          </w:p>
          <w:p w:rsidR="00C21266" w:rsidRPr="005C3B55" w:rsidRDefault="00C21266">
            <w:pPr>
              <w:pStyle w:val="Telobesedila"/>
              <w:rPr>
                <w:lang w:eastAsia="en-GB" w:bidi="en-GB"/>
              </w:rPr>
            </w:pPr>
          </w:p>
        </w:tc>
      </w:tr>
    </w:tbl>
    <w:p w:rsidR="00C21266" w:rsidRPr="005C3B55" w:rsidRDefault="00C21266" w:rsidP="00C21266">
      <w:pPr>
        <w:pStyle w:val="Naslov6"/>
        <w:tabs>
          <w:tab w:val="clear" w:pos="765"/>
        </w:tabs>
        <w:ind w:left="0" w:firstLine="0"/>
        <w:rPr>
          <w:lang w:val="en-GB" w:eastAsia="en-GB" w:bidi="en-GB"/>
        </w:rPr>
      </w:pPr>
      <w:r w:rsidRPr="005C3B55">
        <w:rPr>
          <w:lang w:val="en-GB"/>
        </w:rPr>
        <w:t>Eligible costs</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The following costs under Article 35 of Regulation (EU) No 1305/2013 are eligible for support within the scope of this sub-measure:</w:t>
            </w:r>
          </w:p>
          <w:p w:rsidR="00C21266" w:rsidRPr="005C3B55" w:rsidRDefault="00C21266" w:rsidP="006E20B6">
            <w:pPr>
              <w:numPr>
                <w:ilvl w:val="0"/>
                <w:numId w:val="982"/>
              </w:numPr>
              <w:spacing w:before="240" w:after="0"/>
              <w:ind w:hanging="290"/>
              <w:jc w:val="left"/>
              <w:rPr>
                <w:szCs w:val="24"/>
              </w:rPr>
            </w:pPr>
            <w:r w:rsidRPr="005C3B55">
              <w:t>running costs of cooperation related to implementing the project;</w:t>
            </w:r>
          </w:p>
          <w:p w:rsidR="00C21266" w:rsidRPr="005C3B55" w:rsidRDefault="00C21266" w:rsidP="006E20B6">
            <w:pPr>
              <w:numPr>
                <w:ilvl w:val="0"/>
                <w:numId w:val="982"/>
              </w:numPr>
              <w:spacing w:before="0" w:after="0"/>
              <w:ind w:hanging="290"/>
              <w:jc w:val="left"/>
              <w:rPr>
                <w:szCs w:val="24"/>
              </w:rPr>
            </w:pPr>
            <w:r w:rsidRPr="005C3B55">
              <w:t>indirect costs related to implementing the project, business plan or activities;</w:t>
            </w:r>
          </w:p>
          <w:p w:rsidR="00C21266" w:rsidRPr="005C3B55" w:rsidRDefault="00C21266" w:rsidP="006E20B6">
            <w:pPr>
              <w:numPr>
                <w:ilvl w:val="0"/>
                <w:numId w:val="982"/>
              </w:numPr>
              <w:spacing w:before="0" w:after="0"/>
              <w:ind w:hanging="290"/>
              <w:jc w:val="left"/>
              <w:rPr>
                <w:szCs w:val="24"/>
              </w:rPr>
            </w:pPr>
            <w:r w:rsidRPr="005C3B55">
              <w:t>costs of establishing a cluster or network in the implementation of the project; and</w:t>
            </w:r>
          </w:p>
          <w:p w:rsidR="00C21266" w:rsidRPr="005C3B55" w:rsidRDefault="00C21266" w:rsidP="006E20B6">
            <w:pPr>
              <w:numPr>
                <w:ilvl w:val="0"/>
                <w:numId w:val="982"/>
              </w:numPr>
              <w:spacing w:before="0" w:after="240"/>
              <w:ind w:hanging="290"/>
              <w:jc w:val="left"/>
              <w:rPr>
                <w:szCs w:val="24"/>
              </w:rPr>
            </w:pPr>
            <w:r w:rsidRPr="005C3B55">
              <w:t>costs of promotional activities.</w:t>
            </w:r>
          </w:p>
          <w:p w:rsidR="00C21266" w:rsidRPr="005C3B55" w:rsidRDefault="00C21266">
            <w:pPr>
              <w:spacing w:before="240" w:after="240"/>
              <w:rPr>
                <w:szCs w:val="24"/>
              </w:rPr>
            </w:pPr>
            <w:r w:rsidRPr="005C3B55">
              <w:t>The following costs are not entitled to support:</w:t>
            </w:r>
          </w:p>
          <w:p w:rsidR="00C21266" w:rsidRPr="005C3B55" w:rsidRDefault="00C21266" w:rsidP="006E20B6">
            <w:pPr>
              <w:numPr>
                <w:ilvl w:val="0"/>
                <w:numId w:val="983"/>
              </w:numPr>
              <w:spacing w:before="240" w:after="0"/>
              <w:ind w:hanging="290"/>
              <w:jc w:val="left"/>
              <w:rPr>
                <w:szCs w:val="24"/>
              </w:rPr>
            </w:pPr>
            <w:r w:rsidRPr="005C3B55">
              <w:t>interest on debts,</w:t>
            </w:r>
          </w:p>
          <w:p w:rsidR="00C21266" w:rsidRPr="005C3B55" w:rsidRDefault="00C21266" w:rsidP="006E20B6">
            <w:pPr>
              <w:numPr>
                <w:ilvl w:val="0"/>
                <w:numId w:val="983"/>
              </w:numPr>
              <w:spacing w:before="0" w:after="0"/>
              <w:ind w:hanging="290"/>
              <w:jc w:val="left"/>
              <w:rPr>
                <w:szCs w:val="24"/>
              </w:rPr>
            </w:pPr>
            <w:r w:rsidRPr="005C3B55">
              <w:t>value added tax (VAT), unless it is recoverable on the basis of the national legislation on VAT,</w:t>
            </w:r>
          </w:p>
          <w:p w:rsidR="00C21266" w:rsidRPr="005C3B55" w:rsidRDefault="00C21266" w:rsidP="006E20B6">
            <w:pPr>
              <w:numPr>
                <w:ilvl w:val="0"/>
                <w:numId w:val="983"/>
              </w:numPr>
              <w:spacing w:before="0" w:after="0"/>
              <w:ind w:hanging="290"/>
              <w:jc w:val="left"/>
              <w:rPr>
                <w:szCs w:val="24"/>
              </w:rPr>
            </w:pPr>
            <w:r w:rsidRPr="005C3B55">
              <w:t>costs of archaeological works and archaeological supervision,</w:t>
            </w:r>
          </w:p>
          <w:p w:rsidR="00C21266" w:rsidRPr="005C3B55" w:rsidRDefault="00C21266" w:rsidP="006E20B6">
            <w:pPr>
              <w:numPr>
                <w:ilvl w:val="0"/>
                <w:numId w:val="983"/>
              </w:numPr>
              <w:spacing w:before="0" w:after="0"/>
              <w:ind w:hanging="290"/>
              <w:jc w:val="left"/>
              <w:rPr>
                <w:szCs w:val="24"/>
              </w:rPr>
            </w:pPr>
            <w:r w:rsidRPr="005C3B55">
              <w:t>cost of preparing the application for the public procurement and request for payment,</w:t>
            </w:r>
          </w:p>
          <w:p w:rsidR="00C21266" w:rsidRPr="005C3B55" w:rsidRDefault="00C21266" w:rsidP="006E20B6">
            <w:pPr>
              <w:numPr>
                <w:ilvl w:val="0"/>
                <w:numId w:val="983"/>
              </w:numPr>
              <w:spacing w:before="0" w:after="240"/>
              <w:ind w:hanging="290"/>
              <w:jc w:val="left"/>
              <w:rPr>
                <w:szCs w:val="24"/>
              </w:rPr>
            </w:pPr>
            <w:r w:rsidRPr="005C3B55">
              <w:t>in-kind contribution.</w:t>
            </w:r>
          </w:p>
          <w:p w:rsidR="00C21266" w:rsidRPr="005C3B55" w:rsidRDefault="00C21266">
            <w:pPr>
              <w:spacing w:before="240" w:after="240"/>
              <w:rPr>
                <w:szCs w:val="24"/>
              </w:rPr>
            </w:pPr>
            <w:r w:rsidRPr="005C3B55">
              <w:t>In the implementation of this sub-measure, certain specific requirements from the aspect of eligibility of costs, which will be defined in accordance with national regulations, will be taken into account.</w:t>
            </w:r>
          </w:p>
          <w:p w:rsidR="00C21266" w:rsidRPr="005C3B55" w:rsidRDefault="00C21266">
            <w:pPr>
              <w:pStyle w:val="Telobesedila"/>
              <w:rPr>
                <w:lang w:eastAsia="en-GB" w:bidi="en-GB"/>
              </w:rPr>
            </w:pPr>
          </w:p>
        </w:tc>
      </w:tr>
    </w:tbl>
    <w:p w:rsidR="00C21266" w:rsidRPr="005C3B55" w:rsidRDefault="00C21266" w:rsidP="00C21266">
      <w:pPr>
        <w:pStyle w:val="Naslov6"/>
        <w:tabs>
          <w:tab w:val="clear" w:pos="765"/>
        </w:tabs>
        <w:ind w:left="0" w:firstLine="0"/>
        <w:rPr>
          <w:lang w:val="en-GB" w:eastAsia="en-GB" w:bidi="en-GB"/>
        </w:rPr>
      </w:pPr>
      <w:r w:rsidRPr="005C3B55">
        <w:rPr>
          <w:lang w:val="en-GB"/>
        </w:rPr>
        <w:t>Conditions for eligibility</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rsidP="006E20B6">
            <w:pPr>
              <w:numPr>
                <w:ilvl w:val="0"/>
                <w:numId w:val="984"/>
              </w:numPr>
              <w:spacing w:before="0" w:after="0"/>
              <w:ind w:hanging="290"/>
              <w:jc w:val="left"/>
              <w:rPr>
                <w:rFonts w:eastAsia="Calibri"/>
                <w:szCs w:val="24"/>
              </w:rPr>
            </w:pPr>
            <w:r w:rsidRPr="005C3B55">
              <w:t>At least two partners must be included in a project partnership;</w:t>
            </w:r>
          </w:p>
          <w:p w:rsidR="00C21266" w:rsidRPr="005C3B55" w:rsidRDefault="00C21266" w:rsidP="006E20B6">
            <w:pPr>
              <w:numPr>
                <w:ilvl w:val="0"/>
                <w:numId w:val="984"/>
              </w:numPr>
              <w:spacing w:before="0" w:after="0"/>
              <w:ind w:hanging="290"/>
              <w:jc w:val="left"/>
              <w:rPr>
                <w:szCs w:val="24"/>
              </w:rPr>
            </w:pPr>
            <w:r w:rsidRPr="005C3B55">
              <w:t>Partners conclude a relationship in the cooperation entity;</w:t>
            </w:r>
          </w:p>
          <w:p w:rsidR="00C21266" w:rsidRPr="005C3B55" w:rsidRDefault="00C21266" w:rsidP="006E20B6">
            <w:pPr>
              <w:numPr>
                <w:ilvl w:val="0"/>
                <w:numId w:val="984"/>
              </w:numPr>
              <w:spacing w:before="0" w:after="0"/>
              <w:ind w:hanging="290"/>
              <w:jc w:val="left"/>
              <w:rPr>
                <w:szCs w:val="24"/>
              </w:rPr>
            </w:pPr>
            <w:r w:rsidRPr="005C3B55">
              <w:t>Settled liabilities to the state of all partners in the project;</w:t>
            </w:r>
          </w:p>
          <w:p w:rsidR="00C21266" w:rsidRPr="005C3B55" w:rsidRDefault="00C21266" w:rsidP="006E20B6">
            <w:pPr>
              <w:numPr>
                <w:ilvl w:val="0"/>
                <w:numId w:val="984"/>
              </w:numPr>
              <w:spacing w:before="0" w:after="0"/>
              <w:ind w:hanging="290"/>
              <w:jc w:val="left"/>
              <w:rPr>
                <w:szCs w:val="24"/>
              </w:rPr>
            </w:pPr>
            <w:r w:rsidRPr="005C3B55">
              <w:t>Overlapping/connection of content, results and objectives of the project with specific priorities and SWOT analysis;</w:t>
            </w:r>
          </w:p>
          <w:p w:rsidR="00C21266" w:rsidRPr="005C3B55" w:rsidRDefault="00C21266" w:rsidP="006E20B6">
            <w:pPr>
              <w:numPr>
                <w:ilvl w:val="0"/>
                <w:numId w:val="984"/>
              </w:numPr>
              <w:spacing w:before="0" w:after="0"/>
              <w:ind w:hanging="290"/>
              <w:jc w:val="left"/>
              <w:rPr>
                <w:szCs w:val="24"/>
              </w:rPr>
            </w:pPr>
            <w:r w:rsidRPr="005C3B55">
              <w:t>A drafted project plan with expected results and the adequacy of the terms of reference in terms of content;</w:t>
            </w:r>
          </w:p>
          <w:p w:rsidR="00C21266" w:rsidRPr="005C3B55" w:rsidRDefault="00C21266" w:rsidP="006E20B6">
            <w:pPr>
              <w:numPr>
                <w:ilvl w:val="0"/>
                <w:numId w:val="984"/>
              </w:numPr>
              <w:spacing w:before="0" w:after="0"/>
              <w:ind w:hanging="290"/>
              <w:jc w:val="left"/>
              <w:rPr>
                <w:szCs w:val="24"/>
              </w:rPr>
            </w:pPr>
            <w:r w:rsidRPr="005C3B55">
              <w:t>Projects already being implemented are not eligible for support;</w:t>
            </w:r>
          </w:p>
          <w:p w:rsidR="00C21266" w:rsidRPr="005C3B55" w:rsidRDefault="00C21266" w:rsidP="006E20B6">
            <w:pPr>
              <w:numPr>
                <w:ilvl w:val="0"/>
                <w:numId w:val="984"/>
              </w:numPr>
              <w:spacing w:before="0" w:after="0"/>
              <w:ind w:hanging="290"/>
              <w:jc w:val="left"/>
              <w:rPr>
                <w:szCs w:val="24"/>
              </w:rPr>
            </w:pPr>
            <w:r w:rsidRPr="005C3B55">
              <w:t>Support is intended for projects that include practical aspects and results, not for pure research projects;</w:t>
            </w:r>
          </w:p>
          <w:p w:rsidR="00C21266" w:rsidRPr="005C3B55" w:rsidRDefault="00C21266" w:rsidP="006E20B6">
            <w:pPr>
              <w:numPr>
                <w:ilvl w:val="0"/>
                <w:numId w:val="984"/>
              </w:numPr>
              <w:spacing w:before="0" w:after="240"/>
              <w:ind w:hanging="290"/>
              <w:jc w:val="left"/>
              <w:rPr>
                <w:szCs w:val="24"/>
              </w:rPr>
            </w:pPr>
            <w:r w:rsidRPr="005C3B55">
              <w:t>The results of the projects must be communicated to the interested public and submitted to target groups. The EIP network and the Network for rural development will be used to disseminate and submit the projects.</w:t>
            </w:r>
          </w:p>
          <w:p w:rsidR="00C21266" w:rsidRPr="005C3B55" w:rsidRDefault="00C21266">
            <w:pPr>
              <w:pStyle w:val="Telobesedila"/>
              <w:rPr>
                <w:lang w:eastAsia="en-GB" w:bidi="en-GB"/>
              </w:rPr>
            </w:pPr>
          </w:p>
        </w:tc>
      </w:tr>
    </w:tbl>
    <w:p w:rsidR="00C21266" w:rsidRPr="005C3B55" w:rsidRDefault="00C21266" w:rsidP="00C21266">
      <w:pPr>
        <w:pStyle w:val="Naslov6"/>
        <w:tabs>
          <w:tab w:val="clear" w:pos="765"/>
        </w:tabs>
        <w:ind w:left="0" w:firstLine="0"/>
        <w:rPr>
          <w:lang w:val="en-GB" w:eastAsia="en-GB" w:bidi="en-GB"/>
        </w:rPr>
      </w:pPr>
      <w:r w:rsidRPr="005C3B55">
        <w:rPr>
          <w:lang w:val="en-GB"/>
        </w:rPr>
        <w:t>Principles regarding the determination of selection criteria</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The sub-measure will be implemented as a closed public tender.</w:t>
            </w:r>
          </w:p>
          <w:p w:rsidR="00C21266" w:rsidRPr="005C3B55" w:rsidRDefault="00C21266">
            <w:pPr>
              <w:spacing w:before="240" w:after="240"/>
              <w:rPr>
                <w:szCs w:val="24"/>
              </w:rPr>
            </w:pPr>
            <w:r w:rsidRPr="005C3B55">
              <w:t>Selected projects whose applications are complete and adequate in terms of content and which meet the conditions for receiving funds and exceed the threshold number of points determined in the public tender will be eligible for support. Applications which score a higher number of points will be selected from among applications that exceed the threshold number of points until the funds available in the public tender are spent.</w:t>
            </w:r>
          </w:p>
          <w:p w:rsidR="00C21266" w:rsidRPr="005C3B55" w:rsidRDefault="00C21266">
            <w:pPr>
              <w:spacing w:before="240" w:after="240"/>
              <w:rPr>
                <w:szCs w:val="24"/>
              </w:rPr>
            </w:pPr>
            <w:r w:rsidRPr="005C3B55">
              <w:t>As part of the selection criteria, the greatest emphasis will be on the content and added value and its contribution to horizontal objectives. A share of co-financing the project by the beneficiary is also included in the selection criteria.</w:t>
            </w:r>
          </w:p>
          <w:p w:rsidR="00C21266" w:rsidRPr="005C3B55" w:rsidRDefault="00C21266">
            <w:pPr>
              <w:pStyle w:val="Telobesedila"/>
              <w:rPr>
                <w:lang w:eastAsia="en-GB" w:bidi="en-GB"/>
              </w:rPr>
            </w:pPr>
          </w:p>
        </w:tc>
      </w:tr>
    </w:tbl>
    <w:p w:rsidR="00C21266" w:rsidRPr="005C3B55" w:rsidRDefault="00C21266" w:rsidP="00C21266">
      <w:pPr>
        <w:pStyle w:val="Naslov6"/>
        <w:tabs>
          <w:tab w:val="clear" w:pos="765"/>
        </w:tabs>
        <w:ind w:left="0" w:firstLine="0"/>
        <w:rPr>
          <w:lang w:val="en-GB" w:eastAsia="en-GB" w:bidi="en-GB"/>
        </w:rPr>
      </w:pPr>
      <w:r w:rsidRPr="005C3B55">
        <w:rPr>
          <w:lang w:val="en-GB"/>
        </w:rPr>
        <w:t>(Valid) amounts and support rates</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The public support rate amounts to 100%of eligible costs. In cases when the beneficiary partly co-finances the costs of the project, the support rate can be lowered accordingly. The maximum and minimum permitted support rate will be determined with individual public call for tenders. A share of co-financing the costs by the beneficiary will be taken into account in the selection criteria. The support rate is reduced accordingly also in accordance with the rules on state aid.</w:t>
            </w:r>
          </w:p>
          <w:p w:rsidR="00C21266" w:rsidRPr="005C3B55" w:rsidRDefault="00C21266">
            <w:pPr>
              <w:spacing w:before="240" w:after="240"/>
              <w:rPr>
                <w:szCs w:val="24"/>
              </w:rPr>
            </w:pPr>
            <w:r w:rsidRPr="005C3B55">
              <w:t>If the project includes costs covered under other measures from this programme, the rate which corresponds to the level of this measure is to be used for these costs.</w:t>
            </w:r>
          </w:p>
          <w:p w:rsidR="00C21266" w:rsidRPr="005C3B55" w:rsidRDefault="00C21266">
            <w:pPr>
              <w:spacing w:before="240" w:after="240"/>
              <w:rPr>
                <w:szCs w:val="24"/>
              </w:rPr>
            </w:pPr>
            <w:r w:rsidRPr="005C3B55">
              <w:t>The highest amount of support per individual operation is EUR 250,000.</w:t>
            </w:r>
          </w:p>
          <w:p w:rsidR="00C21266" w:rsidRPr="005C3B55" w:rsidRDefault="00C21266">
            <w:pPr>
              <w:spacing w:before="240" w:after="240"/>
              <w:rPr>
                <w:szCs w:val="24"/>
              </w:rPr>
            </w:pPr>
            <w:r w:rsidRPr="005C3B55">
              <w:t>Support is granted for the duration of the project, but not for more than 7 years.</w:t>
            </w:r>
          </w:p>
          <w:p w:rsidR="00C21266" w:rsidRPr="005C3B55" w:rsidRDefault="00C21266">
            <w:pPr>
              <w:spacing w:before="240" w:after="240"/>
              <w:rPr>
                <w:szCs w:val="24"/>
              </w:rPr>
            </w:pPr>
            <w:r w:rsidRPr="005C3B55">
              <w:t>Pursuant to Point 4 of Article 45 of Regulation (EU) No 1305/2013 the beneficiaries to investments may apply at the paying agency for the prepayment in the amount of 30% of the public support value after the issue of the decision on the eligibility to means.</w:t>
            </w:r>
          </w:p>
          <w:p w:rsidR="00C21266" w:rsidRPr="005C3B55" w:rsidRDefault="00C21266">
            <w:pPr>
              <w:pStyle w:val="Telobesedila"/>
              <w:rPr>
                <w:lang w:eastAsia="en-GB" w:bidi="en-GB"/>
              </w:rPr>
            </w:pPr>
          </w:p>
        </w:tc>
      </w:tr>
    </w:tbl>
    <w:p w:rsidR="00C21266" w:rsidRPr="005C3B55" w:rsidRDefault="00C21266" w:rsidP="00C21266">
      <w:pPr>
        <w:pStyle w:val="Naslov6"/>
        <w:tabs>
          <w:tab w:val="clear" w:pos="765"/>
        </w:tabs>
        <w:ind w:left="0" w:firstLine="0"/>
        <w:rPr>
          <w:lang w:val="en-GB" w:eastAsia="en-GB" w:bidi="en-GB"/>
        </w:rPr>
      </w:pPr>
      <w:r w:rsidRPr="005C3B55">
        <w:rPr>
          <w:lang w:val="en-GB"/>
        </w:rPr>
        <w:t>Verifiability and possibility of control of measures and/or type of operations</w:t>
      </w:r>
    </w:p>
    <w:p w:rsidR="00C21266" w:rsidRPr="005C3B55" w:rsidRDefault="00C21266" w:rsidP="00C21266">
      <w:pPr>
        <w:pStyle w:val="Naslov7"/>
        <w:tabs>
          <w:tab w:val="clear" w:pos="765"/>
        </w:tabs>
        <w:ind w:left="0" w:firstLine="0"/>
        <w:rPr>
          <w:lang w:val="en-GB"/>
        </w:rPr>
      </w:pPr>
      <w:r w:rsidRPr="005C3B55">
        <w:rPr>
          <w:lang w:val="en-GB"/>
        </w:rPr>
        <w:t>Risks in the implementation of the measure</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rPr>
                <w:b/>
              </w:rPr>
              <w:t>R7: Selection of beneficiaries</w:t>
            </w:r>
          </w:p>
          <w:p w:rsidR="00C21266" w:rsidRPr="005C3B55" w:rsidRDefault="00C21266">
            <w:pPr>
              <w:spacing w:before="240" w:after="240"/>
              <w:rPr>
                <w:szCs w:val="24"/>
              </w:rPr>
            </w:pPr>
            <w:r w:rsidRPr="005C3B55">
              <w:t>There is a risk of:</w:t>
            </w:r>
          </w:p>
          <w:p w:rsidR="00C21266" w:rsidRPr="005C3B55" w:rsidRDefault="00C21266" w:rsidP="006E20B6">
            <w:pPr>
              <w:numPr>
                <w:ilvl w:val="0"/>
                <w:numId w:val="985"/>
              </w:numPr>
              <w:spacing w:before="240" w:after="0"/>
              <w:ind w:hanging="290"/>
              <w:jc w:val="left"/>
              <w:rPr>
                <w:szCs w:val="24"/>
              </w:rPr>
            </w:pPr>
            <w:r w:rsidRPr="005C3B55">
              <w:t>misunderstanding of the measure,</w:t>
            </w:r>
          </w:p>
          <w:p w:rsidR="00C21266" w:rsidRPr="005C3B55" w:rsidRDefault="00C21266" w:rsidP="006E20B6">
            <w:pPr>
              <w:numPr>
                <w:ilvl w:val="0"/>
                <w:numId w:val="985"/>
              </w:numPr>
              <w:spacing w:before="0" w:after="0"/>
              <w:ind w:hanging="290"/>
              <w:jc w:val="left"/>
              <w:rPr>
                <w:szCs w:val="24"/>
              </w:rPr>
            </w:pPr>
            <w:r w:rsidRPr="005C3B55">
              <w:t>poor quality of applied projects,</w:t>
            </w:r>
          </w:p>
          <w:p w:rsidR="00C21266" w:rsidRPr="005C3B55" w:rsidRDefault="00C21266" w:rsidP="006E20B6">
            <w:pPr>
              <w:numPr>
                <w:ilvl w:val="0"/>
                <w:numId w:val="985"/>
              </w:numPr>
              <w:spacing w:before="0" w:after="240"/>
              <w:ind w:hanging="290"/>
              <w:jc w:val="left"/>
              <w:rPr>
                <w:szCs w:val="24"/>
              </w:rPr>
            </w:pPr>
            <w:r w:rsidRPr="005C3B55">
              <w:t>inappropriate selection of supported projects.</w:t>
            </w:r>
          </w:p>
          <w:p w:rsidR="00C21266" w:rsidRPr="005C3B55" w:rsidRDefault="00C21266">
            <w:pPr>
              <w:spacing w:before="240" w:after="240"/>
              <w:rPr>
                <w:szCs w:val="24"/>
              </w:rPr>
            </w:pPr>
            <w:r w:rsidRPr="005C3B55">
              <w:rPr>
                <w:b/>
              </w:rPr>
              <w:t>R8: IT systems</w:t>
            </w:r>
          </w:p>
          <w:p w:rsidR="00C21266" w:rsidRPr="005C3B55" w:rsidRDefault="00C21266">
            <w:pPr>
              <w:spacing w:before="240" w:after="240"/>
              <w:rPr>
                <w:szCs w:val="24"/>
              </w:rPr>
            </w:pPr>
            <w:r w:rsidRPr="005C3B55">
              <w:t>Risks have been detected particularly in the correct functioning of IT systems or in providing suitable capacities for processing all information. Risks may also be posed by disorderly or outdated registers which are the result of incompatible databases.</w:t>
            </w:r>
          </w:p>
          <w:p w:rsidR="00C21266" w:rsidRPr="005C3B55" w:rsidRDefault="00C21266">
            <w:pPr>
              <w:spacing w:before="240" w:after="240"/>
              <w:rPr>
                <w:szCs w:val="24"/>
              </w:rPr>
            </w:pPr>
            <w:r w:rsidRPr="005C3B55">
              <w:rPr>
                <w:b/>
              </w:rPr>
              <w:t>R9: Requests for payment</w:t>
            </w:r>
          </w:p>
          <w:p w:rsidR="00C21266" w:rsidRPr="005C3B55" w:rsidRDefault="00C21266">
            <w:pPr>
              <w:spacing w:before="240" w:after="240"/>
              <w:rPr>
                <w:szCs w:val="24"/>
              </w:rPr>
            </w:pPr>
            <w:r w:rsidRPr="005C3B55">
              <w:t>The greatest risk arises in the processing of requests for payment. Due to unprofessional preparation, the procedure for processing them may take several months. The main reason is the lack of information for beneficiaries and persons preparing applications. There is an additional risk of poor project management and insufficient attaining of the set objectives.</w:t>
            </w:r>
          </w:p>
          <w:p w:rsidR="00C21266" w:rsidRPr="005C3B55" w:rsidRDefault="00C21266">
            <w:pPr>
              <w:pStyle w:val="Telobesedila"/>
              <w:rPr>
                <w:lang w:eastAsia="en-GB" w:bidi="en-GB"/>
              </w:rPr>
            </w:pPr>
          </w:p>
        </w:tc>
      </w:tr>
    </w:tbl>
    <w:p w:rsidR="00C21266" w:rsidRPr="005C3B55" w:rsidRDefault="00C21266" w:rsidP="00C21266">
      <w:pPr>
        <w:pStyle w:val="Naslov7"/>
        <w:tabs>
          <w:tab w:val="clear" w:pos="765"/>
        </w:tabs>
        <w:ind w:left="0" w:firstLine="0"/>
        <w:rPr>
          <w:lang w:val="en-GB" w:eastAsia="en-GB" w:bidi="en-GB"/>
        </w:rPr>
      </w:pPr>
      <w:r w:rsidRPr="005C3B55">
        <w:rPr>
          <w:lang w:val="en-GB"/>
        </w:rPr>
        <w:t>Mitigation measures</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 </w:t>
            </w:r>
          </w:p>
          <w:p w:rsidR="00C21266" w:rsidRPr="005C3B55" w:rsidRDefault="00C21266">
            <w:pPr>
              <w:spacing w:before="240" w:after="240"/>
              <w:rPr>
                <w:szCs w:val="24"/>
              </w:rPr>
            </w:pPr>
            <w:r w:rsidRPr="005C3B55">
              <w:rPr>
                <w:b/>
              </w:rPr>
              <w:t>R7: Selection of beneficiaries</w:t>
            </w:r>
          </w:p>
          <w:p w:rsidR="00C21266" w:rsidRPr="005C3B55" w:rsidRDefault="00C21266" w:rsidP="006E20B6">
            <w:pPr>
              <w:numPr>
                <w:ilvl w:val="0"/>
                <w:numId w:val="986"/>
              </w:numPr>
              <w:spacing w:before="240" w:after="0"/>
              <w:ind w:hanging="290"/>
              <w:jc w:val="left"/>
              <w:rPr>
                <w:szCs w:val="24"/>
              </w:rPr>
            </w:pPr>
            <w:r w:rsidRPr="005C3B55">
              <w:rPr>
                <w:b/>
              </w:rPr>
              <w:t>Misunderstanding of the measure:</w:t>
            </w:r>
            <w:r w:rsidRPr="005C3B55">
              <w:t xml:space="preserve"> Implementation of seminars and workshops related to the topic of the measure. Preparation of printed and on-line materials.</w:t>
            </w:r>
          </w:p>
          <w:p w:rsidR="00C21266" w:rsidRPr="005C3B55" w:rsidRDefault="00C21266" w:rsidP="006E20B6">
            <w:pPr>
              <w:numPr>
                <w:ilvl w:val="0"/>
                <w:numId w:val="986"/>
              </w:numPr>
              <w:spacing w:before="0" w:after="0"/>
              <w:ind w:hanging="290"/>
              <w:jc w:val="left"/>
              <w:rPr>
                <w:szCs w:val="24"/>
              </w:rPr>
            </w:pPr>
            <w:r w:rsidRPr="005C3B55">
              <w:rPr>
                <w:b/>
              </w:rPr>
              <w:t>Poor quality of applied projects:</w:t>
            </w:r>
            <w:r w:rsidRPr="005C3B55">
              <w:t xml:space="preserve"> Implementation of seminars and workshops related to the topic of the measure. Preliminary harmonisation with stakeholders and actors involved in the measure with regard to priority content and expected results of cooperation projects. Promotion of priority areas.</w:t>
            </w:r>
          </w:p>
          <w:p w:rsidR="00C21266" w:rsidRPr="005C3B55" w:rsidRDefault="00C21266" w:rsidP="006E20B6">
            <w:pPr>
              <w:numPr>
                <w:ilvl w:val="0"/>
                <w:numId w:val="986"/>
              </w:numPr>
              <w:spacing w:before="0" w:after="240"/>
              <w:ind w:hanging="290"/>
              <w:jc w:val="left"/>
              <w:rPr>
                <w:szCs w:val="24"/>
              </w:rPr>
            </w:pPr>
            <w:r w:rsidRPr="005C3B55">
              <w:rPr>
                <w:b/>
              </w:rPr>
              <w:t>Inappropriate selection of supported projects:</w:t>
            </w:r>
            <w:r w:rsidRPr="005C3B55">
              <w:t xml:space="preserve"> Establishment and functioning of a commission for the selection of projects with competent and independent members. Continuous assessment of applicability of selected projects with regard to achieving planned results.</w:t>
            </w:r>
          </w:p>
          <w:p w:rsidR="00C21266" w:rsidRPr="005C3B55" w:rsidRDefault="00C21266">
            <w:pPr>
              <w:spacing w:before="240" w:after="240"/>
              <w:rPr>
                <w:szCs w:val="24"/>
              </w:rPr>
            </w:pPr>
            <w:r w:rsidRPr="005C3B55">
              <w:rPr>
                <w:b/>
              </w:rPr>
              <w:t>R8: IT systems</w:t>
            </w:r>
          </w:p>
          <w:p w:rsidR="00C21266" w:rsidRPr="005C3B55" w:rsidRDefault="00C21266">
            <w:pPr>
              <w:spacing w:before="240" w:after="240"/>
              <w:rPr>
                <w:szCs w:val="24"/>
              </w:rPr>
            </w:pPr>
            <w:r w:rsidRPr="005C3B55">
              <w:t>An IT system will be set up at the Paying Agency to facilitate the electronic processing of applications and requests for payment. The acquisition of data will be electronic to the greatest extent possible by means of connectivity between different databases. If databases are not mutually compatible so that they can be automatically verified within the IT system, verification will be carried out by exchanging data between database media.</w:t>
            </w:r>
          </w:p>
          <w:p w:rsidR="00C21266" w:rsidRPr="005C3B55" w:rsidRDefault="00C21266">
            <w:pPr>
              <w:spacing w:before="240" w:after="240"/>
              <w:rPr>
                <w:szCs w:val="24"/>
              </w:rPr>
            </w:pPr>
            <w:r w:rsidRPr="005C3B55">
              <w:rPr>
                <w:b/>
              </w:rPr>
              <w:t>R9: Requests for payment</w:t>
            </w:r>
          </w:p>
          <w:p w:rsidR="00C21266" w:rsidRPr="005C3B55" w:rsidRDefault="00C21266">
            <w:pPr>
              <w:spacing w:before="240" w:after="240"/>
              <w:rPr>
                <w:szCs w:val="24"/>
              </w:rPr>
            </w:pPr>
            <w:r w:rsidRPr="005C3B55">
              <w:t>Training on preparing requests for payment will be organised for beneficiaries and individuals preparing applications. Instructions on preparing requests for payment will be prepared to ensure that requests are well prepared.</w:t>
            </w:r>
          </w:p>
          <w:p w:rsidR="00C21266" w:rsidRPr="005C3B55" w:rsidRDefault="00C21266">
            <w:pPr>
              <w:spacing w:before="240" w:after="240"/>
              <w:rPr>
                <w:szCs w:val="24"/>
              </w:rPr>
            </w:pPr>
            <w:r w:rsidRPr="005C3B55">
              <w:t>The educational events in the field of planning, implementation and project management will be implemented with the purpose of better project management and attainment of the set objectives. Constant monitoring and control of results will also be carried out. Appropriate sanctioning system with dissuasive concepts will be established and announced.</w:t>
            </w:r>
          </w:p>
          <w:p w:rsidR="00C21266" w:rsidRPr="005C3B55" w:rsidRDefault="00C21266">
            <w:pPr>
              <w:spacing w:before="240" w:after="240"/>
              <w:rPr>
                <w:szCs w:val="24"/>
              </w:rPr>
            </w:pPr>
            <w:r w:rsidRPr="005C3B55">
              <w:t> </w:t>
            </w:r>
          </w:p>
          <w:p w:rsidR="00C21266" w:rsidRPr="005C3B55" w:rsidRDefault="00C21266">
            <w:pPr>
              <w:pStyle w:val="Telobesedila"/>
              <w:rPr>
                <w:lang w:eastAsia="en-GB" w:bidi="en-GB"/>
              </w:rPr>
            </w:pPr>
          </w:p>
        </w:tc>
      </w:tr>
    </w:tbl>
    <w:p w:rsidR="00C21266" w:rsidRPr="005C3B55" w:rsidRDefault="00C21266" w:rsidP="00C21266">
      <w:pPr>
        <w:pStyle w:val="Naslov7"/>
        <w:tabs>
          <w:tab w:val="clear" w:pos="765"/>
        </w:tabs>
        <w:ind w:left="0" w:firstLine="0"/>
        <w:rPr>
          <w:lang w:val="en-GB" w:eastAsia="en-GB" w:bidi="en-GB"/>
        </w:rPr>
      </w:pPr>
      <w:r w:rsidRPr="005C3B55">
        <w:rPr>
          <w:lang w:val="en-GB"/>
        </w:rPr>
        <w:t>General assessment of the measure</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The sub-measure in the anticipated form is fully feasible and controllable and will have the expected results and contribute to achieving the goals. This sub-measure will make an important contribution to the realisation of horizontal objectives, especially increasing innovation, research and development in rural environment and for this reason the implementation of the sub-measure is necessary.</w:t>
            </w:r>
          </w:p>
          <w:p w:rsidR="00C21266" w:rsidRPr="005C3B55" w:rsidRDefault="00C21266">
            <w:pPr>
              <w:pStyle w:val="Telobesedila"/>
              <w:rPr>
                <w:lang w:eastAsia="en-GB" w:bidi="en-GB"/>
              </w:rPr>
            </w:pPr>
          </w:p>
        </w:tc>
      </w:tr>
    </w:tbl>
    <w:p w:rsidR="00C21266" w:rsidRPr="005C3B55" w:rsidRDefault="00C21266" w:rsidP="00C21266">
      <w:pPr>
        <w:pStyle w:val="Naslov6"/>
        <w:tabs>
          <w:tab w:val="clear" w:pos="765"/>
        </w:tabs>
        <w:ind w:left="0" w:firstLine="0"/>
        <w:rPr>
          <w:lang w:val="en-GB" w:eastAsia="en-GB" w:bidi="en-GB"/>
        </w:rPr>
      </w:pPr>
      <w:r w:rsidRPr="005C3B55">
        <w:rPr>
          <w:lang w:val="en-GB"/>
        </w:rPr>
        <w:t>Methodology for calculating support amount, where relevant</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Not relevant.</w:t>
            </w:r>
          </w:p>
          <w:p w:rsidR="00C21266" w:rsidRPr="005C3B55" w:rsidRDefault="00C21266">
            <w:pPr>
              <w:pStyle w:val="Telobesedila"/>
              <w:rPr>
                <w:lang w:eastAsia="en-GB" w:bidi="en-GB"/>
              </w:rPr>
            </w:pPr>
          </w:p>
        </w:tc>
      </w:tr>
    </w:tbl>
    <w:p w:rsidR="00C21266" w:rsidRPr="005C3B55" w:rsidRDefault="00C21266" w:rsidP="00C21266">
      <w:pPr>
        <w:pStyle w:val="Naslov6"/>
        <w:tabs>
          <w:tab w:val="clear" w:pos="765"/>
        </w:tabs>
        <w:ind w:left="0" w:firstLine="0"/>
        <w:rPr>
          <w:lang w:val="en-GB" w:eastAsia="en-GB" w:bidi="en-GB"/>
        </w:rPr>
      </w:pPr>
      <w:r w:rsidRPr="005C3B55">
        <w:rPr>
          <w:lang w:val="en-GB"/>
        </w:rPr>
        <w:t>Information that relates specifically to the operation</w:t>
      </w:r>
    </w:p>
    <w:p w:rsidR="00C21266" w:rsidRPr="005C3B55" w:rsidRDefault="00C21266" w:rsidP="00C21266">
      <w:r w:rsidRPr="005C3B55">
        <w:t>Defining the characteristics of pilot projects, clusters, networks, short supply chains and local markets.</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Not relevant.</w:t>
            </w:r>
          </w:p>
          <w:p w:rsidR="00C21266" w:rsidRPr="005C3B55" w:rsidRDefault="00C21266">
            <w:pPr>
              <w:pStyle w:val="Telobesedila"/>
              <w:rPr>
                <w:lang w:eastAsia="en-GB" w:bidi="en-GB"/>
              </w:rPr>
            </w:pPr>
          </w:p>
        </w:tc>
      </w:tr>
    </w:tbl>
    <w:p w:rsidR="00C21266" w:rsidRPr="005C3B55" w:rsidRDefault="00C21266" w:rsidP="00C21266">
      <w:pPr>
        <w:pStyle w:val="Naslov5"/>
        <w:tabs>
          <w:tab w:val="clear" w:pos="765"/>
        </w:tabs>
        <w:ind w:left="0" w:firstLine="0"/>
        <w:rPr>
          <w:b w:val="0"/>
          <w:lang w:val="en-GB" w:eastAsia="en-GB" w:bidi="en-GB"/>
        </w:rPr>
      </w:pPr>
      <w:r w:rsidRPr="005C3B55">
        <w:rPr>
          <w:b w:val="0"/>
          <w:lang w:val="en-GB"/>
        </w:rPr>
        <w:br w:type="page"/>
        <w:t>Technological development in agriculture, forestry and food industry</w:t>
      </w:r>
    </w:p>
    <w:p w:rsidR="00C21266" w:rsidRPr="005C3B55" w:rsidRDefault="00C21266" w:rsidP="00C21266">
      <w:r w:rsidRPr="005C3B55">
        <w:t xml:space="preserve">Sub-measure: </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numPr>
                <w:ilvl w:val="0"/>
                <w:numId w:val="987"/>
              </w:numPr>
              <w:rPr>
                <w:rFonts w:eastAsia="Calibri"/>
              </w:rPr>
            </w:pPr>
            <w:r w:rsidRPr="005C3B55">
              <w:t>16.1 - Support for establishing and operation of operating groups of European partnership for innovations in the field of agricultural productivity and sustainability.</w:t>
            </w:r>
          </w:p>
          <w:p w:rsidR="00C21266" w:rsidRPr="005C3B55" w:rsidRDefault="00C21266">
            <w:pPr>
              <w:numPr>
                <w:ilvl w:val="0"/>
                <w:numId w:val="987"/>
              </w:numPr>
              <w:rPr>
                <w:rFonts w:eastAsia="Calibri"/>
                <w:lang w:eastAsia="en-GB" w:bidi="en-GB"/>
              </w:rPr>
            </w:pPr>
            <w:r w:rsidRPr="005C3B55">
              <w:t>16.2 – Support for pilot projects and for the development of new products, practices, processes and technologies</w:t>
            </w:r>
          </w:p>
        </w:tc>
      </w:tr>
    </w:tbl>
    <w:p w:rsidR="00C21266" w:rsidRPr="005C3B55" w:rsidRDefault="00C21266" w:rsidP="00C21266">
      <w:pPr>
        <w:pStyle w:val="Naslov6"/>
        <w:tabs>
          <w:tab w:val="clear" w:pos="765"/>
        </w:tabs>
        <w:ind w:left="0" w:firstLine="0"/>
        <w:rPr>
          <w:lang w:val="en-GB" w:eastAsia="en-GB" w:bidi="en-GB"/>
        </w:rPr>
      </w:pPr>
      <w:r w:rsidRPr="005C3B55">
        <w:rPr>
          <w:lang w:val="en-GB"/>
        </w:rPr>
        <w:t>Description of type of operation</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The purpose of the sub-measure is the cooperation between various players in the field of agriculture and development of rural area in implementing the projects related to the technological development in agriculture, forestry and food industry that will contribute to attaining objectives of rural development.</w:t>
            </w:r>
          </w:p>
          <w:p w:rsidR="00C21266" w:rsidRPr="005C3B55" w:rsidRDefault="00C21266">
            <w:pPr>
              <w:spacing w:before="240" w:after="240"/>
              <w:rPr>
                <w:szCs w:val="24"/>
              </w:rPr>
            </w:pPr>
            <w:r w:rsidRPr="005C3B55">
              <w:t>Projects which result in new achievements and solutions, and innovative approaches in the field of technological development in agriculture, forestry and food industry will be supported.</w:t>
            </w:r>
          </w:p>
          <w:p w:rsidR="00C21266" w:rsidRPr="005C3B55" w:rsidRDefault="00C21266">
            <w:pPr>
              <w:pStyle w:val="Telobesedila"/>
              <w:rPr>
                <w:lang w:eastAsia="en-GB" w:bidi="en-GB"/>
              </w:rPr>
            </w:pPr>
          </w:p>
        </w:tc>
      </w:tr>
    </w:tbl>
    <w:p w:rsidR="00C21266" w:rsidRPr="005C3B55" w:rsidRDefault="00C21266" w:rsidP="00C21266">
      <w:pPr>
        <w:pStyle w:val="Naslov6"/>
        <w:tabs>
          <w:tab w:val="clear" w:pos="765"/>
        </w:tabs>
        <w:ind w:left="0" w:firstLine="0"/>
        <w:rPr>
          <w:lang w:val="en-GB" w:eastAsia="en-GB" w:bidi="en-GB"/>
        </w:rPr>
      </w:pPr>
      <w:r w:rsidRPr="005C3B55">
        <w:rPr>
          <w:lang w:val="en-GB"/>
        </w:rPr>
        <w:t>Type of support</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Public support is granted in the form of non-refundable financial aid.</w:t>
            </w:r>
          </w:p>
          <w:p w:rsidR="00C21266" w:rsidRPr="005C3B55" w:rsidRDefault="00C21266">
            <w:pPr>
              <w:pStyle w:val="Telobesedila"/>
              <w:rPr>
                <w:lang w:eastAsia="en-GB" w:bidi="en-GB"/>
              </w:rPr>
            </w:pPr>
          </w:p>
        </w:tc>
      </w:tr>
    </w:tbl>
    <w:p w:rsidR="00C21266" w:rsidRPr="005C3B55" w:rsidRDefault="00C21266" w:rsidP="00C21266">
      <w:pPr>
        <w:pStyle w:val="Naslov6"/>
        <w:tabs>
          <w:tab w:val="clear" w:pos="765"/>
        </w:tabs>
        <w:ind w:left="0" w:firstLine="0"/>
        <w:rPr>
          <w:lang w:val="en-GB" w:eastAsia="en-GB" w:bidi="en-GB"/>
        </w:rPr>
      </w:pPr>
      <w:r w:rsidRPr="005C3B55">
        <w:rPr>
          <w:lang w:val="en-GB"/>
        </w:rPr>
        <w:t>Connection with other legislation</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rsidP="006E20B6">
            <w:pPr>
              <w:numPr>
                <w:ilvl w:val="0"/>
                <w:numId w:val="988"/>
              </w:numPr>
              <w:spacing w:before="0" w:after="0"/>
              <w:ind w:hanging="290"/>
              <w:jc w:val="left"/>
              <w:rPr>
                <w:rFonts w:eastAsia="Calibri"/>
                <w:szCs w:val="24"/>
              </w:rPr>
            </w:pPr>
            <w:r w:rsidRPr="005C3B55">
              <w:t>Agriculture Act (Official Gazette of the Republic of Slovenia, no. 45/2008 with all amendments);</w:t>
            </w:r>
          </w:p>
          <w:p w:rsidR="00C21266" w:rsidRPr="005C3B55" w:rsidRDefault="00C21266" w:rsidP="006E20B6">
            <w:pPr>
              <w:numPr>
                <w:ilvl w:val="0"/>
                <w:numId w:val="988"/>
              </w:numPr>
              <w:spacing w:before="0" w:after="0"/>
              <w:ind w:hanging="290"/>
              <w:jc w:val="left"/>
              <w:rPr>
                <w:szCs w:val="24"/>
              </w:rPr>
            </w:pPr>
            <w:r w:rsidRPr="005C3B55">
              <w:t>national regulation which regulates the implementation of this sub-measure;</w:t>
            </w:r>
          </w:p>
          <w:p w:rsidR="00C21266" w:rsidRPr="005C3B55" w:rsidRDefault="00C21266" w:rsidP="006E20B6">
            <w:pPr>
              <w:numPr>
                <w:ilvl w:val="0"/>
                <w:numId w:val="988"/>
              </w:numPr>
              <w:spacing w:before="0" w:after="240"/>
              <w:ind w:hanging="290"/>
              <w:jc w:val="left"/>
              <w:rPr>
                <w:szCs w:val="24"/>
              </w:rPr>
            </w:pPr>
            <w:r w:rsidRPr="005C3B55">
              <w:t>other EU and national legislation on the field of this operation.</w:t>
            </w:r>
          </w:p>
          <w:p w:rsidR="00C21266" w:rsidRPr="005C3B55" w:rsidRDefault="00C21266">
            <w:pPr>
              <w:pStyle w:val="Telobesedila"/>
              <w:rPr>
                <w:lang w:eastAsia="en-GB" w:bidi="en-GB"/>
              </w:rPr>
            </w:pPr>
          </w:p>
        </w:tc>
      </w:tr>
    </w:tbl>
    <w:p w:rsidR="00C21266" w:rsidRPr="005C3B55" w:rsidRDefault="00C21266" w:rsidP="00C21266">
      <w:pPr>
        <w:pStyle w:val="Naslov6"/>
        <w:tabs>
          <w:tab w:val="clear" w:pos="765"/>
        </w:tabs>
        <w:ind w:left="0" w:firstLine="0"/>
        <w:rPr>
          <w:lang w:val="en-GB" w:eastAsia="en-GB" w:bidi="en-GB"/>
        </w:rPr>
      </w:pPr>
      <w:r w:rsidRPr="005C3B55">
        <w:rPr>
          <w:lang w:val="en-GB"/>
        </w:rPr>
        <w:t>Beneficiaries</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Beneficiaries within the scope of this measure are various forms of cooperation which include at least two entities:</w:t>
            </w:r>
          </w:p>
          <w:p w:rsidR="00C21266" w:rsidRPr="005C3B55" w:rsidRDefault="00C21266" w:rsidP="00C21266">
            <w:pPr>
              <w:numPr>
                <w:ilvl w:val="0"/>
                <w:numId w:val="989"/>
              </w:numPr>
              <w:spacing w:before="240" w:after="0"/>
              <w:jc w:val="left"/>
              <w:rPr>
                <w:szCs w:val="24"/>
              </w:rPr>
            </w:pPr>
            <w:r w:rsidRPr="005C3B55">
              <w:t>cooperation approaches among different entities in the agriculture sector, food chain and forestry sector and other participants that contribute to achieving the objectives and priorities of the rural development policy, including producer groups, cooperatives and inter-branch organisations;</w:t>
            </w:r>
          </w:p>
          <w:p w:rsidR="00C21266" w:rsidRPr="005C3B55" w:rsidRDefault="00C21266" w:rsidP="006E20B6">
            <w:pPr>
              <w:numPr>
                <w:ilvl w:val="0"/>
                <w:numId w:val="989"/>
              </w:numPr>
              <w:spacing w:before="0" w:after="240"/>
              <w:ind w:hanging="347"/>
              <w:jc w:val="left"/>
              <w:rPr>
                <w:szCs w:val="24"/>
              </w:rPr>
            </w:pPr>
            <w:r w:rsidRPr="005C3B55">
              <w:t>operational groups of the EIP for agricultural productivity and sustainability.</w:t>
            </w:r>
          </w:p>
          <w:p w:rsidR="00C21266" w:rsidRPr="005C3B55" w:rsidRDefault="00C21266">
            <w:pPr>
              <w:pStyle w:val="Telobesedila"/>
              <w:rPr>
                <w:lang w:eastAsia="en-GB" w:bidi="en-GB"/>
              </w:rPr>
            </w:pPr>
          </w:p>
        </w:tc>
      </w:tr>
    </w:tbl>
    <w:p w:rsidR="00C21266" w:rsidRPr="005C3B55" w:rsidRDefault="00C21266" w:rsidP="00C21266">
      <w:pPr>
        <w:pStyle w:val="Naslov6"/>
        <w:tabs>
          <w:tab w:val="clear" w:pos="765"/>
        </w:tabs>
        <w:ind w:left="0" w:firstLine="0"/>
        <w:rPr>
          <w:lang w:val="en-GB" w:eastAsia="en-GB" w:bidi="en-GB"/>
        </w:rPr>
      </w:pPr>
      <w:r w:rsidRPr="005C3B55">
        <w:rPr>
          <w:lang w:val="en-GB"/>
        </w:rPr>
        <w:t>Eligible costs</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The following costs under Article 35 of Regulation (EU) No 1305/2013 are eligible for support within the scope of this sub-measure:</w:t>
            </w:r>
          </w:p>
          <w:p w:rsidR="00C21266" w:rsidRPr="005C3B55" w:rsidRDefault="00C21266" w:rsidP="006E20B6">
            <w:pPr>
              <w:numPr>
                <w:ilvl w:val="0"/>
                <w:numId w:val="990"/>
              </w:numPr>
              <w:spacing w:before="240" w:after="0"/>
              <w:ind w:hanging="290"/>
              <w:jc w:val="left"/>
              <w:rPr>
                <w:szCs w:val="24"/>
              </w:rPr>
            </w:pPr>
            <w:r w:rsidRPr="005C3B55">
              <w:t>running costs of cooperation related to implementing the project;</w:t>
            </w:r>
          </w:p>
          <w:p w:rsidR="00C21266" w:rsidRPr="005C3B55" w:rsidRDefault="00C21266" w:rsidP="006E20B6">
            <w:pPr>
              <w:numPr>
                <w:ilvl w:val="0"/>
                <w:numId w:val="990"/>
              </w:numPr>
              <w:spacing w:before="0" w:after="0"/>
              <w:ind w:hanging="290"/>
              <w:jc w:val="left"/>
              <w:rPr>
                <w:szCs w:val="24"/>
              </w:rPr>
            </w:pPr>
            <w:r w:rsidRPr="005C3B55">
              <w:t>indirect costs related to implementing the project, business plan or activities;</w:t>
            </w:r>
          </w:p>
          <w:p w:rsidR="00C21266" w:rsidRPr="005C3B55" w:rsidRDefault="00C21266" w:rsidP="006E20B6">
            <w:pPr>
              <w:numPr>
                <w:ilvl w:val="0"/>
                <w:numId w:val="990"/>
              </w:numPr>
              <w:spacing w:before="0" w:after="0"/>
              <w:ind w:hanging="290"/>
              <w:jc w:val="left"/>
              <w:rPr>
                <w:szCs w:val="24"/>
              </w:rPr>
            </w:pPr>
            <w:r w:rsidRPr="005C3B55">
              <w:t>costs of establishing a cluster or network in the implementation of the project; and</w:t>
            </w:r>
          </w:p>
          <w:p w:rsidR="00C21266" w:rsidRPr="005C3B55" w:rsidRDefault="00C21266" w:rsidP="006E20B6">
            <w:pPr>
              <w:numPr>
                <w:ilvl w:val="0"/>
                <w:numId w:val="990"/>
              </w:numPr>
              <w:spacing w:before="0" w:after="240"/>
              <w:ind w:hanging="290"/>
              <w:jc w:val="left"/>
              <w:rPr>
                <w:szCs w:val="24"/>
              </w:rPr>
            </w:pPr>
            <w:r w:rsidRPr="005C3B55">
              <w:t>costs of promotional activities.</w:t>
            </w:r>
          </w:p>
          <w:p w:rsidR="00C21266" w:rsidRPr="005C3B55" w:rsidRDefault="00C21266">
            <w:pPr>
              <w:spacing w:before="240" w:after="240"/>
              <w:rPr>
                <w:szCs w:val="24"/>
              </w:rPr>
            </w:pPr>
            <w:r w:rsidRPr="005C3B55">
              <w:t>The following costs are not entitled to support:</w:t>
            </w:r>
          </w:p>
          <w:p w:rsidR="00C21266" w:rsidRPr="005C3B55" w:rsidRDefault="00C21266" w:rsidP="006E20B6">
            <w:pPr>
              <w:numPr>
                <w:ilvl w:val="0"/>
                <w:numId w:val="991"/>
              </w:numPr>
              <w:spacing w:before="240" w:after="0"/>
              <w:ind w:hanging="290"/>
              <w:jc w:val="left"/>
              <w:rPr>
                <w:szCs w:val="24"/>
              </w:rPr>
            </w:pPr>
            <w:r w:rsidRPr="005C3B55">
              <w:t>interest on debts,</w:t>
            </w:r>
          </w:p>
          <w:p w:rsidR="00C21266" w:rsidRPr="005C3B55" w:rsidRDefault="00C21266" w:rsidP="006E20B6">
            <w:pPr>
              <w:numPr>
                <w:ilvl w:val="0"/>
                <w:numId w:val="991"/>
              </w:numPr>
              <w:spacing w:before="0" w:after="0"/>
              <w:ind w:hanging="290"/>
              <w:jc w:val="left"/>
              <w:rPr>
                <w:szCs w:val="24"/>
              </w:rPr>
            </w:pPr>
            <w:r w:rsidRPr="005C3B55">
              <w:t>value added tax (VAT), unless it is recoverable on the basis of the national legislation on VAT,</w:t>
            </w:r>
          </w:p>
          <w:p w:rsidR="00C21266" w:rsidRPr="005C3B55" w:rsidRDefault="00C21266" w:rsidP="006E20B6">
            <w:pPr>
              <w:numPr>
                <w:ilvl w:val="0"/>
                <w:numId w:val="991"/>
              </w:numPr>
              <w:spacing w:before="0" w:after="0"/>
              <w:ind w:hanging="290"/>
              <w:jc w:val="left"/>
              <w:rPr>
                <w:szCs w:val="24"/>
              </w:rPr>
            </w:pPr>
            <w:r w:rsidRPr="005C3B55">
              <w:t>costs of archaeological works and archaeological supervision,</w:t>
            </w:r>
          </w:p>
          <w:p w:rsidR="00C21266" w:rsidRPr="005C3B55" w:rsidRDefault="00C21266" w:rsidP="006E20B6">
            <w:pPr>
              <w:numPr>
                <w:ilvl w:val="0"/>
                <w:numId w:val="991"/>
              </w:numPr>
              <w:spacing w:before="0" w:after="0"/>
              <w:ind w:hanging="290"/>
              <w:jc w:val="left"/>
              <w:rPr>
                <w:szCs w:val="24"/>
              </w:rPr>
            </w:pPr>
            <w:r w:rsidRPr="005C3B55">
              <w:t>cost of preparing the application for the public procurement and request for payment,</w:t>
            </w:r>
          </w:p>
          <w:p w:rsidR="00C21266" w:rsidRPr="005C3B55" w:rsidRDefault="00C21266" w:rsidP="006E20B6">
            <w:pPr>
              <w:numPr>
                <w:ilvl w:val="0"/>
                <w:numId w:val="991"/>
              </w:numPr>
              <w:spacing w:before="0" w:after="240"/>
              <w:ind w:hanging="290"/>
              <w:jc w:val="left"/>
              <w:rPr>
                <w:szCs w:val="24"/>
              </w:rPr>
            </w:pPr>
            <w:r w:rsidRPr="005C3B55">
              <w:t>in-kind contribution.</w:t>
            </w:r>
          </w:p>
          <w:p w:rsidR="00C21266" w:rsidRPr="005C3B55" w:rsidRDefault="00C21266">
            <w:pPr>
              <w:spacing w:before="240" w:after="240"/>
              <w:rPr>
                <w:szCs w:val="24"/>
              </w:rPr>
            </w:pPr>
            <w:r w:rsidRPr="005C3B55">
              <w:t>In the implementation of this sub-measure, certain specific requirements from the aspect of eligibility of costs, which will be defined in accordance with national regulations, will be taken into account.</w:t>
            </w:r>
          </w:p>
          <w:p w:rsidR="00C21266" w:rsidRPr="005C3B55" w:rsidRDefault="00C21266">
            <w:pPr>
              <w:pStyle w:val="Telobesedila"/>
              <w:rPr>
                <w:lang w:eastAsia="en-GB" w:bidi="en-GB"/>
              </w:rPr>
            </w:pPr>
          </w:p>
        </w:tc>
      </w:tr>
    </w:tbl>
    <w:p w:rsidR="00C21266" w:rsidRPr="005C3B55" w:rsidRDefault="00C21266" w:rsidP="00C21266">
      <w:pPr>
        <w:pStyle w:val="Naslov6"/>
        <w:tabs>
          <w:tab w:val="clear" w:pos="765"/>
        </w:tabs>
        <w:ind w:left="0" w:firstLine="0"/>
        <w:rPr>
          <w:lang w:val="en-GB" w:eastAsia="en-GB" w:bidi="en-GB"/>
        </w:rPr>
      </w:pPr>
      <w:r w:rsidRPr="005C3B55">
        <w:rPr>
          <w:lang w:val="en-GB"/>
        </w:rPr>
        <w:t>Conditions for eligibility</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rsidP="006E20B6">
            <w:pPr>
              <w:numPr>
                <w:ilvl w:val="0"/>
                <w:numId w:val="992"/>
              </w:numPr>
              <w:spacing w:before="0" w:after="0"/>
              <w:ind w:hanging="290"/>
              <w:jc w:val="left"/>
              <w:rPr>
                <w:rFonts w:eastAsia="Calibri"/>
                <w:szCs w:val="24"/>
              </w:rPr>
            </w:pPr>
            <w:r w:rsidRPr="005C3B55">
              <w:t>At least two partners must be included in a project partnership;</w:t>
            </w:r>
          </w:p>
          <w:p w:rsidR="00C21266" w:rsidRPr="005C3B55" w:rsidRDefault="00C21266" w:rsidP="006E20B6">
            <w:pPr>
              <w:numPr>
                <w:ilvl w:val="0"/>
                <w:numId w:val="992"/>
              </w:numPr>
              <w:spacing w:before="0" w:after="0"/>
              <w:ind w:hanging="290"/>
              <w:jc w:val="left"/>
              <w:rPr>
                <w:szCs w:val="24"/>
              </w:rPr>
            </w:pPr>
            <w:r w:rsidRPr="005C3B55">
              <w:t>Partners conclude a relationship in the cooperation entity;</w:t>
            </w:r>
          </w:p>
          <w:p w:rsidR="00C21266" w:rsidRPr="005C3B55" w:rsidRDefault="00C21266" w:rsidP="006E20B6">
            <w:pPr>
              <w:numPr>
                <w:ilvl w:val="0"/>
                <w:numId w:val="992"/>
              </w:numPr>
              <w:spacing w:before="0" w:after="0"/>
              <w:ind w:hanging="290"/>
              <w:jc w:val="left"/>
              <w:rPr>
                <w:szCs w:val="24"/>
              </w:rPr>
            </w:pPr>
            <w:r w:rsidRPr="005C3B55">
              <w:t>Settled liabilities to the state of all partners in the project;</w:t>
            </w:r>
          </w:p>
          <w:p w:rsidR="00C21266" w:rsidRPr="005C3B55" w:rsidRDefault="00C21266" w:rsidP="006E20B6">
            <w:pPr>
              <w:numPr>
                <w:ilvl w:val="0"/>
                <w:numId w:val="992"/>
              </w:numPr>
              <w:spacing w:before="0" w:after="0"/>
              <w:ind w:hanging="290"/>
              <w:jc w:val="left"/>
              <w:rPr>
                <w:szCs w:val="24"/>
              </w:rPr>
            </w:pPr>
            <w:r w:rsidRPr="005C3B55">
              <w:t>Overlapping/connection of content, results and objectives of the project with specific priorities and SWOT analysis;</w:t>
            </w:r>
          </w:p>
          <w:p w:rsidR="00C21266" w:rsidRPr="005C3B55" w:rsidRDefault="00C21266" w:rsidP="006E20B6">
            <w:pPr>
              <w:numPr>
                <w:ilvl w:val="0"/>
                <w:numId w:val="992"/>
              </w:numPr>
              <w:spacing w:before="0" w:after="0"/>
              <w:ind w:hanging="290"/>
              <w:jc w:val="left"/>
              <w:rPr>
                <w:szCs w:val="24"/>
              </w:rPr>
            </w:pPr>
            <w:r w:rsidRPr="005C3B55">
              <w:t>A drafted project plan with expected results and the adequacy of the terms of reference in terms of content;</w:t>
            </w:r>
          </w:p>
          <w:p w:rsidR="00C21266" w:rsidRPr="005C3B55" w:rsidRDefault="00C21266" w:rsidP="006E20B6">
            <w:pPr>
              <w:numPr>
                <w:ilvl w:val="0"/>
                <w:numId w:val="992"/>
              </w:numPr>
              <w:spacing w:before="0" w:after="0"/>
              <w:ind w:hanging="290"/>
              <w:jc w:val="left"/>
              <w:rPr>
                <w:szCs w:val="24"/>
              </w:rPr>
            </w:pPr>
            <w:r w:rsidRPr="005C3B55">
              <w:t>Projects already being implemented are not eligible for support;</w:t>
            </w:r>
          </w:p>
          <w:p w:rsidR="00C21266" w:rsidRPr="005C3B55" w:rsidRDefault="00C21266" w:rsidP="006E20B6">
            <w:pPr>
              <w:numPr>
                <w:ilvl w:val="0"/>
                <w:numId w:val="992"/>
              </w:numPr>
              <w:spacing w:before="0" w:after="0"/>
              <w:ind w:hanging="290"/>
              <w:jc w:val="left"/>
              <w:rPr>
                <w:szCs w:val="24"/>
              </w:rPr>
            </w:pPr>
            <w:r w:rsidRPr="005C3B55">
              <w:t>Support is intended for projects that include practical aspects and results, not for pure research projects;</w:t>
            </w:r>
          </w:p>
          <w:p w:rsidR="00C21266" w:rsidRPr="005C3B55" w:rsidRDefault="00C21266" w:rsidP="006E20B6">
            <w:pPr>
              <w:numPr>
                <w:ilvl w:val="0"/>
                <w:numId w:val="992"/>
              </w:numPr>
              <w:spacing w:before="0" w:after="240"/>
              <w:ind w:hanging="290"/>
              <w:jc w:val="left"/>
              <w:rPr>
                <w:szCs w:val="24"/>
              </w:rPr>
            </w:pPr>
            <w:r w:rsidRPr="005C3B55">
              <w:t>The results of the projects must be communicated to the interested public and submitted to target groups. The EIP network and the Network for rural development will be used to disseminate and submit the projects.</w:t>
            </w:r>
          </w:p>
          <w:p w:rsidR="00C21266" w:rsidRPr="005C3B55" w:rsidRDefault="00C21266">
            <w:pPr>
              <w:pStyle w:val="Telobesedila"/>
              <w:rPr>
                <w:lang w:eastAsia="en-GB" w:bidi="en-GB"/>
              </w:rPr>
            </w:pPr>
          </w:p>
        </w:tc>
      </w:tr>
    </w:tbl>
    <w:p w:rsidR="00C21266" w:rsidRPr="005C3B55" w:rsidRDefault="00C21266" w:rsidP="00C21266">
      <w:pPr>
        <w:pStyle w:val="Naslov6"/>
        <w:tabs>
          <w:tab w:val="clear" w:pos="765"/>
        </w:tabs>
        <w:ind w:left="0" w:firstLine="0"/>
        <w:rPr>
          <w:lang w:val="en-GB" w:eastAsia="en-GB" w:bidi="en-GB"/>
        </w:rPr>
      </w:pPr>
      <w:r w:rsidRPr="005C3B55">
        <w:rPr>
          <w:lang w:val="en-GB"/>
        </w:rPr>
        <w:t>Principles regarding the determination of selection criteria</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The sub-measure will be implemented as a closed public tender.</w:t>
            </w:r>
          </w:p>
          <w:p w:rsidR="00C21266" w:rsidRPr="005C3B55" w:rsidRDefault="00C21266">
            <w:pPr>
              <w:spacing w:before="240" w:after="240"/>
              <w:rPr>
                <w:szCs w:val="24"/>
              </w:rPr>
            </w:pPr>
            <w:r w:rsidRPr="005C3B55">
              <w:t>Selected projects whose applications are complete and adequate in terms of content and which meet the conditions for receiving funds and exceed the threshold number of points determined in the public tender will be eligible for support. Applications which score a higher number of points will be selected from among applications that exceed the threshold number of points until the funds available in the public tender are spent.</w:t>
            </w:r>
          </w:p>
          <w:p w:rsidR="00C21266" w:rsidRPr="005C3B55" w:rsidRDefault="00C21266">
            <w:pPr>
              <w:spacing w:before="240" w:after="240"/>
              <w:rPr>
                <w:szCs w:val="24"/>
              </w:rPr>
            </w:pPr>
            <w:r w:rsidRPr="005C3B55">
              <w:t>As part of the selection criteria, the greatest emphasis will be on the content and added value and its contribution to horizontal objectives. A share of co-financing the project by the beneficiary is also included in the selection criteria.</w:t>
            </w:r>
          </w:p>
          <w:p w:rsidR="00C21266" w:rsidRPr="005C3B55" w:rsidRDefault="00C21266">
            <w:pPr>
              <w:pStyle w:val="Telobesedila"/>
              <w:rPr>
                <w:lang w:eastAsia="en-GB" w:bidi="en-GB"/>
              </w:rPr>
            </w:pPr>
          </w:p>
        </w:tc>
      </w:tr>
    </w:tbl>
    <w:p w:rsidR="00C21266" w:rsidRPr="005C3B55" w:rsidRDefault="00C21266" w:rsidP="00C21266">
      <w:pPr>
        <w:pStyle w:val="Naslov6"/>
        <w:tabs>
          <w:tab w:val="clear" w:pos="765"/>
        </w:tabs>
        <w:ind w:left="0" w:firstLine="0"/>
        <w:rPr>
          <w:lang w:val="en-GB" w:eastAsia="en-GB" w:bidi="en-GB"/>
        </w:rPr>
      </w:pPr>
      <w:r w:rsidRPr="005C3B55">
        <w:rPr>
          <w:lang w:val="en-GB"/>
        </w:rPr>
        <w:t>(Valid) amounts and support rates</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The public support rate amounts to 100%of eligible costs. In cases when the beneficiary partly co-finances the costs of the project, the support rate can be lowered accordingly. The maximum and minimum permitted support rate will be determined with individual public call for tenders. A share of co-financing the costs by the beneficiary will be taken into account in the selection criteria. The support rate is reduced accordingly also in accordance with the rules on state aid.</w:t>
            </w:r>
          </w:p>
          <w:p w:rsidR="00C21266" w:rsidRPr="005C3B55" w:rsidRDefault="00C21266">
            <w:pPr>
              <w:spacing w:before="240" w:after="240"/>
              <w:rPr>
                <w:szCs w:val="24"/>
              </w:rPr>
            </w:pPr>
            <w:r w:rsidRPr="005C3B55">
              <w:t>If the project includes costs covered under other measures from this programme, the rate which corresponds to the level of this measure is to be used for these costs.</w:t>
            </w:r>
          </w:p>
          <w:p w:rsidR="00C21266" w:rsidRPr="005C3B55" w:rsidRDefault="00C21266">
            <w:pPr>
              <w:spacing w:before="240" w:after="240"/>
              <w:rPr>
                <w:szCs w:val="24"/>
              </w:rPr>
            </w:pPr>
            <w:r w:rsidRPr="005C3B55">
              <w:t>The highest amount of support per individual operation is EUR 250,000.</w:t>
            </w:r>
          </w:p>
          <w:p w:rsidR="00C21266" w:rsidRPr="005C3B55" w:rsidRDefault="00C21266">
            <w:pPr>
              <w:spacing w:before="240" w:after="240"/>
              <w:rPr>
                <w:szCs w:val="24"/>
              </w:rPr>
            </w:pPr>
            <w:r w:rsidRPr="005C3B55">
              <w:t>Support is granted for the duration of the project, but not for more than 7 years.</w:t>
            </w:r>
          </w:p>
          <w:p w:rsidR="00C21266" w:rsidRPr="005C3B55" w:rsidRDefault="00C21266">
            <w:pPr>
              <w:spacing w:before="240" w:after="240"/>
              <w:rPr>
                <w:szCs w:val="24"/>
              </w:rPr>
            </w:pPr>
            <w:r w:rsidRPr="005C3B55">
              <w:t>Pursuant to Point 4 of Article 45 of Regulation (EU) No 1305/2013 the beneficiaries to investments may apply at the paying agency for the prepayment in the amount of 30% of the public support value after the issue of the decision on the eligibility to means.</w:t>
            </w:r>
          </w:p>
          <w:p w:rsidR="00C21266" w:rsidRPr="005C3B55" w:rsidRDefault="00C21266">
            <w:pPr>
              <w:pStyle w:val="Telobesedila"/>
              <w:rPr>
                <w:lang w:eastAsia="en-GB" w:bidi="en-GB"/>
              </w:rPr>
            </w:pPr>
          </w:p>
        </w:tc>
      </w:tr>
    </w:tbl>
    <w:p w:rsidR="00C21266" w:rsidRPr="005C3B55" w:rsidRDefault="00C21266" w:rsidP="00C21266">
      <w:pPr>
        <w:pStyle w:val="Naslov6"/>
        <w:tabs>
          <w:tab w:val="clear" w:pos="765"/>
        </w:tabs>
        <w:ind w:left="0" w:firstLine="0"/>
        <w:rPr>
          <w:lang w:val="en-GB" w:eastAsia="en-GB" w:bidi="en-GB"/>
        </w:rPr>
      </w:pPr>
      <w:r w:rsidRPr="005C3B55">
        <w:rPr>
          <w:lang w:val="en-GB"/>
        </w:rPr>
        <w:t>Verifiability and possibility of control of measures and/or type of operations</w:t>
      </w:r>
    </w:p>
    <w:p w:rsidR="00C21266" w:rsidRPr="005C3B55" w:rsidRDefault="00C21266" w:rsidP="00C21266">
      <w:pPr>
        <w:pStyle w:val="Naslov7"/>
        <w:tabs>
          <w:tab w:val="clear" w:pos="765"/>
        </w:tabs>
        <w:ind w:left="0" w:firstLine="0"/>
        <w:rPr>
          <w:lang w:val="en-GB"/>
        </w:rPr>
      </w:pPr>
      <w:r w:rsidRPr="005C3B55">
        <w:rPr>
          <w:lang w:val="en-GB"/>
        </w:rPr>
        <w:t>Risks in the implementation of the measure</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rPr>
                <w:b/>
              </w:rPr>
              <w:t>R7: Selection of beneficiaries</w:t>
            </w:r>
          </w:p>
          <w:p w:rsidR="00C21266" w:rsidRPr="005C3B55" w:rsidRDefault="00C21266">
            <w:pPr>
              <w:spacing w:before="240" w:after="240"/>
              <w:rPr>
                <w:szCs w:val="24"/>
              </w:rPr>
            </w:pPr>
            <w:r w:rsidRPr="005C3B55">
              <w:t>There is a risk of:</w:t>
            </w:r>
          </w:p>
          <w:p w:rsidR="00C21266" w:rsidRPr="005C3B55" w:rsidRDefault="00C21266" w:rsidP="006E20B6">
            <w:pPr>
              <w:numPr>
                <w:ilvl w:val="0"/>
                <w:numId w:val="993"/>
              </w:numPr>
              <w:spacing w:before="240" w:after="0"/>
              <w:ind w:hanging="290"/>
              <w:jc w:val="left"/>
              <w:rPr>
                <w:szCs w:val="24"/>
              </w:rPr>
            </w:pPr>
            <w:r w:rsidRPr="005C3B55">
              <w:t>misunderstanding of the measure,</w:t>
            </w:r>
          </w:p>
          <w:p w:rsidR="00C21266" w:rsidRPr="005C3B55" w:rsidRDefault="00C21266" w:rsidP="006E20B6">
            <w:pPr>
              <w:numPr>
                <w:ilvl w:val="0"/>
                <w:numId w:val="993"/>
              </w:numPr>
              <w:spacing w:before="0" w:after="0"/>
              <w:ind w:hanging="290"/>
              <w:jc w:val="left"/>
              <w:rPr>
                <w:szCs w:val="24"/>
              </w:rPr>
            </w:pPr>
            <w:r w:rsidRPr="005C3B55">
              <w:t>poor quality of applied projects,</w:t>
            </w:r>
          </w:p>
          <w:p w:rsidR="00C21266" w:rsidRPr="005C3B55" w:rsidRDefault="00C21266" w:rsidP="006E20B6">
            <w:pPr>
              <w:numPr>
                <w:ilvl w:val="0"/>
                <w:numId w:val="993"/>
              </w:numPr>
              <w:spacing w:before="0" w:after="240"/>
              <w:ind w:hanging="290"/>
              <w:jc w:val="left"/>
              <w:rPr>
                <w:szCs w:val="24"/>
              </w:rPr>
            </w:pPr>
            <w:r w:rsidRPr="005C3B55">
              <w:t>inappropriate selection of supported projects.</w:t>
            </w:r>
          </w:p>
          <w:p w:rsidR="00C21266" w:rsidRPr="005C3B55" w:rsidRDefault="00C21266">
            <w:pPr>
              <w:spacing w:before="240" w:after="240"/>
              <w:rPr>
                <w:szCs w:val="24"/>
              </w:rPr>
            </w:pPr>
            <w:r w:rsidRPr="005C3B55">
              <w:rPr>
                <w:b/>
              </w:rPr>
              <w:t>R8: IT systems</w:t>
            </w:r>
          </w:p>
          <w:p w:rsidR="00C21266" w:rsidRPr="005C3B55" w:rsidRDefault="00C21266">
            <w:pPr>
              <w:spacing w:before="240" w:after="240"/>
              <w:rPr>
                <w:szCs w:val="24"/>
              </w:rPr>
            </w:pPr>
            <w:r w:rsidRPr="005C3B55">
              <w:t>Risks have been detected particularly in the correct functioning of IT systems or in providing suitable capacities for processing all information. Risks may also be posed by disorderly or outdated registers which are the result of incompatible databases.</w:t>
            </w:r>
          </w:p>
          <w:p w:rsidR="00C21266" w:rsidRPr="005C3B55" w:rsidRDefault="00C21266">
            <w:pPr>
              <w:spacing w:before="240" w:after="240"/>
              <w:rPr>
                <w:szCs w:val="24"/>
              </w:rPr>
            </w:pPr>
            <w:r w:rsidRPr="005C3B55">
              <w:rPr>
                <w:b/>
              </w:rPr>
              <w:t>R9: Requests for payment</w:t>
            </w:r>
          </w:p>
          <w:p w:rsidR="00C21266" w:rsidRPr="005C3B55" w:rsidRDefault="00C21266">
            <w:pPr>
              <w:spacing w:before="240" w:after="240"/>
              <w:rPr>
                <w:szCs w:val="24"/>
              </w:rPr>
            </w:pPr>
            <w:r w:rsidRPr="005C3B55">
              <w:t>The greatest risk arises in the processing of requests for payment. Due to unprofessional preparation, the procedure for processing them may take several months. The main reason is the lack of information for beneficiaries and persons preparing applications. There is an additional risk of poor project management and insufficient attaining of the set objectives.</w:t>
            </w:r>
          </w:p>
          <w:p w:rsidR="00C21266" w:rsidRPr="005C3B55" w:rsidRDefault="00C21266">
            <w:pPr>
              <w:spacing w:before="240" w:after="240"/>
              <w:rPr>
                <w:szCs w:val="24"/>
              </w:rPr>
            </w:pPr>
            <w:r w:rsidRPr="005C3B55">
              <w:t> </w:t>
            </w:r>
          </w:p>
          <w:p w:rsidR="00C21266" w:rsidRPr="005C3B55" w:rsidRDefault="00C21266">
            <w:pPr>
              <w:pStyle w:val="Telobesedila"/>
              <w:rPr>
                <w:lang w:eastAsia="en-GB" w:bidi="en-GB"/>
              </w:rPr>
            </w:pPr>
          </w:p>
        </w:tc>
      </w:tr>
    </w:tbl>
    <w:p w:rsidR="00C21266" w:rsidRPr="005C3B55" w:rsidRDefault="00C21266" w:rsidP="00C21266">
      <w:pPr>
        <w:pStyle w:val="Naslov7"/>
        <w:tabs>
          <w:tab w:val="clear" w:pos="765"/>
        </w:tabs>
        <w:ind w:left="0" w:firstLine="0"/>
        <w:rPr>
          <w:lang w:val="en-GB" w:eastAsia="en-GB" w:bidi="en-GB"/>
        </w:rPr>
      </w:pPr>
      <w:r w:rsidRPr="005C3B55">
        <w:rPr>
          <w:lang w:val="en-GB"/>
        </w:rPr>
        <w:t>Mitigation measures</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 </w:t>
            </w:r>
          </w:p>
          <w:p w:rsidR="00C21266" w:rsidRPr="005C3B55" w:rsidRDefault="00C21266">
            <w:pPr>
              <w:spacing w:before="240" w:after="240"/>
              <w:rPr>
                <w:szCs w:val="24"/>
              </w:rPr>
            </w:pPr>
            <w:r w:rsidRPr="005C3B55">
              <w:rPr>
                <w:b/>
              </w:rPr>
              <w:t>R7: Selection of beneficiaries</w:t>
            </w:r>
          </w:p>
          <w:p w:rsidR="00C21266" w:rsidRPr="005C3B55" w:rsidRDefault="00C21266" w:rsidP="006E20B6">
            <w:pPr>
              <w:numPr>
                <w:ilvl w:val="0"/>
                <w:numId w:val="994"/>
              </w:numPr>
              <w:spacing w:before="240" w:after="0"/>
              <w:ind w:hanging="290"/>
              <w:jc w:val="left"/>
              <w:rPr>
                <w:szCs w:val="24"/>
              </w:rPr>
            </w:pPr>
            <w:r w:rsidRPr="005C3B55">
              <w:rPr>
                <w:b/>
              </w:rPr>
              <w:t>Misunderstanding of the measure:</w:t>
            </w:r>
            <w:r w:rsidRPr="005C3B55">
              <w:t xml:space="preserve"> Implementation of seminars and workshops related to the topic of the measure. Preparation of printed and on-line materials.</w:t>
            </w:r>
          </w:p>
          <w:p w:rsidR="00C21266" w:rsidRPr="005C3B55" w:rsidRDefault="00C21266" w:rsidP="006E20B6">
            <w:pPr>
              <w:numPr>
                <w:ilvl w:val="0"/>
                <w:numId w:val="994"/>
              </w:numPr>
              <w:spacing w:before="0" w:after="0"/>
              <w:ind w:hanging="290"/>
              <w:jc w:val="left"/>
              <w:rPr>
                <w:szCs w:val="24"/>
              </w:rPr>
            </w:pPr>
            <w:r w:rsidRPr="005C3B55">
              <w:rPr>
                <w:b/>
              </w:rPr>
              <w:t>Poor quality of applied projects:</w:t>
            </w:r>
            <w:r w:rsidRPr="005C3B55">
              <w:t xml:space="preserve"> Implementation of seminars and workshops related to the topic of the measure. Preliminary harmonisation with stakeholders and actors involved in the measure with regard to priority content and expected results of cooperation projects. Promotion of priority areas.</w:t>
            </w:r>
          </w:p>
          <w:p w:rsidR="00C21266" w:rsidRPr="005C3B55" w:rsidRDefault="00C21266" w:rsidP="006E20B6">
            <w:pPr>
              <w:numPr>
                <w:ilvl w:val="0"/>
                <w:numId w:val="994"/>
              </w:numPr>
              <w:spacing w:before="0" w:after="240"/>
              <w:ind w:hanging="290"/>
              <w:jc w:val="left"/>
              <w:rPr>
                <w:szCs w:val="24"/>
              </w:rPr>
            </w:pPr>
            <w:r w:rsidRPr="005C3B55">
              <w:rPr>
                <w:b/>
              </w:rPr>
              <w:t>Inappropriate selection of supported projects:</w:t>
            </w:r>
            <w:r w:rsidRPr="005C3B55">
              <w:t xml:space="preserve"> Establishment and functioning of a commission for the selection of projects with competent and independent members. Continuous assessment of applicability of selected projects with regard to achieving planned results.</w:t>
            </w:r>
          </w:p>
          <w:p w:rsidR="00C21266" w:rsidRPr="005C3B55" w:rsidRDefault="00C21266">
            <w:pPr>
              <w:spacing w:before="240" w:after="240"/>
              <w:rPr>
                <w:szCs w:val="24"/>
              </w:rPr>
            </w:pPr>
            <w:r w:rsidRPr="005C3B55">
              <w:rPr>
                <w:b/>
              </w:rPr>
              <w:t>R8: IT systems</w:t>
            </w:r>
          </w:p>
          <w:p w:rsidR="00C21266" w:rsidRPr="005C3B55" w:rsidRDefault="00C21266">
            <w:pPr>
              <w:spacing w:before="240" w:after="240"/>
              <w:rPr>
                <w:szCs w:val="24"/>
              </w:rPr>
            </w:pPr>
            <w:r w:rsidRPr="005C3B55">
              <w:t>An IT system will be set up at the Paying Agency to facilitate the electronic processing of applications and requests for payment. The acquisition of data will be electronic to the greatest extent possible by means of connectivity between different databases. If databases are not mutually compatible so that they can be automatically verified within the IT system, verification will be carried out by exchanging data between database media.</w:t>
            </w:r>
          </w:p>
          <w:p w:rsidR="00C21266" w:rsidRPr="005C3B55" w:rsidRDefault="00C21266">
            <w:pPr>
              <w:spacing w:before="240" w:after="240"/>
              <w:rPr>
                <w:szCs w:val="24"/>
              </w:rPr>
            </w:pPr>
            <w:r w:rsidRPr="005C3B55">
              <w:rPr>
                <w:b/>
              </w:rPr>
              <w:t>R9: Requests for payment</w:t>
            </w:r>
          </w:p>
          <w:p w:rsidR="00C21266" w:rsidRPr="005C3B55" w:rsidRDefault="00C21266">
            <w:pPr>
              <w:spacing w:before="240" w:after="240"/>
              <w:rPr>
                <w:szCs w:val="24"/>
              </w:rPr>
            </w:pPr>
            <w:r w:rsidRPr="005C3B55">
              <w:t>Training on preparing requests for payment will be organised for beneficiaries and individuals preparing applications. Instructions on preparing requests for payment will be prepared to ensure that requests are well prepared.</w:t>
            </w:r>
          </w:p>
          <w:p w:rsidR="00C21266" w:rsidRPr="005C3B55" w:rsidRDefault="00C21266">
            <w:pPr>
              <w:spacing w:before="240" w:after="240"/>
              <w:rPr>
                <w:szCs w:val="24"/>
              </w:rPr>
            </w:pPr>
            <w:r w:rsidRPr="005C3B55">
              <w:t>The educational events in the field of planning, implementation and project management will be implemented with the purpose of better project management and attainment of the set objectives. Constant monitoring and control of results will also be carried out. Appropriate sanctioning system with dissuasive concepts will be established and announced.</w:t>
            </w:r>
          </w:p>
          <w:p w:rsidR="00C21266" w:rsidRPr="005C3B55" w:rsidRDefault="00C21266">
            <w:pPr>
              <w:pStyle w:val="Telobesedila"/>
              <w:rPr>
                <w:lang w:eastAsia="en-GB" w:bidi="en-GB"/>
              </w:rPr>
            </w:pPr>
          </w:p>
        </w:tc>
      </w:tr>
    </w:tbl>
    <w:p w:rsidR="00C21266" w:rsidRPr="005C3B55" w:rsidRDefault="00C21266" w:rsidP="00C21266">
      <w:pPr>
        <w:pStyle w:val="Naslov7"/>
        <w:tabs>
          <w:tab w:val="clear" w:pos="765"/>
        </w:tabs>
        <w:ind w:left="0" w:firstLine="0"/>
        <w:rPr>
          <w:lang w:val="en-GB" w:eastAsia="en-GB" w:bidi="en-GB"/>
        </w:rPr>
      </w:pPr>
      <w:r w:rsidRPr="005C3B55">
        <w:rPr>
          <w:lang w:val="en-GB"/>
        </w:rPr>
        <w:t>General assessment of the measure</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The sub-measure in the anticipated form is fully feasible and controllable and will have the expected results and contribute to achieving the goals. This sub-measure will make an important contribution to the realisation of horizontal objectives, especially increasing innovation, research and development in rural environment and for this reason the implementation of the sub-measure is necessary.</w:t>
            </w:r>
          </w:p>
          <w:p w:rsidR="00C21266" w:rsidRPr="005C3B55" w:rsidRDefault="00C21266">
            <w:pPr>
              <w:pStyle w:val="Telobesedila"/>
              <w:rPr>
                <w:lang w:eastAsia="en-GB" w:bidi="en-GB"/>
              </w:rPr>
            </w:pPr>
          </w:p>
        </w:tc>
      </w:tr>
    </w:tbl>
    <w:p w:rsidR="00C21266" w:rsidRPr="005C3B55" w:rsidRDefault="00C21266" w:rsidP="00C21266">
      <w:pPr>
        <w:pStyle w:val="Naslov6"/>
        <w:tabs>
          <w:tab w:val="clear" w:pos="765"/>
        </w:tabs>
        <w:ind w:left="0" w:firstLine="0"/>
        <w:rPr>
          <w:lang w:val="en-GB" w:eastAsia="en-GB" w:bidi="en-GB"/>
        </w:rPr>
      </w:pPr>
      <w:r w:rsidRPr="005C3B55">
        <w:rPr>
          <w:lang w:val="en-GB"/>
        </w:rPr>
        <w:t>Methodology for calculating support amount, where relevant</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Not relevant.</w:t>
            </w:r>
          </w:p>
          <w:p w:rsidR="00C21266" w:rsidRPr="005C3B55" w:rsidRDefault="00C21266">
            <w:pPr>
              <w:pStyle w:val="Telobesedila"/>
              <w:rPr>
                <w:lang w:eastAsia="en-GB" w:bidi="en-GB"/>
              </w:rPr>
            </w:pPr>
          </w:p>
        </w:tc>
      </w:tr>
    </w:tbl>
    <w:p w:rsidR="00C21266" w:rsidRPr="005C3B55" w:rsidRDefault="00C21266" w:rsidP="00C21266">
      <w:pPr>
        <w:pStyle w:val="Naslov6"/>
        <w:tabs>
          <w:tab w:val="clear" w:pos="765"/>
        </w:tabs>
        <w:ind w:left="0" w:firstLine="0"/>
        <w:rPr>
          <w:lang w:val="en-GB" w:eastAsia="en-GB" w:bidi="en-GB"/>
        </w:rPr>
      </w:pPr>
      <w:r w:rsidRPr="005C3B55">
        <w:rPr>
          <w:lang w:val="en-GB"/>
        </w:rPr>
        <w:t>Information that relates specifically to the operation</w:t>
      </w:r>
    </w:p>
    <w:p w:rsidR="00C21266" w:rsidRPr="005C3B55" w:rsidRDefault="00C21266" w:rsidP="00C21266">
      <w:r w:rsidRPr="005C3B55">
        <w:t>Defining the characteristics of pilot projects, clusters, networks, short supply chains and local markets.</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rPr>
                <w:u w:val="single"/>
              </w:rPr>
              <w:t xml:space="preserve">Pilot projects: </w:t>
            </w:r>
          </w:p>
          <w:p w:rsidR="00C21266" w:rsidRPr="005C3B55" w:rsidRDefault="00C21266">
            <w:pPr>
              <w:spacing w:before="240" w:after="240"/>
              <w:rPr>
                <w:szCs w:val="24"/>
              </w:rPr>
            </w:pPr>
            <w:r w:rsidRPr="005C3B55">
              <w:t>Pilot projects are limited short-term experiments implemented to evaluate the feasibility, time, costs, potential problems and effects of a project, thus helping to understand how larger projects would function in practice. </w:t>
            </w:r>
          </w:p>
          <w:p w:rsidR="00C21266" w:rsidRPr="005C3B55" w:rsidRDefault="00C21266">
            <w:pPr>
              <w:pStyle w:val="Telobesedila"/>
              <w:rPr>
                <w:lang w:eastAsia="en-GB" w:bidi="en-GB"/>
              </w:rPr>
            </w:pPr>
          </w:p>
        </w:tc>
      </w:tr>
    </w:tbl>
    <w:p w:rsidR="00C21266" w:rsidRPr="005C3B55" w:rsidRDefault="00C21266" w:rsidP="00C21266">
      <w:pPr>
        <w:pStyle w:val="Naslov4"/>
        <w:tabs>
          <w:tab w:val="clear" w:pos="765"/>
        </w:tabs>
        <w:ind w:left="0" w:firstLine="0"/>
        <w:jc w:val="left"/>
        <w:rPr>
          <w:lang w:val="en-GB" w:eastAsia="en-GB" w:bidi="en-GB"/>
        </w:rPr>
      </w:pPr>
      <w:r w:rsidRPr="005C3B55">
        <w:rPr>
          <w:lang w:val="en-GB"/>
        </w:rPr>
        <w:t>Verifiability and possibility of control of measures and/or type of operations</w:t>
      </w:r>
    </w:p>
    <w:p w:rsidR="00C21266" w:rsidRPr="005C3B55" w:rsidRDefault="00C21266" w:rsidP="00C21266">
      <w:pPr>
        <w:pStyle w:val="Naslov5"/>
        <w:tabs>
          <w:tab w:val="clear" w:pos="765"/>
        </w:tabs>
        <w:ind w:left="0" w:firstLine="0"/>
        <w:rPr>
          <w:b w:val="0"/>
          <w:lang w:val="en-GB"/>
        </w:rPr>
      </w:pPr>
      <w:r w:rsidRPr="005C3B55">
        <w:rPr>
          <w:b w:val="0"/>
          <w:lang w:val="en-GB"/>
        </w:rPr>
        <w:t>Risks in the implementation of the measure</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Risks are determined within individual sub-measures.</w:t>
            </w:r>
          </w:p>
          <w:p w:rsidR="00C21266" w:rsidRPr="005C3B55" w:rsidRDefault="00C21266">
            <w:pPr>
              <w:pStyle w:val="Telobesedila"/>
              <w:rPr>
                <w:lang w:eastAsia="en-GB" w:bidi="en-GB"/>
              </w:rPr>
            </w:pPr>
          </w:p>
        </w:tc>
      </w:tr>
    </w:tbl>
    <w:p w:rsidR="00C21266" w:rsidRPr="005C3B55" w:rsidRDefault="00C21266" w:rsidP="00C21266">
      <w:pPr>
        <w:pStyle w:val="Naslov5"/>
        <w:tabs>
          <w:tab w:val="clear" w:pos="765"/>
        </w:tabs>
        <w:ind w:left="0" w:firstLine="0"/>
        <w:rPr>
          <w:b w:val="0"/>
          <w:lang w:val="en-GB" w:eastAsia="en-GB" w:bidi="en-GB"/>
        </w:rPr>
      </w:pPr>
      <w:r w:rsidRPr="005C3B55">
        <w:rPr>
          <w:b w:val="0"/>
          <w:lang w:val="en-GB"/>
        </w:rPr>
        <w:t>Mitigation measures</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Mitigating actions are determined within individual sub-measures.</w:t>
            </w:r>
          </w:p>
          <w:p w:rsidR="00C21266" w:rsidRPr="005C3B55" w:rsidRDefault="00C21266">
            <w:pPr>
              <w:pStyle w:val="Telobesedila"/>
              <w:rPr>
                <w:lang w:eastAsia="en-GB" w:bidi="en-GB"/>
              </w:rPr>
            </w:pPr>
          </w:p>
        </w:tc>
      </w:tr>
    </w:tbl>
    <w:p w:rsidR="00C21266" w:rsidRPr="005C3B55" w:rsidRDefault="00C21266" w:rsidP="00C21266">
      <w:pPr>
        <w:pStyle w:val="Naslov5"/>
        <w:tabs>
          <w:tab w:val="clear" w:pos="765"/>
        </w:tabs>
        <w:ind w:left="0" w:firstLine="0"/>
        <w:rPr>
          <w:b w:val="0"/>
          <w:lang w:val="en-GB" w:eastAsia="en-GB" w:bidi="en-GB"/>
        </w:rPr>
      </w:pPr>
      <w:r w:rsidRPr="005C3B55">
        <w:rPr>
          <w:b w:val="0"/>
          <w:lang w:val="en-GB"/>
        </w:rPr>
        <w:t>General assessment of the measure</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Described within the individual sub-measure.</w:t>
            </w:r>
          </w:p>
          <w:p w:rsidR="00C21266" w:rsidRPr="005C3B55" w:rsidRDefault="00C21266">
            <w:pPr>
              <w:pStyle w:val="Telobesedila"/>
              <w:rPr>
                <w:lang w:eastAsia="en-GB" w:bidi="en-GB"/>
              </w:rPr>
            </w:pPr>
          </w:p>
        </w:tc>
      </w:tr>
    </w:tbl>
    <w:p w:rsidR="00C21266" w:rsidRPr="005C3B55" w:rsidRDefault="00C21266" w:rsidP="00C21266">
      <w:pPr>
        <w:pStyle w:val="Naslov4"/>
        <w:tabs>
          <w:tab w:val="clear" w:pos="765"/>
        </w:tabs>
        <w:ind w:left="0" w:firstLine="0"/>
        <w:jc w:val="left"/>
        <w:rPr>
          <w:lang w:val="en-GB" w:eastAsia="en-GB" w:bidi="en-GB"/>
        </w:rPr>
      </w:pPr>
      <w:r w:rsidRPr="005C3B55">
        <w:rPr>
          <w:lang w:val="en-GB"/>
        </w:rPr>
        <w:t>Methodology for calculating support amount, where relevant</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Description is under individual sub-measures.</w:t>
            </w:r>
          </w:p>
          <w:p w:rsidR="00C21266" w:rsidRPr="005C3B55" w:rsidRDefault="00C21266">
            <w:pPr>
              <w:pStyle w:val="Telobesedila"/>
              <w:rPr>
                <w:lang w:eastAsia="en-GB" w:bidi="en-GB"/>
              </w:rPr>
            </w:pPr>
          </w:p>
        </w:tc>
      </w:tr>
    </w:tbl>
    <w:p w:rsidR="00C21266" w:rsidRPr="005C3B55" w:rsidRDefault="00C21266" w:rsidP="00C21266">
      <w:pPr>
        <w:pStyle w:val="Naslov4"/>
        <w:tabs>
          <w:tab w:val="clear" w:pos="765"/>
        </w:tabs>
        <w:ind w:left="0" w:firstLine="0"/>
        <w:jc w:val="left"/>
        <w:rPr>
          <w:lang w:val="en-GB" w:eastAsia="en-GB" w:bidi="en-GB"/>
        </w:rPr>
      </w:pPr>
      <w:r w:rsidRPr="005C3B55">
        <w:rPr>
          <w:lang w:val="en-GB"/>
        </w:rPr>
        <w:t>Additional information that relates specifically to the operation</w:t>
      </w:r>
    </w:p>
    <w:p w:rsidR="00C21266" w:rsidRPr="005C3B55" w:rsidRDefault="00C21266" w:rsidP="00C21266">
      <w:r w:rsidRPr="005C3B55">
        <w:t>Defining the characteristics of pilot projects, clusters, networks, short supply chains and local markets.</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Description is under individual sub-measures.</w:t>
            </w:r>
          </w:p>
          <w:p w:rsidR="00C21266" w:rsidRPr="005C3B55" w:rsidRDefault="00C21266">
            <w:pPr>
              <w:spacing w:before="240" w:after="240"/>
              <w:rPr>
                <w:szCs w:val="24"/>
              </w:rPr>
            </w:pPr>
            <w:r w:rsidRPr="005C3B55">
              <w:t> </w:t>
            </w:r>
          </w:p>
          <w:p w:rsidR="00C21266" w:rsidRPr="005C3B55" w:rsidRDefault="00C21266">
            <w:pPr>
              <w:pStyle w:val="Telobesedila"/>
              <w:rPr>
                <w:lang w:eastAsia="en-GB" w:bidi="en-GB"/>
              </w:rPr>
            </w:pPr>
          </w:p>
        </w:tc>
      </w:tr>
    </w:tbl>
    <w:p w:rsidR="00C21266" w:rsidRPr="005C3B55" w:rsidRDefault="00C21266" w:rsidP="00C21266">
      <w:pPr>
        <w:pStyle w:val="Naslov4"/>
        <w:tabs>
          <w:tab w:val="clear" w:pos="765"/>
        </w:tabs>
        <w:spacing w:after="100"/>
        <w:ind w:left="0" w:firstLine="0"/>
        <w:jc w:val="left"/>
        <w:rPr>
          <w:lang w:val="en-GB" w:eastAsia="en-GB" w:bidi="en-GB"/>
        </w:rPr>
      </w:pPr>
      <w:r w:rsidRPr="005C3B55">
        <w:rPr>
          <w:lang w:val="en-GB"/>
        </w:rPr>
        <w:t>Other important notes that contribute to understanding and implementing the measure</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The results of the projects must be communicated to the interested public and submitted to target groups. The EIP network and the network for rural development will be used to disseminate and submit the projects.</w:t>
            </w:r>
          </w:p>
          <w:p w:rsidR="00C21266" w:rsidRPr="005C3B55" w:rsidRDefault="00C21266">
            <w:pPr>
              <w:spacing w:before="240" w:after="240"/>
              <w:rPr>
                <w:szCs w:val="24"/>
              </w:rPr>
            </w:pPr>
            <w:r w:rsidRPr="005C3B55">
              <w:rPr>
                <w:b/>
              </w:rPr>
              <w:t xml:space="preserve">Operational groups </w:t>
            </w:r>
          </w:p>
          <w:p w:rsidR="00C21266" w:rsidRPr="005C3B55" w:rsidRDefault="00C21266">
            <w:pPr>
              <w:spacing w:before="240" w:after="240"/>
              <w:ind w:left="284"/>
              <w:rPr>
                <w:szCs w:val="24"/>
              </w:rPr>
            </w:pPr>
            <w:r w:rsidRPr="005C3B55">
              <w:t>1. Operational groups of the EIP and a part of the EIP in the field of agricultural productivity and sustainability. They are established by interested entities, such as farmers, advisers and companies operating in the agricultural and food sectors and are important for the attainment of the EIP objectives.</w:t>
            </w:r>
          </w:p>
          <w:p w:rsidR="00C21266" w:rsidRPr="005C3B55" w:rsidRDefault="00C21266">
            <w:pPr>
              <w:spacing w:before="240" w:after="240"/>
              <w:ind w:left="284"/>
              <w:rPr>
                <w:szCs w:val="24"/>
              </w:rPr>
            </w:pPr>
            <w:r w:rsidRPr="005C3B55">
              <w:t>2. Operational groups of the EIP establish internal procedures which ensure the transparency of their operations and decision-making and prevent conflict of interest.</w:t>
            </w:r>
          </w:p>
          <w:p w:rsidR="00C21266" w:rsidRPr="005C3B55" w:rsidRDefault="00C21266">
            <w:pPr>
              <w:spacing w:before="240" w:after="240"/>
              <w:ind w:left="284"/>
              <w:rPr>
                <w:szCs w:val="24"/>
              </w:rPr>
            </w:pPr>
            <w:r w:rsidRPr="005C3B55">
              <w:t>3. Member States decide in their programmes to what extent operational groups will be supported.</w:t>
            </w:r>
          </w:p>
          <w:p w:rsidR="00C21266" w:rsidRPr="005C3B55" w:rsidRDefault="00C21266">
            <w:pPr>
              <w:spacing w:before="240" w:after="240"/>
              <w:rPr>
                <w:szCs w:val="24"/>
              </w:rPr>
            </w:pPr>
            <w:r w:rsidRPr="005C3B55">
              <w:t> </w:t>
            </w:r>
          </w:p>
          <w:p w:rsidR="00C21266" w:rsidRPr="005C3B55" w:rsidRDefault="00C21266">
            <w:pPr>
              <w:spacing w:before="240" w:after="240"/>
              <w:rPr>
                <w:szCs w:val="24"/>
              </w:rPr>
            </w:pPr>
            <w:r w:rsidRPr="005C3B55">
              <w:rPr>
                <w:b/>
              </w:rPr>
              <w:t xml:space="preserve">Tasks of operational groups </w:t>
            </w:r>
          </w:p>
          <w:p w:rsidR="00C21266" w:rsidRPr="005C3B55" w:rsidRDefault="00C21266">
            <w:pPr>
              <w:spacing w:before="240" w:after="240"/>
              <w:rPr>
                <w:szCs w:val="24"/>
              </w:rPr>
            </w:pPr>
            <w:r w:rsidRPr="005C3B55">
              <w:t>1. Operational groups of the EIP prepare a plan, which should contain:</w:t>
            </w:r>
          </w:p>
          <w:p w:rsidR="00C21266" w:rsidRPr="005C3B55" w:rsidRDefault="00C21266">
            <w:pPr>
              <w:spacing w:before="240" w:after="240"/>
              <w:ind w:left="851"/>
              <w:rPr>
                <w:szCs w:val="24"/>
              </w:rPr>
            </w:pPr>
            <w:r w:rsidRPr="005C3B55">
              <w:t>(a) a description of an innovative project that will be developed, tested, adjusted or implemented;</w:t>
            </w:r>
          </w:p>
          <w:p w:rsidR="00C21266" w:rsidRPr="005C3B55" w:rsidRDefault="00C21266">
            <w:pPr>
              <w:spacing w:before="240" w:after="240"/>
              <w:ind w:left="851"/>
              <w:rPr>
                <w:szCs w:val="24"/>
              </w:rPr>
            </w:pPr>
            <w:r w:rsidRPr="005C3B55">
              <w:t>(b) a description of expected results and contribution to the EIP objective of higher productivity and sustainable management of resources.</w:t>
            </w:r>
          </w:p>
          <w:p w:rsidR="00C21266" w:rsidRPr="005C3B55" w:rsidRDefault="00C21266">
            <w:pPr>
              <w:spacing w:before="240" w:after="240"/>
              <w:rPr>
                <w:szCs w:val="24"/>
              </w:rPr>
            </w:pPr>
            <w:r w:rsidRPr="005C3B55">
              <w:t>2. When implementing their innovative projects, operational groups:</w:t>
            </w:r>
          </w:p>
          <w:p w:rsidR="00C21266" w:rsidRPr="005C3B55" w:rsidRDefault="00C21266">
            <w:pPr>
              <w:spacing w:before="240" w:after="240"/>
              <w:ind w:left="851"/>
              <w:rPr>
                <w:szCs w:val="24"/>
              </w:rPr>
            </w:pPr>
            <w:r w:rsidRPr="005C3B55">
              <w:t>(a) decide on the preparation and implementation of innovative activities, and</w:t>
            </w:r>
          </w:p>
          <w:p w:rsidR="00C21266" w:rsidRPr="005C3B55" w:rsidRDefault="00C21266">
            <w:pPr>
              <w:spacing w:before="240" w:after="240"/>
              <w:ind w:left="851"/>
              <w:rPr>
                <w:szCs w:val="24"/>
              </w:rPr>
            </w:pPr>
            <w:r w:rsidRPr="005C3B55">
              <w:t>(b) implement innovative activities with measures which are financed as part of rural development programmes.</w:t>
            </w:r>
          </w:p>
          <w:p w:rsidR="00C21266" w:rsidRPr="005C3B55" w:rsidRDefault="00C21266">
            <w:pPr>
              <w:spacing w:before="240" w:after="240"/>
              <w:rPr>
                <w:szCs w:val="24"/>
              </w:rPr>
            </w:pPr>
            <w:r w:rsidRPr="005C3B55">
              <w:t>3. Operational groups disseminate the results of their projects, primarily through the EIP network.</w:t>
            </w:r>
          </w:p>
          <w:p w:rsidR="00C21266" w:rsidRPr="005C3B55" w:rsidRDefault="00C21266">
            <w:pPr>
              <w:pStyle w:val="Telobesedila"/>
              <w:rPr>
                <w:lang w:eastAsia="en-GB" w:bidi="en-GB"/>
              </w:rPr>
            </w:pPr>
          </w:p>
        </w:tc>
      </w:tr>
    </w:tbl>
    <w:p w:rsidR="00C21266" w:rsidRPr="005C3B55" w:rsidRDefault="00C21266" w:rsidP="00C21266">
      <w:pPr>
        <w:pStyle w:val="Naslov3"/>
        <w:tabs>
          <w:tab w:val="clear" w:pos="765"/>
        </w:tabs>
        <w:ind w:left="0" w:firstLine="0"/>
        <w:jc w:val="left"/>
        <w:rPr>
          <w:lang w:val="en-GB" w:eastAsia="en-GB" w:bidi="en-GB"/>
        </w:rPr>
      </w:pPr>
      <w:r w:rsidRPr="005C3B55">
        <w:rPr>
          <w:lang w:val="en-GB"/>
        </w:rPr>
        <w:br w:type="page"/>
      </w:r>
      <w:bookmarkStart w:id="128" w:name="_Toc416192586"/>
      <w:r w:rsidRPr="005C3B55">
        <w:rPr>
          <w:lang w:val="en-GB"/>
        </w:rPr>
        <w:t>M19 – Support for LEADER local development (CLLD – community-led local development) (Article 35 of Regulation (EU) No 1303/2013)</w:t>
      </w:r>
      <w:bookmarkEnd w:id="128"/>
    </w:p>
    <w:p w:rsidR="00C21266" w:rsidRPr="005C3B55" w:rsidRDefault="00C21266" w:rsidP="00C21266">
      <w:pPr>
        <w:pStyle w:val="Naslov4"/>
        <w:tabs>
          <w:tab w:val="clear" w:pos="765"/>
        </w:tabs>
        <w:ind w:left="0" w:firstLine="0"/>
        <w:jc w:val="left"/>
        <w:rPr>
          <w:lang w:val="en-GB"/>
        </w:rPr>
      </w:pPr>
      <w:r w:rsidRPr="005C3B55">
        <w:rPr>
          <w:lang w:val="en-GB"/>
        </w:rPr>
        <w:t>Legal basis</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The M19 measure is implemented on the basis of Articles 32 to 35 of Regulation (EU) No 1303/2013 and Articles 42 to 44 of Regulation (EU) No 1305/2013.</w:t>
            </w:r>
          </w:p>
          <w:p w:rsidR="00C21266" w:rsidRPr="005C3B55" w:rsidRDefault="00C21266">
            <w:pPr>
              <w:pStyle w:val="Telobesedila"/>
              <w:rPr>
                <w:lang w:eastAsia="en-GB" w:bidi="en-GB"/>
              </w:rPr>
            </w:pPr>
          </w:p>
        </w:tc>
      </w:tr>
    </w:tbl>
    <w:p w:rsidR="00C21266" w:rsidRPr="005C3B55" w:rsidRDefault="00C21266" w:rsidP="00C21266">
      <w:pPr>
        <w:pStyle w:val="Naslov4"/>
        <w:tabs>
          <w:tab w:val="clear" w:pos="765"/>
        </w:tabs>
        <w:ind w:left="0" w:firstLine="0"/>
        <w:jc w:val="left"/>
        <w:rPr>
          <w:lang w:val="en-GB" w:eastAsia="en-GB" w:bidi="en-GB"/>
        </w:rPr>
      </w:pPr>
      <w:r w:rsidRPr="005C3B55">
        <w:rPr>
          <w:lang w:val="en-GB"/>
        </w:rPr>
        <w:t>A general description of the measure, including its intervention logic and contribution to priority areas and horizontal goals</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LEADER is a tool for promoting joint local development following the bottom-up principle. The bottom-up approach enables local people to participate actively in decision-making regarding the priorities and development objectives of the local area, including financial resources to attain the objectives of the local area, by forming local partnerships of so-called Local Action Groups (LAG). It enables the realisation of a wide array of challenges in different environments and better flexibility in the attainment of the objectives, and corresponds to the actual needs of the local area.</w:t>
            </w:r>
          </w:p>
          <w:p w:rsidR="00C21266" w:rsidRPr="005C3B55" w:rsidRDefault="00C21266">
            <w:pPr>
              <w:spacing w:before="240" w:after="240"/>
              <w:rPr>
                <w:szCs w:val="24"/>
              </w:rPr>
            </w:pPr>
            <w:r w:rsidRPr="005C3B55">
              <w:t>Slovenia has several years’ experience in the field of local development as per the bottom-up approach, which dates back to the early 1990s. The LEADER approach itself was established in Slovenia in the 2007-2013 programming period and has proven a successful tool for the realisation of local development objectives of LAGs. All 33 confirmed LAGs remained active throughout the entire programming period. The LEADER measures were implemented on 95% of Slovenian territory. More than 1,400 projects were approved. The closing of projects will continue until the end of 2015.</w:t>
            </w:r>
          </w:p>
          <w:p w:rsidR="00C21266" w:rsidRPr="005C3B55" w:rsidRDefault="00C21266">
            <w:pPr>
              <w:spacing w:before="240" w:after="240"/>
              <w:rPr>
                <w:szCs w:val="24"/>
              </w:rPr>
            </w:pPr>
            <w:r w:rsidRPr="005C3B55">
              <w:t>The combination of different financial resources through the CLLD enables LAGs to implement comprehensive and more complex projects and is not strictly limited to rural areas, but also include fisheries and urban areas. Such an approach is much more integrated and supports the successful realisation of local needs. Access to various funds enables local partnerships to expand their field of application and dedicate more attention to fields and issues which they would otherwise find more difficult to discuss. A local development strategy (LDS) prepared by a local partnership for an individual area corresponds to special geographic or demographic challenges.</w:t>
            </w:r>
          </w:p>
          <w:p w:rsidR="00C21266" w:rsidRPr="005C3B55" w:rsidRDefault="00C21266">
            <w:pPr>
              <w:spacing w:before="240" w:after="240"/>
              <w:rPr>
                <w:szCs w:val="24"/>
              </w:rPr>
            </w:pPr>
            <w:r w:rsidRPr="005C3B55">
              <w:t>The LEADER measure implemented as part of the joint CLLD approach will be implemented within a uniform thematic objective, i.e. promotion of social inclusion and combating poverty and any discrimination. Operations conducted within local development led by communities may also contribute to other thematic objectives.</w:t>
            </w:r>
          </w:p>
          <w:p w:rsidR="00C21266" w:rsidRPr="005C3B55" w:rsidRDefault="00C21266">
            <w:pPr>
              <w:spacing w:before="240" w:after="240"/>
              <w:rPr>
                <w:szCs w:val="24"/>
              </w:rPr>
            </w:pPr>
            <w:r w:rsidRPr="005C3B55">
              <w:t>The objective of the LEADER measure is to promote social inclusion, reduce poverty and enhance the economic development of rural areas, with an emphasis on promoting local development in rural areas. The measure also contributes significantly to solving other local needs, particularly nature conservation, protection of the environment, cultural landscape, cultural heritage and its elements, and represents a challenge for different target groups in rural areas.</w:t>
            </w:r>
          </w:p>
          <w:p w:rsidR="00C21266" w:rsidRPr="005C3B55" w:rsidRDefault="00C21266">
            <w:pPr>
              <w:spacing w:before="240" w:after="240"/>
              <w:rPr>
                <w:szCs w:val="24"/>
              </w:rPr>
            </w:pPr>
            <w:r w:rsidRPr="005C3B55">
              <w:rPr>
                <w:b/>
              </w:rPr>
              <w:t>Local Action Group</w:t>
            </w:r>
          </w:p>
          <w:p w:rsidR="00C21266" w:rsidRPr="005C3B55" w:rsidRDefault="00C21266">
            <w:pPr>
              <w:spacing w:before="240" w:after="240"/>
              <w:rPr>
                <w:szCs w:val="24"/>
              </w:rPr>
            </w:pPr>
            <w:r w:rsidRPr="005C3B55">
              <w:t>The LAGs have to be formed in areas with common local needs and challenges and have to focus on special sub-regional areas dealing with special geographical and demographic problems.</w:t>
            </w:r>
          </w:p>
          <w:p w:rsidR="00C21266" w:rsidRPr="005C3B55" w:rsidRDefault="00C21266">
            <w:pPr>
              <w:spacing w:before="240" w:after="240"/>
              <w:rPr>
                <w:szCs w:val="24"/>
              </w:rPr>
            </w:pPr>
            <w:r w:rsidRPr="005C3B55">
              <w:t>The LAGs in the 2007-2013 programming period which wish to draw funds from this measure in the 2014-2020 programming period have to adjust to the new conditions. On the basis of current experience from the 2007-2013 programming period, we expect a similar number of LAGs to develop in the 2014-2020 programming period, whereby the LAG areas will also include settlements with more than 10,000 inhabitants, where projects financed by ERDF and EMFF funds will be implemented.</w:t>
            </w:r>
          </w:p>
          <w:p w:rsidR="00C21266" w:rsidRPr="005C3B55" w:rsidRDefault="00C21266">
            <w:pPr>
              <w:spacing w:before="240" w:after="240"/>
              <w:rPr>
                <w:szCs w:val="24"/>
              </w:rPr>
            </w:pPr>
            <w:r w:rsidRPr="005C3B55">
              <w:t>The area in which a LAG is formed has to include between 10,000 and 150,000 inhabitants; settlements with more than 10,000 inhabitants are not eligible for funds under the EAFRD fund.</w:t>
            </w:r>
          </w:p>
          <w:p w:rsidR="00C21266" w:rsidRPr="005C3B55" w:rsidRDefault="00C21266">
            <w:pPr>
              <w:spacing w:before="240" w:after="240"/>
              <w:rPr>
                <w:szCs w:val="24"/>
              </w:rPr>
            </w:pPr>
            <w:r w:rsidRPr="005C3B55">
              <w:t>A LAG has to be organised as a contractual partnership in accordance with Point 2 of Article 34 of Regulation (EU) No 1303/2013. When forming a LAG, Point 2.b of Article 32 of Regulation (EU) No 1303/2013 has to be observed.</w:t>
            </w:r>
          </w:p>
          <w:p w:rsidR="00C21266" w:rsidRPr="005C3B55" w:rsidRDefault="00C21266">
            <w:pPr>
              <w:spacing w:before="240" w:after="240"/>
              <w:rPr>
                <w:szCs w:val="24"/>
              </w:rPr>
            </w:pPr>
            <w:r w:rsidRPr="005C3B55">
              <w:t>In addition to the tasks from Point 3 of Article 34 of Regulation (EU) No 1303/2013, a LAG has to perform the following tasks:</w:t>
            </w:r>
          </w:p>
          <w:p w:rsidR="00C21266" w:rsidRPr="005C3B55" w:rsidRDefault="00C21266" w:rsidP="006E20B6">
            <w:pPr>
              <w:numPr>
                <w:ilvl w:val="0"/>
                <w:numId w:val="995"/>
              </w:numPr>
              <w:spacing w:before="240" w:after="0"/>
              <w:ind w:hanging="290"/>
              <w:jc w:val="left"/>
              <w:rPr>
                <w:szCs w:val="24"/>
              </w:rPr>
            </w:pPr>
            <w:r w:rsidRPr="005C3B55">
              <w:t>adopt the decision with the means of the fund (EAFRD, ERDF and EMFF) with which it will realise the objectives in the LDS.</w:t>
            </w:r>
          </w:p>
          <w:p w:rsidR="00C21266" w:rsidRPr="005C3B55" w:rsidRDefault="00C21266" w:rsidP="006E20B6">
            <w:pPr>
              <w:numPr>
                <w:ilvl w:val="0"/>
                <w:numId w:val="995"/>
              </w:numPr>
              <w:spacing w:before="0" w:after="0"/>
              <w:ind w:hanging="290"/>
              <w:jc w:val="left"/>
              <w:rPr>
                <w:szCs w:val="24"/>
              </w:rPr>
            </w:pPr>
            <w:r w:rsidRPr="005C3B55">
              <w:t>the animation of the field of providing information for all interested residents in the LDS area, stimulating the implementation of operation and the assistance of potential beneficiaries in preparation of operations.</w:t>
            </w:r>
          </w:p>
          <w:p w:rsidR="00C21266" w:rsidRPr="005C3B55" w:rsidRDefault="00C21266" w:rsidP="006E20B6">
            <w:pPr>
              <w:numPr>
                <w:ilvl w:val="0"/>
                <w:numId w:val="995"/>
              </w:numPr>
              <w:spacing w:before="0" w:after="0"/>
              <w:ind w:hanging="290"/>
              <w:jc w:val="left"/>
              <w:rPr>
                <w:szCs w:val="24"/>
              </w:rPr>
            </w:pPr>
            <w:r w:rsidRPr="005C3B55">
              <w:t>prepare LDS for the entire programming period and be capable of realising the objectives in the LDS,</w:t>
            </w:r>
          </w:p>
          <w:p w:rsidR="00C21266" w:rsidRPr="005C3B55" w:rsidRDefault="00C21266" w:rsidP="006E20B6">
            <w:pPr>
              <w:numPr>
                <w:ilvl w:val="0"/>
                <w:numId w:val="995"/>
              </w:numPr>
              <w:spacing w:before="0" w:after="0"/>
              <w:ind w:hanging="290"/>
              <w:jc w:val="left"/>
              <w:rPr>
                <w:szCs w:val="24"/>
              </w:rPr>
            </w:pPr>
            <w:r w:rsidRPr="005C3B55">
              <w:t>monitor, evaluate and oversee the correct implementation of operations as per the LDS, including milestones and objectives of operations and have an overview of operation implementation also after the allocation of funds,</w:t>
            </w:r>
          </w:p>
          <w:p w:rsidR="00C21266" w:rsidRPr="005C3B55" w:rsidRDefault="00C21266" w:rsidP="006E20B6">
            <w:pPr>
              <w:numPr>
                <w:ilvl w:val="0"/>
                <w:numId w:val="995"/>
              </w:numPr>
              <w:spacing w:before="0" w:after="0"/>
              <w:ind w:hanging="290"/>
              <w:jc w:val="left"/>
              <w:rPr>
                <w:szCs w:val="24"/>
              </w:rPr>
            </w:pPr>
            <w:r w:rsidRPr="005C3B55">
              <w:t>implement procedures for operation selection, select the operations and submit them for the final approval of MA.</w:t>
            </w:r>
          </w:p>
          <w:p w:rsidR="00C21266" w:rsidRPr="005C3B55" w:rsidRDefault="00C21266" w:rsidP="006E20B6">
            <w:pPr>
              <w:numPr>
                <w:ilvl w:val="0"/>
                <w:numId w:val="995"/>
              </w:numPr>
              <w:spacing w:before="0" w:after="0"/>
              <w:ind w:hanging="290"/>
              <w:jc w:val="left"/>
              <w:rPr>
                <w:szCs w:val="24"/>
              </w:rPr>
            </w:pPr>
            <w:r w:rsidRPr="005C3B55">
              <w:t>provide information to beneficiaries relating to rights and duties, also after the last instalment of support,</w:t>
            </w:r>
          </w:p>
          <w:p w:rsidR="00C21266" w:rsidRPr="005C3B55" w:rsidRDefault="00C21266" w:rsidP="006E20B6">
            <w:pPr>
              <w:numPr>
                <w:ilvl w:val="0"/>
                <w:numId w:val="995"/>
              </w:numPr>
              <w:spacing w:before="0" w:after="0"/>
              <w:ind w:hanging="290"/>
              <w:jc w:val="left"/>
              <w:rPr>
                <w:szCs w:val="24"/>
              </w:rPr>
            </w:pPr>
            <w:r w:rsidRPr="005C3B55">
              <w:t>submit applications and claims for payment for individual measures.</w:t>
            </w:r>
          </w:p>
          <w:p w:rsidR="00C21266" w:rsidRPr="005C3B55" w:rsidRDefault="00C21266" w:rsidP="006E20B6">
            <w:pPr>
              <w:numPr>
                <w:ilvl w:val="0"/>
                <w:numId w:val="995"/>
              </w:numPr>
              <w:spacing w:before="0" w:after="0"/>
              <w:ind w:hanging="290"/>
              <w:jc w:val="left"/>
              <w:rPr>
                <w:szCs w:val="24"/>
              </w:rPr>
            </w:pPr>
            <w:r w:rsidRPr="005C3B55">
              <w:t>preliminarily examine the cost eligibility, compliance with LDS and 2014 -2020 RDP, check that the holders of projects have the capacities to implement the operations and the legitimacy of implemented operations.</w:t>
            </w:r>
          </w:p>
          <w:p w:rsidR="00C21266" w:rsidRPr="005C3B55" w:rsidRDefault="00C21266" w:rsidP="006E20B6">
            <w:pPr>
              <w:numPr>
                <w:ilvl w:val="0"/>
                <w:numId w:val="995"/>
              </w:numPr>
              <w:spacing w:before="0" w:after="0"/>
              <w:ind w:hanging="290"/>
              <w:jc w:val="left"/>
              <w:rPr>
                <w:szCs w:val="24"/>
              </w:rPr>
            </w:pPr>
            <w:r w:rsidRPr="005C3B55">
              <w:t>cooperate with the Managing Authority, the Paying Agency, auditing bodies and other supervisory bodies.</w:t>
            </w:r>
          </w:p>
          <w:p w:rsidR="00C21266" w:rsidRPr="005C3B55" w:rsidRDefault="00C21266" w:rsidP="006E20B6">
            <w:pPr>
              <w:numPr>
                <w:ilvl w:val="0"/>
                <w:numId w:val="995"/>
              </w:numPr>
              <w:spacing w:before="0" w:after="0"/>
              <w:ind w:hanging="290"/>
              <w:jc w:val="left"/>
              <w:rPr>
                <w:szCs w:val="24"/>
              </w:rPr>
            </w:pPr>
            <w:r w:rsidRPr="005C3B55">
              <w:t>prepare annual reports on the implementation of the LDS,</w:t>
            </w:r>
          </w:p>
          <w:p w:rsidR="00C21266" w:rsidRPr="005C3B55" w:rsidRDefault="00C21266" w:rsidP="006E20B6">
            <w:pPr>
              <w:numPr>
                <w:ilvl w:val="0"/>
                <w:numId w:val="995"/>
              </w:numPr>
              <w:spacing w:before="0" w:after="0"/>
              <w:ind w:hanging="290"/>
              <w:jc w:val="left"/>
              <w:rPr>
                <w:szCs w:val="24"/>
              </w:rPr>
            </w:pPr>
            <w:r w:rsidRPr="005C3B55">
              <w:t>take care for the labelling of co-funded operations.</w:t>
            </w:r>
          </w:p>
          <w:p w:rsidR="00C21266" w:rsidRPr="005C3B55" w:rsidRDefault="00C21266" w:rsidP="006E20B6">
            <w:pPr>
              <w:numPr>
                <w:ilvl w:val="0"/>
                <w:numId w:val="995"/>
              </w:numPr>
              <w:spacing w:before="0" w:after="0"/>
              <w:ind w:hanging="290"/>
              <w:jc w:val="left"/>
              <w:rPr>
                <w:szCs w:val="24"/>
              </w:rPr>
            </w:pPr>
            <w:r w:rsidRPr="005C3B55">
              <w:t>determine the leading partner of LAG,</w:t>
            </w:r>
          </w:p>
          <w:p w:rsidR="00C21266" w:rsidRPr="005C3B55" w:rsidRDefault="00C21266" w:rsidP="006E20B6">
            <w:pPr>
              <w:numPr>
                <w:ilvl w:val="0"/>
                <w:numId w:val="995"/>
              </w:numPr>
              <w:spacing w:before="0" w:after="0"/>
              <w:ind w:hanging="290"/>
              <w:jc w:val="left"/>
              <w:rPr>
                <w:szCs w:val="24"/>
              </w:rPr>
            </w:pPr>
            <w:r w:rsidRPr="005C3B55">
              <w:t>determined precise tasks of the LAG leading partner,</w:t>
            </w:r>
          </w:p>
          <w:p w:rsidR="00C21266" w:rsidRPr="005C3B55" w:rsidRDefault="00C21266" w:rsidP="006E20B6">
            <w:pPr>
              <w:numPr>
                <w:ilvl w:val="0"/>
                <w:numId w:val="995"/>
              </w:numPr>
              <w:spacing w:before="0" w:after="0"/>
              <w:ind w:hanging="290"/>
              <w:jc w:val="left"/>
              <w:rPr>
                <w:szCs w:val="24"/>
              </w:rPr>
            </w:pPr>
            <w:r w:rsidRPr="005C3B55">
              <w:t>monitor and supervise the work of the LAG leading partner.</w:t>
            </w:r>
          </w:p>
          <w:p w:rsidR="00C21266" w:rsidRPr="005C3B55" w:rsidRDefault="00C21266" w:rsidP="006E20B6">
            <w:pPr>
              <w:numPr>
                <w:ilvl w:val="0"/>
                <w:numId w:val="995"/>
              </w:numPr>
              <w:spacing w:before="0" w:after="240"/>
              <w:ind w:hanging="290"/>
              <w:jc w:val="left"/>
              <w:rPr>
                <w:szCs w:val="24"/>
              </w:rPr>
            </w:pPr>
            <w:r w:rsidRPr="005C3B55">
              <w:t>prepare the annual plan of activities for the "Support for running costs and animation" sub-measure.</w:t>
            </w:r>
          </w:p>
          <w:p w:rsidR="00C21266" w:rsidRPr="005C3B55" w:rsidRDefault="00C21266">
            <w:pPr>
              <w:spacing w:before="240" w:after="240"/>
              <w:rPr>
                <w:szCs w:val="24"/>
              </w:rPr>
            </w:pPr>
            <w:r w:rsidRPr="005C3B55">
              <w:rPr>
                <w:b/>
              </w:rPr>
              <w:t>LAG leading partner</w:t>
            </w:r>
          </w:p>
          <w:p w:rsidR="00C21266" w:rsidRPr="005C3B55" w:rsidRDefault="00C21266">
            <w:pPr>
              <w:spacing w:before="240" w:after="240"/>
              <w:rPr>
                <w:szCs w:val="24"/>
              </w:rPr>
            </w:pPr>
            <w:r w:rsidRPr="005C3B55">
              <w:t>The LAG leading partner represents the LAG in administrative and financial matters. The LAG leading partner must have sufficiently trained staff to implement tasks.</w:t>
            </w:r>
          </w:p>
          <w:p w:rsidR="00C21266" w:rsidRPr="005C3B55" w:rsidRDefault="00C21266">
            <w:pPr>
              <w:spacing w:before="240" w:after="240"/>
              <w:rPr>
                <w:szCs w:val="24"/>
              </w:rPr>
            </w:pPr>
            <w:r w:rsidRPr="005C3B55">
              <w:rPr>
                <w:b/>
              </w:rPr>
              <w:t>Local Development Strategy</w:t>
            </w:r>
          </w:p>
          <w:p w:rsidR="00C21266" w:rsidRPr="005C3B55" w:rsidRDefault="00C21266">
            <w:pPr>
              <w:spacing w:before="240" w:after="240"/>
              <w:rPr>
                <w:szCs w:val="24"/>
              </w:rPr>
            </w:pPr>
            <w:r w:rsidRPr="005C3B55">
              <w:t>Decision-making on the development of a local area is in the domain of the local partnership, which, on the basis of the understanding of development problems and opportunities of its region prepares the LDS. The LDS has to contribute to the promotion of local development in rural areas. It has to be integrated into the strategic guidelines of the RDP 2014-2020 and thus follow priority tasks of the rural development policy, pursue the attainment of all three horizontal objectives of the EU and also has to be harmonised with other development policies at regional and local levels. With individual operations, the LAG has to contribute to solving of needs as set out by the MA in Chapter 4.2, "Needs assessment"</w:t>
            </w:r>
          </w:p>
          <w:p w:rsidR="00C21266" w:rsidRPr="005C3B55" w:rsidRDefault="00C21266">
            <w:pPr>
              <w:spacing w:before="240" w:after="240"/>
              <w:rPr>
                <w:szCs w:val="24"/>
              </w:rPr>
            </w:pPr>
            <w:r w:rsidRPr="005C3B55">
              <w:t>The LEADER measure support is focused on the fifth action area as defined in Chapter 5.1, and is as follows, ‘Green jobs and the coherent and sustainable development of rural areas, based on the development of the endogenous potential of the rural environment.’ To provide for the coherent and sustainable development of rural areas, apart from investing in the development of basic infrastructure, investments should also be made in the development of cultural, leisure time and other activities, especially those which contribute to greater social inclusion. High unemployment, particularly among the young, women and other vulnerable groups (e.g. the unemployed, Roma, the elderly), low economic growth and a lack of jobs are challenges which face the whole of Slovenia. Job creation in rural areas and the promotion of higher social inclusion are thus very important tasks attainable only with coordinated operations between various sectors and funds. Care for the environment, mitigation and adjustment to climate change and the sustainable use of natural resources are the challenges of the rural approach.</w:t>
            </w:r>
          </w:p>
          <w:p w:rsidR="00C21266" w:rsidRPr="005C3B55" w:rsidRDefault="00C21266">
            <w:pPr>
              <w:spacing w:before="240" w:after="240"/>
              <w:rPr>
                <w:szCs w:val="24"/>
              </w:rPr>
            </w:pPr>
            <w:r w:rsidRPr="005C3B55">
              <w:t>When preparing the LDS, local partnerships must take into account and include all key elements as determined by the EU and national regulations. The preparation of the LDS must be based on four thematic areas of action defined by the MA as key challenges in pursuing the Union’s objectives:</w:t>
            </w:r>
          </w:p>
          <w:p w:rsidR="00C21266" w:rsidRPr="005C3B55" w:rsidRDefault="00C21266" w:rsidP="006E20B6">
            <w:pPr>
              <w:numPr>
                <w:ilvl w:val="0"/>
                <w:numId w:val="996"/>
              </w:numPr>
              <w:spacing w:before="240" w:after="0"/>
              <w:ind w:hanging="290"/>
              <w:jc w:val="left"/>
              <w:rPr>
                <w:szCs w:val="24"/>
              </w:rPr>
            </w:pPr>
            <w:r w:rsidRPr="005C3B55">
              <w:t>job creation,</w:t>
            </w:r>
          </w:p>
          <w:p w:rsidR="00C21266" w:rsidRPr="005C3B55" w:rsidRDefault="00C21266" w:rsidP="006E20B6">
            <w:pPr>
              <w:numPr>
                <w:ilvl w:val="0"/>
                <w:numId w:val="996"/>
              </w:numPr>
              <w:spacing w:before="0" w:after="0"/>
              <w:ind w:hanging="290"/>
              <w:jc w:val="left"/>
              <w:rPr>
                <w:szCs w:val="24"/>
              </w:rPr>
            </w:pPr>
            <w:r w:rsidRPr="005C3B55">
              <w:t>development of basic services,</w:t>
            </w:r>
          </w:p>
          <w:p w:rsidR="00C21266" w:rsidRPr="005C3B55" w:rsidRDefault="00C21266" w:rsidP="006E20B6">
            <w:pPr>
              <w:numPr>
                <w:ilvl w:val="0"/>
                <w:numId w:val="996"/>
              </w:numPr>
              <w:spacing w:before="0" w:after="0"/>
              <w:ind w:hanging="290"/>
              <w:jc w:val="left"/>
              <w:rPr>
                <w:szCs w:val="24"/>
              </w:rPr>
            </w:pPr>
            <w:r w:rsidRPr="005C3B55">
              <w:t>environmental protection and nature conservation, and</w:t>
            </w:r>
          </w:p>
          <w:p w:rsidR="00C21266" w:rsidRPr="005C3B55" w:rsidRDefault="00C21266" w:rsidP="006E20B6">
            <w:pPr>
              <w:numPr>
                <w:ilvl w:val="0"/>
                <w:numId w:val="996"/>
              </w:numPr>
              <w:spacing w:before="0" w:after="240"/>
              <w:ind w:hanging="290"/>
              <w:jc w:val="left"/>
              <w:rPr>
                <w:szCs w:val="24"/>
              </w:rPr>
            </w:pPr>
            <w:r w:rsidRPr="005C3B55">
              <w:t>greater inclusion of the young, women and other vulnerable groups.</w:t>
            </w:r>
          </w:p>
          <w:p w:rsidR="00C21266" w:rsidRPr="005C3B55" w:rsidRDefault="00C21266">
            <w:pPr>
              <w:spacing w:before="240" w:after="240"/>
              <w:rPr>
                <w:szCs w:val="24"/>
              </w:rPr>
            </w:pPr>
            <w:r w:rsidRPr="005C3B55">
              <w:t>These areas will tackle challenges related to high unemployment, increasing competitiveness, improving basic services, including local infrastructure and the consequent management of the depopulation issue, the preservation of landscape identity and protection of the environment and natural resources. Increased social inclusion and a campaign against poverty will be promoted.</w:t>
            </w:r>
          </w:p>
          <w:p w:rsidR="00C21266" w:rsidRPr="005C3B55" w:rsidRDefault="00C21266">
            <w:pPr>
              <w:spacing w:before="240" w:after="240"/>
              <w:rPr>
                <w:szCs w:val="24"/>
              </w:rPr>
            </w:pPr>
            <w:r w:rsidRPr="005C3B55">
              <w:t>In order to steadily pursue the objectives, local partnerships may include in the LDS those thematic areas of action that arise from local needs that contribute to the objectives of local development. The distribution of priority tasks according to individual thematic areas of action depends on identifying the needs of the local partnership and determining centres of gravity between individual thematic areas of action. The selection of operations by which LAGs pursue thematic areas of action is the responsibility of LAGs. LAGs will select operations on the basis of public procurements.</w:t>
            </w:r>
          </w:p>
          <w:p w:rsidR="00C21266" w:rsidRPr="005C3B55" w:rsidRDefault="00C21266">
            <w:pPr>
              <w:spacing w:before="240" w:after="240"/>
              <w:rPr>
                <w:szCs w:val="24"/>
              </w:rPr>
            </w:pPr>
            <w:r w:rsidRPr="005C3B55">
              <w:t>Individual local partnerships have to prepare an LDS within twelve months of the publication of the public procurement, and submit it for approval. The following has to be defined in LDS:</w:t>
            </w:r>
          </w:p>
          <w:p w:rsidR="00C21266" w:rsidRPr="005C3B55" w:rsidRDefault="00C21266" w:rsidP="006E20B6">
            <w:pPr>
              <w:numPr>
                <w:ilvl w:val="0"/>
                <w:numId w:val="997"/>
              </w:numPr>
              <w:spacing w:before="240" w:after="0"/>
              <w:ind w:hanging="290"/>
              <w:jc w:val="left"/>
              <w:rPr>
                <w:szCs w:val="24"/>
              </w:rPr>
            </w:pPr>
            <w:r w:rsidRPr="005C3B55">
              <w:t>area and population included in the LDS;</w:t>
            </w:r>
          </w:p>
          <w:p w:rsidR="00C21266" w:rsidRPr="005C3B55" w:rsidRDefault="00C21266" w:rsidP="006E20B6">
            <w:pPr>
              <w:numPr>
                <w:ilvl w:val="0"/>
                <w:numId w:val="997"/>
              </w:numPr>
              <w:spacing w:before="0" w:after="0"/>
              <w:ind w:hanging="290"/>
              <w:jc w:val="left"/>
              <w:rPr>
                <w:szCs w:val="24"/>
              </w:rPr>
            </w:pPr>
            <w:r w:rsidRPr="005C3B55">
              <w:t>analysis of development needs and opportunities of the LAG area, including the analysis of strengths, weaknesses, opportunities and threats;</w:t>
            </w:r>
          </w:p>
          <w:p w:rsidR="00C21266" w:rsidRPr="005C3B55" w:rsidRDefault="00C21266" w:rsidP="006E20B6">
            <w:pPr>
              <w:numPr>
                <w:ilvl w:val="0"/>
                <w:numId w:val="997"/>
              </w:numPr>
              <w:spacing w:before="0" w:after="0"/>
              <w:ind w:hanging="290"/>
              <w:jc w:val="left"/>
              <w:rPr>
                <w:szCs w:val="24"/>
              </w:rPr>
            </w:pPr>
            <w:r w:rsidRPr="005C3B55">
              <w:t>a detailed description of thematic action areas;</w:t>
            </w:r>
          </w:p>
          <w:p w:rsidR="00C21266" w:rsidRPr="005C3B55" w:rsidRDefault="00C21266" w:rsidP="006E20B6">
            <w:pPr>
              <w:numPr>
                <w:ilvl w:val="0"/>
                <w:numId w:val="997"/>
              </w:numPr>
              <w:spacing w:before="0" w:after="0"/>
              <w:ind w:hanging="290"/>
              <w:jc w:val="left"/>
              <w:rPr>
                <w:szCs w:val="24"/>
              </w:rPr>
            </w:pPr>
            <w:r w:rsidRPr="005C3B55">
              <w:t>description and the manner of attaining and pursuing horizontal objectives of the EU;</w:t>
            </w:r>
          </w:p>
          <w:p w:rsidR="00C21266" w:rsidRPr="005C3B55" w:rsidRDefault="00C21266" w:rsidP="006E20B6">
            <w:pPr>
              <w:numPr>
                <w:ilvl w:val="0"/>
                <w:numId w:val="997"/>
              </w:numPr>
              <w:spacing w:before="0" w:after="0"/>
              <w:ind w:hanging="290"/>
              <w:jc w:val="left"/>
              <w:rPr>
                <w:szCs w:val="24"/>
              </w:rPr>
            </w:pPr>
            <w:r w:rsidRPr="005C3B55">
              <w:t>description of the LDS and its objectives, including the setting of milestones and indicators’ target values;</w:t>
            </w:r>
          </w:p>
          <w:p w:rsidR="00C21266" w:rsidRPr="005C3B55" w:rsidRDefault="00C21266" w:rsidP="006E20B6">
            <w:pPr>
              <w:numPr>
                <w:ilvl w:val="0"/>
                <w:numId w:val="997"/>
              </w:numPr>
              <w:spacing w:before="0" w:after="0"/>
              <w:ind w:hanging="290"/>
              <w:jc w:val="left"/>
              <w:rPr>
                <w:szCs w:val="24"/>
              </w:rPr>
            </w:pPr>
            <w:r w:rsidRPr="005C3B55">
              <w:t>description of the procedure of community inclusion in the preparation of the LDS;</w:t>
            </w:r>
          </w:p>
          <w:p w:rsidR="00C21266" w:rsidRPr="005C3B55" w:rsidRDefault="00C21266" w:rsidP="006E20B6">
            <w:pPr>
              <w:numPr>
                <w:ilvl w:val="0"/>
                <w:numId w:val="997"/>
              </w:numPr>
              <w:spacing w:before="0" w:after="0"/>
              <w:ind w:hanging="290"/>
              <w:jc w:val="left"/>
              <w:rPr>
                <w:szCs w:val="24"/>
              </w:rPr>
            </w:pPr>
            <w:r w:rsidRPr="005C3B55">
              <w:t>action plan which includes a description of the transfer of objectives into measures, implementation responsibility, including a schedule of annual activities;</w:t>
            </w:r>
          </w:p>
          <w:p w:rsidR="00C21266" w:rsidRPr="005C3B55" w:rsidRDefault="00C21266" w:rsidP="006E20B6">
            <w:pPr>
              <w:numPr>
                <w:ilvl w:val="0"/>
                <w:numId w:val="997"/>
              </w:numPr>
              <w:spacing w:before="0" w:after="0"/>
              <w:ind w:hanging="290"/>
              <w:jc w:val="left"/>
              <w:rPr>
                <w:szCs w:val="24"/>
              </w:rPr>
            </w:pPr>
            <w:r w:rsidRPr="005C3B55">
              <w:t>description of the LDS monitoring and evaluation system;</w:t>
            </w:r>
          </w:p>
          <w:p w:rsidR="00C21266" w:rsidRPr="005C3B55" w:rsidRDefault="00C21266" w:rsidP="006E20B6">
            <w:pPr>
              <w:numPr>
                <w:ilvl w:val="0"/>
                <w:numId w:val="997"/>
              </w:numPr>
              <w:spacing w:before="0" w:after="0"/>
              <w:ind w:hanging="290"/>
              <w:jc w:val="left"/>
              <w:rPr>
                <w:szCs w:val="24"/>
              </w:rPr>
            </w:pPr>
            <w:r w:rsidRPr="005C3B55">
              <w:t>description of a procedure for determining the LAG leading partner;</w:t>
            </w:r>
          </w:p>
          <w:p w:rsidR="00C21266" w:rsidRPr="005C3B55" w:rsidRDefault="00C21266" w:rsidP="006E20B6">
            <w:pPr>
              <w:numPr>
                <w:ilvl w:val="0"/>
                <w:numId w:val="997"/>
              </w:numPr>
              <w:spacing w:before="0" w:after="0"/>
              <w:ind w:hanging="290"/>
              <w:jc w:val="left"/>
              <w:rPr>
                <w:szCs w:val="24"/>
              </w:rPr>
            </w:pPr>
            <w:r w:rsidRPr="005C3B55">
              <w:t>description of LAG bodies (LAG president, LAG assembly, the MA, supervisory body, assessment committee);</w:t>
            </w:r>
          </w:p>
          <w:p w:rsidR="00C21266" w:rsidRPr="005C3B55" w:rsidRDefault="00C21266" w:rsidP="006E20B6">
            <w:pPr>
              <w:numPr>
                <w:ilvl w:val="0"/>
                <w:numId w:val="997"/>
              </w:numPr>
              <w:spacing w:before="0" w:after="0"/>
              <w:ind w:hanging="290"/>
              <w:jc w:val="left"/>
              <w:rPr>
                <w:szCs w:val="24"/>
              </w:rPr>
            </w:pPr>
            <w:r w:rsidRPr="005C3B55">
              <w:t>a detailed description of the criteria and procedure for the selection of operations, and rules on the operation of the LAG and assessment committees; and</w:t>
            </w:r>
          </w:p>
          <w:p w:rsidR="00C21266" w:rsidRPr="005C3B55" w:rsidRDefault="00C21266" w:rsidP="006E20B6">
            <w:pPr>
              <w:numPr>
                <w:ilvl w:val="0"/>
                <w:numId w:val="997"/>
              </w:numPr>
              <w:spacing w:before="0" w:after="240"/>
              <w:ind w:hanging="290"/>
              <w:jc w:val="left"/>
              <w:rPr>
                <w:szCs w:val="24"/>
              </w:rPr>
            </w:pPr>
            <w:r w:rsidRPr="005C3B55">
              <w:t>financial plan as per the expected financial framework.</w:t>
            </w:r>
          </w:p>
          <w:p w:rsidR="00C21266" w:rsidRPr="005C3B55" w:rsidRDefault="00C21266">
            <w:pPr>
              <w:spacing w:before="240" w:after="240"/>
              <w:rPr>
                <w:szCs w:val="24"/>
              </w:rPr>
            </w:pPr>
            <w:r w:rsidRPr="005C3B55">
              <w:t>The measure will be implemented through four sub-measures:</w:t>
            </w:r>
          </w:p>
          <w:p w:rsidR="00C21266" w:rsidRPr="005C3B55" w:rsidRDefault="00C21266" w:rsidP="006E20B6">
            <w:pPr>
              <w:numPr>
                <w:ilvl w:val="0"/>
                <w:numId w:val="998"/>
              </w:numPr>
              <w:spacing w:before="240" w:after="0"/>
              <w:ind w:hanging="290"/>
              <w:jc w:val="left"/>
              <w:rPr>
                <w:szCs w:val="24"/>
              </w:rPr>
            </w:pPr>
            <w:r w:rsidRPr="005C3B55">
              <w:t>preliminary support (the M19.1 sub-measure);</w:t>
            </w:r>
          </w:p>
          <w:p w:rsidR="00C21266" w:rsidRPr="005C3B55" w:rsidRDefault="00C21266" w:rsidP="006E20B6">
            <w:pPr>
              <w:numPr>
                <w:ilvl w:val="0"/>
                <w:numId w:val="998"/>
              </w:numPr>
              <w:spacing w:before="0" w:after="0"/>
              <w:ind w:hanging="290"/>
              <w:jc w:val="left"/>
              <w:rPr>
                <w:szCs w:val="24"/>
              </w:rPr>
            </w:pPr>
            <w:r w:rsidRPr="005C3B55">
              <w:t>support for implementing operations under the community-led local development strategy (M19.2 sub-measure);</w:t>
            </w:r>
          </w:p>
          <w:p w:rsidR="00C21266" w:rsidRPr="005C3B55" w:rsidRDefault="00C21266" w:rsidP="006E20B6">
            <w:pPr>
              <w:numPr>
                <w:ilvl w:val="0"/>
                <w:numId w:val="998"/>
              </w:numPr>
              <w:spacing w:before="0" w:after="0"/>
              <w:ind w:hanging="290"/>
              <w:jc w:val="left"/>
              <w:rPr>
                <w:szCs w:val="24"/>
              </w:rPr>
            </w:pPr>
            <w:r w:rsidRPr="005C3B55">
              <w:t>preparation and implementation of cooperation activities of the local action group (M19.3 sub-measure) and</w:t>
            </w:r>
          </w:p>
          <w:p w:rsidR="00C21266" w:rsidRPr="005C3B55" w:rsidRDefault="00C21266" w:rsidP="006E20B6">
            <w:pPr>
              <w:numPr>
                <w:ilvl w:val="0"/>
                <w:numId w:val="998"/>
              </w:numPr>
              <w:spacing w:before="0" w:after="240"/>
              <w:ind w:hanging="290"/>
              <w:jc w:val="left"/>
              <w:rPr>
                <w:szCs w:val="24"/>
              </w:rPr>
            </w:pPr>
            <w:r w:rsidRPr="005C3B55">
              <w:t>support for the running costs and animation (M19.4 sub-measure).</w:t>
            </w:r>
          </w:p>
          <w:p w:rsidR="00C21266" w:rsidRPr="005C3B55" w:rsidRDefault="00C21266">
            <w:pPr>
              <w:spacing w:before="240" w:after="240"/>
              <w:rPr>
                <w:szCs w:val="24"/>
              </w:rPr>
            </w:pPr>
            <w:r w:rsidRPr="005C3B55">
              <w:rPr>
                <w:b/>
              </w:rPr>
              <w:t>Financial provisions</w:t>
            </w:r>
          </w:p>
          <w:p w:rsidR="00C21266" w:rsidRPr="005C3B55" w:rsidRDefault="00C21266">
            <w:pPr>
              <w:spacing w:before="240" w:after="240"/>
              <w:rPr>
                <w:szCs w:val="24"/>
              </w:rPr>
            </w:pPr>
            <w:r w:rsidRPr="005C3B55">
              <w:t>A financial framework will be set for an individual LAG at the beginning of the programme period to define the right to utilise means for an individual LAG. The following criteria will be taken into account when determining the financial framework for a LAG: number of residents of a LAG, LAG surface and the LAG development level. The value of individual items for determining the financial framework will be defined by national decree.</w:t>
            </w:r>
          </w:p>
          <w:p w:rsidR="00C21266" w:rsidRPr="005C3B55" w:rsidRDefault="00C21266">
            <w:pPr>
              <w:spacing w:before="240" w:after="240"/>
              <w:rPr>
                <w:szCs w:val="24"/>
              </w:rPr>
            </w:pPr>
            <w:r w:rsidRPr="005C3B55">
              <w:rPr>
                <w:b/>
              </w:rPr>
              <w:t>Performance review</w:t>
            </w:r>
          </w:p>
          <w:p w:rsidR="00C21266" w:rsidRPr="005C3B55" w:rsidRDefault="00C21266">
            <w:pPr>
              <w:spacing w:before="240" w:after="240"/>
              <w:rPr>
                <w:szCs w:val="24"/>
              </w:rPr>
            </w:pPr>
            <w:r w:rsidRPr="005C3B55">
              <w:t>In 2019, the MA will implement a performance review of the LEADER measure as of 31 December 2018. The review will take into account the attainment of the following milestones: number of completed projects in comparison with approved projects; share of allocated funds in comparison with available funds; share of paid funds in comparison with allocated funds, and the number of newly created jobs.</w:t>
            </w:r>
          </w:p>
          <w:p w:rsidR="00C21266" w:rsidRPr="005C3B55" w:rsidRDefault="00C21266">
            <w:pPr>
              <w:spacing w:before="240" w:after="240"/>
              <w:rPr>
                <w:szCs w:val="24"/>
              </w:rPr>
            </w:pPr>
            <w:r w:rsidRPr="005C3B55">
              <w:t>The LAGs which will achieve 85% of the value of milestones will be allocated additional entitlement to utilise funds from a performance reserve. The MA has reserved 10% of funds earmarked for the implementation of this measure for performance reserve. The following criteria will be taken into account when calculating the utilisation of funds: number of residents of a LAG, LAG surface and the LAG development level.</w:t>
            </w:r>
          </w:p>
          <w:p w:rsidR="00C21266" w:rsidRPr="005C3B55" w:rsidRDefault="00C21266">
            <w:pPr>
              <w:spacing w:before="240" w:after="240"/>
              <w:rPr>
                <w:szCs w:val="24"/>
              </w:rPr>
            </w:pPr>
            <w:r w:rsidRPr="005C3B55">
              <w:rPr>
                <w:b/>
              </w:rPr>
              <w:t>Problem areas and implementation of the Triglav National Park Act</w:t>
            </w:r>
          </w:p>
          <w:p w:rsidR="00C21266" w:rsidRPr="005C3B55" w:rsidRDefault="00C21266">
            <w:pPr>
              <w:spacing w:before="240" w:after="240"/>
              <w:rPr>
                <w:szCs w:val="24"/>
              </w:rPr>
            </w:pPr>
            <w:r w:rsidRPr="005C3B55">
              <w:t>Public funds in the amount of EUR 3,000,000 are reserved within this measure for problem areas in the Republic of Slovenia and for the implementation of the Triglav National Park Act (Official Gazette of the Republic of Slovenia, no. 52/2010), and are intended for the implementation of operations within those LAGs in which the Government of the Republic of Slovenia has declared problem areas due to high unemployment or areas within Triglav National Park. LAGs which include problem areas or the territory of the Triglav National Park will be eligible for an additional 15% of entitlement to funds utilisation. The funds which LAGs receive for this purpose have to be used for operations within these problem areas or for operations in the territory of Triglav National Park.</w:t>
            </w:r>
          </w:p>
          <w:p w:rsidR="00C21266" w:rsidRPr="005C3B55" w:rsidRDefault="00C21266">
            <w:pPr>
              <w:spacing w:before="240" w:after="240"/>
              <w:rPr>
                <w:szCs w:val="24"/>
              </w:rPr>
            </w:pPr>
            <w:r w:rsidRPr="005C3B55">
              <w:rPr>
                <w:b/>
              </w:rPr>
              <w:t>Contribution to priority areas</w:t>
            </w:r>
          </w:p>
          <w:p w:rsidR="00C21266" w:rsidRPr="005C3B55" w:rsidRDefault="00C21266">
            <w:pPr>
              <w:spacing w:before="240" w:after="240"/>
              <w:rPr>
                <w:szCs w:val="24"/>
              </w:rPr>
            </w:pPr>
            <w:r w:rsidRPr="005C3B55">
              <w:t xml:space="preserve">The LEADER measure contributes directly to Priority 6B: </w:t>
            </w:r>
            <w:r w:rsidRPr="005C3B55">
              <w:rPr>
                <w:b/>
              </w:rPr>
              <w:t>Promoting local development in rural areas.</w:t>
            </w:r>
          </w:p>
          <w:p w:rsidR="00C21266" w:rsidRPr="005C3B55" w:rsidRDefault="00C21266">
            <w:pPr>
              <w:spacing w:before="240" w:after="240"/>
              <w:rPr>
                <w:szCs w:val="24"/>
              </w:rPr>
            </w:pPr>
            <w:r w:rsidRPr="005C3B55">
              <w:t>The LEADER measure will promote the development of rural areas, social inclusion, the reduction of regional differences and the economic development of rural areas. The residents of individual local areas are familiar with the local needs which will be realised through the sub-measure ‘Support for the implementation of local development strategy operations’. The needs analysis shows the need for the creation of new jobs, development of local basic services, and care for the environment and nature in order to realise the growth potential and promote sustainability of rural areas.</w:t>
            </w:r>
          </w:p>
          <w:p w:rsidR="00C21266" w:rsidRPr="005C3B55" w:rsidRDefault="00C21266">
            <w:pPr>
              <w:spacing w:before="240" w:after="240"/>
              <w:rPr>
                <w:szCs w:val="24"/>
              </w:rPr>
            </w:pPr>
            <w:r w:rsidRPr="005C3B55">
              <w:t>The projects may contribute directly to the development of other priorities, since LAGs’ needs are different. LAGs will be responsible for the selection of operations to be financed from the sub-measure ‘Support for the implementation of local development strategy operations’. LAGs will prepare and select those operations which pursue objectives of individual LDSs and thus also contribute to other priorities.</w:t>
            </w:r>
          </w:p>
          <w:p w:rsidR="00C21266" w:rsidRPr="005C3B55" w:rsidRDefault="00C21266">
            <w:pPr>
              <w:spacing w:before="240" w:after="240"/>
              <w:rPr>
                <w:szCs w:val="24"/>
              </w:rPr>
            </w:pPr>
            <w:r w:rsidRPr="005C3B55">
              <w:rPr>
                <w:b/>
              </w:rPr>
              <w:t>Contribution to horizontal objectives</w:t>
            </w:r>
          </w:p>
          <w:p w:rsidR="00C21266" w:rsidRPr="005C3B55" w:rsidRDefault="00C21266">
            <w:pPr>
              <w:spacing w:before="240" w:after="240"/>
              <w:rPr>
                <w:szCs w:val="24"/>
              </w:rPr>
            </w:pPr>
            <w:r w:rsidRPr="005C3B55">
              <w:t>In LDSs, LAGs have to define in which way they contribute to realising horizontal objectives.</w:t>
            </w:r>
          </w:p>
          <w:p w:rsidR="00C21266" w:rsidRPr="005C3B55" w:rsidRDefault="00C21266">
            <w:pPr>
              <w:spacing w:before="240" w:after="240"/>
              <w:rPr>
                <w:szCs w:val="24"/>
              </w:rPr>
            </w:pPr>
            <w:r w:rsidRPr="005C3B55">
              <w:rPr>
                <w:b/>
                <w:i/>
              </w:rPr>
              <w:t xml:space="preserve">Mitigating and adapting to climate change: </w:t>
            </w:r>
            <w:r w:rsidRPr="005C3B55">
              <w:t>The mitigation and adjustment to climate change are of crucial importance in order to ensure sustainable development. In spite of its small size, Slovenia is geographically very diverse, and the level of vulnerability of individual areas is also related to this fact. Since this involves so-called the bottom-up approach, it is expected that operations implemented by LAGs will correspond to the actual needs of the local environment also in the field of mitigation of, and adjustment to, climate change. In particular, projects raising awareness on climate change and adjustment thereto, studies and analyses, operations on the development of new technologies and practice in the field of adjustment to, and mitigation of, climate change are expected.</w:t>
            </w:r>
          </w:p>
          <w:p w:rsidR="00C21266" w:rsidRPr="005C3B55" w:rsidRDefault="00C21266">
            <w:pPr>
              <w:spacing w:before="240" w:after="240"/>
              <w:rPr>
                <w:szCs w:val="24"/>
              </w:rPr>
            </w:pPr>
            <w:r w:rsidRPr="005C3B55">
              <w:rPr>
                <w:b/>
                <w:i/>
              </w:rPr>
              <w:t xml:space="preserve">Environment: </w:t>
            </w:r>
            <w:r w:rsidRPr="005C3B55">
              <w:t>Slovenia has exceptional biodiversity. Care for the environment, reducing the pollution of environmental elements and the sustainable use of endogenous potential are essential to preserving biodiversity. ‘Soft’ projects in the form of raising awareness, and informing and promoting environment-oriented operations are expected. including projects intended for maintaining natural conditions for the preservation of flora and fauna, improving the quality of life in rural areas and thus conserving the diversity of Slovenia.</w:t>
            </w:r>
          </w:p>
          <w:p w:rsidR="00C21266" w:rsidRPr="005C3B55" w:rsidRDefault="00C21266">
            <w:pPr>
              <w:spacing w:before="240" w:after="240"/>
              <w:rPr>
                <w:szCs w:val="24"/>
              </w:rPr>
            </w:pPr>
            <w:r w:rsidRPr="005C3B55">
              <w:rPr>
                <w:b/>
                <w:i/>
              </w:rPr>
              <w:t>Innovation:</w:t>
            </w:r>
            <w:r w:rsidRPr="005C3B55">
              <w:t xml:space="preserve"> Innovation is a basic principle of the LEADER measure. The approach and method of planning and realising local development via LAGs and their LDSs by applying the bottom-up principle has great innovative potential, since the LEADER is a tool enabling new, innovative development solutions and innovative approaches either with the use of local resources or the transfer of examples of best practices to local areas.</w:t>
            </w:r>
          </w:p>
          <w:p w:rsidR="00C21266" w:rsidRPr="005C3B55" w:rsidRDefault="00C21266">
            <w:pPr>
              <w:spacing w:before="240" w:after="240"/>
              <w:rPr>
                <w:szCs w:val="24"/>
              </w:rPr>
            </w:pPr>
            <w:r w:rsidRPr="005C3B55">
              <w:rPr>
                <w:b/>
              </w:rPr>
              <w:t>CLLD Coordination Committee</w:t>
            </w:r>
          </w:p>
          <w:p w:rsidR="00C21266" w:rsidRPr="005C3B55" w:rsidRDefault="00C21266">
            <w:pPr>
              <w:spacing w:before="240" w:after="240"/>
              <w:rPr>
                <w:szCs w:val="24"/>
              </w:rPr>
            </w:pPr>
            <w:r w:rsidRPr="005C3B55">
              <w:t>Pursuant to Article 32 of Regulation (EU) No 1303/2013, support for a CLLD must be consistent with all the funds intended to support local development. For this purpose, MAs responsible for funds will establish a CLLD Coordination Committee whose members will include representatives of individual MAs. This Committee will be responsible to individual MAs. Their task will be the provision of synergies and information flow among all funds and MAs included in the CLLD implementation. The Committee will also oversee the preparation of a joint national regulation based on operational programmes, and will define the tasks, relations and responsibilities of participating funds in more detail. This regulation will also define more detailed conditions and procedures for the selection and approval of LAGs, mandatory chapters of LDSs, and financial provisions and liabilities regarding the fulfilment of the CLLD approach conditions.</w:t>
            </w:r>
          </w:p>
          <w:p w:rsidR="00C21266" w:rsidRPr="005C3B55" w:rsidRDefault="00C21266">
            <w:pPr>
              <w:spacing w:before="240" w:after="240"/>
              <w:rPr>
                <w:szCs w:val="24"/>
              </w:rPr>
            </w:pPr>
            <w:r w:rsidRPr="005C3B55">
              <w:t>Another task of the CLLD Coordination Committee will be to select LDSs and LAGs, which will be based on a unified procedure and common selection criteria.</w:t>
            </w:r>
          </w:p>
          <w:p w:rsidR="00C21266" w:rsidRPr="005C3B55" w:rsidRDefault="00C21266">
            <w:pPr>
              <w:spacing w:before="240" w:after="240"/>
              <w:rPr>
                <w:szCs w:val="24"/>
              </w:rPr>
            </w:pPr>
            <w:r w:rsidRPr="005C3B55">
              <w:t>When checking and coordinating local development strategies, the CLLD Coordination Committee will ensure that the LDS content follows the priority thematic areas of actions stated in the EU objectives and national needs established on the basis of the analysis of the situation. The Committee will also manage the coordination of various development documents at the national, regional and local levels, which requires constant dialogue between the CLLD Coordination Committee and LAGs.</w:t>
            </w:r>
          </w:p>
          <w:p w:rsidR="00C21266" w:rsidRPr="005C3B55" w:rsidRDefault="00C21266">
            <w:pPr>
              <w:spacing w:before="240" w:after="240"/>
              <w:rPr>
                <w:szCs w:val="24"/>
              </w:rPr>
            </w:pPr>
            <w:r w:rsidRPr="005C3B55">
              <w:rPr>
                <w:b/>
              </w:rPr>
              <w:t>Description of individual authorities included in the implementation of the LEADER measure</w:t>
            </w:r>
          </w:p>
          <w:p w:rsidR="00C21266" w:rsidRPr="005C3B55" w:rsidRDefault="00C21266">
            <w:pPr>
              <w:spacing w:before="240" w:after="240"/>
              <w:rPr>
                <w:szCs w:val="24"/>
              </w:rPr>
            </w:pPr>
            <w:r w:rsidRPr="005C3B55">
              <w:rPr>
                <w:b/>
              </w:rPr>
              <w:t>The CLLD Coordination Committee</w:t>
            </w:r>
            <w:r w:rsidRPr="005C3B55">
              <w:t xml:space="preserve"> will prepare a national regulation to determine the implementation of the CLLD approach for all three funds. The regulation on the implementation of the CLLD approach will be adopted by the Government of the Republic of Slovenia. Based on this regulation, local people will be invited to form local action groups, and prepare LDSs within twelve months of the publication of the call, and to submit them to the CLLD Coordination Committee for selection. The CLLD Coordination Committee will assess local partnerships and LDSs on the basis of the selection criteria, and submit their proposals to relevant MAs for confirmation.</w:t>
            </w:r>
          </w:p>
          <w:p w:rsidR="00C21266" w:rsidRPr="005C3B55" w:rsidRDefault="00C21266">
            <w:pPr>
              <w:spacing w:before="240" w:after="240"/>
              <w:rPr>
                <w:szCs w:val="24"/>
              </w:rPr>
            </w:pPr>
            <w:r w:rsidRPr="005C3B55">
              <w:t xml:space="preserve">The tasks of </w:t>
            </w:r>
            <w:r w:rsidRPr="005C3B55">
              <w:rPr>
                <w:b/>
              </w:rPr>
              <w:t>MA</w:t>
            </w:r>
            <w:r w:rsidRPr="005C3B55">
              <w:t xml:space="preserve"> are to make a decision on confirming LDS and LAG; determine a financial framework for individual LAGs based on criteria; supervise and monitor the operation of individual LAGs; organise educational programmes and workshops for LAG; conduct a review of efficiency and inform LAGs on their attainment of milestones; verify the fulfilment of conditions for the entitlement of operations before issuing a decision on the approval of an operation; issue decisions and decrees to beneficiaries; manage administrative procedures, decide on changes of operations; register national aid and report on its payments, conduct public procurements and confirm operations for the sub-measure " Preparation and implementation of the cooperation activity of a local action group"; provide mitigation, maintenance, management and dissemination of data related to the implementation of sub-measures. </w:t>
            </w:r>
          </w:p>
          <w:p w:rsidR="00C21266" w:rsidRPr="005C3B55" w:rsidRDefault="00C21266">
            <w:pPr>
              <w:spacing w:before="240" w:after="240"/>
              <w:rPr>
                <w:szCs w:val="24"/>
              </w:rPr>
            </w:pPr>
            <w:r w:rsidRPr="005C3B55">
              <w:t xml:space="preserve">The tasks of the </w:t>
            </w:r>
            <w:r w:rsidRPr="005C3B55">
              <w:rPr>
                <w:b/>
              </w:rPr>
              <w:t>Paying Agency</w:t>
            </w:r>
            <w:r w:rsidRPr="005C3B55">
              <w:t xml:space="preserve"> are to carry out supervision of the operations, verify that eligibility conditions have been fulfilled before the payment of funds, perform administrative controls, ‘in situ’ controls and on-the-spot controls, and manage the correct payment of funds. Before remitting the funds, it verifies the possibility of double financing, and the amount of the already received funds under the national aid. It remits funds on the transaction account of a beneficiary.</w:t>
            </w:r>
          </w:p>
          <w:p w:rsidR="00C21266" w:rsidRPr="005C3B55" w:rsidRDefault="00C21266">
            <w:pPr>
              <w:spacing w:before="240" w:after="240"/>
              <w:rPr>
                <w:szCs w:val="24"/>
              </w:rPr>
            </w:pPr>
            <w:r w:rsidRPr="005C3B55">
              <w:t xml:space="preserve">The tasks of </w:t>
            </w:r>
            <w:r w:rsidRPr="005C3B55">
              <w:rPr>
                <w:b/>
              </w:rPr>
              <w:t>LAG</w:t>
            </w:r>
            <w:r w:rsidRPr="005C3B55">
              <w:t xml:space="preserve"> are to animate local communities; exchange information; offer support to beneficiaries; oversee the proper fulfilment of LDS objectives and attainment of milestones; announce public appeals for conducting LDSs operations; select operations and determine the intensity of support within the scope of the sub-measure 'Support for implementing operations under the community-led local development strategy', and can also conduct operations under this sub-measure. It conducts the LAG operations of cooperation and performs tasks related to management. In addition, it must monitor and evaluate LDS and make preliminary verifications of the eligibility of operations/costs and the legality of conducted operations. It has to file applications and claims for payments for beneficiaries for the approval of MA or the Paying Agency. </w:t>
            </w:r>
          </w:p>
          <w:p w:rsidR="00C21266" w:rsidRPr="005C3B55" w:rsidRDefault="00C21266">
            <w:pPr>
              <w:spacing w:before="240" w:after="240"/>
              <w:rPr>
                <w:szCs w:val="24"/>
              </w:rPr>
            </w:pPr>
            <w:r w:rsidRPr="005C3B55">
              <w:rPr>
                <w:b/>
              </w:rPr>
              <w:t>Coordination among funds</w:t>
            </w:r>
          </w:p>
          <w:p w:rsidR="00C21266" w:rsidRPr="005C3B55" w:rsidRDefault="00C21266">
            <w:pPr>
              <w:spacing w:before="240" w:after="240"/>
              <w:rPr>
                <w:szCs w:val="24"/>
              </w:rPr>
            </w:pPr>
            <w:r w:rsidRPr="005C3B55">
              <w:t>Within the joint implementation of the CLLD which is financed from three funds, i.e. EAFRD, ERDF and EMFF, the coordination between funds will be based on several levels. Harmonisation between the funds concerned is necessary, since it provides for the harmonised and consistent implementation of the joined CLLD approach. The MAs responsible for individual funds will cooperate at the strategic and implementing levels through the CLLD Coordination Committee by establishing suitable administrative agreements, which will serve as a basis for appropriate and coordinated functioning of all processes and accompanying systems in the implementation of the CLLD approach. This is provided through the coordinated reinforcement of capacities, relevant selection, approval and financing of local development strategies and local development strategies.</w:t>
            </w:r>
          </w:p>
          <w:p w:rsidR="00C21266" w:rsidRPr="005C3B55" w:rsidRDefault="00C21266">
            <w:pPr>
              <w:pStyle w:val="Telobesedila"/>
              <w:rPr>
                <w:lang w:eastAsia="en-GB" w:bidi="en-GB"/>
              </w:rPr>
            </w:pPr>
          </w:p>
        </w:tc>
      </w:tr>
    </w:tbl>
    <w:p w:rsidR="00C21266" w:rsidRPr="005C3B55" w:rsidRDefault="00C21266" w:rsidP="00C21266">
      <w:pPr>
        <w:pStyle w:val="Naslov4"/>
        <w:tabs>
          <w:tab w:val="clear" w:pos="765"/>
        </w:tabs>
        <w:ind w:left="0" w:firstLine="0"/>
        <w:jc w:val="left"/>
        <w:rPr>
          <w:lang w:val="en-GB" w:eastAsia="en-GB" w:bidi="en-GB"/>
        </w:rPr>
      </w:pPr>
      <w:r w:rsidRPr="005C3B55">
        <w:rPr>
          <w:lang w:val="en-GB"/>
        </w:rPr>
        <w:t>Scope and rate of support and beneficiaries, and, where relevant, methodology for the calculating the amount or level of support, if necessary broken down by sub-measures and/or the type of operation. Determine eligible costs, conditions for eligibility, valid amounts and rates of support and principles regarding the definition of selection criteria for each type of operation</w:t>
      </w:r>
    </w:p>
    <w:p w:rsidR="00C21266" w:rsidRPr="005C3B55" w:rsidRDefault="00C21266" w:rsidP="00C21266">
      <w:pPr>
        <w:pStyle w:val="Naslov5"/>
        <w:tabs>
          <w:tab w:val="clear" w:pos="765"/>
        </w:tabs>
        <w:ind w:left="0" w:firstLine="0"/>
        <w:rPr>
          <w:b w:val="0"/>
          <w:lang w:val="en-GB"/>
        </w:rPr>
      </w:pPr>
      <w:r w:rsidRPr="005C3B55">
        <w:rPr>
          <w:b w:val="0"/>
          <w:lang w:val="en-GB"/>
        </w:rPr>
        <w:t>Support for implementing operations under the community-led local development strategy</w:t>
      </w:r>
    </w:p>
    <w:p w:rsidR="00C21266" w:rsidRPr="005C3B55" w:rsidRDefault="00C21266" w:rsidP="00C21266">
      <w:r w:rsidRPr="005C3B55">
        <w:t xml:space="preserve">Sub-measure: </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numPr>
                <w:ilvl w:val="0"/>
                <w:numId w:val="999"/>
              </w:numPr>
              <w:rPr>
                <w:rFonts w:eastAsia="Calibri"/>
                <w:lang w:eastAsia="en-GB" w:bidi="en-GB"/>
              </w:rPr>
            </w:pPr>
            <w:r w:rsidRPr="005C3B55">
              <w:t>19. 2 – Support for implementing operations under the community-led local development strategy</w:t>
            </w:r>
          </w:p>
        </w:tc>
      </w:tr>
    </w:tbl>
    <w:p w:rsidR="00C21266" w:rsidRPr="005C3B55" w:rsidRDefault="00C21266" w:rsidP="00C21266">
      <w:pPr>
        <w:pStyle w:val="Naslov6"/>
        <w:tabs>
          <w:tab w:val="clear" w:pos="765"/>
        </w:tabs>
        <w:ind w:left="0" w:firstLine="0"/>
        <w:rPr>
          <w:lang w:val="en-GB" w:eastAsia="en-GB" w:bidi="en-GB"/>
        </w:rPr>
      </w:pPr>
      <w:r w:rsidRPr="005C3B55">
        <w:rPr>
          <w:lang w:val="en-GB"/>
        </w:rPr>
        <w:t>Description of type of operation</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The sub-measure 'Support for implementing operations under the community-led local development strategy' is intended for co-financing of costs accrued during the implementation of operations of LAGs or local players. This sub-measure does not define operations and types of measures for implementation in detail, since this type of operation depends on the objectives defined in individual LDS.</w:t>
            </w:r>
          </w:p>
          <w:p w:rsidR="00C21266" w:rsidRPr="005C3B55" w:rsidRDefault="00C21266">
            <w:pPr>
              <w:spacing w:before="240" w:after="240"/>
              <w:rPr>
                <w:szCs w:val="24"/>
              </w:rPr>
            </w:pPr>
            <w:r w:rsidRPr="005C3B55">
              <w:t>The LDSs prepared by local partnerships are more flexible than other approaches, so the selection of operations which will be subject to co-financing is also more flexible. Operations selected by LAGs on the basis of clear selection criteria defined in an LDS have to pursue the objectives of the LDS which derive from the needs of the local area and have to pursue those thematic areas of action which LAGs defined in LDSs as essential for rural development in the area of the LAGs. The supported operations will particularly pursue the following four thematic areas of action: job creation, development of basic services, environmental protection and nature conservation and better inclusion of the young, women and other vulnerable groups (e.g. the unemployed, Roma, the elderly). They will thus focus on challenges such as social inclusion, climate change, care for the environment, youth unemployment, development of local basic services and reducing differences between urban and rural areas.</w:t>
            </w:r>
          </w:p>
          <w:p w:rsidR="00C21266" w:rsidRPr="005C3B55" w:rsidRDefault="00C21266">
            <w:pPr>
              <w:spacing w:before="240" w:after="240"/>
              <w:rPr>
                <w:szCs w:val="24"/>
              </w:rPr>
            </w:pPr>
            <w:r w:rsidRPr="005C3B55">
              <w:t>The ideas for individual operations are based on the bottom-up approach, so many innovative approaches or operations may be expected which will contribute to the comprehensive development of the local environment with the activation of local potential.</w:t>
            </w:r>
          </w:p>
          <w:p w:rsidR="00C21266" w:rsidRPr="005C3B55" w:rsidRDefault="00C21266">
            <w:pPr>
              <w:pStyle w:val="Telobesedila"/>
              <w:rPr>
                <w:lang w:eastAsia="en-GB" w:bidi="en-GB"/>
              </w:rPr>
            </w:pPr>
          </w:p>
        </w:tc>
      </w:tr>
    </w:tbl>
    <w:p w:rsidR="00C21266" w:rsidRPr="005C3B55" w:rsidRDefault="00C21266" w:rsidP="00C21266">
      <w:pPr>
        <w:pStyle w:val="Naslov6"/>
        <w:tabs>
          <w:tab w:val="clear" w:pos="765"/>
        </w:tabs>
        <w:ind w:left="0" w:firstLine="0"/>
        <w:rPr>
          <w:lang w:val="en-GB" w:eastAsia="en-GB" w:bidi="en-GB"/>
        </w:rPr>
      </w:pPr>
      <w:r w:rsidRPr="005C3B55">
        <w:rPr>
          <w:lang w:val="en-GB"/>
        </w:rPr>
        <w:t>Type of support</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Support is granted in the form of non-refundable financial aid.</w:t>
            </w:r>
          </w:p>
          <w:p w:rsidR="00C21266" w:rsidRPr="005C3B55" w:rsidRDefault="00C21266">
            <w:pPr>
              <w:pStyle w:val="Telobesedila"/>
              <w:rPr>
                <w:lang w:eastAsia="en-GB" w:bidi="en-GB"/>
              </w:rPr>
            </w:pPr>
          </w:p>
        </w:tc>
      </w:tr>
    </w:tbl>
    <w:p w:rsidR="00C21266" w:rsidRPr="005C3B55" w:rsidRDefault="00C21266" w:rsidP="00C21266">
      <w:pPr>
        <w:pStyle w:val="Naslov6"/>
        <w:tabs>
          <w:tab w:val="clear" w:pos="765"/>
        </w:tabs>
        <w:ind w:left="0" w:firstLine="0"/>
        <w:rPr>
          <w:lang w:val="en-GB" w:eastAsia="en-GB" w:bidi="en-GB"/>
        </w:rPr>
      </w:pPr>
      <w:r w:rsidRPr="005C3B55">
        <w:rPr>
          <w:lang w:val="en-GB"/>
        </w:rPr>
        <w:t>Connection with other legislation</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rsidP="006E20B6">
            <w:pPr>
              <w:numPr>
                <w:ilvl w:val="0"/>
                <w:numId w:val="1000"/>
              </w:numPr>
              <w:spacing w:before="0" w:after="0"/>
              <w:ind w:hanging="290"/>
              <w:jc w:val="left"/>
              <w:rPr>
                <w:rFonts w:eastAsia="Calibri"/>
                <w:szCs w:val="24"/>
              </w:rPr>
            </w:pPr>
            <w:r w:rsidRPr="005C3B55">
              <w:t>Agriculture Act (Official Gazette of the Republic of Slovenia, no. 45/2008 with all amendments);</w:t>
            </w:r>
          </w:p>
          <w:p w:rsidR="00C21266" w:rsidRPr="005C3B55" w:rsidRDefault="00C21266" w:rsidP="006E20B6">
            <w:pPr>
              <w:numPr>
                <w:ilvl w:val="0"/>
                <w:numId w:val="1000"/>
              </w:numPr>
              <w:spacing w:before="0" w:after="0"/>
              <w:ind w:hanging="290"/>
              <w:jc w:val="left"/>
              <w:rPr>
                <w:szCs w:val="24"/>
              </w:rPr>
            </w:pPr>
            <w:r w:rsidRPr="005C3B55">
              <w:t>National regulation regulating the implementation of the CLLD approach in the 2014-2020 programming period;</w:t>
            </w:r>
          </w:p>
          <w:p w:rsidR="00C21266" w:rsidRPr="005C3B55" w:rsidRDefault="00C21266" w:rsidP="006E20B6">
            <w:pPr>
              <w:numPr>
                <w:ilvl w:val="0"/>
                <w:numId w:val="1000"/>
              </w:numPr>
              <w:spacing w:before="0" w:after="0"/>
              <w:ind w:hanging="290"/>
              <w:jc w:val="left"/>
              <w:rPr>
                <w:szCs w:val="24"/>
              </w:rPr>
            </w:pPr>
            <w:r w:rsidRPr="005C3B55">
              <w:t>Decision (EU) No 1303/2013 and other EU regulations determining the implementation of the CLLD approach. In view of the eligibility of expenditures, the general provisions of Decision (EU) No 1303/2013 (Articles from 65 up to and including 71) and</w:t>
            </w:r>
          </w:p>
          <w:p w:rsidR="00C21266" w:rsidRPr="005C3B55" w:rsidRDefault="00C21266" w:rsidP="006E20B6">
            <w:pPr>
              <w:numPr>
                <w:ilvl w:val="0"/>
                <w:numId w:val="1000"/>
              </w:numPr>
              <w:spacing w:before="0" w:after="240"/>
              <w:ind w:hanging="290"/>
              <w:jc w:val="left"/>
              <w:rPr>
                <w:szCs w:val="24"/>
              </w:rPr>
            </w:pPr>
            <w:r w:rsidRPr="005C3B55">
              <w:t>other EU and national legislation on the field of this operation must be taken into account.</w:t>
            </w:r>
          </w:p>
          <w:p w:rsidR="00C21266" w:rsidRPr="005C3B55" w:rsidRDefault="00C21266">
            <w:pPr>
              <w:pStyle w:val="Telobesedila"/>
              <w:rPr>
                <w:lang w:eastAsia="en-GB" w:bidi="en-GB"/>
              </w:rPr>
            </w:pPr>
          </w:p>
        </w:tc>
      </w:tr>
    </w:tbl>
    <w:p w:rsidR="00C21266" w:rsidRPr="005C3B55" w:rsidRDefault="00C21266" w:rsidP="00C21266">
      <w:pPr>
        <w:pStyle w:val="Naslov6"/>
        <w:tabs>
          <w:tab w:val="clear" w:pos="765"/>
        </w:tabs>
        <w:ind w:left="0" w:firstLine="0"/>
        <w:rPr>
          <w:lang w:val="en-GB" w:eastAsia="en-GB" w:bidi="en-GB"/>
        </w:rPr>
      </w:pPr>
      <w:r w:rsidRPr="005C3B55">
        <w:rPr>
          <w:lang w:val="en-GB"/>
        </w:rPr>
        <w:t>Beneficiaries</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The beneficiaries are LAGs, natural persons and legal entities in rural areas.</w:t>
            </w:r>
          </w:p>
          <w:p w:rsidR="00C21266" w:rsidRPr="005C3B55" w:rsidRDefault="00C21266">
            <w:pPr>
              <w:spacing w:before="240" w:after="240"/>
              <w:rPr>
                <w:szCs w:val="24"/>
              </w:rPr>
            </w:pPr>
            <w:r w:rsidRPr="005C3B55">
              <w:t xml:space="preserve">Irrespective of the previous paragraph, the beneficiaries of LAG aid or a group of natural or legal persons conducting an operation for a mutual benefit and/or application if the operation could be conducted within the so-called main actions. </w:t>
            </w:r>
          </w:p>
          <w:p w:rsidR="00C21266" w:rsidRPr="005C3B55" w:rsidRDefault="00C21266">
            <w:pPr>
              <w:pStyle w:val="Telobesedila"/>
              <w:rPr>
                <w:lang w:eastAsia="en-GB" w:bidi="en-GB"/>
              </w:rPr>
            </w:pPr>
          </w:p>
        </w:tc>
      </w:tr>
    </w:tbl>
    <w:p w:rsidR="00C21266" w:rsidRPr="005C3B55" w:rsidRDefault="00C21266" w:rsidP="00C21266">
      <w:pPr>
        <w:pStyle w:val="Naslov6"/>
        <w:tabs>
          <w:tab w:val="clear" w:pos="765"/>
        </w:tabs>
        <w:ind w:left="0" w:firstLine="0"/>
        <w:rPr>
          <w:lang w:val="en-GB" w:eastAsia="en-GB" w:bidi="en-GB"/>
        </w:rPr>
      </w:pPr>
      <w:r w:rsidRPr="005C3B55">
        <w:rPr>
          <w:lang w:val="en-GB"/>
        </w:rPr>
        <w:t>Eligible costs</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The costs are recognised in the form of costs of labour, material, investments, services and in-kind contributions pursuant to Article 69 of Regulation (EU) No 1303/2013.</w:t>
            </w:r>
          </w:p>
          <w:p w:rsidR="00C21266" w:rsidRPr="005C3B55" w:rsidRDefault="00C21266">
            <w:pPr>
              <w:spacing w:before="240" w:after="240"/>
              <w:rPr>
                <w:szCs w:val="24"/>
              </w:rPr>
            </w:pPr>
            <w:r w:rsidRPr="005C3B55">
              <w:t>The purchase of land in the amount of 10% of eligible costs is also included in the aid as per Point 3(b) of Article 69 of Regulation (EU) No 1303/2013.</w:t>
            </w:r>
          </w:p>
          <w:p w:rsidR="00C21266" w:rsidRPr="005C3B55" w:rsidRDefault="00C21266">
            <w:pPr>
              <w:spacing w:before="240" w:after="240"/>
              <w:rPr>
                <w:szCs w:val="24"/>
              </w:rPr>
            </w:pPr>
            <w:r w:rsidRPr="005C3B55">
              <w:t>In the case of investment operations, the provisions of Article 45 of Regulation (EU) No 1305/2013 are observed.</w:t>
            </w:r>
          </w:p>
          <w:p w:rsidR="00C21266" w:rsidRPr="005C3B55" w:rsidRDefault="00C21266">
            <w:pPr>
              <w:spacing w:before="240" w:after="240"/>
              <w:rPr>
                <w:szCs w:val="24"/>
              </w:rPr>
            </w:pPr>
            <w:r w:rsidRPr="005C3B55">
              <w:t>Only costs incurred after a decision is issued confirming the implementation of the operation are considered eligible.</w:t>
            </w:r>
          </w:p>
          <w:p w:rsidR="00C21266" w:rsidRPr="005C3B55" w:rsidRDefault="00C21266">
            <w:pPr>
              <w:spacing w:before="240" w:after="240"/>
              <w:rPr>
                <w:szCs w:val="24"/>
              </w:rPr>
            </w:pPr>
            <w:r w:rsidRPr="005C3B55">
              <w:t>The eligibility of costs include the provisions of Article 65 of Regulation (EU) No 1303/2013 and Articles 60 and 61 of Regulation (EU) No 1305/2013.</w:t>
            </w:r>
          </w:p>
          <w:p w:rsidR="00C21266" w:rsidRPr="005C3B55" w:rsidRDefault="00C21266">
            <w:pPr>
              <w:spacing w:before="240" w:after="240"/>
              <w:rPr>
                <w:szCs w:val="24"/>
              </w:rPr>
            </w:pPr>
            <w:r w:rsidRPr="005C3B55">
              <w:t>The aforementioned and recognised values of individual eligible costs are determined in the catalogue of maximum recognised amounts of costs. The determination of the amount of eligible costs will take into account the upper limits of individual eligible costs, which will be determined in the Catalogue of the highest values of costs. Regardless of this, the beneficiary will have to enclose one bid with the application. In the case of costs not determined in the Catalogue of the highest values, the beneficiary will have to enclose three bids.</w:t>
            </w:r>
          </w:p>
          <w:p w:rsidR="00C21266" w:rsidRPr="005C3B55" w:rsidRDefault="00C21266">
            <w:pPr>
              <w:spacing w:before="240" w:after="240"/>
              <w:rPr>
                <w:szCs w:val="24"/>
              </w:rPr>
            </w:pPr>
            <w:r w:rsidRPr="005C3B55">
              <w:t>The following costs are not entitled to support:</w:t>
            </w:r>
          </w:p>
          <w:p w:rsidR="00C21266" w:rsidRPr="005C3B55" w:rsidRDefault="00C21266" w:rsidP="006E20B6">
            <w:pPr>
              <w:numPr>
                <w:ilvl w:val="0"/>
                <w:numId w:val="1001"/>
              </w:numPr>
              <w:spacing w:before="240" w:after="0"/>
              <w:ind w:hanging="290"/>
              <w:jc w:val="left"/>
              <w:rPr>
                <w:szCs w:val="24"/>
              </w:rPr>
            </w:pPr>
            <w:r w:rsidRPr="005C3B55">
              <w:t>costs of material, equipment and services intended for private use,</w:t>
            </w:r>
          </w:p>
          <w:p w:rsidR="00C21266" w:rsidRPr="005C3B55" w:rsidRDefault="00C21266" w:rsidP="006E20B6">
            <w:pPr>
              <w:numPr>
                <w:ilvl w:val="0"/>
                <w:numId w:val="1001"/>
              </w:numPr>
              <w:spacing w:before="0" w:after="0"/>
              <w:ind w:hanging="290"/>
              <w:jc w:val="left"/>
              <w:rPr>
                <w:szCs w:val="24"/>
              </w:rPr>
            </w:pPr>
            <w:r w:rsidRPr="005C3B55">
              <w:t>general administrative costs,</w:t>
            </w:r>
          </w:p>
          <w:p w:rsidR="00C21266" w:rsidRPr="005C3B55" w:rsidRDefault="00C21266" w:rsidP="006E20B6">
            <w:pPr>
              <w:numPr>
                <w:ilvl w:val="0"/>
                <w:numId w:val="1001"/>
              </w:numPr>
              <w:spacing w:before="0" w:after="0"/>
              <w:ind w:hanging="290"/>
              <w:jc w:val="left"/>
              <w:rPr>
                <w:szCs w:val="24"/>
              </w:rPr>
            </w:pPr>
            <w:r w:rsidRPr="005C3B55">
              <w:t>interest on debts,</w:t>
            </w:r>
          </w:p>
          <w:p w:rsidR="00C21266" w:rsidRPr="005C3B55" w:rsidRDefault="00C21266" w:rsidP="006E20B6">
            <w:pPr>
              <w:numPr>
                <w:ilvl w:val="0"/>
                <w:numId w:val="1001"/>
              </w:numPr>
              <w:spacing w:before="0" w:after="0"/>
              <w:ind w:hanging="290"/>
              <w:jc w:val="left"/>
              <w:rPr>
                <w:szCs w:val="24"/>
              </w:rPr>
            </w:pPr>
            <w:r w:rsidRPr="005C3B55">
              <w:t>VAT,</w:t>
            </w:r>
          </w:p>
          <w:p w:rsidR="00C21266" w:rsidRPr="005C3B55" w:rsidRDefault="00C21266" w:rsidP="006E20B6">
            <w:pPr>
              <w:numPr>
                <w:ilvl w:val="0"/>
                <w:numId w:val="1001"/>
              </w:numPr>
              <w:spacing w:before="0" w:after="0"/>
              <w:ind w:hanging="290"/>
              <w:jc w:val="left"/>
              <w:rPr>
                <w:szCs w:val="24"/>
              </w:rPr>
            </w:pPr>
            <w:r w:rsidRPr="005C3B55">
              <w:t>costs of application preparation and claim for payment,</w:t>
            </w:r>
          </w:p>
          <w:p w:rsidR="00C21266" w:rsidRPr="005C3B55" w:rsidRDefault="00C21266" w:rsidP="006E20B6">
            <w:pPr>
              <w:numPr>
                <w:ilvl w:val="0"/>
                <w:numId w:val="1001"/>
              </w:numPr>
              <w:spacing w:before="0" w:after="0"/>
              <w:ind w:hanging="290"/>
              <w:jc w:val="left"/>
              <w:rPr>
                <w:szCs w:val="24"/>
              </w:rPr>
            </w:pPr>
            <w:r w:rsidRPr="005C3B55">
              <w:t>costs of archaeological works and archaeological supervision,</w:t>
            </w:r>
          </w:p>
          <w:p w:rsidR="00C21266" w:rsidRPr="005C3B55" w:rsidRDefault="00C21266" w:rsidP="006E20B6">
            <w:pPr>
              <w:numPr>
                <w:ilvl w:val="0"/>
                <w:numId w:val="1001"/>
              </w:numPr>
              <w:spacing w:before="0" w:after="0"/>
              <w:ind w:hanging="290"/>
              <w:jc w:val="left"/>
              <w:rPr>
                <w:szCs w:val="24"/>
              </w:rPr>
            </w:pPr>
            <w:r w:rsidRPr="005C3B55">
              <w:t>used equipment and machinery,</w:t>
            </w:r>
          </w:p>
          <w:p w:rsidR="00C21266" w:rsidRPr="005C3B55" w:rsidRDefault="00C21266" w:rsidP="006E20B6">
            <w:pPr>
              <w:numPr>
                <w:ilvl w:val="0"/>
                <w:numId w:val="1001"/>
              </w:numPr>
              <w:spacing w:before="0" w:after="0"/>
              <w:ind w:hanging="290"/>
              <w:jc w:val="left"/>
              <w:rPr>
                <w:szCs w:val="24"/>
              </w:rPr>
            </w:pPr>
            <w:r w:rsidRPr="005C3B55">
              <w:t>scholarships and awards,</w:t>
            </w:r>
          </w:p>
          <w:p w:rsidR="00C21266" w:rsidRPr="005C3B55" w:rsidRDefault="00C21266" w:rsidP="006E20B6">
            <w:pPr>
              <w:numPr>
                <w:ilvl w:val="0"/>
                <w:numId w:val="1001"/>
              </w:numPr>
              <w:spacing w:before="0" w:after="0"/>
              <w:ind w:hanging="290"/>
              <w:jc w:val="left"/>
              <w:rPr>
                <w:szCs w:val="24"/>
              </w:rPr>
            </w:pPr>
            <w:r w:rsidRPr="005C3B55">
              <w:t>subscriptions to newspapers and other periodicals,</w:t>
            </w:r>
          </w:p>
          <w:p w:rsidR="00C21266" w:rsidRPr="005C3B55" w:rsidRDefault="00C21266" w:rsidP="006E20B6">
            <w:pPr>
              <w:numPr>
                <w:ilvl w:val="0"/>
                <w:numId w:val="1001"/>
              </w:numPr>
              <w:spacing w:before="0" w:after="0"/>
              <w:ind w:hanging="290"/>
              <w:jc w:val="left"/>
              <w:rPr>
                <w:szCs w:val="24"/>
              </w:rPr>
            </w:pPr>
            <w:r w:rsidRPr="005C3B55">
              <w:t>costs of education and training which are not directly related to the activities of the operation, and</w:t>
            </w:r>
          </w:p>
          <w:p w:rsidR="00C21266" w:rsidRPr="005C3B55" w:rsidRDefault="00C21266" w:rsidP="006E20B6">
            <w:pPr>
              <w:numPr>
                <w:ilvl w:val="0"/>
                <w:numId w:val="1001"/>
              </w:numPr>
              <w:spacing w:before="0" w:after="240"/>
              <w:ind w:hanging="290"/>
              <w:jc w:val="left"/>
              <w:rPr>
                <w:szCs w:val="24"/>
              </w:rPr>
            </w:pPr>
            <w:r w:rsidRPr="005C3B55">
              <w:t>costs of preparing documentation, studies, analyses, assessments, strategies and other similar research which are not directly related to a certain operation.</w:t>
            </w:r>
          </w:p>
          <w:p w:rsidR="00C21266" w:rsidRPr="005C3B55" w:rsidRDefault="00C21266">
            <w:pPr>
              <w:pStyle w:val="Telobesedila"/>
              <w:rPr>
                <w:lang w:eastAsia="en-GB" w:bidi="en-GB"/>
              </w:rPr>
            </w:pPr>
          </w:p>
        </w:tc>
      </w:tr>
    </w:tbl>
    <w:p w:rsidR="00C21266" w:rsidRPr="005C3B55" w:rsidRDefault="00C21266" w:rsidP="00C21266">
      <w:pPr>
        <w:pStyle w:val="Naslov6"/>
        <w:tabs>
          <w:tab w:val="clear" w:pos="765"/>
        </w:tabs>
        <w:ind w:left="0" w:firstLine="0"/>
        <w:rPr>
          <w:lang w:val="en-GB" w:eastAsia="en-GB" w:bidi="en-GB"/>
        </w:rPr>
      </w:pPr>
      <w:r w:rsidRPr="005C3B55">
        <w:rPr>
          <w:lang w:val="en-GB"/>
        </w:rPr>
        <w:t>Conditions for eligibility</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rsidP="006E20B6">
            <w:pPr>
              <w:numPr>
                <w:ilvl w:val="0"/>
                <w:numId w:val="1002"/>
              </w:numPr>
              <w:spacing w:before="0" w:after="0"/>
              <w:ind w:hanging="290"/>
              <w:jc w:val="left"/>
              <w:rPr>
                <w:rFonts w:eastAsia="Calibri"/>
                <w:szCs w:val="24"/>
              </w:rPr>
            </w:pPr>
            <w:r w:rsidRPr="005C3B55">
              <w:t>The operation was selected on the basis of a public LAG appeal, or when the LAG is a beneficiary, Point 4 of Article 34 of Regulation (EU) No 1303/2013 is taken into account.</w:t>
            </w:r>
          </w:p>
          <w:p w:rsidR="00C21266" w:rsidRPr="005C3B55" w:rsidRDefault="00C21266" w:rsidP="006E20B6">
            <w:pPr>
              <w:numPr>
                <w:ilvl w:val="0"/>
                <w:numId w:val="1002"/>
              </w:numPr>
              <w:spacing w:before="0" w:after="0"/>
              <w:ind w:hanging="290"/>
              <w:jc w:val="left"/>
              <w:rPr>
                <w:szCs w:val="24"/>
              </w:rPr>
            </w:pPr>
            <w:r w:rsidRPr="005C3B55">
              <w:t>The operation is anticipated for the LAG area in settlements with fewer than 10,000 residents.</w:t>
            </w:r>
          </w:p>
          <w:p w:rsidR="00C21266" w:rsidRPr="005C3B55" w:rsidRDefault="00C21266" w:rsidP="006E20B6">
            <w:pPr>
              <w:numPr>
                <w:ilvl w:val="0"/>
                <w:numId w:val="1002"/>
              </w:numPr>
              <w:spacing w:before="0" w:after="0"/>
              <w:ind w:hanging="290"/>
              <w:jc w:val="left"/>
              <w:rPr>
                <w:szCs w:val="24"/>
              </w:rPr>
            </w:pPr>
            <w:r w:rsidRPr="005C3B55">
              <w:t>The operation is in accordance with the PA, RDP 2014–2020 and contributes to the realisation of objectives set in the LDS.</w:t>
            </w:r>
          </w:p>
          <w:p w:rsidR="00C21266" w:rsidRPr="005C3B55" w:rsidRDefault="00C21266" w:rsidP="006E20B6">
            <w:pPr>
              <w:numPr>
                <w:ilvl w:val="0"/>
                <w:numId w:val="1002"/>
              </w:numPr>
              <w:spacing w:before="0" w:after="0"/>
              <w:ind w:hanging="290"/>
              <w:jc w:val="left"/>
              <w:rPr>
                <w:szCs w:val="24"/>
              </w:rPr>
            </w:pPr>
            <w:r w:rsidRPr="005C3B55">
              <w:t>Eligible costs of the operation must not be financed with other public funds.</w:t>
            </w:r>
          </w:p>
          <w:p w:rsidR="00C21266" w:rsidRPr="005C3B55" w:rsidRDefault="00C21266" w:rsidP="006E20B6">
            <w:pPr>
              <w:numPr>
                <w:ilvl w:val="0"/>
                <w:numId w:val="1002"/>
              </w:numPr>
              <w:spacing w:before="0" w:after="0"/>
              <w:ind w:hanging="290"/>
              <w:jc w:val="left"/>
              <w:rPr>
                <w:szCs w:val="24"/>
              </w:rPr>
            </w:pPr>
            <w:r w:rsidRPr="005C3B55">
              <w:t>The operation has not commenced prior to the confirmation.</w:t>
            </w:r>
          </w:p>
          <w:p w:rsidR="00C21266" w:rsidRPr="005C3B55" w:rsidRDefault="00C21266" w:rsidP="006E20B6">
            <w:pPr>
              <w:numPr>
                <w:ilvl w:val="0"/>
                <w:numId w:val="1002"/>
              </w:numPr>
              <w:spacing w:before="0" w:after="0"/>
              <w:ind w:hanging="290"/>
              <w:jc w:val="left"/>
              <w:rPr>
                <w:szCs w:val="24"/>
              </w:rPr>
            </w:pPr>
            <w:r w:rsidRPr="005C3B55">
              <w:t>The application must show the closed financial structure for the entire operation, including the break down of costs by partners and purposes.</w:t>
            </w:r>
          </w:p>
          <w:p w:rsidR="00C21266" w:rsidRPr="005C3B55" w:rsidRDefault="00C21266" w:rsidP="006E20B6">
            <w:pPr>
              <w:numPr>
                <w:ilvl w:val="0"/>
                <w:numId w:val="1002"/>
              </w:numPr>
              <w:spacing w:before="0" w:after="0"/>
              <w:ind w:hanging="290"/>
              <w:jc w:val="left"/>
              <w:rPr>
                <w:szCs w:val="24"/>
              </w:rPr>
            </w:pPr>
            <w:r w:rsidRPr="005C3B55">
              <w:t>A beneficiary must not be facing difficulties as per Commission Communication (EC) 244/2004, must not be in bankruptcy proceedings, a creditor arrangement or liquidation.</w:t>
            </w:r>
          </w:p>
          <w:p w:rsidR="00C21266" w:rsidRPr="005C3B55" w:rsidRDefault="00C21266" w:rsidP="006E20B6">
            <w:pPr>
              <w:numPr>
                <w:ilvl w:val="0"/>
                <w:numId w:val="1002"/>
              </w:numPr>
              <w:spacing w:before="0" w:after="0"/>
              <w:ind w:hanging="290"/>
              <w:jc w:val="left"/>
              <w:rPr>
                <w:szCs w:val="24"/>
              </w:rPr>
            </w:pPr>
            <w:r w:rsidRPr="005C3B55">
              <w:t>If this is an operation which could be implemented within so-called main measures, this has to be anticipated in the LDS; furthermore, the added value of the individual operation (e.g. common interest, group of beneficiaries, access of the public to the operation’s results, innovative characteristics of the operation at the local level, availability of the budget) has to be justified in order to specify that the operation is being implemented within this sub-measure and not through a so-called main measure.</w:t>
            </w:r>
          </w:p>
          <w:p w:rsidR="00C21266" w:rsidRPr="005C3B55" w:rsidRDefault="00C21266" w:rsidP="006E20B6">
            <w:pPr>
              <w:numPr>
                <w:ilvl w:val="0"/>
                <w:numId w:val="1002"/>
              </w:numPr>
              <w:spacing w:before="0" w:after="0"/>
              <w:ind w:hanging="290"/>
              <w:jc w:val="left"/>
              <w:rPr>
                <w:szCs w:val="24"/>
              </w:rPr>
            </w:pPr>
            <w:r w:rsidRPr="005C3B55">
              <w:t>All necessary permits as defined for the implementation of the operation by relevant legislation have been issued for the operation upon the submission of application.</w:t>
            </w:r>
          </w:p>
          <w:p w:rsidR="00C21266" w:rsidRPr="005C3B55" w:rsidRDefault="00C21266" w:rsidP="006E20B6">
            <w:pPr>
              <w:numPr>
                <w:ilvl w:val="0"/>
                <w:numId w:val="1002"/>
              </w:numPr>
              <w:spacing w:before="0" w:after="240"/>
              <w:ind w:hanging="290"/>
              <w:jc w:val="left"/>
              <w:rPr>
                <w:szCs w:val="24"/>
              </w:rPr>
            </w:pPr>
            <w:r w:rsidRPr="005C3B55">
              <w:t>A beneficiary must conduct an operation within three years from the receipt of the decision on the operation approval at the latest. </w:t>
            </w:r>
          </w:p>
          <w:p w:rsidR="00C21266" w:rsidRPr="005C3B55" w:rsidRDefault="00C21266">
            <w:pPr>
              <w:spacing w:before="240" w:after="240"/>
              <w:rPr>
                <w:szCs w:val="24"/>
              </w:rPr>
            </w:pPr>
            <w:r w:rsidRPr="005C3B55">
              <w:t>A local partnership in LDS defines additional conditions for the granting of aid.</w:t>
            </w:r>
          </w:p>
          <w:p w:rsidR="00C21266" w:rsidRPr="005C3B55" w:rsidRDefault="00C21266">
            <w:pPr>
              <w:pStyle w:val="Telobesedila"/>
              <w:rPr>
                <w:lang w:eastAsia="en-GB" w:bidi="en-GB"/>
              </w:rPr>
            </w:pPr>
          </w:p>
        </w:tc>
      </w:tr>
    </w:tbl>
    <w:p w:rsidR="00C21266" w:rsidRPr="005C3B55" w:rsidRDefault="00C21266" w:rsidP="00C21266">
      <w:pPr>
        <w:pStyle w:val="Naslov6"/>
        <w:tabs>
          <w:tab w:val="clear" w:pos="765"/>
        </w:tabs>
        <w:ind w:left="0" w:firstLine="0"/>
        <w:rPr>
          <w:lang w:val="en-GB" w:eastAsia="en-GB" w:bidi="en-GB"/>
        </w:rPr>
      </w:pPr>
      <w:r w:rsidRPr="005C3B55">
        <w:rPr>
          <w:lang w:val="en-GB"/>
        </w:rPr>
        <w:t>Principles regarding the determination of selection criteria</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In LDSs, local partnerships must define the precise selection criteria for operations and describe the selection and confirmation procedures of operations. LDSs must also include a description of the method of ensuring procedure transparency and preventing conflicts of interest. The local partnership must derive from joint principles determined by the MA when determining the criteria for the operation selection:</w:t>
            </w:r>
          </w:p>
          <w:p w:rsidR="00C21266" w:rsidRPr="005C3B55" w:rsidRDefault="00C21266" w:rsidP="006E20B6">
            <w:pPr>
              <w:numPr>
                <w:ilvl w:val="0"/>
                <w:numId w:val="1003"/>
              </w:numPr>
              <w:spacing w:before="240" w:after="0"/>
              <w:ind w:hanging="290"/>
              <w:jc w:val="left"/>
              <w:rPr>
                <w:szCs w:val="24"/>
              </w:rPr>
            </w:pPr>
            <w:r w:rsidRPr="005C3B55">
              <w:t>contribution to attaining the LDS,</w:t>
            </w:r>
          </w:p>
          <w:p w:rsidR="00C21266" w:rsidRPr="005C3B55" w:rsidRDefault="00C21266" w:rsidP="006E20B6">
            <w:pPr>
              <w:numPr>
                <w:ilvl w:val="0"/>
                <w:numId w:val="1003"/>
              </w:numPr>
              <w:spacing w:before="0" w:after="0"/>
              <w:ind w:hanging="290"/>
              <w:jc w:val="left"/>
              <w:rPr>
                <w:szCs w:val="24"/>
              </w:rPr>
            </w:pPr>
            <w:r w:rsidRPr="005C3B55">
              <w:t>contribution to attaining the horizontal EU objectives,</w:t>
            </w:r>
          </w:p>
          <w:p w:rsidR="00C21266" w:rsidRPr="005C3B55" w:rsidRDefault="00C21266" w:rsidP="006E20B6">
            <w:pPr>
              <w:numPr>
                <w:ilvl w:val="0"/>
                <w:numId w:val="1003"/>
              </w:numPr>
              <w:spacing w:before="0" w:after="0"/>
              <w:ind w:hanging="290"/>
              <w:jc w:val="left"/>
              <w:rPr>
                <w:szCs w:val="24"/>
              </w:rPr>
            </w:pPr>
            <w:r w:rsidRPr="005C3B55">
              <w:t>environmental sustainability,</w:t>
            </w:r>
          </w:p>
          <w:p w:rsidR="00C21266" w:rsidRPr="005C3B55" w:rsidRDefault="00C21266" w:rsidP="006E20B6">
            <w:pPr>
              <w:numPr>
                <w:ilvl w:val="0"/>
                <w:numId w:val="1003"/>
              </w:numPr>
              <w:spacing w:before="0" w:after="0"/>
              <w:ind w:hanging="290"/>
              <w:jc w:val="left"/>
              <w:rPr>
                <w:szCs w:val="24"/>
              </w:rPr>
            </w:pPr>
            <w:r w:rsidRPr="005C3B55">
              <w:t>social sustainability,</w:t>
            </w:r>
          </w:p>
          <w:p w:rsidR="00C21266" w:rsidRPr="005C3B55" w:rsidRDefault="00C21266" w:rsidP="006E20B6">
            <w:pPr>
              <w:numPr>
                <w:ilvl w:val="0"/>
                <w:numId w:val="1003"/>
              </w:numPr>
              <w:spacing w:before="0" w:after="0"/>
              <w:ind w:hanging="290"/>
              <w:jc w:val="left"/>
              <w:rPr>
                <w:szCs w:val="24"/>
              </w:rPr>
            </w:pPr>
            <w:r w:rsidRPr="005C3B55">
              <w:t>inclusion of several sectors, and</w:t>
            </w:r>
          </w:p>
          <w:p w:rsidR="00C21266" w:rsidRPr="005C3B55" w:rsidRDefault="00C21266" w:rsidP="006E20B6">
            <w:pPr>
              <w:numPr>
                <w:ilvl w:val="0"/>
                <w:numId w:val="1003"/>
              </w:numPr>
              <w:spacing w:before="0" w:after="240"/>
              <w:ind w:hanging="290"/>
              <w:jc w:val="left"/>
              <w:rPr>
                <w:szCs w:val="24"/>
              </w:rPr>
            </w:pPr>
            <w:r w:rsidRPr="005C3B55">
              <w:t>impact on the LAG area.</w:t>
            </w:r>
          </w:p>
          <w:p w:rsidR="00C21266" w:rsidRPr="005C3B55" w:rsidRDefault="00C21266">
            <w:pPr>
              <w:spacing w:before="240" w:after="240"/>
              <w:rPr>
                <w:szCs w:val="24"/>
              </w:rPr>
            </w:pPr>
            <w:r w:rsidRPr="005C3B55">
              <w:t>A local community may define in LDS additional specific criteria for the operation selection if these pursue the LDS objectives.</w:t>
            </w:r>
          </w:p>
          <w:p w:rsidR="00C21266" w:rsidRPr="005C3B55" w:rsidRDefault="00C21266">
            <w:pPr>
              <w:pStyle w:val="Telobesedila"/>
              <w:rPr>
                <w:lang w:eastAsia="en-GB" w:bidi="en-GB"/>
              </w:rPr>
            </w:pPr>
          </w:p>
        </w:tc>
      </w:tr>
    </w:tbl>
    <w:p w:rsidR="00C21266" w:rsidRPr="005C3B55" w:rsidRDefault="00C21266" w:rsidP="00C21266">
      <w:pPr>
        <w:pStyle w:val="Naslov6"/>
        <w:tabs>
          <w:tab w:val="clear" w:pos="765"/>
        </w:tabs>
        <w:ind w:left="0" w:firstLine="0"/>
        <w:rPr>
          <w:lang w:val="en-GB" w:eastAsia="en-GB" w:bidi="en-GB"/>
        </w:rPr>
      </w:pPr>
      <w:r w:rsidRPr="005C3B55">
        <w:rPr>
          <w:lang w:val="en-GB"/>
        </w:rPr>
        <w:t>(Valid) amounts and support rates</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The support rate of an individual operation is determined by LAGs. The public support rate amounts to up to 85% of the operation’s eligible costs.</w:t>
            </w:r>
          </w:p>
          <w:p w:rsidR="00C21266" w:rsidRPr="005C3B55" w:rsidRDefault="00C21266">
            <w:pPr>
              <w:spacing w:before="240" w:after="240"/>
              <w:rPr>
                <w:szCs w:val="24"/>
              </w:rPr>
            </w:pPr>
            <w:r w:rsidRPr="005C3B55">
              <w:t>The rules on state aid are observed when determining the support rate.</w:t>
            </w:r>
          </w:p>
          <w:p w:rsidR="00C21266" w:rsidRPr="005C3B55" w:rsidRDefault="00C21266">
            <w:pPr>
              <w:spacing w:before="240" w:after="240"/>
              <w:rPr>
                <w:szCs w:val="24"/>
              </w:rPr>
            </w:pPr>
            <w:r w:rsidRPr="005C3B55">
              <w:t>The determination of the support rate must take into account that operations with added value (e.g. joint interest, group of beneficiaries, public access to operation results, innovative characteristics of an operation at the local level and the availability of budget, integrated projects) receive a higher share of support than those without added value.</w:t>
            </w:r>
          </w:p>
          <w:p w:rsidR="00C21266" w:rsidRPr="005C3B55" w:rsidRDefault="00C21266">
            <w:pPr>
              <w:spacing w:before="240" w:after="240"/>
              <w:rPr>
                <w:szCs w:val="24"/>
              </w:rPr>
            </w:pPr>
            <w:r w:rsidRPr="005C3B55">
              <w:t>The lowest amount of public support per individual operation is EUR 2,000. The highest amount of public support per individual operation is EUR 300,000.</w:t>
            </w:r>
          </w:p>
          <w:p w:rsidR="00C21266" w:rsidRPr="005C3B55" w:rsidRDefault="00C21266">
            <w:pPr>
              <w:pStyle w:val="Telobesedila"/>
              <w:rPr>
                <w:lang w:eastAsia="en-GB" w:bidi="en-GB"/>
              </w:rPr>
            </w:pPr>
          </w:p>
        </w:tc>
      </w:tr>
    </w:tbl>
    <w:p w:rsidR="00C21266" w:rsidRPr="005C3B55" w:rsidRDefault="00C21266" w:rsidP="00C21266">
      <w:pPr>
        <w:pStyle w:val="Naslov6"/>
        <w:tabs>
          <w:tab w:val="clear" w:pos="765"/>
        </w:tabs>
        <w:ind w:left="0" w:firstLine="0"/>
        <w:rPr>
          <w:lang w:val="en-GB" w:eastAsia="en-GB" w:bidi="en-GB"/>
        </w:rPr>
      </w:pPr>
      <w:r w:rsidRPr="005C3B55">
        <w:rPr>
          <w:lang w:val="en-GB"/>
        </w:rPr>
        <w:t>Verifiability and possibility of control of measures and/or type of operations</w:t>
      </w:r>
    </w:p>
    <w:p w:rsidR="00C21266" w:rsidRPr="005C3B55" w:rsidRDefault="00C21266" w:rsidP="00C21266">
      <w:pPr>
        <w:pStyle w:val="Naslov7"/>
        <w:tabs>
          <w:tab w:val="clear" w:pos="765"/>
        </w:tabs>
        <w:ind w:left="0" w:firstLine="0"/>
        <w:rPr>
          <w:lang w:val="en-GB"/>
        </w:rPr>
      </w:pPr>
      <w:r w:rsidRPr="005C3B55">
        <w:rPr>
          <w:lang w:val="en-GB"/>
        </w:rPr>
        <w:t>Risks in the implementation of the measure</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rPr>
                <w:b/>
              </w:rPr>
              <w:t>R1: Application conditions for private beneficiaries</w:t>
            </w:r>
          </w:p>
          <w:p w:rsidR="00C21266" w:rsidRPr="005C3B55" w:rsidRDefault="00C21266">
            <w:pPr>
              <w:spacing w:before="240" w:after="240"/>
              <w:rPr>
                <w:szCs w:val="24"/>
              </w:rPr>
            </w:pPr>
            <w:r w:rsidRPr="005C3B55">
              <w:t>There is a risk that the entry terms will not be objective or verifiable. LAGs prepare the public procurement for the selection of operations, which is why there is a risk that application conditions will be subject to too many changes. There is also the risk that the call will not be publicly accessible to all potential beneficiaries and that conflicts of interest will arise when selecting operations. The risk also occurs in the attainment of all relevant evidence required by the relevant legislation. </w:t>
            </w:r>
          </w:p>
          <w:p w:rsidR="00C21266" w:rsidRPr="005C3B55" w:rsidRDefault="00C21266">
            <w:pPr>
              <w:spacing w:before="240" w:after="240"/>
              <w:rPr>
                <w:szCs w:val="24"/>
              </w:rPr>
            </w:pPr>
            <w:r w:rsidRPr="005C3B55">
              <w:rPr>
                <w:b/>
              </w:rPr>
              <w:t>R2: Reasonableness of costs</w:t>
            </w:r>
          </w:p>
          <w:p w:rsidR="00C21266" w:rsidRPr="005C3B55" w:rsidRDefault="00C21266">
            <w:pPr>
              <w:spacing w:before="240" w:after="240"/>
              <w:rPr>
                <w:szCs w:val="24"/>
              </w:rPr>
            </w:pPr>
            <w:r w:rsidRPr="005C3B55">
              <w:t>There is a risk that unduly high and irrational costs will be claimed. including the risk of enforcing ineligible costs.</w:t>
            </w:r>
          </w:p>
          <w:p w:rsidR="00C21266" w:rsidRPr="005C3B55" w:rsidRDefault="00C21266">
            <w:pPr>
              <w:spacing w:before="240" w:after="240"/>
              <w:rPr>
                <w:szCs w:val="24"/>
              </w:rPr>
            </w:pPr>
            <w:r w:rsidRPr="005C3B55">
              <w:rPr>
                <w:b/>
              </w:rPr>
              <w:t>R3: Suitable overview and control system</w:t>
            </w:r>
          </w:p>
          <w:p w:rsidR="00C21266" w:rsidRPr="005C3B55" w:rsidRDefault="00C21266">
            <w:pPr>
              <w:spacing w:before="240" w:after="240"/>
              <w:rPr>
                <w:szCs w:val="24"/>
              </w:rPr>
            </w:pPr>
            <w:r w:rsidRPr="005C3B55">
              <w:t>There is a risk of double funding, the claiming of ineligible costs, and failure to fulfil obligations. In addition, there is a risk that applicants for support have already received state aid, which means that the maximum permissible amount of state aid has been exceeded. There is also a risk that false data and false statements will be provided.</w:t>
            </w:r>
          </w:p>
          <w:p w:rsidR="00C21266" w:rsidRPr="005C3B55" w:rsidRDefault="00C21266">
            <w:pPr>
              <w:spacing w:before="240" w:after="240"/>
              <w:rPr>
                <w:szCs w:val="24"/>
              </w:rPr>
            </w:pPr>
            <w:r w:rsidRPr="005C3B55">
              <w:rPr>
                <w:b/>
              </w:rPr>
              <w:t>R4: Public procurement</w:t>
            </w:r>
          </w:p>
          <w:p w:rsidR="00C21266" w:rsidRPr="005C3B55" w:rsidRDefault="00C21266">
            <w:pPr>
              <w:spacing w:before="240" w:after="240"/>
              <w:rPr>
                <w:szCs w:val="24"/>
              </w:rPr>
            </w:pPr>
            <w:r w:rsidRPr="005C3B55">
              <w:t>There is a risk that regulations and principles governing public procurement will not be observed.</w:t>
            </w:r>
          </w:p>
          <w:p w:rsidR="00C21266" w:rsidRPr="005C3B55" w:rsidRDefault="00C21266">
            <w:pPr>
              <w:spacing w:before="240" w:after="240"/>
              <w:rPr>
                <w:szCs w:val="24"/>
              </w:rPr>
            </w:pPr>
            <w:r w:rsidRPr="005C3B55">
              <w:rPr>
                <w:b/>
              </w:rPr>
              <w:t>R7: Selection of beneficiaries</w:t>
            </w:r>
          </w:p>
          <w:p w:rsidR="00C21266" w:rsidRPr="005C3B55" w:rsidRDefault="00C21266">
            <w:pPr>
              <w:spacing w:before="240" w:after="240"/>
              <w:rPr>
                <w:szCs w:val="24"/>
              </w:rPr>
            </w:pPr>
            <w:r w:rsidRPr="005C3B55">
              <w:t>There is a risk of non-transparent procedures and biased selection of beneficiaries. Another challenge in the selection of beneficiaries is conflict of interest, i.e. that operations would be selected by persons subject to a conflict of interest.</w:t>
            </w:r>
          </w:p>
          <w:p w:rsidR="00C21266" w:rsidRPr="005C3B55" w:rsidRDefault="00C21266">
            <w:pPr>
              <w:spacing w:before="240" w:after="240"/>
              <w:rPr>
                <w:szCs w:val="24"/>
              </w:rPr>
            </w:pPr>
            <w:r w:rsidRPr="005C3B55">
              <w:rPr>
                <w:b/>
              </w:rPr>
              <w:t>R8: IT system</w:t>
            </w:r>
          </w:p>
          <w:p w:rsidR="00C21266" w:rsidRPr="005C3B55" w:rsidRDefault="00C21266">
            <w:pPr>
              <w:spacing w:before="240" w:after="240"/>
              <w:rPr>
                <w:szCs w:val="24"/>
              </w:rPr>
            </w:pPr>
            <w:r w:rsidRPr="005C3B55">
              <w:t>There is a risk of an inadequate IT system that is not advanced and does provide sufficient support. Risks may also be posed by disorderly or outdated registers which are the result of incompatible databases.</w:t>
            </w:r>
          </w:p>
          <w:p w:rsidR="00C21266" w:rsidRPr="005C3B55" w:rsidRDefault="00C21266">
            <w:pPr>
              <w:spacing w:before="240" w:after="240"/>
              <w:rPr>
                <w:szCs w:val="24"/>
              </w:rPr>
            </w:pPr>
            <w:r w:rsidRPr="005C3B55">
              <w:rPr>
                <w:b/>
              </w:rPr>
              <w:t>R9: Requests for payment</w:t>
            </w:r>
          </w:p>
          <w:p w:rsidR="00C21266" w:rsidRPr="005C3B55" w:rsidRDefault="00C21266">
            <w:pPr>
              <w:spacing w:before="240" w:after="240"/>
              <w:rPr>
                <w:szCs w:val="24"/>
              </w:rPr>
            </w:pPr>
            <w:r w:rsidRPr="005C3B55">
              <w:t>There is a risk that requests for payment will be inadequately prepared, without any permits evidence and will include ineligible costs. As a result, there is a risk that the requested amount will exceed the eligible amount calculated on the basis of submitted documents, which presents a risk for application of reductions.</w:t>
            </w:r>
          </w:p>
          <w:p w:rsidR="00C21266" w:rsidRPr="005C3B55" w:rsidRDefault="00C21266">
            <w:pPr>
              <w:pStyle w:val="Telobesedila"/>
              <w:rPr>
                <w:lang w:eastAsia="en-GB" w:bidi="en-GB"/>
              </w:rPr>
            </w:pPr>
          </w:p>
        </w:tc>
      </w:tr>
    </w:tbl>
    <w:p w:rsidR="00C21266" w:rsidRPr="005C3B55" w:rsidRDefault="00C21266" w:rsidP="00C21266">
      <w:pPr>
        <w:pStyle w:val="Naslov7"/>
        <w:tabs>
          <w:tab w:val="clear" w:pos="765"/>
        </w:tabs>
        <w:ind w:left="0" w:firstLine="0"/>
        <w:rPr>
          <w:lang w:val="en-GB" w:eastAsia="en-GB" w:bidi="en-GB"/>
        </w:rPr>
      </w:pPr>
      <w:r w:rsidRPr="005C3B55">
        <w:rPr>
          <w:lang w:val="en-GB"/>
        </w:rPr>
        <w:t>Mitigation measures</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rPr>
                <w:b/>
              </w:rPr>
              <w:t>R1: Application conditions for private beneficiaries</w:t>
            </w:r>
          </w:p>
          <w:p w:rsidR="00C21266" w:rsidRPr="005C3B55" w:rsidRDefault="00C21266">
            <w:pPr>
              <w:spacing w:before="240" w:after="240"/>
              <w:rPr>
                <w:szCs w:val="24"/>
              </w:rPr>
            </w:pPr>
            <w:r w:rsidRPr="005C3B55">
              <w:t>In order to ensure transparency and the equal treatment of beneficiaries, the MA determines certain joint elements in selection procedures and principles which serve as the basis for criteria for selecting operations. Local partnerships have to define and determine the selection criteria in LDSs. Local partnerships may define additional special criteria in LDSs. Another task of the local partnership is to define the selection procedure in LDSs and to describe how they will prevent conflicts of interest when selecting operations. The procedure has to be transparent and provide an option of verification and later control. LAG has to publicly announce the appeal for selection; it has to be made at least one month before the operation selection for the propose of accessing the information for beneficiaries and reducing the risk in procedures.</w:t>
            </w:r>
          </w:p>
          <w:p w:rsidR="00C21266" w:rsidRPr="005C3B55" w:rsidRDefault="00C21266">
            <w:pPr>
              <w:spacing w:before="240" w:after="240"/>
              <w:rPr>
                <w:szCs w:val="24"/>
              </w:rPr>
            </w:pPr>
            <w:r w:rsidRPr="005C3B55">
              <w:t>The MA will establish a supervisory system for the operations of LAGs which will also verify procedures relating to the publication of calls and the selection of operations. This will be verified with the claims for payment of running costs and animation, as well as with regular LAG supervisions conducted by MA for the purpose of verifying the provision of transparency of procedures.</w:t>
            </w:r>
          </w:p>
          <w:p w:rsidR="00C21266" w:rsidRPr="005C3B55" w:rsidRDefault="00C21266">
            <w:pPr>
              <w:spacing w:before="240" w:after="240"/>
              <w:rPr>
                <w:szCs w:val="24"/>
              </w:rPr>
            </w:pPr>
            <w:r w:rsidRPr="005C3B55">
              <w:t>The MA will also organise educational programmes, workshops and LAG meetings for the purpose of reducing procedural LAG errors.</w:t>
            </w:r>
          </w:p>
          <w:p w:rsidR="00C21266" w:rsidRPr="005C3B55" w:rsidRDefault="00C21266">
            <w:pPr>
              <w:spacing w:before="240" w:after="240"/>
              <w:rPr>
                <w:szCs w:val="24"/>
              </w:rPr>
            </w:pPr>
            <w:r w:rsidRPr="005C3B55">
              <w:rPr>
                <w:b/>
              </w:rPr>
              <w:t>R2: Reasonableness of costs</w:t>
            </w:r>
          </w:p>
          <w:p w:rsidR="00C21266" w:rsidRPr="005C3B55" w:rsidRDefault="00C21266">
            <w:pPr>
              <w:spacing w:before="240" w:after="240"/>
              <w:rPr>
                <w:szCs w:val="24"/>
              </w:rPr>
            </w:pPr>
            <w:r w:rsidRPr="005C3B55">
              <w:t>The MA will prepare a Catalogue of maximum recognised amounts which will be considered by beneficiaries in the implementation of operations. Thus, the possibility of unreasonable, non-eligible and irrational costs will be prevented. If the Catalogue of the maximum recognised amount fails to define an individual eligible cost, the beneficiary will have to submit three comparable offers.</w:t>
            </w:r>
          </w:p>
          <w:p w:rsidR="00C21266" w:rsidRPr="005C3B55" w:rsidRDefault="00C21266">
            <w:pPr>
              <w:spacing w:before="240" w:after="240"/>
              <w:rPr>
                <w:szCs w:val="24"/>
              </w:rPr>
            </w:pPr>
            <w:r w:rsidRPr="005C3B55">
              <w:rPr>
                <w:b/>
              </w:rPr>
              <w:t>R3: Suitable overview and control system</w:t>
            </w:r>
          </w:p>
          <w:p w:rsidR="00C21266" w:rsidRPr="005C3B55" w:rsidRDefault="00C21266">
            <w:pPr>
              <w:spacing w:before="240" w:after="240"/>
              <w:rPr>
                <w:szCs w:val="24"/>
              </w:rPr>
            </w:pPr>
            <w:r w:rsidRPr="005C3B55">
              <w:t>A regular control system will be established to monitor LAG operations and inspect the implemented operations on site. Applications and requests for payment will be submitted in an electronic system and administratively reviewed. If necessary, the in-situ and on-site controls will be performed. The share of such controls will be determined on the basis of a risk analysis. To verify whether beneficiaries have already received state aid, a system will be set up at the Ministry of Finance (MF). A sanction system will also be established which will deter the non-fulfilment of obligations.</w:t>
            </w:r>
          </w:p>
          <w:p w:rsidR="00C21266" w:rsidRPr="005C3B55" w:rsidRDefault="00C21266">
            <w:pPr>
              <w:spacing w:before="240" w:after="240"/>
              <w:rPr>
                <w:szCs w:val="24"/>
              </w:rPr>
            </w:pPr>
            <w:r w:rsidRPr="005C3B55">
              <w:rPr>
                <w:b/>
              </w:rPr>
              <w:t>R4: Public procurement</w:t>
            </w:r>
          </w:p>
          <w:p w:rsidR="00C21266" w:rsidRPr="005C3B55" w:rsidRDefault="00C21266">
            <w:pPr>
              <w:spacing w:before="240" w:after="240"/>
              <w:rPr>
                <w:szCs w:val="24"/>
              </w:rPr>
            </w:pPr>
            <w:r w:rsidRPr="005C3B55">
              <w:t>The MA will verify the observance of public procurement procedures. The MA will organise training for LAGs and potential beneficiaries, thus reducing the risks of error. Education and training are also envisaged for the MA and the Paying Agency. The emphasis will be on the preparation of bases and manuals on the preparation of documentation and if necessary also the ‘ad hoc’ services of the consultative group, whose task will be to form proposed solutions at the systemic level.</w:t>
            </w:r>
          </w:p>
          <w:p w:rsidR="00C21266" w:rsidRPr="005C3B55" w:rsidRDefault="00C21266">
            <w:pPr>
              <w:spacing w:before="240" w:after="240"/>
              <w:rPr>
                <w:szCs w:val="24"/>
              </w:rPr>
            </w:pPr>
            <w:r w:rsidRPr="005C3B55">
              <w:rPr>
                <w:b/>
              </w:rPr>
              <w:t>R7: Selection of beneficiaries</w:t>
            </w:r>
          </w:p>
          <w:p w:rsidR="00C21266" w:rsidRPr="005C3B55" w:rsidRDefault="00C21266">
            <w:pPr>
              <w:spacing w:before="240" w:after="240"/>
              <w:rPr>
                <w:szCs w:val="24"/>
              </w:rPr>
            </w:pPr>
            <w:r w:rsidRPr="005C3B55">
              <w:t>LAGs will have to establish a transparent procedure that is preset, and with which all potential beneficiaries are familiar. When selecting operations, they will have to observe the principles laid down for this sub-measure and act in accordance with the procedure defined in the LDS. LAGs will be held financially responsible for any breach of transparency or fair proceedings. The LDS will have to include a method to prevent conflicts of interest.</w:t>
            </w:r>
          </w:p>
          <w:p w:rsidR="00C21266" w:rsidRPr="005C3B55" w:rsidRDefault="00C21266">
            <w:pPr>
              <w:spacing w:before="240" w:after="240"/>
              <w:rPr>
                <w:szCs w:val="24"/>
              </w:rPr>
            </w:pPr>
            <w:r w:rsidRPr="005C3B55">
              <w:rPr>
                <w:b/>
              </w:rPr>
              <w:t>R8: IT system</w:t>
            </w:r>
          </w:p>
          <w:p w:rsidR="00C21266" w:rsidRPr="005C3B55" w:rsidRDefault="00C21266">
            <w:pPr>
              <w:spacing w:before="240" w:after="240"/>
              <w:rPr>
                <w:szCs w:val="24"/>
              </w:rPr>
            </w:pPr>
            <w:r w:rsidRPr="005C3B55">
              <w:t>IT support will be established to enable electronic submission of applications and requests for payment, thus simplifying the verification of double financing, business operations of associated parties, and separation between the funding of individual costs at the LEADER sub-measure level and other measures of the RDP 2014-2020. The system will incorporate different databases, which will enable faster and more precise data verification. If databases are not mutually compatible so that they can be automatically verified within the IT system, verification will be carried out by exchanging data between database media. At the same time, the IT system will provide data for the purpose of monitoring the sub-measures.</w:t>
            </w:r>
          </w:p>
          <w:p w:rsidR="00C21266" w:rsidRPr="005C3B55" w:rsidRDefault="00C21266">
            <w:pPr>
              <w:spacing w:before="240" w:after="240"/>
              <w:rPr>
                <w:szCs w:val="24"/>
              </w:rPr>
            </w:pPr>
            <w:r w:rsidRPr="005C3B55">
              <w:rPr>
                <w:b/>
              </w:rPr>
              <w:t>R9: Requests for payment</w:t>
            </w:r>
          </w:p>
          <w:p w:rsidR="00C21266" w:rsidRPr="005C3B55" w:rsidRDefault="00C21266">
            <w:pPr>
              <w:spacing w:before="240" w:after="240"/>
              <w:rPr>
                <w:szCs w:val="24"/>
              </w:rPr>
            </w:pPr>
            <w:r w:rsidRPr="005C3B55">
              <w:t>The eligibility of requests for payment will first have to be verified by LAGs, after which the Paying Agency will repeat the same procedures. In addition to verifying the eligibility of costs, fulfilment of conditions, suitability of other certificates and fulfilment of state aid requirements, the Paying Agency will also check the possibility of double financing and perform in-situ and on-site controls in accordance with the risk analysis. The LAG will be held financially responsible for the legality of business operations and appropriate verification of requests for payment before submitting them to the Paying Agency. National regulations and individual decisions issued to beneficiaries will contain a definition of liability for the repayment of funds in cases of violations and subsequent findings of ineligible payments. In order to ensure reimbursement, the Paying Agency will apply a well-established system of recovery.</w:t>
            </w:r>
          </w:p>
          <w:p w:rsidR="00C21266" w:rsidRPr="005C3B55" w:rsidRDefault="00C21266">
            <w:pPr>
              <w:pStyle w:val="Telobesedila"/>
              <w:rPr>
                <w:lang w:eastAsia="en-GB" w:bidi="en-GB"/>
              </w:rPr>
            </w:pPr>
          </w:p>
        </w:tc>
      </w:tr>
    </w:tbl>
    <w:p w:rsidR="00C21266" w:rsidRPr="005C3B55" w:rsidRDefault="00C21266" w:rsidP="00C21266">
      <w:pPr>
        <w:pStyle w:val="Naslov7"/>
        <w:tabs>
          <w:tab w:val="clear" w:pos="765"/>
        </w:tabs>
        <w:ind w:left="0" w:firstLine="0"/>
        <w:rPr>
          <w:lang w:val="en-GB" w:eastAsia="en-GB" w:bidi="en-GB"/>
        </w:rPr>
      </w:pPr>
      <w:r w:rsidRPr="005C3B55">
        <w:rPr>
          <w:lang w:val="en-GB"/>
        </w:rPr>
        <w:t>General assessment of the measure</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The sub-measure in the anticipated form is fully feasible and controllable and will have the expected results and contribute to achieving the set objectives of the RDP 2014-2020. The sub-measure will greatly contribute to realising horizontal objectives, especially increasing innovation and sustainable rural development. Local partnership make decisions on the local development. The selection of operations that will be subject to co-financing will be based on the LAGs needs and thus the positive effects expected in the development of the local area and greater social responsibility. The implementation of this sub-measure is of exceptional importance for the long-term sustainable development of the countryside in Slovenia.</w:t>
            </w:r>
          </w:p>
          <w:p w:rsidR="00C21266" w:rsidRPr="005C3B55" w:rsidRDefault="00C21266">
            <w:pPr>
              <w:pStyle w:val="Telobesedila"/>
              <w:rPr>
                <w:lang w:eastAsia="en-GB" w:bidi="en-GB"/>
              </w:rPr>
            </w:pPr>
          </w:p>
        </w:tc>
      </w:tr>
    </w:tbl>
    <w:p w:rsidR="00C21266" w:rsidRPr="005C3B55" w:rsidRDefault="00C21266" w:rsidP="00C21266">
      <w:pPr>
        <w:pStyle w:val="Naslov6"/>
        <w:tabs>
          <w:tab w:val="clear" w:pos="765"/>
        </w:tabs>
        <w:ind w:left="0" w:firstLine="0"/>
        <w:rPr>
          <w:lang w:val="en-GB" w:eastAsia="en-GB" w:bidi="en-GB"/>
        </w:rPr>
      </w:pPr>
      <w:r w:rsidRPr="005C3B55">
        <w:rPr>
          <w:lang w:val="en-GB"/>
        </w:rPr>
        <w:t>Methodology for calculating support amount, where relevant</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Not relevant.</w:t>
            </w:r>
          </w:p>
          <w:p w:rsidR="00C21266" w:rsidRPr="005C3B55" w:rsidRDefault="00C21266">
            <w:pPr>
              <w:pStyle w:val="Telobesedila"/>
              <w:rPr>
                <w:lang w:eastAsia="en-GB" w:bidi="en-GB"/>
              </w:rPr>
            </w:pPr>
          </w:p>
        </w:tc>
      </w:tr>
    </w:tbl>
    <w:p w:rsidR="00C21266" w:rsidRPr="005C3B55" w:rsidRDefault="00C21266" w:rsidP="00C21266">
      <w:pPr>
        <w:pStyle w:val="Naslov6"/>
        <w:tabs>
          <w:tab w:val="clear" w:pos="765"/>
        </w:tabs>
        <w:ind w:left="0" w:firstLine="0"/>
        <w:rPr>
          <w:lang w:val="en-GB" w:eastAsia="en-GB" w:bidi="en-GB"/>
        </w:rPr>
      </w:pPr>
      <w:r w:rsidRPr="005C3B55">
        <w:rPr>
          <w:lang w:val="en-GB"/>
        </w:rPr>
        <w:t>Information that relates specifically to the operation</w:t>
      </w:r>
    </w:p>
    <w:p w:rsidR="00C21266" w:rsidRPr="005C3B55" w:rsidRDefault="00C21266" w:rsidP="00C21266">
      <w:r w:rsidRPr="005C3B55">
        <w:t>Description of the obligatory Community Led Local Development (hereafter ‘CLLD’) elements of which the LEADER measure is composed: preparatory support; implementation of operations under the CLLD strategy; preparation and implementation of co-operation activities of the Local Action Group (LAG); running costs; and animation referred to in Article 35(1) of Regulation (EU) No 1303/2013</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Not relevant.</w:t>
            </w:r>
          </w:p>
          <w:p w:rsidR="00C21266" w:rsidRPr="005C3B55" w:rsidRDefault="00C21266">
            <w:pPr>
              <w:pStyle w:val="Telobesedila"/>
              <w:rPr>
                <w:lang w:eastAsia="en-GB" w:bidi="en-GB"/>
              </w:rPr>
            </w:pPr>
          </w:p>
        </w:tc>
      </w:tr>
    </w:tbl>
    <w:p w:rsidR="00C21266" w:rsidRPr="005C3B55" w:rsidRDefault="00C21266" w:rsidP="00C21266">
      <w:pPr>
        <w:rPr>
          <w:rFonts w:eastAsia="Calibri"/>
          <w:szCs w:val="22"/>
          <w:lang w:eastAsia="en-GB" w:bidi="en-GB"/>
        </w:rPr>
      </w:pPr>
      <w:r w:rsidRPr="005C3B55">
        <w:t>Description of the use of the LEADER start-up-kit referred to in Article 43 of Regulation (EU) No 1305/2013 as a specific type of preparatory support (if proper)</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Not relevant.</w:t>
            </w:r>
          </w:p>
          <w:p w:rsidR="00C21266" w:rsidRPr="005C3B55" w:rsidRDefault="00C21266">
            <w:pPr>
              <w:pStyle w:val="Telobesedila"/>
              <w:rPr>
                <w:lang w:eastAsia="en-GB" w:bidi="en-GB"/>
              </w:rPr>
            </w:pPr>
          </w:p>
        </w:tc>
      </w:tr>
    </w:tbl>
    <w:p w:rsidR="00C21266" w:rsidRPr="005C3B55" w:rsidRDefault="00C21266" w:rsidP="00C21266">
      <w:pPr>
        <w:rPr>
          <w:rFonts w:eastAsia="Calibri"/>
          <w:szCs w:val="22"/>
          <w:lang w:eastAsia="en-GB" w:bidi="en-GB"/>
        </w:rPr>
      </w:pPr>
      <w:r w:rsidRPr="005C3B55">
        <w:t>Description of the system of running applications for cooperation projects in the scope of the LEADER approach referred to in Article 44 (3) of Regulation (EU) No 1305/2013</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Not relevant.</w:t>
            </w:r>
          </w:p>
          <w:p w:rsidR="00C21266" w:rsidRPr="005C3B55" w:rsidRDefault="00C21266">
            <w:pPr>
              <w:pStyle w:val="Telobesedila"/>
              <w:rPr>
                <w:lang w:eastAsia="en-GB" w:bidi="en-GB"/>
              </w:rPr>
            </w:pPr>
          </w:p>
        </w:tc>
      </w:tr>
    </w:tbl>
    <w:p w:rsidR="00C21266" w:rsidRPr="005C3B55" w:rsidRDefault="00C21266" w:rsidP="00C21266">
      <w:pPr>
        <w:rPr>
          <w:rFonts w:eastAsia="Calibri"/>
          <w:szCs w:val="22"/>
          <w:lang w:eastAsia="en-GB" w:bidi="en-GB"/>
        </w:rPr>
      </w:pPr>
      <w:r w:rsidRPr="005C3B55">
        <w:t>The procedure and timetable to select local development strategies</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Local partnerships that meet all the conditions and reach the minimum threshold for the selection of LAGs and LDSs will be approved by a decision on LAG and LDS confirmation. Local partnerships whose LDSs are approved by the decision on LAG and LDS confirmation will be eligible to draw funds under this sub-measure.</w:t>
            </w:r>
          </w:p>
          <w:p w:rsidR="00C21266" w:rsidRPr="005C3B55" w:rsidRDefault="00C21266">
            <w:pPr>
              <w:pStyle w:val="Telobesedila"/>
              <w:rPr>
                <w:lang w:eastAsia="en-GB" w:bidi="en-GB"/>
              </w:rPr>
            </w:pPr>
          </w:p>
        </w:tc>
      </w:tr>
    </w:tbl>
    <w:p w:rsidR="00C21266" w:rsidRPr="005C3B55" w:rsidRDefault="00C21266" w:rsidP="00C21266">
      <w:pPr>
        <w:rPr>
          <w:rFonts w:eastAsia="Calibri"/>
          <w:szCs w:val="22"/>
          <w:lang w:eastAsia="en-GB" w:bidi="en-GB"/>
        </w:rPr>
      </w:pPr>
      <w:r w:rsidRPr="005C3B55">
        <w:t>Justification for the selection of geographical areas for local development strategy implementation whose population falls outside the limits set out in Article 33(6) of Regulation (EU) No 1303/2013</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The sub-measure has been programmed as per Point 6 of Article 33 of Regulation (EU) No 1303/2013 and is being implemented in areas with 10,000 to 150,000 inhabitants.</w:t>
            </w:r>
          </w:p>
          <w:p w:rsidR="00C21266" w:rsidRPr="005C3B55" w:rsidRDefault="00C21266">
            <w:pPr>
              <w:pStyle w:val="Telobesedila"/>
              <w:rPr>
                <w:lang w:eastAsia="en-GB" w:bidi="en-GB"/>
              </w:rPr>
            </w:pPr>
          </w:p>
        </w:tc>
      </w:tr>
    </w:tbl>
    <w:p w:rsidR="00C21266" w:rsidRPr="005C3B55" w:rsidRDefault="00C21266" w:rsidP="00C21266">
      <w:pPr>
        <w:rPr>
          <w:rFonts w:eastAsia="Calibri"/>
          <w:szCs w:val="22"/>
          <w:lang w:eastAsia="en-GB" w:bidi="en-GB"/>
        </w:rPr>
      </w:pPr>
      <w:r w:rsidRPr="005C3B55">
        <w:t>Co-ordination with the other ESI-Funds as regards CLLD, including possible solutions applied with regard to the use of the lead fund option, and any global complementarities between the ESI-Funds in financing the preparatory support</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For the implementation of the joint CLLD approach, the CLLD Coordination Committee will be established, whose tasks will be, inter alia, harmonisation, the search for synergies and delimitation of funds. A mechanism which enables data exchange between different bodies which will implement various types of measures will be established. The exchange of information and coordination will be implemented through an individual MA for a relevant fund; the National Rural Network will perform tasks of informing for the EAFRD fund.</w:t>
            </w:r>
          </w:p>
          <w:p w:rsidR="00C21266" w:rsidRPr="005C3B55" w:rsidRDefault="00C21266">
            <w:pPr>
              <w:spacing w:before="240" w:after="240"/>
              <w:rPr>
                <w:szCs w:val="24"/>
              </w:rPr>
            </w:pPr>
            <w:r w:rsidRPr="005C3B55">
              <w:t>Common provisions and rule related to eligible costs will be prepared for all three funds included.</w:t>
            </w:r>
          </w:p>
          <w:p w:rsidR="00C21266" w:rsidRPr="005C3B55" w:rsidRDefault="00C21266">
            <w:pPr>
              <w:pStyle w:val="Telobesedila"/>
              <w:rPr>
                <w:lang w:eastAsia="en-GB" w:bidi="en-GB"/>
              </w:rPr>
            </w:pPr>
          </w:p>
        </w:tc>
      </w:tr>
    </w:tbl>
    <w:p w:rsidR="00C21266" w:rsidRPr="005C3B55" w:rsidRDefault="00C21266" w:rsidP="00C21266">
      <w:pPr>
        <w:rPr>
          <w:rFonts w:eastAsia="Calibri"/>
          <w:szCs w:val="22"/>
          <w:lang w:eastAsia="en-GB" w:bidi="en-GB"/>
        </w:rPr>
      </w:pPr>
      <w:r w:rsidRPr="005C3B55">
        <w:t>Possibility or not of paying advances</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Not relevant.</w:t>
            </w:r>
          </w:p>
          <w:p w:rsidR="00C21266" w:rsidRPr="005C3B55" w:rsidRDefault="00C21266">
            <w:pPr>
              <w:pStyle w:val="Telobesedila"/>
              <w:rPr>
                <w:lang w:eastAsia="en-GB" w:bidi="en-GB"/>
              </w:rPr>
            </w:pPr>
          </w:p>
        </w:tc>
      </w:tr>
    </w:tbl>
    <w:p w:rsidR="00C21266" w:rsidRPr="005C3B55" w:rsidRDefault="00C21266" w:rsidP="00C21266">
      <w:pPr>
        <w:rPr>
          <w:rFonts w:eastAsia="Calibri"/>
          <w:szCs w:val="22"/>
          <w:lang w:eastAsia="en-GB" w:bidi="en-GB"/>
        </w:rPr>
      </w:pPr>
      <w:r w:rsidRPr="005C3B55">
        <w:t>Definition of the tasks of the Managing Authority, the Paying Agency and the LAGs under LEADER, in particular with regard to non-discriminatory and transparent selection procedures and objective criteria for the selection of operations referred to in Article 34 (3) (b) of Regulation (EU) No 1303/2013</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Description of individual authorities included in the implementation of this sub-measure:</w:t>
            </w:r>
          </w:p>
          <w:p w:rsidR="00C21266" w:rsidRPr="005C3B55" w:rsidRDefault="00C21266">
            <w:pPr>
              <w:spacing w:before="240" w:after="240"/>
              <w:rPr>
                <w:szCs w:val="24"/>
              </w:rPr>
            </w:pPr>
            <w:r w:rsidRPr="005C3B55">
              <w:t xml:space="preserve">The tasks of </w:t>
            </w:r>
            <w:r w:rsidRPr="005C3B55">
              <w:rPr>
                <w:b/>
              </w:rPr>
              <w:t xml:space="preserve">MA </w:t>
            </w:r>
            <w:r w:rsidRPr="005C3B55">
              <w:t>in implementing this sub-measure are to provide recording, maintenance, management and notification of data relating to the implementation of the sub-measure and conduct supervision of the utilisation of costs; control and monitor the operation of individual LAGs; organise educational programmes and workshops for LAGs and verify the fulfilment of conditions for eligibility; approve operations selected by LAGs for co-financing on the basis of public calls for tenders; issue decisions and decrees and register state support and report on its payments.</w:t>
            </w:r>
          </w:p>
          <w:p w:rsidR="00C21266" w:rsidRPr="005C3B55" w:rsidRDefault="00C21266">
            <w:pPr>
              <w:spacing w:before="240" w:after="240"/>
              <w:rPr>
                <w:szCs w:val="24"/>
              </w:rPr>
            </w:pPr>
            <w:r w:rsidRPr="005C3B55">
              <w:t xml:space="preserve">The tasks of the </w:t>
            </w:r>
            <w:r w:rsidRPr="005C3B55">
              <w:rPr>
                <w:b/>
              </w:rPr>
              <w:t xml:space="preserve">Paying Agency </w:t>
            </w:r>
            <w:r w:rsidRPr="005C3B55">
              <w:t>are to conduct administrative controls, in the scope of which it verifies the correctness of claims for payment, submitted evidence and eligibility conditions before the payment of funds. It also verifies the possibility of double financing and the amount of funds already received under state support, performs "in-situ" and on-site controls and oversees the proper payments and recovery of funds. The public support is remitted to the transaction account of the beneficiary after all controls are performed.</w:t>
            </w:r>
          </w:p>
          <w:p w:rsidR="00C21266" w:rsidRPr="005C3B55" w:rsidRDefault="00C21266">
            <w:pPr>
              <w:spacing w:before="240" w:after="240"/>
              <w:rPr>
                <w:szCs w:val="24"/>
              </w:rPr>
            </w:pPr>
            <w:r w:rsidRPr="005C3B55">
              <w:t xml:space="preserve">The tasks of </w:t>
            </w:r>
            <w:r w:rsidRPr="005C3B55">
              <w:rPr>
                <w:b/>
              </w:rPr>
              <w:t>LAGs</w:t>
            </w:r>
            <w:r w:rsidRPr="005C3B55">
              <w:t xml:space="preserve"> are to animate local communities, exchange information, offer support to beneficiaries and oversee the proper attainment of LDS objectives and milestone; announce public appeals for the LDS operation selection and select operations and determine the support intensity and invest the selected operations for MA confirmation; monitor the progress of operations at beneficiaries; preliminarily verify the eligibility of costs accrued due to the implementation of operations and legality of the implemented operations, and enter applications and claims for payment into the IT system and submit them for MA confirmation in accordance with the conditions; and monitor and evaluate individual operations.  The tasks of LAGs are also to perform operations of common interest and ensure that there are no conflict of interest in selecting the operations.</w:t>
            </w:r>
          </w:p>
          <w:p w:rsidR="00C21266" w:rsidRPr="005C3B55" w:rsidRDefault="00C21266">
            <w:pPr>
              <w:spacing w:before="240" w:after="240"/>
              <w:rPr>
                <w:szCs w:val="24"/>
              </w:rPr>
            </w:pPr>
            <w:r w:rsidRPr="005C3B55">
              <w:t>Non-discriminatory and transparent selection procedures, objective criteria for the selection of operations and the prevention of conflicts of interest referred to in Article 34 (3) (b) of Regulation (EU) No 1303/2013 will have to be defined in LDSs and confirmed by all relevant MAs.</w:t>
            </w:r>
          </w:p>
          <w:p w:rsidR="00C21266" w:rsidRPr="005C3B55" w:rsidRDefault="00C21266">
            <w:pPr>
              <w:pStyle w:val="Telobesedila"/>
              <w:rPr>
                <w:lang w:eastAsia="en-GB" w:bidi="en-GB"/>
              </w:rPr>
            </w:pPr>
          </w:p>
        </w:tc>
      </w:tr>
    </w:tbl>
    <w:p w:rsidR="00C21266" w:rsidRPr="005C3B55" w:rsidRDefault="00C21266" w:rsidP="00C21266">
      <w:pPr>
        <w:rPr>
          <w:rFonts w:eastAsia="Calibri"/>
          <w:szCs w:val="22"/>
          <w:lang w:eastAsia="en-GB" w:bidi="en-GB"/>
        </w:rPr>
      </w:pPr>
      <w:r w:rsidRPr="005C3B55">
        <w:t>Description of co-ordination mechanisms foreseen and complementarities ensured with operations supported under other rural development measures especially as regards: investments in non-agricultural activities and business start-up aid under Article 19 of Regulation (EU) No 1305/2013; investments under Article 20 of Regulation (EU) No 1305/2013; and co-operation approaches under Article 35 of Regulation (EU) No 1305/2013, in particular, the implementation of local development strategies by public-private partnerships</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The operations that may be entitled within the framework of so called main measures can also be supported through this sub-measure if they are planned in LDSs and if LAGs recognise them as necessary for the development of the local area. When preparing LDS, the local partnership has to define whether there are needs to implement so-called main measures. If it is determined in the LDS that there are needs to implement so-called main measures, the local partnership has to define in the LDS the added value (e.g. common interest, group of beneficiaries, access of the public to the operation’s results, innovative characteristics of the operation at the local level, availability of the budget, integrated projects) of this operation to be implemented within the LEADER measure and not through a so-called main measure.</w:t>
            </w:r>
          </w:p>
          <w:p w:rsidR="00C21266" w:rsidRPr="005C3B55" w:rsidRDefault="00C21266">
            <w:pPr>
              <w:spacing w:before="240" w:after="240"/>
              <w:rPr>
                <w:szCs w:val="24"/>
              </w:rPr>
            </w:pPr>
            <w:r w:rsidRPr="005C3B55">
              <w:t>Possible duplication/double financing of the same eligible costs will be verified promptly at the level of individual operations. When discussing applications, the MA will verify whether the beneficiaries applied the same operations under other measures of the RDP 2014-2020 or measures financed under other ESI funds. When discussing payment requests, the Paying Agency will verify whether the beneficiaries claimed reimbursement for the same eligible costs also under other measures of the RDP 2014-2020 or measures financed under other ESI funds. Thus, each individual expense will be funded only once.</w:t>
            </w:r>
          </w:p>
          <w:p w:rsidR="00C21266" w:rsidRPr="005C3B55" w:rsidRDefault="00C21266">
            <w:pPr>
              <w:spacing w:before="240" w:after="240"/>
              <w:rPr>
                <w:szCs w:val="24"/>
              </w:rPr>
            </w:pPr>
            <w:r w:rsidRPr="005C3B55">
              <w:t>Synergies between individual funds will occur within the framework of planned and anticipated operations for co-financing, which is the purpose of the joint CLLD approach. The LDSs prepared by local partnerships and also the selection of operations have to pursue EU objectives and are the central point of harmonising different sources of financing.</w:t>
            </w:r>
          </w:p>
          <w:p w:rsidR="00C21266" w:rsidRPr="005C3B55" w:rsidRDefault="00C21266">
            <w:pPr>
              <w:pStyle w:val="Telobesedila"/>
              <w:rPr>
                <w:lang w:eastAsia="en-GB" w:bidi="en-GB"/>
              </w:rPr>
            </w:pPr>
          </w:p>
        </w:tc>
      </w:tr>
    </w:tbl>
    <w:p w:rsidR="00C21266" w:rsidRPr="005C3B55" w:rsidRDefault="00C21266" w:rsidP="00C21266">
      <w:pPr>
        <w:pStyle w:val="Naslov5"/>
        <w:tabs>
          <w:tab w:val="clear" w:pos="765"/>
        </w:tabs>
        <w:ind w:left="0" w:firstLine="0"/>
        <w:rPr>
          <w:b w:val="0"/>
          <w:lang w:val="en-GB" w:eastAsia="en-GB" w:bidi="en-GB"/>
        </w:rPr>
      </w:pPr>
      <w:r w:rsidRPr="005C3B55">
        <w:rPr>
          <w:b w:val="0"/>
          <w:lang w:val="en-GB"/>
        </w:rPr>
        <w:br w:type="page"/>
        <w:t>Support for running costs and animation</w:t>
      </w:r>
    </w:p>
    <w:p w:rsidR="00C21266" w:rsidRPr="005C3B55" w:rsidRDefault="00C21266" w:rsidP="00C21266">
      <w:r w:rsidRPr="005C3B55">
        <w:t xml:space="preserve">Sub-measure: </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numPr>
                <w:ilvl w:val="0"/>
                <w:numId w:val="1004"/>
              </w:numPr>
              <w:rPr>
                <w:rFonts w:eastAsia="Calibri"/>
                <w:lang w:eastAsia="en-GB" w:bidi="en-GB"/>
              </w:rPr>
            </w:pPr>
            <w:r w:rsidRPr="005C3B55">
              <w:t>19.4 – Support for running costs and animation</w:t>
            </w:r>
          </w:p>
        </w:tc>
      </w:tr>
    </w:tbl>
    <w:p w:rsidR="00C21266" w:rsidRPr="005C3B55" w:rsidRDefault="00C21266" w:rsidP="00C21266">
      <w:pPr>
        <w:pStyle w:val="Naslov6"/>
        <w:tabs>
          <w:tab w:val="clear" w:pos="765"/>
        </w:tabs>
        <w:ind w:left="0" w:firstLine="0"/>
        <w:rPr>
          <w:lang w:val="en-GB" w:eastAsia="en-GB" w:bidi="en-GB"/>
        </w:rPr>
      </w:pPr>
      <w:r w:rsidRPr="005C3B55">
        <w:rPr>
          <w:lang w:val="en-GB"/>
        </w:rPr>
        <w:t>Description of type of operation</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The support from this sub-measure is dedicated to co-financing costs incurred during the management and operation of LAGs, including monitoring and assessing LDSs.</w:t>
            </w:r>
          </w:p>
          <w:p w:rsidR="00C21266" w:rsidRPr="005C3B55" w:rsidRDefault="00C21266">
            <w:pPr>
              <w:spacing w:before="240" w:after="240"/>
              <w:rPr>
                <w:szCs w:val="24"/>
              </w:rPr>
            </w:pPr>
            <w:r w:rsidRPr="005C3B55">
              <w:t>The support is also intended for the animation of the LAG area and aid to potential beneficiaries for the development of ideas and preparation of operations.</w:t>
            </w:r>
          </w:p>
          <w:p w:rsidR="00C21266" w:rsidRPr="005C3B55" w:rsidRDefault="00C21266">
            <w:pPr>
              <w:spacing w:before="240" w:after="240"/>
              <w:rPr>
                <w:szCs w:val="24"/>
              </w:rPr>
            </w:pPr>
            <w:r w:rsidRPr="005C3B55">
              <w:t>A lead fund for financing running and animation costs will be determined. The lead fund for financing running and animation costs will be determined in the area of individual LAGs. The lead fund will be the fund whose financial contribution is highest on the basis of the financial framework as per individual LAG area.</w:t>
            </w:r>
          </w:p>
          <w:p w:rsidR="00C21266" w:rsidRPr="005C3B55" w:rsidRDefault="00C21266">
            <w:pPr>
              <w:spacing w:before="240" w:after="240"/>
              <w:rPr>
                <w:szCs w:val="24"/>
              </w:rPr>
            </w:pPr>
            <w:r w:rsidRPr="005C3B55">
              <w:t>For the purpose of implementing this sub-measure, LAGs have to submit requests for payment. A LAG can submit a maximum of three requests per year.</w:t>
            </w:r>
          </w:p>
          <w:p w:rsidR="00C21266" w:rsidRPr="005C3B55" w:rsidRDefault="00C21266">
            <w:pPr>
              <w:pStyle w:val="Telobesedila"/>
              <w:rPr>
                <w:lang w:eastAsia="en-GB" w:bidi="en-GB"/>
              </w:rPr>
            </w:pPr>
          </w:p>
        </w:tc>
      </w:tr>
    </w:tbl>
    <w:p w:rsidR="00C21266" w:rsidRPr="005C3B55" w:rsidRDefault="00C21266" w:rsidP="00C21266">
      <w:pPr>
        <w:pStyle w:val="Naslov6"/>
        <w:tabs>
          <w:tab w:val="clear" w:pos="765"/>
        </w:tabs>
        <w:ind w:left="0" w:firstLine="0"/>
        <w:rPr>
          <w:lang w:val="en-GB" w:eastAsia="en-GB" w:bidi="en-GB"/>
        </w:rPr>
      </w:pPr>
      <w:r w:rsidRPr="005C3B55">
        <w:rPr>
          <w:lang w:val="en-GB"/>
        </w:rPr>
        <w:t>Type of support</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Support is granted in the form of non-refundable financial aid.</w:t>
            </w:r>
          </w:p>
          <w:p w:rsidR="00C21266" w:rsidRPr="005C3B55" w:rsidRDefault="00C21266">
            <w:pPr>
              <w:pStyle w:val="Telobesedila"/>
              <w:rPr>
                <w:lang w:eastAsia="en-GB" w:bidi="en-GB"/>
              </w:rPr>
            </w:pPr>
          </w:p>
        </w:tc>
      </w:tr>
    </w:tbl>
    <w:p w:rsidR="00C21266" w:rsidRPr="005C3B55" w:rsidRDefault="00C21266" w:rsidP="00C21266">
      <w:pPr>
        <w:pStyle w:val="Naslov6"/>
        <w:tabs>
          <w:tab w:val="clear" w:pos="765"/>
        </w:tabs>
        <w:ind w:left="0" w:firstLine="0"/>
        <w:rPr>
          <w:lang w:val="en-GB" w:eastAsia="en-GB" w:bidi="en-GB"/>
        </w:rPr>
      </w:pPr>
      <w:r w:rsidRPr="005C3B55">
        <w:rPr>
          <w:lang w:val="en-GB"/>
        </w:rPr>
        <w:t>Connection with other legislation</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rsidP="006E20B6">
            <w:pPr>
              <w:numPr>
                <w:ilvl w:val="0"/>
                <w:numId w:val="1005"/>
              </w:numPr>
              <w:spacing w:before="0" w:after="0"/>
              <w:ind w:hanging="290"/>
              <w:jc w:val="left"/>
              <w:rPr>
                <w:rFonts w:eastAsia="Calibri"/>
                <w:szCs w:val="24"/>
              </w:rPr>
            </w:pPr>
            <w:r w:rsidRPr="005C3B55">
              <w:t>Agriculture Act (Official Gazette of the Republic of Slovenia, no. 45/2008 with all amendments);</w:t>
            </w:r>
          </w:p>
          <w:p w:rsidR="00C21266" w:rsidRPr="005C3B55" w:rsidRDefault="00C21266" w:rsidP="006E20B6">
            <w:pPr>
              <w:numPr>
                <w:ilvl w:val="0"/>
                <w:numId w:val="1005"/>
              </w:numPr>
              <w:spacing w:before="0" w:after="0"/>
              <w:ind w:hanging="290"/>
              <w:jc w:val="left"/>
              <w:rPr>
                <w:szCs w:val="24"/>
              </w:rPr>
            </w:pPr>
            <w:r w:rsidRPr="005C3B55">
              <w:t>National regulation regulating the implementation of the CLLD approach in the 2014-2020 programming period;</w:t>
            </w:r>
          </w:p>
          <w:p w:rsidR="00C21266" w:rsidRPr="005C3B55" w:rsidRDefault="00C21266" w:rsidP="006E20B6">
            <w:pPr>
              <w:numPr>
                <w:ilvl w:val="0"/>
                <w:numId w:val="1005"/>
              </w:numPr>
              <w:spacing w:before="0" w:after="0"/>
              <w:ind w:hanging="290"/>
              <w:jc w:val="left"/>
              <w:rPr>
                <w:szCs w:val="24"/>
              </w:rPr>
            </w:pPr>
            <w:r w:rsidRPr="005C3B55">
              <w:t>Regulation (EU) No 508/2014;</w:t>
            </w:r>
          </w:p>
          <w:p w:rsidR="00C21266" w:rsidRPr="005C3B55" w:rsidRDefault="00C21266" w:rsidP="006E20B6">
            <w:pPr>
              <w:numPr>
                <w:ilvl w:val="0"/>
                <w:numId w:val="1005"/>
              </w:numPr>
              <w:spacing w:before="0" w:after="0"/>
              <w:ind w:hanging="290"/>
              <w:jc w:val="left"/>
              <w:rPr>
                <w:szCs w:val="24"/>
              </w:rPr>
            </w:pPr>
            <w:r w:rsidRPr="005C3B55">
              <w:t>Decision (EU) No 1303/2013 and other EU regulations determining the implementation of the joint CLLD approach. In view of the eligibility of expenditures, the general provisions of Decision (EU) No 1303/2013 (Articles from 65 up to and including 71) and</w:t>
            </w:r>
          </w:p>
          <w:p w:rsidR="00C21266" w:rsidRPr="005C3B55" w:rsidRDefault="00C21266" w:rsidP="006E20B6">
            <w:pPr>
              <w:numPr>
                <w:ilvl w:val="0"/>
                <w:numId w:val="1005"/>
              </w:numPr>
              <w:spacing w:before="0" w:after="240"/>
              <w:ind w:hanging="290"/>
              <w:jc w:val="left"/>
              <w:rPr>
                <w:szCs w:val="24"/>
              </w:rPr>
            </w:pPr>
            <w:r w:rsidRPr="005C3B55">
              <w:t>other EU and national legislation on the field of this operation.</w:t>
            </w:r>
          </w:p>
          <w:p w:rsidR="00C21266" w:rsidRPr="005C3B55" w:rsidRDefault="00C21266">
            <w:pPr>
              <w:pStyle w:val="Telobesedila"/>
              <w:rPr>
                <w:lang w:eastAsia="en-GB" w:bidi="en-GB"/>
              </w:rPr>
            </w:pPr>
          </w:p>
        </w:tc>
      </w:tr>
    </w:tbl>
    <w:p w:rsidR="00C21266" w:rsidRPr="005C3B55" w:rsidRDefault="00C21266" w:rsidP="00C21266">
      <w:pPr>
        <w:pStyle w:val="Naslov6"/>
        <w:tabs>
          <w:tab w:val="clear" w:pos="765"/>
        </w:tabs>
        <w:ind w:left="0" w:firstLine="0"/>
        <w:rPr>
          <w:lang w:val="en-GB" w:eastAsia="en-GB" w:bidi="en-GB"/>
        </w:rPr>
      </w:pPr>
      <w:r w:rsidRPr="005C3B55">
        <w:rPr>
          <w:lang w:val="en-GB"/>
        </w:rPr>
        <w:t>Beneficiaries</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The beneficiaries eligible for support are LAGs which receive a decision on LAG and LDS confirmation.</w:t>
            </w:r>
          </w:p>
          <w:p w:rsidR="00C21266" w:rsidRPr="005C3B55" w:rsidRDefault="00C21266">
            <w:pPr>
              <w:pStyle w:val="Telobesedila"/>
              <w:rPr>
                <w:lang w:eastAsia="en-GB" w:bidi="en-GB"/>
              </w:rPr>
            </w:pPr>
          </w:p>
        </w:tc>
      </w:tr>
    </w:tbl>
    <w:p w:rsidR="00C21266" w:rsidRPr="005C3B55" w:rsidRDefault="00C21266" w:rsidP="00C21266">
      <w:pPr>
        <w:pStyle w:val="Naslov6"/>
        <w:tabs>
          <w:tab w:val="clear" w:pos="765"/>
        </w:tabs>
        <w:ind w:left="0" w:firstLine="0"/>
        <w:rPr>
          <w:lang w:val="en-GB" w:eastAsia="en-GB" w:bidi="en-GB"/>
        </w:rPr>
      </w:pPr>
      <w:r w:rsidRPr="005C3B55">
        <w:rPr>
          <w:lang w:val="en-GB"/>
        </w:rPr>
        <w:t>Eligible costs</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The eligible costs within this sub-measure are:</w:t>
            </w:r>
          </w:p>
          <w:p w:rsidR="00C21266" w:rsidRPr="005C3B55" w:rsidRDefault="00C21266">
            <w:pPr>
              <w:spacing w:before="240" w:after="240"/>
              <w:rPr>
                <w:szCs w:val="24"/>
              </w:rPr>
            </w:pPr>
            <w:r w:rsidRPr="005C3B55">
              <w:t>Running costs relating to the implementation of LDS:</w:t>
            </w:r>
          </w:p>
          <w:p w:rsidR="00C21266" w:rsidRPr="005C3B55" w:rsidRDefault="00C21266" w:rsidP="006E20B6">
            <w:pPr>
              <w:numPr>
                <w:ilvl w:val="0"/>
                <w:numId w:val="1006"/>
              </w:numPr>
              <w:spacing w:before="240" w:after="0"/>
              <w:ind w:hanging="290"/>
              <w:jc w:val="left"/>
              <w:rPr>
                <w:szCs w:val="24"/>
              </w:rPr>
            </w:pPr>
            <w:r w:rsidRPr="005C3B55">
              <w:t>operating costs,</w:t>
            </w:r>
          </w:p>
          <w:p w:rsidR="00C21266" w:rsidRPr="005C3B55" w:rsidRDefault="00C21266" w:rsidP="006E20B6">
            <w:pPr>
              <w:numPr>
                <w:ilvl w:val="0"/>
                <w:numId w:val="1006"/>
              </w:numPr>
              <w:spacing w:before="0" w:after="0"/>
              <w:ind w:hanging="290"/>
              <w:jc w:val="left"/>
              <w:rPr>
                <w:szCs w:val="24"/>
              </w:rPr>
            </w:pPr>
            <w:r w:rsidRPr="005C3B55">
              <w:t>costs of staff,</w:t>
            </w:r>
          </w:p>
          <w:p w:rsidR="00C21266" w:rsidRPr="005C3B55" w:rsidRDefault="00C21266" w:rsidP="006E20B6">
            <w:pPr>
              <w:numPr>
                <w:ilvl w:val="0"/>
                <w:numId w:val="1006"/>
              </w:numPr>
              <w:spacing w:before="0" w:after="0"/>
              <w:ind w:hanging="290"/>
              <w:jc w:val="left"/>
              <w:rPr>
                <w:szCs w:val="24"/>
              </w:rPr>
            </w:pPr>
            <w:r w:rsidRPr="005C3B55">
              <w:t>costs of training staff for the needs of managing and operating LAGs,</w:t>
            </w:r>
          </w:p>
          <w:p w:rsidR="00C21266" w:rsidRPr="005C3B55" w:rsidRDefault="00C21266" w:rsidP="006E20B6">
            <w:pPr>
              <w:numPr>
                <w:ilvl w:val="0"/>
                <w:numId w:val="1006"/>
              </w:numPr>
              <w:spacing w:before="0" w:after="0"/>
              <w:ind w:hanging="290"/>
              <w:jc w:val="left"/>
              <w:rPr>
                <w:szCs w:val="24"/>
              </w:rPr>
            </w:pPr>
            <w:r w:rsidRPr="005C3B55">
              <w:t>costs related to public relations and LAG promotion, including the costs of networking,</w:t>
            </w:r>
          </w:p>
          <w:p w:rsidR="00C21266" w:rsidRPr="005C3B55" w:rsidRDefault="00C21266" w:rsidP="006E20B6">
            <w:pPr>
              <w:numPr>
                <w:ilvl w:val="0"/>
                <w:numId w:val="1006"/>
              </w:numPr>
              <w:spacing w:before="0" w:after="0"/>
              <w:ind w:hanging="290"/>
              <w:jc w:val="left"/>
              <w:rPr>
                <w:szCs w:val="24"/>
              </w:rPr>
            </w:pPr>
            <w:r w:rsidRPr="005C3B55">
              <w:t>financial costs and</w:t>
            </w:r>
          </w:p>
          <w:p w:rsidR="00C21266" w:rsidRPr="005C3B55" w:rsidRDefault="00C21266" w:rsidP="006E20B6">
            <w:pPr>
              <w:numPr>
                <w:ilvl w:val="0"/>
                <w:numId w:val="1006"/>
              </w:numPr>
              <w:spacing w:before="0" w:after="240"/>
              <w:ind w:hanging="290"/>
              <w:jc w:val="left"/>
              <w:rPr>
                <w:szCs w:val="24"/>
              </w:rPr>
            </w:pPr>
            <w:r w:rsidRPr="005C3B55">
              <w:t>costs related to monitoring and assessing LDS as defined in Point 3(g) of Article 34 of Regulation (EU) No 1303/2013.</w:t>
            </w:r>
          </w:p>
          <w:p w:rsidR="00C21266" w:rsidRPr="005C3B55" w:rsidRDefault="00C21266">
            <w:pPr>
              <w:spacing w:before="240" w:after="240"/>
              <w:rPr>
                <w:szCs w:val="24"/>
              </w:rPr>
            </w:pPr>
            <w:r w:rsidRPr="005C3B55">
              <w:t>Costs of animating local development:</w:t>
            </w:r>
          </w:p>
          <w:p w:rsidR="00C21266" w:rsidRPr="005C3B55" w:rsidRDefault="00C21266" w:rsidP="006E20B6">
            <w:pPr>
              <w:numPr>
                <w:ilvl w:val="0"/>
                <w:numId w:val="1007"/>
              </w:numPr>
              <w:spacing w:before="240" w:after="0"/>
              <w:ind w:hanging="290"/>
              <w:jc w:val="left"/>
              <w:rPr>
                <w:szCs w:val="24"/>
              </w:rPr>
            </w:pPr>
            <w:r w:rsidRPr="005C3B55">
              <w:t>costs relating to the exchange of information between interested parties and the promotion of LDS and</w:t>
            </w:r>
          </w:p>
          <w:p w:rsidR="00C21266" w:rsidRPr="005C3B55" w:rsidRDefault="00C21266" w:rsidP="006E20B6">
            <w:pPr>
              <w:numPr>
                <w:ilvl w:val="0"/>
                <w:numId w:val="1007"/>
              </w:numPr>
              <w:spacing w:before="0" w:after="240"/>
              <w:ind w:hanging="290"/>
              <w:jc w:val="left"/>
              <w:rPr>
                <w:szCs w:val="24"/>
              </w:rPr>
            </w:pPr>
            <w:r w:rsidRPr="005C3B55">
              <w:t>costs to support potential beneficiaries in order to form and prepare operations and applications.</w:t>
            </w:r>
          </w:p>
          <w:p w:rsidR="00C21266" w:rsidRPr="005C3B55" w:rsidRDefault="00C21266">
            <w:pPr>
              <w:spacing w:before="240" w:after="240"/>
              <w:rPr>
                <w:szCs w:val="24"/>
              </w:rPr>
            </w:pPr>
            <w:r w:rsidRPr="005C3B55">
              <w:t>The aforementioned and recognised values of eligible costs are determined in the catalogue of maximum recognised amounts of costs.</w:t>
            </w:r>
          </w:p>
          <w:p w:rsidR="00C21266" w:rsidRPr="005C3B55" w:rsidRDefault="00C21266">
            <w:pPr>
              <w:spacing w:before="240" w:after="240"/>
              <w:rPr>
                <w:szCs w:val="24"/>
              </w:rPr>
            </w:pPr>
            <w:r w:rsidRPr="005C3B55">
              <w:t>Only the costs incurred after the issuing of the decision on the LAG and LDS confirmation are considered eligible.</w:t>
            </w:r>
          </w:p>
          <w:p w:rsidR="00C21266" w:rsidRPr="005C3B55" w:rsidRDefault="00C21266">
            <w:pPr>
              <w:spacing w:before="240" w:after="240"/>
              <w:rPr>
                <w:szCs w:val="24"/>
              </w:rPr>
            </w:pPr>
            <w:r w:rsidRPr="005C3B55">
              <w:t>The request for payment has to refer to the activities performed.</w:t>
            </w:r>
          </w:p>
          <w:p w:rsidR="00C21266" w:rsidRPr="005C3B55" w:rsidRDefault="00C21266">
            <w:pPr>
              <w:spacing w:before="240" w:after="240"/>
              <w:rPr>
                <w:szCs w:val="24"/>
              </w:rPr>
            </w:pPr>
            <w:r w:rsidRPr="005C3B55">
              <w:t>The following costs are not entitled to support:</w:t>
            </w:r>
          </w:p>
          <w:p w:rsidR="00C21266" w:rsidRPr="005C3B55" w:rsidRDefault="00C21266" w:rsidP="006E20B6">
            <w:pPr>
              <w:numPr>
                <w:ilvl w:val="0"/>
                <w:numId w:val="1008"/>
              </w:numPr>
              <w:spacing w:before="240" w:after="0"/>
              <w:ind w:hanging="290"/>
              <w:jc w:val="left"/>
              <w:rPr>
                <w:szCs w:val="24"/>
              </w:rPr>
            </w:pPr>
            <w:r w:rsidRPr="005C3B55">
              <w:t>costs of material, equipment and services intended for private use,</w:t>
            </w:r>
          </w:p>
          <w:p w:rsidR="00C21266" w:rsidRPr="005C3B55" w:rsidRDefault="00C21266" w:rsidP="006E20B6">
            <w:pPr>
              <w:numPr>
                <w:ilvl w:val="0"/>
                <w:numId w:val="1008"/>
              </w:numPr>
              <w:spacing w:before="0" w:after="0"/>
              <w:ind w:hanging="290"/>
              <w:jc w:val="left"/>
              <w:rPr>
                <w:szCs w:val="24"/>
              </w:rPr>
            </w:pPr>
            <w:r w:rsidRPr="005C3B55">
              <w:t>general administrative costs,</w:t>
            </w:r>
          </w:p>
          <w:p w:rsidR="00C21266" w:rsidRPr="005C3B55" w:rsidRDefault="00C21266" w:rsidP="006E20B6">
            <w:pPr>
              <w:numPr>
                <w:ilvl w:val="0"/>
                <w:numId w:val="1008"/>
              </w:numPr>
              <w:spacing w:before="0" w:after="0"/>
              <w:ind w:hanging="290"/>
              <w:jc w:val="left"/>
              <w:rPr>
                <w:szCs w:val="24"/>
              </w:rPr>
            </w:pPr>
            <w:r w:rsidRPr="005C3B55">
              <w:t>in-kind contribution,</w:t>
            </w:r>
          </w:p>
          <w:p w:rsidR="00C21266" w:rsidRPr="005C3B55" w:rsidRDefault="00C21266" w:rsidP="006E20B6">
            <w:pPr>
              <w:numPr>
                <w:ilvl w:val="0"/>
                <w:numId w:val="1008"/>
              </w:numPr>
              <w:spacing w:before="0" w:after="0"/>
              <w:ind w:hanging="290"/>
              <w:jc w:val="left"/>
              <w:rPr>
                <w:szCs w:val="24"/>
              </w:rPr>
            </w:pPr>
            <w:r w:rsidRPr="005C3B55">
              <w:t>interest on debts,</w:t>
            </w:r>
          </w:p>
          <w:p w:rsidR="00C21266" w:rsidRPr="005C3B55" w:rsidRDefault="00C21266" w:rsidP="006E20B6">
            <w:pPr>
              <w:numPr>
                <w:ilvl w:val="0"/>
                <w:numId w:val="1008"/>
              </w:numPr>
              <w:spacing w:before="0" w:after="0"/>
              <w:ind w:hanging="290"/>
              <w:jc w:val="left"/>
              <w:rPr>
                <w:szCs w:val="24"/>
              </w:rPr>
            </w:pPr>
            <w:r w:rsidRPr="005C3B55">
              <w:t>VAT,</w:t>
            </w:r>
          </w:p>
          <w:p w:rsidR="00C21266" w:rsidRPr="005C3B55" w:rsidRDefault="00C21266" w:rsidP="006E20B6">
            <w:pPr>
              <w:numPr>
                <w:ilvl w:val="0"/>
                <w:numId w:val="1008"/>
              </w:numPr>
              <w:spacing w:before="0" w:after="0"/>
              <w:ind w:hanging="290"/>
              <w:jc w:val="left"/>
              <w:rPr>
                <w:szCs w:val="24"/>
              </w:rPr>
            </w:pPr>
            <w:r w:rsidRPr="005C3B55">
              <w:t>used equipment and machinery,</w:t>
            </w:r>
          </w:p>
          <w:p w:rsidR="00C21266" w:rsidRPr="005C3B55" w:rsidRDefault="00C21266" w:rsidP="006E20B6">
            <w:pPr>
              <w:numPr>
                <w:ilvl w:val="0"/>
                <w:numId w:val="1008"/>
              </w:numPr>
              <w:spacing w:before="0" w:after="0"/>
              <w:ind w:hanging="290"/>
              <w:jc w:val="left"/>
              <w:rPr>
                <w:szCs w:val="24"/>
              </w:rPr>
            </w:pPr>
            <w:r w:rsidRPr="005C3B55">
              <w:t>scholarships and awards,</w:t>
            </w:r>
          </w:p>
          <w:p w:rsidR="00C21266" w:rsidRPr="005C3B55" w:rsidRDefault="00C21266" w:rsidP="006E20B6">
            <w:pPr>
              <w:numPr>
                <w:ilvl w:val="0"/>
                <w:numId w:val="1008"/>
              </w:numPr>
              <w:spacing w:before="0" w:after="0"/>
              <w:ind w:hanging="290"/>
              <w:jc w:val="left"/>
              <w:rPr>
                <w:szCs w:val="24"/>
              </w:rPr>
            </w:pPr>
            <w:r w:rsidRPr="005C3B55">
              <w:t>costs incurred due to the implementation of tasks of public services, and</w:t>
            </w:r>
          </w:p>
          <w:p w:rsidR="00C21266" w:rsidRPr="005C3B55" w:rsidRDefault="00C21266" w:rsidP="006E20B6">
            <w:pPr>
              <w:numPr>
                <w:ilvl w:val="0"/>
                <w:numId w:val="1008"/>
              </w:numPr>
              <w:spacing w:before="0" w:after="240"/>
              <w:ind w:hanging="290"/>
              <w:jc w:val="left"/>
              <w:rPr>
                <w:szCs w:val="24"/>
              </w:rPr>
            </w:pPr>
            <w:r w:rsidRPr="005C3B55">
              <w:t>costs incurred due to activities related to the implementation of the LEADER measures within the 2007-2013 programming period.</w:t>
            </w:r>
          </w:p>
          <w:p w:rsidR="00C21266" w:rsidRPr="005C3B55" w:rsidRDefault="00C21266">
            <w:pPr>
              <w:pStyle w:val="Telobesedila"/>
              <w:rPr>
                <w:lang w:eastAsia="en-GB" w:bidi="en-GB"/>
              </w:rPr>
            </w:pPr>
          </w:p>
        </w:tc>
      </w:tr>
    </w:tbl>
    <w:p w:rsidR="00C21266" w:rsidRPr="005C3B55" w:rsidRDefault="00C21266" w:rsidP="00C21266">
      <w:pPr>
        <w:pStyle w:val="Naslov6"/>
        <w:tabs>
          <w:tab w:val="clear" w:pos="765"/>
        </w:tabs>
        <w:ind w:left="0" w:firstLine="0"/>
        <w:rPr>
          <w:lang w:val="en-GB" w:eastAsia="en-GB" w:bidi="en-GB"/>
        </w:rPr>
      </w:pPr>
      <w:r w:rsidRPr="005C3B55">
        <w:rPr>
          <w:lang w:val="en-GB"/>
        </w:rPr>
        <w:t>Conditions for eligibility</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The activities for which co-financing is being requested have to be eligible for co-financing and implemented.</w:t>
            </w:r>
          </w:p>
          <w:p w:rsidR="00C21266" w:rsidRPr="005C3B55" w:rsidRDefault="00C21266">
            <w:pPr>
              <w:spacing w:before="240" w:after="240"/>
              <w:rPr>
                <w:szCs w:val="24"/>
              </w:rPr>
            </w:pPr>
            <w:r w:rsidRPr="005C3B55">
              <w:t>Running costs and the costs of animation have to be recorded separately and clearly defined.</w:t>
            </w:r>
          </w:p>
          <w:p w:rsidR="00C21266" w:rsidRPr="005C3B55" w:rsidRDefault="00C21266">
            <w:pPr>
              <w:spacing w:before="240" w:after="240"/>
              <w:rPr>
                <w:szCs w:val="24"/>
              </w:rPr>
            </w:pPr>
            <w:r w:rsidRPr="005C3B55">
              <w:t xml:space="preserve">The costs of animation and strengthening capacity within the scope of an individual claim for payment comprises at least 50% of the accrued costs. </w:t>
            </w:r>
          </w:p>
          <w:p w:rsidR="00C21266" w:rsidRPr="005C3B55" w:rsidRDefault="00C21266">
            <w:pPr>
              <w:pStyle w:val="Telobesedila"/>
              <w:rPr>
                <w:lang w:eastAsia="en-GB" w:bidi="en-GB"/>
              </w:rPr>
            </w:pPr>
          </w:p>
        </w:tc>
      </w:tr>
    </w:tbl>
    <w:p w:rsidR="00C21266" w:rsidRPr="005C3B55" w:rsidRDefault="00C21266" w:rsidP="00C21266">
      <w:pPr>
        <w:pStyle w:val="Naslov6"/>
        <w:tabs>
          <w:tab w:val="clear" w:pos="765"/>
        </w:tabs>
        <w:ind w:left="0" w:firstLine="0"/>
        <w:rPr>
          <w:lang w:val="en-GB" w:eastAsia="en-GB" w:bidi="en-GB"/>
        </w:rPr>
      </w:pPr>
      <w:r w:rsidRPr="005C3B55">
        <w:rPr>
          <w:lang w:val="en-GB"/>
        </w:rPr>
        <w:t>Principles regarding the determination of selection criteria</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Is not applicable.</w:t>
            </w:r>
          </w:p>
          <w:p w:rsidR="00C21266" w:rsidRPr="005C3B55" w:rsidRDefault="00C21266">
            <w:pPr>
              <w:pStyle w:val="Telobesedila"/>
              <w:rPr>
                <w:lang w:eastAsia="en-GB" w:bidi="en-GB"/>
              </w:rPr>
            </w:pPr>
          </w:p>
        </w:tc>
      </w:tr>
    </w:tbl>
    <w:p w:rsidR="00C21266" w:rsidRPr="005C3B55" w:rsidRDefault="00C21266" w:rsidP="00C21266">
      <w:pPr>
        <w:pStyle w:val="Naslov6"/>
        <w:tabs>
          <w:tab w:val="clear" w:pos="765"/>
        </w:tabs>
        <w:ind w:left="0" w:firstLine="0"/>
        <w:rPr>
          <w:lang w:val="en-GB" w:eastAsia="en-GB" w:bidi="en-GB"/>
        </w:rPr>
      </w:pPr>
      <w:r w:rsidRPr="005C3B55">
        <w:rPr>
          <w:lang w:val="en-GB"/>
        </w:rPr>
        <w:t>(Valid) amounts and support rates</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For the implementation of this sub-measure, an individual LAG may earmark up to 20% of joint public expenditure incurred for LDS as per the adopted Partnership Agreement. The share of funds each LAG may earmark to implement this sub-measure was defined on the basis of historical data from the 2007-2013 programming period under the implementation of LEADER measures.</w:t>
            </w:r>
          </w:p>
          <w:p w:rsidR="00C21266" w:rsidRPr="005C3B55" w:rsidRDefault="00C21266">
            <w:pPr>
              <w:spacing w:before="240" w:after="240"/>
              <w:rPr>
                <w:szCs w:val="24"/>
              </w:rPr>
            </w:pPr>
            <w:r w:rsidRPr="005C3B55">
              <w:t>The public support rate amounts to 100 per cent of eligible costs.</w:t>
            </w:r>
          </w:p>
          <w:p w:rsidR="00C21266" w:rsidRPr="005C3B55" w:rsidRDefault="00C21266">
            <w:pPr>
              <w:spacing w:before="240" w:after="240"/>
              <w:rPr>
                <w:szCs w:val="24"/>
              </w:rPr>
            </w:pPr>
            <w:r w:rsidRPr="005C3B55">
              <w:t>LAGs may request a lower support rate.</w:t>
            </w:r>
          </w:p>
          <w:p w:rsidR="00C21266" w:rsidRPr="005C3B55" w:rsidRDefault="00C21266">
            <w:pPr>
              <w:spacing w:before="240" w:after="240"/>
              <w:rPr>
                <w:szCs w:val="24"/>
              </w:rPr>
            </w:pPr>
            <w:r w:rsidRPr="005C3B55">
              <w:t>The lowest public support amount of an individual request for payment from this sub-measure is EUR 5,000.</w:t>
            </w:r>
          </w:p>
          <w:p w:rsidR="00C21266" w:rsidRPr="005C3B55" w:rsidRDefault="00C21266">
            <w:pPr>
              <w:pStyle w:val="Telobesedila"/>
              <w:rPr>
                <w:lang w:eastAsia="en-GB" w:bidi="en-GB"/>
              </w:rPr>
            </w:pPr>
          </w:p>
        </w:tc>
      </w:tr>
    </w:tbl>
    <w:p w:rsidR="00C21266" w:rsidRPr="005C3B55" w:rsidRDefault="00C21266" w:rsidP="00C21266">
      <w:pPr>
        <w:pStyle w:val="Naslov6"/>
        <w:tabs>
          <w:tab w:val="clear" w:pos="765"/>
        </w:tabs>
        <w:ind w:left="0" w:firstLine="0"/>
        <w:rPr>
          <w:lang w:val="en-GB" w:eastAsia="en-GB" w:bidi="en-GB"/>
        </w:rPr>
      </w:pPr>
      <w:r w:rsidRPr="005C3B55">
        <w:rPr>
          <w:lang w:val="en-GB"/>
        </w:rPr>
        <w:t>Verifiability and possibility of control of measures and/or type of operations</w:t>
      </w:r>
    </w:p>
    <w:p w:rsidR="00C21266" w:rsidRPr="005C3B55" w:rsidRDefault="00C21266" w:rsidP="00C21266">
      <w:pPr>
        <w:pStyle w:val="Naslov7"/>
        <w:tabs>
          <w:tab w:val="clear" w:pos="765"/>
        </w:tabs>
        <w:ind w:left="0" w:firstLine="0"/>
        <w:rPr>
          <w:lang w:val="en-GB"/>
        </w:rPr>
      </w:pPr>
      <w:r w:rsidRPr="005C3B55">
        <w:rPr>
          <w:lang w:val="en-GB"/>
        </w:rPr>
        <w:t>Risks in the implementation of the measure</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rPr>
                <w:b/>
              </w:rPr>
              <w:t>R1: Application conditions for private beneficiaries</w:t>
            </w:r>
          </w:p>
          <w:p w:rsidR="00C21266" w:rsidRPr="005C3B55" w:rsidRDefault="00C21266">
            <w:pPr>
              <w:spacing w:before="240" w:after="240"/>
              <w:rPr>
                <w:szCs w:val="24"/>
              </w:rPr>
            </w:pPr>
            <w:r w:rsidRPr="005C3B55">
              <w:t>Private entities are not eligible for funds under this sub-measure. Application conditions for private beneficiaries are prepared by LAGs, which will enforce costs incurred during the preparation and implementation of public calls for the selection of operations within this sub-measure. There is a risk that calls will not be comprehensible, available to all potential beneficiaries or published, and that the selection procedure will not be transparent.</w:t>
            </w:r>
          </w:p>
          <w:p w:rsidR="00C21266" w:rsidRPr="005C3B55" w:rsidRDefault="00C21266">
            <w:pPr>
              <w:spacing w:before="240" w:after="240"/>
              <w:rPr>
                <w:szCs w:val="24"/>
              </w:rPr>
            </w:pPr>
            <w:r w:rsidRPr="005C3B55">
              <w:rPr>
                <w:b/>
              </w:rPr>
              <w:t>R2: Reasonableness of costs</w:t>
            </w:r>
          </w:p>
          <w:p w:rsidR="00C21266" w:rsidRPr="005C3B55" w:rsidRDefault="00C21266">
            <w:pPr>
              <w:spacing w:before="240" w:after="240"/>
              <w:rPr>
                <w:szCs w:val="24"/>
              </w:rPr>
            </w:pPr>
            <w:r w:rsidRPr="005C3B55">
              <w:t>There is a risk that unduly high and irrational costs will be claimed. There is also a risk that LAGs will enforce costs which were not incurred as per the implementation of the joint CLLD approach.</w:t>
            </w:r>
          </w:p>
          <w:p w:rsidR="00C21266" w:rsidRPr="005C3B55" w:rsidRDefault="00C21266">
            <w:pPr>
              <w:spacing w:before="240" w:after="240"/>
              <w:rPr>
                <w:szCs w:val="24"/>
              </w:rPr>
            </w:pPr>
            <w:r w:rsidRPr="005C3B55">
              <w:rPr>
                <w:b/>
              </w:rPr>
              <w:t>R3: Suitable overview and control system</w:t>
            </w:r>
          </w:p>
          <w:p w:rsidR="00C21266" w:rsidRPr="005C3B55" w:rsidRDefault="00C21266">
            <w:pPr>
              <w:spacing w:before="240" w:after="240"/>
              <w:rPr>
                <w:szCs w:val="24"/>
              </w:rPr>
            </w:pPr>
            <w:r w:rsidRPr="005C3B55">
              <w:t>There is a risk of double funding, the claiming of ineligible costs, and failure to fulfil obligations. There is also a risk that false data and false statements will be provided and failures to fulfil obligations as defined by the EU and national regulations.</w:t>
            </w:r>
          </w:p>
          <w:p w:rsidR="00C21266" w:rsidRPr="005C3B55" w:rsidRDefault="00C21266">
            <w:pPr>
              <w:spacing w:before="240" w:after="240"/>
              <w:rPr>
                <w:szCs w:val="24"/>
              </w:rPr>
            </w:pPr>
            <w:r w:rsidRPr="005C3B55">
              <w:rPr>
                <w:b/>
              </w:rPr>
              <w:t>R4: Public procurement</w:t>
            </w:r>
          </w:p>
          <w:p w:rsidR="00C21266" w:rsidRPr="005C3B55" w:rsidRDefault="00C21266">
            <w:pPr>
              <w:spacing w:before="240" w:after="240"/>
              <w:rPr>
                <w:szCs w:val="24"/>
              </w:rPr>
            </w:pPr>
            <w:r w:rsidRPr="005C3B55">
              <w:t>There is a risk that regulations and principles governing public procurement will not be observed.</w:t>
            </w:r>
          </w:p>
          <w:p w:rsidR="00C21266" w:rsidRPr="005C3B55" w:rsidRDefault="00C21266">
            <w:pPr>
              <w:spacing w:before="240" w:after="240"/>
              <w:rPr>
                <w:szCs w:val="24"/>
              </w:rPr>
            </w:pPr>
            <w:r w:rsidRPr="005C3B55">
              <w:rPr>
                <w:b/>
              </w:rPr>
              <w:t>R7: Selection of beneficiaries</w:t>
            </w:r>
          </w:p>
          <w:p w:rsidR="00C21266" w:rsidRPr="005C3B55" w:rsidRDefault="00C21266">
            <w:pPr>
              <w:spacing w:before="240" w:after="240"/>
              <w:rPr>
                <w:szCs w:val="24"/>
              </w:rPr>
            </w:pPr>
            <w:r w:rsidRPr="005C3B55">
              <w:t>The beneficiaries of funds within this sub-measure are LAGs. There is a risk that LAGs will not implement procedures for the selection of operations for which they will claim for payment of funds under this sub-measure in a transparent and clear manner and that they will not prevent conflicts of interest to ensure an objective selection of beneficiaries.</w:t>
            </w:r>
          </w:p>
          <w:p w:rsidR="00C21266" w:rsidRPr="005C3B55" w:rsidRDefault="00C21266">
            <w:pPr>
              <w:spacing w:before="240" w:after="240"/>
              <w:rPr>
                <w:szCs w:val="24"/>
              </w:rPr>
            </w:pPr>
            <w:r w:rsidRPr="005C3B55">
              <w:rPr>
                <w:b/>
              </w:rPr>
              <w:t>R8: IT system</w:t>
            </w:r>
          </w:p>
          <w:p w:rsidR="00C21266" w:rsidRPr="005C3B55" w:rsidRDefault="00C21266">
            <w:pPr>
              <w:spacing w:before="240" w:after="240"/>
              <w:rPr>
                <w:szCs w:val="24"/>
              </w:rPr>
            </w:pPr>
            <w:r w:rsidRPr="005C3B55">
              <w:t>There is a risk of an inadequate IT system that is not advanced and does provide sufficient support. Risks may also be posed by disorderly or outdated registers which are the result of incompatible databases.</w:t>
            </w:r>
          </w:p>
          <w:p w:rsidR="00C21266" w:rsidRPr="005C3B55" w:rsidRDefault="00C21266">
            <w:pPr>
              <w:spacing w:before="240" w:after="240"/>
              <w:rPr>
                <w:szCs w:val="24"/>
              </w:rPr>
            </w:pPr>
            <w:r w:rsidRPr="005C3B55">
              <w:rPr>
                <w:b/>
              </w:rPr>
              <w:t>R9: Requests for payment</w:t>
            </w:r>
          </w:p>
          <w:p w:rsidR="00C21266" w:rsidRPr="005C3B55" w:rsidRDefault="00C21266">
            <w:pPr>
              <w:spacing w:before="240" w:after="240"/>
              <w:rPr>
                <w:szCs w:val="24"/>
              </w:rPr>
            </w:pPr>
            <w:r w:rsidRPr="005C3B55">
              <w:t>There is a risk that requests for payment will be insufficient and will include ineligible costs. As a result, there is a risk that the requested amount will exceed the eligible amount calculated on the basis of submitted documents, which presents a risk for application of reductions.</w:t>
            </w:r>
          </w:p>
          <w:p w:rsidR="00C21266" w:rsidRPr="005C3B55" w:rsidRDefault="00C21266">
            <w:pPr>
              <w:pStyle w:val="Telobesedila"/>
              <w:rPr>
                <w:lang w:eastAsia="en-GB" w:bidi="en-GB"/>
              </w:rPr>
            </w:pPr>
          </w:p>
        </w:tc>
      </w:tr>
    </w:tbl>
    <w:p w:rsidR="00C21266" w:rsidRPr="005C3B55" w:rsidRDefault="00C21266" w:rsidP="00C21266">
      <w:pPr>
        <w:pStyle w:val="Naslov7"/>
        <w:tabs>
          <w:tab w:val="clear" w:pos="765"/>
        </w:tabs>
        <w:ind w:left="0" w:firstLine="0"/>
        <w:rPr>
          <w:lang w:val="en-GB" w:eastAsia="en-GB" w:bidi="en-GB"/>
        </w:rPr>
      </w:pPr>
      <w:r w:rsidRPr="005C3B55">
        <w:rPr>
          <w:lang w:val="en-GB"/>
        </w:rPr>
        <w:t>Mitigation measures</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rPr>
                <w:b/>
              </w:rPr>
              <w:t>R1: Application conditions for private beneficiaries</w:t>
            </w:r>
          </w:p>
          <w:p w:rsidR="00C21266" w:rsidRPr="005C3B55" w:rsidRDefault="00C21266">
            <w:pPr>
              <w:spacing w:before="240" w:after="240"/>
              <w:rPr>
                <w:szCs w:val="24"/>
              </w:rPr>
            </w:pPr>
            <w:r w:rsidRPr="005C3B55">
              <w:t>In order to ensure transparency and the equal treatment of private beneficiaries, the MA determines certain joint elements in selection procedures and principles which serve as the basis for criteria for selecting operations. Local partnerships have to define and determine the criteria for selecting operations in LDSs. Local partnerships may define additional special criteria in LDSs. The MA will establish a supervisory system for the operations of LAGs which will also verify procedures relating to the publication of calls and the selection of operations. This will be also verified with the claims for payment earmarked for the implementation of these sub-measures as well as with regular LAG supervision by MA with the purpose of verifying the provision of transparency of procedures.</w:t>
            </w:r>
          </w:p>
          <w:p w:rsidR="00C21266" w:rsidRPr="005C3B55" w:rsidRDefault="00C21266">
            <w:pPr>
              <w:spacing w:before="240" w:after="240"/>
              <w:rPr>
                <w:szCs w:val="24"/>
              </w:rPr>
            </w:pPr>
            <w:r w:rsidRPr="005C3B55">
              <w:rPr>
                <w:b/>
              </w:rPr>
              <w:t>R2: Reasonableness of costs</w:t>
            </w:r>
          </w:p>
          <w:p w:rsidR="00C21266" w:rsidRPr="005C3B55" w:rsidRDefault="00C21266">
            <w:pPr>
              <w:spacing w:before="240" w:after="240"/>
              <w:rPr>
                <w:szCs w:val="24"/>
              </w:rPr>
            </w:pPr>
            <w:r w:rsidRPr="005C3B55">
              <w:t>The MA will prepare a catalogue of maximum recognised amounts which will be considered by LAGs in the implementation of operations and payment claims. Thus, the possibility of unreasonable, irrational and high costs will be prevented. If the catalogue of maximum recognised amounts fails to define an individual eligible cost, the LAG will have to submit three comparable offers.</w:t>
            </w:r>
          </w:p>
          <w:p w:rsidR="00C21266" w:rsidRPr="005C3B55" w:rsidRDefault="00C21266">
            <w:pPr>
              <w:spacing w:before="240" w:after="240"/>
              <w:rPr>
                <w:szCs w:val="24"/>
              </w:rPr>
            </w:pPr>
            <w:r w:rsidRPr="005C3B55">
              <w:rPr>
                <w:b/>
              </w:rPr>
              <w:t>R3: Suitable overview and control system</w:t>
            </w:r>
          </w:p>
          <w:p w:rsidR="00C21266" w:rsidRPr="005C3B55" w:rsidRDefault="00C21266">
            <w:pPr>
              <w:spacing w:before="240" w:after="240"/>
              <w:rPr>
                <w:szCs w:val="24"/>
              </w:rPr>
            </w:pPr>
            <w:r w:rsidRPr="005C3B55">
              <w:t xml:space="preserve">A regular control system will be implemented to control the operations of LAGs. All applications and requests for payment will be submitted in an electronic system and will be administratively reviewed. If necessary, so-called in-situ and on-site controls will be performed. The share of such controls will be determined on the basis of a risk analysis. A sanction system will also be established which will deter the non-fulfilment of obligations. A main fund for co-financing the running costs and animation will be determined in terms of simplifying the implementation of this sub-measure and preventing the management of the same eligible costs within the scope of different funds. </w:t>
            </w:r>
          </w:p>
          <w:p w:rsidR="00C21266" w:rsidRPr="005C3B55" w:rsidRDefault="00C21266">
            <w:pPr>
              <w:spacing w:before="240" w:after="240"/>
              <w:rPr>
                <w:szCs w:val="24"/>
              </w:rPr>
            </w:pPr>
            <w:r w:rsidRPr="005C3B55">
              <w:rPr>
                <w:b/>
              </w:rPr>
              <w:t>R4: Public procurement</w:t>
            </w:r>
          </w:p>
          <w:p w:rsidR="00C21266" w:rsidRPr="005C3B55" w:rsidRDefault="00C21266">
            <w:pPr>
              <w:spacing w:before="240" w:after="240"/>
              <w:rPr>
                <w:szCs w:val="24"/>
              </w:rPr>
            </w:pPr>
            <w:r w:rsidRPr="005C3B55">
              <w:t>The MA will verify the observance of public procurement procedures. The MA will organise training for LAGs and potential beneficiaries, thus reducing the risks of error. Education and training are also envisaged for the MA and the Paying Agency. The emphasis will be on the preparation of bases and manuals on the preparation of documentation and if necessary also the ‘ad hoc’ services of the consultative group, whose task will be to form proposed solutions at the systemic level.</w:t>
            </w:r>
          </w:p>
          <w:p w:rsidR="00C21266" w:rsidRPr="005C3B55" w:rsidRDefault="00C21266">
            <w:pPr>
              <w:spacing w:before="240" w:after="240"/>
              <w:rPr>
                <w:szCs w:val="24"/>
              </w:rPr>
            </w:pPr>
            <w:r w:rsidRPr="005C3B55">
              <w:rPr>
                <w:b/>
              </w:rPr>
              <w:t>R7: Selection of beneficiaries</w:t>
            </w:r>
          </w:p>
          <w:p w:rsidR="00C21266" w:rsidRPr="005C3B55" w:rsidRDefault="00C21266">
            <w:pPr>
              <w:spacing w:before="240" w:after="240"/>
              <w:rPr>
                <w:szCs w:val="24"/>
              </w:rPr>
            </w:pPr>
            <w:r w:rsidRPr="005C3B55">
              <w:t>LAGs will have to establish a transparent procedure that is preset, and with which all potential beneficiaries are familiar. When selecting operations, they will have to observe the principles and rules that have been set within this measure, and will be held financially responsible for any breach of transparency or fair proceedings.</w:t>
            </w:r>
          </w:p>
          <w:p w:rsidR="00C21266" w:rsidRPr="005C3B55" w:rsidRDefault="00C21266">
            <w:pPr>
              <w:spacing w:before="240" w:after="240"/>
              <w:rPr>
                <w:szCs w:val="24"/>
              </w:rPr>
            </w:pPr>
            <w:r w:rsidRPr="005C3B55">
              <w:rPr>
                <w:b/>
              </w:rPr>
              <w:t>R8: IT systems</w:t>
            </w:r>
          </w:p>
          <w:p w:rsidR="00C21266" w:rsidRPr="005C3B55" w:rsidRDefault="00C21266">
            <w:pPr>
              <w:spacing w:before="240" w:after="240"/>
              <w:rPr>
                <w:szCs w:val="24"/>
              </w:rPr>
            </w:pPr>
            <w:r w:rsidRPr="005C3B55">
              <w:t>IT support will be established to enable the electronic submission of applications and claims for payment, thus simplifying the verification of double financing and business operations of associated parties. The system will incorporate different databases, which will enable faster and more precise data verification. If databases are not mutually compatible so that they can be automatically verified within the IT system, verification will be carried out by exchanging data between database media. At the same time the IT system will provide data for the purpose of monitoring the sub-measures.</w:t>
            </w:r>
          </w:p>
          <w:p w:rsidR="00C21266" w:rsidRPr="005C3B55" w:rsidRDefault="00C21266">
            <w:pPr>
              <w:spacing w:before="240" w:after="240"/>
              <w:rPr>
                <w:szCs w:val="24"/>
              </w:rPr>
            </w:pPr>
            <w:r w:rsidRPr="005C3B55">
              <w:rPr>
                <w:b/>
              </w:rPr>
              <w:t>R9: Requests for payment</w:t>
            </w:r>
          </w:p>
          <w:p w:rsidR="00C21266" w:rsidRPr="005C3B55" w:rsidRDefault="00C21266">
            <w:pPr>
              <w:spacing w:before="240" w:after="240"/>
              <w:rPr>
                <w:szCs w:val="24"/>
              </w:rPr>
            </w:pPr>
            <w:r w:rsidRPr="005C3B55">
              <w:t>The eligibility of requests for payment will be verified by the Paying Agency which, in addition to verifying the eligibility of costs, fulfilment of conditions and the suitability of other certificates, will also check the possibility of double financing and perform the in-situ and on-site controls in accordance with the risk analysis. The LAG will be held financially responsible for the legality of business operations and suitability of requests for payment. National regulations will contain a clear definition of liability for the reimbursement of funds in cases of violations and subsequent findings of ineligible payments. In order to ensure reimbursement, the Paying Agency will apply a well-established system of recovery.</w:t>
            </w:r>
          </w:p>
          <w:p w:rsidR="00C21266" w:rsidRPr="005C3B55" w:rsidRDefault="00C21266">
            <w:pPr>
              <w:pStyle w:val="Telobesedila"/>
              <w:rPr>
                <w:lang w:eastAsia="en-GB" w:bidi="en-GB"/>
              </w:rPr>
            </w:pPr>
          </w:p>
        </w:tc>
      </w:tr>
    </w:tbl>
    <w:p w:rsidR="00C21266" w:rsidRPr="005C3B55" w:rsidRDefault="00C21266" w:rsidP="00C21266">
      <w:pPr>
        <w:pStyle w:val="Naslov7"/>
        <w:tabs>
          <w:tab w:val="clear" w:pos="765"/>
        </w:tabs>
        <w:ind w:left="0" w:firstLine="0"/>
        <w:rPr>
          <w:lang w:val="en-GB" w:eastAsia="en-GB" w:bidi="en-GB"/>
        </w:rPr>
      </w:pPr>
      <w:r w:rsidRPr="005C3B55">
        <w:rPr>
          <w:lang w:val="en-GB"/>
        </w:rPr>
        <w:t>General assessment of the measure</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 xml:space="preserve">The sub-measure in the anticipated form is fully feasible and controllable. By determining the main fund for co-financing running costs and animation, the implementation of this sub-measure is simplified and the risk of double financing reduced. The implementation of this sub-measure is necessary because it is intended to co-finance the running costs and animation accrued to LAGs in the course of managing and coordinating the measure and animating the area. </w:t>
            </w:r>
          </w:p>
          <w:p w:rsidR="00C21266" w:rsidRPr="005C3B55" w:rsidRDefault="00C21266">
            <w:pPr>
              <w:pStyle w:val="Telobesedila"/>
              <w:rPr>
                <w:lang w:eastAsia="en-GB" w:bidi="en-GB"/>
              </w:rPr>
            </w:pPr>
          </w:p>
        </w:tc>
      </w:tr>
    </w:tbl>
    <w:p w:rsidR="00C21266" w:rsidRPr="005C3B55" w:rsidRDefault="00C21266" w:rsidP="00C21266">
      <w:pPr>
        <w:pStyle w:val="Naslov6"/>
        <w:tabs>
          <w:tab w:val="clear" w:pos="765"/>
        </w:tabs>
        <w:ind w:left="0" w:firstLine="0"/>
        <w:rPr>
          <w:lang w:val="en-GB" w:eastAsia="en-GB" w:bidi="en-GB"/>
        </w:rPr>
      </w:pPr>
      <w:r w:rsidRPr="005C3B55">
        <w:rPr>
          <w:lang w:val="en-GB"/>
        </w:rPr>
        <w:t>Methodology for calculating support amount, where relevant</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Not relevant.</w:t>
            </w:r>
          </w:p>
          <w:p w:rsidR="00C21266" w:rsidRPr="005C3B55" w:rsidRDefault="00C21266">
            <w:pPr>
              <w:pStyle w:val="Telobesedila"/>
              <w:rPr>
                <w:lang w:eastAsia="en-GB" w:bidi="en-GB"/>
              </w:rPr>
            </w:pPr>
          </w:p>
        </w:tc>
      </w:tr>
    </w:tbl>
    <w:p w:rsidR="00C21266" w:rsidRPr="005C3B55" w:rsidRDefault="00C21266" w:rsidP="00C21266">
      <w:pPr>
        <w:pStyle w:val="Naslov6"/>
        <w:tabs>
          <w:tab w:val="clear" w:pos="765"/>
        </w:tabs>
        <w:ind w:left="0" w:firstLine="0"/>
        <w:rPr>
          <w:lang w:val="en-GB" w:eastAsia="en-GB" w:bidi="en-GB"/>
        </w:rPr>
      </w:pPr>
      <w:r w:rsidRPr="005C3B55">
        <w:rPr>
          <w:lang w:val="en-GB"/>
        </w:rPr>
        <w:t>Information that relates specifically to the operation</w:t>
      </w:r>
    </w:p>
    <w:p w:rsidR="00C21266" w:rsidRPr="005C3B55" w:rsidRDefault="00C21266" w:rsidP="00C21266">
      <w:r w:rsidRPr="005C3B55">
        <w:t>Description of the obligatory Community Led Local Development (hereafter ‘CLLD’) elements of which the LEADER measure is composed: preparatory support; implementation of operations under the CLLD strategy; preparation and implementation of co-operation activities of the Local Action Group (LAG); running costs; and animation referred to in Article 35(1) of Regulation (EU) No 1303/2013</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Not relevant.</w:t>
            </w:r>
          </w:p>
          <w:p w:rsidR="00C21266" w:rsidRPr="005C3B55" w:rsidRDefault="00C21266">
            <w:pPr>
              <w:pStyle w:val="Telobesedila"/>
              <w:rPr>
                <w:lang w:eastAsia="en-GB" w:bidi="en-GB"/>
              </w:rPr>
            </w:pPr>
          </w:p>
        </w:tc>
      </w:tr>
    </w:tbl>
    <w:p w:rsidR="00C21266" w:rsidRPr="005C3B55" w:rsidRDefault="00C21266" w:rsidP="00C21266">
      <w:pPr>
        <w:rPr>
          <w:rFonts w:eastAsia="Calibri"/>
          <w:szCs w:val="22"/>
          <w:lang w:eastAsia="en-GB" w:bidi="en-GB"/>
        </w:rPr>
      </w:pPr>
      <w:r w:rsidRPr="005C3B55">
        <w:t>Description of the use of the LEADER start-up-kit referred to in Article 43 of Regulation (EU) No 1305/2013 as a specific type of preparatory support (if proper)</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Not relevant.</w:t>
            </w:r>
          </w:p>
          <w:p w:rsidR="00C21266" w:rsidRPr="005C3B55" w:rsidRDefault="00C21266">
            <w:pPr>
              <w:pStyle w:val="Telobesedila"/>
              <w:rPr>
                <w:lang w:eastAsia="en-GB" w:bidi="en-GB"/>
              </w:rPr>
            </w:pPr>
          </w:p>
        </w:tc>
      </w:tr>
    </w:tbl>
    <w:p w:rsidR="00C21266" w:rsidRPr="005C3B55" w:rsidRDefault="00C21266" w:rsidP="00C21266">
      <w:pPr>
        <w:rPr>
          <w:rFonts w:eastAsia="Calibri"/>
          <w:szCs w:val="22"/>
          <w:lang w:eastAsia="en-GB" w:bidi="en-GB"/>
        </w:rPr>
      </w:pPr>
      <w:r w:rsidRPr="005C3B55">
        <w:t>Description of the system of running applications for cooperation projects in the scope of the LEADER approach referred to in Article 44 (3) of Regulation (EU) No 1305/2013</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Not relevant.</w:t>
            </w:r>
          </w:p>
          <w:p w:rsidR="00C21266" w:rsidRPr="005C3B55" w:rsidRDefault="00C21266">
            <w:pPr>
              <w:pStyle w:val="Telobesedila"/>
              <w:rPr>
                <w:lang w:eastAsia="en-GB" w:bidi="en-GB"/>
              </w:rPr>
            </w:pPr>
          </w:p>
        </w:tc>
      </w:tr>
    </w:tbl>
    <w:p w:rsidR="00C21266" w:rsidRPr="005C3B55" w:rsidRDefault="00C21266" w:rsidP="00C21266">
      <w:pPr>
        <w:rPr>
          <w:rFonts w:eastAsia="Calibri"/>
          <w:szCs w:val="22"/>
          <w:lang w:eastAsia="en-GB" w:bidi="en-GB"/>
        </w:rPr>
      </w:pPr>
      <w:r w:rsidRPr="005C3B55">
        <w:t>The procedure and timetable to select local development strategies</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Not relevant.</w:t>
            </w:r>
          </w:p>
          <w:p w:rsidR="00C21266" w:rsidRPr="005C3B55" w:rsidRDefault="00C21266">
            <w:pPr>
              <w:pStyle w:val="Telobesedila"/>
              <w:rPr>
                <w:lang w:eastAsia="en-GB" w:bidi="en-GB"/>
              </w:rPr>
            </w:pPr>
          </w:p>
        </w:tc>
      </w:tr>
    </w:tbl>
    <w:p w:rsidR="00C21266" w:rsidRPr="005C3B55" w:rsidRDefault="00C21266" w:rsidP="00C21266">
      <w:pPr>
        <w:rPr>
          <w:rFonts w:eastAsia="Calibri"/>
          <w:szCs w:val="22"/>
          <w:lang w:eastAsia="en-GB" w:bidi="en-GB"/>
        </w:rPr>
      </w:pPr>
      <w:r w:rsidRPr="005C3B55">
        <w:t>Justification for the selection of geographical areas for local development strategy implementation whose population falls outside the limits set out in Article 33(6) of Regulation (EU) No 1303/2013</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The sub-measure has been programmed as per Point 6 of Article 33 of Regulation (EU) No 1303/2013 and is being implemented in areas with 10,000 to 150,000 inhabitants.</w:t>
            </w:r>
          </w:p>
          <w:p w:rsidR="00C21266" w:rsidRPr="005C3B55" w:rsidRDefault="00C21266">
            <w:pPr>
              <w:pStyle w:val="Telobesedila"/>
              <w:rPr>
                <w:lang w:eastAsia="en-GB" w:bidi="en-GB"/>
              </w:rPr>
            </w:pPr>
          </w:p>
        </w:tc>
      </w:tr>
    </w:tbl>
    <w:p w:rsidR="00C21266" w:rsidRPr="005C3B55" w:rsidRDefault="00C21266" w:rsidP="00C21266">
      <w:pPr>
        <w:rPr>
          <w:rFonts w:eastAsia="Calibri"/>
          <w:szCs w:val="22"/>
          <w:lang w:eastAsia="en-GB" w:bidi="en-GB"/>
        </w:rPr>
      </w:pPr>
      <w:r w:rsidRPr="005C3B55">
        <w:t>Co-ordination with the other ESI-Funds as regards CLLD, including possible solutions applied with regard to the use of the lead fund option, and any global complementarities between the ESI-Funds in financing the preparatory support</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A lead fund for co-financing running and animation costs will be determined on the basis of LDS and financial framework. With this approach, we wish to simplify procedures, ensure better transparency and prevent the possibility of double financing.</w:t>
            </w:r>
          </w:p>
          <w:p w:rsidR="00C21266" w:rsidRPr="005C3B55" w:rsidRDefault="00C21266">
            <w:pPr>
              <w:spacing w:before="240" w:after="240"/>
              <w:rPr>
                <w:szCs w:val="24"/>
              </w:rPr>
            </w:pPr>
            <w:r w:rsidRPr="005C3B55">
              <w:t>EAFRD will be the lead fund for financing running and animation costs when the EAFRD contribution is the highest on the basis of the defined financial framework as per individual LAG areas. The task of the lead fund will be to cover all running and animation costs irrespective of whether a LAG implements tasks for ERDF, EMFF or EAFRD. This approach will simplify the implementation of this sub-measure.</w:t>
            </w:r>
          </w:p>
          <w:p w:rsidR="00C21266" w:rsidRPr="005C3B55" w:rsidRDefault="00C21266">
            <w:pPr>
              <w:spacing w:before="240" w:after="240"/>
              <w:rPr>
                <w:szCs w:val="24"/>
              </w:rPr>
            </w:pPr>
            <w:r w:rsidRPr="005C3B55">
              <w:t>The CLLD Coordination Committee will promptly resolve various open issues that may arise within the needs to differentiate between funds.</w:t>
            </w:r>
          </w:p>
          <w:p w:rsidR="00C21266" w:rsidRPr="005C3B55" w:rsidRDefault="00C21266">
            <w:pPr>
              <w:spacing w:before="240" w:after="240"/>
              <w:rPr>
                <w:szCs w:val="24"/>
              </w:rPr>
            </w:pPr>
            <w:r w:rsidRPr="005C3B55">
              <w:t>Common provisions and rule related to eligible costs will be prepared for all three funds included.</w:t>
            </w:r>
          </w:p>
          <w:p w:rsidR="00C21266" w:rsidRPr="005C3B55" w:rsidRDefault="00C21266">
            <w:pPr>
              <w:pStyle w:val="Telobesedila"/>
              <w:rPr>
                <w:lang w:eastAsia="en-GB" w:bidi="en-GB"/>
              </w:rPr>
            </w:pPr>
          </w:p>
        </w:tc>
      </w:tr>
    </w:tbl>
    <w:p w:rsidR="00C21266" w:rsidRPr="005C3B55" w:rsidRDefault="00C21266" w:rsidP="00C21266">
      <w:pPr>
        <w:rPr>
          <w:rFonts w:eastAsia="Calibri"/>
          <w:szCs w:val="22"/>
          <w:lang w:eastAsia="en-GB" w:bidi="en-GB"/>
        </w:rPr>
      </w:pPr>
      <w:r w:rsidRPr="005C3B55">
        <w:t>Possibility or not of paying advances</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As per Point 2 of Article 42 of Regulation (EU) No 1305/2013, LAGs may request advance payments. The amount of the advance payment may be up to 30% of public support value for the implementation of the sub-measure ‘Support for running costs and costs of animation’. The condition for advance payment is the issue of a bank guarantee or equivalent guarantee in the amount of 100% of the amount of the advance payment, as per Article 63 of Regulation (EU) No 1305/2013.</w:t>
            </w:r>
          </w:p>
          <w:p w:rsidR="00C21266" w:rsidRPr="005C3B55" w:rsidRDefault="00C21266">
            <w:pPr>
              <w:pStyle w:val="Telobesedila"/>
              <w:rPr>
                <w:lang w:eastAsia="en-GB" w:bidi="en-GB"/>
              </w:rPr>
            </w:pPr>
          </w:p>
        </w:tc>
      </w:tr>
    </w:tbl>
    <w:p w:rsidR="00C21266" w:rsidRPr="005C3B55" w:rsidRDefault="00C21266" w:rsidP="00C21266">
      <w:pPr>
        <w:rPr>
          <w:rFonts w:eastAsia="Calibri"/>
          <w:szCs w:val="22"/>
          <w:lang w:eastAsia="en-GB" w:bidi="en-GB"/>
        </w:rPr>
      </w:pPr>
      <w:r w:rsidRPr="005C3B55">
        <w:t>Definition of the tasks of the Managing Authority, the Paying Agency and the LAGs under LEADER, in particular with regard to non-discriminatory and transparent selection procedures and objective criteria for the selection of operations referred to in Article 34 (3) (b) of Regulation (EU) No 1303/2013</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Description of individual authorities included in the implementation of this sub-measure:</w:t>
            </w:r>
          </w:p>
          <w:p w:rsidR="00C21266" w:rsidRPr="005C3B55" w:rsidRDefault="00C21266">
            <w:pPr>
              <w:spacing w:before="240" w:after="240"/>
              <w:rPr>
                <w:szCs w:val="24"/>
              </w:rPr>
            </w:pPr>
            <w:r w:rsidRPr="005C3B55">
              <w:t xml:space="preserve">The </w:t>
            </w:r>
            <w:r w:rsidRPr="005C3B55">
              <w:rPr>
                <w:b/>
              </w:rPr>
              <w:t>MA</w:t>
            </w:r>
            <w:r w:rsidRPr="005C3B55">
              <w:t xml:space="preserve"> tasks in the scope of implementing this sub-measure is to provide mitigation, maintenance and dissemination of data relating to the implementation of the sub-measure and conduct control over the utilisation of funds the LAGs may use to implement this measure; confirm the annual plan of LAG activities and also control the operations of individual LAGs; organise educational programmes and workshops; register the state support and report on its payments and establish a regular dialogue with LAGs through the </w:t>
            </w:r>
            <w:r w:rsidRPr="005C3B55">
              <w:rPr>
                <w:b/>
              </w:rPr>
              <w:t>CLLD Coordination Committee</w:t>
            </w:r>
            <w:r w:rsidRPr="005C3B55">
              <w:t xml:space="preserve">. </w:t>
            </w:r>
          </w:p>
          <w:p w:rsidR="00C21266" w:rsidRPr="005C3B55" w:rsidRDefault="00C21266">
            <w:pPr>
              <w:spacing w:before="240" w:after="240"/>
              <w:rPr>
                <w:szCs w:val="24"/>
              </w:rPr>
            </w:pPr>
            <w:r w:rsidRPr="005C3B55">
              <w:t xml:space="preserve">The tasks of the </w:t>
            </w:r>
            <w:r w:rsidRPr="005C3B55">
              <w:rPr>
                <w:b/>
              </w:rPr>
              <w:t>Paying Agency</w:t>
            </w:r>
            <w:r w:rsidRPr="005C3B55">
              <w:t xml:space="preserve"> are to conduct administrative controls of claims for payment, in the scope of which it verifies the correctness of claims for payment, submitted evidence and eligibility conditions before the payment of funds. It also verifies a possibility of double financing and the amount of the already received funds under the national aids. It also performs ‘in-situ’ and on-the-spot controls, and oversees the correct payment and reimbursement of funds. The public support is remitted to the LAGs transaction account of the beneficiary after all controls are performed.</w:t>
            </w:r>
          </w:p>
          <w:p w:rsidR="00C21266" w:rsidRPr="005C3B55" w:rsidRDefault="00C21266">
            <w:pPr>
              <w:spacing w:before="240" w:after="240"/>
              <w:rPr>
                <w:szCs w:val="24"/>
              </w:rPr>
            </w:pPr>
            <w:r w:rsidRPr="005C3B55">
              <w:t>The tasks of LAGs are to implement tasks as per EU legislation and to animate local communities, exchange information, provide support to potential beneficiaries, select operations and determine support intensity, monitor the process of implementing operations, verify the eligibility of costs incurred in relation to the implementation of operations in advance, enter applications and claims for payments in the IT system and submit them to MA or Paying Agency for confirmation in accordance with the conditions, and monitor and assess individual operations.</w:t>
            </w:r>
          </w:p>
          <w:p w:rsidR="00C21266" w:rsidRPr="005C3B55" w:rsidRDefault="00C21266">
            <w:pPr>
              <w:pStyle w:val="Telobesedila"/>
              <w:rPr>
                <w:lang w:eastAsia="en-GB" w:bidi="en-GB"/>
              </w:rPr>
            </w:pPr>
          </w:p>
        </w:tc>
      </w:tr>
    </w:tbl>
    <w:p w:rsidR="00C21266" w:rsidRPr="005C3B55" w:rsidRDefault="00C21266" w:rsidP="00C21266">
      <w:pPr>
        <w:rPr>
          <w:rFonts w:eastAsia="Calibri"/>
          <w:szCs w:val="22"/>
          <w:lang w:eastAsia="en-GB" w:bidi="en-GB"/>
        </w:rPr>
      </w:pPr>
      <w:r w:rsidRPr="005C3B55">
        <w:t>Description of co-ordination mechanisms foreseen and complementarities ensured with operations supported under other rural development measures especially as regards: investments in non-agricultural activities and business start-up aid under Article 19 of Regulation (EU) No 1305/2013; investments under Article 20 of Regulation (EU) No 1305/2013; and co-operation approaches under Article 35 of Regulation (EU) No 1305/2013, in particular, the implementation of local development strategies by public-private partnerships</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Not relevant.</w:t>
            </w:r>
          </w:p>
          <w:p w:rsidR="00C21266" w:rsidRPr="005C3B55" w:rsidRDefault="00C21266">
            <w:pPr>
              <w:pStyle w:val="Telobesedila"/>
              <w:rPr>
                <w:lang w:eastAsia="en-GB" w:bidi="en-GB"/>
              </w:rPr>
            </w:pPr>
          </w:p>
        </w:tc>
      </w:tr>
    </w:tbl>
    <w:p w:rsidR="00C21266" w:rsidRPr="005C3B55" w:rsidRDefault="00C21266" w:rsidP="00C21266">
      <w:pPr>
        <w:pStyle w:val="Naslov5"/>
        <w:tabs>
          <w:tab w:val="clear" w:pos="765"/>
        </w:tabs>
        <w:ind w:left="0" w:firstLine="0"/>
        <w:rPr>
          <w:b w:val="0"/>
          <w:lang w:val="en-GB" w:eastAsia="en-GB" w:bidi="en-GB"/>
        </w:rPr>
      </w:pPr>
      <w:r w:rsidRPr="005C3B55">
        <w:rPr>
          <w:b w:val="0"/>
          <w:lang w:val="en-GB"/>
        </w:rPr>
        <w:br w:type="page"/>
        <w:t>Preparation and implementation of cooperation activities of the local action</w:t>
      </w:r>
    </w:p>
    <w:p w:rsidR="00C21266" w:rsidRPr="005C3B55" w:rsidRDefault="00C21266" w:rsidP="00C21266">
      <w:r w:rsidRPr="005C3B55">
        <w:t xml:space="preserve">Sub-measure: </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numPr>
                <w:ilvl w:val="0"/>
                <w:numId w:val="1009"/>
              </w:numPr>
              <w:rPr>
                <w:rFonts w:eastAsia="Calibri"/>
                <w:lang w:eastAsia="en-GB" w:bidi="en-GB"/>
              </w:rPr>
            </w:pPr>
            <w:r w:rsidRPr="005C3B55">
              <w:t>19.3 – Preparation and implementation of cooperation activities of the local action</w:t>
            </w:r>
          </w:p>
        </w:tc>
      </w:tr>
    </w:tbl>
    <w:p w:rsidR="00C21266" w:rsidRPr="005C3B55" w:rsidRDefault="00C21266" w:rsidP="00C21266">
      <w:pPr>
        <w:pStyle w:val="Naslov6"/>
        <w:tabs>
          <w:tab w:val="clear" w:pos="765"/>
        </w:tabs>
        <w:ind w:left="0" w:firstLine="0"/>
        <w:rPr>
          <w:lang w:val="en-GB" w:eastAsia="en-GB" w:bidi="en-GB"/>
        </w:rPr>
      </w:pPr>
      <w:r w:rsidRPr="005C3B55">
        <w:rPr>
          <w:lang w:val="en-GB"/>
        </w:rPr>
        <w:t>Description of type of operation</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Cooperation between partnerships within the scope of community-led local development is especially important for exchanging and transferring examples of best practice, and for speeding up successfully project ideas.</w:t>
            </w:r>
          </w:p>
          <w:p w:rsidR="00C21266" w:rsidRPr="005C3B55" w:rsidRDefault="00C21266">
            <w:pPr>
              <w:spacing w:before="240" w:after="240"/>
              <w:rPr>
                <w:szCs w:val="24"/>
              </w:rPr>
            </w:pPr>
            <w:r w:rsidRPr="005C3B55">
              <w:t>The purpose of the sub-measure is to co-finance the costs of LAGs for the implementation of individual cooperation activities between LAGs, either within a Member State (interregional cooperation) or in regions of different Member States or regions of third countries (trans-national cooperation).</w:t>
            </w:r>
          </w:p>
          <w:p w:rsidR="00C21266" w:rsidRPr="005C3B55" w:rsidRDefault="00C21266">
            <w:pPr>
              <w:spacing w:before="240" w:after="240"/>
              <w:rPr>
                <w:szCs w:val="24"/>
              </w:rPr>
            </w:pPr>
            <w:r w:rsidRPr="005C3B55">
              <w:t>The sub-measure is intended to resolve specific local problems, transfer examples of best practice between LAGs, and to seek connections and new knowledge. Cooperation operations contribute to the objectives of the RDP 2014–2020 and put special emphasis on the merger of LAGs with the common interest, which generates new ideas and develops new approaches.</w:t>
            </w:r>
          </w:p>
          <w:p w:rsidR="00C21266" w:rsidRPr="005C3B55" w:rsidRDefault="00C21266">
            <w:pPr>
              <w:spacing w:before="240" w:after="240"/>
              <w:rPr>
                <w:szCs w:val="24"/>
              </w:rPr>
            </w:pPr>
            <w:r w:rsidRPr="005C3B55">
              <w:t>Support under Point 1 (c) of Article 35 of Regulation (EU) No 1303/2013 is intended for the implementation of LAGs cooperation operations within a Member State (inter-regional cooperation) and cooperation operations between regions of different Member States or regions of third countries (trans-national cooperation).</w:t>
            </w:r>
          </w:p>
          <w:p w:rsidR="00C21266" w:rsidRPr="005C3B55" w:rsidRDefault="00C21266">
            <w:pPr>
              <w:spacing w:before="240" w:after="240"/>
              <w:rPr>
                <w:szCs w:val="24"/>
              </w:rPr>
            </w:pPr>
            <w:r w:rsidRPr="005C3B55">
              <w:t>Types of eligible operations:</w:t>
            </w:r>
          </w:p>
          <w:p w:rsidR="00C21266" w:rsidRPr="005C3B55" w:rsidRDefault="00C21266" w:rsidP="006E20B6">
            <w:pPr>
              <w:numPr>
                <w:ilvl w:val="0"/>
                <w:numId w:val="1010"/>
              </w:numPr>
              <w:spacing w:before="240" w:after="0"/>
              <w:ind w:hanging="290"/>
              <w:jc w:val="left"/>
              <w:rPr>
                <w:szCs w:val="24"/>
              </w:rPr>
            </w:pPr>
            <w:r w:rsidRPr="005C3B55">
              <w:t>exchange of experience and knowledge, and their implementation in LAG areas;</w:t>
            </w:r>
          </w:p>
          <w:p w:rsidR="00C21266" w:rsidRPr="005C3B55" w:rsidRDefault="00C21266" w:rsidP="006E20B6">
            <w:pPr>
              <w:numPr>
                <w:ilvl w:val="0"/>
                <w:numId w:val="1010"/>
              </w:numPr>
              <w:spacing w:before="0" w:after="0"/>
              <w:ind w:hanging="290"/>
              <w:jc w:val="left"/>
              <w:rPr>
                <w:szCs w:val="24"/>
              </w:rPr>
            </w:pPr>
            <w:r w:rsidRPr="005C3B55">
              <w:t>development and marketing of services and products;</w:t>
            </w:r>
          </w:p>
          <w:p w:rsidR="00C21266" w:rsidRPr="005C3B55" w:rsidRDefault="00C21266" w:rsidP="006E20B6">
            <w:pPr>
              <w:numPr>
                <w:ilvl w:val="0"/>
                <w:numId w:val="1010"/>
              </w:numPr>
              <w:spacing w:before="0" w:after="0"/>
              <w:ind w:hanging="290"/>
              <w:jc w:val="left"/>
              <w:rPr>
                <w:szCs w:val="24"/>
              </w:rPr>
            </w:pPr>
            <w:r w:rsidRPr="005C3B55">
              <w:t>promotion of new products, practices, procedures and technologies;</w:t>
            </w:r>
          </w:p>
          <w:p w:rsidR="00C21266" w:rsidRPr="005C3B55" w:rsidRDefault="00C21266" w:rsidP="006E20B6">
            <w:pPr>
              <w:numPr>
                <w:ilvl w:val="0"/>
                <w:numId w:val="1010"/>
              </w:numPr>
              <w:spacing w:before="0" w:after="0"/>
              <w:ind w:hanging="290"/>
              <w:jc w:val="left"/>
              <w:rPr>
                <w:szCs w:val="24"/>
              </w:rPr>
            </w:pPr>
            <w:r w:rsidRPr="005C3B55">
              <w:t>integration of vulnerable groups;</w:t>
            </w:r>
          </w:p>
          <w:p w:rsidR="00C21266" w:rsidRPr="005C3B55" w:rsidRDefault="00C21266" w:rsidP="006E20B6">
            <w:pPr>
              <w:numPr>
                <w:ilvl w:val="0"/>
                <w:numId w:val="1010"/>
              </w:numPr>
              <w:spacing w:before="0" w:after="0"/>
              <w:ind w:hanging="290"/>
              <w:jc w:val="left"/>
              <w:rPr>
                <w:szCs w:val="24"/>
              </w:rPr>
            </w:pPr>
            <w:r w:rsidRPr="005C3B55">
              <w:t>organisation of joint work processes by exchanging resources and equipment;</w:t>
            </w:r>
          </w:p>
          <w:p w:rsidR="00C21266" w:rsidRPr="005C3B55" w:rsidRDefault="00C21266" w:rsidP="006E20B6">
            <w:pPr>
              <w:numPr>
                <w:ilvl w:val="0"/>
                <w:numId w:val="1010"/>
              </w:numPr>
              <w:spacing w:before="0" w:after="0"/>
              <w:ind w:hanging="290"/>
              <w:jc w:val="left"/>
              <w:rPr>
                <w:szCs w:val="24"/>
              </w:rPr>
            </w:pPr>
            <w:r w:rsidRPr="005C3B55">
              <w:t>formation of short supply chains of food and local markets; and</w:t>
            </w:r>
          </w:p>
          <w:p w:rsidR="00C21266" w:rsidRPr="005C3B55" w:rsidRDefault="00C21266" w:rsidP="006E20B6">
            <w:pPr>
              <w:numPr>
                <w:ilvl w:val="0"/>
                <w:numId w:val="1010"/>
              </w:numPr>
              <w:spacing w:before="0" w:after="240"/>
              <w:ind w:hanging="290"/>
              <w:jc w:val="left"/>
              <w:rPr>
                <w:szCs w:val="24"/>
              </w:rPr>
            </w:pPr>
            <w:r w:rsidRPr="005C3B55">
              <w:t>collective environmental projects.</w:t>
            </w:r>
          </w:p>
          <w:p w:rsidR="00C21266" w:rsidRPr="005C3B55" w:rsidRDefault="00C21266">
            <w:pPr>
              <w:spacing w:before="240" w:after="240"/>
              <w:rPr>
                <w:szCs w:val="24"/>
              </w:rPr>
            </w:pPr>
            <w:r w:rsidRPr="005C3B55">
              <w:t>The applied and approved operations have to pursue the objectives of LDSs, RDP 2014-2020 and contribute to horizontal EU objectives.</w:t>
            </w:r>
          </w:p>
          <w:p w:rsidR="00C21266" w:rsidRPr="005C3B55" w:rsidRDefault="00C21266">
            <w:pPr>
              <w:spacing w:before="240" w:after="240"/>
              <w:rPr>
                <w:szCs w:val="24"/>
              </w:rPr>
            </w:pPr>
            <w:r w:rsidRPr="005C3B55">
              <w:t>The MA prepares a public procurement in which a LAG can participate in cooperation with another LAG in the Republic of Slovenia or with a group of local public-private partners from other EU Member States or third countries.</w:t>
            </w:r>
          </w:p>
          <w:p w:rsidR="00C21266" w:rsidRPr="005C3B55" w:rsidRDefault="00C21266">
            <w:pPr>
              <w:pStyle w:val="Telobesedila"/>
              <w:rPr>
                <w:lang w:eastAsia="en-GB" w:bidi="en-GB"/>
              </w:rPr>
            </w:pPr>
          </w:p>
        </w:tc>
      </w:tr>
    </w:tbl>
    <w:p w:rsidR="00C21266" w:rsidRPr="005C3B55" w:rsidRDefault="00C21266" w:rsidP="00C21266">
      <w:pPr>
        <w:pStyle w:val="Naslov6"/>
        <w:tabs>
          <w:tab w:val="clear" w:pos="765"/>
        </w:tabs>
        <w:ind w:left="0" w:firstLine="0"/>
        <w:rPr>
          <w:lang w:val="en-GB" w:eastAsia="en-GB" w:bidi="en-GB"/>
        </w:rPr>
      </w:pPr>
      <w:r w:rsidRPr="005C3B55">
        <w:rPr>
          <w:lang w:val="en-GB"/>
        </w:rPr>
        <w:t>Type of support</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Support is granted in the form of non-refundable financial aid.</w:t>
            </w:r>
          </w:p>
          <w:p w:rsidR="00C21266" w:rsidRPr="005C3B55" w:rsidRDefault="00C21266">
            <w:pPr>
              <w:pStyle w:val="Telobesedila"/>
              <w:rPr>
                <w:lang w:eastAsia="en-GB" w:bidi="en-GB"/>
              </w:rPr>
            </w:pPr>
          </w:p>
        </w:tc>
      </w:tr>
    </w:tbl>
    <w:p w:rsidR="00C21266" w:rsidRPr="005C3B55" w:rsidRDefault="00C21266" w:rsidP="00C21266">
      <w:pPr>
        <w:pStyle w:val="Naslov6"/>
        <w:tabs>
          <w:tab w:val="clear" w:pos="765"/>
        </w:tabs>
        <w:ind w:left="0" w:firstLine="0"/>
        <w:rPr>
          <w:lang w:val="en-GB" w:eastAsia="en-GB" w:bidi="en-GB"/>
        </w:rPr>
      </w:pPr>
      <w:r w:rsidRPr="005C3B55">
        <w:rPr>
          <w:lang w:val="en-GB"/>
        </w:rPr>
        <w:t>Connection with other legislation</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rsidP="006E20B6">
            <w:pPr>
              <w:numPr>
                <w:ilvl w:val="0"/>
                <w:numId w:val="1011"/>
              </w:numPr>
              <w:spacing w:before="0" w:after="0"/>
              <w:ind w:hanging="290"/>
              <w:jc w:val="left"/>
              <w:rPr>
                <w:rFonts w:eastAsia="Calibri"/>
                <w:szCs w:val="24"/>
              </w:rPr>
            </w:pPr>
            <w:r w:rsidRPr="005C3B55">
              <w:t>Agriculture Act (Official Gazette of the Republic of Slovenia, no. 45/2008 with all amendments);</w:t>
            </w:r>
          </w:p>
          <w:p w:rsidR="00C21266" w:rsidRPr="005C3B55" w:rsidRDefault="00C21266" w:rsidP="006E20B6">
            <w:pPr>
              <w:numPr>
                <w:ilvl w:val="0"/>
                <w:numId w:val="1011"/>
              </w:numPr>
              <w:spacing w:before="0" w:after="0"/>
              <w:ind w:hanging="290"/>
              <w:jc w:val="left"/>
              <w:rPr>
                <w:szCs w:val="24"/>
              </w:rPr>
            </w:pPr>
            <w:r w:rsidRPr="005C3B55">
              <w:t>National regulation regulating the implementation of the CLLD approach in the 2014-2020 programming period;</w:t>
            </w:r>
          </w:p>
          <w:p w:rsidR="00C21266" w:rsidRPr="005C3B55" w:rsidRDefault="00C21266" w:rsidP="006E20B6">
            <w:pPr>
              <w:numPr>
                <w:ilvl w:val="0"/>
                <w:numId w:val="1011"/>
              </w:numPr>
              <w:spacing w:before="0" w:after="0"/>
              <w:ind w:hanging="290"/>
              <w:jc w:val="left"/>
              <w:rPr>
                <w:szCs w:val="24"/>
              </w:rPr>
            </w:pPr>
            <w:r w:rsidRPr="005C3B55">
              <w:t>Regulation (EU) No 1299/2013 of the European Parliament and of the Council;</w:t>
            </w:r>
          </w:p>
          <w:p w:rsidR="00C21266" w:rsidRPr="005C3B55" w:rsidRDefault="00C21266" w:rsidP="006E20B6">
            <w:pPr>
              <w:numPr>
                <w:ilvl w:val="0"/>
                <w:numId w:val="1011"/>
              </w:numPr>
              <w:spacing w:before="0" w:after="0"/>
              <w:ind w:hanging="290"/>
              <w:jc w:val="left"/>
              <w:rPr>
                <w:szCs w:val="24"/>
              </w:rPr>
            </w:pPr>
            <w:r w:rsidRPr="005C3B55">
              <w:t>Decision (EU) No 1303/2013 and other EU regulations determining the implementation of the CLLD approach. In view of the eligibility of expenditures, the general provisions of Decision (EU) No 1303/2013 (Articles from 65 up to and including 71) and</w:t>
            </w:r>
          </w:p>
          <w:p w:rsidR="00C21266" w:rsidRPr="005C3B55" w:rsidRDefault="00C21266" w:rsidP="006E20B6">
            <w:pPr>
              <w:numPr>
                <w:ilvl w:val="0"/>
                <w:numId w:val="1011"/>
              </w:numPr>
              <w:spacing w:before="0" w:after="240"/>
              <w:ind w:hanging="290"/>
              <w:jc w:val="left"/>
              <w:rPr>
                <w:szCs w:val="24"/>
              </w:rPr>
            </w:pPr>
            <w:r w:rsidRPr="005C3B55">
              <w:t>other EU and national legislation on the field of this operation.</w:t>
            </w:r>
          </w:p>
          <w:p w:rsidR="00C21266" w:rsidRPr="005C3B55" w:rsidRDefault="00C21266">
            <w:pPr>
              <w:pStyle w:val="Telobesedila"/>
              <w:rPr>
                <w:lang w:eastAsia="en-GB" w:bidi="en-GB"/>
              </w:rPr>
            </w:pPr>
          </w:p>
        </w:tc>
      </w:tr>
    </w:tbl>
    <w:p w:rsidR="00C21266" w:rsidRPr="005C3B55" w:rsidRDefault="00C21266" w:rsidP="00C21266">
      <w:pPr>
        <w:pStyle w:val="Naslov6"/>
        <w:tabs>
          <w:tab w:val="clear" w:pos="765"/>
        </w:tabs>
        <w:ind w:left="0" w:firstLine="0"/>
        <w:rPr>
          <w:lang w:val="en-GB" w:eastAsia="en-GB" w:bidi="en-GB"/>
        </w:rPr>
      </w:pPr>
      <w:r w:rsidRPr="005C3B55">
        <w:rPr>
          <w:lang w:val="en-GB"/>
        </w:rPr>
        <w:t>Beneficiaries</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The beneficiaries eligible for support are LAGs which receive a decision on LAG and LDS confirmation.</w:t>
            </w:r>
          </w:p>
          <w:p w:rsidR="00C21266" w:rsidRPr="005C3B55" w:rsidRDefault="00C21266">
            <w:pPr>
              <w:pStyle w:val="Telobesedila"/>
              <w:rPr>
                <w:lang w:eastAsia="en-GB" w:bidi="en-GB"/>
              </w:rPr>
            </w:pPr>
          </w:p>
        </w:tc>
      </w:tr>
    </w:tbl>
    <w:p w:rsidR="00C21266" w:rsidRPr="005C3B55" w:rsidRDefault="00C21266" w:rsidP="00C21266">
      <w:pPr>
        <w:pStyle w:val="Naslov6"/>
        <w:tabs>
          <w:tab w:val="clear" w:pos="765"/>
        </w:tabs>
        <w:ind w:left="0" w:firstLine="0"/>
        <w:rPr>
          <w:lang w:val="en-GB" w:eastAsia="en-GB" w:bidi="en-GB"/>
        </w:rPr>
      </w:pPr>
      <w:r w:rsidRPr="005C3B55">
        <w:rPr>
          <w:lang w:val="en-GB"/>
        </w:rPr>
        <w:t>Eligible costs</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Only costs related to joint operations with a clearly identified operation result and benefits for the area are deemed eligible. An operation may also be focused on reinforcing the capacity and exchange of experience regarding the local environment through publications, training seminars, and exchange of personnel if they are aimed at establishing common work methods, and coordinated and joint work on the development of the area.</w:t>
            </w:r>
          </w:p>
          <w:p w:rsidR="00C21266" w:rsidRPr="005C3B55" w:rsidRDefault="00C21266">
            <w:pPr>
              <w:spacing w:before="240" w:after="240"/>
              <w:rPr>
                <w:szCs w:val="24"/>
              </w:rPr>
            </w:pPr>
            <w:r w:rsidRPr="005C3B55">
              <w:t>The costs are recognised in the form of costs of labour, material, investments, services and in-kind contributions pursuant to Article 69 of Regulation (EU) No 1303/2013. A detailed list of eligible costs will be announced within two years from the date of the RDP 2014-2020 approval at the latest.</w:t>
            </w:r>
          </w:p>
          <w:p w:rsidR="00C21266" w:rsidRPr="005C3B55" w:rsidRDefault="00C21266">
            <w:pPr>
              <w:spacing w:before="240" w:after="240"/>
              <w:rPr>
                <w:szCs w:val="24"/>
              </w:rPr>
            </w:pPr>
            <w:r w:rsidRPr="005C3B55">
              <w:t>In the case of investment operations, the provisions of Article 45 of Regulation (EU) No 1305/2013 are observed.</w:t>
            </w:r>
          </w:p>
          <w:p w:rsidR="00C21266" w:rsidRPr="005C3B55" w:rsidRDefault="00C21266">
            <w:pPr>
              <w:spacing w:before="240" w:after="240"/>
              <w:rPr>
                <w:szCs w:val="24"/>
              </w:rPr>
            </w:pPr>
            <w:r w:rsidRPr="005C3B55">
              <w:t>Only the incurred after the decision is issued confirming the implementation of a cooperation operation between LAGs are considered eligible.</w:t>
            </w:r>
          </w:p>
          <w:p w:rsidR="00C21266" w:rsidRPr="005C3B55" w:rsidRDefault="00C21266">
            <w:pPr>
              <w:spacing w:before="240" w:after="240"/>
              <w:rPr>
                <w:szCs w:val="24"/>
              </w:rPr>
            </w:pPr>
            <w:r w:rsidRPr="005C3B55">
              <w:t>The eligibility of costs include the provisions of Article 65 of Regulation (EU) No 1303/2013 and Articles 60 and 61 of Regulation (EU) No 1305/2013.</w:t>
            </w:r>
          </w:p>
          <w:p w:rsidR="00C21266" w:rsidRPr="005C3B55" w:rsidRDefault="00C21266">
            <w:pPr>
              <w:spacing w:before="240" w:after="240"/>
              <w:rPr>
                <w:szCs w:val="24"/>
              </w:rPr>
            </w:pPr>
            <w:r w:rsidRPr="005C3B55">
              <w:t>The aforementioned and recognised values of eligible costs are determined in the catalogue of maximum recognised amounts of costs. The determination of the amount of eligible costs will take into account the upper limits of individual eligible costs, which will be determined in the Catalogue of the highest values of costs. Regardless of this, the LAGs will have to enclose one bid with the application. In the case of costs not determined in the Catalogue of the highest values, the LAGs will have to enclose three bids.</w:t>
            </w:r>
          </w:p>
          <w:p w:rsidR="00C21266" w:rsidRPr="005C3B55" w:rsidRDefault="00C21266">
            <w:pPr>
              <w:spacing w:before="240" w:after="240"/>
              <w:rPr>
                <w:szCs w:val="24"/>
              </w:rPr>
            </w:pPr>
            <w:r w:rsidRPr="005C3B55">
              <w:t>The following costs are not entitled to support:</w:t>
            </w:r>
          </w:p>
          <w:p w:rsidR="00C21266" w:rsidRPr="005C3B55" w:rsidRDefault="00C21266" w:rsidP="006E20B6">
            <w:pPr>
              <w:numPr>
                <w:ilvl w:val="0"/>
                <w:numId w:val="1012"/>
              </w:numPr>
              <w:spacing w:before="240" w:after="0"/>
              <w:ind w:hanging="290"/>
              <w:jc w:val="left"/>
              <w:rPr>
                <w:szCs w:val="24"/>
              </w:rPr>
            </w:pPr>
            <w:r w:rsidRPr="005C3B55">
              <w:t>general administrative costs,</w:t>
            </w:r>
          </w:p>
          <w:p w:rsidR="00C21266" w:rsidRPr="005C3B55" w:rsidRDefault="00C21266" w:rsidP="006E20B6">
            <w:pPr>
              <w:numPr>
                <w:ilvl w:val="0"/>
                <w:numId w:val="1012"/>
              </w:numPr>
              <w:spacing w:before="0" w:after="0"/>
              <w:ind w:hanging="290"/>
              <w:jc w:val="left"/>
              <w:rPr>
                <w:szCs w:val="24"/>
              </w:rPr>
            </w:pPr>
            <w:r w:rsidRPr="005C3B55">
              <w:t>interest on debts,</w:t>
            </w:r>
          </w:p>
          <w:p w:rsidR="00C21266" w:rsidRPr="005C3B55" w:rsidRDefault="00C21266" w:rsidP="006E20B6">
            <w:pPr>
              <w:numPr>
                <w:ilvl w:val="0"/>
                <w:numId w:val="1012"/>
              </w:numPr>
              <w:spacing w:before="0" w:after="0"/>
              <w:ind w:hanging="290"/>
              <w:jc w:val="left"/>
              <w:rPr>
                <w:szCs w:val="24"/>
              </w:rPr>
            </w:pPr>
            <w:r w:rsidRPr="005C3B55">
              <w:t>VAT,</w:t>
            </w:r>
          </w:p>
          <w:p w:rsidR="00C21266" w:rsidRPr="005C3B55" w:rsidRDefault="00C21266" w:rsidP="006E20B6">
            <w:pPr>
              <w:numPr>
                <w:ilvl w:val="0"/>
                <w:numId w:val="1012"/>
              </w:numPr>
              <w:spacing w:before="0" w:after="0"/>
              <w:ind w:hanging="290"/>
              <w:jc w:val="left"/>
              <w:rPr>
                <w:szCs w:val="24"/>
              </w:rPr>
            </w:pPr>
            <w:r w:rsidRPr="005C3B55">
              <w:t>costs of application preparation and claim for payment,</w:t>
            </w:r>
          </w:p>
          <w:p w:rsidR="00C21266" w:rsidRPr="005C3B55" w:rsidRDefault="00C21266" w:rsidP="006E20B6">
            <w:pPr>
              <w:numPr>
                <w:ilvl w:val="0"/>
                <w:numId w:val="1012"/>
              </w:numPr>
              <w:spacing w:before="0" w:after="0"/>
              <w:ind w:hanging="290"/>
              <w:jc w:val="left"/>
              <w:rPr>
                <w:szCs w:val="24"/>
              </w:rPr>
            </w:pPr>
            <w:r w:rsidRPr="005C3B55">
              <w:t>costs of archaeological works and archaeological supervision,</w:t>
            </w:r>
          </w:p>
          <w:p w:rsidR="00C21266" w:rsidRPr="005C3B55" w:rsidRDefault="00C21266" w:rsidP="006E20B6">
            <w:pPr>
              <w:numPr>
                <w:ilvl w:val="0"/>
                <w:numId w:val="1012"/>
              </w:numPr>
              <w:spacing w:before="0" w:after="0"/>
              <w:ind w:hanging="290"/>
              <w:jc w:val="left"/>
              <w:rPr>
                <w:szCs w:val="24"/>
              </w:rPr>
            </w:pPr>
            <w:r w:rsidRPr="005C3B55">
              <w:t>used equipment and machinery,</w:t>
            </w:r>
          </w:p>
          <w:p w:rsidR="00C21266" w:rsidRPr="005C3B55" w:rsidRDefault="00C21266" w:rsidP="006E20B6">
            <w:pPr>
              <w:numPr>
                <w:ilvl w:val="0"/>
                <w:numId w:val="1012"/>
              </w:numPr>
              <w:spacing w:before="0" w:after="0"/>
              <w:ind w:hanging="290"/>
              <w:jc w:val="left"/>
              <w:rPr>
                <w:szCs w:val="24"/>
              </w:rPr>
            </w:pPr>
            <w:r w:rsidRPr="005C3B55">
              <w:t>scholarships and awards,</w:t>
            </w:r>
          </w:p>
          <w:p w:rsidR="00C21266" w:rsidRPr="005C3B55" w:rsidRDefault="00C21266" w:rsidP="006E20B6">
            <w:pPr>
              <w:numPr>
                <w:ilvl w:val="0"/>
                <w:numId w:val="1012"/>
              </w:numPr>
              <w:spacing w:before="0" w:after="0"/>
              <w:ind w:hanging="290"/>
              <w:jc w:val="left"/>
              <w:rPr>
                <w:szCs w:val="24"/>
              </w:rPr>
            </w:pPr>
            <w:r w:rsidRPr="005C3B55">
              <w:t>subscriptions to newspapers and other periodicals,</w:t>
            </w:r>
          </w:p>
          <w:p w:rsidR="00C21266" w:rsidRPr="005C3B55" w:rsidRDefault="00C21266" w:rsidP="006E20B6">
            <w:pPr>
              <w:numPr>
                <w:ilvl w:val="0"/>
                <w:numId w:val="1012"/>
              </w:numPr>
              <w:spacing w:before="0" w:after="0"/>
              <w:ind w:hanging="290"/>
              <w:jc w:val="left"/>
              <w:rPr>
                <w:szCs w:val="24"/>
              </w:rPr>
            </w:pPr>
            <w:r w:rsidRPr="005C3B55">
              <w:t>costs of education and training which are not directly related to the activities of the operation, and</w:t>
            </w:r>
          </w:p>
          <w:p w:rsidR="00C21266" w:rsidRPr="005C3B55" w:rsidRDefault="00C21266" w:rsidP="006E20B6">
            <w:pPr>
              <w:numPr>
                <w:ilvl w:val="0"/>
                <w:numId w:val="1012"/>
              </w:numPr>
              <w:spacing w:before="0" w:after="240"/>
              <w:ind w:hanging="290"/>
              <w:jc w:val="left"/>
              <w:rPr>
                <w:szCs w:val="24"/>
              </w:rPr>
            </w:pPr>
            <w:r w:rsidRPr="005C3B55">
              <w:t>costs of preparing documentation, studies, analyses, assessments, strategies and other similar research which are not directly related to a certain operation.</w:t>
            </w:r>
          </w:p>
          <w:p w:rsidR="00C21266" w:rsidRPr="005C3B55" w:rsidRDefault="00C21266">
            <w:pPr>
              <w:pStyle w:val="Telobesedila"/>
              <w:rPr>
                <w:lang w:eastAsia="en-GB" w:bidi="en-GB"/>
              </w:rPr>
            </w:pPr>
          </w:p>
        </w:tc>
      </w:tr>
    </w:tbl>
    <w:p w:rsidR="00C21266" w:rsidRPr="005C3B55" w:rsidRDefault="00C21266" w:rsidP="00C21266">
      <w:pPr>
        <w:pStyle w:val="Naslov6"/>
        <w:tabs>
          <w:tab w:val="clear" w:pos="765"/>
        </w:tabs>
        <w:ind w:left="0" w:firstLine="0"/>
        <w:rPr>
          <w:lang w:val="en-GB" w:eastAsia="en-GB" w:bidi="en-GB"/>
        </w:rPr>
      </w:pPr>
      <w:r w:rsidRPr="005C3B55">
        <w:rPr>
          <w:lang w:val="en-GB"/>
        </w:rPr>
        <w:t>Conditions for eligibility</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rsidP="006E20B6">
            <w:pPr>
              <w:numPr>
                <w:ilvl w:val="0"/>
                <w:numId w:val="1013"/>
              </w:numPr>
              <w:spacing w:before="0" w:after="0"/>
              <w:ind w:hanging="290"/>
              <w:jc w:val="left"/>
              <w:rPr>
                <w:rFonts w:eastAsia="Calibri"/>
                <w:szCs w:val="24"/>
              </w:rPr>
            </w:pPr>
            <w:r w:rsidRPr="005C3B55">
              <w:t>The operation is in accordance with the PA, RDP 2014–2020 and contributes to the realisation of objectives set in the LDS.</w:t>
            </w:r>
          </w:p>
          <w:p w:rsidR="00C21266" w:rsidRPr="005C3B55" w:rsidRDefault="00C21266" w:rsidP="006E20B6">
            <w:pPr>
              <w:numPr>
                <w:ilvl w:val="0"/>
                <w:numId w:val="1013"/>
              </w:numPr>
              <w:spacing w:before="0" w:after="0"/>
              <w:ind w:hanging="290"/>
              <w:jc w:val="left"/>
              <w:rPr>
                <w:szCs w:val="24"/>
              </w:rPr>
            </w:pPr>
            <w:r w:rsidRPr="005C3B55">
              <w:t>The operation has not commenced prior to the confirmation.</w:t>
            </w:r>
          </w:p>
          <w:p w:rsidR="00C21266" w:rsidRPr="005C3B55" w:rsidRDefault="00C21266" w:rsidP="006E20B6">
            <w:pPr>
              <w:numPr>
                <w:ilvl w:val="0"/>
                <w:numId w:val="1013"/>
              </w:numPr>
              <w:spacing w:before="0" w:after="0"/>
              <w:ind w:hanging="290"/>
              <w:jc w:val="left"/>
              <w:rPr>
                <w:szCs w:val="24"/>
              </w:rPr>
            </w:pPr>
            <w:r w:rsidRPr="005C3B55">
              <w:t>The operation will be conducted in the area of the participating partners as per the provisions of Article 70 of Regulation (EU) No 1303/2014.</w:t>
            </w:r>
          </w:p>
          <w:p w:rsidR="00C21266" w:rsidRPr="005C3B55" w:rsidRDefault="00C21266" w:rsidP="006E20B6">
            <w:pPr>
              <w:numPr>
                <w:ilvl w:val="0"/>
                <w:numId w:val="1013"/>
              </w:numPr>
              <w:spacing w:before="0" w:after="0"/>
              <w:ind w:hanging="290"/>
              <w:jc w:val="left"/>
              <w:rPr>
                <w:szCs w:val="24"/>
              </w:rPr>
            </w:pPr>
            <w:r w:rsidRPr="005C3B55">
              <w:t>The operation must show the closed financial structure for the entire operation, including the break down of costs by partners and purposes.</w:t>
            </w:r>
          </w:p>
          <w:p w:rsidR="00C21266" w:rsidRPr="005C3B55" w:rsidRDefault="00C21266" w:rsidP="006E20B6">
            <w:pPr>
              <w:numPr>
                <w:ilvl w:val="0"/>
                <w:numId w:val="1013"/>
              </w:numPr>
              <w:spacing w:before="0" w:after="0"/>
              <w:ind w:hanging="290"/>
              <w:jc w:val="left"/>
              <w:rPr>
                <w:szCs w:val="24"/>
              </w:rPr>
            </w:pPr>
            <w:r w:rsidRPr="005C3B55">
              <w:t>Eligible costs of individual operations have not yet been financed with other public funds.</w:t>
            </w:r>
          </w:p>
          <w:p w:rsidR="00C21266" w:rsidRPr="005C3B55" w:rsidRDefault="00C21266" w:rsidP="006E20B6">
            <w:pPr>
              <w:numPr>
                <w:ilvl w:val="0"/>
                <w:numId w:val="1013"/>
              </w:numPr>
              <w:spacing w:before="0" w:after="0"/>
              <w:ind w:hanging="290"/>
              <w:jc w:val="left"/>
              <w:rPr>
                <w:szCs w:val="24"/>
              </w:rPr>
            </w:pPr>
            <w:r w:rsidRPr="005C3B55">
              <w:t xml:space="preserve">A contract on cooperation and a clear definition of activities must be signed between the partners cooperating on an operation, with a foreseen financial frame work of an individual partner in the cooperation project. </w:t>
            </w:r>
          </w:p>
          <w:p w:rsidR="00C21266" w:rsidRPr="005C3B55" w:rsidRDefault="00C21266" w:rsidP="006E20B6">
            <w:pPr>
              <w:numPr>
                <w:ilvl w:val="0"/>
                <w:numId w:val="1013"/>
              </w:numPr>
              <w:spacing w:before="0" w:after="0"/>
              <w:ind w:hanging="290"/>
              <w:jc w:val="left"/>
              <w:rPr>
                <w:szCs w:val="24"/>
              </w:rPr>
            </w:pPr>
            <w:r w:rsidRPr="005C3B55">
              <w:t>Partners pursue Point 2 of Article 44 of Regulation (EU) No 1305/2013.</w:t>
            </w:r>
          </w:p>
          <w:p w:rsidR="00C21266" w:rsidRPr="005C3B55" w:rsidRDefault="00C21266" w:rsidP="006E20B6">
            <w:pPr>
              <w:numPr>
                <w:ilvl w:val="0"/>
                <w:numId w:val="1013"/>
              </w:numPr>
              <w:spacing w:before="0" w:after="0"/>
              <w:ind w:hanging="290"/>
              <w:jc w:val="left"/>
              <w:rPr>
                <w:szCs w:val="24"/>
              </w:rPr>
            </w:pPr>
            <w:r w:rsidRPr="005C3B55">
              <w:t>The result of the operation and benefits for the area must be identified. It may also be focused on reinforcing the capacity and exchange of experience regarding local development through publications, training seminars, and exchange of personnel if they are aimed at establishing common working methods, and coordinated and joint work on the development of the area.</w:t>
            </w:r>
          </w:p>
          <w:p w:rsidR="00C21266" w:rsidRPr="005C3B55" w:rsidRDefault="00C21266" w:rsidP="006E20B6">
            <w:pPr>
              <w:numPr>
                <w:ilvl w:val="0"/>
                <w:numId w:val="1013"/>
              </w:numPr>
              <w:spacing w:before="0" w:after="0"/>
              <w:ind w:hanging="290"/>
              <w:jc w:val="left"/>
              <w:rPr>
                <w:szCs w:val="24"/>
              </w:rPr>
            </w:pPr>
            <w:r w:rsidRPr="005C3B55">
              <w:t>If this is an operation which could be implemented within so-called main measures, this has to be anticipated in the LDS; furthermore, the added value of the operation (e.g. common interest, group of beneficiaries, access of the public to the operation’s results, innovative characteristics of the operation at the local level, availability of the budget) has to be justified in order to specify that the operation is being implemented within this sub-measure and not through a so-called main measure.</w:t>
            </w:r>
          </w:p>
          <w:p w:rsidR="00C21266" w:rsidRPr="005C3B55" w:rsidRDefault="00C21266" w:rsidP="006E20B6">
            <w:pPr>
              <w:numPr>
                <w:ilvl w:val="0"/>
                <w:numId w:val="1013"/>
              </w:numPr>
              <w:spacing w:before="0" w:after="0"/>
              <w:ind w:hanging="290"/>
              <w:jc w:val="left"/>
              <w:rPr>
                <w:szCs w:val="24"/>
              </w:rPr>
            </w:pPr>
            <w:r w:rsidRPr="005C3B55">
              <w:t>All necessary permits as defined for the implementation of this operation by the relevant legislation have been issued for the operation.</w:t>
            </w:r>
          </w:p>
          <w:p w:rsidR="00C21266" w:rsidRPr="005C3B55" w:rsidRDefault="00C21266" w:rsidP="006E20B6">
            <w:pPr>
              <w:numPr>
                <w:ilvl w:val="0"/>
                <w:numId w:val="1013"/>
              </w:numPr>
              <w:spacing w:before="0" w:after="240"/>
              <w:ind w:hanging="290"/>
              <w:jc w:val="left"/>
              <w:rPr>
                <w:szCs w:val="24"/>
              </w:rPr>
            </w:pPr>
            <w:r w:rsidRPr="005C3B55">
              <w:t>A beneficiary must conduct an operation within three years from the receipt of decision on the operation approval at the latest.</w:t>
            </w:r>
          </w:p>
          <w:p w:rsidR="00C21266" w:rsidRPr="005C3B55" w:rsidRDefault="00C21266">
            <w:pPr>
              <w:spacing w:before="240" w:after="240"/>
              <w:rPr>
                <w:szCs w:val="24"/>
              </w:rPr>
            </w:pPr>
            <w:r w:rsidRPr="005C3B55">
              <w:t> </w:t>
            </w:r>
          </w:p>
          <w:p w:rsidR="00C21266" w:rsidRPr="005C3B55" w:rsidRDefault="00C21266">
            <w:pPr>
              <w:pStyle w:val="Telobesedila"/>
              <w:rPr>
                <w:lang w:eastAsia="en-GB" w:bidi="en-GB"/>
              </w:rPr>
            </w:pPr>
          </w:p>
        </w:tc>
      </w:tr>
    </w:tbl>
    <w:p w:rsidR="00C21266" w:rsidRPr="005C3B55" w:rsidRDefault="00C21266" w:rsidP="00C21266">
      <w:pPr>
        <w:pStyle w:val="Naslov6"/>
        <w:tabs>
          <w:tab w:val="clear" w:pos="765"/>
        </w:tabs>
        <w:ind w:left="0" w:firstLine="0"/>
        <w:rPr>
          <w:lang w:val="en-GB" w:eastAsia="en-GB" w:bidi="en-GB"/>
        </w:rPr>
      </w:pPr>
      <w:r w:rsidRPr="005C3B55">
        <w:rPr>
          <w:lang w:val="en-GB"/>
        </w:rPr>
        <w:t>Principles regarding the determination of selection criteria</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No later than two years after the confirmation of the RDP 2014-2020, the MA will publish administrative procedures relating to the selection of LAGs cooperation operations. </w:t>
            </w:r>
          </w:p>
          <w:p w:rsidR="00C21266" w:rsidRPr="005C3B55" w:rsidRDefault="00C21266">
            <w:pPr>
              <w:spacing w:before="240" w:after="240"/>
              <w:rPr>
                <w:szCs w:val="24"/>
              </w:rPr>
            </w:pPr>
            <w:r w:rsidRPr="005C3B55">
              <w:t>The sub-measure will be implemented through a public tender according to the system of running applications.</w:t>
            </w:r>
          </w:p>
          <w:p w:rsidR="00C21266" w:rsidRPr="005C3B55" w:rsidRDefault="00C21266">
            <w:pPr>
              <w:spacing w:before="240" w:after="240"/>
              <w:rPr>
                <w:szCs w:val="24"/>
              </w:rPr>
            </w:pPr>
            <w:r w:rsidRPr="005C3B55">
              <w:t>An administrative procedure relating to the selection will be established, which will enable ongoing applications and the selection of operations three to four times a year, which will be enabled by the ongoing application system. The selected operations whose applications are complete and adequate in terms of content and which meet the conditions for receiving funds and exceed the threshold number of points determined in the public tender will be eligible for support. </w:t>
            </w:r>
          </w:p>
          <w:p w:rsidR="00C21266" w:rsidRPr="005C3B55" w:rsidRDefault="00C21266">
            <w:pPr>
              <w:spacing w:before="240" w:after="240"/>
              <w:rPr>
                <w:szCs w:val="24"/>
              </w:rPr>
            </w:pPr>
            <w:r w:rsidRPr="005C3B55">
              <w:t>The following principles will be observed for the selection of operations:</w:t>
            </w:r>
          </w:p>
          <w:p w:rsidR="00C21266" w:rsidRPr="005C3B55" w:rsidRDefault="00C21266" w:rsidP="006E20B6">
            <w:pPr>
              <w:numPr>
                <w:ilvl w:val="0"/>
                <w:numId w:val="1014"/>
              </w:numPr>
              <w:spacing w:before="240" w:after="0"/>
              <w:ind w:hanging="290"/>
              <w:jc w:val="left"/>
              <w:rPr>
                <w:szCs w:val="24"/>
              </w:rPr>
            </w:pPr>
            <w:r w:rsidRPr="005C3B55">
              <w:t>The criteria for the selection of applications will be determined in a way which enables the selection from among applications submitted for the public procurement.</w:t>
            </w:r>
          </w:p>
          <w:p w:rsidR="00C21266" w:rsidRPr="005C3B55" w:rsidRDefault="00C21266" w:rsidP="006E20B6">
            <w:pPr>
              <w:numPr>
                <w:ilvl w:val="0"/>
                <w:numId w:val="1014"/>
              </w:numPr>
              <w:spacing w:before="0" w:after="0"/>
              <w:ind w:hanging="290"/>
              <w:jc w:val="left"/>
              <w:rPr>
                <w:szCs w:val="24"/>
              </w:rPr>
            </w:pPr>
            <w:r w:rsidRPr="005C3B55">
              <w:t>Each selection criterion will be given a certain number of points and the sum of all points given to all criteria for the selection will be the maximum number of points that an application can receive in the public procurement.</w:t>
            </w:r>
          </w:p>
          <w:p w:rsidR="00C21266" w:rsidRPr="005C3B55" w:rsidRDefault="00C21266" w:rsidP="006E20B6">
            <w:pPr>
              <w:numPr>
                <w:ilvl w:val="0"/>
                <w:numId w:val="1014"/>
              </w:numPr>
              <w:spacing w:before="0" w:after="240"/>
              <w:ind w:hanging="290"/>
              <w:jc w:val="left"/>
              <w:rPr>
                <w:szCs w:val="24"/>
              </w:rPr>
            </w:pPr>
            <w:r w:rsidRPr="005C3B55">
              <w:t>Each submitted application will be assessed on the basis of the selection criteria and a minimum threshold of points will be determined which the application has to exceed.</w:t>
            </w:r>
          </w:p>
          <w:p w:rsidR="00C21266" w:rsidRPr="005C3B55" w:rsidRDefault="00C21266">
            <w:pPr>
              <w:spacing w:before="240" w:after="240"/>
              <w:rPr>
                <w:szCs w:val="24"/>
              </w:rPr>
            </w:pPr>
            <w:r w:rsidRPr="005C3B55">
              <w:t>The criteria for the selection will also be based on the following principles:</w:t>
            </w:r>
          </w:p>
          <w:p w:rsidR="00C21266" w:rsidRPr="005C3B55" w:rsidRDefault="00C21266" w:rsidP="006E20B6">
            <w:pPr>
              <w:numPr>
                <w:ilvl w:val="0"/>
                <w:numId w:val="1015"/>
              </w:numPr>
              <w:spacing w:before="240" w:after="0"/>
              <w:ind w:hanging="290"/>
              <w:jc w:val="left"/>
              <w:rPr>
                <w:szCs w:val="24"/>
              </w:rPr>
            </w:pPr>
            <w:r w:rsidRPr="005C3B55">
              <w:t>contribution to attaining the LDS,</w:t>
            </w:r>
          </w:p>
          <w:p w:rsidR="00C21266" w:rsidRPr="005C3B55" w:rsidRDefault="00C21266" w:rsidP="006E20B6">
            <w:pPr>
              <w:numPr>
                <w:ilvl w:val="0"/>
                <w:numId w:val="1015"/>
              </w:numPr>
              <w:spacing w:before="0" w:after="0"/>
              <w:ind w:hanging="290"/>
              <w:jc w:val="left"/>
              <w:rPr>
                <w:szCs w:val="24"/>
              </w:rPr>
            </w:pPr>
            <w:r w:rsidRPr="005C3B55">
              <w:t>contribution to attaining the horizontal objectives,</w:t>
            </w:r>
          </w:p>
          <w:p w:rsidR="00C21266" w:rsidRPr="005C3B55" w:rsidRDefault="00C21266" w:rsidP="006E20B6">
            <w:pPr>
              <w:numPr>
                <w:ilvl w:val="0"/>
                <w:numId w:val="1015"/>
              </w:numPr>
              <w:spacing w:before="0" w:after="0"/>
              <w:ind w:hanging="290"/>
              <w:jc w:val="left"/>
              <w:rPr>
                <w:szCs w:val="24"/>
              </w:rPr>
            </w:pPr>
            <w:r w:rsidRPr="005C3B55">
              <w:t>environmental sustainability,</w:t>
            </w:r>
          </w:p>
          <w:p w:rsidR="00C21266" w:rsidRPr="005C3B55" w:rsidRDefault="00C21266" w:rsidP="006E20B6">
            <w:pPr>
              <w:numPr>
                <w:ilvl w:val="0"/>
                <w:numId w:val="1015"/>
              </w:numPr>
              <w:spacing w:before="0" w:after="0"/>
              <w:ind w:hanging="290"/>
              <w:jc w:val="left"/>
              <w:rPr>
                <w:szCs w:val="24"/>
              </w:rPr>
            </w:pPr>
            <w:r w:rsidRPr="005C3B55">
              <w:t>social sustainability,</w:t>
            </w:r>
          </w:p>
          <w:p w:rsidR="00C21266" w:rsidRPr="005C3B55" w:rsidRDefault="00C21266" w:rsidP="006E20B6">
            <w:pPr>
              <w:numPr>
                <w:ilvl w:val="0"/>
                <w:numId w:val="1015"/>
              </w:numPr>
              <w:spacing w:before="0" w:after="0"/>
              <w:ind w:hanging="290"/>
              <w:jc w:val="left"/>
              <w:rPr>
                <w:szCs w:val="24"/>
              </w:rPr>
            </w:pPr>
            <w:r w:rsidRPr="005C3B55">
              <w:t>inclusion of partners and</w:t>
            </w:r>
          </w:p>
          <w:p w:rsidR="00C21266" w:rsidRPr="005C3B55" w:rsidRDefault="00C21266" w:rsidP="006E20B6">
            <w:pPr>
              <w:numPr>
                <w:ilvl w:val="0"/>
                <w:numId w:val="1015"/>
              </w:numPr>
              <w:spacing w:before="0" w:after="240"/>
              <w:ind w:hanging="290"/>
              <w:jc w:val="left"/>
              <w:rPr>
                <w:szCs w:val="24"/>
              </w:rPr>
            </w:pPr>
            <w:r w:rsidRPr="005C3B55">
              <w:t>impact on the LAG area.</w:t>
            </w:r>
          </w:p>
          <w:p w:rsidR="00C21266" w:rsidRPr="005C3B55" w:rsidRDefault="00C21266">
            <w:pPr>
              <w:spacing w:before="240" w:after="240"/>
              <w:rPr>
                <w:szCs w:val="24"/>
              </w:rPr>
            </w:pPr>
            <w:r w:rsidRPr="005C3B55">
              <w:t>As per Point 1 of Article 49 of Regulation (EU) No 1305/2013, the selection criteria will be defined by the MA after consulting with the Monitoring Committee. The selection criteria will be defined in detail in the national provision and public tender.</w:t>
            </w:r>
          </w:p>
          <w:p w:rsidR="00C21266" w:rsidRPr="005C3B55" w:rsidRDefault="00C21266">
            <w:pPr>
              <w:pStyle w:val="Telobesedila"/>
              <w:rPr>
                <w:lang w:eastAsia="en-GB" w:bidi="en-GB"/>
              </w:rPr>
            </w:pPr>
          </w:p>
        </w:tc>
      </w:tr>
    </w:tbl>
    <w:p w:rsidR="00C21266" w:rsidRPr="005C3B55" w:rsidRDefault="00C21266" w:rsidP="00C21266">
      <w:pPr>
        <w:pStyle w:val="Naslov6"/>
        <w:tabs>
          <w:tab w:val="clear" w:pos="765"/>
        </w:tabs>
        <w:ind w:left="0" w:firstLine="0"/>
        <w:rPr>
          <w:lang w:val="en-GB" w:eastAsia="en-GB" w:bidi="en-GB"/>
        </w:rPr>
      </w:pPr>
      <w:r w:rsidRPr="005C3B55">
        <w:rPr>
          <w:lang w:val="en-GB"/>
        </w:rPr>
        <w:t>(Valid) amounts and support rates</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The public support rate is 85% of the operation’s eligible costs.</w:t>
            </w:r>
          </w:p>
          <w:p w:rsidR="00C21266" w:rsidRPr="005C3B55" w:rsidRDefault="00C21266">
            <w:pPr>
              <w:spacing w:before="240" w:after="240"/>
              <w:rPr>
                <w:szCs w:val="24"/>
              </w:rPr>
            </w:pPr>
            <w:r w:rsidRPr="005C3B55">
              <w:t>The rules on state aid are observed when determining the support rate.</w:t>
            </w:r>
          </w:p>
          <w:p w:rsidR="00C21266" w:rsidRPr="005C3B55" w:rsidRDefault="00C21266">
            <w:pPr>
              <w:spacing w:before="240" w:after="240"/>
              <w:rPr>
                <w:szCs w:val="24"/>
              </w:rPr>
            </w:pPr>
            <w:r w:rsidRPr="005C3B55">
              <w:t>The lowest amount of public support is EUR 5,000. The highest amount of public support per individual LAG is EUR 100,000 for individual operation..</w:t>
            </w:r>
          </w:p>
          <w:p w:rsidR="00C21266" w:rsidRPr="005C3B55" w:rsidRDefault="00C21266">
            <w:pPr>
              <w:spacing w:before="240" w:after="240"/>
              <w:rPr>
                <w:szCs w:val="24"/>
              </w:rPr>
            </w:pPr>
            <w:r w:rsidRPr="005C3B55">
              <w:t>EUR 4,000,000 of public funds are earmarked for the implementation of this sub-measure.</w:t>
            </w:r>
          </w:p>
          <w:p w:rsidR="00C21266" w:rsidRPr="005C3B55" w:rsidRDefault="00C21266">
            <w:pPr>
              <w:pStyle w:val="Telobesedila"/>
              <w:rPr>
                <w:lang w:eastAsia="en-GB" w:bidi="en-GB"/>
              </w:rPr>
            </w:pPr>
          </w:p>
        </w:tc>
      </w:tr>
    </w:tbl>
    <w:p w:rsidR="00C21266" w:rsidRPr="005C3B55" w:rsidRDefault="00C21266" w:rsidP="00C21266">
      <w:pPr>
        <w:pStyle w:val="Naslov6"/>
        <w:tabs>
          <w:tab w:val="clear" w:pos="765"/>
        </w:tabs>
        <w:ind w:left="0" w:firstLine="0"/>
        <w:rPr>
          <w:lang w:val="en-GB" w:eastAsia="en-GB" w:bidi="en-GB"/>
        </w:rPr>
      </w:pPr>
      <w:r w:rsidRPr="005C3B55">
        <w:rPr>
          <w:lang w:val="en-GB"/>
        </w:rPr>
        <w:t>Verifiability and possibility of control of measures and/or type of operations</w:t>
      </w:r>
    </w:p>
    <w:p w:rsidR="00C21266" w:rsidRPr="005C3B55" w:rsidRDefault="00C21266" w:rsidP="00C21266">
      <w:pPr>
        <w:pStyle w:val="Naslov7"/>
        <w:tabs>
          <w:tab w:val="clear" w:pos="765"/>
        </w:tabs>
        <w:ind w:left="0" w:firstLine="0"/>
        <w:rPr>
          <w:lang w:val="en-GB"/>
        </w:rPr>
      </w:pPr>
      <w:r w:rsidRPr="005C3B55">
        <w:rPr>
          <w:lang w:val="en-GB"/>
        </w:rPr>
        <w:t>Risks in the implementation of the measure</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rPr>
                <w:b/>
              </w:rPr>
              <w:t>R1: Application conditions for private beneficiaries</w:t>
            </w:r>
          </w:p>
          <w:p w:rsidR="00C21266" w:rsidRPr="005C3B55" w:rsidRDefault="00C21266">
            <w:pPr>
              <w:spacing w:before="240" w:after="240"/>
              <w:rPr>
                <w:szCs w:val="24"/>
              </w:rPr>
            </w:pPr>
            <w:r w:rsidRPr="005C3B55">
              <w:t>Private entities are not eligible for funds under this sub-measure. There is a risk that LAGs will encounter problems when preparing cooperation operations, that they will not understand application conditions and that they will have problems obtaining suitable permits.</w:t>
            </w:r>
          </w:p>
          <w:p w:rsidR="00C21266" w:rsidRPr="005C3B55" w:rsidRDefault="00C21266">
            <w:pPr>
              <w:spacing w:before="240" w:after="240"/>
              <w:rPr>
                <w:szCs w:val="24"/>
              </w:rPr>
            </w:pPr>
            <w:r w:rsidRPr="005C3B55">
              <w:rPr>
                <w:b/>
              </w:rPr>
              <w:t>R2: Reasonableness of costs</w:t>
            </w:r>
          </w:p>
          <w:p w:rsidR="00C21266" w:rsidRPr="005C3B55" w:rsidRDefault="00C21266">
            <w:pPr>
              <w:spacing w:before="240" w:after="240"/>
              <w:rPr>
                <w:szCs w:val="24"/>
              </w:rPr>
            </w:pPr>
            <w:r w:rsidRPr="005C3B55">
              <w:t>There is a risk that unduly high and irrational costs will be claimed. The enforcement of ineligible costs also poses a risk.</w:t>
            </w:r>
          </w:p>
          <w:p w:rsidR="00C21266" w:rsidRPr="005C3B55" w:rsidRDefault="00C21266">
            <w:pPr>
              <w:spacing w:before="240" w:after="240"/>
              <w:rPr>
                <w:szCs w:val="24"/>
              </w:rPr>
            </w:pPr>
            <w:r w:rsidRPr="005C3B55">
              <w:rPr>
                <w:b/>
              </w:rPr>
              <w:t>R3: Suitable overview and control system</w:t>
            </w:r>
          </w:p>
          <w:p w:rsidR="00C21266" w:rsidRPr="005C3B55" w:rsidRDefault="00C21266">
            <w:pPr>
              <w:spacing w:before="240" w:after="240"/>
              <w:rPr>
                <w:szCs w:val="24"/>
              </w:rPr>
            </w:pPr>
            <w:r w:rsidRPr="005C3B55">
              <w:t>There is a risk of double funding, the claiming of ineligible costs, and failure to fulfil obligations. In addition, there is a risk that LAGs have already received state aid, which means that the upper permissible value for state aid is exceeded. There is also a risk that false data and false statements will be provided.</w:t>
            </w:r>
          </w:p>
          <w:p w:rsidR="00C21266" w:rsidRPr="005C3B55" w:rsidRDefault="00C21266">
            <w:pPr>
              <w:spacing w:before="240" w:after="240"/>
              <w:rPr>
                <w:szCs w:val="24"/>
              </w:rPr>
            </w:pPr>
            <w:r w:rsidRPr="005C3B55">
              <w:rPr>
                <w:b/>
              </w:rPr>
              <w:t xml:space="preserve"> R4: Public procurement</w:t>
            </w:r>
          </w:p>
          <w:p w:rsidR="00C21266" w:rsidRPr="005C3B55" w:rsidRDefault="00C21266">
            <w:pPr>
              <w:spacing w:before="240" w:after="240"/>
              <w:rPr>
                <w:szCs w:val="24"/>
              </w:rPr>
            </w:pPr>
            <w:r w:rsidRPr="005C3B55">
              <w:t>There is a risk that regulations and principles governing public procurement will not be observed.</w:t>
            </w:r>
          </w:p>
          <w:p w:rsidR="00C21266" w:rsidRPr="005C3B55" w:rsidRDefault="00C21266">
            <w:pPr>
              <w:spacing w:before="240" w:after="240"/>
              <w:rPr>
                <w:szCs w:val="24"/>
              </w:rPr>
            </w:pPr>
            <w:r w:rsidRPr="005C3B55">
              <w:rPr>
                <w:b/>
              </w:rPr>
              <w:t>R7: Selection of beneficiaries</w:t>
            </w:r>
          </w:p>
          <w:p w:rsidR="00C21266" w:rsidRPr="005C3B55" w:rsidRDefault="00C21266">
            <w:pPr>
              <w:spacing w:before="240" w:after="240"/>
              <w:rPr>
                <w:szCs w:val="24"/>
              </w:rPr>
            </w:pPr>
            <w:r w:rsidRPr="005C3B55">
              <w:t>There is a risk that LAGs will not prepare complete and adequate applications, which will make the procedures for the selection and confirmation of operations very lengthy.</w:t>
            </w:r>
          </w:p>
          <w:p w:rsidR="00C21266" w:rsidRPr="005C3B55" w:rsidRDefault="00C21266">
            <w:pPr>
              <w:spacing w:before="240" w:after="240"/>
              <w:rPr>
                <w:szCs w:val="24"/>
              </w:rPr>
            </w:pPr>
            <w:r w:rsidRPr="005C3B55">
              <w:rPr>
                <w:b/>
              </w:rPr>
              <w:t>R8: IT system</w:t>
            </w:r>
          </w:p>
          <w:p w:rsidR="00C21266" w:rsidRPr="005C3B55" w:rsidRDefault="00C21266">
            <w:pPr>
              <w:spacing w:before="240" w:after="240"/>
              <w:rPr>
                <w:szCs w:val="24"/>
              </w:rPr>
            </w:pPr>
            <w:r w:rsidRPr="005C3B55">
              <w:t>There is a risk of an inadequate IT system that is not advanced and does provide sufficient support. Risks may also be posed by disorderly or outdated registers which are the result of incompatible databases.</w:t>
            </w:r>
          </w:p>
          <w:p w:rsidR="00C21266" w:rsidRPr="005C3B55" w:rsidRDefault="00C21266">
            <w:pPr>
              <w:spacing w:before="240" w:after="240"/>
              <w:rPr>
                <w:szCs w:val="24"/>
              </w:rPr>
            </w:pPr>
            <w:r w:rsidRPr="005C3B55">
              <w:rPr>
                <w:b/>
              </w:rPr>
              <w:t>R9: Requests for payment</w:t>
            </w:r>
          </w:p>
          <w:p w:rsidR="00C21266" w:rsidRPr="005C3B55" w:rsidRDefault="00C21266">
            <w:pPr>
              <w:spacing w:before="240" w:after="240"/>
              <w:rPr>
                <w:szCs w:val="24"/>
              </w:rPr>
            </w:pPr>
            <w:r w:rsidRPr="005C3B55">
              <w:t>There is a risk that requests for payment will be insufficient and will include ineligible costs. As a result, there is a risk that the requested amount will exceed the eligible amount calculated on the basis of submitted documents, which presents a risk for application of reductions.</w:t>
            </w:r>
          </w:p>
          <w:p w:rsidR="00C21266" w:rsidRPr="005C3B55" w:rsidRDefault="00C21266">
            <w:pPr>
              <w:pStyle w:val="Telobesedila"/>
              <w:rPr>
                <w:lang w:eastAsia="en-GB" w:bidi="en-GB"/>
              </w:rPr>
            </w:pPr>
          </w:p>
        </w:tc>
      </w:tr>
    </w:tbl>
    <w:p w:rsidR="00C21266" w:rsidRPr="005C3B55" w:rsidRDefault="00C21266" w:rsidP="00C21266">
      <w:pPr>
        <w:pStyle w:val="Naslov7"/>
        <w:tabs>
          <w:tab w:val="clear" w:pos="765"/>
        </w:tabs>
        <w:ind w:left="0" w:firstLine="0"/>
        <w:rPr>
          <w:lang w:val="en-GB" w:eastAsia="en-GB" w:bidi="en-GB"/>
        </w:rPr>
      </w:pPr>
      <w:r w:rsidRPr="005C3B55">
        <w:rPr>
          <w:lang w:val="en-GB"/>
        </w:rPr>
        <w:t>Mitigation measures</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rPr>
                <w:b/>
              </w:rPr>
              <w:t>R1: Application conditions for private beneficiaries</w:t>
            </w:r>
            <w:r w:rsidRPr="005C3B55">
              <w:t> </w:t>
            </w:r>
          </w:p>
          <w:p w:rsidR="00C21266" w:rsidRPr="005C3B55" w:rsidRDefault="00C21266">
            <w:pPr>
              <w:spacing w:before="240" w:after="240"/>
              <w:rPr>
                <w:szCs w:val="24"/>
              </w:rPr>
            </w:pPr>
            <w:r w:rsidRPr="005C3B55">
              <w:t>The MA will organise workshops and training aimed at explaining application conditions in detail and thus ensuring a clear understanding of application conditions.</w:t>
            </w:r>
          </w:p>
          <w:p w:rsidR="00C21266" w:rsidRPr="005C3B55" w:rsidRDefault="00C21266">
            <w:pPr>
              <w:spacing w:before="240" w:after="240"/>
              <w:rPr>
                <w:szCs w:val="24"/>
              </w:rPr>
            </w:pPr>
            <w:r w:rsidRPr="005C3B55">
              <w:rPr>
                <w:b/>
              </w:rPr>
              <w:t>R2: Reasonableness of costs</w:t>
            </w:r>
          </w:p>
          <w:p w:rsidR="00C21266" w:rsidRPr="005C3B55" w:rsidRDefault="00C21266">
            <w:pPr>
              <w:spacing w:before="240" w:after="240"/>
              <w:rPr>
                <w:szCs w:val="24"/>
              </w:rPr>
            </w:pPr>
            <w:r w:rsidRPr="005C3B55">
              <w:t>The MA will prepare a catalogue of maximum recognised amounts which will be considered by LAGs in the implementation of operations and payment claims. Thus, the possibility of unreasonable/irrational and high costs will be prevented. If the catalogue of maximum recognised amounts fails to define an individual eligible cost, the LAG will have to submit three comparable offers.</w:t>
            </w:r>
          </w:p>
          <w:p w:rsidR="00C21266" w:rsidRPr="005C3B55" w:rsidRDefault="00C21266">
            <w:pPr>
              <w:spacing w:before="240" w:after="240"/>
              <w:rPr>
                <w:szCs w:val="24"/>
              </w:rPr>
            </w:pPr>
            <w:r w:rsidRPr="005C3B55">
              <w:rPr>
                <w:b/>
              </w:rPr>
              <w:t>R3: Suitable overview and control system</w:t>
            </w:r>
            <w:r w:rsidRPr="005C3B55">
              <w:t> </w:t>
            </w:r>
          </w:p>
          <w:p w:rsidR="00C21266" w:rsidRPr="005C3B55" w:rsidRDefault="00C21266">
            <w:pPr>
              <w:spacing w:before="240" w:after="240"/>
              <w:rPr>
                <w:szCs w:val="24"/>
              </w:rPr>
            </w:pPr>
            <w:r w:rsidRPr="005C3B55">
              <w:t>A regular control system will be implemented to control the activities of the implemented operations. All applications and requests for payment will be submitted in an electronic system and administratively reviewed. If necessary, so-called in-situ and on-site controls will be performed. The share of such controls will be determined on the basis of a risk analysis. To verify the state aid already received, a system will be set up at the Ministry of Finance (MF), which is the administrator of the state aid database. A sanction system will also be established which will deter the non-fulfilment of obligations.</w:t>
            </w:r>
          </w:p>
          <w:p w:rsidR="00C21266" w:rsidRPr="005C3B55" w:rsidRDefault="00C21266">
            <w:pPr>
              <w:spacing w:before="240" w:after="240"/>
              <w:rPr>
                <w:szCs w:val="24"/>
              </w:rPr>
            </w:pPr>
            <w:r w:rsidRPr="005C3B55">
              <w:rPr>
                <w:b/>
              </w:rPr>
              <w:t>R4: Public procurement</w:t>
            </w:r>
          </w:p>
          <w:p w:rsidR="00C21266" w:rsidRPr="005C3B55" w:rsidRDefault="00C21266">
            <w:pPr>
              <w:spacing w:before="240" w:after="240"/>
              <w:rPr>
                <w:szCs w:val="24"/>
              </w:rPr>
            </w:pPr>
            <w:r w:rsidRPr="005C3B55">
              <w:t>The MA will verify the observance of public procurement procedures. The MA will organise training for LAGs and potential beneficiaries, thus reducing the risks of error. Education and training are also envisaged for the MA and the Paying Agency. The emphasis will be on the preparation of bases and manuals on the preparation of documentation and if necessary also the ‘ad hoc’ services of the consultative group, whose task will be to form proposed solutions at the systemic level.</w:t>
            </w:r>
          </w:p>
          <w:p w:rsidR="00C21266" w:rsidRPr="005C3B55" w:rsidRDefault="00C21266">
            <w:pPr>
              <w:spacing w:before="240" w:after="240"/>
              <w:rPr>
                <w:szCs w:val="24"/>
              </w:rPr>
            </w:pPr>
            <w:r w:rsidRPr="005C3B55">
              <w:rPr>
                <w:b/>
              </w:rPr>
              <w:t>R7: Selection of beneficiaries</w:t>
            </w:r>
          </w:p>
          <w:p w:rsidR="00C21266" w:rsidRPr="005C3B55" w:rsidRDefault="00C21266">
            <w:pPr>
              <w:spacing w:before="240" w:after="240"/>
              <w:rPr>
                <w:szCs w:val="24"/>
              </w:rPr>
            </w:pPr>
            <w:r w:rsidRPr="005C3B55">
              <w:t>LAGs are the potential beneficiaries. The selection of operations will be based on the preset selection criteria. The MA will select operations. A system of ongoing applications will be established, enabling LAGs to prepare their applications accordingly, and thus reduce the risk of their applications being rejected due to unsuitable preparation and incomplete permits and evidence.</w:t>
            </w:r>
          </w:p>
          <w:p w:rsidR="00C21266" w:rsidRPr="005C3B55" w:rsidRDefault="00C21266">
            <w:pPr>
              <w:spacing w:before="240" w:after="240"/>
              <w:rPr>
                <w:szCs w:val="24"/>
              </w:rPr>
            </w:pPr>
            <w:r w:rsidRPr="005C3B55">
              <w:rPr>
                <w:b/>
              </w:rPr>
              <w:t>R8: IT systems</w:t>
            </w:r>
          </w:p>
          <w:p w:rsidR="00C21266" w:rsidRPr="005C3B55" w:rsidRDefault="00C21266">
            <w:pPr>
              <w:spacing w:before="240" w:after="240"/>
              <w:rPr>
                <w:szCs w:val="24"/>
              </w:rPr>
            </w:pPr>
            <w:r w:rsidRPr="005C3B55">
              <w:t>IT support will be established to enable electronic submission of applications and requests for payment, thus simplifying the verification of double financing, business operations of associated parties, and separation between the funding of individual costs at the LEADER sub-measure level and other measures of the RDP 2014-2020. The system will also incorporate different databases, which will enable faster and more precise data verification. If databases are not mutually compatible so that they can be automatically verified within the IT system, verification will be carried out by exchanging data between database media. At the same time the IT system will provide data for the purpose of monitoring the sub-measures.</w:t>
            </w:r>
          </w:p>
          <w:p w:rsidR="00C21266" w:rsidRPr="005C3B55" w:rsidRDefault="00C21266">
            <w:pPr>
              <w:spacing w:before="240" w:after="240"/>
              <w:rPr>
                <w:szCs w:val="24"/>
              </w:rPr>
            </w:pPr>
            <w:r w:rsidRPr="005C3B55">
              <w:rPr>
                <w:b/>
              </w:rPr>
              <w:t>R9: Requests for payment</w:t>
            </w:r>
          </w:p>
          <w:p w:rsidR="00C21266" w:rsidRPr="005C3B55" w:rsidRDefault="00C21266">
            <w:pPr>
              <w:spacing w:before="240" w:after="240"/>
              <w:rPr>
                <w:szCs w:val="24"/>
              </w:rPr>
            </w:pPr>
            <w:r w:rsidRPr="005C3B55">
              <w:t>The eligibility of requests for payment will be verified by the Paying Agency which, in addition to verifying the eligibility of costs, fulfilment of conditions and the suitability of other certificates, will also check the possibility of double financing and perform the in-situ and on-site controls in accordance with the risk analysis. The LAG will be held financially responsible for the legality of business operations and suitability of requests for payment. National regulations will contain a clear definition of liability for the reimbursement of funds in cases of violations and subsequent findings of ineligible payments. In order to ensure reimbursement, the Paying Agency will apply a well-established system of recovery.</w:t>
            </w:r>
          </w:p>
          <w:p w:rsidR="00C21266" w:rsidRPr="005C3B55" w:rsidRDefault="00C21266">
            <w:pPr>
              <w:pStyle w:val="Telobesedila"/>
              <w:rPr>
                <w:lang w:eastAsia="en-GB" w:bidi="en-GB"/>
              </w:rPr>
            </w:pPr>
          </w:p>
        </w:tc>
      </w:tr>
    </w:tbl>
    <w:p w:rsidR="00C21266" w:rsidRPr="005C3B55" w:rsidRDefault="00C21266" w:rsidP="00C21266">
      <w:pPr>
        <w:pStyle w:val="Naslov7"/>
        <w:tabs>
          <w:tab w:val="clear" w:pos="765"/>
        </w:tabs>
        <w:ind w:left="0" w:firstLine="0"/>
        <w:rPr>
          <w:lang w:val="en-GB" w:eastAsia="en-GB" w:bidi="en-GB"/>
        </w:rPr>
      </w:pPr>
      <w:r w:rsidRPr="005C3B55">
        <w:rPr>
          <w:lang w:val="en-GB"/>
        </w:rPr>
        <w:t>General assessment of the measure</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 xml:space="preserve">The sub-measure in the anticipated form is fully feasible and controllable and will have the expected results and contribute to achieving the set objectives of the RDP 2014-2020. The sub-measure will greatly contribute to realising horizontal objectives, especially increasing innovation and sustainable rural development. The MA will prepare public appeals for the purpose of efficiently implementing this sub-measure. It will also organise consultations and workshops to promote the implementation of LAGs cooperation projects. Due to the form of implementing the sub-measure, the exchange of innovative practices, ideas, knowledge and approaches is expected, of which the joint results will be seen within individual LAGs cooperation areas. Numerous positive impacts are expected on the development of LAG areas. The implementation of the sub-measure is of crucial importance for long-lasting and sustainable development, since it enables the LAGs to cooperate within the state borders and also with foreign LAGs and thus exchange good practices and transfer good ideas to the local environment. </w:t>
            </w:r>
          </w:p>
          <w:p w:rsidR="00C21266" w:rsidRPr="005C3B55" w:rsidRDefault="00C21266">
            <w:pPr>
              <w:pStyle w:val="Telobesedila"/>
              <w:rPr>
                <w:lang w:eastAsia="en-GB" w:bidi="en-GB"/>
              </w:rPr>
            </w:pPr>
          </w:p>
        </w:tc>
      </w:tr>
    </w:tbl>
    <w:p w:rsidR="00C21266" w:rsidRPr="005C3B55" w:rsidRDefault="00C21266" w:rsidP="00C21266">
      <w:pPr>
        <w:pStyle w:val="Naslov6"/>
        <w:tabs>
          <w:tab w:val="clear" w:pos="765"/>
        </w:tabs>
        <w:ind w:left="0" w:firstLine="0"/>
        <w:rPr>
          <w:lang w:val="en-GB" w:eastAsia="en-GB" w:bidi="en-GB"/>
        </w:rPr>
      </w:pPr>
      <w:r w:rsidRPr="005C3B55">
        <w:rPr>
          <w:lang w:val="en-GB"/>
        </w:rPr>
        <w:t>Methodology for calculating support amount, where relevant</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Not relevant.</w:t>
            </w:r>
          </w:p>
          <w:p w:rsidR="00C21266" w:rsidRPr="005C3B55" w:rsidRDefault="00C21266">
            <w:pPr>
              <w:pStyle w:val="Telobesedila"/>
              <w:rPr>
                <w:lang w:eastAsia="en-GB" w:bidi="en-GB"/>
              </w:rPr>
            </w:pPr>
          </w:p>
        </w:tc>
      </w:tr>
    </w:tbl>
    <w:p w:rsidR="00C21266" w:rsidRPr="005C3B55" w:rsidRDefault="00C21266" w:rsidP="00C21266">
      <w:pPr>
        <w:pStyle w:val="Naslov6"/>
        <w:tabs>
          <w:tab w:val="clear" w:pos="765"/>
        </w:tabs>
        <w:ind w:left="0" w:firstLine="0"/>
        <w:rPr>
          <w:lang w:val="en-GB" w:eastAsia="en-GB" w:bidi="en-GB"/>
        </w:rPr>
      </w:pPr>
      <w:r w:rsidRPr="005C3B55">
        <w:rPr>
          <w:lang w:val="en-GB"/>
        </w:rPr>
        <w:t>Information that relates specifically to the operation</w:t>
      </w:r>
    </w:p>
    <w:p w:rsidR="00C21266" w:rsidRPr="005C3B55" w:rsidRDefault="00C21266" w:rsidP="00C21266">
      <w:r w:rsidRPr="005C3B55">
        <w:t>Description of the obligatory Community Led Local Development (hereafter ‘CLLD’) elements of which the LEADER measure is composed: preparatory support; implementation of operations under the CLLD strategy; preparation and implementation of co-operation activities of the Local Action Group (LAG); running costs; and animation referred to in Article 35(1) of Regulation (EU) No 1303/2013</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Not relevant.</w:t>
            </w:r>
          </w:p>
          <w:p w:rsidR="00C21266" w:rsidRPr="005C3B55" w:rsidRDefault="00C21266">
            <w:pPr>
              <w:pStyle w:val="Telobesedila"/>
              <w:rPr>
                <w:lang w:eastAsia="en-GB" w:bidi="en-GB"/>
              </w:rPr>
            </w:pPr>
          </w:p>
        </w:tc>
      </w:tr>
    </w:tbl>
    <w:p w:rsidR="00C21266" w:rsidRPr="005C3B55" w:rsidRDefault="00C21266" w:rsidP="00C21266">
      <w:pPr>
        <w:rPr>
          <w:rFonts w:eastAsia="Calibri"/>
          <w:szCs w:val="22"/>
          <w:lang w:eastAsia="en-GB" w:bidi="en-GB"/>
        </w:rPr>
      </w:pPr>
      <w:r w:rsidRPr="005C3B55">
        <w:t>Description of the use of the LEADER start-up-kit referred to in Article 43 of Regulation (EU) No 1305/2013 as a specific type of preparatory support (if proper)</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Not relevant.</w:t>
            </w:r>
          </w:p>
          <w:p w:rsidR="00C21266" w:rsidRPr="005C3B55" w:rsidRDefault="00C21266">
            <w:pPr>
              <w:pStyle w:val="Telobesedila"/>
              <w:rPr>
                <w:lang w:eastAsia="en-GB" w:bidi="en-GB"/>
              </w:rPr>
            </w:pPr>
          </w:p>
        </w:tc>
      </w:tr>
    </w:tbl>
    <w:p w:rsidR="00C21266" w:rsidRPr="005C3B55" w:rsidRDefault="00C21266" w:rsidP="00C21266">
      <w:pPr>
        <w:rPr>
          <w:rFonts w:eastAsia="Calibri"/>
          <w:szCs w:val="22"/>
          <w:lang w:eastAsia="en-GB" w:bidi="en-GB"/>
        </w:rPr>
      </w:pPr>
      <w:r w:rsidRPr="005C3B55">
        <w:t>Description of the system of running applications for cooperation projects in the scope of the LEADER approach referred to in Article 44 (3) of Regulation (EU) No 1305/2013</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Within four months after the selection of LDS and confirmation of the LAG and on the basis of a national regulation governing the implementation of the CLLD approach, the MA will prepare a public procurement for co-financing LAG cooperation operations, which will be published in the Official Gazette of the Republic of Slovenia.</w:t>
            </w:r>
          </w:p>
          <w:p w:rsidR="00C21266" w:rsidRPr="005C3B55" w:rsidRDefault="00C21266">
            <w:pPr>
              <w:spacing w:before="240" w:after="240"/>
              <w:rPr>
                <w:szCs w:val="24"/>
              </w:rPr>
            </w:pPr>
            <w:r w:rsidRPr="005C3B55">
              <w:t>The sub-measure will be implemented as an open public tender. An administrative procedure relating to the selection will be established, which will enable ongoing applications and the selection of operations three to four times a year, which will be enabled by the ongoing application system. The selected operations whose applications are complete and adequate in terms of content and which meet the conditions for receiving funds and exceed the threshold number of points determined in the public tender will be eligible for support. </w:t>
            </w:r>
          </w:p>
          <w:p w:rsidR="00C21266" w:rsidRPr="005C3B55" w:rsidRDefault="00C21266">
            <w:pPr>
              <w:spacing w:before="240" w:after="240"/>
              <w:rPr>
                <w:szCs w:val="24"/>
              </w:rPr>
            </w:pPr>
            <w:r w:rsidRPr="005C3B55">
              <w:t>After the public appeal is published, the MA will organise a workshop to explain the requests of the public appeal with the purpose of reducing errors in submitting incomplete applications for the public tender.</w:t>
            </w:r>
          </w:p>
          <w:p w:rsidR="00C21266" w:rsidRPr="005C3B55" w:rsidRDefault="00C21266">
            <w:pPr>
              <w:pStyle w:val="Telobesedila"/>
              <w:rPr>
                <w:lang w:eastAsia="en-GB" w:bidi="en-GB"/>
              </w:rPr>
            </w:pPr>
          </w:p>
        </w:tc>
      </w:tr>
    </w:tbl>
    <w:p w:rsidR="00C21266" w:rsidRPr="005C3B55" w:rsidRDefault="00C21266" w:rsidP="00C21266">
      <w:pPr>
        <w:rPr>
          <w:rFonts w:eastAsia="Calibri"/>
          <w:szCs w:val="22"/>
          <w:lang w:eastAsia="en-GB" w:bidi="en-GB"/>
        </w:rPr>
      </w:pPr>
      <w:r w:rsidRPr="005C3B55">
        <w:t>The procedure and timetable to select local development strategies</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Not relevant.</w:t>
            </w:r>
          </w:p>
          <w:p w:rsidR="00C21266" w:rsidRPr="005C3B55" w:rsidRDefault="00C21266">
            <w:pPr>
              <w:pStyle w:val="Telobesedila"/>
              <w:rPr>
                <w:lang w:eastAsia="en-GB" w:bidi="en-GB"/>
              </w:rPr>
            </w:pPr>
          </w:p>
        </w:tc>
      </w:tr>
    </w:tbl>
    <w:p w:rsidR="00C21266" w:rsidRPr="005C3B55" w:rsidRDefault="00C21266" w:rsidP="00C21266">
      <w:pPr>
        <w:rPr>
          <w:rFonts w:eastAsia="Calibri"/>
          <w:szCs w:val="22"/>
          <w:lang w:eastAsia="en-GB" w:bidi="en-GB"/>
        </w:rPr>
      </w:pPr>
      <w:r w:rsidRPr="005C3B55">
        <w:t>Justification for the selection of geographical areas for local development strategy implementation whose population falls outside the limits set out in Article 33(6) of Regulation (EU) No 1303/2013</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The sub-measure has been programmed as per Point 6 of Article 33 of Regulation (EU) No 1303/2013 and is being implemented in areas with 10,000 to 150,000 inhabitants.</w:t>
            </w:r>
          </w:p>
          <w:p w:rsidR="00C21266" w:rsidRPr="005C3B55" w:rsidRDefault="00C21266">
            <w:pPr>
              <w:pStyle w:val="Telobesedila"/>
              <w:rPr>
                <w:lang w:eastAsia="en-GB" w:bidi="en-GB"/>
              </w:rPr>
            </w:pPr>
          </w:p>
        </w:tc>
      </w:tr>
    </w:tbl>
    <w:p w:rsidR="00C21266" w:rsidRPr="005C3B55" w:rsidRDefault="00C21266" w:rsidP="00C21266">
      <w:pPr>
        <w:rPr>
          <w:rFonts w:eastAsia="Calibri"/>
          <w:szCs w:val="22"/>
          <w:lang w:eastAsia="en-GB" w:bidi="en-GB"/>
        </w:rPr>
      </w:pPr>
      <w:r w:rsidRPr="005C3B55">
        <w:t>Co-ordination with the other ESI-Funds as regards CLLD, including possible solutions applied with regard to the use of the lead fund option, and any global complementarities between the ESI-Funds in financing the preparatory support</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For the implementation of the joint CLLD approach, the CLLD Coordination Committee will be established, whose tasks will be, inter alia, harmonisation, the search for synergies and delimitation of funds. A mechanism which enables data exchange between different bodies which will implement various types of measures will be established. The exchange of information and coordination will be implemented through an individual MA for a relevant fund; the National Rural Network will perform tasks of informing for the EAFRD fund.</w:t>
            </w:r>
          </w:p>
          <w:p w:rsidR="00C21266" w:rsidRPr="005C3B55" w:rsidRDefault="00C21266">
            <w:pPr>
              <w:spacing w:before="240" w:after="240"/>
              <w:rPr>
                <w:szCs w:val="24"/>
              </w:rPr>
            </w:pPr>
            <w:r w:rsidRPr="005C3B55">
              <w:t>Common provisions and rule related to eligible costs will be prepared for all three funds included.</w:t>
            </w:r>
          </w:p>
          <w:p w:rsidR="00C21266" w:rsidRPr="005C3B55" w:rsidRDefault="00C21266">
            <w:pPr>
              <w:pStyle w:val="Telobesedila"/>
              <w:rPr>
                <w:lang w:eastAsia="en-GB" w:bidi="en-GB"/>
              </w:rPr>
            </w:pPr>
          </w:p>
        </w:tc>
      </w:tr>
    </w:tbl>
    <w:p w:rsidR="00C21266" w:rsidRPr="005C3B55" w:rsidRDefault="00C21266" w:rsidP="00C21266">
      <w:pPr>
        <w:rPr>
          <w:rFonts w:eastAsia="Calibri"/>
          <w:szCs w:val="22"/>
          <w:lang w:eastAsia="en-GB" w:bidi="en-GB"/>
        </w:rPr>
      </w:pPr>
      <w:r w:rsidRPr="005C3B55">
        <w:t>Possibility or not of paying advances</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Not relevant.</w:t>
            </w:r>
          </w:p>
          <w:p w:rsidR="00C21266" w:rsidRPr="005C3B55" w:rsidRDefault="00C21266">
            <w:pPr>
              <w:pStyle w:val="Telobesedila"/>
              <w:rPr>
                <w:lang w:eastAsia="en-GB" w:bidi="en-GB"/>
              </w:rPr>
            </w:pPr>
          </w:p>
        </w:tc>
      </w:tr>
    </w:tbl>
    <w:p w:rsidR="00C21266" w:rsidRPr="005C3B55" w:rsidRDefault="00C21266" w:rsidP="00C21266">
      <w:pPr>
        <w:rPr>
          <w:rFonts w:eastAsia="Calibri"/>
          <w:szCs w:val="22"/>
          <w:lang w:eastAsia="en-GB" w:bidi="en-GB"/>
        </w:rPr>
      </w:pPr>
      <w:r w:rsidRPr="005C3B55">
        <w:t>Definition of the tasks of the Managing Authority, the Paying Agency and the LAGs under LEADER, in particular with regard to non-discriminatory and transparent selection procedures and objective criteria for the selection of operations referred to in Article 34 (3) (b) of Regulation (EU) No 1303/2013</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Description of individual authorities included in the implementation of this sub-measure:</w:t>
            </w:r>
          </w:p>
          <w:p w:rsidR="00C21266" w:rsidRPr="005C3B55" w:rsidRDefault="00C21266">
            <w:pPr>
              <w:spacing w:before="240" w:after="240"/>
              <w:rPr>
                <w:szCs w:val="24"/>
              </w:rPr>
            </w:pPr>
            <w:r w:rsidRPr="005C3B55">
              <w:t>The MA tasks within this sub-measure are to provide monitoring, maintenance, management and dissemination of data related to the implementation of the sub-measure; prepare and issue a public appeal for the selection of LAG cooperation operations; verify eligibility and approve operations; and register state support and report on its payments. It also supervises the work of individual LAGs, and organises training and workshops intended for LAGs. The MA informs the EC on the approved operations of trans-national cooperation. </w:t>
            </w:r>
          </w:p>
          <w:p w:rsidR="00C21266" w:rsidRPr="005C3B55" w:rsidRDefault="00C21266">
            <w:pPr>
              <w:spacing w:before="240" w:after="240"/>
              <w:rPr>
                <w:szCs w:val="24"/>
              </w:rPr>
            </w:pPr>
            <w:r w:rsidRPr="005C3B55">
              <w:t>The tasks of the Paying Agency are to conduct administrative controls, in the scope of which it verifies the correctness of claims for payment, submitted evidence and eligibility conditions before the payment of funds. It also verifies a possibility of double financing and state support, performs "in-situ" and on-site controls and oversees the proper payments and recovery of funds. The public support is remitted to the transaction account of the LAG after all controls are performed.</w:t>
            </w:r>
          </w:p>
          <w:p w:rsidR="00C21266" w:rsidRPr="005C3B55" w:rsidRDefault="00C21266">
            <w:pPr>
              <w:spacing w:before="240" w:after="240"/>
              <w:rPr>
                <w:szCs w:val="24"/>
              </w:rPr>
            </w:pPr>
            <w:r w:rsidRPr="005C3B55">
              <w:t>The tasks of LAGs are to prepare the LAG cooperation operation and submit their applications for confirmation to the MA, which makes its decision within four months after the receipt of applications. After implemented controls, the MA may approve or reject the application. When LAGs receive the decision confirming the LAG cooperation operation, LAGs may begin the activities planned in the cooperation operation. LAGs have to implement the operation as per the planned activities and comply with all the relevant legislation relating to the type of operation. When the activities end, LAGs submit a request for payment to the Paying Agency, which executes the eligibility control and then transfers the relevant amount to LAGs’ accounts.</w:t>
            </w:r>
          </w:p>
          <w:p w:rsidR="00C21266" w:rsidRPr="005C3B55" w:rsidRDefault="00C21266">
            <w:pPr>
              <w:spacing w:before="240" w:after="240"/>
              <w:rPr>
                <w:szCs w:val="24"/>
              </w:rPr>
            </w:pPr>
            <w:r w:rsidRPr="005C3B55">
              <w:t>The National Rural Network will have a special role within this sub-measure to collect and publish information on LAG initiatives and potential partners. If necessary, it will also organise meetings and workshops intended for LAGs at which they will be able to obtain as much information as possible on LAG cooperation operations.</w:t>
            </w:r>
          </w:p>
          <w:p w:rsidR="00C21266" w:rsidRPr="005C3B55" w:rsidRDefault="00C21266">
            <w:pPr>
              <w:pStyle w:val="Telobesedila"/>
              <w:rPr>
                <w:lang w:eastAsia="en-GB" w:bidi="en-GB"/>
              </w:rPr>
            </w:pPr>
          </w:p>
        </w:tc>
      </w:tr>
    </w:tbl>
    <w:p w:rsidR="00C21266" w:rsidRPr="005C3B55" w:rsidRDefault="00C21266" w:rsidP="00C21266">
      <w:pPr>
        <w:rPr>
          <w:rFonts w:eastAsia="Calibri"/>
          <w:szCs w:val="22"/>
          <w:lang w:eastAsia="en-GB" w:bidi="en-GB"/>
        </w:rPr>
      </w:pPr>
      <w:r w:rsidRPr="005C3B55">
        <w:t>Description of co-ordination mechanisms foreseen and complementarities ensured with operations supported under other rural development measures especially as regards: investments in non-agricultural activities and business start-up aid under Article 19 of Regulation (EU) No 1305/2013; investments under Article 20 of Regulation (EU) No 1305/2013; and co-operation approaches under Article 35 of Regulation (EU) No 1305/2013, in particular, the implementation of local development strategies by public-private partnerships</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The operations that may be entitled within the framework of so called main measures can also be supported through this sub-measure if they are planned in LDSs and if LAGs recognise them as necessary for the development of the local area. When preparing LDS, the local partnership has to define whether there are needs to implement so-called main measures. If it is determined in the LDS that there are needs to implement so-called main measures, the local partnership has to define in the LDS the added value (e.g. common interest, group of beneficiaries, access of the public to the operation’s results, innovative characteristics of the operation at the local level, availability of the budget, integrated projects) of this operation to be implemented within the LEADER measure and not through a so-called main measure. This may be the case of a small project, collective approach or for the benefit of the entire LAG area.</w:t>
            </w:r>
          </w:p>
          <w:p w:rsidR="00C21266" w:rsidRPr="005C3B55" w:rsidRDefault="00C21266">
            <w:pPr>
              <w:spacing w:before="240" w:after="240"/>
              <w:rPr>
                <w:szCs w:val="24"/>
              </w:rPr>
            </w:pPr>
            <w:r w:rsidRPr="005C3B55">
              <w:t>Possible duplication/double financing of the same eligible costs will be verified promptly at the level of individual operations. When discussing applications, the MA will verify whether the beneficiaries applied the same operations under other measures of the RDP 2014-2020 or measures financed under other ESI funds. When discussing payment requests, the Paying Agency will verify whether the beneficiaries claimed reimbursement for the same eligible costs also under other measures of the RDP 2014-2020 or measures financed under other ESI funds. Thus, each individual expense will be funded only once.</w:t>
            </w:r>
          </w:p>
          <w:p w:rsidR="00C21266" w:rsidRPr="005C3B55" w:rsidRDefault="00C21266">
            <w:pPr>
              <w:spacing w:before="240" w:after="240"/>
              <w:rPr>
                <w:szCs w:val="24"/>
              </w:rPr>
            </w:pPr>
            <w:r w:rsidRPr="005C3B55">
              <w:t>Synergies between individual funds will occur within the framework of planned and anticipated operations for co-financing, which is the purpose of the joint CLLD approach. The LDSs prepared by local partnerships and also the selection of operations have to pursue EU objectives and are the central point of harmonising different sources of financing.</w:t>
            </w:r>
          </w:p>
          <w:p w:rsidR="00C21266" w:rsidRPr="005C3B55" w:rsidRDefault="00C21266">
            <w:pPr>
              <w:pStyle w:val="Telobesedila"/>
              <w:rPr>
                <w:lang w:eastAsia="en-GB" w:bidi="en-GB"/>
              </w:rPr>
            </w:pPr>
          </w:p>
        </w:tc>
      </w:tr>
    </w:tbl>
    <w:p w:rsidR="00C21266" w:rsidRPr="005C3B55" w:rsidRDefault="00C21266" w:rsidP="00C21266">
      <w:pPr>
        <w:pStyle w:val="Naslov5"/>
        <w:tabs>
          <w:tab w:val="clear" w:pos="765"/>
        </w:tabs>
        <w:ind w:left="0" w:firstLine="0"/>
        <w:rPr>
          <w:b w:val="0"/>
          <w:lang w:val="en-GB" w:eastAsia="en-GB" w:bidi="en-GB"/>
        </w:rPr>
      </w:pPr>
      <w:r w:rsidRPr="005C3B55">
        <w:rPr>
          <w:b w:val="0"/>
          <w:lang w:val="en-GB"/>
        </w:rPr>
        <w:br w:type="page"/>
        <w:t>Preparatory support</w:t>
      </w:r>
    </w:p>
    <w:p w:rsidR="00C21266" w:rsidRPr="005C3B55" w:rsidRDefault="00C21266" w:rsidP="00C21266">
      <w:r w:rsidRPr="005C3B55">
        <w:t xml:space="preserve">Sub-measure: </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numPr>
                <w:ilvl w:val="0"/>
                <w:numId w:val="1016"/>
              </w:numPr>
              <w:rPr>
                <w:rFonts w:eastAsia="Calibri"/>
                <w:lang w:eastAsia="en-GB" w:bidi="en-GB"/>
              </w:rPr>
            </w:pPr>
            <w:r w:rsidRPr="005C3B55">
              <w:t>19.1 – Preparatory support</w:t>
            </w:r>
          </w:p>
        </w:tc>
      </w:tr>
    </w:tbl>
    <w:p w:rsidR="00C21266" w:rsidRPr="005C3B55" w:rsidRDefault="00C21266" w:rsidP="00C21266">
      <w:pPr>
        <w:pStyle w:val="Naslov6"/>
        <w:tabs>
          <w:tab w:val="clear" w:pos="765"/>
        </w:tabs>
        <w:ind w:left="0" w:firstLine="0"/>
        <w:rPr>
          <w:lang w:val="en-GB" w:eastAsia="en-GB" w:bidi="en-GB"/>
        </w:rPr>
      </w:pPr>
      <w:r w:rsidRPr="005C3B55">
        <w:rPr>
          <w:lang w:val="en-GB"/>
        </w:rPr>
        <w:t>Description of type of operation</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The foundations of success are the preparatory phase of the LDS preparation, the establishment of a local partnership and the determination of development objectives.</w:t>
            </w:r>
          </w:p>
          <w:p w:rsidR="00C21266" w:rsidRPr="005C3B55" w:rsidRDefault="00C21266">
            <w:pPr>
              <w:spacing w:before="240" w:after="240"/>
              <w:rPr>
                <w:szCs w:val="24"/>
              </w:rPr>
            </w:pPr>
            <w:r w:rsidRPr="005C3B55">
              <w:t>The purpose of the sub-measure is to strengthen the formation of local partnerships, enhance institutional qualifications, training and networking for the preparation and implementation of the community-led LDS. The sub-measure is intended to stimulate local partnerships to prepare LDSs which will pursue the objectives of the local area.</w:t>
            </w:r>
          </w:p>
          <w:p w:rsidR="00C21266" w:rsidRPr="005C3B55" w:rsidRDefault="00C21266">
            <w:pPr>
              <w:spacing w:before="240" w:after="240"/>
              <w:rPr>
                <w:szCs w:val="24"/>
              </w:rPr>
            </w:pPr>
            <w:r w:rsidRPr="005C3B55">
              <w:t>Preparatory support is intended for training local interested parties, studying the area in question, activities related to the preparation of an LDS, including the advisory services and activities related to consultations with interested parties. It is also intended for administrative costs which arise during the preparation of the LDS.</w:t>
            </w:r>
          </w:p>
          <w:p w:rsidR="00C21266" w:rsidRPr="005C3B55" w:rsidRDefault="00C21266">
            <w:pPr>
              <w:spacing w:before="240" w:after="240"/>
              <w:rPr>
                <w:szCs w:val="24"/>
              </w:rPr>
            </w:pPr>
            <w:r w:rsidRPr="005C3B55">
              <w:t>During the period of LAG formation and LDS preparation, local players will have to carry out many activities which will help them finalise the development plan of individual LAGs.</w:t>
            </w:r>
          </w:p>
          <w:p w:rsidR="00C21266" w:rsidRPr="005C3B55" w:rsidRDefault="00C21266">
            <w:pPr>
              <w:pStyle w:val="Telobesedila"/>
              <w:rPr>
                <w:lang w:eastAsia="en-GB" w:bidi="en-GB"/>
              </w:rPr>
            </w:pPr>
          </w:p>
        </w:tc>
      </w:tr>
    </w:tbl>
    <w:p w:rsidR="00C21266" w:rsidRPr="005C3B55" w:rsidRDefault="00C21266" w:rsidP="00C21266">
      <w:pPr>
        <w:pStyle w:val="Naslov6"/>
        <w:tabs>
          <w:tab w:val="clear" w:pos="765"/>
        </w:tabs>
        <w:ind w:left="0" w:firstLine="0"/>
        <w:rPr>
          <w:lang w:val="en-GB" w:eastAsia="en-GB" w:bidi="en-GB"/>
        </w:rPr>
      </w:pPr>
      <w:r w:rsidRPr="005C3B55">
        <w:rPr>
          <w:lang w:val="en-GB"/>
        </w:rPr>
        <w:t>Type of support</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rPr>
                <w:b/>
              </w:rPr>
              <w:t xml:space="preserve">Confirmed LDS: </w:t>
            </w:r>
          </w:p>
          <w:p w:rsidR="00C21266" w:rsidRPr="005C3B55" w:rsidRDefault="00C21266">
            <w:pPr>
              <w:spacing w:before="240" w:after="240"/>
              <w:rPr>
                <w:szCs w:val="24"/>
              </w:rPr>
            </w:pPr>
            <w:r w:rsidRPr="005C3B55">
              <w:t>Support is granted in the form of flat-rate support in the amount of EUR 20,000. Non-refundable financial aid is granted with a decision on the confirmation of LAGs and LDSs.</w:t>
            </w:r>
          </w:p>
          <w:p w:rsidR="00C21266" w:rsidRPr="005C3B55" w:rsidRDefault="00C21266">
            <w:pPr>
              <w:spacing w:before="240" w:after="240"/>
              <w:rPr>
                <w:szCs w:val="24"/>
              </w:rPr>
            </w:pPr>
            <w:r w:rsidRPr="005C3B55">
              <w:t>The amount of the flat-rate sum for support is set on the basis of historical data from the 2007–2013 programming period.</w:t>
            </w:r>
          </w:p>
          <w:p w:rsidR="00C21266" w:rsidRPr="005C3B55" w:rsidRDefault="00C21266">
            <w:pPr>
              <w:spacing w:before="240" w:after="240"/>
              <w:rPr>
                <w:szCs w:val="24"/>
              </w:rPr>
            </w:pPr>
            <w:r w:rsidRPr="005C3B55">
              <w:rPr>
                <w:b/>
              </w:rPr>
              <w:t>Unconfirmed LDS:</w:t>
            </w:r>
          </w:p>
          <w:p w:rsidR="00C21266" w:rsidRPr="005C3B55" w:rsidRDefault="00C21266">
            <w:pPr>
              <w:spacing w:before="240" w:after="240"/>
              <w:rPr>
                <w:szCs w:val="24"/>
              </w:rPr>
            </w:pPr>
            <w:r w:rsidRPr="005C3B55">
              <w:t>Public support for unconfirmed LDSs is paid on the basis of actual costs incurred. The amount of public support can be a maximum of 10,000 EUR.</w:t>
            </w:r>
          </w:p>
          <w:p w:rsidR="00C21266" w:rsidRPr="005C3B55" w:rsidRDefault="00C21266">
            <w:pPr>
              <w:spacing w:before="240" w:after="240"/>
              <w:rPr>
                <w:szCs w:val="24"/>
              </w:rPr>
            </w:pPr>
            <w:r w:rsidRPr="005C3B55">
              <w:t>Non-refundable financial aid is granted with a decision, and preparatory support on the basis of the claim for payment is paid by the Paying Agency.</w:t>
            </w:r>
          </w:p>
          <w:p w:rsidR="00C21266" w:rsidRPr="005C3B55" w:rsidRDefault="00C21266">
            <w:pPr>
              <w:spacing w:before="240" w:after="240"/>
              <w:rPr>
                <w:szCs w:val="24"/>
              </w:rPr>
            </w:pPr>
            <w:r w:rsidRPr="005C3B55">
              <w:rPr>
                <w:b/>
              </w:rPr>
              <w:t>Payment:</w:t>
            </w:r>
          </w:p>
          <w:p w:rsidR="00C21266" w:rsidRPr="005C3B55" w:rsidRDefault="00C21266">
            <w:pPr>
              <w:spacing w:before="240" w:after="240"/>
              <w:rPr>
                <w:szCs w:val="24"/>
              </w:rPr>
            </w:pPr>
            <w:r w:rsidRPr="005C3B55">
              <w:t>Preparatory support will be paid on the basis of all funds included in an LDS in an individual local partnership area. The amount of public support or the share of a contribution of an individual fund depends on the amount of financial framework of an individual included fund. The share of public support from an individual fund and the amount of the payment will be determined in the decision on LAG and LDS confirmation or the decision on LAG and LDS rejection.</w:t>
            </w:r>
          </w:p>
          <w:p w:rsidR="00C21266" w:rsidRPr="005C3B55" w:rsidRDefault="00C21266">
            <w:pPr>
              <w:pStyle w:val="Telobesedila"/>
              <w:rPr>
                <w:lang w:eastAsia="en-GB" w:bidi="en-GB"/>
              </w:rPr>
            </w:pPr>
          </w:p>
        </w:tc>
      </w:tr>
    </w:tbl>
    <w:p w:rsidR="00C21266" w:rsidRPr="005C3B55" w:rsidRDefault="00C21266" w:rsidP="00C21266">
      <w:pPr>
        <w:pStyle w:val="Naslov6"/>
        <w:tabs>
          <w:tab w:val="clear" w:pos="765"/>
        </w:tabs>
        <w:ind w:left="0" w:firstLine="0"/>
        <w:rPr>
          <w:lang w:val="en-GB" w:eastAsia="en-GB" w:bidi="en-GB"/>
        </w:rPr>
      </w:pPr>
      <w:r w:rsidRPr="005C3B55">
        <w:rPr>
          <w:lang w:val="en-GB"/>
        </w:rPr>
        <w:t>Connection with other legislation</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rsidP="006E20B6">
            <w:pPr>
              <w:numPr>
                <w:ilvl w:val="0"/>
                <w:numId w:val="1017"/>
              </w:numPr>
              <w:spacing w:before="0" w:after="0"/>
              <w:ind w:hanging="290"/>
              <w:jc w:val="left"/>
              <w:rPr>
                <w:rFonts w:eastAsia="Calibri"/>
                <w:szCs w:val="24"/>
              </w:rPr>
            </w:pPr>
            <w:r w:rsidRPr="005C3B55">
              <w:t>Agriculture Act (Official Gazette of the Republic of Slovenia, no. 45/2008 with all amendments);</w:t>
            </w:r>
          </w:p>
          <w:p w:rsidR="00C21266" w:rsidRPr="005C3B55" w:rsidRDefault="00C21266" w:rsidP="006E20B6">
            <w:pPr>
              <w:numPr>
                <w:ilvl w:val="0"/>
                <w:numId w:val="1017"/>
              </w:numPr>
              <w:spacing w:before="0" w:after="0"/>
              <w:ind w:hanging="290"/>
              <w:jc w:val="left"/>
              <w:rPr>
                <w:szCs w:val="24"/>
              </w:rPr>
            </w:pPr>
            <w:r w:rsidRPr="005C3B55">
              <w:t>National regulation regulating the implementation of the CLLD approach in the 2014-2020 programming period;</w:t>
            </w:r>
          </w:p>
          <w:p w:rsidR="00C21266" w:rsidRPr="005C3B55" w:rsidRDefault="00C21266" w:rsidP="006E20B6">
            <w:pPr>
              <w:numPr>
                <w:ilvl w:val="0"/>
                <w:numId w:val="1017"/>
              </w:numPr>
              <w:spacing w:before="0" w:after="0"/>
              <w:ind w:hanging="290"/>
              <w:jc w:val="left"/>
              <w:rPr>
                <w:szCs w:val="24"/>
              </w:rPr>
            </w:pPr>
            <w:r w:rsidRPr="005C3B55">
              <w:t>Decision (EU) No 1303/2013 and other EU regulations determining the implementation of the CLLD approach. In view of the eligibility of expenditures, the general provisions of Decision (EU) No 1303/2013 (Articles from 65 up to and including 71) and</w:t>
            </w:r>
          </w:p>
          <w:p w:rsidR="00C21266" w:rsidRPr="005C3B55" w:rsidRDefault="00C21266" w:rsidP="006E20B6">
            <w:pPr>
              <w:numPr>
                <w:ilvl w:val="0"/>
                <w:numId w:val="1017"/>
              </w:numPr>
              <w:spacing w:before="0" w:after="240"/>
              <w:ind w:hanging="290"/>
              <w:jc w:val="left"/>
              <w:rPr>
                <w:szCs w:val="24"/>
              </w:rPr>
            </w:pPr>
            <w:r w:rsidRPr="005C3B55">
              <w:t>other EU and national legislation on the field of this operation.</w:t>
            </w:r>
          </w:p>
          <w:p w:rsidR="00C21266" w:rsidRPr="005C3B55" w:rsidRDefault="00C21266">
            <w:pPr>
              <w:pStyle w:val="Telobesedila"/>
              <w:rPr>
                <w:lang w:eastAsia="en-GB" w:bidi="en-GB"/>
              </w:rPr>
            </w:pPr>
          </w:p>
        </w:tc>
      </w:tr>
    </w:tbl>
    <w:p w:rsidR="00C21266" w:rsidRPr="005C3B55" w:rsidRDefault="00C21266" w:rsidP="00C21266">
      <w:pPr>
        <w:pStyle w:val="Naslov6"/>
        <w:tabs>
          <w:tab w:val="clear" w:pos="765"/>
        </w:tabs>
        <w:ind w:left="0" w:firstLine="0"/>
        <w:rPr>
          <w:lang w:val="en-GB" w:eastAsia="en-GB" w:bidi="en-GB"/>
        </w:rPr>
      </w:pPr>
      <w:r w:rsidRPr="005C3B55">
        <w:rPr>
          <w:lang w:val="en-GB"/>
        </w:rPr>
        <w:t>Beneficiaries</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The beneficiaries eligible for support are local partnerships which prepared LDSs.</w:t>
            </w:r>
          </w:p>
          <w:p w:rsidR="00C21266" w:rsidRPr="005C3B55" w:rsidRDefault="00C21266">
            <w:pPr>
              <w:pStyle w:val="Telobesedila"/>
              <w:rPr>
                <w:lang w:eastAsia="en-GB" w:bidi="en-GB"/>
              </w:rPr>
            </w:pPr>
          </w:p>
        </w:tc>
      </w:tr>
    </w:tbl>
    <w:p w:rsidR="00C21266" w:rsidRPr="005C3B55" w:rsidRDefault="00C21266" w:rsidP="00C21266">
      <w:pPr>
        <w:pStyle w:val="Naslov6"/>
        <w:tabs>
          <w:tab w:val="clear" w:pos="765"/>
        </w:tabs>
        <w:ind w:left="0" w:firstLine="0"/>
        <w:rPr>
          <w:lang w:val="en-GB" w:eastAsia="en-GB" w:bidi="en-GB"/>
        </w:rPr>
      </w:pPr>
      <w:r w:rsidRPr="005C3B55">
        <w:rPr>
          <w:lang w:val="en-GB"/>
        </w:rPr>
        <w:t>Eligible costs</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Eligible costs are as follows:</w:t>
            </w:r>
          </w:p>
          <w:p w:rsidR="00C21266" w:rsidRPr="005C3B55" w:rsidRDefault="00C21266" w:rsidP="006E20B6">
            <w:pPr>
              <w:numPr>
                <w:ilvl w:val="0"/>
                <w:numId w:val="1018"/>
              </w:numPr>
              <w:spacing w:before="240" w:after="0"/>
              <w:ind w:hanging="290"/>
              <w:jc w:val="left"/>
              <w:rPr>
                <w:szCs w:val="24"/>
              </w:rPr>
            </w:pPr>
            <w:r w:rsidRPr="005C3B55">
              <w:t>costs for training interested parties,</w:t>
            </w:r>
          </w:p>
          <w:p w:rsidR="00C21266" w:rsidRPr="005C3B55" w:rsidRDefault="00C21266" w:rsidP="006E20B6">
            <w:pPr>
              <w:numPr>
                <w:ilvl w:val="0"/>
                <w:numId w:val="1018"/>
              </w:numPr>
              <w:spacing w:before="0" w:after="0"/>
              <w:ind w:hanging="290"/>
              <w:jc w:val="left"/>
              <w:rPr>
                <w:szCs w:val="24"/>
              </w:rPr>
            </w:pPr>
            <w:r w:rsidRPr="005C3B55">
              <w:t>study of the subject area (including feasibility studies for certain operations which have to be foreseen in LDS),</w:t>
            </w:r>
          </w:p>
          <w:p w:rsidR="00C21266" w:rsidRPr="005C3B55" w:rsidRDefault="00C21266" w:rsidP="006E20B6">
            <w:pPr>
              <w:numPr>
                <w:ilvl w:val="0"/>
                <w:numId w:val="1018"/>
              </w:numPr>
              <w:spacing w:before="0" w:after="0"/>
              <w:ind w:hanging="290"/>
              <w:jc w:val="left"/>
              <w:rPr>
                <w:szCs w:val="24"/>
              </w:rPr>
            </w:pPr>
            <w:r w:rsidRPr="005C3B55">
              <w:t>costs relating to preparing and drafting of LDS, including the advisory costs of interested parties for the preparation of LDS, and</w:t>
            </w:r>
          </w:p>
          <w:p w:rsidR="00C21266" w:rsidRPr="005C3B55" w:rsidRDefault="00C21266" w:rsidP="006E20B6">
            <w:pPr>
              <w:numPr>
                <w:ilvl w:val="0"/>
                <w:numId w:val="1018"/>
              </w:numPr>
              <w:spacing w:before="0" w:after="240"/>
              <w:ind w:hanging="290"/>
              <w:jc w:val="left"/>
              <w:rPr>
                <w:szCs w:val="24"/>
              </w:rPr>
            </w:pPr>
            <w:r w:rsidRPr="005C3B55">
              <w:t xml:space="preserve">administrative costs of local partnerships (operational costs and staff costs). </w:t>
            </w:r>
          </w:p>
          <w:p w:rsidR="00C21266" w:rsidRPr="005C3B55" w:rsidRDefault="00C21266">
            <w:pPr>
              <w:pStyle w:val="Telobesedila"/>
              <w:rPr>
                <w:lang w:eastAsia="en-GB" w:bidi="en-GB"/>
              </w:rPr>
            </w:pPr>
          </w:p>
        </w:tc>
      </w:tr>
    </w:tbl>
    <w:p w:rsidR="00C21266" w:rsidRPr="005C3B55" w:rsidRDefault="00C21266" w:rsidP="00C21266">
      <w:pPr>
        <w:pStyle w:val="Naslov6"/>
        <w:tabs>
          <w:tab w:val="clear" w:pos="765"/>
        </w:tabs>
        <w:ind w:left="0" w:firstLine="0"/>
        <w:rPr>
          <w:lang w:val="en-GB" w:eastAsia="en-GB" w:bidi="en-GB"/>
        </w:rPr>
      </w:pPr>
      <w:r w:rsidRPr="005C3B55">
        <w:rPr>
          <w:lang w:val="en-GB"/>
        </w:rPr>
        <w:t>Conditions for eligibility</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rsidP="006E20B6">
            <w:pPr>
              <w:numPr>
                <w:ilvl w:val="0"/>
                <w:numId w:val="1019"/>
              </w:numPr>
              <w:spacing w:before="0" w:after="0"/>
              <w:ind w:left="1440" w:hanging="290"/>
              <w:jc w:val="left"/>
              <w:rPr>
                <w:rFonts w:eastAsia="Calibri"/>
                <w:szCs w:val="24"/>
              </w:rPr>
            </w:pPr>
            <w:r w:rsidRPr="005C3B55">
              <w:t xml:space="preserve">The local partnership must be formed according to requirements for LAG formation. </w:t>
            </w:r>
          </w:p>
          <w:p w:rsidR="00C21266" w:rsidRPr="005C3B55" w:rsidRDefault="00C21266" w:rsidP="006E20B6">
            <w:pPr>
              <w:numPr>
                <w:ilvl w:val="0"/>
                <w:numId w:val="1019"/>
              </w:numPr>
              <w:spacing w:before="0" w:after="0"/>
              <w:ind w:left="1440" w:hanging="290"/>
              <w:jc w:val="left"/>
              <w:rPr>
                <w:szCs w:val="24"/>
              </w:rPr>
            </w:pPr>
            <w:r w:rsidRPr="005C3B55">
              <w:t>LDS must be reaped and submitted for confirmation with all required elements.</w:t>
            </w:r>
          </w:p>
          <w:p w:rsidR="00C21266" w:rsidRPr="005C3B55" w:rsidRDefault="00C21266" w:rsidP="006E20B6">
            <w:pPr>
              <w:numPr>
                <w:ilvl w:val="0"/>
                <w:numId w:val="1019"/>
              </w:numPr>
              <w:spacing w:before="0" w:after="0"/>
              <w:ind w:left="1440" w:hanging="290"/>
              <w:jc w:val="left"/>
              <w:rPr>
                <w:szCs w:val="24"/>
              </w:rPr>
            </w:pPr>
            <w:r w:rsidRPr="005C3B55">
              <w:t>An individual local partnership may submit no more than one LDS for confirmation.</w:t>
            </w:r>
          </w:p>
          <w:p w:rsidR="00C21266" w:rsidRPr="005C3B55" w:rsidRDefault="00C21266" w:rsidP="006E20B6">
            <w:pPr>
              <w:numPr>
                <w:ilvl w:val="0"/>
                <w:numId w:val="1019"/>
              </w:numPr>
              <w:spacing w:before="0" w:after="0"/>
              <w:ind w:left="1440" w:hanging="290"/>
              <w:jc w:val="left"/>
              <w:rPr>
                <w:szCs w:val="24"/>
              </w:rPr>
            </w:pPr>
            <w:r w:rsidRPr="005C3B55">
              <w:t>LAGs area must not overlap.</w:t>
            </w:r>
          </w:p>
          <w:p w:rsidR="00C21266" w:rsidRPr="005C3B55" w:rsidRDefault="00C21266" w:rsidP="006E20B6">
            <w:pPr>
              <w:numPr>
                <w:ilvl w:val="0"/>
                <w:numId w:val="1019"/>
              </w:numPr>
              <w:spacing w:before="0" w:after="0"/>
              <w:ind w:left="1440" w:hanging="290"/>
              <w:jc w:val="left"/>
              <w:rPr>
                <w:szCs w:val="24"/>
              </w:rPr>
            </w:pPr>
            <w:r w:rsidRPr="005C3B55">
              <w:t>The eligibility period is from 1 January 2014 to filing the LDS for confirmation.</w:t>
            </w:r>
          </w:p>
          <w:p w:rsidR="00C21266" w:rsidRPr="005C3B55" w:rsidRDefault="00C21266" w:rsidP="006E20B6">
            <w:pPr>
              <w:numPr>
                <w:ilvl w:val="0"/>
                <w:numId w:val="1019"/>
              </w:numPr>
              <w:spacing w:before="0" w:after="0"/>
              <w:ind w:left="1440" w:hanging="290"/>
              <w:jc w:val="left"/>
              <w:rPr>
                <w:szCs w:val="24"/>
              </w:rPr>
            </w:pPr>
            <w:r w:rsidRPr="005C3B55">
              <w:t>LDS confirmation is the condition for public flat-rate support in the amount of EUR 20,000.</w:t>
            </w:r>
          </w:p>
          <w:p w:rsidR="00C21266" w:rsidRPr="005C3B55" w:rsidRDefault="00C21266" w:rsidP="006E20B6">
            <w:pPr>
              <w:numPr>
                <w:ilvl w:val="0"/>
                <w:numId w:val="1019"/>
              </w:numPr>
              <w:spacing w:before="0" w:after="240"/>
              <w:ind w:left="1440" w:hanging="290"/>
              <w:jc w:val="left"/>
              <w:rPr>
                <w:szCs w:val="24"/>
              </w:rPr>
            </w:pPr>
            <w:r w:rsidRPr="005C3B55">
              <w:t>The condition for the payment of public support for an unconfirmed LDS is a drafted LDS which includes all the required elements, but fails to achieve sufficient points on the basis of selection criteria.</w:t>
            </w:r>
          </w:p>
          <w:p w:rsidR="00C21266" w:rsidRPr="005C3B55" w:rsidRDefault="00C21266">
            <w:pPr>
              <w:pStyle w:val="Telobesedila"/>
              <w:rPr>
                <w:lang w:eastAsia="en-GB" w:bidi="en-GB"/>
              </w:rPr>
            </w:pPr>
          </w:p>
        </w:tc>
      </w:tr>
    </w:tbl>
    <w:p w:rsidR="00C21266" w:rsidRPr="005C3B55" w:rsidRDefault="00C21266" w:rsidP="00C21266">
      <w:pPr>
        <w:pStyle w:val="Naslov6"/>
        <w:tabs>
          <w:tab w:val="clear" w:pos="765"/>
        </w:tabs>
        <w:ind w:left="0" w:firstLine="0"/>
        <w:rPr>
          <w:lang w:val="en-GB" w:eastAsia="en-GB" w:bidi="en-GB"/>
        </w:rPr>
      </w:pPr>
      <w:r w:rsidRPr="005C3B55">
        <w:rPr>
          <w:lang w:val="en-GB"/>
        </w:rPr>
        <w:t>Principles regarding the determination of selection criteria</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There will be no selection procedure within the scope of this sub-measure in terms of internal competition between local partnerships from different local areas, since we want to promote the formation and strengthening of local partnerships which have a common interest in developing the local area.</w:t>
            </w:r>
          </w:p>
          <w:p w:rsidR="00C21266" w:rsidRPr="005C3B55" w:rsidRDefault="00C21266">
            <w:pPr>
              <w:spacing w:before="240" w:after="240"/>
              <w:rPr>
                <w:szCs w:val="24"/>
              </w:rPr>
            </w:pPr>
            <w:r w:rsidRPr="005C3B55">
              <w:t>An LDS is selected on the basis of joint criteria for selection and the confirmation of LDS and LAG. A joint selection procedure will be implemented and a joint decision by relevant MAs will be adopted.</w:t>
            </w:r>
          </w:p>
          <w:p w:rsidR="00C21266" w:rsidRPr="005C3B55" w:rsidRDefault="00C21266">
            <w:pPr>
              <w:spacing w:before="240" w:after="240"/>
              <w:rPr>
                <w:szCs w:val="24"/>
              </w:rPr>
            </w:pPr>
            <w:r w:rsidRPr="005C3B55">
              <w:t> </w:t>
            </w:r>
          </w:p>
          <w:p w:rsidR="00C21266" w:rsidRPr="005C3B55" w:rsidRDefault="00C21266">
            <w:pPr>
              <w:pStyle w:val="Telobesedila"/>
              <w:rPr>
                <w:lang w:eastAsia="en-GB" w:bidi="en-GB"/>
              </w:rPr>
            </w:pPr>
          </w:p>
        </w:tc>
      </w:tr>
    </w:tbl>
    <w:p w:rsidR="00C21266" w:rsidRPr="005C3B55" w:rsidRDefault="00C21266" w:rsidP="00C21266">
      <w:pPr>
        <w:pStyle w:val="Naslov6"/>
        <w:tabs>
          <w:tab w:val="clear" w:pos="765"/>
        </w:tabs>
        <w:ind w:left="0" w:firstLine="0"/>
        <w:rPr>
          <w:lang w:val="en-GB" w:eastAsia="en-GB" w:bidi="en-GB"/>
        </w:rPr>
      </w:pPr>
      <w:r w:rsidRPr="005C3B55">
        <w:rPr>
          <w:lang w:val="en-GB"/>
        </w:rPr>
        <w:t>(Valid) amounts and support rates</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The public support in the amount of EUR 20,000 is paid for a confirmed LDS after the LDS has been prepared and confirmed.</w:t>
            </w:r>
          </w:p>
          <w:p w:rsidR="00C21266" w:rsidRPr="005C3B55" w:rsidRDefault="00C21266">
            <w:pPr>
              <w:spacing w:before="240" w:after="240"/>
              <w:rPr>
                <w:szCs w:val="24"/>
              </w:rPr>
            </w:pPr>
            <w:r w:rsidRPr="005C3B55">
              <w:t>The public support of maximum EUR 10,000 is paid for an unconfirmed LDS after the LDS has been prepared, reviewed and its actual costs incurred had been verified.</w:t>
            </w:r>
          </w:p>
          <w:p w:rsidR="00C21266" w:rsidRPr="005C3B55" w:rsidRDefault="00C21266">
            <w:pPr>
              <w:spacing w:before="240" w:after="240"/>
              <w:rPr>
                <w:szCs w:val="24"/>
              </w:rPr>
            </w:pPr>
            <w:r w:rsidRPr="005C3B55">
              <w:t>The co-financing rate for this sub-measure was not set, as the support payment is made in the form of a flat-rate sum for activities implemented in the course of preparing the LDS for the prepared LDS or on the basis of actually incurred costs for the unconfirmed LDS.</w:t>
            </w:r>
          </w:p>
          <w:p w:rsidR="00C21266" w:rsidRPr="005C3B55" w:rsidRDefault="00C21266">
            <w:pPr>
              <w:pStyle w:val="Telobesedila"/>
              <w:rPr>
                <w:lang w:eastAsia="en-GB" w:bidi="en-GB"/>
              </w:rPr>
            </w:pPr>
          </w:p>
        </w:tc>
      </w:tr>
    </w:tbl>
    <w:p w:rsidR="00C21266" w:rsidRPr="005C3B55" w:rsidRDefault="00C21266" w:rsidP="00C21266">
      <w:pPr>
        <w:pStyle w:val="Naslov6"/>
        <w:tabs>
          <w:tab w:val="clear" w:pos="765"/>
        </w:tabs>
        <w:ind w:left="0" w:firstLine="0"/>
        <w:rPr>
          <w:lang w:val="en-GB" w:eastAsia="en-GB" w:bidi="en-GB"/>
        </w:rPr>
      </w:pPr>
      <w:r w:rsidRPr="005C3B55">
        <w:rPr>
          <w:lang w:val="en-GB"/>
        </w:rPr>
        <w:t>Verifiability and possibility of control of measures and/or type of operations</w:t>
      </w:r>
    </w:p>
    <w:p w:rsidR="00C21266" w:rsidRPr="005C3B55" w:rsidRDefault="00C21266" w:rsidP="00C21266">
      <w:pPr>
        <w:pStyle w:val="Naslov7"/>
        <w:tabs>
          <w:tab w:val="clear" w:pos="765"/>
        </w:tabs>
        <w:ind w:left="0" w:firstLine="0"/>
        <w:rPr>
          <w:lang w:val="en-GB"/>
        </w:rPr>
      </w:pPr>
      <w:r w:rsidRPr="005C3B55">
        <w:rPr>
          <w:lang w:val="en-GB"/>
        </w:rPr>
        <w:t>Risks in the implementation of the measure</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rPr>
                <w:b/>
              </w:rPr>
              <w:t>R1: Application conditions for private beneficiaries</w:t>
            </w:r>
          </w:p>
          <w:p w:rsidR="00C21266" w:rsidRPr="005C3B55" w:rsidRDefault="00C21266">
            <w:pPr>
              <w:spacing w:before="240" w:after="240"/>
              <w:rPr>
                <w:szCs w:val="24"/>
              </w:rPr>
            </w:pPr>
            <w:r w:rsidRPr="005C3B55">
              <w:t>There is a risk that numerous local partnerships will form which are not able to prepare proper LDSs. </w:t>
            </w:r>
          </w:p>
          <w:p w:rsidR="00C21266" w:rsidRPr="005C3B55" w:rsidRDefault="00C21266">
            <w:pPr>
              <w:spacing w:before="240" w:after="240"/>
              <w:rPr>
                <w:szCs w:val="24"/>
              </w:rPr>
            </w:pPr>
            <w:r w:rsidRPr="005C3B55">
              <w:rPr>
                <w:b/>
              </w:rPr>
              <w:t>R3: Suitable overview and control system</w:t>
            </w:r>
          </w:p>
          <w:p w:rsidR="00C21266" w:rsidRPr="005C3B55" w:rsidRDefault="00C21266">
            <w:pPr>
              <w:spacing w:before="240" w:after="240"/>
              <w:rPr>
                <w:szCs w:val="24"/>
              </w:rPr>
            </w:pPr>
            <w:r w:rsidRPr="005C3B55">
              <w:t>There is a risk of double funding, the claiming of ineligible costs, and failure to fulfil obligations. In addition, there is a risk that LAGs have already received state aid, which means that the upper permissible value for state aid is exceeded. There is also a risk that false data and false statements will be provided.</w:t>
            </w:r>
          </w:p>
          <w:p w:rsidR="00C21266" w:rsidRPr="005C3B55" w:rsidRDefault="00C21266">
            <w:pPr>
              <w:spacing w:before="240" w:after="240"/>
              <w:rPr>
                <w:szCs w:val="24"/>
              </w:rPr>
            </w:pPr>
            <w:r w:rsidRPr="005C3B55">
              <w:rPr>
                <w:b/>
              </w:rPr>
              <w:t>R7: Selection of beneficiaries</w:t>
            </w:r>
          </w:p>
          <w:p w:rsidR="00C21266" w:rsidRPr="005C3B55" w:rsidRDefault="00C21266">
            <w:pPr>
              <w:spacing w:before="240" w:after="240"/>
              <w:rPr>
                <w:szCs w:val="24"/>
              </w:rPr>
            </w:pPr>
            <w:r w:rsidRPr="005C3B55">
              <w:t>There is a risk that areas covered by individual partnerships will overlap and, as a result, not all LDSs and LAGs will be selected and confirmed.</w:t>
            </w:r>
          </w:p>
          <w:p w:rsidR="00C21266" w:rsidRPr="005C3B55" w:rsidRDefault="00C21266">
            <w:pPr>
              <w:spacing w:before="240" w:after="240"/>
              <w:rPr>
                <w:szCs w:val="24"/>
              </w:rPr>
            </w:pPr>
            <w:r w:rsidRPr="005C3B55">
              <w:rPr>
                <w:b/>
              </w:rPr>
              <w:t>R8: IT systems</w:t>
            </w:r>
          </w:p>
          <w:p w:rsidR="00C21266" w:rsidRPr="005C3B55" w:rsidRDefault="00C21266">
            <w:pPr>
              <w:spacing w:before="240" w:after="240"/>
              <w:rPr>
                <w:szCs w:val="24"/>
              </w:rPr>
            </w:pPr>
            <w:r w:rsidRPr="005C3B55">
              <w:t>There is a risk of an inadequate IT system for enabling the entry of all LDS chapters. Risks may also be posed by disorderly or outdated registers which are the result of incompatible databases.</w:t>
            </w:r>
          </w:p>
          <w:p w:rsidR="00C21266" w:rsidRPr="005C3B55" w:rsidRDefault="00C21266">
            <w:pPr>
              <w:pStyle w:val="Telobesedila"/>
              <w:rPr>
                <w:lang w:eastAsia="en-GB" w:bidi="en-GB"/>
              </w:rPr>
            </w:pPr>
          </w:p>
        </w:tc>
      </w:tr>
    </w:tbl>
    <w:p w:rsidR="00C21266" w:rsidRPr="005C3B55" w:rsidRDefault="00C21266" w:rsidP="00C21266">
      <w:pPr>
        <w:pStyle w:val="Naslov7"/>
        <w:tabs>
          <w:tab w:val="clear" w:pos="765"/>
        </w:tabs>
        <w:ind w:left="0" w:firstLine="0"/>
        <w:rPr>
          <w:lang w:val="en-GB" w:eastAsia="en-GB" w:bidi="en-GB"/>
        </w:rPr>
      </w:pPr>
      <w:r w:rsidRPr="005C3B55">
        <w:rPr>
          <w:lang w:val="en-GB"/>
        </w:rPr>
        <w:t>Mitigation measures</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rPr>
                <w:b/>
              </w:rPr>
              <w:t>R1: Application conditions for private beneficiaries</w:t>
            </w:r>
          </w:p>
          <w:p w:rsidR="00C21266" w:rsidRPr="005C3B55" w:rsidRDefault="00C21266">
            <w:pPr>
              <w:spacing w:before="240" w:after="240"/>
              <w:rPr>
                <w:szCs w:val="24"/>
              </w:rPr>
            </w:pPr>
            <w:r w:rsidRPr="005C3B55">
              <w:t>The MA will organise workshops and training where it will try to explain the conditions in detail. The MA will also issue guidelines for the preparation of the LDS which will assist local partnerships when forming and preparing LDSs. At the time of the preparation of the LDS, constant dialogue will be established between local partnerships and the CLLD Coordination Committee.</w:t>
            </w:r>
          </w:p>
          <w:p w:rsidR="00C21266" w:rsidRPr="005C3B55" w:rsidRDefault="00C21266">
            <w:pPr>
              <w:spacing w:before="240" w:after="240"/>
              <w:rPr>
                <w:szCs w:val="24"/>
              </w:rPr>
            </w:pPr>
            <w:r w:rsidRPr="005C3B55">
              <w:rPr>
                <w:b/>
              </w:rPr>
              <w:t>R2: Suitable overview and control system</w:t>
            </w:r>
          </w:p>
          <w:p w:rsidR="00C21266" w:rsidRPr="005C3B55" w:rsidRDefault="00C21266">
            <w:pPr>
              <w:spacing w:before="240" w:after="240"/>
              <w:rPr>
                <w:szCs w:val="24"/>
              </w:rPr>
            </w:pPr>
            <w:r w:rsidRPr="005C3B55">
              <w:t>All LDSs will be reviewed in detail and assessed. If necessary, local partnerships will be invited to submit further evidence and justify the occurrence of individual activities.</w:t>
            </w:r>
          </w:p>
          <w:p w:rsidR="00C21266" w:rsidRPr="005C3B55" w:rsidRDefault="00C21266">
            <w:pPr>
              <w:spacing w:before="240" w:after="240"/>
              <w:rPr>
                <w:szCs w:val="24"/>
              </w:rPr>
            </w:pPr>
            <w:r w:rsidRPr="005C3B55">
              <w:rPr>
                <w:b/>
              </w:rPr>
              <w:t>R7: Selection of beneficiaries</w:t>
            </w:r>
          </w:p>
          <w:p w:rsidR="00C21266" w:rsidRPr="005C3B55" w:rsidRDefault="00C21266">
            <w:pPr>
              <w:spacing w:before="240" w:after="240"/>
              <w:rPr>
                <w:szCs w:val="24"/>
              </w:rPr>
            </w:pPr>
            <w:r w:rsidRPr="005C3B55">
              <w:t>The potential beneficiaries are local partnerships which prepare LDS. A municipality cannot be divided into two sections, but can either join one or the other local partnership. This will prevent the overlapping of LAG areas and, as a result, the rejection of the LDS and LAG.</w:t>
            </w:r>
          </w:p>
          <w:p w:rsidR="00C21266" w:rsidRPr="005C3B55" w:rsidRDefault="00C21266">
            <w:pPr>
              <w:spacing w:before="240" w:after="240"/>
              <w:rPr>
                <w:szCs w:val="24"/>
              </w:rPr>
            </w:pPr>
            <w:r w:rsidRPr="005C3B55">
              <w:rPr>
                <w:b/>
              </w:rPr>
              <w:t>R8: IT systems</w:t>
            </w:r>
            <w:r w:rsidRPr="005C3B55">
              <w:t> </w:t>
            </w:r>
          </w:p>
          <w:p w:rsidR="00C21266" w:rsidRPr="005C3B55" w:rsidRDefault="00C21266">
            <w:pPr>
              <w:spacing w:before="240" w:after="240"/>
              <w:rPr>
                <w:szCs w:val="24"/>
              </w:rPr>
            </w:pPr>
            <w:r w:rsidRPr="005C3B55">
              <w:t>IT support will be established to enable electronic submission of applications and requests for payment, thus simplifying the verification of double financing, business operations of associated parties, and separation between the funding of individual costs at the LEADER sub-measure level and other measures of the RDP 2014-2020. The system will also incorporate different databases, which will enable faster and more precise data verification. If databases are not mutually compatible so that they can be automatically verified within the IT system, verification will be carried out by exchanging data between database media. At the same time the IT system will provide data for the purpose of monitoring the sub-measures.</w:t>
            </w:r>
          </w:p>
          <w:p w:rsidR="00C21266" w:rsidRPr="005C3B55" w:rsidRDefault="00C21266">
            <w:pPr>
              <w:pStyle w:val="Telobesedila"/>
              <w:rPr>
                <w:lang w:eastAsia="en-GB" w:bidi="en-GB"/>
              </w:rPr>
            </w:pPr>
          </w:p>
        </w:tc>
      </w:tr>
    </w:tbl>
    <w:p w:rsidR="00C21266" w:rsidRPr="005C3B55" w:rsidRDefault="00C21266" w:rsidP="00C21266">
      <w:pPr>
        <w:pStyle w:val="Naslov7"/>
        <w:tabs>
          <w:tab w:val="clear" w:pos="765"/>
        </w:tabs>
        <w:ind w:left="0" w:firstLine="0"/>
        <w:rPr>
          <w:lang w:val="en-GB" w:eastAsia="en-GB" w:bidi="en-GB"/>
        </w:rPr>
      </w:pPr>
      <w:r w:rsidRPr="005C3B55">
        <w:rPr>
          <w:lang w:val="en-GB"/>
        </w:rPr>
        <w:t>General assessment of the measure</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The sub-measure in the anticipated form is fully feasible and controllable, since local partnerships will have to submit LDSs to the CLLD Coordination Committee and for review and MA for confirmation. The local partnerships will also have to submit a report on implemented activities, and keep at their head office other evidence (attendance lists, travel orders, timeliness, invitations and other evidence on costs incurred) which will be available for review and verification.</w:t>
            </w:r>
          </w:p>
          <w:p w:rsidR="00C21266" w:rsidRPr="005C3B55" w:rsidRDefault="00C21266">
            <w:pPr>
              <w:spacing w:before="240" w:after="240"/>
              <w:rPr>
                <w:szCs w:val="24"/>
              </w:rPr>
            </w:pPr>
            <w:r w:rsidRPr="005C3B55">
              <w:t xml:space="preserve">The implementation of this sub-measure is crucial in terms of developing local partnerships, since the public support under this sub-measure is intended to recover the costs incurred during the LDS preparation, i.e. for training local interested entities, studying the respective area (including the feasibility studies for some operations which have to be foreseen in LDS), costs incurred in the preparation of LDS, as well as costs of consultations with interested entities in order to prepare LDS and all the administrative costs of local partnerships. </w:t>
            </w:r>
          </w:p>
          <w:p w:rsidR="00C21266" w:rsidRPr="005C3B55" w:rsidRDefault="00C21266">
            <w:pPr>
              <w:pStyle w:val="Telobesedila"/>
              <w:rPr>
                <w:lang w:eastAsia="en-GB" w:bidi="en-GB"/>
              </w:rPr>
            </w:pPr>
          </w:p>
        </w:tc>
      </w:tr>
    </w:tbl>
    <w:p w:rsidR="00C21266" w:rsidRPr="005C3B55" w:rsidRDefault="00C21266" w:rsidP="00C21266">
      <w:pPr>
        <w:pStyle w:val="Naslov6"/>
        <w:tabs>
          <w:tab w:val="clear" w:pos="765"/>
        </w:tabs>
        <w:ind w:left="0" w:firstLine="0"/>
        <w:rPr>
          <w:lang w:val="en-GB" w:eastAsia="en-GB" w:bidi="en-GB"/>
        </w:rPr>
      </w:pPr>
      <w:r w:rsidRPr="005C3B55">
        <w:rPr>
          <w:lang w:val="en-GB"/>
        </w:rPr>
        <w:t>Methodology for calculating support amount, where relevant</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The methodology for the calculation of a flat-rate amount for the payment of public support in the amount of EUR 20,000 for a confirmed LDS is based on historical data from 2007–2013, when, at the beginning of the programming period, LAGs prepared LDSs and claimed the LDS preparation costs in their first request for the payment of the support rate for so-called measure 431 ‘Management of local action groups, acquisition of expert knowledge and area animation’.</w:t>
            </w:r>
          </w:p>
          <w:p w:rsidR="00C21266" w:rsidRPr="005C3B55" w:rsidRDefault="00C21266">
            <w:pPr>
              <w:spacing w:before="240" w:after="240"/>
              <w:rPr>
                <w:szCs w:val="24"/>
              </w:rPr>
            </w:pPr>
            <w:r w:rsidRPr="005C3B55">
              <w:t>As per Point 2 of Article 62 of Regulation (EU) No 1305/2013, the calculation is verified by an independent body on the basis of suitable, fair and verifiable calculations.</w:t>
            </w:r>
          </w:p>
          <w:p w:rsidR="00C21266" w:rsidRPr="005C3B55" w:rsidRDefault="00C21266">
            <w:pPr>
              <w:pStyle w:val="Telobesedila"/>
              <w:rPr>
                <w:lang w:eastAsia="en-GB" w:bidi="en-GB"/>
              </w:rPr>
            </w:pPr>
          </w:p>
        </w:tc>
      </w:tr>
    </w:tbl>
    <w:p w:rsidR="00C21266" w:rsidRPr="005C3B55" w:rsidRDefault="00C21266" w:rsidP="00C21266">
      <w:pPr>
        <w:pStyle w:val="Naslov6"/>
        <w:tabs>
          <w:tab w:val="clear" w:pos="765"/>
        </w:tabs>
        <w:ind w:left="0" w:firstLine="0"/>
        <w:rPr>
          <w:lang w:val="en-GB" w:eastAsia="en-GB" w:bidi="en-GB"/>
        </w:rPr>
      </w:pPr>
      <w:r w:rsidRPr="005C3B55">
        <w:rPr>
          <w:lang w:val="en-GB"/>
        </w:rPr>
        <w:t>Information that relates specifically to the operation</w:t>
      </w:r>
    </w:p>
    <w:p w:rsidR="00C21266" w:rsidRPr="005C3B55" w:rsidRDefault="00C21266" w:rsidP="00C21266">
      <w:r w:rsidRPr="005C3B55">
        <w:t>Description of the obligatory Community Led Local Development (hereafter ‘CLLD’) elements of which the LEADER measure is composed: preparatory support; implementation of operations under the CLLD strategy; preparation and implementation of co-operation activities of the Local Action Group (LAG); running costs; and animation referred to in Article 35(1) of Regulation (EU) No 1303/2013</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Not relevant.</w:t>
            </w:r>
          </w:p>
          <w:p w:rsidR="00C21266" w:rsidRPr="005C3B55" w:rsidRDefault="00C21266">
            <w:pPr>
              <w:pStyle w:val="Telobesedila"/>
              <w:rPr>
                <w:lang w:eastAsia="en-GB" w:bidi="en-GB"/>
              </w:rPr>
            </w:pPr>
          </w:p>
        </w:tc>
      </w:tr>
    </w:tbl>
    <w:p w:rsidR="00C21266" w:rsidRPr="005C3B55" w:rsidRDefault="00C21266" w:rsidP="00C21266">
      <w:pPr>
        <w:rPr>
          <w:rFonts w:eastAsia="Calibri"/>
          <w:szCs w:val="22"/>
          <w:lang w:eastAsia="en-GB" w:bidi="en-GB"/>
        </w:rPr>
      </w:pPr>
      <w:r w:rsidRPr="005C3B55">
        <w:t>Description of the use of the LEADER start-up-kit referred to in Article 43 of Regulation (EU) No 1305/2013 as a specific type of preparatory support (if proper)</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The LEADER start-up-kit will not be programmed.</w:t>
            </w:r>
          </w:p>
          <w:p w:rsidR="00C21266" w:rsidRPr="005C3B55" w:rsidRDefault="00C21266">
            <w:pPr>
              <w:pStyle w:val="Telobesedila"/>
              <w:rPr>
                <w:lang w:eastAsia="en-GB" w:bidi="en-GB"/>
              </w:rPr>
            </w:pPr>
          </w:p>
        </w:tc>
      </w:tr>
    </w:tbl>
    <w:p w:rsidR="00C21266" w:rsidRPr="005C3B55" w:rsidRDefault="00C21266" w:rsidP="00C21266">
      <w:pPr>
        <w:rPr>
          <w:rFonts w:eastAsia="Calibri"/>
          <w:szCs w:val="22"/>
          <w:lang w:eastAsia="en-GB" w:bidi="en-GB"/>
        </w:rPr>
      </w:pPr>
      <w:r w:rsidRPr="005C3B55">
        <w:t>Description of the system of running applications for cooperation projects in the scope of the LEADER approach referred to in Article 44 (3) of Regulation (EU) No 1305/2013</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Not relevant.</w:t>
            </w:r>
          </w:p>
          <w:p w:rsidR="00C21266" w:rsidRPr="005C3B55" w:rsidRDefault="00C21266">
            <w:pPr>
              <w:pStyle w:val="Telobesedila"/>
              <w:rPr>
                <w:lang w:eastAsia="en-GB" w:bidi="en-GB"/>
              </w:rPr>
            </w:pPr>
          </w:p>
        </w:tc>
      </w:tr>
    </w:tbl>
    <w:p w:rsidR="00C21266" w:rsidRPr="005C3B55" w:rsidRDefault="00C21266" w:rsidP="00C21266">
      <w:pPr>
        <w:rPr>
          <w:rFonts w:eastAsia="Calibri"/>
          <w:szCs w:val="22"/>
          <w:lang w:eastAsia="en-GB" w:bidi="en-GB"/>
        </w:rPr>
      </w:pPr>
      <w:r w:rsidRPr="005C3B55">
        <w:t>The procedure and timetable to select local development strategies</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A joint call for the preparation of LDS and formation of LAG will be prepared. Local partnerships must prepare LDSs within twelve months from the issue of an appeal and submit it the CLLD Coordination Committee for inspection. The selection and confirmation of LDSs and LAGs will be based on the verification of the fulfilment of conditions as set out in Regulations (EU) Nos 1303/2013, 1305/2013 and 508/2014, and implementing EU and national regulations. On the basis of the selection criteria, the CLLD Coordination Committee will select LDSs and LAGS. The final selection of LDSs and LAGs on the basis of the CLLD Coordination Committee proposal will be implemented by the competent MAs which also confirm LDSs. The LDSs will be selected within two years of the approval of the Partnership Agreement.</w:t>
            </w:r>
          </w:p>
          <w:p w:rsidR="00C21266" w:rsidRPr="005C3B55" w:rsidRDefault="00C21266">
            <w:pPr>
              <w:spacing w:before="240" w:after="240"/>
              <w:rPr>
                <w:szCs w:val="24"/>
              </w:rPr>
            </w:pPr>
            <w:r w:rsidRPr="005C3B55">
              <w:t>The selection of LDSs and LAGs will be based on common criteria and selection criteria deriving from the following principles as defined in the Partnership Agreement:</w:t>
            </w:r>
          </w:p>
          <w:p w:rsidR="00C21266" w:rsidRPr="005C3B55" w:rsidRDefault="00C21266" w:rsidP="00C21266">
            <w:pPr>
              <w:numPr>
                <w:ilvl w:val="0"/>
                <w:numId w:val="1020"/>
              </w:numPr>
              <w:spacing w:before="240" w:after="0"/>
              <w:jc w:val="left"/>
              <w:rPr>
                <w:szCs w:val="24"/>
              </w:rPr>
            </w:pPr>
            <w:r w:rsidRPr="005C3B55">
              <w:t>compliance of LDS objectives with the development needs of an area,</w:t>
            </w:r>
          </w:p>
          <w:p w:rsidR="00C21266" w:rsidRPr="005C3B55" w:rsidRDefault="00C21266" w:rsidP="00C21266">
            <w:pPr>
              <w:numPr>
                <w:ilvl w:val="0"/>
                <w:numId w:val="1020"/>
              </w:numPr>
              <w:spacing w:before="0" w:after="0"/>
              <w:jc w:val="left"/>
              <w:rPr>
                <w:szCs w:val="24"/>
              </w:rPr>
            </w:pPr>
            <w:r w:rsidRPr="005C3B55">
              <w:t>observance of four thematic action areas,</w:t>
            </w:r>
          </w:p>
          <w:p w:rsidR="00C21266" w:rsidRPr="005C3B55" w:rsidRDefault="00C21266" w:rsidP="00C21266">
            <w:pPr>
              <w:numPr>
                <w:ilvl w:val="0"/>
                <w:numId w:val="1020"/>
              </w:numPr>
              <w:spacing w:before="0" w:after="0"/>
              <w:jc w:val="left"/>
              <w:rPr>
                <w:szCs w:val="24"/>
              </w:rPr>
            </w:pPr>
            <w:r w:rsidRPr="005C3B55">
              <w:t>content harmonisation between individual chapters in LDS,</w:t>
            </w:r>
          </w:p>
          <w:p w:rsidR="00C21266" w:rsidRPr="005C3B55" w:rsidRDefault="00C21266" w:rsidP="00C21266">
            <w:pPr>
              <w:numPr>
                <w:ilvl w:val="0"/>
                <w:numId w:val="1020"/>
              </w:numPr>
              <w:spacing w:before="0" w:after="0"/>
              <w:jc w:val="left"/>
              <w:rPr>
                <w:szCs w:val="24"/>
              </w:rPr>
            </w:pPr>
            <w:r w:rsidRPr="005C3B55">
              <w:t>harmonisation of the action plan,</w:t>
            </w:r>
          </w:p>
          <w:p w:rsidR="00C21266" w:rsidRPr="005C3B55" w:rsidRDefault="00C21266" w:rsidP="00C21266">
            <w:pPr>
              <w:numPr>
                <w:ilvl w:val="0"/>
                <w:numId w:val="1020"/>
              </w:numPr>
              <w:spacing w:before="0" w:after="0"/>
              <w:jc w:val="left"/>
              <w:rPr>
                <w:szCs w:val="24"/>
              </w:rPr>
            </w:pPr>
            <w:r w:rsidRPr="005C3B55">
              <w:t>inclusion of local players in LDS preparation, and</w:t>
            </w:r>
          </w:p>
          <w:p w:rsidR="00C21266" w:rsidRPr="005C3B55" w:rsidRDefault="00C21266" w:rsidP="00C21266">
            <w:pPr>
              <w:numPr>
                <w:ilvl w:val="0"/>
                <w:numId w:val="1020"/>
              </w:numPr>
              <w:spacing w:before="0" w:after="240"/>
              <w:jc w:val="left"/>
              <w:rPr>
                <w:szCs w:val="24"/>
              </w:rPr>
            </w:pPr>
            <w:r w:rsidRPr="005C3B55">
              <w:t>partnership suitability and efficiency.</w:t>
            </w:r>
          </w:p>
          <w:p w:rsidR="00C21266" w:rsidRPr="005C3B55" w:rsidRDefault="00C21266">
            <w:pPr>
              <w:pStyle w:val="Telobesedila"/>
              <w:rPr>
                <w:lang w:eastAsia="en-GB" w:bidi="en-GB"/>
              </w:rPr>
            </w:pPr>
          </w:p>
        </w:tc>
      </w:tr>
    </w:tbl>
    <w:p w:rsidR="00C21266" w:rsidRPr="005C3B55" w:rsidRDefault="00C21266" w:rsidP="00C21266">
      <w:pPr>
        <w:rPr>
          <w:rFonts w:eastAsia="Calibri"/>
          <w:szCs w:val="22"/>
          <w:lang w:eastAsia="en-GB" w:bidi="en-GB"/>
        </w:rPr>
      </w:pPr>
      <w:r w:rsidRPr="005C3B55">
        <w:t>Justification for the selection of geographical areas for local development strategy implementation whose population falls outside the limits set out in Article 33(6) of Regulation (EU) No 1303/2013</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The sub-measure has been programmed as per Point 6 of Article 33 of Regulation (EU) No 1303/2013 and is being implemented in areas with 10,000 to 150,000 inhabitants.</w:t>
            </w:r>
          </w:p>
          <w:p w:rsidR="00C21266" w:rsidRPr="005C3B55" w:rsidRDefault="00C21266">
            <w:pPr>
              <w:pStyle w:val="Telobesedila"/>
              <w:rPr>
                <w:lang w:eastAsia="en-GB" w:bidi="en-GB"/>
              </w:rPr>
            </w:pPr>
          </w:p>
        </w:tc>
      </w:tr>
    </w:tbl>
    <w:p w:rsidR="00C21266" w:rsidRPr="005C3B55" w:rsidRDefault="00C21266" w:rsidP="00C21266">
      <w:pPr>
        <w:rPr>
          <w:rFonts w:eastAsia="Calibri"/>
          <w:szCs w:val="22"/>
          <w:lang w:eastAsia="en-GB" w:bidi="en-GB"/>
        </w:rPr>
      </w:pPr>
      <w:r w:rsidRPr="005C3B55">
        <w:t>Co-ordination with the other ESI-Funds as regards CLLD, including possible solutions applied with regard to the use of the lead fund option, and any global complementarities between the ESI-Funds in financing the preparatory support</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For the implementation of the joint CLLD approach, the CLLD Coordination Committee will be established, whose tasks will be, inter alia, harmonisation, the search for synergies and delimitation of funds. A mechanism which enables data exchange between different bodies which will implement various types of measures will be established. The exchange of information and coordination will be implemented through an individual MA for a relevant fund; the National Rural Network will perform tasks of informing for the EAFRD fund.</w:t>
            </w:r>
          </w:p>
          <w:p w:rsidR="00C21266" w:rsidRPr="005C3B55" w:rsidRDefault="00C21266">
            <w:pPr>
              <w:spacing w:before="240" w:after="240"/>
              <w:rPr>
                <w:szCs w:val="24"/>
              </w:rPr>
            </w:pPr>
            <w:r w:rsidRPr="005C3B55">
              <w:t>A joint call for the preparation of LDS and formation of LAG will be prepared. Common criteria for the selection and confirmation of LDS and LAG will be determined. A joint selection procedure will be implemented and a joint decision by relevant MAs will be adopted. The share of co-financing of the preparatory support as per individual fund will be determined on the basis of the amount of commitment appropriations.</w:t>
            </w:r>
          </w:p>
          <w:p w:rsidR="00C21266" w:rsidRPr="005C3B55" w:rsidRDefault="00C21266">
            <w:pPr>
              <w:pStyle w:val="Telobesedila"/>
              <w:rPr>
                <w:lang w:eastAsia="en-GB" w:bidi="en-GB"/>
              </w:rPr>
            </w:pPr>
          </w:p>
        </w:tc>
      </w:tr>
    </w:tbl>
    <w:p w:rsidR="00C21266" w:rsidRPr="005C3B55" w:rsidRDefault="00C21266" w:rsidP="00C21266">
      <w:pPr>
        <w:rPr>
          <w:rFonts w:eastAsia="Calibri"/>
          <w:szCs w:val="22"/>
          <w:lang w:eastAsia="en-GB" w:bidi="en-GB"/>
        </w:rPr>
      </w:pPr>
      <w:r w:rsidRPr="005C3B55">
        <w:t>Possibility or not of paying advances</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Not relevant.</w:t>
            </w:r>
          </w:p>
          <w:p w:rsidR="00C21266" w:rsidRPr="005C3B55" w:rsidRDefault="00C21266">
            <w:pPr>
              <w:pStyle w:val="Telobesedila"/>
              <w:rPr>
                <w:lang w:eastAsia="en-GB" w:bidi="en-GB"/>
              </w:rPr>
            </w:pPr>
          </w:p>
        </w:tc>
      </w:tr>
    </w:tbl>
    <w:p w:rsidR="00C21266" w:rsidRPr="005C3B55" w:rsidRDefault="00C21266" w:rsidP="00C21266">
      <w:pPr>
        <w:rPr>
          <w:rFonts w:eastAsia="Calibri"/>
          <w:szCs w:val="22"/>
          <w:lang w:eastAsia="en-GB" w:bidi="en-GB"/>
        </w:rPr>
      </w:pPr>
      <w:r w:rsidRPr="005C3B55">
        <w:t>Definition of the tasks of the Managing Authority, the Paying Agency and the LAGs under LEADER, in particular with regard to non-discriminatory and transparent selection procedures and objective criteria for the selection of operations referred to in Article 34 (3) (b) of Regulation (EU) No 1303/2013</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The local partnerships must prepare LDS on the basis of an appeal of respective MAs and submit it for confirmation within twelve months from the issue of an appeal. On the basis of the selection criteria, the CLLD Coordination Committee will select LDSs and LAGs. The final selection of LDSs and LAGs will be confirmed by the competent MAs on the basis of a proposal from the CLLD Coordination Committee. The LDSs will be selected within two years of the confirmation of the Partnership Agreement.</w:t>
            </w:r>
          </w:p>
          <w:p w:rsidR="00C21266" w:rsidRPr="005C3B55" w:rsidRDefault="00C21266">
            <w:pPr>
              <w:spacing w:before="240" w:after="240"/>
              <w:rPr>
                <w:szCs w:val="24"/>
              </w:rPr>
            </w:pPr>
            <w:r w:rsidRPr="005C3B55">
              <w:t>The MA will determine the financial framework for individual LAGs on the basis of criteria.</w:t>
            </w:r>
          </w:p>
          <w:p w:rsidR="00C21266" w:rsidRPr="005C3B55" w:rsidRDefault="00C21266">
            <w:pPr>
              <w:spacing w:before="240" w:after="240"/>
              <w:rPr>
                <w:szCs w:val="24"/>
              </w:rPr>
            </w:pPr>
            <w:r w:rsidRPr="005C3B55">
              <w:t>The payment of public support under this sub-measure for the EAFRD fund will be made by the Paying Agency after the LDS selection on the basis of the MA decision. The public support will be remitted to the LAG transaction account. </w:t>
            </w:r>
          </w:p>
          <w:p w:rsidR="00C21266" w:rsidRPr="005C3B55" w:rsidRDefault="00C21266">
            <w:pPr>
              <w:pStyle w:val="Telobesedila"/>
              <w:rPr>
                <w:lang w:eastAsia="en-GB" w:bidi="en-GB"/>
              </w:rPr>
            </w:pPr>
          </w:p>
        </w:tc>
      </w:tr>
    </w:tbl>
    <w:p w:rsidR="00C21266" w:rsidRPr="005C3B55" w:rsidRDefault="00C21266" w:rsidP="00C21266">
      <w:pPr>
        <w:rPr>
          <w:rFonts w:eastAsia="Calibri"/>
          <w:szCs w:val="22"/>
          <w:lang w:eastAsia="en-GB" w:bidi="en-GB"/>
        </w:rPr>
      </w:pPr>
      <w:r w:rsidRPr="005C3B55">
        <w:t>Description of co-ordination mechanisms foreseen and complementarities ensured with operations supported under other rural development measures especially as regards: investments in non-agricultural activities and business start-up aid under Article 19 of Regulation (EU) No 1305/2013; investments under Article 20 of Regulation (EU) No 1305/2013; and co-operation approaches under Article 35 of Regulation (EU) No 1305/2013, in particular, the implementation of local development strategies by public-private partnerships</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Not relevant.</w:t>
            </w:r>
          </w:p>
          <w:p w:rsidR="00C21266" w:rsidRPr="005C3B55" w:rsidRDefault="00C21266">
            <w:pPr>
              <w:pStyle w:val="Telobesedila"/>
              <w:rPr>
                <w:lang w:eastAsia="en-GB" w:bidi="en-GB"/>
              </w:rPr>
            </w:pPr>
          </w:p>
        </w:tc>
      </w:tr>
    </w:tbl>
    <w:p w:rsidR="00C21266" w:rsidRPr="005C3B55" w:rsidRDefault="00C21266" w:rsidP="00C21266">
      <w:pPr>
        <w:pStyle w:val="Naslov4"/>
        <w:tabs>
          <w:tab w:val="clear" w:pos="765"/>
        </w:tabs>
        <w:ind w:left="0" w:firstLine="0"/>
        <w:jc w:val="left"/>
        <w:rPr>
          <w:lang w:val="en-GB" w:eastAsia="en-GB" w:bidi="en-GB"/>
        </w:rPr>
      </w:pPr>
      <w:r w:rsidRPr="005C3B55">
        <w:rPr>
          <w:lang w:val="en-GB"/>
        </w:rPr>
        <w:t>Verifiability and possibility of control of measures and/or type of operations</w:t>
      </w:r>
    </w:p>
    <w:p w:rsidR="00C21266" w:rsidRPr="005C3B55" w:rsidRDefault="00C21266" w:rsidP="00C21266">
      <w:pPr>
        <w:pStyle w:val="Naslov5"/>
        <w:tabs>
          <w:tab w:val="clear" w:pos="765"/>
        </w:tabs>
        <w:ind w:left="0" w:firstLine="0"/>
        <w:rPr>
          <w:b w:val="0"/>
          <w:lang w:val="en-GB"/>
        </w:rPr>
      </w:pPr>
      <w:r w:rsidRPr="005C3B55">
        <w:rPr>
          <w:b w:val="0"/>
          <w:lang w:val="en-GB"/>
        </w:rPr>
        <w:t>Risks in the implementation of the measure</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Risks are determined within individual sub-measures.</w:t>
            </w:r>
          </w:p>
          <w:p w:rsidR="00C21266" w:rsidRPr="005C3B55" w:rsidRDefault="00C21266">
            <w:pPr>
              <w:pStyle w:val="Telobesedila"/>
              <w:rPr>
                <w:lang w:eastAsia="en-GB" w:bidi="en-GB"/>
              </w:rPr>
            </w:pPr>
          </w:p>
        </w:tc>
      </w:tr>
    </w:tbl>
    <w:p w:rsidR="00C21266" w:rsidRPr="005C3B55" w:rsidRDefault="00C21266" w:rsidP="00C21266">
      <w:pPr>
        <w:pStyle w:val="Naslov5"/>
        <w:tabs>
          <w:tab w:val="clear" w:pos="765"/>
        </w:tabs>
        <w:ind w:left="0" w:firstLine="0"/>
        <w:rPr>
          <w:b w:val="0"/>
          <w:lang w:val="en-GB" w:eastAsia="en-GB" w:bidi="en-GB"/>
        </w:rPr>
      </w:pPr>
      <w:r w:rsidRPr="005C3B55">
        <w:rPr>
          <w:b w:val="0"/>
          <w:lang w:val="en-GB"/>
        </w:rPr>
        <w:t>Mitigation measures</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Mitigating actions are determined within individual sub-measures.</w:t>
            </w:r>
          </w:p>
          <w:p w:rsidR="00C21266" w:rsidRPr="005C3B55" w:rsidRDefault="00C21266">
            <w:pPr>
              <w:pStyle w:val="Telobesedila"/>
              <w:rPr>
                <w:lang w:eastAsia="en-GB" w:bidi="en-GB"/>
              </w:rPr>
            </w:pPr>
          </w:p>
        </w:tc>
      </w:tr>
    </w:tbl>
    <w:p w:rsidR="00C21266" w:rsidRPr="005C3B55" w:rsidRDefault="00C21266" w:rsidP="00C21266">
      <w:pPr>
        <w:pStyle w:val="Naslov5"/>
        <w:tabs>
          <w:tab w:val="clear" w:pos="765"/>
        </w:tabs>
        <w:ind w:left="0" w:firstLine="0"/>
        <w:rPr>
          <w:b w:val="0"/>
          <w:lang w:val="en-GB" w:eastAsia="en-GB" w:bidi="en-GB"/>
        </w:rPr>
      </w:pPr>
      <w:r w:rsidRPr="005C3B55">
        <w:rPr>
          <w:b w:val="0"/>
          <w:lang w:val="en-GB"/>
        </w:rPr>
        <w:t>General assessment of the measure</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The measure in the anticipated form is fully feasible and controllable and will have the expected results and contribute to achieving the set objectives of the RDP 2014-2020. The LEADER measures proved a successful tool for attaining the objectives of local action groups in the 2007-2013 programming period. On the basis of past experience, it is expected that the implementation of this measure will further strengthen and make a significant contribution to realising horizontal objectives, particularly in increasing innovation and sustainable rural development. Although the implementation of this measure is mandatory for the EAFRD fund, we estimate that the implementation of the measure according to the 'bottom-up' principle is necessary for local development, since the local partnerships are best acquainted with the needs of individual local areas, meaning that the local objectives will be attained within the scope of operations co-financed under this measure.</w:t>
            </w:r>
          </w:p>
          <w:p w:rsidR="00C21266" w:rsidRPr="005C3B55" w:rsidRDefault="00C21266">
            <w:pPr>
              <w:pStyle w:val="Telobesedila"/>
              <w:rPr>
                <w:lang w:eastAsia="en-GB" w:bidi="en-GB"/>
              </w:rPr>
            </w:pPr>
          </w:p>
        </w:tc>
      </w:tr>
    </w:tbl>
    <w:p w:rsidR="00C21266" w:rsidRPr="005C3B55" w:rsidRDefault="00C21266" w:rsidP="00C21266">
      <w:pPr>
        <w:pStyle w:val="Naslov4"/>
        <w:tabs>
          <w:tab w:val="clear" w:pos="765"/>
        </w:tabs>
        <w:ind w:left="0" w:firstLine="0"/>
        <w:jc w:val="left"/>
        <w:rPr>
          <w:lang w:val="en-GB" w:eastAsia="en-GB" w:bidi="en-GB"/>
        </w:rPr>
      </w:pPr>
      <w:r w:rsidRPr="005C3B55">
        <w:rPr>
          <w:lang w:val="en-GB"/>
        </w:rPr>
        <w:t>Methodology for calculating support amount, where relevant</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The methodology for calculating the amount of support rate is determined within individual sub-measures, where relevant.</w:t>
            </w:r>
          </w:p>
          <w:p w:rsidR="00C21266" w:rsidRPr="005C3B55" w:rsidRDefault="00C21266">
            <w:pPr>
              <w:pStyle w:val="Telobesedila"/>
              <w:rPr>
                <w:lang w:eastAsia="en-GB" w:bidi="en-GB"/>
              </w:rPr>
            </w:pPr>
          </w:p>
        </w:tc>
      </w:tr>
    </w:tbl>
    <w:p w:rsidR="00C21266" w:rsidRPr="005C3B55" w:rsidRDefault="00C21266" w:rsidP="00C21266">
      <w:pPr>
        <w:pStyle w:val="Naslov4"/>
        <w:tabs>
          <w:tab w:val="clear" w:pos="765"/>
        </w:tabs>
        <w:ind w:left="0" w:firstLine="0"/>
        <w:jc w:val="left"/>
        <w:rPr>
          <w:lang w:val="en-GB" w:eastAsia="en-GB" w:bidi="en-GB"/>
        </w:rPr>
      </w:pPr>
      <w:r w:rsidRPr="005C3B55">
        <w:rPr>
          <w:lang w:val="en-GB"/>
        </w:rPr>
        <w:t>Additional information that relates specifically to the operation</w:t>
      </w:r>
    </w:p>
    <w:p w:rsidR="00C21266" w:rsidRPr="005C3B55" w:rsidRDefault="00C21266" w:rsidP="00C21266">
      <w:r w:rsidRPr="005C3B55">
        <w:t>Description of the obligatory Community Led Local Development (hereafter ‘CLLD’) elements of which the LEADER measure is composed: preparatory support; implementation of operations under the CLLD strategy; preparation and implementation of co-operation activities of the Local Action Group (LAG); running costs; and animation referred to in Article 35(1) of Regulation (EU) No 1303/2013</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The LEADER measure will support activities within four sub-measures:</w:t>
            </w:r>
          </w:p>
          <w:p w:rsidR="00C21266" w:rsidRPr="005C3B55" w:rsidRDefault="00C21266">
            <w:pPr>
              <w:spacing w:before="240" w:after="240"/>
              <w:rPr>
                <w:szCs w:val="24"/>
              </w:rPr>
            </w:pPr>
            <w:r w:rsidRPr="005C3B55">
              <w:t>M19.1 Preparatory support;</w:t>
            </w:r>
          </w:p>
          <w:p w:rsidR="00C21266" w:rsidRPr="005C3B55" w:rsidRDefault="00C21266">
            <w:pPr>
              <w:spacing w:before="240" w:after="240"/>
              <w:rPr>
                <w:szCs w:val="24"/>
              </w:rPr>
            </w:pPr>
            <w:r w:rsidRPr="005C3B55">
              <w:t>M19.2 Support for implementing operations under the community-led local development strategy</w:t>
            </w:r>
          </w:p>
          <w:p w:rsidR="00C21266" w:rsidRPr="005C3B55" w:rsidRDefault="00C21266">
            <w:pPr>
              <w:spacing w:before="240" w:after="240"/>
              <w:rPr>
                <w:szCs w:val="24"/>
              </w:rPr>
            </w:pPr>
            <w:r w:rsidRPr="005C3B55">
              <w:t>M19.3 Preparation and implementation of cooperation activities of the local action group and</w:t>
            </w:r>
          </w:p>
          <w:p w:rsidR="00C21266" w:rsidRPr="005C3B55" w:rsidRDefault="00C21266">
            <w:pPr>
              <w:spacing w:before="240" w:after="240"/>
              <w:rPr>
                <w:szCs w:val="24"/>
              </w:rPr>
            </w:pPr>
            <w:r w:rsidRPr="005C3B55">
              <w:t>M19.4 Support for running costs and animation</w:t>
            </w:r>
          </w:p>
          <w:p w:rsidR="00C21266" w:rsidRPr="005C3B55" w:rsidRDefault="00C21266">
            <w:pPr>
              <w:spacing w:before="240" w:after="240"/>
              <w:rPr>
                <w:szCs w:val="24"/>
              </w:rPr>
            </w:pPr>
            <w:r w:rsidRPr="005C3B55">
              <w:t>The description of individual sub-measures is included within individual chapters which refer to individual sub-measures.</w:t>
            </w:r>
          </w:p>
          <w:p w:rsidR="00C21266" w:rsidRPr="005C3B55" w:rsidRDefault="00C21266">
            <w:pPr>
              <w:pStyle w:val="Telobesedila"/>
              <w:rPr>
                <w:lang w:eastAsia="en-GB" w:bidi="en-GB"/>
              </w:rPr>
            </w:pPr>
          </w:p>
        </w:tc>
      </w:tr>
    </w:tbl>
    <w:p w:rsidR="00C21266" w:rsidRPr="005C3B55" w:rsidRDefault="00C21266" w:rsidP="00C21266">
      <w:pPr>
        <w:spacing w:after="100"/>
        <w:rPr>
          <w:rFonts w:eastAsia="Calibri"/>
          <w:szCs w:val="22"/>
          <w:lang w:eastAsia="en-GB" w:bidi="en-GB"/>
        </w:rPr>
      </w:pPr>
      <w:r w:rsidRPr="005C3B55">
        <w:t>Description of the use of the LEADER start-up-kit referred to in Article 43 of Regulation (EU) No 1305/2013 as a specific type of preparatory support (if proper)</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The LEADER start-up-kit will not be programmed.</w:t>
            </w:r>
          </w:p>
          <w:p w:rsidR="00C21266" w:rsidRPr="005C3B55" w:rsidRDefault="00C21266">
            <w:pPr>
              <w:pStyle w:val="Telobesedila"/>
              <w:spacing w:after="100"/>
              <w:rPr>
                <w:lang w:eastAsia="en-GB" w:bidi="en-GB"/>
              </w:rPr>
            </w:pPr>
          </w:p>
        </w:tc>
      </w:tr>
    </w:tbl>
    <w:p w:rsidR="00C21266" w:rsidRPr="005C3B55" w:rsidRDefault="00C21266" w:rsidP="00C21266">
      <w:pPr>
        <w:spacing w:after="100"/>
        <w:rPr>
          <w:rFonts w:eastAsia="Calibri"/>
          <w:szCs w:val="22"/>
          <w:lang w:eastAsia="en-GB" w:bidi="en-GB"/>
        </w:rPr>
      </w:pPr>
      <w:r w:rsidRPr="005C3B55">
        <w:t>Description of the system of running applications for cooperation projects in the scope of the LEADER approach referred to in Article 44 (3) of Regulation (EU) No 1305/2013</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Described within the sub-measure M19.3 'Preparation and implementation of cooperation activities of local action groups'.</w:t>
            </w:r>
          </w:p>
          <w:p w:rsidR="00C21266" w:rsidRPr="005C3B55" w:rsidRDefault="00C21266">
            <w:pPr>
              <w:pStyle w:val="Telobesedila"/>
              <w:spacing w:after="100"/>
              <w:rPr>
                <w:lang w:eastAsia="en-GB" w:bidi="en-GB"/>
              </w:rPr>
            </w:pPr>
          </w:p>
        </w:tc>
      </w:tr>
    </w:tbl>
    <w:p w:rsidR="00C21266" w:rsidRPr="005C3B55" w:rsidRDefault="00C21266" w:rsidP="00C21266">
      <w:pPr>
        <w:spacing w:after="100"/>
        <w:rPr>
          <w:rFonts w:eastAsia="Calibri"/>
          <w:szCs w:val="22"/>
          <w:lang w:eastAsia="en-GB" w:bidi="en-GB"/>
        </w:rPr>
      </w:pPr>
      <w:r w:rsidRPr="005C3B55">
        <w:t>The procedure and timetable to select local development strategies</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A confirmed LDS and LAG is a prerequisite for implementing sub-measures and drawing funds from all four sub-measures.</w:t>
            </w:r>
          </w:p>
          <w:p w:rsidR="00C21266" w:rsidRPr="005C3B55" w:rsidRDefault="00C21266">
            <w:pPr>
              <w:spacing w:before="240" w:after="240"/>
              <w:rPr>
                <w:szCs w:val="24"/>
              </w:rPr>
            </w:pPr>
            <w:r w:rsidRPr="005C3B55">
              <w:t>The LDSs will be selected within two years of the approval of the Partnership Agreement.</w:t>
            </w:r>
          </w:p>
          <w:p w:rsidR="00C21266" w:rsidRPr="005C3B55" w:rsidRDefault="00C21266">
            <w:pPr>
              <w:pStyle w:val="Telobesedila"/>
              <w:spacing w:after="100"/>
              <w:rPr>
                <w:lang w:eastAsia="en-GB" w:bidi="en-GB"/>
              </w:rPr>
            </w:pPr>
          </w:p>
        </w:tc>
      </w:tr>
    </w:tbl>
    <w:p w:rsidR="00C21266" w:rsidRPr="005C3B55" w:rsidRDefault="00C21266" w:rsidP="00C21266">
      <w:pPr>
        <w:spacing w:after="100"/>
        <w:rPr>
          <w:rFonts w:eastAsia="Calibri"/>
          <w:szCs w:val="22"/>
          <w:lang w:eastAsia="en-GB" w:bidi="en-GB"/>
        </w:rPr>
      </w:pPr>
      <w:r w:rsidRPr="005C3B55">
        <w:t>Justification for the selection of geographical areas for local development strategy implementation whose population falls outside the limits set out in Article 33(6) of Regulation (EU) No 1303/2013</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The measure has been programmed as per Point 6 of Article 33 of Regulation (EU) No 1303/2013 and is being implemented in areas with 10,000 to 150,000 inhabitants.</w:t>
            </w:r>
          </w:p>
          <w:p w:rsidR="00C21266" w:rsidRPr="005C3B55" w:rsidRDefault="00C21266">
            <w:pPr>
              <w:pStyle w:val="Telobesedila"/>
              <w:spacing w:after="100"/>
              <w:rPr>
                <w:lang w:eastAsia="en-GB" w:bidi="en-GB"/>
              </w:rPr>
            </w:pPr>
          </w:p>
        </w:tc>
      </w:tr>
    </w:tbl>
    <w:p w:rsidR="00C21266" w:rsidRPr="005C3B55" w:rsidRDefault="00C21266" w:rsidP="00C21266">
      <w:pPr>
        <w:spacing w:after="100"/>
        <w:rPr>
          <w:rFonts w:eastAsia="Calibri"/>
          <w:szCs w:val="22"/>
          <w:lang w:eastAsia="en-GB" w:bidi="en-GB"/>
        </w:rPr>
      </w:pPr>
      <w:r w:rsidRPr="005C3B55">
        <w:t>Co-ordination with the other ESI-Funds as regards CLLD, including possible solutions applied with regard to the use of the lead fund option, and any global complementarities between the ESI-Funds in financing the preparatory support</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Harmonisation between funds is a means of attaining the objective, so it is must take place at all levels – European, national, regional and local. The harmonised functioning of funds, particularly those included in the joint implementation of the CLLD approach, ensures better preparation of LDSs to respond to new challenges which are evolving. The harmonisation of policy is important also because it contributes to improving the general results of local initiatives and increases the contribution to local development and regional and national programmes.</w:t>
            </w:r>
          </w:p>
          <w:p w:rsidR="00C21266" w:rsidRPr="005C3B55" w:rsidRDefault="00C21266">
            <w:pPr>
              <w:spacing w:before="240" w:after="240"/>
              <w:rPr>
                <w:szCs w:val="24"/>
              </w:rPr>
            </w:pPr>
            <w:r w:rsidRPr="005C3B55">
              <w:t>Three funds have approached the implementation of the joint CLLD approach. They anticipate:</w:t>
            </w:r>
          </w:p>
          <w:p w:rsidR="00C21266" w:rsidRPr="005C3B55" w:rsidRDefault="00C21266" w:rsidP="006E20B6">
            <w:pPr>
              <w:numPr>
                <w:ilvl w:val="0"/>
                <w:numId w:val="1021"/>
              </w:numPr>
              <w:spacing w:before="240" w:after="0"/>
              <w:ind w:hanging="290"/>
              <w:jc w:val="left"/>
              <w:rPr>
                <w:szCs w:val="24"/>
              </w:rPr>
            </w:pPr>
            <w:r w:rsidRPr="005C3B55">
              <w:t>equal geographic boundaries of LAGs,</w:t>
            </w:r>
          </w:p>
          <w:p w:rsidR="00C21266" w:rsidRPr="005C3B55" w:rsidRDefault="00C21266" w:rsidP="006E20B6">
            <w:pPr>
              <w:numPr>
                <w:ilvl w:val="0"/>
                <w:numId w:val="1021"/>
              </w:numPr>
              <w:spacing w:before="0" w:after="0"/>
              <w:ind w:hanging="290"/>
              <w:jc w:val="left"/>
              <w:rPr>
                <w:szCs w:val="24"/>
              </w:rPr>
            </w:pPr>
            <w:r w:rsidRPr="005C3B55">
              <w:t>a uniform LDS which may be financed by several funds,</w:t>
            </w:r>
          </w:p>
          <w:p w:rsidR="00C21266" w:rsidRPr="005C3B55" w:rsidRDefault="00C21266" w:rsidP="006E20B6">
            <w:pPr>
              <w:numPr>
                <w:ilvl w:val="0"/>
                <w:numId w:val="1021"/>
              </w:numPr>
              <w:spacing w:before="0" w:after="0"/>
              <w:ind w:hanging="290"/>
              <w:jc w:val="left"/>
              <w:rPr>
                <w:szCs w:val="24"/>
              </w:rPr>
            </w:pPr>
            <w:r w:rsidRPr="005C3B55">
              <w:t>The CLLD Coordination Committee, which includes members of all three funds,</w:t>
            </w:r>
          </w:p>
          <w:p w:rsidR="00C21266" w:rsidRPr="005C3B55" w:rsidRDefault="00C21266" w:rsidP="006E20B6">
            <w:pPr>
              <w:numPr>
                <w:ilvl w:val="0"/>
                <w:numId w:val="1021"/>
              </w:numPr>
              <w:spacing w:before="0" w:after="0"/>
              <w:ind w:hanging="290"/>
              <w:jc w:val="left"/>
              <w:rPr>
                <w:szCs w:val="24"/>
              </w:rPr>
            </w:pPr>
            <w:r w:rsidRPr="005C3B55">
              <w:t>common national regulation,</w:t>
            </w:r>
          </w:p>
          <w:p w:rsidR="00C21266" w:rsidRPr="005C3B55" w:rsidRDefault="00C21266" w:rsidP="006E20B6">
            <w:pPr>
              <w:numPr>
                <w:ilvl w:val="0"/>
                <w:numId w:val="1021"/>
              </w:numPr>
              <w:spacing w:before="0" w:after="0"/>
              <w:ind w:hanging="290"/>
              <w:jc w:val="left"/>
              <w:rPr>
                <w:szCs w:val="24"/>
              </w:rPr>
            </w:pPr>
            <w:r w:rsidRPr="005C3B55">
              <w:t>joint call for preparatory support, confirmation and payment thereof,</w:t>
            </w:r>
          </w:p>
          <w:p w:rsidR="00C21266" w:rsidRPr="005C3B55" w:rsidRDefault="00C21266" w:rsidP="006E20B6">
            <w:pPr>
              <w:numPr>
                <w:ilvl w:val="0"/>
                <w:numId w:val="1021"/>
              </w:numPr>
              <w:spacing w:before="0" w:after="0"/>
              <w:ind w:hanging="290"/>
              <w:jc w:val="left"/>
              <w:rPr>
                <w:szCs w:val="24"/>
              </w:rPr>
            </w:pPr>
            <w:r w:rsidRPr="005C3B55">
              <w:t>joint criteria for the selection of LDS and LAG,</w:t>
            </w:r>
          </w:p>
          <w:p w:rsidR="00C21266" w:rsidRPr="005C3B55" w:rsidRDefault="00C21266" w:rsidP="006E20B6">
            <w:pPr>
              <w:numPr>
                <w:ilvl w:val="0"/>
                <w:numId w:val="1021"/>
              </w:numPr>
              <w:spacing w:before="0" w:after="0"/>
              <w:ind w:hanging="290"/>
              <w:jc w:val="left"/>
              <w:rPr>
                <w:szCs w:val="24"/>
              </w:rPr>
            </w:pPr>
            <w:r w:rsidRPr="005C3B55">
              <w:t>joint criteria for determining the lead fund in case of co-financing running costs and animation costs,</w:t>
            </w:r>
          </w:p>
          <w:p w:rsidR="00C21266" w:rsidRPr="005C3B55" w:rsidRDefault="00C21266" w:rsidP="006E20B6">
            <w:pPr>
              <w:numPr>
                <w:ilvl w:val="0"/>
                <w:numId w:val="1021"/>
              </w:numPr>
              <w:spacing w:before="0" w:after="0"/>
              <w:ind w:hanging="290"/>
              <w:jc w:val="left"/>
              <w:rPr>
                <w:szCs w:val="24"/>
              </w:rPr>
            </w:pPr>
            <w:r w:rsidRPr="005C3B55">
              <w:t>joint selection procedure for LDS and LAG,</w:t>
            </w:r>
          </w:p>
          <w:p w:rsidR="00C21266" w:rsidRPr="005C3B55" w:rsidRDefault="00C21266" w:rsidP="006E20B6">
            <w:pPr>
              <w:numPr>
                <w:ilvl w:val="0"/>
                <w:numId w:val="1021"/>
              </w:numPr>
              <w:spacing w:before="0" w:after="0"/>
              <w:ind w:hanging="290"/>
              <w:jc w:val="left"/>
              <w:rPr>
                <w:szCs w:val="24"/>
              </w:rPr>
            </w:pPr>
            <w:r w:rsidRPr="005C3B55">
              <w:t>joint principles for selecting LDS operations,</w:t>
            </w:r>
          </w:p>
          <w:p w:rsidR="00C21266" w:rsidRPr="005C3B55" w:rsidRDefault="00C21266" w:rsidP="006E20B6">
            <w:pPr>
              <w:numPr>
                <w:ilvl w:val="0"/>
                <w:numId w:val="1021"/>
              </w:numPr>
              <w:spacing w:before="0" w:after="0"/>
              <w:ind w:hanging="290"/>
              <w:jc w:val="left"/>
              <w:rPr>
                <w:szCs w:val="24"/>
              </w:rPr>
            </w:pPr>
            <w:r w:rsidRPr="005C3B55">
              <w:t>agreed procedures for selecting LDS operations,</w:t>
            </w:r>
          </w:p>
          <w:p w:rsidR="00C21266" w:rsidRPr="005C3B55" w:rsidRDefault="00C21266" w:rsidP="006E20B6">
            <w:pPr>
              <w:numPr>
                <w:ilvl w:val="0"/>
                <w:numId w:val="1021"/>
              </w:numPr>
              <w:spacing w:before="0" w:after="0"/>
              <w:ind w:hanging="290"/>
              <w:jc w:val="left"/>
              <w:rPr>
                <w:szCs w:val="24"/>
              </w:rPr>
            </w:pPr>
            <w:r w:rsidRPr="005C3B55">
              <w:t>agreed eligibility criteria,</w:t>
            </w:r>
          </w:p>
          <w:p w:rsidR="00C21266" w:rsidRPr="005C3B55" w:rsidRDefault="00C21266" w:rsidP="006E20B6">
            <w:pPr>
              <w:numPr>
                <w:ilvl w:val="0"/>
                <w:numId w:val="1021"/>
              </w:numPr>
              <w:spacing w:before="0" w:after="0"/>
              <w:ind w:hanging="290"/>
              <w:jc w:val="left"/>
              <w:rPr>
                <w:szCs w:val="24"/>
              </w:rPr>
            </w:pPr>
            <w:r w:rsidRPr="005C3B55">
              <w:t>joint provisions and rules relating to the eligible costs,</w:t>
            </w:r>
          </w:p>
          <w:p w:rsidR="00C21266" w:rsidRPr="005C3B55" w:rsidRDefault="00C21266" w:rsidP="006E20B6">
            <w:pPr>
              <w:numPr>
                <w:ilvl w:val="0"/>
                <w:numId w:val="1021"/>
              </w:numPr>
              <w:spacing w:before="0" w:after="0"/>
              <w:ind w:hanging="290"/>
              <w:jc w:val="left"/>
              <w:rPr>
                <w:szCs w:val="24"/>
              </w:rPr>
            </w:pPr>
            <w:r w:rsidRPr="005C3B55">
              <w:t>joint sanctions and deterrent measures, and</w:t>
            </w:r>
          </w:p>
          <w:p w:rsidR="00C21266" w:rsidRPr="005C3B55" w:rsidRDefault="00C21266" w:rsidP="006E20B6">
            <w:pPr>
              <w:numPr>
                <w:ilvl w:val="0"/>
                <w:numId w:val="1021"/>
              </w:numPr>
              <w:spacing w:before="0" w:after="240"/>
              <w:ind w:hanging="290"/>
              <w:jc w:val="left"/>
              <w:rPr>
                <w:szCs w:val="24"/>
              </w:rPr>
            </w:pPr>
            <w:r w:rsidRPr="005C3B55">
              <w:t>exchange of information between bodies involved in implementing the CLLD approach.</w:t>
            </w:r>
          </w:p>
          <w:p w:rsidR="00C21266" w:rsidRPr="005C3B55" w:rsidRDefault="00C21266">
            <w:pPr>
              <w:pStyle w:val="Telobesedila"/>
              <w:spacing w:after="100"/>
              <w:rPr>
                <w:lang w:eastAsia="en-GB" w:bidi="en-GB"/>
              </w:rPr>
            </w:pPr>
          </w:p>
        </w:tc>
      </w:tr>
    </w:tbl>
    <w:p w:rsidR="00C21266" w:rsidRPr="005C3B55" w:rsidRDefault="00C21266" w:rsidP="00C21266">
      <w:pPr>
        <w:spacing w:after="100"/>
        <w:rPr>
          <w:rFonts w:eastAsia="Calibri"/>
          <w:szCs w:val="22"/>
          <w:lang w:eastAsia="en-GB" w:bidi="en-GB"/>
        </w:rPr>
      </w:pPr>
      <w:r w:rsidRPr="005C3B55">
        <w:t>Possibility or not of paying advances</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Advances are possible only within the scope of the sub-measure M19.4 'Support for running costs and costs of animation'. </w:t>
            </w:r>
          </w:p>
          <w:p w:rsidR="00C21266" w:rsidRPr="005C3B55" w:rsidRDefault="00C21266">
            <w:pPr>
              <w:pStyle w:val="Telobesedila"/>
              <w:spacing w:after="100"/>
              <w:rPr>
                <w:lang w:eastAsia="en-GB" w:bidi="en-GB"/>
              </w:rPr>
            </w:pPr>
          </w:p>
        </w:tc>
      </w:tr>
    </w:tbl>
    <w:p w:rsidR="00C21266" w:rsidRPr="005C3B55" w:rsidRDefault="00C21266" w:rsidP="00C21266">
      <w:pPr>
        <w:spacing w:after="100"/>
        <w:rPr>
          <w:rFonts w:eastAsia="Calibri"/>
          <w:szCs w:val="22"/>
          <w:lang w:eastAsia="en-GB" w:bidi="en-GB"/>
        </w:rPr>
      </w:pPr>
      <w:r w:rsidRPr="005C3B55">
        <w:t>Definition of the tasks of the Managing Authority, the Paying Agency and the LAGs under LEADER, in particular with regard to non-discriminatory and transparent selection procedures and objective criteria for the selection of operations referred to in Article 34 (3) (b) of Regulation (EU) No 1303/2013</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The community-led local development will be implemented according to the so-called basic implementation system, i.e. European institutions define the joint objectives and principles of individual funds; the MA determines basic rules for the implementation of the programme and publishes a public procurement for the selection of LAGs and LDSs; A LAG issues appeals for the selection of operations which will be supported within the scope of the sub-measure M19.2 'Support for implementing operations under the community-led local development strategy'. Public appeals for the selection of operations within the M19.3 sub-measure 'Preparation and implementation of cooperation activities of the local action group' are prepared and published by MA. The Paying Agency conducts controls before and after the payment of funds.</w:t>
            </w:r>
          </w:p>
          <w:p w:rsidR="00C21266" w:rsidRPr="005C3B55" w:rsidRDefault="00C21266">
            <w:pPr>
              <w:spacing w:before="240" w:after="240"/>
              <w:rPr>
                <w:szCs w:val="24"/>
              </w:rPr>
            </w:pPr>
            <w:r w:rsidRPr="005C3B55">
              <w:t>When the lead fund is EAFRD, to receive support for the sub-measure M19.4 ‘Support for running costs and animation’, the LAG submits requests for payment to the Paying Agency, which implements an eligibility control, then transfers the referred amount to the LAG’s account.</w:t>
            </w:r>
          </w:p>
          <w:p w:rsidR="00C21266" w:rsidRPr="005C3B55" w:rsidRDefault="00C21266">
            <w:pPr>
              <w:spacing w:before="240" w:after="240"/>
              <w:rPr>
                <w:szCs w:val="24"/>
              </w:rPr>
            </w:pPr>
            <w:r w:rsidRPr="005C3B55">
              <w:t>Control of the implementation of sub-measures is performed in compliance with Regulation (EU) No 1306/2013 and its subsidiary regulations (delegated and implementing Commission Regulation).</w:t>
            </w:r>
          </w:p>
          <w:p w:rsidR="00C21266" w:rsidRPr="005C3B55" w:rsidRDefault="00C21266">
            <w:pPr>
              <w:spacing w:before="240" w:after="240"/>
              <w:rPr>
                <w:szCs w:val="24"/>
              </w:rPr>
            </w:pPr>
            <w:r w:rsidRPr="005C3B55">
              <w:t>A detailed description of tasks of individual bodies is provided in the general description of a measure and within individual sub-measures.</w:t>
            </w:r>
          </w:p>
          <w:p w:rsidR="00C21266" w:rsidRPr="005C3B55" w:rsidRDefault="00C21266">
            <w:pPr>
              <w:pStyle w:val="Telobesedila"/>
              <w:spacing w:after="100"/>
              <w:rPr>
                <w:lang w:eastAsia="en-GB" w:bidi="en-GB"/>
              </w:rPr>
            </w:pPr>
          </w:p>
        </w:tc>
      </w:tr>
    </w:tbl>
    <w:p w:rsidR="00C21266" w:rsidRPr="005C3B55" w:rsidRDefault="00C21266" w:rsidP="00C21266">
      <w:pPr>
        <w:spacing w:after="100"/>
        <w:rPr>
          <w:rFonts w:eastAsia="Calibri"/>
          <w:szCs w:val="22"/>
          <w:lang w:eastAsia="en-GB" w:bidi="en-GB"/>
        </w:rPr>
      </w:pPr>
      <w:r w:rsidRPr="005C3B55">
        <w:t>Description of co-ordination mechanisms foreseen and complementarities ensured with operations supported under other rural development measures especially as regards: investments in non-agricultural activities and business start-up aid under Article 19 of Regulation (EU) No 1305/2013; investments under Article 20 of Regulation (EU) No 1305/2013; and co-operation approaches under Article 35 of Regulation (EU) No 1305/2013, in particular, the implementation of local development strategies by public-private partnerships</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In the scope of the sub-measures M19.2 'Support for implementing operations under the community-led local development strategy' and M19.3 'Preparation and implementation of cooperation activities of the local action group', operations may occur which could be co-financed via the so-called main measures.</w:t>
            </w:r>
          </w:p>
          <w:p w:rsidR="00C21266" w:rsidRPr="005C3B55" w:rsidRDefault="00C21266">
            <w:pPr>
              <w:spacing w:before="240" w:after="240"/>
              <w:rPr>
                <w:szCs w:val="24"/>
              </w:rPr>
            </w:pPr>
            <w:r w:rsidRPr="005C3B55">
              <w:t>If it established in the procedure of consideration and verification of eligibility of an operation that the operation could be supported within the main measure and, if this is compliant with LDS, the LAG will have to justify why the operation is being implemented through the LEADER measure and not through the main measure. The LAG will have to explain and establish the added value of such an approach.</w:t>
            </w:r>
          </w:p>
          <w:p w:rsidR="00C21266" w:rsidRPr="005C3B55" w:rsidRDefault="00C21266">
            <w:pPr>
              <w:spacing w:before="240" w:after="240"/>
              <w:rPr>
                <w:szCs w:val="24"/>
              </w:rPr>
            </w:pPr>
            <w:r w:rsidRPr="005C3B55">
              <w:t>In order to prevent double financing, if the LAG selects or propose an operation which could be financed from other RDP 2014-2020 measures or other ESI funds, it will be verified that the same eligible costs are not financed twice.</w:t>
            </w:r>
          </w:p>
          <w:p w:rsidR="00C21266" w:rsidRPr="005C3B55" w:rsidRDefault="00C21266">
            <w:pPr>
              <w:pStyle w:val="Telobesedila"/>
              <w:spacing w:after="100"/>
              <w:rPr>
                <w:lang w:eastAsia="en-GB" w:bidi="en-GB"/>
              </w:rPr>
            </w:pPr>
          </w:p>
        </w:tc>
      </w:tr>
    </w:tbl>
    <w:p w:rsidR="00C21266" w:rsidRPr="005C3B55" w:rsidRDefault="00C21266" w:rsidP="00C21266">
      <w:pPr>
        <w:pStyle w:val="Naslov4"/>
        <w:tabs>
          <w:tab w:val="clear" w:pos="765"/>
        </w:tabs>
        <w:spacing w:after="100"/>
        <w:ind w:left="0" w:firstLine="0"/>
        <w:jc w:val="left"/>
        <w:rPr>
          <w:lang w:val="en-GB" w:eastAsia="en-GB" w:bidi="en-GB"/>
        </w:rPr>
      </w:pPr>
      <w:r w:rsidRPr="005C3B55">
        <w:rPr>
          <w:lang w:val="en-GB"/>
        </w:rPr>
        <w:t>Other important notes that contribute to understanding and implementing the measure</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The LEADER start-up-kit will not be programmed.</w:t>
            </w:r>
          </w:p>
          <w:p w:rsidR="00C21266" w:rsidRPr="005C3B55" w:rsidRDefault="00C21266">
            <w:pPr>
              <w:spacing w:before="240" w:after="240"/>
              <w:rPr>
                <w:szCs w:val="24"/>
              </w:rPr>
            </w:pPr>
            <w:r w:rsidRPr="005C3B55">
              <w:t>The CLLD Coordination Committee will prepare a national regulation governing the implementation of the CLLD approach, which will be adopted by the Government of the Republic of Slovenia. The publication of the national regulation governing the implementation of the CLLD approach will dictate the local partnerships to arrange themselves in compliance with the requirements of the regulation and prepare LDSs.</w:t>
            </w:r>
          </w:p>
          <w:p w:rsidR="00C21266" w:rsidRPr="005C3B55" w:rsidRDefault="00C21266">
            <w:pPr>
              <w:spacing w:before="240" w:after="240"/>
              <w:rPr>
                <w:szCs w:val="24"/>
              </w:rPr>
            </w:pPr>
            <w:r w:rsidRPr="005C3B55">
              <w:t>Local partnerships have to be arranged accordingly and must submit LDSs for confirmation within twelve months of the publication of the call. After this deadline, the formation of new LAGs and the submission of LDSs will no longer be possible.</w:t>
            </w:r>
          </w:p>
          <w:p w:rsidR="00C21266" w:rsidRPr="005C3B55" w:rsidRDefault="00C21266">
            <w:pPr>
              <w:spacing w:before="240" w:after="240"/>
              <w:rPr>
                <w:szCs w:val="24"/>
              </w:rPr>
            </w:pPr>
            <w:r w:rsidRPr="005C3B55">
              <w:t>A local partnership which decide to have LDS financed also under the ERDF or EMFF will have to fulfil all mandatory chapters in preparing LDS, which will define the rules on implementing the measure under ERDF and EMFF.</w:t>
            </w:r>
          </w:p>
          <w:p w:rsidR="00C21266" w:rsidRPr="005C3B55" w:rsidRDefault="00C21266">
            <w:pPr>
              <w:spacing w:before="240" w:after="240"/>
              <w:rPr>
                <w:szCs w:val="24"/>
              </w:rPr>
            </w:pPr>
            <w:r w:rsidRPr="005C3B55">
              <w:t>The selection and confirmation of LDSs and LAGs will be implemented according to a system of ongoing applications. The selection of LDSs and LAGs will be implemented according to the open system. The administrative procedure will be established relating to the selection, which will enable running applications. The relevant MAs will decide on the selection of LAGs and LDSs within four months after the submission of LDSs for confirmation. LAGs which receive a decision on the LAG and LDS confirmation could start to implement the sub-measures 'Support for implementing operations under the community-led local development strategy', 'Preparation and implementation of cooperation activities of the local action group' and 'Support for running costs and costs of animation'.</w:t>
            </w:r>
          </w:p>
          <w:p w:rsidR="00C21266" w:rsidRPr="005C3B55" w:rsidRDefault="00C21266">
            <w:pPr>
              <w:spacing w:before="240" w:after="240"/>
              <w:rPr>
                <w:szCs w:val="24"/>
              </w:rPr>
            </w:pPr>
            <w:r w:rsidRPr="005C3B55">
              <w:t>On the basis of the methodology for calculating financial framework, which will be an integral part of the national regulation determining the implementation of the CLLD approach, each local partnership will be able to calculate the financial framework for the entire programming period and prepare LDS on the basis of the calculation.</w:t>
            </w:r>
          </w:p>
          <w:p w:rsidR="00C21266" w:rsidRPr="005C3B55" w:rsidRDefault="00C21266">
            <w:pPr>
              <w:spacing w:before="240" w:after="240"/>
              <w:rPr>
                <w:szCs w:val="24"/>
              </w:rPr>
            </w:pPr>
            <w:r w:rsidRPr="005C3B55">
              <w:t>In order to prevent double financing, if the LAG selects an operation which could be financed from other RDP 2014-2020 measures or other funds, it will be verified that the same eligible costs are not financed twice.</w:t>
            </w:r>
          </w:p>
          <w:p w:rsidR="00C21266" w:rsidRPr="005C3B55" w:rsidRDefault="00C21266">
            <w:pPr>
              <w:spacing w:before="240" w:after="240"/>
              <w:rPr>
                <w:szCs w:val="24"/>
              </w:rPr>
            </w:pPr>
            <w:r w:rsidRPr="005C3B55">
              <w:t>The exchange of information between the MA and LAGs will take place through the National Rural Network. The National Rural Network also prepares all activities relating to informing, training and educating local rural players. The CLLD Coordination Committee will provide regular information to LAGs.</w:t>
            </w:r>
          </w:p>
          <w:p w:rsidR="00C21266" w:rsidRPr="005C3B55" w:rsidRDefault="00C21266">
            <w:pPr>
              <w:spacing w:before="240" w:after="240"/>
              <w:rPr>
                <w:szCs w:val="24"/>
              </w:rPr>
            </w:pPr>
            <w:r w:rsidRPr="005C3B55">
              <w:t>The LAGs will be asked to propose one representative to represent them on the RDP 2014-2020 Monitoring Committee.</w:t>
            </w:r>
          </w:p>
          <w:p w:rsidR="00C21266" w:rsidRPr="005C3B55" w:rsidRDefault="00C21266">
            <w:pPr>
              <w:spacing w:before="240" w:after="240"/>
              <w:rPr>
                <w:szCs w:val="24"/>
              </w:rPr>
            </w:pPr>
            <w:r w:rsidRPr="005C3B55">
              <w:t xml:space="preserve">Non-discriminatory and transparent selection procedures, objective criteria for the selection of operations and the prevention of conflicts of interest referred to in Article 34 (3) (b) of Regulation (EU) No 1303/2013 will have to be defined in LDSs and confirmed by all relevant MAs. In implementing and selecting operations, the transparency of procedures have to be provided, conflicts of interest prevented and the following principles taken into account: </w:t>
            </w:r>
          </w:p>
          <w:p w:rsidR="00C21266" w:rsidRPr="005C3B55" w:rsidRDefault="00C21266">
            <w:pPr>
              <w:spacing w:before="240" w:after="240"/>
              <w:rPr>
                <w:szCs w:val="24"/>
              </w:rPr>
            </w:pPr>
            <w:r w:rsidRPr="005C3B55">
              <w:t>- LAG may be a holder of operation only if it is in the interest of the area and the provision of LDS and if the cooperation of a LAG is necessary for the feasibility or success of operations;</w:t>
            </w:r>
          </w:p>
          <w:p w:rsidR="00C21266" w:rsidRPr="005C3B55" w:rsidRDefault="00C21266">
            <w:pPr>
              <w:spacing w:before="240" w:after="240"/>
              <w:rPr>
                <w:szCs w:val="24"/>
              </w:rPr>
            </w:pPr>
            <w:r w:rsidRPr="005C3B55">
              <w:t>- persons who cooperate in developing/implementing of operations must exclude themselves from the operation selection procedure;</w:t>
            </w:r>
          </w:p>
          <w:p w:rsidR="00C21266" w:rsidRPr="005C3B55" w:rsidRDefault="00C21266">
            <w:pPr>
              <w:spacing w:before="240" w:after="240"/>
              <w:rPr>
                <w:szCs w:val="24"/>
              </w:rPr>
            </w:pPr>
            <w:r w:rsidRPr="005C3B55">
              <w:t xml:space="preserve">- employees should only implement technical assessments or provide technical consultations on the operation; </w:t>
            </w:r>
          </w:p>
          <w:p w:rsidR="00C21266" w:rsidRPr="005C3B55" w:rsidRDefault="00C21266">
            <w:pPr>
              <w:spacing w:before="240" w:after="240"/>
              <w:rPr>
                <w:szCs w:val="24"/>
              </w:rPr>
            </w:pPr>
            <w:r w:rsidRPr="005C3B55">
              <w:t xml:space="preserve">- anyone who cooperates in assessing or selecting operations or has an interest in an individual operation would have to report such an interest and refrain from cooperation on dealing with the operation in LAG and decision-making procedures according to the LAG procedure for preventing conflicts of interest; </w:t>
            </w:r>
          </w:p>
          <w:p w:rsidR="00C21266" w:rsidRPr="005C3B55" w:rsidRDefault="00C21266">
            <w:pPr>
              <w:spacing w:before="240" w:after="240"/>
              <w:rPr>
                <w:szCs w:val="24"/>
              </w:rPr>
            </w:pPr>
            <w:r w:rsidRPr="005C3B55">
              <w:t>- a register of LAG members' interest should be prepared, wherein the nature of all connections between members of the selection committee and the operation or any participants is registered; and</w:t>
            </w:r>
          </w:p>
          <w:p w:rsidR="00C21266" w:rsidRPr="005C3B55" w:rsidRDefault="00C21266">
            <w:pPr>
              <w:spacing w:before="240" w:after="240"/>
              <w:rPr>
                <w:szCs w:val="24"/>
              </w:rPr>
            </w:pPr>
            <w:r w:rsidRPr="005C3B55">
              <w:t>- the "four eyes" principle" is recommended, whereby all decisions are independently examined by at least two persons.</w:t>
            </w:r>
          </w:p>
          <w:p w:rsidR="00C21266" w:rsidRPr="005C3B55" w:rsidRDefault="00C21266">
            <w:pPr>
              <w:pStyle w:val="Telobesedila"/>
              <w:rPr>
                <w:lang w:eastAsia="en-GB" w:bidi="en-GB"/>
              </w:rPr>
            </w:pPr>
          </w:p>
        </w:tc>
      </w:tr>
    </w:tbl>
    <w:p w:rsidR="00C21266" w:rsidRPr="005C3B55" w:rsidRDefault="00C21266" w:rsidP="00C21266">
      <w:pPr>
        <w:spacing w:after="0"/>
        <w:sectPr w:rsidR="00C21266" w:rsidRPr="005C3B55">
          <w:pgSz w:w="12240" w:h="15840"/>
          <w:pgMar w:top="900" w:right="900" w:bottom="900" w:left="900" w:header="708" w:footer="708" w:gutter="0"/>
          <w:cols w:space="708"/>
        </w:sectPr>
      </w:pPr>
    </w:p>
    <w:p w:rsidR="00C21266" w:rsidRPr="005C3B55" w:rsidRDefault="00C21266" w:rsidP="00C21266">
      <w:pPr>
        <w:pStyle w:val="Naslov1"/>
        <w:rPr>
          <w:b w:val="0"/>
          <w:lang w:val="en-GB" w:eastAsia="en-GB" w:bidi="en-GB"/>
        </w:rPr>
      </w:pPr>
      <w:bookmarkStart w:id="129" w:name="_Toc416192587"/>
      <w:r w:rsidRPr="005C3B55">
        <w:rPr>
          <w:lang w:val="en-GB"/>
        </w:rPr>
        <w:t>Evaluation plan</w:t>
      </w:r>
      <w:bookmarkEnd w:id="129"/>
    </w:p>
    <w:p w:rsidR="00C21266" w:rsidRPr="005C3B55" w:rsidRDefault="00C21266" w:rsidP="00C21266">
      <w:pPr>
        <w:pStyle w:val="Naslov2"/>
        <w:tabs>
          <w:tab w:val="clear" w:pos="765"/>
        </w:tabs>
        <w:ind w:left="0" w:firstLine="0"/>
        <w:rPr>
          <w:lang w:val="en-GB"/>
        </w:rPr>
      </w:pPr>
      <w:bookmarkStart w:id="130" w:name="_Toc416192588"/>
      <w:r w:rsidRPr="005C3B55">
        <w:rPr>
          <w:lang w:val="en-GB"/>
        </w:rPr>
        <w:t>Objectives and purpose</w:t>
      </w:r>
      <w:bookmarkEnd w:id="130"/>
    </w:p>
    <w:p w:rsidR="00C21266" w:rsidRPr="005C3B55" w:rsidRDefault="00C21266" w:rsidP="00C21266">
      <w:r w:rsidRPr="005C3B55">
        <w:t>The statement of the objectives and purpose of the evaluation plan are based on the provision that adequate and proper evaluation activities are being implemented, in particular for providing the information required to direct the programme, for the annual reports on the implementation for 2017 and 2019 and subsequent evaluation, and for the availability of the data required to evaluate the rural development programme.</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The evaluation is a very important tool which contributes to improving the quality of drafting and implementation of the RDP 2014-2020 and assesses the performance and efficiency of implementation. The evaluation is an integral part of the implementation of the RDP 2014-2020. It further provides important and prompt feedback for the MA, which can thus direct the implementation of the programme in order to attain the objectives (performance) and ensures the most efficient implementation of the programme possible and verifies the implementation impact of the RDP 2014-2020, as well as the contribution to the CAP and the Europe 2020 Strategy.</w:t>
            </w:r>
          </w:p>
          <w:p w:rsidR="00C21266" w:rsidRPr="005C3B55" w:rsidRDefault="00C21266">
            <w:pPr>
              <w:spacing w:before="240" w:after="240"/>
              <w:rPr>
                <w:szCs w:val="24"/>
              </w:rPr>
            </w:pPr>
            <w:r w:rsidRPr="005C3B55">
              <w:t xml:space="preserve">The purpose of the evaluation of the RDP 2014-2020 is to provide an adequate monitoring and evaluation system with clearly defined roles of individual stakeholders, sufficient and proper evaluation activities and thematic evaluation priorities and their framework time schedule, which provides timely, correct and adequate data, sufficient and adequate financial and human resources and target information and notifications on the evaluation results, and in particular that the system of monitoring the application of evaluation results is provided. The evaluation plan provides a representation of the progress and an assessment of the impact and efficiency of the implementation of the rural development policy in the Republic of Slovenia also for the purposes of expanded annual reports on implementation in 2017 and 2019 and subsequent evaluation. </w:t>
            </w:r>
          </w:p>
          <w:p w:rsidR="00C21266" w:rsidRPr="005C3B55" w:rsidRDefault="00C21266">
            <w:pPr>
              <w:spacing w:before="240" w:after="240"/>
              <w:rPr>
                <w:szCs w:val="24"/>
              </w:rPr>
            </w:pPr>
            <w:r w:rsidRPr="005C3B55">
              <w:t xml:space="preserve">The evaluation plan is prepared pursuant to the provisions of Article 56 of Regulation (EU) No 1303/2013 and at the same time also takes into account specific RDP 2014-2020 evaluation objectives. </w:t>
            </w:r>
          </w:p>
          <w:p w:rsidR="00C21266" w:rsidRPr="005C3B55" w:rsidRDefault="00C21266">
            <w:pPr>
              <w:spacing w:before="240" w:after="240"/>
              <w:rPr>
                <w:szCs w:val="24"/>
              </w:rPr>
            </w:pPr>
            <w:r w:rsidRPr="005C3B55">
              <w:t>The evaluation plan provides systematic evaluation planning throughout the whole programme period, more targeted monitoring and evaluation, and a better application of evaluation results, and consequently, better quality implementation of the RDP 2014-2020. Only with the constant interactive cooperation at all levels is it possible to attain an efficient recognition of the developmental and specific needs of the RDP 2014-2020.</w:t>
            </w:r>
          </w:p>
          <w:p w:rsidR="00C21266" w:rsidRPr="005C3B55" w:rsidRDefault="00C21266">
            <w:pPr>
              <w:pStyle w:val="Telobesedila"/>
              <w:rPr>
                <w:lang w:eastAsia="en-GB" w:bidi="en-GB"/>
              </w:rPr>
            </w:pPr>
          </w:p>
        </w:tc>
      </w:tr>
    </w:tbl>
    <w:p w:rsidR="00C21266" w:rsidRPr="005C3B55" w:rsidRDefault="00C21266" w:rsidP="00C21266">
      <w:pPr>
        <w:pStyle w:val="Naslov2"/>
        <w:tabs>
          <w:tab w:val="clear" w:pos="765"/>
        </w:tabs>
        <w:ind w:left="0" w:firstLine="0"/>
        <w:rPr>
          <w:lang w:val="en-GB" w:eastAsia="en-GB" w:bidi="en-GB"/>
        </w:rPr>
      </w:pPr>
      <w:bookmarkStart w:id="131" w:name="_Toc416192589"/>
      <w:r w:rsidRPr="005C3B55">
        <w:rPr>
          <w:lang w:val="en-GB"/>
        </w:rPr>
        <w:t>Management and harmonisation</w:t>
      </w:r>
      <w:bookmarkEnd w:id="131"/>
    </w:p>
    <w:p w:rsidR="00C21266" w:rsidRPr="005C3B55" w:rsidRDefault="00C21266" w:rsidP="00C21266">
      <w:r w:rsidRPr="005C3B55">
        <w:t>A short description of monitoring and evaluation arrangements for the Rural Development Programme with a definition of the main cooperating bodies and their responsibilities. The definition of how the evaluation activities are connected to the implementation of the Rural Development programme in terms of content and time schedule.</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The system of monitoring and evaluation comprises stakeholders, and activities and mechanisms for monitoring and evaluating the implementation of the RDP 2014-2020, whereby the coordination of activities between the implementation and evaluation of the RDP 2014-2020 and the established system of evaluating the application of evaluation results - follow-up is crucial.</w:t>
            </w:r>
          </w:p>
          <w:p w:rsidR="00C21266" w:rsidRPr="005C3B55" w:rsidRDefault="00C21266">
            <w:pPr>
              <w:spacing w:before="240" w:after="240"/>
              <w:rPr>
                <w:szCs w:val="24"/>
              </w:rPr>
            </w:pPr>
            <w:r w:rsidRPr="005C3B55">
              <w:t>The system of monitoring and evaluation within the scope of the RDP 2014-2020 is designed to take into account the needs for the provision of adequate support for the evaluation process to the greatest extent possible and to clearly determine the commitments of individual stakeholders. The transparency and responsibility of individual stakeholders are also important aspects of the monitoring and evaluation system. The roles of stakeholders are presented in the table 'Roles of stakeholders within the evaluation system'.</w:t>
            </w:r>
          </w:p>
          <w:p w:rsidR="00C21266" w:rsidRPr="005C3B55" w:rsidRDefault="00C21266">
            <w:pPr>
              <w:spacing w:before="240" w:after="240"/>
              <w:rPr>
                <w:szCs w:val="24"/>
              </w:rPr>
            </w:pPr>
            <w:r w:rsidRPr="005C3B55">
              <w:t>The MA is responsible for the whole monitoring and evaluation system. Its main tasks in terms of monitoring are mainly: to provide a safe electronic information system, data for the European Commission on the selected and concluded projects, prepare annual reports, monitor the quality of implementation of the RDP 2014-2020 through indicators and report to the Monitoring Committee. It is also responsible for preparing the evaluation plan and its implementation and for the timely submission of annual reports and preliminary and subsequent evaluations to the European Commission. At the same time, it ensures that all evaluation reports are publicly accessible and that the target public is adequately and timely informed on the evaluation results. The MA is also responsible for taking into account the findings and recommendations of evaluations and their inclusion in the implementation of the RDP 2014-2020. The MA regularly reports to the Monitoring Committee of the RDP 2014-2020 on the observation of findings and recommendations in the implementation of the RDP 2014-2020.</w:t>
            </w:r>
          </w:p>
          <w:p w:rsidR="00C21266" w:rsidRPr="005C3B55" w:rsidRDefault="00C21266">
            <w:pPr>
              <w:spacing w:before="240" w:after="240"/>
              <w:rPr>
                <w:szCs w:val="24"/>
              </w:rPr>
            </w:pPr>
            <w:r w:rsidRPr="005C3B55">
              <w:t xml:space="preserve">The </w:t>
            </w:r>
            <w:r w:rsidRPr="005C3B55">
              <w:rPr>
                <w:b/>
              </w:rPr>
              <w:t>Management Support Team</w:t>
            </w:r>
            <w:r w:rsidRPr="005C3B55">
              <w:t xml:space="preserve">, which is also responsible for providing expert and organisational support in managing the RDP 2014-2020 and also conducts the tasks of monitoring and evaluation of the RDP 2014-2020 and also the tasks relating to the coordination of evaluation in particular. </w:t>
            </w:r>
          </w:p>
          <w:p w:rsidR="00C21266" w:rsidRPr="005C3B55" w:rsidRDefault="00C21266">
            <w:pPr>
              <w:spacing w:before="240" w:after="240"/>
              <w:rPr>
                <w:szCs w:val="24"/>
              </w:rPr>
            </w:pPr>
            <w:r w:rsidRPr="005C3B55">
              <w:t>A special group was established for the evaluation planning and implementation of the RDP 2007-2013 and on the basis of its positive experience of operation, the</w:t>
            </w:r>
            <w:r w:rsidRPr="005C3B55">
              <w:rPr>
                <w:b/>
              </w:rPr>
              <w:t xml:space="preserve"> Steering group for monitoring and evaluation</w:t>
            </w:r>
            <w:r w:rsidRPr="005C3B55">
              <w:t xml:space="preserve"> will also be established within the scope of the RDP 2014-2020. The main tasks of the group will be the following:</w:t>
            </w:r>
          </w:p>
          <w:p w:rsidR="00C21266" w:rsidRPr="005C3B55" w:rsidRDefault="00C21266" w:rsidP="006E20B6">
            <w:pPr>
              <w:numPr>
                <w:ilvl w:val="0"/>
                <w:numId w:val="1022"/>
              </w:numPr>
              <w:spacing w:before="240" w:after="0"/>
              <w:ind w:hanging="290"/>
              <w:jc w:val="left"/>
              <w:rPr>
                <w:szCs w:val="24"/>
              </w:rPr>
            </w:pPr>
            <w:r w:rsidRPr="005C3B55">
              <w:t>confirmation of annual or multi-annual evaluation plans;</w:t>
            </w:r>
          </w:p>
          <w:p w:rsidR="00C21266" w:rsidRPr="005C3B55" w:rsidRDefault="00C21266" w:rsidP="006E20B6">
            <w:pPr>
              <w:numPr>
                <w:ilvl w:val="0"/>
                <w:numId w:val="1022"/>
              </w:numPr>
              <w:spacing w:before="0" w:after="0"/>
              <w:ind w:hanging="290"/>
              <w:jc w:val="left"/>
              <w:rPr>
                <w:szCs w:val="24"/>
              </w:rPr>
            </w:pPr>
            <w:r w:rsidRPr="005C3B55">
              <w:t>content support to evaluation;</w:t>
            </w:r>
          </w:p>
          <w:p w:rsidR="00C21266" w:rsidRPr="005C3B55" w:rsidRDefault="00C21266" w:rsidP="006E20B6">
            <w:pPr>
              <w:numPr>
                <w:ilvl w:val="0"/>
                <w:numId w:val="1022"/>
              </w:numPr>
              <w:spacing w:before="0" w:after="0"/>
              <w:ind w:hanging="290"/>
              <w:jc w:val="left"/>
              <w:rPr>
                <w:szCs w:val="24"/>
              </w:rPr>
            </w:pPr>
            <w:r w:rsidRPr="005C3B55">
              <w:t>coordination between the MA and the evaluation contractors;</w:t>
            </w:r>
          </w:p>
          <w:p w:rsidR="00C21266" w:rsidRPr="005C3B55" w:rsidRDefault="00C21266" w:rsidP="006E20B6">
            <w:pPr>
              <w:numPr>
                <w:ilvl w:val="0"/>
                <w:numId w:val="1022"/>
              </w:numPr>
              <w:spacing w:before="0" w:after="0"/>
              <w:ind w:hanging="290"/>
              <w:jc w:val="left"/>
              <w:rPr>
                <w:szCs w:val="24"/>
              </w:rPr>
            </w:pPr>
            <w:r w:rsidRPr="005C3B55">
              <w:t>control over quality, adequacy, integrity and timeliness of the evaluation reports;</w:t>
            </w:r>
          </w:p>
          <w:p w:rsidR="00C21266" w:rsidRPr="005C3B55" w:rsidRDefault="00C21266" w:rsidP="006E20B6">
            <w:pPr>
              <w:numPr>
                <w:ilvl w:val="0"/>
                <w:numId w:val="1022"/>
              </w:numPr>
              <w:spacing w:before="0" w:after="240"/>
              <w:ind w:hanging="290"/>
              <w:jc w:val="left"/>
              <w:rPr>
                <w:szCs w:val="24"/>
              </w:rPr>
            </w:pPr>
            <w:r w:rsidRPr="005C3B55">
              <w:t>monitoring of the application of the evaluation results - follow-up.</w:t>
            </w:r>
          </w:p>
          <w:p w:rsidR="00C21266" w:rsidRPr="005C3B55" w:rsidRDefault="00C21266">
            <w:pPr>
              <w:spacing w:before="240" w:after="240"/>
              <w:rPr>
                <w:szCs w:val="24"/>
              </w:rPr>
            </w:pPr>
            <w:r w:rsidRPr="005C3B55">
              <w:t>The group will comprise representatives of the MA, AAMRD and other potential stakeholders. If necessary, the group may also include the holders of individual measures and also external experts in specific fields. Technical working groups may also be formed.</w:t>
            </w:r>
          </w:p>
          <w:p w:rsidR="00C21266" w:rsidRPr="005C3B55" w:rsidRDefault="00C21266">
            <w:pPr>
              <w:spacing w:before="240" w:after="240"/>
              <w:rPr>
                <w:szCs w:val="24"/>
              </w:rPr>
            </w:pPr>
            <w:r w:rsidRPr="005C3B55">
              <w:t>EAFRD is only one of the European funds which contributes to the Europe 2020 strategy within the scope of the Partnership Agreement, and for this reason the evaluation activities are implemented together with other European funds.  The MA also cooperates with managing bodies of other ESI Funds. Representatives of the managing bodies of other ESI Funds are also members of the Monitoring Committee and are, if needed, included in the Steering Group. The Inter-ministerial Coordination Committee will be established at the inter-ministerial level to provide the compliance of all ESI Funds and monitor the attainment of objectives at the level of the Partnership Agreement. The MA also coordinates specific monitoring and evaluation activities for the First and Second CAP pillars.</w:t>
            </w:r>
          </w:p>
          <w:p w:rsidR="00C21266" w:rsidRPr="005C3B55" w:rsidRDefault="00C21266">
            <w:pPr>
              <w:spacing w:before="240" w:after="240"/>
              <w:rPr>
                <w:szCs w:val="24"/>
              </w:rPr>
            </w:pPr>
            <w:r w:rsidRPr="005C3B55">
              <w:t xml:space="preserve">The main tasks of the </w:t>
            </w:r>
            <w:r w:rsidRPr="005C3B55">
              <w:rPr>
                <w:b/>
              </w:rPr>
              <w:t>Monitoring Committee</w:t>
            </w:r>
            <w:r w:rsidRPr="005C3B55">
              <w:t xml:space="preserve"> of the RDP 2014-2020 are mainly to examine the implementation of the RDP 2014-2020 and progress in attaining of objectives (through financial data and indicators), confirm annual reports; meanwhile, the Monitoring Committee has to be informed annually on the evaluation reports within the scope of the evaluation plan. The Monitoring Committee may propose recommendations to the MA relating to the implementation of the RDP 2014-2020 and evaluation and then monitors the fulfilment of these recommendations.</w:t>
            </w:r>
          </w:p>
          <w:p w:rsidR="00C21266" w:rsidRPr="005C3B55" w:rsidRDefault="00C21266">
            <w:pPr>
              <w:spacing w:before="240" w:after="240"/>
              <w:rPr>
                <w:szCs w:val="24"/>
              </w:rPr>
            </w:pPr>
            <w:r w:rsidRPr="005C3B55">
              <w:t xml:space="preserve">The </w:t>
            </w:r>
            <w:r w:rsidRPr="005C3B55">
              <w:rPr>
                <w:b/>
              </w:rPr>
              <w:t>AAMRD</w:t>
            </w:r>
            <w:r w:rsidRPr="005C3B55">
              <w:t xml:space="preserve"> collects and provides the data on measures being implemented at the EAFRD for the purposes of reporting, evaluation and management. The data relates to the roles, supported projects, payments, reports and controls. Close cooperation between the AAMRD and the MA is institutionalised in the Steering Group for the needs of monitoring and evaluation. The timely and proper submission of the data available to the AAMRD is also provided upon the specific instructions of the MA.</w:t>
            </w:r>
          </w:p>
          <w:p w:rsidR="00C21266" w:rsidRPr="005C3B55" w:rsidRDefault="00C21266">
            <w:pPr>
              <w:spacing w:before="240" w:after="240"/>
              <w:rPr>
                <w:szCs w:val="24"/>
              </w:rPr>
            </w:pPr>
            <w:r w:rsidRPr="005C3B55">
              <w:t xml:space="preserve">The </w:t>
            </w:r>
            <w:r w:rsidRPr="005C3B55">
              <w:rPr>
                <w:b/>
              </w:rPr>
              <w:t>recipients of funds</w:t>
            </w:r>
            <w:r w:rsidRPr="005C3B55">
              <w:t xml:space="preserve"> are directly included in the process of monitoring and evaluation, since they provide the data needed for monitoring and evaluating the RDP 2014-2020 implementation. Individual recipients of funds are also members of different organisations and associations which are important partners within the scope of the preparation, implementation and evaluation of the RDP 2014-2020. The representatives of different organisations are also members of the Monitoring Committee and as such have an important role in activities within the evaluation plan. </w:t>
            </w:r>
          </w:p>
          <w:p w:rsidR="00C21266" w:rsidRPr="005C3B55" w:rsidRDefault="00C21266">
            <w:pPr>
              <w:spacing w:before="240" w:after="240"/>
              <w:rPr>
                <w:szCs w:val="24"/>
              </w:rPr>
            </w:pPr>
            <w:r w:rsidRPr="005C3B55">
              <w:rPr>
                <w:b/>
              </w:rPr>
              <w:t>Local action groups</w:t>
            </w:r>
            <w:r w:rsidRPr="005C3B55">
              <w:t xml:space="preserve"> (LAGs) have an important role in the activities of monitoring and evaluation. LAGs undertake to provide all information to the MA and/or appointed contractors for evaluation or other bodies authorised to perform tasks on their behalf which are needed to provide the monitoring and evaluation of the programme, in particular in terms of the fulfilment of defined objectives and priority tasks. The role of LAGs is mainly to contribute to the evaluation of the RDP 2014-2020 as a whole, as a contribution to the added value assessment of the LEADER approach and as the implementation of monitoring and evaluation of their own LDS. Representatives of LAGs are also members of the Monitoring Committee of the RDP 2014-2020 and also play an important role in evaluation activities.</w:t>
            </w:r>
          </w:p>
          <w:p w:rsidR="00C21266" w:rsidRPr="005C3B55" w:rsidRDefault="00C21266">
            <w:pPr>
              <w:spacing w:before="240" w:after="240"/>
              <w:rPr>
                <w:szCs w:val="24"/>
              </w:rPr>
            </w:pPr>
            <w:r w:rsidRPr="005C3B55">
              <w:t xml:space="preserve">The main task of the </w:t>
            </w:r>
            <w:r w:rsidRPr="005C3B55">
              <w:rPr>
                <w:b/>
              </w:rPr>
              <w:t xml:space="preserve">Rural Network </w:t>
            </w:r>
            <w:r w:rsidRPr="005C3B55">
              <w:t>is to inform and notify. Thus the Action and Communication Plan of the Rural Network is prepared and implemented within the National Rural Network, which includes the dissemination of results and evaluation recommendations, as well as examples of good practice. The Rural Network may also participate in the collection of various data. A representative of the Rural Network is also a member of the Steering Group.</w:t>
            </w:r>
          </w:p>
          <w:p w:rsidR="00C21266" w:rsidRPr="005C3B55" w:rsidRDefault="00C21266">
            <w:pPr>
              <w:spacing w:before="240" w:after="240"/>
              <w:rPr>
                <w:szCs w:val="24"/>
              </w:rPr>
            </w:pPr>
            <w:r w:rsidRPr="005C3B55">
              <w:rPr>
                <w:b/>
              </w:rPr>
              <w:t>Institutions providing the data</w:t>
            </w:r>
            <w:r w:rsidRPr="005C3B55">
              <w:t xml:space="preserve"> (SURS, IMAD and the Agricultural Institute of Slovenia, Institute of the Republic of Slovenia for Nature Conservation and others) are members of the Monitoring Committee of the RDP 2014-2020 and are also included in the Steering Group if necessary.</w:t>
            </w:r>
          </w:p>
          <w:p w:rsidR="00C21266" w:rsidRPr="005C3B55" w:rsidRDefault="00C21266">
            <w:pPr>
              <w:spacing w:before="240" w:after="240"/>
              <w:rPr>
                <w:szCs w:val="24"/>
              </w:rPr>
            </w:pPr>
            <w:r w:rsidRPr="005C3B55">
              <w:t xml:space="preserve">The </w:t>
            </w:r>
            <w:r w:rsidRPr="005C3B55">
              <w:rPr>
                <w:b/>
              </w:rPr>
              <w:t>Evaluators</w:t>
            </w:r>
            <w:r w:rsidRPr="005C3B55">
              <w:t xml:space="preserve"> are experts who are functionally independent of the bodies competent for the implementation of the RDP 2014-2020.</w:t>
            </w:r>
          </w:p>
          <w:p w:rsidR="00C21266" w:rsidRPr="005C3B55" w:rsidRDefault="00C21266">
            <w:pPr>
              <w:spacing w:before="240" w:after="240"/>
              <w:rPr>
                <w:szCs w:val="24"/>
              </w:rPr>
            </w:pPr>
            <w:r w:rsidRPr="005C3B55">
              <w:t>The quality of the system of monitoring and evaluation is provided through the operation of the Steering Group in particular. The heads of MA and the Monitoring Committee of the RDP 2014-2020 carry out regular controls through the reports on the implementation of the evaluation plan.</w:t>
            </w:r>
          </w:p>
          <w:p w:rsidR="00C21266" w:rsidRPr="005C3B55" w:rsidRDefault="00C21266">
            <w:pPr>
              <w:spacing w:before="240" w:after="240"/>
              <w:rPr>
                <w:szCs w:val="24"/>
              </w:rPr>
            </w:pPr>
            <w:r w:rsidRPr="005C3B55">
              <w:t> </w:t>
            </w:r>
          </w:p>
          <w:p w:rsidR="00C21266" w:rsidRPr="005C3B55" w:rsidRDefault="00C21266">
            <w:pPr>
              <w:pStyle w:val="Telobesedila"/>
            </w:pPr>
          </w:p>
          <w:p w:rsidR="00C21266" w:rsidRPr="005C3B55" w:rsidRDefault="0012246E">
            <w:pPr>
              <w:pStyle w:val="Telobesedila3"/>
              <w:jc w:val="center"/>
            </w:pPr>
            <w:r w:rsidRPr="005C3B55">
              <w:rPr>
                <w:noProof/>
                <w:lang w:val="sl-SI"/>
              </w:rPr>
              <w:drawing>
                <wp:inline distT="0" distB="0" distL="0" distR="0">
                  <wp:extent cx="4419600" cy="2962275"/>
                  <wp:effectExtent l="0" t="0" r="0" b="9525"/>
                  <wp:docPr id="3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419600" cy="2962275"/>
                          </a:xfrm>
                          <a:prstGeom prst="rect">
                            <a:avLst/>
                          </a:prstGeom>
                          <a:noFill/>
                          <a:ln>
                            <a:noFill/>
                          </a:ln>
                        </pic:spPr>
                      </pic:pic>
                    </a:graphicData>
                  </a:graphic>
                </wp:inline>
              </w:drawing>
            </w:r>
          </w:p>
          <w:p w:rsidR="00C21266" w:rsidRPr="005C3B55" w:rsidRDefault="00C21266">
            <w:pPr>
              <w:pStyle w:val="Noga"/>
              <w:spacing w:after="120"/>
              <w:jc w:val="center"/>
            </w:pPr>
            <w:r w:rsidRPr="005C3B55">
              <w:t>Roles of the stakeholders within the scope of evaluation</w:t>
            </w:r>
          </w:p>
          <w:p w:rsidR="00C21266" w:rsidRPr="005C3B55" w:rsidRDefault="00C21266">
            <w:pPr>
              <w:pStyle w:val="Noga"/>
              <w:jc w:val="center"/>
              <w:rPr>
                <w:lang w:eastAsia="en-GB" w:bidi="en-GB"/>
              </w:rPr>
            </w:pPr>
          </w:p>
        </w:tc>
      </w:tr>
    </w:tbl>
    <w:p w:rsidR="00C21266" w:rsidRPr="005C3B55" w:rsidRDefault="00C21266" w:rsidP="00C21266">
      <w:pPr>
        <w:pStyle w:val="Naslov2"/>
        <w:tabs>
          <w:tab w:val="clear" w:pos="765"/>
        </w:tabs>
        <w:ind w:left="0" w:firstLine="0"/>
        <w:rPr>
          <w:lang w:val="en-GB" w:eastAsia="en-GB" w:bidi="en-GB"/>
        </w:rPr>
      </w:pPr>
      <w:bookmarkStart w:id="132" w:name="_Toc416192590"/>
      <w:r w:rsidRPr="005C3B55">
        <w:rPr>
          <w:lang w:val="en-GB"/>
        </w:rPr>
        <w:t>Evaluation themes and activities</w:t>
      </w:r>
      <w:bookmarkEnd w:id="132"/>
    </w:p>
    <w:p w:rsidR="00C21266" w:rsidRPr="005C3B55" w:rsidRDefault="00C21266" w:rsidP="00C21266">
      <w:r w:rsidRPr="005C3B55">
        <w:t>The framework description of evaluation themes and activities, as well as the expected activities, which includes, inter alia, the fulfilment of requests of the EU under Regulation (EU) No 1303/2013 and Regulation (EU) No 1305/2013. This description includes: (a) activities needed to assess the contributions of individual priority tasks of the European Union for rural development pursuant to Article 5 of Regulation (EU) No 1305/2013 to the objectives of rural development under Article 4 of the respective regulation, assessment of the value of result indicator and impact, analysis of net effects, thematic questions, including the sub-programmes, horizontal questions, national rural networks, contribution of the strategies of community-led local development; (b) planned support for the evaluation at the level of the local action group; (c) specific programme elements, such as the work necessary for the development of methodologies or dealing with specific policy areas.</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 xml:space="preserve">The evaluation activities are aimed at steering the RDP 2014-2020 preparation, support for the successful and efficient implementation of the RDP 2014-2020 and for the presentation of progress in attaining the objectives of the RDP 2014-2020 as a whole, as well as the objectives of an individual priority outline. </w:t>
            </w:r>
          </w:p>
          <w:p w:rsidR="00C21266" w:rsidRPr="005C3B55" w:rsidRDefault="00C21266">
            <w:pPr>
              <w:spacing w:before="240" w:after="240"/>
              <w:rPr>
                <w:szCs w:val="24"/>
              </w:rPr>
            </w:pPr>
            <w:r w:rsidRPr="005C3B55">
              <w:t>The needs and focus outlines of the evaluation activities are identified in the RDP 2014-2020. Those themes will be emphasised which contribute to attaining the recognised priority tasks while taking into account the results and effects of the programme. The result indicators are a tool for measuring the effect of the programme implementation and are used to assess the results of the programme. The impact indicators are a tool for measuring the impact of the programme implementation. The analysis of the effects is a process of identifying the changes resulting from the programme implementation.</w:t>
            </w:r>
          </w:p>
          <w:p w:rsidR="00C21266" w:rsidRPr="005C3B55" w:rsidRDefault="00C21266">
            <w:pPr>
              <w:spacing w:before="240" w:after="240"/>
              <w:rPr>
                <w:szCs w:val="24"/>
              </w:rPr>
            </w:pPr>
            <w:r w:rsidRPr="005C3B55">
              <w:t>The evaluation guidelines prepared by the EC serve as the methodological basis for evaluation.</w:t>
            </w:r>
          </w:p>
          <w:p w:rsidR="00C21266" w:rsidRPr="005C3B55" w:rsidRDefault="00C21266">
            <w:pPr>
              <w:spacing w:before="240" w:after="240"/>
              <w:rPr>
                <w:szCs w:val="24"/>
              </w:rPr>
            </w:pPr>
            <w:r w:rsidRPr="005C3B55">
              <w:t>All findings and summaries of evaluations will be included in the appropriate chapter of the Annual Report on the implementation of the RDP 2014-2020. The EC Member State must submit an extended form of the annual report on the implementation in 2017 and 2019, and the report on the subsequent evaluation in 2024. Within the scope of specific guidelines, the EC will determine detailed commitments of the content of evaluations on which the Member State will have to report in the preceding reports. The evaluation of the complementary indicators of results will also be included in the Annual Report on the implementation of the RDP 2014-2020 in 2017 and 2019 and in the report on the subsequent evaluation. The evaluation of the impact indicators and the assessment of the net impact of the implementation of the RDP 2014-2020 will be included in the Annual Report on the implementation of the RDP 2014-2020 in 2019 and in the report on the subsequent evaluation in a form and scope determined by the EC. Both extended annual reports as well as the report on the subsequent evaluation of 2024 will have to also include replies to the evaluation questions in a scope determined by the EC.</w:t>
            </w:r>
          </w:p>
          <w:p w:rsidR="00C21266" w:rsidRPr="005C3B55" w:rsidRDefault="00C21266">
            <w:pPr>
              <w:spacing w:before="240" w:after="240"/>
              <w:rPr>
                <w:szCs w:val="24"/>
              </w:rPr>
            </w:pPr>
            <w:r w:rsidRPr="005C3B55">
              <w:t xml:space="preserve">The </w:t>
            </w:r>
            <w:r w:rsidRPr="005C3B55">
              <w:rPr>
                <w:b/>
              </w:rPr>
              <w:t>contribution of the RDP 2014-2020 to the objectives for each priority task</w:t>
            </w:r>
            <w:r w:rsidRPr="005C3B55">
              <w:t xml:space="preserve"> will be assessed at least once per programme period. Developmental trends and values of the result and impact indicators will be also assessed on the basis of the state indicators.</w:t>
            </w:r>
          </w:p>
          <w:p w:rsidR="00C21266" w:rsidRPr="005C3B55" w:rsidRDefault="00C21266">
            <w:pPr>
              <w:spacing w:before="240" w:after="240"/>
              <w:rPr>
                <w:szCs w:val="24"/>
              </w:rPr>
            </w:pPr>
            <w:r w:rsidRPr="005C3B55">
              <w:t xml:space="preserve">Special attention will be paid to the evaluation of </w:t>
            </w:r>
            <w:r w:rsidRPr="005C3B55">
              <w:rPr>
                <w:b/>
              </w:rPr>
              <w:t>horizontal content</w:t>
            </w:r>
            <w:r w:rsidRPr="005C3B55">
              <w:t>, such as climate change, innovations and environment. The above-mentioned horizontal content is directly related to individual measures, so that horizontal content may be evaluated together with the evaluation of measures and vice versa. Due to national and European requests, special attention at the level of the RDP 2014-2020 will be paid to the evaluation of impacts of measures relating to the transfer of knowledge on climate change and to the implementation of measures which contribute to mitigating or adjusting to climate change. The impact of the implementation of the programme on the environment was already assessed during the preliminary evaluation and within the scope of a comprehensive appraisal of the impacts on the environment. However, the activities of monitoring and evaluation of environmental indicators will continue during the implementation of the RDP 2014-2020. The RDP 2014-2020 also takes into account the recommendations and mitigation measures in the scope of the environmental report and the process of the comprehensive appraisal of impacts on the environment. The efficiency of implementing mitigation measures determined in the Environmental report will also be assessed within the evaluation. The impact of measures of the RDP 2014-2020 on the environment will also be assessed. New measures not yet implemented (M02, M14, M16) and measures which were unsuccessfully implemented in the previous programme period and did not have the expected results (training, groups of producers, quality schemes) will be monitored and evaluated in detail.</w:t>
            </w:r>
          </w:p>
          <w:p w:rsidR="00C21266" w:rsidRPr="005C3B55" w:rsidRDefault="00C21266">
            <w:pPr>
              <w:spacing w:before="240" w:after="240"/>
              <w:rPr>
                <w:szCs w:val="24"/>
              </w:rPr>
            </w:pPr>
            <w:r w:rsidRPr="005C3B55">
              <w:t xml:space="preserve">The implementation will be carried out at two levels in the field of the </w:t>
            </w:r>
            <w:r w:rsidRPr="005C3B55">
              <w:rPr>
                <w:b/>
              </w:rPr>
              <w:t>LEADER measure</w:t>
            </w:r>
            <w:r w:rsidRPr="005C3B55">
              <w:t>: at the level of RDP 2014-2020 within the scope of the MA, and at the LDS level within the scope of LAG. The LDS objectives must comply with the objectives of the RDP 2014-2020, The progress on territorial development will also be evaluated by taking into account the CLLD approach. The contribution of LDSs to the objective of RDP 2014-2020, LDS objectives and the EU 2020 Strategy will be evaluated through the preparation of extended annual reports in 2017 and 2019. The system of implementing the CLLD approach will be evaluated separately. LAGs must describe the system of monitoring and evaluation in their LDSs which also has to provide information s monitoring and evaluation at the RDP 2014-2020 level and at the LAG level. Themes and activities, time schedule of activities, sources and mechanisms for monitoring the application of evaluation results - follow-up must also be defined. LAGs will receive the necessary support from the MA and Network to provide the implementation of data monitoring and evaluation. The costs incurred in monitoring and evaluation of LDSs are also eligible within the scope of the measure M19.4. LAGs may carry out the evaluation at the LAG level alone, in cooperation with experts, or may transfer the evaluation to an independent external evaluator.</w:t>
            </w:r>
          </w:p>
          <w:p w:rsidR="00C21266" w:rsidRPr="005C3B55" w:rsidRDefault="00C21266">
            <w:pPr>
              <w:spacing w:before="240" w:after="240"/>
              <w:rPr>
                <w:szCs w:val="24"/>
              </w:rPr>
            </w:pPr>
            <w:r w:rsidRPr="005C3B55">
              <w:t xml:space="preserve">The evaluation activities will also be directed at the content intended to support the management and implementation of the RDP 2014-2020. An application for technical assistance and the operation of the </w:t>
            </w:r>
            <w:r w:rsidRPr="005C3B55">
              <w:rPr>
                <w:b/>
              </w:rPr>
              <w:t>Network</w:t>
            </w:r>
            <w:r w:rsidRPr="005C3B55">
              <w:t xml:space="preserve"> thus also represents a part of the evaluation of the RDP 2014-2020.</w:t>
            </w:r>
          </w:p>
          <w:p w:rsidR="00C21266" w:rsidRPr="005C3B55" w:rsidRDefault="00C21266">
            <w:pPr>
              <w:spacing w:before="240" w:after="240"/>
              <w:rPr>
                <w:szCs w:val="24"/>
              </w:rPr>
            </w:pPr>
            <w:r w:rsidRPr="005C3B55">
              <w:t>Special attention during the whole implementation period of the RDP 2014-2020 will be focused on the attainment of milestones and target indicator values.</w:t>
            </w:r>
          </w:p>
          <w:p w:rsidR="00C21266" w:rsidRPr="005C3B55" w:rsidRDefault="00C21266">
            <w:pPr>
              <w:spacing w:before="240" w:after="240"/>
              <w:rPr>
                <w:szCs w:val="24"/>
              </w:rPr>
            </w:pPr>
            <w:r w:rsidRPr="005C3B55">
              <w:t xml:space="preserve">If any specific financial need emerges during the process of implementing the RDP 2014-2020 or if additional objectives recognised by the MA as key elements in managing the RDP 2014-2020 occur, these will be included in the evaluation. Additional ad hoc evaluations may be carried out on the basis of findings of the monitoring of the RDP 2014-2020 </w:t>
            </w:r>
          </w:p>
          <w:p w:rsidR="00C21266" w:rsidRPr="005C3B55" w:rsidRDefault="00C21266">
            <w:pPr>
              <w:pStyle w:val="Telobesedila"/>
              <w:rPr>
                <w:lang w:eastAsia="en-GB" w:bidi="en-GB"/>
              </w:rPr>
            </w:pPr>
          </w:p>
        </w:tc>
      </w:tr>
    </w:tbl>
    <w:p w:rsidR="00C21266" w:rsidRPr="005C3B55" w:rsidRDefault="00C21266" w:rsidP="00C21266">
      <w:pPr>
        <w:pStyle w:val="Naslov2"/>
        <w:tabs>
          <w:tab w:val="clear" w:pos="765"/>
        </w:tabs>
        <w:ind w:left="0" w:firstLine="0"/>
        <w:rPr>
          <w:lang w:val="en-GB" w:eastAsia="en-GB" w:bidi="en-GB"/>
        </w:rPr>
      </w:pPr>
      <w:bookmarkStart w:id="133" w:name="_Toc416192591"/>
      <w:r w:rsidRPr="005C3B55">
        <w:rPr>
          <w:lang w:val="en-GB"/>
        </w:rPr>
        <w:t>Data and information</w:t>
      </w:r>
      <w:bookmarkEnd w:id="133"/>
    </w:p>
    <w:p w:rsidR="00C21266" w:rsidRPr="005C3B55" w:rsidRDefault="00C21266" w:rsidP="00C21266">
      <w:r w:rsidRPr="005C3B55">
        <w:t>Short description of the system for recording, maintenance, management and dissemination of statistical data on the implementation of the programme for rural development and monitoring of the evaluation data. Definition of data resources to be used, loopholes in data, potential institutional issues relating to the provision of data, and proposed solutions. It should be proved in this department that adequate systems for data management start to operate timely.</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The system of monitoring and evaluation within the scope of the RDP 2014-2020 provides an adequate support environment which enables the evaluators to carry out a high-quality and uninterrupted implementation of independent evaluation.  AAMRD and MAFF provide the data on the implementation of the RDP 2014-2020. Other data for monitoring the indicators are provided by different institutions.</w:t>
            </w:r>
          </w:p>
          <w:p w:rsidR="00C21266" w:rsidRPr="005C3B55" w:rsidRDefault="00C21266">
            <w:pPr>
              <w:spacing w:before="240" w:after="240"/>
              <w:rPr>
                <w:szCs w:val="24"/>
              </w:rPr>
            </w:pPr>
            <w:r w:rsidRPr="005C3B55">
              <w:t>SURS provides timely, comparable in terms of time and location and internationally comparable data on the states and movements in the economic, demographic social field and in the field of environment and natural resources.</w:t>
            </w:r>
          </w:p>
          <w:p w:rsidR="00C21266" w:rsidRPr="005C3B55" w:rsidRDefault="00C21266">
            <w:pPr>
              <w:spacing w:before="240" w:after="240"/>
              <w:rPr>
                <w:szCs w:val="24"/>
              </w:rPr>
            </w:pPr>
            <w:r w:rsidRPr="005C3B55">
              <w:t>The Slovenian Environment Agency provides a data source for a wide spectrum of agricultural and environmental indicators.</w:t>
            </w:r>
          </w:p>
          <w:p w:rsidR="00C21266" w:rsidRPr="005C3B55" w:rsidRDefault="00C21266">
            <w:pPr>
              <w:spacing w:before="240" w:after="240"/>
              <w:rPr>
                <w:szCs w:val="24"/>
              </w:rPr>
            </w:pPr>
            <w:r w:rsidRPr="005C3B55">
              <w:t>The Institute of the Republic of Slovenia for Nature Conservation is responsible for monitoring the state of nature conservation, collecting data on plant and animal species and their natural habitats and ecosystems and monitoring biodiversity.</w:t>
            </w:r>
          </w:p>
          <w:p w:rsidR="00C21266" w:rsidRPr="005C3B55" w:rsidRDefault="00C21266">
            <w:pPr>
              <w:spacing w:before="240" w:after="240"/>
              <w:rPr>
                <w:szCs w:val="24"/>
              </w:rPr>
            </w:pPr>
            <w:r w:rsidRPr="005C3B55">
              <w:t>The Agricultural Institute of Slovenia covers the area of monitoring general agricultural status and development and agricultural policy within its range of activities and through its annual publications. It also participates in studies of the impacts of the Common Agricultural Policy of the European Union on Slovenian agriculture. Within the scope of spatial studies, it pays special attention to agriculture in areas with factors constraining agricultural production and questions relating to the environment.</w:t>
            </w:r>
          </w:p>
          <w:p w:rsidR="00C21266" w:rsidRPr="005C3B55" w:rsidRDefault="00C21266">
            <w:pPr>
              <w:spacing w:before="240" w:after="240"/>
              <w:rPr>
                <w:szCs w:val="24"/>
              </w:rPr>
            </w:pPr>
            <w:r w:rsidRPr="005C3B55">
              <w:t xml:space="preserve">Accounting data on the revenue and operation of agricultural holdings also present a data source. These data are collected and monitored through an internationally standardised and prescribed methodology of Farm Accountancy Data Network (FADN). </w:t>
            </w:r>
          </w:p>
          <w:p w:rsidR="00C21266" w:rsidRPr="005C3B55" w:rsidRDefault="00C21266">
            <w:pPr>
              <w:spacing w:before="240" w:after="240"/>
              <w:rPr>
                <w:szCs w:val="24"/>
              </w:rPr>
            </w:pPr>
            <w:r w:rsidRPr="005C3B55">
              <w:t>The activities and results of research projects dealing with the area of rural development also represent a data basis for monitoring and evaluation of the RDP 2014-2020. Different surveys will also be carried out which will provide that the necessary missing data are collected within the scope of monitoring and evaluation activities.</w:t>
            </w:r>
          </w:p>
          <w:p w:rsidR="00C21266" w:rsidRPr="005C3B55" w:rsidRDefault="00C21266">
            <w:pPr>
              <w:spacing w:before="240" w:after="240"/>
              <w:rPr>
                <w:szCs w:val="24"/>
              </w:rPr>
            </w:pPr>
            <w:r w:rsidRPr="005C3B55">
              <w:t xml:space="preserve">Other monitoring and evaluation data are provided by the MAFF and AAMRD from their records and information bases, or they acquire them from other institutions. </w:t>
            </w:r>
          </w:p>
          <w:p w:rsidR="00C21266" w:rsidRPr="005C3B55" w:rsidRDefault="00C21266">
            <w:pPr>
              <w:spacing w:before="240" w:after="240"/>
              <w:rPr>
                <w:szCs w:val="24"/>
              </w:rPr>
            </w:pPr>
            <w:r w:rsidRPr="005C3B55">
              <w:t>The AAMRD gathers and provides the data on measures being implemented at the AAMRD for the purposes of reporting, evaluation and management. It collects and provides data on the basis of indicators defined in Chapter 11 of the RDP 2014-2020, the data indicators of monitoring and reporting within the scope of the annual report on the implementation of the RDP 2014-2020 and other data required for high-quality monitoring and implementation of the RDP 2014-2020. The AAMRD collects the data on received and approved applications, received claims for payment, payments made and the results of implemented controls (before payments, within the scope of monitoring, etc.). The AAMRD draws data from single applications, applications to public tenders, from claims for payment and reports of recipients of the EAFRD funds.</w:t>
            </w:r>
          </w:p>
          <w:p w:rsidR="00C21266" w:rsidRPr="005C3B55" w:rsidRDefault="00C21266">
            <w:pPr>
              <w:spacing w:before="240" w:after="240"/>
              <w:rPr>
                <w:szCs w:val="24"/>
              </w:rPr>
            </w:pPr>
            <w:r w:rsidRPr="005C3B55">
              <w:t>The AAMRD provides electronic entry of applications, claims and reports in the 2014-2020 period. The system (the AAMRD application) provides the recording of all controls carried out during the procedure by authorised persons. The calculations of quantity and financial values of applications and claims for payments are provided in an applicative manner with the resulting automated issuing of decisions and generation of reports. The system provides regular tracking of the status of an individual application from its submission to its conclusion. The data at the level of applications and projects needed for the preparation of annual reports on the implementation and other reports, different analyses and assessment of progress of the RDP 2014-2020 are c collected within the scope of the AAMRD computer applications. This is also a data source for impact indicators, a predominant part of target indicators and financial indicators of the RDP 2014-2020. The complementary result indicators (within the scope of the extended form of the annual report on progress in 2017 and 2019 and subsequent evaluation) are collected within the scope of the evaluation activities and in accordance with the detailed guidelines of the calculation methodology of an individual indicator. The methods collection data gathering and the calculation of indicators will be based on the survey sample, which will capture concluded operations within the scope of a specific priority field (whereby the indirect and direct contributions of concluded operations to a specific priority field will be taken into account). An adequate sample will be selected on the basis of the characteristics of projects and beneficiaries collected in the AAMRD data bases. As a part of an application form of a relevant (sub)measure, the latter will also contain data for relevant complementary indicators. Thus the evaluator will operate with data on the state before the investment, which will together with the data acquired from surveying provide the calculation of the indicator and the assessment of the net contribution to the indicator through the RDP support. The AAMRD application is an efficient and highly available information system which provides the processing of large quantities of data in normal (expected) time frames and at the same time ensures access to data for the previous programme period from 2006 on.</w:t>
            </w:r>
          </w:p>
          <w:p w:rsidR="00C21266" w:rsidRPr="005C3B55" w:rsidRDefault="00C21266">
            <w:pPr>
              <w:spacing w:before="240" w:after="240"/>
              <w:rPr>
                <w:szCs w:val="24"/>
              </w:rPr>
            </w:pPr>
            <w:r w:rsidRPr="005C3B55">
              <w:t>Pursuant to the provisions of Article 71 of Regulation (EU) No 1305/2013, beneficiaries of the support within the measures of rural development and LAGs undertake to provide all information necessary for the monitoring and evaluation of the RDP 2014-2020 to the MA and/or appointed evaluators or other bodies, in particular information relating to the fulfilment of defined objectives and priority tasks.  The beneficiaries' obligations to report on indicators and other required data will be defined in ordinances and public tenders. Beneficiaries will have to provide that data on investment and data stemming from the accompanying obligations (e.g. bookkeeping) is available for five years after the conclusion of the project. </w:t>
            </w:r>
          </w:p>
          <w:p w:rsidR="00C21266" w:rsidRPr="005C3B55" w:rsidRDefault="00C21266">
            <w:pPr>
              <w:spacing w:before="240" w:after="240"/>
              <w:rPr>
                <w:szCs w:val="24"/>
              </w:rPr>
            </w:pPr>
            <w:r w:rsidRPr="005C3B55">
              <w:t>The data on the implemented activities of Technical assistance and controls are collected and managed by the MAFF, while the AAMRD is responsible for data on payments.</w:t>
            </w:r>
          </w:p>
          <w:p w:rsidR="00C21266" w:rsidRPr="005C3B55" w:rsidRDefault="00C21266">
            <w:pPr>
              <w:spacing w:before="240" w:after="240"/>
              <w:rPr>
                <w:szCs w:val="24"/>
              </w:rPr>
            </w:pPr>
            <w:r w:rsidRPr="005C3B55">
              <w:t>Another important data source for monitoring and evaluation is the regularly established monitoring carried out by various institutions or organisations, in particular in the environmental area. The evaluator will have access to necessary data from existing bases (MAFF, AAMRD). The evaluator (with the assistance of the MAFF) will independently acquire all missing data required for evaluation activities. The data on establishing a control group can be derived from the data such as the FADN, population census, census of agriculture or other adequate sources. Calculations of adequate indicators will follow the methodological guidelines prepared by the EC. The MAFF will provide information for evaluators on all published guidelines and other published materials prepared by the EC.</w:t>
            </w:r>
          </w:p>
          <w:p w:rsidR="00C21266" w:rsidRPr="005C3B55" w:rsidRDefault="00C21266">
            <w:pPr>
              <w:spacing w:before="240" w:after="240"/>
              <w:rPr>
                <w:szCs w:val="24"/>
              </w:rPr>
            </w:pPr>
            <w:r w:rsidRPr="005C3B55">
              <w:t>Within the scope of the intermediary evaluation of the RDP 2007-2013 in 2010, one of the findings indicated that it is impossible to calculate the net impact of the RDP 2007-2013 on the basis of existing methodologies and data. The European Network for Rural Development then issued some instructions on calculating and monitoring indicators which should mitigate the calculation of net impacts of the RDP 2007-2013. Within the scope of activities of constant evaluation in 2012, the examination of methodology was carried out for all impact indicators and proposals were made for further calculations of indicators for the purpose of finding adequate solutions. Whether the indicators could be calculated so as to show the net impact of the RDP 2007-2013 was defined. Where this was not possible, the definitions were made on the necessary data which would enable such calculations, and other calculation methods were proposed. Experience has shown that the accessibility of data at the level of applications improved during the 2007-2013 programme period. The introduction of electronic applications, claims and reports contributed significantly to this accessibility. More problems emerged in the base structure, which partly prevented detailed analytical work. The issue of constructing an adequate AAMRD application and the collecting of data for the needs of monitoring and evaluation will be addressed immediately from the beginning of the 2014-2020 programme period. Requests for diverse data from applications for the needs of preparing the annual report on the implementation of the RDP 2014-2020, different analyses, reports, etc. will be taken into account in preparing the specification for the construction of the application. Within this framework, requests for data for the needs of evaluation activities will be taken into account which derive from currently published EC documents. An adequate application for entering data from applications will be available in the initial period of implementation of the RDP 2014-2020. During the programme implementation, the application will be adequately upgraded, if necessary. The methodology for calculating agricultural areas of high natural value will also be improved.</w:t>
            </w:r>
          </w:p>
          <w:p w:rsidR="00C21266" w:rsidRPr="005C3B55" w:rsidRDefault="00C21266">
            <w:pPr>
              <w:spacing w:before="240" w:after="240"/>
              <w:rPr>
                <w:szCs w:val="24"/>
              </w:rPr>
            </w:pPr>
            <w:r w:rsidRPr="005C3B55">
              <w:t>Processing and protection of personal data is provided within the scope of compliance with the provisions of Article 86 of Regulation (EU) No 1305/2013 and compliance with the Data Protection Act (Official Gazette of the Republic of Slovenia, No 94/2007 with all amendments). The AAMRD also takes into account the Instruction on determining and protecting the confidential and personal data and on the protection of archives and the Guide to granting rights and authorisations to access the computer system, designated software and data.</w:t>
            </w:r>
          </w:p>
          <w:p w:rsidR="00C21266" w:rsidRPr="005C3B55" w:rsidRDefault="00C21266">
            <w:pPr>
              <w:spacing w:before="240" w:after="240"/>
              <w:rPr>
                <w:szCs w:val="24"/>
              </w:rPr>
            </w:pPr>
            <w:r w:rsidRPr="005C3B55">
              <w:t>The AAMRD verifies the quality and correctness of data and information with the data in accessible registries ,which are updated on a daily basis or on the basis of a specified schedule.</w:t>
            </w:r>
          </w:p>
          <w:p w:rsidR="00C21266" w:rsidRPr="005C3B55" w:rsidRDefault="00C21266">
            <w:pPr>
              <w:pStyle w:val="Telobesedila"/>
              <w:rPr>
                <w:lang w:eastAsia="en-GB" w:bidi="en-GB"/>
              </w:rPr>
            </w:pPr>
          </w:p>
        </w:tc>
      </w:tr>
    </w:tbl>
    <w:p w:rsidR="00C21266" w:rsidRPr="005C3B55" w:rsidRDefault="00C21266" w:rsidP="00C21266">
      <w:pPr>
        <w:pStyle w:val="Naslov2"/>
        <w:tabs>
          <w:tab w:val="clear" w:pos="765"/>
        </w:tabs>
        <w:ind w:left="0" w:firstLine="0"/>
        <w:rPr>
          <w:lang w:val="en-GB" w:eastAsia="en-GB" w:bidi="en-GB"/>
        </w:rPr>
      </w:pPr>
      <w:bookmarkStart w:id="134" w:name="_Toc416192592"/>
      <w:r w:rsidRPr="005C3B55">
        <w:rPr>
          <w:lang w:val="en-GB"/>
        </w:rPr>
        <w:t>Time schedule</w:t>
      </w:r>
      <w:bookmarkEnd w:id="134"/>
    </w:p>
    <w:p w:rsidR="00C21266" w:rsidRPr="005C3B55" w:rsidRDefault="00C21266" w:rsidP="00C21266">
      <w:r w:rsidRPr="005C3B55">
        <w:t>Important milestones of the programme period and framework verification of the time schedule necessary to provide a timely availability of the results.</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The verification of RDP 2014-2020 is a continuous process carried out from the preparation of the RDP 2014-2020 and preliminary evaluation to the conclusion of the RDP 2014-2020 and subsequent evaluation. The system of monitoring and evaluation is very complex and requires a precise time scheduling of individual activities.</w:t>
            </w:r>
          </w:p>
          <w:p w:rsidR="00C21266" w:rsidRPr="005C3B55" w:rsidRDefault="00C21266">
            <w:pPr>
              <w:spacing w:before="240" w:after="240"/>
              <w:rPr>
                <w:szCs w:val="24"/>
              </w:rPr>
            </w:pPr>
            <w:r w:rsidRPr="005C3B55">
              <w:t xml:space="preserve">The </w:t>
            </w:r>
            <w:r w:rsidRPr="005C3B55">
              <w:rPr>
                <w:b/>
              </w:rPr>
              <w:t xml:space="preserve">Preliminary evaluation </w:t>
            </w:r>
            <w:r w:rsidRPr="005C3B55">
              <w:t>is carried out in parallel with the preparation of the RDP 2014-2020 and is an important element of steering and improving the quality outline of the RDP 2014-2020. The preliminary evaluation also includes requests for a strategic assessment of impacts on the environment, determined during the implementation of Directive (EC) 2001/42 of the European Parliament and of the Council of 27 June 2001 on the assessment of the effects of certain plans and programmes on the environment. The preliminary evaluation is submitted to the EC together with the RDP 2014-2020 and the summary.</w:t>
            </w:r>
          </w:p>
          <w:p w:rsidR="00C21266" w:rsidRPr="005C3B55" w:rsidRDefault="00C21266">
            <w:pPr>
              <w:spacing w:before="240" w:after="240"/>
              <w:rPr>
                <w:szCs w:val="24"/>
              </w:rPr>
            </w:pPr>
            <w:r w:rsidRPr="005C3B55">
              <w:t>The EC Member State submits the annual report on the implementation of the RDP 2014-2020 in the previous calendar year by 30 June 2016 and by 30 June of every subsequent year up to and including 2024. The report to be submitted in 2016 includes the calendar years 2014 and 2015, Member States submit an extended form of the Annual Report on the implementation to the EC in 2017 and 2019.</w:t>
            </w:r>
          </w:p>
          <w:p w:rsidR="00C21266" w:rsidRPr="005C3B55" w:rsidRDefault="00C21266">
            <w:pPr>
              <w:spacing w:before="240" w:after="240"/>
              <w:rPr>
                <w:szCs w:val="24"/>
              </w:rPr>
            </w:pPr>
            <w:r w:rsidRPr="005C3B55">
              <w:t xml:space="preserve">Member States must also submit the </w:t>
            </w:r>
            <w:r w:rsidRPr="005C3B55">
              <w:rPr>
                <w:b/>
              </w:rPr>
              <w:t>report on the progress in implementing the Partnership Agreement</w:t>
            </w:r>
            <w:r w:rsidRPr="005C3B55">
              <w:t xml:space="preserve"> to the EC by 31 August 2017 and 2019.</w:t>
            </w:r>
          </w:p>
          <w:p w:rsidR="00C21266" w:rsidRPr="005C3B55" w:rsidRDefault="00C21266">
            <w:pPr>
              <w:spacing w:before="240" w:after="240"/>
              <w:rPr>
                <w:szCs w:val="24"/>
              </w:rPr>
            </w:pPr>
            <w:r w:rsidRPr="005C3B55">
              <w:t>The subsequent evaluation is carried out by 31 December 2024 and comprises the assessment of performance and efficiency of the RDP 2014-2020 and the contribution to the strategy of the European Union for smart, sustainable and inclusive growth</w:t>
            </w:r>
          </w:p>
          <w:p w:rsidR="00C21266" w:rsidRPr="005C3B55" w:rsidRDefault="00C21266">
            <w:pPr>
              <w:spacing w:before="240" w:after="240"/>
              <w:rPr>
                <w:szCs w:val="24"/>
              </w:rPr>
            </w:pPr>
            <w:r w:rsidRPr="005C3B55">
              <w:t>Individual activities within the annual or multi-annual evaluation plans will also have a defined and detailed time schedule. The Steering Group will regularly monitor the timeliness of the implementation of evaluations.</w:t>
            </w:r>
          </w:p>
          <w:p w:rsidR="00C21266" w:rsidRPr="005C3B55" w:rsidRDefault="00C21266">
            <w:pPr>
              <w:pStyle w:val="Telobesedila"/>
            </w:pPr>
          </w:p>
          <w:p w:rsidR="00C21266" w:rsidRPr="005C3B55" w:rsidRDefault="0012246E">
            <w:pPr>
              <w:pStyle w:val="Telobesedila3"/>
              <w:jc w:val="center"/>
            </w:pPr>
            <w:r w:rsidRPr="005C3B55">
              <w:rPr>
                <w:noProof/>
                <w:lang w:val="sl-SI"/>
              </w:rPr>
              <w:drawing>
                <wp:inline distT="0" distB="0" distL="0" distR="0">
                  <wp:extent cx="4191000" cy="1200150"/>
                  <wp:effectExtent l="0" t="0" r="0" b="0"/>
                  <wp:docPr id="3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191000" cy="1200150"/>
                          </a:xfrm>
                          <a:prstGeom prst="rect">
                            <a:avLst/>
                          </a:prstGeom>
                          <a:noFill/>
                          <a:ln>
                            <a:noFill/>
                          </a:ln>
                        </pic:spPr>
                      </pic:pic>
                    </a:graphicData>
                  </a:graphic>
                </wp:inline>
              </w:drawing>
            </w:r>
          </w:p>
          <w:p w:rsidR="00C21266" w:rsidRPr="005C3B55" w:rsidRDefault="00C21266">
            <w:pPr>
              <w:pStyle w:val="Noga"/>
              <w:spacing w:after="120"/>
              <w:jc w:val="center"/>
            </w:pPr>
            <w:r w:rsidRPr="005C3B55">
              <w:t>Time scheduling of individual activities</w:t>
            </w:r>
          </w:p>
          <w:p w:rsidR="00C21266" w:rsidRPr="005C3B55" w:rsidRDefault="00C21266">
            <w:pPr>
              <w:pStyle w:val="Noga"/>
              <w:jc w:val="center"/>
              <w:rPr>
                <w:lang w:eastAsia="en-GB" w:bidi="en-GB"/>
              </w:rPr>
            </w:pPr>
          </w:p>
        </w:tc>
      </w:tr>
    </w:tbl>
    <w:p w:rsidR="00C21266" w:rsidRPr="005C3B55" w:rsidRDefault="00C21266" w:rsidP="00C21266">
      <w:pPr>
        <w:pStyle w:val="Naslov2"/>
        <w:tabs>
          <w:tab w:val="clear" w:pos="765"/>
        </w:tabs>
        <w:ind w:left="0" w:firstLine="0"/>
        <w:rPr>
          <w:lang w:val="en-GB" w:eastAsia="en-GB" w:bidi="en-GB"/>
        </w:rPr>
      </w:pPr>
      <w:bookmarkStart w:id="135" w:name="_Toc416192593"/>
      <w:r w:rsidRPr="005C3B55">
        <w:rPr>
          <w:lang w:val="en-GB"/>
        </w:rPr>
        <w:t>Notifying</w:t>
      </w:r>
      <w:bookmarkEnd w:id="135"/>
      <w:r w:rsidRPr="005C3B55">
        <w:rPr>
          <w:lang w:val="en-GB"/>
        </w:rPr>
        <w:t xml:space="preserve"> </w:t>
      </w:r>
    </w:p>
    <w:p w:rsidR="00C21266" w:rsidRPr="005C3B55" w:rsidRDefault="00C21266" w:rsidP="00C21266">
      <w:r w:rsidRPr="005C3B55">
        <w:t xml:space="preserve">Description of how the findings of evaluation will be presented to the target recipients, including a description of mechanisms established for further monitoring the application of evaluation results. </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 xml:space="preserve">The MA provides the notification and informing of the public of the RDP 2014-2020, which includes notifying potential beneficiaries, expert organisations, economic and social partners, bodies included in promoting gender equality, and respective non-governmental organisations, including environmental organisations, and also provides information on the progress and results of individual evaluations of the RDP 2014-2020.  </w:t>
            </w:r>
          </w:p>
          <w:p w:rsidR="00C21266" w:rsidRPr="005C3B55" w:rsidRDefault="00C21266">
            <w:pPr>
              <w:spacing w:before="240" w:after="240"/>
              <w:rPr>
                <w:szCs w:val="24"/>
              </w:rPr>
            </w:pPr>
            <w:r w:rsidRPr="005C3B55">
              <w:t>The MA provides the notification and information mainly via the Network. The Action and Communication Plan of the Rural Network is prepared for the 2014-2020 period, which also includes the method of informing and notifying on the activities and results of evaluation. Within the scope of the RDP 2014-2020, the support unit of the Network is competent for the preparation and implementation of the communication programme and also prepares the Annual plan of the Rural Network for an individual year. The Action and Communication Plan of the Rural Network for the 2014-2020 period is presented in more detail in Chapters 15.3 and17.</w:t>
            </w:r>
          </w:p>
          <w:p w:rsidR="00C21266" w:rsidRPr="005C3B55" w:rsidRDefault="00C21266">
            <w:pPr>
              <w:spacing w:before="240" w:after="240"/>
              <w:rPr>
                <w:szCs w:val="24"/>
              </w:rPr>
            </w:pPr>
            <w:r w:rsidRPr="005C3B55">
              <w:t>The target group of the communication strategy of evaluation results are not only participants included in the common system of monitoring and evaluation of the RDP 2014-2020, but also the general and expert public, partners at the EU, local and regional levels (policy-makers, evaluators, researchers, etc.), beneficiaries and specific organisation/individuals according to the thematic evaluation. Target groups are defined in detail in the Action and Communication Plan of the Rural Network for the 2014-2020 period, while the Annual implementation plan of the Rural Network defines the activities of informing and notifying for an individual year. </w:t>
            </w:r>
          </w:p>
          <w:p w:rsidR="00C21266" w:rsidRPr="005C3B55" w:rsidRDefault="00C21266">
            <w:pPr>
              <w:spacing w:before="240" w:after="240"/>
              <w:rPr>
                <w:szCs w:val="24"/>
              </w:rPr>
            </w:pPr>
            <w:r w:rsidRPr="005C3B55">
              <w:t xml:space="preserve">The primary consideration in creating an adequate mix of communication tools is to provide access to information to the widest possible group of the target public. The following questions were asked in relation to the tool selection: to whom and when do we want to submit information, what will it content be (determined according to the needs of target groups) and which communication tools will be applied. In this regard, the features and needs of individual target groups for which specific information is intended were taken into account. The target groups will also be notified and informed on the adherence to or implementation of the evaluation recommendations The type of information and publicity on the evaluation results and entire reports will be adjusted to individual target groups. Standard communication as well as interactive communication tools will be applied. The monitoring of implemented communication activities will also be carried out in order to provide efficiency and performance of reaching the target groups and feedback relating to the evaluation results. </w:t>
            </w:r>
          </w:p>
          <w:p w:rsidR="00C21266" w:rsidRPr="005C3B55" w:rsidRDefault="00C21266">
            <w:pPr>
              <w:spacing w:before="240" w:after="240"/>
              <w:rPr>
                <w:szCs w:val="24"/>
              </w:rPr>
            </w:pPr>
            <w:r w:rsidRPr="005C3B55">
              <w:t>The main information and communication tools to be used within the scope of the Action and Communication Plan of the Rural Network are as follows:</w:t>
            </w:r>
          </w:p>
          <w:p w:rsidR="00C21266" w:rsidRPr="005C3B55" w:rsidRDefault="00C21266" w:rsidP="006E20B6">
            <w:pPr>
              <w:numPr>
                <w:ilvl w:val="0"/>
                <w:numId w:val="1023"/>
              </w:numPr>
              <w:spacing w:before="240" w:after="0"/>
              <w:ind w:hanging="290"/>
              <w:jc w:val="left"/>
              <w:rPr>
                <w:szCs w:val="24"/>
              </w:rPr>
            </w:pPr>
            <w:r w:rsidRPr="005C3B55">
              <w:t xml:space="preserve">all evaluation reports and results of the RDP 2014-2020 will be published on the web page, while press releases , invitations to various events and other documents relating to the evaluation will also be published and submitted. </w:t>
            </w:r>
          </w:p>
          <w:p w:rsidR="00C21266" w:rsidRPr="005C3B55" w:rsidRDefault="00C21266" w:rsidP="006E20B6">
            <w:pPr>
              <w:numPr>
                <w:ilvl w:val="0"/>
                <w:numId w:val="1023"/>
              </w:numPr>
              <w:spacing w:before="0" w:after="0"/>
              <w:ind w:hanging="290"/>
              <w:jc w:val="left"/>
              <w:rPr>
                <w:szCs w:val="24"/>
              </w:rPr>
            </w:pPr>
            <w:r w:rsidRPr="005C3B55">
              <w:t>electronic notifications where the Network base will also be used.</w:t>
            </w:r>
          </w:p>
          <w:p w:rsidR="00C21266" w:rsidRPr="005C3B55" w:rsidRDefault="00C21266" w:rsidP="006E20B6">
            <w:pPr>
              <w:numPr>
                <w:ilvl w:val="0"/>
                <w:numId w:val="1023"/>
              </w:numPr>
              <w:spacing w:before="0" w:after="240"/>
              <w:ind w:hanging="290"/>
              <w:jc w:val="left"/>
              <w:rPr>
                <w:szCs w:val="24"/>
              </w:rPr>
            </w:pPr>
            <w:r w:rsidRPr="005C3B55">
              <w:t>within the seminars and workshops the discussions will take place with the expert and general public on individual themes or content.</w:t>
            </w:r>
          </w:p>
          <w:p w:rsidR="00C21266" w:rsidRPr="005C3B55" w:rsidRDefault="00C21266">
            <w:pPr>
              <w:spacing w:before="240" w:after="240"/>
              <w:rPr>
                <w:szCs w:val="24"/>
              </w:rPr>
            </w:pPr>
            <w:r w:rsidRPr="005C3B55">
              <w:t>The main mechanisms for monitoring the application of evaluation results are action plans in compliance with the evaluation recommendations where the main activities and measures will be defined, and time schedules and responsible persons, and reports on the implementation of the evaluation plan, where compliance with the evaluation recommendations will be defined. The whole system of monitoring the application of evaluation results will be defined in the internal acts of the MA.</w:t>
            </w:r>
          </w:p>
          <w:p w:rsidR="00C21266" w:rsidRPr="005C3B55" w:rsidRDefault="00C21266">
            <w:pPr>
              <w:pStyle w:val="Telobesedila"/>
              <w:rPr>
                <w:lang w:eastAsia="en-GB" w:bidi="en-GB"/>
              </w:rPr>
            </w:pPr>
          </w:p>
        </w:tc>
      </w:tr>
    </w:tbl>
    <w:p w:rsidR="00C21266" w:rsidRPr="005C3B55" w:rsidRDefault="00C21266" w:rsidP="00C21266">
      <w:pPr>
        <w:pStyle w:val="Naslov2"/>
        <w:tabs>
          <w:tab w:val="clear" w:pos="765"/>
        </w:tabs>
        <w:ind w:left="0" w:firstLine="0"/>
        <w:rPr>
          <w:lang w:val="en-GB" w:eastAsia="en-GB" w:bidi="en-GB"/>
        </w:rPr>
      </w:pPr>
      <w:bookmarkStart w:id="136" w:name="_Toc416192594"/>
      <w:r w:rsidRPr="005C3B55">
        <w:rPr>
          <w:lang w:val="en-GB"/>
        </w:rPr>
        <w:t>Sources</w:t>
      </w:r>
      <w:bookmarkEnd w:id="136"/>
    </w:p>
    <w:p w:rsidR="00C21266" w:rsidRPr="005C3B55" w:rsidRDefault="00C21266" w:rsidP="00C21266">
      <w:r w:rsidRPr="005C3B55">
        <w:t xml:space="preserve">Description of necessary and foreseen sources for the implementation of plan, including the list of needs relating to the administrative qualification, data, financial means and information technology. Description of activities strengthening the capacities foreseen to provide the entire implementation of the evaluation plan. </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450" w:type="pct"/>
            <w:tcBorders>
              <w:top w:val="single" w:sz="8" w:space="0" w:color="000000"/>
              <w:left w:val="single" w:sz="8" w:space="0" w:color="000000"/>
              <w:bottom w:val="single" w:sz="8" w:space="0" w:color="000000"/>
              <w:right w:val="single" w:sz="8" w:space="0" w:color="000000"/>
            </w:tcBorders>
            <w:tcMar>
              <w:top w:w="20" w:type="dxa"/>
              <w:left w:w="108" w:type="dxa"/>
              <w:bottom w:w="20" w:type="dxa"/>
              <w:right w:w="108" w:type="dxa"/>
            </w:tcMar>
            <w:vAlign w:val="center"/>
          </w:tcPr>
          <w:p w:rsidR="00C21266" w:rsidRPr="005C3B55" w:rsidRDefault="00C21266">
            <w:pPr>
              <w:spacing w:after="240"/>
              <w:rPr>
                <w:rFonts w:eastAsia="Calibri"/>
                <w:szCs w:val="24"/>
              </w:rPr>
            </w:pPr>
            <w:r w:rsidRPr="005C3B55">
              <w:t>Funds for the implementation of the evaluation plan, which also include necessary human resources, data bases, information systems and other supportive environment are provided within the Technical assistance. A framework calculation of foreseen costs and distribution of financial means at the annual level based on the cost calculations within the scope of the evaluation of the RDP 2007-2013. 15% of the technical assistance means of the RDP 2014-2020 will be allocated to the implementation of the evaluation plan. 3.5 AWU carries out the tasks in the system of monitoring and evaluation within the scope of the MA, and Group supporting the management. A minimum of four annual work units (AWU) are required for the successful and efficient execution of monitoring and evaluation. Two programme periods run in parallel in 2014 and 2015, and for the area of monitoring and evaluation also in 2016, resulting in additional work for employees. Pursuant to the educational programme, the regular educational training of employees who deal with the monitoring and evaluation of the RDP 2014-2020 will be implemented. If needs for additional staff emerge during the 2014-2020 period, these will be financed under the Technical assistance of the RDP 2014-2020</w:t>
            </w:r>
          </w:p>
          <w:p w:rsidR="00C21266" w:rsidRPr="005C3B55" w:rsidRDefault="00C21266">
            <w:pPr>
              <w:spacing w:before="240" w:after="240"/>
              <w:rPr>
                <w:szCs w:val="24"/>
              </w:rPr>
            </w:pPr>
            <w:r w:rsidRPr="005C3B55">
              <w:t>The RDP 2014-2020 evaluation will be conducted by external contractors appointed according to the applicable legislation.</w:t>
            </w:r>
          </w:p>
          <w:p w:rsidR="00C21266" w:rsidRPr="005C3B55" w:rsidRDefault="00C21266">
            <w:pPr>
              <w:spacing w:before="240" w:after="240"/>
              <w:rPr>
                <w:szCs w:val="24"/>
              </w:rPr>
            </w:pPr>
            <w:r w:rsidRPr="005C3B55">
              <w:t xml:space="preserve">Information support - the AAMRD application - is available at the AAMRD for the implementation of the RDP 2014-2012. The MA together with the AAMRD will strive to upgrade the existing application during the programme period on the basis of experience from current work as well as the EC recommendations on evaluations and guidelines. </w:t>
            </w:r>
          </w:p>
          <w:p w:rsidR="00C21266" w:rsidRPr="005C3B55" w:rsidRDefault="00C21266">
            <w:pPr>
              <w:pStyle w:val="Telobesedila"/>
              <w:rPr>
                <w:lang w:eastAsia="en-GB" w:bidi="en-GB"/>
              </w:rPr>
            </w:pPr>
          </w:p>
        </w:tc>
      </w:tr>
    </w:tbl>
    <w:p w:rsidR="00C21266" w:rsidRPr="005C3B55" w:rsidRDefault="00C21266" w:rsidP="00C21266">
      <w:pPr>
        <w:spacing w:after="0"/>
        <w:sectPr w:rsidR="00C21266" w:rsidRPr="005C3B55">
          <w:pgSz w:w="12240" w:h="15840"/>
          <w:pgMar w:top="900" w:right="900" w:bottom="900" w:left="900" w:header="708" w:footer="708" w:gutter="0"/>
          <w:cols w:space="708"/>
        </w:sectPr>
      </w:pPr>
    </w:p>
    <w:p w:rsidR="00C21266" w:rsidRPr="005C3B55" w:rsidRDefault="00C21266" w:rsidP="00C21266">
      <w:pPr>
        <w:pStyle w:val="Naslov1"/>
        <w:rPr>
          <w:lang w:val="en-GB" w:eastAsia="en-GB" w:bidi="en-GB"/>
        </w:rPr>
      </w:pPr>
      <w:bookmarkStart w:id="137" w:name="_Toc416192595"/>
      <w:r w:rsidRPr="005C3B55">
        <w:rPr>
          <w:lang w:val="en-GB"/>
        </w:rPr>
        <w:t>Financial plan</w:t>
      </w:r>
      <w:bookmarkEnd w:id="137"/>
    </w:p>
    <w:p w:rsidR="00C21266" w:rsidRPr="005C3B55" w:rsidRDefault="00C21266" w:rsidP="00C21266">
      <w:pPr>
        <w:pStyle w:val="Naslov2"/>
        <w:tabs>
          <w:tab w:val="clear" w:pos="765"/>
        </w:tabs>
        <w:ind w:left="0" w:firstLine="0"/>
        <w:rPr>
          <w:lang w:val="en-GB"/>
        </w:rPr>
      </w:pPr>
      <w:r w:rsidRPr="005C3B55">
        <w:rPr>
          <w:lang w:val="en-GB"/>
        </w:rPr>
        <w:t xml:space="preserve"> </w:t>
      </w:r>
      <w:bookmarkStart w:id="138" w:name="_Toc416192596"/>
      <w:r w:rsidRPr="005C3B55">
        <w:rPr>
          <w:lang w:val="en-GB"/>
        </w:rPr>
        <w:t>Planned annual contribution of the EAFRD (EUR)</w:t>
      </w:r>
      <w:bookmarkEnd w:id="138"/>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1584"/>
        <w:gridCol w:w="1584"/>
        <w:gridCol w:w="1584"/>
        <w:gridCol w:w="1584"/>
        <w:gridCol w:w="1584"/>
        <w:gridCol w:w="1584"/>
        <w:gridCol w:w="1584"/>
        <w:gridCol w:w="1584"/>
        <w:gridCol w:w="1584"/>
      </w:tblGrid>
      <w:tr w:rsidR="00C21266" w:rsidRPr="005C3B55">
        <w:tc>
          <w:tcPr>
            <w:tcW w:w="4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Types of regions and additional allocated funds</w:t>
            </w:r>
          </w:p>
        </w:tc>
        <w:tc>
          <w:tcPr>
            <w:tcW w:w="4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2014</w:t>
            </w:r>
          </w:p>
        </w:tc>
        <w:tc>
          <w:tcPr>
            <w:tcW w:w="4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2015</w:t>
            </w:r>
          </w:p>
        </w:tc>
        <w:tc>
          <w:tcPr>
            <w:tcW w:w="4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2016</w:t>
            </w:r>
          </w:p>
        </w:tc>
        <w:tc>
          <w:tcPr>
            <w:tcW w:w="4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2017</w:t>
            </w:r>
          </w:p>
        </w:tc>
        <w:tc>
          <w:tcPr>
            <w:tcW w:w="4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2018</w:t>
            </w:r>
          </w:p>
        </w:tc>
        <w:tc>
          <w:tcPr>
            <w:tcW w:w="4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2019</w:t>
            </w:r>
          </w:p>
        </w:tc>
        <w:tc>
          <w:tcPr>
            <w:tcW w:w="4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2020</w:t>
            </w:r>
          </w:p>
        </w:tc>
        <w:tc>
          <w:tcPr>
            <w:tcW w:w="4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Total</w:t>
            </w:r>
          </w:p>
        </w:tc>
      </w:tr>
      <w:tr w:rsidR="00C21266" w:rsidRPr="005C3B55">
        <w:tc>
          <w:tcPr>
            <w:tcW w:w="4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59(s)(a) - Under-developed regions and the most remote regions and regions on the small Aegean islands under the Regulation EEC) No 2019/93</w:t>
            </w:r>
          </w:p>
        </w:tc>
        <w:tc>
          <w:tcPr>
            <w:tcW w:w="4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82,198,036.87</w:t>
            </w:r>
          </w:p>
        </w:tc>
        <w:tc>
          <w:tcPr>
            <w:tcW w:w="4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82,425,770.97</w:t>
            </w:r>
          </w:p>
        </w:tc>
        <w:tc>
          <w:tcPr>
            <w:tcW w:w="4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82,658,011.90</w:t>
            </w:r>
          </w:p>
        </w:tc>
        <w:tc>
          <w:tcPr>
            <w:tcW w:w="4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82,894,848.32</w:t>
            </w:r>
          </w:p>
        </w:tc>
        <w:tc>
          <w:tcPr>
            <w:tcW w:w="4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83,136,576.67</w:t>
            </w:r>
          </w:p>
        </w:tc>
        <w:tc>
          <w:tcPr>
            <w:tcW w:w="4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83,380,112.05</w:t>
            </w:r>
          </w:p>
        </w:tc>
        <w:tc>
          <w:tcPr>
            <w:tcW w:w="4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83,612,742.23</w:t>
            </w:r>
          </w:p>
        </w:tc>
        <w:tc>
          <w:tcPr>
            <w:tcW w:w="4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b/>
                <w:sz w:val="16"/>
                <w:lang w:eastAsia="en-GB" w:bidi="en-GB"/>
              </w:rPr>
            </w:pPr>
            <w:r w:rsidRPr="005C3B55">
              <w:rPr>
                <w:b/>
                <w:sz w:val="16"/>
              </w:rPr>
              <w:t>580,306,099.01</w:t>
            </w:r>
          </w:p>
        </w:tc>
      </w:tr>
      <w:tr w:rsidR="00C21266" w:rsidRPr="005C3B55">
        <w:tc>
          <w:tcPr>
            <w:tcW w:w="4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59(3(b) - All regions where GDP per capita for the 2007-2013 period was lower than 75% of the EU-25 average for the reference period, but the GDP per capita of which exceed 75% of the average GDP in EU-27</w:t>
            </w:r>
          </w:p>
        </w:tc>
        <w:tc>
          <w:tcPr>
            <w:tcW w:w="4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36,480,035.13</w:t>
            </w:r>
          </w:p>
        </w:tc>
        <w:tc>
          <w:tcPr>
            <w:tcW w:w="4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36,581,105.03</w:t>
            </w:r>
          </w:p>
        </w:tc>
        <w:tc>
          <w:tcPr>
            <w:tcW w:w="4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36,684,175.10</w:t>
            </w:r>
          </w:p>
        </w:tc>
        <w:tc>
          <w:tcPr>
            <w:tcW w:w="4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36,789,284.68</w:t>
            </w:r>
          </w:p>
        </w:tc>
        <w:tc>
          <w:tcPr>
            <w:tcW w:w="4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36,896,565.33</w:t>
            </w:r>
          </w:p>
        </w:tc>
        <w:tc>
          <w:tcPr>
            <w:tcW w:w="4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37,004,647.95</w:t>
            </w:r>
          </w:p>
        </w:tc>
        <w:tc>
          <w:tcPr>
            <w:tcW w:w="4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37,107,890.77</w:t>
            </w:r>
          </w:p>
        </w:tc>
        <w:tc>
          <w:tcPr>
            <w:tcW w:w="4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b/>
                <w:sz w:val="16"/>
                <w:lang w:eastAsia="en-GB" w:bidi="en-GB"/>
              </w:rPr>
            </w:pPr>
            <w:r w:rsidRPr="005C3B55">
              <w:rPr>
                <w:b/>
                <w:sz w:val="16"/>
              </w:rPr>
              <w:t>257,543,703.99</w:t>
            </w:r>
          </w:p>
        </w:tc>
      </w:tr>
      <w:tr w:rsidR="00C21266" w:rsidRPr="005C3B55">
        <w:tc>
          <w:tcPr>
            <w:tcW w:w="4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rPr>
                <w:rFonts w:eastAsia="Calibri"/>
                <w:b/>
                <w:sz w:val="16"/>
                <w:lang w:eastAsia="en-GB" w:bidi="en-GB"/>
              </w:rPr>
            </w:pPr>
            <w:r w:rsidRPr="005C3B55">
              <w:rPr>
                <w:b/>
                <w:sz w:val="16"/>
              </w:rPr>
              <w:t>Total</w:t>
            </w:r>
          </w:p>
        </w:tc>
        <w:tc>
          <w:tcPr>
            <w:tcW w:w="4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right"/>
              <w:rPr>
                <w:rFonts w:eastAsia="Calibri"/>
                <w:b/>
                <w:sz w:val="16"/>
                <w:lang w:eastAsia="en-GB" w:bidi="en-GB"/>
              </w:rPr>
            </w:pPr>
            <w:r w:rsidRPr="005C3B55">
              <w:rPr>
                <w:b/>
                <w:sz w:val="16"/>
              </w:rPr>
              <w:t>118,678,072.00</w:t>
            </w:r>
          </w:p>
        </w:tc>
        <w:tc>
          <w:tcPr>
            <w:tcW w:w="4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right"/>
              <w:rPr>
                <w:rFonts w:eastAsia="Calibri"/>
                <w:b/>
                <w:sz w:val="16"/>
                <w:lang w:eastAsia="en-GB" w:bidi="en-GB"/>
              </w:rPr>
            </w:pPr>
            <w:r w:rsidRPr="005C3B55">
              <w:rPr>
                <w:b/>
                <w:sz w:val="16"/>
              </w:rPr>
              <w:t>119,006,876.00</w:t>
            </w:r>
          </w:p>
        </w:tc>
        <w:tc>
          <w:tcPr>
            <w:tcW w:w="4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right"/>
              <w:rPr>
                <w:rFonts w:eastAsia="Calibri"/>
                <w:b/>
                <w:sz w:val="16"/>
                <w:lang w:eastAsia="en-GB" w:bidi="en-GB"/>
              </w:rPr>
            </w:pPr>
            <w:r w:rsidRPr="005C3B55">
              <w:rPr>
                <w:b/>
                <w:sz w:val="16"/>
              </w:rPr>
              <w:t>119,342,187.00</w:t>
            </w:r>
          </w:p>
        </w:tc>
        <w:tc>
          <w:tcPr>
            <w:tcW w:w="4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right"/>
              <w:rPr>
                <w:rFonts w:eastAsia="Calibri"/>
                <w:b/>
                <w:sz w:val="16"/>
                <w:lang w:eastAsia="en-GB" w:bidi="en-GB"/>
              </w:rPr>
            </w:pPr>
            <w:r w:rsidRPr="005C3B55">
              <w:rPr>
                <w:b/>
                <w:sz w:val="16"/>
              </w:rPr>
              <w:t>119,684,133.00</w:t>
            </w:r>
          </w:p>
        </w:tc>
        <w:tc>
          <w:tcPr>
            <w:tcW w:w="4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right"/>
              <w:rPr>
                <w:rFonts w:eastAsia="Calibri"/>
                <w:b/>
                <w:sz w:val="16"/>
                <w:lang w:eastAsia="en-GB" w:bidi="en-GB"/>
              </w:rPr>
            </w:pPr>
            <w:r w:rsidRPr="005C3B55">
              <w:rPr>
                <w:b/>
                <w:sz w:val="16"/>
              </w:rPr>
              <w:t>120,033,142.00</w:t>
            </w:r>
          </w:p>
        </w:tc>
        <w:tc>
          <w:tcPr>
            <w:tcW w:w="4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right"/>
              <w:rPr>
                <w:rFonts w:eastAsia="Calibri"/>
                <w:b/>
                <w:sz w:val="16"/>
                <w:lang w:eastAsia="en-GB" w:bidi="en-GB"/>
              </w:rPr>
            </w:pPr>
            <w:r w:rsidRPr="005C3B55">
              <w:rPr>
                <w:b/>
                <w:sz w:val="16"/>
              </w:rPr>
              <w:t>120,384,760.00</w:t>
            </w:r>
          </w:p>
        </w:tc>
        <w:tc>
          <w:tcPr>
            <w:tcW w:w="4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right"/>
              <w:rPr>
                <w:rFonts w:eastAsia="Calibri"/>
                <w:b/>
                <w:sz w:val="16"/>
                <w:lang w:eastAsia="en-GB" w:bidi="en-GB"/>
              </w:rPr>
            </w:pPr>
            <w:r w:rsidRPr="005C3B55">
              <w:rPr>
                <w:b/>
                <w:sz w:val="16"/>
              </w:rPr>
              <w:t>120,720,633.00</w:t>
            </w:r>
          </w:p>
        </w:tc>
        <w:tc>
          <w:tcPr>
            <w:tcW w:w="4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right"/>
              <w:rPr>
                <w:rFonts w:eastAsia="Calibri"/>
                <w:b/>
                <w:sz w:val="16"/>
                <w:lang w:eastAsia="en-GB" w:bidi="en-GB"/>
              </w:rPr>
            </w:pPr>
            <w:r w:rsidRPr="005C3B55">
              <w:rPr>
                <w:b/>
                <w:sz w:val="16"/>
              </w:rPr>
              <w:t>837,849,803.00</w:t>
            </w:r>
          </w:p>
        </w:tc>
      </w:tr>
      <w:tr w:rsidR="00C21266" w:rsidRPr="005C3B55">
        <w:tc>
          <w:tcPr>
            <w:tcW w:w="4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rPr>
                <w:rFonts w:eastAsia="Calibri"/>
                <w:b/>
                <w:sz w:val="16"/>
                <w:lang w:eastAsia="en-GB" w:bidi="en-GB"/>
              </w:rPr>
            </w:pPr>
            <w:r w:rsidRPr="005C3B55">
              <w:rPr>
                <w:b/>
                <w:sz w:val="16"/>
              </w:rPr>
              <w:t>(of which) performance reserve of Article 20 of Regulation (EU) No 1303/2013</w:t>
            </w:r>
          </w:p>
        </w:tc>
        <w:tc>
          <w:tcPr>
            <w:tcW w:w="4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b/>
                <w:sz w:val="16"/>
                <w:lang w:eastAsia="en-GB" w:bidi="en-GB"/>
              </w:rPr>
            </w:pPr>
            <w:r w:rsidRPr="005C3B55">
              <w:rPr>
                <w:b/>
                <w:sz w:val="16"/>
              </w:rPr>
              <w:t>7,120,684.32</w:t>
            </w:r>
          </w:p>
        </w:tc>
        <w:tc>
          <w:tcPr>
            <w:tcW w:w="4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b/>
                <w:sz w:val="16"/>
                <w:lang w:eastAsia="en-GB" w:bidi="en-GB"/>
              </w:rPr>
            </w:pPr>
            <w:r w:rsidRPr="005C3B55">
              <w:rPr>
                <w:b/>
                <w:sz w:val="16"/>
              </w:rPr>
              <w:t>7,140,412.56</w:t>
            </w:r>
          </w:p>
        </w:tc>
        <w:tc>
          <w:tcPr>
            <w:tcW w:w="4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b/>
                <w:sz w:val="16"/>
                <w:lang w:eastAsia="en-GB" w:bidi="en-GB"/>
              </w:rPr>
            </w:pPr>
            <w:r w:rsidRPr="005C3B55">
              <w:rPr>
                <w:b/>
                <w:sz w:val="16"/>
              </w:rPr>
              <w:t>7,160,531.22</w:t>
            </w:r>
          </w:p>
        </w:tc>
        <w:tc>
          <w:tcPr>
            <w:tcW w:w="4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b/>
                <w:sz w:val="16"/>
                <w:lang w:eastAsia="en-GB" w:bidi="en-GB"/>
              </w:rPr>
            </w:pPr>
            <w:r w:rsidRPr="005C3B55">
              <w:rPr>
                <w:b/>
                <w:sz w:val="16"/>
              </w:rPr>
              <w:t>7,181,047.98</w:t>
            </w:r>
          </w:p>
        </w:tc>
        <w:tc>
          <w:tcPr>
            <w:tcW w:w="4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b/>
                <w:sz w:val="16"/>
                <w:lang w:eastAsia="en-GB" w:bidi="en-GB"/>
              </w:rPr>
            </w:pPr>
            <w:r w:rsidRPr="005C3B55">
              <w:rPr>
                <w:b/>
                <w:sz w:val="16"/>
              </w:rPr>
              <w:t>7,201,988.52</w:t>
            </w:r>
          </w:p>
        </w:tc>
        <w:tc>
          <w:tcPr>
            <w:tcW w:w="4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b/>
                <w:sz w:val="16"/>
                <w:lang w:eastAsia="en-GB" w:bidi="en-GB"/>
              </w:rPr>
            </w:pPr>
            <w:r w:rsidRPr="005C3B55">
              <w:rPr>
                <w:b/>
                <w:sz w:val="16"/>
              </w:rPr>
              <w:t>7,223,085.60</w:t>
            </w:r>
          </w:p>
        </w:tc>
        <w:tc>
          <w:tcPr>
            <w:tcW w:w="4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b/>
                <w:sz w:val="16"/>
                <w:lang w:eastAsia="en-GB" w:bidi="en-GB"/>
              </w:rPr>
            </w:pPr>
            <w:r w:rsidRPr="005C3B55">
              <w:rPr>
                <w:b/>
                <w:sz w:val="16"/>
              </w:rPr>
              <w:t>7,243,237.98</w:t>
            </w:r>
          </w:p>
        </w:tc>
        <w:tc>
          <w:tcPr>
            <w:tcW w:w="4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b/>
                <w:sz w:val="16"/>
                <w:lang w:eastAsia="en-GB" w:bidi="en-GB"/>
              </w:rPr>
            </w:pPr>
            <w:r w:rsidRPr="005C3B55">
              <w:rPr>
                <w:b/>
                <w:sz w:val="16"/>
              </w:rPr>
              <w:t>50,270,988.18</w:t>
            </w:r>
          </w:p>
        </w:tc>
      </w:tr>
    </w:tbl>
    <w:p w:rsidR="00C21266" w:rsidRPr="005C3B55" w:rsidRDefault="00C21266" w:rsidP="00C21266">
      <w:pPr>
        <w:rPr>
          <w:rFonts w:eastAsia="Calibri"/>
          <w:b/>
          <w:szCs w:val="22"/>
          <w:lang w:eastAsia="en-GB" w:bidi="en-GB"/>
        </w:rPr>
      </w:pPr>
    </w:p>
    <w:tbl>
      <w:tblPr>
        <w:tblStyle w:val="Navadnatabela1"/>
        <w:tblW w:w="5000"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692"/>
        <w:gridCol w:w="3564"/>
      </w:tblGrid>
      <w:tr w:rsidR="00C21266" w:rsidRPr="005C3B55">
        <w:tc>
          <w:tcPr>
            <w:tcW w:w="3750" w:type="pct"/>
            <w:tcBorders>
              <w:top w:val="single" w:sz="4" w:space="0" w:color="auto"/>
              <w:left w:val="single" w:sz="4" w:space="0" w:color="auto"/>
              <w:bottom w:val="single" w:sz="4" w:space="0" w:color="auto"/>
              <w:right w:val="single" w:sz="4" w:space="0" w:color="auto"/>
            </w:tcBorders>
            <w:shd w:val="clear" w:color="auto" w:fill="C0C0C0"/>
            <w:tcMar>
              <w:top w:w="60" w:type="dxa"/>
              <w:left w:w="108" w:type="dxa"/>
              <w:bottom w:w="0" w:type="dxa"/>
              <w:right w:w="108" w:type="dxa"/>
            </w:tcMar>
          </w:tcPr>
          <w:p w:rsidR="00C21266" w:rsidRPr="005C3B55" w:rsidRDefault="00C21266">
            <w:pPr>
              <w:spacing w:after="200"/>
              <w:rPr>
                <w:rFonts w:eastAsia="Calibri"/>
                <w:b/>
                <w:sz w:val="16"/>
                <w:lang w:eastAsia="en-GB" w:bidi="en-GB"/>
              </w:rPr>
            </w:pPr>
            <w:r w:rsidRPr="005C3B55">
              <w:rPr>
                <w:b/>
                <w:sz w:val="16"/>
              </w:rPr>
              <w:t>Total framework amount of support, foreseen for the objectives in the field of climate change</w:t>
            </w:r>
          </w:p>
        </w:tc>
        <w:tc>
          <w:tcPr>
            <w:tcW w:w="12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right"/>
              <w:rPr>
                <w:rFonts w:eastAsia="Calibri"/>
                <w:b/>
                <w:sz w:val="16"/>
                <w:lang w:eastAsia="en-GB" w:bidi="en-GB"/>
              </w:rPr>
            </w:pPr>
            <w:r w:rsidRPr="005C3B55">
              <w:rPr>
                <w:b/>
                <w:sz w:val="16"/>
              </w:rPr>
              <w:t>448,892,576.40</w:t>
            </w:r>
          </w:p>
        </w:tc>
      </w:tr>
    </w:tbl>
    <w:p w:rsidR="00C21266" w:rsidRPr="005C3B55" w:rsidRDefault="00C21266" w:rsidP="00C21266">
      <w:pPr>
        <w:spacing w:after="0"/>
        <w:rPr>
          <w:b/>
        </w:rPr>
        <w:sectPr w:rsidR="00C21266" w:rsidRPr="005C3B55">
          <w:pgSz w:w="15840" w:h="12240" w:orient="landscape"/>
          <w:pgMar w:top="900" w:right="900" w:bottom="900" w:left="900" w:header="708" w:footer="708" w:gutter="0"/>
          <w:cols w:space="708"/>
        </w:sectPr>
      </w:pPr>
    </w:p>
    <w:p w:rsidR="00C21266" w:rsidRPr="005C3B55" w:rsidRDefault="00C21266" w:rsidP="00C21266">
      <w:pPr>
        <w:pStyle w:val="Naslov2"/>
        <w:tabs>
          <w:tab w:val="clear" w:pos="765"/>
        </w:tabs>
        <w:ind w:left="0" w:firstLine="0"/>
        <w:rPr>
          <w:lang w:val="en-GB" w:eastAsia="en-GB" w:bidi="en-GB"/>
        </w:rPr>
      </w:pPr>
      <w:r w:rsidRPr="005C3B55">
        <w:rPr>
          <w:lang w:val="en-GB"/>
        </w:rPr>
        <w:t xml:space="preserve"> </w:t>
      </w:r>
      <w:bookmarkStart w:id="139" w:name="_Toc416192597"/>
      <w:r w:rsidRPr="005C3B55">
        <w:rPr>
          <w:lang w:val="en-GB"/>
        </w:rPr>
        <w:t>Single EAFRD contribution rate for all measures broken down according to the type of region as per Article 59(3) of Regulation (EU) No 1305/2013</w:t>
      </w:r>
      <w:bookmarkEnd w:id="139"/>
    </w:p>
    <w:tbl>
      <w:tblPr>
        <w:tblStyle w:val="Navadnatabela1"/>
        <w:tblW w:w="5000"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78"/>
        <w:gridCol w:w="1426"/>
        <w:gridCol w:w="1426"/>
        <w:gridCol w:w="1426"/>
      </w:tblGrid>
      <w:tr w:rsidR="00C21266" w:rsidRPr="005C3B55">
        <w:tc>
          <w:tcPr>
            <w:tcW w:w="3500" w:type="pct"/>
            <w:tcBorders>
              <w:top w:val="single" w:sz="4" w:space="0" w:color="auto"/>
              <w:left w:val="single" w:sz="4" w:space="0" w:color="auto"/>
              <w:bottom w:val="single" w:sz="4" w:space="0" w:color="auto"/>
              <w:right w:val="single" w:sz="4" w:space="0" w:color="auto"/>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The Article which determines the highest contribution rate.</w:t>
            </w:r>
          </w:p>
        </w:tc>
        <w:tc>
          <w:tcPr>
            <w:tcW w:w="500" w:type="pct"/>
            <w:tcBorders>
              <w:top w:val="single" w:sz="4" w:space="0" w:color="auto"/>
              <w:left w:val="single" w:sz="4" w:space="0" w:color="auto"/>
              <w:bottom w:val="single" w:sz="4" w:space="0" w:color="auto"/>
              <w:right w:val="single" w:sz="4" w:space="0" w:color="auto"/>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 xml:space="preserve">The valid EAFRD contribution rate </w:t>
            </w:r>
          </w:p>
        </w:tc>
        <w:tc>
          <w:tcPr>
            <w:tcW w:w="500" w:type="pct"/>
            <w:tcBorders>
              <w:top w:val="single" w:sz="4" w:space="0" w:color="auto"/>
              <w:left w:val="single" w:sz="4" w:space="0" w:color="auto"/>
              <w:bottom w:val="single" w:sz="4" w:space="0" w:color="auto"/>
              <w:right w:val="single" w:sz="4" w:space="0" w:color="auto"/>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The lowest EAFRD contribution rate for the 2014-2020 period (%)</w:t>
            </w:r>
          </w:p>
        </w:tc>
        <w:tc>
          <w:tcPr>
            <w:tcW w:w="500" w:type="pct"/>
            <w:tcBorders>
              <w:top w:val="single" w:sz="4" w:space="0" w:color="auto"/>
              <w:left w:val="single" w:sz="4" w:space="0" w:color="auto"/>
              <w:bottom w:val="single" w:sz="4" w:space="0" w:color="auto"/>
              <w:right w:val="single" w:sz="4" w:space="0" w:color="auto"/>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The highest EAFRD contribution rate for the 2014-2020 period (%)</w:t>
            </w:r>
          </w:p>
        </w:tc>
      </w:tr>
      <w:tr w:rsidR="00C21266" w:rsidRPr="005C3B55">
        <w:tc>
          <w:tcPr>
            <w:tcW w:w="35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59(s)(a) - Under-developed regions and the most remote regions and regions on the small Aegean islands under the Regulation EEC) No 2019/93</w:t>
            </w:r>
          </w:p>
        </w:tc>
        <w:tc>
          <w:tcPr>
            <w:tcW w:w="5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75%</w:t>
            </w:r>
          </w:p>
        </w:tc>
        <w:tc>
          <w:tcPr>
            <w:tcW w:w="5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20%</w:t>
            </w:r>
          </w:p>
        </w:tc>
        <w:tc>
          <w:tcPr>
            <w:tcW w:w="5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85%</w:t>
            </w:r>
          </w:p>
        </w:tc>
      </w:tr>
      <w:tr w:rsidR="00C21266" w:rsidRPr="005C3B55">
        <w:tc>
          <w:tcPr>
            <w:tcW w:w="35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59(3(b) - All regions where the GDP per capita for the 2007-2013 period was lower than 75% of the EU-25 average for the reference period , but the GDP per capita of which exceed 75% of an average GDP in EU-27</w:t>
            </w:r>
          </w:p>
        </w:tc>
        <w:tc>
          <w:tcPr>
            <w:tcW w:w="5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75%</w:t>
            </w:r>
          </w:p>
        </w:tc>
        <w:tc>
          <w:tcPr>
            <w:tcW w:w="5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20%</w:t>
            </w:r>
          </w:p>
        </w:tc>
        <w:tc>
          <w:tcPr>
            <w:tcW w:w="5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75%</w:t>
            </w:r>
          </w:p>
        </w:tc>
      </w:tr>
    </w:tbl>
    <w:p w:rsidR="00C21266" w:rsidRPr="005C3B55" w:rsidRDefault="00C21266" w:rsidP="00C21266">
      <w:pPr>
        <w:pStyle w:val="Naslov2"/>
        <w:tabs>
          <w:tab w:val="clear" w:pos="765"/>
        </w:tabs>
        <w:ind w:left="0" w:firstLine="0"/>
        <w:rPr>
          <w:lang w:val="en-GB" w:eastAsia="en-GB" w:bidi="en-GB"/>
        </w:rPr>
      </w:pPr>
      <w:r w:rsidRPr="005C3B55">
        <w:rPr>
          <w:b w:val="0"/>
          <w:lang w:val="en-GB"/>
        </w:rPr>
        <w:br w:type="page"/>
      </w:r>
      <w:bookmarkStart w:id="140" w:name="_Toc416192598"/>
      <w:r w:rsidRPr="005C3B55">
        <w:rPr>
          <w:lang w:val="en-GB"/>
        </w:rPr>
        <w:t>Breakdown by measures and types of operations with a special EAFRD contribution rate (in EUR for the whole 2014-2020 period)</w:t>
      </w:r>
      <w:bookmarkEnd w:id="140"/>
    </w:p>
    <w:p w:rsidR="00C21266" w:rsidRPr="005C3B55" w:rsidRDefault="00C21266" w:rsidP="00C21266">
      <w:pPr>
        <w:pStyle w:val="Naslov3"/>
        <w:tabs>
          <w:tab w:val="clear" w:pos="765"/>
        </w:tabs>
        <w:ind w:left="0" w:firstLine="0"/>
        <w:jc w:val="left"/>
        <w:rPr>
          <w:lang w:val="en-GB"/>
        </w:rPr>
      </w:pPr>
      <w:bookmarkStart w:id="141" w:name="_Toc416192599"/>
      <w:r w:rsidRPr="005C3B55">
        <w:rPr>
          <w:lang w:val="en-GB"/>
        </w:rPr>
        <w:t>M01 – Knowledge transfer and information actions (Article 14)</w:t>
      </w:r>
      <w:bookmarkEnd w:id="141"/>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1955"/>
        <w:gridCol w:w="1955"/>
        <w:gridCol w:w="1955"/>
        <w:gridCol w:w="1955"/>
        <w:gridCol w:w="1955"/>
        <w:gridCol w:w="1955"/>
        <w:gridCol w:w="1243"/>
        <w:gridCol w:w="1283"/>
      </w:tblGrid>
      <w:tr w:rsidR="00C21266" w:rsidRPr="005C3B55">
        <w:tc>
          <w:tcPr>
            <w:tcW w:w="750" w:type="pct"/>
            <w:gridSpan w:val="2"/>
            <w:tcBorders>
              <w:top w:val="single" w:sz="8" w:space="0" w:color="000000"/>
              <w:left w:val="single" w:sz="8" w:space="0" w:color="000000"/>
              <w:bottom w:val="single" w:sz="8" w:space="0" w:color="000000"/>
              <w:right w:val="single" w:sz="8" w:space="0" w:color="000000"/>
            </w:tcBorders>
            <w:shd w:val="clear" w:color="auto" w:fill="C0C0C0"/>
          </w:tcPr>
          <w:p w:rsidR="00C21266" w:rsidRPr="005C3B55" w:rsidRDefault="00C21266">
            <w:pPr>
              <w:spacing w:after="200"/>
              <w:jc w:val="center"/>
              <w:rPr>
                <w:rFonts w:eastAsia="Calibri"/>
                <w:b/>
                <w:sz w:val="20"/>
                <w:lang w:eastAsia="en-GB" w:bidi="en-GB"/>
              </w:rPr>
            </w:pPr>
            <w:r w:rsidRPr="005C3B55">
              <w:rPr>
                <w:b/>
                <w:sz w:val="20"/>
              </w:rPr>
              <w:t>Types of regions and additional allocated funds</w:t>
            </w:r>
          </w:p>
        </w:tc>
        <w:tc>
          <w:tcPr>
            <w:tcW w:w="7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Adequate EAFRD contribution rate for the 2014-2020 period (%)</w:t>
            </w:r>
          </w:p>
        </w:tc>
        <w:tc>
          <w:tcPr>
            <w:tcW w:w="7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Adequate EAFRD contribution rate as per Article 59(4)(g) for the 2014-2020 period (%)</w:t>
            </w:r>
          </w:p>
        </w:tc>
        <w:tc>
          <w:tcPr>
            <w:tcW w:w="7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Rate used for financial instruments under the authority of the management authority for the 2014-2020 period (%)</w:t>
            </w:r>
          </w:p>
        </w:tc>
        <w:tc>
          <w:tcPr>
            <w:tcW w:w="7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Rate used for the financial instrument under the authority of the management authority as per Article 59(4)(g) for the 2014-2020 period (%)</w:t>
            </w:r>
          </w:p>
        </w:tc>
        <w:tc>
          <w:tcPr>
            <w:tcW w:w="7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 xml:space="preserve">Framework EAFRD amount contributed to the financial instruments for the 2014-2020 period (EUR) </w:t>
            </w:r>
          </w:p>
        </w:tc>
        <w:tc>
          <w:tcPr>
            <w:tcW w:w="7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Total planned Union contribution in the 2014–2020 period (EUR)</w:t>
            </w:r>
          </w:p>
        </w:tc>
      </w:tr>
      <w:tr w:rsidR="00C21266" w:rsidRPr="005C3B55">
        <w:tc>
          <w:tcPr>
            <w:tcW w:w="750" w:type="pct"/>
            <w:vMerge w:val="restar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59(s)(a) - Under-developed regions and the most remote regions and the regions on the small Aegean islands under the Regulation EEC) No 2019/93</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Main</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75%</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75%</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0.00</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jc w:val="right"/>
              <w:rPr>
                <w:rFonts w:eastAsia="Calibri"/>
                <w:sz w:val="16"/>
              </w:rPr>
            </w:pPr>
            <w:r w:rsidRPr="005C3B55">
              <w:rPr>
                <w:sz w:val="16"/>
              </w:rPr>
              <w:t>0,00 (2A)</w:t>
            </w:r>
          </w:p>
          <w:p w:rsidR="00C21266" w:rsidRPr="005C3B55" w:rsidRDefault="00C21266">
            <w:pPr>
              <w:jc w:val="right"/>
              <w:rPr>
                <w:sz w:val="16"/>
              </w:rPr>
            </w:pPr>
            <w:r w:rsidRPr="005C3B55">
              <w:rPr>
                <w:sz w:val="16"/>
              </w:rPr>
              <w:t>0,00 (2B)</w:t>
            </w:r>
          </w:p>
          <w:p w:rsidR="00C21266" w:rsidRPr="005C3B55" w:rsidRDefault="00C21266">
            <w:pPr>
              <w:jc w:val="right"/>
              <w:rPr>
                <w:sz w:val="16"/>
              </w:rPr>
            </w:pPr>
            <w:r w:rsidRPr="005C3B55">
              <w:rPr>
                <w:sz w:val="16"/>
              </w:rPr>
              <w:t>0,00 (3A)</w:t>
            </w:r>
          </w:p>
          <w:p w:rsidR="00C21266" w:rsidRPr="005C3B55" w:rsidRDefault="00C21266">
            <w:pPr>
              <w:spacing w:after="200"/>
              <w:jc w:val="right"/>
              <w:rPr>
                <w:rFonts w:eastAsia="Calibri"/>
                <w:sz w:val="16"/>
                <w:lang w:eastAsia="en-GB" w:bidi="en-GB"/>
              </w:rPr>
            </w:pPr>
            <w:r w:rsidRPr="005C3B55">
              <w:rPr>
                <w:sz w:val="16"/>
              </w:rPr>
              <w:t>0,00 (P4)</w:t>
            </w:r>
          </w:p>
        </w:tc>
      </w:tr>
      <w:tr w:rsidR="00C21266" w:rsidRPr="005C3B55">
        <w:tc>
          <w:tcPr>
            <w:tcW w:w="0" w:type="auto"/>
            <w:vMerge/>
            <w:tcBorders>
              <w:top w:val="single" w:sz="8" w:space="0" w:color="000000"/>
              <w:left w:val="single" w:sz="8" w:space="0" w:color="000000"/>
              <w:bottom w:val="single" w:sz="8" w:space="0" w:color="000000"/>
              <w:right w:val="single" w:sz="8" w:space="0" w:color="000000"/>
            </w:tcBorders>
            <w:vAlign w:val="center"/>
          </w:tcPr>
          <w:p w:rsidR="00C21266" w:rsidRPr="005C3B55" w:rsidRDefault="00C21266">
            <w:pPr>
              <w:spacing w:after="0"/>
              <w:rPr>
                <w:rFonts w:eastAsia="Calibri"/>
                <w:sz w:val="16"/>
                <w:lang w:eastAsia="en-GB" w:bidi="en-GB"/>
              </w:rPr>
            </w:pP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59(4)(a) - Measures under Articles 14, 27, 35 for local development within the LEADER initiative under Article 32 of Regulation (EU) No. 1303/2013 and operations under Article 19(1)(a)(i)</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80%</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80%</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0.00</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jc w:val="right"/>
              <w:rPr>
                <w:rFonts w:eastAsia="Calibri"/>
                <w:sz w:val="16"/>
              </w:rPr>
            </w:pPr>
            <w:r w:rsidRPr="005C3B55">
              <w:rPr>
                <w:sz w:val="16"/>
              </w:rPr>
              <w:t>1,050,000.00 (2A)</w:t>
            </w:r>
          </w:p>
          <w:p w:rsidR="00C21266" w:rsidRPr="005C3B55" w:rsidRDefault="00C21266">
            <w:pPr>
              <w:jc w:val="right"/>
              <w:rPr>
                <w:sz w:val="16"/>
              </w:rPr>
            </w:pPr>
            <w:r w:rsidRPr="005C3B55">
              <w:rPr>
                <w:sz w:val="16"/>
              </w:rPr>
              <w:t>350,000.00 (2B)</w:t>
            </w:r>
          </w:p>
          <w:p w:rsidR="00C21266" w:rsidRPr="005C3B55" w:rsidRDefault="00C21266">
            <w:pPr>
              <w:jc w:val="right"/>
              <w:rPr>
                <w:sz w:val="16"/>
              </w:rPr>
            </w:pPr>
            <w:r w:rsidRPr="005C3B55">
              <w:rPr>
                <w:sz w:val="16"/>
              </w:rPr>
              <w:t>603,895.60 (3A)</w:t>
            </w:r>
          </w:p>
          <w:p w:rsidR="00C21266" w:rsidRPr="005C3B55" w:rsidRDefault="00C21266">
            <w:pPr>
              <w:spacing w:after="200"/>
              <w:jc w:val="right"/>
              <w:rPr>
                <w:rFonts w:eastAsia="Calibri"/>
                <w:sz w:val="16"/>
                <w:lang w:eastAsia="en-GB" w:bidi="en-GB"/>
              </w:rPr>
            </w:pPr>
            <w:r w:rsidRPr="005C3B55">
              <w:rPr>
                <w:sz w:val="16"/>
              </w:rPr>
              <w:t>4,996,104.40 (P4)</w:t>
            </w:r>
          </w:p>
        </w:tc>
      </w:tr>
      <w:tr w:rsidR="00C21266" w:rsidRPr="005C3B55">
        <w:tc>
          <w:tcPr>
            <w:tcW w:w="750" w:type="pct"/>
            <w:vMerge w:val="restar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59(3(b) - All regions where the GDP per capita for the 2007-2013 period was lower than 75% of the EU-25 average for the reference period , but the GDP per capita of which exceed 75% of an average GDP in EU-27</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Main</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75%</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75%</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0.00</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jc w:val="right"/>
              <w:rPr>
                <w:rFonts w:eastAsia="Calibri"/>
                <w:sz w:val="16"/>
              </w:rPr>
            </w:pPr>
            <w:r w:rsidRPr="005C3B55">
              <w:rPr>
                <w:sz w:val="16"/>
              </w:rPr>
              <w:t>0.00 (2A)</w:t>
            </w:r>
          </w:p>
          <w:p w:rsidR="00C21266" w:rsidRPr="005C3B55" w:rsidRDefault="00C21266">
            <w:pPr>
              <w:jc w:val="right"/>
              <w:rPr>
                <w:sz w:val="16"/>
              </w:rPr>
            </w:pPr>
            <w:r w:rsidRPr="005C3B55">
              <w:rPr>
                <w:sz w:val="16"/>
              </w:rPr>
              <w:t>0.00 (2B)</w:t>
            </w:r>
          </w:p>
          <w:p w:rsidR="00C21266" w:rsidRPr="005C3B55" w:rsidRDefault="00C21266">
            <w:pPr>
              <w:jc w:val="right"/>
              <w:rPr>
                <w:sz w:val="16"/>
              </w:rPr>
            </w:pPr>
            <w:r w:rsidRPr="005C3B55">
              <w:rPr>
                <w:sz w:val="16"/>
              </w:rPr>
              <w:t>0.00 (3A)</w:t>
            </w:r>
          </w:p>
          <w:p w:rsidR="00C21266" w:rsidRPr="005C3B55" w:rsidRDefault="00C21266">
            <w:pPr>
              <w:spacing w:after="200"/>
              <w:jc w:val="right"/>
              <w:rPr>
                <w:rFonts w:eastAsia="Calibri"/>
                <w:sz w:val="16"/>
                <w:lang w:eastAsia="en-GB" w:bidi="en-GB"/>
              </w:rPr>
            </w:pPr>
            <w:r w:rsidRPr="005C3B55">
              <w:rPr>
                <w:sz w:val="16"/>
              </w:rPr>
              <w:t>0.00 (P4)</w:t>
            </w:r>
          </w:p>
        </w:tc>
      </w:tr>
      <w:tr w:rsidR="00C21266" w:rsidRPr="005C3B55">
        <w:tc>
          <w:tcPr>
            <w:tcW w:w="0" w:type="auto"/>
            <w:vMerge/>
            <w:tcBorders>
              <w:top w:val="single" w:sz="8" w:space="0" w:color="000000"/>
              <w:left w:val="single" w:sz="8" w:space="0" w:color="000000"/>
              <w:bottom w:val="single" w:sz="8" w:space="0" w:color="000000"/>
              <w:right w:val="single" w:sz="8" w:space="0" w:color="000000"/>
            </w:tcBorders>
            <w:vAlign w:val="center"/>
          </w:tcPr>
          <w:p w:rsidR="00C21266" w:rsidRPr="005C3B55" w:rsidRDefault="00C21266">
            <w:pPr>
              <w:spacing w:after="0"/>
              <w:rPr>
                <w:rFonts w:eastAsia="Calibri"/>
                <w:sz w:val="16"/>
                <w:lang w:eastAsia="en-GB" w:bidi="en-GB"/>
              </w:rPr>
            </w:pP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59(4)(a) - Measures under Articles 14, 27, 35 for the local development within the LEADER initiative under Article 32 of Regulation (EU) No. 1303/2013 and operations under Article 19(1)(a)(i)</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80%</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80%</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0.00</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jc w:val="right"/>
              <w:rPr>
                <w:rFonts w:eastAsia="Calibri"/>
                <w:sz w:val="16"/>
              </w:rPr>
            </w:pPr>
            <w:r w:rsidRPr="005C3B55">
              <w:rPr>
                <w:sz w:val="16"/>
              </w:rPr>
              <w:t>450,000.00 (2A)</w:t>
            </w:r>
          </w:p>
          <w:p w:rsidR="00C21266" w:rsidRPr="005C3B55" w:rsidRDefault="00C21266">
            <w:pPr>
              <w:jc w:val="right"/>
              <w:rPr>
                <w:sz w:val="16"/>
              </w:rPr>
            </w:pPr>
            <w:r w:rsidRPr="005C3B55">
              <w:rPr>
                <w:sz w:val="16"/>
              </w:rPr>
              <w:t>150,000.00 (2B)</w:t>
            </w:r>
          </w:p>
          <w:p w:rsidR="00C21266" w:rsidRPr="005C3B55" w:rsidRDefault="00C21266">
            <w:pPr>
              <w:jc w:val="right"/>
              <w:rPr>
                <w:sz w:val="16"/>
              </w:rPr>
            </w:pPr>
            <w:r w:rsidRPr="005C3B55">
              <w:rPr>
                <w:sz w:val="16"/>
              </w:rPr>
              <w:t>258,812.40 (3A)</w:t>
            </w:r>
          </w:p>
          <w:p w:rsidR="00C21266" w:rsidRPr="005C3B55" w:rsidRDefault="00C21266">
            <w:pPr>
              <w:spacing w:after="200"/>
              <w:jc w:val="right"/>
              <w:rPr>
                <w:rFonts w:eastAsia="Calibri"/>
                <w:sz w:val="16"/>
                <w:lang w:eastAsia="en-GB" w:bidi="en-GB"/>
              </w:rPr>
            </w:pPr>
            <w:r w:rsidRPr="005C3B55">
              <w:rPr>
                <w:sz w:val="16"/>
              </w:rPr>
              <w:t>2,141,187.60 (P4)</w:t>
            </w:r>
          </w:p>
        </w:tc>
      </w:tr>
      <w:tr w:rsidR="00C21266" w:rsidRPr="005C3B55">
        <w:tc>
          <w:tcPr>
            <w:tcW w:w="750" w:type="pct"/>
            <w:gridSpan w:val="6"/>
            <w:tcBorders>
              <w:top w:val="single" w:sz="8" w:space="0" w:color="000000"/>
              <w:left w:val="single" w:sz="8" w:space="0" w:color="000000"/>
              <w:bottom w:val="single" w:sz="8" w:space="0" w:color="000000"/>
              <w:right w:val="single" w:sz="8" w:space="0" w:color="000000"/>
            </w:tcBorders>
            <w:shd w:val="clear" w:color="auto" w:fill="C0C0C0"/>
          </w:tcPr>
          <w:p w:rsidR="00C21266" w:rsidRPr="005C3B55" w:rsidRDefault="00C21266">
            <w:pPr>
              <w:spacing w:after="200"/>
              <w:jc w:val="center"/>
              <w:rPr>
                <w:rFonts w:eastAsia="Calibri"/>
                <w:sz w:val="16"/>
                <w:lang w:eastAsia="en-GB" w:bidi="en-GB"/>
              </w:rPr>
            </w:pPr>
            <w:r w:rsidRPr="005C3B55">
              <w:rPr>
                <w:sz w:val="16"/>
              </w:rPr>
              <w:t>Total</w:t>
            </w:r>
          </w:p>
        </w:tc>
        <w:tc>
          <w:tcPr>
            <w:tcW w:w="7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0.00</w:t>
            </w:r>
          </w:p>
        </w:tc>
        <w:tc>
          <w:tcPr>
            <w:tcW w:w="7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10,000,000.00</w:t>
            </w:r>
          </w:p>
        </w:tc>
      </w:tr>
    </w:tbl>
    <w:p w:rsidR="00C21266" w:rsidRPr="005C3B55" w:rsidRDefault="00C21266" w:rsidP="00C21266">
      <w:pPr>
        <w:pStyle w:val="Naslov3"/>
        <w:tabs>
          <w:tab w:val="clear" w:pos="765"/>
        </w:tabs>
        <w:ind w:left="0" w:firstLine="0"/>
        <w:jc w:val="left"/>
        <w:rPr>
          <w:b/>
          <w:lang w:val="en-GB" w:eastAsia="en-GB" w:bidi="en-GB"/>
        </w:rPr>
      </w:pPr>
      <w:r w:rsidRPr="005C3B55">
        <w:rPr>
          <w:lang w:val="en-GB"/>
        </w:rPr>
        <w:br w:type="page"/>
      </w:r>
      <w:bookmarkStart w:id="142" w:name="_Toc416192600"/>
      <w:r w:rsidRPr="005C3B55">
        <w:rPr>
          <w:lang w:val="en-GB"/>
        </w:rPr>
        <w:t>M02 – Advisory services, farm management and farm relief services (Article 15)</w:t>
      </w:r>
      <w:bookmarkEnd w:id="142"/>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1955"/>
        <w:gridCol w:w="1955"/>
        <w:gridCol w:w="1955"/>
        <w:gridCol w:w="1955"/>
        <w:gridCol w:w="1955"/>
        <w:gridCol w:w="1955"/>
        <w:gridCol w:w="1243"/>
        <w:gridCol w:w="1283"/>
      </w:tblGrid>
      <w:tr w:rsidR="00C21266" w:rsidRPr="005C3B55">
        <w:tc>
          <w:tcPr>
            <w:tcW w:w="750" w:type="pct"/>
            <w:gridSpan w:val="2"/>
            <w:tcBorders>
              <w:top w:val="single" w:sz="8" w:space="0" w:color="000000"/>
              <w:left w:val="single" w:sz="8" w:space="0" w:color="000000"/>
              <w:bottom w:val="single" w:sz="8" w:space="0" w:color="000000"/>
              <w:right w:val="single" w:sz="8" w:space="0" w:color="000000"/>
            </w:tcBorders>
            <w:shd w:val="clear" w:color="auto" w:fill="C0C0C0"/>
          </w:tcPr>
          <w:p w:rsidR="00C21266" w:rsidRPr="005C3B55" w:rsidRDefault="00C21266">
            <w:pPr>
              <w:spacing w:after="200"/>
              <w:jc w:val="center"/>
              <w:rPr>
                <w:rFonts w:eastAsia="Calibri"/>
                <w:b/>
                <w:sz w:val="20"/>
                <w:lang w:eastAsia="en-GB" w:bidi="en-GB"/>
              </w:rPr>
            </w:pPr>
            <w:r w:rsidRPr="005C3B55">
              <w:rPr>
                <w:b/>
                <w:sz w:val="20"/>
              </w:rPr>
              <w:t>Types of regions and additional allocated funds</w:t>
            </w:r>
          </w:p>
        </w:tc>
        <w:tc>
          <w:tcPr>
            <w:tcW w:w="7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Adequate EAFRD contribution rate for the 2014-2020 period (%)</w:t>
            </w:r>
          </w:p>
        </w:tc>
        <w:tc>
          <w:tcPr>
            <w:tcW w:w="7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Adequate EAFRD contribution rate as per Article 59(4)(g) for the 2014-2020 period (%)</w:t>
            </w:r>
          </w:p>
        </w:tc>
        <w:tc>
          <w:tcPr>
            <w:tcW w:w="7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Rate used for financial instruments under the authority of the management authority for the 2014-2020 period (%)</w:t>
            </w:r>
          </w:p>
        </w:tc>
        <w:tc>
          <w:tcPr>
            <w:tcW w:w="7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Rate used for the financial instrument under the authority of the management authority as per Article 59(4)(g) for the 2014-2020 period (%)</w:t>
            </w:r>
          </w:p>
        </w:tc>
        <w:tc>
          <w:tcPr>
            <w:tcW w:w="7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Framework EAFRD amount contributed to the financial instruments for the 2014-2020 period (EUR)</w:t>
            </w:r>
          </w:p>
        </w:tc>
        <w:tc>
          <w:tcPr>
            <w:tcW w:w="7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Total planned Union contribution in the 2014–2020 period (EUR)</w:t>
            </w:r>
          </w:p>
        </w:tc>
      </w:tr>
      <w:tr w:rsidR="00C21266" w:rsidRPr="005C3B55">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59(s)(a) - Under-developed regions and the most remote regions and the regions on the small Aegean islands under the Regulation EEC) No 2019/93</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Main</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75%</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75%</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0.00</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jc w:val="right"/>
              <w:rPr>
                <w:rFonts w:eastAsia="Calibri"/>
                <w:sz w:val="16"/>
              </w:rPr>
            </w:pPr>
            <w:r w:rsidRPr="005C3B55">
              <w:rPr>
                <w:sz w:val="16"/>
              </w:rPr>
              <w:t>152,636.40 (3A)</w:t>
            </w:r>
          </w:p>
          <w:p w:rsidR="00C21266" w:rsidRPr="005C3B55" w:rsidRDefault="00C21266">
            <w:pPr>
              <w:spacing w:after="200"/>
              <w:jc w:val="right"/>
              <w:rPr>
                <w:rFonts w:eastAsia="Calibri"/>
                <w:sz w:val="16"/>
                <w:lang w:eastAsia="en-GB" w:bidi="en-GB"/>
              </w:rPr>
            </w:pPr>
            <w:r w:rsidRPr="005C3B55">
              <w:rPr>
                <w:sz w:val="16"/>
              </w:rPr>
              <w:t>5,500,563.60 (P4)</w:t>
            </w:r>
          </w:p>
        </w:tc>
      </w:tr>
      <w:tr w:rsidR="00C21266" w:rsidRPr="005C3B55">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59(3(b) - All regions where the GDP per capita for the 2007-2013 period was lower than 75% of the EU-25 average for the reference period , but the GDP per capita of which exceed 75% of an average GDP in EU-27</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Main</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75%</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75%</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0.00</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jc w:val="right"/>
              <w:rPr>
                <w:rFonts w:eastAsia="Calibri"/>
                <w:sz w:val="16"/>
              </w:rPr>
            </w:pPr>
            <w:r w:rsidRPr="005C3B55">
              <w:rPr>
                <w:sz w:val="16"/>
              </w:rPr>
              <w:t>65,415.60 (3A)</w:t>
            </w:r>
          </w:p>
          <w:p w:rsidR="00C21266" w:rsidRPr="005C3B55" w:rsidRDefault="00C21266">
            <w:pPr>
              <w:spacing w:after="200"/>
              <w:jc w:val="right"/>
              <w:rPr>
                <w:rFonts w:eastAsia="Calibri"/>
                <w:sz w:val="16"/>
                <w:lang w:eastAsia="en-GB" w:bidi="en-GB"/>
              </w:rPr>
            </w:pPr>
            <w:r w:rsidRPr="005C3B55">
              <w:rPr>
                <w:sz w:val="16"/>
              </w:rPr>
              <w:t>2,357,384.40 (P4)</w:t>
            </w:r>
          </w:p>
        </w:tc>
      </w:tr>
      <w:tr w:rsidR="00C21266" w:rsidRPr="005C3B55">
        <w:tc>
          <w:tcPr>
            <w:tcW w:w="750" w:type="pct"/>
            <w:gridSpan w:val="6"/>
            <w:tcBorders>
              <w:top w:val="single" w:sz="8" w:space="0" w:color="000000"/>
              <w:left w:val="single" w:sz="8" w:space="0" w:color="000000"/>
              <w:bottom w:val="single" w:sz="8" w:space="0" w:color="000000"/>
              <w:right w:val="single" w:sz="8" w:space="0" w:color="000000"/>
            </w:tcBorders>
            <w:shd w:val="clear" w:color="auto" w:fill="C0C0C0"/>
          </w:tcPr>
          <w:p w:rsidR="00C21266" w:rsidRPr="005C3B55" w:rsidRDefault="00C21266">
            <w:pPr>
              <w:spacing w:after="200"/>
              <w:jc w:val="center"/>
              <w:rPr>
                <w:rFonts w:eastAsia="Calibri"/>
                <w:sz w:val="16"/>
                <w:lang w:eastAsia="en-GB" w:bidi="en-GB"/>
              </w:rPr>
            </w:pPr>
            <w:r w:rsidRPr="005C3B55">
              <w:rPr>
                <w:sz w:val="16"/>
              </w:rPr>
              <w:t>Total</w:t>
            </w:r>
          </w:p>
        </w:tc>
        <w:tc>
          <w:tcPr>
            <w:tcW w:w="7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0.00</w:t>
            </w:r>
          </w:p>
        </w:tc>
        <w:tc>
          <w:tcPr>
            <w:tcW w:w="7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8,076,000.00</w:t>
            </w:r>
          </w:p>
        </w:tc>
      </w:tr>
    </w:tbl>
    <w:p w:rsidR="00C21266" w:rsidRPr="005C3B55" w:rsidRDefault="00C21266" w:rsidP="00C21266">
      <w:pPr>
        <w:pStyle w:val="Naslov3"/>
        <w:tabs>
          <w:tab w:val="clear" w:pos="765"/>
        </w:tabs>
        <w:ind w:left="0" w:firstLine="0"/>
        <w:jc w:val="left"/>
        <w:rPr>
          <w:b/>
          <w:lang w:val="en-GB" w:eastAsia="en-GB" w:bidi="en-GB"/>
        </w:rPr>
      </w:pPr>
      <w:r w:rsidRPr="005C3B55">
        <w:rPr>
          <w:lang w:val="en-GB"/>
        </w:rPr>
        <w:br w:type="page"/>
      </w:r>
      <w:bookmarkStart w:id="143" w:name="_Toc416192601"/>
      <w:r w:rsidRPr="005C3B55">
        <w:rPr>
          <w:lang w:val="en-GB"/>
        </w:rPr>
        <w:t>M03 – Quality schemes for agricultural products and foodstuffs (Article 16)</w:t>
      </w:r>
      <w:bookmarkEnd w:id="143"/>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1955"/>
        <w:gridCol w:w="1955"/>
        <w:gridCol w:w="1955"/>
        <w:gridCol w:w="1955"/>
        <w:gridCol w:w="1955"/>
        <w:gridCol w:w="1955"/>
        <w:gridCol w:w="1243"/>
        <w:gridCol w:w="1283"/>
      </w:tblGrid>
      <w:tr w:rsidR="00C21266" w:rsidRPr="005C3B55">
        <w:tc>
          <w:tcPr>
            <w:tcW w:w="750" w:type="pct"/>
            <w:gridSpan w:val="2"/>
            <w:tcBorders>
              <w:top w:val="single" w:sz="8" w:space="0" w:color="000000"/>
              <w:left w:val="single" w:sz="8" w:space="0" w:color="000000"/>
              <w:bottom w:val="single" w:sz="8" w:space="0" w:color="000000"/>
              <w:right w:val="single" w:sz="8" w:space="0" w:color="000000"/>
            </w:tcBorders>
            <w:shd w:val="clear" w:color="auto" w:fill="C0C0C0"/>
          </w:tcPr>
          <w:p w:rsidR="00C21266" w:rsidRPr="005C3B55" w:rsidRDefault="00C21266">
            <w:pPr>
              <w:spacing w:after="200"/>
              <w:jc w:val="center"/>
              <w:rPr>
                <w:rFonts w:eastAsia="Calibri"/>
                <w:b/>
                <w:sz w:val="20"/>
                <w:lang w:eastAsia="en-GB" w:bidi="en-GB"/>
              </w:rPr>
            </w:pPr>
            <w:r w:rsidRPr="005C3B55">
              <w:rPr>
                <w:b/>
                <w:sz w:val="20"/>
              </w:rPr>
              <w:t>Types of regions and additional allocated funds</w:t>
            </w:r>
          </w:p>
        </w:tc>
        <w:tc>
          <w:tcPr>
            <w:tcW w:w="7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Adequate EAFRD contribution rate for the 2014-2020 period (%)</w:t>
            </w:r>
          </w:p>
        </w:tc>
        <w:tc>
          <w:tcPr>
            <w:tcW w:w="7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Adequate EAFRD contribution rate as per Article 59(4)(g) for the 2014-2020 period (%)</w:t>
            </w:r>
          </w:p>
        </w:tc>
        <w:tc>
          <w:tcPr>
            <w:tcW w:w="7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Rate used for financial instruments under the authority of the management authority for the 2014-2020 period (%)</w:t>
            </w:r>
          </w:p>
        </w:tc>
        <w:tc>
          <w:tcPr>
            <w:tcW w:w="7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Rate used for the financial instrument under the authority of the management authority as per Article 59(4)(g) for the 2014-2020 period (%)</w:t>
            </w:r>
          </w:p>
        </w:tc>
        <w:tc>
          <w:tcPr>
            <w:tcW w:w="7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Framework EAFRD amount contributed to the financial instruments for the 2014-2020 period (EUR)</w:t>
            </w:r>
          </w:p>
        </w:tc>
        <w:tc>
          <w:tcPr>
            <w:tcW w:w="7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Total planned Union contribution in the 2014–2020 period (EUR)</w:t>
            </w:r>
          </w:p>
        </w:tc>
      </w:tr>
      <w:tr w:rsidR="00C21266" w:rsidRPr="005C3B55">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59(s)(a) - Under-developed regions and the most remote regions and the regions on the small Aegean islands under the Regulation EEC) No 2019/93</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Main</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75%</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75%</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0.00</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782,400.00 (3A)</w:t>
            </w:r>
          </w:p>
        </w:tc>
      </w:tr>
      <w:tr w:rsidR="00C21266" w:rsidRPr="005C3B55">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59(3(b) - All regions where the GDP per capita for the 2007-2013 period was lower than 75% of the EU-25 average for the reference period , but the GDP per capita of which exceed 75% of an average GDP in EU-27</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Main</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75%</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75%</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0.00</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521,600.00 (3A)</w:t>
            </w:r>
          </w:p>
        </w:tc>
      </w:tr>
      <w:tr w:rsidR="00C21266" w:rsidRPr="005C3B55">
        <w:tc>
          <w:tcPr>
            <w:tcW w:w="750" w:type="pct"/>
            <w:gridSpan w:val="6"/>
            <w:tcBorders>
              <w:top w:val="single" w:sz="8" w:space="0" w:color="000000"/>
              <w:left w:val="single" w:sz="8" w:space="0" w:color="000000"/>
              <w:bottom w:val="single" w:sz="8" w:space="0" w:color="000000"/>
              <w:right w:val="single" w:sz="8" w:space="0" w:color="000000"/>
            </w:tcBorders>
            <w:shd w:val="clear" w:color="auto" w:fill="C0C0C0"/>
          </w:tcPr>
          <w:p w:rsidR="00C21266" w:rsidRPr="005C3B55" w:rsidRDefault="00C21266">
            <w:pPr>
              <w:spacing w:after="200"/>
              <w:jc w:val="center"/>
              <w:rPr>
                <w:rFonts w:eastAsia="Calibri"/>
                <w:sz w:val="16"/>
                <w:lang w:eastAsia="en-GB" w:bidi="en-GB"/>
              </w:rPr>
            </w:pPr>
            <w:r w:rsidRPr="005C3B55">
              <w:rPr>
                <w:sz w:val="16"/>
              </w:rPr>
              <w:t>Total</w:t>
            </w:r>
          </w:p>
        </w:tc>
        <w:tc>
          <w:tcPr>
            <w:tcW w:w="7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0.00</w:t>
            </w:r>
          </w:p>
        </w:tc>
        <w:tc>
          <w:tcPr>
            <w:tcW w:w="7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1,304,000.00</w:t>
            </w:r>
          </w:p>
        </w:tc>
      </w:tr>
    </w:tbl>
    <w:p w:rsidR="00C21266" w:rsidRPr="005C3B55" w:rsidRDefault="00C21266" w:rsidP="00C21266">
      <w:pPr>
        <w:pStyle w:val="Naslov3"/>
        <w:tabs>
          <w:tab w:val="clear" w:pos="765"/>
        </w:tabs>
        <w:ind w:left="0" w:firstLine="0"/>
        <w:jc w:val="left"/>
        <w:rPr>
          <w:b/>
          <w:lang w:val="en-GB" w:eastAsia="en-GB" w:bidi="en-GB"/>
        </w:rPr>
      </w:pPr>
      <w:r w:rsidRPr="005C3B55">
        <w:rPr>
          <w:lang w:val="en-GB"/>
        </w:rPr>
        <w:br w:type="page"/>
      </w:r>
      <w:bookmarkStart w:id="144" w:name="_Toc416192602"/>
      <w:r w:rsidRPr="005C3B55">
        <w:rPr>
          <w:lang w:val="en-GB"/>
        </w:rPr>
        <w:t>M04 - Investments in physical assets (Article 17)</w:t>
      </w:r>
      <w:bookmarkEnd w:id="144"/>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1955"/>
        <w:gridCol w:w="1955"/>
        <w:gridCol w:w="1955"/>
        <w:gridCol w:w="1955"/>
        <w:gridCol w:w="1955"/>
        <w:gridCol w:w="1955"/>
        <w:gridCol w:w="1243"/>
        <w:gridCol w:w="1283"/>
      </w:tblGrid>
      <w:tr w:rsidR="00C21266" w:rsidRPr="005C3B55">
        <w:tc>
          <w:tcPr>
            <w:tcW w:w="750" w:type="pct"/>
            <w:gridSpan w:val="2"/>
            <w:tcBorders>
              <w:top w:val="single" w:sz="8" w:space="0" w:color="000000"/>
              <w:left w:val="single" w:sz="8" w:space="0" w:color="000000"/>
              <w:bottom w:val="single" w:sz="8" w:space="0" w:color="000000"/>
              <w:right w:val="single" w:sz="8" w:space="0" w:color="000000"/>
            </w:tcBorders>
            <w:shd w:val="clear" w:color="auto" w:fill="C0C0C0"/>
          </w:tcPr>
          <w:p w:rsidR="00C21266" w:rsidRPr="005C3B55" w:rsidRDefault="00C21266">
            <w:pPr>
              <w:spacing w:after="200"/>
              <w:jc w:val="center"/>
              <w:rPr>
                <w:rFonts w:eastAsia="Calibri"/>
                <w:b/>
                <w:sz w:val="20"/>
                <w:lang w:eastAsia="en-GB" w:bidi="en-GB"/>
              </w:rPr>
            </w:pPr>
            <w:r w:rsidRPr="005C3B55">
              <w:rPr>
                <w:b/>
                <w:sz w:val="20"/>
              </w:rPr>
              <w:t>Types of regions and additional allocated funds</w:t>
            </w:r>
          </w:p>
        </w:tc>
        <w:tc>
          <w:tcPr>
            <w:tcW w:w="7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Adequate EAFRD contribution rate for the 2014-2020 period (%)</w:t>
            </w:r>
          </w:p>
        </w:tc>
        <w:tc>
          <w:tcPr>
            <w:tcW w:w="7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Adequate EAFRD contribution rate as per Article 59(4)(g) for the 2014-2020 period (%)</w:t>
            </w:r>
          </w:p>
        </w:tc>
        <w:tc>
          <w:tcPr>
            <w:tcW w:w="7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Rate used for financial instruments under the authority of the management authority for the 2014-2020 period (%)</w:t>
            </w:r>
          </w:p>
        </w:tc>
        <w:tc>
          <w:tcPr>
            <w:tcW w:w="7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Rate used for the financial instrument under the authority of the management authority as per Article 59(4)(g) for the 2014-2020 period (%)</w:t>
            </w:r>
          </w:p>
        </w:tc>
        <w:tc>
          <w:tcPr>
            <w:tcW w:w="7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Framework EAFRD amount contributed to the financial instruments for the 2014-2020 period (EUR)</w:t>
            </w:r>
          </w:p>
        </w:tc>
        <w:tc>
          <w:tcPr>
            <w:tcW w:w="7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Total planned Union contribution in the 2014–2020 period (EUR)</w:t>
            </w:r>
          </w:p>
        </w:tc>
      </w:tr>
      <w:tr w:rsidR="00C21266" w:rsidRPr="005C3B55">
        <w:tc>
          <w:tcPr>
            <w:tcW w:w="750" w:type="pct"/>
            <w:vMerge w:val="restar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59(s)(a) - Under-developed regions and the most remote regions and the regions on the small Aegean islands under the Regulation EEC) No 2019/93</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Main</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75%</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75%</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8,925,000.00</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jc w:val="right"/>
              <w:rPr>
                <w:rFonts w:eastAsia="Calibri"/>
                <w:sz w:val="16"/>
              </w:rPr>
            </w:pPr>
            <w:r w:rsidRPr="005C3B55">
              <w:rPr>
                <w:sz w:val="16"/>
              </w:rPr>
              <w:t>79,644,891.01 (2A)</w:t>
            </w:r>
          </w:p>
          <w:p w:rsidR="00C21266" w:rsidRPr="005C3B55" w:rsidRDefault="00C21266">
            <w:pPr>
              <w:spacing w:after="200"/>
              <w:jc w:val="right"/>
              <w:rPr>
                <w:rFonts w:eastAsia="Calibri"/>
                <w:sz w:val="16"/>
                <w:lang w:eastAsia="en-GB" w:bidi="en-GB"/>
              </w:rPr>
            </w:pPr>
            <w:r w:rsidRPr="005C3B55">
              <w:rPr>
                <w:sz w:val="16"/>
              </w:rPr>
              <w:t>40,121,862.39 (3A)</w:t>
            </w:r>
          </w:p>
        </w:tc>
      </w:tr>
      <w:tr w:rsidR="00C21266" w:rsidRPr="005C3B55">
        <w:tc>
          <w:tcPr>
            <w:tcW w:w="0" w:type="auto"/>
            <w:vMerge/>
            <w:tcBorders>
              <w:top w:val="single" w:sz="8" w:space="0" w:color="000000"/>
              <w:left w:val="single" w:sz="8" w:space="0" w:color="000000"/>
              <w:bottom w:val="single" w:sz="8" w:space="0" w:color="000000"/>
              <w:right w:val="single" w:sz="8" w:space="0" w:color="000000"/>
            </w:tcBorders>
            <w:vAlign w:val="center"/>
          </w:tcPr>
          <w:p w:rsidR="00C21266" w:rsidRPr="005C3B55" w:rsidRDefault="00C21266">
            <w:pPr>
              <w:spacing w:after="0"/>
              <w:rPr>
                <w:rFonts w:eastAsia="Calibri"/>
                <w:sz w:val="16"/>
                <w:lang w:eastAsia="en-GB" w:bidi="en-GB"/>
              </w:rPr>
            </w:pP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 xml:space="preserve">59(4)(b) - Operations contributing to attaining the environmental objectives and the mitigation of, and adjustment to, climate change on the basis of Article 17, Points (a) and (b) Article 21(1), Articles 28, 29, 30, 31 and 34 </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75%</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75%</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0.00</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jc w:val="right"/>
              <w:rPr>
                <w:rFonts w:eastAsia="Calibri"/>
                <w:sz w:val="16"/>
              </w:rPr>
            </w:pPr>
            <w:r w:rsidRPr="005C3B55">
              <w:rPr>
                <w:sz w:val="16"/>
              </w:rPr>
              <w:t>0.00 (2A)</w:t>
            </w:r>
          </w:p>
          <w:p w:rsidR="00C21266" w:rsidRPr="005C3B55" w:rsidRDefault="00C21266">
            <w:pPr>
              <w:spacing w:after="200"/>
              <w:jc w:val="right"/>
              <w:rPr>
                <w:rFonts w:eastAsia="Calibri"/>
                <w:sz w:val="16"/>
                <w:lang w:eastAsia="en-GB" w:bidi="en-GB"/>
              </w:rPr>
            </w:pPr>
            <w:r w:rsidRPr="005C3B55">
              <w:rPr>
                <w:sz w:val="16"/>
              </w:rPr>
              <w:t>0.00 (3A)</w:t>
            </w:r>
          </w:p>
        </w:tc>
      </w:tr>
      <w:tr w:rsidR="00C21266" w:rsidRPr="005C3B55">
        <w:tc>
          <w:tcPr>
            <w:tcW w:w="750" w:type="pct"/>
            <w:vMerge w:val="restar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59(3(b) - All regions where the GDP per capita for the 2007-2013 period was lower than 75% of the EU-25 average for the reference period , but the GDP per capita of which exceed 75% of an average GDP in EU-27</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Main</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75%</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75%</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3,825,000.00</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jc w:val="right"/>
              <w:rPr>
                <w:rFonts w:eastAsia="Calibri"/>
                <w:sz w:val="16"/>
              </w:rPr>
            </w:pPr>
            <w:r w:rsidRPr="005C3B55">
              <w:rPr>
                <w:sz w:val="16"/>
              </w:rPr>
              <w:t>34,133,524.72 (2A)</w:t>
            </w:r>
          </w:p>
          <w:p w:rsidR="00C21266" w:rsidRPr="005C3B55" w:rsidRDefault="00C21266">
            <w:pPr>
              <w:spacing w:after="200"/>
              <w:jc w:val="right"/>
              <w:rPr>
                <w:rFonts w:eastAsia="Calibri"/>
                <w:sz w:val="16"/>
                <w:lang w:eastAsia="en-GB" w:bidi="en-GB"/>
              </w:rPr>
            </w:pPr>
            <w:r w:rsidRPr="005C3B55">
              <w:rPr>
                <w:sz w:val="16"/>
              </w:rPr>
              <w:t>17,195,083.88 (3A)</w:t>
            </w:r>
          </w:p>
        </w:tc>
      </w:tr>
      <w:tr w:rsidR="00C21266" w:rsidRPr="005C3B55">
        <w:tc>
          <w:tcPr>
            <w:tcW w:w="0" w:type="auto"/>
            <w:vMerge/>
            <w:tcBorders>
              <w:top w:val="single" w:sz="8" w:space="0" w:color="000000"/>
              <w:left w:val="single" w:sz="8" w:space="0" w:color="000000"/>
              <w:bottom w:val="single" w:sz="8" w:space="0" w:color="000000"/>
              <w:right w:val="single" w:sz="8" w:space="0" w:color="000000"/>
            </w:tcBorders>
            <w:vAlign w:val="center"/>
          </w:tcPr>
          <w:p w:rsidR="00C21266" w:rsidRPr="005C3B55" w:rsidRDefault="00C21266">
            <w:pPr>
              <w:spacing w:after="0"/>
              <w:rPr>
                <w:rFonts w:eastAsia="Calibri"/>
                <w:sz w:val="16"/>
                <w:lang w:eastAsia="en-GB" w:bidi="en-GB"/>
              </w:rPr>
            </w:pP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59(4)(b) - Operations contributing to attaining the environmental objectives and mitigating of and adjustment to the climate change on the basis of Article 17, Points (a) and (b) of Article 21(1), Articles 28, 29, 30, 31 and 34</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75%</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75%</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0.00</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jc w:val="right"/>
              <w:rPr>
                <w:rFonts w:eastAsia="Calibri"/>
                <w:sz w:val="16"/>
              </w:rPr>
            </w:pPr>
            <w:r w:rsidRPr="005C3B55">
              <w:rPr>
                <w:sz w:val="16"/>
              </w:rPr>
              <w:t>0.00 (2A)</w:t>
            </w:r>
          </w:p>
          <w:p w:rsidR="00C21266" w:rsidRPr="005C3B55" w:rsidRDefault="00C21266">
            <w:pPr>
              <w:spacing w:after="200"/>
              <w:jc w:val="right"/>
              <w:rPr>
                <w:rFonts w:eastAsia="Calibri"/>
                <w:sz w:val="16"/>
                <w:lang w:eastAsia="en-GB" w:bidi="en-GB"/>
              </w:rPr>
            </w:pPr>
            <w:r w:rsidRPr="005C3B55">
              <w:rPr>
                <w:sz w:val="16"/>
              </w:rPr>
              <w:t>0.00 (3A)</w:t>
            </w:r>
          </w:p>
        </w:tc>
      </w:tr>
      <w:tr w:rsidR="00C21266" w:rsidRPr="005C3B55">
        <w:tc>
          <w:tcPr>
            <w:tcW w:w="750" w:type="pct"/>
            <w:gridSpan w:val="6"/>
            <w:tcBorders>
              <w:top w:val="single" w:sz="8" w:space="0" w:color="000000"/>
              <w:left w:val="single" w:sz="8" w:space="0" w:color="000000"/>
              <w:bottom w:val="single" w:sz="8" w:space="0" w:color="000000"/>
              <w:right w:val="single" w:sz="8" w:space="0" w:color="000000"/>
            </w:tcBorders>
            <w:shd w:val="clear" w:color="auto" w:fill="C0C0C0"/>
          </w:tcPr>
          <w:p w:rsidR="00C21266" w:rsidRPr="005C3B55" w:rsidRDefault="00C21266">
            <w:pPr>
              <w:spacing w:after="200"/>
              <w:jc w:val="center"/>
              <w:rPr>
                <w:rFonts w:eastAsia="Calibri"/>
                <w:sz w:val="16"/>
                <w:lang w:eastAsia="en-GB" w:bidi="en-GB"/>
              </w:rPr>
            </w:pPr>
            <w:r w:rsidRPr="005C3B55">
              <w:rPr>
                <w:sz w:val="16"/>
              </w:rPr>
              <w:t>Total</w:t>
            </w:r>
          </w:p>
        </w:tc>
        <w:tc>
          <w:tcPr>
            <w:tcW w:w="7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12,750,000.00</w:t>
            </w:r>
          </w:p>
        </w:tc>
        <w:tc>
          <w:tcPr>
            <w:tcW w:w="7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171,095,362.00</w:t>
            </w:r>
          </w:p>
        </w:tc>
      </w:tr>
    </w:tbl>
    <w:p w:rsidR="00C21266" w:rsidRPr="005C3B55" w:rsidRDefault="00C21266" w:rsidP="00C21266">
      <w:pPr>
        <w:jc w:val="center"/>
        <w:rPr>
          <w:rFonts w:eastAsia="Calibri"/>
          <w:b/>
          <w:szCs w:val="22"/>
          <w:lang w:eastAsia="en-GB" w:bidi="en-GB"/>
        </w:rPr>
      </w:pPr>
    </w:p>
    <w:tbl>
      <w:tblPr>
        <w:tblStyle w:val="Navadnatabela1"/>
        <w:tblW w:w="5000"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692"/>
        <w:gridCol w:w="3564"/>
      </w:tblGrid>
      <w:tr w:rsidR="00C21266" w:rsidRPr="005C3B55">
        <w:tc>
          <w:tcPr>
            <w:tcW w:w="3750" w:type="pct"/>
            <w:tcBorders>
              <w:top w:val="single" w:sz="4" w:space="0" w:color="auto"/>
              <w:left w:val="single" w:sz="4" w:space="0" w:color="auto"/>
              <w:bottom w:val="single" w:sz="4" w:space="0" w:color="auto"/>
              <w:right w:val="single" w:sz="4" w:space="0" w:color="auto"/>
            </w:tcBorders>
            <w:shd w:val="clear" w:color="auto" w:fill="C0C0C0"/>
            <w:tcMar>
              <w:top w:w="60" w:type="dxa"/>
              <w:left w:w="108" w:type="dxa"/>
              <w:bottom w:w="0" w:type="dxa"/>
              <w:right w:w="108" w:type="dxa"/>
            </w:tcMar>
          </w:tcPr>
          <w:p w:rsidR="00C21266" w:rsidRPr="005C3B55" w:rsidRDefault="00C21266">
            <w:pPr>
              <w:spacing w:after="200"/>
              <w:rPr>
                <w:rFonts w:eastAsia="Calibri"/>
                <w:b/>
                <w:sz w:val="16"/>
                <w:lang w:eastAsia="en-GB" w:bidi="en-GB"/>
              </w:rPr>
            </w:pPr>
            <w:r w:rsidRPr="005C3B55">
              <w:rPr>
                <w:b/>
                <w:sz w:val="16"/>
              </w:rPr>
              <w:t>Total contribution of the European Union reserved for operations concerning the area of application of Article 59(6) of Regulation (EU) No 1305/2013</w:t>
            </w:r>
          </w:p>
        </w:tc>
        <w:tc>
          <w:tcPr>
            <w:tcW w:w="12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right"/>
              <w:rPr>
                <w:rFonts w:eastAsia="Calibri"/>
                <w:b/>
                <w:sz w:val="16"/>
                <w:lang w:eastAsia="en-GB" w:bidi="en-GB"/>
              </w:rPr>
            </w:pPr>
            <w:r w:rsidRPr="005C3B55">
              <w:rPr>
                <w:b/>
                <w:sz w:val="16"/>
              </w:rPr>
              <w:t>0.00</w:t>
            </w:r>
          </w:p>
        </w:tc>
      </w:tr>
    </w:tbl>
    <w:p w:rsidR="00C21266" w:rsidRPr="005C3B55" w:rsidRDefault="00C21266" w:rsidP="00C21266">
      <w:pPr>
        <w:pStyle w:val="Naslov3"/>
        <w:tabs>
          <w:tab w:val="clear" w:pos="765"/>
        </w:tabs>
        <w:ind w:left="0" w:firstLine="0"/>
        <w:jc w:val="left"/>
        <w:rPr>
          <w:b/>
          <w:lang w:val="en-GB" w:eastAsia="en-GB" w:bidi="en-GB"/>
        </w:rPr>
      </w:pPr>
      <w:r w:rsidRPr="005C3B55">
        <w:rPr>
          <w:lang w:val="en-GB"/>
        </w:rPr>
        <w:br w:type="page"/>
      </w:r>
      <w:bookmarkStart w:id="145" w:name="_Toc416192603"/>
      <w:r w:rsidRPr="005C3B55">
        <w:rPr>
          <w:lang w:val="en-GB"/>
        </w:rPr>
        <w:t>M06 – Farm and business development (Article 19)</w:t>
      </w:r>
      <w:bookmarkEnd w:id="145"/>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1955"/>
        <w:gridCol w:w="1955"/>
        <w:gridCol w:w="1955"/>
        <w:gridCol w:w="1955"/>
        <w:gridCol w:w="1955"/>
        <w:gridCol w:w="1955"/>
        <w:gridCol w:w="1243"/>
        <w:gridCol w:w="1283"/>
      </w:tblGrid>
      <w:tr w:rsidR="00C21266" w:rsidRPr="005C3B55">
        <w:tc>
          <w:tcPr>
            <w:tcW w:w="750" w:type="pct"/>
            <w:gridSpan w:val="2"/>
            <w:tcBorders>
              <w:top w:val="single" w:sz="8" w:space="0" w:color="000000"/>
              <w:left w:val="single" w:sz="8" w:space="0" w:color="000000"/>
              <w:bottom w:val="single" w:sz="8" w:space="0" w:color="000000"/>
              <w:right w:val="single" w:sz="8" w:space="0" w:color="000000"/>
            </w:tcBorders>
            <w:shd w:val="clear" w:color="auto" w:fill="C0C0C0"/>
          </w:tcPr>
          <w:p w:rsidR="00C21266" w:rsidRPr="005C3B55" w:rsidRDefault="00C21266">
            <w:pPr>
              <w:spacing w:after="200"/>
              <w:jc w:val="center"/>
              <w:rPr>
                <w:rFonts w:eastAsia="Calibri"/>
                <w:b/>
                <w:sz w:val="20"/>
                <w:lang w:eastAsia="en-GB" w:bidi="en-GB"/>
              </w:rPr>
            </w:pPr>
            <w:r w:rsidRPr="005C3B55">
              <w:rPr>
                <w:b/>
                <w:sz w:val="20"/>
              </w:rPr>
              <w:t>Types of regions and additional allocated funds</w:t>
            </w:r>
          </w:p>
        </w:tc>
        <w:tc>
          <w:tcPr>
            <w:tcW w:w="7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Adequate EAFRD contribution rate for the 2014-2020 period (%)</w:t>
            </w:r>
          </w:p>
        </w:tc>
        <w:tc>
          <w:tcPr>
            <w:tcW w:w="7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Adequate EAFRD contribution rate as per Article 59(4)(g) for the 2014-2020 period (%)</w:t>
            </w:r>
          </w:p>
        </w:tc>
        <w:tc>
          <w:tcPr>
            <w:tcW w:w="7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Rate used for financial instruments under the authority of the management authority for the 2014-2020 period (%)</w:t>
            </w:r>
          </w:p>
        </w:tc>
        <w:tc>
          <w:tcPr>
            <w:tcW w:w="7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Rate used for the financial instrument under the authority of the management authority as per Article 59(4)(g) for the 2014-2020 period (%)</w:t>
            </w:r>
          </w:p>
        </w:tc>
        <w:tc>
          <w:tcPr>
            <w:tcW w:w="7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Framework EAFRD amount contributed to the financial instruments for the 2014-2020 period (EUR)</w:t>
            </w:r>
          </w:p>
        </w:tc>
        <w:tc>
          <w:tcPr>
            <w:tcW w:w="7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Total planned Union contribution in the 2014–2020 period (EUR)</w:t>
            </w:r>
          </w:p>
        </w:tc>
      </w:tr>
      <w:tr w:rsidR="00C21266" w:rsidRPr="005C3B55">
        <w:tc>
          <w:tcPr>
            <w:tcW w:w="750" w:type="pct"/>
            <w:vMerge w:val="restar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59(s)(a) - Under-developed regions and the most remote regions and the regions on the small Aegean islands under the Regulation EEC) No 2019/93</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Main</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75%</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75%</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30,114,000.00</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jc w:val="right"/>
              <w:rPr>
                <w:rFonts w:eastAsia="Calibri"/>
                <w:sz w:val="16"/>
              </w:rPr>
            </w:pPr>
            <w:r w:rsidRPr="005C3B55">
              <w:rPr>
                <w:sz w:val="16"/>
              </w:rPr>
              <w:t>0.00 (2B)</w:t>
            </w:r>
          </w:p>
          <w:p w:rsidR="00C21266" w:rsidRPr="005C3B55" w:rsidRDefault="00C21266">
            <w:pPr>
              <w:spacing w:after="200"/>
              <w:jc w:val="right"/>
              <w:rPr>
                <w:rFonts w:eastAsia="Calibri"/>
                <w:sz w:val="16"/>
                <w:lang w:eastAsia="en-GB" w:bidi="en-GB"/>
              </w:rPr>
            </w:pPr>
            <w:r w:rsidRPr="005C3B55">
              <w:rPr>
                <w:sz w:val="16"/>
              </w:rPr>
              <w:t>33,964,000.00 (6A)</w:t>
            </w:r>
          </w:p>
        </w:tc>
      </w:tr>
      <w:tr w:rsidR="00C21266" w:rsidRPr="005C3B55">
        <w:tc>
          <w:tcPr>
            <w:tcW w:w="0" w:type="auto"/>
            <w:vMerge/>
            <w:tcBorders>
              <w:top w:val="single" w:sz="8" w:space="0" w:color="000000"/>
              <w:left w:val="single" w:sz="8" w:space="0" w:color="000000"/>
              <w:bottom w:val="single" w:sz="8" w:space="0" w:color="000000"/>
              <w:right w:val="single" w:sz="8" w:space="0" w:color="000000"/>
            </w:tcBorders>
            <w:vAlign w:val="center"/>
          </w:tcPr>
          <w:p w:rsidR="00C21266" w:rsidRPr="005C3B55" w:rsidRDefault="00C21266">
            <w:pPr>
              <w:spacing w:after="0"/>
              <w:rPr>
                <w:rFonts w:eastAsia="Calibri"/>
                <w:sz w:val="16"/>
                <w:lang w:eastAsia="en-GB" w:bidi="en-GB"/>
              </w:rPr>
            </w:pP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59(4)(a) - Measures under Articles 14, 27, 35 for the local development within the LEADER initiative under Article 32 of Regulation (EU) No. 1303/2013 and operations under Article 19(1)(a)(i)</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80%</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80%</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0.00</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jc w:val="right"/>
              <w:rPr>
                <w:rFonts w:eastAsia="Calibri"/>
                <w:sz w:val="16"/>
              </w:rPr>
            </w:pPr>
            <w:r w:rsidRPr="005C3B55">
              <w:rPr>
                <w:sz w:val="16"/>
              </w:rPr>
              <w:t>29,112,000.00 (2B)</w:t>
            </w:r>
          </w:p>
          <w:p w:rsidR="00C21266" w:rsidRPr="005C3B55" w:rsidRDefault="00C21266">
            <w:pPr>
              <w:spacing w:after="200"/>
              <w:jc w:val="right"/>
              <w:rPr>
                <w:rFonts w:eastAsia="Calibri"/>
                <w:sz w:val="16"/>
                <w:lang w:eastAsia="en-GB" w:bidi="en-GB"/>
              </w:rPr>
            </w:pPr>
            <w:r w:rsidRPr="005C3B55">
              <w:rPr>
                <w:sz w:val="16"/>
              </w:rPr>
              <w:t>0.00 (6A)</w:t>
            </w:r>
          </w:p>
        </w:tc>
      </w:tr>
      <w:tr w:rsidR="00C21266" w:rsidRPr="005C3B55">
        <w:tc>
          <w:tcPr>
            <w:tcW w:w="750" w:type="pct"/>
            <w:vMerge w:val="restar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59(3(b) - All regions where the GDP per capita for the 2007-2013 period was lower than 75% of the EU-25 average for the reference period , but the GDP per capita of which exceed 75% of an average GDP in EU-27</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Main</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75%</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75%</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12,906,000.00</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jc w:val="right"/>
              <w:rPr>
                <w:rFonts w:eastAsia="Calibri"/>
                <w:sz w:val="16"/>
              </w:rPr>
            </w:pPr>
            <w:r w:rsidRPr="005C3B55">
              <w:rPr>
                <w:sz w:val="16"/>
              </w:rPr>
              <w:t>0.00 (2B)</w:t>
            </w:r>
          </w:p>
          <w:p w:rsidR="00C21266" w:rsidRPr="005C3B55" w:rsidRDefault="00C21266">
            <w:pPr>
              <w:spacing w:after="200"/>
              <w:jc w:val="right"/>
              <w:rPr>
                <w:rFonts w:eastAsia="Calibri"/>
                <w:sz w:val="16"/>
                <w:lang w:eastAsia="en-GB" w:bidi="en-GB"/>
              </w:rPr>
            </w:pPr>
            <w:r w:rsidRPr="005C3B55">
              <w:rPr>
                <w:sz w:val="16"/>
              </w:rPr>
              <w:t>14,556,000.00 (6A)</w:t>
            </w:r>
          </w:p>
        </w:tc>
      </w:tr>
      <w:tr w:rsidR="00C21266" w:rsidRPr="005C3B55">
        <w:tc>
          <w:tcPr>
            <w:tcW w:w="0" w:type="auto"/>
            <w:vMerge/>
            <w:tcBorders>
              <w:top w:val="single" w:sz="8" w:space="0" w:color="000000"/>
              <w:left w:val="single" w:sz="8" w:space="0" w:color="000000"/>
              <w:bottom w:val="single" w:sz="8" w:space="0" w:color="000000"/>
              <w:right w:val="single" w:sz="8" w:space="0" w:color="000000"/>
            </w:tcBorders>
            <w:vAlign w:val="center"/>
          </w:tcPr>
          <w:p w:rsidR="00C21266" w:rsidRPr="005C3B55" w:rsidRDefault="00C21266">
            <w:pPr>
              <w:spacing w:after="0"/>
              <w:rPr>
                <w:rFonts w:eastAsia="Calibri"/>
                <w:sz w:val="16"/>
                <w:lang w:eastAsia="en-GB" w:bidi="en-GB"/>
              </w:rPr>
            </w:pP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59(4)(a) - Measures under Articles 14, 27, 35 for the local development within the LEADER initiative under Article 32 of Regulation (EU) No. 1303/2013 and operations under Article 19(1)(a)(i)</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80%</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80%</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0.00</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jc w:val="right"/>
              <w:rPr>
                <w:rFonts w:eastAsia="Calibri"/>
                <w:sz w:val="16"/>
              </w:rPr>
            </w:pPr>
            <w:r w:rsidRPr="005C3B55">
              <w:rPr>
                <w:sz w:val="16"/>
              </w:rPr>
              <w:t>19,408,000.00 (2B)</w:t>
            </w:r>
          </w:p>
          <w:p w:rsidR="00C21266" w:rsidRPr="005C3B55" w:rsidRDefault="00C21266">
            <w:pPr>
              <w:spacing w:after="200"/>
              <w:jc w:val="right"/>
              <w:rPr>
                <w:rFonts w:eastAsia="Calibri"/>
                <w:sz w:val="16"/>
                <w:lang w:eastAsia="en-GB" w:bidi="en-GB"/>
              </w:rPr>
            </w:pPr>
            <w:r w:rsidRPr="005C3B55">
              <w:rPr>
                <w:sz w:val="16"/>
              </w:rPr>
              <w:t>0.00 (6A)</w:t>
            </w:r>
          </w:p>
        </w:tc>
      </w:tr>
      <w:tr w:rsidR="00C21266" w:rsidRPr="005C3B55">
        <w:tc>
          <w:tcPr>
            <w:tcW w:w="750" w:type="pct"/>
            <w:gridSpan w:val="6"/>
            <w:tcBorders>
              <w:top w:val="single" w:sz="8" w:space="0" w:color="000000"/>
              <w:left w:val="single" w:sz="8" w:space="0" w:color="000000"/>
              <w:bottom w:val="single" w:sz="8" w:space="0" w:color="000000"/>
              <w:right w:val="single" w:sz="8" w:space="0" w:color="000000"/>
            </w:tcBorders>
            <w:shd w:val="clear" w:color="auto" w:fill="C0C0C0"/>
          </w:tcPr>
          <w:p w:rsidR="00C21266" w:rsidRPr="005C3B55" w:rsidRDefault="00C21266">
            <w:pPr>
              <w:spacing w:after="200"/>
              <w:jc w:val="center"/>
              <w:rPr>
                <w:rFonts w:eastAsia="Calibri"/>
                <w:sz w:val="16"/>
                <w:lang w:eastAsia="en-GB" w:bidi="en-GB"/>
              </w:rPr>
            </w:pPr>
            <w:r w:rsidRPr="005C3B55">
              <w:rPr>
                <w:sz w:val="16"/>
              </w:rPr>
              <w:t>Total</w:t>
            </w:r>
          </w:p>
        </w:tc>
        <w:tc>
          <w:tcPr>
            <w:tcW w:w="7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43,020,000.00</w:t>
            </w:r>
          </w:p>
        </w:tc>
        <w:tc>
          <w:tcPr>
            <w:tcW w:w="7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97,040,000.00</w:t>
            </w:r>
          </w:p>
        </w:tc>
      </w:tr>
    </w:tbl>
    <w:p w:rsidR="00C21266" w:rsidRPr="005C3B55" w:rsidRDefault="00C21266" w:rsidP="00C21266">
      <w:pPr>
        <w:pStyle w:val="Naslov3"/>
        <w:tabs>
          <w:tab w:val="clear" w:pos="765"/>
        </w:tabs>
        <w:ind w:left="0" w:firstLine="0"/>
        <w:jc w:val="left"/>
        <w:rPr>
          <w:b/>
          <w:lang w:val="en-GB" w:eastAsia="en-GB" w:bidi="en-GB"/>
        </w:rPr>
      </w:pPr>
      <w:r w:rsidRPr="005C3B55">
        <w:rPr>
          <w:lang w:val="en-GB"/>
        </w:rPr>
        <w:br w:type="page"/>
      </w:r>
      <w:bookmarkStart w:id="146" w:name="_Toc416192604"/>
      <w:r w:rsidRPr="005C3B55">
        <w:rPr>
          <w:lang w:val="en-GB"/>
        </w:rPr>
        <w:t>M07 – Basic services and village renewal in rural areas (Article 20)</w:t>
      </w:r>
      <w:bookmarkEnd w:id="146"/>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1955"/>
        <w:gridCol w:w="1955"/>
        <w:gridCol w:w="1955"/>
        <w:gridCol w:w="1955"/>
        <w:gridCol w:w="1955"/>
        <w:gridCol w:w="1955"/>
        <w:gridCol w:w="1243"/>
        <w:gridCol w:w="1283"/>
      </w:tblGrid>
      <w:tr w:rsidR="00C21266" w:rsidRPr="005C3B55">
        <w:tc>
          <w:tcPr>
            <w:tcW w:w="750" w:type="pct"/>
            <w:gridSpan w:val="2"/>
            <w:tcBorders>
              <w:top w:val="single" w:sz="8" w:space="0" w:color="000000"/>
              <w:left w:val="single" w:sz="8" w:space="0" w:color="000000"/>
              <w:bottom w:val="single" w:sz="8" w:space="0" w:color="000000"/>
              <w:right w:val="single" w:sz="8" w:space="0" w:color="000000"/>
            </w:tcBorders>
            <w:shd w:val="clear" w:color="auto" w:fill="C0C0C0"/>
          </w:tcPr>
          <w:p w:rsidR="00C21266" w:rsidRPr="005C3B55" w:rsidRDefault="00C21266">
            <w:pPr>
              <w:spacing w:after="200"/>
              <w:jc w:val="center"/>
              <w:rPr>
                <w:rFonts w:eastAsia="Calibri"/>
                <w:b/>
                <w:sz w:val="20"/>
                <w:lang w:eastAsia="en-GB" w:bidi="en-GB"/>
              </w:rPr>
            </w:pPr>
            <w:r w:rsidRPr="005C3B55">
              <w:rPr>
                <w:b/>
                <w:sz w:val="20"/>
              </w:rPr>
              <w:t>Types of regions and additional allocated funds</w:t>
            </w:r>
          </w:p>
        </w:tc>
        <w:tc>
          <w:tcPr>
            <w:tcW w:w="7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Adequate EAFRD contribution rate for the 2014-2020 period (%)</w:t>
            </w:r>
          </w:p>
        </w:tc>
        <w:tc>
          <w:tcPr>
            <w:tcW w:w="7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Adequate EAFRD contribution rate as per Article 59(4)(g) for the 2014-2020 period (%)</w:t>
            </w:r>
          </w:p>
        </w:tc>
        <w:tc>
          <w:tcPr>
            <w:tcW w:w="7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Rate used for financial instruments under the authority of the management authority for the 2014-2020 period (%)</w:t>
            </w:r>
          </w:p>
        </w:tc>
        <w:tc>
          <w:tcPr>
            <w:tcW w:w="7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Rate used for the financial instrument under the authority of the management authority as per Article 59(4)(g) for the 2014-2020 period (%)</w:t>
            </w:r>
          </w:p>
        </w:tc>
        <w:tc>
          <w:tcPr>
            <w:tcW w:w="7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Framework EAFRD amount contributed to the financial instruments for the 2014-2020 period (EUR)</w:t>
            </w:r>
          </w:p>
        </w:tc>
        <w:tc>
          <w:tcPr>
            <w:tcW w:w="7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Total planned Union contribution in the 2014–2020 period (EUR)</w:t>
            </w:r>
          </w:p>
        </w:tc>
      </w:tr>
      <w:tr w:rsidR="00C21266" w:rsidRPr="005C3B55">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59(s)(a) - Under-developed regions and the most remote regions and the regions on the small Aegean islands under the Regulation EEC) No 2019/93</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Main</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75%</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75%</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0.00</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3,750,000.00 (6C)</w:t>
            </w:r>
          </w:p>
        </w:tc>
      </w:tr>
      <w:tr w:rsidR="00C21266" w:rsidRPr="005C3B55">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59(3(b) - All regions where the GDP per capita for the 2007-2013 period was lower than 75% of the EU-25 average for the reference period , but the GDP per capita of which exceed 75% of an average GDP in EU-27</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Main</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75%</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75%</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0.00</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3,750,000.00 (6C)</w:t>
            </w:r>
          </w:p>
        </w:tc>
      </w:tr>
      <w:tr w:rsidR="00C21266" w:rsidRPr="005C3B55">
        <w:tc>
          <w:tcPr>
            <w:tcW w:w="750" w:type="pct"/>
            <w:gridSpan w:val="6"/>
            <w:tcBorders>
              <w:top w:val="single" w:sz="8" w:space="0" w:color="000000"/>
              <w:left w:val="single" w:sz="8" w:space="0" w:color="000000"/>
              <w:bottom w:val="single" w:sz="8" w:space="0" w:color="000000"/>
              <w:right w:val="single" w:sz="8" w:space="0" w:color="000000"/>
            </w:tcBorders>
            <w:shd w:val="clear" w:color="auto" w:fill="C0C0C0"/>
          </w:tcPr>
          <w:p w:rsidR="00C21266" w:rsidRPr="005C3B55" w:rsidRDefault="00C21266">
            <w:pPr>
              <w:spacing w:after="200"/>
              <w:jc w:val="center"/>
              <w:rPr>
                <w:rFonts w:eastAsia="Calibri"/>
                <w:sz w:val="16"/>
                <w:lang w:eastAsia="en-GB" w:bidi="en-GB"/>
              </w:rPr>
            </w:pPr>
            <w:r w:rsidRPr="005C3B55">
              <w:rPr>
                <w:sz w:val="16"/>
              </w:rPr>
              <w:t>Total</w:t>
            </w:r>
          </w:p>
        </w:tc>
        <w:tc>
          <w:tcPr>
            <w:tcW w:w="7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0.00</w:t>
            </w:r>
          </w:p>
        </w:tc>
        <w:tc>
          <w:tcPr>
            <w:tcW w:w="7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7,500,000.00</w:t>
            </w:r>
          </w:p>
        </w:tc>
      </w:tr>
    </w:tbl>
    <w:p w:rsidR="00C21266" w:rsidRPr="005C3B55" w:rsidRDefault="00C21266" w:rsidP="00C21266">
      <w:pPr>
        <w:pStyle w:val="Naslov3"/>
        <w:tabs>
          <w:tab w:val="clear" w:pos="765"/>
        </w:tabs>
        <w:ind w:left="0" w:firstLine="0"/>
        <w:jc w:val="left"/>
        <w:rPr>
          <w:b/>
          <w:lang w:val="en-GB" w:eastAsia="en-GB" w:bidi="en-GB"/>
        </w:rPr>
      </w:pPr>
      <w:r w:rsidRPr="005C3B55">
        <w:rPr>
          <w:lang w:val="en-GB"/>
        </w:rPr>
        <w:br w:type="page"/>
      </w:r>
      <w:bookmarkStart w:id="147" w:name="_Toc416192605"/>
      <w:r w:rsidRPr="005C3B55">
        <w:rPr>
          <w:lang w:val="en-GB"/>
        </w:rPr>
        <w:t>M08 – Investments in forest area development and improvement of the viability of forests (Articles 21-26)</w:t>
      </w:r>
      <w:bookmarkEnd w:id="147"/>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1955"/>
        <w:gridCol w:w="1955"/>
        <w:gridCol w:w="1955"/>
        <w:gridCol w:w="1955"/>
        <w:gridCol w:w="1955"/>
        <w:gridCol w:w="1955"/>
        <w:gridCol w:w="1243"/>
        <w:gridCol w:w="1283"/>
      </w:tblGrid>
      <w:tr w:rsidR="00C21266" w:rsidRPr="005C3B55">
        <w:tc>
          <w:tcPr>
            <w:tcW w:w="750" w:type="pct"/>
            <w:gridSpan w:val="2"/>
            <w:tcBorders>
              <w:top w:val="single" w:sz="8" w:space="0" w:color="000000"/>
              <w:left w:val="single" w:sz="8" w:space="0" w:color="000000"/>
              <w:bottom w:val="single" w:sz="8" w:space="0" w:color="000000"/>
              <w:right w:val="single" w:sz="8" w:space="0" w:color="000000"/>
            </w:tcBorders>
            <w:shd w:val="clear" w:color="auto" w:fill="C0C0C0"/>
          </w:tcPr>
          <w:p w:rsidR="00C21266" w:rsidRPr="005C3B55" w:rsidRDefault="00C21266">
            <w:pPr>
              <w:spacing w:after="200"/>
              <w:jc w:val="center"/>
              <w:rPr>
                <w:rFonts w:eastAsia="Calibri"/>
                <w:b/>
                <w:sz w:val="20"/>
                <w:lang w:eastAsia="en-GB" w:bidi="en-GB"/>
              </w:rPr>
            </w:pPr>
            <w:r w:rsidRPr="005C3B55">
              <w:rPr>
                <w:b/>
                <w:sz w:val="20"/>
              </w:rPr>
              <w:t>Types of regions and additional allocated funds</w:t>
            </w:r>
          </w:p>
        </w:tc>
        <w:tc>
          <w:tcPr>
            <w:tcW w:w="7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Adequate EAFRD contribution rate for the 2014-2020 period (%)</w:t>
            </w:r>
          </w:p>
        </w:tc>
        <w:tc>
          <w:tcPr>
            <w:tcW w:w="7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Adequate EAFRD contribution rate as per Article 59(4)(g) for the 2014-2020 period (%)</w:t>
            </w:r>
          </w:p>
        </w:tc>
        <w:tc>
          <w:tcPr>
            <w:tcW w:w="7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Rate used for financial instruments under the authority of the management authority for the 2014-2020 period (%)</w:t>
            </w:r>
          </w:p>
        </w:tc>
        <w:tc>
          <w:tcPr>
            <w:tcW w:w="7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Rate used for the financial instrument under the authority of the management authority as per Article 59(4)(g) for the 2014-2020 period (%)</w:t>
            </w:r>
          </w:p>
        </w:tc>
        <w:tc>
          <w:tcPr>
            <w:tcW w:w="7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Framework EAFRD amount contributed to the financial instruments for the 2014-2020 period (EUR)</w:t>
            </w:r>
          </w:p>
        </w:tc>
        <w:tc>
          <w:tcPr>
            <w:tcW w:w="7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Total planned Union contribution in the 2014–2020 period (EUR)</w:t>
            </w:r>
          </w:p>
        </w:tc>
      </w:tr>
      <w:tr w:rsidR="00C21266" w:rsidRPr="005C3B55">
        <w:tc>
          <w:tcPr>
            <w:tcW w:w="750" w:type="pct"/>
            <w:vMerge w:val="restar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59(s)(a) - Under-developed regions and the most remote regions and the regions on the small Aegean islands under the Regulation EEC) No 2019/93</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Main</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75%</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75%</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5,651,250.00</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jc w:val="right"/>
              <w:rPr>
                <w:rFonts w:eastAsia="Calibri"/>
                <w:sz w:val="16"/>
              </w:rPr>
            </w:pPr>
            <w:r w:rsidRPr="005C3B55">
              <w:rPr>
                <w:sz w:val="16"/>
              </w:rPr>
              <w:t>16,098,500.00 (6A)</w:t>
            </w:r>
          </w:p>
          <w:p w:rsidR="00C21266" w:rsidRPr="005C3B55" w:rsidRDefault="00C21266">
            <w:pPr>
              <w:spacing w:after="200"/>
              <w:jc w:val="right"/>
              <w:rPr>
                <w:rFonts w:eastAsia="Calibri"/>
                <w:sz w:val="16"/>
                <w:lang w:eastAsia="en-GB" w:bidi="en-GB"/>
              </w:rPr>
            </w:pPr>
            <w:r w:rsidRPr="005C3B55">
              <w:rPr>
                <w:sz w:val="16"/>
              </w:rPr>
              <w:t>6,136,320.00 (P4)</w:t>
            </w:r>
          </w:p>
        </w:tc>
      </w:tr>
      <w:tr w:rsidR="00C21266" w:rsidRPr="005C3B55">
        <w:tc>
          <w:tcPr>
            <w:tcW w:w="0" w:type="auto"/>
            <w:vMerge/>
            <w:tcBorders>
              <w:top w:val="single" w:sz="8" w:space="0" w:color="000000"/>
              <w:left w:val="single" w:sz="8" w:space="0" w:color="000000"/>
              <w:bottom w:val="single" w:sz="8" w:space="0" w:color="000000"/>
              <w:right w:val="single" w:sz="8" w:space="0" w:color="000000"/>
            </w:tcBorders>
            <w:vAlign w:val="center"/>
          </w:tcPr>
          <w:p w:rsidR="00C21266" w:rsidRPr="005C3B55" w:rsidRDefault="00C21266">
            <w:pPr>
              <w:spacing w:after="0"/>
              <w:rPr>
                <w:rFonts w:eastAsia="Calibri"/>
                <w:sz w:val="16"/>
                <w:lang w:eastAsia="en-GB" w:bidi="en-GB"/>
              </w:rPr>
            </w:pP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59(4)(b) - Operations contributing to attaining the environmental objectives and mitigating of and adjustment to the climate change on the basis of Article 17, Points (a) and (b) of Article 21(1), Articles 28, 29, 30, 31 and 34</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75%</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75%</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0.00</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jc w:val="right"/>
              <w:rPr>
                <w:rFonts w:eastAsia="Calibri"/>
                <w:sz w:val="16"/>
              </w:rPr>
            </w:pPr>
            <w:r w:rsidRPr="005C3B55">
              <w:rPr>
                <w:sz w:val="16"/>
              </w:rPr>
              <w:t>0.00 (6A)</w:t>
            </w:r>
          </w:p>
          <w:p w:rsidR="00C21266" w:rsidRPr="005C3B55" w:rsidRDefault="00C21266">
            <w:pPr>
              <w:spacing w:after="200"/>
              <w:jc w:val="right"/>
              <w:rPr>
                <w:rFonts w:eastAsia="Calibri"/>
                <w:sz w:val="16"/>
                <w:lang w:eastAsia="en-GB" w:bidi="en-GB"/>
              </w:rPr>
            </w:pPr>
            <w:r w:rsidRPr="005C3B55">
              <w:rPr>
                <w:sz w:val="16"/>
              </w:rPr>
              <w:t>0.00 (P4)</w:t>
            </w:r>
          </w:p>
        </w:tc>
      </w:tr>
      <w:tr w:rsidR="00C21266" w:rsidRPr="005C3B55">
        <w:tc>
          <w:tcPr>
            <w:tcW w:w="750" w:type="pct"/>
            <w:vMerge w:val="restar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59(3(b) - All regions where the GDP per capita for the 2007-2013 period was lower than 75% of the EU-25 average for the reference period , but the GDP per capita of which exceed 75% of an average GDP in EU-27</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Main</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75%</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75%</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4,623,750.00</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jc w:val="right"/>
              <w:rPr>
                <w:rFonts w:eastAsia="Calibri"/>
                <w:sz w:val="16"/>
              </w:rPr>
            </w:pPr>
            <w:r w:rsidRPr="005C3B55">
              <w:rPr>
                <w:sz w:val="16"/>
              </w:rPr>
              <w:t>13,171,500.00 (6A)</w:t>
            </w:r>
          </w:p>
          <w:p w:rsidR="00C21266" w:rsidRPr="005C3B55" w:rsidRDefault="00C21266">
            <w:pPr>
              <w:spacing w:after="200"/>
              <w:jc w:val="right"/>
              <w:rPr>
                <w:rFonts w:eastAsia="Calibri"/>
                <w:sz w:val="16"/>
                <w:lang w:eastAsia="en-GB" w:bidi="en-GB"/>
              </w:rPr>
            </w:pPr>
            <w:r w:rsidRPr="005C3B55">
              <w:rPr>
                <w:sz w:val="16"/>
              </w:rPr>
              <w:t>9,204,480.00 (P4)</w:t>
            </w:r>
          </w:p>
        </w:tc>
      </w:tr>
      <w:tr w:rsidR="00C21266" w:rsidRPr="005C3B55">
        <w:tc>
          <w:tcPr>
            <w:tcW w:w="0" w:type="auto"/>
            <w:vMerge/>
            <w:tcBorders>
              <w:top w:val="single" w:sz="8" w:space="0" w:color="000000"/>
              <w:left w:val="single" w:sz="8" w:space="0" w:color="000000"/>
              <w:bottom w:val="single" w:sz="8" w:space="0" w:color="000000"/>
              <w:right w:val="single" w:sz="8" w:space="0" w:color="000000"/>
            </w:tcBorders>
            <w:vAlign w:val="center"/>
          </w:tcPr>
          <w:p w:rsidR="00C21266" w:rsidRPr="005C3B55" w:rsidRDefault="00C21266">
            <w:pPr>
              <w:spacing w:after="0"/>
              <w:rPr>
                <w:rFonts w:eastAsia="Calibri"/>
                <w:sz w:val="16"/>
                <w:lang w:eastAsia="en-GB" w:bidi="en-GB"/>
              </w:rPr>
            </w:pP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59(4)(b) - Operations contributing to attaining the environmental objectives and mitigating of and adjustment to the climate change on the basis of Article 17, Points (a) and (b) of Article 21(1), Articles 28, 29, 30, 31 and 34</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75%</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75%</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0.00</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jc w:val="right"/>
              <w:rPr>
                <w:rFonts w:eastAsia="Calibri"/>
                <w:sz w:val="16"/>
              </w:rPr>
            </w:pPr>
            <w:r w:rsidRPr="005C3B55">
              <w:rPr>
                <w:sz w:val="16"/>
              </w:rPr>
              <w:t>0.00 (6A)</w:t>
            </w:r>
          </w:p>
          <w:p w:rsidR="00C21266" w:rsidRPr="005C3B55" w:rsidRDefault="00C21266">
            <w:pPr>
              <w:spacing w:after="200"/>
              <w:jc w:val="right"/>
              <w:rPr>
                <w:rFonts w:eastAsia="Calibri"/>
                <w:sz w:val="16"/>
                <w:lang w:eastAsia="en-GB" w:bidi="en-GB"/>
              </w:rPr>
            </w:pPr>
            <w:r w:rsidRPr="005C3B55">
              <w:rPr>
                <w:sz w:val="16"/>
              </w:rPr>
              <w:t>0.00 (P4)</w:t>
            </w:r>
          </w:p>
        </w:tc>
      </w:tr>
      <w:tr w:rsidR="00C21266" w:rsidRPr="005C3B55">
        <w:tc>
          <w:tcPr>
            <w:tcW w:w="750" w:type="pct"/>
            <w:gridSpan w:val="6"/>
            <w:tcBorders>
              <w:top w:val="single" w:sz="8" w:space="0" w:color="000000"/>
              <w:left w:val="single" w:sz="8" w:space="0" w:color="000000"/>
              <w:bottom w:val="single" w:sz="8" w:space="0" w:color="000000"/>
              <w:right w:val="single" w:sz="8" w:space="0" w:color="000000"/>
            </w:tcBorders>
            <w:shd w:val="clear" w:color="auto" w:fill="C0C0C0"/>
          </w:tcPr>
          <w:p w:rsidR="00C21266" w:rsidRPr="005C3B55" w:rsidRDefault="00C21266">
            <w:pPr>
              <w:spacing w:after="200"/>
              <w:jc w:val="center"/>
              <w:rPr>
                <w:rFonts w:eastAsia="Calibri"/>
                <w:sz w:val="16"/>
                <w:lang w:eastAsia="en-GB" w:bidi="en-GB"/>
              </w:rPr>
            </w:pPr>
            <w:r w:rsidRPr="005C3B55">
              <w:rPr>
                <w:sz w:val="16"/>
              </w:rPr>
              <w:t>Total</w:t>
            </w:r>
          </w:p>
        </w:tc>
        <w:tc>
          <w:tcPr>
            <w:tcW w:w="7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10,275,000.00</w:t>
            </w:r>
          </w:p>
        </w:tc>
        <w:tc>
          <w:tcPr>
            <w:tcW w:w="7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44,610,800.00</w:t>
            </w:r>
          </w:p>
        </w:tc>
      </w:tr>
    </w:tbl>
    <w:p w:rsidR="00C21266" w:rsidRPr="005C3B55" w:rsidRDefault="00C21266" w:rsidP="00C21266">
      <w:pPr>
        <w:pStyle w:val="Naslov3"/>
        <w:tabs>
          <w:tab w:val="clear" w:pos="765"/>
        </w:tabs>
        <w:ind w:left="0" w:firstLine="0"/>
        <w:jc w:val="left"/>
        <w:rPr>
          <w:b/>
          <w:lang w:val="en-GB" w:eastAsia="en-GB" w:bidi="en-GB"/>
        </w:rPr>
      </w:pPr>
      <w:r w:rsidRPr="005C3B55">
        <w:rPr>
          <w:lang w:val="en-GB"/>
        </w:rPr>
        <w:br w:type="page"/>
      </w:r>
      <w:bookmarkStart w:id="148" w:name="_Toc416192606"/>
      <w:r w:rsidRPr="005C3B55">
        <w:rPr>
          <w:lang w:val="en-GB"/>
        </w:rPr>
        <w:t>M09 – Setting-up of producer groups and organisations (Article 27)</w:t>
      </w:r>
      <w:bookmarkEnd w:id="148"/>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1955"/>
        <w:gridCol w:w="1955"/>
        <w:gridCol w:w="1955"/>
        <w:gridCol w:w="1955"/>
        <w:gridCol w:w="1955"/>
        <w:gridCol w:w="1955"/>
        <w:gridCol w:w="1243"/>
        <w:gridCol w:w="1283"/>
      </w:tblGrid>
      <w:tr w:rsidR="00C21266" w:rsidRPr="005C3B55">
        <w:tc>
          <w:tcPr>
            <w:tcW w:w="750" w:type="pct"/>
            <w:gridSpan w:val="2"/>
            <w:tcBorders>
              <w:top w:val="single" w:sz="8" w:space="0" w:color="000000"/>
              <w:left w:val="single" w:sz="8" w:space="0" w:color="000000"/>
              <w:bottom w:val="single" w:sz="8" w:space="0" w:color="000000"/>
              <w:right w:val="single" w:sz="8" w:space="0" w:color="000000"/>
            </w:tcBorders>
            <w:shd w:val="clear" w:color="auto" w:fill="C0C0C0"/>
          </w:tcPr>
          <w:p w:rsidR="00C21266" w:rsidRPr="005C3B55" w:rsidRDefault="00C21266">
            <w:pPr>
              <w:spacing w:after="200"/>
              <w:jc w:val="center"/>
              <w:rPr>
                <w:rFonts w:eastAsia="Calibri"/>
                <w:b/>
                <w:sz w:val="20"/>
                <w:lang w:eastAsia="en-GB" w:bidi="en-GB"/>
              </w:rPr>
            </w:pPr>
            <w:r w:rsidRPr="005C3B55">
              <w:rPr>
                <w:b/>
                <w:sz w:val="20"/>
              </w:rPr>
              <w:t>Types of regions and additional allocated funds</w:t>
            </w:r>
          </w:p>
        </w:tc>
        <w:tc>
          <w:tcPr>
            <w:tcW w:w="7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Adequate EAFRD contribution rate for the 2014-2020 period (%)</w:t>
            </w:r>
          </w:p>
        </w:tc>
        <w:tc>
          <w:tcPr>
            <w:tcW w:w="7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Adequate EAFRD contribution rate as per Article 59(4)(g) for the 2014-2020 period (%)</w:t>
            </w:r>
          </w:p>
        </w:tc>
        <w:tc>
          <w:tcPr>
            <w:tcW w:w="7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Rate used for financial instruments under the authority of the management authority for the 2014-2020 period (%)</w:t>
            </w:r>
          </w:p>
        </w:tc>
        <w:tc>
          <w:tcPr>
            <w:tcW w:w="7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Rate used for the financial instrument under the authority of the management authority as per Article 59(4)(g) for the 2014-2020 period (%)</w:t>
            </w:r>
          </w:p>
        </w:tc>
        <w:tc>
          <w:tcPr>
            <w:tcW w:w="7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Framework EAFRD amount contributed to the financial instruments for the 2014-2020 period (EUR)</w:t>
            </w:r>
          </w:p>
        </w:tc>
        <w:tc>
          <w:tcPr>
            <w:tcW w:w="7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Total planned Union contribution in the 2014–2020 period (EUR)</w:t>
            </w:r>
          </w:p>
        </w:tc>
      </w:tr>
      <w:tr w:rsidR="00C21266" w:rsidRPr="005C3B55">
        <w:tc>
          <w:tcPr>
            <w:tcW w:w="750" w:type="pct"/>
            <w:vMerge w:val="restar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59(s)(a) - Under-developed regions and the most remote regions and the regions on the small Aegean islands under the Regulation EEC) No 2019/93</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Main</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75%</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75%</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0.00</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0.00 (3A)</w:t>
            </w:r>
          </w:p>
        </w:tc>
      </w:tr>
      <w:tr w:rsidR="00C21266" w:rsidRPr="005C3B55">
        <w:tc>
          <w:tcPr>
            <w:tcW w:w="0" w:type="auto"/>
            <w:vMerge/>
            <w:tcBorders>
              <w:top w:val="single" w:sz="8" w:space="0" w:color="000000"/>
              <w:left w:val="single" w:sz="8" w:space="0" w:color="000000"/>
              <w:bottom w:val="single" w:sz="8" w:space="0" w:color="000000"/>
              <w:right w:val="single" w:sz="8" w:space="0" w:color="000000"/>
            </w:tcBorders>
            <w:vAlign w:val="center"/>
          </w:tcPr>
          <w:p w:rsidR="00C21266" w:rsidRPr="005C3B55" w:rsidRDefault="00C21266">
            <w:pPr>
              <w:spacing w:after="0"/>
              <w:rPr>
                <w:rFonts w:eastAsia="Calibri"/>
                <w:sz w:val="16"/>
                <w:lang w:eastAsia="en-GB" w:bidi="en-GB"/>
              </w:rPr>
            </w:pP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59(4)(a) - Measures under Articles 14, 27, 35 for the local development within the LEADER initiative under Article 32 of Regulation (EU) No. 1303/2013 and operations under Article 19(1)(a)(i)</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80%</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80%</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0.00</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623,826.00 (3A)</w:t>
            </w:r>
          </w:p>
        </w:tc>
      </w:tr>
      <w:tr w:rsidR="00C21266" w:rsidRPr="005C3B55">
        <w:tc>
          <w:tcPr>
            <w:tcW w:w="750" w:type="pct"/>
            <w:vMerge w:val="restar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59(3(b) - All regions where the GDP per capita for the 2007-2013 period was lower than 75% of the EU-25 average for the reference period , but the GDP per capita of which exceed 75% of an average GDP in EU-27</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Main</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75%</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75%</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0.00</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0.00 (3A)</w:t>
            </w:r>
          </w:p>
        </w:tc>
      </w:tr>
      <w:tr w:rsidR="00C21266" w:rsidRPr="005C3B55">
        <w:tc>
          <w:tcPr>
            <w:tcW w:w="0" w:type="auto"/>
            <w:vMerge/>
            <w:tcBorders>
              <w:top w:val="single" w:sz="8" w:space="0" w:color="000000"/>
              <w:left w:val="single" w:sz="8" w:space="0" w:color="000000"/>
              <w:bottom w:val="single" w:sz="8" w:space="0" w:color="000000"/>
              <w:right w:val="single" w:sz="8" w:space="0" w:color="000000"/>
            </w:tcBorders>
            <w:vAlign w:val="center"/>
          </w:tcPr>
          <w:p w:rsidR="00C21266" w:rsidRPr="005C3B55" w:rsidRDefault="00C21266">
            <w:pPr>
              <w:spacing w:after="0"/>
              <w:rPr>
                <w:rFonts w:eastAsia="Calibri"/>
                <w:sz w:val="16"/>
                <w:lang w:eastAsia="en-GB" w:bidi="en-GB"/>
              </w:rPr>
            </w:pP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59(4)(a) - Measures under Articles 14, 27, 35 for the local development within the LEADER initiative under Article 32 of Regulation (EU) No. 1303/2013 and operations under Article 19(1)(a)(i)</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80%</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80%</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0.00</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1,158,534.00 (3A)</w:t>
            </w:r>
          </w:p>
        </w:tc>
      </w:tr>
      <w:tr w:rsidR="00C21266" w:rsidRPr="005C3B55">
        <w:tc>
          <w:tcPr>
            <w:tcW w:w="750" w:type="pct"/>
            <w:gridSpan w:val="6"/>
            <w:tcBorders>
              <w:top w:val="single" w:sz="8" w:space="0" w:color="000000"/>
              <w:left w:val="single" w:sz="8" w:space="0" w:color="000000"/>
              <w:bottom w:val="single" w:sz="8" w:space="0" w:color="000000"/>
              <w:right w:val="single" w:sz="8" w:space="0" w:color="000000"/>
            </w:tcBorders>
            <w:shd w:val="clear" w:color="auto" w:fill="C0C0C0"/>
          </w:tcPr>
          <w:p w:rsidR="00C21266" w:rsidRPr="005C3B55" w:rsidRDefault="00C21266">
            <w:pPr>
              <w:spacing w:after="200"/>
              <w:jc w:val="center"/>
              <w:rPr>
                <w:rFonts w:eastAsia="Calibri"/>
                <w:sz w:val="16"/>
                <w:lang w:eastAsia="en-GB" w:bidi="en-GB"/>
              </w:rPr>
            </w:pPr>
            <w:r w:rsidRPr="005C3B55">
              <w:rPr>
                <w:sz w:val="16"/>
              </w:rPr>
              <w:t>Total</w:t>
            </w:r>
          </w:p>
        </w:tc>
        <w:tc>
          <w:tcPr>
            <w:tcW w:w="7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0.00</w:t>
            </w:r>
          </w:p>
        </w:tc>
        <w:tc>
          <w:tcPr>
            <w:tcW w:w="7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1,782,360.00</w:t>
            </w:r>
          </w:p>
        </w:tc>
      </w:tr>
    </w:tbl>
    <w:p w:rsidR="00C21266" w:rsidRPr="005C3B55" w:rsidRDefault="00C21266" w:rsidP="00C21266">
      <w:pPr>
        <w:pStyle w:val="Naslov3"/>
        <w:tabs>
          <w:tab w:val="clear" w:pos="765"/>
        </w:tabs>
        <w:ind w:left="0" w:firstLine="0"/>
        <w:jc w:val="left"/>
        <w:rPr>
          <w:b/>
          <w:lang w:val="en-GB" w:eastAsia="en-GB" w:bidi="en-GB"/>
        </w:rPr>
      </w:pPr>
      <w:r w:rsidRPr="005C3B55">
        <w:rPr>
          <w:lang w:val="en-GB"/>
        </w:rPr>
        <w:br w:type="page"/>
      </w:r>
      <w:bookmarkStart w:id="149" w:name="_Toc416192607"/>
      <w:r w:rsidRPr="005C3B55">
        <w:rPr>
          <w:lang w:val="en-GB"/>
        </w:rPr>
        <w:t>M10 – Agri-environment-climate payments (Article 28)</w:t>
      </w:r>
      <w:bookmarkEnd w:id="149"/>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1955"/>
        <w:gridCol w:w="1955"/>
        <w:gridCol w:w="1955"/>
        <w:gridCol w:w="1955"/>
        <w:gridCol w:w="1955"/>
        <w:gridCol w:w="1955"/>
        <w:gridCol w:w="1243"/>
        <w:gridCol w:w="1283"/>
      </w:tblGrid>
      <w:tr w:rsidR="00C21266" w:rsidRPr="005C3B55">
        <w:tc>
          <w:tcPr>
            <w:tcW w:w="750" w:type="pct"/>
            <w:gridSpan w:val="2"/>
            <w:tcBorders>
              <w:top w:val="single" w:sz="8" w:space="0" w:color="000000"/>
              <w:left w:val="single" w:sz="8" w:space="0" w:color="000000"/>
              <w:bottom w:val="single" w:sz="8" w:space="0" w:color="000000"/>
              <w:right w:val="single" w:sz="8" w:space="0" w:color="000000"/>
            </w:tcBorders>
            <w:shd w:val="clear" w:color="auto" w:fill="C0C0C0"/>
          </w:tcPr>
          <w:p w:rsidR="00C21266" w:rsidRPr="005C3B55" w:rsidRDefault="00C21266">
            <w:pPr>
              <w:spacing w:after="200"/>
              <w:jc w:val="center"/>
              <w:rPr>
                <w:rFonts w:eastAsia="Calibri"/>
                <w:b/>
                <w:sz w:val="20"/>
                <w:lang w:eastAsia="en-GB" w:bidi="en-GB"/>
              </w:rPr>
            </w:pPr>
            <w:r w:rsidRPr="005C3B55">
              <w:rPr>
                <w:b/>
                <w:sz w:val="20"/>
              </w:rPr>
              <w:t>Types of regions and additional allocated funds</w:t>
            </w:r>
          </w:p>
        </w:tc>
        <w:tc>
          <w:tcPr>
            <w:tcW w:w="7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Adequate EAFRD contribution rate for the 2014-2020 period (%)</w:t>
            </w:r>
          </w:p>
        </w:tc>
        <w:tc>
          <w:tcPr>
            <w:tcW w:w="7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Adequate EAFRD contribution rate as per Article 59(4)(g) for the 2014-2020 period (%)</w:t>
            </w:r>
          </w:p>
        </w:tc>
        <w:tc>
          <w:tcPr>
            <w:tcW w:w="7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Rate used for financial instruments under the authority of the management authority for the 2014-2020 period (%)</w:t>
            </w:r>
          </w:p>
        </w:tc>
        <w:tc>
          <w:tcPr>
            <w:tcW w:w="7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Rate used for the financial instrument under the authority of the management authority as per Article 59(4)(g) for the 2014-2020 period (%)</w:t>
            </w:r>
          </w:p>
        </w:tc>
        <w:tc>
          <w:tcPr>
            <w:tcW w:w="7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Framework EAFRD amount contributed to the financial instruments for the 2014-2020 period (EUR)</w:t>
            </w:r>
          </w:p>
        </w:tc>
        <w:tc>
          <w:tcPr>
            <w:tcW w:w="7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Total planned Union contribution in the 2014–2020 period (EUR)</w:t>
            </w:r>
          </w:p>
        </w:tc>
      </w:tr>
      <w:tr w:rsidR="00C21266" w:rsidRPr="005C3B55">
        <w:tc>
          <w:tcPr>
            <w:tcW w:w="750" w:type="pct"/>
            <w:vMerge w:val="restar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59(s)(a) - Under-developed regions and the most remote regions and the regions on the small Aegean islands under the Regulation EEC) No 2019/93</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Main</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75%</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75%</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0.00</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0.00 (P4)</w:t>
            </w:r>
          </w:p>
        </w:tc>
      </w:tr>
      <w:tr w:rsidR="00C21266" w:rsidRPr="005C3B55">
        <w:tc>
          <w:tcPr>
            <w:tcW w:w="0" w:type="auto"/>
            <w:vMerge/>
            <w:tcBorders>
              <w:top w:val="single" w:sz="8" w:space="0" w:color="000000"/>
              <w:left w:val="single" w:sz="8" w:space="0" w:color="000000"/>
              <w:bottom w:val="single" w:sz="8" w:space="0" w:color="000000"/>
              <w:right w:val="single" w:sz="8" w:space="0" w:color="000000"/>
            </w:tcBorders>
            <w:vAlign w:val="center"/>
          </w:tcPr>
          <w:p w:rsidR="00C21266" w:rsidRPr="005C3B55" w:rsidRDefault="00C21266">
            <w:pPr>
              <w:spacing w:after="0"/>
              <w:rPr>
                <w:rFonts w:eastAsia="Calibri"/>
                <w:sz w:val="16"/>
                <w:lang w:eastAsia="en-GB" w:bidi="en-GB"/>
              </w:rPr>
            </w:pP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59(4)(b) - Operations contributing to attaining the environmental objectives and mitigating of and adjustment to the climate change on the basis of Article 17, Points (a) and (b) of Article 21(1), Articles 28, 29, 30, 31 and 34</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75%</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75%</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0.00</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114,529,155.00 (P4)</w:t>
            </w:r>
          </w:p>
        </w:tc>
      </w:tr>
      <w:tr w:rsidR="00C21266" w:rsidRPr="005C3B55">
        <w:tc>
          <w:tcPr>
            <w:tcW w:w="750" w:type="pct"/>
            <w:vMerge w:val="restar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59(3(b) - All regions where the GDP per capita for the 2007-2013 period was lower than 75% of the EU-25 average for the reference period , but the GDP per capita of which exceed 75% of an average GDP in EU-27</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Main</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75%</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75%</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0.00</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0.00 (P4)</w:t>
            </w:r>
          </w:p>
        </w:tc>
      </w:tr>
      <w:tr w:rsidR="00C21266" w:rsidRPr="005C3B55">
        <w:tc>
          <w:tcPr>
            <w:tcW w:w="0" w:type="auto"/>
            <w:vMerge/>
            <w:tcBorders>
              <w:top w:val="single" w:sz="8" w:space="0" w:color="000000"/>
              <w:left w:val="single" w:sz="8" w:space="0" w:color="000000"/>
              <w:bottom w:val="single" w:sz="8" w:space="0" w:color="000000"/>
              <w:right w:val="single" w:sz="8" w:space="0" w:color="000000"/>
            </w:tcBorders>
            <w:vAlign w:val="center"/>
          </w:tcPr>
          <w:p w:rsidR="00C21266" w:rsidRPr="005C3B55" w:rsidRDefault="00C21266">
            <w:pPr>
              <w:spacing w:after="0"/>
              <w:rPr>
                <w:rFonts w:eastAsia="Calibri"/>
                <w:sz w:val="16"/>
                <w:lang w:eastAsia="en-GB" w:bidi="en-GB"/>
              </w:rPr>
            </w:pP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59(4)(b) - Operations contributing to attaining the environmental objectives and mitigating of and adjustment to the climate change on the basis of Article 17, Points (a) and (b) of Article 21(1), Articles 28, 29, 30, 31 and 34</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75%</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75%</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0.00</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38,176,385.00 (P4)</w:t>
            </w:r>
          </w:p>
        </w:tc>
      </w:tr>
      <w:tr w:rsidR="00C21266" w:rsidRPr="005C3B55">
        <w:tc>
          <w:tcPr>
            <w:tcW w:w="750" w:type="pct"/>
            <w:gridSpan w:val="6"/>
            <w:tcBorders>
              <w:top w:val="single" w:sz="8" w:space="0" w:color="000000"/>
              <w:left w:val="single" w:sz="8" w:space="0" w:color="000000"/>
              <w:bottom w:val="single" w:sz="8" w:space="0" w:color="000000"/>
              <w:right w:val="single" w:sz="8" w:space="0" w:color="000000"/>
            </w:tcBorders>
            <w:shd w:val="clear" w:color="auto" w:fill="C0C0C0"/>
          </w:tcPr>
          <w:p w:rsidR="00C21266" w:rsidRPr="005C3B55" w:rsidRDefault="00C21266">
            <w:pPr>
              <w:spacing w:after="200"/>
              <w:jc w:val="center"/>
              <w:rPr>
                <w:rFonts w:eastAsia="Calibri"/>
                <w:sz w:val="16"/>
                <w:lang w:eastAsia="en-GB" w:bidi="en-GB"/>
              </w:rPr>
            </w:pPr>
            <w:r w:rsidRPr="005C3B55">
              <w:rPr>
                <w:sz w:val="16"/>
              </w:rPr>
              <w:t>Total</w:t>
            </w:r>
          </w:p>
        </w:tc>
        <w:tc>
          <w:tcPr>
            <w:tcW w:w="7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0.00</w:t>
            </w:r>
          </w:p>
        </w:tc>
        <w:tc>
          <w:tcPr>
            <w:tcW w:w="7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152,705,540.00</w:t>
            </w:r>
          </w:p>
        </w:tc>
      </w:tr>
    </w:tbl>
    <w:p w:rsidR="00C21266" w:rsidRPr="005C3B55" w:rsidRDefault="00C21266" w:rsidP="00C21266">
      <w:pPr>
        <w:pStyle w:val="Naslov3"/>
        <w:tabs>
          <w:tab w:val="clear" w:pos="765"/>
        </w:tabs>
        <w:ind w:left="0" w:firstLine="0"/>
        <w:jc w:val="left"/>
        <w:rPr>
          <w:b/>
          <w:lang w:val="en-GB" w:eastAsia="en-GB" w:bidi="en-GB"/>
        </w:rPr>
      </w:pPr>
      <w:r w:rsidRPr="005C3B55">
        <w:rPr>
          <w:lang w:val="en-GB"/>
        </w:rPr>
        <w:br w:type="page"/>
      </w:r>
      <w:bookmarkStart w:id="150" w:name="_Toc416192608"/>
      <w:r w:rsidRPr="005C3B55">
        <w:rPr>
          <w:lang w:val="en-GB"/>
        </w:rPr>
        <w:t>M11 – Organic farming (Article 29)</w:t>
      </w:r>
      <w:bookmarkEnd w:id="150"/>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1955"/>
        <w:gridCol w:w="1955"/>
        <w:gridCol w:w="1955"/>
        <w:gridCol w:w="1955"/>
        <w:gridCol w:w="1955"/>
        <w:gridCol w:w="1955"/>
        <w:gridCol w:w="1243"/>
        <w:gridCol w:w="1283"/>
      </w:tblGrid>
      <w:tr w:rsidR="00C21266" w:rsidRPr="005C3B55">
        <w:tc>
          <w:tcPr>
            <w:tcW w:w="750" w:type="pct"/>
            <w:gridSpan w:val="2"/>
            <w:tcBorders>
              <w:top w:val="single" w:sz="8" w:space="0" w:color="000000"/>
              <w:left w:val="single" w:sz="8" w:space="0" w:color="000000"/>
              <w:bottom w:val="single" w:sz="8" w:space="0" w:color="000000"/>
              <w:right w:val="single" w:sz="8" w:space="0" w:color="000000"/>
            </w:tcBorders>
            <w:shd w:val="clear" w:color="auto" w:fill="C0C0C0"/>
          </w:tcPr>
          <w:p w:rsidR="00C21266" w:rsidRPr="005C3B55" w:rsidRDefault="00C21266">
            <w:pPr>
              <w:spacing w:after="200"/>
              <w:jc w:val="center"/>
              <w:rPr>
                <w:rFonts w:eastAsia="Calibri"/>
                <w:b/>
                <w:sz w:val="20"/>
                <w:lang w:eastAsia="en-GB" w:bidi="en-GB"/>
              </w:rPr>
            </w:pPr>
            <w:r w:rsidRPr="005C3B55">
              <w:rPr>
                <w:b/>
                <w:sz w:val="20"/>
              </w:rPr>
              <w:t>Types of regions and additional allocated funds</w:t>
            </w:r>
          </w:p>
        </w:tc>
        <w:tc>
          <w:tcPr>
            <w:tcW w:w="7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Adequate EAFRD contribution rate for the 2014-2020 period (%)</w:t>
            </w:r>
          </w:p>
        </w:tc>
        <w:tc>
          <w:tcPr>
            <w:tcW w:w="7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Adequate EAFRD contribution rate as per Article 59(4)(g) for the 2014-2020 period (%)</w:t>
            </w:r>
          </w:p>
        </w:tc>
        <w:tc>
          <w:tcPr>
            <w:tcW w:w="7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Rate used for financial instruments under the authority of the management authority for the 2014-2020 period (%)</w:t>
            </w:r>
          </w:p>
        </w:tc>
        <w:tc>
          <w:tcPr>
            <w:tcW w:w="7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Rate used for the financial instrument under the authority of the management authority as per Article 59(4)(g) for the 2014-2020 period (%)</w:t>
            </w:r>
          </w:p>
        </w:tc>
        <w:tc>
          <w:tcPr>
            <w:tcW w:w="7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Framework EAFRD amount contributed to the financial instruments for the 2014-2020 period (EUR)</w:t>
            </w:r>
          </w:p>
        </w:tc>
        <w:tc>
          <w:tcPr>
            <w:tcW w:w="7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Total planned Union contribution in the 2014–2020 period (EUR)</w:t>
            </w:r>
          </w:p>
        </w:tc>
      </w:tr>
      <w:tr w:rsidR="00C21266" w:rsidRPr="005C3B55">
        <w:tc>
          <w:tcPr>
            <w:tcW w:w="750" w:type="pct"/>
            <w:vMerge w:val="restar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59(s)(a) - Under-developed regions and the most remote regions and the regions on the small Aegean islands under the Regulation EEC) No 2019/93</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Main</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75%</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75%</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0.00</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0.00 (P4)</w:t>
            </w:r>
          </w:p>
        </w:tc>
      </w:tr>
      <w:tr w:rsidR="00C21266" w:rsidRPr="005C3B55">
        <w:tc>
          <w:tcPr>
            <w:tcW w:w="0" w:type="auto"/>
            <w:vMerge/>
            <w:tcBorders>
              <w:top w:val="single" w:sz="8" w:space="0" w:color="000000"/>
              <w:left w:val="single" w:sz="8" w:space="0" w:color="000000"/>
              <w:bottom w:val="single" w:sz="8" w:space="0" w:color="000000"/>
              <w:right w:val="single" w:sz="8" w:space="0" w:color="000000"/>
            </w:tcBorders>
            <w:vAlign w:val="center"/>
          </w:tcPr>
          <w:p w:rsidR="00C21266" w:rsidRPr="005C3B55" w:rsidRDefault="00C21266">
            <w:pPr>
              <w:spacing w:after="0"/>
              <w:rPr>
                <w:rFonts w:eastAsia="Calibri"/>
                <w:sz w:val="16"/>
                <w:lang w:eastAsia="en-GB" w:bidi="en-GB"/>
              </w:rPr>
            </w:pP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59(4)(b) - Operations contributing to attaining the environmental objectives and mitigating of and adjustment to the climate change on the basis of Article 17, Points (a) and (b) of Article 21(1), Articles 28, 29, 30, 31 and 34</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75%</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75%</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0.00</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29,347,500.00 (P4)</w:t>
            </w:r>
          </w:p>
        </w:tc>
      </w:tr>
      <w:tr w:rsidR="00C21266" w:rsidRPr="005C3B55">
        <w:tc>
          <w:tcPr>
            <w:tcW w:w="750" w:type="pct"/>
            <w:vMerge w:val="restar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59(3(b) - All regions where the GDP per capita for the 2007-2013 period was lower than 75% of the EU-25 average for the reference period , but the GDP per capita of which exceed 75% of an average GDP in EU-27</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Main</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75%</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75%</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0.00</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0.00 (P4)</w:t>
            </w:r>
          </w:p>
        </w:tc>
      </w:tr>
      <w:tr w:rsidR="00C21266" w:rsidRPr="005C3B55">
        <w:tc>
          <w:tcPr>
            <w:tcW w:w="0" w:type="auto"/>
            <w:vMerge/>
            <w:tcBorders>
              <w:top w:val="single" w:sz="8" w:space="0" w:color="000000"/>
              <w:left w:val="single" w:sz="8" w:space="0" w:color="000000"/>
              <w:bottom w:val="single" w:sz="8" w:space="0" w:color="000000"/>
              <w:right w:val="single" w:sz="8" w:space="0" w:color="000000"/>
            </w:tcBorders>
            <w:vAlign w:val="center"/>
          </w:tcPr>
          <w:p w:rsidR="00C21266" w:rsidRPr="005C3B55" w:rsidRDefault="00C21266">
            <w:pPr>
              <w:spacing w:after="0"/>
              <w:rPr>
                <w:rFonts w:eastAsia="Calibri"/>
                <w:sz w:val="16"/>
                <w:lang w:eastAsia="en-GB" w:bidi="en-GB"/>
              </w:rPr>
            </w:pP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59(4)(b) - Operations contributing to attaining the environmental objectives and mitigating of and adjustment to the climate change on the basis of Article 17, Points (a) and (b) of Article 21(1), Articles 28, 29, 30, 31 and 34</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75%</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75%</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0.00</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15,802,500.00 (P4)</w:t>
            </w:r>
          </w:p>
        </w:tc>
      </w:tr>
      <w:tr w:rsidR="00C21266" w:rsidRPr="005C3B55">
        <w:tc>
          <w:tcPr>
            <w:tcW w:w="750" w:type="pct"/>
            <w:gridSpan w:val="6"/>
            <w:tcBorders>
              <w:top w:val="single" w:sz="8" w:space="0" w:color="000000"/>
              <w:left w:val="single" w:sz="8" w:space="0" w:color="000000"/>
              <w:bottom w:val="single" w:sz="8" w:space="0" w:color="000000"/>
              <w:right w:val="single" w:sz="8" w:space="0" w:color="000000"/>
            </w:tcBorders>
            <w:shd w:val="clear" w:color="auto" w:fill="C0C0C0"/>
          </w:tcPr>
          <w:p w:rsidR="00C21266" w:rsidRPr="005C3B55" w:rsidRDefault="00C21266">
            <w:pPr>
              <w:spacing w:after="200"/>
              <w:jc w:val="center"/>
              <w:rPr>
                <w:rFonts w:eastAsia="Calibri"/>
                <w:sz w:val="16"/>
                <w:lang w:eastAsia="en-GB" w:bidi="en-GB"/>
              </w:rPr>
            </w:pPr>
            <w:r w:rsidRPr="005C3B55">
              <w:rPr>
                <w:sz w:val="16"/>
              </w:rPr>
              <w:t>Total</w:t>
            </w:r>
          </w:p>
        </w:tc>
        <w:tc>
          <w:tcPr>
            <w:tcW w:w="7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0.00</w:t>
            </w:r>
          </w:p>
        </w:tc>
        <w:tc>
          <w:tcPr>
            <w:tcW w:w="7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45,150,000.00</w:t>
            </w:r>
          </w:p>
        </w:tc>
      </w:tr>
    </w:tbl>
    <w:p w:rsidR="00C21266" w:rsidRPr="005C3B55" w:rsidRDefault="00C21266" w:rsidP="00C21266">
      <w:pPr>
        <w:pStyle w:val="Naslov3"/>
        <w:tabs>
          <w:tab w:val="clear" w:pos="765"/>
        </w:tabs>
        <w:ind w:left="0" w:firstLine="0"/>
        <w:jc w:val="left"/>
        <w:rPr>
          <w:b/>
          <w:lang w:val="en-GB" w:eastAsia="en-GB" w:bidi="en-GB"/>
        </w:rPr>
      </w:pPr>
      <w:r w:rsidRPr="005C3B55">
        <w:rPr>
          <w:lang w:val="en-GB"/>
        </w:rPr>
        <w:br w:type="page"/>
      </w:r>
      <w:bookmarkStart w:id="151" w:name="_Toc416192609"/>
      <w:r w:rsidRPr="005C3B55">
        <w:rPr>
          <w:lang w:val="en-GB"/>
        </w:rPr>
        <w:t>M13 – Payments to areas facing natural or other specific constraints (Article 31)</w:t>
      </w:r>
      <w:bookmarkEnd w:id="151"/>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1955"/>
        <w:gridCol w:w="1955"/>
        <w:gridCol w:w="1955"/>
        <w:gridCol w:w="1955"/>
        <w:gridCol w:w="1955"/>
        <w:gridCol w:w="1955"/>
        <w:gridCol w:w="1243"/>
        <w:gridCol w:w="1283"/>
      </w:tblGrid>
      <w:tr w:rsidR="00C21266" w:rsidRPr="005C3B55">
        <w:tc>
          <w:tcPr>
            <w:tcW w:w="750" w:type="pct"/>
            <w:gridSpan w:val="2"/>
            <w:tcBorders>
              <w:top w:val="single" w:sz="8" w:space="0" w:color="000000"/>
              <w:left w:val="single" w:sz="8" w:space="0" w:color="000000"/>
              <w:bottom w:val="single" w:sz="8" w:space="0" w:color="000000"/>
              <w:right w:val="single" w:sz="8" w:space="0" w:color="000000"/>
            </w:tcBorders>
            <w:shd w:val="clear" w:color="auto" w:fill="C0C0C0"/>
          </w:tcPr>
          <w:p w:rsidR="00C21266" w:rsidRPr="005C3B55" w:rsidRDefault="00C21266">
            <w:pPr>
              <w:spacing w:after="200"/>
              <w:jc w:val="center"/>
              <w:rPr>
                <w:rFonts w:eastAsia="Calibri"/>
                <w:b/>
                <w:sz w:val="20"/>
                <w:lang w:eastAsia="en-GB" w:bidi="en-GB"/>
              </w:rPr>
            </w:pPr>
            <w:r w:rsidRPr="005C3B55">
              <w:rPr>
                <w:b/>
                <w:sz w:val="20"/>
              </w:rPr>
              <w:t>Types of regions and additional allocated funds</w:t>
            </w:r>
          </w:p>
        </w:tc>
        <w:tc>
          <w:tcPr>
            <w:tcW w:w="7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Adequate EAFRD contribution rate for the 2014-2020 period (%)</w:t>
            </w:r>
          </w:p>
        </w:tc>
        <w:tc>
          <w:tcPr>
            <w:tcW w:w="7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Adequate EAFRD contribution rate as per Article 59(4)(g) for the 2014-2020 period (%)</w:t>
            </w:r>
          </w:p>
        </w:tc>
        <w:tc>
          <w:tcPr>
            <w:tcW w:w="7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Rate used for financial instruments under the authority of the management authority for the 2014-2020 period (%)</w:t>
            </w:r>
          </w:p>
        </w:tc>
        <w:tc>
          <w:tcPr>
            <w:tcW w:w="7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Rate used for the financial instrument under the authority of the management authority as per Article 59(4)(g) for the 2014-2020 period (%)</w:t>
            </w:r>
          </w:p>
        </w:tc>
        <w:tc>
          <w:tcPr>
            <w:tcW w:w="7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Framework EAFRD amount contributed to the financial instruments for the 2014-2020 period (EUR)</w:t>
            </w:r>
          </w:p>
        </w:tc>
        <w:tc>
          <w:tcPr>
            <w:tcW w:w="7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Total planned Union contribution in the 2014–2020 period (EUR)</w:t>
            </w:r>
          </w:p>
        </w:tc>
      </w:tr>
      <w:tr w:rsidR="00C21266" w:rsidRPr="005C3B55">
        <w:tc>
          <w:tcPr>
            <w:tcW w:w="750" w:type="pct"/>
            <w:vMerge w:val="restar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59(s)(a) - Under-developed regions and the most remote regions and the regions on the small Aegean islands under the Regulation EEC) No 2019/93</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Main</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75%</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75%</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0.00</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0.00 (P4)</w:t>
            </w:r>
          </w:p>
        </w:tc>
      </w:tr>
      <w:tr w:rsidR="00C21266" w:rsidRPr="005C3B55">
        <w:tc>
          <w:tcPr>
            <w:tcW w:w="0" w:type="auto"/>
            <w:vMerge/>
            <w:tcBorders>
              <w:top w:val="single" w:sz="8" w:space="0" w:color="000000"/>
              <w:left w:val="single" w:sz="8" w:space="0" w:color="000000"/>
              <w:bottom w:val="single" w:sz="8" w:space="0" w:color="000000"/>
              <w:right w:val="single" w:sz="8" w:space="0" w:color="000000"/>
            </w:tcBorders>
            <w:vAlign w:val="center"/>
          </w:tcPr>
          <w:p w:rsidR="00C21266" w:rsidRPr="005C3B55" w:rsidRDefault="00C21266">
            <w:pPr>
              <w:spacing w:after="0"/>
              <w:rPr>
                <w:rFonts w:eastAsia="Calibri"/>
                <w:sz w:val="16"/>
                <w:lang w:eastAsia="en-GB" w:bidi="en-GB"/>
              </w:rPr>
            </w:pP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59(4)(b) - Operations contributing to attaining the environmental objectives and mitigating of and adjustment to the climate change on the basis of Article 17, Points (a) and (b) of Article 21(1), Articles 28, 29, 30, 31 and 34</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75%</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75%</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0.00</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139,802,500.01 (P4)</w:t>
            </w:r>
          </w:p>
        </w:tc>
      </w:tr>
      <w:tr w:rsidR="00C21266" w:rsidRPr="005C3B55">
        <w:tc>
          <w:tcPr>
            <w:tcW w:w="750" w:type="pct"/>
            <w:vMerge w:val="restar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59(3(b) - All regions where the GDP per capita for the 2007-2013 period was lower than 75% of the EU-25 average for the reference period , but the GDP per capita of which exceed 75% of an average GDP in EU-27</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Main</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75%</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75%</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0.00</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0.00 (P4)</w:t>
            </w:r>
          </w:p>
        </w:tc>
      </w:tr>
      <w:tr w:rsidR="00C21266" w:rsidRPr="005C3B55">
        <w:tc>
          <w:tcPr>
            <w:tcW w:w="0" w:type="auto"/>
            <w:vMerge/>
            <w:tcBorders>
              <w:top w:val="single" w:sz="8" w:space="0" w:color="000000"/>
              <w:left w:val="single" w:sz="8" w:space="0" w:color="000000"/>
              <w:bottom w:val="single" w:sz="8" w:space="0" w:color="000000"/>
              <w:right w:val="single" w:sz="8" w:space="0" w:color="000000"/>
            </w:tcBorders>
            <w:vAlign w:val="center"/>
          </w:tcPr>
          <w:p w:rsidR="00C21266" w:rsidRPr="005C3B55" w:rsidRDefault="00C21266">
            <w:pPr>
              <w:spacing w:after="0"/>
              <w:rPr>
                <w:rFonts w:eastAsia="Calibri"/>
                <w:sz w:val="16"/>
                <w:lang w:eastAsia="en-GB" w:bidi="en-GB"/>
              </w:rPr>
            </w:pP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59(4)(b) - Operations contributing to attaining the environmental objectives and mitigating of and adjustment to the climate change on the basis of Article 17, Points (a) and (b) of Article 21(1), Articles 28, 29, 30, 31 and 34</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75%</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75%</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0.00</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59,647,499.99 (P4)</w:t>
            </w:r>
          </w:p>
        </w:tc>
      </w:tr>
      <w:tr w:rsidR="00C21266" w:rsidRPr="005C3B55">
        <w:tc>
          <w:tcPr>
            <w:tcW w:w="750" w:type="pct"/>
            <w:gridSpan w:val="6"/>
            <w:tcBorders>
              <w:top w:val="single" w:sz="8" w:space="0" w:color="000000"/>
              <w:left w:val="single" w:sz="8" w:space="0" w:color="000000"/>
              <w:bottom w:val="single" w:sz="8" w:space="0" w:color="000000"/>
              <w:right w:val="single" w:sz="8" w:space="0" w:color="000000"/>
            </w:tcBorders>
            <w:shd w:val="clear" w:color="auto" w:fill="C0C0C0"/>
          </w:tcPr>
          <w:p w:rsidR="00C21266" w:rsidRPr="005C3B55" w:rsidRDefault="00C21266">
            <w:pPr>
              <w:spacing w:after="200"/>
              <w:jc w:val="center"/>
              <w:rPr>
                <w:rFonts w:eastAsia="Calibri"/>
                <w:sz w:val="16"/>
                <w:lang w:eastAsia="en-GB" w:bidi="en-GB"/>
              </w:rPr>
            </w:pPr>
            <w:r w:rsidRPr="005C3B55">
              <w:rPr>
                <w:sz w:val="16"/>
              </w:rPr>
              <w:t>Total</w:t>
            </w:r>
          </w:p>
        </w:tc>
        <w:tc>
          <w:tcPr>
            <w:tcW w:w="7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0.00</w:t>
            </w:r>
          </w:p>
        </w:tc>
        <w:tc>
          <w:tcPr>
            <w:tcW w:w="7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199,450,000.00</w:t>
            </w:r>
          </w:p>
        </w:tc>
      </w:tr>
    </w:tbl>
    <w:p w:rsidR="00C21266" w:rsidRPr="005C3B55" w:rsidRDefault="00C21266" w:rsidP="00C21266">
      <w:pPr>
        <w:pStyle w:val="Naslov3"/>
        <w:tabs>
          <w:tab w:val="clear" w:pos="765"/>
        </w:tabs>
        <w:ind w:left="0" w:firstLine="0"/>
        <w:jc w:val="left"/>
        <w:rPr>
          <w:b/>
          <w:lang w:val="en-GB" w:eastAsia="en-GB" w:bidi="en-GB"/>
        </w:rPr>
      </w:pPr>
      <w:r w:rsidRPr="005C3B55">
        <w:rPr>
          <w:lang w:val="en-GB"/>
        </w:rPr>
        <w:br w:type="page"/>
      </w:r>
      <w:bookmarkStart w:id="152" w:name="_Toc416192610"/>
      <w:r w:rsidRPr="005C3B55">
        <w:rPr>
          <w:lang w:val="en-GB"/>
        </w:rPr>
        <w:t>M14 – Animal welfare (Article 33)</w:t>
      </w:r>
      <w:bookmarkEnd w:id="152"/>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1955"/>
        <w:gridCol w:w="1955"/>
        <w:gridCol w:w="1955"/>
        <w:gridCol w:w="1955"/>
        <w:gridCol w:w="1955"/>
        <w:gridCol w:w="1955"/>
        <w:gridCol w:w="1243"/>
        <w:gridCol w:w="1283"/>
      </w:tblGrid>
      <w:tr w:rsidR="00C21266" w:rsidRPr="005C3B55">
        <w:tc>
          <w:tcPr>
            <w:tcW w:w="750" w:type="pct"/>
            <w:gridSpan w:val="2"/>
            <w:tcBorders>
              <w:top w:val="single" w:sz="8" w:space="0" w:color="000000"/>
              <w:left w:val="single" w:sz="8" w:space="0" w:color="000000"/>
              <w:bottom w:val="single" w:sz="8" w:space="0" w:color="000000"/>
              <w:right w:val="single" w:sz="8" w:space="0" w:color="000000"/>
            </w:tcBorders>
            <w:shd w:val="clear" w:color="auto" w:fill="C0C0C0"/>
          </w:tcPr>
          <w:p w:rsidR="00C21266" w:rsidRPr="005C3B55" w:rsidRDefault="00C21266">
            <w:pPr>
              <w:spacing w:after="200"/>
              <w:jc w:val="center"/>
              <w:rPr>
                <w:rFonts w:eastAsia="Calibri"/>
                <w:b/>
                <w:sz w:val="20"/>
                <w:lang w:eastAsia="en-GB" w:bidi="en-GB"/>
              </w:rPr>
            </w:pPr>
            <w:r w:rsidRPr="005C3B55">
              <w:rPr>
                <w:b/>
                <w:sz w:val="20"/>
              </w:rPr>
              <w:t>Types of regions and additional allocated funds</w:t>
            </w:r>
          </w:p>
        </w:tc>
        <w:tc>
          <w:tcPr>
            <w:tcW w:w="7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Adequate EAFRD contribution rate for the 2014-2020 period (%)</w:t>
            </w:r>
          </w:p>
        </w:tc>
        <w:tc>
          <w:tcPr>
            <w:tcW w:w="7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Adequate EAFRD contribution rate as per Article 59(4)(g) for the 2014-2020 period (%)</w:t>
            </w:r>
          </w:p>
        </w:tc>
        <w:tc>
          <w:tcPr>
            <w:tcW w:w="7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Rate used for financial instruments under the authority of the management authority for the 2014-2020 period (%)</w:t>
            </w:r>
          </w:p>
        </w:tc>
        <w:tc>
          <w:tcPr>
            <w:tcW w:w="7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Rate used for the financial instrument under the authority of the management authority as per Article 59(4)(g) for the 2014-2020 period (%)</w:t>
            </w:r>
          </w:p>
        </w:tc>
        <w:tc>
          <w:tcPr>
            <w:tcW w:w="7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Framework EAFRD amount contributed to the financial instruments for the 2014-2020 period (EUR)</w:t>
            </w:r>
          </w:p>
        </w:tc>
        <w:tc>
          <w:tcPr>
            <w:tcW w:w="7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Total planned Union contribution in the 2014–2020 period (EUR)</w:t>
            </w:r>
          </w:p>
        </w:tc>
      </w:tr>
      <w:tr w:rsidR="00C21266" w:rsidRPr="005C3B55">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59(s)(a) - Under-developed regions and the most remote regions and the regions on the small Aegean islands under the Regulation EEC) No 2019/93</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Main</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75%</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75%</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0.00</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11,662,200.00 (3A)</w:t>
            </w:r>
          </w:p>
        </w:tc>
      </w:tr>
      <w:tr w:rsidR="00C21266" w:rsidRPr="005C3B55">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59(3(b) - All regions where the GDP per capita for the 2007-2013 period was lower than 75% of the EU-25 average for the reference period , but the GDP per capita of which exceed 75% of an average GDP in EU-27</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Main</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75%</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75%</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0.00</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613,800.00 (3A)</w:t>
            </w:r>
          </w:p>
        </w:tc>
      </w:tr>
      <w:tr w:rsidR="00C21266" w:rsidRPr="005C3B55">
        <w:tc>
          <w:tcPr>
            <w:tcW w:w="750" w:type="pct"/>
            <w:gridSpan w:val="6"/>
            <w:tcBorders>
              <w:top w:val="single" w:sz="8" w:space="0" w:color="000000"/>
              <w:left w:val="single" w:sz="8" w:space="0" w:color="000000"/>
              <w:bottom w:val="single" w:sz="8" w:space="0" w:color="000000"/>
              <w:right w:val="single" w:sz="8" w:space="0" w:color="000000"/>
            </w:tcBorders>
            <w:shd w:val="clear" w:color="auto" w:fill="C0C0C0"/>
          </w:tcPr>
          <w:p w:rsidR="00C21266" w:rsidRPr="005C3B55" w:rsidRDefault="00C21266">
            <w:pPr>
              <w:spacing w:after="200"/>
              <w:jc w:val="center"/>
              <w:rPr>
                <w:rFonts w:eastAsia="Calibri"/>
                <w:sz w:val="16"/>
                <w:lang w:eastAsia="en-GB" w:bidi="en-GB"/>
              </w:rPr>
            </w:pPr>
            <w:r w:rsidRPr="005C3B55">
              <w:rPr>
                <w:sz w:val="16"/>
              </w:rPr>
              <w:t>Total</w:t>
            </w:r>
          </w:p>
        </w:tc>
        <w:tc>
          <w:tcPr>
            <w:tcW w:w="7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0.00</w:t>
            </w:r>
          </w:p>
        </w:tc>
        <w:tc>
          <w:tcPr>
            <w:tcW w:w="7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12,276,000.00</w:t>
            </w:r>
          </w:p>
        </w:tc>
      </w:tr>
    </w:tbl>
    <w:p w:rsidR="00C21266" w:rsidRPr="005C3B55" w:rsidRDefault="00C21266" w:rsidP="00C21266">
      <w:pPr>
        <w:pStyle w:val="Naslov3"/>
        <w:tabs>
          <w:tab w:val="clear" w:pos="765"/>
        </w:tabs>
        <w:ind w:left="0" w:firstLine="0"/>
        <w:jc w:val="left"/>
        <w:rPr>
          <w:b/>
          <w:lang w:val="en-GB" w:eastAsia="en-GB" w:bidi="en-GB"/>
        </w:rPr>
      </w:pPr>
      <w:r w:rsidRPr="005C3B55">
        <w:rPr>
          <w:lang w:val="en-GB"/>
        </w:rPr>
        <w:br w:type="page"/>
      </w:r>
      <w:bookmarkStart w:id="153" w:name="_Toc416192611"/>
      <w:r w:rsidRPr="005C3B55">
        <w:rPr>
          <w:lang w:val="en-GB"/>
        </w:rPr>
        <w:t>M16 – Cooperation (Article 35)</w:t>
      </w:r>
      <w:bookmarkEnd w:id="153"/>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1955"/>
        <w:gridCol w:w="1955"/>
        <w:gridCol w:w="1955"/>
        <w:gridCol w:w="1955"/>
        <w:gridCol w:w="1955"/>
        <w:gridCol w:w="1955"/>
        <w:gridCol w:w="1243"/>
        <w:gridCol w:w="1283"/>
      </w:tblGrid>
      <w:tr w:rsidR="00C21266" w:rsidRPr="005C3B55">
        <w:tc>
          <w:tcPr>
            <w:tcW w:w="750" w:type="pct"/>
            <w:gridSpan w:val="2"/>
            <w:tcBorders>
              <w:top w:val="single" w:sz="8" w:space="0" w:color="000000"/>
              <w:left w:val="single" w:sz="8" w:space="0" w:color="000000"/>
              <w:bottom w:val="single" w:sz="8" w:space="0" w:color="000000"/>
              <w:right w:val="single" w:sz="8" w:space="0" w:color="000000"/>
            </w:tcBorders>
            <w:shd w:val="clear" w:color="auto" w:fill="C0C0C0"/>
          </w:tcPr>
          <w:p w:rsidR="00C21266" w:rsidRPr="005C3B55" w:rsidRDefault="00C21266">
            <w:pPr>
              <w:spacing w:after="200"/>
              <w:jc w:val="center"/>
              <w:rPr>
                <w:rFonts w:eastAsia="Calibri"/>
                <w:b/>
                <w:sz w:val="20"/>
                <w:lang w:eastAsia="en-GB" w:bidi="en-GB"/>
              </w:rPr>
            </w:pPr>
            <w:r w:rsidRPr="005C3B55">
              <w:rPr>
                <w:b/>
                <w:sz w:val="20"/>
              </w:rPr>
              <w:t>Types of regions and additional allocated funds</w:t>
            </w:r>
          </w:p>
        </w:tc>
        <w:tc>
          <w:tcPr>
            <w:tcW w:w="7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Adequate EAFRD contribution rate for the 2014-2020 period (%)</w:t>
            </w:r>
          </w:p>
        </w:tc>
        <w:tc>
          <w:tcPr>
            <w:tcW w:w="7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Adequate EAFRD contribution rate as per Article 59(4)(g) for the 2014-2020 period (%)</w:t>
            </w:r>
          </w:p>
        </w:tc>
        <w:tc>
          <w:tcPr>
            <w:tcW w:w="7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Rate used for financial instruments under the authority of the management authority for the 2014-2020 period (%)</w:t>
            </w:r>
          </w:p>
        </w:tc>
        <w:tc>
          <w:tcPr>
            <w:tcW w:w="7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Rate used for the financial instrument under the authority of the management authority as per Article 59(4)(g) for the 2014-2020 period (%)</w:t>
            </w:r>
          </w:p>
        </w:tc>
        <w:tc>
          <w:tcPr>
            <w:tcW w:w="7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Framework EAFRD amount contributed to the financial instruments for the 2014-2020 period (EUR)</w:t>
            </w:r>
          </w:p>
        </w:tc>
        <w:tc>
          <w:tcPr>
            <w:tcW w:w="7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Total planned Union contribution in the 2014–2020 period (EUR)</w:t>
            </w:r>
          </w:p>
        </w:tc>
      </w:tr>
      <w:tr w:rsidR="00C21266" w:rsidRPr="005C3B55">
        <w:tc>
          <w:tcPr>
            <w:tcW w:w="750" w:type="pct"/>
            <w:vMerge w:val="restar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59(s)(a) - Under-developed regions and the most remote regions and the regions on the small Aegean islands under the Regulation EEC) No 2019/93</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Main</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75%</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75%</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0.00</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jc w:val="right"/>
              <w:rPr>
                <w:rFonts w:eastAsia="Calibri"/>
                <w:sz w:val="16"/>
              </w:rPr>
            </w:pPr>
            <w:r w:rsidRPr="005C3B55">
              <w:rPr>
                <w:sz w:val="16"/>
              </w:rPr>
              <w:t>0.00 (2A)</w:t>
            </w:r>
          </w:p>
          <w:p w:rsidR="00C21266" w:rsidRPr="005C3B55" w:rsidRDefault="00C21266">
            <w:pPr>
              <w:jc w:val="right"/>
              <w:rPr>
                <w:sz w:val="16"/>
              </w:rPr>
            </w:pPr>
            <w:r w:rsidRPr="005C3B55">
              <w:rPr>
                <w:sz w:val="16"/>
              </w:rPr>
              <w:t>0.00 (3A)</w:t>
            </w:r>
          </w:p>
          <w:p w:rsidR="00C21266" w:rsidRPr="005C3B55" w:rsidRDefault="00C21266">
            <w:pPr>
              <w:jc w:val="right"/>
              <w:rPr>
                <w:sz w:val="16"/>
              </w:rPr>
            </w:pPr>
            <w:r w:rsidRPr="005C3B55">
              <w:rPr>
                <w:sz w:val="16"/>
              </w:rPr>
              <w:t>0.00 (6A)</w:t>
            </w:r>
          </w:p>
          <w:p w:rsidR="00C21266" w:rsidRPr="005C3B55" w:rsidRDefault="00C21266">
            <w:pPr>
              <w:spacing w:after="200"/>
              <w:jc w:val="right"/>
              <w:rPr>
                <w:rFonts w:eastAsia="Calibri"/>
                <w:sz w:val="16"/>
                <w:lang w:eastAsia="en-GB" w:bidi="en-GB"/>
              </w:rPr>
            </w:pPr>
            <w:r w:rsidRPr="005C3B55">
              <w:rPr>
                <w:sz w:val="16"/>
              </w:rPr>
              <w:t>0.00 (P4)</w:t>
            </w:r>
          </w:p>
        </w:tc>
      </w:tr>
      <w:tr w:rsidR="00C21266" w:rsidRPr="005C3B55">
        <w:tc>
          <w:tcPr>
            <w:tcW w:w="0" w:type="auto"/>
            <w:vMerge/>
            <w:tcBorders>
              <w:top w:val="single" w:sz="8" w:space="0" w:color="000000"/>
              <w:left w:val="single" w:sz="8" w:space="0" w:color="000000"/>
              <w:bottom w:val="single" w:sz="8" w:space="0" w:color="000000"/>
              <w:right w:val="single" w:sz="8" w:space="0" w:color="000000"/>
            </w:tcBorders>
            <w:vAlign w:val="center"/>
          </w:tcPr>
          <w:p w:rsidR="00C21266" w:rsidRPr="005C3B55" w:rsidRDefault="00C21266">
            <w:pPr>
              <w:spacing w:after="0"/>
              <w:rPr>
                <w:rFonts w:eastAsia="Calibri"/>
                <w:sz w:val="16"/>
                <w:lang w:eastAsia="en-GB" w:bidi="en-GB"/>
              </w:rPr>
            </w:pP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59(4)(a) - Measures under Articles 14, 27, 35 for the local development within the LEADER initiative under Article 32 of Regulation (EU) No. 1303/2013 and operations under Article 19(1)(a)(i)</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80%</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80%</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0.00</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jc w:val="right"/>
              <w:rPr>
                <w:rFonts w:eastAsia="Calibri"/>
                <w:sz w:val="16"/>
              </w:rPr>
            </w:pPr>
            <w:r w:rsidRPr="005C3B55">
              <w:rPr>
                <w:sz w:val="16"/>
              </w:rPr>
              <w:t>3,506,925.00 (2A)</w:t>
            </w:r>
          </w:p>
          <w:p w:rsidR="00C21266" w:rsidRPr="005C3B55" w:rsidRDefault="00C21266">
            <w:pPr>
              <w:jc w:val="right"/>
              <w:rPr>
                <w:sz w:val="16"/>
              </w:rPr>
            </w:pPr>
            <w:r w:rsidRPr="005C3B55">
              <w:rPr>
                <w:sz w:val="16"/>
              </w:rPr>
              <w:t>1,508,700.00 (3A)</w:t>
            </w:r>
          </w:p>
          <w:p w:rsidR="00C21266" w:rsidRPr="005C3B55" w:rsidRDefault="00C21266">
            <w:pPr>
              <w:jc w:val="right"/>
              <w:rPr>
                <w:sz w:val="16"/>
              </w:rPr>
            </w:pPr>
            <w:r w:rsidRPr="005C3B55">
              <w:rPr>
                <w:sz w:val="16"/>
              </w:rPr>
              <w:t>762,375.00 (6A)</w:t>
            </w:r>
          </w:p>
          <w:p w:rsidR="00C21266" w:rsidRPr="005C3B55" w:rsidRDefault="00C21266">
            <w:pPr>
              <w:spacing w:after="200"/>
              <w:jc w:val="right"/>
              <w:rPr>
                <w:rFonts w:eastAsia="Calibri"/>
                <w:sz w:val="16"/>
                <w:lang w:eastAsia="en-GB" w:bidi="en-GB"/>
              </w:rPr>
            </w:pPr>
            <w:r w:rsidRPr="005C3B55">
              <w:rPr>
                <w:sz w:val="16"/>
              </w:rPr>
              <w:t>2,247,000.00 (P4)</w:t>
            </w:r>
          </w:p>
        </w:tc>
      </w:tr>
      <w:tr w:rsidR="00C21266" w:rsidRPr="005C3B55">
        <w:tc>
          <w:tcPr>
            <w:tcW w:w="750" w:type="pct"/>
            <w:vMerge w:val="restar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59(3(b) - All regions where the GDP per capita for the 2007-2013 period was lower than 75% of the EU-25 average for the reference period , but the GDP per capita of which exceed 75% of an average GDP in EU-27</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Main</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75%</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75%</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0.00</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jc w:val="right"/>
              <w:rPr>
                <w:rFonts w:eastAsia="Calibri"/>
                <w:sz w:val="16"/>
              </w:rPr>
            </w:pPr>
            <w:r w:rsidRPr="005C3B55">
              <w:rPr>
                <w:sz w:val="16"/>
              </w:rPr>
              <w:t>0.00 (2A)</w:t>
            </w:r>
          </w:p>
          <w:p w:rsidR="00C21266" w:rsidRPr="005C3B55" w:rsidRDefault="00C21266">
            <w:pPr>
              <w:jc w:val="right"/>
              <w:rPr>
                <w:sz w:val="16"/>
              </w:rPr>
            </w:pPr>
            <w:r w:rsidRPr="005C3B55">
              <w:rPr>
                <w:sz w:val="16"/>
              </w:rPr>
              <w:t>0.00 (3A)</w:t>
            </w:r>
          </w:p>
          <w:p w:rsidR="00C21266" w:rsidRPr="005C3B55" w:rsidRDefault="00C21266">
            <w:pPr>
              <w:jc w:val="right"/>
              <w:rPr>
                <w:sz w:val="16"/>
              </w:rPr>
            </w:pPr>
            <w:r w:rsidRPr="005C3B55">
              <w:rPr>
                <w:sz w:val="16"/>
              </w:rPr>
              <w:t>0.00 (6A)</w:t>
            </w:r>
          </w:p>
          <w:p w:rsidR="00C21266" w:rsidRPr="005C3B55" w:rsidRDefault="00C21266">
            <w:pPr>
              <w:spacing w:after="200"/>
              <w:jc w:val="right"/>
              <w:rPr>
                <w:rFonts w:eastAsia="Calibri"/>
                <w:sz w:val="16"/>
                <w:lang w:eastAsia="en-GB" w:bidi="en-GB"/>
              </w:rPr>
            </w:pPr>
            <w:r w:rsidRPr="005C3B55">
              <w:rPr>
                <w:sz w:val="16"/>
              </w:rPr>
              <w:t>0.00 (P4)</w:t>
            </w:r>
          </w:p>
        </w:tc>
      </w:tr>
      <w:tr w:rsidR="00C21266" w:rsidRPr="005C3B55">
        <w:tc>
          <w:tcPr>
            <w:tcW w:w="0" w:type="auto"/>
            <w:vMerge/>
            <w:tcBorders>
              <w:top w:val="single" w:sz="8" w:space="0" w:color="000000"/>
              <w:left w:val="single" w:sz="8" w:space="0" w:color="000000"/>
              <w:bottom w:val="single" w:sz="8" w:space="0" w:color="000000"/>
              <w:right w:val="single" w:sz="8" w:space="0" w:color="000000"/>
            </w:tcBorders>
            <w:vAlign w:val="center"/>
          </w:tcPr>
          <w:p w:rsidR="00C21266" w:rsidRPr="005C3B55" w:rsidRDefault="00C21266">
            <w:pPr>
              <w:spacing w:after="0"/>
              <w:rPr>
                <w:rFonts w:eastAsia="Calibri"/>
                <w:sz w:val="16"/>
                <w:lang w:eastAsia="en-GB" w:bidi="en-GB"/>
              </w:rPr>
            </w:pP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59(4)(a) - Measures under Articles 14, 27, 35 for the local development within the LEADER initiative under Article 32 of Regulation (EU) No. 1303/2013 and operations under Article 19(1)(a)(i)</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80%</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80%</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0.00</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jc w:val="right"/>
              <w:rPr>
                <w:rFonts w:eastAsia="Calibri"/>
                <w:sz w:val="16"/>
              </w:rPr>
            </w:pPr>
            <w:r w:rsidRPr="005C3B55">
              <w:rPr>
                <w:sz w:val="16"/>
              </w:rPr>
              <w:t>3,506,925.00 (2A)</w:t>
            </w:r>
          </w:p>
          <w:p w:rsidR="00C21266" w:rsidRPr="005C3B55" w:rsidRDefault="00C21266">
            <w:pPr>
              <w:jc w:val="right"/>
              <w:rPr>
                <w:sz w:val="16"/>
              </w:rPr>
            </w:pPr>
            <w:r w:rsidRPr="005C3B55">
              <w:rPr>
                <w:sz w:val="16"/>
              </w:rPr>
              <w:t>1,508,700.00 (3A)</w:t>
            </w:r>
          </w:p>
          <w:p w:rsidR="00C21266" w:rsidRPr="005C3B55" w:rsidRDefault="00C21266">
            <w:pPr>
              <w:jc w:val="right"/>
              <w:rPr>
                <w:sz w:val="16"/>
              </w:rPr>
            </w:pPr>
            <w:r w:rsidRPr="005C3B55">
              <w:rPr>
                <w:sz w:val="16"/>
              </w:rPr>
              <w:t>762,375.00 (6A)</w:t>
            </w:r>
          </w:p>
          <w:p w:rsidR="00C21266" w:rsidRPr="005C3B55" w:rsidRDefault="00C21266">
            <w:pPr>
              <w:spacing w:after="200"/>
              <w:jc w:val="right"/>
              <w:rPr>
                <w:rFonts w:eastAsia="Calibri"/>
                <w:sz w:val="16"/>
                <w:lang w:eastAsia="en-GB" w:bidi="en-GB"/>
              </w:rPr>
            </w:pPr>
            <w:r w:rsidRPr="005C3B55">
              <w:rPr>
                <w:sz w:val="16"/>
              </w:rPr>
              <w:t>2,247,000.00 (P4)</w:t>
            </w:r>
          </w:p>
        </w:tc>
      </w:tr>
      <w:tr w:rsidR="00C21266" w:rsidRPr="005C3B55">
        <w:tc>
          <w:tcPr>
            <w:tcW w:w="750" w:type="pct"/>
            <w:gridSpan w:val="6"/>
            <w:tcBorders>
              <w:top w:val="single" w:sz="8" w:space="0" w:color="000000"/>
              <w:left w:val="single" w:sz="8" w:space="0" w:color="000000"/>
              <w:bottom w:val="single" w:sz="8" w:space="0" w:color="000000"/>
              <w:right w:val="single" w:sz="8" w:space="0" w:color="000000"/>
            </w:tcBorders>
            <w:shd w:val="clear" w:color="auto" w:fill="C0C0C0"/>
          </w:tcPr>
          <w:p w:rsidR="00C21266" w:rsidRPr="005C3B55" w:rsidRDefault="00C21266">
            <w:pPr>
              <w:spacing w:after="200"/>
              <w:jc w:val="center"/>
              <w:rPr>
                <w:rFonts w:eastAsia="Calibri"/>
                <w:sz w:val="16"/>
                <w:lang w:eastAsia="en-GB" w:bidi="en-GB"/>
              </w:rPr>
            </w:pPr>
            <w:r w:rsidRPr="005C3B55">
              <w:rPr>
                <w:sz w:val="16"/>
              </w:rPr>
              <w:t>Total</w:t>
            </w:r>
          </w:p>
        </w:tc>
        <w:tc>
          <w:tcPr>
            <w:tcW w:w="7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0.00</w:t>
            </w:r>
          </w:p>
        </w:tc>
        <w:tc>
          <w:tcPr>
            <w:tcW w:w="7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16,050,000.00</w:t>
            </w:r>
          </w:p>
        </w:tc>
      </w:tr>
    </w:tbl>
    <w:p w:rsidR="00C21266" w:rsidRPr="005C3B55" w:rsidRDefault="00C21266" w:rsidP="00C21266">
      <w:pPr>
        <w:pStyle w:val="Naslov3"/>
        <w:tabs>
          <w:tab w:val="clear" w:pos="765"/>
        </w:tabs>
        <w:ind w:left="0" w:firstLine="0"/>
        <w:jc w:val="left"/>
        <w:rPr>
          <w:b/>
          <w:lang w:val="en-GB" w:eastAsia="en-GB" w:bidi="en-GB"/>
        </w:rPr>
      </w:pPr>
      <w:r w:rsidRPr="005C3B55">
        <w:rPr>
          <w:lang w:val="en-GB"/>
        </w:rPr>
        <w:br w:type="page"/>
      </w:r>
      <w:bookmarkStart w:id="154" w:name="_Toc416192612"/>
      <w:r w:rsidRPr="005C3B55">
        <w:rPr>
          <w:lang w:val="en-GB"/>
        </w:rPr>
        <w:t>M19 – Support for LEADER local development (CLLD – community-led local development) (Article 35 of Regulation (EU) No 1303/2013)</w:t>
      </w:r>
      <w:bookmarkEnd w:id="154"/>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1955"/>
        <w:gridCol w:w="1955"/>
        <w:gridCol w:w="1955"/>
        <w:gridCol w:w="1955"/>
        <w:gridCol w:w="1955"/>
        <w:gridCol w:w="1955"/>
        <w:gridCol w:w="1243"/>
        <w:gridCol w:w="1283"/>
      </w:tblGrid>
      <w:tr w:rsidR="00C21266" w:rsidRPr="005C3B55">
        <w:tc>
          <w:tcPr>
            <w:tcW w:w="750" w:type="pct"/>
            <w:gridSpan w:val="2"/>
            <w:tcBorders>
              <w:top w:val="single" w:sz="8" w:space="0" w:color="000000"/>
              <w:left w:val="single" w:sz="8" w:space="0" w:color="000000"/>
              <w:bottom w:val="single" w:sz="8" w:space="0" w:color="000000"/>
              <w:right w:val="single" w:sz="8" w:space="0" w:color="000000"/>
            </w:tcBorders>
            <w:shd w:val="clear" w:color="auto" w:fill="C0C0C0"/>
          </w:tcPr>
          <w:p w:rsidR="00C21266" w:rsidRPr="005C3B55" w:rsidRDefault="00C21266">
            <w:pPr>
              <w:spacing w:after="200"/>
              <w:jc w:val="center"/>
              <w:rPr>
                <w:rFonts w:eastAsia="Calibri"/>
                <w:b/>
                <w:sz w:val="20"/>
                <w:lang w:eastAsia="en-GB" w:bidi="en-GB"/>
              </w:rPr>
            </w:pPr>
            <w:r w:rsidRPr="005C3B55">
              <w:rPr>
                <w:b/>
                <w:sz w:val="20"/>
              </w:rPr>
              <w:t>Types of regions and additional allocated funds</w:t>
            </w:r>
          </w:p>
        </w:tc>
        <w:tc>
          <w:tcPr>
            <w:tcW w:w="7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Adequate EAFRD contribution rate for the 2014-2020 period (%)</w:t>
            </w:r>
          </w:p>
        </w:tc>
        <w:tc>
          <w:tcPr>
            <w:tcW w:w="7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Adequate EAFRD contribution rate as per Article 59(4)(g) for the 2014-2020 period (%)</w:t>
            </w:r>
          </w:p>
        </w:tc>
        <w:tc>
          <w:tcPr>
            <w:tcW w:w="7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Rate used for financial instruments under the authority of the management authority for the 2014-2020 period (%)</w:t>
            </w:r>
          </w:p>
        </w:tc>
        <w:tc>
          <w:tcPr>
            <w:tcW w:w="7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Rate used for the financial instrument under the authority of the management authority as per Article 59(4)(g) for the 2014-2020 period (%)</w:t>
            </w:r>
          </w:p>
        </w:tc>
        <w:tc>
          <w:tcPr>
            <w:tcW w:w="7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Framework EAFRD amount contributed to the financial instruments for the 2014-2020 period (EUR)</w:t>
            </w:r>
          </w:p>
        </w:tc>
        <w:tc>
          <w:tcPr>
            <w:tcW w:w="7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Total planned Union contribution in the 2014–2020 period (EUR)</w:t>
            </w:r>
          </w:p>
        </w:tc>
      </w:tr>
      <w:tr w:rsidR="00C21266" w:rsidRPr="005C3B55">
        <w:tc>
          <w:tcPr>
            <w:tcW w:w="750" w:type="pct"/>
            <w:vMerge w:val="restar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59(s)(a) - Under-developed regions and the most remote regions and the regions on the small Aegean islands under the Regulation EEC) No 2019/93</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Main</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75%</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75%</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0.00</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0.00 (6B)</w:t>
            </w:r>
          </w:p>
        </w:tc>
      </w:tr>
      <w:tr w:rsidR="00C21266" w:rsidRPr="005C3B55">
        <w:tc>
          <w:tcPr>
            <w:tcW w:w="0" w:type="auto"/>
            <w:vMerge/>
            <w:tcBorders>
              <w:top w:val="single" w:sz="8" w:space="0" w:color="000000"/>
              <w:left w:val="single" w:sz="8" w:space="0" w:color="000000"/>
              <w:bottom w:val="single" w:sz="8" w:space="0" w:color="000000"/>
              <w:right w:val="single" w:sz="8" w:space="0" w:color="000000"/>
            </w:tcBorders>
            <w:vAlign w:val="center"/>
          </w:tcPr>
          <w:p w:rsidR="00C21266" w:rsidRPr="005C3B55" w:rsidRDefault="00C21266">
            <w:pPr>
              <w:spacing w:after="0"/>
              <w:rPr>
                <w:rFonts w:eastAsia="Calibri"/>
                <w:sz w:val="16"/>
                <w:lang w:eastAsia="en-GB" w:bidi="en-GB"/>
              </w:rPr>
            </w:pP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59(4)(a) - Measures under Articles 14, 27, 35 for the local development within the LEADER initiative under Article 32 of Regulation (EU) No. 1303/2013 and operations under Article 19(1)(a)(i)</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80%</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80%</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0.00</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25,135,494.60 (6B)</w:t>
            </w:r>
          </w:p>
        </w:tc>
      </w:tr>
      <w:tr w:rsidR="00C21266" w:rsidRPr="005C3B55">
        <w:tc>
          <w:tcPr>
            <w:tcW w:w="750" w:type="pct"/>
            <w:vMerge w:val="restar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59(3(b) - All regions where the GDP per capita for the 2007-2013 period was lower than 75% of the EU-25 average for the reference period , but the GDP per capita of which exceed 75% of an average GDP in EU-27</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Main</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75%</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75%</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0.00</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0.00 (6B)</w:t>
            </w:r>
          </w:p>
        </w:tc>
      </w:tr>
      <w:tr w:rsidR="00C21266" w:rsidRPr="005C3B55">
        <w:tc>
          <w:tcPr>
            <w:tcW w:w="0" w:type="auto"/>
            <w:vMerge/>
            <w:tcBorders>
              <w:top w:val="single" w:sz="8" w:space="0" w:color="000000"/>
              <w:left w:val="single" w:sz="8" w:space="0" w:color="000000"/>
              <w:bottom w:val="single" w:sz="8" w:space="0" w:color="000000"/>
              <w:right w:val="single" w:sz="8" w:space="0" w:color="000000"/>
            </w:tcBorders>
            <w:vAlign w:val="center"/>
          </w:tcPr>
          <w:p w:rsidR="00C21266" w:rsidRPr="005C3B55" w:rsidRDefault="00C21266">
            <w:pPr>
              <w:spacing w:after="0"/>
              <w:rPr>
                <w:rFonts w:eastAsia="Calibri"/>
                <w:sz w:val="16"/>
                <w:lang w:eastAsia="en-GB" w:bidi="en-GB"/>
              </w:rPr>
            </w:pP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59(4)(a) - Measures under Articles 14, 27, 35 for the local development within the LEADER initiative under Article 32 of Regulation (EU) No. 1303/2013 and operations under Article 19(1)(a)(i)</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80%</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80%</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0.00</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16,756,996.40 (6B)</w:t>
            </w:r>
          </w:p>
        </w:tc>
      </w:tr>
      <w:tr w:rsidR="00C21266" w:rsidRPr="005C3B55">
        <w:tc>
          <w:tcPr>
            <w:tcW w:w="750" w:type="pct"/>
            <w:gridSpan w:val="6"/>
            <w:tcBorders>
              <w:top w:val="single" w:sz="8" w:space="0" w:color="000000"/>
              <w:left w:val="single" w:sz="8" w:space="0" w:color="000000"/>
              <w:bottom w:val="single" w:sz="8" w:space="0" w:color="000000"/>
              <w:right w:val="single" w:sz="8" w:space="0" w:color="000000"/>
            </w:tcBorders>
            <w:shd w:val="clear" w:color="auto" w:fill="C0C0C0"/>
          </w:tcPr>
          <w:p w:rsidR="00C21266" w:rsidRPr="005C3B55" w:rsidRDefault="00C21266">
            <w:pPr>
              <w:spacing w:after="200"/>
              <w:jc w:val="center"/>
              <w:rPr>
                <w:rFonts w:eastAsia="Calibri"/>
                <w:sz w:val="16"/>
                <w:lang w:eastAsia="en-GB" w:bidi="en-GB"/>
              </w:rPr>
            </w:pPr>
            <w:r w:rsidRPr="005C3B55">
              <w:rPr>
                <w:sz w:val="16"/>
              </w:rPr>
              <w:t>Total</w:t>
            </w:r>
          </w:p>
        </w:tc>
        <w:tc>
          <w:tcPr>
            <w:tcW w:w="7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0.00</w:t>
            </w:r>
          </w:p>
        </w:tc>
        <w:tc>
          <w:tcPr>
            <w:tcW w:w="7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41,892,491.00</w:t>
            </w:r>
          </w:p>
        </w:tc>
      </w:tr>
    </w:tbl>
    <w:p w:rsidR="00C21266" w:rsidRPr="005C3B55" w:rsidRDefault="00C21266" w:rsidP="00C21266">
      <w:pPr>
        <w:pStyle w:val="Naslov3"/>
        <w:tabs>
          <w:tab w:val="clear" w:pos="765"/>
        </w:tabs>
        <w:ind w:left="0" w:firstLine="0"/>
        <w:jc w:val="left"/>
        <w:rPr>
          <w:b/>
          <w:lang w:val="en-GB" w:eastAsia="en-GB" w:bidi="en-GB"/>
        </w:rPr>
      </w:pPr>
      <w:r w:rsidRPr="005C3B55">
        <w:rPr>
          <w:lang w:val="en-GB"/>
        </w:rPr>
        <w:br w:type="page"/>
      </w:r>
      <w:bookmarkStart w:id="155" w:name="_Toc416192613"/>
      <w:r w:rsidRPr="005C3B55">
        <w:rPr>
          <w:lang w:val="en-GB"/>
        </w:rPr>
        <w:t>M20 – Technical assistance on the initiative of Member States (Articles 51–54)</w:t>
      </w:r>
      <w:bookmarkEnd w:id="155"/>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1955"/>
        <w:gridCol w:w="1955"/>
        <w:gridCol w:w="1955"/>
        <w:gridCol w:w="1955"/>
        <w:gridCol w:w="1955"/>
        <w:gridCol w:w="1955"/>
        <w:gridCol w:w="1243"/>
        <w:gridCol w:w="1283"/>
      </w:tblGrid>
      <w:tr w:rsidR="00C21266" w:rsidRPr="005C3B55">
        <w:tc>
          <w:tcPr>
            <w:tcW w:w="750" w:type="pct"/>
            <w:gridSpan w:val="2"/>
            <w:tcBorders>
              <w:top w:val="single" w:sz="8" w:space="0" w:color="000000"/>
              <w:left w:val="single" w:sz="8" w:space="0" w:color="000000"/>
              <w:bottom w:val="single" w:sz="8" w:space="0" w:color="000000"/>
              <w:right w:val="single" w:sz="8" w:space="0" w:color="000000"/>
            </w:tcBorders>
            <w:shd w:val="clear" w:color="auto" w:fill="C0C0C0"/>
          </w:tcPr>
          <w:p w:rsidR="00C21266" w:rsidRPr="005C3B55" w:rsidRDefault="00C21266">
            <w:pPr>
              <w:spacing w:after="200"/>
              <w:jc w:val="center"/>
              <w:rPr>
                <w:rFonts w:eastAsia="Calibri"/>
                <w:b/>
                <w:sz w:val="20"/>
                <w:lang w:eastAsia="en-GB" w:bidi="en-GB"/>
              </w:rPr>
            </w:pPr>
            <w:r w:rsidRPr="005C3B55">
              <w:rPr>
                <w:b/>
                <w:sz w:val="20"/>
              </w:rPr>
              <w:t>Types of regions and additional allocated funds</w:t>
            </w:r>
          </w:p>
        </w:tc>
        <w:tc>
          <w:tcPr>
            <w:tcW w:w="7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Adequate EAFRD contribution rate for the 2014-2020 period (%)</w:t>
            </w:r>
          </w:p>
        </w:tc>
        <w:tc>
          <w:tcPr>
            <w:tcW w:w="7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Adequate EAFRD contribution rate as per Article 59(4)(g) for the 2014-2020 period (%)</w:t>
            </w:r>
          </w:p>
        </w:tc>
        <w:tc>
          <w:tcPr>
            <w:tcW w:w="7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Rate used for financial instruments under the authority of the management authority for the 2014-2020 period (%)</w:t>
            </w:r>
          </w:p>
        </w:tc>
        <w:tc>
          <w:tcPr>
            <w:tcW w:w="7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Rate used for the financial instrument under the authority of the management authority as per Article 59(4)(g) for the 2014-2020 period (%)</w:t>
            </w:r>
          </w:p>
        </w:tc>
        <w:tc>
          <w:tcPr>
            <w:tcW w:w="7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Framework EAFRD amount contributed to the financial instruments for the 2014-2020 period (EUR)</w:t>
            </w:r>
          </w:p>
        </w:tc>
        <w:tc>
          <w:tcPr>
            <w:tcW w:w="7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Total planned Union contribution in the 2014–2020 period (EUR)</w:t>
            </w:r>
          </w:p>
        </w:tc>
      </w:tr>
      <w:tr w:rsidR="00C21266" w:rsidRPr="005C3B55">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59(s)(a) - Under-developed regions and the most remote regions and the regions on the small Aegean islands under the Regulation EEC) No 2019/93</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Main</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75%</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24,946,000.00</w:t>
            </w:r>
          </w:p>
        </w:tc>
      </w:tr>
      <w:tr w:rsidR="00C21266" w:rsidRPr="005C3B55">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59(3(b) - All regions where the GDP per capita for the 2007-2013 period was lower than 75% of the EU-25 average for the reference period , but the GDP per capita of which exceed 75% of an average GDP in EU-27</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Main</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75%</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0.00</w:t>
            </w:r>
          </w:p>
        </w:tc>
      </w:tr>
      <w:tr w:rsidR="00C21266" w:rsidRPr="005C3B55">
        <w:tc>
          <w:tcPr>
            <w:tcW w:w="750" w:type="pct"/>
            <w:gridSpan w:val="6"/>
            <w:tcBorders>
              <w:top w:val="single" w:sz="8" w:space="0" w:color="000000"/>
              <w:left w:val="single" w:sz="8" w:space="0" w:color="000000"/>
              <w:bottom w:val="single" w:sz="8" w:space="0" w:color="000000"/>
              <w:right w:val="single" w:sz="8" w:space="0" w:color="000000"/>
            </w:tcBorders>
            <w:shd w:val="clear" w:color="auto" w:fill="C0C0C0"/>
          </w:tcPr>
          <w:p w:rsidR="00C21266" w:rsidRPr="005C3B55" w:rsidRDefault="00C21266">
            <w:pPr>
              <w:spacing w:after="200"/>
              <w:jc w:val="center"/>
              <w:rPr>
                <w:rFonts w:eastAsia="Calibri"/>
                <w:sz w:val="16"/>
                <w:lang w:eastAsia="en-GB" w:bidi="en-GB"/>
              </w:rPr>
            </w:pPr>
            <w:r w:rsidRPr="005C3B55">
              <w:rPr>
                <w:sz w:val="16"/>
              </w:rPr>
              <w:t>Total</w:t>
            </w:r>
          </w:p>
        </w:tc>
        <w:tc>
          <w:tcPr>
            <w:tcW w:w="7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0.00</w:t>
            </w:r>
          </w:p>
        </w:tc>
        <w:tc>
          <w:tcPr>
            <w:tcW w:w="7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24,946,000.00</w:t>
            </w:r>
          </w:p>
        </w:tc>
      </w:tr>
    </w:tbl>
    <w:p w:rsidR="00C21266" w:rsidRPr="005C3B55" w:rsidRDefault="00C21266" w:rsidP="00C21266">
      <w:pPr>
        <w:pStyle w:val="Naslov3"/>
        <w:tabs>
          <w:tab w:val="clear" w:pos="765"/>
        </w:tabs>
        <w:ind w:left="0" w:firstLine="0"/>
        <w:jc w:val="left"/>
        <w:rPr>
          <w:b/>
          <w:lang w:val="en-GB" w:eastAsia="en-GB" w:bidi="en-GB"/>
        </w:rPr>
      </w:pPr>
      <w:r w:rsidRPr="005C3B55">
        <w:rPr>
          <w:lang w:val="en-GB"/>
        </w:rPr>
        <w:br w:type="page"/>
      </w:r>
      <w:bookmarkStart w:id="156" w:name="_Toc416192614"/>
      <w:r w:rsidRPr="005C3B55">
        <w:rPr>
          <w:lang w:val="en-GB"/>
        </w:rPr>
        <w:t>M113 – Early retirement</w:t>
      </w:r>
      <w:bookmarkEnd w:id="156"/>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1955"/>
        <w:gridCol w:w="1955"/>
        <w:gridCol w:w="1955"/>
        <w:gridCol w:w="1955"/>
        <w:gridCol w:w="1955"/>
        <w:gridCol w:w="1955"/>
        <w:gridCol w:w="1243"/>
        <w:gridCol w:w="1283"/>
      </w:tblGrid>
      <w:tr w:rsidR="00C21266" w:rsidRPr="005C3B55">
        <w:tc>
          <w:tcPr>
            <w:tcW w:w="750" w:type="pct"/>
            <w:gridSpan w:val="2"/>
            <w:tcBorders>
              <w:top w:val="single" w:sz="8" w:space="0" w:color="000000"/>
              <w:left w:val="single" w:sz="8" w:space="0" w:color="000000"/>
              <w:bottom w:val="single" w:sz="8" w:space="0" w:color="000000"/>
              <w:right w:val="single" w:sz="8" w:space="0" w:color="000000"/>
            </w:tcBorders>
            <w:shd w:val="clear" w:color="auto" w:fill="C0C0C0"/>
          </w:tcPr>
          <w:p w:rsidR="00C21266" w:rsidRPr="005C3B55" w:rsidRDefault="00C21266">
            <w:pPr>
              <w:spacing w:after="200"/>
              <w:jc w:val="center"/>
              <w:rPr>
                <w:rFonts w:eastAsia="Calibri"/>
                <w:b/>
                <w:sz w:val="20"/>
                <w:lang w:eastAsia="en-GB" w:bidi="en-GB"/>
              </w:rPr>
            </w:pPr>
            <w:r w:rsidRPr="005C3B55">
              <w:rPr>
                <w:b/>
                <w:sz w:val="20"/>
              </w:rPr>
              <w:t>Types of regions and additional allocated funds</w:t>
            </w:r>
          </w:p>
        </w:tc>
        <w:tc>
          <w:tcPr>
            <w:tcW w:w="7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Adequate EAFRD contribution rate for the 2014-2020 period (%)</w:t>
            </w:r>
          </w:p>
        </w:tc>
        <w:tc>
          <w:tcPr>
            <w:tcW w:w="7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Adequate EAFRD contribution rate as per Article 59(4)(g) for the 2014-2020 period (%)</w:t>
            </w:r>
          </w:p>
        </w:tc>
        <w:tc>
          <w:tcPr>
            <w:tcW w:w="7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Rate used for financial instruments under the authority of the management authority for the 2014-2020 period (%)</w:t>
            </w:r>
          </w:p>
        </w:tc>
        <w:tc>
          <w:tcPr>
            <w:tcW w:w="7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Rate used for the financial instrument under the authority of the management authority as per Article 59(4)(g) for the 2014-2020 period (%)</w:t>
            </w:r>
          </w:p>
        </w:tc>
        <w:tc>
          <w:tcPr>
            <w:tcW w:w="7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Framework EAFRD amount contributed to the financial instruments for the 2014-2020 period (EUR)</w:t>
            </w:r>
          </w:p>
        </w:tc>
        <w:tc>
          <w:tcPr>
            <w:tcW w:w="7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Total planned Union contribution in the 2014–2020 period (EUR)</w:t>
            </w:r>
          </w:p>
        </w:tc>
      </w:tr>
      <w:tr w:rsidR="00C21266" w:rsidRPr="005C3B55">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Transaction - Termination of the measurement</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Main</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75%</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3,971,250.00</w:t>
            </w:r>
          </w:p>
        </w:tc>
      </w:tr>
      <w:tr w:rsidR="00C21266" w:rsidRPr="005C3B55">
        <w:tc>
          <w:tcPr>
            <w:tcW w:w="750" w:type="pct"/>
            <w:gridSpan w:val="6"/>
            <w:tcBorders>
              <w:top w:val="single" w:sz="8" w:space="0" w:color="000000"/>
              <w:left w:val="single" w:sz="8" w:space="0" w:color="000000"/>
              <w:bottom w:val="single" w:sz="8" w:space="0" w:color="000000"/>
              <w:right w:val="single" w:sz="8" w:space="0" w:color="000000"/>
            </w:tcBorders>
            <w:shd w:val="clear" w:color="auto" w:fill="C0C0C0"/>
          </w:tcPr>
          <w:p w:rsidR="00C21266" w:rsidRPr="005C3B55" w:rsidRDefault="00C21266">
            <w:pPr>
              <w:spacing w:after="200"/>
              <w:jc w:val="center"/>
              <w:rPr>
                <w:rFonts w:eastAsia="Calibri"/>
                <w:sz w:val="16"/>
                <w:lang w:eastAsia="en-GB" w:bidi="en-GB"/>
              </w:rPr>
            </w:pPr>
            <w:r w:rsidRPr="005C3B55">
              <w:rPr>
                <w:sz w:val="16"/>
              </w:rPr>
              <w:t>Total</w:t>
            </w:r>
          </w:p>
        </w:tc>
        <w:tc>
          <w:tcPr>
            <w:tcW w:w="7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0.00</w:t>
            </w:r>
          </w:p>
        </w:tc>
        <w:tc>
          <w:tcPr>
            <w:tcW w:w="7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3,971,250.00</w:t>
            </w:r>
          </w:p>
        </w:tc>
      </w:tr>
    </w:tbl>
    <w:p w:rsidR="00C21266" w:rsidRPr="005C3B55" w:rsidRDefault="00C21266" w:rsidP="00C21266">
      <w:pPr>
        <w:pStyle w:val="Naslov3"/>
        <w:tabs>
          <w:tab w:val="clear" w:pos="765"/>
        </w:tabs>
        <w:ind w:left="0" w:firstLine="0"/>
        <w:jc w:val="left"/>
        <w:rPr>
          <w:b/>
          <w:lang w:val="en-GB" w:eastAsia="en-GB" w:bidi="en-GB"/>
        </w:rPr>
      </w:pPr>
      <w:r w:rsidRPr="005C3B55">
        <w:rPr>
          <w:lang w:val="en-GB"/>
        </w:rPr>
        <w:br w:type="page"/>
      </w:r>
      <w:bookmarkStart w:id="157" w:name="_Toc416192615"/>
      <w:r w:rsidRPr="005C3B55">
        <w:rPr>
          <w:lang w:val="en-GB"/>
        </w:rPr>
        <w:t>M131 – Meeting the standards based on the Community law</w:t>
      </w:r>
      <w:bookmarkEnd w:id="157"/>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1955"/>
        <w:gridCol w:w="1955"/>
        <w:gridCol w:w="1955"/>
        <w:gridCol w:w="1955"/>
        <w:gridCol w:w="1955"/>
        <w:gridCol w:w="1955"/>
        <w:gridCol w:w="1243"/>
        <w:gridCol w:w="1283"/>
      </w:tblGrid>
      <w:tr w:rsidR="00C21266" w:rsidRPr="005C3B55">
        <w:tc>
          <w:tcPr>
            <w:tcW w:w="750" w:type="pct"/>
            <w:gridSpan w:val="2"/>
            <w:tcBorders>
              <w:top w:val="single" w:sz="8" w:space="0" w:color="000000"/>
              <w:left w:val="single" w:sz="8" w:space="0" w:color="000000"/>
              <w:bottom w:val="single" w:sz="8" w:space="0" w:color="000000"/>
              <w:right w:val="single" w:sz="8" w:space="0" w:color="000000"/>
            </w:tcBorders>
            <w:shd w:val="clear" w:color="auto" w:fill="C0C0C0"/>
          </w:tcPr>
          <w:p w:rsidR="00C21266" w:rsidRPr="005C3B55" w:rsidRDefault="00C21266">
            <w:pPr>
              <w:spacing w:after="200"/>
              <w:jc w:val="center"/>
              <w:rPr>
                <w:rFonts w:eastAsia="Calibri"/>
                <w:b/>
                <w:sz w:val="20"/>
                <w:lang w:eastAsia="en-GB" w:bidi="en-GB"/>
              </w:rPr>
            </w:pPr>
            <w:r w:rsidRPr="005C3B55">
              <w:rPr>
                <w:b/>
                <w:sz w:val="20"/>
              </w:rPr>
              <w:t>Types of regions and additional allocated funds</w:t>
            </w:r>
          </w:p>
        </w:tc>
        <w:tc>
          <w:tcPr>
            <w:tcW w:w="7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Adequate EAFRD contribution rate for the 2014-2020 period (%)</w:t>
            </w:r>
          </w:p>
        </w:tc>
        <w:tc>
          <w:tcPr>
            <w:tcW w:w="7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Adequate EAFRD contribution rate as per Article 59(4)(g) for the 2014-2020 period (%)</w:t>
            </w:r>
          </w:p>
        </w:tc>
        <w:tc>
          <w:tcPr>
            <w:tcW w:w="7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Rate used for financial instruments under the authority of the management authority for the 2014-2020 period (%)</w:t>
            </w:r>
          </w:p>
        </w:tc>
        <w:tc>
          <w:tcPr>
            <w:tcW w:w="7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Rate used for the financial instrument under the authority of the management authority as per Article 59(4)(g) for the 2014-2020 period (%)</w:t>
            </w:r>
          </w:p>
        </w:tc>
        <w:tc>
          <w:tcPr>
            <w:tcW w:w="7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Framework EAFRD amount contributed to the financial instruments for the 2014-2020 period (EUR)</w:t>
            </w:r>
          </w:p>
        </w:tc>
        <w:tc>
          <w:tcPr>
            <w:tcW w:w="7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Total planned Union contribution in the 2014–2020 period (EUR)</w:t>
            </w:r>
          </w:p>
        </w:tc>
      </w:tr>
      <w:tr w:rsidR="00C21266" w:rsidRPr="005C3B55">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Transaction - Termination of the measurement</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Main</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75%</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0.00</w:t>
            </w:r>
          </w:p>
        </w:tc>
      </w:tr>
      <w:tr w:rsidR="00C21266" w:rsidRPr="005C3B55">
        <w:tc>
          <w:tcPr>
            <w:tcW w:w="750" w:type="pct"/>
            <w:gridSpan w:val="6"/>
            <w:tcBorders>
              <w:top w:val="single" w:sz="8" w:space="0" w:color="000000"/>
              <w:left w:val="single" w:sz="8" w:space="0" w:color="000000"/>
              <w:bottom w:val="single" w:sz="8" w:space="0" w:color="000000"/>
              <w:right w:val="single" w:sz="8" w:space="0" w:color="000000"/>
            </w:tcBorders>
            <w:shd w:val="clear" w:color="auto" w:fill="C0C0C0"/>
          </w:tcPr>
          <w:p w:rsidR="00C21266" w:rsidRPr="005C3B55" w:rsidRDefault="00C21266">
            <w:pPr>
              <w:spacing w:after="200"/>
              <w:jc w:val="center"/>
              <w:rPr>
                <w:rFonts w:eastAsia="Calibri"/>
                <w:sz w:val="16"/>
                <w:lang w:eastAsia="en-GB" w:bidi="en-GB"/>
              </w:rPr>
            </w:pPr>
            <w:r w:rsidRPr="005C3B55">
              <w:rPr>
                <w:sz w:val="16"/>
              </w:rPr>
              <w:t>Total</w:t>
            </w:r>
          </w:p>
        </w:tc>
        <w:tc>
          <w:tcPr>
            <w:tcW w:w="7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0.00</w:t>
            </w:r>
          </w:p>
        </w:tc>
        <w:tc>
          <w:tcPr>
            <w:tcW w:w="7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0.00</w:t>
            </w:r>
          </w:p>
        </w:tc>
      </w:tr>
    </w:tbl>
    <w:p w:rsidR="00C21266" w:rsidRPr="005C3B55" w:rsidRDefault="00C21266" w:rsidP="00C21266">
      <w:pPr>
        <w:pStyle w:val="Naslov3"/>
        <w:tabs>
          <w:tab w:val="clear" w:pos="765"/>
        </w:tabs>
        <w:ind w:left="0" w:firstLine="0"/>
        <w:jc w:val="left"/>
        <w:rPr>
          <w:b/>
          <w:lang w:val="en-GB" w:eastAsia="en-GB" w:bidi="en-GB"/>
        </w:rPr>
      </w:pPr>
      <w:r w:rsidRPr="005C3B55">
        <w:rPr>
          <w:lang w:val="en-GB"/>
        </w:rPr>
        <w:br w:type="page"/>
      </w:r>
      <w:bookmarkStart w:id="158" w:name="_Toc416192616"/>
      <w:r w:rsidRPr="005C3B55">
        <w:rPr>
          <w:lang w:val="en-GB"/>
        </w:rPr>
        <w:t>M341 – Acquisition of expert knowledge, animation and implementation</w:t>
      </w:r>
      <w:bookmarkEnd w:id="158"/>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1955"/>
        <w:gridCol w:w="1955"/>
        <w:gridCol w:w="1955"/>
        <w:gridCol w:w="1955"/>
        <w:gridCol w:w="1955"/>
        <w:gridCol w:w="1955"/>
        <w:gridCol w:w="1243"/>
        <w:gridCol w:w="1283"/>
      </w:tblGrid>
      <w:tr w:rsidR="00C21266" w:rsidRPr="005C3B55">
        <w:tc>
          <w:tcPr>
            <w:tcW w:w="750" w:type="pct"/>
            <w:gridSpan w:val="2"/>
            <w:tcBorders>
              <w:top w:val="single" w:sz="8" w:space="0" w:color="000000"/>
              <w:left w:val="single" w:sz="8" w:space="0" w:color="000000"/>
              <w:bottom w:val="single" w:sz="8" w:space="0" w:color="000000"/>
              <w:right w:val="single" w:sz="8" w:space="0" w:color="000000"/>
            </w:tcBorders>
            <w:shd w:val="clear" w:color="auto" w:fill="C0C0C0"/>
          </w:tcPr>
          <w:p w:rsidR="00C21266" w:rsidRPr="005C3B55" w:rsidRDefault="00C21266">
            <w:pPr>
              <w:spacing w:after="200"/>
              <w:jc w:val="center"/>
              <w:rPr>
                <w:rFonts w:eastAsia="Calibri"/>
                <w:b/>
                <w:sz w:val="20"/>
                <w:lang w:eastAsia="en-GB" w:bidi="en-GB"/>
              </w:rPr>
            </w:pPr>
            <w:r w:rsidRPr="005C3B55">
              <w:rPr>
                <w:b/>
                <w:sz w:val="20"/>
              </w:rPr>
              <w:t>Types of regions and additional allocated funds</w:t>
            </w:r>
          </w:p>
        </w:tc>
        <w:tc>
          <w:tcPr>
            <w:tcW w:w="7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Adequate EAFRD contribution rate for the 2014-2020 period (%)</w:t>
            </w:r>
          </w:p>
        </w:tc>
        <w:tc>
          <w:tcPr>
            <w:tcW w:w="7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Adequate EAFRD contribution rate as per Article 59(4)(g) for the 2014-2020 period (%)</w:t>
            </w:r>
          </w:p>
        </w:tc>
        <w:tc>
          <w:tcPr>
            <w:tcW w:w="7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Rate used for financial instruments under the authority of the management authority for the 2014-2020 period (%)</w:t>
            </w:r>
          </w:p>
        </w:tc>
        <w:tc>
          <w:tcPr>
            <w:tcW w:w="7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Rate used for the financial instrument under the authority of the management authority as per Article 59(4)(g) for the 2014-2020 period (%)</w:t>
            </w:r>
          </w:p>
        </w:tc>
        <w:tc>
          <w:tcPr>
            <w:tcW w:w="7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Framework EAFRD amount contributed to the financial instruments for the 2014-2020 period (EUR)</w:t>
            </w:r>
          </w:p>
        </w:tc>
        <w:tc>
          <w:tcPr>
            <w:tcW w:w="7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Total planned Union contribution in the 2014–2020 period (EUR)</w:t>
            </w:r>
          </w:p>
        </w:tc>
      </w:tr>
      <w:tr w:rsidR="00C21266" w:rsidRPr="005C3B55">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Transaction - Termination of the measurement</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Main</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75%</w:t>
            </w: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p>
        </w:tc>
        <w:tc>
          <w:tcPr>
            <w:tcW w:w="750" w:type="pct"/>
            <w:tcBorders>
              <w:top w:val="single" w:sz="8" w:space="0" w:color="000000"/>
              <w:left w:val="single" w:sz="8" w:space="0" w:color="000000"/>
              <w:bottom w:val="single" w:sz="8" w:space="0" w:color="000000"/>
              <w:right w:val="single" w:sz="8" w:space="0" w:color="000000"/>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0.00</w:t>
            </w:r>
          </w:p>
        </w:tc>
      </w:tr>
      <w:tr w:rsidR="00C21266" w:rsidRPr="005C3B55">
        <w:tc>
          <w:tcPr>
            <w:tcW w:w="750" w:type="pct"/>
            <w:gridSpan w:val="6"/>
            <w:tcBorders>
              <w:top w:val="single" w:sz="8" w:space="0" w:color="000000"/>
              <w:left w:val="single" w:sz="8" w:space="0" w:color="000000"/>
              <w:bottom w:val="single" w:sz="8" w:space="0" w:color="000000"/>
              <w:right w:val="single" w:sz="8" w:space="0" w:color="000000"/>
            </w:tcBorders>
            <w:shd w:val="clear" w:color="auto" w:fill="C0C0C0"/>
          </w:tcPr>
          <w:p w:rsidR="00C21266" w:rsidRPr="005C3B55" w:rsidRDefault="00C21266">
            <w:pPr>
              <w:spacing w:after="200"/>
              <w:jc w:val="center"/>
              <w:rPr>
                <w:rFonts w:eastAsia="Calibri"/>
                <w:sz w:val="16"/>
                <w:lang w:eastAsia="en-GB" w:bidi="en-GB"/>
              </w:rPr>
            </w:pPr>
            <w:r w:rsidRPr="005C3B55">
              <w:rPr>
                <w:sz w:val="16"/>
              </w:rPr>
              <w:t>Total</w:t>
            </w:r>
          </w:p>
        </w:tc>
        <w:tc>
          <w:tcPr>
            <w:tcW w:w="7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0.00</w:t>
            </w:r>
          </w:p>
        </w:tc>
        <w:tc>
          <w:tcPr>
            <w:tcW w:w="750" w:type="pct"/>
            <w:tcBorders>
              <w:top w:val="single" w:sz="8" w:space="0" w:color="000000"/>
              <w:left w:val="single" w:sz="8" w:space="0" w:color="000000"/>
              <w:bottom w:val="single" w:sz="8" w:space="0" w:color="000000"/>
              <w:right w:val="single" w:sz="8" w:space="0" w:color="000000"/>
            </w:tcBorders>
            <w:shd w:val="clear" w:color="auto" w:fill="C0C0C0"/>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0.00</w:t>
            </w:r>
          </w:p>
        </w:tc>
      </w:tr>
    </w:tbl>
    <w:p w:rsidR="00C21266" w:rsidRPr="005C3B55" w:rsidRDefault="00C21266" w:rsidP="00C21266">
      <w:pPr>
        <w:spacing w:after="0"/>
        <w:rPr>
          <w:b/>
        </w:rPr>
        <w:sectPr w:rsidR="00C21266" w:rsidRPr="005C3B55">
          <w:pgSz w:w="15840" w:h="12240" w:orient="landscape"/>
          <w:pgMar w:top="900" w:right="900" w:bottom="900" w:left="900" w:header="708" w:footer="708" w:gutter="0"/>
          <w:cols w:space="708"/>
        </w:sectPr>
      </w:pPr>
    </w:p>
    <w:p w:rsidR="00C21266" w:rsidRPr="005C3B55" w:rsidRDefault="00C21266" w:rsidP="00C21266">
      <w:pPr>
        <w:pStyle w:val="Naslov2"/>
        <w:tabs>
          <w:tab w:val="clear" w:pos="765"/>
        </w:tabs>
        <w:ind w:left="0" w:firstLine="0"/>
        <w:rPr>
          <w:lang w:val="en-GB" w:eastAsia="en-GB" w:bidi="en-GB"/>
        </w:rPr>
      </w:pPr>
      <w:bookmarkStart w:id="159" w:name="_Toc416192617"/>
      <w:r w:rsidRPr="005C3B55">
        <w:rPr>
          <w:lang w:val="en-GB"/>
        </w:rPr>
        <w:t>Indicative breakdown by measure for each sub-programme</w:t>
      </w:r>
      <w:bookmarkEnd w:id="159"/>
    </w:p>
    <w:tbl>
      <w:tblPr>
        <w:tblStyle w:val="Navadnatabela1"/>
        <w:tblW w:w="5000"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52"/>
        <w:gridCol w:w="4752"/>
        <w:gridCol w:w="4752"/>
      </w:tblGrid>
      <w:tr w:rsidR="00C21266" w:rsidRPr="005C3B55">
        <w:tc>
          <w:tcPr>
            <w:tcW w:w="750" w:type="pct"/>
            <w:tcBorders>
              <w:top w:val="single" w:sz="4" w:space="0" w:color="auto"/>
              <w:left w:val="single" w:sz="4" w:space="0" w:color="auto"/>
              <w:bottom w:val="single" w:sz="4" w:space="0" w:color="auto"/>
              <w:right w:val="single" w:sz="4" w:space="0" w:color="auto"/>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sz w:val="20"/>
                <w:lang w:eastAsia="en-GB" w:bidi="en-GB"/>
              </w:rPr>
            </w:pPr>
            <w:r w:rsidRPr="005C3B55">
              <w:rPr>
                <w:sz w:val="20"/>
              </w:rPr>
              <w:t>Thematic sub-programme name</w:t>
            </w:r>
          </w:p>
        </w:tc>
        <w:tc>
          <w:tcPr>
            <w:tcW w:w="750" w:type="pct"/>
            <w:tcBorders>
              <w:top w:val="single" w:sz="4" w:space="0" w:color="auto"/>
              <w:left w:val="single" w:sz="4" w:space="0" w:color="auto"/>
              <w:bottom w:val="single" w:sz="4" w:space="0" w:color="auto"/>
              <w:right w:val="single" w:sz="4" w:space="0" w:color="auto"/>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sz w:val="16"/>
                <w:lang w:eastAsia="en-GB" w:bidi="en-GB"/>
              </w:rPr>
            </w:pPr>
            <w:r w:rsidRPr="005C3B55">
              <w:rPr>
                <w:sz w:val="16"/>
              </w:rPr>
              <w:t>Measure</w:t>
            </w:r>
          </w:p>
        </w:tc>
        <w:tc>
          <w:tcPr>
            <w:tcW w:w="750" w:type="pct"/>
            <w:tcBorders>
              <w:top w:val="single" w:sz="4" w:space="0" w:color="auto"/>
              <w:left w:val="single" w:sz="4" w:space="0" w:color="auto"/>
              <w:bottom w:val="single" w:sz="4" w:space="0" w:color="auto"/>
              <w:right w:val="single" w:sz="4" w:space="0" w:color="auto"/>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sz w:val="16"/>
                <w:lang w:eastAsia="en-GB" w:bidi="en-GB"/>
              </w:rPr>
            </w:pPr>
            <w:r w:rsidRPr="005C3B55">
              <w:rPr>
                <w:sz w:val="16"/>
              </w:rPr>
              <w:t>Total Union Contribution planned 2014-2020 (EUR)</w:t>
            </w:r>
          </w:p>
        </w:tc>
      </w:tr>
    </w:tbl>
    <w:p w:rsidR="00C21266" w:rsidRPr="005C3B55" w:rsidRDefault="00C21266" w:rsidP="00C21266">
      <w:pPr>
        <w:spacing w:after="0"/>
        <w:sectPr w:rsidR="00C21266" w:rsidRPr="005C3B55">
          <w:pgSz w:w="15840" w:h="12240" w:orient="landscape"/>
          <w:pgMar w:top="900" w:right="900" w:bottom="900" w:left="900" w:header="708" w:footer="708" w:gutter="0"/>
          <w:cols w:space="708"/>
        </w:sectPr>
      </w:pPr>
    </w:p>
    <w:p w:rsidR="00C21266" w:rsidRPr="005C3B55" w:rsidRDefault="00C21266" w:rsidP="00C21266">
      <w:pPr>
        <w:pStyle w:val="Naslov1"/>
        <w:rPr>
          <w:lang w:val="en-GB" w:eastAsia="en-GB" w:bidi="en-GB"/>
        </w:rPr>
      </w:pPr>
      <w:bookmarkStart w:id="160" w:name="_Toc416192618"/>
      <w:r w:rsidRPr="005C3B55">
        <w:rPr>
          <w:lang w:val="en-GB"/>
        </w:rPr>
        <w:t>Indicator plan</w:t>
      </w:r>
      <w:bookmarkEnd w:id="160"/>
    </w:p>
    <w:p w:rsidR="00C21266" w:rsidRPr="005C3B55" w:rsidRDefault="00C21266" w:rsidP="00C21266">
      <w:pPr>
        <w:pStyle w:val="Naslov2"/>
        <w:tabs>
          <w:tab w:val="clear" w:pos="765"/>
        </w:tabs>
        <w:ind w:left="0" w:firstLine="0"/>
        <w:rPr>
          <w:lang w:val="en-GB"/>
        </w:rPr>
      </w:pPr>
      <w:bookmarkStart w:id="161" w:name="_Toc416192619"/>
      <w:r w:rsidRPr="005C3B55">
        <w:rPr>
          <w:lang w:val="en-GB"/>
        </w:rPr>
        <w:t>Indicator plan</w:t>
      </w:r>
      <w:bookmarkEnd w:id="161"/>
    </w:p>
    <w:p w:rsidR="00C21266" w:rsidRPr="005C3B55" w:rsidRDefault="00C21266" w:rsidP="00C21266">
      <w:pPr>
        <w:pStyle w:val="Naslov3"/>
        <w:tabs>
          <w:tab w:val="clear" w:pos="765"/>
        </w:tabs>
        <w:ind w:left="0" w:firstLine="0"/>
        <w:jc w:val="left"/>
        <w:rPr>
          <w:lang w:val="en-GB"/>
        </w:rPr>
      </w:pPr>
      <w:bookmarkStart w:id="162" w:name="_Toc416192620"/>
      <w:r w:rsidRPr="005C3B55">
        <w:rPr>
          <w:lang w:val="en-GB"/>
        </w:rPr>
        <w:t>P1: Encouraging the transfer of knowledge and innovations in agriculture, forestry and rural areas</w:t>
      </w:r>
      <w:bookmarkEnd w:id="162"/>
    </w:p>
    <w:p w:rsidR="00C21266" w:rsidRPr="005C3B55" w:rsidRDefault="00C21266" w:rsidP="00C21266">
      <w:pPr>
        <w:pStyle w:val="Naslov4"/>
        <w:tabs>
          <w:tab w:val="clear" w:pos="765"/>
        </w:tabs>
        <w:ind w:left="0" w:firstLine="0"/>
        <w:jc w:val="left"/>
        <w:rPr>
          <w:lang w:val="en-GB"/>
        </w:rPr>
      </w:pPr>
      <w:r w:rsidRPr="005C3B55">
        <w:rPr>
          <w:lang w:val="en-GB"/>
        </w:rPr>
        <w:t xml:space="preserve">1A) Promotion of innovations, cooperation and development of the knowledge base in rural areas </w:t>
      </w:r>
    </w:p>
    <w:p w:rsidR="00C21266" w:rsidRPr="005C3B55" w:rsidRDefault="00C21266" w:rsidP="00C21266">
      <w:r w:rsidRPr="005C3B55">
        <w:t>Target indicators for the 2014-2020 period</w:t>
      </w:r>
    </w:p>
    <w:tbl>
      <w:tblPr>
        <w:tblStyle w:val="Navadnatabela1"/>
        <w:tblW w:w="5000"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25"/>
        <w:gridCol w:w="2131"/>
      </w:tblGrid>
      <w:tr w:rsidR="00C21266" w:rsidRPr="005C3B55">
        <w:trPr>
          <w:trHeight w:val="464"/>
        </w:trPr>
        <w:tc>
          <w:tcPr>
            <w:tcW w:w="750" w:type="pct"/>
            <w:tcBorders>
              <w:top w:val="single" w:sz="4" w:space="0" w:color="auto"/>
              <w:left w:val="single" w:sz="4" w:space="0" w:color="auto"/>
              <w:bottom w:val="nil"/>
              <w:right w:val="single" w:sz="4" w:space="0" w:color="auto"/>
            </w:tcBorders>
            <w:shd w:val="clear" w:color="auto" w:fill="C0C0C0"/>
            <w:tcMar>
              <w:top w:w="60" w:type="dxa"/>
              <w:left w:w="108" w:type="dxa"/>
              <w:bottom w:w="0" w:type="dxa"/>
              <w:right w:w="108" w:type="dxa"/>
            </w:tcMar>
            <w:vAlign w:val="center"/>
          </w:tcPr>
          <w:p w:rsidR="00C21266" w:rsidRPr="005C3B55" w:rsidRDefault="00C21266">
            <w:pPr>
              <w:spacing w:after="200"/>
              <w:jc w:val="center"/>
              <w:rPr>
                <w:rFonts w:eastAsia="Calibri"/>
                <w:b/>
                <w:sz w:val="20"/>
                <w:lang w:eastAsia="en-GB" w:bidi="en-GB"/>
              </w:rPr>
            </w:pPr>
            <w:r w:rsidRPr="005C3B55">
              <w:rPr>
                <w:b/>
                <w:sz w:val="20"/>
              </w:rPr>
              <w:t>Indication of the target indicator</w:t>
            </w:r>
          </w:p>
        </w:tc>
        <w:tc>
          <w:tcPr>
            <w:tcW w:w="750" w:type="pct"/>
            <w:tcBorders>
              <w:top w:val="single" w:sz="4" w:space="0" w:color="auto"/>
              <w:left w:val="single" w:sz="4" w:space="0" w:color="auto"/>
              <w:bottom w:val="nil"/>
              <w:right w:val="single" w:sz="4" w:space="0" w:color="auto"/>
            </w:tcBorders>
            <w:shd w:val="clear" w:color="auto" w:fill="C0C0C0"/>
            <w:tcMar>
              <w:top w:w="60" w:type="dxa"/>
              <w:left w:w="108" w:type="dxa"/>
              <w:bottom w:w="0" w:type="dxa"/>
              <w:right w:w="108" w:type="dxa"/>
            </w:tcMar>
            <w:vAlign w:val="center"/>
          </w:tcPr>
          <w:p w:rsidR="00C21266" w:rsidRPr="005C3B55" w:rsidRDefault="00C21266">
            <w:pPr>
              <w:spacing w:after="200"/>
              <w:jc w:val="center"/>
              <w:rPr>
                <w:rFonts w:eastAsia="Calibri"/>
                <w:b/>
                <w:sz w:val="20"/>
                <w:lang w:eastAsia="en-GB" w:bidi="en-GB"/>
              </w:rPr>
            </w:pPr>
            <w:r w:rsidRPr="005C3B55">
              <w:rPr>
                <w:b/>
                <w:sz w:val="20"/>
              </w:rPr>
              <w:t>Target value for 2023</w:t>
            </w:r>
          </w:p>
        </w:tc>
      </w:tr>
      <w:tr w:rsidR="00C21266" w:rsidRPr="005C3B55">
        <w:tc>
          <w:tcPr>
            <w:tcW w:w="4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b/>
                <w:sz w:val="16"/>
                <w:lang w:eastAsia="en-GB" w:bidi="en-GB"/>
              </w:rPr>
            </w:pPr>
            <w:r w:rsidRPr="005C3B55">
              <w:rPr>
                <w:b/>
                <w:sz w:val="16"/>
              </w:rPr>
              <w:t>T1: Percentage of expenditures under Articles 14, 15 and 35 of Regulation (EU) No 1305/2013 relating to the total expenditure for the rural development programme (priority area 1A)</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jc w:val="right"/>
              <w:rPr>
                <w:rFonts w:eastAsia="Calibri"/>
                <w:b/>
                <w:sz w:val="16"/>
                <w:lang w:eastAsia="en-GB" w:bidi="en-GB"/>
              </w:rPr>
            </w:pPr>
            <w:r w:rsidRPr="005C3B55">
              <w:rPr>
                <w:b/>
                <w:sz w:val="16"/>
              </w:rPr>
              <w:t>3.91</w:t>
            </w:r>
          </w:p>
        </w:tc>
      </w:tr>
      <w:tr w:rsidR="00C21266" w:rsidRPr="005C3B55">
        <w:tc>
          <w:tcPr>
            <w:tcW w:w="4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sz w:val="16"/>
                <w:lang w:eastAsia="en-GB" w:bidi="en-GB"/>
              </w:rPr>
            </w:pPr>
            <w:r w:rsidRPr="005C3B55">
              <w:rPr>
                <w:sz w:val="16"/>
              </w:rPr>
              <w:t>Total public expenditures planned for the rural development programme</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jc w:val="right"/>
              <w:rPr>
                <w:rFonts w:eastAsia="Calibri"/>
                <w:sz w:val="16"/>
                <w:lang w:eastAsia="en-GB" w:bidi="en-GB"/>
              </w:rPr>
            </w:pPr>
            <w:r w:rsidRPr="005C3B55">
              <w:rPr>
                <w:sz w:val="16"/>
              </w:rPr>
              <w:t>1,107,279,333.08</w:t>
            </w:r>
          </w:p>
        </w:tc>
      </w:tr>
    </w:tbl>
    <w:p w:rsidR="00C21266" w:rsidRPr="005C3B55" w:rsidRDefault="00C21266" w:rsidP="00C21266">
      <w:pPr>
        <w:jc w:val="center"/>
        <w:rPr>
          <w:rFonts w:eastAsia="Calibri"/>
          <w:sz w:val="16"/>
          <w:szCs w:val="22"/>
          <w:lang w:eastAsia="en-GB" w:bidi="en-GB"/>
        </w:rPr>
      </w:pPr>
    </w:p>
    <w:p w:rsidR="00C21266" w:rsidRPr="005C3B55" w:rsidRDefault="00C21266" w:rsidP="00C21266">
      <w:pPr>
        <w:rPr>
          <w:sz w:val="16"/>
        </w:rPr>
      </w:pPr>
      <w:r w:rsidRPr="005C3B55">
        <w:rPr>
          <w:sz w:val="16"/>
        </w:rPr>
        <w:t>Planned impact indicators for the 2014-2020 period</w:t>
      </w:r>
    </w:p>
    <w:tbl>
      <w:tblPr>
        <w:tblStyle w:val="Navadnatabela1"/>
        <w:tblW w:w="5000"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63"/>
        <w:gridCol w:w="4262"/>
        <w:gridCol w:w="2131"/>
      </w:tblGrid>
      <w:tr w:rsidR="00C21266" w:rsidRPr="005C3B55">
        <w:trPr>
          <w:trHeight w:val="464"/>
        </w:trPr>
        <w:tc>
          <w:tcPr>
            <w:tcW w:w="2000" w:type="pct"/>
            <w:tcBorders>
              <w:top w:val="single" w:sz="4" w:space="0" w:color="auto"/>
              <w:left w:val="single" w:sz="4" w:space="0" w:color="auto"/>
              <w:bottom w:val="nil"/>
              <w:right w:val="single" w:sz="4" w:space="0" w:color="auto"/>
            </w:tcBorders>
            <w:shd w:val="clear" w:color="auto" w:fill="C0C0C0"/>
            <w:tcMar>
              <w:top w:w="60" w:type="dxa"/>
              <w:left w:w="108" w:type="dxa"/>
              <w:bottom w:w="0" w:type="dxa"/>
              <w:right w:w="108" w:type="dxa"/>
            </w:tcMar>
            <w:vAlign w:val="center"/>
          </w:tcPr>
          <w:p w:rsidR="00C21266" w:rsidRPr="005C3B55" w:rsidRDefault="00C21266">
            <w:pPr>
              <w:spacing w:after="200"/>
              <w:jc w:val="center"/>
              <w:rPr>
                <w:rFonts w:eastAsia="Calibri"/>
                <w:b/>
                <w:sz w:val="20"/>
                <w:lang w:eastAsia="en-GB" w:bidi="en-GB"/>
              </w:rPr>
            </w:pPr>
            <w:r w:rsidRPr="005C3B55">
              <w:rPr>
                <w:b/>
                <w:sz w:val="20"/>
              </w:rPr>
              <w:t>Name of the measure</w:t>
            </w:r>
          </w:p>
        </w:tc>
        <w:tc>
          <w:tcPr>
            <w:tcW w:w="2000" w:type="pct"/>
            <w:tcBorders>
              <w:top w:val="single" w:sz="4" w:space="0" w:color="auto"/>
              <w:left w:val="single" w:sz="4" w:space="0" w:color="auto"/>
              <w:bottom w:val="nil"/>
              <w:right w:val="single" w:sz="4" w:space="0" w:color="auto"/>
            </w:tcBorders>
            <w:shd w:val="clear" w:color="auto" w:fill="C0C0C0"/>
            <w:tcMar>
              <w:top w:w="60" w:type="dxa"/>
              <w:left w:w="108" w:type="dxa"/>
              <w:bottom w:w="0" w:type="dxa"/>
              <w:right w:w="108" w:type="dxa"/>
            </w:tcMar>
            <w:vAlign w:val="center"/>
          </w:tcPr>
          <w:p w:rsidR="00C21266" w:rsidRPr="005C3B55" w:rsidRDefault="00C21266">
            <w:pPr>
              <w:spacing w:after="200"/>
              <w:jc w:val="center"/>
              <w:rPr>
                <w:rFonts w:eastAsia="Calibri"/>
                <w:b/>
                <w:sz w:val="20"/>
                <w:lang w:eastAsia="en-GB" w:bidi="en-GB"/>
              </w:rPr>
            </w:pPr>
            <w:r w:rsidRPr="005C3B55">
              <w:rPr>
                <w:b/>
                <w:sz w:val="20"/>
              </w:rPr>
              <w:t>Indication of the indicator</w:t>
            </w:r>
          </w:p>
        </w:tc>
        <w:tc>
          <w:tcPr>
            <w:tcW w:w="1000" w:type="pct"/>
            <w:tcBorders>
              <w:top w:val="single" w:sz="4" w:space="0" w:color="auto"/>
              <w:left w:val="single" w:sz="4" w:space="0" w:color="auto"/>
              <w:bottom w:val="nil"/>
              <w:right w:val="single" w:sz="4" w:space="0" w:color="auto"/>
            </w:tcBorders>
            <w:shd w:val="clear" w:color="auto" w:fill="C0C0C0"/>
            <w:tcMar>
              <w:top w:w="60" w:type="dxa"/>
              <w:left w:w="108" w:type="dxa"/>
              <w:bottom w:w="0" w:type="dxa"/>
              <w:right w:w="108" w:type="dxa"/>
            </w:tcMar>
            <w:vAlign w:val="center"/>
          </w:tcPr>
          <w:p w:rsidR="00C21266" w:rsidRPr="005C3B55" w:rsidRDefault="00C21266">
            <w:pPr>
              <w:spacing w:after="200"/>
              <w:jc w:val="center"/>
              <w:rPr>
                <w:rFonts w:eastAsia="Calibri"/>
                <w:b/>
                <w:sz w:val="20"/>
                <w:lang w:eastAsia="en-GB" w:bidi="en-GB"/>
              </w:rPr>
            </w:pPr>
            <w:r w:rsidRPr="005C3B55">
              <w:rPr>
                <w:b/>
                <w:sz w:val="20"/>
              </w:rPr>
              <w:t>Value</w:t>
            </w:r>
          </w:p>
        </w:tc>
      </w:tr>
      <w:tr w:rsidR="00C21266" w:rsidRPr="005C3B55">
        <w:trPr>
          <w:trHeight w:val="232"/>
        </w:trPr>
        <w:tc>
          <w:tcPr>
            <w:tcW w:w="2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b/>
                <w:sz w:val="16"/>
                <w:lang w:eastAsia="en-GB" w:bidi="en-GB"/>
              </w:rPr>
            </w:pPr>
            <w:r w:rsidRPr="005C3B55">
              <w:rPr>
                <w:b/>
                <w:sz w:val="16"/>
              </w:rPr>
              <w:t>M01 – Knowledge transfer and information actions (Article 14)</w:t>
            </w:r>
          </w:p>
        </w:tc>
        <w:tc>
          <w:tcPr>
            <w:tcW w:w="2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sz w:val="16"/>
                <w:lang w:eastAsia="en-GB" w:bidi="en-GB"/>
              </w:rPr>
            </w:pPr>
            <w:r w:rsidRPr="005C3B55">
              <w:rPr>
                <w:sz w:val="16"/>
              </w:rPr>
              <w:t>Total public expenditures in EUR (trainings, exchanges between agricultural holdings, representation activities) (1.1-1.3)</w:t>
            </w:r>
          </w:p>
        </w:tc>
        <w:tc>
          <w:tcPr>
            <w:tcW w:w="1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jc w:val="right"/>
              <w:rPr>
                <w:rFonts w:eastAsia="Calibri"/>
                <w:sz w:val="16"/>
                <w:lang w:eastAsia="en-GB" w:bidi="en-GB"/>
              </w:rPr>
            </w:pPr>
            <w:r w:rsidRPr="005C3B55">
              <w:rPr>
                <w:sz w:val="16"/>
              </w:rPr>
              <w:t>12,500,000.00</w:t>
            </w:r>
          </w:p>
        </w:tc>
      </w:tr>
      <w:tr w:rsidR="00C21266" w:rsidRPr="005C3B55">
        <w:tc>
          <w:tcPr>
            <w:tcW w:w="2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b/>
                <w:sz w:val="16"/>
                <w:lang w:eastAsia="en-GB" w:bidi="en-GB"/>
              </w:rPr>
            </w:pPr>
            <w:r w:rsidRPr="005C3B55">
              <w:rPr>
                <w:b/>
                <w:sz w:val="16"/>
              </w:rPr>
              <w:t>M02 – Advisory services, farm management and farm relief services (Article 15)</w:t>
            </w:r>
          </w:p>
        </w:tc>
        <w:tc>
          <w:tcPr>
            <w:tcW w:w="2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sz w:val="16"/>
                <w:lang w:eastAsia="en-GB" w:bidi="en-GB"/>
              </w:rPr>
            </w:pPr>
            <w:r w:rsidRPr="005C3B55">
              <w:rPr>
                <w:sz w:val="16"/>
              </w:rPr>
              <w:t>Total public expenditures in EUR (2.1-2.3)</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jc w:val="right"/>
              <w:rPr>
                <w:rFonts w:eastAsia="Calibri"/>
                <w:sz w:val="16"/>
                <w:lang w:eastAsia="en-GB" w:bidi="en-GB"/>
              </w:rPr>
            </w:pPr>
            <w:r w:rsidRPr="005C3B55">
              <w:rPr>
                <w:sz w:val="16"/>
              </w:rPr>
              <w:t>10,768,000.00</w:t>
            </w:r>
          </w:p>
        </w:tc>
      </w:tr>
      <w:tr w:rsidR="00C21266" w:rsidRPr="005C3B55">
        <w:tc>
          <w:tcPr>
            <w:tcW w:w="2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b/>
                <w:sz w:val="16"/>
                <w:lang w:eastAsia="en-GB" w:bidi="en-GB"/>
              </w:rPr>
            </w:pPr>
            <w:r w:rsidRPr="005C3B55">
              <w:rPr>
                <w:b/>
                <w:sz w:val="16"/>
              </w:rPr>
              <w:t>M16 – Cooperation (Article 35)</w:t>
            </w:r>
          </w:p>
        </w:tc>
        <w:tc>
          <w:tcPr>
            <w:tcW w:w="2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sz w:val="16"/>
                <w:lang w:eastAsia="en-GB" w:bidi="en-GB"/>
              </w:rPr>
            </w:pPr>
            <w:r w:rsidRPr="005C3B55">
              <w:rPr>
                <w:sz w:val="16"/>
              </w:rPr>
              <w:t>Total public expenditures in EUR (16.1-16.9)</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jc w:val="right"/>
              <w:rPr>
                <w:rFonts w:eastAsia="Calibri"/>
                <w:sz w:val="16"/>
                <w:lang w:eastAsia="en-GB" w:bidi="en-GB"/>
              </w:rPr>
            </w:pPr>
            <w:r w:rsidRPr="005C3B55">
              <w:rPr>
                <w:sz w:val="16"/>
              </w:rPr>
              <w:t>20,062,500.00</w:t>
            </w:r>
          </w:p>
        </w:tc>
      </w:tr>
    </w:tbl>
    <w:p w:rsidR="00C21266" w:rsidRPr="005C3B55" w:rsidRDefault="00C21266" w:rsidP="00C21266">
      <w:pPr>
        <w:spacing w:after="0"/>
        <w:rPr>
          <w:sz w:val="16"/>
        </w:rPr>
        <w:sectPr w:rsidR="00C21266" w:rsidRPr="005C3B55">
          <w:pgSz w:w="12240" w:h="15840"/>
          <w:pgMar w:top="900" w:right="900" w:bottom="900" w:left="900" w:header="708" w:footer="708" w:gutter="0"/>
          <w:cols w:space="708"/>
        </w:sectPr>
      </w:pPr>
    </w:p>
    <w:p w:rsidR="00C21266" w:rsidRPr="005C3B55" w:rsidRDefault="00C21266" w:rsidP="00C21266">
      <w:pPr>
        <w:pStyle w:val="Naslov4"/>
        <w:tabs>
          <w:tab w:val="clear" w:pos="765"/>
        </w:tabs>
        <w:ind w:left="0" w:firstLine="0"/>
        <w:jc w:val="left"/>
        <w:rPr>
          <w:sz w:val="16"/>
          <w:lang w:val="en-GB" w:eastAsia="en-GB" w:bidi="en-GB"/>
        </w:rPr>
      </w:pPr>
      <w:r w:rsidRPr="005C3B55">
        <w:rPr>
          <w:sz w:val="16"/>
          <w:lang w:val="en-GB"/>
        </w:rPr>
        <w:t>1B) Strengthening connections between agriculture, food production and economy and research and innovations also due to better environmental management and environmental efficiency</w:t>
      </w:r>
    </w:p>
    <w:p w:rsidR="00C21266" w:rsidRPr="005C3B55" w:rsidRDefault="00C21266" w:rsidP="00C21266">
      <w:pPr>
        <w:rPr>
          <w:sz w:val="16"/>
        </w:rPr>
      </w:pPr>
      <w:r w:rsidRPr="005C3B55">
        <w:rPr>
          <w:sz w:val="16"/>
        </w:rPr>
        <w:t>Target indicators for the 2014-2020 period</w:t>
      </w:r>
    </w:p>
    <w:tbl>
      <w:tblPr>
        <w:tblStyle w:val="Navadnatabela1"/>
        <w:tblW w:w="5000"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25"/>
        <w:gridCol w:w="2131"/>
      </w:tblGrid>
      <w:tr w:rsidR="00C21266" w:rsidRPr="005C3B55">
        <w:tc>
          <w:tcPr>
            <w:tcW w:w="1000" w:type="pct"/>
            <w:tcBorders>
              <w:top w:val="single" w:sz="4" w:space="0" w:color="auto"/>
              <w:left w:val="single" w:sz="4" w:space="0" w:color="auto"/>
              <w:bottom w:val="single" w:sz="4" w:space="0" w:color="auto"/>
              <w:right w:val="single" w:sz="4" w:space="0" w:color="auto"/>
            </w:tcBorders>
            <w:shd w:val="clear" w:color="auto" w:fill="C0C0C0"/>
            <w:tcMar>
              <w:top w:w="60" w:type="dxa"/>
              <w:left w:w="108" w:type="dxa"/>
              <w:bottom w:w="0" w:type="dxa"/>
              <w:right w:w="108" w:type="dxa"/>
            </w:tcMar>
            <w:vAlign w:val="center"/>
          </w:tcPr>
          <w:p w:rsidR="00C21266" w:rsidRPr="005C3B55" w:rsidRDefault="00C21266">
            <w:pPr>
              <w:spacing w:after="200"/>
              <w:jc w:val="center"/>
              <w:rPr>
                <w:rFonts w:eastAsia="Calibri"/>
                <w:b/>
                <w:sz w:val="20"/>
                <w:lang w:eastAsia="en-GB" w:bidi="en-GB"/>
              </w:rPr>
            </w:pPr>
            <w:r w:rsidRPr="005C3B55">
              <w:rPr>
                <w:b/>
                <w:sz w:val="20"/>
              </w:rPr>
              <w:t>Indication of the target indicator</w:t>
            </w:r>
          </w:p>
        </w:tc>
        <w:tc>
          <w:tcPr>
            <w:tcW w:w="1000" w:type="pct"/>
            <w:tcBorders>
              <w:top w:val="single" w:sz="4" w:space="0" w:color="auto"/>
              <w:left w:val="single" w:sz="4" w:space="0" w:color="auto"/>
              <w:bottom w:val="single" w:sz="4" w:space="0" w:color="auto"/>
              <w:right w:val="single" w:sz="4" w:space="0" w:color="auto"/>
            </w:tcBorders>
            <w:shd w:val="clear" w:color="auto" w:fill="C0C0C0"/>
            <w:tcMar>
              <w:top w:w="60" w:type="dxa"/>
              <w:left w:w="108" w:type="dxa"/>
              <w:bottom w:w="0" w:type="dxa"/>
              <w:right w:w="108" w:type="dxa"/>
            </w:tcMar>
            <w:vAlign w:val="center"/>
          </w:tcPr>
          <w:p w:rsidR="00C21266" w:rsidRPr="005C3B55" w:rsidRDefault="00C21266">
            <w:pPr>
              <w:spacing w:after="200"/>
              <w:jc w:val="center"/>
              <w:rPr>
                <w:rFonts w:eastAsia="Calibri"/>
                <w:b/>
                <w:sz w:val="20"/>
                <w:lang w:eastAsia="en-GB" w:bidi="en-GB"/>
              </w:rPr>
            </w:pPr>
            <w:r w:rsidRPr="005C3B55">
              <w:rPr>
                <w:b/>
                <w:sz w:val="20"/>
              </w:rPr>
              <w:t>Target value for 2023</w:t>
            </w:r>
          </w:p>
        </w:tc>
      </w:tr>
      <w:tr w:rsidR="00C21266" w:rsidRPr="005C3B55">
        <w:tc>
          <w:tcPr>
            <w:tcW w:w="4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b/>
                <w:sz w:val="16"/>
                <w:lang w:eastAsia="en-GB" w:bidi="en-GB"/>
              </w:rPr>
            </w:pPr>
            <w:r w:rsidRPr="005C3B55">
              <w:rPr>
                <w:b/>
                <w:sz w:val="16"/>
              </w:rPr>
              <w:t>T2: Total number of cooperation operations supported within the scope of the cooperation measure (Article 35 of Regulation (EU) No 135/2013 (groups, networks/clusters, pilot projects, etc.) (priority area 1B)</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jc w:val="right"/>
              <w:rPr>
                <w:rFonts w:eastAsia="Calibri"/>
                <w:b/>
                <w:sz w:val="16"/>
                <w:lang w:eastAsia="en-GB" w:bidi="en-GB"/>
              </w:rPr>
            </w:pPr>
            <w:r w:rsidRPr="005C3B55">
              <w:rPr>
                <w:b/>
                <w:sz w:val="16"/>
              </w:rPr>
              <w:t>60.00</w:t>
            </w:r>
          </w:p>
        </w:tc>
      </w:tr>
    </w:tbl>
    <w:p w:rsidR="00C21266" w:rsidRPr="005C3B55" w:rsidRDefault="00C21266" w:rsidP="00C21266">
      <w:pPr>
        <w:jc w:val="center"/>
        <w:rPr>
          <w:rFonts w:eastAsia="Calibri"/>
          <w:sz w:val="16"/>
          <w:szCs w:val="22"/>
          <w:lang w:eastAsia="en-GB" w:bidi="en-GB"/>
        </w:rPr>
      </w:pPr>
    </w:p>
    <w:p w:rsidR="00C21266" w:rsidRPr="005C3B55" w:rsidRDefault="00C21266" w:rsidP="00C21266">
      <w:pPr>
        <w:rPr>
          <w:sz w:val="16"/>
        </w:rPr>
      </w:pPr>
      <w:r w:rsidRPr="005C3B55">
        <w:rPr>
          <w:sz w:val="16"/>
        </w:rPr>
        <w:t>Planned impact indicators for the 2014-2020 period</w:t>
      </w:r>
    </w:p>
    <w:tbl>
      <w:tblPr>
        <w:tblStyle w:val="Navadnatabela1"/>
        <w:tblW w:w="5000"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63"/>
        <w:gridCol w:w="4262"/>
        <w:gridCol w:w="2131"/>
      </w:tblGrid>
      <w:tr w:rsidR="00C21266" w:rsidRPr="005C3B55">
        <w:trPr>
          <w:trHeight w:val="464"/>
        </w:trPr>
        <w:tc>
          <w:tcPr>
            <w:tcW w:w="2000" w:type="pct"/>
            <w:tcBorders>
              <w:top w:val="single" w:sz="4" w:space="0" w:color="auto"/>
              <w:left w:val="single" w:sz="4" w:space="0" w:color="auto"/>
              <w:bottom w:val="nil"/>
              <w:right w:val="single" w:sz="4" w:space="0" w:color="auto"/>
            </w:tcBorders>
            <w:shd w:val="clear" w:color="auto" w:fill="C0C0C0"/>
            <w:tcMar>
              <w:top w:w="60" w:type="dxa"/>
              <w:left w:w="108" w:type="dxa"/>
              <w:bottom w:w="0" w:type="dxa"/>
              <w:right w:w="108" w:type="dxa"/>
            </w:tcMar>
            <w:vAlign w:val="center"/>
          </w:tcPr>
          <w:p w:rsidR="00C21266" w:rsidRPr="005C3B55" w:rsidRDefault="00C21266">
            <w:pPr>
              <w:spacing w:after="200"/>
              <w:jc w:val="center"/>
              <w:rPr>
                <w:rFonts w:eastAsia="Calibri"/>
                <w:b/>
                <w:sz w:val="20"/>
                <w:lang w:eastAsia="en-GB" w:bidi="en-GB"/>
              </w:rPr>
            </w:pPr>
            <w:r w:rsidRPr="005C3B55">
              <w:rPr>
                <w:b/>
                <w:sz w:val="20"/>
              </w:rPr>
              <w:t>Name of the measure</w:t>
            </w:r>
          </w:p>
        </w:tc>
        <w:tc>
          <w:tcPr>
            <w:tcW w:w="2000" w:type="pct"/>
            <w:tcBorders>
              <w:top w:val="single" w:sz="4" w:space="0" w:color="auto"/>
              <w:left w:val="single" w:sz="4" w:space="0" w:color="auto"/>
              <w:bottom w:val="nil"/>
              <w:right w:val="single" w:sz="4" w:space="0" w:color="auto"/>
            </w:tcBorders>
            <w:shd w:val="clear" w:color="auto" w:fill="C0C0C0"/>
            <w:tcMar>
              <w:top w:w="60" w:type="dxa"/>
              <w:left w:w="108" w:type="dxa"/>
              <w:bottom w:w="0" w:type="dxa"/>
              <w:right w:w="108" w:type="dxa"/>
            </w:tcMar>
            <w:vAlign w:val="center"/>
          </w:tcPr>
          <w:p w:rsidR="00C21266" w:rsidRPr="005C3B55" w:rsidRDefault="00C21266">
            <w:pPr>
              <w:spacing w:after="200"/>
              <w:jc w:val="center"/>
              <w:rPr>
                <w:rFonts w:eastAsia="Calibri"/>
                <w:b/>
                <w:sz w:val="20"/>
                <w:lang w:eastAsia="en-GB" w:bidi="en-GB"/>
              </w:rPr>
            </w:pPr>
            <w:r w:rsidRPr="005C3B55">
              <w:rPr>
                <w:b/>
                <w:sz w:val="20"/>
              </w:rPr>
              <w:t>Indication of the indicator</w:t>
            </w:r>
          </w:p>
        </w:tc>
        <w:tc>
          <w:tcPr>
            <w:tcW w:w="1000" w:type="pct"/>
            <w:tcBorders>
              <w:top w:val="single" w:sz="4" w:space="0" w:color="auto"/>
              <w:left w:val="single" w:sz="4" w:space="0" w:color="auto"/>
              <w:bottom w:val="nil"/>
              <w:right w:val="single" w:sz="4" w:space="0" w:color="auto"/>
            </w:tcBorders>
            <w:shd w:val="clear" w:color="auto" w:fill="C0C0C0"/>
            <w:tcMar>
              <w:top w:w="60" w:type="dxa"/>
              <w:left w:w="108" w:type="dxa"/>
              <w:bottom w:w="0" w:type="dxa"/>
              <w:right w:w="108" w:type="dxa"/>
            </w:tcMar>
            <w:vAlign w:val="center"/>
          </w:tcPr>
          <w:p w:rsidR="00C21266" w:rsidRPr="005C3B55" w:rsidRDefault="00C21266">
            <w:pPr>
              <w:spacing w:after="200"/>
              <w:jc w:val="center"/>
              <w:rPr>
                <w:rFonts w:eastAsia="Calibri"/>
                <w:b/>
                <w:sz w:val="20"/>
                <w:lang w:eastAsia="en-GB" w:bidi="en-GB"/>
              </w:rPr>
            </w:pPr>
            <w:r w:rsidRPr="005C3B55">
              <w:rPr>
                <w:b/>
                <w:sz w:val="20"/>
              </w:rPr>
              <w:t>Value</w:t>
            </w:r>
          </w:p>
        </w:tc>
      </w:tr>
      <w:tr w:rsidR="00C21266" w:rsidRPr="005C3B55">
        <w:tc>
          <w:tcPr>
            <w:tcW w:w="2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b/>
                <w:sz w:val="16"/>
                <w:lang w:eastAsia="en-GB" w:bidi="en-GB"/>
              </w:rPr>
            </w:pPr>
            <w:r w:rsidRPr="005C3B55">
              <w:rPr>
                <w:b/>
                <w:sz w:val="16"/>
              </w:rPr>
              <w:t>M16 – Cooperation (Article 35)</w:t>
            </w:r>
          </w:p>
        </w:tc>
        <w:tc>
          <w:tcPr>
            <w:tcW w:w="2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sz w:val="16"/>
                <w:lang w:eastAsia="en-GB" w:bidi="en-GB"/>
              </w:rPr>
            </w:pPr>
            <w:r w:rsidRPr="005C3B55">
              <w:rPr>
                <w:sz w:val="16"/>
              </w:rPr>
              <w:t>Number of operational groups of the European Partnership for innovations to which the support is allocated (establishment and operation) (16.1)</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jc w:val="right"/>
              <w:rPr>
                <w:rFonts w:eastAsia="Calibri"/>
                <w:sz w:val="16"/>
                <w:lang w:eastAsia="en-GB" w:bidi="en-GB"/>
              </w:rPr>
            </w:pPr>
            <w:r w:rsidRPr="005C3B55">
              <w:rPr>
                <w:sz w:val="16"/>
              </w:rPr>
              <w:t>9.00</w:t>
            </w:r>
          </w:p>
        </w:tc>
      </w:tr>
      <w:tr w:rsidR="00C21266" w:rsidRPr="005C3B55">
        <w:tc>
          <w:tcPr>
            <w:tcW w:w="2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b/>
                <w:sz w:val="16"/>
                <w:lang w:eastAsia="en-GB" w:bidi="en-GB"/>
              </w:rPr>
            </w:pPr>
            <w:r w:rsidRPr="005C3B55">
              <w:rPr>
                <w:b/>
                <w:sz w:val="16"/>
              </w:rPr>
              <w:t>M16 – Cooperation (Article 35)</w:t>
            </w:r>
          </w:p>
        </w:tc>
        <w:tc>
          <w:tcPr>
            <w:tcW w:w="2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sz w:val="16"/>
                <w:lang w:eastAsia="en-GB" w:bidi="en-GB"/>
              </w:rPr>
            </w:pPr>
            <w:r w:rsidRPr="005C3B55">
              <w:rPr>
                <w:sz w:val="16"/>
              </w:rPr>
              <w:t>Number of other cooperation operations (groups, networks/clusters, pilot projects, etc.) (16.2–16.9)</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jc w:val="right"/>
              <w:rPr>
                <w:rFonts w:eastAsia="Calibri"/>
                <w:sz w:val="16"/>
                <w:lang w:eastAsia="en-GB" w:bidi="en-GB"/>
              </w:rPr>
            </w:pPr>
            <w:r w:rsidRPr="005C3B55">
              <w:rPr>
                <w:sz w:val="16"/>
              </w:rPr>
              <w:t>51.00</w:t>
            </w:r>
          </w:p>
        </w:tc>
      </w:tr>
    </w:tbl>
    <w:p w:rsidR="00C21266" w:rsidRPr="005C3B55" w:rsidRDefault="00C21266" w:rsidP="00C21266">
      <w:pPr>
        <w:spacing w:after="0"/>
        <w:rPr>
          <w:sz w:val="16"/>
        </w:rPr>
        <w:sectPr w:rsidR="00C21266" w:rsidRPr="005C3B55">
          <w:pgSz w:w="12240" w:h="15840"/>
          <w:pgMar w:top="900" w:right="900" w:bottom="900" w:left="900" w:header="708" w:footer="708" w:gutter="0"/>
          <w:cols w:space="708"/>
        </w:sectPr>
      </w:pPr>
    </w:p>
    <w:p w:rsidR="00C21266" w:rsidRPr="005C3B55" w:rsidRDefault="00C21266" w:rsidP="00C21266">
      <w:pPr>
        <w:pStyle w:val="Naslov4"/>
        <w:tabs>
          <w:tab w:val="clear" w:pos="765"/>
        </w:tabs>
        <w:ind w:left="0" w:firstLine="0"/>
        <w:jc w:val="left"/>
        <w:rPr>
          <w:sz w:val="16"/>
          <w:lang w:val="en-GB" w:eastAsia="en-GB" w:bidi="en-GB"/>
        </w:rPr>
      </w:pPr>
      <w:r w:rsidRPr="005C3B55">
        <w:rPr>
          <w:sz w:val="16"/>
          <w:lang w:val="en-GB"/>
        </w:rPr>
        <w:t>1C) Strengthening life-long learning and vocational training in the agricultural and forestry sector</w:t>
      </w:r>
    </w:p>
    <w:p w:rsidR="00C21266" w:rsidRPr="005C3B55" w:rsidRDefault="00C21266" w:rsidP="00C21266">
      <w:pPr>
        <w:rPr>
          <w:sz w:val="16"/>
        </w:rPr>
      </w:pPr>
      <w:r w:rsidRPr="005C3B55">
        <w:rPr>
          <w:sz w:val="16"/>
        </w:rPr>
        <w:t>Target indicators for the 2014-2020 period</w:t>
      </w:r>
    </w:p>
    <w:tbl>
      <w:tblPr>
        <w:tblStyle w:val="Navadnatabela1"/>
        <w:tblW w:w="5000"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25"/>
        <w:gridCol w:w="2131"/>
      </w:tblGrid>
      <w:tr w:rsidR="00C21266" w:rsidRPr="005C3B55">
        <w:tc>
          <w:tcPr>
            <w:tcW w:w="1000" w:type="pct"/>
            <w:tcBorders>
              <w:top w:val="single" w:sz="4" w:space="0" w:color="auto"/>
              <w:left w:val="single" w:sz="4" w:space="0" w:color="auto"/>
              <w:bottom w:val="single" w:sz="4" w:space="0" w:color="auto"/>
              <w:right w:val="single" w:sz="4" w:space="0" w:color="auto"/>
            </w:tcBorders>
            <w:shd w:val="clear" w:color="auto" w:fill="C0C0C0"/>
            <w:tcMar>
              <w:top w:w="60" w:type="dxa"/>
              <w:left w:w="108" w:type="dxa"/>
              <w:bottom w:w="0" w:type="dxa"/>
              <w:right w:w="108" w:type="dxa"/>
            </w:tcMar>
            <w:vAlign w:val="center"/>
          </w:tcPr>
          <w:p w:rsidR="00C21266" w:rsidRPr="005C3B55" w:rsidRDefault="00C21266">
            <w:pPr>
              <w:spacing w:after="200"/>
              <w:jc w:val="center"/>
              <w:rPr>
                <w:rFonts w:eastAsia="Calibri"/>
                <w:b/>
                <w:sz w:val="20"/>
                <w:lang w:eastAsia="en-GB" w:bidi="en-GB"/>
              </w:rPr>
            </w:pPr>
            <w:r w:rsidRPr="005C3B55">
              <w:rPr>
                <w:b/>
                <w:sz w:val="20"/>
              </w:rPr>
              <w:t>Indication of the target indicator</w:t>
            </w:r>
          </w:p>
        </w:tc>
        <w:tc>
          <w:tcPr>
            <w:tcW w:w="1000" w:type="pct"/>
            <w:tcBorders>
              <w:top w:val="single" w:sz="4" w:space="0" w:color="auto"/>
              <w:left w:val="single" w:sz="4" w:space="0" w:color="auto"/>
              <w:bottom w:val="single" w:sz="4" w:space="0" w:color="auto"/>
              <w:right w:val="single" w:sz="4" w:space="0" w:color="auto"/>
            </w:tcBorders>
            <w:shd w:val="clear" w:color="auto" w:fill="C0C0C0"/>
            <w:tcMar>
              <w:top w:w="60" w:type="dxa"/>
              <w:left w:w="108" w:type="dxa"/>
              <w:bottom w:w="0" w:type="dxa"/>
              <w:right w:w="108" w:type="dxa"/>
            </w:tcMar>
            <w:vAlign w:val="center"/>
          </w:tcPr>
          <w:p w:rsidR="00C21266" w:rsidRPr="005C3B55" w:rsidRDefault="00C21266">
            <w:pPr>
              <w:spacing w:after="200"/>
              <w:jc w:val="center"/>
              <w:rPr>
                <w:rFonts w:eastAsia="Calibri"/>
                <w:b/>
                <w:sz w:val="20"/>
                <w:lang w:eastAsia="en-GB" w:bidi="en-GB"/>
              </w:rPr>
            </w:pPr>
            <w:r w:rsidRPr="005C3B55">
              <w:rPr>
                <w:b/>
                <w:sz w:val="20"/>
              </w:rPr>
              <w:t>Target value for 2023</w:t>
            </w:r>
          </w:p>
        </w:tc>
      </w:tr>
      <w:tr w:rsidR="00C21266" w:rsidRPr="005C3B55">
        <w:tc>
          <w:tcPr>
            <w:tcW w:w="4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b/>
                <w:sz w:val="16"/>
                <w:lang w:eastAsia="en-GB" w:bidi="en-GB"/>
              </w:rPr>
            </w:pPr>
            <w:r w:rsidRPr="005C3B55">
              <w:rPr>
                <w:b/>
                <w:sz w:val="16"/>
              </w:rPr>
              <w:t>T3: Total number of trained participants pursuant to Article 14 of Regulation (EU) No 1305/2013 (priority area 1C)</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jc w:val="right"/>
              <w:rPr>
                <w:rFonts w:eastAsia="Calibri"/>
                <w:b/>
                <w:sz w:val="16"/>
                <w:lang w:eastAsia="en-GB" w:bidi="en-GB"/>
              </w:rPr>
            </w:pPr>
            <w:r w:rsidRPr="005C3B55">
              <w:rPr>
                <w:b/>
                <w:sz w:val="16"/>
              </w:rPr>
              <w:t>99,600.00</w:t>
            </w:r>
          </w:p>
        </w:tc>
      </w:tr>
    </w:tbl>
    <w:p w:rsidR="00C21266" w:rsidRPr="005C3B55" w:rsidRDefault="00C21266" w:rsidP="00C21266">
      <w:pPr>
        <w:jc w:val="center"/>
        <w:rPr>
          <w:rFonts w:eastAsia="Calibri"/>
          <w:sz w:val="16"/>
          <w:szCs w:val="22"/>
          <w:lang w:eastAsia="en-GB" w:bidi="en-GB"/>
        </w:rPr>
      </w:pPr>
    </w:p>
    <w:p w:rsidR="00C21266" w:rsidRPr="005C3B55" w:rsidRDefault="00C21266" w:rsidP="00C21266">
      <w:pPr>
        <w:rPr>
          <w:sz w:val="16"/>
        </w:rPr>
      </w:pPr>
      <w:r w:rsidRPr="005C3B55">
        <w:rPr>
          <w:sz w:val="16"/>
        </w:rPr>
        <w:t>Planned impact indicators for the 2014-2020 period</w:t>
      </w:r>
    </w:p>
    <w:tbl>
      <w:tblPr>
        <w:tblStyle w:val="Navadnatabela1"/>
        <w:tblW w:w="5000"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63"/>
        <w:gridCol w:w="4262"/>
        <w:gridCol w:w="2131"/>
      </w:tblGrid>
      <w:tr w:rsidR="00C21266" w:rsidRPr="005C3B55">
        <w:tc>
          <w:tcPr>
            <w:tcW w:w="2000" w:type="pct"/>
            <w:tcBorders>
              <w:top w:val="single" w:sz="4" w:space="0" w:color="auto"/>
              <w:left w:val="single" w:sz="4" w:space="0" w:color="auto"/>
              <w:bottom w:val="single" w:sz="4" w:space="0" w:color="auto"/>
              <w:right w:val="single" w:sz="4" w:space="0" w:color="auto"/>
            </w:tcBorders>
            <w:shd w:val="clear" w:color="auto" w:fill="C0C0C0"/>
            <w:tcMar>
              <w:top w:w="60" w:type="dxa"/>
              <w:left w:w="108" w:type="dxa"/>
              <w:bottom w:w="0" w:type="dxa"/>
              <w:right w:w="108" w:type="dxa"/>
            </w:tcMar>
            <w:vAlign w:val="center"/>
          </w:tcPr>
          <w:p w:rsidR="00C21266" w:rsidRPr="005C3B55" w:rsidRDefault="00C21266">
            <w:pPr>
              <w:spacing w:after="200"/>
              <w:jc w:val="center"/>
              <w:rPr>
                <w:rFonts w:eastAsia="Calibri"/>
                <w:b/>
                <w:sz w:val="20"/>
                <w:lang w:eastAsia="en-GB" w:bidi="en-GB"/>
              </w:rPr>
            </w:pPr>
            <w:r w:rsidRPr="005C3B55">
              <w:rPr>
                <w:b/>
                <w:sz w:val="20"/>
              </w:rPr>
              <w:t>Name of the measure</w:t>
            </w:r>
          </w:p>
        </w:tc>
        <w:tc>
          <w:tcPr>
            <w:tcW w:w="2000" w:type="pct"/>
            <w:tcBorders>
              <w:top w:val="single" w:sz="4" w:space="0" w:color="auto"/>
              <w:left w:val="single" w:sz="4" w:space="0" w:color="auto"/>
              <w:bottom w:val="single" w:sz="4" w:space="0" w:color="auto"/>
              <w:right w:val="single" w:sz="4" w:space="0" w:color="auto"/>
            </w:tcBorders>
            <w:shd w:val="clear" w:color="auto" w:fill="C0C0C0"/>
            <w:tcMar>
              <w:top w:w="60" w:type="dxa"/>
              <w:left w:w="108" w:type="dxa"/>
              <w:bottom w:w="0" w:type="dxa"/>
              <w:right w:w="108" w:type="dxa"/>
            </w:tcMar>
            <w:vAlign w:val="center"/>
          </w:tcPr>
          <w:p w:rsidR="00C21266" w:rsidRPr="005C3B55" w:rsidRDefault="00C21266">
            <w:pPr>
              <w:spacing w:after="200"/>
              <w:jc w:val="center"/>
              <w:rPr>
                <w:rFonts w:eastAsia="Calibri"/>
                <w:b/>
                <w:sz w:val="20"/>
                <w:lang w:eastAsia="en-GB" w:bidi="en-GB"/>
              </w:rPr>
            </w:pPr>
            <w:r w:rsidRPr="005C3B55">
              <w:rPr>
                <w:b/>
                <w:sz w:val="20"/>
              </w:rPr>
              <w:t>Indication of the indicator</w:t>
            </w:r>
          </w:p>
        </w:tc>
        <w:tc>
          <w:tcPr>
            <w:tcW w:w="1000" w:type="pct"/>
            <w:tcBorders>
              <w:top w:val="single" w:sz="4" w:space="0" w:color="auto"/>
              <w:left w:val="single" w:sz="4" w:space="0" w:color="auto"/>
              <w:bottom w:val="single" w:sz="4" w:space="0" w:color="auto"/>
              <w:right w:val="single" w:sz="4" w:space="0" w:color="auto"/>
            </w:tcBorders>
            <w:shd w:val="clear" w:color="auto" w:fill="C0C0C0"/>
            <w:tcMar>
              <w:top w:w="60" w:type="dxa"/>
              <w:left w:w="108" w:type="dxa"/>
              <w:bottom w:w="0" w:type="dxa"/>
              <w:right w:w="108" w:type="dxa"/>
            </w:tcMar>
            <w:vAlign w:val="center"/>
          </w:tcPr>
          <w:p w:rsidR="00C21266" w:rsidRPr="005C3B55" w:rsidRDefault="00C21266">
            <w:pPr>
              <w:spacing w:after="200"/>
              <w:jc w:val="center"/>
              <w:rPr>
                <w:rFonts w:eastAsia="Calibri"/>
                <w:b/>
                <w:sz w:val="20"/>
                <w:lang w:eastAsia="en-GB" w:bidi="en-GB"/>
              </w:rPr>
            </w:pPr>
            <w:r w:rsidRPr="005C3B55">
              <w:rPr>
                <w:b/>
                <w:sz w:val="20"/>
              </w:rPr>
              <w:t>Value</w:t>
            </w:r>
          </w:p>
        </w:tc>
      </w:tr>
      <w:tr w:rsidR="00C21266" w:rsidRPr="005C3B55">
        <w:tc>
          <w:tcPr>
            <w:tcW w:w="2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b/>
                <w:sz w:val="16"/>
                <w:lang w:eastAsia="en-GB" w:bidi="en-GB"/>
              </w:rPr>
            </w:pPr>
            <w:r w:rsidRPr="005C3B55">
              <w:rPr>
                <w:b/>
                <w:sz w:val="16"/>
              </w:rPr>
              <w:t>M01 – Knowledge transfer and information actions (Article 14)</w:t>
            </w:r>
          </w:p>
        </w:tc>
        <w:tc>
          <w:tcPr>
            <w:tcW w:w="2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sz w:val="16"/>
                <w:lang w:eastAsia="en-GB" w:bidi="en-GB"/>
              </w:rPr>
            </w:pPr>
            <w:r w:rsidRPr="005C3B55">
              <w:rPr>
                <w:sz w:val="16"/>
              </w:rPr>
              <w:t>Training/acquisition of skills (1.1) - number of participants in training</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jc w:val="right"/>
              <w:rPr>
                <w:rFonts w:eastAsia="Calibri"/>
                <w:sz w:val="16"/>
                <w:lang w:eastAsia="en-GB" w:bidi="en-GB"/>
              </w:rPr>
            </w:pPr>
            <w:r w:rsidRPr="005C3B55">
              <w:rPr>
                <w:sz w:val="16"/>
              </w:rPr>
              <w:t>99,600.00</w:t>
            </w:r>
          </w:p>
        </w:tc>
      </w:tr>
    </w:tbl>
    <w:p w:rsidR="00C21266" w:rsidRPr="005C3B55" w:rsidRDefault="00C21266" w:rsidP="00C21266">
      <w:pPr>
        <w:spacing w:after="0"/>
        <w:rPr>
          <w:sz w:val="16"/>
        </w:rPr>
        <w:sectPr w:rsidR="00C21266" w:rsidRPr="005C3B55">
          <w:pgSz w:w="12240" w:h="15840"/>
          <w:pgMar w:top="900" w:right="900" w:bottom="900" w:left="900" w:header="708" w:footer="708" w:gutter="0"/>
          <w:cols w:space="708"/>
        </w:sectPr>
      </w:pPr>
    </w:p>
    <w:p w:rsidR="00C21266" w:rsidRPr="005C3B55" w:rsidRDefault="00C21266" w:rsidP="00C21266">
      <w:pPr>
        <w:pStyle w:val="Naslov3"/>
        <w:tabs>
          <w:tab w:val="clear" w:pos="765"/>
        </w:tabs>
        <w:ind w:left="0" w:firstLine="0"/>
        <w:jc w:val="left"/>
        <w:rPr>
          <w:sz w:val="16"/>
          <w:lang w:val="en-GB" w:eastAsia="en-GB" w:bidi="en-GB"/>
        </w:rPr>
      </w:pPr>
      <w:bookmarkStart w:id="163" w:name="_Toc416192621"/>
      <w:r w:rsidRPr="005C3B55">
        <w:rPr>
          <w:sz w:val="16"/>
          <w:lang w:val="en-GB"/>
        </w:rPr>
        <w:t>P2: Strengthening the ability of farms to survive and competitiveness of all types of farming in all regions, and promoting innovative agricultural technologies and sustainable forest management</w:t>
      </w:r>
      <w:bookmarkEnd w:id="163"/>
    </w:p>
    <w:p w:rsidR="00C21266" w:rsidRPr="005C3B55" w:rsidRDefault="00C21266" w:rsidP="00C21266">
      <w:pPr>
        <w:pStyle w:val="Naslov4"/>
        <w:tabs>
          <w:tab w:val="clear" w:pos="765"/>
        </w:tabs>
        <w:ind w:left="0" w:firstLine="0"/>
        <w:jc w:val="left"/>
        <w:rPr>
          <w:sz w:val="16"/>
          <w:lang w:val="en-GB"/>
        </w:rPr>
      </w:pPr>
      <w:r w:rsidRPr="005C3B55">
        <w:rPr>
          <w:sz w:val="16"/>
          <w:lang w:val="en-GB"/>
        </w:rPr>
        <w:t>2A) Improvement of economic performance of all farms and provision of easier reorganisation and upgrade of farms, in particular for the purpose of increasing their participation in the market and market orientation and agricultural diversification</w:t>
      </w:r>
    </w:p>
    <w:p w:rsidR="00C21266" w:rsidRPr="005C3B55" w:rsidRDefault="00C21266" w:rsidP="00C21266">
      <w:pPr>
        <w:rPr>
          <w:sz w:val="16"/>
        </w:rPr>
      </w:pPr>
      <w:r w:rsidRPr="005C3B55">
        <w:rPr>
          <w:sz w:val="16"/>
        </w:rPr>
        <w:t>Target indicators for the 2014-2020 period</w:t>
      </w:r>
    </w:p>
    <w:tbl>
      <w:tblPr>
        <w:tblStyle w:val="Navadnatabela1"/>
        <w:tblW w:w="5000"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25"/>
        <w:gridCol w:w="2131"/>
      </w:tblGrid>
      <w:tr w:rsidR="00C21266" w:rsidRPr="005C3B55">
        <w:trPr>
          <w:trHeight w:val="464"/>
        </w:trPr>
        <w:tc>
          <w:tcPr>
            <w:tcW w:w="1000" w:type="pct"/>
            <w:tcBorders>
              <w:top w:val="single" w:sz="4" w:space="0" w:color="auto"/>
              <w:left w:val="single" w:sz="4" w:space="0" w:color="auto"/>
              <w:bottom w:val="nil"/>
              <w:right w:val="single" w:sz="4" w:space="0" w:color="auto"/>
            </w:tcBorders>
            <w:shd w:val="clear" w:color="auto" w:fill="C0C0C0"/>
            <w:tcMar>
              <w:top w:w="60" w:type="dxa"/>
              <w:left w:w="108" w:type="dxa"/>
              <w:bottom w:w="0" w:type="dxa"/>
              <w:right w:w="108" w:type="dxa"/>
            </w:tcMar>
            <w:vAlign w:val="center"/>
          </w:tcPr>
          <w:p w:rsidR="00C21266" w:rsidRPr="005C3B55" w:rsidRDefault="00C21266">
            <w:pPr>
              <w:spacing w:after="200"/>
              <w:jc w:val="center"/>
              <w:rPr>
                <w:rFonts w:eastAsia="Calibri"/>
                <w:b/>
                <w:sz w:val="20"/>
                <w:lang w:eastAsia="en-GB" w:bidi="en-GB"/>
              </w:rPr>
            </w:pPr>
            <w:r w:rsidRPr="005C3B55">
              <w:rPr>
                <w:b/>
                <w:sz w:val="20"/>
              </w:rPr>
              <w:t>Indication of the target indicator</w:t>
            </w:r>
          </w:p>
        </w:tc>
        <w:tc>
          <w:tcPr>
            <w:tcW w:w="1000" w:type="pct"/>
            <w:tcBorders>
              <w:top w:val="single" w:sz="4" w:space="0" w:color="auto"/>
              <w:left w:val="single" w:sz="4" w:space="0" w:color="auto"/>
              <w:bottom w:val="nil"/>
              <w:right w:val="single" w:sz="4" w:space="0" w:color="auto"/>
            </w:tcBorders>
            <w:shd w:val="clear" w:color="auto" w:fill="C0C0C0"/>
            <w:tcMar>
              <w:top w:w="60" w:type="dxa"/>
              <w:left w:w="108" w:type="dxa"/>
              <w:bottom w:w="0" w:type="dxa"/>
              <w:right w:w="108" w:type="dxa"/>
            </w:tcMar>
            <w:vAlign w:val="center"/>
          </w:tcPr>
          <w:p w:rsidR="00C21266" w:rsidRPr="005C3B55" w:rsidRDefault="00C21266">
            <w:pPr>
              <w:spacing w:after="200"/>
              <w:jc w:val="center"/>
              <w:rPr>
                <w:rFonts w:eastAsia="Calibri"/>
                <w:b/>
                <w:sz w:val="20"/>
                <w:lang w:eastAsia="en-GB" w:bidi="en-GB"/>
              </w:rPr>
            </w:pPr>
            <w:r w:rsidRPr="005C3B55">
              <w:rPr>
                <w:b/>
                <w:sz w:val="20"/>
              </w:rPr>
              <w:t>Target value for 2023</w:t>
            </w:r>
          </w:p>
        </w:tc>
      </w:tr>
      <w:tr w:rsidR="00C21266" w:rsidRPr="005C3B55">
        <w:tc>
          <w:tcPr>
            <w:tcW w:w="4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b/>
                <w:sz w:val="16"/>
                <w:lang w:eastAsia="en-GB" w:bidi="en-GB"/>
              </w:rPr>
            </w:pPr>
            <w:r w:rsidRPr="005C3B55">
              <w:rPr>
                <w:b/>
                <w:sz w:val="16"/>
              </w:rPr>
              <w:t>T4: Percentage of agricultural holdings with the RDP programme support for investment in restructuring or modernisation (priority area 2A)</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jc w:val="right"/>
              <w:rPr>
                <w:rFonts w:eastAsia="Calibri"/>
                <w:b/>
                <w:sz w:val="16"/>
                <w:lang w:eastAsia="en-GB" w:bidi="en-GB"/>
              </w:rPr>
            </w:pPr>
            <w:r w:rsidRPr="005C3B55">
              <w:rPr>
                <w:b/>
                <w:sz w:val="16"/>
              </w:rPr>
              <w:t>3.44</w:t>
            </w:r>
          </w:p>
        </w:tc>
      </w:tr>
      <w:tr w:rsidR="00C21266" w:rsidRPr="005C3B55">
        <w:tc>
          <w:tcPr>
            <w:tcW w:w="4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sz w:val="16"/>
                <w:lang w:eastAsia="en-GB" w:bidi="en-GB"/>
              </w:rPr>
            </w:pPr>
            <w:r w:rsidRPr="005C3B55">
              <w:rPr>
                <w:sz w:val="16"/>
              </w:rPr>
              <w:t>Number of agricultural holdings with the RDP programme support for investment in restructuring or modernisation (priority area 2A)</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jc w:val="right"/>
              <w:rPr>
                <w:rFonts w:eastAsia="Calibri"/>
                <w:sz w:val="16"/>
                <w:lang w:eastAsia="en-GB" w:bidi="en-GB"/>
              </w:rPr>
            </w:pPr>
            <w:r w:rsidRPr="005C3B55">
              <w:rPr>
                <w:sz w:val="16"/>
              </w:rPr>
              <w:t>2,491.00</w:t>
            </w:r>
          </w:p>
        </w:tc>
      </w:tr>
    </w:tbl>
    <w:p w:rsidR="00C21266" w:rsidRPr="005C3B55" w:rsidRDefault="00C21266" w:rsidP="00C21266">
      <w:pPr>
        <w:jc w:val="center"/>
        <w:rPr>
          <w:rFonts w:eastAsia="Calibri"/>
          <w:sz w:val="16"/>
          <w:szCs w:val="22"/>
          <w:lang w:eastAsia="en-GB" w:bidi="en-GB"/>
        </w:rPr>
      </w:pPr>
    </w:p>
    <w:p w:rsidR="00C21266" w:rsidRPr="005C3B55" w:rsidRDefault="00C21266" w:rsidP="00C21266">
      <w:pPr>
        <w:rPr>
          <w:sz w:val="16"/>
        </w:rPr>
      </w:pPr>
      <w:r w:rsidRPr="005C3B55">
        <w:rPr>
          <w:sz w:val="16"/>
        </w:rPr>
        <w:t>Status indicator used as the denominator for the objective</w:t>
      </w:r>
    </w:p>
    <w:tbl>
      <w:tblPr>
        <w:tblStyle w:val="Navadnatabela1"/>
        <w:tblW w:w="5000"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25"/>
        <w:gridCol w:w="2131"/>
      </w:tblGrid>
      <w:tr w:rsidR="00C21266" w:rsidRPr="005C3B55">
        <w:tc>
          <w:tcPr>
            <w:tcW w:w="4000" w:type="pct"/>
            <w:tcBorders>
              <w:top w:val="single" w:sz="4" w:space="0" w:color="auto"/>
              <w:left w:val="single" w:sz="4" w:space="0" w:color="auto"/>
              <w:bottom w:val="single" w:sz="4" w:space="0" w:color="auto"/>
              <w:right w:val="single" w:sz="4" w:space="0" w:color="auto"/>
            </w:tcBorders>
            <w:shd w:val="clear" w:color="auto" w:fill="C0C0C0"/>
            <w:tcMar>
              <w:top w:w="60" w:type="dxa"/>
              <w:left w:w="108" w:type="dxa"/>
              <w:bottom w:w="0" w:type="dxa"/>
              <w:right w:w="108" w:type="dxa"/>
            </w:tcMar>
            <w:vAlign w:val="center"/>
          </w:tcPr>
          <w:p w:rsidR="00C21266" w:rsidRPr="005C3B55" w:rsidRDefault="00C21266">
            <w:pPr>
              <w:spacing w:after="200"/>
              <w:jc w:val="center"/>
              <w:rPr>
                <w:rFonts w:eastAsia="Calibri"/>
                <w:b/>
                <w:sz w:val="20"/>
                <w:lang w:eastAsia="en-GB" w:bidi="en-GB"/>
              </w:rPr>
            </w:pPr>
            <w:r w:rsidRPr="005C3B55">
              <w:rPr>
                <w:b/>
                <w:sz w:val="20"/>
              </w:rPr>
              <w:t>Indication of the status indicator</w:t>
            </w:r>
          </w:p>
        </w:tc>
        <w:tc>
          <w:tcPr>
            <w:tcW w:w="1000" w:type="pct"/>
            <w:tcBorders>
              <w:top w:val="single" w:sz="4" w:space="0" w:color="auto"/>
              <w:left w:val="single" w:sz="4" w:space="0" w:color="auto"/>
              <w:bottom w:val="single" w:sz="4" w:space="0" w:color="auto"/>
              <w:right w:val="single" w:sz="4" w:space="0" w:color="auto"/>
            </w:tcBorders>
            <w:shd w:val="clear" w:color="auto" w:fill="C0C0C0"/>
            <w:tcMar>
              <w:top w:w="60" w:type="dxa"/>
              <w:left w:w="108" w:type="dxa"/>
              <w:bottom w:w="0" w:type="dxa"/>
              <w:right w:w="108" w:type="dxa"/>
            </w:tcMar>
            <w:vAlign w:val="center"/>
          </w:tcPr>
          <w:p w:rsidR="00C21266" w:rsidRPr="005C3B55" w:rsidRDefault="00C21266">
            <w:pPr>
              <w:spacing w:after="200"/>
              <w:jc w:val="center"/>
              <w:rPr>
                <w:rFonts w:eastAsia="Calibri"/>
                <w:b/>
                <w:sz w:val="20"/>
                <w:lang w:eastAsia="en-GB" w:bidi="en-GB"/>
              </w:rPr>
            </w:pPr>
            <w:r w:rsidRPr="005C3B55">
              <w:rPr>
                <w:b/>
                <w:sz w:val="20"/>
              </w:rPr>
              <w:t>Value in the base year</w:t>
            </w:r>
          </w:p>
        </w:tc>
      </w:tr>
      <w:tr w:rsidR="00C21266" w:rsidRPr="005C3B55">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sz w:val="16"/>
                <w:lang w:eastAsia="en-GB" w:bidi="en-GB"/>
              </w:rPr>
            </w:pPr>
            <w:r w:rsidRPr="005C3B55">
              <w:rPr>
                <w:sz w:val="16"/>
              </w:rPr>
              <w:t>17 Agricultural holdings (farms) - total</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jc w:val="right"/>
              <w:rPr>
                <w:rFonts w:eastAsia="Calibri"/>
                <w:sz w:val="16"/>
                <w:lang w:eastAsia="en-GB" w:bidi="en-GB"/>
              </w:rPr>
            </w:pPr>
            <w:r w:rsidRPr="005C3B55">
              <w:rPr>
                <w:sz w:val="16"/>
              </w:rPr>
              <w:t>72,377.00</w:t>
            </w:r>
          </w:p>
        </w:tc>
      </w:tr>
    </w:tbl>
    <w:p w:rsidR="00C21266" w:rsidRPr="005C3B55" w:rsidRDefault="00C21266" w:rsidP="00C21266">
      <w:pPr>
        <w:rPr>
          <w:rFonts w:eastAsia="Calibri"/>
          <w:sz w:val="16"/>
          <w:szCs w:val="22"/>
          <w:lang w:eastAsia="en-GB" w:bidi="en-GB"/>
        </w:rPr>
      </w:pPr>
    </w:p>
    <w:p w:rsidR="00C21266" w:rsidRPr="005C3B55" w:rsidRDefault="00C21266" w:rsidP="00C21266">
      <w:pPr>
        <w:rPr>
          <w:sz w:val="16"/>
        </w:rPr>
      </w:pPr>
      <w:r w:rsidRPr="005C3B55">
        <w:rPr>
          <w:sz w:val="16"/>
        </w:rPr>
        <w:t>Planned impact indicators for the 2014-2020 period</w:t>
      </w:r>
    </w:p>
    <w:tbl>
      <w:tblPr>
        <w:tblStyle w:val="Navadnatabela1"/>
        <w:tblW w:w="5000"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63"/>
        <w:gridCol w:w="4262"/>
        <w:gridCol w:w="2131"/>
      </w:tblGrid>
      <w:tr w:rsidR="00C21266" w:rsidRPr="005C3B55">
        <w:trPr>
          <w:trHeight w:val="464"/>
        </w:trPr>
        <w:tc>
          <w:tcPr>
            <w:tcW w:w="2000" w:type="pct"/>
            <w:tcBorders>
              <w:top w:val="single" w:sz="4" w:space="0" w:color="auto"/>
              <w:left w:val="single" w:sz="4" w:space="0" w:color="auto"/>
              <w:bottom w:val="nil"/>
              <w:right w:val="single" w:sz="4" w:space="0" w:color="auto"/>
            </w:tcBorders>
            <w:shd w:val="clear" w:color="auto" w:fill="C0C0C0"/>
            <w:tcMar>
              <w:top w:w="60" w:type="dxa"/>
              <w:left w:w="108" w:type="dxa"/>
              <w:bottom w:w="0" w:type="dxa"/>
              <w:right w:w="108" w:type="dxa"/>
            </w:tcMar>
            <w:vAlign w:val="center"/>
          </w:tcPr>
          <w:p w:rsidR="00C21266" w:rsidRPr="005C3B55" w:rsidRDefault="00C21266">
            <w:pPr>
              <w:spacing w:after="200"/>
              <w:jc w:val="center"/>
              <w:rPr>
                <w:rFonts w:eastAsia="Calibri"/>
                <w:b/>
                <w:sz w:val="20"/>
                <w:lang w:eastAsia="en-GB" w:bidi="en-GB"/>
              </w:rPr>
            </w:pPr>
            <w:r w:rsidRPr="005C3B55">
              <w:rPr>
                <w:b/>
                <w:sz w:val="20"/>
              </w:rPr>
              <w:t>Name of the measure</w:t>
            </w:r>
          </w:p>
        </w:tc>
        <w:tc>
          <w:tcPr>
            <w:tcW w:w="2000" w:type="pct"/>
            <w:tcBorders>
              <w:top w:val="single" w:sz="4" w:space="0" w:color="auto"/>
              <w:left w:val="single" w:sz="4" w:space="0" w:color="auto"/>
              <w:bottom w:val="nil"/>
              <w:right w:val="single" w:sz="4" w:space="0" w:color="auto"/>
            </w:tcBorders>
            <w:shd w:val="clear" w:color="auto" w:fill="C0C0C0"/>
            <w:tcMar>
              <w:top w:w="60" w:type="dxa"/>
              <w:left w:w="108" w:type="dxa"/>
              <w:bottom w:w="0" w:type="dxa"/>
              <w:right w:w="108" w:type="dxa"/>
            </w:tcMar>
            <w:vAlign w:val="center"/>
          </w:tcPr>
          <w:p w:rsidR="00C21266" w:rsidRPr="005C3B55" w:rsidRDefault="00C21266">
            <w:pPr>
              <w:spacing w:after="200"/>
              <w:jc w:val="center"/>
              <w:rPr>
                <w:rFonts w:eastAsia="Calibri"/>
                <w:b/>
                <w:sz w:val="20"/>
                <w:lang w:eastAsia="en-GB" w:bidi="en-GB"/>
              </w:rPr>
            </w:pPr>
            <w:r w:rsidRPr="005C3B55">
              <w:rPr>
                <w:b/>
                <w:sz w:val="20"/>
              </w:rPr>
              <w:t>Indication of the indicator</w:t>
            </w:r>
          </w:p>
        </w:tc>
        <w:tc>
          <w:tcPr>
            <w:tcW w:w="1000" w:type="pct"/>
            <w:tcBorders>
              <w:top w:val="single" w:sz="4" w:space="0" w:color="auto"/>
              <w:left w:val="single" w:sz="4" w:space="0" w:color="auto"/>
              <w:bottom w:val="nil"/>
              <w:right w:val="single" w:sz="4" w:space="0" w:color="auto"/>
            </w:tcBorders>
            <w:shd w:val="clear" w:color="auto" w:fill="C0C0C0"/>
            <w:tcMar>
              <w:top w:w="60" w:type="dxa"/>
              <w:left w:w="108" w:type="dxa"/>
              <w:bottom w:w="0" w:type="dxa"/>
              <w:right w:w="108" w:type="dxa"/>
            </w:tcMar>
            <w:vAlign w:val="center"/>
          </w:tcPr>
          <w:p w:rsidR="00C21266" w:rsidRPr="005C3B55" w:rsidRDefault="00C21266">
            <w:pPr>
              <w:spacing w:after="200"/>
              <w:jc w:val="center"/>
              <w:rPr>
                <w:rFonts w:eastAsia="Calibri"/>
                <w:b/>
                <w:sz w:val="20"/>
                <w:lang w:eastAsia="en-GB" w:bidi="en-GB"/>
              </w:rPr>
            </w:pPr>
            <w:r w:rsidRPr="005C3B55">
              <w:rPr>
                <w:b/>
                <w:sz w:val="20"/>
              </w:rPr>
              <w:t>Value</w:t>
            </w:r>
          </w:p>
        </w:tc>
      </w:tr>
      <w:tr w:rsidR="00C21266" w:rsidRPr="005C3B55">
        <w:trPr>
          <w:trHeight w:val="232"/>
        </w:trPr>
        <w:tc>
          <w:tcPr>
            <w:tcW w:w="2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b/>
                <w:sz w:val="16"/>
                <w:lang w:eastAsia="en-GB" w:bidi="en-GB"/>
              </w:rPr>
            </w:pPr>
            <w:r w:rsidRPr="005C3B55">
              <w:rPr>
                <w:b/>
                <w:sz w:val="16"/>
              </w:rPr>
              <w:t>M01 – Knowledge transfer and information actions (Article 14)</w:t>
            </w:r>
          </w:p>
        </w:tc>
        <w:tc>
          <w:tcPr>
            <w:tcW w:w="2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sz w:val="16"/>
                <w:lang w:eastAsia="en-GB" w:bidi="en-GB"/>
              </w:rPr>
            </w:pPr>
            <w:r w:rsidRPr="005C3B55">
              <w:rPr>
                <w:sz w:val="16"/>
              </w:rPr>
              <w:t>Training/acquisition of skills (1.1) - number of participants in training</w:t>
            </w:r>
          </w:p>
        </w:tc>
        <w:tc>
          <w:tcPr>
            <w:tcW w:w="1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jc w:val="right"/>
              <w:rPr>
                <w:rFonts w:eastAsia="Calibri"/>
                <w:sz w:val="16"/>
                <w:lang w:eastAsia="en-GB" w:bidi="en-GB"/>
              </w:rPr>
            </w:pPr>
            <w:r w:rsidRPr="005C3B55">
              <w:rPr>
                <w:sz w:val="16"/>
              </w:rPr>
              <w:t>3,100.00</w:t>
            </w:r>
          </w:p>
        </w:tc>
      </w:tr>
      <w:tr w:rsidR="00C21266" w:rsidRPr="005C3B55">
        <w:trPr>
          <w:trHeight w:val="232"/>
        </w:trPr>
        <w:tc>
          <w:tcPr>
            <w:tcW w:w="2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b/>
                <w:sz w:val="16"/>
                <w:lang w:eastAsia="en-GB" w:bidi="en-GB"/>
              </w:rPr>
            </w:pPr>
            <w:r w:rsidRPr="005C3B55">
              <w:rPr>
                <w:b/>
                <w:sz w:val="16"/>
              </w:rPr>
              <w:t>M01 – Knowledge transfer and information actions (Article 14)</w:t>
            </w:r>
          </w:p>
        </w:tc>
        <w:tc>
          <w:tcPr>
            <w:tcW w:w="2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sz w:val="16"/>
                <w:lang w:eastAsia="en-GB" w:bidi="en-GB"/>
              </w:rPr>
            </w:pPr>
            <w:r w:rsidRPr="005C3B55">
              <w:rPr>
                <w:sz w:val="16"/>
              </w:rPr>
              <w:t>Training/acquisition of skills (1.1) - total public expenditures for training/skills</w:t>
            </w:r>
          </w:p>
        </w:tc>
        <w:tc>
          <w:tcPr>
            <w:tcW w:w="1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jc w:val="right"/>
              <w:rPr>
                <w:rFonts w:eastAsia="Calibri"/>
                <w:sz w:val="16"/>
                <w:lang w:eastAsia="en-GB" w:bidi="en-GB"/>
              </w:rPr>
            </w:pPr>
            <w:r w:rsidRPr="005C3B55">
              <w:rPr>
                <w:sz w:val="16"/>
              </w:rPr>
              <w:t>1,235,000.00</w:t>
            </w:r>
          </w:p>
        </w:tc>
      </w:tr>
      <w:tr w:rsidR="00C21266" w:rsidRPr="005C3B55">
        <w:trPr>
          <w:trHeight w:val="232"/>
        </w:trPr>
        <w:tc>
          <w:tcPr>
            <w:tcW w:w="2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b/>
                <w:sz w:val="16"/>
                <w:lang w:eastAsia="en-GB" w:bidi="en-GB"/>
              </w:rPr>
            </w:pPr>
            <w:r w:rsidRPr="005C3B55">
              <w:rPr>
                <w:b/>
                <w:sz w:val="16"/>
              </w:rPr>
              <w:t>M01 – Knowledge transfer and information actions (Article 14)</w:t>
            </w:r>
          </w:p>
        </w:tc>
        <w:tc>
          <w:tcPr>
            <w:tcW w:w="2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sz w:val="16"/>
                <w:lang w:eastAsia="en-GB" w:bidi="en-GB"/>
              </w:rPr>
            </w:pPr>
            <w:r w:rsidRPr="005C3B55">
              <w:rPr>
                <w:sz w:val="16"/>
              </w:rPr>
              <w:t>Total public expenditures in EUR (trainings, exchanges between agricultural holdings, representation activities) (1.1-1.3)</w:t>
            </w:r>
          </w:p>
        </w:tc>
        <w:tc>
          <w:tcPr>
            <w:tcW w:w="1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jc w:val="right"/>
              <w:rPr>
                <w:rFonts w:eastAsia="Calibri"/>
                <w:sz w:val="16"/>
                <w:lang w:eastAsia="en-GB" w:bidi="en-GB"/>
              </w:rPr>
            </w:pPr>
            <w:r w:rsidRPr="005C3B55">
              <w:rPr>
                <w:sz w:val="16"/>
              </w:rPr>
              <w:t>1,875,000.00</w:t>
            </w:r>
          </w:p>
        </w:tc>
      </w:tr>
      <w:tr w:rsidR="00C21266" w:rsidRPr="005C3B55">
        <w:trPr>
          <w:trHeight w:val="232"/>
        </w:trPr>
        <w:tc>
          <w:tcPr>
            <w:tcW w:w="2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b/>
                <w:sz w:val="16"/>
                <w:lang w:eastAsia="en-GB" w:bidi="en-GB"/>
              </w:rPr>
            </w:pPr>
            <w:r w:rsidRPr="005C3B55">
              <w:rPr>
                <w:b/>
                <w:sz w:val="16"/>
              </w:rPr>
              <w:t>M04 - Investments in physical assets (Article 17)</w:t>
            </w:r>
          </w:p>
        </w:tc>
        <w:tc>
          <w:tcPr>
            <w:tcW w:w="2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sz w:val="16"/>
                <w:lang w:eastAsia="en-GB" w:bidi="en-GB"/>
              </w:rPr>
            </w:pPr>
            <w:r w:rsidRPr="005C3B55">
              <w:rPr>
                <w:sz w:val="16"/>
              </w:rPr>
              <w:t>Number of holdings receiving the support for investments in agricultural holdings (4.1)</w:t>
            </w:r>
          </w:p>
        </w:tc>
        <w:tc>
          <w:tcPr>
            <w:tcW w:w="1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jc w:val="right"/>
              <w:rPr>
                <w:rFonts w:eastAsia="Calibri"/>
                <w:sz w:val="16"/>
                <w:lang w:eastAsia="en-GB" w:bidi="en-GB"/>
              </w:rPr>
            </w:pPr>
            <w:r w:rsidRPr="005C3B55">
              <w:rPr>
                <w:sz w:val="16"/>
              </w:rPr>
              <w:t>2,491.00</w:t>
            </w:r>
          </w:p>
        </w:tc>
      </w:tr>
      <w:tr w:rsidR="00C21266" w:rsidRPr="005C3B55">
        <w:trPr>
          <w:trHeight w:val="232"/>
        </w:trPr>
        <w:tc>
          <w:tcPr>
            <w:tcW w:w="2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b/>
                <w:sz w:val="16"/>
                <w:lang w:eastAsia="en-GB" w:bidi="en-GB"/>
              </w:rPr>
            </w:pPr>
            <w:r w:rsidRPr="005C3B55">
              <w:rPr>
                <w:b/>
                <w:sz w:val="16"/>
              </w:rPr>
              <w:t>M04 - Investments in physical assets (Article 17)</w:t>
            </w:r>
          </w:p>
        </w:tc>
        <w:tc>
          <w:tcPr>
            <w:tcW w:w="2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sz w:val="16"/>
                <w:lang w:eastAsia="en-GB" w:bidi="en-GB"/>
              </w:rPr>
            </w:pPr>
            <w:r w:rsidRPr="005C3B55">
              <w:rPr>
                <w:sz w:val="16"/>
              </w:rPr>
              <w:t>Total public expenditures in infrastructure (4.3)</w:t>
            </w:r>
          </w:p>
        </w:tc>
        <w:tc>
          <w:tcPr>
            <w:tcW w:w="1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jc w:val="right"/>
              <w:rPr>
                <w:rFonts w:eastAsia="Calibri"/>
                <w:sz w:val="16"/>
                <w:lang w:eastAsia="en-GB" w:bidi="en-GB"/>
              </w:rPr>
            </w:pPr>
            <w:r w:rsidRPr="005C3B55">
              <w:rPr>
                <w:sz w:val="16"/>
              </w:rPr>
              <w:t>33,070,597.95</w:t>
            </w:r>
          </w:p>
        </w:tc>
      </w:tr>
      <w:tr w:rsidR="00C21266" w:rsidRPr="005C3B55">
        <w:trPr>
          <w:trHeight w:val="232"/>
        </w:trPr>
        <w:tc>
          <w:tcPr>
            <w:tcW w:w="2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b/>
                <w:sz w:val="16"/>
                <w:lang w:eastAsia="en-GB" w:bidi="en-GB"/>
              </w:rPr>
            </w:pPr>
            <w:r w:rsidRPr="005C3B55">
              <w:rPr>
                <w:b/>
                <w:sz w:val="16"/>
              </w:rPr>
              <w:t>M04 - Investments in physical assets (Article 17)</w:t>
            </w:r>
          </w:p>
        </w:tc>
        <w:tc>
          <w:tcPr>
            <w:tcW w:w="2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sz w:val="16"/>
                <w:lang w:eastAsia="en-GB" w:bidi="en-GB"/>
              </w:rPr>
            </w:pPr>
            <w:r w:rsidRPr="005C3B55">
              <w:rPr>
                <w:sz w:val="16"/>
              </w:rPr>
              <w:t>Total investments in EUR (public and private)</w:t>
            </w:r>
          </w:p>
        </w:tc>
        <w:tc>
          <w:tcPr>
            <w:tcW w:w="1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jc w:val="right"/>
              <w:rPr>
                <w:rFonts w:eastAsia="Calibri"/>
                <w:sz w:val="16"/>
                <w:lang w:eastAsia="en-GB" w:bidi="en-GB"/>
              </w:rPr>
            </w:pPr>
            <w:r w:rsidRPr="005C3B55">
              <w:rPr>
                <w:sz w:val="16"/>
              </w:rPr>
              <w:t>417,251,845.56</w:t>
            </w:r>
          </w:p>
        </w:tc>
      </w:tr>
      <w:tr w:rsidR="00C21266" w:rsidRPr="005C3B55">
        <w:trPr>
          <w:trHeight w:val="232"/>
        </w:trPr>
        <w:tc>
          <w:tcPr>
            <w:tcW w:w="2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b/>
                <w:sz w:val="16"/>
                <w:lang w:eastAsia="en-GB" w:bidi="en-GB"/>
              </w:rPr>
            </w:pPr>
            <w:r w:rsidRPr="005C3B55">
              <w:rPr>
                <w:b/>
                <w:sz w:val="16"/>
              </w:rPr>
              <w:t>M04 - Investments in physical assets (Article 17)</w:t>
            </w:r>
          </w:p>
        </w:tc>
        <w:tc>
          <w:tcPr>
            <w:tcW w:w="2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sz w:val="16"/>
                <w:lang w:eastAsia="en-GB" w:bidi="en-GB"/>
              </w:rPr>
            </w:pPr>
            <w:r w:rsidRPr="005C3B55">
              <w:rPr>
                <w:sz w:val="16"/>
              </w:rPr>
              <w:t>Total public expenditures in EUR (4.1)</w:t>
            </w:r>
          </w:p>
        </w:tc>
        <w:tc>
          <w:tcPr>
            <w:tcW w:w="1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jc w:val="right"/>
              <w:rPr>
                <w:rFonts w:eastAsia="Calibri"/>
                <w:sz w:val="16"/>
                <w:lang w:eastAsia="en-GB" w:bidi="en-GB"/>
              </w:rPr>
            </w:pPr>
            <w:r w:rsidRPr="005C3B55">
              <w:rPr>
                <w:sz w:val="16"/>
              </w:rPr>
              <w:t>118,633,956.36</w:t>
            </w:r>
          </w:p>
        </w:tc>
      </w:tr>
      <w:tr w:rsidR="00C21266" w:rsidRPr="005C3B55">
        <w:tc>
          <w:tcPr>
            <w:tcW w:w="2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b/>
                <w:sz w:val="16"/>
                <w:lang w:eastAsia="en-GB" w:bidi="en-GB"/>
              </w:rPr>
            </w:pPr>
            <w:r w:rsidRPr="005C3B55">
              <w:rPr>
                <w:b/>
                <w:sz w:val="16"/>
              </w:rPr>
              <w:t>M04 - Investments in physical assets (Article 17)</w:t>
            </w:r>
          </w:p>
        </w:tc>
        <w:tc>
          <w:tcPr>
            <w:tcW w:w="2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sz w:val="16"/>
                <w:lang w:eastAsia="en-GB" w:bidi="en-GB"/>
              </w:rPr>
            </w:pPr>
            <w:r w:rsidRPr="005C3B55">
              <w:rPr>
                <w:sz w:val="16"/>
              </w:rPr>
              <w:t>Total public expenditures in EUR</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jc w:val="right"/>
              <w:rPr>
                <w:rFonts w:eastAsia="Calibri"/>
                <w:sz w:val="16"/>
                <w:lang w:eastAsia="en-GB" w:bidi="en-GB"/>
              </w:rPr>
            </w:pPr>
            <w:r w:rsidRPr="005C3B55">
              <w:rPr>
                <w:sz w:val="16"/>
              </w:rPr>
              <w:t>151,704,554.31</w:t>
            </w:r>
          </w:p>
        </w:tc>
      </w:tr>
      <w:tr w:rsidR="00C21266" w:rsidRPr="005C3B55">
        <w:tc>
          <w:tcPr>
            <w:tcW w:w="2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b/>
                <w:sz w:val="16"/>
                <w:lang w:eastAsia="en-GB" w:bidi="en-GB"/>
              </w:rPr>
            </w:pPr>
            <w:r w:rsidRPr="005C3B55">
              <w:rPr>
                <w:b/>
                <w:sz w:val="16"/>
              </w:rPr>
              <w:t>M16 – Cooperation (Article 35)</w:t>
            </w:r>
          </w:p>
        </w:tc>
        <w:tc>
          <w:tcPr>
            <w:tcW w:w="2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sz w:val="16"/>
                <w:lang w:eastAsia="en-GB" w:bidi="en-GB"/>
              </w:rPr>
            </w:pPr>
            <w:r w:rsidRPr="005C3B55">
              <w:rPr>
                <w:sz w:val="16"/>
              </w:rPr>
              <w:t>Total public expenditures in EUR (16.1-16.9)</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jc w:val="right"/>
              <w:rPr>
                <w:rFonts w:eastAsia="Calibri"/>
                <w:sz w:val="16"/>
                <w:lang w:eastAsia="en-GB" w:bidi="en-GB"/>
              </w:rPr>
            </w:pPr>
            <w:r w:rsidRPr="005C3B55">
              <w:rPr>
                <w:sz w:val="16"/>
              </w:rPr>
              <w:t>8,767,312.50</w:t>
            </w:r>
          </w:p>
        </w:tc>
      </w:tr>
    </w:tbl>
    <w:p w:rsidR="00C21266" w:rsidRPr="005C3B55" w:rsidRDefault="00C21266" w:rsidP="00C21266">
      <w:pPr>
        <w:spacing w:after="0"/>
        <w:rPr>
          <w:sz w:val="16"/>
        </w:rPr>
        <w:sectPr w:rsidR="00C21266" w:rsidRPr="005C3B55">
          <w:pgSz w:w="12240" w:h="15840"/>
          <w:pgMar w:top="900" w:right="900" w:bottom="900" w:left="900" w:header="708" w:footer="708" w:gutter="0"/>
          <w:cols w:space="708"/>
        </w:sectPr>
      </w:pPr>
    </w:p>
    <w:p w:rsidR="00C21266" w:rsidRPr="005C3B55" w:rsidRDefault="00C21266" w:rsidP="00C21266">
      <w:pPr>
        <w:pStyle w:val="Naslov4"/>
        <w:tabs>
          <w:tab w:val="clear" w:pos="765"/>
        </w:tabs>
        <w:ind w:left="0" w:firstLine="0"/>
        <w:jc w:val="left"/>
        <w:rPr>
          <w:sz w:val="16"/>
          <w:lang w:val="en-GB" w:eastAsia="en-GB" w:bidi="en-GB"/>
        </w:rPr>
      </w:pPr>
      <w:r w:rsidRPr="005C3B55">
        <w:rPr>
          <w:sz w:val="16"/>
          <w:lang w:val="en-GB"/>
        </w:rPr>
        <w:t>2B) Provision of easier start of agricultural holdings management for qualified farmers and generational renewal in particular</w:t>
      </w:r>
    </w:p>
    <w:p w:rsidR="00C21266" w:rsidRPr="005C3B55" w:rsidRDefault="00C21266" w:rsidP="00C21266">
      <w:pPr>
        <w:rPr>
          <w:sz w:val="16"/>
        </w:rPr>
      </w:pPr>
      <w:r w:rsidRPr="005C3B55">
        <w:rPr>
          <w:sz w:val="16"/>
        </w:rPr>
        <w:t>Target indicators for the 2014-2020 period</w:t>
      </w:r>
    </w:p>
    <w:tbl>
      <w:tblPr>
        <w:tblStyle w:val="Navadnatabela1"/>
        <w:tblW w:w="5000"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25"/>
        <w:gridCol w:w="2131"/>
      </w:tblGrid>
      <w:tr w:rsidR="00C21266" w:rsidRPr="005C3B55">
        <w:trPr>
          <w:trHeight w:val="464"/>
        </w:trPr>
        <w:tc>
          <w:tcPr>
            <w:tcW w:w="1000" w:type="pct"/>
            <w:tcBorders>
              <w:top w:val="single" w:sz="4" w:space="0" w:color="auto"/>
              <w:left w:val="single" w:sz="4" w:space="0" w:color="auto"/>
              <w:bottom w:val="nil"/>
              <w:right w:val="single" w:sz="4" w:space="0" w:color="auto"/>
            </w:tcBorders>
            <w:shd w:val="clear" w:color="auto" w:fill="C0C0C0"/>
            <w:tcMar>
              <w:top w:w="60" w:type="dxa"/>
              <w:left w:w="108" w:type="dxa"/>
              <w:bottom w:w="0" w:type="dxa"/>
              <w:right w:w="108" w:type="dxa"/>
            </w:tcMar>
            <w:vAlign w:val="center"/>
          </w:tcPr>
          <w:p w:rsidR="00C21266" w:rsidRPr="005C3B55" w:rsidRDefault="00C21266">
            <w:pPr>
              <w:spacing w:after="200"/>
              <w:jc w:val="center"/>
              <w:rPr>
                <w:rFonts w:eastAsia="Calibri"/>
                <w:b/>
                <w:sz w:val="20"/>
                <w:lang w:eastAsia="en-GB" w:bidi="en-GB"/>
              </w:rPr>
            </w:pPr>
            <w:r w:rsidRPr="005C3B55">
              <w:rPr>
                <w:b/>
                <w:sz w:val="20"/>
              </w:rPr>
              <w:t>Indication of the target indicator</w:t>
            </w:r>
          </w:p>
        </w:tc>
        <w:tc>
          <w:tcPr>
            <w:tcW w:w="1000" w:type="pct"/>
            <w:tcBorders>
              <w:top w:val="single" w:sz="4" w:space="0" w:color="auto"/>
              <w:left w:val="single" w:sz="4" w:space="0" w:color="auto"/>
              <w:bottom w:val="nil"/>
              <w:right w:val="single" w:sz="4" w:space="0" w:color="auto"/>
            </w:tcBorders>
            <w:shd w:val="clear" w:color="auto" w:fill="C0C0C0"/>
            <w:tcMar>
              <w:top w:w="60" w:type="dxa"/>
              <w:left w:w="108" w:type="dxa"/>
              <w:bottom w:w="0" w:type="dxa"/>
              <w:right w:w="108" w:type="dxa"/>
            </w:tcMar>
            <w:vAlign w:val="center"/>
          </w:tcPr>
          <w:p w:rsidR="00C21266" w:rsidRPr="005C3B55" w:rsidRDefault="00C21266">
            <w:pPr>
              <w:spacing w:after="200"/>
              <w:jc w:val="center"/>
              <w:rPr>
                <w:rFonts w:eastAsia="Calibri"/>
                <w:b/>
                <w:sz w:val="20"/>
                <w:lang w:eastAsia="en-GB" w:bidi="en-GB"/>
              </w:rPr>
            </w:pPr>
            <w:r w:rsidRPr="005C3B55">
              <w:rPr>
                <w:b/>
                <w:sz w:val="20"/>
              </w:rPr>
              <w:t>Target value for 2023</w:t>
            </w:r>
          </w:p>
        </w:tc>
      </w:tr>
      <w:tr w:rsidR="00C21266" w:rsidRPr="005C3B55">
        <w:tc>
          <w:tcPr>
            <w:tcW w:w="4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b/>
                <w:sz w:val="16"/>
                <w:lang w:eastAsia="en-GB" w:bidi="en-GB"/>
              </w:rPr>
            </w:pPr>
            <w:r w:rsidRPr="005C3B55">
              <w:rPr>
                <w:b/>
                <w:sz w:val="16"/>
              </w:rPr>
              <w:t>T5: Percentage of agricultural holdings with a business development plan/ investments for young farmers supported with the rural development plan (priority area 2B)</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jc w:val="right"/>
              <w:rPr>
                <w:rFonts w:eastAsia="Calibri"/>
                <w:b/>
                <w:sz w:val="16"/>
                <w:lang w:eastAsia="en-GB" w:bidi="en-GB"/>
              </w:rPr>
            </w:pPr>
            <w:r w:rsidRPr="005C3B55">
              <w:rPr>
                <w:b/>
                <w:sz w:val="16"/>
              </w:rPr>
              <w:t>3.45</w:t>
            </w:r>
          </w:p>
        </w:tc>
      </w:tr>
      <w:tr w:rsidR="00C21266" w:rsidRPr="005C3B55">
        <w:tc>
          <w:tcPr>
            <w:tcW w:w="4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sz w:val="16"/>
                <w:lang w:eastAsia="en-GB" w:bidi="en-GB"/>
              </w:rPr>
            </w:pPr>
            <w:r w:rsidRPr="005C3B55">
              <w:rPr>
                <w:sz w:val="16"/>
              </w:rPr>
              <w:t>Number of agricultural holdings with business development plan / investments for young farmers, supported with the rural development plan (priority area 2B)</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jc w:val="right"/>
              <w:rPr>
                <w:rFonts w:eastAsia="Calibri"/>
                <w:sz w:val="16"/>
                <w:lang w:eastAsia="en-GB" w:bidi="en-GB"/>
              </w:rPr>
            </w:pPr>
            <w:r w:rsidRPr="005C3B55">
              <w:rPr>
                <w:sz w:val="16"/>
              </w:rPr>
              <w:t>2,500.00</w:t>
            </w:r>
          </w:p>
        </w:tc>
      </w:tr>
    </w:tbl>
    <w:p w:rsidR="00C21266" w:rsidRPr="005C3B55" w:rsidRDefault="00C21266" w:rsidP="00C21266">
      <w:pPr>
        <w:jc w:val="center"/>
        <w:rPr>
          <w:rFonts w:eastAsia="Calibri"/>
          <w:sz w:val="16"/>
          <w:szCs w:val="22"/>
          <w:lang w:eastAsia="en-GB" w:bidi="en-GB"/>
        </w:rPr>
      </w:pPr>
    </w:p>
    <w:p w:rsidR="00C21266" w:rsidRPr="005C3B55" w:rsidRDefault="00C21266" w:rsidP="00C21266">
      <w:pPr>
        <w:rPr>
          <w:sz w:val="16"/>
        </w:rPr>
      </w:pPr>
      <w:r w:rsidRPr="005C3B55">
        <w:rPr>
          <w:sz w:val="16"/>
        </w:rPr>
        <w:t>Status indicator used as the denominator for the objective</w:t>
      </w:r>
    </w:p>
    <w:tbl>
      <w:tblPr>
        <w:tblStyle w:val="Navadnatabela1"/>
        <w:tblW w:w="5000"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25"/>
        <w:gridCol w:w="2131"/>
      </w:tblGrid>
      <w:tr w:rsidR="00C21266" w:rsidRPr="005C3B55">
        <w:tc>
          <w:tcPr>
            <w:tcW w:w="4000" w:type="pct"/>
            <w:tcBorders>
              <w:top w:val="single" w:sz="4" w:space="0" w:color="auto"/>
              <w:left w:val="single" w:sz="4" w:space="0" w:color="auto"/>
              <w:bottom w:val="single" w:sz="4" w:space="0" w:color="auto"/>
              <w:right w:val="single" w:sz="4" w:space="0" w:color="auto"/>
            </w:tcBorders>
            <w:shd w:val="clear" w:color="auto" w:fill="C0C0C0"/>
            <w:tcMar>
              <w:top w:w="60" w:type="dxa"/>
              <w:left w:w="108" w:type="dxa"/>
              <w:bottom w:w="0" w:type="dxa"/>
              <w:right w:w="108" w:type="dxa"/>
            </w:tcMar>
            <w:vAlign w:val="center"/>
          </w:tcPr>
          <w:p w:rsidR="00C21266" w:rsidRPr="005C3B55" w:rsidRDefault="00C21266">
            <w:pPr>
              <w:spacing w:after="200"/>
              <w:jc w:val="center"/>
              <w:rPr>
                <w:rFonts w:eastAsia="Calibri"/>
                <w:b/>
                <w:sz w:val="20"/>
                <w:lang w:eastAsia="en-GB" w:bidi="en-GB"/>
              </w:rPr>
            </w:pPr>
            <w:r w:rsidRPr="005C3B55">
              <w:rPr>
                <w:b/>
                <w:sz w:val="20"/>
              </w:rPr>
              <w:t>Indication of the status indicator</w:t>
            </w:r>
          </w:p>
        </w:tc>
        <w:tc>
          <w:tcPr>
            <w:tcW w:w="1000" w:type="pct"/>
            <w:tcBorders>
              <w:top w:val="single" w:sz="4" w:space="0" w:color="auto"/>
              <w:left w:val="single" w:sz="4" w:space="0" w:color="auto"/>
              <w:bottom w:val="single" w:sz="4" w:space="0" w:color="auto"/>
              <w:right w:val="single" w:sz="4" w:space="0" w:color="auto"/>
            </w:tcBorders>
            <w:shd w:val="clear" w:color="auto" w:fill="C0C0C0"/>
            <w:tcMar>
              <w:top w:w="60" w:type="dxa"/>
              <w:left w:w="108" w:type="dxa"/>
              <w:bottom w:w="0" w:type="dxa"/>
              <w:right w:w="108" w:type="dxa"/>
            </w:tcMar>
            <w:vAlign w:val="center"/>
          </w:tcPr>
          <w:p w:rsidR="00C21266" w:rsidRPr="005C3B55" w:rsidRDefault="00C21266">
            <w:pPr>
              <w:spacing w:after="200"/>
              <w:jc w:val="center"/>
              <w:rPr>
                <w:rFonts w:eastAsia="Calibri"/>
                <w:b/>
                <w:sz w:val="20"/>
                <w:lang w:eastAsia="en-GB" w:bidi="en-GB"/>
              </w:rPr>
            </w:pPr>
            <w:r w:rsidRPr="005C3B55">
              <w:rPr>
                <w:b/>
                <w:sz w:val="20"/>
              </w:rPr>
              <w:t>Value in the base year</w:t>
            </w:r>
          </w:p>
        </w:tc>
      </w:tr>
      <w:tr w:rsidR="00C21266" w:rsidRPr="005C3B55">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sz w:val="16"/>
                <w:lang w:eastAsia="en-GB" w:bidi="en-GB"/>
              </w:rPr>
            </w:pPr>
            <w:r w:rsidRPr="005C3B55">
              <w:rPr>
                <w:sz w:val="16"/>
              </w:rPr>
              <w:t>17 Agricultural holdings (farms) - total</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jc w:val="right"/>
              <w:rPr>
                <w:rFonts w:eastAsia="Calibri"/>
                <w:sz w:val="16"/>
                <w:lang w:eastAsia="en-GB" w:bidi="en-GB"/>
              </w:rPr>
            </w:pPr>
            <w:r w:rsidRPr="005C3B55">
              <w:rPr>
                <w:sz w:val="16"/>
              </w:rPr>
              <w:t>72,377.00</w:t>
            </w:r>
          </w:p>
        </w:tc>
      </w:tr>
    </w:tbl>
    <w:p w:rsidR="00C21266" w:rsidRPr="005C3B55" w:rsidRDefault="00C21266" w:rsidP="00C21266">
      <w:pPr>
        <w:rPr>
          <w:rFonts w:eastAsia="Calibri"/>
          <w:sz w:val="16"/>
          <w:szCs w:val="22"/>
          <w:lang w:eastAsia="en-GB" w:bidi="en-GB"/>
        </w:rPr>
      </w:pPr>
    </w:p>
    <w:p w:rsidR="00C21266" w:rsidRPr="005C3B55" w:rsidRDefault="00C21266" w:rsidP="00C21266">
      <w:pPr>
        <w:rPr>
          <w:sz w:val="16"/>
        </w:rPr>
      </w:pPr>
      <w:r w:rsidRPr="005C3B55">
        <w:rPr>
          <w:sz w:val="16"/>
        </w:rPr>
        <w:t>Planned impact indicators for the 2014-2020 period</w:t>
      </w:r>
    </w:p>
    <w:tbl>
      <w:tblPr>
        <w:tblStyle w:val="Navadnatabela1"/>
        <w:tblW w:w="5000"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63"/>
        <w:gridCol w:w="4262"/>
        <w:gridCol w:w="2131"/>
      </w:tblGrid>
      <w:tr w:rsidR="00C21266" w:rsidRPr="005C3B55">
        <w:trPr>
          <w:trHeight w:val="464"/>
        </w:trPr>
        <w:tc>
          <w:tcPr>
            <w:tcW w:w="2000" w:type="pct"/>
            <w:tcBorders>
              <w:top w:val="single" w:sz="4" w:space="0" w:color="auto"/>
              <w:left w:val="single" w:sz="4" w:space="0" w:color="auto"/>
              <w:bottom w:val="nil"/>
              <w:right w:val="single" w:sz="4" w:space="0" w:color="auto"/>
            </w:tcBorders>
            <w:shd w:val="clear" w:color="auto" w:fill="C0C0C0"/>
            <w:tcMar>
              <w:top w:w="60" w:type="dxa"/>
              <w:left w:w="108" w:type="dxa"/>
              <w:bottom w:w="0" w:type="dxa"/>
              <w:right w:w="108" w:type="dxa"/>
            </w:tcMar>
            <w:vAlign w:val="center"/>
          </w:tcPr>
          <w:p w:rsidR="00C21266" w:rsidRPr="005C3B55" w:rsidRDefault="00C21266">
            <w:pPr>
              <w:spacing w:after="200"/>
              <w:jc w:val="center"/>
              <w:rPr>
                <w:rFonts w:eastAsia="Calibri"/>
                <w:b/>
                <w:sz w:val="20"/>
                <w:lang w:eastAsia="en-GB" w:bidi="en-GB"/>
              </w:rPr>
            </w:pPr>
            <w:r w:rsidRPr="005C3B55">
              <w:rPr>
                <w:b/>
                <w:sz w:val="20"/>
              </w:rPr>
              <w:t>Name of the measure</w:t>
            </w:r>
          </w:p>
        </w:tc>
        <w:tc>
          <w:tcPr>
            <w:tcW w:w="2000" w:type="pct"/>
            <w:tcBorders>
              <w:top w:val="single" w:sz="4" w:space="0" w:color="auto"/>
              <w:left w:val="single" w:sz="4" w:space="0" w:color="auto"/>
              <w:bottom w:val="nil"/>
              <w:right w:val="single" w:sz="4" w:space="0" w:color="auto"/>
            </w:tcBorders>
            <w:shd w:val="clear" w:color="auto" w:fill="C0C0C0"/>
            <w:tcMar>
              <w:top w:w="60" w:type="dxa"/>
              <w:left w:w="108" w:type="dxa"/>
              <w:bottom w:w="0" w:type="dxa"/>
              <w:right w:w="108" w:type="dxa"/>
            </w:tcMar>
            <w:vAlign w:val="center"/>
          </w:tcPr>
          <w:p w:rsidR="00C21266" w:rsidRPr="005C3B55" w:rsidRDefault="00C21266">
            <w:pPr>
              <w:spacing w:after="200"/>
              <w:jc w:val="center"/>
              <w:rPr>
                <w:rFonts w:eastAsia="Calibri"/>
                <w:b/>
                <w:sz w:val="20"/>
                <w:lang w:eastAsia="en-GB" w:bidi="en-GB"/>
              </w:rPr>
            </w:pPr>
            <w:r w:rsidRPr="005C3B55">
              <w:rPr>
                <w:b/>
                <w:sz w:val="20"/>
              </w:rPr>
              <w:t>Indication of the indicator</w:t>
            </w:r>
          </w:p>
        </w:tc>
        <w:tc>
          <w:tcPr>
            <w:tcW w:w="1000" w:type="pct"/>
            <w:tcBorders>
              <w:top w:val="single" w:sz="4" w:space="0" w:color="auto"/>
              <w:left w:val="single" w:sz="4" w:space="0" w:color="auto"/>
              <w:bottom w:val="nil"/>
              <w:right w:val="single" w:sz="4" w:space="0" w:color="auto"/>
            </w:tcBorders>
            <w:shd w:val="clear" w:color="auto" w:fill="C0C0C0"/>
            <w:tcMar>
              <w:top w:w="60" w:type="dxa"/>
              <w:left w:w="108" w:type="dxa"/>
              <w:bottom w:w="0" w:type="dxa"/>
              <w:right w:w="108" w:type="dxa"/>
            </w:tcMar>
            <w:vAlign w:val="center"/>
          </w:tcPr>
          <w:p w:rsidR="00C21266" w:rsidRPr="005C3B55" w:rsidRDefault="00C21266">
            <w:pPr>
              <w:spacing w:after="200"/>
              <w:jc w:val="center"/>
              <w:rPr>
                <w:rFonts w:eastAsia="Calibri"/>
                <w:b/>
                <w:sz w:val="20"/>
                <w:lang w:eastAsia="en-GB" w:bidi="en-GB"/>
              </w:rPr>
            </w:pPr>
            <w:r w:rsidRPr="005C3B55">
              <w:rPr>
                <w:b/>
                <w:sz w:val="20"/>
              </w:rPr>
              <w:t>Value</w:t>
            </w:r>
          </w:p>
        </w:tc>
      </w:tr>
      <w:tr w:rsidR="00C21266" w:rsidRPr="005C3B55">
        <w:trPr>
          <w:trHeight w:val="232"/>
        </w:trPr>
        <w:tc>
          <w:tcPr>
            <w:tcW w:w="2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b/>
                <w:sz w:val="16"/>
                <w:lang w:eastAsia="en-GB" w:bidi="en-GB"/>
              </w:rPr>
            </w:pPr>
            <w:r w:rsidRPr="005C3B55">
              <w:rPr>
                <w:b/>
                <w:sz w:val="16"/>
              </w:rPr>
              <w:t>M01 – Knowledge transfer and information actions (Article 14)</w:t>
            </w:r>
          </w:p>
        </w:tc>
        <w:tc>
          <w:tcPr>
            <w:tcW w:w="2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sz w:val="16"/>
                <w:lang w:eastAsia="en-GB" w:bidi="en-GB"/>
              </w:rPr>
            </w:pPr>
            <w:r w:rsidRPr="005C3B55">
              <w:rPr>
                <w:sz w:val="16"/>
              </w:rPr>
              <w:t>Training/acquisition of skills (1.1) - number of participants in training</w:t>
            </w:r>
          </w:p>
        </w:tc>
        <w:tc>
          <w:tcPr>
            <w:tcW w:w="1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jc w:val="right"/>
              <w:rPr>
                <w:rFonts w:eastAsia="Calibri"/>
                <w:sz w:val="16"/>
                <w:lang w:eastAsia="en-GB" w:bidi="en-GB"/>
              </w:rPr>
            </w:pPr>
            <w:r w:rsidRPr="005C3B55">
              <w:rPr>
                <w:sz w:val="16"/>
              </w:rPr>
              <w:t>600.00</w:t>
            </w:r>
          </w:p>
        </w:tc>
      </w:tr>
      <w:tr w:rsidR="00C21266" w:rsidRPr="005C3B55">
        <w:trPr>
          <w:trHeight w:val="232"/>
        </w:trPr>
        <w:tc>
          <w:tcPr>
            <w:tcW w:w="2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b/>
                <w:sz w:val="16"/>
                <w:lang w:eastAsia="en-GB" w:bidi="en-GB"/>
              </w:rPr>
            </w:pPr>
            <w:r w:rsidRPr="005C3B55">
              <w:rPr>
                <w:b/>
                <w:sz w:val="16"/>
              </w:rPr>
              <w:t>M01 – Knowledge transfer and information actions (Article 14)</w:t>
            </w:r>
          </w:p>
        </w:tc>
        <w:tc>
          <w:tcPr>
            <w:tcW w:w="2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sz w:val="16"/>
                <w:lang w:eastAsia="en-GB" w:bidi="en-GB"/>
              </w:rPr>
            </w:pPr>
            <w:r w:rsidRPr="005C3B55">
              <w:rPr>
                <w:sz w:val="16"/>
              </w:rPr>
              <w:t>Training/acquisition of skills (1.1) - total public expenditures for training/skills</w:t>
            </w:r>
          </w:p>
        </w:tc>
        <w:tc>
          <w:tcPr>
            <w:tcW w:w="1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jc w:val="right"/>
              <w:rPr>
                <w:rFonts w:eastAsia="Calibri"/>
                <w:sz w:val="16"/>
                <w:lang w:eastAsia="en-GB" w:bidi="en-GB"/>
              </w:rPr>
            </w:pPr>
            <w:r w:rsidRPr="005C3B55">
              <w:rPr>
                <w:sz w:val="16"/>
              </w:rPr>
              <w:t>265,000.00</w:t>
            </w:r>
          </w:p>
        </w:tc>
      </w:tr>
      <w:tr w:rsidR="00C21266" w:rsidRPr="005C3B55">
        <w:trPr>
          <w:trHeight w:val="232"/>
        </w:trPr>
        <w:tc>
          <w:tcPr>
            <w:tcW w:w="2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b/>
                <w:sz w:val="16"/>
                <w:lang w:eastAsia="en-GB" w:bidi="en-GB"/>
              </w:rPr>
            </w:pPr>
            <w:r w:rsidRPr="005C3B55">
              <w:rPr>
                <w:b/>
                <w:sz w:val="16"/>
              </w:rPr>
              <w:t>M01 – Knowledge transfer and information actions (Article 14)</w:t>
            </w:r>
          </w:p>
        </w:tc>
        <w:tc>
          <w:tcPr>
            <w:tcW w:w="2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sz w:val="16"/>
                <w:lang w:eastAsia="en-GB" w:bidi="en-GB"/>
              </w:rPr>
            </w:pPr>
            <w:r w:rsidRPr="005C3B55">
              <w:rPr>
                <w:sz w:val="16"/>
              </w:rPr>
              <w:t>Total public expenditures in EUR (trainings, exchanges between agricultural holdings, representation activities) (1.1-1.3)</w:t>
            </w:r>
          </w:p>
        </w:tc>
        <w:tc>
          <w:tcPr>
            <w:tcW w:w="1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jc w:val="right"/>
              <w:rPr>
                <w:rFonts w:eastAsia="Calibri"/>
                <w:sz w:val="16"/>
                <w:lang w:eastAsia="en-GB" w:bidi="en-GB"/>
              </w:rPr>
            </w:pPr>
            <w:r w:rsidRPr="005C3B55">
              <w:rPr>
                <w:sz w:val="16"/>
              </w:rPr>
              <w:t>625,000.00</w:t>
            </w:r>
          </w:p>
        </w:tc>
      </w:tr>
      <w:tr w:rsidR="00C21266" w:rsidRPr="005C3B55">
        <w:trPr>
          <w:trHeight w:val="232"/>
        </w:trPr>
        <w:tc>
          <w:tcPr>
            <w:tcW w:w="2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b/>
                <w:sz w:val="16"/>
                <w:lang w:eastAsia="en-GB" w:bidi="en-GB"/>
              </w:rPr>
            </w:pPr>
            <w:r w:rsidRPr="005C3B55">
              <w:rPr>
                <w:b/>
                <w:sz w:val="16"/>
              </w:rPr>
              <w:t>M06 – Farm and business development (Article 19)</w:t>
            </w:r>
          </w:p>
        </w:tc>
        <w:tc>
          <w:tcPr>
            <w:tcW w:w="2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sz w:val="16"/>
                <w:lang w:eastAsia="en-GB" w:bidi="en-GB"/>
              </w:rPr>
            </w:pPr>
            <w:r w:rsidRPr="005C3B55">
              <w:rPr>
                <w:sz w:val="16"/>
              </w:rPr>
              <w:t>No. of beneficiaries (holdings) receiving support for the launch of activities for young farmers (6.1)</w:t>
            </w:r>
          </w:p>
        </w:tc>
        <w:tc>
          <w:tcPr>
            <w:tcW w:w="1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jc w:val="right"/>
              <w:rPr>
                <w:rFonts w:eastAsia="Calibri"/>
                <w:sz w:val="16"/>
                <w:lang w:eastAsia="en-GB" w:bidi="en-GB"/>
              </w:rPr>
            </w:pPr>
            <w:r w:rsidRPr="005C3B55">
              <w:rPr>
                <w:sz w:val="16"/>
              </w:rPr>
              <w:t>2,500.00</w:t>
            </w:r>
          </w:p>
        </w:tc>
      </w:tr>
      <w:tr w:rsidR="00C21266" w:rsidRPr="005C3B55">
        <w:trPr>
          <w:trHeight w:val="232"/>
        </w:trPr>
        <w:tc>
          <w:tcPr>
            <w:tcW w:w="2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b/>
                <w:sz w:val="16"/>
                <w:lang w:eastAsia="en-GB" w:bidi="en-GB"/>
              </w:rPr>
            </w:pPr>
            <w:r w:rsidRPr="005C3B55">
              <w:rPr>
                <w:b/>
                <w:sz w:val="16"/>
              </w:rPr>
              <w:t>M06 – Farm and business development (Article 19)</w:t>
            </w:r>
          </w:p>
        </w:tc>
        <w:tc>
          <w:tcPr>
            <w:tcW w:w="2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sz w:val="16"/>
                <w:lang w:eastAsia="en-GB" w:bidi="en-GB"/>
              </w:rPr>
            </w:pPr>
            <w:r w:rsidRPr="005C3B55">
              <w:rPr>
                <w:sz w:val="16"/>
              </w:rPr>
              <w:t>Number of beneficiaries (holdings) receiving support for investments into non-agricultural activities in rural areas (6.4)</w:t>
            </w:r>
          </w:p>
        </w:tc>
        <w:tc>
          <w:tcPr>
            <w:tcW w:w="1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jc w:val="right"/>
              <w:rPr>
                <w:rFonts w:eastAsia="Calibri"/>
                <w:sz w:val="16"/>
                <w:lang w:eastAsia="en-GB" w:bidi="en-GB"/>
              </w:rPr>
            </w:pPr>
            <w:r w:rsidRPr="005C3B55">
              <w:rPr>
                <w:sz w:val="16"/>
              </w:rPr>
              <w:t>0.00</w:t>
            </w:r>
          </w:p>
        </w:tc>
      </w:tr>
      <w:tr w:rsidR="00C21266" w:rsidRPr="005C3B55">
        <w:trPr>
          <w:trHeight w:val="232"/>
        </w:trPr>
        <w:tc>
          <w:tcPr>
            <w:tcW w:w="2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b/>
                <w:sz w:val="16"/>
                <w:lang w:eastAsia="en-GB" w:bidi="en-GB"/>
              </w:rPr>
            </w:pPr>
            <w:r w:rsidRPr="005C3B55">
              <w:rPr>
                <w:b/>
                <w:sz w:val="16"/>
              </w:rPr>
              <w:t>M06 – Farm and business development (Article 19)</w:t>
            </w:r>
          </w:p>
        </w:tc>
        <w:tc>
          <w:tcPr>
            <w:tcW w:w="2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sz w:val="16"/>
                <w:lang w:eastAsia="en-GB" w:bidi="en-GB"/>
              </w:rPr>
            </w:pPr>
            <w:r w:rsidRPr="005C3B55">
              <w:rPr>
                <w:sz w:val="16"/>
              </w:rPr>
              <w:t>Number of beneficiaries (holdings) receiving support in case of the transfer (6.5)</w:t>
            </w:r>
          </w:p>
        </w:tc>
        <w:tc>
          <w:tcPr>
            <w:tcW w:w="1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jc w:val="right"/>
              <w:rPr>
                <w:rFonts w:eastAsia="Calibri"/>
                <w:sz w:val="16"/>
                <w:lang w:eastAsia="en-GB" w:bidi="en-GB"/>
              </w:rPr>
            </w:pPr>
            <w:r w:rsidRPr="005C3B55">
              <w:rPr>
                <w:sz w:val="16"/>
              </w:rPr>
              <w:t>0.00</w:t>
            </w:r>
          </w:p>
        </w:tc>
      </w:tr>
      <w:tr w:rsidR="00C21266" w:rsidRPr="005C3B55">
        <w:trPr>
          <w:trHeight w:val="232"/>
        </w:trPr>
        <w:tc>
          <w:tcPr>
            <w:tcW w:w="2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b/>
                <w:sz w:val="16"/>
                <w:lang w:eastAsia="en-GB" w:bidi="en-GB"/>
              </w:rPr>
            </w:pPr>
            <w:r w:rsidRPr="005C3B55">
              <w:rPr>
                <w:b/>
                <w:sz w:val="16"/>
              </w:rPr>
              <w:t>M06 – Farm and business development (Article 19)</w:t>
            </w:r>
          </w:p>
        </w:tc>
        <w:tc>
          <w:tcPr>
            <w:tcW w:w="2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sz w:val="16"/>
                <w:lang w:eastAsia="en-GB" w:bidi="en-GB"/>
              </w:rPr>
            </w:pPr>
            <w:r w:rsidRPr="005C3B55">
              <w:rPr>
                <w:sz w:val="16"/>
              </w:rPr>
              <w:t>Total investments in EUR (public and private)</w:t>
            </w:r>
          </w:p>
        </w:tc>
        <w:tc>
          <w:tcPr>
            <w:tcW w:w="1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jc w:val="right"/>
              <w:rPr>
                <w:rFonts w:eastAsia="Calibri"/>
                <w:sz w:val="16"/>
                <w:lang w:eastAsia="en-GB" w:bidi="en-GB"/>
              </w:rPr>
            </w:pPr>
            <w:r w:rsidRPr="005C3B55">
              <w:rPr>
                <w:sz w:val="16"/>
              </w:rPr>
              <w:t>0.00</w:t>
            </w:r>
          </w:p>
        </w:tc>
      </w:tr>
      <w:tr w:rsidR="00C21266" w:rsidRPr="005C3B55">
        <w:tc>
          <w:tcPr>
            <w:tcW w:w="2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b/>
                <w:sz w:val="16"/>
                <w:lang w:eastAsia="en-GB" w:bidi="en-GB"/>
              </w:rPr>
            </w:pPr>
            <w:r w:rsidRPr="005C3B55">
              <w:rPr>
                <w:b/>
                <w:sz w:val="16"/>
              </w:rPr>
              <w:t>M06 – Farm and business development (Article 19)</w:t>
            </w:r>
          </w:p>
        </w:tc>
        <w:tc>
          <w:tcPr>
            <w:tcW w:w="2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sz w:val="16"/>
                <w:lang w:eastAsia="en-GB" w:bidi="en-GB"/>
              </w:rPr>
            </w:pPr>
            <w:r w:rsidRPr="005C3B55">
              <w:rPr>
                <w:sz w:val="16"/>
              </w:rPr>
              <w:t>Total public expenditures in EUR (6.1)</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jc w:val="right"/>
              <w:rPr>
                <w:rFonts w:eastAsia="Calibri"/>
                <w:sz w:val="16"/>
                <w:lang w:eastAsia="en-GB" w:bidi="en-GB"/>
              </w:rPr>
            </w:pPr>
            <w:r w:rsidRPr="005C3B55">
              <w:rPr>
                <w:sz w:val="16"/>
              </w:rPr>
              <w:t>60,650,000.00</w:t>
            </w:r>
          </w:p>
        </w:tc>
      </w:tr>
      <w:tr w:rsidR="00C21266" w:rsidRPr="005C3B55">
        <w:tc>
          <w:tcPr>
            <w:tcW w:w="2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b/>
                <w:sz w:val="16"/>
                <w:lang w:eastAsia="en-GB" w:bidi="en-GB"/>
              </w:rPr>
            </w:pPr>
            <w:r w:rsidRPr="005C3B55">
              <w:rPr>
                <w:b/>
                <w:sz w:val="16"/>
              </w:rPr>
              <w:t>M06 – Farm and business development (Article 19)</w:t>
            </w:r>
          </w:p>
        </w:tc>
        <w:tc>
          <w:tcPr>
            <w:tcW w:w="2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sz w:val="16"/>
                <w:lang w:eastAsia="en-GB" w:bidi="en-GB"/>
              </w:rPr>
            </w:pPr>
            <w:r w:rsidRPr="005C3B55">
              <w:rPr>
                <w:sz w:val="16"/>
              </w:rPr>
              <w:t>Total public expenditures in EUR</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jc w:val="right"/>
              <w:rPr>
                <w:rFonts w:eastAsia="Calibri"/>
                <w:sz w:val="16"/>
                <w:lang w:eastAsia="en-GB" w:bidi="en-GB"/>
              </w:rPr>
            </w:pPr>
            <w:r w:rsidRPr="005C3B55">
              <w:rPr>
                <w:sz w:val="16"/>
              </w:rPr>
              <w:t>60,650,000.00</w:t>
            </w:r>
          </w:p>
        </w:tc>
      </w:tr>
    </w:tbl>
    <w:p w:rsidR="00C21266" w:rsidRPr="005C3B55" w:rsidRDefault="00C21266" w:rsidP="00C21266">
      <w:pPr>
        <w:spacing w:after="0"/>
        <w:rPr>
          <w:sz w:val="16"/>
        </w:rPr>
        <w:sectPr w:rsidR="00C21266" w:rsidRPr="005C3B55">
          <w:pgSz w:w="12240" w:h="15840"/>
          <w:pgMar w:top="900" w:right="900" w:bottom="900" w:left="900" w:header="708" w:footer="708" w:gutter="0"/>
          <w:cols w:space="708"/>
        </w:sectPr>
      </w:pPr>
    </w:p>
    <w:p w:rsidR="00C21266" w:rsidRPr="005C3B55" w:rsidRDefault="00C21266" w:rsidP="00C21266">
      <w:pPr>
        <w:pStyle w:val="Naslov3"/>
        <w:tabs>
          <w:tab w:val="clear" w:pos="765"/>
        </w:tabs>
        <w:ind w:left="0" w:firstLine="0"/>
        <w:jc w:val="left"/>
        <w:rPr>
          <w:sz w:val="16"/>
          <w:lang w:val="en-GB" w:eastAsia="en-GB" w:bidi="en-GB"/>
        </w:rPr>
      </w:pPr>
      <w:bookmarkStart w:id="164" w:name="_Toc416192622"/>
      <w:r w:rsidRPr="005C3B55">
        <w:rPr>
          <w:sz w:val="16"/>
          <w:lang w:val="en-GB"/>
        </w:rPr>
        <w:t>P3: Encouraging organisation of the food supply chain, including processing and marketing of agricultural products, animal welfare and risk management in agriculture</w:t>
      </w:r>
      <w:bookmarkEnd w:id="164"/>
    </w:p>
    <w:p w:rsidR="00C21266" w:rsidRPr="005C3B55" w:rsidRDefault="00C21266" w:rsidP="00C21266">
      <w:pPr>
        <w:pStyle w:val="Naslov4"/>
        <w:tabs>
          <w:tab w:val="clear" w:pos="765"/>
        </w:tabs>
        <w:ind w:left="0" w:firstLine="0"/>
        <w:jc w:val="left"/>
        <w:rPr>
          <w:sz w:val="16"/>
          <w:lang w:val="en-GB"/>
        </w:rPr>
      </w:pPr>
      <w:r w:rsidRPr="005C3B55">
        <w:rPr>
          <w:sz w:val="16"/>
          <w:lang w:val="en-GB"/>
        </w:rPr>
        <w:t>3A) Improving the competitiveness of primary producers with their enhanced inclusion in the agro-food chain through quality schemes, adding value to agricultural products and promoting them in local markets, and in short supply chains, producer groups and organisations and inter-branch organisations</w:t>
      </w:r>
    </w:p>
    <w:p w:rsidR="00C21266" w:rsidRPr="005C3B55" w:rsidRDefault="00C21266" w:rsidP="00C21266">
      <w:pPr>
        <w:rPr>
          <w:sz w:val="16"/>
        </w:rPr>
      </w:pPr>
      <w:r w:rsidRPr="005C3B55">
        <w:rPr>
          <w:sz w:val="16"/>
        </w:rPr>
        <w:t>Target indicators for the 2014-2020 period</w:t>
      </w:r>
    </w:p>
    <w:tbl>
      <w:tblPr>
        <w:tblStyle w:val="Navadnatabela1"/>
        <w:tblW w:w="5000"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25"/>
        <w:gridCol w:w="2131"/>
      </w:tblGrid>
      <w:tr w:rsidR="00C21266" w:rsidRPr="005C3B55">
        <w:trPr>
          <w:trHeight w:val="464"/>
        </w:trPr>
        <w:tc>
          <w:tcPr>
            <w:tcW w:w="1000" w:type="pct"/>
            <w:tcBorders>
              <w:top w:val="single" w:sz="4" w:space="0" w:color="auto"/>
              <w:left w:val="single" w:sz="4" w:space="0" w:color="auto"/>
              <w:bottom w:val="nil"/>
              <w:right w:val="single" w:sz="4" w:space="0" w:color="auto"/>
            </w:tcBorders>
            <w:shd w:val="clear" w:color="auto" w:fill="C0C0C0"/>
            <w:tcMar>
              <w:top w:w="60" w:type="dxa"/>
              <w:left w:w="108" w:type="dxa"/>
              <w:bottom w:w="0" w:type="dxa"/>
              <w:right w:w="108" w:type="dxa"/>
            </w:tcMar>
            <w:vAlign w:val="center"/>
          </w:tcPr>
          <w:p w:rsidR="00C21266" w:rsidRPr="005C3B55" w:rsidRDefault="00C21266">
            <w:pPr>
              <w:spacing w:after="200"/>
              <w:jc w:val="center"/>
              <w:rPr>
                <w:rFonts w:eastAsia="Calibri"/>
                <w:b/>
                <w:sz w:val="20"/>
                <w:lang w:eastAsia="en-GB" w:bidi="en-GB"/>
              </w:rPr>
            </w:pPr>
            <w:r w:rsidRPr="005C3B55">
              <w:rPr>
                <w:b/>
                <w:sz w:val="20"/>
              </w:rPr>
              <w:t>Indication of the target indicator</w:t>
            </w:r>
          </w:p>
        </w:tc>
        <w:tc>
          <w:tcPr>
            <w:tcW w:w="1000" w:type="pct"/>
            <w:tcBorders>
              <w:top w:val="single" w:sz="4" w:space="0" w:color="auto"/>
              <w:left w:val="single" w:sz="4" w:space="0" w:color="auto"/>
              <w:bottom w:val="nil"/>
              <w:right w:val="single" w:sz="4" w:space="0" w:color="auto"/>
            </w:tcBorders>
            <w:shd w:val="clear" w:color="auto" w:fill="C0C0C0"/>
            <w:tcMar>
              <w:top w:w="60" w:type="dxa"/>
              <w:left w:w="108" w:type="dxa"/>
              <w:bottom w:w="0" w:type="dxa"/>
              <w:right w:w="108" w:type="dxa"/>
            </w:tcMar>
            <w:vAlign w:val="center"/>
          </w:tcPr>
          <w:p w:rsidR="00C21266" w:rsidRPr="005C3B55" w:rsidRDefault="00C21266">
            <w:pPr>
              <w:spacing w:after="200"/>
              <w:jc w:val="center"/>
              <w:rPr>
                <w:rFonts w:eastAsia="Calibri"/>
                <w:b/>
                <w:sz w:val="20"/>
                <w:lang w:eastAsia="en-GB" w:bidi="en-GB"/>
              </w:rPr>
            </w:pPr>
            <w:r w:rsidRPr="005C3B55">
              <w:rPr>
                <w:b/>
                <w:sz w:val="20"/>
              </w:rPr>
              <w:t>Target value for 2023</w:t>
            </w:r>
          </w:p>
        </w:tc>
      </w:tr>
      <w:tr w:rsidR="00C21266" w:rsidRPr="005C3B55">
        <w:tc>
          <w:tcPr>
            <w:tcW w:w="4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b/>
                <w:sz w:val="16"/>
                <w:lang w:eastAsia="en-GB" w:bidi="en-GB"/>
              </w:rPr>
            </w:pPr>
            <w:r w:rsidRPr="005C3B55">
              <w:rPr>
                <w:b/>
                <w:sz w:val="16"/>
              </w:rPr>
              <w:t>T6: Percentage of agricultural holdings receiving support for participation in quality schemes, local markets and short supply chains and groups/organisations of producers (priority area 3A)</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jc w:val="right"/>
              <w:rPr>
                <w:rFonts w:eastAsia="Calibri"/>
                <w:b/>
                <w:sz w:val="16"/>
                <w:lang w:eastAsia="en-GB" w:bidi="en-GB"/>
              </w:rPr>
            </w:pPr>
            <w:r w:rsidRPr="005C3B55">
              <w:rPr>
                <w:b/>
                <w:sz w:val="16"/>
              </w:rPr>
              <w:t>1.70</w:t>
            </w:r>
          </w:p>
        </w:tc>
      </w:tr>
      <w:tr w:rsidR="00C21266" w:rsidRPr="005C3B55">
        <w:tc>
          <w:tcPr>
            <w:tcW w:w="4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sz w:val="16"/>
                <w:lang w:eastAsia="en-GB" w:bidi="en-GB"/>
              </w:rPr>
            </w:pPr>
            <w:r w:rsidRPr="005C3B55">
              <w:rPr>
                <w:sz w:val="16"/>
              </w:rPr>
              <w:t>Number of agricultural holdings receiving support for participation in the quality schemes, local markets and short supply chains and groups/organisations of producers (priority area 3A)</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jc w:val="right"/>
              <w:rPr>
                <w:rFonts w:eastAsia="Calibri"/>
                <w:sz w:val="16"/>
                <w:lang w:eastAsia="en-GB" w:bidi="en-GB"/>
              </w:rPr>
            </w:pPr>
            <w:r w:rsidRPr="005C3B55">
              <w:rPr>
                <w:sz w:val="16"/>
              </w:rPr>
              <w:t>1,230.00</w:t>
            </w:r>
          </w:p>
        </w:tc>
      </w:tr>
    </w:tbl>
    <w:p w:rsidR="00C21266" w:rsidRPr="005C3B55" w:rsidRDefault="00C21266" w:rsidP="00C21266">
      <w:pPr>
        <w:jc w:val="center"/>
        <w:rPr>
          <w:rFonts w:eastAsia="Calibri"/>
          <w:sz w:val="16"/>
          <w:szCs w:val="22"/>
          <w:lang w:eastAsia="en-GB" w:bidi="en-GB"/>
        </w:rPr>
      </w:pPr>
    </w:p>
    <w:p w:rsidR="00C21266" w:rsidRPr="005C3B55" w:rsidRDefault="00C21266" w:rsidP="00C21266">
      <w:pPr>
        <w:rPr>
          <w:sz w:val="16"/>
        </w:rPr>
      </w:pPr>
      <w:r w:rsidRPr="005C3B55">
        <w:rPr>
          <w:sz w:val="16"/>
        </w:rPr>
        <w:t>Status indicator used as the denominator for the objective</w:t>
      </w:r>
    </w:p>
    <w:tbl>
      <w:tblPr>
        <w:tblStyle w:val="Navadnatabela1"/>
        <w:tblW w:w="5000"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25"/>
        <w:gridCol w:w="2131"/>
      </w:tblGrid>
      <w:tr w:rsidR="00C21266" w:rsidRPr="005C3B55">
        <w:tc>
          <w:tcPr>
            <w:tcW w:w="4000" w:type="pct"/>
            <w:tcBorders>
              <w:top w:val="single" w:sz="4" w:space="0" w:color="auto"/>
              <w:left w:val="single" w:sz="4" w:space="0" w:color="auto"/>
              <w:bottom w:val="single" w:sz="4" w:space="0" w:color="auto"/>
              <w:right w:val="single" w:sz="4" w:space="0" w:color="auto"/>
            </w:tcBorders>
            <w:shd w:val="clear" w:color="auto" w:fill="C0C0C0"/>
            <w:tcMar>
              <w:top w:w="60" w:type="dxa"/>
              <w:left w:w="108" w:type="dxa"/>
              <w:bottom w:w="0" w:type="dxa"/>
              <w:right w:w="108" w:type="dxa"/>
            </w:tcMar>
            <w:vAlign w:val="center"/>
          </w:tcPr>
          <w:p w:rsidR="00C21266" w:rsidRPr="005C3B55" w:rsidRDefault="00C21266">
            <w:pPr>
              <w:spacing w:after="200"/>
              <w:jc w:val="center"/>
              <w:rPr>
                <w:rFonts w:eastAsia="Calibri"/>
                <w:b/>
                <w:sz w:val="20"/>
                <w:lang w:eastAsia="en-GB" w:bidi="en-GB"/>
              </w:rPr>
            </w:pPr>
            <w:r w:rsidRPr="005C3B55">
              <w:rPr>
                <w:b/>
                <w:sz w:val="20"/>
              </w:rPr>
              <w:t>Indication of the status indicator</w:t>
            </w:r>
          </w:p>
        </w:tc>
        <w:tc>
          <w:tcPr>
            <w:tcW w:w="1000" w:type="pct"/>
            <w:tcBorders>
              <w:top w:val="single" w:sz="4" w:space="0" w:color="auto"/>
              <w:left w:val="single" w:sz="4" w:space="0" w:color="auto"/>
              <w:bottom w:val="single" w:sz="4" w:space="0" w:color="auto"/>
              <w:right w:val="single" w:sz="4" w:space="0" w:color="auto"/>
            </w:tcBorders>
            <w:shd w:val="clear" w:color="auto" w:fill="C0C0C0"/>
            <w:tcMar>
              <w:top w:w="60" w:type="dxa"/>
              <w:left w:w="108" w:type="dxa"/>
              <w:bottom w:w="0" w:type="dxa"/>
              <w:right w:w="108" w:type="dxa"/>
            </w:tcMar>
            <w:vAlign w:val="center"/>
          </w:tcPr>
          <w:p w:rsidR="00C21266" w:rsidRPr="005C3B55" w:rsidRDefault="00C21266">
            <w:pPr>
              <w:spacing w:after="200"/>
              <w:jc w:val="center"/>
              <w:rPr>
                <w:rFonts w:eastAsia="Calibri"/>
                <w:b/>
                <w:sz w:val="20"/>
                <w:lang w:eastAsia="en-GB" w:bidi="en-GB"/>
              </w:rPr>
            </w:pPr>
            <w:r w:rsidRPr="005C3B55">
              <w:rPr>
                <w:b/>
                <w:sz w:val="20"/>
              </w:rPr>
              <w:t>Value in the base year</w:t>
            </w:r>
          </w:p>
        </w:tc>
      </w:tr>
      <w:tr w:rsidR="00C21266" w:rsidRPr="005C3B55">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sz w:val="16"/>
                <w:lang w:eastAsia="en-GB" w:bidi="en-GB"/>
              </w:rPr>
            </w:pPr>
            <w:r w:rsidRPr="005C3B55">
              <w:rPr>
                <w:sz w:val="16"/>
              </w:rPr>
              <w:t>17 Agricultural holdings (farms) - total</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jc w:val="right"/>
              <w:rPr>
                <w:rFonts w:eastAsia="Calibri"/>
                <w:sz w:val="16"/>
                <w:lang w:eastAsia="en-GB" w:bidi="en-GB"/>
              </w:rPr>
            </w:pPr>
            <w:r w:rsidRPr="005C3B55">
              <w:rPr>
                <w:sz w:val="16"/>
              </w:rPr>
              <w:t>72,377.00</w:t>
            </w:r>
          </w:p>
        </w:tc>
      </w:tr>
    </w:tbl>
    <w:p w:rsidR="00C21266" w:rsidRPr="005C3B55" w:rsidRDefault="00C21266" w:rsidP="00C21266">
      <w:pPr>
        <w:rPr>
          <w:rFonts w:eastAsia="Calibri"/>
          <w:sz w:val="16"/>
          <w:szCs w:val="22"/>
          <w:lang w:eastAsia="en-GB" w:bidi="en-GB"/>
        </w:rPr>
      </w:pPr>
    </w:p>
    <w:p w:rsidR="00C21266" w:rsidRPr="005C3B55" w:rsidRDefault="00C21266" w:rsidP="00C21266">
      <w:pPr>
        <w:rPr>
          <w:sz w:val="16"/>
        </w:rPr>
      </w:pPr>
      <w:r w:rsidRPr="005C3B55">
        <w:rPr>
          <w:sz w:val="16"/>
        </w:rPr>
        <w:t>Planned impact indicators for the 2014-2020 period</w:t>
      </w:r>
    </w:p>
    <w:tbl>
      <w:tblPr>
        <w:tblStyle w:val="Navadnatabela1"/>
        <w:tblW w:w="5000"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63"/>
        <w:gridCol w:w="4262"/>
        <w:gridCol w:w="2131"/>
      </w:tblGrid>
      <w:tr w:rsidR="00C21266" w:rsidRPr="005C3B55">
        <w:trPr>
          <w:trHeight w:val="464"/>
        </w:trPr>
        <w:tc>
          <w:tcPr>
            <w:tcW w:w="2000" w:type="pct"/>
            <w:tcBorders>
              <w:top w:val="single" w:sz="4" w:space="0" w:color="auto"/>
              <w:left w:val="single" w:sz="4" w:space="0" w:color="auto"/>
              <w:bottom w:val="nil"/>
              <w:right w:val="single" w:sz="4" w:space="0" w:color="auto"/>
            </w:tcBorders>
            <w:shd w:val="clear" w:color="auto" w:fill="C0C0C0"/>
            <w:tcMar>
              <w:top w:w="60" w:type="dxa"/>
              <w:left w:w="108" w:type="dxa"/>
              <w:bottom w:w="0" w:type="dxa"/>
              <w:right w:w="108" w:type="dxa"/>
            </w:tcMar>
            <w:vAlign w:val="center"/>
          </w:tcPr>
          <w:p w:rsidR="00C21266" w:rsidRPr="005C3B55" w:rsidRDefault="00C21266">
            <w:pPr>
              <w:spacing w:after="200"/>
              <w:jc w:val="center"/>
              <w:rPr>
                <w:rFonts w:eastAsia="Calibri"/>
                <w:b/>
                <w:sz w:val="20"/>
                <w:lang w:eastAsia="en-GB" w:bidi="en-GB"/>
              </w:rPr>
            </w:pPr>
            <w:r w:rsidRPr="005C3B55">
              <w:rPr>
                <w:b/>
                <w:sz w:val="20"/>
              </w:rPr>
              <w:t>Name of the measure</w:t>
            </w:r>
          </w:p>
        </w:tc>
        <w:tc>
          <w:tcPr>
            <w:tcW w:w="2000" w:type="pct"/>
            <w:tcBorders>
              <w:top w:val="single" w:sz="4" w:space="0" w:color="auto"/>
              <w:left w:val="single" w:sz="4" w:space="0" w:color="auto"/>
              <w:bottom w:val="nil"/>
              <w:right w:val="single" w:sz="4" w:space="0" w:color="auto"/>
            </w:tcBorders>
            <w:shd w:val="clear" w:color="auto" w:fill="C0C0C0"/>
            <w:tcMar>
              <w:top w:w="60" w:type="dxa"/>
              <w:left w:w="108" w:type="dxa"/>
              <w:bottom w:w="0" w:type="dxa"/>
              <w:right w:w="108" w:type="dxa"/>
            </w:tcMar>
            <w:vAlign w:val="center"/>
          </w:tcPr>
          <w:p w:rsidR="00C21266" w:rsidRPr="005C3B55" w:rsidRDefault="00C21266">
            <w:pPr>
              <w:spacing w:after="200"/>
              <w:jc w:val="center"/>
              <w:rPr>
                <w:rFonts w:eastAsia="Calibri"/>
                <w:b/>
                <w:sz w:val="20"/>
                <w:lang w:eastAsia="en-GB" w:bidi="en-GB"/>
              </w:rPr>
            </w:pPr>
            <w:r w:rsidRPr="005C3B55">
              <w:rPr>
                <w:b/>
                <w:sz w:val="20"/>
              </w:rPr>
              <w:t>Indication of the indicator</w:t>
            </w:r>
          </w:p>
        </w:tc>
        <w:tc>
          <w:tcPr>
            <w:tcW w:w="1000" w:type="pct"/>
            <w:tcBorders>
              <w:top w:val="single" w:sz="4" w:space="0" w:color="auto"/>
              <w:left w:val="single" w:sz="4" w:space="0" w:color="auto"/>
              <w:bottom w:val="nil"/>
              <w:right w:val="single" w:sz="4" w:space="0" w:color="auto"/>
            </w:tcBorders>
            <w:shd w:val="clear" w:color="auto" w:fill="C0C0C0"/>
            <w:tcMar>
              <w:top w:w="60" w:type="dxa"/>
              <w:left w:w="108" w:type="dxa"/>
              <w:bottom w:w="0" w:type="dxa"/>
              <w:right w:w="108" w:type="dxa"/>
            </w:tcMar>
            <w:vAlign w:val="center"/>
          </w:tcPr>
          <w:p w:rsidR="00C21266" w:rsidRPr="005C3B55" w:rsidRDefault="00C21266">
            <w:pPr>
              <w:spacing w:after="200"/>
              <w:jc w:val="center"/>
              <w:rPr>
                <w:rFonts w:eastAsia="Calibri"/>
                <w:b/>
                <w:sz w:val="20"/>
                <w:lang w:eastAsia="en-GB" w:bidi="en-GB"/>
              </w:rPr>
            </w:pPr>
            <w:r w:rsidRPr="005C3B55">
              <w:rPr>
                <w:b/>
                <w:sz w:val="20"/>
              </w:rPr>
              <w:t>Value</w:t>
            </w:r>
          </w:p>
        </w:tc>
      </w:tr>
      <w:tr w:rsidR="00C21266" w:rsidRPr="005C3B55">
        <w:trPr>
          <w:trHeight w:val="232"/>
        </w:trPr>
        <w:tc>
          <w:tcPr>
            <w:tcW w:w="2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b/>
                <w:sz w:val="16"/>
                <w:lang w:eastAsia="en-GB" w:bidi="en-GB"/>
              </w:rPr>
            </w:pPr>
            <w:r w:rsidRPr="005C3B55">
              <w:rPr>
                <w:b/>
                <w:sz w:val="16"/>
              </w:rPr>
              <w:t>M01 – Knowledge transfer and information actions (Article 14)</w:t>
            </w:r>
          </w:p>
        </w:tc>
        <w:tc>
          <w:tcPr>
            <w:tcW w:w="2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sz w:val="16"/>
                <w:lang w:eastAsia="en-GB" w:bidi="en-GB"/>
              </w:rPr>
            </w:pPr>
            <w:r w:rsidRPr="005C3B55">
              <w:rPr>
                <w:sz w:val="16"/>
              </w:rPr>
              <w:t>Training/acquisition of skills (1.1) - number of participants in training</w:t>
            </w:r>
          </w:p>
        </w:tc>
        <w:tc>
          <w:tcPr>
            <w:tcW w:w="1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jc w:val="right"/>
              <w:rPr>
                <w:rFonts w:eastAsia="Calibri"/>
                <w:sz w:val="16"/>
                <w:lang w:eastAsia="en-GB" w:bidi="en-GB"/>
              </w:rPr>
            </w:pPr>
            <w:r w:rsidRPr="005C3B55">
              <w:rPr>
                <w:sz w:val="16"/>
              </w:rPr>
              <w:t>2,600.00</w:t>
            </w:r>
          </w:p>
        </w:tc>
      </w:tr>
      <w:tr w:rsidR="00C21266" w:rsidRPr="005C3B55">
        <w:trPr>
          <w:trHeight w:val="232"/>
        </w:trPr>
        <w:tc>
          <w:tcPr>
            <w:tcW w:w="2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b/>
                <w:sz w:val="16"/>
                <w:lang w:eastAsia="en-GB" w:bidi="en-GB"/>
              </w:rPr>
            </w:pPr>
            <w:r w:rsidRPr="005C3B55">
              <w:rPr>
                <w:b/>
                <w:sz w:val="16"/>
              </w:rPr>
              <w:t>M01 – Knowledge transfer and information actions (Article 14)</w:t>
            </w:r>
          </w:p>
        </w:tc>
        <w:tc>
          <w:tcPr>
            <w:tcW w:w="2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sz w:val="16"/>
                <w:lang w:eastAsia="en-GB" w:bidi="en-GB"/>
              </w:rPr>
            </w:pPr>
            <w:r w:rsidRPr="005C3B55">
              <w:rPr>
                <w:sz w:val="16"/>
              </w:rPr>
              <w:t>Training/acquisition of skills (1.1) - total public expenditures for training/skills</w:t>
            </w:r>
          </w:p>
        </w:tc>
        <w:tc>
          <w:tcPr>
            <w:tcW w:w="1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jc w:val="right"/>
              <w:rPr>
                <w:rFonts w:eastAsia="Calibri"/>
                <w:sz w:val="16"/>
                <w:lang w:eastAsia="en-GB" w:bidi="en-GB"/>
              </w:rPr>
            </w:pPr>
            <w:r w:rsidRPr="005C3B55">
              <w:rPr>
                <w:sz w:val="16"/>
              </w:rPr>
              <w:t>1,078,385.00</w:t>
            </w:r>
          </w:p>
        </w:tc>
      </w:tr>
      <w:tr w:rsidR="00C21266" w:rsidRPr="005C3B55">
        <w:trPr>
          <w:trHeight w:val="232"/>
        </w:trPr>
        <w:tc>
          <w:tcPr>
            <w:tcW w:w="2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b/>
                <w:sz w:val="16"/>
                <w:lang w:eastAsia="en-GB" w:bidi="en-GB"/>
              </w:rPr>
            </w:pPr>
            <w:r w:rsidRPr="005C3B55">
              <w:rPr>
                <w:b/>
                <w:sz w:val="16"/>
              </w:rPr>
              <w:t>M01 – Knowledge transfer and information actions (Article 14)</w:t>
            </w:r>
          </w:p>
        </w:tc>
        <w:tc>
          <w:tcPr>
            <w:tcW w:w="2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sz w:val="16"/>
                <w:lang w:eastAsia="en-GB" w:bidi="en-GB"/>
              </w:rPr>
            </w:pPr>
            <w:r w:rsidRPr="005C3B55">
              <w:rPr>
                <w:sz w:val="16"/>
              </w:rPr>
              <w:t>Total public expenditures in EUR (trainings, exchanges between agricultural holdings, representation activities) (1.1-1.3)</w:t>
            </w:r>
          </w:p>
        </w:tc>
        <w:tc>
          <w:tcPr>
            <w:tcW w:w="1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jc w:val="right"/>
              <w:rPr>
                <w:rFonts w:eastAsia="Calibri"/>
                <w:sz w:val="16"/>
                <w:lang w:eastAsia="en-GB" w:bidi="en-GB"/>
              </w:rPr>
            </w:pPr>
            <w:r w:rsidRPr="005C3B55">
              <w:rPr>
                <w:sz w:val="16"/>
              </w:rPr>
              <w:t>1,078,385.00</w:t>
            </w:r>
          </w:p>
        </w:tc>
      </w:tr>
      <w:tr w:rsidR="00C21266" w:rsidRPr="005C3B55">
        <w:trPr>
          <w:trHeight w:val="232"/>
        </w:trPr>
        <w:tc>
          <w:tcPr>
            <w:tcW w:w="2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b/>
                <w:sz w:val="16"/>
                <w:lang w:eastAsia="en-GB" w:bidi="en-GB"/>
              </w:rPr>
            </w:pPr>
            <w:r w:rsidRPr="005C3B55">
              <w:rPr>
                <w:b/>
                <w:sz w:val="16"/>
              </w:rPr>
              <w:t>M02 – Advisory services, farm management and farm relief services (Article 15)</w:t>
            </w:r>
          </w:p>
        </w:tc>
        <w:tc>
          <w:tcPr>
            <w:tcW w:w="2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sz w:val="16"/>
                <w:lang w:eastAsia="en-GB" w:bidi="en-GB"/>
              </w:rPr>
            </w:pPr>
            <w:r w:rsidRPr="005C3B55">
              <w:rPr>
                <w:sz w:val="16"/>
              </w:rPr>
              <w:t>Number of beneficiaries receiving the advisory services (2.1)</w:t>
            </w:r>
          </w:p>
        </w:tc>
        <w:tc>
          <w:tcPr>
            <w:tcW w:w="1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jc w:val="right"/>
              <w:rPr>
                <w:rFonts w:eastAsia="Calibri"/>
                <w:sz w:val="16"/>
                <w:lang w:eastAsia="en-GB" w:bidi="en-GB"/>
              </w:rPr>
            </w:pPr>
            <w:r w:rsidRPr="005C3B55">
              <w:rPr>
                <w:sz w:val="16"/>
              </w:rPr>
              <w:t>400.00</w:t>
            </w:r>
          </w:p>
        </w:tc>
      </w:tr>
      <w:tr w:rsidR="00C21266" w:rsidRPr="005C3B55">
        <w:trPr>
          <w:trHeight w:val="232"/>
        </w:trPr>
        <w:tc>
          <w:tcPr>
            <w:tcW w:w="2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b/>
                <w:sz w:val="16"/>
                <w:lang w:eastAsia="en-GB" w:bidi="en-GB"/>
              </w:rPr>
            </w:pPr>
            <w:r w:rsidRPr="005C3B55">
              <w:rPr>
                <w:b/>
                <w:sz w:val="16"/>
              </w:rPr>
              <w:t>M02 – Advisory services, farm management and farm relief services (Article 15)</w:t>
            </w:r>
          </w:p>
        </w:tc>
        <w:tc>
          <w:tcPr>
            <w:tcW w:w="2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sz w:val="16"/>
                <w:lang w:eastAsia="en-GB" w:bidi="en-GB"/>
              </w:rPr>
            </w:pPr>
            <w:r w:rsidRPr="005C3B55">
              <w:rPr>
                <w:sz w:val="16"/>
              </w:rPr>
              <w:t>Total public expenditures in EUR (2.1-2.3)</w:t>
            </w:r>
          </w:p>
        </w:tc>
        <w:tc>
          <w:tcPr>
            <w:tcW w:w="1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jc w:val="right"/>
              <w:rPr>
                <w:rFonts w:eastAsia="Calibri"/>
                <w:sz w:val="16"/>
                <w:lang w:eastAsia="en-GB" w:bidi="en-GB"/>
              </w:rPr>
            </w:pPr>
            <w:r w:rsidRPr="005C3B55">
              <w:rPr>
                <w:sz w:val="16"/>
              </w:rPr>
              <w:t>290,736.00</w:t>
            </w:r>
          </w:p>
        </w:tc>
      </w:tr>
      <w:tr w:rsidR="00C21266" w:rsidRPr="005C3B55">
        <w:trPr>
          <w:trHeight w:val="232"/>
        </w:trPr>
        <w:tc>
          <w:tcPr>
            <w:tcW w:w="2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b/>
                <w:sz w:val="16"/>
                <w:lang w:eastAsia="en-GB" w:bidi="en-GB"/>
              </w:rPr>
            </w:pPr>
            <w:r w:rsidRPr="005C3B55">
              <w:rPr>
                <w:b/>
                <w:sz w:val="16"/>
              </w:rPr>
              <w:t>M03 – Quality schemes for agricultural products and foodstuffs (Article 16)</w:t>
            </w:r>
          </w:p>
        </w:tc>
        <w:tc>
          <w:tcPr>
            <w:tcW w:w="2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sz w:val="16"/>
                <w:lang w:eastAsia="en-GB" w:bidi="en-GB"/>
              </w:rPr>
            </w:pPr>
            <w:r w:rsidRPr="005C3B55">
              <w:rPr>
                <w:sz w:val="16"/>
              </w:rPr>
              <w:t>Number of supported holdings (3.1)</w:t>
            </w:r>
          </w:p>
        </w:tc>
        <w:tc>
          <w:tcPr>
            <w:tcW w:w="1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jc w:val="right"/>
              <w:rPr>
                <w:rFonts w:eastAsia="Calibri"/>
                <w:sz w:val="16"/>
                <w:lang w:eastAsia="en-GB" w:bidi="en-GB"/>
              </w:rPr>
            </w:pPr>
            <w:r w:rsidRPr="005C3B55">
              <w:rPr>
                <w:sz w:val="16"/>
              </w:rPr>
              <w:t>250.00</w:t>
            </w:r>
          </w:p>
        </w:tc>
      </w:tr>
      <w:tr w:rsidR="00C21266" w:rsidRPr="005C3B55">
        <w:trPr>
          <w:trHeight w:val="232"/>
        </w:trPr>
        <w:tc>
          <w:tcPr>
            <w:tcW w:w="2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b/>
                <w:sz w:val="16"/>
                <w:lang w:eastAsia="en-GB" w:bidi="en-GB"/>
              </w:rPr>
            </w:pPr>
            <w:r w:rsidRPr="005C3B55">
              <w:rPr>
                <w:b/>
                <w:sz w:val="16"/>
              </w:rPr>
              <w:t>M03 – Quality schemes for agricultural products and foodstuffs (Article 16)</w:t>
            </w:r>
          </w:p>
        </w:tc>
        <w:tc>
          <w:tcPr>
            <w:tcW w:w="2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sz w:val="16"/>
                <w:lang w:eastAsia="en-GB" w:bidi="en-GB"/>
              </w:rPr>
            </w:pPr>
            <w:r w:rsidRPr="005C3B55">
              <w:rPr>
                <w:sz w:val="16"/>
              </w:rPr>
              <w:t>Total public expenditures in EUR (3.1-3.2)</w:t>
            </w:r>
          </w:p>
        </w:tc>
        <w:tc>
          <w:tcPr>
            <w:tcW w:w="1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jc w:val="right"/>
              <w:rPr>
                <w:rFonts w:eastAsia="Calibri"/>
                <w:sz w:val="16"/>
                <w:lang w:eastAsia="en-GB" w:bidi="en-GB"/>
              </w:rPr>
            </w:pPr>
            <w:r w:rsidRPr="005C3B55">
              <w:rPr>
                <w:sz w:val="16"/>
              </w:rPr>
              <w:t>1,738,666.67</w:t>
            </w:r>
          </w:p>
        </w:tc>
      </w:tr>
      <w:tr w:rsidR="00C21266" w:rsidRPr="005C3B55">
        <w:trPr>
          <w:trHeight w:val="232"/>
        </w:trPr>
        <w:tc>
          <w:tcPr>
            <w:tcW w:w="2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b/>
                <w:sz w:val="16"/>
                <w:lang w:eastAsia="en-GB" w:bidi="en-GB"/>
              </w:rPr>
            </w:pPr>
            <w:r w:rsidRPr="005C3B55">
              <w:rPr>
                <w:b/>
                <w:sz w:val="16"/>
              </w:rPr>
              <w:t>M04 - Investments in physical assets (Article 17)</w:t>
            </w:r>
          </w:p>
        </w:tc>
        <w:tc>
          <w:tcPr>
            <w:tcW w:w="2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sz w:val="16"/>
                <w:lang w:eastAsia="en-GB" w:bidi="en-GB"/>
              </w:rPr>
            </w:pPr>
            <w:r w:rsidRPr="005C3B55">
              <w:rPr>
                <w:sz w:val="16"/>
              </w:rPr>
              <w:t>Number of supported operations for investments (e.g. in agricultural holdings, processing and marketing of agricultural products (4.1 and 4.2)</w:t>
            </w:r>
          </w:p>
        </w:tc>
        <w:tc>
          <w:tcPr>
            <w:tcW w:w="1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jc w:val="right"/>
              <w:rPr>
                <w:rFonts w:eastAsia="Calibri"/>
                <w:sz w:val="16"/>
                <w:lang w:eastAsia="en-GB" w:bidi="en-GB"/>
              </w:rPr>
            </w:pPr>
            <w:r w:rsidRPr="005C3B55">
              <w:rPr>
                <w:sz w:val="16"/>
              </w:rPr>
              <w:t>330.00</w:t>
            </w:r>
          </w:p>
        </w:tc>
      </w:tr>
      <w:tr w:rsidR="00C21266" w:rsidRPr="005C3B55">
        <w:trPr>
          <w:trHeight w:val="232"/>
        </w:trPr>
        <w:tc>
          <w:tcPr>
            <w:tcW w:w="2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b/>
                <w:sz w:val="16"/>
                <w:lang w:eastAsia="en-GB" w:bidi="en-GB"/>
              </w:rPr>
            </w:pPr>
            <w:r w:rsidRPr="005C3B55">
              <w:rPr>
                <w:b/>
                <w:sz w:val="16"/>
              </w:rPr>
              <w:t>M04 - Investments in physical assets (Article 17)</w:t>
            </w:r>
          </w:p>
        </w:tc>
        <w:tc>
          <w:tcPr>
            <w:tcW w:w="2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sz w:val="16"/>
                <w:lang w:eastAsia="en-GB" w:bidi="en-GB"/>
              </w:rPr>
            </w:pPr>
            <w:r w:rsidRPr="005C3B55">
              <w:rPr>
                <w:sz w:val="16"/>
              </w:rPr>
              <w:t>Total investments in EUR (public and private)</w:t>
            </w:r>
          </w:p>
        </w:tc>
        <w:tc>
          <w:tcPr>
            <w:tcW w:w="1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jc w:val="right"/>
              <w:rPr>
                <w:rFonts w:eastAsia="Calibri"/>
                <w:sz w:val="16"/>
                <w:lang w:eastAsia="en-GB" w:bidi="en-GB"/>
              </w:rPr>
            </w:pPr>
            <w:r w:rsidRPr="005C3B55">
              <w:rPr>
                <w:sz w:val="16"/>
              </w:rPr>
              <w:t>248,628,175.82</w:t>
            </w:r>
          </w:p>
        </w:tc>
      </w:tr>
      <w:tr w:rsidR="00C21266" w:rsidRPr="005C3B55">
        <w:trPr>
          <w:trHeight w:val="232"/>
        </w:trPr>
        <w:tc>
          <w:tcPr>
            <w:tcW w:w="2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b/>
                <w:sz w:val="16"/>
                <w:lang w:eastAsia="en-GB" w:bidi="en-GB"/>
              </w:rPr>
            </w:pPr>
            <w:r w:rsidRPr="005C3B55">
              <w:rPr>
                <w:b/>
                <w:sz w:val="16"/>
              </w:rPr>
              <w:t>M04 - Investments in physical assets (Article 17)</w:t>
            </w:r>
          </w:p>
        </w:tc>
        <w:tc>
          <w:tcPr>
            <w:tcW w:w="2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sz w:val="16"/>
                <w:lang w:eastAsia="en-GB" w:bidi="en-GB"/>
              </w:rPr>
            </w:pPr>
            <w:r w:rsidRPr="005C3B55">
              <w:rPr>
                <w:sz w:val="16"/>
              </w:rPr>
              <w:t>Total public expenditures in EUR</w:t>
            </w:r>
          </w:p>
        </w:tc>
        <w:tc>
          <w:tcPr>
            <w:tcW w:w="1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jc w:val="right"/>
              <w:rPr>
                <w:rFonts w:eastAsia="Calibri"/>
                <w:sz w:val="16"/>
                <w:lang w:eastAsia="en-GB" w:bidi="en-GB"/>
              </w:rPr>
            </w:pPr>
            <w:r w:rsidRPr="005C3B55">
              <w:rPr>
                <w:sz w:val="16"/>
              </w:rPr>
              <w:t>76,422,595.03</w:t>
            </w:r>
          </w:p>
        </w:tc>
      </w:tr>
      <w:tr w:rsidR="00C21266" w:rsidRPr="005C3B55">
        <w:trPr>
          <w:trHeight w:val="232"/>
        </w:trPr>
        <w:tc>
          <w:tcPr>
            <w:tcW w:w="2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b/>
                <w:sz w:val="16"/>
                <w:lang w:eastAsia="en-GB" w:bidi="en-GB"/>
              </w:rPr>
            </w:pPr>
            <w:r w:rsidRPr="005C3B55">
              <w:rPr>
                <w:b/>
                <w:sz w:val="16"/>
              </w:rPr>
              <w:t>M09 – Setting-up of producer groups and organisations (Article 27)</w:t>
            </w:r>
          </w:p>
        </w:tc>
        <w:tc>
          <w:tcPr>
            <w:tcW w:w="2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sz w:val="16"/>
                <w:lang w:eastAsia="en-GB" w:bidi="en-GB"/>
              </w:rPr>
            </w:pPr>
            <w:r w:rsidRPr="005C3B55">
              <w:rPr>
                <w:sz w:val="16"/>
              </w:rPr>
              <w:t>Number of supported operations (established groups of producers)</w:t>
            </w:r>
          </w:p>
        </w:tc>
        <w:tc>
          <w:tcPr>
            <w:tcW w:w="1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jc w:val="right"/>
              <w:rPr>
                <w:rFonts w:eastAsia="Calibri"/>
                <w:sz w:val="16"/>
                <w:lang w:eastAsia="en-GB" w:bidi="en-GB"/>
              </w:rPr>
            </w:pPr>
            <w:r w:rsidRPr="005C3B55">
              <w:rPr>
                <w:sz w:val="16"/>
              </w:rPr>
              <w:t>15.00</w:t>
            </w:r>
          </w:p>
        </w:tc>
      </w:tr>
      <w:tr w:rsidR="00C21266" w:rsidRPr="005C3B55">
        <w:trPr>
          <w:trHeight w:val="232"/>
        </w:trPr>
        <w:tc>
          <w:tcPr>
            <w:tcW w:w="2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b/>
                <w:sz w:val="16"/>
                <w:lang w:eastAsia="en-GB" w:bidi="en-GB"/>
              </w:rPr>
            </w:pPr>
            <w:r w:rsidRPr="005C3B55">
              <w:rPr>
                <w:b/>
                <w:sz w:val="16"/>
              </w:rPr>
              <w:t>M09 – Setting-up of producer groups and organisations (Article 27)</w:t>
            </w:r>
          </w:p>
        </w:tc>
        <w:tc>
          <w:tcPr>
            <w:tcW w:w="2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sz w:val="16"/>
                <w:lang w:eastAsia="en-GB" w:bidi="en-GB"/>
              </w:rPr>
            </w:pPr>
            <w:r w:rsidRPr="005C3B55">
              <w:rPr>
                <w:sz w:val="16"/>
              </w:rPr>
              <w:t>Number of holdings participating in supported groups of producers</w:t>
            </w:r>
          </w:p>
        </w:tc>
        <w:tc>
          <w:tcPr>
            <w:tcW w:w="1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jc w:val="right"/>
              <w:rPr>
                <w:rFonts w:eastAsia="Calibri"/>
                <w:sz w:val="16"/>
                <w:lang w:eastAsia="en-GB" w:bidi="en-GB"/>
              </w:rPr>
            </w:pPr>
            <w:r w:rsidRPr="005C3B55">
              <w:rPr>
                <w:sz w:val="16"/>
              </w:rPr>
              <w:t>900.00</w:t>
            </w:r>
          </w:p>
        </w:tc>
      </w:tr>
      <w:tr w:rsidR="00C21266" w:rsidRPr="005C3B55">
        <w:trPr>
          <w:trHeight w:val="232"/>
        </w:trPr>
        <w:tc>
          <w:tcPr>
            <w:tcW w:w="2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b/>
                <w:sz w:val="16"/>
                <w:lang w:eastAsia="en-GB" w:bidi="en-GB"/>
              </w:rPr>
            </w:pPr>
            <w:r w:rsidRPr="005C3B55">
              <w:rPr>
                <w:b/>
                <w:sz w:val="16"/>
              </w:rPr>
              <w:t>M09 – Setting-up of producer groups and organisations (Article 27)</w:t>
            </w:r>
          </w:p>
        </w:tc>
        <w:tc>
          <w:tcPr>
            <w:tcW w:w="2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sz w:val="16"/>
                <w:lang w:eastAsia="en-GB" w:bidi="en-GB"/>
              </w:rPr>
            </w:pPr>
            <w:r w:rsidRPr="005C3B55">
              <w:rPr>
                <w:sz w:val="16"/>
              </w:rPr>
              <w:t>Total public expenditures (EUR)</w:t>
            </w:r>
          </w:p>
        </w:tc>
        <w:tc>
          <w:tcPr>
            <w:tcW w:w="1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jc w:val="right"/>
              <w:rPr>
                <w:rFonts w:eastAsia="Calibri"/>
                <w:sz w:val="16"/>
                <w:lang w:eastAsia="en-GB" w:bidi="en-GB"/>
              </w:rPr>
            </w:pPr>
            <w:r w:rsidRPr="005C3B55">
              <w:rPr>
                <w:sz w:val="16"/>
              </w:rPr>
              <w:t>2,227,950.00</w:t>
            </w:r>
          </w:p>
        </w:tc>
      </w:tr>
      <w:tr w:rsidR="00C21266" w:rsidRPr="005C3B55">
        <w:trPr>
          <w:trHeight w:val="232"/>
        </w:trPr>
        <w:tc>
          <w:tcPr>
            <w:tcW w:w="2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b/>
                <w:sz w:val="16"/>
                <w:lang w:eastAsia="en-GB" w:bidi="en-GB"/>
              </w:rPr>
            </w:pPr>
            <w:r w:rsidRPr="005C3B55">
              <w:rPr>
                <w:b/>
                <w:sz w:val="16"/>
              </w:rPr>
              <w:t>M14 – Animal welfare (Article 33)</w:t>
            </w:r>
          </w:p>
        </w:tc>
        <w:tc>
          <w:tcPr>
            <w:tcW w:w="2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sz w:val="16"/>
                <w:lang w:eastAsia="en-GB" w:bidi="en-GB"/>
              </w:rPr>
            </w:pPr>
            <w:r w:rsidRPr="005C3B55">
              <w:rPr>
                <w:sz w:val="16"/>
              </w:rPr>
              <w:t xml:space="preserve">Number of beneficiaries </w:t>
            </w:r>
          </w:p>
        </w:tc>
        <w:tc>
          <w:tcPr>
            <w:tcW w:w="1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jc w:val="right"/>
              <w:rPr>
                <w:rFonts w:eastAsia="Calibri"/>
                <w:sz w:val="16"/>
                <w:lang w:eastAsia="en-GB" w:bidi="en-GB"/>
              </w:rPr>
            </w:pPr>
            <w:r w:rsidRPr="005C3B55">
              <w:rPr>
                <w:sz w:val="16"/>
              </w:rPr>
              <w:t>200.00</w:t>
            </w:r>
          </w:p>
        </w:tc>
      </w:tr>
      <w:tr w:rsidR="00C21266" w:rsidRPr="005C3B55">
        <w:trPr>
          <w:trHeight w:val="232"/>
        </w:trPr>
        <w:tc>
          <w:tcPr>
            <w:tcW w:w="2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b/>
                <w:sz w:val="16"/>
                <w:lang w:eastAsia="en-GB" w:bidi="en-GB"/>
              </w:rPr>
            </w:pPr>
            <w:r w:rsidRPr="005C3B55">
              <w:rPr>
                <w:b/>
                <w:sz w:val="16"/>
              </w:rPr>
              <w:t>M14 – Animal welfare (Article 33)</w:t>
            </w:r>
          </w:p>
        </w:tc>
        <w:tc>
          <w:tcPr>
            <w:tcW w:w="2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sz w:val="16"/>
                <w:lang w:eastAsia="en-GB" w:bidi="en-GB"/>
              </w:rPr>
            </w:pPr>
            <w:r w:rsidRPr="005C3B55">
              <w:rPr>
                <w:sz w:val="16"/>
              </w:rPr>
              <w:t>Total public expenditures (EUR)</w:t>
            </w:r>
          </w:p>
        </w:tc>
        <w:tc>
          <w:tcPr>
            <w:tcW w:w="1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jc w:val="right"/>
              <w:rPr>
                <w:rFonts w:eastAsia="Calibri"/>
                <w:sz w:val="16"/>
                <w:lang w:eastAsia="en-GB" w:bidi="en-GB"/>
              </w:rPr>
            </w:pPr>
            <w:r w:rsidRPr="005C3B55">
              <w:rPr>
                <w:sz w:val="16"/>
              </w:rPr>
              <w:t>16,368,000.00</w:t>
            </w:r>
          </w:p>
        </w:tc>
      </w:tr>
      <w:tr w:rsidR="00C21266" w:rsidRPr="005C3B55">
        <w:tc>
          <w:tcPr>
            <w:tcW w:w="2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b/>
                <w:sz w:val="16"/>
                <w:lang w:eastAsia="en-GB" w:bidi="en-GB"/>
              </w:rPr>
            </w:pPr>
            <w:r w:rsidRPr="005C3B55">
              <w:rPr>
                <w:b/>
                <w:sz w:val="16"/>
              </w:rPr>
              <w:t>M16 – Cooperation (Article 35)</w:t>
            </w:r>
          </w:p>
        </w:tc>
        <w:tc>
          <w:tcPr>
            <w:tcW w:w="2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sz w:val="16"/>
                <w:lang w:eastAsia="en-GB" w:bidi="en-GB"/>
              </w:rPr>
            </w:pPr>
            <w:r w:rsidRPr="005C3B55">
              <w:rPr>
                <w:sz w:val="16"/>
              </w:rPr>
              <w:t>Number of agricultural holdings participating in cooperation and promotion activities at the local level among participants in the supply chain (16.4)</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jc w:val="right"/>
              <w:rPr>
                <w:rFonts w:eastAsia="Calibri"/>
                <w:sz w:val="16"/>
                <w:lang w:eastAsia="en-GB" w:bidi="en-GB"/>
              </w:rPr>
            </w:pPr>
            <w:r w:rsidRPr="005C3B55">
              <w:rPr>
                <w:sz w:val="16"/>
              </w:rPr>
              <w:t>80.00</w:t>
            </w:r>
          </w:p>
        </w:tc>
      </w:tr>
      <w:tr w:rsidR="00C21266" w:rsidRPr="005C3B55">
        <w:tc>
          <w:tcPr>
            <w:tcW w:w="2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b/>
                <w:sz w:val="16"/>
                <w:lang w:eastAsia="en-GB" w:bidi="en-GB"/>
              </w:rPr>
            </w:pPr>
            <w:r w:rsidRPr="005C3B55">
              <w:rPr>
                <w:b/>
                <w:sz w:val="16"/>
              </w:rPr>
              <w:t>M16 – Cooperation (Article 35)</w:t>
            </w:r>
          </w:p>
        </w:tc>
        <w:tc>
          <w:tcPr>
            <w:tcW w:w="2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sz w:val="16"/>
                <w:lang w:eastAsia="en-GB" w:bidi="en-GB"/>
              </w:rPr>
            </w:pPr>
            <w:r w:rsidRPr="005C3B55">
              <w:rPr>
                <w:sz w:val="16"/>
              </w:rPr>
              <w:t>Total public expenditures in EUR (16.1-16.9)</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jc w:val="right"/>
              <w:rPr>
                <w:rFonts w:eastAsia="Calibri"/>
                <w:sz w:val="16"/>
                <w:lang w:eastAsia="en-GB" w:bidi="en-GB"/>
              </w:rPr>
            </w:pPr>
            <w:r w:rsidRPr="005C3B55">
              <w:rPr>
                <w:sz w:val="16"/>
              </w:rPr>
              <w:t>3,771,750.00</w:t>
            </w:r>
          </w:p>
        </w:tc>
      </w:tr>
    </w:tbl>
    <w:p w:rsidR="00C21266" w:rsidRPr="005C3B55" w:rsidRDefault="00C21266" w:rsidP="00C21266">
      <w:pPr>
        <w:spacing w:after="0"/>
        <w:rPr>
          <w:sz w:val="16"/>
        </w:rPr>
        <w:sectPr w:rsidR="00C21266" w:rsidRPr="005C3B55">
          <w:pgSz w:w="12240" w:h="15840"/>
          <w:pgMar w:top="900" w:right="900" w:bottom="900" w:left="900" w:header="708" w:footer="708" w:gutter="0"/>
          <w:cols w:space="708"/>
        </w:sectPr>
      </w:pPr>
    </w:p>
    <w:p w:rsidR="00C21266" w:rsidRPr="005C3B55" w:rsidRDefault="00C21266" w:rsidP="00C21266">
      <w:pPr>
        <w:pStyle w:val="Naslov4"/>
        <w:tabs>
          <w:tab w:val="clear" w:pos="765"/>
        </w:tabs>
        <w:ind w:left="0" w:firstLine="0"/>
        <w:jc w:val="left"/>
        <w:rPr>
          <w:sz w:val="16"/>
          <w:lang w:val="en-GB" w:eastAsia="en-GB" w:bidi="en-GB"/>
        </w:rPr>
      </w:pPr>
      <w:r w:rsidRPr="005C3B55">
        <w:rPr>
          <w:sz w:val="16"/>
          <w:lang w:val="en-GB"/>
        </w:rPr>
        <w:t>3B) Support to preventing and risk management at farms</w:t>
      </w:r>
    </w:p>
    <w:p w:rsidR="00C21266" w:rsidRPr="005C3B55" w:rsidRDefault="00C21266" w:rsidP="00C21266">
      <w:pPr>
        <w:rPr>
          <w:sz w:val="16"/>
        </w:rPr>
      </w:pPr>
      <w:r w:rsidRPr="005C3B55">
        <w:rPr>
          <w:sz w:val="16"/>
        </w:rPr>
        <w:t>No decision for this priority area was selected in the strategy.</w:t>
      </w:r>
    </w:p>
    <w:p w:rsidR="00C21266" w:rsidRPr="005C3B55" w:rsidRDefault="00C21266" w:rsidP="00C21266">
      <w:pPr>
        <w:spacing w:after="0"/>
        <w:rPr>
          <w:sz w:val="16"/>
        </w:rPr>
        <w:sectPr w:rsidR="00C21266" w:rsidRPr="005C3B55">
          <w:pgSz w:w="12240" w:h="15840"/>
          <w:pgMar w:top="900" w:right="900" w:bottom="900" w:left="900" w:header="708" w:footer="708" w:gutter="0"/>
          <w:cols w:space="708"/>
        </w:sectPr>
      </w:pPr>
    </w:p>
    <w:p w:rsidR="00C21266" w:rsidRPr="005C3B55" w:rsidRDefault="00C21266" w:rsidP="00C21266">
      <w:pPr>
        <w:pStyle w:val="Naslov3"/>
        <w:tabs>
          <w:tab w:val="clear" w:pos="765"/>
        </w:tabs>
        <w:ind w:left="0" w:firstLine="0"/>
        <w:jc w:val="left"/>
        <w:rPr>
          <w:sz w:val="16"/>
          <w:lang w:val="en-GB"/>
        </w:rPr>
      </w:pPr>
      <w:bookmarkStart w:id="165" w:name="_Toc416192623"/>
      <w:r w:rsidRPr="005C3B55">
        <w:rPr>
          <w:sz w:val="16"/>
          <w:lang w:val="en-GB"/>
        </w:rPr>
        <w:t>P4: Restoration, preservation and improvement of ecosystems related to agriculture and forestry</w:t>
      </w:r>
      <w:bookmarkEnd w:id="165"/>
    </w:p>
    <w:p w:rsidR="00C21266" w:rsidRPr="005C3B55" w:rsidRDefault="00C21266" w:rsidP="00C21266">
      <w:pPr>
        <w:rPr>
          <w:b/>
          <w:i/>
          <w:sz w:val="16"/>
        </w:rPr>
      </w:pPr>
      <w:r w:rsidRPr="005C3B55">
        <w:rPr>
          <w:b/>
          <w:i/>
          <w:sz w:val="16"/>
        </w:rPr>
        <w:t>Agriculture</w:t>
      </w:r>
    </w:p>
    <w:p w:rsidR="00C21266" w:rsidRPr="005C3B55" w:rsidRDefault="00C21266" w:rsidP="00C21266">
      <w:pPr>
        <w:rPr>
          <w:sz w:val="16"/>
        </w:rPr>
      </w:pPr>
      <w:r w:rsidRPr="005C3B55">
        <w:rPr>
          <w:sz w:val="16"/>
        </w:rPr>
        <w:t>Planned impact indicators for the 2014-2020 period</w:t>
      </w:r>
    </w:p>
    <w:tbl>
      <w:tblPr>
        <w:tblStyle w:val="Navadnatabela1"/>
        <w:tblW w:w="5000"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63"/>
        <w:gridCol w:w="4262"/>
        <w:gridCol w:w="2131"/>
      </w:tblGrid>
      <w:tr w:rsidR="00C21266" w:rsidRPr="005C3B55">
        <w:trPr>
          <w:trHeight w:val="464"/>
        </w:trPr>
        <w:tc>
          <w:tcPr>
            <w:tcW w:w="2000" w:type="pct"/>
            <w:tcBorders>
              <w:top w:val="single" w:sz="4" w:space="0" w:color="auto"/>
              <w:left w:val="single" w:sz="4" w:space="0" w:color="auto"/>
              <w:bottom w:val="nil"/>
              <w:right w:val="single" w:sz="4" w:space="0" w:color="auto"/>
            </w:tcBorders>
            <w:shd w:val="clear" w:color="auto" w:fill="C0C0C0"/>
            <w:tcMar>
              <w:top w:w="60" w:type="dxa"/>
              <w:left w:w="108" w:type="dxa"/>
              <w:bottom w:w="0" w:type="dxa"/>
              <w:right w:w="108" w:type="dxa"/>
            </w:tcMar>
            <w:vAlign w:val="center"/>
          </w:tcPr>
          <w:p w:rsidR="00C21266" w:rsidRPr="005C3B55" w:rsidRDefault="00C21266">
            <w:pPr>
              <w:spacing w:after="200"/>
              <w:jc w:val="center"/>
              <w:rPr>
                <w:rFonts w:eastAsia="Calibri"/>
                <w:b/>
                <w:sz w:val="20"/>
                <w:lang w:eastAsia="en-GB" w:bidi="en-GB"/>
              </w:rPr>
            </w:pPr>
            <w:r w:rsidRPr="005C3B55">
              <w:rPr>
                <w:b/>
                <w:sz w:val="20"/>
              </w:rPr>
              <w:t>Name of the measure</w:t>
            </w:r>
          </w:p>
        </w:tc>
        <w:tc>
          <w:tcPr>
            <w:tcW w:w="2000" w:type="pct"/>
            <w:tcBorders>
              <w:top w:val="single" w:sz="4" w:space="0" w:color="auto"/>
              <w:left w:val="single" w:sz="4" w:space="0" w:color="auto"/>
              <w:bottom w:val="nil"/>
              <w:right w:val="single" w:sz="4" w:space="0" w:color="auto"/>
            </w:tcBorders>
            <w:shd w:val="clear" w:color="auto" w:fill="C0C0C0"/>
            <w:tcMar>
              <w:top w:w="60" w:type="dxa"/>
              <w:left w:w="108" w:type="dxa"/>
              <w:bottom w:w="0" w:type="dxa"/>
              <w:right w:w="108" w:type="dxa"/>
            </w:tcMar>
            <w:vAlign w:val="center"/>
          </w:tcPr>
          <w:p w:rsidR="00C21266" w:rsidRPr="005C3B55" w:rsidRDefault="00C21266">
            <w:pPr>
              <w:spacing w:after="200"/>
              <w:jc w:val="center"/>
              <w:rPr>
                <w:rFonts w:eastAsia="Calibri"/>
                <w:b/>
                <w:sz w:val="20"/>
                <w:lang w:eastAsia="en-GB" w:bidi="en-GB"/>
              </w:rPr>
            </w:pPr>
            <w:r w:rsidRPr="005C3B55">
              <w:rPr>
                <w:b/>
                <w:sz w:val="20"/>
              </w:rPr>
              <w:t>Indication of the indicator</w:t>
            </w:r>
          </w:p>
        </w:tc>
        <w:tc>
          <w:tcPr>
            <w:tcW w:w="1000" w:type="pct"/>
            <w:tcBorders>
              <w:top w:val="single" w:sz="4" w:space="0" w:color="auto"/>
              <w:left w:val="single" w:sz="4" w:space="0" w:color="auto"/>
              <w:bottom w:val="nil"/>
              <w:right w:val="single" w:sz="4" w:space="0" w:color="auto"/>
            </w:tcBorders>
            <w:shd w:val="clear" w:color="auto" w:fill="C0C0C0"/>
            <w:tcMar>
              <w:top w:w="60" w:type="dxa"/>
              <w:left w:w="108" w:type="dxa"/>
              <w:bottom w:w="0" w:type="dxa"/>
              <w:right w:w="108" w:type="dxa"/>
            </w:tcMar>
            <w:vAlign w:val="center"/>
          </w:tcPr>
          <w:p w:rsidR="00C21266" w:rsidRPr="005C3B55" w:rsidRDefault="00C21266">
            <w:pPr>
              <w:spacing w:after="200"/>
              <w:jc w:val="center"/>
              <w:rPr>
                <w:rFonts w:eastAsia="Calibri"/>
                <w:b/>
                <w:sz w:val="20"/>
                <w:lang w:eastAsia="en-GB" w:bidi="en-GB"/>
              </w:rPr>
            </w:pPr>
            <w:r w:rsidRPr="005C3B55">
              <w:rPr>
                <w:b/>
                <w:sz w:val="20"/>
              </w:rPr>
              <w:t>Value</w:t>
            </w:r>
          </w:p>
        </w:tc>
      </w:tr>
      <w:tr w:rsidR="00C21266" w:rsidRPr="005C3B55">
        <w:trPr>
          <w:trHeight w:val="232"/>
        </w:trPr>
        <w:tc>
          <w:tcPr>
            <w:tcW w:w="2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b/>
                <w:sz w:val="16"/>
                <w:lang w:eastAsia="en-GB" w:bidi="en-GB"/>
              </w:rPr>
            </w:pPr>
            <w:r w:rsidRPr="005C3B55">
              <w:rPr>
                <w:b/>
                <w:sz w:val="16"/>
              </w:rPr>
              <w:t>M01 – Knowledge transfer and information actions (Article 14)</w:t>
            </w:r>
          </w:p>
        </w:tc>
        <w:tc>
          <w:tcPr>
            <w:tcW w:w="2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sz w:val="16"/>
                <w:lang w:eastAsia="en-GB" w:bidi="en-GB"/>
              </w:rPr>
            </w:pPr>
            <w:r w:rsidRPr="005C3B55">
              <w:rPr>
                <w:sz w:val="16"/>
              </w:rPr>
              <w:t>Training/acquisition of skills (1.1) - number of participants in training</w:t>
            </w:r>
          </w:p>
        </w:tc>
        <w:tc>
          <w:tcPr>
            <w:tcW w:w="1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jc w:val="right"/>
              <w:rPr>
                <w:rFonts w:eastAsia="Calibri"/>
                <w:sz w:val="16"/>
                <w:lang w:eastAsia="en-GB" w:bidi="en-GB"/>
              </w:rPr>
            </w:pPr>
            <w:r w:rsidRPr="005C3B55">
              <w:rPr>
                <w:sz w:val="16"/>
              </w:rPr>
              <w:t>93,300.00</w:t>
            </w:r>
          </w:p>
        </w:tc>
      </w:tr>
      <w:tr w:rsidR="00C21266" w:rsidRPr="005C3B55">
        <w:trPr>
          <w:trHeight w:val="232"/>
        </w:trPr>
        <w:tc>
          <w:tcPr>
            <w:tcW w:w="2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b/>
                <w:sz w:val="16"/>
                <w:lang w:eastAsia="en-GB" w:bidi="en-GB"/>
              </w:rPr>
            </w:pPr>
            <w:r w:rsidRPr="005C3B55">
              <w:rPr>
                <w:b/>
                <w:sz w:val="16"/>
              </w:rPr>
              <w:t>M01 – Knowledge transfer and information actions (Article 14)</w:t>
            </w:r>
          </w:p>
        </w:tc>
        <w:tc>
          <w:tcPr>
            <w:tcW w:w="2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sz w:val="16"/>
                <w:lang w:eastAsia="en-GB" w:bidi="en-GB"/>
              </w:rPr>
            </w:pPr>
            <w:r w:rsidRPr="005C3B55">
              <w:rPr>
                <w:sz w:val="16"/>
              </w:rPr>
              <w:t>Training/acquisition of skills (1.1) - total public expenditures for training/skills</w:t>
            </w:r>
          </w:p>
        </w:tc>
        <w:tc>
          <w:tcPr>
            <w:tcW w:w="1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jc w:val="right"/>
              <w:rPr>
                <w:rFonts w:eastAsia="Calibri"/>
                <w:sz w:val="16"/>
                <w:lang w:eastAsia="en-GB" w:bidi="en-GB"/>
              </w:rPr>
            </w:pPr>
            <w:r w:rsidRPr="005C3B55">
              <w:rPr>
                <w:sz w:val="16"/>
              </w:rPr>
              <w:t>8,921,615.00</w:t>
            </w:r>
          </w:p>
        </w:tc>
      </w:tr>
      <w:tr w:rsidR="00C21266" w:rsidRPr="005C3B55">
        <w:trPr>
          <w:trHeight w:val="232"/>
        </w:trPr>
        <w:tc>
          <w:tcPr>
            <w:tcW w:w="2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b/>
                <w:sz w:val="16"/>
                <w:lang w:eastAsia="en-GB" w:bidi="en-GB"/>
              </w:rPr>
            </w:pPr>
            <w:r w:rsidRPr="005C3B55">
              <w:rPr>
                <w:b/>
                <w:sz w:val="16"/>
              </w:rPr>
              <w:t>M01 – Knowledge transfer and information actions (Article 14)</w:t>
            </w:r>
          </w:p>
        </w:tc>
        <w:tc>
          <w:tcPr>
            <w:tcW w:w="2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sz w:val="16"/>
                <w:lang w:eastAsia="en-GB" w:bidi="en-GB"/>
              </w:rPr>
            </w:pPr>
            <w:r w:rsidRPr="005C3B55">
              <w:rPr>
                <w:sz w:val="16"/>
              </w:rPr>
              <w:t>Total public expenditures in EUR (trainings, exchanges between agricultural holdings, representation activities) (1.1-1.3)</w:t>
            </w:r>
          </w:p>
        </w:tc>
        <w:tc>
          <w:tcPr>
            <w:tcW w:w="1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jc w:val="right"/>
              <w:rPr>
                <w:rFonts w:eastAsia="Calibri"/>
                <w:sz w:val="16"/>
                <w:lang w:eastAsia="en-GB" w:bidi="en-GB"/>
              </w:rPr>
            </w:pPr>
            <w:r w:rsidRPr="005C3B55">
              <w:rPr>
                <w:sz w:val="16"/>
              </w:rPr>
              <w:t>8,921,615.00</w:t>
            </w:r>
          </w:p>
        </w:tc>
      </w:tr>
      <w:tr w:rsidR="00C21266" w:rsidRPr="005C3B55">
        <w:trPr>
          <w:trHeight w:val="232"/>
        </w:trPr>
        <w:tc>
          <w:tcPr>
            <w:tcW w:w="2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b/>
                <w:sz w:val="16"/>
                <w:lang w:eastAsia="en-GB" w:bidi="en-GB"/>
              </w:rPr>
            </w:pPr>
            <w:r w:rsidRPr="005C3B55">
              <w:rPr>
                <w:b/>
                <w:sz w:val="16"/>
              </w:rPr>
              <w:t>M02 – Advisory services, farm management and farm relief services (Article 15)</w:t>
            </w:r>
          </w:p>
        </w:tc>
        <w:tc>
          <w:tcPr>
            <w:tcW w:w="2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sz w:val="16"/>
                <w:lang w:eastAsia="en-GB" w:bidi="en-GB"/>
              </w:rPr>
            </w:pPr>
            <w:r w:rsidRPr="005C3B55">
              <w:rPr>
                <w:sz w:val="16"/>
              </w:rPr>
              <w:t>Number of beneficiaries receiving the advisory services (2.1)</w:t>
            </w:r>
          </w:p>
        </w:tc>
        <w:tc>
          <w:tcPr>
            <w:tcW w:w="1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jc w:val="right"/>
              <w:rPr>
                <w:rFonts w:eastAsia="Calibri"/>
                <w:sz w:val="16"/>
                <w:lang w:eastAsia="en-GB" w:bidi="en-GB"/>
              </w:rPr>
            </w:pPr>
            <w:r w:rsidRPr="005C3B55">
              <w:rPr>
                <w:sz w:val="16"/>
              </w:rPr>
              <w:t>36,935.00</w:t>
            </w:r>
          </w:p>
        </w:tc>
      </w:tr>
      <w:tr w:rsidR="00C21266" w:rsidRPr="005C3B55">
        <w:trPr>
          <w:trHeight w:val="232"/>
        </w:trPr>
        <w:tc>
          <w:tcPr>
            <w:tcW w:w="2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b/>
                <w:sz w:val="16"/>
                <w:lang w:eastAsia="en-GB" w:bidi="en-GB"/>
              </w:rPr>
            </w:pPr>
            <w:r w:rsidRPr="005C3B55">
              <w:rPr>
                <w:b/>
                <w:sz w:val="16"/>
              </w:rPr>
              <w:t>M02 – Advisory services, farm management and farm relief services (Article 15)</w:t>
            </w:r>
          </w:p>
        </w:tc>
        <w:tc>
          <w:tcPr>
            <w:tcW w:w="2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sz w:val="16"/>
                <w:lang w:eastAsia="en-GB" w:bidi="en-GB"/>
              </w:rPr>
            </w:pPr>
            <w:r w:rsidRPr="005C3B55">
              <w:rPr>
                <w:sz w:val="16"/>
              </w:rPr>
              <w:t>Total public expenditures in EUR (2.1-2.3)</w:t>
            </w:r>
          </w:p>
        </w:tc>
        <w:tc>
          <w:tcPr>
            <w:tcW w:w="1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jc w:val="right"/>
              <w:rPr>
                <w:rFonts w:eastAsia="Calibri"/>
                <w:sz w:val="16"/>
                <w:lang w:eastAsia="en-GB" w:bidi="en-GB"/>
              </w:rPr>
            </w:pPr>
            <w:r w:rsidRPr="005C3B55">
              <w:rPr>
                <w:sz w:val="16"/>
              </w:rPr>
              <w:t>10,477,264.00</w:t>
            </w:r>
          </w:p>
        </w:tc>
      </w:tr>
      <w:tr w:rsidR="00C21266" w:rsidRPr="005C3B55">
        <w:trPr>
          <w:trHeight w:val="232"/>
        </w:trPr>
        <w:tc>
          <w:tcPr>
            <w:tcW w:w="2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b/>
                <w:sz w:val="16"/>
                <w:lang w:eastAsia="en-GB" w:bidi="en-GB"/>
              </w:rPr>
            </w:pPr>
            <w:r w:rsidRPr="005C3B55">
              <w:rPr>
                <w:b/>
                <w:sz w:val="16"/>
              </w:rPr>
              <w:t>M10 – Agri-environment-climate payments (Article 28)</w:t>
            </w:r>
          </w:p>
        </w:tc>
        <w:tc>
          <w:tcPr>
            <w:tcW w:w="2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sz w:val="16"/>
                <w:lang w:eastAsia="en-GB" w:bidi="en-GB"/>
              </w:rPr>
            </w:pPr>
            <w:r w:rsidRPr="005C3B55">
              <w:rPr>
                <w:sz w:val="16"/>
              </w:rPr>
              <w:t xml:space="preserve">Areas (ha) subject to agri-environment-climate payments (10.1) </w:t>
            </w:r>
          </w:p>
        </w:tc>
        <w:tc>
          <w:tcPr>
            <w:tcW w:w="1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jc w:val="right"/>
              <w:rPr>
                <w:rFonts w:eastAsia="Calibri"/>
                <w:sz w:val="16"/>
                <w:lang w:eastAsia="en-GB" w:bidi="en-GB"/>
              </w:rPr>
            </w:pPr>
            <w:r w:rsidRPr="005C3B55">
              <w:rPr>
                <w:sz w:val="16"/>
              </w:rPr>
              <w:t>426,000.00</w:t>
            </w:r>
          </w:p>
        </w:tc>
      </w:tr>
      <w:tr w:rsidR="00C21266" w:rsidRPr="005C3B55">
        <w:trPr>
          <w:trHeight w:val="232"/>
        </w:trPr>
        <w:tc>
          <w:tcPr>
            <w:tcW w:w="2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b/>
                <w:sz w:val="16"/>
                <w:lang w:eastAsia="en-GB" w:bidi="en-GB"/>
              </w:rPr>
            </w:pPr>
            <w:r w:rsidRPr="005C3B55">
              <w:rPr>
                <w:b/>
                <w:sz w:val="16"/>
              </w:rPr>
              <w:t>M10 – Agri-environment-climate payments (Article 28)</w:t>
            </w:r>
          </w:p>
        </w:tc>
        <w:tc>
          <w:tcPr>
            <w:tcW w:w="2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sz w:val="16"/>
                <w:lang w:eastAsia="en-GB" w:bidi="en-GB"/>
              </w:rPr>
            </w:pPr>
            <w:r w:rsidRPr="005C3B55">
              <w:rPr>
                <w:sz w:val="16"/>
              </w:rPr>
              <w:t>Public expenditure for conserving the genetic sources (10.2)</w:t>
            </w:r>
          </w:p>
        </w:tc>
        <w:tc>
          <w:tcPr>
            <w:tcW w:w="1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jc w:val="right"/>
              <w:rPr>
                <w:rFonts w:eastAsia="Calibri"/>
                <w:sz w:val="16"/>
                <w:lang w:eastAsia="en-GB" w:bidi="en-GB"/>
              </w:rPr>
            </w:pPr>
            <w:r w:rsidRPr="005C3B55">
              <w:rPr>
                <w:sz w:val="16"/>
              </w:rPr>
              <w:t>0.00</w:t>
            </w:r>
          </w:p>
        </w:tc>
      </w:tr>
      <w:tr w:rsidR="00C21266" w:rsidRPr="005C3B55">
        <w:trPr>
          <w:trHeight w:val="232"/>
        </w:trPr>
        <w:tc>
          <w:tcPr>
            <w:tcW w:w="2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b/>
                <w:sz w:val="16"/>
                <w:lang w:eastAsia="en-GB" w:bidi="en-GB"/>
              </w:rPr>
            </w:pPr>
            <w:r w:rsidRPr="005C3B55">
              <w:rPr>
                <w:b/>
                <w:sz w:val="16"/>
              </w:rPr>
              <w:t>M10 – Agri-environment-climate payments (Article 28)</w:t>
            </w:r>
          </w:p>
        </w:tc>
        <w:tc>
          <w:tcPr>
            <w:tcW w:w="2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sz w:val="16"/>
                <w:lang w:eastAsia="en-GB" w:bidi="en-GB"/>
              </w:rPr>
            </w:pPr>
            <w:r w:rsidRPr="005C3B55">
              <w:rPr>
                <w:sz w:val="16"/>
              </w:rPr>
              <w:t xml:space="preserve">Total public expenditures (EUR) </w:t>
            </w:r>
          </w:p>
        </w:tc>
        <w:tc>
          <w:tcPr>
            <w:tcW w:w="1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jc w:val="right"/>
              <w:rPr>
                <w:rFonts w:eastAsia="Calibri"/>
                <w:sz w:val="16"/>
                <w:lang w:eastAsia="en-GB" w:bidi="en-GB"/>
              </w:rPr>
            </w:pPr>
            <w:r w:rsidRPr="005C3B55">
              <w:rPr>
                <w:sz w:val="16"/>
              </w:rPr>
              <w:t>203,607,386.67</w:t>
            </w:r>
          </w:p>
        </w:tc>
      </w:tr>
      <w:tr w:rsidR="00C21266" w:rsidRPr="005C3B55">
        <w:trPr>
          <w:trHeight w:val="232"/>
        </w:trPr>
        <w:tc>
          <w:tcPr>
            <w:tcW w:w="2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b/>
                <w:sz w:val="16"/>
                <w:lang w:eastAsia="en-GB" w:bidi="en-GB"/>
              </w:rPr>
            </w:pPr>
            <w:r w:rsidRPr="005C3B55">
              <w:rPr>
                <w:b/>
                <w:sz w:val="16"/>
              </w:rPr>
              <w:t>M11 – Organic farming (Article 29)</w:t>
            </w:r>
          </w:p>
        </w:tc>
        <w:tc>
          <w:tcPr>
            <w:tcW w:w="2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sz w:val="16"/>
                <w:lang w:eastAsia="en-GB" w:bidi="en-GB"/>
              </w:rPr>
            </w:pPr>
            <w:r w:rsidRPr="005C3B55">
              <w:rPr>
                <w:sz w:val="16"/>
              </w:rPr>
              <w:t>Areas (ha) - redirected into the organic farming (11.1)</w:t>
            </w:r>
          </w:p>
        </w:tc>
        <w:tc>
          <w:tcPr>
            <w:tcW w:w="1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jc w:val="right"/>
              <w:rPr>
                <w:rFonts w:eastAsia="Calibri"/>
                <w:sz w:val="16"/>
                <w:lang w:eastAsia="en-GB" w:bidi="en-GB"/>
              </w:rPr>
            </w:pPr>
            <w:r w:rsidRPr="005C3B55">
              <w:rPr>
                <w:sz w:val="16"/>
              </w:rPr>
              <w:t>15,000.00</w:t>
            </w:r>
          </w:p>
        </w:tc>
      </w:tr>
      <w:tr w:rsidR="00C21266" w:rsidRPr="005C3B55">
        <w:trPr>
          <w:trHeight w:val="232"/>
        </w:trPr>
        <w:tc>
          <w:tcPr>
            <w:tcW w:w="2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b/>
                <w:sz w:val="16"/>
                <w:lang w:eastAsia="en-GB" w:bidi="en-GB"/>
              </w:rPr>
            </w:pPr>
            <w:r w:rsidRPr="005C3B55">
              <w:rPr>
                <w:b/>
                <w:sz w:val="16"/>
              </w:rPr>
              <w:t>M11 – Organic farming (Article 29)</w:t>
            </w:r>
          </w:p>
        </w:tc>
        <w:tc>
          <w:tcPr>
            <w:tcW w:w="2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sz w:val="16"/>
                <w:lang w:eastAsia="en-GB" w:bidi="en-GB"/>
              </w:rPr>
            </w:pPr>
            <w:r w:rsidRPr="005C3B55">
              <w:rPr>
                <w:sz w:val="16"/>
              </w:rPr>
              <w:t>Areas (ha) - conservation of the organic farming (11.2)</w:t>
            </w:r>
          </w:p>
        </w:tc>
        <w:tc>
          <w:tcPr>
            <w:tcW w:w="1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jc w:val="right"/>
              <w:rPr>
                <w:rFonts w:eastAsia="Calibri"/>
                <w:sz w:val="16"/>
                <w:lang w:eastAsia="en-GB" w:bidi="en-GB"/>
              </w:rPr>
            </w:pPr>
            <w:r w:rsidRPr="005C3B55">
              <w:rPr>
                <w:sz w:val="16"/>
              </w:rPr>
              <w:t>40,000.00</w:t>
            </w:r>
          </w:p>
        </w:tc>
      </w:tr>
      <w:tr w:rsidR="00C21266" w:rsidRPr="005C3B55">
        <w:trPr>
          <w:trHeight w:val="232"/>
        </w:trPr>
        <w:tc>
          <w:tcPr>
            <w:tcW w:w="2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b/>
                <w:sz w:val="16"/>
                <w:lang w:eastAsia="en-GB" w:bidi="en-GB"/>
              </w:rPr>
            </w:pPr>
            <w:r w:rsidRPr="005C3B55">
              <w:rPr>
                <w:b/>
                <w:sz w:val="16"/>
              </w:rPr>
              <w:t>M11 – Organic farming (Article 29)</w:t>
            </w:r>
          </w:p>
        </w:tc>
        <w:tc>
          <w:tcPr>
            <w:tcW w:w="2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sz w:val="16"/>
                <w:lang w:eastAsia="en-GB" w:bidi="en-GB"/>
              </w:rPr>
            </w:pPr>
            <w:r w:rsidRPr="005C3B55">
              <w:rPr>
                <w:sz w:val="16"/>
              </w:rPr>
              <w:t>Total public expenditures (EUR)</w:t>
            </w:r>
          </w:p>
        </w:tc>
        <w:tc>
          <w:tcPr>
            <w:tcW w:w="1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jc w:val="right"/>
              <w:rPr>
                <w:rFonts w:eastAsia="Calibri"/>
                <w:sz w:val="16"/>
                <w:lang w:eastAsia="en-GB" w:bidi="en-GB"/>
              </w:rPr>
            </w:pPr>
            <w:r w:rsidRPr="005C3B55">
              <w:rPr>
                <w:sz w:val="16"/>
              </w:rPr>
              <w:t>60,200,000.00</w:t>
            </w:r>
          </w:p>
        </w:tc>
      </w:tr>
      <w:tr w:rsidR="00C21266" w:rsidRPr="005C3B55">
        <w:trPr>
          <w:trHeight w:val="232"/>
        </w:trPr>
        <w:tc>
          <w:tcPr>
            <w:tcW w:w="2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b/>
                <w:sz w:val="16"/>
                <w:lang w:eastAsia="en-GB" w:bidi="en-GB"/>
              </w:rPr>
            </w:pPr>
            <w:r w:rsidRPr="005C3B55">
              <w:rPr>
                <w:b/>
                <w:sz w:val="16"/>
              </w:rPr>
              <w:t>M13 – Payments to areas facing natural or other specific constraints (Article 31)</w:t>
            </w:r>
          </w:p>
        </w:tc>
        <w:tc>
          <w:tcPr>
            <w:tcW w:w="2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sz w:val="16"/>
                <w:lang w:eastAsia="en-GB" w:bidi="en-GB"/>
              </w:rPr>
            </w:pPr>
            <w:r w:rsidRPr="005C3B55">
              <w:rPr>
                <w:sz w:val="16"/>
              </w:rPr>
              <w:t>Areas (ha) - mountainous areas (13.1)</w:t>
            </w:r>
          </w:p>
        </w:tc>
        <w:tc>
          <w:tcPr>
            <w:tcW w:w="1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jc w:val="right"/>
              <w:rPr>
                <w:rFonts w:eastAsia="Calibri"/>
                <w:sz w:val="16"/>
                <w:lang w:eastAsia="en-GB" w:bidi="en-GB"/>
              </w:rPr>
            </w:pPr>
            <w:r w:rsidRPr="005C3B55">
              <w:rPr>
                <w:sz w:val="16"/>
              </w:rPr>
              <w:t>241,000.00</w:t>
            </w:r>
          </w:p>
        </w:tc>
      </w:tr>
      <w:tr w:rsidR="00C21266" w:rsidRPr="005C3B55">
        <w:trPr>
          <w:trHeight w:val="232"/>
        </w:trPr>
        <w:tc>
          <w:tcPr>
            <w:tcW w:w="2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b/>
                <w:sz w:val="16"/>
                <w:lang w:eastAsia="en-GB" w:bidi="en-GB"/>
              </w:rPr>
            </w:pPr>
            <w:r w:rsidRPr="005C3B55">
              <w:rPr>
                <w:b/>
                <w:sz w:val="16"/>
              </w:rPr>
              <w:t>M13 – Payments to areas facing natural or other specific constraints (Article 31)</w:t>
            </w:r>
          </w:p>
        </w:tc>
        <w:tc>
          <w:tcPr>
            <w:tcW w:w="2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sz w:val="16"/>
                <w:lang w:eastAsia="en-GB" w:bidi="en-GB"/>
              </w:rPr>
            </w:pPr>
            <w:r w:rsidRPr="005C3B55">
              <w:rPr>
                <w:sz w:val="16"/>
              </w:rPr>
              <w:t>Areas (ha) other areas with considerable natural constraints (13.2)</w:t>
            </w:r>
          </w:p>
        </w:tc>
        <w:tc>
          <w:tcPr>
            <w:tcW w:w="1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jc w:val="right"/>
              <w:rPr>
                <w:rFonts w:eastAsia="Calibri"/>
                <w:sz w:val="16"/>
                <w:lang w:eastAsia="en-GB" w:bidi="en-GB"/>
              </w:rPr>
            </w:pPr>
            <w:r w:rsidRPr="005C3B55">
              <w:rPr>
                <w:sz w:val="16"/>
              </w:rPr>
              <w:t>15,600.00</w:t>
            </w:r>
          </w:p>
        </w:tc>
      </w:tr>
      <w:tr w:rsidR="00C21266" w:rsidRPr="005C3B55">
        <w:trPr>
          <w:trHeight w:val="232"/>
        </w:trPr>
        <w:tc>
          <w:tcPr>
            <w:tcW w:w="2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b/>
                <w:sz w:val="16"/>
                <w:lang w:eastAsia="en-GB" w:bidi="en-GB"/>
              </w:rPr>
            </w:pPr>
            <w:r w:rsidRPr="005C3B55">
              <w:rPr>
                <w:b/>
                <w:sz w:val="16"/>
              </w:rPr>
              <w:t>M13 – Payments to areas facing natural or other specific constraints (Article 31)</w:t>
            </w:r>
          </w:p>
        </w:tc>
        <w:tc>
          <w:tcPr>
            <w:tcW w:w="2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sz w:val="16"/>
                <w:lang w:eastAsia="en-GB" w:bidi="en-GB"/>
              </w:rPr>
            </w:pPr>
            <w:r w:rsidRPr="005C3B55">
              <w:rPr>
                <w:sz w:val="16"/>
              </w:rPr>
              <w:t>Areas (ha) - other areas with specific constraints (13.3)</w:t>
            </w:r>
          </w:p>
        </w:tc>
        <w:tc>
          <w:tcPr>
            <w:tcW w:w="1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jc w:val="right"/>
              <w:rPr>
                <w:rFonts w:eastAsia="Calibri"/>
                <w:sz w:val="16"/>
                <w:lang w:eastAsia="en-GB" w:bidi="en-GB"/>
              </w:rPr>
            </w:pPr>
            <w:r w:rsidRPr="005C3B55">
              <w:rPr>
                <w:sz w:val="16"/>
              </w:rPr>
              <w:t>73,200.00</w:t>
            </w:r>
          </w:p>
        </w:tc>
      </w:tr>
      <w:tr w:rsidR="00C21266" w:rsidRPr="005C3B55">
        <w:tc>
          <w:tcPr>
            <w:tcW w:w="2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b/>
                <w:sz w:val="16"/>
                <w:lang w:eastAsia="en-GB" w:bidi="en-GB"/>
              </w:rPr>
            </w:pPr>
            <w:r w:rsidRPr="005C3B55">
              <w:rPr>
                <w:b/>
                <w:sz w:val="16"/>
              </w:rPr>
              <w:t>M13 – Payments to areas facing natural or other specific constraints (Article 31)</w:t>
            </w:r>
          </w:p>
        </w:tc>
        <w:tc>
          <w:tcPr>
            <w:tcW w:w="2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sz w:val="16"/>
                <w:lang w:eastAsia="en-GB" w:bidi="en-GB"/>
              </w:rPr>
            </w:pPr>
            <w:r w:rsidRPr="005C3B55">
              <w:rPr>
                <w:sz w:val="16"/>
              </w:rPr>
              <w:t>Total public expenditures (EUR)</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jc w:val="right"/>
              <w:rPr>
                <w:rFonts w:eastAsia="Calibri"/>
                <w:sz w:val="16"/>
                <w:lang w:eastAsia="en-GB" w:bidi="en-GB"/>
              </w:rPr>
            </w:pPr>
            <w:r w:rsidRPr="005C3B55">
              <w:rPr>
                <w:sz w:val="16"/>
              </w:rPr>
              <w:t>265,933,333.33</w:t>
            </w:r>
          </w:p>
        </w:tc>
      </w:tr>
      <w:tr w:rsidR="00C21266" w:rsidRPr="005C3B55">
        <w:tc>
          <w:tcPr>
            <w:tcW w:w="2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b/>
                <w:sz w:val="16"/>
                <w:lang w:eastAsia="en-GB" w:bidi="en-GB"/>
              </w:rPr>
            </w:pPr>
            <w:r w:rsidRPr="005C3B55">
              <w:rPr>
                <w:b/>
                <w:sz w:val="16"/>
              </w:rPr>
              <w:t>M16 – Cooperation (Article 35)</w:t>
            </w:r>
          </w:p>
        </w:tc>
        <w:tc>
          <w:tcPr>
            <w:tcW w:w="2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sz w:val="16"/>
                <w:lang w:eastAsia="en-GB" w:bidi="en-GB"/>
              </w:rPr>
            </w:pPr>
            <w:r w:rsidRPr="005C3B55">
              <w:rPr>
                <w:sz w:val="16"/>
              </w:rPr>
              <w:t>Total public expenditures in EUR (16.1-16.9)</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jc w:val="right"/>
              <w:rPr>
                <w:rFonts w:eastAsia="Calibri"/>
                <w:sz w:val="16"/>
                <w:lang w:eastAsia="en-GB" w:bidi="en-GB"/>
              </w:rPr>
            </w:pPr>
            <w:r w:rsidRPr="005C3B55">
              <w:rPr>
                <w:sz w:val="16"/>
              </w:rPr>
              <w:t>5,617,500.00</w:t>
            </w:r>
          </w:p>
        </w:tc>
      </w:tr>
    </w:tbl>
    <w:p w:rsidR="00C21266" w:rsidRPr="005C3B55" w:rsidRDefault="00C21266" w:rsidP="00C21266">
      <w:pPr>
        <w:rPr>
          <w:rFonts w:eastAsia="Calibri"/>
          <w:b/>
          <w:i/>
          <w:sz w:val="16"/>
          <w:szCs w:val="22"/>
          <w:lang w:eastAsia="en-GB" w:bidi="en-GB"/>
        </w:rPr>
      </w:pPr>
      <w:r w:rsidRPr="005C3B55">
        <w:rPr>
          <w:b/>
          <w:i/>
          <w:sz w:val="16"/>
        </w:rPr>
        <w:t>Forestry</w:t>
      </w:r>
    </w:p>
    <w:p w:rsidR="00C21266" w:rsidRPr="005C3B55" w:rsidRDefault="00C21266" w:rsidP="00C21266">
      <w:pPr>
        <w:rPr>
          <w:sz w:val="16"/>
        </w:rPr>
      </w:pPr>
      <w:r w:rsidRPr="005C3B55">
        <w:rPr>
          <w:sz w:val="16"/>
        </w:rPr>
        <w:t>Planned impact indicators for the 2014-2020 period</w:t>
      </w:r>
    </w:p>
    <w:tbl>
      <w:tblPr>
        <w:tblStyle w:val="Navadnatabela1"/>
        <w:tblW w:w="5000"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63"/>
        <w:gridCol w:w="4262"/>
        <w:gridCol w:w="2131"/>
      </w:tblGrid>
      <w:tr w:rsidR="00C21266" w:rsidRPr="005C3B55">
        <w:trPr>
          <w:trHeight w:val="464"/>
        </w:trPr>
        <w:tc>
          <w:tcPr>
            <w:tcW w:w="2000" w:type="pct"/>
            <w:tcBorders>
              <w:top w:val="single" w:sz="4" w:space="0" w:color="auto"/>
              <w:left w:val="single" w:sz="4" w:space="0" w:color="auto"/>
              <w:bottom w:val="nil"/>
              <w:right w:val="single" w:sz="4" w:space="0" w:color="auto"/>
            </w:tcBorders>
            <w:shd w:val="clear" w:color="auto" w:fill="C0C0C0"/>
            <w:tcMar>
              <w:top w:w="60" w:type="dxa"/>
              <w:left w:w="108" w:type="dxa"/>
              <w:bottom w:w="0" w:type="dxa"/>
              <w:right w:w="108" w:type="dxa"/>
            </w:tcMar>
            <w:vAlign w:val="center"/>
          </w:tcPr>
          <w:p w:rsidR="00C21266" w:rsidRPr="005C3B55" w:rsidRDefault="00C21266">
            <w:pPr>
              <w:spacing w:after="200"/>
              <w:jc w:val="center"/>
              <w:rPr>
                <w:rFonts w:eastAsia="Calibri"/>
                <w:b/>
                <w:sz w:val="20"/>
                <w:lang w:eastAsia="en-GB" w:bidi="en-GB"/>
              </w:rPr>
            </w:pPr>
            <w:r w:rsidRPr="005C3B55">
              <w:rPr>
                <w:b/>
                <w:sz w:val="20"/>
              </w:rPr>
              <w:t>Name of the measure</w:t>
            </w:r>
          </w:p>
        </w:tc>
        <w:tc>
          <w:tcPr>
            <w:tcW w:w="2000" w:type="pct"/>
            <w:tcBorders>
              <w:top w:val="single" w:sz="4" w:space="0" w:color="auto"/>
              <w:left w:val="single" w:sz="4" w:space="0" w:color="auto"/>
              <w:bottom w:val="nil"/>
              <w:right w:val="single" w:sz="4" w:space="0" w:color="auto"/>
            </w:tcBorders>
            <w:shd w:val="clear" w:color="auto" w:fill="C0C0C0"/>
            <w:tcMar>
              <w:top w:w="60" w:type="dxa"/>
              <w:left w:w="108" w:type="dxa"/>
              <w:bottom w:w="0" w:type="dxa"/>
              <w:right w:w="108" w:type="dxa"/>
            </w:tcMar>
            <w:vAlign w:val="center"/>
          </w:tcPr>
          <w:p w:rsidR="00C21266" w:rsidRPr="005C3B55" w:rsidRDefault="00C21266">
            <w:pPr>
              <w:spacing w:after="200"/>
              <w:jc w:val="center"/>
              <w:rPr>
                <w:rFonts w:eastAsia="Calibri"/>
                <w:b/>
                <w:sz w:val="20"/>
                <w:lang w:eastAsia="en-GB" w:bidi="en-GB"/>
              </w:rPr>
            </w:pPr>
            <w:r w:rsidRPr="005C3B55">
              <w:rPr>
                <w:b/>
                <w:sz w:val="20"/>
              </w:rPr>
              <w:t>Indication of the indicator</w:t>
            </w:r>
          </w:p>
        </w:tc>
        <w:tc>
          <w:tcPr>
            <w:tcW w:w="1000" w:type="pct"/>
            <w:tcBorders>
              <w:top w:val="single" w:sz="4" w:space="0" w:color="auto"/>
              <w:left w:val="single" w:sz="4" w:space="0" w:color="auto"/>
              <w:bottom w:val="nil"/>
              <w:right w:val="single" w:sz="4" w:space="0" w:color="auto"/>
            </w:tcBorders>
            <w:shd w:val="clear" w:color="auto" w:fill="C0C0C0"/>
            <w:tcMar>
              <w:top w:w="60" w:type="dxa"/>
              <w:left w:w="108" w:type="dxa"/>
              <w:bottom w:w="0" w:type="dxa"/>
              <w:right w:w="108" w:type="dxa"/>
            </w:tcMar>
            <w:vAlign w:val="center"/>
          </w:tcPr>
          <w:p w:rsidR="00C21266" w:rsidRPr="005C3B55" w:rsidRDefault="00C21266">
            <w:pPr>
              <w:spacing w:after="200"/>
              <w:jc w:val="center"/>
              <w:rPr>
                <w:rFonts w:eastAsia="Calibri"/>
                <w:b/>
                <w:sz w:val="20"/>
                <w:lang w:eastAsia="en-GB" w:bidi="en-GB"/>
              </w:rPr>
            </w:pPr>
            <w:r w:rsidRPr="005C3B55">
              <w:rPr>
                <w:b/>
                <w:sz w:val="20"/>
              </w:rPr>
              <w:t>Value</w:t>
            </w:r>
          </w:p>
        </w:tc>
      </w:tr>
      <w:tr w:rsidR="00C21266" w:rsidRPr="005C3B55">
        <w:trPr>
          <w:trHeight w:val="232"/>
        </w:trPr>
        <w:tc>
          <w:tcPr>
            <w:tcW w:w="2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sz w:val="16"/>
                <w:lang w:eastAsia="en-GB" w:bidi="en-GB"/>
              </w:rPr>
            </w:pPr>
            <w:r w:rsidRPr="005C3B55">
              <w:rPr>
                <w:sz w:val="16"/>
              </w:rPr>
              <w:t>M08 – Investments in forest area development and improvement of the viability of forests (Articles 21-26)</w:t>
            </w:r>
          </w:p>
        </w:tc>
        <w:tc>
          <w:tcPr>
            <w:tcW w:w="2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sz w:val="16"/>
                <w:lang w:eastAsia="en-GB" w:bidi="en-GB"/>
              </w:rPr>
            </w:pPr>
            <w:r w:rsidRPr="005C3B55">
              <w:rPr>
                <w:sz w:val="16"/>
              </w:rPr>
              <w:t>Total public expenditures in EUR (8.1)</w:t>
            </w:r>
          </w:p>
        </w:tc>
        <w:tc>
          <w:tcPr>
            <w:tcW w:w="1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jc w:val="right"/>
              <w:rPr>
                <w:rFonts w:eastAsia="Calibri"/>
                <w:sz w:val="16"/>
                <w:lang w:eastAsia="en-GB" w:bidi="en-GB"/>
              </w:rPr>
            </w:pPr>
            <w:r w:rsidRPr="005C3B55">
              <w:rPr>
                <w:sz w:val="16"/>
              </w:rPr>
              <w:t>0.00</w:t>
            </w:r>
          </w:p>
        </w:tc>
      </w:tr>
      <w:tr w:rsidR="00C21266" w:rsidRPr="005C3B55">
        <w:trPr>
          <w:trHeight w:val="232"/>
        </w:trPr>
        <w:tc>
          <w:tcPr>
            <w:tcW w:w="2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sz w:val="16"/>
                <w:lang w:eastAsia="en-GB" w:bidi="en-GB"/>
              </w:rPr>
            </w:pPr>
            <w:r w:rsidRPr="005C3B55">
              <w:rPr>
                <w:sz w:val="16"/>
              </w:rPr>
              <w:t>M08 – Investments in forest area development and improvement of the viability of forests (Articles 21-26)</w:t>
            </w:r>
          </w:p>
        </w:tc>
        <w:tc>
          <w:tcPr>
            <w:tcW w:w="2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sz w:val="16"/>
                <w:lang w:eastAsia="en-GB" w:bidi="en-GB"/>
              </w:rPr>
            </w:pPr>
            <w:r w:rsidRPr="005C3B55">
              <w:rPr>
                <w:sz w:val="16"/>
              </w:rPr>
              <w:t>Total public expenditures in EUR (8.2)</w:t>
            </w:r>
          </w:p>
        </w:tc>
        <w:tc>
          <w:tcPr>
            <w:tcW w:w="1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jc w:val="right"/>
              <w:rPr>
                <w:rFonts w:eastAsia="Calibri"/>
                <w:sz w:val="16"/>
                <w:lang w:eastAsia="en-GB" w:bidi="en-GB"/>
              </w:rPr>
            </w:pPr>
            <w:r w:rsidRPr="005C3B55">
              <w:rPr>
                <w:sz w:val="16"/>
              </w:rPr>
              <w:t>0.00</w:t>
            </w:r>
          </w:p>
        </w:tc>
      </w:tr>
      <w:tr w:rsidR="00C21266" w:rsidRPr="005C3B55">
        <w:trPr>
          <w:trHeight w:val="232"/>
        </w:trPr>
        <w:tc>
          <w:tcPr>
            <w:tcW w:w="2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b/>
                <w:sz w:val="16"/>
                <w:lang w:eastAsia="en-GB" w:bidi="en-GB"/>
              </w:rPr>
            </w:pPr>
            <w:r w:rsidRPr="005C3B55">
              <w:rPr>
                <w:b/>
                <w:sz w:val="16"/>
              </w:rPr>
              <w:t>M08 – Investments in forest area development and improvement of the viability of forests (Articles 21-26)</w:t>
            </w:r>
          </w:p>
        </w:tc>
        <w:tc>
          <w:tcPr>
            <w:tcW w:w="2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sz w:val="16"/>
                <w:lang w:eastAsia="en-GB" w:bidi="en-GB"/>
              </w:rPr>
            </w:pPr>
            <w:r w:rsidRPr="005C3B55">
              <w:rPr>
                <w:sz w:val="16"/>
              </w:rPr>
              <w:t>Total public expenditures in EUR (8.3)</w:t>
            </w:r>
          </w:p>
        </w:tc>
        <w:tc>
          <w:tcPr>
            <w:tcW w:w="1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jc w:val="right"/>
              <w:rPr>
                <w:rFonts w:eastAsia="Calibri"/>
                <w:sz w:val="16"/>
                <w:lang w:eastAsia="en-GB" w:bidi="en-GB"/>
              </w:rPr>
            </w:pPr>
            <w:r w:rsidRPr="005C3B55">
              <w:rPr>
                <w:sz w:val="16"/>
              </w:rPr>
              <w:t>0.00</w:t>
            </w:r>
          </w:p>
        </w:tc>
      </w:tr>
      <w:tr w:rsidR="00C21266" w:rsidRPr="005C3B55">
        <w:trPr>
          <w:trHeight w:val="232"/>
        </w:trPr>
        <w:tc>
          <w:tcPr>
            <w:tcW w:w="2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sz w:val="16"/>
                <w:lang w:eastAsia="en-GB" w:bidi="en-GB"/>
              </w:rPr>
            </w:pPr>
            <w:r w:rsidRPr="005C3B55">
              <w:rPr>
                <w:sz w:val="16"/>
              </w:rPr>
              <w:t>M08 – Investments in forest area development and improvement of the viability of forests (Articles 21-26)</w:t>
            </w:r>
          </w:p>
        </w:tc>
        <w:tc>
          <w:tcPr>
            <w:tcW w:w="2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sz w:val="16"/>
                <w:lang w:eastAsia="en-GB" w:bidi="en-GB"/>
              </w:rPr>
            </w:pPr>
            <w:r w:rsidRPr="005C3B55">
              <w:rPr>
                <w:sz w:val="16"/>
              </w:rPr>
              <w:t>Total public expenditures in EUR (8.4)</w:t>
            </w:r>
          </w:p>
        </w:tc>
        <w:tc>
          <w:tcPr>
            <w:tcW w:w="1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jc w:val="right"/>
              <w:rPr>
                <w:rFonts w:eastAsia="Calibri"/>
                <w:sz w:val="16"/>
                <w:lang w:eastAsia="en-GB" w:bidi="en-GB"/>
              </w:rPr>
            </w:pPr>
            <w:r w:rsidRPr="005C3B55">
              <w:rPr>
                <w:sz w:val="16"/>
              </w:rPr>
              <w:t>20,454,400.00</w:t>
            </w:r>
          </w:p>
        </w:tc>
      </w:tr>
      <w:tr w:rsidR="00C21266" w:rsidRPr="005C3B55">
        <w:trPr>
          <w:trHeight w:val="232"/>
        </w:trPr>
        <w:tc>
          <w:tcPr>
            <w:tcW w:w="2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b/>
                <w:sz w:val="16"/>
                <w:lang w:eastAsia="en-GB" w:bidi="en-GB"/>
              </w:rPr>
            </w:pPr>
            <w:r w:rsidRPr="005C3B55">
              <w:rPr>
                <w:b/>
                <w:sz w:val="16"/>
              </w:rPr>
              <w:t>M08 – Investments in forest area development and improvement of the viability of forests (Articles 21-26)</w:t>
            </w:r>
          </w:p>
        </w:tc>
        <w:tc>
          <w:tcPr>
            <w:tcW w:w="2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sz w:val="16"/>
                <w:lang w:eastAsia="en-GB" w:bidi="en-GB"/>
              </w:rPr>
            </w:pPr>
            <w:r w:rsidRPr="005C3B55">
              <w:rPr>
                <w:sz w:val="16"/>
              </w:rPr>
              <w:t>Number of beneficiaries for preventive measures (8.3)</w:t>
            </w:r>
          </w:p>
        </w:tc>
        <w:tc>
          <w:tcPr>
            <w:tcW w:w="1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jc w:val="right"/>
              <w:rPr>
                <w:rFonts w:eastAsia="Calibri"/>
                <w:sz w:val="16"/>
                <w:lang w:eastAsia="en-GB" w:bidi="en-GB"/>
              </w:rPr>
            </w:pPr>
            <w:r w:rsidRPr="005C3B55">
              <w:rPr>
                <w:sz w:val="16"/>
              </w:rPr>
              <w:t>0.00</w:t>
            </w:r>
          </w:p>
        </w:tc>
      </w:tr>
      <w:tr w:rsidR="00C21266" w:rsidRPr="005C3B55">
        <w:trPr>
          <w:trHeight w:val="232"/>
        </w:trPr>
        <w:tc>
          <w:tcPr>
            <w:tcW w:w="2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b/>
                <w:sz w:val="16"/>
                <w:lang w:eastAsia="en-GB" w:bidi="en-GB"/>
              </w:rPr>
            </w:pPr>
            <w:r w:rsidRPr="005C3B55">
              <w:rPr>
                <w:b/>
                <w:sz w:val="16"/>
              </w:rPr>
              <w:t>M08 – Investments in forest area development and improvement of the viability of forests (Articles 21-26)</w:t>
            </w:r>
          </w:p>
        </w:tc>
        <w:tc>
          <w:tcPr>
            <w:tcW w:w="2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sz w:val="16"/>
                <w:lang w:eastAsia="en-GB" w:bidi="en-GB"/>
              </w:rPr>
            </w:pPr>
            <w:r w:rsidRPr="005C3B55">
              <w:rPr>
                <w:sz w:val="16"/>
              </w:rPr>
              <w:t>Total public expenditures in EUR (8.5)</w:t>
            </w:r>
          </w:p>
        </w:tc>
        <w:tc>
          <w:tcPr>
            <w:tcW w:w="1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jc w:val="right"/>
              <w:rPr>
                <w:rFonts w:eastAsia="Calibri"/>
                <w:sz w:val="16"/>
                <w:lang w:eastAsia="en-GB" w:bidi="en-GB"/>
              </w:rPr>
            </w:pPr>
            <w:r w:rsidRPr="005C3B55">
              <w:rPr>
                <w:sz w:val="16"/>
              </w:rPr>
              <w:t>0.00</w:t>
            </w:r>
          </w:p>
        </w:tc>
      </w:tr>
      <w:tr w:rsidR="00C21266" w:rsidRPr="005C3B55">
        <w:trPr>
          <w:trHeight w:val="232"/>
        </w:trPr>
        <w:tc>
          <w:tcPr>
            <w:tcW w:w="2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b/>
                <w:sz w:val="16"/>
                <w:lang w:eastAsia="en-GB" w:bidi="en-GB"/>
              </w:rPr>
            </w:pPr>
            <w:r w:rsidRPr="005C3B55">
              <w:rPr>
                <w:b/>
                <w:sz w:val="16"/>
              </w:rPr>
              <w:t>M08 – Investments in forest area development and improvement of the viability of forests (Articles 21-26)</w:t>
            </w:r>
          </w:p>
        </w:tc>
        <w:tc>
          <w:tcPr>
            <w:tcW w:w="2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sz w:val="16"/>
                <w:lang w:eastAsia="en-GB" w:bidi="en-GB"/>
              </w:rPr>
            </w:pPr>
            <w:r w:rsidRPr="005C3B55">
              <w:rPr>
                <w:sz w:val="16"/>
              </w:rPr>
              <w:t>Number of operations (investments in improving the resistance and value of forest ecosystems) (8.5)</w:t>
            </w:r>
          </w:p>
        </w:tc>
        <w:tc>
          <w:tcPr>
            <w:tcW w:w="1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jc w:val="right"/>
              <w:rPr>
                <w:rFonts w:eastAsia="Calibri"/>
                <w:sz w:val="16"/>
                <w:lang w:eastAsia="en-GB" w:bidi="en-GB"/>
              </w:rPr>
            </w:pPr>
            <w:r w:rsidRPr="005C3B55">
              <w:rPr>
                <w:sz w:val="16"/>
              </w:rPr>
              <w:t>0.00</w:t>
            </w:r>
          </w:p>
        </w:tc>
      </w:tr>
      <w:tr w:rsidR="00C21266" w:rsidRPr="005C3B55">
        <w:tc>
          <w:tcPr>
            <w:tcW w:w="2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b/>
                <w:sz w:val="16"/>
                <w:lang w:eastAsia="en-GB" w:bidi="en-GB"/>
              </w:rPr>
            </w:pPr>
            <w:r w:rsidRPr="005C3B55">
              <w:rPr>
                <w:b/>
                <w:sz w:val="16"/>
              </w:rPr>
              <w:t>M08 – Investments in forest area development and improvement of the viability of forests (Articles 21-26)</w:t>
            </w:r>
          </w:p>
        </w:tc>
        <w:tc>
          <w:tcPr>
            <w:tcW w:w="2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sz w:val="16"/>
                <w:lang w:eastAsia="en-GB" w:bidi="en-GB"/>
              </w:rPr>
            </w:pPr>
            <w:r w:rsidRPr="005C3B55">
              <w:rPr>
                <w:sz w:val="16"/>
              </w:rPr>
              <w:t>Areas affected by investments for improving the resistance and value of forest ecosystems (8.5)</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jc w:val="right"/>
              <w:rPr>
                <w:rFonts w:eastAsia="Calibri"/>
                <w:sz w:val="16"/>
                <w:lang w:eastAsia="en-GB" w:bidi="en-GB"/>
              </w:rPr>
            </w:pPr>
            <w:r w:rsidRPr="005C3B55">
              <w:rPr>
                <w:sz w:val="16"/>
              </w:rPr>
              <w:t>0.00</w:t>
            </w:r>
          </w:p>
        </w:tc>
      </w:tr>
      <w:tr w:rsidR="00C21266" w:rsidRPr="005C3B55">
        <w:tc>
          <w:tcPr>
            <w:tcW w:w="2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sz w:val="16"/>
                <w:lang w:eastAsia="en-GB" w:bidi="en-GB"/>
              </w:rPr>
            </w:pPr>
            <w:r w:rsidRPr="005C3B55">
              <w:rPr>
                <w:sz w:val="16"/>
              </w:rPr>
              <w:t>M08 – Investments in forest area development and improvement of the viability of forests (Articles 21-26)</w:t>
            </w:r>
          </w:p>
        </w:tc>
        <w:tc>
          <w:tcPr>
            <w:tcW w:w="2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sz w:val="16"/>
                <w:lang w:eastAsia="en-GB" w:bidi="en-GB"/>
              </w:rPr>
            </w:pPr>
            <w:r w:rsidRPr="005C3B55">
              <w:rPr>
                <w:sz w:val="16"/>
              </w:rPr>
              <w:t>Total public expenditures in EUR (8.6)</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jc w:val="right"/>
              <w:rPr>
                <w:rFonts w:eastAsia="Calibri"/>
                <w:sz w:val="16"/>
                <w:lang w:eastAsia="en-GB" w:bidi="en-GB"/>
              </w:rPr>
            </w:pPr>
            <w:r w:rsidRPr="005C3B55">
              <w:rPr>
                <w:sz w:val="16"/>
              </w:rPr>
              <w:t>0.00</w:t>
            </w:r>
          </w:p>
        </w:tc>
      </w:tr>
    </w:tbl>
    <w:p w:rsidR="00C21266" w:rsidRPr="005C3B55" w:rsidRDefault="00C21266" w:rsidP="00C21266">
      <w:pPr>
        <w:spacing w:after="0"/>
        <w:rPr>
          <w:sz w:val="16"/>
        </w:rPr>
        <w:sectPr w:rsidR="00C21266" w:rsidRPr="005C3B55">
          <w:pgSz w:w="12240" w:h="15840"/>
          <w:pgMar w:top="900" w:right="900" w:bottom="900" w:left="900" w:header="708" w:footer="708" w:gutter="0"/>
          <w:cols w:space="708"/>
        </w:sectPr>
      </w:pPr>
    </w:p>
    <w:p w:rsidR="00C21266" w:rsidRPr="005C3B55" w:rsidRDefault="00C21266" w:rsidP="00C21266">
      <w:pPr>
        <w:pStyle w:val="Naslov4"/>
        <w:tabs>
          <w:tab w:val="clear" w:pos="765"/>
        </w:tabs>
        <w:ind w:left="0" w:firstLine="0"/>
        <w:jc w:val="left"/>
        <w:rPr>
          <w:i w:val="0"/>
          <w:sz w:val="16"/>
          <w:lang w:val="en-GB" w:eastAsia="en-GB" w:bidi="en-GB"/>
        </w:rPr>
      </w:pPr>
      <w:r w:rsidRPr="005C3B55">
        <w:rPr>
          <w:i w:val="0"/>
          <w:sz w:val="16"/>
          <w:lang w:val="en-GB"/>
        </w:rPr>
        <w:t>4A) Restoring, preserving and improving biodiversity, including in Natura 2000 sites and areas facing natural or other specific constraints, and high nature value farming, as well as the state of European landscapes</w:t>
      </w:r>
    </w:p>
    <w:p w:rsidR="00C21266" w:rsidRPr="005C3B55" w:rsidRDefault="00C21266" w:rsidP="00C21266">
      <w:pPr>
        <w:rPr>
          <w:sz w:val="16"/>
        </w:rPr>
      </w:pPr>
      <w:r w:rsidRPr="005C3B55">
        <w:rPr>
          <w:sz w:val="16"/>
        </w:rPr>
        <w:t>Agriculture</w:t>
      </w:r>
    </w:p>
    <w:p w:rsidR="00C21266" w:rsidRPr="005C3B55" w:rsidRDefault="00C21266" w:rsidP="00C21266">
      <w:pPr>
        <w:rPr>
          <w:sz w:val="16"/>
        </w:rPr>
      </w:pPr>
      <w:r w:rsidRPr="005C3B55">
        <w:rPr>
          <w:sz w:val="16"/>
        </w:rPr>
        <w:t>Target indicators for the 2014-2020 period</w:t>
      </w:r>
    </w:p>
    <w:tbl>
      <w:tblPr>
        <w:tblStyle w:val="Navadnatabela1"/>
        <w:tblW w:w="5000"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25"/>
        <w:gridCol w:w="2131"/>
      </w:tblGrid>
      <w:tr w:rsidR="00C21266" w:rsidRPr="005C3B55">
        <w:trPr>
          <w:trHeight w:val="464"/>
        </w:trPr>
        <w:tc>
          <w:tcPr>
            <w:tcW w:w="1000" w:type="pct"/>
            <w:tcBorders>
              <w:top w:val="single" w:sz="4" w:space="0" w:color="auto"/>
              <w:left w:val="single" w:sz="4" w:space="0" w:color="auto"/>
              <w:bottom w:val="nil"/>
              <w:right w:val="single" w:sz="4" w:space="0" w:color="auto"/>
            </w:tcBorders>
            <w:shd w:val="clear" w:color="auto" w:fill="C0C0C0"/>
            <w:tcMar>
              <w:top w:w="60" w:type="dxa"/>
              <w:left w:w="108" w:type="dxa"/>
              <w:bottom w:w="0" w:type="dxa"/>
              <w:right w:w="108" w:type="dxa"/>
            </w:tcMar>
            <w:vAlign w:val="center"/>
          </w:tcPr>
          <w:p w:rsidR="00C21266" w:rsidRPr="005C3B55" w:rsidRDefault="00C21266">
            <w:pPr>
              <w:spacing w:after="200"/>
              <w:jc w:val="center"/>
              <w:rPr>
                <w:rFonts w:eastAsia="Calibri"/>
                <w:b/>
                <w:sz w:val="20"/>
                <w:lang w:eastAsia="en-GB" w:bidi="en-GB"/>
              </w:rPr>
            </w:pPr>
            <w:r w:rsidRPr="005C3B55">
              <w:rPr>
                <w:b/>
                <w:sz w:val="20"/>
              </w:rPr>
              <w:t>Indication of the target indicator</w:t>
            </w:r>
          </w:p>
        </w:tc>
        <w:tc>
          <w:tcPr>
            <w:tcW w:w="1000" w:type="pct"/>
            <w:tcBorders>
              <w:top w:val="single" w:sz="4" w:space="0" w:color="auto"/>
              <w:left w:val="single" w:sz="4" w:space="0" w:color="auto"/>
              <w:bottom w:val="nil"/>
              <w:right w:val="single" w:sz="4" w:space="0" w:color="auto"/>
            </w:tcBorders>
            <w:shd w:val="clear" w:color="auto" w:fill="C0C0C0"/>
            <w:tcMar>
              <w:top w:w="60" w:type="dxa"/>
              <w:left w:w="108" w:type="dxa"/>
              <w:bottom w:w="0" w:type="dxa"/>
              <w:right w:w="108" w:type="dxa"/>
            </w:tcMar>
            <w:vAlign w:val="center"/>
          </w:tcPr>
          <w:p w:rsidR="00C21266" w:rsidRPr="005C3B55" w:rsidRDefault="00C21266">
            <w:pPr>
              <w:spacing w:after="200"/>
              <w:jc w:val="center"/>
              <w:rPr>
                <w:rFonts w:eastAsia="Calibri"/>
                <w:b/>
                <w:sz w:val="20"/>
                <w:lang w:eastAsia="en-GB" w:bidi="en-GB"/>
              </w:rPr>
            </w:pPr>
            <w:r w:rsidRPr="005C3B55">
              <w:rPr>
                <w:b/>
                <w:sz w:val="20"/>
              </w:rPr>
              <w:t>Target value for 2023</w:t>
            </w:r>
          </w:p>
        </w:tc>
      </w:tr>
      <w:tr w:rsidR="00C21266" w:rsidRPr="005C3B55">
        <w:tc>
          <w:tcPr>
            <w:tcW w:w="4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b/>
                <w:sz w:val="16"/>
                <w:lang w:eastAsia="en-GB" w:bidi="en-GB"/>
              </w:rPr>
            </w:pPr>
            <w:r w:rsidRPr="005C3B55">
              <w:rPr>
                <w:b/>
                <w:sz w:val="16"/>
              </w:rPr>
              <w:t>T9: Percentage of agricultural land for which management contracts were signed for supporting biodiversity and/or landscapes (priority area 4A)</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jc w:val="right"/>
              <w:rPr>
                <w:rFonts w:eastAsia="Calibri"/>
                <w:b/>
                <w:sz w:val="16"/>
                <w:lang w:eastAsia="en-GB" w:bidi="en-GB"/>
              </w:rPr>
            </w:pPr>
            <w:r w:rsidRPr="005C3B55">
              <w:rPr>
                <w:b/>
                <w:sz w:val="16"/>
              </w:rPr>
              <w:t>28.73</w:t>
            </w:r>
          </w:p>
        </w:tc>
      </w:tr>
      <w:tr w:rsidR="00C21266" w:rsidRPr="005C3B55">
        <w:tc>
          <w:tcPr>
            <w:tcW w:w="4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sz w:val="16"/>
                <w:lang w:eastAsia="en-GB" w:bidi="en-GB"/>
              </w:rPr>
            </w:pPr>
            <w:r w:rsidRPr="005C3B55">
              <w:rPr>
                <w:sz w:val="16"/>
              </w:rPr>
              <w:t>Agricultural land for which the management contracts were signed for supporting biodiversity and/or landscapes (ha) (priority area 4A)</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jc w:val="right"/>
              <w:rPr>
                <w:rFonts w:eastAsia="Calibri"/>
                <w:sz w:val="16"/>
                <w:lang w:eastAsia="en-GB" w:bidi="en-GB"/>
              </w:rPr>
            </w:pPr>
            <w:r w:rsidRPr="005C3B55">
              <w:rPr>
                <w:sz w:val="16"/>
              </w:rPr>
              <w:t>173,000.00</w:t>
            </w:r>
          </w:p>
        </w:tc>
      </w:tr>
    </w:tbl>
    <w:p w:rsidR="00C21266" w:rsidRPr="005C3B55" w:rsidRDefault="00C21266" w:rsidP="00C21266">
      <w:pPr>
        <w:jc w:val="center"/>
        <w:rPr>
          <w:rFonts w:eastAsia="Calibri"/>
          <w:sz w:val="16"/>
          <w:szCs w:val="22"/>
          <w:lang w:eastAsia="en-GB" w:bidi="en-GB"/>
        </w:rPr>
      </w:pPr>
    </w:p>
    <w:p w:rsidR="00C21266" w:rsidRPr="005C3B55" w:rsidRDefault="00C21266" w:rsidP="00C21266">
      <w:pPr>
        <w:rPr>
          <w:sz w:val="16"/>
        </w:rPr>
      </w:pPr>
      <w:r w:rsidRPr="005C3B55">
        <w:rPr>
          <w:sz w:val="16"/>
        </w:rPr>
        <w:t>Status indicator used as the denominator for the objective</w:t>
      </w:r>
    </w:p>
    <w:tbl>
      <w:tblPr>
        <w:tblStyle w:val="Navadnatabela1"/>
        <w:tblW w:w="5000"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25"/>
        <w:gridCol w:w="2131"/>
      </w:tblGrid>
      <w:tr w:rsidR="00C21266" w:rsidRPr="005C3B55">
        <w:tc>
          <w:tcPr>
            <w:tcW w:w="4000" w:type="pct"/>
            <w:tcBorders>
              <w:top w:val="single" w:sz="4" w:space="0" w:color="auto"/>
              <w:left w:val="single" w:sz="4" w:space="0" w:color="auto"/>
              <w:bottom w:val="single" w:sz="4" w:space="0" w:color="auto"/>
              <w:right w:val="single" w:sz="4" w:space="0" w:color="auto"/>
            </w:tcBorders>
            <w:shd w:val="clear" w:color="auto" w:fill="C0C0C0"/>
            <w:tcMar>
              <w:top w:w="60" w:type="dxa"/>
              <w:left w:w="108" w:type="dxa"/>
              <w:bottom w:w="0" w:type="dxa"/>
              <w:right w:w="108" w:type="dxa"/>
            </w:tcMar>
            <w:vAlign w:val="center"/>
          </w:tcPr>
          <w:p w:rsidR="00C21266" w:rsidRPr="005C3B55" w:rsidRDefault="00C21266">
            <w:pPr>
              <w:spacing w:after="200"/>
              <w:jc w:val="center"/>
              <w:rPr>
                <w:rFonts w:eastAsia="Calibri"/>
                <w:b/>
                <w:sz w:val="20"/>
                <w:lang w:eastAsia="en-GB" w:bidi="en-GB"/>
              </w:rPr>
            </w:pPr>
            <w:r w:rsidRPr="005C3B55">
              <w:rPr>
                <w:b/>
                <w:sz w:val="20"/>
              </w:rPr>
              <w:t>Indication of the status indicator</w:t>
            </w:r>
          </w:p>
        </w:tc>
        <w:tc>
          <w:tcPr>
            <w:tcW w:w="1000" w:type="pct"/>
            <w:tcBorders>
              <w:top w:val="single" w:sz="4" w:space="0" w:color="auto"/>
              <w:left w:val="single" w:sz="4" w:space="0" w:color="auto"/>
              <w:bottom w:val="single" w:sz="4" w:space="0" w:color="auto"/>
              <w:right w:val="single" w:sz="4" w:space="0" w:color="auto"/>
            </w:tcBorders>
            <w:shd w:val="clear" w:color="auto" w:fill="C0C0C0"/>
            <w:tcMar>
              <w:top w:w="60" w:type="dxa"/>
              <w:left w:w="108" w:type="dxa"/>
              <w:bottom w:w="0" w:type="dxa"/>
              <w:right w:w="108" w:type="dxa"/>
            </w:tcMar>
            <w:vAlign w:val="center"/>
          </w:tcPr>
          <w:p w:rsidR="00C21266" w:rsidRPr="005C3B55" w:rsidRDefault="00C21266">
            <w:pPr>
              <w:spacing w:after="200"/>
              <w:jc w:val="center"/>
              <w:rPr>
                <w:rFonts w:eastAsia="Calibri"/>
                <w:b/>
                <w:sz w:val="20"/>
                <w:lang w:eastAsia="en-GB" w:bidi="en-GB"/>
              </w:rPr>
            </w:pPr>
            <w:r w:rsidRPr="005C3B55">
              <w:rPr>
                <w:b/>
                <w:sz w:val="20"/>
              </w:rPr>
              <w:t>Value in the base year</w:t>
            </w:r>
          </w:p>
        </w:tc>
      </w:tr>
      <w:tr w:rsidR="00C21266" w:rsidRPr="005C3B55">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sz w:val="16"/>
                <w:lang w:eastAsia="en-GB" w:bidi="en-GB"/>
              </w:rPr>
            </w:pPr>
            <w:r w:rsidRPr="005C3B55">
              <w:rPr>
                <w:sz w:val="16"/>
              </w:rPr>
              <w:t>18 Agricultural land - total agricultural land in use</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jc w:val="right"/>
              <w:rPr>
                <w:rFonts w:eastAsia="Calibri"/>
                <w:sz w:val="16"/>
                <w:lang w:eastAsia="en-GB" w:bidi="en-GB"/>
              </w:rPr>
            </w:pPr>
            <w:r w:rsidRPr="005C3B55">
              <w:rPr>
                <w:sz w:val="16"/>
              </w:rPr>
              <w:t>602,208.00</w:t>
            </w:r>
          </w:p>
        </w:tc>
      </w:tr>
    </w:tbl>
    <w:p w:rsidR="00C21266" w:rsidRPr="005C3B55" w:rsidRDefault="00C21266" w:rsidP="00C21266">
      <w:pPr>
        <w:rPr>
          <w:rFonts w:eastAsia="Calibri"/>
          <w:sz w:val="16"/>
          <w:szCs w:val="22"/>
          <w:lang w:eastAsia="en-GB" w:bidi="en-GB"/>
        </w:rPr>
      </w:pPr>
    </w:p>
    <w:p w:rsidR="00C21266" w:rsidRPr="005C3B55" w:rsidRDefault="00C21266" w:rsidP="00C21266">
      <w:pPr>
        <w:rPr>
          <w:sz w:val="16"/>
        </w:rPr>
      </w:pPr>
      <w:r w:rsidRPr="005C3B55">
        <w:rPr>
          <w:sz w:val="16"/>
        </w:rPr>
        <w:t>Forestry</w:t>
      </w:r>
    </w:p>
    <w:p w:rsidR="00C21266" w:rsidRPr="005C3B55" w:rsidRDefault="00C21266" w:rsidP="00C21266">
      <w:pPr>
        <w:rPr>
          <w:sz w:val="16"/>
        </w:rPr>
      </w:pPr>
      <w:r w:rsidRPr="005C3B55">
        <w:rPr>
          <w:sz w:val="16"/>
        </w:rPr>
        <w:t>Target indicators for the 2014-2020 period</w:t>
      </w:r>
    </w:p>
    <w:tbl>
      <w:tblPr>
        <w:tblStyle w:val="Navadnatabela1"/>
        <w:tblW w:w="5000"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25"/>
        <w:gridCol w:w="2131"/>
      </w:tblGrid>
      <w:tr w:rsidR="00C21266" w:rsidRPr="005C3B55">
        <w:trPr>
          <w:trHeight w:val="464"/>
        </w:trPr>
        <w:tc>
          <w:tcPr>
            <w:tcW w:w="1000" w:type="pct"/>
            <w:tcBorders>
              <w:top w:val="single" w:sz="4" w:space="0" w:color="auto"/>
              <w:left w:val="single" w:sz="4" w:space="0" w:color="auto"/>
              <w:bottom w:val="nil"/>
              <w:right w:val="single" w:sz="4" w:space="0" w:color="auto"/>
            </w:tcBorders>
            <w:shd w:val="clear" w:color="auto" w:fill="C0C0C0"/>
            <w:tcMar>
              <w:top w:w="60" w:type="dxa"/>
              <w:left w:w="108" w:type="dxa"/>
              <w:bottom w:w="0" w:type="dxa"/>
              <w:right w:w="108" w:type="dxa"/>
            </w:tcMar>
            <w:vAlign w:val="center"/>
          </w:tcPr>
          <w:p w:rsidR="00C21266" w:rsidRPr="005C3B55" w:rsidRDefault="00C21266">
            <w:pPr>
              <w:spacing w:after="200"/>
              <w:jc w:val="center"/>
              <w:rPr>
                <w:rFonts w:eastAsia="Calibri"/>
                <w:b/>
                <w:sz w:val="20"/>
                <w:lang w:eastAsia="en-GB" w:bidi="en-GB"/>
              </w:rPr>
            </w:pPr>
            <w:r w:rsidRPr="005C3B55">
              <w:rPr>
                <w:b/>
                <w:sz w:val="20"/>
              </w:rPr>
              <w:t>Indication of the target indicator</w:t>
            </w:r>
          </w:p>
        </w:tc>
        <w:tc>
          <w:tcPr>
            <w:tcW w:w="1000" w:type="pct"/>
            <w:tcBorders>
              <w:top w:val="single" w:sz="4" w:space="0" w:color="auto"/>
              <w:left w:val="single" w:sz="4" w:space="0" w:color="auto"/>
              <w:bottom w:val="nil"/>
              <w:right w:val="single" w:sz="4" w:space="0" w:color="auto"/>
            </w:tcBorders>
            <w:shd w:val="clear" w:color="auto" w:fill="C0C0C0"/>
            <w:tcMar>
              <w:top w:w="60" w:type="dxa"/>
              <w:left w:w="108" w:type="dxa"/>
              <w:bottom w:w="0" w:type="dxa"/>
              <w:right w:w="108" w:type="dxa"/>
            </w:tcMar>
            <w:vAlign w:val="center"/>
          </w:tcPr>
          <w:p w:rsidR="00C21266" w:rsidRPr="005C3B55" w:rsidRDefault="00C21266">
            <w:pPr>
              <w:spacing w:after="200"/>
              <w:jc w:val="center"/>
              <w:rPr>
                <w:rFonts w:eastAsia="Calibri"/>
                <w:b/>
                <w:sz w:val="20"/>
                <w:lang w:eastAsia="en-GB" w:bidi="en-GB"/>
              </w:rPr>
            </w:pPr>
            <w:r w:rsidRPr="005C3B55">
              <w:rPr>
                <w:b/>
                <w:sz w:val="20"/>
              </w:rPr>
              <w:t>Target value for 2023</w:t>
            </w:r>
          </w:p>
        </w:tc>
      </w:tr>
      <w:tr w:rsidR="00C21266" w:rsidRPr="005C3B55">
        <w:tc>
          <w:tcPr>
            <w:tcW w:w="4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b/>
                <w:sz w:val="16"/>
                <w:lang w:eastAsia="en-GB" w:bidi="en-GB"/>
              </w:rPr>
            </w:pPr>
            <w:r w:rsidRPr="005C3B55">
              <w:rPr>
                <w:b/>
                <w:sz w:val="16"/>
              </w:rPr>
              <w:t>T8: Percentage of forest / other forest areas for which the management contracts were signed for supporting biodiversity and/or landscapes (priority area 4A)</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jc w:val="right"/>
              <w:rPr>
                <w:rFonts w:eastAsia="Calibri"/>
                <w:b/>
                <w:sz w:val="16"/>
                <w:lang w:eastAsia="en-GB" w:bidi="en-GB"/>
              </w:rPr>
            </w:pPr>
            <w:r w:rsidRPr="005C3B55">
              <w:rPr>
                <w:b/>
                <w:sz w:val="16"/>
              </w:rPr>
              <w:t>0</w:t>
            </w:r>
          </w:p>
        </w:tc>
      </w:tr>
      <w:tr w:rsidR="00C21266" w:rsidRPr="005C3B55">
        <w:tc>
          <w:tcPr>
            <w:tcW w:w="4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sz w:val="16"/>
                <w:lang w:eastAsia="en-GB" w:bidi="en-GB"/>
              </w:rPr>
            </w:pPr>
            <w:r w:rsidRPr="005C3B55">
              <w:rPr>
                <w:sz w:val="16"/>
              </w:rPr>
              <w:t>Forest / other forest areas for which the management contracts were signed for supporting biodiversity and/or landscapes (ha) (priority area 4A)</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jc w:val="right"/>
              <w:rPr>
                <w:rFonts w:eastAsia="Calibri"/>
                <w:sz w:val="16"/>
                <w:lang w:eastAsia="en-GB" w:bidi="en-GB"/>
              </w:rPr>
            </w:pPr>
            <w:r w:rsidRPr="005C3B55">
              <w:rPr>
                <w:sz w:val="16"/>
              </w:rPr>
              <w:t>0.00</w:t>
            </w:r>
          </w:p>
        </w:tc>
      </w:tr>
    </w:tbl>
    <w:p w:rsidR="00C21266" w:rsidRPr="005C3B55" w:rsidRDefault="00C21266" w:rsidP="00C21266">
      <w:pPr>
        <w:jc w:val="center"/>
        <w:rPr>
          <w:rFonts w:eastAsia="Calibri"/>
          <w:sz w:val="16"/>
          <w:szCs w:val="22"/>
          <w:lang w:eastAsia="en-GB" w:bidi="en-GB"/>
        </w:rPr>
      </w:pPr>
    </w:p>
    <w:p w:rsidR="00C21266" w:rsidRPr="005C3B55" w:rsidRDefault="00C21266" w:rsidP="00C21266">
      <w:pPr>
        <w:rPr>
          <w:sz w:val="16"/>
        </w:rPr>
      </w:pPr>
      <w:r w:rsidRPr="005C3B55">
        <w:rPr>
          <w:sz w:val="16"/>
        </w:rPr>
        <w:t>Status indicator used as the denominator for the objective</w:t>
      </w:r>
    </w:p>
    <w:tbl>
      <w:tblPr>
        <w:tblStyle w:val="Navadnatabela1"/>
        <w:tblW w:w="5000"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25"/>
        <w:gridCol w:w="2131"/>
      </w:tblGrid>
      <w:tr w:rsidR="00C21266" w:rsidRPr="005C3B55">
        <w:tc>
          <w:tcPr>
            <w:tcW w:w="4000" w:type="pct"/>
            <w:tcBorders>
              <w:top w:val="single" w:sz="4" w:space="0" w:color="auto"/>
              <w:left w:val="single" w:sz="4" w:space="0" w:color="auto"/>
              <w:bottom w:val="single" w:sz="4" w:space="0" w:color="auto"/>
              <w:right w:val="single" w:sz="4" w:space="0" w:color="auto"/>
            </w:tcBorders>
            <w:shd w:val="clear" w:color="auto" w:fill="C0C0C0"/>
            <w:tcMar>
              <w:top w:w="60" w:type="dxa"/>
              <w:left w:w="108" w:type="dxa"/>
              <w:bottom w:w="0" w:type="dxa"/>
              <w:right w:w="108" w:type="dxa"/>
            </w:tcMar>
            <w:vAlign w:val="center"/>
          </w:tcPr>
          <w:p w:rsidR="00C21266" w:rsidRPr="005C3B55" w:rsidRDefault="00C21266">
            <w:pPr>
              <w:spacing w:after="200"/>
              <w:jc w:val="center"/>
              <w:rPr>
                <w:rFonts w:eastAsia="Calibri"/>
                <w:b/>
                <w:sz w:val="20"/>
                <w:lang w:eastAsia="en-GB" w:bidi="en-GB"/>
              </w:rPr>
            </w:pPr>
            <w:r w:rsidRPr="005C3B55">
              <w:rPr>
                <w:b/>
                <w:sz w:val="20"/>
              </w:rPr>
              <w:t>Indication of the status indicator</w:t>
            </w:r>
          </w:p>
        </w:tc>
        <w:tc>
          <w:tcPr>
            <w:tcW w:w="1000" w:type="pct"/>
            <w:tcBorders>
              <w:top w:val="single" w:sz="4" w:space="0" w:color="auto"/>
              <w:left w:val="single" w:sz="4" w:space="0" w:color="auto"/>
              <w:bottom w:val="single" w:sz="4" w:space="0" w:color="auto"/>
              <w:right w:val="single" w:sz="4" w:space="0" w:color="auto"/>
            </w:tcBorders>
            <w:shd w:val="clear" w:color="auto" w:fill="C0C0C0"/>
            <w:tcMar>
              <w:top w:w="60" w:type="dxa"/>
              <w:left w:w="108" w:type="dxa"/>
              <w:bottom w:w="0" w:type="dxa"/>
              <w:right w:w="108" w:type="dxa"/>
            </w:tcMar>
            <w:vAlign w:val="center"/>
          </w:tcPr>
          <w:p w:rsidR="00C21266" w:rsidRPr="005C3B55" w:rsidRDefault="00C21266">
            <w:pPr>
              <w:spacing w:after="200"/>
              <w:jc w:val="center"/>
              <w:rPr>
                <w:rFonts w:eastAsia="Calibri"/>
                <w:b/>
                <w:sz w:val="20"/>
                <w:lang w:eastAsia="en-GB" w:bidi="en-GB"/>
              </w:rPr>
            </w:pPr>
            <w:r w:rsidRPr="005C3B55">
              <w:rPr>
                <w:b/>
                <w:sz w:val="20"/>
              </w:rPr>
              <w:t>Value in the base year</w:t>
            </w:r>
          </w:p>
        </w:tc>
      </w:tr>
      <w:tr w:rsidR="00C21266" w:rsidRPr="005C3B55">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sz w:val="16"/>
                <w:lang w:eastAsia="en-GB" w:bidi="en-GB"/>
              </w:rPr>
            </w:pPr>
            <w:r w:rsidRPr="005C3B55">
              <w:rPr>
                <w:sz w:val="16"/>
              </w:rPr>
              <w:t>29 Forest and other forest land (000)- in total</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jc w:val="right"/>
              <w:rPr>
                <w:rFonts w:eastAsia="Calibri"/>
                <w:sz w:val="16"/>
                <w:lang w:eastAsia="en-GB" w:bidi="en-GB"/>
              </w:rPr>
            </w:pPr>
            <w:r w:rsidRPr="005C3B55">
              <w:rPr>
                <w:sz w:val="16"/>
              </w:rPr>
              <w:t>1,274.00</w:t>
            </w:r>
          </w:p>
        </w:tc>
      </w:tr>
    </w:tbl>
    <w:p w:rsidR="00C21266" w:rsidRPr="005C3B55" w:rsidRDefault="00C21266" w:rsidP="00C21266">
      <w:pPr>
        <w:rPr>
          <w:rFonts w:eastAsia="Calibri"/>
          <w:sz w:val="16"/>
          <w:szCs w:val="22"/>
          <w:lang w:eastAsia="en-GB" w:bidi="en-GB"/>
        </w:rPr>
      </w:pPr>
    </w:p>
    <w:p w:rsidR="00C21266" w:rsidRPr="005C3B55" w:rsidRDefault="00C21266" w:rsidP="00C21266">
      <w:pPr>
        <w:spacing w:after="0"/>
        <w:rPr>
          <w:sz w:val="16"/>
        </w:rPr>
        <w:sectPr w:rsidR="00C21266" w:rsidRPr="005C3B55">
          <w:pgSz w:w="12240" w:h="15840"/>
          <w:pgMar w:top="900" w:right="900" w:bottom="900" w:left="900" w:header="708" w:footer="708" w:gutter="0"/>
          <w:cols w:space="708"/>
        </w:sectPr>
      </w:pPr>
    </w:p>
    <w:p w:rsidR="00C21266" w:rsidRPr="005C3B55" w:rsidRDefault="00C21266" w:rsidP="00C21266">
      <w:pPr>
        <w:pStyle w:val="Naslov4"/>
        <w:tabs>
          <w:tab w:val="clear" w:pos="765"/>
        </w:tabs>
        <w:ind w:left="0" w:firstLine="0"/>
        <w:jc w:val="left"/>
        <w:rPr>
          <w:i w:val="0"/>
          <w:sz w:val="16"/>
          <w:lang w:val="en-GB"/>
        </w:rPr>
      </w:pPr>
      <w:r w:rsidRPr="005C3B55">
        <w:rPr>
          <w:i w:val="0"/>
          <w:sz w:val="16"/>
          <w:lang w:val="en-GB"/>
        </w:rPr>
        <w:t>4B) Improving water management, including the management of fertilisers and pesticides</w:t>
      </w:r>
    </w:p>
    <w:p w:rsidR="00C21266" w:rsidRPr="005C3B55" w:rsidRDefault="00C21266" w:rsidP="00C21266">
      <w:pPr>
        <w:rPr>
          <w:sz w:val="16"/>
        </w:rPr>
      </w:pPr>
      <w:r w:rsidRPr="005C3B55">
        <w:rPr>
          <w:sz w:val="16"/>
        </w:rPr>
        <w:t>Agriculture</w:t>
      </w:r>
    </w:p>
    <w:p w:rsidR="00C21266" w:rsidRPr="005C3B55" w:rsidRDefault="00C21266" w:rsidP="00C21266">
      <w:pPr>
        <w:rPr>
          <w:sz w:val="16"/>
        </w:rPr>
      </w:pPr>
      <w:r w:rsidRPr="005C3B55">
        <w:rPr>
          <w:sz w:val="16"/>
        </w:rPr>
        <w:t>Target indicators for the 2014-2020 period</w:t>
      </w:r>
    </w:p>
    <w:tbl>
      <w:tblPr>
        <w:tblStyle w:val="Navadnatabela1"/>
        <w:tblW w:w="5000"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25"/>
        <w:gridCol w:w="2131"/>
      </w:tblGrid>
      <w:tr w:rsidR="00C21266" w:rsidRPr="005C3B55">
        <w:trPr>
          <w:trHeight w:val="464"/>
        </w:trPr>
        <w:tc>
          <w:tcPr>
            <w:tcW w:w="1000" w:type="pct"/>
            <w:tcBorders>
              <w:top w:val="single" w:sz="4" w:space="0" w:color="auto"/>
              <w:left w:val="single" w:sz="4" w:space="0" w:color="auto"/>
              <w:bottom w:val="nil"/>
              <w:right w:val="single" w:sz="4" w:space="0" w:color="auto"/>
            </w:tcBorders>
            <w:shd w:val="clear" w:color="auto" w:fill="C0C0C0"/>
            <w:tcMar>
              <w:top w:w="60" w:type="dxa"/>
              <w:left w:w="108" w:type="dxa"/>
              <w:bottom w:w="0" w:type="dxa"/>
              <w:right w:w="108" w:type="dxa"/>
            </w:tcMar>
            <w:vAlign w:val="center"/>
          </w:tcPr>
          <w:p w:rsidR="00C21266" w:rsidRPr="005C3B55" w:rsidRDefault="00C21266">
            <w:pPr>
              <w:spacing w:after="200"/>
              <w:jc w:val="center"/>
              <w:rPr>
                <w:rFonts w:eastAsia="Calibri"/>
                <w:b/>
                <w:sz w:val="20"/>
                <w:lang w:eastAsia="en-GB" w:bidi="en-GB"/>
              </w:rPr>
            </w:pPr>
            <w:r w:rsidRPr="005C3B55">
              <w:rPr>
                <w:b/>
                <w:sz w:val="20"/>
              </w:rPr>
              <w:t>Indication of the target indicator</w:t>
            </w:r>
          </w:p>
        </w:tc>
        <w:tc>
          <w:tcPr>
            <w:tcW w:w="1000" w:type="pct"/>
            <w:tcBorders>
              <w:top w:val="single" w:sz="4" w:space="0" w:color="auto"/>
              <w:left w:val="single" w:sz="4" w:space="0" w:color="auto"/>
              <w:bottom w:val="nil"/>
              <w:right w:val="single" w:sz="4" w:space="0" w:color="auto"/>
            </w:tcBorders>
            <w:shd w:val="clear" w:color="auto" w:fill="C0C0C0"/>
            <w:tcMar>
              <w:top w:w="60" w:type="dxa"/>
              <w:left w:w="108" w:type="dxa"/>
              <w:bottom w:w="0" w:type="dxa"/>
              <w:right w:w="108" w:type="dxa"/>
            </w:tcMar>
            <w:vAlign w:val="center"/>
          </w:tcPr>
          <w:p w:rsidR="00C21266" w:rsidRPr="005C3B55" w:rsidRDefault="00C21266">
            <w:pPr>
              <w:spacing w:after="200"/>
              <w:jc w:val="center"/>
              <w:rPr>
                <w:rFonts w:eastAsia="Calibri"/>
                <w:b/>
                <w:sz w:val="20"/>
                <w:lang w:eastAsia="en-GB" w:bidi="en-GB"/>
              </w:rPr>
            </w:pPr>
            <w:r w:rsidRPr="005C3B55">
              <w:rPr>
                <w:b/>
                <w:sz w:val="20"/>
              </w:rPr>
              <w:t>Target value for 2023</w:t>
            </w:r>
          </w:p>
        </w:tc>
      </w:tr>
      <w:tr w:rsidR="00C21266" w:rsidRPr="005C3B55">
        <w:tc>
          <w:tcPr>
            <w:tcW w:w="4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b/>
                <w:sz w:val="16"/>
                <w:lang w:eastAsia="en-GB" w:bidi="en-GB"/>
              </w:rPr>
            </w:pPr>
            <w:r w:rsidRPr="005C3B55">
              <w:rPr>
                <w:b/>
                <w:sz w:val="16"/>
              </w:rPr>
              <w:t>T10: Percentage of agricultural land for which the management contracts were signed for improving the water management (priority area 4B)</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jc w:val="right"/>
              <w:rPr>
                <w:rFonts w:eastAsia="Calibri"/>
                <w:b/>
                <w:sz w:val="16"/>
                <w:lang w:eastAsia="en-GB" w:bidi="en-GB"/>
              </w:rPr>
            </w:pPr>
            <w:r w:rsidRPr="005C3B55">
              <w:rPr>
                <w:b/>
                <w:sz w:val="16"/>
              </w:rPr>
              <w:t>24.74</w:t>
            </w:r>
          </w:p>
        </w:tc>
      </w:tr>
      <w:tr w:rsidR="00C21266" w:rsidRPr="005C3B55">
        <w:tc>
          <w:tcPr>
            <w:tcW w:w="4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sz w:val="16"/>
                <w:lang w:eastAsia="en-GB" w:bidi="en-GB"/>
              </w:rPr>
            </w:pPr>
            <w:r w:rsidRPr="005C3B55">
              <w:rPr>
                <w:sz w:val="16"/>
              </w:rPr>
              <w:t>Agricultural land for which the management contracts were signed for improving the water management (ha) (priority area 4B)</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jc w:val="right"/>
              <w:rPr>
                <w:rFonts w:eastAsia="Calibri"/>
                <w:sz w:val="16"/>
                <w:lang w:eastAsia="en-GB" w:bidi="en-GB"/>
              </w:rPr>
            </w:pPr>
            <w:r w:rsidRPr="005C3B55">
              <w:rPr>
                <w:sz w:val="16"/>
              </w:rPr>
              <w:t>149,000.00</w:t>
            </w:r>
          </w:p>
        </w:tc>
      </w:tr>
    </w:tbl>
    <w:p w:rsidR="00C21266" w:rsidRPr="005C3B55" w:rsidRDefault="00C21266" w:rsidP="00C21266">
      <w:pPr>
        <w:jc w:val="center"/>
        <w:rPr>
          <w:rFonts w:eastAsia="Calibri"/>
          <w:sz w:val="16"/>
          <w:szCs w:val="22"/>
          <w:lang w:eastAsia="en-GB" w:bidi="en-GB"/>
        </w:rPr>
      </w:pPr>
    </w:p>
    <w:p w:rsidR="00C21266" w:rsidRPr="005C3B55" w:rsidRDefault="00C21266" w:rsidP="00C21266">
      <w:pPr>
        <w:rPr>
          <w:sz w:val="16"/>
        </w:rPr>
      </w:pPr>
      <w:r w:rsidRPr="005C3B55">
        <w:rPr>
          <w:sz w:val="16"/>
        </w:rPr>
        <w:t>Status indicator used as the denominator for the objective</w:t>
      </w:r>
    </w:p>
    <w:tbl>
      <w:tblPr>
        <w:tblStyle w:val="Navadnatabela1"/>
        <w:tblW w:w="5000"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25"/>
        <w:gridCol w:w="2131"/>
      </w:tblGrid>
      <w:tr w:rsidR="00C21266" w:rsidRPr="005C3B55">
        <w:tc>
          <w:tcPr>
            <w:tcW w:w="4000" w:type="pct"/>
            <w:tcBorders>
              <w:top w:val="single" w:sz="4" w:space="0" w:color="auto"/>
              <w:left w:val="single" w:sz="4" w:space="0" w:color="auto"/>
              <w:bottom w:val="single" w:sz="4" w:space="0" w:color="auto"/>
              <w:right w:val="single" w:sz="4" w:space="0" w:color="auto"/>
            </w:tcBorders>
            <w:shd w:val="clear" w:color="auto" w:fill="C0C0C0"/>
            <w:tcMar>
              <w:top w:w="60" w:type="dxa"/>
              <w:left w:w="108" w:type="dxa"/>
              <w:bottom w:w="0" w:type="dxa"/>
              <w:right w:w="108" w:type="dxa"/>
            </w:tcMar>
            <w:vAlign w:val="center"/>
          </w:tcPr>
          <w:p w:rsidR="00C21266" w:rsidRPr="005C3B55" w:rsidRDefault="00C21266">
            <w:pPr>
              <w:spacing w:after="200"/>
              <w:jc w:val="center"/>
              <w:rPr>
                <w:rFonts w:eastAsia="Calibri"/>
                <w:b/>
                <w:sz w:val="20"/>
                <w:lang w:eastAsia="en-GB" w:bidi="en-GB"/>
              </w:rPr>
            </w:pPr>
            <w:r w:rsidRPr="005C3B55">
              <w:rPr>
                <w:b/>
                <w:sz w:val="20"/>
              </w:rPr>
              <w:t>Indication of the status indicator</w:t>
            </w:r>
          </w:p>
        </w:tc>
        <w:tc>
          <w:tcPr>
            <w:tcW w:w="1000" w:type="pct"/>
            <w:tcBorders>
              <w:top w:val="single" w:sz="4" w:space="0" w:color="auto"/>
              <w:left w:val="single" w:sz="4" w:space="0" w:color="auto"/>
              <w:bottom w:val="single" w:sz="4" w:space="0" w:color="auto"/>
              <w:right w:val="single" w:sz="4" w:space="0" w:color="auto"/>
            </w:tcBorders>
            <w:shd w:val="clear" w:color="auto" w:fill="C0C0C0"/>
            <w:tcMar>
              <w:top w:w="60" w:type="dxa"/>
              <w:left w:w="108" w:type="dxa"/>
              <w:bottom w:w="0" w:type="dxa"/>
              <w:right w:w="108" w:type="dxa"/>
            </w:tcMar>
            <w:vAlign w:val="center"/>
          </w:tcPr>
          <w:p w:rsidR="00C21266" w:rsidRPr="005C3B55" w:rsidRDefault="00C21266">
            <w:pPr>
              <w:spacing w:after="200"/>
              <w:jc w:val="center"/>
              <w:rPr>
                <w:rFonts w:eastAsia="Calibri"/>
                <w:b/>
                <w:sz w:val="20"/>
                <w:lang w:eastAsia="en-GB" w:bidi="en-GB"/>
              </w:rPr>
            </w:pPr>
            <w:r w:rsidRPr="005C3B55">
              <w:rPr>
                <w:b/>
                <w:sz w:val="20"/>
              </w:rPr>
              <w:t>Value in the base year</w:t>
            </w:r>
          </w:p>
        </w:tc>
      </w:tr>
      <w:tr w:rsidR="00C21266" w:rsidRPr="005C3B55">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sz w:val="16"/>
                <w:lang w:eastAsia="en-GB" w:bidi="en-GB"/>
              </w:rPr>
            </w:pPr>
            <w:r w:rsidRPr="005C3B55">
              <w:rPr>
                <w:sz w:val="16"/>
              </w:rPr>
              <w:t>18 Agricultural land - total agricultural land in use</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jc w:val="right"/>
              <w:rPr>
                <w:rFonts w:eastAsia="Calibri"/>
                <w:sz w:val="16"/>
                <w:lang w:eastAsia="en-GB" w:bidi="en-GB"/>
              </w:rPr>
            </w:pPr>
            <w:r w:rsidRPr="005C3B55">
              <w:rPr>
                <w:sz w:val="16"/>
              </w:rPr>
              <w:t>602,208.00</w:t>
            </w:r>
          </w:p>
        </w:tc>
      </w:tr>
    </w:tbl>
    <w:p w:rsidR="00C21266" w:rsidRPr="005C3B55" w:rsidRDefault="00C21266" w:rsidP="00C21266">
      <w:pPr>
        <w:rPr>
          <w:rFonts w:eastAsia="Calibri"/>
          <w:sz w:val="16"/>
          <w:szCs w:val="22"/>
          <w:lang w:eastAsia="en-GB" w:bidi="en-GB"/>
        </w:rPr>
      </w:pPr>
    </w:p>
    <w:p w:rsidR="00C21266" w:rsidRPr="005C3B55" w:rsidRDefault="00C21266" w:rsidP="00C21266">
      <w:pPr>
        <w:rPr>
          <w:sz w:val="16"/>
        </w:rPr>
      </w:pPr>
      <w:r w:rsidRPr="005C3B55">
        <w:rPr>
          <w:sz w:val="16"/>
        </w:rPr>
        <w:t>Forestry</w:t>
      </w:r>
    </w:p>
    <w:p w:rsidR="00C21266" w:rsidRPr="005C3B55" w:rsidRDefault="00C21266" w:rsidP="00C21266">
      <w:pPr>
        <w:rPr>
          <w:sz w:val="16"/>
        </w:rPr>
      </w:pPr>
      <w:r w:rsidRPr="005C3B55">
        <w:rPr>
          <w:sz w:val="16"/>
        </w:rPr>
        <w:t>Target indicators for the 2014-2020 period</w:t>
      </w:r>
    </w:p>
    <w:tbl>
      <w:tblPr>
        <w:tblStyle w:val="Navadnatabela1"/>
        <w:tblW w:w="5000"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25"/>
        <w:gridCol w:w="2131"/>
      </w:tblGrid>
      <w:tr w:rsidR="00C21266" w:rsidRPr="005C3B55">
        <w:trPr>
          <w:trHeight w:val="464"/>
        </w:trPr>
        <w:tc>
          <w:tcPr>
            <w:tcW w:w="1000" w:type="pct"/>
            <w:tcBorders>
              <w:top w:val="single" w:sz="4" w:space="0" w:color="auto"/>
              <w:left w:val="single" w:sz="4" w:space="0" w:color="auto"/>
              <w:bottom w:val="nil"/>
              <w:right w:val="single" w:sz="4" w:space="0" w:color="auto"/>
            </w:tcBorders>
            <w:shd w:val="clear" w:color="auto" w:fill="C0C0C0"/>
            <w:tcMar>
              <w:top w:w="60" w:type="dxa"/>
              <w:left w:w="108" w:type="dxa"/>
              <w:bottom w:w="0" w:type="dxa"/>
              <w:right w:w="108" w:type="dxa"/>
            </w:tcMar>
            <w:vAlign w:val="center"/>
          </w:tcPr>
          <w:p w:rsidR="00C21266" w:rsidRPr="005C3B55" w:rsidRDefault="00C21266">
            <w:pPr>
              <w:spacing w:after="200"/>
              <w:jc w:val="center"/>
              <w:rPr>
                <w:rFonts w:eastAsia="Calibri"/>
                <w:b/>
                <w:sz w:val="20"/>
                <w:lang w:eastAsia="en-GB" w:bidi="en-GB"/>
              </w:rPr>
            </w:pPr>
            <w:r w:rsidRPr="005C3B55">
              <w:rPr>
                <w:b/>
                <w:sz w:val="20"/>
              </w:rPr>
              <w:t>Indication of the target indicator</w:t>
            </w:r>
          </w:p>
        </w:tc>
        <w:tc>
          <w:tcPr>
            <w:tcW w:w="1000" w:type="pct"/>
            <w:tcBorders>
              <w:top w:val="single" w:sz="4" w:space="0" w:color="auto"/>
              <w:left w:val="single" w:sz="4" w:space="0" w:color="auto"/>
              <w:bottom w:val="nil"/>
              <w:right w:val="single" w:sz="4" w:space="0" w:color="auto"/>
            </w:tcBorders>
            <w:shd w:val="clear" w:color="auto" w:fill="C0C0C0"/>
            <w:tcMar>
              <w:top w:w="60" w:type="dxa"/>
              <w:left w:w="108" w:type="dxa"/>
              <w:bottom w:w="0" w:type="dxa"/>
              <w:right w:w="108" w:type="dxa"/>
            </w:tcMar>
            <w:vAlign w:val="center"/>
          </w:tcPr>
          <w:p w:rsidR="00C21266" w:rsidRPr="005C3B55" w:rsidRDefault="00C21266">
            <w:pPr>
              <w:spacing w:after="200"/>
              <w:jc w:val="center"/>
              <w:rPr>
                <w:rFonts w:eastAsia="Calibri"/>
                <w:b/>
                <w:sz w:val="20"/>
                <w:lang w:eastAsia="en-GB" w:bidi="en-GB"/>
              </w:rPr>
            </w:pPr>
            <w:r w:rsidRPr="005C3B55">
              <w:rPr>
                <w:b/>
                <w:sz w:val="20"/>
              </w:rPr>
              <w:t>Target value for 2023</w:t>
            </w:r>
          </w:p>
        </w:tc>
      </w:tr>
      <w:tr w:rsidR="00C21266" w:rsidRPr="005C3B55">
        <w:tc>
          <w:tcPr>
            <w:tcW w:w="4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b/>
                <w:sz w:val="16"/>
                <w:lang w:eastAsia="en-GB" w:bidi="en-GB"/>
              </w:rPr>
            </w:pPr>
            <w:r w:rsidRPr="005C3B55">
              <w:rPr>
                <w:b/>
                <w:sz w:val="16"/>
              </w:rPr>
              <w:t>T11: Percentage of forest land for which the management contracts were signed for improving the water management (priority area 4B)</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jc w:val="right"/>
              <w:rPr>
                <w:rFonts w:eastAsia="Calibri"/>
                <w:b/>
                <w:sz w:val="16"/>
                <w:lang w:eastAsia="en-GB" w:bidi="en-GB"/>
              </w:rPr>
            </w:pPr>
            <w:r w:rsidRPr="005C3B55">
              <w:rPr>
                <w:b/>
                <w:sz w:val="16"/>
              </w:rPr>
              <w:t>0</w:t>
            </w:r>
          </w:p>
        </w:tc>
      </w:tr>
      <w:tr w:rsidR="00C21266" w:rsidRPr="005C3B55">
        <w:tc>
          <w:tcPr>
            <w:tcW w:w="4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sz w:val="16"/>
                <w:lang w:eastAsia="en-GB" w:bidi="en-GB"/>
              </w:rPr>
            </w:pPr>
            <w:r w:rsidRPr="005C3B55">
              <w:rPr>
                <w:sz w:val="16"/>
              </w:rPr>
              <w:t>Forest land for which the management contracts were signed for improving the water management (ha) (priority area 4B)</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jc w:val="right"/>
              <w:rPr>
                <w:rFonts w:eastAsia="Calibri"/>
                <w:sz w:val="16"/>
                <w:lang w:eastAsia="en-GB" w:bidi="en-GB"/>
              </w:rPr>
            </w:pPr>
            <w:r w:rsidRPr="005C3B55">
              <w:rPr>
                <w:sz w:val="16"/>
              </w:rPr>
              <w:t>0.00</w:t>
            </w:r>
          </w:p>
        </w:tc>
      </w:tr>
    </w:tbl>
    <w:p w:rsidR="00C21266" w:rsidRPr="005C3B55" w:rsidRDefault="00C21266" w:rsidP="00C21266">
      <w:pPr>
        <w:jc w:val="center"/>
        <w:rPr>
          <w:rFonts w:eastAsia="Calibri"/>
          <w:sz w:val="16"/>
          <w:szCs w:val="22"/>
          <w:lang w:eastAsia="en-GB" w:bidi="en-GB"/>
        </w:rPr>
      </w:pPr>
    </w:p>
    <w:p w:rsidR="00C21266" w:rsidRPr="005C3B55" w:rsidRDefault="00C21266" w:rsidP="00C21266">
      <w:pPr>
        <w:rPr>
          <w:sz w:val="16"/>
        </w:rPr>
      </w:pPr>
      <w:r w:rsidRPr="005C3B55">
        <w:rPr>
          <w:sz w:val="16"/>
        </w:rPr>
        <w:t>Status indicator used as the denominator for the objective</w:t>
      </w:r>
    </w:p>
    <w:tbl>
      <w:tblPr>
        <w:tblStyle w:val="Navadnatabela1"/>
        <w:tblW w:w="5000"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25"/>
        <w:gridCol w:w="2131"/>
      </w:tblGrid>
      <w:tr w:rsidR="00C21266" w:rsidRPr="005C3B55">
        <w:tc>
          <w:tcPr>
            <w:tcW w:w="4000" w:type="pct"/>
            <w:tcBorders>
              <w:top w:val="single" w:sz="4" w:space="0" w:color="auto"/>
              <w:left w:val="single" w:sz="4" w:space="0" w:color="auto"/>
              <w:bottom w:val="single" w:sz="4" w:space="0" w:color="auto"/>
              <w:right w:val="single" w:sz="4" w:space="0" w:color="auto"/>
            </w:tcBorders>
            <w:shd w:val="clear" w:color="auto" w:fill="C0C0C0"/>
            <w:tcMar>
              <w:top w:w="60" w:type="dxa"/>
              <w:left w:w="108" w:type="dxa"/>
              <w:bottom w:w="0" w:type="dxa"/>
              <w:right w:w="108" w:type="dxa"/>
            </w:tcMar>
            <w:vAlign w:val="center"/>
          </w:tcPr>
          <w:p w:rsidR="00C21266" w:rsidRPr="005C3B55" w:rsidRDefault="00C21266">
            <w:pPr>
              <w:spacing w:after="200"/>
              <w:jc w:val="center"/>
              <w:rPr>
                <w:rFonts w:eastAsia="Calibri"/>
                <w:b/>
                <w:sz w:val="20"/>
                <w:lang w:eastAsia="en-GB" w:bidi="en-GB"/>
              </w:rPr>
            </w:pPr>
            <w:r w:rsidRPr="005C3B55">
              <w:rPr>
                <w:b/>
                <w:sz w:val="20"/>
              </w:rPr>
              <w:t>Indication of the status indicator</w:t>
            </w:r>
          </w:p>
        </w:tc>
        <w:tc>
          <w:tcPr>
            <w:tcW w:w="1000" w:type="pct"/>
            <w:tcBorders>
              <w:top w:val="single" w:sz="4" w:space="0" w:color="auto"/>
              <w:left w:val="single" w:sz="4" w:space="0" w:color="auto"/>
              <w:bottom w:val="single" w:sz="4" w:space="0" w:color="auto"/>
              <w:right w:val="single" w:sz="4" w:space="0" w:color="auto"/>
            </w:tcBorders>
            <w:shd w:val="clear" w:color="auto" w:fill="C0C0C0"/>
            <w:tcMar>
              <w:top w:w="60" w:type="dxa"/>
              <w:left w:w="108" w:type="dxa"/>
              <w:bottom w:w="0" w:type="dxa"/>
              <w:right w:w="108" w:type="dxa"/>
            </w:tcMar>
            <w:vAlign w:val="center"/>
          </w:tcPr>
          <w:p w:rsidR="00C21266" w:rsidRPr="005C3B55" w:rsidRDefault="00C21266">
            <w:pPr>
              <w:spacing w:after="200"/>
              <w:jc w:val="center"/>
              <w:rPr>
                <w:rFonts w:eastAsia="Calibri"/>
                <w:b/>
                <w:sz w:val="20"/>
                <w:lang w:eastAsia="en-GB" w:bidi="en-GB"/>
              </w:rPr>
            </w:pPr>
            <w:r w:rsidRPr="005C3B55">
              <w:rPr>
                <w:b/>
                <w:sz w:val="20"/>
              </w:rPr>
              <w:t>Value in the base year</w:t>
            </w:r>
          </w:p>
        </w:tc>
      </w:tr>
      <w:tr w:rsidR="00C21266" w:rsidRPr="005C3B55">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sz w:val="16"/>
                <w:lang w:eastAsia="en-GB" w:bidi="en-GB"/>
              </w:rPr>
            </w:pPr>
            <w:r w:rsidRPr="005C3B55">
              <w:rPr>
                <w:sz w:val="16"/>
              </w:rPr>
              <w:t>29 Forest and other forest land (000)- in total</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jc w:val="right"/>
              <w:rPr>
                <w:rFonts w:eastAsia="Calibri"/>
                <w:sz w:val="16"/>
                <w:lang w:eastAsia="en-GB" w:bidi="en-GB"/>
              </w:rPr>
            </w:pPr>
            <w:r w:rsidRPr="005C3B55">
              <w:rPr>
                <w:sz w:val="16"/>
              </w:rPr>
              <w:t>1,274.00</w:t>
            </w:r>
          </w:p>
        </w:tc>
      </w:tr>
    </w:tbl>
    <w:p w:rsidR="00C21266" w:rsidRPr="005C3B55" w:rsidRDefault="00C21266" w:rsidP="00C21266">
      <w:pPr>
        <w:rPr>
          <w:rFonts w:eastAsia="Calibri"/>
          <w:sz w:val="16"/>
          <w:szCs w:val="22"/>
          <w:lang w:eastAsia="en-GB" w:bidi="en-GB"/>
        </w:rPr>
      </w:pPr>
    </w:p>
    <w:p w:rsidR="00C21266" w:rsidRPr="005C3B55" w:rsidRDefault="00C21266" w:rsidP="00C21266">
      <w:pPr>
        <w:spacing w:after="0"/>
        <w:rPr>
          <w:sz w:val="16"/>
        </w:rPr>
        <w:sectPr w:rsidR="00C21266" w:rsidRPr="005C3B55">
          <w:pgSz w:w="12240" w:h="15840"/>
          <w:pgMar w:top="900" w:right="900" w:bottom="900" w:left="900" w:header="708" w:footer="708" w:gutter="0"/>
          <w:cols w:space="708"/>
        </w:sectPr>
      </w:pPr>
    </w:p>
    <w:p w:rsidR="00C21266" w:rsidRPr="005C3B55" w:rsidRDefault="00C21266" w:rsidP="00C21266">
      <w:pPr>
        <w:pStyle w:val="Naslov4"/>
        <w:tabs>
          <w:tab w:val="clear" w:pos="765"/>
        </w:tabs>
        <w:ind w:left="0" w:firstLine="0"/>
        <w:jc w:val="left"/>
        <w:rPr>
          <w:i w:val="0"/>
          <w:sz w:val="16"/>
          <w:lang w:val="en-GB"/>
        </w:rPr>
      </w:pPr>
      <w:r w:rsidRPr="005C3B55">
        <w:rPr>
          <w:i w:val="0"/>
          <w:sz w:val="16"/>
          <w:lang w:val="en-GB"/>
        </w:rPr>
        <w:t>4C) Prevention of soil erosion and improvement of soil management</w:t>
      </w:r>
    </w:p>
    <w:p w:rsidR="00C21266" w:rsidRPr="005C3B55" w:rsidRDefault="00C21266" w:rsidP="00C21266">
      <w:pPr>
        <w:rPr>
          <w:sz w:val="16"/>
        </w:rPr>
      </w:pPr>
      <w:r w:rsidRPr="005C3B55">
        <w:rPr>
          <w:sz w:val="16"/>
        </w:rPr>
        <w:t>Agriculture</w:t>
      </w:r>
    </w:p>
    <w:p w:rsidR="00C21266" w:rsidRPr="005C3B55" w:rsidRDefault="00C21266" w:rsidP="00C21266">
      <w:pPr>
        <w:rPr>
          <w:sz w:val="16"/>
        </w:rPr>
      </w:pPr>
      <w:r w:rsidRPr="005C3B55">
        <w:rPr>
          <w:sz w:val="16"/>
        </w:rPr>
        <w:t>Target indicators for the 2014-2020 period</w:t>
      </w:r>
    </w:p>
    <w:tbl>
      <w:tblPr>
        <w:tblStyle w:val="Navadnatabela1"/>
        <w:tblW w:w="5000"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25"/>
        <w:gridCol w:w="2131"/>
      </w:tblGrid>
      <w:tr w:rsidR="00C21266" w:rsidRPr="005C3B55">
        <w:trPr>
          <w:trHeight w:val="464"/>
        </w:trPr>
        <w:tc>
          <w:tcPr>
            <w:tcW w:w="1000" w:type="pct"/>
            <w:tcBorders>
              <w:top w:val="single" w:sz="4" w:space="0" w:color="auto"/>
              <w:left w:val="single" w:sz="4" w:space="0" w:color="auto"/>
              <w:bottom w:val="nil"/>
              <w:right w:val="single" w:sz="4" w:space="0" w:color="auto"/>
            </w:tcBorders>
            <w:shd w:val="clear" w:color="auto" w:fill="C0C0C0"/>
            <w:tcMar>
              <w:top w:w="60" w:type="dxa"/>
              <w:left w:w="108" w:type="dxa"/>
              <w:bottom w:w="0" w:type="dxa"/>
              <w:right w:w="108" w:type="dxa"/>
            </w:tcMar>
            <w:vAlign w:val="center"/>
          </w:tcPr>
          <w:p w:rsidR="00C21266" w:rsidRPr="005C3B55" w:rsidRDefault="00C21266">
            <w:pPr>
              <w:spacing w:after="200"/>
              <w:jc w:val="center"/>
              <w:rPr>
                <w:rFonts w:eastAsia="Calibri"/>
                <w:b/>
                <w:sz w:val="20"/>
                <w:lang w:eastAsia="en-GB" w:bidi="en-GB"/>
              </w:rPr>
            </w:pPr>
            <w:r w:rsidRPr="005C3B55">
              <w:rPr>
                <w:b/>
                <w:sz w:val="20"/>
              </w:rPr>
              <w:t>Indication of the target indicator</w:t>
            </w:r>
          </w:p>
        </w:tc>
        <w:tc>
          <w:tcPr>
            <w:tcW w:w="1000" w:type="pct"/>
            <w:tcBorders>
              <w:top w:val="single" w:sz="4" w:space="0" w:color="auto"/>
              <w:left w:val="single" w:sz="4" w:space="0" w:color="auto"/>
              <w:bottom w:val="nil"/>
              <w:right w:val="single" w:sz="4" w:space="0" w:color="auto"/>
            </w:tcBorders>
            <w:shd w:val="clear" w:color="auto" w:fill="C0C0C0"/>
            <w:tcMar>
              <w:top w:w="60" w:type="dxa"/>
              <w:left w:w="108" w:type="dxa"/>
              <w:bottom w:w="0" w:type="dxa"/>
              <w:right w:w="108" w:type="dxa"/>
            </w:tcMar>
            <w:vAlign w:val="center"/>
          </w:tcPr>
          <w:p w:rsidR="00C21266" w:rsidRPr="005C3B55" w:rsidRDefault="00C21266">
            <w:pPr>
              <w:spacing w:after="200"/>
              <w:jc w:val="center"/>
              <w:rPr>
                <w:rFonts w:eastAsia="Calibri"/>
                <w:b/>
                <w:sz w:val="20"/>
                <w:lang w:eastAsia="en-GB" w:bidi="en-GB"/>
              </w:rPr>
            </w:pPr>
            <w:r w:rsidRPr="005C3B55">
              <w:rPr>
                <w:b/>
                <w:sz w:val="20"/>
              </w:rPr>
              <w:t>Target value for 2023</w:t>
            </w:r>
          </w:p>
        </w:tc>
      </w:tr>
      <w:tr w:rsidR="00C21266" w:rsidRPr="005C3B55">
        <w:tc>
          <w:tcPr>
            <w:tcW w:w="4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b/>
                <w:sz w:val="16"/>
                <w:lang w:eastAsia="en-GB" w:bidi="en-GB"/>
              </w:rPr>
            </w:pPr>
            <w:r w:rsidRPr="005C3B55">
              <w:rPr>
                <w:b/>
                <w:sz w:val="16"/>
              </w:rPr>
              <w:t>T12: Percentage of agricultural land for which the management contracts were signed for improving of soil management and/or preventing of soil erosion (priority area 4C)</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jc w:val="right"/>
              <w:rPr>
                <w:rFonts w:eastAsia="Calibri"/>
                <w:b/>
                <w:sz w:val="16"/>
                <w:lang w:eastAsia="en-GB" w:bidi="en-GB"/>
              </w:rPr>
            </w:pPr>
            <w:r w:rsidRPr="005C3B55">
              <w:rPr>
                <w:b/>
                <w:sz w:val="16"/>
              </w:rPr>
              <w:t>27.23</w:t>
            </w:r>
          </w:p>
        </w:tc>
      </w:tr>
      <w:tr w:rsidR="00C21266" w:rsidRPr="005C3B55">
        <w:tc>
          <w:tcPr>
            <w:tcW w:w="4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sz w:val="16"/>
                <w:lang w:eastAsia="en-GB" w:bidi="en-GB"/>
              </w:rPr>
            </w:pPr>
            <w:r w:rsidRPr="005C3B55">
              <w:rPr>
                <w:sz w:val="16"/>
              </w:rPr>
              <w:t>Agricultural land for which the management contracts were signed for improving of soil management and/or preventing of soil erosion (ha) (priority area 4C)</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jc w:val="right"/>
              <w:rPr>
                <w:rFonts w:eastAsia="Calibri"/>
                <w:sz w:val="16"/>
                <w:lang w:eastAsia="en-GB" w:bidi="en-GB"/>
              </w:rPr>
            </w:pPr>
            <w:r w:rsidRPr="005C3B55">
              <w:rPr>
                <w:sz w:val="16"/>
              </w:rPr>
              <w:t>164,000.00</w:t>
            </w:r>
          </w:p>
        </w:tc>
      </w:tr>
    </w:tbl>
    <w:p w:rsidR="00C21266" w:rsidRPr="005C3B55" w:rsidRDefault="00C21266" w:rsidP="00C21266">
      <w:pPr>
        <w:jc w:val="center"/>
        <w:rPr>
          <w:rFonts w:eastAsia="Calibri"/>
          <w:sz w:val="16"/>
          <w:szCs w:val="22"/>
          <w:lang w:eastAsia="en-GB" w:bidi="en-GB"/>
        </w:rPr>
      </w:pPr>
    </w:p>
    <w:p w:rsidR="00C21266" w:rsidRPr="005C3B55" w:rsidRDefault="00C21266" w:rsidP="00C21266">
      <w:pPr>
        <w:rPr>
          <w:sz w:val="16"/>
        </w:rPr>
      </w:pPr>
      <w:r w:rsidRPr="005C3B55">
        <w:rPr>
          <w:sz w:val="16"/>
        </w:rPr>
        <w:t>Status indicator used as the denominator for the objective</w:t>
      </w:r>
    </w:p>
    <w:tbl>
      <w:tblPr>
        <w:tblStyle w:val="Navadnatabela1"/>
        <w:tblW w:w="5000"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25"/>
        <w:gridCol w:w="2131"/>
      </w:tblGrid>
      <w:tr w:rsidR="00C21266" w:rsidRPr="005C3B55">
        <w:tc>
          <w:tcPr>
            <w:tcW w:w="4000" w:type="pct"/>
            <w:tcBorders>
              <w:top w:val="single" w:sz="4" w:space="0" w:color="auto"/>
              <w:left w:val="single" w:sz="4" w:space="0" w:color="auto"/>
              <w:bottom w:val="single" w:sz="4" w:space="0" w:color="auto"/>
              <w:right w:val="single" w:sz="4" w:space="0" w:color="auto"/>
            </w:tcBorders>
            <w:shd w:val="clear" w:color="auto" w:fill="C0C0C0"/>
            <w:tcMar>
              <w:top w:w="60" w:type="dxa"/>
              <w:left w:w="108" w:type="dxa"/>
              <w:bottom w:w="0" w:type="dxa"/>
              <w:right w:w="108" w:type="dxa"/>
            </w:tcMar>
            <w:vAlign w:val="center"/>
          </w:tcPr>
          <w:p w:rsidR="00C21266" w:rsidRPr="005C3B55" w:rsidRDefault="00C21266">
            <w:pPr>
              <w:spacing w:after="200"/>
              <w:jc w:val="center"/>
              <w:rPr>
                <w:rFonts w:eastAsia="Calibri"/>
                <w:b/>
                <w:sz w:val="20"/>
                <w:lang w:eastAsia="en-GB" w:bidi="en-GB"/>
              </w:rPr>
            </w:pPr>
            <w:r w:rsidRPr="005C3B55">
              <w:rPr>
                <w:b/>
                <w:sz w:val="20"/>
              </w:rPr>
              <w:t>Indication of the status indicator</w:t>
            </w:r>
          </w:p>
        </w:tc>
        <w:tc>
          <w:tcPr>
            <w:tcW w:w="1000" w:type="pct"/>
            <w:tcBorders>
              <w:top w:val="single" w:sz="4" w:space="0" w:color="auto"/>
              <w:left w:val="single" w:sz="4" w:space="0" w:color="auto"/>
              <w:bottom w:val="single" w:sz="4" w:space="0" w:color="auto"/>
              <w:right w:val="single" w:sz="4" w:space="0" w:color="auto"/>
            </w:tcBorders>
            <w:shd w:val="clear" w:color="auto" w:fill="C0C0C0"/>
            <w:tcMar>
              <w:top w:w="60" w:type="dxa"/>
              <w:left w:w="108" w:type="dxa"/>
              <w:bottom w:w="0" w:type="dxa"/>
              <w:right w:w="108" w:type="dxa"/>
            </w:tcMar>
            <w:vAlign w:val="center"/>
          </w:tcPr>
          <w:p w:rsidR="00C21266" w:rsidRPr="005C3B55" w:rsidRDefault="00C21266">
            <w:pPr>
              <w:spacing w:after="200"/>
              <w:jc w:val="center"/>
              <w:rPr>
                <w:rFonts w:eastAsia="Calibri"/>
                <w:b/>
                <w:sz w:val="20"/>
                <w:lang w:eastAsia="en-GB" w:bidi="en-GB"/>
              </w:rPr>
            </w:pPr>
            <w:r w:rsidRPr="005C3B55">
              <w:rPr>
                <w:b/>
                <w:sz w:val="20"/>
              </w:rPr>
              <w:t>Value in the base year</w:t>
            </w:r>
          </w:p>
        </w:tc>
      </w:tr>
      <w:tr w:rsidR="00C21266" w:rsidRPr="005C3B55">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sz w:val="16"/>
                <w:lang w:eastAsia="en-GB" w:bidi="en-GB"/>
              </w:rPr>
            </w:pPr>
            <w:r w:rsidRPr="005C3B55">
              <w:rPr>
                <w:sz w:val="16"/>
              </w:rPr>
              <w:t>18 Agricultural land - total agricultural land in use</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jc w:val="right"/>
              <w:rPr>
                <w:rFonts w:eastAsia="Calibri"/>
                <w:sz w:val="16"/>
                <w:lang w:eastAsia="en-GB" w:bidi="en-GB"/>
              </w:rPr>
            </w:pPr>
            <w:r w:rsidRPr="005C3B55">
              <w:rPr>
                <w:sz w:val="16"/>
              </w:rPr>
              <w:t>602,208.00</w:t>
            </w:r>
          </w:p>
        </w:tc>
      </w:tr>
    </w:tbl>
    <w:p w:rsidR="00C21266" w:rsidRPr="005C3B55" w:rsidRDefault="00C21266" w:rsidP="00C21266">
      <w:pPr>
        <w:rPr>
          <w:rFonts w:eastAsia="Calibri"/>
          <w:sz w:val="16"/>
          <w:szCs w:val="22"/>
          <w:lang w:eastAsia="en-GB" w:bidi="en-GB"/>
        </w:rPr>
      </w:pPr>
    </w:p>
    <w:p w:rsidR="00C21266" w:rsidRPr="005C3B55" w:rsidRDefault="00C21266" w:rsidP="00C21266">
      <w:pPr>
        <w:rPr>
          <w:sz w:val="16"/>
        </w:rPr>
      </w:pPr>
      <w:r w:rsidRPr="005C3B55">
        <w:rPr>
          <w:sz w:val="16"/>
        </w:rPr>
        <w:t>Forestry</w:t>
      </w:r>
    </w:p>
    <w:p w:rsidR="00C21266" w:rsidRPr="005C3B55" w:rsidRDefault="00C21266" w:rsidP="00C21266">
      <w:pPr>
        <w:rPr>
          <w:sz w:val="16"/>
        </w:rPr>
      </w:pPr>
      <w:r w:rsidRPr="005C3B55">
        <w:rPr>
          <w:sz w:val="16"/>
        </w:rPr>
        <w:t>Target indicators for the 2014-2020 period</w:t>
      </w:r>
    </w:p>
    <w:tbl>
      <w:tblPr>
        <w:tblStyle w:val="Navadnatabela1"/>
        <w:tblW w:w="5000"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25"/>
        <w:gridCol w:w="2131"/>
      </w:tblGrid>
      <w:tr w:rsidR="00C21266" w:rsidRPr="005C3B55">
        <w:trPr>
          <w:trHeight w:val="464"/>
        </w:trPr>
        <w:tc>
          <w:tcPr>
            <w:tcW w:w="1000" w:type="pct"/>
            <w:tcBorders>
              <w:top w:val="single" w:sz="4" w:space="0" w:color="auto"/>
              <w:left w:val="single" w:sz="4" w:space="0" w:color="auto"/>
              <w:bottom w:val="nil"/>
              <w:right w:val="single" w:sz="4" w:space="0" w:color="auto"/>
            </w:tcBorders>
            <w:shd w:val="clear" w:color="auto" w:fill="C0C0C0"/>
            <w:tcMar>
              <w:top w:w="60" w:type="dxa"/>
              <w:left w:w="108" w:type="dxa"/>
              <w:bottom w:w="0" w:type="dxa"/>
              <w:right w:w="108" w:type="dxa"/>
            </w:tcMar>
            <w:vAlign w:val="center"/>
          </w:tcPr>
          <w:p w:rsidR="00C21266" w:rsidRPr="005C3B55" w:rsidRDefault="00C21266">
            <w:pPr>
              <w:spacing w:after="200"/>
              <w:jc w:val="center"/>
              <w:rPr>
                <w:rFonts w:eastAsia="Calibri"/>
                <w:b/>
                <w:sz w:val="20"/>
                <w:lang w:eastAsia="en-GB" w:bidi="en-GB"/>
              </w:rPr>
            </w:pPr>
            <w:r w:rsidRPr="005C3B55">
              <w:rPr>
                <w:b/>
                <w:sz w:val="20"/>
              </w:rPr>
              <w:t>Indication of the target indicator</w:t>
            </w:r>
          </w:p>
        </w:tc>
        <w:tc>
          <w:tcPr>
            <w:tcW w:w="1000" w:type="pct"/>
            <w:tcBorders>
              <w:top w:val="single" w:sz="4" w:space="0" w:color="auto"/>
              <w:left w:val="single" w:sz="4" w:space="0" w:color="auto"/>
              <w:bottom w:val="nil"/>
              <w:right w:val="single" w:sz="4" w:space="0" w:color="auto"/>
            </w:tcBorders>
            <w:shd w:val="clear" w:color="auto" w:fill="C0C0C0"/>
            <w:tcMar>
              <w:top w:w="60" w:type="dxa"/>
              <w:left w:w="108" w:type="dxa"/>
              <w:bottom w:w="0" w:type="dxa"/>
              <w:right w:w="108" w:type="dxa"/>
            </w:tcMar>
            <w:vAlign w:val="center"/>
          </w:tcPr>
          <w:p w:rsidR="00C21266" w:rsidRPr="005C3B55" w:rsidRDefault="00C21266">
            <w:pPr>
              <w:spacing w:after="200"/>
              <w:jc w:val="center"/>
              <w:rPr>
                <w:rFonts w:eastAsia="Calibri"/>
                <w:b/>
                <w:sz w:val="20"/>
                <w:lang w:eastAsia="en-GB" w:bidi="en-GB"/>
              </w:rPr>
            </w:pPr>
            <w:r w:rsidRPr="005C3B55">
              <w:rPr>
                <w:b/>
                <w:sz w:val="20"/>
              </w:rPr>
              <w:t>Target value for 2023</w:t>
            </w:r>
          </w:p>
        </w:tc>
      </w:tr>
      <w:tr w:rsidR="00C21266" w:rsidRPr="005C3B55">
        <w:tc>
          <w:tcPr>
            <w:tcW w:w="4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b/>
                <w:sz w:val="16"/>
                <w:lang w:eastAsia="en-GB" w:bidi="en-GB"/>
              </w:rPr>
            </w:pPr>
            <w:r w:rsidRPr="005C3B55">
              <w:rPr>
                <w:b/>
                <w:sz w:val="16"/>
              </w:rPr>
              <w:t>T13: Percentage of forest land for which the management contracts were signed for improving of soil management and/or preventing of soil erosion (priority area 4C)</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jc w:val="right"/>
              <w:rPr>
                <w:rFonts w:eastAsia="Calibri"/>
                <w:b/>
                <w:sz w:val="16"/>
                <w:lang w:eastAsia="en-GB" w:bidi="en-GB"/>
              </w:rPr>
            </w:pPr>
            <w:r w:rsidRPr="005C3B55">
              <w:rPr>
                <w:b/>
                <w:sz w:val="16"/>
              </w:rPr>
              <w:t>0</w:t>
            </w:r>
          </w:p>
        </w:tc>
      </w:tr>
      <w:tr w:rsidR="00C21266" w:rsidRPr="005C3B55">
        <w:tc>
          <w:tcPr>
            <w:tcW w:w="4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sz w:val="16"/>
                <w:lang w:eastAsia="en-GB" w:bidi="en-GB"/>
              </w:rPr>
            </w:pPr>
            <w:r w:rsidRPr="005C3B55">
              <w:rPr>
                <w:sz w:val="16"/>
              </w:rPr>
              <w:t>Forest land for which the management contracts were signed for improving of soil management and/or preventing of soil erosion (ha) (priority area 4C)</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jc w:val="right"/>
              <w:rPr>
                <w:rFonts w:eastAsia="Calibri"/>
                <w:sz w:val="16"/>
                <w:lang w:eastAsia="en-GB" w:bidi="en-GB"/>
              </w:rPr>
            </w:pPr>
            <w:r w:rsidRPr="005C3B55">
              <w:rPr>
                <w:sz w:val="16"/>
              </w:rPr>
              <w:t>0.00</w:t>
            </w:r>
          </w:p>
        </w:tc>
      </w:tr>
    </w:tbl>
    <w:p w:rsidR="00C21266" w:rsidRPr="005C3B55" w:rsidRDefault="00C21266" w:rsidP="00C21266">
      <w:pPr>
        <w:jc w:val="center"/>
        <w:rPr>
          <w:rFonts w:eastAsia="Calibri"/>
          <w:sz w:val="16"/>
          <w:szCs w:val="22"/>
          <w:lang w:eastAsia="en-GB" w:bidi="en-GB"/>
        </w:rPr>
      </w:pPr>
    </w:p>
    <w:p w:rsidR="00C21266" w:rsidRPr="005C3B55" w:rsidRDefault="00C21266" w:rsidP="00C21266">
      <w:pPr>
        <w:rPr>
          <w:sz w:val="16"/>
        </w:rPr>
      </w:pPr>
      <w:r w:rsidRPr="005C3B55">
        <w:rPr>
          <w:sz w:val="16"/>
        </w:rPr>
        <w:t>Status indicator used as the denominator for the objective</w:t>
      </w:r>
    </w:p>
    <w:tbl>
      <w:tblPr>
        <w:tblStyle w:val="Navadnatabela1"/>
        <w:tblW w:w="5000"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25"/>
        <w:gridCol w:w="2131"/>
      </w:tblGrid>
      <w:tr w:rsidR="00C21266" w:rsidRPr="005C3B55">
        <w:tc>
          <w:tcPr>
            <w:tcW w:w="4000" w:type="pct"/>
            <w:tcBorders>
              <w:top w:val="single" w:sz="4" w:space="0" w:color="auto"/>
              <w:left w:val="single" w:sz="4" w:space="0" w:color="auto"/>
              <w:bottom w:val="single" w:sz="4" w:space="0" w:color="auto"/>
              <w:right w:val="single" w:sz="4" w:space="0" w:color="auto"/>
            </w:tcBorders>
            <w:shd w:val="clear" w:color="auto" w:fill="C0C0C0"/>
            <w:tcMar>
              <w:top w:w="60" w:type="dxa"/>
              <w:left w:w="108" w:type="dxa"/>
              <w:bottom w:w="0" w:type="dxa"/>
              <w:right w:w="108" w:type="dxa"/>
            </w:tcMar>
            <w:vAlign w:val="center"/>
          </w:tcPr>
          <w:p w:rsidR="00C21266" w:rsidRPr="005C3B55" w:rsidRDefault="00C21266">
            <w:pPr>
              <w:spacing w:after="200"/>
              <w:jc w:val="center"/>
              <w:rPr>
                <w:rFonts w:eastAsia="Calibri"/>
                <w:b/>
                <w:sz w:val="20"/>
                <w:lang w:eastAsia="en-GB" w:bidi="en-GB"/>
              </w:rPr>
            </w:pPr>
            <w:r w:rsidRPr="005C3B55">
              <w:rPr>
                <w:b/>
                <w:sz w:val="20"/>
              </w:rPr>
              <w:t>Indication of the status indicator</w:t>
            </w:r>
          </w:p>
        </w:tc>
        <w:tc>
          <w:tcPr>
            <w:tcW w:w="1000" w:type="pct"/>
            <w:tcBorders>
              <w:top w:val="single" w:sz="4" w:space="0" w:color="auto"/>
              <w:left w:val="single" w:sz="4" w:space="0" w:color="auto"/>
              <w:bottom w:val="single" w:sz="4" w:space="0" w:color="auto"/>
              <w:right w:val="single" w:sz="4" w:space="0" w:color="auto"/>
            </w:tcBorders>
            <w:shd w:val="clear" w:color="auto" w:fill="C0C0C0"/>
            <w:tcMar>
              <w:top w:w="60" w:type="dxa"/>
              <w:left w:w="108" w:type="dxa"/>
              <w:bottom w:w="0" w:type="dxa"/>
              <w:right w:w="108" w:type="dxa"/>
            </w:tcMar>
            <w:vAlign w:val="center"/>
          </w:tcPr>
          <w:p w:rsidR="00C21266" w:rsidRPr="005C3B55" w:rsidRDefault="00C21266">
            <w:pPr>
              <w:spacing w:after="200"/>
              <w:jc w:val="center"/>
              <w:rPr>
                <w:rFonts w:eastAsia="Calibri"/>
                <w:b/>
                <w:sz w:val="20"/>
                <w:lang w:eastAsia="en-GB" w:bidi="en-GB"/>
              </w:rPr>
            </w:pPr>
            <w:r w:rsidRPr="005C3B55">
              <w:rPr>
                <w:b/>
                <w:sz w:val="20"/>
              </w:rPr>
              <w:t>Value in the base year</w:t>
            </w:r>
          </w:p>
        </w:tc>
      </w:tr>
      <w:tr w:rsidR="00C21266" w:rsidRPr="005C3B55">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sz w:val="16"/>
                <w:lang w:eastAsia="en-GB" w:bidi="en-GB"/>
              </w:rPr>
            </w:pPr>
            <w:r w:rsidRPr="005C3B55">
              <w:rPr>
                <w:sz w:val="16"/>
              </w:rPr>
              <w:t>29 Forest and other forest land (000)- in total</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jc w:val="right"/>
              <w:rPr>
                <w:rFonts w:eastAsia="Calibri"/>
                <w:sz w:val="16"/>
                <w:lang w:eastAsia="en-GB" w:bidi="en-GB"/>
              </w:rPr>
            </w:pPr>
            <w:r w:rsidRPr="005C3B55">
              <w:rPr>
                <w:sz w:val="16"/>
              </w:rPr>
              <w:t>1,274.00</w:t>
            </w:r>
          </w:p>
        </w:tc>
      </w:tr>
    </w:tbl>
    <w:p w:rsidR="00C21266" w:rsidRPr="005C3B55" w:rsidRDefault="00C21266" w:rsidP="00C21266">
      <w:pPr>
        <w:rPr>
          <w:rFonts w:eastAsia="Calibri"/>
          <w:sz w:val="16"/>
          <w:szCs w:val="22"/>
          <w:lang w:eastAsia="en-GB" w:bidi="en-GB"/>
        </w:rPr>
      </w:pPr>
    </w:p>
    <w:p w:rsidR="00C21266" w:rsidRPr="005C3B55" w:rsidRDefault="00C21266" w:rsidP="00C21266">
      <w:pPr>
        <w:spacing w:after="0"/>
        <w:rPr>
          <w:sz w:val="16"/>
        </w:rPr>
        <w:sectPr w:rsidR="00C21266" w:rsidRPr="005C3B55">
          <w:pgSz w:w="12240" w:h="15840"/>
          <w:pgMar w:top="900" w:right="900" w:bottom="900" w:left="900" w:header="708" w:footer="708" w:gutter="0"/>
          <w:cols w:space="708"/>
        </w:sectPr>
      </w:pPr>
    </w:p>
    <w:p w:rsidR="00C21266" w:rsidRPr="005C3B55" w:rsidRDefault="00C21266" w:rsidP="00C21266">
      <w:pPr>
        <w:pStyle w:val="Naslov3"/>
        <w:tabs>
          <w:tab w:val="clear" w:pos="765"/>
        </w:tabs>
        <w:ind w:left="0" w:firstLine="0"/>
        <w:jc w:val="left"/>
        <w:rPr>
          <w:sz w:val="16"/>
          <w:lang w:val="en-GB"/>
        </w:rPr>
      </w:pPr>
      <w:bookmarkStart w:id="166" w:name="_Toc416192624"/>
      <w:r w:rsidRPr="005C3B55">
        <w:rPr>
          <w:sz w:val="16"/>
          <w:lang w:val="en-GB"/>
        </w:rPr>
        <w:t>P5: Promotion of the efficient use of resources and supporting the agricultural, food and forestry sector in the transition to a low-carbon economy resistant to climate change</w:t>
      </w:r>
      <w:bookmarkEnd w:id="166"/>
    </w:p>
    <w:p w:rsidR="00C21266" w:rsidRPr="005C3B55" w:rsidRDefault="00C21266" w:rsidP="00C21266">
      <w:pPr>
        <w:pStyle w:val="Naslov4"/>
        <w:tabs>
          <w:tab w:val="clear" w:pos="765"/>
        </w:tabs>
        <w:ind w:left="0" w:firstLine="0"/>
        <w:jc w:val="left"/>
        <w:rPr>
          <w:i w:val="0"/>
          <w:sz w:val="16"/>
          <w:lang w:val="en-GB"/>
        </w:rPr>
      </w:pPr>
      <w:r w:rsidRPr="005C3B55">
        <w:rPr>
          <w:i w:val="0"/>
          <w:sz w:val="16"/>
          <w:lang w:val="en-GB"/>
        </w:rPr>
        <w:t>5A) Increasing an efficient water use in agriculture</w:t>
      </w:r>
    </w:p>
    <w:p w:rsidR="00C21266" w:rsidRPr="005C3B55" w:rsidRDefault="00C21266" w:rsidP="00C21266">
      <w:pPr>
        <w:rPr>
          <w:sz w:val="16"/>
        </w:rPr>
      </w:pPr>
      <w:r w:rsidRPr="005C3B55">
        <w:rPr>
          <w:sz w:val="16"/>
        </w:rPr>
        <w:t>No decision for this priority area was selected in the strategy.</w:t>
      </w:r>
    </w:p>
    <w:p w:rsidR="00C21266" w:rsidRPr="005C3B55" w:rsidRDefault="00C21266" w:rsidP="00C21266">
      <w:pPr>
        <w:spacing w:after="0"/>
        <w:rPr>
          <w:sz w:val="16"/>
        </w:rPr>
        <w:sectPr w:rsidR="00C21266" w:rsidRPr="005C3B55">
          <w:pgSz w:w="12240" w:h="15840"/>
          <w:pgMar w:top="900" w:right="900" w:bottom="900" w:left="900" w:header="708" w:footer="708" w:gutter="0"/>
          <w:cols w:space="708"/>
        </w:sectPr>
      </w:pPr>
    </w:p>
    <w:p w:rsidR="00C21266" w:rsidRPr="005C3B55" w:rsidRDefault="00C21266" w:rsidP="00C21266">
      <w:pPr>
        <w:pStyle w:val="Naslov4"/>
        <w:tabs>
          <w:tab w:val="clear" w:pos="765"/>
        </w:tabs>
        <w:ind w:left="0" w:firstLine="0"/>
        <w:jc w:val="left"/>
        <w:rPr>
          <w:i w:val="0"/>
          <w:sz w:val="16"/>
          <w:lang w:val="en-GB"/>
        </w:rPr>
      </w:pPr>
      <w:r w:rsidRPr="005C3B55">
        <w:rPr>
          <w:i w:val="0"/>
          <w:sz w:val="16"/>
          <w:lang w:val="en-GB"/>
        </w:rPr>
        <w:t>5B) Increasing an efficient use of energy in agriculture and food processing</w:t>
      </w:r>
    </w:p>
    <w:p w:rsidR="00C21266" w:rsidRPr="005C3B55" w:rsidRDefault="00C21266" w:rsidP="00C21266">
      <w:pPr>
        <w:rPr>
          <w:sz w:val="16"/>
        </w:rPr>
      </w:pPr>
      <w:r w:rsidRPr="005C3B55">
        <w:rPr>
          <w:sz w:val="16"/>
        </w:rPr>
        <w:t>No decision for this priority area was selected in the strategy.</w:t>
      </w:r>
    </w:p>
    <w:p w:rsidR="00C21266" w:rsidRPr="005C3B55" w:rsidRDefault="00C21266" w:rsidP="00C21266">
      <w:pPr>
        <w:spacing w:after="0"/>
        <w:rPr>
          <w:sz w:val="16"/>
        </w:rPr>
        <w:sectPr w:rsidR="00C21266" w:rsidRPr="005C3B55">
          <w:pgSz w:w="12240" w:h="15840"/>
          <w:pgMar w:top="900" w:right="900" w:bottom="900" w:left="900" w:header="708" w:footer="708" w:gutter="0"/>
          <w:cols w:space="708"/>
        </w:sectPr>
      </w:pPr>
    </w:p>
    <w:p w:rsidR="00C21266" w:rsidRPr="005C3B55" w:rsidRDefault="00C21266" w:rsidP="00C21266">
      <w:pPr>
        <w:pStyle w:val="Naslov4"/>
        <w:tabs>
          <w:tab w:val="clear" w:pos="765"/>
        </w:tabs>
        <w:ind w:left="0" w:firstLine="0"/>
        <w:jc w:val="left"/>
        <w:rPr>
          <w:i w:val="0"/>
          <w:sz w:val="16"/>
          <w:lang w:val="en-GB"/>
        </w:rPr>
      </w:pPr>
      <w:r w:rsidRPr="005C3B55">
        <w:rPr>
          <w:i w:val="0"/>
          <w:sz w:val="16"/>
          <w:lang w:val="en-GB"/>
        </w:rPr>
        <w:t>5C) Mitigating the supply and use of renewable energy sources, by- products, waste, remnants and other non-food raw materials for the purposes of bio-economy.</w:t>
      </w:r>
    </w:p>
    <w:p w:rsidR="00C21266" w:rsidRPr="005C3B55" w:rsidRDefault="00C21266" w:rsidP="00C21266">
      <w:pPr>
        <w:rPr>
          <w:sz w:val="16"/>
        </w:rPr>
      </w:pPr>
      <w:r w:rsidRPr="005C3B55">
        <w:rPr>
          <w:sz w:val="16"/>
        </w:rPr>
        <w:t>No decision for this priority area was selected in the strategy.</w:t>
      </w:r>
    </w:p>
    <w:p w:rsidR="00C21266" w:rsidRPr="005C3B55" w:rsidRDefault="00C21266" w:rsidP="00C21266">
      <w:pPr>
        <w:spacing w:after="0"/>
        <w:rPr>
          <w:sz w:val="16"/>
        </w:rPr>
        <w:sectPr w:rsidR="00C21266" w:rsidRPr="005C3B55">
          <w:pgSz w:w="12240" w:h="15840"/>
          <w:pgMar w:top="900" w:right="900" w:bottom="900" w:left="900" w:header="708" w:footer="708" w:gutter="0"/>
          <w:cols w:space="708"/>
        </w:sectPr>
      </w:pPr>
    </w:p>
    <w:p w:rsidR="00C21266" w:rsidRPr="005C3B55" w:rsidRDefault="00C21266" w:rsidP="00C21266">
      <w:pPr>
        <w:pStyle w:val="Naslov4"/>
        <w:tabs>
          <w:tab w:val="clear" w:pos="765"/>
        </w:tabs>
        <w:ind w:left="0" w:firstLine="0"/>
        <w:jc w:val="left"/>
        <w:rPr>
          <w:i w:val="0"/>
          <w:sz w:val="16"/>
          <w:lang w:val="en-GB"/>
        </w:rPr>
      </w:pPr>
      <w:r w:rsidRPr="005C3B55">
        <w:rPr>
          <w:i w:val="0"/>
          <w:sz w:val="16"/>
          <w:lang w:val="en-GB"/>
        </w:rPr>
        <w:t>5D) Reducing greenhouse gases emissions and ammonia in agriculture</w:t>
      </w:r>
    </w:p>
    <w:p w:rsidR="00C21266" w:rsidRPr="005C3B55" w:rsidRDefault="00C21266" w:rsidP="00C21266">
      <w:pPr>
        <w:rPr>
          <w:sz w:val="16"/>
        </w:rPr>
      </w:pPr>
      <w:r w:rsidRPr="005C3B55">
        <w:rPr>
          <w:sz w:val="16"/>
        </w:rPr>
        <w:t>No decision for this priority area was selected in the strategy.</w:t>
      </w:r>
    </w:p>
    <w:p w:rsidR="00C21266" w:rsidRPr="005C3B55" w:rsidRDefault="00C21266" w:rsidP="00C21266">
      <w:pPr>
        <w:spacing w:after="0"/>
        <w:rPr>
          <w:sz w:val="16"/>
        </w:rPr>
        <w:sectPr w:rsidR="00C21266" w:rsidRPr="005C3B55">
          <w:pgSz w:w="12240" w:h="15840"/>
          <w:pgMar w:top="900" w:right="900" w:bottom="900" w:left="900" w:header="708" w:footer="708" w:gutter="0"/>
          <w:cols w:space="708"/>
        </w:sectPr>
      </w:pPr>
    </w:p>
    <w:p w:rsidR="00C21266" w:rsidRPr="005C3B55" w:rsidRDefault="00C21266" w:rsidP="00C21266">
      <w:pPr>
        <w:pStyle w:val="Naslov4"/>
        <w:tabs>
          <w:tab w:val="clear" w:pos="765"/>
        </w:tabs>
        <w:ind w:left="0" w:firstLine="0"/>
        <w:jc w:val="left"/>
        <w:rPr>
          <w:i w:val="0"/>
          <w:sz w:val="16"/>
          <w:lang w:val="en-GB"/>
        </w:rPr>
      </w:pPr>
      <w:r w:rsidRPr="005C3B55">
        <w:rPr>
          <w:i w:val="0"/>
          <w:sz w:val="16"/>
          <w:lang w:val="en-GB"/>
        </w:rPr>
        <w:t>5E) Promoting the storage and sequestration of carbon in agriculture and forestry</w:t>
      </w:r>
    </w:p>
    <w:p w:rsidR="00C21266" w:rsidRPr="005C3B55" w:rsidRDefault="00C21266" w:rsidP="00C21266">
      <w:pPr>
        <w:rPr>
          <w:sz w:val="16"/>
        </w:rPr>
      </w:pPr>
      <w:r w:rsidRPr="005C3B55">
        <w:rPr>
          <w:sz w:val="16"/>
        </w:rPr>
        <w:t>No decision for this priority area was selected in the strategy.</w:t>
      </w:r>
    </w:p>
    <w:p w:rsidR="00C21266" w:rsidRPr="005C3B55" w:rsidRDefault="00C21266" w:rsidP="00C21266">
      <w:pPr>
        <w:spacing w:after="0"/>
        <w:rPr>
          <w:sz w:val="16"/>
        </w:rPr>
        <w:sectPr w:rsidR="00C21266" w:rsidRPr="005C3B55">
          <w:pgSz w:w="12240" w:h="15840"/>
          <w:pgMar w:top="900" w:right="900" w:bottom="900" w:left="900" w:header="708" w:footer="708" w:gutter="0"/>
          <w:cols w:space="708"/>
        </w:sectPr>
      </w:pPr>
    </w:p>
    <w:p w:rsidR="00C21266" w:rsidRPr="005C3B55" w:rsidRDefault="00C21266" w:rsidP="00C21266">
      <w:pPr>
        <w:pStyle w:val="Naslov3"/>
        <w:tabs>
          <w:tab w:val="clear" w:pos="765"/>
        </w:tabs>
        <w:ind w:left="0" w:firstLine="0"/>
        <w:jc w:val="left"/>
        <w:rPr>
          <w:sz w:val="16"/>
          <w:lang w:val="en-GB"/>
        </w:rPr>
      </w:pPr>
      <w:bookmarkStart w:id="167" w:name="_Toc416192625"/>
      <w:r w:rsidRPr="005C3B55">
        <w:rPr>
          <w:sz w:val="16"/>
          <w:lang w:val="en-GB"/>
        </w:rPr>
        <w:t>P6: Promotion of social inclusion, reduction of poverty and economic development of rural areas</w:t>
      </w:r>
      <w:bookmarkEnd w:id="167"/>
    </w:p>
    <w:p w:rsidR="00C21266" w:rsidRPr="005C3B55" w:rsidRDefault="00C21266" w:rsidP="00C21266">
      <w:pPr>
        <w:pStyle w:val="Naslov4"/>
        <w:tabs>
          <w:tab w:val="clear" w:pos="765"/>
        </w:tabs>
        <w:ind w:left="0" w:firstLine="0"/>
        <w:jc w:val="left"/>
        <w:rPr>
          <w:i w:val="0"/>
          <w:sz w:val="16"/>
          <w:lang w:val="en-GB"/>
        </w:rPr>
      </w:pPr>
      <w:r w:rsidRPr="005C3B55">
        <w:rPr>
          <w:i w:val="0"/>
          <w:sz w:val="16"/>
          <w:lang w:val="en-GB"/>
        </w:rPr>
        <w:t>6A) Facilitating the diversification, creation and development of small enterprises and job creation</w:t>
      </w:r>
    </w:p>
    <w:p w:rsidR="00C21266" w:rsidRPr="005C3B55" w:rsidRDefault="00C21266" w:rsidP="00C21266">
      <w:pPr>
        <w:rPr>
          <w:sz w:val="16"/>
        </w:rPr>
      </w:pPr>
      <w:r w:rsidRPr="005C3B55">
        <w:rPr>
          <w:sz w:val="16"/>
        </w:rPr>
        <w:t>Target indicators for the 2014-2020 period</w:t>
      </w:r>
    </w:p>
    <w:tbl>
      <w:tblPr>
        <w:tblStyle w:val="Navadnatabela1"/>
        <w:tblW w:w="5000"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25"/>
        <w:gridCol w:w="2131"/>
      </w:tblGrid>
      <w:tr w:rsidR="00C21266" w:rsidRPr="005C3B55">
        <w:tc>
          <w:tcPr>
            <w:tcW w:w="1000" w:type="pct"/>
            <w:tcBorders>
              <w:top w:val="single" w:sz="4" w:space="0" w:color="auto"/>
              <w:left w:val="single" w:sz="4" w:space="0" w:color="auto"/>
              <w:bottom w:val="single" w:sz="4" w:space="0" w:color="auto"/>
              <w:right w:val="single" w:sz="4" w:space="0" w:color="auto"/>
            </w:tcBorders>
            <w:shd w:val="clear" w:color="auto" w:fill="C0C0C0"/>
            <w:tcMar>
              <w:top w:w="60" w:type="dxa"/>
              <w:left w:w="108" w:type="dxa"/>
              <w:bottom w:w="0" w:type="dxa"/>
              <w:right w:w="108" w:type="dxa"/>
            </w:tcMar>
            <w:vAlign w:val="center"/>
          </w:tcPr>
          <w:p w:rsidR="00C21266" w:rsidRPr="005C3B55" w:rsidRDefault="00C21266">
            <w:pPr>
              <w:spacing w:after="200"/>
              <w:jc w:val="center"/>
              <w:rPr>
                <w:rFonts w:eastAsia="Calibri"/>
                <w:b/>
                <w:sz w:val="20"/>
                <w:lang w:eastAsia="en-GB" w:bidi="en-GB"/>
              </w:rPr>
            </w:pPr>
            <w:r w:rsidRPr="005C3B55">
              <w:rPr>
                <w:b/>
                <w:sz w:val="20"/>
              </w:rPr>
              <w:t>Indication of the target indicator</w:t>
            </w:r>
          </w:p>
        </w:tc>
        <w:tc>
          <w:tcPr>
            <w:tcW w:w="1000" w:type="pct"/>
            <w:tcBorders>
              <w:top w:val="single" w:sz="4" w:space="0" w:color="auto"/>
              <w:left w:val="single" w:sz="4" w:space="0" w:color="auto"/>
              <w:bottom w:val="single" w:sz="4" w:space="0" w:color="auto"/>
              <w:right w:val="single" w:sz="4" w:space="0" w:color="auto"/>
            </w:tcBorders>
            <w:shd w:val="clear" w:color="auto" w:fill="C0C0C0"/>
            <w:tcMar>
              <w:top w:w="60" w:type="dxa"/>
              <w:left w:w="108" w:type="dxa"/>
              <w:bottom w:w="0" w:type="dxa"/>
              <w:right w:w="108" w:type="dxa"/>
            </w:tcMar>
            <w:vAlign w:val="center"/>
          </w:tcPr>
          <w:p w:rsidR="00C21266" w:rsidRPr="005C3B55" w:rsidRDefault="00C21266">
            <w:pPr>
              <w:spacing w:after="200"/>
              <w:jc w:val="center"/>
              <w:rPr>
                <w:rFonts w:eastAsia="Calibri"/>
                <w:b/>
                <w:sz w:val="20"/>
                <w:lang w:eastAsia="en-GB" w:bidi="en-GB"/>
              </w:rPr>
            </w:pPr>
            <w:r w:rsidRPr="005C3B55">
              <w:rPr>
                <w:b/>
                <w:sz w:val="20"/>
              </w:rPr>
              <w:t>Target value for 2023</w:t>
            </w:r>
          </w:p>
        </w:tc>
      </w:tr>
      <w:tr w:rsidR="00C21266" w:rsidRPr="005C3B55">
        <w:tc>
          <w:tcPr>
            <w:tcW w:w="4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b/>
                <w:sz w:val="16"/>
                <w:lang w:eastAsia="en-GB" w:bidi="en-GB"/>
              </w:rPr>
            </w:pPr>
            <w:r w:rsidRPr="005C3B55">
              <w:rPr>
                <w:b/>
                <w:sz w:val="16"/>
              </w:rPr>
              <w:t>T20: Jobs created by supportive projects (priority area 6A)</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jc w:val="right"/>
              <w:rPr>
                <w:rFonts w:eastAsia="Calibri"/>
                <w:b/>
                <w:sz w:val="16"/>
                <w:lang w:eastAsia="en-GB" w:bidi="en-GB"/>
              </w:rPr>
            </w:pPr>
            <w:r w:rsidRPr="005C3B55">
              <w:rPr>
                <w:b/>
                <w:sz w:val="16"/>
              </w:rPr>
              <w:t>500.00</w:t>
            </w:r>
          </w:p>
        </w:tc>
      </w:tr>
    </w:tbl>
    <w:p w:rsidR="00C21266" w:rsidRPr="005C3B55" w:rsidRDefault="00C21266" w:rsidP="00C21266">
      <w:pPr>
        <w:jc w:val="center"/>
        <w:rPr>
          <w:rFonts w:eastAsia="Calibri"/>
          <w:sz w:val="16"/>
          <w:szCs w:val="22"/>
          <w:lang w:eastAsia="en-GB" w:bidi="en-GB"/>
        </w:rPr>
      </w:pPr>
    </w:p>
    <w:p w:rsidR="00C21266" w:rsidRPr="005C3B55" w:rsidRDefault="00C21266" w:rsidP="00C21266">
      <w:pPr>
        <w:rPr>
          <w:sz w:val="16"/>
        </w:rPr>
      </w:pPr>
      <w:r w:rsidRPr="005C3B55">
        <w:rPr>
          <w:sz w:val="16"/>
        </w:rPr>
        <w:t>Planned impact indicators for the 2014-2020 period</w:t>
      </w:r>
    </w:p>
    <w:tbl>
      <w:tblPr>
        <w:tblStyle w:val="Navadnatabela1"/>
        <w:tblW w:w="5000"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63"/>
        <w:gridCol w:w="4262"/>
        <w:gridCol w:w="2131"/>
      </w:tblGrid>
      <w:tr w:rsidR="00C21266" w:rsidRPr="005C3B55">
        <w:trPr>
          <w:trHeight w:val="464"/>
        </w:trPr>
        <w:tc>
          <w:tcPr>
            <w:tcW w:w="2000" w:type="pct"/>
            <w:tcBorders>
              <w:top w:val="single" w:sz="4" w:space="0" w:color="auto"/>
              <w:left w:val="single" w:sz="4" w:space="0" w:color="auto"/>
              <w:bottom w:val="nil"/>
              <w:right w:val="single" w:sz="4" w:space="0" w:color="auto"/>
            </w:tcBorders>
            <w:shd w:val="clear" w:color="auto" w:fill="C0C0C0"/>
            <w:tcMar>
              <w:top w:w="60" w:type="dxa"/>
              <w:left w:w="108" w:type="dxa"/>
              <w:bottom w:w="0" w:type="dxa"/>
              <w:right w:w="108" w:type="dxa"/>
            </w:tcMar>
            <w:vAlign w:val="center"/>
          </w:tcPr>
          <w:p w:rsidR="00C21266" w:rsidRPr="005C3B55" w:rsidRDefault="00C21266">
            <w:pPr>
              <w:spacing w:after="200"/>
              <w:jc w:val="center"/>
              <w:rPr>
                <w:rFonts w:eastAsia="Calibri"/>
                <w:b/>
                <w:sz w:val="20"/>
                <w:lang w:eastAsia="en-GB" w:bidi="en-GB"/>
              </w:rPr>
            </w:pPr>
            <w:r w:rsidRPr="005C3B55">
              <w:rPr>
                <w:b/>
                <w:sz w:val="20"/>
              </w:rPr>
              <w:t>Name of the measure</w:t>
            </w:r>
          </w:p>
        </w:tc>
        <w:tc>
          <w:tcPr>
            <w:tcW w:w="2000" w:type="pct"/>
            <w:tcBorders>
              <w:top w:val="single" w:sz="4" w:space="0" w:color="auto"/>
              <w:left w:val="single" w:sz="4" w:space="0" w:color="auto"/>
              <w:bottom w:val="nil"/>
              <w:right w:val="single" w:sz="4" w:space="0" w:color="auto"/>
            </w:tcBorders>
            <w:shd w:val="clear" w:color="auto" w:fill="C0C0C0"/>
            <w:tcMar>
              <w:top w:w="60" w:type="dxa"/>
              <w:left w:w="108" w:type="dxa"/>
              <w:bottom w:w="0" w:type="dxa"/>
              <w:right w:w="108" w:type="dxa"/>
            </w:tcMar>
            <w:vAlign w:val="center"/>
          </w:tcPr>
          <w:p w:rsidR="00C21266" w:rsidRPr="005C3B55" w:rsidRDefault="00C21266">
            <w:pPr>
              <w:spacing w:after="200"/>
              <w:jc w:val="center"/>
              <w:rPr>
                <w:rFonts w:eastAsia="Calibri"/>
                <w:b/>
                <w:sz w:val="20"/>
                <w:lang w:eastAsia="en-GB" w:bidi="en-GB"/>
              </w:rPr>
            </w:pPr>
            <w:r w:rsidRPr="005C3B55">
              <w:rPr>
                <w:b/>
                <w:sz w:val="20"/>
              </w:rPr>
              <w:t>Indication of the indicator</w:t>
            </w:r>
          </w:p>
        </w:tc>
        <w:tc>
          <w:tcPr>
            <w:tcW w:w="1000" w:type="pct"/>
            <w:tcBorders>
              <w:top w:val="single" w:sz="4" w:space="0" w:color="auto"/>
              <w:left w:val="single" w:sz="4" w:space="0" w:color="auto"/>
              <w:bottom w:val="nil"/>
              <w:right w:val="single" w:sz="4" w:space="0" w:color="auto"/>
            </w:tcBorders>
            <w:shd w:val="clear" w:color="auto" w:fill="C0C0C0"/>
            <w:tcMar>
              <w:top w:w="60" w:type="dxa"/>
              <w:left w:w="108" w:type="dxa"/>
              <w:bottom w:w="0" w:type="dxa"/>
              <w:right w:w="108" w:type="dxa"/>
            </w:tcMar>
            <w:vAlign w:val="center"/>
          </w:tcPr>
          <w:p w:rsidR="00C21266" w:rsidRPr="005C3B55" w:rsidRDefault="00C21266">
            <w:pPr>
              <w:spacing w:after="200"/>
              <w:jc w:val="center"/>
              <w:rPr>
                <w:rFonts w:eastAsia="Calibri"/>
                <w:b/>
                <w:sz w:val="20"/>
                <w:lang w:eastAsia="en-GB" w:bidi="en-GB"/>
              </w:rPr>
            </w:pPr>
            <w:r w:rsidRPr="005C3B55">
              <w:rPr>
                <w:b/>
                <w:sz w:val="20"/>
              </w:rPr>
              <w:t>Value</w:t>
            </w:r>
          </w:p>
        </w:tc>
      </w:tr>
      <w:tr w:rsidR="00C21266" w:rsidRPr="005C3B55">
        <w:trPr>
          <w:trHeight w:val="232"/>
        </w:trPr>
        <w:tc>
          <w:tcPr>
            <w:tcW w:w="2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b/>
                <w:sz w:val="16"/>
                <w:lang w:eastAsia="en-GB" w:bidi="en-GB"/>
              </w:rPr>
            </w:pPr>
            <w:r w:rsidRPr="005C3B55">
              <w:rPr>
                <w:b/>
                <w:sz w:val="16"/>
              </w:rPr>
              <w:t>M06 – Farm and business development (Article 19)</w:t>
            </w:r>
          </w:p>
        </w:tc>
        <w:tc>
          <w:tcPr>
            <w:tcW w:w="2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sz w:val="16"/>
                <w:lang w:eastAsia="en-GB" w:bidi="en-GB"/>
              </w:rPr>
            </w:pPr>
            <w:r w:rsidRPr="005C3B55">
              <w:rPr>
                <w:sz w:val="16"/>
              </w:rPr>
              <w:t>Number of beneficiaries (holdings) receiving support for launching of activities/support for investments in non-agricultural activities in rural areas (6.2 and 6.4)</w:t>
            </w:r>
          </w:p>
        </w:tc>
        <w:tc>
          <w:tcPr>
            <w:tcW w:w="1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jc w:val="right"/>
              <w:rPr>
                <w:rFonts w:eastAsia="Calibri"/>
                <w:sz w:val="16"/>
                <w:lang w:eastAsia="en-GB" w:bidi="en-GB"/>
              </w:rPr>
            </w:pPr>
            <w:r w:rsidRPr="005C3B55">
              <w:rPr>
                <w:sz w:val="16"/>
              </w:rPr>
              <w:t>640.00</w:t>
            </w:r>
          </w:p>
        </w:tc>
      </w:tr>
      <w:tr w:rsidR="00C21266" w:rsidRPr="005C3B55">
        <w:trPr>
          <w:trHeight w:val="232"/>
        </w:trPr>
        <w:tc>
          <w:tcPr>
            <w:tcW w:w="2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b/>
                <w:sz w:val="16"/>
                <w:lang w:eastAsia="en-GB" w:bidi="en-GB"/>
              </w:rPr>
            </w:pPr>
            <w:r w:rsidRPr="005C3B55">
              <w:rPr>
                <w:b/>
                <w:sz w:val="16"/>
              </w:rPr>
              <w:t>M06 – Farm and business development (Article 19)</w:t>
            </w:r>
          </w:p>
        </w:tc>
        <w:tc>
          <w:tcPr>
            <w:tcW w:w="2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sz w:val="16"/>
                <w:lang w:eastAsia="en-GB" w:bidi="en-GB"/>
              </w:rPr>
            </w:pPr>
            <w:r w:rsidRPr="005C3B55">
              <w:rPr>
                <w:sz w:val="16"/>
              </w:rPr>
              <w:t>Total investments in EUR (public and private)</w:t>
            </w:r>
          </w:p>
        </w:tc>
        <w:tc>
          <w:tcPr>
            <w:tcW w:w="1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jc w:val="right"/>
              <w:rPr>
                <w:rFonts w:eastAsia="Calibri"/>
                <w:sz w:val="16"/>
                <w:lang w:eastAsia="en-GB" w:bidi="en-GB"/>
              </w:rPr>
            </w:pPr>
            <w:r w:rsidRPr="005C3B55">
              <w:rPr>
                <w:sz w:val="16"/>
              </w:rPr>
              <w:t>132,000,000.00</w:t>
            </w:r>
          </w:p>
        </w:tc>
      </w:tr>
      <w:tr w:rsidR="00C21266" w:rsidRPr="005C3B55">
        <w:trPr>
          <w:trHeight w:val="232"/>
        </w:trPr>
        <w:tc>
          <w:tcPr>
            <w:tcW w:w="2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b/>
                <w:sz w:val="16"/>
                <w:lang w:eastAsia="en-GB" w:bidi="en-GB"/>
              </w:rPr>
            </w:pPr>
            <w:r w:rsidRPr="005C3B55">
              <w:rPr>
                <w:b/>
                <w:sz w:val="16"/>
              </w:rPr>
              <w:t>M06 – Farm and business development (Article 19)</w:t>
            </w:r>
          </w:p>
        </w:tc>
        <w:tc>
          <w:tcPr>
            <w:tcW w:w="2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sz w:val="16"/>
                <w:lang w:eastAsia="en-GB" w:bidi="en-GB"/>
              </w:rPr>
            </w:pPr>
            <w:r w:rsidRPr="005C3B55">
              <w:rPr>
                <w:sz w:val="16"/>
              </w:rPr>
              <w:t>Total public expenditures in EUR</w:t>
            </w:r>
          </w:p>
        </w:tc>
        <w:tc>
          <w:tcPr>
            <w:tcW w:w="1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jc w:val="right"/>
              <w:rPr>
                <w:rFonts w:eastAsia="Calibri"/>
                <w:sz w:val="16"/>
                <w:lang w:eastAsia="en-GB" w:bidi="en-GB"/>
              </w:rPr>
            </w:pPr>
            <w:r w:rsidRPr="005C3B55">
              <w:rPr>
                <w:sz w:val="16"/>
              </w:rPr>
              <w:t>64,693,333.33</w:t>
            </w:r>
          </w:p>
        </w:tc>
      </w:tr>
      <w:tr w:rsidR="00C21266" w:rsidRPr="005C3B55">
        <w:trPr>
          <w:trHeight w:val="232"/>
        </w:trPr>
        <w:tc>
          <w:tcPr>
            <w:tcW w:w="2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sz w:val="16"/>
                <w:lang w:eastAsia="en-GB" w:bidi="en-GB"/>
              </w:rPr>
            </w:pPr>
            <w:r w:rsidRPr="005C3B55">
              <w:rPr>
                <w:sz w:val="16"/>
              </w:rPr>
              <w:t>M08 – Investments in forest area development and improvement of the viability of forests (Articles 21-26)</w:t>
            </w:r>
          </w:p>
        </w:tc>
        <w:tc>
          <w:tcPr>
            <w:tcW w:w="2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sz w:val="16"/>
                <w:lang w:eastAsia="en-GB" w:bidi="en-GB"/>
              </w:rPr>
            </w:pPr>
            <w:r w:rsidRPr="005C3B55">
              <w:rPr>
                <w:sz w:val="16"/>
              </w:rPr>
              <w:t>Total public expenditures in EUR (8.1)</w:t>
            </w:r>
          </w:p>
        </w:tc>
        <w:tc>
          <w:tcPr>
            <w:tcW w:w="1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jc w:val="right"/>
              <w:rPr>
                <w:rFonts w:eastAsia="Calibri"/>
                <w:sz w:val="16"/>
                <w:lang w:eastAsia="en-GB" w:bidi="en-GB"/>
              </w:rPr>
            </w:pPr>
            <w:r w:rsidRPr="005C3B55">
              <w:rPr>
                <w:sz w:val="16"/>
              </w:rPr>
              <w:t>0.00</w:t>
            </w:r>
          </w:p>
        </w:tc>
      </w:tr>
      <w:tr w:rsidR="00C21266" w:rsidRPr="005C3B55">
        <w:trPr>
          <w:trHeight w:val="232"/>
        </w:trPr>
        <w:tc>
          <w:tcPr>
            <w:tcW w:w="2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sz w:val="16"/>
                <w:lang w:eastAsia="en-GB" w:bidi="en-GB"/>
              </w:rPr>
            </w:pPr>
            <w:r w:rsidRPr="005C3B55">
              <w:rPr>
                <w:sz w:val="16"/>
              </w:rPr>
              <w:t>M08 – Investments in forest area development and improvement of the viability of forests (Articles 21-26)</w:t>
            </w:r>
          </w:p>
        </w:tc>
        <w:tc>
          <w:tcPr>
            <w:tcW w:w="2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sz w:val="16"/>
                <w:lang w:eastAsia="en-GB" w:bidi="en-GB"/>
              </w:rPr>
            </w:pPr>
            <w:r w:rsidRPr="005C3B55">
              <w:rPr>
                <w:sz w:val="16"/>
              </w:rPr>
              <w:t>Total public expenditures in EUR (8.2)</w:t>
            </w:r>
          </w:p>
        </w:tc>
        <w:tc>
          <w:tcPr>
            <w:tcW w:w="1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jc w:val="right"/>
              <w:rPr>
                <w:rFonts w:eastAsia="Calibri"/>
                <w:sz w:val="16"/>
                <w:lang w:eastAsia="en-GB" w:bidi="en-GB"/>
              </w:rPr>
            </w:pPr>
            <w:r w:rsidRPr="005C3B55">
              <w:rPr>
                <w:sz w:val="16"/>
              </w:rPr>
              <w:t>0.00</w:t>
            </w:r>
          </w:p>
        </w:tc>
      </w:tr>
      <w:tr w:rsidR="00C21266" w:rsidRPr="005C3B55">
        <w:trPr>
          <w:trHeight w:val="232"/>
        </w:trPr>
        <w:tc>
          <w:tcPr>
            <w:tcW w:w="2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sz w:val="16"/>
                <w:lang w:eastAsia="en-GB" w:bidi="en-GB"/>
              </w:rPr>
            </w:pPr>
            <w:r w:rsidRPr="005C3B55">
              <w:rPr>
                <w:sz w:val="16"/>
              </w:rPr>
              <w:t>M08 – Investments in forest area development and improvement of the viability of forests (Articles 21-26)</w:t>
            </w:r>
          </w:p>
        </w:tc>
        <w:tc>
          <w:tcPr>
            <w:tcW w:w="2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sz w:val="16"/>
                <w:lang w:eastAsia="en-GB" w:bidi="en-GB"/>
              </w:rPr>
            </w:pPr>
            <w:r w:rsidRPr="005C3B55">
              <w:rPr>
                <w:sz w:val="16"/>
              </w:rPr>
              <w:t>Total public expenditures in EUR (8.3)</w:t>
            </w:r>
          </w:p>
        </w:tc>
        <w:tc>
          <w:tcPr>
            <w:tcW w:w="1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jc w:val="right"/>
              <w:rPr>
                <w:rFonts w:eastAsia="Calibri"/>
                <w:sz w:val="16"/>
                <w:lang w:eastAsia="en-GB" w:bidi="en-GB"/>
              </w:rPr>
            </w:pPr>
            <w:r w:rsidRPr="005C3B55">
              <w:rPr>
                <w:sz w:val="16"/>
              </w:rPr>
              <w:t>0.00</w:t>
            </w:r>
          </w:p>
        </w:tc>
      </w:tr>
      <w:tr w:rsidR="00C21266" w:rsidRPr="005C3B55">
        <w:trPr>
          <w:trHeight w:val="232"/>
        </w:trPr>
        <w:tc>
          <w:tcPr>
            <w:tcW w:w="2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sz w:val="16"/>
                <w:lang w:eastAsia="en-GB" w:bidi="en-GB"/>
              </w:rPr>
            </w:pPr>
            <w:r w:rsidRPr="005C3B55">
              <w:rPr>
                <w:sz w:val="16"/>
              </w:rPr>
              <w:t>M08 – Investments in forest area development and improvement of the viability of forests (Articles 21-26)</w:t>
            </w:r>
          </w:p>
        </w:tc>
        <w:tc>
          <w:tcPr>
            <w:tcW w:w="2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sz w:val="16"/>
                <w:lang w:eastAsia="en-GB" w:bidi="en-GB"/>
              </w:rPr>
            </w:pPr>
            <w:r w:rsidRPr="005C3B55">
              <w:rPr>
                <w:sz w:val="16"/>
              </w:rPr>
              <w:t>Total public expenditures in EUR (8.4)</w:t>
            </w:r>
          </w:p>
        </w:tc>
        <w:tc>
          <w:tcPr>
            <w:tcW w:w="1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jc w:val="right"/>
              <w:rPr>
                <w:rFonts w:eastAsia="Calibri"/>
                <w:sz w:val="16"/>
                <w:lang w:eastAsia="en-GB" w:bidi="en-GB"/>
              </w:rPr>
            </w:pPr>
            <w:r w:rsidRPr="005C3B55">
              <w:rPr>
                <w:sz w:val="16"/>
              </w:rPr>
              <w:t>0.00</w:t>
            </w:r>
          </w:p>
        </w:tc>
      </w:tr>
      <w:tr w:rsidR="00C21266" w:rsidRPr="005C3B55">
        <w:trPr>
          <w:trHeight w:val="232"/>
        </w:trPr>
        <w:tc>
          <w:tcPr>
            <w:tcW w:w="2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b/>
                <w:sz w:val="16"/>
                <w:lang w:eastAsia="en-GB" w:bidi="en-GB"/>
              </w:rPr>
            </w:pPr>
            <w:r w:rsidRPr="005C3B55">
              <w:rPr>
                <w:b/>
                <w:sz w:val="16"/>
              </w:rPr>
              <w:t>M08 – Investments in forest area development and improvement of the viability of forests (Articles 21-26)</w:t>
            </w:r>
          </w:p>
        </w:tc>
        <w:tc>
          <w:tcPr>
            <w:tcW w:w="2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sz w:val="16"/>
                <w:lang w:eastAsia="en-GB" w:bidi="en-GB"/>
              </w:rPr>
            </w:pPr>
            <w:r w:rsidRPr="005C3B55">
              <w:rPr>
                <w:sz w:val="16"/>
              </w:rPr>
              <w:t>Total public expenditures in EUR (8.5)</w:t>
            </w:r>
          </w:p>
        </w:tc>
        <w:tc>
          <w:tcPr>
            <w:tcW w:w="1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jc w:val="right"/>
              <w:rPr>
                <w:rFonts w:eastAsia="Calibri"/>
                <w:sz w:val="16"/>
                <w:lang w:eastAsia="en-GB" w:bidi="en-GB"/>
              </w:rPr>
            </w:pPr>
            <w:r w:rsidRPr="005C3B55">
              <w:rPr>
                <w:sz w:val="16"/>
              </w:rPr>
              <w:t>0.00</w:t>
            </w:r>
          </w:p>
        </w:tc>
      </w:tr>
      <w:tr w:rsidR="00C21266" w:rsidRPr="005C3B55">
        <w:trPr>
          <w:trHeight w:val="232"/>
        </w:trPr>
        <w:tc>
          <w:tcPr>
            <w:tcW w:w="2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b/>
                <w:sz w:val="16"/>
                <w:lang w:eastAsia="en-GB" w:bidi="en-GB"/>
              </w:rPr>
            </w:pPr>
            <w:r w:rsidRPr="005C3B55">
              <w:rPr>
                <w:b/>
                <w:sz w:val="16"/>
              </w:rPr>
              <w:t>M08 – Investments in forest area development and improvement of the viability of forests (Articles 21-26)</w:t>
            </w:r>
          </w:p>
        </w:tc>
        <w:tc>
          <w:tcPr>
            <w:tcW w:w="2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sz w:val="16"/>
                <w:lang w:eastAsia="en-GB" w:bidi="en-GB"/>
              </w:rPr>
            </w:pPr>
            <w:r w:rsidRPr="005C3B55">
              <w:rPr>
                <w:sz w:val="16"/>
              </w:rPr>
              <w:t>Total public expenditures in EUR (8.6)</w:t>
            </w:r>
          </w:p>
        </w:tc>
        <w:tc>
          <w:tcPr>
            <w:tcW w:w="1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jc w:val="right"/>
              <w:rPr>
                <w:rFonts w:eastAsia="Calibri"/>
                <w:sz w:val="16"/>
                <w:lang w:eastAsia="en-GB" w:bidi="en-GB"/>
              </w:rPr>
            </w:pPr>
            <w:r w:rsidRPr="005C3B55">
              <w:rPr>
                <w:sz w:val="16"/>
              </w:rPr>
              <w:t>39,026,666.67</w:t>
            </w:r>
          </w:p>
        </w:tc>
      </w:tr>
      <w:tr w:rsidR="00C21266" w:rsidRPr="005C3B55">
        <w:trPr>
          <w:trHeight w:val="232"/>
        </w:trPr>
        <w:tc>
          <w:tcPr>
            <w:tcW w:w="2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b/>
                <w:sz w:val="16"/>
                <w:lang w:eastAsia="en-GB" w:bidi="en-GB"/>
              </w:rPr>
            </w:pPr>
            <w:r w:rsidRPr="005C3B55">
              <w:rPr>
                <w:b/>
                <w:sz w:val="16"/>
              </w:rPr>
              <w:t>M08 – Investments in forest area development and improvement of the viability of forests (Articles 21-26)</w:t>
            </w:r>
          </w:p>
        </w:tc>
        <w:tc>
          <w:tcPr>
            <w:tcW w:w="2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sz w:val="16"/>
                <w:lang w:eastAsia="en-GB" w:bidi="en-GB"/>
              </w:rPr>
            </w:pPr>
            <w:r w:rsidRPr="005C3B55">
              <w:rPr>
                <w:sz w:val="16"/>
              </w:rPr>
              <w:t>Number of operations for investments in forestry technologies and primary processing/marketing (8.6)</w:t>
            </w:r>
          </w:p>
        </w:tc>
        <w:tc>
          <w:tcPr>
            <w:tcW w:w="1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jc w:val="right"/>
              <w:rPr>
                <w:rFonts w:eastAsia="Calibri"/>
                <w:sz w:val="16"/>
                <w:lang w:eastAsia="en-GB" w:bidi="en-GB"/>
              </w:rPr>
            </w:pPr>
            <w:r w:rsidRPr="005C3B55">
              <w:rPr>
                <w:sz w:val="16"/>
              </w:rPr>
              <w:t>228.00</w:t>
            </w:r>
          </w:p>
        </w:tc>
      </w:tr>
      <w:tr w:rsidR="00C21266" w:rsidRPr="005C3B55">
        <w:tc>
          <w:tcPr>
            <w:tcW w:w="2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b/>
                <w:sz w:val="16"/>
                <w:lang w:eastAsia="en-GB" w:bidi="en-GB"/>
              </w:rPr>
            </w:pPr>
            <w:r w:rsidRPr="005C3B55">
              <w:rPr>
                <w:b/>
                <w:sz w:val="16"/>
              </w:rPr>
              <w:t>M08 – Investments in forest area development and improvement of the viability of forests (Articles 21-26)</w:t>
            </w:r>
          </w:p>
        </w:tc>
        <w:tc>
          <w:tcPr>
            <w:tcW w:w="2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sz w:val="16"/>
                <w:lang w:eastAsia="en-GB" w:bidi="en-GB"/>
              </w:rPr>
            </w:pPr>
            <w:r w:rsidRPr="005C3B55">
              <w:rPr>
                <w:sz w:val="16"/>
              </w:rPr>
              <w:t>Total investments in EUR (public and private) (8.6)</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jc w:val="right"/>
              <w:rPr>
                <w:rFonts w:eastAsia="Calibri"/>
                <w:sz w:val="16"/>
                <w:lang w:eastAsia="en-GB" w:bidi="en-GB"/>
              </w:rPr>
            </w:pPr>
            <w:r w:rsidRPr="005C3B55">
              <w:rPr>
                <w:sz w:val="16"/>
              </w:rPr>
              <w:t>92,690,539.69</w:t>
            </w:r>
          </w:p>
        </w:tc>
      </w:tr>
      <w:tr w:rsidR="00C21266" w:rsidRPr="005C3B55">
        <w:tc>
          <w:tcPr>
            <w:tcW w:w="2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b/>
                <w:sz w:val="16"/>
                <w:lang w:eastAsia="en-GB" w:bidi="en-GB"/>
              </w:rPr>
            </w:pPr>
            <w:r w:rsidRPr="005C3B55">
              <w:rPr>
                <w:b/>
                <w:sz w:val="16"/>
              </w:rPr>
              <w:t>M16 – Cooperation (Article 35)</w:t>
            </w:r>
          </w:p>
        </w:tc>
        <w:tc>
          <w:tcPr>
            <w:tcW w:w="2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sz w:val="16"/>
                <w:lang w:eastAsia="en-GB" w:bidi="en-GB"/>
              </w:rPr>
            </w:pPr>
            <w:r w:rsidRPr="005C3B55">
              <w:rPr>
                <w:sz w:val="16"/>
              </w:rPr>
              <w:t>Total public expenditures in EUR (16.1-16.9)</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jc w:val="right"/>
              <w:rPr>
                <w:rFonts w:eastAsia="Calibri"/>
                <w:sz w:val="16"/>
                <w:lang w:eastAsia="en-GB" w:bidi="en-GB"/>
              </w:rPr>
            </w:pPr>
            <w:r w:rsidRPr="005C3B55">
              <w:rPr>
                <w:sz w:val="16"/>
              </w:rPr>
              <w:t>1,905,937.50</w:t>
            </w:r>
          </w:p>
        </w:tc>
      </w:tr>
    </w:tbl>
    <w:p w:rsidR="00C21266" w:rsidRPr="005C3B55" w:rsidRDefault="00C21266" w:rsidP="00C21266">
      <w:pPr>
        <w:spacing w:after="0"/>
        <w:rPr>
          <w:sz w:val="16"/>
        </w:rPr>
        <w:sectPr w:rsidR="00C21266" w:rsidRPr="005C3B55">
          <w:pgSz w:w="12240" w:h="15840"/>
          <w:pgMar w:top="900" w:right="900" w:bottom="900" w:left="900" w:header="708" w:footer="708" w:gutter="0"/>
          <w:cols w:space="708"/>
        </w:sectPr>
      </w:pPr>
    </w:p>
    <w:p w:rsidR="00C21266" w:rsidRPr="005C3B55" w:rsidRDefault="00C21266" w:rsidP="00C21266">
      <w:pPr>
        <w:pStyle w:val="Naslov4"/>
        <w:tabs>
          <w:tab w:val="clear" w:pos="765"/>
        </w:tabs>
        <w:ind w:left="0" w:firstLine="0"/>
        <w:jc w:val="left"/>
        <w:rPr>
          <w:i w:val="0"/>
          <w:sz w:val="16"/>
          <w:lang w:val="en-GB" w:eastAsia="en-GB" w:bidi="en-GB"/>
        </w:rPr>
      </w:pPr>
      <w:r w:rsidRPr="005C3B55">
        <w:rPr>
          <w:i w:val="0"/>
          <w:sz w:val="16"/>
          <w:lang w:val="en-GB"/>
        </w:rPr>
        <w:t xml:space="preserve">6B) </w:t>
      </w:r>
      <w:r w:rsidRPr="005C3B55">
        <w:rPr>
          <w:b/>
          <w:i w:val="0"/>
          <w:sz w:val="16"/>
          <w:lang w:val="en-GB"/>
        </w:rPr>
        <w:t>Promoting local development in rural areas</w:t>
      </w:r>
    </w:p>
    <w:p w:rsidR="00C21266" w:rsidRPr="005C3B55" w:rsidRDefault="00C21266" w:rsidP="00C21266">
      <w:pPr>
        <w:rPr>
          <w:sz w:val="16"/>
        </w:rPr>
      </w:pPr>
      <w:r w:rsidRPr="005C3B55">
        <w:rPr>
          <w:sz w:val="16"/>
        </w:rPr>
        <w:t>Target indicators for the 2014-2020 period</w:t>
      </w:r>
    </w:p>
    <w:tbl>
      <w:tblPr>
        <w:tblStyle w:val="Navadnatabela1"/>
        <w:tblW w:w="5000"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25"/>
        <w:gridCol w:w="2131"/>
      </w:tblGrid>
      <w:tr w:rsidR="00C21266" w:rsidRPr="005C3B55">
        <w:trPr>
          <w:trHeight w:val="464"/>
        </w:trPr>
        <w:tc>
          <w:tcPr>
            <w:tcW w:w="1000" w:type="pct"/>
            <w:tcBorders>
              <w:top w:val="single" w:sz="4" w:space="0" w:color="auto"/>
              <w:left w:val="single" w:sz="4" w:space="0" w:color="auto"/>
              <w:bottom w:val="nil"/>
              <w:right w:val="single" w:sz="4" w:space="0" w:color="auto"/>
            </w:tcBorders>
            <w:shd w:val="clear" w:color="auto" w:fill="C0C0C0"/>
            <w:tcMar>
              <w:top w:w="60" w:type="dxa"/>
              <w:left w:w="108" w:type="dxa"/>
              <w:bottom w:w="0" w:type="dxa"/>
              <w:right w:w="108" w:type="dxa"/>
            </w:tcMar>
            <w:vAlign w:val="center"/>
          </w:tcPr>
          <w:p w:rsidR="00C21266" w:rsidRPr="005C3B55" w:rsidRDefault="00C21266">
            <w:pPr>
              <w:spacing w:after="200"/>
              <w:jc w:val="center"/>
              <w:rPr>
                <w:rFonts w:eastAsia="Calibri"/>
                <w:b/>
                <w:sz w:val="20"/>
                <w:lang w:eastAsia="en-GB" w:bidi="en-GB"/>
              </w:rPr>
            </w:pPr>
            <w:r w:rsidRPr="005C3B55">
              <w:rPr>
                <w:b/>
                <w:sz w:val="20"/>
              </w:rPr>
              <w:t>Indication of the target indicator</w:t>
            </w:r>
          </w:p>
        </w:tc>
        <w:tc>
          <w:tcPr>
            <w:tcW w:w="1000" w:type="pct"/>
            <w:tcBorders>
              <w:top w:val="single" w:sz="4" w:space="0" w:color="auto"/>
              <w:left w:val="single" w:sz="4" w:space="0" w:color="auto"/>
              <w:bottom w:val="nil"/>
              <w:right w:val="single" w:sz="4" w:space="0" w:color="auto"/>
            </w:tcBorders>
            <w:shd w:val="clear" w:color="auto" w:fill="C0C0C0"/>
            <w:tcMar>
              <w:top w:w="60" w:type="dxa"/>
              <w:left w:w="108" w:type="dxa"/>
              <w:bottom w:w="0" w:type="dxa"/>
              <w:right w:w="108" w:type="dxa"/>
            </w:tcMar>
            <w:vAlign w:val="center"/>
          </w:tcPr>
          <w:p w:rsidR="00C21266" w:rsidRPr="005C3B55" w:rsidRDefault="00C21266">
            <w:pPr>
              <w:spacing w:after="200"/>
              <w:jc w:val="center"/>
              <w:rPr>
                <w:rFonts w:eastAsia="Calibri"/>
                <w:b/>
                <w:sz w:val="20"/>
                <w:lang w:eastAsia="en-GB" w:bidi="en-GB"/>
              </w:rPr>
            </w:pPr>
            <w:r w:rsidRPr="005C3B55">
              <w:rPr>
                <w:b/>
                <w:sz w:val="20"/>
              </w:rPr>
              <w:t>Target value for 2023</w:t>
            </w:r>
          </w:p>
        </w:tc>
      </w:tr>
      <w:tr w:rsidR="00C21266" w:rsidRPr="005C3B55">
        <w:trPr>
          <w:trHeight w:val="232"/>
        </w:trPr>
        <w:tc>
          <w:tcPr>
            <w:tcW w:w="4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sz w:val="16"/>
                <w:lang w:eastAsia="en-GB" w:bidi="en-GB"/>
              </w:rPr>
            </w:pPr>
            <w:r w:rsidRPr="005C3B55">
              <w:rPr>
                <w:sz w:val="16"/>
              </w:rPr>
              <w:t>Net population receiving improved services</w:t>
            </w:r>
          </w:p>
        </w:tc>
        <w:tc>
          <w:tcPr>
            <w:tcW w:w="1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jc w:val="right"/>
              <w:rPr>
                <w:rFonts w:eastAsia="Calibri"/>
                <w:sz w:val="16"/>
                <w:lang w:eastAsia="en-GB" w:bidi="en-GB"/>
              </w:rPr>
            </w:pPr>
            <w:r w:rsidRPr="005C3B55">
              <w:rPr>
                <w:sz w:val="16"/>
              </w:rPr>
              <w:t>0.00</w:t>
            </w:r>
          </w:p>
        </w:tc>
      </w:tr>
      <w:tr w:rsidR="00C21266" w:rsidRPr="005C3B55">
        <w:trPr>
          <w:trHeight w:val="232"/>
        </w:trPr>
        <w:tc>
          <w:tcPr>
            <w:tcW w:w="4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b/>
                <w:sz w:val="16"/>
                <w:lang w:eastAsia="en-GB" w:bidi="en-GB"/>
              </w:rPr>
            </w:pPr>
            <w:r w:rsidRPr="005C3B55">
              <w:rPr>
                <w:b/>
                <w:sz w:val="16"/>
              </w:rPr>
              <w:t>T21: Percentage of rural population included in the local development strategies (priority area 6B)</w:t>
            </w:r>
          </w:p>
        </w:tc>
        <w:tc>
          <w:tcPr>
            <w:tcW w:w="1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jc w:val="right"/>
              <w:rPr>
                <w:rFonts w:eastAsia="Calibri"/>
                <w:b/>
                <w:sz w:val="16"/>
                <w:lang w:eastAsia="en-GB" w:bidi="en-GB"/>
              </w:rPr>
            </w:pPr>
            <w:r w:rsidRPr="005C3B55">
              <w:rPr>
                <w:b/>
                <w:sz w:val="16"/>
              </w:rPr>
              <w:t>65.57</w:t>
            </w:r>
          </w:p>
        </w:tc>
      </w:tr>
      <w:tr w:rsidR="00C21266" w:rsidRPr="005C3B55">
        <w:trPr>
          <w:trHeight w:val="232"/>
        </w:trPr>
        <w:tc>
          <w:tcPr>
            <w:tcW w:w="4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sz w:val="16"/>
                <w:lang w:eastAsia="en-GB" w:bidi="en-GB"/>
              </w:rPr>
            </w:pPr>
            <w:r w:rsidRPr="005C3B55">
              <w:rPr>
                <w:sz w:val="16"/>
              </w:rPr>
              <w:t>Rural population included in the local development strategies (priority area 6B)</w:t>
            </w:r>
          </w:p>
        </w:tc>
        <w:tc>
          <w:tcPr>
            <w:tcW w:w="1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jc w:val="right"/>
              <w:rPr>
                <w:rFonts w:eastAsia="Calibri"/>
                <w:sz w:val="16"/>
                <w:lang w:eastAsia="en-GB" w:bidi="en-GB"/>
              </w:rPr>
            </w:pPr>
            <w:r w:rsidRPr="005C3B55">
              <w:rPr>
                <w:sz w:val="16"/>
              </w:rPr>
              <w:t>1,350,000.00</w:t>
            </w:r>
          </w:p>
        </w:tc>
      </w:tr>
      <w:tr w:rsidR="00C21266" w:rsidRPr="005C3B55">
        <w:tc>
          <w:tcPr>
            <w:tcW w:w="4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b/>
                <w:sz w:val="16"/>
                <w:lang w:eastAsia="en-GB" w:bidi="en-GB"/>
              </w:rPr>
            </w:pPr>
            <w:r w:rsidRPr="005C3B55">
              <w:rPr>
                <w:b/>
                <w:sz w:val="16"/>
              </w:rPr>
              <w:t>T22: Percentage of rural population receiving improved services/infrastructure (priority area 6B)</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jc w:val="right"/>
              <w:rPr>
                <w:rFonts w:eastAsia="Calibri"/>
                <w:b/>
                <w:sz w:val="16"/>
                <w:lang w:eastAsia="en-GB" w:bidi="en-GB"/>
              </w:rPr>
            </w:pPr>
            <w:r w:rsidRPr="005C3B55">
              <w:rPr>
                <w:b/>
                <w:sz w:val="16"/>
              </w:rPr>
              <w:t>0.00</w:t>
            </w:r>
          </w:p>
        </w:tc>
      </w:tr>
      <w:tr w:rsidR="00C21266" w:rsidRPr="005C3B55">
        <w:tc>
          <w:tcPr>
            <w:tcW w:w="4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b/>
                <w:sz w:val="16"/>
                <w:lang w:eastAsia="en-GB" w:bidi="en-GB"/>
              </w:rPr>
            </w:pPr>
            <w:r w:rsidRPr="005C3B55">
              <w:rPr>
                <w:b/>
                <w:sz w:val="16"/>
              </w:rPr>
              <w:t>T23: Jobs created with supported projects (Leader) (priority area 6B)</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jc w:val="right"/>
              <w:rPr>
                <w:rFonts w:eastAsia="Calibri"/>
                <w:b/>
                <w:sz w:val="16"/>
                <w:lang w:eastAsia="en-GB" w:bidi="en-GB"/>
              </w:rPr>
            </w:pPr>
            <w:r w:rsidRPr="005C3B55">
              <w:rPr>
                <w:b/>
                <w:sz w:val="16"/>
              </w:rPr>
              <w:t>66.00</w:t>
            </w:r>
          </w:p>
        </w:tc>
      </w:tr>
    </w:tbl>
    <w:p w:rsidR="00C21266" w:rsidRPr="005C3B55" w:rsidRDefault="00C21266" w:rsidP="00C21266">
      <w:pPr>
        <w:jc w:val="center"/>
        <w:rPr>
          <w:rFonts w:eastAsia="Calibri"/>
          <w:sz w:val="16"/>
          <w:szCs w:val="22"/>
          <w:lang w:eastAsia="en-GB" w:bidi="en-GB"/>
        </w:rPr>
      </w:pPr>
    </w:p>
    <w:p w:rsidR="00C21266" w:rsidRPr="005C3B55" w:rsidRDefault="00C21266" w:rsidP="00C21266">
      <w:pPr>
        <w:rPr>
          <w:sz w:val="16"/>
        </w:rPr>
      </w:pPr>
      <w:r w:rsidRPr="005C3B55">
        <w:rPr>
          <w:sz w:val="16"/>
        </w:rPr>
        <w:t>Status indicator used as the denominator for the objective</w:t>
      </w:r>
    </w:p>
    <w:tbl>
      <w:tblPr>
        <w:tblStyle w:val="Navadnatabela1"/>
        <w:tblW w:w="5000"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25"/>
        <w:gridCol w:w="2131"/>
      </w:tblGrid>
      <w:tr w:rsidR="00C21266" w:rsidRPr="005C3B55">
        <w:trPr>
          <w:trHeight w:val="464"/>
        </w:trPr>
        <w:tc>
          <w:tcPr>
            <w:tcW w:w="4000" w:type="pct"/>
            <w:tcBorders>
              <w:top w:val="single" w:sz="4" w:space="0" w:color="auto"/>
              <w:left w:val="single" w:sz="4" w:space="0" w:color="auto"/>
              <w:bottom w:val="nil"/>
              <w:right w:val="single" w:sz="4" w:space="0" w:color="auto"/>
            </w:tcBorders>
            <w:shd w:val="clear" w:color="auto" w:fill="C0C0C0"/>
            <w:tcMar>
              <w:top w:w="60" w:type="dxa"/>
              <w:left w:w="108" w:type="dxa"/>
              <w:bottom w:w="0" w:type="dxa"/>
              <w:right w:w="108" w:type="dxa"/>
            </w:tcMar>
            <w:vAlign w:val="center"/>
          </w:tcPr>
          <w:p w:rsidR="00C21266" w:rsidRPr="005C3B55" w:rsidRDefault="00C21266">
            <w:pPr>
              <w:spacing w:after="200"/>
              <w:jc w:val="center"/>
              <w:rPr>
                <w:rFonts w:eastAsia="Calibri"/>
                <w:b/>
                <w:sz w:val="20"/>
                <w:lang w:eastAsia="en-GB" w:bidi="en-GB"/>
              </w:rPr>
            </w:pPr>
            <w:r w:rsidRPr="005C3B55">
              <w:rPr>
                <w:b/>
                <w:sz w:val="20"/>
              </w:rPr>
              <w:t>Indication of the status indicator</w:t>
            </w:r>
          </w:p>
        </w:tc>
        <w:tc>
          <w:tcPr>
            <w:tcW w:w="1000" w:type="pct"/>
            <w:tcBorders>
              <w:top w:val="single" w:sz="4" w:space="0" w:color="auto"/>
              <w:left w:val="single" w:sz="4" w:space="0" w:color="auto"/>
              <w:bottom w:val="nil"/>
              <w:right w:val="single" w:sz="4" w:space="0" w:color="auto"/>
            </w:tcBorders>
            <w:shd w:val="clear" w:color="auto" w:fill="C0C0C0"/>
            <w:tcMar>
              <w:top w:w="60" w:type="dxa"/>
              <w:left w:w="108" w:type="dxa"/>
              <w:bottom w:w="0" w:type="dxa"/>
              <w:right w:w="108" w:type="dxa"/>
            </w:tcMar>
            <w:vAlign w:val="center"/>
          </w:tcPr>
          <w:p w:rsidR="00C21266" w:rsidRPr="005C3B55" w:rsidRDefault="00C21266">
            <w:pPr>
              <w:spacing w:after="200"/>
              <w:jc w:val="center"/>
              <w:rPr>
                <w:rFonts w:eastAsia="Calibri"/>
                <w:b/>
                <w:sz w:val="20"/>
                <w:lang w:eastAsia="en-GB" w:bidi="en-GB"/>
              </w:rPr>
            </w:pPr>
            <w:r w:rsidRPr="005C3B55">
              <w:rPr>
                <w:b/>
                <w:sz w:val="20"/>
              </w:rPr>
              <w:t>Value in the base year</w:t>
            </w:r>
          </w:p>
        </w:tc>
      </w:tr>
      <w:tr w:rsidR="00C21266" w:rsidRPr="005C3B55">
        <w:trPr>
          <w:trHeight w:val="232"/>
        </w:trPr>
        <w:tc>
          <w:tcPr>
            <w:tcW w:w="1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sz w:val="16"/>
                <w:lang w:eastAsia="en-GB" w:bidi="en-GB"/>
              </w:rPr>
            </w:pPr>
            <w:r w:rsidRPr="005C3B55">
              <w:rPr>
                <w:sz w:val="16"/>
              </w:rPr>
              <w:t>1 Population - rural</w:t>
            </w:r>
          </w:p>
        </w:tc>
        <w:tc>
          <w:tcPr>
            <w:tcW w:w="1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jc w:val="right"/>
              <w:rPr>
                <w:rFonts w:eastAsia="Calibri"/>
                <w:sz w:val="16"/>
                <w:lang w:eastAsia="en-GB" w:bidi="en-GB"/>
              </w:rPr>
            </w:pPr>
            <w:r w:rsidRPr="005C3B55">
              <w:rPr>
                <w:sz w:val="16"/>
              </w:rPr>
              <w:t>43.70</w:t>
            </w:r>
          </w:p>
        </w:tc>
      </w:tr>
      <w:tr w:rsidR="00C21266" w:rsidRPr="005C3B55">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sz w:val="16"/>
                <w:lang w:eastAsia="en-GB" w:bidi="en-GB"/>
              </w:rPr>
            </w:pPr>
            <w:r w:rsidRPr="005C3B55">
              <w:rPr>
                <w:sz w:val="16"/>
              </w:rPr>
              <w:t>1 Population - intermediary</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jc w:val="right"/>
              <w:rPr>
                <w:rFonts w:eastAsia="Calibri"/>
                <w:sz w:val="16"/>
                <w:lang w:eastAsia="en-GB" w:bidi="en-GB"/>
              </w:rPr>
            </w:pPr>
            <w:r w:rsidRPr="005C3B55">
              <w:rPr>
                <w:sz w:val="16"/>
              </w:rPr>
              <w:t>56.30</w:t>
            </w:r>
          </w:p>
        </w:tc>
      </w:tr>
      <w:tr w:rsidR="00C21266" w:rsidRPr="005C3B55">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sz w:val="16"/>
                <w:lang w:eastAsia="en-GB" w:bidi="en-GB"/>
              </w:rPr>
            </w:pPr>
            <w:r w:rsidRPr="005C3B55">
              <w:rPr>
                <w:sz w:val="16"/>
              </w:rPr>
              <w:t>1 Population - in total</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jc w:val="right"/>
              <w:rPr>
                <w:rFonts w:eastAsia="Calibri"/>
                <w:sz w:val="16"/>
                <w:lang w:eastAsia="en-GB" w:bidi="en-GB"/>
              </w:rPr>
            </w:pPr>
            <w:r w:rsidRPr="005C3B55">
              <w:rPr>
                <w:sz w:val="16"/>
              </w:rPr>
              <w:t>2,058,821.00</w:t>
            </w:r>
          </w:p>
        </w:tc>
      </w:tr>
    </w:tbl>
    <w:p w:rsidR="00C21266" w:rsidRPr="005C3B55" w:rsidRDefault="00C21266" w:rsidP="00C21266">
      <w:pPr>
        <w:rPr>
          <w:rFonts w:eastAsia="Calibri"/>
          <w:sz w:val="16"/>
          <w:szCs w:val="22"/>
          <w:lang w:eastAsia="en-GB" w:bidi="en-GB"/>
        </w:rPr>
      </w:pPr>
    </w:p>
    <w:p w:rsidR="00C21266" w:rsidRPr="005C3B55" w:rsidRDefault="00C21266" w:rsidP="00C21266">
      <w:pPr>
        <w:rPr>
          <w:sz w:val="16"/>
        </w:rPr>
      </w:pPr>
      <w:r w:rsidRPr="005C3B55">
        <w:rPr>
          <w:sz w:val="16"/>
        </w:rPr>
        <w:t>Planned impact indicators for the 2014-2020 period</w:t>
      </w:r>
    </w:p>
    <w:tbl>
      <w:tblPr>
        <w:tblStyle w:val="Navadnatabela1"/>
        <w:tblW w:w="5000"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63"/>
        <w:gridCol w:w="4262"/>
        <w:gridCol w:w="2131"/>
      </w:tblGrid>
      <w:tr w:rsidR="00C21266" w:rsidRPr="005C3B55">
        <w:trPr>
          <w:trHeight w:val="464"/>
        </w:trPr>
        <w:tc>
          <w:tcPr>
            <w:tcW w:w="2000" w:type="pct"/>
            <w:tcBorders>
              <w:top w:val="single" w:sz="4" w:space="0" w:color="auto"/>
              <w:left w:val="single" w:sz="4" w:space="0" w:color="auto"/>
              <w:bottom w:val="nil"/>
              <w:right w:val="single" w:sz="4" w:space="0" w:color="auto"/>
            </w:tcBorders>
            <w:shd w:val="clear" w:color="auto" w:fill="C0C0C0"/>
            <w:tcMar>
              <w:top w:w="60" w:type="dxa"/>
              <w:left w:w="108" w:type="dxa"/>
              <w:bottom w:w="0" w:type="dxa"/>
              <w:right w:w="108" w:type="dxa"/>
            </w:tcMar>
            <w:vAlign w:val="center"/>
          </w:tcPr>
          <w:p w:rsidR="00C21266" w:rsidRPr="005C3B55" w:rsidRDefault="00C21266">
            <w:pPr>
              <w:spacing w:after="200"/>
              <w:jc w:val="center"/>
              <w:rPr>
                <w:rFonts w:eastAsia="Calibri"/>
                <w:b/>
                <w:sz w:val="20"/>
                <w:lang w:eastAsia="en-GB" w:bidi="en-GB"/>
              </w:rPr>
            </w:pPr>
            <w:r w:rsidRPr="005C3B55">
              <w:rPr>
                <w:b/>
                <w:sz w:val="20"/>
              </w:rPr>
              <w:t>Name of the measure</w:t>
            </w:r>
          </w:p>
        </w:tc>
        <w:tc>
          <w:tcPr>
            <w:tcW w:w="2000" w:type="pct"/>
            <w:tcBorders>
              <w:top w:val="single" w:sz="4" w:space="0" w:color="auto"/>
              <w:left w:val="single" w:sz="4" w:space="0" w:color="auto"/>
              <w:bottom w:val="nil"/>
              <w:right w:val="single" w:sz="4" w:space="0" w:color="auto"/>
            </w:tcBorders>
            <w:shd w:val="clear" w:color="auto" w:fill="C0C0C0"/>
            <w:tcMar>
              <w:top w:w="60" w:type="dxa"/>
              <w:left w:w="108" w:type="dxa"/>
              <w:bottom w:w="0" w:type="dxa"/>
              <w:right w:w="108" w:type="dxa"/>
            </w:tcMar>
            <w:vAlign w:val="center"/>
          </w:tcPr>
          <w:p w:rsidR="00C21266" w:rsidRPr="005C3B55" w:rsidRDefault="00C21266">
            <w:pPr>
              <w:spacing w:after="200"/>
              <w:jc w:val="center"/>
              <w:rPr>
                <w:rFonts w:eastAsia="Calibri"/>
                <w:b/>
                <w:sz w:val="20"/>
                <w:lang w:eastAsia="en-GB" w:bidi="en-GB"/>
              </w:rPr>
            </w:pPr>
            <w:r w:rsidRPr="005C3B55">
              <w:rPr>
                <w:b/>
                <w:sz w:val="20"/>
              </w:rPr>
              <w:t>Indication of the indicator</w:t>
            </w:r>
          </w:p>
        </w:tc>
        <w:tc>
          <w:tcPr>
            <w:tcW w:w="1000" w:type="pct"/>
            <w:tcBorders>
              <w:top w:val="single" w:sz="4" w:space="0" w:color="auto"/>
              <w:left w:val="single" w:sz="4" w:space="0" w:color="auto"/>
              <w:bottom w:val="nil"/>
              <w:right w:val="single" w:sz="4" w:space="0" w:color="auto"/>
            </w:tcBorders>
            <w:shd w:val="clear" w:color="auto" w:fill="C0C0C0"/>
            <w:tcMar>
              <w:top w:w="60" w:type="dxa"/>
              <w:left w:w="108" w:type="dxa"/>
              <w:bottom w:w="0" w:type="dxa"/>
              <w:right w:w="108" w:type="dxa"/>
            </w:tcMar>
            <w:vAlign w:val="center"/>
          </w:tcPr>
          <w:p w:rsidR="00C21266" w:rsidRPr="005C3B55" w:rsidRDefault="00C21266">
            <w:pPr>
              <w:spacing w:after="200"/>
              <w:jc w:val="center"/>
              <w:rPr>
                <w:rFonts w:eastAsia="Calibri"/>
                <w:b/>
                <w:sz w:val="20"/>
                <w:lang w:eastAsia="en-GB" w:bidi="en-GB"/>
              </w:rPr>
            </w:pPr>
            <w:r w:rsidRPr="005C3B55">
              <w:rPr>
                <w:b/>
                <w:sz w:val="20"/>
              </w:rPr>
              <w:t>Value</w:t>
            </w:r>
          </w:p>
        </w:tc>
      </w:tr>
      <w:tr w:rsidR="00C21266" w:rsidRPr="005C3B55">
        <w:trPr>
          <w:trHeight w:val="232"/>
        </w:trPr>
        <w:tc>
          <w:tcPr>
            <w:tcW w:w="2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b/>
                <w:sz w:val="16"/>
                <w:lang w:eastAsia="en-GB" w:bidi="en-GB"/>
              </w:rPr>
            </w:pPr>
            <w:r w:rsidRPr="005C3B55">
              <w:rPr>
                <w:b/>
                <w:sz w:val="16"/>
              </w:rPr>
              <w:t>M19 – Support for LEADER local development (CLLD – community-led local development) (Article 35 of Regulation (EU) No 1303/2013)</w:t>
            </w:r>
          </w:p>
        </w:tc>
        <w:tc>
          <w:tcPr>
            <w:tcW w:w="2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sz w:val="16"/>
                <w:lang w:eastAsia="en-GB" w:bidi="en-GB"/>
              </w:rPr>
            </w:pPr>
            <w:r w:rsidRPr="005C3B55">
              <w:rPr>
                <w:sz w:val="16"/>
              </w:rPr>
              <w:t>Number of selected local action groups</w:t>
            </w:r>
          </w:p>
        </w:tc>
        <w:tc>
          <w:tcPr>
            <w:tcW w:w="1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jc w:val="right"/>
              <w:rPr>
                <w:rFonts w:eastAsia="Calibri"/>
                <w:sz w:val="16"/>
                <w:lang w:eastAsia="en-GB" w:bidi="en-GB"/>
              </w:rPr>
            </w:pPr>
            <w:r w:rsidRPr="005C3B55">
              <w:rPr>
                <w:sz w:val="16"/>
              </w:rPr>
              <w:t>33.00</w:t>
            </w:r>
          </w:p>
        </w:tc>
      </w:tr>
      <w:tr w:rsidR="00C21266" w:rsidRPr="005C3B55">
        <w:trPr>
          <w:trHeight w:val="232"/>
        </w:trPr>
        <w:tc>
          <w:tcPr>
            <w:tcW w:w="2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b/>
                <w:sz w:val="16"/>
                <w:lang w:eastAsia="en-GB" w:bidi="en-GB"/>
              </w:rPr>
            </w:pPr>
            <w:r w:rsidRPr="005C3B55">
              <w:rPr>
                <w:b/>
                <w:sz w:val="16"/>
              </w:rPr>
              <w:t>M19 – Support for LEADER local development (CLLD – community-led local development) (Article 35 of Regulation (EU) No 1303/2013)</w:t>
            </w:r>
          </w:p>
        </w:tc>
        <w:tc>
          <w:tcPr>
            <w:tcW w:w="2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sz w:val="16"/>
                <w:lang w:eastAsia="en-GB" w:bidi="en-GB"/>
              </w:rPr>
            </w:pPr>
            <w:r w:rsidRPr="005C3B55">
              <w:rPr>
                <w:sz w:val="16"/>
              </w:rPr>
              <w:t>Inhabitants included in local action groups</w:t>
            </w:r>
          </w:p>
        </w:tc>
        <w:tc>
          <w:tcPr>
            <w:tcW w:w="1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jc w:val="right"/>
              <w:rPr>
                <w:rFonts w:eastAsia="Calibri"/>
                <w:sz w:val="16"/>
                <w:lang w:eastAsia="en-GB" w:bidi="en-GB"/>
              </w:rPr>
            </w:pPr>
            <w:r w:rsidRPr="005C3B55">
              <w:rPr>
                <w:sz w:val="16"/>
              </w:rPr>
              <w:t>1,350,000.00</w:t>
            </w:r>
          </w:p>
        </w:tc>
      </w:tr>
      <w:tr w:rsidR="00C21266" w:rsidRPr="005C3B55">
        <w:trPr>
          <w:trHeight w:val="232"/>
        </w:trPr>
        <w:tc>
          <w:tcPr>
            <w:tcW w:w="2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b/>
                <w:sz w:val="16"/>
                <w:lang w:eastAsia="en-GB" w:bidi="en-GB"/>
              </w:rPr>
            </w:pPr>
            <w:r w:rsidRPr="005C3B55">
              <w:rPr>
                <w:b/>
                <w:sz w:val="16"/>
              </w:rPr>
              <w:t>M19 – Support for LEADER local development (CLLD – community-led local development) (Article 35 of Regulation (EU) No 1303/2013)</w:t>
            </w:r>
          </w:p>
        </w:tc>
        <w:tc>
          <w:tcPr>
            <w:tcW w:w="2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sz w:val="16"/>
                <w:lang w:eastAsia="en-GB" w:bidi="en-GB"/>
              </w:rPr>
            </w:pPr>
            <w:r w:rsidRPr="005C3B55">
              <w:rPr>
                <w:sz w:val="16"/>
              </w:rPr>
              <w:t>Total public expenditures (EUR) - prepared support (19.1)</w:t>
            </w:r>
          </w:p>
        </w:tc>
        <w:tc>
          <w:tcPr>
            <w:tcW w:w="1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jc w:val="right"/>
              <w:rPr>
                <w:rFonts w:eastAsia="Calibri"/>
                <w:sz w:val="16"/>
                <w:lang w:eastAsia="en-GB" w:bidi="en-GB"/>
              </w:rPr>
            </w:pPr>
            <w:r w:rsidRPr="005C3B55">
              <w:rPr>
                <w:sz w:val="16"/>
              </w:rPr>
              <w:t>600,000.00</w:t>
            </w:r>
          </w:p>
        </w:tc>
      </w:tr>
      <w:tr w:rsidR="00C21266" w:rsidRPr="005C3B55">
        <w:trPr>
          <w:trHeight w:val="232"/>
        </w:trPr>
        <w:tc>
          <w:tcPr>
            <w:tcW w:w="2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b/>
                <w:sz w:val="16"/>
                <w:lang w:eastAsia="en-GB" w:bidi="en-GB"/>
              </w:rPr>
            </w:pPr>
            <w:r w:rsidRPr="005C3B55">
              <w:rPr>
                <w:b/>
                <w:sz w:val="16"/>
              </w:rPr>
              <w:t>M19 – Support for LEADER local development (CLLD – community-led local development) (Article 35 of Regulation (EU) No 1303/2013)</w:t>
            </w:r>
          </w:p>
        </w:tc>
        <w:tc>
          <w:tcPr>
            <w:tcW w:w="2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sz w:val="16"/>
                <w:lang w:eastAsia="en-GB" w:bidi="en-GB"/>
              </w:rPr>
            </w:pPr>
            <w:r w:rsidRPr="005C3B55">
              <w:rPr>
                <w:sz w:val="16"/>
              </w:rPr>
              <w:t>Total public expenditures (EUR) - Support for implementing operations under the community-led local development strategy (19.2)</w:t>
            </w:r>
          </w:p>
        </w:tc>
        <w:tc>
          <w:tcPr>
            <w:tcW w:w="1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jc w:val="right"/>
              <w:rPr>
                <w:rFonts w:eastAsia="Calibri"/>
                <w:sz w:val="16"/>
                <w:lang w:eastAsia="en-GB" w:bidi="en-GB"/>
              </w:rPr>
            </w:pPr>
            <w:r w:rsidRPr="005C3B55">
              <w:rPr>
                <w:sz w:val="16"/>
              </w:rPr>
              <w:t>33,709,771.69</w:t>
            </w:r>
          </w:p>
        </w:tc>
      </w:tr>
      <w:tr w:rsidR="00C21266" w:rsidRPr="005C3B55">
        <w:tc>
          <w:tcPr>
            <w:tcW w:w="2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b/>
                <w:sz w:val="16"/>
                <w:lang w:eastAsia="en-GB" w:bidi="en-GB"/>
              </w:rPr>
            </w:pPr>
            <w:r w:rsidRPr="005C3B55">
              <w:rPr>
                <w:b/>
                <w:sz w:val="16"/>
              </w:rPr>
              <w:t>M19 – Support for LEADER local development (CLLD – community-led local development) (Article 35 of Regulation (EU) No 1303/2013)</w:t>
            </w:r>
          </w:p>
        </w:tc>
        <w:tc>
          <w:tcPr>
            <w:tcW w:w="2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sz w:val="16"/>
                <w:lang w:eastAsia="en-GB" w:bidi="en-GB"/>
              </w:rPr>
            </w:pPr>
            <w:r w:rsidRPr="005C3B55">
              <w:rPr>
                <w:sz w:val="16"/>
              </w:rPr>
              <w:t xml:space="preserve">Total public expenditures (EUR) - preparation and implementation of cooperation activities of the local action group (19.3) </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jc w:val="right"/>
              <w:rPr>
                <w:rFonts w:eastAsia="Calibri"/>
                <w:sz w:val="16"/>
                <w:lang w:eastAsia="en-GB" w:bidi="en-GB"/>
              </w:rPr>
            </w:pPr>
            <w:r w:rsidRPr="005C3B55">
              <w:rPr>
                <w:sz w:val="16"/>
              </w:rPr>
              <w:t>4,000,000.00</w:t>
            </w:r>
          </w:p>
        </w:tc>
      </w:tr>
      <w:tr w:rsidR="00C21266" w:rsidRPr="005C3B55">
        <w:tc>
          <w:tcPr>
            <w:tcW w:w="2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b/>
                <w:sz w:val="16"/>
                <w:lang w:eastAsia="en-GB" w:bidi="en-GB"/>
              </w:rPr>
            </w:pPr>
            <w:r w:rsidRPr="005C3B55">
              <w:rPr>
                <w:b/>
                <w:sz w:val="16"/>
              </w:rPr>
              <w:t>M19 – Support for LEADER local development (CLLD – community-led local development) (Article 35 of Regulation (EU) No 1303/2013)</w:t>
            </w:r>
          </w:p>
        </w:tc>
        <w:tc>
          <w:tcPr>
            <w:tcW w:w="2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sz w:val="16"/>
                <w:lang w:eastAsia="en-GB" w:bidi="en-GB"/>
              </w:rPr>
            </w:pPr>
            <w:r w:rsidRPr="005C3B55">
              <w:rPr>
                <w:sz w:val="16"/>
              </w:rPr>
              <w:t>Total public expenditures (EUR) - Support for running costs and costs of animations (19.4)</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jc w:val="right"/>
              <w:rPr>
                <w:rFonts w:eastAsia="Calibri"/>
                <w:sz w:val="16"/>
                <w:lang w:eastAsia="en-GB" w:bidi="en-GB"/>
              </w:rPr>
            </w:pPr>
            <w:r w:rsidRPr="005C3B55">
              <w:rPr>
                <w:sz w:val="16"/>
              </w:rPr>
              <w:t>14,055,842.06</w:t>
            </w:r>
          </w:p>
        </w:tc>
      </w:tr>
    </w:tbl>
    <w:p w:rsidR="00C21266" w:rsidRPr="005C3B55" w:rsidRDefault="00C21266" w:rsidP="00C21266">
      <w:pPr>
        <w:spacing w:after="0"/>
        <w:rPr>
          <w:sz w:val="16"/>
        </w:rPr>
        <w:sectPr w:rsidR="00C21266" w:rsidRPr="005C3B55">
          <w:pgSz w:w="12240" w:h="15840"/>
          <w:pgMar w:top="900" w:right="900" w:bottom="900" w:left="900" w:header="708" w:footer="708" w:gutter="0"/>
          <w:cols w:space="708"/>
        </w:sectPr>
      </w:pPr>
    </w:p>
    <w:p w:rsidR="00C21266" w:rsidRPr="005C3B55" w:rsidRDefault="00C21266" w:rsidP="00C21266">
      <w:pPr>
        <w:pStyle w:val="Naslov4"/>
        <w:tabs>
          <w:tab w:val="clear" w:pos="765"/>
        </w:tabs>
        <w:ind w:left="0" w:firstLine="0"/>
        <w:jc w:val="left"/>
        <w:rPr>
          <w:i w:val="0"/>
          <w:sz w:val="16"/>
          <w:lang w:val="en-GB" w:eastAsia="en-GB" w:bidi="en-GB"/>
        </w:rPr>
      </w:pPr>
      <w:r w:rsidRPr="005C3B55">
        <w:rPr>
          <w:i w:val="0"/>
          <w:sz w:val="16"/>
          <w:lang w:val="en-GB"/>
        </w:rPr>
        <w:t>6C) Promoting access to information and communication technology (ICT) in rural areas and their use and quality.</w:t>
      </w:r>
    </w:p>
    <w:p w:rsidR="00C21266" w:rsidRPr="005C3B55" w:rsidRDefault="00C21266" w:rsidP="00C21266">
      <w:pPr>
        <w:rPr>
          <w:sz w:val="16"/>
        </w:rPr>
      </w:pPr>
      <w:r w:rsidRPr="005C3B55">
        <w:rPr>
          <w:sz w:val="16"/>
        </w:rPr>
        <w:t>Target indicators for the 2014-2020 period</w:t>
      </w:r>
    </w:p>
    <w:tbl>
      <w:tblPr>
        <w:tblStyle w:val="Navadnatabela1"/>
        <w:tblW w:w="5000"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25"/>
        <w:gridCol w:w="2131"/>
      </w:tblGrid>
      <w:tr w:rsidR="00C21266" w:rsidRPr="005C3B55">
        <w:trPr>
          <w:trHeight w:val="464"/>
        </w:trPr>
        <w:tc>
          <w:tcPr>
            <w:tcW w:w="1000" w:type="pct"/>
            <w:tcBorders>
              <w:top w:val="single" w:sz="4" w:space="0" w:color="auto"/>
              <w:left w:val="single" w:sz="4" w:space="0" w:color="auto"/>
              <w:bottom w:val="nil"/>
              <w:right w:val="single" w:sz="4" w:space="0" w:color="auto"/>
            </w:tcBorders>
            <w:shd w:val="clear" w:color="auto" w:fill="C0C0C0"/>
            <w:tcMar>
              <w:top w:w="60" w:type="dxa"/>
              <w:left w:w="108" w:type="dxa"/>
              <w:bottom w:w="0" w:type="dxa"/>
              <w:right w:w="108" w:type="dxa"/>
            </w:tcMar>
            <w:vAlign w:val="center"/>
          </w:tcPr>
          <w:p w:rsidR="00C21266" w:rsidRPr="005C3B55" w:rsidRDefault="00C21266">
            <w:pPr>
              <w:spacing w:after="200"/>
              <w:jc w:val="center"/>
              <w:rPr>
                <w:rFonts w:eastAsia="Calibri"/>
                <w:b/>
                <w:sz w:val="20"/>
                <w:lang w:eastAsia="en-GB" w:bidi="en-GB"/>
              </w:rPr>
            </w:pPr>
            <w:r w:rsidRPr="005C3B55">
              <w:rPr>
                <w:b/>
                <w:sz w:val="20"/>
              </w:rPr>
              <w:t>Indication of the target indicator</w:t>
            </w:r>
          </w:p>
        </w:tc>
        <w:tc>
          <w:tcPr>
            <w:tcW w:w="1000" w:type="pct"/>
            <w:tcBorders>
              <w:top w:val="single" w:sz="4" w:space="0" w:color="auto"/>
              <w:left w:val="single" w:sz="4" w:space="0" w:color="auto"/>
              <w:bottom w:val="nil"/>
              <w:right w:val="single" w:sz="4" w:space="0" w:color="auto"/>
            </w:tcBorders>
            <w:shd w:val="clear" w:color="auto" w:fill="C0C0C0"/>
            <w:tcMar>
              <w:top w:w="60" w:type="dxa"/>
              <w:left w:w="108" w:type="dxa"/>
              <w:bottom w:w="0" w:type="dxa"/>
              <w:right w:w="108" w:type="dxa"/>
            </w:tcMar>
            <w:vAlign w:val="center"/>
          </w:tcPr>
          <w:p w:rsidR="00C21266" w:rsidRPr="005C3B55" w:rsidRDefault="00C21266">
            <w:pPr>
              <w:spacing w:after="200"/>
              <w:jc w:val="center"/>
              <w:rPr>
                <w:rFonts w:eastAsia="Calibri"/>
                <w:b/>
                <w:sz w:val="20"/>
                <w:lang w:eastAsia="en-GB" w:bidi="en-GB"/>
              </w:rPr>
            </w:pPr>
            <w:r w:rsidRPr="005C3B55">
              <w:rPr>
                <w:b/>
                <w:sz w:val="20"/>
              </w:rPr>
              <w:t>Target value for 2023</w:t>
            </w:r>
          </w:p>
        </w:tc>
      </w:tr>
      <w:tr w:rsidR="00C21266" w:rsidRPr="005C3B55">
        <w:tc>
          <w:tcPr>
            <w:tcW w:w="4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sz w:val="16"/>
                <w:lang w:eastAsia="en-GB" w:bidi="en-GB"/>
              </w:rPr>
            </w:pPr>
            <w:r w:rsidRPr="005C3B55">
              <w:rPr>
                <w:sz w:val="16"/>
              </w:rPr>
              <w:t>Net population receiving improved services</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jc w:val="right"/>
              <w:rPr>
                <w:rFonts w:eastAsia="Calibri"/>
                <w:sz w:val="16"/>
                <w:lang w:eastAsia="en-GB" w:bidi="en-GB"/>
              </w:rPr>
            </w:pPr>
            <w:r w:rsidRPr="005C3B55">
              <w:rPr>
                <w:sz w:val="16"/>
              </w:rPr>
              <w:t>35,000.00</w:t>
            </w:r>
          </w:p>
        </w:tc>
      </w:tr>
      <w:tr w:rsidR="00C21266" w:rsidRPr="005C3B55">
        <w:tc>
          <w:tcPr>
            <w:tcW w:w="4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b/>
                <w:sz w:val="16"/>
                <w:lang w:eastAsia="en-GB" w:bidi="en-GB"/>
              </w:rPr>
            </w:pPr>
            <w:r w:rsidRPr="005C3B55">
              <w:rPr>
                <w:b/>
                <w:sz w:val="16"/>
              </w:rPr>
              <w:t>T24: Percentage of rural population receiving new or improved services/infrastructure (ICT) (priority area 6C)</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jc w:val="right"/>
              <w:rPr>
                <w:rFonts w:eastAsia="Calibri"/>
                <w:b/>
                <w:sz w:val="16"/>
                <w:lang w:eastAsia="en-GB" w:bidi="en-GB"/>
              </w:rPr>
            </w:pPr>
            <w:r w:rsidRPr="005C3B55">
              <w:rPr>
                <w:b/>
                <w:sz w:val="16"/>
              </w:rPr>
              <w:t>1.70</w:t>
            </w:r>
          </w:p>
        </w:tc>
      </w:tr>
    </w:tbl>
    <w:p w:rsidR="00C21266" w:rsidRPr="005C3B55" w:rsidRDefault="00C21266" w:rsidP="00C21266">
      <w:pPr>
        <w:jc w:val="center"/>
        <w:rPr>
          <w:rFonts w:eastAsia="Calibri"/>
          <w:sz w:val="16"/>
          <w:szCs w:val="22"/>
          <w:lang w:eastAsia="en-GB" w:bidi="en-GB"/>
        </w:rPr>
      </w:pPr>
    </w:p>
    <w:p w:rsidR="00C21266" w:rsidRPr="005C3B55" w:rsidRDefault="00C21266" w:rsidP="00C21266">
      <w:pPr>
        <w:rPr>
          <w:sz w:val="16"/>
        </w:rPr>
      </w:pPr>
      <w:r w:rsidRPr="005C3B55">
        <w:rPr>
          <w:sz w:val="16"/>
        </w:rPr>
        <w:t>Status indicator used as the denominator for the objective</w:t>
      </w:r>
    </w:p>
    <w:tbl>
      <w:tblPr>
        <w:tblStyle w:val="Navadnatabela1"/>
        <w:tblW w:w="5000"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25"/>
        <w:gridCol w:w="2131"/>
      </w:tblGrid>
      <w:tr w:rsidR="00C21266" w:rsidRPr="005C3B55">
        <w:trPr>
          <w:trHeight w:val="464"/>
        </w:trPr>
        <w:tc>
          <w:tcPr>
            <w:tcW w:w="4000" w:type="pct"/>
            <w:tcBorders>
              <w:top w:val="single" w:sz="4" w:space="0" w:color="auto"/>
              <w:left w:val="single" w:sz="4" w:space="0" w:color="auto"/>
              <w:bottom w:val="nil"/>
              <w:right w:val="single" w:sz="4" w:space="0" w:color="auto"/>
            </w:tcBorders>
            <w:shd w:val="clear" w:color="auto" w:fill="C0C0C0"/>
            <w:tcMar>
              <w:top w:w="60" w:type="dxa"/>
              <w:left w:w="108" w:type="dxa"/>
              <w:bottom w:w="0" w:type="dxa"/>
              <w:right w:w="108" w:type="dxa"/>
            </w:tcMar>
            <w:vAlign w:val="center"/>
          </w:tcPr>
          <w:p w:rsidR="00C21266" w:rsidRPr="005C3B55" w:rsidRDefault="00C21266">
            <w:pPr>
              <w:spacing w:after="200"/>
              <w:jc w:val="center"/>
              <w:rPr>
                <w:rFonts w:eastAsia="Calibri"/>
                <w:b/>
                <w:sz w:val="20"/>
                <w:lang w:eastAsia="en-GB" w:bidi="en-GB"/>
              </w:rPr>
            </w:pPr>
            <w:r w:rsidRPr="005C3B55">
              <w:rPr>
                <w:b/>
                <w:sz w:val="20"/>
              </w:rPr>
              <w:t>Indication of the status indicator</w:t>
            </w:r>
          </w:p>
        </w:tc>
        <w:tc>
          <w:tcPr>
            <w:tcW w:w="1000" w:type="pct"/>
            <w:tcBorders>
              <w:top w:val="single" w:sz="4" w:space="0" w:color="auto"/>
              <w:left w:val="single" w:sz="4" w:space="0" w:color="auto"/>
              <w:bottom w:val="nil"/>
              <w:right w:val="single" w:sz="4" w:space="0" w:color="auto"/>
            </w:tcBorders>
            <w:shd w:val="clear" w:color="auto" w:fill="C0C0C0"/>
            <w:tcMar>
              <w:top w:w="60" w:type="dxa"/>
              <w:left w:w="108" w:type="dxa"/>
              <w:bottom w:w="0" w:type="dxa"/>
              <w:right w:w="108" w:type="dxa"/>
            </w:tcMar>
            <w:vAlign w:val="center"/>
          </w:tcPr>
          <w:p w:rsidR="00C21266" w:rsidRPr="005C3B55" w:rsidRDefault="00C21266">
            <w:pPr>
              <w:spacing w:after="200"/>
              <w:jc w:val="center"/>
              <w:rPr>
                <w:rFonts w:eastAsia="Calibri"/>
                <w:b/>
                <w:sz w:val="20"/>
                <w:lang w:eastAsia="en-GB" w:bidi="en-GB"/>
              </w:rPr>
            </w:pPr>
            <w:r w:rsidRPr="005C3B55">
              <w:rPr>
                <w:b/>
                <w:sz w:val="20"/>
              </w:rPr>
              <w:t>Value in the base year</w:t>
            </w:r>
          </w:p>
        </w:tc>
      </w:tr>
      <w:tr w:rsidR="00C21266" w:rsidRPr="005C3B55">
        <w:trPr>
          <w:trHeight w:val="232"/>
        </w:trPr>
        <w:tc>
          <w:tcPr>
            <w:tcW w:w="1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sz w:val="16"/>
                <w:lang w:eastAsia="en-GB" w:bidi="en-GB"/>
              </w:rPr>
            </w:pPr>
            <w:r w:rsidRPr="005C3B55">
              <w:rPr>
                <w:sz w:val="16"/>
              </w:rPr>
              <w:t>1 Population - rural</w:t>
            </w:r>
          </w:p>
        </w:tc>
        <w:tc>
          <w:tcPr>
            <w:tcW w:w="1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jc w:val="right"/>
              <w:rPr>
                <w:rFonts w:eastAsia="Calibri"/>
                <w:sz w:val="16"/>
                <w:lang w:eastAsia="en-GB" w:bidi="en-GB"/>
              </w:rPr>
            </w:pPr>
            <w:r w:rsidRPr="005C3B55">
              <w:rPr>
                <w:sz w:val="16"/>
              </w:rPr>
              <w:t>43.70</w:t>
            </w:r>
          </w:p>
        </w:tc>
      </w:tr>
      <w:tr w:rsidR="00C21266" w:rsidRPr="005C3B55">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sz w:val="16"/>
                <w:lang w:eastAsia="en-GB" w:bidi="en-GB"/>
              </w:rPr>
            </w:pPr>
            <w:r w:rsidRPr="005C3B55">
              <w:rPr>
                <w:sz w:val="16"/>
              </w:rPr>
              <w:t>1 Population - intermediary</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jc w:val="right"/>
              <w:rPr>
                <w:rFonts w:eastAsia="Calibri"/>
                <w:sz w:val="16"/>
                <w:lang w:eastAsia="en-GB" w:bidi="en-GB"/>
              </w:rPr>
            </w:pPr>
            <w:r w:rsidRPr="005C3B55">
              <w:rPr>
                <w:sz w:val="16"/>
              </w:rPr>
              <w:t>56.30</w:t>
            </w:r>
          </w:p>
        </w:tc>
      </w:tr>
      <w:tr w:rsidR="00C21266" w:rsidRPr="005C3B55">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sz w:val="16"/>
                <w:lang w:eastAsia="en-GB" w:bidi="en-GB"/>
              </w:rPr>
            </w:pPr>
            <w:r w:rsidRPr="005C3B55">
              <w:rPr>
                <w:sz w:val="16"/>
              </w:rPr>
              <w:t>1 Population - in total</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jc w:val="right"/>
              <w:rPr>
                <w:rFonts w:eastAsia="Calibri"/>
                <w:sz w:val="16"/>
                <w:lang w:eastAsia="en-GB" w:bidi="en-GB"/>
              </w:rPr>
            </w:pPr>
            <w:r w:rsidRPr="005C3B55">
              <w:rPr>
                <w:sz w:val="16"/>
              </w:rPr>
              <w:t>2,058,821.00</w:t>
            </w:r>
          </w:p>
        </w:tc>
      </w:tr>
    </w:tbl>
    <w:p w:rsidR="00C21266" w:rsidRPr="005C3B55" w:rsidRDefault="00C21266" w:rsidP="00C21266">
      <w:pPr>
        <w:rPr>
          <w:rFonts w:eastAsia="Calibri"/>
          <w:sz w:val="16"/>
          <w:szCs w:val="22"/>
          <w:lang w:eastAsia="en-GB" w:bidi="en-GB"/>
        </w:rPr>
      </w:pPr>
    </w:p>
    <w:p w:rsidR="00C21266" w:rsidRPr="005C3B55" w:rsidRDefault="00C21266" w:rsidP="00C21266">
      <w:pPr>
        <w:rPr>
          <w:sz w:val="16"/>
        </w:rPr>
      </w:pPr>
      <w:r w:rsidRPr="005C3B55">
        <w:rPr>
          <w:sz w:val="16"/>
        </w:rPr>
        <w:t>Planned impact indicators for the 2014-2020 period</w:t>
      </w:r>
    </w:p>
    <w:tbl>
      <w:tblPr>
        <w:tblStyle w:val="Navadnatabela1"/>
        <w:tblW w:w="5000"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63"/>
        <w:gridCol w:w="4262"/>
        <w:gridCol w:w="2131"/>
      </w:tblGrid>
      <w:tr w:rsidR="00C21266" w:rsidRPr="005C3B55">
        <w:trPr>
          <w:trHeight w:val="464"/>
        </w:trPr>
        <w:tc>
          <w:tcPr>
            <w:tcW w:w="2000" w:type="pct"/>
            <w:tcBorders>
              <w:top w:val="single" w:sz="4" w:space="0" w:color="auto"/>
              <w:left w:val="single" w:sz="4" w:space="0" w:color="auto"/>
              <w:bottom w:val="nil"/>
              <w:right w:val="single" w:sz="4" w:space="0" w:color="auto"/>
            </w:tcBorders>
            <w:shd w:val="clear" w:color="auto" w:fill="C0C0C0"/>
            <w:tcMar>
              <w:top w:w="60" w:type="dxa"/>
              <w:left w:w="108" w:type="dxa"/>
              <w:bottom w:w="0" w:type="dxa"/>
              <w:right w:w="108" w:type="dxa"/>
            </w:tcMar>
            <w:vAlign w:val="center"/>
          </w:tcPr>
          <w:p w:rsidR="00C21266" w:rsidRPr="005C3B55" w:rsidRDefault="00C21266">
            <w:pPr>
              <w:spacing w:after="200"/>
              <w:jc w:val="center"/>
              <w:rPr>
                <w:rFonts w:eastAsia="Calibri"/>
                <w:b/>
                <w:sz w:val="20"/>
                <w:lang w:eastAsia="en-GB" w:bidi="en-GB"/>
              </w:rPr>
            </w:pPr>
            <w:r w:rsidRPr="005C3B55">
              <w:rPr>
                <w:b/>
                <w:sz w:val="20"/>
              </w:rPr>
              <w:t>Name of the measure</w:t>
            </w:r>
          </w:p>
        </w:tc>
        <w:tc>
          <w:tcPr>
            <w:tcW w:w="2000" w:type="pct"/>
            <w:tcBorders>
              <w:top w:val="single" w:sz="4" w:space="0" w:color="auto"/>
              <w:left w:val="single" w:sz="4" w:space="0" w:color="auto"/>
              <w:bottom w:val="nil"/>
              <w:right w:val="single" w:sz="4" w:space="0" w:color="auto"/>
            </w:tcBorders>
            <w:shd w:val="clear" w:color="auto" w:fill="C0C0C0"/>
            <w:tcMar>
              <w:top w:w="60" w:type="dxa"/>
              <w:left w:w="108" w:type="dxa"/>
              <w:bottom w:w="0" w:type="dxa"/>
              <w:right w:w="108" w:type="dxa"/>
            </w:tcMar>
            <w:vAlign w:val="center"/>
          </w:tcPr>
          <w:p w:rsidR="00C21266" w:rsidRPr="005C3B55" w:rsidRDefault="00C21266">
            <w:pPr>
              <w:spacing w:after="200"/>
              <w:jc w:val="center"/>
              <w:rPr>
                <w:rFonts w:eastAsia="Calibri"/>
                <w:b/>
                <w:sz w:val="20"/>
                <w:lang w:eastAsia="en-GB" w:bidi="en-GB"/>
              </w:rPr>
            </w:pPr>
            <w:r w:rsidRPr="005C3B55">
              <w:rPr>
                <w:b/>
                <w:sz w:val="20"/>
              </w:rPr>
              <w:t>Indication of the indicator</w:t>
            </w:r>
          </w:p>
        </w:tc>
        <w:tc>
          <w:tcPr>
            <w:tcW w:w="1000" w:type="pct"/>
            <w:tcBorders>
              <w:top w:val="single" w:sz="4" w:space="0" w:color="auto"/>
              <w:left w:val="single" w:sz="4" w:space="0" w:color="auto"/>
              <w:bottom w:val="nil"/>
              <w:right w:val="single" w:sz="4" w:space="0" w:color="auto"/>
            </w:tcBorders>
            <w:shd w:val="clear" w:color="auto" w:fill="C0C0C0"/>
            <w:tcMar>
              <w:top w:w="60" w:type="dxa"/>
              <w:left w:w="108" w:type="dxa"/>
              <w:bottom w:w="0" w:type="dxa"/>
              <w:right w:w="108" w:type="dxa"/>
            </w:tcMar>
            <w:vAlign w:val="center"/>
          </w:tcPr>
          <w:p w:rsidR="00C21266" w:rsidRPr="005C3B55" w:rsidRDefault="00C21266">
            <w:pPr>
              <w:spacing w:after="200"/>
              <w:jc w:val="center"/>
              <w:rPr>
                <w:rFonts w:eastAsia="Calibri"/>
                <w:b/>
                <w:sz w:val="20"/>
                <w:lang w:eastAsia="en-GB" w:bidi="en-GB"/>
              </w:rPr>
            </w:pPr>
            <w:r w:rsidRPr="005C3B55">
              <w:rPr>
                <w:b/>
                <w:sz w:val="20"/>
              </w:rPr>
              <w:t>Value</w:t>
            </w:r>
          </w:p>
        </w:tc>
      </w:tr>
      <w:tr w:rsidR="00C21266" w:rsidRPr="005C3B55">
        <w:trPr>
          <w:trHeight w:val="232"/>
        </w:trPr>
        <w:tc>
          <w:tcPr>
            <w:tcW w:w="2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b/>
                <w:sz w:val="16"/>
                <w:lang w:eastAsia="en-GB" w:bidi="en-GB"/>
              </w:rPr>
            </w:pPr>
            <w:r w:rsidRPr="005C3B55">
              <w:rPr>
                <w:b/>
                <w:sz w:val="16"/>
              </w:rPr>
              <w:t>M07 – Basic services and village renewal in rural areas (Article 20)</w:t>
            </w:r>
          </w:p>
        </w:tc>
        <w:tc>
          <w:tcPr>
            <w:tcW w:w="2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sz w:val="16"/>
                <w:lang w:eastAsia="en-GB" w:bidi="en-GB"/>
              </w:rPr>
            </w:pPr>
            <w:r w:rsidRPr="005C3B55">
              <w:rPr>
                <w:sz w:val="16"/>
              </w:rPr>
              <w:t>Number of supported operations for investments in the broadband infrastructure and provision of broadband access, including the e-administration services (7.3)</w:t>
            </w:r>
          </w:p>
        </w:tc>
        <w:tc>
          <w:tcPr>
            <w:tcW w:w="1000" w:type="pct"/>
            <w:tcBorders>
              <w:top w:val="single" w:sz="4" w:space="0" w:color="auto"/>
              <w:left w:val="single" w:sz="4" w:space="0" w:color="auto"/>
              <w:bottom w:val="nil"/>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jc w:val="right"/>
              <w:rPr>
                <w:rFonts w:eastAsia="Calibri"/>
                <w:sz w:val="16"/>
                <w:lang w:eastAsia="en-GB" w:bidi="en-GB"/>
              </w:rPr>
            </w:pPr>
            <w:r w:rsidRPr="005C3B55">
              <w:rPr>
                <w:sz w:val="16"/>
              </w:rPr>
              <w:t>10.00</w:t>
            </w:r>
          </w:p>
        </w:tc>
      </w:tr>
      <w:tr w:rsidR="00C21266" w:rsidRPr="005C3B55">
        <w:tc>
          <w:tcPr>
            <w:tcW w:w="2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b/>
                <w:sz w:val="16"/>
                <w:lang w:eastAsia="en-GB" w:bidi="en-GB"/>
              </w:rPr>
            </w:pPr>
            <w:r w:rsidRPr="005C3B55">
              <w:rPr>
                <w:b/>
                <w:sz w:val="16"/>
              </w:rPr>
              <w:t>M07 – Basic services and village renewal in rural areas (Article 20)</w:t>
            </w:r>
          </w:p>
        </w:tc>
        <w:tc>
          <w:tcPr>
            <w:tcW w:w="2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sz w:val="16"/>
                <w:lang w:eastAsia="en-GB" w:bidi="en-GB"/>
              </w:rPr>
            </w:pPr>
            <w:r w:rsidRPr="005C3B55">
              <w:rPr>
                <w:sz w:val="16"/>
              </w:rPr>
              <w:t>Population receiving new or improved IT infrastructure (e.g. broadband internet)</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jc w:val="right"/>
              <w:rPr>
                <w:rFonts w:eastAsia="Calibri"/>
                <w:sz w:val="16"/>
                <w:lang w:eastAsia="en-GB" w:bidi="en-GB"/>
              </w:rPr>
            </w:pPr>
            <w:r w:rsidRPr="005C3B55">
              <w:rPr>
                <w:sz w:val="16"/>
              </w:rPr>
              <w:t>35,000.00</w:t>
            </w:r>
          </w:p>
        </w:tc>
      </w:tr>
      <w:tr w:rsidR="00C21266" w:rsidRPr="005C3B55">
        <w:tc>
          <w:tcPr>
            <w:tcW w:w="2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b/>
                <w:sz w:val="16"/>
                <w:lang w:eastAsia="en-GB" w:bidi="en-GB"/>
              </w:rPr>
            </w:pPr>
            <w:r w:rsidRPr="005C3B55">
              <w:rPr>
                <w:b/>
                <w:sz w:val="16"/>
              </w:rPr>
              <w:t>M07 – Basic services and village renewal in rural areas (Article 20)</w:t>
            </w:r>
          </w:p>
        </w:tc>
        <w:tc>
          <w:tcPr>
            <w:tcW w:w="2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rPr>
                <w:rFonts w:eastAsia="Calibri"/>
                <w:sz w:val="16"/>
                <w:lang w:eastAsia="en-GB" w:bidi="en-GB"/>
              </w:rPr>
            </w:pPr>
            <w:r w:rsidRPr="005C3B55">
              <w:rPr>
                <w:sz w:val="16"/>
              </w:rPr>
              <w:t>Total public expenditures (EUR)</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vAlign w:val="center"/>
          </w:tcPr>
          <w:p w:rsidR="00C21266" w:rsidRPr="005C3B55" w:rsidRDefault="00C21266">
            <w:pPr>
              <w:spacing w:before="20" w:after="20"/>
              <w:jc w:val="right"/>
              <w:rPr>
                <w:rFonts w:eastAsia="Calibri"/>
                <w:sz w:val="16"/>
                <w:lang w:eastAsia="en-GB" w:bidi="en-GB"/>
              </w:rPr>
            </w:pPr>
            <w:r w:rsidRPr="005C3B55">
              <w:rPr>
                <w:sz w:val="16"/>
              </w:rPr>
              <w:t>10,000,000.00</w:t>
            </w:r>
          </w:p>
        </w:tc>
      </w:tr>
    </w:tbl>
    <w:p w:rsidR="00C21266" w:rsidRPr="005C3B55" w:rsidRDefault="00C21266" w:rsidP="00C21266">
      <w:pPr>
        <w:spacing w:after="0"/>
        <w:rPr>
          <w:sz w:val="16"/>
        </w:rPr>
        <w:sectPr w:rsidR="00C21266" w:rsidRPr="005C3B55">
          <w:pgSz w:w="12240" w:h="15840"/>
          <w:pgMar w:top="900" w:right="900" w:bottom="900" w:left="900" w:header="708" w:footer="708" w:gutter="0"/>
          <w:cols w:space="708"/>
        </w:sectPr>
      </w:pPr>
    </w:p>
    <w:p w:rsidR="00C21266" w:rsidRPr="005C3B55" w:rsidRDefault="00C21266" w:rsidP="00C21266">
      <w:pPr>
        <w:spacing w:after="0"/>
        <w:rPr>
          <w:sz w:val="16"/>
        </w:rPr>
        <w:sectPr w:rsidR="00C21266" w:rsidRPr="005C3B55">
          <w:pgSz w:w="12240" w:h="15840"/>
          <w:pgMar w:top="900" w:right="900" w:bottom="900" w:left="900" w:header="708" w:footer="708" w:gutter="0"/>
          <w:cols w:space="708"/>
        </w:sectPr>
      </w:pPr>
    </w:p>
    <w:p w:rsidR="00C21266" w:rsidRPr="005C3B55" w:rsidRDefault="00C21266" w:rsidP="00C21266">
      <w:pPr>
        <w:pStyle w:val="Naslov2"/>
        <w:tabs>
          <w:tab w:val="clear" w:pos="765"/>
        </w:tabs>
        <w:ind w:left="0" w:firstLine="0"/>
        <w:rPr>
          <w:b w:val="0"/>
          <w:sz w:val="16"/>
          <w:lang w:val="en-GB" w:eastAsia="en-GB" w:bidi="en-GB"/>
        </w:rPr>
      </w:pPr>
      <w:bookmarkStart w:id="168" w:name="_Toc416192626"/>
      <w:r w:rsidRPr="005C3B55">
        <w:rPr>
          <w:lang w:val="en-GB"/>
        </w:rPr>
        <w:t>Review of planned effect and planned expenditures by measures and priority areas (automatically created)</w:t>
      </w:r>
      <w:bookmarkEnd w:id="168"/>
    </w:p>
    <w:tbl>
      <w:tblPr>
        <w:tblStyle w:val="Navadnatabela1"/>
        <w:tblW w:w="5000"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68"/>
        <w:gridCol w:w="1968"/>
        <w:gridCol w:w="1968"/>
        <w:gridCol w:w="1968"/>
        <w:gridCol w:w="1969"/>
        <w:gridCol w:w="315"/>
        <w:gridCol w:w="324"/>
        <w:gridCol w:w="315"/>
        <w:gridCol w:w="315"/>
        <w:gridCol w:w="324"/>
        <w:gridCol w:w="315"/>
        <w:gridCol w:w="315"/>
        <w:gridCol w:w="324"/>
        <w:gridCol w:w="306"/>
        <w:gridCol w:w="818"/>
        <w:gridCol w:w="818"/>
        <w:gridCol w:w="668"/>
        <w:gridCol w:w="878"/>
      </w:tblGrid>
      <w:tr w:rsidR="00C21266" w:rsidRPr="005C3B55">
        <w:tc>
          <w:tcPr>
            <w:tcW w:w="1000" w:type="pct"/>
            <w:vMerge w:val="restart"/>
            <w:tcBorders>
              <w:top w:val="single" w:sz="4" w:space="0" w:color="auto"/>
              <w:left w:val="single" w:sz="4" w:space="0" w:color="auto"/>
              <w:bottom w:val="single" w:sz="4" w:space="0" w:color="auto"/>
              <w:right w:val="single" w:sz="4" w:space="0" w:color="auto"/>
            </w:tcBorders>
            <w:shd w:val="clear" w:color="auto" w:fill="C0C0C0"/>
            <w:tcMar>
              <w:top w:w="20" w:type="dxa"/>
              <w:left w:w="20" w:type="dxa"/>
              <w:bottom w:w="20" w:type="dxa"/>
              <w:right w:w="108" w:type="dxa"/>
            </w:tcMar>
            <w:vAlign w:val="center"/>
          </w:tcPr>
          <w:p w:rsidR="00C21266" w:rsidRPr="005C3B55" w:rsidRDefault="00C21266">
            <w:pPr>
              <w:spacing w:after="200"/>
              <w:jc w:val="center"/>
              <w:rPr>
                <w:rFonts w:eastAsia="Calibri"/>
                <w:sz w:val="16"/>
                <w:lang w:eastAsia="en-GB" w:bidi="en-GB"/>
              </w:rPr>
            </w:pPr>
            <w:r w:rsidRPr="005C3B55">
              <w:rPr>
                <w:sz w:val="16"/>
              </w:rPr>
              <w:t>Measures</w:t>
            </w:r>
          </w:p>
        </w:tc>
        <w:tc>
          <w:tcPr>
            <w:tcW w:w="1000" w:type="pct"/>
            <w:vMerge w:val="restart"/>
            <w:tcBorders>
              <w:top w:val="single" w:sz="4" w:space="0" w:color="auto"/>
              <w:left w:val="single" w:sz="4" w:space="0" w:color="auto"/>
              <w:bottom w:val="single" w:sz="4" w:space="0" w:color="auto"/>
              <w:right w:val="single" w:sz="4" w:space="0" w:color="auto"/>
            </w:tcBorders>
            <w:shd w:val="clear" w:color="auto" w:fill="C0C0C0"/>
            <w:tcMar>
              <w:top w:w="20" w:type="dxa"/>
              <w:left w:w="20" w:type="dxa"/>
              <w:bottom w:w="20" w:type="dxa"/>
              <w:right w:w="108" w:type="dxa"/>
            </w:tcMar>
            <w:vAlign w:val="center"/>
          </w:tcPr>
          <w:p w:rsidR="00C21266" w:rsidRPr="005C3B55" w:rsidRDefault="00C21266">
            <w:pPr>
              <w:spacing w:after="200"/>
              <w:jc w:val="center"/>
              <w:rPr>
                <w:rFonts w:eastAsia="Calibri"/>
                <w:sz w:val="16"/>
                <w:lang w:eastAsia="en-GB" w:bidi="en-GB"/>
              </w:rPr>
            </w:pPr>
            <w:r w:rsidRPr="005C3B55">
              <w:rPr>
                <w:sz w:val="16"/>
              </w:rPr>
              <w:t>Indicators</w:t>
            </w:r>
          </w:p>
        </w:tc>
        <w:tc>
          <w:tcPr>
            <w:tcW w:w="1000" w:type="pct"/>
            <w:gridSpan w:val="2"/>
            <w:tcBorders>
              <w:top w:val="single" w:sz="4" w:space="0" w:color="auto"/>
              <w:left w:val="single" w:sz="4" w:space="0" w:color="auto"/>
              <w:bottom w:val="single" w:sz="4" w:space="0" w:color="auto"/>
              <w:right w:val="single" w:sz="4" w:space="0" w:color="auto"/>
            </w:tcBorders>
            <w:shd w:val="clear" w:color="auto" w:fill="C0C0C0"/>
            <w:tcMar>
              <w:top w:w="20" w:type="dxa"/>
              <w:left w:w="20" w:type="dxa"/>
              <w:bottom w:w="20" w:type="dxa"/>
              <w:right w:w="108" w:type="dxa"/>
            </w:tcMar>
            <w:vAlign w:val="center"/>
          </w:tcPr>
          <w:p w:rsidR="00C21266" w:rsidRPr="005C3B55" w:rsidRDefault="00C21266">
            <w:pPr>
              <w:spacing w:after="200"/>
              <w:jc w:val="center"/>
              <w:rPr>
                <w:rFonts w:eastAsia="Calibri"/>
                <w:sz w:val="16"/>
                <w:lang w:eastAsia="en-GB" w:bidi="en-GB"/>
              </w:rPr>
            </w:pPr>
            <w:r w:rsidRPr="005C3B55">
              <w:rPr>
                <w:sz w:val="16"/>
              </w:rPr>
              <w:t>P2</w:t>
            </w:r>
          </w:p>
        </w:tc>
        <w:tc>
          <w:tcPr>
            <w:tcW w:w="1000" w:type="pct"/>
            <w:gridSpan w:val="2"/>
            <w:tcBorders>
              <w:top w:val="single" w:sz="4" w:space="0" w:color="auto"/>
              <w:left w:val="single" w:sz="4" w:space="0" w:color="auto"/>
              <w:bottom w:val="single" w:sz="4" w:space="0" w:color="auto"/>
              <w:right w:val="single" w:sz="4" w:space="0" w:color="auto"/>
            </w:tcBorders>
            <w:shd w:val="clear" w:color="auto" w:fill="C0C0C0"/>
            <w:tcMar>
              <w:top w:w="20" w:type="dxa"/>
              <w:left w:w="20" w:type="dxa"/>
              <w:bottom w:w="20" w:type="dxa"/>
              <w:right w:w="108" w:type="dxa"/>
            </w:tcMar>
            <w:vAlign w:val="center"/>
          </w:tcPr>
          <w:p w:rsidR="00C21266" w:rsidRPr="005C3B55" w:rsidRDefault="00C21266">
            <w:pPr>
              <w:spacing w:after="200"/>
              <w:jc w:val="center"/>
              <w:rPr>
                <w:rFonts w:eastAsia="Calibri"/>
                <w:sz w:val="16"/>
                <w:lang w:eastAsia="en-GB" w:bidi="en-GB"/>
              </w:rPr>
            </w:pPr>
            <w:r w:rsidRPr="005C3B55">
              <w:rPr>
                <w:sz w:val="16"/>
              </w:rPr>
              <w:t>P3</w:t>
            </w:r>
          </w:p>
        </w:tc>
        <w:tc>
          <w:tcPr>
            <w:tcW w:w="1000" w:type="pct"/>
            <w:gridSpan w:val="3"/>
            <w:tcBorders>
              <w:top w:val="single" w:sz="4" w:space="0" w:color="auto"/>
              <w:left w:val="single" w:sz="4" w:space="0" w:color="auto"/>
              <w:bottom w:val="single" w:sz="4" w:space="0" w:color="auto"/>
              <w:right w:val="single" w:sz="4" w:space="0" w:color="auto"/>
            </w:tcBorders>
            <w:shd w:val="clear" w:color="auto" w:fill="C0C0C0"/>
            <w:tcMar>
              <w:top w:w="20" w:type="dxa"/>
              <w:left w:w="20" w:type="dxa"/>
              <w:bottom w:w="20" w:type="dxa"/>
              <w:right w:w="108" w:type="dxa"/>
            </w:tcMar>
            <w:vAlign w:val="center"/>
          </w:tcPr>
          <w:p w:rsidR="00C21266" w:rsidRPr="005C3B55" w:rsidRDefault="00C21266">
            <w:pPr>
              <w:spacing w:after="200"/>
              <w:jc w:val="center"/>
              <w:rPr>
                <w:rFonts w:eastAsia="Calibri"/>
                <w:sz w:val="16"/>
                <w:lang w:eastAsia="en-GB" w:bidi="en-GB"/>
              </w:rPr>
            </w:pPr>
            <w:r w:rsidRPr="005C3B55">
              <w:rPr>
                <w:sz w:val="16"/>
              </w:rPr>
              <w:t>P4</w:t>
            </w:r>
          </w:p>
        </w:tc>
        <w:tc>
          <w:tcPr>
            <w:tcW w:w="1000" w:type="pct"/>
            <w:gridSpan w:val="5"/>
            <w:tcBorders>
              <w:top w:val="single" w:sz="4" w:space="0" w:color="auto"/>
              <w:left w:val="single" w:sz="4" w:space="0" w:color="auto"/>
              <w:bottom w:val="single" w:sz="4" w:space="0" w:color="auto"/>
              <w:right w:val="single" w:sz="4" w:space="0" w:color="auto"/>
            </w:tcBorders>
            <w:shd w:val="clear" w:color="auto" w:fill="C0C0C0"/>
            <w:tcMar>
              <w:top w:w="20" w:type="dxa"/>
              <w:left w:w="20" w:type="dxa"/>
              <w:bottom w:w="20" w:type="dxa"/>
              <w:right w:w="108" w:type="dxa"/>
            </w:tcMar>
            <w:vAlign w:val="center"/>
          </w:tcPr>
          <w:p w:rsidR="00C21266" w:rsidRPr="005C3B55" w:rsidRDefault="00C21266">
            <w:pPr>
              <w:spacing w:after="200"/>
              <w:jc w:val="center"/>
              <w:rPr>
                <w:rFonts w:eastAsia="Calibri"/>
                <w:sz w:val="16"/>
                <w:lang w:eastAsia="en-GB" w:bidi="en-GB"/>
              </w:rPr>
            </w:pPr>
            <w:r w:rsidRPr="005C3B55">
              <w:rPr>
                <w:sz w:val="16"/>
              </w:rPr>
              <w:t>P5</w:t>
            </w:r>
          </w:p>
        </w:tc>
        <w:tc>
          <w:tcPr>
            <w:tcW w:w="1000" w:type="pct"/>
            <w:gridSpan w:val="3"/>
            <w:tcBorders>
              <w:top w:val="single" w:sz="4" w:space="0" w:color="auto"/>
              <w:left w:val="single" w:sz="4" w:space="0" w:color="auto"/>
              <w:bottom w:val="single" w:sz="4" w:space="0" w:color="auto"/>
              <w:right w:val="single" w:sz="4" w:space="0" w:color="auto"/>
            </w:tcBorders>
            <w:shd w:val="clear" w:color="auto" w:fill="C0C0C0"/>
            <w:tcMar>
              <w:top w:w="20" w:type="dxa"/>
              <w:left w:w="20" w:type="dxa"/>
              <w:bottom w:w="20" w:type="dxa"/>
              <w:right w:w="108" w:type="dxa"/>
            </w:tcMar>
            <w:vAlign w:val="center"/>
          </w:tcPr>
          <w:p w:rsidR="00C21266" w:rsidRPr="005C3B55" w:rsidRDefault="00C21266">
            <w:pPr>
              <w:spacing w:after="200"/>
              <w:jc w:val="center"/>
              <w:rPr>
                <w:rFonts w:eastAsia="Calibri"/>
                <w:sz w:val="16"/>
                <w:lang w:eastAsia="en-GB" w:bidi="en-GB"/>
              </w:rPr>
            </w:pPr>
            <w:r w:rsidRPr="005C3B55">
              <w:rPr>
                <w:sz w:val="16"/>
              </w:rPr>
              <w:t>P6</w:t>
            </w:r>
          </w:p>
        </w:tc>
        <w:tc>
          <w:tcPr>
            <w:tcW w:w="1000" w:type="pct"/>
            <w:vMerge w:val="restart"/>
            <w:tcBorders>
              <w:top w:val="single" w:sz="4" w:space="0" w:color="auto"/>
              <w:left w:val="single" w:sz="4" w:space="0" w:color="auto"/>
              <w:bottom w:val="single" w:sz="4" w:space="0" w:color="auto"/>
              <w:right w:val="single" w:sz="4" w:space="0" w:color="auto"/>
            </w:tcBorders>
            <w:shd w:val="clear" w:color="auto" w:fill="C0C0C0"/>
            <w:tcMar>
              <w:top w:w="20" w:type="dxa"/>
              <w:left w:w="20" w:type="dxa"/>
              <w:bottom w:w="20" w:type="dxa"/>
              <w:right w:w="108" w:type="dxa"/>
            </w:tcMar>
            <w:vAlign w:val="center"/>
          </w:tcPr>
          <w:p w:rsidR="00C21266" w:rsidRPr="005C3B55" w:rsidRDefault="00C21266">
            <w:pPr>
              <w:spacing w:after="200"/>
              <w:jc w:val="center"/>
              <w:rPr>
                <w:rFonts w:eastAsia="Calibri"/>
                <w:sz w:val="16"/>
                <w:lang w:eastAsia="en-GB" w:bidi="en-GB"/>
              </w:rPr>
            </w:pPr>
            <w:r w:rsidRPr="005C3B55">
              <w:rPr>
                <w:sz w:val="16"/>
              </w:rPr>
              <w:t>Total</w:t>
            </w:r>
          </w:p>
        </w:tc>
      </w:tr>
      <w:tr w:rsidR="00C21266" w:rsidRPr="005C3B55">
        <w:tc>
          <w:tcPr>
            <w:tcW w:w="0" w:type="auto"/>
            <w:vMerge/>
            <w:tcBorders>
              <w:top w:val="single" w:sz="4" w:space="0" w:color="auto"/>
              <w:left w:val="single" w:sz="4" w:space="0" w:color="auto"/>
              <w:bottom w:val="single" w:sz="4" w:space="0" w:color="auto"/>
              <w:right w:val="single" w:sz="4" w:space="0" w:color="auto"/>
            </w:tcBorders>
            <w:vAlign w:val="center"/>
          </w:tcPr>
          <w:p w:rsidR="00C21266" w:rsidRPr="005C3B55" w:rsidRDefault="00C21266">
            <w:pPr>
              <w:spacing w:after="0"/>
              <w:rPr>
                <w:rFonts w:eastAsia="Calibri"/>
                <w:sz w:val="16"/>
                <w:lang w:eastAsia="en-GB" w:bidi="en-GB"/>
              </w:rPr>
            </w:pPr>
          </w:p>
        </w:tc>
        <w:tc>
          <w:tcPr>
            <w:tcW w:w="0" w:type="auto"/>
            <w:vMerge/>
            <w:tcBorders>
              <w:top w:val="single" w:sz="4" w:space="0" w:color="auto"/>
              <w:left w:val="single" w:sz="4" w:space="0" w:color="auto"/>
              <w:bottom w:val="single" w:sz="4" w:space="0" w:color="auto"/>
              <w:right w:val="single" w:sz="4" w:space="0" w:color="auto"/>
            </w:tcBorders>
            <w:vAlign w:val="center"/>
          </w:tcPr>
          <w:p w:rsidR="00C21266" w:rsidRPr="005C3B55" w:rsidRDefault="00C21266">
            <w:pPr>
              <w:spacing w:after="0"/>
              <w:rPr>
                <w:rFonts w:eastAsia="Calibri"/>
                <w:sz w:val="16"/>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C0C0C0"/>
            <w:tcMar>
              <w:top w:w="20" w:type="dxa"/>
              <w:left w:w="20" w:type="dxa"/>
              <w:bottom w:w="20" w:type="dxa"/>
              <w:right w:w="108" w:type="dxa"/>
            </w:tcMar>
            <w:vAlign w:val="center"/>
          </w:tcPr>
          <w:p w:rsidR="00C21266" w:rsidRPr="005C3B55" w:rsidRDefault="00C21266">
            <w:pPr>
              <w:spacing w:after="200"/>
              <w:jc w:val="center"/>
              <w:rPr>
                <w:rFonts w:eastAsia="Calibri"/>
                <w:sz w:val="16"/>
                <w:lang w:eastAsia="en-GB" w:bidi="en-GB"/>
              </w:rPr>
            </w:pPr>
            <w:r w:rsidRPr="005C3B55">
              <w:rPr>
                <w:sz w:val="16"/>
              </w:rPr>
              <w:t>2A</w:t>
            </w:r>
          </w:p>
        </w:tc>
        <w:tc>
          <w:tcPr>
            <w:tcW w:w="1000" w:type="pct"/>
            <w:tcBorders>
              <w:top w:val="single" w:sz="4" w:space="0" w:color="auto"/>
              <w:left w:val="single" w:sz="4" w:space="0" w:color="auto"/>
              <w:bottom w:val="single" w:sz="4" w:space="0" w:color="auto"/>
              <w:right w:val="single" w:sz="4" w:space="0" w:color="auto"/>
            </w:tcBorders>
            <w:shd w:val="clear" w:color="auto" w:fill="C0C0C0"/>
            <w:tcMar>
              <w:top w:w="20" w:type="dxa"/>
              <w:left w:w="20" w:type="dxa"/>
              <w:bottom w:w="20" w:type="dxa"/>
              <w:right w:w="108" w:type="dxa"/>
            </w:tcMar>
            <w:vAlign w:val="center"/>
          </w:tcPr>
          <w:p w:rsidR="00C21266" w:rsidRPr="005C3B55" w:rsidRDefault="00C21266">
            <w:pPr>
              <w:spacing w:after="200"/>
              <w:jc w:val="center"/>
              <w:rPr>
                <w:rFonts w:eastAsia="Calibri"/>
                <w:sz w:val="16"/>
                <w:lang w:eastAsia="en-GB" w:bidi="en-GB"/>
              </w:rPr>
            </w:pPr>
            <w:r w:rsidRPr="005C3B55">
              <w:rPr>
                <w:sz w:val="16"/>
              </w:rPr>
              <w:t>2B</w:t>
            </w:r>
          </w:p>
        </w:tc>
        <w:tc>
          <w:tcPr>
            <w:tcW w:w="1000" w:type="pct"/>
            <w:tcBorders>
              <w:top w:val="single" w:sz="4" w:space="0" w:color="auto"/>
              <w:left w:val="single" w:sz="4" w:space="0" w:color="auto"/>
              <w:bottom w:val="single" w:sz="4" w:space="0" w:color="auto"/>
              <w:right w:val="single" w:sz="4" w:space="0" w:color="auto"/>
            </w:tcBorders>
            <w:shd w:val="clear" w:color="auto" w:fill="C0C0C0"/>
            <w:tcMar>
              <w:top w:w="20" w:type="dxa"/>
              <w:left w:w="20" w:type="dxa"/>
              <w:bottom w:w="20" w:type="dxa"/>
              <w:right w:w="108" w:type="dxa"/>
            </w:tcMar>
            <w:vAlign w:val="center"/>
          </w:tcPr>
          <w:p w:rsidR="00C21266" w:rsidRPr="005C3B55" w:rsidRDefault="00C21266">
            <w:pPr>
              <w:spacing w:after="200"/>
              <w:jc w:val="center"/>
              <w:rPr>
                <w:rFonts w:eastAsia="Calibri"/>
                <w:sz w:val="16"/>
                <w:lang w:eastAsia="en-GB" w:bidi="en-GB"/>
              </w:rPr>
            </w:pPr>
            <w:r w:rsidRPr="005C3B55">
              <w:rPr>
                <w:sz w:val="16"/>
              </w:rPr>
              <w:t>3A</w:t>
            </w:r>
          </w:p>
        </w:tc>
        <w:tc>
          <w:tcPr>
            <w:tcW w:w="1000" w:type="pct"/>
            <w:tcBorders>
              <w:top w:val="single" w:sz="4" w:space="0" w:color="auto"/>
              <w:left w:val="single" w:sz="4" w:space="0" w:color="auto"/>
              <w:bottom w:val="single" w:sz="4" w:space="0" w:color="auto"/>
              <w:right w:val="single" w:sz="4" w:space="0" w:color="auto"/>
            </w:tcBorders>
            <w:shd w:val="clear" w:color="auto" w:fill="C0C0C0"/>
            <w:tcMar>
              <w:top w:w="20" w:type="dxa"/>
              <w:left w:w="20" w:type="dxa"/>
              <w:bottom w:w="20" w:type="dxa"/>
              <w:right w:w="108" w:type="dxa"/>
            </w:tcMar>
            <w:vAlign w:val="center"/>
          </w:tcPr>
          <w:p w:rsidR="00C21266" w:rsidRPr="005C3B55" w:rsidRDefault="00C21266">
            <w:pPr>
              <w:spacing w:after="200"/>
              <w:jc w:val="center"/>
              <w:rPr>
                <w:rFonts w:eastAsia="Calibri"/>
                <w:sz w:val="16"/>
                <w:lang w:eastAsia="en-GB" w:bidi="en-GB"/>
              </w:rPr>
            </w:pPr>
            <w:r w:rsidRPr="005C3B55">
              <w:rPr>
                <w:sz w:val="16"/>
              </w:rPr>
              <w:t>3B</w:t>
            </w:r>
          </w:p>
        </w:tc>
        <w:tc>
          <w:tcPr>
            <w:tcW w:w="1000" w:type="pct"/>
            <w:tcBorders>
              <w:top w:val="single" w:sz="4" w:space="0" w:color="auto"/>
              <w:left w:val="single" w:sz="4" w:space="0" w:color="auto"/>
              <w:bottom w:val="single" w:sz="4" w:space="0" w:color="auto"/>
              <w:right w:val="single" w:sz="4" w:space="0" w:color="auto"/>
            </w:tcBorders>
            <w:shd w:val="clear" w:color="auto" w:fill="C0C0C0"/>
            <w:tcMar>
              <w:top w:w="20" w:type="dxa"/>
              <w:left w:w="20" w:type="dxa"/>
              <w:bottom w:w="20" w:type="dxa"/>
              <w:right w:w="108" w:type="dxa"/>
            </w:tcMar>
            <w:vAlign w:val="center"/>
          </w:tcPr>
          <w:p w:rsidR="00C21266" w:rsidRPr="005C3B55" w:rsidRDefault="00C21266">
            <w:pPr>
              <w:spacing w:after="200"/>
              <w:jc w:val="center"/>
              <w:rPr>
                <w:rFonts w:eastAsia="Calibri"/>
                <w:sz w:val="16"/>
                <w:lang w:eastAsia="en-GB" w:bidi="en-GB"/>
              </w:rPr>
            </w:pPr>
            <w:r w:rsidRPr="005C3B55">
              <w:rPr>
                <w:sz w:val="16"/>
              </w:rPr>
              <w:t>4A</w:t>
            </w:r>
          </w:p>
        </w:tc>
        <w:tc>
          <w:tcPr>
            <w:tcW w:w="1000" w:type="pct"/>
            <w:tcBorders>
              <w:top w:val="single" w:sz="4" w:space="0" w:color="auto"/>
              <w:left w:val="single" w:sz="4" w:space="0" w:color="auto"/>
              <w:bottom w:val="single" w:sz="4" w:space="0" w:color="auto"/>
              <w:right w:val="single" w:sz="4" w:space="0" w:color="auto"/>
            </w:tcBorders>
            <w:shd w:val="clear" w:color="auto" w:fill="C0C0C0"/>
            <w:tcMar>
              <w:top w:w="20" w:type="dxa"/>
              <w:left w:w="20" w:type="dxa"/>
              <w:bottom w:w="20" w:type="dxa"/>
              <w:right w:w="108" w:type="dxa"/>
            </w:tcMar>
            <w:vAlign w:val="center"/>
          </w:tcPr>
          <w:p w:rsidR="00C21266" w:rsidRPr="005C3B55" w:rsidRDefault="00C21266">
            <w:pPr>
              <w:spacing w:after="200"/>
              <w:jc w:val="center"/>
              <w:rPr>
                <w:rFonts w:eastAsia="Calibri"/>
                <w:sz w:val="16"/>
                <w:lang w:eastAsia="en-GB" w:bidi="en-GB"/>
              </w:rPr>
            </w:pPr>
            <w:r w:rsidRPr="005C3B55">
              <w:rPr>
                <w:sz w:val="16"/>
              </w:rPr>
              <w:t>4B</w:t>
            </w:r>
          </w:p>
        </w:tc>
        <w:tc>
          <w:tcPr>
            <w:tcW w:w="1000" w:type="pct"/>
            <w:tcBorders>
              <w:top w:val="single" w:sz="4" w:space="0" w:color="auto"/>
              <w:left w:val="single" w:sz="4" w:space="0" w:color="auto"/>
              <w:bottom w:val="single" w:sz="4" w:space="0" w:color="auto"/>
              <w:right w:val="single" w:sz="4" w:space="0" w:color="auto"/>
            </w:tcBorders>
            <w:shd w:val="clear" w:color="auto" w:fill="C0C0C0"/>
            <w:tcMar>
              <w:top w:w="20" w:type="dxa"/>
              <w:left w:w="20" w:type="dxa"/>
              <w:bottom w:w="20" w:type="dxa"/>
              <w:right w:w="108" w:type="dxa"/>
            </w:tcMar>
            <w:vAlign w:val="center"/>
          </w:tcPr>
          <w:p w:rsidR="00C21266" w:rsidRPr="005C3B55" w:rsidRDefault="00C21266">
            <w:pPr>
              <w:spacing w:after="200"/>
              <w:jc w:val="center"/>
              <w:rPr>
                <w:rFonts w:eastAsia="Calibri"/>
                <w:sz w:val="16"/>
                <w:lang w:eastAsia="en-GB" w:bidi="en-GB"/>
              </w:rPr>
            </w:pPr>
            <w:r w:rsidRPr="005C3B55">
              <w:rPr>
                <w:sz w:val="16"/>
              </w:rPr>
              <w:t>4C</w:t>
            </w:r>
          </w:p>
        </w:tc>
        <w:tc>
          <w:tcPr>
            <w:tcW w:w="1000" w:type="pct"/>
            <w:tcBorders>
              <w:top w:val="single" w:sz="4" w:space="0" w:color="auto"/>
              <w:left w:val="single" w:sz="4" w:space="0" w:color="auto"/>
              <w:bottom w:val="single" w:sz="4" w:space="0" w:color="auto"/>
              <w:right w:val="single" w:sz="4" w:space="0" w:color="auto"/>
            </w:tcBorders>
            <w:shd w:val="clear" w:color="auto" w:fill="C0C0C0"/>
            <w:tcMar>
              <w:top w:w="20" w:type="dxa"/>
              <w:left w:w="20" w:type="dxa"/>
              <w:bottom w:w="20" w:type="dxa"/>
              <w:right w:w="108" w:type="dxa"/>
            </w:tcMar>
            <w:vAlign w:val="center"/>
          </w:tcPr>
          <w:p w:rsidR="00C21266" w:rsidRPr="005C3B55" w:rsidRDefault="00C21266">
            <w:pPr>
              <w:spacing w:after="200"/>
              <w:jc w:val="center"/>
              <w:rPr>
                <w:rFonts w:eastAsia="Calibri"/>
                <w:sz w:val="16"/>
                <w:lang w:eastAsia="en-GB" w:bidi="en-GB"/>
              </w:rPr>
            </w:pPr>
            <w:r w:rsidRPr="005C3B55">
              <w:rPr>
                <w:sz w:val="16"/>
              </w:rPr>
              <w:t>5A</w:t>
            </w:r>
          </w:p>
        </w:tc>
        <w:tc>
          <w:tcPr>
            <w:tcW w:w="1000" w:type="pct"/>
            <w:tcBorders>
              <w:top w:val="single" w:sz="4" w:space="0" w:color="auto"/>
              <w:left w:val="single" w:sz="4" w:space="0" w:color="auto"/>
              <w:bottom w:val="single" w:sz="4" w:space="0" w:color="auto"/>
              <w:right w:val="single" w:sz="4" w:space="0" w:color="auto"/>
            </w:tcBorders>
            <w:shd w:val="clear" w:color="auto" w:fill="C0C0C0"/>
            <w:tcMar>
              <w:top w:w="20" w:type="dxa"/>
              <w:left w:w="20" w:type="dxa"/>
              <w:bottom w:w="20" w:type="dxa"/>
              <w:right w:w="108" w:type="dxa"/>
            </w:tcMar>
            <w:vAlign w:val="center"/>
          </w:tcPr>
          <w:p w:rsidR="00C21266" w:rsidRPr="005C3B55" w:rsidRDefault="00C21266">
            <w:pPr>
              <w:spacing w:after="200"/>
              <w:jc w:val="center"/>
              <w:rPr>
                <w:rFonts w:eastAsia="Calibri"/>
                <w:sz w:val="16"/>
                <w:lang w:eastAsia="en-GB" w:bidi="en-GB"/>
              </w:rPr>
            </w:pPr>
            <w:r w:rsidRPr="005C3B55">
              <w:rPr>
                <w:sz w:val="16"/>
              </w:rPr>
              <w:t>5B</w:t>
            </w:r>
          </w:p>
        </w:tc>
        <w:tc>
          <w:tcPr>
            <w:tcW w:w="1000" w:type="pct"/>
            <w:tcBorders>
              <w:top w:val="single" w:sz="4" w:space="0" w:color="auto"/>
              <w:left w:val="single" w:sz="4" w:space="0" w:color="auto"/>
              <w:bottom w:val="single" w:sz="4" w:space="0" w:color="auto"/>
              <w:right w:val="single" w:sz="4" w:space="0" w:color="auto"/>
            </w:tcBorders>
            <w:shd w:val="clear" w:color="auto" w:fill="C0C0C0"/>
            <w:tcMar>
              <w:top w:w="20" w:type="dxa"/>
              <w:left w:w="20" w:type="dxa"/>
              <w:bottom w:w="20" w:type="dxa"/>
              <w:right w:w="108" w:type="dxa"/>
            </w:tcMar>
            <w:vAlign w:val="center"/>
          </w:tcPr>
          <w:p w:rsidR="00C21266" w:rsidRPr="005C3B55" w:rsidRDefault="00C21266">
            <w:pPr>
              <w:spacing w:after="200"/>
              <w:jc w:val="center"/>
              <w:rPr>
                <w:rFonts w:eastAsia="Calibri"/>
                <w:sz w:val="16"/>
                <w:lang w:eastAsia="en-GB" w:bidi="en-GB"/>
              </w:rPr>
            </w:pPr>
            <w:r w:rsidRPr="005C3B55">
              <w:rPr>
                <w:sz w:val="16"/>
              </w:rPr>
              <w:t>5C</w:t>
            </w:r>
          </w:p>
        </w:tc>
        <w:tc>
          <w:tcPr>
            <w:tcW w:w="1000" w:type="pct"/>
            <w:tcBorders>
              <w:top w:val="single" w:sz="4" w:space="0" w:color="auto"/>
              <w:left w:val="single" w:sz="4" w:space="0" w:color="auto"/>
              <w:bottom w:val="single" w:sz="4" w:space="0" w:color="auto"/>
              <w:right w:val="single" w:sz="4" w:space="0" w:color="auto"/>
            </w:tcBorders>
            <w:shd w:val="clear" w:color="auto" w:fill="C0C0C0"/>
            <w:tcMar>
              <w:top w:w="20" w:type="dxa"/>
              <w:left w:w="20" w:type="dxa"/>
              <w:bottom w:w="20" w:type="dxa"/>
              <w:right w:w="108" w:type="dxa"/>
            </w:tcMar>
            <w:vAlign w:val="center"/>
          </w:tcPr>
          <w:p w:rsidR="00C21266" w:rsidRPr="005C3B55" w:rsidRDefault="00C21266">
            <w:pPr>
              <w:spacing w:after="200"/>
              <w:jc w:val="center"/>
              <w:rPr>
                <w:rFonts w:eastAsia="Calibri"/>
                <w:sz w:val="16"/>
                <w:lang w:eastAsia="en-GB" w:bidi="en-GB"/>
              </w:rPr>
            </w:pPr>
            <w:r w:rsidRPr="005C3B55">
              <w:rPr>
                <w:sz w:val="16"/>
              </w:rPr>
              <w:t>5D</w:t>
            </w:r>
          </w:p>
        </w:tc>
        <w:tc>
          <w:tcPr>
            <w:tcW w:w="1000" w:type="pct"/>
            <w:tcBorders>
              <w:top w:val="single" w:sz="4" w:space="0" w:color="auto"/>
              <w:left w:val="single" w:sz="4" w:space="0" w:color="auto"/>
              <w:bottom w:val="single" w:sz="4" w:space="0" w:color="auto"/>
              <w:right w:val="single" w:sz="4" w:space="0" w:color="auto"/>
            </w:tcBorders>
            <w:shd w:val="clear" w:color="auto" w:fill="C0C0C0"/>
            <w:tcMar>
              <w:top w:w="20" w:type="dxa"/>
              <w:left w:w="20" w:type="dxa"/>
              <w:bottom w:w="20" w:type="dxa"/>
              <w:right w:w="108" w:type="dxa"/>
            </w:tcMar>
            <w:vAlign w:val="center"/>
          </w:tcPr>
          <w:p w:rsidR="00C21266" w:rsidRPr="005C3B55" w:rsidRDefault="00C21266">
            <w:pPr>
              <w:spacing w:after="200"/>
              <w:jc w:val="center"/>
              <w:rPr>
                <w:rFonts w:eastAsia="Calibri"/>
                <w:sz w:val="16"/>
                <w:lang w:eastAsia="en-GB" w:bidi="en-GB"/>
              </w:rPr>
            </w:pPr>
            <w:r w:rsidRPr="005C3B55">
              <w:rPr>
                <w:sz w:val="16"/>
              </w:rPr>
              <w:t>5E</w:t>
            </w:r>
          </w:p>
        </w:tc>
        <w:tc>
          <w:tcPr>
            <w:tcW w:w="1000" w:type="pct"/>
            <w:tcBorders>
              <w:top w:val="single" w:sz="4" w:space="0" w:color="auto"/>
              <w:left w:val="single" w:sz="4" w:space="0" w:color="auto"/>
              <w:bottom w:val="single" w:sz="4" w:space="0" w:color="auto"/>
              <w:right w:val="single" w:sz="4" w:space="0" w:color="auto"/>
            </w:tcBorders>
            <w:shd w:val="clear" w:color="auto" w:fill="C0C0C0"/>
            <w:tcMar>
              <w:top w:w="20" w:type="dxa"/>
              <w:left w:w="20" w:type="dxa"/>
              <w:bottom w:w="20" w:type="dxa"/>
              <w:right w:w="108" w:type="dxa"/>
            </w:tcMar>
            <w:vAlign w:val="center"/>
          </w:tcPr>
          <w:p w:rsidR="00C21266" w:rsidRPr="005C3B55" w:rsidRDefault="00C21266">
            <w:pPr>
              <w:spacing w:after="200"/>
              <w:jc w:val="center"/>
              <w:rPr>
                <w:rFonts w:eastAsia="Calibri"/>
                <w:sz w:val="16"/>
                <w:lang w:eastAsia="en-GB" w:bidi="en-GB"/>
              </w:rPr>
            </w:pPr>
            <w:r w:rsidRPr="005C3B55">
              <w:rPr>
                <w:sz w:val="16"/>
              </w:rPr>
              <w:t>6A</w:t>
            </w:r>
          </w:p>
        </w:tc>
        <w:tc>
          <w:tcPr>
            <w:tcW w:w="1000" w:type="pct"/>
            <w:tcBorders>
              <w:top w:val="single" w:sz="4" w:space="0" w:color="auto"/>
              <w:left w:val="single" w:sz="4" w:space="0" w:color="auto"/>
              <w:bottom w:val="single" w:sz="4" w:space="0" w:color="auto"/>
              <w:right w:val="single" w:sz="4" w:space="0" w:color="auto"/>
            </w:tcBorders>
            <w:shd w:val="clear" w:color="auto" w:fill="C0C0C0"/>
            <w:tcMar>
              <w:top w:w="20" w:type="dxa"/>
              <w:left w:w="20" w:type="dxa"/>
              <w:bottom w:w="20" w:type="dxa"/>
              <w:right w:w="108" w:type="dxa"/>
            </w:tcMar>
            <w:vAlign w:val="center"/>
          </w:tcPr>
          <w:p w:rsidR="00C21266" w:rsidRPr="005C3B55" w:rsidRDefault="00C21266">
            <w:pPr>
              <w:spacing w:after="200"/>
              <w:jc w:val="center"/>
              <w:rPr>
                <w:rFonts w:eastAsia="Calibri"/>
                <w:sz w:val="16"/>
                <w:lang w:eastAsia="en-GB" w:bidi="en-GB"/>
              </w:rPr>
            </w:pPr>
            <w:r w:rsidRPr="005C3B55">
              <w:rPr>
                <w:sz w:val="16"/>
              </w:rPr>
              <w:t>6B</w:t>
            </w:r>
          </w:p>
        </w:tc>
        <w:tc>
          <w:tcPr>
            <w:tcW w:w="1000" w:type="pct"/>
            <w:tcBorders>
              <w:top w:val="single" w:sz="4" w:space="0" w:color="auto"/>
              <w:left w:val="single" w:sz="4" w:space="0" w:color="auto"/>
              <w:bottom w:val="single" w:sz="4" w:space="0" w:color="auto"/>
              <w:right w:val="single" w:sz="4" w:space="0" w:color="auto"/>
            </w:tcBorders>
            <w:shd w:val="clear" w:color="auto" w:fill="C0C0C0"/>
            <w:tcMar>
              <w:top w:w="20" w:type="dxa"/>
              <w:left w:w="20" w:type="dxa"/>
              <w:bottom w:w="20" w:type="dxa"/>
              <w:right w:w="108" w:type="dxa"/>
            </w:tcMar>
            <w:vAlign w:val="center"/>
          </w:tcPr>
          <w:p w:rsidR="00C21266" w:rsidRPr="005C3B55" w:rsidRDefault="00C21266">
            <w:pPr>
              <w:spacing w:after="200"/>
              <w:jc w:val="center"/>
              <w:rPr>
                <w:rFonts w:eastAsia="Calibri"/>
                <w:sz w:val="16"/>
                <w:lang w:eastAsia="en-GB" w:bidi="en-GB"/>
              </w:rPr>
            </w:pPr>
            <w:r w:rsidRPr="005C3B55">
              <w:rPr>
                <w:sz w:val="16"/>
              </w:rPr>
              <w:t>6C</w:t>
            </w:r>
          </w:p>
        </w:tc>
        <w:tc>
          <w:tcPr>
            <w:tcW w:w="0" w:type="auto"/>
            <w:vMerge/>
            <w:tcBorders>
              <w:top w:val="single" w:sz="4" w:space="0" w:color="auto"/>
              <w:left w:val="single" w:sz="4" w:space="0" w:color="auto"/>
              <w:bottom w:val="single" w:sz="4" w:space="0" w:color="auto"/>
              <w:right w:val="single" w:sz="4" w:space="0" w:color="auto"/>
            </w:tcBorders>
            <w:vAlign w:val="center"/>
          </w:tcPr>
          <w:p w:rsidR="00C21266" w:rsidRPr="005C3B55" w:rsidRDefault="00C21266">
            <w:pPr>
              <w:spacing w:after="0"/>
              <w:rPr>
                <w:rFonts w:eastAsia="Calibri"/>
                <w:sz w:val="16"/>
                <w:lang w:eastAsia="en-GB" w:bidi="en-GB"/>
              </w:rPr>
            </w:pPr>
          </w:p>
        </w:tc>
      </w:tr>
      <w:tr w:rsidR="00C21266" w:rsidRPr="005C3B55">
        <w:tc>
          <w:tcPr>
            <w:tcW w:w="1000" w:type="pct"/>
            <w:vMerge w:val="restar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r w:rsidRPr="005C3B55">
              <w:rPr>
                <w:sz w:val="12"/>
              </w:rPr>
              <w:t>M01</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rPr>
                <w:rFonts w:eastAsia="Calibri"/>
                <w:sz w:val="12"/>
                <w:lang w:eastAsia="en-GB" w:bidi="en-GB"/>
              </w:rPr>
            </w:pPr>
            <w:r w:rsidRPr="005C3B55">
              <w:rPr>
                <w:sz w:val="12"/>
              </w:rPr>
              <w:t>Training/acquisition of skills (1.1) - number of participants in training</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r w:rsidRPr="005C3B55">
              <w:rPr>
                <w:sz w:val="12"/>
              </w:rPr>
              <w:t>3.100</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r w:rsidRPr="005C3B55">
              <w:rPr>
                <w:sz w:val="12"/>
              </w:rPr>
              <w:t>600</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r w:rsidRPr="005C3B55">
              <w:rPr>
                <w:sz w:val="12"/>
              </w:rPr>
              <w:t>2.600</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gridSpan w:val="3"/>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r w:rsidRPr="005C3B55">
              <w:rPr>
                <w:sz w:val="12"/>
              </w:rPr>
              <w:t>93.300</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r w:rsidRPr="005C3B55">
              <w:rPr>
                <w:sz w:val="12"/>
              </w:rPr>
              <w:t>99.600</w:t>
            </w:r>
          </w:p>
        </w:tc>
      </w:tr>
      <w:tr w:rsidR="00C21266" w:rsidRPr="005C3B55">
        <w:tc>
          <w:tcPr>
            <w:tcW w:w="0" w:type="auto"/>
            <w:vMerge/>
            <w:tcBorders>
              <w:top w:val="single" w:sz="4" w:space="0" w:color="auto"/>
              <w:left w:val="single" w:sz="4" w:space="0" w:color="auto"/>
              <w:bottom w:val="single" w:sz="4" w:space="0" w:color="auto"/>
              <w:right w:val="single" w:sz="4" w:space="0" w:color="auto"/>
            </w:tcBorders>
            <w:vAlign w:val="center"/>
          </w:tcPr>
          <w:p w:rsidR="00C21266" w:rsidRPr="005C3B55" w:rsidRDefault="00C21266">
            <w:pPr>
              <w:spacing w:after="0"/>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rPr>
                <w:rFonts w:eastAsia="Calibri"/>
                <w:sz w:val="12"/>
                <w:lang w:eastAsia="en-GB" w:bidi="en-GB"/>
              </w:rPr>
            </w:pPr>
            <w:r w:rsidRPr="005C3B55">
              <w:rPr>
                <w:sz w:val="12"/>
              </w:rPr>
              <w:t>Training/acquisition of skills (1.1) - total public expenditures for training/skills</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r w:rsidRPr="005C3B55">
              <w:rPr>
                <w:sz w:val="12"/>
              </w:rPr>
              <w:t>1,235,000</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r w:rsidRPr="005C3B55">
              <w:rPr>
                <w:sz w:val="12"/>
              </w:rPr>
              <w:t>265.000</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r w:rsidRPr="005C3B55">
              <w:rPr>
                <w:sz w:val="12"/>
              </w:rPr>
              <w:t>1,078,385</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gridSpan w:val="3"/>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r w:rsidRPr="005C3B55">
              <w:rPr>
                <w:sz w:val="12"/>
              </w:rPr>
              <w:t>8,921,615</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r w:rsidRPr="005C3B55">
              <w:rPr>
                <w:sz w:val="12"/>
              </w:rPr>
              <w:t>11,500,000</w:t>
            </w:r>
          </w:p>
        </w:tc>
      </w:tr>
      <w:tr w:rsidR="00C21266" w:rsidRPr="005C3B55">
        <w:tc>
          <w:tcPr>
            <w:tcW w:w="0" w:type="auto"/>
            <w:vMerge/>
            <w:tcBorders>
              <w:top w:val="single" w:sz="4" w:space="0" w:color="auto"/>
              <w:left w:val="single" w:sz="4" w:space="0" w:color="auto"/>
              <w:bottom w:val="single" w:sz="4" w:space="0" w:color="auto"/>
              <w:right w:val="single" w:sz="4" w:space="0" w:color="auto"/>
            </w:tcBorders>
            <w:vAlign w:val="center"/>
          </w:tcPr>
          <w:p w:rsidR="00C21266" w:rsidRPr="005C3B55" w:rsidRDefault="00C21266">
            <w:pPr>
              <w:spacing w:after="0"/>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rPr>
                <w:rFonts w:eastAsia="Calibri"/>
                <w:sz w:val="12"/>
                <w:lang w:eastAsia="en-GB" w:bidi="en-GB"/>
              </w:rPr>
            </w:pPr>
            <w:r w:rsidRPr="005C3B55">
              <w:rPr>
                <w:sz w:val="12"/>
              </w:rPr>
              <w:t>Total public expenditures in EUR (trainings, exchanges between agricultural holdings, representation activities) (1.1-1.3)</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r w:rsidRPr="005C3B55">
              <w:rPr>
                <w:sz w:val="12"/>
              </w:rPr>
              <w:t>1,875,000</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r w:rsidRPr="005C3B55">
              <w:rPr>
                <w:sz w:val="12"/>
              </w:rPr>
              <w:t>625.000</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r w:rsidRPr="005C3B55">
              <w:rPr>
                <w:sz w:val="12"/>
              </w:rPr>
              <w:t>1,078,385</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gridSpan w:val="3"/>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r w:rsidRPr="005C3B55">
              <w:rPr>
                <w:sz w:val="12"/>
              </w:rPr>
              <w:t>8,921,615</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r w:rsidRPr="005C3B55">
              <w:rPr>
                <w:sz w:val="12"/>
              </w:rPr>
              <w:t>12,500,000</w:t>
            </w:r>
          </w:p>
        </w:tc>
      </w:tr>
      <w:tr w:rsidR="00C21266" w:rsidRPr="005C3B55">
        <w:tc>
          <w:tcPr>
            <w:tcW w:w="1000" w:type="pct"/>
            <w:vMerge w:val="restar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r w:rsidRPr="005C3B55">
              <w:rPr>
                <w:sz w:val="12"/>
              </w:rPr>
              <w:t>M02</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rPr>
                <w:rFonts w:eastAsia="Calibri"/>
                <w:sz w:val="12"/>
                <w:lang w:eastAsia="en-GB" w:bidi="en-GB"/>
              </w:rPr>
            </w:pPr>
            <w:r w:rsidRPr="005C3B55">
              <w:rPr>
                <w:sz w:val="12"/>
              </w:rPr>
              <w:t>Number of beneficiaries receiving the advisory services (2.1)</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r w:rsidRPr="005C3B55">
              <w:rPr>
                <w:sz w:val="12"/>
              </w:rPr>
              <w:t>400</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gridSpan w:val="3"/>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r w:rsidRPr="005C3B55">
              <w:rPr>
                <w:sz w:val="12"/>
              </w:rPr>
              <w:t>36.935</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r w:rsidRPr="005C3B55">
              <w:rPr>
                <w:sz w:val="12"/>
              </w:rPr>
              <w:t>37.335</w:t>
            </w:r>
          </w:p>
        </w:tc>
      </w:tr>
      <w:tr w:rsidR="00C21266" w:rsidRPr="005C3B55">
        <w:tc>
          <w:tcPr>
            <w:tcW w:w="0" w:type="auto"/>
            <w:vMerge/>
            <w:tcBorders>
              <w:top w:val="single" w:sz="4" w:space="0" w:color="auto"/>
              <w:left w:val="single" w:sz="4" w:space="0" w:color="auto"/>
              <w:bottom w:val="single" w:sz="4" w:space="0" w:color="auto"/>
              <w:right w:val="single" w:sz="4" w:space="0" w:color="auto"/>
            </w:tcBorders>
            <w:vAlign w:val="center"/>
          </w:tcPr>
          <w:p w:rsidR="00C21266" w:rsidRPr="005C3B55" w:rsidRDefault="00C21266">
            <w:pPr>
              <w:spacing w:after="0"/>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rPr>
                <w:rFonts w:eastAsia="Calibri"/>
                <w:sz w:val="12"/>
                <w:lang w:eastAsia="en-GB" w:bidi="en-GB"/>
              </w:rPr>
            </w:pPr>
            <w:r w:rsidRPr="005C3B55">
              <w:rPr>
                <w:sz w:val="12"/>
              </w:rPr>
              <w:t>Total public expenditures in EUR (2.1-2.3)</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r w:rsidRPr="005C3B55">
              <w:rPr>
                <w:sz w:val="12"/>
              </w:rPr>
              <w:t>290.736</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gridSpan w:val="3"/>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r w:rsidRPr="005C3B55">
              <w:rPr>
                <w:sz w:val="12"/>
              </w:rPr>
              <w:t>10,477,264</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r w:rsidRPr="005C3B55">
              <w:rPr>
                <w:sz w:val="12"/>
              </w:rPr>
              <w:t>10,768,000</w:t>
            </w:r>
          </w:p>
        </w:tc>
      </w:tr>
      <w:tr w:rsidR="00C21266" w:rsidRPr="005C3B55">
        <w:tc>
          <w:tcPr>
            <w:tcW w:w="1000" w:type="pct"/>
            <w:vMerge w:val="restar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r w:rsidRPr="005C3B55">
              <w:rPr>
                <w:sz w:val="12"/>
              </w:rPr>
              <w:t>M03</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rPr>
                <w:rFonts w:eastAsia="Calibri"/>
                <w:sz w:val="12"/>
                <w:lang w:eastAsia="en-GB" w:bidi="en-GB"/>
              </w:rPr>
            </w:pPr>
            <w:r w:rsidRPr="005C3B55">
              <w:rPr>
                <w:sz w:val="12"/>
              </w:rPr>
              <w:t>Number of supported holdings (3.1)</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r w:rsidRPr="005C3B55">
              <w:rPr>
                <w:sz w:val="12"/>
              </w:rPr>
              <w:t>250</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gridSpan w:val="3"/>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r w:rsidRPr="005C3B55">
              <w:rPr>
                <w:sz w:val="12"/>
              </w:rPr>
              <w:t>250</w:t>
            </w:r>
          </w:p>
        </w:tc>
      </w:tr>
      <w:tr w:rsidR="00C21266" w:rsidRPr="005C3B55">
        <w:tc>
          <w:tcPr>
            <w:tcW w:w="0" w:type="auto"/>
            <w:vMerge/>
            <w:tcBorders>
              <w:top w:val="single" w:sz="4" w:space="0" w:color="auto"/>
              <w:left w:val="single" w:sz="4" w:space="0" w:color="auto"/>
              <w:bottom w:val="single" w:sz="4" w:space="0" w:color="auto"/>
              <w:right w:val="single" w:sz="4" w:space="0" w:color="auto"/>
            </w:tcBorders>
            <w:vAlign w:val="center"/>
          </w:tcPr>
          <w:p w:rsidR="00C21266" w:rsidRPr="005C3B55" w:rsidRDefault="00C21266">
            <w:pPr>
              <w:spacing w:after="0"/>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rPr>
                <w:rFonts w:eastAsia="Calibri"/>
                <w:sz w:val="12"/>
                <w:lang w:eastAsia="en-GB" w:bidi="en-GB"/>
              </w:rPr>
            </w:pPr>
            <w:r w:rsidRPr="005C3B55">
              <w:rPr>
                <w:sz w:val="12"/>
              </w:rPr>
              <w:t>Total public expenditures in EUR (3.1-3.2)</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r w:rsidRPr="005C3B55">
              <w:rPr>
                <w:sz w:val="12"/>
              </w:rPr>
              <w:t>1,738,666.67</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gridSpan w:val="3"/>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r w:rsidRPr="005C3B55">
              <w:rPr>
                <w:sz w:val="12"/>
              </w:rPr>
              <w:t>1,738,666.67</w:t>
            </w:r>
          </w:p>
        </w:tc>
      </w:tr>
      <w:tr w:rsidR="00C21266" w:rsidRPr="005C3B55">
        <w:tc>
          <w:tcPr>
            <w:tcW w:w="1000" w:type="pct"/>
            <w:vMerge w:val="restar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r w:rsidRPr="005C3B55">
              <w:rPr>
                <w:sz w:val="12"/>
              </w:rPr>
              <w:t>M04</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rPr>
                <w:rFonts w:eastAsia="Calibri"/>
                <w:sz w:val="12"/>
                <w:lang w:eastAsia="en-GB" w:bidi="en-GB"/>
              </w:rPr>
            </w:pPr>
            <w:r w:rsidRPr="005C3B55">
              <w:rPr>
                <w:sz w:val="12"/>
              </w:rPr>
              <w:t>Total investments in EUR (public and private)</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r w:rsidRPr="005C3B55">
              <w:rPr>
                <w:sz w:val="12"/>
              </w:rPr>
              <w:t>417,251,845.56</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r w:rsidRPr="005C3B55">
              <w:rPr>
                <w:sz w:val="12"/>
              </w:rPr>
              <w:t>248,628,175.82</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gridSpan w:val="3"/>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r w:rsidRPr="005C3B55">
              <w:rPr>
                <w:sz w:val="12"/>
              </w:rPr>
              <w:t>665,880,021.38</w:t>
            </w:r>
          </w:p>
        </w:tc>
      </w:tr>
      <w:tr w:rsidR="00C21266" w:rsidRPr="005C3B55">
        <w:tc>
          <w:tcPr>
            <w:tcW w:w="0" w:type="auto"/>
            <w:vMerge/>
            <w:tcBorders>
              <w:top w:val="single" w:sz="4" w:space="0" w:color="auto"/>
              <w:left w:val="single" w:sz="4" w:space="0" w:color="auto"/>
              <w:bottom w:val="single" w:sz="4" w:space="0" w:color="auto"/>
              <w:right w:val="single" w:sz="4" w:space="0" w:color="auto"/>
            </w:tcBorders>
            <w:vAlign w:val="center"/>
          </w:tcPr>
          <w:p w:rsidR="00C21266" w:rsidRPr="005C3B55" w:rsidRDefault="00C21266">
            <w:pPr>
              <w:spacing w:after="0"/>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rPr>
                <w:rFonts w:eastAsia="Calibri"/>
                <w:sz w:val="12"/>
                <w:lang w:eastAsia="en-GB" w:bidi="en-GB"/>
              </w:rPr>
            </w:pPr>
            <w:r w:rsidRPr="005C3B55">
              <w:rPr>
                <w:sz w:val="12"/>
              </w:rPr>
              <w:t>Total public expenditures in EUR</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r w:rsidRPr="005C3B55">
              <w:rPr>
                <w:sz w:val="12"/>
              </w:rPr>
              <w:t>151,704,554.31</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r w:rsidRPr="005C3B55">
              <w:rPr>
                <w:sz w:val="12"/>
              </w:rPr>
              <w:t>76,422,595.03</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gridSpan w:val="3"/>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r w:rsidRPr="005C3B55">
              <w:rPr>
                <w:sz w:val="12"/>
              </w:rPr>
              <w:t>228,127,149.34</w:t>
            </w:r>
          </w:p>
        </w:tc>
      </w:tr>
      <w:tr w:rsidR="00C21266" w:rsidRPr="005C3B55">
        <w:tc>
          <w:tcPr>
            <w:tcW w:w="1000" w:type="pct"/>
            <w:vMerge w:val="restar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r w:rsidRPr="005C3B55">
              <w:rPr>
                <w:sz w:val="12"/>
              </w:rPr>
              <w:t>M06</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rPr>
                <w:rFonts w:eastAsia="Calibri"/>
                <w:sz w:val="12"/>
                <w:lang w:eastAsia="en-GB" w:bidi="en-GB"/>
              </w:rPr>
            </w:pPr>
            <w:r w:rsidRPr="005C3B55">
              <w:rPr>
                <w:sz w:val="12"/>
              </w:rPr>
              <w:t>Total investments in EUR (public and private)</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r w:rsidRPr="005C3B55">
              <w:rPr>
                <w:sz w:val="12"/>
              </w:rPr>
              <w:t>0</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gridSpan w:val="3"/>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r w:rsidRPr="005C3B55">
              <w:rPr>
                <w:sz w:val="12"/>
              </w:rPr>
              <w:t>132,000,000</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r w:rsidRPr="005C3B55">
              <w:rPr>
                <w:sz w:val="12"/>
              </w:rPr>
              <w:t>132,000,000</w:t>
            </w:r>
          </w:p>
        </w:tc>
      </w:tr>
      <w:tr w:rsidR="00C21266" w:rsidRPr="005C3B55">
        <w:tc>
          <w:tcPr>
            <w:tcW w:w="0" w:type="auto"/>
            <w:vMerge/>
            <w:tcBorders>
              <w:top w:val="single" w:sz="4" w:space="0" w:color="auto"/>
              <w:left w:val="single" w:sz="4" w:space="0" w:color="auto"/>
              <w:bottom w:val="single" w:sz="4" w:space="0" w:color="auto"/>
              <w:right w:val="single" w:sz="4" w:space="0" w:color="auto"/>
            </w:tcBorders>
            <w:vAlign w:val="center"/>
          </w:tcPr>
          <w:p w:rsidR="00C21266" w:rsidRPr="005C3B55" w:rsidRDefault="00C21266">
            <w:pPr>
              <w:spacing w:after="0"/>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rPr>
                <w:rFonts w:eastAsia="Calibri"/>
                <w:sz w:val="12"/>
                <w:lang w:eastAsia="en-GB" w:bidi="en-GB"/>
              </w:rPr>
            </w:pPr>
            <w:r w:rsidRPr="005C3B55">
              <w:rPr>
                <w:sz w:val="12"/>
              </w:rPr>
              <w:t>Total public expenditures in EUR</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r w:rsidRPr="005C3B55">
              <w:rPr>
                <w:sz w:val="12"/>
              </w:rPr>
              <w:t>60,650,000</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gridSpan w:val="3"/>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r w:rsidRPr="005C3B55">
              <w:rPr>
                <w:sz w:val="12"/>
              </w:rPr>
              <w:t>64,693,333.33</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r w:rsidRPr="005C3B55">
              <w:rPr>
                <w:sz w:val="12"/>
              </w:rPr>
              <w:t>125,343,333.33</w:t>
            </w:r>
          </w:p>
        </w:tc>
      </w:tr>
      <w:tr w:rsidR="00C21266" w:rsidRPr="005C3B55">
        <w:tc>
          <w:tcPr>
            <w:tcW w:w="1000" w:type="pct"/>
            <w:tcBorders>
              <w:top w:val="single" w:sz="4" w:space="0" w:color="auto"/>
              <w:left w:val="single" w:sz="4" w:space="0" w:color="auto"/>
              <w:bottom w:val="nil"/>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r w:rsidRPr="005C3B55">
              <w:rPr>
                <w:sz w:val="12"/>
              </w:rPr>
              <w:t>M07</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rPr>
                <w:rFonts w:eastAsia="Calibri"/>
                <w:sz w:val="12"/>
                <w:lang w:eastAsia="en-GB" w:bidi="en-GB"/>
              </w:rPr>
            </w:pPr>
            <w:r w:rsidRPr="005C3B55">
              <w:rPr>
                <w:sz w:val="12"/>
              </w:rPr>
              <w:t>Total public expenditures (EUR)</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gridSpan w:val="3"/>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r w:rsidRPr="005C3B55">
              <w:rPr>
                <w:sz w:val="12"/>
              </w:rPr>
              <w:t>10,000,000</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r w:rsidRPr="005C3B55">
              <w:rPr>
                <w:sz w:val="12"/>
              </w:rPr>
              <w:t>10,000,000</w:t>
            </w:r>
          </w:p>
        </w:tc>
      </w:tr>
      <w:tr w:rsidR="00C21266" w:rsidRPr="005C3B55">
        <w:tc>
          <w:tcPr>
            <w:tcW w:w="1000" w:type="pct"/>
            <w:vMerge w:val="restar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r w:rsidRPr="005C3B55">
              <w:rPr>
                <w:sz w:val="12"/>
              </w:rPr>
              <w:t>M08</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rPr>
                <w:rFonts w:eastAsia="Calibri"/>
                <w:sz w:val="12"/>
                <w:lang w:eastAsia="en-GB" w:bidi="en-GB"/>
              </w:rPr>
            </w:pPr>
            <w:r w:rsidRPr="005C3B55">
              <w:rPr>
                <w:sz w:val="12"/>
              </w:rPr>
              <w:t>Total public expenditures in EUR (8.1)</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gridSpan w:val="3"/>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r w:rsidRPr="005C3B55">
              <w:rPr>
                <w:sz w:val="12"/>
              </w:rPr>
              <w:t>0</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r w:rsidRPr="005C3B55">
              <w:rPr>
                <w:sz w:val="12"/>
              </w:rPr>
              <w:t>0</w:t>
            </w:r>
          </w:p>
        </w:tc>
      </w:tr>
      <w:tr w:rsidR="00C21266" w:rsidRPr="005C3B55">
        <w:tc>
          <w:tcPr>
            <w:tcW w:w="0" w:type="auto"/>
            <w:vMerge/>
            <w:tcBorders>
              <w:top w:val="single" w:sz="4" w:space="0" w:color="auto"/>
              <w:left w:val="single" w:sz="4" w:space="0" w:color="auto"/>
              <w:bottom w:val="single" w:sz="4" w:space="0" w:color="auto"/>
              <w:right w:val="single" w:sz="4" w:space="0" w:color="auto"/>
            </w:tcBorders>
            <w:vAlign w:val="center"/>
          </w:tcPr>
          <w:p w:rsidR="00C21266" w:rsidRPr="005C3B55" w:rsidRDefault="00C21266">
            <w:pPr>
              <w:spacing w:after="0"/>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rPr>
                <w:rFonts w:eastAsia="Calibri"/>
                <w:sz w:val="12"/>
                <w:lang w:eastAsia="en-GB" w:bidi="en-GB"/>
              </w:rPr>
            </w:pPr>
            <w:r w:rsidRPr="005C3B55">
              <w:rPr>
                <w:sz w:val="12"/>
              </w:rPr>
              <w:t>Total public expenditures in EUR (8.2)</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gridSpan w:val="3"/>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r w:rsidRPr="005C3B55">
              <w:rPr>
                <w:sz w:val="12"/>
              </w:rPr>
              <w:t>0</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r w:rsidRPr="005C3B55">
              <w:rPr>
                <w:sz w:val="12"/>
              </w:rPr>
              <w:t>0</w:t>
            </w:r>
          </w:p>
        </w:tc>
      </w:tr>
      <w:tr w:rsidR="00C21266" w:rsidRPr="005C3B55">
        <w:tc>
          <w:tcPr>
            <w:tcW w:w="0" w:type="auto"/>
            <w:vMerge/>
            <w:tcBorders>
              <w:top w:val="single" w:sz="4" w:space="0" w:color="auto"/>
              <w:left w:val="single" w:sz="4" w:space="0" w:color="auto"/>
              <w:bottom w:val="single" w:sz="4" w:space="0" w:color="auto"/>
              <w:right w:val="single" w:sz="4" w:space="0" w:color="auto"/>
            </w:tcBorders>
            <w:vAlign w:val="center"/>
          </w:tcPr>
          <w:p w:rsidR="00C21266" w:rsidRPr="005C3B55" w:rsidRDefault="00C21266">
            <w:pPr>
              <w:spacing w:after="0"/>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rPr>
                <w:rFonts w:eastAsia="Calibri"/>
                <w:sz w:val="12"/>
                <w:lang w:eastAsia="en-GB" w:bidi="en-GB"/>
              </w:rPr>
            </w:pPr>
            <w:r w:rsidRPr="005C3B55">
              <w:rPr>
                <w:sz w:val="12"/>
              </w:rPr>
              <w:t>Total public expenditures in EUR (8.3)</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gridSpan w:val="3"/>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r w:rsidRPr="005C3B55">
              <w:rPr>
                <w:sz w:val="12"/>
              </w:rPr>
              <w:t>0</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r w:rsidRPr="005C3B55">
              <w:rPr>
                <w:sz w:val="12"/>
              </w:rPr>
              <w:t>0</w:t>
            </w:r>
          </w:p>
        </w:tc>
      </w:tr>
      <w:tr w:rsidR="00C21266" w:rsidRPr="005C3B55">
        <w:tc>
          <w:tcPr>
            <w:tcW w:w="0" w:type="auto"/>
            <w:vMerge/>
            <w:tcBorders>
              <w:top w:val="single" w:sz="4" w:space="0" w:color="auto"/>
              <w:left w:val="single" w:sz="4" w:space="0" w:color="auto"/>
              <w:bottom w:val="single" w:sz="4" w:space="0" w:color="auto"/>
              <w:right w:val="single" w:sz="4" w:space="0" w:color="auto"/>
            </w:tcBorders>
            <w:vAlign w:val="center"/>
          </w:tcPr>
          <w:p w:rsidR="00C21266" w:rsidRPr="005C3B55" w:rsidRDefault="00C21266">
            <w:pPr>
              <w:spacing w:after="0"/>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rPr>
                <w:rFonts w:eastAsia="Calibri"/>
                <w:sz w:val="12"/>
                <w:lang w:eastAsia="en-GB" w:bidi="en-GB"/>
              </w:rPr>
            </w:pPr>
            <w:r w:rsidRPr="005C3B55">
              <w:rPr>
                <w:sz w:val="12"/>
              </w:rPr>
              <w:t>Total public expenditures in EUR (8.4)</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gridSpan w:val="3"/>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r w:rsidRPr="005C3B55">
              <w:rPr>
                <w:sz w:val="12"/>
              </w:rPr>
              <w:t>20,454,400</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r w:rsidRPr="005C3B55">
              <w:rPr>
                <w:sz w:val="12"/>
              </w:rPr>
              <w:t>0</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r w:rsidRPr="005C3B55">
              <w:rPr>
                <w:sz w:val="12"/>
              </w:rPr>
              <w:t>20,454,400</w:t>
            </w:r>
          </w:p>
        </w:tc>
      </w:tr>
      <w:tr w:rsidR="00C21266" w:rsidRPr="005C3B55">
        <w:tc>
          <w:tcPr>
            <w:tcW w:w="0" w:type="auto"/>
            <w:vMerge/>
            <w:tcBorders>
              <w:top w:val="single" w:sz="4" w:space="0" w:color="auto"/>
              <w:left w:val="single" w:sz="4" w:space="0" w:color="auto"/>
              <w:bottom w:val="single" w:sz="4" w:space="0" w:color="auto"/>
              <w:right w:val="single" w:sz="4" w:space="0" w:color="auto"/>
            </w:tcBorders>
            <w:vAlign w:val="center"/>
          </w:tcPr>
          <w:p w:rsidR="00C21266" w:rsidRPr="005C3B55" w:rsidRDefault="00C21266">
            <w:pPr>
              <w:spacing w:after="0"/>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rPr>
                <w:rFonts w:eastAsia="Calibri"/>
                <w:sz w:val="12"/>
                <w:lang w:eastAsia="en-GB" w:bidi="en-GB"/>
              </w:rPr>
            </w:pPr>
            <w:r w:rsidRPr="005C3B55">
              <w:rPr>
                <w:sz w:val="12"/>
              </w:rPr>
              <w:t>Total public expenditures in EUR (8.5)</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gridSpan w:val="3"/>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r w:rsidRPr="005C3B55">
              <w:rPr>
                <w:sz w:val="12"/>
              </w:rPr>
              <w:t>0</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r w:rsidRPr="005C3B55">
              <w:rPr>
                <w:sz w:val="12"/>
              </w:rPr>
              <w:t>0</w:t>
            </w:r>
          </w:p>
        </w:tc>
      </w:tr>
      <w:tr w:rsidR="00C21266" w:rsidRPr="005C3B55">
        <w:tc>
          <w:tcPr>
            <w:tcW w:w="0" w:type="auto"/>
            <w:vMerge/>
            <w:tcBorders>
              <w:top w:val="single" w:sz="4" w:space="0" w:color="auto"/>
              <w:left w:val="single" w:sz="4" w:space="0" w:color="auto"/>
              <w:bottom w:val="single" w:sz="4" w:space="0" w:color="auto"/>
              <w:right w:val="single" w:sz="4" w:space="0" w:color="auto"/>
            </w:tcBorders>
            <w:vAlign w:val="center"/>
          </w:tcPr>
          <w:p w:rsidR="00C21266" w:rsidRPr="005C3B55" w:rsidRDefault="00C21266">
            <w:pPr>
              <w:spacing w:after="0"/>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rPr>
                <w:rFonts w:eastAsia="Calibri"/>
                <w:sz w:val="12"/>
                <w:lang w:eastAsia="en-GB" w:bidi="en-GB"/>
              </w:rPr>
            </w:pPr>
            <w:r w:rsidRPr="005C3B55">
              <w:rPr>
                <w:sz w:val="12"/>
              </w:rPr>
              <w:t>Total public expenditures in EUR (8.6)</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gridSpan w:val="3"/>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r w:rsidRPr="005C3B55">
              <w:rPr>
                <w:sz w:val="12"/>
              </w:rPr>
              <w:t>39,026,666.67</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r w:rsidRPr="005C3B55">
              <w:rPr>
                <w:sz w:val="12"/>
              </w:rPr>
              <w:t>39,026,666.67</w:t>
            </w:r>
          </w:p>
        </w:tc>
      </w:tr>
      <w:tr w:rsidR="00C21266" w:rsidRPr="005C3B55">
        <w:tc>
          <w:tcPr>
            <w:tcW w:w="1000" w:type="pct"/>
            <w:tcBorders>
              <w:top w:val="single" w:sz="4" w:space="0" w:color="auto"/>
              <w:left w:val="single" w:sz="4" w:space="0" w:color="auto"/>
              <w:bottom w:val="nil"/>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r w:rsidRPr="005C3B55">
              <w:rPr>
                <w:sz w:val="12"/>
              </w:rPr>
              <w:t>M09</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rPr>
                <w:rFonts w:eastAsia="Calibri"/>
                <w:sz w:val="12"/>
                <w:lang w:eastAsia="en-GB" w:bidi="en-GB"/>
              </w:rPr>
            </w:pPr>
            <w:r w:rsidRPr="005C3B55">
              <w:rPr>
                <w:sz w:val="12"/>
              </w:rPr>
              <w:t>Total public expenditures (EUR)</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r w:rsidRPr="005C3B55">
              <w:rPr>
                <w:sz w:val="12"/>
              </w:rPr>
              <w:t>2,227,950</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gridSpan w:val="3"/>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r w:rsidRPr="005C3B55">
              <w:rPr>
                <w:sz w:val="12"/>
              </w:rPr>
              <w:t>2,227,950</w:t>
            </w:r>
          </w:p>
        </w:tc>
      </w:tr>
      <w:tr w:rsidR="00C21266" w:rsidRPr="005C3B55">
        <w:tc>
          <w:tcPr>
            <w:tcW w:w="1000" w:type="pct"/>
            <w:vMerge w:val="restar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r w:rsidRPr="005C3B55">
              <w:rPr>
                <w:sz w:val="12"/>
              </w:rPr>
              <w:t>M10</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rPr>
                <w:rFonts w:eastAsia="Calibri"/>
                <w:sz w:val="12"/>
                <w:lang w:eastAsia="en-GB" w:bidi="en-GB"/>
              </w:rPr>
            </w:pPr>
            <w:r w:rsidRPr="005C3B55">
              <w:rPr>
                <w:sz w:val="12"/>
              </w:rPr>
              <w:t>Areas (ha) subject to agri-environment-climate payments (10.1)</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gridSpan w:val="3"/>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r w:rsidRPr="005C3B55">
              <w:rPr>
                <w:sz w:val="12"/>
              </w:rPr>
              <w:t>426.000</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r w:rsidRPr="005C3B55">
              <w:rPr>
                <w:sz w:val="12"/>
              </w:rPr>
              <w:t>426.000</w:t>
            </w:r>
          </w:p>
        </w:tc>
      </w:tr>
      <w:tr w:rsidR="00C21266" w:rsidRPr="005C3B55">
        <w:tc>
          <w:tcPr>
            <w:tcW w:w="0" w:type="auto"/>
            <w:vMerge/>
            <w:tcBorders>
              <w:top w:val="single" w:sz="4" w:space="0" w:color="auto"/>
              <w:left w:val="single" w:sz="4" w:space="0" w:color="auto"/>
              <w:bottom w:val="single" w:sz="4" w:space="0" w:color="auto"/>
              <w:right w:val="single" w:sz="4" w:space="0" w:color="auto"/>
            </w:tcBorders>
            <w:vAlign w:val="center"/>
          </w:tcPr>
          <w:p w:rsidR="00C21266" w:rsidRPr="005C3B55" w:rsidRDefault="00C21266">
            <w:pPr>
              <w:spacing w:after="0"/>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rPr>
                <w:rFonts w:eastAsia="Calibri"/>
                <w:sz w:val="12"/>
                <w:lang w:eastAsia="en-GB" w:bidi="en-GB"/>
              </w:rPr>
            </w:pPr>
            <w:r w:rsidRPr="005C3B55">
              <w:rPr>
                <w:sz w:val="12"/>
              </w:rPr>
              <w:t xml:space="preserve">Total public expenditures (EUR) </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gridSpan w:val="3"/>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r w:rsidRPr="005C3B55">
              <w:rPr>
                <w:sz w:val="12"/>
              </w:rPr>
              <w:t>203,607,386.67</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r w:rsidRPr="005C3B55">
              <w:rPr>
                <w:sz w:val="12"/>
              </w:rPr>
              <w:t>203,607,386.67</w:t>
            </w:r>
          </w:p>
        </w:tc>
      </w:tr>
      <w:tr w:rsidR="00C21266" w:rsidRPr="005C3B55">
        <w:tc>
          <w:tcPr>
            <w:tcW w:w="1000" w:type="pct"/>
            <w:vMerge w:val="restar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r w:rsidRPr="005C3B55">
              <w:rPr>
                <w:sz w:val="12"/>
              </w:rPr>
              <w:t>M11</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rPr>
                <w:rFonts w:eastAsia="Calibri"/>
                <w:sz w:val="12"/>
                <w:lang w:eastAsia="en-GB" w:bidi="en-GB"/>
              </w:rPr>
            </w:pPr>
            <w:r w:rsidRPr="005C3B55">
              <w:rPr>
                <w:sz w:val="12"/>
              </w:rPr>
              <w:t>Areas (ha) - redirected into the organic farming (11.1)</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gridSpan w:val="3"/>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r w:rsidRPr="005C3B55">
              <w:rPr>
                <w:sz w:val="12"/>
              </w:rPr>
              <w:t>15.000</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r w:rsidRPr="005C3B55">
              <w:rPr>
                <w:sz w:val="12"/>
              </w:rPr>
              <w:t>15.000</w:t>
            </w:r>
          </w:p>
        </w:tc>
      </w:tr>
      <w:tr w:rsidR="00C21266" w:rsidRPr="005C3B55">
        <w:tc>
          <w:tcPr>
            <w:tcW w:w="0" w:type="auto"/>
            <w:vMerge/>
            <w:tcBorders>
              <w:top w:val="single" w:sz="4" w:space="0" w:color="auto"/>
              <w:left w:val="single" w:sz="4" w:space="0" w:color="auto"/>
              <w:bottom w:val="single" w:sz="4" w:space="0" w:color="auto"/>
              <w:right w:val="single" w:sz="4" w:space="0" w:color="auto"/>
            </w:tcBorders>
            <w:vAlign w:val="center"/>
          </w:tcPr>
          <w:p w:rsidR="00C21266" w:rsidRPr="005C3B55" w:rsidRDefault="00C21266">
            <w:pPr>
              <w:spacing w:after="0"/>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rPr>
                <w:rFonts w:eastAsia="Calibri"/>
                <w:sz w:val="12"/>
                <w:lang w:eastAsia="en-GB" w:bidi="en-GB"/>
              </w:rPr>
            </w:pPr>
            <w:r w:rsidRPr="005C3B55">
              <w:rPr>
                <w:sz w:val="12"/>
              </w:rPr>
              <w:t>Areas (ha) - conservation of the organic farming (11.2)</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gridSpan w:val="3"/>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r w:rsidRPr="005C3B55">
              <w:rPr>
                <w:sz w:val="12"/>
              </w:rPr>
              <w:t>40.000</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r w:rsidRPr="005C3B55">
              <w:rPr>
                <w:sz w:val="12"/>
              </w:rPr>
              <w:t>40.000</w:t>
            </w:r>
          </w:p>
        </w:tc>
      </w:tr>
      <w:tr w:rsidR="00C21266" w:rsidRPr="005C3B55">
        <w:tc>
          <w:tcPr>
            <w:tcW w:w="0" w:type="auto"/>
            <w:vMerge/>
            <w:tcBorders>
              <w:top w:val="single" w:sz="4" w:space="0" w:color="auto"/>
              <w:left w:val="single" w:sz="4" w:space="0" w:color="auto"/>
              <w:bottom w:val="single" w:sz="4" w:space="0" w:color="auto"/>
              <w:right w:val="single" w:sz="4" w:space="0" w:color="auto"/>
            </w:tcBorders>
            <w:vAlign w:val="center"/>
          </w:tcPr>
          <w:p w:rsidR="00C21266" w:rsidRPr="005C3B55" w:rsidRDefault="00C21266">
            <w:pPr>
              <w:spacing w:after="0"/>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rPr>
                <w:rFonts w:eastAsia="Calibri"/>
                <w:sz w:val="12"/>
                <w:lang w:eastAsia="en-GB" w:bidi="en-GB"/>
              </w:rPr>
            </w:pPr>
            <w:r w:rsidRPr="005C3B55">
              <w:rPr>
                <w:sz w:val="12"/>
              </w:rPr>
              <w:t>Total public expenditures (EUR)</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gridSpan w:val="3"/>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r w:rsidRPr="005C3B55">
              <w:rPr>
                <w:sz w:val="12"/>
              </w:rPr>
              <w:t>60,200,000</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r w:rsidRPr="005C3B55">
              <w:rPr>
                <w:sz w:val="12"/>
              </w:rPr>
              <w:t>60,200,000</w:t>
            </w:r>
          </w:p>
        </w:tc>
      </w:tr>
      <w:tr w:rsidR="00C21266" w:rsidRPr="005C3B55">
        <w:tc>
          <w:tcPr>
            <w:tcW w:w="1000" w:type="pct"/>
            <w:vMerge w:val="restar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r w:rsidRPr="005C3B55">
              <w:rPr>
                <w:sz w:val="12"/>
              </w:rPr>
              <w:t>M13</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rPr>
                <w:rFonts w:eastAsia="Calibri"/>
                <w:sz w:val="12"/>
                <w:lang w:eastAsia="en-GB" w:bidi="en-GB"/>
              </w:rPr>
            </w:pPr>
            <w:r w:rsidRPr="005C3B55">
              <w:rPr>
                <w:sz w:val="12"/>
              </w:rPr>
              <w:t>Areas (ha) - mountainous areas (13.1)</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gridSpan w:val="3"/>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r w:rsidRPr="005C3B55">
              <w:rPr>
                <w:sz w:val="12"/>
              </w:rPr>
              <w:t>241.000</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r w:rsidRPr="005C3B55">
              <w:rPr>
                <w:sz w:val="12"/>
              </w:rPr>
              <w:t>241.000</w:t>
            </w:r>
          </w:p>
        </w:tc>
      </w:tr>
      <w:tr w:rsidR="00C21266" w:rsidRPr="005C3B55">
        <w:tc>
          <w:tcPr>
            <w:tcW w:w="0" w:type="auto"/>
            <w:vMerge/>
            <w:tcBorders>
              <w:top w:val="single" w:sz="4" w:space="0" w:color="auto"/>
              <w:left w:val="single" w:sz="4" w:space="0" w:color="auto"/>
              <w:bottom w:val="single" w:sz="4" w:space="0" w:color="auto"/>
              <w:right w:val="single" w:sz="4" w:space="0" w:color="auto"/>
            </w:tcBorders>
            <w:vAlign w:val="center"/>
          </w:tcPr>
          <w:p w:rsidR="00C21266" w:rsidRPr="005C3B55" w:rsidRDefault="00C21266">
            <w:pPr>
              <w:spacing w:after="0"/>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rPr>
                <w:rFonts w:eastAsia="Calibri"/>
                <w:sz w:val="12"/>
                <w:lang w:eastAsia="en-GB" w:bidi="en-GB"/>
              </w:rPr>
            </w:pPr>
            <w:r w:rsidRPr="005C3B55">
              <w:rPr>
                <w:sz w:val="12"/>
              </w:rPr>
              <w:t>Areas (ha) other areas with considerable natural constraints (13.2)</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gridSpan w:val="3"/>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r w:rsidRPr="005C3B55">
              <w:rPr>
                <w:sz w:val="12"/>
              </w:rPr>
              <w:t>15.600</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r w:rsidRPr="005C3B55">
              <w:rPr>
                <w:sz w:val="12"/>
              </w:rPr>
              <w:t>15.600</w:t>
            </w:r>
          </w:p>
        </w:tc>
      </w:tr>
      <w:tr w:rsidR="00C21266" w:rsidRPr="005C3B55">
        <w:tc>
          <w:tcPr>
            <w:tcW w:w="0" w:type="auto"/>
            <w:vMerge/>
            <w:tcBorders>
              <w:top w:val="single" w:sz="4" w:space="0" w:color="auto"/>
              <w:left w:val="single" w:sz="4" w:space="0" w:color="auto"/>
              <w:bottom w:val="single" w:sz="4" w:space="0" w:color="auto"/>
              <w:right w:val="single" w:sz="4" w:space="0" w:color="auto"/>
            </w:tcBorders>
            <w:vAlign w:val="center"/>
          </w:tcPr>
          <w:p w:rsidR="00C21266" w:rsidRPr="005C3B55" w:rsidRDefault="00C21266">
            <w:pPr>
              <w:spacing w:after="0"/>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rPr>
                <w:rFonts w:eastAsia="Calibri"/>
                <w:sz w:val="12"/>
                <w:lang w:eastAsia="en-GB" w:bidi="en-GB"/>
              </w:rPr>
            </w:pPr>
            <w:r w:rsidRPr="005C3B55">
              <w:rPr>
                <w:sz w:val="12"/>
              </w:rPr>
              <w:t>Areas (ha) - other areas with specific constraints (13.3)</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gridSpan w:val="3"/>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r w:rsidRPr="005C3B55">
              <w:rPr>
                <w:sz w:val="12"/>
              </w:rPr>
              <w:t>73.200</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r w:rsidRPr="005C3B55">
              <w:rPr>
                <w:sz w:val="12"/>
              </w:rPr>
              <w:t>73.200</w:t>
            </w:r>
          </w:p>
        </w:tc>
      </w:tr>
      <w:tr w:rsidR="00C21266" w:rsidRPr="005C3B55">
        <w:tc>
          <w:tcPr>
            <w:tcW w:w="0" w:type="auto"/>
            <w:vMerge/>
            <w:tcBorders>
              <w:top w:val="single" w:sz="4" w:space="0" w:color="auto"/>
              <w:left w:val="single" w:sz="4" w:space="0" w:color="auto"/>
              <w:bottom w:val="single" w:sz="4" w:space="0" w:color="auto"/>
              <w:right w:val="single" w:sz="4" w:space="0" w:color="auto"/>
            </w:tcBorders>
            <w:vAlign w:val="center"/>
          </w:tcPr>
          <w:p w:rsidR="00C21266" w:rsidRPr="005C3B55" w:rsidRDefault="00C21266">
            <w:pPr>
              <w:spacing w:after="0"/>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rPr>
                <w:rFonts w:eastAsia="Calibri"/>
                <w:sz w:val="12"/>
                <w:lang w:eastAsia="en-GB" w:bidi="en-GB"/>
              </w:rPr>
            </w:pPr>
            <w:r w:rsidRPr="005C3B55">
              <w:rPr>
                <w:sz w:val="12"/>
              </w:rPr>
              <w:t>Total public expenditures (EUR)</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gridSpan w:val="3"/>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r w:rsidRPr="005C3B55">
              <w:rPr>
                <w:sz w:val="12"/>
              </w:rPr>
              <w:t>265,933,333.33</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r w:rsidRPr="005C3B55">
              <w:rPr>
                <w:sz w:val="12"/>
              </w:rPr>
              <w:t>265,933,333.33</w:t>
            </w:r>
          </w:p>
        </w:tc>
      </w:tr>
      <w:tr w:rsidR="00C21266" w:rsidRPr="005C3B55">
        <w:tc>
          <w:tcPr>
            <w:tcW w:w="1000" w:type="pct"/>
            <w:vMerge w:val="restar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r w:rsidRPr="005C3B55">
              <w:rPr>
                <w:sz w:val="12"/>
              </w:rPr>
              <w:t>M14</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rPr>
                <w:rFonts w:eastAsia="Calibri"/>
                <w:sz w:val="12"/>
                <w:lang w:eastAsia="en-GB" w:bidi="en-GB"/>
              </w:rPr>
            </w:pPr>
            <w:r w:rsidRPr="005C3B55">
              <w:rPr>
                <w:sz w:val="12"/>
              </w:rPr>
              <w:t xml:space="preserve">Number of beneficiaries </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r w:rsidRPr="005C3B55">
              <w:rPr>
                <w:sz w:val="12"/>
              </w:rPr>
              <w:t>200</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gridSpan w:val="3"/>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r w:rsidRPr="005C3B55">
              <w:rPr>
                <w:sz w:val="12"/>
              </w:rPr>
              <w:t>200</w:t>
            </w:r>
          </w:p>
        </w:tc>
      </w:tr>
      <w:tr w:rsidR="00C21266" w:rsidRPr="005C3B55">
        <w:tc>
          <w:tcPr>
            <w:tcW w:w="0" w:type="auto"/>
            <w:vMerge/>
            <w:tcBorders>
              <w:top w:val="single" w:sz="4" w:space="0" w:color="auto"/>
              <w:left w:val="single" w:sz="4" w:space="0" w:color="auto"/>
              <w:bottom w:val="single" w:sz="4" w:space="0" w:color="auto"/>
              <w:right w:val="single" w:sz="4" w:space="0" w:color="auto"/>
            </w:tcBorders>
            <w:vAlign w:val="center"/>
          </w:tcPr>
          <w:p w:rsidR="00C21266" w:rsidRPr="005C3B55" w:rsidRDefault="00C21266">
            <w:pPr>
              <w:spacing w:after="0"/>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rPr>
                <w:rFonts w:eastAsia="Calibri"/>
                <w:sz w:val="12"/>
                <w:lang w:eastAsia="en-GB" w:bidi="en-GB"/>
              </w:rPr>
            </w:pPr>
            <w:r w:rsidRPr="005C3B55">
              <w:rPr>
                <w:sz w:val="12"/>
              </w:rPr>
              <w:t>Total public expenditures (EUR)</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r w:rsidRPr="005C3B55">
              <w:rPr>
                <w:sz w:val="12"/>
              </w:rPr>
              <w:t>16,368,000</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gridSpan w:val="3"/>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r w:rsidRPr="005C3B55">
              <w:rPr>
                <w:sz w:val="12"/>
              </w:rPr>
              <w:t>16,368,000</w:t>
            </w:r>
          </w:p>
        </w:tc>
      </w:tr>
      <w:tr w:rsidR="00C21266" w:rsidRPr="005C3B55">
        <w:tc>
          <w:tcPr>
            <w:tcW w:w="1000" w:type="pct"/>
            <w:vMerge w:val="restar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r w:rsidRPr="005C3B55">
              <w:rPr>
                <w:sz w:val="12"/>
              </w:rPr>
              <w:t>M16</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rPr>
                <w:rFonts w:eastAsia="Calibri"/>
                <w:sz w:val="12"/>
                <w:lang w:eastAsia="en-GB" w:bidi="en-GB"/>
              </w:rPr>
            </w:pPr>
            <w:r w:rsidRPr="005C3B55">
              <w:rPr>
                <w:sz w:val="12"/>
              </w:rPr>
              <w:t>Number of agricultural holdings participating in cooperation and promotion activities at the local level among the participants in the supply chain (16.4)</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r w:rsidRPr="005C3B55">
              <w:rPr>
                <w:sz w:val="12"/>
              </w:rPr>
              <w:t>80</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gridSpan w:val="3"/>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r w:rsidRPr="005C3B55">
              <w:rPr>
                <w:sz w:val="12"/>
              </w:rPr>
              <w:t>80</w:t>
            </w:r>
          </w:p>
        </w:tc>
      </w:tr>
      <w:tr w:rsidR="00C21266" w:rsidRPr="005C3B55">
        <w:tc>
          <w:tcPr>
            <w:tcW w:w="0" w:type="auto"/>
            <w:vMerge/>
            <w:tcBorders>
              <w:top w:val="single" w:sz="4" w:space="0" w:color="auto"/>
              <w:left w:val="single" w:sz="4" w:space="0" w:color="auto"/>
              <w:bottom w:val="single" w:sz="4" w:space="0" w:color="auto"/>
              <w:right w:val="single" w:sz="4" w:space="0" w:color="auto"/>
            </w:tcBorders>
            <w:vAlign w:val="center"/>
          </w:tcPr>
          <w:p w:rsidR="00C21266" w:rsidRPr="005C3B55" w:rsidRDefault="00C21266">
            <w:pPr>
              <w:spacing w:after="0"/>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rPr>
                <w:rFonts w:eastAsia="Calibri"/>
                <w:sz w:val="12"/>
                <w:lang w:eastAsia="en-GB" w:bidi="en-GB"/>
              </w:rPr>
            </w:pPr>
            <w:r w:rsidRPr="005C3B55">
              <w:rPr>
                <w:sz w:val="12"/>
              </w:rPr>
              <w:t>Total public expenditures in EUR (16.1-16.9)</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r w:rsidRPr="005C3B55">
              <w:rPr>
                <w:sz w:val="12"/>
              </w:rPr>
              <w:t>8,767,312.5</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r w:rsidRPr="005C3B55">
              <w:rPr>
                <w:sz w:val="12"/>
              </w:rPr>
              <w:t>3,771,750</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gridSpan w:val="3"/>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r w:rsidRPr="005C3B55">
              <w:rPr>
                <w:sz w:val="12"/>
              </w:rPr>
              <w:t>5,617,500</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r w:rsidRPr="005C3B55">
              <w:rPr>
                <w:sz w:val="12"/>
              </w:rPr>
              <w:t>1,905,937.5</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r w:rsidRPr="005C3B55">
              <w:rPr>
                <w:sz w:val="12"/>
              </w:rPr>
              <w:t>20,062,500</w:t>
            </w:r>
          </w:p>
        </w:tc>
      </w:tr>
      <w:tr w:rsidR="00C21266" w:rsidRPr="005C3B55">
        <w:tc>
          <w:tcPr>
            <w:tcW w:w="1000" w:type="pct"/>
            <w:vMerge w:val="restar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r w:rsidRPr="005C3B55">
              <w:rPr>
                <w:sz w:val="12"/>
              </w:rPr>
              <w:t>M19</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rPr>
                <w:rFonts w:eastAsia="Calibri"/>
                <w:sz w:val="12"/>
                <w:lang w:eastAsia="en-GB" w:bidi="en-GB"/>
              </w:rPr>
            </w:pPr>
            <w:r w:rsidRPr="005C3B55">
              <w:rPr>
                <w:sz w:val="12"/>
              </w:rPr>
              <w:t>Number of selected local action groups</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gridSpan w:val="3"/>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r w:rsidRPr="005C3B55">
              <w:rPr>
                <w:sz w:val="12"/>
              </w:rPr>
              <w:t>33</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r w:rsidRPr="005C3B55">
              <w:rPr>
                <w:sz w:val="12"/>
              </w:rPr>
              <w:t>33</w:t>
            </w:r>
          </w:p>
        </w:tc>
      </w:tr>
      <w:tr w:rsidR="00C21266" w:rsidRPr="005C3B55">
        <w:tc>
          <w:tcPr>
            <w:tcW w:w="0" w:type="auto"/>
            <w:vMerge/>
            <w:tcBorders>
              <w:top w:val="single" w:sz="4" w:space="0" w:color="auto"/>
              <w:left w:val="single" w:sz="4" w:space="0" w:color="auto"/>
              <w:bottom w:val="single" w:sz="4" w:space="0" w:color="auto"/>
              <w:right w:val="single" w:sz="4" w:space="0" w:color="auto"/>
            </w:tcBorders>
            <w:vAlign w:val="center"/>
          </w:tcPr>
          <w:p w:rsidR="00C21266" w:rsidRPr="005C3B55" w:rsidRDefault="00C21266">
            <w:pPr>
              <w:spacing w:after="0"/>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rPr>
                <w:rFonts w:eastAsia="Calibri"/>
                <w:sz w:val="12"/>
                <w:lang w:eastAsia="en-GB" w:bidi="en-GB"/>
              </w:rPr>
            </w:pPr>
            <w:r w:rsidRPr="005C3B55">
              <w:rPr>
                <w:sz w:val="12"/>
              </w:rPr>
              <w:t>Inhabitants included in local action groups</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gridSpan w:val="3"/>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r w:rsidRPr="005C3B55">
              <w:rPr>
                <w:sz w:val="12"/>
              </w:rPr>
              <w:t>1,350,000</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r w:rsidRPr="005C3B55">
              <w:rPr>
                <w:sz w:val="12"/>
              </w:rPr>
              <w:t>1,350,000</w:t>
            </w:r>
          </w:p>
        </w:tc>
      </w:tr>
      <w:tr w:rsidR="00C21266" w:rsidRPr="005C3B55">
        <w:tc>
          <w:tcPr>
            <w:tcW w:w="0" w:type="auto"/>
            <w:vMerge/>
            <w:tcBorders>
              <w:top w:val="single" w:sz="4" w:space="0" w:color="auto"/>
              <w:left w:val="single" w:sz="4" w:space="0" w:color="auto"/>
              <w:bottom w:val="single" w:sz="4" w:space="0" w:color="auto"/>
              <w:right w:val="single" w:sz="4" w:space="0" w:color="auto"/>
            </w:tcBorders>
            <w:vAlign w:val="center"/>
          </w:tcPr>
          <w:p w:rsidR="00C21266" w:rsidRPr="005C3B55" w:rsidRDefault="00C21266">
            <w:pPr>
              <w:spacing w:after="0"/>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rPr>
                <w:rFonts w:eastAsia="Calibri"/>
                <w:sz w:val="12"/>
                <w:lang w:eastAsia="en-GB" w:bidi="en-GB"/>
              </w:rPr>
            </w:pPr>
            <w:r w:rsidRPr="005C3B55">
              <w:rPr>
                <w:sz w:val="12"/>
              </w:rPr>
              <w:t>Total public expenditures (EUR) - prepared support (19.1)</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gridSpan w:val="3"/>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r w:rsidRPr="005C3B55">
              <w:rPr>
                <w:sz w:val="12"/>
              </w:rPr>
              <w:t>600.000</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r w:rsidRPr="005C3B55">
              <w:rPr>
                <w:sz w:val="12"/>
              </w:rPr>
              <w:t>600.000</w:t>
            </w:r>
          </w:p>
        </w:tc>
      </w:tr>
      <w:tr w:rsidR="00C21266" w:rsidRPr="005C3B55">
        <w:tc>
          <w:tcPr>
            <w:tcW w:w="0" w:type="auto"/>
            <w:vMerge/>
            <w:tcBorders>
              <w:top w:val="single" w:sz="4" w:space="0" w:color="auto"/>
              <w:left w:val="single" w:sz="4" w:space="0" w:color="auto"/>
              <w:bottom w:val="single" w:sz="4" w:space="0" w:color="auto"/>
              <w:right w:val="single" w:sz="4" w:space="0" w:color="auto"/>
            </w:tcBorders>
            <w:vAlign w:val="center"/>
          </w:tcPr>
          <w:p w:rsidR="00C21266" w:rsidRPr="005C3B55" w:rsidRDefault="00C21266">
            <w:pPr>
              <w:spacing w:after="0"/>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rPr>
                <w:rFonts w:eastAsia="Calibri"/>
                <w:sz w:val="12"/>
                <w:lang w:eastAsia="en-GB" w:bidi="en-GB"/>
              </w:rPr>
            </w:pPr>
            <w:r w:rsidRPr="005C3B55">
              <w:rPr>
                <w:sz w:val="12"/>
              </w:rPr>
              <w:t>Total public expenditures (EUR) - Support for implementing operations under the community-led local development strategy (19.2)</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gridSpan w:val="3"/>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r w:rsidRPr="005C3B55">
              <w:rPr>
                <w:sz w:val="12"/>
              </w:rPr>
              <w:t>33,709,771.69</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r w:rsidRPr="005C3B55">
              <w:rPr>
                <w:sz w:val="12"/>
              </w:rPr>
              <w:t>33,709,771.69</w:t>
            </w:r>
          </w:p>
        </w:tc>
      </w:tr>
      <w:tr w:rsidR="00C21266" w:rsidRPr="005C3B55">
        <w:tc>
          <w:tcPr>
            <w:tcW w:w="0" w:type="auto"/>
            <w:vMerge/>
            <w:tcBorders>
              <w:top w:val="single" w:sz="4" w:space="0" w:color="auto"/>
              <w:left w:val="single" w:sz="4" w:space="0" w:color="auto"/>
              <w:bottom w:val="single" w:sz="4" w:space="0" w:color="auto"/>
              <w:right w:val="single" w:sz="4" w:space="0" w:color="auto"/>
            </w:tcBorders>
            <w:vAlign w:val="center"/>
          </w:tcPr>
          <w:p w:rsidR="00C21266" w:rsidRPr="005C3B55" w:rsidRDefault="00C21266">
            <w:pPr>
              <w:spacing w:after="0"/>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rPr>
                <w:rFonts w:eastAsia="Calibri"/>
                <w:sz w:val="12"/>
                <w:lang w:eastAsia="en-GB" w:bidi="en-GB"/>
              </w:rPr>
            </w:pPr>
            <w:r w:rsidRPr="005C3B55">
              <w:rPr>
                <w:sz w:val="12"/>
              </w:rPr>
              <w:t>Total public expenditures (EUR) - preparation and implementation of cooperation activities of the local action group (19.3)</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gridSpan w:val="3"/>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r w:rsidRPr="005C3B55">
              <w:rPr>
                <w:sz w:val="12"/>
              </w:rPr>
              <w:t>4,000,000</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r w:rsidRPr="005C3B55">
              <w:rPr>
                <w:sz w:val="12"/>
              </w:rPr>
              <w:t>4,000,000</w:t>
            </w:r>
          </w:p>
        </w:tc>
      </w:tr>
      <w:tr w:rsidR="00C21266" w:rsidRPr="005C3B55">
        <w:tc>
          <w:tcPr>
            <w:tcW w:w="0" w:type="auto"/>
            <w:vMerge/>
            <w:tcBorders>
              <w:top w:val="single" w:sz="4" w:space="0" w:color="auto"/>
              <w:left w:val="single" w:sz="4" w:space="0" w:color="auto"/>
              <w:bottom w:val="single" w:sz="4" w:space="0" w:color="auto"/>
              <w:right w:val="single" w:sz="4" w:space="0" w:color="auto"/>
            </w:tcBorders>
            <w:vAlign w:val="center"/>
          </w:tcPr>
          <w:p w:rsidR="00C21266" w:rsidRPr="005C3B55" w:rsidRDefault="00C21266">
            <w:pPr>
              <w:spacing w:after="0"/>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rPr>
                <w:rFonts w:eastAsia="Calibri"/>
                <w:sz w:val="12"/>
                <w:lang w:eastAsia="en-GB" w:bidi="en-GB"/>
              </w:rPr>
            </w:pPr>
            <w:r w:rsidRPr="005C3B55">
              <w:rPr>
                <w:sz w:val="12"/>
              </w:rPr>
              <w:t>Total public expenditures (EUR) - Support for running costs and costs of animations (19.4)</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gridSpan w:val="3"/>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r w:rsidRPr="005C3B55">
              <w:rPr>
                <w:sz w:val="12"/>
              </w:rPr>
              <w:t>14,055,842.06</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right"/>
              <w:rPr>
                <w:rFonts w:eastAsia="Calibri"/>
                <w:sz w:val="12"/>
                <w:lang w:eastAsia="en-GB" w:bidi="en-GB"/>
              </w:rPr>
            </w:pPr>
            <w:r w:rsidRPr="005C3B55">
              <w:rPr>
                <w:sz w:val="12"/>
              </w:rPr>
              <w:t>14,055,842.06</w:t>
            </w:r>
          </w:p>
        </w:tc>
      </w:tr>
    </w:tbl>
    <w:p w:rsidR="00C21266" w:rsidRPr="005C3B55" w:rsidRDefault="00C21266" w:rsidP="00C21266">
      <w:pPr>
        <w:spacing w:after="0"/>
        <w:sectPr w:rsidR="00C21266" w:rsidRPr="005C3B55">
          <w:pgSz w:w="15840" w:h="12240" w:orient="landscape"/>
          <w:pgMar w:top="900" w:right="46" w:bottom="900" w:left="46" w:header="708" w:footer="708" w:gutter="0"/>
          <w:cols w:space="708"/>
        </w:sectPr>
      </w:pPr>
    </w:p>
    <w:p w:rsidR="00C21266" w:rsidRPr="005C3B55" w:rsidRDefault="00C21266" w:rsidP="00C21266">
      <w:pPr>
        <w:pStyle w:val="Naslov2"/>
        <w:tabs>
          <w:tab w:val="clear" w:pos="765"/>
        </w:tabs>
        <w:ind w:left="0" w:firstLine="0"/>
        <w:rPr>
          <w:lang w:val="en-GB" w:eastAsia="en-GB" w:bidi="en-GB"/>
        </w:rPr>
      </w:pPr>
      <w:bookmarkStart w:id="169" w:name="_Toc416192627"/>
      <w:r w:rsidRPr="005C3B55">
        <w:rPr>
          <w:lang w:val="en-GB"/>
        </w:rPr>
        <w:t>Secondary effects: definition of potential contribution of measures/sub-measures for rural development planned within the scope of the determined priority areas to other priority areas/objectives</w:t>
      </w:r>
      <w:bookmarkEnd w:id="169"/>
    </w:p>
    <w:tbl>
      <w:tblPr>
        <w:tblStyle w:val="Navadnatabela1"/>
        <w:tblW w:w="5000"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65"/>
        <w:gridCol w:w="7274"/>
        <w:gridCol w:w="342"/>
        <w:gridCol w:w="332"/>
        <w:gridCol w:w="332"/>
        <w:gridCol w:w="342"/>
        <w:gridCol w:w="332"/>
        <w:gridCol w:w="342"/>
        <w:gridCol w:w="332"/>
        <w:gridCol w:w="342"/>
        <w:gridCol w:w="332"/>
        <w:gridCol w:w="332"/>
        <w:gridCol w:w="342"/>
        <w:gridCol w:w="332"/>
        <w:gridCol w:w="332"/>
        <w:gridCol w:w="342"/>
        <w:gridCol w:w="323"/>
        <w:gridCol w:w="342"/>
        <w:gridCol w:w="332"/>
        <w:gridCol w:w="332"/>
      </w:tblGrid>
      <w:tr w:rsidR="00C21266" w:rsidRPr="005C3B55">
        <w:tc>
          <w:tcPr>
            <w:tcW w:w="0" w:type="auto"/>
            <w:vMerge w:val="restart"/>
            <w:tcBorders>
              <w:top w:val="single" w:sz="4" w:space="0" w:color="auto"/>
              <w:left w:val="single" w:sz="4" w:space="0" w:color="auto"/>
              <w:bottom w:val="single" w:sz="4" w:space="0" w:color="auto"/>
              <w:right w:val="single" w:sz="4" w:space="0" w:color="auto"/>
            </w:tcBorders>
            <w:shd w:val="clear" w:color="auto" w:fill="808080"/>
            <w:tcMar>
              <w:top w:w="20" w:type="dxa"/>
              <w:left w:w="20" w:type="dxa"/>
              <w:bottom w:w="20" w:type="dxa"/>
              <w:right w:w="108" w:type="dxa"/>
            </w:tcMar>
            <w:vAlign w:val="center"/>
          </w:tcPr>
          <w:p w:rsidR="00C21266" w:rsidRPr="005C3B55" w:rsidRDefault="00C21266">
            <w:pPr>
              <w:spacing w:after="200"/>
              <w:jc w:val="center"/>
              <w:rPr>
                <w:rFonts w:eastAsia="Calibri"/>
                <w:sz w:val="16"/>
                <w:lang w:eastAsia="en-GB" w:bidi="en-GB"/>
              </w:rPr>
            </w:pPr>
            <w:r w:rsidRPr="005C3B55">
              <w:rPr>
                <w:sz w:val="16"/>
              </w:rPr>
              <w:t>Priority area from the indicator plan</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808080"/>
            <w:tcMar>
              <w:top w:w="20" w:type="dxa"/>
              <w:left w:w="20" w:type="dxa"/>
              <w:bottom w:w="20" w:type="dxa"/>
              <w:right w:w="108" w:type="dxa"/>
            </w:tcMar>
            <w:vAlign w:val="center"/>
          </w:tcPr>
          <w:p w:rsidR="00C21266" w:rsidRPr="005C3B55" w:rsidRDefault="00C21266">
            <w:pPr>
              <w:spacing w:after="200"/>
              <w:jc w:val="center"/>
              <w:rPr>
                <w:rFonts w:eastAsia="Calibri"/>
                <w:b/>
                <w:sz w:val="20"/>
                <w:lang w:eastAsia="en-GB" w:bidi="en-GB"/>
              </w:rPr>
            </w:pPr>
            <w:r w:rsidRPr="005C3B55">
              <w:rPr>
                <w:b/>
                <w:sz w:val="20"/>
              </w:rPr>
              <w:t>Measure</w:t>
            </w:r>
          </w:p>
        </w:tc>
        <w:tc>
          <w:tcPr>
            <w:tcW w:w="0" w:type="auto"/>
            <w:gridSpan w:val="3"/>
            <w:tcBorders>
              <w:top w:val="single" w:sz="4" w:space="0" w:color="auto"/>
              <w:left w:val="single" w:sz="4" w:space="0" w:color="auto"/>
              <w:bottom w:val="single" w:sz="4" w:space="0" w:color="auto"/>
              <w:right w:val="single" w:sz="4" w:space="0" w:color="auto"/>
            </w:tcBorders>
            <w:shd w:val="clear" w:color="auto" w:fill="808080"/>
            <w:tcMar>
              <w:top w:w="20" w:type="dxa"/>
              <w:left w:w="20" w:type="dxa"/>
              <w:bottom w:w="20" w:type="dxa"/>
              <w:right w:w="108" w:type="dxa"/>
            </w:tcMar>
            <w:vAlign w:val="center"/>
          </w:tcPr>
          <w:p w:rsidR="00C21266" w:rsidRPr="005C3B55" w:rsidRDefault="00C21266">
            <w:pPr>
              <w:spacing w:after="200"/>
              <w:jc w:val="center"/>
              <w:rPr>
                <w:rFonts w:eastAsia="Calibri"/>
                <w:b/>
                <w:sz w:val="20"/>
                <w:lang w:eastAsia="en-GB" w:bidi="en-GB"/>
              </w:rPr>
            </w:pPr>
            <w:r w:rsidRPr="005C3B55">
              <w:rPr>
                <w:b/>
                <w:sz w:val="20"/>
              </w:rPr>
              <w:t>P1</w:t>
            </w:r>
          </w:p>
        </w:tc>
        <w:tc>
          <w:tcPr>
            <w:tcW w:w="0" w:type="auto"/>
            <w:gridSpan w:val="2"/>
            <w:tcBorders>
              <w:top w:val="single" w:sz="4" w:space="0" w:color="auto"/>
              <w:left w:val="single" w:sz="4" w:space="0" w:color="auto"/>
              <w:bottom w:val="single" w:sz="4" w:space="0" w:color="auto"/>
              <w:right w:val="single" w:sz="4" w:space="0" w:color="auto"/>
            </w:tcBorders>
            <w:shd w:val="clear" w:color="auto" w:fill="808080"/>
            <w:tcMar>
              <w:top w:w="20" w:type="dxa"/>
              <w:left w:w="20" w:type="dxa"/>
              <w:bottom w:w="20" w:type="dxa"/>
              <w:right w:w="108" w:type="dxa"/>
            </w:tcMar>
            <w:vAlign w:val="center"/>
          </w:tcPr>
          <w:p w:rsidR="00C21266" w:rsidRPr="005C3B55" w:rsidRDefault="00C21266">
            <w:pPr>
              <w:spacing w:after="200"/>
              <w:jc w:val="center"/>
              <w:rPr>
                <w:rFonts w:eastAsia="Calibri"/>
                <w:b/>
                <w:sz w:val="20"/>
                <w:lang w:eastAsia="en-GB" w:bidi="en-GB"/>
              </w:rPr>
            </w:pPr>
            <w:r w:rsidRPr="005C3B55">
              <w:rPr>
                <w:b/>
                <w:sz w:val="20"/>
              </w:rPr>
              <w:t>P2</w:t>
            </w:r>
          </w:p>
        </w:tc>
        <w:tc>
          <w:tcPr>
            <w:tcW w:w="0" w:type="auto"/>
            <w:gridSpan w:val="2"/>
            <w:tcBorders>
              <w:top w:val="single" w:sz="4" w:space="0" w:color="auto"/>
              <w:left w:val="single" w:sz="4" w:space="0" w:color="auto"/>
              <w:bottom w:val="single" w:sz="4" w:space="0" w:color="auto"/>
              <w:right w:val="single" w:sz="4" w:space="0" w:color="auto"/>
            </w:tcBorders>
            <w:shd w:val="clear" w:color="auto" w:fill="808080"/>
            <w:tcMar>
              <w:top w:w="20" w:type="dxa"/>
              <w:left w:w="20" w:type="dxa"/>
              <w:bottom w:w="20" w:type="dxa"/>
              <w:right w:w="108" w:type="dxa"/>
            </w:tcMar>
            <w:vAlign w:val="center"/>
          </w:tcPr>
          <w:p w:rsidR="00C21266" w:rsidRPr="005C3B55" w:rsidRDefault="00C21266">
            <w:pPr>
              <w:spacing w:after="200"/>
              <w:jc w:val="center"/>
              <w:rPr>
                <w:rFonts w:eastAsia="Calibri"/>
                <w:b/>
                <w:sz w:val="20"/>
                <w:lang w:eastAsia="en-GB" w:bidi="en-GB"/>
              </w:rPr>
            </w:pPr>
            <w:r w:rsidRPr="005C3B55">
              <w:rPr>
                <w:b/>
                <w:sz w:val="20"/>
              </w:rPr>
              <w:t>P3</w:t>
            </w:r>
          </w:p>
        </w:tc>
        <w:tc>
          <w:tcPr>
            <w:tcW w:w="0" w:type="auto"/>
            <w:gridSpan w:val="3"/>
            <w:tcBorders>
              <w:top w:val="single" w:sz="4" w:space="0" w:color="auto"/>
              <w:left w:val="single" w:sz="4" w:space="0" w:color="auto"/>
              <w:bottom w:val="single" w:sz="4" w:space="0" w:color="auto"/>
              <w:right w:val="single" w:sz="4" w:space="0" w:color="auto"/>
            </w:tcBorders>
            <w:shd w:val="clear" w:color="auto" w:fill="808080"/>
            <w:tcMar>
              <w:top w:w="20" w:type="dxa"/>
              <w:left w:w="20" w:type="dxa"/>
              <w:bottom w:w="20" w:type="dxa"/>
              <w:right w:w="108" w:type="dxa"/>
            </w:tcMar>
            <w:vAlign w:val="center"/>
          </w:tcPr>
          <w:p w:rsidR="00C21266" w:rsidRPr="005C3B55" w:rsidRDefault="00C21266">
            <w:pPr>
              <w:spacing w:after="200"/>
              <w:jc w:val="center"/>
              <w:rPr>
                <w:rFonts w:eastAsia="Calibri"/>
                <w:b/>
                <w:sz w:val="20"/>
                <w:lang w:eastAsia="en-GB" w:bidi="en-GB"/>
              </w:rPr>
            </w:pPr>
            <w:r w:rsidRPr="005C3B55">
              <w:rPr>
                <w:b/>
                <w:sz w:val="20"/>
              </w:rPr>
              <w:t>P4</w:t>
            </w:r>
          </w:p>
        </w:tc>
        <w:tc>
          <w:tcPr>
            <w:tcW w:w="0" w:type="auto"/>
            <w:gridSpan w:val="5"/>
            <w:tcBorders>
              <w:top w:val="single" w:sz="4" w:space="0" w:color="auto"/>
              <w:left w:val="single" w:sz="4" w:space="0" w:color="auto"/>
              <w:bottom w:val="single" w:sz="4" w:space="0" w:color="auto"/>
              <w:right w:val="single" w:sz="4" w:space="0" w:color="auto"/>
            </w:tcBorders>
            <w:shd w:val="clear" w:color="auto" w:fill="808080"/>
            <w:tcMar>
              <w:top w:w="20" w:type="dxa"/>
              <w:left w:w="20" w:type="dxa"/>
              <w:bottom w:w="20" w:type="dxa"/>
              <w:right w:w="108" w:type="dxa"/>
            </w:tcMar>
            <w:vAlign w:val="center"/>
          </w:tcPr>
          <w:p w:rsidR="00C21266" w:rsidRPr="005C3B55" w:rsidRDefault="00C21266">
            <w:pPr>
              <w:spacing w:after="200"/>
              <w:jc w:val="center"/>
              <w:rPr>
                <w:rFonts w:eastAsia="Calibri"/>
                <w:b/>
                <w:sz w:val="20"/>
                <w:lang w:eastAsia="en-GB" w:bidi="en-GB"/>
              </w:rPr>
            </w:pPr>
            <w:r w:rsidRPr="005C3B55">
              <w:rPr>
                <w:b/>
                <w:sz w:val="20"/>
              </w:rPr>
              <w:t>P5</w:t>
            </w:r>
          </w:p>
        </w:tc>
        <w:tc>
          <w:tcPr>
            <w:tcW w:w="0" w:type="auto"/>
            <w:gridSpan w:val="3"/>
            <w:tcBorders>
              <w:top w:val="single" w:sz="4" w:space="0" w:color="auto"/>
              <w:left w:val="single" w:sz="4" w:space="0" w:color="auto"/>
              <w:bottom w:val="single" w:sz="4" w:space="0" w:color="auto"/>
              <w:right w:val="single" w:sz="4" w:space="0" w:color="auto"/>
            </w:tcBorders>
            <w:shd w:val="clear" w:color="auto" w:fill="808080"/>
            <w:tcMar>
              <w:top w:w="20" w:type="dxa"/>
              <w:left w:w="20" w:type="dxa"/>
              <w:bottom w:w="20" w:type="dxa"/>
              <w:right w:w="108" w:type="dxa"/>
            </w:tcMar>
            <w:vAlign w:val="center"/>
          </w:tcPr>
          <w:p w:rsidR="00C21266" w:rsidRPr="005C3B55" w:rsidRDefault="00C21266">
            <w:pPr>
              <w:spacing w:after="200"/>
              <w:jc w:val="center"/>
              <w:rPr>
                <w:rFonts w:eastAsia="Calibri"/>
                <w:b/>
                <w:sz w:val="20"/>
                <w:lang w:eastAsia="en-GB" w:bidi="en-GB"/>
              </w:rPr>
            </w:pPr>
            <w:r w:rsidRPr="005C3B55">
              <w:rPr>
                <w:b/>
                <w:sz w:val="20"/>
              </w:rPr>
              <w:t>P6</w:t>
            </w:r>
          </w:p>
        </w:tc>
      </w:tr>
      <w:tr w:rsidR="00C21266" w:rsidRPr="005C3B55">
        <w:tc>
          <w:tcPr>
            <w:tcW w:w="0" w:type="auto"/>
            <w:vMerge/>
            <w:tcBorders>
              <w:top w:val="single" w:sz="4" w:space="0" w:color="auto"/>
              <w:left w:val="single" w:sz="4" w:space="0" w:color="auto"/>
              <w:bottom w:val="single" w:sz="4" w:space="0" w:color="auto"/>
              <w:right w:val="single" w:sz="4" w:space="0" w:color="auto"/>
            </w:tcBorders>
            <w:vAlign w:val="center"/>
          </w:tcPr>
          <w:p w:rsidR="00C21266" w:rsidRPr="005C3B55" w:rsidRDefault="00C21266">
            <w:pPr>
              <w:spacing w:after="0"/>
              <w:rPr>
                <w:rFonts w:eastAsia="Calibri"/>
                <w:sz w:val="16"/>
                <w:lang w:eastAsia="en-GB" w:bidi="en-GB"/>
              </w:rPr>
            </w:pPr>
          </w:p>
        </w:tc>
        <w:tc>
          <w:tcPr>
            <w:tcW w:w="0" w:type="auto"/>
            <w:vMerge/>
            <w:tcBorders>
              <w:top w:val="single" w:sz="4" w:space="0" w:color="auto"/>
              <w:left w:val="single" w:sz="4" w:space="0" w:color="auto"/>
              <w:bottom w:val="single" w:sz="4" w:space="0" w:color="auto"/>
              <w:right w:val="single" w:sz="4" w:space="0" w:color="auto"/>
            </w:tcBorders>
            <w:vAlign w:val="center"/>
          </w:tcPr>
          <w:p w:rsidR="00C21266" w:rsidRPr="005C3B55" w:rsidRDefault="00C21266">
            <w:pPr>
              <w:spacing w:after="0"/>
              <w:rPr>
                <w:rFonts w:eastAsia="Calibri"/>
                <w:b/>
                <w:sz w:val="20"/>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C0C0C0"/>
            <w:tcMar>
              <w:top w:w="20" w:type="dxa"/>
              <w:left w:w="20" w:type="dxa"/>
              <w:bottom w:w="20" w:type="dxa"/>
              <w:right w:w="108" w:type="dxa"/>
            </w:tcMar>
            <w:vAlign w:val="center"/>
          </w:tcPr>
          <w:p w:rsidR="00C21266" w:rsidRPr="005C3B55" w:rsidRDefault="00C21266">
            <w:pPr>
              <w:spacing w:after="200"/>
              <w:jc w:val="center"/>
              <w:rPr>
                <w:rFonts w:eastAsia="Calibri"/>
                <w:sz w:val="16"/>
                <w:lang w:eastAsia="en-GB" w:bidi="en-GB"/>
              </w:rPr>
            </w:pPr>
            <w:r w:rsidRPr="005C3B55">
              <w:rPr>
                <w:sz w:val="16"/>
              </w:rPr>
              <w:t>1A</w:t>
            </w:r>
          </w:p>
        </w:tc>
        <w:tc>
          <w:tcPr>
            <w:tcW w:w="0" w:type="auto"/>
            <w:tcBorders>
              <w:top w:val="single" w:sz="4" w:space="0" w:color="auto"/>
              <w:left w:val="single" w:sz="4" w:space="0" w:color="auto"/>
              <w:bottom w:val="single" w:sz="4" w:space="0" w:color="auto"/>
              <w:right w:val="single" w:sz="4" w:space="0" w:color="auto"/>
            </w:tcBorders>
            <w:shd w:val="clear" w:color="auto" w:fill="C0C0C0"/>
            <w:tcMar>
              <w:top w:w="20" w:type="dxa"/>
              <w:left w:w="20" w:type="dxa"/>
              <w:bottom w:w="20" w:type="dxa"/>
              <w:right w:w="108" w:type="dxa"/>
            </w:tcMar>
            <w:vAlign w:val="center"/>
          </w:tcPr>
          <w:p w:rsidR="00C21266" w:rsidRPr="005C3B55" w:rsidRDefault="00C21266">
            <w:pPr>
              <w:spacing w:after="200"/>
              <w:jc w:val="center"/>
              <w:rPr>
                <w:rFonts w:eastAsia="Calibri"/>
                <w:sz w:val="16"/>
                <w:lang w:eastAsia="en-GB" w:bidi="en-GB"/>
              </w:rPr>
            </w:pPr>
            <w:r w:rsidRPr="005C3B55">
              <w:rPr>
                <w:sz w:val="16"/>
              </w:rPr>
              <w:t>1B</w:t>
            </w:r>
          </w:p>
        </w:tc>
        <w:tc>
          <w:tcPr>
            <w:tcW w:w="0" w:type="auto"/>
            <w:tcBorders>
              <w:top w:val="single" w:sz="4" w:space="0" w:color="auto"/>
              <w:left w:val="single" w:sz="4" w:space="0" w:color="auto"/>
              <w:bottom w:val="single" w:sz="4" w:space="0" w:color="auto"/>
              <w:right w:val="single" w:sz="4" w:space="0" w:color="auto"/>
            </w:tcBorders>
            <w:shd w:val="clear" w:color="auto" w:fill="C0C0C0"/>
            <w:tcMar>
              <w:top w:w="20" w:type="dxa"/>
              <w:left w:w="20" w:type="dxa"/>
              <w:bottom w:w="20" w:type="dxa"/>
              <w:right w:w="108" w:type="dxa"/>
            </w:tcMar>
            <w:vAlign w:val="center"/>
          </w:tcPr>
          <w:p w:rsidR="00C21266" w:rsidRPr="005C3B55" w:rsidRDefault="00C21266">
            <w:pPr>
              <w:spacing w:after="200"/>
              <w:jc w:val="center"/>
              <w:rPr>
                <w:rFonts w:eastAsia="Calibri"/>
                <w:sz w:val="16"/>
                <w:lang w:eastAsia="en-GB" w:bidi="en-GB"/>
              </w:rPr>
            </w:pPr>
            <w:r w:rsidRPr="005C3B55">
              <w:rPr>
                <w:sz w:val="16"/>
              </w:rPr>
              <w:t>1C</w:t>
            </w:r>
          </w:p>
        </w:tc>
        <w:tc>
          <w:tcPr>
            <w:tcW w:w="0" w:type="auto"/>
            <w:tcBorders>
              <w:top w:val="single" w:sz="4" w:space="0" w:color="auto"/>
              <w:left w:val="single" w:sz="4" w:space="0" w:color="auto"/>
              <w:bottom w:val="single" w:sz="4" w:space="0" w:color="auto"/>
              <w:right w:val="single" w:sz="4" w:space="0" w:color="auto"/>
            </w:tcBorders>
            <w:shd w:val="clear" w:color="auto" w:fill="C0C0C0"/>
            <w:tcMar>
              <w:top w:w="20" w:type="dxa"/>
              <w:left w:w="20" w:type="dxa"/>
              <w:bottom w:w="20" w:type="dxa"/>
              <w:right w:w="108" w:type="dxa"/>
            </w:tcMar>
            <w:vAlign w:val="center"/>
          </w:tcPr>
          <w:p w:rsidR="00C21266" w:rsidRPr="005C3B55" w:rsidRDefault="00C21266">
            <w:pPr>
              <w:spacing w:after="200"/>
              <w:jc w:val="center"/>
              <w:rPr>
                <w:rFonts w:eastAsia="Calibri"/>
                <w:sz w:val="16"/>
                <w:lang w:eastAsia="en-GB" w:bidi="en-GB"/>
              </w:rPr>
            </w:pPr>
            <w:r w:rsidRPr="005C3B55">
              <w:rPr>
                <w:sz w:val="16"/>
              </w:rPr>
              <w:t>2A</w:t>
            </w:r>
          </w:p>
        </w:tc>
        <w:tc>
          <w:tcPr>
            <w:tcW w:w="0" w:type="auto"/>
            <w:tcBorders>
              <w:top w:val="single" w:sz="4" w:space="0" w:color="auto"/>
              <w:left w:val="single" w:sz="4" w:space="0" w:color="auto"/>
              <w:bottom w:val="single" w:sz="4" w:space="0" w:color="auto"/>
              <w:right w:val="single" w:sz="4" w:space="0" w:color="auto"/>
            </w:tcBorders>
            <w:shd w:val="clear" w:color="auto" w:fill="C0C0C0"/>
            <w:tcMar>
              <w:top w:w="20" w:type="dxa"/>
              <w:left w:w="20" w:type="dxa"/>
              <w:bottom w:w="20" w:type="dxa"/>
              <w:right w:w="108" w:type="dxa"/>
            </w:tcMar>
            <w:vAlign w:val="center"/>
          </w:tcPr>
          <w:p w:rsidR="00C21266" w:rsidRPr="005C3B55" w:rsidRDefault="00C21266">
            <w:pPr>
              <w:spacing w:after="200"/>
              <w:jc w:val="center"/>
              <w:rPr>
                <w:rFonts w:eastAsia="Calibri"/>
                <w:sz w:val="16"/>
                <w:lang w:eastAsia="en-GB" w:bidi="en-GB"/>
              </w:rPr>
            </w:pPr>
            <w:r w:rsidRPr="005C3B55">
              <w:rPr>
                <w:sz w:val="16"/>
              </w:rPr>
              <w:t>2B</w:t>
            </w:r>
          </w:p>
        </w:tc>
        <w:tc>
          <w:tcPr>
            <w:tcW w:w="0" w:type="auto"/>
            <w:tcBorders>
              <w:top w:val="single" w:sz="4" w:space="0" w:color="auto"/>
              <w:left w:val="single" w:sz="4" w:space="0" w:color="auto"/>
              <w:bottom w:val="single" w:sz="4" w:space="0" w:color="auto"/>
              <w:right w:val="single" w:sz="4" w:space="0" w:color="auto"/>
            </w:tcBorders>
            <w:shd w:val="clear" w:color="auto" w:fill="C0C0C0"/>
            <w:tcMar>
              <w:top w:w="20" w:type="dxa"/>
              <w:left w:w="20" w:type="dxa"/>
              <w:bottom w:w="20" w:type="dxa"/>
              <w:right w:w="108" w:type="dxa"/>
            </w:tcMar>
            <w:vAlign w:val="center"/>
          </w:tcPr>
          <w:p w:rsidR="00C21266" w:rsidRPr="005C3B55" w:rsidRDefault="00C21266">
            <w:pPr>
              <w:spacing w:after="200"/>
              <w:jc w:val="center"/>
              <w:rPr>
                <w:rFonts w:eastAsia="Calibri"/>
                <w:sz w:val="16"/>
                <w:lang w:eastAsia="en-GB" w:bidi="en-GB"/>
              </w:rPr>
            </w:pPr>
            <w:r w:rsidRPr="005C3B55">
              <w:rPr>
                <w:sz w:val="16"/>
              </w:rPr>
              <w:t>3A</w:t>
            </w:r>
          </w:p>
        </w:tc>
        <w:tc>
          <w:tcPr>
            <w:tcW w:w="0" w:type="auto"/>
            <w:tcBorders>
              <w:top w:val="single" w:sz="4" w:space="0" w:color="auto"/>
              <w:left w:val="single" w:sz="4" w:space="0" w:color="auto"/>
              <w:bottom w:val="single" w:sz="4" w:space="0" w:color="auto"/>
              <w:right w:val="single" w:sz="4" w:space="0" w:color="auto"/>
            </w:tcBorders>
            <w:shd w:val="clear" w:color="auto" w:fill="C0C0C0"/>
            <w:tcMar>
              <w:top w:w="20" w:type="dxa"/>
              <w:left w:w="20" w:type="dxa"/>
              <w:bottom w:w="20" w:type="dxa"/>
              <w:right w:w="108" w:type="dxa"/>
            </w:tcMar>
            <w:vAlign w:val="center"/>
          </w:tcPr>
          <w:p w:rsidR="00C21266" w:rsidRPr="005C3B55" w:rsidRDefault="00C21266">
            <w:pPr>
              <w:spacing w:after="200"/>
              <w:jc w:val="center"/>
              <w:rPr>
                <w:rFonts w:eastAsia="Calibri"/>
                <w:sz w:val="16"/>
                <w:lang w:eastAsia="en-GB" w:bidi="en-GB"/>
              </w:rPr>
            </w:pPr>
            <w:r w:rsidRPr="005C3B55">
              <w:rPr>
                <w:sz w:val="16"/>
              </w:rPr>
              <w:t>3B</w:t>
            </w:r>
          </w:p>
        </w:tc>
        <w:tc>
          <w:tcPr>
            <w:tcW w:w="0" w:type="auto"/>
            <w:tcBorders>
              <w:top w:val="single" w:sz="4" w:space="0" w:color="auto"/>
              <w:left w:val="single" w:sz="4" w:space="0" w:color="auto"/>
              <w:bottom w:val="single" w:sz="4" w:space="0" w:color="auto"/>
              <w:right w:val="single" w:sz="4" w:space="0" w:color="auto"/>
            </w:tcBorders>
            <w:shd w:val="clear" w:color="auto" w:fill="C0C0C0"/>
            <w:tcMar>
              <w:top w:w="20" w:type="dxa"/>
              <w:left w:w="20" w:type="dxa"/>
              <w:bottom w:w="20" w:type="dxa"/>
              <w:right w:w="108" w:type="dxa"/>
            </w:tcMar>
            <w:vAlign w:val="center"/>
          </w:tcPr>
          <w:p w:rsidR="00C21266" w:rsidRPr="005C3B55" w:rsidRDefault="00C21266">
            <w:pPr>
              <w:spacing w:after="200"/>
              <w:jc w:val="center"/>
              <w:rPr>
                <w:rFonts w:eastAsia="Calibri"/>
                <w:sz w:val="16"/>
                <w:lang w:eastAsia="en-GB" w:bidi="en-GB"/>
              </w:rPr>
            </w:pPr>
            <w:r w:rsidRPr="005C3B55">
              <w:rPr>
                <w:sz w:val="16"/>
              </w:rPr>
              <w:t>4A</w:t>
            </w:r>
          </w:p>
        </w:tc>
        <w:tc>
          <w:tcPr>
            <w:tcW w:w="0" w:type="auto"/>
            <w:tcBorders>
              <w:top w:val="single" w:sz="4" w:space="0" w:color="auto"/>
              <w:left w:val="single" w:sz="4" w:space="0" w:color="auto"/>
              <w:bottom w:val="single" w:sz="4" w:space="0" w:color="auto"/>
              <w:right w:val="single" w:sz="4" w:space="0" w:color="auto"/>
            </w:tcBorders>
            <w:shd w:val="clear" w:color="auto" w:fill="C0C0C0"/>
            <w:tcMar>
              <w:top w:w="20" w:type="dxa"/>
              <w:left w:w="20" w:type="dxa"/>
              <w:bottom w:w="20" w:type="dxa"/>
              <w:right w:w="108" w:type="dxa"/>
            </w:tcMar>
            <w:vAlign w:val="center"/>
          </w:tcPr>
          <w:p w:rsidR="00C21266" w:rsidRPr="005C3B55" w:rsidRDefault="00C21266">
            <w:pPr>
              <w:spacing w:after="200"/>
              <w:jc w:val="center"/>
              <w:rPr>
                <w:rFonts w:eastAsia="Calibri"/>
                <w:sz w:val="16"/>
                <w:lang w:eastAsia="en-GB" w:bidi="en-GB"/>
              </w:rPr>
            </w:pPr>
            <w:r w:rsidRPr="005C3B55">
              <w:rPr>
                <w:sz w:val="16"/>
              </w:rPr>
              <w:t>4B</w:t>
            </w:r>
          </w:p>
        </w:tc>
        <w:tc>
          <w:tcPr>
            <w:tcW w:w="0" w:type="auto"/>
            <w:tcBorders>
              <w:top w:val="single" w:sz="4" w:space="0" w:color="auto"/>
              <w:left w:val="single" w:sz="4" w:space="0" w:color="auto"/>
              <w:bottom w:val="single" w:sz="4" w:space="0" w:color="auto"/>
              <w:right w:val="single" w:sz="4" w:space="0" w:color="auto"/>
            </w:tcBorders>
            <w:shd w:val="clear" w:color="auto" w:fill="C0C0C0"/>
            <w:tcMar>
              <w:top w:w="20" w:type="dxa"/>
              <w:left w:w="20" w:type="dxa"/>
              <w:bottom w:w="20" w:type="dxa"/>
              <w:right w:w="108" w:type="dxa"/>
            </w:tcMar>
            <w:vAlign w:val="center"/>
          </w:tcPr>
          <w:p w:rsidR="00C21266" w:rsidRPr="005C3B55" w:rsidRDefault="00C21266">
            <w:pPr>
              <w:spacing w:after="200"/>
              <w:jc w:val="center"/>
              <w:rPr>
                <w:rFonts w:eastAsia="Calibri"/>
                <w:sz w:val="16"/>
                <w:lang w:eastAsia="en-GB" w:bidi="en-GB"/>
              </w:rPr>
            </w:pPr>
            <w:r w:rsidRPr="005C3B55">
              <w:rPr>
                <w:sz w:val="16"/>
              </w:rPr>
              <w:t>4C</w:t>
            </w:r>
          </w:p>
        </w:tc>
        <w:tc>
          <w:tcPr>
            <w:tcW w:w="0" w:type="auto"/>
            <w:tcBorders>
              <w:top w:val="single" w:sz="4" w:space="0" w:color="auto"/>
              <w:left w:val="single" w:sz="4" w:space="0" w:color="auto"/>
              <w:bottom w:val="single" w:sz="4" w:space="0" w:color="auto"/>
              <w:right w:val="single" w:sz="4" w:space="0" w:color="auto"/>
            </w:tcBorders>
            <w:shd w:val="clear" w:color="auto" w:fill="C0C0C0"/>
            <w:tcMar>
              <w:top w:w="20" w:type="dxa"/>
              <w:left w:w="20" w:type="dxa"/>
              <w:bottom w:w="20" w:type="dxa"/>
              <w:right w:w="108" w:type="dxa"/>
            </w:tcMar>
            <w:vAlign w:val="center"/>
          </w:tcPr>
          <w:p w:rsidR="00C21266" w:rsidRPr="005C3B55" w:rsidRDefault="00C21266">
            <w:pPr>
              <w:spacing w:after="200"/>
              <w:jc w:val="center"/>
              <w:rPr>
                <w:rFonts w:eastAsia="Calibri"/>
                <w:sz w:val="16"/>
                <w:lang w:eastAsia="en-GB" w:bidi="en-GB"/>
              </w:rPr>
            </w:pPr>
            <w:r w:rsidRPr="005C3B55">
              <w:rPr>
                <w:sz w:val="16"/>
              </w:rPr>
              <w:t>5A</w:t>
            </w:r>
          </w:p>
        </w:tc>
        <w:tc>
          <w:tcPr>
            <w:tcW w:w="0" w:type="auto"/>
            <w:tcBorders>
              <w:top w:val="single" w:sz="4" w:space="0" w:color="auto"/>
              <w:left w:val="single" w:sz="4" w:space="0" w:color="auto"/>
              <w:bottom w:val="single" w:sz="4" w:space="0" w:color="auto"/>
              <w:right w:val="single" w:sz="4" w:space="0" w:color="auto"/>
            </w:tcBorders>
            <w:shd w:val="clear" w:color="auto" w:fill="C0C0C0"/>
            <w:tcMar>
              <w:top w:w="20" w:type="dxa"/>
              <w:left w:w="20" w:type="dxa"/>
              <w:bottom w:w="20" w:type="dxa"/>
              <w:right w:w="108" w:type="dxa"/>
            </w:tcMar>
            <w:vAlign w:val="center"/>
          </w:tcPr>
          <w:p w:rsidR="00C21266" w:rsidRPr="005C3B55" w:rsidRDefault="00C21266">
            <w:pPr>
              <w:spacing w:after="200"/>
              <w:jc w:val="center"/>
              <w:rPr>
                <w:rFonts w:eastAsia="Calibri"/>
                <w:sz w:val="16"/>
                <w:lang w:eastAsia="en-GB" w:bidi="en-GB"/>
              </w:rPr>
            </w:pPr>
            <w:r w:rsidRPr="005C3B55">
              <w:rPr>
                <w:sz w:val="16"/>
              </w:rPr>
              <w:t>5B</w:t>
            </w:r>
          </w:p>
        </w:tc>
        <w:tc>
          <w:tcPr>
            <w:tcW w:w="0" w:type="auto"/>
            <w:tcBorders>
              <w:top w:val="single" w:sz="4" w:space="0" w:color="auto"/>
              <w:left w:val="single" w:sz="4" w:space="0" w:color="auto"/>
              <w:bottom w:val="single" w:sz="4" w:space="0" w:color="auto"/>
              <w:right w:val="single" w:sz="4" w:space="0" w:color="auto"/>
            </w:tcBorders>
            <w:shd w:val="clear" w:color="auto" w:fill="C0C0C0"/>
            <w:tcMar>
              <w:top w:w="20" w:type="dxa"/>
              <w:left w:w="20" w:type="dxa"/>
              <w:bottom w:w="20" w:type="dxa"/>
              <w:right w:w="108" w:type="dxa"/>
            </w:tcMar>
            <w:vAlign w:val="center"/>
          </w:tcPr>
          <w:p w:rsidR="00C21266" w:rsidRPr="005C3B55" w:rsidRDefault="00C21266">
            <w:pPr>
              <w:spacing w:after="200"/>
              <w:jc w:val="center"/>
              <w:rPr>
                <w:rFonts w:eastAsia="Calibri"/>
                <w:sz w:val="16"/>
                <w:lang w:eastAsia="en-GB" w:bidi="en-GB"/>
              </w:rPr>
            </w:pPr>
            <w:r w:rsidRPr="005C3B55">
              <w:rPr>
                <w:sz w:val="16"/>
              </w:rPr>
              <w:t>5C</w:t>
            </w:r>
          </w:p>
        </w:tc>
        <w:tc>
          <w:tcPr>
            <w:tcW w:w="0" w:type="auto"/>
            <w:tcBorders>
              <w:top w:val="single" w:sz="4" w:space="0" w:color="auto"/>
              <w:left w:val="single" w:sz="4" w:space="0" w:color="auto"/>
              <w:bottom w:val="single" w:sz="4" w:space="0" w:color="auto"/>
              <w:right w:val="single" w:sz="4" w:space="0" w:color="auto"/>
            </w:tcBorders>
            <w:shd w:val="clear" w:color="auto" w:fill="C0C0C0"/>
            <w:tcMar>
              <w:top w:w="20" w:type="dxa"/>
              <w:left w:w="20" w:type="dxa"/>
              <w:bottom w:w="20" w:type="dxa"/>
              <w:right w:w="108" w:type="dxa"/>
            </w:tcMar>
            <w:vAlign w:val="center"/>
          </w:tcPr>
          <w:p w:rsidR="00C21266" w:rsidRPr="005C3B55" w:rsidRDefault="00C21266">
            <w:pPr>
              <w:spacing w:after="200"/>
              <w:jc w:val="center"/>
              <w:rPr>
                <w:rFonts w:eastAsia="Calibri"/>
                <w:sz w:val="16"/>
                <w:lang w:eastAsia="en-GB" w:bidi="en-GB"/>
              </w:rPr>
            </w:pPr>
            <w:r w:rsidRPr="005C3B55">
              <w:rPr>
                <w:sz w:val="16"/>
              </w:rPr>
              <w:t>5D</w:t>
            </w:r>
          </w:p>
        </w:tc>
        <w:tc>
          <w:tcPr>
            <w:tcW w:w="0" w:type="auto"/>
            <w:tcBorders>
              <w:top w:val="single" w:sz="4" w:space="0" w:color="auto"/>
              <w:left w:val="single" w:sz="4" w:space="0" w:color="auto"/>
              <w:bottom w:val="single" w:sz="4" w:space="0" w:color="auto"/>
              <w:right w:val="single" w:sz="4" w:space="0" w:color="auto"/>
            </w:tcBorders>
            <w:shd w:val="clear" w:color="auto" w:fill="C0C0C0"/>
            <w:tcMar>
              <w:top w:w="20" w:type="dxa"/>
              <w:left w:w="20" w:type="dxa"/>
              <w:bottom w:w="20" w:type="dxa"/>
              <w:right w:w="108" w:type="dxa"/>
            </w:tcMar>
            <w:vAlign w:val="center"/>
          </w:tcPr>
          <w:p w:rsidR="00C21266" w:rsidRPr="005C3B55" w:rsidRDefault="00C21266">
            <w:pPr>
              <w:spacing w:after="200"/>
              <w:jc w:val="center"/>
              <w:rPr>
                <w:rFonts w:eastAsia="Calibri"/>
                <w:sz w:val="16"/>
                <w:lang w:eastAsia="en-GB" w:bidi="en-GB"/>
              </w:rPr>
            </w:pPr>
            <w:r w:rsidRPr="005C3B55">
              <w:rPr>
                <w:sz w:val="16"/>
              </w:rPr>
              <w:t>5E</w:t>
            </w:r>
          </w:p>
        </w:tc>
        <w:tc>
          <w:tcPr>
            <w:tcW w:w="0" w:type="auto"/>
            <w:tcBorders>
              <w:top w:val="single" w:sz="4" w:space="0" w:color="auto"/>
              <w:left w:val="single" w:sz="4" w:space="0" w:color="auto"/>
              <w:bottom w:val="single" w:sz="4" w:space="0" w:color="auto"/>
              <w:right w:val="single" w:sz="4" w:space="0" w:color="auto"/>
            </w:tcBorders>
            <w:shd w:val="clear" w:color="auto" w:fill="C0C0C0"/>
            <w:tcMar>
              <w:top w:w="20" w:type="dxa"/>
              <w:left w:w="20" w:type="dxa"/>
              <w:bottom w:w="20" w:type="dxa"/>
              <w:right w:w="108" w:type="dxa"/>
            </w:tcMar>
            <w:vAlign w:val="center"/>
          </w:tcPr>
          <w:p w:rsidR="00C21266" w:rsidRPr="005C3B55" w:rsidRDefault="00C21266">
            <w:pPr>
              <w:spacing w:after="200"/>
              <w:jc w:val="center"/>
              <w:rPr>
                <w:rFonts w:eastAsia="Calibri"/>
                <w:sz w:val="16"/>
                <w:lang w:eastAsia="en-GB" w:bidi="en-GB"/>
              </w:rPr>
            </w:pPr>
            <w:r w:rsidRPr="005C3B55">
              <w:rPr>
                <w:sz w:val="16"/>
              </w:rPr>
              <w:t>6A</w:t>
            </w:r>
          </w:p>
        </w:tc>
        <w:tc>
          <w:tcPr>
            <w:tcW w:w="0" w:type="auto"/>
            <w:tcBorders>
              <w:top w:val="single" w:sz="4" w:space="0" w:color="auto"/>
              <w:left w:val="single" w:sz="4" w:space="0" w:color="auto"/>
              <w:bottom w:val="single" w:sz="4" w:space="0" w:color="auto"/>
              <w:right w:val="single" w:sz="4" w:space="0" w:color="auto"/>
            </w:tcBorders>
            <w:shd w:val="clear" w:color="auto" w:fill="C0C0C0"/>
            <w:tcMar>
              <w:top w:w="20" w:type="dxa"/>
              <w:left w:w="20" w:type="dxa"/>
              <w:bottom w:w="20" w:type="dxa"/>
              <w:right w:w="108" w:type="dxa"/>
            </w:tcMar>
            <w:vAlign w:val="center"/>
          </w:tcPr>
          <w:p w:rsidR="00C21266" w:rsidRPr="005C3B55" w:rsidRDefault="00C21266">
            <w:pPr>
              <w:spacing w:after="200"/>
              <w:jc w:val="center"/>
              <w:rPr>
                <w:rFonts w:eastAsia="Calibri"/>
                <w:sz w:val="16"/>
                <w:lang w:eastAsia="en-GB" w:bidi="en-GB"/>
              </w:rPr>
            </w:pPr>
            <w:r w:rsidRPr="005C3B55">
              <w:rPr>
                <w:sz w:val="16"/>
              </w:rPr>
              <w:t>6B</w:t>
            </w:r>
          </w:p>
        </w:tc>
        <w:tc>
          <w:tcPr>
            <w:tcW w:w="0" w:type="auto"/>
            <w:tcBorders>
              <w:top w:val="single" w:sz="4" w:space="0" w:color="auto"/>
              <w:left w:val="single" w:sz="4" w:space="0" w:color="auto"/>
              <w:bottom w:val="single" w:sz="4" w:space="0" w:color="auto"/>
              <w:right w:val="single" w:sz="4" w:space="0" w:color="auto"/>
            </w:tcBorders>
            <w:shd w:val="clear" w:color="auto" w:fill="C0C0C0"/>
            <w:tcMar>
              <w:top w:w="20" w:type="dxa"/>
              <w:left w:w="20" w:type="dxa"/>
              <w:bottom w:w="20" w:type="dxa"/>
              <w:right w:w="108" w:type="dxa"/>
            </w:tcMar>
            <w:vAlign w:val="center"/>
          </w:tcPr>
          <w:p w:rsidR="00C21266" w:rsidRPr="005C3B55" w:rsidRDefault="00C21266">
            <w:pPr>
              <w:spacing w:after="200"/>
              <w:jc w:val="center"/>
              <w:rPr>
                <w:rFonts w:eastAsia="Calibri"/>
                <w:sz w:val="16"/>
                <w:lang w:eastAsia="en-GB" w:bidi="en-GB"/>
              </w:rPr>
            </w:pPr>
            <w:r w:rsidRPr="005C3B55">
              <w:rPr>
                <w:sz w:val="16"/>
              </w:rPr>
              <w:t>6C</w:t>
            </w:r>
          </w:p>
        </w:tc>
      </w:tr>
      <w:tr w:rsidR="00C21266" w:rsidRPr="005C3B55">
        <w:tc>
          <w:tcPr>
            <w:tcW w:w="0" w:type="auto"/>
            <w:vMerge w:val="restar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r w:rsidRPr="005C3B55">
              <w:rPr>
                <w:sz w:val="12"/>
              </w:rPr>
              <w:t>2A</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rPr>
                <w:rFonts w:eastAsia="Calibri"/>
                <w:sz w:val="12"/>
                <w:lang w:eastAsia="en-GB" w:bidi="en-GB"/>
              </w:rPr>
            </w:pPr>
            <w:r w:rsidRPr="005C3B55">
              <w:rPr>
                <w:sz w:val="12"/>
              </w:rPr>
              <w:t>M01 – Knowledge transfer and information actions (Article 14)</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r w:rsidRPr="005C3B55">
              <w:rPr>
                <w:sz w:val="12"/>
              </w:rPr>
              <w:t>X</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r w:rsidRPr="005C3B55">
              <w:rPr>
                <w:sz w:val="12"/>
              </w:rPr>
              <w:t>X</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b/>
                <w:sz w:val="12"/>
                <w:lang w:eastAsia="en-GB" w:bidi="en-GB"/>
              </w:rPr>
            </w:pPr>
            <w:r w:rsidRPr="005C3B55">
              <w:rPr>
                <w:b/>
                <w:sz w:val="12"/>
              </w:rPr>
              <w:t>P</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r>
      <w:tr w:rsidR="00C21266" w:rsidRPr="005C3B55">
        <w:tc>
          <w:tcPr>
            <w:tcW w:w="0" w:type="auto"/>
            <w:vMerge/>
            <w:tcBorders>
              <w:top w:val="single" w:sz="4" w:space="0" w:color="auto"/>
              <w:left w:val="single" w:sz="4" w:space="0" w:color="auto"/>
              <w:bottom w:val="single" w:sz="4" w:space="0" w:color="auto"/>
              <w:right w:val="single" w:sz="4" w:space="0" w:color="auto"/>
            </w:tcBorders>
            <w:vAlign w:val="center"/>
          </w:tcPr>
          <w:p w:rsidR="00C21266" w:rsidRPr="005C3B55" w:rsidRDefault="00C21266">
            <w:pPr>
              <w:spacing w:after="0"/>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rPr>
                <w:rFonts w:eastAsia="Calibri"/>
                <w:sz w:val="12"/>
                <w:lang w:eastAsia="en-GB" w:bidi="en-GB"/>
              </w:rPr>
            </w:pPr>
            <w:r w:rsidRPr="005C3B55">
              <w:rPr>
                <w:sz w:val="12"/>
              </w:rPr>
              <w:t>M04 - Investments in physical assets (Article 17)</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r w:rsidRPr="005C3B55">
              <w:rPr>
                <w:sz w:val="12"/>
              </w:rPr>
              <w:t>X</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b/>
                <w:sz w:val="12"/>
                <w:lang w:eastAsia="en-GB" w:bidi="en-GB"/>
              </w:rPr>
            </w:pPr>
            <w:r w:rsidRPr="005C3B55">
              <w:rPr>
                <w:b/>
                <w:sz w:val="12"/>
              </w:rPr>
              <w:t>P</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r w:rsidRPr="005C3B55">
              <w:rPr>
                <w:sz w:val="12"/>
              </w:rPr>
              <w:t>X</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r w:rsidRPr="005C3B55">
              <w:rPr>
                <w:sz w:val="12"/>
              </w:rPr>
              <w:t>X</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r w:rsidRPr="005C3B55">
              <w:rPr>
                <w:sz w:val="12"/>
              </w:rPr>
              <w:t>X</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r w:rsidRPr="005C3B55">
              <w:rPr>
                <w:sz w:val="12"/>
              </w:rPr>
              <w:t>X</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r w:rsidRPr="005C3B55">
              <w:rPr>
                <w:sz w:val="12"/>
              </w:rPr>
              <w:t>X</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r w:rsidRPr="005C3B55">
              <w:rPr>
                <w:sz w:val="12"/>
              </w:rPr>
              <w:t>X</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r w:rsidRPr="005C3B55">
              <w:rPr>
                <w:sz w:val="12"/>
              </w:rPr>
              <w:t>X</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r>
      <w:tr w:rsidR="00C21266" w:rsidRPr="005C3B55">
        <w:tc>
          <w:tcPr>
            <w:tcW w:w="0" w:type="auto"/>
            <w:vMerge/>
            <w:tcBorders>
              <w:top w:val="single" w:sz="4" w:space="0" w:color="auto"/>
              <w:left w:val="single" w:sz="4" w:space="0" w:color="auto"/>
              <w:bottom w:val="single" w:sz="4" w:space="0" w:color="auto"/>
              <w:right w:val="single" w:sz="4" w:space="0" w:color="auto"/>
            </w:tcBorders>
            <w:vAlign w:val="center"/>
          </w:tcPr>
          <w:p w:rsidR="00C21266" w:rsidRPr="005C3B55" w:rsidRDefault="00C21266">
            <w:pPr>
              <w:spacing w:after="0"/>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rPr>
                <w:rFonts w:eastAsia="Calibri"/>
                <w:sz w:val="12"/>
                <w:lang w:eastAsia="en-GB" w:bidi="en-GB"/>
              </w:rPr>
            </w:pPr>
            <w:r w:rsidRPr="005C3B55">
              <w:rPr>
                <w:sz w:val="12"/>
              </w:rPr>
              <w:t>M16 – Cooperation (Article 35)</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r w:rsidRPr="005C3B55">
              <w:rPr>
                <w:sz w:val="12"/>
              </w:rPr>
              <w:t>X</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r w:rsidRPr="005C3B55">
              <w:rPr>
                <w:sz w:val="12"/>
              </w:rPr>
              <w:t>X</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b/>
                <w:sz w:val="12"/>
                <w:lang w:eastAsia="en-GB" w:bidi="en-GB"/>
              </w:rPr>
            </w:pPr>
            <w:r w:rsidRPr="005C3B55">
              <w:rPr>
                <w:b/>
                <w:sz w:val="12"/>
              </w:rPr>
              <w:t>P</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r w:rsidRPr="005C3B55">
              <w:rPr>
                <w:sz w:val="12"/>
              </w:rPr>
              <w:t>X</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r w:rsidRPr="005C3B55">
              <w:rPr>
                <w:sz w:val="12"/>
              </w:rPr>
              <w:t>X</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r w:rsidRPr="005C3B55">
              <w:rPr>
                <w:sz w:val="12"/>
              </w:rPr>
              <w:t>X</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r>
      <w:tr w:rsidR="00C21266" w:rsidRPr="005C3B55">
        <w:tc>
          <w:tcPr>
            <w:tcW w:w="0" w:type="auto"/>
            <w:vMerge w:val="restar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r w:rsidRPr="005C3B55">
              <w:rPr>
                <w:sz w:val="12"/>
              </w:rPr>
              <w:t>2B</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rPr>
                <w:rFonts w:eastAsia="Calibri"/>
                <w:sz w:val="12"/>
                <w:lang w:eastAsia="en-GB" w:bidi="en-GB"/>
              </w:rPr>
            </w:pPr>
            <w:r w:rsidRPr="005C3B55">
              <w:rPr>
                <w:sz w:val="12"/>
              </w:rPr>
              <w:t>M01 – Knowledge transfer and information actions (Article 14)</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r w:rsidRPr="005C3B55">
              <w:rPr>
                <w:sz w:val="12"/>
              </w:rPr>
              <w:t>X</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r w:rsidRPr="005C3B55">
              <w:rPr>
                <w:sz w:val="12"/>
              </w:rPr>
              <w:t>X</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r w:rsidRPr="005C3B55">
              <w:rPr>
                <w:sz w:val="12"/>
              </w:rPr>
              <w:t>X</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b/>
                <w:sz w:val="12"/>
                <w:lang w:eastAsia="en-GB" w:bidi="en-GB"/>
              </w:rPr>
            </w:pPr>
            <w:r w:rsidRPr="005C3B55">
              <w:rPr>
                <w:b/>
                <w:sz w:val="12"/>
              </w:rPr>
              <w:t>P</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r>
      <w:tr w:rsidR="00C21266" w:rsidRPr="005C3B55">
        <w:tc>
          <w:tcPr>
            <w:tcW w:w="0" w:type="auto"/>
            <w:vMerge/>
            <w:tcBorders>
              <w:top w:val="single" w:sz="4" w:space="0" w:color="auto"/>
              <w:left w:val="single" w:sz="4" w:space="0" w:color="auto"/>
              <w:bottom w:val="single" w:sz="4" w:space="0" w:color="auto"/>
              <w:right w:val="single" w:sz="4" w:space="0" w:color="auto"/>
            </w:tcBorders>
            <w:vAlign w:val="center"/>
          </w:tcPr>
          <w:p w:rsidR="00C21266" w:rsidRPr="005C3B55" w:rsidRDefault="00C21266">
            <w:pPr>
              <w:spacing w:after="0"/>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rPr>
                <w:rFonts w:eastAsia="Calibri"/>
                <w:sz w:val="12"/>
                <w:lang w:eastAsia="en-GB" w:bidi="en-GB"/>
              </w:rPr>
            </w:pPr>
            <w:r w:rsidRPr="005C3B55">
              <w:rPr>
                <w:sz w:val="12"/>
              </w:rPr>
              <w:t>M06 – Farm and business development (Article 19)</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r w:rsidRPr="005C3B55">
              <w:rPr>
                <w:sz w:val="12"/>
              </w:rPr>
              <w:t>X</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r w:rsidRPr="005C3B55">
              <w:rPr>
                <w:sz w:val="12"/>
              </w:rPr>
              <w:t>X</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b/>
                <w:sz w:val="12"/>
                <w:lang w:eastAsia="en-GB" w:bidi="en-GB"/>
              </w:rPr>
            </w:pPr>
            <w:r w:rsidRPr="005C3B55">
              <w:rPr>
                <w:b/>
                <w:sz w:val="12"/>
              </w:rPr>
              <w:t>P</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r>
      <w:tr w:rsidR="00C21266" w:rsidRPr="005C3B55">
        <w:tc>
          <w:tcPr>
            <w:tcW w:w="0" w:type="auto"/>
            <w:vMerge w:val="restar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r w:rsidRPr="005C3B55">
              <w:rPr>
                <w:sz w:val="12"/>
              </w:rPr>
              <w:t>3A</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rPr>
                <w:rFonts w:eastAsia="Calibri"/>
                <w:sz w:val="12"/>
                <w:lang w:eastAsia="en-GB" w:bidi="en-GB"/>
              </w:rPr>
            </w:pPr>
            <w:r w:rsidRPr="005C3B55">
              <w:rPr>
                <w:sz w:val="12"/>
              </w:rPr>
              <w:t>M01 – Knowledge transfer and information actions (Article 14)</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r w:rsidRPr="005C3B55">
              <w:rPr>
                <w:sz w:val="12"/>
              </w:rPr>
              <w:t>X</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r w:rsidRPr="005C3B55">
              <w:rPr>
                <w:sz w:val="12"/>
              </w:rPr>
              <w:t>X</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r w:rsidRPr="005C3B55">
              <w:rPr>
                <w:sz w:val="12"/>
              </w:rPr>
              <w:t>X</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b/>
                <w:sz w:val="12"/>
                <w:lang w:eastAsia="en-GB" w:bidi="en-GB"/>
              </w:rPr>
            </w:pPr>
            <w:r w:rsidRPr="005C3B55">
              <w:rPr>
                <w:b/>
                <w:sz w:val="12"/>
              </w:rPr>
              <w:t>P</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r>
      <w:tr w:rsidR="00C21266" w:rsidRPr="005C3B55">
        <w:tc>
          <w:tcPr>
            <w:tcW w:w="0" w:type="auto"/>
            <w:vMerge/>
            <w:tcBorders>
              <w:top w:val="single" w:sz="4" w:space="0" w:color="auto"/>
              <w:left w:val="single" w:sz="4" w:space="0" w:color="auto"/>
              <w:bottom w:val="single" w:sz="4" w:space="0" w:color="auto"/>
              <w:right w:val="single" w:sz="4" w:space="0" w:color="auto"/>
            </w:tcBorders>
            <w:vAlign w:val="center"/>
          </w:tcPr>
          <w:p w:rsidR="00C21266" w:rsidRPr="005C3B55" w:rsidRDefault="00C21266">
            <w:pPr>
              <w:spacing w:after="0"/>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rPr>
                <w:rFonts w:eastAsia="Calibri"/>
                <w:sz w:val="12"/>
                <w:lang w:eastAsia="en-GB" w:bidi="en-GB"/>
              </w:rPr>
            </w:pPr>
            <w:r w:rsidRPr="005C3B55">
              <w:rPr>
                <w:sz w:val="12"/>
              </w:rPr>
              <w:t>M02 – Advisory services, farm management and farm relief services (Article 15)</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r w:rsidRPr="005C3B55">
              <w:rPr>
                <w:sz w:val="12"/>
              </w:rPr>
              <w:t>X</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b/>
                <w:sz w:val="12"/>
                <w:lang w:eastAsia="en-GB" w:bidi="en-GB"/>
              </w:rPr>
            </w:pPr>
            <w:r w:rsidRPr="005C3B55">
              <w:rPr>
                <w:b/>
                <w:sz w:val="12"/>
              </w:rPr>
              <w:t>P</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r>
      <w:tr w:rsidR="00C21266" w:rsidRPr="005C3B55">
        <w:tc>
          <w:tcPr>
            <w:tcW w:w="0" w:type="auto"/>
            <w:vMerge/>
            <w:tcBorders>
              <w:top w:val="single" w:sz="4" w:space="0" w:color="auto"/>
              <w:left w:val="single" w:sz="4" w:space="0" w:color="auto"/>
              <w:bottom w:val="single" w:sz="4" w:space="0" w:color="auto"/>
              <w:right w:val="single" w:sz="4" w:space="0" w:color="auto"/>
            </w:tcBorders>
            <w:vAlign w:val="center"/>
          </w:tcPr>
          <w:p w:rsidR="00C21266" w:rsidRPr="005C3B55" w:rsidRDefault="00C21266">
            <w:pPr>
              <w:spacing w:after="0"/>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rPr>
                <w:rFonts w:eastAsia="Calibri"/>
                <w:sz w:val="12"/>
                <w:lang w:eastAsia="en-GB" w:bidi="en-GB"/>
              </w:rPr>
            </w:pPr>
            <w:r w:rsidRPr="005C3B55">
              <w:rPr>
                <w:sz w:val="12"/>
              </w:rPr>
              <w:t>M03 – Quality schemes for agricultural products and foodstuffs (Article 16)</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b/>
                <w:sz w:val="12"/>
                <w:lang w:eastAsia="en-GB" w:bidi="en-GB"/>
              </w:rPr>
            </w:pPr>
            <w:r w:rsidRPr="005C3B55">
              <w:rPr>
                <w:b/>
                <w:sz w:val="12"/>
              </w:rPr>
              <w:t>P</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r>
      <w:tr w:rsidR="00C21266" w:rsidRPr="005C3B55">
        <w:tc>
          <w:tcPr>
            <w:tcW w:w="0" w:type="auto"/>
            <w:vMerge/>
            <w:tcBorders>
              <w:top w:val="single" w:sz="4" w:space="0" w:color="auto"/>
              <w:left w:val="single" w:sz="4" w:space="0" w:color="auto"/>
              <w:bottom w:val="single" w:sz="4" w:space="0" w:color="auto"/>
              <w:right w:val="single" w:sz="4" w:space="0" w:color="auto"/>
            </w:tcBorders>
            <w:vAlign w:val="center"/>
          </w:tcPr>
          <w:p w:rsidR="00C21266" w:rsidRPr="005C3B55" w:rsidRDefault="00C21266">
            <w:pPr>
              <w:spacing w:after="0"/>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rPr>
                <w:rFonts w:eastAsia="Calibri"/>
                <w:sz w:val="12"/>
                <w:lang w:eastAsia="en-GB" w:bidi="en-GB"/>
              </w:rPr>
            </w:pPr>
            <w:r w:rsidRPr="005C3B55">
              <w:rPr>
                <w:sz w:val="12"/>
              </w:rPr>
              <w:t>M04 - Investments in physical assets (Article 17)</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r w:rsidRPr="005C3B55">
              <w:rPr>
                <w:sz w:val="12"/>
              </w:rPr>
              <w:t>X</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r w:rsidRPr="005C3B55">
              <w:rPr>
                <w:sz w:val="12"/>
              </w:rPr>
              <w:t>X</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b/>
                <w:sz w:val="12"/>
                <w:lang w:eastAsia="en-GB" w:bidi="en-GB"/>
              </w:rPr>
            </w:pPr>
            <w:r w:rsidRPr="005C3B55">
              <w:rPr>
                <w:b/>
                <w:sz w:val="12"/>
              </w:rPr>
              <w:t>P</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r w:rsidRPr="005C3B55">
              <w:rPr>
                <w:sz w:val="12"/>
              </w:rPr>
              <w:t>X</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r>
      <w:tr w:rsidR="00C21266" w:rsidRPr="005C3B55">
        <w:tc>
          <w:tcPr>
            <w:tcW w:w="0" w:type="auto"/>
            <w:vMerge/>
            <w:tcBorders>
              <w:top w:val="single" w:sz="4" w:space="0" w:color="auto"/>
              <w:left w:val="single" w:sz="4" w:space="0" w:color="auto"/>
              <w:bottom w:val="single" w:sz="4" w:space="0" w:color="auto"/>
              <w:right w:val="single" w:sz="4" w:space="0" w:color="auto"/>
            </w:tcBorders>
            <w:vAlign w:val="center"/>
          </w:tcPr>
          <w:p w:rsidR="00C21266" w:rsidRPr="005C3B55" w:rsidRDefault="00C21266">
            <w:pPr>
              <w:spacing w:after="0"/>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rPr>
                <w:rFonts w:eastAsia="Calibri"/>
                <w:sz w:val="12"/>
                <w:lang w:eastAsia="en-GB" w:bidi="en-GB"/>
              </w:rPr>
            </w:pPr>
            <w:r w:rsidRPr="005C3B55">
              <w:rPr>
                <w:sz w:val="12"/>
              </w:rPr>
              <w:t>M09 – Setting-up of producer groups and organisations (Article 27)</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b/>
                <w:sz w:val="12"/>
                <w:lang w:eastAsia="en-GB" w:bidi="en-GB"/>
              </w:rPr>
            </w:pPr>
            <w:r w:rsidRPr="005C3B55">
              <w:rPr>
                <w:b/>
                <w:sz w:val="12"/>
              </w:rPr>
              <w:t>P</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r>
      <w:tr w:rsidR="00C21266" w:rsidRPr="005C3B55">
        <w:tc>
          <w:tcPr>
            <w:tcW w:w="0" w:type="auto"/>
            <w:vMerge/>
            <w:tcBorders>
              <w:top w:val="single" w:sz="4" w:space="0" w:color="auto"/>
              <w:left w:val="single" w:sz="4" w:space="0" w:color="auto"/>
              <w:bottom w:val="single" w:sz="4" w:space="0" w:color="auto"/>
              <w:right w:val="single" w:sz="4" w:space="0" w:color="auto"/>
            </w:tcBorders>
            <w:vAlign w:val="center"/>
          </w:tcPr>
          <w:p w:rsidR="00C21266" w:rsidRPr="005C3B55" w:rsidRDefault="00C21266">
            <w:pPr>
              <w:spacing w:after="0"/>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rPr>
                <w:rFonts w:eastAsia="Calibri"/>
                <w:sz w:val="12"/>
                <w:lang w:eastAsia="en-GB" w:bidi="en-GB"/>
              </w:rPr>
            </w:pPr>
            <w:r w:rsidRPr="005C3B55">
              <w:rPr>
                <w:sz w:val="12"/>
              </w:rPr>
              <w:t>M14 – Animal welfare (Article 33)</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r w:rsidRPr="005C3B55">
              <w:rPr>
                <w:sz w:val="12"/>
              </w:rPr>
              <w:t>X</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r w:rsidRPr="005C3B55">
              <w:rPr>
                <w:sz w:val="12"/>
              </w:rPr>
              <w:t>X</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b/>
                <w:sz w:val="12"/>
                <w:lang w:eastAsia="en-GB" w:bidi="en-GB"/>
              </w:rPr>
            </w:pPr>
            <w:r w:rsidRPr="005C3B55">
              <w:rPr>
                <w:b/>
                <w:sz w:val="12"/>
              </w:rPr>
              <w:t>P</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r w:rsidRPr="005C3B55">
              <w:rPr>
                <w:sz w:val="12"/>
              </w:rPr>
              <w:t>X</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r>
      <w:tr w:rsidR="00C21266" w:rsidRPr="005C3B55">
        <w:tc>
          <w:tcPr>
            <w:tcW w:w="0" w:type="auto"/>
            <w:vMerge/>
            <w:tcBorders>
              <w:top w:val="single" w:sz="4" w:space="0" w:color="auto"/>
              <w:left w:val="single" w:sz="4" w:space="0" w:color="auto"/>
              <w:bottom w:val="single" w:sz="4" w:space="0" w:color="auto"/>
              <w:right w:val="single" w:sz="4" w:space="0" w:color="auto"/>
            </w:tcBorders>
            <w:vAlign w:val="center"/>
          </w:tcPr>
          <w:p w:rsidR="00C21266" w:rsidRPr="005C3B55" w:rsidRDefault="00C21266">
            <w:pPr>
              <w:spacing w:after="0"/>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rPr>
                <w:rFonts w:eastAsia="Calibri"/>
                <w:sz w:val="12"/>
                <w:lang w:eastAsia="en-GB" w:bidi="en-GB"/>
              </w:rPr>
            </w:pPr>
            <w:r w:rsidRPr="005C3B55">
              <w:rPr>
                <w:sz w:val="12"/>
              </w:rPr>
              <w:t>M16 – Cooperation (Article 35)</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r w:rsidRPr="005C3B55">
              <w:rPr>
                <w:sz w:val="12"/>
              </w:rPr>
              <w:t>X</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r w:rsidRPr="005C3B55">
              <w:rPr>
                <w:sz w:val="12"/>
              </w:rPr>
              <w:t>X</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r w:rsidRPr="005C3B55">
              <w:rPr>
                <w:sz w:val="12"/>
              </w:rPr>
              <w:t>X</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b/>
                <w:sz w:val="12"/>
                <w:lang w:eastAsia="en-GB" w:bidi="en-GB"/>
              </w:rPr>
            </w:pPr>
            <w:r w:rsidRPr="005C3B55">
              <w:rPr>
                <w:b/>
                <w:sz w:val="12"/>
              </w:rPr>
              <w:t>P</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r w:rsidRPr="005C3B55">
              <w:rPr>
                <w:sz w:val="12"/>
              </w:rPr>
              <w:t>X</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r w:rsidRPr="005C3B55">
              <w:rPr>
                <w:sz w:val="12"/>
              </w:rPr>
              <w:t>X</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r>
      <w:tr w:rsidR="00C21266" w:rsidRPr="005C3B55">
        <w:tc>
          <w:tcPr>
            <w:tcW w:w="0" w:type="auto"/>
            <w:vMerge w:val="restar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r w:rsidRPr="005C3B55">
              <w:rPr>
                <w:sz w:val="12"/>
              </w:rPr>
              <w:t>6A</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rPr>
                <w:rFonts w:eastAsia="Calibri"/>
                <w:sz w:val="12"/>
                <w:lang w:eastAsia="en-GB" w:bidi="en-GB"/>
              </w:rPr>
            </w:pPr>
            <w:r w:rsidRPr="005C3B55">
              <w:rPr>
                <w:sz w:val="12"/>
              </w:rPr>
              <w:t>M06 – Farm and business development (Article 19)</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r w:rsidRPr="005C3B55">
              <w:rPr>
                <w:sz w:val="12"/>
              </w:rPr>
              <w:t>X</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b/>
                <w:sz w:val="12"/>
                <w:lang w:eastAsia="en-GB" w:bidi="en-GB"/>
              </w:rPr>
            </w:pPr>
            <w:r w:rsidRPr="005C3B55">
              <w:rPr>
                <w:b/>
                <w:sz w:val="12"/>
              </w:rPr>
              <w:t>P</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r>
      <w:tr w:rsidR="00C21266" w:rsidRPr="005C3B55">
        <w:tc>
          <w:tcPr>
            <w:tcW w:w="0" w:type="auto"/>
            <w:vMerge/>
            <w:tcBorders>
              <w:top w:val="single" w:sz="4" w:space="0" w:color="auto"/>
              <w:left w:val="single" w:sz="4" w:space="0" w:color="auto"/>
              <w:bottom w:val="single" w:sz="4" w:space="0" w:color="auto"/>
              <w:right w:val="single" w:sz="4" w:space="0" w:color="auto"/>
            </w:tcBorders>
            <w:vAlign w:val="center"/>
          </w:tcPr>
          <w:p w:rsidR="00C21266" w:rsidRPr="005C3B55" w:rsidRDefault="00C21266">
            <w:pPr>
              <w:spacing w:after="0"/>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rPr>
                <w:rFonts w:eastAsia="Calibri"/>
                <w:sz w:val="12"/>
                <w:lang w:eastAsia="en-GB" w:bidi="en-GB"/>
              </w:rPr>
            </w:pPr>
            <w:r w:rsidRPr="005C3B55">
              <w:rPr>
                <w:sz w:val="12"/>
              </w:rPr>
              <w:t>M08 – Investments in forest area development and improvement of the viability of forests (Articles 21-26)</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r w:rsidRPr="005C3B55">
              <w:rPr>
                <w:sz w:val="12"/>
              </w:rPr>
              <w:t>X</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b/>
                <w:sz w:val="12"/>
                <w:lang w:eastAsia="en-GB" w:bidi="en-GB"/>
              </w:rPr>
            </w:pPr>
            <w:r w:rsidRPr="005C3B55">
              <w:rPr>
                <w:b/>
                <w:sz w:val="12"/>
              </w:rPr>
              <w:t>P</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r>
      <w:tr w:rsidR="00C21266" w:rsidRPr="005C3B55">
        <w:tc>
          <w:tcPr>
            <w:tcW w:w="0" w:type="auto"/>
            <w:vMerge/>
            <w:tcBorders>
              <w:top w:val="single" w:sz="4" w:space="0" w:color="auto"/>
              <w:left w:val="single" w:sz="4" w:space="0" w:color="auto"/>
              <w:bottom w:val="single" w:sz="4" w:space="0" w:color="auto"/>
              <w:right w:val="single" w:sz="4" w:space="0" w:color="auto"/>
            </w:tcBorders>
            <w:vAlign w:val="center"/>
          </w:tcPr>
          <w:p w:rsidR="00C21266" w:rsidRPr="005C3B55" w:rsidRDefault="00C21266">
            <w:pPr>
              <w:spacing w:after="0"/>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rPr>
                <w:rFonts w:eastAsia="Calibri"/>
                <w:sz w:val="12"/>
                <w:lang w:eastAsia="en-GB" w:bidi="en-GB"/>
              </w:rPr>
            </w:pPr>
            <w:r w:rsidRPr="005C3B55">
              <w:rPr>
                <w:sz w:val="12"/>
              </w:rPr>
              <w:t>M16 – Cooperation (Article 35)</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r w:rsidRPr="005C3B55">
              <w:rPr>
                <w:sz w:val="12"/>
              </w:rPr>
              <w:t>X</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r w:rsidRPr="005C3B55">
              <w:rPr>
                <w:sz w:val="12"/>
              </w:rPr>
              <w:t>X</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r w:rsidRPr="005C3B55">
              <w:rPr>
                <w:sz w:val="12"/>
              </w:rPr>
              <w:t>X</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r w:rsidRPr="005C3B55">
              <w:rPr>
                <w:sz w:val="12"/>
              </w:rPr>
              <w:t>X</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b/>
                <w:sz w:val="12"/>
                <w:lang w:eastAsia="en-GB" w:bidi="en-GB"/>
              </w:rPr>
            </w:pPr>
            <w:r w:rsidRPr="005C3B55">
              <w:rPr>
                <w:b/>
                <w:sz w:val="12"/>
              </w:rPr>
              <w:t>P</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r w:rsidRPr="005C3B55">
              <w:rPr>
                <w:sz w:val="12"/>
              </w:rPr>
              <w:t>X</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r>
      <w:tr w:rsidR="00C21266" w:rsidRPr="005C3B55">
        <w:tc>
          <w:tcPr>
            <w:tcW w:w="0" w:type="auto"/>
            <w:tcBorders>
              <w:top w:val="single" w:sz="4" w:space="0" w:color="auto"/>
              <w:left w:val="single" w:sz="4" w:space="0" w:color="auto"/>
              <w:bottom w:val="nil"/>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r w:rsidRPr="005C3B55">
              <w:rPr>
                <w:sz w:val="12"/>
              </w:rPr>
              <w:t>6B</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rPr>
                <w:rFonts w:eastAsia="Calibri"/>
                <w:sz w:val="12"/>
                <w:lang w:eastAsia="en-GB" w:bidi="en-GB"/>
              </w:rPr>
            </w:pPr>
            <w:r w:rsidRPr="005C3B55">
              <w:rPr>
                <w:sz w:val="12"/>
              </w:rPr>
              <w:t>M19 – Support for LEADER local development (CLLD – community-led local development) (Article 35 of Regulation (EU) No 1303/2013)</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r w:rsidRPr="005C3B55">
              <w:rPr>
                <w:sz w:val="12"/>
              </w:rPr>
              <w:t>X</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r w:rsidRPr="005C3B55">
              <w:rPr>
                <w:sz w:val="12"/>
              </w:rPr>
              <w:t>X</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r w:rsidRPr="005C3B55">
              <w:rPr>
                <w:sz w:val="12"/>
              </w:rPr>
              <w:t>X</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r w:rsidRPr="005C3B55">
              <w:rPr>
                <w:sz w:val="12"/>
              </w:rPr>
              <w:t>X</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r w:rsidRPr="005C3B55">
              <w:rPr>
                <w:sz w:val="12"/>
              </w:rPr>
              <w:t>X</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r w:rsidRPr="005C3B55">
              <w:rPr>
                <w:sz w:val="12"/>
              </w:rPr>
              <w:t>X</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r w:rsidRPr="005C3B55">
              <w:rPr>
                <w:sz w:val="12"/>
              </w:rPr>
              <w:t>X</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r w:rsidRPr="005C3B55">
              <w:rPr>
                <w:sz w:val="12"/>
              </w:rPr>
              <w:t>X</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r w:rsidRPr="005C3B55">
              <w:rPr>
                <w:sz w:val="12"/>
              </w:rPr>
              <w:t>X</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r w:rsidRPr="005C3B55">
              <w:rPr>
                <w:sz w:val="12"/>
              </w:rPr>
              <w:t>X</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r w:rsidRPr="005C3B55">
              <w:rPr>
                <w:sz w:val="12"/>
              </w:rPr>
              <w:t>X</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r w:rsidRPr="005C3B55">
              <w:rPr>
                <w:sz w:val="12"/>
              </w:rPr>
              <w:t>X</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r w:rsidRPr="005C3B55">
              <w:rPr>
                <w:sz w:val="12"/>
              </w:rPr>
              <w:t>X</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r w:rsidRPr="005C3B55">
              <w:rPr>
                <w:sz w:val="12"/>
              </w:rPr>
              <w:t>X</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b/>
                <w:sz w:val="12"/>
                <w:lang w:eastAsia="en-GB" w:bidi="en-GB"/>
              </w:rPr>
            </w:pPr>
            <w:r w:rsidRPr="005C3B55">
              <w:rPr>
                <w:b/>
                <w:sz w:val="12"/>
              </w:rPr>
              <w:t>P</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r>
      <w:tr w:rsidR="00C21266" w:rsidRPr="005C3B55">
        <w:tc>
          <w:tcPr>
            <w:tcW w:w="0" w:type="auto"/>
            <w:tcBorders>
              <w:top w:val="single" w:sz="4" w:space="0" w:color="auto"/>
              <w:left w:val="single" w:sz="4" w:space="0" w:color="auto"/>
              <w:bottom w:val="nil"/>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r w:rsidRPr="005C3B55">
              <w:rPr>
                <w:sz w:val="12"/>
              </w:rPr>
              <w:t>6C</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rPr>
                <w:rFonts w:eastAsia="Calibri"/>
                <w:sz w:val="12"/>
                <w:lang w:eastAsia="en-GB" w:bidi="en-GB"/>
              </w:rPr>
            </w:pPr>
            <w:r w:rsidRPr="005C3B55">
              <w:rPr>
                <w:sz w:val="12"/>
              </w:rPr>
              <w:t>M07 – Basic services and village renewal in rural areas (Article 20)</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b/>
                <w:sz w:val="12"/>
                <w:lang w:eastAsia="en-GB" w:bidi="en-GB"/>
              </w:rPr>
            </w:pPr>
            <w:r w:rsidRPr="005C3B55">
              <w:rPr>
                <w:b/>
                <w:sz w:val="12"/>
              </w:rPr>
              <w:t>P</w:t>
            </w:r>
          </w:p>
        </w:tc>
      </w:tr>
      <w:tr w:rsidR="00C21266" w:rsidRPr="005C3B55">
        <w:tc>
          <w:tcPr>
            <w:tcW w:w="0" w:type="auto"/>
            <w:tcBorders>
              <w:top w:val="single" w:sz="4" w:space="0" w:color="auto"/>
              <w:left w:val="single" w:sz="4" w:space="0" w:color="auto"/>
              <w:bottom w:val="nil"/>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r w:rsidRPr="005C3B55">
              <w:rPr>
                <w:sz w:val="12"/>
              </w:rPr>
              <w:t>P4 (FOREST)</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rPr>
                <w:rFonts w:eastAsia="Calibri"/>
                <w:sz w:val="12"/>
                <w:lang w:eastAsia="en-GB" w:bidi="en-GB"/>
              </w:rPr>
            </w:pPr>
            <w:r w:rsidRPr="005C3B55">
              <w:rPr>
                <w:sz w:val="12"/>
              </w:rPr>
              <w:t>M08 – Investments in forest area development and improvement of the viability of forests (Articles 21-26)</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b/>
                <w:sz w:val="12"/>
                <w:lang w:eastAsia="en-GB" w:bidi="en-GB"/>
              </w:rPr>
            </w:pPr>
            <w:r w:rsidRPr="005C3B55">
              <w:rPr>
                <w:b/>
                <w:sz w:val="12"/>
              </w:rPr>
              <w:t>P</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b/>
                <w:sz w:val="12"/>
                <w:lang w:eastAsia="en-GB" w:bidi="en-GB"/>
              </w:rPr>
            </w:pPr>
            <w:r w:rsidRPr="005C3B55">
              <w:rPr>
                <w:b/>
                <w:sz w:val="12"/>
              </w:rPr>
              <w:t>P</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b/>
                <w:sz w:val="12"/>
                <w:lang w:eastAsia="en-GB" w:bidi="en-GB"/>
              </w:rPr>
            </w:pPr>
            <w:r w:rsidRPr="005C3B55">
              <w:rPr>
                <w:b/>
                <w:sz w:val="12"/>
              </w:rPr>
              <w:t>P</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r w:rsidRPr="005C3B55">
              <w:rPr>
                <w:sz w:val="12"/>
              </w:rPr>
              <w:t>X</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r>
      <w:tr w:rsidR="00C21266" w:rsidRPr="005C3B55">
        <w:tc>
          <w:tcPr>
            <w:tcW w:w="0" w:type="auto"/>
            <w:vMerge w:val="restart"/>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r w:rsidRPr="005C3B55">
              <w:rPr>
                <w:sz w:val="12"/>
              </w:rPr>
              <w:t>P4 (AGRI)</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rPr>
                <w:rFonts w:eastAsia="Calibri"/>
                <w:sz w:val="12"/>
                <w:lang w:eastAsia="en-GB" w:bidi="en-GB"/>
              </w:rPr>
            </w:pPr>
            <w:r w:rsidRPr="005C3B55">
              <w:rPr>
                <w:sz w:val="12"/>
              </w:rPr>
              <w:t>M01 – Knowledge transfer and information actions (Article 14)</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r w:rsidRPr="005C3B55">
              <w:rPr>
                <w:sz w:val="12"/>
              </w:rPr>
              <w:t>X</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r w:rsidRPr="005C3B55">
              <w:rPr>
                <w:sz w:val="12"/>
              </w:rPr>
              <w:t>X</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b/>
                <w:sz w:val="12"/>
                <w:lang w:eastAsia="en-GB" w:bidi="en-GB"/>
              </w:rPr>
            </w:pPr>
            <w:r w:rsidRPr="005C3B55">
              <w:rPr>
                <w:b/>
                <w:sz w:val="12"/>
              </w:rPr>
              <w:t>P</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b/>
                <w:sz w:val="12"/>
                <w:lang w:eastAsia="en-GB" w:bidi="en-GB"/>
              </w:rPr>
            </w:pPr>
            <w:r w:rsidRPr="005C3B55">
              <w:rPr>
                <w:b/>
                <w:sz w:val="12"/>
              </w:rPr>
              <w:t>P</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b/>
                <w:sz w:val="12"/>
                <w:lang w:eastAsia="en-GB" w:bidi="en-GB"/>
              </w:rPr>
            </w:pPr>
            <w:r w:rsidRPr="005C3B55">
              <w:rPr>
                <w:b/>
                <w:sz w:val="12"/>
              </w:rPr>
              <w:t>P</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r w:rsidRPr="005C3B55">
              <w:rPr>
                <w:sz w:val="12"/>
              </w:rPr>
              <w:t>X</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r w:rsidRPr="005C3B55">
              <w:rPr>
                <w:sz w:val="12"/>
              </w:rPr>
              <w:t>X</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r w:rsidRPr="005C3B55">
              <w:rPr>
                <w:sz w:val="12"/>
              </w:rPr>
              <w:t>X</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r>
      <w:tr w:rsidR="00C21266" w:rsidRPr="005C3B55">
        <w:tc>
          <w:tcPr>
            <w:tcW w:w="0" w:type="auto"/>
            <w:vMerge/>
            <w:tcBorders>
              <w:top w:val="single" w:sz="4" w:space="0" w:color="auto"/>
              <w:left w:val="single" w:sz="4" w:space="0" w:color="auto"/>
              <w:bottom w:val="single" w:sz="4" w:space="0" w:color="auto"/>
              <w:right w:val="single" w:sz="4" w:space="0" w:color="auto"/>
            </w:tcBorders>
            <w:vAlign w:val="center"/>
          </w:tcPr>
          <w:p w:rsidR="00C21266" w:rsidRPr="005C3B55" w:rsidRDefault="00C21266">
            <w:pPr>
              <w:spacing w:after="0"/>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rPr>
                <w:rFonts w:eastAsia="Calibri"/>
                <w:sz w:val="12"/>
                <w:lang w:eastAsia="en-GB" w:bidi="en-GB"/>
              </w:rPr>
            </w:pPr>
            <w:r w:rsidRPr="005C3B55">
              <w:rPr>
                <w:sz w:val="12"/>
              </w:rPr>
              <w:t>M02 – Advisory services, farm management and farm relief services (Article 15)</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r w:rsidRPr="005C3B55">
              <w:rPr>
                <w:sz w:val="12"/>
              </w:rPr>
              <w:t>X</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r w:rsidRPr="005C3B55">
              <w:rPr>
                <w:sz w:val="12"/>
              </w:rPr>
              <w:t>X</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b/>
                <w:sz w:val="12"/>
                <w:lang w:eastAsia="en-GB" w:bidi="en-GB"/>
              </w:rPr>
            </w:pPr>
            <w:r w:rsidRPr="005C3B55">
              <w:rPr>
                <w:b/>
                <w:sz w:val="12"/>
              </w:rPr>
              <w:t>P</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b/>
                <w:sz w:val="12"/>
                <w:lang w:eastAsia="en-GB" w:bidi="en-GB"/>
              </w:rPr>
            </w:pPr>
            <w:r w:rsidRPr="005C3B55">
              <w:rPr>
                <w:b/>
                <w:sz w:val="12"/>
              </w:rPr>
              <w:t>P</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b/>
                <w:sz w:val="12"/>
                <w:lang w:eastAsia="en-GB" w:bidi="en-GB"/>
              </w:rPr>
            </w:pPr>
            <w:r w:rsidRPr="005C3B55">
              <w:rPr>
                <w:b/>
                <w:sz w:val="12"/>
              </w:rPr>
              <w:t>P</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r w:rsidRPr="005C3B55">
              <w:rPr>
                <w:sz w:val="12"/>
              </w:rPr>
              <w:t>X</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r w:rsidRPr="005C3B55">
              <w:rPr>
                <w:sz w:val="12"/>
              </w:rPr>
              <w:t>X</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r>
      <w:tr w:rsidR="00C21266" w:rsidRPr="005C3B55">
        <w:tc>
          <w:tcPr>
            <w:tcW w:w="0" w:type="auto"/>
            <w:vMerge/>
            <w:tcBorders>
              <w:top w:val="single" w:sz="4" w:space="0" w:color="auto"/>
              <w:left w:val="single" w:sz="4" w:space="0" w:color="auto"/>
              <w:bottom w:val="single" w:sz="4" w:space="0" w:color="auto"/>
              <w:right w:val="single" w:sz="4" w:space="0" w:color="auto"/>
            </w:tcBorders>
            <w:vAlign w:val="center"/>
          </w:tcPr>
          <w:p w:rsidR="00C21266" w:rsidRPr="005C3B55" w:rsidRDefault="00C21266">
            <w:pPr>
              <w:spacing w:after="0"/>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rPr>
                <w:rFonts w:eastAsia="Calibri"/>
                <w:sz w:val="12"/>
                <w:lang w:eastAsia="en-GB" w:bidi="en-GB"/>
              </w:rPr>
            </w:pPr>
            <w:r w:rsidRPr="005C3B55">
              <w:rPr>
                <w:sz w:val="12"/>
              </w:rPr>
              <w:t>M10 – Agri-environment-climate payments (Article 28)</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r w:rsidRPr="005C3B55">
              <w:rPr>
                <w:sz w:val="12"/>
              </w:rPr>
              <w:t>X</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r w:rsidRPr="005C3B55">
              <w:rPr>
                <w:sz w:val="12"/>
              </w:rPr>
              <w:t>X</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r w:rsidRPr="005C3B55">
              <w:rPr>
                <w:sz w:val="12"/>
              </w:rPr>
              <w:t>X</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b/>
                <w:sz w:val="12"/>
                <w:lang w:eastAsia="en-GB" w:bidi="en-GB"/>
              </w:rPr>
            </w:pPr>
            <w:r w:rsidRPr="005C3B55">
              <w:rPr>
                <w:b/>
                <w:sz w:val="12"/>
              </w:rPr>
              <w:t>P</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b/>
                <w:sz w:val="12"/>
                <w:lang w:eastAsia="en-GB" w:bidi="en-GB"/>
              </w:rPr>
            </w:pPr>
            <w:r w:rsidRPr="005C3B55">
              <w:rPr>
                <w:b/>
                <w:sz w:val="12"/>
              </w:rPr>
              <w:t>P</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b/>
                <w:sz w:val="12"/>
                <w:lang w:eastAsia="en-GB" w:bidi="en-GB"/>
              </w:rPr>
            </w:pPr>
            <w:r w:rsidRPr="005C3B55">
              <w:rPr>
                <w:b/>
                <w:sz w:val="12"/>
              </w:rPr>
              <w:t>P</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r w:rsidRPr="005C3B55">
              <w:rPr>
                <w:sz w:val="12"/>
              </w:rPr>
              <w:t>X</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r w:rsidRPr="005C3B55">
              <w:rPr>
                <w:sz w:val="12"/>
              </w:rPr>
              <w:t>X</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r>
      <w:tr w:rsidR="00C21266" w:rsidRPr="005C3B55">
        <w:tc>
          <w:tcPr>
            <w:tcW w:w="0" w:type="auto"/>
            <w:vMerge/>
            <w:tcBorders>
              <w:top w:val="single" w:sz="4" w:space="0" w:color="auto"/>
              <w:left w:val="single" w:sz="4" w:space="0" w:color="auto"/>
              <w:bottom w:val="single" w:sz="4" w:space="0" w:color="auto"/>
              <w:right w:val="single" w:sz="4" w:space="0" w:color="auto"/>
            </w:tcBorders>
            <w:vAlign w:val="center"/>
          </w:tcPr>
          <w:p w:rsidR="00C21266" w:rsidRPr="005C3B55" w:rsidRDefault="00C21266">
            <w:pPr>
              <w:spacing w:after="0"/>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rPr>
                <w:rFonts w:eastAsia="Calibri"/>
                <w:sz w:val="12"/>
                <w:lang w:eastAsia="en-GB" w:bidi="en-GB"/>
              </w:rPr>
            </w:pPr>
            <w:r w:rsidRPr="005C3B55">
              <w:rPr>
                <w:sz w:val="12"/>
              </w:rPr>
              <w:t>M11 – Organic farming (Article 29)</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r w:rsidRPr="005C3B55">
              <w:rPr>
                <w:sz w:val="12"/>
              </w:rPr>
              <w:t>X</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r w:rsidRPr="005C3B55">
              <w:rPr>
                <w:sz w:val="12"/>
              </w:rPr>
              <w:t>X</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r w:rsidRPr="005C3B55">
              <w:rPr>
                <w:sz w:val="12"/>
              </w:rPr>
              <w:t>X</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b/>
                <w:sz w:val="12"/>
                <w:lang w:eastAsia="en-GB" w:bidi="en-GB"/>
              </w:rPr>
            </w:pPr>
            <w:r w:rsidRPr="005C3B55">
              <w:rPr>
                <w:b/>
                <w:sz w:val="12"/>
              </w:rPr>
              <w:t>P</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b/>
                <w:sz w:val="12"/>
                <w:lang w:eastAsia="en-GB" w:bidi="en-GB"/>
              </w:rPr>
            </w:pPr>
            <w:r w:rsidRPr="005C3B55">
              <w:rPr>
                <w:b/>
                <w:sz w:val="12"/>
              </w:rPr>
              <w:t>P</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b/>
                <w:sz w:val="12"/>
                <w:lang w:eastAsia="en-GB" w:bidi="en-GB"/>
              </w:rPr>
            </w:pPr>
            <w:r w:rsidRPr="005C3B55">
              <w:rPr>
                <w:b/>
                <w:sz w:val="12"/>
              </w:rPr>
              <w:t>P</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r w:rsidRPr="005C3B55">
              <w:rPr>
                <w:sz w:val="12"/>
              </w:rPr>
              <w:t>X</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r w:rsidRPr="005C3B55">
              <w:rPr>
                <w:sz w:val="12"/>
              </w:rPr>
              <w:t>X</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r>
      <w:tr w:rsidR="00C21266" w:rsidRPr="005C3B55">
        <w:tc>
          <w:tcPr>
            <w:tcW w:w="0" w:type="auto"/>
            <w:vMerge/>
            <w:tcBorders>
              <w:top w:val="single" w:sz="4" w:space="0" w:color="auto"/>
              <w:left w:val="single" w:sz="4" w:space="0" w:color="auto"/>
              <w:bottom w:val="single" w:sz="4" w:space="0" w:color="auto"/>
              <w:right w:val="single" w:sz="4" w:space="0" w:color="auto"/>
            </w:tcBorders>
            <w:vAlign w:val="center"/>
          </w:tcPr>
          <w:p w:rsidR="00C21266" w:rsidRPr="005C3B55" w:rsidRDefault="00C21266">
            <w:pPr>
              <w:spacing w:after="0"/>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rPr>
                <w:rFonts w:eastAsia="Calibri"/>
                <w:sz w:val="12"/>
                <w:lang w:eastAsia="en-GB" w:bidi="en-GB"/>
              </w:rPr>
            </w:pPr>
            <w:r w:rsidRPr="005C3B55">
              <w:rPr>
                <w:sz w:val="12"/>
              </w:rPr>
              <w:t>M13 – Payments to areas facing natural or other specific constraints (Article 31)</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b/>
                <w:sz w:val="12"/>
                <w:lang w:eastAsia="en-GB" w:bidi="en-GB"/>
              </w:rPr>
            </w:pPr>
            <w:r w:rsidRPr="005C3B55">
              <w:rPr>
                <w:b/>
                <w:sz w:val="12"/>
              </w:rPr>
              <w:t>P</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b/>
                <w:sz w:val="12"/>
                <w:lang w:eastAsia="en-GB" w:bidi="en-GB"/>
              </w:rPr>
            </w:pPr>
            <w:r w:rsidRPr="005C3B55">
              <w:rPr>
                <w:b/>
                <w:sz w:val="12"/>
              </w:rPr>
              <w:t>P</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b/>
                <w:sz w:val="12"/>
                <w:lang w:eastAsia="en-GB" w:bidi="en-GB"/>
              </w:rPr>
            </w:pPr>
            <w:r w:rsidRPr="005C3B55">
              <w:rPr>
                <w:b/>
                <w:sz w:val="12"/>
              </w:rPr>
              <w:t>P</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r>
      <w:tr w:rsidR="00C21266" w:rsidRPr="005C3B55">
        <w:tc>
          <w:tcPr>
            <w:tcW w:w="0" w:type="auto"/>
            <w:vMerge/>
            <w:tcBorders>
              <w:top w:val="single" w:sz="4" w:space="0" w:color="auto"/>
              <w:left w:val="single" w:sz="4" w:space="0" w:color="auto"/>
              <w:bottom w:val="single" w:sz="4" w:space="0" w:color="auto"/>
              <w:right w:val="single" w:sz="4" w:space="0" w:color="auto"/>
            </w:tcBorders>
            <w:vAlign w:val="center"/>
          </w:tcPr>
          <w:p w:rsidR="00C21266" w:rsidRPr="005C3B55" w:rsidRDefault="00C21266">
            <w:pPr>
              <w:spacing w:after="0"/>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rPr>
                <w:rFonts w:eastAsia="Calibri"/>
                <w:sz w:val="12"/>
                <w:lang w:eastAsia="en-GB" w:bidi="en-GB"/>
              </w:rPr>
            </w:pPr>
            <w:r w:rsidRPr="005C3B55">
              <w:rPr>
                <w:sz w:val="12"/>
              </w:rPr>
              <w:t>M16 – Cooperation (Article 35)</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r w:rsidRPr="005C3B55">
              <w:rPr>
                <w:sz w:val="12"/>
              </w:rPr>
              <w:t>X</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r w:rsidRPr="005C3B55">
              <w:rPr>
                <w:sz w:val="12"/>
              </w:rPr>
              <w:t>X</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r w:rsidRPr="005C3B55">
              <w:rPr>
                <w:sz w:val="12"/>
              </w:rPr>
              <w:t>X</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b/>
                <w:sz w:val="12"/>
                <w:lang w:eastAsia="en-GB" w:bidi="en-GB"/>
              </w:rPr>
            </w:pPr>
            <w:r w:rsidRPr="005C3B55">
              <w:rPr>
                <w:b/>
                <w:sz w:val="12"/>
              </w:rPr>
              <w:t>P</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b/>
                <w:sz w:val="12"/>
                <w:lang w:eastAsia="en-GB" w:bidi="en-GB"/>
              </w:rPr>
            </w:pPr>
            <w:r w:rsidRPr="005C3B55">
              <w:rPr>
                <w:b/>
                <w:sz w:val="12"/>
              </w:rPr>
              <w:t>P</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b/>
                <w:sz w:val="12"/>
                <w:lang w:eastAsia="en-GB" w:bidi="en-GB"/>
              </w:rPr>
            </w:pPr>
            <w:r w:rsidRPr="005C3B55">
              <w:rPr>
                <w:b/>
                <w:sz w:val="12"/>
              </w:rPr>
              <w:t>P</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r w:rsidRPr="005C3B55">
              <w:rPr>
                <w:sz w:val="12"/>
              </w:rPr>
              <w:t>X</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20" w:type="dxa"/>
              <w:left w:w="20" w:type="dxa"/>
              <w:bottom w:w="20" w:type="dxa"/>
              <w:right w:w="108" w:type="dxa"/>
            </w:tcMar>
            <w:vAlign w:val="center"/>
          </w:tcPr>
          <w:p w:rsidR="00C21266" w:rsidRPr="005C3B55" w:rsidRDefault="00C21266">
            <w:pPr>
              <w:spacing w:after="200"/>
              <w:jc w:val="center"/>
              <w:rPr>
                <w:rFonts w:eastAsia="Calibri"/>
                <w:sz w:val="12"/>
                <w:lang w:eastAsia="en-GB" w:bidi="en-GB"/>
              </w:rPr>
            </w:pPr>
          </w:p>
        </w:tc>
      </w:tr>
    </w:tbl>
    <w:p w:rsidR="00C21266" w:rsidRPr="005C3B55" w:rsidRDefault="00C21266" w:rsidP="00C21266">
      <w:pPr>
        <w:spacing w:after="0"/>
        <w:sectPr w:rsidR="00C21266" w:rsidRPr="005C3B55">
          <w:pgSz w:w="15840" w:h="12240" w:orient="landscape"/>
          <w:pgMar w:top="900" w:right="46" w:bottom="900" w:left="46" w:header="708" w:footer="708" w:gutter="0"/>
          <w:cols w:space="708"/>
        </w:sectPr>
      </w:pPr>
    </w:p>
    <w:p w:rsidR="00C21266" w:rsidRPr="005C3B55" w:rsidRDefault="00C21266" w:rsidP="00C21266">
      <w:pPr>
        <w:pStyle w:val="Naslov2"/>
        <w:tabs>
          <w:tab w:val="clear" w:pos="765"/>
        </w:tabs>
        <w:ind w:left="0" w:firstLine="0"/>
        <w:rPr>
          <w:lang w:val="en-GB" w:eastAsia="en-GB" w:bidi="en-GB"/>
        </w:rPr>
      </w:pPr>
      <w:r w:rsidRPr="005C3B55">
        <w:rPr>
          <w:lang w:val="en-GB"/>
        </w:rPr>
        <w:t xml:space="preserve"> </w:t>
      </w:r>
      <w:bookmarkStart w:id="170" w:name="_Toc416192628"/>
      <w:r w:rsidRPr="005C3B55">
        <w:rPr>
          <w:lang w:val="en-GB"/>
        </w:rPr>
        <w:t>Table of support indicating how environmental measures/schemes are designed to attaining one (or several) environmental/climate objective</w:t>
      </w:r>
      <w:bookmarkEnd w:id="170"/>
    </w:p>
    <w:p w:rsidR="00C21266" w:rsidRPr="005C3B55" w:rsidRDefault="00C21266" w:rsidP="00C21266">
      <w:pPr>
        <w:pStyle w:val="Naslov3"/>
        <w:tabs>
          <w:tab w:val="clear" w:pos="765"/>
        </w:tabs>
        <w:ind w:left="0" w:firstLine="0"/>
        <w:jc w:val="left"/>
        <w:rPr>
          <w:lang w:val="en-GB"/>
        </w:rPr>
      </w:pPr>
      <w:r w:rsidRPr="005C3B55">
        <w:rPr>
          <w:lang w:val="en-GB"/>
        </w:rPr>
        <w:t xml:space="preserve"> </w:t>
      </w:r>
      <w:bookmarkStart w:id="171" w:name="_Toc416192629"/>
      <w:r w:rsidRPr="005C3B55">
        <w:rPr>
          <w:lang w:val="en-GB"/>
        </w:rPr>
        <w:t>Agricultural land</w:t>
      </w:r>
      <w:bookmarkEnd w:id="171"/>
    </w:p>
    <w:p w:rsidR="00C21266" w:rsidRPr="005C3B55" w:rsidRDefault="00C21266" w:rsidP="00C21266">
      <w:pPr>
        <w:pStyle w:val="Naslov4"/>
        <w:tabs>
          <w:tab w:val="clear" w:pos="765"/>
        </w:tabs>
        <w:ind w:left="0" w:firstLine="0"/>
        <w:jc w:val="left"/>
        <w:rPr>
          <w:lang w:val="en-GB"/>
        </w:rPr>
      </w:pPr>
      <w:r w:rsidRPr="005C3B55">
        <w:rPr>
          <w:lang w:val="en-GB"/>
        </w:rPr>
        <w:t>M10 – Agri-environment-climate payments (Article 28)</w:t>
      </w:r>
    </w:p>
    <w:tbl>
      <w:tblPr>
        <w:tblStyle w:val="Navadnatabela1"/>
        <w:tblW w:w="5000"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12"/>
        <w:gridCol w:w="1813"/>
        <w:gridCol w:w="1813"/>
        <w:gridCol w:w="1813"/>
        <w:gridCol w:w="1813"/>
        <w:gridCol w:w="1366"/>
        <w:gridCol w:w="1366"/>
        <w:gridCol w:w="1066"/>
        <w:gridCol w:w="1394"/>
      </w:tblGrid>
      <w:tr w:rsidR="00C21266" w:rsidRPr="005C3B55">
        <w:tc>
          <w:tcPr>
            <w:tcW w:w="1000" w:type="pct"/>
            <w:tcBorders>
              <w:top w:val="single" w:sz="4" w:space="0" w:color="auto"/>
              <w:left w:val="single" w:sz="4" w:space="0" w:color="auto"/>
              <w:bottom w:val="single" w:sz="4" w:space="0" w:color="auto"/>
              <w:right w:val="single" w:sz="4" w:space="0" w:color="auto"/>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Type of operation or group of types of operation</w:t>
            </w:r>
          </w:p>
        </w:tc>
        <w:tc>
          <w:tcPr>
            <w:tcW w:w="1000" w:type="pct"/>
            <w:tcBorders>
              <w:top w:val="single" w:sz="4" w:space="0" w:color="auto"/>
              <w:left w:val="single" w:sz="4" w:space="0" w:color="auto"/>
              <w:bottom w:val="single" w:sz="4" w:space="0" w:color="auto"/>
              <w:right w:val="single" w:sz="4" w:space="0" w:color="auto"/>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Typology of agri-environment-climate measures</w:t>
            </w:r>
          </w:p>
        </w:tc>
        <w:tc>
          <w:tcPr>
            <w:tcW w:w="1000" w:type="pct"/>
            <w:tcBorders>
              <w:top w:val="single" w:sz="4" w:space="0" w:color="auto"/>
              <w:left w:val="single" w:sz="4" w:space="0" w:color="auto"/>
              <w:bottom w:val="single" w:sz="4" w:space="0" w:color="auto"/>
              <w:right w:val="single" w:sz="4" w:space="0" w:color="auto"/>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Total expenditures (EUR)</w:t>
            </w:r>
          </w:p>
        </w:tc>
        <w:tc>
          <w:tcPr>
            <w:tcW w:w="1000" w:type="pct"/>
            <w:tcBorders>
              <w:top w:val="single" w:sz="4" w:space="0" w:color="auto"/>
              <w:left w:val="single" w:sz="4" w:space="0" w:color="auto"/>
              <w:bottom w:val="single" w:sz="4" w:space="0" w:color="auto"/>
              <w:right w:val="single" w:sz="4" w:space="0" w:color="auto"/>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Total area (ha) by measures and types of operations</w:t>
            </w:r>
          </w:p>
        </w:tc>
        <w:tc>
          <w:tcPr>
            <w:tcW w:w="1000" w:type="pct"/>
            <w:tcBorders>
              <w:top w:val="single" w:sz="4" w:space="0" w:color="auto"/>
              <w:left w:val="single" w:sz="4" w:space="0" w:color="auto"/>
              <w:bottom w:val="single" w:sz="4" w:space="0" w:color="auto"/>
              <w:right w:val="single" w:sz="4" w:space="0" w:color="auto"/>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Biodiversity, priority area 4A</w:t>
            </w:r>
          </w:p>
        </w:tc>
        <w:tc>
          <w:tcPr>
            <w:tcW w:w="1000" w:type="pct"/>
            <w:tcBorders>
              <w:top w:val="single" w:sz="4" w:space="0" w:color="auto"/>
              <w:left w:val="single" w:sz="4" w:space="0" w:color="auto"/>
              <w:bottom w:val="single" w:sz="4" w:space="0" w:color="auto"/>
              <w:right w:val="single" w:sz="4" w:space="0" w:color="auto"/>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Water management, priority area 4B</w:t>
            </w:r>
          </w:p>
        </w:tc>
        <w:tc>
          <w:tcPr>
            <w:tcW w:w="1000" w:type="pct"/>
            <w:tcBorders>
              <w:top w:val="single" w:sz="4" w:space="0" w:color="auto"/>
              <w:left w:val="single" w:sz="4" w:space="0" w:color="auto"/>
              <w:bottom w:val="single" w:sz="4" w:space="0" w:color="auto"/>
              <w:right w:val="single" w:sz="4" w:space="0" w:color="auto"/>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Soil management, priority area 4C</w:t>
            </w:r>
          </w:p>
        </w:tc>
        <w:tc>
          <w:tcPr>
            <w:tcW w:w="1000" w:type="pct"/>
            <w:tcBorders>
              <w:top w:val="single" w:sz="4" w:space="0" w:color="auto"/>
              <w:left w:val="single" w:sz="4" w:space="0" w:color="auto"/>
              <w:bottom w:val="single" w:sz="4" w:space="0" w:color="auto"/>
              <w:right w:val="single" w:sz="4" w:space="0" w:color="auto"/>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Reducing green house gases emissions and ammonia, priority area 5D</w:t>
            </w:r>
          </w:p>
        </w:tc>
        <w:tc>
          <w:tcPr>
            <w:tcW w:w="1000" w:type="pct"/>
            <w:tcBorders>
              <w:top w:val="single" w:sz="4" w:space="0" w:color="auto"/>
              <w:left w:val="single" w:sz="4" w:space="0" w:color="auto"/>
              <w:bottom w:val="single" w:sz="4" w:space="0" w:color="auto"/>
              <w:right w:val="single" w:sz="4" w:space="0" w:color="auto"/>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Sequestration or storage of carbon, priority area 5E</w:t>
            </w:r>
          </w:p>
        </w:tc>
      </w:tr>
      <w:tr w:rsidR="00C21266" w:rsidRPr="005C3B55">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Scheme 1: Fertilisation</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Better management, reducing mineral fertilisers and pesticides (including the integrated production)</w:t>
            </w:r>
          </w:p>
        </w:tc>
        <w:tc>
          <w:tcPr>
            <w:tcW w:w="7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36,496,724.69</w:t>
            </w:r>
          </w:p>
        </w:tc>
        <w:tc>
          <w:tcPr>
            <w:tcW w:w="7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25,000.00</w:t>
            </w:r>
          </w:p>
        </w:tc>
        <w:tc>
          <w:tcPr>
            <w:tcW w:w="7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center"/>
              <w:rPr>
                <w:rFonts w:eastAsia="Calibri"/>
                <w:sz w:val="20"/>
                <w:lang w:eastAsia="en-GB" w:bidi="en-GB"/>
              </w:rPr>
            </w:pPr>
            <w:r w:rsidRPr="005C3B55">
              <w:rPr>
                <w:sz w:val="20"/>
              </w:rPr>
              <w:t xml:space="preserve"> X </w:t>
            </w:r>
          </w:p>
        </w:tc>
        <w:tc>
          <w:tcPr>
            <w:tcW w:w="7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center"/>
              <w:rPr>
                <w:rFonts w:eastAsia="Calibri"/>
                <w:sz w:val="20"/>
                <w:lang w:eastAsia="en-GB" w:bidi="en-GB"/>
              </w:rPr>
            </w:pPr>
            <w:r w:rsidRPr="005C3B55">
              <w:rPr>
                <w:sz w:val="20"/>
              </w:rPr>
              <w:t xml:space="preserve"> X </w:t>
            </w:r>
          </w:p>
        </w:tc>
        <w:tc>
          <w:tcPr>
            <w:tcW w:w="7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center"/>
              <w:rPr>
                <w:rFonts w:eastAsia="Calibri"/>
                <w:sz w:val="20"/>
                <w:lang w:eastAsia="en-GB" w:bidi="en-GB"/>
              </w:rPr>
            </w:pPr>
            <w:r w:rsidRPr="005C3B55">
              <w:rPr>
                <w:sz w:val="20"/>
              </w:rPr>
              <w:t xml:space="preserve"> X </w:t>
            </w:r>
          </w:p>
        </w:tc>
        <w:tc>
          <w:tcPr>
            <w:tcW w:w="7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center"/>
              <w:rPr>
                <w:rFonts w:eastAsia="Calibri"/>
                <w:sz w:val="20"/>
                <w:lang w:eastAsia="en-GB" w:bidi="en-GB"/>
              </w:rPr>
            </w:pPr>
            <w:r w:rsidRPr="005C3B55">
              <w:rPr>
                <w:sz w:val="20"/>
              </w:rPr>
              <w:t xml:space="preserve">  </w:t>
            </w:r>
          </w:p>
        </w:tc>
        <w:tc>
          <w:tcPr>
            <w:tcW w:w="7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center"/>
              <w:rPr>
                <w:rFonts w:eastAsia="Calibri"/>
                <w:sz w:val="20"/>
                <w:lang w:eastAsia="en-GB" w:bidi="en-GB"/>
              </w:rPr>
            </w:pPr>
            <w:r w:rsidRPr="005C3B55">
              <w:rPr>
                <w:sz w:val="20"/>
              </w:rPr>
              <w:t xml:space="preserve">  </w:t>
            </w:r>
          </w:p>
        </w:tc>
      </w:tr>
      <w:tr w:rsidR="00C21266" w:rsidRPr="005C3B55">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Scheme 2: Plant protection</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Better management, reducing mineral fertilisers and pesticides (including the integrated production)</w:t>
            </w:r>
          </w:p>
        </w:tc>
        <w:tc>
          <w:tcPr>
            <w:tcW w:w="7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32,479,436.69</w:t>
            </w:r>
          </w:p>
        </w:tc>
        <w:tc>
          <w:tcPr>
            <w:tcW w:w="7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20,000.00</w:t>
            </w:r>
          </w:p>
        </w:tc>
        <w:tc>
          <w:tcPr>
            <w:tcW w:w="7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center"/>
              <w:rPr>
                <w:rFonts w:eastAsia="Calibri"/>
                <w:sz w:val="20"/>
                <w:lang w:eastAsia="en-GB" w:bidi="en-GB"/>
              </w:rPr>
            </w:pPr>
            <w:r w:rsidRPr="005C3B55">
              <w:rPr>
                <w:sz w:val="20"/>
              </w:rPr>
              <w:t xml:space="preserve"> X </w:t>
            </w:r>
          </w:p>
        </w:tc>
        <w:tc>
          <w:tcPr>
            <w:tcW w:w="7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center"/>
              <w:rPr>
                <w:rFonts w:eastAsia="Calibri"/>
                <w:sz w:val="20"/>
                <w:lang w:eastAsia="en-GB" w:bidi="en-GB"/>
              </w:rPr>
            </w:pPr>
            <w:r w:rsidRPr="005C3B55">
              <w:rPr>
                <w:sz w:val="20"/>
              </w:rPr>
              <w:t xml:space="preserve"> X </w:t>
            </w:r>
          </w:p>
        </w:tc>
        <w:tc>
          <w:tcPr>
            <w:tcW w:w="7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center"/>
              <w:rPr>
                <w:rFonts w:eastAsia="Calibri"/>
                <w:sz w:val="20"/>
                <w:lang w:eastAsia="en-GB" w:bidi="en-GB"/>
              </w:rPr>
            </w:pPr>
            <w:r w:rsidRPr="005C3B55">
              <w:rPr>
                <w:sz w:val="20"/>
              </w:rPr>
              <w:t xml:space="preserve"> X </w:t>
            </w:r>
          </w:p>
        </w:tc>
        <w:tc>
          <w:tcPr>
            <w:tcW w:w="7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center"/>
              <w:rPr>
                <w:rFonts w:eastAsia="Calibri"/>
                <w:sz w:val="20"/>
                <w:lang w:eastAsia="en-GB" w:bidi="en-GB"/>
              </w:rPr>
            </w:pPr>
            <w:r w:rsidRPr="005C3B55">
              <w:rPr>
                <w:sz w:val="20"/>
              </w:rPr>
              <w:t xml:space="preserve">  </w:t>
            </w:r>
          </w:p>
        </w:tc>
        <w:tc>
          <w:tcPr>
            <w:tcW w:w="7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center"/>
              <w:rPr>
                <w:rFonts w:eastAsia="Calibri"/>
                <w:sz w:val="20"/>
                <w:lang w:eastAsia="en-GB" w:bidi="en-GB"/>
              </w:rPr>
            </w:pPr>
            <w:r w:rsidRPr="005C3B55">
              <w:rPr>
                <w:sz w:val="20"/>
              </w:rPr>
              <w:t xml:space="preserve">  </w:t>
            </w:r>
          </w:p>
        </w:tc>
      </w:tr>
      <w:tr w:rsidR="00C21266" w:rsidRPr="005C3B55">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Scheme 5: Cultivation</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Soil cover, ploughing techniques, conversational cultivation, agriculture directed towards soil conservation</w:t>
            </w:r>
          </w:p>
        </w:tc>
        <w:tc>
          <w:tcPr>
            <w:tcW w:w="7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4,795,157.24</w:t>
            </w:r>
          </w:p>
        </w:tc>
        <w:tc>
          <w:tcPr>
            <w:tcW w:w="7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12,000.00</w:t>
            </w:r>
          </w:p>
        </w:tc>
        <w:tc>
          <w:tcPr>
            <w:tcW w:w="7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center"/>
              <w:rPr>
                <w:rFonts w:eastAsia="Calibri"/>
                <w:sz w:val="20"/>
                <w:lang w:eastAsia="en-GB" w:bidi="en-GB"/>
              </w:rPr>
            </w:pPr>
            <w:r w:rsidRPr="005C3B55">
              <w:rPr>
                <w:sz w:val="20"/>
              </w:rPr>
              <w:t xml:space="preserve"> X </w:t>
            </w:r>
          </w:p>
        </w:tc>
        <w:tc>
          <w:tcPr>
            <w:tcW w:w="7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center"/>
              <w:rPr>
                <w:rFonts w:eastAsia="Calibri"/>
                <w:sz w:val="20"/>
                <w:lang w:eastAsia="en-GB" w:bidi="en-GB"/>
              </w:rPr>
            </w:pPr>
            <w:r w:rsidRPr="005C3B55">
              <w:rPr>
                <w:sz w:val="20"/>
              </w:rPr>
              <w:t xml:space="preserve"> X </w:t>
            </w:r>
          </w:p>
        </w:tc>
        <w:tc>
          <w:tcPr>
            <w:tcW w:w="7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center"/>
              <w:rPr>
                <w:rFonts w:eastAsia="Calibri"/>
                <w:sz w:val="20"/>
                <w:lang w:eastAsia="en-GB" w:bidi="en-GB"/>
              </w:rPr>
            </w:pPr>
            <w:r w:rsidRPr="005C3B55">
              <w:rPr>
                <w:sz w:val="20"/>
              </w:rPr>
              <w:t xml:space="preserve"> X </w:t>
            </w:r>
          </w:p>
        </w:tc>
        <w:tc>
          <w:tcPr>
            <w:tcW w:w="7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center"/>
              <w:rPr>
                <w:rFonts w:eastAsia="Calibri"/>
                <w:sz w:val="20"/>
                <w:lang w:eastAsia="en-GB" w:bidi="en-GB"/>
              </w:rPr>
            </w:pPr>
            <w:r w:rsidRPr="005C3B55">
              <w:rPr>
                <w:sz w:val="20"/>
              </w:rPr>
              <w:t xml:space="preserve">  </w:t>
            </w:r>
          </w:p>
        </w:tc>
        <w:tc>
          <w:tcPr>
            <w:tcW w:w="7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center"/>
              <w:rPr>
                <w:rFonts w:eastAsia="Calibri"/>
                <w:sz w:val="20"/>
                <w:lang w:eastAsia="en-GB" w:bidi="en-GB"/>
              </w:rPr>
            </w:pPr>
            <w:r w:rsidRPr="005C3B55">
              <w:rPr>
                <w:sz w:val="20"/>
              </w:rPr>
              <w:t xml:space="preserve">  </w:t>
            </w:r>
          </w:p>
        </w:tc>
      </w:tr>
      <w:tr w:rsidR="00C21266" w:rsidRPr="005C3B55">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Scheme 3: Crops</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Soil cover, ploughing techniques, conservational cultivation, agriculture directed towards soil conservation</w:t>
            </w:r>
          </w:p>
        </w:tc>
        <w:tc>
          <w:tcPr>
            <w:tcW w:w="7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44,995,675.34</w:t>
            </w:r>
          </w:p>
        </w:tc>
        <w:tc>
          <w:tcPr>
            <w:tcW w:w="7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20,000.00</w:t>
            </w:r>
          </w:p>
        </w:tc>
        <w:tc>
          <w:tcPr>
            <w:tcW w:w="7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center"/>
              <w:rPr>
                <w:rFonts w:eastAsia="Calibri"/>
                <w:sz w:val="20"/>
                <w:lang w:eastAsia="en-GB" w:bidi="en-GB"/>
              </w:rPr>
            </w:pPr>
            <w:r w:rsidRPr="005C3B55">
              <w:rPr>
                <w:sz w:val="20"/>
              </w:rPr>
              <w:t xml:space="preserve"> X </w:t>
            </w:r>
          </w:p>
        </w:tc>
        <w:tc>
          <w:tcPr>
            <w:tcW w:w="7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center"/>
              <w:rPr>
                <w:rFonts w:eastAsia="Calibri"/>
                <w:sz w:val="20"/>
                <w:lang w:eastAsia="en-GB" w:bidi="en-GB"/>
              </w:rPr>
            </w:pPr>
            <w:r w:rsidRPr="005C3B55">
              <w:rPr>
                <w:sz w:val="20"/>
              </w:rPr>
              <w:t xml:space="preserve"> X </w:t>
            </w:r>
          </w:p>
        </w:tc>
        <w:tc>
          <w:tcPr>
            <w:tcW w:w="7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center"/>
              <w:rPr>
                <w:rFonts w:eastAsia="Calibri"/>
                <w:sz w:val="20"/>
                <w:lang w:eastAsia="en-GB" w:bidi="en-GB"/>
              </w:rPr>
            </w:pPr>
            <w:r w:rsidRPr="005C3B55">
              <w:rPr>
                <w:sz w:val="20"/>
              </w:rPr>
              <w:t xml:space="preserve"> X </w:t>
            </w:r>
          </w:p>
        </w:tc>
        <w:tc>
          <w:tcPr>
            <w:tcW w:w="7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center"/>
              <w:rPr>
                <w:rFonts w:eastAsia="Calibri"/>
                <w:sz w:val="20"/>
                <w:lang w:eastAsia="en-GB" w:bidi="en-GB"/>
              </w:rPr>
            </w:pPr>
            <w:r w:rsidRPr="005C3B55">
              <w:rPr>
                <w:sz w:val="20"/>
              </w:rPr>
              <w:t xml:space="preserve">  </w:t>
            </w:r>
          </w:p>
        </w:tc>
        <w:tc>
          <w:tcPr>
            <w:tcW w:w="7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center"/>
              <w:rPr>
                <w:rFonts w:eastAsia="Calibri"/>
                <w:sz w:val="20"/>
                <w:lang w:eastAsia="en-GB" w:bidi="en-GB"/>
              </w:rPr>
            </w:pPr>
            <w:r w:rsidRPr="005C3B55">
              <w:rPr>
                <w:sz w:val="20"/>
              </w:rPr>
              <w:t xml:space="preserve">  </w:t>
            </w:r>
          </w:p>
        </w:tc>
      </w:tr>
      <w:tr w:rsidR="00C21266" w:rsidRPr="005C3B55">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Scheme 6: Supply</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Creation, conservation of ecological features (e.g. field edges, protection areas, flower areas, hedges, trees)</w:t>
            </w:r>
          </w:p>
        </w:tc>
        <w:tc>
          <w:tcPr>
            <w:tcW w:w="7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3,068,844.84</w:t>
            </w:r>
          </w:p>
        </w:tc>
        <w:tc>
          <w:tcPr>
            <w:tcW w:w="7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2,000.00</w:t>
            </w:r>
          </w:p>
        </w:tc>
        <w:tc>
          <w:tcPr>
            <w:tcW w:w="7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center"/>
              <w:rPr>
                <w:rFonts w:eastAsia="Calibri"/>
                <w:sz w:val="20"/>
                <w:lang w:eastAsia="en-GB" w:bidi="en-GB"/>
              </w:rPr>
            </w:pPr>
            <w:r w:rsidRPr="005C3B55">
              <w:rPr>
                <w:sz w:val="20"/>
              </w:rPr>
              <w:t xml:space="preserve"> X </w:t>
            </w:r>
          </w:p>
        </w:tc>
        <w:tc>
          <w:tcPr>
            <w:tcW w:w="7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center"/>
              <w:rPr>
                <w:rFonts w:eastAsia="Calibri"/>
                <w:sz w:val="20"/>
                <w:lang w:eastAsia="en-GB" w:bidi="en-GB"/>
              </w:rPr>
            </w:pPr>
            <w:r w:rsidRPr="005C3B55">
              <w:rPr>
                <w:sz w:val="20"/>
              </w:rPr>
              <w:t xml:space="preserve"> X </w:t>
            </w:r>
          </w:p>
        </w:tc>
        <w:tc>
          <w:tcPr>
            <w:tcW w:w="7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center"/>
              <w:rPr>
                <w:rFonts w:eastAsia="Calibri"/>
                <w:sz w:val="20"/>
                <w:lang w:eastAsia="en-GB" w:bidi="en-GB"/>
              </w:rPr>
            </w:pPr>
            <w:r w:rsidRPr="005C3B55">
              <w:rPr>
                <w:sz w:val="20"/>
              </w:rPr>
              <w:t xml:space="preserve"> X </w:t>
            </w:r>
          </w:p>
        </w:tc>
        <w:tc>
          <w:tcPr>
            <w:tcW w:w="7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center"/>
              <w:rPr>
                <w:rFonts w:eastAsia="Calibri"/>
                <w:sz w:val="20"/>
                <w:lang w:eastAsia="en-GB" w:bidi="en-GB"/>
              </w:rPr>
            </w:pPr>
            <w:r w:rsidRPr="005C3B55">
              <w:rPr>
                <w:sz w:val="20"/>
              </w:rPr>
              <w:t xml:space="preserve">  </w:t>
            </w:r>
          </w:p>
        </w:tc>
        <w:tc>
          <w:tcPr>
            <w:tcW w:w="7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center"/>
              <w:rPr>
                <w:rFonts w:eastAsia="Calibri"/>
                <w:sz w:val="20"/>
                <w:lang w:eastAsia="en-GB" w:bidi="en-GB"/>
              </w:rPr>
            </w:pPr>
            <w:r w:rsidRPr="005C3B55">
              <w:rPr>
                <w:sz w:val="20"/>
              </w:rPr>
              <w:t xml:space="preserve">  </w:t>
            </w:r>
          </w:p>
        </w:tc>
      </w:tr>
      <w:tr w:rsidR="00C21266" w:rsidRPr="005C3B55">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Scheme 8: Mowing/pasture</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Maintenance of ploughing systems and grassland systems with high natural value (e.g. mowing techniques, manual work, leaving stubble in arable areas), establishment of the practice of extensive pasture, conversion of arable land into grassland.</w:t>
            </w:r>
          </w:p>
        </w:tc>
        <w:tc>
          <w:tcPr>
            <w:tcW w:w="7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30,605,117.19</w:t>
            </w:r>
          </w:p>
        </w:tc>
        <w:tc>
          <w:tcPr>
            <w:tcW w:w="7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10,000.00</w:t>
            </w:r>
          </w:p>
        </w:tc>
        <w:tc>
          <w:tcPr>
            <w:tcW w:w="7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center"/>
              <w:rPr>
                <w:rFonts w:eastAsia="Calibri"/>
                <w:sz w:val="20"/>
                <w:lang w:eastAsia="en-GB" w:bidi="en-GB"/>
              </w:rPr>
            </w:pPr>
            <w:r w:rsidRPr="005C3B55">
              <w:rPr>
                <w:sz w:val="20"/>
              </w:rPr>
              <w:t xml:space="preserve"> X </w:t>
            </w:r>
          </w:p>
        </w:tc>
        <w:tc>
          <w:tcPr>
            <w:tcW w:w="7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center"/>
              <w:rPr>
                <w:rFonts w:eastAsia="Calibri"/>
                <w:sz w:val="20"/>
                <w:lang w:eastAsia="en-GB" w:bidi="en-GB"/>
              </w:rPr>
            </w:pPr>
            <w:r w:rsidRPr="005C3B55">
              <w:rPr>
                <w:sz w:val="20"/>
              </w:rPr>
              <w:t xml:space="preserve">  </w:t>
            </w:r>
          </w:p>
        </w:tc>
        <w:tc>
          <w:tcPr>
            <w:tcW w:w="7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center"/>
              <w:rPr>
                <w:rFonts w:eastAsia="Calibri"/>
                <w:sz w:val="20"/>
                <w:lang w:eastAsia="en-GB" w:bidi="en-GB"/>
              </w:rPr>
            </w:pPr>
            <w:r w:rsidRPr="005C3B55">
              <w:rPr>
                <w:sz w:val="20"/>
              </w:rPr>
              <w:t xml:space="preserve"> X </w:t>
            </w:r>
          </w:p>
        </w:tc>
        <w:tc>
          <w:tcPr>
            <w:tcW w:w="7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center"/>
              <w:rPr>
                <w:rFonts w:eastAsia="Calibri"/>
                <w:sz w:val="20"/>
                <w:lang w:eastAsia="en-GB" w:bidi="en-GB"/>
              </w:rPr>
            </w:pPr>
            <w:r w:rsidRPr="005C3B55">
              <w:rPr>
                <w:sz w:val="20"/>
              </w:rPr>
              <w:t xml:space="preserve">  </w:t>
            </w:r>
          </w:p>
        </w:tc>
        <w:tc>
          <w:tcPr>
            <w:tcW w:w="7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center"/>
              <w:rPr>
                <w:rFonts w:eastAsia="Calibri"/>
                <w:sz w:val="20"/>
                <w:lang w:eastAsia="en-GB" w:bidi="en-GB"/>
              </w:rPr>
            </w:pPr>
            <w:r w:rsidRPr="005C3B55">
              <w:rPr>
                <w:sz w:val="20"/>
              </w:rPr>
              <w:t xml:space="preserve">  </w:t>
            </w:r>
          </w:p>
        </w:tc>
      </w:tr>
      <w:tr w:rsidR="00C21266" w:rsidRPr="005C3B55">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Scheme 7: Mountains</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Maintenance of ploughing systems and grassland systems with high natural value (e.g. mowing techniques, manual work, leaving stubble in arable areas), establishment of the practice of extensive pasture, conversion of arable land into grassland.</w:t>
            </w:r>
          </w:p>
        </w:tc>
        <w:tc>
          <w:tcPr>
            <w:tcW w:w="7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3,657,916.90</w:t>
            </w:r>
          </w:p>
        </w:tc>
        <w:tc>
          <w:tcPr>
            <w:tcW w:w="7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4,000.00</w:t>
            </w:r>
          </w:p>
        </w:tc>
        <w:tc>
          <w:tcPr>
            <w:tcW w:w="7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center"/>
              <w:rPr>
                <w:rFonts w:eastAsia="Calibri"/>
                <w:sz w:val="20"/>
                <w:lang w:eastAsia="en-GB" w:bidi="en-GB"/>
              </w:rPr>
            </w:pPr>
            <w:r w:rsidRPr="005C3B55">
              <w:rPr>
                <w:sz w:val="20"/>
              </w:rPr>
              <w:t xml:space="preserve"> X </w:t>
            </w:r>
          </w:p>
        </w:tc>
        <w:tc>
          <w:tcPr>
            <w:tcW w:w="7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center"/>
              <w:rPr>
                <w:rFonts w:eastAsia="Calibri"/>
                <w:sz w:val="20"/>
                <w:lang w:eastAsia="en-GB" w:bidi="en-GB"/>
              </w:rPr>
            </w:pPr>
            <w:r w:rsidRPr="005C3B55">
              <w:rPr>
                <w:sz w:val="20"/>
              </w:rPr>
              <w:t xml:space="preserve">  </w:t>
            </w:r>
          </w:p>
        </w:tc>
        <w:tc>
          <w:tcPr>
            <w:tcW w:w="7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center"/>
              <w:rPr>
                <w:rFonts w:eastAsia="Calibri"/>
                <w:sz w:val="20"/>
                <w:lang w:eastAsia="en-GB" w:bidi="en-GB"/>
              </w:rPr>
            </w:pPr>
            <w:r w:rsidRPr="005C3B55">
              <w:rPr>
                <w:sz w:val="20"/>
              </w:rPr>
              <w:t xml:space="preserve"> X </w:t>
            </w:r>
          </w:p>
        </w:tc>
        <w:tc>
          <w:tcPr>
            <w:tcW w:w="7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center"/>
              <w:rPr>
                <w:rFonts w:eastAsia="Calibri"/>
                <w:sz w:val="20"/>
                <w:lang w:eastAsia="en-GB" w:bidi="en-GB"/>
              </w:rPr>
            </w:pPr>
            <w:r w:rsidRPr="005C3B55">
              <w:rPr>
                <w:sz w:val="20"/>
              </w:rPr>
              <w:t xml:space="preserve">  </w:t>
            </w:r>
          </w:p>
        </w:tc>
        <w:tc>
          <w:tcPr>
            <w:tcW w:w="7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center"/>
              <w:rPr>
                <w:rFonts w:eastAsia="Calibri"/>
                <w:sz w:val="20"/>
                <w:lang w:eastAsia="en-GB" w:bidi="en-GB"/>
              </w:rPr>
            </w:pPr>
            <w:r w:rsidRPr="005C3B55">
              <w:rPr>
                <w:sz w:val="20"/>
              </w:rPr>
              <w:t xml:space="preserve">  </w:t>
            </w:r>
          </w:p>
        </w:tc>
      </w:tr>
      <w:tr w:rsidR="00C21266" w:rsidRPr="005C3B55">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Scheme 4: Rotation of crops</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Diversification of agricultural plants, rotation of crops</w:t>
            </w:r>
          </w:p>
        </w:tc>
        <w:tc>
          <w:tcPr>
            <w:tcW w:w="7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21,751,927.36</w:t>
            </w:r>
          </w:p>
        </w:tc>
        <w:tc>
          <w:tcPr>
            <w:tcW w:w="7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50,000.00</w:t>
            </w:r>
          </w:p>
        </w:tc>
        <w:tc>
          <w:tcPr>
            <w:tcW w:w="7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center"/>
              <w:rPr>
                <w:rFonts w:eastAsia="Calibri"/>
                <w:sz w:val="20"/>
                <w:lang w:eastAsia="en-GB" w:bidi="en-GB"/>
              </w:rPr>
            </w:pPr>
            <w:r w:rsidRPr="005C3B55">
              <w:rPr>
                <w:sz w:val="20"/>
              </w:rPr>
              <w:t xml:space="preserve"> X </w:t>
            </w:r>
          </w:p>
        </w:tc>
        <w:tc>
          <w:tcPr>
            <w:tcW w:w="7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center"/>
              <w:rPr>
                <w:rFonts w:eastAsia="Calibri"/>
                <w:sz w:val="20"/>
                <w:lang w:eastAsia="en-GB" w:bidi="en-GB"/>
              </w:rPr>
            </w:pPr>
            <w:r w:rsidRPr="005C3B55">
              <w:rPr>
                <w:sz w:val="20"/>
              </w:rPr>
              <w:t xml:space="preserve"> X </w:t>
            </w:r>
          </w:p>
        </w:tc>
        <w:tc>
          <w:tcPr>
            <w:tcW w:w="7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center"/>
              <w:rPr>
                <w:rFonts w:eastAsia="Calibri"/>
                <w:sz w:val="20"/>
                <w:lang w:eastAsia="en-GB" w:bidi="en-GB"/>
              </w:rPr>
            </w:pPr>
            <w:r w:rsidRPr="005C3B55">
              <w:rPr>
                <w:sz w:val="20"/>
              </w:rPr>
              <w:t xml:space="preserve"> X </w:t>
            </w:r>
          </w:p>
        </w:tc>
        <w:tc>
          <w:tcPr>
            <w:tcW w:w="7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center"/>
              <w:rPr>
                <w:rFonts w:eastAsia="Calibri"/>
                <w:sz w:val="20"/>
                <w:lang w:eastAsia="en-GB" w:bidi="en-GB"/>
              </w:rPr>
            </w:pPr>
            <w:r w:rsidRPr="005C3B55">
              <w:rPr>
                <w:sz w:val="20"/>
              </w:rPr>
              <w:t xml:space="preserve">  </w:t>
            </w:r>
          </w:p>
        </w:tc>
        <w:tc>
          <w:tcPr>
            <w:tcW w:w="7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center"/>
              <w:rPr>
                <w:rFonts w:eastAsia="Calibri"/>
                <w:sz w:val="20"/>
                <w:lang w:eastAsia="en-GB" w:bidi="en-GB"/>
              </w:rPr>
            </w:pPr>
            <w:r w:rsidRPr="005C3B55">
              <w:rPr>
                <w:sz w:val="20"/>
              </w:rPr>
              <w:t xml:space="preserve">  </w:t>
            </w:r>
          </w:p>
        </w:tc>
      </w:tr>
      <w:tr w:rsidR="00C21266" w:rsidRPr="005C3B55">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Scheme 9: Genetic resources</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Others</w:t>
            </w:r>
          </w:p>
        </w:tc>
        <w:tc>
          <w:tcPr>
            <w:tcW w:w="7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11,486,655.01</w:t>
            </w:r>
          </w:p>
        </w:tc>
        <w:tc>
          <w:tcPr>
            <w:tcW w:w="7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6,000.00</w:t>
            </w:r>
          </w:p>
        </w:tc>
        <w:tc>
          <w:tcPr>
            <w:tcW w:w="7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center"/>
              <w:rPr>
                <w:rFonts w:eastAsia="Calibri"/>
                <w:sz w:val="20"/>
                <w:lang w:eastAsia="en-GB" w:bidi="en-GB"/>
              </w:rPr>
            </w:pPr>
            <w:r w:rsidRPr="005C3B55">
              <w:rPr>
                <w:sz w:val="20"/>
              </w:rPr>
              <w:t xml:space="preserve"> X </w:t>
            </w:r>
          </w:p>
        </w:tc>
        <w:tc>
          <w:tcPr>
            <w:tcW w:w="7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center"/>
              <w:rPr>
                <w:rFonts w:eastAsia="Calibri"/>
                <w:sz w:val="20"/>
                <w:lang w:eastAsia="en-GB" w:bidi="en-GB"/>
              </w:rPr>
            </w:pPr>
            <w:r w:rsidRPr="005C3B55">
              <w:rPr>
                <w:sz w:val="20"/>
              </w:rPr>
              <w:t xml:space="preserve">  </w:t>
            </w:r>
          </w:p>
        </w:tc>
        <w:tc>
          <w:tcPr>
            <w:tcW w:w="7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center"/>
              <w:rPr>
                <w:rFonts w:eastAsia="Calibri"/>
                <w:sz w:val="20"/>
                <w:lang w:eastAsia="en-GB" w:bidi="en-GB"/>
              </w:rPr>
            </w:pPr>
            <w:r w:rsidRPr="005C3B55">
              <w:rPr>
                <w:sz w:val="20"/>
              </w:rPr>
              <w:t xml:space="preserve">  </w:t>
            </w:r>
          </w:p>
        </w:tc>
        <w:tc>
          <w:tcPr>
            <w:tcW w:w="7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center"/>
              <w:rPr>
                <w:rFonts w:eastAsia="Calibri"/>
                <w:sz w:val="20"/>
                <w:lang w:eastAsia="en-GB" w:bidi="en-GB"/>
              </w:rPr>
            </w:pPr>
            <w:r w:rsidRPr="005C3B55">
              <w:rPr>
                <w:sz w:val="20"/>
              </w:rPr>
              <w:t xml:space="preserve">  </w:t>
            </w:r>
          </w:p>
        </w:tc>
        <w:tc>
          <w:tcPr>
            <w:tcW w:w="7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center"/>
              <w:rPr>
                <w:rFonts w:eastAsia="Calibri"/>
                <w:sz w:val="20"/>
                <w:lang w:eastAsia="en-GB" w:bidi="en-GB"/>
              </w:rPr>
            </w:pPr>
            <w:r w:rsidRPr="005C3B55">
              <w:rPr>
                <w:sz w:val="20"/>
              </w:rPr>
              <w:t xml:space="preserve">  </w:t>
            </w:r>
          </w:p>
        </w:tc>
      </w:tr>
      <w:tr w:rsidR="00C21266" w:rsidRPr="005C3B55">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Scheme 10: Other</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Others</w:t>
            </w:r>
          </w:p>
        </w:tc>
        <w:tc>
          <w:tcPr>
            <w:tcW w:w="7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14,269,931.42</w:t>
            </w:r>
          </w:p>
        </w:tc>
        <w:tc>
          <w:tcPr>
            <w:tcW w:w="7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5,000.00</w:t>
            </w:r>
          </w:p>
        </w:tc>
        <w:tc>
          <w:tcPr>
            <w:tcW w:w="7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center"/>
              <w:rPr>
                <w:rFonts w:eastAsia="Calibri"/>
                <w:sz w:val="20"/>
                <w:lang w:eastAsia="en-GB" w:bidi="en-GB"/>
              </w:rPr>
            </w:pPr>
            <w:r w:rsidRPr="005C3B55">
              <w:rPr>
                <w:sz w:val="20"/>
              </w:rPr>
              <w:t xml:space="preserve"> X </w:t>
            </w:r>
          </w:p>
        </w:tc>
        <w:tc>
          <w:tcPr>
            <w:tcW w:w="7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center"/>
              <w:rPr>
                <w:rFonts w:eastAsia="Calibri"/>
                <w:sz w:val="20"/>
                <w:lang w:eastAsia="en-GB" w:bidi="en-GB"/>
              </w:rPr>
            </w:pPr>
            <w:r w:rsidRPr="005C3B55">
              <w:rPr>
                <w:sz w:val="20"/>
              </w:rPr>
              <w:t xml:space="preserve">  </w:t>
            </w:r>
          </w:p>
        </w:tc>
        <w:tc>
          <w:tcPr>
            <w:tcW w:w="7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center"/>
              <w:rPr>
                <w:rFonts w:eastAsia="Calibri"/>
                <w:sz w:val="20"/>
                <w:lang w:eastAsia="en-GB" w:bidi="en-GB"/>
              </w:rPr>
            </w:pPr>
            <w:r w:rsidRPr="005C3B55">
              <w:rPr>
                <w:sz w:val="20"/>
              </w:rPr>
              <w:t xml:space="preserve"> X </w:t>
            </w:r>
          </w:p>
        </w:tc>
        <w:tc>
          <w:tcPr>
            <w:tcW w:w="7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center"/>
              <w:rPr>
                <w:rFonts w:eastAsia="Calibri"/>
                <w:sz w:val="20"/>
                <w:lang w:eastAsia="en-GB" w:bidi="en-GB"/>
              </w:rPr>
            </w:pPr>
            <w:r w:rsidRPr="005C3B55">
              <w:rPr>
                <w:sz w:val="20"/>
              </w:rPr>
              <w:t xml:space="preserve">  </w:t>
            </w:r>
          </w:p>
        </w:tc>
        <w:tc>
          <w:tcPr>
            <w:tcW w:w="7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center"/>
              <w:rPr>
                <w:rFonts w:eastAsia="Calibri"/>
                <w:sz w:val="20"/>
                <w:lang w:eastAsia="en-GB" w:bidi="en-GB"/>
              </w:rPr>
            </w:pPr>
            <w:r w:rsidRPr="005C3B55">
              <w:rPr>
                <w:sz w:val="20"/>
              </w:rPr>
              <w:t xml:space="preserve">  </w:t>
            </w:r>
          </w:p>
        </w:tc>
      </w:tr>
    </w:tbl>
    <w:p w:rsidR="00C21266" w:rsidRPr="005C3B55" w:rsidRDefault="00C21266" w:rsidP="00C21266">
      <w:pPr>
        <w:pStyle w:val="Naslov4"/>
        <w:tabs>
          <w:tab w:val="clear" w:pos="765"/>
        </w:tabs>
        <w:ind w:left="0" w:firstLine="0"/>
        <w:jc w:val="left"/>
        <w:rPr>
          <w:b/>
          <w:lang w:val="en-GB" w:eastAsia="en-GB" w:bidi="en-GB"/>
        </w:rPr>
      </w:pPr>
      <w:r w:rsidRPr="005C3B55">
        <w:rPr>
          <w:b/>
          <w:lang w:val="en-GB"/>
        </w:rPr>
        <w:t>M11 – Organic farming (Article 29)</w:t>
      </w:r>
    </w:p>
    <w:tbl>
      <w:tblPr>
        <w:tblStyle w:val="Navadnatabela1"/>
        <w:tblW w:w="5000"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04"/>
        <w:gridCol w:w="1553"/>
        <w:gridCol w:w="1553"/>
        <w:gridCol w:w="1554"/>
        <w:gridCol w:w="1366"/>
        <w:gridCol w:w="1366"/>
        <w:gridCol w:w="1066"/>
        <w:gridCol w:w="1394"/>
      </w:tblGrid>
      <w:tr w:rsidR="00C21266" w:rsidRPr="005C3B55">
        <w:tc>
          <w:tcPr>
            <w:tcW w:w="1000" w:type="pct"/>
            <w:tcBorders>
              <w:top w:val="single" w:sz="4" w:space="0" w:color="auto"/>
              <w:left w:val="single" w:sz="4" w:space="0" w:color="auto"/>
              <w:bottom w:val="single" w:sz="4" w:space="0" w:color="auto"/>
              <w:right w:val="single" w:sz="4" w:space="0" w:color="auto"/>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Sub-measure</w:t>
            </w:r>
          </w:p>
        </w:tc>
        <w:tc>
          <w:tcPr>
            <w:tcW w:w="1000" w:type="pct"/>
            <w:tcBorders>
              <w:top w:val="single" w:sz="4" w:space="0" w:color="auto"/>
              <w:left w:val="single" w:sz="4" w:space="0" w:color="auto"/>
              <w:bottom w:val="single" w:sz="4" w:space="0" w:color="auto"/>
              <w:right w:val="single" w:sz="4" w:space="0" w:color="auto"/>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Total expenditures (EUR)</w:t>
            </w:r>
          </w:p>
        </w:tc>
        <w:tc>
          <w:tcPr>
            <w:tcW w:w="1000" w:type="pct"/>
            <w:tcBorders>
              <w:top w:val="single" w:sz="4" w:space="0" w:color="auto"/>
              <w:left w:val="single" w:sz="4" w:space="0" w:color="auto"/>
              <w:bottom w:val="single" w:sz="4" w:space="0" w:color="auto"/>
              <w:right w:val="single" w:sz="4" w:space="0" w:color="auto"/>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Total area (ha) by measures and types of operations</w:t>
            </w:r>
          </w:p>
        </w:tc>
        <w:tc>
          <w:tcPr>
            <w:tcW w:w="1000" w:type="pct"/>
            <w:tcBorders>
              <w:top w:val="single" w:sz="4" w:space="0" w:color="auto"/>
              <w:left w:val="single" w:sz="4" w:space="0" w:color="auto"/>
              <w:bottom w:val="single" w:sz="4" w:space="0" w:color="auto"/>
              <w:right w:val="single" w:sz="4" w:space="0" w:color="auto"/>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Biodiversity, priority area 4A</w:t>
            </w:r>
          </w:p>
        </w:tc>
        <w:tc>
          <w:tcPr>
            <w:tcW w:w="1000" w:type="pct"/>
            <w:tcBorders>
              <w:top w:val="single" w:sz="4" w:space="0" w:color="auto"/>
              <w:left w:val="single" w:sz="4" w:space="0" w:color="auto"/>
              <w:bottom w:val="single" w:sz="4" w:space="0" w:color="auto"/>
              <w:right w:val="single" w:sz="4" w:space="0" w:color="auto"/>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Water management, priority area 4B</w:t>
            </w:r>
          </w:p>
        </w:tc>
        <w:tc>
          <w:tcPr>
            <w:tcW w:w="1000" w:type="pct"/>
            <w:tcBorders>
              <w:top w:val="single" w:sz="4" w:space="0" w:color="auto"/>
              <w:left w:val="single" w:sz="4" w:space="0" w:color="auto"/>
              <w:bottom w:val="single" w:sz="4" w:space="0" w:color="auto"/>
              <w:right w:val="single" w:sz="4" w:space="0" w:color="auto"/>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Soil management, priority area 4C</w:t>
            </w:r>
          </w:p>
        </w:tc>
        <w:tc>
          <w:tcPr>
            <w:tcW w:w="1000" w:type="pct"/>
            <w:tcBorders>
              <w:top w:val="single" w:sz="4" w:space="0" w:color="auto"/>
              <w:left w:val="single" w:sz="4" w:space="0" w:color="auto"/>
              <w:bottom w:val="single" w:sz="4" w:space="0" w:color="auto"/>
              <w:right w:val="single" w:sz="4" w:space="0" w:color="auto"/>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Reducing green house gases emissions and ammonia, priority area 5D</w:t>
            </w:r>
          </w:p>
        </w:tc>
        <w:tc>
          <w:tcPr>
            <w:tcW w:w="1000" w:type="pct"/>
            <w:tcBorders>
              <w:top w:val="single" w:sz="4" w:space="0" w:color="auto"/>
              <w:left w:val="single" w:sz="4" w:space="0" w:color="auto"/>
              <w:bottom w:val="single" w:sz="4" w:space="0" w:color="auto"/>
              <w:right w:val="single" w:sz="4" w:space="0" w:color="auto"/>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Sequestration or storage of carbon, priority area 5E</w:t>
            </w:r>
          </w:p>
        </w:tc>
      </w:tr>
      <w:tr w:rsidR="00C21266" w:rsidRPr="005C3B55">
        <w:tc>
          <w:tcPr>
            <w:tcW w:w="2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11.1 – Payments for the conversion to organic farming practices and methods</w:t>
            </w:r>
          </w:p>
        </w:tc>
        <w:tc>
          <w:tcPr>
            <w:tcW w:w="7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15,652,000.00</w:t>
            </w:r>
          </w:p>
        </w:tc>
        <w:tc>
          <w:tcPr>
            <w:tcW w:w="7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15,000.00</w:t>
            </w:r>
          </w:p>
        </w:tc>
        <w:tc>
          <w:tcPr>
            <w:tcW w:w="7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center"/>
              <w:rPr>
                <w:rFonts w:eastAsia="Calibri"/>
                <w:sz w:val="20"/>
                <w:lang w:eastAsia="en-GB" w:bidi="en-GB"/>
              </w:rPr>
            </w:pPr>
            <w:r w:rsidRPr="005C3B55">
              <w:rPr>
                <w:sz w:val="20"/>
              </w:rPr>
              <w:t xml:space="preserve"> X </w:t>
            </w:r>
          </w:p>
        </w:tc>
        <w:tc>
          <w:tcPr>
            <w:tcW w:w="7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center"/>
              <w:rPr>
                <w:rFonts w:eastAsia="Calibri"/>
                <w:sz w:val="20"/>
                <w:lang w:eastAsia="en-GB" w:bidi="en-GB"/>
              </w:rPr>
            </w:pPr>
            <w:r w:rsidRPr="005C3B55">
              <w:rPr>
                <w:sz w:val="20"/>
              </w:rPr>
              <w:t xml:space="preserve"> X </w:t>
            </w:r>
          </w:p>
        </w:tc>
        <w:tc>
          <w:tcPr>
            <w:tcW w:w="7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center"/>
              <w:rPr>
                <w:rFonts w:eastAsia="Calibri"/>
                <w:sz w:val="20"/>
                <w:lang w:eastAsia="en-GB" w:bidi="en-GB"/>
              </w:rPr>
            </w:pPr>
            <w:r w:rsidRPr="005C3B55">
              <w:rPr>
                <w:sz w:val="20"/>
              </w:rPr>
              <w:t xml:space="preserve"> X </w:t>
            </w:r>
          </w:p>
        </w:tc>
        <w:tc>
          <w:tcPr>
            <w:tcW w:w="250" w:type="pct"/>
            <w:tcBorders>
              <w:top w:val="single" w:sz="4" w:space="0" w:color="auto"/>
              <w:left w:val="single" w:sz="4" w:space="0" w:color="auto"/>
              <w:bottom w:val="single" w:sz="4" w:space="0" w:color="auto"/>
              <w:right w:val="single" w:sz="4" w:space="0" w:color="auto"/>
            </w:tcBorders>
            <w:shd w:val="clear" w:color="auto" w:fill="C0C0C0"/>
            <w:tcMar>
              <w:top w:w="60" w:type="dxa"/>
              <w:left w:w="108" w:type="dxa"/>
              <w:bottom w:w="0" w:type="dxa"/>
              <w:right w:w="108" w:type="dxa"/>
            </w:tcMar>
          </w:tcPr>
          <w:p w:rsidR="00C21266" w:rsidRPr="005C3B55" w:rsidRDefault="00C21266">
            <w:pPr>
              <w:spacing w:after="200"/>
              <w:rPr>
                <w:rFonts w:eastAsia="Calibri"/>
                <w:sz w:val="16"/>
                <w:lang w:eastAsia="en-GB" w:bidi="en-GB"/>
              </w:rPr>
            </w:pPr>
          </w:p>
        </w:tc>
        <w:tc>
          <w:tcPr>
            <w:tcW w:w="250" w:type="pct"/>
            <w:tcBorders>
              <w:top w:val="single" w:sz="4" w:space="0" w:color="auto"/>
              <w:left w:val="single" w:sz="4" w:space="0" w:color="auto"/>
              <w:bottom w:val="single" w:sz="4" w:space="0" w:color="auto"/>
              <w:right w:val="single" w:sz="4" w:space="0" w:color="auto"/>
            </w:tcBorders>
            <w:shd w:val="clear" w:color="auto" w:fill="C0C0C0"/>
            <w:tcMar>
              <w:top w:w="60" w:type="dxa"/>
              <w:left w:w="108" w:type="dxa"/>
              <w:bottom w:w="0" w:type="dxa"/>
              <w:right w:w="108" w:type="dxa"/>
            </w:tcMar>
          </w:tcPr>
          <w:p w:rsidR="00C21266" w:rsidRPr="005C3B55" w:rsidRDefault="00C21266">
            <w:pPr>
              <w:spacing w:after="200"/>
              <w:rPr>
                <w:rFonts w:eastAsia="Calibri"/>
                <w:sz w:val="16"/>
                <w:lang w:eastAsia="en-GB" w:bidi="en-GB"/>
              </w:rPr>
            </w:pPr>
          </w:p>
        </w:tc>
      </w:tr>
      <w:tr w:rsidR="00C21266" w:rsidRPr="005C3B55">
        <w:tc>
          <w:tcPr>
            <w:tcW w:w="2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11.2 – Payments for the preservation of farming practices and methods</w:t>
            </w:r>
          </w:p>
        </w:tc>
        <w:tc>
          <w:tcPr>
            <w:tcW w:w="7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44,548,000.00</w:t>
            </w:r>
          </w:p>
        </w:tc>
        <w:tc>
          <w:tcPr>
            <w:tcW w:w="7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40,000.00</w:t>
            </w:r>
          </w:p>
        </w:tc>
        <w:tc>
          <w:tcPr>
            <w:tcW w:w="7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center"/>
              <w:rPr>
                <w:rFonts w:eastAsia="Calibri"/>
                <w:sz w:val="20"/>
                <w:lang w:eastAsia="en-GB" w:bidi="en-GB"/>
              </w:rPr>
            </w:pPr>
            <w:r w:rsidRPr="005C3B55">
              <w:rPr>
                <w:sz w:val="20"/>
              </w:rPr>
              <w:t xml:space="preserve"> X </w:t>
            </w:r>
          </w:p>
        </w:tc>
        <w:tc>
          <w:tcPr>
            <w:tcW w:w="7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center"/>
              <w:rPr>
                <w:rFonts w:eastAsia="Calibri"/>
                <w:sz w:val="20"/>
                <w:lang w:eastAsia="en-GB" w:bidi="en-GB"/>
              </w:rPr>
            </w:pPr>
            <w:r w:rsidRPr="005C3B55">
              <w:rPr>
                <w:sz w:val="20"/>
              </w:rPr>
              <w:t xml:space="preserve"> X </w:t>
            </w:r>
          </w:p>
        </w:tc>
        <w:tc>
          <w:tcPr>
            <w:tcW w:w="7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center"/>
              <w:rPr>
                <w:rFonts w:eastAsia="Calibri"/>
                <w:sz w:val="20"/>
                <w:lang w:eastAsia="en-GB" w:bidi="en-GB"/>
              </w:rPr>
            </w:pPr>
            <w:r w:rsidRPr="005C3B55">
              <w:rPr>
                <w:sz w:val="20"/>
              </w:rPr>
              <w:t xml:space="preserve"> X </w:t>
            </w:r>
          </w:p>
        </w:tc>
        <w:tc>
          <w:tcPr>
            <w:tcW w:w="250" w:type="pct"/>
            <w:tcBorders>
              <w:top w:val="single" w:sz="4" w:space="0" w:color="auto"/>
              <w:left w:val="single" w:sz="4" w:space="0" w:color="auto"/>
              <w:bottom w:val="single" w:sz="4" w:space="0" w:color="auto"/>
              <w:right w:val="single" w:sz="4" w:space="0" w:color="auto"/>
            </w:tcBorders>
            <w:shd w:val="clear" w:color="auto" w:fill="C0C0C0"/>
            <w:tcMar>
              <w:top w:w="60" w:type="dxa"/>
              <w:left w:w="108" w:type="dxa"/>
              <w:bottom w:w="0" w:type="dxa"/>
              <w:right w:w="108" w:type="dxa"/>
            </w:tcMar>
          </w:tcPr>
          <w:p w:rsidR="00C21266" w:rsidRPr="005C3B55" w:rsidRDefault="00C21266">
            <w:pPr>
              <w:spacing w:after="200"/>
              <w:rPr>
                <w:rFonts w:eastAsia="Calibri"/>
                <w:sz w:val="16"/>
                <w:lang w:eastAsia="en-GB" w:bidi="en-GB"/>
              </w:rPr>
            </w:pPr>
          </w:p>
        </w:tc>
        <w:tc>
          <w:tcPr>
            <w:tcW w:w="250" w:type="pct"/>
            <w:tcBorders>
              <w:top w:val="single" w:sz="4" w:space="0" w:color="auto"/>
              <w:left w:val="single" w:sz="4" w:space="0" w:color="auto"/>
              <w:bottom w:val="single" w:sz="4" w:space="0" w:color="auto"/>
              <w:right w:val="single" w:sz="4" w:space="0" w:color="auto"/>
            </w:tcBorders>
            <w:shd w:val="clear" w:color="auto" w:fill="C0C0C0"/>
            <w:tcMar>
              <w:top w:w="60" w:type="dxa"/>
              <w:left w:w="108" w:type="dxa"/>
              <w:bottom w:w="0" w:type="dxa"/>
              <w:right w:w="108" w:type="dxa"/>
            </w:tcMar>
          </w:tcPr>
          <w:p w:rsidR="00C21266" w:rsidRPr="005C3B55" w:rsidRDefault="00C21266">
            <w:pPr>
              <w:spacing w:after="200"/>
              <w:rPr>
                <w:rFonts w:eastAsia="Calibri"/>
                <w:sz w:val="16"/>
                <w:lang w:eastAsia="en-GB" w:bidi="en-GB"/>
              </w:rPr>
            </w:pPr>
          </w:p>
        </w:tc>
      </w:tr>
    </w:tbl>
    <w:p w:rsidR="00C21266" w:rsidRPr="005C3B55" w:rsidRDefault="00C21266" w:rsidP="00C21266">
      <w:pPr>
        <w:pStyle w:val="Naslov4"/>
        <w:tabs>
          <w:tab w:val="clear" w:pos="765"/>
        </w:tabs>
        <w:ind w:left="0" w:firstLine="0"/>
        <w:jc w:val="left"/>
        <w:rPr>
          <w:b/>
          <w:lang w:val="en-GB" w:eastAsia="en-GB" w:bidi="en-GB"/>
        </w:rPr>
      </w:pPr>
      <w:r w:rsidRPr="005C3B55">
        <w:rPr>
          <w:b/>
          <w:lang w:val="en-GB"/>
        </w:rPr>
        <w:t>M12 - Payments within the scope of the Natura 2000 areas and on the basis of Water Framework Directive (Article 30)</w:t>
      </w:r>
    </w:p>
    <w:tbl>
      <w:tblPr>
        <w:tblStyle w:val="Navadnatabela1"/>
        <w:tblW w:w="5000"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04"/>
        <w:gridCol w:w="1553"/>
        <w:gridCol w:w="1553"/>
        <w:gridCol w:w="1554"/>
        <w:gridCol w:w="1366"/>
        <w:gridCol w:w="1366"/>
        <w:gridCol w:w="1066"/>
        <w:gridCol w:w="1394"/>
      </w:tblGrid>
      <w:tr w:rsidR="00C21266" w:rsidRPr="005C3B55">
        <w:tc>
          <w:tcPr>
            <w:tcW w:w="1000" w:type="pct"/>
            <w:tcBorders>
              <w:top w:val="single" w:sz="4" w:space="0" w:color="auto"/>
              <w:left w:val="single" w:sz="4" w:space="0" w:color="auto"/>
              <w:bottom w:val="single" w:sz="4" w:space="0" w:color="auto"/>
              <w:right w:val="single" w:sz="4" w:space="0" w:color="auto"/>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Sub-measure</w:t>
            </w:r>
          </w:p>
        </w:tc>
        <w:tc>
          <w:tcPr>
            <w:tcW w:w="1000" w:type="pct"/>
            <w:tcBorders>
              <w:top w:val="single" w:sz="4" w:space="0" w:color="auto"/>
              <w:left w:val="single" w:sz="4" w:space="0" w:color="auto"/>
              <w:bottom w:val="single" w:sz="4" w:space="0" w:color="auto"/>
              <w:right w:val="single" w:sz="4" w:space="0" w:color="auto"/>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Total expenditures (EUR)</w:t>
            </w:r>
          </w:p>
        </w:tc>
        <w:tc>
          <w:tcPr>
            <w:tcW w:w="1000" w:type="pct"/>
            <w:tcBorders>
              <w:top w:val="single" w:sz="4" w:space="0" w:color="auto"/>
              <w:left w:val="single" w:sz="4" w:space="0" w:color="auto"/>
              <w:bottom w:val="single" w:sz="4" w:space="0" w:color="auto"/>
              <w:right w:val="single" w:sz="4" w:space="0" w:color="auto"/>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Total area (ha) by measures and types of operations</w:t>
            </w:r>
          </w:p>
        </w:tc>
        <w:tc>
          <w:tcPr>
            <w:tcW w:w="1000" w:type="pct"/>
            <w:tcBorders>
              <w:top w:val="single" w:sz="4" w:space="0" w:color="auto"/>
              <w:left w:val="single" w:sz="4" w:space="0" w:color="auto"/>
              <w:bottom w:val="single" w:sz="4" w:space="0" w:color="auto"/>
              <w:right w:val="single" w:sz="4" w:space="0" w:color="auto"/>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Biodiversity, priority area 4A</w:t>
            </w:r>
          </w:p>
        </w:tc>
        <w:tc>
          <w:tcPr>
            <w:tcW w:w="1000" w:type="pct"/>
            <w:tcBorders>
              <w:top w:val="single" w:sz="4" w:space="0" w:color="auto"/>
              <w:left w:val="single" w:sz="4" w:space="0" w:color="auto"/>
              <w:bottom w:val="single" w:sz="4" w:space="0" w:color="auto"/>
              <w:right w:val="single" w:sz="4" w:space="0" w:color="auto"/>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Water management, priority area 4B</w:t>
            </w:r>
          </w:p>
        </w:tc>
        <w:tc>
          <w:tcPr>
            <w:tcW w:w="1000" w:type="pct"/>
            <w:tcBorders>
              <w:top w:val="single" w:sz="4" w:space="0" w:color="auto"/>
              <w:left w:val="single" w:sz="4" w:space="0" w:color="auto"/>
              <w:bottom w:val="single" w:sz="4" w:space="0" w:color="auto"/>
              <w:right w:val="single" w:sz="4" w:space="0" w:color="auto"/>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Soil management, priority area 4C</w:t>
            </w:r>
          </w:p>
        </w:tc>
        <w:tc>
          <w:tcPr>
            <w:tcW w:w="1000" w:type="pct"/>
            <w:tcBorders>
              <w:top w:val="single" w:sz="4" w:space="0" w:color="auto"/>
              <w:left w:val="single" w:sz="4" w:space="0" w:color="auto"/>
              <w:bottom w:val="single" w:sz="4" w:space="0" w:color="auto"/>
              <w:right w:val="single" w:sz="4" w:space="0" w:color="auto"/>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Reducing green house gases emissions and ammonia, priority area 5D</w:t>
            </w:r>
          </w:p>
        </w:tc>
        <w:tc>
          <w:tcPr>
            <w:tcW w:w="1000" w:type="pct"/>
            <w:tcBorders>
              <w:top w:val="single" w:sz="4" w:space="0" w:color="auto"/>
              <w:left w:val="single" w:sz="4" w:space="0" w:color="auto"/>
              <w:bottom w:val="single" w:sz="4" w:space="0" w:color="auto"/>
              <w:right w:val="single" w:sz="4" w:space="0" w:color="auto"/>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Sequestration or storage of carbon, priority area 5E</w:t>
            </w:r>
          </w:p>
        </w:tc>
      </w:tr>
      <w:tr w:rsidR="00C21266" w:rsidRPr="005C3B55">
        <w:tc>
          <w:tcPr>
            <w:tcW w:w="2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12.1 - Payment of compensations for agricultural Natura 2000 areas</w:t>
            </w:r>
          </w:p>
        </w:tc>
        <w:tc>
          <w:tcPr>
            <w:tcW w:w="7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p>
        </w:tc>
        <w:tc>
          <w:tcPr>
            <w:tcW w:w="7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p>
        </w:tc>
        <w:tc>
          <w:tcPr>
            <w:tcW w:w="7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center"/>
              <w:rPr>
                <w:rFonts w:eastAsia="Calibri"/>
                <w:sz w:val="20"/>
                <w:lang w:eastAsia="en-GB" w:bidi="en-GB"/>
              </w:rPr>
            </w:pPr>
            <w:r w:rsidRPr="005C3B55">
              <w:rPr>
                <w:sz w:val="20"/>
              </w:rPr>
              <w:t xml:space="preserve">  </w:t>
            </w:r>
          </w:p>
        </w:tc>
        <w:tc>
          <w:tcPr>
            <w:tcW w:w="250" w:type="pct"/>
            <w:tcBorders>
              <w:top w:val="single" w:sz="4" w:space="0" w:color="auto"/>
              <w:left w:val="single" w:sz="4" w:space="0" w:color="auto"/>
              <w:bottom w:val="single" w:sz="4" w:space="0" w:color="auto"/>
              <w:right w:val="single" w:sz="4" w:space="0" w:color="auto"/>
            </w:tcBorders>
            <w:shd w:val="clear" w:color="auto" w:fill="C0C0C0"/>
            <w:tcMar>
              <w:top w:w="60" w:type="dxa"/>
              <w:left w:w="108" w:type="dxa"/>
              <w:bottom w:w="0" w:type="dxa"/>
              <w:right w:w="108" w:type="dxa"/>
            </w:tcMar>
          </w:tcPr>
          <w:p w:rsidR="00C21266" w:rsidRPr="005C3B55" w:rsidRDefault="00C21266">
            <w:pPr>
              <w:spacing w:after="200"/>
              <w:rPr>
                <w:rFonts w:eastAsia="Calibri"/>
                <w:sz w:val="16"/>
                <w:lang w:eastAsia="en-GB" w:bidi="en-GB"/>
              </w:rPr>
            </w:pPr>
          </w:p>
        </w:tc>
        <w:tc>
          <w:tcPr>
            <w:tcW w:w="250" w:type="pct"/>
            <w:tcBorders>
              <w:top w:val="single" w:sz="4" w:space="0" w:color="auto"/>
              <w:left w:val="single" w:sz="4" w:space="0" w:color="auto"/>
              <w:bottom w:val="single" w:sz="4" w:space="0" w:color="auto"/>
              <w:right w:val="single" w:sz="4" w:space="0" w:color="auto"/>
            </w:tcBorders>
            <w:shd w:val="clear" w:color="auto" w:fill="C0C0C0"/>
            <w:tcMar>
              <w:top w:w="60" w:type="dxa"/>
              <w:left w:w="108" w:type="dxa"/>
              <w:bottom w:w="0" w:type="dxa"/>
              <w:right w:w="108" w:type="dxa"/>
            </w:tcMar>
          </w:tcPr>
          <w:p w:rsidR="00C21266" w:rsidRPr="005C3B55" w:rsidRDefault="00C21266">
            <w:pPr>
              <w:spacing w:after="200"/>
              <w:rPr>
                <w:rFonts w:eastAsia="Calibri"/>
                <w:sz w:val="16"/>
                <w:lang w:eastAsia="en-GB" w:bidi="en-GB"/>
              </w:rPr>
            </w:pPr>
          </w:p>
        </w:tc>
        <w:tc>
          <w:tcPr>
            <w:tcW w:w="250" w:type="pct"/>
            <w:tcBorders>
              <w:top w:val="single" w:sz="4" w:space="0" w:color="auto"/>
              <w:left w:val="single" w:sz="4" w:space="0" w:color="auto"/>
              <w:bottom w:val="single" w:sz="4" w:space="0" w:color="auto"/>
              <w:right w:val="single" w:sz="4" w:space="0" w:color="auto"/>
            </w:tcBorders>
            <w:shd w:val="clear" w:color="auto" w:fill="C0C0C0"/>
            <w:tcMar>
              <w:top w:w="60" w:type="dxa"/>
              <w:left w:w="108" w:type="dxa"/>
              <w:bottom w:w="0" w:type="dxa"/>
              <w:right w:w="108" w:type="dxa"/>
            </w:tcMar>
          </w:tcPr>
          <w:p w:rsidR="00C21266" w:rsidRPr="005C3B55" w:rsidRDefault="00C21266">
            <w:pPr>
              <w:spacing w:after="200"/>
              <w:rPr>
                <w:rFonts w:eastAsia="Calibri"/>
                <w:sz w:val="16"/>
                <w:lang w:eastAsia="en-GB" w:bidi="en-GB"/>
              </w:rPr>
            </w:pPr>
          </w:p>
        </w:tc>
        <w:tc>
          <w:tcPr>
            <w:tcW w:w="250" w:type="pct"/>
            <w:tcBorders>
              <w:top w:val="single" w:sz="4" w:space="0" w:color="auto"/>
              <w:left w:val="single" w:sz="4" w:space="0" w:color="auto"/>
              <w:bottom w:val="single" w:sz="4" w:space="0" w:color="auto"/>
              <w:right w:val="single" w:sz="4" w:space="0" w:color="auto"/>
            </w:tcBorders>
            <w:shd w:val="clear" w:color="auto" w:fill="C0C0C0"/>
            <w:tcMar>
              <w:top w:w="60" w:type="dxa"/>
              <w:left w:w="108" w:type="dxa"/>
              <w:bottom w:w="0" w:type="dxa"/>
              <w:right w:w="108" w:type="dxa"/>
            </w:tcMar>
          </w:tcPr>
          <w:p w:rsidR="00C21266" w:rsidRPr="005C3B55" w:rsidRDefault="00C21266">
            <w:pPr>
              <w:spacing w:after="200"/>
              <w:rPr>
                <w:rFonts w:eastAsia="Calibri"/>
                <w:sz w:val="16"/>
                <w:lang w:eastAsia="en-GB" w:bidi="en-GB"/>
              </w:rPr>
            </w:pPr>
          </w:p>
        </w:tc>
      </w:tr>
      <w:tr w:rsidR="00C21266" w:rsidRPr="005C3B55">
        <w:tc>
          <w:tcPr>
            <w:tcW w:w="2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 xml:space="preserve">12.3 - Payment of compensations for agricultural areas included in the river basin management plans </w:t>
            </w:r>
          </w:p>
        </w:tc>
        <w:tc>
          <w:tcPr>
            <w:tcW w:w="7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p>
        </w:tc>
        <w:tc>
          <w:tcPr>
            <w:tcW w:w="7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p>
        </w:tc>
        <w:tc>
          <w:tcPr>
            <w:tcW w:w="250" w:type="pct"/>
            <w:tcBorders>
              <w:top w:val="single" w:sz="4" w:space="0" w:color="auto"/>
              <w:left w:val="single" w:sz="4" w:space="0" w:color="auto"/>
              <w:bottom w:val="single" w:sz="4" w:space="0" w:color="auto"/>
              <w:right w:val="single" w:sz="4" w:space="0" w:color="auto"/>
            </w:tcBorders>
            <w:shd w:val="clear" w:color="auto" w:fill="C0C0C0"/>
            <w:tcMar>
              <w:top w:w="60" w:type="dxa"/>
              <w:left w:w="108" w:type="dxa"/>
              <w:bottom w:w="0" w:type="dxa"/>
              <w:right w:w="108" w:type="dxa"/>
            </w:tcMar>
          </w:tcPr>
          <w:p w:rsidR="00C21266" w:rsidRPr="005C3B55" w:rsidRDefault="00C21266">
            <w:pPr>
              <w:spacing w:after="200"/>
              <w:rPr>
                <w:rFonts w:eastAsia="Calibri"/>
                <w:sz w:val="16"/>
                <w:lang w:eastAsia="en-GB" w:bidi="en-GB"/>
              </w:rPr>
            </w:pPr>
          </w:p>
        </w:tc>
        <w:tc>
          <w:tcPr>
            <w:tcW w:w="2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center"/>
              <w:rPr>
                <w:rFonts w:eastAsia="Calibri"/>
                <w:sz w:val="20"/>
                <w:lang w:eastAsia="en-GB" w:bidi="en-GB"/>
              </w:rPr>
            </w:pPr>
            <w:r w:rsidRPr="005C3B55">
              <w:rPr>
                <w:sz w:val="20"/>
              </w:rPr>
              <w:t xml:space="preserve">  </w:t>
            </w:r>
          </w:p>
        </w:tc>
        <w:tc>
          <w:tcPr>
            <w:tcW w:w="250" w:type="pct"/>
            <w:tcBorders>
              <w:top w:val="single" w:sz="4" w:space="0" w:color="auto"/>
              <w:left w:val="single" w:sz="4" w:space="0" w:color="auto"/>
              <w:bottom w:val="single" w:sz="4" w:space="0" w:color="auto"/>
              <w:right w:val="single" w:sz="4" w:space="0" w:color="auto"/>
            </w:tcBorders>
            <w:shd w:val="clear" w:color="auto" w:fill="C0C0C0"/>
            <w:tcMar>
              <w:top w:w="60" w:type="dxa"/>
              <w:left w:w="108" w:type="dxa"/>
              <w:bottom w:w="0" w:type="dxa"/>
              <w:right w:w="108" w:type="dxa"/>
            </w:tcMar>
          </w:tcPr>
          <w:p w:rsidR="00C21266" w:rsidRPr="005C3B55" w:rsidRDefault="00C21266">
            <w:pPr>
              <w:spacing w:after="200"/>
              <w:rPr>
                <w:rFonts w:eastAsia="Calibri"/>
                <w:sz w:val="16"/>
                <w:lang w:eastAsia="en-GB" w:bidi="en-GB"/>
              </w:rPr>
            </w:pPr>
          </w:p>
        </w:tc>
        <w:tc>
          <w:tcPr>
            <w:tcW w:w="250" w:type="pct"/>
            <w:tcBorders>
              <w:top w:val="single" w:sz="4" w:space="0" w:color="auto"/>
              <w:left w:val="single" w:sz="4" w:space="0" w:color="auto"/>
              <w:bottom w:val="single" w:sz="4" w:space="0" w:color="auto"/>
              <w:right w:val="single" w:sz="4" w:space="0" w:color="auto"/>
            </w:tcBorders>
            <w:shd w:val="clear" w:color="auto" w:fill="C0C0C0"/>
            <w:tcMar>
              <w:top w:w="60" w:type="dxa"/>
              <w:left w:w="108" w:type="dxa"/>
              <w:bottom w:w="0" w:type="dxa"/>
              <w:right w:w="108" w:type="dxa"/>
            </w:tcMar>
          </w:tcPr>
          <w:p w:rsidR="00C21266" w:rsidRPr="005C3B55" w:rsidRDefault="00C21266">
            <w:pPr>
              <w:spacing w:after="200"/>
              <w:rPr>
                <w:rFonts w:eastAsia="Calibri"/>
                <w:sz w:val="16"/>
                <w:lang w:eastAsia="en-GB" w:bidi="en-GB"/>
              </w:rPr>
            </w:pPr>
          </w:p>
        </w:tc>
        <w:tc>
          <w:tcPr>
            <w:tcW w:w="250" w:type="pct"/>
            <w:tcBorders>
              <w:top w:val="single" w:sz="4" w:space="0" w:color="auto"/>
              <w:left w:val="single" w:sz="4" w:space="0" w:color="auto"/>
              <w:bottom w:val="single" w:sz="4" w:space="0" w:color="auto"/>
              <w:right w:val="single" w:sz="4" w:space="0" w:color="auto"/>
            </w:tcBorders>
            <w:shd w:val="clear" w:color="auto" w:fill="C0C0C0"/>
            <w:tcMar>
              <w:top w:w="60" w:type="dxa"/>
              <w:left w:w="108" w:type="dxa"/>
              <w:bottom w:w="0" w:type="dxa"/>
              <w:right w:w="108" w:type="dxa"/>
            </w:tcMar>
          </w:tcPr>
          <w:p w:rsidR="00C21266" w:rsidRPr="005C3B55" w:rsidRDefault="00C21266">
            <w:pPr>
              <w:spacing w:after="200"/>
              <w:rPr>
                <w:rFonts w:eastAsia="Calibri"/>
                <w:sz w:val="16"/>
                <w:lang w:eastAsia="en-GB" w:bidi="en-GB"/>
              </w:rPr>
            </w:pPr>
          </w:p>
        </w:tc>
      </w:tr>
    </w:tbl>
    <w:p w:rsidR="00C21266" w:rsidRPr="005C3B55" w:rsidRDefault="00C21266" w:rsidP="00C21266">
      <w:pPr>
        <w:pStyle w:val="Naslov4"/>
        <w:tabs>
          <w:tab w:val="clear" w:pos="765"/>
        </w:tabs>
        <w:ind w:left="0" w:firstLine="0"/>
        <w:jc w:val="left"/>
        <w:rPr>
          <w:b/>
          <w:lang w:val="en-GB" w:eastAsia="en-GB" w:bidi="en-GB"/>
        </w:rPr>
      </w:pPr>
      <w:r w:rsidRPr="005C3B55">
        <w:rPr>
          <w:b/>
          <w:lang w:val="en-GB"/>
        </w:rPr>
        <w:t>M08 – Investments in forest area development and improvement of the viability of forests (Articles 21-26)</w:t>
      </w:r>
    </w:p>
    <w:tbl>
      <w:tblPr>
        <w:tblStyle w:val="Navadnatabela1"/>
        <w:tblW w:w="5000"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04"/>
        <w:gridCol w:w="1553"/>
        <w:gridCol w:w="1553"/>
        <w:gridCol w:w="1554"/>
        <w:gridCol w:w="1366"/>
        <w:gridCol w:w="1366"/>
        <w:gridCol w:w="1066"/>
        <w:gridCol w:w="1394"/>
      </w:tblGrid>
      <w:tr w:rsidR="00C21266" w:rsidRPr="005C3B55">
        <w:tc>
          <w:tcPr>
            <w:tcW w:w="1000" w:type="pct"/>
            <w:tcBorders>
              <w:top w:val="single" w:sz="4" w:space="0" w:color="auto"/>
              <w:left w:val="single" w:sz="4" w:space="0" w:color="auto"/>
              <w:bottom w:val="single" w:sz="4" w:space="0" w:color="auto"/>
              <w:right w:val="single" w:sz="4" w:space="0" w:color="auto"/>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Sub-measure</w:t>
            </w:r>
          </w:p>
        </w:tc>
        <w:tc>
          <w:tcPr>
            <w:tcW w:w="1000" w:type="pct"/>
            <w:tcBorders>
              <w:top w:val="single" w:sz="4" w:space="0" w:color="auto"/>
              <w:left w:val="single" w:sz="4" w:space="0" w:color="auto"/>
              <w:bottom w:val="single" w:sz="4" w:space="0" w:color="auto"/>
              <w:right w:val="single" w:sz="4" w:space="0" w:color="auto"/>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Total expenditures (EUR)</w:t>
            </w:r>
          </w:p>
        </w:tc>
        <w:tc>
          <w:tcPr>
            <w:tcW w:w="1000" w:type="pct"/>
            <w:tcBorders>
              <w:top w:val="single" w:sz="4" w:space="0" w:color="auto"/>
              <w:left w:val="single" w:sz="4" w:space="0" w:color="auto"/>
              <w:bottom w:val="single" w:sz="4" w:space="0" w:color="auto"/>
              <w:right w:val="single" w:sz="4" w:space="0" w:color="auto"/>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Total area (ha) by measures and types of operations</w:t>
            </w:r>
          </w:p>
        </w:tc>
        <w:tc>
          <w:tcPr>
            <w:tcW w:w="1000" w:type="pct"/>
            <w:tcBorders>
              <w:top w:val="single" w:sz="4" w:space="0" w:color="auto"/>
              <w:left w:val="single" w:sz="4" w:space="0" w:color="auto"/>
              <w:bottom w:val="single" w:sz="4" w:space="0" w:color="auto"/>
              <w:right w:val="single" w:sz="4" w:space="0" w:color="auto"/>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Biodiversity, priority area 4A</w:t>
            </w:r>
          </w:p>
        </w:tc>
        <w:tc>
          <w:tcPr>
            <w:tcW w:w="1000" w:type="pct"/>
            <w:tcBorders>
              <w:top w:val="single" w:sz="4" w:space="0" w:color="auto"/>
              <w:left w:val="single" w:sz="4" w:space="0" w:color="auto"/>
              <w:bottom w:val="single" w:sz="4" w:space="0" w:color="auto"/>
              <w:right w:val="single" w:sz="4" w:space="0" w:color="auto"/>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Water management, priority area 4B</w:t>
            </w:r>
          </w:p>
        </w:tc>
        <w:tc>
          <w:tcPr>
            <w:tcW w:w="1000" w:type="pct"/>
            <w:tcBorders>
              <w:top w:val="single" w:sz="4" w:space="0" w:color="auto"/>
              <w:left w:val="single" w:sz="4" w:space="0" w:color="auto"/>
              <w:bottom w:val="single" w:sz="4" w:space="0" w:color="auto"/>
              <w:right w:val="single" w:sz="4" w:space="0" w:color="auto"/>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Soil management, priority area 4C</w:t>
            </w:r>
          </w:p>
        </w:tc>
        <w:tc>
          <w:tcPr>
            <w:tcW w:w="1000" w:type="pct"/>
            <w:tcBorders>
              <w:top w:val="single" w:sz="4" w:space="0" w:color="auto"/>
              <w:left w:val="single" w:sz="4" w:space="0" w:color="auto"/>
              <w:bottom w:val="single" w:sz="4" w:space="0" w:color="auto"/>
              <w:right w:val="single" w:sz="4" w:space="0" w:color="auto"/>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Reducing green house gases emissions and ammonia, priority area 5D</w:t>
            </w:r>
          </w:p>
        </w:tc>
        <w:tc>
          <w:tcPr>
            <w:tcW w:w="1000" w:type="pct"/>
            <w:tcBorders>
              <w:top w:val="single" w:sz="4" w:space="0" w:color="auto"/>
              <w:left w:val="single" w:sz="4" w:space="0" w:color="auto"/>
              <w:bottom w:val="single" w:sz="4" w:space="0" w:color="auto"/>
              <w:right w:val="single" w:sz="4" w:space="0" w:color="auto"/>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Sequestration or storage of carbon, priority area 5E</w:t>
            </w:r>
          </w:p>
        </w:tc>
      </w:tr>
      <w:tr w:rsidR="00C21266" w:rsidRPr="005C3B55">
        <w:tc>
          <w:tcPr>
            <w:tcW w:w="2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8.1 - Support for reforestation and creation of other forest land</w:t>
            </w:r>
          </w:p>
        </w:tc>
        <w:tc>
          <w:tcPr>
            <w:tcW w:w="7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p>
        </w:tc>
        <w:tc>
          <w:tcPr>
            <w:tcW w:w="7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p>
        </w:tc>
        <w:tc>
          <w:tcPr>
            <w:tcW w:w="7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center"/>
              <w:rPr>
                <w:rFonts w:eastAsia="Calibri"/>
                <w:sz w:val="20"/>
                <w:lang w:eastAsia="en-GB" w:bidi="en-GB"/>
              </w:rPr>
            </w:pPr>
            <w:r w:rsidRPr="005C3B55">
              <w:rPr>
                <w:sz w:val="20"/>
              </w:rPr>
              <w:t xml:space="preserve">  </w:t>
            </w:r>
          </w:p>
        </w:tc>
        <w:tc>
          <w:tcPr>
            <w:tcW w:w="7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center"/>
              <w:rPr>
                <w:rFonts w:eastAsia="Calibri"/>
                <w:sz w:val="20"/>
                <w:lang w:eastAsia="en-GB" w:bidi="en-GB"/>
              </w:rPr>
            </w:pPr>
            <w:r w:rsidRPr="005C3B55">
              <w:rPr>
                <w:sz w:val="20"/>
              </w:rPr>
              <w:t xml:space="preserve">  </w:t>
            </w:r>
          </w:p>
        </w:tc>
        <w:tc>
          <w:tcPr>
            <w:tcW w:w="7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center"/>
              <w:rPr>
                <w:rFonts w:eastAsia="Calibri"/>
                <w:sz w:val="20"/>
                <w:lang w:eastAsia="en-GB" w:bidi="en-GB"/>
              </w:rPr>
            </w:pPr>
            <w:r w:rsidRPr="005C3B55">
              <w:rPr>
                <w:sz w:val="20"/>
              </w:rPr>
              <w:t xml:space="preserve">  </w:t>
            </w:r>
          </w:p>
        </w:tc>
        <w:tc>
          <w:tcPr>
            <w:tcW w:w="250" w:type="pct"/>
            <w:tcBorders>
              <w:top w:val="single" w:sz="4" w:space="0" w:color="auto"/>
              <w:left w:val="single" w:sz="4" w:space="0" w:color="auto"/>
              <w:bottom w:val="single" w:sz="4" w:space="0" w:color="auto"/>
              <w:right w:val="single" w:sz="4" w:space="0" w:color="auto"/>
            </w:tcBorders>
            <w:shd w:val="clear" w:color="auto" w:fill="C0C0C0"/>
            <w:tcMar>
              <w:top w:w="60" w:type="dxa"/>
              <w:left w:w="108" w:type="dxa"/>
              <w:bottom w:w="0" w:type="dxa"/>
              <w:right w:w="108" w:type="dxa"/>
            </w:tcMar>
          </w:tcPr>
          <w:p w:rsidR="00C21266" w:rsidRPr="005C3B55" w:rsidRDefault="00C21266">
            <w:pPr>
              <w:spacing w:after="200"/>
              <w:rPr>
                <w:rFonts w:eastAsia="Calibri"/>
                <w:sz w:val="16"/>
                <w:lang w:eastAsia="en-GB" w:bidi="en-GB"/>
              </w:rPr>
            </w:pPr>
          </w:p>
        </w:tc>
        <w:tc>
          <w:tcPr>
            <w:tcW w:w="2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center"/>
              <w:rPr>
                <w:rFonts w:eastAsia="Calibri"/>
                <w:sz w:val="20"/>
                <w:lang w:eastAsia="en-GB" w:bidi="en-GB"/>
              </w:rPr>
            </w:pPr>
            <w:r w:rsidRPr="005C3B55">
              <w:rPr>
                <w:sz w:val="20"/>
              </w:rPr>
              <w:t xml:space="preserve">  </w:t>
            </w:r>
          </w:p>
        </w:tc>
      </w:tr>
      <w:tr w:rsidR="00C21266" w:rsidRPr="005C3B55">
        <w:tc>
          <w:tcPr>
            <w:tcW w:w="2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8.2 - Support for the costs of establishment and maintenance of agricultural and forestry systems</w:t>
            </w:r>
          </w:p>
        </w:tc>
        <w:tc>
          <w:tcPr>
            <w:tcW w:w="7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p>
        </w:tc>
        <w:tc>
          <w:tcPr>
            <w:tcW w:w="7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p>
        </w:tc>
        <w:tc>
          <w:tcPr>
            <w:tcW w:w="7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center"/>
              <w:rPr>
                <w:rFonts w:eastAsia="Calibri"/>
                <w:sz w:val="20"/>
                <w:lang w:eastAsia="en-GB" w:bidi="en-GB"/>
              </w:rPr>
            </w:pPr>
            <w:r w:rsidRPr="005C3B55">
              <w:rPr>
                <w:sz w:val="20"/>
              </w:rPr>
              <w:t xml:space="preserve">  </w:t>
            </w:r>
          </w:p>
        </w:tc>
        <w:tc>
          <w:tcPr>
            <w:tcW w:w="7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center"/>
              <w:rPr>
                <w:rFonts w:eastAsia="Calibri"/>
                <w:sz w:val="20"/>
                <w:lang w:eastAsia="en-GB" w:bidi="en-GB"/>
              </w:rPr>
            </w:pPr>
            <w:r w:rsidRPr="005C3B55">
              <w:rPr>
                <w:sz w:val="20"/>
              </w:rPr>
              <w:t xml:space="preserve">  </w:t>
            </w:r>
          </w:p>
        </w:tc>
        <w:tc>
          <w:tcPr>
            <w:tcW w:w="7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center"/>
              <w:rPr>
                <w:rFonts w:eastAsia="Calibri"/>
                <w:sz w:val="20"/>
                <w:lang w:eastAsia="en-GB" w:bidi="en-GB"/>
              </w:rPr>
            </w:pPr>
            <w:r w:rsidRPr="005C3B55">
              <w:rPr>
                <w:sz w:val="20"/>
              </w:rPr>
              <w:t xml:space="preserve">  </w:t>
            </w:r>
          </w:p>
        </w:tc>
        <w:tc>
          <w:tcPr>
            <w:tcW w:w="250" w:type="pct"/>
            <w:tcBorders>
              <w:top w:val="single" w:sz="4" w:space="0" w:color="auto"/>
              <w:left w:val="single" w:sz="4" w:space="0" w:color="auto"/>
              <w:bottom w:val="single" w:sz="4" w:space="0" w:color="auto"/>
              <w:right w:val="single" w:sz="4" w:space="0" w:color="auto"/>
            </w:tcBorders>
            <w:shd w:val="clear" w:color="auto" w:fill="C0C0C0"/>
            <w:tcMar>
              <w:top w:w="60" w:type="dxa"/>
              <w:left w:w="108" w:type="dxa"/>
              <w:bottom w:w="0" w:type="dxa"/>
              <w:right w:w="108" w:type="dxa"/>
            </w:tcMar>
          </w:tcPr>
          <w:p w:rsidR="00C21266" w:rsidRPr="005C3B55" w:rsidRDefault="00C21266">
            <w:pPr>
              <w:spacing w:after="200"/>
              <w:rPr>
                <w:rFonts w:eastAsia="Calibri"/>
                <w:sz w:val="16"/>
                <w:lang w:eastAsia="en-GB" w:bidi="en-GB"/>
              </w:rPr>
            </w:pPr>
          </w:p>
        </w:tc>
        <w:tc>
          <w:tcPr>
            <w:tcW w:w="2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center"/>
              <w:rPr>
                <w:rFonts w:eastAsia="Calibri"/>
                <w:sz w:val="20"/>
                <w:lang w:eastAsia="en-GB" w:bidi="en-GB"/>
              </w:rPr>
            </w:pPr>
            <w:r w:rsidRPr="005C3B55">
              <w:rPr>
                <w:sz w:val="20"/>
              </w:rPr>
              <w:t xml:space="preserve">  </w:t>
            </w:r>
          </w:p>
        </w:tc>
      </w:tr>
    </w:tbl>
    <w:p w:rsidR="00C21266" w:rsidRPr="005C3B55" w:rsidRDefault="00C21266" w:rsidP="00C21266">
      <w:pPr>
        <w:spacing w:after="0"/>
        <w:rPr>
          <w:b/>
        </w:rPr>
        <w:sectPr w:rsidR="00C21266" w:rsidRPr="005C3B55">
          <w:pgSz w:w="15840" w:h="12240" w:orient="landscape"/>
          <w:pgMar w:top="900" w:right="900" w:bottom="900" w:left="900" w:header="708" w:footer="708" w:gutter="0"/>
          <w:cols w:space="708"/>
        </w:sectPr>
      </w:pPr>
    </w:p>
    <w:p w:rsidR="00C21266" w:rsidRPr="005C3B55" w:rsidRDefault="00C21266" w:rsidP="00C21266">
      <w:pPr>
        <w:pStyle w:val="Naslov3"/>
        <w:tabs>
          <w:tab w:val="clear" w:pos="765"/>
        </w:tabs>
        <w:ind w:left="0" w:firstLine="0"/>
        <w:jc w:val="left"/>
        <w:rPr>
          <w:lang w:val="en-GB" w:eastAsia="en-GB" w:bidi="en-GB"/>
        </w:rPr>
      </w:pPr>
      <w:r w:rsidRPr="005C3B55">
        <w:rPr>
          <w:lang w:val="en-GB"/>
        </w:rPr>
        <w:t xml:space="preserve"> </w:t>
      </w:r>
      <w:bookmarkStart w:id="172" w:name="_Toc416192630"/>
      <w:r w:rsidRPr="005C3B55">
        <w:rPr>
          <w:lang w:val="en-GB"/>
        </w:rPr>
        <w:t>Forest areas</w:t>
      </w:r>
      <w:bookmarkEnd w:id="172"/>
    </w:p>
    <w:p w:rsidR="00C21266" w:rsidRPr="005C3B55" w:rsidRDefault="00C21266" w:rsidP="00C21266">
      <w:pPr>
        <w:pStyle w:val="Naslov4"/>
        <w:tabs>
          <w:tab w:val="clear" w:pos="765"/>
        </w:tabs>
        <w:ind w:left="0" w:firstLine="0"/>
        <w:jc w:val="left"/>
        <w:rPr>
          <w:lang w:val="en-GB"/>
        </w:rPr>
      </w:pPr>
      <w:r w:rsidRPr="005C3B55">
        <w:rPr>
          <w:lang w:val="en-GB"/>
        </w:rPr>
        <w:t>M15 - Forestry-environmental and climate services and conservation of forests (Article 34)</w:t>
      </w:r>
    </w:p>
    <w:tbl>
      <w:tblPr>
        <w:tblStyle w:val="Navadnatabela1"/>
        <w:tblW w:w="5000"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78"/>
        <w:gridCol w:w="2578"/>
        <w:gridCol w:w="2578"/>
        <w:gridCol w:w="2578"/>
        <w:gridCol w:w="2578"/>
        <w:gridCol w:w="1366"/>
      </w:tblGrid>
      <w:tr w:rsidR="00C21266" w:rsidRPr="005C3B55">
        <w:tc>
          <w:tcPr>
            <w:tcW w:w="1000" w:type="pct"/>
            <w:tcBorders>
              <w:top w:val="single" w:sz="4" w:space="0" w:color="auto"/>
              <w:left w:val="single" w:sz="4" w:space="0" w:color="auto"/>
              <w:bottom w:val="single" w:sz="4" w:space="0" w:color="auto"/>
              <w:right w:val="single" w:sz="4" w:space="0" w:color="auto"/>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Type of operation or group of types of operation</w:t>
            </w:r>
          </w:p>
        </w:tc>
        <w:tc>
          <w:tcPr>
            <w:tcW w:w="1000" w:type="pct"/>
            <w:tcBorders>
              <w:top w:val="single" w:sz="4" w:space="0" w:color="auto"/>
              <w:left w:val="single" w:sz="4" w:space="0" w:color="auto"/>
              <w:bottom w:val="single" w:sz="4" w:space="0" w:color="auto"/>
              <w:right w:val="single" w:sz="4" w:space="0" w:color="auto"/>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Total expenditures (EUR)</w:t>
            </w:r>
          </w:p>
        </w:tc>
        <w:tc>
          <w:tcPr>
            <w:tcW w:w="1000" w:type="pct"/>
            <w:tcBorders>
              <w:top w:val="single" w:sz="4" w:space="0" w:color="auto"/>
              <w:left w:val="single" w:sz="4" w:space="0" w:color="auto"/>
              <w:bottom w:val="single" w:sz="4" w:space="0" w:color="auto"/>
              <w:right w:val="single" w:sz="4" w:space="0" w:color="auto"/>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Total area (ha) by measures and types of operations</w:t>
            </w:r>
          </w:p>
        </w:tc>
        <w:tc>
          <w:tcPr>
            <w:tcW w:w="1000" w:type="pct"/>
            <w:tcBorders>
              <w:top w:val="single" w:sz="4" w:space="0" w:color="auto"/>
              <w:left w:val="single" w:sz="4" w:space="0" w:color="auto"/>
              <w:bottom w:val="single" w:sz="4" w:space="0" w:color="auto"/>
              <w:right w:val="single" w:sz="4" w:space="0" w:color="auto"/>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Biodiversity, priority area 4A</w:t>
            </w:r>
          </w:p>
        </w:tc>
        <w:tc>
          <w:tcPr>
            <w:tcW w:w="1000" w:type="pct"/>
            <w:tcBorders>
              <w:top w:val="single" w:sz="4" w:space="0" w:color="auto"/>
              <w:left w:val="single" w:sz="4" w:space="0" w:color="auto"/>
              <w:bottom w:val="single" w:sz="4" w:space="0" w:color="auto"/>
              <w:right w:val="single" w:sz="4" w:space="0" w:color="auto"/>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Water management, priority area 4B</w:t>
            </w:r>
          </w:p>
        </w:tc>
        <w:tc>
          <w:tcPr>
            <w:tcW w:w="1000" w:type="pct"/>
            <w:tcBorders>
              <w:top w:val="single" w:sz="4" w:space="0" w:color="auto"/>
              <w:left w:val="single" w:sz="4" w:space="0" w:color="auto"/>
              <w:bottom w:val="single" w:sz="4" w:space="0" w:color="auto"/>
              <w:right w:val="single" w:sz="4" w:space="0" w:color="auto"/>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Soil management, priority area 4C</w:t>
            </w:r>
          </w:p>
        </w:tc>
      </w:tr>
    </w:tbl>
    <w:p w:rsidR="00C21266" w:rsidRPr="005C3B55" w:rsidRDefault="00C21266" w:rsidP="00C21266">
      <w:pPr>
        <w:pStyle w:val="Naslov4"/>
        <w:tabs>
          <w:tab w:val="clear" w:pos="765"/>
        </w:tabs>
        <w:ind w:left="0" w:firstLine="0"/>
        <w:jc w:val="left"/>
        <w:rPr>
          <w:b/>
          <w:lang w:val="en-GB" w:eastAsia="en-GB" w:bidi="en-GB"/>
        </w:rPr>
      </w:pPr>
      <w:r w:rsidRPr="005C3B55">
        <w:rPr>
          <w:b/>
          <w:lang w:val="en-GB"/>
        </w:rPr>
        <w:t>M12 - Payments within the scope of the Natura 2000 areas and on the basis of Water Framework Directive (Article 30)</w:t>
      </w:r>
    </w:p>
    <w:tbl>
      <w:tblPr>
        <w:tblStyle w:val="Navadnatabela1"/>
        <w:tblW w:w="5000"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19"/>
        <w:gridCol w:w="2168"/>
        <w:gridCol w:w="2168"/>
        <w:gridCol w:w="2169"/>
        <w:gridCol w:w="1366"/>
        <w:gridCol w:w="1366"/>
      </w:tblGrid>
      <w:tr w:rsidR="00C21266" w:rsidRPr="005C3B55">
        <w:tc>
          <w:tcPr>
            <w:tcW w:w="1000" w:type="pct"/>
            <w:tcBorders>
              <w:top w:val="single" w:sz="4" w:space="0" w:color="auto"/>
              <w:left w:val="single" w:sz="4" w:space="0" w:color="auto"/>
              <w:bottom w:val="single" w:sz="4" w:space="0" w:color="auto"/>
              <w:right w:val="single" w:sz="4" w:space="0" w:color="auto"/>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Sub-measure</w:t>
            </w:r>
          </w:p>
        </w:tc>
        <w:tc>
          <w:tcPr>
            <w:tcW w:w="1000" w:type="pct"/>
            <w:tcBorders>
              <w:top w:val="single" w:sz="4" w:space="0" w:color="auto"/>
              <w:left w:val="single" w:sz="4" w:space="0" w:color="auto"/>
              <w:bottom w:val="single" w:sz="4" w:space="0" w:color="auto"/>
              <w:right w:val="single" w:sz="4" w:space="0" w:color="auto"/>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Total expenditures (EUR)</w:t>
            </w:r>
          </w:p>
        </w:tc>
        <w:tc>
          <w:tcPr>
            <w:tcW w:w="1000" w:type="pct"/>
            <w:tcBorders>
              <w:top w:val="single" w:sz="4" w:space="0" w:color="auto"/>
              <w:left w:val="single" w:sz="4" w:space="0" w:color="auto"/>
              <w:bottom w:val="single" w:sz="4" w:space="0" w:color="auto"/>
              <w:right w:val="single" w:sz="4" w:space="0" w:color="auto"/>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Total area (ha) by measures and types of operations</w:t>
            </w:r>
          </w:p>
        </w:tc>
        <w:tc>
          <w:tcPr>
            <w:tcW w:w="1000" w:type="pct"/>
            <w:tcBorders>
              <w:top w:val="single" w:sz="4" w:space="0" w:color="auto"/>
              <w:left w:val="single" w:sz="4" w:space="0" w:color="auto"/>
              <w:bottom w:val="single" w:sz="4" w:space="0" w:color="auto"/>
              <w:right w:val="single" w:sz="4" w:space="0" w:color="auto"/>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Biodiversity, priority area 4A</w:t>
            </w:r>
          </w:p>
        </w:tc>
        <w:tc>
          <w:tcPr>
            <w:tcW w:w="1000" w:type="pct"/>
            <w:tcBorders>
              <w:top w:val="single" w:sz="4" w:space="0" w:color="auto"/>
              <w:left w:val="single" w:sz="4" w:space="0" w:color="auto"/>
              <w:bottom w:val="single" w:sz="4" w:space="0" w:color="auto"/>
              <w:right w:val="single" w:sz="4" w:space="0" w:color="auto"/>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Water management, priority area 4B</w:t>
            </w:r>
          </w:p>
        </w:tc>
        <w:tc>
          <w:tcPr>
            <w:tcW w:w="1000" w:type="pct"/>
            <w:tcBorders>
              <w:top w:val="single" w:sz="4" w:space="0" w:color="auto"/>
              <w:left w:val="single" w:sz="4" w:space="0" w:color="auto"/>
              <w:bottom w:val="single" w:sz="4" w:space="0" w:color="auto"/>
              <w:right w:val="single" w:sz="4" w:space="0" w:color="auto"/>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Soil management, priority area 4C</w:t>
            </w:r>
          </w:p>
        </w:tc>
      </w:tr>
      <w:tr w:rsidR="00C21266" w:rsidRPr="005C3B55">
        <w:tc>
          <w:tcPr>
            <w:tcW w:w="2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12.2 - Payment of compensations for agricultural Natura 2000 areas</w:t>
            </w:r>
          </w:p>
        </w:tc>
        <w:tc>
          <w:tcPr>
            <w:tcW w:w="7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p>
        </w:tc>
        <w:tc>
          <w:tcPr>
            <w:tcW w:w="7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p>
        </w:tc>
        <w:tc>
          <w:tcPr>
            <w:tcW w:w="7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center"/>
              <w:rPr>
                <w:rFonts w:eastAsia="Calibri"/>
                <w:sz w:val="20"/>
                <w:lang w:eastAsia="en-GB" w:bidi="en-GB"/>
              </w:rPr>
            </w:pPr>
            <w:r w:rsidRPr="005C3B55">
              <w:rPr>
                <w:sz w:val="20"/>
              </w:rPr>
              <w:t xml:space="preserve">  </w:t>
            </w:r>
          </w:p>
        </w:tc>
        <w:tc>
          <w:tcPr>
            <w:tcW w:w="250" w:type="pct"/>
            <w:tcBorders>
              <w:top w:val="single" w:sz="4" w:space="0" w:color="auto"/>
              <w:left w:val="single" w:sz="4" w:space="0" w:color="auto"/>
              <w:bottom w:val="single" w:sz="4" w:space="0" w:color="auto"/>
              <w:right w:val="single" w:sz="4" w:space="0" w:color="auto"/>
            </w:tcBorders>
            <w:shd w:val="clear" w:color="auto" w:fill="C0C0C0"/>
            <w:tcMar>
              <w:top w:w="60" w:type="dxa"/>
              <w:left w:w="108" w:type="dxa"/>
              <w:bottom w:w="0" w:type="dxa"/>
              <w:right w:w="108" w:type="dxa"/>
            </w:tcMar>
          </w:tcPr>
          <w:p w:rsidR="00C21266" w:rsidRPr="005C3B55" w:rsidRDefault="00C21266">
            <w:pPr>
              <w:spacing w:after="200"/>
              <w:rPr>
                <w:rFonts w:eastAsia="Calibri"/>
                <w:sz w:val="16"/>
                <w:lang w:eastAsia="en-GB" w:bidi="en-GB"/>
              </w:rPr>
            </w:pPr>
          </w:p>
        </w:tc>
        <w:tc>
          <w:tcPr>
            <w:tcW w:w="250" w:type="pct"/>
            <w:tcBorders>
              <w:top w:val="single" w:sz="4" w:space="0" w:color="auto"/>
              <w:left w:val="single" w:sz="4" w:space="0" w:color="auto"/>
              <w:bottom w:val="single" w:sz="4" w:space="0" w:color="auto"/>
              <w:right w:val="single" w:sz="4" w:space="0" w:color="auto"/>
            </w:tcBorders>
            <w:shd w:val="clear" w:color="auto" w:fill="C0C0C0"/>
            <w:tcMar>
              <w:top w:w="60" w:type="dxa"/>
              <w:left w:w="108" w:type="dxa"/>
              <w:bottom w:w="0" w:type="dxa"/>
              <w:right w:w="108" w:type="dxa"/>
            </w:tcMar>
          </w:tcPr>
          <w:p w:rsidR="00C21266" w:rsidRPr="005C3B55" w:rsidRDefault="00C21266">
            <w:pPr>
              <w:spacing w:after="200"/>
              <w:rPr>
                <w:rFonts w:eastAsia="Calibri"/>
                <w:sz w:val="16"/>
                <w:lang w:eastAsia="en-GB" w:bidi="en-GB"/>
              </w:rPr>
            </w:pPr>
          </w:p>
        </w:tc>
      </w:tr>
    </w:tbl>
    <w:p w:rsidR="00C21266" w:rsidRPr="005C3B55" w:rsidRDefault="00C21266" w:rsidP="00C21266">
      <w:pPr>
        <w:pStyle w:val="Naslov4"/>
        <w:tabs>
          <w:tab w:val="clear" w:pos="765"/>
        </w:tabs>
        <w:ind w:left="0" w:firstLine="0"/>
        <w:jc w:val="left"/>
        <w:rPr>
          <w:b/>
          <w:lang w:val="en-GB" w:eastAsia="en-GB" w:bidi="en-GB"/>
        </w:rPr>
      </w:pPr>
      <w:r w:rsidRPr="005C3B55">
        <w:rPr>
          <w:b/>
          <w:lang w:val="en-GB"/>
        </w:rPr>
        <w:t>M08 – Investments in forest area development and improvement of the viability of forests (Articles 21-26)</w:t>
      </w:r>
    </w:p>
    <w:tbl>
      <w:tblPr>
        <w:tblStyle w:val="Navadnatabela1"/>
        <w:tblW w:w="5000"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19"/>
        <w:gridCol w:w="2168"/>
        <w:gridCol w:w="2168"/>
        <w:gridCol w:w="2169"/>
        <w:gridCol w:w="1366"/>
        <w:gridCol w:w="1366"/>
      </w:tblGrid>
      <w:tr w:rsidR="00C21266" w:rsidRPr="005C3B55">
        <w:tc>
          <w:tcPr>
            <w:tcW w:w="1000" w:type="pct"/>
            <w:tcBorders>
              <w:top w:val="single" w:sz="4" w:space="0" w:color="auto"/>
              <w:left w:val="single" w:sz="4" w:space="0" w:color="auto"/>
              <w:bottom w:val="single" w:sz="4" w:space="0" w:color="auto"/>
              <w:right w:val="single" w:sz="4" w:space="0" w:color="auto"/>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Sub-measure</w:t>
            </w:r>
          </w:p>
        </w:tc>
        <w:tc>
          <w:tcPr>
            <w:tcW w:w="1000" w:type="pct"/>
            <w:tcBorders>
              <w:top w:val="single" w:sz="4" w:space="0" w:color="auto"/>
              <w:left w:val="single" w:sz="4" w:space="0" w:color="auto"/>
              <w:bottom w:val="single" w:sz="4" w:space="0" w:color="auto"/>
              <w:right w:val="single" w:sz="4" w:space="0" w:color="auto"/>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Total expenditures (EUR)</w:t>
            </w:r>
          </w:p>
        </w:tc>
        <w:tc>
          <w:tcPr>
            <w:tcW w:w="1000" w:type="pct"/>
            <w:tcBorders>
              <w:top w:val="single" w:sz="4" w:space="0" w:color="auto"/>
              <w:left w:val="single" w:sz="4" w:space="0" w:color="auto"/>
              <w:bottom w:val="single" w:sz="4" w:space="0" w:color="auto"/>
              <w:right w:val="single" w:sz="4" w:space="0" w:color="auto"/>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Total area (ha) by measures and types of operations</w:t>
            </w:r>
          </w:p>
        </w:tc>
        <w:tc>
          <w:tcPr>
            <w:tcW w:w="1000" w:type="pct"/>
            <w:tcBorders>
              <w:top w:val="single" w:sz="4" w:space="0" w:color="auto"/>
              <w:left w:val="single" w:sz="4" w:space="0" w:color="auto"/>
              <w:bottom w:val="single" w:sz="4" w:space="0" w:color="auto"/>
              <w:right w:val="single" w:sz="4" w:space="0" w:color="auto"/>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Biodiversity, priority area 4A</w:t>
            </w:r>
          </w:p>
        </w:tc>
        <w:tc>
          <w:tcPr>
            <w:tcW w:w="1000" w:type="pct"/>
            <w:tcBorders>
              <w:top w:val="single" w:sz="4" w:space="0" w:color="auto"/>
              <w:left w:val="single" w:sz="4" w:space="0" w:color="auto"/>
              <w:bottom w:val="single" w:sz="4" w:space="0" w:color="auto"/>
              <w:right w:val="single" w:sz="4" w:space="0" w:color="auto"/>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Water management, priority area 4B</w:t>
            </w:r>
          </w:p>
        </w:tc>
        <w:tc>
          <w:tcPr>
            <w:tcW w:w="1000" w:type="pct"/>
            <w:tcBorders>
              <w:top w:val="single" w:sz="4" w:space="0" w:color="auto"/>
              <w:left w:val="single" w:sz="4" w:space="0" w:color="auto"/>
              <w:bottom w:val="single" w:sz="4" w:space="0" w:color="auto"/>
              <w:right w:val="single" w:sz="4" w:space="0" w:color="auto"/>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Soil management, priority area 4C</w:t>
            </w:r>
          </w:p>
        </w:tc>
      </w:tr>
      <w:tr w:rsidR="00C21266" w:rsidRPr="005C3B55">
        <w:tc>
          <w:tcPr>
            <w:tcW w:w="2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 xml:space="preserve">8.5 - Support to investments for improving the resistance and value of forest ecosystems </w:t>
            </w:r>
          </w:p>
        </w:tc>
        <w:tc>
          <w:tcPr>
            <w:tcW w:w="7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p>
        </w:tc>
        <w:tc>
          <w:tcPr>
            <w:tcW w:w="7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p>
        </w:tc>
        <w:tc>
          <w:tcPr>
            <w:tcW w:w="7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center"/>
              <w:rPr>
                <w:rFonts w:eastAsia="Calibri"/>
                <w:sz w:val="20"/>
                <w:lang w:eastAsia="en-GB" w:bidi="en-GB"/>
              </w:rPr>
            </w:pPr>
            <w:r w:rsidRPr="005C3B55">
              <w:rPr>
                <w:sz w:val="20"/>
              </w:rPr>
              <w:t xml:space="preserve">  </w:t>
            </w:r>
          </w:p>
        </w:tc>
        <w:tc>
          <w:tcPr>
            <w:tcW w:w="7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center"/>
              <w:rPr>
                <w:rFonts w:eastAsia="Calibri"/>
                <w:sz w:val="20"/>
                <w:lang w:eastAsia="en-GB" w:bidi="en-GB"/>
              </w:rPr>
            </w:pPr>
            <w:r w:rsidRPr="005C3B55">
              <w:rPr>
                <w:sz w:val="20"/>
              </w:rPr>
              <w:t xml:space="preserve">  </w:t>
            </w:r>
          </w:p>
        </w:tc>
        <w:tc>
          <w:tcPr>
            <w:tcW w:w="7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center"/>
              <w:rPr>
                <w:rFonts w:eastAsia="Calibri"/>
                <w:sz w:val="20"/>
                <w:lang w:eastAsia="en-GB" w:bidi="en-GB"/>
              </w:rPr>
            </w:pPr>
            <w:r w:rsidRPr="005C3B55">
              <w:rPr>
                <w:sz w:val="20"/>
              </w:rPr>
              <w:t xml:space="preserve">  </w:t>
            </w:r>
          </w:p>
        </w:tc>
      </w:tr>
    </w:tbl>
    <w:p w:rsidR="00C21266" w:rsidRPr="005C3B55" w:rsidRDefault="00C21266" w:rsidP="00C21266">
      <w:pPr>
        <w:spacing w:after="0"/>
        <w:rPr>
          <w:b/>
        </w:rPr>
        <w:sectPr w:rsidR="00C21266" w:rsidRPr="005C3B55">
          <w:pgSz w:w="15840" w:h="12240" w:orient="landscape"/>
          <w:pgMar w:top="900" w:right="900" w:bottom="900" w:left="900" w:header="708" w:footer="708" w:gutter="0"/>
          <w:cols w:space="708"/>
        </w:sectPr>
      </w:pPr>
    </w:p>
    <w:p w:rsidR="00C21266" w:rsidRPr="005C3B55" w:rsidRDefault="00C21266" w:rsidP="00C21266">
      <w:pPr>
        <w:pStyle w:val="Naslov2"/>
        <w:tabs>
          <w:tab w:val="clear" w:pos="765"/>
        </w:tabs>
        <w:ind w:left="0" w:firstLine="0"/>
        <w:rPr>
          <w:lang w:val="en-GB" w:eastAsia="en-GB" w:bidi="en-GB"/>
        </w:rPr>
      </w:pPr>
      <w:bookmarkStart w:id="173" w:name="_Toc416192631"/>
      <w:r w:rsidRPr="005C3B55">
        <w:rPr>
          <w:lang w:val="en-GB"/>
        </w:rPr>
        <w:t>Objective and impact for individual programmes</w:t>
      </w:r>
      <w:bookmarkEnd w:id="173"/>
    </w:p>
    <w:p w:rsidR="00C21266" w:rsidRPr="005C3B55" w:rsidRDefault="00C21266" w:rsidP="00C21266">
      <w:r w:rsidRPr="005C3B55">
        <w:t>Specific target indicators</w:t>
      </w:r>
    </w:p>
    <w:tbl>
      <w:tblPr>
        <w:tblStyle w:val="Navadnatabela1"/>
        <w:tblW w:w="5000"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79"/>
        <w:gridCol w:w="1095"/>
        <w:gridCol w:w="894"/>
        <w:gridCol w:w="794"/>
        <w:gridCol w:w="594"/>
      </w:tblGrid>
      <w:tr w:rsidR="00C21266" w:rsidRPr="005C3B55">
        <w:tc>
          <w:tcPr>
            <w:tcW w:w="4000" w:type="pct"/>
            <w:tcBorders>
              <w:top w:val="single" w:sz="4" w:space="0" w:color="auto"/>
              <w:left w:val="single" w:sz="4" w:space="0" w:color="auto"/>
              <w:bottom w:val="single" w:sz="4" w:space="0" w:color="auto"/>
              <w:right w:val="single" w:sz="4" w:space="0" w:color="auto"/>
            </w:tcBorders>
            <w:shd w:val="clear" w:color="auto" w:fill="C0C0C0"/>
          </w:tcPr>
          <w:p w:rsidR="00C21266" w:rsidRPr="005C3B55" w:rsidRDefault="00C21266">
            <w:pPr>
              <w:spacing w:after="200"/>
              <w:jc w:val="center"/>
              <w:rPr>
                <w:rFonts w:eastAsia="Calibri"/>
                <w:b/>
                <w:sz w:val="20"/>
                <w:lang w:eastAsia="en-GB" w:bidi="en-GB"/>
              </w:rPr>
            </w:pPr>
            <w:r w:rsidRPr="005C3B55">
              <w:rPr>
                <w:b/>
                <w:sz w:val="20"/>
              </w:rPr>
              <w:t>Designation</w:t>
            </w:r>
          </w:p>
        </w:tc>
        <w:tc>
          <w:tcPr>
            <w:tcW w:w="1000" w:type="pct"/>
            <w:tcBorders>
              <w:top w:val="single" w:sz="4" w:space="0" w:color="auto"/>
              <w:left w:val="single" w:sz="4" w:space="0" w:color="auto"/>
              <w:bottom w:val="single" w:sz="4" w:space="0" w:color="auto"/>
              <w:right w:val="single" w:sz="4" w:space="0" w:color="auto"/>
            </w:tcBorders>
            <w:shd w:val="clear" w:color="auto" w:fill="C0C0C0"/>
          </w:tcPr>
          <w:p w:rsidR="00C21266" w:rsidRPr="005C3B55" w:rsidRDefault="00C21266">
            <w:pPr>
              <w:spacing w:after="200"/>
              <w:jc w:val="center"/>
              <w:rPr>
                <w:rFonts w:eastAsia="Calibri"/>
                <w:b/>
                <w:sz w:val="20"/>
                <w:lang w:eastAsia="en-GB" w:bidi="en-GB"/>
              </w:rPr>
            </w:pPr>
            <w:r w:rsidRPr="005C3B55">
              <w:rPr>
                <w:b/>
                <w:sz w:val="20"/>
              </w:rPr>
              <w:t>Indication of the target indicator</w:t>
            </w:r>
          </w:p>
        </w:tc>
        <w:tc>
          <w:tcPr>
            <w:tcW w:w="1000" w:type="pct"/>
            <w:tcBorders>
              <w:top w:val="single" w:sz="4" w:space="0" w:color="auto"/>
              <w:left w:val="single" w:sz="4" w:space="0" w:color="auto"/>
              <w:bottom w:val="single" w:sz="4" w:space="0" w:color="auto"/>
              <w:right w:val="single" w:sz="4" w:space="0" w:color="auto"/>
            </w:tcBorders>
            <w:shd w:val="clear" w:color="auto" w:fill="C0C0C0"/>
          </w:tcPr>
          <w:p w:rsidR="00C21266" w:rsidRPr="005C3B55" w:rsidRDefault="00C21266">
            <w:pPr>
              <w:spacing w:after="200"/>
              <w:jc w:val="center"/>
              <w:rPr>
                <w:rFonts w:eastAsia="Calibri"/>
                <w:b/>
                <w:sz w:val="20"/>
                <w:lang w:eastAsia="en-GB" w:bidi="en-GB"/>
              </w:rPr>
            </w:pPr>
            <w:r w:rsidRPr="005C3B55">
              <w:rPr>
                <w:b/>
                <w:sz w:val="20"/>
              </w:rPr>
              <w:t>Priority area</w:t>
            </w:r>
          </w:p>
        </w:tc>
        <w:tc>
          <w:tcPr>
            <w:tcW w:w="1000" w:type="pct"/>
            <w:tcBorders>
              <w:top w:val="single" w:sz="4" w:space="0" w:color="auto"/>
              <w:left w:val="single" w:sz="4" w:space="0" w:color="auto"/>
              <w:bottom w:val="single" w:sz="4" w:space="0" w:color="auto"/>
              <w:right w:val="single" w:sz="4" w:space="0" w:color="auto"/>
            </w:tcBorders>
            <w:shd w:val="clear" w:color="auto" w:fill="C0C0C0"/>
          </w:tcPr>
          <w:p w:rsidR="00C21266" w:rsidRPr="005C3B55" w:rsidRDefault="00C21266">
            <w:pPr>
              <w:spacing w:after="200"/>
              <w:jc w:val="center"/>
              <w:rPr>
                <w:rFonts w:eastAsia="Calibri"/>
                <w:b/>
                <w:sz w:val="20"/>
                <w:lang w:eastAsia="en-GB" w:bidi="en-GB"/>
              </w:rPr>
            </w:pPr>
            <w:r w:rsidRPr="005C3B55">
              <w:rPr>
                <w:b/>
                <w:sz w:val="20"/>
              </w:rPr>
              <w:t>Target value for 2023</w:t>
            </w:r>
          </w:p>
        </w:tc>
        <w:tc>
          <w:tcPr>
            <w:tcW w:w="1000" w:type="pct"/>
            <w:tcBorders>
              <w:top w:val="single" w:sz="4" w:space="0" w:color="auto"/>
              <w:left w:val="single" w:sz="4" w:space="0" w:color="auto"/>
              <w:bottom w:val="single" w:sz="4" w:space="0" w:color="auto"/>
              <w:right w:val="single" w:sz="4" w:space="0" w:color="auto"/>
            </w:tcBorders>
            <w:shd w:val="clear" w:color="auto" w:fill="C0C0C0"/>
          </w:tcPr>
          <w:p w:rsidR="00C21266" w:rsidRPr="005C3B55" w:rsidRDefault="00C21266">
            <w:pPr>
              <w:spacing w:after="200"/>
              <w:jc w:val="center"/>
              <w:rPr>
                <w:rFonts w:eastAsia="Calibri"/>
                <w:b/>
                <w:sz w:val="20"/>
                <w:lang w:eastAsia="en-GB" w:bidi="en-GB"/>
              </w:rPr>
            </w:pPr>
            <w:r w:rsidRPr="005C3B55">
              <w:rPr>
                <w:b/>
                <w:sz w:val="20"/>
              </w:rPr>
              <w:t>Unit</w:t>
            </w:r>
          </w:p>
        </w:tc>
      </w:tr>
    </w:tbl>
    <w:p w:rsidR="00C21266" w:rsidRPr="005C3B55" w:rsidRDefault="00C21266" w:rsidP="00C21266">
      <w:pPr>
        <w:rPr>
          <w:rFonts w:eastAsia="Calibri"/>
          <w:szCs w:val="22"/>
          <w:lang w:eastAsia="en-GB" w:bidi="en-GB"/>
        </w:rPr>
      </w:pPr>
      <w:r w:rsidRPr="005C3B55">
        <w:t>Specific impact indicators</w:t>
      </w:r>
    </w:p>
    <w:tbl>
      <w:tblPr>
        <w:tblStyle w:val="Navadnatabela1"/>
        <w:tblW w:w="5000"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09"/>
        <w:gridCol w:w="1095"/>
        <w:gridCol w:w="961"/>
        <w:gridCol w:w="894"/>
        <w:gridCol w:w="856"/>
        <w:gridCol w:w="741"/>
      </w:tblGrid>
      <w:tr w:rsidR="00C21266" w:rsidRPr="005C3B55">
        <w:tc>
          <w:tcPr>
            <w:tcW w:w="4000" w:type="pct"/>
            <w:tcBorders>
              <w:top w:val="single" w:sz="4" w:space="0" w:color="auto"/>
              <w:left w:val="single" w:sz="4" w:space="0" w:color="auto"/>
              <w:bottom w:val="single" w:sz="4" w:space="0" w:color="auto"/>
              <w:right w:val="single" w:sz="4" w:space="0" w:color="auto"/>
            </w:tcBorders>
            <w:shd w:val="clear" w:color="auto" w:fill="C0C0C0"/>
          </w:tcPr>
          <w:p w:rsidR="00C21266" w:rsidRPr="005C3B55" w:rsidRDefault="00C21266">
            <w:pPr>
              <w:spacing w:after="200"/>
              <w:jc w:val="center"/>
              <w:rPr>
                <w:rFonts w:eastAsia="Calibri"/>
                <w:b/>
                <w:sz w:val="20"/>
                <w:lang w:eastAsia="en-GB" w:bidi="en-GB"/>
              </w:rPr>
            </w:pPr>
            <w:r w:rsidRPr="005C3B55">
              <w:rPr>
                <w:b/>
                <w:sz w:val="20"/>
              </w:rPr>
              <w:t>Designation</w:t>
            </w:r>
          </w:p>
        </w:tc>
        <w:tc>
          <w:tcPr>
            <w:tcW w:w="1000" w:type="pct"/>
            <w:tcBorders>
              <w:top w:val="single" w:sz="4" w:space="0" w:color="auto"/>
              <w:left w:val="single" w:sz="4" w:space="0" w:color="auto"/>
              <w:bottom w:val="single" w:sz="4" w:space="0" w:color="auto"/>
              <w:right w:val="single" w:sz="4" w:space="0" w:color="auto"/>
            </w:tcBorders>
            <w:shd w:val="clear" w:color="auto" w:fill="C0C0C0"/>
          </w:tcPr>
          <w:p w:rsidR="00C21266" w:rsidRPr="005C3B55" w:rsidRDefault="00C21266">
            <w:pPr>
              <w:spacing w:after="200"/>
              <w:jc w:val="center"/>
              <w:rPr>
                <w:rFonts w:eastAsia="Calibri"/>
                <w:b/>
                <w:sz w:val="20"/>
                <w:lang w:eastAsia="en-GB" w:bidi="en-GB"/>
              </w:rPr>
            </w:pPr>
            <w:r w:rsidRPr="005C3B55">
              <w:rPr>
                <w:b/>
                <w:sz w:val="20"/>
              </w:rPr>
              <w:t>Indication of the impact indicator</w:t>
            </w:r>
          </w:p>
        </w:tc>
        <w:tc>
          <w:tcPr>
            <w:tcW w:w="1000" w:type="pct"/>
            <w:tcBorders>
              <w:top w:val="single" w:sz="4" w:space="0" w:color="auto"/>
              <w:left w:val="single" w:sz="4" w:space="0" w:color="auto"/>
              <w:bottom w:val="single" w:sz="4" w:space="0" w:color="auto"/>
              <w:right w:val="single" w:sz="4" w:space="0" w:color="auto"/>
            </w:tcBorders>
            <w:shd w:val="clear" w:color="auto" w:fill="C0C0C0"/>
          </w:tcPr>
          <w:p w:rsidR="00C21266" w:rsidRPr="005C3B55" w:rsidRDefault="00C21266">
            <w:pPr>
              <w:spacing w:after="200"/>
              <w:jc w:val="center"/>
              <w:rPr>
                <w:rFonts w:eastAsia="Calibri"/>
                <w:b/>
                <w:sz w:val="20"/>
                <w:lang w:eastAsia="en-GB" w:bidi="en-GB"/>
              </w:rPr>
            </w:pPr>
            <w:r w:rsidRPr="005C3B55">
              <w:rPr>
                <w:b/>
                <w:sz w:val="20"/>
              </w:rPr>
              <w:t>Measure</w:t>
            </w:r>
          </w:p>
        </w:tc>
        <w:tc>
          <w:tcPr>
            <w:tcW w:w="1000" w:type="pct"/>
            <w:tcBorders>
              <w:top w:val="single" w:sz="4" w:space="0" w:color="auto"/>
              <w:left w:val="single" w:sz="4" w:space="0" w:color="auto"/>
              <w:bottom w:val="single" w:sz="4" w:space="0" w:color="auto"/>
              <w:right w:val="single" w:sz="4" w:space="0" w:color="auto"/>
            </w:tcBorders>
            <w:shd w:val="clear" w:color="auto" w:fill="C0C0C0"/>
          </w:tcPr>
          <w:p w:rsidR="00C21266" w:rsidRPr="005C3B55" w:rsidRDefault="00C21266">
            <w:pPr>
              <w:spacing w:after="200"/>
              <w:jc w:val="center"/>
              <w:rPr>
                <w:rFonts w:eastAsia="Calibri"/>
                <w:b/>
                <w:sz w:val="20"/>
                <w:lang w:eastAsia="en-GB" w:bidi="en-GB"/>
              </w:rPr>
            </w:pPr>
            <w:r w:rsidRPr="005C3B55">
              <w:rPr>
                <w:b/>
                <w:sz w:val="20"/>
              </w:rPr>
              <w:t>Priority area</w:t>
            </w:r>
          </w:p>
        </w:tc>
        <w:tc>
          <w:tcPr>
            <w:tcW w:w="1000" w:type="pct"/>
            <w:tcBorders>
              <w:top w:val="single" w:sz="4" w:space="0" w:color="auto"/>
              <w:left w:val="single" w:sz="4" w:space="0" w:color="auto"/>
              <w:bottom w:val="single" w:sz="4" w:space="0" w:color="auto"/>
              <w:right w:val="single" w:sz="4" w:space="0" w:color="auto"/>
            </w:tcBorders>
            <w:shd w:val="clear" w:color="auto" w:fill="C0C0C0"/>
          </w:tcPr>
          <w:p w:rsidR="00C21266" w:rsidRPr="005C3B55" w:rsidRDefault="00C21266">
            <w:pPr>
              <w:spacing w:after="200"/>
              <w:jc w:val="center"/>
              <w:rPr>
                <w:rFonts w:eastAsia="Calibri"/>
                <w:b/>
                <w:sz w:val="20"/>
                <w:lang w:eastAsia="en-GB" w:bidi="en-GB"/>
              </w:rPr>
            </w:pPr>
            <w:r w:rsidRPr="005C3B55">
              <w:rPr>
                <w:b/>
                <w:sz w:val="20"/>
              </w:rPr>
              <w:t>Impact value for 2023</w:t>
            </w:r>
          </w:p>
        </w:tc>
        <w:tc>
          <w:tcPr>
            <w:tcW w:w="1000" w:type="pct"/>
            <w:tcBorders>
              <w:top w:val="single" w:sz="4" w:space="0" w:color="auto"/>
              <w:left w:val="single" w:sz="4" w:space="0" w:color="auto"/>
              <w:bottom w:val="single" w:sz="4" w:space="0" w:color="auto"/>
              <w:right w:val="single" w:sz="4" w:space="0" w:color="auto"/>
            </w:tcBorders>
            <w:shd w:val="clear" w:color="auto" w:fill="C0C0C0"/>
          </w:tcPr>
          <w:p w:rsidR="00C21266" w:rsidRPr="005C3B55" w:rsidRDefault="00C21266">
            <w:pPr>
              <w:spacing w:after="200"/>
              <w:jc w:val="center"/>
              <w:rPr>
                <w:rFonts w:eastAsia="Calibri"/>
                <w:b/>
                <w:sz w:val="20"/>
                <w:lang w:eastAsia="en-GB" w:bidi="en-GB"/>
              </w:rPr>
            </w:pPr>
            <w:r w:rsidRPr="005C3B55">
              <w:rPr>
                <w:b/>
                <w:sz w:val="20"/>
              </w:rPr>
              <w:t>Unit</w:t>
            </w:r>
          </w:p>
        </w:tc>
      </w:tr>
      <w:tr w:rsidR="00C21266" w:rsidRPr="005C3B55">
        <w:tc>
          <w:tcPr>
            <w:tcW w:w="1000" w:type="pct"/>
            <w:tcBorders>
              <w:top w:val="single" w:sz="4" w:space="0" w:color="auto"/>
              <w:left w:val="single" w:sz="4" w:space="0" w:color="auto"/>
              <w:bottom w:val="single" w:sz="4" w:space="0" w:color="auto"/>
              <w:right w:val="single" w:sz="4" w:space="0" w:color="auto"/>
            </w:tcBorders>
            <w:shd w:val="clear" w:color="auto" w:fill="FFFFFF"/>
          </w:tcPr>
          <w:p w:rsidR="00C21266" w:rsidRPr="005C3B55" w:rsidRDefault="00C21266">
            <w:pPr>
              <w:spacing w:before="20" w:after="20"/>
              <w:rPr>
                <w:rFonts w:eastAsia="Calibri"/>
                <w:sz w:val="16"/>
                <w:lang w:eastAsia="en-GB" w:bidi="en-GB"/>
              </w:rPr>
            </w:pPr>
            <w:r w:rsidRPr="005C3B55">
              <w:rPr>
                <w:sz w:val="16"/>
              </w:rPr>
              <w:t>8.4</w:t>
            </w:r>
          </w:p>
        </w:tc>
        <w:tc>
          <w:tcPr>
            <w:tcW w:w="1000" w:type="pct"/>
            <w:tcBorders>
              <w:top w:val="single" w:sz="4" w:space="0" w:color="auto"/>
              <w:left w:val="single" w:sz="4" w:space="0" w:color="auto"/>
              <w:bottom w:val="single" w:sz="4" w:space="0" w:color="auto"/>
              <w:right w:val="single" w:sz="4" w:space="0" w:color="auto"/>
            </w:tcBorders>
            <w:shd w:val="clear" w:color="auto" w:fill="FFFFFF"/>
          </w:tcPr>
          <w:p w:rsidR="00C21266" w:rsidRPr="005C3B55" w:rsidRDefault="00C21266">
            <w:pPr>
              <w:spacing w:before="20" w:after="20"/>
              <w:rPr>
                <w:rFonts w:eastAsia="Calibri"/>
                <w:sz w:val="16"/>
                <w:lang w:eastAsia="en-GB" w:bidi="en-GB"/>
              </w:rPr>
            </w:pPr>
            <w:r w:rsidRPr="005C3B55">
              <w:rPr>
                <w:sz w:val="16"/>
              </w:rPr>
              <w:t>Forest surface where work to eliminate damage and forest renewal is done</w:t>
            </w:r>
          </w:p>
        </w:tc>
        <w:tc>
          <w:tcPr>
            <w:tcW w:w="1000" w:type="pct"/>
            <w:tcBorders>
              <w:top w:val="single" w:sz="4" w:space="0" w:color="auto"/>
              <w:left w:val="single" w:sz="4" w:space="0" w:color="auto"/>
              <w:bottom w:val="single" w:sz="4" w:space="0" w:color="auto"/>
              <w:right w:val="single" w:sz="4" w:space="0" w:color="auto"/>
            </w:tcBorders>
            <w:shd w:val="clear" w:color="auto" w:fill="FFFFFF"/>
          </w:tcPr>
          <w:p w:rsidR="00C21266" w:rsidRPr="005C3B55" w:rsidRDefault="00C21266">
            <w:pPr>
              <w:spacing w:before="20" w:after="20"/>
              <w:rPr>
                <w:rFonts w:eastAsia="Calibri"/>
                <w:sz w:val="16"/>
                <w:lang w:eastAsia="en-GB" w:bidi="en-GB"/>
              </w:rPr>
            </w:pPr>
            <w:r w:rsidRPr="005C3B55">
              <w:rPr>
                <w:sz w:val="16"/>
              </w:rPr>
              <w:t>M08</w:t>
            </w:r>
          </w:p>
        </w:tc>
        <w:tc>
          <w:tcPr>
            <w:tcW w:w="1000" w:type="pct"/>
            <w:tcBorders>
              <w:top w:val="single" w:sz="4" w:space="0" w:color="auto"/>
              <w:left w:val="single" w:sz="4" w:space="0" w:color="auto"/>
              <w:bottom w:val="single" w:sz="4" w:space="0" w:color="auto"/>
              <w:right w:val="single" w:sz="4" w:space="0" w:color="auto"/>
            </w:tcBorders>
            <w:shd w:val="clear" w:color="auto" w:fill="FFFFFF"/>
          </w:tcPr>
          <w:p w:rsidR="00C21266" w:rsidRPr="005C3B55" w:rsidRDefault="00C21266">
            <w:pPr>
              <w:spacing w:before="20" w:after="20"/>
              <w:rPr>
                <w:rFonts w:eastAsia="Calibri"/>
                <w:sz w:val="16"/>
                <w:lang w:eastAsia="en-GB" w:bidi="en-GB"/>
              </w:rPr>
            </w:pPr>
            <w:r w:rsidRPr="005C3B55">
              <w:rPr>
                <w:sz w:val="16"/>
              </w:rPr>
              <w:t>P4</w:t>
            </w:r>
          </w:p>
        </w:tc>
        <w:tc>
          <w:tcPr>
            <w:tcW w:w="1000" w:type="pct"/>
            <w:tcBorders>
              <w:top w:val="single" w:sz="4" w:space="0" w:color="auto"/>
              <w:left w:val="single" w:sz="4" w:space="0" w:color="auto"/>
              <w:bottom w:val="single" w:sz="4" w:space="0" w:color="auto"/>
              <w:right w:val="single" w:sz="4" w:space="0" w:color="auto"/>
            </w:tcBorders>
            <w:shd w:val="clear" w:color="auto" w:fill="FFFFFF"/>
          </w:tcPr>
          <w:p w:rsidR="00C21266" w:rsidRPr="005C3B55" w:rsidRDefault="00C21266">
            <w:pPr>
              <w:spacing w:before="20" w:after="20"/>
              <w:jc w:val="right"/>
              <w:rPr>
                <w:rFonts w:eastAsia="Calibri"/>
                <w:sz w:val="16"/>
                <w:lang w:eastAsia="en-GB" w:bidi="en-GB"/>
              </w:rPr>
            </w:pPr>
            <w:r w:rsidRPr="005C3B55">
              <w:rPr>
                <w:sz w:val="16"/>
              </w:rPr>
              <w:t>13,000.00</w:t>
            </w:r>
          </w:p>
        </w:tc>
        <w:tc>
          <w:tcPr>
            <w:tcW w:w="1000" w:type="pct"/>
            <w:tcBorders>
              <w:top w:val="single" w:sz="4" w:space="0" w:color="auto"/>
              <w:left w:val="single" w:sz="4" w:space="0" w:color="auto"/>
              <w:bottom w:val="single" w:sz="4" w:space="0" w:color="auto"/>
              <w:right w:val="single" w:sz="4" w:space="0" w:color="auto"/>
            </w:tcBorders>
            <w:shd w:val="clear" w:color="auto" w:fill="FFFFFF"/>
          </w:tcPr>
          <w:p w:rsidR="00C21266" w:rsidRPr="005C3B55" w:rsidRDefault="00C21266">
            <w:pPr>
              <w:spacing w:before="20" w:after="20"/>
              <w:rPr>
                <w:rFonts w:eastAsia="Calibri"/>
                <w:sz w:val="16"/>
                <w:lang w:eastAsia="en-GB" w:bidi="en-GB"/>
              </w:rPr>
            </w:pPr>
            <w:r w:rsidRPr="005C3B55">
              <w:rPr>
                <w:sz w:val="16"/>
              </w:rPr>
              <w:t>Ha</w:t>
            </w:r>
          </w:p>
        </w:tc>
      </w:tr>
      <w:tr w:rsidR="00C21266" w:rsidRPr="005C3B55">
        <w:tc>
          <w:tcPr>
            <w:tcW w:w="1000" w:type="pct"/>
            <w:tcBorders>
              <w:top w:val="single" w:sz="4" w:space="0" w:color="auto"/>
              <w:left w:val="single" w:sz="4" w:space="0" w:color="auto"/>
              <w:bottom w:val="single" w:sz="4" w:space="0" w:color="auto"/>
              <w:right w:val="single" w:sz="4" w:space="0" w:color="auto"/>
            </w:tcBorders>
            <w:shd w:val="clear" w:color="auto" w:fill="FFFFFF"/>
          </w:tcPr>
          <w:p w:rsidR="00C21266" w:rsidRPr="005C3B55" w:rsidRDefault="00C21266">
            <w:pPr>
              <w:spacing w:before="20" w:after="20"/>
              <w:rPr>
                <w:rFonts w:eastAsia="Calibri"/>
                <w:sz w:val="16"/>
                <w:lang w:eastAsia="en-GB" w:bidi="en-GB"/>
              </w:rPr>
            </w:pPr>
            <w:r w:rsidRPr="005C3B55">
              <w:rPr>
                <w:sz w:val="16"/>
              </w:rPr>
              <w:t>1.1</w:t>
            </w:r>
          </w:p>
        </w:tc>
        <w:tc>
          <w:tcPr>
            <w:tcW w:w="1000" w:type="pct"/>
            <w:tcBorders>
              <w:top w:val="single" w:sz="4" w:space="0" w:color="auto"/>
              <w:left w:val="single" w:sz="4" w:space="0" w:color="auto"/>
              <w:bottom w:val="single" w:sz="4" w:space="0" w:color="auto"/>
              <w:right w:val="single" w:sz="4" w:space="0" w:color="auto"/>
            </w:tcBorders>
            <w:shd w:val="clear" w:color="auto" w:fill="FFFFFF"/>
          </w:tcPr>
          <w:p w:rsidR="00C21266" w:rsidRPr="005C3B55" w:rsidRDefault="00C21266">
            <w:pPr>
              <w:spacing w:before="20" w:after="20"/>
              <w:rPr>
                <w:rFonts w:eastAsia="Calibri"/>
                <w:sz w:val="16"/>
                <w:lang w:eastAsia="en-GB" w:bidi="en-GB"/>
              </w:rPr>
            </w:pPr>
            <w:r w:rsidRPr="005C3B55">
              <w:rPr>
                <w:sz w:val="16"/>
              </w:rPr>
              <w:t>Number of participants in training on climate change</w:t>
            </w:r>
          </w:p>
        </w:tc>
        <w:tc>
          <w:tcPr>
            <w:tcW w:w="1000" w:type="pct"/>
            <w:tcBorders>
              <w:top w:val="single" w:sz="4" w:space="0" w:color="auto"/>
              <w:left w:val="single" w:sz="4" w:space="0" w:color="auto"/>
              <w:bottom w:val="single" w:sz="4" w:space="0" w:color="auto"/>
              <w:right w:val="single" w:sz="4" w:space="0" w:color="auto"/>
            </w:tcBorders>
            <w:shd w:val="clear" w:color="auto" w:fill="FFFFFF"/>
          </w:tcPr>
          <w:p w:rsidR="00C21266" w:rsidRPr="005C3B55" w:rsidRDefault="00C21266">
            <w:pPr>
              <w:spacing w:before="20" w:after="20"/>
              <w:rPr>
                <w:rFonts w:eastAsia="Calibri"/>
                <w:sz w:val="16"/>
                <w:lang w:eastAsia="en-GB" w:bidi="en-GB"/>
              </w:rPr>
            </w:pPr>
            <w:r w:rsidRPr="005C3B55">
              <w:rPr>
                <w:sz w:val="16"/>
              </w:rPr>
              <w:t>M01</w:t>
            </w:r>
          </w:p>
        </w:tc>
        <w:tc>
          <w:tcPr>
            <w:tcW w:w="1000" w:type="pct"/>
            <w:tcBorders>
              <w:top w:val="single" w:sz="4" w:space="0" w:color="auto"/>
              <w:left w:val="single" w:sz="4" w:space="0" w:color="auto"/>
              <w:bottom w:val="single" w:sz="4" w:space="0" w:color="auto"/>
              <w:right w:val="single" w:sz="4" w:space="0" w:color="auto"/>
            </w:tcBorders>
            <w:shd w:val="clear" w:color="auto" w:fill="FFFFFF"/>
          </w:tcPr>
          <w:p w:rsidR="00C21266" w:rsidRPr="005C3B55" w:rsidRDefault="00C21266">
            <w:pPr>
              <w:spacing w:before="20" w:after="20"/>
              <w:rPr>
                <w:rFonts w:eastAsia="Calibri"/>
                <w:sz w:val="16"/>
                <w:lang w:eastAsia="en-GB" w:bidi="en-GB"/>
              </w:rPr>
            </w:pPr>
            <w:r w:rsidRPr="005C3B55">
              <w:rPr>
                <w:sz w:val="16"/>
              </w:rPr>
              <w:t>P4</w:t>
            </w:r>
          </w:p>
        </w:tc>
        <w:tc>
          <w:tcPr>
            <w:tcW w:w="1000" w:type="pct"/>
            <w:tcBorders>
              <w:top w:val="single" w:sz="4" w:space="0" w:color="auto"/>
              <w:left w:val="single" w:sz="4" w:space="0" w:color="auto"/>
              <w:bottom w:val="single" w:sz="4" w:space="0" w:color="auto"/>
              <w:right w:val="single" w:sz="4" w:space="0" w:color="auto"/>
            </w:tcBorders>
            <w:shd w:val="clear" w:color="auto" w:fill="FFFFFF"/>
          </w:tcPr>
          <w:p w:rsidR="00C21266" w:rsidRPr="005C3B55" w:rsidRDefault="00C21266">
            <w:pPr>
              <w:spacing w:before="20" w:after="20"/>
              <w:jc w:val="right"/>
              <w:rPr>
                <w:rFonts w:eastAsia="Calibri"/>
                <w:sz w:val="16"/>
                <w:lang w:eastAsia="en-GB" w:bidi="en-GB"/>
              </w:rPr>
            </w:pPr>
            <w:r w:rsidRPr="005C3B55">
              <w:rPr>
                <w:sz w:val="16"/>
              </w:rPr>
              <w:t>66,000.00</w:t>
            </w:r>
          </w:p>
        </w:tc>
        <w:tc>
          <w:tcPr>
            <w:tcW w:w="1000" w:type="pct"/>
            <w:tcBorders>
              <w:top w:val="single" w:sz="4" w:space="0" w:color="auto"/>
              <w:left w:val="single" w:sz="4" w:space="0" w:color="auto"/>
              <w:bottom w:val="single" w:sz="4" w:space="0" w:color="auto"/>
              <w:right w:val="single" w:sz="4" w:space="0" w:color="auto"/>
            </w:tcBorders>
            <w:shd w:val="clear" w:color="auto" w:fill="FFFFFF"/>
          </w:tcPr>
          <w:p w:rsidR="00C21266" w:rsidRPr="005C3B55" w:rsidRDefault="00C21266">
            <w:pPr>
              <w:spacing w:before="20" w:after="20"/>
              <w:rPr>
                <w:rFonts w:eastAsia="Calibri"/>
                <w:sz w:val="16"/>
                <w:lang w:eastAsia="en-GB" w:bidi="en-GB"/>
              </w:rPr>
            </w:pPr>
            <w:r w:rsidRPr="005C3B55">
              <w:rPr>
                <w:sz w:val="16"/>
              </w:rPr>
              <w:t>Number</w:t>
            </w:r>
          </w:p>
        </w:tc>
      </w:tr>
      <w:tr w:rsidR="00C21266" w:rsidRPr="005C3B55">
        <w:tc>
          <w:tcPr>
            <w:tcW w:w="1000" w:type="pct"/>
            <w:tcBorders>
              <w:top w:val="single" w:sz="4" w:space="0" w:color="auto"/>
              <w:left w:val="single" w:sz="4" w:space="0" w:color="auto"/>
              <w:bottom w:val="single" w:sz="4" w:space="0" w:color="auto"/>
              <w:right w:val="single" w:sz="4" w:space="0" w:color="auto"/>
            </w:tcBorders>
            <w:shd w:val="clear" w:color="auto" w:fill="FFFFFF"/>
          </w:tcPr>
          <w:p w:rsidR="00C21266" w:rsidRPr="005C3B55" w:rsidRDefault="00C21266">
            <w:pPr>
              <w:spacing w:before="20" w:after="20"/>
              <w:rPr>
                <w:rFonts w:eastAsia="Calibri"/>
                <w:sz w:val="16"/>
                <w:lang w:eastAsia="en-GB" w:bidi="en-GB"/>
              </w:rPr>
            </w:pPr>
            <w:r w:rsidRPr="005C3B55">
              <w:rPr>
                <w:sz w:val="16"/>
              </w:rPr>
              <w:t>2.1</w:t>
            </w:r>
          </w:p>
        </w:tc>
        <w:tc>
          <w:tcPr>
            <w:tcW w:w="1000" w:type="pct"/>
            <w:tcBorders>
              <w:top w:val="single" w:sz="4" w:space="0" w:color="auto"/>
              <w:left w:val="single" w:sz="4" w:space="0" w:color="auto"/>
              <w:bottom w:val="single" w:sz="4" w:space="0" w:color="auto"/>
              <w:right w:val="single" w:sz="4" w:space="0" w:color="auto"/>
            </w:tcBorders>
            <w:shd w:val="clear" w:color="auto" w:fill="FFFFFF"/>
          </w:tcPr>
          <w:p w:rsidR="00C21266" w:rsidRPr="005C3B55" w:rsidRDefault="00C21266">
            <w:pPr>
              <w:spacing w:before="20" w:after="20"/>
              <w:rPr>
                <w:rFonts w:eastAsia="Calibri"/>
                <w:sz w:val="16"/>
                <w:lang w:eastAsia="en-GB" w:bidi="en-GB"/>
              </w:rPr>
            </w:pPr>
            <w:r w:rsidRPr="005C3B55">
              <w:rPr>
                <w:sz w:val="16"/>
              </w:rPr>
              <w:t>Number of beneficiaries receiving advice on climate change</w:t>
            </w:r>
          </w:p>
        </w:tc>
        <w:tc>
          <w:tcPr>
            <w:tcW w:w="1000" w:type="pct"/>
            <w:tcBorders>
              <w:top w:val="single" w:sz="4" w:space="0" w:color="auto"/>
              <w:left w:val="single" w:sz="4" w:space="0" w:color="auto"/>
              <w:bottom w:val="single" w:sz="4" w:space="0" w:color="auto"/>
              <w:right w:val="single" w:sz="4" w:space="0" w:color="auto"/>
            </w:tcBorders>
            <w:shd w:val="clear" w:color="auto" w:fill="FFFFFF"/>
          </w:tcPr>
          <w:p w:rsidR="00C21266" w:rsidRPr="005C3B55" w:rsidRDefault="00C21266">
            <w:pPr>
              <w:spacing w:before="20" w:after="20"/>
              <w:rPr>
                <w:rFonts w:eastAsia="Calibri"/>
                <w:sz w:val="16"/>
                <w:lang w:eastAsia="en-GB" w:bidi="en-GB"/>
              </w:rPr>
            </w:pPr>
            <w:r w:rsidRPr="005C3B55">
              <w:rPr>
                <w:sz w:val="16"/>
              </w:rPr>
              <w:t>M02</w:t>
            </w:r>
          </w:p>
        </w:tc>
        <w:tc>
          <w:tcPr>
            <w:tcW w:w="1000" w:type="pct"/>
            <w:tcBorders>
              <w:top w:val="single" w:sz="4" w:space="0" w:color="auto"/>
              <w:left w:val="single" w:sz="4" w:space="0" w:color="auto"/>
              <w:bottom w:val="single" w:sz="4" w:space="0" w:color="auto"/>
              <w:right w:val="single" w:sz="4" w:space="0" w:color="auto"/>
            </w:tcBorders>
            <w:shd w:val="clear" w:color="auto" w:fill="FFFFFF"/>
          </w:tcPr>
          <w:p w:rsidR="00C21266" w:rsidRPr="005C3B55" w:rsidRDefault="00C21266">
            <w:pPr>
              <w:spacing w:before="20" w:after="20"/>
              <w:rPr>
                <w:rFonts w:eastAsia="Calibri"/>
                <w:sz w:val="16"/>
                <w:lang w:eastAsia="en-GB" w:bidi="en-GB"/>
              </w:rPr>
            </w:pPr>
            <w:r w:rsidRPr="005C3B55">
              <w:rPr>
                <w:sz w:val="16"/>
              </w:rPr>
              <w:t>P4</w:t>
            </w:r>
          </w:p>
        </w:tc>
        <w:tc>
          <w:tcPr>
            <w:tcW w:w="1000" w:type="pct"/>
            <w:tcBorders>
              <w:top w:val="single" w:sz="4" w:space="0" w:color="auto"/>
              <w:left w:val="single" w:sz="4" w:space="0" w:color="auto"/>
              <w:bottom w:val="single" w:sz="4" w:space="0" w:color="auto"/>
              <w:right w:val="single" w:sz="4" w:space="0" w:color="auto"/>
            </w:tcBorders>
            <w:shd w:val="clear" w:color="auto" w:fill="FFFFFF"/>
          </w:tcPr>
          <w:p w:rsidR="00C21266" w:rsidRPr="005C3B55" w:rsidRDefault="00C21266">
            <w:pPr>
              <w:spacing w:before="20" w:after="20"/>
              <w:jc w:val="right"/>
              <w:rPr>
                <w:rFonts w:eastAsia="Calibri"/>
                <w:sz w:val="16"/>
                <w:lang w:eastAsia="en-GB" w:bidi="en-GB"/>
              </w:rPr>
            </w:pPr>
            <w:r w:rsidRPr="005C3B55">
              <w:rPr>
                <w:sz w:val="16"/>
              </w:rPr>
              <w:t>16,000.00</w:t>
            </w:r>
          </w:p>
        </w:tc>
        <w:tc>
          <w:tcPr>
            <w:tcW w:w="1000" w:type="pct"/>
            <w:tcBorders>
              <w:top w:val="single" w:sz="4" w:space="0" w:color="auto"/>
              <w:left w:val="single" w:sz="4" w:space="0" w:color="auto"/>
              <w:bottom w:val="single" w:sz="4" w:space="0" w:color="auto"/>
              <w:right w:val="single" w:sz="4" w:space="0" w:color="auto"/>
            </w:tcBorders>
            <w:shd w:val="clear" w:color="auto" w:fill="FFFFFF"/>
          </w:tcPr>
          <w:p w:rsidR="00C21266" w:rsidRPr="005C3B55" w:rsidRDefault="00C21266">
            <w:pPr>
              <w:spacing w:before="20" w:after="20"/>
              <w:rPr>
                <w:rFonts w:eastAsia="Calibri"/>
                <w:sz w:val="16"/>
                <w:lang w:eastAsia="en-GB" w:bidi="en-GB"/>
              </w:rPr>
            </w:pPr>
            <w:r w:rsidRPr="005C3B55">
              <w:rPr>
                <w:sz w:val="16"/>
              </w:rPr>
              <w:t>Number</w:t>
            </w:r>
          </w:p>
        </w:tc>
      </w:tr>
    </w:tbl>
    <w:p w:rsidR="00C21266" w:rsidRPr="005C3B55" w:rsidRDefault="00C21266" w:rsidP="00C21266">
      <w:pPr>
        <w:spacing w:after="0"/>
        <w:sectPr w:rsidR="00C21266" w:rsidRPr="005C3B55">
          <w:pgSz w:w="12240" w:h="15840"/>
          <w:pgMar w:top="900" w:right="900" w:bottom="900" w:left="900" w:header="708" w:footer="708" w:gutter="0"/>
          <w:cols w:space="708"/>
        </w:sectPr>
      </w:pPr>
    </w:p>
    <w:p w:rsidR="00C21266" w:rsidRPr="005C3B55" w:rsidRDefault="00C21266" w:rsidP="00C21266">
      <w:pPr>
        <w:pStyle w:val="Naslov1"/>
        <w:rPr>
          <w:lang w:val="en-GB" w:eastAsia="en-GB" w:bidi="en-GB"/>
        </w:rPr>
      </w:pPr>
      <w:bookmarkStart w:id="174" w:name="_Toc416192632"/>
      <w:r w:rsidRPr="005C3B55">
        <w:rPr>
          <w:lang w:val="en-GB"/>
        </w:rPr>
        <w:t>Additional national financing</w:t>
      </w:r>
      <w:bookmarkEnd w:id="174"/>
    </w:p>
    <w:p w:rsidR="00C21266" w:rsidRPr="005C3B55" w:rsidRDefault="00C21266" w:rsidP="00C21266">
      <w:r w:rsidRPr="005C3B55">
        <w:t>For measures and operations which apply to Article 42 of the Treaty, table on additional national financing for individual measures as per Article 82 of Regulation (EU) No 1305/2013 and the provision of compliance with criteria of the Regulation on rural development.</w:t>
      </w:r>
    </w:p>
    <w:tbl>
      <w:tblPr>
        <w:tblStyle w:val="Navadnatabela1"/>
        <w:tblW w:w="5000"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25"/>
        <w:gridCol w:w="2131"/>
      </w:tblGrid>
      <w:tr w:rsidR="00C21266" w:rsidRPr="005C3B55">
        <w:tc>
          <w:tcPr>
            <w:tcW w:w="4000" w:type="pct"/>
            <w:tcBorders>
              <w:top w:val="single" w:sz="4" w:space="0" w:color="auto"/>
              <w:left w:val="single" w:sz="4" w:space="0" w:color="auto"/>
              <w:bottom w:val="single" w:sz="4" w:space="0" w:color="auto"/>
              <w:right w:val="single" w:sz="4" w:space="0" w:color="auto"/>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16"/>
                <w:lang w:eastAsia="en-GB" w:bidi="en-GB"/>
              </w:rPr>
            </w:pPr>
            <w:r w:rsidRPr="005C3B55">
              <w:rPr>
                <w:b/>
                <w:sz w:val="16"/>
              </w:rPr>
              <w:t>Measure</w:t>
            </w:r>
          </w:p>
        </w:tc>
        <w:tc>
          <w:tcPr>
            <w:tcW w:w="1000" w:type="pct"/>
            <w:tcBorders>
              <w:top w:val="single" w:sz="4" w:space="0" w:color="auto"/>
              <w:left w:val="single" w:sz="4" w:space="0" w:color="auto"/>
              <w:bottom w:val="single" w:sz="4" w:space="0" w:color="auto"/>
              <w:right w:val="single" w:sz="4" w:space="0" w:color="auto"/>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16"/>
                <w:lang w:eastAsia="en-GB" w:bidi="en-GB"/>
              </w:rPr>
            </w:pPr>
            <w:r w:rsidRPr="005C3B55">
              <w:rPr>
                <w:b/>
                <w:sz w:val="16"/>
              </w:rPr>
              <w:t>Additional national financing in the 2014-2020 period (EUR)</w:t>
            </w:r>
          </w:p>
        </w:tc>
      </w:tr>
      <w:tr w:rsidR="00C21266" w:rsidRPr="005C3B55">
        <w:tc>
          <w:tcPr>
            <w:tcW w:w="4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M01 – Knowledge transfer and information actions (Article 14)</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0.00</w:t>
            </w:r>
          </w:p>
        </w:tc>
      </w:tr>
      <w:tr w:rsidR="00C21266" w:rsidRPr="005C3B55">
        <w:tc>
          <w:tcPr>
            <w:tcW w:w="4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M02 – Advisory services, farm management and farm relief services (Article 15)</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0.00</w:t>
            </w:r>
          </w:p>
        </w:tc>
      </w:tr>
      <w:tr w:rsidR="00C21266" w:rsidRPr="005C3B55">
        <w:tc>
          <w:tcPr>
            <w:tcW w:w="4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M03 – Quality schemes for agricultural products and foodstuffs (Article 16)</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0.00</w:t>
            </w:r>
          </w:p>
        </w:tc>
      </w:tr>
      <w:tr w:rsidR="00C21266" w:rsidRPr="005C3B55">
        <w:tc>
          <w:tcPr>
            <w:tcW w:w="4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M04 - Investments in physical assets (Article 17)</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0.00</w:t>
            </w:r>
          </w:p>
        </w:tc>
      </w:tr>
      <w:tr w:rsidR="00C21266" w:rsidRPr="005C3B55">
        <w:tc>
          <w:tcPr>
            <w:tcW w:w="4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M06 – Farm and business development (Article 19)</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0.00</w:t>
            </w:r>
          </w:p>
        </w:tc>
      </w:tr>
      <w:tr w:rsidR="00C21266" w:rsidRPr="005C3B55">
        <w:tc>
          <w:tcPr>
            <w:tcW w:w="4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M07 – Basic services and village renewal in rural areas (Article 20)</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0.00</w:t>
            </w:r>
          </w:p>
        </w:tc>
      </w:tr>
      <w:tr w:rsidR="00C21266" w:rsidRPr="005C3B55">
        <w:tc>
          <w:tcPr>
            <w:tcW w:w="4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M08 – Investments in forest area development and improvement of the viability of forests (Articles 21-26)</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0.00</w:t>
            </w:r>
          </w:p>
        </w:tc>
      </w:tr>
      <w:tr w:rsidR="00C21266" w:rsidRPr="005C3B55">
        <w:tc>
          <w:tcPr>
            <w:tcW w:w="4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M09 – Setting-up of producer groups and organisations (Article 27)</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0.00</w:t>
            </w:r>
          </w:p>
        </w:tc>
      </w:tr>
      <w:tr w:rsidR="00C21266" w:rsidRPr="005C3B55">
        <w:tc>
          <w:tcPr>
            <w:tcW w:w="4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M10 – Agri-environment-climate payments (Article 28)</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0.00</w:t>
            </w:r>
          </w:p>
        </w:tc>
      </w:tr>
      <w:tr w:rsidR="00C21266" w:rsidRPr="005C3B55">
        <w:tc>
          <w:tcPr>
            <w:tcW w:w="4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M11 – Organic farming (Article 29)</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0.00</w:t>
            </w:r>
          </w:p>
        </w:tc>
      </w:tr>
      <w:tr w:rsidR="00C21266" w:rsidRPr="005C3B55">
        <w:tc>
          <w:tcPr>
            <w:tcW w:w="4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M13 – Payments to areas facing natural or other specific constraints (Article 31)</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0.00</w:t>
            </w:r>
          </w:p>
        </w:tc>
      </w:tr>
      <w:tr w:rsidR="00C21266" w:rsidRPr="005C3B55">
        <w:tc>
          <w:tcPr>
            <w:tcW w:w="4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M14 – Animal welfare (Article 33)</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0.00</w:t>
            </w:r>
          </w:p>
        </w:tc>
      </w:tr>
      <w:tr w:rsidR="00C21266" w:rsidRPr="005C3B55">
        <w:tc>
          <w:tcPr>
            <w:tcW w:w="4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M16 – Cooperation (Article 35)</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0.00</w:t>
            </w:r>
          </w:p>
        </w:tc>
      </w:tr>
      <w:tr w:rsidR="00C21266" w:rsidRPr="005C3B55">
        <w:tc>
          <w:tcPr>
            <w:tcW w:w="4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M19 – Support for LEADER local development (CLLD – community-led local development) (Article 35 of Regulation (EU) No 1303/2013)</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0.00</w:t>
            </w:r>
          </w:p>
        </w:tc>
      </w:tr>
      <w:tr w:rsidR="00C21266" w:rsidRPr="005C3B55">
        <w:tc>
          <w:tcPr>
            <w:tcW w:w="4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M20 – Technical assistance on the initiative of Member States (Articles 51–54)</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0.00</w:t>
            </w:r>
          </w:p>
        </w:tc>
      </w:tr>
      <w:tr w:rsidR="00C21266" w:rsidRPr="005C3B55">
        <w:tc>
          <w:tcPr>
            <w:tcW w:w="4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M113 – Early retirement</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0.00</w:t>
            </w:r>
          </w:p>
        </w:tc>
      </w:tr>
      <w:tr w:rsidR="00C21266" w:rsidRPr="005C3B55">
        <w:tc>
          <w:tcPr>
            <w:tcW w:w="4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M131 – Meeting the standards based on the Community law</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0.00</w:t>
            </w:r>
          </w:p>
        </w:tc>
      </w:tr>
      <w:tr w:rsidR="00C21266" w:rsidRPr="005C3B55">
        <w:tc>
          <w:tcPr>
            <w:tcW w:w="4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M341 – Acquisition of expert knowledge, animation and implementation</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0.00</w:t>
            </w:r>
          </w:p>
        </w:tc>
      </w:tr>
      <w:tr w:rsidR="00C21266" w:rsidRPr="005C3B55">
        <w:tc>
          <w:tcPr>
            <w:tcW w:w="4000" w:type="pct"/>
            <w:tcBorders>
              <w:top w:val="single" w:sz="4" w:space="0" w:color="auto"/>
              <w:left w:val="single" w:sz="4" w:space="0" w:color="auto"/>
              <w:bottom w:val="single" w:sz="4" w:space="0" w:color="auto"/>
              <w:right w:val="single" w:sz="4" w:space="0" w:color="auto"/>
            </w:tcBorders>
            <w:shd w:val="clear" w:color="auto" w:fill="C0C0C0"/>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Total</w:t>
            </w:r>
          </w:p>
        </w:tc>
        <w:tc>
          <w:tcPr>
            <w:tcW w:w="1000" w:type="pct"/>
            <w:tcBorders>
              <w:top w:val="single" w:sz="4" w:space="0" w:color="auto"/>
              <w:left w:val="single" w:sz="4" w:space="0" w:color="auto"/>
              <w:bottom w:val="single" w:sz="4" w:space="0" w:color="auto"/>
              <w:right w:val="single" w:sz="4" w:space="0" w:color="auto"/>
            </w:tcBorders>
            <w:shd w:val="clear" w:color="auto" w:fill="C0C0C0"/>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0.00</w:t>
            </w:r>
          </w:p>
        </w:tc>
      </w:tr>
    </w:tbl>
    <w:p w:rsidR="00C21266" w:rsidRPr="005C3B55" w:rsidRDefault="00C21266" w:rsidP="00C21266">
      <w:pPr>
        <w:pStyle w:val="Naslov2"/>
        <w:tabs>
          <w:tab w:val="clear" w:pos="765"/>
        </w:tabs>
        <w:ind w:left="0" w:firstLine="0"/>
        <w:rPr>
          <w:lang w:val="en-GB" w:eastAsia="en-GB" w:bidi="en-GB"/>
        </w:rPr>
      </w:pPr>
      <w:bookmarkStart w:id="175" w:name="_Toc416192633"/>
      <w:r w:rsidRPr="005C3B55">
        <w:rPr>
          <w:lang w:val="en-GB"/>
        </w:rPr>
        <w:t>M01 – Knowledge transfer and information actions (Article 14)</w:t>
      </w:r>
      <w:bookmarkEnd w:id="175"/>
    </w:p>
    <w:p w:rsidR="00C21266" w:rsidRPr="005C3B55" w:rsidRDefault="00C21266" w:rsidP="00C21266">
      <w:pPr>
        <w:rPr>
          <w:b/>
        </w:rPr>
      </w:pPr>
      <w:r w:rsidRPr="005C3B55">
        <w:rPr>
          <w:b/>
        </w:rPr>
        <w:t>Provision of activity compliance with criteria of Regulation (EU) No 1305/2013</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1000" w:type="pct"/>
            <w:tcBorders>
              <w:top w:val="single" w:sz="8" w:space="0" w:color="000000"/>
              <w:left w:val="single" w:sz="8" w:space="0" w:color="000000"/>
              <w:bottom w:val="single" w:sz="8" w:space="0" w:color="000000"/>
              <w:right w:val="single" w:sz="8" w:space="0" w:color="000000"/>
            </w:tcBorders>
            <w:tcMar>
              <w:top w:w="60" w:type="dxa"/>
              <w:left w:w="108" w:type="dxa"/>
              <w:bottom w:w="120" w:type="dxa"/>
              <w:right w:w="108" w:type="dxa"/>
            </w:tcMar>
          </w:tcPr>
          <w:p w:rsidR="00C21266" w:rsidRPr="005C3B55" w:rsidRDefault="00C21266">
            <w:pPr>
              <w:spacing w:after="240"/>
              <w:rPr>
                <w:rFonts w:eastAsia="Calibri"/>
                <w:szCs w:val="24"/>
              </w:rPr>
            </w:pPr>
            <w:r w:rsidRPr="005C3B55">
              <w:t>Additional national financing is not anticipated.</w:t>
            </w:r>
          </w:p>
          <w:p w:rsidR="00C21266" w:rsidRPr="005C3B55" w:rsidRDefault="00C21266">
            <w:pPr>
              <w:pStyle w:val="Telobesedila"/>
              <w:rPr>
                <w:b/>
                <w:lang w:eastAsia="en-GB" w:bidi="en-GB"/>
              </w:rPr>
            </w:pPr>
          </w:p>
        </w:tc>
      </w:tr>
    </w:tbl>
    <w:p w:rsidR="00C21266" w:rsidRPr="005C3B55" w:rsidRDefault="00C21266" w:rsidP="00C21266">
      <w:pPr>
        <w:pStyle w:val="Naslov2"/>
        <w:tabs>
          <w:tab w:val="clear" w:pos="765"/>
        </w:tabs>
        <w:ind w:left="0" w:firstLine="0"/>
        <w:rPr>
          <w:lang w:val="en-GB" w:eastAsia="en-GB" w:bidi="en-GB"/>
        </w:rPr>
      </w:pPr>
      <w:bookmarkStart w:id="176" w:name="_Toc416192634"/>
      <w:r w:rsidRPr="005C3B55">
        <w:rPr>
          <w:lang w:val="en-GB"/>
        </w:rPr>
        <w:t>M02 – Advisory services, farm management and farm relief services (Article 15)</w:t>
      </w:r>
      <w:bookmarkEnd w:id="176"/>
    </w:p>
    <w:p w:rsidR="00C21266" w:rsidRPr="005C3B55" w:rsidRDefault="00C21266" w:rsidP="00C21266">
      <w:pPr>
        <w:rPr>
          <w:b/>
        </w:rPr>
      </w:pPr>
      <w:r w:rsidRPr="005C3B55">
        <w:rPr>
          <w:b/>
        </w:rPr>
        <w:t>Provision of activity compliance with criteria of Regulation (EU) No 1305/2013</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1000" w:type="pct"/>
            <w:tcBorders>
              <w:top w:val="single" w:sz="8" w:space="0" w:color="000000"/>
              <w:left w:val="single" w:sz="8" w:space="0" w:color="000000"/>
              <w:bottom w:val="single" w:sz="8" w:space="0" w:color="000000"/>
              <w:right w:val="single" w:sz="8" w:space="0" w:color="000000"/>
            </w:tcBorders>
            <w:tcMar>
              <w:top w:w="60" w:type="dxa"/>
              <w:left w:w="108" w:type="dxa"/>
              <w:bottom w:w="120" w:type="dxa"/>
              <w:right w:w="108" w:type="dxa"/>
            </w:tcMar>
          </w:tcPr>
          <w:p w:rsidR="00C21266" w:rsidRPr="005C3B55" w:rsidRDefault="00C21266">
            <w:pPr>
              <w:spacing w:after="240"/>
              <w:rPr>
                <w:rFonts w:eastAsia="Calibri"/>
                <w:szCs w:val="24"/>
              </w:rPr>
            </w:pPr>
            <w:r w:rsidRPr="005C3B55">
              <w:t>Additional national financing is not anticipated.</w:t>
            </w:r>
          </w:p>
          <w:p w:rsidR="00C21266" w:rsidRPr="005C3B55" w:rsidRDefault="00C21266">
            <w:pPr>
              <w:pStyle w:val="Telobesedila"/>
              <w:rPr>
                <w:b/>
                <w:lang w:eastAsia="en-GB" w:bidi="en-GB"/>
              </w:rPr>
            </w:pPr>
          </w:p>
        </w:tc>
      </w:tr>
    </w:tbl>
    <w:p w:rsidR="00C21266" w:rsidRPr="005C3B55" w:rsidRDefault="00C21266" w:rsidP="00C21266">
      <w:pPr>
        <w:pStyle w:val="Naslov2"/>
        <w:tabs>
          <w:tab w:val="clear" w:pos="765"/>
        </w:tabs>
        <w:ind w:left="0" w:firstLine="0"/>
        <w:rPr>
          <w:lang w:val="en-GB" w:eastAsia="en-GB" w:bidi="en-GB"/>
        </w:rPr>
      </w:pPr>
      <w:bookmarkStart w:id="177" w:name="_Toc416192635"/>
      <w:r w:rsidRPr="005C3B55">
        <w:rPr>
          <w:lang w:val="en-GB"/>
        </w:rPr>
        <w:t>M03 – Quality schemes for agricultural products and foodstuffs (Article 16)</w:t>
      </w:r>
      <w:bookmarkEnd w:id="177"/>
    </w:p>
    <w:p w:rsidR="00C21266" w:rsidRPr="005C3B55" w:rsidRDefault="00C21266" w:rsidP="00C21266">
      <w:pPr>
        <w:rPr>
          <w:b/>
        </w:rPr>
      </w:pPr>
      <w:r w:rsidRPr="005C3B55">
        <w:rPr>
          <w:b/>
        </w:rPr>
        <w:t>Provision of activity compliance with criteria of Regulation (EU) No 1305/2013</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1000" w:type="pct"/>
            <w:tcBorders>
              <w:top w:val="single" w:sz="8" w:space="0" w:color="000000"/>
              <w:left w:val="single" w:sz="8" w:space="0" w:color="000000"/>
              <w:bottom w:val="single" w:sz="8" w:space="0" w:color="000000"/>
              <w:right w:val="single" w:sz="8" w:space="0" w:color="000000"/>
            </w:tcBorders>
            <w:tcMar>
              <w:top w:w="60" w:type="dxa"/>
              <w:left w:w="108" w:type="dxa"/>
              <w:bottom w:w="120" w:type="dxa"/>
              <w:right w:w="108" w:type="dxa"/>
            </w:tcMar>
          </w:tcPr>
          <w:p w:rsidR="00C21266" w:rsidRPr="005C3B55" w:rsidRDefault="00C21266">
            <w:pPr>
              <w:spacing w:after="240"/>
              <w:rPr>
                <w:rFonts w:eastAsia="Calibri"/>
                <w:szCs w:val="24"/>
              </w:rPr>
            </w:pPr>
            <w:r w:rsidRPr="005C3B55">
              <w:t>Additional national financing is not anticipated.</w:t>
            </w:r>
          </w:p>
          <w:p w:rsidR="00C21266" w:rsidRPr="005C3B55" w:rsidRDefault="00C21266">
            <w:pPr>
              <w:pStyle w:val="Telobesedila"/>
              <w:rPr>
                <w:b/>
                <w:lang w:eastAsia="en-GB" w:bidi="en-GB"/>
              </w:rPr>
            </w:pPr>
          </w:p>
        </w:tc>
      </w:tr>
    </w:tbl>
    <w:p w:rsidR="00C21266" w:rsidRPr="005C3B55" w:rsidRDefault="00C21266" w:rsidP="00C21266">
      <w:pPr>
        <w:pStyle w:val="Naslov2"/>
        <w:tabs>
          <w:tab w:val="clear" w:pos="765"/>
        </w:tabs>
        <w:ind w:left="0" w:firstLine="0"/>
        <w:rPr>
          <w:lang w:val="en-GB" w:eastAsia="en-GB" w:bidi="en-GB"/>
        </w:rPr>
      </w:pPr>
      <w:bookmarkStart w:id="178" w:name="_Toc416192636"/>
      <w:r w:rsidRPr="005C3B55">
        <w:rPr>
          <w:lang w:val="en-GB"/>
        </w:rPr>
        <w:t>M04 - Investments in physical assets (Article 17)</w:t>
      </w:r>
      <w:bookmarkEnd w:id="178"/>
    </w:p>
    <w:p w:rsidR="00C21266" w:rsidRPr="005C3B55" w:rsidRDefault="00C21266" w:rsidP="00C21266">
      <w:pPr>
        <w:rPr>
          <w:b/>
        </w:rPr>
      </w:pPr>
      <w:r w:rsidRPr="005C3B55">
        <w:rPr>
          <w:b/>
        </w:rPr>
        <w:t>Provision of activity compliance with criteria of Regulation (EU) No 1305/2013</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1000" w:type="pct"/>
            <w:tcBorders>
              <w:top w:val="single" w:sz="8" w:space="0" w:color="000000"/>
              <w:left w:val="single" w:sz="8" w:space="0" w:color="000000"/>
              <w:bottom w:val="single" w:sz="8" w:space="0" w:color="000000"/>
              <w:right w:val="single" w:sz="8" w:space="0" w:color="000000"/>
            </w:tcBorders>
            <w:tcMar>
              <w:top w:w="60" w:type="dxa"/>
              <w:left w:w="108" w:type="dxa"/>
              <w:bottom w:w="120" w:type="dxa"/>
              <w:right w:w="108" w:type="dxa"/>
            </w:tcMar>
          </w:tcPr>
          <w:p w:rsidR="00C21266" w:rsidRPr="005C3B55" w:rsidRDefault="00C21266">
            <w:pPr>
              <w:spacing w:after="240"/>
              <w:rPr>
                <w:rFonts w:eastAsia="Calibri"/>
                <w:szCs w:val="24"/>
              </w:rPr>
            </w:pPr>
            <w:r w:rsidRPr="005C3B55">
              <w:t>Additional national financing is not anticipated.</w:t>
            </w:r>
          </w:p>
          <w:p w:rsidR="00C21266" w:rsidRPr="005C3B55" w:rsidRDefault="00C21266">
            <w:pPr>
              <w:pStyle w:val="Telobesedila"/>
              <w:rPr>
                <w:b/>
                <w:lang w:eastAsia="en-GB" w:bidi="en-GB"/>
              </w:rPr>
            </w:pPr>
          </w:p>
        </w:tc>
      </w:tr>
    </w:tbl>
    <w:p w:rsidR="00C21266" w:rsidRPr="005C3B55" w:rsidRDefault="00C21266" w:rsidP="00C21266">
      <w:pPr>
        <w:pStyle w:val="Naslov2"/>
        <w:tabs>
          <w:tab w:val="clear" w:pos="765"/>
        </w:tabs>
        <w:ind w:left="0" w:firstLine="0"/>
        <w:rPr>
          <w:lang w:val="en-GB" w:eastAsia="en-GB" w:bidi="en-GB"/>
        </w:rPr>
      </w:pPr>
      <w:bookmarkStart w:id="179" w:name="_Toc416192637"/>
      <w:r w:rsidRPr="005C3B55">
        <w:rPr>
          <w:lang w:val="en-GB"/>
        </w:rPr>
        <w:t>M06 – Farm and business development (Article 19)</w:t>
      </w:r>
      <w:bookmarkEnd w:id="179"/>
    </w:p>
    <w:p w:rsidR="00C21266" w:rsidRPr="005C3B55" w:rsidRDefault="00C21266" w:rsidP="00C21266">
      <w:pPr>
        <w:rPr>
          <w:b/>
        </w:rPr>
      </w:pPr>
      <w:r w:rsidRPr="005C3B55">
        <w:rPr>
          <w:b/>
        </w:rPr>
        <w:t>Provision of activity compliance with criteria of Regulation (EU) No 1305/2013</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1000" w:type="pct"/>
            <w:tcBorders>
              <w:top w:val="single" w:sz="8" w:space="0" w:color="000000"/>
              <w:left w:val="single" w:sz="8" w:space="0" w:color="000000"/>
              <w:bottom w:val="single" w:sz="8" w:space="0" w:color="000000"/>
              <w:right w:val="single" w:sz="8" w:space="0" w:color="000000"/>
            </w:tcBorders>
            <w:tcMar>
              <w:top w:w="60" w:type="dxa"/>
              <w:left w:w="108" w:type="dxa"/>
              <w:bottom w:w="120" w:type="dxa"/>
              <w:right w:w="108" w:type="dxa"/>
            </w:tcMar>
          </w:tcPr>
          <w:p w:rsidR="00C21266" w:rsidRPr="005C3B55" w:rsidRDefault="00C21266">
            <w:pPr>
              <w:spacing w:after="240"/>
              <w:rPr>
                <w:rFonts w:eastAsia="Calibri"/>
                <w:szCs w:val="24"/>
              </w:rPr>
            </w:pPr>
            <w:r w:rsidRPr="005C3B55">
              <w:t>Additional national financing is not anticipated.</w:t>
            </w:r>
          </w:p>
          <w:p w:rsidR="00C21266" w:rsidRPr="005C3B55" w:rsidRDefault="00C21266">
            <w:pPr>
              <w:pStyle w:val="Telobesedila"/>
              <w:rPr>
                <w:b/>
                <w:lang w:eastAsia="en-GB" w:bidi="en-GB"/>
              </w:rPr>
            </w:pPr>
          </w:p>
        </w:tc>
      </w:tr>
    </w:tbl>
    <w:p w:rsidR="00C21266" w:rsidRPr="005C3B55" w:rsidRDefault="00C21266" w:rsidP="00C21266">
      <w:pPr>
        <w:pStyle w:val="Naslov2"/>
        <w:tabs>
          <w:tab w:val="clear" w:pos="765"/>
        </w:tabs>
        <w:ind w:left="0" w:firstLine="0"/>
        <w:rPr>
          <w:lang w:val="en-GB" w:eastAsia="en-GB" w:bidi="en-GB"/>
        </w:rPr>
      </w:pPr>
      <w:bookmarkStart w:id="180" w:name="_Toc416192638"/>
      <w:r w:rsidRPr="005C3B55">
        <w:rPr>
          <w:lang w:val="en-GB"/>
        </w:rPr>
        <w:t>M07 – Basic services and village renewal in rural areas (Article 20)</w:t>
      </w:r>
      <w:bookmarkEnd w:id="180"/>
    </w:p>
    <w:p w:rsidR="00C21266" w:rsidRPr="005C3B55" w:rsidRDefault="00C21266" w:rsidP="00C21266">
      <w:pPr>
        <w:rPr>
          <w:b/>
        </w:rPr>
      </w:pPr>
      <w:r w:rsidRPr="005C3B55">
        <w:rPr>
          <w:b/>
        </w:rPr>
        <w:t>Provision of activity compliance with criteria of Regulation (EU) No 1305/2013</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1000" w:type="pct"/>
            <w:tcBorders>
              <w:top w:val="single" w:sz="8" w:space="0" w:color="000000"/>
              <w:left w:val="single" w:sz="8" w:space="0" w:color="000000"/>
              <w:bottom w:val="single" w:sz="8" w:space="0" w:color="000000"/>
              <w:right w:val="single" w:sz="8" w:space="0" w:color="000000"/>
            </w:tcBorders>
            <w:tcMar>
              <w:top w:w="60" w:type="dxa"/>
              <w:left w:w="108" w:type="dxa"/>
              <w:bottom w:w="120" w:type="dxa"/>
              <w:right w:w="108" w:type="dxa"/>
            </w:tcMar>
          </w:tcPr>
          <w:p w:rsidR="00C21266" w:rsidRPr="005C3B55" w:rsidRDefault="00C21266">
            <w:pPr>
              <w:spacing w:after="240"/>
              <w:rPr>
                <w:rFonts w:eastAsia="Calibri"/>
                <w:szCs w:val="24"/>
              </w:rPr>
            </w:pPr>
            <w:r w:rsidRPr="005C3B55">
              <w:t>Additional national financing is not anticipated.</w:t>
            </w:r>
          </w:p>
          <w:p w:rsidR="00C21266" w:rsidRPr="005C3B55" w:rsidRDefault="00C21266">
            <w:pPr>
              <w:pStyle w:val="Telobesedila"/>
              <w:rPr>
                <w:b/>
                <w:lang w:eastAsia="en-GB" w:bidi="en-GB"/>
              </w:rPr>
            </w:pPr>
          </w:p>
        </w:tc>
      </w:tr>
    </w:tbl>
    <w:p w:rsidR="00C21266" w:rsidRPr="005C3B55" w:rsidRDefault="00C21266" w:rsidP="00C21266">
      <w:pPr>
        <w:pStyle w:val="Naslov2"/>
        <w:tabs>
          <w:tab w:val="clear" w:pos="765"/>
        </w:tabs>
        <w:ind w:left="0" w:firstLine="0"/>
        <w:rPr>
          <w:lang w:val="en-GB" w:eastAsia="en-GB" w:bidi="en-GB"/>
        </w:rPr>
      </w:pPr>
      <w:bookmarkStart w:id="181" w:name="_Toc416192639"/>
      <w:r w:rsidRPr="005C3B55">
        <w:rPr>
          <w:lang w:val="en-GB"/>
        </w:rPr>
        <w:t>M08 – Investments in forest area development and improvement of the viability of forests (Articles 21-26)</w:t>
      </w:r>
      <w:bookmarkEnd w:id="181"/>
    </w:p>
    <w:p w:rsidR="00C21266" w:rsidRPr="005C3B55" w:rsidRDefault="00C21266" w:rsidP="00C21266">
      <w:pPr>
        <w:rPr>
          <w:b/>
        </w:rPr>
      </w:pPr>
      <w:r w:rsidRPr="005C3B55">
        <w:rPr>
          <w:b/>
        </w:rPr>
        <w:t>Provision of activity compliance with criteria of Regulation (EU) No 1305/2013</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1000" w:type="pct"/>
            <w:tcBorders>
              <w:top w:val="single" w:sz="8" w:space="0" w:color="000000"/>
              <w:left w:val="single" w:sz="8" w:space="0" w:color="000000"/>
              <w:bottom w:val="single" w:sz="8" w:space="0" w:color="000000"/>
              <w:right w:val="single" w:sz="8" w:space="0" w:color="000000"/>
            </w:tcBorders>
            <w:tcMar>
              <w:top w:w="60" w:type="dxa"/>
              <w:left w:w="108" w:type="dxa"/>
              <w:bottom w:w="120" w:type="dxa"/>
              <w:right w:w="108" w:type="dxa"/>
            </w:tcMar>
          </w:tcPr>
          <w:p w:rsidR="00C21266" w:rsidRPr="005C3B55" w:rsidRDefault="00C21266">
            <w:pPr>
              <w:spacing w:after="240"/>
              <w:rPr>
                <w:rFonts w:eastAsia="Calibri"/>
                <w:szCs w:val="24"/>
              </w:rPr>
            </w:pPr>
            <w:r w:rsidRPr="005C3B55">
              <w:t>Additional national financing is not anticipated.</w:t>
            </w:r>
          </w:p>
          <w:p w:rsidR="00C21266" w:rsidRPr="005C3B55" w:rsidRDefault="00C21266">
            <w:pPr>
              <w:pStyle w:val="Telobesedila"/>
              <w:rPr>
                <w:b/>
                <w:lang w:eastAsia="en-GB" w:bidi="en-GB"/>
              </w:rPr>
            </w:pPr>
          </w:p>
        </w:tc>
      </w:tr>
    </w:tbl>
    <w:p w:rsidR="00C21266" w:rsidRPr="005C3B55" w:rsidRDefault="00C21266" w:rsidP="00C21266">
      <w:pPr>
        <w:pStyle w:val="Naslov2"/>
        <w:tabs>
          <w:tab w:val="clear" w:pos="765"/>
        </w:tabs>
        <w:ind w:left="0" w:firstLine="0"/>
        <w:rPr>
          <w:lang w:val="en-GB" w:eastAsia="en-GB" w:bidi="en-GB"/>
        </w:rPr>
      </w:pPr>
      <w:bookmarkStart w:id="182" w:name="_Toc416192640"/>
      <w:r w:rsidRPr="005C3B55">
        <w:rPr>
          <w:lang w:val="en-GB"/>
        </w:rPr>
        <w:t>M09 – Setting-up of producer groups and organisations (Article 27)</w:t>
      </w:r>
      <w:bookmarkEnd w:id="182"/>
    </w:p>
    <w:p w:rsidR="00C21266" w:rsidRPr="005C3B55" w:rsidRDefault="00C21266" w:rsidP="00C21266">
      <w:pPr>
        <w:rPr>
          <w:b/>
        </w:rPr>
      </w:pPr>
      <w:r w:rsidRPr="005C3B55">
        <w:rPr>
          <w:b/>
        </w:rPr>
        <w:t>Provision of activity compliance with criteria of Regulation (EU) No 1305/2013</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1000" w:type="pct"/>
            <w:tcBorders>
              <w:top w:val="single" w:sz="8" w:space="0" w:color="000000"/>
              <w:left w:val="single" w:sz="8" w:space="0" w:color="000000"/>
              <w:bottom w:val="single" w:sz="8" w:space="0" w:color="000000"/>
              <w:right w:val="single" w:sz="8" w:space="0" w:color="000000"/>
            </w:tcBorders>
            <w:tcMar>
              <w:top w:w="60" w:type="dxa"/>
              <w:left w:w="108" w:type="dxa"/>
              <w:bottom w:w="120" w:type="dxa"/>
              <w:right w:w="108" w:type="dxa"/>
            </w:tcMar>
          </w:tcPr>
          <w:p w:rsidR="00C21266" w:rsidRPr="005C3B55" w:rsidRDefault="00C21266">
            <w:pPr>
              <w:spacing w:after="240"/>
              <w:rPr>
                <w:rFonts w:eastAsia="Calibri"/>
                <w:szCs w:val="24"/>
              </w:rPr>
            </w:pPr>
            <w:r w:rsidRPr="005C3B55">
              <w:t>Additional national financing is not anticipated.</w:t>
            </w:r>
          </w:p>
          <w:p w:rsidR="00C21266" w:rsidRPr="005C3B55" w:rsidRDefault="00C21266">
            <w:pPr>
              <w:pStyle w:val="Telobesedila"/>
              <w:rPr>
                <w:b/>
                <w:lang w:eastAsia="en-GB" w:bidi="en-GB"/>
              </w:rPr>
            </w:pPr>
          </w:p>
        </w:tc>
      </w:tr>
    </w:tbl>
    <w:p w:rsidR="00C21266" w:rsidRPr="005C3B55" w:rsidRDefault="00C21266" w:rsidP="00C21266">
      <w:pPr>
        <w:pStyle w:val="Naslov2"/>
        <w:tabs>
          <w:tab w:val="clear" w:pos="765"/>
        </w:tabs>
        <w:ind w:left="0" w:firstLine="0"/>
        <w:rPr>
          <w:lang w:val="en-GB" w:eastAsia="en-GB" w:bidi="en-GB"/>
        </w:rPr>
      </w:pPr>
      <w:bookmarkStart w:id="183" w:name="_Toc416192641"/>
      <w:r w:rsidRPr="005C3B55">
        <w:rPr>
          <w:lang w:val="en-GB"/>
        </w:rPr>
        <w:t>M10 – Agri-environment-climate payments (Article 28)</w:t>
      </w:r>
      <w:bookmarkEnd w:id="183"/>
    </w:p>
    <w:p w:rsidR="00C21266" w:rsidRPr="005C3B55" w:rsidRDefault="00C21266" w:rsidP="00C21266">
      <w:pPr>
        <w:rPr>
          <w:b/>
        </w:rPr>
      </w:pPr>
      <w:r w:rsidRPr="005C3B55">
        <w:rPr>
          <w:b/>
        </w:rPr>
        <w:t>Provision of activity compliance with criteria of Regulation (EU) No 1305/2013</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1000" w:type="pct"/>
            <w:tcBorders>
              <w:top w:val="single" w:sz="8" w:space="0" w:color="000000"/>
              <w:left w:val="single" w:sz="8" w:space="0" w:color="000000"/>
              <w:bottom w:val="single" w:sz="8" w:space="0" w:color="000000"/>
              <w:right w:val="single" w:sz="8" w:space="0" w:color="000000"/>
            </w:tcBorders>
            <w:tcMar>
              <w:top w:w="60" w:type="dxa"/>
              <w:left w:w="108" w:type="dxa"/>
              <w:bottom w:w="120" w:type="dxa"/>
              <w:right w:w="108" w:type="dxa"/>
            </w:tcMar>
          </w:tcPr>
          <w:p w:rsidR="00C21266" w:rsidRPr="005C3B55" w:rsidRDefault="00C21266">
            <w:pPr>
              <w:spacing w:after="240"/>
              <w:rPr>
                <w:rFonts w:eastAsia="Calibri"/>
                <w:szCs w:val="24"/>
              </w:rPr>
            </w:pPr>
            <w:r w:rsidRPr="005C3B55">
              <w:t>Additional national financing is not anticipated.</w:t>
            </w:r>
          </w:p>
          <w:p w:rsidR="00C21266" w:rsidRPr="005C3B55" w:rsidRDefault="00C21266">
            <w:pPr>
              <w:pStyle w:val="Telobesedila"/>
              <w:rPr>
                <w:b/>
                <w:lang w:eastAsia="en-GB" w:bidi="en-GB"/>
              </w:rPr>
            </w:pPr>
          </w:p>
        </w:tc>
      </w:tr>
    </w:tbl>
    <w:p w:rsidR="00C21266" w:rsidRPr="005C3B55" w:rsidRDefault="00C21266" w:rsidP="00C21266">
      <w:pPr>
        <w:pStyle w:val="Naslov2"/>
        <w:tabs>
          <w:tab w:val="clear" w:pos="765"/>
        </w:tabs>
        <w:ind w:left="0" w:firstLine="0"/>
        <w:rPr>
          <w:lang w:val="en-GB" w:eastAsia="en-GB" w:bidi="en-GB"/>
        </w:rPr>
      </w:pPr>
      <w:bookmarkStart w:id="184" w:name="_Toc416192642"/>
      <w:r w:rsidRPr="005C3B55">
        <w:rPr>
          <w:lang w:val="en-GB"/>
        </w:rPr>
        <w:t>M11 – Organic farming (Article 29)</w:t>
      </w:r>
      <w:bookmarkEnd w:id="184"/>
    </w:p>
    <w:p w:rsidR="00C21266" w:rsidRPr="005C3B55" w:rsidRDefault="00C21266" w:rsidP="00C21266">
      <w:pPr>
        <w:rPr>
          <w:b/>
        </w:rPr>
      </w:pPr>
      <w:r w:rsidRPr="005C3B55">
        <w:rPr>
          <w:b/>
        </w:rPr>
        <w:t>Provision of activity compliance with criteria of Regulation (EU) No 1305/2013</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1000" w:type="pct"/>
            <w:tcBorders>
              <w:top w:val="single" w:sz="8" w:space="0" w:color="000000"/>
              <w:left w:val="single" w:sz="8" w:space="0" w:color="000000"/>
              <w:bottom w:val="single" w:sz="8" w:space="0" w:color="000000"/>
              <w:right w:val="single" w:sz="8" w:space="0" w:color="000000"/>
            </w:tcBorders>
            <w:tcMar>
              <w:top w:w="60" w:type="dxa"/>
              <w:left w:w="108" w:type="dxa"/>
              <w:bottom w:w="120" w:type="dxa"/>
              <w:right w:w="108" w:type="dxa"/>
            </w:tcMar>
          </w:tcPr>
          <w:p w:rsidR="00C21266" w:rsidRPr="005C3B55" w:rsidRDefault="00C21266">
            <w:pPr>
              <w:spacing w:after="240"/>
              <w:rPr>
                <w:rFonts w:eastAsia="Calibri"/>
                <w:szCs w:val="24"/>
              </w:rPr>
            </w:pPr>
            <w:r w:rsidRPr="005C3B55">
              <w:t>Additional national financing is not anticipated.</w:t>
            </w:r>
          </w:p>
          <w:p w:rsidR="00C21266" w:rsidRPr="005C3B55" w:rsidRDefault="00C21266">
            <w:pPr>
              <w:pStyle w:val="Telobesedila"/>
              <w:rPr>
                <w:b/>
                <w:lang w:eastAsia="en-GB" w:bidi="en-GB"/>
              </w:rPr>
            </w:pPr>
          </w:p>
        </w:tc>
      </w:tr>
    </w:tbl>
    <w:p w:rsidR="00C21266" w:rsidRPr="005C3B55" w:rsidRDefault="00C21266" w:rsidP="00C21266">
      <w:pPr>
        <w:pStyle w:val="Naslov2"/>
        <w:tabs>
          <w:tab w:val="clear" w:pos="765"/>
        </w:tabs>
        <w:ind w:left="0" w:firstLine="0"/>
        <w:rPr>
          <w:lang w:val="en-GB" w:eastAsia="en-GB" w:bidi="en-GB"/>
        </w:rPr>
      </w:pPr>
      <w:bookmarkStart w:id="185" w:name="_Toc416192643"/>
      <w:r w:rsidRPr="005C3B55">
        <w:rPr>
          <w:lang w:val="en-GB"/>
        </w:rPr>
        <w:t>M113 – Early retirement</w:t>
      </w:r>
      <w:bookmarkEnd w:id="185"/>
    </w:p>
    <w:p w:rsidR="00C21266" w:rsidRPr="005C3B55" w:rsidRDefault="00C21266" w:rsidP="00C21266">
      <w:pPr>
        <w:rPr>
          <w:b/>
        </w:rPr>
      </w:pPr>
      <w:r w:rsidRPr="005C3B55">
        <w:rPr>
          <w:b/>
        </w:rPr>
        <w:t>Provision of activity compliance with criteria of Regulation (EU) No 1305/2013</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1000" w:type="pct"/>
            <w:tcBorders>
              <w:top w:val="single" w:sz="8" w:space="0" w:color="000000"/>
              <w:left w:val="single" w:sz="8" w:space="0" w:color="000000"/>
              <w:bottom w:val="single" w:sz="8" w:space="0" w:color="000000"/>
              <w:right w:val="single" w:sz="8" w:space="0" w:color="000000"/>
            </w:tcBorders>
            <w:tcMar>
              <w:top w:w="60" w:type="dxa"/>
              <w:left w:w="108" w:type="dxa"/>
              <w:bottom w:w="120" w:type="dxa"/>
              <w:right w:w="108" w:type="dxa"/>
            </w:tcMar>
          </w:tcPr>
          <w:p w:rsidR="00C21266" w:rsidRPr="005C3B55" w:rsidRDefault="00C21266">
            <w:pPr>
              <w:spacing w:after="240"/>
              <w:rPr>
                <w:rFonts w:eastAsia="Calibri"/>
                <w:szCs w:val="24"/>
              </w:rPr>
            </w:pPr>
            <w:r w:rsidRPr="005C3B55">
              <w:t>Additional national financing is not anticipated.</w:t>
            </w:r>
          </w:p>
          <w:p w:rsidR="00C21266" w:rsidRPr="005C3B55" w:rsidRDefault="00C21266">
            <w:pPr>
              <w:pStyle w:val="Telobesedila"/>
              <w:rPr>
                <w:b/>
                <w:lang w:eastAsia="en-GB" w:bidi="en-GB"/>
              </w:rPr>
            </w:pPr>
          </w:p>
        </w:tc>
      </w:tr>
    </w:tbl>
    <w:p w:rsidR="00C21266" w:rsidRPr="005C3B55" w:rsidRDefault="00C21266" w:rsidP="00C21266">
      <w:pPr>
        <w:pStyle w:val="Naslov2"/>
        <w:tabs>
          <w:tab w:val="clear" w:pos="765"/>
        </w:tabs>
        <w:ind w:left="0" w:firstLine="0"/>
        <w:rPr>
          <w:lang w:val="en-GB" w:eastAsia="en-GB" w:bidi="en-GB"/>
        </w:rPr>
      </w:pPr>
      <w:bookmarkStart w:id="186" w:name="_Toc416192644"/>
      <w:r w:rsidRPr="005C3B55">
        <w:rPr>
          <w:lang w:val="en-GB"/>
        </w:rPr>
        <w:t>M13 – Payments to areas facing natural or other specific constraints (Article 31)</w:t>
      </w:r>
      <w:bookmarkEnd w:id="186"/>
    </w:p>
    <w:p w:rsidR="00C21266" w:rsidRPr="005C3B55" w:rsidRDefault="00C21266" w:rsidP="00C21266">
      <w:pPr>
        <w:rPr>
          <w:b/>
        </w:rPr>
      </w:pPr>
      <w:r w:rsidRPr="005C3B55">
        <w:rPr>
          <w:b/>
        </w:rPr>
        <w:t>Provision of activity compliance with criteria of Regulation (EU) No 1305/2013</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1000" w:type="pct"/>
            <w:tcBorders>
              <w:top w:val="single" w:sz="8" w:space="0" w:color="000000"/>
              <w:left w:val="single" w:sz="8" w:space="0" w:color="000000"/>
              <w:bottom w:val="single" w:sz="8" w:space="0" w:color="000000"/>
              <w:right w:val="single" w:sz="8" w:space="0" w:color="000000"/>
            </w:tcBorders>
            <w:tcMar>
              <w:top w:w="60" w:type="dxa"/>
              <w:left w:w="108" w:type="dxa"/>
              <w:bottom w:w="120" w:type="dxa"/>
              <w:right w:w="108" w:type="dxa"/>
            </w:tcMar>
          </w:tcPr>
          <w:p w:rsidR="00C21266" w:rsidRPr="005C3B55" w:rsidRDefault="00C21266">
            <w:pPr>
              <w:spacing w:after="240"/>
              <w:rPr>
                <w:rFonts w:eastAsia="Calibri"/>
                <w:szCs w:val="24"/>
              </w:rPr>
            </w:pPr>
            <w:r w:rsidRPr="005C3B55">
              <w:t>Additional national financing is not anticipated.</w:t>
            </w:r>
          </w:p>
          <w:p w:rsidR="00C21266" w:rsidRPr="005C3B55" w:rsidRDefault="00C21266">
            <w:pPr>
              <w:pStyle w:val="Telobesedila"/>
              <w:rPr>
                <w:b/>
                <w:lang w:eastAsia="en-GB" w:bidi="en-GB"/>
              </w:rPr>
            </w:pPr>
          </w:p>
        </w:tc>
      </w:tr>
    </w:tbl>
    <w:p w:rsidR="00C21266" w:rsidRPr="005C3B55" w:rsidRDefault="00C21266" w:rsidP="00C21266">
      <w:pPr>
        <w:pStyle w:val="Naslov2"/>
        <w:tabs>
          <w:tab w:val="clear" w:pos="765"/>
        </w:tabs>
        <w:ind w:left="0" w:firstLine="0"/>
        <w:rPr>
          <w:lang w:val="en-GB" w:eastAsia="en-GB" w:bidi="en-GB"/>
        </w:rPr>
      </w:pPr>
      <w:bookmarkStart w:id="187" w:name="_Toc416192645"/>
      <w:r w:rsidRPr="005C3B55">
        <w:rPr>
          <w:lang w:val="en-GB"/>
        </w:rPr>
        <w:t>M131 – Meeting the standards based on the Community law</w:t>
      </w:r>
      <w:bookmarkEnd w:id="187"/>
    </w:p>
    <w:p w:rsidR="00C21266" w:rsidRPr="005C3B55" w:rsidRDefault="00C21266" w:rsidP="00C21266">
      <w:pPr>
        <w:rPr>
          <w:b/>
        </w:rPr>
      </w:pPr>
      <w:r w:rsidRPr="005C3B55">
        <w:rPr>
          <w:b/>
        </w:rPr>
        <w:t>Provision of activity compliance with criteria of Regulation (EU) No 1305/2013</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1000" w:type="pct"/>
            <w:tcBorders>
              <w:top w:val="single" w:sz="8" w:space="0" w:color="000000"/>
              <w:left w:val="single" w:sz="8" w:space="0" w:color="000000"/>
              <w:bottom w:val="single" w:sz="8" w:space="0" w:color="000000"/>
              <w:right w:val="single" w:sz="8" w:space="0" w:color="000000"/>
            </w:tcBorders>
            <w:tcMar>
              <w:top w:w="60" w:type="dxa"/>
              <w:left w:w="108" w:type="dxa"/>
              <w:bottom w:w="120" w:type="dxa"/>
              <w:right w:w="108" w:type="dxa"/>
            </w:tcMar>
          </w:tcPr>
          <w:p w:rsidR="00C21266" w:rsidRPr="005C3B55" w:rsidRDefault="00C21266">
            <w:pPr>
              <w:spacing w:after="240"/>
              <w:rPr>
                <w:rFonts w:eastAsia="Calibri"/>
                <w:szCs w:val="24"/>
              </w:rPr>
            </w:pPr>
            <w:r w:rsidRPr="005C3B55">
              <w:t>The measure is not being implemented.</w:t>
            </w:r>
          </w:p>
          <w:p w:rsidR="00C21266" w:rsidRPr="005C3B55" w:rsidRDefault="00C21266">
            <w:pPr>
              <w:pStyle w:val="Telobesedila"/>
              <w:rPr>
                <w:b/>
                <w:lang w:eastAsia="en-GB" w:bidi="en-GB"/>
              </w:rPr>
            </w:pPr>
          </w:p>
        </w:tc>
      </w:tr>
    </w:tbl>
    <w:p w:rsidR="00C21266" w:rsidRPr="005C3B55" w:rsidRDefault="00C21266" w:rsidP="00C21266">
      <w:pPr>
        <w:pStyle w:val="Naslov2"/>
        <w:tabs>
          <w:tab w:val="clear" w:pos="765"/>
        </w:tabs>
        <w:ind w:left="0" w:firstLine="0"/>
        <w:rPr>
          <w:lang w:val="en-GB" w:eastAsia="en-GB" w:bidi="en-GB"/>
        </w:rPr>
      </w:pPr>
      <w:bookmarkStart w:id="188" w:name="_Toc416192646"/>
      <w:r w:rsidRPr="005C3B55">
        <w:rPr>
          <w:lang w:val="en-GB"/>
        </w:rPr>
        <w:t>M14 – Animal welfare (Article 33)</w:t>
      </w:r>
      <w:bookmarkEnd w:id="188"/>
    </w:p>
    <w:p w:rsidR="00C21266" w:rsidRPr="005C3B55" w:rsidRDefault="00C21266" w:rsidP="00C21266">
      <w:pPr>
        <w:rPr>
          <w:b/>
        </w:rPr>
      </w:pPr>
      <w:r w:rsidRPr="005C3B55">
        <w:rPr>
          <w:b/>
        </w:rPr>
        <w:t>Provision of activity compliance with criteria of Regulation (EU) No 1305/2013</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1000" w:type="pct"/>
            <w:tcBorders>
              <w:top w:val="single" w:sz="8" w:space="0" w:color="000000"/>
              <w:left w:val="single" w:sz="8" w:space="0" w:color="000000"/>
              <w:bottom w:val="single" w:sz="8" w:space="0" w:color="000000"/>
              <w:right w:val="single" w:sz="8" w:space="0" w:color="000000"/>
            </w:tcBorders>
            <w:tcMar>
              <w:top w:w="60" w:type="dxa"/>
              <w:left w:w="108" w:type="dxa"/>
              <w:bottom w:w="120" w:type="dxa"/>
              <w:right w:w="108" w:type="dxa"/>
            </w:tcMar>
          </w:tcPr>
          <w:p w:rsidR="00C21266" w:rsidRPr="005C3B55" w:rsidRDefault="00C21266">
            <w:pPr>
              <w:spacing w:after="240"/>
              <w:rPr>
                <w:rFonts w:eastAsia="Calibri"/>
                <w:szCs w:val="24"/>
              </w:rPr>
            </w:pPr>
            <w:r w:rsidRPr="005C3B55">
              <w:t>Additional national financing is not anticipated.</w:t>
            </w:r>
          </w:p>
          <w:p w:rsidR="00C21266" w:rsidRPr="005C3B55" w:rsidRDefault="00C21266">
            <w:pPr>
              <w:pStyle w:val="Telobesedila"/>
              <w:rPr>
                <w:b/>
                <w:lang w:eastAsia="en-GB" w:bidi="en-GB"/>
              </w:rPr>
            </w:pPr>
          </w:p>
        </w:tc>
      </w:tr>
    </w:tbl>
    <w:p w:rsidR="00C21266" w:rsidRPr="005C3B55" w:rsidRDefault="00C21266" w:rsidP="00C21266">
      <w:pPr>
        <w:pStyle w:val="Naslov2"/>
        <w:tabs>
          <w:tab w:val="clear" w:pos="765"/>
        </w:tabs>
        <w:ind w:left="0" w:firstLine="0"/>
        <w:rPr>
          <w:lang w:val="en-GB" w:eastAsia="en-GB" w:bidi="en-GB"/>
        </w:rPr>
      </w:pPr>
      <w:bookmarkStart w:id="189" w:name="_Toc416192647"/>
      <w:r w:rsidRPr="005C3B55">
        <w:rPr>
          <w:lang w:val="en-GB"/>
        </w:rPr>
        <w:t>M16 – Cooperation (Article 35)</w:t>
      </w:r>
      <w:bookmarkEnd w:id="189"/>
    </w:p>
    <w:p w:rsidR="00C21266" w:rsidRPr="005C3B55" w:rsidRDefault="00C21266" w:rsidP="00C21266">
      <w:pPr>
        <w:rPr>
          <w:b/>
        </w:rPr>
      </w:pPr>
      <w:r w:rsidRPr="005C3B55">
        <w:rPr>
          <w:b/>
        </w:rPr>
        <w:t>Provision of activity compliance with criteria of Regulation (EU) No 1305/2013</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1000" w:type="pct"/>
            <w:tcBorders>
              <w:top w:val="single" w:sz="8" w:space="0" w:color="000000"/>
              <w:left w:val="single" w:sz="8" w:space="0" w:color="000000"/>
              <w:bottom w:val="single" w:sz="8" w:space="0" w:color="000000"/>
              <w:right w:val="single" w:sz="8" w:space="0" w:color="000000"/>
            </w:tcBorders>
            <w:tcMar>
              <w:top w:w="60" w:type="dxa"/>
              <w:left w:w="108" w:type="dxa"/>
              <w:bottom w:w="120" w:type="dxa"/>
              <w:right w:w="108" w:type="dxa"/>
            </w:tcMar>
          </w:tcPr>
          <w:p w:rsidR="00C21266" w:rsidRPr="005C3B55" w:rsidRDefault="00C21266">
            <w:pPr>
              <w:spacing w:after="240"/>
              <w:rPr>
                <w:rFonts w:eastAsia="Calibri"/>
                <w:szCs w:val="24"/>
              </w:rPr>
            </w:pPr>
            <w:r w:rsidRPr="005C3B55">
              <w:t>Additional national financing is not anticipated.</w:t>
            </w:r>
          </w:p>
          <w:p w:rsidR="00C21266" w:rsidRPr="005C3B55" w:rsidRDefault="00C21266">
            <w:pPr>
              <w:pStyle w:val="Telobesedila"/>
              <w:rPr>
                <w:b/>
                <w:lang w:eastAsia="en-GB" w:bidi="en-GB"/>
              </w:rPr>
            </w:pPr>
          </w:p>
        </w:tc>
      </w:tr>
    </w:tbl>
    <w:p w:rsidR="00C21266" w:rsidRPr="005C3B55" w:rsidRDefault="00C21266" w:rsidP="00C21266">
      <w:pPr>
        <w:pStyle w:val="Naslov2"/>
        <w:tabs>
          <w:tab w:val="clear" w:pos="765"/>
        </w:tabs>
        <w:ind w:left="0" w:firstLine="0"/>
        <w:rPr>
          <w:lang w:val="en-GB" w:eastAsia="en-GB" w:bidi="en-GB"/>
        </w:rPr>
      </w:pPr>
      <w:bookmarkStart w:id="190" w:name="_Toc416192648"/>
      <w:r w:rsidRPr="005C3B55">
        <w:rPr>
          <w:lang w:val="en-GB"/>
        </w:rPr>
        <w:t>M19 – Support for LEADER local development (CLLD – community-led local development) (Article 35 of Regulation (EU) No 1303/2013)</w:t>
      </w:r>
      <w:bookmarkEnd w:id="190"/>
    </w:p>
    <w:p w:rsidR="00C21266" w:rsidRPr="005C3B55" w:rsidRDefault="00C21266" w:rsidP="00C21266">
      <w:pPr>
        <w:rPr>
          <w:b/>
        </w:rPr>
      </w:pPr>
      <w:r w:rsidRPr="005C3B55">
        <w:rPr>
          <w:b/>
        </w:rPr>
        <w:t>Provision of activity compliance with criteria of Regulation (EU) No 1305/2013</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1000" w:type="pct"/>
            <w:tcBorders>
              <w:top w:val="single" w:sz="8" w:space="0" w:color="000000"/>
              <w:left w:val="single" w:sz="8" w:space="0" w:color="000000"/>
              <w:bottom w:val="single" w:sz="8" w:space="0" w:color="000000"/>
              <w:right w:val="single" w:sz="8" w:space="0" w:color="000000"/>
            </w:tcBorders>
            <w:tcMar>
              <w:top w:w="60" w:type="dxa"/>
              <w:left w:w="108" w:type="dxa"/>
              <w:bottom w:w="120" w:type="dxa"/>
              <w:right w:w="108" w:type="dxa"/>
            </w:tcMar>
          </w:tcPr>
          <w:p w:rsidR="00C21266" w:rsidRPr="005C3B55" w:rsidRDefault="00C21266">
            <w:pPr>
              <w:spacing w:after="240"/>
              <w:rPr>
                <w:rFonts w:eastAsia="Calibri"/>
                <w:szCs w:val="24"/>
              </w:rPr>
            </w:pPr>
            <w:r w:rsidRPr="005C3B55">
              <w:t>Additional national financing is not anticipated.</w:t>
            </w:r>
          </w:p>
          <w:p w:rsidR="00C21266" w:rsidRPr="005C3B55" w:rsidRDefault="00C21266">
            <w:pPr>
              <w:pStyle w:val="Telobesedila"/>
              <w:rPr>
                <w:b/>
                <w:lang w:eastAsia="en-GB" w:bidi="en-GB"/>
              </w:rPr>
            </w:pPr>
          </w:p>
        </w:tc>
      </w:tr>
    </w:tbl>
    <w:p w:rsidR="00C21266" w:rsidRPr="005C3B55" w:rsidRDefault="00C21266" w:rsidP="00C21266">
      <w:pPr>
        <w:pStyle w:val="Naslov2"/>
        <w:tabs>
          <w:tab w:val="clear" w:pos="765"/>
        </w:tabs>
        <w:ind w:left="0" w:firstLine="0"/>
        <w:rPr>
          <w:lang w:val="en-GB" w:eastAsia="en-GB" w:bidi="en-GB"/>
        </w:rPr>
      </w:pPr>
      <w:bookmarkStart w:id="191" w:name="_Toc416192649"/>
      <w:r w:rsidRPr="005C3B55">
        <w:rPr>
          <w:lang w:val="en-GB"/>
        </w:rPr>
        <w:t>M20 – Technical assistance on the initiative of Member States (Articles 51–54)</w:t>
      </w:r>
      <w:bookmarkEnd w:id="191"/>
    </w:p>
    <w:p w:rsidR="00C21266" w:rsidRPr="005C3B55" w:rsidRDefault="00C21266" w:rsidP="00C21266">
      <w:pPr>
        <w:rPr>
          <w:b/>
        </w:rPr>
      </w:pPr>
      <w:r w:rsidRPr="005C3B55">
        <w:rPr>
          <w:b/>
        </w:rPr>
        <w:t>Provision of activity compliance with criteria of Regulation (EU) No 1305/2013</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1000" w:type="pct"/>
            <w:tcBorders>
              <w:top w:val="single" w:sz="8" w:space="0" w:color="000000"/>
              <w:left w:val="single" w:sz="8" w:space="0" w:color="000000"/>
              <w:bottom w:val="single" w:sz="8" w:space="0" w:color="000000"/>
              <w:right w:val="single" w:sz="8" w:space="0" w:color="000000"/>
            </w:tcBorders>
            <w:tcMar>
              <w:top w:w="60" w:type="dxa"/>
              <w:left w:w="108" w:type="dxa"/>
              <w:bottom w:w="120" w:type="dxa"/>
              <w:right w:w="108" w:type="dxa"/>
            </w:tcMar>
          </w:tcPr>
          <w:p w:rsidR="00C21266" w:rsidRPr="005C3B55" w:rsidRDefault="00C21266">
            <w:pPr>
              <w:spacing w:after="240"/>
              <w:rPr>
                <w:rFonts w:eastAsia="Calibri"/>
                <w:szCs w:val="24"/>
              </w:rPr>
            </w:pPr>
            <w:r w:rsidRPr="005C3B55">
              <w:t>Additional national financing is not anticipated.</w:t>
            </w:r>
          </w:p>
          <w:p w:rsidR="00C21266" w:rsidRPr="005C3B55" w:rsidRDefault="00C21266">
            <w:pPr>
              <w:pStyle w:val="Telobesedila"/>
              <w:rPr>
                <w:b/>
                <w:lang w:eastAsia="en-GB" w:bidi="en-GB"/>
              </w:rPr>
            </w:pPr>
          </w:p>
        </w:tc>
      </w:tr>
    </w:tbl>
    <w:p w:rsidR="00C21266" w:rsidRPr="005C3B55" w:rsidRDefault="00C21266" w:rsidP="00C21266">
      <w:pPr>
        <w:spacing w:after="0"/>
        <w:rPr>
          <w:b/>
        </w:rPr>
        <w:sectPr w:rsidR="00C21266" w:rsidRPr="005C3B55">
          <w:pgSz w:w="12240" w:h="15840"/>
          <w:pgMar w:top="900" w:right="900" w:bottom="900" w:left="900" w:header="708" w:footer="708" w:gutter="0"/>
          <w:cols w:space="708"/>
        </w:sectPr>
      </w:pPr>
    </w:p>
    <w:p w:rsidR="00C21266" w:rsidRPr="005C3B55" w:rsidRDefault="00C21266" w:rsidP="00C21266">
      <w:pPr>
        <w:pStyle w:val="Naslov1"/>
        <w:rPr>
          <w:lang w:val="en-GB" w:eastAsia="en-GB" w:bidi="en-GB"/>
        </w:rPr>
      </w:pPr>
      <w:bookmarkStart w:id="192" w:name="_Toc416192650"/>
      <w:r w:rsidRPr="005C3B55">
        <w:rPr>
          <w:lang w:val="en-GB"/>
        </w:rPr>
        <w:t>Elements required for the assessment of state aid</w:t>
      </w:r>
      <w:bookmarkEnd w:id="192"/>
    </w:p>
    <w:p w:rsidR="00C21266" w:rsidRPr="005C3B55" w:rsidRDefault="00C21266" w:rsidP="00C21266">
      <w:r w:rsidRPr="005C3B55">
        <w:t>For measures and operations that do not fall within the scope of Article 42 of the Treaty, a table of support schemes included in Article 81(1) of Regulation (EU) No 1305/2013 and are intended for the implementation of programmes, including the name of the support scheme, as well as the EAFRD contribution, national co-financing and additional national financing. Compliance with Union State aid regulations must be ensured for the entire duration of the programme.</w:t>
      </w:r>
    </w:p>
    <w:p w:rsidR="00C21266" w:rsidRPr="005C3B55" w:rsidRDefault="00C21266" w:rsidP="00C21266">
      <w:r w:rsidRPr="005C3B55">
        <w:t>A commitment of a Member State is attached to the table stating that these measures, if so stipulated by State aid rules or under special conditions from the granting of State aid, will be individually declared pursuant to Article 108(3) of the Treaty.</w:t>
      </w:r>
    </w:p>
    <w:tbl>
      <w:tblPr>
        <w:tblStyle w:val="Navadnatabela1"/>
        <w:tblW w:w="5000"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22"/>
        <w:gridCol w:w="3422"/>
        <w:gridCol w:w="1853"/>
        <w:gridCol w:w="1853"/>
        <w:gridCol w:w="1853"/>
        <w:gridCol w:w="1853"/>
      </w:tblGrid>
      <w:tr w:rsidR="00C21266" w:rsidRPr="005C3B55">
        <w:tc>
          <w:tcPr>
            <w:tcW w:w="1200" w:type="pct"/>
            <w:tcBorders>
              <w:top w:val="single" w:sz="4" w:space="0" w:color="auto"/>
              <w:left w:val="single" w:sz="4" w:space="0" w:color="auto"/>
              <w:bottom w:val="single" w:sz="4" w:space="0" w:color="auto"/>
              <w:right w:val="single" w:sz="4" w:space="0" w:color="auto"/>
            </w:tcBorders>
            <w:shd w:val="clear" w:color="auto" w:fill="C0C0C0"/>
            <w:tcMar>
              <w:top w:w="60" w:type="dxa"/>
              <w:left w:w="108" w:type="dxa"/>
              <w:bottom w:w="0" w:type="dxa"/>
              <w:right w:w="108" w:type="dxa"/>
            </w:tcMar>
          </w:tcPr>
          <w:p w:rsidR="00C21266" w:rsidRPr="005C3B55" w:rsidRDefault="00C21266">
            <w:pPr>
              <w:spacing w:after="200"/>
              <w:rPr>
                <w:rFonts w:eastAsia="Calibri"/>
                <w:b/>
                <w:lang w:eastAsia="en-GB" w:bidi="en-GB"/>
              </w:rPr>
            </w:pPr>
            <w:r w:rsidRPr="005C3B55">
              <w:rPr>
                <w:b/>
              </w:rPr>
              <w:t>Measure</w:t>
            </w:r>
          </w:p>
        </w:tc>
        <w:tc>
          <w:tcPr>
            <w:tcW w:w="1200" w:type="pct"/>
            <w:tcBorders>
              <w:top w:val="single" w:sz="4" w:space="0" w:color="auto"/>
              <w:left w:val="single" w:sz="4" w:space="0" w:color="auto"/>
              <w:bottom w:val="single" w:sz="4" w:space="0" w:color="auto"/>
              <w:right w:val="single" w:sz="4" w:space="0" w:color="auto"/>
            </w:tcBorders>
            <w:shd w:val="clear" w:color="auto" w:fill="C0C0C0"/>
            <w:tcMar>
              <w:top w:w="60" w:type="dxa"/>
              <w:left w:w="108" w:type="dxa"/>
              <w:bottom w:w="0" w:type="dxa"/>
              <w:right w:w="108" w:type="dxa"/>
            </w:tcMar>
          </w:tcPr>
          <w:p w:rsidR="00C21266" w:rsidRPr="005C3B55" w:rsidRDefault="00C21266">
            <w:pPr>
              <w:spacing w:after="200"/>
              <w:rPr>
                <w:rFonts w:eastAsia="Calibri"/>
                <w:b/>
                <w:lang w:eastAsia="en-GB" w:bidi="en-GB"/>
              </w:rPr>
            </w:pPr>
            <w:r w:rsidRPr="005C3B55">
              <w:rPr>
                <w:b/>
              </w:rPr>
              <w:t>Name of support scheme</w:t>
            </w:r>
          </w:p>
        </w:tc>
        <w:tc>
          <w:tcPr>
            <w:tcW w:w="650" w:type="pct"/>
            <w:tcBorders>
              <w:top w:val="single" w:sz="4" w:space="0" w:color="auto"/>
              <w:left w:val="single" w:sz="4" w:space="0" w:color="auto"/>
              <w:bottom w:val="single" w:sz="4" w:space="0" w:color="auto"/>
              <w:right w:val="single" w:sz="4" w:space="0" w:color="auto"/>
            </w:tcBorders>
            <w:shd w:val="clear" w:color="auto" w:fill="C0C0C0"/>
            <w:tcMar>
              <w:top w:w="60" w:type="dxa"/>
              <w:left w:w="108" w:type="dxa"/>
              <w:bottom w:w="0" w:type="dxa"/>
              <w:right w:w="108" w:type="dxa"/>
            </w:tcMar>
          </w:tcPr>
          <w:p w:rsidR="00C21266" w:rsidRPr="005C3B55" w:rsidRDefault="00C21266">
            <w:pPr>
              <w:spacing w:after="200"/>
              <w:rPr>
                <w:rFonts w:eastAsia="Calibri"/>
                <w:b/>
                <w:lang w:eastAsia="en-GB" w:bidi="en-GB"/>
              </w:rPr>
            </w:pPr>
            <w:r w:rsidRPr="005C3B55">
              <w:rPr>
                <w:b/>
              </w:rPr>
              <w:t>EAFRD (EUR)</w:t>
            </w:r>
          </w:p>
        </w:tc>
        <w:tc>
          <w:tcPr>
            <w:tcW w:w="650" w:type="pct"/>
            <w:tcBorders>
              <w:top w:val="single" w:sz="4" w:space="0" w:color="auto"/>
              <w:left w:val="single" w:sz="4" w:space="0" w:color="auto"/>
              <w:bottom w:val="single" w:sz="4" w:space="0" w:color="auto"/>
              <w:right w:val="single" w:sz="4" w:space="0" w:color="auto"/>
            </w:tcBorders>
            <w:shd w:val="clear" w:color="auto" w:fill="C0C0C0"/>
            <w:tcMar>
              <w:top w:w="60" w:type="dxa"/>
              <w:left w:w="108" w:type="dxa"/>
              <w:bottom w:w="0" w:type="dxa"/>
              <w:right w:w="108" w:type="dxa"/>
            </w:tcMar>
          </w:tcPr>
          <w:p w:rsidR="00C21266" w:rsidRPr="005C3B55" w:rsidRDefault="00C21266">
            <w:pPr>
              <w:spacing w:after="200"/>
              <w:rPr>
                <w:rFonts w:eastAsia="Calibri"/>
                <w:b/>
                <w:lang w:eastAsia="en-GB" w:bidi="en-GB"/>
              </w:rPr>
            </w:pPr>
            <w:r w:rsidRPr="005C3B55">
              <w:rPr>
                <w:b/>
              </w:rPr>
              <w:t>National co-financing (EUR)</w:t>
            </w:r>
          </w:p>
        </w:tc>
        <w:tc>
          <w:tcPr>
            <w:tcW w:w="650" w:type="pct"/>
            <w:tcBorders>
              <w:top w:val="single" w:sz="4" w:space="0" w:color="auto"/>
              <w:left w:val="single" w:sz="4" w:space="0" w:color="auto"/>
              <w:bottom w:val="single" w:sz="4" w:space="0" w:color="auto"/>
              <w:right w:val="single" w:sz="4" w:space="0" w:color="auto"/>
            </w:tcBorders>
            <w:shd w:val="clear" w:color="auto" w:fill="C0C0C0"/>
            <w:tcMar>
              <w:top w:w="60" w:type="dxa"/>
              <w:left w:w="108" w:type="dxa"/>
              <w:bottom w:w="0" w:type="dxa"/>
              <w:right w:w="108" w:type="dxa"/>
            </w:tcMar>
          </w:tcPr>
          <w:p w:rsidR="00C21266" w:rsidRPr="005C3B55" w:rsidRDefault="00C21266">
            <w:pPr>
              <w:spacing w:after="200"/>
              <w:rPr>
                <w:rFonts w:eastAsia="Calibri"/>
                <w:b/>
                <w:lang w:eastAsia="en-GB" w:bidi="en-GB"/>
              </w:rPr>
            </w:pPr>
            <w:r w:rsidRPr="005C3B55">
              <w:rPr>
                <w:b/>
              </w:rPr>
              <w:t>Additional national co-financing (EUR)</w:t>
            </w:r>
          </w:p>
        </w:tc>
        <w:tc>
          <w:tcPr>
            <w:tcW w:w="650" w:type="pct"/>
            <w:tcBorders>
              <w:top w:val="single" w:sz="4" w:space="0" w:color="auto"/>
              <w:left w:val="single" w:sz="4" w:space="0" w:color="auto"/>
              <w:bottom w:val="single" w:sz="4" w:space="0" w:color="auto"/>
              <w:right w:val="single" w:sz="4" w:space="0" w:color="auto"/>
            </w:tcBorders>
            <w:shd w:val="clear" w:color="auto" w:fill="C0C0C0"/>
            <w:tcMar>
              <w:top w:w="60" w:type="dxa"/>
              <w:left w:w="108" w:type="dxa"/>
              <w:bottom w:w="0" w:type="dxa"/>
              <w:right w:w="108" w:type="dxa"/>
            </w:tcMar>
          </w:tcPr>
          <w:p w:rsidR="00C21266" w:rsidRPr="005C3B55" w:rsidRDefault="00C21266">
            <w:pPr>
              <w:spacing w:after="200"/>
              <w:rPr>
                <w:rFonts w:eastAsia="Calibri"/>
                <w:b/>
                <w:lang w:eastAsia="en-GB" w:bidi="en-GB"/>
              </w:rPr>
            </w:pPr>
            <w:r w:rsidRPr="005C3B55">
              <w:rPr>
                <w:b/>
              </w:rPr>
              <w:t>Total (EUR)</w:t>
            </w:r>
          </w:p>
        </w:tc>
      </w:tr>
      <w:tr w:rsidR="00C21266" w:rsidRPr="005C3B55">
        <w:tc>
          <w:tcPr>
            <w:tcW w:w="12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M01 – Knowledge transfer and information actions (Article 14)</w:t>
            </w:r>
          </w:p>
        </w:tc>
        <w:tc>
          <w:tcPr>
            <w:tcW w:w="12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 xml:space="preserve">Transfer of knowledge and advisory service of the RDP 2014-2020 </w:t>
            </w:r>
          </w:p>
        </w:tc>
        <w:tc>
          <w:tcPr>
            <w:tcW w:w="6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2,000,000.00</w:t>
            </w:r>
          </w:p>
        </w:tc>
        <w:tc>
          <w:tcPr>
            <w:tcW w:w="6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500,000.00</w:t>
            </w:r>
          </w:p>
        </w:tc>
        <w:tc>
          <w:tcPr>
            <w:tcW w:w="6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p>
        </w:tc>
        <w:tc>
          <w:tcPr>
            <w:tcW w:w="6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2,500,000.00</w:t>
            </w:r>
          </w:p>
        </w:tc>
      </w:tr>
      <w:tr w:rsidR="00C21266" w:rsidRPr="005C3B55">
        <w:tc>
          <w:tcPr>
            <w:tcW w:w="12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M03 – Quality schemes for agricultural products and foodstuffs (Article 16)</w:t>
            </w:r>
          </w:p>
        </w:tc>
        <w:tc>
          <w:tcPr>
            <w:tcW w:w="12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 xml:space="preserve">Scheme of state aid of the RP 2014-2020 </w:t>
            </w:r>
          </w:p>
        </w:tc>
        <w:tc>
          <w:tcPr>
            <w:tcW w:w="6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1,125,000.00</w:t>
            </w:r>
          </w:p>
        </w:tc>
        <w:tc>
          <w:tcPr>
            <w:tcW w:w="6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375,000.00</w:t>
            </w:r>
          </w:p>
        </w:tc>
        <w:tc>
          <w:tcPr>
            <w:tcW w:w="6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p>
        </w:tc>
        <w:tc>
          <w:tcPr>
            <w:tcW w:w="6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1,500,000.00</w:t>
            </w:r>
          </w:p>
        </w:tc>
      </w:tr>
      <w:tr w:rsidR="00C21266" w:rsidRPr="005C3B55">
        <w:tc>
          <w:tcPr>
            <w:tcW w:w="12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M04 - Investments in physical assets (Article 17)</w:t>
            </w:r>
          </w:p>
        </w:tc>
        <w:tc>
          <w:tcPr>
            <w:tcW w:w="12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 xml:space="preserve">Investments in promoting energy from renewable energy sources of the RDP 2014-2020 </w:t>
            </w:r>
          </w:p>
        </w:tc>
        <w:tc>
          <w:tcPr>
            <w:tcW w:w="6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3,750,000.00</w:t>
            </w:r>
          </w:p>
        </w:tc>
        <w:tc>
          <w:tcPr>
            <w:tcW w:w="6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1,250,000.00</w:t>
            </w:r>
          </w:p>
        </w:tc>
        <w:tc>
          <w:tcPr>
            <w:tcW w:w="6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p>
        </w:tc>
        <w:tc>
          <w:tcPr>
            <w:tcW w:w="6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5,000,000.00</w:t>
            </w:r>
          </w:p>
        </w:tc>
      </w:tr>
      <w:tr w:rsidR="00C21266" w:rsidRPr="005C3B55">
        <w:tc>
          <w:tcPr>
            <w:tcW w:w="12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M04 - Investments in physical assets (Article 17)</w:t>
            </w:r>
          </w:p>
        </w:tc>
        <w:tc>
          <w:tcPr>
            <w:tcW w:w="12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 xml:space="preserve">Investments related to processing or marketing agricultural products from Annex I to the Treaty of the RDP 2014-2020 </w:t>
            </w:r>
          </w:p>
        </w:tc>
        <w:tc>
          <w:tcPr>
            <w:tcW w:w="6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22,500,000.00</w:t>
            </w:r>
          </w:p>
        </w:tc>
        <w:tc>
          <w:tcPr>
            <w:tcW w:w="6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7,500,000.00</w:t>
            </w:r>
          </w:p>
        </w:tc>
        <w:tc>
          <w:tcPr>
            <w:tcW w:w="6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p>
        </w:tc>
        <w:tc>
          <w:tcPr>
            <w:tcW w:w="6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30,000,000.00</w:t>
            </w:r>
          </w:p>
        </w:tc>
      </w:tr>
      <w:tr w:rsidR="00C21266" w:rsidRPr="005C3B55">
        <w:tc>
          <w:tcPr>
            <w:tcW w:w="12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M04 - Investments in physical assets (Article 17)</w:t>
            </w:r>
          </w:p>
        </w:tc>
        <w:tc>
          <w:tcPr>
            <w:tcW w:w="12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 xml:space="preserve">Scheme of state aids of the RP 2014-2020 </w:t>
            </w:r>
          </w:p>
        </w:tc>
        <w:tc>
          <w:tcPr>
            <w:tcW w:w="6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7,200,000.00</w:t>
            </w:r>
          </w:p>
        </w:tc>
        <w:tc>
          <w:tcPr>
            <w:tcW w:w="6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2,400,000.00</w:t>
            </w:r>
          </w:p>
        </w:tc>
        <w:tc>
          <w:tcPr>
            <w:tcW w:w="6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p>
        </w:tc>
        <w:tc>
          <w:tcPr>
            <w:tcW w:w="6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9,600,000.00</w:t>
            </w:r>
          </w:p>
        </w:tc>
      </w:tr>
      <w:tr w:rsidR="00C21266" w:rsidRPr="005C3B55">
        <w:tc>
          <w:tcPr>
            <w:tcW w:w="12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M06 – Farm and business development (Article 19)</w:t>
            </w:r>
          </w:p>
        </w:tc>
        <w:tc>
          <w:tcPr>
            <w:tcW w:w="12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 xml:space="preserve">Investments in the establishment and development of non-agricultural activities of the RDP 2014-2020 </w:t>
            </w:r>
          </w:p>
        </w:tc>
        <w:tc>
          <w:tcPr>
            <w:tcW w:w="6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48,520,000.00</w:t>
            </w:r>
          </w:p>
        </w:tc>
        <w:tc>
          <w:tcPr>
            <w:tcW w:w="6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16,173,333.33</w:t>
            </w:r>
          </w:p>
        </w:tc>
        <w:tc>
          <w:tcPr>
            <w:tcW w:w="6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p>
        </w:tc>
        <w:tc>
          <w:tcPr>
            <w:tcW w:w="6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64,693,333.33</w:t>
            </w:r>
          </w:p>
        </w:tc>
      </w:tr>
      <w:tr w:rsidR="00C21266" w:rsidRPr="005C3B55">
        <w:tc>
          <w:tcPr>
            <w:tcW w:w="12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M07 – Basic services and village renewal in rural areas (Article 20)</w:t>
            </w:r>
          </w:p>
        </w:tc>
        <w:tc>
          <w:tcPr>
            <w:tcW w:w="12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Development of the broadband network in Slovenia</w:t>
            </w:r>
          </w:p>
        </w:tc>
        <w:tc>
          <w:tcPr>
            <w:tcW w:w="6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7,500,000.00</w:t>
            </w:r>
          </w:p>
        </w:tc>
        <w:tc>
          <w:tcPr>
            <w:tcW w:w="6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2,500,000.00</w:t>
            </w:r>
          </w:p>
        </w:tc>
        <w:tc>
          <w:tcPr>
            <w:tcW w:w="6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p>
        </w:tc>
        <w:tc>
          <w:tcPr>
            <w:tcW w:w="6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10,000,000.00</w:t>
            </w:r>
          </w:p>
        </w:tc>
      </w:tr>
      <w:tr w:rsidR="00C21266" w:rsidRPr="005C3B55">
        <w:tc>
          <w:tcPr>
            <w:tcW w:w="12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M08 – Investments in forest area development and improvement of the viability of forests (Articles 21-26)</w:t>
            </w:r>
          </w:p>
        </w:tc>
        <w:tc>
          <w:tcPr>
            <w:tcW w:w="12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 xml:space="preserve">Elimination of damage in forests due to glaze ice of the RDP 2014-2020 </w:t>
            </w:r>
          </w:p>
        </w:tc>
        <w:tc>
          <w:tcPr>
            <w:tcW w:w="6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15,300,000.00</w:t>
            </w:r>
          </w:p>
        </w:tc>
        <w:tc>
          <w:tcPr>
            <w:tcW w:w="6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5,100,000.00</w:t>
            </w:r>
          </w:p>
        </w:tc>
        <w:tc>
          <w:tcPr>
            <w:tcW w:w="6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p>
        </w:tc>
        <w:tc>
          <w:tcPr>
            <w:tcW w:w="6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20,400,000.00</w:t>
            </w:r>
          </w:p>
        </w:tc>
      </w:tr>
      <w:tr w:rsidR="00C21266" w:rsidRPr="005C3B55">
        <w:tc>
          <w:tcPr>
            <w:tcW w:w="12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M08 – Investments in forest area development and improvement of the viability of forests (Articles 21-26)</w:t>
            </w:r>
          </w:p>
        </w:tc>
        <w:tc>
          <w:tcPr>
            <w:tcW w:w="12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 xml:space="preserve">Scheme of state aids of the RP 2014-2020 </w:t>
            </w:r>
          </w:p>
        </w:tc>
        <w:tc>
          <w:tcPr>
            <w:tcW w:w="6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29,250,000.00</w:t>
            </w:r>
          </w:p>
        </w:tc>
        <w:tc>
          <w:tcPr>
            <w:tcW w:w="6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9,750,000.00</w:t>
            </w:r>
          </w:p>
        </w:tc>
        <w:tc>
          <w:tcPr>
            <w:tcW w:w="6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p>
        </w:tc>
        <w:tc>
          <w:tcPr>
            <w:tcW w:w="6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39,000,000.00</w:t>
            </w:r>
          </w:p>
        </w:tc>
      </w:tr>
      <w:tr w:rsidR="00C21266" w:rsidRPr="005C3B55">
        <w:tc>
          <w:tcPr>
            <w:tcW w:w="12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M09 – Setting-up of producer groups and organisations (Article 27)</w:t>
            </w:r>
          </w:p>
        </w:tc>
        <w:tc>
          <w:tcPr>
            <w:tcW w:w="12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 xml:space="preserve">Establishment of groups and organisations of producers of the RDP 2014-2020 </w:t>
            </w:r>
          </w:p>
        </w:tc>
        <w:tc>
          <w:tcPr>
            <w:tcW w:w="6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902,360.00</w:t>
            </w:r>
          </w:p>
        </w:tc>
        <w:tc>
          <w:tcPr>
            <w:tcW w:w="6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225,590.00</w:t>
            </w:r>
          </w:p>
        </w:tc>
        <w:tc>
          <w:tcPr>
            <w:tcW w:w="6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p>
        </w:tc>
        <w:tc>
          <w:tcPr>
            <w:tcW w:w="6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1,127,950.00</w:t>
            </w:r>
          </w:p>
        </w:tc>
      </w:tr>
      <w:tr w:rsidR="00C21266" w:rsidRPr="005C3B55">
        <w:tc>
          <w:tcPr>
            <w:tcW w:w="12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M16 – Cooperation (Article 35)</w:t>
            </w:r>
          </w:p>
        </w:tc>
        <w:tc>
          <w:tcPr>
            <w:tcW w:w="12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 xml:space="preserve">Cooperation of the RDP 2014-2020 </w:t>
            </w:r>
          </w:p>
        </w:tc>
        <w:tc>
          <w:tcPr>
            <w:tcW w:w="6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11,235,000.00</w:t>
            </w:r>
          </w:p>
        </w:tc>
        <w:tc>
          <w:tcPr>
            <w:tcW w:w="6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2,808,750.00</w:t>
            </w:r>
          </w:p>
        </w:tc>
        <w:tc>
          <w:tcPr>
            <w:tcW w:w="6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p>
        </w:tc>
        <w:tc>
          <w:tcPr>
            <w:tcW w:w="6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14,043,750.00</w:t>
            </w:r>
          </w:p>
        </w:tc>
      </w:tr>
      <w:tr w:rsidR="00C21266" w:rsidRPr="005C3B55">
        <w:tc>
          <w:tcPr>
            <w:tcW w:w="12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M19 – Support for LEADER local development (CLLD – community-led local development) (Article 35 of Regulation (EU) No 1303/2013)</w:t>
            </w:r>
          </w:p>
        </w:tc>
        <w:tc>
          <w:tcPr>
            <w:tcW w:w="12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 xml:space="preserve">LEADER of the RDP 2014-2020 </w:t>
            </w:r>
          </w:p>
        </w:tc>
        <w:tc>
          <w:tcPr>
            <w:tcW w:w="6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41,892,491.00</w:t>
            </w:r>
          </w:p>
        </w:tc>
        <w:tc>
          <w:tcPr>
            <w:tcW w:w="6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10,473,122.75</w:t>
            </w:r>
          </w:p>
        </w:tc>
        <w:tc>
          <w:tcPr>
            <w:tcW w:w="6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p>
        </w:tc>
        <w:tc>
          <w:tcPr>
            <w:tcW w:w="6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52,365,613.75</w:t>
            </w:r>
          </w:p>
        </w:tc>
      </w:tr>
      <w:tr w:rsidR="00C21266" w:rsidRPr="005C3B55">
        <w:tc>
          <w:tcPr>
            <w:tcW w:w="1200" w:type="pct"/>
            <w:tcBorders>
              <w:top w:val="single" w:sz="4" w:space="0" w:color="auto"/>
              <w:left w:val="single" w:sz="4" w:space="0" w:color="auto"/>
              <w:bottom w:val="single" w:sz="4" w:space="0" w:color="auto"/>
              <w:right w:val="single" w:sz="4" w:space="0" w:color="auto"/>
            </w:tcBorders>
            <w:shd w:val="clear" w:color="auto" w:fill="C0C0C0"/>
            <w:tcMar>
              <w:top w:w="60" w:type="dxa"/>
              <w:left w:w="108" w:type="dxa"/>
              <w:bottom w:w="0" w:type="dxa"/>
              <w:right w:w="108" w:type="dxa"/>
            </w:tcMar>
          </w:tcPr>
          <w:p w:rsidR="00C21266" w:rsidRPr="005C3B55" w:rsidRDefault="00C21266">
            <w:pPr>
              <w:spacing w:after="200"/>
              <w:jc w:val="right"/>
              <w:rPr>
                <w:rFonts w:eastAsia="Calibri"/>
                <w:b/>
                <w:sz w:val="16"/>
                <w:lang w:eastAsia="en-GB" w:bidi="en-GB"/>
              </w:rPr>
            </w:pPr>
            <w:r w:rsidRPr="005C3B55">
              <w:rPr>
                <w:b/>
                <w:sz w:val="16"/>
              </w:rPr>
              <w:t>Total (EUR)</w:t>
            </w:r>
          </w:p>
        </w:tc>
        <w:tc>
          <w:tcPr>
            <w:tcW w:w="1200" w:type="pct"/>
            <w:tcBorders>
              <w:top w:val="single" w:sz="4" w:space="0" w:color="auto"/>
              <w:left w:val="single" w:sz="4" w:space="0" w:color="auto"/>
              <w:bottom w:val="single" w:sz="4" w:space="0" w:color="auto"/>
              <w:right w:val="single" w:sz="4" w:space="0" w:color="auto"/>
            </w:tcBorders>
            <w:shd w:val="clear" w:color="auto" w:fill="C0C0C0"/>
            <w:tcMar>
              <w:top w:w="60" w:type="dxa"/>
              <w:left w:w="108" w:type="dxa"/>
              <w:bottom w:w="0" w:type="dxa"/>
              <w:right w:w="108" w:type="dxa"/>
            </w:tcMar>
          </w:tcPr>
          <w:p w:rsidR="00C21266" w:rsidRPr="005C3B55" w:rsidRDefault="00C21266">
            <w:pPr>
              <w:spacing w:after="200"/>
              <w:jc w:val="right"/>
              <w:rPr>
                <w:rFonts w:eastAsia="Calibri"/>
                <w:b/>
                <w:sz w:val="16"/>
                <w:lang w:eastAsia="en-GB" w:bidi="en-GB"/>
              </w:rPr>
            </w:pPr>
          </w:p>
        </w:tc>
        <w:tc>
          <w:tcPr>
            <w:tcW w:w="650" w:type="pct"/>
            <w:tcBorders>
              <w:top w:val="single" w:sz="4" w:space="0" w:color="auto"/>
              <w:left w:val="single" w:sz="4" w:space="0" w:color="auto"/>
              <w:bottom w:val="single" w:sz="4" w:space="0" w:color="auto"/>
              <w:right w:val="single" w:sz="4" w:space="0" w:color="auto"/>
            </w:tcBorders>
            <w:shd w:val="clear" w:color="auto" w:fill="C0C0C0"/>
            <w:tcMar>
              <w:top w:w="60" w:type="dxa"/>
              <w:left w:w="108" w:type="dxa"/>
              <w:bottom w:w="0" w:type="dxa"/>
              <w:right w:w="108" w:type="dxa"/>
            </w:tcMar>
          </w:tcPr>
          <w:p w:rsidR="00C21266" w:rsidRPr="005C3B55" w:rsidRDefault="00C21266">
            <w:pPr>
              <w:spacing w:after="200"/>
              <w:jc w:val="right"/>
              <w:rPr>
                <w:rFonts w:eastAsia="Calibri"/>
                <w:b/>
                <w:sz w:val="16"/>
                <w:lang w:eastAsia="en-GB" w:bidi="en-GB"/>
              </w:rPr>
            </w:pPr>
            <w:r w:rsidRPr="005C3B55">
              <w:rPr>
                <w:b/>
                <w:sz w:val="16"/>
              </w:rPr>
              <w:t>191,174,851.00</w:t>
            </w:r>
          </w:p>
        </w:tc>
        <w:tc>
          <w:tcPr>
            <w:tcW w:w="650" w:type="pct"/>
            <w:tcBorders>
              <w:top w:val="single" w:sz="4" w:space="0" w:color="auto"/>
              <w:left w:val="single" w:sz="4" w:space="0" w:color="auto"/>
              <w:bottom w:val="single" w:sz="4" w:space="0" w:color="auto"/>
              <w:right w:val="single" w:sz="4" w:space="0" w:color="auto"/>
            </w:tcBorders>
            <w:shd w:val="clear" w:color="auto" w:fill="C0C0C0"/>
            <w:tcMar>
              <w:top w:w="60" w:type="dxa"/>
              <w:left w:w="108" w:type="dxa"/>
              <w:bottom w:w="0" w:type="dxa"/>
              <w:right w:w="108" w:type="dxa"/>
            </w:tcMar>
          </w:tcPr>
          <w:p w:rsidR="00C21266" w:rsidRPr="005C3B55" w:rsidRDefault="00C21266">
            <w:pPr>
              <w:spacing w:after="200"/>
              <w:jc w:val="right"/>
              <w:rPr>
                <w:rFonts w:eastAsia="Calibri"/>
                <w:b/>
                <w:sz w:val="16"/>
                <w:lang w:eastAsia="en-GB" w:bidi="en-GB"/>
              </w:rPr>
            </w:pPr>
            <w:r w:rsidRPr="005C3B55">
              <w:rPr>
                <w:b/>
                <w:sz w:val="16"/>
              </w:rPr>
              <w:t>59,055,796.08</w:t>
            </w:r>
          </w:p>
        </w:tc>
        <w:tc>
          <w:tcPr>
            <w:tcW w:w="650" w:type="pct"/>
            <w:tcBorders>
              <w:top w:val="single" w:sz="4" w:space="0" w:color="auto"/>
              <w:left w:val="single" w:sz="4" w:space="0" w:color="auto"/>
              <w:bottom w:val="single" w:sz="4" w:space="0" w:color="auto"/>
              <w:right w:val="single" w:sz="4" w:space="0" w:color="auto"/>
            </w:tcBorders>
            <w:shd w:val="clear" w:color="auto" w:fill="C0C0C0"/>
            <w:tcMar>
              <w:top w:w="60" w:type="dxa"/>
              <w:left w:w="108" w:type="dxa"/>
              <w:bottom w:w="0" w:type="dxa"/>
              <w:right w:w="108" w:type="dxa"/>
            </w:tcMar>
          </w:tcPr>
          <w:p w:rsidR="00C21266" w:rsidRPr="005C3B55" w:rsidRDefault="00C21266">
            <w:pPr>
              <w:spacing w:after="200"/>
              <w:jc w:val="right"/>
              <w:rPr>
                <w:rFonts w:eastAsia="Calibri"/>
                <w:b/>
                <w:sz w:val="16"/>
                <w:lang w:eastAsia="en-GB" w:bidi="en-GB"/>
              </w:rPr>
            </w:pPr>
            <w:r w:rsidRPr="005C3B55">
              <w:rPr>
                <w:b/>
                <w:sz w:val="16"/>
              </w:rPr>
              <w:t>0.00</w:t>
            </w:r>
          </w:p>
        </w:tc>
        <w:tc>
          <w:tcPr>
            <w:tcW w:w="650" w:type="pct"/>
            <w:tcBorders>
              <w:top w:val="single" w:sz="4" w:space="0" w:color="auto"/>
              <w:left w:val="single" w:sz="4" w:space="0" w:color="auto"/>
              <w:bottom w:val="single" w:sz="4" w:space="0" w:color="auto"/>
              <w:right w:val="single" w:sz="4" w:space="0" w:color="auto"/>
            </w:tcBorders>
            <w:shd w:val="clear" w:color="auto" w:fill="C0C0C0"/>
            <w:tcMar>
              <w:top w:w="60" w:type="dxa"/>
              <w:left w:w="108" w:type="dxa"/>
              <w:bottom w:w="0" w:type="dxa"/>
              <w:right w:w="108" w:type="dxa"/>
            </w:tcMar>
          </w:tcPr>
          <w:p w:rsidR="00C21266" w:rsidRPr="005C3B55" w:rsidRDefault="00C21266">
            <w:pPr>
              <w:spacing w:after="200"/>
              <w:jc w:val="right"/>
              <w:rPr>
                <w:rFonts w:eastAsia="Calibri"/>
                <w:b/>
                <w:sz w:val="16"/>
                <w:lang w:eastAsia="en-GB" w:bidi="en-GB"/>
              </w:rPr>
            </w:pPr>
            <w:r w:rsidRPr="005C3B55">
              <w:rPr>
                <w:b/>
                <w:sz w:val="16"/>
              </w:rPr>
              <w:t>250,230,647.08</w:t>
            </w:r>
          </w:p>
        </w:tc>
      </w:tr>
    </w:tbl>
    <w:p w:rsidR="00C21266" w:rsidRPr="005C3B55" w:rsidRDefault="00C21266" w:rsidP="00C21266">
      <w:pPr>
        <w:spacing w:after="0"/>
        <w:rPr>
          <w:b/>
        </w:rPr>
        <w:sectPr w:rsidR="00C21266" w:rsidRPr="005C3B55">
          <w:pgSz w:w="15840" w:h="12240" w:orient="landscape"/>
          <w:pgMar w:top="900" w:right="900" w:bottom="900" w:left="900" w:header="708" w:footer="708" w:gutter="0"/>
          <w:cols w:space="708"/>
        </w:sectPr>
      </w:pPr>
    </w:p>
    <w:p w:rsidR="00C21266" w:rsidRPr="005C3B55" w:rsidRDefault="00C21266" w:rsidP="00C21266">
      <w:pPr>
        <w:rPr>
          <w:rFonts w:eastAsia="Calibri"/>
          <w:b/>
          <w:szCs w:val="22"/>
          <w:lang w:eastAsia="en-GB" w:bidi="en-GB"/>
        </w:rPr>
      </w:pPr>
    </w:p>
    <w:p w:rsidR="00C21266" w:rsidRPr="005C3B55" w:rsidRDefault="00C21266" w:rsidP="00C21266">
      <w:pPr>
        <w:pStyle w:val="Naslov2"/>
        <w:tabs>
          <w:tab w:val="clear" w:pos="765"/>
        </w:tabs>
        <w:ind w:left="0" w:firstLine="0"/>
        <w:rPr>
          <w:lang w:val="en-GB"/>
        </w:rPr>
      </w:pPr>
      <w:bookmarkStart w:id="193" w:name="_Toc416192651"/>
      <w:r w:rsidRPr="005C3B55">
        <w:rPr>
          <w:lang w:val="en-GB"/>
        </w:rPr>
        <w:t>M01 – Knowledge transfer and information actions (Article 14)</w:t>
      </w:r>
      <w:bookmarkEnd w:id="193"/>
    </w:p>
    <w:p w:rsidR="00C21266" w:rsidRPr="005C3B55" w:rsidRDefault="00C21266" w:rsidP="00C21266">
      <w:r w:rsidRPr="005C3B55">
        <w:t xml:space="preserve">Name of support scheme: Transfer of knowledge and advisory service of the RDP 2014-2020 </w:t>
      </w:r>
    </w:p>
    <w:p w:rsidR="00C21266" w:rsidRPr="005C3B55" w:rsidRDefault="00C21266" w:rsidP="00C21266">
      <w:r w:rsidRPr="005C3B55">
        <w:t>EAFRD (EUR): 2,000,000.00</w:t>
      </w:r>
    </w:p>
    <w:p w:rsidR="00C21266" w:rsidRPr="005C3B55" w:rsidRDefault="00C21266" w:rsidP="00C21266">
      <w:r w:rsidRPr="005C3B55">
        <w:t>National co-financing (EUR): 500,000.00</w:t>
      </w:r>
    </w:p>
    <w:p w:rsidR="00C21266" w:rsidRPr="005C3B55" w:rsidRDefault="00C21266" w:rsidP="00C21266">
      <w:r w:rsidRPr="005C3B55">
        <w:t xml:space="preserve">Additional national co-financing (EUR): </w:t>
      </w:r>
    </w:p>
    <w:p w:rsidR="00C21266" w:rsidRPr="005C3B55" w:rsidRDefault="00C21266" w:rsidP="00C21266">
      <w:r w:rsidRPr="005C3B55">
        <w:t>Total (EUR): 2,500,000.00</w:t>
      </w:r>
    </w:p>
    <w:p w:rsidR="00C21266" w:rsidRPr="005C3B55" w:rsidRDefault="00C21266" w:rsidP="00C21266">
      <w:pPr>
        <w:pStyle w:val="Naslov4"/>
        <w:tabs>
          <w:tab w:val="clear" w:pos="765"/>
        </w:tabs>
        <w:ind w:left="0" w:firstLine="0"/>
        <w:jc w:val="left"/>
        <w:rPr>
          <w:lang w:val="en-GB"/>
        </w:rPr>
      </w:pPr>
      <w:r w:rsidRPr="005C3B55">
        <w:rPr>
          <w:lang w:val="en-GB"/>
        </w:rPr>
        <w:t>Indications*:</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650" w:type="pct"/>
            <w:tcBorders>
              <w:top w:val="single" w:sz="8" w:space="0" w:color="000000"/>
              <w:left w:val="single" w:sz="8" w:space="0" w:color="000000"/>
              <w:bottom w:val="single" w:sz="8" w:space="0" w:color="000000"/>
              <w:right w:val="single" w:sz="8" w:space="0" w:color="000000"/>
            </w:tcBorders>
            <w:tcMar>
              <w:top w:w="60" w:type="dxa"/>
              <w:left w:w="108" w:type="dxa"/>
              <w:bottom w:w="120" w:type="dxa"/>
              <w:right w:w="108" w:type="dxa"/>
            </w:tcMar>
          </w:tcPr>
          <w:p w:rsidR="00C21266" w:rsidRPr="005C3B55" w:rsidRDefault="00C21266">
            <w:pPr>
              <w:spacing w:after="240"/>
              <w:rPr>
                <w:rFonts w:eastAsia="Calibri"/>
                <w:szCs w:val="24"/>
              </w:rPr>
            </w:pPr>
            <w:r w:rsidRPr="005C3B55">
              <w:t>Any support for activities under this measure which does not fall within the scope of Article 42 of the Treaty, i.e.:</w:t>
            </w:r>
          </w:p>
          <w:p w:rsidR="00C21266" w:rsidRPr="005C3B55" w:rsidRDefault="00C21266">
            <w:pPr>
              <w:spacing w:before="240" w:after="240"/>
              <w:rPr>
                <w:szCs w:val="24"/>
              </w:rPr>
            </w:pPr>
            <w:r w:rsidRPr="005C3B55">
              <w:t>- support in rural areas will be granted pursuant to:</w:t>
            </w:r>
          </w:p>
          <w:p w:rsidR="00C21266" w:rsidRPr="005C3B55" w:rsidRDefault="00C21266" w:rsidP="006E20B6">
            <w:pPr>
              <w:numPr>
                <w:ilvl w:val="0"/>
                <w:numId w:val="1024"/>
              </w:numPr>
              <w:spacing w:before="240" w:after="0"/>
              <w:ind w:hanging="290"/>
              <w:jc w:val="left"/>
              <w:rPr>
                <w:szCs w:val="24"/>
              </w:rPr>
            </w:pPr>
            <w:r w:rsidRPr="005C3B55">
              <w:t>Article 47 of Commission Regulation (EU) No 702/2014 of 25 June 2014 declaring certain categories of aid in the agricultural and forestry sectors and in rural areas compatible with the internal market in application of Articles 107 and 108 of the Treaty on the Functioning of the European Union;</w:t>
            </w:r>
          </w:p>
          <w:p w:rsidR="00C21266" w:rsidRPr="005C3B55" w:rsidRDefault="00C21266" w:rsidP="006E20B6">
            <w:pPr>
              <w:numPr>
                <w:ilvl w:val="0"/>
                <w:numId w:val="1024"/>
              </w:numPr>
              <w:spacing w:before="0" w:after="240"/>
              <w:ind w:hanging="290"/>
              <w:jc w:val="left"/>
              <w:rPr>
                <w:szCs w:val="24"/>
              </w:rPr>
            </w:pPr>
            <w:r w:rsidRPr="005C3B55">
              <w:t>point 3.6 in Chapter II of Community Guidelines on State aid in the agriculture and forestry sectors and in rural areas for the 2014-2020 period of 1 July 2014.</w:t>
            </w:r>
          </w:p>
          <w:p w:rsidR="00C21266" w:rsidRPr="005C3B55" w:rsidRDefault="00C21266">
            <w:pPr>
              <w:spacing w:before="240" w:after="240"/>
              <w:rPr>
                <w:szCs w:val="24"/>
              </w:rPr>
            </w:pPr>
            <w:r w:rsidRPr="005C3B55">
              <w:t>- support for the forestry sector will be granted pursuant to:</w:t>
            </w:r>
          </w:p>
          <w:p w:rsidR="00C21266" w:rsidRPr="005C3B55" w:rsidRDefault="00C21266" w:rsidP="006E20B6">
            <w:pPr>
              <w:numPr>
                <w:ilvl w:val="0"/>
                <w:numId w:val="1025"/>
              </w:numPr>
              <w:spacing w:before="240" w:after="0"/>
              <w:ind w:hanging="290"/>
              <w:jc w:val="left"/>
              <w:rPr>
                <w:szCs w:val="24"/>
              </w:rPr>
            </w:pPr>
            <w:r w:rsidRPr="005C3B55">
              <w:t>Article 38 of Commission Regulation (EU) No 702/2014 of 25 June 2014 declaring certain categories of aid in the agricultural and forestry sectors and in rural areas compatible with the internal market in application of Articles 107 and 108 of the Treaty on the Functioning of the European Union;</w:t>
            </w:r>
          </w:p>
          <w:p w:rsidR="00C21266" w:rsidRPr="005C3B55" w:rsidRDefault="00C21266" w:rsidP="006E20B6">
            <w:pPr>
              <w:numPr>
                <w:ilvl w:val="0"/>
                <w:numId w:val="1025"/>
              </w:numPr>
              <w:spacing w:before="0" w:after="240"/>
              <w:ind w:hanging="290"/>
              <w:jc w:val="left"/>
              <w:rPr>
                <w:szCs w:val="24"/>
              </w:rPr>
            </w:pPr>
            <w:r w:rsidRPr="005C3B55">
              <w:t>point 2.4 in Chapter II of Community Guidelines on State aid in the agriculture and forestry sectors and in rural areas for the 2014-2020 period of 1 July 2014.</w:t>
            </w:r>
          </w:p>
          <w:p w:rsidR="00C21266" w:rsidRPr="005C3B55" w:rsidRDefault="00C21266">
            <w:pPr>
              <w:pStyle w:val="Telobesedila"/>
              <w:rPr>
                <w:lang w:eastAsia="en-GB" w:bidi="en-GB"/>
              </w:rPr>
            </w:pPr>
          </w:p>
        </w:tc>
      </w:tr>
    </w:tbl>
    <w:p w:rsidR="00C21266" w:rsidRPr="005C3B55" w:rsidRDefault="00C21266" w:rsidP="00C21266">
      <w:pPr>
        <w:rPr>
          <w:rFonts w:eastAsia="Calibri"/>
          <w:szCs w:val="22"/>
          <w:lang w:eastAsia="en-GB" w:bidi="en-GB"/>
        </w:rPr>
      </w:pPr>
    </w:p>
    <w:p w:rsidR="00C21266" w:rsidRPr="005C3B55" w:rsidRDefault="00C21266" w:rsidP="00C21266">
      <w:pPr>
        <w:pStyle w:val="Naslov2"/>
        <w:tabs>
          <w:tab w:val="clear" w:pos="765"/>
        </w:tabs>
        <w:ind w:left="0" w:firstLine="0"/>
        <w:rPr>
          <w:lang w:val="en-GB"/>
        </w:rPr>
      </w:pPr>
      <w:bookmarkStart w:id="194" w:name="_Toc416192652"/>
      <w:r w:rsidRPr="005C3B55">
        <w:rPr>
          <w:lang w:val="en-GB"/>
        </w:rPr>
        <w:t>M03 – Quality schemes for agricultural products and foodstuffs (Article 16)</w:t>
      </w:r>
      <w:bookmarkEnd w:id="194"/>
    </w:p>
    <w:p w:rsidR="00C21266" w:rsidRPr="005C3B55" w:rsidRDefault="00C21266" w:rsidP="00C21266">
      <w:r w:rsidRPr="005C3B55">
        <w:t xml:space="preserve">Name of support scheme: Scheme of state aids of the RP 2014-2020 </w:t>
      </w:r>
    </w:p>
    <w:p w:rsidR="00C21266" w:rsidRPr="005C3B55" w:rsidRDefault="00C21266" w:rsidP="00C21266">
      <w:r w:rsidRPr="005C3B55">
        <w:t>EAFRD (EUR): 1,125,000.00</w:t>
      </w:r>
    </w:p>
    <w:p w:rsidR="00C21266" w:rsidRPr="005C3B55" w:rsidRDefault="00C21266" w:rsidP="00C21266">
      <w:r w:rsidRPr="005C3B55">
        <w:t>National co-financing (EUR): 375,000.00</w:t>
      </w:r>
    </w:p>
    <w:p w:rsidR="00C21266" w:rsidRPr="005C3B55" w:rsidRDefault="00C21266" w:rsidP="00C21266">
      <w:r w:rsidRPr="005C3B55">
        <w:t xml:space="preserve">Additional national co-financing (EUR): </w:t>
      </w:r>
    </w:p>
    <w:p w:rsidR="00C21266" w:rsidRPr="005C3B55" w:rsidRDefault="00C21266" w:rsidP="00C21266">
      <w:r w:rsidRPr="005C3B55">
        <w:t>Total (EUR): 1,500,000.00</w:t>
      </w:r>
    </w:p>
    <w:p w:rsidR="00C21266" w:rsidRPr="005C3B55" w:rsidRDefault="00C21266" w:rsidP="00C21266">
      <w:pPr>
        <w:pStyle w:val="Naslov4"/>
        <w:tabs>
          <w:tab w:val="clear" w:pos="765"/>
        </w:tabs>
        <w:ind w:left="0" w:firstLine="0"/>
        <w:jc w:val="left"/>
        <w:rPr>
          <w:lang w:val="en-GB"/>
        </w:rPr>
      </w:pPr>
      <w:r w:rsidRPr="005C3B55">
        <w:rPr>
          <w:lang w:val="en-GB"/>
        </w:rPr>
        <w:t>Indications*:</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650" w:type="pct"/>
            <w:tcBorders>
              <w:top w:val="single" w:sz="8" w:space="0" w:color="000000"/>
              <w:left w:val="single" w:sz="8" w:space="0" w:color="000000"/>
              <w:bottom w:val="single" w:sz="8" w:space="0" w:color="000000"/>
              <w:right w:val="single" w:sz="8" w:space="0" w:color="000000"/>
            </w:tcBorders>
            <w:tcMar>
              <w:top w:w="60" w:type="dxa"/>
              <w:left w:w="108" w:type="dxa"/>
              <w:bottom w:w="120" w:type="dxa"/>
              <w:right w:w="108" w:type="dxa"/>
            </w:tcMar>
          </w:tcPr>
          <w:p w:rsidR="00C21266" w:rsidRPr="005C3B55" w:rsidRDefault="00C21266">
            <w:pPr>
              <w:spacing w:after="240"/>
              <w:rPr>
                <w:rFonts w:eastAsia="Calibri"/>
                <w:szCs w:val="24"/>
              </w:rPr>
            </w:pPr>
            <w:r w:rsidRPr="005C3B55">
              <w:t>Any support for activities under this measure which does not fall within the scope of Article 42 to the Treaty, i.e. support for quality schemes for foodstuffs which do not pertain to Annex I to the Treaty will be granted pursuant to:</w:t>
            </w:r>
          </w:p>
          <w:p w:rsidR="00C21266" w:rsidRPr="005C3B55" w:rsidRDefault="00C21266" w:rsidP="006E20B6">
            <w:pPr>
              <w:numPr>
                <w:ilvl w:val="0"/>
                <w:numId w:val="1026"/>
              </w:numPr>
              <w:spacing w:before="240" w:after="0"/>
              <w:ind w:hanging="290"/>
              <w:jc w:val="left"/>
              <w:rPr>
                <w:szCs w:val="24"/>
              </w:rPr>
            </w:pPr>
            <w:r w:rsidRPr="005C3B55">
              <w:t>Articles 48 and 49 of Commission Regulation (EU) No 702/2014 of 25 June 2014 declaring certain categories of aid in the agricultural and forestry sectors and in rural areas compatible with the internal market in the application of Articles 107 and 108 to the Treaty on the Functioning of the European Union;</w:t>
            </w:r>
          </w:p>
          <w:p w:rsidR="00C21266" w:rsidRPr="005C3B55" w:rsidRDefault="00C21266" w:rsidP="006E20B6">
            <w:pPr>
              <w:numPr>
                <w:ilvl w:val="0"/>
                <w:numId w:val="1026"/>
              </w:numPr>
              <w:spacing w:before="0" w:after="240"/>
              <w:ind w:hanging="290"/>
              <w:jc w:val="left"/>
              <w:rPr>
                <w:szCs w:val="24"/>
              </w:rPr>
            </w:pPr>
            <w:r w:rsidRPr="005C3B55">
              <w:t>points 3.8 and 3.9. in Chapter II of Community Guidelines on State aid in the agriculture and forestry sectors and in rural areas of the 2014-2020 period of 1 July 2014.</w:t>
            </w:r>
          </w:p>
          <w:p w:rsidR="00C21266" w:rsidRPr="005C3B55" w:rsidRDefault="00C21266">
            <w:pPr>
              <w:pStyle w:val="Telobesedila"/>
              <w:rPr>
                <w:lang w:eastAsia="en-GB" w:bidi="en-GB"/>
              </w:rPr>
            </w:pPr>
          </w:p>
        </w:tc>
      </w:tr>
    </w:tbl>
    <w:p w:rsidR="00C21266" w:rsidRPr="005C3B55" w:rsidRDefault="00C21266" w:rsidP="00C21266">
      <w:pPr>
        <w:rPr>
          <w:rFonts w:eastAsia="Calibri"/>
          <w:szCs w:val="22"/>
          <w:lang w:eastAsia="en-GB" w:bidi="en-GB"/>
        </w:rPr>
      </w:pPr>
    </w:p>
    <w:p w:rsidR="00C21266" w:rsidRPr="005C3B55" w:rsidRDefault="00C21266" w:rsidP="00C21266">
      <w:pPr>
        <w:pStyle w:val="Naslov2"/>
        <w:tabs>
          <w:tab w:val="clear" w:pos="765"/>
        </w:tabs>
        <w:ind w:left="0" w:firstLine="0"/>
        <w:rPr>
          <w:lang w:val="en-GB"/>
        </w:rPr>
      </w:pPr>
      <w:bookmarkStart w:id="195" w:name="_Toc416192653"/>
      <w:r w:rsidRPr="005C3B55">
        <w:rPr>
          <w:lang w:val="en-GB"/>
        </w:rPr>
        <w:t>M04 - Investments in physical assets (Article 17)</w:t>
      </w:r>
      <w:bookmarkEnd w:id="195"/>
    </w:p>
    <w:p w:rsidR="00C21266" w:rsidRPr="005C3B55" w:rsidRDefault="00C21266" w:rsidP="00C21266">
      <w:r w:rsidRPr="005C3B55">
        <w:t xml:space="preserve">Name of support scheme: Investments in promoting the energy from renewable energy sources of the RDP 2014-2020 </w:t>
      </w:r>
    </w:p>
    <w:p w:rsidR="00C21266" w:rsidRPr="005C3B55" w:rsidRDefault="00C21266" w:rsidP="00C21266">
      <w:r w:rsidRPr="005C3B55">
        <w:t>EAFRD (EUR): 3,750,000.00</w:t>
      </w:r>
    </w:p>
    <w:p w:rsidR="00C21266" w:rsidRPr="005C3B55" w:rsidRDefault="00C21266" w:rsidP="00C21266">
      <w:r w:rsidRPr="005C3B55">
        <w:t>National co-financing (EUR): 1,250,000.00</w:t>
      </w:r>
    </w:p>
    <w:p w:rsidR="00C21266" w:rsidRPr="005C3B55" w:rsidRDefault="00C21266" w:rsidP="00C21266">
      <w:r w:rsidRPr="005C3B55">
        <w:t xml:space="preserve">Additional national co-financing (EUR): </w:t>
      </w:r>
    </w:p>
    <w:p w:rsidR="00C21266" w:rsidRPr="005C3B55" w:rsidRDefault="00C21266" w:rsidP="00C21266">
      <w:r w:rsidRPr="005C3B55">
        <w:t>Total (EUR): 5,000,000.00</w:t>
      </w:r>
    </w:p>
    <w:p w:rsidR="00C21266" w:rsidRPr="005C3B55" w:rsidRDefault="00C21266" w:rsidP="00C21266">
      <w:pPr>
        <w:pStyle w:val="Naslov4"/>
        <w:tabs>
          <w:tab w:val="clear" w:pos="765"/>
        </w:tabs>
        <w:ind w:left="0" w:firstLine="0"/>
        <w:jc w:val="left"/>
        <w:rPr>
          <w:lang w:val="en-GB"/>
        </w:rPr>
      </w:pPr>
      <w:r w:rsidRPr="005C3B55">
        <w:rPr>
          <w:lang w:val="en-GB"/>
        </w:rPr>
        <w:t>Indications*:</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650" w:type="pct"/>
            <w:tcBorders>
              <w:top w:val="single" w:sz="8" w:space="0" w:color="000000"/>
              <w:left w:val="single" w:sz="8" w:space="0" w:color="000000"/>
              <w:bottom w:val="single" w:sz="8" w:space="0" w:color="000000"/>
              <w:right w:val="single" w:sz="8" w:space="0" w:color="000000"/>
            </w:tcBorders>
            <w:tcMar>
              <w:top w:w="60" w:type="dxa"/>
              <w:left w:w="108" w:type="dxa"/>
              <w:bottom w:w="120" w:type="dxa"/>
              <w:right w:w="108" w:type="dxa"/>
            </w:tcMar>
          </w:tcPr>
          <w:p w:rsidR="00C21266" w:rsidRPr="005C3B55" w:rsidRDefault="00C21266">
            <w:pPr>
              <w:spacing w:after="240"/>
              <w:rPr>
                <w:rFonts w:eastAsia="Calibri"/>
                <w:szCs w:val="24"/>
              </w:rPr>
            </w:pPr>
            <w:r w:rsidRPr="005C3B55">
              <w:t>Support under measure M04 (Article 17 of Regulation (EU) No 1305/2013) will be granted under:</w:t>
            </w:r>
          </w:p>
          <w:p w:rsidR="00C21266" w:rsidRPr="005C3B55" w:rsidRDefault="00C21266" w:rsidP="006E20B6">
            <w:pPr>
              <w:numPr>
                <w:ilvl w:val="0"/>
                <w:numId w:val="1027"/>
              </w:numPr>
              <w:spacing w:before="240" w:after="0"/>
              <w:ind w:hanging="290"/>
              <w:jc w:val="left"/>
              <w:rPr>
                <w:szCs w:val="24"/>
              </w:rPr>
            </w:pPr>
            <w:r w:rsidRPr="005C3B55">
              <w:t xml:space="preserve">sub-measure M4.2, for activities which do not fall within the scope of Article 42 of the Treaty, i.e. for the field of selling electric and thermal energy, pursuant to: </w:t>
            </w:r>
          </w:p>
          <w:p w:rsidR="00C21266" w:rsidRPr="005C3B55" w:rsidRDefault="00C21266" w:rsidP="006E20B6">
            <w:pPr>
              <w:numPr>
                <w:ilvl w:val="1"/>
                <w:numId w:val="1027"/>
              </w:numPr>
              <w:spacing w:before="0" w:after="0"/>
              <w:ind w:hanging="324"/>
              <w:jc w:val="left"/>
              <w:rPr>
                <w:szCs w:val="24"/>
              </w:rPr>
            </w:pPr>
            <w:r w:rsidRPr="005C3B55">
              <w:t>Point 3.2. of Community Guidelines on State aid for environment protection and energy for the 2014-2020 period of 28 June 2014;</w:t>
            </w:r>
          </w:p>
          <w:p w:rsidR="00C21266" w:rsidRPr="005C3B55" w:rsidRDefault="00C21266" w:rsidP="006E20B6">
            <w:pPr>
              <w:numPr>
                <w:ilvl w:val="1"/>
                <w:numId w:val="1027"/>
              </w:numPr>
              <w:spacing w:before="0" w:after="240"/>
              <w:ind w:hanging="324"/>
              <w:jc w:val="left"/>
              <w:rPr>
                <w:szCs w:val="24"/>
              </w:rPr>
            </w:pPr>
            <w:r w:rsidRPr="005C3B55">
              <w:t>Article 41 of Commission Regulation (EC) No 651/2014 of 17 June 2014 declaring certain categories of aid compatible with the internal market in application of Articles 107 and 108 of the Treaty.</w:t>
            </w:r>
          </w:p>
          <w:p w:rsidR="00C21266" w:rsidRPr="005C3B55" w:rsidRDefault="00C21266">
            <w:pPr>
              <w:spacing w:before="240" w:after="240"/>
              <w:rPr>
                <w:szCs w:val="24"/>
              </w:rPr>
            </w:pPr>
            <w:r w:rsidRPr="005C3B55">
              <w:t> </w:t>
            </w:r>
          </w:p>
          <w:p w:rsidR="00C21266" w:rsidRPr="005C3B55" w:rsidRDefault="00C21266">
            <w:pPr>
              <w:pStyle w:val="Telobesedila"/>
              <w:rPr>
                <w:lang w:eastAsia="en-GB" w:bidi="en-GB"/>
              </w:rPr>
            </w:pPr>
          </w:p>
        </w:tc>
      </w:tr>
    </w:tbl>
    <w:p w:rsidR="00C21266" w:rsidRPr="005C3B55" w:rsidRDefault="00C21266" w:rsidP="00C21266">
      <w:pPr>
        <w:rPr>
          <w:rFonts w:eastAsia="Calibri"/>
          <w:szCs w:val="22"/>
          <w:lang w:eastAsia="en-GB" w:bidi="en-GB"/>
        </w:rPr>
      </w:pPr>
    </w:p>
    <w:p w:rsidR="00C21266" w:rsidRPr="005C3B55" w:rsidRDefault="00C21266" w:rsidP="00C21266">
      <w:pPr>
        <w:pStyle w:val="Naslov2"/>
        <w:tabs>
          <w:tab w:val="clear" w:pos="765"/>
        </w:tabs>
        <w:ind w:left="0" w:firstLine="0"/>
        <w:rPr>
          <w:lang w:val="en-GB"/>
        </w:rPr>
      </w:pPr>
      <w:bookmarkStart w:id="196" w:name="_Toc416192654"/>
      <w:r w:rsidRPr="005C3B55">
        <w:rPr>
          <w:lang w:val="en-GB"/>
        </w:rPr>
        <w:t>M04 - Investments in physical assets (Article 17)</w:t>
      </w:r>
      <w:bookmarkEnd w:id="196"/>
    </w:p>
    <w:p w:rsidR="00C21266" w:rsidRPr="005C3B55" w:rsidRDefault="00C21266" w:rsidP="00C21266">
      <w:r w:rsidRPr="005C3B55">
        <w:t xml:space="preserve">Name of support scheme: Investments related to processing or marketing agricultural products from Annex I to the Treaty of the RDP 2014-2020 </w:t>
      </w:r>
    </w:p>
    <w:p w:rsidR="00C21266" w:rsidRPr="005C3B55" w:rsidRDefault="00C21266" w:rsidP="00C21266">
      <w:r w:rsidRPr="005C3B55">
        <w:t>EAFRD (EUR): 22,500,000.00</w:t>
      </w:r>
    </w:p>
    <w:p w:rsidR="00C21266" w:rsidRPr="005C3B55" w:rsidRDefault="00C21266" w:rsidP="00C21266">
      <w:r w:rsidRPr="005C3B55">
        <w:t>National co-financing (EUR): 7,500,000.00</w:t>
      </w:r>
    </w:p>
    <w:p w:rsidR="00C21266" w:rsidRPr="005C3B55" w:rsidRDefault="00C21266" w:rsidP="00C21266">
      <w:r w:rsidRPr="005C3B55">
        <w:t xml:space="preserve">Additional national co-financing (EUR): </w:t>
      </w:r>
    </w:p>
    <w:p w:rsidR="00C21266" w:rsidRPr="005C3B55" w:rsidRDefault="00C21266" w:rsidP="00C21266">
      <w:r w:rsidRPr="005C3B55">
        <w:t>Total (EUR): 30,000,000.00</w:t>
      </w:r>
    </w:p>
    <w:p w:rsidR="00C21266" w:rsidRPr="005C3B55" w:rsidRDefault="00C21266" w:rsidP="00C21266">
      <w:pPr>
        <w:pStyle w:val="Naslov4"/>
        <w:tabs>
          <w:tab w:val="clear" w:pos="765"/>
        </w:tabs>
        <w:ind w:left="0" w:firstLine="0"/>
        <w:jc w:val="left"/>
        <w:rPr>
          <w:lang w:val="en-GB"/>
        </w:rPr>
      </w:pPr>
      <w:r w:rsidRPr="005C3B55">
        <w:rPr>
          <w:lang w:val="en-GB"/>
        </w:rPr>
        <w:t>Indications*:</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650" w:type="pct"/>
            <w:tcBorders>
              <w:top w:val="single" w:sz="8" w:space="0" w:color="000000"/>
              <w:left w:val="single" w:sz="8" w:space="0" w:color="000000"/>
              <w:bottom w:val="single" w:sz="8" w:space="0" w:color="000000"/>
              <w:right w:val="single" w:sz="8" w:space="0" w:color="000000"/>
            </w:tcBorders>
            <w:tcMar>
              <w:top w:w="60" w:type="dxa"/>
              <w:left w:w="108" w:type="dxa"/>
              <w:bottom w:w="120" w:type="dxa"/>
              <w:right w:w="108" w:type="dxa"/>
            </w:tcMar>
          </w:tcPr>
          <w:p w:rsidR="00C21266" w:rsidRPr="005C3B55" w:rsidRDefault="00C21266">
            <w:pPr>
              <w:spacing w:after="240"/>
              <w:rPr>
                <w:rFonts w:eastAsia="Calibri"/>
                <w:szCs w:val="24"/>
              </w:rPr>
            </w:pPr>
            <w:r w:rsidRPr="005C3B55">
              <w:t>Support under measure M04 (Article 17 of Regulation (EU) No 1305/2013) will be granted under:</w:t>
            </w:r>
          </w:p>
          <w:p w:rsidR="00C21266" w:rsidRPr="005C3B55" w:rsidRDefault="00C21266" w:rsidP="006E20B6">
            <w:pPr>
              <w:numPr>
                <w:ilvl w:val="0"/>
                <w:numId w:val="1028"/>
              </w:numPr>
              <w:spacing w:before="240" w:after="0"/>
              <w:ind w:hanging="290"/>
              <w:jc w:val="left"/>
              <w:rPr>
                <w:szCs w:val="24"/>
              </w:rPr>
            </w:pPr>
            <w:r w:rsidRPr="005C3B55">
              <w:t xml:space="preserve">sub-measure M04.2 for activities which do not fall within the scope of Article 42 of the Treaty, i.e. for the processing and marketing of agricultural products from Annex I to the Treaty whose end products are not agricultural and are not part of the list from Annex I to the Treaty, pursuant to: </w:t>
            </w:r>
          </w:p>
          <w:p w:rsidR="00C21266" w:rsidRPr="005C3B55" w:rsidRDefault="00C21266" w:rsidP="006E20B6">
            <w:pPr>
              <w:numPr>
                <w:ilvl w:val="1"/>
                <w:numId w:val="1028"/>
              </w:numPr>
              <w:spacing w:before="0" w:after="0"/>
              <w:ind w:hanging="324"/>
              <w:jc w:val="left"/>
              <w:rPr>
                <w:szCs w:val="24"/>
              </w:rPr>
            </w:pPr>
            <w:r w:rsidRPr="005C3B55">
              <w:t>Article 44 of Commission Regulation (EU) No 702/2014 of 25 June 2014 declaring certain categories of aid in the agricultural and forestry sectors and in rural areas compatible with the internal market in application of Articles 107 and 108 of the Treaty on the Functioning of the European Union;</w:t>
            </w:r>
          </w:p>
          <w:p w:rsidR="00C21266" w:rsidRPr="005C3B55" w:rsidRDefault="00C21266" w:rsidP="006E20B6">
            <w:pPr>
              <w:numPr>
                <w:ilvl w:val="1"/>
                <w:numId w:val="1028"/>
              </w:numPr>
              <w:spacing w:before="0" w:after="240"/>
              <w:ind w:hanging="324"/>
              <w:jc w:val="left"/>
              <w:rPr>
                <w:szCs w:val="24"/>
              </w:rPr>
            </w:pPr>
            <w:r w:rsidRPr="005C3B55">
              <w:t>point 3.1 in Chapter II of Community Guidelines on State aid in the agriculture and forestry sectors and in rural areas for the 2014-2020 period of 1 July 2014.</w:t>
            </w:r>
          </w:p>
          <w:p w:rsidR="00C21266" w:rsidRPr="005C3B55" w:rsidRDefault="00C21266">
            <w:pPr>
              <w:pStyle w:val="Telobesedila"/>
              <w:rPr>
                <w:lang w:eastAsia="en-GB" w:bidi="en-GB"/>
              </w:rPr>
            </w:pPr>
          </w:p>
        </w:tc>
      </w:tr>
    </w:tbl>
    <w:p w:rsidR="00C21266" w:rsidRPr="005C3B55" w:rsidRDefault="00C21266" w:rsidP="00C21266">
      <w:pPr>
        <w:rPr>
          <w:rFonts w:eastAsia="Calibri"/>
          <w:szCs w:val="22"/>
          <w:lang w:eastAsia="en-GB" w:bidi="en-GB"/>
        </w:rPr>
      </w:pPr>
    </w:p>
    <w:p w:rsidR="00C21266" w:rsidRPr="005C3B55" w:rsidRDefault="00C21266" w:rsidP="00C21266">
      <w:pPr>
        <w:pStyle w:val="Naslov2"/>
        <w:tabs>
          <w:tab w:val="clear" w:pos="765"/>
        </w:tabs>
        <w:ind w:left="0" w:firstLine="0"/>
        <w:rPr>
          <w:lang w:val="en-GB"/>
        </w:rPr>
      </w:pPr>
      <w:bookmarkStart w:id="197" w:name="_Toc416192655"/>
      <w:r w:rsidRPr="005C3B55">
        <w:rPr>
          <w:lang w:val="en-GB"/>
        </w:rPr>
        <w:t>M04 - Investments in physical assets (Article 17)</w:t>
      </w:r>
      <w:bookmarkEnd w:id="197"/>
    </w:p>
    <w:p w:rsidR="00C21266" w:rsidRPr="005C3B55" w:rsidRDefault="00C21266" w:rsidP="00C21266">
      <w:r w:rsidRPr="005C3B55">
        <w:t xml:space="preserve">Name of support scheme: Scheme of state aids of the RP 2014-2020 </w:t>
      </w:r>
    </w:p>
    <w:p w:rsidR="00C21266" w:rsidRPr="005C3B55" w:rsidRDefault="00C21266" w:rsidP="00C21266">
      <w:r w:rsidRPr="005C3B55">
        <w:t>EAFRD (EUR): 7,200,000.00</w:t>
      </w:r>
    </w:p>
    <w:p w:rsidR="00C21266" w:rsidRPr="005C3B55" w:rsidRDefault="00C21266" w:rsidP="00C21266">
      <w:r w:rsidRPr="005C3B55">
        <w:t>National co-financing (EUR): 2,400,000.00</w:t>
      </w:r>
    </w:p>
    <w:p w:rsidR="00C21266" w:rsidRPr="005C3B55" w:rsidRDefault="00C21266" w:rsidP="00C21266">
      <w:r w:rsidRPr="005C3B55">
        <w:t xml:space="preserve">Additional national co-financing (EUR): </w:t>
      </w:r>
    </w:p>
    <w:p w:rsidR="00C21266" w:rsidRPr="005C3B55" w:rsidRDefault="00C21266" w:rsidP="00C21266">
      <w:r w:rsidRPr="005C3B55">
        <w:t>Total (EUR): 9,600,000.00</w:t>
      </w:r>
    </w:p>
    <w:p w:rsidR="00C21266" w:rsidRPr="005C3B55" w:rsidRDefault="00C21266" w:rsidP="00C21266">
      <w:pPr>
        <w:pStyle w:val="Naslov4"/>
        <w:tabs>
          <w:tab w:val="clear" w:pos="765"/>
        </w:tabs>
        <w:ind w:left="0" w:firstLine="0"/>
        <w:jc w:val="left"/>
        <w:rPr>
          <w:lang w:val="en-GB"/>
        </w:rPr>
      </w:pPr>
      <w:r w:rsidRPr="005C3B55">
        <w:rPr>
          <w:lang w:val="en-GB"/>
        </w:rPr>
        <w:t>Indications*:</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650" w:type="pct"/>
            <w:tcBorders>
              <w:top w:val="single" w:sz="8" w:space="0" w:color="000000"/>
              <w:left w:val="single" w:sz="8" w:space="0" w:color="000000"/>
              <w:bottom w:val="single" w:sz="8" w:space="0" w:color="000000"/>
              <w:right w:val="single" w:sz="8" w:space="0" w:color="000000"/>
            </w:tcBorders>
            <w:tcMar>
              <w:top w:w="60" w:type="dxa"/>
              <w:left w:w="108" w:type="dxa"/>
              <w:bottom w:w="120" w:type="dxa"/>
              <w:right w:w="108" w:type="dxa"/>
            </w:tcMar>
          </w:tcPr>
          <w:p w:rsidR="00C21266" w:rsidRPr="005C3B55" w:rsidRDefault="00C21266">
            <w:pPr>
              <w:spacing w:after="240"/>
              <w:rPr>
                <w:rFonts w:eastAsia="Calibri"/>
                <w:szCs w:val="24"/>
              </w:rPr>
            </w:pPr>
            <w:r w:rsidRPr="005C3B55">
              <w:t>Support under measure M04 (Article 17 of Regulation (EU) No 1305/2013) will be granted under:</w:t>
            </w:r>
          </w:p>
          <w:p w:rsidR="00C21266" w:rsidRPr="005C3B55" w:rsidRDefault="00C21266" w:rsidP="006E20B6">
            <w:pPr>
              <w:numPr>
                <w:ilvl w:val="0"/>
                <w:numId w:val="1029"/>
              </w:numPr>
              <w:spacing w:before="240" w:after="0"/>
              <w:ind w:hanging="290"/>
              <w:jc w:val="left"/>
              <w:rPr>
                <w:szCs w:val="24"/>
              </w:rPr>
            </w:pPr>
            <w:r w:rsidRPr="005C3B55">
              <w:t xml:space="preserve">sub-measure M04.3, for activities which do not fall within the scope of Article 42 of the Treaty, i.e. for forestry activities, pursuant to: </w:t>
            </w:r>
          </w:p>
          <w:p w:rsidR="00C21266" w:rsidRPr="005C3B55" w:rsidRDefault="00C21266" w:rsidP="006E20B6">
            <w:pPr>
              <w:numPr>
                <w:ilvl w:val="1"/>
                <w:numId w:val="1029"/>
              </w:numPr>
              <w:spacing w:before="0" w:after="0"/>
              <w:ind w:hanging="324"/>
              <w:jc w:val="left"/>
              <w:rPr>
                <w:szCs w:val="24"/>
              </w:rPr>
            </w:pPr>
            <w:r w:rsidRPr="005C3B55">
              <w:t>Article 40 of Commission Regulation (EU) No 702/2014 of 25 June 2014 declaring certain categories of aid in the agricultural and forestry sectors and in rural areas compatible with the internal market in application of Articles 107 and 108 of the Treaty on the Functioning of the European Union;</w:t>
            </w:r>
          </w:p>
          <w:p w:rsidR="00C21266" w:rsidRPr="005C3B55" w:rsidRDefault="00C21266" w:rsidP="006E20B6">
            <w:pPr>
              <w:numPr>
                <w:ilvl w:val="1"/>
                <w:numId w:val="1029"/>
              </w:numPr>
              <w:spacing w:before="0" w:after="240"/>
              <w:ind w:hanging="324"/>
              <w:jc w:val="left"/>
              <w:rPr>
                <w:szCs w:val="24"/>
              </w:rPr>
            </w:pPr>
            <w:r w:rsidRPr="005C3B55">
              <w:t xml:space="preserve">point 2.1.6 in Chapter II of Community Guidelines on State aid in the agriculture and forestry sectors and in rural areas of the 2014-2020 period of 1 July 2014. </w:t>
            </w:r>
          </w:p>
          <w:p w:rsidR="00C21266" w:rsidRPr="005C3B55" w:rsidRDefault="00C21266">
            <w:pPr>
              <w:pStyle w:val="Telobesedila"/>
              <w:rPr>
                <w:lang w:eastAsia="en-GB" w:bidi="en-GB"/>
              </w:rPr>
            </w:pPr>
          </w:p>
        </w:tc>
      </w:tr>
    </w:tbl>
    <w:p w:rsidR="00C21266" w:rsidRPr="005C3B55" w:rsidRDefault="00C21266" w:rsidP="00C21266">
      <w:pPr>
        <w:rPr>
          <w:rFonts w:eastAsia="Calibri"/>
          <w:szCs w:val="22"/>
          <w:lang w:eastAsia="en-GB" w:bidi="en-GB"/>
        </w:rPr>
      </w:pPr>
    </w:p>
    <w:p w:rsidR="00C21266" w:rsidRPr="005C3B55" w:rsidRDefault="00C21266" w:rsidP="00C21266">
      <w:pPr>
        <w:pStyle w:val="Naslov2"/>
        <w:tabs>
          <w:tab w:val="clear" w:pos="765"/>
        </w:tabs>
        <w:ind w:left="0" w:firstLine="0"/>
        <w:rPr>
          <w:lang w:val="en-GB"/>
        </w:rPr>
      </w:pPr>
      <w:bookmarkStart w:id="198" w:name="_Toc416192656"/>
      <w:r w:rsidRPr="005C3B55">
        <w:rPr>
          <w:lang w:val="en-GB"/>
        </w:rPr>
        <w:t>M06 – Farm and business development (Article 19)</w:t>
      </w:r>
      <w:bookmarkEnd w:id="198"/>
    </w:p>
    <w:p w:rsidR="00C21266" w:rsidRPr="005C3B55" w:rsidRDefault="00C21266" w:rsidP="00C21266">
      <w:r w:rsidRPr="005C3B55">
        <w:t xml:space="preserve">Name of support scheme: Investments in the establishment and development of non-agricultural activities of the RDP 2014-2020 </w:t>
      </w:r>
    </w:p>
    <w:p w:rsidR="00C21266" w:rsidRPr="005C3B55" w:rsidRDefault="00C21266" w:rsidP="00C21266">
      <w:r w:rsidRPr="005C3B55">
        <w:t>EAFRD (EUR): 48,520,000.00</w:t>
      </w:r>
    </w:p>
    <w:p w:rsidR="00C21266" w:rsidRPr="005C3B55" w:rsidRDefault="00C21266" w:rsidP="00C21266">
      <w:r w:rsidRPr="005C3B55">
        <w:t>National co-financing (EUR): 16,173,333.33</w:t>
      </w:r>
    </w:p>
    <w:p w:rsidR="00C21266" w:rsidRPr="005C3B55" w:rsidRDefault="00C21266" w:rsidP="00C21266">
      <w:r w:rsidRPr="005C3B55">
        <w:t xml:space="preserve">Additional national co-financing (EUR): </w:t>
      </w:r>
    </w:p>
    <w:p w:rsidR="00C21266" w:rsidRPr="005C3B55" w:rsidRDefault="00C21266" w:rsidP="00C21266">
      <w:r w:rsidRPr="005C3B55">
        <w:t>Total (EUR): 64,693,333.33</w:t>
      </w:r>
    </w:p>
    <w:p w:rsidR="00C21266" w:rsidRPr="005C3B55" w:rsidRDefault="00C21266" w:rsidP="00C21266">
      <w:pPr>
        <w:pStyle w:val="Naslov4"/>
        <w:tabs>
          <w:tab w:val="clear" w:pos="765"/>
        </w:tabs>
        <w:ind w:left="0" w:firstLine="0"/>
        <w:jc w:val="left"/>
        <w:rPr>
          <w:lang w:val="en-GB"/>
        </w:rPr>
      </w:pPr>
      <w:r w:rsidRPr="005C3B55">
        <w:rPr>
          <w:lang w:val="en-GB"/>
        </w:rPr>
        <w:t>Indications*:</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650" w:type="pct"/>
            <w:tcBorders>
              <w:top w:val="single" w:sz="8" w:space="0" w:color="000000"/>
              <w:left w:val="single" w:sz="8" w:space="0" w:color="000000"/>
              <w:bottom w:val="single" w:sz="8" w:space="0" w:color="000000"/>
              <w:right w:val="single" w:sz="8" w:space="0" w:color="000000"/>
            </w:tcBorders>
            <w:tcMar>
              <w:top w:w="60" w:type="dxa"/>
              <w:left w:w="108" w:type="dxa"/>
              <w:bottom w:w="120" w:type="dxa"/>
              <w:right w:w="108" w:type="dxa"/>
            </w:tcMar>
          </w:tcPr>
          <w:p w:rsidR="00C21266" w:rsidRPr="005C3B55" w:rsidRDefault="00C21266">
            <w:pPr>
              <w:spacing w:after="240"/>
              <w:rPr>
                <w:rFonts w:eastAsia="Calibri"/>
                <w:szCs w:val="24"/>
              </w:rPr>
            </w:pPr>
            <w:r w:rsidRPr="005C3B55">
              <w:t>The support within the M06 measure (Article 19 of Regulation (EU) No 1305/2013), within the sub-measure M06.4 - Support for investments in the establishment and development of non-agricultural activities which do not fall fully within the scope of Article 42 of the Treaty will be pursuant to:</w:t>
            </w:r>
          </w:p>
          <w:p w:rsidR="00C21266" w:rsidRPr="005C3B55" w:rsidRDefault="00C21266" w:rsidP="006E20B6">
            <w:pPr>
              <w:numPr>
                <w:ilvl w:val="0"/>
                <w:numId w:val="1030"/>
              </w:numPr>
              <w:spacing w:before="240" w:after="0"/>
              <w:ind w:hanging="290"/>
              <w:jc w:val="left"/>
              <w:rPr>
                <w:szCs w:val="24"/>
              </w:rPr>
            </w:pPr>
            <w:r w:rsidRPr="005C3B55">
              <w:t xml:space="preserve">Commission Regulation (EU) No 1407/2013 of 18 December 2013 on the application of Articles 107 and 108 of the Treaty of the European Union to </w:t>
            </w:r>
            <w:r w:rsidRPr="005C3B55">
              <w:rPr>
                <w:i/>
              </w:rPr>
              <w:t>de minimis</w:t>
            </w:r>
            <w:r w:rsidRPr="005C3B55">
              <w:t xml:space="preserve"> aid;</w:t>
            </w:r>
          </w:p>
          <w:p w:rsidR="00C21266" w:rsidRPr="005C3B55" w:rsidRDefault="00C21266" w:rsidP="006E20B6">
            <w:pPr>
              <w:numPr>
                <w:ilvl w:val="0"/>
                <w:numId w:val="1030"/>
              </w:numPr>
              <w:spacing w:before="0" w:after="0"/>
              <w:ind w:hanging="290"/>
              <w:jc w:val="left"/>
              <w:rPr>
                <w:szCs w:val="24"/>
              </w:rPr>
            </w:pPr>
            <w:r w:rsidRPr="005C3B55">
              <w:t>Article 41 of Commission Regulation (EC) No 651/2014 of 17 June 2014 declaring certain categories of aid compatible with the internal market in application of Articles 107 and 108 of the Treaty;</w:t>
            </w:r>
          </w:p>
          <w:p w:rsidR="00C21266" w:rsidRPr="005C3B55" w:rsidRDefault="00C21266" w:rsidP="006E20B6">
            <w:pPr>
              <w:numPr>
                <w:ilvl w:val="0"/>
                <w:numId w:val="1030"/>
              </w:numPr>
              <w:spacing w:before="0" w:after="0"/>
              <w:ind w:hanging="290"/>
              <w:jc w:val="left"/>
              <w:rPr>
                <w:szCs w:val="24"/>
              </w:rPr>
            </w:pPr>
            <w:r w:rsidRPr="005C3B55">
              <w:t>Point 3.2. of Community Guidelines on State aid for environment protection and energy for the 2014-2020 period of 28 June 2014;</w:t>
            </w:r>
          </w:p>
          <w:p w:rsidR="00C21266" w:rsidRPr="005C3B55" w:rsidRDefault="00C21266" w:rsidP="006E20B6">
            <w:pPr>
              <w:numPr>
                <w:ilvl w:val="0"/>
                <w:numId w:val="1030"/>
              </w:numPr>
              <w:spacing w:before="0" w:after="0"/>
              <w:ind w:hanging="290"/>
              <w:jc w:val="left"/>
              <w:rPr>
                <w:szCs w:val="24"/>
              </w:rPr>
            </w:pPr>
            <w:r w:rsidRPr="005C3B55">
              <w:t>Article 41 of Commission Regulation (EU) No 702/2014 of 25 June 2014 declaring certain categories of aid in the agricultural and forestry sectors and in rural areas compatible with the internal market in application of Articles 107 and 108 of the Treaty on the Functioning of the European Union;</w:t>
            </w:r>
          </w:p>
          <w:p w:rsidR="00C21266" w:rsidRPr="005C3B55" w:rsidRDefault="00C21266" w:rsidP="006E20B6">
            <w:pPr>
              <w:numPr>
                <w:ilvl w:val="0"/>
                <w:numId w:val="1030"/>
              </w:numPr>
              <w:spacing w:before="0" w:after="240"/>
              <w:ind w:hanging="290"/>
              <w:jc w:val="left"/>
              <w:rPr>
                <w:szCs w:val="24"/>
              </w:rPr>
            </w:pPr>
            <w:r w:rsidRPr="005C3B55">
              <w:t>point 2.1.5 in Chapter II of Community Guidelines on State aid in the agriculture and forestry sectors and in rural areas of the 2014-2020 period of 1 July 2014.</w:t>
            </w:r>
          </w:p>
          <w:p w:rsidR="00C21266" w:rsidRPr="005C3B55" w:rsidRDefault="00C21266">
            <w:pPr>
              <w:pStyle w:val="Telobesedila"/>
              <w:rPr>
                <w:lang w:eastAsia="en-GB" w:bidi="en-GB"/>
              </w:rPr>
            </w:pPr>
          </w:p>
        </w:tc>
      </w:tr>
    </w:tbl>
    <w:p w:rsidR="00C21266" w:rsidRPr="005C3B55" w:rsidRDefault="00C21266" w:rsidP="00C21266">
      <w:pPr>
        <w:rPr>
          <w:rFonts w:eastAsia="Calibri"/>
          <w:szCs w:val="22"/>
          <w:lang w:eastAsia="en-GB" w:bidi="en-GB"/>
        </w:rPr>
      </w:pPr>
    </w:p>
    <w:p w:rsidR="00C21266" w:rsidRPr="005C3B55" w:rsidRDefault="00C21266" w:rsidP="00C21266">
      <w:pPr>
        <w:pStyle w:val="Naslov2"/>
        <w:tabs>
          <w:tab w:val="clear" w:pos="765"/>
        </w:tabs>
        <w:ind w:left="0" w:firstLine="0"/>
        <w:rPr>
          <w:lang w:val="en-GB"/>
        </w:rPr>
      </w:pPr>
      <w:bookmarkStart w:id="199" w:name="_Toc416192657"/>
      <w:r w:rsidRPr="005C3B55">
        <w:rPr>
          <w:lang w:val="en-GB"/>
        </w:rPr>
        <w:t>M07 – Basic services and village renewal in rural areas (Article 20)</w:t>
      </w:r>
      <w:bookmarkEnd w:id="199"/>
    </w:p>
    <w:p w:rsidR="00C21266" w:rsidRPr="005C3B55" w:rsidRDefault="00C21266" w:rsidP="00C21266">
      <w:r w:rsidRPr="005C3B55">
        <w:t>Name of support scheme: Development of the broadband network in Slovenia</w:t>
      </w:r>
    </w:p>
    <w:p w:rsidR="00C21266" w:rsidRPr="005C3B55" w:rsidRDefault="00C21266" w:rsidP="00C21266">
      <w:r w:rsidRPr="005C3B55">
        <w:t>EAFRD (EUR): 7,500,000.00</w:t>
      </w:r>
    </w:p>
    <w:p w:rsidR="00C21266" w:rsidRPr="005C3B55" w:rsidRDefault="00C21266" w:rsidP="00C21266">
      <w:r w:rsidRPr="005C3B55">
        <w:t>National co-financing (EUR): 2,500,000.00</w:t>
      </w:r>
    </w:p>
    <w:p w:rsidR="00C21266" w:rsidRPr="005C3B55" w:rsidRDefault="00C21266" w:rsidP="00C21266">
      <w:r w:rsidRPr="005C3B55">
        <w:t xml:space="preserve">Additional national co-financing (EUR): </w:t>
      </w:r>
    </w:p>
    <w:p w:rsidR="00C21266" w:rsidRPr="005C3B55" w:rsidRDefault="00C21266" w:rsidP="00C21266">
      <w:r w:rsidRPr="005C3B55">
        <w:t>Total (EUR): 10,000,000.00</w:t>
      </w:r>
    </w:p>
    <w:p w:rsidR="00C21266" w:rsidRPr="005C3B55" w:rsidRDefault="00C21266" w:rsidP="00C21266">
      <w:pPr>
        <w:pStyle w:val="Naslov4"/>
        <w:tabs>
          <w:tab w:val="clear" w:pos="765"/>
        </w:tabs>
        <w:ind w:left="0" w:firstLine="0"/>
        <w:jc w:val="left"/>
        <w:rPr>
          <w:lang w:val="en-GB"/>
        </w:rPr>
      </w:pPr>
      <w:r w:rsidRPr="005C3B55">
        <w:rPr>
          <w:lang w:val="en-GB"/>
        </w:rPr>
        <w:t>Indications*:</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650" w:type="pct"/>
            <w:tcBorders>
              <w:top w:val="single" w:sz="8" w:space="0" w:color="000000"/>
              <w:left w:val="single" w:sz="8" w:space="0" w:color="000000"/>
              <w:bottom w:val="single" w:sz="8" w:space="0" w:color="000000"/>
              <w:right w:val="single" w:sz="8" w:space="0" w:color="000000"/>
            </w:tcBorders>
            <w:tcMar>
              <w:top w:w="60" w:type="dxa"/>
              <w:left w:w="108" w:type="dxa"/>
              <w:bottom w:w="120" w:type="dxa"/>
              <w:right w:w="108" w:type="dxa"/>
            </w:tcMar>
          </w:tcPr>
          <w:p w:rsidR="00C21266" w:rsidRPr="005C3B55" w:rsidRDefault="00C21266">
            <w:pPr>
              <w:spacing w:after="240"/>
              <w:rPr>
                <w:rFonts w:eastAsia="Calibri"/>
                <w:szCs w:val="24"/>
              </w:rPr>
            </w:pPr>
            <w:r w:rsidRPr="005C3B55">
              <w:t xml:space="preserve">The support within the scope of this measure, the activities of which do not fall completely within the Article 42 of the Treaty, on the construction of broadband network of electronic communications in local communities in areas where the broadband infrastructure has not been constructed yet or where new interested parties do not have an option to gain access to the broadband network, since operators do show a commercial interest in its construction. </w:t>
            </w:r>
          </w:p>
          <w:p w:rsidR="00C21266" w:rsidRPr="005C3B55" w:rsidRDefault="00C21266">
            <w:pPr>
              <w:spacing w:before="240" w:after="240"/>
              <w:rPr>
                <w:szCs w:val="24"/>
              </w:rPr>
            </w:pPr>
            <w:r w:rsidRPr="005C3B55">
              <w:t>Support will be granted in accordance with:</w:t>
            </w:r>
          </w:p>
          <w:p w:rsidR="00C21266" w:rsidRPr="005C3B55" w:rsidRDefault="00C21266" w:rsidP="006E20B6">
            <w:pPr>
              <w:numPr>
                <w:ilvl w:val="0"/>
                <w:numId w:val="1031"/>
              </w:numPr>
              <w:spacing w:before="240" w:after="0"/>
              <w:ind w:hanging="290"/>
              <w:jc w:val="left"/>
              <w:rPr>
                <w:szCs w:val="24"/>
              </w:rPr>
            </w:pPr>
            <w:r w:rsidRPr="005C3B55">
              <w:t>EU Guidelines on the application of State aid rules in relation to the rapid deployment of broadband networks of 26 January 2013;</w:t>
            </w:r>
          </w:p>
          <w:p w:rsidR="00C21266" w:rsidRPr="005C3B55" w:rsidRDefault="00C21266" w:rsidP="006E20B6">
            <w:pPr>
              <w:numPr>
                <w:ilvl w:val="0"/>
                <w:numId w:val="1031"/>
              </w:numPr>
              <w:spacing w:before="0" w:after="240"/>
              <w:ind w:hanging="290"/>
              <w:jc w:val="left"/>
              <w:rPr>
                <w:szCs w:val="24"/>
              </w:rPr>
            </w:pPr>
            <w:r w:rsidRPr="005C3B55">
              <w:t>Article 52 of Commission Regulation (EC) No 651/2014 of 17 June 2014 declaring certain categories of aid compatible with the internal market in application of Articles 107 and 108 of the Treaty.</w:t>
            </w:r>
          </w:p>
          <w:p w:rsidR="00C21266" w:rsidRPr="005C3B55" w:rsidRDefault="00C21266">
            <w:pPr>
              <w:pStyle w:val="Telobesedila"/>
              <w:rPr>
                <w:lang w:eastAsia="en-GB" w:bidi="en-GB"/>
              </w:rPr>
            </w:pPr>
          </w:p>
        </w:tc>
      </w:tr>
    </w:tbl>
    <w:p w:rsidR="00C21266" w:rsidRPr="005C3B55" w:rsidRDefault="00C21266" w:rsidP="00C21266">
      <w:pPr>
        <w:rPr>
          <w:rFonts w:eastAsia="Calibri"/>
          <w:szCs w:val="22"/>
          <w:lang w:eastAsia="en-GB" w:bidi="en-GB"/>
        </w:rPr>
      </w:pPr>
    </w:p>
    <w:p w:rsidR="00C21266" w:rsidRPr="005C3B55" w:rsidRDefault="00C21266" w:rsidP="00C21266">
      <w:pPr>
        <w:pStyle w:val="Naslov2"/>
        <w:tabs>
          <w:tab w:val="clear" w:pos="765"/>
        </w:tabs>
        <w:ind w:left="0" w:firstLine="0"/>
        <w:rPr>
          <w:lang w:val="en-GB"/>
        </w:rPr>
      </w:pPr>
      <w:bookmarkStart w:id="200" w:name="_Toc416192658"/>
      <w:r w:rsidRPr="005C3B55">
        <w:rPr>
          <w:lang w:val="en-GB"/>
        </w:rPr>
        <w:t>M08 – Investments in forest area development and improvement of the viability of forests (Articles 21-26)</w:t>
      </w:r>
      <w:bookmarkEnd w:id="200"/>
    </w:p>
    <w:p w:rsidR="00C21266" w:rsidRPr="005C3B55" w:rsidRDefault="00C21266" w:rsidP="00C21266">
      <w:r w:rsidRPr="005C3B55">
        <w:t xml:space="preserve">Name of support scheme: Elimination of damage in forests due to glaze ice of the RDP 2014-2020 </w:t>
      </w:r>
    </w:p>
    <w:p w:rsidR="00C21266" w:rsidRPr="005C3B55" w:rsidRDefault="00C21266" w:rsidP="00C21266">
      <w:r w:rsidRPr="005C3B55">
        <w:t>EAFRD (EUR): 15,300,000.00</w:t>
      </w:r>
    </w:p>
    <w:p w:rsidR="00C21266" w:rsidRPr="005C3B55" w:rsidRDefault="00C21266" w:rsidP="00C21266">
      <w:r w:rsidRPr="005C3B55">
        <w:t>National co-financing (EUR): 5,100,000.00</w:t>
      </w:r>
    </w:p>
    <w:p w:rsidR="00C21266" w:rsidRPr="005C3B55" w:rsidRDefault="00C21266" w:rsidP="00C21266">
      <w:r w:rsidRPr="005C3B55">
        <w:t xml:space="preserve">Additional national co-financing (EUR): </w:t>
      </w:r>
    </w:p>
    <w:p w:rsidR="00C21266" w:rsidRPr="005C3B55" w:rsidRDefault="00C21266" w:rsidP="00C21266">
      <w:r w:rsidRPr="005C3B55">
        <w:t>Total (EUR): 20,400,000.00</w:t>
      </w:r>
    </w:p>
    <w:p w:rsidR="00C21266" w:rsidRPr="005C3B55" w:rsidRDefault="00C21266" w:rsidP="00C21266">
      <w:pPr>
        <w:pStyle w:val="Naslov4"/>
        <w:tabs>
          <w:tab w:val="clear" w:pos="765"/>
        </w:tabs>
        <w:ind w:left="0" w:firstLine="0"/>
        <w:jc w:val="left"/>
        <w:rPr>
          <w:lang w:val="en-GB"/>
        </w:rPr>
      </w:pPr>
      <w:r w:rsidRPr="005C3B55">
        <w:rPr>
          <w:lang w:val="en-GB"/>
        </w:rPr>
        <w:t>Indications*:</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650" w:type="pct"/>
            <w:tcBorders>
              <w:top w:val="single" w:sz="8" w:space="0" w:color="000000"/>
              <w:left w:val="single" w:sz="8" w:space="0" w:color="000000"/>
              <w:bottom w:val="single" w:sz="8" w:space="0" w:color="000000"/>
              <w:right w:val="single" w:sz="8" w:space="0" w:color="000000"/>
            </w:tcBorders>
            <w:tcMar>
              <w:top w:w="60" w:type="dxa"/>
              <w:left w:w="108" w:type="dxa"/>
              <w:bottom w:w="120" w:type="dxa"/>
              <w:right w:w="108" w:type="dxa"/>
            </w:tcMar>
          </w:tcPr>
          <w:p w:rsidR="00C21266" w:rsidRPr="005C3B55" w:rsidRDefault="00C21266">
            <w:pPr>
              <w:spacing w:after="240"/>
              <w:rPr>
                <w:rFonts w:eastAsia="Calibri"/>
                <w:szCs w:val="24"/>
              </w:rPr>
            </w:pPr>
            <w:r w:rsidRPr="005C3B55">
              <w:t>Support under sub-measure M08.4 (Article 24 of Regulation (EU) No 1305/2013) is intended for activities which do not fully fall within the scope of Article 42 of the Treaty, i.e. for forestry activities, and will be granted pursuant to:</w:t>
            </w:r>
          </w:p>
          <w:p w:rsidR="00C21266" w:rsidRPr="005C3B55" w:rsidRDefault="00C21266" w:rsidP="006E20B6">
            <w:pPr>
              <w:numPr>
                <w:ilvl w:val="0"/>
                <w:numId w:val="1032"/>
              </w:numPr>
              <w:spacing w:before="240" w:after="0"/>
              <w:ind w:hanging="290"/>
              <w:jc w:val="left"/>
              <w:rPr>
                <w:szCs w:val="24"/>
              </w:rPr>
            </w:pPr>
            <w:r w:rsidRPr="005C3B55">
              <w:t>Article 34 of Commission Regulation (EU) No 702/2014 of 25 June 2014 declaring certain categories of aid in the agricultural and forestry sectors and in rural areas compatible with the internal market in application of Articles 107 and 108 of the Treaty on the Functioning of the European Union;</w:t>
            </w:r>
          </w:p>
          <w:p w:rsidR="00C21266" w:rsidRPr="005C3B55" w:rsidRDefault="00C21266" w:rsidP="006E20B6">
            <w:pPr>
              <w:numPr>
                <w:ilvl w:val="0"/>
                <w:numId w:val="1032"/>
              </w:numPr>
              <w:spacing w:before="0" w:after="240"/>
              <w:ind w:hanging="290"/>
              <w:jc w:val="left"/>
              <w:rPr>
                <w:szCs w:val="24"/>
              </w:rPr>
            </w:pPr>
            <w:r w:rsidRPr="005C3B55">
              <w:t>point 2.1.3 in Chapter II of Community Guidelines on State aid in the agriculture and forestry sectors and in rural areas of the 2014-2020 period of 1 July 2014.</w:t>
            </w:r>
          </w:p>
          <w:p w:rsidR="00C21266" w:rsidRPr="005C3B55" w:rsidRDefault="00C21266">
            <w:pPr>
              <w:pStyle w:val="Telobesedila"/>
              <w:rPr>
                <w:lang w:eastAsia="en-GB" w:bidi="en-GB"/>
              </w:rPr>
            </w:pPr>
          </w:p>
        </w:tc>
      </w:tr>
    </w:tbl>
    <w:p w:rsidR="00C21266" w:rsidRPr="005C3B55" w:rsidRDefault="00C21266" w:rsidP="00C21266">
      <w:pPr>
        <w:rPr>
          <w:rFonts w:eastAsia="Calibri"/>
          <w:szCs w:val="22"/>
          <w:lang w:eastAsia="en-GB" w:bidi="en-GB"/>
        </w:rPr>
      </w:pPr>
    </w:p>
    <w:p w:rsidR="00C21266" w:rsidRPr="005C3B55" w:rsidRDefault="00C21266" w:rsidP="00C21266">
      <w:pPr>
        <w:pStyle w:val="Naslov2"/>
        <w:tabs>
          <w:tab w:val="clear" w:pos="765"/>
        </w:tabs>
        <w:ind w:left="0" w:firstLine="0"/>
        <w:rPr>
          <w:lang w:val="en-GB"/>
        </w:rPr>
      </w:pPr>
      <w:bookmarkStart w:id="201" w:name="_Toc416192659"/>
      <w:r w:rsidRPr="005C3B55">
        <w:rPr>
          <w:lang w:val="en-GB"/>
        </w:rPr>
        <w:t>M08 – Investments in forest area development and improvement of the viability of forests (Articles 21-26)</w:t>
      </w:r>
      <w:bookmarkEnd w:id="201"/>
    </w:p>
    <w:p w:rsidR="00C21266" w:rsidRPr="005C3B55" w:rsidRDefault="00C21266" w:rsidP="00C21266">
      <w:r w:rsidRPr="005C3B55">
        <w:t xml:space="preserve">Name of support scheme: Scheme of state aids of the RP 2014-2020 </w:t>
      </w:r>
    </w:p>
    <w:p w:rsidR="00C21266" w:rsidRPr="005C3B55" w:rsidRDefault="00C21266" w:rsidP="00C21266">
      <w:r w:rsidRPr="005C3B55">
        <w:t>EAFRD (EUR): 29,250,000.00</w:t>
      </w:r>
    </w:p>
    <w:p w:rsidR="00C21266" w:rsidRPr="005C3B55" w:rsidRDefault="00C21266" w:rsidP="00C21266">
      <w:r w:rsidRPr="005C3B55">
        <w:t>National co-financing (EUR): 9,750,000.00</w:t>
      </w:r>
    </w:p>
    <w:p w:rsidR="00C21266" w:rsidRPr="005C3B55" w:rsidRDefault="00C21266" w:rsidP="00C21266">
      <w:r w:rsidRPr="005C3B55">
        <w:t xml:space="preserve">Additional national co-financing (EUR): </w:t>
      </w:r>
    </w:p>
    <w:p w:rsidR="00C21266" w:rsidRPr="005C3B55" w:rsidRDefault="00C21266" w:rsidP="00C21266">
      <w:r w:rsidRPr="005C3B55">
        <w:t>Total (EUR): 39,000,000.00</w:t>
      </w:r>
    </w:p>
    <w:p w:rsidR="00C21266" w:rsidRPr="005C3B55" w:rsidRDefault="00C21266" w:rsidP="00C21266">
      <w:pPr>
        <w:pStyle w:val="Naslov4"/>
        <w:tabs>
          <w:tab w:val="clear" w:pos="765"/>
        </w:tabs>
        <w:ind w:left="0" w:firstLine="0"/>
        <w:jc w:val="left"/>
        <w:rPr>
          <w:lang w:val="en-GB"/>
        </w:rPr>
      </w:pPr>
      <w:r w:rsidRPr="005C3B55">
        <w:rPr>
          <w:lang w:val="en-GB"/>
        </w:rPr>
        <w:t>Indications*:</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650" w:type="pct"/>
            <w:tcBorders>
              <w:top w:val="single" w:sz="8" w:space="0" w:color="000000"/>
              <w:left w:val="single" w:sz="8" w:space="0" w:color="000000"/>
              <w:bottom w:val="single" w:sz="8" w:space="0" w:color="000000"/>
              <w:right w:val="single" w:sz="8" w:space="0" w:color="000000"/>
            </w:tcBorders>
            <w:tcMar>
              <w:top w:w="60" w:type="dxa"/>
              <w:left w:w="108" w:type="dxa"/>
              <w:bottom w:w="120" w:type="dxa"/>
              <w:right w:w="108" w:type="dxa"/>
            </w:tcMar>
          </w:tcPr>
          <w:p w:rsidR="00C21266" w:rsidRPr="005C3B55" w:rsidRDefault="00C21266">
            <w:pPr>
              <w:spacing w:after="240"/>
              <w:rPr>
                <w:rFonts w:eastAsia="Calibri"/>
                <w:szCs w:val="24"/>
              </w:rPr>
            </w:pPr>
            <w:r w:rsidRPr="005C3B55">
              <w:t>Support under sub-measure M08.6 (Article 26 of Regulation (EU) No 1305/2013) is intended for operation Investments in the purchase of new machinery and equipment for timber harvesting and for operation Investments in non-industrial processing of wood, which do not fully fall within the scope of Article 42 of the Treaty, i.e. for forestry activities, and will be granted pursuant to:</w:t>
            </w:r>
          </w:p>
          <w:p w:rsidR="00C21266" w:rsidRPr="005C3B55" w:rsidRDefault="00C21266" w:rsidP="006E20B6">
            <w:pPr>
              <w:numPr>
                <w:ilvl w:val="0"/>
                <w:numId w:val="1033"/>
              </w:numPr>
              <w:spacing w:before="240" w:after="0"/>
              <w:ind w:hanging="290"/>
              <w:jc w:val="left"/>
              <w:rPr>
                <w:szCs w:val="24"/>
              </w:rPr>
            </w:pPr>
            <w:r w:rsidRPr="005C3B55">
              <w:t>Article 41 of Commission Regulation (EU) No 702/2014 of 25 June 2014 declaring certain categories of aid in the agricultural and forestry sectors and in rural areas compatible with the internal market in application of Articles 107 and 108 of the Treaty on the Functioning of the European Union;</w:t>
            </w:r>
          </w:p>
          <w:p w:rsidR="00C21266" w:rsidRPr="005C3B55" w:rsidRDefault="00C21266" w:rsidP="006E20B6">
            <w:pPr>
              <w:numPr>
                <w:ilvl w:val="0"/>
                <w:numId w:val="1033"/>
              </w:numPr>
              <w:spacing w:before="0" w:after="240"/>
              <w:ind w:hanging="290"/>
              <w:jc w:val="left"/>
              <w:rPr>
                <w:szCs w:val="24"/>
              </w:rPr>
            </w:pPr>
            <w:r w:rsidRPr="005C3B55">
              <w:t>point 2.1.5 in Chapter II of Community Guidelines on State aid in the agriculture and forestry sectors and in rural areas of the 2014-2020 period of 1 July 2014.</w:t>
            </w:r>
          </w:p>
          <w:p w:rsidR="00C21266" w:rsidRPr="005C3B55" w:rsidRDefault="00C21266">
            <w:pPr>
              <w:pStyle w:val="Telobesedila"/>
              <w:rPr>
                <w:lang w:eastAsia="en-GB" w:bidi="en-GB"/>
              </w:rPr>
            </w:pPr>
          </w:p>
        </w:tc>
      </w:tr>
    </w:tbl>
    <w:p w:rsidR="00C21266" w:rsidRPr="005C3B55" w:rsidRDefault="00C21266" w:rsidP="00C21266">
      <w:pPr>
        <w:rPr>
          <w:rFonts w:eastAsia="Calibri"/>
          <w:szCs w:val="22"/>
          <w:lang w:eastAsia="en-GB" w:bidi="en-GB"/>
        </w:rPr>
      </w:pPr>
    </w:p>
    <w:p w:rsidR="00C21266" w:rsidRPr="005C3B55" w:rsidRDefault="00C21266" w:rsidP="00C21266">
      <w:pPr>
        <w:pStyle w:val="Naslov2"/>
        <w:tabs>
          <w:tab w:val="clear" w:pos="765"/>
        </w:tabs>
        <w:ind w:left="0" w:firstLine="0"/>
        <w:rPr>
          <w:lang w:val="en-GB"/>
        </w:rPr>
      </w:pPr>
      <w:bookmarkStart w:id="202" w:name="_Toc416192660"/>
      <w:r w:rsidRPr="005C3B55">
        <w:rPr>
          <w:lang w:val="en-GB"/>
        </w:rPr>
        <w:t>M09 – Setting-up of producer groups and organisations (Article 27)</w:t>
      </w:r>
      <w:bookmarkEnd w:id="202"/>
    </w:p>
    <w:p w:rsidR="00C21266" w:rsidRPr="005C3B55" w:rsidRDefault="00C21266" w:rsidP="00C21266">
      <w:r w:rsidRPr="005C3B55">
        <w:t xml:space="preserve">Name of support scheme: Establishment of groups and organisations of producers of the RDP 2014-2020 </w:t>
      </w:r>
    </w:p>
    <w:p w:rsidR="00C21266" w:rsidRPr="005C3B55" w:rsidRDefault="00C21266" w:rsidP="00C21266">
      <w:r w:rsidRPr="005C3B55">
        <w:t>EAFRD (EUR): 902,360.00</w:t>
      </w:r>
    </w:p>
    <w:p w:rsidR="00C21266" w:rsidRPr="005C3B55" w:rsidRDefault="00C21266" w:rsidP="00C21266">
      <w:r w:rsidRPr="005C3B55">
        <w:t>National co-financing (EUR): 225,590.00</w:t>
      </w:r>
    </w:p>
    <w:p w:rsidR="00C21266" w:rsidRPr="005C3B55" w:rsidRDefault="00C21266" w:rsidP="00C21266">
      <w:r w:rsidRPr="005C3B55">
        <w:t xml:space="preserve">Additional national co-financing (EUR): </w:t>
      </w:r>
    </w:p>
    <w:p w:rsidR="00C21266" w:rsidRPr="005C3B55" w:rsidRDefault="00C21266" w:rsidP="00C21266">
      <w:r w:rsidRPr="005C3B55">
        <w:t>Total (EUR): 1,127,950.00</w:t>
      </w:r>
    </w:p>
    <w:p w:rsidR="00C21266" w:rsidRPr="005C3B55" w:rsidRDefault="00C21266" w:rsidP="00C21266">
      <w:pPr>
        <w:pStyle w:val="Naslov4"/>
        <w:tabs>
          <w:tab w:val="clear" w:pos="765"/>
        </w:tabs>
        <w:ind w:left="0" w:firstLine="0"/>
        <w:jc w:val="left"/>
        <w:rPr>
          <w:lang w:val="en-GB"/>
        </w:rPr>
      </w:pPr>
      <w:r w:rsidRPr="005C3B55">
        <w:rPr>
          <w:lang w:val="en-GB"/>
        </w:rPr>
        <w:t>Indications*:</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650" w:type="pct"/>
            <w:tcBorders>
              <w:top w:val="single" w:sz="8" w:space="0" w:color="000000"/>
              <w:left w:val="single" w:sz="8" w:space="0" w:color="000000"/>
              <w:bottom w:val="single" w:sz="8" w:space="0" w:color="000000"/>
              <w:right w:val="single" w:sz="8" w:space="0" w:color="000000"/>
            </w:tcBorders>
            <w:tcMar>
              <w:top w:w="60" w:type="dxa"/>
              <w:left w:w="108" w:type="dxa"/>
              <w:bottom w:w="120" w:type="dxa"/>
              <w:right w:w="108" w:type="dxa"/>
            </w:tcMar>
          </w:tcPr>
          <w:p w:rsidR="00C21266" w:rsidRPr="005C3B55" w:rsidRDefault="00C21266">
            <w:pPr>
              <w:spacing w:after="240"/>
              <w:rPr>
                <w:rFonts w:eastAsia="Calibri"/>
                <w:szCs w:val="24"/>
              </w:rPr>
            </w:pPr>
            <w:r w:rsidRPr="005C3B55">
              <w:t>Support under measure M09 (Article 27 of Regulation (EU) No 1305/2013) is intended for activities which do not fall within the scope of Article 42 of the Treaty, i.e. for forestry activities, and will be granted pursuant to:</w:t>
            </w:r>
          </w:p>
          <w:p w:rsidR="00C21266" w:rsidRPr="005C3B55" w:rsidRDefault="00C21266" w:rsidP="006E20B6">
            <w:pPr>
              <w:numPr>
                <w:ilvl w:val="0"/>
                <w:numId w:val="1034"/>
              </w:numPr>
              <w:spacing w:before="240" w:after="0"/>
              <w:ind w:hanging="290"/>
              <w:jc w:val="left"/>
              <w:rPr>
                <w:szCs w:val="24"/>
              </w:rPr>
            </w:pPr>
            <w:r w:rsidRPr="005C3B55">
              <w:t xml:space="preserve">point 2.7 in Chapter II of Community Guidelines on State aid in the agriculture and forestry sectors and in rural areas for the 2014-2020 period of 1 July 2014. </w:t>
            </w:r>
          </w:p>
          <w:p w:rsidR="00C21266" w:rsidRPr="005C3B55" w:rsidRDefault="00C21266" w:rsidP="006E20B6">
            <w:pPr>
              <w:numPr>
                <w:ilvl w:val="0"/>
                <w:numId w:val="1034"/>
              </w:numPr>
              <w:spacing w:before="0" w:after="240"/>
              <w:ind w:hanging="290"/>
              <w:jc w:val="left"/>
              <w:rPr>
                <w:szCs w:val="24"/>
              </w:rPr>
            </w:pPr>
            <w:r w:rsidRPr="005C3B55">
              <w:t xml:space="preserve">Commission Regulation (EU) No 1407/2013 of 18 December 2013 on the application of Articles 107 and 108 of the Treaty of the European Union to </w:t>
            </w:r>
            <w:r w:rsidRPr="005C3B55">
              <w:rPr>
                <w:i/>
              </w:rPr>
              <w:t xml:space="preserve">de minimis </w:t>
            </w:r>
            <w:r w:rsidRPr="005C3B55">
              <w:t>aid;</w:t>
            </w:r>
          </w:p>
          <w:p w:rsidR="00C21266" w:rsidRPr="005C3B55" w:rsidRDefault="00C21266">
            <w:pPr>
              <w:pStyle w:val="Telobesedila"/>
              <w:rPr>
                <w:lang w:eastAsia="en-GB" w:bidi="en-GB"/>
              </w:rPr>
            </w:pPr>
          </w:p>
        </w:tc>
      </w:tr>
    </w:tbl>
    <w:p w:rsidR="00C21266" w:rsidRPr="005C3B55" w:rsidRDefault="00C21266" w:rsidP="00C21266">
      <w:pPr>
        <w:rPr>
          <w:rFonts w:eastAsia="Calibri"/>
          <w:szCs w:val="22"/>
          <w:lang w:eastAsia="en-GB" w:bidi="en-GB"/>
        </w:rPr>
      </w:pPr>
    </w:p>
    <w:p w:rsidR="00C21266" w:rsidRPr="005C3B55" w:rsidRDefault="00C21266" w:rsidP="00C21266">
      <w:pPr>
        <w:pStyle w:val="Naslov2"/>
        <w:tabs>
          <w:tab w:val="clear" w:pos="765"/>
        </w:tabs>
        <w:ind w:left="0" w:firstLine="0"/>
        <w:rPr>
          <w:lang w:val="en-GB"/>
        </w:rPr>
      </w:pPr>
      <w:bookmarkStart w:id="203" w:name="_Toc416192661"/>
      <w:r w:rsidRPr="005C3B55">
        <w:rPr>
          <w:lang w:val="en-GB"/>
        </w:rPr>
        <w:t>M16 – Cooperation (Article 35)</w:t>
      </w:r>
      <w:bookmarkEnd w:id="203"/>
    </w:p>
    <w:p w:rsidR="00C21266" w:rsidRPr="005C3B55" w:rsidRDefault="00C21266" w:rsidP="00C21266">
      <w:r w:rsidRPr="005C3B55">
        <w:t xml:space="preserve">Name of support scheme: Cooperation of the RDP 2014-2020 </w:t>
      </w:r>
    </w:p>
    <w:p w:rsidR="00C21266" w:rsidRPr="005C3B55" w:rsidRDefault="00C21266" w:rsidP="00C21266">
      <w:r w:rsidRPr="005C3B55">
        <w:t>EAFRD (EUR): 11,235,000.00</w:t>
      </w:r>
    </w:p>
    <w:p w:rsidR="00C21266" w:rsidRPr="005C3B55" w:rsidRDefault="00C21266" w:rsidP="00C21266">
      <w:r w:rsidRPr="005C3B55">
        <w:t>National co-financing (EUR): 2,808,750.00</w:t>
      </w:r>
    </w:p>
    <w:p w:rsidR="00C21266" w:rsidRPr="005C3B55" w:rsidRDefault="00C21266" w:rsidP="00C21266">
      <w:r w:rsidRPr="005C3B55">
        <w:t xml:space="preserve">Additional national co-financing (EUR): </w:t>
      </w:r>
    </w:p>
    <w:p w:rsidR="00C21266" w:rsidRPr="005C3B55" w:rsidRDefault="00C21266" w:rsidP="00C21266">
      <w:r w:rsidRPr="005C3B55">
        <w:t>Total (EUR): 14,043,750.00</w:t>
      </w:r>
    </w:p>
    <w:p w:rsidR="00C21266" w:rsidRPr="005C3B55" w:rsidRDefault="00C21266" w:rsidP="00C21266">
      <w:pPr>
        <w:pStyle w:val="Naslov4"/>
        <w:tabs>
          <w:tab w:val="clear" w:pos="765"/>
        </w:tabs>
        <w:ind w:left="0" w:firstLine="0"/>
        <w:jc w:val="left"/>
        <w:rPr>
          <w:lang w:val="en-GB"/>
        </w:rPr>
      </w:pPr>
      <w:r w:rsidRPr="005C3B55">
        <w:rPr>
          <w:lang w:val="en-GB"/>
        </w:rPr>
        <w:t>Indications*:</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650" w:type="pct"/>
            <w:tcBorders>
              <w:top w:val="single" w:sz="8" w:space="0" w:color="000000"/>
              <w:left w:val="single" w:sz="8" w:space="0" w:color="000000"/>
              <w:bottom w:val="single" w:sz="8" w:space="0" w:color="000000"/>
              <w:right w:val="single" w:sz="8" w:space="0" w:color="000000"/>
            </w:tcBorders>
            <w:tcMar>
              <w:top w:w="60" w:type="dxa"/>
              <w:left w:w="108" w:type="dxa"/>
              <w:bottom w:w="120" w:type="dxa"/>
              <w:right w:w="108" w:type="dxa"/>
            </w:tcMar>
          </w:tcPr>
          <w:p w:rsidR="00C21266" w:rsidRPr="005C3B55" w:rsidRDefault="00C21266">
            <w:pPr>
              <w:spacing w:after="240"/>
              <w:rPr>
                <w:rFonts w:eastAsia="Calibri"/>
                <w:szCs w:val="24"/>
              </w:rPr>
            </w:pPr>
            <w:r w:rsidRPr="005C3B55">
              <w:t>The support for the measure M16 for activities which do not fall within the Article 42 of the Treaty will be granted pursuant to</w:t>
            </w:r>
          </w:p>
          <w:p w:rsidR="00C21266" w:rsidRPr="005C3B55" w:rsidRDefault="00C21266" w:rsidP="006E20B6">
            <w:pPr>
              <w:numPr>
                <w:ilvl w:val="0"/>
                <w:numId w:val="1035"/>
              </w:numPr>
              <w:spacing w:before="240" w:after="0"/>
              <w:ind w:hanging="290"/>
              <w:jc w:val="left"/>
              <w:rPr>
                <w:szCs w:val="24"/>
              </w:rPr>
            </w:pPr>
            <w:r w:rsidRPr="005C3B55">
              <w:t>points 2.6 and 3.10. in Chapter II of Community Guidelines on State aid in the agriculture and forestry sectors and in rural areas of the 2014-2020 period of 1 July 2014;</w:t>
            </w:r>
          </w:p>
          <w:p w:rsidR="00C21266" w:rsidRPr="005C3B55" w:rsidRDefault="00C21266" w:rsidP="006E20B6">
            <w:pPr>
              <w:numPr>
                <w:ilvl w:val="0"/>
                <w:numId w:val="1035"/>
              </w:numPr>
              <w:spacing w:before="0" w:after="0"/>
              <w:ind w:hanging="290"/>
              <w:jc w:val="left"/>
              <w:rPr>
                <w:szCs w:val="24"/>
              </w:rPr>
            </w:pPr>
            <w:r w:rsidRPr="005C3B55">
              <w:t xml:space="preserve">Commission Regulation (EU) No 1407/2013 of 18 December 2013 on the application of Articles 107 and 108 of the Treaty of the European Union to </w:t>
            </w:r>
            <w:r w:rsidRPr="005C3B55">
              <w:rPr>
                <w:i/>
              </w:rPr>
              <w:t xml:space="preserve">de minimis </w:t>
            </w:r>
            <w:r w:rsidRPr="005C3B55">
              <w:t>aid;</w:t>
            </w:r>
          </w:p>
          <w:p w:rsidR="00C21266" w:rsidRPr="005C3B55" w:rsidRDefault="00C21266" w:rsidP="006E20B6">
            <w:pPr>
              <w:numPr>
                <w:ilvl w:val="0"/>
                <w:numId w:val="1035"/>
              </w:numPr>
              <w:spacing w:before="0" w:after="240"/>
              <w:ind w:hanging="290"/>
              <w:jc w:val="left"/>
              <w:rPr>
                <w:szCs w:val="24"/>
              </w:rPr>
            </w:pPr>
            <w:r w:rsidRPr="005C3B55">
              <w:t>Commission Regulation (EU) No 651/2014 of 17 June 2014 declaring certain categories of aid compatible with the internal market in application of Articles 107 and 108 of the Treaty;</w:t>
            </w:r>
          </w:p>
          <w:p w:rsidR="00C21266" w:rsidRPr="005C3B55" w:rsidRDefault="00C21266">
            <w:pPr>
              <w:pStyle w:val="Telobesedila"/>
              <w:rPr>
                <w:lang w:eastAsia="en-GB" w:bidi="en-GB"/>
              </w:rPr>
            </w:pPr>
          </w:p>
        </w:tc>
      </w:tr>
    </w:tbl>
    <w:p w:rsidR="00C21266" w:rsidRPr="005C3B55" w:rsidRDefault="00C21266" w:rsidP="00C21266">
      <w:pPr>
        <w:rPr>
          <w:rFonts w:eastAsia="Calibri"/>
          <w:szCs w:val="22"/>
          <w:lang w:eastAsia="en-GB" w:bidi="en-GB"/>
        </w:rPr>
      </w:pPr>
    </w:p>
    <w:p w:rsidR="00C21266" w:rsidRPr="005C3B55" w:rsidRDefault="00C21266" w:rsidP="00C21266">
      <w:pPr>
        <w:pStyle w:val="Naslov2"/>
        <w:tabs>
          <w:tab w:val="clear" w:pos="765"/>
        </w:tabs>
        <w:ind w:left="0" w:firstLine="0"/>
        <w:rPr>
          <w:lang w:val="en-GB"/>
        </w:rPr>
      </w:pPr>
      <w:bookmarkStart w:id="204" w:name="_Toc416192662"/>
      <w:r w:rsidRPr="005C3B55">
        <w:rPr>
          <w:lang w:val="en-GB"/>
        </w:rPr>
        <w:t>M19 – Support for LEADER local development (CLLD – community-led local development) (Article 35 of Regulation (EU) No 1303/2013)</w:t>
      </w:r>
      <w:bookmarkEnd w:id="204"/>
    </w:p>
    <w:p w:rsidR="00C21266" w:rsidRPr="005C3B55" w:rsidRDefault="00C21266" w:rsidP="00C21266">
      <w:r w:rsidRPr="005C3B55">
        <w:t xml:space="preserve">Name of support scheme: LEADER of the RDP 2014-2020 </w:t>
      </w:r>
    </w:p>
    <w:p w:rsidR="00C21266" w:rsidRPr="005C3B55" w:rsidRDefault="00C21266" w:rsidP="00C21266">
      <w:r w:rsidRPr="005C3B55">
        <w:t>EAFRD (EUR): 41,892,491.00</w:t>
      </w:r>
    </w:p>
    <w:p w:rsidR="00C21266" w:rsidRPr="005C3B55" w:rsidRDefault="00C21266" w:rsidP="00C21266">
      <w:r w:rsidRPr="005C3B55">
        <w:t>National co-financing (EUR): 10,473,122.75</w:t>
      </w:r>
    </w:p>
    <w:p w:rsidR="00C21266" w:rsidRPr="005C3B55" w:rsidRDefault="00C21266" w:rsidP="00C21266">
      <w:r w:rsidRPr="005C3B55">
        <w:t xml:space="preserve">Additional national co-financing (EUR): </w:t>
      </w:r>
    </w:p>
    <w:p w:rsidR="00C21266" w:rsidRPr="005C3B55" w:rsidRDefault="00C21266" w:rsidP="00C21266">
      <w:r w:rsidRPr="005C3B55">
        <w:t>Total (EUR): 52,365,613.75</w:t>
      </w:r>
    </w:p>
    <w:p w:rsidR="00C21266" w:rsidRPr="005C3B55" w:rsidRDefault="00C21266" w:rsidP="00C21266">
      <w:pPr>
        <w:pStyle w:val="Naslov4"/>
        <w:tabs>
          <w:tab w:val="clear" w:pos="765"/>
        </w:tabs>
        <w:ind w:left="0" w:firstLine="0"/>
        <w:jc w:val="left"/>
        <w:rPr>
          <w:lang w:val="en-GB"/>
        </w:rPr>
      </w:pPr>
      <w:r w:rsidRPr="005C3B55">
        <w:rPr>
          <w:lang w:val="en-GB"/>
        </w:rPr>
        <w:t>Indications*:</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650" w:type="pct"/>
            <w:tcBorders>
              <w:top w:val="single" w:sz="8" w:space="0" w:color="000000"/>
              <w:left w:val="single" w:sz="8" w:space="0" w:color="000000"/>
              <w:bottom w:val="single" w:sz="8" w:space="0" w:color="000000"/>
              <w:right w:val="single" w:sz="8" w:space="0" w:color="000000"/>
            </w:tcBorders>
            <w:tcMar>
              <w:top w:w="60" w:type="dxa"/>
              <w:left w:w="108" w:type="dxa"/>
              <w:bottom w:w="120" w:type="dxa"/>
              <w:right w:w="108" w:type="dxa"/>
            </w:tcMar>
          </w:tcPr>
          <w:p w:rsidR="00C21266" w:rsidRPr="005C3B55" w:rsidRDefault="00C21266">
            <w:pPr>
              <w:spacing w:after="240"/>
              <w:rPr>
                <w:rFonts w:eastAsia="Calibri"/>
                <w:szCs w:val="24"/>
              </w:rPr>
            </w:pPr>
            <w:r w:rsidRPr="005C3B55">
              <w:t>The support under the measure M19 within the scope of:</w:t>
            </w:r>
          </w:p>
          <w:p w:rsidR="00C21266" w:rsidRPr="005C3B55" w:rsidRDefault="00C21266" w:rsidP="006E20B6">
            <w:pPr>
              <w:numPr>
                <w:ilvl w:val="0"/>
                <w:numId w:val="1036"/>
              </w:numPr>
              <w:spacing w:before="240" w:after="0"/>
              <w:ind w:hanging="290"/>
              <w:jc w:val="left"/>
              <w:rPr>
                <w:szCs w:val="24"/>
              </w:rPr>
            </w:pPr>
            <w:r w:rsidRPr="005C3B55">
              <w:t>sub-measures M19.1, M19.3 and M19.4 for activities which do not fall within the scope of Article 42 of the Treaty will be granted in accordance with Commission Regulation (EU) No 1407/2013 of 18 December 2013 on the application of Articles 107 and 108 of the Treaty on the Functioning of the European union to de minimis aid.</w:t>
            </w:r>
          </w:p>
          <w:p w:rsidR="00C21266" w:rsidRPr="005C3B55" w:rsidRDefault="00C21266" w:rsidP="006E20B6">
            <w:pPr>
              <w:numPr>
                <w:ilvl w:val="0"/>
                <w:numId w:val="1036"/>
              </w:numPr>
              <w:spacing w:before="0" w:after="0"/>
              <w:ind w:hanging="290"/>
              <w:jc w:val="left"/>
              <w:rPr>
                <w:szCs w:val="24"/>
              </w:rPr>
            </w:pPr>
            <w:r w:rsidRPr="005C3B55">
              <w:t xml:space="preserve">sub-measure of M19.2 for activities which do not fall within the Article 42 of the treaty will be granted pursuant to: </w:t>
            </w:r>
          </w:p>
          <w:p w:rsidR="00C21266" w:rsidRPr="005C3B55" w:rsidRDefault="00C21266" w:rsidP="006E20B6">
            <w:pPr>
              <w:numPr>
                <w:ilvl w:val="1"/>
                <w:numId w:val="1036"/>
              </w:numPr>
              <w:spacing w:before="0" w:after="0"/>
              <w:ind w:hanging="324"/>
              <w:jc w:val="left"/>
              <w:rPr>
                <w:szCs w:val="24"/>
              </w:rPr>
            </w:pPr>
            <w:r w:rsidRPr="005C3B55">
              <w:t xml:space="preserve">Commission Regulation (EU) No 1407/2013 of 18 December 2013 on the application of Articles 107 and 108 of the Treaty of the European Union to </w:t>
            </w:r>
            <w:r w:rsidRPr="005C3B55">
              <w:rPr>
                <w:i/>
              </w:rPr>
              <w:t xml:space="preserve">de minimis </w:t>
            </w:r>
            <w:r w:rsidRPr="005C3B55">
              <w:t>aid;</w:t>
            </w:r>
          </w:p>
          <w:p w:rsidR="00C21266" w:rsidRPr="005C3B55" w:rsidRDefault="00C21266" w:rsidP="006E20B6">
            <w:pPr>
              <w:numPr>
                <w:ilvl w:val="1"/>
                <w:numId w:val="1036"/>
              </w:numPr>
              <w:spacing w:before="0" w:after="0"/>
              <w:ind w:hanging="324"/>
              <w:jc w:val="left"/>
              <w:rPr>
                <w:szCs w:val="24"/>
              </w:rPr>
            </w:pPr>
            <w:r w:rsidRPr="005C3B55">
              <w:t>Chapter III, Section 4-6 of Commission Regulation (EC) No 702/2014 of 25 June 2014 declaring certain categories of aid in the agricultural and forestry sectors and in rural areas compatible with the internal market in the application of Articles 107 and 108 to the Treaty on the Functioning of the European Union; </w:t>
            </w:r>
          </w:p>
          <w:p w:rsidR="00C21266" w:rsidRPr="005C3B55" w:rsidRDefault="00C21266" w:rsidP="006E20B6">
            <w:pPr>
              <w:numPr>
                <w:ilvl w:val="1"/>
                <w:numId w:val="1036"/>
              </w:numPr>
              <w:spacing w:before="0" w:after="0"/>
              <w:ind w:hanging="324"/>
              <w:jc w:val="left"/>
              <w:rPr>
                <w:szCs w:val="24"/>
              </w:rPr>
            </w:pPr>
            <w:r w:rsidRPr="005C3B55">
              <w:t>part II, Chapters II and III of Community Guidelines on State aid in the agriculture and forestry sectors and in rural areas for the 2014-2020 period of 1 July 2014; </w:t>
            </w:r>
          </w:p>
          <w:p w:rsidR="00C21266" w:rsidRPr="005C3B55" w:rsidRDefault="00C21266" w:rsidP="006E20B6">
            <w:pPr>
              <w:numPr>
                <w:ilvl w:val="1"/>
                <w:numId w:val="1036"/>
              </w:numPr>
              <w:spacing w:before="0" w:after="240"/>
              <w:ind w:hanging="324"/>
              <w:jc w:val="left"/>
              <w:rPr>
                <w:szCs w:val="24"/>
              </w:rPr>
            </w:pPr>
            <w:r w:rsidRPr="005C3B55">
              <w:t>Commission Regulation (EU) No 651/2014 of 17 June 2014 declaring certain categories of aid compatible with the internal market in application of Articles 107 and 108 of the Treaty;</w:t>
            </w:r>
          </w:p>
          <w:p w:rsidR="00C21266" w:rsidRPr="005C3B55" w:rsidRDefault="00C21266">
            <w:pPr>
              <w:pStyle w:val="Telobesedila"/>
              <w:rPr>
                <w:lang w:eastAsia="en-GB" w:bidi="en-GB"/>
              </w:rPr>
            </w:pPr>
          </w:p>
        </w:tc>
      </w:tr>
    </w:tbl>
    <w:p w:rsidR="00C21266" w:rsidRPr="005C3B55" w:rsidRDefault="00C21266" w:rsidP="00C21266">
      <w:pPr>
        <w:spacing w:after="0"/>
        <w:sectPr w:rsidR="00C21266" w:rsidRPr="005C3B55">
          <w:pgSz w:w="12240" w:h="15840"/>
          <w:pgMar w:top="900" w:right="900" w:bottom="900" w:left="900" w:header="708" w:footer="708" w:gutter="0"/>
          <w:cols w:space="708"/>
        </w:sectPr>
      </w:pPr>
    </w:p>
    <w:p w:rsidR="00C21266" w:rsidRPr="005C3B55" w:rsidRDefault="00C21266" w:rsidP="00C21266">
      <w:pPr>
        <w:pStyle w:val="Naslov1"/>
        <w:rPr>
          <w:lang w:val="en-GB" w:eastAsia="en-GB" w:bidi="en-GB"/>
        </w:rPr>
      </w:pPr>
      <w:bookmarkStart w:id="205" w:name="_Toc416192663"/>
      <w:r w:rsidRPr="005C3B55">
        <w:rPr>
          <w:lang w:val="en-GB"/>
        </w:rPr>
        <w:t>Information on supplementing</w:t>
      </w:r>
      <w:bookmarkEnd w:id="205"/>
    </w:p>
    <w:p w:rsidR="00C21266" w:rsidRPr="005C3B55" w:rsidRDefault="00C21266" w:rsidP="00C21266">
      <w:pPr>
        <w:pStyle w:val="Naslov2"/>
        <w:tabs>
          <w:tab w:val="clear" w:pos="765"/>
        </w:tabs>
        <w:ind w:left="0" w:firstLine="0"/>
        <w:rPr>
          <w:lang w:val="en-GB"/>
        </w:rPr>
      </w:pPr>
      <w:bookmarkStart w:id="206" w:name="_Toc416192664"/>
      <w:r w:rsidRPr="005C3B55">
        <w:rPr>
          <w:lang w:val="en-GB"/>
        </w:rPr>
        <w:t>Description of the manner of supplementing and compliance with:</w:t>
      </w:r>
      <w:bookmarkEnd w:id="206"/>
      <w:r w:rsidRPr="005C3B55">
        <w:rPr>
          <w:lang w:val="en-GB"/>
        </w:rPr>
        <w:t xml:space="preserve"> </w:t>
      </w:r>
    </w:p>
    <w:p w:rsidR="00C21266" w:rsidRPr="005C3B55" w:rsidRDefault="00C21266" w:rsidP="00C21266">
      <w:pPr>
        <w:pStyle w:val="Naslov3"/>
        <w:tabs>
          <w:tab w:val="clear" w:pos="765"/>
        </w:tabs>
        <w:ind w:left="0" w:firstLine="0"/>
        <w:jc w:val="left"/>
        <w:rPr>
          <w:lang w:val="en-GB"/>
        </w:rPr>
      </w:pPr>
      <w:bookmarkStart w:id="207" w:name="_Toc416192665"/>
      <w:r w:rsidRPr="005C3B55">
        <w:rPr>
          <w:lang w:val="en-GB"/>
        </w:rPr>
        <w:t>Other instruments of the European Union, in particular the European structural and investment funds and the First pillar, including the green component, and other instruments of the Common Agricultural Policy.</w:t>
      </w:r>
      <w:bookmarkEnd w:id="207"/>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650" w:type="pct"/>
            <w:tcBorders>
              <w:top w:val="single" w:sz="8" w:space="0" w:color="000000"/>
              <w:left w:val="single" w:sz="8" w:space="0" w:color="000000"/>
              <w:bottom w:val="single" w:sz="8" w:space="0" w:color="000000"/>
              <w:right w:val="single" w:sz="8" w:space="0" w:color="000000"/>
            </w:tcBorders>
            <w:tcMar>
              <w:top w:w="60" w:type="dxa"/>
              <w:left w:w="108" w:type="dxa"/>
              <w:bottom w:w="120" w:type="dxa"/>
              <w:right w:w="108" w:type="dxa"/>
            </w:tcMar>
          </w:tcPr>
          <w:p w:rsidR="00C21266" w:rsidRPr="005C3B55" w:rsidRDefault="00C21266">
            <w:pPr>
              <w:spacing w:after="240"/>
              <w:rPr>
                <w:rFonts w:eastAsia="Calibri"/>
                <w:szCs w:val="24"/>
              </w:rPr>
            </w:pPr>
            <w:r w:rsidRPr="005C3B55">
              <w:t>The supplementary use of EAFRD funds with other ESI funds derives from the definition of investment fields within thematic objectives of the Partnership Agreement. Fields where overlapping may possibly occur in addition to complementarity between funds are discussed below and thus further definitions relating to the delimitation are needed.</w:t>
            </w:r>
          </w:p>
          <w:p w:rsidR="00C21266" w:rsidRPr="005C3B55" w:rsidRDefault="00C21266">
            <w:pPr>
              <w:spacing w:before="240" w:after="240"/>
              <w:rPr>
                <w:szCs w:val="24"/>
              </w:rPr>
            </w:pPr>
            <w:r w:rsidRPr="005C3B55">
              <w:t>The EAFRD investments in the field of research, technological development and innovation will be supplemented with the ERDF funds. The M16 measure of the RDP 2014-2020 will support activities for the development of new products, practices, procedures and technologies in order to fill the gap between research and practice and to promote faster and broader use of innovative solutions in practice in the field of primary agricultural activity, food and forestry. The support through the M02 measure will be used for specialised counselling and thus the transfer of specialised knowledge to the agriculture sector. The support for RDI within the OP for the implementation of the European cohesion policy in the 2014-2020 period (OP ECP 2014-2020) will be provided within the priority axis ‘International competitiveness of research, innovation and technological development in line with smart specialisation for enhanced competitiveness and greening of the economy’. The OP ECP 2014-2020 does not anticipate the limiting of access to support of this priority axis as per the sector. Only activities eligible for support within the RDP 2014-2020 will be excluded.</w:t>
            </w:r>
          </w:p>
          <w:p w:rsidR="00C21266" w:rsidRPr="005C3B55" w:rsidRDefault="00C21266">
            <w:pPr>
              <w:spacing w:before="240" w:after="240"/>
              <w:rPr>
                <w:szCs w:val="24"/>
              </w:rPr>
            </w:pPr>
            <w:r w:rsidRPr="005C3B55">
              <w:t>The EAFRD and ERDF funds will be used supplementary to resolve the issue of broadband infrastructure in rural areas where broadband infrastructure has not yet been constructed and where market interest for its establishment is insufficient. The support within the M07 measure of the RDP 2014-2020 will be earmarked for local populations in settlements of up to 5,000 residents. Priority will be given to municipality projects in regions which have included the construction of broadband connections in their local development programmes, either at the level of one or several municipalities, and projects which have enabled the construction of the broadband network in synergy with the construction of other small infrastructure in the countryside. Within the priority axis, ‘Enhancing access to, and use and quality of, information and communication technologies’ in the OP ECP 2014-2020, the beneficiaries will be local self-governing local communities, companies and public institutions which act as co-investors, and other interested public.</w:t>
            </w:r>
          </w:p>
          <w:p w:rsidR="00C21266" w:rsidRPr="005C3B55" w:rsidRDefault="00C21266">
            <w:pPr>
              <w:spacing w:before="240" w:after="240"/>
              <w:rPr>
                <w:szCs w:val="24"/>
              </w:rPr>
            </w:pPr>
            <w:r w:rsidRPr="005C3B55">
              <w:t>The EAFRD investments in the field of raising the competitiveness of the agro-industry in the Republic of Slovenia will be supplemented with the ERDF funds. The support within the M04 measure of the RDP 2014-2020 will be earmarked for increasing the added value and promotion of marketing agricultural products by investing in the processing or the marketing of agricultural products or processing of foodstuffs whose raw materials are agricultural products. This field is included in priority axis, ‘Dynamic and competitive entrepreneurship for green economic growth’, of the OP ECP 2014-2020. The OP ECP 2014-2020 does not anticipate the limiting of access to support of this priority axis as per the sector. Only activities eligible for support within the RDP 2014-2020 will be excluded.</w:t>
            </w:r>
          </w:p>
          <w:p w:rsidR="00C21266" w:rsidRPr="005C3B55" w:rsidRDefault="00C21266">
            <w:pPr>
              <w:spacing w:before="240" w:after="240"/>
              <w:rPr>
                <w:szCs w:val="24"/>
              </w:rPr>
            </w:pPr>
            <w:r w:rsidRPr="005C3B55">
              <w:t>The EAFRD investments in the field of promoting entrepreneurship in rural areas in the Republic of Slovenia will be supplemented with the ERDF and EMFF funds. The support within the M06 measure of the RDP 2014-2020 will be earmarked for the establishment and development of non-agricultural activities in rural areas. Micro companies and agricultural holdings with supplementary activities will be eligible for support, whereby the headquarters of the implementation of the companies’ activities have to be located in settlements with up to 5,000 residents. The competitiveness of SMEs registered for commercial sea fishing, the farming of aquatic organisms and processing of fisheries products will be promoted within the EMFF. This field is included in priority axis, ‘Dynamic and competitive entrepreneurship for green economic growth’, of the OP ECP 2014-2020. The OP ECP 2014-2020 does not anticipate the limiting of access to support of this priority axis as per the sector. Only activities eligible for support within the RDP 2014-2020 or the OP EMFF will be excluded.</w:t>
            </w:r>
          </w:p>
          <w:p w:rsidR="00C21266" w:rsidRPr="005C3B55" w:rsidRDefault="00C21266">
            <w:pPr>
              <w:spacing w:before="240" w:after="240"/>
              <w:rPr>
                <w:szCs w:val="24"/>
              </w:rPr>
            </w:pPr>
            <w:r w:rsidRPr="005C3B55">
              <w:t>The EAFRD investments will be supplemented with the ERDF funds relating to the development of forestry as an economic branch by promoting investments in wood processing in the Republic of Slovenia. The support within the M08 measure of the RDP 2014-2020 will be earmarked for investment into first-stage wood processing for agricultural holdings with registered agricultural activities and for companies that meet the criteria of micro companies. The M06 measure will support investments into second-stage wood processing for agricultural holdings with registered agricultural activities and for micro and small companies. This field is included in priority axis, ‘Sustainable consumption and production of energy and smart grids’, of the OP ECP 2014-2020. The activities eligible for support within the RDP 2014-2020 will not be eligible for support with the OP ECP 2014-2020.</w:t>
            </w:r>
          </w:p>
          <w:p w:rsidR="00C21266" w:rsidRPr="005C3B55" w:rsidRDefault="00C21266">
            <w:pPr>
              <w:spacing w:before="240" w:after="240"/>
              <w:rPr>
                <w:szCs w:val="24"/>
              </w:rPr>
            </w:pPr>
            <w:r w:rsidRPr="005C3B55">
              <w:t>The EAFRD investments will be supplemented with the ERDF funds in the field of use and production of renewable energy sources in the Republic of Slovenia. The support within the M04 measure of the RDP 2014-2020 will be earmarked for investments in the more efficient use of energy, i.e. generation of energy from renewable sources for own use or sale at agricultural holdings and food processing facilities and sale at agricultural holdings with supplementary activities and micro companies. This field is included in priority axis, ‘Sustainable consumption and production of energy and smart grids’, of the OP ECP 2014-2020. The support within the OP ECP 2014–2020 will focus particularly on the promotion of RES and EUE in the public sector and households.</w:t>
            </w:r>
          </w:p>
          <w:p w:rsidR="00C21266" w:rsidRPr="005C3B55" w:rsidRDefault="00C21266">
            <w:pPr>
              <w:spacing w:before="240" w:after="240"/>
              <w:rPr>
                <w:szCs w:val="24"/>
              </w:rPr>
            </w:pPr>
            <w:r w:rsidRPr="005C3B55">
              <w:t>The EAFRD investments will be supplemented with the ERDF and ESF funds in the field of promoting knowledge transfer in the Republic of Slovenia. The M01 measure within the RDP 2014–2020 will address the beneficiaries who are applying or who wish to apply for certain other measures of the RDP 2014–2020, for which additional target-oriented training is required as well as others who in the field of agriculture, food industry or forestry detect a lack of knowledge and wish to upgrade it by participating in training. Knowledge requirements will be identified according to the bottom-up approach. This field is included in priority axis, ‘Knowledge, skills and lifelong learning to enhance employability’, of the OP ECP 2014-2020. Within the OP ECP 2014–2020, emphasis in the field of education and training will be put on lifelong learning and enhancement of efficiency. Rural entrepreneurship training will also be eligible for support in the OP ECP 2014–2020.</w:t>
            </w:r>
          </w:p>
          <w:p w:rsidR="00C21266" w:rsidRPr="005C3B55" w:rsidRDefault="00C21266">
            <w:pPr>
              <w:spacing w:before="240" w:after="240"/>
              <w:rPr>
                <w:szCs w:val="24"/>
              </w:rPr>
            </w:pPr>
            <w:r w:rsidRPr="005C3B55">
              <w:t>Activities related to fisheries and fish farming, which will be supported in the scope of OP EMFF, will not be eligible to the support within the RDP 2014-2020. A description of mechanisms for harmonisation between the EAFRD and EMFF within the scope of description related to the supplementation between the EAFRD, ERDF and EMFF funds in the scope of the CLLD approach is included in Chapter 8.2.14 of the RDP 2014-2020.</w:t>
            </w:r>
          </w:p>
          <w:p w:rsidR="00C21266" w:rsidRPr="005C3B55" w:rsidRDefault="00C21266">
            <w:pPr>
              <w:spacing w:before="240" w:after="240"/>
              <w:rPr>
                <w:szCs w:val="24"/>
              </w:rPr>
            </w:pPr>
            <w:r w:rsidRPr="005C3B55">
              <w:t>The harmonisation between the ESI funds will be monitored at the level of the Inter-ministerial Coordination Committee whose members are the managing authorities of all ESI funds and other participating ministries. The harmonisation between the EAFRD and other ESI funds will be provided through participation of the representatives of the OP ECP and OP EMFF in the monitoring committee of the RDP 2014-2020 and the representatives of the MA of the RDP 2014-2020 in the monitoring committees of the OP ECP and the OP EMFF. To ensure complementarity and suitable delimiting at the implementation level between the RDP 2014-2020 and other OPs, the MA of the RDP 2014-2020 will actively cooperate with the MA of the EMFF and working groups for the preparation of expert bases for the implementation of the OP ECP.</w:t>
            </w:r>
          </w:p>
          <w:p w:rsidR="00C21266" w:rsidRPr="005C3B55" w:rsidRDefault="00C21266">
            <w:pPr>
              <w:spacing w:before="240" w:after="240"/>
              <w:rPr>
                <w:szCs w:val="24"/>
              </w:rPr>
            </w:pPr>
            <w:r w:rsidRPr="005C3B55">
              <w:t>At the programme level, the prevention of double funding between the RDP 2014-2020 and other ESI funds is ensured with suitable delimitation between support of the RDP 2014-2020, the OP ECP and the OP EMFF as per the type or scope of activities, type of beneficiaries or location of the investment. At the implementation level and within administrative control of applications and requests for payment from individual measures, the AAMRD verifies the compliance with the rules on state aid in order to ensure that the total support received does not exceed the highest permissible thresholds. Within its IT system, the AAMRD established a verification procedure verifying whether beneficiaries received any public funds from national or EU sources on the basis of data exchange on supported projects with other bodies which grant public funds.</w:t>
            </w:r>
          </w:p>
          <w:p w:rsidR="00C21266" w:rsidRPr="005C3B55" w:rsidRDefault="00C21266">
            <w:pPr>
              <w:spacing w:before="240" w:after="240"/>
              <w:rPr>
                <w:szCs w:val="24"/>
              </w:rPr>
            </w:pPr>
            <w:r w:rsidRPr="005C3B55">
              <w:t>The measures of the RDP 2014-2020 were designed in order to supplement and upgrade instruments of Pillar I for achieving objectives of the CAP relating to ensuring long-term safety of the food supply chain, sustainable management with natural resources and balanced territorial development.</w:t>
            </w:r>
          </w:p>
          <w:p w:rsidR="00C21266" w:rsidRPr="005C3B55" w:rsidRDefault="00C21266">
            <w:pPr>
              <w:spacing w:before="240" w:after="240"/>
              <w:rPr>
                <w:szCs w:val="24"/>
              </w:rPr>
            </w:pPr>
            <w:r w:rsidRPr="005C3B55">
              <w:t>The support schemes for direct payments will contribute to providing income stability of agricultural production. The support of the RDP 2014-2020 will enable investments in sustainable development and efficient restructuring in agriculture. The synergies between the pillars can thus be expected with the new scheme for young farmers within Pillar I, which will additionally support generational renewal in the agricultural sector. The synergies may also be expected within voluntary-based support for production of cereals, protein crops, milk production in hilly and mountain areas, cattle rearing and vegetable production. These types of agriculture were recognised as vulnerable in Slovenia. The support of the RDP 2014-2020, particularly investments, will further enhance their ability to overcome issues that these types of agriculture are dealing with.</w:t>
            </w:r>
          </w:p>
          <w:p w:rsidR="00C21266" w:rsidRPr="005C3B55" w:rsidRDefault="00C21266">
            <w:pPr>
              <w:spacing w:before="240" w:after="240"/>
              <w:rPr>
                <w:szCs w:val="24"/>
              </w:rPr>
            </w:pPr>
            <w:r w:rsidRPr="005C3B55">
              <w:t>In the field of contributing to sustainable management of natural resources, the support for the implementation of agri-environment-climate commitments and commitments from organic farming of the RDP 2014-2020 upgrades supports for agricultural practices from the green component of direct payments. Where a connection or similarity between agricultural practices were recognised which have a favourable impact on the environment and climate within Pillar I and agri-environment-climate commitments and/or commitments from organic farming, the rule for preventing double funding is observed accordingly in the calculation of the amount of payments for measures M10 and M11 (description within section 8.2).</w:t>
            </w:r>
          </w:p>
          <w:p w:rsidR="00C21266" w:rsidRPr="005C3B55" w:rsidRDefault="00C21266">
            <w:pPr>
              <w:spacing w:before="240" w:after="240"/>
              <w:rPr>
                <w:szCs w:val="24"/>
              </w:rPr>
            </w:pPr>
            <w:r w:rsidRPr="005C3B55">
              <w:t>The area of conserving biodiversity and/or improvement of the state of biodiversity in habitats connected with agricultural landscape will be adequately supplemented by activities under the integrated LIFE projects.  Through the implementation of integrated LIFE projects and promotion as well as mobilisation of complementary measures of the RDP 2014-2020 in the fields of the transfer of knowledge, consultancy, investments in capital assets, payments for agri-environment-climate measures and organic farming, LEADER initiatives and cooperation, the multiplicative effects of available funds for the purposes of attaining objectives of the priority area (4A) Renewal, conservation and improvement of biodiversity will be provided, together with the Natura 2000 sites and areas facing natural or other specific constraints and agriculture of high natural value and the state of landscapes in Europe. Within this scope, the activities of cooperation and search for common solutions will take place between the integrated LIFE projects and RDP 2014-2020 measures and provision of complementarities of contents, which will contribute to a higher cumulative effect.</w:t>
            </w:r>
          </w:p>
          <w:p w:rsidR="00C21266" w:rsidRPr="005C3B55" w:rsidRDefault="00C21266">
            <w:pPr>
              <w:spacing w:before="240" w:after="240"/>
              <w:rPr>
                <w:szCs w:val="24"/>
              </w:rPr>
            </w:pPr>
            <w:r w:rsidRPr="005C3B55">
              <w:t>Synergies between supports of the RDP 2014-2020 are also expected in measures which are supported within the sCMO. The support for investments from the RDP 2014-2020 in the field of bee-keeping development in Slovenia will be supplemented with support of the Programme of measures in the field of bee-keeping. Possible overlapping on the implementation level could occur between the M04 measure of the RDP 2014-2020 and the measure of Technical assistance to bee-keepers within the Programme of measures in the field of bee-keeping relating to co-financing of technological equipment in bee-keeping. In this case, the prevention of double funding is ensured through regular verification implemented by the AAMRD which verifies whether beneficiaries received any national or EU funds for the same purpose or the same costs and binds the beneficiaries with a statement that they did not receive support for the same purpose from other sources. The construction of facilities in bee-keeping will only be eligible for support under the M04 measure. In the field of investments in wine growing, the support from the M04 measure will be supplemented with support from measures within the Supplementary programme of the wine sector. Investments in the processing and marketing of grapes and/or wine will only be supported within the M04 measure. Vineyard renovation will be funded with support from Pillar 1, but will not be eligible for support from the RDP 2014–2020.</w:t>
            </w:r>
          </w:p>
          <w:p w:rsidR="00C21266" w:rsidRPr="005C3B55" w:rsidRDefault="00C21266">
            <w:pPr>
              <w:spacing w:before="240" w:after="240"/>
              <w:rPr>
                <w:szCs w:val="24"/>
              </w:rPr>
            </w:pPr>
            <w:r w:rsidRPr="005C3B55">
              <w:t>In the area of regulating the fruit and vegetable markets, the newly established organisations of producers which will be officially recognised by the MAFF will be eligible for support in connection with the establishment and operation of the organisation within the RDP 2014-2020 under measure M09.   These types of costs of organisations of producers could not be implemented within the support of the First CAP pillar.</w:t>
            </w:r>
          </w:p>
          <w:p w:rsidR="00C21266" w:rsidRPr="005C3B55" w:rsidRDefault="00C21266">
            <w:pPr>
              <w:spacing w:before="240" w:after="240"/>
              <w:rPr>
                <w:szCs w:val="24"/>
              </w:rPr>
            </w:pPr>
            <w:r w:rsidRPr="005C3B55">
              <w:t>Potential overlaps may occur between activities within the scope of operational programmes of organisations of producers in the field of fruit and vegetables from the First CAP pillar and sub-measure M04 of the RDP 2014-2020 in the field of investments. In this case, the prevention of double funding is ensured through regular verification implemented by the AAMRD which verifies whether beneficiaries received any national or EU funds for the same purpose or the same costs and binds the beneficiaries with a statement that they did not receive support for the same purpose from other sources.</w:t>
            </w:r>
          </w:p>
          <w:p w:rsidR="00C21266" w:rsidRPr="005C3B55" w:rsidRDefault="00C21266">
            <w:pPr>
              <w:spacing w:before="240" w:after="240"/>
              <w:rPr>
                <w:szCs w:val="24"/>
              </w:rPr>
            </w:pPr>
            <w:r w:rsidRPr="005C3B55">
              <w:t>The supports for establishing the groups and organisation of producers could overlap up to 1 January 2016 with supports under national regulations on support to promote the market integration of producers of primary agricultural products, whereby the beneficiaries are existing cooperative societies, companies and groups of producers in quality schemes. The MA will ensure that double funding of the same costs will not occur; thus producer groups in quality schemes will not be eligible for support from the M09 measure if they have already been granted funds for the same purpose on the basis of the national regulation, and vice versa.</w:t>
            </w:r>
          </w:p>
          <w:p w:rsidR="00C21266" w:rsidRPr="005C3B55" w:rsidRDefault="00C21266">
            <w:pPr>
              <w:spacing w:before="240" w:after="240"/>
              <w:rPr>
                <w:szCs w:val="24"/>
              </w:rPr>
            </w:pPr>
            <w:r w:rsidRPr="005C3B55">
              <w:t>The provisioning of complementarity between both pillars is monitored within the Steering Committee (described in section 15), which also includes representatives for the management of instruments from Pillar I.</w:t>
            </w:r>
          </w:p>
          <w:p w:rsidR="00C21266" w:rsidRPr="005C3B55" w:rsidRDefault="00C21266">
            <w:pPr>
              <w:pStyle w:val="Telobesedila"/>
              <w:rPr>
                <w:lang w:eastAsia="en-GB" w:bidi="en-GB"/>
              </w:rPr>
            </w:pPr>
          </w:p>
        </w:tc>
      </w:tr>
    </w:tbl>
    <w:p w:rsidR="00C21266" w:rsidRPr="005C3B55" w:rsidRDefault="00C21266" w:rsidP="00C21266">
      <w:pPr>
        <w:pStyle w:val="Naslov3"/>
        <w:tabs>
          <w:tab w:val="clear" w:pos="765"/>
        </w:tabs>
        <w:ind w:left="0" w:firstLine="0"/>
        <w:jc w:val="left"/>
        <w:rPr>
          <w:lang w:val="en-GB" w:eastAsia="en-GB" w:bidi="en-GB"/>
        </w:rPr>
      </w:pPr>
      <w:bookmarkStart w:id="208" w:name="_Toc416192666"/>
      <w:r w:rsidRPr="005C3B55">
        <w:rPr>
          <w:lang w:val="en-GB"/>
        </w:rPr>
        <w:t>When a Member State decides to submit the national programme and several regional programmes as per Article 6(2) of Regulation (EU) No 1305/2013, information on complementarity between them is needed</w:t>
      </w:r>
      <w:bookmarkEnd w:id="208"/>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650" w:type="pct"/>
            <w:tcBorders>
              <w:top w:val="single" w:sz="8" w:space="0" w:color="000000"/>
              <w:left w:val="single" w:sz="8" w:space="0" w:color="000000"/>
              <w:bottom w:val="single" w:sz="8" w:space="0" w:color="000000"/>
              <w:right w:val="single" w:sz="8" w:space="0" w:color="000000"/>
            </w:tcBorders>
            <w:tcMar>
              <w:top w:w="60" w:type="dxa"/>
              <w:left w:w="108" w:type="dxa"/>
              <w:bottom w:w="120" w:type="dxa"/>
              <w:right w:w="108" w:type="dxa"/>
            </w:tcMar>
          </w:tcPr>
          <w:p w:rsidR="00C21266" w:rsidRPr="005C3B55" w:rsidRDefault="00C21266">
            <w:pPr>
              <w:spacing w:after="240"/>
              <w:rPr>
                <w:rFonts w:eastAsia="Calibri"/>
                <w:szCs w:val="24"/>
              </w:rPr>
            </w:pPr>
            <w:r w:rsidRPr="005C3B55">
              <w:t>Slovenia has not decided to submit a national programme and several regional programmes, but will submit a single rural development programme covering the entire territory of the Republic of Slovenia.</w:t>
            </w:r>
          </w:p>
          <w:p w:rsidR="00C21266" w:rsidRPr="005C3B55" w:rsidRDefault="00C21266">
            <w:pPr>
              <w:pStyle w:val="Telobesedila"/>
              <w:rPr>
                <w:lang w:eastAsia="en-GB" w:bidi="en-GB"/>
              </w:rPr>
            </w:pPr>
          </w:p>
        </w:tc>
      </w:tr>
    </w:tbl>
    <w:p w:rsidR="00C21266" w:rsidRPr="005C3B55" w:rsidRDefault="00C21266" w:rsidP="00C21266">
      <w:pPr>
        <w:pStyle w:val="Naslov2"/>
        <w:tabs>
          <w:tab w:val="clear" w:pos="765"/>
        </w:tabs>
        <w:ind w:left="0" w:firstLine="0"/>
        <w:rPr>
          <w:b w:val="0"/>
          <w:lang w:val="en-GB" w:eastAsia="en-GB" w:bidi="en-GB"/>
        </w:rPr>
      </w:pPr>
      <w:bookmarkStart w:id="209" w:name="_Toc416192667"/>
      <w:r w:rsidRPr="005C3B55">
        <w:rPr>
          <w:b w:val="0"/>
          <w:lang w:val="en-GB"/>
        </w:rPr>
        <w:t>If appropriate, information on supplementation with other instruments of the European Union, including the LIFE programme, will be provided.</w:t>
      </w:r>
      <w:bookmarkEnd w:id="209"/>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650" w:type="pct"/>
            <w:tcBorders>
              <w:top w:val="single" w:sz="8" w:space="0" w:color="000000"/>
              <w:left w:val="single" w:sz="8" w:space="0" w:color="000000"/>
              <w:bottom w:val="single" w:sz="8" w:space="0" w:color="000000"/>
              <w:right w:val="single" w:sz="8" w:space="0" w:color="000000"/>
            </w:tcBorders>
            <w:tcMar>
              <w:top w:w="60" w:type="dxa"/>
              <w:left w:w="108" w:type="dxa"/>
              <w:bottom w:w="120" w:type="dxa"/>
              <w:right w:w="108" w:type="dxa"/>
            </w:tcMar>
          </w:tcPr>
          <w:p w:rsidR="00C21266" w:rsidRPr="005C3B55" w:rsidRDefault="00C21266">
            <w:pPr>
              <w:spacing w:after="240"/>
              <w:rPr>
                <w:rFonts w:eastAsia="Calibri"/>
                <w:szCs w:val="24"/>
              </w:rPr>
            </w:pPr>
            <w:r w:rsidRPr="005C3B55">
              <w:t>In order to prevent potential overlapping of activities supported by the RDP 2014-2020 through the M16 measure and other EU financial instruments (e.g. Horizon 2020, LIFE), regular verification of projects will be implemented to establish whether they have already received funds from the Republic of Slovenia and/or the EU for the same purpose and to prevent the funding of the same expenditure from the RDP 2014–2020 and other EU financial instruments.</w:t>
            </w:r>
          </w:p>
          <w:p w:rsidR="00C21266" w:rsidRPr="005C3B55" w:rsidRDefault="00C21266">
            <w:pPr>
              <w:spacing w:before="240" w:after="240"/>
              <w:rPr>
                <w:szCs w:val="24"/>
              </w:rPr>
            </w:pPr>
            <w:r w:rsidRPr="005C3B55">
              <w:t>The compliance of the RDP 2014-2020 with other EU financial instruments, national financing instruments and the EIB will be monitored on the level of the Inter-ministerial Coordination Committee whose members are the managing authorities of all ESI funds and other participating ministries. To ensure complementarity and suitable delimitations on the implementation level between the RDP 2014-2020 and other instruments of the EU, the MA of the RDP 2014-2020 will cooperate actively with national contact points for direct EU programmes (e.g. Horizon 2020, LIFE).</w:t>
            </w:r>
          </w:p>
          <w:p w:rsidR="00C21266" w:rsidRPr="005C3B55" w:rsidRDefault="00C21266">
            <w:pPr>
              <w:spacing w:before="240" w:after="240"/>
              <w:rPr>
                <w:szCs w:val="24"/>
              </w:rPr>
            </w:pPr>
            <w:r w:rsidRPr="005C3B55">
              <w:t>Within the RDP 2014-2020, Slovenia will not earmark direct support for the implementation of activities from the EU Strategy for the Danube Region and the EU Strategy for the Adriatic and Ionian Region. Nevertheless, the investments within the measures of the RDP 2014-2020, by which it will contribute to the attainment of objectives of the CAP and the Europe 2020 Strategy, will indirectly contribute to the achievement of the objectives of these two strategies.</w:t>
            </w:r>
          </w:p>
          <w:p w:rsidR="00C21266" w:rsidRPr="005C3B55" w:rsidRDefault="00C21266">
            <w:pPr>
              <w:pStyle w:val="Telobesedila"/>
              <w:rPr>
                <w:lang w:eastAsia="en-GB" w:bidi="en-GB"/>
              </w:rPr>
            </w:pPr>
          </w:p>
        </w:tc>
      </w:tr>
    </w:tbl>
    <w:p w:rsidR="00C21266" w:rsidRPr="005C3B55" w:rsidRDefault="00C21266" w:rsidP="00C21266">
      <w:pPr>
        <w:spacing w:after="0"/>
        <w:sectPr w:rsidR="00C21266" w:rsidRPr="005C3B55">
          <w:pgSz w:w="12240" w:h="15840"/>
          <w:pgMar w:top="900" w:right="900" w:bottom="900" w:left="900" w:header="708" w:footer="708" w:gutter="0"/>
          <w:cols w:space="708"/>
        </w:sectPr>
      </w:pPr>
    </w:p>
    <w:p w:rsidR="00C21266" w:rsidRPr="005C3B55" w:rsidRDefault="00C21266" w:rsidP="00C21266">
      <w:pPr>
        <w:pStyle w:val="Naslov1"/>
        <w:rPr>
          <w:b w:val="0"/>
          <w:lang w:val="en-GB" w:eastAsia="en-GB" w:bidi="en-GB"/>
        </w:rPr>
      </w:pPr>
      <w:bookmarkStart w:id="210" w:name="_Toc416192668"/>
      <w:r w:rsidRPr="005C3B55">
        <w:rPr>
          <w:lang w:val="en-GB"/>
        </w:rPr>
        <w:t>Arrangements for programme implementation</w:t>
      </w:r>
      <w:bookmarkEnd w:id="210"/>
    </w:p>
    <w:p w:rsidR="00C21266" w:rsidRPr="005C3B55" w:rsidRDefault="00C21266" w:rsidP="00C21266">
      <w:pPr>
        <w:pStyle w:val="Naslov2"/>
        <w:tabs>
          <w:tab w:val="clear" w:pos="765"/>
        </w:tabs>
        <w:ind w:left="0" w:firstLine="0"/>
        <w:rPr>
          <w:lang w:val="en-GB"/>
        </w:rPr>
      </w:pPr>
      <w:bookmarkStart w:id="211" w:name="_Toc416192669"/>
      <w:r w:rsidRPr="005C3B55">
        <w:rPr>
          <w:lang w:val="en-GB"/>
        </w:rPr>
        <w:t>Appointment of all authorities under Article 65(2) of Regulation (EU) No 1305/2013 by the Member State and a short description of managing and supervising structures of the programme under Article 53(3)(i) of Regulation (EU) No 1303/2013 and arrangement under Article 74(3) of Regulation (EU) No 1303/2013</w:t>
      </w:r>
      <w:bookmarkEnd w:id="211"/>
      <w:r w:rsidRPr="005C3B55">
        <w:rPr>
          <w:lang w:val="en-GB"/>
        </w:rPr>
        <w:t xml:space="preserve"> </w:t>
      </w:r>
    </w:p>
    <w:p w:rsidR="00C21266" w:rsidRPr="005C3B55" w:rsidRDefault="00C21266" w:rsidP="00C21266">
      <w:pPr>
        <w:pStyle w:val="Naslov3"/>
        <w:tabs>
          <w:tab w:val="clear" w:pos="765"/>
        </w:tabs>
        <w:ind w:left="0" w:firstLine="0"/>
        <w:jc w:val="left"/>
        <w:rPr>
          <w:lang w:val="en-GB"/>
        </w:rPr>
      </w:pPr>
      <w:bookmarkStart w:id="212" w:name="_Toc416192670"/>
      <w:r w:rsidRPr="005C3B55">
        <w:rPr>
          <w:lang w:val="en-GB"/>
        </w:rPr>
        <w:t>Authorities</w:t>
      </w:r>
      <w:bookmarkEnd w:id="212"/>
    </w:p>
    <w:tbl>
      <w:tblPr>
        <w:tblStyle w:val="Navadnatabela1"/>
        <w:tblW w:w="5000"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32"/>
        <w:gridCol w:w="2131"/>
        <w:gridCol w:w="2131"/>
        <w:gridCol w:w="2131"/>
        <w:gridCol w:w="2131"/>
      </w:tblGrid>
      <w:tr w:rsidR="00C21266" w:rsidRPr="005C3B55">
        <w:tc>
          <w:tcPr>
            <w:tcW w:w="650" w:type="pct"/>
            <w:tcBorders>
              <w:top w:val="single" w:sz="4" w:space="0" w:color="auto"/>
              <w:left w:val="single" w:sz="4" w:space="0" w:color="auto"/>
              <w:bottom w:val="single" w:sz="4" w:space="0" w:color="auto"/>
              <w:right w:val="single" w:sz="4" w:space="0" w:color="auto"/>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Authority</w:t>
            </w:r>
          </w:p>
        </w:tc>
        <w:tc>
          <w:tcPr>
            <w:tcW w:w="650" w:type="pct"/>
            <w:tcBorders>
              <w:top w:val="single" w:sz="4" w:space="0" w:color="auto"/>
              <w:left w:val="single" w:sz="4" w:space="0" w:color="auto"/>
              <w:bottom w:val="single" w:sz="4" w:space="0" w:color="auto"/>
              <w:right w:val="single" w:sz="4" w:space="0" w:color="auto"/>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Name of the Authority</w:t>
            </w:r>
          </w:p>
        </w:tc>
        <w:tc>
          <w:tcPr>
            <w:tcW w:w="650" w:type="pct"/>
            <w:tcBorders>
              <w:top w:val="single" w:sz="4" w:space="0" w:color="auto"/>
              <w:left w:val="single" w:sz="4" w:space="0" w:color="auto"/>
              <w:bottom w:val="single" w:sz="4" w:space="0" w:color="auto"/>
              <w:right w:val="single" w:sz="4" w:space="0" w:color="auto"/>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Head of the Authority</w:t>
            </w:r>
          </w:p>
        </w:tc>
        <w:tc>
          <w:tcPr>
            <w:tcW w:w="650" w:type="pct"/>
            <w:tcBorders>
              <w:top w:val="single" w:sz="4" w:space="0" w:color="auto"/>
              <w:left w:val="single" w:sz="4" w:space="0" w:color="auto"/>
              <w:bottom w:val="single" w:sz="4" w:space="0" w:color="auto"/>
              <w:right w:val="single" w:sz="4" w:space="0" w:color="auto"/>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Address</w:t>
            </w:r>
          </w:p>
        </w:tc>
        <w:tc>
          <w:tcPr>
            <w:tcW w:w="650" w:type="pct"/>
            <w:tcBorders>
              <w:top w:val="single" w:sz="4" w:space="0" w:color="auto"/>
              <w:left w:val="single" w:sz="4" w:space="0" w:color="auto"/>
              <w:bottom w:val="single" w:sz="4" w:space="0" w:color="auto"/>
              <w:right w:val="single" w:sz="4" w:space="0" w:color="auto"/>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E-address</w:t>
            </w:r>
          </w:p>
        </w:tc>
      </w:tr>
      <w:tr w:rsidR="00C21266" w:rsidRPr="005C3B55">
        <w:tc>
          <w:tcPr>
            <w:tcW w:w="6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Managing authority</w:t>
            </w:r>
          </w:p>
        </w:tc>
        <w:tc>
          <w:tcPr>
            <w:tcW w:w="6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Ministry of Agriculture, Forestry and Food, Agriculture Directorate</w:t>
            </w:r>
          </w:p>
        </w:tc>
        <w:tc>
          <w:tcPr>
            <w:tcW w:w="6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General Director</w:t>
            </w:r>
          </w:p>
        </w:tc>
        <w:tc>
          <w:tcPr>
            <w:tcW w:w="6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Dunajska 22, 1000 Ljubljana</w:t>
            </w:r>
          </w:p>
        </w:tc>
        <w:tc>
          <w:tcPr>
            <w:tcW w:w="6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gp.mkgp@gov.si</w:t>
            </w:r>
          </w:p>
        </w:tc>
      </w:tr>
      <w:tr w:rsidR="00C21266" w:rsidRPr="005C3B55">
        <w:tc>
          <w:tcPr>
            <w:tcW w:w="6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Certification body</w:t>
            </w:r>
          </w:p>
        </w:tc>
        <w:tc>
          <w:tcPr>
            <w:tcW w:w="6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Ministry of Finance, Budget Supervision Office</w:t>
            </w:r>
          </w:p>
        </w:tc>
        <w:tc>
          <w:tcPr>
            <w:tcW w:w="6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Director</w:t>
            </w:r>
          </w:p>
        </w:tc>
        <w:tc>
          <w:tcPr>
            <w:tcW w:w="6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Fajfarjeva 33, 1000 Ljubljana</w:t>
            </w:r>
          </w:p>
        </w:tc>
        <w:tc>
          <w:tcPr>
            <w:tcW w:w="6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unp@mf-rs.si</w:t>
            </w:r>
          </w:p>
        </w:tc>
      </w:tr>
      <w:tr w:rsidR="00C21266" w:rsidRPr="005C3B55">
        <w:tc>
          <w:tcPr>
            <w:tcW w:w="6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Accredited paying agency</w:t>
            </w:r>
          </w:p>
        </w:tc>
        <w:tc>
          <w:tcPr>
            <w:tcW w:w="6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Agency of the Republic of Slovenia for Agricultural Markets and Rural Development</w:t>
            </w:r>
          </w:p>
        </w:tc>
        <w:tc>
          <w:tcPr>
            <w:tcW w:w="6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General Director</w:t>
            </w:r>
          </w:p>
        </w:tc>
        <w:tc>
          <w:tcPr>
            <w:tcW w:w="6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Dunajska 160, 1000 Ljubljana</w:t>
            </w:r>
          </w:p>
        </w:tc>
        <w:tc>
          <w:tcPr>
            <w:tcW w:w="65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aktrp@gov.si</w:t>
            </w:r>
          </w:p>
        </w:tc>
      </w:tr>
    </w:tbl>
    <w:p w:rsidR="00C21266" w:rsidRPr="005C3B55" w:rsidRDefault="00C21266" w:rsidP="00C21266">
      <w:pPr>
        <w:pStyle w:val="Naslov3"/>
        <w:tabs>
          <w:tab w:val="clear" w:pos="765"/>
        </w:tabs>
        <w:ind w:left="0" w:firstLine="0"/>
        <w:jc w:val="left"/>
        <w:rPr>
          <w:lang w:val="en-GB" w:eastAsia="en-GB" w:bidi="en-GB"/>
        </w:rPr>
      </w:pPr>
      <w:bookmarkStart w:id="213" w:name="_Toc416192671"/>
      <w:r w:rsidRPr="005C3B55">
        <w:rPr>
          <w:lang w:val="en-GB"/>
        </w:rPr>
        <w:t>Short description of management and supervision structures of the programme and arrangement for the independent examination of complaints</w:t>
      </w:r>
      <w:bookmarkEnd w:id="213"/>
      <w:r w:rsidRPr="005C3B55">
        <w:rPr>
          <w:lang w:val="en-GB"/>
        </w:rPr>
        <w:t xml:space="preserve"> </w:t>
      </w:r>
    </w:p>
    <w:p w:rsidR="00C21266" w:rsidRPr="005C3B55" w:rsidRDefault="00C21266" w:rsidP="00C21266">
      <w:pPr>
        <w:pStyle w:val="Naslov4"/>
        <w:tabs>
          <w:tab w:val="clear" w:pos="765"/>
        </w:tabs>
        <w:ind w:left="0" w:firstLine="0"/>
        <w:jc w:val="left"/>
        <w:rPr>
          <w:lang w:val="en-GB"/>
        </w:rPr>
      </w:pPr>
      <w:r w:rsidRPr="005C3B55">
        <w:rPr>
          <w:lang w:val="en-GB"/>
        </w:rPr>
        <w:t>Management and supervision structures</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650" w:type="pct"/>
            <w:tcBorders>
              <w:top w:val="single" w:sz="8" w:space="0" w:color="000000"/>
              <w:left w:val="single" w:sz="8" w:space="0" w:color="000000"/>
              <w:bottom w:val="single" w:sz="8" w:space="0" w:color="000000"/>
              <w:right w:val="single" w:sz="8" w:space="0" w:color="000000"/>
            </w:tcBorders>
            <w:tcMar>
              <w:top w:w="60" w:type="dxa"/>
              <w:left w:w="108" w:type="dxa"/>
              <w:bottom w:w="120" w:type="dxa"/>
              <w:right w:w="108" w:type="dxa"/>
            </w:tcMar>
          </w:tcPr>
          <w:p w:rsidR="00C21266" w:rsidRPr="005C3B55" w:rsidRDefault="00C21266">
            <w:pPr>
              <w:spacing w:after="240"/>
              <w:rPr>
                <w:rFonts w:eastAsia="Calibri"/>
                <w:szCs w:val="24"/>
              </w:rPr>
            </w:pPr>
            <w:r w:rsidRPr="005C3B55">
              <w:t>The MA is responsible for the successful, efficient and correct management and implementation of the RDP 2014-2020, pursuant to Article 66 of Regulation (EU) No 1305/2013. In particular, it conducts the following tasks:</w:t>
            </w:r>
          </w:p>
          <w:p w:rsidR="00C21266" w:rsidRPr="005C3B55" w:rsidRDefault="00C21266" w:rsidP="006E20B6">
            <w:pPr>
              <w:numPr>
                <w:ilvl w:val="0"/>
                <w:numId w:val="1037"/>
              </w:numPr>
              <w:spacing w:before="240" w:after="0"/>
              <w:ind w:hanging="290"/>
              <w:jc w:val="left"/>
              <w:rPr>
                <w:szCs w:val="24"/>
              </w:rPr>
            </w:pPr>
            <w:r w:rsidRPr="005C3B55">
              <w:t> programming (participation in preparation of and changes to the Partnership Agreement, preparation and changes to the programme, preparation of adequate national legal bases, etc.)</w:t>
            </w:r>
          </w:p>
          <w:p w:rsidR="00C21266" w:rsidRPr="005C3B55" w:rsidRDefault="00C21266" w:rsidP="006E20B6">
            <w:pPr>
              <w:numPr>
                <w:ilvl w:val="0"/>
                <w:numId w:val="1037"/>
              </w:numPr>
              <w:spacing w:before="0" w:after="0"/>
              <w:ind w:hanging="290"/>
              <w:jc w:val="left"/>
              <w:rPr>
                <w:szCs w:val="24"/>
              </w:rPr>
            </w:pPr>
            <w:r w:rsidRPr="005C3B55">
              <w:t>programme management (implementation of MA tasks, provision of working conditions of the Monitoring Committee, cooperation with managing authorities of other ESI Funds, cooperation with authorities competent for the implementation of the First CAP pillar, steering the EAFRD operations in implementing delegated MA tasks, coordination in procedures with the EC, etc.)</w:t>
            </w:r>
          </w:p>
          <w:p w:rsidR="00C21266" w:rsidRPr="005C3B55" w:rsidRDefault="00C21266" w:rsidP="006E20B6">
            <w:pPr>
              <w:numPr>
                <w:ilvl w:val="0"/>
                <w:numId w:val="1037"/>
              </w:numPr>
              <w:spacing w:before="0" w:after="0"/>
              <w:ind w:hanging="290"/>
              <w:jc w:val="left"/>
              <w:rPr>
                <w:szCs w:val="24"/>
              </w:rPr>
            </w:pPr>
            <w:r w:rsidRPr="005C3B55">
              <w:t>implementation of the programme (drafting of public tenders and tender documentation, receipt and processing of applications, making decisions on roles, execution of controls, monitoring of the project implementation, etc.)</w:t>
            </w:r>
          </w:p>
          <w:p w:rsidR="00C21266" w:rsidRPr="005C3B55" w:rsidRDefault="00C21266" w:rsidP="006E20B6">
            <w:pPr>
              <w:numPr>
                <w:ilvl w:val="0"/>
                <w:numId w:val="1037"/>
              </w:numPr>
              <w:spacing w:before="0" w:after="0"/>
              <w:ind w:hanging="290"/>
              <w:jc w:val="left"/>
              <w:rPr>
                <w:szCs w:val="24"/>
              </w:rPr>
            </w:pPr>
            <w:r w:rsidRPr="005C3B55">
              <w:t>monitoring and evaluation of the programme (monitoring the implementation of measures, financial monitoring of the programme, performing analyses for the needs of programming and programme management, coordination of evaluation implementation, etc.);</w:t>
            </w:r>
          </w:p>
          <w:p w:rsidR="00C21266" w:rsidRPr="005C3B55" w:rsidRDefault="00C21266" w:rsidP="006E20B6">
            <w:pPr>
              <w:numPr>
                <w:ilvl w:val="0"/>
                <w:numId w:val="1037"/>
              </w:numPr>
              <w:spacing w:before="0" w:after="0"/>
              <w:ind w:hanging="290"/>
              <w:jc w:val="left"/>
              <w:rPr>
                <w:szCs w:val="24"/>
              </w:rPr>
            </w:pPr>
            <w:r w:rsidRPr="005C3B55">
              <w:t>reporting on the programme (preparation of annual and other reports on the programme implementation, etc.);</w:t>
            </w:r>
          </w:p>
          <w:p w:rsidR="00C21266" w:rsidRPr="005C3B55" w:rsidRDefault="00C21266" w:rsidP="006E20B6">
            <w:pPr>
              <w:numPr>
                <w:ilvl w:val="0"/>
                <w:numId w:val="1037"/>
              </w:numPr>
              <w:spacing w:before="0" w:after="0"/>
              <w:ind w:hanging="290"/>
              <w:jc w:val="left"/>
              <w:rPr>
                <w:szCs w:val="24"/>
              </w:rPr>
            </w:pPr>
            <w:r w:rsidRPr="005C3B55">
              <w:t>providing programme information to the public;</w:t>
            </w:r>
          </w:p>
          <w:p w:rsidR="00C21266" w:rsidRPr="005C3B55" w:rsidRDefault="00C21266" w:rsidP="006E20B6">
            <w:pPr>
              <w:numPr>
                <w:ilvl w:val="0"/>
                <w:numId w:val="1037"/>
              </w:numPr>
              <w:spacing w:before="0" w:after="0"/>
              <w:ind w:hanging="290"/>
              <w:jc w:val="left"/>
              <w:rPr>
                <w:szCs w:val="24"/>
              </w:rPr>
            </w:pPr>
            <w:r w:rsidRPr="005C3B55">
              <w:t>verification of the operation of the management and implementation system of the RDP 2014-2020 at the MAFF and EAFRD;</w:t>
            </w:r>
          </w:p>
          <w:p w:rsidR="00C21266" w:rsidRPr="005C3B55" w:rsidRDefault="00C21266" w:rsidP="006E20B6">
            <w:pPr>
              <w:numPr>
                <w:ilvl w:val="0"/>
                <w:numId w:val="1037"/>
              </w:numPr>
              <w:spacing w:before="0" w:after="0"/>
              <w:ind w:hanging="290"/>
              <w:jc w:val="left"/>
              <w:rPr>
                <w:szCs w:val="24"/>
              </w:rPr>
            </w:pPr>
            <w:r w:rsidRPr="005C3B55">
              <w:t>verification of the implementation of tasks delegated by the MA to other authorities; and</w:t>
            </w:r>
          </w:p>
          <w:p w:rsidR="00C21266" w:rsidRPr="005C3B55" w:rsidRDefault="00C21266" w:rsidP="006E20B6">
            <w:pPr>
              <w:numPr>
                <w:ilvl w:val="0"/>
                <w:numId w:val="1037"/>
              </w:numPr>
              <w:spacing w:before="0" w:after="240"/>
              <w:ind w:hanging="290"/>
              <w:jc w:val="left"/>
              <w:rPr>
                <w:szCs w:val="24"/>
              </w:rPr>
            </w:pPr>
            <w:r w:rsidRPr="005C3B55">
              <w:t>conclusion of the programme.</w:t>
            </w:r>
          </w:p>
          <w:p w:rsidR="00C21266" w:rsidRPr="005C3B55" w:rsidRDefault="00C21266">
            <w:pPr>
              <w:spacing w:before="240" w:after="240"/>
              <w:rPr>
                <w:szCs w:val="24"/>
              </w:rPr>
            </w:pPr>
            <w:r w:rsidRPr="005C3B55">
              <w:t xml:space="preserve">The Directorate competent for the agriculture at the MAFF is the </w:t>
            </w:r>
            <w:r w:rsidRPr="005C3B55">
              <w:rPr>
                <w:b/>
              </w:rPr>
              <w:t>MA</w:t>
            </w:r>
            <w:r w:rsidRPr="005C3B55">
              <w:t xml:space="preserve"> for the RDP 2014-2020. The MA comprises the head of the MA and Steering Committee, Management Support Team and Implementation Support Team. It uses the support of other MAFF services in its work. The MA also informs the Competent Accreditation Authority about all findings related to the conditions of acquisition or deprivation of accreditation of the Paying Agency.</w:t>
            </w:r>
          </w:p>
          <w:p w:rsidR="00C21266" w:rsidRPr="005C3B55" w:rsidRDefault="00C21266">
            <w:pPr>
              <w:spacing w:before="240" w:after="240"/>
              <w:rPr>
                <w:szCs w:val="24"/>
              </w:rPr>
            </w:pPr>
            <w:r w:rsidRPr="005C3B55">
              <w:t xml:space="preserve">The Head of the MA is the General Director of the Directorate competent for agriculture. It is responsible for the correct implementation of the RDP 2014-2020, represents the MA, issues internal MA acts and provides an adequate flow of information between all players in the implementation of the RDP 2014-2020. It consults with the Steering Committee on all important issues at MA Council meetings. </w:t>
            </w:r>
          </w:p>
          <w:p w:rsidR="00C21266" w:rsidRPr="005C3B55" w:rsidRDefault="00C21266">
            <w:pPr>
              <w:spacing w:before="240" w:after="240"/>
              <w:rPr>
                <w:szCs w:val="24"/>
              </w:rPr>
            </w:pPr>
            <w:r w:rsidRPr="005C3B55">
              <w:t xml:space="preserve">The </w:t>
            </w:r>
            <w:r w:rsidRPr="005C3B55">
              <w:rPr>
                <w:b/>
              </w:rPr>
              <w:t xml:space="preserve">Steering Committee </w:t>
            </w:r>
            <w:r w:rsidRPr="005C3B55">
              <w:t xml:space="preserve">supports the Head of MA in making decisions on important issues. It comprises the representatives of sectors responsible for the implementation of individual measures of the RDP 2014-2020, a representative of the minister's office and a representative of the AAMRD.  It meets with the Head of the MA at the MA Council meetings. The themes dealt with together with the Head of MA at MA meetings are the constant monitoring and steering of the implementation of the RDP 2014-2020, confirmation of the eligibility conditions and selection criteria for operation selection, confirmation of proposals of changes to the RDP 2014-2020, monitoring of the establishment and operation of the system for data collection, and confirmation of the annual report. </w:t>
            </w:r>
          </w:p>
          <w:p w:rsidR="00C21266" w:rsidRPr="005C3B55" w:rsidRDefault="00C21266">
            <w:pPr>
              <w:spacing w:before="240" w:after="240"/>
              <w:rPr>
                <w:szCs w:val="24"/>
              </w:rPr>
            </w:pPr>
            <w:r w:rsidRPr="005C3B55">
              <w:t xml:space="preserve">The </w:t>
            </w:r>
            <w:r w:rsidRPr="005C3B55">
              <w:rPr>
                <w:b/>
              </w:rPr>
              <w:t>Management Support Team</w:t>
            </w:r>
            <w:r w:rsidRPr="005C3B55">
              <w:t xml:space="preserve"> is responsible for providing expert and organisational support in managing of the RDP 2014-2020. It performs the tasks of programming, managing the RDP 2014-2020, monitoring and evaluating the programme, reporting on the RDP 2014-2020, supervising the implementation of the RDP 2014-2020, concluding the RDP 20142020 and also offers technical assistance.</w:t>
            </w:r>
          </w:p>
          <w:p w:rsidR="00C21266" w:rsidRPr="005C3B55" w:rsidRDefault="00C21266">
            <w:pPr>
              <w:spacing w:before="240" w:after="240"/>
              <w:rPr>
                <w:szCs w:val="24"/>
              </w:rPr>
            </w:pPr>
            <w:r w:rsidRPr="005C3B55">
              <w:t xml:space="preserve">The </w:t>
            </w:r>
            <w:r w:rsidRPr="005C3B55">
              <w:rPr>
                <w:b/>
              </w:rPr>
              <w:t>Implementation Support Team</w:t>
            </w:r>
            <w:r w:rsidRPr="005C3B55">
              <w:t xml:space="preserve"> is responsible for providing expert and organisational support in implementing of the RDP 2014-2020. It performs the tasks of providing the preparation of measure content, adequate legal bases and other documents for implementing measures, preparing the content of public tenders and monitoring the implementation of measures and cooperating on the preparation of reports and other expert texts relating to the implementation of measures of the RDP 2014-2020.</w:t>
            </w:r>
          </w:p>
          <w:p w:rsidR="00C21266" w:rsidRPr="005C3B55" w:rsidRDefault="00C21266">
            <w:pPr>
              <w:spacing w:before="240" w:after="240"/>
              <w:rPr>
                <w:szCs w:val="24"/>
              </w:rPr>
            </w:pPr>
            <w:r w:rsidRPr="005C3B55">
              <w:t>The tasks of the MA relating to the implementation of measures and implementation of controls will be transferred to the AAMRD, which is an affiliated body of the MAFF and implements the tasks of the body of first instance pursuant to Article 16 of the General Procedure Act. The AAMRD provides an adequate number of qualified staff for the efficient and expert implementation of the RDP 2014-2012.</w:t>
            </w:r>
          </w:p>
          <w:p w:rsidR="00C21266" w:rsidRPr="005C3B55" w:rsidRDefault="00C21266">
            <w:pPr>
              <w:spacing w:before="240" w:after="240"/>
              <w:rPr>
                <w:szCs w:val="24"/>
              </w:rPr>
            </w:pPr>
            <w:r w:rsidRPr="005C3B55">
              <w:rPr>
                <w:b/>
                <w:i/>
              </w:rPr>
              <w:t>Paying Agency</w:t>
            </w:r>
          </w:p>
          <w:p w:rsidR="00C21266" w:rsidRPr="005C3B55" w:rsidRDefault="00C21266">
            <w:pPr>
              <w:spacing w:before="240" w:after="240"/>
              <w:rPr>
                <w:szCs w:val="24"/>
              </w:rPr>
            </w:pPr>
            <w:r w:rsidRPr="005C3B55">
              <w:t>The Paying Agency is responsible for the management and control of EAFRD expenditures. The tasks of the Paying Agency are implemented by the EAFRD within the scope of implementing the RDP 2014-2020. The AAMRD is the only accredited Paying Agency for the implementation of all measures of the Common Agricultural Policy in the Republic of Slovenia. The MAFF is the competent body for issuing and withdrawing the accreditation of the Paying Agency and for the constant monitoring of the fulfilment of accreditation criteria.</w:t>
            </w:r>
          </w:p>
          <w:p w:rsidR="00C21266" w:rsidRPr="005C3B55" w:rsidRDefault="00C21266">
            <w:pPr>
              <w:spacing w:before="240" w:after="240"/>
              <w:rPr>
                <w:szCs w:val="24"/>
              </w:rPr>
            </w:pPr>
            <w:r w:rsidRPr="005C3B55">
              <w:t>The AAMRD performs tasks defined under Article 7 of Regulation (EU) No 1306/2013:</w:t>
            </w:r>
          </w:p>
          <w:p w:rsidR="00C21266" w:rsidRPr="005C3B55" w:rsidRDefault="00C21266" w:rsidP="006E20B6">
            <w:pPr>
              <w:numPr>
                <w:ilvl w:val="0"/>
                <w:numId w:val="1038"/>
              </w:numPr>
              <w:spacing w:before="240" w:after="0"/>
              <w:ind w:hanging="290"/>
              <w:jc w:val="left"/>
              <w:rPr>
                <w:szCs w:val="24"/>
              </w:rPr>
            </w:pPr>
            <w:r w:rsidRPr="005C3B55">
              <w:t>approval of payments (approval and control of payments for the purpose of proving that the amount paid to the beneficiary is in accordance with the regulations of the Union, which in particular includes management controls and controls on site);</w:t>
            </w:r>
          </w:p>
          <w:p w:rsidR="00C21266" w:rsidRPr="005C3B55" w:rsidRDefault="00C21266" w:rsidP="006E20B6">
            <w:pPr>
              <w:numPr>
                <w:ilvl w:val="0"/>
                <w:numId w:val="1038"/>
              </w:numPr>
              <w:spacing w:before="0" w:after="0"/>
              <w:ind w:hanging="290"/>
              <w:jc w:val="left"/>
              <w:rPr>
                <w:szCs w:val="24"/>
              </w:rPr>
            </w:pPr>
            <w:r w:rsidRPr="005C3B55">
              <w:t>execution of payments (performance of payments of the approved amount to beneficiaries);</w:t>
            </w:r>
          </w:p>
          <w:p w:rsidR="00C21266" w:rsidRPr="005C3B55" w:rsidRDefault="00C21266" w:rsidP="006E20B6">
            <w:pPr>
              <w:numPr>
                <w:ilvl w:val="0"/>
                <w:numId w:val="1038"/>
              </w:numPr>
              <w:spacing w:before="0" w:after="240"/>
              <w:ind w:hanging="290"/>
              <w:jc w:val="left"/>
              <w:rPr>
                <w:szCs w:val="24"/>
              </w:rPr>
            </w:pPr>
            <w:r w:rsidRPr="005C3B55">
              <w:t>accounting (accounting to register all payments for EAFRD expenditures in special statements of accounts of the Paying Agency which will be in the form of an information system, and preparation of periodical summaries of expenditures, including quarterly and annual reports to the Commission. Statement of accounts of the Paying Agency also register the funds financed by the Fund, in particular relating to unaccounted advance payments, securities and debtors.</w:t>
            </w:r>
          </w:p>
          <w:p w:rsidR="00C21266" w:rsidRPr="005C3B55" w:rsidRDefault="00C21266">
            <w:pPr>
              <w:spacing w:before="240" w:after="240"/>
              <w:rPr>
                <w:szCs w:val="24"/>
              </w:rPr>
            </w:pPr>
            <w:r w:rsidRPr="005C3B55">
              <w:t>The organisational structure of the Paying Agency provides for the separate execution of tasks. A special organisational unit is competent for each task. Their competences are defined in the internal act of the Paying Agency. It also has an internal audit service, the purpose of which is to expertly verify and assess the management and operations of internal controls and report to the management on any weaknesses or irregularities and make recommendations on their elimination.</w:t>
            </w:r>
          </w:p>
          <w:p w:rsidR="00C21266" w:rsidRPr="005C3B55" w:rsidRDefault="00C21266">
            <w:pPr>
              <w:spacing w:before="240" w:after="240"/>
              <w:rPr>
                <w:szCs w:val="24"/>
              </w:rPr>
            </w:pPr>
            <w:r w:rsidRPr="005C3B55">
              <w:t>It prepares adequate internal regulations for the operation of the EAFRD Paying Agency.</w:t>
            </w:r>
          </w:p>
          <w:p w:rsidR="00C21266" w:rsidRPr="005C3B55" w:rsidRDefault="00C21266">
            <w:pPr>
              <w:spacing w:before="240" w:after="240"/>
              <w:rPr>
                <w:szCs w:val="24"/>
              </w:rPr>
            </w:pPr>
            <w:r w:rsidRPr="005C3B55">
              <w:rPr>
                <w:b/>
                <w:i/>
              </w:rPr>
              <w:t>Certification Authority</w:t>
            </w:r>
          </w:p>
          <w:p w:rsidR="00C21266" w:rsidRPr="005C3B55" w:rsidRDefault="00C21266">
            <w:pPr>
              <w:spacing w:before="240" w:after="240"/>
              <w:rPr>
                <w:szCs w:val="24"/>
              </w:rPr>
            </w:pPr>
            <w:r w:rsidRPr="005C3B55">
              <w:t>The certification authority for EAFRD expenditures is the Ministry of Finance, Budget Supervision Office (BSO). The BSO submits an opinion, prepared in accordance with the internationally recognised revision standards, on the completeness, precision and authenticity of annual accounts of the Paying Agency, the correct operation of its system of internal control and the legality and correctness of expenditures for which the Commission demands a refund. It is independent from the AAMRD and MAFF in terms of operation.</w:t>
            </w:r>
          </w:p>
          <w:p w:rsidR="00C21266" w:rsidRPr="005C3B55" w:rsidRDefault="00C21266">
            <w:pPr>
              <w:spacing w:before="240" w:after="240"/>
              <w:rPr>
                <w:szCs w:val="24"/>
              </w:rPr>
            </w:pPr>
            <w:r w:rsidRPr="005C3B55">
              <w:rPr>
                <w:b/>
                <w:i/>
              </w:rPr>
              <w:t>Assessment of the need to strengthen the management capacities of authorities</w:t>
            </w:r>
          </w:p>
          <w:p w:rsidR="00C21266" w:rsidRPr="005C3B55" w:rsidRDefault="00C21266">
            <w:pPr>
              <w:spacing w:before="240" w:after="240"/>
              <w:rPr>
                <w:szCs w:val="24"/>
              </w:rPr>
            </w:pPr>
            <w:r w:rsidRPr="005C3B55">
              <w:t>The maintenance of the same or similar personnel coverage is foreseen for the uninterrupted management and implementation of the RDP 2014-2020. The analysis of the scope of work by individual tasks of management and implementation of the RDP 2007-2013 showed that a stable employment structure has to be preserved, with experienced employees, and also indicated a need for additional personnel capacity in some key areas. Since the MA and the Paying Agency do not have a sufficient number of adequately qualified employees for successful and efficient management and implementation, they will employ public officials in the 2014-2020 period, which will be co-financed under Technical assistance. The MA prepares the establishment plan for the implementation of the RDP 2014-2020, which includes authorities responsible for the management and control of the EAFRD and foreseen number of employees for individual authorities. The establishment action plan foresees measures to retain existing personnel with experience of implementing EU Funds (SPD 2004-2006, RDP 2004-2006 and RDP 2007-2013) and also measures to improve qualifications and the transfer of knowledge. This plan also includes an education and training plan which will define the knowledge required to implement individual tasks and the areas of training. Special attention will be directed to the adequate qualification of personnel, in particular in terms of public procurement, state aid, performing audit recommendations, verification, monitoring and evaluation. The Government of the Republic of Slovenia will determine a joint quota of employments on the basis of the analysis of the scope of work for a definite and indefinite period, which will be co-financed under the Technical assistance. </w:t>
            </w:r>
          </w:p>
          <w:p w:rsidR="00C21266" w:rsidRPr="005C3B55" w:rsidRDefault="00C21266">
            <w:pPr>
              <w:pStyle w:val="Telobesedila"/>
              <w:rPr>
                <w:lang w:eastAsia="en-GB" w:bidi="en-GB"/>
              </w:rPr>
            </w:pPr>
          </w:p>
        </w:tc>
      </w:tr>
    </w:tbl>
    <w:p w:rsidR="00C21266" w:rsidRPr="005C3B55" w:rsidRDefault="00C21266" w:rsidP="00C21266">
      <w:pPr>
        <w:pStyle w:val="Naslov4"/>
        <w:tabs>
          <w:tab w:val="clear" w:pos="765"/>
        </w:tabs>
        <w:ind w:left="0" w:firstLine="0"/>
        <w:jc w:val="left"/>
        <w:rPr>
          <w:lang w:val="en-GB" w:eastAsia="en-GB" w:bidi="en-GB"/>
        </w:rPr>
      </w:pPr>
      <w:r w:rsidRPr="005C3B55">
        <w:rPr>
          <w:lang w:val="en-GB"/>
        </w:rPr>
        <w:t>Arrangements for reviewing complaints</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650" w:type="pct"/>
            <w:tcBorders>
              <w:top w:val="single" w:sz="8" w:space="0" w:color="000000"/>
              <w:left w:val="single" w:sz="8" w:space="0" w:color="000000"/>
              <w:bottom w:val="single" w:sz="8" w:space="0" w:color="000000"/>
              <w:right w:val="single" w:sz="8" w:space="0" w:color="000000"/>
            </w:tcBorders>
            <w:tcMar>
              <w:top w:w="60" w:type="dxa"/>
              <w:left w:w="108" w:type="dxa"/>
              <w:bottom w:w="120" w:type="dxa"/>
              <w:right w:w="108" w:type="dxa"/>
            </w:tcMar>
          </w:tcPr>
          <w:p w:rsidR="00C21266" w:rsidRPr="005C3B55" w:rsidRDefault="00C21266">
            <w:pPr>
              <w:spacing w:after="240"/>
              <w:rPr>
                <w:rFonts w:eastAsia="Calibri"/>
                <w:szCs w:val="24"/>
              </w:rPr>
            </w:pPr>
            <w:r w:rsidRPr="005C3B55">
              <w:t xml:space="preserve">A client is entitled to file a complaint against a decision issued by the AAMRD in the first instance. Complaints are dealt with according to the provisions of the General Administrative Procedure Act (Official Gazette of the Republic of Slovenia, No 24/06 with all amendments). A client may file a complaint at the MAFF against a decision, which must be lodged at the AAMRD within 15 days of the service of the decision. The AAMRD decides whether the complaint is allowed and timely and if it was filed by an entitled person. If it establishes that the complaint is substantiated, there is no need for another procedure; if the procedure needs to be supplemented, it resolves the case differently and replaces the new decision with the decision challenged by the complainant. A client has the right of complaint against a new decision. </w:t>
            </w:r>
          </w:p>
          <w:p w:rsidR="00C21266" w:rsidRPr="005C3B55" w:rsidRDefault="00C21266">
            <w:pPr>
              <w:spacing w:before="240" w:after="240"/>
              <w:rPr>
                <w:szCs w:val="24"/>
              </w:rPr>
            </w:pPr>
            <w:r w:rsidRPr="005C3B55">
              <w:t>If the AAMRD does not replace the challenge to the complaint with a new decision, it must submit the complaint to the MAFF, which makes a decision according to the legislation and returns it to the first instance to be resolved. After the decision made by the MAFF, the decision is final in the administrative procedure and no further complaint is possible. However, an administrative dispute against the complaint is possible if it is filed to the administrative court within 30 days from the service of the decision on the entitled person.</w:t>
            </w:r>
          </w:p>
          <w:p w:rsidR="00C21266" w:rsidRPr="005C3B55" w:rsidRDefault="00C21266">
            <w:pPr>
              <w:pStyle w:val="Telobesedila"/>
              <w:rPr>
                <w:lang w:eastAsia="en-GB" w:bidi="en-GB"/>
              </w:rPr>
            </w:pPr>
          </w:p>
        </w:tc>
      </w:tr>
    </w:tbl>
    <w:p w:rsidR="00C21266" w:rsidRPr="005C3B55" w:rsidRDefault="00C21266" w:rsidP="00C21266">
      <w:pPr>
        <w:pStyle w:val="Naslov2"/>
        <w:tabs>
          <w:tab w:val="clear" w:pos="765"/>
        </w:tabs>
        <w:ind w:left="0" w:firstLine="0"/>
        <w:rPr>
          <w:b w:val="0"/>
          <w:lang w:val="en-GB" w:eastAsia="en-GB" w:bidi="en-GB"/>
        </w:rPr>
      </w:pPr>
      <w:bookmarkStart w:id="214" w:name="_Toc416192672"/>
      <w:r w:rsidRPr="005C3B55">
        <w:rPr>
          <w:b w:val="0"/>
          <w:lang w:val="en-GB"/>
        </w:rPr>
        <w:t>Foreseen structure of the Monitoring Committee</w:t>
      </w:r>
      <w:bookmarkEnd w:id="214"/>
      <w:r w:rsidRPr="005C3B55">
        <w:rPr>
          <w:b w:val="0"/>
          <w:lang w:val="en-GB"/>
        </w:rPr>
        <w:t xml:space="preserve"> </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650" w:type="pct"/>
            <w:tcBorders>
              <w:top w:val="single" w:sz="8" w:space="0" w:color="000000"/>
              <w:left w:val="single" w:sz="8" w:space="0" w:color="000000"/>
              <w:bottom w:val="single" w:sz="8" w:space="0" w:color="000000"/>
              <w:right w:val="single" w:sz="8" w:space="0" w:color="000000"/>
            </w:tcBorders>
            <w:tcMar>
              <w:top w:w="60" w:type="dxa"/>
              <w:left w:w="108" w:type="dxa"/>
              <w:bottom w:w="120" w:type="dxa"/>
              <w:right w:w="108" w:type="dxa"/>
            </w:tcMar>
          </w:tcPr>
          <w:p w:rsidR="00C21266" w:rsidRPr="005C3B55" w:rsidRDefault="00C21266">
            <w:pPr>
              <w:spacing w:after="240"/>
              <w:rPr>
                <w:rFonts w:eastAsia="Calibri"/>
                <w:szCs w:val="24"/>
              </w:rPr>
            </w:pPr>
            <w:r w:rsidRPr="005C3B55">
              <w:t xml:space="preserve">The Government of the Republic of Slovenia will appoint the members of the Monitoring Committee of the RDP 2014-2020 on the proposal of the MAFF within a period of three months at the latest from the decision on the approval of the programme. The Monitoring Committee adopts the rules of procedure on its work within the institutional, legal and financial frameworks and confirms it in agreement with the MA. The Monitoring Committee is presided over by the Secretary of State responsible for agriculture. The Monitoring Committee members are representatives of ministries and government services, economic and social partners, non-governmental organisations which operate in the field of rural development and local communities. Authorities and organisations responsible for environment protection and gender equality will also be represented on the Monitoring Committee.  </w:t>
            </w:r>
          </w:p>
          <w:p w:rsidR="00C21266" w:rsidRPr="005C3B55" w:rsidRDefault="00C21266">
            <w:pPr>
              <w:pStyle w:val="Telobesedila"/>
              <w:rPr>
                <w:lang w:eastAsia="en-GB" w:bidi="en-GB"/>
              </w:rPr>
            </w:pPr>
          </w:p>
        </w:tc>
      </w:tr>
    </w:tbl>
    <w:p w:rsidR="00C21266" w:rsidRPr="005C3B55" w:rsidRDefault="00C21266" w:rsidP="00C21266">
      <w:pPr>
        <w:pStyle w:val="Naslov2"/>
        <w:tabs>
          <w:tab w:val="clear" w:pos="765"/>
        </w:tabs>
        <w:ind w:left="0" w:firstLine="0"/>
        <w:rPr>
          <w:b w:val="0"/>
          <w:lang w:val="en-GB" w:eastAsia="en-GB" w:bidi="en-GB"/>
        </w:rPr>
      </w:pPr>
      <w:bookmarkStart w:id="215" w:name="_Toc416192673"/>
      <w:r w:rsidRPr="005C3B55">
        <w:rPr>
          <w:b w:val="0"/>
          <w:lang w:val="en-GB"/>
        </w:rPr>
        <w:t>Provisions for providing publicity for the programme also through the national rural network in connection with the information and publicity strategy of Article 13 of the Implementing Regulation (EU) No 808/2014.</w:t>
      </w:r>
      <w:bookmarkEnd w:id="215"/>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650" w:type="pct"/>
            <w:tcBorders>
              <w:top w:val="single" w:sz="8" w:space="0" w:color="000000"/>
              <w:left w:val="single" w:sz="8" w:space="0" w:color="000000"/>
              <w:bottom w:val="single" w:sz="8" w:space="0" w:color="000000"/>
              <w:right w:val="single" w:sz="8" w:space="0" w:color="000000"/>
            </w:tcBorders>
            <w:tcMar>
              <w:top w:w="60" w:type="dxa"/>
              <w:left w:w="108" w:type="dxa"/>
              <w:bottom w:w="120" w:type="dxa"/>
              <w:right w:w="108" w:type="dxa"/>
            </w:tcMar>
          </w:tcPr>
          <w:p w:rsidR="00C21266" w:rsidRPr="005C3B55" w:rsidRDefault="00C21266">
            <w:pPr>
              <w:spacing w:after="240"/>
              <w:rPr>
                <w:rFonts w:eastAsia="Calibri"/>
                <w:szCs w:val="24"/>
              </w:rPr>
            </w:pPr>
            <w:r w:rsidRPr="005C3B55">
              <w:t>Efficient information and publicity are important to raise general public awareness and the transparency of the EAFRD operation and in particular to increase interest in the utilisation and acquisition of funds available within the EU framework. In this way, the quality of implementation of the RDP 2014-2020 and the efficiency of disbursed funds tries is intended to be improved.  By promoting active cooperation and communication with potential beneficiaries as well as other partners and public, feedback will be acquired which will also be a basis for the more efficient and successful drafting of documents and activities related to the rural development policy.</w:t>
            </w:r>
          </w:p>
          <w:p w:rsidR="00C21266" w:rsidRPr="005C3B55" w:rsidRDefault="00C21266">
            <w:pPr>
              <w:spacing w:before="240" w:after="240"/>
              <w:rPr>
                <w:szCs w:val="24"/>
              </w:rPr>
            </w:pPr>
            <w:r w:rsidRPr="005C3B55">
              <w:t xml:space="preserve">Successful publicity of the objectives and measures of the rural development policy and other development policies of the state as well as the EU will stimulate the successful implementation of measures, integration of different partners, sharing of experience and cooperation. By establishing an adequate publicity system in the adequate time and manner, complete and clear and in particular useful information is provided to potential beneficiaries and the general public. </w:t>
            </w:r>
          </w:p>
          <w:p w:rsidR="00C21266" w:rsidRPr="005C3B55" w:rsidRDefault="00C21266">
            <w:pPr>
              <w:spacing w:before="240" w:after="240"/>
              <w:rPr>
                <w:szCs w:val="24"/>
              </w:rPr>
            </w:pPr>
            <w:r w:rsidRPr="005C3B55">
              <w:t>More directed information is provided on the key strategic guidelines of the RDP 2014-2020 for the purpose of attaining objectives addressed by the RDP 2014-2020.</w:t>
            </w:r>
          </w:p>
          <w:p w:rsidR="00C21266" w:rsidRPr="005C3B55" w:rsidRDefault="00C21266">
            <w:pPr>
              <w:spacing w:before="240" w:after="240"/>
              <w:rPr>
                <w:szCs w:val="24"/>
              </w:rPr>
            </w:pPr>
            <w:r w:rsidRPr="005C3B55">
              <w:t>The MA provides publicity to potential beneficiaries, expert organisations, economic and social partners, bodies included in promoting gender equality and respective non-governmental organisations, including environmental organisations. Information is provided on the possibilities of the programme, rules relating to access to funds and the contribution and role of the Union. Information and publicity are implemented in particular through the Rural Network. For this purpose, the support unit of the Network prepares the Action and Communication Plan of the Rural Network for the period 2014-2020, which also includes the Information and Publicity Strategy. Objectives and target public groups, communication tools and activities in this area are defined in the scope of this plan</w:t>
            </w:r>
          </w:p>
          <w:p w:rsidR="00C21266" w:rsidRPr="005C3B55" w:rsidRDefault="00C21266">
            <w:pPr>
              <w:spacing w:before="240" w:after="240"/>
              <w:rPr>
                <w:szCs w:val="24"/>
              </w:rPr>
            </w:pPr>
            <w:r w:rsidRPr="005C3B55">
              <w:t xml:space="preserve">The communication activities of the Rural Network include the information, publicity and feedback activities Communication means a two-way flow of information between the managing authority and partners, stakeholders, beneficiaries, rural areas, general public, expert public, etc., as well as connection/networking between the foregoing entities. </w:t>
            </w:r>
          </w:p>
          <w:p w:rsidR="00C21266" w:rsidRPr="005C3B55" w:rsidRDefault="00C21266">
            <w:pPr>
              <w:spacing w:before="240" w:after="240"/>
              <w:rPr>
                <w:szCs w:val="24"/>
              </w:rPr>
            </w:pPr>
            <w:r w:rsidRPr="005C3B55">
              <w:t>The Rural Network cooperates with other players/partners or services in publicity activities also through its communication channels and tools and thus provides coverage of a wide scope of target groups and participation of partners in communication activities. Promotion and information is intended to raise awareness of the role of the EAFRD and the contribution of the RDP 2014-2020 to Slovenian rural development. The aim is to raise public awareness of the rural area and agriculture, the content of the RDP 2014-2020 and the contribution of the EAFRD and thus stimulate the interest of potential beneficiaries to participate in the RDP 2014-2020 measures.</w:t>
            </w:r>
          </w:p>
          <w:p w:rsidR="00C21266" w:rsidRPr="005C3B55" w:rsidRDefault="00C21266">
            <w:pPr>
              <w:spacing w:before="240" w:after="240"/>
              <w:rPr>
                <w:szCs w:val="24"/>
              </w:rPr>
            </w:pPr>
            <w:r w:rsidRPr="005C3B55">
              <w:t>Providing information to potential beneficiaries includes information on the possibilities offered by the programme and on rules or procedures for accessing the financial means of the programme. The general public is informed of the RDP 2014-2020 content, adoption by the EC and changes, main achievements of the programme and conclusions, as well on the contribution to attaining priority EU objectives.</w:t>
            </w:r>
          </w:p>
          <w:p w:rsidR="00C21266" w:rsidRPr="005C3B55" w:rsidRDefault="00C21266">
            <w:pPr>
              <w:spacing w:before="240" w:after="240"/>
              <w:rPr>
                <w:szCs w:val="24"/>
              </w:rPr>
            </w:pPr>
            <w:r w:rsidRPr="005C3B55">
              <w:t>The Rural Network stimulates active communication and takes care of the coordinated flow of information between local, regional, national and EU levels, as well as between beneficiaries, stakeholders, general public and the MA.. It will operate in a two-way process and provide feedback on the implementation of the RDP 2014-2020 and identification of needs, which provides a basis for better implementation of the RDP 2014-2020, as well as for the information system itself. This will also provide for more efficient evaluation and analysis.</w:t>
            </w:r>
          </w:p>
          <w:p w:rsidR="00C21266" w:rsidRPr="005C3B55" w:rsidRDefault="00C21266">
            <w:pPr>
              <w:spacing w:before="240" w:after="240"/>
              <w:rPr>
                <w:szCs w:val="24"/>
              </w:rPr>
            </w:pPr>
            <w:r w:rsidRPr="005C3B55">
              <w:t>The information and publicity activities follow conducted analyses or surveys (through these, the advantages, disadvantages and opportunities of information are established), evaluation, discussions with partners and Steering Group of the Rural Network, and will define precise content emphases and forms of providing information to the public and potential beneficiaries. The needs or the situation in the field of information are thus identified through the system of providing feedback (through partners) which is a basis for taking action or determining activities for improving and strengthening the provision of adequate information in a specific area or for a specific target group.</w:t>
            </w:r>
          </w:p>
          <w:p w:rsidR="00C21266" w:rsidRPr="005C3B55" w:rsidRDefault="00C21266">
            <w:pPr>
              <w:spacing w:before="240" w:after="240"/>
              <w:rPr>
                <w:szCs w:val="24"/>
              </w:rPr>
            </w:pPr>
            <w:r w:rsidRPr="005C3B55">
              <w:t>The Rural Network uses numerous communication tools, namely:</w:t>
            </w:r>
          </w:p>
          <w:p w:rsidR="00C21266" w:rsidRPr="005C3B55" w:rsidRDefault="00C21266">
            <w:pPr>
              <w:spacing w:before="240" w:after="240"/>
              <w:ind w:left="720"/>
              <w:rPr>
                <w:szCs w:val="24"/>
              </w:rPr>
            </w:pPr>
            <w:r w:rsidRPr="005C3B55">
              <w:t>-</w:t>
            </w:r>
            <w:r w:rsidRPr="005C3B55">
              <w:tab/>
              <w:t>Web page and social media</w:t>
            </w:r>
          </w:p>
          <w:p w:rsidR="00C21266" w:rsidRPr="005C3B55" w:rsidRDefault="00C21266">
            <w:pPr>
              <w:spacing w:before="240" w:after="240"/>
              <w:rPr>
                <w:szCs w:val="24"/>
              </w:rPr>
            </w:pPr>
            <w:r w:rsidRPr="005C3B55">
              <w:t>Quick growth of the internet access confirms the importance of the web page as an accessory for the key messages of organisations and as a source of the latest information. The web page (URL: http://www.program-podezelja.si/sl) will be the main communication accessory of the communication plan. All information on the RDP will be available on the web page. All necessary information on the implementation of the RDP is provided to potential beneficiaries, as well as information adjusted to the general public, The content is provided also via social media (Facebook) and electronic messages.</w:t>
            </w:r>
          </w:p>
          <w:p w:rsidR="00C21266" w:rsidRPr="005C3B55" w:rsidRDefault="00C21266">
            <w:pPr>
              <w:spacing w:before="240" w:after="240"/>
              <w:ind w:left="720"/>
              <w:rPr>
                <w:szCs w:val="24"/>
              </w:rPr>
            </w:pPr>
            <w:r w:rsidRPr="005C3B55">
              <w:t>-</w:t>
            </w:r>
            <w:r w:rsidRPr="005C3B55">
              <w:tab/>
              <w:t>Printed material</w:t>
            </w:r>
          </w:p>
          <w:p w:rsidR="00C21266" w:rsidRPr="005C3B55" w:rsidRDefault="00C21266">
            <w:pPr>
              <w:spacing w:before="240" w:after="240"/>
              <w:rPr>
                <w:szCs w:val="24"/>
              </w:rPr>
            </w:pPr>
            <w:r w:rsidRPr="005C3B55">
              <w:t>Printed materials will include general and concrete information on the rural development programmes and individual content on measures. They will be used at various events (round tables, seminars, workshops, press conferences, fairs), and will be available on the web page or properly delivered to the target groups.</w:t>
            </w:r>
          </w:p>
          <w:p w:rsidR="00C21266" w:rsidRPr="005C3B55" w:rsidRDefault="00C21266">
            <w:pPr>
              <w:spacing w:before="240" w:after="240"/>
              <w:ind w:left="720"/>
              <w:rPr>
                <w:szCs w:val="24"/>
              </w:rPr>
            </w:pPr>
            <w:r w:rsidRPr="005C3B55">
              <w:t>-</w:t>
            </w:r>
            <w:r w:rsidRPr="005C3B55">
              <w:tab/>
              <w:t>Media releases</w:t>
            </w:r>
          </w:p>
          <w:p w:rsidR="00C21266" w:rsidRPr="005C3B55" w:rsidRDefault="00C21266">
            <w:pPr>
              <w:spacing w:before="240" w:after="240"/>
              <w:rPr>
                <w:szCs w:val="24"/>
              </w:rPr>
            </w:pPr>
            <w:r w:rsidRPr="005C3B55">
              <w:t>Representatives of the MAFF and the AAMRD will actively participate in radio and television programmes and other printed media. Various thematic information on the rural development plan will be published in these media.</w:t>
            </w:r>
          </w:p>
          <w:p w:rsidR="00C21266" w:rsidRPr="005C3B55" w:rsidRDefault="00C21266">
            <w:pPr>
              <w:spacing w:before="240" w:after="240"/>
              <w:ind w:left="720"/>
              <w:rPr>
                <w:szCs w:val="24"/>
              </w:rPr>
            </w:pPr>
            <w:r w:rsidRPr="005C3B55">
              <w:t>-</w:t>
            </w:r>
            <w:r w:rsidRPr="005C3B55">
              <w:tab/>
              <w:t>Seminars and workshops, presentations at fairs, presentations of the examples of practices, etc.</w:t>
            </w:r>
          </w:p>
          <w:p w:rsidR="00C21266" w:rsidRPr="005C3B55" w:rsidRDefault="00C21266">
            <w:pPr>
              <w:spacing w:before="240" w:after="240"/>
              <w:rPr>
                <w:szCs w:val="24"/>
              </w:rPr>
            </w:pPr>
            <w:r w:rsidRPr="005C3B55">
              <w:t>Different workshops and seminars will be used to inform potential beneficiaries on more concrete content and activities. They will also be encouraged to participate actively. Providing information to potential beneficiaries and partners on various practices, experience and projects is also important. This will be provided through examinations and presentations of examples of good practices.</w:t>
            </w:r>
          </w:p>
          <w:p w:rsidR="00C21266" w:rsidRPr="005C3B55" w:rsidRDefault="00C21266">
            <w:pPr>
              <w:spacing w:before="240" w:after="240"/>
              <w:ind w:left="720"/>
              <w:rPr>
                <w:szCs w:val="24"/>
              </w:rPr>
            </w:pPr>
            <w:r w:rsidRPr="005C3B55">
              <w:t>-</w:t>
            </w:r>
            <w:r w:rsidRPr="005C3B55">
              <w:tab/>
              <w:t>Promotion</w:t>
            </w:r>
            <w:r w:rsidRPr="005C3B55">
              <w:rPr>
                <w:u w:val="single"/>
              </w:rPr>
              <w:t xml:space="preserve"> </w:t>
            </w:r>
          </w:p>
          <w:p w:rsidR="00C21266" w:rsidRPr="005C3B55" w:rsidRDefault="00C21266">
            <w:pPr>
              <w:spacing w:before="240" w:after="240"/>
              <w:rPr>
                <w:szCs w:val="24"/>
              </w:rPr>
            </w:pPr>
            <w:r w:rsidRPr="005C3B55">
              <w:t>Promotional material containing adequate information will also be prepared to improve the visibility of the EAFRD, rural development programmes and the Rural Network. Advertising on the web, print, in radio and television media will also be implemented.</w:t>
            </w:r>
          </w:p>
          <w:p w:rsidR="00C21266" w:rsidRPr="005C3B55" w:rsidRDefault="00C21266">
            <w:pPr>
              <w:spacing w:before="240" w:after="240"/>
              <w:rPr>
                <w:szCs w:val="24"/>
              </w:rPr>
            </w:pPr>
            <w:r w:rsidRPr="005C3B55">
              <w:t>Raising awareness of the role of the EAFRD and rural development plans will also be performed through an adequate designation by the beneficiaries (designation and stating the sources of financing). The MA informs the public in all procedures (e.g. public procurement implementation) that the activity is financed by the EAFRD.</w:t>
            </w:r>
          </w:p>
          <w:p w:rsidR="00C21266" w:rsidRPr="005C3B55" w:rsidRDefault="00C21266">
            <w:pPr>
              <w:pStyle w:val="Telobesedila"/>
              <w:rPr>
                <w:lang w:eastAsia="en-GB" w:bidi="en-GB"/>
              </w:rPr>
            </w:pPr>
          </w:p>
        </w:tc>
      </w:tr>
    </w:tbl>
    <w:p w:rsidR="00C21266" w:rsidRPr="005C3B55" w:rsidRDefault="00C21266" w:rsidP="00C21266">
      <w:pPr>
        <w:pStyle w:val="Naslov2"/>
        <w:tabs>
          <w:tab w:val="clear" w:pos="765"/>
        </w:tabs>
        <w:ind w:left="0" w:firstLine="0"/>
        <w:rPr>
          <w:b w:val="0"/>
          <w:lang w:val="en-GB" w:eastAsia="en-GB" w:bidi="en-GB"/>
        </w:rPr>
      </w:pPr>
      <w:bookmarkStart w:id="216" w:name="_Toc416192674"/>
      <w:r w:rsidRPr="005C3B55">
        <w:rPr>
          <w:b w:val="0"/>
          <w:lang w:val="en-GB"/>
        </w:rPr>
        <w:t>Description of mechanisms that provide compliance related to the local development plans implemented within the scope of the LEADER approach, activities foreseen in the scope of cooperation measure under Article 35 of Regulation (EU) No 1305/2013, measure of basic services and rehabilitation of villages in rural areas under Article 20 of the foregoing regulation and other European structural and investment funds.</w:t>
      </w:r>
      <w:bookmarkEnd w:id="216"/>
      <w:r w:rsidRPr="005C3B55">
        <w:rPr>
          <w:b w:val="0"/>
          <w:lang w:val="en-GB"/>
        </w:rPr>
        <w:t xml:space="preserve"> </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650" w:type="pct"/>
            <w:tcBorders>
              <w:top w:val="single" w:sz="8" w:space="0" w:color="000000"/>
              <w:left w:val="single" w:sz="8" w:space="0" w:color="000000"/>
              <w:bottom w:val="single" w:sz="8" w:space="0" w:color="000000"/>
              <w:right w:val="single" w:sz="8" w:space="0" w:color="000000"/>
            </w:tcBorders>
            <w:tcMar>
              <w:top w:w="60" w:type="dxa"/>
              <w:left w:w="108" w:type="dxa"/>
              <w:bottom w:w="120" w:type="dxa"/>
              <w:right w:w="108" w:type="dxa"/>
            </w:tcMar>
          </w:tcPr>
          <w:p w:rsidR="00C21266" w:rsidRPr="005C3B55" w:rsidRDefault="00C21266">
            <w:pPr>
              <w:spacing w:after="240"/>
              <w:rPr>
                <w:rFonts w:eastAsia="Calibri"/>
                <w:szCs w:val="24"/>
              </w:rPr>
            </w:pPr>
            <w:r w:rsidRPr="005C3B55">
              <w:t>The operations may occur within the scope of two sub-measures of the LEADER initiative, i.e. M19.2 and M19.3, which could be co-financed through the so-called main measures.</w:t>
            </w:r>
          </w:p>
          <w:p w:rsidR="00C21266" w:rsidRPr="005C3B55" w:rsidRDefault="00C21266">
            <w:pPr>
              <w:spacing w:before="240" w:after="240"/>
              <w:rPr>
                <w:szCs w:val="24"/>
              </w:rPr>
            </w:pPr>
            <w:r w:rsidRPr="005C3B55">
              <w:t>The operations eligible for co-financing within the scope of the main measures may be opened through the LEADER sub-measures if they are foreseen in LDSs and the LAG recognises them as a need for rural area development and selects them for co-financing on the basis of the selection criteria. When preparing LDS, the local partnership has to define whether there are needs to implement so-called main measures. If it is determined in the LDS that there are needs to implement so-called main measures, the local partnership has to define in the LDS the added value (e.g. common interest, group of beneficiaries, access of the public to the operation’s results, innovative characteristics of the operation at the local level, availability of the budget, integrated projects) of this operation to be implemented within the LEADER sub-measure and not through a so-called main measure.</w:t>
            </w:r>
          </w:p>
          <w:p w:rsidR="00C21266" w:rsidRPr="005C3B55" w:rsidRDefault="00C21266">
            <w:pPr>
              <w:spacing w:before="240" w:after="240"/>
              <w:rPr>
                <w:szCs w:val="24"/>
              </w:rPr>
            </w:pPr>
            <w:r w:rsidRPr="005C3B55">
              <w:t>Possible duplication/double financing of the same eligible costs will be verified promptly at the level of individual operations. When discussing applications, the MA will verify whether the beneficiaries applied the same operations under other measures of the RDP 2014-2020 or measures financed under other ESI funds. When discussing payment requests, the Paying Agency will verify whether the beneficiaries claimed reimbursement for the same eligible costs also under other measures of the RDP 2014-2020 or measures financed under other ESI funds. Thus, each individual expense will be funded only once.</w:t>
            </w:r>
          </w:p>
          <w:p w:rsidR="00C21266" w:rsidRPr="005C3B55" w:rsidRDefault="00C21266">
            <w:pPr>
              <w:spacing w:before="240" w:after="240"/>
              <w:rPr>
                <w:szCs w:val="24"/>
              </w:rPr>
            </w:pPr>
            <w:r w:rsidRPr="005C3B55">
              <w:t>Within the scope of planned and foreseen co-financing operations, synergies will occur between individual ESI Funds, since the purpose of the joint CLLD approach is to implement more comprehensive operations through the combination of various financing sources.</w:t>
            </w:r>
          </w:p>
          <w:p w:rsidR="00C21266" w:rsidRPr="005C3B55" w:rsidRDefault="00C21266">
            <w:pPr>
              <w:spacing w:before="240" w:after="240"/>
              <w:rPr>
                <w:szCs w:val="24"/>
              </w:rPr>
            </w:pPr>
            <w:r w:rsidRPr="005C3B55">
              <w:t>The LDSs prepared by local partnerships and also the selection of operations contributing to the attainment of LDS objectives have to pursue EU objectives and are the central point of harmonising different sources of financing.</w:t>
            </w:r>
          </w:p>
          <w:p w:rsidR="00C21266" w:rsidRPr="005C3B55" w:rsidRDefault="00C21266">
            <w:pPr>
              <w:pStyle w:val="Telobesedila"/>
              <w:rPr>
                <w:lang w:eastAsia="en-GB" w:bidi="en-GB"/>
              </w:rPr>
            </w:pPr>
          </w:p>
        </w:tc>
      </w:tr>
    </w:tbl>
    <w:p w:rsidR="00C21266" w:rsidRPr="005C3B55" w:rsidRDefault="00C21266" w:rsidP="00C21266">
      <w:pPr>
        <w:pStyle w:val="Naslov2"/>
        <w:tabs>
          <w:tab w:val="clear" w:pos="765"/>
        </w:tabs>
        <w:ind w:left="0" w:firstLine="0"/>
        <w:rPr>
          <w:b w:val="0"/>
          <w:lang w:val="en-GB" w:eastAsia="en-GB" w:bidi="en-GB"/>
        </w:rPr>
      </w:pPr>
      <w:bookmarkStart w:id="217" w:name="_Toc416192675"/>
      <w:r w:rsidRPr="005C3B55">
        <w:rPr>
          <w:b w:val="0"/>
          <w:lang w:val="en-GB"/>
        </w:rPr>
        <w:t>Description of measures to reduce the administrative burden of beneficiaries under Article 27(1) of Regulation (EU) No 1303/2013</w:t>
      </w:r>
      <w:bookmarkEnd w:id="217"/>
      <w:r w:rsidRPr="005C3B55">
        <w:rPr>
          <w:b w:val="0"/>
          <w:lang w:val="en-GB"/>
        </w:rPr>
        <w:t xml:space="preserve"> </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650" w:type="pct"/>
            <w:tcBorders>
              <w:top w:val="single" w:sz="8" w:space="0" w:color="000000"/>
              <w:left w:val="single" w:sz="8" w:space="0" w:color="000000"/>
              <w:bottom w:val="single" w:sz="8" w:space="0" w:color="000000"/>
              <w:right w:val="single" w:sz="8" w:space="0" w:color="000000"/>
            </w:tcBorders>
            <w:tcMar>
              <w:top w:w="60" w:type="dxa"/>
              <w:left w:w="108" w:type="dxa"/>
              <w:bottom w:w="120" w:type="dxa"/>
              <w:right w:w="108" w:type="dxa"/>
            </w:tcMar>
          </w:tcPr>
          <w:p w:rsidR="00C21266" w:rsidRPr="005C3B55" w:rsidRDefault="00C21266">
            <w:pPr>
              <w:spacing w:after="240"/>
              <w:rPr>
                <w:rFonts w:eastAsia="Calibri"/>
                <w:szCs w:val="24"/>
              </w:rPr>
            </w:pPr>
            <w:r w:rsidRPr="005C3B55">
              <w:t xml:space="preserve">Simplification of implementation and more transparent implementation of measures are crucial for beneficiaries, as well as in terms of reducing administrative costs. Simplifications for beneficiaries will also unburden the authority which decides on applications, since electronic operations will enable quicker processing, the possibility of the simplified verification of double financing, as well as the fulfilment of other conditions. </w:t>
            </w:r>
          </w:p>
          <w:p w:rsidR="00C21266" w:rsidRPr="005C3B55" w:rsidRDefault="00C21266">
            <w:pPr>
              <w:spacing w:before="240" w:after="240"/>
              <w:rPr>
                <w:szCs w:val="24"/>
              </w:rPr>
            </w:pPr>
            <w:r w:rsidRPr="005C3B55">
              <w:rPr>
                <w:b/>
              </w:rPr>
              <w:t>Convergence of statutory regulations and implementing acts</w:t>
            </w:r>
          </w:p>
          <w:p w:rsidR="00C21266" w:rsidRPr="005C3B55" w:rsidRDefault="00C21266">
            <w:pPr>
              <w:spacing w:before="240" w:after="240"/>
              <w:rPr>
                <w:szCs w:val="24"/>
              </w:rPr>
            </w:pPr>
            <w:r w:rsidRPr="005C3B55">
              <w:t>Within the scope of the preparation of national regulations and implementing acts, special attention will be paid to the convergence of terminology, as well as the conditions and obligations of beneficiaries. Thus the risk of errors will be reduced, and easier monitoring of projects and reducing the burden of beneficiaries in acquiring different evidence, approvals, etc. will be provided. Thus, the objective may be pursued - 'fewer differences between public procurements', meaning that the conditions between individual public tenders will not significantly change, thus enabling beneficiaries to monitor and prepare for public procurements more easily.</w:t>
            </w:r>
          </w:p>
          <w:p w:rsidR="00C21266" w:rsidRPr="005C3B55" w:rsidRDefault="00C21266">
            <w:pPr>
              <w:spacing w:before="240" w:after="240"/>
              <w:rPr>
                <w:szCs w:val="24"/>
              </w:rPr>
            </w:pPr>
            <w:r w:rsidRPr="005C3B55">
              <w:rPr>
                <w:b/>
              </w:rPr>
              <w:t>Reducing the scope and complexity of individual procedure phases</w:t>
            </w:r>
          </w:p>
          <w:p w:rsidR="00C21266" w:rsidRPr="005C3B55" w:rsidRDefault="00C21266">
            <w:pPr>
              <w:spacing w:before="240" w:after="240"/>
              <w:rPr>
                <w:szCs w:val="24"/>
              </w:rPr>
            </w:pPr>
            <w:r w:rsidRPr="005C3B55">
              <w:t>The data available in public records will be acquired by the authority itself for deciding on applications and claims for payment. The data acquisition costs of the beneficiary and the scope of documentation to be attached to the application or claim for payment will thus be reduced. Data important for decision-making and not available from official records will be included as mandatory attachments.</w:t>
            </w:r>
          </w:p>
          <w:p w:rsidR="00C21266" w:rsidRPr="005C3B55" w:rsidRDefault="00C21266">
            <w:pPr>
              <w:spacing w:before="240" w:after="240"/>
              <w:rPr>
                <w:szCs w:val="24"/>
              </w:rPr>
            </w:pPr>
            <w:r w:rsidRPr="005C3B55">
              <w:rPr>
                <w:b/>
              </w:rPr>
              <w:t>Electronic data exchange</w:t>
            </w:r>
          </w:p>
          <w:p w:rsidR="00C21266" w:rsidRPr="005C3B55" w:rsidRDefault="00C21266">
            <w:pPr>
              <w:spacing w:before="240" w:after="240"/>
              <w:rPr>
                <w:szCs w:val="24"/>
              </w:rPr>
            </w:pPr>
            <w:r w:rsidRPr="005C3B55">
              <w:t xml:space="preserve">The established IT system with an option to submit e-application, e-claim and e-report will be the subject of further upgrade and development, with the maximum level of automatic controls which will direct the beneficiary to the correct completion of applications and claims for payment and contribute to the disburdening of the administration. By filling in e-application forms, the scope of work of AAMRD is reduced and thus the time of application processing providing the beneficiaries with a quicker launch of activities. In sub-measures M04.1, M04.2, M06.1, M03.1, M03.2 and the measure M09 it is planned that the beneficiaries may submit all required documents, i.e. applications, changes of applications, claims for payments and reports in e-form within a five-year period after the payment. The exception to this will definitively be the submission of bank guarantee due to claims for advance payment. However, the alternative method of filling in of application and claims for payments will be established which will provide an uninterrupted implementation of administrative procedures with the submission of physical applications at the respective measures in case of technical disturbances or unforeseen circumstances. </w:t>
            </w:r>
          </w:p>
          <w:p w:rsidR="00C21266" w:rsidRPr="005C3B55" w:rsidRDefault="00C21266">
            <w:pPr>
              <w:spacing w:before="240" w:after="240"/>
              <w:rPr>
                <w:szCs w:val="24"/>
              </w:rPr>
            </w:pPr>
            <w:r w:rsidRPr="005C3B55">
              <w:t>The introduced activities will reduce the costs of beneficiaries related to the acquisition of evidence, printing of documentation and sending it to the authority deciding on the applications and claims for payment. On the other hand, the authority making decisions on applications will also be disburdened, since through electronic data bases the verification procedures will be quicker, more efficient and will shorten the procedure of application processing which will enable the beneficiary to launch the activity more quickly The main objective within the scope of all activities is to eliminate unnecessary costs of beneficiaries regardless of that if they result in additional time spent or financial costs. It is also provided that the prepared projects are verifiable and controllable and enable the authority to quickly and transparently process the application.</w:t>
            </w:r>
          </w:p>
          <w:p w:rsidR="00C21266" w:rsidRPr="005C3B55" w:rsidRDefault="00C21266">
            <w:pPr>
              <w:spacing w:before="240" w:after="240"/>
              <w:rPr>
                <w:szCs w:val="24"/>
              </w:rPr>
            </w:pPr>
            <w:r w:rsidRPr="005C3B55">
              <w:rPr>
                <w:b/>
              </w:rPr>
              <w:t>Clear instructions and more information</w:t>
            </w:r>
          </w:p>
          <w:p w:rsidR="00C21266" w:rsidRPr="005C3B55" w:rsidRDefault="00C21266">
            <w:pPr>
              <w:spacing w:before="240" w:after="240"/>
              <w:rPr>
                <w:szCs w:val="24"/>
              </w:rPr>
            </w:pPr>
            <w:r w:rsidRPr="005C3B55">
              <w:t>Information and education aspect is also important and thus the aim is to provide maximum awareness of the beneficiaries on the procedures of acquiring financial funds and also on the procedures of fulfilling the conditions and obligations. In this way, the costs of beneficiaries incurred due to supplementing of application will reduce as will also the costs due to the non-fulfilment of obligations. Special instructions will be prepared for filling in the applications and claims for payment which will lead the beneficiary through the filling in of forms. A lot of attention will be paid to the transparent designing of public procurements and raising the awareness on the obligations taken over upon entering in the individual measure.</w:t>
            </w:r>
          </w:p>
          <w:p w:rsidR="00C21266" w:rsidRPr="005C3B55" w:rsidRDefault="00C21266">
            <w:pPr>
              <w:pStyle w:val="Telobesedila"/>
              <w:rPr>
                <w:lang w:eastAsia="en-GB" w:bidi="en-GB"/>
              </w:rPr>
            </w:pPr>
          </w:p>
        </w:tc>
      </w:tr>
    </w:tbl>
    <w:p w:rsidR="00C21266" w:rsidRPr="005C3B55" w:rsidRDefault="00C21266" w:rsidP="00C21266">
      <w:pPr>
        <w:pStyle w:val="Naslov2"/>
        <w:tabs>
          <w:tab w:val="clear" w:pos="765"/>
        </w:tabs>
        <w:ind w:left="0" w:firstLine="0"/>
        <w:rPr>
          <w:b w:val="0"/>
          <w:lang w:val="en-GB" w:eastAsia="en-GB" w:bidi="en-GB"/>
        </w:rPr>
      </w:pPr>
      <w:bookmarkStart w:id="218" w:name="_Toc416192676"/>
      <w:r w:rsidRPr="005C3B55">
        <w:rPr>
          <w:b w:val="0"/>
          <w:lang w:val="en-GB"/>
        </w:rPr>
        <w:t>Description of the application of technical assistance including the activities relating to the preparation, management, monitoring, evaluation, informing and control of the programme and its implementation, and the activities relating to the previous or next programme periods under Article 59(1) of the Regulation (EU) No 10303/2013.</w:t>
      </w:r>
      <w:bookmarkEnd w:id="218"/>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650" w:type="pct"/>
            <w:tcBorders>
              <w:top w:val="single" w:sz="8" w:space="0" w:color="000000"/>
              <w:left w:val="single" w:sz="8" w:space="0" w:color="000000"/>
              <w:bottom w:val="single" w:sz="8" w:space="0" w:color="000000"/>
              <w:right w:val="single" w:sz="8" w:space="0" w:color="000000"/>
            </w:tcBorders>
            <w:tcMar>
              <w:top w:w="60" w:type="dxa"/>
              <w:left w:w="108" w:type="dxa"/>
              <w:bottom w:w="120" w:type="dxa"/>
              <w:right w:w="108" w:type="dxa"/>
            </w:tcMar>
          </w:tcPr>
          <w:p w:rsidR="00C21266" w:rsidRPr="005C3B55" w:rsidRDefault="00C21266">
            <w:pPr>
              <w:spacing w:after="240"/>
              <w:rPr>
                <w:rFonts w:eastAsia="Calibri"/>
                <w:szCs w:val="24"/>
              </w:rPr>
            </w:pPr>
            <w:r w:rsidRPr="005C3B55">
              <w:t xml:space="preserve">The purpose of the application of Technical assistance is to provide successful and efficient as well as quality programming, management and implementation of the rural development programmes, increase the visibility of the programme and provide personnel support for the implementation of activities. </w:t>
            </w:r>
          </w:p>
          <w:p w:rsidR="00C21266" w:rsidRPr="005C3B55" w:rsidRDefault="00C21266">
            <w:pPr>
              <w:spacing w:before="240" w:after="240"/>
              <w:rPr>
                <w:szCs w:val="24"/>
              </w:rPr>
            </w:pPr>
            <w:r w:rsidRPr="005C3B55">
              <w:t>Main objectives, which will be followed by activities within the scope of Technical assistance of the RDP 2014-2020, are the following:</w:t>
            </w:r>
          </w:p>
          <w:p w:rsidR="00C21266" w:rsidRPr="005C3B55" w:rsidRDefault="00C21266" w:rsidP="006E20B6">
            <w:pPr>
              <w:numPr>
                <w:ilvl w:val="0"/>
                <w:numId w:val="1039"/>
              </w:numPr>
              <w:spacing w:before="240" w:after="0"/>
              <w:ind w:hanging="290"/>
              <w:jc w:val="left"/>
              <w:rPr>
                <w:szCs w:val="24"/>
              </w:rPr>
            </w:pPr>
            <w:r w:rsidRPr="005C3B55">
              <w:t>provision of adequate support for activities required for programming, management and implementation of rural development programmes;</w:t>
            </w:r>
          </w:p>
          <w:p w:rsidR="00C21266" w:rsidRPr="005C3B55" w:rsidRDefault="00C21266" w:rsidP="006E20B6">
            <w:pPr>
              <w:numPr>
                <w:ilvl w:val="0"/>
                <w:numId w:val="1039"/>
              </w:numPr>
              <w:spacing w:before="0" w:after="0"/>
              <w:ind w:hanging="290"/>
              <w:jc w:val="left"/>
              <w:rPr>
                <w:szCs w:val="24"/>
              </w:rPr>
            </w:pPr>
            <w:r w:rsidRPr="005C3B55">
              <w:t>operation of Rural Network;</w:t>
            </w:r>
          </w:p>
          <w:p w:rsidR="00C21266" w:rsidRPr="005C3B55" w:rsidRDefault="00C21266" w:rsidP="006E20B6">
            <w:pPr>
              <w:numPr>
                <w:ilvl w:val="0"/>
                <w:numId w:val="1039"/>
              </w:numPr>
              <w:spacing w:before="0" w:after="0"/>
              <w:ind w:hanging="290"/>
              <w:jc w:val="left"/>
              <w:rPr>
                <w:szCs w:val="24"/>
              </w:rPr>
            </w:pPr>
            <w:r w:rsidRPr="005C3B55">
              <w:t>strengthening the capacities of authorities of the Member States and beneficiaries;</w:t>
            </w:r>
          </w:p>
          <w:p w:rsidR="00C21266" w:rsidRPr="005C3B55" w:rsidRDefault="00C21266" w:rsidP="006E20B6">
            <w:pPr>
              <w:numPr>
                <w:ilvl w:val="0"/>
                <w:numId w:val="1039"/>
              </w:numPr>
              <w:spacing w:before="0" w:after="240"/>
              <w:ind w:hanging="290"/>
              <w:jc w:val="left"/>
              <w:rPr>
                <w:szCs w:val="24"/>
              </w:rPr>
            </w:pPr>
            <w:r w:rsidRPr="005C3B55">
              <w:t>reducing the administrative burden for beneficiaries.</w:t>
            </w:r>
          </w:p>
          <w:p w:rsidR="00C21266" w:rsidRPr="005C3B55" w:rsidRDefault="00C21266">
            <w:pPr>
              <w:spacing w:before="240" w:after="240"/>
              <w:rPr>
                <w:szCs w:val="24"/>
              </w:rPr>
            </w:pPr>
            <w:r w:rsidRPr="005C3B55">
              <w:t>Beneficiaries of funds under the Technical assistance are the MA of the RDP 2014-2020 and the Paying Agency. In utilising the funds under Technical assistance it is necessary to follow regulations dealing with public procurements and in terms of jobs, the regulations dealing with working relationships and public officials.</w:t>
            </w:r>
          </w:p>
          <w:p w:rsidR="00C21266" w:rsidRPr="005C3B55" w:rsidRDefault="00C21266">
            <w:pPr>
              <w:spacing w:before="240" w:after="240"/>
              <w:rPr>
                <w:szCs w:val="24"/>
              </w:rPr>
            </w:pPr>
            <w:r w:rsidRPr="005C3B55">
              <w:t>Eligible costs within the scope of the Technical assistance must be directly related to the rural development programme.</w:t>
            </w:r>
          </w:p>
          <w:p w:rsidR="00C21266" w:rsidRPr="005C3B55" w:rsidRDefault="00C21266">
            <w:pPr>
              <w:spacing w:before="240" w:after="240"/>
              <w:rPr>
                <w:szCs w:val="24"/>
              </w:rPr>
            </w:pPr>
            <w:r w:rsidRPr="005C3B55">
              <w:t>Activities for preparation, management, monitoring, evaluation, information and communication, networking, settlement of disputes and control and audit may be supported within the scope of the Technical assistance pursuant to Article 59 of Regulation (EU) No 1303/2013. The Technical assistance may also be used to support measures for reducing administrative burden of beneficiaries, including the systems of electronic data exchange, and to strengthen the capacities of authorities of the Member States and beneficiaries for managing and utilisation of the EAFRD means. The preparatory work related to the delimitation of areas facing natural and other specific constraints may be supported within the scope of the Technical assistance. The amount for the operation of the Rural Network is reserved within the scope of Technical assistance.</w:t>
            </w:r>
          </w:p>
          <w:p w:rsidR="00C21266" w:rsidRPr="005C3B55" w:rsidRDefault="00C21266">
            <w:pPr>
              <w:spacing w:before="240" w:after="240"/>
              <w:rPr>
                <w:szCs w:val="24"/>
              </w:rPr>
            </w:pPr>
            <w:r w:rsidRPr="005C3B55">
              <w:t>Within the scope of Technical assistance of the RDP 2014-2020, the activities from the previous programme period may also be financed which provide an interrupted transfer from one programme period to the next and activities of preparing the bases for implementing the next programme period.</w:t>
            </w:r>
          </w:p>
          <w:p w:rsidR="00C21266" w:rsidRPr="005C3B55" w:rsidRDefault="00C21266">
            <w:pPr>
              <w:spacing w:before="240" w:after="240"/>
              <w:rPr>
                <w:szCs w:val="24"/>
              </w:rPr>
            </w:pPr>
            <w:r w:rsidRPr="005C3B55">
              <w:t>The certification body is not entitled to utilise funds under the Technical assistance pursuant to Point 2 of the second paragraph of Article 51 of Regulation (EU) No 1305/2013.</w:t>
            </w:r>
          </w:p>
          <w:p w:rsidR="00C21266" w:rsidRPr="005C3B55" w:rsidRDefault="00C21266">
            <w:pPr>
              <w:spacing w:before="240" w:after="240"/>
              <w:rPr>
                <w:szCs w:val="24"/>
              </w:rPr>
            </w:pPr>
            <w:r w:rsidRPr="005C3B55">
              <w:t>The expenditures of Technical assistance, pursuant to Article 30 of Regulation (EU) No 996/2012, are based on the principles of economy, efficiency and success. Indicators defined in Annex IV of Regulation (EU) No 808/2014 will be used to measure the effect of Technical assistance. The evaluation activities will be also directed at the content intended to support the management and implementation of the RDP 2014-2020. An application of Technical assistance and the operation of the Rural Network thus also represents a part of the evaluation of the RDP 2014-2020.</w:t>
            </w:r>
          </w:p>
          <w:p w:rsidR="00C21266" w:rsidRPr="005C3B55" w:rsidRDefault="00C21266">
            <w:pPr>
              <w:spacing w:before="240" w:after="240"/>
              <w:rPr>
                <w:szCs w:val="24"/>
              </w:rPr>
            </w:pPr>
            <w:r w:rsidRPr="005C3B55">
              <w:t>Within the scope of management and implementation of the rural development programmes the following activities are eligible in particular:</w:t>
            </w:r>
          </w:p>
          <w:p w:rsidR="00C21266" w:rsidRPr="005C3B55" w:rsidRDefault="00C21266" w:rsidP="006E20B6">
            <w:pPr>
              <w:numPr>
                <w:ilvl w:val="0"/>
                <w:numId w:val="1040"/>
              </w:numPr>
              <w:spacing w:before="240" w:after="0"/>
              <w:ind w:hanging="290"/>
              <w:jc w:val="left"/>
              <w:rPr>
                <w:szCs w:val="24"/>
              </w:rPr>
            </w:pPr>
            <w:r w:rsidRPr="005C3B55">
              <w:t>Labour costs of public officials for preparation, management, implementation, monitoring, evaluation, control of measures and programme;</w:t>
            </w:r>
          </w:p>
          <w:p w:rsidR="00C21266" w:rsidRPr="005C3B55" w:rsidRDefault="00C21266" w:rsidP="006E20B6">
            <w:pPr>
              <w:numPr>
                <w:ilvl w:val="0"/>
                <w:numId w:val="1040"/>
              </w:numPr>
              <w:spacing w:before="0" w:after="0"/>
              <w:ind w:hanging="290"/>
              <w:jc w:val="left"/>
              <w:rPr>
                <w:szCs w:val="24"/>
              </w:rPr>
            </w:pPr>
            <w:r w:rsidRPr="005C3B55">
              <w:t>education and training of the employees for efficient management and implementation of the programme;</w:t>
            </w:r>
          </w:p>
          <w:p w:rsidR="00C21266" w:rsidRPr="005C3B55" w:rsidRDefault="00C21266" w:rsidP="006E20B6">
            <w:pPr>
              <w:numPr>
                <w:ilvl w:val="0"/>
                <w:numId w:val="1040"/>
              </w:numPr>
              <w:spacing w:before="0" w:after="0"/>
              <w:ind w:hanging="290"/>
              <w:jc w:val="left"/>
              <w:rPr>
                <w:szCs w:val="24"/>
              </w:rPr>
            </w:pPr>
            <w:r w:rsidRPr="005C3B55">
              <w:t xml:space="preserve">services of external contractors and experts supporting the implementation of tasks in the process of programme implementation (provision of translating and interpreting services, legal and financial consultancy and expert works, etc.); </w:t>
            </w:r>
          </w:p>
          <w:p w:rsidR="00C21266" w:rsidRPr="005C3B55" w:rsidRDefault="00C21266" w:rsidP="006E20B6">
            <w:pPr>
              <w:numPr>
                <w:ilvl w:val="0"/>
                <w:numId w:val="1040"/>
              </w:numPr>
              <w:spacing w:before="0" w:after="0"/>
              <w:ind w:hanging="290"/>
              <w:jc w:val="left"/>
              <w:rPr>
                <w:szCs w:val="24"/>
              </w:rPr>
            </w:pPr>
            <w:r w:rsidRPr="005C3B55">
              <w:t>operation of the Supervisory Board of the RDP 2007-2013, Monitoring Committee of the RDP 2014-2020 and other steering and controlling bodies and costs of delegation visits;</w:t>
            </w:r>
          </w:p>
          <w:p w:rsidR="00C21266" w:rsidRPr="005C3B55" w:rsidRDefault="00C21266" w:rsidP="006E20B6">
            <w:pPr>
              <w:numPr>
                <w:ilvl w:val="0"/>
                <w:numId w:val="1040"/>
              </w:numPr>
              <w:spacing w:before="0" w:after="0"/>
              <w:ind w:hanging="290"/>
              <w:jc w:val="left"/>
              <w:rPr>
                <w:szCs w:val="24"/>
              </w:rPr>
            </w:pPr>
            <w:r w:rsidRPr="005C3B55">
              <w:t>organisation and implementation of working meetings, meetings, seminars, exchange of good practices, etc.;</w:t>
            </w:r>
          </w:p>
          <w:p w:rsidR="00C21266" w:rsidRPr="005C3B55" w:rsidRDefault="00C21266" w:rsidP="006E20B6">
            <w:pPr>
              <w:numPr>
                <w:ilvl w:val="0"/>
                <w:numId w:val="1040"/>
              </w:numPr>
              <w:spacing w:before="0" w:after="0"/>
              <w:ind w:hanging="290"/>
              <w:jc w:val="left"/>
              <w:rPr>
                <w:szCs w:val="24"/>
              </w:rPr>
            </w:pPr>
            <w:r w:rsidRPr="005C3B55">
              <w:t>expenditures for goods and services for the employees performing tasks related to the rural development programme (purchase of paper stationery and office equipment; purchase, lease, maintenance and upgrade of software and programmes, telecommunication and other technical equipment, upgrade of the ICT infrastructure, lease of facilities);</w:t>
            </w:r>
          </w:p>
          <w:p w:rsidR="00C21266" w:rsidRPr="005C3B55" w:rsidRDefault="00C21266" w:rsidP="006E20B6">
            <w:pPr>
              <w:numPr>
                <w:ilvl w:val="0"/>
                <w:numId w:val="1040"/>
              </w:numPr>
              <w:spacing w:before="0" w:after="0"/>
              <w:ind w:hanging="290"/>
              <w:jc w:val="left"/>
              <w:rPr>
                <w:szCs w:val="24"/>
              </w:rPr>
            </w:pPr>
            <w:r w:rsidRPr="005C3B55">
              <w:t>establishment, operation, upgrades, maintenance and interconnection of computer systems for management, monitoring, audit, control and evaluation of measures of the RDP 2014-2020 (installing different registries, update of hardware and software, etc.); and</w:t>
            </w:r>
          </w:p>
          <w:p w:rsidR="00C21266" w:rsidRPr="005C3B55" w:rsidRDefault="00C21266" w:rsidP="006E20B6">
            <w:pPr>
              <w:numPr>
                <w:ilvl w:val="0"/>
                <w:numId w:val="1040"/>
              </w:numPr>
              <w:spacing w:before="0" w:after="240"/>
              <w:ind w:hanging="290"/>
              <w:jc w:val="left"/>
              <w:rPr>
                <w:szCs w:val="24"/>
              </w:rPr>
            </w:pPr>
            <w:r w:rsidRPr="005C3B55">
              <w:t>other activities which provide efficient management and implementation of the rural development programmes.</w:t>
            </w:r>
          </w:p>
          <w:p w:rsidR="00C21266" w:rsidRPr="005C3B55" w:rsidRDefault="00C21266">
            <w:pPr>
              <w:spacing w:before="240" w:after="240"/>
              <w:rPr>
                <w:szCs w:val="24"/>
              </w:rPr>
            </w:pPr>
            <w:r w:rsidRPr="005C3B55">
              <w:t xml:space="preserve">An adequate personnel management will be provided pursuant to the national legislation (adequate payment, possibility of promotions, employment transparency, monitoring of careers of individuals). </w:t>
            </w:r>
          </w:p>
          <w:p w:rsidR="00C21266" w:rsidRPr="005C3B55" w:rsidRDefault="00C21266">
            <w:pPr>
              <w:spacing w:before="240" w:after="240"/>
              <w:rPr>
                <w:szCs w:val="24"/>
              </w:rPr>
            </w:pPr>
            <w:r w:rsidRPr="005C3B55">
              <w:t>Pursuant to Article 62 of Regulation (EU) No 809/2014, the MA provides that the administrative controls and controls on the site are conducted by the authority which is functionally independent from the authority which approves the payment of technical assistance. The MA will provide adequate measures for providing an efficient prevention of frauds pursuant to Article 58 of Regulation (EU) No 1306/2013.</w:t>
            </w:r>
          </w:p>
          <w:p w:rsidR="00C21266" w:rsidRPr="005C3B55" w:rsidRDefault="00C21266">
            <w:pPr>
              <w:spacing w:before="240" w:after="240"/>
              <w:rPr>
                <w:szCs w:val="24"/>
              </w:rPr>
            </w:pPr>
            <w:r w:rsidRPr="005C3B55">
              <w:t>Within the scope of studies and evaluations the following activities are eligible in particular:</w:t>
            </w:r>
          </w:p>
          <w:p w:rsidR="00C21266" w:rsidRPr="005C3B55" w:rsidRDefault="00C21266" w:rsidP="006E20B6">
            <w:pPr>
              <w:numPr>
                <w:ilvl w:val="0"/>
                <w:numId w:val="1041"/>
              </w:numPr>
              <w:spacing w:before="240" w:after="0"/>
              <w:ind w:hanging="290"/>
              <w:jc w:val="left"/>
              <w:rPr>
                <w:szCs w:val="24"/>
              </w:rPr>
            </w:pPr>
            <w:r w:rsidRPr="005C3B55">
              <w:t>studies needed for the preparation of programme documents or improvement of formation and implementation of the rural development programmes;</w:t>
            </w:r>
          </w:p>
          <w:p w:rsidR="00C21266" w:rsidRPr="005C3B55" w:rsidRDefault="00C21266" w:rsidP="006E20B6">
            <w:pPr>
              <w:numPr>
                <w:ilvl w:val="0"/>
                <w:numId w:val="1041"/>
              </w:numPr>
              <w:spacing w:before="0" w:after="0"/>
              <w:ind w:hanging="290"/>
              <w:jc w:val="left"/>
              <w:rPr>
                <w:szCs w:val="24"/>
              </w:rPr>
            </w:pPr>
            <w:r w:rsidRPr="005C3B55">
              <w:t>evaluations (preliminary and subsequent evaluation and evaluation during the programme period);</w:t>
            </w:r>
          </w:p>
          <w:p w:rsidR="00C21266" w:rsidRPr="005C3B55" w:rsidRDefault="00C21266" w:rsidP="006E20B6">
            <w:pPr>
              <w:numPr>
                <w:ilvl w:val="0"/>
                <w:numId w:val="1041"/>
              </w:numPr>
              <w:spacing w:before="0" w:after="0"/>
              <w:ind w:hanging="290"/>
              <w:jc w:val="left"/>
              <w:rPr>
                <w:szCs w:val="24"/>
              </w:rPr>
            </w:pPr>
            <w:r w:rsidRPr="005C3B55">
              <w:t>preparation of project and investment documentations, expert reports and assessments, etc.; and</w:t>
            </w:r>
          </w:p>
          <w:p w:rsidR="00C21266" w:rsidRPr="005C3B55" w:rsidRDefault="00C21266" w:rsidP="006E20B6">
            <w:pPr>
              <w:numPr>
                <w:ilvl w:val="0"/>
                <w:numId w:val="1041"/>
              </w:numPr>
              <w:spacing w:before="0" w:after="240"/>
              <w:ind w:hanging="290"/>
              <w:jc w:val="left"/>
              <w:rPr>
                <w:szCs w:val="24"/>
              </w:rPr>
            </w:pPr>
            <w:r w:rsidRPr="005C3B55">
              <w:t>other studies and evaluation which provide an efficient programme implementation.</w:t>
            </w:r>
          </w:p>
          <w:p w:rsidR="00C21266" w:rsidRPr="005C3B55" w:rsidRDefault="00C21266">
            <w:pPr>
              <w:spacing w:before="240" w:after="240"/>
              <w:rPr>
                <w:szCs w:val="24"/>
              </w:rPr>
            </w:pPr>
            <w:r w:rsidRPr="005C3B55">
              <w:t>Funds intended for the Rural Network are also reserved within the amount determined for the implementation of Technical assistance, i.e. 4% of the total amount.</w:t>
            </w:r>
          </w:p>
          <w:p w:rsidR="00C21266" w:rsidRPr="005C3B55" w:rsidRDefault="00C21266">
            <w:pPr>
              <w:spacing w:before="240" w:after="240"/>
              <w:rPr>
                <w:szCs w:val="24"/>
              </w:rPr>
            </w:pPr>
            <w:r w:rsidRPr="005C3B55">
              <w:t>The following activities are mostly implemented within the Rural Network.</w:t>
            </w:r>
          </w:p>
          <w:p w:rsidR="00C21266" w:rsidRPr="005C3B55" w:rsidRDefault="00C21266" w:rsidP="006E20B6">
            <w:pPr>
              <w:numPr>
                <w:ilvl w:val="0"/>
                <w:numId w:val="1042"/>
              </w:numPr>
              <w:spacing w:before="240" w:after="0"/>
              <w:ind w:hanging="290"/>
              <w:jc w:val="left"/>
              <w:rPr>
                <w:szCs w:val="24"/>
              </w:rPr>
            </w:pPr>
            <w:r w:rsidRPr="005C3B55">
              <w:t>communication activities (information on measures in the field of rural development, raising the awareness of the general public through different communication tools, publications, leaflets, etc.);</w:t>
            </w:r>
          </w:p>
          <w:p w:rsidR="00C21266" w:rsidRPr="005C3B55" w:rsidRDefault="00C21266" w:rsidP="006E20B6">
            <w:pPr>
              <w:numPr>
                <w:ilvl w:val="0"/>
                <w:numId w:val="1042"/>
              </w:numPr>
              <w:spacing w:before="0" w:after="0"/>
              <w:ind w:hanging="290"/>
              <w:jc w:val="left"/>
              <w:rPr>
                <w:szCs w:val="24"/>
              </w:rPr>
            </w:pPr>
            <w:r w:rsidRPr="005C3B55">
              <w:t xml:space="preserve">activities in the field of training, cooperation and integration (establishment of thematic working groups, organisation of meetings, seminars, workshops and other events, cooperation with international, national and regional organisations, etc.) and </w:t>
            </w:r>
          </w:p>
          <w:p w:rsidR="00C21266" w:rsidRPr="005C3B55" w:rsidRDefault="00C21266" w:rsidP="006E20B6">
            <w:pPr>
              <w:numPr>
                <w:ilvl w:val="0"/>
                <w:numId w:val="1042"/>
              </w:numPr>
              <w:spacing w:before="0" w:after="240"/>
              <w:ind w:hanging="290"/>
              <w:jc w:val="left"/>
              <w:rPr>
                <w:szCs w:val="24"/>
              </w:rPr>
            </w:pPr>
            <w:r w:rsidRPr="005C3B55">
              <w:t>other supportive activities for the needs of implementing rural development programme.</w:t>
            </w:r>
          </w:p>
          <w:p w:rsidR="00C21266" w:rsidRPr="005C3B55" w:rsidRDefault="00C21266">
            <w:pPr>
              <w:pStyle w:val="Telobesedila"/>
              <w:rPr>
                <w:lang w:eastAsia="en-GB" w:bidi="en-GB"/>
              </w:rPr>
            </w:pPr>
          </w:p>
        </w:tc>
      </w:tr>
    </w:tbl>
    <w:p w:rsidR="00C21266" w:rsidRPr="005C3B55" w:rsidRDefault="00C21266" w:rsidP="00C21266">
      <w:pPr>
        <w:spacing w:after="0"/>
        <w:sectPr w:rsidR="00C21266" w:rsidRPr="005C3B55">
          <w:pgSz w:w="12240" w:h="15840"/>
          <w:pgMar w:top="900" w:right="900" w:bottom="900" w:left="900" w:header="708" w:footer="708" w:gutter="0"/>
          <w:cols w:space="708"/>
        </w:sectPr>
      </w:pPr>
    </w:p>
    <w:p w:rsidR="00C21266" w:rsidRPr="005C3B55" w:rsidRDefault="00C21266" w:rsidP="00C21266">
      <w:pPr>
        <w:pStyle w:val="Naslov1"/>
        <w:rPr>
          <w:b w:val="0"/>
          <w:lang w:val="en-GB" w:eastAsia="en-GB" w:bidi="en-GB"/>
        </w:rPr>
      </w:pPr>
      <w:bookmarkStart w:id="219" w:name="_Toc416192677"/>
      <w:r w:rsidRPr="005C3B55">
        <w:rPr>
          <w:lang w:val="en-GB"/>
        </w:rPr>
        <w:t>LIST OF MEASURES FOR INVOLVING RELEVANT PARTNERS</w:t>
      </w:r>
      <w:bookmarkEnd w:id="219"/>
    </w:p>
    <w:p w:rsidR="00C21266" w:rsidRPr="005C3B55" w:rsidRDefault="00C21266" w:rsidP="00C21266">
      <w:pPr>
        <w:pStyle w:val="Naslov2"/>
        <w:tabs>
          <w:tab w:val="clear" w:pos="765"/>
        </w:tabs>
        <w:ind w:left="0" w:firstLine="0"/>
        <w:rPr>
          <w:lang w:val="en-GB"/>
        </w:rPr>
      </w:pPr>
      <w:bookmarkStart w:id="220" w:name="_Toc416192678"/>
      <w:r w:rsidRPr="005C3B55">
        <w:rPr>
          <w:lang w:val="en-GB"/>
        </w:rPr>
        <w:t>a)</w:t>
      </w:r>
      <w:r w:rsidRPr="005C3B55">
        <w:rPr>
          <w:lang w:val="en-GB"/>
        </w:rPr>
        <w:tab/>
        <w:t>Discussion on the orientation of the common agricultural policy in the 2014-2020 period</w:t>
      </w:r>
      <w:bookmarkEnd w:id="220"/>
    </w:p>
    <w:p w:rsidR="00C21266" w:rsidRPr="005C3B55" w:rsidRDefault="00C21266" w:rsidP="00C21266">
      <w:pPr>
        <w:pStyle w:val="Naslov3"/>
        <w:tabs>
          <w:tab w:val="clear" w:pos="765"/>
        </w:tabs>
        <w:ind w:left="0" w:firstLine="0"/>
        <w:jc w:val="left"/>
        <w:rPr>
          <w:lang w:val="en-GB"/>
        </w:rPr>
      </w:pPr>
      <w:bookmarkStart w:id="221" w:name="_Toc416192679"/>
      <w:r w:rsidRPr="005C3B55">
        <w:rPr>
          <w:lang w:val="en-GB"/>
        </w:rPr>
        <w:t>Subject of the relevant consultation</w:t>
      </w:r>
      <w:bookmarkEnd w:id="221"/>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650" w:type="pct"/>
            <w:tcBorders>
              <w:top w:val="single" w:sz="8" w:space="0" w:color="000000"/>
              <w:left w:val="single" w:sz="8" w:space="0" w:color="000000"/>
              <w:bottom w:val="single" w:sz="8" w:space="0" w:color="000000"/>
              <w:right w:val="single" w:sz="8" w:space="0" w:color="000000"/>
            </w:tcBorders>
            <w:tcMar>
              <w:top w:w="60" w:type="dxa"/>
              <w:left w:w="108" w:type="dxa"/>
              <w:bottom w:w="120" w:type="dxa"/>
              <w:right w:w="108" w:type="dxa"/>
            </w:tcMar>
          </w:tcPr>
          <w:p w:rsidR="00C21266" w:rsidRPr="005C3B55" w:rsidRDefault="00C21266">
            <w:pPr>
              <w:spacing w:after="240"/>
              <w:rPr>
                <w:rFonts w:eastAsia="Calibri"/>
                <w:szCs w:val="24"/>
              </w:rPr>
            </w:pPr>
            <w:r w:rsidRPr="005C3B55">
              <w:t>The Ministry of Agriculture and the Environment and the Slovenian Rural Development Network organised the second Slovenian Rural Parliament with the main discussion topic on the guidelines of the common agricultural policy in the 2014-2020 period. The event took place in Zreče, on 16th and 17th October 2012. The Rural Parliament is an opportunity to discuss current and future developmental challenges. The process of establishing the new common agricultural policy and rural development that the EU Member States will be implementing in the 2014-2020 period was in its final phase in 2012. It is therefore important that the event had an active role in establishing the policy, recognising the various interests of stakeholders in rural development.</w:t>
            </w:r>
          </w:p>
          <w:p w:rsidR="00C21266" w:rsidRPr="005C3B55" w:rsidRDefault="00C21266">
            <w:pPr>
              <w:spacing w:before="240" w:after="240"/>
              <w:rPr>
                <w:szCs w:val="24"/>
              </w:rPr>
            </w:pPr>
            <w:r w:rsidRPr="005C3B55">
              <w:t>The discussion was held in eight working groups, each on one of the following subjects:</w:t>
            </w:r>
          </w:p>
          <w:p w:rsidR="00C21266" w:rsidRPr="005C3B55" w:rsidRDefault="00C21266" w:rsidP="006E20B6">
            <w:pPr>
              <w:numPr>
                <w:ilvl w:val="0"/>
                <w:numId w:val="1043"/>
              </w:numPr>
              <w:spacing w:before="240" w:after="0"/>
              <w:ind w:hanging="290"/>
              <w:jc w:val="left"/>
              <w:rPr>
                <w:szCs w:val="24"/>
              </w:rPr>
            </w:pPr>
            <w:r w:rsidRPr="005C3B55">
              <w:t>competitiveness – new investments and cooperation, </w:t>
            </w:r>
          </w:p>
          <w:p w:rsidR="00C21266" w:rsidRPr="005C3B55" w:rsidRDefault="00C21266" w:rsidP="006E20B6">
            <w:pPr>
              <w:numPr>
                <w:ilvl w:val="0"/>
                <w:numId w:val="1043"/>
              </w:numPr>
              <w:spacing w:before="0" w:after="0"/>
              <w:ind w:hanging="290"/>
              <w:jc w:val="left"/>
              <w:rPr>
                <w:szCs w:val="24"/>
              </w:rPr>
            </w:pPr>
            <w:r w:rsidRPr="005C3B55">
              <w:t>environment – agriculture as an ally in the preservation of nature, </w:t>
            </w:r>
          </w:p>
          <w:p w:rsidR="00C21266" w:rsidRPr="005C3B55" w:rsidRDefault="00C21266" w:rsidP="006E20B6">
            <w:pPr>
              <w:numPr>
                <w:ilvl w:val="0"/>
                <w:numId w:val="1043"/>
              </w:numPr>
              <w:spacing w:before="0" w:after="0"/>
              <w:ind w:hanging="290"/>
              <w:jc w:val="left"/>
              <w:rPr>
                <w:szCs w:val="24"/>
              </w:rPr>
            </w:pPr>
            <w:r w:rsidRPr="005C3B55">
              <w:t>counselling, education and innovation, </w:t>
            </w:r>
          </w:p>
          <w:p w:rsidR="00C21266" w:rsidRPr="005C3B55" w:rsidRDefault="00C21266" w:rsidP="006E20B6">
            <w:pPr>
              <w:numPr>
                <w:ilvl w:val="0"/>
                <w:numId w:val="1043"/>
              </w:numPr>
              <w:spacing w:before="0" w:after="0"/>
              <w:ind w:hanging="290"/>
              <w:jc w:val="left"/>
              <w:rPr>
                <w:szCs w:val="24"/>
              </w:rPr>
            </w:pPr>
            <w:r w:rsidRPr="005C3B55">
              <w:t>rural areas – a creative environment for youth initiatives, </w:t>
            </w:r>
          </w:p>
          <w:p w:rsidR="00C21266" w:rsidRPr="005C3B55" w:rsidRDefault="00C21266" w:rsidP="006E20B6">
            <w:pPr>
              <w:numPr>
                <w:ilvl w:val="0"/>
                <w:numId w:val="1043"/>
              </w:numPr>
              <w:spacing w:before="0" w:after="0"/>
              <w:ind w:hanging="290"/>
              <w:jc w:val="left"/>
              <w:rPr>
                <w:szCs w:val="24"/>
              </w:rPr>
            </w:pPr>
            <w:r w:rsidRPr="005C3B55">
              <w:t>forestry – inclusion in rural development policy, </w:t>
            </w:r>
          </w:p>
          <w:p w:rsidR="00C21266" w:rsidRPr="005C3B55" w:rsidRDefault="00C21266" w:rsidP="006E20B6">
            <w:pPr>
              <w:numPr>
                <w:ilvl w:val="0"/>
                <w:numId w:val="1043"/>
              </w:numPr>
              <w:spacing w:before="0" w:after="0"/>
              <w:ind w:hanging="290"/>
              <w:jc w:val="left"/>
              <w:rPr>
                <w:szCs w:val="24"/>
              </w:rPr>
            </w:pPr>
            <w:r w:rsidRPr="005C3B55">
              <w:t>the future development of the LEADER approach and the Rural Network, </w:t>
            </w:r>
          </w:p>
          <w:p w:rsidR="00C21266" w:rsidRPr="005C3B55" w:rsidRDefault="00C21266" w:rsidP="006E20B6">
            <w:pPr>
              <w:numPr>
                <w:ilvl w:val="0"/>
                <w:numId w:val="1043"/>
              </w:numPr>
              <w:spacing w:before="0" w:after="0"/>
              <w:ind w:hanging="290"/>
              <w:jc w:val="left"/>
              <w:rPr>
                <w:szCs w:val="24"/>
              </w:rPr>
            </w:pPr>
            <w:r w:rsidRPr="005C3B55">
              <w:t>greening the first pillar of CAP,</w:t>
            </w:r>
          </w:p>
          <w:p w:rsidR="00C21266" w:rsidRPr="005C3B55" w:rsidRDefault="00C21266" w:rsidP="006E20B6">
            <w:pPr>
              <w:numPr>
                <w:ilvl w:val="0"/>
                <w:numId w:val="1043"/>
              </w:numPr>
              <w:spacing w:before="0" w:after="240"/>
              <w:ind w:hanging="290"/>
              <w:jc w:val="left"/>
              <w:rPr>
                <w:szCs w:val="24"/>
              </w:rPr>
            </w:pPr>
            <w:r w:rsidRPr="005C3B55">
              <w:t>implementation of direct payments in Slovenia.</w:t>
            </w:r>
          </w:p>
          <w:p w:rsidR="00C21266" w:rsidRPr="005C3B55" w:rsidRDefault="00C21266">
            <w:pPr>
              <w:spacing w:before="240" w:after="240"/>
              <w:rPr>
                <w:szCs w:val="24"/>
              </w:rPr>
            </w:pPr>
            <w:r w:rsidRPr="005C3B55">
              <w:t>The event also hosted a presentation of successful projects and partnerships in Slovenian rural areas.</w:t>
            </w:r>
          </w:p>
          <w:p w:rsidR="00C21266" w:rsidRPr="005C3B55" w:rsidRDefault="00C21266">
            <w:pPr>
              <w:pStyle w:val="Telobesedila"/>
              <w:rPr>
                <w:lang w:eastAsia="en-GB" w:bidi="en-GB"/>
              </w:rPr>
            </w:pPr>
          </w:p>
        </w:tc>
      </w:tr>
    </w:tbl>
    <w:p w:rsidR="00C21266" w:rsidRPr="005C3B55" w:rsidRDefault="00C21266" w:rsidP="00C21266">
      <w:pPr>
        <w:pStyle w:val="Naslov3"/>
        <w:tabs>
          <w:tab w:val="clear" w:pos="765"/>
        </w:tabs>
        <w:ind w:left="0" w:firstLine="0"/>
        <w:jc w:val="left"/>
        <w:rPr>
          <w:lang w:val="en-GB" w:eastAsia="en-GB" w:bidi="en-GB"/>
        </w:rPr>
      </w:pPr>
      <w:bookmarkStart w:id="222" w:name="_Toc416192680"/>
      <w:r w:rsidRPr="005C3B55">
        <w:rPr>
          <w:lang w:val="en-GB"/>
        </w:rPr>
        <w:t>Summary of results</w:t>
      </w:r>
      <w:bookmarkEnd w:id="222"/>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650" w:type="pct"/>
            <w:tcBorders>
              <w:top w:val="single" w:sz="8" w:space="0" w:color="000000"/>
              <w:left w:val="single" w:sz="8" w:space="0" w:color="000000"/>
              <w:bottom w:val="single" w:sz="8" w:space="0" w:color="000000"/>
              <w:right w:val="single" w:sz="8" w:space="0" w:color="000000"/>
            </w:tcBorders>
            <w:tcMar>
              <w:top w:w="60" w:type="dxa"/>
              <w:left w:w="108" w:type="dxa"/>
              <w:bottom w:w="120" w:type="dxa"/>
              <w:right w:w="108" w:type="dxa"/>
            </w:tcMar>
          </w:tcPr>
          <w:p w:rsidR="00C21266" w:rsidRPr="005C3B55" w:rsidRDefault="00C21266">
            <w:pPr>
              <w:spacing w:after="240"/>
              <w:rPr>
                <w:rFonts w:eastAsia="Calibri"/>
                <w:szCs w:val="24"/>
              </w:rPr>
            </w:pPr>
            <w:r w:rsidRPr="005C3B55">
              <w:t>The key emphases of the event emerging from workshops are:</w:t>
            </w:r>
          </w:p>
          <w:p w:rsidR="00C21266" w:rsidRPr="005C3B55" w:rsidRDefault="00C21266" w:rsidP="006E20B6">
            <w:pPr>
              <w:numPr>
                <w:ilvl w:val="0"/>
                <w:numId w:val="1044"/>
              </w:numPr>
              <w:spacing w:before="240" w:after="0"/>
              <w:ind w:hanging="290"/>
              <w:jc w:val="left"/>
              <w:rPr>
                <w:szCs w:val="24"/>
              </w:rPr>
            </w:pPr>
            <w:r w:rsidRPr="005C3B55">
              <w:t>Next development of the LEADER approach and Rural network: simplification of procedures for acquiring finances from various sources and better use of opportunities for dialogue, exchange of information and making contacts;</w:t>
            </w:r>
          </w:p>
          <w:p w:rsidR="00C21266" w:rsidRPr="005C3B55" w:rsidRDefault="00C21266" w:rsidP="006E20B6">
            <w:pPr>
              <w:numPr>
                <w:ilvl w:val="0"/>
                <w:numId w:val="1044"/>
              </w:numPr>
              <w:spacing w:before="0" w:after="0"/>
              <w:ind w:hanging="290"/>
              <w:jc w:val="left"/>
              <w:rPr>
                <w:szCs w:val="24"/>
              </w:rPr>
            </w:pPr>
            <w:r w:rsidRPr="005C3B55">
              <w:t>Rural area - creative space also for initiatives of the youth: more support for activities which increase employment in rural areas, the importance of social infrastructure, more balanced development of rural areas;</w:t>
            </w:r>
          </w:p>
          <w:p w:rsidR="00C21266" w:rsidRPr="005C3B55" w:rsidRDefault="00C21266" w:rsidP="006E20B6">
            <w:pPr>
              <w:numPr>
                <w:ilvl w:val="0"/>
                <w:numId w:val="1044"/>
              </w:numPr>
              <w:spacing w:before="0" w:after="0"/>
              <w:ind w:hanging="290"/>
              <w:jc w:val="left"/>
              <w:rPr>
                <w:szCs w:val="24"/>
              </w:rPr>
            </w:pPr>
            <w:r w:rsidRPr="005C3B55">
              <w:t>Forestry - inclusion in the rural development policy: mergers and project integration of forest owners, improvements in forest accessibility (forest roads), establishment of local wood processing centres;</w:t>
            </w:r>
          </w:p>
          <w:p w:rsidR="00C21266" w:rsidRPr="005C3B55" w:rsidRDefault="00C21266" w:rsidP="006E20B6">
            <w:pPr>
              <w:numPr>
                <w:ilvl w:val="0"/>
                <w:numId w:val="1044"/>
              </w:numPr>
              <w:spacing w:before="0" w:after="0"/>
              <w:ind w:hanging="290"/>
              <w:jc w:val="left"/>
              <w:rPr>
                <w:szCs w:val="24"/>
              </w:rPr>
            </w:pPr>
            <w:r w:rsidRPr="005C3B55">
              <w:t>Competition - new investments and cooperation: maintaining the distinction between small/big investments, investments in non-agricultural activities; determining priority groups (young transferees, LFA);</w:t>
            </w:r>
          </w:p>
          <w:p w:rsidR="00C21266" w:rsidRPr="005C3B55" w:rsidRDefault="00C21266" w:rsidP="006E20B6">
            <w:pPr>
              <w:numPr>
                <w:ilvl w:val="0"/>
                <w:numId w:val="1044"/>
              </w:numPr>
              <w:spacing w:before="0" w:after="0"/>
              <w:ind w:hanging="290"/>
              <w:jc w:val="left"/>
              <w:rPr>
                <w:szCs w:val="24"/>
              </w:rPr>
            </w:pPr>
            <w:r w:rsidRPr="005C3B55">
              <w:t>Environment - agriculture as an ally of nature conservation: encouraging environmentally friendly technological solutions, targeted counselling on the environment (protected areas), increasing the added value of products produced in an environmentally friendly manner, modifying the concept of agri-environmental payments;</w:t>
            </w:r>
          </w:p>
          <w:p w:rsidR="00C21266" w:rsidRPr="005C3B55" w:rsidRDefault="00C21266" w:rsidP="006E20B6">
            <w:pPr>
              <w:numPr>
                <w:ilvl w:val="0"/>
                <w:numId w:val="1044"/>
              </w:numPr>
              <w:spacing w:before="0" w:after="240"/>
              <w:ind w:hanging="290"/>
              <w:jc w:val="left"/>
              <w:rPr>
                <w:szCs w:val="24"/>
              </w:rPr>
            </w:pPr>
            <w:r w:rsidRPr="005C3B55">
              <w:t>consulting, education and innovations: strengthening knowledge in certain fields (new technologies and products, the environment), linking expert services in agriculture, lifelong learning – emphasis on innovation, development networks, clusters and demonstration centres, master farms – tools for the efficient transfer of knowledge into practice.</w:t>
            </w:r>
          </w:p>
          <w:p w:rsidR="00C21266" w:rsidRPr="005C3B55" w:rsidRDefault="00C21266">
            <w:pPr>
              <w:pStyle w:val="Telobesedila"/>
              <w:rPr>
                <w:lang w:eastAsia="en-GB" w:bidi="en-GB"/>
              </w:rPr>
            </w:pPr>
          </w:p>
        </w:tc>
      </w:tr>
    </w:tbl>
    <w:p w:rsidR="00C21266" w:rsidRPr="005C3B55" w:rsidRDefault="00C21266" w:rsidP="00C21266">
      <w:pPr>
        <w:pStyle w:val="Naslov2"/>
        <w:tabs>
          <w:tab w:val="clear" w:pos="765"/>
        </w:tabs>
        <w:ind w:left="0" w:firstLine="0"/>
        <w:rPr>
          <w:b w:val="0"/>
          <w:lang w:val="en-GB" w:eastAsia="en-GB" w:bidi="en-GB"/>
        </w:rPr>
      </w:pPr>
      <w:bookmarkStart w:id="223" w:name="_Toc416192681"/>
      <w:r w:rsidRPr="005C3B55">
        <w:rPr>
          <w:lang w:val="en-GB"/>
        </w:rPr>
        <w:t>b)</w:t>
      </w:r>
      <w:r w:rsidRPr="005C3B55">
        <w:rPr>
          <w:lang w:val="en-GB"/>
        </w:rPr>
        <w:tab/>
        <w:t>Public discussion on the RDP 2014–2020 draft</w:t>
      </w:r>
      <w:bookmarkEnd w:id="223"/>
    </w:p>
    <w:p w:rsidR="00C21266" w:rsidRPr="005C3B55" w:rsidRDefault="00C21266" w:rsidP="00C21266">
      <w:pPr>
        <w:pStyle w:val="Naslov3"/>
        <w:tabs>
          <w:tab w:val="clear" w:pos="765"/>
        </w:tabs>
        <w:ind w:left="0" w:firstLine="0"/>
        <w:jc w:val="left"/>
        <w:rPr>
          <w:lang w:val="en-GB"/>
        </w:rPr>
      </w:pPr>
      <w:bookmarkStart w:id="224" w:name="_Toc416192682"/>
      <w:r w:rsidRPr="005C3B55">
        <w:rPr>
          <w:lang w:val="en-GB"/>
        </w:rPr>
        <w:t>Subject of the relevant consultation</w:t>
      </w:r>
      <w:bookmarkEnd w:id="224"/>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650" w:type="pct"/>
            <w:tcBorders>
              <w:top w:val="single" w:sz="8" w:space="0" w:color="000000"/>
              <w:left w:val="single" w:sz="8" w:space="0" w:color="000000"/>
              <w:bottom w:val="single" w:sz="8" w:space="0" w:color="000000"/>
              <w:right w:val="single" w:sz="8" w:space="0" w:color="000000"/>
            </w:tcBorders>
            <w:tcMar>
              <w:top w:w="60" w:type="dxa"/>
              <w:left w:w="108" w:type="dxa"/>
              <w:bottom w:w="120" w:type="dxa"/>
              <w:right w:w="108" w:type="dxa"/>
            </w:tcMar>
          </w:tcPr>
          <w:p w:rsidR="00C21266" w:rsidRPr="005C3B55" w:rsidRDefault="00C21266">
            <w:pPr>
              <w:spacing w:after="240"/>
              <w:rPr>
                <w:rFonts w:eastAsia="Calibri"/>
                <w:szCs w:val="24"/>
              </w:rPr>
            </w:pPr>
            <w:r w:rsidRPr="005C3B55">
              <w:t>A month-long broad public discussion on the first draft of the RDP 2014-2020 was organised in July 2013. Compared with the 2007-2013 period, the future RDP 2014-2020 introduces very important and significant conceptual changes, the aim of which is to gain distance from historical allocations as much as possible and, above all, to ensure greater focus on the objectives and orientation towards results; our intention was to present this to partners and the public. During the public discussion, key systemic changes of RDP 2014-2020 were presented and the responses of the public to the RDP’s first draft were collected. As an introduction to the public discussion, a consultation was organised in Hoče near Maribor on 10 July 2013 where the Ministry of Agriculture and the Environment presented the content of the first RDP 2014-2020 draft to the interested public. The RDP’s draft was also widely available on the Internet. The conclusions of the public discussion were presented at the AGRA fair in Gornja Radgona on 26 August 2013.</w:t>
            </w:r>
          </w:p>
          <w:p w:rsidR="00C21266" w:rsidRPr="005C3B55" w:rsidRDefault="00C21266">
            <w:pPr>
              <w:pStyle w:val="Telobesedila"/>
              <w:rPr>
                <w:lang w:eastAsia="en-GB" w:bidi="en-GB"/>
              </w:rPr>
            </w:pPr>
          </w:p>
        </w:tc>
      </w:tr>
    </w:tbl>
    <w:p w:rsidR="00C21266" w:rsidRPr="005C3B55" w:rsidRDefault="00C21266" w:rsidP="00C21266">
      <w:pPr>
        <w:pStyle w:val="Naslov3"/>
        <w:tabs>
          <w:tab w:val="clear" w:pos="765"/>
        </w:tabs>
        <w:ind w:left="0" w:firstLine="0"/>
        <w:jc w:val="left"/>
        <w:rPr>
          <w:lang w:val="en-GB" w:eastAsia="en-GB" w:bidi="en-GB"/>
        </w:rPr>
      </w:pPr>
      <w:bookmarkStart w:id="225" w:name="_Toc416192683"/>
      <w:r w:rsidRPr="005C3B55">
        <w:rPr>
          <w:lang w:val="en-GB"/>
        </w:rPr>
        <w:t>Summary of results</w:t>
      </w:r>
      <w:bookmarkEnd w:id="225"/>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650" w:type="pct"/>
            <w:tcBorders>
              <w:top w:val="single" w:sz="8" w:space="0" w:color="000000"/>
              <w:left w:val="single" w:sz="8" w:space="0" w:color="000000"/>
              <w:bottom w:val="single" w:sz="8" w:space="0" w:color="000000"/>
              <w:right w:val="single" w:sz="8" w:space="0" w:color="000000"/>
            </w:tcBorders>
            <w:tcMar>
              <w:top w:w="60" w:type="dxa"/>
              <w:left w:w="108" w:type="dxa"/>
              <w:bottom w:w="120" w:type="dxa"/>
              <w:right w:w="108" w:type="dxa"/>
            </w:tcMar>
          </w:tcPr>
          <w:p w:rsidR="00C21266" w:rsidRPr="005C3B55" w:rsidRDefault="00C21266">
            <w:pPr>
              <w:spacing w:after="240"/>
              <w:rPr>
                <w:rFonts w:eastAsia="Calibri"/>
                <w:szCs w:val="24"/>
              </w:rPr>
            </w:pPr>
            <w:r w:rsidRPr="005C3B55">
              <w:t>The interested public from various fields, representatives of various institutions and the European Commission, and the diversity of the first opinions expressed have shown that there are various aspects of the RDP 2014-2020 and that a consensus exists to make the RDP 2014-2020 more target-oriented and focused on results. When drafting the RDP 2014-2020, the Ministry followed the following principles: priority should be given to effectiveness, not only the efficient use of finances; greater ambitiousness and strategic orientation and orientation towards achieving clearly defined results must be ensured; both were confirmed during the public discussion.</w:t>
            </w:r>
          </w:p>
          <w:p w:rsidR="00C21266" w:rsidRPr="005C3B55" w:rsidRDefault="00C21266">
            <w:pPr>
              <w:spacing w:before="240" w:after="240"/>
              <w:rPr>
                <w:szCs w:val="24"/>
              </w:rPr>
            </w:pPr>
            <w:r w:rsidRPr="005C3B55">
              <w:t>As a part of the public discussion, the Ministry received initiatives and proposals about the RDP’s draft, which any individual or organisation was allowed to put forward. Responses were made to these initiatives and proposals, providing suitable reasoning as to why they were taken into account or not.</w:t>
            </w:r>
          </w:p>
          <w:p w:rsidR="00C21266" w:rsidRPr="005C3B55" w:rsidRDefault="00C21266">
            <w:pPr>
              <w:pStyle w:val="Telobesedila"/>
              <w:rPr>
                <w:lang w:eastAsia="en-GB" w:bidi="en-GB"/>
              </w:rPr>
            </w:pPr>
          </w:p>
        </w:tc>
      </w:tr>
    </w:tbl>
    <w:p w:rsidR="00C21266" w:rsidRPr="005C3B55" w:rsidRDefault="00C21266" w:rsidP="00C21266">
      <w:pPr>
        <w:pStyle w:val="Naslov2"/>
        <w:tabs>
          <w:tab w:val="clear" w:pos="765"/>
        </w:tabs>
        <w:ind w:left="0" w:firstLine="0"/>
        <w:rPr>
          <w:b w:val="0"/>
          <w:lang w:val="en-GB" w:eastAsia="en-GB" w:bidi="en-GB"/>
        </w:rPr>
      </w:pPr>
      <w:bookmarkStart w:id="226" w:name="_Toc416192684"/>
      <w:r w:rsidRPr="005C3B55">
        <w:rPr>
          <w:lang w:val="en-GB"/>
        </w:rPr>
        <w:t>c)</w:t>
      </w:r>
      <w:r w:rsidRPr="005C3B55">
        <w:rPr>
          <w:lang w:val="en-GB"/>
        </w:rPr>
        <w:tab/>
        <w:t>Workshops on preparing the future RDP 2014-2020</w:t>
      </w:r>
      <w:bookmarkEnd w:id="226"/>
    </w:p>
    <w:p w:rsidR="00C21266" w:rsidRPr="005C3B55" w:rsidRDefault="00C21266" w:rsidP="00C21266">
      <w:pPr>
        <w:pStyle w:val="Naslov3"/>
        <w:tabs>
          <w:tab w:val="clear" w:pos="765"/>
        </w:tabs>
        <w:ind w:left="0" w:firstLine="0"/>
        <w:jc w:val="left"/>
        <w:rPr>
          <w:lang w:val="en-GB"/>
        </w:rPr>
      </w:pPr>
      <w:bookmarkStart w:id="227" w:name="_Toc416192685"/>
      <w:r w:rsidRPr="005C3B55">
        <w:rPr>
          <w:lang w:val="en-GB"/>
        </w:rPr>
        <w:t>Subject of the relevant consultation</w:t>
      </w:r>
      <w:bookmarkEnd w:id="227"/>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650" w:type="pct"/>
            <w:tcBorders>
              <w:top w:val="single" w:sz="8" w:space="0" w:color="000000"/>
              <w:left w:val="single" w:sz="8" w:space="0" w:color="000000"/>
              <w:bottom w:val="single" w:sz="8" w:space="0" w:color="000000"/>
              <w:right w:val="single" w:sz="8" w:space="0" w:color="000000"/>
            </w:tcBorders>
            <w:tcMar>
              <w:top w:w="60" w:type="dxa"/>
              <w:left w:w="108" w:type="dxa"/>
              <w:bottom w:w="120" w:type="dxa"/>
              <w:right w:w="108" w:type="dxa"/>
            </w:tcMar>
          </w:tcPr>
          <w:p w:rsidR="00C21266" w:rsidRPr="005C3B55" w:rsidRDefault="00C21266">
            <w:pPr>
              <w:spacing w:after="240"/>
              <w:rPr>
                <w:rFonts w:eastAsia="Calibri"/>
                <w:szCs w:val="24"/>
              </w:rPr>
            </w:pPr>
            <w:r w:rsidRPr="005C3B55">
              <w:t>In May 2013, workshops were held which focused on six themes:</w:t>
            </w:r>
          </w:p>
          <w:p w:rsidR="00C21266" w:rsidRPr="005C3B55" w:rsidRDefault="00C21266" w:rsidP="006E20B6">
            <w:pPr>
              <w:numPr>
                <w:ilvl w:val="0"/>
                <w:numId w:val="1045"/>
              </w:numPr>
              <w:spacing w:before="240" w:after="0"/>
              <w:ind w:hanging="290"/>
              <w:jc w:val="left"/>
              <w:rPr>
                <w:szCs w:val="24"/>
              </w:rPr>
            </w:pPr>
            <w:r w:rsidRPr="005C3B55">
              <w:t>strategic guidelines of the RDP 2014-2020,</w:t>
            </w:r>
          </w:p>
          <w:p w:rsidR="00C21266" w:rsidRPr="005C3B55" w:rsidRDefault="00C21266" w:rsidP="006E20B6">
            <w:pPr>
              <w:numPr>
                <w:ilvl w:val="0"/>
                <w:numId w:val="1045"/>
              </w:numPr>
              <w:spacing w:before="0" w:after="0"/>
              <w:ind w:hanging="290"/>
              <w:jc w:val="left"/>
              <w:rPr>
                <w:szCs w:val="24"/>
              </w:rPr>
            </w:pPr>
            <w:r w:rsidRPr="005C3B55">
              <w:t>RDP’s orientation to results,</w:t>
            </w:r>
          </w:p>
          <w:p w:rsidR="00C21266" w:rsidRPr="005C3B55" w:rsidRDefault="00C21266" w:rsidP="006E20B6">
            <w:pPr>
              <w:numPr>
                <w:ilvl w:val="0"/>
                <w:numId w:val="1045"/>
              </w:numPr>
              <w:spacing w:before="0" w:after="0"/>
              <w:ind w:hanging="290"/>
              <w:jc w:val="left"/>
              <w:rPr>
                <w:szCs w:val="24"/>
              </w:rPr>
            </w:pPr>
            <w:r w:rsidRPr="005C3B55">
              <w:t>horizontal and vertical connectivity,</w:t>
            </w:r>
          </w:p>
          <w:p w:rsidR="00C21266" w:rsidRPr="005C3B55" w:rsidRDefault="00C21266" w:rsidP="006E20B6">
            <w:pPr>
              <w:numPr>
                <w:ilvl w:val="0"/>
                <w:numId w:val="1045"/>
              </w:numPr>
              <w:spacing w:before="0" w:after="0"/>
              <w:ind w:hanging="290"/>
              <w:jc w:val="left"/>
              <w:rPr>
                <w:szCs w:val="24"/>
              </w:rPr>
            </w:pPr>
            <w:r w:rsidRPr="005C3B55">
              <w:t>transfer of knowledge and innovations, and</w:t>
            </w:r>
          </w:p>
          <w:p w:rsidR="00C21266" w:rsidRPr="005C3B55" w:rsidRDefault="00C21266" w:rsidP="006E20B6">
            <w:pPr>
              <w:numPr>
                <w:ilvl w:val="0"/>
                <w:numId w:val="1045"/>
              </w:numPr>
              <w:spacing w:before="0" w:after="240"/>
              <w:ind w:hanging="290"/>
              <w:jc w:val="left"/>
              <w:rPr>
                <w:szCs w:val="24"/>
              </w:rPr>
            </w:pPr>
            <w:r w:rsidRPr="005C3B55">
              <w:t>the LEADER approach.</w:t>
            </w:r>
          </w:p>
          <w:p w:rsidR="00C21266" w:rsidRPr="005C3B55" w:rsidRDefault="00C21266">
            <w:pPr>
              <w:spacing w:before="240" w:after="240"/>
              <w:rPr>
                <w:szCs w:val="24"/>
              </w:rPr>
            </w:pPr>
            <w:r w:rsidRPr="005C3B55">
              <w:t>The Ministry’s representatives presented the context and key changes to RDP 2014-2020 to the participants, especially the integration of planning into achieving the objectives of the Europe Strategy 2020 and other strategic state documents, above all the partnership agreement, which will determine investments from all EU funds during the period up to 2020 at the national level.</w:t>
            </w:r>
          </w:p>
          <w:p w:rsidR="00C21266" w:rsidRPr="005C3B55" w:rsidRDefault="00C21266">
            <w:pPr>
              <w:pStyle w:val="Telobesedila"/>
              <w:rPr>
                <w:lang w:eastAsia="en-GB" w:bidi="en-GB"/>
              </w:rPr>
            </w:pPr>
          </w:p>
        </w:tc>
      </w:tr>
    </w:tbl>
    <w:p w:rsidR="00C21266" w:rsidRPr="005C3B55" w:rsidRDefault="00C21266" w:rsidP="00C21266">
      <w:pPr>
        <w:pStyle w:val="Naslov3"/>
        <w:tabs>
          <w:tab w:val="clear" w:pos="765"/>
        </w:tabs>
        <w:ind w:left="0" w:firstLine="0"/>
        <w:jc w:val="left"/>
        <w:rPr>
          <w:lang w:val="en-GB" w:eastAsia="en-GB" w:bidi="en-GB"/>
        </w:rPr>
      </w:pPr>
      <w:bookmarkStart w:id="228" w:name="_Toc416192686"/>
      <w:r w:rsidRPr="005C3B55">
        <w:rPr>
          <w:lang w:val="en-GB"/>
        </w:rPr>
        <w:t>Summary of results</w:t>
      </w:r>
      <w:bookmarkEnd w:id="228"/>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650" w:type="pct"/>
            <w:tcBorders>
              <w:top w:val="single" w:sz="8" w:space="0" w:color="000000"/>
              <w:left w:val="single" w:sz="8" w:space="0" w:color="000000"/>
              <w:bottom w:val="single" w:sz="8" w:space="0" w:color="000000"/>
              <w:right w:val="single" w:sz="8" w:space="0" w:color="000000"/>
            </w:tcBorders>
            <w:tcMar>
              <w:top w:w="60" w:type="dxa"/>
              <w:left w:w="108" w:type="dxa"/>
              <w:bottom w:w="120" w:type="dxa"/>
              <w:right w:w="108" w:type="dxa"/>
            </w:tcMar>
          </w:tcPr>
          <w:p w:rsidR="00C21266" w:rsidRPr="005C3B55" w:rsidRDefault="00C21266">
            <w:pPr>
              <w:spacing w:after="240"/>
              <w:rPr>
                <w:rFonts w:eastAsia="Calibri"/>
                <w:szCs w:val="24"/>
              </w:rPr>
            </w:pPr>
            <w:r w:rsidRPr="005C3B55">
              <w:t>Various workshops were organised, which were very successful and well received by participants. The participants confirmed the strategic guidelines of the future RDP 2014-2020, especially its great emphasis on the transfer of knowledge and innovations, and on establishing connections between producers along the agro-food and forest-wood chains. The significance of M19 measures as a tool for local communities was also emphasised; the introduction of the CLLD approach was proposed. The participants concluded that the RDP's concept is development oriented and that the introductory chapters indicate positive conceptual changes. They especially praised the commitment to the greater target-orientation of the future programme.</w:t>
            </w:r>
          </w:p>
          <w:p w:rsidR="00C21266" w:rsidRPr="005C3B55" w:rsidRDefault="00C21266">
            <w:pPr>
              <w:pStyle w:val="Telobesedila"/>
              <w:rPr>
                <w:lang w:eastAsia="en-GB" w:bidi="en-GB"/>
              </w:rPr>
            </w:pPr>
          </w:p>
        </w:tc>
      </w:tr>
    </w:tbl>
    <w:p w:rsidR="00C21266" w:rsidRPr="005C3B55" w:rsidRDefault="00C21266" w:rsidP="00C21266">
      <w:pPr>
        <w:pStyle w:val="Naslov2"/>
        <w:tabs>
          <w:tab w:val="clear" w:pos="765"/>
        </w:tabs>
        <w:ind w:left="0" w:firstLine="0"/>
        <w:rPr>
          <w:b w:val="0"/>
          <w:lang w:val="en-GB" w:eastAsia="en-GB" w:bidi="en-GB"/>
        </w:rPr>
      </w:pPr>
      <w:bookmarkStart w:id="229" w:name="_Toc416192687"/>
      <w:r w:rsidRPr="005C3B55">
        <w:rPr>
          <w:lang w:val="en-GB"/>
        </w:rPr>
        <w:t>d)</w:t>
      </w:r>
      <w:r w:rsidRPr="005C3B55">
        <w:rPr>
          <w:lang w:val="en-GB"/>
        </w:rPr>
        <w:tab/>
        <w:t>Workshops on measure M10</w:t>
      </w:r>
      <w:bookmarkEnd w:id="229"/>
    </w:p>
    <w:p w:rsidR="00C21266" w:rsidRPr="005C3B55" w:rsidRDefault="00C21266" w:rsidP="00C21266">
      <w:pPr>
        <w:pStyle w:val="Naslov3"/>
        <w:tabs>
          <w:tab w:val="clear" w:pos="765"/>
        </w:tabs>
        <w:ind w:left="0" w:firstLine="0"/>
        <w:jc w:val="left"/>
        <w:rPr>
          <w:lang w:val="en-GB"/>
        </w:rPr>
      </w:pPr>
      <w:bookmarkStart w:id="230" w:name="_Toc416192688"/>
      <w:r w:rsidRPr="005C3B55">
        <w:rPr>
          <w:lang w:val="en-GB"/>
        </w:rPr>
        <w:t>Subject of the relevant consultation</w:t>
      </w:r>
      <w:bookmarkEnd w:id="230"/>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650" w:type="pct"/>
            <w:tcBorders>
              <w:top w:val="single" w:sz="8" w:space="0" w:color="000000"/>
              <w:left w:val="single" w:sz="8" w:space="0" w:color="000000"/>
              <w:bottom w:val="single" w:sz="8" w:space="0" w:color="000000"/>
              <w:right w:val="single" w:sz="8" w:space="0" w:color="000000"/>
            </w:tcBorders>
            <w:tcMar>
              <w:top w:w="60" w:type="dxa"/>
              <w:left w:w="108" w:type="dxa"/>
              <w:bottom w:w="120" w:type="dxa"/>
              <w:right w:w="108" w:type="dxa"/>
            </w:tcMar>
          </w:tcPr>
          <w:p w:rsidR="00C21266" w:rsidRPr="005C3B55" w:rsidRDefault="00C21266">
            <w:pPr>
              <w:spacing w:after="240"/>
              <w:rPr>
                <w:rFonts w:eastAsia="Calibri"/>
                <w:szCs w:val="24"/>
              </w:rPr>
            </w:pPr>
            <w:r w:rsidRPr="005C3B55">
              <w:t>In September 2013, workshops were held on the M10 measure, the purpose of which was to discuss the new contents and structure of the future M10 measure. The aim of the workshop was to review the suitability of the requirements of the measure, the suitability and accuracy of combinations of requirements, and the supporting role of counselling before and after a beneficiary enters the measure.</w:t>
            </w:r>
          </w:p>
          <w:p w:rsidR="00C21266" w:rsidRPr="005C3B55" w:rsidRDefault="00C21266">
            <w:pPr>
              <w:pStyle w:val="Telobesedila"/>
              <w:rPr>
                <w:lang w:eastAsia="en-GB" w:bidi="en-GB"/>
              </w:rPr>
            </w:pPr>
          </w:p>
        </w:tc>
      </w:tr>
    </w:tbl>
    <w:p w:rsidR="00C21266" w:rsidRPr="005C3B55" w:rsidRDefault="00C21266" w:rsidP="00C21266">
      <w:pPr>
        <w:pStyle w:val="Naslov3"/>
        <w:tabs>
          <w:tab w:val="clear" w:pos="765"/>
        </w:tabs>
        <w:ind w:left="0" w:firstLine="0"/>
        <w:jc w:val="left"/>
        <w:rPr>
          <w:lang w:val="en-GB" w:eastAsia="en-GB" w:bidi="en-GB"/>
        </w:rPr>
      </w:pPr>
      <w:bookmarkStart w:id="231" w:name="_Toc416192689"/>
      <w:r w:rsidRPr="005C3B55">
        <w:rPr>
          <w:lang w:val="en-GB"/>
        </w:rPr>
        <w:t>Summary of results</w:t>
      </w:r>
      <w:bookmarkEnd w:id="231"/>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650" w:type="pct"/>
            <w:tcBorders>
              <w:top w:val="single" w:sz="8" w:space="0" w:color="000000"/>
              <w:left w:val="single" w:sz="8" w:space="0" w:color="000000"/>
              <w:bottom w:val="single" w:sz="8" w:space="0" w:color="000000"/>
              <w:right w:val="single" w:sz="8" w:space="0" w:color="000000"/>
            </w:tcBorders>
            <w:tcMar>
              <w:top w:w="60" w:type="dxa"/>
              <w:left w:w="108" w:type="dxa"/>
              <w:bottom w:w="120" w:type="dxa"/>
              <w:right w:w="108" w:type="dxa"/>
            </w:tcMar>
          </w:tcPr>
          <w:p w:rsidR="00C21266" w:rsidRPr="005C3B55" w:rsidRDefault="00C21266">
            <w:pPr>
              <w:spacing w:after="240"/>
              <w:rPr>
                <w:rFonts w:eastAsia="Calibri"/>
                <w:szCs w:val="24"/>
              </w:rPr>
            </w:pPr>
            <w:r w:rsidRPr="005C3B55">
              <w:t>The result of the workshop on the M10 measure was an exchange of opinions on the context of the measure and on requirements, which would better include beneficiaries in quality schemes. Before the meeting, the partners identified five requirements which are of key significance to each sector of agricultural production, and identified (from the pool of potential requirements) those which will be the most effective, enjoy wider interest, and which it will be possible to verify and monitor independently.</w:t>
            </w:r>
          </w:p>
          <w:p w:rsidR="00C21266" w:rsidRPr="005C3B55" w:rsidRDefault="00C21266">
            <w:pPr>
              <w:pStyle w:val="Telobesedila"/>
              <w:rPr>
                <w:lang w:eastAsia="en-GB" w:bidi="en-GB"/>
              </w:rPr>
            </w:pPr>
          </w:p>
        </w:tc>
      </w:tr>
    </w:tbl>
    <w:p w:rsidR="00C21266" w:rsidRPr="005C3B55" w:rsidRDefault="00C21266" w:rsidP="00C21266">
      <w:pPr>
        <w:pStyle w:val="Naslov2"/>
        <w:tabs>
          <w:tab w:val="clear" w:pos="765"/>
        </w:tabs>
        <w:ind w:left="0" w:firstLine="0"/>
        <w:rPr>
          <w:b w:val="0"/>
          <w:lang w:val="en-GB" w:eastAsia="en-GB" w:bidi="en-GB"/>
        </w:rPr>
      </w:pPr>
      <w:bookmarkStart w:id="232" w:name="_Toc416192690"/>
      <w:r w:rsidRPr="005C3B55">
        <w:rPr>
          <w:lang w:val="en-GB"/>
        </w:rPr>
        <w:t>e)</w:t>
      </w:r>
      <w:r w:rsidRPr="005C3B55">
        <w:rPr>
          <w:lang w:val="en-GB"/>
        </w:rPr>
        <w:tab/>
        <w:t>Workshops on measure M16</w:t>
      </w:r>
      <w:bookmarkEnd w:id="232"/>
    </w:p>
    <w:p w:rsidR="00C21266" w:rsidRPr="005C3B55" w:rsidRDefault="00C21266" w:rsidP="00C21266">
      <w:pPr>
        <w:pStyle w:val="Naslov3"/>
        <w:tabs>
          <w:tab w:val="clear" w:pos="765"/>
        </w:tabs>
        <w:ind w:left="0" w:firstLine="0"/>
        <w:jc w:val="left"/>
        <w:rPr>
          <w:lang w:val="en-GB"/>
        </w:rPr>
      </w:pPr>
      <w:bookmarkStart w:id="233" w:name="_Toc416192691"/>
      <w:r w:rsidRPr="005C3B55">
        <w:rPr>
          <w:lang w:val="en-GB"/>
        </w:rPr>
        <w:t>Subject of the relevant consultation</w:t>
      </w:r>
      <w:bookmarkEnd w:id="233"/>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650" w:type="pct"/>
            <w:tcBorders>
              <w:top w:val="single" w:sz="8" w:space="0" w:color="000000"/>
              <w:left w:val="single" w:sz="8" w:space="0" w:color="000000"/>
              <w:bottom w:val="single" w:sz="8" w:space="0" w:color="000000"/>
              <w:right w:val="single" w:sz="8" w:space="0" w:color="000000"/>
            </w:tcBorders>
            <w:tcMar>
              <w:top w:w="60" w:type="dxa"/>
              <w:left w:w="108" w:type="dxa"/>
              <w:bottom w:w="120" w:type="dxa"/>
              <w:right w:w="108" w:type="dxa"/>
            </w:tcMar>
          </w:tcPr>
          <w:p w:rsidR="00C21266" w:rsidRPr="005C3B55" w:rsidRDefault="00C21266">
            <w:pPr>
              <w:spacing w:after="240"/>
              <w:rPr>
                <w:rFonts w:eastAsia="Calibri"/>
                <w:szCs w:val="24"/>
              </w:rPr>
            </w:pPr>
            <w:r w:rsidRPr="005C3B55">
              <w:t>M16 is a new measure introduced in the 2014-2020 period, which is why this subject received greater attention. Workshops were held in September 2013 and February 2014. The aim of the September workshop was to determine priority subjects, the contents of projects and to discuss the implementation aspects of the measure. The workshop also encouraged the first potential connections to be made between partners. In February 2014, workshops were organised on the following thematic sets:</w:t>
            </w:r>
          </w:p>
          <w:p w:rsidR="00C21266" w:rsidRPr="005C3B55" w:rsidRDefault="00C21266" w:rsidP="006E20B6">
            <w:pPr>
              <w:numPr>
                <w:ilvl w:val="0"/>
                <w:numId w:val="1046"/>
              </w:numPr>
              <w:spacing w:before="240" w:after="0"/>
              <w:ind w:hanging="290"/>
              <w:jc w:val="left"/>
              <w:rPr>
                <w:szCs w:val="24"/>
              </w:rPr>
            </w:pPr>
            <w:r w:rsidRPr="005C3B55">
              <w:t>environment and climate change,</w:t>
            </w:r>
          </w:p>
          <w:p w:rsidR="00C21266" w:rsidRPr="005C3B55" w:rsidRDefault="00C21266" w:rsidP="006E20B6">
            <w:pPr>
              <w:numPr>
                <w:ilvl w:val="0"/>
                <w:numId w:val="1046"/>
              </w:numPr>
              <w:spacing w:before="0" w:after="0"/>
              <w:ind w:hanging="290"/>
              <w:jc w:val="left"/>
              <w:rPr>
                <w:szCs w:val="24"/>
              </w:rPr>
            </w:pPr>
            <w:r w:rsidRPr="005C3B55">
              <w:t>short supply chains, local markets and promotional activities, and</w:t>
            </w:r>
          </w:p>
          <w:p w:rsidR="00C21266" w:rsidRPr="005C3B55" w:rsidRDefault="00C21266" w:rsidP="006E20B6">
            <w:pPr>
              <w:numPr>
                <w:ilvl w:val="0"/>
                <w:numId w:val="1046"/>
              </w:numPr>
              <w:spacing w:before="0" w:after="240"/>
              <w:ind w:hanging="290"/>
              <w:jc w:val="left"/>
              <w:rPr>
                <w:szCs w:val="24"/>
              </w:rPr>
            </w:pPr>
            <w:r w:rsidRPr="005C3B55">
              <w:t>diversification of agricultural activities.</w:t>
            </w:r>
          </w:p>
          <w:p w:rsidR="00C21266" w:rsidRPr="005C3B55" w:rsidRDefault="00C21266">
            <w:pPr>
              <w:spacing w:before="240" w:after="240"/>
              <w:rPr>
                <w:szCs w:val="24"/>
              </w:rPr>
            </w:pPr>
            <w:r w:rsidRPr="005C3B55">
              <w:t>The participants discussed technical and implementation details and determined priority areas; also, new features of the measure were presented.</w:t>
            </w:r>
          </w:p>
          <w:p w:rsidR="00C21266" w:rsidRPr="005C3B55" w:rsidRDefault="00C21266">
            <w:pPr>
              <w:pStyle w:val="Telobesedila"/>
              <w:rPr>
                <w:lang w:eastAsia="en-GB" w:bidi="en-GB"/>
              </w:rPr>
            </w:pPr>
          </w:p>
        </w:tc>
      </w:tr>
    </w:tbl>
    <w:p w:rsidR="00C21266" w:rsidRPr="005C3B55" w:rsidRDefault="00C21266" w:rsidP="00C21266">
      <w:pPr>
        <w:pStyle w:val="Naslov3"/>
        <w:tabs>
          <w:tab w:val="clear" w:pos="765"/>
        </w:tabs>
        <w:ind w:left="0" w:firstLine="0"/>
        <w:jc w:val="left"/>
        <w:rPr>
          <w:lang w:val="en-GB" w:eastAsia="en-GB" w:bidi="en-GB"/>
        </w:rPr>
      </w:pPr>
      <w:bookmarkStart w:id="234" w:name="_Toc416192692"/>
      <w:r w:rsidRPr="005C3B55">
        <w:rPr>
          <w:lang w:val="en-GB"/>
        </w:rPr>
        <w:t>Summary of results</w:t>
      </w:r>
      <w:bookmarkEnd w:id="234"/>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650" w:type="pct"/>
            <w:tcBorders>
              <w:top w:val="single" w:sz="8" w:space="0" w:color="000000"/>
              <w:left w:val="single" w:sz="8" w:space="0" w:color="000000"/>
              <w:bottom w:val="single" w:sz="8" w:space="0" w:color="000000"/>
              <w:right w:val="single" w:sz="8" w:space="0" w:color="000000"/>
            </w:tcBorders>
            <w:tcMar>
              <w:top w:w="60" w:type="dxa"/>
              <w:left w:w="108" w:type="dxa"/>
              <w:bottom w:w="120" w:type="dxa"/>
              <w:right w:w="108" w:type="dxa"/>
            </w:tcMar>
          </w:tcPr>
          <w:p w:rsidR="00C21266" w:rsidRPr="005C3B55" w:rsidRDefault="00C21266">
            <w:pPr>
              <w:spacing w:after="240"/>
              <w:rPr>
                <w:rFonts w:eastAsia="Calibri"/>
                <w:szCs w:val="24"/>
              </w:rPr>
            </w:pPr>
            <w:r w:rsidRPr="005C3B55">
              <w:t>During the discussion at the workshops, various themes and issues arose to which the participants tried to find suitable answers and solutions. Representatives of the MA posed questions in order to collect the proposals and opinions of stakeholders and to harmonise conditions and criteria which will later form part of the implementing rules of the measure.</w:t>
            </w:r>
          </w:p>
          <w:p w:rsidR="00C21266" w:rsidRPr="005C3B55" w:rsidRDefault="00C21266">
            <w:pPr>
              <w:spacing w:before="240" w:after="240"/>
              <w:rPr>
                <w:szCs w:val="24"/>
              </w:rPr>
            </w:pPr>
            <w:r w:rsidRPr="005C3B55">
              <w:t>The M16 is a new rural development policy measure, both from the EU and the national aspect, so the purpose of the workshops was to present and promote the measure, to inform stakeholders and encourage their creativity, as well as to test their interest in cooperation projects and determine the contextual issues which such projects would address.</w:t>
            </w:r>
          </w:p>
          <w:p w:rsidR="00C21266" w:rsidRPr="005C3B55" w:rsidRDefault="00C21266">
            <w:pPr>
              <w:spacing w:before="240" w:after="240"/>
              <w:rPr>
                <w:szCs w:val="24"/>
              </w:rPr>
            </w:pPr>
            <w:r w:rsidRPr="005C3B55">
              <w:t>The participants thus determined problems, needs, potential, and thematic areas, and suggested project content.</w:t>
            </w:r>
          </w:p>
          <w:p w:rsidR="00C21266" w:rsidRPr="005C3B55" w:rsidRDefault="00C21266">
            <w:pPr>
              <w:pStyle w:val="Telobesedila"/>
              <w:rPr>
                <w:lang w:eastAsia="en-GB" w:bidi="en-GB"/>
              </w:rPr>
            </w:pPr>
          </w:p>
        </w:tc>
      </w:tr>
    </w:tbl>
    <w:p w:rsidR="00C21266" w:rsidRPr="005C3B55" w:rsidRDefault="00C21266" w:rsidP="00C21266">
      <w:pPr>
        <w:pStyle w:val="Naslov2"/>
        <w:tabs>
          <w:tab w:val="clear" w:pos="765"/>
        </w:tabs>
        <w:ind w:left="0" w:firstLine="0"/>
        <w:rPr>
          <w:b w:val="0"/>
          <w:lang w:val="en-GB" w:eastAsia="en-GB" w:bidi="en-GB"/>
        </w:rPr>
      </w:pPr>
      <w:bookmarkStart w:id="235" w:name="_Toc416192693"/>
      <w:r w:rsidRPr="005C3B55">
        <w:rPr>
          <w:lang w:val="en-GB"/>
        </w:rPr>
        <w:t>f)</w:t>
      </w:r>
      <w:r w:rsidRPr="005C3B55">
        <w:rPr>
          <w:lang w:val="en-GB"/>
        </w:rPr>
        <w:tab/>
        <w:t>Harmonising views on content and presenting the RDP</w:t>
      </w:r>
      <w:bookmarkEnd w:id="235"/>
    </w:p>
    <w:p w:rsidR="00C21266" w:rsidRPr="005C3B55" w:rsidRDefault="00C21266" w:rsidP="00C21266">
      <w:pPr>
        <w:pStyle w:val="Naslov3"/>
        <w:tabs>
          <w:tab w:val="clear" w:pos="765"/>
        </w:tabs>
        <w:ind w:left="0" w:firstLine="0"/>
        <w:jc w:val="left"/>
        <w:rPr>
          <w:lang w:val="en-GB"/>
        </w:rPr>
      </w:pPr>
      <w:bookmarkStart w:id="236" w:name="_Toc416192694"/>
      <w:r w:rsidRPr="005C3B55">
        <w:rPr>
          <w:lang w:val="en-GB"/>
        </w:rPr>
        <w:t>Subject of the relevant consultation</w:t>
      </w:r>
      <w:bookmarkEnd w:id="236"/>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650" w:type="pct"/>
            <w:tcBorders>
              <w:top w:val="single" w:sz="8" w:space="0" w:color="000000"/>
              <w:left w:val="single" w:sz="8" w:space="0" w:color="000000"/>
              <w:bottom w:val="single" w:sz="8" w:space="0" w:color="000000"/>
              <w:right w:val="single" w:sz="8" w:space="0" w:color="000000"/>
            </w:tcBorders>
            <w:tcMar>
              <w:top w:w="60" w:type="dxa"/>
              <w:left w:w="108" w:type="dxa"/>
              <w:bottom w:w="120" w:type="dxa"/>
              <w:right w:w="108" w:type="dxa"/>
            </w:tcMar>
          </w:tcPr>
          <w:p w:rsidR="00C21266" w:rsidRPr="005C3B55" w:rsidRDefault="00C21266">
            <w:pPr>
              <w:spacing w:after="240"/>
              <w:rPr>
                <w:rFonts w:eastAsia="Calibri"/>
                <w:szCs w:val="24"/>
              </w:rPr>
            </w:pPr>
            <w:r w:rsidRPr="005C3B55">
              <w:t>Between August 2013 and May 2014, the Ministry organised several conciliation meetings. Numerous harmonisations of measures took place with social partners, representatives of environmental fields, interest groups, farmer’s unions, representatives of local communities, local action groups, rural youth, cooperatives, food processing industry, agricultural companies, etc.</w:t>
            </w:r>
          </w:p>
          <w:p w:rsidR="00C21266" w:rsidRPr="005C3B55" w:rsidRDefault="00C21266">
            <w:pPr>
              <w:pStyle w:val="Telobesedila"/>
              <w:rPr>
                <w:lang w:eastAsia="en-GB" w:bidi="en-GB"/>
              </w:rPr>
            </w:pPr>
          </w:p>
        </w:tc>
      </w:tr>
    </w:tbl>
    <w:p w:rsidR="00C21266" w:rsidRPr="005C3B55" w:rsidRDefault="00C21266" w:rsidP="00C21266">
      <w:pPr>
        <w:pStyle w:val="Naslov3"/>
        <w:tabs>
          <w:tab w:val="clear" w:pos="765"/>
        </w:tabs>
        <w:ind w:left="0" w:firstLine="0"/>
        <w:jc w:val="left"/>
        <w:rPr>
          <w:lang w:val="en-GB" w:eastAsia="en-GB" w:bidi="en-GB"/>
        </w:rPr>
      </w:pPr>
      <w:bookmarkStart w:id="237" w:name="_Toc416192695"/>
      <w:r w:rsidRPr="005C3B55">
        <w:rPr>
          <w:lang w:val="en-GB"/>
        </w:rPr>
        <w:t>Summary of results</w:t>
      </w:r>
      <w:bookmarkEnd w:id="237"/>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650" w:type="pct"/>
            <w:tcBorders>
              <w:top w:val="single" w:sz="8" w:space="0" w:color="000000"/>
              <w:left w:val="single" w:sz="8" w:space="0" w:color="000000"/>
              <w:bottom w:val="single" w:sz="8" w:space="0" w:color="000000"/>
              <w:right w:val="single" w:sz="8" w:space="0" w:color="000000"/>
            </w:tcBorders>
            <w:tcMar>
              <w:top w:w="60" w:type="dxa"/>
              <w:left w:w="108" w:type="dxa"/>
              <w:bottom w:w="120" w:type="dxa"/>
              <w:right w:w="108" w:type="dxa"/>
            </w:tcMar>
          </w:tcPr>
          <w:p w:rsidR="00C21266" w:rsidRPr="005C3B55" w:rsidRDefault="00C21266">
            <w:pPr>
              <w:spacing w:after="240"/>
              <w:rPr>
                <w:rFonts w:eastAsia="Calibri"/>
                <w:szCs w:val="24"/>
              </w:rPr>
            </w:pPr>
            <w:r w:rsidRPr="005C3B55">
              <w:t>On the basis of harmonisations and presentations, which encouraged partners to cooperate in a constructive manner and to contribute proposals on how to prepare measures of higher quality, a greater consistency and complementarity between measures and various strategies was achieved; the measures designed became more target-oriented and participants found solutions for reducing the margin of error and reducing administrative burdens borne by beneficiaries.</w:t>
            </w:r>
          </w:p>
          <w:p w:rsidR="00C21266" w:rsidRPr="005C3B55" w:rsidRDefault="00C21266">
            <w:pPr>
              <w:pStyle w:val="Telobesedila"/>
              <w:rPr>
                <w:lang w:eastAsia="en-GB" w:bidi="en-GB"/>
              </w:rPr>
            </w:pPr>
          </w:p>
        </w:tc>
      </w:tr>
    </w:tbl>
    <w:p w:rsidR="00C21266" w:rsidRPr="005C3B55" w:rsidRDefault="00C21266" w:rsidP="00C21266">
      <w:pPr>
        <w:pStyle w:val="Naslov2"/>
        <w:tabs>
          <w:tab w:val="clear" w:pos="765"/>
        </w:tabs>
        <w:ind w:left="0" w:firstLine="0"/>
        <w:rPr>
          <w:b w:val="0"/>
          <w:lang w:val="en-GB" w:eastAsia="en-GB" w:bidi="en-GB"/>
        </w:rPr>
      </w:pPr>
      <w:bookmarkStart w:id="238" w:name="_Toc416192696"/>
      <w:r w:rsidRPr="005C3B55">
        <w:rPr>
          <w:lang w:val="en-GB"/>
        </w:rPr>
        <w:t>g)</w:t>
      </w:r>
      <w:r w:rsidRPr="005C3B55">
        <w:rPr>
          <w:lang w:val="en-GB"/>
        </w:rPr>
        <w:tab/>
        <w:t>Inclusion in providing information</w:t>
      </w:r>
      <w:bookmarkEnd w:id="238"/>
    </w:p>
    <w:p w:rsidR="00C21266" w:rsidRPr="005C3B55" w:rsidRDefault="00C21266" w:rsidP="00C21266">
      <w:pPr>
        <w:pStyle w:val="Naslov3"/>
        <w:tabs>
          <w:tab w:val="clear" w:pos="765"/>
        </w:tabs>
        <w:ind w:left="0" w:firstLine="0"/>
        <w:jc w:val="left"/>
        <w:rPr>
          <w:lang w:val="en-GB"/>
        </w:rPr>
      </w:pPr>
      <w:bookmarkStart w:id="239" w:name="_Toc416192697"/>
      <w:r w:rsidRPr="005C3B55">
        <w:rPr>
          <w:lang w:val="en-GB"/>
        </w:rPr>
        <w:t>Subject of the relevant consultation</w:t>
      </w:r>
      <w:bookmarkEnd w:id="239"/>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650" w:type="pct"/>
            <w:tcBorders>
              <w:top w:val="single" w:sz="8" w:space="0" w:color="000000"/>
              <w:left w:val="single" w:sz="8" w:space="0" w:color="000000"/>
              <w:bottom w:val="single" w:sz="8" w:space="0" w:color="000000"/>
              <w:right w:val="single" w:sz="8" w:space="0" w:color="000000"/>
            </w:tcBorders>
            <w:tcMar>
              <w:top w:w="60" w:type="dxa"/>
              <w:left w:w="108" w:type="dxa"/>
              <w:bottom w:w="120" w:type="dxa"/>
              <w:right w:w="108" w:type="dxa"/>
            </w:tcMar>
          </w:tcPr>
          <w:p w:rsidR="00C21266" w:rsidRPr="005C3B55" w:rsidRDefault="00C21266">
            <w:pPr>
              <w:spacing w:after="240"/>
              <w:rPr>
                <w:rFonts w:eastAsia="Calibri"/>
                <w:szCs w:val="24"/>
              </w:rPr>
            </w:pPr>
            <w:r w:rsidRPr="005C3B55">
              <w:t>The network’s task is to provide information on the RDP to the public. This is mainly achieved through a web site, which is updated with relevant and current news. The public is also informed via a weekly e-newsletter. The public and partners are also included in these activities, with the aim of forwarding relevant information and documents that the Ministry may include in the news and publish on web sites, thereby encouraging cooperation on providing information. The public and potential beneficiaries are also informed via printed material, which is prepared with the assistance of certain key partners. Information on the RDP is also provided through cooperation and by organising various events under the Network in which various partners participate.</w:t>
            </w:r>
          </w:p>
          <w:p w:rsidR="00C21266" w:rsidRPr="005C3B55" w:rsidRDefault="00C21266">
            <w:pPr>
              <w:pStyle w:val="Telobesedila"/>
              <w:rPr>
                <w:lang w:eastAsia="en-GB" w:bidi="en-GB"/>
              </w:rPr>
            </w:pPr>
          </w:p>
        </w:tc>
      </w:tr>
    </w:tbl>
    <w:p w:rsidR="00C21266" w:rsidRPr="005C3B55" w:rsidRDefault="00C21266" w:rsidP="00C21266">
      <w:pPr>
        <w:pStyle w:val="Naslov3"/>
        <w:tabs>
          <w:tab w:val="clear" w:pos="765"/>
        </w:tabs>
        <w:ind w:left="0" w:firstLine="0"/>
        <w:jc w:val="left"/>
        <w:rPr>
          <w:lang w:val="en-GB" w:eastAsia="en-GB" w:bidi="en-GB"/>
        </w:rPr>
      </w:pPr>
      <w:bookmarkStart w:id="240" w:name="_Toc416192698"/>
      <w:r w:rsidRPr="005C3B55">
        <w:rPr>
          <w:lang w:val="en-GB"/>
        </w:rPr>
        <w:t>Summary of results</w:t>
      </w:r>
      <w:bookmarkEnd w:id="240"/>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650" w:type="pct"/>
            <w:tcBorders>
              <w:top w:val="single" w:sz="8" w:space="0" w:color="000000"/>
              <w:left w:val="single" w:sz="8" w:space="0" w:color="000000"/>
              <w:bottom w:val="single" w:sz="8" w:space="0" w:color="000000"/>
              <w:right w:val="single" w:sz="8" w:space="0" w:color="000000"/>
            </w:tcBorders>
            <w:tcMar>
              <w:top w:w="60" w:type="dxa"/>
              <w:left w:w="108" w:type="dxa"/>
              <w:bottom w:w="120" w:type="dxa"/>
              <w:right w:w="108" w:type="dxa"/>
            </w:tcMar>
          </w:tcPr>
          <w:p w:rsidR="00C21266" w:rsidRPr="005C3B55" w:rsidRDefault="00C21266">
            <w:pPr>
              <w:spacing w:after="240"/>
              <w:rPr>
                <w:rFonts w:eastAsia="Calibri"/>
                <w:szCs w:val="24"/>
              </w:rPr>
            </w:pPr>
            <w:r w:rsidRPr="005C3B55">
              <w:t>The result of such cooperation is better and broader awareness among target groups and the public, the EAFRD; the results of the RDP are better recognised, and potential beneficiaries receive relevant information on time; also, partners are included in the implementation of the RDP, who then, via their own communication channels, provide information to their members on events and new developments regarding the RDP.</w:t>
            </w:r>
          </w:p>
          <w:p w:rsidR="00C21266" w:rsidRPr="005C3B55" w:rsidRDefault="00C21266">
            <w:pPr>
              <w:pStyle w:val="Telobesedila"/>
              <w:rPr>
                <w:lang w:eastAsia="en-GB" w:bidi="en-GB"/>
              </w:rPr>
            </w:pPr>
          </w:p>
        </w:tc>
      </w:tr>
    </w:tbl>
    <w:p w:rsidR="00C21266" w:rsidRPr="005C3B55" w:rsidRDefault="00C21266" w:rsidP="00C21266">
      <w:pPr>
        <w:pStyle w:val="Naslov2"/>
        <w:tabs>
          <w:tab w:val="clear" w:pos="765"/>
        </w:tabs>
        <w:ind w:left="0" w:firstLine="0"/>
        <w:rPr>
          <w:b w:val="0"/>
          <w:lang w:val="en-GB" w:eastAsia="en-GB" w:bidi="en-GB"/>
        </w:rPr>
      </w:pPr>
      <w:bookmarkStart w:id="241" w:name="_Toc416192699"/>
      <w:r w:rsidRPr="005C3B55">
        <w:rPr>
          <w:lang w:val="en-GB"/>
        </w:rPr>
        <w:t>h)</w:t>
      </w:r>
      <w:r w:rsidRPr="005C3B55">
        <w:rPr>
          <w:lang w:val="en-GB"/>
        </w:rPr>
        <w:tab/>
        <w:t>Cooperation in groups and committees</w:t>
      </w:r>
      <w:bookmarkEnd w:id="241"/>
    </w:p>
    <w:p w:rsidR="00C21266" w:rsidRPr="005C3B55" w:rsidRDefault="00C21266" w:rsidP="00C21266">
      <w:pPr>
        <w:pStyle w:val="Naslov3"/>
        <w:tabs>
          <w:tab w:val="clear" w:pos="765"/>
        </w:tabs>
        <w:ind w:left="0" w:firstLine="0"/>
        <w:jc w:val="left"/>
        <w:rPr>
          <w:lang w:val="en-GB"/>
        </w:rPr>
      </w:pPr>
      <w:bookmarkStart w:id="242" w:name="_Toc416192700"/>
      <w:r w:rsidRPr="005C3B55">
        <w:rPr>
          <w:lang w:val="en-GB"/>
        </w:rPr>
        <w:t>Subject of the relevant consultation</w:t>
      </w:r>
      <w:bookmarkEnd w:id="242"/>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650" w:type="pct"/>
            <w:tcBorders>
              <w:top w:val="single" w:sz="8" w:space="0" w:color="000000"/>
              <w:left w:val="single" w:sz="8" w:space="0" w:color="000000"/>
              <w:bottom w:val="single" w:sz="8" w:space="0" w:color="000000"/>
              <w:right w:val="single" w:sz="8" w:space="0" w:color="000000"/>
            </w:tcBorders>
            <w:tcMar>
              <w:top w:w="60" w:type="dxa"/>
              <w:left w:w="108" w:type="dxa"/>
              <w:bottom w:w="120" w:type="dxa"/>
              <w:right w:w="108" w:type="dxa"/>
            </w:tcMar>
          </w:tcPr>
          <w:p w:rsidR="00C21266" w:rsidRPr="005C3B55" w:rsidRDefault="00C21266">
            <w:pPr>
              <w:spacing w:after="240"/>
              <w:rPr>
                <w:rFonts w:eastAsia="Calibri"/>
                <w:szCs w:val="24"/>
              </w:rPr>
            </w:pPr>
            <w:r w:rsidRPr="005C3B55">
              <w:t>Representatives of various organisations are included in various groups and committees (for example the Steering Group of the Rural Network, the Monitoring Committee of the RDP 2007-2013, etc.). Various subjects and areas of the RDP are discussed at the meetings of these groups and committees, and outside members may submit proposals and initiatives.</w:t>
            </w:r>
          </w:p>
          <w:p w:rsidR="00C21266" w:rsidRPr="005C3B55" w:rsidRDefault="00C21266">
            <w:pPr>
              <w:pStyle w:val="Telobesedila"/>
              <w:rPr>
                <w:lang w:eastAsia="en-GB" w:bidi="en-GB"/>
              </w:rPr>
            </w:pPr>
          </w:p>
        </w:tc>
      </w:tr>
    </w:tbl>
    <w:p w:rsidR="00C21266" w:rsidRPr="005C3B55" w:rsidRDefault="00C21266" w:rsidP="00C21266">
      <w:pPr>
        <w:pStyle w:val="Naslov3"/>
        <w:tabs>
          <w:tab w:val="clear" w:pos="765"/>
        </w:tabs>
        <w:ind w:left="0" w:firstLine="0"/>
        <w:jc w:val="left"/>
        <w:rPr>
          <w:lang w:val="en-GB" w:eastAsia="en-GB" w:bidi="en-GB"/>
        </w:rPr>
      </w:pPr>
      <w:bookmarkStart w:id="243" w:name="_Toc416192701"/>
      <w:r w:rsidRPr="005C3B55">
        <w:rPr>
          <w:lang w:val="en-GB"/>
        </w:rPr>
        <w:t>Summary of results</w:t>
      </w:r>
      <w:bookmarkEnd w:id="243"/>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650" w:type="pct"/>
            <w:tcBorders>
              <w:top w:val="single" w:sz="8" w:space="0" w:color="000000"/>
              <w:left w:val="single" w:sz="8" w:space="0" w:color="000000"/>
              <w:bottom w:val="single" w:sz="8" w:space="0" w:color="000000"/>
              <w:right w:val="single" w:sz="8" w:space="0" w:color="000000"/>
            </w:tcBorders>
            <w:tcMar>
              <w:top w:w="60" w:type="dxa"/>
              <w:left w:w="108" w:type="dxa"/>
              <w:bottom w:w="120" w:type="dxa"/>
              <w:right w:w="108" w:type="dxa"/>
            </w:tcMar>
          </w:tcPr>
          <w:p w:rsidR="00C21266" w:rsidRPr="005C3B55" w:rsidRDefault="00C21266">
            <w:pPr>
              <w:spacing w:after="240"/>
              <w:rPr>
                <w:rFonts w:eastAsia="Calibri"/>
                <w:szCs w:val="24"/>
              </w:rPr>
            </w:pPr>
            <w:r w:rsidRPr="005C3B55">
              <w:t>The results of such consultations and such organisation of work at the Ministry are better quality documents, more interest among partners in cooperating on various activities, and the competent inclusion of partners in preparation and implementation.</w:t>
            </w:r>
          </w:p>
          <w:p w:rsidR="00C21266" w:rsidRPr="005C3B55" w:rsidRDefault="00C21266">
            <w:pPr>
              <w:pStyle w:val="Telobesedila"/>
              <w:rPr>
                <w:lang w:eastAsia="en-GB" w:bidi="en-GB"/>
              </w:rPr>
            </w:pPr>
          </w:p>
        </w:tc>
      </w:tr>
    </w:tbl>
    <w:p w:rsidR="00C21266" w:rsidRPr="005C3B55" w:rsidRDefault="00C21266" w:rsidP="00C21266">
      <w:pPr>
        <w:pStyle w:val="Naslov2"/>
        <w:tabs>
          <w:tab w:val="clear" w:pos="765"/>
        </w:tabs>
        <w:ind w:left="0" w:firstLine="0"/>
        <w:rPr>
          <w:b w:val="0"/>
          <w:lang w:val="en-GB" w:eastAsia="en-GB" w:bidi="en-GB"/>
        </w:rPr>
      </w:pPr>
      <w:bookmarkStart w:id="244" w:name="_Toc416192702"/>
      <w:r w:rsidRPr="005C3B55">
        <w:rPr>
          <w:lang w:val="en-GB"/>
        </w:rPr>
        <w:t>i)</w:t>
      </w:r>
      <w:r w:rsidRPr="005C3B55">
        <w:rPr>
          <w:lang w:val="en-GB"/>
        </w:rPr>
        <w:tab/>
        <w:t>Preparations for the Environmental report</w:t>
      </w:r>
      <w:bookmarkEnd w:id="244"/>
    </w:p>
    <w:p w:rsidR="00C21266" w:rsidRPr="005C3B55" w:rsidRDefault="00C21266" w:rsidP="00C21266">
      <w:pPr>
        <w:pStyle w:val="Naslov3"/>
        <w:tabs>
          <w:tab w:val="clear" w:pos="765"/>
        </w:tabs>
        <w:ind w:left="0" w:firstLine="0"/>
        <w:jc w:val="left"/>
        <w:rPr>
          <w:lang w:val="en-GB"/>
        </w:rPr>
      </w:pPr>
      <w:bookmarkStart w:id="245" w:name="_Toc416192703"/>
      <w:r w:rsidRPr="005C3B55">
        <w:rPr>
          <w:lang w:val="en-GB"/>
        </w:rPr>
        <w:t>Subject of the relevant consultation</w:t>
      </w:r>
      <w:bookmarkEnd w:id="245"/>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650" w:type="pct"/>
            <w:tcBorders>
              <w:top w:val="single" w:sz="8" w:space="0" w:color="000000"/>
              <w:left w:val="single" w:sz="8" w:space="0" w:color="000000"/>
              <w:bottom w:val="single" w:sz="8" w:space="0" w:color="000000"/>
              <w:right w:val="single" w:sz="8" w:space="0" w:color="000000"/>
            </w:tcBorders>
            <w:tcMar>
              <w:top w:w="60" w:type="dxa"/>
              <w:left w:w="108" w:type="dxa"/>
              <w:bottom w:w="120" w:type="dxa"/>
              <w:right w:w="108" w:type="dxa"/>
            </w:tcMar>
          </w:tcPr>
          <w:p w:rsidR="00C21266" w:rsidRPr="005C3B55" w:rsidRDefault="00C21266">
            <w:pPr>
              <w:spacing w:after="240"/>
              <w:rPr>
                <w:rFonts w:eastAsia="Calibri"/>
                <w:szCs w:val="24"/>
              </w:rPr>
            </w:pPr>
            <w:r w:rsidRPr="005C3B55">
              <w:t>A brief overview of the state of the environment and environmental trends was prepared in the initial preparations of the Environmental report. Scoping was implemented and three focus groups were organised with the expert public. The public scoping, where the process of preparing the Environmental report, the first findings on the state of the environment and the key issues were presented, was organised in April 2013. Focus groups were organised in May 2013. The aim of the workshops and focus groups was to determine key environmental issues, themes or elements of the environment which the RDP 2014-2020 may affect. Focus groups were organised by themes (human health and cultural heritage; nature; waters and soil); a discussion was held with a small group of invited experts (Ministry of Culture, Ministry of Health, Institute of Public Health, Slovenian Environment Agency, Institute of the Republic of Slovenia for Nature Conservation, Nature Conservation Division (the Ministry of the Environment and Spatial Planning), Slovenian Forest Service, Chamber of Agriculture and Forestry of Slovenia, the Ljubljana Marshes Landscape Park ...) on the results of the analysis of the state of the environment, the established trends and potential special emphasises and contents which should be dealt with further.</w:t>
            </w:r>
          </w:p>
          <w:p w:rsidR="00C21266" w:rsidRPr="005C3B55" w:rsidRDefault="00C21266">
            <w:pPr>
              <w:pStyle w:val="Telobesedila"/>
              <w:rPr>
                <w:lang w:eastAsia="en-GB" w:bidi="en-GB"/>
              </w:rPr>
            </w:pPr>
          </w:p>
        </w:tc>
      </w:tr>
    </w:tbl>
    <w:p w:rsidR="00C21266" w:rsidRPr="005C3B55" w:rsidRDefault="00C21266" w:rsidP="00C21266">
      <w:pPr>
        <w:pStyle w:val="Naslov3"/>
        <w:tabs>
          <w:tab w:val="clear" w:pos="765"/>
        </w:tabs>
        <w:ind w:left="0" w:firstLine="0"/>
        <w:jc w:val="left"/>
        <w:rPr>
          <w:lang w:val="en-GB" w:eastAsia="en-GB" w:bidi="en-GB"/>
        </w:rPr>
      </w:pPr>
      <w:bookmarkStart w:id="246" w:name="_Toc416192704"/>
      <w:r w:rsidRPr="005C3B55">
        <w:rPr>
          <w:lang w:val="en-GB"/>
        </w:rPr>
        <w:t>Summary of results</w:t>
      </w:r>
      <w:bookmarkEnd w:id="246"/>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650" w:type="pct"/>
            <w:tcBorders>
              <w:top w:val="single" w:sz="8" w:space="0" w:color="000000"/>
              <w:left w:val="single" w:sz="8" w:space="0" w:color="000000"/>
              <w:bottom w:val="single" w:sz="8" w:space="0" w:color="000000"/>
              <w:right w:val="single" w:sz="8" w:space="0" w:color="000000"/>
            </w:tcBorders>
            <w:tcMar>
              <w:top w:w="60" w:type="dxa"/>
              <w:left w:w="108" w:type="dxa"/>
              <w:bottom w:w="120" w:type="dxa"/>
              <w:right w:w="108" w:type="dxa"/>
            </w:tcMar>
          </w:tcPr>
          <w:p w:rsidR="00C21266" w:rsidRPr="005C3B55" w:rsidRDefault="00C21266">
            <w:pPr>
              <w:spacing w:after="240"/>
              <w:rPr>
                <w:rFonts w:eastAsia="Calibri"/>
                <w:szCs w:val="24"/>
              </w:rPr>
            </w:pPr>
            <w:r w:rsidRPr="005C3B55">
              <w:t>Key issues which should be dealt with were identified on the basis of the scoping. Namely: water/soil, biodiversity, quality of life and cultural heritage. It is important to take regional differences into account when discussing environmental issues.</w:t>
            </w:r>
          </w:p>
          <w:p w:rsidR="00C21266" w:rsidRPr="005C3B55" w:rsidRDefault="00C21266">
            <w:pPr>
              <w:spacing w:before="240" w:after="240"/>
              <w:rPr>
                <w:szCs w:val="24"/>
              </w:rPr>
            </w:pPr>
            <w:r w:rsidRPr="005C3B55">
              <w:t>The findings of the focus groups were similar. These are the main conclusions of the focus groups:</w:t>
            </w:r>
          </w:p>
          <w:p w:rsidR="00C21266" w:rsidRPr="005C3B55" w:rsidRDefault="00C21266" w:rsidP="006E20B6">
            <w:pPr>
              <w:numPr>
                <w:ilvl w:val="0"/>
                <w:numId w:val="1047"/>
              </w:numPr>
              <w:spacing w:before="240" w:after="0"/>
              <w:ind w:hanging="290"/>
              <w:jc w:val="left"/>
              <w:rPr>
                <w:szCs w:val="24"/>
              </w:rPr>
            </w:pPr>
            <w:r w:rsidRPr="005C3B55">
              <w:t>there are great differences between regions and individual areas, which should be taken into account when designing measures,</w:t>
            </w:r>
          </w:p>
          <w:p w:rsidR="00C21266" w:rsidRPr="005C3B55" w:rsidRDefault="00C21266" w:rsidP="006E20B6">
            <w:pPr>
              <w:numPr>
                <w:ilvl w:val="0"/>
                <w:numId w:val="1047"/>
              </w:numPr>
              <w:spacing w:before="0" w:after="0"/>
              <w:ind w:hanging="290"/>
              <w:jc w:val="left"/>
              <w:rPr>
                <w:szCs w:val="24"/>
              </w:rPr>
            </w:pPr>
            <w:r w:rsidRPr="005C3B55">
              <w:t>drinking water should receive special attention when discussing waters,</w:t>
            </w:r>
          </w:p>
          <w:p w:rsidR="00C21266" w:rsidRPr="005C3B55" w:rsidRDefault="00C21266" w:rsidP="006E20B6">
            <w:pPr>
              <w:numPr>
                <w:ilvl w:val="0"/>
                <w:numId w:val="1047"/>
              </w:numPr>
              <w:spacing w:before="0" w:after="0"/>
              <w:ind w:hanging="290"/>
              <w:jc w:val="left"/>
              <w:rPr>
                <w:szCs w:val="24"/>
              </w:rPr>
            </w:pPr>
            <w:r w:rsidRPr="005C3B55">
              <w:t>forestry and its role in rural development should receive due attention,</w:t>
            </w:r>
          </w:p>
          <w:p w:rsidR="00C21266" w:rsidRPr="005C3B55" w:rsidRDefault="00C21266" w:rsidP="006E20B6">
            <w:pPr>
              <w:numPr>
                <w:ilvl w:val="0"/>
                <w:numId w:val="1047"/>
              </w:numPr>
              <w:spacing w:before="0" w:after="240"/>
              <w:ind w:hanging="290"/>
              <w:jc w:val="left"/>
              <w:rPr>
                <w:szCs w:val="24"/>
              </w:rPr>
            </w:pPr>
            <w:r w:rsidRPr="005C3B55">
              <w:t>attitudes to rural areas are changing, the cultivation of land is on the increase, to which the current economic position only contributes.</w:t>
            </w:r>
          </w:p>
          <w:p w:rsidR="00C21266" w:rsidRPr="005C3B55" w:rsidRDefault="00C21266">
            <w:pPr>
              <w:pStyle w:val="Telobesedila"/>
              <w:rPr>
                <w:lang w:eastAsia="en-GB" w:bidi="en-GB"/>
              </w:rPr>
            </w:pPr>
          </w:p>
        </w:tc>
      </w:tr>
    </w:tbl>
    <w:p w:rsidR="00C21266" w:rsidRPr="005C3B55" w:rsidRDefault="00C21266" w:rsidP="00C21266">
      <w:pPr>
        <w:pStyle w:val="Naslov2"/>
        <w:tabs>
          <w:tab w:val="clear" w:pos="765"/>
        </w:tabs>
        <w:ind w:left="0" w:firstLine="0"/>
        <w:rPr>
          <w:b w:val="0"/>
          <w:lang w:val="en-GB" w:eastAsia="en-GB" w:bidi="en-GB"/>
        </w:rPr>
      </w:pPr>
      <w:bookmarkStart w:id="247" w:name="_Toc416192705"/>
      <w:r w:rsidRPr="005C3B55">
        <w:rPr>
          <w:b w:val="0"/>
          <w:lang w:val="en-GB"/>
        </w:rPr>
        <w:t>j) Procedure with opinion-givers</w:t>
      </w:r>
      <w:bookmarkEnd w:id="247"/>
    </w:p>
    <w:p w:rsidR="00C21266" w:rsidRPr="005C3B55" w:rsidRDefault="00C21266" w:rsidP="00C21266">
      <w:pPr>
        <w:pStyle w:val="Naslov3"/>
        <w:tabs>
          <w:tab w:val="clear" w:pos="765"/>
        </w:tabs>
        <w:ind w:left="0" w:firstLine="0"/>
        <w:jc w:val="left"/>
        <w:rPr>
          <w:lang w:val="en-GB"/>
        </w:rPr>
      </w:pPr>
      <w:bookmarkStart w:id="248" w:name="_Toc416192706"/>
      <w:r w:rsidRPr="005C3B55">
        <w:rPr>
          <w:lang w:val="en-GB"/>
        </w:rPr>
        <w:t>Subject of the relevant consultation</w:t>
      </w:r>
      <w:bookmarkEnd w:id="248"/>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650" w:type="pct"/>
            <w:tcBorders>
              <w:top w:val="single" w:sz="8" w:space="0" w:color="000000"/>
              <w:left w:val="single" w:sz="8" w:space="0" w:color="000000"/>
              <w:bottom w:val="single" w:sz="8" w:space="0" w:color="000000"/>
              <w:right w:val="single" w:sz="8" w:space="0" w:color="000000"/>
            </w:tcBorders>
            <w:tcMar>
              <w:top w:w="60" w:type="dxa"/>
              <w:left w:w="108" w:type="dxa"/>
              <w:bottom w:w="120" w:type="dxa"/>
              <w:right w:w="108" w:type="dxa"/>
            </w:tcMar>
          </w:tcPr>
          <w:p w:rsidR="00C21266" w:rsidRPr="005C3B55" w:rsidRDefault="00C21266">
            <w:pPr>
              <w:spacing w:after="240"/>
              <w:rPr>
                <w:rFonts w:eastAsia="Calibri"/>
                <w:szCs w:val="24"/>
              </w:rPr>
            </w:pPr>
            <w:r w:rsidRPr="005C3B55">
              <w:t>Numerous consultations and harmonisations with parties concerned with nature, waters and cultural heritage were held in the course of the comprehensive assessment of environmental impacts for the RDP 2014-2020. Harmonisation meetings were held at the Ministry of Agriculture, Forestry and Food. The content of the RDP 2014-2020 was adapted to comments of opinion-givers provided during the comprehensive assessment of environmental impacts, especially regarding nature and waters. Those providing opinions (The Institute of the Republic of Slovenia for Nature Conservation, The Ministry of Culture and the Slovenian Environment Agency) confirmed the Environmental Report and the Appendix on Protected Areas, and also submitted additional comments. The Ministry of Agriculture, Forestry and Food responded in writing to all the opinions submitted and described how the recommended mitigating measures submitted by the Institute of the Republic of Slovenia for Nature Conservation will be taken into account, explaining the possibilities of including the protection of cultural heritage in the RDP, and why the Ministry does not agree to changing the assessments of the condition of waters. The Ministry of Health established that the RDP 2014-2020 was acceptable from the viewpoint of the protection of human health and did not add any comments.</w:t>
            </w:r>
          </w:p>
          <w:p w:rsidR="00C21266" w:rsidRPr="005C3B55" w:rsidRDefault="00C21266">
            <w:pPr>
              <w:pStyle w:val="Telobesedila"/>
              <w:rPr>
                <w:lang w:eastAsia="en-GB" w:bidi="en-GB"/>
              </w:rPr>
            </w:pPr>
          </w:p>
        </w:tc>
      </w:tr>
    </w:tbl>
    <w:p w:rsidR="00C21266" w:rsidRPr="005C3B55" w:rsidRDefault="00C21266" w:rsidP="00C21266">
      <w:pPr>
        <w:pStyle w:val="Naslov3"/>
        <w:tabs>
          <w:tab w:val="clear" w:pos="765"/>
        </w:tabs>
        <w:ind w:left="0" w:firstLine="0"/>
        <w:jc w:val="left"/>
        <w:rPr>
          <w:lang w:val="en-GB" w:eastAsia="en-GB" w:bidi="en-GB"/>
        </w:rPr>
      </w:pPr>
      <w:bookmarkStart w:id="249" w:name="_Toc416192707"/>
      <w:r w:rsidRPr="005C3B55">
        <w:rPr>
          <w:lang w:val="en-GB"/>
        </w:rPr>
        <w:t>Summary of results</w:t>
      </w:r>
      <w:bookmarkEnd w:id="249"/>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650" w:type="pct"/>
            <w:tcBorders>
              <w:top w:val="single" w:sz="8" w:space="0" w:color="000000"/>
              <w:left w:val="single" w:sz="8" w:space="0" w:color="000000"/>
              <w:bottom w:val="single" w:sz="8" w:space="0" w:color="000000"/>
              <w:right w:val="single" w:sz="8" w:space="0" w:color="000000"/>
            </w:tcBorders>
            <w:tcMar>
              <w:top w:w="60" w:type="dxa"/>
              <w:left w:w="108" w:type="dxa"/>
              <w:bottom w:w="120" w:type="dxa"/>
              <w:right w:w="108" w:type="dxa"/>
            </w:tcMar>
          </w:tcPr>
          <w:p w:rsidR="00C21266" w:rsidRPr="005C3B55" w:rsidRDefault="00C21266">
            <w:pPr>
              <w:spacing w:after="240"/>
              <w:rPr>
                <w:rFonts w:eastAsia="Calibri"/>
                <w:szCs w:val="24"/>
              </w:rPr>
            </w:pPr>
            <w:r w:rsidRPr="005C3B55">
              <w:t>The Institute of the Republic of Slovenia for Nature Conservation warned that an efficient system for planning forest roads must be developed before the implementation of the RDP 2014-2020 begins, and that during the design phase, areas should be determined where forest roads will not be financed due to negative impacts on nature conservation. They also drew attention to deficiencies in the planning and implementing of new technologies. More environmentally friendly investments will be encouraged within the framework of the RDP 2014-2020 on the basis of determining selection criteria; new technologies will be implemented only in those forests where this is acceptable in terms of nature conservation. They also suggested that the Environmental Report and the Appendix on Protected Areas be supplemented by a mitigating measure, which would require a detailed analysis of the impacts of measures related to forestry and the M10, M16, M19 and M04 on nature. The response of the Ministry of Agriculture, Forestry and Food was that a detailed analysis of impacts will be ensured within the framework of evaluation. They also expressed concerns relating to the implementation of the requirement ‘Analysis of fodder and calculation of feed rations’ for which three mitigation measures were defined in the Environmental report referring to preventing the intensification of grassland use. The Ministry’s response was that such mitigating measures will be addressed in the mandatory training and counselling programme.</w:t>
            </w:r>
          </w:p>
          <w:p w:rsidR="00C21266" w:rsidRPr="005C3B55" w:rsidRDefault="00C21266">
            <w:pPr>
              <w:spacing w:before="240" w:after="240"/>
              <w:rPr>
                <w:szCs w:val="24"/>
              </w:rPr>
            </w:pPr>
            <w:r w:rsidRPr="005C3B55">
              <w:t>The Slovenian Environment Agency disagreed with the assessment of the impact of RDP on the environmental objective of good ecological status of waters and with the assessment of the impact of water used for irrigation on the ecological status of surface waters. The Ministry’s response was that the assessments made are appropriate, due to the numerous established mechanisms.</w:t>
            </w:r>
          </w:p>
          <w:p w:rsidR="00C21266" w:rsidRPr="005C3B55" w:rsidRDefault="00C21266">
            <w:pPr>
              <w:spacing w:before="240" w:after="240"/>
              <w:rPr>
                <w:szCs w:val="24"/>
              </w:rPr>
            </w:pPr>
            <w:r w:rsidRPr="005C3B55">
              <w:t>The Ministry of Culture's view was that cultural heritage is under-represented in the RDP 2014-2020. The Ministry of Agriculture, Forestry and Food explained that the investment measures, as well as sub-measure M06.4, include the renovation of buildings among eligible costs. Measure M19 will also allow such contents to be supported.</w:t>
            </w:r>
          </w:p>
          <w:p w:rsidR="00C21266" w:rsidRPr="005C3B55" w:rsidRDefault="00C21266">
            <w:pPr>
              <w:pStyle w:val="Telobesedila"/>
              <w:rPr>
                <w:lang w:eastAsia="en-GB" w:bidi="en-GB"/>
              </w:rPr>
            </w:pPr>
          </w:p>
        </w:tc>
      </w:tr>
    </w:tbl>
    <w:p w:rsidR="00C21266" w:rsidRPr="005C3B55" w:rsidRDefault="00C21266" w:rsidP="00C21266">
      <w:pPr>
        <w:pStyle w:val="Naslov2"/>
        <w:tabs>
          <w:tab w:val="clear" w:pos="765"/>
        </w:tabs>
        <w:ind w:left="0" w:firstLine="0"/>
        <w:rPr>
          <w:b w:val="0"/>
          <w:lang w:val="en-GB" w:eastAsia="en-GB" w:bidi="en-GB"/>
        </w:rPr>
      </w:pPr>
      <w:bookmarkStart w:id="250" w:name="_Toc416192708"/>
      <w:r w:rsidRPr="005C3B55">
        <w:rPr>
          <w:b w:val="0"/>
          <w:lang w:val="en-GB"/>
        </w:rPr>
        <w:t>k) A public presentation of the Environmental report and the Appendix on Protected Areas for the RDP 2014-2020</w:t>
      </w:r>
      <w:bookmarkEnd w:id="250"/>
    </w:p>
    <w:p w:rsidR="00C21266" w:rsidRPr="005C3B55" w:rsidRDefault="00C21266" w:rsidP="00C21266">
      <w:pPr>
        <w:pStyle w:val="Naslov3"/>
        <w:tabs>
          <w:tab w:val="clear" w:pos="765"/>
        </w:tabs>
        <w:ind w:left="0" w:firstLine="0"/>
        <w:jc w:val="left"/>
        <w:rPr>
          <w:lang w:val="en-GB"/>
        </w:rPr>
      </w:pPr>
      <w:bookmarkStart w:id="251" w:name="_Toc416192709"/>
      <w:r w:rsidRPr="005C3B55">
        <w:rPr>
          <w:lang w:val="en-GB"/>
        </w:rPr>
        <w:t>Subject of the relevant consultation</w:t>
      </w:r>
      <w:bookmarkEnd w:id="251"/>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650" w:type="pct"/>
            <w:tcBorders>
              <w:top w:val="single" w:sz="8" w:space="0" w:color="000000"/>
              <w:left w:val="single" w:sz="8" w:space="0" w:color="000000"/>
              <w:bottom w:val="single" w:sz="8" w:space="0" w:color="000000"/>
              <w:right w:val="single" w:sz="8" w:space="0" w:color="000000"/>
            </w:tcBorders>
            <w:tcMar>
              <w:top w:w="60" w:type="dxa"/>
              <w:left w:w="108" w:type="dxa"/>
              <w:bottom w:w="120" w:type="dxa"/>
              <w:right w:w="108" w:type="dxa"/>
            </w:tcMar>
          </w:tcPr>
          <w:p w:rsidR="00C21266" w:rsidRPr="005C3B55" w:rsidRDefault="00C21266">
            <w:pPr>
              <w:spacing w:after="240"/>
              <w:rPr>
                <w:rFonts w:eastAsia="Calibri"/>
                <w:szCs w:val="24"/>
              </w:rPr>
            </w:pPr>
            <w:r w:rsidRPr="005C3B55">
              <w:t>On the basis of the opinion of the Environmental Impact Assessment Division, the Environment Directorate, that the Environmental report on the Rural Development Programme 2014-2020 (second amendment) and the Appendix for Protected Areas for the Rural Development Programme 2014-2020 (second amendment) are good quality and in accordance with the provisions, a one-month public presentation of both documents took place in April and May 2014, together with the Rural Development Programme 2014-2020. The comments made by the Cave Exploration Society, Herpetološko društvo – Societas Herpetologica Slovenica, DOPPS - BirdLife Slovenia, the Society for the Study and Protection of Butterflies of Slovenia, and the Institute for the Protection of Cultural Heritage of Slovenia were submitted during the public presentation.</w:t>
            </w:r>
          </w:p>
          <w:p w:rsidR="00C21266" w:rsidRPr="005C3B55" w:rsidRDefault="00C21266">
            <w:pPr>
              <w:pStyle w:val="Telobesedila"/>
              <w:rPr>
                <w:lang w:eastAsia="en-GB" w:bidi="en-GB"/>
              </w:rPr>
            </w:pPr>
          </w:p>
        </w:tc>
      </w:tr>
    </w:tbl>
    <w:p w:rsidR="00C21266" w:rsidRPr="005C3B55" w:rsidRDefault="00C21266" w:rsidP="00C21266">
      <w:pPr>
        <w:pStyle w:val="Naslov3"/>
        <w:tabs>
          <w:tab w:val="clear" w:pos="765"/>
        </w:tabs>
        <w:ind w:left="0" w:firstLine="0"/>
        <w:jc w:val="left"/>
        <w:rPr>
          <w:lang w:val="en-GB" w:eastAsia="en-GB" w:bidi="en-GB"/>
        </w:rPr>
      </w:pPr>
      <w:bookmarkStart w:id="252" w:name="_Toc416192710"/>
      <w:r w:rsidRPr="005C3B55">
        <w:rPr>
          <w:lang w:val="en-GB"/>
        </w:rPr>
        <w:t>Summary of results</w:t>
      </w:r>
      <w:bookmarkEnd w:id="252"/>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650" w:type="pct"/>
            <w:tcBorders>
              <w:top w:val="single" w:sz="8" w:space="0" w:color="000000"/>
              <w:left w:val="single" w:sz="8" w:space="0" w:color="000000"/>
              <w:bottom w:val="single" w:sz="8" w:space="0" w:color="000000"/>
              <w:right w:val="single" w:sz="8" w:space="0" w:color="000000"/>
            </w:tcBorders>
            <w:tcMar>
              <w:top w:w="60" w:type="dxa"/>
              <w:left w:w="108" w:type="dxa"/>
              <w:bottom w:w="120" w:type="dxa"/>
              <w:right w:w="108" w:type="dxa"/>
            </w:tcMar>
          </w:tcPr>
          <w:p w:rsidR="00C21266" w:rsidRPr="005C3B55" w:rsidRDefault="00C21266">
            <w:pPr>
              <w:spacing w:after="240"/>
              <w:rPr>
                <w:rFonts w:eastAsia="Calibri"/>
                <w:szCs w:val="24"/>
              </w:rPr>
            </w:pPr>
            <w:r w:rsidRPr="005C3B55">
              <w:t>All parties that provided comments during the public presentation of the Environmental report and the Appendix on protected areas were sent written replies explaining why their comments would be taken into account or not. Their comments were taken into account as much as is reasonable and by considering the legislation in force on the comprehensive assessment of environmental impacts, and also considering the latest publicly available data.</w:t>
            </w:r>
          </w:p>
          <w:p w:rsidR="00C21266" w:rsidRPr="005C3B55" w:rsidRDefault="00C21266">
            <w:pPr>
              <w:spacing w:before="240" w:after="240"/>
              <w:rPr>
                <w:szCs w:val="24"/>
              </w:rPr>
            </w:pPr>
            <w:r w:rsidRPr="005C3B55">
              <w:t>During the public presentation of the Environmental report and the Appendix for Protected Areas, a comment was also made that the impacts of RDP on nature cannot be assessed because the amount of payment was not indicated during the public presentation. All prepared documents were publicly available during the public presentation. Calculations of payments regarding measure M10 were being prepared at the time by an independent institution selected by a public procurement procedure. The reason such calculations were not yet ready during the public presentation lies mostly in harmonising the contents of the requirements of the aforementioned measure. When the calculations became available, they were presented to the partners, including partners in the field of environment protection, together with explanations on the methods of calculation.</w:t>
            </w:r>
          </w:p>
          <w:p w:rsidR="00C21266" w:rsidRPr="005C3B55" w:rsidRDefault="00C21266">
            <w:pPr>
              <w:pStyle w:val="Telobesedila"/>
              <w:rPr>
                <w:lang w:eastAsia="en-GB" w:bidi="en-GB"/>
              </w:rPr>
            </w:pPr>
          </w:p>
        </w:tc>
      </w:tr>
    </w:tbl>
    <w:p w:rsidR="00C21266" w:rsidRPr="005C3B55" w:rsidRDefault="00C21266" w:rsidP="00C21266">
      <w:pPr>
        <w:pStyle w:val="Naslov2"/>
        <w:tabs>
          <w:tab w:val="clear" w:pos="765"/>
        </w:tabs>
        <w:ind w:left="0" w:firstLine="0"/>
        <w:rPr>
          <w:b w:val="0"/>
          <w:lang w:val="en-GB" w:eastAsia="en-GB" w:bidi="en-GB"/>
        </w:rPr>
      </w:pPr>
      <w:bookmarkStart w:id="253" w:name="_Toc416192711"/>
      <w:r w:rsidRPr="005C3B55">
        <w:rPr>
          <w:b w:val="0"/>
          <w:lang w:val="en-GB"/>
        </w:rPr>
        <w:t>(Optional) explanations or additional information to the list of measures</w:t>
      </w:r>
      <w:bookmarkEnd w:id="253"/>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650" w:type="pct"/>
            <w:tcBorders>
              <w:top w:val="single" w:sz="8" w:space="0" w:color="000000"/>
              <w:left w:val="single" w:sz="8" w:space="0" w:color="000000"/>
              <w:bottom w:val="single" w:sz="8" w:space="0" w:color="000000"/>
              <w:right w:val="single" w:sz="8" w:space="0" w:color="000000"/>
            </w:tcBorders>
            <w:tcMar>
              <w:top w:w="60" w:type="dxa"/>
              <w:left w:w="108" w:type="dxa"/>
              <w:bottom w:w="120" w:type="dxa"/>
              <w:right w:w="108" w:type="dxa"/>
            </w:tcMar>
          </w:tcPr>
          <w:p w:rsidR="00C21266" w:rsidRPr="005C3B55" w:rsidRDefault="00C21266">
            <w:pPr>
              <w:spacing w:after="240"/>
              <w:rPr>
                <w:rFonts w:eastAsia="Calibri"/>
                <w:szCs w:val="24"/>
              </w:rPr>
            </w:pPr>
            <w:r w:rsidRPr="005C3B55">
              <w:t>Partnership is one of the basic principles of preparing programme documents at both the EU level and national level. Partnership can have many benefits and add value, because it contributes to the quality, suitability and efficiency of public policies, and enhances commitments to decisions and their legitimacy.</w:t>
            </w:r>
          </w:p>
          <w:p w:rsidR="00C21266" w:rsidRPr="005C3B55" w:rsidRDefault="00C21266">
            <w:pPr>
              <w:spacing w:before="240" w:after="240"/>
              <w:rPr>
                <w:szCs w:val="24"/>
              </w:rPr>
            </w:pPr>
            <w:r w:rsidRPr="005C3B55">
              <w:t>The key element of this principle is the active participation of partners in all phases of the programme cycle, from preparation, implementation and monitoring to evaluation. In accordance with Article 8 of the Regulation 240/2014/EU, during the preparation of the RDP 2014-2020, partners were also included in the preparation of the analysis and determination of needs, determination or selection of priority tasks and special objectives, allocation of funds, determination of special indicators, implementation of horizontal principles and the establishment of the Monitoring Committee. It is of great importance that those responsible for implementing the programme also have an active role in its design. The Ministry of Agriculture, Forestry and Food supports umbrella organisations and the appointment of common representatives of partners, which ensures greater representation and a more efficient partnership. The partnership principle means close cooperation between public authorities at the supra-national, national, regional and local levels, economic and social partners and civil society, including environmental partners and non-governmental organisations, and authorities responsible for encouraging equality and combating discrimination. Partnerships must also be viewed in close connection with the multi-level management approach and the principles of subsidiarity and proportionality.</w:t>
            </w:r>
          </w:p>
          <w:p w:rsidR="00C21266" w:rsidRPr="005C3B55" w:rsidRDefault="00C21266">
            <w:pPr>
              <w:spacing w:before="240" w:after="240"/>
              <w:rPr>
                <w:szCs w:val="24"/>
              </w:rPr>
            </w:pPr>
            <w:r w:rsidRPr="005C3B55">
              <w:t>The Ministry of Agriculture, Forestry and Food includes the following partners, in accordance with Article 5 of the Regulation 1303/2013/EU :</w:t>
            </w:r>
          </w:p>
          <w:p w:rsidR="00C21266" w:rsidRPr="005C3B55" w:rsidRDefault="00C21266" w:rsidP="006E20B6">
            <w:pPr>
              <w:numPr>
                <w:ilvl w:val="0"/>
                <w:numId w:val="1048"/>
              </w:numPr>
              <w:spacing w:before="240" w:after="0"/>
              <w:ind w:hanging="290"/>
              <w:jc w:val="left"/>
              <w:rPr>
                <w:szCs w:val="24"/>
              </w:rPr>
            </w:pPr>
            <w:r w:rsidRPr="005C3B55">
              <w:t>at the supra-national level: The European Commission,</w:t>
            </w:r>
          </w:p>
          <w:p w:rsidR="00C21266" w:rsidRPr="005C3B55" w:rsidRDefault="00C21266" w:rsidP="006E20B6">
            <w:pPr>
              <w:numPr>
                <w:ilvl w:val="0"/>
                <w:numId w:val="1048"/>
              </w:numPr>
              <w:spacing w:before="0" w:after="0"/>
              <w:ind w:hanging="290"/>
              <w:jc w:val="left"/>
              <w:rPr>
                <w:szCs w:val="24"/>
              </w:rPr>
            </w:pPr>
            <w:r w:rsidRPr="005C3B55">
              <w:t>public authorities at the national level: The Ministry of Labour, Family, Social Affairs and Equal Opportunities, Ministry of Economic Development and Technology, Ministry of Education, Science and Sport, Ministry of Finance, Ministry of the Environment and Spatial Planning, Ministry of Culture, Ministry of Health, the Institute of Macroeconomic Analysis and Development, the Statistical Office of the Republic of Slovenia, the Agency of the Republic of Slovenia for Agricultural Markets and Rural Development, the Slovenian Environmental Agency, the Inspectorate of the Republic of Slovenia for Agriculture and the Environment, the Administration of the Republic of Slovenia for Food Safety, Veterinary and Plant Protection, the Public Agency of the Republic of Slovenia for the Promotion of Entrepreneurship, Innovation, Development, Investment and Tourism (SPIRIT Slovenia), the Slovenian Institute for Adult Education, the Institute of the Republic of Slovenia for Nature Conservation, the Institute of the Republic of Slovenia for Vocational Education etc.,</w:t>
            </w:r>
          </w:p>
          <w:p w:rsidR="00C21266" w:rsidRPr="005C3B55" w:rsidRDefault="00C21266" w:rsidP="006E20B6">
            <w:pPr>
              <w:numPr>
                <w:ilvl w:val="0"/>
                <w:numId w:val="1048"/>
              </w:numPr>
              <w:spacing w:before="0" w:after="0"/>
              <w:ind w:hanging="290"/>
              <w:jc w:val="left"/>
              <w:rPr>
                <w:szCs w:val="24"/>
              </w:rPr>
            </w:pPr>
            <w:r w:rsidRPr="005C3B55">
              <w:t>scientific, research and educational institutions: University of Ljubljana: Biotechnical Faculty, Veterinary Faculty; Faculty of Arts, Department of Geography, University of Maribor: Faculty of Agriculture and Life Sciences, Agricultural Institute of Slovenia, Slovenian Forestry Institute, Slovenian Institute for Hop Research and Brewing, Slovenian Forestry Institute, etc.</w:t>
            </w:r>
          </w:p>
          <w:p w:rsidR="00C21266" w:rsidRPr="005C3B55" w:rsidRDefault="00C21266" w:rsidP="006E20B6">
            <w:pPr>
              <w:numPr>
                <w:ilvl w:val="0"/>
                <w:numId w:val="1048"/>
              </w:numPr>
              <w:spacing w:before="0" w:after="0"/>
              <w:ind w:hanging="290"/>
              <w:jc w:val="left"/>
              <w:rPr>
                <w:szCs w:val="24"/>
              </w:rPr>
            </w:pPr>
            <w:r w:rsidRPr="005C3B55">
              <w:t>public authorities at the regional and local level: Association of Municipalities of Slovenia, Association of Municipalities and Towns of Slovenia, Association of Regional Development Agencies of Slovenia – ZORA, Association of Regional Development Agencies – RRA GIZ, etc.,</w:t>
            </w:r>
          </w:p>
          <w:p w:rsidR="00C21266" w:rsidRPr="005C3B55" w:rsidRDefault="00C21266" w:rsidP="006E20B6">
            <w:pPr>
              <w:numPr>
                <w:ilvl w:val="0"/>
                <w:numId w:val="1048"/>
              </w:numPr>
              <w:spacing w:before="0" w:after="0"/>
              <w:ind w:hanging="290"/>
              <w:jc w:val="left"/>
              <w:rPr>
                <w:szCs w:val="24"/>
              </w:rPr>
            </w:pPr>
            <w:r w:rsidRPr="005C3B55">
              <w:t>economic and social partners: Chamber of Agriculture and Forestry of Slovenia, Chamber of Commerce and Industry of Slovenia, Cooperative Association of Slovenia, the Farmers’ Union of Slovenia, Chamber of Craft of Slovenia, Slovenian Forest Service, etc.</w:t>
            </w:r>
          </w:p>
          <w:p w:rsidR="00C21266" w:rsidRPr="005C3B55" w:rsidRDefault="00C21266" w:rsidP="006E20B6">
            <w:pPr>
              <w:numPr>
                <w:ilvl w:val="0"/>
                <w:numId w:val="1048"/>
              </w:numPr>
              <w:spacing w:before="0" w:after="240"/>
              <w:ind w:hanging="290"/>
              <w:jc w:val="left"/>
              <w:rPr>
                <w:szCs w:val="24"/>
              </w:rPr>
            </w:pPr>
            <w:r w:rsidRPr="005C3B55">
              <w:t>civil society, including environmental partners and non-governmental organisations, and authorities responsible for encouraging equality and combating discrimination: Association of Country Women, Slovenian Rural Youth Association, Slovenian Consumers’ Association, Slovenian Bee-keepers’ Association, Union of Slovenian Organic Farmers’ Association, Forest Owners’ Association, Slovenian Rural Development Society, DOPPS - BirdLife Slovenia, Institute for Sustainable Development, Society of Olive Growers of the Slovenian Istria, Association of organic food producers and processors Deteljica, Federation of Societies for Biodynamic Management AJDA-DEMETER Slovenia, Umanotera – the Slovenian Foundation for Sustainable Development, Association of Tourist Farms of Slovenia, The Plan B for Slovenia Network, local action groups, etc.</w:t>
            </w:r>
          </w:p>
          <w:p w:rsidR="00C21266" w:rsidRPr="005C3B55" w:rsidRDefault="00C21266">
            <w:pPr>
              <w:spacing w:before="240" w:after="240"/>
              <w:rPr>
                <w:szCs w:val="24"/>
              </w:rPr>
            </w:pPr>
            <w:r w:rsidRPr="005C3B55">
              <w:t>In Slovenia, the partnership principle is embedded in the preparation of all long-term development plans and programmes, including the RDP 2014-2020.</w:t>
            </w:r>
          </w:p>
          <w:p w:rsidR="00C21266" w:rsidRPr="005C3B55" w:rsidRDefault="00C21266">
            <w:pPr>
              <w:spacing w:before="240" w:after="240"/>
              <w:rPr>
                <w:szCs w:val="24"/>
              </w:rPr>
            </w:pPr>
            <w:r w:rsidRPr="005C3B55">
              <w:t>In accordance with the multi-level management approach, the representative and competent partners are included in the preparation of the Partnership Agreement and in the preparation and implementation, monitoring and evaluation of the RDP 2014-2020, and also within the framework of the RDP 2014-2020 Monitoring Committee.</w:t>
            </w:r>
          </w:p>
          <w:p w:rsidR="00C21266" w:rsidRPr="005C3B55" w:rsidRDefault="00C21266">
            <w:pPr>
              <w:spacing w:before="240" w:after="240"/>
              <w:rPr>
                <w:szCs w:val="24"/>
              </w:rPr>
            </w:pPr>
            <w:r w:rsidRPr="005C3B55">
              <w:t>Organisations and institutions active in the field of rural development are also included in the national Rural Network, with the aim of strengthening their role in the process of designing, implementing and monitoring the RDP 2014-2020 and with the aim of improving the quality of the programme. With the purpose of the greater inclusion of stakeholders in the preparation of documents in the field of rural development policy, the Network organises various activities which encourage active participation and ensure feedback for better implementation of the programme.</w:t>
            </w:r>
          </w:p>
          <w:p w:rsidR="00C21266" w:rsidRPr="005C3B55" w:rsidRDefault="00C21266">
            <w:pPr>
              <w:spacing w:before="240" w:after="240"/>
              <w:rPr>
                <w:szCs w:val="24"/>
              </w:rPr>
            </w:pPr>
            <w:r w:rsidRPr="005C3B55">
              <w:t>The MAFF has been including social partners and expert and general public into its activities since the issue of the proposal of the European legislations for the 2014-2020 programme period and proposal of the CAP to 2020. A public discussion, consultations and different presentations of the CAP reform by 2020 was organised where also the rural development field was emphasised.</w:t>
            </w:r>
          </w:p>
          <w:p w:rsidR="00C21266" w:rsidRPr="005C3B55" w:rsidRDefault="00C21266">
            <w:pPr>
              <w:spacing w:before="240" w:after="240"/>
              <w:rPr>
                <w:szCs w:val="24"/>
              </w:rPr>
            </w:pPr>
            <w:r w:rsidRPr="005C3B55">
              <w:t>The MA maintains an open and transparent dialogue with the public. The public had free access via the Internet to the contents and document being prepared during the drafting of the RDP 2014-2020. Moreover, conclusions made at the events and notifications on the performance of certain activities were also published on a special web site of the Rural development Programme; they were also disseminated via a weekly e-newsletter. Information on events was provided on time, which allowed for a suitable discussion. The partnership process will continue within the framework of implementing and evaluating the RDP 2014-2020. After the European Commission confirms the RDP 2014-2020, a Monitoring Committee for the RDP 2014-2020 will be established, which will comprise key partners that also participated in preparing the RDP 2014-2020. This will ensure continuity between the planning phase and the implementation and evaluation phases, continuing and strengthening the partnership.</w:t>
            </w:r>
          </w:p>
          <w:p w:rsidR="00C21266" w:rsidRPr="005C3B55" w:rsidRDefault="00C21266">
            <w:pPr>
              <w:pStyle w:val="Telobesedila"/>
              <w:rPr>
                <w:lang w:eastAsia="en-GB" w:bidi="en-GB"/>
              </w:rPr>
            </w:pPr>
          </w:p>
        </w:tc>
      </w:tr>
    </w:tbl>
    <w:p w:rsidR="00C21266" w:rsidRPr="005C3B55" w:rsidRDefault="00C21266" w:rsidP="00C21266">
      <w:pPr>
        <w:spacing w:after="0"/>
        <w:sectPr w:rsidR="00C21266" w:rsidRPr="005C3B55">
          <w:pgSz w:w="12240" w:h="15840"/>
          <w:pgMar w:top="900" w:right="900" w:bottom="900" w:left="900" w:header="708" w:footer="708" w:gutter="0"/>
          <w:cols w:space="708"/>
        </w:sectPr>
      </w:pPr>
    </w:p>
    <w:p w:rsidR="00C21266" w:rsidRPr="005C3B55" w:rsidRDefault="00C21266" w:rsidP="00C21266">
      <w:pPr>
        <w:pStyle w:val="Naslov1"/>
        <w:rPr>
          <w:b w:val="0"/>
          <w:lang w:val="en-GB" w:eastAsia="en-GB" w:bidi="en-GB"/>
        </w:rPr>
      </w:pPr>
      <w:bookmarkStart w:id="254" w:name="_Toc416192712"/>
      <w:r w:rsidRPr="005C3B55">
        <w:rPr>
          <w:lang w:val="en-GB"/>
        </w:rPr>
        <w:t>National Rural Network</w:t>
      </w:r>
      <w:bookmarkEnd w:id="254"/>
    </w:p>
    <w:p w:rsidR="00C21266" w:rsidRPr="005C3B55" w:rsidRDefault="00C21266" w:rsidP="00C21266">
      <w:pPr>
        <w:pStyle w:val="Naslov2"/>
        <w:tabs>
          <w:tab w:val="clear" w:pos="765"/>
        </w:tabs>
        <w:ind w:left="0" w:firstLine="0"/>
        <w:rPr>
          <w:lang w:val="en-GB"/>
        </w:rPr>
      </w:pPr>
      <w:bookmarkStart w:id="255" w:name="_Toc416192713"/>
      <w:r w:rsidRPr="005C3B55">
        <w:rPr>
          <w:lang w:val="en-GB"/>
        </w:rPr>
        <w:t>Procedure and time schedule for establishing of the National Rural Network</w:t>
      </w:r>
      <w:bookmarkEnd w:id="255"/>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650" w:type="pct"/>
            <w:tcBorders>
              <w:top w:val="single" w:sz="8" w:space="0" w:color="000000"/>
              <w:left w:val="single" w:sz="8" w:space="0" w:color="000000"/>
              <w:bottom w:val="single" w:sz="8" w:space="0" w:color="000000"/>
              <w:right w:val="single" w:sz="8" w:space="0" w:color="000000"/>
            </w:tcBorders>
            <w:tcMar>
              <w:top w:w="60" w:type="dxa"/>
              <w:left w:w="108" w:type="dxa"/>
              <w:bottom w:w="120" w:type="dxa"/>
              <w:right w:w="108" w:type="dxa"/>
            </w:tcMar>
          </w:tcPr>
          <w:p w:rsidR="00C21266" w:rsidRPr="005C3B55" w:rsidRDefault="00C21266">
            <w:pPr>
              <w:spacing w:after="240"/>
              <w:rPr>
                <w:rFonts w:eastAsia="Calibri"/>
                <w:szCs w:val="24"/>
              </w:rPr>
            </w:pPr>
            <w:r w:rsidRPr="005C3B55">
              <w:t>The National Rural Network was established with a public appeal to affiliate to the Network in April 2008. Individuals and organisations may register in the Network base to cooperate in the Network activities or only to receive electronic Network news.</w:t>
            </w:r>
          </w:p>
          <w:p w:rsidR="00C21266" w:rsidRPr="005C3B55" w:rsidRDefault="00C21266">
            <w:pPr>
              <w:spacing w:before="240" w:after="240"/>
              <w:rPr>
                <w:szCs w:val="24"/>
              </w:rPr>
            </w:pPr>
            <w:r w:rsidRPr="005C3B55">
              <w:t>Members state their field of interest upon registering in the Network base, on the basis of which they receive a more directed information. The fields of interest are: agriculture, forestry, processing of agricultural and forestry products, safety and quality of food, environment protection, arrangement of agricultural and rural areas, LEADER, diversification into the non-agricultural activities, entrepreneurship, comprehensive rural development, tourism, etc.</w:t>
            </w:r>
          </w:p>
          <w:p w:rsidR="00C21266" w:rsidRPr="005C3B55" w:rsidRDefault="00C21266">
            <w:pPr>
              <w:spacing w:before="240" w:after="240"/>
              <w:rPr>
                <w:szCs w:val="24"/>
              </w:rPr>
            </w:pPr>
            <w:r w:rsidRPr="005C3B55">
              <w:t>The Network connects the following partners at the national and international level:</w:t>
            </w:r>
          </w:p>
          <w:p w:rsidR="00C21266" w:rsidRPr="005C3B55" w:rsidRDefault="00C21266" w:rsidP="006E20B6">
            <w:pPr>
              <w:numPr>
                <w:ilvl w:val="0"/>
                <w:numId w:val="1049"/>
              </w:numPr>
              <w:spacing w:before="240" w:after="0"/>
              <w:ind w:hanging="290"/>
              <w:jc w:val="left"/>
              <w:rPr>
                <w:szCs w:val="24"/>
              </w:rPr>
            </w:pPr>
            <w:r w:rsidRPr="005C3B55">
              <w:t>public authorities at the national level;</w:t>
            </w:r>
          </w:p>
          <w:p w:rsidR="00C21266" w:rsidRPr="005C3B55" w:rsidRDefault="00C21266" w:rsidP="006E20B6">
            <w:pPr>
              <w:numPr>
                <w:ilvl w:val="0"/>
                <w:numId w:val="1049"/>
              </w:numPr>
              <w:spacing w:before="0" w:after="0"/>
              <w:ind w:hanging="290"/>
              <w:jc w:val="left"/>
              <w:rPr>
                <w:szCs w:val="24"/>
              </w:rPr>
            </w:pPr>
            <w:r w:rsidRPr="005C3B55">
              <w:t>scientific, research and educational institutions;</w:t>
            </w:r>
          </w:p>
          <w:p w:rsidR="00C21266" w:rsidRPr="005C3B55" w:rsidRDefault="00C21266" w:rsidP="006E20B6">
            <w:pPr>
              <w:numPr>
                <w:ilvl w:val="0"/>
                <w:numId w:val="1049"/>
              </w:numPr>
              <w:spacing w:before="0" w:after="0"/>
              <w:ind w:hanging="290"/>
              <w:jc w:val="left"/>
              <w:rPr>
                <w:szCs w:val="24"/>
              </w:rPr>
            </w:pPr>
            <w:r w:rsidRPr="005C3B55">
              <w:t>public authorities at the regional and local level;</w:t>
            </w:r>
          </w:p>
          <w:p w:rsidR="00C21266" w:rsidRPr="005C3B55" w:rsidRDefault="00C21266" w:rsidP="006E20B6">
            <w:pPr>
              <w:numPr>
                <w:ilvl w:val="0"/>
                <w:numId w:val="1049"/>
              </w:numPr>
              <w:spacing w:before="0" w:after="0"/>
              <w:ind w:hanging="290"/>
              <w:jc w:val="left"/>
              <w:rPr>
                <w:szCs w:val="24"/>
              </w:rPr>
            </w:pPr>
            <w:r w:rsidRPr="005C3B55">
              <w:t>economic and social partners;</w:t>
            </w:r>
          </w:p>
          <w:p w:rsidR="00C21266" w:rsidRPr="005C3B55" w:rsidRDefault="00C21266" w:rsidP="006E20B6">
            <w:pPr>
              <w:numPr>
                <w:ilvl w:val="0"/>
                <w:numId w:val="1049"/>
              </w:numPr>
              <w:spacing w:before="0" w:after="0"/>
              <w:ind w:hanging="290"/>
              <w:jc w:val="left"/>
              <w:rPr>
                <w:szCs w:val="24"/>
              </w:rPr>
            </w:pPr>
            <w:r w:rsidRPr="005C3B55">
              <w:t>civil society, including environmental partners and non-governmental organisations, and authorities responsible for encouraging equality and combating discrimination; and</w:t>
            </w:r>
          </w:p>
          <w:p w:rsidR="00C21266" w:rsidRPr="005C3B55" w:rsidRDefault="00C21266" w:rsidP="006E20B6">
            <w:pPr>
              <w:numPr>
                <w:ilvl w:val="0"/>
                <w:numId w:val="1049"/>
              </w:numPr>
              <w:spacing w:before="0" w:after="240"/>
              <w:ind w:hanging="290"/>
              <w:jc w:val="left"/>
              <w:rPr>
                <w:szCs w:val="24"/>
              </w:rPr>
            </w:pPr>
            <w:r w:rsidRPr="005C3B55">
              <w:t xml:space="preserve">other organisations and managements participating in the rural development. </w:t>
            </w:r>
          </w:p>
          <w:p w:rsidR="00C21266" w:rsidRPr="005C3B55" w:rsidRDefault="00C21266">
            <w:pPr>
              <w:spacing w:before="240" w:after="240"/>
              <w:rPr>
                <w:szCs w:val="24"/>
              </w:rPr>
            </w:pPr>
            <w:r w:rsidRPr="005C3B55">
              <w:t>In order to provide the continuity of Network operation in the 2014-2020 period, the Network is not established anew, but keeps its structure with some organisational changes. The implementation of the Action and Communication Plan of the Network for the 2014-2020 period starts in twelve months after the confirmation of the programme at the latest.</w:t>
            </w:r>
          </w:p>
          <w:p w:rsidR="00C21266" w:rsidRPr="005C3B55" w:rsidRDefault="00C21266">
            <w:pPr>
              <w:pStyle w:val="Telobesedila"/>
              <w:rPr>
                <w:lang w:eastAsia="en-GB" w:bidi="en-GB"/>
              </w:rPr>
            </w:pPr>
          </w:p>
        </w:tc>
      </w:tr>
    </w:tbl>
    <w:p w:rsidR="00C21266" w:rsidRPr="005C3B55" w:rsidRDefault="00C21266" w:rsidP="00C21266">
      <w:pPr>
        <w:pStyle w:val="Naslov2"/>
        <w:tabs>
          <w:tab w:val="clear" w:pos="765"/>
        </w:tabs>
        <w:ind w:left="0" w:firstLine="0"/>
        <w:rPr>
          <w:lang w:val="en-GB" w:eastAsia="en-GB" w:bidi="en-GB"/>
        </w:rPr>
      </w:pPr>
      <w:bookmarkStart w:id="256" w:name="_Toc416192714"/>
      <w:r w:rsidRPr="005C3B55">
        <w:rPr>
          <w:lang w:val="en-GB"/>
        </w:rPr>
        <w:t>Planned Network organisation, in particular the manner of integrating organisations and managements participating in the rural development, including partners, pursuant to Article 54(1) of Regulation (EU) No 1305/2013 and how the cooperation activities will be promoted</w:t>
      </w:r>
      <w:bookmarkEnd w:id="256"/>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8"/>
      </w:tblGrid>
      <w:tr w:rsidR="00C21266" w:rsidRPr="005C3B55">
        <w:tc>
          <w:tcPr>
            <w:tcW w:w="650" w:type="pct"/>
            <w:tcBorders>
              <w:top w:val="single" w:sz="8" w:space="0" w:color="000000"/>
              <w:left w:val="single" w:sz="8" w:space="0" w:color="000000"/>
              <w:bottom w:val="single" w:sz="8" w:space="0" w:color="000000"/>
              <w:right w:val="single" w:sz="8" w:space="0" w:color="000000"/>
            </w:tcBorders>
            <w:tcMar>
              <w:top w:w="60" w:type="dxa"/>
              <w:left w:w="108" w:type="dxa"/>
              <w:bottom w:w="120" w:type="dxa"/>
              <w:right w:w="108" w:type="dxa"/>
            </w:tcMar>
          </w:tcPr>
          <w:p w:rsidR="00C21266" w:rsidRPr="005C3B55" w:rsidRDefault="00C21266">
            <w:pPr>
              <w:spacing w:after="240"/>
              <w:rPr>
                <w:rFonts w:eastAsia="Calibri"/>
                <w:szCs w:val="24"/>
              </w:rPr>
            </w:pPr>
            <w:r w:rsidRPr="005C3B55">
              <w:t>Pursuant to Point 3(a) of Article 54 of Regulation (EU) No 1305/2013 the EAFRD support is used to establish and operation of the structure needed for the Network operation. The following structures/elements of the Network must be established and provided for the Network operation in Slovenia:</w:t>
            </w:r>
          </w:p>
          <w:p w:rsidR="00C21266" w:rsidRPr="005C3B55" w:rsidRDefault="00C21266" w:rsidP="006E20B6">
            <w:pPr>
              <w:numPr>
                <w:ilvl w:val="0"/>
                <w:numId w:val="1050"/>
              </w:numPr>
              <w:spacing w:before="240" w:after="0"/>
              <w:ind w:hanging="290"/>
              <w:jc w:val="left"/>
              <w:rPr>
                <w:szCs w:val="24"/>
              </w:rPr>
            </w:pPr>
            <w:r w:rsidRPr="005C3B55">
              <w:t>Network base: comprising of members who are organisations and individuals under a voluntary and free-of-charge membership into the Network base; the record has to be kept and new memberships promoted;</w:t>
            </w:r>
          </w:p>
          <w:p w:rsidR="00C21266" w:rsidRPr="005C3B55" w:rsidRDefault="00C21266" w:rsidP="006E20B6">
            <w:pPr>
              <w:numPr>
                <w:ilvl w:val="0"/>
                <w:numId w:val="1050"/>
              </w:numPr>
              <w:spacing w:before="0" w:after="0"/>
              <w:ind w:hanging="290"/>
              <w:jc w:val="left"/>
              <w:rPr>
                <w:szCs w:val="24"/>
              </w:rPr>
            </w:pPr>
            <w:r w:rsidRPr="005C3B55">
              <w:t>support unit of the Rural Network (hereinafter referred to as: Network Support Unit): implements and coordinates activities and tasks of the Network and operates within the MA; the employees in the MA need to be provided;</w:t>
            </w:r>
          </w:p>
          <w:p w:rsidR="00C21266" w:rsidRPr="005C3B55" w:rsidRDefault="00C21266" w:rsidP="006E20B6">
            <w:pPr>
              <w:numPr>
                <w:ilvl w:val="0"/>
                <w:numId w:val="1050"/>
              </w:numPr>
              <w:spacing w:before="0" w:after="0"/>
              <w:ind w:hanging="290"/>
              <w:jc w:val="left"/>
              <w:rPr>
                <w:szCs w:val="24"/>
              </w:rPr>
            </w:pPr>
            <w:r w:rsidRPr="005C3B55">
              <w:t>The Steering Group of the Rural Network (hereinafter referred to as: Network Steering Group); provides outlines for the Network operation and thus presents or represents various groups/areas; the president of this group is a representative of the MA who takes care of operation;</w:t>
            </w:r>
          </w:p>
          <w:p w:rsidR="00C21266" w:rsidRPr="005C3B55" w:rsidRDefault="00C21266" w:rsidP="006E20B6">
            <w:pPr>
              <w:numPr>
                <w:ilvl w:val="0"/>
                <w:numId w:val="1050"/>
              </w:numPr>
              <w:spacing w:before="0" w:after="240"/>
              <w:ind w:hanging="290"/>
              <w:jc w:val="left"/>
              <w:rPr>
                <w:szCs w:val="24"/>
              </w:rPr>
            </w:pPr>
            <w:r w:rsidRPr="005C3B55">
              <w:t>thematic working groups: as support to different areas/activities of the Network; the MA promotes the establishment, proposes establishment and if necessary provides the support for the operation of such thematic group.</w:t>
            </w:r>
          </w:p>
          <w:p w:rsidR="00C21266" w:rsidRPr="005C3B55" w:rsidRDefault="00C21266">
            <w:pPr>
              <w:spacing w:before="240" w:after="240"/>
              <w:rPr>
                <w:szCs w:val="24"/>
              </w:rPr>
            </w:pPr>
            <w:r w:rsidRPr="005C3B55">
              <w:t>The National Network thus combines institutions, organisations, groups and individuals which operate in the field of rural development; the partnerships under the Article 5 of Regulation (EU) No 1303/2013 are also included in the Network. The Network Support Unit provides the structure which promotes the process of networking and cooperation of interested parties, which is an objective of the integration into the Network (networking is a process of exchanging and disseminating information, practices, experience, etc.).</w:t>
            </w:r>
          </w:p>
          <w:p w:rsidR="00C21266" w:rsidRPr="005C3B55" w:rsidRDefault="00C21266">
            <w:pPr>
              <w:spacing w:before="240" w:after="240"/>
              <w:rPr>
                <w:szCs w:val="24"/>
              </w:rPr>
            </w:pPr>
            <w:r w:rsidRPr="005C3B55">
              <w:t>The Membership in the Network is voluntary and open for all organisations and individuals. The Network Support Unit and members work to expand the membership. The Network members are informed on the activities, stimulated to propose activities and proposals for improving the Network operation and invited to active participation in the Network (e.g. implementation of certain activities, etc.). The Network activities are open and also available to individuals and organisations not registered in the Network base.</w:t>
            </w:r>
          </w:p>
          <w:p w:rsidR="00C21266" w:rsidRPr="005C3B55" w:rsidRDefault="00C21266">
            <w:pPr>
              <w:spacing w:before="240" w:after="240"/>
              <w:rPr>
                <w:szCs w:val="24"/>
              </w:rPr>
            </w:pPr>
            <w:r w:rsidRPr="005C3B55">
              <w:t>The Network tasks and activities are implemented to be coordinated by the Network Support Unit within the scope of Management Support Team within the MA, which is responsible for establishment and operation of the Network. The main tasks of the Network Support Unit are mostly to prepare Network materials and acts, implementation of the activities determined in the annual Network plans, provision of information to partners, potential beneficiaries, Network base management, activities related to the Network monitoring and evaluation, support to the operation of the Network Steering Group. The Network Support Unit stimulates or promotes the process of networking and cooperation of the interested parties. The foundation of the Network Support Unit does not establish the Network as such, but it also includes the members who are registered in the Network base, members of the Network Steering Group and members of the thematic working groups.</w:t>
            </w:r>
          </w:p>
          <w:p w:rsidR="00C21266" w:rsidRPr="005C3B55" w:rsidRDefault="00C21266">
            <w:pPr>
              <w:spacing w:before="240" w:after="240"/>
              <w:rPr>
                <w:szCs w:val="24"/>
              </w:rPr>
            </w:pPr>
            <w:r w:rsidRPr="005C3B55">
              <w:t xml:space="preserve">The </w:t>
            </w:r>
            <w:r w:rsidRPr="005C3B55">
              <w:rPr>
                <w:b/>
              </w:rPr>
              <w:t>Network Steering Group</w:t>
            </w:r>
            <w:r w:rsidRPr="005C3B55">
              <w:t xml:space="preserve"> was established with the purpose to provide outlines within the scope of the RDP 2007-2013. It was appointed by the minister, competent for agriculture (hereinafter referred to as : Network Steering Group). On the basis of positive experience of operation , the work of this group will continue and strengthen also within the scope of the RDP 2014-2020. The Network Steering Group comprises of the members of MA, Paying Agency, governmental offices, offices and institutes, economic and social partners, non-governmental organisations and local communities, representatives of local action groups and according to the theme and needs also the representatives of other organisations or groups are invited to the meetings of the Steering Group. The Network Steering Group organised meeting as necessary, but at least twice a year.</w:t>
            </w:r>
          </w:p>
          <w:p w:rsidR="00C21266" w:rsidRPr="005C3B55" w:rsidRDefault="00C21266">
            <w:pPr>
              <w:spacing w:before="240" w:after="240"/>
              <w:rPr>
                <w:szCs w:val="24"/>
              </w:rPr>
            </w:pPr>
            <w:r w:rsidRPr="005C3B55">
              <w:t>The main tasks of the Network Steering Group are mainly the following:</w:t>
            </w:r>
          </w:p>
          <w:p w:rsidR="00C21266" w:rsidRPr="005C3B55" w:rsidRDefault="00C21266" w:rsidP="006E20B6">
            <w:pPr>
              <w:numPr>
                <w:ilvl w:val="0"/>
                <w:numId w:val="1051"/>
              </w:numPr>
              <w:spacing w:before="240" w:after="0"/>
              <w:ind w:hanging="290"/>
              <w:jc w:val="left"/>
              <w:rPr>
                <w:szCs w:val="24"/>
              </w:rPr>
            </w:pPr>
            <w:r w:rsidRPr="005C3B55">
              <w:t>offering proposals for improving the implementation of activities and operation of the Network;</w:t>
            </w:r>
          </w:p>
          <w:p w:rsidR="00C21266" w:rsidRPr="005C3B55" w:rsidRDefault="00C21266" w:rsidP="006E20B6">
            <w:pPr>
              <w:numPr>
                <w:ilvl w:val="0"/>
                <w:numId w:val="1051"/>
              </w:numPr>
              <w:spacing w:before="0" w:after="0"/>
              <w:ind w:hanging="290"/>
              <w:jc w:val="left"/>
              <w:rPr>
                <w:szCs w:val="24"/>
              </w:rPr>
            </w:pPr>
            <w:r w:rsidRPr="005C3B55">
              <w:t>offering proposals to the materials and acts of the Network;</w:t>
            </w:r>
          </w:p>
          <w:p w:rsidR="00C21266" w:rsidRPr="005C3B55" w:rsidRDefault="00C21266" w:rsidP="006E20B6">
            <w:pPr>
              <w:numPr>
                <w:ilvl w:val="0"/>
                <w:numId w:val="1051"/>
              </w:numPr>
              <w:spacing w:before="0" w:after="0"/>
              <w:ind w:hanging="290"/>
              <w:jc w:val="left"/>
              <w:rPr>
                <w:szCs w:val="24"/>
              </w:rPr>
            </w:pPr>
            <w:r w:rsidRPr="005C3B55">
              <w:t xml:space="preserve">offering proposals for the establishing of thematic working groups; </w:t>
            </w:r>
          </w:p>
          <w:p w:rsidR="00C21266" w:rsidRPr="005C3B55" w:rsidRDefault="00C21266" w:rsidP="006E20B6">
            <w:pPr>
              <w:numPr>
                <w:ilvl w:val="0"/>
                <w:numId w:val="1051"/>
              </w:numPr>
              <w:spacing w:before="0" w:after="0"/>
              <w:ind w:hanging="290"/>
              <w:jc w:val="left"/>
              <w:rPr>
                <w:szCs w:val="24"/>
              </w:rPr>
            </w:pPr>
            <w:r w:rsidRPr="005C3B55">
              <w:t>providing dissemination and exchange of information, practices, knowledge, etc. in the field of rural development between the Network members, organisations and individuals;</w:t>
            </w:r>
          </w:p>
          <w:p w:rsidR="00C21266" w:rsidRPr="005C3B55" w:rsidRDefault="00C21266" w:rsidP="006E20B6">
            <w:pPr>
              <w:numPr>
                <w:ilvl w:val="0"/>
                <w:numId w:val="1051"/>
              </w:numPr>
              <w:spacing w:before="0" w:after="0"/>
              <w:ind w:hanging="290"/>
              <w:jc w:val="left"/>
              <w:rPr>
                <w:szCs w:val="24"/>
              </w:rPr>
            </w:pPr>
            <w:r w:rsidRPr="005C3B55">
              <w:t>providing the content, data and information for the preparation of materials, workshops, events, etc.;</w:t>
            </w:r>
          </w:p>
          <w:p w:rsidR="00C21266" w:rsidRPr="005C3B55" w:rsidRDefault="00C21266" w:rsidP="006E20B6">
            <w:pPr>
              <w:numPr>
                <w:ilvl w:val="0"/>
                <w:numId w:val="1051"/>
              </w:numPr>
              <w:spacing w:before="0" w:after="0"/>
              <w:ind w:hanging="290"/>
              <w:jc w:val="left"/>
              <w:rPr>
                <w:szCs w:val="24"/>
              </w:rPr>
            </w:pPr>
            <w:r w:rsidRPr="005C3B55">
              <w:t xml:space="preserve">offering the support for monitoring and evaluation of the implemented activities; </w:t>
            </w:r>
          </w:p>
          <w:p w:rsidR="00C21266" w:rsidRPr="005C3B55" w:rsidRDefault="00C21266" w:rsidP="006E20B6">
            <w:pPr>
              <w:numPr>
                <w:ilvl w:val="0"/>
                <w:numId w:val="1051"/>
              </w:numPr>
              <w:spacing w:before="0" w:after="240"/>
              <w:ind w:hanging="290"/>
              <w:jc w:val="left"/>
              <w:rPr>
                <w:szCs w:val="24"/>
              </w:rPr>
            </w:pPr>
            <w:r w:rsidRPr="005C3B55">
              <w:t>cooperating in the Network activities.</w:t>
            </w:r>
          </w:p>
          <w:p w:rsidR="00C21266" w:rsidRPr="005C3B55" w:rsidRDefault="00C21266">
            <w:pPr>
              <w:spacing w:before="240" w:after="240"/>
              <w:rPr>
                <w:szCs w:val="24"/>
              </w:rPr>
            </w:pPr>
            <w:r w:rsidRPr="005C3B55">
              <w:t xml:space="preserve">Special thematic working groups may be established within the scope of the Network where representatives of individual thematic fields may cooperate. Apart from providing the networking and experience and information exchange, the purpose of thematic working groups is also to search for solutions to open questions, prepare the proposals for improving the implementation of the RDP 2014-2020 for individual areas, provide adequate analyses for materials and acts, etc. </w:t>
            </w:r>
          </w:p>
          <w:p w:rsidR="00C21266" w:rsidRPr="005C3B55" w:rsidRDefault="00C21266">
            <w:pPr>
              <w:spacing w:before="240" w:after="240"/>
              <w:rPr>
                <w:szCs w:val="24"/>
              </w:rPr>
            </w:pPr>
            <w:r w:rsidRPr="005C3B55">
              <w:t>The control over the operation and implementation of the Network tasks is conducted by the Head of the MA and the Monitoring Committee of the RDP 2014-2020. The Network Support Unit regularly reports on the implemented activities. For this purpose the annual report is prepared on the implemented activities of the Network for an individual year.</w:t>
            </w:r>
          </w:p>
          <w:p w:rsidR="00C21266" w:rsidRPr="005C3B55" w:rsidRDefault="00C21266">
            <w:pPr>
              <w:spacing w:before="240" w:after="240"/>
              <w:rPr>
                <w:szCs w:val="24"/>
              </w:rPr>
            </w:pPr>
            <w:r w:rsidRPr="005C3B55">
              <w:t>Specific tasks or activities of the Network may be implemented within the scope of the Network Support Unit, through external contractors (awarded through the public procurement system) and through the Network members. The implementation aspect of activities or tasks will be defined in detail in the annual implementation plan of the Network for an individual year.</w:t>
            </w:r>
          </w:p>
          <w:p w:rsidR="00C21266" w:rsidRPr="005C3B55" w:rsidRDefault="00C21266">
            <w:pPr>
              <w:spacing w:before="240" w:after="240"/>
              <w:rPr>
                <w:szCs w:val="24"/>
              </w:rPr>
            </w:pPr>
            <w:r w:rsidRPr="005C3B55">
              <w:t xml:space="preserve">Activities and tasks implemented according to the demands for the implementation of Technical assistance, legislative framework of the EU and Republic of Slovenia as well as internal acts of the managing authority. </w:t>
            </w:r>
          </w:p>
          <w:p w:rsidR="00C21266" w:rsidRPr="005C3B55" w:rsidRDefault="00C21266">
            <w:pPr>
              <w:spacing w:before="240" w:after="240"/>
              <w:rPr>
                <w:szCs w:val="24"/>
              </w:rPr>
            </w:pPr>
            <w:r w:rsidRPr="005C3B55">
              <w:t>The manner of integration of organisations, administrations and partners in the field of the rural development in the Network is implemented through stimulation of active integration in the implementation of activities, offering proposals of activities and outlines of the Network, integration in thematic working groups, information on the content and events relating to the RDP. Key partners in the field of rural development and policy are also included in the Network Steering Group. The Partnership under Article 5 of Regulation (EU) No 130/2013, which is also a part of the Network, integrates in the field of information and publicity (transfer of information and publicity on the established Network). Through the system of electronic messages and updating of web pages they are informed about the changes and novelties in the field of RDP and other activities or content. Organisations, administrations and partners in the field of the rural development are integrated in the system of Network communication by informing new members through their own communication channels and tools and thus providing wider types of information (larger range of target groups) and exchange of information stimulated also between the partners.</w:t>
            </w:r>
          </w:p>
          <w:p w:rsidR="00C21266" w:rsidRPr="005C3B55" w:rsidRDefault="00C21266">
            <w:pPr>
              <w:pStyle w:val="Telobesedila"/>
            </w:pPr>
          </w:p>
          <w:p w:rsidR="00C21266" w:rsidRPr="005C3B55" w:rsidRDefault="0012246E">
            <w:pPr>
              <w:pStyle w:val="Telobesedila3"/>
              <w:jc w:val="left"/>
            </w:pPr>
            <w:r w:rsidRPr="005C3B55">
              <w:rPr>
                <w:noProof/>
                <w:lang w:val="sl-SI"/>
              </w:rPr>
              <w:drawing>
                <wp:inline distT="0" distB="0" distL="0" distR="0">
                  <wp:extent cx="6629400" cy="6753225"/>
                  <wp:effectExtent l="0" t="0" r="0" b="9525"/>
                  <wp:docPr id="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629400" cy="6753225"/>
                          </a:xfrm>
                          <a:prstGeom prst="rect">
                            <a:avLst/>
                          </a:prstGeom>
                          <a:noFill/>
                          <a:ln>
                            <a:noFill/>
                          </a:ln>
                        </pic:spPr>
                      </pic:pic>
                    </a:graphicData>
                  </a:graphic>
                </wp:inline>
              </w:drawing>
            </w:r>
          </w:p>
          <w:p w:rsidR="00C21266" w:rsidRPr="005C3B55" w:rsidRDefault="00C21266">
            <w:pPr>
              <w:pStyle w:val="Noga"/>
              <w:spacing w:after="120"/>
              <w:jc w:val="center"/>
            </w:pPr>
            <w:r w:rsidRPr="005C3B55">
              <w:t>Rural Network</w:t>
            </w:r>
          </w:p>
          <w:p w:rsidR="00C21266" w:rsidRPr="005C3B55" w:rsidRDefault="00C21266">
            <w:pPr>
              <w:pStyle w:val="Noga"/>
              <w:jc w:val="center"/>
              <w:rPr>
                <w:lang w:eastAsia="en-GB" w:bidi="en-GB"/>
              </w:rPr>
            </w:pPr>
          </w:p>
        </w:tc>
      </w:tr>
    </w:tbl>
    <w:p w:rsidR="00C21266" w:rsidRPr="005C3B55" w:rsidRDefault="00C21266" w:rsidP="00C21266">
      <w:pPr>
        <w:pStyle w:val="Naslov2"/>
        <w:tabs>
          <w:tab w:val="clear" w:pos="765"/>
        </w:tabs>
        <w:ind w:left="0" w:firstLine="0"/>
        <w:rPr>
          <w:lang w:val="en-GB" w:eastAsia="en-GB" w:bidi="en-GB"/>
        </w:rPr>
      </w:pPr>
      <w:bookmarkStart w:id="257" w:name="_Toc416192715"/>
      <w:r w:rsidRPr="005C3B55">
        <w:rPr>
          <w:lang w:val="en-GB"/>
        </w:rPr>
        <w:t>Short description of the main categories of activities of the National Rural Network according to the programme objectives</w:t>
      </w:r>
      <w:bookmarkEnd w:id="257"/>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650" w:type="pct"/>
            <w:tcBorders>
              <w:top w:val="single" w:sz="8" w:space="0" w:color="000000"/>
              <w:left w:val="single" w:sz="8" w:space="0" w:color="000000"/>
              <w:bottom w:val="single" w:sz="8" w:space="0" w:color="000000"/>
              <w:right w:val="single" w:sz="8" w:space="0" w:color="000000"/>
            </w:tcBorders>
            <w:tcMar>
              <w:top w:w="60" w:type="dxa"/>
              <w:left w:w="108" w:type="dxa"/>
              <w:bottom w:w="120" w:type="dxa"/>
              <w:right w:w="108" w:type="dxa"/>
            </w:tcMar>
          </w:tcPr>
          <w:p w:rsidR="00C21266" w:rsidRPr="005C3B55" w:rsidRDefault="00C21266">
            <w:pPr>
              <w:spacing w:after="240"/>
              <w:rPr>
                <w:rFonts w:eastAsia="Calibri"/>
                <w:szCs w:val="24"/>
              </w:rPr>
            </w:pPr>
            <w:r w:rsidRPr="005C3B55">
              <w:t>The Mission of the Network is to provide and promote networking between the interested parties working in the field of the rural development. The mission of the Network is also to provide and establish the communication process related to the rural development.</w:t>
            </w:r>
          </w:p>
          <w:p w:rsidR="00C21266" w:rsidRPr="005C3B55" w:rsidRDefault="00C21266">
            <w:pPr>
              <w:spacing w:before="240" w:after="240"/>
              <w:rPr>
                <w:szCs w:val="24"/>
              </w:rPr>
            </w:pPr>
            <w:r w:rsidRPr="005C3B55">
              <w:rPr>
                <w:b/>
              </w:rPr>
              <w:t>Strategic orientation of the Network</w:t>
            </w:r>
            <w:r w:rsidRPr="005C3B55">
              <w:t xml:space="preserve"> is the support for the implementation of the RDP 2014-2020 which means to operate in the direction of providing and promoting a more quality implementation of the RDP 2014-2020 through different activities and tools within the managing authority as well as in terms of partners operating in the field of rural development. In implementing the activities and applying the tools, the Network follows the rural development policy and provides answers to the needs indicated in the analysis of the state of needs in the programme field and pursues the 'bottom-up' approach".</w:t>
            </w:r>
          </w:p>
          <w:p w:rsidR="00C21266" w:rsidRPr="005C3B55" w:rsidRDefault="00C21266">
            <w:pPr>
              <w:spacing w:before="240" w:after="240"/>
              <w:rPr>
                <w:szCs w:val="24"/>
              </w:rPr>
            </w:pPr>
            <w:r w:rsidRPr="005C3B55">
              <w:t xml:space="preserve">The objectives of the Network stem from the needs as defined in Chapter 4.1 - SWOT and identification of needs and follow six defined focuses of action which will be defined in detail in the Action and Communication Plan of the Rural Network for the 2014-2020 period. </w:t>
            </w:r>
          </w:p>
          <w:p w:rsidR="00C21266" w:rsidRPr="005C3B55" w:rsidRDefault="00C21266">
            <w:pPr>
              <w:spacing w:before="240" w:after="240"/>
              <w:rPr>
                <w:szCs w:val="24"/>
              </w:rPr>
            </w:pPr>
            <w:r w:rsidRPr="005C3B55">
              <w:t>The Network objectives are the following:</w:t>
            </w:r>
          </w:p>
          <w:p w:rsidR="00C21266" w:rsidRPr="005C3B55" w:rsidRDefault="00C21266" w:rsidP="006E20B6">
            <w:pPr>
              <w:numPr>
                <w:ilvl w:val="0"/>
                <w:numId w:val="1052"/>
              </w:numPr>
              <w:spacing w:before="240" w:after="0"/>
              <w:ind w:hanging="290"/>
              <w:jc w:val="left"/>
              <w:rPr>
                <w:szCs w:val="24"/>
              </w:rPr>
            </w:pPr>
            <w:r w:rsidRPr="005C3B55">
              <w:t>providing information to general public and beneficiaries on the rural development policy and funding options;</w:t>
            </w:r>
          </w:p>
          <w:p w:rsidR="00C21266" w:rsidRPr="005C3B55" w:rsidRDefault="00C21266" w:rsidP="006E20B6">
            <w:pPr>
              <w:numPr>
                <w:ilvl w:val="0"/>
                <w:numId w:val="1052"/>
              </w:numPr>
              <w:spacing w:before="0" w:after="0"/>
              <w:ind w:hanging="290"/>
              <w:jc w:val="left"/>
              <w:rPr>
                <w:szCs w:val="24"/>
              </w:rPr>
            </w:pPr>
            <w:r w:rsidRPr="005C3B55">
              <w:t>more quality implementation of the rural development programme;</w:t>
            </w:r>
          </w:p>
          <w:p w:rsidR="00C21266" w:rsidRPr="005C3B55" w:rsidRDefault="00C21266" w:rsidP="006E20B6">
            <w:pPr>
              <w:numPr>
                <w:ilvl w:val="0"/>
                <w:numId w:val="1052"/>
              </w:numPr>
              <w:spacing w:before="0" w:after="0"/>
              <w:ind w:hanging="290"/>
              <w:jc w:val="left"/>
              <w:rPr>
                <w:szCs w:val="24"/>
              </w:rPr>
            </w:pPr>
            <w:r w:rsidRPr="005C3B55">
              <w:t>better integration of the stakeholder in the implementation of the rural development;</w:t>
            </w:r>
          </w:p>
          <w:p w:rsidR="00C21266" w:rsidRPr="005C3B55" w:rsidRDefault="00C21266" w:rsidP="006E20B6">
            <w:pPr>
              <w:numPr>
                <w:ilvl w:val="0"/>
                <w:numId w:val="1052"/>
              </w:numPr>
              <w:spacing w:before="0" w:after="0"/>
              <w:ind w:hanging="290"/>
              <w:jc w:val="left"/>
              <w:rPr>
                <w:szCs w:val="24"/>
              </w:rPr>
            </w:pPr>
            <w:r w:rsidRPr="005C3B55">
              <w:t>promotion of innovations in agriculture, food production, forestry and in rural areas;</w:t>
            </w:r>
          </w:p>
          <w:p w:rsidR="00C21266" w:rsidRPr="005C3B55" w:rsidRDefault="00C21266" w:rsidP="006E20B6">
            <w:pPr>
              <w:numPr>
                <w:ilvl w:val="0"/>
                <w:numId w:val="1052"/>
              </w:numPr>
              <w:spacing w:before="0" w:after="240"/>
              <w:ind w:hanging="290"/>
              <w:jc w:val="left"/>
              <w:rPr>
                <w:szCs w:val="24"/>
              </w:rPr>
            </w:pPr>
            <w:r w:rsidRPr="005C3B55">
              <w:t>encouraging of the transfer of knowledge and cooperation in agriculture, food production, forestry and rural areas.</w:t>
            </w:r>
          </w:p>
          <w:p w:rsidR="00C21266" w:rsidRPr="005C3B55" w:rsidRDefault="00C21266">
            <w:pPr>
              <w:spacing w:before="240" w:after="240"/>
              <w:rPr>
                <w:szCs w:val="24"/>
              </w:rPr>
            </w:pPr>
            <w:r w:rsidRPr="005C3B55">
              <w:t>Main target groups are determined according to which the tools and content of activities and communication is adjusted. The main target groups:</w:t>
            </w:r>
          </w:p>
          <w:p w:rsidR="00C21266" w:rsidRPr="005C3B55" w:rsidRDefault="00C21266" w:rsidP="006E20B6">
            <w:pPr>
              <w:numPr>
                <w:ilvl w:val="0"/>
                <w:numId w:val="1053"/>
              </w:numPr>
              <w:spacing w:before="240" w:after="0"/>
              <w:ind w:hanging="290"/>
              <w:jc w:val="left"/>
              <w:rPr>
                <w:szCs w:val="24"/>
              </w:rPr>
            </w:pPr>
            <w:r w:rsidRPr="005C3B55">
              <w:t>potential beneficiaries;</w:t>
            </w:r>
          </w:p>
          <w:p w:rsidR="00C21266" w:rsidRPr="005C3B55" w:rsidRDefault="00C21266" w:rsidP="006E20B6">
            <w:pPr>
              <w:numPr>
                <w:ilvl w:val="0"/>
                <w:numId w:val="1053"/>
              </w:numPr>
              <w:spacing w:before="0" w:after="0"/>
              <w:ind w:hanging="290"/>
              <w:jc w:val="left"/>
              <w:rPr>
                <w:szCs w:val="24"/>
              </w:rPr>
            </w:pPr>
            <w:r w:rsidRPr="005C3B55">
              <w:t>recipients of funds;</w:t>
            </w:r>
          </w:p>
          <w:p w:rsidR="00C21266" w:rsidRPr="005C3B55" w:rsidRDefault="00C21266" w:rsidP="006E20B6">
            <w:pPr>
              <w:numPr>
                <w:ilvl w:val="0"/>
                <w:numId w:val="1053"/>
              </w:numPr>
              <w:spacing w:before="0" w:after="0"/>
              <w:ind w:hanging="290"/>
              <w:jc w:val="left"/>
              <w:rPr>
                <w:szCs w:val="24"/>
              </w:rPr>
            </w:pPr>
            <w:r w:rsidRPr="005C3B55">
              <w:t>partners in the field of rural development (e.g.: chambers, associations, research and education institutions, institutes, non-governmental organisations, local communities, public institutions, etc.);</w:t>
            </w:r>
          </w:p>
          <w:p w:rsidR="00C21266" w:rsidRPr="005C3B55" w:rsidRDefault="00C21266" w:rsidP="006E20B6">
            <w:pPr>
              <w:numPr>
                <w:ilvl w:val="0"/>
                <w:numId w:val="1053"/>
              </w:numPr>
              <w:spacing w:before="0" w:after="0"/>
              <w:ind w:hanging="290"/>
              <w:jc w:val="left"/>
              <w:rPr>
                <w:szCs w:val="24"/>
              </w:rPr>
            </w:pPr>
            <w:r w:rsidRPr="005C3B55">
              <w:t>general public;</w:t>
            </w:r>
          </w:p>
          <w:p w:rsidR="00C21266" w:rsidRPr="005C3B55" w:rsidRDefault="00C21266" w:rsidP="006E20B6">
            <w:pPr>
              <w:numPr>
                <w:ilvl w:val="0"/>
                <w:numId w:val="1053"/>
              </w:numPr>
              <w:spacing w:before="0" w:after="0"/>
              <w:ind w:hanging="290"/>
              <w:jc w:val="left"/>
              <w:rPr>
                <w:szCs w:val="24"/>
              </w:rPr>
            </w:pPr>
            <w:r w:rsidRPr="005C3B55">
              <w:t>the young related to the rural development;</w:t>
            </w:r>
          </w:p>
          <w:p w:rsidR="00C21266" w:rsidRPr="005C3B55" w:rsidRDefault="00C21266" w:rsidP="006E20B6">
            <w:pPr>
              <w:numPr>
                <w:ilvl w:val="0"/>
                <w:numId w:val="1053"/>
              </w:numPr>
              <w:spacing w:before="0" w:after="0"/>
              <w:ind w:hanging="290"/>
              <w:jc w:val="left"/>
              <w:rPr>
                <w:szCs w:val="24"/>
              </w:rPr>
            </w:pPr>
            <w:r w:rsidRPr="005C3B55">
              <w:t>pupils and students related to the rural development, children in kindergartens and elementary schools;</w:t>
            </w:r>
          </w:p>
          <w:p w:rsidR="00C21266" w:rsidRPr="005C3B55" w:rsidRDefault="00C21266" w:rsidP="006E20B6">
            <w:pPr>
              <w:numPr>
                <w:ilvl w:val="0"/>
                <w:numId w:val="1053"/>
              </w:numPr>
              <w:spacing w:before="0" w:after="0"/>
              <w:ind w:hanging="290"/>
              <w:jc w:val="left"/>
              <w:rPr>
                <w:szCs w:val="24"/>
              </w:rPr>
            </w:pPr>
            <w:r w:rsidRPr="005C3B55">
              <w:t>women related to the rural development;</w:t>
            </w:r>
          </w:p>
          <w:p w:rsidR="00C21266" w:rsidRPr="005C3B55" w:rsidRDefault="00C21266" w:rsidP="006E20B6">
            <w:pPr>
              <w:numPr>
                <w:ilvl w:val="0"/>
                <w:numId w:val="1053"/>
              </w:numPr>
              <w:spacing w:before="0" w:after="0"/>
              <w:ind w:hanging="290"/>
              <w:jc w:val="left"/>
              <w:rPr>
                <w:szCs w:val="24"/>
              </w:rPr>
            </w:pPr>
            <w:r w:rsidRPr="005C3B55">
              <w:t>media;</w:t>
            </w:r>
          </w:p>
          <w:p w:rsidR="00C21266" w:rsidRPr="005C3B55" w:rsidRDefault="00C21266" w:rsidP="006E20B6">
            <w:pPr>
              <w:numPr>
                <w:ilvl w:val="0"/>
                <w:numId w:val="1053"/>
              </w:numPr>
              <w:spacing w:before="0" w:after="0"/>
              <w:ind w:hanging="290"/>
              <w:jc w:val="left"/>
              <w:rPr>
                <w:szCs w:val="24"/>
              </w:rPr>
            </w:pPr>
            <w:r w:rsidRPr="005C3B55">
              <w:t>national networks for rural development and local action groups in the EU, European Network for Rural Development (hereinafter referred to as: ENRD), EIP, European Evaluation Network for Rural Development and other international organisation (PEPARE, etc.);</w:t>
            </w:r>
          </w:p>
          <w:p w:rsidR="00C21266" w:rsidRPr="005C3B55" w:rsidRDefault="00C21266" w:rsidP="006E20B6">
            <w:pPr>
              <w:numPr>
                <w:ilvl w:val="0"/>
                <w:numId w:val="1053"/>
              </w:numPr>
              <w:spacing w:before="0" w:after="240"/>
              <w:ind w:hanging="290"/>
              <w:jc w:val="left"/>
              <w:rPr>
                <w:szCs w:val="24"/>
              </w:rPr>
            </w:pPr>
            <w:r w:rsidRPr="005C3B55">
              <w:t>other participants in the field of rural development.</w:t>
            </w:r>
          </w:p>
          <w:p w:rsidR="00C21266" w:rsidRPr="005C3B55" w:rsidRDefault="00C21266">
            <w:pPr>
              <w:spacing w:before="240" w:after="240"/>
              <w:rPr>
                <w:szCs w:val="24"/>
              </w:rPr>
            </w:pPr>
            <w:r w:rsidRPr="005C3B55">
              <w:t>Pursuant to Point 3(b) of Article 54 of Regulation (EU) No 1305/2013, the Network performs the following tasks and activities:</w:t>
            </w:r>
          </w:p>
          <w:p w:rsidR="00C21266" w:rsidRPr="005C3B55" w:rsidRDefault="00C21266" w:rsidP="006E20B6">
            <w:pPr>
              <w:numPr>
                <w:ilvl w:val="0"/>
                <w:numId w:val="1054"/>
              </w:numPr>
              <w:spacing w:before="240" w:after="0"/>
              <w:ind w:hanging="290"/>
              <w:jc w:val="left"/>
              <w:rPr>
                <w:szCs w:val="24"/>
              </w:rPr>
            </w:pPr>
            <w:r w:rsidRPr="005C3B55">
              <w:t>activities for collecting the project cases which encompass all priority tasks of the rural development programmes;</w:t>
            </w:r>
          </w:p>
          <w:p w:rsidR="00C21266" w:rsidRPr="005C3B55" w:rsidRDefault="00C21266" w:rsidP="006E20B6">
            <w:pPr>
              <w:numPr>
                <w:ilvl w:val="0"/>
                <w:numId w:val="1054"/>
              </w:numPr>
              <w:spacing w:before="0" w:after="0"/>
              <w:ind w:hanging="290"/>
              <w:jc w:val="left"/>
              <w:rPr>
                <w:szCs w:val="24"/>
              </w:rPr>
            </w:pPr>
            <w:r w:rsidRPr="005C3B55">
              <w:t>activities for easier thematic and analytical exchange between the interested parties in the field of rural development and dissemination of findings;</w:t>
            </w:r>
          </w:p>
          <w:p w:rsidR="00C21266" w:rsidRPr="005C3B55" w:rsidRDefault="00C21266" w:rsidP="006E20B6">
            <w:pPr>
              <w:numPr>
                <w:ilvl w:val="0"/>
                <w:numId w:val="1054"/>
              </w:numPr>
              <w:spacing w:before="0" w:after="0"/>
              <w:ind w:hanging="290"/>
              <w:jc w:val="left"/>
              <w:rPr>
                <w:szCs w:val="24"/>
              </w:rPr>
            </w:pPr>
            <w:r w:rsidRPr="005C3B55">
              <w:t> activities for providing training and networking for local action groups and in particular technical assistances for the cross-regional and transnational cooperation, promotion of cooperation between local action groups and search for partners for the measure M16 under Article 35 of Regulation (EU) No 1305/2013;</w:t>
            </w:r>
          </w:p>
          <w:p w:rsidR="00C21266" w:rsidRPr="005C3B55" w:rsidRDefault="00C21266" w:rsidP="006E20B6">
            <w:pPr>
              <w:numPr>
                <w:ilvl w:val="0"/>
                <w:numId w:val="1054"/>
              </w:numPr>
              <w:spacing w:before="0" w:after="0"/>
              <w:ind w:hanging="290"/>
              <w:jc w:val="left"/>
              <w:rPr>
                <w:szCs w:val="24"/>
              </w:rPr>
            </w:pPr>
            <w:r w:rsidRPr="005C3B55">
              <w:t>activities for providing networking for advisers and services of support for innovations;</w:t>
            </w:r>
          </w:p>
          <w:p w:rsidR="00C21266" w:rsidRPr="005C3B55" w:rsidRDefault="00C21266" w:rsidP="006E20B6">
            <w:pPr>
              <w:numPr>
                <w:ilvl w:val="0"/>
                <w:numId w:val="1054"/>
              </w:numPr>
              <w:spacing w:before="0" w:after="0"/>
              <w:ind w:hanging="290"/>
              <w:jc w:val="left"/>
              <w:rPr>
                <w:szCs w:val="24"/>
              </w:rPr>
            </w:pPr>
            <w:r w:rsidRPr="005C3B55">
              <w:t>activities for the exchange and dissemination of the findings of monitoring and evaluation;</w:t>
            </w:r>
          </w:p>
          <w:p w:rsidR="00C21266" w:rsidRPr="005C3B55" w:rsidRDefault="00C21266" w:rsidP="006E20B6">
            <w:pPr>
              <w:numPr>
                <w:ilvl w:val="0"/>
                <w:numId w:val="1054"/>
              </w:numPr>
              <w:spacing w:before="0" w:after="0"/>
              <w:ind w:hanging="290"/>
              <w:jc w:val="left"/>
              <w:rPr>
                <w:szCs w:val="24"/>
              </w:rPr>
            </w:pPr>
            <w:r w:rsidRPr="005C3B55">
              <w:t>communication plan, including the provision of information to the public relating to the rural development programme in agreement with the managing authorities and information and communication activities for general public;</w:t>
            </w:r>
          </w:p>
          <w:p w:rsidR="00C21266" w:rsidRPr="005C3B55" w:rsidRDefault="00C21266" w:rsidP="006E20B6">
            <w:pPr>
              <w:numPr>
                <w:ilvl w:val="0"/>
                <w:numId w:val="1054"/>
              </w:numPr>
              <w:spacing w:before="0" w:after="240"/>
              <w:ind w:hanging="290"/>
              <w:jc w:val="left"/>
              <w:rPr>
                <w:szCs w:val="24"/>
              </w:rPr>
            </w:pPr>
            <w:r w:rsidRPr="005C3B55">
              <w:t>activities for cooperation in the ENRD and their contributions.</w:t>
            </w:r>
          </w:p>
          <w:p w:rsidR="00C21266" w:rsidRPr="005C3B55" w:rsidRDefault="00C21266">
            <w:pPr>
              <w:spacing w:before="240" w:after="240"/>
              <w:rPr>
                <w:szCs w:val="24"/>
              </w:rPr>
            </w:pPr>
            <w:r w:rsidRPr="005C3B55">
              <w:t>Activities and tasks of the Network are divided into three main categories:</w:t>
            </w:r>
          </w:p>
          <w:p w:rsidR="00C21266" w:rsidRPr="005C3B55" w:rsidRDefault="00C21266">
            <w:pPr>
              <w:spacing w:before="240" w:after="240"/>
              <w:rPr>
                <w:szCs w:val="24"/>
              </w:rPr>
            </w:pPr>
            <w:r w:rsidRPr="005C3B55">
              <w:rPr>
                <w:b/>
              </w:rPr>
              <w:t xml:space="preserve">1. </w:t>
            </w:r>
            <w:r w:rsidRPr="005C3B55">
              <w:t>Communication activities:</w:t>
            </w:r>
          </w:p>
          <w:p w:rsidR="00C21266" w:rsidRPr="005C3B55" w:rsidRDefault="00C21266">
            <w:pPr>
              <w:spacing w:before="240" w:after="240"/>
              <w:rPr>
                <w:szCs w:val="24"/>
              </w:rPr>
            </w:pPr>
            <w:r w:rsidRPr="005C3B55">
              <w:t>The most important role of the Network is information and publicity or communication, which means the implementation of the information and publicity strategy. Communication activities include the information, publicity and feedback activities. The communication means a two-way flow of information , i.e. between the managing authority and partners, stakeholders, beneficiaries, rural areas, general public, expert public, etc. as well as connection/networking between the foregoing entities. Essential highlights of the information and publicity strategy and communication are the following:</w:t>
            </w:r>
          </w:p>
          <w:p w:rsidR="00C21266" w:rsidRPr="005C3B55" w:rsidRDefault="00C21266" w:rsidP="006E20B6">
            <w:pPr>
              <w:numPr>
                <w:ilvl w:val="0"/>
                <w:numId w:val="1055"/>
              </w:numPr>
              <w:spacing w:before="240" w:after="0"/>
              <w:ind w:hanging="290"/>
              <w:jc w:val="left"/>
              <w:rPr>
                <w:szCs w:val="24"/>
              </w:rPr>
            </w:pPr>
            <w:r w:rsidRPr="005C3B55">
              <w:t>integration of partners into active dissemination and exchange of information;</w:t>
            </w:r>
          </w:p>
          <w:p w:rsidR="00C21266" w:rsidRPr="005C3B55" w:rsidRDefault="00C21266" w:rsidP="006E20B6">
            <w:pPr>
              <w:numPr>
                <w:ilvl w:val="0"/>
                <w:numId w:val="1055"/>
              </w:numPr>
              <w:spacing w:before="0" w:after="0"/>
              <w:ind w:hanging="290"/>
              <w:jc w:val="left"/>
              <w:rPr>
                <w:szCs w:val="24"/>
              </w:rPr>
            </w:pPr>
            <w:r w:rsidRPr="005C3B55">
              <w:t>meeting and workshops on participative methods (exchange of opinions and experience between the participants, finding solutions to open questions);</w:t>
            </w:r>
          </w:p>
          <w:p w:rsidR="00C21266" w:rsidRPr="005C3B55" w:rsidRDefault="00C21266" w:rsidP="006E20B6">
            <w:pPr>
              <w:numPr>
                <w:ilvl w:val="0"/>
                <w:numId w:val="1055"/>
              </w:numPr>
              <w:spacing w:before="0" w:after="0"/>
              <w:ind w:hanging="290"/>
              <w:jc w:val="left"/>
              <w:rPr>
                <w:szCs w:val="24"/>
              </w:rPr>
            </w:pPr>
            <w:r w:rsidRPr="005C3B55">
              <w:t>information is targeted and adjusted to the target groups;</w:t>
            </w:r>
          </w:p>
          <w:p w:rsidR="00C21266" w:rsidRPr="005C3B55" w:rsidRDefault="00C21266" w:rsidP="006E20B6">
            <w:pPr>
              <w:numPr>
                <w:ilvl w:val="0"/>
                <w:numId w:val="1055"/>
              </w:numPr>
              <w:spacing w:before="0" w:after="240"/>
              <w:ind w:hanging="290"/>
              <w:jc w:val="left"/>
              <w:rPr>
                <w:szCs w:val="24"/>
              </w:rPr>
            </w:pPr>
            <w:r w:rsidRPr="005C3B55">
              <w:t>two-way flow of information (system of providing feedback for the upgrade, improvement of information and publicity, network operation and managing authority, etc.).</w:t>
            </w:r>
          </w:p>
          <w:p w:rsidR="00C21266" w:rsidRPr="005C3B55" w:rsidRDefault="00C21266">
            <w:pPr>
              <w:spacing w:before="240" w:after="240"/>
              <w:rPr>
                <w:szCs w:val="24"/>
              </w:rPr>
            </w:pPr>
            <w:r w:rsidRPr="005C3B55">
              <w:t>Main tools used to implement the information and publicity strategy are information and publicity through the web page, e-news, publishing of print materials, presentations at the fairy, etc. The public will also be informed via the promotion of projects co-financed under the EAFRD. This also includes the activities for exchanging and dissemination of findings of monitoring and evaluation.</w:t>
            </w:r>
          </w:p>
          <w:p w:rsidR="00C21266" w:rsidRPr="005C3B55" w:rsidRDefault="00C21266">
            <w:pPr>
              <w:spacing w:before="240" w:after="240"/>
              <w:rPr>
                <w:szCs w:val="24"/>
              </w:rPr>
            </w:pPr>
            <w:r w:rsidRPr="005C3B55">
              <w:rPr>
                <w:b/>
              </w:rPr>
              <w:t xml:space="preserve">2. Training, cooperation and integration activities </w:t>
            </w:r>
          </w:p>
          <w:p w:rsidR="00C21266" w:rsidRPr="005C3B55" w:rsidRDefault="00C21266">
            <w:pPr>
              <w:spacing w:before="240" w:after="240"/>
              <w:rPr>
                <w:szCs w:val="24"/>
              </w:rPr>
            </w:pPr>
            <w:r w:rsidRPr="005C3B55">
              <w:t>Training, cooperation and integration activities are intended mainly to a more quality RPD implementation, promotion of cooperation and exchange of information and experience between different partners, cooperation between different partners and stakeholders in Slovenia and beyond. Cooperation between different partners will be promoted with the purpose to provide thematic al and analytical exchange between the interested partners in the field of rural development. The findings and results of the foregoing exchanges will be also disseminated. Integration and cooperation is an important area that should be even more intensively implemented in the rural areas and encourage people to cooperate. The Network will put a great focus on this issue. The Network will also inform potential beneficiaries and partners on support and cooperation options in the field of innovations and provide networking for advisers. The activities will be also directed in providing the training and networking for local action groups and in particular in technical assistance for cross-regional and transnational cooperation, promotion of cooperation between local action groups and search of partners.</w:t>
            </w:r>
          </w:p>
          <w:p w:rsidR="00C21266" w:rsidRPr="005C3B55" w:rsidRDefault="00C21266">
            <w:pPr>
              <w:spacing w:before="240" w:after="240"/>
              <w:rPr>
                <w:szCs w:val="24"/>
              </w:rPr>
            </w:pPr>
            <w:r w:rsidRPr="005C3B55">
              <w:t>The Network will promote the establishment of thematic working groups, organise seminars, workshops, rural events and provide activities for the transfer of knowledge and promotion of innovations.</w:t>
            </w:r>
          </w:p>
          <w:p w:rsidR="00C21266" w:rsidRPr="005C3B55" w:rsidRDefault="00C21266">
            <w:pPr>
              <w:spacing w:before="240" w:after="240"/>
              <w:rPr>
                <w:szCs w:val="24"/>
              </w:rPr>
            </w:pPr>
            <w:r w:rsidRPr="005C3B55">
              <w:rPr>
                <w:b/>
              </w:rPr>
              <w:t>3. Other support activities</w:t>
            </w:r>
          </w:p>
          <w:p w:rsidR="00C21266" w:rsidRPr="005C3B55" w:rsidRDefault="00C21266">
            <w:pPr>
              <w:spacing w:before="240" w:after="240"/>
              <w:rPr>
                <w:szCs w:val="24"/>
              </w:rPr>
            </w:pPr>
            <w:r w:rsidRPr="005C3B55">
              <w:t>Other support activities improve the Network operation and activities. This means that the Network will also actively participate in the ENRD and cooperate with other national networks for the rural development and partners form the Member States.</w:t>
            </w:r>
          </w:p>
          <w:p w:rsidR="00C21266" w:rsidRPr="005C3B55" w:rsidRDefault="00C21266">
            <w:pPr>
              <w:spacing w:before="240" w:after="240"/>
              <w:rPr>
                <w:szCs w:val="24"/>
              </w:rPr>
            </w:pPr>
            <w:r w:rsidRPr="005C3B55">
              <w:t>For the implementation of the Network implementation and provision of continuity, the Action and Communication Plan of the Rural Network is prepared for the 2014-2020 period (hereinafter referred to as: Action and Communication Plan of the Network) which is based on key national outlines, needs and objectives of the RDP and the Network.  The task of the MA is also to prepare the information and publicity strategy which is an integral part of the Action and Communication Plan of the Network. The information and publicity strategy content is prepared by the Network Support Unit and also implements the full-scale activities in this field. For the implementation level it adopts the Annual implementation plan of the Rural Network for an individual year. The Network Support Unit prepares a proposal of documents on the basis of analyses and needs and also the needs stemming from the programme area (bottom-up). The Network Steering Group offers proposals and outlines on the Action and Communication Plan of the Network, Annual implementation plans of the Rural Network for individual years, annual reports. The Network acts are confirmed by the Head of the MA.</w:t>
            </w:r>
          </w:p>
          <w:p w:rsidR="00C21266" w:rsidRPr="005C3B55" w:rsidRDefault="00C21266">
            <w:pPr>
              <w:spacing w:before="240" w:after="240"/>
              <w:rPr>
                <w:szCs w:val="24"/>
              </w:rPr>
            </w:pPr>
            <w:r w:rsidRPr="005C3B55">
              <w:t>The system of monitoring and (self)evaluation which will contribute to the improvement of performance and efficiency of the Network implementation will be established within the scope of the Network. A great attention will be also paid to the dissemination of the results of networking.</w:t>
            </w:r>
          </w:p>
          <w:p w:rsidR="00C21266" w:rsidRPr="005C3B55" w:rsidRDefault="00C21266">
            <w:pPr>
              <w:spacing w:before="240" w:after="240"/>
              <w:rPr>
                <w:szCs w:val="24"/>
              </w:rPr>
            </w:pPr>
            <w:r w:rsidRPr="005C3B55">
              <w:t>The Network will be intensively incorporated in the ENRD activities and initiatives, and according to the needs also in the EIP Network activities as well as the activities of the European Evaluation Network.</w:t>
            </w:r>
          </w:p>
          <w:p w:rsidR="00C21266" w:rsidRPr="005C3B55" w:rsidRDefault="00C21266">
            <w:pPr>
              <w:spacing w:before="240" w:after="240"/>
              <w:rPr>
                <w:szCs w:val="24"/>
              </w:rPr>
            </w:pPr>
            <w:r w:rsidRPr="005C3B55">
              <w:t>The focus will be laid on joint implementation of activities - i.e. the cooperation and implementation of activities between several partners. The Network Support Unit will act as a coordinator of activities and cooperate with different partners in the implementation, and in some cases also as the provider of an activity, while the activities will be also implemented through the Network Steering Group, Network members and external contractors selected through the system of public procurement.</w:t>
            </w:r>
          </w:p>
          <w:p w:rsidR="00C21266" w:rsidRPr="005C3B55" w:rsidRDefault="00C21266">
            <w:pPr>
              <w:spacing w:before="240" w:after="240"/>
              <w:rPr>
                <w:szCs w:val="24"/>
              </w:rPr>
            </w:pPr>
            <w:r w:rsidRPr="005C3B55">
              <w:t>The Network support within the RDP 2014-2020 is emphasised in the following measures in particular:</w:t>
            </w:r>
          </w:p>
          <w:p w:rsidR="00C21266" w:rsidRPr="005C3B55" w:rsidRDefault="00C21266" w:rsidP="006E20B6">
            <w:pPr>
              <w:numPr>
                <w:ilvl w:val="0"/>
                <w:numId w:val="1056"/>
              </w:numPr>
              <w:spacing w:before="240" w:after="0"/>
              <w:ind w:hanging="290"/>
              <w:jc w:val="left"/>
              <w:rPr>
                <w:szCs w:val="24"/>
              </w:rPr>
            </w:pPr>
            <w:r w:rsidRPr="005C3B55">
              <w:rPr>
                <w:i/>
              </w:rPr>
              <w:t xml:space="preserve">M01: </w:t>
            </w:r>
            <w:r w:rsidRPr="005C3B55">
              <w:t>Providing information to public and potential beneficiaries on the planned trainings, workshops, etc. and the publication of materials on the web page;</w:t>
            </w:r>
          </w:p>
          <w:p w:rsidR="00C21266" w:rsidRPr="005C3B55" w:rsidRDefault="00C21266" w:rsidP="006E20B6">
            <w:pPr>
              <w:numPr>
                <w:ilvl w:val="0"/>
                <w:numId w:val="1056"/>
              </w:numPr>
              <w:spacing w:before="0" w:after="0"/>
              <w:ind w:hanging="290"/>
              <w:jc w:val="left"/>
              <w:rPr>
                <w:szCs w:val="24"/>
              </w:rPr>
            </w:pPr>
            <w:r w:rsidRPr="005C3B55">
              <w:rPr>
                <w:i/>
              </w:rPr>
              <w:t>M11</w:t>
            </w:r>
            <w:r w:rsidRPr="005C3B55">
              <w:t>: providing information to beneficiaries related to their obligations in implementing the measure;</w:t>
            </w:r>
          </w:p>
          <w:p w:rsidR="00C21266" w:rsidRPr="005C3B55" w:rsidRDefault="00C21266" w:rsidP="006E20B6">
            <w:pPr>
              <w:numPr>
                <w:ilvl w:val="0"/>
                <w:numId w:val="1056"/>
              </w:numPr>
              <w:spacing w:before="0" w:after="0"/>
              <w:ind w:hanging="290"/>
              <w:jc w:val="left"/>
              <w:rPr>
                <w:szCs w:val="24"/>
              </w:rPr>
            </w:pPr>
            <w:r w:rsidRPr="005C3B55">
              <w:rPr>
                <w:i/>
              </w:rPr>
              <w:t>M16</w:t>
            </w:r>
            <w:r w:rsidRPr="005C3B55">
              <w:t>: support for establishing operational groups and dissemination of results, implementation of promotional and other activities related to the increasing of the visibility of the measure; there is a need of organisation of seminars and workshops on the topic of the measure, preparation of printed and web materials and implementation of the educational events in the field of project planning, implementation and management.</w:t>
            </w:r>
          </w:p>
          <w:p w:rsidR="00C21266" w:rsidRPr="005C3B55" w:rsidRDefault="00C21266" w:rsidP="006E20B6">
            <w:pPr>
              <w:numPr>
                <w:ilvl w:val="0"/>
                <w:numId w:val="1056"/>
              </w:numPr>
              <w:spacing w:before="0" w:after="240"/>
              <w:ind w:hanging="290"/>
              <w:jc w:val="left"/>
              <w:rPr>
                <w:szCs w:val="24"/>
              </w:rPr>
            </w:pPr>
            <w:r w:rsidRPr="005C3B55">
              <w:rPr>
                <w:i/>
              </w:rPr>
              <w:t>M19</w:t>
            </w:r>
            <w:r w:rsidRPr="005C3B55">
              <w:t xml:space="preserve">: there are still many unexploited options to increase the visibility of the LEADER approach (through the provision of information and animation of the rural population). Better incorporation of the population in the preparation of local development strategies and subsequent preparation and implementation of the projects must be encouraged. The qualification and knowledge of the local action groups also have to be increased for managing of the local partnership and correct implementation of projects. Adequate consultancies and trainings for the implementation of proper procedures for the selection of projects have to be provided - adequate selection of the criteria and indicators and for the needs of monitoring. </w:t>
            </w:r>
          </w:p>
          <w:p w:rsidR="00C21266" w:rsidRPr="005C3B55" w:rsidRDefault="00C21266">
            <w:pPr>
              <w:spacing w:before="240" w:after="240"/>
              <w:rPr>
                <w:szCs w:val="24"/>
              </w:rPr>
            </w:pPr>
            <w:r w:rsidRPr="005C3B55">
              <w:t>The Network support activities will be implemented also in the following measures:</w:t>
            </w:r>
          </w:p>
          <w:p w:rsidR="00C21266" w:rsidRPr="005C3B55" w:rsidRDefault="00C21266" w:rsidP="006E20B6">
            <w:pPr>
              <w:numPr>
                <w:ilvl w:val="0"/>
                <w:numId w:val="1057"/>
              </w:numPr>
              <w:spacing w:before="240" w:after="0"/>
              <w:ind w:hanging="290"/>
              <w:jc w:val="left"/>
              <w:rPr>
                <w:szCs w:val="24"/>
              </w:rPr>
            </w:pPr>
            <w:r w:rsidRPr="005C3B55">
              <w:rPr>
                <w:i/>
              </w:rPr>
              <w:t>M02</w:t>
            </w:r>
            <w:r w:rsidRPr="005C3B55">
              <w:t xml:space="preserve">: providing information to potential beneficiaries on the possibilities of access to consultant services and publications of materials relating to this measure; </w:t>
            </w:r>
          </w:p>
          <w:p w:rsidR="00C21266" w:rsidRPr="005C3B55" w:rsidRDefault="00C21266" w:rsidP="006E20B6">
            <w:pPr>
              <w:numPr>
                <w:ilvl w:val="0"/>
                <w:numId w:val="1057"/>
              </w:numPr>
              <w:spacing w:before="0" w:after="0"/>
              <w:ind w:hanging="290"/>
              <w:jc w:val="left"/>
              <w:rPr>
                <w:szCs w:val="24"/>
              </w:rPr>
            </w:pPr>
            <w:r w:rsidRPr="005C3B55">
              <w:rPr>
                <w:i/>
              </w:rPr>
              <w:t>M03:</w:t>
            </w:r>
            <w:r w:rsidRPr="005C3B55">
              <w:t xml:space="preserve"> the need of better level of information of consumers on the existence of products from the quality schemes which are subjected to a rigorous control of the certification authority as well as on their specific characteristics and advantages;</w:t>
            </w:r>
          </w:p>
          <w:p w:rsidR="00C21266" w:rsidRPr="005C3B55" w:rsidRDefault="00C21266" w:rsidP="006E20B6">
            <w:pPr>
              <w:numPr>
                <w:ilvl w:val="0"/>
                <w:numId w:val="1057"/>
              </w:numPr>
              <w:spacing w:before="0" w:after="0"/>
              <w:ind w:hanging="290"/>
              <w:jc w:val="left"/>
              <w:rPr>
                <w:szCs w:val="24"/>
              </w:rPr>
            </w:pPr>
            <w:r w:rsidRPr="005C3B55">
              <w:rPr>
                <w:i/>
              </w:rPr>
              <w:t>M04</w:t>
            </w:r>
            <w:r w:rsidRPr="005C3B55">
              <w:t>: improvement of the level of information of potential beneficiaries on the measures and procedures for the selection of beneficiaries and related to the preparation of the claims for payments of funds;</w:t>
            </w:r>
          </w:p>
          <w:p w:rsidR="00C21266" w:rsidRPr="005C3B55" w:rsidRDefault="00C21266" w:rsidP="006E20B6">
            <w:pPr>
              <w:numPr>
                <w:ilvl w:val="0"/>
                <w:numId w:val="1057"/>
              </w:numPr>
              <w:spacing w:before="0" w:after="0"/>
              <w:ind w:hanging="290"/>
              <w:jc w:val="left"/>
              <w:rPr>
                <w:szCs w:val="24"/>
              </w:rPr>
            </w:pPr>
            <w:r w:rsidRPr="005C3B55">
              <w:rPr>
                <w:i/>
              </w:rPr>
              <w:t>M06</w:t>
            </w:r>
            <w:r w:rsidRPr="005C3B55">
              <w:t>: improvement of the level of information of potential beneficiaries on the measures and procedures for the selection of beneficiaries;</w:t>
            </w:r>
          </w:p>
          <w:p w:rsidR="00C21266" w:rsidRPr="005C3B55" w:rsidRDefault="00C21266" w:rsidP="006E20B6">
            <w:pPr>
              <w:numPr>
                <w:ilvl w:val="0"/>
                <w:numId w:val="1057"/>
              </w:numPr>
              <w:spacing w:before="0" w:after="0"/>
              <w:ind w:hanging="290"/>
              <w:jc w:val="left"/>
              <w:rPr>
                <w:szCs w:val="24"/>
              </w:rPr>
            </w:pPr>
            <w:r w:rsidRPr="005C3B55">
              <w:rPr>
                <w:i/>
              </w:rPr>
              <w:t>M08</w:t>
            </w:r>
            <w:r w:rsidRPr="005C3B55">
              <w:t>: improvement of the level of information of potential beneficiaries on the measures and procedures for the selection of beneficiaries and related to the preparation of the claims for payments of funds;</w:t>
            </w:r>
          </w:p>
          <w:p w:rsidR="00C21266" w:rsidRPr="005C3B55" w:rsidRDefault="00C21266" w:rsidP="006E20B6">
            <w:pPr>
              <w:numPr>
                <w:ilvl w:val="0"/>
                <w:numId w:val="1057"/>
              </w:numPr>
              <w:spacing w:before="0" w:after="0"/>
              <w:ind w:hanging="290"/>
              <w:jc w:val="left"/>
              <w:rPr>
                <w:szCs w:val="24"/>
              </w:rPr>
            </w:pPr>
            <w:r w:rsidRPr="005C3B55">
              <w:rPr>
                <w:i/>
              </w:rPr>
              <w:t>M09</w:t>
            </w:r>
            <w:r w:rsidRPr="005C3B55">
              <w:t>: related to the demand on further existence of supported groups or organisations of producers, the focus will be laid on the preliminary provision of information to potential beneficiaries on the conditions and all liabilities arising from the acquisition of the support;</w:t>
            </w:r>
          </w:p>
          <w:p w:rsidR="00C21266" w:rsidRPr="005C3B55" w:rsidRDefault="00C21266" w:rsidP="006E20B6">
            <w:pPr>
              <w:numPr>
                <w:ilvl w:val="0"/>
                <w:numId w:val="1057"/>
              </w:numPr>
              <w:spacing w:before="0" w:after="0"/>
              <w:ind w:hanging="290"/>
              <w:jc w:val="left"/>
              <w:rPr>
                <w:szCs w:val="24"/>
              </w:rPr>
            </w:pPr>
            <w:r w:rsidRPr="005C3B55">
              <w:rPr>
                <w:i/>
              </w:rPr>
              <w:t>M10</w:t>
            </w:r>
            <w:r w:rsidRPr="005C3B55">
              <w:t>: foreseen annual provision of information to beneficiaries in regard to their obligation in the implementation of the measure (within the scope of the subsidy campaign and during the course of year);</w:t>
            </w:r>
          </w:p>
          <w:p w:rsidR="00C21266" w:rsidRPr="005C3B55" w:rsidRDefault="00C21266" w:rsidP="006E20B6">
            <w:pPr>
              <w:numPr>
                <w:ilvl w:val="0"/>
                <w:numId w:val="1057"/>
              </w:numPr>
              <w:spacing w:before="0" w:after="240"/>
              <w:ind w:hanging="290"/>
              <w:jc w:val="left"/>
              <w:rPr>
                <w:szCs w:val="24"/>
              </w:rPr>
            </w:pPr>
            <w:r w:rsidRPr="005C3B55">
              <w:rPr>
                <w:i/>
              </w:rPr>
              <w:t>M14</w:t>
            </w:r>
            <w:r w:rsidRPr="005C3B55">
              <w:t>: acquainting the holders with the conditions of the measure is crucial for the correct implementation of the measure and to reduce the possibilities of errors. Thus the provision of information to holders takes place through different public communication channels with the cooperation of the Network.</w:t>
            </w:r>
          </w:p>
          <w:p w:rsidR="00C21266" w:rsidRPr="005C3B55" w:rsidRDefault="00C21266">
            <w:pPr>
              <w:spacing w:before="240" w:after="240"/>
              <w:rPr>
                <w:szCs w:val="24"/>
              </w:rPr>
            </w:pPr>
            <w:r w:rsidRPr="005C3B55">
              <w:t>The Network will also offer support to horizontal themes of the RDP 2014-2020:</w:t>
            </w:r>
          </w:p>
          <w:p w:rsidR="00C21266" w:rsidRPr="005C3B55" w:rsidRDefault="00C21266" w:rsidP="006E20B6">
            <w:pPr>
              <w:numPr>
                <w:ilvl w:val="0"/>
                <w:numId w:val="1058"/>
              </w:numPr>
              <w:spacing w:before="240" w:after="0"/>
              <w:ind w:hanging="290"/>
              <w:jc w:val="left"/>
              <w:rPr>
                <w:szCs w:val="24"/>
              </w:rPr>
            </w:pPr>
            <w:r w:rsidRPr="005C3B55">
              <w:rPr>
                <w:i/>
              </w:rPr>
              <w:t>Innovation: </w:t>
            </w:r>
            <w:r w:rsidRPr="005C3B55">
              <w:t>in creating of suitable environment for promotion of innovations - selection of the practices, in-situ examination, presentation ta various events, informing on seminars and workshops on the theme of innovations in agriculture, forestry and food processing industry, etc.;</w:t>
            </w:r>
          </w:p>
          <w:p w:rsidR="00C21266" w:rsidRPr="005C3B55" w:rsidRDefault="00C21266" w:rsidP="006E20B6">
            <w:pPr>
              <w:numPr>
                <w:ilvl w:val="0"/>
                <w:numId w:val="1058"/>
              </w:numPr>
              <w:spacing w:before="0" w:after="0"/>
              <w:ind w:hanging="290"/>
              <w:jc w:val="left"/>
              <w:rPr>
                <w:szCs w:val="24"/>
              </w:rPr>
            </w:pPr>
            <w:r w:rsidRPr="005C3B55">
              <w:rPr>
                <w:i/>
              </w:rPr>
              <w:t>Environment: </w:t>
            </w:r>
            <w:r w:rsidRPr="005C3B55">
              <w:t>in providing information on the contribution of the RDP 2014-2010 to conservation and improvement of environment and support to providing information to beneficiaries on their obligations when they act as recipients of financial funds under measures contributing to the conservation and improvement of the environment - informing through the media, workshops, seminars, etc.</w:t>
            </w:r>
          </w:p>
          <w:p w:rsidR="00C21266" w:rsidRPr="005C3B55" w:rsidRDefault="00C21266" w:rsidP="006E20B6">
            <w:pPr>
              <w:numPr>
                <w:ilvl w:val="0"/>
                <w:numId w:val="1058"/>
              </w:numPr>
              <w:spacing w:before="0" w:after="240"/>
              <w:ind w:hanging="290"/>
              <w:jc w:val="left"/>
              <w:rPr>
                <w:szCs w:val="24"/>
              </w:rPr>
            </w:pPr>
            <w:r w:rsidRPr="005C3B55">
              <w:rPr>
                <w:i/>
              </w:rPr>
              <w:t>Climate change: </w:t>
            </w:r>
            <w:r w:rsidRPr="005C3B55">
              <w:t>in providing information on the contribution of the RDP 2014-2020 to the adjustment to climate change - informing through the media, workshops, seminars, selection of practices, in-situ examinations, presentation at various events, etc.</w:t>
            </w:r>
          </w:p>
          <w:p w:rsidR="00C21266" w:rsidRPr="005C3B55" w:rsidRDefault="00C21266">
            <w:pPr>
              <w:spacing w:before="240" w:after="240"/>
              <w:rPr>
                <w:szCs w:val="24"/>
              </w:rPr>
            </w:pPr>
            <w:r w:rsidRPr="005C3B55">
              <w:t>The important task of the Network is also to support in reducing the level of errors, in particular through training and informing end beneficiaries on their obligations and documentation they have to submit to the application or claim.</w:t>
            </w:r>
          </w:p>
          <w:p w:rsidR="00C21266" w:rsidRPr="005C3B55" w:rsidRDefault="00C21266">
            <w:pPr>
              <w:spacing w:before="240" w:after="240"/>
              <w:rPr>
                <w:szCs w:val="24"/>
              </w:rPr>
            </w:pPr>
            <w:r w:rsidRPr="005C3B55">
              <w:t>The role and importance of the Network poorly recognised and exploited in rural areas as well as between some partners operating in the field of rural development. Due to increasing role and importance of the Network at the E level, the communication activities in the field of visibility are also important and thus the level of Network exploitation.</w:t>
            </w:r>
          </w:p>
          <w:p w:rsidR="00C21266" w:rsidRPr="005C3B55" w:rsidRDefault="00C21266">
            <w:pPr>
              <w:pStyle w:val="Telobesedila"/>
              <w:rPr>
                <w:lang w:eastAsia="en-GB" w:bidi="en-GB"/>
              </w:rPr>
            </w:pPr>
          </w:p>
        </w:tc>
      </w:tr>
    </w:tbl>
    <w:p w:rsidR="00C21266" w:rsidRPr="005C3B55" w:rsidRDefault="00C21266" w:rsidP="00C21266">
      <w:pPr>
        <w:pStyle w:val="Naslov2"/>
        <w:tabs>
          <w:tab w:val="clear" w:pos="765"/>
        </w:tabs>
        <w:ind w:left="0" w:firstLine="0"/>
        <w:rPr>
          <w:lang w:val="en-GB" w:eastAsia="en-GB" w:bidi="en-GB"/>
        </w:rPr>
      </w:pPr>
      <w:bookmarkStart w:id="258" w:name="_Toc416192716"/>
      <w:r w:rsidRPr="005C3B55">
        <w:rPr>
          <w:lang w:val="en-GB"/>
        </w:rPr>
        <w:t>Available funds for the establishment and operation of the National Rural Network</w:t>
      </w:r>
      <w:bookmarkEnd w:id="258"/>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650" w:type="pct"/>
            <w:tcBorders>
              <w:top w:val="single" w:sz="8" w:space="0" w:color="000000"/>
              <w:left w:val="single" w:sz="8" w:space="0" w:color="000000"/>
              <w:bottom w:val="single" w:sz="8" w:space="0" w:color="000000"/>
              <w:right w:val="single" w:sz="8" w:space="0" w:color="000000"/>
            </w:tcBorders>
            <w:tcMar>
              <w:top w:w="60" w:type="dxa"/>
              <w:left w:w="108" w:type="dxa"/>
              <w:bottom w:w="120" w:type="dxa"/>
              <w:right w:w="108" w:type="dxa"/>
            </w:tcMar>
          </w:tcPr>
          <w:p w:rsidR="00C21266" w:rsidRPr="005C3B55" w:rsidRDefault="00C21266">
            <w:pPr>
              <w:spacing w:after="240"/>
              <w:rPr>
                <w:rFonts w:eastAsia="Calibri"/>
                <w:szCs w:val="24"/>
              </w:rPr>
            </w:pPr>
            <w:r w:rsidRPr="005C3B55">
              <w:t xml:space="preserve">Adequate human and financial resources are necessary for a successful and efficient Network operation. A minimum of two employees or two annual work units are needed for the Network implementation, coordination and management within the Network Support Unit. Sufficient expert qualification of human resources within the Network Support Unit will be provided for the Network operation and implementation. Thus, the training and education programmes will be organised with the purpose to improve a certain field of operation (e.g. communication, animation, organisation of events, etc.). If necessary and for certain activities or tasks, external institutions and other experts may be included in the Network operation. </w:t>
            </w:r>
          </w:p>
          <w:p w:rsidR="00C21266" w:rsidRPr="005C3B55" w:rsidRDefault="00C21266">
            <w:pPr>
              <w:spacing w:before="240" w:after="240"/>
              <w:rPr>
                <w:szCs w:val="24"/>
              </w:rPr>
            </w:pPr>
            <w:r w:rsidRPr="005C3B55">
              <w:t>Financial means for the operation and implementation of the Network activities are provided under the Technical assistance for the entire 2014-2020 programme period, i.e. indicatively in the amount of 15% of means under the Technical assistance.</w:t>
            </w:r>
          </w:p>
          <w:p w:rsidR="00C21266" w:rsidRPr="005C3B55" w:rsidRDefault="00C21266">
            <w:pPr>
              <w:spacing w:before="240" w:after="240"/>
              <w:rPr>
                <w:szCs w:val="24"/>
              </w:rPr>
            </w:pPr>
            <w:r w:rsidRPr="005C3B55">
              <w:t>Since the Network is already established, no funds have to be provided for this purpose. Financial means will be assigned to the Network management and operation. In regard to the categories of activities which are being carried out within the scope of the Network, the majority of means will be assigned to communication activities (implementation of the information and publicity strategy), training, cooperation and integration.</w:t>
            </w:r>
          </w:p>
          <w:p w:rsidR="00C21266" w:rsidRPr="005C3B55" w:rsidRDefault="00C21266">
            <w:pPr>
              <w:pStyle w:val="Telobesedila"/>
              <w:rPr>
                <w:lang w:eastAsia="en-GB" w:bidi="en-GB"/>
              </w:rPr>
            </w:pPr>
          </w:p>
        </w:tc>
      </w:tr>
    </w:tbl>
    <w:p w:rsidR="00C21266" w:rsidRPr="005C3B55" w:rsidRDefault="00C21266" w:rsidP="00C21266">
      <w:pPr>
        <w:spacing w:after="0"/>
        <w:sectPr w:rsidR="00C21266" w:rsidRPr="005C3B55">
          <w:pgSz w:w="12240" w:h="15840"/>
          <w:pgMar w:top="900" w:right="900" w:bottom="900" w:left="900" w:header="708" w:footer="708" w:gutter="0"/>
          <w:cols w:space="708"/>
        </w:sectPr>
      </w:pPr>
    </w:p>
    <w:p w:rsidR="00C21266" w:rsidRPr="005C3B55" w:rsidRDefault="00C21266" w:rsidP="00C21266">
      <w:pPr>
        <w:pStyle w:val="Naslov1"/>
        <w:rPr>
          <w:lang w:val="en-GB" w:eastAsia="en-GB" w:bidi="en-GB"/>
        </w:rPr>
      </w:pPr>
      <w:bookmarkStart w:id="259" w:name="_Toc416192717"/>
      <w:r w:rsidRPr="005C3B55">
        <w:rPr>
          <w:lang w:val="en-GB"/>
        </w:rPr>
        <w:t>Preliminary assessment of verifiability, possibilities of control and risks of errors</w:t>
      </w:r>
      <w:bookmarkEnd w:id="259"/>
    </w:p>
    <w:p w:rsidR="00C21266" w:rsidRPr="005C3B55" w:rsidRDefault="00C21266" w:rsidP="00C21266">
      <w:pPr>
        <w:pStyle w:val="Naslov2"/>
        <w:tabs>
          <w:tab w:val="clear" w:pos="765"/>
        </w:tabs>
        <w:ind w:left="0" w:firstLine="0"/>
        <w:rPr>
          <w:lang w:val="en-GB"/>
        </w:rPr>
      </w:pPr>
      <w:bookmarkStart w:id="260" w:name="_Toc416192718"/>
      <w:r w:rsidRPr="005C3B55">
        <w:rPr>
          <w:lang w:val="en-GB"/>
        </w:rPr>
        <w:t>The statement of the managing authority and the Paying Agency on the verifiability and options of controlling the measures receiving support under the rural development programme</w:t>
      </w:r>
      <w:bookmarkEnd w:id="260"/>
      <w:r w:rsidRPr="005C3B55">
        <w:rPr>
          <w:lang w:val="en-GB"/>
        </w:rPr>
        <w:t xml:space="preserve"> </w:t>
      </w:r>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650" w:type="pct"/>
            <w:tcBorders>
              <w:top w:val="single" w:sz="8" w:space="0" w:color="000000"/>
              <w:left w:val="single" w:sz="8" w:space="0" w:color="000000"/>
              <w:bottom w:val="single" w:sz="8" w:space="0" w:color="000000"/>
              <w:right w:val="single" w:sz="8" w:space="0" w:color="000000"/>
            </w:tcBorders>
            <w:tcMar>
              <w:top w:w="60" w:type="dxa"/>
              <w:left w:w="108" w:type="dxa"/>
              <w:bottom w:w="120" w:type="dxa"/>
              <w:right w:w="108" w:type="dxa"/>
            </w:tcMar>
          </w:tcPr>
          <w:p w:rsidR="00C21266" w:rsidRPr="005C3B55" w:rsidRDefault="00C21266">
            <w:pPr>
              <w:spacing w:after="240"/>
              <w:rPr>
                <w:rFonts w:eastAsia="Calibri"/>
                <w:szCs w:val="24"/>
              </w:rPr>
            </w:pPr>
            <w:r w:rsidRPr="005C3B55">
              <w:t>The statements of the MA and Paying Agency on verifiability and possibilities of control under Article 62 of Regulation (EU) No 1305/2013 is in the Annex to the RDP 2014-2020.</w:t>
            </w:r>
          </w:p>
          <w:p w:rsidR="00C21266" w:rsidRPr="005C3B55" w:rsidRDefault="00C21266">
            <w:pPr>
              <w:pStyle w:val="Telobesedila"/>
              <w:rPr>
                <w:lang w:eastAsia="en-GB" w:bidi="en-GB"/>
              </w:rPr>
            </w:pPr>
          </w:p>
        </w:tc>
      </w:tr>
    </w:tbl>
    <w:p w:rsidR="00C21266" w:rsidRPr="005C3B55" w:rsidRDefault="00C21266" w:rsidP="00C21266">
      <w:pPr>
        <w:pStyle w:val="Naslov2"/>
        <w:tabs>
          <w:tab w:val="clear" w:pos="765"/>
        </w:tabs>
        <w:ind w:left="0" w:firstLine="0"/>
        <w:rPr>
          <w:lang w:val="en-GB" w:eastAsia="en-GB" w:bidi="en-GB"/>
        </w:rPr>
      </w:pPr>
      <w:bookmarkStart w:id="261" w:name="_Toc416192719"/>
      <w:r w:rsidRPr="005C3B55">
        <w:rPr>
          <w:lang w:val="en-GB"/>
        </w:rPr>
        <w:t>Statement of the functionally independent authority under Article 62(2) of Regulation (EU) No 1305/2013 which confirms the adequacy and precision of the calculations of standard costs, additional costs and loss of income.</w:t>
      </w:r>
      <w:bookmarkEnd w:id="261"/>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650" w:type="pct"/>
            <w:tcBorders>
              <w:top w:val="single" w:sz="8" w:space="0" w:color="000000"/>
              <w:left w:val="single" w:sz="8" w:space="0" w:color="000000"/>
              <w:bottom w:val="single" w:sz="8" w:space="0" w:color="000000"/>
              <w:right w:val="single" w:sz="8" w:space="0" w:color="000000"/>
            </w:tcBorders>
            <w:tcMar>
              <w:top w:w="60" w:type="dxa"/>
              <w:left w:w="108" w:type="dxa"/>
              <w:bottom w:w="120" w:type="dxa"/>
              <w:right w:w="108" w:type="dxa"/>
            </w:tcMar>
          </w:tcPr>
          <w:p w:rsidR="00C21266" w:rsidRPr="005C3B55" w:rsidRDefault="00C21266">
            <w:pPr>
              <w:spacing w:after="240"/>
              <w:rPr>
                <w:rFonts w:eastAsia="Calibri"/>
                <w:szCs w:val="24"/>
              </w:rPr>
            </w:pPr>
            <w:r w:rsidRPr="005C3B55">
              <w:t>Statements of the Agricultural Institute of Slovenia for measures M10, M11, M13, M14 and M19 and the Slovenian Forestry Institute for the measure M08 are included in the Annex to the RDP 2014-2020.</w:t>
            </w:r>
          </w:p>
          <w:p w:rsidR="00C21266" w:rsidRPr="005C3B55" w:rsidRDefault="00C21266">
            <w:pPr>
              <w:pStyle w:val="Telobesedila"/>
              <w:rPr>
                <w:lang w:eastAsia="en-GB" w:bidi="en-GB"/>
              </w:rPr>
            </w:pPr>
          </w:p>
        </w:tc>
      </w:tr>
    </w:tbl>
    <w:p w:rsidR="00C21266" w:rsidRPr="005C3B55" w:rsidRDefault="00C21266" w:rsidP="00C21266">
      <w:pPr>
        <w:spacing w:after="0"/>
        <w:sectPr w:rsidR="00C21266" w:rsidRPr="005C3B55">
          <w:pgSz w:w="12240" w:h="15840"/>
          <w:pgMar w:top="900" w:right="900" w:bottom="900" w:left="900" w:header="708" w:footer="708" w:gutter="0"/>
          <w:cols w:space="708"/>
        </w:sectPr>
      </w:pPr>
    </w:p>
    <w:p w:rsidR="00C21266" w:rsidRPr="005C3B55" w:rsidRDefault="00C21266" w:rsidP="00C21266">
      <w:pPr>
        <w:pStyle w:val="Naslov1"/>
        <w:rPr>
          <w:lang w:val="en-GB" w:eastAsia="en-GB" w:bidi="en-GB"/>
        </w:rPr>
      </w:pPr>
      <w:bookmarkStart w:id="262" w:name="_Toc416192720"/>
      <w:r w:rsidRPr="005C3B55">
        <w:rPr>
          <w:lang w:val="en-GB"/>
        </w:rPr>
        <w:t>Transitional arrangements</w:t>
      </w:r>
      <w:bookmarkEnd w:id="262"/>
    </w:p>
    <w:p w:rsidR="00C21266" w:rsidRPr="005C3B55" w:rsidRDefault="00C21266" w:rsidP="00C21266">
      <w:pPr>
        <w:pStyle w:val="Naslov2"/>
        <w:tabs>
          <w:tab w:val="clear" w:pos="765"/>
        </w:tabs>
        <w:ind w:left="0" w:firstLine="0"/>
        <w:rPr>
          <w:lang w:val="en-GB"/>
        </w:rPr>
      </w:pPr>
      <w:bookmarkStart w:id="263" w:name="_Toc416192721"/>
      <w:r w:rsidRPr="005C3B55">
        <w:rPr>
          <w:lang w:val="en-GB"/>
        </w:rPr>
        <w:t>Description of transitional conditions by measures</w:t>
      </w:r>
      <w:bookmarkEnd w:id="263"/>
    </w:p>
    <w:tbl>
      <w:tblPr>
        <w:tblStyle w:val="Navadnatabela1"/>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20" w:type="dxa"/>
          <w:bottom w:w="120" w:type="dxa"/>
        </w:tblCellMar>
        <w:tblLook w:val="04A0" w:firstRow="1" w:lastRow="0" w:firstColumn="1" w:lastColumn="0" w:noHBand="0" w:noVBand="1"/>
      </w:tblPr>
      <w:tblGrid>
        <w:gridCol w:w="10656"/>
      </w:tblGrid>
      <w:tr w:rsidR="00C21266" w:rsidRPr="005C3B55">
        <w:tc>
          <w:tcPr>
            <w:tcW w:w="650" w:type="pct"/>
            <w:tcBorders>
              <w:top w:val="single" w:sz="8" w:space="0" w:color="000000"/>
              <w:left w:val="single" w:sz="8" w:space="0" w:color="000000"/>
              <w:bottom w:val="single" w:sz="8" w:space="0" w:color="000000"/>
              <w:right w:val="single" w:sz="8" w:space="0" w:color="000000"/>
            </w:tcBorders>
            <w:tcMar>
              <w:top w:w="60" w:type="dxa"/>
              <w:left w:w="108" w:type="dxa"/>
              <w:bottom w:w="120" w:type="dxa"/>
              <w:right w:w="108" w:type="dxa"/>
            </w:tcMar>
          </w:tcPr>
          <w:p w:rsidR="00C21266" w:rsidRPr="005C3B55" w:rsidRDefault="00C21266">
            <w:pPr>
              <w:spacing w:after="240"/>
              <w:rPr>
                <w:rFonts w:eastAsia="Calibri"/>
                <w:szCs w:val="24"/>
              </w:rPr>
            </w:pPr>
            <w:r w:rsidRPr="005C3B55">
              <w:t>(1) Pursuant to Article 3(1)(a) of Regulation (EU) No 1310/2013 and Article 16(1)(a) of Regulation (EU) No 807/2014, Slovenia will transfer a part of liabilities received in the previous programming period, and a part of liabilities arising from positively resolved complaints to the 2014–2020 programming period for the following measures of the RDP 2007–2013:</w:t>
            </w:r>
          </w:p>
          <w:p w:rsidR="00C21266" w:rsidRPr="005C3B55" w:rsidRDefault="00C21266" w:rsidP="006E20B6">
            <w:pPr>
              <w:numPr>
                <w:ilvl w:val="0"/>
                <w:numId w:val="1059"/>
              </w:numPr>
              <w:spacing w:before="240" w:after="0"/>
              <w:ind w:hanging="290"/>
              <w:jc w:val="left"/>
              <w:rPr>
                <w:szCs w:val="24"/>
              </w:rPr>
            </w:pPr>
            <w:r w:rsidRPr="005C3B55">
              <w:t>112 Setting up of young farmers (payment of liabilities from measure M06 of the RDP 2014–2020)</w:t>
            </w:r>
          </w:p>
          <w:p w:rsidR="00C21266" w:rsidRPr="005C3B55" w:rsidRDefault="00C21266" w:rsidP="006E20B6">
            <w:pPr>
              <w:numPr>
                <w:ilvl w:val="0"/>
                <w:numId w:val="1059"/>
              </w:numPr>
              <w:spacing w:before="0" w:after="0"/>
              <w:ind w:hanging="290"/>
              <w:jc w:val="left"/>
              <w:rPr>
                <w:szCs w:val="24"/>
              </w:rPr>
            </w:pPr>
            <w:r w:rsidRPr="005C3B55">
              <w:t>121 Modernisation of agricultural holdings (payment of liabilities from measure M04 of the RDP 2014–2020)</w:t>
            </w:r>
          </w:p>
          <w:p w:rsidR="00C21266" w:rsidRPr="005C3B55" w:rsidRDefault="00C21266" w:rsidP="006E20B6">
            <w:pPr>
              <w:numPr>
                <w:ilvl w:val="0"/>
                <w:numId w:val="1059"/>
              </w:numPr>
              <w:spacing w:before="0" w:after="0"/>
              <w:ind w:hanging="290"/>
              <w:jc w:val="left"/>
              <w:rPr>
                <w:szCs w:val="24"/>
              </w:rPr>
            </w:pPr>
            <w:r w:rsidRPr="005C3B55">
              <w:t>122 Increasing of the economic value of forests (payment of liabilities from measure M08 of the RDP 2014–2020)</w:t>
            </w:r>
          </w:p>
          <w:p w:rsidR="00C21266" w:rsidRPr="005C3B55" w:rsidRDefault="00C21266" w:rsidP="006E20B6">
            <w:pPr>
              <w:numPr>
                <w:ilvl w:val="0"/>
                <w:numId w:val="1059"/>
              </w:numPr>
              <w:spacing w:before="0" w:after="0"/>
              <w:ind w:hanging="290"/>
              <w:jc w:val="left"/>
              <w:rPr>
                <w:szCs w:val="24"/>
              </w:rPr>
            </w:pPr>
            <w:r w:rsidRPr="005C3B55">
              <w:t>123 Adding of value to agricultural and forestry products (payment of liabilities from measure M04 of the RDP 2014–2020 for the purpose of processing agricultural products and payment of liabilities from measure M08 of the RDP 2014–2020 for the purpose of processing forestry products)</w:t>
            </w:r>
          </w:p>
          <w:p w:rsidR="00C21266" w:rsidRPr="005C3B55" w:rsidRDefault="00C21266" w:rsidP="006E20B6">
            <w:pPr>
              <w:numPr>
                <w:ilvl w:val="0"/>
                <w:numId w:val="1059"/>
              </w:numPr>
              <w:spacing w:before="0" w:after="0"/>
              <w:ind w:hanging="290"/>
              <w:jc w:val="left"/>
              <w:rPr>
                <w:szCs w:val="24"/>
              </w:rPr>
            </w:pPr>
            <w:r w:rsidRPr="005C3B55">
              <w:t>125 Improvement and development of infrastructure related to the development and adjustment of agriculture (payment of liabilities from measure M04 of the RDP 2014–2020)</w:t>
            </w:r>
          </w:p>
          <w:p w:rsidR="00C21266" w:rsidRPr="005C3B55" w:rsidRDefault="00C21266" w:rsidP="006E20B6">
            <w:pPr>
              <w:numPr>
                <w:ilvl w:val="0"/>
                <w:numId w:val="1059"/>
              </w:numPr>
              <w:spacing w:before="0" w:after="0"/>
              <w:ind w:hanging="290"/>
              <w:jc w:val="left"/>
              <w:rPr>
                <w:szCs w:val="24"/>
              </w:rPr>
            </w:pPr>
            <w:r w:rsidRPr="005C3B55">
              <w:t>211 Compensation payments for less favoured areas for agricultural activity in mountain areas (payment of liabilities from measure M13 of the RDP 2014–2020)</w:t>
            </w:r>
          </w:p>
          <w:p w:rsidR="00C21266" w:rsidRPr="005C3B55" w:rsidRDefault="00C21266" w:rsidP="006E20B6">
            <w:pPr>
              <w:numPr>
                <w:ilvl w:val="0"/>
                <w:numId w:val="1059"/>
              </w:numPr>
              <w:spacing w:before="0" w:after="0"/>
              <w:ind w:hanging="290"/>
              <w:jc w:val="left"/>
              <w:rPr>
                <w:szCs w:val="24"/>
              </w:rPr>
            </w:pPr>
            <w:r w:rsidRPr="005C3B55">
              <w:t>212 Compensation payments for less favoured areas for agricultural activity in areas that are not mountain areas (payment of liabilities from measure M13 of the RDP 2014–2020)</w:t>
            </w:r>
          </w:p>
          <w:p w:rsidR="00C21266" w:rsidRPr="005C3B55" w:rsidRDefault="00C21266" w:rsidP="006E20B6">
            <w:pPr>
              <w:numPr>
                <w:ilvl w:val="0"/>
                <w:numId w:val="1059"/>
              </w:numPr>
              <w:spacing w:before="0" w:after="0"/>
              <w:ind w:hanging="290"/>
              <w:jc w:val="left"/>
              <w:rPr>
                <w:szCs w:val="24"/>
              </w:rPr>
            </w:pPr>
            <w:r w:rsidRPr="005C3B55">
              <w:t>214 Agri-environment payments (payment of liabilities from measure M11 of the RDP 2014–2020 for the ‘Organic farming’ sub-measure and payment of liabilities from measure M10 of the RDP 2014–2020 for other sub-measures)</w:t>
            </w:r>
          </w:p>
          <w:p w:rsidR="00C21266" w:rsidRPr="005C3B55" w:rsidRDefault="00C21266" w:rsidP="006E20B6">
            <w:pPr>
              <w:numPr>
                <w:ilvl w:val="0"/>
                <w:numId w:val="1059"/>
              </w:numPr>
              <w:spacing w:before="0" w:after="0"/>
              <w:ind w:hanging="290"/>
              <w:jc w:val="left"/>
              <w:rPr>
                <w:szCs w:val="24"/>
              </w:rPr>
            </w:pPr>
            <w:r w:rsidRPr="005C3B55">
              <w:t>311 Diversification to non-agricultural activities (payment of liabilities from measure M06 of the RDP 2014–2020)</w:t>
            </w:r>
          </w:p>
          <w:p w:rsidR="00C21266" w:rsidRPr="005C3B55" w:rsidRDefault="00C21266" w:rsidP="006E20B6">
            <w:pPr>
              <w:numPr>
                <w:ilvl w:val="0"/>
                <w:numId w:val="1059"/>
              </w:numPr>
              <w:spacing w:before="0" w:after="0"/>
              <w:ind w:hanging="290"/>
              <w:jc w:val="left"/>
              <w:rPr>
                <w:szCs w:val="24"/>
              </w:rPr>
            </w:pPr>
            <w:r w:rsidRPr="005C3B55">
              <w:t>312 Support for the establishment and development of micro-enterprises (payment of liabilities from measure M06 of the RDP 2014–2020)</w:t>
            </w:r>
          </w:p>
          <w:p w:rsidR="00C21266" w:rsidRPr="005C3B55" w:rsidRDefault="00C21266" w:rsidP="006E20B6">
            <w:pPr>
              <w:numPr>
                <w:ilvl w:val="0"/>
                <w:numId w:val="1059"/>
              </w:numPr>
              <w:spacing w:before="0" w:after="0"/>
              <w:ind w:hanging="290"/>
              <w:jc w:val="left"/>
              <w:rPr>
                <w:szCs w:val="24"/>
              </w:rPr>
            </w:pPr>
            <w:r w:rsidRPr="005C3B55">
              <w:t>322 Reconstruction and development of villages (payment of liabilities from measure M07 of the RDP 2014–2020)</w:t>
            </w:r>
          </w:p>
          <w:p w:rsidR="00C21266" w:rsidRPr="005C3B55" w:rsidRDefault="00C21266" w:rsidP="006E20B6">
            <w:pPr>
              <w:numPr>
                <w:ilvl w:val="0"/>
                <w:numId w:val="1059"/>
              </w:numPr>
              <w:spacing w:before="0" w:after="0"/>
              <w:ind w:hanging="290"/>
              <w:jc w:val="left"/>
              <w:rPr>
                <w:szCs w:val="24"/>
              </w:rPr>
            </w:pPr>
            <w:r w:rsidRPr="005C3B55">
              <w:t>323 Conservation and improvement of countryside heritage (payment of liabilities from measure M07 of the RDP 2014–2020)</w:t>
            </w:r>
          </w:p>
          <w:p w:rsidR="00C21266" w:rsidRPr="005C3B55" w:rsidRDefault="00C21266" w:rsidP="006E20B6">
            <w:pPr>
              <w:numPr>
                <w:ilvl w:val="0"/>
                <w:numId w:val="1059"/>
              </w:numPr>
              <w:spacing w:before="0" w:after="240"/>
              <w:ind w:hanging="290"/>
              <w:jc w:val="left"/>
              <w:rPr>
                <w:szCs w:val="24"/>
              </w:rPr>
            </w:pPr>
            <w:r w:rsidRPr="005C3B55">
              <w:t>LEADER measures (payment of liabilities from measure M19 of the RDP 2014–2020)</w:t>
            </w:r>
          </w:p>
          <w:p w:rsidR="00C21266" w:rsidRPr="005C3B55" w:rsidRDefault="00C21266">
            <w:pPr>
              <w:spacing w:before="240" w:after="240"/>
              <w:rPr>
                <w:szCs w:val="24"/>
              </w:rPr>
            </w:pPr>
            <w:r w:rsidRPr="005C3B55">
              <w:t>In the implementation of measures of the RDP 2007–2013, the MA established a discrepancy between the granted and actually paid funds. Therefore, more funds were granted in order to ensure a 100 per cent drawing of the RDP 2007–2013. Under measures 112 Setting up of young farmers, 211 Compensation payments for less favoured areas for agricultural activity in mountain areas and 212 Compensation payments for less favoured areas for agricultural activity in areas that are not mountain areas, only liabilities arising from positively resolved complaints will be paid.</w:t>
            </w:r>
          </w:p>
          <w:p w:rsidR="00C21266" w:rsidRPr="005C3B55" w:rsidRDefault="00C21266">
            <w:pPr>
              <w:spacing w:before="240" w:after="240"/>
              <w:rPr>
                <w:szCs w:val="24"/>
              </w:rPr>
            </w:pPr>
            <w:r w:rsidRPr="005C3B55">
              <w:t>Payments under this point will be carried out in the period from 1 January 2015 to 31 December 2016 in accordance with the EAFRD contribution rate as indicated in the measure of the RDP 2014-2020 under which they will be co-funded. In case of the measure 214 Agri-environment payments, payments will be carried out between 1 January 2015 and 31 December 2015 for liabilities the claim for the payment of which was filed by the beneficiaries in 2014 or in the case of complaints, between 2007 and 2014.</w:t>
            </w:r>
          </w:p>
          <w:p w:rsidR="00C21266" w:rsidRPr="005C3B55" w:rsidRDefault="00C21266">
            <w:pPr>
              <w:spacing w:before="240" w:after="240"/>
              <w:rPr>
                <w:szCs w:val="24"/>
              </w:rPr>
            </w:pPr>
            <w:r w:rsidRPr="005C3B55">
              <w:t>(2) Pursuant to Article 3(1)(b) of Regulation (EU) No 1310/2013, Slovenia will transfer a part of liabilities arising from positively resolved complaints to the 2014–2020 programming period for the following measures of the RDP 2007–2013:</w:t>
            </w:r>
          </w:p>
          <w:p w:rsidR="00C21266" w:rsidRPr="005C3B55" w:rsidRDefault="00C21266" w:rsidP="006E20B6">
            <w:pPr>
              <w:numPr>
                <w:ilvl w:val="0"/>
                <w:numId w:val="1060"/>
              </w:numPr>
              <w:spacing w:before="240" w:after="0"/>
              <w:ind w:hanging="290"/>
              <w:jc w:val="left"/>
              <w:rPr>
                <w:szCs w:val="24"/>
              </w:rPr>
            </w:pPr>
            <w:r w:rsidRPr="005C3B55">
              <w:t>112 Setting up of young farmers (payment of liabilities from measure M06 of the RDP 2014–2020)</w:t>
            </w:r>
          </w:p>
          <w:p w:rsidR="00C21266" w:rsidRPr="005C3B55" w:rsidRDefault="00C21266" w:rsidP="006E20B6">
            <w:pPr>
              <w:numPr>
                <w:ilvl w:val="0"/>
                <w:numId w:val="1060"/>
              </w:numPr>
              <w:spacing w:before="0" w:after="0"/>
              <w:ind w:hanging="290"/>
              <w:jc w:val="left"/>
              <w:rPr>
                <w:szCs w:val="24"/>
              </w:rPr>
            </w:pPr>
            <w:r w:rsidRPr="005C3B55">
              <w:t>121 Modernisation of agricultural holdings (payment of liabilities from measure M04 of the RDP 2014–2020)</w:t>
            </w:r>
          </w:p>
          <w:p w:rsidR="00C21266" w:rsidRPr="005C3B55" w:rsidRDefault="00C21266" w:rsidP="006E20B6">
            <w:pPr>
              <w:numPr>
                <w:ilvl w:val="0"/>
                <w:numId w:val="1060"/>
              </w:numPr>
              <w:spacing w:before="0" w:after="0"/>
              <w:ind w:hanging="290"/>
              <w:jc w:val="left"/>
              <w:rPr>
                <w:szCs w:val="24"/>
              </w:rPr>
            </w:pPr>
            <w:r w:rsidRPr="005C3B55">
              <w:t>122 Increasing of the economic value of forests (payment of liabilities from measure M08 of the RDP 2014–2020)</w:t>
            </w:r>
          </w:p>
          <w:p w:rsidR="00C21266" w:rsidRPr="005C3B55" w:rsidRDefault="00C21266" w:rsidP="006E20B6">
            <w:pPr>
              <w:numPr>
                <w:ilvl w:val="0"/>
                <w:numId w:val="1060"/>
              </w:numPr>
              <w:spacing w:before="0" w:after="0"/>
              <w:ind w:hanging="290"/>
              <w:jc w:val="left"/>
              <w:rPr>
                <w:szCs w:val="24"/>
              </w:rPr>
            </w:pPr>
            <w:r w:rsidRPr="005C3B55">
              <w:t>123 Adding of value to agricultural and forestry products (payment of liabilities from measure M04 of the RDP 2014–2020 for the purpose of processing agricultural products and payment of liabilities from measure M08 of the RDP 2014–2020 for the purpose of processing forestry products)</w:t>
            </w:r>
          </w:p>
          <w:p w:rsidR="00C21266" w:rsidRPr="005C3B55" w:rsidRDefault="00C21266" w:rsidP="006E20B6">
            <w:pPr>
              <w:numPr>
                <w:ilvl w:val="0"/>
                <w:numId w:val="1060"/>
              </w:numPr>
              <w:spacing w:before="0" w:after="0"/>
              <w:ind w:hanging="290"/>
              <w:jc w:val="left"/>
              <w:rPr>
                <w:szCs w:val="24"/>
              </w:rPr>
            </w:pPr>
            <w:r w:rsidRPr="005C3B55">
              <w:t>125 Improvement and development of infrastructure related to the development and adjustment of agriculture (payment of liabilities from measure M04 of the RDP 2014–2020)</w:t>
            </w:r>
          </w:p>
          <w:p w:rsidR="00C21266" w:rsidRPr="005C3B55" w:rsidRDefault="00C21266" w:rsidP="006E20B6">
            <w:pPr>
              <w:numPr>
                <w:ilvl w:val="0"/>
                <w:numId w:val="1060"/>
              </w:numPr>
              <w:spacing w:before="0" w:after="0"/>
              <w:ind w:hanging="290"/>
              <w:jc w:val="left"/>
              <w:rPr>
                <w:szCs w:val="24"/>
              </w:rPr>
            </w:pPr>
            <w:r w:rsidRPr="005C3B55">
              <w:t>211 Compensation payments for less favoured areas for agricultural activity in mountain areas (payment of liabilities from measure M13 of the RDP 2014–2020)</w:t>
            </w:r>
          </w:p>
          <w:p w:rsidR="00C21266" w:rsidRPr="005C3B55" w:rsidRDefault="00C21266" w:rsidP="006E20B6">
            <w:pPr>
              <w:numPr>
                <w:ilvl w:val="0"/>
                <w:numId w:val="1060"/>
              </w:numPr>
              <w:spacing w:before="0" w:after="0"/>
              <w:ind w:hanging="290"/>
              <w:jc w:val="left"/>
              <w:rPr>
                <w:szCs w:val="24"/>
              </w:rPr>
            </w:pPr>
            <w:r w:rsidRPr="005C3B55">
              <w:t>212 Compensation payments for less favoured areas for agricultural activity in areas that are not mountain areas (payment of liabilities from measure M13 of the RDP 2014–2020)</w:t>
            </w:r>
          </w:p>
          <w:p w:rsidR="00C21266" w:rsidRPr="005C3B55" w:rsidRDefault="00C21266" w:rsidP="006E20B6">
            <w:pPr>
              <w:numPr>
                <w:ilvl w:val="0"/>
                <w:numId w:val="1060"/>
              </w:numPr>
              <w:spacing w:before="0" w:after="0"/>
              <w:ind w:hanging="290"/>
              <w:jc w:val="left"/>
              <w:rPr>
                <w:szCs w:val="24"/>
              </w:rPr>
            </w:pPr>
            <w:r w:rsidRPr="005C3B55">
              <w:t>214 Agri-environment payments (payment of liabilities from measure M11 of the RDP 2014–2020 for the ‘Organic farming’ sub-measure and payment of liabilities from measure M10 of the RDP 2014–2020 for other sub-measures)</w:t>
            </w:r>
          </w:p>
          <w:p w:rsidR="00C21266" w:rsidRPr="005C3B55" w:rsidRDefault="00C21266" w:rsidP="006E20B6">
            <w:pPr>
              <w:numPr>
                <w:ilvl w:val="0"/>
                <w:numId w:val="1060"/>
              </w:numPr>
              <w:spacing w:before="0" w:after="0"/>
              <w:ind w:hanging="290"/>
              <w:jc w:val="left"/>
              <w:rPr>
                <w:szCs w:val="24"/>
              </w:rPr>
            </w:pPr>
            <w:r w:rsidRPr="005C3B55">
              <w:t>311 Diversification to non-agricultural activities (payment of liabilities from measure M06 of the RDP 2014–2020)</w:t>
            </w:r>
          </w:p>
          <w:p w:rsidR="00C21266" w:rsidRPr="005C3B55" w:rsidRDefault="00C21266" w:rsidP="006E20B6">
            <w:pPr>
              <w:numPr>
                <w:ilvl w:val="0"/>
                <w:numId w:val="1060"/>
              </w:numPr>
              <w:spacing w:before="0" w:after="0"/>
              <w:ind w:hanging="290"/>
              <w:jc w:val="left"/>
              <w:rPr>
                <w:szCs w:val="24"/>
              </w:rPr>
            </w:pPr>
            <w:r w:rsidRPr="005C3B55">
              <w:t>312 Support for the establishment and development of micro-enterprises (payment of liabilities from measure M06 of the RDP 2014–2020)</w:t>
            </w:r>
          </w:p>
          <w:p w:rsidR="00C21266" w:rsidRPr="005C3B55" w:rsidRDefault="00C21266" w:rsidP="006E20B6">
            <w:pPr>
              <w:numPr>
                <w:ilvl w:val="0"/>
                <w:numId w:val="1060"/>
              </w:numPr>
              <w:spacing w:before="0" w:after="0"/>
              <w:ind w:hanging="290"/>
              <w:jc w:val="left"/>
              <w:rPr>
                <w:szCs w:val="24"/>
              </w:rPr>
            </w:pPr>
            <w:r w:rsidRPr="005C3B55">
              <w:t>322 Reconstruction and development of villages (payment of liabilities from measure M07 of the RDP 2014–2020)</w:t>
            </w:r>
          </w:p>
          <w:p w:rsidR="00C21266" w:rsidRPr="005C3B55" w:rsidRDefault="00C21266" w:rsidP="006E20B6">
            <w:pPr>
              <w:numPr>
                <w:ilvl w:val="0"/>
                <w:numId w:val="1060"/>
              </w:numPr>
              <w:spacing w:before="0" w:after="0"/>
              <w:ind w:hanging="290"/>
              <w:jc w:val="left"/>
              <w:rPr>
                <w:szCs w:val="24"/>
              </w:rPr>
            </w:pPr>
            <w:r w:rsidRPr="005C3B55">
              <w:t>323 Conservation and improvement of countryside heritage (payment of liabilities from measure M07 of the RDP 2014–2020)</w:t>
            </w:r>
          </w:p>
          <w:p w:rsidR="00C21266" w:rsidRPr="005C3B55" w:rsidRDefault="00C21266" w:rsidP="006E20B6">
            <w:pPr>
              <w:numPr>
                <w:ilvl w:val="0"/>
                <w:numId w:val="1060"/>
              </w:numPr>
              <w:spacing w:before="0" w:after="240"/>
              <w:ind w:hanging="290"/>
              <w:jc w:val="left"/>
              <w:rPr>
                <w:szCs w:val="24"/>
              </w:rPr>
            </w:pPr>
            <w:r w:rsidRPr="005C3B55">
              <w:t>LEADER measures (payment of liabilities from measure M19 of the RDP 2014–2020).</w:t>
            </w:r>
          </w:p>
          <w:p w:rsidR="00C21266" w:rsidRPr="005C3B55" w:rsidRDefault="00C21266">
            <w:pPr>
              <w:spacing w:before="240" w:after="240"/>
              <w:rPr>
                <w:szCs w:val="24"/>
              </w:rPr>
            </w:pPr>
            <w:r w:rsidRPr="005C3B55">
              <w:t>Payments for this purpose will be carried out between 1 January 2016 and 31 December 2018 in accordance with the EAFRD contribution rate as indicated in the measure of the RDP 2014–2020 under which they will be co-funded. Under measure 214 Agri-environment payments, payments will be carried out between 1 January 2016 and 31 December 2017 for liabilities claim for the payment of which was filed by the beneficiaries between 2007 and 2014.</w:t>
            </w:r>
          </w:p>
          <w:p w:rsidR="00C21266" w:rsidRPr="005C3B55" w:rsidRDefault="00C21266">
            <w:pPr>
              <w:spacing w:before="240" w:after="240"/>
              <w:rPr>
                <w:szCs w:val="24"/>
              </w:rPr>
            </w:pPr>
            <w:r w:rsidRPr="005C3B55">
              <w:t>(3) Pursuant to Article 3(1)(b) of Regulation (EU) No 1310/2013 and Article 16(1)(b) of Regulation (EU) No 807/2014, Slovenia will transfer a part of liabilities from measure 113 Early retirement of farmers to the 2014–2020 programming period. Liabilities under this measure of the RDP 2007–2013 arose when contracts were concluded with the beneficiaries or decisions were issued which enable the beneficiaries to receive annuities over a period of 10 years. In accordance with the provisions of the contracts concluded/decision issued, the beneficiaries will receive annuities until the completion of contractual obligations also in the 2014–2020 period (until the end of 2013). Payments for this purpose will be carried out between 1 January 2016 and 31 December 2020 in accordance with the EAFRD contribution rate as indicated in Chapter 10.3 of the RDP 2014–2020.</w:t>
            </w:r>
          </w:p>
          <w:p w:rsidR="00C21266" w:rsidRPr="005C3B55" w:rsidRDefault="00C21266">
            <w:pPr>
              <w:pStyle w:val="Telobesedila"/>
              <w:rPr>
                <w:lang w:eastAsia="en-GB" w:bidi="en-GB"/>
              </w:rPr>
            </w:pPr>
          </w:p>
        </w:tc>
      </w:tr>
    </w:tbl>
    <w:p w:rsidR="00C21266" w:rsidRPr="005C3B55" w:rsidRDefault="00C21266" w:rsidP="00C21266">
      <w:pPr>
        <w:pStyle w:val="Naslov2"/>
        <w:tabs>
          <w:tab w:val="clear" w:pos="765"/>
        </w:tabs>
        <w:ind w:left="0" w:firstLine="0"/>
        <w:rPr>
          <w:lang w:val="en-GB" w:eastAsia="en-GB" w:bidi="en-GB"/>
        </w:rPr>
      </w:pPr>
      <w:bookmarkStart w:id="264" w:name="_Toc416192722"/>
      <w:r w:rsidRPr="005C3B55">
        <w:rPr>
          <w:lang w:val="en-GB"/>
        </w:rPr>
        <w:t>Table of framework transfer</w:t>
      </w:r>
      <w:bookmarkEnd w:id="264"/>
    </w:p>
    <w:tbl>
      <w:tblPr>
        <w:tblStyle w:val="Navadnatabela1"/>
        <w:tblW w:w="5000"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25"/>
        <w:gridCol w:w="2131"/>
      </w:tblGrid>
      <w:tr w:rsidR="00C21266" w:rsidRPr="005C3B55">
        <w:tc>
          <w:tcPr>
            <w:tcW w:w="4000" w:type="pct"/>
            <w:tcBorders>
              <w:top w:val="single" w:sz="4" w:space="0" w:color="auto"/>
              <w:left w:val="single" w:sz="4" w:space="0" w:color="auto"/>
              <w:bottom w:val="single" w:sz="4" w:space="0" w:color="auto"/>
              <w:right w:val="single" w:sz="4" w:space="0" w:color="auto"/>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Measures</w:t>
            </w:r>
          </w:p>
        </w:tc>
        <w:tc>
          <w:tcPr>
            <w:tcW w:w="1000" w:type="pct"/>
            <w:tcBorders>
              <w:top w:val="single" w:sz="4" w:space="0" w:color="auto"/>
              <w:left w:val="single" w:sz="4" w:space="0" w:color="auto"/>
              <w:bottom w:val="single" w:sz="4" w:space="0" w:color="auto"/>
              <w:right w:val="single" w:sz="4" w:space="0" w:color="auto"/>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Total planned Union contribution in the 2014–2020 period (EUR)</w:t>
            </w:r>
          </w:p>
        </w:tc>
      </w:tr>
      <w:tr w:rsidR="00C21266" w:rsidRPr="005C3B55">
        <w:tc>
          <w:tcPr>
            <w:tcW w:w="4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M01 – Knowledge transfer and information actions (Article 14)</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0.00</w:t>
            </w:r>
          </w:p>
        </w:tc>
      </w:tr>
      <w:tr w:rsidR="00C21266" w:rsidRPr="005C3B55">
        <w:tc>
          <w:tcPr>
            <w:tcW w:w="4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M02 – Advisory services, farm management and farm relief services (Article 15)</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0.00</w:t>
            </w:r>
          </w:p>
        </w:tc>
      </w:tr>
      <w:tr w:rsidR="00C21266" w:rsidRPr="005C3B55">
        <w:tc>
          <w:tcPr>
            <w:tcW w:w="4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M03 – Quality schemes for agricultural products and foodstuffs (Article 16)</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0.00</w:t>
            </w:r>
          </w:p>
        </w:tc>
      </w:tr>
      <w:tr w:rsidR="00C21266" w:rsidRPr="005C3B55">
        <w:tc>
          <w:tcPr>
            <w:tcW w:w="4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M04 - Investments in physical assets (Article 17)</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36,750,000.00</w:t>
            </w:r>
          </w:p>
        </w:tc>
      </w:tr>
      <w:tr w:rsidR="00C21266" w:rsidRPr="005C3B55">
        <w:tc>
          <w:tcPr>
            <w:tcW w:w="4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M06 – Farm and business development (Article 19)</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5,500,000.00</w:t>
            </w:r>
          </w:p>
        </w:tc>
      </w:tr>
      <w:tr w:rsidR="00C21266" w:rsidRPr="005C3B55">
        <w:tc>
          <w:tcPr>
            <w:tcW w:w="4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M07 – Basic services and village renewal in rural areas (Article 20)</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750,000.00</w:t>
            </w:r>
          </w:p>
        </w:tc>
      </w:tr>
      <w:tr w:rsidR="00C21266" w:rsidRPr="005C3B55">
        <w:tc>
          <w:tcPr>
            <w:tcW w:w="4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M08 – Investments in forest area development and improvement of the viability of forests (Articles 21-26)</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1,500,000.00</w:t>
            </w:r>
          </w:p>
        </w:tc>
      </w:tr>
      <w:tr w:rsidR="00C21266" w:rsidRPr="005C3B55">
        <w:tc>
          <w:tcPr>
            <w:tcW w:w="4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M09 – Setting-up of producer groups and organisations (Article 27)</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0.00</w:t>
            </w:r>
          </w:p>
        </w:tc>
      </w:tr>
      <w:tr w:rsidR="00C21266" w:rsidRPr="005C3B55">
        <w:tc>
          <w:tcPr>
            <w:tcW w:w="4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M10 – Agri-environment-climate payments (Article 28)</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25,200,000.00</w:t>
            </w:r>
          </w:p>
        </w:tc>
      </w:tr>
      <w:tr w:rsidR="00C21266" w:rsidRPr="005C3B55">
        <w:tc>
          <w:tcPr>
            <w:tcW w:w="4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M11 – Organic farming (Article 29)</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4,800,000.00</w:t>
            </w:r>
          </w:p>
        </w:tc>
      </w:tr>
      <w:tr w:rsidR="00C21266" w:rsidRPr="005C3B55">
        <w:tc>
          <w:tcPr>
            <w:tcW w:w="4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M13 – Payments to areas facing natural or other specific constraints (Article 31)</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1,000,000.00</w:t>
            </w:r>
          </w:p>
        </w:tc>
      </w:tr>
      <w:tr w:rsidR="00C21266" w:rsidRPr="005C3B55">
        <w:tc>
          <w:tcPr>
            <w:tcW w:w="4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M14 – Animal welfare (Article 33)</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0.00</w:t>
            </w:r>
          </w:p>
        </w:tc>
      </w:tr>
      <w:tr w:rsidR="00C21266" w:rsidRPr="005C3B55">
        <w:tc>
          <w:tcPr>
            <w:tcW w:w="4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M16 – Cooperation (Article 35)</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0.00</w:t>
            </w:r>
          </w:p>
        </w:tc>
      </w:tr>
      <w:tr w:rsidR="00C21266" w:rsidRPr="005C3B55">
        <w:tc>
          <w:tcPr>
            <w:tcW w:w="4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M19 – Support for LEADER local development (CLLD – community-led local development) (Article 35 of Regulation (EU) No 1303/2013)</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1,600,000.00</w:t>
            </w:r>
          </w:p>
        </w:tc>
      </w:tr>
      <w:tr w:rsidR="00C21266" w:rsidRPr="005C3B55">
        <w:tc>
          <w:tcPr>
            <w:tcW w:w="4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M20 – Technical assistance on the initiative of Member States (Articles 51–54)</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0.00</w:t>
            </w:r>
          </w:p>
        </w:tc>
      </w:tr>
      <w:tr w:rsidR="00C21266" w:rsidRPr="005C3B55">
        <w:tc>
          <w:tcPr>
            <w:tcW w:w="4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M113 – Early retirement</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3,971,250.00</w:t>
            </w:r>
          </w:p>
        </w:tc>
      </w:tr>
      <w:tr w:rsidR="00C21266" w:rsidRPr="005C3B55">
        <w:tc>
          <w:tcPr>
            <w:tcW w:w="4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M131 – Meeting the standards based on the Community law</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0.00</w:t>
            </w:r>
          </w:p>
        </w:tc>
      </w:tr>
      <w:tr w:rsidR="00C21266" w:rsidRPr="005C3B55">
        <w:tc>
          <w:tcPr>
            <w:tcW w:w="4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M341 – Acquisition of expert knowledge, animation and implementation</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0.00</w:t>
            </w:r>
          </w:p>
        </w:tc>
      </w:tr>
      <w:tr w:rsidR="00C21266" w:rsidRPr="005C3B55">
        <w:tc>
          <w:tcPr>
            <w:tcW w:w="4000" w:type="pct"/>
            <w:tcBorders>
              <w:top w:val="single" w:sz="4" w:space="0" w:color="auto"/>
              <w:left w:val="single" w:sz="4" w:space="0" w:color="auto"/>
              <w:bottom w:val="single" w:sz="4" w:space="0" w:color="auto"/>
              <w:right w:val="single" w:sz="4" w:space="0" w:color="auto"/>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sz w:val="16"/>
                <w:lang w:eastAsia="en-GB" w:bidi="en-GB"/>
              </w:rPr>
            </w:pPr>
            <w:r w:rsidRPr="005C3B55">
              <w:rPr>
                <w:sz w:val="16"/>
              </w:rPr>
              <w:t>Total</w:t>
            </w:r>
          </w:p>
        </w:tc>
        <w:tc>
          <w:tcPr>
            <w:tcW w:w="1000" w:type="pct"/>
            <w:tcBorders>
              <w:top w:val="single" w:sz="4" w:space="0" w:color="auto"/>
              <w:left w:val="single" w:sz="4" w:space="0" w:color="auto"/>
              <w:bottom w:val="single" w:sz="4" w:space="0" w:color="auto"/>
              <w:right w:val="single" w:sz="4" w:space="0" w:color="auto"/>
            </w:tcBorders>
            <w:shd w:val="clear" w:color="auto" w:fill="C0C0C0"/>
            <w:tcMar>
              <w:top w:w="60" w:type="dxa"/>
              <w:left w:w="108" w:type="dxa"/>
              <w:bottom w:w="0" w:type="dxa"/>
              <w:right w:w="108" w:type="dxa"/>
            </w:tcMar>
          </w:tcPr>
          <w:p w:rsidR="00C21266" w:rsidRPr="005C3B55" w:rsidRDefault="00C21266">
            <w:pPr>
              <w:spacing w:after="200"/>
              <w:jc w:val="right"/>
              <w:rPr>
                <w:rFonts w:eastAsia="Calibri"/>
                <w:sz w:val="16"/>
                <w:lang w:eastAsia="en-GB" w:bidi="en-GB"/>
              </w:rPr>
            </w:pPr>
            <w:r w:rsidRPr="005C3B55">
              <w:rPr>
                <w:sz w:val="16"/>
              </w:rPr>
              <w:t>81,071,250.00</w:t>
            </w:r>
          </w:p>
        </w:tc>
      </w:tr>
    </w:tbl>
    <w:p w:rsidR="00C21266" w:rsidRPr="005C3B55" w:rsidRDefault="00C21266" w:rsidP="00C21266">
      <w:pPr>
        <w:spacing w:after="0"/>
        <w:rPr>
          <w:b/>
        </w:rPr>
        <w:sectPr w:rsidR="00C21266" w:rsidRPr="005C3B55">
          <w:pgSz w:w="12240" w:h="15840"/>
          <w:pgMar w:top="900" w:right="900" w:bottom="900" w:left="900" w:header="708" w:footer="708" w:gutter="0"/>
          <w:cols w:space="708"/>
        </w:sectPr>
      </w:pPr>
    </w:p>
    <w:p w:rsidR="00C21266" w:rsidRPr="005C3B55" w:rsidRDefault="00C21266" w:rsidP="00C21266">
      <w:pPr>
        <w:pStyle w:val="Naslov1"/>
        <w:rPr>
          <w:lang w:val="en-GB" w:eastAsia="en-GB" w:bidi="en-GB"/>
        </w:rPr>
      </w:pPr>
      <w:bookmarkStart w:id="265" w:name="_Toc416192723"/>
      <w:r w:rsidRPr="005C3B55">
        <w:rPr>
          <w:lang w:val="en-GB"/>
        </w:rPr>
        <w:t>Thematic sub-programmes</w:t>
      </w:r>
      <w:bookmarkEnd w:id="265"/>
    </w:p>
    <w:tbl>
      <w:tblPr>
        <w:tblStyle w:val="Navadnatabela1"/>
        <w:tblW w:w="5000"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256"/>
      </w:tblGrid>
      <w:tr w:rsidR="00C21266" w:rsidRPr="005C3B55">
        <w:trPr>
          <w:trHeight w:val="230"/>
        </w:trPr>
        <w:tc>
          <w:tcPr>
            <w:tcW w:w="1000" w:type="pct"/>
            <w:tcBorders>
              <w:top w:val="single" w:sz="4" w:space="0" w:color="auto"/>
              <w:left w:val="single" w:sz="4" w:space="0" w:color="auto"/>
              <w:bottom w:val="single" w:sz="4" w:space="0" w:color="auto"/>
              <w:right w:val="single" w:sz="4" w:space="0" w:color="auto"/>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sz w:val="20"/>
                <w:lang w:eastAsia="en-GB" w:bidi="en-GB"/>
              </w:rPr>
            </w:pPr>
            <w:r w:rsidRPr="005C3B55">
              <w:rPr>
                <w:sz w:val="20"/>
              </w:rPr>
              <w:t>Thematic sub-programme name</w:t>
            </w:r>
          </w:p>
        </w:tc>
      </w:tr>
    </w:tbl>
    <w:p w:rsidR="00C21266" w:rsidRPr="005C3B55" w:rsidRDefault="00C21266" w:rsidP="00C21266">
      <w:pPr>
        <w:spacing w:after="0"/>
        <w:sectPr w:rsidR="00C21266" w:rsidRPr="005C3B55">
          <w:pgSz w:w="15840" w:h="12240" w:orient="landscape"/>
          <w:pgMar w:top="900" w:right="900" w:bottom="900" w:left="900" w:header="708" w:footer="708" w:gutter="0"/>
          <w:cols w:space="708"/>
        </w:sectPr>
      </w:pPr>
    </w:p>
    <w:p w:rsidR="00C21266" w:rsidRPr="005C3B55" w:rsidRDefault="00C21266" w:rsidP="00C21266">
      <w:pPr>
        <w:pStyle w:val="Naslov1"/>
        <w:rPr>
          <w:b w:val="0"/>
          <w:lang w:val="en-GB" w:eastAsia="en-GB" w:bidi="en-GB"/>
        </w:rPr>
      </w:pPr>
      <w:bookmarkStart w:id="266" w:name="_Toc416192724"/>
      <w:r w:rsidRPr="005C3B55">
        <w:rPr>
          <w:b w:val="0"/>
          <w:lang w:val="en-GB"/>
        </w:rPr>
        <w:t>Documents</w:t>
      </w:r>
      <w:bookmarkEnd w:id="266"/>
    </w:p>
    <w:tbl>
      <w:tblPr>
        <w:tblStyle w:val="Navadnatabela1"/>
        <w:tblW w:w="5000"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77"/>
        <w:gridCol w:w="2077"/>
        <w:gridCol w:w="2077"/>
        <w:gridCol w:w="2077"/>
        <w:gridCol w:w="2077"/>
        <w:gridCol w:w="1016"/>
        <w:gridCol w:w="1167"/>
        <w:gridCol w:w="872"/>
        <w:gridCol w:w="816"/>
      </w:tblGrid>
      <w:tr w:rsidR="00C21266" w:rsidRPr="005C3B55">
        <w:tc>
          <w:tcPr>
            <w:tcW w:w="1000" w:type="pct"/>
            <w:tcBorders>
              <w:top w:val="single" w:sz="4" w:space="0" w:color="auto"/>
              <w:left w:val="single" w:sz="4" w:space="0" w:color="auto"/>
              <w:bottom w:val="single" w:sz="4" w:space="0" w:color="auto"/>
              <w:right w:val="single" w:sz="4" w:space="0" w:color="auto"/>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Document name</w:t>
            </w:r>
          </w:p>
        </w:tc>
        <w:tc>
          <w:tcPr>
            <w:tcW w:w="1000" w:type="pct"/>
            <w:tcBorders>
              <w:top w:val="single" w:sz="4" w:space="0" w:color="auto"/>
              <w:left w:val="single" w:sz="4" w:space="0" w:color="auto"/>
              <w:bottom w:val="single" w:sz="4" w:space="0" w:color="auto"/>
              <w:right w:val="single" w:sz="4" w:space="0" w:color="auto"/>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Document type</w:t>
            </w:r>
          </w:p>
        </w:tc>
        <w:tc>
          <w:tcPr>
            <w:tcW w:w="1000" w:type="pct"/>
            <w:tcBorders>
              <w:top w:val="single" w:sz="4" w:space="0" w:color="auto"/>
              <w:left w:val="single" w:sz="4" w:space="0" w:color="auto"/>
              <w:bottom w:val="single" w:sz="4" w:space="0" w:color="auto"/>
              <w:right w:val="single" w:sz="4" w:space="0" w:color="auto"/>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Document date</w:t>
            </w:r>
          </w:p>
        </w:tc>
        <w:tc>
          <w:tcPr>
            <w:tcW w:w="1000" w:type="pct"/>
            <w:tcBorders>
              <w:top w:val="single" w:sz="4" w:space="0" w:color="auto"/>
              <w:left w:val="single" w:sz="4" w:space="0" w:color="auto"/>
              <w:bottom w:val="single" w:sz="4" w:space="0" w:color="auto"/>
              <w:right w:val="single" w:sz="4" w:space="0" w:color="auto"/>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Local reference</w:t>
            </w:r>
          </w:p>
        </w:tc>
        <w:tc>
          <w:tcPr>
            <w:tcW w:w="1000" w:type="pct"/>
            <w:tcBorders>
              <w:top w:val="single" w:sz="4" w:space="0" w:color="auto"/>
              <w:left w:val="single" w:sz="4" w:space="0" w:color="auto"/>
              <w:bottom w:val="single" w:sz="4" w:space="0" w:color="auto"/>
              <w:right w:val="single" w:sz="4" w:space="0" w:color="auto"/>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Commission reference number</w:t>
            </w:r>
          </w:p>
        </w:tc>
        <w:tc>
          <w:tcPr>
            <w:tcW w:w="1000" w:type="pct"/>
            <w:tcBorders>
              <w:top w:val="single" w:sz="4" w:space="0" w:color="auto"/>
              <w:left w:val="single" w:sz="4" w:space="0" w:color="auto"/>
              <w:bottom w:val="single" w:sz="4" w:space="0" w:color="auto"/>
              <w:right w:val="single" w:sz="4" w:space="0" w:color="auto"/>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Control value</w:t>
            </w:r>
          </w:p>
        </w:tc>
        <w:tc>
          <w:tcPr>
            <w:tcW w:w="1000" w:type="pct"/>
            <w:tcBorders>
              <w:top w:val="single" w:sz="4" w:space="0" w:color="auto"/>
              <w:left w:val="single" w:sz="4" w:space="0" w:color="auto"/>
              <w:bottom w:val="single" w:sz="4" w:space="0" w:color="auto"/>
              <w:right w:val="single" w:sz="4" w:space="0" w:color="auto"/>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Files</w:t>
            </w:r>
          </w:p>
        </w:tc>
        <w:tc>
          <w:tcPr>
            <w:tcW w:w="1000" w:type="pct"/>
            <w:tcBorders>
              <w:top w:val="single" w:sz="4" w:space="0" w:color="auto"/>
              <w:left w:val="single" w:sz="4" w:space="0" w:color="auto"/>
              <w:bottom w:val="single" w:sz="4" w:space="0" w:color="auto"/>
              <w:right w:val="single" w:sz="4" w:space="0" w:color="auto"/>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Date of sending</w:t>
            </w:r>
          </w:p>
        </w:tc>
        <w:tc>
          <w:tcPr>
            <w:tcW w:w="1000" w:type="pct"/>
            <w:tcBorders>
              <w:top w:val="single" w:sz="4" w:space="0" w:color="auto"/>
              <w:left w:val="single" w:sz="4" w:space="0" w:color="auto"/>
              <w:bottom w:val="single" w:sz="4" w:space="0" w:color="auto"/>
              <w:right w:val="single" w:sz="4" w:space="0" w:color="auto"/>
            </w:tcBorders>
            <w:shd w:val="clear" w:color="auto" w:fill="C0C0C0"/>
            <w:tcMar>
              <w:top w:w="60" w:type="dxa"/>
              <w:left w:w="108" w:type="dxa"/>
              <w:bottom w:w="0" w:type="dxa"/>
              <w:right w:w="108" w:type="dxa"/>
            </w:tcMar>
          </w:tcPr>
          <w:p w:rsidR="00C21266" w:rsidRPr="005C3B55" w:rsidRDefault="00C21266">
            <w:pPr>
              <w:spacing w:after="200"/>
              <w:jc w:val="center"/>
              <w:rPr>
                <w:rFonts w:eastAsia="Calibri"/>
                <w:b/>
                <w:sz w:val="20"/>
                <w:lang w:eastAsia="en-GB" w:bidi="en-GB"/>
              </w:rPr>
            </w:pPr>
            <w:r w:rsidRPr="005C3B55">
              <w:rPr>
                <w:b/>
                <w:sz w:val="20"/>
              </w:rPr>
              <w:t xml:space="preserve">Sender </w:t>
            </w:r>
          </w:p>
        </w:tc>
      </w:tr>
      <w:tr w:rsidR="00C21266" w:rsidRPr="005C3B55">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Taking into account the revision findings</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18 Preliminary assessment of verifiability, control options, etc. - annex</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5 December 2014</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Ares(2015)246874</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3908596749</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Taking into account the revision findings</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21 January 2015</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nsesekal</w:t>
            </w:r>
          </w:p>
        </w:tc>
      </w:tr>
      <w:tr w:rsidR="00C21266" w:rsidRPr="005C3B55">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 xml:space="preserve">Skeleton plan of trainings </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6 Preliminary conditionalities - annex</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4 November 2014</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Ares(2015)246874</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1520823644</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Skeleton plan of trainings</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21 January 2015</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nsesekal</w:t>
            </w:r>
          </w:p>
        </w:tc>
      </w:tr>
      <w:tr w:rsidR="00C21266" w:rsidRPr="005C3B55">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Combinations for the measure M10</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8.2 M10 – Agri-environment-climate payments (Article 28) - annex</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20 January 2015</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Ares(2015)246874</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2340198969</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rPr>
                <w:rFonts w:eastAsia="Calibri"/>
                <w:sz w:val="16"/>
              </w:rPr>
            </w:pPr>
            <w:r w:rsidRPr="005C3B55">
              <w:rPr>
                <w:sz w:val="16"/>
              </w:rPr>
              <w:t>Combinations between the measures M10 and M11</w:t>
            </w:r>
          </w:p>
          <w:p w:rsidR="00C21266" w:rsidRPr="005C3B55" w:rsidRDefault="00C21266">
            <w:pPr>
              <w:spacing w:after="200"/>
              <w:rPr>
                <w:rFonts w:eastAsia="Calibri"/>
                <w:sz w:val="16"/>
                <w:lang w:eastAsia="en-GB" w:bidi="en-GB"/>
              </w:rPr>
            </w:pPr>
            <w:r w:rsidRPr="005C3B55">
              <w:rPr>
                <w:sz w:val="16"/>
              </w:rPr>
              <w:t>Combinations for the measure M10</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21 January 2015</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nsesekal</w:t>
            </w:r>
          </w:p>
        </w:tc>
      </w:tr>
      <w:tr w:rsidR="00C21266" w:rsidRPr="005C3B55">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Methodology for the measure M11</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M11 – Organic farming (Article 29) - annex</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4 December 2014</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Ares(2015)246874</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4075519337</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Methodology M11</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21 January 2015</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nsesekal</w:t>
            </w:r>
          </w:p>
        </w:tc>
      </w:tr>
      <w:tr w:rsidR="00C21266" w:rsidRPr="005C3B55">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Outlines for the measure M11</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M11 – Organic farming (Article 29) - annex</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4 December 2014</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Ares(2015)246874</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1186253618</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Outlines for the measure M11</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21 January 2015</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nsesekal</w:t>
            </w:r>
          </w:p>
        </w:tc>
      </w:tr>
      <w:tr w:rsidR="00C21266" w:rsidRPr="005C3B55">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Model calculations for the measure M13</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8.2 M13 – Payments to areas facing natural or other specific constraints (Article 31) - annex</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2 December 2014</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Ares(2015)246874</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1340908937</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Model calculations for the measure M13</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21 January 2015</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nsesekal</w:t>
            </w:r>
          </w:p>
        </w:tc>
      </w:tr>
      <w:tr w:rsidR="00C21266" w:rsidRPr="005C3B55">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Methodology of calculations for the measure M14</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8.2 M14 – animal welfare (Article 33) - annex</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3 December 2014</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Ares(2015)246874</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3566458586</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Methodology of calculations for the measure M14</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21 January 2015</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nsesekal</w:t>
            </w:r>
          </w:p>
        </w:tc>
      </w:tr>
      <w:tr w:rsidR="00C21266" w:rsidRPr="005C3B55">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Statement of the Paying Agency and possibilities of control</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18 Preliminary assessment of verifiability, control options, etc. - annex</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5 December 2014</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Ares(2015)246874</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1957831546</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Statement of the Paying Agency and possibilities of control</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21 January 2015</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nsesekal</w:t>
            </w:r>
          </w:p>
        </w:tc>
      </w:tr>
      <w:tr w:rsidR="00C21266" w:rsidRPr="005C3B55">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Statement of the independent authority on the adequacy and precision of the calculations of the measure M08</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18 Preliminary assessment of verifiability, control options, etc. - annex</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5 December 2014</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Ares(2015)246874</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3334432837</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rPr>
                <w:rFonts w:eastAsia="Calibri"/>
                <w:sz w:val="16"/>
              </w:rPr>
            </w:pPr>
            <w:r w:rsidRPr="005C3B55">
              <w:rPr>
                <w:sz w:val="16"/>
              </w:rPr>
              <w:t>Statement of the independent authority on the adequacy and precision of the calculations of the measure M08</w:t>
            </w:r>
          </w:p>
          <w:p w:rsidR="00C21266" w:rsidRPr="005C3B55" w:rsidRDefault="00C21266">
            <w:pPr>
              <w:spacing w:after="200"/>
              <w:rPr>
                <w:rFonts w:eastAsia="Calibri"/>
                <w:sz w:val="16"/>
                <w:lang w:eastAsia="en-GB" w:bidi="en-GB"/>
              </w:rPr>
            </w:pPr>
            <w:r w:rsidRPr="005C3B55">
              <w:rPr>
                <w:sz w:val="16"/>
              </w:rPr>
              <w:t>Statement of the independent authority on the adequacy and precision of the calculations of the measure M08</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21 January 2015</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nsesekal</w:t>
            </w:r>
          </w:p>
        </w:tc>
      </w:tr>
      <w:tr w:rsidR="00C21266" w:rsidRPr="005C3B55">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Statement of the independent authority on the adequacy and precision of the calculations of the measure M13</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18 Preliminary assessment of verifiability, control options, etc. - annex</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5 December 2014</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Ares(2015)246874</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4109873012</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Statement of the independent authority on the adequacy and precision of the calculations of the measure M13</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21 January 2015</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nsesekal</w:t>
            </w:r>
          </w:p>
        </w:tc>
      </w:tr>
      <w:tr w:rsidR="00C21266" w:rsidRPr="005C3B55">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Preliminary evaluation of the Rural Development Programme for Slovenia 2014-2020</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3 Report on the preliminary evaluation - annex</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23 May 2014</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Ares(2015)246874</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3771460069</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Preliminary evaluation of the Rural Development Programme for Slovenia 2014-2020</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21 January 2015</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nsesekal</w:t>
            </w:r>
          </w:p>
        </w:tc>
      </w:tr>
      <w:tr w:rsidR="00C21266" w:rsidRPr="005C3B55">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Environmental report</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3 Report on the preliminary evaluation - annex</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16 January 2015</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Ares(2015)246874</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2841881649</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rPr>
                <w:rFonts w:eastAsia="Calibri"/>
                <w:sz w:val="16"/>
              </w:rPr>
            </w:pPr>
            <w:r w:rsidRPr="005C3B55">
              <w:rPr>
                <w:sz w:val="16"/>
              </w:rPr>
              <w:t>Environmental report</w:t>
            </w:r>
          </w:p>
          <w:p w:rsidR="00C21266" w:rsidRPr="005C3B55" w:rsidRDefault="00C21266">
            <w:pPr>
              <w:spacing w:after="200"/>
              <w:rPr>
                <w:rFonts w:eastAsia="Calibri"/>
                <w:sz w:val="16"/>
                <w:lang w:eastAsia="en-GB" w:bidi="en-GB"/>
              </w:rPr>
            </w:pPr>
            <w:r w:rsidRPr="005C3B55">
              <w:rPr>
                <w:sz w:val="16"/>
              </w:rPr>
              <w:t>Environmental report - supplement</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21 January 2015</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nsesekal</w:t>
            </w:r>
          </w:p>
        </w:tc>
      </w:tr>
      <w:tr w:rsidR="00C21266" w:rsidRPr="005C3B55">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Description of areas for the measure M13</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8.2 M13 – Payments to areas facing natural or other specific constraints (Article 31) - annex</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5 December 2014</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Ares(2015)246874</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2838993447</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Description of areas for the measure M13</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21 January 2015</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nsesekal</w:t>
            </w:r>
          </w:p>
        </w:tc>
      </w:tr>
      <w:tr w:rsidR="00C21266" w:rsidRPr="005C3B55">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Statement of the MA and possibilities of control</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18 Preliminary assessment of verifiability, control options, etc. - annex</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5 December 2014</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Ares(2015)246874</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2294406001</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Statement of the MA and possibilities of control</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21 January 2015</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nsesekal</w:t>
            </w:r>
          </w:p>
        </w:tc>
      </w:tr>
      <w:tr w:rsidR="00C21266" w:rsidRPr="005C3B55">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Statement of the independent authority on the adequacy and precision of the calculations of the measure M10</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18 Preliminary assessment of verifiability, control options, etc. - annex</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5 December 2014</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Ares(2015)246874</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1071299400</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Statement of the independent authority on the adequacy and precision of the calculations of the measure M10</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21 January 2015</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nsesekal</w:t>
            </w:r>
          </w:p>
        </w:tc>
      </w:tr>
      <w:tr w:rsidR="00C21266" w:rsidRPr="005C3B55">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Statement of the independent authority on the adequacy and precision of the calculations of the measure M11</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18 Preliminary assessment of verifiability, control options, etc. - annex</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5 December 2014</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Ares(2015)246874</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4140554795</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Statement of the independent authority on the adequacy and precision of the calculations of the measure M11</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21 January 2015</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nsesekal</w:t>
            </w:r>
          </w:p>
        </w:tc>
      </w:tr>
      <w:tr w:rsidR="00C21266" w:rsidRPr="005C3B55">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Statement of the independent authority on the adequacy and precision of the calculations of the measure M14</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18 Preliminary assessment of verifiability, control options, etc. - annex</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5 December 2014</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Ares(2015)246874</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3747811674</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Statement of the independent authority on the adequacy and precision of the calculations of the measure M14</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21 January 2015</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nsesekal</w:t>
            </w:r>
          </w:p>
        </w:tc>
      </w:tr>
      <w:tr w:rsidR="00C21266" w:rsidRPr="005C3B55">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Statement of the independent authority on the adequacy and precision of the calculations of the measure M19</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18 Preliminary assessment of verifiability, control options, etc. - annex</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5 December 2014</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Ares(2015)246874</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638148308</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Statement of the independent authority on the adequacy and precision of the calculations of the measure M19</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21 January 2015</w:t>
            </w:r>
          </w:p>
        </w:tc>
        <w:tc>
          <w:tcPr>
            <w:tcW w:w="1000" w:type="pct"/>
            <w:tcBorders>
              <w:top w:val="single" w:sz="4" w:space="0" w:color="auto"/>
              <w:left w:val="single" w:sz="4" w:space="0" w:color="auto"/>
              <w:bottom w:val="single" w:sz="4" w:space="0" w:color="auto"/>
              <w:right w:val="single" w:sz="4" w:space="0" w:color="auto"/>
            </w:tcBorders>
            <w:shd w:val="clear" w:color="auto" w:fill="FFFFFF"/>
            <w:tcMar>
              <w:top w:w="60" w:type="dxa"/>
              <w:left w:w="108" w:type="dxa"/>
              <w:bottom w:w="0" w:type="dxa"/>
              <w:right w:w="108" w:type="dxa"/>
            </w:tcMar>
          </w:tcPr>
          <w:p w:rsidR="00C21266" w:rsidRPr="005C3B55" w:rsidRDefault="00C21266">
            <w:pPr>
              <w:spacing w:after="200"/>
              <w:rPr>
                <w:rFonts w:eastAsia="Calibri"/>
                <w:sz w:val="16"/>
                <w:lang w:eastAsia="en-GB" w:bidi="en-GB"/>
              </w:rPr>
            </w:pPr>
            <w:r w:rsidRPr="005C3B55">
              <w:rPr>
                <w:sz w:val="16"/>
              </w:rPr>
              <w:t>nsesekal</w:t>
            </w:r>
          </w:p>
        </w:tc>
      </w:tr>
    </w:tbl>
    <w:p w:rsidR="00C21266" w:rsidRPr="005C3B55" w:rsidRDefault="00C21266" w:rsidP="00C21266">
      <w:pPr>
        <w:spacing w:after="0"/>
        <w:rPr>
          <w:b/>
        </w:rPr>
        <w:sectPr w:rsidR="00C21266" w:rsidRPr="005C3B55">
          <w:pgSz w:w="15840" w:h="12240" w:orient="landscape"/>
          <w:pgMar w:top="900" w:right="900" w:bottom="900" w:left="900" w:header="708" w:footer="708" w:gutter="0"/>
          <w:cols w:space="708"/>
        </w:sectPr>
      </w:pPr>
    </w:p>
    <w:p w:rsidR="00C21266" w:rsidRPr="005C3B55" w:rsidRDefault="00C21266" w:rsidP="00C21266">
      <w:pPr>
        <w:rPr>
          <w:rFonts w:eastAsia="Calibri"/>
          <w:szCs w:val="22"/>
          <w:lang w:eastAsia="en-GB" w:bidi="en-GB"/>
        </w:rPr>
      </w:pPr>
    </w:p>
    <w:p w:rsidR="00BD3B5F" w:rsidRPr="005C3B55" w:rsidRDefault="00BD3B5F" w:rsidP="00F555D6">
      <w:pPr>
        <w:pStyle w:val="Naslov6"/>
        <w:tabs>
          <w:tab w:val="clear" w:pos="765"/>
        </w:tabs>
        <w:ind w:left="0" w:firstLine="0"/>
        <w:rPr>
          <w:lang w:val="en-GB"/>
        </w:rPr>
      </w:pPr>
    </w:p>
    <w:sectPr w:rsidR="00BD3B5F" w:rsidRPr="005C3B55">
      <w:pgSz w:w="12240" w:h="15840"/>
      <w:pgMar w:top="900" w:right="900" w:bottom="900" w:left="900" w:header="708" w:footer="708" w:gutter="0"/>
      <w:cols w:space="708"/>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8038E" w:rsidRPr="00BD3B5F" w:rsidRDefault="0098038E">
      <w:pPr>
        <w:spacing w:after="0"/>
        <w:rPr>
          <w:szCs w:val="24"/>
        </w:rPr>
      </w:pPr>
      <w:r w:rsidRPr="00BD3B5F">
        <w:rPr>
          <w:szCs w:val="24"/>
        </w:rPr>
        <w:separator/>
      </w:r>
    </w:p>
  </w:endnote>
  <w:endnote w:type="continuationSeparator" w:id="0">
    <w:p w:rsidR="0098038E" w:rsidRPr="00BD3B5F" w:rsidRDefault="0098038E">
      <w:pPr>
        <w:spacing w:after="0"/>
        <w:rPr>
          <w:szCs w:val="24"/>
        </w:rPr>
      </w:pPr>
      <w:r w:rsidRPr="00BD3B5F">
        <w:rPr>
          <w:szCs w:val="24"/>
        </w:rP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EE"/>
    <w:family w:val="roman"/>
    <w:pitch w:val="variable"/>
    <w:sig w:usb0="E0002AFF" w:usb1="C0007841" w:usb2="00000009" w:usb3="00000000" w:csb0="000001FF" w:csb1="00000000"/>
    <w:embedRegular r:id="rId1" w:fontKey="{00058EC3-10E2-4F39-9820-41578E4EAC9D}"/>
    <w:embedBold r:id="rId2" w:fontKey="{8F18A5AC-580D-4BEB-B66B-D8F157D7C23E}"/>
    <w:embedItalic r:id="rId3" w:fontKey="{72B9A41C-6249-4FAE-88E5-39D15EEA0804}"/>
    <w:embedBoldItalic r:id="rId4" w:fontKey="{AE75AACF-AE61-4559-8CCD-7BE509FD82E9}"/>
  </w:font>
  <w:font w:name="Symbol">
    <w:panose1 w:val="05050102010706020507"/>
    <w:charset w:val="02"/>
    <w:family w:val="roman"/>
    <w:pitch w:val="variable"/>
    <w:sig w:usb0="00000000" w:usb1="10000000" w:usb2="00000000" w:usb3="00000000" w:csb0="80000000" w:csb1="00000000"/>
    <w:embedRegular r:id="rId5" w:fontKey="{16C82555-48F1-4173-B44F-A2C062DBB76C}"/>
  </w:font>
  <w:font w:name="Courier New">
    <w:panose1 w:val="02070309020205020404"/>
    <w:charset w:val="EE"/>
    <w:family w:val="modern"/>
    <w:pitch w:val="fixed"/>
    <w:sig w:usb0="E0002AFF" w:usb1="C0007843" w:usb2="00000009" w:usb3="00000000" w:csb0="000001FF" w:csb1="00000000"/>
    <w:embedRegular r:id="rId6" w:fontKey="{579947AA-907C-47B1-9035-C6EB65338C49}"/>
  </w:font>
  <w:font w:name="Wingdings">
    <w:panose1 w:val="05000000000000000000"/>
    <w:charset w:val="02"/>
    <w:family w:val="auto"/>
    <w:pitch w:val="variable"/>
    <w:sig w:usb0="00000000" w:usb1="10000000" w:usb2="00000000" w:usb3="00000000" w:csb0="80000000" w:csb1="00000000"/>
    <w:embedRegular r:id="rId7" w:fontKey="{CFB8A70C-15EB-42B6-A23E-6ED391193B28}"/>
  </w:font>
  <w:font w:name="Calibri">
    <w:panose1 w:val="020F0502020204030204"/>
    <w:charset w:val="EE"/>
    <w:family w:val="swiss"/>
    <w:pitch w:val="variable"/>
    <w:sig w:usb0="E10002FF" w:usb1="4000ACFF" w:usb2="00000009" w:usb3="00000000" w:csb0="0000019F" w:csb1="00000000"/>
    <w:embedRegular r:id="rId8" w:fontKey="{1888923D-5EFC-42B3-81F2-1FEF0D79ACAB}"/>
    <w:embedBold r:id="rId9" w:fontKey="{31C6ECD2-3FBF-4A66-A8FA-4DD9340CF8D8}"/>
    <w:embedBoldItalic r:id="rId10" w:fontKey="{D4701951-B98B-441F-8C62-78C783B5BBFF}"/>
  </w:font>
  <w:font w:name="Wingdings 2">
    <w:panose1 w:val="05020102010507070707"/>
    <w:charset w:val="02"/>
    <w:family w:val="roman"/>
    <w:pitch w:val="variable"/>
    <w:sig w:usb0="00000000" w:usb1="10000000" w:usb2="00000000" w:usb3="00000000" w:csb0="80000000" w:csb1="00000000"/>
    <w:embedRegular r:id="rId11" w:fontKey="{BF7DDE3C-F014-4FA9-9B18-64D3D6F924F0}"/>
  </w:font>
  <w:font w:name="Arial">
    <w:panose1 w:val="020B0604020202020204"/>
    <w:charset w:val="EE"/>
    <w:family w:val="swiss"/>
    <w:pitch w:val="variable"/>
    <w:sig w:usb0="E0002AFF" w:usb1="C0007843" w:usb2="00000009" w:usb3="00000000" w:csb0="000001FF" w:csb1="00000000"/>
    <w:embedRegular r:id="rId12" w:fontKey="{A9314B1D-A2D1-4C19-A378-CE98926DF6F6}"/>
    <w:embedBold r:id="rId13" w:fontKey="{35B611D8-1164-47E1-8F1B-818BB4006428}"/>
    <w:embedItalic r:id="rId14" w:fontKey="{5E9C88F8-E91E-489D-B421-C53880ED3EA9}"/>
  </w:font>
  <w:font w:name="Segoe UI">
    <w:panose1 w:val="020B0502040204020203"/>
    <w:charset w:val="EE"/>
    <w:family w:val="swiss"/>
    <w:pitch w:val="variable"/>
    <w:sig w:usb0="E10022FF" w:usb1="C000E47F" w:usb2="00000029" w:usb3="00000000" w:csb0="000001DF" w:csb1="00000000"/>
    <w:embedRegular r:id="rId15" w:fontKey="{4D8230C0-3240-4B2F-A190-CC5755D5A111}"/>
  </w:font>
  <w:font w:name="Calibri Light">
    <w:panose1 w:val="020F0302020204030204"/>
    <w:charset w:val="EE"/>
    <w:family w:val="swiss"/>
    <w:pitch w:val="variable"/>
    <w:sig w:usb0="A00002EF" w:usb1="4000207B" w:usb2="00000000" w:usb3="00000000" w:csb0="0000019F" w:csb1="00000000"/>
    <w:embedRegular r:id="rId16" w:fontKey="{2DEF85A3-1ECA-4F83-B638-C91A0A404BFD}"/>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EE"/>
    <w:family w:val="swiss"/>
    <w:pitch w:val="variable"/>
    <w:sig w:usb0="E1002EFF" w:usb1="C000605B" w:usb2="00000029" w:usb3="00000000" w:csb0="000101FF" w:csb1="00000000"/>
    <w:embedRegular r:id="rId17" w:fontKey="{B6668F6E-98C0-4615-8D6E-C0660A5807DB}"/>
  </w:font>
  <w:font w:name="TimesNewRoman">
    <w:altName w:val="Times New Roman"/>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4388E" w:rsidRPr="00BD3B5F" w:rsidRDefault="0014388E">
    <w:pPr>
      <w:pStyle w:val="Noga"/>
      <w:jc w:val="center"/>
      <w:rPr>
        <w:szCs w:val="24"/>
      </w:rPr>
    </w:pPr>
    <w:r w:rsidRPr="00BD3B5F">
      <w:rPr>
        <w:szCs w:val="24"/>
      </w:rPr>
      <w:fldChar w:fldCharType="begin"/>
    </w:r>
    <w:r w:rsidRPr="00BD3B5F">
      <w:rPr>
        <w:szCs w:val="24"/>
      </w:rPr>
      <w:instrText>PAGE</w:instrText>
    </w:r>
    <w:r w:rsidRPr="00BD3B5F">
      <w:rPr>
        <w:szCs w:val="24"/>
      </w:rPr>
      <w:fldChar w:fldCharType="separate"/>
    </w:r>
    <w:r w:rsidR="0012246E">
      <w:rPr>
        <w:noProof/>
        <w:szCs w:val="24"/>
      </w:rPr>
      <w:t>1</w:t>
    </w:r>
    <w:r w:rsidRPr="00BD3B5F">
      <w:rPr>
        <w:szCs w:val="24"/>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4388E" w:rsidRPr="00BD3B5F" w:rsidRDefault="0014388E">
    <w:pPr>
      <w:pStyle w:val="Noga"/>
      <w:jc w:val="center"/>
      <w:rPr>
        <w:szCs w:val="24"/>
      </w:rPr>
    </w:pPr>
    <w:r w:rsidRPr="00BD3B5F">
      <w:rPr>
        <w:szCs w:val="24"/>
      </w:rPr>
      <w:fldChar w:fldCharType="begin"/>
    </w:r>
    <w:r w:rsidRPr="00BD3B5F">
      <w:rPr>
        <w:szCs w:val="24"/>
      </w:rPr>
      <w:instrText xml:space="preserve"> PAGE   \* MERGEFORMAT </w:instrText>
    </w:r>
    <w:r w:rsidRPr="00BD3B5F">
      <w:rPr>
        <w:szCs w:val="24"/>
      </w:rPr>
      <w:fldChar w:fldCharType="separate"/>
    </w:r>
    <w:r w:rsidRPr="00BD3B5F">
      <w:rPr>
        <w:noProof/>
        <w:szCs w:val="24"/>
      </w:rPr>
      <w:t>1</w:t>
    </w:r>
    <w:r w:rsidRPr="00BD3B5F">
      <w:rPr>
        <w:szCs w:val="24"/>
      </w:rPr>
      <w:fldChar w:fldCharType="end"/>
    </w:r>
  </w:p>
  <w:p w:rsidR="0014388E" w:rsidRPr="00BD3B5F" w:rsidRDefault="0014388E">
    <w:pPr>
      <w:pStyle w:val="Noga"/>
      <w:rPr>
        <w:szCs w:val="24"/>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8038E" w:rsidRPr="00BD3B5F" w:rsidRDefault="0098038E">
      <w:pPr>
        <w:spacing w:after="0"/>
        <w:rPr>
          <w:szCs w:val="24"/>
        </w:rPr>
      </w:pPr>
      <w:r w:rsidRPr="00BD3B5F">
        <w:rPr>
          <w:szCs w:val="24"/>
        </w:rPr>
        <w:separator/>
      </w:r>
    </w:p>
  </w:footnote>
  <w:footnote w:type="continuationSeparator" w:id="0">
    <w:p w:rsidR="0098038E" w:rsidRPr="00BD3B5F" w:rsidRDefault="0098038E">
      <w:pPr>
        <w:spacing w:after="0"/>
        <w:rPr>
          <w:szCs w:val="24"/>
        </w:rPr>
      </w:pPr>
      <w:r w:rsidRPr="00BD3B5F">
        <w:rPr>
          <w:szCs w:val="24"/>
        </w:rP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4388E" w:rsidRPr="00BD3B5F" w:rsidRDefault="0014388E">
    <w:pPr>
      <w:pStyle w:val="Glava"/>
      <w:spacing w:after="0"/>
      <w:rPr>
        <w:szCs w:val="24"/>
        <w:lang w:val="fr-BE"/>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7C"/>
    <w:multiLevelType w:val="singleLevel"/>
    <w:tmpl w:val="EA58E78E"/>
    <w:lvl w:ilvl="0">
      <w:start w:val="1"/>
      <w:numFmt w:val="decimal"/>
      <w:pStyle w:val="Otevilenseznam5"/>
      <w:lvlText w:val="%1."/>
      <w:lvlJc w:val="left"/>
      <w:pPr>
        <w:tabs>
          <w:tab w:val="num" w:pos="1492"/>
        </w:tabs>
        <w:ind w:left="1492" w:hanging="360"/>
      </w:pPr>
      <w:rPr>
        <w:rFonts w:cs="Times New Roman"/>
      </w:rPr>
    </w:lvl>
  </w:abstractNum>
  <w:abstractNum w:abstractNumId="1">
    <w:nsid w:val="FFFFFF80"/>
    <w:multiLevelType w:val="singleLevel"/>
    <w:tmpl w:val="E7A64A6A"/>
    <w:lvl w:ilvl="0">
      <w:start w:val="1"/>
      <w:numFmt w:val="bullet"/>
      <w:pStyle w:val="Oznaenseznam5"/>
      <w:lvlText w:val=""/>
      <w:lvlJc w:val="left"/>
      <w:pPr>
        <w:tabs>
          <w:tab w:val="num" w:pos="1492"/>
        </w:tabs>
        <w:ind w:left="1492" w:hanging="360"/>
      </w:pPr>
      <w:rPr>
        <w:rFonts w:ascii="Symbol" w:hAnsi="Symbol" w:hint="default"/>
      </w:rPr>
    </w:lvl>
  </w:abstractNum>
  <w:abstractNum w:abstractNumId="2">
    <w:nsid w:val="039817A4"/>
    <w:multiLevelType w:val="hybridMultilevel"/>
    <w:tmpl w:val="7C8C9B4E"/>
    <w:lvl w:ilvl="0" w:tplc="04240001">
      <w:start w:val="1"/>
      <w:numFmt w:val="bullet"/>
      <w:lvlText w:val=""/>
      <w:lvlJc w:val="left"/>
      <w:pPr>
        <w:ind w:left="720" w:hanging="360"/>
      </w:pPr>
      <w:rPr>
        <w:rFonts w:ascii="Symbol" w:hAnsi="Symbol" w:hint="default"/>
      </w:rPr>
    </w:lvl>
    <w:lvl w:ilvl="1" w:tplc="04240003">
      <w:start w:val="1"/>
      <w:numFmt w:val="bullet"/>
      <w:lvlText w:val="o"/>
      <w:lvlJc w:val="left"/>
      <w:pPr>
        <w:ind w:left="1440" w:hanging="360"/>
      </w:pPr>
      <w:rPr>
        <w:rFonts w:ascii="Courier New" w:hAnsi="Courier New" w:hint="default"/>
      </w:rPr>
    </w:lvl>
    <w:lvl w:ilvl="2" w:tplc="04240005">
      <w:start w:val="1"/>
      <w:numFmt w:val="bullet"/>
      <w:lvlText w:val=""/>
      <w:lvlJc w:val="left"/>
      <w:pPr>
        <w:ind w:left="2160" w:hanging="360"/>
      </w:pPr>
      <w:rPr>
        <w:rFonts w:ascii="Wingdings" w:hAnsi="Wingdings" w:hint="default"/>
      </w:rPr>
    </w:lvl>
    <w:lvl w:ilvl="3" w:tplc="04240001">
      <w:start w:val="1"/>
      <w:numFmt w:val="bullet"/>
      <w:lvlText w:val=""/>
      <w:lvlJc w:val="left"/>
      <w:pPr>
        <w:ind w:left="2880" w:hanging="360"/>
      </w:pPr>
      <w:rPr>
        <w:rFonts w:ascii="Symbol" w:hAnsi="Symbol" w:hint="default"/>
      </w:rPr>
    </w:lvl>
    <w:lvl w:ilvl="4" w:tplc="04240003">
      <w:start w:val="1"/>
      <w:numFmt w:val="bullet"/>
      <w:lvlText w:val="o"/>
      <w:lvlJc w:val="left"/>
      <w:pPr>
        <w:ind w:left="3600" w:hanging="360"/>
      </w:pPr>
      <w:rPr>
        <w:rFonts w:ascii="Courier New" w:hAnsi="Courier New" w:hint="default"/>
      </w:rPr>
    </w:lvl>
    <w:lvl w:ilvl="5" w:tplc="04240005">
      <w:start w:val="1"/>
      <w:numFmt w:val="bullet"/>
      <w:lvlText w:val=""/>
      <w:lvlJc w:val="left"/>
      <w:pPr>
        <w:ind w:left="4320" w:hanging="360"/>
      </w:pPr>
      <w:rPr>
        <w:rFonts w:ascii="Wingdings" w:hAnsi="Wingdings" w:hint="default"/>
      </w:rPr>
    </w:lvl>
    <w:lvl w:ilvl="6" w:tplc="04240001">
      <w:start w:val="1"/>
      <w:numFmt w:val="bullet"/>
      <w:lvlText w:val=""/>
      <w:lvlJc w:val="left"/>
      <w:pPr>
        <w:ind w:left="5040" w:hanging="360"/>
      </w:pPr>
      <w:rPr>
        <w:rFonts w:ascii="Symbol" w:hAnsi="Symbol" w:hint="default"/>
      </w:rPr>
    </w:lvl>
    <w:lvl w:ilvl="7" w:tplc="04240003">
      <w:start w:val="1"/>
      <w:numFmt w:val="bullet"/>
      <w:lvlText w:val="o"/>
      <w:lvlJc w:val="left"/>
      <w:pPr>
        <w:ind w:left="5760" w:hanging="360"/>
      </w:pPr>
      <w:rPr>
        <w:rFonts w:ascii="Courier New" w:hAnsi="Courier New" w:hint="default"/>
      </w:rPr>
    </w:lvl>
    <w:lvl w:ilvl="8" w:tplc="04240005">
      <w:start w:val="1"/>
      <w:numFmt w:val="bullet"/>
      <w:lvlText w:val=""/>
      <w:lvlJc w:val="left"/>
      <w:pPr>
        <w:ind w:left="6480" w:hanging="360"/>
      </w:pPr>
      <w:rPr>
        <w:rFonts w:ascii="Wingdings" w:hAnsi="Wingdings" w:hint="default"/>
      </w:rPr>
    </w:lvl>
  </w:abstractNum>
  <w:abstractNum w:abstractNumId="3">
    <w:nsid w:val="118E3087"/>
    <w:multiLevelType w:val="hybridMultilevel"/>
    <w:tmpl w:val="C0E007BE"/>
    <w:lvl w:ilvl="0" w:tplc="084ED172">
      <w:start w:val="1"/>
      <w:numFmt w:val="bullet"/>
      <w:lvlText w:val="-"/>
      <w:lvlJc w:val="left"/>
      <w:pPr>
        <w:ind w:left="720" w:hanging="360"/>
      </w:pPr>
      <w:rPr>
        <w:rFonts w:ascii="Calibri" w:hAnsi="Calibri" w:hint="default"/>
      </w:rPr>
    </w:lvl>
    <w:lvl w:ilvl="1" w:tplc="04240003">
      <w:start w:val="1"/>
      <w:numFmt w:val="bullet"/>
      <w:lvlText w:val="o"/>
      <w:lvlJc w:val="left"/>
      <w:pPr>
        <w:ind w:left="1440" w:hanging="360"/>
      </w:pPr>
      <w:rPr>
        <w:rFonts w:ascii="Courier New" w:hAnsi="Courier New" w:hint="default"/>
      </w:rPr>
    </w:lvl>
    <w:lvl w:ilvl="2" w:tplc="04240005">
      <w:start w:val="1"/>
      <w:numFmt w:val="bullet"/>
      <w:lvlText w:val=""/>
      <w:lvlJc w:val="left"/>
      <w:pPr>
        <w:ind w:left="2160" w:hanging="360"/>
      </w:pPr>
      <w:rPr>
        <w:rFonts w:ascii="Wingdings" w:hAnsi="Wingdings" w:hint="default"/>
      </w:rPr>
    </w:lvl>
    <w:lvl w:ilvl="3" w:tplc="04240001">
      <w:start w:val="1"/>
      <w:numFmt w:val="bullet"/>
      <w:lvlText w:val=""/>
      <w:lvlJc w:val="left"/>
      <w:pPr>
        <w:ind w:left="2880" w:hanging="360"/>
      </w:pPr>
      <w:rPr>
        <w:rFonts w:ascii="Symbol" w:hAnsi="Symbol" w:hint="default"/>
      </w:rPr>
    </w:lvl>
    <w:lvl w:ilvl="4" w:tplc="04240003">
      <w:start w:val="1"/>
      <w:numFmt w:val="bullet"/>
      <w:lvlText w:val="o"/>
      <w:lvlJc w:val="left"/>
      <w:pPr>
        <w:ind w:left="3600" w:hanging="360"/>
      </w:pPr>
      <w:rPr>
        <w:rFonts w:ascii="Courier New" w:hAnsi="Courier New" w:hint="default"/>
      </w:rPr>
    </w:lvl>
    <w:lvl w:ilvl="5" w:tplc="04240005">
      <w:start w:val="1"/>
      <w:numFmt w:val="bullet"/>
      <w:lvlText w:val=""/>
      <w:lvlJc w:val="left"/>
      <w:pPr>
        <w:ind w:left="4320" w:hanging="360"/>
      </w:pPr>
      <w:rPr>
        <w:rFonts w:ascii="Wingdings" w:hAnsi="Wingdings" w:hint="default"/>
      </w:rPr>
    </w:lvl>
    <w:lvl w:ilvl="6" w:tplc="04240001">
      <w:start w:val="1"/>
      <w:numFmt w:val="bullet"/>
      <w:lvlText w:val=""/>
      <w:lvlJc w:val="left"/>
      <w:pPr>
        <w:ind w:left="5040" w:hanging="360"/>
      </w:pPr>
      <w:rPr>
        <w:rFonts w:ascii="Symbol" w:hAnsi="Symbol" w:hint="default"/>
      </w:rPr>
    </w:lvl>
    <w:lvl w:ilvl="7" w:tplc="04240003">
      <w:start w:val="1"/>
      <w:numFmt w:val="bullet"/>
      <w:lvlText w:val="o"/>
      <w:lvlJc w:val="left"/>
      <w:pPr>
        <w:ind w:left="5760" w:hanging="360"/>
      </w:pPr>
      <w:rPr>
        <w:rFonts w:ascii="Courier New" w:hAnsi="Courier New" w:hint="default"/>
      </w:rPr>
    </w:lvl>
    <w:lvl w:ilvl="8" w:tplc="04240005">
      <w:start w:val="1"/>
      <w:numFmt w:val="bullet"/>
      <w:lvlText w:val=""/>
      <w:lvlJc w:val="left"/>
      <w:pPr>
        <w:ind w:left="6480" w:hanging="360"/>
      </w:pPr>
      <w:rPr>
        <w:rFonts w:ascii="Wingdings" w:hAnsi="Wingdings" w:hint="default"/>
      </w:rPr>
    </w:lvl>
  </w:abstractNum>
  <w:abstractNum w:abstractNumId="4">
    <w:nsid w:val="17C92BD6"/>
    <w:multiLevelType w:val="hybridMultilevel"/>
    <w:tmpl w:val="E24E8CEC"/>
    <w:lvl w:ilvl="0" w:tplc="084ED172">
      <w:start w:val="1"/>
      <w:numFmt w:val="bullet"/>
      <w:lvlText w:val="-"/>
      <w:lvlJc w:val="left"/>
      <w:pPr>
        <w:ind w:left="1146" w:hanging="360"/>
      </w:pPr>
      <w:rPr>
        <w:rFonts w:ascii="Calibri" w:hAnsi="Calibri" w:hint="default"/>
      </w:rPr>
    </w:lvl>
    <w:lvl w:ilvl="1" w:tplc="04240003">
      <w:start w:val="1"/>
      <w:numFmt w:val="bullet"/>
      <w:lvlText w:val="o"/>
      <w:lvlJc w:val="left"/>
      <w:pPr>
        <w:ind w:left="1866" w:hanging="360"/>
      </w:pPr>
      <w:rPr>
        <w:rFonts w:ascii="Courier New" w:hAnsi="Courier New" w:hint="default"/>
      </w:rPr>
    </w:lvl>
    <w:lvl w:ilvl="2" w:tplc="04240005">
      <w:start w:val="1"/>
      <w:numFmt w:val="bullet"/>
      <w:lvlText w:val=""/>
      <w:lvlJc w:val="left"/>
      <w:pPr>
        <w:ind w:left="2586" w:hanging="360"/>
      </w:pPr>
      <w:rPr>
        <w:rFonts w:ascii="Wingdings" w:hAnsi="Wingdings" w:hint="default"/>
      </w:rPr>
    </w:lvl>
    <w:lvl w:ilvl="3" w:tplc="04240001">
      <w:start w:val="1"/>
      <w:numFmt w:val="bullet"/>
      <w:lvlText w:val=""/>
      <w:lvlJc w:val="left"/>
      <w:pPr>
        <w:ind w:left="3306" w:hanging="360"/>
      </w:pPr>
      <w:rPr>
        <w:rFonts w:ascii="Symbol" w:hAnsi="Symbol" w:hint="default"/>
      </w:rPr>
    </w:lvl>
    <w:lvl w:ilvl="4" w:tplc="04240003">
      <w:start w:val="1"/>
      <w:numFmt w:val="bullet"/>
      <w:lvlText w:val="o"/>
      <w:lvlJc w:val="left"/>
      <w:pPr>
        <w:ind w:left="4026" w:hanging="360"/>
      </w:pPr>
      <w:rPr>
        <w:rFonts w:ascii="Courier New" w:hAnsi="Courier New" w:hint="default"/>
      </w:rPr>
    </w:lvl>
    <w:lvl w:ilvl="5" w:tplc="04240005">
      <w:start w:val="1"/>
      <w:numFmt w:val="bullet"/>
      <w:lvlText w:val=""/>
      <w:lvlJc w:val="left"/>
      <w:pPr>
        <w:ind w:left="4746" w:hanging="360"/>
      </w:pPr>
      <w:rPr>
        <w:rFonts w:ascii="Wingdings" w:hAnsi="Wingdings" w:hint="default"/>
      </w:rPr>
    </w:lvl>
    <w:lvl w:ilvl="6" w:tplc="04240001">
      <w:start w:val="1"/>
      <w:numFmt w:val="bullet"/>
      <w:lvlText w:val=""/>
      <w:lvlJc w:val="left"/>
      <w:pPr>
        <w:ind w:left="5466" w:hanging="360"/>
      </w:pPr>
      <w:rPr>
        <w:rFonts w:ascii="Symbol" w:hAnsi="Symbol" w:hint="default"/>
      </w:rPr>
    </w:lvl>
    <w:lvl w:ilvl="7" w:tplc="04240003">
      <w:start w:val="1"/>
      <w:numFmt w:val="bullet"/>
      <w:lvlText w:val="o"/>
      <w:lvlJc w:val="left"/>
      <w:pPr>
        <w:ind w:left="6186" w:hanging="360"/>
      </w:pPr>
      <w:rPr>
        <w:rFonts w:ascii="Courier New" w:hAnsi="Courier New" w:hint="default"/>
      </w:rPr>
    </w:lvl>
    <w:lvl w:ilvl="8" w:tplc="04240005">
      <w:start w:val="1"/>
      <w:numFmt w:val="bullet"/>
      <w:lvlText w:val=""/>
      <w:lvlJc w:val="left"/>
      <w:pPr>
        <w:ind w:left="6906" w:hanging="360"/>
      </w:pPr>
      <w:rPr>
        <w:rFonts w:ascii="Wingdings" w:hAnsi="Wingdings" w:hint="default"/>
      </w:rPr>
    </w:lvl>
  </w:abstractNum>
  <w:abstractNum w:abstractNumId="5">
    <w:nsid w:val="1B1530A4"/>
    <w:multiLevelType w:val="multilevel"/>
    <w:tmpl w:val="8CE23BCC"/>
    <w:lvl w:ilvl="0">
      <w:start w:val="1"/>
      <w:numFmt w:val="decimal"/>
      <w:pStyle w:val="Otevilenseznam2"/>
      <w:lvlText w:val="(%1)"/>
      <w:lvlJc w:val="left"/>
      <w:pPr>
        <w:tabs>
          <w:tab w:val="num" w:pos="1911"/>
        </w:tabs>
        <w:ind w:left="1911" w:hanging="709"/>
      </w:pPr>
      <w:rPr>
        <w:rFonts w:cs="Times New Roman"/>
      </w:rPr>
    </w:lvl>
    <w:lvl w:ilvl="1">
      <w:start w:val="1"/>
      <w:numFmt w:val="lowerLetter"/>
      <w:pStyle w:val="ListNumber2Level2"/>
      <w:lvlText w:val="(%2)"/>
      <w:lvlJc w:val="left"/>
      <w:pPr>
        <w:tabs>
          <w:tab w:val="num" w:pos="2619"/>
        </w:tabs>
        <w:ind w:left="2619" w:hanging="708"/>
      </w:pPr>
      <w:rPr>
        <w:rFonts w:cs="Times New Roman"/>
      </w:rPr>
    </w:lvl>
    <w:lvl w:ilvl="2">
      <w:start w:val="1"/>
      <w:numFmt w:val="bullet"/>
      <w:pStyle w:val="ListNumber2Level3"/>
      <w:lvlText w:val="–"/>
      <w:lvlJc w:val="left"/>
      <w:pPr>
        <w:tabs>
          <w:tab w:val="num" w:pos="3328"/>
        </w:tabs>
        <w:ind w:left="3328" w:hanging="709"/>
      </w:pPr>
      <w:rPr>
        <w:rFonts w:ascii="Times New Roman" w:hAnsi="Times New Roman"/>
      </w:rPr>
    </w:lvl>
    <w:lvl w:ilvl="3">
      <w:start w:val="1"/>
      <w:numFmt w:val="bullet"/>
      <w:pStyle w:val="ListNumber2Level4"/>
      <w:lvlText w:val=""/>
      <w:lvlJc w:val="left"/>
      <w:pPr>
        <w:tabs>
          <w:tab w:val="num" w:pos="4037"/>
        </w:tabs>
        <w:ind w:left="4037" w:hanging="709"/>
      </w:pPr>
      <w:rPr>
        <w:rFonts w:ascii="Symbol" w:hAnsi="Symbol"/>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6">
    <w:nsid w:val="1C7B624F"/>
    <w:multiLevelType w:val="singleLevel"/>
    <w:tmpl w:val="55144760"/>
    <w:name w:val="ListDash 1222"/>
    <w:lvl w:ilvl="0">
      <w:start w:val="1"/>
      <w:numFmt w:val="bullet"/>
      <w:lvlText w:val="-"/>
      <w:lvlJc w:val="left"/>
      <w:pPr>
        <w:tabs>
          <w:tab w:val="num" w:pos="283"/>
        </w:tabs>
        <w:ind w:left="283" w:hanging="283"/>
      </w:pPr>
      <w:rPr>
        <w:rFonts w:ascii="Symbol" w:hAnsi="Symbol" w:hint="default"/>
      </w:rPr>
    </w:lvl>
  </w:abstractNum>
  <w:abstractNum w:abstractNumId="7">
    <w:nsid w:val="22DD3599"/>
    <w:multiLevelType w:val="multilevel"/>
    <w:tmpl w:val="4EAA5BA6"/>
    <w:lvl w:ilvl="0">
      <w:start w:val="1"/>
      <w:numFmt w:val="decimal"/>
      <w:pStyle w:val="Otevilenseznam"/>
      <w:lvlText w:val="(%1)"/>
      <w:lvlJc w:val="left"/>
      <w:pPr>
        <w:tabs>
          <w:tab w:val="num" w:pos="709"/>
        </w:tabs>
        <w:ind w:left="709" w:hanging="709"/>
      </w:pPr>
      <w:rPr>
        <w:rFonts w:cs="Times New Roman"/>
      </w:rPr>
    </w:lvl>
    <w:lvl w:ilvl="1">
      <w:start w:val="1"/>
      <w:numFmt w:val="lowerLetter"/>
      <w:pStyle w:val="ListNumberLevel2"/>
      <w:lvlText w:val="(%2)"/>
      <w:lvlJc w:val="left"/>
      <w:pPr>
        <w:tabs>
          <w:tab w:val="num" w:pos="1417"/>
        </w:tabs>
        <w:ind w:left="1417" w:hanging="708"/>
      </w:pPr>
      <w:rPr>
        <w:rFonts w:cs="Times New Roman"/>
      </w:rPr>
    </w:lvl>
    <w:lvl w:ilvl="2">
      <w:start w:val="1"/>
      <w:numFmt w:val="bullet"/>
      <w:pStyle w:val="ListNumberLevel3"/>
      <w:lvlText w:val="–"/>
      <w:lvlJc w:val="left"/>
      <w:pPr>
        <w:tabs>
          <w:tab w:val="num" w:pos="2126"/>
        </w:tabs>
        <w:ind w:left="2126" w:hanging="709"/>
      </w:pPr>
      <w:rPr>
        <w:rFonts w:ascii="Times New Roman" w:hAnsi="Times New Roman"/>
      </w:rPr>
    </w:lvl>
    <w:lvl w:ilvl="3">
      <w:start w:val="1"/>
      <w:numFmt w:val="bullet"/>
      <w:pStyle w:val="ListNumberLevel4"/>
      <w:lvlText w:val=""/>
      <w:lvlJc w:val="left"/>
      <w:pPr>
        <w:tabs>
          <w:tab w:val="num" w:pos="2835"/>
        </w:tabs>
        <w:ind w:left="2835" w:hanging="709"/>
      </w:pPr>
      <w:rPr>
        <w:rFonts w:ascii="Symbol" w:hAnsi="Symbol"/>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8">
    <w:nsid w:val="2AA830B8"/>
    <w:multiLevelType w:val="hybridMultilevel"/>
    <w:tmpl w:val="991A15BC"/>
    <w:lvl w:ilvl="0" w:tplc="04240001">
      <w:start w:val="1"/>
      <w:numFmt w:val="bullet"/>
      <w:lvlText w:val=""/>
      <w:lvlJc w:val="left"/>
      <w:pPr>
        <w:ind w:left="720" w:hanging="360"/>
      </w:pPr>
      <w:rPr>
        <w:rFonts w:ascii="Symbol" w:hAnsi="Symbol" w:hint="default"/>
      </w:rPr>
    </w:lvl>
    <w:lvl w:ilvl="1" w:tplc="04240003">
      <w:start w:val="1"/>
      <w:numFmt w:val="bullet"/>
      <w:lvlText w:val="o"/>
      <w:lvlJc w:val="left"/>
      <w:pPr>
        <w:ind w:left="1440" w:hanging="360"/>
      </w:pPr>
      <w:rPr>
        <w:rFonts w:ascii="Courier New" w:hAnsi="Courier New" w:hint="default"/>
      </w:rPr>
    </w:lvl>
    <w:lvl w:ilvl="2" w:tplc="04240005">
      <w:start w:val="1"/>
      <w:numFmt w:val="bullet"/>
      <w:lvlText w:val=""/>
      <w:lvlJc w:val="left"/>
      <w:pPr>
        <w:ind w:left="2160" w:hanging="360"/>
      </w:pPr>
      <w:rPr>
        <w:rFonts w:ascii="Wingdings" w:hAnsi="Wingdings" w:hint="default"/>
      </w:rPr>
    </w:lvl>
    <w:lvl w:ilvl="3" w:tplc="04240001">
      <w:start w:val="1"/>
      <w:numFmt w:val="bullet"/>
      <w:lvlText w:val=""/>
      <w:lvlJc w:val="left"/>
      <w:pPr>
        <w:ind w:left="2880" w:hanging="360"/>
      </w:pPr>
      <w:rPr>
        <w:rFonts w:ascii="Symbol" w:hAnsi="Symbol" w:hint="default"/>
      </w:rPr>
    </w:lvl>
    <w:lvl w:ilvl="4" w:tplc="04240003">
      <w:start w:val="1"/>
      <w:numFmt w:val="bullet"/>
      <w:lvlText w:val="o"/>
      <w:lvlJc w:val="left"/>
      <w:pPr>
        <w:ind w:left="3600" w:hanging="360"/>
      </w:pPr>
      <w:rPr>
        <w:rFonts w:ascii="Courier New" w:hAnsi="Courier New" w:hint="default"/>
      </w:rPr>
    </w:lvl>
    <w:lvl w:ilvl="5" w:tplc="04240005">
      <w:start w:val="1"/>
      <w:numFmt w:val="bullet"/>
      <w:lvlText w:val=""/>
      <w:lvlJc w:val="left"/>
      <w:pPr>
        <w:ind w:left="4320" w:hanging="360"/>
      </w:pPr>
      <w:rPr>
        <w:rFonts w:ascii="Wingdings" w:hAnsi="Wingdings" w:hint="default"/>
      </w:rPr>
    </w:lvl>
    <w:lvl w:ilvl="6" w:tplc="04240001">
      <w:start w:val="1"/>
      <w:numFmt w:val="bullet"/>
      <w:lvlText w:val=""/>
      <w:lvlJc w:val="left"/>
      <w:pPr>
        <w:ind w:left="5040" w:hanging="360"/>
      </w:pPr>
      <w:rPr>
        <w:rFonts w:ascii="Symbol" w:hAnsi="Symbol" w:hint="default"/>
      </w:rPr>
    </w:lvl>
    <w:lvl w:ilvl="7" w:tplc="04240003">
      <w:start w:val="1"/>
      <w:numFmt w:val="bullet"/>
      <w:lvlText w:val="o"/>
      <w:lvlJc w:val="left"/>
      <w:pPr>
        <w:ind w:left="5760" w:hanging="360"/>
      </w:pPr>
      <w:rPr>
        <w:rFonts w:ascii="Courier New" w:hAnsi="Courier New" w:hint="default"/>
      </w:rPr>
    </w:lvl>
    <w:lvl w:ilvl="8" w:tplc="04240005">
      <w:start w:val="1"/>
      <w:numFmt w:val="bullet"/>
      <w:lvlText w:val=""/>
      <w:lvlJc w:val="left"/>
      <w:pPr>
        <w:ind w:left="6480" w:hanging="360"/>
      </w:pPr>
      <w:rPr>
        <w:rFonts w:ascii="Wingdings" w:hAnsi="Wingdings" w:hint="default"/>
      </w:rPr>
    </w:lvl>
  </w:abstractNum>
  <w:abstractNum w:abstractNumId="9">
    <w:nsid w:val="2B75631B"/>
    <w:multiLevelType w:val="singleLevel"/>
    <w:tmpl w:val="A4DC141A"/>
    <w:lvl w:ilvl="0">
      <w:start w:val="1"/>
      <w:numFmt w:val="bullet"/>
      <w:pStyle w:val="ListBullet1"/>
      <w:lvlText w:val=""/>
      <w:lvlJc w:val="left"/>
      <w:pPr>
        <w:tabs>
          <w:tab w:val="num" w:pos="765"/>
        </w:tabs>
        <w:ind w:left="765" w:hanging="283"/>
      </w:pPr>
      <w:rPr>
        <w:rFonts w:ascii="Symbol" w:hAnsi="Symbol"/>
      </w:rPr>
    </w:lvl>
  </w:abstractNum>
  <w:abstractNum w:abstractNumId="10">
    <w:nsid w:val="2CAB4527"/>
    <w:multiLevelType w:val="multilevel"/>
    <w:tmpl w:val="26C24C12"/>
    <w:lvl w:ilvl="0">
      <w:start w:val="1"/>
      <w:numFmt w:val="decimal"/>
      <w:pStyle w:val="Otevilenseznam3"/>
      <w:lvlText w:val="(%1)"/>
      <w:lvlJc w:val="left"/>
      <w:pPr>
        <w:tabs>
          <w:tab w:val="num" w:pos="1911"/>
        </w:tabs>
        <w:ind w:left="1911" w:hanging="709"/>
      </w:pPr>
      <w:rPr>
        <w:rFonts w:cs="Times New Roman"/>
      </w:rPr>
    </w:lvl>
    <w:lvl w:ilvl="1">
      <w:start w:val="1"/>
      <w:numFmt w:val="lowerLetter"/>
      <w:pStyle w:val="ListNumber3Level2"/>
      <w:lvlText w:val="(%2)"/>
      <w:lvlJc w:val="left"/>
      <w:pPr>
        <w:tabs>
          <w:tab w:val="num" w:pos="2619"/>
        </w:tabs>
        <w:ind w:left="2619" w:hanging="708"/>
      </w:pPr>
      <w:rPr>
        <w:rFonts w:cs="Times New Roman"/>
      </w:rPr>
    </w:lvl>
    <w:lvl w:ilvl="2">
      <w:start w:val="1"/>
      <w:numFmt w:val="bullet"/>
      <w:pStyle w:val="ListNumber3Level3"/>
      <w:lvlText w:val="–"/>
      <w:lvlJc w:val="left"/>
      <w:pPr>
        <w:tabs>
          <w:tab w:val="num" w:pos="3328"/>
        </w:tabs>
        <w:ind w:left="3328" w:hanging="709"/>
      </w:pPr>
      <w:rPr>
        <w:rFonts w:ascii="Times New Roman" w:hAnsi="Times New Roman"/>
      </w:rPr>
    </w:lvl>
    <w:lvl w:ilvl="3">
      <w:start w:val="1"/>
      <w:numFmt w:val="bullet"/>
      <w:pStyle w:val="ListNumber3Level4"/>
      <w:lvlText w:val=""/>
      <w:lvlJc w:val="left"/>
      <w:pPr>
        <w:tabs>
          <w:tab w:val="num" w:pos="4037"/>
        </w:tabs>
        <w:ind w:left="4037" w:hanging="709"/>
      </w:pPr>
      <w:rPr>
        <w:rFonts w:ascii="Symbol" w:hAnsi="Symbol"/>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11">
    <w:nsid w:val="2E3C7C57"/>
    <w:multiLevelType w:val="hybridMultilevel"/>
    <w:tmpl w:val="AD922FE2"/>
    <w:lvl w:ilvl="0" w:tplc="084ED172">
      <w:start w:val="1"/>
      <w:numFmt w:val="bullet"/>
      <w:lvlText w:val="-"/>
      <w:lvlJc w:val="left"/>
      <w:pPr>
        <w:ind w:left="1146" w:hanging="360"/>
      </w:pPr>
      <w:rPr>
        <w:rFonts w:ascii="Calibri" w:hAnsi="Calibri" w:hint="default"/>
      </w:rPr>
    </w:lvl>
    <w:lvl w:ilvl="1" w:tplc="04240003">
      <w:start w:val="1"/>
      <w:numFmt w:val="bullet"/>
      <w:lvlText w:val="o"/>
      <w:lvlJc w:val="left"/>
      <w:pPr>
        <w:ind w:left="1866" w:hanging="360"/>
      </w:pPr>
      <w:rPr>
        <w:rFonts w:ascii="Courier New" w:hAnsi="Courier New" w:hint="default"/>
      </w:rPr>
    </w:lvl>
    <w:lvl w:ilvl="2" w:tplc="04240005">
      <w:start w:val="1"/>
      <w:numFmt w:val="bullet"/>
      <w:lvlText w:val=""/>
      <w:lvlJc w:val="left"/>
      <w:pPr>
        <w:ind w:left="2586" w:hanging="360"/>
      </w:pPr>
      <w:rPr>
        <w:rFonts w:ascii="Wingdings" w:hAnsi="Wingdings" w:hint="default"/>
      </w:rPr>
    </w:lvl>
    <w:lvl w:ilvl="3" w:tplc="04240001">
      <w:start w:val="1"/>
      <w:numFmt w:val="bullet"/>
      <w:lvlText w:val=""/>
      <w:lvlJc w:val="left"/>
      <w:pPr>
        <w:ind w:left="3306" w:hanging="360"/>
      </w:pPr>
      <w:rPr>
        <w:rFonts w:ascii="Symbol" w:hAnsi="Symbol" w:hint="default"/>
      </w:rPr>
    </w:lvl>
    <w:lvl w:ilvl="4" w:tplc="04240003">
      <w:start w:val="1"/>
      <w:numFmt w:val="bullet"/>
      <w:lvlText w:val="o"/>
      <w:lvlJc w:val="left"/>
      <w:pPr>
        <w:ind w:left="4026" w:hanging="360"/>
      </w:pPr>
      <w:rPr>
        <w:rFonts w:ascii="Courier New" w:hAnsi="Courier New" w:hint="default"/>
      </w:rPr>
    </w:lvl>
    <w:lvl w:ilvl="5" w:tplc="04240005">
      <w:start w:val="1"/>
      <w:numFmt w:val="bullet"/>
      <w:lvlText w:val=""/>
      <w:lvlJc w:val="left"/>
      <w:pPr>
        <w:ind w:left="4746" w:hanging="360"/>
      </w:pPr>
      <w:rPr>
        <w:rFonts w:ascii="Wingdings" w:hAnsi="Wingdings" w:hint="default"/>
      </w:rPr>
    </w:lvl>
    <w:lvl w:ilvl="6" w:tplc="04240001">
      <w:start w:val="1"/>
      <w:numFmt w:val="bullet"/>
      <w:lvlText w:val=""/>
      <w:lvlJc w:val="left"/>
      <w:pPr>
        <w:ind w:left="5466" w:hanging="360"/>
      </w:pPr>
      <w:rPr>
        <w:rFonts w:ascii="Symbol" w:hAnsi="Symbol" w:hint="default"/>
      </w:rPr>
    </w:lvl>
    <w:lvl w:ilvl="7" w:tplc="04240003">
      <w:start w:val="1"/>
      <w:numFmt w:val="bullet"/>
      <w:lvlText w:val="o"/>
      <w:lvlJc w:val="left"/>
      <w:pPr>
        <w:ind w:left="6186" w:hanging="360"/>
      </w:pPr>
      <w:rPr>
        <w:rFonts w:ascii="Courier New" w:hAnsi="Courier New" w:hint="default"/>
      </w:rPr>
    </w:lvl>
    <w:lvl w:ilvl="8" w:tplc="04240005">
      <w:start w:val="1"/>
      <w:numFmt w:val="bullet"/>
      <w:lvlText w:val=""/>
      <w:lvlJc w:val="left"/>
      <w:pPr>
        <w:ind w:left="6906" w:hanging="360"/>
      </w:pPr>
      <w:rPr>
        <w:rFonts w:ascii="Wingdings" w:hAnsi="Wingdings" w:hint="default"/>
      </w:rPr>
    </w:lvl>
  </w:abstractNum>
  <w:abstractNum w:abstractNumId="12">
    <w:nsid w:val="34293F3F"/>
    <w:multiLevelType w:val="singleLevel"/>
    <w:tmpl w:val="B074E4EC"/>
    <w:lvl w:ilvl="0">
      <w:start w:val="1"/>
      <w:numFmt w:val="bullet"/>
      <w:pStyle w:val="ListDash"/>
      <w:lvlText w:val="–"/>
      <w:lvlJc w:val="left"/>
      <w:pPr>
        <w:tabs>
          <w:tab w:val="num" w:pos="283"/>
        </w:tabs>
        <w:ind w:left="283" w:hanging="283"/>
      </w:pPr>
      <w:rPr>
        <w:rFonts w:ascii="Times New Roman" w:hAnsi="Times New Roman"/>
      </w:rPr>
    </w:lvl>
  </w:abstractNum>
  <w:abstractNum w:abstractNumId="13">
    <w:nsid w:val="34F55999"/>
    <w:multiLevelType w:val="hybridMultilevel"/>
    <w:tmpl w:val="031A6F30"/>
    <w:lvl w:ilvl="0" w:tplc="084ED172">
      <w:start w:val="1"/>
      <w:numFmt w:val="bullet"/>
      <w:lvlText w:val="-"/>
      <w:lvlJc w:val="left"/>
      <w:pPr>
        <w:ind w:left="1146" w:hanging="360"/>
      </w:pPr>
      <w:rPr>
        <w:rFonts w:ascii="Calibri" w:hAnsi="Calibri" w:hint="default"/>
      </w:rPr>
    </w:lvl>
    <w:lvl w:ilvl="1" w:tplc="04240003">
      <w:start w:val="1"/>
      <w:numFmt w:val="bullet"/>
      <w:lvlText w:val="o"/>
      <w:lvlJc w:val="left"/>
      <w:pPr>
        <w:ind w:left="1866" w:hanging="360"/>
      </w:pPr>
      <w:rPr>
        <w:rFonts w:ascii="Courier New" w:hAnsi="Courier New" w:hint="default"/>
      </w:rPr>
    </w:lvl>
    <w:lvl w:ilvl="2" w:tplc="04240005">
      <w:start w:val="1"/>
      <w:numFmt w:val="bullet"/>
      <w:lvlText w:val=""/>
      <w:lvlJc w:val="left"/>
      <w:pPr>
        <w:ind w:left="2586" w:hanging="360"/>
      </w:pPr>
      <w:rPr>
        <w:rFonts w:ascii="Wingdings" w:hAnsi="Wingdings" w:hint="default"/>
      </w:rPr>
    </w:lvl>
    <w:lvl w:ilvl="3" w:tplc="04240001">
      <w:start w:val="1"/>
      <w:numFmt w:val="bullet"/>
      <w:lvlText w:val=""/>
      <w:lvlJc w:val="left"/>
      <w:pPr>
        <w:ind w:left="3306" w:hanging="360"/>
      </w:pPr>
      <w:rPr>
        <w:rFonts w:ascii="Symbol" w:hAnsi="Symbol" w:hint="default"/>
      </w:rPr>
    </w:lvl>
    <w:lvl w:ilvl="4" w:tplc="04240003">
      <w:start w:val="1"/>
      <w:numFmt w:val="bullet"/>
      <w:lvlText w:val="o"/>
      <w:lvlJc w:val="left"/>
      <w:pPr>
        <w:ind w:left="4026" w:hanging="360"/>
      </w:pPr>
      <w:rPr>
        <w:rFonts w:ascii="Courier New" w:hAnsi="Courier New" w:hint="default"/>
      </w:rPr>
    </w:lvl>
    <w:lvl w:ilvl="5" w:tplc="04240005">
      <w:start w:val="1"/>
      <w:numFmt w:val="bullet"/>
      <w:lvlText w:val=""/>
      <w:lvlJc w:val="left"/>
      <w:pPr>
        <w:ind w:left="4746" w:hanging="360"/>
      </w:pPr>
      <w:rPr>
        <w:rFonts w:ascii="Wingdings" w:hAnsi="Wingdings" w:hint="default"/>
      </w:rPr>
    </w:lvl>
    <w:lvl w:ilvl="6" w:tplc="04240001">
      <w:start w:val="1"/>
      <w:numFmt w:val="bullet"/>
      <w:lvlText w:val=""/>
      <w:lvlJc w:val="left"/>
      <w:pPr>
        <w:ind w:left="5466" w:hanging="360"/>
      </w:pPr>
      <w:rPr>
        <w:rFonts w:ascii="Symbol" w:hAnsi="Symbol" w:hint="default"/>
      </w:rPr>
    </w:lvl>
    <w:lvl w:ilvl="7" w:tplc="04240003">
      <w:start w:val="1"/>
      <w:numFmt w:val="bullet"/>
      <w:lvlText w:val="o"/>
      <w:lvlJc w:val="left"/>
      <w:pPr>
        <w:ind w:left="6186" w:hanging="360"/>
      </w:pPr>
      <w:rPr>
        <w:rFonts w:ascii="Courier New" w:hAnsi="Courier New" w:hint="default"/>
      </w:rPr>
    </w:lvl>
    <w:lvl w:ilvl="8" w:tplc="04240005">
      <w:start w:val="1"/>
      <w:numFmt w:val="bullet"/>
      <w:lvlText w:val=""/>
      <w:lvlJc w:val="left"/>
      <w:pPr>
        <w:ind w:left="6906" w:hanging="360"/>
      </w:pPr>
      <w:rPr>
        <w:rFonts w:ascii="Wingdings" w:hAnsi="Wingdings" w:hint="default"/>
      </w:rPr>
    </w:lvl>
  </w:abstractNum>
  <w:abstractNum w:abstractNumId="14">
    <w:nsid w:val="358B6119"/>
    <w:multiLevelType w:val="multilevel"/>
    <w:tmpl w:val="A8BA546C"/>
    <w:lvl w:ilvl="0">
      <w:start w:val="1"/>
      <w:numFmt w:val="decimal"/>
      <w:pStyle w:val="ListNumber1"/>
      <w:lvlText w:val="(%1)"/>
      <w:lvlJc w:val="left"/>
      <w:pPr>
        <w:tabs>
          <w:tab w:val="num" w:pos="1191"/>
        </w:tabs>
        <w:ind w:left="1191" w:hanging="709"/>
      </w:pPr>
      <w:rPr>
        <w:rFonts w:cs="Times New Roman"/>
      </w:rPr>
    </w:lvl>
    <w:lvl w:ilvl="1">
      <w:start w:val="1"/>
      <w:numFmt w:val="lowerLetter"/>
      <w:pStyle w:val="ListNumber1Level2"/>
      <w:lvlText w:val="(%2)"/>
      <w:lvlJc w:val="left"/>
      <w:pPr>
        <w:tabs>
          <w:tab w:val="num" w:pos="1899"/>
        </w:tabs>
        <w:ind w:left="1899" w:hanging="708"/>
      </w:pPr>
      <w:rPr>
        <w:rFonts w:cs="Times New Roman"/>
      </w:rPr>
    </w:lvl>
    <w:lvl w:ilvl="2">
      <w:start w:val="1"/>
      <w:numFmt w:val="bullet"/>
      <w:pStyle w:val="ListNumber1Level3"/>
      <w:lvlText w:val="–"/>
      <w:lvlJc w:val="left"/>
      <w:pPr>
        <w:tabs>
          <w:tab w:val="num" w:pos="2608"/>
        </w:tabs>
        <w:ind w:left="2608" w:hanging="709"/>
      </w:pPr>
      <w:rPr>
        <w:rFonts w:ascii="Times New Roman" w:hAnsi="Times New Roman"/>
      </w:rPr>
    </w:lvl>
    <w:lvl w:ilvl="3">
      <w:start w:val="1"/>
      <w:numFmt w:val="bullet"/>
      <w:pStyle w:val="ListNumber1Level4"/>
      <w:lvlText w:val=""/>
      <w:lvlJc w:val="left"/>
      <w:pPr>
        <w:tabs>
          <w:tab w:val="num" w:pos="3317"/>
        </w:tabs>
        <w:ind w:left="3317" w:hanging="709"/>
      </w:pPr>
      <w:rPr>
        <w:rFonts w:ascii="Symbol" w:hAnsi="Symbol"/>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15">
    <w:nsid w:val="36324F1E"/>
    <w:multiLevelType w:val="singleLevel"/>
    <w:tmpl w:val="E7764108"/>
    <w:name w:val="List Dash 1222"/>
    <w:lvl w:ilvl="0">
      <w:start w:val="1"/>
      <w:numFmt w:val="bullet"/>
      <w:lvlText w:val="-"/>
      <w:lvlJc w:val="left"/>
      <w:pPr>
        <w:tabs>
          <w:tab w:val="num" w:pos="283"/>
        </w:tabs>
        <w:ind w:left="283" w:hanging="283"/>
      </w:pPr>
      <w:rPr>
        <w:rFonts w:ascii="Symbol" w:hAnsi="Symbol" w:hint="default"/>
      </w:rPr>
    </w:lvl>
  </w:abstractNum>
  <w:abstractNum w:abstractNumId="16">
    <w:nsid w:val="36981A17"/>
    <w:multiLevelType w:val="hybridMultilevel"/>
    <w:tmpl w:val="3B78F0CC"/>
    <w:lvl w:ilvl="0" w:tplc="04240001">
      <w:start w:val="1"/>
      <w:numFmt w:val="bullet"/>
      <w:lvlText w:val=""/>
      <w:lvlJc w:val="left"/>
      <w:pPr>
        <w:ind w:left="720" w:hanging="360"/>
      </w:pPr>
      <w:rPr>
        <w:rFonts w:ascii="Symbol" w:hAnsi="Symbol" w:hint="default"/>
      </w:rPr>
    </w:lvl>
    <w:lvl w:ilvl="1" w:tplc="04240001">
      <w:start w:val="1"/>
      <w:numFmt w:val="bullet"/>
      <w:lvlText w:val=""/>
      <w:lvlJc w:val="left"/>
      <w:pPr>
        <w:ind w:left="1440" w:hanging="360"/>
      </w:pPr>
      <w:rPr>
        <w:rFonts w:ascii="Symbol" w:hAnsi="Symbol" w:hint="default"/>
      </w:rPr>
    </w:lvl>
    <w:lvl w:ilvl="2" w:tplc="04240005">
      <w:start w:val="1"/>
      <w:numFmt w:val="bullet"/>
      <w:lvlText w:val=""/>
      <w:lvlJc w:val="left"/>
      <w:pPr>
        <w:ind w:left="2160" w:hanging="360"/>
      </w:pPr>
      <w:rPr>
        <w:rFonts w:ascii="Wingdings" w:hAnsi="Wingdings" w:hint="default"/>
      </w:rPr>
    </w:lvl>
    <w:lvl w:ilvl="3" w:tplc="04240001">
      <w:start w:val="1"/>
      <w:numFmt w:val="bullet"/>
      <w:lvlText w:val=""/>
      <w:lvlJc w:val="left"/>
      <w:pPr>
        <w:ind w:left="2880" w:hanging="360"/>
      </w:pPr>
      <w:rPr>
        <w:rFonts w:ascii="Symbol" w:hAnsi="Symbol" w:hint="default"/>
      </w:rPr>
    </w:lvl>
    <w:lvl w:ilvl="4" w:tplc="04240003">
      <w:start w:val="1"/>
      <w:numFmt w:val="bullet"/>
      <w:lvlText w:val="o"/>
      <w:lvlJc w:val="left"/>
      <w:pPr>
        <w:ind w:left="3600" w:hanging="360"/>
      </w:pPr>
      <w:rPr>
        <w:rFonts w:ascii="Courier New" w:hAnsi="Courier New" w:hint="default"/>
      </w:rPr>
    </w:lvl>
    <w:lvl w:ilvl="5" w:tplc="04240005">
      <w:start w:val="1"/>
      <w:numFmt w:val="bullet"/>
      <w:lvlText w:val=""/>
      <w:lvlJc w:val="left"/>
      <w:pPr>
        <w:ind w:left="4320" w:hanging="360"/>
      </w:pPr>
      <w:rPr>
        <w:rFonts w:ascii="Wingdings" w:hAnsi="Wingdings" w:hint="default"/>
      </w:rPr>
    </w:lvl>
    <w:lvl w:ilvl="6" w:tplc="04240001">
      <w:start w:val="1"/>
      <w:numFmt w:val="bullet"/>
      <w:lvlText w:val=""/>
      <w:lvlJc w:val="left"/>
      <w:pPr>
        <w:ind w:left="5040" w:hanging="360"/>
      </w:pPr>
      <w:rPr>
        <w:rFonts w:ascii="Symbol" w:hAnsi="Symbol" w:hint="default"/>
      </w:rPr>
    </w:lvl>
    <w:lvl w:ilvl="7" w:tplc="04240003">
      <w:start w:val="1"/>
      <w:numFmt w:val="bullet"/>
      <w:lvlText w:val="o"/>
      <w:lvlJc w:val="left"/>
      <w:pPr>
        <w:ind w:left="5760" w:hanging="360"/>
      </w:pPr>
      <w:rPr>
        <w:rFonts w:ascii="Courier New" w:hAnsi="Courier New" w:hint="default"/>
      </w:rPr>
    </w:lvl>
    <w:lvl w:ilvl="8" w:tplc="04240005">
      <w:start w:val="1"/>
      <w:numFmt w:val="bullet"/>
      <w:lvlText w:val=""/>
      <w:lvlJc w:val="left"/>
      <w:pPr>
        <w:ind w:left="6480" w:hanging="360"/>
      </w:pPr>
      <w:rPr>
        <w:rFonts w:ascii="Wingdings" w:hAnsi="Wingdings" w:hint="default"/>
      </w:rPr>
    </w:lvl>
  </w:abstractNum>
  <w:abstractNum w:abstractNumId="17">
    <w:nsid w:val="37CB1E1C"/>
    <w:multiLevelType w:val="singleLevel"/>
    <w:tmpl w:val="628C12D0"/>
    <w:name w:val="List Dash 1223"/>
    <w:lvl w:ilvl="0">
      <w:start w:val="1"/>
      <w:numFmt w:val="bullet"/>
      <w:lvlText w:val="-"/>
      <w:lvlJc w:val="left"/>
      <w:pPr>
        <w:tabs>
          <w:tab w:val="num" w:pos="283"/>
        </w:tabs>
        <w:ind w:left="283" w:hanging="283"/>
      </w:pPr>
      <w:rPr>
        <w:rFonts w:ascii="Symbol" w:hAnsi="Symbol" w:hint="default"/>
      </w:rPr>
    </w:lvl>
  </w:abstractNum>
  <w:abstractNum w:abstractNumId="18">
    <w:nsid w:val="3AFB6DC8"/>
    <w:multiLevelType w:val="singleLevel"/>
    <w:tmpl w:val="D97CFDF8"/>
    <w:lvl w:ilvl="0">
      <w:start w:val="1"/>
      <w:numFmt w:val="bullet"/>
      <w:pStyle w:val="Oznaenseznam2"/>
      <w:lvlText w:val=""/>
      <w:lvlJc w:val="left"/>
      <w:pPr>
        <w:tabs>
          <w:tab w:val="num" w:pos="1485"/>
        </w:tabs>
        <w:ind w:left="1485" w:hanging="283"/>
      </w:pPr>
      <w:rPr>
        <w:rFonts w:ascii="Symbol" w:hAnsi="Symbol"/>
      </w:rPr>
    </w:lvl>
  </w:abstractNum>
  <w:abstractNum w:abstractNumId="19">
    <w:nsid w:val="3BF56BD3"/>
    <w:multiLevelType w:val="hybridMultilevel"/>
    <w:tmpl w:val="7B8C15F8"/>
    <w:lvl w:ilvl="0" w:tplc="04240001">
      <w:start w:val="1"/>
      <w:numFmt w:val="bullet"/>
      <w:lvlText w:val=""/>
      <w:lvlJc w:val="left"/>
      <w:pPr>
        <w:ind w:left="720" w:hanging="360"/>
      </w:pPr>
      <w:rPr>
        <w:rFonts w:ascii="Symbol" w:hAnsi="Symbol" w:hint="default"/>
      </w:rPr>
    </w:lvl>
    <w:lvl w:ilvl="1" w:tplc="113C9652">
      <w:numFmt w:val="bullet"/>
      <w:lvlText w:val="-"/>
      <w:lvlJc w:val="left"/>
      <w:pPr>
        <w:ind w:left="1785" w:hanging="705"/>
      </w:pPr>
      <w:rPr>
        <w:rFonts w:ascii="Times New Roman" w:eastAsia="Times New Roman" w:hAnsi="Times New Roman" w:hint="default"/>
      </w:rPr>
    </w:lvl>
    <w:lvl w:ilvl="2" w:tplc="04240005">
      <w:start w:val="1"/>
      <w:numFmt w:val="bullet"/>
      <w:lvlText w:val=""/>
      <w:lvlJc w:val="left"/>
      <w:pPr>
        <w:ind w:left="2160" w:hanging="360"/>
      </w:pPr>
      <w:rPr>
        <w:rFonts w:ascii="Wingdings" w:hAnsi="Wingdings" w:hint="default"/>
      </w:rPr>
    </w:lvl>
    <w:lvl w:ilvl="3" w:tplc="04240001">
      <w:start w:val="1"/>
      <w:numFmt w:val="bullet"/>
      <w:lvlText w:val=""/>
      <w:lvlJc w:val="left"/>
      <w:pPr>
        <w:ind w:left="2880" w:hanging="360"/>
      </w:pPr>
      <w:rPr>
        <w:rFonts w:ascii="Symbol" w:hAnsi="Symbol" w:hint="default"/>
      </w:rPr>
    </w:lvl>
    <w:lvl w:ilvl="4" w:tplc="04240003">
      <w:start w:val="1"/>
      <w:numFmt w:val="bullet"/>
      <w:lvlText w:val="o"/>
      <w:lvlJc w:val="left"/>
      <w:pPr>
        <w:ind w:left="3600" w:hanging="360"/>
      </w:pPr>
      <w:rPr>
        <w:rFonts w:ascii="Courier New" w:hAnsi="Courier New" w:hint="default"/>
      </w:rPr>
    </w:lvl>
    <w:lvl w:ilvl="5" w:tplc="04240005">
      <w:start w:val="1"/>
      <w:numFmt w:val="bullet"/>
      <w:lvlText w:val=""/>
      <w:lvlJc w:val="left"/>
      <w:pPr>
        <w:ind w:left="4320" w:hanging="360"/>
      </w:pPr>
      <w:rPr>
        <w:rFonts w:ascii="Wingdings" w:hAnsi="Wingdings" w:hint="default"/>
      </w:rPr>
    </w:lvl>
    <w:lvl w:ilvl="6" w:tplc="04240001">
      <w:start w:val="1"/>
      <w:numFmt w:val="bullet"/>
      <w:lvlText w:val=""/>
      <w:lvlJc w:val="left"/>
      <w:pPr>
        <w:ind w:left="5040" w:hanging="360"/>
      </w:pPr>
      <w:rPr>
        <w:rFonts w:ascii="Symbol" w:hAnsi="Symbol" w:hint="default"/>
      </w:rPr>
    </w:lvl>
    <w:lvl w:ilvl="7" w:tplc="04240003">
      <w:start w:val="1"/>
      <w:numFmt w:val="bullet"/>
      <w:lvlText w:val="o"/>
      <w:lvlJc w:val="left"/>
      <w:pPr>
        <w:ind w:left="5760" w:hanging="360"/>
      </w:pPr>
      <w:rPr>
        <w:rFonts w:ascii="Courier New" w:hAnsi="Courier New" w:hint="default"/>
      </w:rPr>
    </w:lvl>
    <w:lvl w:ilvl="8" w:tplc="04240005">
      <w:start w:val="1"/>
      <w:numFmt w:val="bullet"/>
      <w:lvlText w:val=""/>
      <w:lvlJc w:val="left"/>
      <w:pPr>
        <w:ind w:left="6480" w:hanging="360"/>
      </w:pPr>
      <w:rPr>
        <w:rFonts w:ascii="Wingdings" w:hAnsi="Wingdings" w:hint="default"/>
      </w:rPr>
    </w:lvl>
  </w:abstractNum>
  <w:abstractNum w:abstractNumId="20">
    <w:nsid w:val="3CF00E18"/>
    <w:multiLevelType w:val="singleLevel"/>
    <w:tmpl w:val="4E1A982C"/>
    <w:lvl w:ilvl="0">
      <w:start w:val="1"/>
      <w:numFmt w:val="bullet"/>
      <w:pStyle w:val="Oznaenseznam"/>
      <w:lvlText w:val=""/>
      <w:lvlJc w:val="left"/>
      <w:pPr>
        <w:tabs>
          <w:tab w:val="num" w:pos="283"/>
        </w:tabs>
        <w:ind w:left="283" w:hanging="283"/>
      </w:pPr>
      <w:rPr>
        <w:rFonts w:ascii="Symbol" w:hAnsi="Symbol"/>
      </w:rPr>
    </w:lvl>
  </w:abstractNum>
  <w:abstractNum w:abstractNumId="21">
    <w:nsid w:val="46113D4F"/>
    <w:multiLevelType w:val="singleLevel"/>
    <w:tmpl w:val="A3323CB8"/>
    <w:lvl w:ilvl="0">
      <w:start w:val="1"/>
      <w:numFmt w:val="bullet"/>
      <w:pStyle w:val="ListDash3"/>
      <w:lvlText w:val="–"/>
      <w:lvlJc w:val="left"/>
      <w:pPr>
        <w:tabs>
          <w:tab w:val="num" w:pos="1485"/>
        </w:tabs>
        <w:ind w:left="1485" w:hanging="283"/>
      </w:pPr>
      <w:rPr>
        <w:rFonts w:ascii="Times New Roman" w:hAnsi="Times New Roman"/>
      </w:rPr>
    </w:lvl>
  </w:abstractNum>
  <w:abstractNum w:abstractNumId="22">
    <w:nsid w:val="51D11718"/>
    <w:multiLevelType w:val="hybridMultilevel"/>
    <w:tmpl w:val="3FB68E8A"/>
    <w:lvl w:ilvl="0" w:tplc="FFFFFFFF">
      <w:start w:val="1"/>
      <w:numFmt w:val="bullet"/>
      <w:lvlText w:val=""/>
      <w:lvlJc w:val="left"/>
      <w:pPr>
        <w:ind w:left="720" w:hanging="360"/>
      </w:pPr>
      <w:rPr>
        <w:rFonts w:ascii="Symbol" w:hAnsi="Symbol"/>
      </w:rPr>
    </w:lvl>
    <w:lvl w:ilvl="1" w:tplc="04240003">
      <w:start w:val="1"/>
      <w:numFmt w:val="bullet"/>
      <w:lvlText w:val="o"/>
      <w:lvlJc w:val="left"/>
      <w:pPr>
        <w:ind w:left="1440" w:hanging="360"/>
      </w:pPr>
      <w:rPr>
        <w:rFonts w:ascii="Courier New" w:hAnsi="Courier New" w:hint="default"/>
      </w:rPr>
    </w:lvl>
    <w:lvl w:ilvl="2" w:tplc="04240005">
      <w:start w:val="1"/>
      <w:numFmt w:val="bullet"/>
      <w:lvlText w:val=""/>
      <w:lvlJc w:val="left"/>
      <w:pPr>
        <w:ind w:left="2160" w:hanging="360"/>
      </w:pPr>
      <w:rPr>
        <w:rFonts w:ascii="Wingdings" w:hAnsi="Wingdings" w:hint="default"/>
      </w:rPr>
    </w:lvl>
    <w:lvl w:ilvl="3" w:tplc="04240001">
      <w:start w:val="1"/>
      <w:numFmt w:val="bullet"/>
      <w:lvlText w:val=""/>
      <w:lvlJc w:val="left"/>
      <w:pPr>
        <w:ind w:left="2880" w:hanging="360"/>
      </w:pPr>
      <w:rPr>
        <w:rFonts w:ascii="Symbol" w:hAnsi="Symbol" w:hint="default"/>
      </w:rPr>
    </w:lvl>
    <w:lvl w:ilvl="4" w:tplc="04240003">
      <w:start w:val="1"/>
      <w:numFmt w:val="bullet"/>
      <w:lvlText w:val="o"/>
      <w:lvlJc w:val="left"/>
      <w:pPr>
        <w:ind w:left="3600" w:hanging="360"/>
      </w:pPr>
      <w:rPr>
        <w:rFonts w:ascii="Courier New" w:hAnsi="Courier New" w:hint="default"/>
      </w:rPr>
    </w:lvl>
    <w:lvl w:ilvl="5" w:tplc="04240005">
      <w:start w:val="1"/>
      <w:numFmt w:val="bullet"/>
      <w:lvlText w:val=""/>
      <w:lvlJc w:val="left"/>
      <w:pPr>
        <w:ind w:left="4320" w:hanging="360"/>
      </w:pPr>
      <w:rPr>
        <w:rFonts w:ascii="Wingdings" w:hAnsi="Wingdings" w:hint="default"/>
      </w:rPr>
    </w:lvl>
    <w:lvl w:ilvl="6" w:tplc="04240001">
      <w:start w:val="1"/>
      <w:numFmt w:val="bullet"/>
      <w:lvlText w:val=""/>
      <w:lvlJc w:val="left"/>
      <w:pPr>
        <w:ind w:left="5040" w:hanging="360"/>
      </w:pPr>
      <w:rPr>
        <w:rFonts w:ascii="Symbol" w:hAnsi="Symbol" w:hint="default"/>
      </w:rPr>
    </w:lvl>
    <w:lvl w:ilvl="7" w:tplc="04240003">
      <w:start w:val="1"/>
      <w:numFmt w:val="bullet"/>
      <w:lvlText w:val="o"/>
      <w:lvlJc w:val="left"/>
      <w:pPr>
        <w:ind w:left="5760" w:hanging="360"/>
      </w:pPr>
      <w:rPr>
        <w:rFonts w:ascii="Courier New" w:hAnsi="Courier New" w:hint="default"/>
      </w:rPr>
    </w:lvl>
    <w:lvl w:ilvl="8" w:tplc="04240005">
      <w:start w:val="1"/>
      <w:numFmt w:val="bullet"/>
      <w:lvlText w:val=""/>
      <w:lvlJc w:val="left"/>
      <w:pPr>
        <w:ind w:left="6480" w:hanging="360"/>
      </w:pPr>
      <w:rPr>
        <w:rFonts w:ascii="Wingdings" w:hAnsi="Wingdings" w:hint="default"/>
      </w:rPr>
    </w:lvl>
  </w:abstractNum>
  <w:abstractNum w:abstractNumId="23">
    <w:nsid w:val="53436603"/>
    <w:multiLevelType w:val="multilevel"/>
    <w:tmpl w:val="A09AD310"/>
    <w:lvl w:ilvl="0">
      <w:start w:val="1"/>
      <w:numFmt w:val="decimal"/>
      <w:pStyle w:val="Naslov1"/>
      <w:suff w:val="space"/>
      <w:lvlText w:val="%1."/>
      <w:lvlJc w:val="left"/>
      <w:rPr>
        <w:rFonts w:cs="Times New Roman" w:hint="default"/>
      </w:rPr>
    </w:lvl>
    <w:lvl w:ilvl="1">
      <w:start w:val="1"/>
      <w:numFmt w:val="decimal"/>
      <w:pStyle w:val="Naslov2"/>
      <w:suff w:val="space"/>
      <w:lvlText w:val="%1.%2."/>
      <w:lvlJc w:val="left"/>
      <w:rPr>
        <w:rFonts w:cs="Times New Roman" w:hint="default"/>
      </w:rPr>
    </w:lvl>
    <w:lvl w:ilvl="2">
      <w:start w:val="1"/>
      <w:numFmt w:val="decimal"/>
      <w:pStyle w:val="Naslov3"/>
      <w:suff w:val="space"/>
      <w:lvlText w:val="%1.%2.%3."/>
      <w:lvlJc w:val="left"/>
      <w:rPr>
        <w:rFonts w:cs="Times New Roman" w:hint="default"/>
        <w:color w:val="auto"/>
      </w:rPr>
    </w:lvl>
    <w:lvl w:ilvl="3">
      <w:start w:val="1"/>
      <w:numFmt w:val="decimal"/>
      <w:pStyle w:val="Naslov4"/>
      <w:suff w:val="space"/>
      <w:lvlText w:val="%1.%2.%3.%4."/>
      <w:lvlJc w:val="left"/>
      <w:rPr>
        <w:rFonts w:cs="Times New Roman" w:hint="default"/>
      </w:rPr>
    </w:lvl>
    <w:lvl w:ilvl="4">
      <w:start w:val="1"/>
      <w:numFmt w:val="decimal"/>
      <w:pStyle w:val="Naslov5"/>
      <w:suff w:val="space"/>
      <w:lvlText w:val="%1.%2.%3.%4.%5."/>
      <w:lvlJc w:val="left"/>
      <w:rPr>
        <w:rFonts w:cs="Times New Roman" w:hint="default"/>
      </w:rPr>
    </w:lvl>
    <w:lvl w:ilvl="5">
      <w:start w:val="1"/>
      <w:numFmt w:val="decimal"/>
      <w:pStyle w:val="Naslov6"/>
      <w:suff w:val="space"/>
      <w:lvlText w:val="%1.%2.%3.%4.%5.%6."/>
      <w:lvlJc w:val="left"/>
      <w:rPr>
        <w:rFonts w:cs="Times New Roman" w:hint="default"/>
      </w:rPr>
    </w:lvl>
    <w:lvl w:ilvl="6">
      <w:start w:val="1"/>
      <w:numFmt w:val="decimal"/>
      <w:pStyle w:val="Naslov7"/>
      <w:suff w:val="space"/>
      <w:lvlText w:val="%1.%2.%3.%4.%5.%6.%7."/>
      <w:lvlJc w:val="left"/>
      <w:rPr>
        <w:rFonts w:cs="Times New Roman" w:hint="default"/>
      </w:rPr>
    </w:lvl>
    <w:lvl w:ilvl="7">
      <w:start w:val="1"/>
      <w:numFmt w:val="decimal"/>
      <w:pStyle w:val="Naslov8"/>
      <w:suff w:val="space"/>
      <w:lvlText w:val="%1.%2.%3.%4.%5.%6.%7.%8."/>
      <w:lvlJc w:val="left"/>
      <w:rPr>
        <w:rFonts w:cs="Times New Roman" w:hint="default"/>
      </w:rPr>
    </w:lvl>
    <w:lvl w:ilvl="8">
      <w:start w:val="1"/>
      <w:numFmt w:val="decimal"/>
      <w:pStyle w:val="Naslov9"/>
      <w:suff w:val="space"/>
      <w:lvlText w:val="%1.%2.%3.%4.%5.%6.%7.%8.%9."/>
      <w:lvlJc w:val="left"/>
      <w:rPr>
        <w:rFonts w:cs="Times New Roman" w:hint="default"/>
      </w:rPr>
    </w:lvl>
  </w:abstractNum>
  <w:abstractNum w:abstractNumId="24">
    <w:nsid w:val="54D10AB0"/>
    <w:multiLevelType w:val="singleLevel"/>
    <w:tmpl w:val="5B50620E"/>
    <w:lvl w:ilvl="0">
      <w:start w:val="1"/>
      <w:numFmt w:val="bullet"/>
      <w:pStyle w:val="ListDash4"/>
      <w:lvlText w:val="–"/>
      <w:lvlJc w:val="left"/>
      <w:pPr>
        <w:tabs>
          <w:tab w:val="num" w:pos="1485"/>
        </w:tabs>
        <w:ind w:left="1485" w:hanging="283"/>
      </w:pPr>
      <w:rPr>
        <w:rFonts w:ascii="Times New Roman" w:hAnsi="Times New Roman"/>
      </w:rPr>
    </w:lvl>
  </w:abstractNum>
  <w:abstractNum w:abstractNumId="25">
    <w:nsid w:val="57594894"/>
    <w:multiLevelType w:val="multilevel"/>
    <w:tmpl w:val="A09AD310"/>
    <w:styleLink w:val="Headings"/>
    <w:lvl w:ilvl="0">
      <w:start w:val="1"/>
      <w:numFmt w:val="decimal"/>
      <w:suff w:val="space"/>
      <w:lvlText w:val="%1."/>
      <w:lvlJc w:val="left"/>
      <w:rPr>
        <w:rFonts w:cs="Times New Roman" w:hint="default"/>
      </w:rPr>
    </w:lvl>
    <w:lvl w:ilvl="1">
      <w:start w:val="1"/>
      <w:numFmt w:val="decimal"/>
      <w:suff w:val="space"/>
      <w:lvlText w:val="%1.%2."/>
      <w:lvlJc w:val="left"/>
      <w:rPr>
        <w:rFonts w:cs="Times New Roman" w:hint="default"/>
      </w:rPr>
    </w:lvl>
    <w:lvl w:ilvl="2">
      <w:start w:val="1"/>
      <w:numFmt w:val="decimal"/>
      <w:suff w:val="space"/>
      <w:lvlText w:val="%1.%2.%3."/>
      <w:lvlJc w:val="left"/>
      <w:rPr>
        <w:rFonts w:cs="Times New Roman" w:hint="default"/>
        <w:color w:val="auto"/>
      </w:rPr>
    </w:lvl>
    <w:lvl w:ilvl="3">
      <w:start w:val="1"/>
      <w:numFmt w:val="decimal"/>
      <w:suff w:val="space"/>
      <w:lvlText w:val="%1.%2.%3.%4."/>
      <w:lvlJc w:val="left"/>
      <w:rPr>
        <w:rFonts w:cs="Times New Roman" w:hint="default"/>
      </w:rPr>
    </w:lvl>
    <w:lvl w:ilvl="4">
      <w:start w:val="1"/>
      <w:numFmt w:val="decimal"/>
      <w:suff w:val="space"/>
      <w:lvlText w:val="%1.%2.%3.%4.%5."/>
      <w:lvlJc w:val="left"/>
      <w:rPr>
        <w:rFonts w:cs="Times New Roman" w:hint="default"/>
      </w:rPr>
    </w:lvl>
    <w:lvl w:ilvl="5">
      <w:start w:val="1"/>
      <w:numFmt w:val="decimal"/>
      <w:suff w:val="space"/>
      <w:lvlText w:val="%1.%2.%3.%4.%5.%6."/>
      <w:lvlJc w:val="left"/>
      <w:rPr>
        <w:rFonts w:cs="Times New Roman" w:hint="default"/>
      </w:rPr>
    </w:lvl>
    <w:lvl w:ilvl="6">
      <w:start w:val="1"/>
      <w:numFmt w:val="decimal"/>
      <w:suff w:val="space"/>
      <w:lvlText w:val="%1.%2.%3.%4.%5.%6.%7."/>
      <w:lvlJc w:val="left"/>
      <w:rPr>
        <w:rFonts w:cs="Times New Roman" w:hint="default"/>
      </w:rPr>
    </w:lvl>
    <w:lvl w:ilvl="7">
      <w:start w:val="1"/>
      <w:numFmt w:val="decimal"/>
      <w:suff w:val="space"/>
      <w:lvlText w:val="%1.%2.%3.%4.%5.%6.%7.%8."/>
      <w:lvlJc w:val="left"/>
      <w:rPr>
        <w:rFonts w:cs="Times New Roman" w:hint="default"/>
      </w:rPr>
    </w:lvl>
    <w:lvl w:ilvl="8">
      <w:start w:val="1"/>
      <w:numFmt w:val="decimal"/>
      <w:suff w:val="space"/>
      <w:lvlText w:val="%1.%2.%3.%4.%5.%6.%7.%8.%9."/>
      <w:lvlJc w:val="left"/>
      <w:rPr>
        <w:rFonts w:cs="Times New Roman" w:hint="default"/>
      </w:rPr>
    </w:lvl>
  </w:abstractNum>
  <w:abstractNum w:abstractNumId="26">
    <w:nsid w:val="5C82295D"/>
    <w:multiLevelType w:val="hybridMultilevel"/>
    <w:tmpl w:val="2D848B08"/>
    <w:lvl w:ilvl="0" w:tplc="AE4C119C">
      <w:start w:val="1"/>
      <w:numFmt w:val="bullet"/>
      <w:lvlText w:val=""/>
      <w:lvlJc w:val="left"/>
      <w:pPr>
        <w:ind w:left="360" w:hanging="360"/>
      </w:pPr>
      <w:rPr>
        <w:rFonts w:ascii="Wingdings 2" w:hAnsi="Wingdings 2" w:hint="default"/>
      </w:rPr>
    </w:lvl>
    <w:lvl w:ilvl="1" w:tplc="04240003">
      <w:start w:val="1"/>
      <w:numFmt w:val="bullet"/>
      <w:lvlText w:val="o"/>
      <w:lvlJc w:val="left"/>
      <w:pPr>
        <w:ind w:left="1080" w:hanging="360"/>
      </w:pPr>
      <w:rPr>
        <w:rFonts w:ascii="Courier New" w:hAnsi="Courier New" w:hint="default"/>
      </w:rPr>
    </w:lvl>
    <w:lvl w:ilvl="2" w:tplc="04240005">
      <w:start w:val="1"/>
      <w:numFmt w:val="bullet"/>
      <w:lvlText w:val=""/>
      <w:lvlJc w:val="left"/>
      <w:pPr>
        <w:ind w:left="1800" w:hanging="360"/>
      </w:pPr>
      <w:rPr>
        <w:rFonts w:ascii="Wingdings" w:hAnsi="Wingdings" w:hint="default"/>
      </w:rPr>
    </w:lvl>
    <w:lvl w:ilvl="3" w:tplc="04240001">
      <w:start w:val="1"/>
      <w:numFmt w:val="bullet"/>
      <w:lvlText w:val=""/>
      <w:lvlJc w:val="left"/>
      <w:pPr>
        <w:ind w:left="2520" w:hanging="360"/>
      </w:pPr>
      <w:rPr>
        <w:rFonts w:ascii="Symbol" w:hAnsi="Symbol" w:hint="default"/>
      </w:rPr>
    </w:lvl>
    <w:lvl w:ilvl="4" w:tplc="04240003">
      <w:start w:val="1"/>
      <w:numFmt w:val="bullet"/>
      <w:lvlText w:val="o"/>
      <w:lvlJc w:val="left"/>
      <w:pPr>
        <w:ind w:left="3240" w:hanging="360"/>
      </w:pPr>
      <w:rPr>
        <w:rFonts w:ascii="Courier New" w:hAnsi="Courier New" w:hint="default"/>
      </w:rPr>
    </w:lvl>
    <w:lvl w:ilvl="5" w:tplc="04240005">
      <w:start w:val="1"/>
      <w:numFmt w:val="bullet"/>
      <w:lvlText w:val=""/>
      <w:lvlJc w:val="left"/>
      <w:pPr>
        <w:ind w:left="3960" w:hanging="360"/>
      </w:pPr>
      <w:rPr>
        <w:rFonts w:ascii="Wingdings" w:hAnsi="Wingdings" w:hint="default"/>
      </w:rPr>
    </w:lvl>
    <w:lvl w:ilvl="6" w:tplc="04240001">
      <w:start w:val="1"/>
      <w:numFmt w:val="bullet"/>
      <w:lvlText w:val=""/>
      <w:lvlJc w:val="left"/>
      <w:pPr>
        <w:ind w:left="4680" w:hanging="360"/>
      </w:pPr>
      <w:rPr>
        <w:rFonts w:ascii="Symbol" w:hAnsi="Symbol" w:hint="default"/>
      </w:rPr>
    </w:lvl>
    <w:lvl w:ilvl="7" w:tplc="04240003">
      <w:start w:val="1"/>
      <w:numFmt w:val="bullet"/>
      <w:lvlText w:val="o"/>
      <w:lvlJc w:val="left"/>
      <w:pPr>
        <w:ind w:left="5400" w:hanging="360"/>
      </w:pPr>
      <w:rPr>
        <w:rFonts w:ascii="Courier New" w:hAnsi="Courier New" w:hint="default"/>
      </w:rPr>
    </w:lvl>
    <w:lvl w:ilvl="8" w:tplc="04240005">
      <w:start w:val="1"/>
      <w:numFmt w:val="bullet"/>
      <w:lvlText w:val=""/>
      <w:lvlJc w:val="left"/>
      <w:pPr>
        <w:ind w:left="6120" w:hanging="360"/>
      </w:pPr>
      <w:rPr>
        <w:rFonts w:ascii="Wingdings" w:hAnsi="Wingdings" w:hint="default"/>
      </w:rPr>
    </w:lvl>
  </w:abstractNum>
  <w:abstractNum w:abstractNumId="27">
    <w:nsid w:val="5E0D6286"/>
    <w:multiLevelType w:val="singleLevel"/>
    <w:tmpl w:val="B0567122"/>
    <w:lvl w:ilvl="0">
      <w:start w:val="1"/>
      <w:numFmt w:val="bullet"/>
      <w:pStyle w:val="ListDash2"/>
      <w:lvlText w:val="–"/>
      <w:lvlJc w:val="left"/>
      <w:pPr>
        <w:tabs>
          <w:tab w:val="num" w:pos="1485"/>
        </w:tabs>
        <w:ind w:left="1485" w:hanging="283"/>
      </w:pPr>
      <w:rPr>
        <w:rFonts w:ascii="Times New Roman" w:hAnsi="Times New Roman"/>
      </w:rPr>
    </w:lvl>
  </w:abstractNum>
  <w:abstractNum w:abstractNumId="28">
    <w:nsid w:val="6057433F"/>
    <w:multiLevelType w:val="singleLevel"/>
    <w:tmpl w:val="3D5ECD48"/>
    <w:lvl w:ilvl="0">
      <w:start w:val="1"/>
      <w:numFmt w:val="bullet"/>
      <w:pStyle w:val="ListDash1"/>
      <w:lvlText w:val="–"/>
      <w:lvlJc w:val="left"/>
      <w:pPr>
        <w:tabs>
          <w:tab w:val="num" w:pos="765"/>
        </w:tabs>
        <w:ind w:left="765" w:hanging="283"/>
      </w:pPr>
      <w:rPr>
        <w:rFonts w:ascii="Times New Roman" w:hAnsi="Times New Roman"/>
      </w:rPr>
    </w:lvl>
  </w:abstractNum>
  <w:abstractNum w:abstractNumId="29">
    <w:nsid w:val="620F2440"/>
    <w:multiLevelType w:val="singleLevel"/>
    <w:tmpl w:val="6860A420"/>
    <w:lvl w:ilvl="0">
      <w:start w:val="1"/>
      <w:numFmt w:val="bullet"/>
      <w:pStyle w:val="Oznaenseznam3"/>
      <w:lvlText w:val=""/>
      <w:lvlJc w:val="left"/>
      <w:pPr>
        <w:tabs>
          <w:tab w:val="num" w:pos="1485"/>
        </w:tabs>
        <w:ind w:left="1485" w:hanging="283"/>
      </w:pPr>
      <w:rPr>
        <w:rFonts w:ascii="Symbol" w:hAnsi="Symbol"/>
      </w:rPr>
    </w:lvl>
  </w:abstractNum>
  <w:abstractNum w:abstractNumId="30">
    <w:nsid w:val="63E359FA"/>
    <w:multiLevelType w:val="hybridMultilevel"/>
    <w:tmpl w:val="32F2C27A"/>
    <w:lvl w:ilvl="0" w:tplc="04240001">
      <w:start w:val="1"/>
      <w:numFmt w:val="bullet"/>
      <w:lvlText w:val=""/>
      <w:lvlJc w:val="left"/>
      <w:pPr>
        <w:ind w:left="720" w:hanging="360"/>
      </w:pPr>
      <w:rPr>
        <w:rFonts w:ascii="Symbol" w:hAnsi="Symbol" w:hint="default"/>
      </w:rPr>
    </w:lvl>
    <w:lvl w:ilvl="1" w:tplc="04240003">
      <w:start w:val="1"/>
      <w:numFmt w:val="bullet"/>
      <w:lvlText w:val="o"/>
      <w:lvlJc w:val="left"/>
      <w:pPr>
        <w:ind w:left="1440" w:hanging="360"/>
      </w:pPr>
      <w:rPr>
        <w:rFonts w:ascii="Courier New" w:hAnsi="Courier New" w:hint="default"/>
      </w:rPr>
    </w:lvl>
    <w:lvl w:ilvl="2" w:tplc="04240005">
      <w:start w:val="1"/>
      <w:numFmt w:val="bullet"/>
      <w:lvlText w:val=""/>
      <w:lvlJc w:val="left"/>
      <w:pPr>
        <w:ind w:left="2160" w:hanging="360"/>
      </w:pPr>
      <w:rPr>
        <w:rFonts w:ascii="Wingdings" w:hAnsi="Wingdings" w:hint="default"/>
      </w:rPr>
    </w:lvl>
    <w:lvl w:ilvl="3" w:tplc="04240001">
      <w:start w:val="1"/>
      <w:numFmt w:val="bullet"/>
      <w:lvlText w:val=""/>
      <w:lvlJc w:val="left"/>
      <w:pPr>
        <w:ind w:left="2880" w:hanging="360"/>
      </w:pPr>
      <w:rPr>
        <w:rFonts w:ascii="Symbol" w:hAnsi="Symbol" w:hint="default"/>
      </w:rPr>
    </w:lvl>
    <w:lvl w:ilvl="4" w:tplc="04240003">
      <w:start w:val="1"/>
      <w:numFmt w:val="bullet"/>
      <w:lvlText w:val="o"/>
      <w:lvlJc w:val="left"/>
      <w:pPr>
        <w:ind w:left="3600" w:hanging="360"/>
      </w:pPr>
      <w:rPr>
        <w:rFonts w:ascii="Courier New" w:hAnsi="Courier New" w:hint="default"/>
      </w:rPr>
    </w:lvl>
    <w:lvl w:ilvl="5" w:tplc="04240005">
      <w:start w:val="1"/>
      <w:numFmt w:val="bullet"/>
      <w:lvlText w:val=""/>
      <w:lvlJc w:val="left"/>
      <w:pPr>
        <w:ind w:left="4320" w:hanging="360"/>
      </w:pPr>
      <w:rPr>
        <w:rFonts w:ascii="Wingdings" w:hAnsi="Wingdings" w:hint="default"/>
      </w:rPr>
    </w:lvl>
    <w:lvl w:ilvl="6" w:tplc="04240001">
      <w:start w:val="1"/>
      <w:numFmt w:val="bullet"/>
      <w:lvlText w:val=""/>
      <w:lvlJc w:val="left"/>
      <w:pPr>
        <w:ind w:left="5040" w:hanging="360"/>
      </w:pPr>
      <w:rPr>
        <w:rFonts w:ascii="Symbol" w:hAnsi="Symbol" w:hint="default"/>
      </w:rPr>
    </w:lvl>
    <w:lvl w:ilvl="7" w:tplc="04240003">
      <w:start w:val="1"/>
      <w:numFmt w:val="bullet"/>
      <w:lvlText w:val="o"/>
      <w:lvlJc w:val="left"/>
      <w:pPr>
        <w:ind w:left="5760" w:hanging="360"/>
      </w:pPr>
      <w:rPr>
        <w:rFonts w:ascii="Courier New" w:hAnsi="Courier New" w:hint="default"/>
      </w:rPr>
    </w:lvl>
    <w:lvl w:ilvl="8" w:tplc="04240005">
      <w:start w:val="1"/>
      <w:numFmt w:val="bullet"/>
      <w:lvlText w:val=""/>
      <w:lvlJc w:val="left"/>
      <w:pPr>
        <w:ind w:left="6480" w:hanging="360"/>
      </w:pPr>
      <w:rPr>
        <w:rFonts w:ascii="Wingdings" w:hAnsi="Wingdings" w:hint="default"/>
      </w:rPr>
    </w:lvl>
  </w:abstractNum>
  <w:abstractNum w:abstractNumId="31">
    <w:nsid w:val="6A8D5EBD"/>
    <w:multiLevelType w:val="hybridMultilevel"/>
    <w:tmpl w:val="74845280"/>
    <w:lvl w:ilvl="0" w:tplc="084ED172">
      <w:start w:val="1"/>
      <w:numFmt w:val="bullet"/>
      <w:lvlText w:val="-"/>
      <w:lvlJc w:val="left"/>
      <w:pPr>
        <w:ind w:left="1440" w:hanging="360"/>
      </w:pPr>
      <w:rPr>
        <w:rFonts w:ascii="Calibri" w:hAnsi="Calibri" w:hint="default"/>
      </w:rPr>
    </w:lvl>
    <w:lvl w:ilvl="1" w:tplc="04240003">
      <w:start w:val="1"/>
      <w:numFmt w:val="bullet"/>
      <w:lvlText w:val="o"/>
      <w:lvlJc w:val="left"/>
      <w:pPr>
        <w:ind w:left="2160" w:hanging="360"/>
      </w:pPr>
      <w:rPr>
        <w:rFonts w:ascii="Courier New" w:hAnsi="Courier New" w:hint="default"/>
      </w:rPr>
    </w:lvl>
    <w:lvl w:ilvl="2" w:tplc="04240005">
      <w:start w:val="1"/>
      <w:numFmt w:val="bullet"/>
      <w:lvlText w:val=""/>
      <w:lvlJc w:val="left"/>
      <w:pPr>
        <w:ind w:left="2880" w:hanging="360"/>
      </w:pPr>
      <w:rPr>
        <w:rFonts w:ascii="Wingdings" w:hAnsi="Wingdings" w:hint="default"/>
      </w:rPr>
    </w:lvl>
    <w:lvl w:ilvl="3" w:tplc="04240001">
      <w:start w:val="1"/>
      <w:numFmt w:val="bullet"/>
      <w:lvlText w:val=""/>
      <w:lvlJc w:val="left"/>
      <w:pPr>
        <w:ind w:left="3600" w:hanging="360"/>
      </w:pPr>
      <w:rPr>
        <w:rFonts w:ascii="Symbol" w:hAnsi="Symbol" w:hint="default"/>
      </w:rPr>
    </w:lvl>
    <w:lvl w:ilvl="4" w:tplc="04240003">
      <w:start w:val="1"/>
      <w:numFmt w:val="bullet"/>
      <w:lvlText w:val="o"/>
      <w:lvlJc w:val="left"/>
      <w:pPr>
        <w:ind w:left="4320" w:hanging="360"/>
      </w:pPr>
      <w:rPr>
        <w:rFonts w:ascii="Courier New" w:hAnsi="Courier New" w:hint="default"/>
      </w:rPr>
    </w:lvl>
    <w:lvl w:ilvl="5" w:tplc="04240005">
      <w:start w:val="1"/>
      <w:numFmt w:val="bullet"/>
      <w:lvlText w:val=""/>
      <w:lvlJc w:val="left"/>
      <w:pPr>
        <w:ind w:left="5040" w:hanging="360"/>
      </w:pPr>
      <w:rPr>
        <w:rFonts w:ascii="Wingdings" w:hAnsi="Wingdings" w:hint="default"/>
      </w:rPr>
    </w:lvl>
    <w:lvl w:ilvl="6" w:tplc="04240001">
      <w:start w:val="1"/>
      <w:numFmt w:val="bullet"/>
      <w:lvlText w:val=""/>
      <w:lvlJc w:val="left"/>
      <w:pPr>
        <w:ind w:left="5760" w:hanging="360"/>
      </w:pPr>
      <w:rPr>
        <w:rFonts w:ascii="Symbol" w:hAnsi="Symbol" w:hint="default"/>
      </w:rPr>
    </w:lvl>
    <w:lvl w:ilvl="7" w:tplc="04240003">
      <w:start w:val="1"/>
      <w:numFmt w:val="bullet"/>
      <w:lvlText w:val="o"/>
      <w:lvlJc w:val="left"/>
      <w:pPr>
        <w:ind w:left="6480" w:hanging="360"/>
      </w:pPr>
      <w:rPr>
        <w:rFonts w:ascii="Courier New" w:hAnsi="Courier New" w:hint="default"/>
      </w:rPr>
    </w:lvl>
    <w:lvl w:ilvl="8" w:tplc="04240005">
      <w:start w:val="1"/>
      <w:numFmt w:val="bullet"/>
      <w:lvlText w:val=""/>
      <w:lvlJc w:val="left"/>
      <w:pPr>
        <w:ind w:left="7200" w:hanging="360"/>
      </w:pPr>
      <w:rPr>
        <w:rFonts w:ascii="Wingdings" w:hAnsi="Wingdings" w:hint="default"/>
      </w:rPr>
    </w:lvl>
  </w:abstractNum>
  <w:abstractNum w:abstractNumId="32">
    <w:nsid w:val="6DF118C0"/>
    <w:multiLevelType w:val="singleLevel"/>
    <w:tmpl w:val="B90C8B88"/>
    <w:lvl w:ilvl="0">
      <w:start w:val="1"/>
      <w:numFmt w:val="bullet"/>
      <w:pStyle w:val="Oznaenseznam4"/>
      <w:lvlText w:val=""/>
      <w:lvlJc w:val="left"/>
      <w:pPr>
        <w:tabs>
          <w:tab w:val="num" w:pos="1485"/>
        </w:tabs>
        <w:ind w:left="1485" w:hanging="283"/>
      </w:pPr>
      <w:rPr>
        <w:rFonts w:ascii="Symbol" w:hAnsi="Symbol"/>
      </w:rPr>
    </w:lvl>
  </w:abstractNum>
  <w:abstractNum w:abstractNumId="33">
    <w:nsid w:val="722304D7"/>
    <w:multiLevelType w:val="multilevel"/>
    <w:tmpl w:val="9DE2758E"/>
    <w:lvl w:ilvl="0">
      <w:start w:val="1"/>
      <w:numFmt w:val="decimal"/>
      <w:pStyle w:val="Otevilenseznam4"/>
      <w:lvlText w:val="(%1)"/>
      <w:lvlJc w:val="left"/>
      <w:pPr>
        <w:tabs>
          <w:tab w:val="num" w:pos="1911"/>
        </w:tabs>
        <w:ind w:left="1911" w:hanging="709"/>
      </w:pPr>
      <w:rPr>
        <w:rFonts w:cs="Times New Roman"/>
      </w:rPr>
    </w:lvl>
    <w:lvl w:ilvl="1">
      <w:start w:val="1"/>
      <w:numFmt w:val="lowerLetter"/>
      <w:pStyle w:val="ListNumber4Level2"/>
      <w:lvlText w:val="(%2)"/>
      <w:lvlJc w:val="left"/>
      <w:pPr>
        <w:tabs>
          <w:tab w:val="num" w:pos="2619"/>
        </w:tabs>
        <w:ind w:left="2619" w:hanging="708"/>
      </w:pPr>
      <w:rPr>
        <w:rFonts w:cs="Times New Roman"/>
      </w:rPr>
    </w:lvl>
    <w:lvl w:ilvl="2">
      <w:start w:val="1"/>
      <w:numFmt w:val="bullet"/>
      <w:pStyle w:val="ListNumber4Level3"/>
      <w:lvlText w:val="–"/>
      <w:lvlJc w:val="left"/>
      <w:pPr>
        <w:tabs>
          <w:tab w:val="num" w:pos="3328"/>
        </w:tabs>
        <w:ind w:left="3328" w:hanging="709"/>
      </w:pPr>
      <w:rPr>
        <w:rFonts w:ascii="Times New Roman" w:hAnsi="Times New Roman"/>
      </w:rPr>
    </w:lvl>
    <w:lvl w:ilvl="3">
      <w:start w:val="1"/>
      <w:numFmt w:val="bullet"/>
      <w:pStyle w:val="ListNumber4Level4"/>
      <w:lvlText w:val=""/>
      <w:lvlJc w:val="left"/>
      <w:pPr>
        <w:tabs>
          <w:tab w:val="num" w:pos="4037"/>
        </w:tabs>
        <w:ind w:left="4037" w:hanging="709"/>
      </w:pPr>
      <w:rPr>
        <w:rFonts w:ascii="Symbol" w:hAnsi="Symbol"/>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34">
    <w:nsid w:val="722304D8"/>
    <w:multiLevelType w:val="hybridMultilevel"/>
    <w:tmpl w:val="722304D8"/>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35">
    <w:nsid w:val="722304D9"/>
    <w:multiLevelType w:val="hybridMultilevel"/>
    <w:tmpl w:val="722304D9"/>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36">
    <w:nsid w:val="722304DA"/>
    <w:multiLevelType w:val="hybridMultilevel"/>
    <w:tmpl w:val="722304DA"/>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37">
    <w:nsid w:val="722304DB"/>
    <w:multiLevelType w:val="hybridMultilevel"/>
    <w:tmpl w:val="722304DB"/>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38">
    <w:nsid w:val="722304DC"/>
    <w:multiLevelType w:val="hybridMultilevel"/>
    <w:tmpl w:val="722304DC"/>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39">
    <w:nsid w:val="722304DD"/>
    <w:multiLevelType w:val="hybridMultilevel"/>
    <w:tmpl w:val="722304DD"/>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40">
    <w:nsid w:val="722304DE"/>
    <w:multiLevelType w:val="hybridMultilevel"/>
    <w:tmpl w:val="722304DE"/>
    <w:lvl w:ilvl="0" w:tplc="FFFFFFFF">
      <w:start w:val="1"/>
      <w:numFmt w:val="bullet"/>
      <w:lvlText w:val=""/>
      <w:lvlJc w:val="left"/>
      <w:pPr>
        <w:tabs>
          <w:tab w:val="num" w:pos="720"/>
        </w:tabs>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41">
    <w:nsid w:val="722304DF"/>
    <w:multiLevelType w:val="hybridMultilevel"/>
    <w:tmpl w:val="722304DF"/>
    <w:lvl w:ilvl="0" w:tplc="FFFFFFFF">
      <w:start w:val="1"/>
      <w:numFmt w:val="bullet"/>
      <w:lvlText w:val=""/>
      <w:lvlJc w:val="left"/>
      <w:pPr>
        <w:tabs>
          <w:tab w:val="num" w:pos="720"/>
        </w:tabs>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42">
    <w:nsid w:val="722304E0"/>
    <w:multiLevelType w:val="hybridMultilevel"/>
    <w:tmpl w:val="722304E0"/>
    <w:lvl w:ilvl="0" w:tplc="FFFFFFFF">
      <w:start w:val="1"/>
      <w:numFmt w:val="bullet"/>
      <w:lvlText w:val=""/>
      <w:lvlJc w:val="left"/>
      <w:pPr>
        <w:tabs>
          <w:tab w:val="num" w:pos="720"/>
        </w:tabs>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43">
    <w:nsid w:val="722304E1"/>
    <w:multiLevelType w:val="hybridMultilevel"/>
    <w:tmpl w:val="722304E1"/>
    <w:lvl w:ilvl="0" w:tplc="FFFFFFFF">
      <w:start w:val="1"/>
      <w:numFmt w:val="bullet"/>
      <w:lvlText w:val=""/>
      <w:lvlJc w:val="left"/>
      <w:pPr>
        <w:tabs>
          <w:tab w:val="num" w:pos="720"/>
        </w:tabs>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44">
    <w:nsid w:val="722304E2"/>
    <w:multiLevelType w:val="hybridMultilevel"/>
    <w:tmpl w:val="722304E2"/>
    <w:lvl w:ilvl="0" w:tplc="FFFFFFFF">
      <w:start w:val="1"/>
      <w:numFmt w:val="bullet"/>
      <w:lvlText w:val=""/>
      <w:lvlJc w:val="left"/>
      <w:pPr>
        <w:tabs>
          <w:tab w:val="num" w:pos="720"/>
        </w:tabs>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45">
    <w:nsid w:val="722304E3"/>
    <w:multiLevelType w:val="hybridMultilevel"/>
    <w:tmpl w:val="722304E3"/>
    <w:lvl w:ilvl="0" w:tplc="FFFFFFFF">
      <w:start w:val="1"/>
      <w:numFmt w:val="bullet"/>
      <w:lvlText w:val=""/>
      <w:lvlJc w:val="left"/>
      <w:pPr>
        <w:tabs>
          <w:tab w:val="num" w:pos="720"/>
        </w:tabs>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46">
    <w:nsid w:val="722304E4"/>
    <w:multiLevelType w:val="hybridMultilevel"/>
    <w:tmpl w:val="722304E4"/>
    <w:lvl w:ilvl="0" w:tplc="FFFFFFFF">
      <w:start w:val="1"/>
      <w:numFmt w:val="bullet"/>
      <w:lvlText w:val=""/>
      <w:lvlJc w:val="left"/>
      <w:pPr>
        <w:tabs>
          <w:tab w:val="num" w:pos="720"/>
        </w:tabs>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47">
    <w:nsid w:val="722304E5"/>
    <w:multiLevelType w:val="hybridMultilevel"/>
    <w:tmpl w:val="722304E5"/>
    <w:lvl w:ilvl="0" w:tplc="FFFFFFFF">
      <w:start w:val="1"/>
      <w:numFmt w:val="bullet"/>
      <w:lvlText w:val=""/>
      <w:lvlJc w:val="left"/>
      <w:pPr>
        <w:tabs>
          <w:tab w:val="num" w:pos="720"/>
        </w:tabs>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48">
    <w:nsid w:val="722304E6"/>
    <w:multiLevelType w:val="hybridMultilevel"/>
    <w:tmpl w:val="722304E6"/>
    <w:lvl w:ilvl="0" w:tplc="FFFFFFFF">
      <w:start w:val="1"/>
      <w:numFmt w:val="bullet"/>
      <w:lvlText w:val=""/>
      <w:lvlJc w:val="left"/>
      <w:pPr>
        <w:tabs>
          <w:tab w:val="num" w:pos="720"/>
        </w:tabs>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49">
    <w:nsid w:val="722304E7"/>
    <w:multiLevelType w:val="hybridMultilevel"/>
    <w:tmpl w:val="722304E7"/>
    <w:lvl w:ilvl="0" w:tplc="FFFFFFFF">
      <w:start w:val="1"/>
      <w:numFmt w:val="bullet"/>
      <w:lvlText w:val=""/>
      <w:lvlJc w:val="left"/>
      <w:pPr>
        <w:tabs>
          <w:tab w:val="num" w:pos="720"/>
        </w:tabs>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50">
    <w:nsid w:val="722304E8"/>
    <w:multiLevelType w:val="hybridMultilevel"/>
    <w:tmpl w:val="722304E8"/>
    <w:lvl w:ilvl="0" w:tplc="FFFFFFFF">
      <w:start w:val="1"/>
      <w:numFmt w:val="bullet"/>
      <w:lvlText w:val=""/>
      <w:lvlJc w:val="left"/>
      <w:pPr>
        <w:tabs>
          <w:tab w:val="num" w:pos="720"/>
        </w:tabs>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51">
    <w:nsid w:val="722304E9"/>
    <w:multiLevelType w:val="hybridMultilevel"/>
    <w:tmpl w:val="722304E9"/>
    <w:lvl w:ilvl="0" w:tplc="FFFFFFFF">
      <w:start w:val="1"/>
      <w:numFmt w:val="bullet"/>
      <w:lvlText w:val=""/>
      <w:lvlJc w:val="left"/>
      <w:pPr>
        <w:tabs>
          <w:tab w:val="num" w:pos="720"/>
        </w:tabs>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52">
    <w:nsid w:val="722304EA"/>
    <w:multiLevelType w:val="hybridMultilevel"/>
    <w:tmpl w:val="722304EA"/>
    <w:lvl w:ilvl="0" w:tplc="FFFFFFFF">
      <w:start w:val="1"/>
      <w:numFmt w:val="bullet"/>
      <w:lvlText w:val=""/>
      <w:lvlJc w:val="left"/>
      <w:pPr>
        <w:tabs>
          <w:tab w:val="num" w:pos="720"/>
        </w:tabs>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53">
    <w:nsid w:val="722304EB"/>
    <w:multiLevelType w:val="hybridMultilevel"/>
    <w:tmpl w:val="722304EB"/>
    <w:lvl w:ilvl="0" w:tplc="FFFFFFFF">
      <w:start w:val="1"/>
      <w:numFmt w:val="bullet"/>
      <w:lvlText w:val=""/>
      <w:lvlJc w:val="left"/>
      <w:pPr>
        <w:tabs>
          <w:tab w:val="num" w:pos="720"/>
        </w:tabs>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54">
    <w:nsid w:val="722304EC"/>
    <w:multiLevelType w:val="hybridMultilevel"/>
    <w:tmpl w:val="722304EC"/>
    <w:lvl w:ilvl="0" w:tplc="FFFFFFFF">
      <w:start w:val="1"/>
      <w:numFmt w:val="bullet"/>
      <w:lvlText w:val=""/>
      <w:lvlJc w:val="left"/>
      <w:pPr>
        <w:tabs>
          <w:tab w:val="num" w:pos="720"/>
        </w:tabs>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55">
    <w:nsid w:val="722304ED"/>
    <w:multiLevelType w:val="hybridMultilevel"/>
    <w:tmpl w:val="722304ED"/>
    <w:lvl w:ilvl="0" w:tplc="FFFFFFFF">
      <w:start w:val="1"/>
      <w:numFmt w:val="bullet"/>
      <w:lvlText w:val=""/>
      <w:lvlJc w:val="left"/>
      <w:pPr>
        <w:tabs>
          <w:tab w:val="num" w:pos="720"/>
        </w:tabs>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56">
    <w:nsid w:val="722304EE"/>
    <w:multiLevelType w:val="hybridMultilevel"/>
    <w:tmpl w:val="722304EE"/>
    <w:lvl w:ilvl="0" w:tplc="FFFFFFFF">
      <w:start w:val="1"/>
      <w:numFmt w:val="bullet"/>
      <w:lvlText w:val=""/>
      <w:lvlJc w:val="left"/>
      <w:pPr>
        <w:tabs>
          <w:tab w:val="num" w:pos="720"/>
        </w:tabs>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57">
    <w:nsid w:val="722304EF"/>
    <w:multiLevelType w:val="hybridMultilevel"/>
    <w:tmpl w:val="722304EF"/>
    <w:lvl w:ilvl="0" w:tplc="FFFFFFFF">
      <w:start w:val="1"/>
      <w:numFmt w:val="bullet"/>
      <w:lvlText w:val=""/>
      <w:lvlJc w:val="left"/>
      <w:pPr>
        <w:tabs>
          <w:tab w:val="num" w:pos="720"/>
        </w:tabs>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58">
    <w:nsid w:val="722304F0"/>
    <w:multiLevelType w:val="hybridMultilevel"/>
    <w:tmpl w:val="722304F0"/>
    <w:lvl w:ilvl="0" w:tplc="FFFFFFFF">
      <w:start w:val="1"/>
      <w:numFmt w:val="bullet"/>
      <w:lvlText w:val=""/>
      <w:lvlJc w:val="left"/>
      <w:pPr>
        <w:tabs>
          <w:tab w:val="num" w:pos="720"/>
        </w:tabs>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59">
    <w:nsid w:val="722304F1"/>
    <w:multiLevelType w:val="hybridMultilevel"/>
    <w:tmpl w:val="722304F1"/>
    <w:lvl w:ilvl="0" w:tplc="FFFFFFFF">
      <w:start w:val="1"/>
      <w:numFmt w:val="bullet"/>
      <w:lvlText w:val=""/>
      <w:lvlJc w:val="left"/>
      <w:pPr>
        <w:tabs>
          <w:tab w:val="num" w:pos="720"/>
        </w:tabs>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60">
    <w:nsid w:val="722304F2"/>
    <w:multiLevelType w:val="hybridMultilevel"/>
    <w:tmpl w:val="722304F2"/>
    <w:lvl w:ilvl="0" w:tplc="FFFFFFFF">
      <w:start w:val="1"/>
      <w:numFmt w:val="bullet"/>
      <w:lvlText w:val=""/>
      <w:lvlJc w:val="left"/>
      <w:pPr>
        <w:tabs>
          <w:tab w:val="num" w:pos="720"/>
        </w:tabs>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61">
    <w:nsid w:val="722304F3"/>
    <w:multiLevelType w:val="hybridMultilevel"/>
    <w:tmpl w:val="722304F3"/>
    <w:lvl w:ilvl="0" w:tplc="FFFFFFFF">
      <w:start w:val="1"/>
      <w:numFmt w:val="bullet"/>
      <w:lvlText w:val=""/>
      <w:lvlJc w:val="left"/>
      <w:pPr>
        <w:tabs>
          <w:tab w:val="num" w:pos="720"/>
        </w:tabs>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62">
    <w:nsid w:val="722304F4"/>
    <w:multiLevelType w:val="hybridMultilevel"/>
    <w:tmpl w:val="722304F4"/>
    <w:lvl w:ilvl="0" w:tplc="FFFFFFFF">
      <w:start w:val="1"/>
      <w:numFmt w:val="bullet"/>
      <w:lvlText w:val=""/>
      <w:lvlJc w:val="left"/>
      <w:pPr>
        <w:tabs>
          <w:tab w:val="num" w:pos="720"/>
        </w:tabs>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63">
    <w:nsid w:val="722304F5"/>
    <w:multiLevelType w:val="hybridMultilevel"/>
    <w:tmpl w:val="722304F5"/>
    <w:lvl w:ilvl="0" w:tplc="FFFFFFFF">
      <w:start w:val="1"/>
      <w:numFmt w:val="bullet"/>
      <w:lvlText w:val=""/>
      <w:lvlJc w:val="left"/>
      <w:pPr>
        <w:tabs>
          <w:tab w:val="num" w:pos="720"/>
        </w:tabs>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64">
    <w:nsid w:val="722304F6"/>
    <w:multiLevelType w:val="hybridMultilevel"/>
    <w:tmpl w:val="722304F6"/>
    <w:lvl w:ilvl="0" w:tplc="FFFFFFFF">
      <w:start w:val="1"/>
      <w:numFmt w:val="bullet"/>
      <w:lvlText w:val=""/>
      <w:lvlJc w:val="left"/>
      <w:pPr>
        <w:tabs>
          <w:tab w:val="num" w:pos="720"/>
        </w:tabs>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65">
    <w:nsid w:val="722304F7"/>
    <w:multiLevelType w:val="hybridMultilevel"/>
    <w:tmpl w:val="722304F7"/>
    <w:lvl w:ilvl="0" w:tplc="FFFFFFFF">
      <w:start w:val="1"/>
      <w:numFmt w:val="bullet"/>
      <w:lvlText w:val=""/>
      <w:lvlJc w:val="left"/>
      <w:pPr>
        <w:tabs>
          <w:tab w:val="num" w:pos="720"/>
        </w:tabs>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66">
    <w:nsid w:val="722304F8"/>
    <w:multiLevelType w:val="hybridMultilevel"/>
    <w:tmpl w:val="722304F8"/>
    <w:lvl w:ilvl="0" w:tplc="FFFFFFFF">
      <w:start w:val="1"/>
      <w:numFmt w:val="bullet"/>
      <w:lvlText w:val=""/>
      <w:lvlJc w:val="left"/>
      <w:pPr>
        <w:tabs>
          <w:tab w:val="num" w:pos="720"/>
        </w:tabs>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67">
    <w:nsid w:val="722304F9"/>
    <w:multiLevelType w:val="hybridMultilevel"/>
    <w:tmpl w:val="722304F9"/>
    <w:lvl w:ilvl="0" w:tplc="FFFFFFFF">
      <w:start w:val="1"/>
      <w:numFmt w:val="bullet"/>
      <w:lvlText w:val=""/>
      <w:lvlJc w:val="left"/>
      <w:pPr>
        <w:tabs>
          <w:tab w:val="num" w:pos="720"/>
        </w:tabs>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68">
    <w:nsid w:val="722304FA"/>
    <w:multiLevelType w:val="hybridMultilevel"/>
    <w:tmpl w:val="722304FA"/>
    <w:lvl w:ilvl="0" w:tplc="FFFFFFFF">
      <w:start w:val="1"/>
      <w:numFmt w:val="bullet"/>
      <w:lvlText w:val=""/>
      <w:lvlJc w:val="left"/>
      <w:pPr>
        <w:tabs>
          <w:tab w:val="num" w:pos="720"/>
        </w:tabs>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69">
    <w:nsid w:val="722304FB"/>
    <w:multiLevelType w:val="hybridMultilevel"/>
    <w:tmpl w:val="722304FB"/>
    <w:lvl w:ilvl="0" w:tplc="FFFFFFFF">
      <w:start w:val="1"/>
      <w:numFmt w:val="bullet"/>
      <w:lvlText w:val=""/>
      <w:lvlJc w:val="left"/>
      <w:pPr>
        <w:tabs>
          <w:tab w:val="num" w:pos="720"/>
        </w:tabs>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70">
    <w:nsid w:val="722304FC"/>
    <w:multiLevelType w:val="hybridMultilevel"/>
    <w:tmpl w:val="722304FC"/>
    <w:lvl w:ilvl="0" w:tplc="FFFFFFFF">
      <w:start w:val="1"/>
      <w:numFmt w:val="bullet"/>
      <w:lvlText w:val=""/>
      <w:lvlJc w:val="left"/>
      <w:pPr>
        <w:tabs>
          <w:tab w:val="num" w:pos="720"/>
        </w:tabs>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71">
    <w:nsid w:val="722304FD"/>
    <w:multiLevelType w:val="hybridMultilevel"/>
    <w:tmpl w:val="722304FD"/>
    <w:lvl w:ilvl="0" w:tplc="FFFFFFFF">
      <w:start w:val="1"/>
      <w:numFmt w:val="bullet"/>
      <w:lvlText w:val=""/>
      <w:lvlJc w:val="left"/>
      <w:pPr>
        <w:tabs>
          <w:tab w:val="num" w:pos="720"/>
        </w:tabs>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72">
    <w:nsid w:val="722304FE"/>
    <w:multiLevelType w:val="hybridMultilevel"/>
    <w:tmpl w:val="722304FE"/>
    <w:lvl w:ilvl="0" w:tplc="FFFFFFFF">
      <w:start w:val="1"/>
      <w:numFmt w:val="bullet"/>
      <w:lvlText w:val=""/>
      <w:lvlJc w:val="left"/>
      <w:pPr>
        <w:tabs>
          <w:tab w:val="num" w:pos="720"/>
        </w:tabs>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73">
    <w:nsid w:val="722304FF"/>
    <w:multiLevelType w:val="hybridMultilevel"/>
    <w:tmpl w:val="722304FF"/>
    <w:lvl w:ilvl="0" w:tplc="FFFFFFFF">
      <w:start w:val="1"/>
      <w:numFmt w:val="bullet"/>
      <w:lvlText w:val=""/>
      <w:lvlJc w:val="left"/>
      <w:pPr>
        <w:tabs>
          <w:tab w:val="num" w:pos="720"/>
        </w:tabs>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74">
    <w:nsid w:val="72230500"/>
    <w:multiLevelType w:val="hybridMultilevel"/>
    <w:tmpl w:val="72230500"/>
    <w:lvl w:ilvl="0" w:tplc="FFFFFFFF">
      <w:start w:val="1"/>
      <w:numFmt w:val="bullet"/>
      <w:lvlText w:val=""/>
      <w:lvlJc w:val="left"/>
      <w:pPr>
        <w:tabs>
          <w:tab w:val="num" w:pos="720"/>
        </w:tabs>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75">
    <w:nsid w:val="72230501"/>
    <w:multiLevelType w:val="hybridMultilevel"/>
    <w:tmpl w:val="72230501"/>
    <w:lvl w:ilvl="0" w:tplc="FFFFFFFF">
      <w:start w:val="1"/>
      <w:numFmt w:val="bullet"/>
      <w:lvlText w:val=""/>
      <w:lvlJc w:val="left"/>
      <w:pPr>
        <w:tabs>
          <w:tab w:val="num" w:pos="720"/>
        </w:tabs>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76">
    <w:nsid w:val="72230502"/>
    <w:multiLevelType w:val="hybridMultilevel"/>
    <w:tmpl w:val="72230502"/>
    <w:lvl w:ilvl="0" w:tplc="FFFFFFFF">
      <w:start w:val="1"/>
      <w:numFmt w:val="bullet"/>
      <w:lvlText w:val=""/>
      <w:lvlJc w:val="left"/>
      <w:pPr>
        <w:tabs>
          <w:tab w:val="num" w:pos="720"/>
        </w:tabs>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77">
    <w:nsid w:val="72230503"/>
    <w:multiLevelType w:val="hybridMultilevel"/>
    <w:tmpl w:val="72230503"/>
    <w:lvl w:ilvl="0" w:tplc="FFFFFFFF">
      <w:start w:val="1"/>
      <w:numFmt w:val="bullet"/>
      <w:lvlText w:val=""/>
      <w:lvlJc w:val="left"/>
      <w:pPr>
        <w:tabs>
          <w:tab w:val="num" w:pos="720"/>
        </w:tabs>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78">
    <w:nsid w:val="72230504"/>
    <w:multiLevelType w:val="hybridMultilevel"/>
    <w:tmpl w:val="72230504"/>
    <w:lvl w:ilvl="0" w:tplc="FFFFFFFF">
      <w:start w:val="1"/>
      <w:numFmt w:val="bullet"/>
      <w:lvlText w:val=""/>
      <w:lvlJc w:val="left"/>
      <w:pPr>
        <w:tabs>
          <w:tab w:val="num" w:pos="720"/>
        </w:tabs>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79">
    <w:nsid w:val="72230505"/>
    <w:multiLevelType w:val="hybridMultilevel"/>
    <w:tmpl w:val="72230505"/>
    <w:lvl w:ilvl="0" w:tplc="FFFFFFFF">
      <w:start w:val="1"/>
      <w:numFmt w:val="bullet"/>
      <w:lvlText w:val=""/>
      <w:lvlJc w:val="left"/>
      <w:pPr>
        <w:tabs>
          <w:tab w:val="num" w:pos="720"/>
        </w:tabs>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80">
    <w:nsid w:val="72230506"/>
    <w:multiLevelType w:val="hybridMultilevel"/>
    <w:tmpl w:val="72230506"/>
    <w:lvl w:ilvl="0" w:tplc="FFFFFFFF">
      <w:start w:val="1"/>
      <w:numFmt w:val="bullet"/>
      <w:lvlText w:val=""/>
      <w:lvlJc w:val="left"/>
      <w:pPr>
        <w:tabs>
          <w:tab w:val="num" w:pos="720"/>
        </w:tabs>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81">
    <w:nsid w:val="72230507"/>
    <w:multiLevelType w:val="hybridMultilevel"/>
    <w:tmpl w:val="72230507"/>
    <w:lvl w:ilvl="0" w:tplc="FFFFFFFF">
      <w:start w:val="1"/>
      <w:numFmt w:val="bullet"/>
      <w:lvlText w:val=""/>
      <w:lvlJc w:val="left"/>
      <w:pPr>
        <w:tabs>
          <w:tab w:val="num" w:pos="720"/>
        </w:tabs>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82">
    <w:nsid w:val="72230508"/>
    <w:multiLevelType w:val="hybridMultilevel"/>
    <w:tmpl w:val="72230508"/>
    <w:lvl w:ilvl="0" w:tplc="FFFFFFFF">
      <w:start w:val="1"/>
      <w:numFmt w:val="bullet"/>
      <w:lvlText w:val=""/>
      <w:lvlJc w:val="left"/>
      <w:pPr>
        <w:tabs>
          <w:tab w:val="num" w:pos="720"/>
        </w:tabs>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83">
    <w:nsid w:val="72230509"/>
    <w:multiLevelType w:val="hybridMultilevel"/>
    <w:tmpl w:val="72230509"/>
    <w:lvl w:ilvl="0" w:tplc="FFFFFFFF">
      <w:start w:val="1"/>
      <w:numFmt w:val="bullet"/>
      <w:lvlText w:val=""/>
      <w:lvlJc w:val="left"/>
      <w:pPr>
        <w:tabs>
          <w:tab w:val="num" w:pos="720"/>
        </w:tabs>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84">
    <w:nsid w:val="7223050A"/>
    <w:multiLevelType w:val="hybridMultilevel"/>
    <w:tmpl w:val="7223050A"/>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85">
    <w:nsid w:val="7223050B"/>
    <w:multiLevelType w:val="hybridMultilevel"/>
    <w:tmpl w:val="7223050B"/>
    <w:lvl w:ilvl="0" w:tplc="FFFFFFFF">
      <w:start w:val="1"/>
      <w:numFmt w:val="bullet"/>
      <w:lvlText w:val=""/>
      <w:lvlJc w:val="left"/>
      <w:pPr>
        <w:tabs>
          <w:tab w:val="num" w:pos="720"/>
        </w:tabs>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86">
    <w:nsid w:val="7223050C"/>
    <w:multiLevelType w:val="hybridMultilevel"/>
    <w:tmpl w:val="7223050C"/>
    <w:lvl w:ilvl="0" w:tplc="FFFFFFFF">
      <w:start w:val="1"/>
      <w:numFmt w:val="bullet"/>
      <w:lvlText w:val=""/>
      <w:lvlJc w:val="left"/>
      <w:pPr>
        <w:tabs>
          <w:tab w:val="num" w:pos="720"/>
        </w:tabs>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87">
    <w:nsid w:val="7223050D"/>
    <w:multiLevelType w:val="hybridMultilevel"/>
    <w:tmpl w:val="7223050D"/>
    <w:lvl w:ilvl="0" w:tplc="FFFFFFFF">
      <w:start w:val="1"/>
      <w:numFmt w:val="bullet"/>
      <w:lvlText w:val=""/>
      <w:lvlJc w:val="left"/>
      <w:pPr>
        <w:tabs>
          <w:tab w:val="num" w:pos="720"/>
        </w:tabs>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88">
    <w:nsid w:val="7223050E"/>
    <w:multiLevelType w:val="hybridMultilevel"/>
    <w:tmpl w:val="7223050E"/>
    <w:lvl w:ilvl="0" w:tplc="FFFFFFFF">
      <w:start w:val="1"/>
      <w:numFmt w:val="bullet"/>
      <w:lvlText w:val=""/>
      <w:lvlJc w:val="left"/>
      <w:pPr>
        <w:tabs>
          <w:tab w:val="num" w:pos="720"/>
        </w:tabs>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89">
    <w:nsid w:val="7223050F"/>
    <w:multiLevelType w:val="hybridMultilevel"/>
    <w:tmpl w:val="7223050F"/>
    <w:lvl w:ilvl="0" w:tplc="FFFFFFFF">
      <w:start w:val="1"/>
      <w:numFmt w:val="bullet"/>
      <w:lvlText w:val=""/>
      <w:lvlJc w:val="left"/>
      <w:pPr>
        <w:tabs>
          <w:tab w:val="num" w:pos="720"/>
        </w:tabs>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90">
    <w:nsid w:val="72230510"/>
    <w:multiLevelType w:val="hybridMultilevel"/>
    <w:tmpl w:val="72230510"/>
    <w:lvl w:ilvl="0" w:tplc="FFFFFFFF">
      <w:start w:val="1"/>
      <w:numFmt w:val="bullet"/>
      <w:lvlText w:val=""/>
      <w:lvlJc w:val="left"/>
      <w:pPr>
        <w:tabs>
          <w:tab w:val="num" w:pos="720"/>
        </w:tabs>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91">
    <w:nsid w:val="72230511"/>
    <w:multiLevelType w:val="hybridMultilevel"/>
    <w:tmpl w:val="72230511"/>
    <w:lvl w:ilvl="0" w:tplc="FFFFFFFF">
      <w:start w:val="1"/>
      <w:numFmt w:val="bullet"/>
      <w:lvlText w:val=""/>
      <w:lvlJc w:val="left"/>
      <w:pPr>
        <w:tabs>
          <w:tab w:val="num" w:pos="720"/>
        </w:tabs>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92">
    <w:nsid w:val="72230512"/>
    <w:multiLevelType w:val="hybridMultilevel"/>
    <w:tmpl w:val="72230512"/>
    <w:lvl w:ilvl="0" w:tplc="FFFFFFFF">
      <w:start w:val="1"/>
      <w:numFmt w:val="bullet"/>
      <w:lvlText w:val=""/>
      <w:lvlJc w:val="left"/>
      <w:pPr>
        <w:tabs>
          <w:tab w:val="num" w:pos="720"/>
        </w:tabs>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93">
    <w:nsid w:val="72230513"/>
    <w:multiLevelType w:val="hybridMultilevel"/>
    <w:tmpl w:val="72230513"/>
    <w:lvl w:ilvl="0" w:tplc="FFFFFFFF">
      <w:start w:val="1"/>
      <w:numFmt w:val="bullet"/>
      <w:lvlText w:val=""/>
      <w:lvlJc w:val="left"/>
      <w:pPr>
        <w:tabs>
          <w:tab w:val="num" w:pos="720"/>
        </w:tabs>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94">
    <w:nsid w:val="72230514"/>
    <w:multiLevelType w:val="hybridMultilevel"/>
    <w:tmpl w:val="72230514"/>
    <w:lvl w:ilvl="0" w:tplc="FFFFFFFF">
      <w:start w:val="1"/>
      <w:numFmt w:val="bullet"/>
      <w:lvlText w:val=""/>
      <w:lvlJc w:val="left"/>
      <w:pPr>
        <w:tabs>
          <w:tab w:val="num" w:pos="720"/>
        </w:tabs>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95">
    <w:nsid w:val="72230515"/>
    <w:multiLevelType w:val="hybridMultilevel"/>
    <w:tmpl w:val="72230515"/>
    <w:lvl w:ilvl="0" w:tplc="FFFFFFFF">
      <w:start w:val="1"/>
      <w:numFmt w:val="bullet"/>
      <w:lvlText w:val=""/>
      <w:lvlJc w:val="left"/>
      <w:pPr>
        <w:tabs>
          <w:tab w:val="num" w:pos="720"/>
        </w:tabs>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96">
    <w:nsid w:val="72230516"/>
    <w:multiLevelType w:val="hybridMultilevel"/>
    <w:tmpl w:val="72230516"/>
    <w:lvl w:ilvl="0" w:tplc="FFFFFFFF">
      <w:start w:val="1"/>
      <w:numFmt w:val="bullet"/>
      <w:lvlText w:val=""/>
      <w:lvlJc w:val="left"/>
      <w:pPr>
        <w:tabs>
          <w:tab w:val="num" w:pos="720"/>
        </w:tabs>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97">
    <w:nsid w:val="72230517"/>
    <w:multiLevelType w:val="hybridMultilevel"/>
    <w:tmpl w:val="72230517"/>
    <w:lvl w:ilvl="0" w:tplc="FFFFFFFF">
      <w:start w:val="1"/>
      <w:numFmt w:val="bullet"/>
      <w:lvlText w:val=""/>
      <w:lvlJc w:val="left"/>
      <w:pPr>
        <w:tabs>
          <w:tab w:val="num" w:pos="720"/>
        </w:tabs>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98">
    <w:nsid w:val="72230518"/>
    <w:multiLevelType w:val="hybridMultilevel"/>
    <w:tmpl w:val="72230518"/>
    <w:lvl w:ilvl="0" w:tplc="FFFFFFFF">
      <w:start w:val="1"/>
      <w:numFmt w:val="bullet"/>
      <w:lvlText w:val=""/>
      <w:lvlJc w:val="left"/>
      <w:pPr>
        <w:tabs>
          <w:tab w:val="num" w:pos="720"/>
        </w:tabs>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99">
    <w:nsid w:val="72230519"/>
    <w:multiLevelType w:val="hybridMultilevel"/>
    <w:tmpl w:val="72230519"/>
    <w:lvl w:ilvl="0" w:tplc="FFFFFFFF">
      <w:start w:val="1"/>
      <w:numFmt w:val="bullet"/>
      <w:lvlText w:val=""/>
      <w:lvlJc w:val="left"/>
      <w:pPr>
        <w:tabs>
          <w:tab w:val="num" w:pos="720"/>
        </w:tabs>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00">
    <w:nsid w:val="7223051A"/>
    <w:multiLevelType w:val="hybridMultilevel"/>
    <w:tmpl w:val="7223051A"/>
    <w:lvl w:ilvl="0" w:tplc="FFFFFFFF">
      <w:start w:val="1"/>
      <w:numFmt w:val="bullet"/>
      <w:lvlText w:val=""/>
      <w:lvlJc w:val="left"/>
      <w:pPr>
        <w:tabs>
          <w:tab w:val="num" w:pos="720"/>
        </w:tabs>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01">
    <w:nsid w:val="7223051B"/>
    <w:multiLevelType w:val="hybridMultilevel"/>
    <w:tmpl w:val="7223051B"/>
    <w:lvl w:ilvl="0" w:tplc="FFFFFFFF">
      <w:start w:val="1"/>
      <w:numFmt w:val="bullet"/>
      <w:lvlText w:val=""/>
      <w:lvlJc w:val="left"/>
      <w:pPr>
        <w:tabs>
          <w:tab w:val="num" w:pos="720"/>
        </w:tabs>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02">
    <w:nsid w:val="7223051C"/>
    <w:multiLevelType w:val="hybridMultilevel"/>
    <w:tmpl w:val="7223051C"/>
    <w:lvl w:ilvl="0" w:tplc="FFFFFFFF">
      <w:start w:val="1"/>
      <w:numFmt w:val="bullet"/>
      <w:lvlText w:val=""/>
      <w:lvlJc w:val="left"/>
      <w:pPr>
        <w:tabs>
          <w:tab w:val="num" w:pos="720"/>
        </w:tabs>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03">
    <w:nsid w:val="7223051D"/>
    <w:multiLevelType w:val="multilevel"/>
    <w:tmpl w:val="7223051D"/>
    <w:lvl w:ilvl="0">
      <w:start w:val="1"/>
      <w:numFmt w:val="decimal"/>
      <w:lvlText w:val="%1."/>
      <w:lvlJc w:val="left"/>
      <w:pPr>
        <w:ind w:left="720" w:hanging="360"/>
      </w:pPr>
      <w:rPr>
        <w:rFonts w:cs="Times New Roman"/>
      </w:rPr>
    </w:lvl>
    <w:lvl w:ilvl="1">
      <w:start w:val="1"/>
      <w:numFmt w:val="lowerLetter"/>
      <w:lvlText w:val="%2."/>
      <w:lvlJc w:val="left"/>
      <w:pPr>
        <w:tabs>
          <w:tab w:val="num" w:pos="1440"/>
        </w:tabs>
        <w:ind w:left="1440" w:hanging="360"/>
      </w:pPr>
      <w:rPr>
        <w:rFonts w:cs="Times New Roman"/>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104">
    <w:nsid w:val="7223051E"/>
    <w:multiLevelType w:val="hybridMultilevel"/>
    <w:tmpl w:val="7223051E"/>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05">
    <w:nsid w:val="7223051F"/>
    <w:multiLevelType w:val="hybridMultilevel"/>
    <w:tmpl w:val="7223051F"/>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06">
    <w:nsid w:val="72230520"/>
    <w:multiLevelType w:val="hybridMultilevel"/>
    <w:tmpl w:val="72230520"/>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07">
    <w:nsid w:val="72230521"/>
    <w:multiLevelType w:val="hybridMultilevel"/>
    <w:tmpl w:val="72230521"/>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08">
    <w:nsid w:val="72230522"/>
    <w:multiLevelType w:val="hybridMultilevel"/>
    <w:tmpl w:val="72230522"/>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09">
    <w:nsid w:val="72230523"/>
    <w:multiLevelType w:val="hybridMultilevel"/>
    <w:tmpl w:val="72230523"/>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10">
    <w:nsid w:val="72230524"/>
    <w:multiLevelType w:val="hybridMultilevel"/>
    <w:tmpl w:val="72230524"/>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11">
    <w:nsid w:val="72230525"/>
    <w:multiLevelType w:val="hybridMultilevel"/>
    <w:tmpl w:val="72230525"/>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12">
    <w:nsid w:val="72230526"/>
    <w:multiLevelType w:val="hybridMultilevel"/>
    <w:tmpl w:val="72230526"/>
    <w:lvl w:ilvl="0" w:tplc="FFFFFFFF">
      <w:start w:val="1"/>
      <w:numFmt w:val="bullet"/>
      <w:lvlText w:val=""/>
      <w:lvlJc w:val="left"/>
      <w:pPr>
        <w:tabs>
          <w:tab w:val="num" w:pos="720"/>
        </w:tabs>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13">
    <w:nsid w:val="72230527"/>
    <w:multiLevelType w:val="hybridMultilevel"/>
    <w:tmpl w:val="72230527"/>
    <w:lvl w:ilvl="0" w:tplc="FFFFFFFF">
      <w:start w:val="1"/>
      <w:numFmt w:val="bullet"/>
      <w:lvlText w:val=""/>
      <w:lvlJc w:val="left"/>
      <w:pPr>
        <w:tabs>
          <w:tab w:val="num" w:pos="720"/>
        </w:tabs>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14">
    <w:nsid w:val="72230528"/>
    <w:multiLevelType w:val="hybridMultilevel"/>
    <w:tmpl w:val="72230528"/>
    <w:lvl w:ilvl="0" w:tplc="FFFFFFFF">
      <w:start w:val="1"/>
      <w:numFmt w:val="bullet"/>
      <w:lvlText w:val=""/>
      <w:lvlJc w:val="left"/>
      <w:pPr>
        <w:tabs>
          <w:tab w:val="num" w:pos="720"/>
        </w:tabs>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15">
    <w:nsid w:val="72230529"/>
    <w:multiLevelType w:val="hybridMultilevel"/>
    <w:tmpl w:val="72230529"/>
    <w:lvl w:ilvl="0" w:tplc="FFFFFFFF">
      <w:start w:val="1"/>
      <w:numFmt w:val="bullet"/>
      <w:lvlText w:val=""/>
      <w:lvlJc w:val="left"/>
      <w:pPr>
        <w:tabs>
          <w:tab w:val="num" w:pos="720"/>
        </w:tabs>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16">
    <w:nsid w:val="7223052A"/>
    <w:multiLevelType w:val="hybridMultilevel"/>
    <w:tmpl w:val="7223052A"/>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17">
    <w:nsid w:val="7223052B"/>
    <w:multiLevelType w:val="hybridMultilevel"/>
    <w:tmpl w:val="7223052B"/>
    <w:lvl w:ilvl="0" w:tplc="FFFFFFFF">
      <w:start w:val="1"/>
      <w:numFmt w:val="bullet"/>
      <w:lvlText w:val=""/>
      <w:lvlJc w:val="left"/>
      <w:pPr>
        <w:tabs>
          <w:tab w:val="num" w:pos="720"/>
        </w:tabs>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18">
    <w:nsid w:val="7223052C"/>
    <w:multiLevelType w:val="hybridMultilevel"/>
    <w:tmpl w:val="7223052C"/>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19">
    <w:nsid w:val="7223052D"/>
    <w:multiLevelType w:val="hybridMultilevel"/>
    <w:tmpl w:val="7223052D"/>
    <w:lvl w:ilvl="0" w:tplc="FFFFFFFF">
      <w:start w:val="1"/>
      <w:numFmt w:val="bullet"/>
      <w:lvlText w:val=""/>
      <w:lvlJc w:val="left"/>
      <w:pPr>
        <w:tabs>
          <w:tab w:val="num" w:pos="720"/>
        </w:tabs>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20">
    <w:nsid w:val="7223052E"/>
    <w:multiLevelType w:val="hybridMultilevel"/>
    <w:tmpl w:val="7223052E"/>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21">
    <w:nsid w:val="7223052F"/>
    <w:multiLevelType w:val="hybridMultilevel"/>
    <w:tmpl w:val="7223052F"/>
    <w:lvl w:ilvl="0" w:tplc="FFFFFFFF">
      <w:start w:val="1"/>
      <w:numFmt w:val="bullet"/>
      <w:lvlText w:val=""/>
      <w:lvlJc w:val="left"/>
      <w:pPr>
        <w:tabs>
          <w:tab w:val="num" w:pos="720"/>
        </w:tabs>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22">
    <w:nsid w:val="72230530"/>
    <w:multiLevelType w:val="hybridMultilevel"/>
    <w:tmpl w:val="72230530"/>
    <w:lvl w:ilvl="0" w:tplc="FFFFFFFF">
      <w:start w:val="1"/>
      <w:numFmt w:val="bullet"/>
      <w:lvlText w:val=""/>
      <w:lvlJc w:val="left"/>
      <w:pPr>
        <w:tabs>
          <w:tab w:val="num" w:pos="720"/>
        </w:tabs>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23">
    <w:nsid w:val="72230531"/>
    <w:multiLevelType w:val="hybridMultilevel"/>
    <w:tmpl w:val="72230531"/>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24">
    <w:nsid w:val="72230532"/>
    <w:multiLevelType w:val="hybridMultilevel"/>
    <w:tmpl w:val="72230532"/>
    <w:lvl w:ilvl="0" w:tplc="FFFFFFFF">
      <w:start w:val="1"/>
      <w:numFmt w:val="bullet"/>
      <w:lvlText w:val=""/>
      <w:lvlJc w:val="left"/>
      <w:pPr>
        <w:tabs>
          <w:tab w:val="num" w:pos="720"/>
        </w:tabs>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25">
    <w:nsid w:val="72230533"/>
    <w:multiLevelType w:val="hybridMultilevel"/>
    <w:tmpl w:val="72230533"/>
    <w:lvl w:ilvl="0" w:tplc="FFFFFFFF">
      <w:start w:val="1"/>
      <w:numFmt w:val="bullet"/>
      <w:lvlText w:val=""/>
      <w:lvlJc w:val="left"/>
      <w:pPr>
        <w:tabs>
          <w:tab w:val="num" w:pos="720"/>
        </w:tabs>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26">
    <w:nsid w:val="72230534"/>
    <w:multiLevelType w:val="hybridMultilevel"/>
    <w:tmpl w:val="72230534"/>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27">
    <w:nsid w:val="72230535"/>
    <w:multiLevelType w:val="hybridMultilevel"/>
    <w:tmpl w:val="72230535"/>
    <w:lvl w:ilvl="0" w:tplc="FFFFFFFF">
      <w:start w:val="1"/>
      <w:numFmt w:val="bullet"/>
      <w:lvlText w:val=""/>
      <w:lvlJc w:val="left"/>
      <w:pPr>
        <w:tabs>
          <w:tab w:val="num" w:pos="720"/>
        </w:tabs>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28">
    <w:nsid w:val="72230536"/>
    <w:multiLevelType w:val="hybridMultilevel"/>
    <w:tmpl w:val="72230536"/>
    <w:lvl w:ilvl="0" w:tplc="FFFFFFFF">
      <w:start w:val="1"/>
      <w:numFmt w:val="bullet"/>
      <w:lvlText w:val=""/>
      <w:lvlJc w:val="left"/>
      <w:pPr>
        <w:tabs>
          <w:tab w:val="num" w:pos="720"/>
        </w:tabs>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29">
    <w:nsid w:val="72230537"/>
    <w:multiLevelType w:val="hybridMultilevel"/>
    <w:tmpl w:val="72230537"/>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30">
    <w:nsid w:val="72230538"/>
    <w:multiLevelType w:val="hybridMultilevel"/>
    <w:tmpl w:val="72230538"/>
    <w:lvl w:ilvl="0" w:tplc="FFFFFFFF">
      <w:start w:val="1"/>
      <w:numFmt w:val="bullet"/>
      <w:lvlText w:val=""/>
      <w:lvlJc w:val="left"/>
      <w:pPr>
        <w:tabs>
          <w:tab w:val="num" w:pos="720"/>
        </w:tabs>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31">
    <w:nsid w:val="72230539"/>
    <w:multiLevelType w:val="hybridMultilevel"/>
    <w:tmpl w:val="72230539"/>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32">
    <w:nsid w:val="7223053A"/>
    <w:multiLevelType w:val="hybridMultilevel"/>
    <w:tmpl w:val="7223053A"/>
    <w:lvl w:ilvl="0" w:tplc="FFFFFFFF">
      <w:start w:val="1"/>
      <w:numFmt w:val="bullet"/>
      <w:lvlText w:val=""/>
      <w:lvlJc w:val="left"/>
      <w:pPr>
        <w:tabs>
          <w:tab w:val="num" w:pos="720"/>
        </w:tabs>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33">
    <w:nsid w:val="7223053B"/>
    <w:multiLevelType w:val="hybridMultilevel"/>
    <w:tmpl w:val="7223053B"/>
    <w:lvl w:ilvl="0" w:tplc="FFFFFFFF">
      <w:start w:val="1"/>
      <w:numFmt w:val="bullet"/>
      <w:lvlText w:val=""/>
      <w:lvlJc w:val="left"/>
      <w:pPr>
        <w:tabs>
          <w:tab w:val="num" w:pos="720"/>
        </w:tabs>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34">
    <w:nsid w:val="7223053C"/>
    <w:multiLevelType w:val="hybridMultilevel"/>
    <w:tmpl w:val="7223053C"/>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35">
    <w:nsid w:val="7223053D"/>
    <w:multiLevelType w:val="hybridMultilevel"/>
    <w:tmpl w:val="7223053D"/>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36">
    <w:nsid w:val="7223053E"/>
    <w:multiLevelType w:val="hybridMultilevel"/>
    <w:tmpl w:val="7223053E"/>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37">
    <w:nsid w:val="7223053F"/>
    <w:multiLevelType w:val="hybridMultilevel"/>
    <w:tmpl w:val="7223053F"/>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38">
    <w:nsid w:val="72230540"/>
    <w:multiLevelType w:val="hybridMultilevel"/>
    <w:tmpl w:val="72230540"/>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39">
    <w:nsid w:val="72230541"/>
    <w:multiLevelType w:val="hybridMultilevel"/>
    <w:tmpl w:val="72230541"/>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40">
    <w:nsid w:val="72230542"/>
    <w:multiLevelType w:val="hybridMultilevel"/>
    <w:tmpl w:val="72230542"/>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41">
    <w:nsid w:val="72230543"/>
    <w:multiLevelType w:val="hybridMultilevel"/>
    <w:tmpl w:val="72230543"/>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42">
    <w:nsid w:val="72230544"/>
    <w:multiLevelType w:val="hybridMultilevel"/>
    <w:tmpl w:val="72230544"/>
    <w:lvl w:ilvl="0" w:tplc="FFFFFFFF">
      <w:start w:val="1"/>
      <w:numFmt w:val="bullet"/>
      <w:lvlText w:val=""/>
      <w:lvlJc w:val="left"/>
      <w:pPr>
        <w:tabs>
          <w:tab w:val="num" w:pos="720"/>
        </w:tabs>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43">
    <w:nsid w:val="72230545"/>
    <w:multiLevelType w:val="hybridMultilevel"/>
    <w:tmpl w:val="72230545"/>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44">
    <w:nsid w:val="72230546"/>
    <w:multiLevelType w:val="hybridMultilevel"/>
    <w:tmpl w:val="72230546"/>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45">
    <w:nsid w:val="72230547"/>
    <w:multiLevelType w:val="hybridMultilevel"/>
    <w:tmpl w:val="72230547"/>
    <w:lvl w:ilvl="0" w:tplc="FFFFFFFF">
      <w:start w:val="1"/>
      <w:numFmt w:val="bullet"/>
      <w:lvlText w:val=""/>
      <w:lvlJc w:val="left"/>
      <w:pPr>
        <w:tabs>
          <w:tab w:val="num" w:pos="720"/>
        </w:tabs>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46">
    <w:nsid w:val="72230548"/>
    <w:multiLevelType w:val="hybridMultilevel"/>
    <w:tmpl w:val="72230548"/>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47">
    <w:nsid w:val="72230549"/>
    <w:multiLevelType w:val="hybridMultilevel"/>
    <w:tmpl w:val="72230549"/>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48">
    <w:nsid w:val="7223054A"/>
    <w:multiLevelType w:val="hybridMultilevel"/>
    <w:tmpl w:val="7223054A"/>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49">
    <w:nsid w:val="7223054B"/>
    <w:multiLevelType w:val="hybridMultilevel"/>
    <w:tmpl w:val="7223054B"/>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50">
    <w:nsid w:val="7223054C"/>
    <w:multiLevelType w:val="hybridMultilevel"/>
    <w:tmpl w:val="7223054C"/>
    <w:lvl w:ilvl="0" w:tplc="FFFFFFFF">
      <w:start w:val="1"/>
      <w:numFmt w:val="bullet"/>
      <w:lvlText w:val=""/>
      <w:lvlJc w:val="left"/>
      <w:pPr>
        <w:tabs>
          <w:tab w:val="num" w:pos="720"/>
        </w:tabs>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51">
    <w:nsid w:val="7223054D"/>
    <w:multiLevelType w:val="hybridMultilevel"/>
    <w:tmpl w:val="7223054D"/>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52">
    <w:nsid w:val="7223054E"/>
    <w:multiLevelType w:val="hybridMultilevel"/>
    <w:tmpl w:val="7223054E"/>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53">
    <w:nsid w:val="7223054F"/>
    <w:multiLevelType w:val="hybridMultilevel"/>
    <w:tmpl w:val="7223054F"/>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54">
    <w:nsid w:val="72230550"/>
    <w:multiLevelType w:val="hybridMultilevel"/>
    <w:tmpl w:val="72230550"/>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55">
    <w:nsid w:val="72230551"/>
    <w:multiLevelType w:val="hybridMultilevel"/>
    <w:tmpl w:val="72230551"/>
    <w:lvl w:ilvl="0" w:tplc="FFFFFFFF">
      <w:start w:val="1"/>
      <w:numFmt w:val="bullet"/>
      <w:lvlText w:val=""/>
      <w:lvlJc w:val="left"/>
      <w:pPr>
        <w:tabs>
          <w:tab w:val="num" w:pos="720"/>
        </w:tabs>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56">
    <w:nsid w:val="72230552"/>
    <w:multiLevelType w:val="hybridMultilevel"/>
    <w:tmpl w:val="72230552"/>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57">
    <w:nsid w:val="72230553"/>
    <w:multiLevelType w:val="hybridMultilevel"/>
    <w:tmpl w:val="72230553"/>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58">
    <w:nsid w:val="72230554"/>
    <w:multiLevelType w:val="hybridMultilevel"/>
    <w:tmpl w:val="72230554"/>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59">
    <w:nsid w:val="72230555"/>
    <w:multiLevelType w:val="hybridMultilevel"/>
    <w:tmpl w:val="72230555"/>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60">
    <w:nsid w:val="72230556"/>
    <w:multiLevelType w:val="hybridMultilevel"/>
    <w:tmpl w:val="72230556"/>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61">
    <w:nsid w:val="72230557"/>
    <w:multiLevelType w:val="hybridMultilevel"/>
    <w:tmpl w:val="72230557"/>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62">
    <w:nsid w:val="72230558"/>
    <w:multiLevelType w:val="hybridMultilevel"/>
    <w:tmpl w:val="72230558"/>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63">
    <w:nsid w:val="72230559"/>
    <w:multiLevelType w:val="hybridMultilevel"/>
    <w:tmpl w:val="72230559"/>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64">
    <w:nsid w:val="7223055A"/>
    <w:multiLevelType w:val="hybridMultilevel"/>
    <w:tmpl w:val="7223055A"/>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65">
    <w:nsid w:val="7223055B"/>
    <w:multiLevelType w:val="hybridMultilevel"/>
    <w:tmpl w:val="7223055B"/>
    <w:lvl w:ilvl="0" w:tplc="FFFFFFFF">
      <w:start w:val="1"/>
      <w:numFmt w:val="bullet"/>
      <w:lvlText w:val=""/>
      <w:lvlJc w:val="left"/>
      <w:pPr>
        <w:tabs>
          <w:tab w:val="num" w:pos="720"/>
        </w:tabs>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66">
    <w:nsid w:val="7223055C"/>
    <w:multiLevelType w:val="hybridMultilevel"/>
    <w:tmpl w:val="7223055C"/>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67">
    <w:nsid w:val="7223055D"/>
    <w:multiLevelType w:val="hybridMultilevel"/>
    <w:tmpl w:val="7223055D"/>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68">
    <w:nsid w:val="7223055E"/>
    <w:multiLevelType w:val="hybridMultilevel"/>
    <w:tmpl w:val="7223055E"/>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69">
    <w:nsid w:val="7223055F"/>
    <w:multiLevelType w:val="hybridMultilevel"/>
    <w:tmpl w:val="7223055F"/>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70">
    <w:nsid w:val="72230560"/>
    <w:multiLevelType w:val="hybridMultilevel"/>
    <w:tmpl w:val="72230560"/>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71">
    <w:nsid w:val="72230561"/>
    <w:multiLevelType w:val="hybridMultilevel"/>
    <w:tmpl w:val="72230561"/>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72">
    <w:nsid w:val="72230562"/>
    <w:multiLevelType w:val="hybridMultilevel"/>
    <w:tmpl w:val="72230562"/>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73">
    <w:nsid w:val="72230563"/>
    <w:multiLevelType w:val="hybridMultilevel"/>
    <w:tmpl w:val="72230563"/>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74">
    <w:nsid w:val="72230564"/>
    <w:multiLevelType w:val="hybridMultilevel"/>
    <w:tmpl w:val="72230564"/>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75">
    <w:nsid w:val="72230565"/>
    <w:multiLevelType w:val="hybridMultilevel"/>
    <w:tmpl w:val="72230565"/>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76">
    <w:nsid w:val="72230566"/>
    <w:multiLevelType w:val="hybridMultilevel"/>
    <w:tmpl w:val="72230566"/>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77">
    <w:nsid w:val="72230567"/>
    <w:multiLevelType w:val="hybridMultilevel"/>
    <w:tmpl w:val="72230567"/>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78">
    <w:nsid w:val="72230568"/>
    <w:multiLevelType w:val="hybridMultilevel"/>
    <w:tmpl w:val="72230568"/>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79">
    <w:nsid w:val="72230569"/>
    <w:multiLevelType w:val="hybridMultilevel"/>
    <w:tmpl w:val="72230569"/>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80">
    <w:nsid w:val="7223056A"/>
    <w:multiLevelType w:val="hybridMultilevel"/>
    <w:tmpl w:val="7223056A"/>
    <w:lvl w:ilvl="0" w:tplc="FFFFFFFF">
      <w:start w:val="1"/>
      <w:numFmt w:val="bullet"/>
      <w:lvlText w:val=""/>
      <w:lvlJc w:val="left"/>
      <w:pPr>
        <w:tabs>
          <w:tab w:val="num" w:pos="720"/>
        </w:tabs>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81">
    <w:nsid w:val="7223056B"/>
    <w:multiLevelType w:val="hybridMultilevel"/>
    <w:tmpl w:val="7223056B"/>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82">
    <w:nsid w:val="7223056C"/>
    <w:multiLevelType w:val="hybridMultilevel"/>
    <w:tmpl w:val="7223056C"/>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83">
    <w:nsid w:val="7223056D"/>
    <w:multiLevelType w:val="hybridMultilevel"/>
    <w:tmpl w:val="7223056D"/>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84">
    <w:nsid w:val="7223056E"/>
    <w:multiLevelType w:val="hybridMultilevel"/>
    <w:tmpl w:val="7223056E"/>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85">
    <w:nsid w:val="7223056F"/>
    <w:multiLevelType w:val="hybridMultilevel"/>
    <w:tmpl w:val="7223056F"/>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86">
    <w:nsid w:val="72230570"/>
    <w:multiLevelType w:val="hybridMultilevel"/>
    <w:tmpl w:val="72230570"/>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87">
    <w:nsid w:val="72230571"/>
    <w:multiLevelType w:val="hybridMultilevel"/>
    <w:tmpl w:val="72230571"/>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88">
    <w:nsid w:val="72230572"/>
    <w:multiLevelType w:val="hybridMultilevel"/>
    <w:tmpl w:val="72230572"/>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89">
    <w:nsid w:val="72230573"/>
    <w:multiLevelType w:val="hybridMultilevel"/>
    <w:tmpl w:val="72230573"/>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90">
    <w:nsid w:val="72230574"/>
    <w:multiLevelType w:val="multilevel"/>
    <w:tmpl w:val="72230574"/>
    <w:lvl w:ilvl="0">
      <w:start w:val="1"/>
      <w:numFmt w:val="decimal"/>
      <w:lvlText w:val="%1."/>
      <w:lvlJc w:val="left"/>
      <w:pPr>
        <w:ind w:left="720" w:hanging="360"/>
      </w:pPr>
      <w:rPr>
        <w:rFonts w:cs="Times New Roman"/>
      </w:rPr>
    </w:lvl>
    <w:lvl w:ilvl="1">
      <w:start w:val="1"/>
      <w:numFmt w:val="lowerLetter"/>
      <w:lvlText w:val="%2."/>
      <w:lvlJc w:val="left"/>
      <w:pPr>
        <w:tabs>
          <w:tab w:val="num" w:pos="1440"/>
        </w:tabs>
        <w:ind w:left="1440" w:hanging="360"/>
      </w:pPr>
      <w:rPr>
        <w:rFonts w:cs="Times New Roman"/>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191">
    <w:nsid w:val="72230575"/>
    <w:multiLevelType w:val="multilevel"/>
    <w:tmpl w:val="72230575"/>
    <w:lvl w:ilvl="0">
      <w:start w:val="1"/>
      <w:numFmt w:val="decimal"/>
      <w:lvlText w:val="%1."/>
      <w:lvlJc w:val="left"/>
      <w:pPr>
        <w:ind w:left="720" w:hanging="360"/>
      </w:pPr>
      <w:rPr>
        <w:rFonts w:cs="Times New Roman"/>
      </w:rPr>
    </w:lvl>
    <w:lvl w:ilvl="1">
      <w:start w:val="1"/>
      <w:numFmt w:val="lowerLetter"/>
      <w:lvlText w:val="%2."/>
      <w:lvlJc w:val="left"/>
      <w:pPr>
        <w:tabs>
          <w:tab w:val="num" w:pos="1440"/>
        </w:tabs>
        <w:ind w:left="1440" w:hanging="360"/>
      </w:pPr>
      <w:rPr>
        <w:rFonts w:cs="Times New Roman"/>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192">
    <w:nsid w:val="72230576"/>
    <w:multiLevelType w:val="multilevel"/>
    <w:tmpl w:val="72230576"/>
    <w:lvl w:ilvl="0">
      <w:start w:val="1"/>
      <w:numFmt w:val="decimal"/>
      <w:lvlText w:val="%1."/>
      <w:lvlJc w:val="left"/>
      <w:pPr>
        <w:ind w:left="720" w:hanging="360"/>
      </w:pPr>
      <w:rPr>
        <w:rFonts w:cs="Times New Roman"/>
      </w:rPr>
    </w:lvl>
    <w:lvl w:ilvl="1">
      <w:start w:val="1"/>
      <w:numFmt w:val="lowerLetter"/>
      <w:lvlText w:val="%2."/>
      <w:lvlJc w:val="left"/>
      <w:pPr>
        <w:tabs>
          <w:tab w:val="num" w:pos="1440"/>
        </w:tabs>
        <w:ind w:left="1440" w:hanging="360"/>
      </w:pPr>
      <w:rPr>
        <w:rFonts w:cs="Times New Roman"/>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193">
    <w:nsid w:val="72230577"/>
    <w:multiLevelType w:val="hybridMultilevel"/>
    <w:tmpl w:val="72230577"/>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94">
    <w:nsid w:val="72230578"/>
    <w:multiLevelType w:val="multilevel"/>
    <w:tmpl w:val="72230578"/>
    <w:lvl w:ilvl="0">
      <w:start w:val="1"/>
      <w:numFmt w:val="decimal"/>
      <w:lvlText w:val="%1."/>
      <w:lvlJc w:val="left"/>
      <w:pPr>
        <w:ind w:left="720" w:hanging="360"/>
      </w:pPr>
      <w:rPr>
        <w:rFonts w:cs="Times New Roman"/>
      </w:rPr>
    </w:lvl>
    <w:lvl w:ilvl="1">
      <w:start w:val="1"/>
      <w:numFmt w:val="lowerLetter"/>
      <w:lvlText w:val="%2."/>
      <w:lvlJc w:val="left"/>
      <w:pPr>
        <w:tabs>
          <w:tab w:val="num" w:pos="1440"/>
        </w:tabs>
        <w:ind w:left="1440" w:hanging="360"/>
      </w:pPr>
      <w:rPr>
        <w:rFonts w:cs="Times New Roman"/>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195">
    <w:nsid w:val="72230579"/>
    <w:multiLevelType w:val="hybridMultilevel"/>
    <w:tmpl w:val="72230579"/>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96">
    <w:nsid w:val="7223057A"/>
    <w:multiLevelType w:val="hybridMultilevel"/>
    <w:tmpl w:val="7223057A"/>
    <w:lvl w:ilvl="0" w:tplc="FFFFFFFF">
      <w:start w:val="1"/>
      <w:numFmt w:val="bullet"/>
      <w:lvlText w:val=""/>
      <w:lvlJc w:val="left"/>
      <w:pPr>
        <w:tabs>
          <w:tab w:val="num" w:pos="720"/>
        </w:tabs>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97">
    <w:nsid w:val="7223057B"/>
    <w:multiLevelType w:val="hybridMultilevel"/>
    <w:tmpl w:val="7223057B"/>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98">
    <w:nsid w:val="7223057C"/>
    <w:multiLevelType w:val="hybridMultilevel"/>
    <w:tmpl w:val="7223057C"/>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99">
    <w:nsid w:val="7223057D"/>
    <w:multiLevelType w:val="hybridMultilevel"/>
    <w:tmpl w:val="7223057D"/>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200">
    <w:nsid w:val="7223057E"/>
    <w:multiLevelType w:val="hybridMultilevel"/>
    <w:tmpl w:val="7223057E"/>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201">
    <w:nsid w:val="7223057F"/>
    <w:multiLevelType w:val="hybridMultilevel"/>
    <w:tmpl w:val="7223057F"/>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202">
    <w:nsid w:val="72230580"/>
    <w:multiLevelType w:val="hybridMultilevel"/>
    <w:tmpl w:val="72230580"/>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203">
    <w:nsid w:val="72230581"/>
    <w:multiLevelType w:val="hybridMultilevel"/>
    <w:tmpl w:val="72230581"/>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204">
    <w:nsid w:val="72230582"/>
    <w:multiLevelType w:val="hybridMultilevel"/>
    <w:tmpl w:val="72230582"/>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205">
    <w:nsid w:val="72230583"/>
    <w:multiLevelType w:val="hybridMultilevel"/>
    <w:tmpl w:val="72230583"/>
    <w:lvl w:ilvl="0" w:tplc="FFFFFFFF">
      <w:start w:val="1"/>
      <w:numFmt w:val="bullet"/>
      <w:lvlText w:val=""/>
      <w:lvlJc w:val="left"/>
      <w:pPr>
        <w:tabs>
          <w:tab w:val="num" w:pos="720"/>
        </w:tabs>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206">
    <w:nsid w:val="72230584"/>
    <w:multiLevelType w:val="hybridMultilevel"/>
    <w:tmpl w:val="72230584"/>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207">
    <w:nsid w:val="72230585"/>
    <w:multiLevelType w:val="hybridMultilevel"/>
    <w:tmpl w:val="72230585"/>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208">
    <w:nsid w:val="72230586"/>
    <w:multiLevelType w:val="hybridMultilevel"/>
    <w:tmpl w:val="72230586"/>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209">
    <w:nsid w:val="72230587"/>
    <w:multiLevelType w:val="hybridMultilevel"/>
    <w:tmpl w:val="72230587"/>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210">
    <w:nsid w:val="72230588"/>
    <w:multiLevelType w:val="hybridMultilevel"/>
    <w:tmpl w:val="72230588"/>
    <w:lvl w:ilvl="0" w:tplc="FFFFFFFF">
      <w:start w:val="1"/>
      <w:numFmt w:val="bullet"/>
      <w:lvlText w:val=""/>
      <w:lvlJc w:val="left"/>
      <w:pPr>
        <w:tabs>
          <w:tab w:val="num" w:pos="720"/>
        </w:tabs>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211">
    <w:nsid w:val="72230589"/>
    <w:multiLevelType w:val="hybridMultilevel"/>
    <w:tmpl w:val="72230589"/>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212">
    <w:nsid w:val="7223058A"/>
    <w:multiLevelType w:val="multilevel"/>
    <w:tmpl w:val="7223058A"/>
    <w:lvl w:ilvl="0">
      <w:start w:val="1"/>
      <w:numFmt w:val="decimal"/>
      <w:lvlText w:val="%1."/>
      <w:lvlJc w:val="left"/>
      <w:pPr>
        <w:ind w:left="720" w:hanging="360"/>
      </w:pPr>
      <w:rPr>
        <w:rFonts w:cs="Times New Roman"/>
      </w:rPr>
    </w:lvl>
    <w:lvl w:ilvl="1">
      <w:start w:val="1"/>
      <w:numFmt w:val="lowerLetter"/>
      <w:lvlText w:val="%2."/>
      <w:lvlJc w:val="left"/>
      <w:pPr>
        <w:tabs>
          <w:tab w:val="num" w:pos="1440"/>
        </w:tabs>
        <w:ind w:left="1440" w:hanging="360"/>
      </w:pPr>
      <w:rPr>
        <w:rFonts w:cs="Times New Roman"/>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213">
    <w:nsid w:val="7223058B"/>
    <w:multiLevelType w:val="hybridMultilevel"/>
    <w:tmpl w:val="7223058B"/>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214">
    <w:nsid w:val="7223058C"/>
    <w:multiLevelType w:val="multilevel"/>
    <w:tmpl w:val="7223058C"/>
    <w:lvl w:ilvl="0">
      <w:start w:val="1"/>
      <w:numFmt w:val="decimal"/>
      <w:lvlText w:val="%1."/>
      <w:lvlJc w:val="left"/>
      <w:pPr>
        <w:ind w:left="720" w:hanging="360"/>
      </w:pPr>
      <w:rPr>
        <w:rFonts w:cs="Times New Roman"/>
      </w:rPr>
    </w:lvl>
    <w:lvl w:ilvl="1">
      <w:start w:val="1"/>
      <w:numFmt w:val="bullet"/>
      <w:lvlText w:val="o"/>
      <w:lvlJc w:val="left"/>
      <w:pPr>
        <w:ind w:left="1440" w:hanging="360"/>
      </w:pPr>
      <w:rPr>
        <w:rFonts w:ascii="Courier New" w:hAnsi="Courier New"/>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215">
    <w:nsid w:val="7223058D"/>
    <w:multiLevelType w:val="hybridMultilevel"/>
    <w:tmpl w:val="7223058D"/>
    <w:lvl w:ilvl="0" w:tplc="FFFFFFFF">
      <w:start w:val="1"/>
      <w:numFmt w:val="bullet"/>
      <w:lvlText w:val="o"/>
      <w:lvlJc w:val="left"/>
      <w:pPr>
        <w:tabs>
          <w:tab w:val="num" w:pos="720"/>
        </w:tabs>
        <w:ind w:left="720" w:hanging="360"/>
      </w:pPr>
      <w:rPr>
        <w:rFonts w:ascii="Courier New" w:hAnsi="Courier New"/>
      </w:rPr>
    </w:lvl>
    <w:lvl w:ilvl="1" w:tplc="FFFFFFFF">
      <w:start w:val="1"/>
      <w:numFmt w:val="bullet"/>
      <w:lvlText w:val="o"/>
      <w:lvlJc w:val="left"/>
      <w:pPr>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216">
    <w:nsid w:val="7223058E"/>
    <w:multiLevelType w:val="hybridMultilevel"/>
    <w:tmpl w:val="7223058E"/>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217">
    <w:nsid w:val="7223058F"/>
    <w:multiLevelType w:val="hybridMultilevel"/>
    <w:tmpl w:val="7223058F"/>
    <w:lvl w:ilvl="0" w:tplc="FFFFFFFF">
      <w:start w:val="1"/>
      <w:numFmt w:val="bullet"/>
      <w:lvlText w:val=""/>
      <w:lvlJc w:val="left"/>
      <w:pPr>
        <w:tabs>
          <w:tab w:val="num" w:pos="720"/>
        </w:tabs>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218">
    <w:nsid w:val="72230590"/>
    <w:multiLevelType w:val="hybridMultilevel"/>
    <w:tmpl w:val="72230590"/>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219">
    <w:nsid w:val="72230591"/>
    <w:multiLevelType w:val="multilevel"/>
    <w:tmpl w:val="72230591"/>
    <w:lvl w:ilvl="0">
      <w:start w:val="1"/>
      <w:numFmt w:val="decimal"/>
      <w:lvlText w:val="%1."/>
      <w:lvlJc w:val="left"/>
      <w:pPr>
        <w:ind w:left="720" w:hanging="360"/>
      </w:pPr>
      <w:rPr>
        <w:rFonts w:cs="Times New Roman"/>
      </w:rPr>
    </w:lvl>
    <w:lvl w:ilvl="1">
      <w:start w:val="1"/>
      <w:numFmt w:val="lowerLetter"/>
      <w:lvlText w:val="%2."/>
      <w:lvlJc w:val="left"/>
      <w:pPr>
        <w:tabs>
          <w:tab w:val="num" w:pos="1440"/>
        </w:tabs>
        <w:ind w:left="1440" w:hanging="360"/>
      </w:pPr>
      <w:rPr>
        <w:rFonts w:cs="Times New Roman"/>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220">
    <w:nsid w:val="72230592"/>
    <w:multiLevelType w:val="hybridMultilevel"/>
    <w:tmpl w:val="72230592"/>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221">
    <w:nsid w:val="72230593"/>
    <w:multiLevelType w:val="multilevel"/>
    <w:tmpl w:val="72230593"/>
    <w:lvl w:ilvl="0">
      <w:start w:val="1"/>
      <w:numFmt w:val="decimal"/>
      <w:lvlText w:val="%1."/>
      <w:lvlJc w:val="left"/>
      <w:pPr>
        <w:ind w:left="720" w:hanging="360"/>
      </w:pPr>
      <w:rPr>
        <w:rFonts w:cs="Times New Roman"/>
      </w:rPr>
    </w:lvl>
    <w:lvl w:ilvl="1">
      <w:start w:val="1"/>
      <w:numFmt w:val="lowerLetter"/>
      <w:lvlText w:val="%2."/>
      <w:lvlJc w:val="left"/>
      <w:pPr>
        <w:tabs>
          <w:tab w:val="num" w:pos="1440"/>
        </w:tabs>
        <w:ind w:left="1440" w:hanging="360"/>
      </w:pPr>
      <w:rPr>
        <w:rFonts w:cs="Times New Roman"/>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222">
    <w:nsid w:val="72230594"/>
    <w:multiLevelType w:val="hybridMultilevel"/>
    <w:tmpl w:val="72230594"/>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223">
    <w:nsid w:val="72230595"/>
    <w:multiLevelType w:val="hybridMultilevel"/>
    <w:tmpl w:val="72230595"/>
    <w:lvl w:ilvl="0" w:tplc="FFFFFFFF">
      <w:start w:val="1"/>
      <w:numFmt w:val="bullet"/>
      <w:lvlText w:val=""/>
      <w:lvlJc w:val="left"/>
      <w:pPr>
        <w:tabs>
          <w:tab w:val="num" w:pos="720"/>
        </w:tabs>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224">
    <w:nsid w:val="72230596"/>
    <w:multiLevelType w:val="hybridMultilevel"/>
    <w:tmpl w:val="72230596"/>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225">
    <w:nsid w:val="72230597"/>
    <w:multiLevelType w:val="hybridMultilevel"/>
    <w:tmpl w:val="72230597"/>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226">
    <w:nsid w:val="72230598"/>
    <w:multiLevelType w:val="hybridMultilevel"/>
    <w:tmpl w:val="72230598"/>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227">
    <w:nsid w:val="72230599"/>
    <w:multiLevelType w:val="multilevel"/>
    <w:tmpl w:val="72230599"/>
    <w:lvl w:ilvl="0">
      <w:start w:val="1"/>
      <w:numFmt w:val="decimal"/>
      <w:lvlText w:val="%1."/>
      <w:lvlJc w:val="left"/>
      <w:pPr>
        <w:ind w:left="720" w:hanging="360"/>
      </w:pPr>
      <w:rPr>
        <w:rFonts w:cs="Times New Roman"/>
      </w:rPr>
    </w:lvl>
    <w:lvl w:ilvl="1">
      <w:start w:val="1"/>
      <w:numFmt w:val="lowerLetter"/>
      <w:lvlText w:val="%2."/>
      <w:lvlJc w:val="left"/>
      <w:pPr>
        <w:tabs>
          <w:tab w:val="num" w:pos="1440"/>
        </w:tabs>
        <w:ind w:left="1440" w:hanging="360"/>
      </w:pPr>
      <w:rPr>
        <w:rFonts w:cs="Times New Roman"/>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228">
    <w:nsid w:val="7223059A"/>
    <w:multiLevelType w:val="hybridMultilevel"/>
    <w:tmpl w:val="7223059A"/>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229">
    <w:nsid w:val="7223059B"/>
    <w:multiLevelType w:val="hybridMultilevel"/>
    <w:tmpl w:val="7223059B"/>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230">
    <w:nsid w:val="7223059C"/>
    <w:multiLevelType w:val="hybridMultilevel"/>
    <w:tmpl w:val="7223059C"/>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231">
    <w:nsid w:val="7223059D"/>
    <w:multiLevelType w:val="hybridMultilevel"/>
    <w:tmpl w:val="7223059D"/>
    <w:lvl w:ilvl="0" w:tplc="FFFFFFFF">
      <w:start w:val="1"/>
      <w:numFmt w:val="bullet"/>
      <w:lvlText w:val=""/>
      <w:lvlJc w:val="left"/>
      <w:pPr>
        <w:tabs>
          <w:tab w:val="num" w:pos="720"/>
        </w:tabs>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232">
    <w:nsid w:val="7223059E"/>
    <w:multiLevelType w:val="hybridMultilevel"/>
    <w:tmpl w:val="7223059E"/>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233">
    <w:nsid w:val="7223059F"/>
    <w:multiLevelType w:val="hybridMultilevel"/>
    <w:tmpl w:val="7223059F"/>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234">
    <w:nsid w:val="722305A0"/>
    <w:multiLevelType w:val="hybridMultilevel"/>
    <w:tmpl w:val="722305A0"/>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235">
    <w:nsid w:val="722305A1"/>
    <w:multiLevelType w:val="hybridMultilevel"/>
    <w:tmpl w:val="722305A1"/>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236">
    <w:nsid w:val="722305A2"/>
    <w:multiLevelType w:val="hybridMultilevel"/>
    <w:tmpl w:val="722305A2"/>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237">
    <w:nsid w:val="722305A3"/>
    <w:multiLevelType w:val="hybridMultilevel"/>
    <w:tmpl w:val="722305A3"/>
    <w:lvl w:ilvl="0" w:tplc="FFFFFFFF">
      <w:start w:val="1"/>
      <w:numFmt w:val="bullet"/>
      <w:lvlText w:val=""/>
      <w:lvlJc w:val="left"/>
      <w:pPr>
        <w:tabs>
          <w:tab w:val="num" w:pos="720"/>
        </w:tabs>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238">
    <w:nsid w:val="722305A4"/>
    <w:multiLevelType w:val="hybridMultilevel"/>
    <w:tmpl w:val="722305A4"/>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239">
    <w:nsid w:val="722305A5"/>
    <w:multiLevelType w:val="hybridMultilevel"/>
    <w:tmpl w:val="722305A5"/>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240">
    <w:nsid w:val="722305A6"/>
    <w:multiLevelType w:val="hybridMultilevel"/>
    <w:tmpl w:val="722305A6"/>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241">
    <w:nsid w:val="722305A7"/>
    <w:multiLevelType w:val="hybridMultilevel"/>
    <w:tmpl w:val="722305A7"/>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242">
    <w:nsid w:val="722305A8"/>
    <w:multiLevelType w:val="hybridMultilevel"/>
    <w:tmpl w:val="722305A8"/>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243">
    <w:nsid w:val="722305A9"/>
    <w:multiLevelType w:val="hybridMultilevel"/>
    <w:tmpl w:val="722305A9"/>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244">
    <w:nsid w:val="722305AA"/>
    <w:multiLevelType w:val="hybridMultilevel"/>
    <w:tmpl w:val="722305AA"/>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245">
    <w:nsid w:val="722305AB"/>
    <w:multiLevelType w:val="hybridMultilevel"/>
    <w:tmpl w:val="722305AB"/>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246">
    <w:nsid w:val="722305AC"/>
    <w:multiLevelType w:val="hybridMultilevel"/>
    <w:tmpl w:val="722305AC"/>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247">
    <w:nsid w:val="722305AD"/>
    <w:multiLevelType w:val="hybridMultilevel"/>
    <w:tmpl w:val="722305AD"/>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248">
    <w:nsid w:val="722305AE"/>
    <w:multiLevelType w:val="hybridMultilevel"/>
    <w:tmpl w:val="722305AE"/>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249">
    <w:nsid w:val="722305AF"/>
    <w:multiLevelType w:val="hybridMultilevel"/>
    <w:tmpl w:val="722305AF"/>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250">
    <w:nsid w:val="722305B0"/>
    <w:multiLevelType w:val="hybridMultilevel"/>
    <w:tmpl w:val="722305B0"/>
    <w:lvl w:ilvl="0" w:tplc="FFFFFFFF">
      <w:start w:val="1"/>
      <w:numFmt w:val="bullet"/>
      <w:lvlText w:val=""/>
      <w:lvlJc w:val="left"/>
      <w:pPr>
        <w:tabs>
          <w:tab w:val="num" w:pos="720"/>
        </w:tabs>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251">
    <w:nsid w:val="722305B1"/>
    <w:multiLevelType w:val="hybridMultilevel"/>
    <w:tmpl w:val="722305B1"/>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252">
    <w:nsid w:val="722305B2"/>
    <w:multiLevelType w:val="hybridMultilevel"/>
    <w:tmpl w:val="722305B2"/>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253">
    <w:nsid w:val="722305B3"/>
    <w:multiLevelType w:val="hybridMultilevel"/>
    <w:tmpl w:val="722305B3"/>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254">
    <w:nsid w:val="722305B4"/>
    <w:multiLevelType w:val="hybridMultilevel"/>
    <w:tmpl w:val="722305B4"/>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255">
    <w:nsid w:val="722305B5"/>
    <w:multiLevelType w:val="hybridMultilevel"/>
    <w:tmpl w:val="722305B5"/>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256">
    <w:nsid w:val="722305B6"/>
    <w:multiLevelType w:val="hybridMultilevel"/>
    <w:tmpl w:val="722305B6"/>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257">
    <w:nsid w:val="722305B7"/>
    <w:multiLevelType w:val="hybridMultilevel"/>
    <w:tmpl w:val="722305B7"/>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258">
    <w:nsid w:val="722305B8"/>
    <w:multiLevelType w:val="hybridMultilevel"/>
    <w:tmpl w:val="722305B8"/>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259">
    <w:nsid w:val="722305B9"/>
    <w:multiLevelType w:val="hybridMultilevel"/>
    <w:tmpl w:val="722305B9"/>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260">
    <w:nsid w:val="722305BA"/>
    <w:multiLevelType w:val="hybridMultilevel"/>
    <w:tmpl w:val="722305BA"/>
    <w:lvl w:ilvl="0" w:tplc="FFFFFFFF">
      <w:start w:val="1"/>
      <w:numFmt w:val="bullet"/>
      <w:lvlText w:val=""/>
      <w:lvlJc w:val="left"/>
      <w:pPr>
        <w:tabs>
          <w:tab w:val="num" w:pos="720"/>
        </w:tabs>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261">
    <w:nsid w:val="722305BB"/>
    <w:multiLevelType w:val="hybridMultilevel"/>
    <w:tmpl w:val="722305BB"/>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262">
    <w:nsid w:val="722305BC"/>
    <w:multiLevelType w:val="hybridMultilevel"/>
    <w:tmpl w:val="722305BC"/>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263">
    <w:nsid w:val="722305BD"/>
    <w:multiLevelType w:val="hybridMultilevel"/>
    <w:tmpl w:val="722305BD"/>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264">
    <w:nsid w:val="722305BE"/>
    <w:multiLevelType w:val="hybridMultilevel"/>
    <w:tmpl w:val="722305BE"/>
    <w:lvl w:ilvl="0" w:tplc="FFFFFFFF">
      <w:start w:val="1"/>
      <w:numFmt w:val="bullet"/>
      <w:lvlText w:val=""/>
      <w:lvlJc w:val="left"/>
      <w:pPr>
        <w:tabs>
          <w:tab w:val="num" w:pos="720"/>
        </w:tabs>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265">
    <w:nsid w:val="722305BF"/>
    <w:multiLevelType w:val="hybridMultilevel"/>
    <w:tmpl w:val="722305BF"/>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266">
    <w:nsid w:val="722305C0"/>
    <w:multiLevelType w:val="hybridMultilevel"/>
    <w:tmpl w:val="722305C0"/>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267">
    <w:nsid w:val="722305C1"/>
    <w:multiLevelType w:val="hybridMultilevel"/>
    <w:tmpl w:val="722305C1"/>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268">
    <w:nsid w:val="722305C2"/>
    <w:multiLevelType w:val="hybridMultilevel"/>
    <w:tmpl w:val="722305C2"/>
    <w:lvl w:ilvl="0" w:tplc="FFFFFFFF">
      <w:start w:val="1"/>
      <w:numFmt w:val="bullet"/>
      <w:lvlText w:val=""/>
      <w:lvlJc w:val="left"/>
      <w:pPr>
        <w:ind w:left="720" w:hanging="360"/>
      </w:pPr>
      <w:rPr>
        <w:rFonts w:ascii="Symbol" w:hAnsi="Symbol"/>
      </w:rPr>
    </w:lvl>
    <w:lvl w:ilvl="1" w:tplc="FFFFFFFF">
      <w:start w:val="1"/>
      <w:numFmt w:val="bullet"/>
      <w:lvlText w:val="o"/>
      <w:lvlJc w:val="left"/>
      <w:pPr>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269">
    <w:nsid w:val="722305C3"/>
    <w:multiLevelType w:val="hybridMultilevel"/>
    <w:tmpl w:val="722305C3"/>
    <w:lvl w:ilvl="0" w:tplc="FFFFFFFF">
      <w:start w:val="1"/>
      <w:numFmt w:val="bullet"/>
      <w:lvlText w:val=""/>
      <w:lvlJc w:val="left"/>
      <w:pPr>
        <w:tabs>
          <w:tab w:val="num" w:pos="720"/>
        </w:tabs>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270">
    <w:nsid w:val="722305C4"/>
    <w:multiLevelType w:val="hybridMultilevel"/>
    <w:tmpl w:val="722305C4"/>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271">
    <w:nsid w:val="722305C5"/>
    <w:multiLevelType w:val="hybridMultilevel"/>
    <w:tmpl w:val="722305C5"/>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272">
    <w:nsid w:val="722305C6"/>
    <w:multiLevelType w:val="multilevel"/>
    <w:tmpl w:val="722305C6"/>
    <w:lvl w:ilvl="0">
      <w:start w:val="1"/>
      <w:numFmt w:val="decimal"/>
      <w:lvlText w:val="%1."/>
      <w:lvlJc w:val="left"/>
      <w:pPr>
        <w:ind w:left="720" w:hanging="360"/>
      </w:pPr>
      <w:rPr>
        <w:rFonts w:cs="Times New Roman"/>
      </w:rPr>
    </w:lvl>
    <w:lvl w:ilvl="1">
      <w:start w:val="1"/>
      <w:numFmt w:val="lowerLetter"/>
      <w:lvlText w:val="%2."/>
      <w:lvlJc w:val="left"/>
      <w:pPr>
        <w:tabs>
          <w:tab w:val="num" w:pos="1440"/>
        </w:tabs>
        <w:ind w:left="1440" w:hanging="360"/>
      </w:pPr>
      <w:rPr>
        <w:rFonts w:cs="Times New Roman"/>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273">
    <w:nsid w:val="722305C7"/>
    <w:multiLevelType w:val="hybridMultilevel"/>
    <w:tmpl w:val="722305C7"/>
    <w:lvl w:ilvl="0" w:tplc="FFFFFFFF">
      <w:start w:val="1"/>
      <w:numFmt w:val="bullet"/>
      <w:lvlText w:val=""/>
      <w:lvlJc w:val="left"/>
      <w:pPr>
        <w:tabs>
          <w:tab w:val="num" w:pos="720"/>
        </w:tabs>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274">
    <w:nsid w:val="722305C8"/>
    <w:multiLevelType w:val="hybridMultilevel"/>
    <w:tmpl w:val="722305C8"/>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275">
    <w:nsid w:val="722305C9"/>
    <w:multiLevelType w:val="hybridMultilevel"/>
    <w:tmpl w:val="722305C9"/>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276">
    <w:nsid w:val="722305CA"/>
    <w:multiLevelType w:val="hybridMultilevel"/>
    <w:tmpl w:val="722305CA"/>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277">
    <w:nsid w:val="722305CB"/>
    <w:multiLevelType w:val="hybridMultilevel"/>
    <w:tmpl w:val="722305CB"/>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278">
    <w:nsid w:val="722305CC"/>
    <w:multiLevelType w:val="hybridMultilevel"/>
    <w:tmpl w:val="722305CC"/>
    <w:lvl w:ilvl="0" w:tplc="FFFFFFFF">
      <w:start w:val="1"/>
      <w:numFmt w:val="bullet"/>
      <w:lvlText w:val=""/>
      <w:lvlJc w:val="left"/>
      <w:pPr>
        <w:tabs>
          <w:tab w:val="num" w:pos="720"/>
        </w:tabs>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279">
    <w:nsid w:val="722305CD"/>
    <w:multiLevelType w:val="hybridMultilevel"/>
    <w:tmpl w:val="722305CD"/>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280">
    <w:nsid w:val="722305CE"/>
    <w:multiLevelType w:val="hybridMultilevel"/>
    <w:tmpl w:val="722305CE"/>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281">
    <w:nsid w:val="722305CF"/>
    <w:multiLevelType w:val="hybridMultilevel"/>
    <w:tmpl w:val="722305CF"/>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282">
    <w:nsid w:val="722305D0"/>
    <w:multiLevelType w:val="hybridMultilevel"/>
    <w:tmpl w:val="722305D0"/>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283">
    <w:nsid w:val="722305D1"/>
    <w:multiLevelType w:val="hybridMultilevel"/>
    <w:tmpl w:val="722305D1"/>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284">
    <w:nsid w:val="722305D2"/>
    <w:multiLevelType w:val="hybridMultilevel"/>
    <w:tmpl w:val="722305D2"/>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285">
    <w:nsid w:val="722305D3"/>
    <w:multiLevelType w:val="hybridMultilevel"/>
    <w:tmpl w:val="722305D3"/>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286">
    <w:nsid w:val="722305D4"/>
    <w:multiLevelType w:val="hybridMultilevel"/>
    <w:tmpl w:val="722305D4"/>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287">
    <w:nsid w:val="722305D5"/>
    <w:multiLevelType w:val="hybridMultilevel"/>
    <w:tmpl w:val="722305D5"/>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288">
    <w:nsid w:val="722305D6"/>
    <w:multiLevelType w:val="multilevel"/>
    <w:tmpl w:val="722305D6"/>
    <w:lvl w:ilvl="0">
      <w:start w:val="1"/>
      <w:numFmt w:val="decimal"/>
      <w:lvlText w:val="%1."/>
      <w:lvlJc w:val="left"/>
      <w:pPr>
        <w:ind w:left="720" w:hanging="360"/>
      </w:pPr>
      <w:rPr>
        <w:rFonts w:cs="Times New Roman"/>
      </w:rPr>
    </w:lvl>
    <w:lvl w:ilvl="1">
      <w:start w:val="1"/>
      <w:numFmt w:val="lowerLetter"/>
      <w:lvlText w:val="%2."/>
      <w:lvlJc w:val="left"/>
      <w:pPr>
        <w:tabs>
          <w:tab w:val="num" w:pos="1440"/>
        </w:tabs>
        <w:ind w:left="1440" w:hanging="360"/>
      </w:pPr>
      <w:rPr>
        <w:rFonts w:cs="Times New Roman"/>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289">
    <w:nsid w:val="722305D7"/>
    <w:multiLevelType w:val="hybridMultilevel"/>
    <w:tmpl w:val="722305D7"/>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290">
    <w:nsid w:val="722305D8"/>
    <w:multiLevelType w:val="hybridMultilevel"/>
    <w:tmpl w:val="722305D8"/>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291">
    <w:nsid w:val="722305D9"/>
    <w:multiLevelType w:val="hybridMultilevel"/>
    <w:tmpl w:val="722305D9"/>
    <w:lvl w:ilvl="0" w:tplc="FFFFFFFF">
      <w:start w:val="1"/>
      <w:numFmt w:val="bullet"/>
      <w:lvlText w:val=""/>
      <w:lvlJc w:val="left"/>
      <w:pPr>
        <w:tabs>
          <w:tab w:val="num" w:pos="720"/>
        </w:tabs>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292">
    <w:nsid w:val="722305DA"/>
    <w:multiLevelType w:val="hybridMultilevel"/>
    <w:tmpl w:val="722305DA"/>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293">
    <w:nsid w:val="722305DB"/>
    <w:multiLevelType w:val="hybridMultilevel"/>
    <w:tmpl w:val="722305DB"/>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294">
    <w:nsid w:val="722305DC"/>
    <w:multiLevelType w:val="hybridMultilevel"/>
    <w:tmpl w:val="722305DC"/>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295">
    <w:nsid w:val="722305DD"/>
    <w:multiLevelType w:val="hybridMultilevel"/>
    <w:tmpl w:val="722305DD"/>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296">
    <w:nsid w:val="722305DE"/>
    <w:multiLevelType w:val="hybridMultilevel"/>
    <w:tmpl w:val="722305DE"/>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297">
    <w:nsid w:val="722305DF"/>
    <w:multiLevelType w:val="hybridMultilevel"/>
    <w:tmpl w:val="722305DF"/>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298">
    <w:nsid w:val="722305E0"/>
    <w:multiLevelType w:val="hybridMultilevel"/>
    <w:tmpl w:val="722305E0"/>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299">
    <w:nsid w:val="722305E1"/>
    <w:multiLevelType w:val="hybridMultilevel"/>
    <w:tmpl w:val="722305E1"/>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300">
    <w:nsid w:val="722305E2"/>
    <w:multiLevelType w:val="hybridMultilevel"/>
    <w:tmpl w:val="722305E2"/>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301">
    <w:nsid w:val="722305E3"/>
    <w:multiLevelType w:val="hybridMultilevel"/>
    <w:tmpl w:val="722305E3"/>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302">
    <w:nsid w:val="722305E4"/>
    <w:multiLevelType w:val="hybridMultilevel"/>
    <w:tmpl w:val="722305E4"/>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303">
    <w:nsid w:val="722305E5"/>
    <w:multiLevelType w:val="hybridMultilevel"/>
    <w:tmpl w:val="722305E5"/>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304">
    <w:nsid w:val="722305E6"/>
    <w:multiLevelType w:val="hybridMultilevel"/>
    <w:tmpl w:val="722305E6"/>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305">
    <w:nsid w:val="722305E7"/>
    <w:multiLevelType w:val="hybridMultilevel"/>
    <w:tmpl w:val="722305E7"/>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306">
    <w:nsid w:val="722305E8"/>
    <w:multiLevelType w:val="hybridMultilevel"/>
    <w:tmpl w:val="722305E8"/>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307">
    <w:nsid w:val="722305E9"/>
    <w:multiLevelType w:val="hybridMultilevel"/>
    <w:tmpl w:val="722305E9"/>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308">
    <w:nsid w:val="722305EA"/>
    <w:multiLevelType w:val="hybridMultilevel"/>
    <w:tmpl w:val="722305EA"/>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309">
    <w:nsid w:val="722305EB"/>
    <w:multiLevelType w:val="hybridMultilevel"/>
    <w:tmpl w:val="722305EB"/>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310">
    <w:nsid w:val="722305EC"/>
    <w:multiLevelType w:val="hybridMultilevel"/>
    <w:tmpl w:val="722305EC"/>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311">
    <w:nsid w:val="722305ED"/>
    <w:multiLevelType w:val="hybridMultilevel"/>
    <w:tmpl w:val="722305ED"/>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312">
    <w:nsid w:val="722305EE"/>
    <w:multiLevelType w:val="hybridMultilevel"/>
    <w:tmpl w:val="722305EE"/>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313">
    <w:nsid w:val="722305EF"/>
    <w:multiLevelType w:val="hybridMultilevel"/>
    <w:tmpl w:val="722305EF"/>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314">
    <w:nsid w:val="722305F0"/>
    <w:multiLevelType w:val="hybridMultilevel"/>
    <w:tmpl w:val="722305F0"/>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315">
    <w:nsid w:val="722305F1"/>
    <w:multiLevelType w:val="hybridMultilevel"/>
    <w:tmpl w:val="722305F1"/>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316">
    <w:nsid w:val="722305F2"/>
    <w:multiLevelType w:val="hybridMultilevel"/>
    <w:tmpl w:val="722305F2"/>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317">
    <w:nsid w:val="722305F3"/>
    <w:multiLevelType w:val="hybridMultilevel"/>
    <w:tmpl w:val="722305F3"/>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318">
    <w:nsid w:val="722305F4"/>
    <w:multiLevelType w:val="hybridMultilevel"/>
    <w:tmpl w:val="722305F4"/>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319">
    <w:nsid w:val="722305F5"/>
    <w:multiLevelType w:val="hybridMultilevel"/>
    <w:tmpl w:val="722305F5"/>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320">
    <w:nsid w:val="722305F6"/>
    <w:multiLevelType w:val="hybridMultilevel"/>
    <w:tmpl w:val="722305F6"/>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321">
    <w:nsid w:val="722305F7"/>
    <w:multiLevelType w:val="hybridMultilevel"/>
    <w:tmpl w:val="722305F7"/>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322">
    <w:nsid w:val="722305F8"/>
    <w:multiLevelType w:val="hybridMultilevel"/>
    <w:tmpl w:val="722305F8"/>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323">
    <w:nsid w:val="722305F9"/>
    <w:multiLevelType w:val="hybridMultilevel"/>
    <w:tmpl w:val="722305F9"/>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324">
    <w:nsid w:val="722305FA"/>
    <w:multiLevelType w:val="hybridMultilevel"/>
    <w:tmpl w:val="722305FA"/>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325">
    <w:nsid w:val="722305FB"/>
    <w:multiLevelType w:val="hybridMultilevel"/>
    <w:tmpl w:val="722305FB"/>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326">
    <w:nsid w:val="722305FC"/>
    <w:multiLevelType w:val="hybridMultilevel"/>
    <w:tmpl w:val="722305FC"/>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327">
    <w:nsid w:val="722305FD"/>
    <w:multiLevelType w:val="hybridMultilevel"/>
    <w:tmpl w:val="722305FD"/>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328">
    <w:nsid w:val="722305FE"/>
    <w:multiLevelType w:val="hybridMultilevel"/>
    <w:tmpl w:val="722305FE"/>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329">
    <w:nsid w:val="722305FF"/>
    <w:multiLevelType w:val="hybridMultilevel"/>
    <w:tmpl w:val="722305FF"/>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330">
    <w:nsid w:val="72230600"/>
    <w:multiLevelType w:val="hybridMultilevel"/>
    <w:tmpl w:val="72230600"/>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331">
    <w:nsid w:val="72230601"/>
    <w:multiLevelType w:val="hybridMultilevel"/>
    <w:tmpl w:val="72230601"/>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332">
    <w:nsid w:val="72230602"/>
    <w:multiLevelType w:val="hybridMultilevel"/>
    <w:tmpl w:val="72230602"/>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333">
    <w:nsid w:val="72230603"/>
    <w:multiLevelType w:val="hybridMultilevel"/>
    <w:tmpl w:val="72230603"/>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334">
    <w:nsid w:val="72230604"/>
    <w:multiLevelType w:val="hybridMultilevel"/>
    <w:tmpl w:val="72230604"/>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335">
    <w:nsid w:val="72230605"/>
    <w:multiLevelType w:val="hybridMultilevel"/>
    <w:tmpl w:val="72230605"/>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336">
    <w:nsid w:val="72230606"/>
    <w:multiLevelType w:val="hybridMultilevel"/>
    <w:tmpl w:val="72230606"/>
    <w:lvl w:ilvl="0" w:tplc="FFFFFFFF">
      <w:start w:val="1"/>
      <w:numFmt w:val="bullet"/>
      <w:lvlText w:val=""/>
      <w:lvlJc w:val="left"/>
      <w:pPr>
        <w:ind w:left="720" w:hanging="360"/>
      </w:pPr>
      <w:rPr>
        <w:rFonts w:ascii="Symbol" w:hAnsi="Symbol"/>
      </w:rPr>
    </w:lvl>
    <w:lvl w:ilvl="1" w:tplc="FFFFFFFF">
      <w:start w:val="1"/>
      <w:numFmt w:val="bullet"/>
      <w:lvlText w:val="o"/>
      <w:lvlJc w:val="left"/>
      <w:pPr>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337">
    <w:nsid w:val="72230607"/>
    <w:multiLevelType w:val="hybridMultilevel"/>
    <w:tmpl w:val="72230607"/>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338">
    <w:nsid w:val="72230608"/>
    <w:multiLevelType w:val="hybridMultilevel"/>
    <w:tmpl w:val="72230608"/>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339">
    <w:nsid w:val="72230609"/>
    <w:multiLevelType w:val="hybridMultilevel"/>
    <w:tmpl w:val="72230609"/>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340">
    <w:nsid w:val="7223060A"/>
    <w:multiLevelType w:val="hybridMultilevel"/>
    <w:tmpl w:val="7223060A"/>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341">
    <w:nsid w:val="7223060B"/>
    <w:multiLevelType w:val="hybridMultilevel"/>
    <w:tmpl w:val="7223060B"/>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342">
    <w:nsid w:val="7223060C"/>
    <w:multiLevelType w:val="hybridMultilevel"/>
    <w:tmpl w:val="7223060C"/>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343">
    <w:nsid w:val="7223060D"/>
    <w:multiLevelType w:val="hybridMultilevel"/>
    <w:tmpl w:val="7223060D"/>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344">
    <w:nsid w:val="7223060E"/>
    <w:multiLevelType w:val="hybridMultilevel"/>
    <w:tmpl w:val="7223060E"/>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345">
    <w:nsid w:val="7223060F"/>
    <w:multiLevelType w:val="hybridMultilevel"/>
    <w:tmpl w:val="7223060F"/>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346">
    <w:nsid w:val="72230610"/>
    <w:multiLevelType w:val="hybridMultilevel"/>
    <w:tmpl w:val="72230610"/>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347">
    <w:nsid w:val="72230611"/>
    <w:multiLevelType w:val="hybridMultilevel"/>
    <w:tmpl w:val="72230611"/>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348">
    <w:nsid w:val="72230612"/>
    <w:multiLevelType w:val="hybridMultilevel"/>
    <w:tmpl w:val="72230612"/>
    <w:lvl w:ilvl="0" w:tplc="FFFFFFFF">
      <w:start w:val="1"/>
      <w:numFmt w:val="bullet"/>
      <w:lvlText w:val=""/>
      <w:lvlJc w:val="left"/>
      <w:pPr>
        <w:ind w:left="720" w:hanging="360"/>
      </w:pPr>
      <w:rPr>
        <w:rFonts w:ascii="Symbol" w:hAnsi="Symbol"/>
      </w:rPr>
    </w:lvl>
    <w:lvl w:ilvl="1" w:tplc="FFFFFFFF">
      <w:start w:val="1"/>
      <w:numFmt w:val="bullet"/>
      <w:lvlText w:val="o"/>
      <w:lvlJc w:val="left"/>
      <w:pPr>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349">
    <w:nsid w:val="72230613"/>
    <w:multiLevelType w:val="hybridMultilevel"/>
    <w:tmpl w:val="72230613"/>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350">
    <w:nsid w:val="72230614"/>
    <w:multiLevelType w:val="hybridMultilevel"/>
    <w:tmpl w:val="72230614"/>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351">
    <w:nsid w:val="72230615"/>
    <w:multiLevelType w:val="hybridMultilevel"/>
    <w:tmpl w:val="72230615"/>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352">
    <w:nsid w:val="72230616"/>
    <w:multiLevelType w:val="hybridMultilevel"/>
    <w:tmpl w:val="72230616"/>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353">
    <w:nsid w:val="72230617"/>
    <w:multiLevelType w:val="hybridMultilevel"/>
    <w:tmpl w:val="72230617"/>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354">
    <w:nsid w:val="72230618"/>
    <w:multiLevelType w:val="hybridMultilevel"/>
    <w:tmpl w:val="72230618"/>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355">
    <w:nsid w:val="72230619"/>
    <w:multiLevelType w:val="hybridMultilevel"/>
    <w:tmpl w:val="72230619"/>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356">
    <w:nsid w:val="7223061A"/>
    <w:multiLevelType w:val="hybridMultilevel"/>
    <w:tmpl w:val="7223061A"/>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357">
    <w:nsid w:val="7223061B"/>
    <w:multiLevelType w:val="hybridMultilevel"/>
    <w:tmpl w:val="7223061B"/>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358">
    <w:nsid w:val="7223061C"/>
    <w:multiLevelType w:val="hybridMultilevel"/>
    <w:tmpl w:val="7223061C"/>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359">
    <w:nsid w:val="7223061D"/>
    <w:multiLevelType w:val="hybridMultilevel"/>
    <w:tmpl w:val="7223061D"/>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360">
    <w:nsid w:val="7223061E"/>
    <w:multiLevelType w:val="hybridMultilevel"/>
    <w:tmpl w:val="7223061E"/>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361">
    <w:nsid w:val="7223061F"/>
    <w:multiLevelType w:val="hybridMultilevel"/>
    <w:tmpl w:val="7223061F"/>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362">
    <w:nsid w:val="72230620"/>
    <w:multiLevelType w:val="hybridMultilevel"/>
    <w:tmpl w:val="72230620"/>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363">
    <w:nsid w:val="72230621"/>
    <w:multiLevelType w:val="hybridMultilevel"/>
    <w:tmpl w:val="72230621"/>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364">
    <w:nsid w:val="72230622"/>
    <w:multiLevelType w:val="hybridMultilevel"/>
    <w:tmpl w:val="72230622"/>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365">
    <w:nsid w:val="72230623"/>
    <w:multiLevelType w:val="hybridMultilevel"/>
    <w:tmpl w:val="72230623"/>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366">
    <w:nsid w:val="72230624"/>
    <w:multiLevelType w:val="hybridMultilevel"/>
    <w:tmpl w:val="72230624"/>
    <w:lvl w:ilvl="0" w:tplc="FFFFFFFF">
      <w:start w:val="1"/>
      <w:numFmt w:val="bullet"/>
      <w:lvlText w:val=""/>
      <w:lvlJc w:val="left"/>
      <w:pPr>
        <w:tabs>
          <w:tab w:val="num" w:pos="720"/>
        </w:tabs>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367">
    <w:nsid w:val="72230625"/>
    <w:multiLevelType w:val="hybridMultilevel"/>
    <w:tmpl w:val="72230625"/>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368">
    <w:nsid w:val="72230626"/>
    <w:multiLevelType w:val="hybridMultilevel"/>
    <w:tmpl w:val="72230626"/>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369">
    <w:nsid w:val="72230627"/>
    <w:multiLevelType w:val="hybridMultilevel"/>
    <w:tmpl w:val="72230627"/>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370">
    <w:nsid w:val="72230628"/>
    <w:multiLevelType w:val="hybridMultilevel"/>
    <w:tmpl w:val="72230628"/>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371">
    <w:nsid w:val="72230629"/>
    <w:multiLevelType w:val="hybridMultilevel"/>
    <w:tmpl w:val="72230629"/>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372">
    <w:nsid w:val="7223062A"/>
    <w:multiLevelType w:val="hybridMultilevel"/>
    <w:tmpl w:val="7223062A"/>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373">
    <w:nsid w:val="7223062B"/>
    <w:multiLevelType w:val="hybridMultilevel"/>
    <w:tmpl w:val="7223062B"/>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374">
    <w:nsid w:val="7223062C"/>
    <w:multiLevelType w:val="hybridMultilevel"/>
    <w:tmpl w:val="7223062C"/>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375">
    <w:nsid w:val="7223062D"/>
    <w:multiLevelType w:val="hybridMultilevel"/>
    <w:tmpl w:val="7223062D"/>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376">
    <w:nsid w:val="7223062E"/>
    <w:multiLevelType w:val="hybridMultilevel"/>
    <w:tmpl w:val="7223062E"/>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377">
    <w:nsid w:val="7223062F"/>
    <w:multiLevelType w:val="hybridMultilevel"/>
    <w:tmpl w:val="7223062F"/>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378">
    <w:nsid w:val="72230630"/>
    <w:multiLevelType w:val="hybridMultilevel"/>
    <w:tmpl w:val="72230630"/>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379">
    <w:nsid w:val="72230631"/>
    <w:multiLevelType w:val="hybridMultilevel"/>
    <w:tmpl w:val="72230631"/>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380">
    <w:nsid w:val="72230632"/>
    <w:multiLevelType w:val="hybridMultilevel"/>
    <w:tmpl w:val="72230632"/>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381">
    <w:nsid w:val="72230633"/>
    <w:multiLevelType w:val="hybridMultilevel"/>
    <w:tmpl w:val="72230633"/>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382">
    <w:nsid w:val="72230634"/>
    <w:multiLevelType w:val="hybridMultilevel"/>
    <w:tmpl w:val="72230634"/>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383">
    <w:nsid w:val="72230635"/>
    <w:multiLevelType w:val="hybridMultilevel"/>
    <w:tmpl w:val="72230635"/>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384">
    <w:nsid w:val="72230636"/>
    <w:multiLevelType w:val="hybridMultilevel"/>
    <w:tmpl w:val="72230636"/>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385">
    <w:nsid w:val="72230637"/>
    <w:multiLevelType w:val="hybridMultilevel"/>
    <w:tmpl w:val="72230637"/>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386">
    <w:nsid w:val="72230638"/>
    <w:multiLevelType w:val="hybridMultilevel"/>
    <w:tmpl w:val="72230638"/>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387">
    <w:nsid w:val="72230639"/>
    <w:multiLevelType w:val="hybridMultilevel"/>
    <w:tmpl w:val="72230639"/>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388">
    <w:nsid w:val="7223063A"/>
    <w:multiLevelType w:val="hybridMultilevel"/>
    <w:tmpl w:val="7223063A"/>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389">
    <w:nsid w:val="7223063B"/>
    <w:multiLevelType w:val="hybridMultilevel"/>
    <w:tmpl w:val="7223063B"/>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390">
    <w:nsid w:val="7223063C"/>
    <w:multiLevelType w:val="hybridMultilevel"/>
    <w:tmpl w:val="7223063C"/>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391">
    <w:nsid w:val="7223063D"/>
    <w:multiLevelType w:val="hybridMultilevel"/>
    <w:tmpl w:val="7223063D"/>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392">
    <w:nsid w:val="7223063E"/>
    <w:multiLevelType w:val="hybridMultilevel"/>
    <w:tmpl w:val="7223063E"/>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393">
    <w:nsid w:val="7223063F"/>
    <w:multiLevelType w:val="hybridMultilevel"/>
    <w:tmpl w:val="7223063F"/>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394">
    <w:nsid w:val="72230640"/>
    <w:multiLevelType w:val="hybridMultilevel"/>
    <w:tmpl w:val="72230640"/>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395">
    <w:nsid w:val="72230641"/>
    <w:multiLevelType w:val="hybridMultilevel"/>
    <w:tmpl w:val="72230641"/>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396">
    <w:nsid w:val="72230642"/>
    <w:multiLevelType w:val="hybridMultilevel"/>
    <w:tmpl w:val="72230642"/>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397">
    <w:nsid w:val="72230643"/>
    <w:multiLevelType w:val="hybridMultilevel"/>
    <w:tmpl w:val="72230643"/>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398">
    <w:nsid w:val="72230644"/>
    <w:multiLevelType w:val="hybridMultilevel"/>
    <w:tmpl w:val="72230644"/>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399">
    <w:nsid w:val="72230645"/>
    <w:multiLevelType w:val="hybridMultilevel"/>
    <w:tmpl w:val="72230645"/>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400">
    <w:nsid w:val="72230646"/>
    <w:multiLevelType w:val="hybridMultilevel"/>
    <w:tmpl w:val="72230646"/>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401">
    <w:nsid w:val="72230647"/>
    <w:multiLevelType w:val="hybridMultilevel"/>
    <w:tmpl w:val="72230647"/>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402">
    <w:nsid w:val="72230648"/>
    <w:multiLevelType w:val="hybridMultilevel"/>
    <w:tmpl w:val="72230648"/>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403">
    <w:nsid w:val="72230649"/>
    <w:multiLevelType w:val="hybridMultilevel"/>
    <w:tmpl w:val="72230649"/>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404">
    <w:nsid w:val="7223064A"/>
    <w:multiLevelType w:val="hybridMultilevel"/>
    <w:tmpl w:val="7223064A"/>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405">
    <w:nsid w:val="7223064B"/>
    <w:multiLevelType w:val="hybridMultilevel"/>
    <w:tmpl w:val="7223064B"/>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406">
    <w:nsid w:val="7223064C"/>
    <w:multiLevelType w:val="hybridMultilevel"/>
    <w:tmpl w:val="7223064C"/>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407">
    <w:nsid w:val="7223064D"/>
    <w:multiLevelType w:val="hybridMultilevel"/>
    <w:tmpl w:val="7223064D"/>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408">
    <w:nsid w:val="7223064E"/>
    <w:multiLevelType w:val="hybridMultilevel"/>
    <w:tmpl w:val="7223064E"/>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409">
    <w:nsid w:val="7223064F"/>
    <w:multiLevelType w:val="hybridMultilevel"/>
    <w:tmpl w:val="7223064F"/>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410">
    <w:nsid w:val="72230650"/>
    <w:multiLevelType w:val="hybridMultilevel"/>
    <w:tmpl w:val="72230650"/>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411">
    <w:nsid w:val="72230651"/>
    <w:multiLevelType w:val="hybridMultilevel"/>
    <w:tmpl w:val="72230651"/>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412">
    <w:nsid w:val="72230652"/>
    <w:multiLevelType w:val="hybridMultilevel"/>
    <w:tmpl w:val="72230652"/>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413">
    <w:nsid w:val="72230653"/>
    <w:multiLevelType w:val="hybridMultilevel"/>
    <w:tmpl w:val="72230653"/>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414">
    <w:nsid w:val="72230654"/>
    <w:multiLevelType w:val="hybridMultilevel"/>
    <w:tmpl w:val="72230654"/>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415">
    <w:nsid w:val="72230655"/>
    <w:multiLevelType w:val="hybridMultilevel"/>
    <w:tmpl w:val="72230655"/>
    <w:lvl w:ilvl="0" w:tplc="FFFFFFFF">
      <w:start w:val="1"/>
      <w:numFmt w:val="bullet"/>
      <w:lvlText w:val=""/>
      <w:lvlJc w:val="left"/>
      <w:pPr>
        <w:tabs>
          <w:tab w:val="num" w:pos="720"/>
        </w:tabs>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416">
    <w:nsid w:val="72230656"/>
    <w:multiLevelType w:val="hybridMultilevel"/>
    <w:tmpl w:val="72230656"/>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417">
    <w:nsid w:val="72230657"/>
    <w:multiLevelType w:val="hybridMultilevel"/>
    <w:tmpl w:val="72230657"/>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418">
    <w:nsid w:val="72230658"/>
    <w:multiLevelType w:val="hybridMultilevel"/>
    <w:tmpl w:val="72230658"/>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419">
    <w:nsid w:val="72230659"/>
    <w:multiLevelType w:val="hybridMultilevel"/>
    <w:tmpl w:val="72230659"/>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420">
    <w:nsid w:val="7223065A"/>
    <w:multiLevelType w:val="hybridMultilevel"/>
    <w:tmpl w:val="7223065A"/>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421">
    <w:nsid w:val="7223065B"/>
    <w:multiLevelType w:val="hybridMultilevel"/>
    <w:tmpl w:val="7223065B"/>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422">
    <w:nsid w:val="7223065C"/>
    <w:multiLevelType w:val="hybridMultilevel"/>
    <w:tmpl w:val="7223065C"/>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423">
    <w:nsid w:val="7223065D"/>
    <w:multiLevelType w:val="hybridMultilevel"/>
    <w:tmpl w:val="7223065D"/>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424">
    <w:nsid w:val="7223065E"/>
    <w:multiLevelType w:val="hybridMultilevel"/>
    <w:tmpl w:val="7223065E"/>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425">
    <w:nsid w:val="7223065F"/>
    <w:multiLevelType w:val="hybridMultilevel"/>
    <w:tmpl w:val="7223065F"/>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426">
    <w:nsid w:val="72230660"/>
    <w:multiLevelType w:val="hybridMultilevel"/>
    <w:tmpl w:val="72230660"/>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427">
    <w:nsid w:val="72230661"/>
    <w:multiLevelType w:val="hybridMultilevel"/>
    <w:tmpl w:val="72230661"/>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428">
    <w:nsid w:val="72230662"/>
    <w:multiLevelType w:val="hybridMultilevel"/>
    <w:tmpl w:val="72230662"/>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429">
    <w:nsid w:val="72230663"/>
    <w:multiLevelType w:val="hybridMultilevel"/>
    <w:tmpl w:val="72230663"/>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430">
    <w:nsid w:val="72230664"/>
    <w:multiLevelType w:val="hybridMultilevel"/>
    <w:tmpl w:val="72230664"/>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431">
    <w:nsid w:val="72230665"/>
    <w:multiLevelType w:val="hybridMultilevel"/>
    <w:tmpl w:val="72230665"/>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432">
    <w:nsid w:val="72230666"/>
    <w:multiLevelType w:val="hybridMultilevel"/>
    <w:tmpl w:val="72230666"/>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433">
    <w:nsid w:val="72230667"/>
    <w:multiLevelType w:val="hybridMultilevel"/>
    <w:tmpl w:val="72230667"/>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434">
    <w:nsid w:val="72230668"/>
    <w:multiLevelType w:val="hybridMultilevel"/>
    <w:tmpl w:val="72230668"/>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435">
    <w:nsid w:val="72230669"/>
    <w:multiLevelType w:val="hybridMultilevel"/>
    <w:tmpl w:val="72230669"/>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436">
    <w:nsid w:val="7223066A"/>
    <w:multiLevelType w:val="hybridMultilevel"/>
    <w:tmpl w:val="7223066A"/>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437">
    <w:nsid w:val="7223066B"/>
    <w:multiLevelType w:val="hybridMultilevel"/>
    <w:tmpl w:val="7223066B"/>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438">
    <w:nsid w:val="7223066C"/>
    <w:multiLevelType w:val="hybridMultilevel"/>
    <w:tmpl w:val="7223066C"/>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439">
    <w:nsid w:val="7223066D"/>
    <w:multiLevelType w:val="hybridMultilevel"/>
    <w:tmpl w:val="7223066D"/>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440">
    <w:nsid w:val="7223066E"/>
    <w:multiLevelType w:val="hybridMultilevel"/>
    <w:tmpl w:val="7223066E"/>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441">
    <w:nsid w:val="7223066F"/>
    <w:multiLevelType w:val="hybridMultilevel"/>
    <w:tmpl w:val="7223066F"/>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442">
    <w:nsid w:val="72230670"/>
    <w:multiLevelType w:val="hybridMultilevel"/>
    <w:tmpl w:val="72230670"/>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443">
    <w:nsid w:val="72230671"/>
    <w:multiLevelType w:val="hybridMultilevel"/>
    <w:tmpl w:val="72230671"/>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444">
    <w:nsid w:val="72230672"/>
    <w:multiLevelType w:val="hybridMultilevel"/>
    <w:tmpl w:val="72230672"/>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445">
    <w:nsid w:val="72230673"/>
    <w:multiLevelType w:val="hybridMultilevel"/>
    <w:tmpl w:val="72230673"/>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446">
    <w:nsid w:val="72230674"/>
    <w:multiLevelType w:val="hybridMultilevel"/>
    <w:tmpl w:val="72230674"/>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447">
    <w:nsid w:val="72230675"/>
    <w:multiLevelType w:val="hybridMultilevel"/>
    <w:tmpl w:val="72230675"/>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448">
    <w:nsid w:val="72230676"/>
    <w:multiLevelType w:val="hybridMultilevel"/>
    <w:tmpl w:val="72230676"/>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449">
    <w:nsid w:val="72230677"/>
    <w:multiLevelType w:val="hybridMultilevel"/>
    <w:tmpl w:val="72230677"/>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450">
    <w:nsid w:val="72230678"/>
    <w:multiLevelType w:val="hybridMultilevel"/>
    <w:tmpl w:val="72230678"/>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451">
    <w:nsid w:val="72230679"/>
    <w:multiLevelType w:val="hybridMultilevel"/>
    <w:tmpl w:val="72230679"/>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452">
    <w:nsid w:val="7223067A"/>
    <w:multiLevelType w:val="hybridMultilevel"/>
    <w:tmpl w:val="7223067A"/>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453">
    <w:nsid w:val="7223067B"/>
    <w:multiLevelType w:val="hybridMultilevel"/>
    <w:tmpl w:val="7223067B"/>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454">
    <w:nsid w:val="7223067C"/>
    <w:multiLevelType w:val="hybridMultilevel"/>
    <w:tmpl w:val="7223067C"/>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455">
    <w:nsid w:val="7223067D"/>
    <w:multiLevelType w:val="hybridMultilevel"/>
    <w:tmpl w:val="7223067D"/>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456">
    <w:nsid w:val="7223067E"/>
    <w:multiLevelType w:val="hybridMultilevel"/>
    <w:tmpl w:val="7223067E"/>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457">
    <w:nsid w:val="7223067F"/>
    <w:multiLevelType w:val="hybridMultilevel"/>
    <w:tmpl w:val="7223067F"/>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458">
    <w:nsid w:val="72230680"/>
    <w:multiLevelType w:val="hybridMultilevel"/>
    <w:tmpl w:val="72230680"/>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459">
    <w:nsid w:val="72230681"/>
    <w:multiLevelType w:val="hybridMultilevel"/>
    <w:tmpl w:val="72230681"/>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460">
    <w:nsid w:val="72230682"/>
    <w:multiLevelType w:val="hybridMultilevel"/>
    <w:tmpl w:val="72230682"/>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461">
    <w:nsid w:val="72230683"/>
    <w:multiLevelType w:val="hybridMultilevel"/>
    <w:tmpl w:val="72230683"/>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462">
    <w:nsid w:val="72230684"/>
    <w:multiLevelType w:val="hybridMultilevel"/>
    <w:tmpl w:val="72230684"/>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463">
    <w:nsid w:val="72230685"/>
    <w:multiLevelType w:val="hybridMultilevel"/>
    <w:tmpl w:val="72230685"/>
    <w:lvl w:ilvl="0" w:tplc="FFFFFFFF">
      <w:start w:val="1"/>
      <w:numFmt w:val="bullet"/>
      <w:lvlText w:val=""/>
      <w:lvlJc w:val="left"/>
      <w:pPr>
        <w:tabs>
          <w:tab w:val="num" w:pos="720"/>
        </w:tabs>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464">
    <w:nsid w:val="72230686"/>
    <w:multiLevelType w:val="hybridMultilevel"/>
    <w:tmpl w:val="72230686"/>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465">
    <w:nsid w:val="72230687"/>
    <w:multiLevelType w:val="hybridMultilevel"/>
    <w:tmpl w:val="72230687"/>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466">
    <w:nsid w:val="72230688"/>
    <w:multiLevelType w:val="hybridMultilevel"/>
    <w:tmpl w:val="72230688"/>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467">
    <w:nsid w:val="72230689"/>
    <w:multiLevelType w:val="hybridMultilevel"/>
    <w:tmpl w:val="72230689"/>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468">
    <w:nsid w:val="7223068A"/>
    <w:multiLevelType w:val="hybridMultilevel"/>
    <w:tmpl w:val="7223068A"/>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469">
    <w:nsid w:val="7223068B"/>
    <w:multiLevelType w:val="hybridMultilevel"/>
    <w:tmpl w:val="7223068B"/>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470">
    <w:nsid w:val="7223068C"/>
    <w:multiLevelType w:val="hybridMultilevel"/>
    <w:tmpl w:val="7223068C"/>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471">
    <w:nsid w:val="7223068D"/>
    <w:multiLevelType w:val="hybridMultilevel"/>
    <w:tmpl w:val="7223068D"/>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472">
    <w:nsid w:val="7223068E"/>
    <w:multiLevelType w:val="hybridMultilevel"/>
    <w:tmpl w:val="7223068E"/>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473">
    <w:nsid w:val="7223068F"/>
    <w:multiLevelType w:val="hybridMultilevel"/>
    <w:tmpl w:val="7223068F"/>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474">
    <w:nsid w:val="72230690"/>
    <w:multiLevelType w:val="hybridMultilevel"/>
    <w:tmpl w:val="72230690"/>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475">
    <w:nsid w:val="72230691"/>
    <w:multiLevelType w:val="hybridMultilevel"/>
    <w:tmpl w:val="72230691"/>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476">
    <w:nsid w:val="72230692"/>
    <w:multiLevelType w:val="hybridMultilevel"/>
    <w:tmpl w:val="72230692"/>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477">
    <w:nsid w:val="72230693"/>
    <w:multiLevelType w:val="hybridMultilevel"/>
    <w:tmpl w:val="72230693"/>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478">
    <w:nsid w:val="72230694"/>
    <w:multiLevelType w:val="hybridMultilevel"/>
    <w:tmpl w:val="72230694"/>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479">
    <w:nsid w:val="72230695"/>
    <w:multiLevelType w:val="hybridMultilevel"/>
    <w:tmpl w:val="72230695"/>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480">
    <w:nsid w:val="72230696"/>
    <w:multiLevelType w:val="hybridMultilevel"/>
    <w:tmpl w:val="72230696"/>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481">
    <w:nsid w:val="72230697"/>
    <w:multiLevelType w:val="hybridMultilevel"/>
    <w:tmpl w:val="72230697"/>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482">
    <w:nsid w:val="72230698"/>
    <w:multiLevelType w:val="hybridMultilevel"/>
    <w:tmpl w:val="72230698"/>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483">
    <w:nsid w:val="72230699"/>
    <w:multiLevelType w:val="hybridMultilevel"/>
    <w:tmpl w:val="72230699"/>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484">
    <w:nsid w:val="7223069A"/>
    <w:multiLevelType w:val="hybridMultilevel"/>
    <w:tmpl w:val="7223069A"/>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485">
    <w:nsid w:val="7223069B"/>
    <w:multiLevelType w:val="hybridMultilevel"/>
    <w:tmpl w:val="7223069B"/>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486">
    <w:nsid w:val="7223069C"/>
    <w:multiLevelType w:val="hybridMultilevel"/>
    <w:tmpl w:val="7223069C"/>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487">
    <w:nsid w:val="7223069D"/>
    <w:multiLevelType w:val="hybridMultilevel"/>
    <w:tmpl w:val="7223069D"/>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488">
    <w:nsid w:val="7223069E"/>
    <w:multiLevelType w:val="hybridMultilevel"/>
    <w:tmpl w:val="7223069E"/>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489">
    <w:nsid w:val="7223069F"/>
    <w:multiLevelType w:val="hybridMultilevel"/>
    <w:tmpl w:val="7223069F"/>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490">
    <w:nsid w:val="722306A0"/>
    <w:multiLevelType w:val="hybridMultilevel"/>
    <w:tmpl w:val="722306A0"/>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491">
    <w:nsid w:val="722306A1"/>
    <w:multiLevelType w:val="hybridMultilevel"/>
    <w:tmpl w:val="722306A1"/>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492">
    <w:nsid w:val="722306A2"/>
    <w:multiLevelType w:val="hybridMultilevel"/>
    <w:tmpl w:val="722306A2"/>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493">
    <w:nsid w:val="722306A3"/>
    <w:multiLevelType w:val="hybridMultilevel"/>
    <w:tmpl w:val="722306A3"/>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494">
    <w:nsid w:val="722306A4"/>
    <w:multiLevelType w:val="hybridMultilevel"/>
    <w:tmpl w:val="722306A4"/>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495">
    <w:nsid w:val="722306A5"/>
    <w:multiLevelType w:val="hybridMultilevel"/>
    <w:tmpl w:val="722306A5"/>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496">
    <w:nsid w:val="722306A6"/>
    <w:multiLevelType w:val="hybridMultilevel"/>
    <w:tmpl w:val="722306A6"/>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497">
    <w:nsid w:val="722306A7"/>
    <w:multiLevelType w:val="hybridMultilevel"/>
    <w:tmpl w:val="722306A7"/>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498">
    <w:nsid w:val="722306A8"/>
    <w:multiLevelType w:val="hybridMultilevel"/>
    <w:tmpl w:val="722306A8"/>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499">
    <w:nsid w:val="722306A9"/>
    <w:multiLevelType w:val="hybridMultilevel"/>
    <w:tmpl w:val="722306A9"/>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500">
    <w:nsid w:val="722306AA"/>
    <w:multiLevelType w:val="hybridMultilevel"/>
    <w:tmpl w:val="722306AA"/>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501">
    <w:nsid w:val="722306AB"/>
    <w:multiLevelType w:val="hybridMultilevel"/>
    <w:tmpl w:val="722306AB"/>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502">
    <w:nsid w:val="722306AC"/>
    <w:multiLevelType w:val="hybridMultilevel"/>
    <w:tmpl w:val="722306AC"/>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503">
    <w:nsid w:val="722306AD"/>
    <w:multiLevelType w:val="hybridMultilevel"/>
    <w:tmpl w:val="722306AD"/>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504">
    <w:nsid w:val="722306AE"/>
    <w:multiLevelType w:val="hybridMultilevel"/>
    <w:tmpl w:val="722306AE"/>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505">
    <w:nsid w:val="722306AF"/>
    <w:multiLevelType w:val="hybridMultilevel"/>
    <w:tmpl w:val="722306AF"/>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506">
    <w:nsid w:val="722306B0"/>
    <w:multiLevelType w:val="hybridMultilevel"/>
    <w:tmpl w:val="722306B0"/>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507">
    <w:nsid w:val="722306B1"/>
    <w:multiLevelType w:val="hybridMultilevel"/>
    <w:tmpl w:val="722306B1"/>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508">
    <w:nsid w:val="722306B2"/>
    <w:multiLevelType w:val="hybridMultilevel"/>
    <w:tmpl w:val="722306B2"/>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509">
    <w:nsid w:val="722306B3"/>
    <w:multiLevelType w:val="hybridMultilevel"/>
    <w:tmpl w:val="722306B3"/>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510">
    <w:nsid w:val="722306B4"/>
    <w:multiLevelType w:val="hybridMultilevel"/>
    <w:tmpl w:val="722306B4"/>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511">
    <w:nsid w:val="722306B5"/>
    <w:multiLevelType w:val="hybridMultilevel"/>
    <w:tmpl w:val="722306B5"/>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512">
    <w:nsid w:val="722306B6"/>
    <w:multiLevelType w:val="hybridMultilevel"/>
    <w:tmpl w:val="722306B6"/>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513">
    <w:nsid w:val="722306B7"/>
    <w:multiLevelType w:val="hybridMultilevel"/>
    <w:tmpl w:val="722306B7"/>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514">
    <w:nsid w:val="722306B8"/>
    <w:multiLevelType w:val="hybridMultilevel"/>
    <w:tmpl w:val="722306B8"/>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515">
    <w:nsid w:val="722306B9"/>
    <w:multiLevelType w:val="hybridMultilevel"/>
    <w:tmpl w:val="722306B9"/>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516">
    <w:nsid w:val="722306BA"/>
    <w:multiLevelType w:val="hybridMultilevel"/>
    <w:tmpl w:val="722306BA"/>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517">
    <w:nsid w:val="722306BB"/>
    <w:multiLevelType w:val="hybridMultilevel"/>
    <w:tmpl w:val="722306BB"/>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518">
    <w:nsid w:val="722306BC"/>
    <w:multiLevelType w:val="hybridMultilevel"/>
    <w:tmpl w:val="722306BC"/>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519">
    <w:nsid w:val="722306BD"/>
    <w:multiLevelType w:val="hybridMultilevel"/>
    <w:tmpl w:val="722306BD"/>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520">
    <w:nsid w:val="722306BE"/>
    <w:multiLevelType w:val="hybridMultilevel"/>
    <w:tmpl w:val="722306BE"/>
    <w:lvl w:ilvl="0" w:tplc="FFFFFFFF">
      <w:start w:val="1"/>
      <w:numFmt w:val="bullet"/>
      <w:lvlText w:val=""/>
      <w:lvlJc w:val="left"/>
      <w:pPr>
        <w:tabs>
          <w:tab w:val="num" w:pos="720"/>
        </w:tabs>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521">
    <w:nsid w:val="722306BF"/>
    <w:multiLevelType w:val="hybridMultilevel"/>
    <w:tmpl w:val="722306BF"/>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522">
    <w:nsid w:val="722306C0"/>
    <w:multiLevelType w:val="hybridMultilevel"/>
    <w:tmpl w:val="722306C0"/>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523">
    <w:nsid w:val="722306C1"/>
    <w:multiLevelType w:val="hybridMultilevel"/>
    <w:tmpl w:val="722306C1"/>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524">
    <w:nsid w:val="722306C2"/>
    <w:multiLevelType w:val="hybridMultilevel"/>
    <w:tmpl w:val="722306C2"/>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525">
    <w:nsid w:val="722306C3"/>
    <w:multiLevelType w:val="hybridMultilevel"/>
    <w:tmpl w:val="722306C3"/>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526">
    <w:nsid w:val="722306C4"/>
    <w:multiLevelType w:val="hybridMultilevel"/>
    <w:tmpl w:val="722306C4"/>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527">
    <w:nsid w:val="722306C5"/>
    <w:multiLevelType w:val="hybridMultilevel"/>
    <w:tmpl w:val="722306C5"/>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528">
    <w:nsid w:val="722306C6"/>
    <w:multiLevelType w:val="hybridMultilevel"/>
    <w:tmpl w:val="722306C6"/>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529">
    <w:nsid w:val="722306C7"/>
    <w:multiLevelType w:val="hybridMultilevel"/>
    <w:tmpl w:val="722306C7"/>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530">
    <w:nsid w:val="722306C8"/>
    <w:multiLevelType w:val="hybridMultilevel"/>
    <w:tmpl w:val="722306C8"/>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531">
    <w:nsid w:val="722306C9"/>
    <w:multiLevelType w:val="hybridMultilevel"/>
    <w:tmpl w:val="722306C9"/>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532">
    <w:nsid w:val="722306CA"/>
    <w:multiLevelType w:val="hybridMultilevel"/>
    <w:tmpl w:val="722306CA"/>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533">
    <w:nsid w:val="722306CB"/>
    <w:multiLevelType w:val="hybridMultilevel"/>
    <w:tmpl w:val="722306CB"/>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534">
    <w:nsid w:val="722306CC"/>
    <w:multiLevelType w:val="hybridMultilevel"/>
    <w:tmpl w:val="722306CC"/>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535">
    <w:nsid w:val="722306CD"/>
    <w:multiLevelType w:val="hybridMultilevel"/>
    <w:tmpl w:val="722306CD"/>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536">
    <w:nsid w:val="722306CE"/>
    <w:multiLevelType w:val="hybridMultilevel"/>
    <w:tmpl w:val="722306CE"/>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537">
    <w:nsid w:val="722306CF"/>
    <w:multiLevelType w:val="hybridMultilevel"/>
    <w:tmpl w:val="722306CF"/>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538">
    <w:nsid w:val="722306D0"/>
    <w:multiLevelType w:val="hybridMultilevel"/>
    <w:tmpl w:val="722306D0"/>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539">
    <w:nsid w:val="722306D1"/>
    <w:multiLevelType w:val="hybridMultilevel"/>
    <w:tmpl w:val="722306D1"/>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540">
    <w:nsid w:val="722306D2"/>
    <w:multiLevelType w:val="hybridMultilevel"/>
    <w:tmpl w:val="722306D2"/>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541">
    <w:nsid w:val="722306D3"/>
    <w:multiLevelType w:val="hybridMultilevel"/>
    <w:tmpl w:val="722306D3"/>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542">
    <w:nsid w:val="722306D4"/>
    <w:multiLevelType w:val="hybridMultilevel"/>
    <w:tmpl w:val="722306D4"/>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543">
    <w:nsid w:val="722306D5"/>
    <w:multiLevelType w:val="hybridMultilevel"/>
    <w:tmpl w:val="722306D5"/>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544">
    <w:nsid w:val="722306D6"/>
    <w:multiLevelType w:val="hybridMultilevel"/>
    <w:tmpl w:val="722306D6"/>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545">
    <w:nsid w:val="722306D7"/>
    <w:multiLevelType w:val="hybridMultilevel"/>
    <w:tmpl w:val="722306D7"/>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546">
    <w:nsid w:val="722306D8"/>
    <w:multiLevelType w:val="hybridMultilevel"/>
    <w:tmpl w:val="722306D8"/>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547">
    <w:nsid w:val="722306D9"/>
    <w:multiLevelType w:val="hybridMultilevel"/>
    <w:tmpl w:val="722306D9"/>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548">
    <w:nsid w:val="722306DA"/>
    <w:multiLevelType w:val="hybridMultilevel"/>
    <w:tmpl w:val="722306DA"/>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549">
    <w:nsid w:val="722306DB"/>
    <w:multiLevelType w:val="hybridMultilevel"/>
    <w:tmpl w:val="722306DB"/>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550">
    <w:nsid w:val="722306DC"/>
    <w:multiLevelType w:val="hybridMultilevel"/>
    <w:tmpl w:val="722306DC"/>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551">
    <w:nsid w:val="722306DD"/>
    <w:multiLevelType w:val="hybridMultilevel"/>
    <w:tmpl w:val="722306DD"/>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552">
    <w:nsid w:val="722306DE"/>
    <w:multiLevelType w:val="hybridMultilevel"/>
    <w:tmpl w:val="722306DE"/>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553">
    <w:nsid w:val="722306DF"/>
    <w:multiLevelType w:val="hybridMultilevel"/>
    <w:tmpl w:val="722306DF"/>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554">
    <w:nsid w:val="722306E0"/>
    <w:multiLevelType w:val="hybridMultilevel"/>
    <w:tmpl w:val="722306E0"/>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555">
    <w:nsid w:val="722306E1"/>
    <w:multiLevelType w:val="hybridMultilevel"/>
    <w:tmpl w:val="722306E1"/>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556">
    <w:nsid w:val="722306E2"/>
    <w:multiLevelType w:val="hybridMultilevel"/>
    <w:tmpl w:val="722306E2"/>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557">
    <w:nsid w:val="722306E3"/>
    <w:multiLevelType w:val="hybridMultilevel"/>
    <w:tmpl w:val="722306E3"/>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558">
    <w:nsid w:val="722306E4"/>
    <w:multiLevelType w:val="hybridMultilevel"/>
    <w:tmpl w:val="722306E4"/>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559">
    <w:nsid w:val="722306E5"/>
    <w:multiLevelType w:val="hybridMultilevel"/>
    <w:tmpl w:val="722306E5"/>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560">
    <w:nsid w:val="722306E6"/>
    <w:multiLevelType w:val="hybridMultilevel"/>
    <w:tmpl w:val="722306E6"/>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561">
    <w:nsid w:val="722306E7"/>
    <w:multiLevelType w:val="hybridMultilevel"/>
    <w:tmpl w:val="722306E7"/>
    <w:lvl w:ilvl="0" w:tplc="FFFFFFFF">
      <w:start w:val="1"/>
      <w:numFmt w:val="bullet"/>
      <w:lvlText w:val=""/>
      <w:lvlJc w:val="left"/>
      <w:pPr>
        <w:tabs>
          <w:tab w:val="num" w:pos="720"/>
        </w:tabs>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562">
    <w:nsid w:val="722306E8"/>
    <w:multiLevelType w:val="hybridMultilevel"/>
    <w:tmpl w:val="722306E8"/>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563">
    <w:nsid w:val="722306E9"/>
    <w:multiLevelType w:val="hybridMultilevel"/>
    <w:tmpl w:val="722306E9"/>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564">
    <w:nsid w:val="722306EA"/>
    <w:multiLevelType w:val="hybridMultilevel"/>
    <w:tmpl w:val="722306EA"/>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565">
    <w:nsid w:val="722306EB"/>
    <w:multiLevelType w:val="hybridMultilevel"/>
    <w:tmpl w:val="722306EB"/>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566">
    <w:nsid w:val="722306EC"/>
    <w:multiLevelType w:val="hybridMultilevel"/>
    <w:tmpl w:val="722306EC"/>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567">
    <w:nsid w:val="722306ED"/>
    <w:multiLevelType w:val="hybridMultilevel"/>
    <w:tmpl w:val="722306ED"/>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568">
    <w:nsid w:val="722306EE"/>
    <w:multiLevelType w:val="hybridMultilevel"/>
    <w:tmpl w:val="722306EE"/>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569">
    <w:nsid w:val="722306EF"/>
    <w:multiLevelType w:val="hybridMultilevel"/>
    <w:tmpl w:val="722306EF"/>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570">
    <w:nsid w:val="722306F0"/>
    <w:multiLevelType w:val="hybridMultilevel"/>
    <w:tmpl w:val="722306F0"/>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571">
    <w:nsid w:val="722306F1"/>
    <w:multiLevelType w:val="hybridMultilevel"/>
    <w:tmpl w:val="722306F1"/>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572">
    <w:nsid w:val="722306F2"/>
    <w:multiLevelType w:val="hybridMultilevel"/>
    <w:tmpl w:val="722306F2"/>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573">
    <w:nsid w:val="722306F3"/>
    <w:multiLevelType w:val="hybridMultilevel"/>
    <w:tmpl w:val="722306F3"/>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574">
    <w:nsid w:val="722306F4"/>
    <w:multiLevelType w:val="hybridMultilevel"/>
    <w:tmpl w:val="722306F4"/>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575">
    <w:nsid w:val="722306F5"/>
    <w:multiLevelType w:val="hybridMultilevel"/>
    <w:tmpl w:val="722306F5"/>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576">
    <w:nsid w:val="722306F6"/>
    <w:multiLevelType w:val="hybridMultilevel"/>
    <w:tmpl w:val="722306F6"/>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577">
    <w:nsid w:val="722306F7"/>
    <w:multiLevelType w:val="hybridMultilevel"/>
    <w:tmpl w:val="722306F7"/>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578">
    <w:nsid w:val="722306F8"/>
    <w:multiLevelType w:val="hybridMultilevel"/>
    <w:tmpl w:val="722306F8"/>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579">
    <w:nsid w:val="722306F9"/>
    <w:multiLevelType w:val="hybridMultilevel"/>
    <w:tmpl w:val="722306F9"/>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580">
    <w:nsid w:val="722306FA"/>
    <w:multiLevelType w:val="hybridMultilevel"/>
    <w:tmpl w:val="722306FA"/>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581">
    <w:nsid w:val="722306FB"/>
    <w:multiLevelType w:val="hybridMultilevel"/>
    <w:tmpl w:val="722306FB"/>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582">
    <w:nsid w:val="722306FC"/>
    <w:multiLevelType w:val="hybridMultilevel"/>
    <w:tmpl w:val="722306FC"/>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583">
    <w:nsid w:val="722306FD"/>
    <w:multiLevelType w:val="hybridMultilevel"/>
    <w:tmpl w:val="722306FD"/>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584">
    <w:nsid w:val="722306FE"/>
    <w:multiLevelType w:val="hybridMultilevel"/>
    <w:tmpl w:val="722306FE"/>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585">
    <w:nsid w:val="722306FF"/>
    <w:multiLevelType w:val="hybridMultilevel"/>
    <w:tmpl w:val="722306FF"/>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586">
    <w:nsid w:val="72230700"/>
    <w:multiLevelType w:val="hybridMultilevel"/>
    <w:tmpl w:val="72230700"/>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587">
    <w:nsid w:val="72230701"/>
    <w:multiLevelType w:val="hybridMultilevel"/>
    <w:tmpl w:val="72230701"/>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588">
    <w:nsid w:val="72230702"/>
    <w:multiLevelType w:val="hybridMultilevel"/>
    <w:tmpl w:val="72230702"/>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589">
    <w:nsid w:val="72230703"/>
    <w:multiLevelType w:val="hybridMultilevel"/>
    <w:tmpl w:val="72230703"/>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590">
    <w:nsid w:val="72230704"/>
    <w:multiLevelType w:val="hybridMultilevel"/>
    <w:tmpl w:val="72230704"/>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591">
    <w:nsid w:val="72230705"/>
    <w:multiLevelType w:val="hybridMultilevel"/>
    <w:tmpl w:val="72230705"/>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592">
    <w:nsid w:val="72230706"/>
    <w:multiLevelType w:val="hybridMultilevel"/>
    <w:tmpl w:val="72230706"/>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593">
    <w:nsid w:val="72230707"/>
    <w:multiLevelType w:val="hybridMultilevel"/>
    <w:tmpl w:val="72230707"/>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594">
    <w:nsid w:val="72230708"/>
    <w:multiLevelType w:val="hybridMultilevel"/>
    <w:tmpl w:val="72230708"/>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595">
    <w:nsid w:val="72230709"/>
    <w:multiLevelType w:val="hybridMultilevel"/>
    <w:tmpl w:val="72230709"/>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596">
    <w:nsid w:val="7223070A"/>
    <w:multiLevelType w:val="hybridMultilevel"/>
    <w:tmpl w:val="7223070A"/>
    <w:lvl w:ilvl="0" w:tplc="FFFFFFFF">
      <w:start w:val="1"/>
      <w:numFmt w:val="bullet"/>
      <w:lvlText w:val=""/>
      <w:lvlJc w:val="left"/>
      <w:pPr>
        <w:tabs>
          <w:tab w:val="num" w:pos="720"/>
        </w:tabs>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597">
    <w:nsid w:val="7223070B"/>
    <w:multiLevelType w:val="hybridMultilevel"/>
    <w:tmpl w:val="7223070B"/>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598">
    <w:nsid w:val="7223070C"/>
    <w:multiLevelType w:val="hybridMultilevel"/>
    <w:tmpl w:val="7223070C"/>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599">
    <w:nsid w:val="7223070D"/>
    <w:multiLevelType w:val="hybridMultilevel"/>
    <w:tmpl w:val="7223070D"/>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600">
    <w:nsid w:val="7223070E"/>
    <w:multiLevelType w:val="hybridMultilevel"/>
    <w:tmpl w:val="7223070E"/>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601">
    <w:nsid w:val="7223070F"/>
    <w:multiLevelType w:val="hybridMultilevel"/>
    <w:tmpl w:val="7223070F"/>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602">
    <w:nsid w:val="72230710"/>
    <w:multiLevelType w:val="hybridMultilevel"/>
    <w:tmpl w:val="72230710"/>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603">
    <w:nsid w:val="72230711"/>
    <w:multiLevelType w:val="hybridMultilevel"/>
    <w:tmpl w:val="72230711"/>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604">
    <w:nsid w:val="72230712"/>
    <w:multiLevelType w:val="hybridMultilevel"/>
    <w:tmpl w:val="72230712"/>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605">
    <w:nsid w:val="72230713"/>
    <w:multiLevelType w:val="hybridMultilevel"/>
    <w:tmpl w:val="72230713"/>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606">
    <w:nsid w:val="72230714"/>
    <w:multiLevelType w:val="hybridMultilevel"/>
    <w:tmpl w:val="72230714"/>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607">
    <w:nsid w:val="72230715"/>
    <w:multiLevelType w:val="hybridMultilevel"/>
    <w:tmpl w:val="72230715"/>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608">
    <w:nsid w:val="72230716"/>
    <w:multiLevelType w:val="hybridMultilevel"/>
    <w:tmpl w:val="72230716"/>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609">
    <w:nsid w:val="72230717"/>
    <w:multiLevelType w:val="hybridMultilevel"/>
    <w:tmpl w:val="72230717"/>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610">
    <w:nsid w:val="72230718"/>
    <w:multiLevelType w:val="hybridMultilevel"/>
    <w:tmpl w:val="72230718"/>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611">
    <w:nsid w:val="72230719"/>
    <w:multiLevelType w:val="hybridMultilevel"/>
    <w:tmpl w:val="72230719"/>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612">
    <w:nsid w:val="7223071A"/>
    <w:multiLevelType w:val="hybridMultilevel"/>
    <w:tmpl w:val="7223071A"/>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613">
    <w:nsid w:val="7223071B"/>
    <w:multiLevelType w:val="hybridMultilevel"/>
    <w:tmpl w:val="7223071B"/>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614">
    <w:nsid w:val="7223071C"/>
    <w:multiLevelType w:val="hybridMultilevel"/>
    <w:tmpl w:val="7223071C"/>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615">
    <w:nsid w:val="7223071D"/>
    <w:multiLevelType w:val="hybridMultilevel"/>
    <w:tmpl w:val="7223071D"/>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616">
    <w:nsid w:val="7223071E"/>
    <w:multiLevelType w:val="hybridMultilevel"/>
    <w:tmpl w:val="7223071E"/>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617">
    <w:nsid w:val="7223071F"/>
    <w:multiLevelType w:val="hybridMultilevel"/>
    <w:tmpl w:val="7223071F"/>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618">
    <w:nsid w:val="72230720"/>
    <w:multiLevelType w:val="hybridMultilevel"/>
    <w:tmpl w:val="72230720"/>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619">
    <w:nsid w:val="72230721"/>
    <w:multiLevelType w:val="hybridMultilevel"/>
    <w:tmpl w:val="72230721"/>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620">
    <w:nsid w:val="72230722"/>
    <w:multiLevelType w:val="hybridMultilevel"/>
    <w:tmpl w:val="72230722"/>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621">
    <w:nsid w:val="72230723"/>
    <w:multiLevelType w:val="hybridMultilevel"/>
    <w:tmpl w:val="72230723"/>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622">
    <w:nsid w:val="72230724"/>
    <w:multiLevelType w:val="hybridMultilevel"/>
    <w:tmpl w:val="72230724"/>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623">
    <w:nsid w:val="72230725"/>
    <w:multiLevelType w:val="hybridMultilevel"/>
    <w:tmpl w:val="72230725"/>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624">
    <w:nsid w:val="72230726"/>
    <w:multiLevelType w:val="hybridMultilevel"/>
    <w:tmpl w:val="72230726"/>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625">
    <w:nsid w:val="72230727"/>
    <w:multiLevelType w:val="hybridMultilevel"/>
    <w:tmpl w:val="72230727"/>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626">
    <w:nsid w:val="72230728"/>
    <w:multiLevelType w:val="hybridMultilevel"/>
    <w:tmpl w:val="72230728"/>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627">
    <w:nsid w:val="72230729"/>
    <w:multiLevelType w:val="hybridMultilevel"/>
    <w:tmpl w:val="72230729"/>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628">
    <w:nsid w:val="7223072A"/>
    <w:multiLevelType w:val="hybridMultilevel"/>
    <w:tmpl w:val="7223072A"/>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629">
    <w:nsid w:val="7223072B"/>
    <w:multiLevelType w:val="hybridMultilevel"/>
    <w:tmpl w:val="7223072B"/>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630">
    <w:nsid w:val="7223072C"/>
    <w:multiLevelType w:val="hybridMultilevel"/>
    <w:tmpl w:val="7223072C"/>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631">
    <w:nsid w:val="7223072D"/>
    <w:multiLevelType w:val="hybridMultilevel"/>
    <w:tmpl w:val="7223072D"/>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632">
    <w:nsid w:val="7223072E"/>
    <w:multiLevelType w:val="hybridMultilevel"/>
    <w:tmpl w:val="7223072E"/>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633">
    <w:nsid w:val="7223072F"/>
    <w:multiLevelType w:val="hybridMultilevel"/>
    <w:tmpl w:val="7223072F"/>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634">
    <w:nsid w:val="72230730"/>
    <w:multiLevelType w:val="hybridMultilevel"/>
    <w:tmpl w:val="72230730"/>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635">
    <w:nsid w:val="72230731"/>
    <w:multiLevelType w:val="hybridMultilevel"/>
    <w:tmpl w:val="72230731"/>
    <w:lvl w:ilvl="0" w:tplc="FFFFFFFF">
      <w:start w:val="1"/>
      <w:numFmt w:val="bullet"/>
      <w:lvlText w:val=""/>
      <w:lvlJc w:val="left"/>
      <w:pPr>
        <w:tabs>
          <w:tab w:val="num" w:pos="720"/>
        </w:tabs>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636">
    <w:nsid w:val="72230732"/>
    <w:multiLevelType w:val="hybridMultilevel"/>
    <w:tmpl w:val="72230732"/>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637">
    <w:nsid w:val="72230733"/>
    <w:multiLevelType w:val="hybridMultilevel"/>
    <w:tmpl w:val="72230733"/>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638">
    <w:nsid w:val="72230734"/>
    <w:multiLevelType w:val="hybridMultilevel"/>
    <w:tmpl w:val="72230734"/>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639">
    <w:nsid w:val="72230735"/>
    <w:multiLevelType w:val="hybridMultilevel"/>
    <w:tmpl w:val="72230735"/>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640">
    <w:nsid w:val="72230736"/>
    <w:multiLevelType w:val="hybridMultilevel"/>
    <w:tmpl w:val="72230736"/>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641">
    <w:nsid w:val="72230737"/>
    <w:multiLevelType w:val="hybridMultilevel"/>
    <w:tmpl w:val="72230737"/>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642">
    <w:nsid w:val="72230738"/>
    <w:multiLevelType w:val="hybridMultilevel"/>
    <w:tmpl w:val="72230738"/>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643">
    <w:nsid w:val="72230739"/>
    <w:multiLevelType w:val="hybridMultilevel"/>
    <w:tmpl w:val="72230739"/>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644">
    <w:nsid w:val="7223073A"/>
    <w:multiLevelType w:val="hybridMultilevel"/>
    <w:tmpl w:val="7223073A"/>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645">
    <w:nsid w:val="7223073B"/>
    <w:multiLevelType w:val="hybridMultilevel"/>
    <w:tmpl w:val="7223073B"/>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646">
    <w:nsid w:val="7223073C"/>
    <w:multiLevelType w:val="hybridMultilevel"/>
    <w:tmpl w:val="7223073C"/>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647">
    <w:nsid w:val="7223073D"/>
    <w:multiLevelType w:val="hybridMultilevel"/>
    <w:tmpl w:val="7223073D"/>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648">
    <w:nsid w:val="7223073E"/>
    <w:multiLevelType w:val="hybridMultilevel"/>
    <w:tmpl w:val="7223073E"/>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649">
    <w:nsid w:val="7223073F"/>
    <w:multiLevelType w:val="hybridMultilevel"/>
    <w:tmpl w:val="7223073F"/>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650">
    <w:nsid w:val="72230740"/>
    <w:multiLevelType w:val="hybridMultilevel"/>
    <w:tmpl w:val="72230740"/>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651">
    <w:nsid w:val="72230741"/>
    <w:multiLevelType w:val="hybridMultilevel"/>
    <w:tmpl w:val="72230741"/>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652">
    <w:nsid w:val="72230742"/>
    <w:multiLevelType w:val="hybridMultilevel"/>
    <w:tmpl w:val="72230742"/>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653">
    <w:nsid w:val="72230743"/>
    <w:multiLevelType w:val="hybridMultilevel"/>
    <w:tmpl w:val="72230743"/>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654">
    <w:nsid w:val="72230744"/>
    <w:multiLevelType w:val="hybridMultilevel"/>
    <w:tmpl w:val="72230744"/>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655">
    <w:nsid w:val="72230745"/>
    <w:multiLevelType w:val="hybridMultilevel"/>
    <w:tmpl w:val="72230745"/>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656">
    <w:nsid w:val="72230746"/>
    <w:multiLevelType w:val="hybridMultilevel"/>
    <w:tmpl w:val="72230746"/>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657">
    <w:nsid w:val="72230747"/>
    <w:multiLevelType w:val="hybridMultilevel"/>
    <w:tmpl w:val="72230747"/>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658">
    <w:nsid w:val="72230748"/>
    <w:multiLevelType w:val="hybridMultilevel"/>
    <w:tmpl w:val="72230748"/>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659">
    <w:nsid w:val="72230749"/>
    <w:multiLevelType w:val="hybridMultilevel"/>
    <w:tmpl w:val="72230749"/>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660">
    <w:nsid w:val="7223074A"/>
    <w:multiLevelType w:val="hybridMultilevel"/>
    <w:tmpl w:val="7223074A"/>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661">
    <w:nsid w:val="7223074B"/>
    <w:multiLevelType w:val="hybridMultilevel"/>
    <w:tmpl w:val="7223074B"/>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662">
    <w:nsid w:val="7223074C"/>
    <w:multiLevelType w:val="hybridMultilevel"/>
    <w:tmpl w:val="7223074C"/>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663">
    <w:nsid w:val="7223074D"/>
    <w:multiLevelType w:val="hybridMultilevel"/>
    <w:tmpl w:val="7223074D"/>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664">
    <w:nsid w:val="7223074E"/>
    <w:multiLevelType w:val="hybridMultilevel"/>
    <w:tmpl w:val="7223074E"/>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665">
    <w:nsid w:val="7223074F"/>
    <w:multiLevelType w:val="hybridMultilevel"/>
    <w:tmpl w:val="7223074F"/>
    <w:lvl w:ilvl="0" w:tplc="FFFFFFFF">
      <w:start w:val="1"/>
      <w:numFmt w:val="bullet"/>
      <w:lvlText w:val=""/>
      <w:lvlJc w:val="left"/>
      <w:pPr>
        <w:tabs>
          <w:tab w:val="num" w:pos="720"/>
        </w:tabs>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666">
    <w:nsid w:val="72230750"/>
    <w:multiLevelType w:val="hybridMultilevel"/>
    <w:tmpl w:val="72230750"/>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667">
    <w:nsid w:val="72230751"/>
    <w:multiLevelType w:val="hybridMultilevel"/>
    <w:tmpl w:val="72230751"/>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668">
    <w:nsid w:val="72230752"/>
    <w:multiLevelType w:val="hybridMultilevel"/>
    <w:tmpl w:val="72230752"/>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669">
    <w:nsid w:val="72230753"/>
    <w:multiLevelType w:val="hybridMultilevel"/>
    <w:tmpl w:val="72230753"/>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670">
    <w:nsid w:val="72230754"/>
    <w:multiLevelType w:val="hybridMultilevel"/>
    <w:tmpl w:val="72230754"/>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671">
    <w:nsid w:val="72230755"/>
    <w:multiLevelType w:val="hybridMultilevel"/>
    <w:tmpl w:val="72230755"/>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672">
    <w:nsid w:val="72230756"/>
    <w:multiLevelType w:val="hybridMultilevel"/>
    <w:tmpl w:val="72230756"/>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673">
    <w:nsid w:val="72230757"/>
    <w:multiLevelType w:val="hybridMultilevel"/>
    <w:tmpl w:val="72230757"/>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674">
    <w:nsid w:val="72230758"/>
    <w:multiLevelType w:val="hybridMultilevel"/>
    <w:tmpl w:val="72230758"/>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675">
    <w:nsid w:val="72230759"/>
    <w:multiLevelType w:val="hybridMultilevel"/>
    <w:tmpl w:val="72230759"/>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676">
    <w:nsid w:val="7223075A"/>
    <w:multiLevelType w:val="hybridMultilevel"/>
    <w:tmpl w:val="7223075A"/>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677">
    <w:nsid w:val="7223075B"/>
    <w:multiLevelType w:val="hybridMultilevel"/>
    <w:tmpl w:val="7223075B"/>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678">
    <w:nsid w:val="7223075C"/>
    <w:multiLevelType w:val="hybridMultilevel"/>
    <w:tmpl w:val="7223075C"/>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679">
    <w:nsid w:val="7223075D"/>
    <w:multiLevelType w:val="hybridMultilevel"/>
    <w:tmpl w:val="7223075D"/>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680">
    <w:nsid w:val="7223075E"/>
    <w:multiLevelType w:val="hybridMultilevel"/>
    <w:tmpl w:val="7223075E"/>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681">
    <w:nsid w:val="7223075F"/>
    <w:multiLevelType w:val="hybridMultilevel"/>
    <w:tmpl w:val="7223075F"/>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682">
    <w:nsid w:val="72230760"/>
    <w:multiLevelType w:val="hybridMultilevel"/>
    <w:tmpl w:val="72230760"/>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683">
    <w:nsid w:val="72230761"/>
    <w:multiLevelType w:val="hybridMultilevel"/>
    <w:tmpl w:val="72230761"/>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684">
    <w:nsid w:val="72230762"/>
    <w:multiLevelType w:val="hybridMultilevel"/>
    <w:tmpl w:val="72230762"/>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685">
    <w:nsid w:val="72230763"/>
    <w:multiLevelType w:val="hybridMultilevel"/>
    <w:tmpl w:val="72230763"/>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686">
    <w:nsid w:val="72230764"/>
    <w:multiLevelType w:val="hybridMultilevel"/>
    <w:tmpl w:val="72230764"/>
    <w:lvl w:ilvl="0" w:tplc="FFFFFFFF">
      <w:start w:val="1"/>
      <w:numFmt w:val="bullet"/>
      <w:lvlText w:val=""/>
      <w:lvlJc w:val="left"/>
      <w:pPr>
        <w:tabs>
          <w:tab w:val="num" w:pos="720"/>
        </w:tabs>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687">
    <w:nsid w:val="72230765"/>
    <w:multiLevelType w:val="hybridMultilevel"/>
    <w:tmpl w:val="72230765"/>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688">
    <w:nsid w:val="72230766"/>
    <w:multiLevelType w:val="hybridMultilevel"/>
    <w:tmpl w:val="72230766"/>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689">
    <w:nsid w:val="72230767"/>
    <w:multiLevelType w:val="hybridMultilevel"/>
    <w:tmpl w:val="72230767"/>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690">
    <w:nsid w:val="72230768"/>
    <w:multiLevelType w:val="hybridMultilevel"/>
    <w:tmpl w:val="72230768"/>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691">
    <w:nsid w:val="72230769"/>
    <w:multiLevelType w:val="hybridMultilevel"/>
    <w:tmpl w:val="72230769"/>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692">
    <w:nsid w:val="7223076A"/>
    <w:multiLevelType w:val="hybridMultilevel"/>
    <w:tmpl w:val="7223076A"/>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693">
    <w:nsid w:val="7223076B"/>
    <w:multiLevelType w:val="hybridMultilevel"/>
    <w:tmpl w:val="7223076B"/>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694">
    <w:nsid w:val="7223076C"/>
    <w:multiLevelType w:val="hybridMultilevel"/>
    <w:tmpl w:val="7223076C"/>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695">
    <w:nsid w:val="7223076D"/>
    <w:multiLevelType w:val="hybridMultilevel"/>
    <w:tmpl w:val="7223076D"/>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696">
    <w:nsid w:val="7223076E"/>
    <w:multiLevelType w:val="hybridMultilevel"/>
    <w:tmpl w:val="7223076E"/>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697">
    <w:nsid w:val="7223076F"/>
    <w:multiLevelType w:val="hybridMultilevel"/>
    <w:tmpl w:val="7223076F"/>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698">
    <w:nsid w:val="72230770"/>
    <w:multiLevelType w:val="hybridMultilevel"/>
    <w:tmpl w:val="72230770"/>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699">
    <w:nsid w:val="72230771"/>
    <w:multiLevelType w:val="hybridMultilevel"/>
    <w:tmpl w:val="72230771"/>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700">
    <w:nsid w:val="72230772"/>
    <w:multiLevelType w:val="hybridMultilevel"/>
    <w:tmpl w:val="72230772"/>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701">
    <w:nsid w:val="72230773"/>
    <w:multiLevelType w:val="hybridMultilevel"/>
    <w:tmpl w:val="72230773"/>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702">
    <w:nsid w:val="72230774"/>
    <w:multiLevelType w:val="hybridMultilevel"/>
    <w:tmpl w:val="72230774"/>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703">
    <w:nsid w:val="72230775"/>
    <w:multiLevelType w:val="hybridMultilevel"/>
    <w:tmpl w:val="72230775"/>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704">
    <w:nsid w:val="72230776"/>
    <w:multiLevelType w:val="hybridMultilevel"/>
    <w:tmpl w:val="72230776"/>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705">
    <w:nsid w:val="72230777"/>
    <w:multiLevelType w:val="hybridMultilevel"/>
    <w:tmpl w:val="72230777"/>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706">
    <w:nsid w:val="72230778"/>
    <w:multiLevelType w:val="hybridMultilevel"/>
    <w:tmpl w:val="72230778"/>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707">
    <w:nsid w:val="72230779"/>
    <w:multiLevelType w:val="hybridMultilevel"/>
    <w:tmpl w:val="72230779"/>
    <w:lvl w:ilvl="0" w:tplc="FFFFFFFF">
      <w:start w:val="1"/>
      <w:numFmt w:val="bullet"/>
      <w:lvlText w:val=""/>
      <w:lvlJc w:val="left"/>
      <w:pPr>
        <w:tabs>
          <w:tab w:val="num" w:pos="720"/>
        </w:tabs>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708">
    <w:nsid w:val="7223077A"/>
    <w:multiLevelType w:val="hybridMultilevel"/>
    <w:tmpl w:val="7223077A"/>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709">
    <w:nsid w:val="7223077B"/>
    <w:multiLevelType w:val="hybridMultilevel"/>
    <w:tmpl w:val="7223077B"/>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710">
    <w:nsid w:val="7223077C"/>
    <w:multiLevelType w:val="hybridMultilevel"/>
    <w:tmpl w:val="7223077C"/>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711">
    <w:nsid w:val="7223077D"/>
    <w:multiLevelType w:val="hybridMultilevel"/>
    <w:tmpl w:val="7223077D"/>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712">
    <w:nsid w:val="7223077E"/>
    <w:multiLevelType w:val="hybridMultilevel"/>
    <w:tmpl w:val="7223077E"/>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713">
    <w:nsid w:val="7223077F"/>
    <w:multiLevelType w:val="hybridMultilevel"/>
    <w:tmpl w:val="7223077F"/>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714">
    <w:nsid w:val="72230780"/>
    <w:multiLevelType w:val="hybridMultilevel"/>
    <w:tmpl w:val="72230780"/>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715">
    <w:nsid w:val="72230781"/>
    <w:multiLevelType w:val="hybridMultilevel"/>
    <w:tmpl w:val="72230781"/>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716">
    <w:nsid w:val="72230782"/>
    <w:multiLevelType w:val="hybridMultilevel"/>
    <w:tmpl w:val="72230782"/>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717">
    <w:nsid w:val="72230783"/>
    <w:multiLevelType w:val="hybridMultilevel"/>
    <w:tmpl w:val="72230783"/>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718">
    <w:nsid w:val="72230784"/>
    <w:multiLevelType w:val="hybridMultilevel"/>
    <w:tmpl w:val="72230784"/>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719">
    <w:nsid w:val="72230785"/>
    <w:multiLevelType w:val="hybridMultilevel"/>
    <w:tmpl w:val="72230785"/>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720">
    <w:nsid w:val="72230786"/>
    <w:multiLevelType w:val="hybridMultilevel"/>
    <w:tmpl w:val="72230786"/>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721">
    <w:nsid w:val="72230787"/>
    <w:multiLevelType w:val="hybridMultilevel"/>
    <w:tmpl w:val="72230787"/>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722">
    <w:nsid w:val="72230788"/>
    <w:multiLevelType w:val="hybridMultilevel"/>
    <w:tmpl w:val="72230788"/>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723">
    <w:nsid w:val="72230789"/>
    <w:multiLevelType w:val="hybridMultilevel"/>
    <w:tmpl w:val="72230789"/>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724">
    <w:nsid w:val="7223078A"/>
    <w:multiLevelType w:val="hybridMultilevel"/>
    <w:tmpl w:val="7223078A"/>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725">
    <w:nsid w:val="7223078B"/>
    <w:multiLevelType w:val="hybridMultilevel"/>
    <w:tmpl w:val="7223078B"/>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726">
    <w:nsid w:val="7223078C"/>
    <w:multiLevelType w:val="hybridMultilevel"/>
    <w:tmpl w:val="7223078C"/>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727">
    <w:nsid w:val="7223078D"/>
    <w:multiLevelType w:val="hybridMultilevel"/>
    <w:tmpl w:val="7223078D"/>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728">
    <w:nsid w:val="7223078E"/>
    <w:multiLevelType w:val="hybridMultilevel"/>
    <w:tmpl w:val="7223078E"/>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729">
    <w:nsid w:val="7223078F"/>
    <w:multiLevelType w:val="hybridMultilevel"/>
    <w:tmpl w:val="7223078F"/>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730">
    <w:nsid w:val="72230790"/>
    <w:multiLevelType w:val="hybridMultilevel"/>
    <w:tmpl w:val="72230790"/>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731">
    <w:nsid w:val="72230791"/>
    <w:multiLevelType w:val="hybridMultilevel"/>
    <w:tmpl w:val="72230791"/>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732">
    <w:nsid w:val="72230792"/>
    <w:multiLevelType w:val="hybridMultilevel"/>
    <w:tmpl w:val="72230792"/>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733">
    <w:nsid w:val="72230793"/>
    <w:multiLevelType w:val="hybridMultilevel"/>
    <w:tmpl w:val="72230793"/>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734">
    <w:nsid w:val="72230794"/>
    <w:multiLevelType w:val="hybridMultilevel"/>
    <w:tmpl w:val="72230794"/>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735">
    <w:nsid w:val="72230795"/>
    <w:multiLevelType w:val="hybridMultilevel"/>
    <w:tmpl w:val="72230795"/>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736">
    <w:nsid w:val="72230796"/>
    <w:multiLevelType w:val="hybridMultilevel"/>
    <w:tmpl w:val="72230796"/>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737">
    <w:nsid w:val="72230797"/>
    <w:multiLevelType w:val="hybridMultilevel"/>
    <w:tmpl w:val="72230797"/>
    <w:lvl w:ilvl="0" w:tplc="FFFFFFFF">
      <w:start w:val="1"/>
      <w:numFmt w:val="bullet"/>
      <w:lvlText w:val=""/>
      <w:lvlJc w:val="left"/>
      <w:pPr>
        <w:ind w:left="720" w:hanging="360"/>
      </w:pPr>
      <w:rPr>
        <w:rFonts w:ascii="Symbol" w:hAnsi="Symbol"/>
      </w:rPr>
    </w:lvl>
    <w:lvl w:ilvl="1" w:tplc="FFFFFFFF">
      <w:start w:val="1"/>
      <w:numFmt w:val="bullet"/>
      <w:lvlText w:val="o"/>
      <w:lvlJc w:val="left"/>
      <w:pPr>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738">
    <w:nsid w:val="72230798"/>
    <w:multiLevelType w:val="hybridMultilevel"/>
    <w:tmpl w:val="72230798"/>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739">
    <w:nsid w:val="72230799"/>
    <w:multiLevelType w:val="hybridMultilevel"/>
    <w:tmpl w:val="72230799"/>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740">
    <w:nsid w:val="7223079A"/>
    <w:multiLevelType w:val="hybridMultilevel"/>
    <w:tmpl w:val="7223079A"/>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741">
    <w:nsid w:val="7223079B"/>
    <w:multiLevelType w:val="hybridMultilevel"/>
    <w:tmpl w:val="7223079B"/>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742">
    <w:nsid w:val="7223079C"/>
    <w:multiLevelType w:val="hybridMultilevel"/>
    <w:tmpl w:val="7223079C"/>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743">
    <w:nsid w:val="7223079D"/>
    <w:multiLevelType w:val="hybridMultilevel"/>
    <w:tmpl w:val="7223079D"/>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744">
    <w:nsid w:val="7223079E"/>
    <w:multiLevelType w:val="hybridMultilevel"/>
    <w:tmpl w:val="7223079E"/>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745">
    <w:nsid w:val="7223079F"/>
    <w:multiLevelType w:val="hybridMultilevel"/>
    <w:tmpl w:val="7223079F"/>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746">
    <w:nsid w:val="722307A0"/>
    <w:multiLevelType w:val="hybridMultilevel"/>
    <w:tmpl w:val="722307A0"/>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747">
    <w:nsid w:val="722307A1"/>
    <w:multiLevelType w:val="hybridMultilevel"/>
    <w:tmpl w:val="722307A1"/>
    <w:lvl w:ilvl="0" w:tplc="FFFFFFFF">
      <w:start w:val="1"/>
      <w:numFmt w:val="bullet"/>
      <w:lvlText w:val=""/>
      <w:lvlJc w:val="left"/>
      <w:pPr>
        <w:tabs>
          <w:tab w:val="num" w:pos="720"/>
        </w:tabs>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748">
    <w:nsid w:val="722307A2"/>
    <w:multiLevelType w:val="hybridMultilevel"/>
    <w:tmpl w:val="722307A2"/>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749">
    <w:nsid w:val="722307A3"/>
    <w:multiLevelType w:val="hybridMultilevel"/>
    <w:tmpl w:val="722307A3"/>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750">
    <w:nsid w:val="722307A4"/>
    <w:multiLevelType w:val="hybridMultilevel"/>
    <w:tmpl w:val="722307A4"/>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751">
    <w:nsid w:val="722307A5"/>
    <w:multiLevelType w:val="hybridMultilevel"/>
    <w:tmpl w:val="722307A5"/>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752">
    <w:nsid w:val="722307A6"/>
    <w:multiLevelType w:val="hybridMultilevel"/>
    <w:tmpl w:val="722307A6"/>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753">
    <w:nsid w:val="722307A7"/>
    <w:multiLevelType w:val="hybridMultilevel"/>
    <w:tmpl w:val="722307A7"/>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754">
    <w:nsid w:val="722307A8"/>
    <w:multiLevelType w:val="hybridMultilevel"/>
    <w:tmpl w:val="722307A8"/>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755">
    <w:nsid w:val="722307A9"/>
    <w:multiLevelType w:val="hybridMultilevel"/>
    <w:tmpl w:val="722307A9"/>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756">
    <w:nsid w:val="722307AA"/>
    <w:multiLevelType w:val="hybridMultilevel"/>
    <w:tmpl w:val="722307AA"/>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757">
    <w:nsid w:val="722307AB"/>
    <w:multiLevelType w:val="hybridMultilevel"/>
    <w:tmpl w:val="722307AB"/>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758">
    <w:nsid w:val="722307AC"/>
    <w:multiLevelType w:val="hybridMultilevel"/>
    <w:tmpl w:val="722307AC"/>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759">
    <w:nsid w:val="722307AD"/>
    <w:multiLevelType w:val="hybridMultilevel"/>
    <w:tmpl w:val="722307AD"/>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760">
    <w:nsid w:val="722307AE"/>
    <w:multiLevelType w:val="hybridMultilevel"/>
    <w:tmpl w:val="722307AE"/>
    <w:lvl w:ilvl="0" w:tplc="FFFFFFFF">
      <w:start w:val="1"/>
      <w:numFmt w:val="bullet"/>
      <w:lvlText w:val=""/>
      <w:lvlJc w:val="left"/>
      <w:pPr>
        <w:tabs>
          <w:tab w:val="num" w:pos="720"/>
        </w:tabs>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761">
    <w:nsid w:val="722307AF"/>
    <w:multiLevelType w:val="hybridMultilevel"/>
    <w:tmpl w:val="722307AF"/>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762">
    <w:nsid w:val="722307B0"/>
    <w:multiLevelType w:val="hybridMultilevel"/>
    <w:tmpl w:val="722307B0"/>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763">
    <w:nsid w:val="722307B1"/>
    <w:multiLevelType w:val="hybridMultilevel"/>
    <w:tmpl w:val="722307B1"/>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764">
    <w:nsid w:val="722307B2"/>
    <w:multiLevelType w:val="hybridMultilevel"/>
    <w:tmpl w:val="722307B2"/>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765">
    <w:nsid w:val="722307B3"/>
    <w:multiLevelType w:val="hybridMultilevel"/>
    <w:tmpl w:val="722307B3"/>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766">
    <w:nsid w:val="722307B4"/>
    <w:multiLevelType w:val="hybridMultilevel"/>
    <w:tmpl w:val="722307B4"/>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767">
    <w:nsid w:val="722307B5"/>
    <w:multiLevelType w:val="hybridMultilevel"/>
    <w:tmpl w:val="722307B5"/>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768">
    <w:nsid w:val="722307B6"/>
    <w:multiLevelType w:val="hybridMultilevel"/>
    <w:tmpl w:val="722307B6"/>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769">
    <w:nsid w:val="722307B7"/>
    <w:multiLevelType w:val="hybridMultilevel"/>
    <w:tmpl w:val="722307B7"/>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770">
    <w:nsid w:val="722307B8"/>
    <w:multiLevelType w:val="hybridMultilevel"/>
    <w:tmpl w:val="722307B8"/>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771">
    <w:nsid w:val="722307B9"/>
    <w:multiLevelType w:val="hybridMultilevel"/>
    <w:tmpl w:val="722307B9"/>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772">
    <w:nsid w:val="722307BA"/>
    <w:multiLevelType w:val="hybridMultilevel"/>
    <w:tmpl w:val="722307BA"/>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773">
    <w:nsid w:val="722307BB"/>
    <w:multiLevelType w:val="hybridMultilevel"/>
    <w:tmpl w:val="722307BB"/>
    <w:lvl w:ilvl="0" w:tplc="FFFFFFFF">
      <w:start w:val="1"/>
      <w:numFmt w:val="bullet"/>
      <w:lvlText w:val=""/>
      <w:lvlJc w:val="left"/>
      <w:pPr>
        <w:tabs>
          <w:tab w:val="num" w:pos="720"/>
        </w:tabs>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774">
    <w:nsid w:val="722307BC"/>
    <w:multiLevelType w:val="hybridMultilevel"/>
    <w:tmpl w:val="722307BC"/>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775">
    <w:nsid w:val="722307BD"/>
    <w:multiLevelType w:val="hybridMultilevel"/>
    <w:tmpl w:val="722307BD"/>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776">
    <w:nsid w:val="722307BE"/>
    <w:multiLevelType w:val="hybridMultilevel"/>
    <w:tmpl w:val="722307BE"/>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777">
    <w:nsid w:val="722307BF"/>
    <w:multiLevelType w:val="hybridMultilevel"/>
    <w:tmpl w:val="722307BF"/>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778">
    <w:nsid w:val="722307C0"/>
    <w:multiLevelType w:val="hybridMultilevel"/>
    <w:tmpl w:val="722307C0"/>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779">
    <w:nsid w:val="722307C1"/>
    <w:multiLevelType w:val="hybridMultilevel"/>
    <w:tmpl w:val="722307C1"/>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780">
    <w:nsid w:val="722307C2"/>
    <w:multiLevelType w:val="hybridMultilevel"/>
    <w:tmpl w:val="722307C2"/>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781">
    <w:nsid w:val="722307C3"/>
    <w:multiLevelType w:val="hybridMultilevel"/>
    <w:tmpl w:val="722307C3"/>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782">
    <w:nsid w:val="722307C4"/>
    <w:multiLevelType w:val="hybridMultilevel"/>
    <w:tmpl w:val="722307C4"/>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783">
    <w:nsid w:val="722307C5"/>
    <w:multiLevelType w:val="hybridMultilevel"/>
    <w:tmpl w:val="722307C5"/>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784">
    <w:nsid w:val="722307C6"/>
    <w:multiLevelType w:val="hybridMultilevel"/>
    <w:tmpl w:val="722307C6"/>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785">
    <w:nsid w:val="722307C7"/>
    <w:multiLevelType w:val="hybridMultilevel"/>
    <w:tmpl w:val="722307C7"/>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786">
    <w:nsid w:val="722307C8"/>
    <w:multiLevelType w:val="hybridMultilevel"/>
    <w:tmpl w:val="722307C8"/>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787">
    <w:nsid w:val="722307C9"/>
    <w:multiLevelType w:val="hybridMultilevel"/>
    <w:tmpl w:val="722307C9"/>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788">
    <w:nsid w:val="722307CA"/>
    <w:multiLevelType w:val="hybridMultilevel"/>
    <w:tmpl w:val="722307CA"/>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789">
    <w:nsid w:val="722307CB"/>
    <w:multiLevelType w:val="hybridMultilevel"/>
    <w:tmpl w:val="722307CB"/>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790">
    <w:nsid w:val="722307CC"/>
    <w:multiLevelType w:val="hybridMultilevel"/>
    <w:tmpl w:val="722307CC"/>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791">
    <w:nsid w:val="722307CD"/>
    <w:multiLevelType w:val="hybridMultilevel"/>
    <w:tmpl w:val="722307CD"/>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792">
    <w:nsid w:val="722307CE"/>
    <w:multiLevelType w:val="hybridMultilevel"/>
    <w:tmpl w:val="722307CE"/>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793">
    <w:nsid w:val="722307CF"/>
    <w:multiLevelType w:val="hybridMultilevel"/>
    <w:tmpl w:val="722307CF"/>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794">
    <w:nsid w:val="722307D0"/>
    <w:multiLevelType w:val="hybridMultilevel"/>
    <w:tmpl w:val="722307D0"/>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795">
    <w:nsid w:val="722307D1"/>
    <w:multiLevelType w:val="hybridMultilevel"/>
    <w:tmpl w:val="722307D1"/>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796">
    <w:nsid w:val="722307D2"/>
    <w:multiLevelType w:val="hybridMultilevel"/>
    <w:tmpl w:val="722307D2"/>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797">
    <w:nsid w:val="722307D3"/>
    <w:multiLevelType w:val="hybridMultilevel"/>
    <w:tmpl w:val="722307D3"/>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798">
    <w:nsid w:val="722307D4"/>
    <w:multiLevelType w:val="hybridMultilevel"/>
    <w:tmpl w:val="722307D4"/>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799">
    <w:nsid w:val="722307D5"/>
    <w:multiLevelType w:val="hybridMultilevel"/>
    <w:tmpl w:val="722307D5"/>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800">
    <w:nsid w:val="722307D6"/>
    <w:multiLevelType w:val="hybridMultilevel"/>
    <w:tmpl w:val="722307D6"/>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801">
    <w:nsid w:val="722307D7"/>
    <w:multiLevelType w:val="hybridMultilevel"/>
    <w:tmpl w:val="722307D7"/>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802">
    <w:nsid w:val="722307D8"/>
    <w:multiLevelType w:val="hybridMultilevel"/>
    <w:tmpl w:val="722307D8"/>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803">
    <w:nsid w:val="722307D9"/>
    <w:multiLevelType w:val="hybridMultilevel"/>
    <w:tmpl w:val="722307D9"/>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804">
    <w:nsid w:val="722307DA"/>
    <w:multiLevelType w:val="hybridMultilevel"/>
    <w:tmpl w:val="722307DA"/>
    <w:lvl w:ilvl="0" w:tplc="FFFFFFFF">
      <w:start w:val="1"/>
      <w:numFmt w:val="bullet"/>
      <w:lvlText w:val=""/>
      <w:lvlJc w:val="left"/>
      <w:pPr>
        <w:tabs>
          <w:tab w:val="num" w:pos="720"/>
        </w:tabs>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805">
    <w:nsid w:val="722307DB"/>
    <w:multiLevelType w:val="hybridMultilevel"/>
    <w:tmpl w:val="722307DB"/>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806">
    <w:nsid w:val="722307DC"/>
    <w:multiLevelType w:val="hybridMultilevel"/>
    <w:tmpl w:val="722307DC"/>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807">
    <w:nsid w:val="722307DD"/>
    <w:multiLevelType w:val="hybridMultilevel"/>
    <w:tmpl w:val="722307DD"/>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808">
    <w:nsid w:val="722307DE"/>
    <w:multiLevelType w:val="hybridMultilevel"/>
    <w:tmpl w:val="722307DE"/>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809">
    <w:nsid w:val="722307DF"/>
    <w:multiLevelType w:val="hybridMultilevel"/>
    <w:tmpl w:val="722307DF"/>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810">
    <w:nsid w:val="722307E0"/>
    <w:multiLevelType w:val="hybridMultilevel"/>
    <w:tmpl w:val="722307E0"/>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811">
    <w:nsid w:val="722307E1"/>
    <w:multiLevelType w:val="hybridMultilevel"/>
    <w:tmpl w:val="722307E1"/>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812">
    <w:nsid w:val="722307E2"/>
    <w:multiLevelType w:val="hybridMultilevel"/>
    <w:tmpl w:val="722307E2"/>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813">
    <w:nsid w:val="722307E3"/>
    <w:multiLevelType w:val="hybridMultilevel"/>
    <w:tmpl w:val="722307E3"/>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814">
    <w:nsid w:val="722307E4"/>
    <w:multiLevelType w:val="hybridMultilevel"/>
    <w:tmpl w:val="722307E4"/>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815">
    <w:nsid w:val="722307E5"/>
    <w:multiLevelType w:val="hybridMultilevel"/>
    <w:tmpl w:val="722307E5"/>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816">
    <w:nsid w:val="722307E6"/>
    <w:multiLevelType w:val="hybridMultilevel"/>
    <w:tmpl w:val="722307E6"/>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817">
    <w:nsid w:val="722307E7"/>
    <w:multiLevelType w:val="hybridMultilevel"/>
    <w:tmpl w:val="722307E7"/>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818">
    <w:nsid w:val="722307E8"/>
    <w:multiLevelType w:val="hybridMultilevel"/>
    <w:tmpl w:val="722307E8"/>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819">
    <w:nsid w:val="722307E9"/>
    <w:multiLevelType w:val="hybridMultilevel"/>
    <w:tmpl w:val="722307E9"/>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820">
    <w:nsid w:val="722307EA"/>
    <w:multiLevelType w:val="hybridMultilevel"/>
    <w:tmpl w:val="722307EA"/>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821">
    <w:nsid w:val="722307EB"/>
    <w:multiLevelType w:val="hybridMultilevel"/>
    <w:tmpl w:val="722307EB"/>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822">
    <w:nsid w:val="722307EC"/>
    <w:multiLevelType w:val="hybridMultilevel"/>
    <w:tmpl w:val="722307EC"/>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823">
    <w:nsid w:val="722307ED"/>
    <w:multiLevelType w:val="hybridMultilevel"/>
    <w:tmpl w:val="722307ED"/>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824">
    <w:nsid w:val="722307EE"/>
    <w:multiLevelType w:val="hybridMultilevel"/>
    <w:tmpl w:val="722307EE"/>
    <w:lvl w:ilvl="0" w:tplc="FFFFFFFF">
      <w:start w:val="1"/>
      <w:numFmt w:val="bullet"/>
      <w:lvlText w:val=""/>
      <w:lvlJc w:val="left"/>
      <w:pPr>
        <w:tabs>
          <w:tab w:val="num" w:pos="720"/>
        </w:tabs>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825">
    <w:nsid w:val="722307EF"/>
    <w:multiLevelType w:val="hybridMultilevel"/>
    <w:tmpl w:val="722307EF"/>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826">
    <w:nsid w:val="722307F0"/>
    <w:multiLevelType w:val="hybridMultilevel"/>
    <w:tmpl w:val="722307F0"/>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827">
    <w:nsid w:val="722307F1"/>
    <w:multiLevelType w:val="hybridMultilevel"/>
    <w:tmpl w:val="722307F1"/>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828">
    <w:nsid w:val="722307F2"/>
    <w:multiLevelType w:val="hybridMultilevel"/>
    <w:tmpl w:val="722307F2"/>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829">
    <w:nsid w:val="722307F3"/>
    <w:multiLevelType w:val="hybridMultilevel"/>
    <w:tmpl w:val="722307F3"/>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830">
    <w:nsid w:val="722307F4"/>
    <w:multiLevelType w:val="hybridMultilevel"/>
    <w:tmpl w:val="722307F4"/>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831">
    <w:nsid w:val="722307F5"/>
    <w:multiLevelType w:val="hybridMultilevel"/>
    <w:tmpl w:val="722307F5"/>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832">
    <w:nsid w:val="722307F6"/>
    <w:multiLevelType w:val="hybridMultilevel"/>
    <w:tmpl w:val="722307F6"/>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833">
    <w:nsid w:val="722307F7"/>
    <w:multiLevelType w:val="hybridMultilevel"/>
    <w:tmpl w:val="722307F7"/>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834">
    <w:nsid w:val="722307F8"/>
    <w:multiLevelType w:val="hybridMultilevel"/>
    <w:tmpl w:val="722307F8"/>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835">
    <w:nsid w:val="722307F9"/>
    <w:multiLevelType w:val="hybridMultilevel"/>
    <w:tmpl w:val="722307F9"/>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836">
    <w:nsid w:val="722307FA"/>
    <w:multiLevelType w:val="hybridMultilevel"/>
    <w:tmpl w:val="722307FA"/>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837">
    <w:nsid w:val="722307FB"/>
    <w:multiLevelType w:val="hybridMultilevel"/>
    <w:tmpl w:val="722307FB"/>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838">
    <w:nsid w:val="722307FC"/>
    <w:multiLevelType w:val="hybridMultilevel"/>
    <w:tmpl w:val="722307FC"/>
    <w:lvl w:ilvl="0" w:tplc="FFFFFFFF">
      <w:start w:val="1"/>
      <w:numFmt w:val="bullet"/>
      <w:lvlText w:val=""/>
      <w:lvlJc w:val="left"/>
      <w:pPr>
        <w:tabs>
          <w:tab w:val="num" w:pos="720"/>
        </w:tabs>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839">
    <w:nsid w:val="722307FD"/>
    <w:multiLevelType w:val="hybridMultilevel"/>
    <w:tmpl w:val="722307FD"/>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840">
    <w:nsid w:val="722307FE"/>
    <w:multiLevelType w:val="hybridMultilevel"/>
    <w:tmpl w:val="722307FE"/>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841">
    <w:nsid w:val="722307FF"/>
    <w:multiLevelType w:val="hybridMultilevel"/>
    <w:tmpl w:val="722307FF"/>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842">
    <w:nsid w:val="72230800"/>
    <w:multiLevelType w:val="hybridMultilevel"/>
    <w:tmpl w:val="72230800"/>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843">
    <w:nsid w:val="72230801"/>
    <w:multiLevelType w:val="hybridMultilevel"/>
    <w:tmpl w:val="72230801"/>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844">
    <w:nsid w:val="72230802"/>
    <w:multiLevelType w:val="hybridMultilevel"/>
    <w:tmpl w:val="72230802"/>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845">
    <w:nsid w:val="72230803"/>
    <w:multiLevelType w:val="hybridMultilevel"/>
    <w:tmpl w:val="72230803"/>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846">
    <w:nsid w:val="72230804"/>
    <w:multiLevelType w:val="hybridMultilevel"/>
    <w:tmpl w:val="72230804"/>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847">
    <w:nsid w:val="72230805"/>
    <w:multiLevelType w:val="hybridMultilevel"/>
    <w:tmpl w:val="72230805"/>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848">
    <w:nsid w:val="72230806"/>
    <w:multiLevelType w:val="hybridMultilevel"/>
    <w:tmpl w:val="72230806"/>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849">
    <w:nsid w:val="72230807"/>
    <w:multiLevelType w:val="hybridMultilevel"/>
    <w:tmpl w:val="72230807"/>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850">
    <w:nsid w:val="72230808"/>
    <w:multiLevelType w:val="hybridMultilevel"/>
    <w:tmpl w:val="72230808"/>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851">
    <w:nsid w:val="72230809"/>
    <w:multiLevelType w:val="hybridMultilevel"/>
    <w:tmpl w:val="72230809"/>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852">
    <w:nsid w:val="7223080A"/>
    <w:multiLevelType w:val="hybridMultilevel"/>
    <w:tmpl w:val="7223080A"/>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853">
    <w:nsid w:val="7223080B"/>
    <w:multiLevelType w:val="hybridMultilevel"/>
    <w:tmpl w:val="7223080B"/>
    <w:lvl w:ilvl="0" w:tplc="FFFFFFFF">
      <w:start w:val="1"/>
      <w:numFmt w:val="bullet"/>
      <w:lvlText w:val=""/>
      <w:lvlJc w:val="left"/>
      <w:pPr>
        <w:tabs>
          <w:tab w:val="num" w:pos="720"/>
        </w:tabs>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854">
    <w:nsid w:val="7223080C"/>
    <w:multiLevelType w:val="hybridMultilevel"/>
    <w:tmpl w:val="7223080C"/>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855">
    <w:nsid w:val="7223080D"/>
    <w:multiLevelType w:val="hybridMultilevel"/>
    <w:tmpl w:val="7223080D"/>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856">
    <w:nsid w:val="7223080E"/>
    <w:multiLevelType w:val="hybridMultilevel"/>
    <w:tmpl w:val="7223080E"/>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857">
    <w:nsid w:val="7223080F"/>
    <w:multiLevelType w:val="hybridMultilevel"/>
    <w:tmpl w:val="7223080F"/>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858">
    <w:nsid w:val="72230810"/>
    <w:multiLevelType w:val="hybridMultilevel"/>
    <w:tmpl w:val="72230810"/>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859">
    <w:nsid w:val="72230811"/>
    <w:multiLevelType w:val="hybridMultilevel"/>
    <w:tmpl w:val="72230811"/>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860">
    <w:nsid w:val="72230812"/>
    <w:multiLevelType w:val="hybridMultilevel"/>
    <w:tmpl w:val="72230812"/>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861">
    <w:nsid w:val="72230813"/>
    <w:multiLevelType w:val="hybridMultilevel"/>
    <w:tmpl w:val="72230813"/>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862">
    <w:nsid w:val="72230814"/>
    <w:multiLevelType w:val="hybridMultilevel"/>
    <w:tmpl w:val="72230814"/>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863">
    <w:nsid w:val="72230815"/>
    <w:multiLevelType w:val="hybridMultilevel"/>
    <w:tmpl w:val="72230815"/>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864">
    <w:nsid w:val="72230816"/>
    <w:multiLevelType w:val="hybridMultilevel"/>
    <w:tmpl w:val="72230816"/>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865">
    <w:nsid w:val="72230817"/>
    <w:multiLevelType w:val="hybridMultilevel"/>
    <w:tmpl w:val="72230817"/>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866">
    <w:nsid w:val="72230818"/>
    <w:multiLevelType w:val="hybridMultilevel"/>
    <w:tmpl w:val="72230818"/>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867">
    <w:nsid w:val="72230819"/>
    <w:multiLevelType w:val="hybridMultilevel"/>
    <w:tmpl w:val="72230819"/>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868">
    <w:nsid w:val="7223081A"/>
    <w:multiLevelType w:val="hybridMultilevel"/>
    <w:tmpl w:val="7223081A"/>
    <w:lvl w:ilvl="0" w:tplc="FFFFFFFF">
      <w:start w:val="1"/>
      <w:numFmt w:val="bullet"/>
      <w:lvlText w:val=""/>
      <w:lvlJc w:val="left"/>
      <w:pPr>
        <w:tabs>
          <w:tab w:val="num" w:pos="720"/>
        </w:tabs>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869">
    <w:nsid w:val="7223081B"/>
    <w:multiLevelType w:val="hybridMultilevel"/>
    <w:tmpl w:val="7223081B"/>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870">
    <w:nsid w:val="7223081C"/>
    <w:multiLevelType w:val="hybridMultilevel"/>
    <w:tmpl w:val="7223081C"/>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871">
    <w:nsid w:val="7223081D"/>
    <w:multiLevelType w:val="hybridMultilevel"/>
    <w:tmpl w:val="7223081D"/>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872">
    <w:nsid w:val="7223081E"/>
    <w:multiLevelType w:val="hybridMultilevel"/>
    <w:tmpl w:val="7223081E"/>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873">
    <w:nsid w:val="7223081F"/>
    <w:multiLevelType w:val="hybridMultilevel"/>
    <w:tmpl w:val="7223081F"/>
    <w:lvl w:ilvl="0" w:tplc="FFFFFFFF">
      <w:start w:val="1"/>
      <w:numFmt w:val="bullet"/>
      <w:lvlText w:val=""/>
      <w:lvlJc w:val="left"/>
      <w:pPr>
        <w:ind w:left="720" w:hanging="360"/>
      </w:pPr>
      <w:rPr>
        <w:rFonts w:ascii="Symbol" w:hAnsi="Symbol"/>
      </w:rPr>
    </w:lvl>
    <w:lvl w:ilvl="1" w:tplc="FFFFFFFF">
      <w:start w:val="1"/>
      <w:numFmt w:val="bullet"/>
      <w:lvlText w:val="o"/>
      <w:lvlJc w:val="left"/>
      <w:pPr>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874">
    <w:nsid w:val="72230820"/>
    <w:multiLevelType w:val="hybridMultilevel"/>
    <w:tmpl w:val="72230820"/>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875">
    <w:nsid w:val="72230821"/>
    <w:multiLevelType w:val="hybridMultilevel"/>
    <w:tmpl w:val="72230821"/>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876">
    <w:nsid w:val="72230822"/>
    <w:multiLevelType w:val="hybridMultilevel"/>
    <w:tmpl w:val="72230822"/>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877">
    <w:nsid w:val="72230823"/>
    <w:multiLevelType w:val="hybridMultilevel"/>
    <w:tmpl w:val="72230823"/>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878">
    <w:nsid w:val="72230824"/>
    <w:multiLevelType w:val="hybridMultilevel"/>
    <w:tmpl w:val="72230824"/>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879">
    <w:nsid w:val="72230825"/>
    <w:multiLevelType w:val="hybridMultilevel"/>
    <w:tmpl w:val="72230825"/>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880">
    <w:nsid w:val="72230826"/>
    <w:multiLevelType w:val="hybridMultilevel"/>
    <w:tmpl w:val="72230826"/>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881">
    <w:nsid w:val="72230827"/>
    <w:multiLevelType w:val="hybridMultilevel"/>
    <w:tmpl w:val="72230827"/>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882">
    <w:nsid w:val="72230828"/>
    <w:multiLevelType w:val="hybridMultilevel"/>
    <w:tmpl w:val="72230828"/>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883">
    <w:nsid w:val="72230829"/>
    <w:multiLevelType w:val="hybridMultilevel"/>
    <w:tmpl w:val="72230829"/>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884">
    <w:nsid w:val="7223082A"/>
    <w:multiLevelType w:val="hybridMultilevel"/>
    <w:tmpl w:val="7223082A"/>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885">
    <w:nsid w:val="7223082B"/>
    <w:multiLevelType w:val="hybridMultilevel"/>
    <w:tmpl w:val="7223082B"/>
    <w:lvl w:ilvl="0" w:tplc="FFFFFFFF">
      <w:start w:val="1"/>
      <w:numFmt w:val="bullet"/>
      <w:lvlText w:val=""/>
      <w:lvlJc w:val="left"/>
      <w:pPr>
        <w:tabs>
          <w:tab w:val="num" w:pos="720"/>
        </w:tabs>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886">
    <w:nsid w:val="7223082C"/>
    <w:multiLevelType w:val="hybridMultilevel"/>
    <w:tmpl w:val="7223082C"/>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887">
    <w:nsid w:val="7223082D"/>
    <w:multiLevelType w:val="hybridMultilevel"/>
    <w:tmpl w:val="7223082D"/>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888">
    <w:nsid w:val="7223082E"/>
    <w:multiLevelType w:val="hybridMultilevel"/>
    <w:tmpl w:val="7223082E"/>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889">
    <w:nsid w:val="7223082F"/>
    <w:multiLevelType w:val="hybridMultilevel"/>
    <w:tmpl w:val="7223082F"/>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890">
    <w:nsid w:val="72230830"/>
    <w:multiLevelType w:val="hybridMultilevel"/>
    <w:tmpl w:val="72230830"/>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891">
    <w:nsid w:val="72230831"/>
    <w:multiLevelType w:val="hybridMultilevel"/>
    <w:tmpl w:val="72230831"/>
    <w:lvl w:ilvl="0" w:tplc="FFFFFFFF">
      <w:start w:val="1"/>
      <w:numFmt w:val="bullet"/>
      <w:lvlText w:val=""/>
      <w:lvlJc w:val="left"/>
      <w:pPr>
        <w:ind w:left="720" w:hanging="360"/>
      </w:pPr>
      <w:rPr>
        <w:rFonts w:ascii="Symbol" w:hAnsi="Symbol"/>
      </w:rPr>
    </w:lvl>
    <w:lvl w:ilvl="1" w:tplc="FFFFFFFF">
      <w:start w:val="1"/>
      <w:numFmt w:val="bullet"/>
      <w:lvlText w:val="o"/>
      <w:lvlJc w:val="left"/>
      <w:pPr>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892">
    <w:nsid w:val="72230832"/>
    <w:multiLevelType w:val="hybridMultilevel"/>
    <w:tmpl w:val="72230832"/>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893">
    <w:nsid w:val="72230833"/>
    <w:multiLevelType w:val="hybridMultilevel"/>
    <w:tmpl w:val="72230833"/>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894">
    <w:nsid w:val="72230834"/>
    <w:multiLevelType w:val="hybridMultilevel"/>
    <w:tmpl w:val="72230834"/>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895">
    <w:nsid w:val="72230835"/>
    <w:multiLevelType w:val="hybridMultilevel"/>
    <w:tmpl w:val="72230835"/>
    <w:lvl w:ilvl="0" w:tplc="FFFFFFFF">
      <w:start w:val="1"/>
      <w:numFmt w:val="bullet"/>
      <w:lvlText w:val=""/>
      <w:lvlJc w:val="left"/>
      <w:pPr>
        <w:tabs>
          <w:tab w:val="num" w:pos="720"/>
        </w:tabs>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896">
    <w:nsid w:val="72230836"/>
    <w:multiLevelType w:val="hybridMultilevel"/>
    <w:tmpl w:val="72230836"/>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897">
    <w:nsid w:val="72230837"/>
    <w:multiLevelType w:val="hybridMultilevel"/>
    <w:tmpl w:val="72230837"/>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898">
    <w:nsid w:val="72230838"/>
    <w:multiLevelType w:val="hybridMultilevel"/>
    <w:tmpl w:val="72230838"/>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899">
    <w:nsid w:val="72230839"/>
    <w:multiLevelType w:val="hybridMultilevel"/>
    <w:tmpl w:val="72230839"/>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900">
    <w:nsid w:val="7223083A"/>
    <w:multiLevelType w:val="hybridMultilevel"/>
    <w:tmpl w:val="7223083A"/>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901">
    <w:nsid w:val="7223083B"/>
    <w:multiLevelType w:val="hybridMultilevel"/>
    <w:tmpl w:val="7223083B"/>
    <w:lvl w:ilvl="0" w:tplc="FFFFFFFF">
      <w:start w:val="1"/>
      <w:numFmt w:val="bullet"/>
      <w:lvlText w:val=""/>
      <w:lvlJc w:val="left"/>
      <w:pPr>
        <w:ind w:left="720" w:hanging="360"/>
      </w:pPr>
      <w:rPr>
        <w:rFonts w:ascii="Symbol" w:hAnsi="Symbol"/>
      </w:rPr>
    </w:lvl>
    <w:lvl w:ilvl="1" w:tplc="FFFFFFFF">
      <w:start w:val="1"/>
      <w:numFmt w:val="bullet"/>
      <w:lvlText w:val="o"/>
      <w:lvlJc w:val="left"/>
      <w:pPr>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902">
    <w:nsid w:val="7223083C"/>
    <w:multiLevelType w:val="hybridMultilevel"/>
    <w:tmpl w:val="7223083C"/>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903">
    <w:nsid w:val="7223083D"/>
    <w:multiLevelType w:val="hybridMultilevel"/>
    <w:tmpl w:val="7223083D"/>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904">
    <w:nsid w:val="7223083E"/>
    <w:multiLevelType w:val="hybridMultilevel"/>
    <w:tmpl w:val="7223083E"/>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905">
    <w:nsid w:val="7223083F"/>
    <w:multiLevelType w:val="hybridMultilevel"/>
    <w:tmpl w:val="7223083F"/>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906">
    <w:nsid w:val="72230840"/>
    <w:multiLevelType w:val="hybridMultilevel"/>
    <w:tmpl w:val="72230840"/>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907">
    <w:nsid w:val="72230841"/>
    <w:multiLevelType w:val="hybridMultilevel"/>
    <w:tmpl w:val="72230841"/>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908">
    <w:nsid w:val="72230842"/>
    <w:multiLevelType w:val="hybridMultilevel"/>
    <w:tmpl w:val="72230842"/>
    <w:lvl w:ilvl="0" w:tplc="FFFFFFFF">
      <w:start w:val="1"/>
      <w:numFmt w:val="bullet"/>
      <w:lvlText w:val=""/>
      <w:lvlJc w:val="left"/>
      <w:pPr>
        <w:tabs>
          <w:tab w:val="num" w:pos="720"/>
        </w:tabs>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909">
    <w:nsid w:val="72230843"/>
    <w:multiLevelType w:val="hybridMultilevel"/>
    <w:tmpl w:val="72230843"/>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910">
    <w:nsid w:val="72230844"/>
    <w:multiLevelType w:val="hybridMultilevel"/>
    <w:tmpl w:val="72230844"/>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911">
    <w:nsid w:val="72230845"/>
    <w:multiLevelType w:val="hybridMultilevel"/>
    <w:tmpl w:val="72230845"/>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912">
    <w:nsid w:val="72230846"/>
    <w:multiLevelType w:val="hybridMultilevel"/>
    <w:tmpl w:val="72230846"/>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913">
    <w:nsid w:val="72230847"/>
    <w:multiLevelType w:val="hybridMultilevel"/>
    <w:tmpl w:val="72230847"/>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914">
    <w:nsid w:val="72230848"/>
    <w:multiLevelType w:val="hybridMultilevel"/>
    <w:tmpl w:val="72230848"/>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915">
    <w:nsid w:val="72230849"/>
    <w:multiLevelType w:val="hybridMultilevel"/>
    <w:tmpl w:val="72230849"/>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916">
    <w:nsid w:val="7223084A"/>
    <w:multiLevelType w:val="hybridMultilevel"/>
    <w:tmpl w:val="7223084A"/>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917">
    <w:nsid w:val="7223084B"/>
    <w:multiLevelType w:val="hybridMultilevel"/>
    <w:tmpl w:val="7223084B"/>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918">
    <w:nsid w:val="7223084C"/>
    <w:multiLevelType w:val="hybridMultilevel"/>
    <w:tmpl w:val="7223084C"/>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919">
    <w:nsid w:val="7223084D"/>
    <w:multiLevelType w:val="hybridMultilevel"/>
    <w:tmpl w:val="7223084D"/>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920">
    <w:nsid w:val="7223084E"/>
    <w:multiLevelType w:val="hybridMultilevel"/>
    <w:tmpl w:val="7223084E"/>
    <w:lvl w:ilvl="0" w:tplc="FFFFFFFF">
      <w:start w:val="1"/>
      <w:numFmt w:val="bullet"/>
      <w:lvlText w:val=""/>
      <w:lvlJc w:val="left"/>
      <w:pPr>
        <w:tabs>
          <w:tab w:val="num" w:pos="720"/>
        </w:tabs>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921">
    <w:nsid w:val="7223084F"/>
    <w:multiLevelType w:val="hybridMultilevel"/>
    <w:tmpl w:val="7223084F"/>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922">
    <w:nsid w:val="72230850"/>
    <w:multiLevelType w:val="hybridMultilevel"/>
    <w:tmpl w:val="72230850"/>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923">
    <w:nsid w:val="72230851"/>
    <w:multiLevelType w:val="hybridMultilevel"/>
    <w:tmpl w:val="72230851"/>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924">
    <w:nsid w:val="72230852"/>
    <w:multiLevelType w:val="hybridMultilevel"/>
    <w:tmpl w:val="72230852"/>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925">
    <w:nsid w:val="72230853"/>
    <w:multiLevelType w:val="hybridMultilevel"/>
    <w:tmpl w:val="72230853"/>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926">
    <w:nsid w:val="72230854"/>
    <w:multiLevelType w:val="hybridMultilevel"/>
    <w:tmpl w:val="72230854"/>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927">
    <w:nsid w:val="72230855"/>
    <w:multiLevelType w:val="hybridMultilevel"/>
    <w:tmpl w:val="72230855"/>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928">
    <w:nsid w:val="72230856"/>
    <w:multiLevelType w:val="hybridMultilevel"/>
    <w:tmpl w:val="72230856"/>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929">
    <w:nsid w:val="72230857"/>
    <w:multiLevelType w:val="hybridMultilevel"/>
    <w:tmpl w:val="72230857"/>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930">
    <w:nsid w:val="72230858"/>
    <w:multiLevelType w:val="hybridMultilevel"/>
    <w:tmpl w:val="72230858"/>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931">
    <w:nsid w:val="72230859"/>
    <w:multiLevelType w:val="hybridMultilevel"/>
    <w:tmpl w:val="72230859"/>
    <w:lvl w:ilvl="0" w:tplc="FFFFFFFF">
      <w:start w:val="1"/>
      <w:numFmt w:val="bullet"/>
      <w:lvlText w:val=""/>
      <w:lvlJc w:val="left"/>
      <w:pPr>
        <w:tabs>
          <w:tab w:val="num" w:pos="720"/>
        </w:tabs>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932">
    <w:nsid w:val="7223085A"/>
    <w:multiLevelType w:val="hybridMultilevel"/>
    <w:tmpl w:val="7223085A"/>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933">
    <w:nsid w:val="7223085B"/>
    <w:multiLevelType w:val="hybridMultilevel"/>
    <w:tmpl w:val="7223085B"/>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934">
    <w:nsid w:val="7223085C"/>
    <w:multiLevelType w:val="hybridMultilevel"/>
    <w:tmpl w:val="7223085C"/>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935">
    <w:nsid w:val="7223085D"/>
    <w:multiLevelType w:val="hybridMultilevel"/>
    <w:tmpl w:val="7223085D"/>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936">
    <w:nsid w:val="7223085E"/>
    <w:multiLevelType w:val="hybridMultilevel"/>
    <w:tmpl w:val="7223085E"/>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937">
    <w:nsid w:val="7223085F"/>
    <w:multiLevelType w:val="hybridMultilevel"/>
    <w:tmpl w:val="7223085F"/>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938">
    <w:nsid w:val="72230860"/>
    <w:multiLevelType w:val="hybridMultilevel"/>
    <w:tmpl w:val="72230860"/>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939">
    <w:nsid w:val="72230861"/>
    <w:multiLevelType w:val="hybridMultilevel"/>
    <w:tmpl w:val="72230861"/>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940">
    <w:nsid w:val="72230862"/>
    <w:multiLevelType w:val="hybridMultilevel"/>
    <w:tmpl w:val="72230862"/>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941">
    <w:nsid w:val="72230863"/>
    <w:multiLevelType w:val="hybridMultilevel"/>
    <w:tmpl w:val="72230863"/>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942">
    <w:nsid w:val="72230864"/>
    <w:multiLevelType w:val="hybridMultilevel"/>
    <w:tmpl w:val="72230864"/>
    <w:lvl w:ilvl="0" w:tplc="FFFFFFFF">
      <w:start w:val="1"/>
      <w:numFmt w:val="bullet"/>
      <w:lvlText w:val=""/>
      <w:lvlJc w:val="left"/>
      <w:pPr>
        <w:tabs>
          <w:tab w:val="num" w:pos="720"/>
        </w:tabs>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943">
    <w:nsid w:val="72230865"/>
    <w:multiLevelType w:val="hybridMultilevel"/>
    <w:tmpl w:val="72230865"/>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944">
    <w:nsid w:val="72230866"/>
    <w:multiLevelType w:val="hybridMultilevel"/>
    <w:tmpl w:val="72230866"/>
    <w:lvl w:ilvl="0" w:tplc="FFFFFFFF">
      <w:start w:val="1"/>
      <w:numFmt w:val="bullet"/>
      <w:lvlText w:val=""/>
      <w:lvlJc w:val="left"/>
      <w:pPr>
        <w:ind w:left="720" w:hanging="360"/>
      </w:pPr>
      <w:rPr>
        <w:rFonts w:ascii="Symbol" w:hAnsi="Symbol"/>
      </w:rPr>
    </w:lvl>
    <w:lvl w:ilvl="1" w:tplc="FFFFFFFF">
      <w:start w:val="1"/>
      <w:numFmt w:val="bullet"/>
      <w:lvlText w:val="o"/>
      <w:lvlJc w:val="left"/>
      <w:pPr>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945">
    <w:nsid w:val="72230867"/>
    <w:multiLevelType w:val="hybridMultilevel"/>
    <w:tmpl w:val="72230867"/>
    <w:lvl w:ilvl="0" w:tplc="FFFFFFFF">
      <w:start w:val="1"/>
      <w:numFmt w:val="bullet"/>
      <w:lvlText w:val=""/>
      <w:lvlJc w:val="left"/>
      <w:pPr>
        <w:ind w:left="720" w:hanging="360"/>
      </w:pPr>
      <w:rPr>
        <w:rFonts w:ascii="Symbol" w:hAnsi="Symbol"/>
      </w:rPr>
    </w:lvl>
    <w:lvl w:ilvl="1" w:tplc="FFFFFFFF">
      <w:start w:val="1"/>
      <w:numFmt w:val="bullet"/>
      <w:lvlText w:val="o"/>
      <w:lvlJc w:val="left"/>
      <w:pPr>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946">
    <w:nsid w:val="72230868"/>
    <w:multiLevelType w:val="hybridMultilevel"/>
    <w:tmpl w:val="72230868"/>
    <w:lvl w:ilvl="0" w:tplc="FFFFFFFF">
      <w:start w:val="1"/>
      <w:numFmt w:val="bullet"/>
      <w:lvlText w:val=""/>
      <w:lvlJc w:val="left"/>
      <w:pPr>
        <w:ind w:left="720" w:hanging="360"/>
      </w:pPr>
      <w:rPr>
        <w:rFonts w:ascii="Symbol" w:hAnsi="Symbol"/>
      </w:rPr>
    </w:lvl>
    <w:lvl w:ilvl="1" w:tplc="FFFFFFFF">
      <w:start w:val="1"/>
      <w:numFmt w:val="bullet"/>
      <w:lvlText w:val="o"/>
      <w:lvlJc w:val="left"/>
      <w:pPr>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947">
    <w:nsid w:val="72230869"/>
    <w:multiLevelType w:val="hybridMultilevel"/>
    <w:tmpl w:val="72230869"/>
    <w:lvl w:ilvl="0" w:tplc="FFFFFFFF">
      <w:start w:val="1"/>
      <w:numFmt w:val="bullet"/>
      <w:lvlText w:val=""/>
      <w:lvlJc w:val="left"/>
      <w:pPr>
        <w:ind w:left="720" w:hanging="360"/>
      </w:pPr>
      <w:rPr>
        <w:rFonts w:ascii="Symbol" w:hAnsi="Symbol"/>
      </w:rPr>
    </w:lvl>
    <w:lvl w:ilvl="1" w:tplc="FFFFFFFF">
      <w:start w:val="1"/>
      <w:numFmt w:val="bullet"/>
      <w:lvlText w:val="o"/>
      <w:lvlJc w:val="left"/>
      <w:pPr>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948">
    <w:nsid w:val="7223086A"/>
    <w:multiLevelType w:val="hybridMultilevel"/>
    <w:tmpl w:val="7223086A"/>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949">
    <w:nsid w:val="7223086B"/>
    <w:multiLevelType w:val="hybridMultilevel"/>
    <w:tmpl w:val="7223086B"/>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950">
    <w:nsid w:val="7223086C"/>
    <w:multiLevelType w:val="hybridMultilevel"/>
    <w:tmpl w:val="7223086C"/>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951">
    <w:nsid w:val="7223086D"/>
    <w:multiLevelType w:val="hybridMultilevel"/>
    <w:tmpl w:val="7223086D"/>
    <w:lvl w:ilvl="0" w:tplc="FFFFFFFF">
      <w:start w:val="1"/>
      <w:numFmt w:val="bullet"/>
      <w:lvlText w:val=""/>
      <w:lvlJc w:val="left"/>
      <w:pPr>
        <w:ind w:left="720" w:hanging="360"/>
      </w:pPr>
      <w:rPr>
        <w:rFonts w:ascii="Symbol" w:hAnsi="Symbol"/>
      </w:rPr>
    </w:lvl>
    <w:lvl w:ilvl="1" w:tplc="FFFFFFFF">
      <w:start w:val="1"/>
      <w:numFmt w:val="bullet"/>
      <w:lvlText w:val="o"/>
      <w:lvlJc w:val="left"/>
      <w:pPr>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952">
    <w:nsid w:val="7223086E"/>
    <w:multiLevelType w:val="hybridMultilevel"/>
    <w:tmpl w:val="7223086E"/>
    <w:lvl w:ilvl="0" w:tplc="FFFFFFFF">
      <w:start w:val="1"/>
      <w:numFmt w:val="bullet"/>
      <w:lvlText w:val="o"/>
      <w:lvlJc w:val="left"/>
      <w:pPr>
        <w:tabs>
          <w:tab w:val="num" w:pos="720"/>
        </w:tabs>
        <w:ind w:left="720" w:hanging="360"/>
      </w:pPr>
      <w:rPr>
        <w:rFonts w:ascii="Courier New" w:hAnsi="Courier New"/>
      </w:rPr>
    </w:lvl>
    <w:lvl w:ilvl="1" w:tplc="FFFFFFFF">
      <w:start w:val="1"/>
      <w:numFmt w:val="bullet"/>
      <w:lvlText w:val="o"/>
      <w:lvlJc w:val="left"/>
      <w:pPr>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953">
    <w:nsid w:val="7223086F"/>
    <w:multiLevelType w:val="hybridMultilevel"/>
    <w:tmpl w:val="7223086F"/>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954">
    <w:nsid w:val="72230870"/>
    <w:multiLevelType w:val="hybridMultilevel"/>
    <w:tmpl w:val="72230870"/>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955">
    <w:nsid w:val="72230871"/>
    <w:multiLevelType w:val="hybridMultilevel"/>
    <w:tmpl w:val="72230871"/>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956">
    <w:nsid w:val="72230872"/>
    <w:multiLevelType w:val="hybridMultilevel"/>
    <w:tmpl w:val="72230872"/>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957">
    <w:nsid w:val="72230873"/>
    <w:multiLevelType w:val="hybridMultilevel"/>
    <w:tmpl w:val="72230873"/>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958">
    <w:nsid w:val="72230874"/>
    <w:multiLevelType w:val="hybridMultilevel"/>
    <w:tmpl w:val="72230874"/>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959">
    <w:nsid w:val="72230875"/>
    <w:multiLevelType w:val="hybridMultilevel"/>
    <w:tmpl w:val="72230875"/>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960">
    <w:nsid w:val="72230876"/>
    <w:multiLevelType w:val="hybridMultilevel"/>
    <w:tmpl w:val="72230876"/>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961">
    <w:nsid w:val="72230877"/>
    <w:multiLevelType w:val="multilevel"/>
    <w:tmpl w:val="72230877"/>
    <w:lvl w:ilvl="0">
      <w:start w:val="1"/>
      <w:numFmt w:val="lowerLetter"/>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962">
    <w:nsid w:val="72230878"/>
    <w:multiLevelType w:val="hybridMultilevel"/>
    <w:tmpl w:val="72230878"/>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963">
    <w:nsid w:val="72230879"/>
    <w:multiLevelType w:val="hybridMultilevel"/>
    <w:tmpl w:val="72230879"/>
    <w:lvl w:ilvl="0" w:tplc="FFFFFFFF">
      <w:start w:val="1"/>
      <w:numFmt w:val="bullet"/>
      <w:lvlText w:val=""/>
      <w:lvlJc w:val="left"/>
      <w:pPr>
        <w:tabs>
          <w:tab w:val="num" w:pos="720"/>
        </w:tabs>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964">
    <w:nsid w:val="7223087A"/>
    <w:multiLevelType w:val="hybridMultilevel"/>
    <w:tmpl w:val="7223087A"/>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965">
    <w:nsid w:val="7223087B"/>
    <w:multiLevelType w:val="multilevel"/>
    <w:tmpl w:val="7223087B"/>
    <w:lvl w:ilvl="0">
      <w:start w:val="1"/>
      <w:numFmt w:val="lowerLetter"/>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966">
    <w:nsid w:val="7223087C"/>
    <w:multiLevelType w:val="hybridMultilevel"/>
    <w:tmpl w:val="7223087C"/>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967">
    <w:nsid w:val="7223087D"/>
    <w:multiLevelType w:val="hybridMultilevel"/>
    <w:tmpl w:val="7223087D"/>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968">
    <w:nsid w:val="7223087E"/>
    <w:multiLevelType w:val="hybridMultilevel"/>
    <w:tmpl w:val="7223087E"/>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969">
    <w:nsid w:val="7223087F"/>
    <w:multiLevelType w:val="hybridMultilevel"/>
    <w:tmpl w:val="7223087F"/>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970">
    <w:nsid w:val="72230880"/>
    <w:multiLevelType w:val="hybridMultilevel"/>
    <w:tmpl w:val="72230880"/>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971">
    <w:nsid w:val="72230881"/>
    <w:multiLevelType w:val="hybridMultilevel"/>
    <w:tmpl w:val="72230881"/>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972">
    <w:nsid w:val="72230882"/>
    <w:multiLevelType w:val="hybridMultilevel"/>
    <w:tmpl w:val="72230882"/>
    <w:lvl w:ilvl="0" w:tplc="FFFFFFFF">
      <w:start w:val="1"/>
      <w:numFmt w:val="bullet"/>
      <w:lvlText w:val=""/>
      <w:lvlJc w:val="left"/>
      <w:pPr>
        <w:tabs>
          <w:tab w:val="num" w:pos="720"/>
        </w:tabs>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973">
    <w:nsid w:val="72230883"/>
    <w:multiLevelType w:val="hybridMultilevel"/>
    <w:tmpl w:val="72230883"/>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974">
    <w:nsid w:val="72230884"/>
    <w:multiLevelType w:val="multilevel"/>
    <w:tmpl w:val="72230884"/>
    <w:lvl w:ilvl="0">
      <w:start w:val="1"/>
      <w:numFmt w:val="lowerLetter"/>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975">
    <w:nsid w:val="72230885"/>
    <w:multiLevelType w:val="hybridMultilevel"/>
    <w:tmpl w:val="72230885"/>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976">
    <w:nsid w:val="72230886"/>
    <w:multiLevelType w:val="hybridMultilevel"/>
    <w:tmpl w:val="72230886"/>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977">
    <w:nsid w:val="72230887"/>
    <w:multiLevelType w:val="hybridMultilevel"/>
    <w:tmpl w:val="72230887"/>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978">
    <w:nsid w:val="72230888"/>
    <w:multiLevelType w:val="hybridMultilevel"/>
    <w:tmpl w:val="72230888"/>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979">
    <w:nsid w:val="72230889"/>
    <w:multiLevelType w:val="hybridMultilevel"/>
    <w:tmpl w:val="72230889"/>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980">
    <w:nsid w:val="7223088A"/>
    <w:multiLevelType w:val="hybridMultilevel"/>
    <w:tmpl w:val="7223088A"/>
    <w:lvl w:ilvl="0" w:tplc="FFFFFFFF">
      <w:start w:val="1"/>
      <w:numFmt w:val="bullet"/>
      <w:lvlText w:val=""/>
      <w:lvlJc w:val="left"/>
      <w:pPr>
        <w:tabs>
          <w:tab w:val="num" w:pos="720"/>
        </w:tabs>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981">
    <w:nsid w:val="7223088B"/>
    <w:multiLevelType w:val="hybridMultilevel"/>
    <w:tmpl w:val="7223088B"/>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982">
    <w:nsid w:val="7223088C"/>
    <w:multiLevelType w:val="multilevel"/>
    <w:tmpl w:val="7223088C"/>
    <w:lvl w:ilvl="0">
      <w:start w:val="1"/>
      <w:numFmt w:val="lowerLetter"/>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983">
    <w:nsid w:val="7223088D"/>
    <w:multiLevelType w:val="hybridMultilevel"/>
    <w:tmpl w:val="7223088D"/>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984">
    <w:nsid w:val="7223088E"/>
    <w:multiLevelType w:val="hybridMultilevel"/>
    <w:tmpl w:val="7223088E"/>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985">
    <w:nsid w:val="7223088F"/>
    <w:multiLevelType w:val="hybridMultilevel"/>
    <w:tmpl w:val="7223088F"/>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986">
    <w:nsid w:val="72230890"/>
    <w:multiLevelType w:val="hybridMultilevel"/>
    <w:tmpl w:val="72230890"/>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987">
    <w:nsid w:val="72230891"/>
    <w:multiLevelType w:val="hybridMultilevel"/>
    <w:tmpl w:val="72230891"/>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988">
    <w:nsid w:val="72230892"/>
    <w:multiLevelType w:val="hybridMultilevel"/>
    <w:tmpl w:val="72230892"/>
    <w:lvl w:ilvl="0" w:tplc="FFFFFFFF">
      <w:start w:val="1"/>
      <w:numFmt w:val="bullet"/>
      <w:lvlText w:val=""/>
      <w:lvlJc w:val="left"/>
      <w:pPr>
        <w:tabs>
          <w:tab w:val="num" w:pos="720"/>
        </w:tabs>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989">
    <w:nsid w:val="72230893"/>
    <w:multiLevelType w:val="hybridMultilevel"/>
    <w:tmpl w:val="72230893"/>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990">
    <w:nsid w:val="72230894"/>
    <w:multiLevelType w:val="multilevel"/>
    <w:tmpl w:val="72230894"/>
    <w:lvl w:ilvl="0">
      <w:start w:val="1"/>
      <w:numFmt w:val="lowerLetter"/>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991">
    <w:nsid w:val="72230895"/>
    <w:multiLevelType w:val="hybridMultilevel"/>
    <w:tmpl w:val="72230895"/>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992">
    <w:nsid w:val="72230896"/>
    <w:multiLevelType w:val="hybridMultilevel"/>
    <w:tmpl w:val="72230896"/>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993">
    <w:nsid w:val="72230897"/>
    <w:multiLevelType w:val="hybridMultilevel"/>
    <w:tmpl w:val="72230897"/>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994">
    <w:nsid w:val="72230898"/>
    <w:multiLevelType w:val="hybridMultilevel"/>
    <w:tmpl w:val="72230898"/>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995">
    <w:nsid w:val="72230899"/>
    <w:multiLevelType w:val="hybridMultilevel"/>
    <w:tmpl w:val="72230899"/>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996">
    <w:nsid w:val="7223089A"/>
    <w:multiLevelType w:val="hybridMultilevel"/>
    <w:tmpl w:val="7223089A"/>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997">
    <w:nsid w:val="7223089B"/>
    <w:multiLevelType w:val="hybridMultilevel"/>
    <w:tmpl w:val="7223089B"/>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998">
    <w:nsid w:val="7223089C"/>
    <w:multiLevelType w:val="hybridMultilevel"/>
    <w:tmpl w:val="7223089C"/>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999">
    <w:nsid w:val="7223089D"/>
    <w:multiLevelType w:val="hybridMultilevel"/>
    <w:tmpl w:val="7223089D"/>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000">
    <w:nsid w:val="7223089E"/>
    <w:multiLevelType w:val="hybridMultilevel"/>
    <w:tmpl w:val="7223089E"/>
    <w:lvl w:ilvl="0" w:tplc="FFFFFFFF">
      <w:start w:val="1"/>
      <w:numFmt w:val="bullet"/>
      <w:lvlText w:val=""/>
      <w:lvlJc w:val="left"/>
      <w:pPr>
        <w:tabs>
          <w:tab w:val="num" w:pos="720"/>
        </w:tabs>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001">
    <w:nsid w:val="7223089F"/>
    <w:multiLevelType w:val="hybridMultilevel"/>
    <w:tmpl w:val="7223089F"/>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002">
    <w:nsid w:val="722308A0"/>
    <w:multiLevelType w:val="hybridMultilevel"/>
    <w:tmpl w:val="722308A0"/>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003">
    <w:nsid w:val="722308A1"/>
    <w:multiLevelType w:val="hybridMultilevel"/>
    <w:tmpl w:val="722308A1"/>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004">
    <w:nsid w:val="722308A2"/>
    <w:multiLevelType w:val="hybridMultilevel"/>
    <w:tmpl w:val="722308A2"/>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005">
    <w:nsid w:val="722308A3"/>
    <w:multiLevelType w:val="hybridMultilevel"/>
    <w:tmpl w:val="722308A3"/>
    <w:lvl w:ilvl="0" w:tplc="FFFFFFFF">
      <w:start w:val="1"/>
      <w:numFmt w:val="bullet"/>
      <w:lvlText w:val=""/>
      <w:lvlJc w:val="left"/>
      <w:pPr>
        <w:tabs>
          <w:tab w:val="num" w:pos="720"/>
        </w:tabs>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006">
    <w:nsid w:val="722308A4"/>
    <w:multiLevelType w:val="hybridMultilevel"/>
    <w:tmpl w:val="722308A4"/>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007">
    <w:nsid w:val="722308A5"/>
    <w:multiLevelType w:val="hybridMultilevel"/>
    <w:tmpl w:val="722308A5"/>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008">
    <w:nsid w:val="722308A6"/>
    <w:multiLevelType w:val="hybridMultilevel"/>
    <w:tmpl w:val="722308A6"/>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009">
    <w:nsid w:val="722308A7"/>
    <w:multiLevelType w:val="hybridMultilevel"/>
    <w:tmpl w:val="722308A7"/>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010">
    <w:nsid w:val="722308A8"/>
    <w:multiLevelType w:val="hybridMultilevel"/>
    <w:tmpl w:val="722308A8"/>
    <w:lvl w:ilvl="0" w:tplc="FFFFFFFF">
      <w:start w:val="1"/>
      <w:numFmt w:val="bullet"/>
      <w:lvlText w:val=""/>
      <w:lvlJc w:val="left"/>
      <w:pPr>
        <w:tabs>
          <w:tab w:val="num" w:pos="720"/>
        </w:tabs>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011">
    <w:nsid w:val="722308A9"/>
    <w:multiLevelType w:val="hybridMultilevel"/>
    <w:tmpl w:val="722308A9"/>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012">
    <w:nsid w:val="722308AA"/>
    <w:multiLevelType w:val="hybridMultilevel"/>
    <w:tmpl w:val="722308AA"/>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013">
    <w:nsid w:val="722308AB"/>
    <w:multiLevelType w:val="hybridMultilevel"/>
    <w:tmpl w:val="722308AB"/>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014">
    <w:nsid w:val="722308AC"/>
    <w:multiLevelType w:val="hybridMultilevel"/>
    <w:tmpl w:val="722308AC"/>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015">
    <w:nsid w:val="722308AD"/>
    <w:multiLevelType w:val="hybridMultilevel"/>
    <w:tmpl w:val="722308AD"/>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016">
    <w:nsid w:val="722308AE"/>
    <w:multiLevelType w:val="hybridMultilevel"/>
    <w:tmpl w:val="722308AE"/>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017">
    <w:nsid w:val="722308AF"/>
    <w:multiLevelType w:val="hybridMultilevel"/>
    <w:tmpl w:val="722308AF"/>
    <w:lvl w:ilvl="0" w:tplc="FFFFFFFF">
      <w:start w:val="1"/>
      <w:numFmt w:val="bullet"/>
      <w:lvlText w:val=""/>
      <w:lvlJc w:val="left"/>
      <w:pPr>
        <w:tabs>
          <w:tab w:val="num" w:pos="720"/>
        </w:tabs>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018">
    <w:nsid w:val="722308B0"/>
    <w:multiLevelType w:val="hybridMultilevel"/>
    <w:tmpl w:val="722308B0"/>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019">
    <w:nsid w:val="722308B1"/>
    <w:multiLevelType w:val="hybridMultilevel"/>
    <w:tmpl w:val="722308B1"/>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020">
    <w:nsid w:val="722308B2"/>
    <w:multiLevelType w:val="hybridMultilevel"/>
    <w:tmpl w:val="722308B2"/>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021">
    <w:nsid w:val="722308B3"/>
    <w:multiLevelType w:val="multilevel"/>
    <w:tmpl w:val="722308B3"/>
    <w:lvl w:ilvl="0">
      <w:start w:val="1"/>
      <w:numFmt w:val="decimal"/>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022">
    <w:nsid w:val="722308B4"/>
    <w:multiLevelType w:val="hybridMultilevel"/>
    <w:tmpl w:val="722308B4"/>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023">
    <w:nsid w:val="722308B5"/>
    <w:multiLevelType w:val="hybridMultilevel"/>
    <w:tmpl w:val="722308B5"/>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024">
    <w:nsid w:val="722308B6"/>
    <w:multiLevelType w:val="hybridMultilevel"/>
    <w:tmpl w:val="722308B6"/>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025">
    <w:nsid w:val="722308B7"/>
    <w:multiLevelType w:val="hybridMultilevel"/>
    <w:tmpl w:val="722308B7"/>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026">
    <w:nsid w:val="722308B8"/>
    <w:multiLevelType w:val="hybridMultilevel"/>
    <w:tmpl w:val="722308B8"/>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027">
    <w:nsid w:val="722308B9"/>
    <w:multiLevelType w:val="hybridMultilevel"/>
    <w:tmpl w:val="722308B9"/>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028">
    <w:nsid w:val="722308BA"/>
    <w:multiLevelType w:val="hybridMultilevel"/>
    <w:tmpl w:val="722308BA"/>
    <w:lvl w:ilvl="0" w:tplc="FFFFFFFF">
      <w:start w:val="1"/>
      <w:numFmt w:val="bullet"/>
      <w:lvlText w:val=""/>
      <w:lvlJc w:val="left"/>
      <w:pPr>
        <w:ind w:left="720" w:hanging="360"/>
      </w:pPr>
      <w:rPr>
        <w:rFonts w:ascii="Symbol" w:hAnsi="Symbol"/>
      </w:rPr>
    </w:lvl>
    <w:lvl w:ilvl="1" w:tplc="FFFFFFFF">
      <w:start w:val="1"/>
      <w:numFmt w:val="bullet"/>
      <w:lvlText w:val="o"/>
      <w:lvlJc w:val="left"/>
      <w:pPr>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029">
    <w:nsid w:val="722308BB"/>
    <w:multiLevelType w:val="hybridMultilevel"/>
    <w:tmpl w:val="722308BB"/>
    <w:lvl w:ilvl="0" w:tplc="FFFFFFFF">
      <w:start w:val="1"/>
      <w:numFmt w:val="bullet"/>
      <w:lvlText w:val=""/>
      <w:lvlJc w:val="left"/>
      <w:pPr>
        <w:ind w:left="720" w:hanging="360"/>
      </w:pPr>
      <w:rPr>
        <w:rFonts w:ascii="Symbol" w:hAnsi="Symbol"/>
      </w:rPr>
    </w:lvl>
    <w:lvl w:ilvl="1" w:tplc="FFFFFFFF">
      <w:start w:val="1"/>
      <w:numFmt w:val="bullet"/>
      <w:lvlText w:val="o"/>
      <w:lvlJc w:val="left"/>
      <w:pPr>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030">
    <w:nsid w:val="722308BC"/>
    <w:multiLevelType w:val="hybridMultilevel"/>
    <w:tmpl w:val="722308BC"/>
    <w:lvl w:ilvl="0" w:tplc="FFFFFFFF">
      <w:start w:val="1"/>
      <w:numFmt w:val="bullet"/>
      <w:lvlText w:val=""/>
      <w:lvlJc w:val="left"/>
      <w:pPr>
        <w:ind w:left="720" w:hanging="360"/>
      </w:pPr>
      <w:rPr>
        <w:rFonts w:ascii="Symbol" w:hAnsi="Symbol"/>
      </w:rPr>
    </w:lvl>
    <w:lvl w:ilvl="1" w:tplc="FFFFFFFF">
      <w:start w:val="1"/>
      <w:numFmt w:val="bullet"/>
      <w:lvlText w:val="o"/>
      <w:lvlJc w:val="left"/>
      <w:pPr>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031">
    <w:nsid w:val="722308BD"/>
    <w:multiLevelType w:val="hybridMultilevel"/>
    <w:tmpl w:val="722308BD"/>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032">
    <w:nsid w:val="722308BE"/>
    <w:multiLevelType w:val="hybridMultilevel"/>
    <w:tmpl w:val="722308BE"/>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033">
    <w:nsid w:val="722308BF"/>
    <w:multiLevelType w:val="hybridMultilevel"/>
    <w:tmpl w:val="722308BF"/>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034">
    <w:nsid w:val="722308C0"/>
    <w:multiLevelType w:val="hybridMultilevel"/>
    <w:tmpl w:val="722308C0"/>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035">
    <w:nsid w:val="722308C1"/>
    <w:multiLevelType w:val="hybridMultilevel"/>
    <w:tmpl w:val="722308C1"/>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036">
    <w:nsid w:val="722308C2"/>
    <w:multiLevelType w:val="hybridMultilevel"/>
    <w:tmpl w:val="722308C2"/>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037">
    <w:nsid w:val="722308C3"/>
    <w:multiLevelType w:val="hybridMultilevel"/>
    <w:tmpl w:val="722308C3"/>
    <w:lvl w:ilvl="0" w:tplc="FFFFFFFF">
      <w:start w:val="1"/>
      <w:numFmt w:val="bullet"/>
      <w:lvlText w:val=""/>
      <w:lvlJc w:val="left"/>
      <w:pPr>
        <w:ind w:left="720" w:hanging="360"/>
      </w:pPr>
      <w:rPr>
        <w:rFonts w:ascii="Symbol" w:hAnsi="Symbol"/>
      </w:rPr>
    </w:lvl>
    <w:lvl w:ilvl="1" w:tplc="FFFFFFFF">
      <w:start w:val="1"/>
      <w:numFmt w:val="bullet"/>
      <w:lvlText w:val="o"/>
      <w:lvlJc w:val="left"/>
      <w:pPr>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038">
    <w:nsid w:val="722308C4"/>
    <w:multiLevelType w:val="hybridMultilevel"/>
    <w:tmpl w:val="722308C4"/>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039">
    <w:nsid w:val="722308C5"/>
    <w:multiLevelType w:val="hybridMultilevel"/>
    <w:tmpl w:val="722308C5"/>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040">
    <w:nsid w:val="722308C6"/>
    <w:multiLevelType w:val="hybridMultilevel"/>
    <w:tmpl w:val="722308C6"/>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041">
    <w:nsid w:val="722308C7"/>
    <w:multiLevelType w:val="hybridMultilevel"/>
    <w:tmpl w:val="722308C7"/>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042">
    <w:nsid w:val="722308C8"/>
    <w:multiLevelType w:val="hybridMultilevel"/>
    <w:tmpl w:val="722308C8"/>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043">
    <w:nsid w:val="722308C9"/>
    <w:multiLevelType w:val="hybridMultilevel"/>
    <w:tmpl w:val="722308C9"/>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044">
    <w:nsid w:val="722308CA"/>
    <w:multiLevelType w:val="hybridMultilevel"/>
    <w:tmpl w:val="722308CA"/>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045">
    <w:nsid w:val="722308CB"/>
    <w:multiLevelType w:val="hybridMultilevel"/>
    <w:tmpl w:val="722308CB"/>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046">
    <w:nsid w:val="722308CC"/>
    <w:multiLevelType w:val="hybridMultilevel"/>
    <w:tmpl w:val="722308CC"/>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047">
    <w:nsid w:val="722308CD"/>
    <w:multiLevelType w:val="hybridMultilevel"/>
    <w:tmpl w:val="722308CD"/>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048">
    <w:nsid w:val="722308CE"/>
    <w:multiLevelType w:val="hybridMultilevel"/>
    <w:tmpl w:val="722308CE"/>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049">
    <w:nsid w:val="722308CF"/>
    <w:multiLevelType w:val="hybridMultilevel"/>
    <w:tmpl w:val="722308CF"/>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050">
    <w:nsid w:val="722308D0"/>
    <w:multiLevelType w:val="hybridMultilevel"/>
    <w:tmpl w:val="722308D0"/>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051">
    <w:nsid w:val="722308D1"/>
    <w:multiLevelType w:val="hybridMultilevel"/>
    <w:tmpl w:val="722308D1"/>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052">
    <w:nsid w:val="722308D2"/>
    <w:multiLevelType w:val="hybridMultilevel"/>
    <w:tmpl w:val="722308D2"/>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053">
    <w:nsid w:val="722308D3"/>
    <w:multiLevelType w:val="hybridMultilevel"/>
    <w:tmpl w:val="722308D3"/>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054">
    <w:nsid w:val="722308D4"/>
    <w:multiLevelType w:val="hybridMultilevel"/>
    <w:tmpl w:val="722308D4"/>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055">
    <w:nsid w:val="722308D5"/>
    <w:multiLevelType w:val="hybridMultilevel"/>
    <w:tmpl w:val="722308D5"/>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056">
    <w:nsid w:val="722308D6"/>
    <w:multiLevelType w:val="hybridMultilevel"/>
    <w:tmpl w:val="722308D6"/>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057">
    <w:nsid w:val="722308D7"/>
    <w:multiLevelType w:val="hybridMultilevel"/>
    <w:tmpl w:val="722308D7"/>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058">
    <w:nsid w:val="722308D8"/>
    <w:multiLevelType w:val="hybridMultilevel"/>
    <w:tmpl w:val="722308D8"/>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059">
    <w:nsid w:val="722308D9"/>
    <w:multiLevelType w:val="hybridMultilevel"/>
    <w:tmpl w:val="722308D9"/>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060">
    <w:nsid w:val="722308DA"/>
    <w:multiLevelType w:val="hybridMultilevel"/>
    <w:tmpl w:val="722308DA"/>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061">
    <w:nsid w:val="722308DB"/>
    <w:multiLevelType w:val="hybridMultilevel"/>
    <w:tmpl w:val="722308DB"/>
    <w:lvl w:ilvl="0" w:tplc="FFFFFFFF">
      <w:start w:val="1"/>
      <w:numFmt w:val="bullet"/>
      <w:lvlText w:val=""/>
      <w:lvlJc w:val="left"/>
      <w:pPr>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062">
    <w:nsid w:val="7B541D73"/>
    <w:multiLevelType w:val="hybridMultilevel"/>
    <w:tmpl w:val="FA6EF19A"/>
    <w:lvl w:ilvl="0" w:tplc="04240001">
      <w:start w:val="1"/>
      <w:numFmt w:val="bullet"/>
      <w:lvlText w:val=""/>
      <w:lvlJc w:val="left"/>
      <w:pPr>
        <w:ind w:left="1440" w:hanging="360"/>
      </w:pPr>
      <w:rPr>
        <w:rFonts w:ascii="Symbol" w:hAnsi="Symbol" w:hint="default"/>
      </w:rPr>
    </w:lvl>
    <w:lvl w:ilvl="1" w:tplc="04240003">
      <w:start w:val="1"/>
      <w:numFmt w:val="bullet"/>
      <w:lvlText w:val="o"/>
      <w:lvlJc w:val="left"/>
      <w:pPr>
        <w:ind w:left="2160" w:hanging="360"/>
      </w:pPr>
      <w:rPr>
        <w:rFonts w:ascii="Courier New" w:hAnsi="Courier New" w:hint="default"/>
      </w:rPr>
    </w:lvl>
    <w:lvl w:ilvl="2" w:tplc="04240005">
      <w:start w:val="1"/>
      <w:numFmt w:val="bullet"/>
      <w:lvlText w:val=""/>
      <w:lvlJc w:val="left"/>
      <w:pPr>
        <w:ind w:left="2880" w:hanging="360"/>
      </w:pPr>
      <w:rPr>
        <w:rFonts w:ascii="Wingdings" w:hAnsi="Wingdings" w:hint="default"/>
      </w:rPr>
    </w:lvl>
    <w:lvl w:ilvl="3" w:tplc="04240001">
      <w:start w:val="1"/>
      <w:numFmt w:val="bullet"/>
      <w:lvlText w:val=""/>
      <w:lvlJc w:val="left"/>
      <w:pPr>
        <w:ind w:left="3600" w:hanging="360"/>
      </w:pPr>
      <w:rPr>
        <w:rFonts w:ascii="Symbol" w:hAnsi="Symbol" w:hint="default"/>
      </w:rPr>
    </w:lvl>
    <w:lvl w:ilvl="4" w:tplc="04240003">
      <w:start w:val="1"/>
      <w:numFmt w:val="bullet"/>
      <w:lvlText w:val="o"/>
      <w:lvlJc w:val="left"/>
      <w:pPr>
        <w:ind w:left="4320" w:hanging="360"/>
      </w:pPr>
      <w:rPr>
        <w:rFonts w:ascii="Courier New" w:hAnsi="Courier New" w:hint="default"/>
      </w:rPr>
    </w:lvl>
    <w:lvl w:ilvl="5" w:tplc="04240005">
      <w:start w:val="1"/>
      <w:numFmt w:val="bullet"/>
      <w:lvlText w:val=""/>
      <w:lvlJc w:val="left"/>
      <w:pPr>
        <w:ind w:left="5040" w:hanging="360"/>
      </w:pPr>
      <w:rPr>
        <w:rFonts w:ascii="Wingdings" w:hAnsi="Wingdings" w:hint="default"/>
      </w:rPr>
    </w:lvl>
    <w:lvl w:ilvl="6" w:tplc="04240001">
      <w:start w:val="1"/>
      <w:numFmt w:val="bullet"/>
      <w:lvlText w:val=""/>
      <w:lvlJc w:val="left"/>
      <w:pPr>
        <w:ind w:left="5760" w:hanging="360"/>
      </w:pPr>
      <w:rPr>
        <w:rFonts w:ascii="Symbol" w:hAnsi="Symbol" w:hint="default"/>
      </w:rPr>
    </w:lvl>
    <w:lvl w:ilvl="7" w:tplc="04240003">
      <w:start w:val="1"/>
      <w:numFmt w:val="bullet"/>
      <w:lvlText w:val="o"/>
      <w:lvlJc w:val="left"/>
      <w:pPr>
        <w:ind w:left="6480" w:hanging="360"/>
      </w:pPr>
      <w:rPr>
        <w:rFonts w:ascii="Courier New" w:hAnsi="Courier New" w:hint="default"/>
      </w:rPr>
    </w:lvl>
    <w:lvl w:ilvl="8" w:tplc="04240005">
      <w:start w:val="1"/>
      <w:numFmt w:val="bullet"/>
      <w:lvlText w:val=""/>
      <w:lvlJc w:val="left"/>
      <w:pPr>
        <w:ind w:left="7200" w:hanging="360"/>
      </w:pPr>
      <w:rPr>
        <w:rFonts w:ascii="Wingdings" w:hAnsi="Wingdings" w:hint="default"/>
      </w:rPr>
    </w:lvl>
  </w:abstractNum>
  <w:num w:numId="1">
    <w:abstractNumId w:val="1"/>
  </w:num>
  <w:num w:numId="2">
    <w:abstractNumId w:val="0"/>
  </w:num>
  <w:num w:numId="3">
    <w:abstractNumId w:val="20"/>
  </w:num>
  <w:num w:numId="4">
    <w:abstractNumId w:val="9"/>
  </w:num>
  <w:num w:numId="5">
    <w:abstractNumId w:val="18"/>
  </w:num>
  <w:num w:numId="6">
    <w:abstractNumId w:val="29"/>
  </w:num>
  <w:num w:numId="7">
    <w:abstractNumId w:val="32"/>
  </w:num>
  <w:num w:numId="8">
    <w:abstractNumId w:val="12"/>
  </w:num>
  <w:num w:numId="9">
    <w:abstractNumId w:val="28"/>
  </w:num>
  <w:num w:numId="10">
    <w:abstractNumId w:val="27"/>
  </w:num>
  <w:num w:numId="11">
    <w:abstractNumId w:val="21"/>
  </w:num>
  <w:num w:numId="12">
    <w:abstractNumId w:val="24"/>
  </w:num>
  <w:num w:numId="13">
    <w:abstractNumId w:val="7"/>
  </w:num>
  <w:num w:numId="14">
    <w:abstractNumId w:val="14"/>
  </w:num>
  <w:num w:numId="15">
    <w:abstractNumId w:val="5"/>
  </w:num>
  <w:num w:numId="16">
    <w:abstractNumId w:val="10"/>
  </w:num>
  <w:num w:numId="17">
    <w:abstractNumId w:val="33"/>
  </w:num>
  <w:num w:numId="18">
    <w:abstractNumId w:val="25"/>
  </w:num>
  <w:num w:numId="19">
    <w:abstractNumId w:val="23"/>
  </w:num>
  <w:num w:numId="20">
    <w:abstractNumId w:val="34"/>
  </w:num>
  <w:num w:numId="21">
    <w:abstractNumId w:val="35"/>
  </w:num>
  <w:num w:numId="22">
    <w:abstractNumId w:val="36"/>
  </w:num>
  <w:num w:numId="23">
    <w:abstractNumId w:val="37"/>
  </w:num>
  <w:num w:numId="24">
    <w:abstractNumId w:val="38"/>
  </w:num>
  <w:num w:numId="25">
    <w:abstractNumId w:val="39"/>
  </w:num>
  <w:num w:numId="26">
    <w:abstractNumId w:val="40"/>
  </w:num>
  <w:num w:numId="27">
    <w:abstractNumId w:val="41"/>
  </w:num>
  <w:num w:numId="28">
    <w:abstractNumId w:val="42"/>
  </w:num>
  <w:num w:numId="29">
    <w:abstractNumId w:val="43"/>
  </w:num>
  <w:num w:numId="30">
    <w:abstractNumId w:val="44"/>
  </w:num>
  <w:num w:numId="31">
    <w:abstractNumId w:val="45"/>
  </w:num>
  <w:num w:numId="32">
    <w:abstractNumId w:val="46"/>
  </w:num>
  <w:num w:numId="33">
    <w:abstractNumId w:val="47"/>
  </w:num>
  <w:num w:numId="34">
    <w:abstractNumId w:val="48"/>
  </w:num>
  <w:num w:numId="35">
    <w:abstractNumId w:val="49"/>
  </w:num>
  <w:num w:numId="36">
    <w:abstractNumId w:val="50"/>
  </w:num>
  <w:num w:numId="37">
    <w:abstractNumId w:val="51"/>
  </w:num>
  <w:num w:numId="38">
    <w:abstractNumId w:val="52"/>
  </w:num>
  <w:num w:numId="39">
    <w:abstractNumId w:val="53"/>
  </w:num>
  <w:num w:numId="40">
    <w:abstractNumId w:val="54"/>
  </w:num>
  <w:num w:numId="41">
    <w:abstractNumId w:val="55"/>
  </w:num>
  <w:num w:numId="42">
    <w:abstractNumId w:val="56"/>
  </w:num>
  <w:num w:numId="43">
    <w:abstractNumId w:val="57"/>
  </w:num>
  <w:num w:numId="44">
    <w:abstractNumId w:val="58"/>
  </w:num>
  <w:num w:numId="45">
    <w:abstractNumId w:val="59"/>
  </w:num>
  <w:num w:numId="46">
    <w:abstractNumId w:val="60"/>
  </w:num>
  <w:num w:numId="47">
    <w:abstractNumId w:val="61"/>
  </w:num>
  <w:num w:numId="48">
    <w:abstractNumId w:val="62"/>
  </w:num>
  <w:num w:numId="49">
    <w:abstractNumId w:val="63"/>
  </w:num>
  <w:num w:numId="50">
    <w:abstractNumId w:val="64"/>
  </w:num>
  <w:num w:numId="51">
    <w:abstractNumId w:val="65"/>
  </w:num>
  <w:num w:numId="52">
    <w:abstractNumId w:val="66"/>
  </w:num>
  <w:num w:numId="53">
    <w:abstractNumId w:val="67"/>
  </w:num>
  <w:num w:numId="54">
    <w:abstractNumId w:val="68"/>
  </w:num>
  <w:num w:numId="55">
    <w:abstractNumId w:val="69"/>
  </w:num>
  <w:num w:numId="56">
    <w:abstractNumId w:val="70"/>
  </w:num>
  <w:num w:numId="57">
    <w:abstractNumId w:val="71"/>
  </w:num>
  <w:num w:numId="58">
    <w:abstractNumId w:val="72"/>
  </w:num>
  <w:num w:numId="59">
    <w:abstractNumId w:val="73"/>
  </w:num>
  <w:num w:numId="60">
    <w:abstractNumId w:val="74"/>
  </w:num>
  <w:num w:numId="61">
    <w:abstractNumId w:val="75"/>
  </w:num>
  <w:num w:numId="62">
    <w:abstractNumId w:val="76"/>
  </w:num>
  <w:num w:numId="63">
    <w:abstractNumId w:val="77"/>
  </w:num>
  <w:num w:numId="64">
    <w:abstractNumId w:val="78"/>
  </w:num>
  <w:num w:numId="65">
    <w:abstractNumId w:val="79"/>
  </w:num>
  <w:num w:numId="66">
    <w:abstractNumId w:val="80"/>
  </w:num>
  <w:num w:numId="67">
    <w:abstractNumId w:val="81"/>
  </w:num>
  <w:num w:numId="68">
    <w:abstractNumId w:val="82"/>
  </w:num>
  <w:num w:numId="69">
    <w:abstractNumId w:val="83"/>
  </w:num>
  <w:num w:numId="70">
    <w:abstractNumId w:val="84"/>
  </w:num>
  <w:num w:numId="71">
    <w:abstractNumId w:val="85"/>
  </w:num>
  <w:num w:numId="72">
    <w:abstractNumId w:val="86"/>
  </w:num>
  <w:num w:numId="73">
    <w:abstractNumId w:val="87"/>
  </w:num>
  <w:num w:numId="74">
    <w:abstractNumId w:val="88"/>
  </w:num>
  <w:num w:numId="75">
    <w:abstractNumId w:val="89"/>
  </w:num>
  <w:num w:numId="76">
    <w:abstractNumId w:val="90"/>
  </w:num>
  <w:num w:numId="77">
    <w:abstractNumId w:val="91"/>
  </w:num>
  <w:num w:numId="78">
    <w:abstractNumId w:val="92"/>
  </w:num>
  <w:num w:numId="79">
    <w:abstractNumId w:val="93"/>
  </w:num>
  <w:num w:numId="80">
    <w:abstractNumId w:val="94"/>
  </w:num>
  <w:num w:numId="81">
    <w:abstractNumId w:val="95"/>
  </w:num>
  <w:num w:numId="82">
    <w:abstractNumId w:val="96"/>
  </w:num>
  <w:num w:numId="83">
    <w:abstractNumId w:val="97"/>
  </w:num>
  <w:num w:numId="84">
    <w:abstractNumId w:val="98"/>
  </w:num>
  <w:num w:numId="85">
    <w:abstractNumId w:val="99"/>
  </w:num>
  <w:num w:numId="86">
    <w:abstractNumId w:val="100"/>
  </w:num>
  <w:num w:numId="87">
    <w:abstractNumId w:val="101"/>
  </w:num>
  <w:num w:numId="88">
    <w:abstractNumId w:val="102"/>
  </w:num>
  <w:num w:numId="89">
    <w:abstractNumId w:val="103"/>
  </w:num>
  <w:num w:numId="90">
    <w:abstractNumId w:val="104"/>
  </w:num>
  <w:num w:numId="91">
    <w:abstractNumId w:val="105"/>
  </w:num>
  <w:num w:numId="92">
    <w:abstractNumId w:val="106"/>
  </w:num>
  <w:num w:numId="93">
    <w:abstractNumId w:val="107"/>
  </w:num>
  <w:num w:numId="94">
    <w:abstractNumId w:val="108"/>
  </w:num>
  <w:num w:numId="95">
    <w:abstractNumId w:val="109"/>
  </w:num>
  <w:num w:numId="96">
    <w:abstractNumId w:val="110"/>
  </w:num>
  <w:num w:numId="97">
    <w:abstractNumId w:val="111"/>
  </w:num>
  <w:num w:numId="98">
    <w:abstractNumId w:val="112"/>
  </w:num>
  <w:num w:numId="99">
    <w:abstractNumId w:val="113"/>
  </w:num>
  <w:num w:numId="100">
    <w:abstractNumId w:val="114"/>
  </w:num>
  <w:num w:numId="101">
    <w:abstractNumId w:val="115"/>
  </w:num>
  <w:num w:numId="102">
    <w:abstractNumId w:val="116"/>
  </w:num>
  <w:num w:numId="103">
    <w:abstractNumId w:val="117"/>
  </w:num>
  <w:num w:numId="104">
    <w:abstractNumId w:val="118"/>
  </w:num>
  <w:num w:numId="105">
    <w:abstractNumId w:val="119"/>
  </w:num>
  <w:num w:numId="106">
    <w:abstractNumId w:val="120"/>
  </w:num>
  <w:num w:numId="107">
    <w:abstractNumId w:val="121"/>
  </w:num>
  <w:num w:numId="108">
    <w:abstractNumId w:val="122"/>
  </w:num>
  <w:num w:numId="109">
    <w:abstractNumId w:val="123"/>
  </w:num>
  <w:num w:numId="110">
    <w:abstractNumId w:val="124"/>
  </w:num>
  <w:num w:numId="111">
    <w:abstractNumId w:val="125"/>
  </w:num>
  <w:num w:numId="112">
    <w:abstractNumId w:val="126"/>
  </w:num>
  <w:num w:numId="113">
    <w:abstractNumId w:val="127"/>
  </w:num>
  <w:num w:numId="114">
    <w:abstractNumId w:val="128"/>
  </w:num>
  <w:num w:numId="115">
    <w:abstractNumId w:val="129"/>
  </w:num>
  <w:num w:numId="116">
    <w:abstractNumId w:val="130"/>
  </w:num>
  <w:num w:numId="117">
    <w:abstractNumId w:val="131"/>
  </w:num>
  <w:num w:numId="118">
    <w:abstractNumId w:val="132"/>
  </w:num>
  <w:num w:numId="119">
    <w:abstractNumId w:val="133"/>
  </w:num>
  <w:num w:numId="120">
    <w:abstractNumId w:val="134"/>
  </w:num>
  <w:num w:numId="121">
    <w:abstractNumId w:val="135"/>
  </w:num>
  <w:num w:numId="122">
    <w:abstractNumId w:val="136"/>
  </w:num>
  <w:num w:numId="123">
    <w:abstractNumId w:val="137"/>
  </w:num>
  <w:num w:numId="124">
    <w:abstractNumId w:val="138"/>
  </w:num>
  <w:num w:numId="125">
    <w:abstractNumId w:val="139"/>
  </w:num>
  <w:num w:numId="126">
    <w:abstractNumId w:val="140"/>
  </w:num>
  <w:num w:numId="127">
    <w:abstractNumId w:val="141"/>
  </w:num>
  <w:num w:numId="128">
    <w:abstractNumId w:val="142"/>
  </w:num>
  <w:num w:numId="129">
    <w:abstractNumId w:val="143"/>
  </w:num>
  <w:num w:numId="130">
    <w:abstractNumId w:val="144"/>
  </w:num>
  <w:num w:numId="131">
    <w:abstractNumId w:val="145"/>
  </w:num>
  <w:num w:numId="132">
    <w:abstractNumId w:val="146"/>
  </w:num>
  <w:num w:numId="133">
    <w:abstractNumId w:val="147"/>
  </w:num>
  <w:num w:numId="134">
    <w:abstractNumId w:val="148"/>
  </w:num>
  <w:num w:numId="135">
    <w:abstractNumId w:val="149"/>
  </w:num>
  <w:num w:numId="136">
    <w:abstractNumId w:val="150"/>
  </w:num>
  <w:num w:numId="137">
    <w:abstractNumId w:val="151"/>
  </w:num>
  <w:num w:numId="138">
    <w:abstractNumId w:val="152"/>
  </w:num>
  <w:num w:numId="139">
    <w:abstractNumId w:val="153"/>
  </w:num>
  <w:num w:numId="140">
    <w:abstractNumId w:val="154"/>
  </w:num>
  <w:num w:numId="141">
    <w:abstractNumId w:val="155"/>
  </w:num>
  <w:num w:numId="142">
    <w:abstractNumId w:val="156"/>
  </w:num>
  <w:num w:numId="143">
    <w:abstractNumId w:val="157"/>
  </w:num>
  <w:num w:numId="144">
    <w:abstractNumId w:val="158"/>
  </w:num>
  <w:num w:numId="145">
    <w:abstractNumId w:val="159"/>
  </w:num>
  <w:num w:numId="146">
    <w:abstractNumId w:val="160"/>
  </w:num>
  <w:num w:numId="147">
    <w:abstractNumId w:val="161"/>
  </w:num>
  <w:num w:numId="148">
    <w:abstractNumId w:val="162"/>
  </w:num>
  <w:num w:numId="149">
    <w:abstractNumId w:val="163"/>
  </w:num>
  <w:num w:numId="150">
    <w:abstractNumId w:val="164"/>
  </w:num>
  <w:num w:numId="151">
    <w:abstractNumId w:val="165"/>
  </w:num>
  <w:num w:numId="152">
    <w:abstractNumId w:val="166"/>
  </w:num>
  <w:num w:numId="153">
    <w:abstractNumId w:val="167"/>
  </w:num>
  <w:num w:numId="154">
    <w:abstractNumId w:val="168"/>
  </w:num>
  <w:num w:numId="155">
    <w:abstractNumId w:val="169"/>
  </w:num>
  <w:num w:numId="156">
    <w:abstractNumId w:val="170"/>
  </w:num>
  <w:num w:numId="157">
    <w:abstractNumId w:val="171"/>
  </w:num>
  <w:num w:numId="158">
    <w:abstractNumId w:val="172"/>
  </w:num>
  <w:num w:numId="159">
    <w:abstractNumId w:val="173"/>
  </w:num>
  <w:num w:numId="160">
    <w:abstractNumId w:val="174"/>
  </w:num>
  <w:num w:numId="161">
    <w:abstractNumId w:val="175"/>
  </w:num>
  <w:num w:numId="162">
    <w:abstractNumId w:val="176"/>
  </w:num>
  <w:num w:numId="163">
    <w:abstractNumId w:val="177"/>
  </w:num>
  <w:num w:numId="164">
    <w:abstractNumId w:val="178"/>
  </w:num>
  <w:num w:numId="165">
    <w:abstractNumId w:val="179"/>
  </w:num>
  <w:num w:numId="166">
    <w:abstractNumId w:val="180"/>
  </w:num>
  <w:num w:numId="167">
    <w:abstractNumId w:val="181"/>
  </w:num>
  <w:num w:numId="168">
    <w:abstractNumId w:val="182"/>
  </w:num>
  <w:num w:numId="169">
    <w:abstractNumId w:val="183"/>
  </w:num>
  <w:num w:numId="170">
    <w:abstractNumId w:val="184"/>
  </w:num>
  <w:num w:numId="171">
    <w:abstractNumId w:val="185"/>
  </w:num>
  <w:num w:numId="172">
    <w:abstractNumId w:val="186"/>
  </w:num>
  <w:num w:numId="173">
    <w:abstractNumId w:val="187"/>
  </w:num>
  <w:num w:numId="174">
    <w:abstractNumId w:val="188"/>
  </w:num>
  <w:num w:numId="175">
    <w:abstractNumId w:val="189"/>
  </w:num>
  <w:num w:numId="176">
    <w:abstractNumId w:val="190"/>
  </w:num>
  <w:num w:numId="177">
    <w:abstractNumId w:val="191"/>
  </w:num>
  <w:num w:numId="178">
    <w:abstractNumId w:val="192"/>
  </w:num>
  <w:num w:numId="179">
    <w:abstractNumId w:val="193"/>
  </w:num>
  <w:num w:numId="180">
    <w:abstractNumId w:val="194"/>
  </w:num>
  <w:num w:numId="181">
    <w:abstractNumId w:val="195"/>
  </w:num>
  <w:num w:numId="182">
    <w:abstractNumId w:val="196"/>
  </w:num>
  <w:num w:numId="183">
    <w:abstractNumId w:val="197"/>
  </w:num>
  <w:num w:numId="184">
    <w:abstractNumId w:val="198"/>
  </w:num>
  <w:num w:numId="185">
    <w:abstractNumId w:val="199"/>
  </w:num>
  <w:num w:numId="186">
    <w:abstractNumId w:val="200"/>
  </w:num>
  <w:num w:numId="187">
    <w:abstractNumId w:val="201"/>
  </w:num>
  <w:num w:numId="188">
    <w:abstractNumId w:val="202"/>
  </w:num>
  <w:num w:numId="189">
    <w:abstractNumId w:val="203"/>
  </w:num>
  <w:num w:numId="190">
    <w:abstractNumId w:val="204"/>
  </w:num>
  <w:num w:numId="191">
    <w:abstractNumId w:val="205"/>
  </w:num>
  <w:num w:numId="192">
    <w:abstractNumId w:val="206"/>
  </w:num>
  <w:num w:numId="193">
    <w:abstractNumId w:val="207"/>
  </w:num>
  <w:num w:numId="194">
    <w:abstractNumId w:val="208"/>
  </w:num>
  <w:num w:numId="195">
    <w:abstractNumId w:val="209"/>
  </w:num>
  <w:num w:numId="196">
    <w:abstractNumId w:val="210"/>
  </w:num>
  <w:num w:numId="197">
    <w:abstractNumId w:val="211"/>
  </w:num>
  <w:num w:numId="198">
    <w:abstractNumId w:val="212"/>
  </w:num>
  <w:num w:numId="199">
    <w:abstractNumId w:val="213"/>
  </w:num>
  <w:num w:numId="200">
    <w:abstractNumId w:val="214"/>
  </w:num>
  <w:num w:numId="201">
    <w:abstractNumId w:val="215"/>
  </w:num>
  <w:num w:numId="202">
    <w:abstractNumId w:val="216"/>
  </w:num>
  <w:num w:numId="203">
    <w:abstractNumId w:val="217"/>
  </w:num>
  <w:num w:numId="204">
    <w:abstractNumId w:val="218"/>
  </w:num>
  <w:num w:numId="205">
    <w:abstractNumId w:val="219"/>
  </w:num>
  <w:num w:numId="206">
    <w:abstractNumId w:val="220"/>
  </w:num>
  <w:num w:numId="207">
    <w:abstractNumId w:val="221"/>
  </w:num>
  <w:num w:numId="208">
    <w:abstractNumId w:val="222"/>
  </w:num>
  <w:num w:numId="209">
    <w:abstractNumId w:val="223"/>
  </w:num>
  <w:num w:numId="210">
    <w:abstractNumId w:val="224"/>
  </w:num>
  <w:num w:numId="211">
    <w:abstractNumId w:val="225"/>
  </w:num>
  <w:num w:numId="212">
    <w:abstractNumId w:val="226"/>
  </w:num>
  <w:num w:numId="213">
    <w:abstractNumId w:val="227"/>
  </w:num>
  <w:num w:numId="214">
    <w:abstractNumId w:val="228"/>
  </w:num>
  <w:num w:numId="215">
    <w:abstractNumId w:val="229"/>
  </w:num>
  <w:num w:numId="216">
    <w:abstractNumId w:val="230"/>
  </w:num>
  <w:num w:numId="217">
    <w:abstractNumId w:val="231"/>
  </w:num>
  <w:num w:numId="218">
    <w:abstractNumId w:val="232"/>
  </w:num>
  <w:num w:numId="219">
    <w:abstractNumId w:val="233"/>
  </w:num>
  <w:num w:numId="220">
    <w:abstractNumId w:val="234"/>
  </w:num>
  <w:num w:numId="221">
    <w:abstractNumId w:val="235"/>
  </w:num>
  <w:num w:numId="222">
    <w:abstractNumId w:val="236"/>
  </w:num>
  <w:num w:numId="223">
    <w:abstractNumId w:val="237"/>
  </w:num>
  <w:num w:numId="224">
    <w:abstractNumId w:val="238"/>
  </w:num>
  <w:num w:numId="225">
    <w:abstractNumId w:val="239"/>
  </w:num>
  <w:num w:numId="226">
    <w:abstractNumId w:val="240"/>
  </w:num>
  <w:num w:numId="227">
    <w:abstractNumId w:val="241"/>
  </w:num>
  <w:num w:numId="228">
    <w:abstractNumId w:val="242"/>
  </w:num>
  <w:num w:numId="229">
    <w:abstractNumId w:val="243"/>
  </w:num>
  <w:num w:numId="230">
    <w:abstractNumId w:val="244"/>
  </w:num>
  <w:num w:numId="231">
    <w:abstractNumId w:val="245"/>
  </w:num>
  <w:num w:numId="232">
    <w:abstractNumId w:val="246"/>
  </w:num>
  <w:num w:numId="233">
    <w:abstractNumId w:val="247"/>
  </w:num>
  <w:num w:numId="234">
    <w:abstractNumId w:val="248"/>
  </w:num>
  <w:num w:numId="235">
    <w:abstractNumId w:val="249"/>
  </w:num>
  <w:num w:numId="236">
    <w:abstractNumId w:val="250"/>
  </w:num>
  <w:num w:numId="237">
    <w:abstractNumId w:val="251"/>
  </w:num>
  <w:num w:numId="238">
    <w:abstractNumId w:val="252"/>
  </w:num>
  <w:num w:numId="239">
    <w:abstractNumId w:val="253"/>
  </w:num>
  <w:num w:numId="240">
    <w:abstractNumId w:val="254"/>
  </w:num>
  <w:num w:numId="241">
    <w:abstractNumId w:val="255"/>
  </w:num>
  <w:num w:numId="242">
    <w:abstractNumId w:val="256"/>
  </w:num>
  <w:num w:numId="243">
    <w:abstractNumId w:val="257"/>
  </w:num>
  <w:num w:numId="244">
    <w:abstractNumId w:val="258"/>
  </w:num>
  <w:num w:numId="245">
    <w:abstractNumId w:val="259"/>
  </w:num>
  <w:num w:numId="246">
    <w:abstractNumId w:val="260"/>
  </w:num>
  <w:num w:numId="247">
    <w:abstractNumId w:val="261"/>
  </w:num>
  <w:num w:numId="248">
    <w:abstractNumId w:val="262"/>
  </w:num>
  <w:num w:numId="249">
    <w:abstractNumId w:val="263"/>
  </w:num>
  <w:num w:numId="250">
    <w:abstractNumId w:val="264"/>
  </w:num>
  <w:num w:numId="251">
    <w:abstractNumId w:val="265"/>
  </w:num>
  <w:num w:numId="252">
    <w:abstractNumId w:val="266"/>
  </w:num>
  <w:num w:numId="253">
    <w:abstractNumId w:val="267"/>
  </w:num>
  <w:num w:numId="254">
    <w:abstractNumId w:val="268"/>
  </w:num>
  <w:num w:numId="255">
    <w:abstractNumId w:val="269"/>
  </w:num>
  <w:num w:numId="256">
    <w:abstractNumId w:val="270"/>
  </w:num>
  <w:num w:numId="257">
    <w:abstractNumId w:val="271"/>
  </w:num>
  <w:num w:numId="258">
    <w:abstractNumId w:val="272"/>
  </w:num>
  <w:num w:numId="259">
    <w:abstractNumId w:val="273"/>
  </w:num>
  <w:num w:numId="260">
    <w:abstractNumId w:val="274"/>
  </w:num>
  <w:num w:numId="261">
    <w:abstractNumId w:val="275"/>
  </w:num>
  <w:num w:numId="262">
    <w:abstractNumId w:val="276"/>
  </w:num>
  <w:num w:numId="263">
    <w:abstractNumId w:val="277"/>
  </w:num>
  <w:num w:numId="264">
    <w:abstractNumId w:val="278"/>
  </w:num>
  <w:num w:numId="265">
    <w:abstractNumId w:val="279"/>
  </w:num>
  <w:num w:numId="266">
    <w:abstractNumId w:val="280"/>
  </w:num>
  <w:num w:numId="267">
    <w:abstractNumId w:val="281"/>
  </w:num>
  <w:num w:numId="268">
    <w:abstractNumId w:val="282"/>
  </w:num>
  <w:num w:numId="269">
    <w:abstractNumId w:val="283"/>
  </w:num>
  <w:num w:numId="270">
    <w:abstractNumId w:val="284"/>
  </w:num>
  <w:num w:numId="271">
    <w:abstractNumId w:val="285"/>
  </w:num>
  <w:num w:numId="272">
    <w:abstractNumId w:val="286"/>
  </w:num>
  <w:num w:numId="273">
    <w:abstractNumId w:val="287"/>
  </w:num>
  <w:num w:numId="274">
    <w:abstractNumId w:val="288"/>
  </w:num>
  <w:num w:numId="275">
    <w:abstractNumId w:val="289"/>
  </w:num>
  <w:num w:numId="276">
    <w:abstractNumId w:val="290"/>
  </w:num>
  <w:num w:numId="277">
    <w:abstractNumId w:val="291"/>
  </w:num>
  <w:num w:numId="278">
    <w:abstractNumId w:val="292"/>
  </w:num>
  <w:num w:numId="279">
    <w:abstractNumId w:val="293"/>
  </w:num>
  <w:num w:numId="280">
    <w:abstractNumId w:val="294"/>
  </w:num>
  <w:num w:numId="281">
    <w:abstractNumId w:val="295"/>
  </w:num>
  <w:num w:numId="282">
    <w:abstractNumId w:val="296"/>
  </w:num>
  <w:num w:numId="283">
    <w:abstractNumId w:val="297"/>
  </w:num>
  <w:num w:numId="284">
    <w:abstractNumId w:val="298"/>
  </w:num>
  <w:num w:numId="285">
    <w:abstractNumId w:val="299"/>
  </w:num>
  <w:num w:numId="286">
    <w:abstractNumId w:val="300"/>
  </w:num>
  <w:num w:numId="287">
    <w:abstractNumId w:val="301"/>
  </w:num>
  <w:num w:numId="288">
    <w:abstractNumId w:val="302"/>
  </w:num>
  <w:num w:numId="289">
    <w:abstractNumId w:val="303"/>
  </w:num>
  <w:num w:numId="290">
    <w:abstractNumId w:val="304"/>
  </w:num>
  <w:num w:numId="291">
    <w:abstractNumId w:val="305"/>
  </w:num>
  <w:num w:numId="292">
    <w:abstractNumId w:val="306"/>
  </w:num>
  <w:num w:numId="293">
    <w:abstractNumId w:val="307"/>
  </w:num>
  <w:num w:numId="294">
    <w:abstractNumId w:val="308"/>
  </w:num>
  <w:num w:numId="295">
    <w:abstractNumId w:val="309"/>
  </w:num>
  <w:num w:numId="296">
    <w:abstractNumId w:val="310"/>
  </w:num>
  <w:num w:numId="297">
    <w:abstractNumId w:val="311"/>
  </w:num>
  <w:num w:numId="298">
    <w:abstractNumId w:val="312"/>
  </w:num>
  <w:num w:numId="299">
    <w:abstractNumId w:val="313"/>
  </w:num>
  <w:num w:numId="300">
    <w:abstractNumId w:val="314"/>
  </w:num>
  <w:num w:numId="301">
    <w:abstractNumId w:val="315"/>
  </w:num>
  <w:num w:numId="302">
    <w:abstractNumId w:val="316"/>
  </w:num>
  <w:num w:numId="303">
    <w:abstractNumId w:val="317"/>
  </w:num>
  <w:num w:numId="304">
    <w:abstractNumId w:val="318"/>
  </w:num>
  <w:num w:numId="305">
    <w:abstractNumId w:val="319"/>
  </w:num>
  <w:num w:numId="306">
    <w:abstractNumId w:val="320"/>
  </w:num>
  <w:num w:numId="307">
    <w:abstractNumId w:val="321"/>
  </w:num>
  <w:num w:numId="308">
    <w:abstractNumId w:val="322"/>
  </w:num>
  <w:num w:numId="309">
    <w:abstractNumId w:val="323"/>
  </w:num>
  <w:num w:numId="310">
    <w:abstractNumId w:val="324"/>
  </w:num>
  <w:num w:numId="311">
    <w:abstractNumId w:val="325"/>
  </w:num>
  <w:num w:numId="312">
    <w:abstractNumId w:val="326"/>
  </w:num>
  <w:num w:numId="313">
    <w:abstractNumId w:val="327"/>
  </w:num>
  <w:num w:numId="314">
    <w:abstractNumId w:val="328"/>
  </w:num>
  <w:num w:numId="315">
    <w:abstractNumId w:val="329"/>
  </w:num>
  <w:num w:numId="316">
    <w:abstractNumId w:val="330"/>
  </w:num>
  <w:num w:numId="317">
    <w:abstractNumId w:val="331"/>
  </w:num>
  <w:num w:numId="318">
    <w:abstractNumId w:val="332"/>
  </w:num>
  <w:num w:numId="319">
    <w:abstractNumId w:val="333"/>
  </w:num>
  <w:num w:numId="320">
    <w:abstractNumId w:val="334"/>
  </w:num>
  <w:num w:numId="321">
    <w:abstractNumId w:val="335"/>
  </w:num>
  <w:num w:numId="322">
    <w:abstractNumId w:val="336"/>
  </w:num>
  <w:num w:numId="323">
    <w:abstractNumId w:val="337"/>
  </w:num>
  <w:num w:numId="324">
    <w:abstractNumId w:val="338"/>
  </w:num>
  <w:num w:numId="325">
    <w:abstractNumId w:val="339"/>
  </w:num>
  <w:num w:numId="326">
    <w:abstractNumId w:val="340"/>
  </w:num>
  <w:num w:numId="327">
    <w:abstractNumId w:val="341"/>
  </w:num>
  <w:num w:numId="328">
    <w:abstractNumId w:val="342"/>
  </w:num>
  <w:num w:numId="329">
    <w:abstractNumId w:val="343"/>
  </w:num>
  <w:num w:numId="330">
    <w:abstractNumId w:val="344"/>
  </w:num>
  <w:num w:numId="331">
    <w:abstractNumId w:val="345"/>
  </w:num>
  <w:num w:numId="332">
    <w:abstractNumId w:val="346"/>
  </w:num>
  <w:num w:numId="333">
    <w:abstractNumId w:val="347"/>
  </w:num>
  <w:num w:numId="334">
    <w:abstractNumId w:val="348"/>
  </w:num>
  <w:num w:numId="335">
    <w:abstractNumId w:val="349"/>
  </w:num>
  <w:num w:numId="336">
    <w:abstractNumId w:val="350"/>
  </w:num>
  <w:num w:numId="337">
    <w:abstractNumId w:val="351"/>
  </w:num>
  <w:num w:numId="338">
    <w:abstractNumId w:val="352"/>
  </w:num>
  <w:num w:numId="339">
    <w:abstractNumId w:val="353"/>
  </w:num>
  <w:num w:numId="340">
    <w:abstractNumId w:val="354"/>
  </w:num>
  <w:num w:numId="341">
    <w:abstractNumId w:val="355"/>
  </w:num>
  <w:num w:numId="342">
    <w:abstractNumId w:val="356"/>
  </w:num>
  <w:num w:numId="343">
    <w:abstractNumId w:val="357"/>
  </w:num>
  <w:num w:numId="344">
    <w:abstractNumId w:val="358"/>
  </w:num>
  <w:num w:numId="345">
    <w:abstractNumId w:val="359"/>
  </w:num>
  <w:num w:numId="346">
    <w:abstractNumId w:val="360"/>
  </w:num>
  <w:num w:numId="347">
    <w:abstractNumId w:val="361"/>
  </w:num>
  <w:num w:numId="348">
    <w:abstractNumId w:val="362"/>
  </w:num>
  <w:num w:numId="349">
    <w:abstractNumId w:val="363"/>
  </w:num>
  <w:num w:numId="350">
    <w:abstractNumId w:val="364"/>
  </w:num>
  <w:num w:numId="351">
    <w:abstractNumId w:val="365"/>
  </w:num>
  <w:num w:numId="352">
    <w:abstractNumId w:val="366"/>
  </w:num>
  <w:num w:numId="353">
    <w:abstractNumId w:val="367"/>
  </w:num>
  <w:num w:numId="354">
    <w:abstractNumId w:val="368"/>
  </w:num>
  <w:num w:numId="355">
    <w:abstractNumId w:val="369"/>
  </w:num>
  <w:num w:numId="356">
    <w:abstractNumId w:val="370"/>
  </w:num>
  <w:num w:numId="357">
    <w:abstractNumId w:val="371"/>
  </w:num>
  <w:num w:numId="358">
    <w:abstractNumId w:val="372"/>
  </w:num>
  <w:num w:numId="359">
    <w:abstractNumId w:val="373"/>
  </w:num>
  <w:num w:numId="360">
    <w:abstractNumId w:val="374"/>
  </w:num>
  <w:num w:numId="361">
    <w:abstractNumId w:val="375"/>
  </w:num>
  <w:num w:numId="362">
    <w:abstractNumId w:val="376"/>
  </w:num>
  <w:num w:numId="363">
    <w:abstractNumId w:val="377"/>
  </w:num>
  <w:num w:numId="364">
    <w:abstractNumId w:val="378"/>
  </w:num>
  <w:num w:numId="365">
    <w:abstractNumId w:val="379"/>
  </w:num>
  <w:num w:numId="366">
    <w:abstractNumId w:val="380"/>
  </w:num>
  <w:num w:numId="367">
    <w:abstractNumId w:val="381"/>
  </w:num>
  <w:num w:numId="368">
    <w:abstractNumId w:val="382"/>
  </w:num>
  <w:num w:numId="369">
    <w:abstractNumId w:val="383"/>
  </w:num>
  <w:num w:numId="370">
    <w:abstractNumId w:val="384"/>
  </w:num>
  <w:num w:numId="371">
    <w:abstractNumId w:val="385"/>
  </w:num>
  <w:num w:numId="372">
    <w:abstractNumId w:val="386"/>
  </w:num>
  <w:num w:numId="373">
    <w:abstractNumId w:val="387"/>
  </w:num>
  <w:num w:numId="374">
    <w:abstractNumId w:val="388"/>
  </w:num>
  <w:num w:numId="375">
    <w:abstractNumId w:val="389"/>
  </w:num>
  <w:num w:numId="376">
    <w:abstractNumId w:val="390"/>
  </w:num>
  <w:num w:numId="377">
    <w:abstractNumId w:val="391"/>
  </w:num>
  <w:num w:numId="378">
    <w:abstractNumId w:val="392"/>
  </w:num>
  <w:num w:numId="379">
    <w:abstractNumId w:val="393"/>
  </w:num>
  <w:num w:numId="380">
    <w:abstractNumId w:val="394"/>
  </w:num>
  <w:num w:numId="381">
    <w:abstractNumId w:val="395"/>
  </w:num>
  <w:num w:numId="382">
    <w:abstractNumId w:val="396"/>
  </w:num>
  <w:num w:numId="383">
    <w:abstractNumId w:val="397"/>
  </w:num>
  <w:num w:numId="384">
    <w:abstractNumId w:val="398"/>
  </w:num>
  <w:num w:numId="385">
    <w:abstractNumId w:val="399"/>
  </w:num>
  <w:num w:numId="386">
    <w:abstractNumId w:val="400"/>
  </w:num>
  <w:num w:numId="387">
    <w:abstractNumId w:val="401"/>
  </w:num>
  <w:num w:numId="388">
    <w:abstractNumId w:val="402"/>
  </w:num>
  <w:num w:numId="389">
    <w:abstractNumId w:val="403"/>
  </w:num>
  <w:num w:numId="390">
    <w:abstractNumId w:val="404"/>
  </w:num>
  <w:num w:numId="391">
    <w:abstractNumId w:val="405"/>
  </w:num>
  <w:num w:numId="392">
    <w:abstractNumId w:val="406"/>
  </w:num>
  <w:num w:numId="393">
    <w:abstractNumId w:val="407"/>
  </w:num>
  <w:num w:numId="394">
    <w:abstractNumId w:val="408"/>
  </w:num>
  <w:num w:numId="395">
    <w:abstractNumId w:val="409"/>
  </w:num>
  <w:num w:numId="396">
    <w:abstractNumId w:val="410"/>
  </w:num>
  <w:num w:numId="397">
    <w:abstractNumId w:val="411"/>
  </w:num>
  <w:num w:numId="398">
    <w:abstractNumId w:val="412"/>
  </w:num>
  <w:num w:numId="399">
    <w:abstractNumId w:val="413"/>
  </w:num>
  <w:num w:numId="400">
    <w:abstractNumId w:val="414"/>
  </w:num>
  <w:num w:numId="401">
    <w:abstractNumId w:val="415"/>
  </w:num>
  <w:num w:numId="402">
    <w:abstractNumId w:val="416"/>
  </w:num>
  <w:num w:numId="403">
    <w:abstractNumId w:val="417"/>
  </w:num>
  <w:num w:numId="404">
    <w:abstractNumId w:val="418"/>
  </w:num>
  <w:num w:numId="405">
    <w:abstractNumId w:val="419"/>
  </w:num>
  <w:num w:numId="406">
    <w:abstractNumId w:val="420"/>
  </w:num>
  <w:num w:numId="407">
    <w:abstractNumId w:val="421"/>
  </w:num>
  <w:num w:numId="408">
    <w:abstractNumId w:val="422"/>
  </w:num>
  <w:num w:numId="409">
    <w:abstractNumId w:val="423"/>
  </w:num>
  <w:num w:numId="410">
    <w:abstractNumId w:val="424"/>
  </w:num>
  <w:num w:numId="411">
    <w:abstractNumId w:val="425"/>
  </w:num>
  <w:num w:numId="412">
    <w:abstractNumId w:val="426"/>
  </w:num>
  <w:num w:numId="413">
    <w:abstractNumId w:val="427"/>
  </w:num>
  <w:num w:numId="414">
    <w:abstractNumId w:val="428"/>
  </w:num>
  <w:num w:numId="415">
    <w:abstractNumId w:val="429"/>
  </w:num>
  <w:num w:numId="416">
    <w:abstractNumId w:val="430"/>
  </w:num>
  <w:num w:numId="417">
    <w:abstractNumId w:val="431"/>
  </w:num>
  <w:num w:numId="418">
    <w:abstractNumId w:val="432"/>
  </w:num>
  <w:num w:numId="419">
    <w:abstractNumId w:val="433"/>
  </w:num>
  <w:num w:numId="420">
    <w:abstractNumId w:val="434"/>
  </w:num>
  <w:num w:numId="421">
    <w:abstractNumId w:val="435"/>
  </w:num>
  <w:num w:numId="422">
    <w:abstractNumId w:val="436"/>
  </w:num>
  <w:num w:numId="423">
    <w:abstractNumId w:val="437"/>
  </w:num>
  <w:num w:numId="424">
    <w:abstractNumId w:val="438"/>
  </w:num>
  <w:num w:numId="425">
    <w:abstractNumId w:val="439"/>
  </w:num>
  <w:num w:numId="426">
    <w:abstractNumId w:val="440"/>
  </w:num>
  <w:num w:numId="427">
    <w:abstractNumId w:val="441"/>
  </w:num>
  <w:num w:numId="428">
    <w:abstractNumId w:val="442"/>
  </w:num>
  <w:num w:numId="429">
    <w:abstractNumId w:val="443"/>
  </w:num>
  <w:num w:numId="430">
    <w:abstractNumId w:val="444"/>
  </w:num>
  <w:num w:numId="431">
    <w:abstractNumId w:val="445"/>
  </w:num>
  <w:num w:numId="432">
    <w:abstractNumId w:val="446"/>
  </w:num>
  <w:num w:numId="433">
    <w:abstractNumId w:val="447"/>
  </w:num>
  <w:num w:numId="434">
    <w:abstractNumId w:val="448"/>
  </w:num>
  <w:num w:numId="435">
    <w:abstractNumId w:val="449"/>
  </w:num>
  <w:num w:numId="436">
    <w:abstractNumId w:val="450"/>
  </w:num>
  <w:num w:numId="437">
    <w:abstractNumId w:val="451"/>
  </w:num>
  <w:num w:numId="438">
    <w:abstractNumId w:val="452"/>
  </w:num>
  <w:num w:numId="439">
    <w:abstractNumId w:val="453"/>
  </w:num>
  <w:num w:numId="440">
    <w:abstractNumId w:val="454"/>
  </w:num>
  <w:num w:numId="441">
    <w:abstractNumId w:val="455"/>
  </w:num>
  <w:num w:numId="442">
    <w:abstractNumId w:val="456"/>
  </w:num>
  <w:num w:numId="443">
    <w:abstractNumId w:val="457"/>
  </w:num>
  <w:num w:numId="444">
    <w:abstractNumId w:val="458"/>
  </w:num>
  <w:num w:numId="445">
    <w:abstractNumId w:val="459"/>
  </w:num>
  <w:num w:numId="446">
    <w:abstractNumId w:val="460"/>
  </w:num>
  <w:num w:numId="447">
    <w:abstractNumId w:val="461"/>
  </w:num>
  <w:num w:numId="448">
    <w:abstractNumId w:val="462"/>
  </w:num>
  <w:num w:numId="449">
    <w:abstractNumId w:val="463"/>
  </w:num>
  <w:num w:numId="450">
    <w:abstractNumId w:val="464"/>
  </w:num>
  <w:num w:numId="451">
    <w:abstractNumId w:val="465"/>
  </w:num>
  <w:num w:numId="452">
    <w:abstractNumId w:val="466"/>
  </w:num>
  <w:num w:numId="453">
    <w:abstractNumId w:val="467"/>
  </w:num>
  <w:num w:numId="454">
    <w:abstractNumId w:val="468"/>
  </w:num>
  <w:num w:numId="455">
    <w:abstractNumId w:val="469"/>
  </w:num>
  <w:num w:numId="456">
    <w:abstractNumId w:val="470"/>
  </w:num>
  <w:num w:numId="457">
    <w:abstractNumId w:val="471"/>
  </w:num>
  <w:num w:numId="458">
    <w:abstractNumId w:val="472"/>
  </w:num>
  <w:num w:numId="459">
    <w:abstractNumId w:val="473"/>
  </w:num>
  <w:num w:numId="460">
    <w:abstractNumId w:val="474"/>
  </w:num>
  <w:num w:numId="461">
    <w:abstractNumId w:val="475"/>
  </w:num>
  <w:num w:numId="462">
    <w:abstractNumId w:val="476"/>
  </w:num>
  <w:num w:numId="463">
    <w:abstractNumId w:val="477"/>
  </w:num>
  <w:num w:numId="464">
    <w:abstractNumId w:val="478"/>
  </w:num>
  <w:num w:numId="465">
    <w:abstractNumId w:val="479"/>
  </w:num>
  <w:num w:numId="466">
    <w:abstractNumId w:val="480"/>
  </w:num>
  <w:num w:numId="467">
    <w:abstractNumId w:val="481"/>
  </w:num>
  <w:num w:numId="468">
    <w:abstractNumId w:val="482"/>
  </w:num>
  <w:num w:numId="469">
    <w:abstractNumId w:val="483"/>
  </w:num>
  <w:num w:numId="470">
    <w:abstractNumId w:val="484"/>
  </w:num>
  <w:num w:numId="471">
    <w:abstractNumId w:val="485"/>
  </w:num>
  <w:num w:numId="472">
    <w:abstractNumId w:val="486"/>
  </w:num>
  <w:num w:numId="473">
    <w:abstractNumId w:val="487"/>
  </w:num>
  <w:num w:numId="474">
    <w:abstractNumId w:val="488"/>
  </w:num>
  <w:num w:numId="475">
    <w:abstractNumId w:val="489"/>
  </w:num>
  <w:num w:numId="476">
    <w:abstractNumId w:val="490"/>
  </w:num>
  <w:num w:numId="477">
    <w:abstractNumId w:val="491"/>
  </w:num>
  <w:num w:numId="478">
    <w:abstractNumId w:val="492"/>
  </w:num>
  <w:num w:numId="479">
    <w:abstractNumId w:val="493"/>
  </w:num>
  <w:num w:numId="480">
    <w:abstractNumId w:val="494"/>
  </w:num>
  <w:num w:numId="481">
    <w:abstractNumId w:val="495"/>
  </w:num>
  <w:num w:numId="482">
    <w:abstractNumId w:val="496"/>
  </w:num>
  <w:num w:numId="483">
    <w:abstractNumId w:val="497"/>
  </w:num>
  <w:num w:numId="484">
    <w:abstractNumId w:val="498"/>
  </w:num>
  <w:num w:numId="485">
    <w:abstractNumId w:val="499"/>
  </w:num>
  <w:num w:numId="486">
    <w:abstractNumId w:val="500"/>
  </w:num>
  <w:num w:numId="487">
    <w:abstractNumId w:val="501"/>
  </w:num>
  <w:num w:numId="488">
    <w:abstractNumId w:val="502"/>
  </w:num>
  <w:num w:numId="489">
    <w:abstractNumId w:val="503"/>
  </w:num>
  <w:num w:numId="490">
    <w:abstractNumId w:val="504"/>
  </w:num>
  <w:num w:numId="491">
    <w:abstractNumId w:val="505"/>
  </w:num>
  <w:num w:numId="492">
    <w:abstractNumId w:val="506"/>
  </w:num>
  <w:num w:numId="493">
    <w:abstractNumId w:val="507"/>
  </w:num>
  <w:num w:numId="494">
    <w:abstractNumId w:val="508"/>
  </w:num>
  <w:num w:numId="495">
    <w:abstractNumId w:val="509"/>
  </w:num>
  <w:num w:numId="496">
    <w:abstractNumId w:val="510"/>
  </w:num>
  <w:num w:numId="497">
    <w:abstractNumId w:val="511"/>
  </w:num>
  <w:num w:numId="498">
    <w:abstractNumId w:val="512"/>
  </w:num>
  <w:num w:numId="499">
    <w:abstractNumId w:val="513"/>
  </w:num>
  <w:num w:numId="500">
    <w:abstractNumId w:val="514"/>
  </w:num>
  <w:num w:numId="501">
    <w:abstractNumId w:val="515"/>
  </w:num>
  <w:num w:numId="502">
    <w:abstractNumId w:val="516"/>
  </w:num>
  <w:num w:numId="503">
    <w:abstractNumId w:val="517"/>
  </w:num>
  <w:num w:numId="504">
    <w:abstractNumId w:val="518"/>
  </w:num>
  <w:num w:numId="505">
    <w:abstractNumId w:val="519"/>
  </w:num>
  <w:num w:numId="506">
    <w:abstractNumId w:val="520"/>
  </w:num>
  <w:num w:numId="507">
    <w:abstractNumId w:val="521"/>
  </w:num>
  <w:num w:numId="508">
    <w:abstractNumId w:val="522"/>
  </w:num>
  <w:num w:numId="509">
    <w:abstractNumId w:val="523"/>
  </w:num>
  <w:num w:numId="510">
    <w:abstractNumId w:val="524"/>
  </w:num>
  <w:num w:numId="511">
    <w:abstractNumId w:val="525"/>
  </w:num>
  <w:num w:numId="512">
    <w:abstractNumId w:val="526"/>
  </w:num>
  <w:num w:numId="513">
    <w:abstractNumId w:val="527"/>
  </w:num>
  <w:num w:numId="514">
    <w:abstractNumId w:val="528"/>
  </w:num>
  <w:num w:numId="515">
    <w:abstractNumId w:val="529"/>
  </w:num>
  <w:num w:numId="516">
    <w:abstractNumId w:val="530"/>
  </w:num>
  <w:num w:numId="517">
    <w:abstractNumId w:val="531"/>
  </w:num>
  <w:num w:numId="518">
    <w:abstractNumId w:val="532"/>
  </w:num>
  <w:num w:numId="519">
    <w:abstractNumId w:val="533"/>
  </w:num>
  <w:num w:numId="520">
    <w:abstractNumId w:val="534"/>
  </w:num>
  <w:num w:numId="521">
    <w:abstractNumId w:val="535"/>
  </w:num>
  <w:num w:numId="522">
    <w:abstractNumId w:val="536"/>
  </w:num>
  <w:num w:numId="523">
    <w:abstractNumId w:val="537"/>
  </w:num>
  <w:num w:numId="524">
    <w:abstractNumId w:val="538"/>
  </w:num>
  <w:num w:numId="525">
    <w:abstractNumId w:val="539"/>
  </w:num>
  <w:num w:numId="526">
    <w:abstractNumId w:val="540"/>
  </w:num>
  <w:num w:numId="527">
    <w:abstractNumId w:val="541"/>
  </w:num>
  <w:num w:numId="528">
    <w:abstractNumId w:val="542"/>
  </w:num>
  <w:num w:numId="529">
    <w:abstractNumId w:val="543"/>
  </w:num>
  <w:num w:numId="530">
    <w:abstractNumId w:val="544"/>
  </w:num>
  <w:num w:numId="531">
    <w:abstractNumId w:val="545"/>
  </w:num>
  <w:num w:numId="532">
    <w:abstractNumId w:val="546"/>
  </w:num>
  <w:num w:numId="533">
    <w:abstractNumId w:val="547"/>
  </w:num>
  <w:num w:numId="534">
    <w:abstractNumId w:val="548"/>
  </w:num>
  <w:num w:numId="535">
    <w:abstractNumId w:val="549"/>
  </w:num>
  <w:num w:numId="536">
    <w:abstractNumId w:val="550"/>
  </w:num>
  <w:num w:numId="537">
    <w:abstractNumId w:val="551"/>
  </w:num>
  <w:num w:numId="538">
    <w:abstractNumId w:val="552"/>
  </w:num>
  <w:num w:numId="539">
    <w:abstractNumId w:val="553"/>
  </w:num>
  <w:num w:numId="540">
    <w:abstractNumId w:val="554"/>
  </w:num>
  <w:num w:numId="541">
    <w:abstractNumId w:val="555"/>
  </w:num>
  <w:num w:numId="542">
    <w:abstractNumId w:val="556"/>
  </w:num>
  <w:num w:numId="543">
    <w:abstractNumId w:val="557"/>
  </w:num>
  <w:num w:numId="544">
    <w:abstractNumId w:val="558"/>
  </w:num>
  <w:num w:numId="545">
    <w:abstractNumId w:val="559"/>
  </w:num>
  <w:num w:numId="546">
    <w:abstractNumId w:val="560"/>
  </w:num>
  <w:num w:numId="547">
    <w:abstractNumId w:val="561"/>
  </w:num>
  <w:num w:numId="548">
    <w:abstractNumId w:val="562"/>
  </w:num>
  <w:num w:numId="549">
    <w:abstractNumId w:val="563"/>
  </w:num>
  <w:num w:numId="550">
    <w:abstractNumId w:val="564"/>
  </w:num>
  <w:num w:numId="551">
    <w:abstractNumId w:val="565"/>
  </w:num>
  <w:num w:numId="552">
    <w:abstractNumId w:val="566"/>
  </w:num>
  <w:num w:numId="553">
    <w:abstractNumId w:val="567"/>
  </w:num>
  <w:num w:numId="554">
    <w:abstractNumId w:val="568"/>
  </w:num>
  <w:num w:numId="555">
    <w:abstractNumId w:val="569"/>
  </w:num>
  <w:num w:numId="556">
    <w:abstractNumId w:val="570"/>
  </w:num>
  <w:num w:numId="557">
    <w:abstractNumId w:val="571"/>
  </w:num>
  <w:num w:numId="558">
    <w:abstractNumId w:val="572"/>
  </w:num>
  <w:num w:numId="559">
    <w:abstractNumId w:val="573"/>
  </w:num>
  <w:num w:numId="560">
    <w:abstractNumId w:val="574"/>
  </w:num>
  <w:num w:numId="561">
    <w:abstractNumId w:val="575"/>
  </w:num>
  <w:num w:numId="562">
    <w:abstractNumId w:val="576"/>
  </w:num>
  <w:num w:numId="563">
    <w:abstractNumId w:val="577"/>
  </w:num>
  <w:num w:numId="564">
    <w:abstractNumId w:val="578"/>
  </w:num>
  <w:num w:numId="565">
    <w:abstractNumId w:val="579"/>
  </w:num>
  <w:num w:numId="566">
    <w:abstractNumId w:val="580"/>
  </w:num>
  <w:num w:numId="567">
    <w:abstractNumId w:val="581"/>
  </w:num>
  <w:num w:numId="568">
    <w:abstractNumId w:val="582"/>
  </w:num>
  <w:num w:numId="569">
    <w:abstractNumId w:val="583"/>
  </w:num>
  <w:num w:numId="570">
    <w:abstractNumId w:val="584"/>
  </w:num>
  <w:num w:numId="571">
    <w:abstractNumId w:val="585"/>
  </w:num>
  <w:num w:numId="572">
    <w:abstractNumId w:val="586"/>
  </w:num>
  <w:num w:numId="573">
    <w:abstractNumId w:val="587"/>
  </w:num>
  <w:num w:numId="574">
    <w:abstractNumId w:val="588"/>
  </w:num>
  <w:num w:numId="575">
    <w:abstractNumId w:val="589"/>
  </w:num>
  <w:num w:numId="576">
    <w:abstractNumId w:val="590"/>
  </w:num>
  <w:num w:numId="577">
    <w:abstractNumId w:val="591"/>
  </w:num>
  <w:num w:numId="578">
    <w:abstractNumId w:val="592"/>
  </w:num>
  <w:num w:numId="579">
    <w:abstractNumId w:val="593"/>
  </w:num>
  <w:num w:numId="580">
    <w:abstractNumId w:val="594"/>
  </w:num>
  <w:num w:numId="581">
    <w:abstractNumId w:val="595"/>
  </w:num>
  <w:num w:numId="582">
    <w:abstractNumId w:val="596"/>
  </w:num>
  <w:num w:numId="583">
    <w:abstractNumId w:val="597"/>
  </w:num>
  <w:num w:numId="584">
    <w:abstractNumId w:val="598"/>
  </w:num>
  <w:num w:numId="585">
    <w:abstractNumId w:val="599"/>
  </w:num>
  <w:num w:numId="586">
    <w:abstractNumId w:val="600"/>
  </w:num>
  <w:num w:numId="587">
    <w:abstractNumId w:val="601"/>
  </w:num>
  <w:num w:numId="588">
    <w:abstractNumId w:val="602"/>
  </w:num>
  <w:num w:numId="589">
    <w:abstractNumId w:val="603"/>
  </w:num>
  <w:num w:numId="590">
    <w:abstractNumId w:val="604"/>
  </w:num>
  <w:num w:numId="591">
    <w:abstractNumId w:val="605"/>
  </w:num>
  <w:num w:numId="592">
    <w:abstractNumId w:val="606"/>
  </w:num>
  <w:num w:numId="593">
    <w:abstractNumId w:val="607"/>
  </w:num>
  <w:num w:numId="594">
    <w:abstractNumId w:val="608"/>
  </w:num>
  <w:num w:numId="595">
    <w:abstractNumId w:val="609"/>
  </w:num>
  <w:num w:numId="596">
    <w:abstractNumId w:val="610"/>
  </w:num>
  <w:num w:numId="597">
    <w:abstractNumId w:val="611"/>
  </w:num>
  <w:num w:numId="598">
    <w:abstractNumId w:val="612"/>
  </w:num>
  <w:num w:numId="599">
    <w:abstractNumId w:val="613"/>
  </w:num>
  <w:num w:numId="600">
    <w:abstractNumId w:val="614"/>
  </w:num>
  <w:num w:numId="601">
    <w:abstractNumId w:val="615"/>
  </w:num>
  <w:num w:numId="602">
    <w:abstractNumId w:val="616"/>
  </w:num>
  <w:num w:numId="603">
    <w:abstractNumId w:val="617"/>
  </w:num>
  <w:num w:numId="604">
    <w:abstractNumId w:val="618"/>
  </w:num>
  <w:num w:numId="605">
    <w:abstractNumId w:val="619"/>
  </w:num>
  <w:num w:numId="606">
    <w:abstractNumId w:val="620"/>
  </w:num>
  <w:num w:numId="607">
    <w:abstractNumId w:val="621"/>
  </w:num>
  <w:num w:numId="608">
    <w:abstractNumId w:val="622"/>
  </w:num>
  <w:num w:numId="609">
    <w:abstractNumId w:val="623"/>
  </w:num>
  <w:num w:numId="610">
    <w:abstractNumId w:val="624"/>
  </w:num>
  <w:num w:numId="611">
    <w:abstractNumId w:val="625"/>
  </w:num>
  <w:num w:numId="612">
    <w:abstractNumId w:val="626"/>
  </w:num>
  <w:num w:numId="613">
    <w:abstractNumId w:val="627"/>
  </w:num>
  <w:num w:numId="614">
    <w:abstractNumId w:val="628"/>
  </w:num>
  <w:num w:numId="615">
    <w:abstractNumId w:val="629"/>
  </w:num>
  <w:num w:numId="616">
    <w:abstractNumId w:val="630"/>
  </w:num>
  <w:num w:numId="617">
    <w:abstractNumId w:val="631"/>
  </w:num>
  <w:num w:numId="618">
    <w:abstractNumId w:val="632"/>
  </w:num>
  <w:num w:numId="619">
    <w:abstractNumId w:val="633"/>
  </w:num>
  <w:num w:numId="620">
    <w:abstractNumId w:val="634"/>
  </w:num>
  <w:num w:numId="621">
    <w:abstractNumId w:val="635"/>
  </w:num>
  <w:num w:numId="622">
    <w:abstractNumId w:val="636"/>
  </w:num>
  <w:num w:numId="623">
    <w:abstractNumId w:val="637"/>
  </w:num>
  <w:num w:numId="624">
    <w:abstractNumId w:val="638"/>
  </w:num>
  <w:num w:numId="625">
    <w:abstractNumId w:val="639"/>
  </w:num>
  <w:num w:numId="626">
    <w:abstractNumId w:val="640"/>
  </w:num>
  <w:num w:numId="627">
    <w:abstractNumId w:val="641"/>
  </w:num>
  <w:num w:numId="628">
    <w:abstractNumId w:val="642"/>
  </w:num>
  <w:num w:numId="629">
    <w:abstractNumId w:val="643"/>
  </w:num>
  <w:num w:numId="630">
    <w:abstractNumId w:val="644"/>
  </w:num>
  <w:num w:numId="631">
    <w:abstractNumId w:val="645"/>
  </w:num>
  <w:num w:numId="632">
    <w:abstractNumId w:val="646"/>
  </w:num>
  <w:num w:numId="633">
    <w:abstractNumId w:val="647"/>
  </w:num>
  <w:num w:numId="634">
    <w:abstractNumId w:val="648"/>
  </w:num>
  <w:num w:numId="635">
    <w:abstractNumId w:val="649"/>
  </w:num>
  <w:num w:numId="636">
    <w:abstractNumId w:val="650"/>
  </w:num>
  <w:num w:numId="637">
    <w:abstractNumId w:val="651"/>
  </w:num>
  <w:num w:numId="638">
    <w:abstractNumId w:val="652"/>
  </w:num>
  <w:num w:numId="639">
    <w:abstractNumId w:val="653"/>
  </w:num>
  <w:num w:numId="640">
    <w:abstractNumId w:val="654"/>
  </w:num>
  <w:num w:numId="641">
    <w:abstractNumId w:val="655"/>
  </w:num>
  <w:num w:numId="642">
    <w:abstractNumId w:val="656"/>
  </w:num>
  <w:num w:numId="643">
    <w:abstractNumId w:val="657"/>
  </w:num>
  <w:num w:numId="644">
    <w:abstractNumId w:val="658"/>
  </w:num>
  <w:num w:numId="645">
    <w:abstractNumId w:val="659"/>
  </w:num>
  <w:num w:numId="646">
    <w:abstractNumId w:val="660"/>
  </w:num>
  <w:num w:numId="647">
    <w:abstractNumId w:val="661"/>
  </w:num>
  <w:num w:numId="648">
    <w:abstractNumId w:val="662"/>
  </w:num>
  <w:num w:numId="649">
    <w:abstractNumId w:val="663"/>
  </w:num>
  <w:num w:numId="650">
    <w:abstractNumId w:val="664"/>
  </w:num>
  <w:num w:numId="651">
    <w:abstractNumId w:val="665"/>
  </w:num>
  <w:num w:numId="652">
    <w:abstractNumId w:val="666"/>
  </w:num>
  <w:num w:numId="653">
    <w:abstractNumId w:val="667"/>
  </w:num>
  <w:num w:numId="654">
    <w:abstractNumId w:val="668"/>
  </w:num>
  <w:num w:numId="655">
    <w:abstractNumId w:val="669"/>
  </w:num>
  <w:num w:numId="656">
    <w:abstractNumId w:val="670"/>
  </w:num>
  <w:num w:numId="657">
    <w:abstractNumId w:val="671"/>
  </w:num>
  <w:num w:numId="658">
    <w:abstractNumId w:val="672"/>
  </w:num>
  <w:num w:numId="659">
    <w:abstractNumId w:val="673"/>
  </w:num>
  <w:num w:numId="660">
    <w:abstractNumId w:val="674"/>
  </w:num>
  <w:num w:numId="661">
    <w:abstractNumId w:val="675"/>
  </w:num>
  <w:num w:numId="662">
    <w:abstractNumId w:val="676"/>
  </w:num>
  <w:num w:numId="663">
    <w:abstractNumId w:val="677"/>
  </w:num>
  <w:num w:numId="664">
    <w:abstractNumId w:val="678"/>
  </w:num>
  <w:num w:numId="665">
    <w:abstractNumId w:val="679"/>
  </w:num>
  <w:num w:numId="666">
    <w:abstractNumId w:val="680"/>
  </w:num>
  <w:num w:numId="667">
    <w:abstractNumId w:val="681"/>
  </w:num>
  <w:num w:numId="668">
    <w:abstractNumId w:val="682"/>
  </w:num>
  <w:num w:numId="669">
    <w:abstractNumId w:val="683"/>
  </w:num>
  <w:num w:numId="670">
    <w:abstractNumId w:val="684"/>
  </w:num>
  <w:num w:numId="671">
    <w:abstractNumId w:val="685"/>
  </w:num>
  <w:num w:numId="672">
    <w:abstractNumId w:val="686"/>
  </w:num>
  <w:num w:numId="673">
    <w:abstractNumId w:val="687"/>
  </w:num>
  <w:num w:numId="674">
    <w:abstractNumId w:val="688"/>
  </w:num>
  <w:num w:numId="675">
    <w:abstractNumId w:val="689"/>
  </w:num>
  <w:num w:numId="676">
    <w:abstractNumId w:val="690"/>
  </w:num>
  <w:num w:numId="677">
    <w:abstractNumId w:val="691"/>
  </w:num>
  <w:num w:numId="678">
    <w:abstractNumId w:val="692"/>
  </w:num>
  <w:num w:numId="679">
    <w:abstractNumId w:val="693"/>
  </w:num>
  <w:num w:numId="680">
    <w:abstractNumId w:val="694"/>
  </w:num>
  <w:num w:numId="681">
    <w:abstractNumId w:val="695"/>
  </w:num>
  <w:num w:numId="682">
    <w:abstractNumId w:val="696"/>
  </w:num>
  <w:num w:numId="683">
    <w:abstractNumId w:val="697"/>
  </w:num>
  <w:num w:numId="684">
    <w:abstractNumId w:val="698"/>
  </w:num>
  <w:num w:numId="685">
    <w:abstractNumId w:val="699"/>
  </w:num>
  <w:num w:numId="686">
    <w:abstractNumId w:val="700"/>
  </w:num>
  <w:num w:numId="687">
    <w:abstractNumId w:val="701"/>
  </w:num>
  <w:num w:numId="688">
    <w:abstractNumId w:val="702"/>
  </w:num>
  <w:num w:numId="689">
    <w:abstractNumId w:val="703"/>
  </w:num>
  <w:num w:numId="690">
    <w:abstractNumId w:val="704"/>
  </w:num>
  <w:num w:numId="691">
    <w:abstractNumId w:val="705"/>
  </w:num>
  <w:num w:numId="692">
    <w:abstractNumId w:val="706"/>
  </w:num>
  <w:num w:numId="693">
    <w:abstractNumId w:val="707"/>
  </w:num>
  <w:num w:numId="694">
    <w:abstractNumId w:val="708"/>
  </w:num>
  <w:num w:numId="695">
    <w:abstractNumId w:val="709"/>
  </w:num>
  <w:num w:numId="696">
    <w:abstractNumId w:val="710"/>
  </w:num>
  <w:num w:numId="697">
    <w:abstractNumId w:val="711"/>
  </w:num>
  <w:num w:numId="698">
    <w:abstractNumId w:val="712"/>
  </w:num>
  <w:num w:numId="699">
    <w:abstractNumId w:val="713"/>
  </w:num>
  <w:num w:numId="700">
    <w:abstractNumId w:val="714"/>
  </w:num>
  <w:num w:numId="701">
    <w:abstractNumId w:val="715"/>
  </w:num>
  <w:num w:numId="702">
    <w:abstractNumId w:val="716"/>
  </w:num>
  <w:num w:numId="703">
    <w:abstractNumId w:val="717"/>
  </w:num>
  <w:num w:numId="704">
    <w:abstractNumId w:val="718"/>
  </w:num>
  <w:num w:numId="705">
    <w:abstractNumId w:val="719"/>
  </w:num>
  <w:num w:numId="706">
    <w:abstractNumId w:val="720"/>
  </w:num>
  <w:num w:numId="707">
    <w:abstractNumId w:val="721"/>
  </w:num>
  <w:num w:numId="708">
    <w:abstractNumId w:val="722"/>
  </w:num>
  <w:num w:numId="709">
    <w:abstractNumId w:val="723"/>
  </w:num>
  <w:num w:numId="710">
    <w:abstractNumId w:val="724"/>
  </w:num>
  <w:num w:numId="711">
    <w:abstractNumId w:val="725"/>
  </w:num>
  <w:num w:numId="712">
    <w:abstractNumId w:val="726"/>
  </w:num>
  <w:num w:numId="713">
    <w:abstractNumId w:val="727"/>
  </w:num>
  <w:num w:numId="714">
    <w:abstractNumId w:val="728"/>
  </w:num>
  <w:num w:numId="715">
    <w:abstractNumId w:val="729"/>
  </w:num>
  <w:num w:numId="716">
    <w:abstractNumId w:val="730"/>
  </w:num>
  <w:num w:numId="717">
    <w:abstractNumId w:val="731"/>
  </w:num>
  <w:num w:numId="718">
    <w:abstractNumId w:val="732"/>
  </w:num>
  <w:num w:numId="719">
    <w:abstractNumId w:val="733"/>
  </w:num>
  <w:num w:numId="720">
    <w:abstractNumId w:val="734"/>
  </w:num>
  <w:num w:numId="721">
    <w:abstractNumId w:val="735"/>
  </w:num>
  <w:num w:numId="722">
    <w:abstractNumId w:val="736"/>
  </w:num>
  <w:num w:numId="723">
    <w:abstractNumId w:val="737"/>
  </w:num>
  <w:num w:numId="724">
    <w:abstractNumId w:val="738"/>
  </w:num>
  <w:num w:numId="725">
    <w:abstractNumId w:val="739"/>
  </w:num>
  <w:num w:numId="726">
    <w:abstractNumId w:val="740"/>
  </w:num>
  <w:num w:numId="727">
    <w:abstractNumId w:val="741"/>
  </w:num>
  <w:num w:numId="728">
    <w:abstractNumId w:val="742"/>
  </w:num>
  <w:num w:numId="729">
    <w:abstractNumId w:val="743"/>
  </w:num>
  <w:num w:numId="730">
    <w:abstractNumId w:val="744"/>
  </w:num>
  <w:num w:numId="731">
    <w:abstractNumId w:val="745"/>
  </w:num>
  <w:num w:numId="732">
    <w:abstractNumId w:val="746"/>
  </w:num>
  <w:num w:numId="733">
    <w:abstractNumId w:val="747"/>
  </w:num>
  <w:num w:numId="734">
    <w:abstractNumId w:val="748"/>
  </w:num>
  <w:num w:numId="735">
    <w:abstractNumId w:val="749"/>
  </w:num>
  <w:num w:numId="736">
    <w:abstractNumId w:val="750"/>
  </w:num>
  <w:num w:numId="737">
    <w:abstractNumId w:val="751"/>
  </w:num>
  <w:num w:numId="738">
    <w:abstractNumId w:val="752"/>
  </w:num>
  <w:num w:numId="739">
    <w:abstractNumId w:val="753"/>
  </w:num>
  <w:num w:numId="740">
    <w:abstractNumId w:val="754"/>
  </w:num>
  <w:num w:numId="741">
    <w:abstractNumId w:val="755"/>
  </w:num>
  <w:num w:numId="742">
    <w:abstractNumId w:val="756"/>
  </w:num>
  <w:num w:numId="743">
    <w:abstractNumId w:val="757"/>
  </w:num>
  <w:num w:numId="744">
    <w:abstractNumId w:val="758"/>
  </w:num>
  <w:num w:numId="745">
    <w:abstractNumId w:val="759"/>
  </w:num>
  <w:num w:numId="746">
    <w:abstractNumId w:val="760"/>
  </w:num>
  <w:num w:numId="747">
    <w:abstractNumId w:val="761"/>
  </w:num>
  <w:num w:numId="748">
    <w:abstractNumId w:val="762"/>
  </w:num>
  <w:num w:numId="749">
    <w:abstractNumId w:val="763"/>
  </w:num>
  <w:num w:numId="750">
    <w:abstractNumId w:val="764"/>
  </w:num>
  <w:num w:numId="751">
    <w:abstractNumId w:val="765"/>
  </w:num>
  <w:num w:numId="752">
    <w:abstractNumId w:val="766"/>
  </w:num>
  <w:num w:numId="753">
    <w:abstractNumId w:val="767"/>
  </w:num>
  <w:num w:numId="754">
    <w:abstractNumId w:val="768"/>
  </w:num>
  <w:num w:numId="755">
    <w:abstractNumId w:val="769"/>
  </w:num>
  <w:num w:numId="756">
    <w:abstractNumId w:val="770"/>
  </w:num>
  <w:num w:numId="757">
    <w:abstractNumId w:val="771"/>
  </w:num>
  <w:num w:numId="758">
    <w:abstractNumId w:val="772"/>
  </w:num>
  <w:num w:numId="759">
    <w:abstractNumId w:val="773"/>
  </w:num>
  <w:num w:numId="760">
    <w:abstractNumId w:val="774"/>
  </w:num>
  <w:num w:numId="761">
    <w:abstractNumId w:val="775"/>
  </w:num>
  <w:num w:numId="762">
    <w:abstractNumId w:val="776"/>
  </w:num>
  <w:num w:numId="763">
    <w:abstractNumId w:val="777"/>
  </w:num>
  <w:num w:numId="764">
    <w:abstractNumId w:val="778"/>
  </w:num>
  <w:num w:numId="765">
    <w:abstractNumId w:val="779"/>
  </w:num>
  <w:num w:numId="766">
    <w:abstractNumId w:val="780"/>
  </w:num>
  <w:num w:numId="767">
    <w:abstractNumId w:val="781"/>
  </w:num>
  <w:num w:numId="768">
    <w:abstractNumId w:val="782"/>
  </w:num>
  <w:num w:numId="769">
    <w:abstractNumId w:val="783"/>
  </w:num>
  <w:num w:numId="770">
    <w:abstractNumId w:val="784"/>
  </w:num>
  <w:num w:numId="771">
    <w:abstractNumId w:val="785"/>
  </w:num>
  <w:num w:numId="772">
    <w:abstractNumId w:val="786"/>
  </w:num>
  <w:num w:numId="773">
    <w:abstractNumId w:val="787"/>
  </w:num>
  <w:num w:numId="774">
    <w:abstractNumId w:val="788"/>
  </w:num>
  <w:num w:numId="775">
    <w:abstractNumId w:val="789"/>
  </w:num>
  <w:num w:numId="776">
    <w:abstractNumId w:val="790"/>
  </w:num>
  <w:num w:numId="777">
    <w:abstractNumId w:val="791"/>
  </w:num>
  <w:num w:numId="778">
    <w:abstractNumId w:val="792"/>
  </w:num>
  <w:num w:numId="779">
    <w:abstractNumId w:val="793"/>
  </w:num>
  <w:num w:numId="780">
    <w:abstractNumId w:val="794"/>
  </w:num>
  <w:num w:numId="781">
    <w:abstractNumId w:val="795"/>
  </w:num>
  <w:num w:numId="782">
    <w:abstractNumId w:val="796"/>
  </w:num>
  <w:num w:numId="783">
    <w:abstractNumId w:val="797"/>
  </w:num>
  <w:num w:numId="784">
    <w:abstractNumId w:val="798"/>
  </w:num>
  <w:num w:numId="785">
    <w:abstractNumId w:val="799"/>
  </w:num>
  <w:num w:numId="786">
    <w:abstractNumId w:val="800"/>
  </w:num>
  <w:num w:numId="787">
    <w:abstractNumId w:val="801"/>
  </w:num>
  <w:num w:numId="788">
    <w:abstractNumId w:val="802"/>
  </w:num>
  <w:num w:numId="789">
    <w:abstractNumId w:val="803"/>
  </w:num>
  <w:num w:numId="790">
    <w:abstractNumId w:val="804"/>
  </w:num>
  <w:num w:numId="791">
    <w:abstractNumId w:val="805"/>
  </w:num>
  <w:num w:numId="792">
    <w:abstractNumId w:val="806"/>
  </w:num>
  <w:num w:numId="793">
    <w:abstractNumId w:val="807"/>
  </w:num>
  <w:num w:numId="794">
    <w:abstractNumId w:val="808"/>
  </w:num>
  <w:num w:numId="795">
    <w:abstractNumId w:val="809"/>
  </w:num>
  <w:num w:numId="796">
    <w:abstractNumId w:val="810"/>
  </w:num>
  <w:num w:numId="797">
    <w:abstractNumId w:val="811"/>
  </w:num>
  <w:num w:numId="798">
    <w:abstractNumId w:val="812"/>
  </w:num>
  <w:num w:numId="799">
    <w:abstractNumId w:val="813"/>
  </w:num>
  <w:num w:numId="800">
    <w:abstractNumId w:val="814"/>
  </w:num>
  <w:num w:numId="801">
    <w:abstractNumId w:val="815"/>
  </w:num>
  <w:num w:numId="802">
    <w:abstractNumId w:val="816"/>
  </w:num>
  <w:num w:numId="803">
    <w:abstractNumId w:val="817"/>
  </w:num>
  <w:num w:numId="804">
    <w:abstractNumId w:val="818"/>
  </w:num>
  <w:num w:numId="805">
    <w:abstractNumId w:val="819"/>
  </w:num>
  <w:num w:numId="806">
    <w:abstractNumId w:val="820"/>
  </w:num>
  <w:num w:numId="807">
    <w:abstractNumId w:val="821"/>
  </w:num>
  <w:num w:numId="808">
    <w:abstractNumId w:val="822"/>
  </w:num>
  <w:num w:numId="809">
    <w:abstractNumId w:val="823"/>
  </w:num>
  <w:num w:numId="810">
    <w:abstractNumId w:val="824"/>
  </w:num>
  <w:num w:numId="811">
    <w:abstractNumId w:val="825"/>
  </w:num>
  <w:num w:numId="812">
    <w:abstractNumId w:val="826"/>
  </w:num>
  <w:num w:numId="813">
    <w:abstractNumId w:val="827"/>
  </w:num>
  <w:num w:numId="814">
    <w:abstractNumId w:val="828"/>
  </w:num>
  <w:num w:numId="815">
    <w:abstractNumId w:val="829"/>
  </w:num>
  <w:num w:numId="816">
    <w:abstractNumId w:val="830"/>
  </w:num>
  <w:num w:numId="817">
    <w:abstractNumId w:val="831"/>
  </w:num>
  <w:num w:numId="818">
    <w:abstractNumId w:val="832"/>
  </w:num>
  <w:num w:numId="819">
    <w:abstractNumId w:val="833"/>
  </w:num>
  <w:num w:numId="820">
    <w:abstractNumId w:val="834"/>
  </w:num>
  <w:num w:numId="821">
    <w:abstractNumId w:val="835"/>
  </w:num>
  <w:num w:numId="822">
    <w:abstractNumId w:val="836"/>
  </w:num>
  <w:num w:numId="823">
    <w:abstractNumId w:val="837"/>
  </w:num>
  <w:num w:numId="824">
    <w:abstractNumId w:val="838"/>
  </w:num>
  <w:num w:numId="825">
    <w:abstractNumId w:val="839"/>
  </w:num>
  <w:num w:numId="826">
    <w:abstractNumId w:val="840"/>
  </w:num>
  <w:num w:numId="827">
    <w:abstractNumId w:val="841"/>
  </w:num>
  <w:num w:numId="828">
    <w:abstractNumId w:val="842"/>
  </w:num>
  <w:num w:numId="829">
    <w:abstractNumId w:val="843"/>
  </w:num>
  <w:num w:numId="830">
    <w:abstractNumId w:val="844"/>
  </w:num>
  <w:num w:numId="831">
    <w:abstractNumId w:val="845"/>
  </w:num>
  <w:num w:numId="832">
    <w:abstractNumId w:val="846"/>
  </w:num>
  <w:num w:numId="833">
    <w:abstractNumId w:val="847"/>
  </w:num>
  <w:num w:numId="834">
    <w:abstractNumId w:val="848"/>
  </w:num>
  <w:num w:numId="835">
    <w:abstractNumId w:val="849"/>
  </w:num>
  <w:num w:numId="836">
    <w:abstractNumId w:val="850"/>
  </w:num>
  <w:num w:numId="837">
    <w:abstractNumId w:val="851"/>
  </w:num>
  <w:num w:numId="838">
    <w:abstractNumId w:val="852"/>
  </w:num>
  <w:num w:numId="839">
    <w:abstractNumId w:val="853"/>
  </w:num>
  <w:num w:numId="840">
    <w:abstractNumId w:val="854"/>
  </w:num>
  <w:num w:numId="841">
    <w:abstractNumId w:val="855"/>
  </w:num>
  <w:num w:numId="842">
    <w:abstractNumId w:val="856"/>
  </w:num>
  <w:num w:numId="843">
    <w:abstractNumId w:val="857"/>
  </w:num>
  <w:num w:numId="844">
    <w:abstractNumId w:val="858"/>
  </w:num>
  <w:num w:numId="845">
    <w:abstractNumId w:val="859"/>
  </w:num>
  <w:num w:numId="846">
    <w:abstractNumId w:val="860"/>
  </w:num>
  <w:num w:numId="847">
    <w:abstractNumId w:val="861"/>
  </w:num>
  <w:num w:numId="848">
    <w:abstractNumId w:val="862"/>
  </w:num>
  <w:num w:numId="849">
    <w:abstractNumId w:val="863"/>
  </w:num>
  <w:num w:numId="850">
    <w:abstractNumId w:val="864"/>
  </w:num>
  <w:num w:numId="851">
    <w:abstractNumId w:val="865"/>
  </w:num>
  <w:num w:numId="852">
    <w:abstractNumId w:val="866"/>
  </w:num>
  <w:num w:numId="853">
    <w:abstractNumId w:val="867"/>
  </w:num>
  <w:num w:numId="854">
    <w:abstractNumId w:val="868"/>
  </w:num>
  <w:num w:numId="855">
    <w:abstractNumId w:val="869"/>
  </w:num>
  <w:num w:numId="856">
    <w:abstractNumId w:val="870"/>
  </w:num>
  <w:num w:numId="857">
    <w:abstractNumId w:val="871"/>
  </w:num>
  <w:num w:numId="858">
    <w:abstractNumId w:val="872"/>
  </w:num>
  <w:num w:numId="859">
    <w:abstractNumId w:val="873"/>
  </w:num>
  <w:num w:numId="860">
    <w:abstractNumId w:val="874"/>
  </w:num>
  <w:num w:numId="861">
    <w:abstractNumId w:val="875"/>
  </w:num>
  <w:num w:numId="862">
    <w:abstractNumId w:val="876"/>
  </w:num>
  <w:num w:numId="863">
    <w:abstractNumId w:val="877"/>
  </w:num>
  <w:num w:numId="864">
    <w:abstractNumId w:val="878"/>
  </w:num>
  <w:num w:numId="865">
    <w:abstractNumId w:val="879"/>
  </w:num>
  <w:num w:numId="866">
    <w:abstractNumId w:val="880"/>
  </w:num>
  <w:num w:numId="867">
    <w:abstractNumId w:val="881"/>
  </w:num>
  <w:num w:numId="868">
    <w:abstractNumId w:val="882"/>
  </w:num>
  <w:num w:numId="869">
    <w:abstractNumId w:val="883"/>
  </w:num>
  <w:num w:numId="870">
    <w:abstractNumId w:val="884"/>
  </w:num>
  <w:num w:numId="871">
    <w:abstractNumId w:val="885"/>
  </w:num>
  <w:num w:numId="872">
    <w:abstractNumId w:val="886"/>
  </w:num>
  <w:num w:numId="873">
    <w:abstractNumId w:val="887"/>
  </w:num>
  <w:num w:numId="874">
    <w:abstractNumId w:val="888"/>
  </w:num>
  <w:num w:numId="875">
    <w:abstractNumId w:val="889"/>
  </w:num>
  <w:num w:numId="876">
    <w:abstractNumId w:val="890"/>
  </w:num>
  <w:num w:numId="877">
    <w:abstractNumId w:val="891"/>
  </w:num>
  <w:num w:numId="878">
    <w:abstractNumId w:val="892"/>
  </w:num>
  <w:num w:numId="879">
    <w:abstractNumId w:val="893"/>
  </w:num>
  <w:num w:numId="880">
    <w:abstractNumId w:val="894"/>
  </w:num>
  <w:num w:numId="881">
    <w:abstractNumId w:val="22"/>
  </w:num>
  <w:num w:numId="882">
    <w:abstractNumId w:val="8"/>
  </w:num>
  <w:num w:numId="883">
    <w:abstractNumId w:val="19"/>
  </w:num>
  <w:num w:numId="884">
    <w:abstractNumId w:val="30"/>
  </w:num>
  <w:num w:numId="885">
    <w:abstractNumId w:val="16"/>
  </w:num>
  <w:num w:numId="886">
    <w:abstractNumId w:val="1062"/>
  </w:num>
  <w:num w:numId="887">
    <w:abstractNumId w:val="26"/>
  </w:num>
  <w:num w:numId="888">
    <w:abstractNumId w:val="2"/>
  </w:num>
  <w:num w:numId="889">
    <w:abstractNumId w:val="13"/>
  </w:num>
  <w:num w:numId="890">
    <w:abstractNumId w:val="4"/>
  </w:num>
  <w:num w:numId="891">
    <w:abstractNumId w:val="31"/>
  </w:num>
  <w:num w:numId="892">
    <w:abstractNumId w:val="11"/>
  </w:num>
  <w:num w:numId="893">
    <w:abstractNumId w:val="3"/>
  </w:num>
  <w:num w:numId="894">
    <w:abstractNumId w:val="895"/>
    <w:lvlOverride w:ilvl="0"/>
    <w:lvlOverride w:ilvl="1"/>
    <w:lvlOverride w:ilvl="2"/>
    <w:lvlOverride w:ilvl="3"/>
    <w:lvlOverride w:ilvl="4"/>
    <w:lvlOverride w:ilvl="5"/>
    <w:lvlOverride w:ilvl="6"/>
    <w:lvlOverride w:ilvl="7"/>
    <w:lvlOverride w:ilvl="8"/>
  </w:num>
  <w:num w:numId="895">
    <w:abstractNumId w:val="896"/>
    <w:lvlOverride w:ilvl="0"/>
    <w:lvlOverride w:ilvl="1"/>
    <w:lvlOverride w:ilvl="2"/>
    <w:lvlOverride w:ilvl="3"/>
    <w:lvlOverride w:ilvl="4"/>
    <w:lvlOverride w:ilvl="5"/>
    <w:lvlOverride w:ilvl="6"/>
    <w:lvlOverride w:ilvl="7"/>
    <w:lvlOverride w:ilvl="8"/>
  </w:num>
  <w:num w:numId="896">
    <w:abstractNumId w:val="897"/>
    <w:lvlOverride w:ilvl="0"/>
    <w:lvlOverride w:ilvl="1"/>
    <w:lvlOverride w:ilvl="2"/>
    <w:lvlOverride w:ilvl="3"/>
    <w:lvlOverride w:ilvl="4"/>
    <w:lvlOverride w:ilvl="5"/>
    <w:lvlOverride w:ilvl="6"/>
    <w:lvlOverride w:ilvl="7"/>
    <w:lvlOverride w:ilvl="8"/>
  </w:num>
  <w:num w:numId="897">
    <w:abstractNumId w:val="898"/>
    <w:lvlOverride w:ilvl="0"/>
    <w:lvlOverride w:ilvl="1"/>
    <w:lvlOverride w:ilvl="2"/>
    <w:lvlOverride w:ilvl="3"/>
    <w:lvlOverride w:ilvl="4"/>
    <w:lvlOverride w:ilvl="5"/>
    <w:lvlOverride w:ilvl="6"/>
    <w:lvlOverride w:ilvl="7"/>
    <w:lvlOverride w:ilvl="8"/>
  </w:num>
  <w:num w:numId="898">
    <w:abstractNumId w:val="899"/>
    <w:lvlOverride w:ilvl="0"/>
    <w:lvlOverride w:ilvl="1"/>
    <w:lvlOverride w:ilvl="2"/>
    <w:lvlOverride w:ilvl="3"/>
    <w:lvlOverride w:ilvl="4"/>
    <w:lvlOverride w:ilvl="5"/>
    <w:lvlOverride w:ilvl="6"/>
    <w:lvlOverride w:ilvl="7"/>
    <w:lvlOverride w:ilvl="8"/>
  </w:num>
  <w:num w:numId="899">
    <w:abstractNumId w:val="900"/>
    <w:lvlOverride w:ilvl="0"/>
    <w:lvlOverride w:ilvl="1"/>
    <w:lvlOverride w:ilvl="2"/>
    <w:lvlOverride w:ilvl="3"/>
    <w:lvlOverride w:ilvl="4"/>
    <w:lvlOverride w:ilvl="5"/>
    <w:lvlOverride w:ilvl="6"/>
    <w:lvlOverride w:ilvl="7"/>
    <w:lvlOverride w:ilvl="8"/>
  </w:num>
  <w:num w:numId="900">
    <w:abstractNumId w:val="901"/>
    <w:lvlOverride w:ilvl="0"/>
    <w:lvlOverride w:ilvl="1"/>
    <w:lvlOverride w:ilvl="2"/>
    <w:lvlOverride w:ilvl="3"/>
    <w:lvlOverride w:ilvl="4"/>
    <w:lvlOverride w:ilvl="5"/>
    <w:lvlOverride w:ilvl="6"/>
    <w:lvlOverride w:ilvl="7"/>
    <w:lvlOverride w:ilvl="8"/>
  </w:num>
  <w:num w:numId="901">
    <w:abstractNumId w:val="902"/>
    <w:lvlOverride w:ilvl="0"/>
    <w:lvlOverride w:ilvl="1"/>
    <w:lvlOverride w:ilvl="2"/>
    <w:lvlOverride w:ilvl="3"/>
    <w:lvlOverride w:ilvl="4"/>
    <w:lvlOverride w:ilvl="5"/>
    <w:lvlOverride w:ilvl="6"/>
    <w:lvlOverride w:ilvl="7"/>
    <w:lvlOverride w:ilvl="8"/>
  </w:num>
  <w:num w:numId="902">
    <w:abstractNumId w:val="903"/>
    <w:lvlOverride w:ilvl="0"/>
    <w:lvlOverride w:ilvl="1"/>
    <w:lvlOverride w:ilvl="2"/>
    <w:lvlOverride w:ilvl="3"/>
    <w:lvlOverride w:ilvl="4"/>
    <w:lvlOverride w:ilvl="5"/>
    <w:lvlOverride w:ilvl="6"/>
    <w:lvlOverride w:ilvl="7"/>
    <w:lvlOverride w:ilvl="8"/>
  </w:num>
  <w:num w:numId="903">
    <w:abstractNumId w:val="904"/>
    <w:lvlOverride w:ilvl="0"/>
    <w:lvlOverride w:ilvl="1"/>
    <w:lvlOverride w:ilvl="2"/>
    <w:lvlOverride w:ilvl="3"/>
    <w:lvlOverride w:ilvl="4"/>
    <w:lvlOverride w:ilvl="5"/>
    <w:lvlOverride w:ilvl="6"/>
    <w:lvlOverride w:ilvl="7"/>
    <w:lvlOverride w:ilvl="8"/>
  </w:num>
  <w:num w:numId="904">
    <w:abstractNumId w:val="905"/>
    <w:lvlOverride w:ilvl="0"/>
    <w:lvlOverride w:ilvl="1"/>
    <w:lvlOverride w:ilvl="2"/>
    <w:lvlOverride w:ilvl="3"/>
    <w:lvlOverride w:ilvl="4"/>
    <w:lvlOverride w:ilvl="5"/>
    <w:lvlOverride w:ilvl="6"/>
    <w:lvlOverride w:ilvl="7"/>
    <w:lvlOverride w:ilvl="8"/>
  </w:num>
  <w:num w:numId="905">
    <w:abstractNumId w:val="906"/>
    <w:lvlOverride w:ilvl="0"/>
    <w:lvlOverride w:ilvl="1"/>
    <w:lvlOverride w:ilvl="2"/>
    <w:lvlOverride w:ilvl="3"/>
    <w:lvlOverride w:ilvl="4"/>
    <w:lvlOverride w:ilvl="5"/>
    <w:lvlOverride w:ilvl="6"/>
    <w:lvlOverride w:ilvl="7"/>
    <w:lvlOverride w:ilvl="8"/>
  </w:num>
  <w:num w:numId="906">
    <w:abstractNumId w:val="907"/>
    <w:lvlOverride w:ilvl="0"/>
    <w:lvlOverride w:ilvl="1"/>
    <w:lvlOverride w:ilvl="2"/>
    <w:lvlOverride w:ilvl="3"/>
    <w:lvlOverride w:ilvl="4"/>
    <w:lvlOverride w:ilvl="5"/>
    <w:lvlOverride w:ilvl="6"/>
    <w:lvlOverride w:ilvl="7"/>
    <w:lvlOverride w:ilvl="8"/>
  </w:num>
  <w:num w:numId="907">
    <w:abstractNumId w:val="908"/>
    <w:lvlOverride w:ilvl="0"/>
    <w:lvlOverride w:ilvl="1"/>
    <w:lvlOverride w:ilvl="2"/>
    <w:lvlOverride w:ilvl="3"/>
    <w:lvlOverride w:ilvl="4"/>
    <w:lvlOverride w:ilvl="5"/>
    <w:lvlOverride w:ilvl="6"/>
    <w:lvlOverride w:ilvl="7"/>
    <w:lvlOverride w:ilvl="8"/>
  </w:num>
  <w:num w:numId="908">
    <w:abstractNumId w:val="909"/>
    <w:lvlOverride w:ilvl="0"/>
    <w:lvlOverride w:ilvl="1"/>
    <w:lvlOverride w:ilvl="2"/>
    <w:lvlOverride w:ilvl="3"/>
    <w:lvlOverride w:ilvl="4"/>
    <w:lvlOverride w:ilvl="5"/>
    <w:lvlOverride w:ilvl="6"/>
    <w:lvlOverride w:ilvl="7"/>
    <w:lvlOverride w:ilvl="8"/>
  </w:num>
  <w:num w:numId="909">
    <w:abstractNumId w:val="910"/>
    <w:lvlOverride w:ilvl="0"/>
    <w:lvlOverride w:ilvl="1"/>
    <w:lvlOverride w:ilvl="2"/>
    <w:lvlOverride w:ilvl="3"/>
    <w:lvlOverride w:ilvl="4"/>
    <w:lvlOverride w:ilvl="5"/>
    <w:lvlOverride w:ilvl="6"/>
    <w:lvlOverride w:ilvl="7"/>
    <w:lvlOverride w:ilvl="8"/>
  </w:num>
  <w:num w:numId="910">
    <w:abstractNumId w:val="911"/>
    <w:lvlOverride w:ilvl="0"/>
    <w:lvlOverride w:ilvl="1"/>
    <w:lvlOverride w:ilvl="2"/>
    <w:lvlOverride w:ilvl="3"/>
    <w:lvlOverride w:ilvl="4"/>
    <w:lvlOverride w:ilvl="5"/>
    <w:lvlOverride w:ilvl="6"/>
    <w:lvlOverride w:ilvl="7"/>
    <w:lvlOverride w:ilvl="8"/>
  </w:num>
  <w:num w:numId="911">
    <w:abstractNumId w:val="912"/>
    <w:lvlOverride w:ilvl="0"/>
    <w:lvlOverride w:ilvl="1"/>
    <w:lvlOverride w:ilvl="2"/>
    <w:lvlOverride w:ilvl="3"/>
    <w:lvlOverride w:ilvl="4"/>
    <w:lvlOverride w:ilvl="5"/>
    <w:lvlOverride w:ilvl="6"/>
    <w:lvlOverride w:ilvl="7"/>
    <w:lvlOverride w:ilvl="8"/>
  </w:num>
  <w:num w:numId="912">
    <w:abstractNumId w:val="913"/>
    <w:lvlOverride w:ilvl="0"/>
    <w:lvlOverride w:ilvl="1"/>
    <w:lvlOverride w:ilvl="2"/>
    <w:lvlOverride w:ilvl="3"/>
    <w:lvlOverride w:ilvl="4"/>
    <w:lvlOverride w:ilvl="5"/>
    <w:lvlOverride w:ilvl="6"/>
    <w:lvlOverride w:ilvl="7"/>
    <w:lvlOverride w:ilvl="8"/>
  </w:num>
  <w:num w:numId="913">
    <w:abstractNumId w:val="914"/>
    <w:lvlOverride w:ilvl="0"/>
    <w:lvlOverride w:ilvl="1"/>
    <w:lvlOverride w:ilvl="2"/>
    <w:lvlOverride w:ilvl="3"/>
    <w:lvlOverride w:ilvl="4"/>
    <w:lvlOverride w:ilvl="5"/>
    <w:lvlOverride w:ilvl="6"/>
    <w:lvlOverride w:ilvl="7"/>
    <w:lvlOverride w:ilvl="8"/>
  </w:num>
  <w:num w:numId="914">
    <w:abstractNumId w:val="915"/>
    <w:lvlOverride w:ilvl="0"/>
    <w:lvlOverride w:ilvl="1"/>
    <w:lvlOverride w:ilvl="2"/>
    <w:lvlOverride w:ilvl="3"/>
    <w:lvlOverride w:ilvl="4"/>
    <w:lvlOverride w:ilvl="5"/>
    <w:lvlOverride w:ilvl="6"/>
    <w:lvlOverride w:ilvl="7"/>
    <w:lvlOverride w:ilvl="8"/>
  </w:num>
  <w:num w:numId="915">
    <w:abstractNumId w:val="916"/>
    <w:lvlOverride w:ilvl="0"/>
    <w:lvlOverride w:ilvl="1"/>
    <w:lvlOverride w:ilvl="2"/>
    <w:lvlOverride w:ilvl="3"/>
    <w:lvlOverride w:ilvl="4"/>
    <w:lvlOverride w:ilvl="5"/>
    <w:lvlOverride w:ilvl="6"/>
    <w:lvlOverride w:ilvl="7"/>
    <w:lvlOverride w:ilvl="8"/>
  </w:num>
  <w:num w:numId="916">
    <w:abstractNumId w:val="917"/>
    <w:lvlOverride w:ilvl="0"/>
    <w:lvlOverride w:ilvl="1"/>
    <w:lvlOverride w:ilvl="2"/>
    <w:lvlOverride w:ilvl="3"/>
    <w:lvlOverride w:ilvl="4"/>
    <w:lvlOverride w:ilvl="5"/>
    <w:lvlOverride w:ilvl="6"/>
    <w:lvlOverride w:ilvl="7"/>
    <w:lvlOverride w:ilvl="8"/>
  </w:num>
  <w:num w:numId="917">
    <w:abstractNumId w:val="918"/>
    <w:lvlOverride w:ilvl="0"/>
    <w:lvlOverride w:ilvl="1"/>
    <w:lvlOverride w:ilvl="2"/>
    <w:lvlOverride w:ilvl="3"/>
    <w:lvlOverride w:ilvl="4"/>
    <w:lvlOverride w:ilvl="5"/>
    <w:lvlOverride w:ilvl="6"/>
    <w:lvlOverride w:ilvl="7"/>
    <w:lvlOverride w:ilvl="8"/>
  </w:num>
  <w:num w:numId="918">
    <w:abstractNumId w:val="919"/>
    <w:lvlOverride w:ilvl="0"/>
    <w:lvlOverride w:ilvl="1"/>
    <w:lvlOverride w:ilvl="2"/>
    <w:lvlOverride w:ilvl="3"/>
    <w:lvlOverride w:ilvl="4"/>
    <w:lvlOverride w:ilvl="5"/>
    <w:lvlOverride w:ilvl="6"/>
    <w:lvlOverride w:ilvl="7"/>
    <w:lvlOverride w:ilvl="8"/>
  </w:num>
  <w:num w:numId="919">
    <w:abstractNumId w:val="920"/>
    <w:lvlOverride w:ilvl="0"/>
    <w:lvlOverride w:ilvl="1"/>
    <w:lvlOverride w:ilvl="2"/>
    <w:lvlOverride w:ilvl="3"/>
    <w:lvlOverride w:ilvl="4"/>
    <w:lvlOverride w:ilvl="5"/>
    <w:lvlOverride w:ilvl="6"/>
    <w:lvlOverride w:ilvl="7"/>
    <w:lvlOverride w:ilvl="8"/>
  </w:num>
  <w:num w:numId="920">
    <w:abstractNumId w:val="921"/>
    <w:lvlOverride w:ilvl="0"/>
    <w:lvlOverride w:ilvl="1"/>
    <w:lvlOverride w:ilvl="2"/>
    <w:lvlOverride w:ilvl="3"/>
    <w:lvlOverride w:ilvl="4"/>
    <w:lvlOverride w:ilvl="5"/>
    <w:lvlOverride w:ilvl="6"/>
    <w:lvlOverride w:ilvl="7"/>
    <w:lvlOverride w:ilvl="8"/>
  </w:num>
  <w:num w:numId="921">
    <w:abstractNumId w:val="922"/>
    <w:lvlOverride w:ilvl="0"/>
    <w:lvlOverride w:ilvl="1"/>
    <w:lvlOverride w:ilvl="2"/>
    <w:lvlOverride w:ilvl="3"/>
    <w:lvlOverride w:ilvl="4"/>
    <w:lvlOverride w:ilvl="5"/>
    <w:lvlOverride w:ilvl="6"/>
    <w:lvlOverride w:ilvl="7"/>
    <w:lvlOverride w:ilvl="8"/>
  </w:num>
  <w:num w:numId="922">
    <w:abstractNumId w:val="923"/>
    <w:lvlOverride w:ilvl="0"/>
    <w:lvlOverride w:ilvl="1"/>
    <w:lvlOverride w:ilvl="2"/>
    <w:lvlOverride w:ilvl="3"/>
    <w:lvlOverride w:ilvl="4"/>
    <w:lvlOverride w:ilvl="5"/>
    <w:lvlOverride w:ilvl="6"/>
    <w:lvlOverride w:ilvl="7"/>
    <w:lvlOverride w:ilvl="8"/>
  </w:num>
  <w:num w:numId="923">
    <w:abstractNumId w:val="924"/>
    <w:lvlOverride w:ilvl="0"/>
    <w:lvlOverride w:ilvl="1"/>
    <w:lvlOverride w:ilvl="2"/>
    <w:lvlOverride w:ilvl="3"/>
    <w:lvlOverride w:ilvl="4"/>
    <w:lvlOverride w:ilvl="5"/>
    <w:lvlOverride w:ilvl="6"/>
    <w:lvlOverride w:ilvl="7"/>
    <w:lvlOverride w:ilvl="8"/>
  </w:num>
  <w:num w:numId="924">
    <w:abstractNumId w:val="925"/>
    <w:lvlOverride w:ilvl="0"/>
    <w:lvlOverride w:ilvl="1"/>
    <w:lvlOverride w:ilvl="2"/>
    <w:lvlOverride w:ilvl="3"/>
    <w:lvlOverride w:ilvl="4"/>
    <w:lvlOverride w:ilvl="5"/>
    <w:lvlOverride w:ilvl="6"/>
    <w:lvlOverride w:ilvl="7"/>
    <w:lvlOverride w:ilvl="8"/>
  </w:num>
  <w:num w:numId="925">
    <w:abstractNumId w:val="926"/>
    <w:lvlOverride w:ilvl="0"/>
    <w:lvlOverride w:ilvl="1"/>
    <w:lvlOverride w:ilvl="2"/>
    <w:lvlOverride w:ilvl="3"/>
    <w:lvlOverride w:ilvl="4"/>
    <w:lvlOverride w:ilvl="5"/>
    <w:lvlOverride w:ilvl="6"/>
    <w:lvlOverride w:ilvl="7"/>
    <w:lvlOverride w:ilvl="8"/>
  </w:num>
  <w:num w:numId="926">
    <w:abstractNumId w:val="927"/>
    <w:lvlOverride w:ilvl="0"/>
    <w:lvlOverride w:ilvl="1"/>
    <w:lvlOverride w:ilvl="2"/>
    <w:lvlOverride w:ilvl="3"/>
    <w:lvlOverride w:ilvl="4"/>
    <w:lvlOverride w:ilvl="5"/>
    <w:lvlOverride w:ilvl="6"/>
    <w:lvlOverride w:ilvl="7"/>
    <w:lvlOverride w:ilvl="8"/>
  </w:num>
  <w:num w:numId="927">
    <w:abstractNumId w:val="928"/>
    <w:lvlOverride w:ilvl="0"/>
    <w:lvlOverride w:ilvl="1"/>
    <w:lvlOverride w:ilvl="2"/>
    <w:lvlOverride w:ilvl="3"/>
    <w:lvlOverride w:ilvl="4"/>
    <w:lvlOverride w:ilvl="5"/>
    <w:lvlOverride w:ilvl="6"/>
    <w:lvlOverride w:ilvl="7"/>
    <w:lvlOverride w:ilvl="8"/>
  </w:num>
  <w:num w:numId="928">
    <w:abstractNumId w:val="929"/>
    <w:lvlOverride w:ilvl="0"/>
    <w:lvlOverride w:ilvl="1"/>
    <w:lvlOverride w:ilvl="2"/>
    <w:lvlOverride w:ilvl="3"/>
    <w:lvlOverride w:ilvl="4"/>
    <w:lvlOverride w:ilvl="5"/>
    <w:lvlOverride w:ilvl="6"/>
    <w:lvlOverride w:ilvl="7"/>
    <w:lvlOverride w:ilvl="8"/>
  </w:num>
  <w:num w:numId="929">
    <w:abstractNumId w:val="930"/>
    <w:lvlOverride w:ilvl="0"/>
    <w:lvlOverride w:ilvl="1"/>
    <w:lvlOverride w:ilvl="2"/>
    <w:lvlOverride w:ilvl="3"/>
    <w:lvlOverride w:ilvl="4"/>
    <w:lvlOverride w:ilvl="5"/>
    <w:lvlOverride w:ilvl="6"/>
    <w:lvlOverride w:ilvl="7"/>
    <w:lvlOverride w:ilvl="8"/>
  </w:num>
  <w:num w:numId="930">
    <w:abstractNumId w:val="931"/>
    <w:lvlOverride w:ilvl="0"/>
    <w:lvlOverride w:ilvl="1"/>
    <w:lvlOverride w:ilvl="2"/>
    <w:lvlOverride w:ilvl="3"/>
    <w:lvlOverride w:ilvl="4"/>
    <w:lvlOverride w:ilvl="5"/>
    <w:lvlOverride w:ilvl="6"/>
    <w:lvlOverride w:ilvl="7"/>
    <w:lvlOverride w:ilvl="8"/>
  </w:num>
  <w:num w:numId="931">
    <w:abstractNumId w:val="932"/>
    <w:lvlOverride w:ilvl="0"/>
    <w:lvlOverride w:ilvl="1"/>
    <w:lvlOverride w:ilvl="2"/>
    <w:lvlOverride w:ilvl="3"/>
    <w:lvlOverride w:ilvl="4"/>
    <w:lvlOverride w:ilvl="5"/>
    <w:lvlOverride w:ilvl="6"/>
    <w:lvlOverride w:ilvl="7"/>
    <w:lvlOverride w:ilvl="8"/>
  </w:num>
  <w:num w:numId="932">
    <w:abstractNumId w:val="933"/>
    <w:lvlOverride w:ilvl="0"/>
    <w:lvlOverride w:ilvl="1"/>
    <w:lvlOverride w:ilvl="2"/>
    <w:lvlOverride w:ilvl="3"/>
    <w:lvlOverride w:ilvl="4"/>
    <w:lvlOverride w:ilvl="5"/>
    <w:lvlOverride w:ilvl="6"/>
    <w:lvlOverride w:ilvl="7"/>
    <w:lvlOverride w:ilvl="8"/>
  </w:num>
  <w:num w:numId="933">
    <w:abstractNumId w:val="934"/>
    <w:lvlOverride w:ilvl="0"/>
    <w:lvlOverride w:ilvl="1"/>
    <w:lvlOverride w:ilvl="2"/>
    <w:lvlOverride w:ilvl="3"/>
    <w:lvlOverride w:ilvl="4"/>
    <w:lvlOverride w:ilvl="5"/>
    <w:lvlOverride w:ilvl="6"/>
    <w:lvlOverride w:ilvl="7"/>
    <w:lvlOverride w:ilvl="8"/>
  </w:num>
  <w:num w:numId="934">
    <w:abstractNumId w:val="935"/>
    <w:lvlOverride w:ilvl="0"/>
    <w:lvlOverride w:ilvl="1"/>
    <w:lvlOverride w:ilvl="2"/>
    <w:lvlOverride w:ilvl="3"/>
    <w:lvlOverride w:ilvl="4"/>
    <w:lvlOverride w:ilvl="5"/>
    <w:lvlOverride w:ilvl="6"/>
    <w:lvlOverride w:ilvl="7"/>
    <w:lvlOverride w:ilvl="8"/>
  </w:num>
  <w:num w:numId="935">
    <w:abstractNumId w:val="936"/>
    <w:lvlOverride w:ilvl="0"/>
    <w:lvlOverride w:ilvl="1"/>
    <w:lvlOverride w:ilvl="2"/>
    <w:lvlOverride w:ilvl="3"/>
    <w:lvlOverride w:ilvl="4"/>
    <w:lvlOverride w:ilvl="5"/>
    <w:lvlOverride w:ilvl="6"/>
    <w:lvlOverride w:ilvl="7"/>
    <w:lvlOverride w:ilvl="8"/>
  </w:num>
  <w:num w:numId="936">
    <w:abstractNumId w:val="937"/>
    <w:lvlOverride w:ilvl="0"/>
    <w:lvlOverride w:ilvl="1"/>
    <w:lvlOverride w:ilvl="2"/>
    <w:lvlOverride w:ilvl="3"/>
    <w:lvlOverride w:ilvl="4"/>
    <w:lvlOverride w:ilvl="5"/>
    <w:lvlOverride w:ilvl="6"/>
    <w:lvlOverride w:ilvl="7"/>
    <w:lvlOverride w:ilvl="8"/>
  </w:num>
  <w:num w:numId="937">
    <w:abstractNumId w:val="938"/>
    <w:lvlOverride w:ilvl="0"/>
    <w:lvlOverride w:ilvl="1"/>
    <w:lvlOverride w:ilvl="2"/>
    <w:lvlOverride w:ilvl="3"/>
    <w:lvlOverride w:ilvl="4"/>
    <w:lvlOverride w:ilvl="5"/>
    <w:lvlOverride w:ilvl="6"/>
    <w:lvlOverride w:ilvl="7"/>
    <w:lvlOverride w:ilvl="8"/>
  </w:num>
  <w:num w:numId="938">
    <w:abstractNumId w:val="939"/>
    <w:lvlOverride w:ilvl="0"/>
    <w:lvlOverride w:ilvl="1"/>
    <w:lvlOverride w:ilvl="2"/>
    <w:lvlOverride w:ilvl="3"/>
    <w:lvlOverride w:ilvl="4"/>
    <w:lvlOverride w:ilvl="5"/>
    <w:lvlOverride w:ilvl="6"/>
    <w:lvlOverride w:ilvl="7"/>
    <w:lvlOverride w:ilvl="8"/>
  </w:num>
  <w:num w:numId="939">
    <w:abstractNumId w:val="940"/>
    <w:lvlOverride w:ilvl="0"/>
    <w:lvlOverride w:ilvl="1"/>
    <w:lvlOverride w:ilvl="2"/>
    <w:lvlOverride w:ilvl="3"/>
    <w:lvlOverride w:ilvl="4"/>
    <w:lvlOverride w:ilvl="5"/>
    <w:lvlOverride w:ilvl="6"/>
    <w:lvlOverride w:ilvl="7"/>
    <w:lvlOverride w:ilvl="8"/>
  </w:num>
  <w:num w:numId="940">
    <w:abstractNumId w:val="941"/>
    <w:lvlOverride w:ilvl="0"/>
    <w:lvlOverride w:ilvl="1"/>
    <w:lvlOverride w:ilvl="2"/>
    <w:lvlOverride w:ilvl="3"/>
    <w:lvlOverride w:ilvl="4"/>
    <w:lvlOverride w:ilvl="5"/>
    <w:lvlOverride w:ilvl="6"/>
    <w:lvlOverride w:ilvl="7"/>
    <w:lvlOverride w:ilvl="8"/>
  </w:num>
  <w:num w:numId="941">
    <w:abstractNumId w:val="942"/>
    <w:lvlOverride w:ilvl="0"/>
    <w:lvlOverride w:ilvl="1"/>
    <w:lvlOverride w:ilvl="2"/>
    <w:lvlOverride w:ilvl="3"/>
    <w:lvlOverride w:ilvl="4"/>
    <w:lvlOverride w:ilvl="5"/>
    <w:lvlOverride w:ilvl="6"/>
    <w:lvlOverride w:ilvl="7"/>
    <w:lvlOverride w:ilvl="8"/>
  </w:num>
  <w:num w:numId="942">
    <w:abstractNumId w:val="943"/>
    <w:lvlOverride w:ilvl="0"/>
    <w:lvlOverride w:ilvl="1"/>
    <w:lvlOverride w:ilvl="2"/>
    <w:lvlOverride w:ilvl="3"/>
    <w:lvlOverride w:ilvl="4"/>
    <w:lvlOverride w:ilvl="5"/>
    <w:lvlOverride w:ilvl="6"/>
    <w:lvlOverride w:ilvl="7"/>
    <w:lvlOverride w:ilvl="8"/>
  </w:num>
  <w:num w:numId="943">
    <w:abstractNumId w:val="944"/>
    <w:lvlOverride w:ilvl="0"/>
    <w:lvlOverride w:ilvl="1"/>
    <w:lvlOverride w:ilvl="2"/>
    <w:lvlOverride w:ilvl="3"/>
    <w:lvlOverride w:ilvl="4"/>
    <w:lvlOverride w:ilvl="5"/>
    <w:lvlOverride w:ilvl="6"/>
    <w:lvlOverride w:ilvl="7"/>
    <w:lvlOverride w:ilvl="8"/>
  </w:num>
  <w:num w:numId="944">
    <w:abstractNumId w:val="945"/>
    <w:lvlOverride w:ilvl="0"/>
    <w:lvlOverride w:ilvl="1"/>
    <w:lvlOverride w:ilvl="2"/>
    <w:lvlOverride w:ilvl="3"/>
    <w:lvlOverride w:ilvl="4"/>
    <w:lvlOverride w:ilvl="5"/>
    <w:lvlOverride w:ilvl="6"/>
    <w:lvlOverride w:ilvl="7"/>
    <w:lvlOverride w:ilvl="8"/>
  </w:num>
  <w:num w:numId="945">
    <w:abstractNumId w:val="946"/>
    <w:lvlOverride w:ilvl="0"/>
    <w:lvlOverride w:ilvl="1"/>
    <w:lvlOverride w:ilvl="2"/>
    <w:lvlOverride w:ilvl="3"/>
    <w:lvlOverride w:ilvl="4"/>
    <w:lvlOverride w:ilvl="5"/>
    <w:lvlOverride w:ilvl="6"/>
    <w:lvlOverride w:ilvl="7"/>
    <w:lvlOverride w:ilvl="8"/>
  </w:num>
  <w:num w:numId="946">
    <w:abstractNumId w:val="947"/>
    <w:lvlOverride w:ilvl="0"/>
    <w:lvlOverride w:ilvl="1"/>
    <w:lvlOverride w:ilvl="2"/>
    <w:lvlOverride w:ilvl="3"/>
    <w:lvlOverride w:ilvl="4"/>
    <w:lvlOverride w:ilvl="5"/>
    <w:lvlOverride w:ilvl="6"/>
    <w:lvlOverride w:ilvl="7"/>
    <w:lvlOverride w:ilvl="8"/>
  </w:num>
  <w:num w:numId="947">
    <w:abstractNumId w:val="948"/>
    <w:lvlOverride w:ilvl="0"/>
    <w:lvlOverride w:ilvl="1"/>
    <w:lvlOverride w:ilvl="2"/>
    <w:lvlOverride w:ilvl="3"/>
    <w:lvlOverride w:ilvl="4"/>
    <w:lvlOverride w:ilvl="5"/>
    <w:lvlOverride w:ilvl="6"/>
    <w:lvlOverride w:ilvl="7"/>
    <w:lvlOverride w:ilvl="8"/>
  </w:num>
  <w:num w:numId="948">
    <w:abstractNumId w:val="949"/>
    <w:lvlOverride w:ilvl="0"/>
    <w:lvlOverride w:ilvl="1"/>
    <w:lvlOverride w:ilvl="2"/>
    <w:lvlOverride w:ilvl="3"/>
    <w:lvlOverride w:ilvl="4"/>
    <w:lvlOverride w:ilvl="5"/>
    <w:lvlOverride w:ilvl="6"/>
    <w:lvlOverride w:ilvl="7"/>
    <w:lvlOverride w:ilvl="8"/>
  </w:num>
  <w:num w:numId="949">
    <w:abstractNumId w:val="950"/>
    <w:lvlOverride w:ilvl="0"/>
    <w:lvlOverride w:ilvl="1"/>
    <w:lvlOverride w:ilvl="2"/>
    <w:lvlOverride w:ilvl="3"/>
    <w:lvlOverride w:ilvl="4"/>
    <w:lvlOverride w:ilvl="5"/>
    <w:lvlOverride w:ilvl="6"/>
    <w:lvlOverride w:ilvl="7"/>
    <w:lvlOverride w:ilvl="8"/>
  </w:num>
  <w:num w:numId="950">
    <w:abstractNumId w:val="951"/>
    <w:lvlOverride w:ilvl="0"/>
    <w:lvlOverride w:ilvl="1"/>
    <w:lvlOverride w:ilvl="2"/>
    <w:lvlOverride w:ilvl="3"/>
    <w:lvlOverride w:ilvl="4"/>
    <w:lvlOverride w:ilvl="5"/>
    <w:lvlOverride w:ilvl="6"/>
    <w:lvlOverride w:ilvl="7"/>
    <w:lvlOverride w:ilvl="8"/>
  </w:num>
  <w:num w:numId="951">
    <w:abstractNumId w:val="952"/>
    <w:lvlOverride w:ilvl="0"/>
    <w:lvlOverride w:ilvl="1"/>
    <w:lvlOverride w:ilvl="2"/>
    <w:lvlOverride w:ilvl="3"/>
    <w:lvlOverride w:ilvl="4"/>
    <w:lvlOverride w:ilvl="5"/>
    <w:lvlOverride w:ilvl="6"/>
    <w:lvlOverride w:ilvl="7"/>
    <w:lvlOverride w:ilvl="8"/>
  </w:num>
  <w:num w:numId="952">
    <w:abstractNumId w:val="953"/>
    <w:lvlOverride w:ilvl="0"/>
    <w:lvlOverride w:ilvl="1"/>
    <w:lvlOverride w:ilvl="2"/>
    <w:lvlOverride w:ilvl="3"/>
    <w:lvlOverride w:ilvl="4"/>
    <w:lvlOverride w:ilvl="5"/>
    <w:lvlOverride w:ilvl="6"/>
    <w:lvlOverride w:ilvl="7"/>
    <w:lvlOverride w:ilvl="8"/>
  </w:num>
  <w:num w:numId="953">
    <w:abstractNumId w:val="954"/>
    <w:lvlOverride w:ilvl="0"/>
    <w:lvlOverride w:ilvl="1"/>
    <w:lvlOverride w:ilvl="2"/>
    <w:lvlOverride w:ilvl="3"/>
    <w:lvlOverride w:ilvl="4"/>
    <w:lvlOverride w:ilvl="5"/>
    <w:lvlOverride w:ilvl="6"/>
    <w:lvlOverride w:ilvl="7"/>
    <w:lvlOverride w:ilvl="8"/>
  </w:num>
  <w:num w:numId="954">
    <w:abstractNumId w:val="955"/>
    <w:lvlOverride w:ilvl="0"/>
    <w:lvlOverride w:ilvl="1"/>
    <w:lvlOverride w:ilvl="2"/>
    <w:lvlOverride w:ilvl="3"/>
    <w:lvlOverride w:ilvl="4"/>
    <w:lvlOverride w:ilvl="5"/>
    <w:lvlOverride w:ilvl="6"/>
    <w:lvlOverride w:ilvl="7"/>
    <w:lvlOverride w:ilvl="8"/>
  </w:num>
  <w:num w:numId="955">
    <w:abstractNumId w:val="956"/>
    <w:lvlOverride w:ilvl="0"/>
    <w:lvlOverride w:ilvl="1"/>
    <w:lvlOverride w:ilvl="2"/>
    <w:lvlOverride w:ilvl="3"/>
    <w:lvlOverride w:ilvl="4"/>
    <w:lvlOverride w:ilvl="5"/>
    <w:lvlOverride w:ilvl="6"/>
    <w:lvlOverride w:ilvl="7"/>
    <w:lvlOverride w:ilvl="8"/>
  </w:num>
  <w:num w:numId="956">
    <w:abstractNumId w:val="957"/>
    <w:lvlOverride w:ilvl="0"/>
    <w:lvlOverride w:ilvl="1"/>
    <w:lvlOverride w:ilvl="2"/>
    <w:lvlOverride w:ilvl="3"/>
    <w:lvlOverride w:ilvl="4"/>
    <w:lvlOverride w:ilvl="5"/>
    <w:lvlOverride w:ilvl="6"/>
    <w:lvlOverride w:ilvl="7"/>
    <w:lvlOverride w:ilvl="8"/>
  </w:num>
  <w:num w:numId="957">
    <w:abstractNumId w:val="958"/>
    <w:lvlOverride w:ilvl="0"/>
    <w:lvlOverride w:ilvl="1"/>
    <w:lvlOverride w:ilvl="2"/>
    <w:lvlOverride w:ilvl="3"/>
    <w:lvlOverride w:ilvl="4"/>
    <w:lvlOverride w:ilvl="5"/>
    <w:lvlOverride w:ilvl="6"/>
    <w:lvlOverride w:ilvl="7"/>
    <w:lvlOverride w:ilvl="8"/>
  </w:num>
  <w:num w:numId="958">
    <w:abstractNumId w:val="959"/>
    <w:lvlOverride w:ilvl="0"/>
    <w:lvlOverride w:ilvl="1"/>
    <w:lvlOverride w:ilvl="2"/>
    <w:lvlOverride w:ilvl="3"/>
    <w:lvlOverride w:ilvl="4"/>
    <w:lvlOverride w:ilvl="5"/>
    <w:lvlOverride w:ilvl="6"/>
    <w:lvlOverride w:ilvl="7"/>
    <w:lvlOverride w:ilvl="8"/>
  </w:num>
  <w:num w:numId="959">
    <w:abstractNumId w:val="960"/>
    <w:lvlOverride w:ilvl="0"/>
    <w:lvlOverride w:ilvl="1"/>
    <w:lvlOverride w:ilvl="2"/>
    <w:lvlOverride w:ilvl="3"/>
    <w:lvlOverride w:ilvl="4"/>
    <w:lvlOverride w:ilvl="5"/>
    <w:lvlOverride w:ilvl="6"/>
    <w:lvlOverride w:ilvl="7"/>
    <w:lvlOverride w:ilvl="8"/>
  </w:num>
  <w:num w:numId="960">
    <w:abstractNumId w:val="9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1">
    <w:abstractNumId w:val="962"/>
    <w:lvlOverride w:ilvl="0"/>
    <w:lvlOverride w:ilvl="1"/>
    <w:lvlOverride w:ilvl="2"/>
    <w:lvlOverride w:ilvl="3"/>
    <w:lvlOverride w:ilvl="4"/>
    <w:lvlOverride w:ilvl="5"/>
    <w:lvlOverride w:ilvl="6"/>
    <w:lvlOverride w:ilvl="7"/>
    <w:lvlOverride w:ilvl="8"/>
  </w:num>
  <w:num w:numId="962">
    <w:abstractNumId w:val="963"/>
    <w:lvlOverride w:ilvl="0"/>
    <w:lvlOverride w:ilvl="1"/>
    <w:lvlOverride w:ilvl="2"/>
    <w:lvlOverride w:ilvl="3"/>
    <w:lvlOverride w:ilvl="4"/>
    <w:lvlOverride w:ilvl="5"/>
    <w:lvlOverride w:ilvl="6"/>
    <w:lvlOverride w:ilvl="7"/>
    <w:lvlOverride w:ilvl="8"/>
  </w:num>
  <w:num w:numId="963">
    <w:abstractNumId w:val="964"/>
    <w:lvlOverride w:ilvl="0"/>
    <w:lvlOverride w:ilvl="1"/>
    <w:lvlOverride w:ilvl="2"/>
    <w:lvlOverride w:ilvl="3"/>
    <w:lvlOverride w:ilvl="4"/>
    <w:lvlOverride w:ilvl="5"/>
    <w:lvlOverride w:ilvl="6"/>
    <w:lvlOverride w:ilvl="7"/>
    <w:lvlOverride w:ilvl="8"/>
  </w:num>
  <w:num w:numId="964">
    <w:abstractNumId w:val="9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5">
    <w:abstractNumId w:val="966"/>
    <w:lvlOverride w:ilvl="0"/>
    <w:lvlOverride w:ilvl="1"/>
    <w:lvlOverride w:ilvl="2"/>
    <w:lvlOverride w:ilvl="3"/>
    <w:lvlOverride w:ilvl="4"/>
    <w:lvlOverride w:ilvl="5"/>
    <w:lvlOverride w:ilvl="6"/>
    <w:lvlOverride w:ilvl="7"/>
    <w:lvlOverride w:ilvl="8"/>
  </w:num>
  <w:num w:numId="966">
    <w:abstractNumId w:val="967"/>
    <w:lvlOverride w:ilvl="0"/>
    <w:lvlOverride w:ilvl="1"/>
    <w:lvlOverride w:ilvl="2"/>
    <w:lvlOverride w:ilvl="3"/>
    <w:lvlOverride w:ilvl="4"/>
    <w:lvlOverride w:ilvl="5"/>
    <w:lvlOverride w:ilvl="6"/>
    <w:lvlOverride w:ilvl="7"/>
    <w:lvlOverride w:ilvl="8"/>
  </w:num>
  <w:num w:numId="967">
    <w:abstractNumId w:val="968"/>
    <w:lvlOverride w:ilvl="0"/>
    <w:lvlOverride w:ilvl="1"/>
    <w:lvlOverride w:ilvl="2"/>
    <w:lvlOverride w:ilvl="3"/>
    <w:lvlOverride w:ilvl="4"/>
    <w:lvlOverride w:ilvl="5"/>
    <w:lvlOverride w:ilvl="6"/>
    <w:lvlOverride w:ilvl="7"/>
    <w:lvlOverride w:ilvl="8"/>
  </w:num>
  <w:num w:numId="968">
    <w:abstractNumId w:val="969"/>
    <w:lvlOverride w:ilvl="0"/>
    <w:lvlOverride w:ilvl="1"/>
    <w:lvlOverride w:ilvl="2"/>
    <w:lvlOverride w:ilvl="3"/>
    <w:lvlOverride w:ilvl="4"/>
    <w:lvlOverride w:ilvl="5"/>
    <w:lvlOverride w:ilvl="6"/>
    <w:lvlOverride w:ilvl="7"/>
    <w:lvlOverride w:ilvl="8"/>
  </w:num>
  <w:num w:numId="969">
    <w:abstractNumId w:val="970"/>
    <w:lvlOverride w:ilvl="0"/>
    <w:lvlOverride w:ilvl="1"/>
    <w:lvlOverride w:ilvl="2"/>
    <w:lvlOverride w:ilvl="3"/>
    <w:lvlOverride w:ilvl="4"/>
    <w:lvlOverride w:ilvl="5"/>
    <w:lvlOverride w:ilvl="6"/>
    <w:lvlOverride w:ilvl="7"/>
    <w:lvlOverride w:ilvl="8"/>
  </w:num>
  <w:num w:numId="970">
    <w:abstractNumId w:val="971"/>
    <w:lvlOverride w:ilvl="0"/>
    <w:lvlOverride w:ilvl="1"/>
    <w:lvlOverride w:ilvl="2"/>
    <w:lvlOverride w:ilvl="3"/>
    <w:lvlOverride w:ilvl="4"/>
    <w:lvlOverride w:ilvl="5"/>
    <w:lvlOverride w:ilvl="6"/>
    <w:lvlOverride w:ilvl="7"/>
    <w:lvlOverride w:ilvl="8"/>
  </w:num>
  <w:num w:numId="971">
    <w:abstractNumId w:val="972"/>
    <w:lvlOverride w:ilvl="0"/>
    <w:lvlOverride w:ilvl="1"/>
    <w:lvlOverride w:ilvl="2"/>
    <w:lvlOverride w:ilvl="3"/>
    <w:lvlOverride w:ilvl="4"/>
    <w:lvlOverride w:ilvl="5"/>
    <w:lvlOverride w:ilvl="6"/>
    <w:lvlOverride w:ilvl="7"/>
    <w:lvlOverride w:ilvl="8"/>
  </w:num>
  <w:num w:numId="972">
    <w:abstractNumId w:val="973"/>
    <w:lvlOverride w:ilvl="0"/>
    <w:lvlOverride w:ilvl="1"/>
    <w:lvlOverride w:ilvl="2"/>
    <w:lvlOverride w:ilvl="3"/>
    <w:lvlOverride w:ilvl="4"/>
    <w:lvlOverride w:ilvl="5"/>
    <w:lvlOverride w:ilvl="6"/>
    <w:lvlOverride w:ilvl="7"/>
    <w:lvlOverride w:ilvl="8"/>
  </w:num>
  <w:num w:numId="973">
    <w:abstractNumId w:val="9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4">
    <w:abstractNumId w:val="975"/>
    <w:lvlOverride w:ilvl="0"/>
    <w:lvlOverride w:ilvl="1"/>
    <w:lvlOverride w:ilvl="2"/>
    <w:lvlOverride w:ilvl="3"/>
    <w:lvlOverride w:ilvl="4"/>
    <w:lvlOverride w:ilvl="5"/>
    <w:lvlOverride w:ilvl="6"/>
    <w:lvlOverride w:ilvl="7"/>
    <w:lvlOverride w:ilvl="8"/>
  </w:num>
  <w:num w:numId="975">
    <w:abstractNumId w:val="976"/>
    <w:lvlOverride w:ilvl="0"/>
    <w:lvlOverride w:ilvl="1"/>
    <w:lvlOverride w:ilvl="2"/>
    <w:lvlOverride w:ilvl="3"/>
    <w:lvlOverride w:ilvl="4"/>
    <w:lvlOverride w:ilvl="5"/>
    <w:lvlOverride w:ilvl="6"/>
    <w:lvlOverride w:ilvl="7"/>
    <w:lvlOverride w:ilvl="8"/>
  </w:num>
  <w:num w:numId="976">
    <w:abstractNumId w:val="977"/>
    <w:lvlOverride w:ilvl="0"/>
    <w:lvlOverride w:ilvl="1"/>
    <w:lvlOverride w:ilvl="2"/>
    <w:lvlOverride w:ilvl="3"/>
    <w:lvlOverride w:ilvl="4"/>
    <w:lvlOverride w:ilvl="5"/>
    <w:lvlOverride w:ilvl="6"/>
    <w:lvlOverride w:ilvl="7"/>
    <w:lvlOverride w:ilvl="8"/>
  </w:num>
  <w:num w:numId="977">
    <w:abstractNumId w:val="978"/>
    <w:lvlOverride w:ilvl="0"/>
    <w:lvlOverride w:ilvl="1"/>
    <w:lvlOverride w:ilvl="2"/>
    <w:lvlOverride w:ilvl="3"/>
    <w:lvlOverride w:ilvl="4"/>
    <w:lvlOverride w:ilvl="5"/>
    <w:lvlOverride w:ilvl="6"/>
    <w:lvlOverride w:ilvl="7"/>
    <w:lvlOverride w:ilvl="8"/>
  </w:num>
  <w:num w:numId="978">
    <w:abstractNumId w:val="979"/>
    <w:lvlOverride w:ilvl="0"/>
    <w:lvlOverride w:ilvl="1"/>
    <w:lvlOverride w:ilvl="2"/>
    <w:lvlOverride w:ilvl="3"/>
    <w:lvlOverride w:ilvl="4"/>
    <w:lvlOverride w:ilvl="5"/>
    <w:lvlOverride w:ilvl="6"/>
    <w:lvlOverride w:ilvl="7"/>
    <w:lvlOverride w:ilvl="8"/>
  </w:num>
  <w:num w:numId="979">
    <w:abstractNumId w:val="980"/>
    <w:lvlOverride w:ilvl="0"/>
    <w:lvlOverride w:ilvl="1"/>
    <w:lvlOverride w:ilvl="2"/>
    <w:lvlOverride w:ilvl="3"/>
    <w:lvlOverride w:ilvl="4"/>
    <w:lvlOverride w:ilvl="5"/>
    <w:lvlOverride w:ilvl="6"/>
    <w:lvlOverride w:ilvl="7"/>
    <w:lvlOverride w:ilvl="8"/>
  </w:num>
  <w:num w:numId="980">
    <w:abstractNumId w:val="981"/>
    <w:lvlOverride w:ilvl="0"/>
    <w:lvlOverride w:ilvl="1"/>
    <w:lvlOverride w:ilvl="2"/>
    <w:lvlOverride w:ilvl="3"/>
    <w:lvlOverride w:ilvl="4"/>
    <w:lvlOverride w:ilvl="5"/>
    <w:lvlOverride w:ilvl="6"/>
    <w:lvlOverride w:ilvl="7"/>
    <w:lvlOverride w:ilvl="8"/>
  </w:num>
  <w:num w:numId="981">
    <w:abstractNumId w:val="9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2">
    <w:abstractNumId w:val="983"/>
    <w:lvlOverride w:ilvl="0"/>
    <w:lvlOverride w:ilvl="1"/>
    <w:lvlOverride w:ilvl="2"/>
    <w:lvlOverride w:ilvl="3"/>
    <w:lvlOverride w:ilvl="4"/>
    <w:lvlOverride w:ilvl="5"/>
    <w:lvlOverride w:ilvl="6"/>
    <w:lvlOverride w:ilvl="7"/>
    <w:lvlOverride w:ilvl="8"/>
  </w:num>
  <w:num w:numId="983">
    <w:abstractNumId w:val="984"/>
    <w:lvlOverride w:ilvl="0"/>
    <w:lvlOverride w:ilvl="1"/>
    <w:lvlOverride w:ilvl="2"/>
    <w:lvlOverride w:ilvl="3"/>
    <w:lvlOverride w:ilvl="4"/>
    <w:lvlOverride w:ilvl="5"/>
    <w:lvlOverride w:ilvl="6"/>
    <w:lvlOverride w:ilvl="7"/>
    <w:lvlOverride w:ilvl="8"/>
  </w:num>
  <w:num w:numId="984">
    <w:abstractNumId w:val="985"/>
    <w:lvlOverride w:ilvl="0"/>
    <w:lvlOverride w:ilvl="1"/>
    <w:lvlOverride w:ilvl="2"/>
    <w:lvlOverride w:ilvl="3"/>
    <w:lvlOverride w:ilvl="4"/>
    <w:lvlOverride w:ilvl="5"/>
    <w:lvlOverride w:ilvl="6"/>
    <w:lvlOverride w:ilvl="7"/>
    <w:lvlOverride w:ilvl="8"/>
  </w:num>
  <w:num w:numId="985">
    <w:abstractNumId w:val="986"/>
    <w:lvlOverride w:ilvl="0"/>
    <w:lvlOverride w:ilvl="1"/>
    <w:lvlOverride w:ilvl="2"/>
    <w:lvlOverride w:ilvl="3"/>
    <w:lvlOverride w:ilvl="4"/>
    <w:lvlOverride w:ilvl="5"/>
    <w:lvlOverride w:ilvl="6"/>
    <w:lvlOverride w:ilvl="7"/>
    <w:lvlOverride w:ilvl="8"/>
  </w:num>
  <w:num w:numId="986">
    <w:abstractNumId w:val="987"/>
    <w:lvlOverride w:ilvl="0"/>
    <w:lvlOverride w:ilvl="1"/>
    <w:lvlOverride w:ilvl="2"/>
    <w:lvlOverride w:ilvl="3"/>
    <w:lvlOverride w:ilvl="4"/>
    <w:lvlOverride w:ilvl="5"/>
    <w:lvlOverride w:ilvl="6"/>
    <w:lvlOverride w:ilvl="7"/>
    <w:lvlOverride w:ilvl="8"/>
  </w:num>
  <w:num w:numId="987">
    <w:abstractNumId w:val="988"/>
    <w:lvlOverride w:ilvl="0"/>
    <w:lvlOverride w:ilvl="1"/>
    <w:lvlOverride w:ilvl="2"/>
    <w:lvlOverride w:ilvl="3"/>
    <w:lvlOverride w:ilvl="4"/>
    <w:lvlOverride w:ilvl="5"/>
    <w:lvlOverride w:ilvl="6"/>
    <w:lvlOverride w:ilvl="7"/>
    <w:lvlOverride w:ilvl="8"/>
  </w:num>
  <w:num w:numId="988">
    <w:abstractNumId w:val="989"/>
    <w:lvlOverride w:ilvl="0"/>
    <w:lvlOverride w:ilvl="1"/>
    <w:lvlOverride w:ilvl="2"/>
    <w:lvlOverride w:ilvl="3"/>
    <w:lvlOverride w:ilvl="4"/>
    <w:lvlOverride w:ilvl="5"/>
    <w:lvlOverride w:ilvl="6"/>
    <w:lvlOverride w:ilvl="7"/>
    <w:lvlOverride w:ilvl="8"/>
  </w:num>
  <w:num w:numId="989">
    <w:abstractNumId w:val="9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0">
    <w:abstractNumId w:val="991"/>
    <w:lvlOverride w:ilvl="0"/>
    <w:lvlOverride w:ilvl="1"/>
    <w:lvlOverride w:ilvl="2"/>
    <w:lvlOverride w:ilvl="3"/>
    <w:lvlOverride w:ilvl="4"/>
    <w:lvlOverride w:ilvl="5"/>
    <w:lvlOverride w:ilvl="6"/>
    <w:lvlOverride w:ilvl="7"/>
    <w:lvlOverride w:ilvl="8"/>
  </w:num>
  <w:num w:numId="991">
    <w:abstractNumId w:val="992"/>
    <w:lvlOverride w:ilvl="0"/>
    <w:lvlOverride w:ilvl="1"/>
    <w:lvlOverride w:ilvl="2"/>
    <w:lvlOverride w:ilvl="3"/>
    <w:lvlOverride w:ilvl="4"/>
    <w:lvlOverride w:ilvl="5"/>
    <w:lvlOverride w:ilvl="6"/>
    <w:lvlOverride w:ilvl="7"/>
    <w:lvlOverride w:ilvl="8"/>
  </w:num>
  <w:num w:numId="992">
    <w:abstractNumId w:val="993"/>
    <w:lvlOverride w:ilvl="0"/>
    <w:lvlOverride w:ilvl="1"/>
    <w:lvlOverride w:ilvl="2"/>
    <w:lvlOverride w:ilvl="3"/>
    <w:lvlOverride w:ilvl="4"/>
    <w:lvlOverride w:ilvl="5"/>
    <w:lvlOverride w:ilvl="6"/>
    <w:lvlOverride w:ilvl="7"/>
    <w:lvlOverride w:ilvl="8"/>
  </w:num>
  <w:num w:numId="993">
    <w:abstractNumId w:val="994"/>
    <w:lvlOverride w:ilvl="0"/>
    <w:lvlOverride w:ilvl="1"/>
    <w:lvlOverride w:ilvl="2"/>
    <w:lvlOverride w:ilvl="3"/>
    <w:lvlOverride w:ilvl="4"/>
    <w:lvlOverride w:ilvl="5"/>
    <w:lvlOverride w:ilvl="6"/>
    <w:lvlOverride w:ilvl="7"/>
    <w:lvlOverride w:ilvl="8"/>
  </w:num>
  <w:num w:numId="994">
    <w:abstractNumId w:val="995"/>
    <w:lvlOverride w:ilvl="0"/>
    <w:lvlOverride w:ilvl="1"/>
    <w:lvlOverride w:ilvl="2"/>
    <w:lvlOverride w:ilvl="3"/>
    <w:lvlOverride w:ilvl="4"/>
    <w:lvlOverride w:ilvl="5"/>
    <w:lvlOverride w:ilvl="6"/>
    <w:lvlOverride w:ilvl="7"/>
    <w:lvlOverride w:ilvl="8"/>
  </w:num>
  <w:num w:numId="995">
    <w:abstractNumId w:val="996"/>
    <w:lvlOverride w:ilvl="0"/>
    <w:lvlOverride w:ilvl="1"/>
    <w:lvlOverride w:ilvl="2"/>
    <w:lvlOverride w:ilvl="3"/>
    <w:lvlOverride w:ilvl="4"/>
    <w:lvlOverride w:ilvl="5"/>
    <w:lvlOverride w:ilvl="6"/>
    <w:lvlOverride w:ilvl="7"/>
    <w:lvlOverride w:ilvl="8"/>
  </w:num>
  <w:num w:numId="996">
    <w:abstractNumId w:val="997"/>
    <w:lvlOverride w:ilvl="0"/>
    <w:lvlOverride w:ilvl="1"/>
    <w:lvlOverride w:ilvl="2"/>
    <w:lvlOverride w:ilvl="3"/>
    <w:lvlOverride w:ilvl="4"/>
    <w:lvlOverride w:ilvl="5"/>
    <w:lvlOverride w:ilvl="6"/>
    <w:lvlOverride w:ilvl="7"/>
    <w:lvlOverride w:ilvl="8"/>
  </w:num>
  <w:num w:numId="997">
    <w:abstractNumId w:val="998"/>
    <w:lvlOverride w:ilvl="0"/>
    <w:lvlOverride w:ilvl="1"/>
    <w:lvlOverride w:ilvl="2"/>
    <w:lvlOverride w:ilvl="3"/>
    <w:lvlOverride w:ilvl="4"/>
    <w:lvlOverride w:ilvl="5"/>
    <w:lvlOverride w:ilvl="6"/>
    <w:lvlOverride w:ilvl="7"/>
    <w:lvlOverride w:ilvl="8"/>
  </w:num>
  <w:num w:numId="998">
    <w:abstractNumId w:val="999"/>
    <w:lvlOverride w:ilvl="0"/>
    <w:lvlOverride w:ilvl="1"/>
    <w:lvlOverride w:ilvl="2"/>
    <w:lvlOverride w:ilvl="3"/>
    <w:lvlOverride w:ilvl="4"/>
    <w:lvlOverride w:ilvl="5"/>
    <w:lvlOverride w:ilvl="6"/>
    <w:lvlOverride w:ilvl="7"/>
    <w:lvlOverride w:ilvl="8"/>
  </w:num>
  <w:num w:numId="999">
    <w:abstractNumId w:val="1000"/>
    <w:lvlOverride w:ilvl="0"/>
    <w:lvlOverride w:ilvl="1"/>
    <w:lvlOverride w:ilvl="2"/>
    <w:lvlOverride w:ilvl="3"/>
    <w:lvlOverride w:ilvl="4"/>
    <w:lvlOverride w:ilvl="5"/>
    <w:lvlOverride w:ilvl="6"/>
    <w:lvlOverride w:ilvl="7"/>
    <w:lvlOverride w:ilvl="8"/>
  </w:num>
  <w:num w:numId="1000">
    <w:abstractNumId w:val="1001"/>
    <w:lvlOverride w:ilvl="0"/>
    <w:lvlOverride w:ilvl="1"/>
    <w:lvlOverride w:ilvl="2"/>
    <w:lvlOverride w:ilvl="3"/>
    <w:lvlOverride w:ilvl="4"/>
    <w:lvlOverride w:ilvl="5"/>
    <w:lvlOverride w:ilvl="6"/>
    <w:lvlOverride w:ilvl="7"/>
    <w:lvlOverride w:ilvl="8"/>
  </w:num>
  <w:num w:numId="1001">
    <w:abstractNumId w:val="1002"/>
    <w:lvlOverride w:ilvl="0"/>
    <w:lvlOverride w:ilvl="1"/>
    <w:lvlOverride w:ilvl="2"/>
    <w:lvlOverride w:ilvl="3"/>
    <w:lvlOverride w:ilvl="4"/>
    <w:lvlOverride w:ilvl="5"/>
    <w:lvlOverride w:ilvl="6"/>
    <w:lvlOverride w:ilvl="7"/>
    <w:lvlOverride w:ilvl="8"/>
  </w:num>
  <w:num w:numId="1002">
    <w:abstractNumId w:val="1003"/>
    <w:lvlOverride w:ilvl="0"/>
    <w:lvlOverride w:ilvl="1"/>
    <w:lvlOverride w:ilvl="2"/>
    <w:lvlOverride w:ilvl="3"/>
    <w:lvlOverride w:ilvl="4"/>
    <w:lvlOverride w:ilvl="5"/>
    <w:lvlOverride w:ilvl="6"/>
    <w:lvlOverride w:ilvl="7"/>
    <w:lvlOverride w:ilvl="8"/>
  </w:num>
  <w:num w:numId="1003">
    <w:abstractNumId w:val="1004"/>
    <w:lvlOverride w:ilvl="0"/>
    <w:lvlOverride w:ilvl="1"/>
    <w:lvlOverride w:ilvl="2"/>
    <w:lvlOverride w:ilvl="3"/>
    <w:lvlOverride w:ilvl="4"/>
    <w:lvlOverride w:ilvl="5"/>
    <w:lvlOverride w:ilvl="6"/>
    <w:lvlOverride w:ilvl="7"/>
    <w:lvlOverride w:ilvl="8"/>
  </w:num>
  <w:num w:numId="1004">
    <w:abstractNumId w:val="1005"/>
    <w:lvlOverride w:ilvl="0"/>
    <w:lvlOverride w:ilvl="1"/>
    <w:lvlOverride w:ilvl="2"/>
    <w:lvlOverride w:ilvl="3"/>
    <w:lvlOverride w:ilvl="4"/>
    <w:lvlOverride w:ilvl="5"/>
    <w:lvlOverride w:ilvl="6"/>
    <w:lvlOverride w:ilvl="7"/>
    <w:lvlOverride w:ilvl="8"/>
  </w:num>
  <w:num w:numId="1005">
    <w:abstractNumId w:val="1006"/>
    <w:lvlOverride w:ilvl="0"/>
    <w:lvlOverride w:ilvl="1"/>
    <w:lvlOverride w:ilvl="2"/>
    <w:lvlOverride w:ilvl="3"/>
    <w:lvlOverride w:ilvl="4"/>
    <w:lvlOverride w:ilvl="5"/>
    <w:lvlOverride w:ilvl="6"/>
    <w:lvlOverride w:ilvl="7"/>
    <w:lvlOverride w:ilvl="8"/>
  </w:num>
  <w:num w:numId="1006">
    <w:abstractNumId w:val="1007"/>
    <w:lvlOverride w:ilvl="0"/>
    <w:lvlOverride w:ilvl="1"/>
    <w:lvlOverride w:ilvl="2"/>
    <w:lvlOverride w:ilvl="3"/>
    <w:lvlOverride w:ilvl="4"/>
    <w:lvlOverride w:ilvl="5"/>
    <w:lvlOverride w:ilvl="6"/>
    <w:lvlOverride w:ilvl="7"/>
    <w:lvlOverride w:ilvl="8"/>
  </w:num>
  <w:num w:numId="1007">
    <w:abstractNumId w:val="1008"/>
    <w:lvlOverride w:ilvl="0"/>
    <w:lvlOverride w:ilvl="1"/>
    <w:lvlOverride w:ilvl="2"/>
    <w:lvlOverride w:ilvl="3"/>
    <w:lvlOverride w:ilvl="4"/>
    <w:lvlOverride w:ilvl="5"/>
    <w:lvlOverride w:ilvl="6"/>
    <w:lvlOverride w:ilvl="7"/>
    <w:lvlOverride w:ilvl="8"/>
  </w:num>
  <w:num w:numId="1008">
    <w:abstractNumId w:val="1009"/>
    <w:lvlOverride w:ilvl="0"/>
    <w:lvlOverride w:ilvl="1"/>
    <w:lvlOverride w:ilvl="2"/>
    <w:lvlOverride w:ilvl="3"/>
    <w:lvlOverride w:ilvl="4"/>
    <w:lvlOverride w:ilvl="5"/>
    <w:lvlOverride w:ilvl="6"/>
    <w:lvlOverride w:ilvl="7"/>
    <w:lvlOverride w:ilvl="8"/>
  </w:num>
  <w:num w:numId="1009">
    <w:abstractNumId w:val="1010"/>
    <w:lvlOverride w:ilvl="0"/>
    <w:lvlOverride w:ilvl="1"/>
    <w:lvlOverride w:ilvl="2"/>
    <w:lvlOverride w:ilvl="3"/>
    <w:lvlOverride w:ilvl="4"/>
    <w:lvlOverride w:ilvl="5"/>
    <w:lvlOverride w:ilvl="6"/>
    <w:lvlOverride w:ilvl="7"/>
    <w:lvlOverride w:ilvl="8"/>
  </w:num>
  <w:num w:numId="1010">
    <w:abstractNumId w:val="1011"/>
    <w:lvlOverride w:ilvl="0"/>
    <w:lvlOverride w:ilvl="1"/>
    <w:lvlOverride w:ilvl="2"/>
    <w:lvlOverride w:ilvl="3"/>
    <w:lvlOverride w:ilvl="4"/>
    <w:lvlOverride w:ilvl="5"/>
    <w:lvlOverride w:ilvl="6"/>
    <w:lvlOverride w:ilvl="7"/>
    <w:lvlOverride w:ilvl="8"/>
  </w:num>
  <w:num w:numId="1011">
    <w:abstractNumId w:val="1012"/>
    <w:lvlOverride w:ilvl="0"/>
    <w:lvlOverride w:ilvl="1"/>
    <w:lvlOverride w:ilvl="2"/>
    <w:lvlOverride w:ilvl="3"/>
    <w:lvlOverride w:ilvl="4"/>
    <w:lvlOverride w:ilvl="5"/>
    <w:lvlOverride w:ilvl="6"/>
    <w:lvlOverride w:ilvl="7"/>
    <w:lvlOverride w:ilvl="8"/>
  </w:num>
  <w:num w:numId="1012">
    <w:abstractNumId w:val="1013"/>
    <w:lvlOverride w:ilvl="0"/>
    <w:lvlOverride w:ilvl="1"/>
    <w:lvlOverride w:ilvl="2"/>
    <w:lvlOverride w:ilvl="3"/>
    <w:lvlOverride w:ilvl="4"/>
    <w:lvlOverride w:ilvl="5"/>
    <w:lvlOverride w:ilvl="6"/>
    <w:lvlOverride w:ilvl="7"/>
    <w:lvlOverride w:ilvl="8"/>
  </w:num>
  <w:num w:numId="1013">
    <w:abstractNumId w:val="1014"/>
    <w:lvlOverride w:ilvl="0"/>
    <w:lvlOverride w:ilvl="1"/>
    <w:lvlOverride w:ilvl="2"/>
    <w:lvlOverride w:ilvl="3"/>
    <w:lvlOverride w:ilvl="4"/>
    <w:lvlOverride w:ilvl="5"/>
    <w:lvlOverride w:ilvl="6"/>
    <w:lvlOverride w:ilvl="7"/>
    <w:lvlOverride w:ilvl="8"/>
  </w:num>
  <w:num w:numId="1014">
    <w:abstractNumId w:val="1015"/>
    <w:lvlOverride w:ilvl="0"/>
    <w:lvlOverride w:ilvl="1"/>
    <w:lvlOverride w:ilvl="2"/>
    <w:lvlOverride w:ilvl="3"/>
    <w:lvlOverride w:ilvl="4"/>
    <w:lvlOverride w:ilvl="5"/>
    <w:lvlOverride w:ilvl="6"/>
    <w:lvlOverride w:ilvl="7"/>
    <w:lvlOverride w:ilvl="8"/>
  </w:num>
  <w:num w:numId="1015">
    <w:abstractNumId w:val="1016"/>
    <w:lvlOverride w:ilvl="0"/>
    <w:lvlOverride w:ilvl="1"/>
    <w:lvlOverride w:ilvl="2"/>
    <w:lvlOverride w:ilvl="3"/>
    <w:lvlOverride w:ilvl="4"/>
    <w:lvlOverride w:ilvl="5"/>
    <w:lvlOverride w:ilvl="6"/>
    <w:lvlOverride w:ilvl="7"/>
    <w:lvlOverride w:ilvl="8"/>
  </w:num>
  <w:num w:numId="1016">
    <w:abstractNumId w:val="1017"/>
    <w:lvlOverride w:ilvl="0"/>
    <w:lvlOverride w:ilvl="1"/>
    <w:lvlOverride w:ilvl="2"/>
    <w:lvlOverride w:ilvl="3"/>
    <w:lvlOverride w:ilvl="4"/>
    <w:lvlOverride w:ilvl="5"/>
    <w:lvlOverride w:ilvl="6"/>
    <w:lvlOverride w:ilvl="7"/>
    <w:lvlOverride w:ilvl="8"/>
  </w:num>
  <w:num w:numId="1017">
    <w:abstractNumId w:val="1018"/>
    <w:lvlOverride w:ilvl="0"/>
    <w:lvlOverride w:ilvl="1"/>
    <w:lvlOverride w:ilvl="2"/>
    <w:lvlOverride w:ilvl="3"/>
    <w:lvlOverride w:ilvl="4"/>
    <w:lvlOverride w:ilvl="5"/>
    <w:lvlOverride w:ilvl="6"/>
    <w:lvlOverride w:ilvl="7"/>
    <w:lvlOverride w:ilvl="8"/>
  </w:num>
  <w:num w:numId="1018">
    <w:abstractNumId w:val="1019"/>
    <w:lvlOverride w:ilvl="0"/>
    <w:lvlOverride w:ilvl="1"/>
    <w:lvlOverride w:ilvl="2"/>
    <w:lvlOverride w:ilvl="3"/>
    <w:lvlOverride w:ilvl="4"/>
    <w:lvlOverride w:ilvl="5"/>
    <w:lvlOverride w:ilvl="6"/>
    <w:lvlOverride w:ilvl="7"/>
    <w:lvlOverride w:ilvl="8"/>
  </w:num>
  <w:num w:numId="1019">
    <w:abstractNumId w:val="1020"/>
    <w:lvlOverride w:ilvl="0"/>
    <w:lvlOverride w:ilvl="1"/>
    <w:lvlOverride w:ilvl="2"/>
    <w:lvlOverride w:ilvl="3"/>
    <w:lvlOverride w:ilvl="4"/>
    <w:lvlOverride w:ilvl="5"/>
    <w:lvlOverride w:ilvl="6"/>
    <w:lvlOverride w:ilvl="7"/>
    <w:lvlOverride w:ilvl="8"/>
  </w:num>
  <w:num w:numId="1020">
    <w:abstractNumId w:val="10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1">
    <w:abstractNumId w:val="1022"/>
    <w:lvlOverride w:ilvl="0"/>
    <w:lvlOverride w:ilvl="1"/>
    <w:lvlOverride w:ilvl="2"/>
    <w:lvlOverride w:ilvl="3"/>
    <w:lvlOverride w:ilvl="4"/>
    <w:lvlOverride w:ilvl="5"/>
    <w:lvlOverride w:ilvl="6"/>
    <w:lvlOverride w:ilvl="7"/>
    <w:lvlOverride w:ilvl="8"/>
  </w:num>
  <w:num w:numId="1022">
    <w:abstractNumId w:val="1023"/>
    <w:lvlOverride w:ilvl="0"/>
    <w:lvlOverride w:ilvl="1"/>
    <w:lvlOverride w:ilvl="2"/>
    <w:lvlOverride w:ilvl="3"/>
    <w:lvlOverride w:ilvl="4"/>
    <w:lvlOverride w:ilvl="5"/>
    <w:lvlOverride w:ilvl="6"/>
    <w:lvlOverride w:ilvl="7"/>
    <w:lvlOverride w:ilvl="8"/>
  </w:num>
  <w:num w:numId="1023">
    <w:abstractNumId w:val="1024"/>
    <w:lvlOverride w:ilvl="0"/>
    <w:lvlOverride w:ilvl="1"/>
    <w:lvlOverride w:ilvl="2"/>
    <w:lvlOverride w:ilvl="3"/>
    <w:lvlOverride w:ilvl="4"/>
    <w:lvlOverride w:ilvl="5"/>
    <w:lvlOverride w:ilvl="6"/>
    <w:lvlOverride w:ilvl="7"/>
    <w:lvlOverride w:ilvl="8"/>
  </w:num>
  <w:num w:numId="1024">
    <w:abstractNumId w:val="1025"/>
    <w:lvlOverride w:ilvl="0"/>
    <w:lvlOverride w:ilvl="1"/>
    <w:lvlOverride w:ilvl="2"/>
    <w:lvlOverride w:ilvl="3"/>
    <w:lvlOverride w:ilvl="4"/>
    <w:lvlOverride w:ilvl="5"/>
    <w:lvlOverride w:ilvl="6"/>
    <w:lvlOverride w:ilvl="7"/>
    <w:lvlOverride w:ilvl="8"/>
  </w:num>
  <w:num w:numId="1025">
    <w:abstractNumId w:val="1026"/>
    <w:lvlOverride w:ilvl="0"/>
    <w:lvlOverride w:ilvl="1"/>
    <w:lvlOverride w:ilvl="2"/>
    <w:lvlOverride w:ilvl="3"/>
    <w:lvlOverride w:ilvl="4"/>
    <w:lvlOverride w:ilvl="5"/>
    <w:lvlOverride w:ilvl="6"/>
    <w:lvlOverride w:ilvl="7"/>
    <w:lvlOverride w:ilvl="8"/>
  </w:num>
  <w:num w:numId="1026">
    <w:abstractNumId w:val="1027"/>
    <w:lvlOverride w:ilvl="0"/>
    <w:lvlOverride w:ilvl="1"/>
    <w:lvlOverride w:ilvl="2"/>
    <w:lvlOverride w:ilvl="3"/>
    <w:lvlOverride w:ilvl="4"/>
    <w:lvlOverride w:ilvl="5"/>
    <w:lvlOverride w:ilvl="6"/>
    <w:lvlOverride w:ilvl="7"/>
    <w:lvlOverride w:ilvl="8"/>
  </w:num>
  <w:num w:numId="1027">
    <w:abstractNumId w:val="1028"/>
    <w:lvlOverride w:ilvl="0"/>
    <w:lvlOverride w:ilvl="1"/>
    <w:lvlOverride w:ilvl="2"/>
    <w:lvlOverride w:ilvl="3"/>
    <w:lvlOverride w:ilvl="4"/>
    <w:lvlOverride w:ilvl="5"/>
    <w:lvlOverride w:ilvl="6"/>
    <w:lvlOverride w:ilvl="7"/>
    <w:lvlOverride w:ilvl="8"/>
  </w:num>
  <w:num w:numId="1028">
    <w:abstractNumId w:val="1029"/>
    <w:lvlOverride w:ilvl="0"/>
    <w:lvlOverride w:ilvl="1"/>
    <w:lvlOverride w:ilvl="2"/>
    <w:lvlOverride w:ilvl="3"/>
    <w:lvlOverride w:ilvl="4"/>
    <w:lvlOverride w:ilvl="5"/>
    <w:lvlOverride w:ilvl="6"/>
    <w:lvlOverride w:ilvl="7"/>
    <w:lvlOverride w:ilvl="8"/>
  </w:num>
  <w:num w:numId="1029">
    <w:abstractNumId w:val="1030"/>
    <w:lvlOverride w:ilvl="0"/>
    <w:lvlOverride w:ilvl="1"/>
    <w:lvlOverride w:ilvl="2"/>
    <w:lvlOverride w:ilvl="3"/>
    <w:lvlOverride w:ilvl="4"/>
    <w:lvlOverride w:ilvl="5"/>
    <w:lvlOverride w:ilvl="6"/>
    <w:lvlOverride w:ilvl="7"/>
    <w:lvlOverride w:ilvl="8"/>
  </w:num>
  <w:num w:numId="1030">
    <w:abstractNumId w:val="1031"/>
    <w:lvlOverride w:ilvl="0"/>
    <w:lvlOverride w:ilvl="1"/>
    <w:lvlOverride w:ilvl="2"/>
    <w:lvlOverride w:ilvl="3"/>
    <w:lvlOverride w:ilvl="4"/>
    <w:lvlOverride w:ilvl="5"/>
    <w:lvlOverride w:ilvl="6"/>
    <w:lvlOverride w:ilvl="7"/>
    <w:lvlOverride w:ilvl="8"/>
  </w:num>
  <w:num w:numId="1031">
    <w:abstractNumId w:val="1032"/>
    <w:lvlOverride w:ilvl="0"/>
    <w:lvlOverride w:ilvl="1"/>
    <w:lvlOverride w:ilvl="2"/>
    <w:lvlOverride w:ilvl="3"/>
    <w:lvlOverride w:ilvl="4"/>
    <w:lvlOverride w:ilvl="5"/>
    <w:lvlOverride w:ilvl="6"/>
    <w:lvlOverride w:ilvl="7"/>
    <w:lvlOverride w:ilvl="8"/>
  </w:num>
  <w:num w:numId="1032">
    <w:abstractNumId w:val="1033"/>
    <w:lvlOverride w:ilvl="0"/>
    <w:lvlOverride w:ilvl="1"/>
    <w:lvlOverride w:ilvl="2"/>
    <w:lvlOverride w:ilvl="3"/>
    <w:lvlOverride w:ilvl="4"/>
    <w:lvlOverride w:ilvl="5"/>
    <w:lvlOverride w:ilvl="6"/>
    <w:lvlOverride w:ilvl="7"/>
    <w:lvlOverride w:ilvl="8"/>
  </w:num>
  <w:num w:numId="1033">
    <w:abstractNumId w:val="1034"/>
    <w:lvlOverride w:ilvl="0"/>
    <w:lvlOverride w:ilvl="1"/>
    <w:lvlOverride w:ilvl="2"/>
    <w:lvlOverride w:ilvl="3"/>
    <w:lvlOverride w:ilvl="4"/>
    <w:lvlOverride w:ilvl="5"/>
    <w:lvlOverride w:ilvl="6"/>
    <w:lvlOverride w:ilvl="7"/>
    <w:lvlOverride w:ilvl="8"/>
  </w:num>
  <w:num w:numId="1034">
    <w:abstractNumId w:val="1035"/>
    <w:lvlOverride w:ilvl="0"/>
    <w:lvlOverride w:ilvl="1"/>
    <w:lvlOverride w:ilvl="2"/>
    <w:lvlOverride w:ilvl="3"/>
    <w:lvlOverride w:ilvl="4"/>
    <w:lvlOverride w:ilvl="5"/>
    <w:lvlOverride w:ilvl="6"/>
    <w:lvlOverride w:ilvl="7"/>
    <w:lvlOverride w:ilvl="8"/>
  </w:num>
  <w:num w:numId="1035">
    <w:abstractNumId w:val="1036"/>
    <w:lvlOverride w:ilvl="0"/>
    <w:lvlOverride w:ilvl="1"/>
    <w:lvlOverride w:ilvl="2"/>
    <w:lvlOverride w:ilvl="3"/>
    <w:lvlOverride w:ilvl="4"/>
    <w:lvlOverride w:ilvl="5"/>
    <w:lvlOverride w:ilvl="6"/>
    <w:lvlOverride w:ilvl="7"/>
    <w:lvlOverride w:ilvl="8"/>
  </w:num>
  <w:num w:numId="1036">
    <w:abstractNumId w:val="1037"/>
    <w:lvlOverride w:ilvl="0"/>
    <w:lvlOverride w:ilvl="1"/>
    <w:lvlOverride w:ilvl="2"/>
    <w:lvlOverride w:ilvl="3"/>
    <w:lvlOverride w:ilvl="4"/>
    <w:lvlOverride w:ilvl="5"/>
    <w:lvlOverride w:ilvl="6"/>
    <w:lvlOverride w:ilvl="7"/>
    <w:lvlOverride w:ilvl="8"/>
  </w:num>
  <w:num w:numId="1037">
    <w:abstractNumId w:val="1038"/>
    <w:lvlOverride w:ilvl="0"/>
    <w:lvlOverride w:ilvl="1"/>
    <w:lvlOverride w:ilvl="2"/>
    <w:lvlOverride w:ilvl="3"/>
    <w:lvlOverride w:ilvl="4"/>
    <w:lvlOverride w:ilvl="5"/>
    <w:lvlOverride w:ilvl="6"/>
    <w:lvlOverride w:ilvl="7"/>
    <w:lvlOverride w:ilvl="8"/>
  </w:num>
  <w:num w:numId="1038">
    <w:abstractNumId w:val="1039"/>
    <w:lvlOverride w:ilvl="0"/>
    <w:lvlOverride w:ilvl="1"/>
    <w:lvlOverride w:ilvl="2"/>
    <w:lvlOverride w:ilvl="3"/>
    <w:lvlOverride w:ilvl="4"/>
    <w:lvlOverride w:ilvl="5"/>
    <w:lvlOverride w:ilvl="6"/>
    <w:lvlOverride w:ilvl="7"/>
    <w:lvlOverride w:ilvl="8"/>
  </w:num>
  <w:num w:numId="1039">
    <w:abstractNumId w:val="1040"/>
    <w:lvlOverride w:ilvl="0"/>
    <w:lvlOverride w:ilvl="1"/>
    <w:lvlOverride w:ilvl="2"/>
    <w:lvlOverride w:ilvl="3"/>
    <w:lvlOverride w:ilvl="4"/>
    <w:lvlOverride w:ilvl="5"/>
    <w:lvlOverride w:ilvl="6"/>
    <w:lvlOverride w:ilvl="7"/>
    <w:lvlOverride w:ilvl="8"/>
  </w:num>
  <w:num w:numId="1040">
    <w:abstractNumId w:val="1041"/>
    <w:lvlOverride w:ilvl="0"/>
    <w:lvlOverride w:ilvl="1"/>
    <w:lvlOverride w:ilvl="2"/>
    <w:lvlOverride w:ilvl="3"/>
    <w:lvlOverride w:ilvl="4"/>
    <w:lvlOverride w:ilvl="5"/>
    <w:lvlOverride w:ilvl="6"/>
    <w:lvlOverride w:ilvl="7"/>
    <w:lvlOverride w:ilvl="8"/>
  </w:num>
  <w:num w:numId="1041">
    <w:abstractNumId w:val="1042"/>
    <w:lvlOverride w:ilvl="0"/>
    <w:lvlOverride w:ilvl="1"/>
    <w:lvlOverride w:ilvl="2"/>
    <w:lvlOverride w:ilvl="3"/>
    <w:lvlOverride w:ilvl="4"/>
    <w:lvlOverride w:ilvl="5"/>
    <w:lvlOverride w:ilvl="6"/>
    <w:lvlOverride w:ilvl="7"/>
    <w:lvlOverride w:ilvl="8"/>
  </w:num>
  <w:num w:numId="1042">
    <w:abstractNumId w:val="1043"/>
    <w:lvlOverride w:ilvl="0"/>
    <w:lvlOverride w:ilvl="1"/>
    <w:lvlOverride w:ilvl="2"/>
    <w:lvlOverride w:ilvl="3"/>
    <w:lvlOverride w:ilvl="4"/>
    <w:lvlOverride w:ilvl="5"/>
    <w:lvlOverride w:ilvl="6"/>
    <w:lvlOverride w:ilvl="7"/>
    <w:lvlOverride w:ilvl="8"/>
  </w:num>
  <w:num w:numId="1043">
    <w:abstractNumId w:val="1044"/>
    <w:lvlOverride w:ilvl="0"/>
    <w:lvlOverride w:ilvl="1"/>
    <w:lvlOverride w:ilvl="2"/>
    <w:lvlOverride w:ilvl="3"/>
    <w:lvlOverride w:ilvl="4"/>
    <w:lvlOverride w:ilvl="5"/>
    <w:lvlOverride w:ilvl="6"/>
    <w:lvlOverride w:ilvl="7"/>
    <w:lvlOverride w:ilvl="8"/>
  </w:num>
  <w:num w:numId="1044">
    <w:abstractNumId w:val="1045"/>
    <w:lvlOverride w:ilvl="0"/>
    <w:lvlOverride w:ilvl="1"/>
    <w:lvlOverride w:ilvl="2"/>
    <w:lvlOverride w:ilvl="3"/>
    <w:lvlOverride w:ilvl="4"/>
    <w:lvlOverride w:ilvl="5"/>
    <w:lvlOverride w:ilvl="6"/>
    <w:lvlOverride w:ilvl="7"/>
    <w:lvlOverride w:ilvl="8"/>
  </w:num>
  <w:num w:numId="1045">
    <w:abstractNumId w:val="1046"/>
    <w:lvlOverride w:ilvl="0"/>
    <w:lvlOverride w:ilvl="1"/>
    <w:lvlOverride w:ilvl="2"/>
    <w:lvlOverride w:ilvl="3"/>
    <w:lvlOverride w:ilvl="4"/>
    <w:lvlOverride w:ilvl="5"/>
    <w:lvlOverride w:ilvl="6"/>
    <w:lvlOverride w:ilvl="7"/>
    <w:lvlOverride w:ilvl="8"/>
  </w:num>
  <w:num w:numId="1046">
    <w:abstractNumId w:val="1047"/>
    <w:lvlOverride w:ilvl="0"/>
    <w:lvlOverride w:ilvl="1"/>
    <w:lvlOverride w:ilvl="2"/>
    <w:lvlOverride w:ilvl="3"/>
    <w:lvlOverride w:ilvl="4"/>
    <w:lvlOverride w:ilvl="5"/>
    <w:lvlOverride w:ilvl="6"/>
    <w:lvlOverride w:ilvl="7"/>
    <w:lvlOverride w:ilvl="8"/>
  </w:num>
  <w:num w:numId="1047">
    <w:abstractNumId w:val="1048"/>
    <w:lvlOverride w:ilvl="0"/>
    <w:lvlOverride w:ilvl="1"/>
    <w:lvlOverride w:ilvl="2"/>
    <w:lvlOverride w:ilvl="3"/>
    <w:lvlOverride w:ilvl="4"/>
    <w:lvlOverride w:ilvl="5"/>
    <w:lvlOverride w:ilvl="6"/>
    <w:lvlOverride w:ilvl="7"/>
    <w:lvlOverride w:ilvl="8"/>
  </w:num>
  <w:num w:numId="1048">
    <w:abstractNumId w:val="1049"/>
    <w:lvlOverride w:ilvl="0"/>
    <w:lvlOverride w:ilvl="1"/>
    <w:lvlOverride w:ilvl="2"/>
    <w:lvlOverride w:ilvl="3"/>
    <w:lvlOverride w:ilvl="4"/>
    <w:lvlOverride w:ilvl="5"/>
    <w:lvlOverride w:ilvl="6"/>
    <w:lvlOverride w:ilvl="7"/>
    <w:lvlOverride w:ilvl="8"/>
  </w:num>
  <w:num w:numId="1049">
    <w:abstractNumId w:val="1050"/>
    <w:lvlOverride w:ilvl="0"/>
    <w:lvlOverride w:ilvl="1"/>
    <w:lvlOverride w:ilvl="2"/>
    <w:lvlOverride w:ilvl="3"/>
    <w:lvlOverride w:ilvl="4"/>
    <w:lvlOverride w:ilvl="5"/>
    <w:lvlOverride w:ilvl="6"/>
    <w:lvlOverride w:ilvl="7"/>
    <w:lvlOverride w:ilvl="8"/>
  </w:num>
  <w:num w:numId="1050">
    <w:abstractNumId w:val="1051"/>
    <w:lvlOverride w:ilvl="0"/>
    <w:lvlOverride w:ilvl="1"/>
    <w:lvlOverride w:ilvl="2"/>
    <w:lvlOverride w:ilvl="3"/>
    <w:lvlOverride w:ilvl="4"/>
    <w:lvlOverride w:ilvl="5"/>
    <w:lvlOverride w:ilvl="6"/>
    <w:lvlOverride w:ilvl="7"/>
    <w:lvlOverride w:ilvl="8"/>
  </w:num>
  <w:num w:numId="1051">
    <w:abstractNumId w:val="1052"/>
    <w:lvlOverride w:ilvl="0"/>
    <w:lvlOverride w:ilvl="1"/>
    <w:lvlOverride w:ilvl="2"/>
    <w:lvlOverride w:ilvl="3"/>
    <w:lvlOverride w:ilvl="4"/>
    <w:lvlOverride w:ilvl="5"/>
    <w:lvlOverride w:ilvl="6"/>
    <w:lvlOverride w:ilvl="7"/>
    <w:lvlOverride w:ilvl="8"/>
  </w:num>
  <w:num w:numId="1052">
    <w:abstractNumId w:val="1053"/>
    <w:lvlOverride w:ilvl="0"/>
    <w:lvlOverride w:ilvl="1"/>
    <w:lvlOverride w:ilvl="2"/>
    <w:lvlOverride w:ilvl="3"/>
    <w:lvlOverride w:ilvl="4"/>
    <w:lvlOverride w:ilvl="5"/>
    <w:lvlOverride w:ilvl="6"/>
    <w:lvlOverride w:ilvl="7"/>
    <w:lvlOverride w:ilvl="8"/>
  </w:num>
  <w:num w:numId="1053">
    <w:abstractNumId w:val="1054"/>
    <w:lvlOverride w:ilvl="0"/>
    <w:lvlOverride w:ilvl="1"/>
    <w:lvlOverride w:ilvl="2"/>
    <w:lvlOverride w:ilvl="3"/>
    <w:lvlOverride w:ilvl="4"/>
    <w:lvlOverride w:ilvl="5"/>
    <w:lvlOverride w:ilvl="6"/>
    <w:lvlOverride w:ilvl="7"/>
    <w:lvlOverride w:ilvl="8"/>
  </w:num>
  <w:num w:numId="1054">
    <w:abstractNumId w:val="1055"/>
    <w:lvlOverride w:ilvl="0"/>
    <w:lvlOverride w:ilvl="1"/>
    <w:lvlOverride w:ilvl="2"/>
    <w:lvlOverride w:ilvl="3"/>
    <w:lvlOverride w:ilvl="4"/>
    <w:lvlOverride w:ilvl="5"/>
    <w:lvlOverride w:ilvl="6"/>
    <w:lvlOverride w:ilvl="7"/>
    <w:lvlOverride w:ilvl="8"/>
  </w:num>
  <w:num w:numId="1055">
    <w:abstractNumId w:val="1056"/>
    <w:lvlOverride w:ilvl="0"/>
    <w:lvlOverride w:ilvl="1"/>
    <w:lvlOverride w:ilvl="2"/>
    <w:lvlOverride w:ilvl="3"/>
    <w:lvlOverride w:ilvl="4"/>
    <w:lvlOverride w:ilvl="5"/>
    <w:lvlOverride w:ilvl="6"/>
    <w:lvlOverride w:ilvl="7"/>
    <w:lvlOverride w:ilvl="8"/>
  </w:num>
  <w:num w:numId="1056">
    <w:abstractNumId w:val="1057"/>
    <w:lvlOverride w:ilvl="0"/>
    <w:lvlOverride w:ilvl="1"/>
    <w:lvlOverride w:ilvl="2"/>
    <w:lvlOverride w:ilvl="3"/>
    <w:lvlOverride w:ilvl="4"/>
    <w:lvlOverride w:ilvl="5"/>
    <w:lvlOverride w:ilvl="6"/>
    <w:lvlOverride w:ilvl="7"/>
    <w:lvlOverride w:ilvl="8"/>
  </w:num>
  <w:num w:numId="1057">
    <w:abstractNumId w:val="1058"/>
    <w:lvlOverride w:ilvl="0"/>
    <w:lvlOverride w:ilvl="1"/>
    <w:lvlOverride w:ilvl="2"/>
    <w:lvlOverride w:ilvl="3"/>
    <w:lvlOverride w:ilvl="4"/>
    <w:lvlOverride w:ilvl="5"/>
    <w:lvlOverride w:ilvl="6"/>
    <w:lvlOverride w:ilvl="7"/>
    <w:lvlOverride w:ilvl="8"/>
  </w:num>
  <w:num w:numId="1058">
    <w:abstractNumId w:val="1059"/>
    <w:lvlOverride w:ilvl="0"/>
    <w:lvlOverride w:ilvl="1"/>
    <w:lvlOverride w:ilvl="2"/>
    <w:lvlOverride w:ilvl="3"/>
    <w:lvlOverride w:ilvl="4"/>
    <w:lvlOverride w:ilvl="5"/>
    <w:lvlOverride w:ilvl="6"/>
    <w:lvlOverride w:ilvl="7"/>
    <w:lvlOverride w:ilvl="8"/>
  </w:num>
  <w:num w:numId="1059">
    <w:abstractNumId w:val="1060"/>
    <w:lvlOverride w:ilvl="0"/>
    <w:lvlOverride w:ilvl="1"/>
    <w:lvlOverride w:ilvl="2"/>
    <w:lvlOverride w:ilvl="3"/>
    <w:lvlOverride w:ilvl="4"/>
    <w:lvlOverride w:ilvl="5"/>
    <w:lvlOverride w:ilvl="6"/>
    <w:lvlOverride w:ilvl="7"/>
    <w:lvlOverride w:ilvl="8"/>
  </w:num>
  <w:num w:numId="1060">
    <w:abstractNumId w:val="1061"/>
    <w:lvlOverride w:ilvl="0"/>
    <w:lvlOverride w:ilvl="1"/>
    <w:lvlOverride w:ilvl="2"/>
    <w:lvlOverride w:ilvl="3"/>
    <w:lvlOverride w:ilvl="4"/>
    <w:lvlOverride w:ilvl="5"/>
    <w:lvlOverride w:ilvl="6"/>
    <w:lvlOverride w:ilvl="7"/>
    <w:lvlOverride w:ilvl="8"/>
  </w:num>
  <w:numIdMacAtCleanup w:val="106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embedSystemFonts/>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LW_DocType" w:val="REP"/>
  </w:docVars>
  <w:rsids>
    <w:rsidRoot w:val="00B538D8"/>
    <w:rsid w:val="00003632"/>
    <w:rsid w:val="00006866"/>
    <w:rsid w:val="00007EE9"/>
    <w:rsid w:val="000105D1"/>
    <w:rsid w:val="00012974"/>
    <w:rsid w:val="00012E02"/>
    <w:rsid w:val="00012E0D"/>
    <w:rsid w:val="00014145"/>
    <w:rsid w:val="00015C39"/>
    <w:rsid w:val="0002340F"/>
    <w:rsid w:val="0002369D"/>
    <w:rsid w:val="00025DEB"/>
    <w:rsid w:val="0003055A"/>
    <w:rsid w:val="00030EEB"/>
    <w:rsid w:val="00033265"/>
    <w:rsid w:val="0003336E"/>
    <w:rsid w:val="00033FB7"/>
    <w:rsid w:val="00036889"/>
    <w:rsid w:val="000374FD"/>
    <w:rsid w:val="000404A6"/>
    <w:rsid w:val="0004067B"/>
    <w:rsid w:val="000437CD"/>
    <w:rsid w:val="000474EC"/>
    <w:rsid w:val="00052D72"/>
    <w:rsid w:val="00055A37"/>
    <w:rsid w:val="00057CC5"/>
    <w:rsid w:val="00062BF6"/>
    <w:rsid w:val="00071B2C"/>
    <w:rsid w:val="00075775"/>
    <w:rsid w:val="00081264"/>
    <w:rsid w:val="00084FE0"/>
    <w:rsid w:val="00091945"/>
    <w:rsid w:val="00095A0C"/>
    <w:rsid w:val="000A10E6"/>
    <w:rsid w:val="000A3EC7"/>
    <w:rsid w:val="000A5B33"/>
    <w:rsid w:val="000B4D57"/>
    <w:rsid w:val="000B515F"/>
    <w:rsid w:val="000B6CF3"/>
    <w:rsid w:val="000C0310"/>
    <w:rsid w:val="000C1F6B"/>
    <w:rsid w:val="000C315E"/>
    <w:rsid w:val="000C4194"/>
    <w:rsid w:val="000D0547"/>
    <w:rsid w:val="000D1B78"/>
    <w:rsid w:val="000D49F7"/>
    <w:rsid w:val="000E098A"/>
    <w:rsid w:val="000E72AD"/>
    <w:rsid w:val="000F1CDA"/>
    <w:rsid w:val="000F474D"/>
    <w:rsid w:val="000F5883"/>
    <w:rsid w:val="000F724D"/>
    <w:rsid w:val="00106AFE"/>
    <w:rsid w:val="00107226"/>
    <w:rsid w:val="001145FC"/>
    <w:rsid w:val="0011479A"/>
    <w:rsid w:val="001207CE"/>
    <w:rsid w:val="00121B3A"/>
    <w:rsid w:val="00121F70"/>
    <w:rsid w:val="0012246E"/>
    <w:rsid w:val="00124F00"/>
    <w:rsid w:val="00127EDA"/>
    <w:rsid w:val="00130EFB"/>
    <w:rsid w:val="001331C9"/>
    <w:rsid w:val="001346A1"/>
    <w:rsid w:val="001350F7"/>
    <w:rsid w:val="00141827"/>
    <w:rsid w:val="0014388E"/>
    <w:rsid w:val="00144D8E"/>
    <w:rsid w:val="0014756C"/>
    <w:rsid w:val="00152591"/>
    <w:rsid w:val="00154A66"/>
    <w:rsid w:val="00155E33"/>
    <w:rsid w:val="0015660D"/>
    <w:rsid w:val="0016469B"/>
    <w:rsid w:val="00165D22"/>
    <w:rsid w:val="001725A6"/>
    <w:rsid w:val="0017281C"/>
    <w:rsid w:val="00173477"/>
    <w:rsid w:val="00175AA8"/>
    <w:rsid w:val="00175FC4"/>
    <w:rsid w:val="0018100E"/>
    <w:rsid w:val="0018196D"/>
    <w:rsid w:val="0018213B"/>
    <w:rsid w:val="0018292E"/>
    <w:rsid w:val="001868DB"/>
    <w:rsid w:val="00191ED9"/>
    <w:rsid w:val="0019420D"/>
    <w:rsid w:val="00197D9A"/>
    <w:rsid w:val="001A1E2F"/>
    <w:rsid w:val="001A1FA3"/>
    <w:rsid w:val="001B39BD"/>
    <w:rsid w:val="001B618F"/>
    <w:rsid w:val="001C26B7"/>
    <w:rsid w:val="001C481C"/>
    <w:rsid w:val="001C4892"/>
    <w:rsid w:val="001C48E4"/>
    <w:rsid w:val="001C4CF4"/>
    <w:rsid w:val="001C57AC"/>
    <w:rsid w:val="001C7A5C"/>
    <w:rsid w:val="001D1D9D"/>
    <w:rsid w:val="001D35C0"/>
    <w:rsid w:val="001D45DF"/>
    <w:rsid w:val="001E056A"/>
    <w:rsid w:val="001E3BDB"/>
    <w:rsid w:val="001E56FE"/>
    <w:rsid w:val="001E7B82"/>
    <w:rsid w:val="001E7E28"/>
    <w:rsid w:val="001F1770"/>
    <w:rsid w:val="00203C2D"/>
    <w:rsid w:val="00204F57"/>
    <w:rsid w:val="00205807"/>
    <w:rsid w:val="00212E1A"/>
    <w:rsid w:val="00213B65"/>
    <w:rsid w:val="00214A3E"/>
    <w:rsid w:val="00216B75"/>
    <w:rsid w:val="00217246"/>
    <w:rsid w:val="0022151C"/>
    <w:rsid w:val="00223A03"/>
    <w:rsid w:val="00223C1B"/>
    <w:rsid w:val="00225FBB"/>
    <w:rsid w:val="0022675D"/>
    <w:rsid w:val="00230ABF"/>
    <w:rsid w:val="0023132C"/>
    <w:rsid w:val="0023324E"/>
    <w:rsid w:val="00235578"/>
    <w:rsid w:val="0023793F"/>
    <w:rsid w:val="00240C98"/>
    <w:rsid w:val="00243FB5"/>
    <w:rsid w:val="002449EB"/>
    <w:rsid w:val="0024551A"/>
    <w:rsid w:val="0024625C"/>
    <w:rsid w:val="002464EB"/>
    <w:rsid w:val="00247002"/>
    <w:rsid w:val="0025022E"/>
    <w:rsid w:val="0025201E"/>
    <w:rsid w:val="00261CAF"/>
    <w:rsid w:val="00264BDC"/>
    <w:rsid w:val="002652E2"/>
    <w:rsid w:val="002708CF"/>
    <w:rsid w:val="00271183"/>
    <w:rsid w:val="00275107"/>
    <w:rsid w:val="002753B9"/>
    <w:rsid w:val="002841B8"/>
    <w:rsid w:val="00290655"/>
    <w:rsid w:val="002956E4"/>
    <w:rsid w:val="002A5995"/>
    <w:rsid w:val="002B4CF8"/>
    <w:rsid w:val="002C5D3D"/>
    <w:rsid w:val="002C5D92"/>
    <w:rsid w:val="002D1E29"/>
    <w:rsid w:val="002D36E8"/>
    <w:rsid w:val="002D4CFD"/>
    <w:rsid w:val="002D5C68"/>
    <w:rsid w:val="002E0E32"/>
    <w:rsid w:val="002E17C1"/>
    <w:rsid w:val="002E1DA5"/>
    <w:rsid w:val="002F0B1D"/>
    <w:rsid w:val="002F0B6B"/>
    <w:rsid w:val="002F0CF4"/>
    <w:rsid w:val="002F1999"/>
    <w:rsid w:val="002F1CC3"/>
    <w:rsid w:val="002F291A"/>
    <w:rsid w:val="002F519B"/>
    <w:rsid w:val="002F7185"/>
    <w:rsid w:val="003013BE"/>
    <w:rsid w:val="00301B99"/>
    <w:rsid w:val="003064B8"/>
    <w:rsid w:val="0031131C"/>
    <w:rsid w:val="003131B5"/>
    <w:rsid w:val="00315D61"/>
    <w:rsid w:val="00316695"/>
    <w:rsid w:val="00317665"/>
    <w:rsid w:val="003214E3"/>
    <w:rsid w:val="00324BCC"/>
    <w:rsid w:val="00330742"/>
    <w:rsid w:val="00330F14"/>
    <w:rsid w:val="00333F6C"/>
    <w:rsid w:val="00337F0C"/>
    <w:rsid w:val="003405CA"/>
    <w:rsid w:val="0034090C"/>
    <w:rsid w:val="00341C26"/>
    <w:rsid w:val="00342DC1"/>
    <w:rsid w:val="00343A9C"/>
    <w:rsid w:val="0034455B"/>
    <w:rsid w:val="0035031E"/>
    <w:rsid w:val="00352CF6"/>
    <w:rsid w:val="00352F93"/>
    <w:rsid w:val="003542F7"/>
    <w:rsid w:val="0036089E"/>
    <w:rsid w:val="00362A32"/>
    <w:rsid w:val="00362DC8"/>
    <w:rsid w:val="00364BCF"/>
    <w:rsid w:val="00365A60"/>
    <w:rsid w:val="00366B74"/>
    <w:rsid w:val="00386C63"/>
    <w:rsid w:val="003917F4"/>
    <w:rsid w:val="00393ADD"/>
    <w:rsid w:val="003A46AE"/>
    <w:rsid w:val="003A4D60"/>
    <w:rsid w:val="003A65E5"/>
    <w:rsid w:val="003A69D3"/>
    <w:rsid w:val="003B1783"/>
    <w:rsid w:val="003B23A3"/>
    <w:rsid w:val="003B41B2"/>
    <w:rsid w:val="003B6519"/>
    <w:rsid w:val="003B70AC"/>
    <w:rsid w:val="003C145A"/>
    <w:rsid w:val="003C50A6"/>
    <w:rsid w:val="003D28E1"/>
    <w:rsid w:val="003D7A6A"/>
    <w:rsid w:val="003E44FE"/>
    <w:rsid w:val="003E729D"/>
    <w:rsid w:val="003F1AFA"/>
    <w:rsid w:val="003F2ABB"/>
    <w:rsid w:val="003F2BAB"/>
    <w:rsid w:val="003F2CE5"/>
    <w:rsid w:val="00400D23"/>
    <w:rsid w:val="00401A38"/>
    <w:rsid w:val="00402808"/>
    <w:rsid w:val="00405545"/>
    <w:rsid w:val="0041631D"/>
    <w:rsid w:val="00417EE6"/>
    <w:rsid w:val="00423D65"/>
    <w:rsid w:val="00426631"/>
    <w:rsid w:val="004311A3"/>
    <w:rsid w:val="0043530A"/>
    <w:rsid w:val="00435D66"/>
    <w:rsid w:val="004402F9"/>
    <w:rsid w:val="00440D1D"/>
    <w:rsid w:val="004433BA"/>
    <w:rsid w:val="00443B80"/>
    <w:rsid w:val="00446877"/>
    <w:rsid w:val="00456500"/>
    <w:rsid w:val="00463495"/>
    <w:rsid w:val="0046458E"/>
    <w:rsid w:val="004646AB"/>
    <w:rsid w:val="004661B7"/>
    <w:rsid w:val="00466B1C"/>
    <w:rsid w:val="0046731D"/>
    <w:rsid w:val="0047186D"/>
    <w:rsid w:val="00471DB5"/>
    <w:rsid w:val="004742E7"/>
    <w:rsid w:val="00487FD2"/>
    <w:rsid w:val="004913B1"/>
    <w:rsid w:val="00493811"/>
    <w:rsid w:val="00493B49"/>
    <w:rsid w:val="0049471F"/>
    <w:rsid w:val="00494F31"/>
    <w:rsid w:val="004A2076"/>
    <w:rsid w:val="004A556D"/>
    <w:rsid w:val="004A62E4"/>
    <w:rsid w:val="004B0987"/>
    <w:rsid w:val="004B4BD7"/>
    <w:rsid w:val="004B6508"/>
    <w:rsid w:val="004C292B"/>
    <w:rsid w:val="004C49AF"/>
    <w:rsid w:val="004C655E"/>
    <w:rsid w:val="004D05FD"/>
    <w:rsid w:val="004D21B0"/>
    <w:rsid w:val="004D52D3"/>
    <w:rsid w:val="004E043F"/>
    <w:rsid w:val="004E2DED"/>
    <w:rsid w:val="004E3278"/>
    <w:rsid w:val="004F029D"/>
    <w:rsid w:val="004F176B"/>
    <w:rsid w:val="004F51DA"/>
    <w:rsid w:val="004F7037"/>
    <w:rsid w:val="00505769"/>
    <w:rsid w:val="00505DC4"/>
    <w:rsid w:val="005078D9"/>
    <w:rsid w:val="00511772"/>
    <w:rsid w:val="005172B3"/>
    <w:rsid w:val="00517826"/>
    <w:rsid w:val="00522C14"/>
    <w:rsid w:val="005245D7"/>
    <w:rsid w:val="005245EF"/>
    <w:rsid w:val="00525C6F"/>
    <w:rsid w:val="00527460"/>
    <w:rsid w:val="00531E02"/>
    <w:rsid w:val="00542255"/>
    <w:rsid w:val="00543FEC"/>
    <w:rsid w:val="00545656"/>
    <w:rsid w:val="00551E59"/>
    <w:rsid w:val="00553C3F"/>
    <w:rsid w:val="005568C5"/>
    <w:rsid w:val="005603FB"/>
    <w:rsid w:val="00564A13"/>
    <w:rsid w:val="00564FA8"/>
    <w:rsid w:val="00565E5F"/>
    <w:rsid w:val="00566299"/>
    <w:rsid w:val="0056656B"/>
    <w:rsid w:val="0057086E"/>
    <w:rsid w:val="005728C3"/>
    <w:rsid w:val="00572DB2"/>
    <w:rsid w:val="0057655F"/>
    <w:rsid w:val="00580DC8"/>
    <w:rsid w:val="00584526"/>
    <w:rsid w:val="00585DC8"/>
    <w:rsid w:val="00590C87"/>
    <w:rsid w:val="0059188B"/>
    <w:rsid w:val="005943D8"/>
    <w:rsid w:val="005951AB"/>
    <w:rsid w:val="00595579"/>
    <w:rsid w:val="00595659"/>
    <w:rsid w:val="005A007F"/>
    <w:rsid w:val="005A058C"/>
    <w:rsid w:val="005A2C61"/>
    <w:rsid w:val="005A4D31"/>
    <w:rsid w:val="005A7B16"/>
    <w:rsid w:val="005B0831"/>
    <w:rsid w:val="005B5031"/>
    <w:rsid w:val="005B74DB"/>
    <w:rsid w:val="005B768A"/>
    <w:rsid w:val="005B7D46"/>
    <w:rsid w:val="005C3258"/>
    <w:rsid w:val="005C3B55"/>
    <w:rsid w:val="005C40EF"/>
    <w:rsid w:val="005C4E9E"/>
    <w:rsid w:val="005C5FAD"/>
    <w:rsid w:val="005D11E7"/>
    <w:rsid w:val="005D5EFD"/>
    <w:rsid w:val="005D6E87"/>
    <w:rsid w:val="005E0A64"/>
    <w:rsid w:val="005E162D"/>
    <w:rsid w:val="005E3FF1"/>
    <w:rsid w:val="005F10B8"/>
    <w:rsid w:val="005F10E0"/>
    <w:rsid w:val="00601574"/>
    <w:rsid w:val="00604554"/>
    <w:rsid w:val="00604911"/>
    <w:rsid w:val="00604DBC"/>
    <w:rsid w:val="00606CD3"/>
    <w:rsid w:val="0061061C"/>
    <w:rsid w:val="00610CAE"/>
    <w:rsid w:val="006144C8"/>
    <w:rsid w:val="0062100A"/>
    <w:rsid w:val="00622166"/>
    <w:rsid w:val="006225B9"/>
    <w:rsid w:val="00626F9D"/>
    <w:rsid w:val="00631116"/>
    <w:rsid w:val="006354F2"/>
    <w:rsid w:val="00637D19"/>
    <w:rsid w:val="006403C8"/>
    <w:rsid w:val="00645DEF"/>
    <w:rsid w:val="00645E5E"/>
    <w:rsid w:val="00645FCD"/>
    <w:rsid w:val="0064755E"/>
    <w:rsid w:val="00647E9C"/>
    <w:rsid w:val="00652D7B"/>
    <w:rsid w:val="00653BB1"/>
    <w:rsid w:val="006546BE"/>
    <w:rsid w:val="00655FAE"/>
    <w:rsid w:val="00656C7A"/>
    <w:rsid w:val="00657B2F"/>
    <w:rsid w:val="00663C4B"/>
    <w:rsid w:val="00673318"/>
    <w:rsid w:val="00676D56"/>
    <w:rsid w:val="00681B16"/>
    <w:rsid w:val="00682144"/>
    <w:rsid w:val="00690270"/>
    <w:rsid w:val="006903E8"/>
    <w:rsid w:val="006908A1"/>
    <w:rsid w:val="006917E9"/>
    <w:rsid w:val="00691878"/>
    <w:rsid w:val="006A360E"/>
    <w:rsid w:val="006A75B1"/>
    <w:rsid w:val="006B0311"/>
    <w:rsid w:val="006B0CC9"/>
    <w:rsid w:val="006B242C"/>
    <w:rsid w:val="006B2660"/>
    <w:rsid w:val="006B5BE6"/>
    <w:rsid w:val="006C6185"/>
    <w:rsid w:val="006D366F"/>
    <w:rsid w:val="006D5F21"/>
    <w:rsid w:val="006D6E96"/>
    <w:rsid w:val="006E20B6"/>
    <w:rsid w:val="006E44E6"/>
    <w:rsid w:val="006E533C"/>
    <w:rsid w:val="006E5CA5"/>
    <w:rsid w:val="006F097A"/>
    <w:rsid w:val="006F4959"/>
    <w:rsid w:val="00700031"/>
    <w:rsid w:val="007013AB"/>
    <w:rsid w:val="00711615"/>
    <w:rsid w:val="007123B9"/>
    <w:rsid w:val="007173CD"/>
    <w:rsid w:val="00720471"/>
    <w:rsid w:val="00724D9A"/>
    <w:rsid w:val="00726165"/>
    <w:rsid w:val="0073020F"/>
    <w:rsid w:val="0073096C"/>
    <w:rsid w:val="007418BD"/>
    <w:rsid w:val="00742387"/>
    <w:rsid w:val="00742FC7"/>
    <w:rsid w:val="00744A8E"/>
    <w:rsid w:val="00744CFC"/>
    <w:rsid w:val="00750FEA"/>
    <w:rsid w:val="00752018"/>
    <w:rsid w:val="0076296D"/>
    <w:rsid w:val="007668B8"/>
    <w:rsid w:val="007669AC"/>
    <w:rsid w:val="00770A35"/>
    <w:rsid w:val="0077231D"/>
    <w:rsid w:val="00785DEE"/>
    <w:rsid w:val="007904FA"/>
    <w:rsid w:val="00794597"/>
    <w:rsid w:val="0079507E"/>
    <w:rsid w:val="00795451"/>
    <w:rsid w:val="007A3B1B"/>
    <w:rsid w:val="007A4ABA"/>
    <w:rsid w:val="007A69D5"/>
    <w:rsid w:val="007B0B7C"/>
    <w:rsid w:val="007B3EFB"/>
    <w:rsid w:val="007C2768"/>
    <w:rsid w:val="007C3480"/>
    <w:rsid w:val="007C35DF"/>
    <w:rsid w:val="007C7310"/>
    <w:rsid w:val="007D347A"/>
    <w:rsid w:val="007E0B47"/>
    <w:rsid w:val="007E2018"/>
    <w:rsid w:val="007F0F1C"/>
    <w:rsid w:val="007F3F1E"/>
    <w:rsid w:val="00801F9F"/>
    <w:rsid w:val="00805755"/>
    <w:rsid w:val="00807D1E"/>
    <w:rsid w:val="00810DF3"/>
    <w:rsid w:val="008117DD"/>
    <w:rsid w:val="00811A54"/>
    <w:rsid w:val="00811B27"/>
    <w:rsid w:val="00811CDE"/>
    <w:rsid w:val="00812EA7"/>
    <w:rsid w:val="008143C1"/>
    <w:rsid w:val="00820BE7"/>
    <w:rsid w:val="008211D6"/>
    <w:rsid w:val="00830D2F"/>
    <w:rsid w:val="008328DA"/>
    <w:rsid w:val="008329F8"/>
    <w:rsid w:val="008339F0"/>
    <w:rsid w:val="008351A9"/>
    <w:rsid w:val="00837F62"/>
    <w:rsid w:val="00841FD9"/>
    <w:rsid w:val="00842D74"/>
    <w:rsid w:val="00844BAE"/>
    <w:rsid w:val="00844BC6"/>
    <w:rsid w:val="0085073A"/>
    <w:rsid w:val="0085135E"/>
    <w:rsid w:val="008523B7"/>
    <w:rsid w:val="00854AFE"/>
    <w:rsid w:val="00855083"/>
    <w:rsid w:val="008564D6"/>
    <w:rsid w:val="0086275F"/>
    <w:rsid w:val="00864AEB"/>
    <w:rsid w:val="008663C8"/>
    <w:rsid w:val="00871F10"/>
    <w:rsid w:val="00873506"/>
    <w:rsid w:val="008759FE"/>
    <w:rsid w:val="008765D8"/>
    <w:rsid w:val="008776C8"/>
    <w:rsid w:val="00877E4E"/>
    <w:rsid w:val="008808D1"/>
    <w:rsid w:val="00882E5A"/>
    <w:rsid w:val="00885688"/>
    <w:rsid w:val="0088706A"/>
    <w:rsid w:val="008873D0"/>
    <w:rsid w:val="0089029C"/>
    <w:rsid w:val="00892A3C"/>
    <w:rsid w:val="00894DF8"/>
    <w:rsid w:val="008B16B5"/>
    <w:rsid w:val="008B17A4"/>
    <w:rsid w:val="008B364B"/>
    <w:rsid w:val="008C047C"/>
    <w:rsid w:val="008C07E6"/>
    <w:rsid w:val="008C08AD"/>
    <w:rsid w:val="008C10C9"/>
    <w:rsid w:val="008C129F"/>
    <w:rsid w:val="008C465B"/>
    <w:rsid w:val="008C6125"/>
    <w:rsid w:val="008C7CF5"/>
    <w:rsid w:val="008D33C0"/>
    <w:rsid w:val="008D3AFF"/>
    <w:rsid w:val="008D4D85"/>
    <w:rsid w:val="008D56B7"/>
    <w:rsid w:val="008E211B"/>
    <w:rsid w:val="008E2538"/>
    <w:rsid w:val="008E4C81"/>
    <w:rsid w:val="008F2DFC"/>
    <w:rsid w:val="008F3EDB"/>
    <w:rsid w:val="008F4628"/>
    <w:rsid w:val="008F7045"/>
    <w:rsid w:val="00901A52"/>
    <w:rsid w:val="00901EFC"/>
    <w:rsid w:val="00904657"/>
    <w:rsid w:val="00905FE6"/>
    <w:rsid w:val="009066E7"/>
    <w:rsid w:val="0091466A"/>
    <w:rsid w:val="00916B8D"/>
    <w:rsid w:val="00920362"/>
    <w:rsid w:val="00926406"/>
    <w:rsid w:val="00927BBB"/>
    <w:rsid w:val="009308B3"/>
    <w:rsid w:val="00933059"/>
    <w:rsid w:val="009359A7"/>
    <w:rsid w:val="009404B5"/>
    <w:rsid w:val="00942673"/>
    <w:rsid w:val="009531EB"/>
    <w:rsid w:val="009566E8"/>
    <w:rsid w:val="00957FDA"/>
    <w:rsid w:val="009625C6"/>
    <w:rsid w:val="0096784A"/>
    <w:rsid w:val="00970DDE"/>
    <w:rsid w:val="0097166D"/>
    <w:rsid w:val="0097197A"/>
    <w:rsid w:val="0097244F"/>
    <w:rsid w:val="00973E27"/>
    <w:rsid w:val="00974505"/>
    <w:rsid w:val="0097792B"/>
    <w:rsid w:val="0098038E"/>
    <w:rsid w:val="0098255F"/>
    <w:rsid w:val="00982C92"/>
    <w:rsid w:val="00984925"/>
    <w:rsid w:val="009850BF"/>
    <w:rsid w:val="00987FB3"/>
    <w:rsid w:val="00990B6B"/>
    <w:rsid w:val="009915BF"/>
    <w:rsid w:val="009921C2"/>
    <w:rsid w:val="00992304"/>
    <w:rsid w:val="00994247"/>
    <w:rsid w:val="00996513"/>
    <w:rsid w:val="009973A4"/>
    <w:rsid w:val="009A140F"/>
    <w:rsid w:val="009A2E65"/>
    <w:rsid w:val="009A4723"/>
    <w:rsid w:val="009A4D92"/>
    <w:rsid w:val="009B07EE"/>
    <w:rsid w:val="009B0C07"/>
    <w:rsid w:val="009B1623"/>
    <w:rsid w:val="009B367E"/>
    <w:rsid w:val="009B485A"/>
    <w:rsid w:val="009B613D"/>
    <w:rsid w:val="009B7E0C"/>
    <w:rsid w:val="009C2C40"/>
    <w:rsid w:val="009C3045"/>
    <w:rsid w:val="009D141B"/>
    <w:rsid w:val="009D44F3"/>
    <w:rsid w:val="009D7774"/>
    <w:rsid w:val="009E09CB"/>
    <w:rsid w:val="009E12D5"/>
    <w:rsid w:val="009E2047"/>
    <w:rsid w:val="009E30B4"/>
    <w:rsid w:val="009E4AB7"/>
    <w:rsid w:val="009E4E54"/>
    <w:rsid w:val="009F0608"/>
    <w:rsid w:val="009F18EC"/>
    <w:rsid w:val="009F194D"/>
    <w:rsid w:val="009F231E"/>
    <w:rsid w:val="009F4903"/>
    <w:rsid w:val="009F7FC7"/>
    <w:rsid w:val="00A031B6"/>
    <w:rsid w:val="00A1051B"/>
    <w:rsid w:val="00A119F5"/>
    <w:rsid w:val="00A204FF"/>
    <w:rsid w:val="00A20C3B"/>
    <w:rsid w:val="00A21FC8"/>
    <w:rsid w:val="00A243E3"/>
    <w:rsid w:val="00A26A5D"/>
    <w:rsid w:val="00A31369"/>
    <w:rsid w:val="00A35CDD"/>
    <w:rsid w:val="00A37D4B"/>
    <w:rsid w:val="00A40E66"/>
    <w:rsid w:val="00A44E04"/>
    <w:rsid w:val="00A50190"/>
    <w:rsid w:val="00A524AD"/>
    <w:rsid w:val="00A5355E"/>
    <w:rsid w:val="00A55886"/>
    <w:rsid w:val="00A55B22"/>
    <w:rsid w:val="00A564A9"/>
    <w:rsid w:val="00A57452"/>
    <w:rsid w:val="00A6101C"/>
    <w:rsid w:val="00A676C2"/>
    <w:rsid w:val="00A71E34"/>
    <w:rsid w:val="00A8192D"/>
    <w:rsid w:val="00A86F61"/>
    <w:rsid w:val="00A91E16"/>
    <w:rsid w:val="00A92B8E"/>
    <w:rsid w:val="00AA2F43"/>
    <w:rsid w:val="00AA34A4"/>
    <w:rsid w:val="00AA417D"/>
    <w:rsid w:val="00AB05B0"/>
    <w:rsid w:val="00AB101C"/>
    <w:rsid w:val="00AB1F7B"/>
    <w:rsid w:val="00AB4BC2"/>
    <w:rsid w:val="00AB51A8"/>
    <w:rsid w:val="00AB5751"/>
    <w:rsid w:val="00AB7BC0"/>
    <w:rsid w:val="00AB7C39"/>
    <w:rsid w:val="00AC1747"/>
    <w:rsid w:val="00AC3060"/>
    <w:rsid w:val="00AC3E53"/>
    <w:rsid w:val="00AC67CB"/>
    <w:rsid w:val="00AD2875"/>
    <w:rsid w:val="00AE09F9"/>
    <w:rsid w:val="00AE0C2E"/>
    <w:rsid w:val="00AE1769"/>
    <w:rsid w:val="00AE36C5"/>
    <w:rsid w:val="00AE3F6D"/>
    <w:rsid w:val="00AE548E"/>
    <w:rsid w:val="00AF2FB1"/>
    <w:rsid w:val="00AF6C35"/>
    <w:rsid w:val="00B0233D"/>
    <w:rsid w:val="00B03BAA"/>
    <w:rsid w:val="00B072E1"/>
    <w:rsid w:val="00B11C48"/>
    <w:rsid w:val="00B12C45"/>
    <w:rsid w:val="00B15C7C"/>
    <w:rsid w:val="00B16F03"/>
    <w:rsid w:val="00B27DE2"/>
    <w:rsid w:val="00B37C23"/>
    <w:rsid w:val="00B40A1E"/>
    <w:rsid w:val="00B46326"/>
    <w:rsid w:val="00B52DDA"/>
    <w:rsid w:val="00B576B7"/>
    <w:rsid w:val="00B64127"/>
    <w:rsid w:val="00B66627"/>
    <w:rsid w:val="00B70131"/>
    <w:rsid w:val="00B737E4"/>
    <w:rsid w:val="00B75CF0"/>
    <w:rsid w:val="00B8091F"/>
    <w:rsid w:val="00B82DBD"/>
    <w:rsid w:val="00B82E5D"/>
    <w:rsid w:val="00B84777"/>
    <w:rsid w:val="00B857FF"/>
    <w:rsid w:val="00B90A4D"/>
    <w:rsid w:val="00B93399"/>
    <w:rsid w:val="00BA1174"/>
    <w:rsid w:val="00BA1AA4"/>
    <w:rsid w:val="00BA254E"/>
    <w:rsid w:val="00BA4F87"/>
    <w:rsid w:val="00BB329E"/>
    <w:rsid w:val="00BB64BC"/>
    <w:rsid w:val="00BC1CCC"/>
    <w:rsid w:val="00BC3A87"/>
    <w:rsid w:val="00BC3D30"/>
    <w:rsid w:val="00BC4CCE"/>
    <w:rsid w:val="00BC6025"/>
    <w:rsid w:val="00BD3B5F"/>
    <w:rsid w:val="00BE0B20"/>
    <w:rsid w:val="00BE3E66"/>
    <w:rsid w:val="00BE5E45"/>
    <w:rsid w:val="00BE5E60"/>
    <w:rsid w:val="00BE6FD0"/>
    <w:rsid w:val="00BF58DC"/>
    <w:rsid w:val="00C00274"/>
    <w:rsid w:val="00C0060F"/>
    <w:rsid w:val="00C00C05"/>
    <w:rsid w:val="00C11D89"/>
    <w:rsid w:val="00C12163"/>
    <w:rsid w:val="00C14818"/>
    <w:rsid w:val="00C15C5B"/>
    <w:rsid w:val="00C21266"/>
    <w:rsid w:val="00C224A7"/>
    <w:rsid w:val="00C2366C"/>
    <w:rsid w:val="00C23EAC"/>
    <w:rsid w:val="00C27623"/>
    <w:rsid w:val="00C313B5"/>
    <w:rsid w:val="00C32E1B"/>
    <w:rsid w:val="00C3364C"/>
    <w:rsid w:val="00C33DAE"/>
    <w:rsid w:val="00C3694B"/>
    <w:rsid w:val="00C41A0F"/>
    <w:rsid w:val="00C42D8F"/>
    <w:rsid w:val="00C44250"/>
    <w:rsid w:val="00C462A2"/>
    <w:rsid w:val="00C47B01"/>
    <w:rsid w:val="00C47C2A"/>
    <w:rsid w:val="00C526CE"/>
    <w:rsid w:val="00C5516C"/>
    <w:rsid w:val="00C56A22"/>
    <w:rsid w:val="00C63109"/>
    <w:rsid w:val="00C73330"/>
    <w:rsid w:val="00C76BCE"/>
    <w:rsid w:val="00C81325"/>
    <w:rsid w:val="00C81A6F"/>
    <w:rsid w:val="00C8569A"/>
    <w:rsid w:val="00C91E99"/>
    <w:rsid w:val="00C9677A"/>
    <w:rsid w:val="00C9719D"/>
    <w:rsid w:val="00C97C73"/>
    <w:rsid w:val="00CA1170"/>
    <w:rsid w:val="00CA2F19"/>
    <w:rsid w:val="00CA4E56"/>
    <w:rsid w:val="00CA52E6"/>
    <w:rsid w:val="00CB03F1"/>
    <w:rsid w:val="00CB3B2C"/>
    <w:rsid w:val="00CB3DFC"/>
    <w:rsid w:val="00CB5A09"/>
    <w:rsid w:val="00CB5EFC"/>
    <w:rsid w:val="00CC1A93"/>
    <w:rsid w:val="00CD29B1"/>
    <w:rsid w:val="00CE17A1"/>
    <w:rsid w:val="00CE3167"/>
    <w:rsid w:val="00CE6F10"/>
    <w:rsid w:val="00CF0A18"/>
    <w:rsid w:val="00CF5B54"/>
    <w:rsid w:val="00D026D8"/>
    <w:rsid w:val="00D02CC4"/>
    <w:rsid w:val="00D033B5"/>
    <w:rsid w:val="00D0597A"/>
    <w:rsid w:val="00D0705A"/>
    <w:rsid w:val="00D10551"/>
    <w:rsid w:val="00D1160F"/>
    <w:rsid w:val="00D119F8"/>
    <w:rsid w:val="00D144E6"/>
    <w:rsid w:val="00D14F09"/>
    <w:rsid w:val="00D15A8D"/>
    <w:rsid w:val="00D1625F"/>
    <w:rsid w:val="00D16998"/>
    <w:rsid w:val="00D230E6"/>
    <w:rsid w:val="00D23A77"/>
    <w:rsid w:val="00D26847"/>
    <w:rsid w:val="00D277AF"/>
    <w:rsid w:val="00D316D1"/>
    <w:rsid w:val="00D31F7B"/>
    <w:rsid w:val="00D33422"/>
    <w:rsid w:val="00D336A8"/>
    <w:rsid w:val="00D34DC1"/>
    <w:rsid w:val="00D426AA"/>
    <w:rsid w:val="00D46437"/>
    <w:rsid w:val="00D51BAC"/>
    <w:rsid w:val="00D53581"/>
    <w:rsid w:val="00D53D29"/>
    <w:rsid w:val="00D543A2"/>
    <w:rsid w:val="00D57A98"/>
    <w:rsid w:val="00D603AC"/>
    <w:rsid w:val="00D6133F"/>
    <w:rsid w:val="00D623C3"/>
    <w:rsid w:val="00D66B91"/>
    <w:rsid w:val="00D6734B"/>
    <w:rsid w:val="00D674F3"/>
    <w:rsid w:val="00D707B0"/>
    <w:rsid w:val="00D91C06"/>
    <w:rsid w:val="00D930ED"/>
    <w:rsid w:val="00D932BE"/>
    <w:rsid w:val="00DA5673"/>
    <w:rsid w:val="00DA7397"/>
    <w:rsid w:val="00DA73BC"/>
    <w:rsid w:val="00DB463F"/>
    <w:rsid w:val="00DB6F00"/>
    <w:rsid w:val="00DC337A"/>
    <w:rsid w:val="00DC6B88"/>
    <w:rsid w:val="00DD0E68"/>
    <w:rsid w:val="00DD36D1"/>
    <w:rsid w:val="00DD6235"/>
    <w:rsid w:val="00DE084C"/>
    <w:rsid w:val="00DE12E9"/>
    <w:rsid w:val="00DE73E3"/>
    <w:rsid w:val="00DF5CDF"/>
    <w:rsid w:val="00DF67FC"/>
    <w:rsid w:val="00DF69D4"/>
    <w:rsid w:val="00DF72D5"/>
    <w:rsid w:val="00E0211E"/>
    <w:rsid w:val="00E05970"/>
    <w:rsid w:val="00E07351"/>
    <w:rsid w:val="00E1052E"/>
    <w:rsid w:val="00E10B0A"/>
    <w:rsid w:val="00E12C27"/>
    <w:rsid w:val="00E14BD6"/>
    <w:rsid w:val="00E16173"/>
    <w:rsid w:val="00E20C27"/>
    <w:rsid w:val="00E25A15"/>
    <w:rsid w:val="00E26625"/>
    <w:rsid w:val="00E27C6F"/>
    <w:rsid w:val="00E3064A"/>
    <w:rsid w:val="00E30C04"/>
    <w:rsid w:val="00E325E1"/>
    <w:rsid w:val="00E345D1"/>
    <w:rsid w:val="00E35FB0"/>
    <w:rsid w:val="00E36A57"/>
    <w:rsid w:val="00E4534D"/>
    <w:rsid w:val="00E4640F"/>
    <w:rsid w:val="00E46D7C"/>
    <w:rsid w:val="00E54F25"/>
    <w:rsid w:val="00E55600"/>
    <w:rsid w:val="00E5634B"/>
    <w:rsid w:val="00E61513"/>
    <w:rsid w:val="00E64B67"/>
    <w:rsid w:val="00E64D96"/>
    <w:rsid w:val="00E65182"/>
    <w:rsid w:val="00E66D6A"/>
    <w:rsid w:val="00E6751C"/>
    <w:rsid w:val="00E70FFA"/>
    <w:rsid w:val="00E71452"/>
    <w:rsid w:val="00E715F5"/>
    <w:rsid w:val="00E74D91"/>
    <w:rsid w:val="00E77A34"/>
    <w:rsid w:val="00E80DC4"/>
    <w:rsid w:val="00E80EC8"/>
    <w:rsid w:val="00E81229"/>
    <w:rsid w:val="00E81487"/>
    <w:rsid w:val="00E815FB"/>
    <w:rsid w:val="00E8657F"/>
    <w:rsid w:val="00E86F57"/>
    <w:rsid w:val="00E87581"/>
    <w:rsid w:val="00E87CF7"/>
    <w:rsid w:val="00E91ED7"/>
    <w:rsid w:val="00E94765"/>
    <w:rsid w:val="00E9524D"/>
    <w:rsid w:val="00E95791"/>
    <w:rsid w:val="00E957B2"/>
    <w:rsid w:val="00E95F6E"/>
    <w:rsid w:val="00EA0667"/>
    <w:rsid w:val="00EA360B"/>
    <w:rsid w:val="00EA5437"/>
    <w:rsid w:val="00EB03A9"/>
    <w:rsid w:val="00EB1227"/>
    <w:rsid w:val="00EC0F44"/>
    <w:rsid w:val="00EC4897"/>
    <w:rsid w:val="00EC4F92"/>
    <w:rsid w:val="00EC51EE"/>
    <w:rsid w:val="00EC7C2B"/>
    <w:rsid w:val="00ED0851"/>
    <w:rsid w:val="00ED2653"/>
    <w:rsid w:val="00ED6E6E"/>
    <w:rsid w:val="00EE088C"/>
    <w:rsid w:val="00EE19D6"/>
    <w:rsid w:val="00EE2A49"/>
    <w:rsid w:val="00EE703A"/>
    <w:rsid w:val="00EF0B59"/>
    <w:rsid w:val="00F0051F"/>
    <w:rsid w:val="00F00D5E"/>
    <w:rsid w:val="00F12D15"/>
    <w:rsid w:val="00F158B5"/>
    <w:rsid w:val="00F20F52"/>
    <w:rsid w:val="00F257B4"/>
    <w:rsid w:val="00F26F45"/>
    <w:rsid w:val="00F31852"/>
    <w:rsid w:val="00F32B71"/>
    <w:rsid w:val="00F352B8"/>
    <w:rsid w:val="00F40D1D"/>
    <w:rsid w:val="00F41337"/>
    <w:rsid w:val="00F4280F"/>
    <w:rsid w:val="00F44171"/>
    <w:rsid w:val="00F46354"/>
    <w:rsid w:val="00F47DBC"/>
    <w:rsid w:val="00F52068"/>
    <w:rsid w:val="00F5238C"/>
    <w:rsid w:val="00F553C6"/>
    <w:rsid w:val="00F555D6"/>
    <w:rsid w:val="00F560E1"/>
    <w:rsid w:val="00F57247"/>
    <w:rsid w:val="00F60527"/>
    <w:rsid w:val="00F71D63"/>
    <w:rsid w:val="00F725BF"/>
    <w:rsid w:val="00F73BA9"/>
    <w:rsid w:val="00F73EBB"/>
    <w:rsid w:val="00F75968"/>
    <w:rsid w:val="00F76B6D"/>
    <w:rsid w:val="00F77C24"/>
    <w:rsid w:val="00F822FC"/>
    <w:rsid w:val="00F827C4"/>
    <w:rsid w:val="00F86A6A"/>
    <w:rsid w:val="00F87486"/>
    <w:rsid w:val="00F900A3"/>
    <w:rsid w:val="00F9113D"/>
    <w:rsid w:val="00F93058"/>
    <w:rsid w:val="00F95332"/>
    <w:rsid w:val="00FA1804"/>
    <w:rsid w:val="00FA7F5A"/>
    <w:rsid w:val="00FB4738"/>
    <w:rsid w:val="00FC015D"/>
    <w:rsid w:val="00FC43D5"/>
    <w:rsid w:val="00FD0567"/>
    <w:rsid w:val="00FD34D1"/>
    <w:rsid w:val="00FE28BD"/>
    <w:rsid w:val="00FF1EA6"/>
    <w:rsid w:val="00FF3FA2"/>
  </w:rsids>
  <m:mathPr>
    <m:mathFont m:val="Cambria Math"/>
    <m:brkBin m:val="before"/>
    <m:brkBinSub m:val="--"/>
    <m:smallFrac m:val="0"/>
    <m:dispDef/>
    <m:lMargin m:val="0"/>
    <m:rMargin m:val="0"/>
    <m:defJc m:val="centerGroup"/>
    <m:wrapIndent m:val="1440"/>
    <m:intLim m:val="subSup"/>
    <m:naryLim m:val="undOvr"/>
  </m:mathPr>
  <w:themeFontLang w:val="sl-SI"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5:chartTrackingRefBased/>
  <w15:docId w15:val="{20836903-B26D-4B24-8615-04571DEBBD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sl-SI" w:eastAsia="zh-CN"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iPriority="0"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avaden">
    <w:name w:val="Normal"/>
    <w:qFormat/>
    <w:pPr>
      <w:spacing w:before="120" w:after="120"/>
      <w:jc w:val="both"/>
    </w:pPr>
    <w:rPr>
      <w:snapToGrid w:val="0"/>
      <w:sz w:val="24"/>
      <w:lang w:val="en-GB"/>
    </w:rPr>
  </w:style>
  <w:style w:type="paragraph" w:styleId="Naslov1">
    <w:name w:val="heading 1"/>
    <w:basedOn w:val="Navaden"/>
    <w:next w:val="Navaden"/>
    <w:uiPriority w:val="9"/>
    <w:qFormat/>
    <w:pPr>
      <w:keepNext/>
      <w:numPr>
        <w:numId w:val="19"/>
      </w:numPr>
      <w:spacing w:before="240" w:after="240"/>
      <w:outlineLvl w:val="0"/>
    </w:pPr>
    <w:rPr>
      <w:b/>
      <w:smallCaps/>
      <w:sz w:val="28"/>
      <w:lang w:val="fr-BE"/>
    </w:rPr>
  </w:style>
  <w:style w:type="paragraph" w:styleId="Naslov2">
    <w:name w:val="heading 2"/>
    <w:basedOn w:val="Naslov1"/>
    <w:next w:val="Navaden"/>
    <w:autoRedefine/>
    <w:uiPriority w:val="9"/>
    <w:qFormat/>
    <w:pPr>
      <w:numPr>
        <w:ilvl w:val="1"/>
      </w:numPr>
      <w:tabs>
        <w:tab w:val="num" w:pos="765"/>
      </w:tabs>
      <w:ind w:left="765" w:hanging="283"/>
      <w:outlineLvl w:val="1"/>
    </w:pPr>
    <w:rPr>
      <w:smallCaps w:val="0"/>
      <w:sz w:val="24"/>
    </w:rPr>
  </w:style>
  <w:style w:type="paragraph" w:styleId="Naslov3">
    <w:name w:val="heading 3"/>
    <w:basedOn w:val="Naslov2"/>
    <w:next w:val="Navaden"/>
    <w:autoRedefine/>
    <w:uiPriority w:val="9"/>
    <w:qFormat/>
    <w:pPr>
      <w:numPr>
        <w:ilvl w:val="2"/>
      </w:numPr>
      <w:tabs>
        <w:tab w:val="num" w:pos="765"/>
      </w:tabs>
      <w:outlineLvl w:val="2"/>
    </w:pPr>
    <w:rPr>
      <w:b w:val="0"/>
      <w:color w:val="000000"/>
    </w:rPr>
  </w:style>
  <w:style w:type="paragraph" w:styleId="Naslov4">
    <w:name w:val="heading 4"/>
    <w:basedOn w:val="Naslov3"/>
    <w:next w:val="Navaden"/>
    <w:uiPriority w:val="9"/>
    <w:qFormat/>
    <w:pPr>
      <w:numPr>
        <w:ilvl w:val="3"/>
      </w:numPr>
      <w:tabs>
        <w:tab w:val="num" w:pos="765"/>
      </w:tabs>
      <w:outlineLvl w:val="3"/>
    </w:pPr>
    <w:rPr>
      <w:i/>
    </w:rPr>
  </w:style>
  <w:style w:type="paragraph" w:styleId="Naslov5">
    <w:name w:val="heading 5"/>
    <w:basedOn w:val="Naslov4"/>
    <w:next w:val="Navaden"/>
    <w:uiPriority w:val="9"/>
    <w:qFormat/>
    <w:pPr>
      <w:numPr>
        <w:ilvl w:val="4"/>
      </w:numPr>
      <w:tabs>
        <w:tab w:val="num" w:pos="765"/>
      </w:tabs>
      <w:jc w:val="left"/>
      <w:outlineLvl w:val="4"/>
    </w:pPr>
    <w:rPr>
      <w:rFonts w:ascii="Arial" w:hAnsi="Arial"/>
      <w:b/>
      <w:i w:val="0"/>
      <w:noProof/>
      <w:sz w:val="22"/>
      <w:lang w:val="sl-SI"/>
    </w:rPr>
  </w:style>
  <w:style w:type="paragraph" w:styleId="Naslov6">
    <w:name w:val="heading 6"/>
    <w:basedOn w:val="Naslov5"/>
    <w:next w:val="Navaden"/>
    <w:uiPriority w:val="9"/>
    <w:qFormat/>
    <w:pPr>
      <w:numPr>
        <w:ilvl w:val="5"/>
      </w:numPr>
      <w:tabs>
        <w:tab w:val="num" w:pos="765"/>
      </w:tabs>
      <w:spacing w:after="60"/>
      <w:outlineLvl w:val="5"/>
    </w:pPr>
    <w:rPr>
      <w:b w:val="0"/>
    </w:rPr>
  </w:style>
  <w:style w:type="paragraph" w:styleId="Naslov7">
    <w:name w:val="heading 7"/>
    <w:basedOn w:val="Naslov6"/>
    <w:next w:val="Navaden"/>
    <w:uiPriority w:val="9"/>
    <w:qFormat/>
    <w:pPr>
      <w:numPr>
        <w:ilvl w:val="6"/>
      </w:numPr>
      <w:tabs>
        <w:tab w:val="num" w:pos="765"/>
      </w:tabs>
      <w:outlineLvl w:val="6"/>
    </w:pPr>
    <w:rPr>
      <w:i/>
    </w:rPr>
  </w:style>
  <w:style w:type="paragraph" w:styleId="Naslov8">
    <w:name w:val="heading 8"/>
    <w:basedOn w:val="Naslov7"/>
    <w:next w:val="Navaden"/>
    <w:link w:val="Naslov8Znak1"/>
    <w:uiPriority w:val="9"/>
    <w:qFormat/>
    <w:pPr>
      <w:numPr>
        <w:ilvl w:val="7"/>
      </w:numPr>
      <w:tabs>
        <w:tab w:val="num" w:pos="765"/>
      </w:tabs>
      <w:outlineLvl w:val="7"/>
    </w:pPr>
    <w:rPr>
      <w:rFonts w:ascii="Calibri" w:hAnsi="Calibri"/>
      <w:b/>
      <w:i w:val="0"/>
      <w:sz w:val="24"/>
    </w:rPr>
  </w:style>
  <w:style w:type="paragraph" w:styleId="Naslov9">
    <w:name w:val="heading 9"/>
    <w:basedOn w:val="Naslov8"/>
    <w:next w:val="Navaden"/>
    <w:link w:val="Naslov9Znak1"/>
    <w:uiPriority w:val="9"/>
    <w:qFormat/>
    <w:pPr>
      <w:numPr>
        <w:ilvl w:val="8"/>
      </w:numPr>
      <w:tabs>
        <w:tab w:val="num" w:pos="765"/>
      </w:tabs>
      <w:outlineLvl w:val="8"/>
    </w:pPr>
    <w:rPr>
      <w:b w:val="0"/>
    </w:rPr>
  </w:style>
  <w:style w:type="character" w:default="1" w:styleId="Privzetapisavaodstavka">
    <w:name w:val="Default Paragraph Font"/>
    <w:uiPriority w:val="1"/>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character" w:customStyle="1" w:styleId="Naslov1Znak">
    <w:name w:val="Naslov 1 Znak"/>
    <w:link w:val="Naslov11"/>
    <w:uiPriority w:val="9"/>
    <w:locked/>
    <w:rPr>
      <w:b/>
      <w:smallCaps/>
      <w:sz w:val="28"/>
      <w:lang w:val="fr-BE" w:bidi="ar-SA"/>
    </w:rPr>
  </w:style>
  <w:style w:type="character" w:customStyle="1" w:styleId="Naslov2Znak">
    <w:name w:val="Naslov 2 Znak"/>
    <w:uiPriority w:val="9"/>
    <w:locked/>
    <w:rPr>
      <w:b/>
      <w:sz w:val="24"/>
      <w:lang w:val="fr-BE"/>
    </w:rPr>
  </w:style>
  <w:style w:type="character" w:customStyle="1" w:styleId="Naslov3Znak">
    <w:name w:val="Naslov 3 Znak"/>
    <w:uiPriority w:val="9"/>
    <w:locked/>
    <w:rPr>
      <w:color w:val="000000"/>
      <w:sz w:val="24"/>
      <w:lang w:val="fr-BE"/>
    </w:rPr>
  </w:style>
  <w:style w:type="character" w:customStyle="1" w:styleId="Naslov4Znak">
    <w:name w:val="Naslov 4 Znak"/>
    <w:uiPriority w:val="9"/>
    <w:locked/>
    <w:rPr>
      <w:i/>
      <w:color w:val="000000"/>
      <w:sz w:val="24"/>
      <w:lang w:val="fr-BE"/>
    </w:rPr>
  </w:style>
  <w:style w:type="character" w:customStyle="1" w:styleId="Naslov5Znak">
    <w:name w:val="Naslov 5 Znak"/>
    <w:uiPriority w:val="9"/>
    <w:locked/>
    <w:rPr>
      <w:rFonts w:ascii="Arial" w:hAnsi="Arial"/>
      <w:b/>
      <w:noProof/>
      <w:color w:val="000000"/>
      <w:sz w:val="22"/>
    </w:rPr>
  </w:style>
  <w:style w:type="character" w:customStyle="1" w:styleId="Naslov6Znak">
    <w:name w:val="Naslov 6 Znak"/>
    <w:uiPriority w:val="9"/>
    <w:locked/>
    <w:rPr>
      <w:rFonts w:ascii="Arial" w:hAnsi="Arial"/>
      <w:noProof/>
      <w:color w:val="000000"/>
      <w:sz w:val="22"/>
    </w:rPr>
  </w:style>
  <w:style w:type="character" w:customStyle="1" w:styleId="Naslov7Znak">
    <w:name w:val="Naslov 7 Znak"/>
    <w:uiPriority w:val="9"/>
    <w:locked/>
    <w:rPr>
      <w:rFonts w:ascii="Arial" w:hAnsi="Arial"/>
      <w:i/>
      <w:noProof/>
      <w:color w:val="000000"/>
      <w:sz w:val="22"/>
    </w:rPr>
  </w:style>
  <w:style w:type="character" w:customStyle="1" w:styleId="Naslov8Znak1">
    <w:name w:val="Naslov 8 Znak1"/>
    <w:link w:val="Naslov8"/>
    <w:uiPriority w:val="9"/>
    <w:rPr>
      <w:rFonts w:ascii="Calibri" w:hAnsi="Calibri"/>
      <w:b/>
      <w:noProof/>
      <w:snapToGrid w:val="0"/>
      <w:color w:val="000000"/>
      <w:sz w:val="24"/>
      <w:lang w:val="sl-SI" w:eastAsia="zh-CN" w:bidi="ar-SA"/>
    </w:rPr>
  </w:style>
  <w:style w:type="character" w:customStyle="1" w:styleId="Naslov9Znak1">
    <w:name w:val="Naslov 9 Znak1"/>
    <w:link w:val="Naslov9"/>
    <w:uiPriority w:val="9"/>
    <w:rPr>
      <w:rFonts w:ascii="Calibri" w:hAnsi="Calibri"/>
      <w:noProof/>
      <w:snapToGrid w:val="0"/>
      <w:color w:val="000000"/>
      <w:sz w:val="24"/>
      <w:lang w:val="sl-SI" w:eastAsia="zh-CN" w:bidi="ar-SA"/>
    </w:rPr>
  </w:style>
  <w:style w:type="paragraph" w:customStyle="1" w:styleId="Text1">
    <w:name w:val="Text 1"/>
    <w:basedOn w:val="Navaden"/>
    <w:pPr>
      <w:ind w:left="482"/>
    </w:pPr>
  </w:style>
  <w:style w:type="paragraph" w:customStyle="1" w:styleId="Text2">
    <w:name w:val="Text 2"/>
    <w:basedOn w:val="Navaden"/>
    <w:pPr>
      <w:tabs>
        <w:tab w:val="left" w:pos="2302"/>
      </w:tabs>
      <w:ind w:left="1202"/>
    </w:pPr>
  </w:style>
  <w:style w:type="paragraph" w:customStyle="1" w:styleId="Text3">
    <w:name w:val="Text 3"/>
    <w:basedOn w:val="Navaden"/>
    <w:pPr>
      <w:tabs>
        <w:tab w:val="left" w:pos="2302"/>
      </w:tabs>
      <w:ind w:left="1202"/>
    </w:pPr>
  </w:style>
  <w:style w:type="paragraph" w:customStyle="1" w:styleId="Text4">
    <w:name w:val="Text 4"/>
    <w:basedOn w:val="Navaden"/>
    <w:pPr>
      <w:tabs>
        <w:tab w:val="left" w:pos="2302"/>
      </w:tabs>
      <w:ind w:left="1202"/>
    </w:pPr>
  </w:style>
  <w:style w:type="paragraph" w:customStyle="1" w:styleId="Address">
    <w:name w:val="Address"/>
    <w:basedOn w:val="Navaden"/>
    <w:pPr>
      <w:spacing w:after="0"/>
      <w:jc w:val="left"/>
    </w:pPr>
  </w:style>
  <w:style w:type="paragraph" w:customStyle="1" w:styleId="AddressTL">
    <w:name w:val="AddressTL"/>
    <w:basedOn w:val="Navaden"/>
    <w:next w:val="Navaden"/>
    <w:pPr>
      <w:spacing w:after="720"/>
      <w:jc w:val="left"/>
    </w:pPr>
  </w:style>
  <w:style w:type="paragraph" w:customStyle="1" w:styleId="AddressTR">
    <w:name w:val="AddressTR"/>
    <w:basedOn w:val="Navaden"/>
    <w:next w:val="Navaden"/>
    <w:pPr>
      <w:spacing w:after="720"/>
      <w:ind w:left="5103"/>
      <w:jc w:val="left"/>
    </w:pPr>
  </w:style>
  <w:style w:type="paragraph" w:styleId="Blokbesedila">
    <w:name w:val="Block Text"/>
    <w:basedOn w:val="Navaden"/>
    <w:uiPriority w:val="99"/>
    <w:pPr>
      <w:ind w:left="1440" w:right="1440"/>
    </w:pPr>
  </w:style>
  <w:style w:type="paragraph" w:styleId="Telobesedila">
    <w:name w:val="Body Text"/>
    <w:basedOn w:val="Navaden"/>
    <w:link w:val="TelobesedilaZnak1"/>
    <w:uiPriority w:val="99"/>
  </w:style>
  <w:style w:type="character" w:customStyle="1" w:styleId="TelobesedilaZnak1">
    <w:name w:val="Telo besedila Znak1"/>
    <w:link w:val="Telobesedila"/>
    <w:uiPriority w:val="99"/>
    <w:locked/>
    <w:rPr>
      <w:sz w:val="24"/>
      <w:lang w:val="en-GB"/>
    </w:rPr>
  </w:style>
  <w:style w:type="paragraph" w:styleId="Telobesedila2">
    <w:name w:val="Body Text 2"/>
    <w:basedOn w:val="Navaden"/>
    <w:link w:val="Telobesedila2Znak1"/>
    <w:uiPriority w:val="99"/>
    <w:pPr>
      <w:spacing w:line="480" w:lineRule="auto"/>
    </w:pPr>
  </w:style>
  <w:style w:type="character" w:customStyle="1" w:styleId="Telobesedila2Znak1">
    <w:name w:val="Telo besedila 2 Znak1"/>
    <w:link w:val="Telobesedila2"/>
    <w:uiPriority w:val="99"/>
    <w:semiHidden/>
    <w:rPr>
      <w:rFonts w:ascii="Times New Roman" w:hAnsi="Times New Roman"/>
      <w:snapToGrid w:val="0"/>
      <w:sz w:val="24"/>
      <w:lang w:val="en-GB"/>
    </w:rPr>
  </w:style>
  <w:style w:type="paragraph" w:styleId="Telobesedila3">
    <w:name w:val="Body Text 3"/>
    <w:basedOn w:val="Navaden"/>
    <w:link w:val="Telobesedila3Znak1"/>
    <w:uiPriority w:val="99"/>
    <w:rPr>
      <w:sz w:val="16"/>
    </w:rPr>
  </w:style>
  <w:style w:type="character" w:customStyle="1" w:styleId="Telobesedila3Znak1">
    <w:name w:val="Telo besedila 3 Znak1"/>
    <w:link w:val="Telobesedila3"/>
    <w:uiPriority w:val="99"/>
    <w:semiHidden/>
    <w:rPr>
      <w:rFonts w:ascii="Times New Roman" w:hAnsi="Times New Roman"/>
      <w:snapToGrid w:val="0"/>
      <w:sz w:val="16"/>
      <w:szCs w:val="16"/>
      <w:lang w:val="en-GB"/>
    </w:rPr>
  </w:style>
  <w:style w:type="paragraph" w:styleId="Telobesedila-prvizamik">
    <w:name w:val="Body Text First Indent"/>
    <w:basedOn w:val="Telobesedila"/>
    <w:link w:val="Telobesedila-prvizamikZnak1"/>
    <w:uiPriority w:val="99"/>
    <w:pPr>
      <w:ind w:firstLine="210"/>
    </w:pPr>
  </w:style>
  <w:style w:type="character" w:customStyle="1" w:styleId="Telobesedila-prvizamikZnak1">
    <w:name w:val="Telo besedila - prvi zamik Znak1"/>
    <w:link w:val="Telobesedila-prvizamik"/>
    <w:uiPriority w:val="99"/>
    <w:semiHidden/>
    <w:rPr>
      <w:rFonts w:ascii="Times New Roman" w:hAnsi="Times New Roman"/>
      <w:snapToGrid w:val="0"/>
      <w:sz w:val="24"/>
      <w:lang w:val="en-GB"/>
    </w:rPr>
  </w:style>
  <w:style w:type="paragraph" w:styleId="Telobesedila-zamik">
    <w:name w:val="Body Text Indent"/>
    <w:basedOn w:val="Navaden"/>
    <w:link w:val="Telobesedila-zamikZnak1"/>
    <w:uiPriority w:val="99"/>
    <w:pPr>
      <w:ind w:left="283"/>
    </w:pPr>
  </w:style>
  <w:style w:type="character" w:customStyle="1" w:styleId="Telobesedila-zamikZnak1">
    <w:name w:val="Telo besedila - zamik Znak1"/>
    <w:link w:val="Telobesedila-zamik"/>
    <w:uiPriority w:val="99"/>
    <w:semiHidden/>
    <w:rPr>
      <w:rFonts w:ascii="Times New Roman" w:hAnsi="Times New Roman"/>
      <w:snapToGrid w:val="0"/>
      <w:sz w:val="24"/>
      <w:lang w:val="en-GB"/>
    </w:rPr>
  </w:style>
  <w:style w:type="paragraph" w:styleId="Telobesedila-prvizamik2">
    <w:name w:val="Body Text First Indent 2"/>
    <w:basedOn w:val="Telobesedila-zamik"/>
    <w:link w:val="Telobesedila-prvizamik2Znak1"/>
    <w:uiPriority w:val="99"/>
    <w:pPr>
      <w:ind w:firstLine="210"/>
    </w:pPr>
  </w:style>
  <w:style w:type="character" w:customStyle="1" w:styleId="Telobesedila-prvizamik2Znak1">
    <w:name w:val="Telo besedila - prvi zamik 2 Znak1"/>
    <w:link w:val="Telobesedila-prvizamik2"/>
    <w:uiPriority w:val="99"/>
    <w:semiHidden/>
  </w:style>
  <w:style w:type="paragraph" w:styleId="Telobesedila-zamik2">
    <w:name w:val="Body Text Indent 2"/>
    <w:basedOn w:val="Navaden"/>
    <w:link w:val="Telobesedila-zamik2Znak1"/>
    <w:uiPriority w:val="99"/>
    <w:pPr>
      <w:spacing w:line="480" w:lineRule="auto"/>
      <w:ind w:left="283"/>
    </w:pPr>
  </w:style>
  <w:style w:type="character" w:customStyle="1" w:styleId="Telobesedila-zamik2Znak1">
    <w:name w:val="Telo besedila - zamik 2 Znak1"/>
    <w:link w:val="Telobesedila-zamik2"/>
    <w:uiPriority w:val="99"/>
    <w:semiHidden/>
    <w:rPr>
      <w:rFonts w:ascii="Times New Roman" w:hAnsi="Times New Roman"/>
      <w:snapToGrid w:val="0"/>
      <w:sz w:val="24"/>
      <w:lang w:val="en-GB"/>
    </w:rPr>
  </w:style>
  <w:style w:type="paragraph" w:styleId="Telobesedila-zamik3">
    <w:name w:val="Body Text Indent 3"/>
    <w:basedOn w:val="Navaden"/>
    <w:link w:val="Telobesedila-zamik3Znak1"/>
    <w:uiPriority w:val="99"/>
    <w:pPr>
      <w:ind w:left="283"/>
    </w:pPr>
    <w:rPr>
      <w:sz w:val="16"/>
    </w:rPr>
  </w:style>
  <w:style w:type="character" w:customStyle="1" w:styleId="Telobesedila-zamik3Znak1">
    <w:name w:val="Telo besedila - zamik 3 Znak1"/>
    <w:link w:val="Telobesedila-zamik3"/>
    <w:uiPriority w:val="99"/>
    <w:semiHidden/>
    <w:rPr>
      <w:rFonts w:ascii="Times New Roman" w:hAnsi="Times New Roman"/>
      <w:snapToGrid w:val="0"/>
      <w:sz w:val="16"/>
      <w:szCs w:val="16"/>
      <w:lang w:val="en-GB"/>
    </w:rPr>
  </w:style>
  <w:style w:type="paragraph" w:styleId="Napis">
    <w:name w:val="caption"/>
    <w:basedOn w:val="Navaden"/>
    <w:next w:val="Navaden"/>
    <w:uiPriority w:val="35"/>
    <w:qFormat/>
    <w:rPr>
      <w:b/>
    </w:rPr>
  </w:style>
  <w:style w:type="paragraph" w:customStyle="1" w:styleId="ChapterTitle">
    <w:name w:val="ChapterTitle"/>
    <w:basedOn w:val="Navaden"/>
    <w:next w:val="SectionTitle"/>
    <w:pPr>
      <w:keepNext/>
      <w:spacing w:after="480"/>
      <w:jc w:val="center"/>
    </w:pPr>
    <w:rPr>
      <w:b/>
      <w:sz w:val="32"/>
    </w:rPr>
  </w:style>
  <w:style w:type="paragraph" w:customStyle="1" w:styleId="SectionTitle">
    <w:name w:val="SectionTitle"/>
    <w:basedOn w:val="Navaden"/>
    <w:next w:val="Naslov1"/>
    <w:pPr>
      <w:keepNext/>
      <w:spacing w:after="480"/>
      <w:jc w:val="center"/>
    </w:pPr>
    <w:rPr>
      <w:b/>
      <w:smallCaps/>
      <w:sz w:val="28"/>
    </w:rPr>
  </w:style>
  <w:style w:type="paragraph" w:styleId="Zakljunipozdrav">
    <w:name w:val="Closing"/>
    <w:basedOn w:val="Navaden"/>
    <w:link w:val="ZakljunipozdravZnak1"/>
    <w:uiPriority w:val="99"/>
    <w:pPr>
      <w:ind w:left="4252"/>
    </w:pPr>
  </w:style>
  <w:style w:type="character" w:customStyle="1" w:styleId="ZakljunipozdravZnak1">
    <w:name w:val="Zaključni pozdrav Znak1"/>
    <w:link w:val="Zakljunipozdrav"/>
    <w:uiPriority w:val="99"/>
    <w:semiHidden/>
    <w:rPr>
      <w:rFonts w:ascii="Times New Roman" w:hAnsi="Times New Roman"/>
      <w:snapToGrid w:val="0"/>
      <w:sz w:val="24"/>
      <w:lang w:val="en-GB"/>
    </w:rPr>
  </w:style>
  <w:style w:type="paragraph" w:styleId="Pripombabesedilo">
    <w:name w:val="annotation text"/>
    <w:basedOn w:val="Navaden"/>
    <w:link w:val="PripombabesediloZnak1"/>
    <w:uiPriority w:val="99"/>
    <w:semiHidden/>
    <w:rPr>
      <w:sz w:val="20"/>
    </w:rPr>
  </w:style>
  <w:style w:type="character" w:customStyle="1" w:styleId="PripombabesediloZnak1">
    <w:name w:val="Pripomba – besedilo Znak1"/>
    <w:link w:val="Pripombabesedilo"/>
    <w:uiPriority w:val="99"/>
    <w:semiHidden/>
    <w:rPr>
      <w:rFonts w:ascii="Times New Roman" w:hAnsi="Times New Roman"/>
      <w:snapToGrid w:val="0"/>
      <w:lang w:val="en-GB"/>
    </w:rPr>
  </w:style>
  <w:style w:type="paragraph" w:styleId="Datum">
    <w:name w:val="Date"/>
    <w:basedOn w:val="Navaden"/>
    <w:next w:val="References"/>
    <w:link w:val="DatumZnak1"/>
    <w:uiPriority w:val="99"/>
    <w:pPr>
      <w:spacing w:after="0"/>
      <w:ind w:left="5103" w:right="-567"/>
      <w:jc w:val="left"/>
    </w:pPr>
  </w:style>
  <w:style w:type="character" w:customStyle="1" w:styleId="DatumZnak1">
    <w:name w:val="Datum Znak1"/>
    <w:link w:val="Datum"/>
    <w:uiPriority w:val="99"/>
    <w:semiHidden/>
    <w:rPr>
      <w:rFonts w:ascii="Times New Roman" w:hAnsi="Times New Roman"/>
      <w:snapToGrid w:val="0"/>
      <w:sz w:val="24"/>
      <w:lang w:val="en-GB"/>
    </w:rPr>
  </w:style>
  <w:style w:type="paragraph" w:customStyle="1" w:styleId="References">
    <w:name w:val="References"/>
    <w:basedOn w:val="Navaden"/>
    <w:next w:val="AddressTR"/>
    <w:uiPriority w:val="99"/>
    <w:pPr>
      <w:ind w:left="5103"/>
      <w:jc w:val="left"/>
    </w:pPr>
    <w:rPr>
      <w:sz w:val="20"/>
    </w:rPr>
  </w:style>
  <w:style w:type="paragraph" w:styleId="Zgradbadokumenta">
    <w:name w:val="Document Map"/>
    <w:basedOn w:val="Navaden"/>
    <w:link w:val="ZgradbadokumentaZnak1"/>
    <w:uiPriority w:val="99"/>
    <w:semiHidden/>
    <w:pPr>
      <w:shd w:val="clear" w:color="auto" w:fill="000080"/>
    </w:pPr>
  </w:style>
  <w:style w:type="character" w:customStyle="1" w:styleId="ZgradbadokumentaZnak1">
    <w:name w:val="Zgradba dokumenta Znak1"/>
    <w:link w:val="Zgradbadokumenta"/>
    <w:uiPriority w:val="99"/>
    <w:semiHidden/>
    <w:rPr>
      <w:rFonts w:ascii="Segoe UI" w:hAnsi="Segoe UI" w:cs="Segoe UI"/>
      <w:snapToGrid w:val="0"/>
      <w:sz w:val="16"/>
      <w:szCs w:val="16"/>
      <w:lang w:val="en-GB"/>
    </w:rPr>
  </w:style>
  <w:style w:type="paragraph" w:customStyle="1" w:styleId="DoubSign">
    <w:name w:val="DoubSign"/>
    <w:basedOn w:val="Navaden"/>
    <w:next w:val="Enclosures"/>
    <w:pPr>
      <w:tabs>
        <w:tab w:val="left" w:pos="5103"/>
      </w:tabs>
      <w:spacing w:before="1200" w:after="0"/>
      <w:jc w:val="left"/>
    </w:pPr>
  </w:style>
  <w:style w:type="paragraph" w:customStyle="1" w:styleId="Enclosures">
    <w:name w:val="Enclosures"/>
    <w:basedOn w:val="Navaden"/>
    <w:pPr>
      <w:keepNext/>
      <w:keepLines/>
      <w:tabs>
        <w:tab w:val="left" w:pos="5642"/>
      </w:tabs>
      <w:spacing w:before="480" w:after="0"/>
      <w:ind w:left="1191" w:hanging="1191"/>
      <w:jc w:val="left"/>
    </w:pPr>
  </w:style>
  <w:style w:type="paragraph" w:styleId="Konnaopomba-besedilo">
    <w:name w:val="endnote text"/>
    <w:basedOn w:val="Navaden"/>
    <w:link w:val="Konnaopomba-besediloZnak1"/>
    <w:uiPriority w:val="99"/>
    <w:semiHidden/>
    <w:rPr>
      <w:sz w:val="20"/>
    </w:rPr>
  </w:style>
  <w:style w:type="character" w:customStyle="1" w:styleId="Konnaopomba-besediloZnak1">
    <w:name w:val="Končna opomba - besedilo Znak1"/>
    <w:link w:val="Konnaopomba-besedilo"/>
    <w:uiPriority w:val="99"/>
    <w:semiHidden/>
    <w:rPr>
      <w:rFonts w:ascii="Times New Roman" w:hAnsi="Times New Roman"/>
      <w:snapToGrid w:val="0"/>
      <w:lang w:val="en-GB"/>
    </w:rPr>
  </w:style>
  <w:style w:type="paragraph" w:styleId="Naslovnaslovnika">
    <w:name w:val="envelope address"/>
    <w:basedOn w:val="Navaden"/>
    <w:uiPriority w:val="99"/>
    <w:pPr>
      <w:framePr w:w="7920" w:h="1980" w:hRule="exact" w:hSpace="180" w:wrap="auto" w:hAnchor="page" w:xAlign="center" w:yAlign="bottom"/>
      <w:spacing w:after="0"/>
    </w:pPr>
  </w:style>
  <w:style w:type="paragraph" w:styleId="Naslovpoiljatelja">
    <w:name w:val="envelope return"/>
    <w:basedOn w:val="Navaden"/>
    <w:uiPriority w:val="99"/>
    <w:pPr>
      <w:spacing w:after="0"/>
    </w:pPr>
    <w:rPr>
      <w:sz w:val="20"/>
    </w:rPr>
  </w:style>
  <w:style w:type="paragraph" w:styleId="Noga">
    <w:name w:val="footer"/>
    <w:basedOn w:val="Navaden"/>
    <w:link w:val="NogaZnak1"/>
    <w:uiPriority w:val="99"/>
    <w:pPr>
      <w:spacing w:after="0"/>
      <w:ind w:right="-567"/>
      <w:jc w:val="left"/>
    </w:pPr>
    <w:rPr>
      <w:rFonts w:ascii="Arial" w:hAnsi="Arial"/>
      <w:sz w:val="16"/>
    </w:rPr>
  </w:style>
  <w:style w:type="character" w:customStyle="1" w:styleId="NogaZnak1">
    <w:name w:val="Noga Znak1"/>
    <w:link w:val="Noga"/>
    <w:uiPriority w:val="99"/>
    <w:locked/>
    <w:rPr>
      <w:rFonts w:ascii="Arial" w:hAnsi="Arial"/>
      <w:sz w:val="16"/>
      <w:lang w:val="x-none"/>
    </w:rPr>
  </w:style>
  <w:style w:type="paragraph" w:styleId="Sprotnaopomba-besedilo">
    <w:name w:val="footnote text"/>
    <w:basedOn w:val="Navaden"/>
    <w:link w:val="Sprotnaopomba-besediloZnak1"/>
    <w:uiPriority w:val="99"/>
    <w:semiHidden/>
    <w:pPr>
      <w:ind w:left="357" w:hanging="357"/>
    </w:pPr>
    <w:rPr>
      <w:sz w:val="20"/>
    </w:rPr>
  </w:style>
  <w:style w:type="character" w:customStyle="1" w:styleId="Sprotnaopomba-besediloZnak1">
    <w:name w:val="Sprotna opomba - besedilo Znak1"/>
    <w:link w:val="Sprotnaopomba-besedilo"/>
    <w:uiPriority w:val="99"/>
    <w:semiHidden/>
    <w:rPr>
      <w:rFonts w:ascii="Times New Roman" w:hAnsi="Times New Roman"/>
      <w:snapToGrid w:val="0"/>
      <w:lang w:val="en-GB"/>
    </w:rPr>
  </w:style>
  <w:style w:type="paragraph" w:styleId="Glava">
    <w:name w:val="header"/>
    <w:basedOn w:val="Navaden"/>
    <w:link w:val="GlavaZnak1"/>
    <w:uiPriority w:val="99"/>
    <w:pPr>
      <w:tabs>
        <w:tab w:val="center" w:pos="4153"/>
        <w:tab w:val="right" w:pos="8306"/>
      </w:tabs>
    </w:pPr>
  </w:style>
  <w:style w:type="character" w:customStyle="1" w:styleId="GlavaZnak1">
    <w:name w:val="Glava Znak1"/>
    <w:link w:val="Glava"/>
    <w:uiPriority w:val="99"/>
    <w:locked/>
    <w:rPr>
      <w:sz w:val="24"/>
      <w:lang w:val="x-none"/>
    </w:rPr>
  </w:style>
  <w:style w:type="paragraph" w:styleId="Stvarnokazalo1">
    <w:name w:val="index 1"/>
    <w:basedOn w:val="Navaden"/>
    <w:next w:val="Navaden"/>
    <w:autoRedefine/>
    <w:uiPriority w:val="99"/>
    <w:semiHidden/>
    <w:pPr>
      <w:ind w:left="240" w:hanging="240"/>
    </w:pPr>
  </w:style>
  <w:style w:type="paragraph" w:styleId="Stvarnokazalo2">
    <w:name w:val="index 2"/>
    <w:basedOn w:val="Navaden"/>
    <w:next w:val="Navaden"/>
    <w:autoRedefine/>
    <w:uiPriority w:val="99"/>
    <w:semiHidden/>
    <w:pPr>
      <w:ind w:left="480" w:hanging="240"/>
    </w:pPr>
  </w:style>
  <w:style w:type="paragraph" w:styleId="Stvarnokazalo3">
    <w:name w:val="index 3"/>
    <w:basedOn w:val="Navaden"/>
    <w:next w:val="Navaden"/>
    <w:autoRedefine/>
    <w:uiPriority w:val="99"/>
    <w:semiHidden/>
    <w:pPr>
      <w:ind w:left="720" w:hanging="240"/>
    </w:pPr>
  </w:style>
  <w:style w:type="paragraph" w:styleId="Stvarnokazalo4">
    <w:name w:val="index 4"/>
    <w:basedOn w:val="Navaden"/>
    <w:next w:val="Navaden"/>
    <w:autoRedefine/>
    <w:uiPriority w:val="99"/>
    <w:semiHidden/>
    <w:pPr>
      <w:ind w:left="960" w:hanging="240"/>
    </w:pPr>
  </w:style>
  <w:style w:type="paragraph" w:styleId="Stvarnokazalo5">
    <w:name w:val="index 5"/>
    <w:basedOn w:val="Navaden"/>
    <w:next w:val="Navaden"/>
    <w:autoRedefine/>
    <w:uiPriority w:val="99"/>
    <w:semiHidden/>
    <w:pPr>
      <w:ind w:left="1200" w:hanging="240"/>
    </w:pPr>
  </w:style>
  <w:style w:type="paragraph" w:styleId="Stvarnokazalo6">
    <w:name w:val="index 6"/>
    <w:basedOn w:val="Navaden"/>
    <w:next w:val="Navaden"/>
    <w:autoRedefine/>
    <w:uiPriority w:val="99"/>
    <w:semiHidden/>
    <w:pPr>
      <w:ind w:left="1440" w:hanging="240"/>
    </w:pPr>
  </w:style>
  <w:style w:type="paragraph" w:styleId="Stvarnokazalo7">
    <w:name w:val="index 7"/>
    <w:basedOn w:val="Navaden"/>
    <w:next w:val="Navaden"/>
    <w:autoRedefine/>
    <w:uiPriority w:val="99"/>
    <w:semiHidden/>
    <w:pPr>
      <w:ind w:left="1680" w:hanging="240"/>
    </w:pPr>
  </w:style>
  <w:style w:type="paragraph" w:styleId="Stvarnokazalo8">
    <w:name w:val="index 8"/>
    <w:basedOn w:val="Navaden"/>
    <w:next w:val="Navaden"/>
    <w:autoRedefine/>
    <w:uiPriority w:val="99"/>
    <w:semiHidden/>
  </w:style>
  <w:style w:type="paragraph" w:styleId="Stvarnokazalo9">
    <w:name w:val="index 9"/>
    <w:basedOn w:val="Navaden"/>
    <w:next w:val="Navaden"/>
    <w:autoRedefine/>
    <w:uiPriority w:val="99"/>
    <w:semiHidden/>
    <w:pPr>
      <w:ind w:left="2160" w:hanging="240"/>
    </w:pPr>
  </w:style>
  <w:style w:type="paragraph" w:styleId="Stvarnokazalo-naslov">
    <w:name w:val="index heading"/>
    <w:basedOn w:val="Navaden"/>
    <w:next w:val="Stvarnokazalo1"/>
    <w:uiPriority w:val="99"/>
    <w:semiHidden/>
    <w:rPr>
      <w:rFonts w:ascii="Arial" w:hAnsi="Arial"/>
      <w:b/>
    </w:rPr>
  </w:style>
  <w:style w:type="paragraph" w:styleId="Seznam">
    <w:name w:val="List"/>
    <w:basedOn w:val="Navaden"/>
    <w:uiPriority w:val="99"/>
    <w:pPr>
      <w:ind w:left="283" w:hanging="283"/>
    </w:pPr>
  </w:style>
  <w:style w:type="paragraph" w:styleId="Seznam2">
    <w:name w:val="List 2"/>
    <w:basedOn w:val="Navaden"/>
    <w:uiPriority w:val="99"/>
    <w:pPr>
      <w:ind w:left="566" w:hanging="283"/>
    </w:pPr>
  </w:style>
  <w:style w:type="paragraph" w:styleId="Seznam3">
    <w:name w:val="List 3"/>
    <w:basedOn w:val="Navaden"/>
    <w:uiPriority w:val="99"/>
    <w:pPr>
      <w:ind w:left="849" w:hanging="283"/>
    </w:pPr>
  </w:style>
  <w:style w:type="paragraph" w:styleId="Seznam4">
    <w:name w:val="List 4"/>
    <w:basedOn w:val="Navaden"/>
    <w:uiPriority w:val="99"/>
    <w:pPr>
      <w:ind w:left="1132" w:hanging="283"/>
    </w:pPr>
  </w:style>
  <w:style w:type="paragraph" w:styleId="Seznam5">
    <w:name w:val="List 5"/>
    <w:basedOn w:val="Navaden"/>
    <w:uiPriority w:val="99"/>
    <w:pPr>
      <w:ind w:left="1415" w:hanging="283"/>
    </w:pPr>
  </w:style>
  <w:style w:type="paragraph" w:styleId="Oznaenseznam">
    <w:name w:val="List Bullet"/>
    <w:basedOn w:val="Navaden"/>
    <w:uiPriority w:val="99"/>
    <w:pPr>
      <w:numPr>
        <w:numId w:val="3"/>
      </w:numPr>
    </w:pPr>
  </w:style>
  <w:style w:type="paragraph" w:styleId="Oznaenseznam2">
    <w:name w:val="List Bullet 2"/>
    <w:basedOn w:val="Text2"/>
    <w:uiPriority w:val="99"/>
    <w:pPr>
      <w:numPr>
        <w:numId w:val="5"/>
      </w:numPr>
      <w:tabs>
        <w:tab w:val="clear" w:pos="2302"/>
      </w:tabs>
    </w:pPr>
  </w:style>
  <w:style w:type="paragraph" w:styleId="Oznaenseznam3">
    <w:name w:val="List Bullet 3"/>
    <w:basedOn w:val="Text3"/>
    <w:uiPriority w:val="99"/>
    <w:pPr>
      <w:numPr>
        <w:numId w:val="6"/>
      </w:numPr>
      <w:tabs>
        <w:tab w:val="clear" w:pos="2302"/>
      </w:tabs>
    </w:pPr>
  </w:style>
  <w:style w:type="paragraph" w:styleId="Oznaenseznam4">
    <w:name w:val="List Bullet 4"/>
    <w:basedOn w:val="Text4"/>
    <w:uiPriority w:val="99"/>
    <w:pPr>
      <w:numPr>
        <w:numId w:val="7"/>
      </w:numPr>
      <w:tabs>
        <w:tab w:val="clear" w:pos="2302"/>
      </w:tabs>
    </w:pPr>
  </w:style>
  <w:style w:type="paragraph" w:styleId="Oznaenseznam5">
    <w:name w:val="List Bullet 5"/>
    <w:basedOn w:val="Navaden"/>
    <w:autoRedefine/>
    <w:uiPriority w:val="99"/>
    <w:pPr>
      <w:numPr>
        <w:numId w:val="1"/>
      </w:numPr>
    </w:pPr>
  </w:style>
  <w:style w:type="paragraph" w:styleId="Seznam-nadaljevanje">
    <w:name w:val="List Continue"/>
    <w:basedOn w:val="Navaden"/>
    <w:uiPriority w:val="99"/>
    <w:pPr>
      <w:ind w:left="283"/>
    </w:pPr>
  </w:style>
  <w:style w:type="paragraph" w:styleId="Seznam-nadaljevanje2">
    <w:name w:val="List Continue 2"/>
    <w:basedOn w:val="Navaden"/>
    <w:uiPriority w:val="99"/>
    <w:pPr>
      <w:ind w:left="566"/>
    </w:pPr>
  </w:style>
  <w:style w:type="paragraph" w:styleId="Seznam-nadaljevanje3">
    <w:name w:val="List Continue 3"/>
    <w:basedOn w:val="Navaden"/>
    <w:uiPriority w:val="99"/>
    <w:pPr>
      <w:ind w:left="849"/>
    </w:pPr>
  </w:style>
  <w:style w:type="paragraph" w:styleId="Seznam-nadaljevanje4">
    <w:name w:val="List Continue 4"/>
    <w:basedOn w:val="Navaden"/>
    <w:uiPriority w:val="99"/>
    <w:pPr>
      <w:ind w:left="1132"/>
    </w:pPr>
  </w:style>
  <w:style w:type="paragraph" w:styleId="Seznam-nadaljevanje5">
    <w:name w:val="List Continue 5"/>
    <w:basedOn w:val="Navaden"/>
    <w:uiPriority w:val="99"/>
    <w:pPr>
      <w:ind w:left="1415"/>
    </w:pPr>
  </w:style>
  <w:style w:type="paragraph" w:styleId="Otevilenseznam">
    <w:name w:val="List Number"/>
    <w:basedOn w:val="Navaden"/>
    <w:uiPriority w:val="99"/>
    <w:pPr>
      <w:numPr>
        <w:numId w:val="13"/>
      </w:numPr>
    </w:pPr>
  </w:style>
  <w:style w:type="paragraph" w:styleId="Otevilenseznam2">
    <w:name w:val="List Number 2"/>
    <w:basedOn w:val="Text2"/>
    <w:uiPriority w:val="99"/>
    <w:pPr>
      <w:numPr>
        <w:numId w:val="15"/>
      </w:numPr>
      <w:tabs>
        <w:tab w:val="clear" w:pos="2302"/>
      </w:tabs>
    </w:pPr>
  </w:style>
  <w:style w:type="paragraph" w:styleId="Otevilenseznam3">
    <w:name w:val="List Number 3"/>
    <w:basedOn w:val="Text3"/>
    <w:uiPriority w:val="99"/>
    <w:pPr>
      <w:numPr>
        <w:numId w:val="16"/>
      </w:numPr>
      <w:tabs>
        <w:tab w:val="clear" w:pos="2302"/>
      </w:tabs>
    </w:pPr>
  </w:style>
  <w:style w:type="paragraph" w:styleId="Otevilenseznam4">
    <w:name w:val="List Number 4"/>
    <w:basedOn w:val="Text4"/>
    <w:uiPriority w:val="99"/>
    <w:pPr>
      <w:numPr>
        <w:numId w:val="17"/>
      </w:numPr>
      <w:tabs>
        <w:tab w:val="clear" w:pos="2302"/>
      </w:tabs>
    </w:pPr>
  </w:style>
  <w:style w:type="paragraph" w:styleId="Otevilenseznam5">
    <w:name w:val="List Number 5"/>
    <w:basedOn w:val="Navaden"/>
    <w:uiPriority w:val="99"/>
    <w:pPr>
      <w:numPr>
        <w:numId w:val="2"/>
      </w:numPr>
    </w:pPr>
  </w:style>
  <w:style w:type="paragraph" w:styleId="Makrobesedilo">
    <w:name w:val="macro"/>
    <w:link w:val="MakrobesediloZnak1"/>
    <w:uiPriority w:val="99"/>
    <w:semiHidden/>
    <w:pPr>
      <w:tabs>
        <w:tab w:val="left" w:pos="480"/>
        <w:tab w:val="left" w:pos="960"/>
        <w:tab w:val="left" w:pos="1440"/>
        <w:tab w:val="left" w:pos="1920"/>
        <w:tab w:val="left" w:pos="2400"/>
        <w:tab w:val="left" w:pos="2880"/>
        <w:tab w:val="left" w:pos="3360"/>
        <w:tab w:val="left" w:pos="3840"/>
        <w:tab w:val="left" w:pos="4320"/>
      </w:tabs>
      <w:spacing w:after="240"/>
      <w:jc w:val="both"/>
    </w:pPr>
    <w:rPr>
      <w:rFonts w:ascii="Courier New" w:hAnsi="Courier New"/>
      <w:snapToGrid w:val="0"/>
      <w:lang w:val="en-GB"/>
    </w:rPr>
  </w:style>
  <w:style w:type="character" w:customStyle="1" w:styleId="MakrobesediloZnak1">
    <w:name w:val="Makro besedilo Znak1"/>
    <w:link w:val="Makrobesedilo"/>
    <w:uiPriority w:val="99"/>
    <w:semiHidden/>
    <w:rPr>
      <w:rFonts w:ascii="Courier New" w:hAnsi="Courier New" w:cs="Courier New"/>
      <w:snapToGrid w:val="0"/>
      <w:lang w:val="en-GB"/>
    </w:rPr>
  </w:style>
  <w:style w:type="paragraph" w:styleId="Glavasporoila">
    <w:name w:val="Message Header"/>
    <w:basedOn w:val="Navaden"/>
    <w:link w:val="GlavasporoilaZnak1"/>
    <w:uiPriority w:val="99"/>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rPr>
  </w:style>
  <w:style w:type="character" w:customStyle="1" w:styleId="GlavasporoilaZnak1">
    <w:name w:val="Glava sporočila Znak1"/>
    <w:link w:val="Glavasporoila"/>
    <w:uiPriority w:val="99"/>
    <w:semiHidden/>
    <w:rPr>
      <w:rFonts w:ascii="Calibri Light" w:eastAsia="SimSun" w:hAnsi="Calibri Light" w:cs="Times New Roman"/>
      <w:snapToGrid w:val="0"/>
      <w:sz w:val="24"/>
      <w:szCs w:val="24"/>
      <w:shd w:val="pct20" w:color="auto" w:fill="auto"/>
      <w:lang w:val="en-GB"/>
    </w:rPr>
  </w:style>
  <w:style w:type="paragraph" w:styleId="Navaden-zamik">
    <w:name w:val="Normal Indent"/>
    <w:basedOn w:val="Navaden"/>
    <w:uiPriority w:val="99"/>
    <w:pPr>
      <w:ind w:left="720"/>
    </w:pPr>
  </w:style>
  <w:style w:type="paragraph" w:styleId="Opomba-naslov">
    <w:name w:val="Note Heading"/>
    <w:basedOn w:val="Navaden"/>
    <w:next w:val="Navaden"/>
    <w:link w:val="Opomba-naslovZnak1"/>
    <w:uiPriority w:val="99"/>
  </w:style>
  <w:style w:type="character" w:customStyle="1" w:styleId="Opomba-naslovZnak1">
    <w:name w:val="Opomba - naslov Znak1"/>
    <w:link w:val="Opomba-naslov"/>
    <w:uiPriority w:val="99"/>
    <w:semiHidden/>
    <w:rPr>
      <w:rFonts w:ascii="Times New Roman" w:hAnsi="Times New Roman"/>
      <w:snapToGrid w:val="0"/>
      <w:sz w:val="24"/>
      <w:lang w:val="en-GB"/>
    </w:rPr>
  </w:style>
  <w:style w:type="paragraph" w:customStyle="1" w:styleId="NoteHead">
    <w:name w:val="NoteHead"/>
    <w:basedOn w:val="Navaden"/>
    <w:next w:val="Subject"/>
    <w:pPr>
      <w:spacing w:before="720" w:after="720"/>
      <w:jc w:val="center"/>
    </w:pPr>
    <w:rPr>
      <w:b/>
      <w:smallCaps/>
    </w:rPr>
  </w:style>
  <w:style w:type="paragraph" w:customStyle="1" w:styleId="Subject">
    <w:name w:val="Subject"/>
    <w:basedOn w:val="Navaden"/>
    <w:next w:val="Navaden"/>
    <w:pPr>
      <w:spacing w:after="480"/>
      <w:ind w:left="1531" w:hanging="1531"/>
      <w:jc w:val="left"/>
    </w:pPr>
    <w:rPr>
      <w:b/>
    </w:rPr>
  </w:style>
  <w:style w:type="paragraph" w:customStyle="1" w:styleId="NoteList">
    <w:name w:val="NoteList"/>
    <w:basedOn w:val="Navaden"/>
    <w:next w:val="Subject"/>
    <w:pPr>
      <w:tabs>
        <w:tab w:val="left" w:pos="5823"/>
      </w:tabs>
      <w:spacing w:before="720" w:after="720"/>
      <w:ind w:left="5104" w:hanging="3119"/>
      <w:jc w:val="left"/>
    </w:pPr>
    <w:rPr>
      <w:b/>
      <w:smallCaps/>
    </w:rPr>
  </w:style>
  <w:style w:type="paragraph" w:customStyle="1" w:styleId="NumPar1">
    <w:name w:val="NumPar 1"/>
    <w:basedOn w:val="Naslov1"/>
    <w:next w:val="Text1"/>
    <w:pPr>
      <w:keepNext w:val="0"/>
      <w:spacing w:before="0"/>
      <w:outlineLvl w:val="9"/>
    </w:pPr>
    <w:rPr>
      <w:b w:val="0"/>
      <w:smallCaps w:val="0"/>
    </w:rPr>
  </w:style>
  <w:style w:type="paragraph" w:customStyle="1" w:styleId="NumPar2">
    <w:name w:val="NumPar 2"/>
    <w:basedOn w:val="Naslov2"/>
    <w:next w:val="Text2"/>
    <w:pPr>
      <w:keepNext w:val="0"/>
      <w:outlineLvl w:val="9"/>
    </w:pPr>
    <w:rPr>
      <w:b w:val="0"/>
    </w:rPr>
  </w:style>
  <w:style w:type="paragraph" w:customStyle="1" w:styleId="NumPar3">
    <w:name w:val="NumPar 3"/>
    <w:basedOn w:val="Naslov3"/>
    <w:next w:val="Text3"/>
    <w:pPr>
      <w:keepNext w:val="0"/>
      <w:outlineLvl w:val="9"/>
    </w:pPr>
    <w:rPr>
      <w:i/>
    </w:rPr>
  </w:style>
  <w:style w:type="paragraph" w:customStyle="1" w:styleId="NumPar4">
    <w:name w:val="NumPar 4"/>
    <w:basedOn w:val="Naslov4"/>
    <w:next w:val="Text4"/>
    <w:pPr>
      <w:keepNext w:val="0"/>
      <w:outlineLvl w:val="9"/>
    </w:pPr>
  </w:style>
  <w:style w:type="paragraph" w:customStyle="1" w:styleId="PartTitle">
    <w:name w:val="PartTitle"/>
    <w:basedOn w:val="Navaden"/>
    <w:next w:val="ChapterTitle"/>
    <w:pPr>
      <w:keepNext/>
      <w:pageBreakBefore/>
      <w:spacing w:after="480"/>
      <w:jc w:val="center"/>
    </w:pPr>
    <w:rPr>
      <w:b/>
      <w:sz w:val="36"/>
    </w:rPr>
  </w:style>
  <w:style w:type="paragraph" w:styleId="Golobesedilo">
    <w:name w:val="Plain Text"/>
    <w:basedOn w:val="Navaden"/>
    <w:link w:val="GolobesediloZnak1"/>
    <w:uiPriority w:val="99"/>
    <w:rPr>
      <w:rFonts w:ascii="Courier New" w:hAnsi="Courier New"/>
      <w:sz w:val="20"/>
    </w:rPr>
  </w:style>
  <w:style w:type="character" w:customStyle="1" w:styleId="GolobesediloZnak1">
    <w:name w:val="Golo besedilo Znak1"/>
    <w:link w:val="Golobesedilo"/>
    <w:uiPriority w:val="99"/>
    <w:semiHidden/>
    <w:rPr>
      <w:rFonts w:ascii="Courier New" w:hAnsi="Courier New" w:cs="Courier New"/>
      <w:snapToGrid w:val="0"/>
      <w:lang w:val="en-GB"/>
    </w:rPr>
  </w:style>
  <w:style w:type="paragraph" w:styleId="Uvodnipozdrav">
    <w:name w:val="Salutation"/>
    <w:basedOn w:val="Navaden"/>
    <w:next w:val="Navaden"/>
    <w:link w:val="UvodnipozdravZnak1"/>
    <w:uiPriority w:val="99"/>
  </w:style>
  <w:style w:type="character" w:customStyle="1" w:styleId="UvodnipozdravZnak1">
    <w:name w:val="Uvodni pozdrav Znak1"/>
    <w:link w:val="Uvodnipozdrav"/>
    <w:uiPriority w:val="99"/>
    <w:semiHidden/>
    <w:rPr>
      <w:rFonts w:ascii="Times New Roman" w:hAnsi="Times New Roman"/>
      <w:snapToGrid w:val="0"/>
      <w:sz w:val="24"/>
      <w:lang w:val="en-GB"/>
    </w:rPr>
  </w:style>
  <w:style w:type="paragraph" w:styleId="Podpis">
    <w:name w:val="Signature"/>
    <w:basedOn w:val="Navaden"/>
    <w:next w:val="Enclosures"/>
    <w:link w:val="PodpisZnak1"/>
    <w:uiPriority w:val="99"/>
    <w:pPr>
      <w:tabs>
        <w:tab w:val="left" w:pos="5103"/>
      </w:tabs>
      <w:spacing w:before="1200" w:after="0"/>
      <w:ind w:left="5103"/>
      <w:jc w:val="center"/>
    </w:pPr>
  </w:style>
  <w:style w:type="character" w:customStyle="1" w:styleId="PodpisZnak1">
    <w:name w:val="Podpis Znak1"/>
    <w:link w:val="Podpis"/>
    <w:uiPriority w:val="99"/>
    <w:semiHidden/>
    <w:rPr>
      <w:rFonts w:ascii="Times New Roman" w:hAnsi="Times New Roman"/>
      <w:snapToGrid w:val="0"/>
      <w:sz w:val="24"/>
      <w:lang w:val="en-GB"/>
    </w:rPr>
  </w:style>
  <w:style w:type="paragraph" w:styleId="Podnaslov">
    <w:name w:val="Subtitle"/>
    <w:basedOn w:val="Navaden"/>
    <w:link w:val="PodnaslovZnak1"/>
    <w:uiPriority w:val="11"/>
    <w:qFormat/>
    <w:pPr>
      <w:spacing w:after="60"/>
      <w:jc w:val="center"/>
      <w:outlineLvl w:val="1"/>
    </w:pPr>
    <w:rPr>
      <w:rFonts w:ascii="Arial" w:hAnsi="Arial"/>
    </w:rPr>
  </w:style>
  <w:style w:type="character" w:customStyle="1" w:styleId="PodnaslovZnak1">
    <w:name w:val="Podnaslov Znak1"/>
    <w:link w:val="Podnaslov"/>
    <w:uiPriority w:val="11"/>
    <w:rPr>
      <w:rFonts w:ascii="Calibri Light" w:eastAsia="SimSun" w:hAnsi="Calibri Light" w:cs="Times New Roman"/>
      <w:snapToGrid w:val="0"/>
      <w:sz w:val="24"/>
      <w:szCs w:val="24"/>
      <w:lang w:val="en-GB"/>
    </w:rPr>
  </w:style>
  <w:style w:type="paragraph" w:customStyle="1" w:styleId="SubTitle1">
    <w:name w:val="SubTitle 1"/>
    <w:basedOn w:val="Navaden"/>
    <w:next w:val="SubTitle2"/>
    <w:pPr>
      <w:jc w:val="center"/>
    </w:pPr>
    <w:rPr>
      <w:b/>
      <w:sz w:val="40"/>
    </w:rPr>
  </w:style>
  <w:style w:type="paragraph" w:customStyle="1" w:styleId="SubTitle2">
    <w:name w:val="SubTitle 2"/>
    <w:basedOn w:val="Navaden"/>
    <w:pPr>
      <w:jc w:val="center"/>
    </w:pPr>
    <w:rPr>
      <w:b/>
      <w:sz w:val="32"/>
    </w:rPr>
  </w:style>
  <w:style w:type="paragraph" w:styleId="Kazalovirov">
    <w:name w:val="table of authorities"/>
    <w:basedOn w:val="Navaden"/>
    <w:next w:val="Navaden"/>
    <w:uiPriority w:val="99"/>
    <w:semiHidden/>
    <w:pPr>
      <w:ind w:left="240" w:hanging="240"/>
    </w:pPr>
  </w:style>
  <w:style w:type="paragraph" w:styleId="Kazaloslik">
    <w:name w:val="table of figures"/>
    <w:basedOn w:val="Navaden"/>
    <w:next w:val="Navaden"/>
    <w:uiPriority w:val="99"/>
    <w:pPr>
      <w:ind w:left="480" w:hanging="480"/>
    </w:pPr>
  </w:style>
  <w:style w:type="paragraph" w:styleId="Naslov">
    <w:name w:val="Title"/>
    <w:basedOn w:val="Navaden"/>
    <w:next w:val="SubTitle1"/>
    <w:link w:val="NaslovZnak1"/>
    <w:uiPriority w:val="10"/>
    <w:qFormat/>
    <w:pPr>
      <w:spacing w:after="480"/>
      <w:jc w:val="center"/>
    </w:pPr>
    <w:rPr>
      <w:b/>
      <w:kern w:val="28"/>
      <w:sz w:val="48"/>
    </w:rPr>
  </w:style>
  <w:style w:type="character" w:customStyle="1" w:styleId="NaslovZnak1">
    <w:name w:val="Naslov Znak1"/>
    <w:link w:val="Naslov"/>
    <w:uiPriority w:val="10"/>
    <w:locked/>
    <w:rPr>
      <w:b/>
      <w:kern w:val="28"/>
      <w:sz w:val="48"/>
      <w:lang w:val="x-none"/>
    </w:rPr>
  </w:style>
  <w:style w:type="paragraph" w:styleId="Kazalovirov-naslov">
    <w:name w:val="toa heading"/>
    <w:basedOn w:val="Navaden"/>
    <w:next w:val="Navaden"/>
    <w:uiPriority w:val="99"/>
    <w:semiHidden/>
    <w:rPr>
      <w:rFonts w:ascii="Arial" w:hAnsi="Arial"/>
      <w:b/>
    </w:rPr>
  </w:style>
  <w:style w:type="paragraph" w:styleId="Kazalovsebine1">
    <w:name w:val="toc 1"/>
    <w:basedOn w:val="Navaden"/>
    <w:next w:val="Navaden"/>
    <w:uiPriority w:val="39"/>
    <w:qFormat/>
    <w:pPr>
      <w:tabs>
        <w:tab w:val="right" w:leader="dot" w:pos="10206"/>
      </w:tabs>
      <w:ind w:left="482" w:right="720" w:hanging="482"/>
    </w:pPr>
    <w:rPr>
      <w:caps/>
    </w:rPr>
  </w:style>
  <w:style w:type="paragraph" w:styleId="Kazalovsebine2">
    <w:name w:val="toc 2"/>
    <w:basedOn w:val="Navaden"/>
    <w:next w:val="Navaden"/>
    <w:uiPriority w:val="39"/>
    <w:qFormat/>
    <w:pPr>
      <w:tabs>
        <w:tab w:val="right" w:leader="dot" w:pos="10206"/>
      </w:tabs>
      <w:spacing w:before="60" w:after="60"/>
      <w:ind w:left="595" w:right="720" w:hanging="595"/>
    </w:pPr>
  </w:style>
  <w:style w:type="paragraph" w:styleId="Kazalovsebine3">
    <w:name w:val="toc 3"/>
    <w:basedOn w:val="Navaden"/>
    <w:next w:val="Navaden"/>
    <w:uiPriority w:val="39"/>
    <w:qFormat/>
    <w:pPr>
      <w:tabs>
        <w:tab w:val="right" w:leader="dot" w:pos="10206"/>
      </w:tabs>
      <w:spacing w:before="60" w:after="60"/>
      <w:ind w:left="839" w:right="720" w:hanging="839"/>
    </w:pPr>
  </w:style>
  <w:style w:type="paragraph" w:styleId="Kazalovsebine4">
    <w:name w:val="toc 4"/>
    <w:basedOn w:val="Navaden"/>
    <w:next w:val="Navaden"/>
    <w:uiPriority w:val="39"/>
    <w:pPr>
      <w:tabs>
        <w:tab w:val="right" w:leader="dot" w:pos="8641"/>
      </w:tabs>
      <w:spacing w:before="60" w:after="60"/>
      <w:ind w:left="2880" w:right="720" w:hanging="964"/>
    </w:pPr>
  </w:style>
  <w:style w:type="paragraph" w:styleId="Kazalovsebine5">
    <w:name w:val="toc 5"/>
    <w:basedOn w:val="Navaden"/>
    <w:next w:val="Navaden"/>
    <w:uiPriority w:val="39"/>
    <w:pPr>
      <w:tabs>
        <w:tab w:val="right" w:leader="dot" w:pos="8641"/>
      </w:tabs>
      <w:spacing w:before="240"/>
      <w:ind w:right="720"/>
    </w:pPr>
    <w:rPr>
      <w:caps/>
    </w:rPr>
  </w:style>
  <w:style w:type="paragraph" w:styleId="Kazalovsebine6">
    <w:name w:val="toc 6"/>
    <w:basedOn w:val="Navaden"/>
    <w:next w:val="Navaden"/>
    <w:autoRedefine/>
    <w:uiPriority w:val="39"/>
    <w:pPr>
      <w:ind w:left="1200"/>
    </w:pPr>
  </w:style>
  <w:style w:type="paragraph" w:styleId="Kazalovsebine7">
    <w:name w:val="toc 7"/>
    <w:basedOn w:val="Navaden"/>
    <w:next w:val="Navaden"/>
    <w:autoRedefine/>
    <w:uiPriority w:val="39"/>
    <w:pPr>
      <w:ind w:left="1440"/>
    </w:pPr>
  </w:style>
  <w:style w:type="paragraph" w:styleId="Kazalovsebine8">
    <w:name w:val="toc 8"/>
    <w:basedOn w:val="Navaden"/>
    <w:next w:val="Navaden"/>
    <w:autoRedefine/>
    <w:uiPriority w:val="39"/>
    <w:pPr>
      <w:ind w:left="1680"/>
    </w:pPr>
  </w:style>
  <w:style w:type="paragraph" w:styleId="Kazalovsebine9">
    <w:name w:val="toc 9"/>
    <w:basedOn w:val="Navaden"/>
    <w:next w:val="Navaden"/>
    <w:autoRedefine/>
    <w:uiPriority w:val="39"/>
    <w:pPr>
      <w:ind w:left="1920"/>
    </w:pPr>
  </w:style>
  <w:style w:type="paragraph" w:customStyle="1" w:styleId="YReferences">
    <w:name w:val="YReferences"/>
    <w:basedOn w:val="Navaden"/>
    <w:next w:val="Navaden"/>
    <w:pPr>
      <w:spacing w:after="480"/>
      <w:ind w:left="1531" w:hanging="1531"/>
    </w:pPr>
  </w:style>
  <w:style w:type="paragraph" w:customStyle="1" w:styleId="ListBullet1">
    <w:name w:val="List Bullet 1"/>
    <w:basedOn w:val="Text1"/>
    <w:pPr>
      <w:numPr>
        <w:numId w:val="4"/>
      </w:numPr>
    </w:pPr>
  </w:style>
  <w:style w:type="paragraph" w:customStyle="1" w:styleId="ListDash">
    <w:name w:val="List Dash"/>
    <w:basedOn w:val="Navaden"/>
    <w:pPr>
      <w:numPr>
        <w:numId w:val="8"/>
      </w:numPr>
    </w:pPr>
  </w:style>
  <w:style w:type="paragraph" w:customStyle="1" w:styleId="ListDash1">
    <w:name w:val="List Dash 1"/>
    <w:basedOn w:val="Text1"/>
    <w:pPr>
      <w:numPr>
        <w:numId w:val="9"/>
      </w:numPr>
    </w:pPr>
  </w:style>
  <w:style w:type="paragraph" w:customStyle="1" w:styleId="ListDash2">
    <w:name w:val="List Dash 2"/>
    <w:basedOn w:val="Text2"/>
    <w:pPr>
      <w:numPr>
        <w:numId w:val="10"/>
      </w:numPr>
      <w:tabs>
        <w:tab w:val="clear" w:pos="2302"/>
      </w:tabs>
    </w:pPr>
  </w:style>
  <w:style w:type="paragraph" w:customStyle="1" w:styleId="ListDash3">
    <w:name w:val="List Dash 3"/>
    <w:basedOn w:val="Text3"/>
    <w:pPr>
      <w:numPr>
        <w:numId w:val="11"/>
      </w:numPr>
      <w:tabs>
        <w:tab w:val="clear" w:pos="2302"/>
      </w:tabs>
    </w:pPr>
  </w:style>
  <w:style w:type="paragraph" w:customStyle="1" w:styleId="ListDash4">
    <w:name w:val="List Dash 4"/>
    <w:basedOn w:val="Text4"/>
    <w:pPr>
      <w:numPr>
        <w:numId w:val="12"/>
      </w:numPr>
      <w:tabs>
        <w:tab w:val="clear" w:pos="2302"/>
      </w:tabs>
    </w:pPr>
  </w:style>
  <w:style w:type="paragraph" w:customStyle="1" w:styleId="ListNumberLevel2">
    <w:name w:val="List Number (Level 2)"/>
    <w:basedOn w:val="Navaden"/>
    <w:pPr>
      <w:numPr>
        <w:ilvl w:val="1"/>
        <w:numId w:val="13"/>
      </w:numPr>
    </w:pPr>
  </w:style>
  <w:style w:type="paragraph" w:customStyle="1" w:styleId="ListNumberLevel3">
    <w:name w:val="List Number (Level 3)"/>
    <w:basedOn w:val="Navaden"/>
    <w:pPr>
      <w:numPr>
        <w:ilvl w:val="2"/>
        <w:numId w:val="13"/>
      </w:numPr>
    </w:pPr>
  </w:style>
  <w:style w:type="paragraph" w:customStyle="1" w:styleId="ListNumberLevel4">
    <w:name w:val="List Number (Level 4)"/>
    <w:basedOn w:val="Navaden"/>
    <w:pPr>
      <w:numPr>
        <w:ilvl w:val="3"/>
        <w:numId w:val="13"/>
      </w:numPr>
    </w:pPr>
  </w:style>
  <w:style w:type="paragraph" w:customStyle="1" w:styleId="ListNumber1">
    <w:name w:val="List Number 1"/>
    <w:basedOn w:val="Text1"/>
    <w:pPr>
      <w:numPr>
        <w:numId w:val="14"/>
      </w:numPr>
    </w:pPr>
  </w:style>
  <w:style w:type="paragraph" w:customStyle="1" w:styleId="ListNumber1Level2">
    <w:name w:val="List Number 1 (Level 2)"/>
    <w:basedOn w:val="Text1"/>
    <w:pPr>
      <w:numPr>
        <w:ilvl w:val="1"/>
        <w:numId w:val="14"/>
      </w:numPr>
    </w:pPr>
  </w:style>
  <w:style w:type="paragraph" w:customStyle="1" w:styleId="ListNumber1Level3">
    <w:name w:val="List Number 1 (Level 3)"/>
    <w:basedOn w:val="Text1"/>
    <w:pPr>
      <w:numPr>
        <w:ilvl w:val="2"/>
        <w:numId w:val="14"/>
      </w:numPr>
    </w:pPr>
  </w:style>
  <w:style w:type="paragraph" w:customStyle="1" w:styleId="ListNumber1Level4">
    <w:name w:val="List Number 1 (Level 4)"/>
    <w:basedOn w:val="Text1"/>
    <w:pPr>
      <w:numPr>
        <w:ilvl w:val="3"/>
        <w:numId w:val="14"/>
      </w:numPr>
    </w:pPr>
  </w:style>
  <w:style w:type="paragraph" w:customStyle="1" w:styleId="ListNumber2Level2">
    <w:name w:val="List Number 2 (Level 2)"/>
    <w:basedOn w:val="Text2"/>
    <w:pPr>
      <w:numPr>
        <w:ilvl w:val="1"/>
        <w:numId w:val="15"/>
      </w:numPr>
      <w:tabs>
        <w:tab w:val="clear" w:pos="2302"/>
      </w:tabs>
    </w:pPr>
  </w:style>
  <w:style w:type="paragraph" w:customStyle="1" w:styleId="ListNumber2Level3">
    <w:name w:val="List Number 2 (Level 3)"/>
    <w:basedOn w:val="Text2"/>
    <w:pPr>
      <w:numPr>
        <w:ilvl w:val="2"/>
        <w:numId w:val="15"/>
      </w:numPr>
      <w:tabs>
        <w:tab w:val="clear" w:pos="2302"/>
      </w:tabs>
    </w:pPr>
  </w:style>
  <w:style w:type="paragraph" w:customStyle="1" w:styleId="ListNumber2Level4">
    <w:name w:val="List Number 2 (Level 4)"/>
    <w:basedOn w:val="Text2"/>
    <w:pPr>
      <w:numPr>
        <w:ilvl w:val="3"/>
        <w:numId w:val="15"/>
      </w:numPr>
      <w:tabs>
        <w:tab w:val="clear" w:pos="2302"/>
      </w:tabs>
    </w:pPr>
  </w:style>
  <w:style w:type="paragraph" w:customStyle="1" w:styleId="ListNumber3Level2">
    <w:name w:val="List Number 3 (Level 2)"/>
    <w:basedOn w:val="Text3"/>
    <w:pPr>
      <w:numPr>
        <w:ilvl w:val="1"/>
        <w:numId w:val="16"/>
      </w:numPr>
      <w:tabs>
        <w:tab w:val="clear" w:pos="2302"/>
      </w:tabs>
    </w:pPr>
  </w:style>
  <w:style w:type="paragraph" w:customStyle="1" w:styleId="ListNumber3Level3">
    <w:name w:val="List Number 3 (Level 3)"/>
    <w:basedOn w:val="Text3"/>
    <w:pPr>
      <w:numPr>
        <w:ilvl w:val="2"/>
        <w:numId w:val="16"/>
      </w:numPr>
      <w:tabs>
        <w:tab w:val="clear" w:pos="2302"/>
      </w:tabs>
    </w:pPr>
  </w:style>
  <w:style w:type="paragraph" w:customStyle="1" w:styleId="ListNumber3Level4">
    <w:name w:val="List Number 3 (Level 4)"/>
    <w:basedOn w:val="Text3"/>
    <w:pPr>
      <w:numPr>
        <w:ilvl w:val="3"/>
        <w:numId w:val="16"/>
      </w:numPr>
      <w:tabs>
        <w:tab w:val="clear" w:pos="2302"/>
      </w:tabs>
    </w:pPr>
  </w:style>
  <w:style w:type="paragraph" w:customStyle="1" w:styleId="ListNumber4Level2">
    <w:name w:val="List Number 4 (Level 2)"/>
    <w:basedOn w:val="Text4"/>
    <w:pPr>
      <w:numPr>
        <w:ilvl w:val="1"/>
        <w:numId w:val="17"/>
      </w:numPr>
      <w:tabs>
        <w:tab w:val="clear" w:pos="2302"/>
      </w:tabs>
    </w:pPr>
  </w:style>
  <w:style w:type="paragraph" w:customStyle="1" w:styleId="ListNumber4Level3">
    <w:name w:val="List Number 4 (Level 3)"/>
    <w:basedOn w:val="Text4"/>
    <w:pPr>
      <w:numPr>
        <w:ilvl w:val="2"/>
        <w:numId w:val="17"/>
      </w:numPr>
      <w:tabs>
        <w:tab w:val="clear" w:pos="2302"/>
      </w:tabs>
    </w:pPr>
  </w:style>
  <w:style w:type="paragraph" w:customStyle="1" w:styleId="ListNumber4Level4">
    <w:name w:val="List Number 4 (Level 4)"/>
    <w:basedOn w:val="Text4"/>
    <w:pPr>
      <w:numPr>
        <w:ilvl w:val="3"/>
        <w:numId w:val="17"/>
      </w:numPr>
      <w:tabs>
        <w:tab w:val="clear" w:pos="2302"/>
      </w:tabs>
    </w:pPr>
  </w:style>
  <w:style w:type="paragraph" w:styleId="NaslovTOC">
    <w:name w:val="TOC Heading"/>
    <w:basedOn w:val="Navaden"/>
    <w:next w:val="Navaden"/>
    <w:uiPriority w:val="39"/>
    <w:qFormat/>
    <w:pPr>
      <w:keepNext/>
      <w:spacing w:before="240"/>
      <w:jc w:val="center"/>
    </w:pPr>
    <w:rPr>
      <w:b/>
    </w:rPr>
  </w:style>
  <w:style w:type="paragraph" w:customStyle="1" w:styleId="Contact">
    <w:name w:val="Contact"/>
    <w:basedOn w:val="Navaden"/>
    <w:next w:val="Navaden"/>
    <w:uiPriority w:val="99"/>
    <w:pPr>
      <w:spacing w:after="480"/>
      <w:ind w:left="567" w:hanging="567"/>
      <w:jc w:val="left"/>
    </w:pPr>
  </w:style>
  <w:style w:type="paragraph" w:customStyle="1" w:styleId="Designator">
    <w:name w:val="Designator"/>
    <w:basedOn w:val="Navaden"/>
    <w:pPr>
      <w:spacing w:after="0"/>
      <w:jc w:val="center"/>
    </w:pPr>
    <w:rPr>
      <w:b/>
      <w:caps/>
      <w:sz w:val="32"/>
    </w:rPr>
  </w:style>
  <w:style w:type="paragraph" w:customStyle="1" w:styleId="Releasable">
    <w:name w:val="Releasable"/>
    <w:basedOn w:val="Navaden"/>
    <w:qFormat/>
    <w:pPr>
      <w:spacing w:after="0"/>
      <w:jc w:val="center"/>
    </w:pPr>
    <w:rPr>
      <w:b/>
      <w:caps/>
      <w:sz w:val="32"/>
      <w:lang w:val="de-DE"/>
    </w:rPr>
  </w:style>
  <w:style w:type="paragraph" w:customStyle="1" w:styleId="RUE">
    <w:name w:val="RUE"/>
    <w:basedOn w:val="Navaden"/>
    <w:pPr>
      <w:spacing w:after="0"/>
      <w:jc w:val="center"/>
    </w:pPr>
    <w:rPr>
      <w:b/>
      <w:caps/>
      <w:sz w:val="32"/>
      <w:bdr w:val="single" w:sz="18" w:space="0" w:color="auto"/>
      <w:lang w:val="de-DE"/>
    </w:rPr>
  </w:style>
  <w:style w:type="paragraph" w:customStyle="1" w:styleId="ConfidentialUE">
    <w:name w:val="Confidential UE"/>
    <w:basedOn w:val="Navaden"/>
    <w:pPr>
      <w:spacing w:after="0"/>
      <w:jc w:val="center"/>
    </w:pPr>
    <w:rPr>
      <w:b/>
      <w:caps/>
      <w:sz w:val="32"/>
      <w:bdr w:val="single" w:sz="18" w:space="0" w:color="auto"/>
    </w:rPr>
  </w:style>
  <w:style w:type="paragraph" w:customStyle="1" w:styleId="SecretUE">
    <w:name w:val="Secret UE"/>
    <w:basedOn w:val="Navaden"/>
    <w:pPr>
      <w:spacing w:after="0"/>
      <w:jc w:val="center"/>
    </w:pPr>
    <w:rPr>
      <w:b/>
      <w:caps/>
      <w:color w:val="FF0000"/>
      <w:sz w:val="32"/>
      <w:bdr w:val="single" w:sz="18" w:space="0" w:color="FF0000"/>
    </w:rPr>
  </w:style>
  <w:style w:type="paragraph" w:customStyle="1" w:styleId="TresSecretUE">
    <w:name w:val="Tres Secret UE"/>
    <w:basedOn w:val="Navaden"/>
    <w:pPr>
      <w:spacing w:after="0"/>
      <w:jc w:val="center"/>
    </w:pPr>
    <w:rPr>
      <w:b/>
      <w:caps/>
      <w:color w:val="FF0000"/>
      <w:sz w:val="32"/>
      <w:bdr w:val="single" w:sz="18" w:space="0" w:color="FF0000"/>
    </w:rPr>
  </w:style>
  <w:style w:type="paragraph" w:customStyle="1" w:styleId="ZCom">
    <w:name w:val="Z_Com"/>
    <w:basedOn w:val="Navaden"/>
    <w:next w:val="ZDGName"/>
    <w:uiPriority w:val="99"/>
    <w:pPr>
      <w:widowControl w:val="0"/>
      <w:autoSpaceDE w:val="0"/>
      <w:autoSpaceDN w:val="0"/>
      <w:spacing w:after="0"/>
      <w:ind w:right="85"/>
    </w:pPr>
    <w:rPr>
      <w:rFonts w:ascii="Arial" w:hAnsi="Arial" w:cs="Arial"/>
      <w:szCs w:val="24"/>
    </w:rPr>
  </w:style>
  <w:style w:type="paragraph" w:customStyle="1" w:styleId="ZDGName">
    <w:name w:val="Z_DGName"/>
    <w:basedOn w:val="Navaden"/>
    <w:uiPriority w:val="99"/>
    <w:pPr>
      <w:widowControl w:val="0"/>
      <w:autoSpaceDE w:val="0"/>
      <w:autoSpaceDN w:val="0"/>
      <w:spacing w:after="0"/>
      <w:ind w:right="85"/>
      <w:jc w:val="left"/>
    </w:pPr>
    <w:rPr>
      <w:rFonts w:ascii="Arial" w:hAnsi="Arial" w:cs="Arial"/>
      <w:sz w:val="16"/>
      <w:szCs w:val="16"/>
    </w:rPr>
  </w:style>
  <w:style w:type="character" w:styleId="Hiperpovezava">
    <w:name w:val="Hyperlink"/>
    <w:uiPriority w:val="99"/>
    <w:rPr>
      <w:color w:val="0000FF"/>
      <w:u w:val="single"/>
    </w:rPr>
  </w:style>
  <w:style w:type="paragraph" w:styleId="Besedilooblaka">
    <w:name w:val="Balloon Text"/>
    <w:basedOn w:val="Navaden"/>
    <w:link w:val="BesedilooblakaZnak1"/>
    <w:uiPriority w:val="99"/>
    <w:semiHidden/>
    <w:pPr>
      <w:spacing w:after="0"/>
    </w:pPr>
    <w:rPr>
      <w:sz w:val="16"/>
      <w:szCs w:val="16"/>
    </w:rPr>
  </w:style>
  <w:style w:type="character" w:customStyle="1" w:styleId="BesedilooblakaZnak1">
    <w:name w:val="Besedilo oblačka Znak1"/>
    <w:link w:val="Besedilooblaka"/>
    <w:uiPriority w:val="99"/>
    <w:semiHidden/>
    <w:locked/>
    <w:rPr>
      <w:rFonts w:ascii="Times New Roman" w:hAnsi="Times New Roman"/>
      <w:sz w:val="16"/>
      <w:lang w:val="x-none"/>
    </w:rPr>
  </w:style>
  <w:style w:type="paragraph" w:customStyle="1" w:styleId="FITTable">
    <w:name w:val="FIT Table"/>
    <w:basedOn w:val="Navaden"/>
    <w:pPr>
      <w:spacing w:before="60" w:after="60"/>
    </w:pPr>
    <w:rPr>
      <w:sz w:val="22"/>
    </w:rPr>
  </w:style>
  <w:style w:type="table" w:styleId="Tabelamrea">
    <w:name w:val="Table Grid"/>
    <w:basedOn w:val="Navadnatabela"/>
    <w:uiPriority w:val="39"/>
    <w:rPr>
      <w:snapToGrid w:val="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Guidelines">
    <w:name w:val="Guidelines"/>
    <w:basedOn w:val="Text2"/>
    <w:pPr>
      <w:pBdr>
        <w:top w:val="single" w:sz="4" w:space="1" w:color="auto"/>
        <w:left w:val="single" w:sz="4" w:space="4" w:color="auto"/>
        <w:bottom w:val="single" w:sz="4" w:space="1" w:color="auto"/>
        <w:right w:val="single" w:sz="4" w:space="4" w:color="auto"/>
      </w:pBdr>
      <w:ind w:left="0"/>
    </w:pPr>
    <w:rPr>
      <w:color w:val="4F81BD"/>
    </w:rPr>
  </w:style>
  <w:style w:type="character" w:customStyle="1" w:styleId="Text2Char">
    <w:name w:val="Text 2 Char"/>
    <w:locked/>
    <w:rPr>
      <w:sz w:val="24"/>
      <w:lang w:val="x-none"/>
    </w:rPr>
  </w:style>
  <w:style w:type="character" w:customStyle="1" w:styleId="GuidelinesChar">
    <w:name w:val="Guidelines Char"/>
    <w:locked/>
    <w:rPr>
      <w:color w:val="4F81BD"/>
      <w:sz w:val="24"/>
      <w:lang w:val="x-none"/>
    </w:rPr>
  </w:style>
  <w:style w:type="character" w:styleId="Sprotnaopomba-sklic">
    <w:name w:val="footnote reference"/>
    <w:uiPriority w:val="99"/>
    <w:semiHidden/>
    <w:rPr>
      <w:vertAlign w:val="superscript"/>
    </w:rPr>
  </w:style>
  <w:style w:type="table" w:customStyle="1" w:styleId="TableGrid1">
    <w:name w:val="Table Grid1"/>
    <w:basedOn w:val="Navadnatabela"/>
    <w:next w:val="Tabelamrea"/>
    <w:rPr>
      <w:snapToGrid w:val="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Odstavekseznama">
    <w:name w:val="List Paragraph"/>
    <w:basedOn w:val="Navaden"/>
    <w:uiPriority w:val="34"/>
    <w:qFormat/>
    <w:pPr>
      <w:ind w:left="720"/>
      <w:contextualSpacing/>
    </w:pPr>
  </w:style>
  <w:style w:type="character" w:customStyle="1" w:styleId="tw4winMark">
    <w:name w:val="tw4winMark"/>
    <w:uiPriority w:val="99"/>
    <w:rPr>
      <w:rFonts w:ascii="Courier New" w:hAnsi="Courier New"/>
      <w:vanish/>
      <w:color w:val="800080"/>
      <w:sz w:val="24"/>
      <w:vertAlign w:val="subscript"/>
    </w:rPr>
  </w:style>
  <w:style w:type="character" w:customStyle="1" w:styleId="hps">
    <w:name w:val="hps"/>
    <w:uiPriority w:val="99"/>
  </w:style>
  <w:style w:type="character" w:customStyle="1" w:styleId="shorttext">
    <w:name w:val="short_text"/>
    <w:uiPriority w:val="99"/>
  </w:style>
  <w:style w:type="character" w:customStyle="1" w:styleId="atn">
    <w:name w:val="atn"/>
    <w:uiPriority w:val="99"/>
  </w:style>
  <w:style w:type="character" w:customStyle="1" w:styleId="DeltaViewInsertion">
    <w:name w:val="DeltaView Insertion"/>
    <w:uiPriority w:val="99"/>
    <w:rPr>
      <w:b/>
      <w:i/>
      <w:spacing w:val="0"/>
    </w:rPr>
  </w:style>
  <w:style w:type="character" w:customStyle="1" w:styleId="tw4winError">
    <w:name w:val="tw4winError"/>
    <w:uiPriority w:val="99"/>
    <w:rPr>
      <w:rFonts w:ascii="Courier New" w:hAnsi="Courier New"/>
      <w:color w:val="00FF00"/>
      <w:sz w:val="40"/>
    </w:rPr>
  </w:style>
  <w:style w:type="character" w:customStyle="1" w:styleId="tw4winTerm">
    <w:name w:val="tw4winTerm"/>
    <w:uiPriority w:val="99"/>
    <w:rPr>
      <w:color w:val="0000FF"/>
    </w:rPr>
  </w:style>
  <w:style w:type="character" w:customStyle="1" w:styleId="tw4winPopup">
    <w:name w:val="tw4winPopup"/>
    <w:uiPriority w:val="99"/>
    <w:rPr>
      <w:rFonts w:ascii="Courier New" w:hAnsi="Courier New"/>
      <w:noProof/>
      <w:color w:val="008000"/>
    </w:rPr>
  </w:style>
  <w:style w:type="character" w:customStyle="1" w:styleId="tw4winJump">
    <w:name w:val="tw4winJump"/>
    <w:uiPriority w:val="99"/>
    <w:rPr>
      <w:rFonts w:ascii="Courier New" w:hAnsi="Courier New"/>
      <w:noProof/>
      <w:color w:val="008080"/>
    </w:rPr>
  </w:style>
  <w:style w:type="character" w:customStyle="1" w:styleId="tw4winExternal">
    <w:name w:val="tw4winExternal"/>
    <w:uiPriority w:val="99"/>
    <w:rPr>
      <w:rFonts w:ascii="Courier New" w:hAnsi="Courier New"/>
      <w:noProof/>
      <w:color w:val="808080"/>
    </w:rPr>
  </w:style>
  <w:style w:type="character" w:customStyle="1" w:styleId="tw4winInternal">
    <w:name w:val="tw4winInternal"/>
    <w:uiPriority w:val="99"/>
    <w:rPr>
      <w:rFonts w:ascii="Courier New" w:hAnsi="Courier New"/>
      <w:noProof/>
      <w:color w:val="FF0000"/>
    </w:rPr>
  </w:style>
  <w:style w:type="character" w:customStyle="1" w:styleId="DONOTTRANSLATE">
    <w:name w:val="DO_NOT_TRANSLATE"/>
    <w:uiPriority w:val="99"/>
    <w:rPr>
      <w:rFonts w:ascii="Courier New" w:hAnsi="Courier New"/>
      <w:noProof/>
      <w:color w:val="800000"/>
    </w:rPr>
  </w:style>
  <w:style w:type="numbering" w:customStyle="1" w:styleId="Headings">
    <w:name w:val="Headings"/>
    <w:pPr>
      <w:numPr>
        <w:numId w:val="18"/>
      </w:numPr>
    </w:pPr>
  </w:style>
  <w:style w:type="character" w:customStyle="1" w:styleId="Heading1Char">
    <w:name w:val="Heading 1 Char"/>
    <w:locked/>
    <w:rsid w:val="00F555D6"/>
    <w:rPr>
      <w:rFonts w:eastAsia="Times New Roman"/>
      <w:b/>
      <w:smallCaps/>
      <w:sz w:val="28"/>
      <w:lang w:val="fr-BE"/>
    </w:rPr>
  </w:style>
  <w:style w:type="character" w:customStyle="1" w:styleId="Heading2Char">
    <w:name w:val="Heading 2 Char"/>
    <w:locked/>
    <w:rsid w:val="00F555D6"/>
    <w:rPr>
      <w:rFonts w:eastAsia="Times New Roman"/>
      <w:b/>
      <w:sz w:val="24"/>
      <w:lang w:val="fr-BE"/>
    </w:rPr>
  </w:style>
  <w:style w:type="character" w:customStyle="1" w:styleId="Heading3Char">
    <w:name w:val="Heading 3 Char"/>
    <w:locked/>
    <w:rsid w:val="00F555D6"/>
    <w:rPr>
      <w:rFonts w:eastAsia="Times New Roman"/>
      <w:color w:val="000000"/>
      <w:sz w:val="24"/>
      <w:lang w:val="fr-BE"/>
    </w:rPr>
  </w:style>
  <w:style w:type="character" w:customStyle="1" w:styleId="Heading4Char">
    <w:name w:val="Heading 4 Char"/>
    <w:locked/>
    <w:rsid w:val="00F555D6"/>
    <w:rPr>
      <w:rFonts w:eastAsia="Times New Roman"/>
      <w:i/>
      <w:color w:val="000000"/>
      <w:sz w:val="24"/>
      <w:lang w:val="fr-BE"/>
    </w:rPr>
  </w:style>
  <w:style w:type="character" w:customStyle="1" w:styleId="Heading5Char">
    <w:name w:val="Heading 5 Char"/>
    <w:locked/>
    <w:rsid w:val="00F555D6"/>
    <w:rPr>
      <w:rFonts w:ascii="Arial" w:eastAsia="Times New Roman" w:hAnsi="Arial"/>
      <w:b/>
      <w:noProof/>
      <w:color w:val="000000"/>
      <w:sz w:val="22"/>
    </w:rPr>
  </w:style>
  <w:style w:type="character" w:customStyle="1" w:styleId="Heading6Char">
    <w:name w:val="Heading 6 Char"/>
    <w:locked/>
    <w:rsid w:val="00F555D6"/>
    <w:rPr>
      <w:rFonts w:ascii="Arial" w:eastAsia="Times New Roman" w:hAnsi="Arial"/>
      <w:noProof/>
      <w:color w:val="000000"/>
      <w:sz w:val="22"/>
    </w:rPr>
  </w:style>
  <w:style w:type="character" w:customStyle="1" w:styleId="Heading7Char">
    <w:name w:val="Heading 7 Char"/>
    <w:locked/>
    <w:rsid w:val="00F555D6"/>
    <w:rPr>
      <w:rFonts w:ascii="Arial" w:eastAsia="Times New Roman" w:hAnsi="Arial"/>
      <w:i/>
      <w:noProof/>
      <w:color w:val="000000"/>
      <w:sz w:val="22"/>
    </w:rPr>
  </w:style>
  <w:style w:type="character" w:customStyle="1" w:styleId="Heading8Char">
    <w:name w:val="Heading 8 Char"/>
    <w:locked/>
    <w:rsid w:val="00F555D6"/>
    <w:rPr>
      <w:rFonts w:ascii="Calibri" w:eastAsia="Times New Roman" w:hAnsi="Calibri"/>
      <w:b/>
      <w:noProof/>
      <w:color w:val="000000"/>
      <w:sz w:val="24"/>
    </w:rPr>
  </w:style>
  <w:style w:type="character" w:customStyle="1" w:styleId="BodyTextFirstIndentChar">
    <w:name w:val="Body Text First Indent Char"/>
    <w:locked/>
    <w:rsid w:val="00F555D6"/>
    <w:rPr>
      <w:rFonts w:eastAsia="Times New Roman" w:cs="Times New Roman"/>
      <w:sz w:val="20"/>
      <w:szCs w:val="20"/>
      <w:lang w:val="en-GB"/>
    </w:rPr>
  </w:style>
  <w:style w:type="character" w:customStyle="1" w:styleId="BodyTextIndentChar">
    <w:name w:val="Body Text Indent Char"/>
    <w:locked/>
    <w:rsid w:val="00F555D6"/>
    <w:rPr>
      <w:rFonts w:eastAsia="Times New Roman"/>
      <w:sz w:val="20"/>
      <w:lang w:val="en-GB"/>
    </w:rPr>
  </w:style>
  <w:style w:type="character" w:customStyle="1" w:styleId="BodyTextIndent2Char">
    <w:name w:val="Body Text Indent 2 Char"/>
    <w:locked/>
    <w:rsid w:val="00F555D6"/>
    <w:rPr>
      <w:rFonts w:eastAsia="Times New Roman"/>
      <w:sz w:val="20"/>
      <w:lang w:val="en-GB"/>
    </w:rPr>
  </w:style>
  <w:style w:type="character" w:customStyle="1" w:styleId="ClosingChar">
    <w:name w:val="Closing Char"/>
    <w:locked/>
    <w:rsid w:val="00F555D6"/>
    <w:rPr>
      <w:rFonts w:eastAsia="Times New Roman"/>
      <w:sz w:val="20"/>
      <w:lang w:val="en-GB"/>
    </w:rPr>
  </w:style>
  <w:style w:type="character" w:customStyle="1" w:styleId="CommentTextChar">
    <w:name w:val="Comment Text Char"/>
    <w:semiHidden/>
    <w:rsid w:val="00F555D6"/>
    <w:rPr>
      <w:rFonts w:ascii="Times New Roman" w:hAnsi="Times New Roman"/>
      <w:snapToGrid w:val="0"/>
    </w:rPr>
  </w:style>
  <w:style w:type="character" w:customStyle="1" w:styleId="EndnoteTextChar">
    <w:name w:val="Endnote Text Char"/>
    <w:semiHidden/>
    <w:rsid w:val="00F555D6"/>
    <w:rPr>
      <w:rFonts w:ascii="Times New Roman" w:hAnsi="Times New Roman"/>
      <w:snapToGrid w:val="0"/>
    </w:rPr>
  </w:style>
  <w:style w:type="character" w:customStyle="1" w:styleId="EndnoteTextChar1">
    <w:name w:val="Endnote Text Char1"/>
    <w:semiHidden/>
    <w:locked/>
    <w:rsid w:val="00F555D6"/>
    <w:rPr>
      <w:rFonts w:eastAsia="Times New Roman"/>
      <w:sz w:val="20"/>
      <w:lang w:val="en-GB"/>
    </w:rPr>
  </w:style>
  <w:style w:type="character" w:customStyle="1" w:styleId="FooterChar">
    <w:name w:val="Footer Char"/>
    <w:locked/>
    <w:rsid w:val="00F555D6"/>
    <w:rPr>
      <w:rFonts w:ascii="Arial" w:hAnsi="Arial"/>
      <w:sz w:val="20"/>
      <w:lang w:val="en-GB"/>
    </w:rPr>
  </w:style>
  <w:style w:type="character" w:customStyle="1" w:styleId="HeaderChar">
    <w:name w:val="Header Char"/>
    <w:semiHidden/>
    <w:rsid w:val="00F555D6"/>
    <w:rPr>
      <w:rFonts w:ascii="Times New Roman" w:hAnsi="Times New Roman"/>
      <w:snapToGrid w:val="0"/>
      <w:sz w:val="24"/>
      <w:szCs w:val="22"/>
    </w:rPr>
  </w:style>
  <w:style w:type="paragraph" w:customStyle="1" w:styleId="TOCHeading">
    <w:name w:val="TOC Heading"/>
    <w:basedOn w:val="Navaden"/>
    <w:next w:val="Navaden"/>
    <w:qFormat/>
    <w:rsid w:val="00F555D6"/>
    <w:pPr>
      <w:keepNext/>
      <w:spacing w:before="240"/>
      <w:jc w:val="center"/>
    </w:pPr>
    <w:rPr>
      <w:b/>
      <w:lang w:eastAsia="sl-SI"/>
    </w:rPr>
  </w:style>
  <w:style w:type="paragraph" w:customStyle="1" w:styleId="ListParagraph">
    <w:name w:val="List Paragraph"/>
    <w:basedOn w:val="Navaden"/>
    <w:qFormat/>
    <w:rsid w:val="00F555D6"/>
    <w:pPr>
      <w:ind w:left="720"/>
    </w:pPr>
    <w:rPr>
      <w:lang w:eastAsia="sl-SI"/>
    </w:rPr>
  </w:style>
  <w:style w:type="character" w:styleId="Pripombasklic">
    <w:name w:val="annotation reference"/>
    <w:semiHidden/>
    <w:rsid w:val="00F555D6"/>
    <w:rPr>
      <w:sz w:val="16"/>
    </w:rPr>
  </w:style>
  <w:style w:type="paragraph" w:styleId="Zadevapripombe">
    <w:name w:val="annotation subject"/>
    <w:basedOn w:val="Pripombabesedilo"/>
    <w:next w:val="Pripombabesedilo"/>
    <w:semiHidden/>
    <w:rsid w:val="00F555D6"/>
    <w:pPr>
      <w:spacing w:before="0" w:after="200" w:line="276" w:lineRule="auto"/>
      <w:jc w:val="left"/>
    </w:pPr>
    <w:rPr>
      <w:b/>
      <w:bCs/>
      <w:lang w:val="sl-SI" w:eastAsia="sl-SI"/>
    </w:rPr>
  </w:style>
  <w:style w:type="character" w:styleId="Poudarek">
    <w:name w:val="Emphasis"/>
    <w:qFormat/>
    <w:rsid w:val="00F555D6"/>
    <w:rPr>
      <w:rFonts w:cs="Times New Roman"/>
      <w:b/>
      <w:bCs/>
    </w:rPr>
  </w:style>
  <w:style w:type="character" w:styleId="SledenaHiperpovezava">
    <w:name w:val="FollowedHyperlink"/>
    <w:basedOn w:val="Privzetapisavaodstavka"/>
    <w:semiHidden/>
    <w:rsid w:val="00C21266"/>
    <w:rPr>
      <w:color w:val="800080"/>
      <w:u w:val="single"/>
    </w:rPr>
  </w:style>
  <w:style w:type="paragraph" w:customStyle="1" w:styleId="Navaden1">
    <w:name w:val="Navaden1"/>
    <w:basedOn w:val="Navaden"/>
    <w:rsid w:val="00C21266"/>
    <w:pPr>
      <w:spacing w:before="0" w:after="200" w:line="276" w:lineRule="auto"/>
      <w:jc w:val="left"/>
    </w:pPr>
    <w:rPr>
      <w:rFonts w:eastAsia="Calibri"/>
      <w:snapToGrid/>
      <w:szCs w:val="22"/>
      <w:lang w:eastAsia="en-GB" w:bidi="en-GB"/>
    </w:rPr>
  </w:style>
  <w:style w:type="character" w:customStyle="1" w:styleId="Sprotnaopomba-besediloZnak">
    <w:name w:val="Sprotna opomba - besedilo Znak"/>
    <w:basedOn w:val="Privzetapisavaodstavka"/>
    <w:link w:val="Sprotnaopomba-besedilo1"/>
    <w:semiHidden/>
    <w:locked/>
    <w:rsid w:val="00C21266"/>
    <w:rPr>
      <w:lang w:bidi="ar-SA"/>
    </w:rPr>
  </w:style>
  <w:style w:type="character" w:customStyle="1" w:styleId="PripombabesediloZnak">
    <w:name w:val="Pripomba – besedilo Znak"/>
    <w:basedOn w:val="Privzetapisavaodstavka"/>
    <w:link w:val="Pripombabesedilo1"/>
    <w:semiHidden/>
    <w:locked/>
    <w:rsid w:val="00C21266"/>
    <w:rPr>
      <w:lang w:bidi="ar-SA"/>
    </w:rPr>
  </w:style>
  <w:style w:type="character" w:customStyle="1" w:styleId="GlavaZnak">
    <w:name w:val="Glava Znak"/>
    <w:basedOn w:val="Privzetapisavaodstavka"/>
    <w:link w:val="Glava1"/>
    <w:locked/>
    <w:rsid w:val="00C21266"/>
    <w:rPr>
      <w:lang w:bidi="ar-SA"/>
    </w:rPr>
  </w:style>
  <w:style w:type="character" w:customStyle="1" w:styleId="NogaZnak">
    <w:name w:val="Noga Znak"/>
    <w:basedOn w:val="Privzetapisavaodstavka"/>
    <w:link w:val="Noga1"/>
    <w:locked/>
    <w:rsid w:val="00C21266"/>
    <w:rPr>
      <w:rFonts w:ascii="Arial" w:hAnsi="Arial"/>
      <w:sz w:val="16"/>
      <w:lang w:bidi="ar-SA"/>
    </w:rPr>
  </w:style>
  <w:style w:type="paragraph" w:customStyle="1" w:styleId="Stvarnokazalo11">
    <w:name w:val="Stvarno kazalo 11"/>
    <w:basedOn w:val="Navaden"/>
    <w:rsid w:val="00C21266"/>
    <w:pPr>
      <w:spacing w:before="0" w:after="200" w:line="276" w:lineRule="auto"/>
      <w:jc w:val="left"/>
    </w:pPr>
    <w:rPr>
      <w:rFonts w:eastAsia="Calibri"/>
      <w:snapToGrid/>
      <w:szCs w:val="22"/>
      <w:lang w:eastAsia="en-GB" w:bidi="en-GB"/>
    </w:rPr>
  </w:style>
  <w:style w:type="character" w:customStyle="1" w:styleId="Konnaopomba-besediloZnak">
    <w:name w:val="Končna opomba - besedilo Znak"/>
    <w:basedOn w:val="Privzetapisavaodstavka"/>
    <w:link w:val="Konnaopomba-besedilo1"/>
    <w:semiHidden/>
    <w:locked/>
    <w:rsid w:val="00C21266"/>
    <w:rPr>
      <w:lang w:bidi="ar-SA"/>
    </w:rPr>
  </w:style>
  <w:style w:type="character" w:customStyle="1" w:styleId="MakrobesediloZnak">
    <w:name w:val="Makro besedilo Znak"/>
    <w:basedOn w:val="Privzetapisavaodstavka"/>
    <w:link w:val="Makrobesedilo1"/>
    <w:semiHidden/>
    <w:locked/>
    <w:rsid w:val="00C21266"/>
    <w:rPr>
      <w:rFonts w:ascii="Courier New" w:hAnsi="Courier New"/>
      <w:lang w:bidi="ar-SA"/>
    </w:rPr>
  </w:style>
  <w:style w:type="character" w:customStyle="1" w:styleId="NaslovZnak">
    <w:name w:val="Naslov Znak"/>
    <w:basedOn w:val="Privzetapisavaodstavka"/>
    <w:link w:val="Naslov10"/>
    <w:locked/>
    <w:rsid w:val="00C21266"/>
    <w:rPr>
      <w:b/>
      <w:kern w:val="28"/>
      <w:sz w:val="48"/>
      <w:lang w:bidi="ar-SA"/>
    </w:rPr>
  </w:style>
  <w:style w:type="character" w:customStyle="1" w:styleId="ZakljunipozdravZnak">
    <w:name w:val="Zaključni pozdrav Znak"/>
    <w:basedOn w:val="Privzetapisavaodstavka"/>
    <w:link w:val="Zakljunipozdrav1"/>
    <w:locked/>
    <w:rsid w:val="00C21266"/>
    <w:rPr>
      <w:lang w:bidi="ar-SA"/>
    </w:rPr>
  </w:style>
  <w:style w:type="character" w:customStyle="1" w:styleId="PodpisZnak">
    <w:name w:val="Podpis Znak"/>
    <w:basedOn w:val="Privzetapisavaodstavka"/>
    <w:link w:val="Podpis1"/>
    <w:locked/>
    <w:rsid w:val="00C21266"/>
    <w:rPr>
      <w:lang w:bidi="ar-SA"/>
    </w:rPr>
  </w:style>
  <w:style w:type="character" w:customStyle="1" w:styleId="TelobesedilaZnak">
    <w:name w:val="Telo besedila Znak"/>
    <w:basedOn w:val="Privzetapisavaodstavka"/>
    <w:link w:val="Telobesedila1"/>
    <w:locked/>
    <w:rsid w:val="00C21266"/>
    <w:rPr>
      <w:lang w:bidi="ar-SA"/>
    </w:rPr>
  </w:style>
  <w:style w:type="character" w:customStyle="1" w:styleId="Telobesedila-zamikZnak">
    <w:name w:val="Telo besedila - zamik Znak"/>
    <w:basedOn w:val="Privzetapisavaodstavka"/>
    <w:link w:val="Telobesedila-zamik1"/>
    <w:locked/>
    <w:rsid w:val="00C21266"/>
    <w:rPr>
      <w:lang w:bidi="ar-SA"/>
    </w:rPr>
  </w:style>
  <w:style w:type="character" w:customStyle="1" w:styleId="GlavasporoilaZnak">
    <w:name w:val="Glava sporočila Znak"/>
    <w:basedOn w:val="Privzetapisavaodstavka"/>
    <w:link w:val="Glavasporoila1"/>
    <w:locked/>
    <w:rsid w:val="00C21266"/>
    <w:rPr>
      <w:rFonts w:ascii="Arial" w:hAnsi="Arial"/>
      <w:shd w:val="pct20" w:color="auto" w:fill="auto"/>
      <w:lang w:bidi="ar-SA"/>
    </w:rPr>
  </w:style>
  <w:style w:type="character" w:customStyle="1" w:styleId="PodnaslovZnak">
    <w:name w:val="Podnaslov Znak"/>
    <w:basedOn w:val="Privzetapisavaodstavka"/>
    <w:link w:val="Podnaslov1"/>
    <w:locked/>
    <w:rsid w:val="00C21266"/>
    <w:rPr>
      <w:rFonts w:ascii="Arial" w:hAnsi="Arial"/>
      <w:lang w:bidi="ar-SA"/>
    </w:rPr>
  </w:style>
  <w:style w:type="character" w:customStyle="1" w:styleId="UvodnipozdravZnak">
    <w:name w:val="Uvodni pozdrav Znak"/>
    <w:basedOn w:val="Privzetapisavaodstavka"/>
    <w:link w:val="Uvodnipozdrav1"/>
    <w:locked/>
    <w:rsid w:val="00C21266"/>
    <w:rPr>
      <w:lang w:bidi="ar-SA"/>
    </w:rPr>
  </w:style>
  <w:style w:type="character" w:customStyle="1" w:styleId="DatumZnak">
    <w:name w:val="Datum Znak"/>
    <w:basedOn w:val="Privzetapisavaodstavka"/>
    <w:link w:val="Datum1"/>
    <w:locked/>
    <w:rsid w:val="00C21266"/>
    <w:rPr>
      <w:lang w:bidi="ar-SA"/>
    </w:rPr>
  </w:style>
  <w:style w:type="character" w:customStyle="1" w:styleId="Opomba-naslovZnak">
    <w:name w:val="Opomba - naslov Znak"/>
    <w:basedOn w:val="Privzetapisavaodstavka"/>
    <w:link w:val="Opomba-naslov1"/>
    <w:locked/>
    <w:rsid w:val="00C21266"/>
    <w:rPr>
      <w:lang w:bidi="ar-SA"/>
    </w:rPr>
  </w:style>
  <w:style w:type="character" w:customStyle="1" w:styleId="Telobesedila2Znak">
    <w:name w:val="Telo besedila 2 Znak"/>
    <w:basedOn w:val="Privzetapisavaodstavka"/>
    <w:link w:val="Telobesedila21"/>
    <w:locked/>
    <w:rsid w:val="00C21266"/>
    <w:rPr>
      <w:lang w:bidi="ar-SA"/>
    </w:rPr>
  </w:style>
  <w:style w:type="character" w:customStyle="1" w:styleId="Telobesedila3Znak">
    <w:name w:val="Telo besedila 3 Znak"/>
    <w:basedOn w:val="Privzetapisavaodstavka"/>
    <w:link w:val="Telobesedila31"/>
    <w:locked/>
    <w:rsid w:val="00C21266"/>
    <w:rPr>
      <w:sz w:val="16"/>
      <w:lang w:bidi="ar-SA"/>
    </w:rPr>
  </w:style>
  <w:style w:type="character" w:customStyle="1" w:styleId="Telobesedila-zamik2Znak">
    <w:name w:val="Telo besedila - zamik 2 Znak"/>
    <w:basedOn w:val="Privzetapisavaodstavka"/>
    <w:link w:val="Telobesedila-zamik21"/>
    <w:locked/>
    <w:rsid w:val="00C21266"/>
    <w:rPr>
      <w:lang w:bidi="ar-SA"/>
    </w:rPr>
  </w:style>
  <w:style w:type="character" w:customStyle="1" w:styleId="Telobesedila-zamik3Znak">
    <w:name w:val="Telo besedila - zamik 3 Znak"/>
    <w:basedOn w:val="Privzetapisavaodstavka"/>
    <w:link w:val="Telobesedila-zamik31"/>
    <w:locked/>
    <w:rsid w:val="00C21266"/>
    <w:rPr>
      <w:sz w:val="16"/>
      <w:lang w:bidi="ar-SA"/>
    </w:rPr>
  </w:style>
  <w:style w:type="character" w:customStyle="1" w:styleId="ZgradbadokumentaZnak">
    <w:name w:val="Zgradba dokumenta Znak"/>
    <w:basedOn w:val="Privzetapisavaodstavka"/>
    <w:link w:val="Zgradbadokumenta1"/>
    <w:semiHidden/>
    <w:locked/>
    <w:rsid w:val="00C21266"/>
    <w:rPr>
      <w:rFonts w:ascii="Tahoma" w:hAnsi="Tahoma"/>
      <w:shd w:val="clear" w:color="auto" w:fill="000080"/>
      <w:lang w:bidi="ar-SA"/>
    </w:rPr>
  </w:style>
  <w:style w:type="character" w:customStyle="1" w:styleId="GolobesediloZnak">
    <w:name w:val="Golo besedilo Znak"/>
    <w:basedOn w:val="Privzetapisavaodstavka"/>
    <w:link w:val="Golobesedilo1"/>
    <w:locked/>
    <w:rsid w:val="00C21266"/>
    <w:rPr>
      <w:rFonts w:ascii="Courier New" w:hAnsi="Courier New"/>
      <w:lang w:bidi="ar-SA"/>
    </w:rPr>
  </w:style>
  <w:style w:type="character" w:customStyle="1" w:styleId="BesedilooblakaZnak">
    <w:name w:val="Besedilo oblačka Znak"/>
    <w:basedOn w:val="Privzetapisavaodstavka"/>
    <w:link w:val="Besedilooblaka1"/>
    <w:semiHidden/>
    <w:locked/>
    <w:rsid w:val="00C21266"/>
    <w:rPr>
      <w:rFonts w:ascii="Tahoma" w:hAnsi="Tahoma"/>
      <w:sz w:val="16"/>
      <w:szCs w:val="16"/>
      <w:lang w:bidi="ar-SA"/>
    </w:rPr>
  </w:style>
  <w:style w:type="paragraph" w:customStyle="1" w:styleId="msolistparagraph0">
    <w:name w:val="msolistparagraph"/>
    <w:basedOn w:val="Navaden"/>
    <w:rsid w:val="00C21266"/>
    <w:pPr>
      <w:ind w:left="720"/>
      <w:contextualSpacing/>
    </w:pPr>
    <w:rPr>
      <w:snapToGrid/>
      <w:lang w:eastAsia="en-GB" w:bidi="en-GB"/>
    </w:rPr>
  </w:style>
  <w:style w:type="paragraph" w:customStyle="1" w:styleId="msotocheading0">
    <w:name w:val="msotocheading"/>
    <w:basedOn w:val="Navaden"/>
    <w:next w:val="Navaden1"/>
    <w:rsid w:val="00C21266"/>
    <w:pPr>
      <w:keepNext/>
      <w:spacing w:before="240"/>
      <w:jc w:val="center"/>
    </w:pPr>
    <w:rPr>
      <w:b/>
      <w:snapToGrid/>
      <w:lang w:eastAsia="en-GB" w:bidi="en-GB"/>
    </w:rPr>
  </w:style>
  <w:style w:type="paragraph" w:customStyle="1" w:styleId="Naslov11">
    <w:name w:val="Naslov 11"/>
    <w:basedOn w:val="Navaden"/>
    <w:link w:val="Naslov1Znak"/>
    <w:rsid w:val="00C21266"/>
    <w:pPr>
      <w:spacing w:before="0" w:after="200" w:line="276" w:lineRule="auto"/>
      <w:jc w:val="left"/>
    </w:pPr>
    <w:rPr>
      <w:b/>
      <w:smallCaps/>
      <w:snapToGrid/>
      <w:sz w:val="28"/>
      <w:lang w:val="fr-BE" w:eastAsia="zh-CN"/>
    </w:rPr>
  </w:style>
  <w:style w:type="paragraph" w:customStyle="1" w:styleId="TrsSecretUE">
    <w:name w:val="Très Secret UE"/>
    <w:basedOn w:val="Navaden"/>
    <w:rsid w:val="00C21266"/>
    <w:pPr>
      <w:pBdr>
        <w:top w:val="single" w:sz="18" w:space="0" w:color="FF0000"/>
        <w:left w:val="single" w:sz="18" w:space="0" w:color="FF0000"/>
        <w:bottom w:val="single" w:sz="18" w:space="0" w:color="FF0000"/>
        <w:right w:val="single" w:sz="18" w:space="0" w:color="FF0000"/>
      </w:pBdr>
      <w:spacing w:after="0"/>
      <w:jc w:val="center"/>
    </w:pPr>
    <w:rPr>
      <w:b/>
      <w:caps/>
      <w:snapToGrid/>
      <w:color w:val="FF0000"/>
      <w:sz w:val="32"/>
      <w:lang w:eastAsia="en-GB" w:bidi="en-GB"/>
    </w:rPr>
  </w:style>
  <w:style w:type="paragraph" w:customStyle="1" w:styleId="Naslov21">
    <w:name w:val="Naslov 21"/>
    <w:basedOn w:val="Navaden"/>
    <w:rsid w:val="00C21266"/>
    <w:pPr>
      <w:spacing w:before="0" w:after="200" w:line="276" w:lineRule="auto"/>
      <w:jc w:val="left"/>
    </w:pPr>
    <w:rPr>
      <w:rFonts w:eastAsia="Calibri"/>
      <w:snapToGrid/>
      <w:szCs w:val="22"/>
      <w:lang w:eastAsia="en-GB" w:bidi="en-GB"/>
    </w:rPr>
  </w:style>
  <w:style w:type="paragraph" w:customStyle="1" w:styleId="Naslov31">
    <w:name w:val="Naslov 31"/>
    <w:basedOn w:val="Navaden"/>
    <w:rsid w:val="00C21266"/>
    <w:pPr>
      <w:spacing w:before="0" w:after="200" w:line="276" w:lineRule="auto"/>
      <w:jc w:val="left"/>
    </w:pPr>
    <w:rPr>
      <w:rFonts w:eastAsia="Calibri"/>
      <w:snapToGrid/>
      <w:szCs w:val="22"/>
      <w:lang w:eastAsia="en-GB" w:bidi="en-GB"/>
    </w:rPr>
  </w:style>
  <w:style w:type="paragraph" w:customStyle="1" w:styleId="Naslov41">
    <w:name w:val="Naslov 41"/>
    <w:basedOn w:val="Navaden"/>
    <w:rsid w:val="00C21266"/>
    <w:pPr>
      <w:spacing w:before="0" w:after="200" w:line="276" w:lineRule="auto"/>
      <w:jc w:val="left"/>
    </w:pPr>
    <w:rPr>
      <w:rFonts w:eastAsia="Calibri"/>
      <w:snapToGrid/>
      <w:szCs w:val="22"/>
      <w:lang w:eastAsia="en-GB" w:bidi="en-GB"/>
    </w:rPr>
  </w:style>
  <w:style w:type="paragraph" w:customStyle="1" w:styleId="Naslov51">
    <w:name w:val="Naslov 51"/>
    <w:basedOn w:val="Navaden"/>
    <w:rsid w:val="00C21266"/>
    <w:pPr>
      <w:spacing w:before="0" w:after="200" w:line="276" w:lineRule="auto"/>
      <w:jc w:val="left"/>
    </w:pPr>
    <w:rPr>
      <w:rFonts w:eastAsia="Calibri"/>
      <w:snapToGrid/>
      <w:szCs w:val="22"/>
      <w:lang w:eastAsia="en-GB" w:bidi="en-GB"/>
    </w:rPr>
  </w:style>
  <w:style w:type="paragraph" w:customStyle="1" w:styleId="Naslov61">
    <w:name w:val="Naslov 61"/>
    <w:basedOn w:val="Navaden"/>
    <w:rsid w:val="00C21266"/>
    <w:pPr>
      <w:spacing w:before="0" w:after="200" w:line="276" w:lineRule="auto"/>
      <w:jc w:val="left"/>
    </w:pPr>
    <w:rPr>
      <w:rFonts w:eastAsia="Calibri"/>
      <w:snapToGrid/>
      <w:szCs w:val="22"/>
      <w:lang w:eastAsia="en-GB" w:bidi="en-GB"/>
    </w:rPr>
  </w:style>
  <w:style w:type="paragraph" w:customStyle="1" w:styleId="Naslov71">
    <w:name w:val="Naslov 71"/>
    <w:basedOn w:val="Navaden"/>
    <w:rsid w:val="00C21266"/>
    <w:pPr>
      <w:spacing w:before="0" w:after="200" w:line="276" w:lineRule="auto"/>
      <w:jc w:val="left"/>
    </w:pPr>
    <w:rPr>
      <w:rFonts w:eastAsia="Calibri"/>
      <w:snapToGrid/>
      <w:szCs w:val="22"/>
      <w:lang w:eastAsia="en-GB" w:bidi="en-GB"/>
    </w:rPr>
  </w:style>
  <w:style w:type="paragraph" w:customStyle="1" w:styleId="Naslov81">
    <w:name w:val="Naslov 81"/>
    <w:basedOn w:val="Navaden"/>
    <w:rsid w:val="00C21266"/>
    <w:pPr>
      <w:spacing w:before="0" w:after="200" w:line="276" w:lineRule="auto"/>
      <w:jc w:val="left"/>
    </w:pPr>
    <w:rPr>
      <w:rFonts w:eastAsia="Calibri"/>
      <w:snapToGrid/>
      <w:szCs w:val="22"/>
      <w:lang w:eastAsia="en-GB" w:bidi="en-GB"/>
    </w:rPr>
  </w:style>
  <w:style w:type="character" w:customStyle="1" w:styleId="Naslov8Znak">
    <w:name w:val="Naslov 8 Znak"/>
    <w:basedOn w:val="Privzetapisavaodstavka"/>
    <w:locked/>
    <w:rsid w:val="00C21266"/>
    <w:rPr>
      <w:rFonts w:ascii="Calibri" w:hAnsi="Calibri"/>
      <w:b/>
      <w:noProof/>
      <w:color w:val="000000"/>
      <w:sz w:val="24"/>
      <w:lang w:val="en-GB" w:eastAsia="en-GB" w:bidi="en-GB"/>
    </w:rPr>
  </w:style>
  <w:style w:type="paragraph" w:customStyle="1" w:styleId="Naslov91">
    <w:name w:val="Naslov 91"/>
    <w:basedOn w:val="Navaden"/>
    <w:rsid w:val="00C21266"/>
    <w:pPr>
      <w:spacing w:before="0" w:after="200" w:line="276" w:lineRule="auto"/>
      <w:jc w:val="left"/>
    </w:pPr>
    <w:rPr>
      <w:rFonts w:eastAsia="Calibri"/>
      <w:snapToGrid/>
      <w:szCs w:val="22"/>
      <w:lang w:eastAsia="en-GB" w:bidi="en-GB"/>
    </w:rPr>
  </w:style>
  <w:style w:type="character" w:customStyle="1" w:styleId="Naslov9Znak">
    <w:name w:val="Naslov 9 Znak"/>
    <w:basedOn w:val="Privzetapisavaodstavka"/>
    <w:locked/>
    <w:rsid w:val="00C21266"/>
    <w:rPr>
      <w:rFonts w:ascii="Calibri" w:hAnsi="Calibri"/>
      <w:noProof/>
      <w:color w:val="000000"/>
      <w:sz w:val="24"/>
      <w:lang w:val="en-GB" w:eastAsia="en-GB" w:bidi="en-GB"/>
    </w:rPr>
  </w:style>
  <w:style w:type="paragraph" w:customStyle="1" w:styleId="Telobesedila1">
    <w:name w:val="Telo besedila1"/>
    <w:basedOn w:val="Navaden"/>
    <w:link w:val="TelobesedilaZnak"/>
    <w:rsid w:val="00C21266"/>
    <w:pPr>
      <w:spacing w:before="0" w:after="200" w:line="276" w:lineRule="auto"/>
      <w:jc w:val="left"/>
    </w:pPr>
    <w:rPr>
      <w:snapToGrid/>
      <w:sz w:val="20"/>
      <w:lang w:val="sl-SI" w:eastAsia="zh-CN"/>
    </w:rPr>
  </w:style>
  <w:style w:type="paragraph" w:customStyle="1" w:styleId="Telobesedila21">
    <w:name w:val="Telo besedila 21"/>
    <w:basedOn w:val="Navaden"/>
    <w:link w:val="Telobesedila2Znak"/>
    <w:rsid w:val="00C21266"/>
    <w:pPr>
      <w:spacing w:before="0" w:after="200" w:line="276" w:lineRule="auto"/>
      <w:jc w:val="left"/>
    </w:pPr>
    <w:rPr>
      <w:snapToGrid/>
      <w:sz w:val="20"/>
      <w:lang w:val="sl-SI" w:eastAsia="zh-CN"/>
    </w:rPr>
  </w:style>
  <w:style w:type="paragraph" w:customStyle="1" w:styleId="Telobesedila31">
    <w:name w:val="Telo besedila 31"/>
    <w:basedOn w:val="Navaden"/>
    <w:link w:val="Telobesedila3Znak"/>
    <w:rsid w:val="00C21266"/>
    <w:pPr>
      <w:spacing w:before="0" w:after="200" w:line="276" w:lineRule="auto"/>
      <w:jc w:val="left"/>
    </w:pPr>
    <w:rPr>
      <w:snapToGrid/>
      <w:sz w:val="16"/>
      <w:lang w:val="sl-SI" w:eastAsia="zh-CN"/>
    </w:rPr>
  </w:style>
  <w:style w:type="paragraph" w:customStyle="1" w:styleId="Telobesedila-prvizamik1">
    <w:name w:val="Telo besedila - prvi zamik1"/>
    <w:basedOn w:val="Navaden"/>
    <w:rsid w:val="00C21266"/>
    <w:pPr>
      <w:spacing w:before="0" w:after="200" w:line="276" w:lineRule="auto"/>
      <w:jc w:val="left"/>
    </w:pPr>
    <w:rPr>
      <w:rFonts w:eastAsia="Calibri"/>
      <w:snapToGrid/>
      <w:szCs w:val="22"/>
      <w:lang w:eastAsia="en-GB" w:bidi="en-GB"/>
    </w:rPr>
  </w:style>
  <w:style w:type="character" w:customStyle="1" w:styleId="Telobesedila-prvizamikZnak">
    <w:name w:val="Telo besedila - prvi zamik Znak"/>
    <w:basedOn w:val="TelobesedilaZnak"/>
    <w:locked/>
    <w:rsid w:val="00C21266"/>
    <w:rPr>
      <w:lang w:bidi="ar-SA"/>
    </w:rPr>
  </w:style>
  <w:style w:type="paragraph" w:customStyle="1" w:styleId="Telobesedila-zamik1">
    <w:name w:val="Telo besedila - zamik1"/>
    <w:basedOn w:val="Navaden"/>
    <w:link w:val="Telobesedila-zamikZnak"/>
    <w:rsid w:val="00C21266"/>
    <w:pPr>
      <w:spacing w:before="0" w:after="200" w:line="276" w:lineRule="auto"/>
      <w:jc w:val="left"/>
    </w:pPr>
    <w:rPr>
      <w:snapToGrid/>
      <w:sz w:val="20"/>
      <w:lang w:val="sl-SI" w:eastAsia="zh-CN"/>
    </w:rPr>
  </w:style>
  <w:style w:type="paragraph" w:customStyle="1" w:styleId="Telobesedila-prvizamik21">
    <w:name w:val="Telo besedila - prvi zamik 21"/>
    <w:basedOn w:val="Navaden"/>
    <w:rsid w:val="00C21266"/>
    <w:pPr>
      <w:spacing w:before="0" w:after="200" w:line="276" w:lineRule="auto"/>
      <w:jc w:val="left"/>
    </w:pPr>
    <w:rPr>
      <w:rFonts w:eastAsia="Calibri"/>
      <w:snapToGrid/>
      <w:szCs w:val="22"/>
      <w:lang w:eastAsia="en-GB" w:bidi="en-GB"/>
    </w:rPr>
  </w:style>
  <w:style w:type="character" w:customStyle="1" w:styleId="Telobesedila-prvizamik2Znak">
    <w:name w:val="Telo besedila - prvi zamik 2 Znak"/>
    <w:basedOn w:val="Telobesedila-zamikZnak"/>
    <w:locked/>
    <w:rsid w:val="00C21266"/>
    <w:rPr>
      <w:lang w:bidi="ar-SA"/>
    </w:rPr>
  </w:style>
  <w:style w:type="paragraph" w:customStyle="1" w:styleId="Telobesedila-zamik21">
    <w:name w:val="Telo besedila - zamik 21"/>
    <w:basedOn w:val="Navaden"/>
    <w:link w:val="Telobesedila-zamik2Znak"/>
    <w:rsid w:val="00C21266"/>
    <w:pPr>
      <w:spacing w:before="0" w:after="200" w:line="276" w:lineRule="auto"/>
      <w:jc w:val="left"/>
    </w:pPr>
    <w:rPr>
      <w:snapToGrid/>
      <w:sz w:val="20"/>
      <w:lang w:val="sl-SI" w:eastAsia="zh-CN"/>
    </w:rPr>
  </w:style>
  <w:style w:type="paragraph" w:customStyle="1" w:styleId="Telobesedila-zamik31">
    <w:name w:val="Telo besedila - zamik 31"/>
    <w:basedOn w:val="Navaden"/>
    <w:link w:val="Telobesedila-zamik3Znak"/>
    <w:rsid w:val="00C21266"/>
    <w:pPr>
      <w:spacing w:before="0" w:after="200" w:line="276" w:lineRule="auto"/>
      <w:jc w:val="left"/>
    </w:pPr>
    <w:rPr>
      <w:snapToGrid/>
      <w:sz w:val="16"/>
      <w:lang w:val="sl-SI" w:eastAsia="zh-CN"/>
    </w:rPr>
  </w:style>
  <w:style w:type="paragraph" w:customStyle="1" w:styleId="Zakljunipozdrav1">
    <w:name w:val="Zaključni pozdrav1"/>
    <w:basedOn w:val="Navaden"/>
    <w:link w:val="ZakljunipozdravZnak"/>
    <w:rsid w:val="00C21266"/>
    <w:pPr>
      <w:spacing w:before="0" w:after="200" w:line="276" w:lineRule="auto"/>
      <w:jc w:val="left"/>
    </w:pPr>
    <w:rPr>
      <w:snapToGrid/>
      <w:sz w:val="20"/>
      <w:lang w:val="sl-SI" w:eastAsia="zh-CN"/>
    </w:rPr>
  </w:style>
  <w:style w:type="paragraph" w:customStyle="1" w:styleId="Pripombabesedilo1">
    <w:name w:val="Pripomba – besedilo1"/>
    <w:basedOn w:val="Navaden"/>
    <w:link w:val="PripombabesediloZnak"/>
    <w:rsid w:val="00C21266"/>
    <w:pPr>
      <w:spacing w:before="0" w:after="200" w:line="276" w:lineRule="auto"/>
      <w:jc w:val="left"/>
    </w:pPr>
    <w:rPr>
      <w:snapToGrid/>
      <w:sz w:val="20"/>
      <w:lang w:val="sl-SI" w:eastAsia="zh-CN"/>
    </w:rPr>
  </w:style>
  <w:style w:type="paragraph" w:customStyle="1" w:styleId="Datum1">
    <w:name w:val="Datum1"/>
    <w:basedOn w:val="Navaden"/>
    <w:link w:val="DatumZnak"/>
    <w:rsid w:val="00C21266"/>
    <w:pPr>
      <w:spacing w:before="0" w:after="200" w:line="276" w:lineRule="auto"/>
      <w:jc w:val="left"/>
    </w:pPr>
    <w:rPr>
      <w:snapToGrid/>
      <w:sz w:val="20"/>
      <w:lang w:val="sl-SI" w:eastAsia="zh-CN"/>
    </w:rPr>
  </w:style>
  <w:style w:type="paragraph" w:customStyle="1" w:styleId="Zgradbadokumenta1">
    <w:name w:val="Zgradba dokumenta1"/>
    <w:basedOn w:val="Navaden"/>
    <w:link w:val="ZgradbadokumentaZnak"/>
    <w:rsid w:val="00C21266"/>
    <w:pPr>
      <w:spacing w:before="0" w:after="200" w:line="276" w:lineRule="auto"/>
      <w:jc w:val="left"/>
    </w:pPr>
    <w:rPr>
      <w:rFonts w:ascii="Tahoma" w:hAnsi="Tahoma"/>
      <w:snapToGrid/>
      <w:sz w:val="20"/>
      <w:shd w:val="clear" w:color="auto" w:fill="000080"/>
      <w:lang w:val="sl-SI" w:eastAsia="zh-CN"/>
    </w:rPr>
  </w:style>
  <w:style w:type="paragraph" w:customStyle="1" w:styleId="Konnaopomba-besedilo1">
    <w:name w:val="Končna opomba - besedilo1"/>
    <w:basedOn w:val="Navaden"/>
    <w:link w:val="Konnaopomba-besediloZnak"/>
    <w:rsid w:val="00C21266"/>
    <w:pPr>
      <w:spacing w:before="0" w:after="200" w:line="276" w:lineRule="auto"/>
      <w:jc w:val="left"/>
    </w:pPr>
    <w:rPr>
      <w:snapToGrid/>
      <w:sz w:val="20"/>
      <w:lang w:val="sl-SI" w:eastAsia="zh-CN"/>
    </w:rPr>
  </w:style>
  <w:style w:type="paragraph" w:customStyle="1" w:styleId="Noga1">
    <w:name w:val="Noga1"/>
    <w:basedOn w:val="Navaden"/>
    <w:link w:val="NogaZnak"/>
    <w:rsid w:val="00C21266"/>
    <w:pPr>
      <w:spacing w:before="0" w:after="200" w:line="276" w:lineRule="auto"/>
      <w:jc w:val="left"/>
    </w:pPr>
    <w:rPr>
      <w:rFonts w:ascii="Arial" w:hAnsi="Arial"/>
      <w:snapToGrid/>
      <w:sz w:val="16"/>
      <w:lang w:val="sl-SI" w:eastAsia="zh-CN"/>
    </w:rPr>
  </w:style>
  <w:style w:type="paragraph" w:customStyle="1" w:styleId="Sprotnaopomba-besedilo1">
    <w:name w:val="Sprotna opomba - besedilo1"/>
    <w:basedOn w:val="Navaden"/>
    <w:link w:val="Sprotnaopomba-besediloZnak"/>
    <w:rsid w:val="00C21266"/>
    <w:pPr>
      <w:spacing w:before="0" w:after="200" w:line="276" w:lineRule="auto"/>
      <w:jc w:val="left"/>
    </w:pPr>
    <w:rPr>
      <w:snapToGrid/>
      <w:sz w:val="20"/>
      <w:lang w:val="sl-SI" w:eastAsia="zh-CN"/>
    </w:rPr>
  </w:style>
  <w:style w:type="paragraph" w:customStyle="1" w:styleId="Glava1">
    <w:name w:val="Glava1"/>
    <w:basedOn w:val="Navaden"/>
    <w:link w:val="GlavaZnak"/>
    <w:rsid w:val="00C21266"/>
    <w:pPr>
      <w:spacing w:before="0" w:after="200" w:line="276" w:lineRule="auto"/>
      <w:jc w:val="left"/>
    </w:pPr>
    <w:rPr>
      <w:snapToGrid/>
      <w:sz w:val="20"/>
      <w:lang w:val="sl-SI" w:eastAsia="zh-CN"/>
    </w:rPr>
  </w:style>
  <w:style w:type="paragraph" w:customStyle="1" w:styleId="Makrobesedilo1">
    <w:name w:val="Makro besedilo1"/>
    <w:basedOn w:val="Navaden"/>
    <w:link w:val="MakrobesediloZnak"/>
    <w:rsid w:val="00C21266"/>
    <w:pPr>
      <w:spacing w:before="0" w:after="200" w:line="276" w:lineRule="auto"/>
      <w:jc w:val="left"/>
    </w:pPr>
    <w:rPr>
      <w:rFonts w:ascii="Courier New" w:hAnsi="Courier New"/>
      <w:snapToGrid/>
      <w:sz w:val="20"/>
      <w:lang w:val="sl-SI" w:eastAsia="zh-CN"/>
    </w:rPr>
  </w:style>
  <w:style w:type="paragraph" w:customStyle="1" w:styleId="Glavasporoila1">
    <w:name w:val="Glava sporočila1"/>
    <w:basedOn w:val="Navaden"/>
    <w:link w:val="GlavasporoilaZnak"/>
    <w:rsid w:val="00C21266"/>
    <w:pPr>
      <w:spacing w:before="0" w:after="200" w:line="276" w:lineRule="auto"/>
      <w:jc w:val="left"/>
    </w:pPr>
    <w:rPr>
      <w:rFonts w:ascii="Arial" w:hAnsi="Arial"/>
      <w:snapToGrid/>
      <w:sz w:val="20"/>
      <w:shd w:val="pct20" w:color="auto" w:fill="auto"/>
      <w:lang w:val="sl-SI" w:eastAsia="zh-CN"/>
    </w:rPr>
  </w:style>
  <w:style w:type="paragraph" w:customStyle="1" w:styleId="Opomba-naslov1">
    <w:name w:val="Opomba - naslov1"/>
    <w:basedOn w:val="Navaden"/>
    <w:link w:val="Opomba-naslovZnak"/>
    <w:rsid w:val="00C21266"/>
    <w:pPr>
      <w:spacing w:before="0" w:after="200" w:line="276" w:lineRule="auto"/>
      <w:jc w:val="left"/>
    </w:pPr>
    <w:rPr>
      <w:snapToGrid/>
      <w:sz w:val="20"/>
      <w:lang w:val="sl-SI" w:eastAsia="zh-CN"/>
    </w:rPr>
  </w:style>
  <w:style w:type="paragraph" w:customStyle="1" w:styleId="Golobesedilo1">
    <w:name w:val="Golo besedilo1"/>
    <w:basedOn w:val="Navaden"/>
    <w:link w:val="GolobesediloZnak"/>
    <w:rsid w:val="00C21266"/>
    <w:pPr>
      <w:spacing w:before="0" w:after="200" w:line="276" w:lineRule="auto"/>
      <w:jc w:val="left"/>
    </w:pPr>
    <w:rPr>
      <w:rFonts w:ascii="Courier New" w:hAnsi="Courier New"/>
      <w:snapToGrid/>
      <w:sz w:val="20"/>
      <w:lang w:val="sl-SI" w:eastAsia="zh-CN"/>
    </w:rPr>
  </w:style>
  <w:style w:type="paragraph" w:customStyle="1" w:styleId="Uvodnipozdrav1">
    <w:name w:val="Uvodni pozdrav1"/>
    <w:basedOn w:val="Navaden"/>
    <w:link w:val="UvodnipozdravZnak"/>
    <w:rsid w:val="00C21266"/>
    <w:pPr>
      <w:spacing w:before="0" w:after="200" w:line="276" w:lineRule="auto"/>
      <w:jc w:val="left"/>
    </w:pPr>
    <w:rPr>
      <w:snapToGrid/>
      <w:sz w:val="20"/>
      <w:lang w:val="sl-SI" w:eastAsia="zh-CN"/>
    </w:rPr>
  </w:style>
  <w:style w:type="paragraph" w:customStyle="1" w:styleId="Podpis1">
    <w:name w:val="Podpis1"/>
    <w:basedOn w:val="Navaden"/>
    <w:link w:val="PodpisZnak"/>
    <w:rsid w:val="00C21266"/>
    <w:pPr>
      <w:spacing w:before="0" w:after="200" w:line="276" w:lineRule="auto"/>
      <w:jc w:val="left"/>
    </w:pPr>
    <w:rPr>
      <w:snapToGrid/>
      <w:sz w:val="20"/>
      <w:lang w:val="sl-SI" w:eastAsia="zh-CN"/>
    </w:rPr>
  </w:style>
  <w:style w:type="paragraph" w:customStyle="1" w:styleId="Podnaslov1">
    <w:name w:val="Podnaslov1"/>
    <w:basedOn w:val="Navaden"/>
    <w:link w:val="PodnaslovZnak"/>
    <w:rsid w:val="00C21266"/>
    <w:pPr>
      <w:spacing w:before="0" w:after="200" w:line="276" w:lineRule="auto"/>
      <w:jc w:val="left"/>
    </w:pPr>
    <w:rPr>
      <w:rFonts w:ascii="Arial" w:hAnsi="Arial"/>
      <w:snapToGrid/>
      <w:sz w:val="20"/>
      <w:lang w:val="sl-SI" w:eastAsia="zh-CN"/>
    </w:rPr>
  </w:style>
  <w:style w:type="paragraph" w:customStyle="1" w:styleId="Naslov10">
    <w:name w:val="Naslov1"/>
    <w:basedOn w:val="Navaden"/>
    <w:link w:val="NaslovZnak"/>
    <w:rsid w:val="00C21266"/>
    <w:pPr>
      <w:spacing w:before="0" w:after="200" w:line="276" w:lineRule="auto"/>
      <w:jc w:val="left"/>
    </w:pPr>
    <w:rPr>
      <w:b/>
      <w:snapToGrid/>
      <w:kern w:val="28"/>
      <w:sz w:val="48"/>
      <w:lang w:val="sl-SI" w:eastAsia="zh-CN"/>
    </w:rPr>
  </w:style>
  <w:style w:type="paragraph" w:customStyle="1" w:styleId="Besedilooblaka1">
    <w:name w:val="Besedilo oblačka1"/>
    <w:basedOn w:val="Navaden"/>
    <w:link w:val="BesedilooblakaZnak"/>
    <w:rsid w:val="00C21266"/>
    <w:pPr>
      <w:spacing w:before="0" w:after="200" w:line="276" w:lineRule="auto"/>
      <w:jc w:val="left"/>
    </w:pPr>
    <w:rPr>
      <w:rFonts w:ascii="Tahoma" w:hAnsi="Tahoma"/>
      <w:snapToGrid/>
      <w:sz w:val="16"/>
      <w:szCs w:val="16"/>
      <w:lang w:val="sl-SI" w:eastAsia="zh-CN"/>
    </w:rPr>
  </w:style>
  <w:style w:type="table" w:customStyle="1" w:styleId="Navadnatabela1">
    <w:name w:val="Navadna tabela1"/>
    <w:semiHidden/>
    <w:rsid w:val="00C21266"/>
    <w:pPr>
      <w:spacing w:after="200" w:line="276" w:lineRule="auto"/>
    </w:pPr>
    <w:rPr>
      <w:rFonts w:eastAsia="SimSun"/>
      <w:sz w:val="24"/>
      <w:szCs w:val="22"/>
      <w:lang w:val="en-GB" w:eastAsia="en-GB" w:bidi="en-GB"/>
    </w:rPr>
    <w:tblPr>
      <w:tblCellMar>
        <w:top w:w="0" w:type="dxa"/>
        <w:left w:w="108" w:type="dxa"/>
        <w:bottom w:w="0" w:type="dxa"/>
        <w:right w:w="108" w:type="dxa"/>
      </w:tblCellMar>
    </w:tblPr>
  </w:style>
  <w:style w:type="table" w:customStyle="1" w:styleId="Tabelamrea1">
    <w:name w:val="Tabela – mreža1"/>
    <w:basedOn w:val="Navadnatabela"/>
    <w:rsid w:val="00C21266"/>
    <w:rPr>
      <w:rFonts w:eastAsia="SimSun"/>
      <w:lang w:val="en-GB" w:eastAsia="en-GB" w:bidi="en-GB"/>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08400557">
      <w:bodyDiv w:val="1"/>
      <w:marLeft w:val="0"/>
      <w:marRight w:val="0"/>
      <w:marTop w:val="0"/>
      <w:marBottom w:val="0"/>
      <w:divBdr>
        <w:top w:val="none" w:sz="0" w:space="0" w:color="auto"/>
        <w:left w:val="none" w:sz="0" w:space="0" w:color="auto"/>
        <w:bottom w:val="none" w:sz="0" w:space="0" w:color="auto"/>
        <w:right w:val="none" w:sz="0" w:space="0" w:color="auto"/>
      </w:divBdr>
    </w:div>
    <w:div w:id="1751384672">
      <w:marLeft w:val="0"/>
      <w:marRight w:val="0"/>
      <w:marTop w:val="0"/>
      <w:marBottom w:val="0"/>
      <w:divBdr>
        <w:top w:val="none" w:sz="0" w:space="0" w:color="auto"/>
        <w:left w:val="none" w:sz="0" w:space="0" w:color="auto"/>
        <w:bottom w:val="none" w:sz="0" w:space="0" w:color="auto"/>
        <w:right w:val="none" w:sz="0" w:space="0" w:color="auto"/>
      </w:divBdr>
      <w:divsChild>
        <w:div w:id="1751384679">
          <w:marLeft w:val="0"/>
          <w:marRight w:val="0"/>
          <w:marTop w:val="0"/>
          <w:marBottom w:val="0"/>
          <w:divBdr>
            <w:top w:val="none" w:sz="0" w:space="0" w:color="auto"/>
            <w:left w:val="none" w:sz="0" w:space="0" w:color="auto"/>
            <w:bottom w:val="none" w:sz="0" w:space="0" w:color="auto"/>
            <w:right w:val="none" w:sz="0" w:space="0" w:color="auto"/>
          </w:divBdr>
          <w:divsChild>
            <w:div w:id="1751384681">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1751384675">
      <w:marLeft w:val="0"/>
      <w:marRight w:val="0"/>
      <w:marTop w:val="0"/>
      <w:marBottom w:val="0"/>
      <w:divBdr>
        <w:top w:val="none" w:sz="0" w:space="0" w:color="auto"/>
        <w:left w:val="none" w:sz="0" w:space="0" w:color="auto"/>
        <w:bottom w:val="none" w:sz="0" w:space="0" w:color="auto"/>
        <w:right w:val="none" w:sz="0" w:space="0" w:color="auto"/>
      </w:divBdr>
    </w:div>
    <w:div w:id="1751384677">
      <w:marLeft w:val="0"/>
      <w:marRight w:val="0"/>
      <w:marTop w:val="0"/>
      <w:marBottom w:val="0"/>
      <w:divBdr>
        <w:top w:val="none" w:sz="0" w:space="0" w:color="auto"/>
        <w:left w:val="none" w:sz="0" w:space="0" w:color="auto"/>
        <w:bottom w:val="none" w:sz="0" w:space="0" w:color="auto"/>
        <w:right w:val="none" w:sz="0" w:space="0" w:color="auto"/>
      </w:divBdr>
      <w:divsChild>
        <w:div w:id="1751384678">
          <w:marLeft w:val="0"/>
          <w:marRight w:val="0"/>
          <w:marTop w:val="0"/>
          <w:marBottom w:val="0"/>
          <w:divBdr>
            <w:top w:val="none" w:sz="0" w:space="0" w:color="auto"/>
            <w:left w:val="none" w:sz="0" w:space="0" w:color="auto"/>
            <w:bottom w:val="none" w:sz="0" w:space="0" w:color="auto"/>
            <w:right w:val="none" w:sz="0" w:space="0" w:color="auto"/>
          </w:divBdr>
          <w:divsChild>
            <w:div w:id="1751384673">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1751384680">
      <w:marLeft w:val="0"/>
      <w:marRight w:val="0"/>
      <w:marTop w:val="0"/>
      <w:marBottom w:val="0"/>
      <w:divBdr>
        <w:top w:val="none" w:sz="0" w:space="0" w:color="auto"/>
        <w:left w:val="none" w:sz="0" w:space="0" w:color="auto"/>
        <w:bottom w:val="none" w:sz="0" w:space="0" w:color="auto"/>
        <w:right w:val="none" w:sz="0" w:space="0" w:color="auto"/>
      </w:divBdr>
      <w:divsChild>
        <w:div w:id="1751384674">
          <w:marLeft w:val="0"/>
          <w:marRight w:val="0"/>
          <w:marTop w:val="0"/>
          <w:marBottom w:val="0"/>
          <w:divBdr>
            <w:top w:val="none" w:sz="0" w:space="0" w:color="auto"/>
            <w:left w:val="none" w:sz="0" w:space="0" w:color="auto"/>
            <w:bottom w:val="none" w:sz="0" w:space="0" w:color="auto"/>
            <w:right w:val="none" w:sz="0" w:space="0" w:color="auto"/>
          </w:divBdr>
          <w:divsChild>
            <w:div w:id="1751384676">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jpeg"/><Relationship Id="rId3" Type="http://schemas.openxmlformats.org/officeDocument/2006/relationships/settings" Target="settings.xml"/><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2" Type="http://schemas.openxmlformats.org/officeDocument/2006/relationships/styles" Target="styles.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20.jpeg"/><Relationship Id="rId41" Type="http://schemas.openxmlformats.org/officeDocument/2006/relationships/image" Target="media/image32.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10" Type="http://schemas.openxmlformats.org/officeDocument/2006/relationships/header" Target="header1.xml"/><Relationship Id="rId19" Type="http://schemas.openxmlformats.org/officeDocument/2006/relationships/image" Target="media/image10.jpeg"/><Relationship Id="rId31" Type="http://schemas.openxmlformats.org/officeDocument/2006/relationships/image" Target="media/image22.jpeg"/><Relationship Id="rId44" Type="http://schemas.openxmlformats.org/officeDocument/2006/relationships/image" Target="media/image35.jpeg"/><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8" Type="http://schemas.openxmlformats.org/officeDocument/2006/relationships/image" Target="media/image2.jpeg"/><Relationship Id="rId51"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Public\Documents\Templates\rep.dot" TargetMode="External"/></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isarna">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rep.dot</Template>
  <TotalTime>1</TotalTime>
  <Pages>4</Pages>
  <Words>291771</Words>
  <Characters>1663096</Characters>
  <Application>Microsoft Office Word</Application>
  <DocSecurity>0</DocSecurity>
  <Lines>13859</Lines>
  <Paragraphs>3901</Paragraphs>
  <ScaleCrop>false</ScaleCrop>
  <HeadingPairs>
    <vt:vector size="4" baseType="variant">
      <vt:variant>
        <vt:lpstr>Naslov</vt:lpstr>
      </vt:variant>
      <vt:variant>
        <vt:i4>1</vt:i4>
      </vt:variant>
      <vt:variant>
        <vt:lpstr>Title</vt:lpstr>
      </vt:variant>
      <vt:variant>
        <vt:i4>1</vt:i4>
      </vt:variant>
    </vt:vector>
  </HeadingPairs>
  <TitlesOfParts>
    <vt:vector size="2" baseType="lpstr">
      <vt:lpstr>Title of the RDP</vt:lpstr>
      <vt:lpstr>Title of the RDP</vt:lpstr>
    </vt:vector>
  </TitlesOfParts>
  <Company>Member State Name</Company>
  <LinksUpToDate>false</LinksUpToDate>
  <CharactersWithSpaces>1950966</CharactersWithSpaces>
  <SharedDoc>false</SharedDoc>
  <HLinks>
    <vt:vector size="1596" baseType="variant">
      <vt:variant>
        <vt:i4>1507388</vt:i4>
      </vt:variant>
      <vt:variant>
        <vt:i4>1592</vt:i4>
      </vt:variant>
      <vt:variant>
        <vt:i4>0</vt:i4>
      </vt:variant>
      <vt:variant>
        <vt:i4>5</vt:i4>
      </vt:variant>
      <vt:variant>
        <vt:lpwstr/>
      </vt:variant>
      <vt:variant>
        <vt:lpwstr>_Toc416192724</vt:lpwstr>
      </vt:variant>
      <vt:variant>
        <vt:i4>1507388</vt:i4>
      </vt:variant>
      <vt:variant>
        <vt:i4>1586</vt:i4>
      </vt:variant>
      <vt:variant>
        <vt:i4>0</vt:i4>
      </vt:variant>
      <vt:variant>
        <vt:i4>5</vt:i4>
      </vt:variant>
      <vt:variant>
        <vt:lpwstr/>
      </vt:variant>
      <vt:variant>
        <vt:lpwstr>_Toc416192723</vt:lpwstr>
      </vt:variant>
      <vt:variant>
        <vt:i4>1507388</vt:i4>
      </vt:variant>
      <vt:variant>
        <vt:i4>1580</vt:i4>
      </vt:variant>
      <vt:variant>
        <vt:i4>0</vt:i4>
      </vt:variant>
      <vt:variant>
        <vt:i4>5</vt:i4>
      </vt:variant>
      <vt:variant>
        <vt:lpwstr/>
      </vt:variant>
      <vt:variant>
        <vt:lpwstr>_Toc416192722</vt:lpwstr>
      </vt:variant>
      <vt:variant>
        <vt:i4>1507388</vt:i4>
      </vt:variant>
      <vt:variant>
        <vt:i4>1574</vt:i4>
      </vt:variant>
      <vt:variant>
        <vt:i4>0</vt:i4>
      </vt:variant>
      <vt:variant>
        <vt:i4>5</vt:i4>
      </vt:variant>
      <vt:variant>
        <vt:lpwstr/>
      </vt:variant>
      <vt:variant>
        <vt:lpwstr>_Toc416192721</vt:lpwstr>
      </vt:variant>
      <vt:variant>
        <vt:i4>1507388</vt:i4>
      </vt:variant>
      <vt:variant>
        <vt:i4>1568</vt:i4>
      </vt:variant>
      <vt:variant>
        <vt:i4>0</vt:i4>
      </vt:variant>
      <vt:variant>
        <vt:i4>5</vt:i4>
      </vt:variant>
      <vt:variant>
        <vt:lpwstr/>
      </vt:variant>
      <vt:variant>
        <vt:lpwstr>_Toc416192720</vt:lpwstr>
      </vt:variant>
      <vt:variant>
        <vt:i4>1310780</vt:i4>
      </vt:variant>
      <vt:variant>
        <vt:i4>1562</vt:i4>
      </vt:variant>
      <vt:variant>
        <vt:i4>0</vt:i4>
      </vt:variant>
      <vt:variant>
        <vt:i4>5</vt:i4>
      </vt:variant>
      <vt:variant>
        <vt:lpwstr/>
      </vt:variant>
      <vt:variant>
        <vt:lpwstr>_Toc416192719</vt:lpwstr>
      </vt:variant>
      <vt:variant>
        <vt:i4>1310780</vt:i4>
      </vt:variant>
      <vt:variant>
        <vt:i4>1556</vt:i4>
      </vt:variant>
      <vt:variant>
        <vt:i4>0</vt:i4>
      </vt:variant>
      <vt:variant>
        <vt:i4>5</vt:i4>
      </vt:variant>
      <vt:variant>
        <vt:lpwstr/>
      </vt:variant>
      <vt:variant>
        <vt:lpwstr>_Toc416192718</vt:lpwstr>
      </vt:variant>
      <vt:variant>
        <vt:i4>1310780</vt:i4>
      </vt:variant>
      <vt:variant>
        <vt:i4>1550</vt:i4>
      </vt:variant>
      <vt:variant>
        <vt:i4>0</vt:i4>
      </vt:variant>
      <vt:variant>
        <vt:i4>5</vt:i4>
      </vt:variant>
      <vt:variant>
        <vt:lpwstr/>
      </vt:variant>
      <vt:variant>
        <vt:lpwstr>_Toc416192717</vt:lpwstr>
      </vt:variant>
      <vt:variant>
        <vt:i4>1310780</vt:i4>
      </vt:variant>
      <vt:variant>
        <vt:i4>1544</vt:i4>
      </vt:variant>
      <vt:variant>
        <vt:i4>0</vt:i4>
      </vt:variant>
      <vt:variant>
        <vt:i4>5</vt:i4>
      </vt:variant>
      <vt:variant>
        <vt:lpwstr/>
      </vt:variant>
      <vt:variant>
        <vt:lpwstr>_Toc416192716</vt:lpwstr>
      </vt:variant>
      <vt:variant>
        <vt:i4>1310780</vt:i4>
      </vt:variant>
      <vt:variant>
        <vt:i4>1538</vt:i4>
      </vt:variant>
      <vt:variant>
        <vt:i4>0</vt:i4>
      </vt:variant>
      <vt:variant>
        <vt:i4>5</vt:i4>
      </vt:variant>
      <vt:variant>
        <vt:lpwstr/>
      </vt:variant>
      <vt:variant>
        <vt:lpwstr>_Toc416192715</vt:lpwstr>
      </vt:variant>
      <vt:variant>
        <vt:i4>1310780</vt:i4>
      </vt:variant>
      <vt:variant>
        <vt:i4>1532</vt:i4>
      </vt:variant>
      <vt:variant>
        <vt:i4>0</vt:i4>
      </vt:variant>
      <vt:variant>
        <vt:i4>5</vt:i4>
      </vt:variant>
      <vt:variant>
        <vt:lpwstr/>
      </vt:variant>
      <vt:variant>
        <vt:lpwstr>_Toc416192714</vt:lpwstr>
      </vt:variant>
      <vt:variant>
        <vt:i4>1310780</vt:i4>
      </vt:variant>
      <vt:variant>
        <vt:i4>1526</vt:i4>
      </vt:variant>
      <vt:variant>
        <vt:i4>0</vt:i4>
      </vt:variant>
      <vt:variant>
        <vt:i4>5</vt:i4>
      </vt:variant>
      <vt:variant>
        <vt:lpwstr/>
      </vt:variant>
      <vt:variant>
        <vt:lpwstr>_Toc416192713</vt:lpwstr>
      </vt:variant>
      <vt:variant>
        <vt:i4>1310780</vt:i4>
      </vt:variant>
      <vt:variant>
        <vt:i4>1520</vt:i4>
      </vt:variant>
      <vt:variant>
        <vt:i4>0</vt:i4>
      </vt:variant>
      <vt:variant>
        <vt:i4>5</vt:i4>
      </vt:variant>
      <vt:variant>
        <vt:lpwstr/>
      </vt:variant>
      <vt:variant>
        <vt:lpwstr>_Toc416192712</vt:lpwstr>
      </vt:variant>
      <vt:variant>
        <vt:i4>1310780</vt:i4>
      </vt:variant>
      <vt:variant>
        <vt:i4>1514</vt:i4>
      </vt:variant>
      <vt:variant>
        <vt:i4>0</vt:i4>
      </vt:variant>
      <vt:variant>
        <vt:i4>5</vt:i4>
      </vt:variant>
      <vt:variant>
        <vt:lpwstr/>
      </vt:variant>
      <vt:variant>
        <vt:lpwstr>_Toc416192711</vt:lpwstr>
      </vt:variant>
      <vt:variant>
        <vt:i4>1310780</vt:i4>
      </vt:variant>
      <vt:variant>
        <vt:i4>1508</vt:i4>
      </vt:variant>
      <vt:variant>
        <vt:i4>0</vt:i4>
      </vt:variant>
      <vt:variant>
        <vt:i4>5</vt:i4>
      </vt:variant>
      <vt:variant>
        <vt:lpwstr/>
      </vt:variant>
      <vt:variant>
        <vt:lpwstr>_Toc416192710</vt:lpwstr>
      </vt:variant>
      <vt:variant>
        <vt:i4>1376316</vt:i4>
      </vt:variant>
      <vt:variant>
        <vt:i4>1502</vt:i4>
      </vt:variant>
      <vt:variant>
        <vt:i4>0</vt:i4>
      </vt:variant>
      <vt:variant>
        <vt:i4>5</vt:i4>
      </vt:variant>
      <vt:variant>
        <vt:lpwstr/>
      </vt:variant>
      <vt:variant>
        <vt:lpwstr>_Toc416192709</vt:lpwstr>
      </vt:variant>
      <vt:variant>
        <vt:i4>1376316</vt:i4>
      </vt:variant>
      <vt:variant>
        <vt:i4>1496</vt:i4>
      </vt:variant>
      <vt:variant>
        <vt:i4>0</vt:i4>
      </vt:variant>
      <vt:variant>
        <vt:i4>5</vt:i4>
      </vt:variant>
      <vt:variant>
        <vt:lpwstr/>
      </vt:variant>
      <vt:variant>
        <vt:lpwstr>_Toc416192708</vt:lpwstr>
      </vt:variant>
      <vt:variant>
        <vt:i4>1376316</vt:i4>
      </vt:variant>
      <vt:variant>
        <vt:i4>1490</vt:i4>
      </vt:variant>
      <vt:variant>
        <vt:i4>0</vt:i4>
      </vt:variant>
      <vt:variant>
        <vt:i4>5</vt:i4>
      </vt:variant>
      <vt:variant>
        <vt:lpwstr/>
      </vt:variant>
      <vt:variant>
        <vt:lpwstr>_Toc416192707</vt:lpwstr>
      </vt:variant>
      <vt:variant>
        <vt:i4>1376316</vt:i4>
      </vt:variant>
      <vt:variant>
        <vt:i4>1484</vt:i4>
      </vt:variant>
      <vt:variant>
        <vt:i4>0</vt:i4>
      </vt:variant>
      <vt:variant>
        <vt:i4>5</vt:i4>
      </vt:variant>
      <vt:variant>
        <vt:lpwstr/>
      </vt:variant>
      <vt:variant>
        <vt:lpwstr>_Toc416192706</vt:lpwstr>
      </vt:variant>
      <vt:variant>
        <vt:i4>1376316</vt:i4>
      </vt:variant>
      <vt:variant>
        <vt:i4>1478</vt:i4>
      </vt:variant>
      <vt:variant>
        <vt:i4>0</vt:i4>
      </vt:variant>
      <vt:variant>
        <vt:i4>5</vt:i4>
      </vt:variant>
      <vt:variant>
        <vt:lpwstr/>
      </vt:variant>
      <vt:variant>
        <vt:lpwstr>_Toc416192705</vt:lpwstr>
      </vt:variant>
      <vt:variant>
        <vt:i4>1376316</vt:i4>
      </vt:variant>
      <vt:variant>
        <vt:i4>1472</vt:i4>
      </vt:variant>
      <vt:variant>
        <vt:i4>0</vt:i4>
      </vt:variant>
      <vt:variant>
        <vt:i4>5</vt:i4>
      </vt:variant>
      <vt:variant>
        <vt:lpwstr/>
      </vt:variant>
      <vt:variant>
        <vt:lpwstr>_Toc416192704</vt:lpwstr>
      </vt:variant>
      <vt:variant>
        <vt:i4>1376316</vt:i4>
      </vt:variant>
      <vt:variant>
        <vt:i4>1466</vt:i4>
      </vt:variant>
      <vt:variant>
        <vt:i4>0</vt:i4>
      </vt:variant>
      <vt:variant>
        <vt:i4>5</vt:i4>
      </vt:variant>
      <vt:variant>
        <vt:lpwstr/>
      </vt:variant>
      <vt:variant>
        <vt:lpwstr>_Toc416192703</vt:lpwstr>
      </vt:variant>
      <vt:variant>
        <vt:i4>1376316</vt:i4>
      </vt:variant>
      <vt:variant>
        <vt:i4>1460</vt:i4>
      </vt:variant>
      <vt:variant>
        <vt:i4>0</vt:i4>
      </vt:variant>
      <vt:variant>
        <vt:i4>5</vt:i4>
      </vt:variant>
      <vt:variant>
        <vt:lpwstr/>
      </vt:variant>
      <vt:variant>
        <vt:lpwstr>_Toc416192702</vt:lpwstr>
      </vt:variant>
      <vt:variant>
        <vt:i4>1376316</vt:i4>
      </vt:variant>
      <vt:variant>
        <vt:i4>1454</vt:i4>
      </vt:variant>
      <vt:variant>
        <vt:i4>0</vt:i4>
      </vt:variant>
      <vt:variant>
        <vt:i4>5</vt:i4>
      </vt:variant>
      <vt:variant>
        <vt:lpwstr/>
      </vt:variant>
      <vt:variant>
        <vt:lpwstr>_Toc416192701</vt:lpwstr>
      </vt:variant>
      <vt:variant>
        <vt:i4>1376316</vt:i4>
      </vt:variant>
      <vt:variant>
        <vt:i4>1448</vt:i4>
      </vt:variant>
      <vt:variant>
        <vt:i4>0</vt:i4>
      </vt:variant>
      <vt:variant>
        <vt:i4>5</vt:i4>
      </vt:variant>
      <vt:variant>
        <vt:lpwstr/>
      </vt:variant>
      <vt:variant>
        <vt:lpwstr>_Toc416192700</vt:lpwstr>
      </vt:variant>
      <vt:variant>
        <vt:i4>1835069</vt:i4>
      </vt:variant>
      <vt:variant>
        <vt:i4>1442</vt:i4>
      </vt:variant>
      <vt:variant>
        <vt:i4>0</vt:i4>
      </vt:variant>
      <vt:variant>
        <vt:i4>5</vt:i4>
      </vt:variant>
      <vt:variant>
        <vt:lpwstr/>
      </vt:variant>
      <vt:variant>
        <vt:lpwstr>_Toc416192699</vt:lpwstr>
      </vt:variant>
      <vt:variant>
        <vt:i4>1835069</vt:i4>
      </vt:variant>
      <vt:variant>
        <vt:i4>1436</vt:i4>
      </vt:variant>
      <vt:variant>
        <vt:i4>0</vt:i4>
      </vt:variant>
      <vt:variant>
        <vt:i4>5</vt:i4>
      </vt:variant>
      <vt:variant>
        <vt:lpwstr/>
      </vt:variant>
      <vt:variant>
        <vt:lpwstr>_Toc416192698</vt:lpwstr>
      </vt:variant>
      <vt:variant>
        <vt:i4>1835069</vt:i4>
      </vt:variant>
      <vt:variant>
        <vt:i4>1430</vt:i4>
      </vt:variant>
      <vt:variant>
        <vt:i4>0</vt:i4>
      </vt:variant>
      <vt:variant>
        <vt:i4>5</vt:i4>
      </vt:variant>
      <vt:variant>
        <vt:lpwstr/>
      </vt:variant>
      <vt:variant>
        <vt:lpwstr>_Toc416192697</vt:lpwstr>
      </vt:variant>
      <vt:variant>
        <vt:i4>1835069</vt:i4>
      </vt:variant>
      <vt:variant>
        <vt:i4>1424</vt:i4>
      </vt:variant>
      <vt:variant>
        <vt:i4>0</vt:i4>
      </vt:variant>
      <vt:variant>
        <vt:i4>5</vt:i4>
      </vt:variant>
      <vt:variant>
        <vt:lpwstr/>
      </vt:variant>
      <vt:variant>
        <vt:lpwstr>_Toc416192696</vt:lpwstr>
      </vt:variant>
      <vt:variant>
        <vt:i4>1835069</vt:i4>
      </vt:variant>
      <vt:variant>
        <vt:i4>1418</vt:i4>
      </vt:variant>
      <vt:variant>
        <vt:i4>0</vt:i4>
      </vt:variant>
      <vt:variant>
        <vt:i4>5</vt:i4>
      </vt:variant>
      <vt:variant>
        <vt:lpwstr/>
      </vt:variant>
      <vt:variant>
        <vt:lpwstr>_Toc416192695</vt:lpwstr>
      </vt:variant>
      <vt:variant>
        <vt:i4>1835069</vt:i4>
      </vt:variant>
      <vt:variant>
        <vt:i4>1412</vt:i4>
      </vt:variant>
      <vt:variant>
        <vt:i4>0</vt:i4>
      </vt:variant>
      <vt:variant>
        <vt:i4>5</vt:i4>
      </vt:variant>
      <vt:variant>
        <vt:lpwstr/>
      </vt:variant>
      <vt:variant>
        <vt:lpwstr>_Toc416192694</vt:lpwstr>
      </vt:variant>
      <vt:variant>
        <vt:i4>1835069</vt:i4>
      </vt:variant>
      <vt:variant>
        <vt:i4>1406</vt:i4>
      </vt:variant>
      <vt:variant>
        <vt:i4>0</vt:i4>
      </vt:variant>
      <vt:variant>
        <vt:i4>5</vt:i4>
      </vt:variant>
      <vt:variant>
        <vt:lpwstr/>
      </vt:variant>
      <vt:variant>
        <vt:lpwstr>_Toc416192693</vt:lpwstr>
      </vt:variant>
      <vt:variant>
        <vt:i4>1835069</vt:i4>
      </vt:variant>
      <vt:variant>
        <vt:i4>1400</vt:i4>
      </vt:variant>
      <vt:variant>
        <vt:i4>0</vt:i4>
      </vt:variant>
      <vt:variant>
        <vt:i4>5</vt:i4>
      </vt:variant>
      <vt:variant>
        <vt:lpwstr/>
      </vt:variant>
      <vt:variant>
        <vt:lpwstr>_Toc416192692</vt:lpwstr>
      </vt:variant>
      <vt:variant>
        <vt:i4>1835069</vt:i4>
      </vt:variant>
      <vt:variant>
        <vt:i4>1394</vt:i4>
      </vt:variant>
      <vt:variant>
        <vt:i4>0</vt:i4>
      </vt:variant>
      <vt:variant>
        <vt:i4>5</vt:i4>
      </vt:variant>
      <vt:variant>
        <vt:lpwstr/>
      </vt:variant>
      <vt:variant>
        <vt:lpwstr>_Toc416192691</vt:lpwstr>
      </vt:variant>
      <vt:variant>
        <vt:i4>1835069</vt:i4>
      </vt:variant>
      <vt:variant>
        <vt:i4>1388</vt:i4>
      </vt:variant>
      <vt:variant>
        <vt:i4>0</vt:i4>
      </vt:variant>
      <vt:variant>
        <vt:i4>5</vt:i4>
      </vt:variant>
      <vt:variant>
        <vt:lpwstr/>
      </vt:variant>
      <vt:variant>
        <vt:lpwstr>_Toc416192690</vt:lpwstr>
      </vt:variant>
      <vt:variant>
        <vt:i4>1900605</vt:i4>
      </vt:variant>
      <vt:variant>
        <vt:i4>1382</vt:i4>
      </vt:variant>
      <vt:variant>
        <vt:i4>0</vt:i4>
      </vt:variant>
      <vt:variant>
        <vt:i4>5</vt:i4>
      </vt:variant>
      <vt:variant>
        <vt:lpwstr/>
      </vt:variant>
      <vt:variant>
        <vt:lpwstr>_Toc416192689</vt:lpwstr>
      </vt:variant>
      <vt:variant>
        <vt:i4>1900605</vt:i4>
      </vt:variant>
      <vt:variant>
        <vt:i4>1376</vt:i4>
      </vt:variant>
      <vt:variant>
        <vt:i4>0</vt:i4>
      </vt:variant>
      <vt:variant>
        <vt:i4>5</vt:i4>
      </vt:variant>
      <vt:variant>
        <vt:lpwstr/>
      </vt:variant>
      <vt:variant>
        <vt:lpwstr>_Toc416192688</vt:lpwstr>
      </vt:variant>
      <vt:variant>
        <vt:i4>1900605</vt:i4>
      </vt:variant>
      <vt:variant>
        <vt:i4>1370</vt:i4>
      </vt:variant>
      <vt:variant>
        <vt:i4>0</vt:i4>
      </vt:variant>
      <vt:variant>
        <vt:i4>5</vt:i4>
      </vt:variant>
      <vt:variant>
        <vt:lpwstr/>
      </vt:variant>
      <vt:variant>
        <vt:lpwstr>_Toc416192687</vt:lpwstr>
      </vt:variant>
      <vt:variant>
        <vt:i4>1900605</vt:i4>
      </vt:variant>
      <vt:variant>
        <vt:i4>1364</vt:i4>
      </vt:variant>
      <vt:variant>
        <vt:i4>0</vt:i4>
      </vt:variant>
      <vt:variant>
        <vt:i4>5</vt:i4>
      </vt:variant>
      <vt:variant>
        <vt:lpwstr/>
      </vt:variant>
      <vt:variant>
        <vt:lpwstr>_Toc416192686</vt:lpwstr>
      </vt:variant>
      <vt:variant>
        <vt:i4>1900605</vt:i4>
      </vt:variant>
      <vt:variant>
        <vt:i4>1358</vt:i4>
      </vt:variant>
      <vt:variant>
        <vt:i4>0</vt:i4>
      </vt:variant>
      <vt:variant>
        <vt:i4>5</vt:i4>
      </vt:variant>
      <vt:variant>
        <vt:lpwstr/>
      </vt:variant>
      <vt:variant>
        <vt:lpwstr>_Toc416192685</vt:lpwstr>
      </vt:variant>
      <vt:variant>
        <vt:i4>1900605</vt:i4>
      </vt:variant>
      <vt:variant>
        <vt:i4>1352</vt:i4>
      </vt:variant>
      <vt:variant>
        <vt:i4>0</vt:i4>
      </vt:variant>
      <vt:variant>
        <vt:i4>5</vt:i4>
      </vt:variant>
      <vt:variant>
        <vt:lpwstr/>
      </vt:variant>
      <vt:variant>
        <vt:lpwstr>_Toc416192684</vt:lpwstr>
      </vt:variant>
      <vt:variant>
        <vt:i4>1900605</vt:i4>
      </vt:variant>
      <vt:variant>
        <vt:i4>1346</vt:i4>
      </vt:variant>
      <vt:variant>
        <vt:i4>0</vt:i4>
      </vt:variant>
      <vt:variant>
        <vt:i4>5</vt:i4>
      </vt:variant>
      <vt:variant>
        <vt:lpwstr/>
      </vt:variant>
      <vt:variant>
        <vt:lpwstr>_Toc416192683</vt:lpwstr>
      </vt:variant>
      <vt:variant>
        <vt:i4>1900605</vt:i4>
      </vt:variant>
      <vt:variant>
        <vt:i4>1340</vt:i4>
      </vt:variant>
      <vt:variant>
        <vt:i4>0</vt:i4>
      </vt:variant>
      <vt:variant>
        <vt:i4>5</vt:i4>
      </vt:variant>
      <vt:variant>
        <vt:lpwstr/>
      </vt:variant>
      <vt:variant>
        <vt:lpwstr>_Toc416192682</vt:lpwstr>
      </vt:variant>
      <vt:variant>
        <vt:i4>1900605</vt:i4>
      </vt:variant>
      <vt:variant>
        <vt:i4>1334</vt:i4>
      </vt:variant>
      <vt:variant>
        <vt:i4>0</vt:i4>
      </vt:variant>
      <vt:variant>
        <vt:i4>5</vt:i4>
      </vt:variant>
      <vt:variant>
        <vt:lpwstr/>
      </vt:variant>
      <vt:variant>
        <vt:lpwstr>_Toc416192681</vt:lpwstr>
      </vt:variant>
      <vt:variant>
        <vt:i4>1900605</vt:i4>
      </vt:variant>
      <vt:variant>
        <vt:i4>1328</vt:i4>
      </vt:variant>
      <vt:variant>
        <vt:i4>0</vt:i4>
      </vt:variant>
      <vt:variant>
        <vt:i4>5</vt:i4>
      </vt:variant>
      <vt:variant>
        <vt:lpwstr/>
      </vt:variant>
      <vt:variant>
        <vt:lpwstr>_Toc416192680</vt:lpwstr>
      </vt:variant>
      <vt:variant>
        <vt:i4>1179709</vt:i4>
      </vt:variant>
      <vt:variant>
        <vt:i4>1322</vt:i4>
      </vt:variant>
      <vt:variant>
        <vt:i4>0</vt:i4>
      </vt:variant>
      <vt:variant>
        <vt:i4>5</vt:i4>
      </vt:variant>
      <vt:variant>
        <vt:lpwstr/>
      </vt:variant>
      <vt:variant>
        <vt:lpwstr>_Toc416192679</vt:lpwstr>
      </vt:variant>
      <vt:variant>
        <vt:i4>1179709</vt:i4>
      </vt:variant>
      <vt:variant>
        <vt:i4>1316</vt:i4>
      </vt:variant>
      <vt:variant>
        <vt:i4>0</vt:i4>
      </vt:variant>
      <vt:variant>
        <vt:i4>5</vt:i4>
      </vt:variant>
      <vt:variant>
        <vt:lpwstr/>
      </vt:variant>
      <vt:variant>
        <vt:lpwstr>_Toc416192678</vt:lpwstr>
      </vt:variant>
      <vt:variant>
        <vt:i4>1179709</vt:i4>
      </vt:variant>
      <vt:variant>
        <vt:i4>1310</vt:i4>
      </vt:variant>
      <vt:variant>
        <vt:i4>0</vt:i4>
      </vt:variant>
      <vt:variant>
        <vt:i4>5</vt:i4>
      </vt:variant>
      <vt:variant>
        <vt:lpwstr/>
      </vt:variant>
      <vt:variant>
        <vt:lpwstr>_Toc416192677</vt:lpwstr>
      </vt:variant>
      <vt:variant>
        <vt:i4>1179709</vt:i4>
      </vt:variant>
      <vt:variant>
        <vt:i4>1304</vt:i4>
      </vt:variant>
      <vt:variant>
        <vt:i4>0</vt:i4>
      </vt:variant>
      <vt:variant>
        <vt:i4>5</vt:i4>
      </vt:variant>
      <vt:variant>
        <vt:lpwstr/>
      </vt:variant>
      <vt:variant>
        <vt:lpwstr>_Toc416192676</vt:lpwstr>
      </vt:variant>
      <vt:variant>
        <vt:i4>1179709</vt:i4>
      </vt:variant>
      <vt:variant>
        <vt:i4>1298</vt:i4>
      </vt:variant>
      <vt:variant>
        <vt:i4>0</vt:i4>
      </vt:variant>
      <vt:variant>
        <vt:i4>5</vt:i4>
      </vt:variant>
      <vt:variant>
        <vt:lpwstr/>
      </vt:variant>
      <vt:variant>
        <vt:lpwstr>_Toc416192675</vt:lpwstr>
      </vt:variant>
      <vt:variant>
        <vt:i4>1179709</vt:i4>
      </vt:variant>
      <vt:variant>
        <vt:i4>1292</vt:i4>
      </vt:variant>
      <vt:variant>
        <vt:i4>0</vt:i4>
      </vt:variant>
      <vt:variant>
        <vt:i4>5</vt:i4>
      </vt:variant>
      <vt:variant>
        <vt:lpwstr/>
      </vt:variant>
      <vt:variant>
        <vt:lpwstr>_Toc416192674</vt:lpwstr>
      </vt:variant>
      <vt:variant>
        <vt:i4>1179709</vt:i4>
      </vt:variant>
      <vt:variant>
        <vt:i4>1286</vt:i4>
      </vt:variant>
      <vt:variant>
        <vt:i4>0</vt:i4>
      </vt:variant>
      <vt:variant>
        <vt:i4>5</vt:i4>
      </vt:variant>
      <vt:variant>
        <vt:lpwstr/>
      </vt:variant>
      <vt:variant>
        <vt:lpwstr>_Toc416192673</vt:lpwstr>
      </vt:variant>
      <vt:variant>
        <vt:i4>1179709</vt:i4>
      </vt:variant>
      <vt:variant>
        <vt:i4>1280</vt:i4>
      </vt:variant>
      <vt:variant>
        <vt:i4>0</vt:i4>
      </vt:variant>
      <vt:variant>
        <vt:i4>5</vt:i4>
      </vt:variant>
      <vt:variant>
        <vt:lpwstr/>
      </vt:variant>
      <vt:variant>
        <vt:lpwstr>_Toc416192672</vt:lpwstr>
      </vt:variant>
      <vt:variant>
        <vt:i4>1179709</vt:i4>
      </vt:variant>
      <vt:variant>
        <vt:i4>1274</vt:i4>
      </vt:variant>
      <vt:variant>
        <vt:i4>0</vt:i4>
      </vt:variant>
      <vt:variant>
        <vt:i4>5</vt:i4>
      </vt:variant>
      <vt:variant>
        <vt:lpwstr/>
      </vt:variant>
      <vt:variant>
        <vt:lpwstr>_Toc416192671</vt:lpwstr>
      </vt:variant>
      <vt:variant>
        <vt:i4>1179709</vt:i4>
      </vt:variant>
      <vt:variant>
        <vt:i4>1268</vt:i4>
      </vt:variant>
      <vt:variant>
        <vt:i4>0</vt:i4>
      </vt:variant>
      <vt:variant>
        <vt:i4>5</vt:i4>
      </vt:variant>
      <vt:variant>
        <vt:lpwstr/>
      </vt:variant>
      <vt:variant>
        <vt:lpwstr>_Toc416192670</vt:lpwstr>
      </vt:variant>
      <vt:variant>
        <vt:i4>1245245</vt:i4>
      </vt:variant>
      <vt:variant>
        <vt:i4>1262</vt:i4>
      </vt:variant>
      <vt:variant>
        <vt:i4>0</vt:i4>
      </vt:variant>
      <vt:variant>
        <vt:i4>5</vt:i4>
      </vt:variant>
      <vt:variant>
        <vt:lpwstr/>
      </vt:variant>
      <vt:variant>
        <vt:lpwstr>_Toc416192669</vt:lpwstr>
      </vt:variant>
      <vt:variant>
        <vt:i4>1245245</vt:i4>
      </vt:variant>
      <vt:variant>
        <vt:i4>1256</vt:i4>
      </vt:variant>
      <vt:variant>
        <vt:i4>0</vt:i4>
      </vt:variant>
      <vt:variant>
        <vt:i4>5</vt:i4>
      </vt:variant>
      <vt:variant>
        <vt:lpwstr/>
      </vt:variant>
      <vt:variant>
        <vt:lpwstr>_Toc416192668</vt:lpwstr>
      </vt:variant>
      <vt:variant>
        <vt:i4>1245245</vt:i4>
      </vt:variant>
      <vt:variant>
        <vt:i4>1250</vt:i4>
      </vt:variant>
      <vt:variant>
        <vt:i4>0</vt:i4>
      </vt:variant>
      <vt:variant>
        <vt:i4>5</vt:i4>
      </vt:variant>
      <vt:variant>
        <vt:lpwstr/>
      </vt:variant>
      <vt:variant>
        <vt:lpwstr>_Toc416192667</vt:lpwstr>
      </vt:variant>
      <vt:variant>
        <vt:i4>1245245</vt:i4>
      </vt:variant>
      <vt:variant>
        <vt:i4>1244</vt:i4>
      </vt:variant>
      <vt:variant>
        <vt:i4>0</vt:i4>
      </vt:variant>
      <vt:variant>
        <vt:i4>5</vt:i4>
      </vt:variant>
      <vt:variant>
        <vt:lpwstr/>
      </vt:variant>
      <vt:variant>
        <vt:lpwstr>_Toc416192666</vt:lpwstr>
      </vt:variant>
      <vt:variant>
        <vt:i4>1245245</vt:i4>
      </vt:variant>
      <vt:variant>
        <vt:i4>1238</vt:i4>
      </vt:variant>
      <vt:variant>
        <vt:i4>0</vt:i4>
      </vt:variant>
      <vt:variant>
        <vt:i4>5</vt:i4>
      </vt:variant>
      <vt:variant>
        <vt:lpwstr/>
      </vt:variant>
      <vt:variant>
        <vt:lpwstr>_Toc416192665</vt:lpwstr>
      </vt:variant>
      <vt:variant>
        <vt:i4>1245245</vt:i4>
      </vt:variant>
      <vt:variant>
        <vt:i4>1232</vt:i4>
      </vt:variant>
      <vt:variant>
        <vt:i4>0</vt:i4>
      </vt:variant>
      <vt:variant>
        <vt:i4>5</vt:i4>
      </vt:variant>
      <vt:variant>
        <vt:lpwstr/>
      </vt:variant>
      <vt:variant>
        <vt:lpwstr>_Toc416192664</vt:lpwstr>
      </vt:variant>
      <vt:variant>
        <vt:i4>1245245</vt:i4>
      </vt:variant>
      <vt:variant>
        <vt:i4>1226</vt:i4>
      </vt:variant>
      <vt:variant>
        <vt:i4>0</vt:i4>
      </vt:variant>
      <vt:variant>
        <vt:i4>5</vt:i4>
      </vt:variant>
      <vt:variant>
        <vt:lpwstr/>
      </vt:variant>
      <vt:variant>
        <vt:lpwstr>_Toc416192663</vt:lpwstr>
      </vt:variant>
      <vt:variant>
        <vt:i4>1245245</vt:i4>
      </vt:variant>
      <vt:variant>
        <vt:i4>1220</vt:i4>
      </vt:variant>
      <vt:variant>
        <vt:i4>0</vt:i4>
      </vt:variant>
      <vt:variant>
        <vt:i4>5</vt:i4>
      </vt:variant>
      <vt:variant>
        <vt:lpwstr/>
      </vt:variant>
      <vt:variant>
        <vt:lpwstr>_Toc416192662</vt:lpwstr>
      </vt:variant>
      <vt:variant>
        <vt:i4>1245245</vt:i4>
      </vt:variant>
      <vt:variant>
        <vt:i4>1214</vt:i4>
      </vt:variant>
      <vt:variant>
        <vt:i4>0</vt:i4>
      </vt:variant>
      <vt:variant>
        <vt:i4>5</vt:i4>
      </vt:variant>
      <vt:variant>
        <vt:lpwstr/>
      </vt:variant>
      <vt:variant>
        <vt:lpwstr>_Toc416192661</vt:lpwstr>
      </vt:variant>
      <vt:variant>
        <vt:i4>1245245</vt:i4>
      </vt:variant>
      <vt:variant>
        <vt:i4>1208</vt:i4>
      </vt:variant>
      <vt:variant>
        <vt:i4>0</vt:i4>
      </vt:variant>
      <vt:variant>
        <vt:i4>5</vt:i4>
      </vt:variant>
      <vt:variant>
        <vt:lpwstr/>
      </vt:variant>
      <vt:variant>
        <vt:lpwstr>_Toc416192660</vt:lpwstr>
      </vt:variant>
      <vt:variant>
        <vt:i4>1048637</vt:i4>
      </vt:variant>
      <vt:variant>
        <vt:i4>1202</vt:i4>
      </vt:variant>
      <vt:variant>
        <vt:i4>0</vt:i4>
      </vt:variant>
      <vt:variant>
        <vt:i4>5</vt:i4>
      </vt:variant>
      <vt:variant>
        <vt:lpwstr/>
      </vt:variant>
      <vt:variant>
        <vt:lpwstr>_Toc416192659</vt:lpwstr>
      </vt:variant>
      <vt:variant>
        <vt:i4>1048637</vt:i4>
      </vt:variant>
      <vt:variant>
        <vt:i4>1196</vt:i4>
      </vt:variant>
      <vt:variant>
        <vt:i4>0</vt:i4>
      </vt:variant>
      <vt:variant>
        <vt:i4>5</vt:i4>
      </vt:variant>
      <vt:variant>
        <vt:lpwstr/>
      </vt:variant>
      <vt:variant>
        <vt:lpwstr>_Toc416192658</vt:lpwstr>
      </vt:variant>
      <vt:variant>
        <vt:i4>1048637</vt:i4>
      </vt:variant>
      <vt:variant>
        <vt:i4>1190</vt:i4>
      </vt:variant>
      <vt:variant>
        <vt:i4>0</vt:i4>
      </vt:variant>
      <vt:variant>
        <vt:i4>5</vt:i4>
      </vt:variant>
      <vt:variant>
        <vt:lpwstr/>
      </vt:variant>
      <vt:variant>
        <vt:lpwstr>_Toc416192657</vt:lpwstr>
      </vt:variant>
      <vt:variant>
        <vt:i4>1048637</vt:i4>
      </vt:variant>
      <vt:variant>
        <vt:i4>1184</vt:i4>
      </vt:variant>
      <vt:variant>
        <vt:i4>0</vt:i4>
      </vt:variant>
      <vt:variant>
        <vt:i4>5</vt:i4>
      </vt:variant>
      <vt:variant>
        <vt:lpwstr/>
      </vt:variant>
      <vt:variant>
        <vt:lpwstr>_Toc416192656</vt:lpwstr>
      </vt:variant>
      <vt:variant>
        <vt:i4>1048637</vt:i4>
      </vt:variant>
      <vt:variant>
        <vt:i4>1178</vt:i4>
      </vt:variant>
      <vt:variant>
        <vt:i4>0</vt:i4>
      </vt:variant>
      <vt:variant>
        <vt:i4>5</vt:i4>
      </vt:variant>
      <vt:variant>
        <vt:lpwstr/>
      </vt:variant>
      <vt:variant>
        <vt:lpwstr>_Toc416192655</vt:lpwstr>
      </vt:variant>
      <vt:variant>
        <vt:i4>1048637</vt:i4>
      </vt:variant>
      <vt:variant>
        <vt:i4>1172</vt:i4>
      </vt:variant>
      <vt:variant>
        <vt:i4>0</vt:i4>
      </vt:variant>
      <vt:variant>
        <vt:i4>5</vt:i4>
      </vt:variant>
      <vt:variant>
        <vt:lpwstr/>
      </vt:variant>
      <vt:variant>
        <vt:lpwstr>_Toc416192654</vt:lpwstr>
      </vt:variant>
      <vt:variant>
        <vt:i4>1048637</vt:i4>
      </vt:variant>
      <vt:variant>
        <vt:i4>1166</vt:i4>
      </vt:variant>
      <vt:variant>
        <vt:i4>0</vt:i4>
      </vt:variant>
      <vt:variant>
        <vt:i4>5</vt:i4>
      </vt:variant>
      <vt:variant>
        <vt:lpwstr/>
      </vt:variant>
      <vt:variant>
        <vt:lpwstr>_Toc416192653</vt:lpwstr>
      </vt:variant>
      <vt:variant>
        <vt:i4>1048637</vt:i4>
      </vt:variant>
      <vt:variant>
        <vt:i4>1160</vt:i4>
      </vt:variant>
      <vt:variant>
        <vt:i4>0</vt:i4>
      </vt:variant>
      <vt:variant>
        <vt:i4>5</vt:i4>
      </vt:variant>
      <vt:variant>
        <vt:lpwstr/>
      </vt:variant>
      <vt:variant>
        <vt:lpwstr>_Toc416192652</vt:lpwstr>
      </vt:variant>
      <vt:variant>
        <vt:i4>1048637</vt:i4>
      </vt:variant>
      <vt:variant>
        <vt:i4>1154</vt:i4>
      </vt:variant>
      <vt:variant>
        <vt:i4>0</vt:i4>
      </vt:variant>
      <vt:variant>
        <vt:i4>5</vt:i4>
      </vt:variant>
      <vt:variant>
        <vt:lpwstr/>
      </vt:variant>
      <vt:variant>
        <vt:lpwstr>_Toc416192651</vt:lpwstr>
      </vt:variant>
      <vt:variant>
        <vt:i4>1048637</vt:i4>
      </vt:variant>
      <vt:variant>
        <vt:i4>1148</vt:i4>
      </vt:variant>
      <vt:variant>
        <vt:i4>0</vt:i4>
      </vt:variant>
      <vt:variant>
        <vt:i4>5</vt:i4>
      </vt:variant>
      <vt:variant>
        <vt:lpwstr/>
      </vt:variant>
      <vt:variant>
        <vt:lpwstr>_Toc416192650</vt:lpwstr>
      </vt:variant>
      <vt:variant>
        <vt:i4>1114173</vt:i4>
      </vt:variant>
      <vt:variant>
        <vt:i4>1142</vt:i4>
      </vt:variant>
      <vt:variant>
        <vt:i4>0</vt:i4>
      </vt:variant>
      <vt:variant>
        <vt:i4>5</vt:i4>
      </vt:variant>
      <vt:variant>
        <vt:lpwstr/>
      </vt:variant>
      <vt:variant>
        <vt:lpwstr>_Toc416192649</vt:lpwstr>
      </vt:variant>
      <vt:variant>
        <vt:i4>1114173</vt:i4>
      </vt:variant>
      <vt:variant>
        <vt:i4>1136</vt:i4>
      </vt:variant>
      <vt:variant>
        <vt:i4>0</vt:i4>
      </vt:variant>
      <vt:variant>
        <vt:i4>5</vt:i4>
      </vt:variant>
      <vt:variant>
        <vt:lpwstr/>
      </vt:variant>
      <vt:variant>
        <vt:lpwstr>_Toc416192648</vt:lpwstr>
      </vt:variant>
      <vt:variant>
        <vt:i4>1114173</vt:i4>
      </vt:variant>
      <vt:variant>
        <vt:i4>1130</vt:i4>
      </vt:variant>
      <vt:variant>
        <vt:i4>0</vt:i4>
      </vt:variant>
      <vt:variant>
        <vt:i4>5</vt:i4>
      </vt:variant>
      <vt:variant>
        <vt:lpwstr/>
      </vt:variant>
      <vt:variant>
        <vt:lpwstr>_Toc416192647</vt:lpwstr>
      </vt:variant>
      <vt:variant>
        <vt:i4>1114173</vt:i4>
      </vt:variant>
      <vt:variant>
        <vt:i4>1124</vt:i4>
      </vt:variant>
      <vt:variant>
        <vt:i4>0</vt:i4>
      </vt:variant>
      <vt:variant>
        <vt:i4>5</vt:i4>
      </vt:variant>
      <vt:variant>
        <vt:lpwstr/>
      </vt:variant>
      <vt:variant>
        <vt:lpwstr>_Toc416192646</vt:lpwstr>
      </vt:variant>
      <vt:variant>
        <vt:i4>1114173</vt:i4>
      </vt:variant>
      <vt:variant>
        <vt:i4>1118</vt:i4>
      </vt:variant>
      <vt:variant>
        <vt:i4>0</vt:i4>
      </vt:variant>
      <vt:variant>
        <vt:i4>5</vt:i4>
      </vt:variant>
      <vt:variant>
        <vt:lpwstr/>
      </vt:variant>
      <vt:variant>
        <vt:lpwstr>_Toc416192645</vt:lpwstr>
      </vt:variant>
      <vt:variant>
        <vt:i4>1114173</vt:i4>
      </vt:variant>
      <vt:variant>
        <vt:i4>1112</vt:i4>
      </vt:variant>
      <vt:variant>
        <vt:i4>0</vt:i4>
      </vt:variant>
      <vt:variant>
        <vt:i4>5</vt:i4>
      </vt:variant>
      <vt:variant>
        <vt:lpwstr/>
      </vt:variant>
      <vt:variant>
        <vt:lpwstr>_Toc416192644</vt:lpwstr>
      </vt:variant>
      <vt:variant>
        <vt:i4>1114173</vt:i4>
      </vt:variant>
      <vt:variant>
        <vt:i4>1106</vt:i4>
      </vt:variant>
      <vt:variant>
        <vt:i4>0</vt:i4>
      </vt:variant>
      <vt:variant>
        <vt:i4>5</vt:i4>
      </vt:variant>
      <vt:variant>
        <vt:lpwstr/>
      </vt:variant>
      <vt:variant>
        <vt:lpwstr>_Toc416192643</vt:lpwstr>
      </vt:variant>
      <vt:variant>
        <vt:i4>1114173</vt:i4>
      </vt:variant>
      <vt:variant>
        <vt:i4>1100</vt:i4>
      </vt:variant>
      <vt:variant>
        <vt:i4>0</vt:i4>
      </vt:variant>
      <vt:variant>
        <vt:i4>5</vt:i4>
      </vt:variant>
      <vt:variant>
        <vt:lpwstr/>
      </vt:variant>
      <vt:variant>
        <vt:lpwstr>_Toc416192642</vt:lpwstr>
      </vt:variant>
      <vt:variant>
        <vt:i4>1114173</vt:i4>
      </vt:variant>
      <vt:variant>
        <vt:i4>1094</vt:i4>
      </vt:variant>
      <vt:variant>
        <vt:i4>0</vt:i4>
      </vt:variant>
      <vt:variant>
        <vt:i4>5</vt:i4>
      </vt:variant>
      <vt:variant>
        <vt:lpwstr/>
      </vt:variant>
      <vt:variant>
        <vt:lpwstr>_Toc416192641</vt:lpwstr>
      </vt:variant>
      <vt:variant>
        <vt:i4>1114173</vt:i4>
      </vt:variant>
      <vt:variant>
        <vt:i4>1088</vt:i4>
      </vt:variant>
      <vt:variant>
        <vt:i4>0</vt:i4>
      </vt:variant>
      <vt:variant>
        <vt:i4>5</vt:i4>
      </vt:variant>
      <vt:variant>
        <vt:lpwstr/>
      </vt:variant>
      <vt:variant>
        <vt:lpwstr>_Toc416192640</vt:lpwstr>
      </vt:variant>
      <vt:variant>
        <vt:i4>1441853</vt:i4>
      </vt:variant>
      <vt:variant>
        <vt:i4>1082</vt:i4>
      </vt:variant>
      <vt:variant>
        <vt:i4>0</vt:i4>
      </vt:variant>
      <vt:variant>
        <vt:i4>5</vt:i4>
      </vt:variant>
      <vt:variant>
        <vt:lpwstr/>
      </vt:variant>
      <vt:variant>
        <vt:lpwstr>_Toc416192639</vt:lpwstr>
      </vt:variant>
      <vt:variant>
        <vt:i4>1441853</vt:i4>
      </vt:variant>
      <vt:variant>
        <vt:i4>1076</vt:i4>
      </vt:variant>
      <vt:variant>
        <vt:i4>0</vt:i4>
      </vt:variant>
      <vt:variant>
        <vt:i4>5</vt:i4>
      </vt:variant>
      <vt:variant>
        <vt:lpwstr/>
      </vt:variant>
      <vt:variant>
        <vt:lpwstr>_Toc416192638</vt:lpwstr>
      </vt:variant>
      <vt:variant>
        <vt:i4>1441853</vt:i4>
      </vt:variant>
      <vt:variant>
        <vt:i4>1070</vt:i4>
      </vt:variant>
      <vt:variant>
        <vt:i4>0</vt:i4>
      </vt:variant>
      <vt:variant>
        <vt:i4>5</vt:i4>
      </vt:variant>
      <vt:variant>
        <vt:lpwstr/>
      </vt:variant>
      <vt:variant>
        <vt:lpwstr>_Toc416192637</vt:lpwstr>
      </vt:variant>
      <vt:variant>
        <vt:i4>1441853</vt:i4>
      </vt:variant>
      <vt:variant>
        <vt:i4>1064</vt:i4>
      </vt:variant>
      <vt:variant>
        <vt:i4>0</vt:i4>
      </vt:variant>
      <vt:variant>
        <vt:i4>5</vt:i4>
      </vt:variant>
      <vt:variant>
        <vt:lpwstr/>
      </vt:variant>
      <vt:variant>
        <vt:lpwstr>_Toc416192636</vt:lpwstr>
      </vt:variant>
      <vt:variant>
        <vt:i4>1441853</vt:i4>
      </vt:variant>
      <vt:variant>
        <vt:i4>1058</vt:i4>
      </vt:variant>
      <vt:variant>
        <vt:i4>0</vt:i4>
      </vt:variant>
      <vt:variant>
        <vt:i4>5</vt:i4>
      </vt:variant>
      <vt:variant>
        <vt:lpwstr/>
      </vt:variant>
      <vt:variant>
        <vt:lpwstr>_Toc416192635</vt:lpwstr>
      </vt:variant>
      <vt:variant>
        <vt:i4>1441853</vt:i4>
      </vt:variant>
      <vt:variant>
        <vt:i4>1052</vt:i4>
      </vt:variant>
      <vt:variant>
        <vt:i4>0</vt:i4>
      </vt:variant>
      <vt:variant>
        <vt:i4>5</vt:i4>
      </vt:variant>
      <vt:variant>
        <vt:lpwstr/>
      </vt:variant>
      <vt:variant>
        <vt:lpwstr>_Toc416192634</vt:lpwstr>
      </vt:variant>
      <vt:variant>
        <vt:i4>1441853</vt:i4>
      </vt:variant>
      <vt:variant>
        <vt:i4>1046</vt:i4>
      </vt:variant>
      <vt:variant>
        <vt:i4>0</vt:i4>
      </vt:variant>
      <vt:variant>
        <vt:i4>5</vt:i4>
      </vt:variant>
      <vt:variant>
        <vt:lpwstr/>
      </vt:variant>
      <vt:variant>
        <vt:lpwstr>_Toc416192633</vt:lpwstr>
      </vt:variant>
      <vt:variant>
        <vt:i4>1441853</vt:i4>
      </vt:variant>
      <vt:variant>
        <vt:i4>1040</vt:i4>
      </vt:variant>
      <vt:variant>
        <vt:i4>0</vt:i4>
      </vt:variant>
      <vt:variant>
        <vt:i4>5</vt:i4>
      </vt:variant>
      <vt:variant>
        <vt:lpwstr/>
      </vt:variant>
      <vt:variant>
        <vt:lpwstr>_Toc416192632</vt:lpwstr>
      </vt:variant>
      <vt:variant>
        <vt:i4>1441853</vt:i4>
      </vt:variant>
      <vt:variant>
        <vt:i4>1034</vt:i4>
      </vt:variant>
      <vt:variant>
        <vt:i4>0</vt:i4>
      </vt:variant>
      <vt:variant>
        <vt:i4>5</vt:i4>
      </vt:variant>
      <vt:variant>
        <vt:lpwstr/>
      </vt:variant>
      <vt:variant>
        <vt:lpwstr>_Toc416192631</vt:lpwstr>
      </vt:variant>
      <vt:variant>
        <vt:i4>1441853</vt:i4>
      </vt:variant>
      <vt:variant>
        <vt:i4>1028</vt:i4>
      </vt:variant>
      <vt:variant>
        <vt:i4>0</vt:i4>
      </vt:variant>
      <vt:variant>
        <vt:i4>5</vt:i4>
      </vt:variant>
      <vt:variant>
        <vt:lpwstr/>
      </vt:variant>
      <vt:variant>
        <vt:lpwstr>_Toc416192630</vt:lpwstr>
      </vt:variant>
      <vt:variant>
        <vt:i4>1507389</vt:i4>
      </vt:variant>
      <vt:variant>
        <vt:i4>1022</vt:i4>
      </vt:variant>
      <vt:variant>
        <vt:i4>0</vt:i4>
      </vt:variant>
      <vt:variant>
        <vt:i4>5</vt:i4>
      </vt:variant>
      <vt:variant>
        <vt:lpwstr/>
      </vt:variant>
      <vt:variant>
        <vt:lpwstr>_Toc416192629</vt:lpwstr>
      </vt:variant>
      <vt:variant>
        <vt:i4>1507389</vt:i4>
      </vt:variant>
      <vt:variant>
        <vt:i4>1016</vt:i4>
      </vt:variant>
      <vt:variant>
        <vt:i4>0</vt:i4>
      </vt:variant>
      <vt:variant>
        <vt:i4>5</vt:i4>
      </vt:variant>
      <vt:variant>
        <vt:lpwstr/>
      </vt:variant>
      <vt:variant>
        <vt:lpwstr>_Toc416192628</vt:lpwstr>
      </vt:variant>
      <vt:variant>
        <vt:i4>1507389</vt:i4>
      </vt:variant>
      <vt:variant>
        <vt:i4>1010</vt:i4>
      </vt:variant>
      <vt:variant>
        <vt:i4>0</vt:i4>
      </vt:variant>
      <vt:variant>
        <vt:i4>5</vt:i4>
      </vt:variant>
      <vt:variant>
        <vt:lpwstr/>
      </vt:variant>
      <vt:variant>
        <vt:lpwstr>_Toc416192627</vt:lpwstr>
      </vt:variant>
      <vt:variant>
        <vt:i4>1507389</vt:i4>
      </vt:variant>
      <vt:variant>
        <vt:i4>1004</vt:i4>
      </vt:variant>
      <vt:variant>
        <vt:i4>0</vt:i4>
      </vt:variant>
      <vt:variant>
        <vt:i4>5</vt:i4>
      </vt:variant>
      <vt:variant>
        <vt:lpwstr/>
      </vt:variant>
      <vt:variant>
        <vt:lpwstr>_Toc416192626</vt:lpwstr>
      </vt:variant>
      <vt:variant>
        <vt:i4>1507389</vt:i4>
      </vt:variant>
      <vt:variant>
        <vt:i4>998</vt:i4>
      </vt:variant>
      <vt:variant>
        <vt:i4>0</vt:i4>
      </vt:variant>
      <vt:variant>
        <vt:i4>5</vt:i4>
      </vt:variant>
      <vt:variant>
        <vt:lpwstr/>
      </vt:variant>
      <vt:variant>
        <vt:lpwstr>_Toc416192625</vt:lpwstr>
      </vt:variant>
      <vt:variant>
        <vt:i4>1507389</vt:i4>
      </vt:variant>
      <vt:variant>
        <vt:i4>992</vt:i4>
      </vt:variant>
      <vt:variant>
        <vt:i4>0</vt:i4>
      </vt:variant>
      <vt:variant>
        <vt:i4>5</vt:i4>
      </vt:variant>
      <vt:variant>
        <vt:lpwstr/>
      </vt:variant>
      <vt:variant>
        <vt:lpwstr>_Toc416192624</vt:lpwstr>
      </vt:variant>
      <vt:variant>
        <vt:i4>1507389</vt:i4>
      </vt:variant>
      <vt:variant>
        <vt:i4>986</vt:i4>
      </vt:variant>
      <vt:variant>
        <vt:i4>0</vt:i4>
      </vt:variant>
      <vt:variant>
        <vt:i4>5</vt:i4>
      </vt:variant>
      <vt:variant>
        <vt:lpwstr/>
      </vt:variant>
      <vt:variant>
        <vt:lpwstr>_Toc416192623</vt:lpwstr>
      </vt:variant>
      <vt:variant>
        <vt:i4>1507389</vt:i4>
      </vt:variant>
      <vt:variant>
        <vt:i4>980</vt:i4>
      </vt:variant>
      <vt:variant>
        <vt:i4>0</vt:i4>
      </vt:variant>
      <vt:variant>
        <vt:i4>5</vt:i4>
      </vt:variant>
      <vt:variant>
        <vt:lpwstr/>
      </vt:variant>
      <vt:variant>
        <vt:lpwstr>_Toc416192622</vt:lpwstr>
      </vt:variant>
      <vt:variant>
        <vt:i4>1507389</vt:i4>
      </vt:variant>
      <vt:variant>
        <vt:i4>974</vt:i4>
      </vt:variant>
      <vt:variant>
        <vt:i4>0</vt:i4>
      </vt:variant>
      <vt:variant>
        <vt:i4>5</vt:i4>
      </vt:variant>
      <vt:variant>
        <vt:lpwstr/>
      </vt:variant>
      <vt:variant>
        <vt:lpwstr>_Toc416192621</vt:lpwstr>
      </vt:variant>
      <vt:variant>
        <vt:i4>1507389</vt:i4>
      </vt:variant>
      <vt:variant>
        <vt:i4>968</vt:i4>
      </vt:variant>
      <vt:variant>
        <vt:i4>0</vt:i4>
      </vt:variant>
      <vt:variant>
        <vt:i4>5</vt:i4>
      </vt:variant>
      <vt:variant>
        <vt:lpwstr/>
      </vt:variant>
      <vt:variant>
        <vt:lpwstr>_Toc416192620</vt:lpwstr>
      </vt:variant>
      <vt:variant>
        <vt:i4>1310781</vt:i4>
      </vt:variant>
      <vt:variant>
        <vt:i4>962</vt:i4>
      </vt:variant>
      <vt:variant>
        <vt:i4>0</vt:i4>
      </vt:variant>
      <vt:variant>
        <vt:i4>5</vt:i4>
      </vt:variant>
      <vt:variant>
        <vt:lpwstr/>
      </vt:variant>
      <vt:variant>
        <vt:lpwstr>_Toc416192619</vt:lpwstr>
      </vt:variant>
      <vt:variant>
        <vt:i4>1310781</vt:i4>
      </vt:variant>
      <vt:variant>
        <vt:i4>956</vt:i4>
      </vt:variant>
      <vt:variant>
        <vt:i4>0</vt:i4>
      </vt:variant>
      <vt:variant>
        <vt:i4>5</vt:i4>
      </vt:variant>
      <vt:variant>
        <vt:lpwstr/>
      </vt:variant>
      <vt:variant>
        <vt:lpwstr>_Toc416192618</vt:lpwstr>
      </vt:variant>
      <vt:variant>
        <vt:i4>1310781</vt:i4>
      </vt:variant>
      <vt:variant>
        <vt:i4>950</vt:i4>
      </vt:variant>
      <vt:variant>
        <vt:i4>0</vt:i4>
      </vt:variant>
      <vt:variant>
        <vt:i4>5</vt:i4>
      </vt:variant>
      <vt:variant>
        <vt:lpwstr/>
      </vt:variant>
      <vt:variant>
        <vt:lpwstr>_Toc416192617</vt:lpwstr>
      </vt:variant>
      <vt:variant>
        <vt:i4>1310781</vt:i4>
      </vt:variant>
      <vt:variant>
        <vt:i4>944</vt:i4>
      </vt:variant>
      <vt:variant>
        <vt:i4>0</vt:i4>
      </vt:variant>
      <vt:variant>
        <vt:i4>5</vt:i4>
      </vt:variant>
      <vt:variant>
        <vt:lpwstr/>
      </vt:variant>
      <vt:variant>
        <vt:lpwstr>_Toc416192616</vt:lpwstr>
      </vt:variant>
      <vt:variant>
        <vt:i4>1310781</vt:i4>
      </vt:variant>
      <vt:variant>
        <vt:i4>938</vt:i4>
      </vt:variant>
      <vt:variant>
        <vt:i4>0</vt:i4>
      </vt:variant>
      <vt:variant>
        <vt:i4>5</vt:i4>
      </vt:variant>
      <vt:variant>
        <vt:lpwstr/>
      </vt:variant>
      <vt:variant>
        <vt:lpwstr>_Toc416192615</vt:lpwstr>
      </vt:variant>
      <vt:variant>
        <vt:i4>1310781</vt:i4>
      </vt:variant>
      <vt:variant>
        <vt:i4>932</vt:i4>
      </vt:variant>
      <vt:variant>
        <vt:i4>0</vt:i4>
      </vt:variant>
      <vt:variant>
        <vt:i4>5</vt:i4>
      </vt:variant>
      <vt:variant>
        <vt:lpwstr/>
      </vt:variant>
      <vt:variant>
        <vt:lpwstr>_Toc416192614</vt:lpwstr>
      </vt:variant>
      <vt:variant>
        <vt:i4>1310781</vt:i4>
      </vt:variant>
      <vt:variant>
        <vt:i4>926</vt:i4>
      </vt:variant>
      <vt:variant>
        <vt:i4>0</vt:i4>
      </vt:variant>
      <vt:variant>
        <vt:i4>5</vt:i4>
      </vt:variant>
      <vt:variant>
        <vt:lpwstr/>
      </vt:variant>
      <vt:variant>
        <vt:lpwstr>_Toc416192613</vt:lpwstr>
      </vt:variant>
      <vt:variant>
        <vt:i4>1310781</vt:i4>
      </vt:variant>
      <vt:variant>
        <vt:i4>920</vt:i4>
      </vt:variant>
      <vt:variant>
        <vt:i4>0</vt:i4>
      </vt:variant>
      <vt:variant>
        <vt:i4>5</vt:i4>
      </vt:variant>
      <vt:variant>
        <vt:lpwstr/>
      </vt:variant>
      <vt:variant>
        <vt:lpwstr>_Toc416192612</vt:lpwstr>
      </vt:variant>
      <vt:variant>
        <vt:i4>1310781</vt:i4>
      </vt:variant>
      <vt:variant>
        <vt:i4>914</vt:i4>
      </vt:variant>
      <vt:variant>
        <vt:i4>0</vt:i4>
      </vt:variant>
      <vt:variant>
        <vt:i4>5</vt:i4>
      </vt:variant>
      <vt:variant>
        <vt:lpwstr/>
      </vt:variant>
      <vt:variant>
        <vt:lpwstr>_Toc416192611</vt:lpwstr>
      </vt:variant>
      <vt:variant>
        <vt:i4>1310781</vt:i4>
      </vt:variant>
      <vt:variant>
        <vt:i4>908</vt:i4>
      </vt:variant>
      <vt:variant>
        <vt:i4>0</vt:i4>
      </vt:variant>
      <vt:variant>
        <vt:i4>5</vt:i4>
      </vt:variant>
      <vt:variant>
        <vt:lpwstr/>
      </vt:variant>
      <vt:variant>
        <vt:lpwstr>_Toc416192610</vt:lpwstr>
      </vt:variant>
      <vt:variant>
        <vt:i4>1376317</vt:i4>
      </vt:variant>
      <vt:variant>
        <vt:i4>902</vt:i4>
      </vt:variant>
      <vt:variant>
        <vt:i4>0</vt:i4>
      </vt:variant>
      <vt:variant>
        <vt:i4>5</vt:i4>
      </vt:variant>
      <vt:variant>
        <vt:lpwstr/>
      </vt:variant>
      <vt:variant>
        <vt:lpwstr>_Toc416192609</vt:lpwstr>
      </vt:variant>
      <vt:variant>
        <vt:i4>1376317</vt:i4>
      </vt:variant>
      <vt:variant>
        <vt:i4>896</vt:i4>
      </vt:variant>
      <vt:variant>
        <vt:i4>0</vt:i4>
      </vt:variant>
      <vt:variant>
        <vt:i4>5</vt:i4>
      </vt:variant>
      <vt:variant>
        <vt:lpwstr/>
      </vt:variant>
      <vt:variant>
        <vt:lpwstr>_Toc416192608</vt:lpwstr>
      </vt:variant>
      <vt:variant>
        <vt:i4>1376317</vt:i4>
      </vt:variant>
      <vt:variant>
        <vt:i4>890</vt:i4>
      </vt:variant>
      <vt:variant>
        <vt:i4>0</vt:i4>
      </vt:variant>
      <vt:variant>
        <vt:i4>5</vt:i4>
      </vt:variant>
      <vt:variant>
        <vt:lpwstr/>
      </vt:variant>
      <vt:variant>
        <vt:lpwstr>_Toc416192607</vt:lpwstr>
      </vt:variant>
      <vt:variant>
        <vt:i4>1376317</vt:i4>
      </vt:variant>
      <vt:variant>
        <vt:i4>884</vt:i4>
      </vt:variant>
      <vt:variant>
        <vt:i4>0</vt:i4>
      </vt:variant>
      <vt:variant>
        <vt:i4>5</vt:i4>
      </vt:variant>
      <vt:variant>
        <vt:lpwstr/>
      </vt:variant>
      <vt:variant>
        <vt:lpwstr>_Toc416192606</vt:lpwstr>
      </vt:variant>
      <vt:variant>
        <vt:i4>1376317</vt:i4>
      </vt:variant>
      <vt:variant>
        <vt:i4>878</vt:i4>
      </vt:variant>
      <vt:variant>
        <vt:i4>0</vt:i4>
      </vt:variant>
      <vt:variant>
        <vt:i4>5</vt:i4>
      </vt:variant>
      <vt:variant>
        <vt:lpwstr/>
      </vt:variant>
      <vt:variant>
        <vt:lpwstr>_Toc416192605</vt:lpwstr>
      </vt:variant>
      <vt:variant>
        <vt:i4>1376317</vt:i4>
      </vt:variant>
      <vt:variant>
        <vt:i4>872</vt:i4>
      </vt:variant>
      <vt:variant>
        <vt:i4>0</vt:i4>
      </vt:variant>
      <vt:variant>
        <vt:i4>5</vt:i4>
      </vt:variant>
      <vt:variant>
        <vt:lpwstr/>
      </vt:variant>
      <vt:variant>
        <vt:lpwstr>_Toc416192604</vt:lpwstr>
      </vt:variant>
      <vt:variant>
        <vt:i4>1376317</vt:i4>
      </vt:variant>
      <vt:variant>
        <vt:i4>866</vt:i4>
      </vt:variant>
      <vt:variant>
        <vt:i4>0</vt:i4>
      </vt:variant>
      <vt:variant>
        <vt:i4>5</vt:i4>
      </vt:variant>
      <vt:variant>
        <vt:lpwstr/>
      </vt:variant>
      <vt:variant>
        <vt:lpwstr>_Toc416192603</vt:lpwstr>
      </vt:variant>
      <vt:variant>
        <vt:i4>1376317</vt:i4>
      </vt:variant>
      <vt:variant>
        <vt:i4>860</vt:i4>
      </vt:variant>
      <vt:variant>
        <vt:i4>0</vt:i4>
      </vt:variant>
      <vt:variant>
        <vt:i4>5</vt:i4>
      </vt:variant>
      <vt:variant>
        <vt:lpwstr/>
      </vt:variant>
      <vt:variant>
        <vt:lpwstr>_Toc416192602</vt:lpwstr>
      </vt:variant>
      <vt:variant>
        <vt:i4>1376317</vt:i4>
      </vt:variant>
      <vt:variant>
        <vt:i4>854</vt:i4>
      </vt:variant>
      <vt:variant>
        <vt:i4>0</vt:i4>
      </vt:variant>
      <vt:variant>
        <vt:i4>5</vt:i4>
      </vt:variant>
      <vt:variant>
        <vt:lpwstr/>
      </vt:variant>
      <vt:variant>
        <vt:lpwstr>_Toc416192601</vt:lpwstr>
      </vt:variant>
      <vt:variant>
        <vt:i4>1376317</vt:i4>
      </vt:variant>
      <vt:variant>
        <vt:i4>848</vt:i4>
      </vt:variant>
      <vt:variant>
        <vt:i4>0</vt:i4>
      </vt:variant>
      <vt:variant>
        <vt:i4>5</vt:i4>
      </vt:variant>
      <vt:variant>
        <vt:lpwstr/>
      </vt:variant>
      <vt:variant>
        <vt:lpwstr>_Toc416192600</vt:lpwstr>
      </vt:variant>
      <vt:variant>
        <vt:i4>1835070</vt:i4>
      </vt:variant>
      <vt:variant>
        <vt:i4>842</vt:i4>
      </vt:variant>
      <vt:variant>
        <vt:i4>0</vt:i4>
      </vt:variant>
      <vt:variant>
        <vt:i4>5</vt:i4>
      </vt:variant>
      <vt:variant>
        <vt:lpwstr/>
      </vt:variant>
      <vt:variant>
        <vt:lpwstr>_Toc416192599</vt:lpwstr>
      </vt:variant>
      <vt:variant>
        <vt:i4>1835070</vt:i4>
      </vt:variant>
      <vt:variant>
        <vt:i4>836</vt:i4>
      </vt:variant>
      <vt:variant>
        <vt:i4>0</vt:i4>
      </vt:variant>
      <vt:variant>
        <vt:i4>5</vt:i4>
      </vt:variant>
      <vt:variant>
        <vt:lpwstr/>
      </vt:variant>
      <vt:variant>
        <vt:lpwstr>_Toc416192598</vt:lpwstr>
      </vt:variant>
      <vt:variant>
        <vt:i4>1835070</vt:i4>
      </vt:variant>
      <vt:variant>
        <vt:i4>830</vt:i4>
      </vt:variant>
      <vt:variant>
        <vt:i4>0</vt:i4>
      </vt:variant>
      <vt:variant>
        <vt:i4>5</vt:i4>
      </vt:variant>
      <vt:variant>
        <vt:lpwstr/>
      </vt:variant>
      <vt:variant>
        <vt:lpwstr>_Toc416192597</vt:lpwstr>
      </vt:variant>
      <vt:variant>
        <vt:i4>1835070</vt:i4>
      </vt:variant>
      <vt:variant>
        <vt:i4>824</vt:i4>
      </vt:variant>
      <vt:variant>
        <vt:i4>0</vt:i4>
      </vt:variant>
      <vt:variant>
        <vt:i4>5</vt:i4>
      </vt:variant>
      <vt:variant>
        <vt:lpwstr/>
      </vt:variant>
      <vt:variant>
        <vt:lpwstr>_Toc416192596</vt:lpwstr>
      </vt:variant>
      <vt:variant>
        <vt:i4>1835070</vt:i4>
      </vt:variant>
      <vt:variant>
        <vt:i4>818</vt:i4>
      </vt:variant>
      <vt:variant>
        <vt:i4>0</vt:i4>
      </vt:variant>
      <vt:variant>
        <vt:i4>5</vt:i4>
      </vt:variant>
      <vt:variant>
        <vt:lpwstr/>
      </vt:variant>
      <vt:variant>
        <vt:lpwstr>_Toc416192595</vt:lpwstr>
      </vt:variant>
      <vt:variant>
        <vt:i4>1835070</vt:i4>
      </vt:variant>
      <vt:variant>
        <vt:i4>812</vt:i4>
      </vt:variant>
      <vt:variant>
        <vt:i4>0</vt:i4>
      </vt:variant>
      <vt:variant>
        <vt:i4>5</vt:i4>
      </vt:variant>
      <vt:variant>
        <vt:lpwstr/>
      </vt:variant>
      <vt:variant>
        <vt:lpwstr>_Toc416192594</vt:lpwstr>
      </vt:variant>
      <vt:variant>
        <vt:i4>1835070</vt:i4>
      </vt:variant>
      <vt:variant>
        <vt:i4>806</vt:i4>
      </vt:variant>
      <vt:variant>
        <vt:i4>0</vt:i4>
      </vt:variant>
      <vt:variant>
        <vt:i4>5</vt:i4>
      </vt:variant>
      <vt:variant>
        <vt:lpwstr/>
      </vt:variant>
      <vt:variant>
        <vt:lpwstr>_Toc416192593</vt:lpwstr>
      </vt:variant>
      <vt:variant>
        <vt:i4>1835070</vt:i4>
      </vt:variant>
      <vt:variant>
        <vt:i4>800</vt:i4>
      </vt:variant>
      <vt:variant>
        <vt:i4>0</vt:i4>
      </vt:variant>
      <vt:variant>
        <vt:i4>5</vt:i4>
      </vt:variant>
      <vt:variant>
        <vt:lpwstr/>
      </vt:variant>
      <vt:variant>
        <vt:lpwstr>_Toc416192592</vt:lpwstr>
      </vt:variant>
      <vt:variant>
        <vt:i4>1835070</vt:i4>
      </vt:variant>
      <vt:variant>
        <vt:i4>794</vt:i4>
      </vt:variant>
      <vt:variant>
        <vt:i4>0</vt:i4>
      </vt:variant>
      <vt:variant>
        <vt:i4>5</vt:i4>
      </vt:variant>
      <vt:variant>
        <vt:lpwstr/>
      </vt:variant>
      <vt:variant>
        <vt:lpwstr>_Toc416192591</vt:lpwstr>
      </vt:variant>
      <vt:variant>
        <vt:i4>1835070</vt:i4>
      </vt:variant>
      <vt:variant>
        <vt:i4>788</vt:i4>
      </vt:variant>
      <vt:variant>
        <vt:i4>0</vt:i4>
      </vt:variant>
      <vt:variant>
        <vt:i4>5</vt:i4>
      </vt:variant>
      <vt:variant>
        <vt:lpwstr/>
      </vt:variant>
      <vt:variant>
        <vt:lpwstr>_Toc416192590</vt:lpwstr>
      </vt:variant>
      <vt:variant>
        <vt:i4>1900606</vt:i4>
      </vt:variant>
      <vt:variant>
        <vt:i4>782</vt:i4>
      </vt:variant>
      <vt:variant>
        <vt:i4>0</vt:i4>
      </vt:variant>
      <vt:variant>
        <vt:i4>5</vt:i4>
      </vt:variant>
      <vt:variant>
        <vt:lpwstr/>
      </vt:variant>
      <vt:variant>
        <vt:lpwstr>_Toc416192589</vt:lpwstr>
      </vt:variant>
      <vt:variant>
        <vt:i4>1900606</vt:i4>
      </vt:variant>
      <vt:variant>
        <vt:i4>776</vt:i4>
      </vt:variant>
      <vt:variant>
        <vt:i4>0</vt:i4>
      </vt:variant>
      <vt:variant>
        <vt:i4>5</vt:i4>
      </vt:variant>
      <vt:variant>
        <vt:lpwstr/>
      </vt:variant>
      <vt:variant>
        <vt:lpwstr>_Toc416192588</vt:lpwstr>
      </vt:variant>
      <vt:variant>
        <vt:i4>1900606</vt:i4>
      </vt:variant>
      <vt:variant>
        <vt:i4>770</vt:i4>
      </vt:variant>
      <vt:variant>
        <vt:i4>0</vt:i4>
      </vt:variant>
      <vt:variant>
        <vt:i4>5</vt:i4>
      </vt:variant>
      <vt:variant>
        <vt:lpwstr/>
      </vt:variant>
      <vt:variant>
        <vt:lpwstr>_Toc416192587</vt:lpwstr>
      </vt:variant>
      <vt:variant>
        <vt:i4>1900606</vt:i4>
      </vt:variant>
      <vt:variant>
        <vt:i4>764</vt:i4>
      </vt:variant>
      <vt:variant>
        <vt:i4>0</vt:i4>
      </vt:variant>
      <vt:variant>
        <vt:i4>5</vt:i4>
      </vt:variant>
      <vt:variant>
        <vt:lpwstr/>
      </vt:variant>
      <vt:variant>
        <vt:lpwstr>_Toc416192586</vt:lpwstr>
      </vt:variant>
      <vt:variant>
        <vt:i4>1900606</vt:i4>
      </vt:variant>
      <vt:variant>
        <vt:i4>758</vt:i4>
      </vt:variant>
      <vt:variant>
        <vt:i4>0</vt:i4>
      </vt:variant>
      <vt:variant>
        <vt:i4>5</vt:i4>
      </vt:variant>
      <vt:variant>
        <vt:lpwstr/>
      </vt:variant>
      <vt:variant>
        <vt:lpwstr>_Toc416192585</vt:lpwstr>
      </vt:variant>
      <vt:variant>
        <vt:i4>1900606</vt:i4>
      </vt:variant>
      <vt:variant>
        <vt:i4>752</vt:i4>
      </vt:variant>
      <vt:variant>
        <vt:i4>0</vt:i4>
      </vt:variant>
      <vt:variant>
        <vt:i4>5</vt:i4>
      </vt:variant>
      <vt:variant>
        <vt:lpwstr/>
      </vt:variant>
      <vt:variant>
        <vt:lpwstr>_Toc416192584</vt:lpwstr>
      </vt:variant>
      <vt:variant>
        <vt:i4>1900606</vt:i4>
      </vt:variant>
      <vt:variant>
        <vt:i4>746</vt:i4>
      </vt:variant>
      <vt:variant>
        <vt:i4>0</vt:i4>
      </vt:variant>
      <vt:variant>
        <vt:i4>5</vt:i4>
      </vt:variant>
      <vt:variant>
        <vt:lpwstr/>
      </vt:variant>
      <vt:variant>
        <vt:lpwstr>_Toc416192583</vt:lpwstr>
      </vt:variant>
      <vt:variant>
        <vt:i4>1900606</vt:i4>
      </vt:variant>
      <vt:variant>
        <vt:i4>740</vt:i4>
      </vt:variant>
      <vt:variant>
        <vt:i4>0</vt:i4>
      </vt:variant>
      <vt:variant>
        <vt:i4>5</vt:i4>
      </vt:variant>
      <vt:variant>
        <vt:lpwstr/>
      </vt:variant>
      <vt:variant>
        <vt:lpwstr>_Toc416192582</vt:lpwstr>
      </vt:variant>
      <vt:variant>
        <vt:i4>1900606</vt:i4>
      </vt:variant>
      <vt:variant>
        <vt:i4>734</vt:i4>
      </vt:variant>
      <vt:variant>
        <vt:i4>0</vt:i4>
      </vt:variant>
      <vt:variant>
        <vt:i4>5</vt:i4>
      </vt:variant>
      <vt:variant>
        <vt:lpwstr/>
      </vt:variant>
      <vt:variant>
        <vt:lpwstr>_Toc416192581</vt:lpwstr>
      </vt:variant>
      <vt:variant>
        <vt:i4>1900606</vt:i4>
      </vt:variant>
      <vt:variant>
        <vt:i4>728</vt:i4>
      </vt:variant>
      <vt:variant>
        <vt:i4>0</vt:i4>
      </vt:variant>
      <vt:variant>
        <vt:i4>5</vt:i4>
      </vt:variant>
      <vt:variant>
        <vt:lpwstr/>
      </vt:variant>
      <vt:variant>
        <vt:lpwstr>_Toc416192580</vt:lpwstr>
      </vt:variant>
      <vt:variant>
        <vt:i4>1179710</vt:i4>
      </vt:variant>
      <vt:variant>
        <vt:i4>722</vt:i4>
      </vt:variant>
      <vt:variant>
        <vt:i4>0</vt:i4>
      </vt:variant>
      <vt:variant>
        <vt:i4>5</vt:i4>
      </vt:variant>
      <vt:variant>
        <vt:lpwstr/>
      </vt:variant>
      <vt:variant>
        <vt:lpwstr>_Toc416192579</vt:lpwstr>
      </vt:variant>
      <vt:variant>
        <vt:i4>1179710</vt:i4>
      </vt:variant>
      <vt:variant>
        <vt:i4>716</vt:i4>
      </vt:variant>
      <vt:variant>
        <vt:i4>0</vt:i4>
      </vt:variant>
      <vt:variant>
        <vt:i4>5</vt:i4>
      </vt:variant>
      <vt:variant>
        <vt:lpwstr/>
      </vt:variant>
      <vt:variant>
        <vt:lpwstr>_Toc416192578</vt:lpwstr>
      </vt:variant>
      <vt:variant>
        <vt:i4>1179710</vt:i4>
      </vt:variant>
      <vt:variant>
        <vt:i4>710</vt:i4>
      </vt:variant>
      <vt:variant>
        <vt:i4>0</vt:i4>
      </vt:variant>
      <vt:variant>
        <vt:i4>5</vt:i4>
      </vt:variant>
      <vt:variant>
        <vt:lpwstr/>
      </vt:variant>
      <vt:variant>
        <vt:lpwstr>_Toc416192577</vt:lpwstr>
      </vt:variant>
      <vt:variant>
        <vt:i4>1179710</vt:i4>
      </vt:variant>
      <vt:variant>
        <vt:i4>704</vt:i4>
      </vt:variant>
      <vt:variant>
        <vt:i4>0</vt:i4>
      </vt:variant>
      <vt:variant>
        <vt:i4>5</vt:i4>
      </vt:variant>
      <vt:variant>
        <vt:lpwstr/>
      </vt:variant>
      <vt:variant>
        <vt:lpwstr>_Toc416192576</vt:lpwstr>
      </vt:variant>
      <vt:variant>
        <vt:i4>1179710</vt:i4>
      </vt:variant>
      <vt:variant>
        <vt:i4>698</vt:i4>
      </vt:variant>
      <vt:variant>
        <vt:i4>0</vt:i4>
      </vt:variant>
      <vt:variant>
        <vt:i4>5</vt:i4>
      </vt:variant>
      <vt:variant>
        <vt:lpwstr/>
      </vt:variant>
      <vt:variant>
        <vt:lpwstr>_Toc416192575</vt:lpwstr>
      </vt:variant>
      <vt:variant>
        <vt:i4>1179710</vt:i4>
      </vt:variant>
      <vt:variant>
        <vt:i4>692</vt:i4>
      </vt:variant>
      <vt:variant>
        <vt:i4>0</vt:i4>
      </vt:variant>
      <vt:variant>
        <vt:i4>5</vt:i4>
      </vt:variant>
      <vt:variant>
        <vt:lpwstr/>
      </vt:variant>
      <vt:variant>
        <vt:lpwstr>_Toc416192574</vt:lpwstr>
      </vt:variant>
      <vt:variant>
        <vt:i4>1179710</vt:i4>
      </vt:variant>
      <vt:variant>
        <vt:i4>686</vt:i4>
      </vt:variant>
      <vt:variant>
        <vt:i4>0</vt:i4>
      </vt:variant>
      <vt:variant>
        <vt:i4>5</vt:i4>
      </vt:variant>
      <vt:variant>
        <vt:lpwstr/>
      </vt:variant>
      <vt:variant>
        <vt:lpwstr>_Toc416192573</vt:lpwstr>
      </vt:variant>
      <vt:variant>
        <vt:i4>1179710</vt:i4>
      </vt:variant>
      <vt:variant>
        <vt:i4>680</vt:i4>
      </vt:variant>
      <vt:variant>
        <vt:i4>0</vt:i4>
      </vt:variant>
      <vt:variant>
        <vt:i4>5</vt:i4>
      </vt:variant>
      <vt:variant>
        <vt:lpwstr/>
      </vt:variant>
      <vt:variant>
        <vt:lpwstr>_Toc416192572</vt:lpwstr>
      </vt:variant>
      <vt:variant>
        <vt:i4>1179710</vt:i4>
      </vt:variant>
      <vt:variant>
        <vt:i4>674</vt:i4>
      </vt:variant>
      <vt:variant>
        <vt:i4>0</vt:i4>
      </vt:variant>
      <vt:variant>
        <vt:i4>5</vt:i4>
      </vt:variant>
      <vt:variant>
        <vt:lpwstr/>
      </vt:variant>
      <vt:variant>
        <vt:lpwstr>_Toc416192571</vt:lpwstr>
      </vt:variant>
      <vt:variant>
        <vt:i4>1179710</vt:i4>
      </vt:variant>
      <vt:variant>
        <vt:i4>668</vt:i4>
      </vt:variant>
      <vt:variant>
        <vt:i4>0</vt:i4>
      </vt:variant>
      <vt:variant>
        <vt:i4>5</vt:i4>
      </vt:variant>
      <vt:variant>
        <vt:lpwstr/>
      </vt:variant>
      <vt:variant>
        <vt:lpwstr>_Toc416192570</vt:lpwstr>
      </vt:variant>
      <vt:variant>
        <vt:i4>1245246</vt:i4>
      </vt:variant>
      <vt:variant>
        <vt:i4>662</vt:i4>
      </vt:variant>
      <vt:variant>
        <vt:i4>0</vt:i4>
      </vt:variant>
      <vt:variant>
        <vt:i4>5</vt:i4>
      </vt:variant>
      <vt:variant>
        <vt:lpwstr/>
      </vt:variant>
      <vt:variant>
        <vt:lpwstr>_Toc416192569</vt:lpwstr>
      </vt:variant>
      <vt:variant>
        <vt:i4>1245246</vt:i4>
      </vt:variant>
      <vt:variant>
        <vt:i4>656</vt:i4>
      </vt:variant>
      <vt:variant>
        <vt:i4>0</vt:i4>
      </vt:variant>
      <vt:variant>
        <vt:i4>5</vt:i4>
      </vt:variant>
      <vt:variant>
        <vt:lpwstr/>
      </vt:variant>
      <vt:variant>
        <vt:lpwstr>_Toc416192568</vt:lpwstr>
      </vt:variant>
      <vt:variant>
        <vt:i4>1245246</vt:i4>
      </vt:variant>
      <vt:variant>
        <vt:i4>650</vt:i4>
      </vt:variant>
      <vt:variant>
        <vt:i4>0</vt:i4>
      </vt:variant>
      <vt:variant>
        <vt:i4>5</vt:i4>
      </vt:variant>
      <vt:variant>
        <vt:lpwstr/>
      </vt:variant>
      <vt:variant>
        <vt:lpwstr>_Toc416192567</vt:lpwstr>
      </vt:variant>
      <vt:variant>
        <vt:i4>1245246</vt:i4>
      </vt:variant>
      <vt:variant>
        <vt:i4>644</vt:i4>
      </vt:variant>
      <vt:variant>
        <vt:i4>0</vt:i4>
      </vt:variant>
      <vt:variant>
        <vt:i4>5</vt:i4>
      </vt:variant>
      <vt:variant>
        <vt:lpwstr/>
      </vt:variant>
      <vt:variant>
        <vt:lpwstr>_Toc416192566</vt:lpwstr>
      </vt:variant>
      <vt:variant>
        <vt:i4>1245246</vt:i4>
      </vt:variant>
      <vt:variant>
        <vt:i4>638</vt:i4>
      </vt:variant>
      <vt:variant>
        <vt:i4>0</vt:i4>
      </vt:variant>
      <vt:variant>
        <vt:i4>5</vt:i4>
      </vt:variant>
      <vt:variant>
        <vt:lpwstr/>
      </vt:variant>
      <vt:variant>
        <vt:lpwstr>_Toc416192565</vt:lpwstr>
      </vt:variant>
      <vt:variant>
        <vt:i4>1245246</vt:i4>
      </vt:variant>
      <vt:variant>
        <vt:i4>632</vt:i4>
      </vt:variant>
      <vt:variant>
        <vt:i4>0</vt:i4>
      </vt:variant>
      <vt:variant>
        <vt:i4>5</vt:i4>
      </vt:variant>
      <vt:variant>
        <vt:lpwstr/>
      </vt:variant>
      <vt:variant>
        <vt:lpwstr>_Toc416192564</vt:lpwstr>
      </vt:variant>
      <vt:variant>
        <vt:i4>1245246</vt:i4>
      </vt:variant>
      <vt:variant>
        <vt:i4>626</vt:i4>
      </vt:variant>
      <vt:variant>
        <vt:i4>0</vt:i4>
      </vt:variant>
      <vt:variant>
        <vt:i4>5</vt:i4>
      </vt:variant>
      <vt:variant>
        <vt:lpwstr/>
      </vt:variant>
      <vt:variant>
        <vt:lpwstr>_Toc416192563</vt:lpwstr>
      </vt:variant>
      <vt:variant>
        <vt:i4>1245246</vt:i4>
      </vt:variant>
      <vt:variant>
        <vt:i4>620</vt:i4>
      </vt:variant>
      <vt:variant>
        <vt:i4>0</vt:i4>
      </vt:variant>
      <vt:variant>
        <vt:i4>5</vt:i4>
      </vt:variant>
      <vt:variant>
        <vt:lpwstr/>
      </vt:variant>
      <vt:variant>
        <vt:lpwstr>_Toc416192562</vt:lpwstr>
      </vt:variant>
      <vt:variant>
        <vt:i4>1245246</vt:i4>
      </vt:variant>
      <vt:variant>
        <vt:i4>614</vt:i4>
      </vt:variant>
      <vt:variant>
        <vt:i4>0</vt:i4>
      </vt:variant>
      <vt:variant>
        <vt:i4>5</vt:i4>
      </vt:variant>
      <vt:variant>
        <vt:lpwstr/>
      </vt:variant>
      <vt:variant>
        <vt:lpwstr>_Toc416192561</vt:lpwstr>
      </vt:variant>
      <vt:variant>
        <vt:i4>1245246</vt:i4>
      </vt:variant>
      <vt:variant>
        <vt:i4>608</vt:i4>
      </vt:variant>
      <vt:variant>
        <vt:i4>0</vt:i4>
      </vt:variant>
      <vt:variant>
        <vt:i4>5</vt:i4>
      </vt:variant>
      <vt:variant>
        <vt:lpwstr/>
      </vt:variant>
      <vt:variant>
        <vt:lpwstr>_Toc416192560</vt:lpwstr>
      </vt:variant>
      <vt:variant>
        <vt:i4>1048638</vt:i4>
      </vt:variant>
      <vt:variant>
        <vt:i4>602</vt:i4>
      </vt:variant>
      <vt:variant>
        <vt:i4>0</vt:i4>
      </vt:variant>
      <vt:variant>
        <vt:i4>5</vt:i4>
      </vt:variant>
      <vt:variant>
        <vt:lpwstr/>
      </vt:variant>
      <vt:variant>
        <vt:lpwstr>_Toc416192559</vt:lpwstr>
      </vt:variant>
      <vt:variant>
        <vt:i4>1048638</vt:i4>
      </vt:variant>
      <vt:variant>
        <vt:i4>596</vt:i4>
      </vt:variant>
      <vt:variant>
        <vt:i4>0</vt:i4>
      </vt:variant>
      <vt:variant>
        <vt:i4>5</vt:i4>
      </vt:variant>
      <vt:variant>
        <vt:lpwstr/>
      </vt:variant>
      <vt:variant>
        <vt:lpwstr>_Toc416192558</vt:lpwstr>
      </vt:variant>
      <vt:variant>
        <vt:i4>1048638</vt:i4>
      </vt:variant>
      <vt:variant>
        <vt:i4>590</vt:i4>
      </vt:variant>
      <vt:variant>
        <vt:i4>0</vt:i4>
      </vt:variant>
      <vt:variant>
        <vt:i4>5</vt:i4>
      </vt:variant>
      <vt:variant>
        <vt:lpwstr/>
      </vt:variant>
      <vt:variant>
        <vt:lpwstr>_Toc416192557</vt:lpwstr>
      </vt:variant>
      <vt:variant>
        <vt:i4>1048638</vt:i4>
      </vt:variant>
      <vt:variant>
        <vt:i4>584</vt:i4>
      </vt:variant>
      <vt:variant>
        <vt:i4>0</vt:i4>
      </vt:variant>
      <vt:variant>
        <vt:i4>5</vt:i4>
      </vt:variant>
      <vt:variant>
        <vt:lpwstr/>
      </vt:variant>
      <vt:variant>
        <vt:lpwstr>_Toc416192556</vt:lpwstr>
      </vt:variant>
      <vt:variant>
        <vt:i4>1048638</vt:i4>
      </vt:variant>
      <vt:variant>
        <vt:i4>578</vt:i4>
      </vt:variant>
      <vt:variant>
        <vt:i4>0</vt:i4>
      </vt:variant>
      <vt:variant>
        <vt:i4>5</vt:i4>
      </vt:variant>
      <vt:variant>
        <vt:lpwstr/>
      </vt:variant>
      <vt:variant>
        <vt:lpwstr>_Toc416192555</vt:lpwstr>
      </vt:variant>
      <vt:variant>
        <vt:i4>1048638</vt:i4>
      </vt:variant>
      <vt:variant>
        <vt:i4>572</vt:i4>
      </vt:variant>
      <vt:variant>
        <vt:i4>0</vt:i4>
      </vt:variant>
      <vt:variant>
        <vt:i4>5</vt:i4>
      </vt:variant>
      <vt:variant>
        <vt:lpwstr/>
      </vt:variant>
      <vt:variant>
        <vt:lpwstr>_Toc416192554</vt:lpwstr>
      </vt:variant>
      <vt:variant>
        <vt:i4>1048638</vt:i4>
      </vt:variant>
      <vt:variant>
        <vt:i4>566</vt:i4>
      </vt:variant>
      <vt:variant>
        <vt:i4>0</vt:i4>
      </vt:variant>
      <vt:variant>
        <vt:i4>5</vt:i4>
      </vt:variant>
      <vt:variant>
        <vt:lpwstr/>
      </vt:variant>
      <vt:variant>
        <vt:lpwstr>_Toc416192553</vt:lpwstr>
      </vt:variant>
      <vt:variant>
        <vt:i4>1048638</vt:i4>
      </vt:variant>
      <vt:variant>
        <vt:i4>560</vt:i4>
      </vt:variant>
      <vt:variant>
        <vt:i4>0</vt:i4>
      </vt:variant>
      <vt:variant>
        <vt:i4>5</vt:i4>
      </vt:variant>
      <vt:variant>
        <vt:lpwstr/>
      </vt:variant>
      <vt:variant>
        <vt:lpwstr>_Toc416192552</vt:lpwstr>
      </vt:variant>
      <vt:variant>
        <vt:i4>1048638</vt:i4>
      </vt:variant>
      <vt:variant>
        <vt:i4>554</vt:i4>
      </vt:variant>
      <vt:variant>
        <vt:i4>0</vt:i4>
      </vt:variant>
      <vt:variant>
        <vt:i4>5</vt:i4>
      </vt:variant>
      <vt:variant>
        <vt:lpwstr/>
      </vt:variant>
      <vt:variant>
        <vt:lpwstr>_Toc416192551</vt:lpwstr>
      </vt:variant>
      <vt:variant>
        <vt:i4>1048638</vt:i4>
      </vt:variant>
      <vt:variant>
        <vt:i4>548</vt:i4>
      </vt:variant>
      <vt:variant>
        <vt:i4>0</vt:i4>
      </vt:variant>
      <vt:variant>
        <vt:i4>5</vt:i4>
      </vt:variant>
      <vt:variant>
        <vt:lpwstr/>
      </vt:variant>
      <vt:variant>
        <vt:lpwstr>_Toc416192550</vt:lpwstr>
      </vt:variant>
      <vt:variant>
        <vt:i4>1114174</vt:i4>
      </vt:variant>
      <vt:variant>
        <vt:i4>542</vt:i4>
      </vt:variant>
      <vt:variant>
        <vt:i4>0</vt:i4>
      </vt:variant>
      <vt:variant>
        <vt:i4>5</vt:i4>
      </vt:variant>
      <vt:variant>
        <vt:lpwstr/>
      </vt:variant>
      <vt:variant>
        <vt:lpwstr>_Toc416192549</vt:lpwstr>
      </vt:variant>
      <vt:variant>
        <vt:i4>1114174</vt:i4>
      </vt:variant>
      <vt:variant>
        <vt:i4>536</vt:i4>
      </vt:variant>
      <vt:variant>
        <vt:i4>0</vt:i4>
      </vt:variant>
      <vt:variant>
        <vt:i4>5</vt:i4>
      </vt:variant>
      <vt:variant>
        <vt:lpwstr/>
      </vt:variant>
      <vt:variant>
        <vt:lpwstr>_Toc416192548</vt:lpwstr>
      </vt:variant>
      <vt:variant>
        <vt:i4>1114174</vt:i4>
      </vt:variant>
      <vt:variant>
        <vt:i4>530</vt:i4>
      </vt:variant>
      <vt:variant>
        <vt:i4>0</vt:i4>
      </vt:variant>
      <vt:variant>
        <vt:i4>5</vt:i4>
      </vt:variant>
      <vt:variant>
        <vt:lpwstr/>
      </vt:variant>
      <vt:variant>
        <vt:lpwstr>_Toc416192547</vt:lpwstr>
      </vt:variant>
      <vt:variant>
        <vt:i4>1114174</vt:i4>
      </vt:variant>
      <vt:variant>
        <vt:i4>524</vt:i4>
      </vt:variant>
      <vt:variant>
        <vt:i4>0</vt:i4>
      </vt:variant>
      <vt:variant>
        <vt:i4>5</vt:i4>
      </vt:variant>
      <vt:variant>
        <vt:lpwstr/>
      </vt:variant>
      <vt:variant>
        <vt:lpwstr>_Toc416192546</vt:lpwstr>
      </vt:variant>
      <vt:variant>
        <vt:i4>1114174</vt:i4>
      </vt:variant>
      <vt:variant>
        <vt:i4>518</vt:i4>
      </vt:variant>
      <vt:variant>
        <vt:i4>0</vt:i4>
      </vt:variant>
      <vt:variant>
        <vt:i4>5</vt:i4>
      </vt:variant>
      <vt:variant>
        <vt:lpwstr/>
      </vt:variant>
      <vt:variant>
        <vt:lpwstr>_Toc416192545</vt:lpwstr>
      </vt:variant>
      <vt:variant>
        <vt:i4>1114174</vt:i4>
      </vt:variant>
      <vt:variant>
        <vt:i4>512</vt:i4>
      </vt:variant>
      <vt:variant>
        <vt:i4>0</vt:i4>
      </vt:variant>
      <vt:variant>
        <vt:i4>5</vt:i4>
      </vt:variant>
      <vt:variant>
        <vt:lpwstr/>
      </vt:variant>
      <vt:variant>
        <vt:lpwstr>_Toc416192544</vt:lpwstr>
      </vt:variant>
      <vt:variant>
        <vt:i4>1114174</vt:i4>
      </vt:variant>
      <vt:variant>
        <vt:i4>506</vt:i4>
      </vt:variant>
      <vt:variant>
        <vt:i4>0</vt:i4>
      </vt:variant>
      <vt:variant>
        <vt:i4>5</vt:i4>
      </vt:variant>
      <vt:variant>
        <vt:lpwstr/>
      </vt:variant>
      <vt:variant>
        <vt:lpwstr>_Toc416192543</vt:lpwstr>
      </vt:variant>
      <vt:variant>
        <vt:i4>1114174</vt:i4>
      </vt:variant>
      <vt:variant>
        <vt:i4>500</vt:i4>
      </vt:variant>
      <vt:variant>
        <vt:i4>0</vt:i4>
      </vt:variant>
      <vt:variant>
        <vt:i4>5</vt:i4>
      </vt:variant>
      <vt:variant>
        <vt:lpwstr/>
      </vt:variant>
      <vt:variant>
        <vt:lpwstr>_Toc416192542</vt:lpwstr>
      </vt:variant>
      <vt:variant>
        <vt:i4>1114174</vt:i4>
      </vt:variant>
      <vt:variant>
        <vt:i4>494</vt:i4>
      </vt:variant>
      <vt:variant>
        <vt:i4>0</vt:i4>
      </vt:variant>
      <vt:variant>
        <vt:i4>5</vt:i4>
      </vt:variant>
      <vt:variant>
        <vt:lpwstr/>
      </vt:variant>
      <vt:variant>
        <vt:lpwstr>_Toc416192541</vt:lpwstr>
      </vt:variant>
      <vt:variant>
        <vt:i4>1114174</vt:i4>
      </vt:variant>
      <vt:variant>
        <vt:i4>488</vt:i4>
      </vt:variant>
      <vt:variant>
        <vt:i4>0</vt:i4>
      </vt:variant>
      <vt:variant>
        <vt:i4>5</vt:i4>
      </vt:variant>
      <vt:variant>
        <vt:lpwstr/>
      </vt:variant>
      <vt:variant>
        <vt:lpwstr>_Toc416192540</vt:lpwstr>
      </vt:variant>
      <vt:variant>
        <vt:i4>1441854</vt:i4>
      </vt:variant>
      <vt:variant>
        <vt:i4>482</vt:i4>
      </vt:variant>
      <vt:variant>
        <vt:i4>0</vt:i4>
      </vt:variant>
      <vt:variant>
        <vt:i4>5</vt:i4>
      </vt:variant>
      <vt:variant>
        <vt:lpwstr/>
      </vt:variant>
      <vt:variant>
        <vt:lpwstr>_Toc416192539</vt:lpwstr>
      </vt:variant>
      <vt:variant>
        <vt:i4>1441854</vt:i4>
      </vt:variant>
      <vt:variant>
        <vt:i4>476</vt:i4>
      </vt:variant>
      <vt:variant>
        <vt:i4>0</vt:i4>
      </vt:variant>
      <vt:variant>
        <vt:i4>5</vt:i4>
      </vt:variant>
      <vt:variant>
        <vt:lpwstr/>
      </vt:variant>
      <vt:variant>
        <vt:lpwstr>_Toc416192538</vt:lpwstr>
      </vt:variant>
      <vt:variant>
        <vt:i4>1441854</vt:i4>
      </vt:variant>
      <vt:variant>
        <vt:i4>470</vt:i4>
      </vt:variant>
      <vt:variant>
        <vt:i4>0</vt:i4>
      </vt:variant>
      <vt:variant>
        <vt:i4>5</vt:i4>
      </vt:variant>
      <vt:variant>
        <vt:lpwstr/>
      </vt:variant>
      <vt:variant>
        <vt:lpwstr>_Toc416192537</vt:lpwstr>
      </vt:variant>
      <vt:variant>
        <vt:i4>1441854</vt:i4>
      </vt:variant>
      <vt:variant>
        <vt:i4>464</vt:i4>
      </vt:variant>
      <vt:variant>
        <vt:i4>0</vt:i4>
      </vt:variant>
      <vt:variant>
        <vt:i4>5</vt:i4>
      </vt:variant>
      <vt:variant>
        <vt:lpwstr/>
      </vt:variant>
      <vt:variant>
        <vt:lpwstr>_Toc416192536</vt:lpwstr>
      </vt:variant>
      <vt:variant>
        <vt:i4>1441854</vt:i4>
      </vt:variant>
      <vt:variant>
        <vt:i4>458</vt:i4>
      </vt:variant>
      <vt:variant>
        <vt:i4>0</vt:i4>
      </vt:variant>
      <vt:variant>
        <vt:i4>5</vt:i4>
      </vt:variant>
      <vt:variant>
        <vt:lpwstr/>
      </vt:variant>
      <vt:variant>
        <vt:lpwstr>_Toc416192535</vt:lpwstr>
      </vt:variant>
      <vt:variant>
        <vt:i4>1441854</vt:i4>
      </vt:variant>
      <vt:variant>
        <vt:i4>452</vt:i4>
      </vt:variant>
      <vt:variant>
        <vt:i4>0</vt:i4>
      </vt:variant>
      <vt:variant>
        <vt:i4>5</vt:i4>
      </vt:variant>
      <vt:variant>
        <vt:lpwstr/>
      </vt:variant>
      <vt:variant>
        <vt:lpwstr>_Toc416192534</vt:lpwstr>
      </vt:variant>
      <vt:variant>
        <vt:i4>1441854</vt:i4>
      </vt:variant>
      <vt:variant>
        <vt:i4>446</vt:i4>
      </vt:variant>
      <vt:variant>
        <vt:i4>0</vt:i4>
      </vt:variant>
      <vt:variant>
        <vt:i4>5</vt:i4>
      </vt:variant>
      <vt:variant>
        <vt:lpwstr/>
      </vt:variant>
      <vt:variant>
        <vt:lpwstr>_Toc416192533</vt:lpwstr>
      </vt:variant>
      <vt:variant>
        <vt:i4>1441854</vt:i4>
      </vt:variant>
      <vt:variant>
        <vt:i4>440</vt:i4>
      </vt:variant>
      <vt:variant>
        <vt:i4>0</vt:i4>
      </vt:variant>
      <vt:variant>
        <vt:i4>5</vt:i4>
      </vt:variant>
      <vt:variant>
        <vt:lpwstr/>
      </vt:variant>
      <vt:variant>
        <vt:lpwstr>_Toc416192532</vt:lpwstr>
      </vt:variant>
      <vt:variant>
        <vt:i4>1441854</vt:i4>
      </vt:variant>
      <vt:variant>
        <vt:i4>434</vt:i4>
      </vt:variant>
      <vt:variant>
        <vt:i4>0</vt:i4>
      </vt:variant>
      <vt:variant>
        <vt:i4>5</vt:i4>
      </vt:variant>
      <vt:variant>
        <vt:lpwstr/>
      </vt:variant>
      <vt:variant>
        <vt:lpwstr>_Toc416192531</vt:lpwstr>
      </vt:variant>
      <vt:variant>
        <vt:i4>1441854</vt:i4>
      </vt:variant>
      <vt:variant>
        <vt:i4>428</vt:i4>
      </vt:variant>
      <vt:variant>
        <vt:i4>0</vt:i4>
      </vt:variant>
      <vt:variant>
        <vt:i4>5</vt:i4>
      </vt:variant>
      <vt:variant>
        <vt:lpwstr/>
      </vt:variant>
      <vt:variant>
        <vt:lpwstr>_Toc416192530</vt:lpwstr>
      </vt:variant>
      <vt:variant>
        <vt:i4>1507390</vt:i4>
      </vt:variant>
      <vt:variant>
        <vt:i4>422</vt:i4>
      </vt:variant>
      <vt:variant>
        <vt:i4>0</vt:i4>
      </vt:variant>
      <vt:variant>
        <vt:i4>5</vt:i4>
      </vt:variant>
      <vt:variant>
        <vt:lpwstr/>
      </vt:variant>
      <vt:variant>
        <vt:lpwstr>_Toc416192529</vt:lpwstr>
      </vt:variant>
      <vt:variant>
        <vt:i4>1507390</vt:i4>
      </vt:variant>
      <vt:variant>
        <vt:i4>416</vt:i4>
      </vt:variant>
      <vt:variant>
        <vt:i4>0</vt:i4>
      </vt:variant>
      <vt:variant>
        <vt:i4>5</vt:i4>
      </vt:variant>
      <vt:variant>
        <vt:lpwstr/>
      </vt:variant>
      <vt:variant>
        <vt:lpwstr>_Toc416192528</vt:lpwstr>
      </vt:variant>
      <vt:variant>
        <vt:i4>1507390</vt:i4>
      </vt:variant>
      <vt:variant>
        <vt:i4>410</vt:i4>
      </vt:variant>
      <vt:variant>
        <vt:i4>0</vt:i4>
      </vt:variant>
      <vt:variant>
        <vt:i4>5</vt:i4>
      </vt:variant>
      <vt:variant>
        <vt:lpwstr/>
      </vt:variant>
      <vt:variant>
        <vt:lpwstr>_Toc416192527</vt:lpwstr>
      </vt:variant>
      <vt:variant>
        <vt:i4>1507390</vt:i4>
      </vt:variant>
      <vt:variant>
        <vt:i4>404</vt:i4>
      </vt:variant>
      <vt:variant>
        <vt:i4>0</vt:i4>
      </vt:variant>
      <vt:variant>
        <vt:i4>5</vt:i4>
      </vt:variant>
      <vt:variant>
        <vt:lpwstr/>
      </vt:variant>
      <vt:variant>
        <vt:lpwstr>_Toc416192526</vt:lpwstr>
      </vt:variant>
      <vt:variant>
        <vt:i4>1507390</vt:i4>
      </vt:variant>
      <vt:variant>
        <vt:i4>398</vt:i4>
      </vt:variant>
      <vt:variant>
        <vt:i4>0</vt:i4>
      </vt:variant>
      <vt:variant>
        <vt:i4>5</vt:i4>
      </vt:variant>
      <vt:variant>
        <vt:lpwstr/>
      </vt:variant>
      <vt:variant>
        <vt:lpwstr>_Toc416192525</vt:lpwstr>
      </vt:variant>
      <vt:variant>
        <vt:i4>1507390</vt:i4>
      </vt:variant>
      <vt:variant>
        <vt:i4>392</vt:i4>
      </vt:variant>
      <vt:variant>
        <vt:i4>0</vt:i4>
      </vt:variant>
      <vt:variant>
        <vt:i4>5</vt:i4>
      </vt:variant>
      <vt:variant>
        <vt:lpwstr/>
      </vt:variant>
      <vt:variant>
        <vt:lpwstr>_Toc416192524</vt:lpwstr>
      </vt:variant>
      <vt:variant>
        <vt:i4>1507390</vt:i4>
      </vt:variant>
      <vt:variant>
        <vt:i4>386</vt:i4>
      </vt:variant>
      <vt:variant>
        <vt:i4>0</vt:i4>
      </vt:variant>
      <vt:variant>
        <vt:i4>5</vt:i4>
      </vt:variant>
      <vt:variant>
        <vt:lpwstr/>
      </vt:variant>
      <vt:variant>
        <vt:lpwstr>_Toc416192523</vt:lpwstr>
      </vt:variant>
      <vt:variant>
        <vt:i4>1507390</vt:i4>
      </vt:variant>
      <vt:variant>
        <vt:i4>380</vt:i4>
      </vt:variant>
      <vt:variant>
        <vt:i4>0</vt:i4>
      </vt:variant>
      <vt:variant>
        <vt:i4>5</vt:i4>
      </vt:variant>
      <vt:variant>
        <vt:lpwstr/>
      </vt:variant>
      <vt:variant>
        <vt:lpwstr>_Toc416192522</vt:lpwstr>
      </vt:variant>
      <vt:variant>
        <vt:i4>1507390</vt:i4>
      </vt:variant>
      <vt:variant>
        <vt:i4>374</vt:i4>
      </vt:variant>
      <vt:variant>
        <vt:i4>0</vt:i4>
      </vt:variant>
      <vt:variant>
        <vt:i4>5</vt:i4>
      </vt:variant>
      <vt:variant>
        <vt:lpwstr/>
      </vt:variant>
      <vt:variant>
        <vt:lpwstr>_Toc416192521</vt:lpwstr>
      </vt:variant>
      <vt:variant>
        <vt:i4>1507390</vt:i4>
      </vt:variant>
      <vt:variant>
        <vt:i4>368</vt:i4>
      </vt:variant>
      <vt:variant>
        <vt:i4>0</vt:i4>
      </vt:variant>
      <vt:variant>
        <vt:i4>5</vt:i4>
      </vt:variant>
      <vt:variant>
        <vt:lpwstr/>
      </vt:variant>
      <vt:variant>
        <vt:lpwstr>_Toc416192520</vt:lpwstr>
      </vt:variant>
      <vt:variant>
        <vt:i4>1310782</vt:i4>
      </vt:variant>
      <vt:variant>
        <vt:i4>362</vt:i4>
      </vt:variant>
      <vt:variant>
        <vt:i4>0</vt:i4>
      </vt:variant>
      <vt:variant>
        <vt:i4>5</vt:i4>
      </vt:variant>
      <vt:variant>
        <vt:lpwstr/>
      </vt:variant>
      <vt:variant>
        <vt:lpwstr>_Toc416192519</vt:lpwstr>
      </vt:variant>
      <vt:variant>
        <vt:i4>1310782</vt:i4>
      </vt:variant>
      <vt:variant>
        <vt:i4>356</vt:i4>
      </vt:variant>
      <vt:variant>
        <vt:i4>0</vt:i4>
      </vt:variant>
      <vt:variant>
        <vt:i4>5</vt:i4>
      </vt:variant>
      <vt:variant>
        <vt:lpwstr/>
      </vt:variant>
      <vt:variant>
        <vt:lpwstr>_Toc416192518</vt:lpwstr>
      </vt:variant>
      <vt:variant>
        <vt:i4>1310782</vt:i4>
      </vt:variant>
      <vt:variant>
        <vt:i4>350</vt:i4>
      </vt:variant>
      <vt:variant>
        <vt:i4>0</vt:i4>
      </vt:variant>
      <vt:variant>
        <vt:i4>5</vt:i4>
      </vt:variant>
      <vt:variant>
        <vt:lpwstr/>
      </vt:variant>
      <vt:variant>
        <vt:lpwstr>_Toc416192517</vt:lpwstr>
      </vt:variant>
      <vt:variant>
        <vt:i4>1310782</vt:i4>
      </vt:variant>
      <vt:variant>
        <vt:i4>344</vt:i4>
      </vt:variant>
      <vt:variant>
        <vt:i4>0</vt:i4>
      </vt:variant>
      <vt:variant>
        <vt:i4>5</vt:i4>
      </vt:variant>
      <vt:variant>
        <vt:lpwstr/>
      </vt:variant>
      <vt:variant>
        <vt:lpwstr>_Toc416192516</vt:lpwstr>
      </vt:variant>
      <vt:variant>
        <vt:i4>1310782</vt:i4>
      </vt:variant>
      <vt:variant>
        <vt:i4>338</vt:i4>
      </vt:variant>
      <vt:variant>
        <vt:i4>0</vt:i4>
      </vt:variant>
      <vt:variant>
        <vt:i4>5</vt:i4>
      </vt:variant>
      <vt:variant>
        <vt:lpwstr/>
      </vt:variant>
      <vt:variant>
        <vt:lpwstr>_Toc416192515</vt:lpwstr>
      </vt:variant>
      <vt:variant>
        <vt:i4>1310782</vt:i4>
      </vt:variant>
      <vt:variant>
        <vt:i4>332</vt:i4>
      </vt:variant>
      <vt:variant>
        <vt:i4>0</vt:i4>
      </vt:variant>
      <vt:variant>
        <vt:i4>5</vt:i4>
      </vt:variant>
      <vt:variant>
        <vt:lpwstr/>
      </vt:variant>
      <vt:variant>
        <vt:lpwstr>_Toc416192514</vt:lpwstr>
      </vt:variant>
      <vt:variant>
        <vt:i4>1310782</vt:i4>
      </vt:variant>
      <vt:variant>
        <vt:i4>326</vt:i4>
      </vt:variant>
      <vt:variant>
        <vt:i4>0</vt:i4>
      </vt:variant>
      <vt:variant>
        <vt:i4>5</vt:i4>
      </vt:variant>
      <vt:variant>
        <vt:lpwstr/>
      </vt:variant>
      <vt:variant>
        <vt:lpwstr>_Toc416192513</vt:lpwstr>
      </vt:variant>
      <vt:variant>
        <vt:i4>1310782</vt:i4>
      </vt:variant>
      <vt:variant>
        <vt:i4>320</vt:i4>
      </vt:variant>
      <vt:variant>
        <vt:i4>0</vt:i4>
      </vt:variant>
      <vt:variant>
        <vt:i4>5</vt:i4>
      </vt:variant>
      <vt:variant>
        <vt:lpwstr/>
      </vt:variant>
      <vt:variant>
        <vt:lpwstr>_Toc416192512</vt:lpwstr>
      </vt:variant>
      <vt:variant>
        <vt:i4>1310782</vt:i4>
      </vt:variant>
      <vt:variant>
        <vt:i4>314</vt:i4>
      </vt:variant>
      <vt:variant>
        <vt:i4>0</vt:i4>
      </vt:variant>
      <vt:variant>
        <vt:i4>5</vt:i4>
      </vt:variant>
      <vt:variant>
        <vt:lpwstr/>
      </vt:variant>
      <vt:variant>
        <vt:lpwstr>_Toc416192511</vt:lpwstr>
      </vt:variant>
      <vt:variant>
        <vt:i4>1310782</vt:i4>
      </vt:variant>
      <vt:variant>
        <vt:i4>308</vt:i4>
      </vt:variant>
      <vt:variant>
        <vt:i4>0</vt:i4>
      </vt:variant>
      <vt:variant>
        <vt:i4>5</vt:i4>
      </vt:variant>
      <vt:variant>
        <vt:lpwstr/>
      </vt:variant>
      <vt:variant>
        <vt:lpwstr>_Toc416192510</vt:lpwstr>
      </vt:variant>
      <vt:variant>
        <vt:i4>1376318</vt:i4>
      </vt:variant>
      <vt:variant>
        <vt:i4>302</vt:i4>
      </vt:variant>
      <vt:variant>
        <vt:i4>0</vt:i4>
      </vt:variant>
      <vt:variant>
        <vt:i4>5</vt:i4>
      </vt:variant>
      <vt:variant>
        <vt:lpwstr/>
      </vt:variant>
      <vt:variant>
        <vt:lpwstr>_Toc416192509</vt:lpwstr>
      </vt:variant>
      <vt:variant>
        <vt:i4>1376318</vt:i4>
      </vt:variant>
      <vt:variant>
        <vt:i4>296</vt:i4>
      </vt:variant>
      <vt:variant>
        <vt:i4>0</vt:i4>
      </vt:variant>
      <vt:variant>
        <vt:i4>5</vt:i4>
      </vt:variant>
      <vt:variant>
        <vt:lpwstr/>
      </vt:variant>
      <vt:variant>
        <vt:lpwstr>_Toc416192508</vt:lpwstr>
      </vt:variant>
      <vt:variant>
        <vt:i4>1376318</vt:i4>
      </vt:variant>
      <vt:variant>
        <vt:i4>290</vt:i4>
      </vt:variant>
      <vt:variant>
        <vt:i4>0</vt:i4>
      </vt:variant>
      <vt:variant>
        <vt:i4>5</vt:i4>
      </vt:variant>
      <vt:variant>
        <vt:lpwstr/>
      </vt:variant>
      <vt:variant>
        <vt:lpwstr>_Toc416192507</vt:lpwstr>
      </vt:variant>
      <vt:variant>
        <vt:i4>1376318</vt:i4>
      </vt:variant>
      <vt:variant>
        <vt:i4>284</vt:i4>
      </vt:variant>
      <vt:variant>
        <vt:i4>0</vt:i4>
      </vt:variant>
      <vt:variant>
        <vt:i4>5</vt:i4>
      </vt:variant>
      <vt:variant>
        <vt:lpwstr/>
      </vt:variant>
      <vt:variant>
        <vt:lpwstr>_Toc416192506</vt:lpwstr>
      </vt:variant>
      <vt:variant>
        <vt:i4>1376318</vt:i4>
      </vt:variant>
      <vt:variant>
        <vt:i4>278</vt:i4>
      </vt:variant>
      <vt:variant>
        <vt:i4>0</vt:i4>
      </vt:variant>
      <vt:variant>
        <vt:i4>5</vt:i4>
      </vt:variant>
      <vt:variant>
        <vt:lpwstr/>
      </vt:variant>
      <vt:variant>
        <vt:lpwstr>_Toc416192505</vt:lpwstr>
      </vt:variant>
      <vt:variant>
        <vt:i4>1376318</vt:i4>
      </vt:variant>
      <vt:variant>
        <vt:i4>272</vt:i4>
      </vt:variant>
      <vt:variant>
        <vt:i4>0</vt:i4>
      </vt:variant>
      <vt:variant>
        <vt:i4>5</vt:i4>
      </vt:variant>
      <vt:variant>
        <vt:lpwstr/>
      </vt:variant>
      <vt:variant>
        <vt:lpwstr>_Toc416192504</vt:lpwstr>
      </vt:variant>
      <vt:variant>
        <vt:i4>1376318</vt:i4>
      </vt:variant>
      <vt:variant>
        <vt:i4>266</vt:i4>
      </vt:variant>
      <vt:variant>
        <vt:i4>0</vt:i4>
      </vt:variant>
      <vt:variant>
        <vt:i4>5</vt:i4>
      </vt:variant>
      <vt:variant>
        <vt:lpwstr/>
      </vt:variant>
      <vt:variant>
        <vt:lpwstr>_Toc416192503</vt:lpwstr>
      </vt:variant>
      <vt:variant>
        <vt:i4>1376318</vt:i4>
      </vt:variant>
      <vt:variant>
        <vt:i4>260</vt:i4>
      </vt:variant>
      <vt:variant>
        <vt:i4>0</vt:i4>
      </vt:variant>
      <vt:variant>
        <vt:i4>5</vt:i4>
      </vt:variant>
      <vt:variant>
        <vt:lpwstr/>
      </vt:variant>
      <vt:variant>
        <vt:lpwstr>_Toc416192502</vt:lpwstr>
      </vt:variant>
      <vt:variant>
        <vt:i4>1376318</vt:i4>
      </vt:variant>
      <vt:variant>
        <vt:i4>254</vt:i4>
      </vt:variant>
      <vt:variant>
        <vt:i4>0</vt:i4>
      </vt:variant>
      <vt:variant>
        <vt:i4>5</vt:i4>
      </vt:variant>
      <vt:variant>
        <vt:lpwstr/>
      </vt:variant>
      <vt:variant>
        <vt:lpwstr>_Toc416192501</vt:lpwstr>
      </vt:variant>
      <vt:variant>
        <vt:i4>1376318</vt:i4>
      </vt:variant>
      <vt:variant>
        <vt:i4>248</vt:i4>
      </vt:variant>
      <vt:variant>
        <vt:i4>0</vt:i4>
      </vt:variant>
      <vt:variant>
        <vt:i4>5</vt:i4>
      </vt:variant>
      <vt:variant>
        <vt:lpwstr/>
      </vt:variant>
      <vt:variant>
        <vt:lpwstr>_Toc416192500</vt:lpwstr>
      </vt:variant>
      <vt:variant>
        <vt:i4>1835071</vt:i4>
      </vt:variant>
      <vt:variant>
        <vt:i4>242</vt:i4>
      </vt:variant>
      <vt:variant>
        <vt:i4>0</vt:i4>
      </vt:variant>
      <vt:variant>
        <vt:i4>5</vt:i4>
      </vt:variant>
      <vt:variant>
        <vt:lpwstr/>
      </vt:variant>
      <vt:variant>
        <vt:lpwstr>_Toc416192499</vt:lpwstr>
      </vt:variant>
      <vt:variant>
        <vt:i4>1835071</vt:i4>
      </vt:variant>
      <vt:variant>
        <vt:i4>236</vt:i4>
      </vt:variant>
      <vt:variant>
        <vt:i4>0</vt:i4>
      </vt:variant>
      <vt:variant>
        <vt:i4>5</vt:i4>
      </vt:variant>
      <vt:variant>
        <vt:lpwstr/>
      </vt:variant>
      <vt:variant>
        <vt:lpwstr>_Toc416192498</vt:lpwstr>
      </vt:variant>
      <vt:variant>
        <vt:i4>1835071</vt:i4>
      </vt:variant>
      <vt:variant>
        <vt:i4>230</vt:i4>
      </vt:variant>
      <vt:variant>
        <vt:i4>0</vt:i4>
      </vt:variant>
      <vt:variant>
        <vt:i4>5</vt:i4>
      </vt:variant>
      <vt:variant>
        <vt:lpwstr/>
      </vt:variant>
      <vt:variant>
        <vt:lpwstr>_Toc416192497</vt:lpwstr>
      </vt:variant>
      <vt:variant>
        <vt:i4>1835071</vt:i4>
      </vt:variant>
      <vt:variant>
        <vt:i4>224</vt:i4>
      </vt:variant>
      <vt:variant>
        <vt:i4>0</vt:i4>
      </vt:variant>
      <vt:variant>
        <vt:i4>5</vt:i4>
      </vt:variant>
      <vt:variant>
        <vt:lpwstr/>
      </vt:variant>
      <vt:variant>
        <vt:lpwstr>_Toc416192496</vt:lpwstr>
      </vt:variant>
      <vt:variant>
        <vt:i4>1835071</vt:i4>
      </vt:variant>
      <vt:variant>
        <vt:i4>218</vt:i4>
      </vt:variant>
      <vt:variant>
        <vt:i4>0</vt:i4>
      </vt:variant>
      <vt:variant>
        <vt:i4>5</vt:i4>
      </vt:variant>
      <vt:variant>
        <vt:lpwstr/>
      </vt:variant>
      <vt:variant>
        <vt:lpwstr>_Toc416192495</vt:lpwstr>
      </vt:variant>
      <vt:variant>
        <vt:i4>1835071</vt:i4>
      </vt:variant>
      <vt:variant>
        <vt:i4>212</vt:i4>
      </vt:variant>
      <vt:variant>
        <vt:i4>0</vt:i4>
      </vt:variant>
      <vt:variant>
        <vt:i4>5</vt:i4>
      </vt:variant>
      <vt:variant>
        <vt:lpwstr/>
      </vt:variant>
      <vt:variant>
        <vt:lpwstr>_Toc416192494</vt:lpwstr>
      </vt:variant>
      <vt:variant>
        <vt:i4>1835071</vt:i4>
      </vt:variant>
      <vt:variant>
        <vt:i4>206</vt:i4>
      </vt:variant>
      <vt:variant>
        <vt:i4>0</vt:i4>
      </vt:variant>
      <vt:variant>
        <vt:i4>5</vt:i4>
      </vt:variant>
      <vt:variant>
        <vt:lpwstr/>
      </vt:variant>
      <vt:variant>
        <vt:lpwstr>_Toc416192493</vt:lpwstr>
      </vt:variant>
      <vt:variant>
        <vt:i4>1835071</vt:i4>
      </vt:variant>
      <vt:variant>
        <vt:i4>200</vt:i4>
      </vt:variant>
      <vt:variant>
        <vt:i4>0</vt:i4>
      </vt:variant>
      <vt:variant>
        <vt:i4>5</vt:i4>
      </vt:variant>
      <vt:variant>
        <vt:lpwstr/>
      </vt:variant>
      <vt:variant>
        <vt:lpwstr>_Toc416192492</vt:lpwstr>
      </vt:variant>
      <vt:variant>
        <vt:i4>1835071</vt:i4>
      </vt:variant>
      <vt:variant>
        <vt:i4>194</vt:i4>
      </vt:variant>
      <vt:variant>
        <vt:i4>0</vt:i4>
      </vt:variant>
      <vt:variant>
        <vt:i4>5</vt:i4>
      </vt:variant>
      <vt:variant>
        <vt:lpwstr/>
      </vt:variant>
      <vt:variant>
        <vt:lpwstr>_Toc416192491</vt:lpwstr>
      </vt:variant>
      <vt:variant>
        <vt:i4>1835071</vt:i4>
      </vt:variant>
      <vt:variant>
        <vt:i4>188</vt:i4>
      </vt:variant>
      <vt:variant>
        <vt:i4>0</vt:i4>
      </vt:variant>
      <vt:variant>
        <vt:i4>5</vt:i4>
      </vt:variant>
      <vt:variant>
        <vt:lpwstr/>
      </vt:variant>
      <vt:variant>
        <vt:lpwstr>_Toc416192490</vt:lpwstr>
      </vt:variant>
      <vt:variant>
        <vt:i4>1900607</vt:i4>
      </vt:variant>
      <vt:variant>
        <vt:i4>182</vt:i4>
      </vt:variant>
      <vt:variant>
        <vt:i4>0</vt:i4>
      </vt:variant>
      <vt:variant>
        <vt:i4>5</vt:i4>
      </vt:variant>
      <vt:variant>
        <vt:lpwstr/>
      </vt:variant>
      <vt:variant>
        <vt:lpwstr>_Toc416192489</vt:lpwstr>
      </vt:variant>
      <vt:variant>
        <vt:i4>1900607</vt:i4>
      </vt:variant>
      <vt:variant>
        <vt:i4>176</vt:i4>
      </vt:variant>
      <vt:variant>
        <vt:i4>0</vt:i4>
      </vt:variant>
      <vt:variant>
        <vt:i4>5</vt:i4>
      </vt:variant>
      <vt:variant>
        <vt:lpwstr/>
      </vt:variant>
      <vt:variant>
        <vt:lpwstr>_Toc416192488</vt:lpwstr>
      </vt:variant>
      <vt:variant>
        <vt:i4>1900607</vt:i4>
      </vt:variant>
      <vt:variant>
        <vt:i4>170</vt:i4>
      </vt:variant>
      <vt:variant>
        <vt:i4>0</vt:i4>
      </vt:variant>
      <vt:variant>
        <vt:i4>5</vt:i4>
      </vt:variant>
      <vt:variant>
        <vt:lpwstr/>
      </vt:variant>
      <vt:variant>
        <vt:lpwstr>_Toc416192487</vt:lpwstr>
      </vt:variant>
      <vt:variant>
        <vt:i4>1900607</vt:i4>
      </vt:variant>
      <vt:variant>
        <vt:i4>164</vt:i4>
      </vt:variant>
      <vt:variant>
        <vt:i4>0</vt:i4>
      </vt:variant>
      <vt:variant>
        <vt:i4>5</vt:i4>
      </vt:variant>
      <vt:variant>
        <vt:lpwstr/>
      </vt:variant>
      <vt:variant>
        <vt:lpwstr>_Toc416192486</vt:lpwstr>
      </vt:variant>
      <vt:variant>
        <vt:i4>1900607</vt:i4>
      </vt:variant>
      <vt:variant>
        <vt:i4>158</vt:i4>
      </vt:variant>
      <vt:variant>
        <vt:i4>0</vt:i4>
      </vt:variant>
      <vt:variant>
        <vt:i4>5</vt:i4>
      </vt:variant>
      <vt:variant>
        <vt:lpwstr/>
      </vt:variant>
      <vt:variant>
        <vt:lpwstr>_Toc416192485</vt:lpwstr>
      </vt:variant>
      <vt:variant>
        <vt:i4>1900607</vt:i4>
      </vt:variant>
      <vt:variant>
        <vt:i4>152</vt:i4>
      </vt:variant>
      <vt:variant>
        <vt:i4>0</vt:i4>
      </vt:variant>
      <vt:variant>
        <vt:i4>5</vt:i4>
      </vt:variant>
      <vt:variant>
        <vt:lpwstr/>
      </vt:variant>
      <vt:variant>
        <vt:lpwstr>_Toc416192484</vt:lpwstr>
      </vt:variant>
      <vt:variant>
        <vt:i4>1900607</vt:i4>
      </vt:variant>
      <vt:variant>
        <vt:i4>146</vt:i4>
      </vt:variant>
      <vt:variant>
        <vt:i4>0</vt:i4>
      </vt:variant>
      <vt:variant>
        <vt:i4>5</vt:i4>
      </vt:variant>
      <vt:variant>
        <vt:lpwstr/>
      </vt:variant>
      <vt:variant>
        <vt:lpwstr>_Toc416192483</vt:lpwstr>
      </vt:variant>
      <vt:variant>
        <vt:i4>1900607</vt:i4>
      </vt:variant>
      <vt:variant>
        <vt:i4>140</vt:i4>
      </vt:variant>
      <vt:variant>
        <vt:i4>0</vt:i4>
      </vt:variant>
      <vt:variant>
        <vt:i4>5</vt:i4>
      </vt:variant>
      <vt:variant>
        <vt:lpwstr/>
      </vt:variant>
      <vt:variant>
        <vt:lpwstr>_Toc416192482</vt:lpwstr>
      </vt:variant>
      <vt:variant>
        <vt:i4>1900607</vt:i4>
      </vt:variant>
      <vt:variant>
        <vt:i4>134</vt:i4>
      </vt:variant>
      <vt:variant>
        <vt:i4>0</vt:i4>
      </vt:variant>
      <vt:variant>
        <vt:i4>5</vt:i4>
      </vt:variant>
      <vt:variant>
        <vt:lpwstr/>
      </vt:variant>
      <vt:variant>
        <vt:lpwstr>_Toc416192481</vt:lpwstr>
      </vt:variant>
      <vt:variant>
        <vt:i4>1900607</vt:i4>
      </vt:variant>
      <vt:variant>
        <vt:i4>128</vt:i4>
      </vt:variant>
      <vt:variant>
        <vt:i4>0</vt:i4>
      </vt:variant>
      <vt:variant>
        <vt:i4>5</vt:i4>
      </vt:variant>
      <vt:variant>
        <vt:lpwstr/>
      </vt:variant>
      <vt:variant>
        <vt:lpwstr>_Toc416192480</vt:lpwstr>
      </vt:variant>
      <vt:variant>
        <vt:i4>1179711</vt:i4>
      </vt:variant>
      <vt:variant>
        <vt:i4>122</vt:i4>
      </vt:variant>
      <vt:variant>
        <vt:i4>0</vt:i4>
      </vt:variant>
      <vt:variant>
        <vt:i4>5</vt:i4>
      </vt:variant>
      <vt:variant>
        <vt:lpwstr/>
      </vt:variant>
      <vt:variant>
        <vt:lpwstr>_Toc416192479</vt:lpwstr>
      </vt:variant>
      <vt:variant>
        <vt:i4>1179711</vt:i4>
      </vt:variant>
      <vt:variant>
        <vt:i4>116</vt:i4>
      </vt:variant>
      <vt:variant>
        <vt:i4>0</vt:i4>
      </vt:variant>
      <vt:variant>
        <vt:i4>5</vt:i4>
      </vt:variant>
      <vt:variant>
        <vt:lpwstr/>
      </vt:variant>
      <vt:variant>
        <vt:lpwstr>_Toc416192478</vt:lpwstr>
      </vt:variant>
      <vt:variant>
        <vt:i4>1179711</vt:i4>
      </vt:variant>
      <vt:variant>
        <vt:i4>110</vt:i4>
      </vt:variant>
      <vt:variant>
        <vt:i4>0</vt:i4>
      </vt:variant>
      <vt:variant>
        <vt:i4>5</vt:i4>
      </vt:variant>
      <vt:variant>
        <vt:lpwstr/>
      </vt:variant>
      <vt:variant>
        <vt:lpwstr>_Toc416192477</vt:lpwstr>
      </vt:variant>
      <vt:variant>
        <vt:i4>1179711</vt:i4>
      </vt:variant>
      <vt:variant>
        <vt:i4>104</vt:i4>
      </vt:variant>
      <vt:variant>
        <vt:i4>0</vt:i4>
      </vt:variant>
      <vt:variant>
        <vt:i4>5</vt:i4>
      </vt:variant>
      <vt:variant>
        <vt:lpwstr/>
      </vt:variant>
      <vt:variant>
        <vt:lpwstr>_Toc416192476</vt:lpwstr>
      </vt:variant>
      <vt:variant>
        <vt:i4>1179711</vt:i4>
      </vt:variant>
      <vt:variant>
        <vt:i4>98</vt:i4>
      </vt:variant>
      <vt:variant>
        <vt:i4>0</vt:i4>
      </vt:variant>
      <vt:variant>
        <vt:i4>5</vt:i4>
      </vt:variant>
      <vt:variant>
        <vt:lpwstr/>
      </vt:variant>
      <vt:variant>
        <vt:lpwstr>_Toc416192475</vt:lpwstr>
      </vt:variant>
      <vt:variant>
        <vt:i4>1179711</vt:i4>
      </vt:variant>
      <vt:variant>
        <vt:i4>92</vt:i4>
      </vt:variant>
      <vt:variant>
        <vt:i4>0</vt:i4>
      </vt:variant>
      <vt:variant>
        <vt:i4>5</vt:i4>
      </vt:variant>
      <vt:variant>
        <vt:lpwstr/>
      </vt:variant>
      <vt:variant>
        <vt:lpwstr>_Toc416192474</vt:lpwstr>
      </vt:variant>
      <vt:variant>
        <vt:i4>1179711</vt:i4>
      </vt:variant>
      <vt:variant>
        <vt:i4>86</vt:i4>
      </vt:variant>
      <vt:variant>
        <vt:i4>0</vt:i4>
      </vt:variant>
      <vt:variant>
        <vt:i4>5</vt:i4>
      </vt:variant>
      <vt:variant>
        <vt:lpwstr/>
      </vt:variant>
      <vt:variant>
        <vt:lpwstr>_Toc416192473</vt:lpwstr>
      </vt:variant>
      <vt:variant>
        <vt:i4>1179711</vt:i4>
      </vt:variant>
      <vt:variant>
        <vt:i4>80</vt:i4>
      </vt:variant>
      <vt:variant>
        <vt:i4>0</vt:i4>
      </vt:variant>
      <vt:variant>
        <vt:i4>5</vt:i4>
      </vt:variant>
      <vt:variant>
        <vt:lpwstr/>
      </vt:variant>
      <vt:variant>
        <vt:lpwstr>_Toc416192472</vt:lpwstr>
      </vt:variant>
      <vt:variant>
        <vt:i4>1179711</vt:i4>
      </vt:variant>
      <vt:variant>
        <vt:i4>74</vt:i4>
      </vt:variant>
      <vt:variant>
        <vt:i4>0</vt:i4>
      </vt:variant>
      <vt:variant>
        <vt:i4>5</vt:i4>
      </vt:variant>
      <vt:variant>
        <vt:lpwstr/>
      </vt:variant>
      <vt:variant>
        <vt:lpwstr>_Toc416192471</vt:lpwstr>
      </vt:variant>
      <vt:variant>
        <vt:i4>1179711</vt:i4>
      </vt:variant>
      <vt:variant>
        <vt:i4>68</vt:i4>
      </vt:variant>
      <vt:variant>
        <vt:i4>0</vt:i4>
      </vt:variant>
      <vt:variant>
        <vt:i4>5</vt:i4>
      </vt:variant>
      <vt:variant>
        <vt:lpwstr/>
      </vt:variant>
      <vt:variant>
        <vt:lpwstr>_Toc416192470</vt:lpwstr>
      </vt:variant>
      <vt:variant>
        <vt:i4>1245247</vt:i4>
      </vt:variant>
      <vt:variant>
        <vt:i4>62</vt:i4>
      </vt:variant>
      <vt:variant>
        <vt:i4>0</vt:i4>
      </vt:variant>
      <vt:variant>
        <vt:i4>5</vt:i4>
      </vt:variant>
      <vt:variant>
        <vt:lpwstr/>
      </vt:variant>
      <vt:variant>
        <vt:lpwstr>_Toc416192469</vt:lpwstr>
      </vt:variant>
      <vt:variant>
        <vt:i4>1245247</vt:i4>
      </vt:variant>
      <vt:variant>
        <vt:i4>56</vt:i4>
      </vt:variant>
      <vt:variant>
        <vt:i4>0</vt:i4>
      </vt:variant>
      <vt:variant>
        <vt:i4>5</vt:i4>
      </vt:variant>
      <vt:variant>
        <vt:lpwstr/>
      </vt:variant>
      <vt:variant>
        <vt:lpwstr>_Toc416192468</vt:lpwstr>
      </vt:variant>
      <vt:variant>
        <vt:i4>1245247</vt:i4>
      </vt:variant>
      <vt:variant>
        <vt:i4>50</vt:i4>
      </vt:variant>
      <vt:variant>
        <vt:i4>0</vt:i4>
      </vt:variant>
      <vt:variant>
        <vt:i4>5</vt:i4>
      </vt:variant>
      <vt:variant>
        <vt:lpwstr/>
      </vt:variant>
      <vt:variant>
        <vt:lpwstr>_Toc416192467</vt:lpwstr>
      </vt:variant>
      <vt:variant>
        <vt:i4>1245247</vt:i4>
      </vt:variant>
      <vt:variant>
        <vt:i4>44</vt:i4>
      </vt:variant>
      <vt:variant>
        <vt:i4>0</vt:i4>
      </vt:variant>
      <vt:variant>
        <vt:i4>5</vt:i4>
      </vt:variant>
      <vt:variant>
        <vt:lpwstr/>
      </vt:variant>
      <vt:variant>
        <vt:lpwstr>_Toc416192466</vt:lpwstr>
      </vt:variant>
      <vt:variant>
        <vt:i4>1245247</vt:i4>
      </vt:variant>
      <vt:variant>
        <vt:i4>38</vt:i4>
      </vt:variant>
      <vt:variant>
        <vt:i4>0</vt:i4>
      </vt:variant>
      <vt:variant>
        <vt:i4>5</vt:i4>
      </vt:variant>
      <vt:variant>
        <vt:lpwstr/>
      </vt:variant>
      <vt:variant>
        <vt:lpwstr>_Toc416192465</vt:lpwstr>
      </vt:variant>
      <vt:variant>
        <vt:i4>1245247</vt:i4>
      </vt:variant>
      <vt:variant>
        <vt:i4>32</vt:i4>
      </vt:variant>
      <vt:variant>
        <vt:i4>0</vt:i4>
      </vt:variant>
      <vt:variant>
        <vt:i4>5</vt:i4>
      </vt:variant>
      <vt:variant>
        <vt:lpwstr/>
      </vt:variant>
      <vt:variant>
        <vt:lpwstr>_Toc416192464</vt:lpwstr>
      </vt:variant>
      <vt:variant>
        <vt:i4>1245247</vt:i4>
      </vt:variant>
      <vt:variant>
        <vt:i4>26</vt:i4>
      </vt:variant>
      <vt:variant>
        <vt:i4>0</vt:i4>
      </vt:variant>
      <vt:variant>
        <vt:i4>5</vt:i4>
      </vt:variant>
      <vt:variant>
        <vt:lpwstr/>
      </vt:variant>
      <vt:variant>
        <vt:lpwstr>_Toc416192463</vt:lpwstr>
      </vt:variant>
      <vt:variant>
        <vt:i4>1245247</vt:i4>
      </vt:variant>
      <vt:variant>
        <vt:i4>20</vt:i4>
      </vt:variant>
      <vt:variant>
        <vt:i4>0</vt:i4>
      </vt:variant>
      <vt:variant>
        <vt:i4>5</vt:i4>
      </vt:variant>
      <vt:variant>
        <vt:lpwstr/>
      </vt:variant>
      <vt:variant>
        <vt:lpwstr>_Toc416192462</vt:lpwstr>
      </vt:variant>
      <vt:variant>
        <vt:i4>1245247</vt:i4>
      </vt:variant>
      <vt:variant>
        <vt:i4>14</vt:i4>
      </vt:variant>
      <vt:variant>
        <vt:i4>0</vt:i4>
      </vt:variant>
      <vt:variant>
        <vt:i4>5</vt:i4>
      </vt:variant>
      <vt:variant>
        <vt:lpwstr/>
      </vt:variant>
      <vt:variant>
        <vt:lpwstr>_Toc416192461</vt:lpwstr>
      </vt:variant>
      <vt:variant>
        <vt:i4>1245247</vt:i4>
      </vt:variant>
      <vt:variant>
        <vt:i4>8</vt:i4>
      </vt:variant>
      <vt:variant>
        <vt:i4>0</vt:i4>
      </vt:variant>
      <vt:variant>
        <vt:i4>5</vt:i4>
      </vt:variant>
      <vt:variant>
        <vt:lpwstr/>
      </vt:variant>
      <vt:variant>
        <vt:lpwstr>_Toc416192460</vt:lpwstr>
      </vt:variant>
      <vt:variant>
        <vt:i4>1048639</vt:i4>
      </vt:variant>
      <vt:variant>
        <vt:i4>2</vt:i4>
      </vt:variant>
      <vt:variant>
        <vt:i4>0</vt:i4>
      </vt:variant>
      <vt:variant>
        <vt:i4>5</vt:i4>
      </vt:variant>
      <vt:variant>
        <vt:lpwstr/>
      </vt:variant>
      <vt:variant>
        <vt:lpwstr>_Toc416192459</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 of the RDP</dc:title>
  <dc:subject/>
  <dc:creator>Member State Authority</dc:creator>
  <cp:keywords>EL4</cp:keywords>
  <dc:description/>
  <cp:lastModifiedBy>min</cp:lastModifiedBy>
  <cp:revision>2</cp:revision>
  <cp:lastPrinted>2013-05-31T11:39:00Z</cp:lastPrinted>
  <dcterms:created xsi:type="dcterms:W3CDTF">2015-04-07T16:07:00Z</dcterms:created>
  <dcterms:modified xsi:type="dcterms:W3CDTF">2015-04-07T16:07:00Z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lassification">
    <vt:lpwstr/>
  </property>
  <property fmtid="{D5CDD505-2E9C-101B-9397-08002B2CF9AE}" pid="3" name="Contributor">
    <vt:lpwstr/>
  </property>
  <property fmtid="{D5CDD505-2E9C-101B-9397-08002B2CF9AE}" pid="4" name="Created using">
    <vt:lpwstr>EL 4.6 Build 21000</vt:lpwstr>
  </property>
  <property fmtid="{D5CDD505-2E9C-101B-9397-08002B2CF9AE}" pid="5" name="Creator">
    <vt:lpwstr/>
  </property>
  <property fmtid="{D5CDD505-2E9C-101B-9397-08002B2CF9AE}" pid="6" name="DateAlarm">
    <vt:lpwstr/>
  </property>
  <property fmtid="{D5CDD505-2E9C-101B-9397-08002B2CF9AE}" pid="7" name="DatePublication">
    <vt:lpwstr/>
  </property>
  <property fmtid="{D5CDD505-2E9C-101B-9397-08002B2CF9AE}" pid="8" name="Description">
    <vt:lpwstr/>
  </property>
  <property fmtid="{D5CDD505-2E9C-101B-9397-08002B2CF9AE}" pid="9" name="DocID_EU">
    <vt:lpwstr> </vt:lpwstr>
  </property>
  <property fmtid="{D5CDD505-2E9C-101B-9397-08002B2CF9AE}" pid="10" name="ELDocType">
    <vt:lpwstr>rep.dot</vt:lpwstr>
  </property>
  <property fmtid="{D5CDD505-2E9C-101B-9397-08002B2CF9AE}" pid="11" name="EL_Author">
    <vt:lpwstr>Vallet Marc (Everis)</vt:lpwstr>
  </property>
  <property fmtid="{D5CDD505-2E9C-101B-9397-08002B2CF9AE}" pid="12" name="EL_Language">
    <vt:lpwstr>EN</vt:lpwstr>
  </property>
  <property fmtid="{D5CDD505-2E9C-101B-9397-08002B2CF9AE}" pid="13" name="EurolookVersion">
    <vt:lpwstr>4.5</vt:lpwstr>
  </property>
  <property fmtid="{D5CDD505-2E9C-101B-9397-08002B2CF9AE}" pid="14" name="Formatting">
    <vt:lpwstr>4.1</vt:lpwstr>
  </property>
  <property fmtid="{D5CDD505-2E9C-101B-9397-08002B2CF9AE}" pid="15" name="Language">
    <vt:lpwstr>EN</vt:lpwstr>
  </property>
  <property fmtid="{D5CDD505-2E9C-101B-9397-08002B2CF9AE}" pid="16" name="Last edited using">
    <vt:lpwstr>EL 4.6 Build 34000</vt:lpwstr>
  </property>
  <property fmtid="{D5CDD505-2E9C-101B-9397-08002B2CF9AE}" pid="17" name="Publisher">
    <vt:lpwstr/>
  </property>
  <property fmtid="{D5CDD505-2E9C-101B-9397-08002B2CF9AE}" pid="18" name="Reference">
    <vt:lpwstr/>
  </property>
  <property fmtid="{D5CDD505-2E9C-101B-9397-08002B2CF9AE}" pid="19" name="Rights">
    <vt:lpwstr/>
  </property>
  <property fmtid="{D5CDD505-2E9C-101B-9397-08002B2CF9AE}" pid="20" name="TemplateVersion">
    <vt:lpwstr>4.5.0.2</vt:lpwstr>
  </property>
  <property fmtid="{D5CDD505-2E9C-101B-9397-08002B2CF9AE}" pid="21" name="Type">
    <vt:lpwstr>Eurolook Report</vt:lpwstr>
  </property>
</Properties>
</file>